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1F721" w14:textId="359E9A9F" w:rsidR="00E34ACB" w:rsidRDefault="00E34ACB">
      <w:r>
        <w:rPr>
          <w:rFonts w:cs="Arial"/>
          <w:lang w:val="en-CA"/>
        </w:rPr>
        <w:t>Translated from the original French</w:t>
      </w:r>
    </w:p>
    <w:tbl>
      <w:tblPr>
        <w:tblW w:w="9505" w:type="dxa"/>
        <w:tblLayout w:type="fixed"/>
        <w:tblCellMar>
          <w:left w:w="70" w:type="dxa"/>
          <w:right w:w="70" w:type="dxa"/>
        </w:tblCellMar>
        <w:tblLook w:val="0000" w:firstRow="0" w:lastRow="0" w:firstColumn="0" w:lastColumn="0" w:noHBand="0" w:noVBand="0"/>
      </w:tblPr>
      <w:tblGrid>
        <w:gridCol w:w="1063"/>
        <w:gridCol w:w="6027"/>
        <w:gridCol w:w="2415"/>
      </w:tblGrid>
      <w:tr w:rsidR="00895880" w14:paraId="0A6419F7" w14:textId="77777777" w:rsidTr="00895880">
        <w:trPr>
          <w:trHeight w:val="360"/>
        </w:trPr>
        <w:tc>
          <w:tcPr>
            <w:tcW w:w="7090" w:type="dxa"/>
            <w:gridSpan w:val="2"/>
          </w:tcPr>
          <w:p w14:paraId="7C501C71" w14:textId="77777777" w:rsidR="00895880" w:rsidRPr="00895880" w:rsidRDefault="00895880" w:rsidP="00895880">
            <w:pPr>
              <w:pStyle w:val="zSoquijdatRepertorie"/>
              <w:rPr>
                <w:rFonts w:cs="Arial"/>
                <w:lang w:val="en-CA"/>
              </w:rPr>
            </w:pPr>
            <w:r w:rsidRPr="00895880">
              <w:rPr>
                <w:rFonts w:cs="Arial"/>
                <w:lang w:val="en-CA"/>
              </w:rPr>
              <w:t>R. c. SNC-Lavalin inc.</w:t>
            </w:r>
          </w:p>
        </w:tc>
        <w:tc>
          <w:tcPr>
            <w:tcW w:w="2415" w:type="dxa"/>
          </w:tcPr>
          <w:p w14:paraId="28601DCD" w14:textId="77777777" w:rsidR="00895880" w:rsidRPr="00895880" w:rsidRDefault="00895880" w:rsidP="00895880">
            <w:pPr>
              <w:pStyle w:val="zSoquijdatRefNeutre"/>
              <w:jc w:val="right"/>
              <w:rPr>
                <w:rFonts w:cs="Arial"/>
                <w:lang w:val="en-CA"/>
              </w:rPr>
            </w:pPr>
            <w:r w:rsidRPr="00895880">
              <w:rPr>
                <w:rFonts w:cs="Arial"/>
                <w:lang w:val="en-CA"/>
              </w:rPr>
              <w:t>2022 QCCS 1967</w:t>
            </w:r>
          </w:p>
        </w:tc>
      </w:tr>
      <w:tr w:rsidR="005154AF" w:rsidRPr="0071186E" w14:paraId="7BDF02F4" w14:textId="77777777">
        <w:trPr>
          <w:trHeight w:val="810"/>
        </w:trPr>
        <w:tc>
          <w:tcPr>
            <w:tcW w:w="9505" w:type="dxa"/>
            <w:gridSpan w:val="3"/>
            <w:vAlign w:val="bottom"/>
          </w:tcPr>
          <w:p w14:paraId="68B17B95" w14:textId="77777777" w:rsidR="00FA31D4" w:rsidRPr="0071186E" w:rsidRDefault="00D71CA8">
            <w:pPr>
              <w:pStyle w:val="zSoquijlblCour"/>
              <w:rPr>
                <w:lang w:val="en-CA"/>
              </w:rPr>
            </w:pPr>
            <w:r>
              <w:rPr>
                <w:noProof/>
                <w:sz w:val="20"/>
                <w:lang w:eastAsia="fr-CA"/>
              </w:rPr>
              <mc:AlternateContent>
                <mc:Choice Requires="wps">
                  <w:drawing>
                    <wp:anchor distT="0" distB="0" distL="114300" distR="114300" simplePos="0" relativeHeight="251655680" behindDoc="0" locked="1" layoutInCell="0" allowOverlap="1" wp14:anchorId="2FCB9451" wp14:editId="3005C4F0">
                      <wp:simplePos x="0" y="0"/>
                      <wp:positionH relativeFrom="column">
                        <wp:posOffset>-1032510</wp:posOffset>
                      </wp:positionH>
                      <wp:positionV relativeFrom="page">
                        <wp:posOffset>9035415</wp:posOffset>
                      </wp:positionV>
                      <wp:extent cx="73152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C2872" w14:textId="77777777" w:rsidR="00BA1BFD" w:rsidRDefault="00BA1BFD">
                                  <w:pPr>
                                    <w:pStyle w:val="zSoquijdatIdJuge"/>
                                  </w:pPr>
                                  <w:r>
                                    <w:t>JM 2497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B9451" id="_x0000_t202" coordsize="21600,21600" o:spt="202" path="m,l,21600r21600,l21600,xe">
                      <v:stroke joinstyle="miter"/>
                      <v:path gradientshapeok="t" o:connecttype="rect"/>
                    </v:shapetype>
                    <v:shape id="Text Box 2" o:spid="_x0000_s1026" type="#_x0000_t202" style="position:absolute;left:0;text-align:left;margin-left:-81.3pt;margin-top:711.45pt;width:57.6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8Yrg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" o:allowincell="f" filled="f" stroked="f">
                      <v:textbox inset="0,0,0,0">
                        <w:txbxContent>
                          <w:p w14:paraId="4FEC2872" w14:textId="77777777" w:rsidR="00BA1BFD" w:rsidRDefault="00BA1BFD">
                            <w:pPr>
                              <w:pStyle w:val="zSoquijdatIdJuge"/>
                            </w:pPr>
                            <w:r>
                              <w:t>JM 2497</w:t>
                            </w:r>
                          </w:p>
                        </w:txbxContent>
                      </v:textbox>
                      <w10:wrap anchory="page"/>
                      <w10:anchorlock/>
                    </v:shape>
                  </w:pict>
                </mc:Fallback>
              </mc:AlternateContent>
            </w:r>
            <w:r w:rsidR="00A5325A" w:rsidRPr="0071186E">
              <w:rPr>
                <w:lang w:val="en-CA"/>
              </w:rPr>
              <w:t>SUPERIOR COURT</w:t>
            </w:r>
          </w:p>
        </w:tc>
      </w:tr>
      <w:tr w:rsidR="005154AF" w:rsidRPr="0071186E" w14:paraId="3B6EDA3C" w14:textId="77777777">
        <w:trPr>
          <w:trHeight w:val="540"/>
        </w:trPr>
        <w:tc>
          <w:tcPr>
            <w:tcW w:w="9505" w:type="dxa"/>
            <w:gridSpan w:val="3"/>
          </w:tcPr>
          <w:p w14:paraId="35814633" w14:textId="77777777" w:rsidR="00FA31D4" w:rsidRPr="0071186E" w:rsidRDefault="00E45741">
            <w:pPr>
              <w:pStyle w:val="zSoquijdatDivision"/>
              <w:rPr>
                <w:b/>
                <w:lang w:val="en-CA"/>
              </w:rPr>
            </w:pPr>
            <w:r w:rsidRPr="0071186E">
              <w:rPr>
                <w:b/>
                <w:lang w:val="en-CA" w:bidi="en-CA"/>
              </w:rPr>
              <w:t>Criminal and Penal Division</w:t>
            </w:r>
          </w:p>
        </w:tc>
      </w:tr>
      <w:tr w:rsidR="005154AF" w:rsidRPr="0071186E" w14:paraId="55FF6F23" w14:textId="77777777">
        <w:tc>
          <w:tcPr>
            <w:tcW w:w="9505" w:type="dxa"/>
            <w:gridSpan w:val="3"/>
          </w:tcPr>
          <w:p w14:paraId="26B7031E" w14:textId="77777777" w:rsidR="00FA31D4" w:rsidRPr="0071186E" w:rsidRDefault="00FD42DA">
            <w:pPr>
              <w:pStyle w:val="zSoquijlblPays"/>
              <w:rPr>
                <w:lang w:val="en-CA"/>
              </w:rPr>
            </w:pPr>
            <w:r w:rsidRPr="0071186E">
              <w:rPr>
                <w:lang w:val="en-CA"/>
              </w:rPr>
              <w:t>Canada</w:t>
            </w:r>
          </w:p>
        </w:tc>
      </w:tr>
      <w:tr w:rsidR="005154AF" w:rsidRPr="0071186E" w14:paraId="0DB18225" w14:textId="77777777">
        <w:tc>
          <w:tcPr>
            <w:tcW w:w="9505" w:type="dxa"/>
            <w:gridSpan w:val="3"/>
          </w:tcPr>
          <w:p w14:paraId="4357785E" w14:textId="77777777" w:rsidR="00FA31D4" w:rsidRPr="0071186E" w:rsidRDefault="00F53A14" w:rsidP="00A5325A">
            <w:pPr>
              <w:pStyle w:val="zSoquijlblProvince"/>
              <w:rPr>
                <w:lang w:val="en-CA"/>
              </w:rPr>
            </w:pPr>
            <w:r w:rsidRPr="0071186E">
              <w:rPr>
                <w:lang w:val="en-CA"/>
              </w:rPr>
              <w:t xml:space="preserve">PROVINCE </w:t>
            </w:r>
            <w:r w:rsidR="00A5325A" w:rsidRPr="0071186E">
              <w:rPr>
                <w:lang w:val="en-CA"/>
              </w:rPr>
              <w:t>OF</w:t>
            </w:r>
            <w:r w:rsidRPr="0071186E">
              <w:rPr>
                <w:lang w:val="en-CA"/>
              </w:rPr>
              <w:t xml:space="preserve"> QU</w:t>
            </w:r>
            <w:r w:rsidR="00A5325A" w:rsidRPr="0071186E">
              <w:rPr>
                <w:lang w:val="en-CA"/>
              </w:rPr>
              <w:t>E</w:t>
            </w:r>
            <w:r w:rsidRPr="0071186E">
              <w:rPr>
                <w:lang w:val="en-CA"/>
              </w:rPr>
              <w:t>BEC</w:t>
            </w:r>
          </w:p>
        </w:tc>
      </w:tr>
      <w:tr w:rsidR="00E45741" w:rsidRPr="0071186E" w14:paraId="74ECD80B" w14:textId="77777777" w:rsidTr="002E2743">
        <w:tblPrEx>
          <w:tblCellMar>
            <w:left w:w="0" w:type="dxa"/>
            <w:right w:w="0" w:type="dxa"/>
          </w:tblCellMar>
        </w:tblPrEx>
        <w:trPr>
          <w:cantSplit/>
        </w:trPr>
        <w:tc>
          <w:tcPr>
            <w:tcW w:w="9505" w:type="dxa"/>
            <w:gridSpan w:val="3"/>
          </w:tcPr>
          <w:p w14:paraId="6DDA90AB" w14:textId="77777777" w:rsidR="00E45741" w:rsidRPr="0071186E" w:rsidRDefault="00E45741" w:rsidP="00E45741">
            <w:pPr>
              <w:pStyle w:val="zSoquijlblGreffe"/>
              <w:rPr>
                <w:lang w:val="en-CA"/>
              </w:rPr>
            </w:pPr>
            <w:r w:rsidRPr="0071186E">
              <w:rPr>
                <w:lang w:val="en-CA"/>
              </w:rPr>
              <w:t>DISTRICT OF MONTREAL</w:t>
            </w:r>
          </w:p>
        </w:tc>
      </w:tr>
      <w:tr w:rsidR="005154AF" w:rsidRPr="0071186E" w14:paraId="6D1C6069" w14:textId="77777777">
        <w:trPr>
          <w:trHeight w:val="540"/>
        </w:trPr>
        <w:tc>
          <w:tcPr>
            <w:tcW w:w="9505" w:type="dxa"/>
            <w:gridSpan w:val="3"/>
          </w:tcPr>
          <w:p w14:paraId="3D291BCD" w14:textId="77777777" w:rsidR="00FA31D4" w:rsidRPr="0071186E" w:rsidRDefault="00FA31D4">
            <w:pPr>
              <w:pStyle w:val="zSoquijlblNomChambre"/>
              <w:rPr>
                <w:lang w:val="en-CA"/>
              </w:rPr>
            </w:pPr>
          </w:p>
        </w:tc>
      </w:tr>
      <w:tr w:rsidR="005154AF" w:rsidRPr="000B0B1F" w14:paraId="3C8F936F" w14:textId="77777777" w:rsidTr="005A75E2">
        <w:tc>
          <w:tcPr>
            <w:tcW w:w="1063" w:type="dxa"/>
          </w:tcPr>
          <w:p w14:paraId="74AB8D49" w14:textId="77777777" w:rsidR="00FA31D4" w:rsidRPr="0071186E" w:rsidRDefault="00F53A14" w:rsidP="00E45741">
            <w:pPr>
              <w:pStyle w:val="zSoquijlblNoDossier"/>
              <w:rPr>
                <w:b/>
                <w:lang w:val="en-CA"/>
              </w:rPr>
            </w:pPr>
            <w:r w:rsidRPr="0071186E">
              <w:rPr>
                <w:b/>
                <w:lang w:val="en-CA"/>
              </w:rPr>
              <w:t>N</w:t>
            </w:r>
            <w:r w:rsidR="00E45741" w:rsidRPr="0071186E">
              <w:rPr>
                <w:b/>
                <w:lang w:val="en-CA"/>
              </w:rPr>
              <w:t>o</w:t>
            </w:r>
            <w:r w:rsidR="00246D8F">
              <w:rPr>
                <w:b/>
                <w:lang w:val="en-CA"/>
              </w:rPr>
              <w:t>s</w:t>
            </w:r>
            <w:r w:rsidR="00E45741" w:rsidRPr="0071186E">
              <w:rPr>
                <w:b/>
                <w:lang w:val="en-CA"/>
              </w:rPr>
              <w:t>.</w:t>
            </w:r>
            <w:r w:rsidRPr="0071186E">
              <w:rPr>
                <w:b/>
                <w:lang w:val="en-CA"/>
              </w:rPr>
              <w:t>:</w:t>
            </w:r>
          </w:p>
        </w:tc>
        <w:tc>
          <w:tcPr>
            <w:tcW w:w="8442" w:type="dxa"/>
            <w:gridSpan w:val="2"/>
          </w:tcPr>
          <w:p w14:paraId="74580E25" w14:textId="77777777" w:rsidR="002122A7" w:rsidRPr="0071186E" w:rsidRDefault="00B97944" w:rsidP="002122A7">
            <w:pPr>
              <w:pStyle w:val="zSoquijdatNoDossier"/>
              <w:rPr>
                <w:lang w:val="en-CA"/>
              </w:rPr>
            </w:pPr>
            <w:r w:rsidRPr="0071186E">
              <w:rPr>
                <w:lang w:val="en-CA"/>
              </w:rPr>
              <w:t>500-36-010199-225 (S</w:t>
            </w:r>
            <w:r w:rsidR="00246D8F">
              <w:rPr>
                <w:lang w:val="en-CA"/>
              </w:rPr>
              <w:t xml:space="preserve">up. </w:t>
            </w:r>
            <w:r w:rsidR="00E071EE" w:rsidRPr="0071186E">
              <w:rPr>
                <w:lang w:val="en-CA"/>
              </w:rPr>
              <w:t>C</w:t>
            </w:r>
            <w:r w:rsidR="00246D8F">
              <w:rPr>
                <w:lang w:val="en-CA"/>
              </w:rPr>
              <w:t>t.</w:t>
            </w:r>
            <w:r w:rsidRPr="0071186E">
              <w:rPr>
                <w:lang w:val="en-CA"/>
              </w:rPr>
              <w:t>)</w:t>
            </w:r>
          </w:p>
          <w:p w14:paraId="71239F8B" w14:textId="58CE4055" w:rsidR="00B97944" w:rsidRPr="0071186E" w:rsidRDefault="00B97944" w:rsidP="002122A7">
            <w:pPr>
              <w:pStyle w:val="zSoquijdatNoDossier"/>
              <w:rPr>
                <w:lang w:val="en-CA"/>
              </w:rPr>
            </w:pPr>
            <w:r w:rsidRPr="0071186E">
              <w:rPr>
                <w:lang w:val="en-CA"/>
              </w:rPr>
              <w:t>500-01-223556-215 (</w:t>
            </w:r>
            <w:r w:rsidR="00246D8F">
              <w:rPr>
                <w:lang w:val="en-CA"/>
              </w:rPr>
              <w:t>C. Q.</w:t>
            </w:r>
            <w:r w:rsidR="00FD42DA" w:rsidRPr="0071186E">
              <w:rPr>
                <w:lang w:val="en-CA"/>
              </w:rPr>
              <w:t>)</w:t>
            </w:r>
          </w:p>
          <w:p w14:paraId="7EAC8C4E" w14:textId="77777777" w:rsidR="00D760DA" w:rsidRPr="0071186E" w:rsidRDefault="00D760DA">
            <w:pPr>
              <w:pStyle w:val="zSoquijdatNoDossier"/>
              <w:rPr>
                <w:lang w:val="en-CA"/>
              </w:rPr>
            </w:pPr>
          </w:p>
        </w:tc>
      </w:tr>
      <w:tr w:rsidR="005154AF" w:rsidRPr="000B0B1F" w14:paraId="163806FE" w14:textId="77777777" w:rsidTr="005A75E2">
        <w:tblPrEx>
          <w:tblCellMar>
            <w:left w:w="0" w:type="dxa"/>
            <w:right w:w="0" w:type="dxa"/>
          </w:tblCellMar>
        </w:tblPrEx>
        <w:trPr>
          <w:cantSplit/>
        </w:trPr>
        <w:tc>
          <w:tcPr>
            <w:tcW w:w="1063" w:type="dxa"/>
          </w:tcPr>
          <w:p w14:paraId="6B17CFFB" w14:textId="77777777" w:rsidR="00FA31D4" w:rsidRPr="0071186E" w:rsidRDefault="00FA31D4">
            <w:pPr>
              <w:pStyle w:val="zSoquijlblGreffe"/>
              <w:rPr>
                <w:lang w:val="en-CA"/>
              </w:rPr>
            </w:pPr>
          </w:p>
        </w:tc>
        <w:tc>
          <w:tcPr>
            <w:tcW w:w="8442" w:type="dxa"/>
            <w:gridSpan w:val="2"/>
          </w:tcPr>
          <w:p w14:paraId="0B92B50A" w14:textId="77777777" w:rsidR="00FA31D4" w:rsidRPr="0071186E" w:rsidRDefault="00FA31D4">
            <w:pPr>
              <w:pStyle w:val="zSoquijdatNoDossierAnt"/>
              <w:rPr>
                <w:lang w:val="en-CA"/>
              </w:rPr>
            </w:pPr>
          </w:p>
        </w:tc>
      </w:tr>
      <w:tr w:rsidR="005154AF" w:rsidRPr="000B0B1F" w14:paraId="51301F4E" w14:textId="77777777">
        <w:trPr>
          <w:cantSplit/>
          <w:trHeight w:val="235"/>
        </w:trPr>
        <w:tc>
          <w:tcPr>
            <w:tcW w:w="9505" w:type="dxa"/>
            <w:gridSpan w:val="3"/>
          </w:tcPr>
          <w:p w14:paraId="7E710740" w14:textId="77777777" w:rsidR="00FA31D4" w:rsidRPr="0071186E" w:rsidRDefault="00FA31D4">
            <w:pPr>
              <w:rPr>
                <w:lang w:val="en-CA"/>
              </w:rPr>
            </w:pPr>
          </w:p>
        </w:tc>
      </w:tr>
      <w:tr w:rsidR="005154AF" w:rsidRPr="000B0B1F" w14:paraId="4065C93E" w14:textId="77777777" w:rsidTr="005A75E2">
        <w:tc>
          <w:tcPr>
            <w:tcW w:w="1063" w:type="dxa"/>
          </w:tcPr>
          <w:p w14:paraId="3E2DD352" w14:textId="77777777" w:rsidR="00FA31D4" w:rsidRPr="0071186E" w:rsidRDefault="00F53A14" w:rsidP="00FD42DA">
            <w:pPr>
              <w:pStyle w:val="zSoquijlblDateJugement"/>
              <w:rPr>
                <w:lang w:val="en-CA"/>
              </w:rPr>
            </w:pPr>
            <w:r w:rsidRPr="0071186E">
              <w:rPr>
                <w:lang w:val="en-CA"/>
              </w:rPr>
              <w:t>DATE:</w:t>
            </w:r>
          </w:p>
        </w:tc>
        <w:tc>
          <w:tcPr>
            <w:tcW w:w="8442" w:type="dxa"/>
            <w:gridSpan w:val="2"/>
          </w:tcPr>
          <w:p w14:paraId="7F10BE69" w14:textId="77777777" w:rsidR="00FA31D4" w:rsidRPr="0071186E" w:rsidRDefault="00B97944" w:rsidP="002122A7">
            <w:pPr>
              <w:pStyle w:val="zSoquijdatDateJugement"/>
              <w:rPr>
                <w:lang w:val="en-CA"/>
              </w:rPr>
            </w:pPr>
            <w:r w:rsidRPr="0071186E">
              <w:rPr>
                <w:lang w:val="en-CA"/>
              </w:rPr>
              <w:t>May 31, 2022</w:t>
            </w:r>
          </w:p>
        </w:tc>
      </w:tr>
      <w:tr w:rsidR="005154AF" w:rsidRPr="000B0B1F" w14:paraId="64EDC790" w14:textId="77777777" w:rsidTr="005A75E2">
        <w:tc>
          <w:tcPr>
            <w:tcW w:w="9505" w:type="dxa"/>
            <w:gridSpan w:val="3"/>
            <w:tcBorders>
              <w:bottom w:val="single" w:sz="4" w:space="0" w:color="auto"/>
            </w:tcBorders>
          </w:tcPr>
          <w:p w14:paraId="1BE6162F" w14:textId="77777777" w:rsidR="00FA31D4" w:rsidRPr="0071186E" w:rsidRDefault="00FA31D4">
            <w:pPr>
              <w:ind w:left="14" w:right="-67"/>
              <w:rPr>
                <w:lang w:val="en-CA"/>
              </w:rPr>
            </w:pPr>
          </w:p>
        </w:tc>
      </w:tr>
      <w:tr w:rsidR="00B97944" w:rsidRPr="000B0B1F" w14:paraId="59537E82" w14:textId="77777777" w:rsidTr="002E2743">
        <w:tc>
          <w:tcPr>
            <w:tcW w:w="9505" w:type="dxa"/>
            <w:gridSpan w:val="3"/>
            <w:tcBorders>
              <w:top w:val="single" w:sz="4" w:space="0" w:color="auto"/>
            </w:tcBorders>
          </w:tcPr>
          <w:p w14:paraId="110DCBE3" w14:textId="77777777" w:rsidR="00B97944" w:rsidRPr="0071186E" w:rsidRDefault="00B97944" w:rsidP="002E2743">
            <w:pPr>
              <w:jc w:val="center"/>
              <w:rPr>
                <w:lang w:val="en-CA"/>
              </w:rPr>
            </w:pPr>
          </w:p>
        </w:tc>
      </w:tr>
      <w:tr w:rsidR="00B97944" w:rsidRPr="00BB297F" w14:paraId="0BC3A40F" w14:textId="77777777" w:rsidTr="002E2743">
        <w:tc>
          <w:tcPr>
            <w:tcW w:w="9505" w:type="dxa"/>
            <w:gridSpan w:val="3"/>
          </w:tcPr>
          <w:p w14:paraId="73292028" w14:textId="7B86D22E" w:rsidR="00B97944" w:rsidRPr="0071186E" w:rsidRDefault="00246D8F" w:rsidP="00E6773D">
            <w:pPr>
              <w:pStyle w:val="zSoquijlblTypeDocument"/>
              <w:rPr>
                <w:b/>
                <w:bCs/>
                <w:lang w:val="en-CA"/>
              </w:rPr>
            </w:pPr>
            <w:r>
              <w:rPr>
                <w:b/>
                <w:bCs/>
                <w:lang w:val="en-CA" w:bidi="en-CA"/>
              </w:rPr>
              <w:t xml:space="preserve">PRESIDING: </w:t>
            </w:r>
            <w:r w:rsidR="00E45741" w:rsidRPr="0071186E">
              <w:rPr>
                <w:b/>
                <w:bCs/>
                <w:lang w:val="en-CA" w:bidi="en-CA"/>
              </w:rPr>
              <w:t>THE HONOURABLE ERIC DOWNS, J</w:t>
            </w:r>
            <w:r w:rsidR="00E071EE" w:rsidRPr="0071186E">
              <w:rPr>
                <w:b/>
                <w:bCs/>
                <w:lang w:val="en-CA" w:bidi="en-CA"/>
              </w:rPr>
              <w:t>.</w:t>
            </w:r>
            <w:r w:rsidR="00E45741" w:rsidRPr="0071186E">
              <w:rPr>
                <w:b/>
                <w:bCs/>
                <w:lang w:val="en-CA" w:bidi="en-CA"/>
              </w:rPr>
              <w:t>S</w:t>
            </w:r>
            <w:r w:rsidR="00E071EE" w:rsidRPr="0071186E">
              <w:rPr>
                <w:b/>
                <w:bCs/>
                <w:lang w:val="en-CA" w:bidi="en-CA"/>
              </w:rPr>
              <w:t>.C.</w:t>
            </w:r>
          </w:p>
        </w:tc>
      </w:tr>
      <w:tr w:rsidR="00B97944" w:rsidRPr="00BB297F" w14:paraId="2E6E1877" w14:textId="77777777" w:rsidTr="002E2743">
        <w:tc>
          <w:tcPr>
            <w:tcW w:w="9505" w:type="dxa"/>
            <w:gridSpan w:val="3"/>
            <w:tcBorders>
              <w:bottom w:val="single" w:sz="4" w:space="0" w:color="auto"/>
            </w:tcBorders>
          </w:tcPr>
          <w:p w14:paraId="6B797AEF" w14:textId="77777777" w:rsidR="00B97944" w:rsidRPr="0071186E" w:rsidRDefault="00B97944" w:rsidP="002E2743">
            <w:pPr>
              <w:ind w:left="14" w:right="-70"/>
              <w:rPr>
                <w:lang w:val="en-CA"/>
              </w:rPr>
            </w:pPr>
          </w:p>
        </w:tc>
      </w:tr>
      <w:tr w:rsidR="005154AF" w:rsidRPr="00BB297F" w14:paraId="44B8B9CA" w14:textId="77777777" w:rsidTr="00563ADC">
        <w:tc>
          <w:tcPr>
            <w:tcW w:w="9505" w:type="dxa"/>
            <w:gridSpan w:val="3"/>
          </w:tcPr>
          <w:p w14:paraId="07FB09EF" w14:textId="77777777" w:rsidR="00563ADC" w:rsidRPr="0071186E" w:rsidRDefault="00563ADC">
            <w:pPr>
              <w:pStyle w:val="zSoquijlblTitrePartie"/>
              <w:rPr>
                <w:lang w:val="en-CA"/>
              </w:rPr>
            </w:pPr>
          </w:p>
        </w:tc>
      </w:tr>
      <w:tr w:rsidR="005154AF" w:rsidRPr="00BB297F" w14:paraId="3E0BD3F7" w14:textId="77777777" w:rsidTr="00563ADC">
        <w:tc>
          <w:tcPr>
            <w:tcW w:w="9505" w:type="dxa"/>
            <w:gridSpan w:val="3"/>
          </w:tcPr>
          <w:p w14:paraId="7DBC5B69" w14:textId="77777777" w:rsidR="00D760DA" w:rsidRPr="0071186E" w:rsidRDefault="00D760DA" w:rsidP="00DF6C56">
            <w:pPr>
              <w:pStyle w:val="zSoquijlblTitrePartie"/>
              <w:rPr>
                <w:lang w:val="en-CA"/>
              </w:rPr>
            </w:pPr>
          </w:p>
        </w:tc>
      </w:tr>
      <w:tr w:rsidR="005154AF" w:rsidRPr="000B0B1F" w14:paraId="40463BEC" w14:textId="77777777" w:rsidTr="0055409D">
        <w:tc>
          <w:tcPr>
            <w:tcW w:w="9505" w:type="dxa"/>
            <w:gridSpan w:val="3"/>
          </w:tcPr>
          <w:p w14:paraId="66CF7847" w14:textId="77777777" w:rsidR="00D760DA" w:rsidRPr="0071186E" w:rsidRDefault="00E45741" w:rsidP="0055409D">
            <w:pPr>
              <w:pStyle w:val="zSoquijdatNomPartieDem"/>
              <w:rPr>
                <w:lang w:val="en-CA"/>
              </w:rPr>
            </w:pPr>
            <w:r w:rsidRPr="0071186E">
              <w:rPr>
                <w:lang w:val="en-CA"/>
              </w:rPr>
              <w:t>HER</w:t>
            </w:r>
            <w:r w:rsidR="00B97944" w:rsidRPr="0071186E">
              <w:rPr>
                <w:lang w:val="en-CA"/>
              </w:rPr>
              <w:t xml:space="preserve"> MAJESTY THE QUEEN</w:t>
            </w:r>
          </w:p>
        </w:tc>
      </w:tr>
      <w:tr w:rsidR="005154AF" w:rsidRPr="000B0B1F" w14:paraId="773F8132" w14:textId="77777777" w:rsidTr="0055409D">
        <w:tc>
          <w:tcPr>
            <w:tcW w:w="9505" w:type="dxa"/>
            <w:gridSpan w:val="3"/>
          </w:tcPr>
          <w:p w14:paraId="61759770" w14:textId="7E3A3A60" w:rsidR="00D760DA" w:rsidRPr="0071186E" w:rsidRDefault="00E45741" w:rsidP="0055409D">
            <w:pPr>
              <w:pStyle w:val="zSoquijdatQtePartieDem"/>
              <w:rPr>
                <w:lang w:val="en-CA"/>
              </w:rPr>
            </w:pPr>
            <w:r w:rsidRPr="0071186E">
              <w:rPr>
                <w:lang w:val="en-CA"/>
              </w:rPr>
              <w:t>Prosecut</w:t>
            </w:r>
            <w:r w:rsidR="00246D8F">
              <w:rPr>
                <w:lang w:val="en-CA"/>
              </w:rPr>
              <w:t>rix</w:t>
            </w:r>
            <w:r w:rsidRPr="0071186E">
              <w:rPr>
                <w:lang w:val="en-CA"/>
              </w:rPr>
              <w:t xml:space="preserve"> </w:t>
            </w:r>
          </w:p>
        </w:tc>
      </w:tr>
      <w:tr w:rsidR="005154AF" w:rsidRPr="000B0B1F" w14:paraId="3C8E0B96" w14:textId="77777777" w:rsidTr="0055409D">
        <w:tc>
          <w:tcPr>
            <w:tcW w:w="9505" w:type="dxa"/>
            <w:gridSpan w:val="3"/>
          </w:tcPr>
          <w:p w14:paraId="5A4C4F60" w14:textId="77777777" w:rsidR="00D760DA" w:rsidRPr="0071186E" w:rsidRDefault="00DF6C56" w:rsidP="0055409D">
            <w:pPr>
              <w:pStyle w:val="zSoquijlblLienParties"/>
              <w:rPr>
                <w:lang w:val="en-CA"/>
              </w:rPr>
            </w:pPr>
            <w:r w:rsidRPr="0071186E">
              <w:rPr>
                <w:lang w:val="en-CA"/>
              </w:rPr>
              <w:t>v</w:t>
            </w:r>
            <w:r w:rsidR="00F53A14" w:rsidRPr="0071186E">
              <w:rPr>
                <w:lang w:val="en-CA"/>
              </w:rPr>
              <w:t>.</w:t>
            </w:r>
          </w:p>
        </w:tc>
      </w:tr>
      <w:tr w:rsidR="00B97944" w:rsidRPr="000B0B1F" w14:paraId="561ABDE2" w14:textId="77777777" w:rsidTr="0055409D">
        <w:tc>
          <w:tcPr>
            <w:tcW w:w="9505" w:type="dxa"/>
            <w:gridSpan w:val="3"/>
          </w:tcPr>
          <w:p w14:paraId="305F610B" w14:textId="77777777" w:rsidR="00B97944" w:rsidRPr="0071186E" w:rsidRDefault="00B97944" w:rsidP="0055409D">
            <w:pPr>
              <w:pStyle w:val="zSoquijlblLienParties"/>
              <w:rPr>
                <w:lang w:val="en-CA"/>
              </w:rPr>
            </w:pPr>
          </w:p>
        </w:tc>
      </w:tr>
      <w:tr w:rsidR="005154AF" w:rsidRPr="0071186E" w14:paraId="42C87E9E" w14:textId="77777777" w:rsidTr="0055409D">
        <w:tc>
          <w:tcPr>
            <w:tcW w:w="9505" w:type="dxa"/>
            <w:gridSpan w:val="3"/>
          </w:tcPr>
          <w:p w14:paraId="5AF36D9A" w14:textId="77777777" w:rsidR="00D760DA" w:rsidRPr="00D71CA8" w:rsidRDefault="00B97944" w:rsidP="0055409D">
            <w:pPr>
              <w:pStyle w:val="zSoquijdatNomPartieDem"/>
            </w:pPr>
            <w:r w:rsidRPr="00D71CA8">
              <w:t>SNC-Lavalin Inc.</w:t>
            </w:r>
          </w:p>
          <w:p w14:paraId="47C0995E" w14:textId="77777777" w:rsidR="00D760DA" w:rsidRPr="00D71CA8" w:rsidRDefault="00B97944" w:rsidP="00B97944">
            <w:pPr>
              <w:pStyle w:val="zSoquijdatNomPartieDem"/>
            </w:pPr>
            <w:r w:rsidRPr="00D71CA8">
              <w:t>SNC-Lavalin International Inc.</w:t>
            </w:r>
          </w:p>
        </w:tc>
      </w:tr>
      <w:tr w:rsidR="005154AF" w:rsidRPr="0071186E" w14:paraId="5BD597D0" w14:textId="77777777" w:rsidTr="0055409D">
        <w:tc>
          <w:tcPr>
            <w:tcW w:w="9505" w:type="dxa"/>
            <w:gridSpan w:val="3"/>
          </w:tcPr>
          <w:p w14:paraId="20AE5A94" w14:textId="77777777" w:rsidR="00D760DA" w:rsidRPr="0071186E" w:rsidRDefault="00E45741" w:rsidP="0055409D">
            <w:pPr>
              <w:pStyle w:val="zSoquijdatQtePartieDef"/>
              <w:rPr>
                <w:lang w:val="en-CA"/>
              </w:rPr>
            </w:pPr>
            <w:r w:rsidRPr="0071186E">
              <w:rPr>
                <w:lang w:val="en-CA"/>
              </w:rPr>
              <w:t>Accused</w:t>
            </w:r>
          </w:p>
        </w:tc>
      </w:tr>
      <w:tr w:rsidR="00B97944" w:rsidRPr="0071186E" w14:paraId="7302C7E5" w14:textId="77777777" w:rsidTr="0055409D">
        <w:tc>
          <w:tcPr>
            <w:tcW w:w="9505" w:type="dxa"/>
            <w:gridSpan w:val="3"/>
          </w:tcPr>
          <w:p w14:paraId="09AAA82F" w14:textId="77777777" w:rsidR="00B97944" w:rsidRPr="0071186E" w:rsidRDefault="00B97944" w:rsidP="0055409D">
            <w:pPr>
              <w:pStyle w:val="zSoquijdatQtePartieDef"/>
              <w:rPr>
                <w:lang w:val="en-CA"/>
              </w:rPr>
            </w:pPr>
          </w:p>
        </w:tc>
      </w:tr>
      <w:tr w:rsidR="005154AF" w:rsidRPr="0071186E" w14:paraId="54BEFC9D" w14:textId="77777777" w:rsidTr="005A75E2">
        <w:tc>
          <w:tcPr>
            <w:tcW w:w="9505" w:type="dxa"/>
            <w:gridSpan w:val="3"/>
            <w:tcBorders>
              <w:top w:val="single" w:sz="4" w:space="0" w:color="auto"/>
            </w:tcBorders>
          </w:tcPr>
          <w:p w14:paraId="4CBB9E91" w14:textId="77777777" w:rsidR="00FA31D4" w:rsidRPr="0071186E" w:rsidRDefault="00FA31D4">
            <w:pPr>
              <w:jc w:val="center"/>
              <w:rPr>
                <w:lang w:val="en-CA"/>
              </w:rPr>
            </w:pPr>
          </w:p>
        </w:tc>
      </w:tr>
      <w:tr w:rsidR="005154AF" w:rsidRPr="00BB297F" w14:paraId="6AEA4773" w14:textId="77777777" w:rsidTr="005A75E2">
        <w:tc>
          <w:tcPr>
            <w:tcW w:w="9505" w:type="dxa"/>
            <w:gridSpan w:val="3"/>
          </w:tcPr>
          <w:p w14:paraId="3DEDE801" w14:textId="77777777" w:rsidR="00D5514B" w:rsidRPr="0071186E" w:rsidRDefault="00E45741" w:rsidP="00871DB3">
            <w:pPr>
              <w:pStyle w:val="zSoquijlblTypeDocument"/>
              <w:rPr>
                <w:b/>
                <w:bCs/>
                <w:lang w:val="en-CA"/>
              </w:rPr>
            </w:pPr>
            <w:r w:rsidRPr="0071186E">
              <w:rPr>
                <w:b/>
                <w:bCs/>
                <w:lang w:val="en-CA" w:bidi="en-CA"/>
              </w:rPr>
              <w:t xml:space="preserve">JUDGMENT ON THE APPLICATION FOR AN ORDER </w:t>
            </w:r>
            <w:r w:rsidR="00E071EE" w:rsidRPr="0071186E">
              <w:rPr>
                <w:b/>
                <w:bCs/>
                <w:lang w:val="en-CA" w:bidi="en-CA"/>
              </w:rPr>
              <w:br/>
            </w:r>
            <w:r w:rsidR="00871DB3">
              <w:rPr>
                <w:b/>
                <w:bCs/>
                <w:lang w:val="en-CA" w:bidi="en-CA"/>
              </w:rPr>
              <w:t>APPROVING</w:t>
            </w:r>
            <w:r w:rsidRPr="0071186E">
              <w:rPr>
                <w:b/>
                <w:bCs/>
                <w:lang w:val="en-CA" w:bidi="en-CA"/>
              </w:rPr>
              <w:t xml:space="preserve"> A REMEDIATION AGREEMENT</w:t>
            </w:r>
          </w:p>
        </w:tc>
      </w:tr>
      <w:tr w:rsidR="005154AF" w:rsidRPr="00BB297F" w14:paraId="53217ECB" w14:textId="77777777" w:rsidTr="005A75E2">
        <w:tc>
          <w:tcPr>
            <w:tcW w:w="9505" w:type="dxa"/>
            <w:gridSpan w:val="3"/>
            <w:tcBorders>
              <w:bottom w:val="single" w:sz="4" w:space="0" w:color="auto"/>
            </w:tcBorders>
          </w:tcPr>
          <w:p w14:paraId="38C405DB" w14:textId="77777777" w:rsidR="00FA31D4" w:rsidRPr="0071186E" w:rsidRDefault="00FA31D4">
            <w:pPr>
              <w:ind w:left="14" w:right="-70"/>
              <w:rPr>
                <w:lang w:val="en-CA"/>
              </w:rPr>
            </w:pPr>
          </w:p>
        </w:tc>
      </w:tr>
      <w:tr w:rsidR="005154AF" w:rsidRPr="00BB297F" w14:paraId="6ADDC375" w14:textId="77777777" w:rsidTr="005A75E2">
        <w:tc>
          <w:tcPr>
            <w:tcW w:w="9505" w:type="dxa"/>
            <w:gridSpan w:val="3"/>
            <w:tcBorders>
              <w:top w:val="single" w:sz="4" w:space="0" w:color="auto"/>
            </w:tcBorders>
          </w:tcPr>
          <w:p w14:paraId="470A2297" w14:textId="77777777" w:rsidR="00FA31D4" w:rsidRPr="0071186E" w:rsidRDefault="00FA31D4">
            <w:pPr>
              <w:rPr>
                <w:lang w:val="en-CA"/>
              </w:rPr>
            </w:pPr>
          </w:p>
        </w:tc>
      </w:tr>
    </w:tbl>
    <w:p w14:paraId="58A06014" w14:textId="77777777" w:rsidR="00D0175D" w:rsidRPr="0071186E" w:rsidRDefault="00E45741" w:rsidP="00FD42DA">
      <w:pPr>
        <w:pStyle w:val="Corpsdetexte"/>
        <w:rPr>
          <w:lang w:val="en-CA"/>
        </w:rPr>
      </w:pPr>
      <w:r w:rsidRPr="00895880">
        <w:rPr>
          <w:lang w:val="en-CA" w:bidi="en-CA"/>
        </w:rPr>
        <w:t>THIS JUDGMENT CONTAINS A TEM</w:t>
      </w:r>
      <w:bookmarkStart w:id="0" w:name="_GoBack"/>
      <w:bookmarkEnd w:id="0"/>
      <w:r w:rsidRPr="00895880">
        <w:rPr>
          <w:lang w:val="en-CA" w:bidi="en-CA"/>
        </w:rPr>
        <w:t xml:space="preserve">PORARY AND PARTIAL </w:t>
      </w:r>
      <w:r w:rsidR="00E071EE" w:rsidRPr="00895880">
        <w:rPr>
          <w:lang w:val="en-CA" w:bidi="en-CA"/>
        </w:rPr>
        <w:t xml:space="preserve">ORDER PROHIBITING </w:t>
      </w:r>
      <w:r w:rsidRPr="00895880">
        <w:rPr>
          <w:lang w:val="en-CA" w:bidi="en-CA"/>
        </w:rPr>
        <w:t>THE PUBLICATION, BROADCASTING AND TRANSMISSION OF CERTAIN INFORMATION RELATING TO A CO-ACCUSED IN CASE</w:t>
      </w:r>
      <w:r w:rsidRPr="0071186E">
        <w:rPr>
          <w:lang w:val="en-CA" w:bidi="en-CA"/>
        </w:rPr>
        <w:t> No. 500-01-223556-215 AS WELL AS TO AN ACCUSED IN RELATED CASE No. 500</w:t>
      </w:r>
      <w:r w:rsidRPr="0071186E">
        <w:rPr>
          <w:lang w:val="en-CA" w:bidi="en-CA"/>
        </w:rPr>
        <w:noBreakHyphen/>
        <w:t>01</w:t>
      </w:r>
      <w:r w:rsidRPr="0071186E">
        <w:rPr>
          <w:lang w:val="en-CA" w:bidi="en-CA"/>
        </w:rPr>
        <w:noBreakHyphen/>
        <w:t>223557</w:t>
      </w:r>
      <w:r w:rsidRPr="0071186E">
        <w:rPr>
          <w:lang w:val="en-CA" w:bidi="en-CA"/>
        </w:rPr>
        <w:noBreakHyphen/>
        <w:t xml:space="preserve">213, AND THIS UNTIL THE JURY IS SEQUESTERED OR UNTIL THE COURT ORDERS OTHERWISE. </w:t>
      </w:r>
      <w:r w:rsidRPr="00895880">
        <w:rPr>
          <w:b/>
          <w:highlight w:val="darkGray"/>
          <w:lang w:val="en-CA" w:bidi="en-CA"/>
        </w:rPr>
        <w:t>Editor’s note: Publication, broadcasting or transmission of highlighted portions is prohibited</w:t>
      </w:r>
    </w:p>
    <w:p w14:paraId="1B92D3C8" w14:textId="77777777" w:rsidR="00FD42DA" w:rsidRPr="00FE1823" w:rsidRDefault="00FD42DA" w:rsidP="00FD42DA">
      <w:pPr>
        <w:jc w:val="center"/>
        <w:rPr>
          <w:lang w:val="en-CA"/>
        </w:rPr>
      </w:pPr>
      <w:r w:rsidRPr="0071186E">
        <w:rPr>
          <w:lang w:val="en-CA"/>
        </w:rPr>
        <w:br w:type="page"/>
      </w:r>
      <w:r w:rsidRPr="00FE1823">
        <w:rPr>
          <w:lang w:val="en-CA"/>
        </w:rPr>
        <w:lastRenderedPageBreak/>
        <w:t>Table of Contents</w:t>
      </w:r>
    </w:p>
    <w:p w14:paraId="6AD36470" w14:textId="77777777" w:rsidR="00FD42DA" w:rsidRPr="00FE1823" w:rsidRDefault="00FD42DA" w:rsidP="00FD42DA">
      <w:pPr>
        <w:rPr>
          <w:lang w:val="en-CA"/>
        </w:rPr>
      </w:pPr>
    </w:p>
    <w:p w14:paraId="3CB2A18F" w14:textId="39E39F00" w:rsidR="00052337" w:rsidRDefault="001E6FC4">
      <w:pPr>
        <w:pStyle w:val="TM1"/>
        <w:rPr>
          <w:rFonts w:asciiTheme="minorHAnsi" w:eastAsiaTheme="minorEastAsia" w:hAnsiTheme="minorHAnsi" w:cstheme="minorBidi"/>
          <w:noProof/>
          <w:sz w:val="22"/>
          <w:szCs w:val="22"/>
          <w:lang w:eastAsia="fr-CA"/>
        </w:rPr>
      </w:pPr>
      <w:r w:rsidRPr="00FE1823">
        <w:rPr>
          <w:lang w:val="en-CA"/>
        </w:rPr>
        <w:fldChar w:fldCharType="begin"/>
      </w:r>
      <w:r w:rsidRPr="00FE1823">
        <w:rPr>
          <w:lang w:val="en-CA"/>
        </w:rPr>
        <w:instrText xml:space="preserve"> TOC \h \z \t "Titre 1;1;Titre 2;2;Titre 3;3;Titre 6;3" </w:instrText>
      </w:r>
      <w:r w:rsidRPr="00FE1823">
        <w:rPr>
          <w:lang w:val="en-CA"/>
        </w:rPr>
        <w:fldChar w:fldCharType="separate"/>
      </w:r>
      <w:hyperlink w:anchor="_Toc109310840" w:history="1">
        <w:r w:rsidR="00052337" w:rsidRPr="007C356D">
          <w:rPr>
            <w:rStyle w:val="Lienhypertexte"/>
            <w:noProof/>
            <w:lang w:val="en-CA"/>
          </w:rPr>
          <w:t>OVERVIEW</w:t>
        </w:r>
        <w:r w:rsidR="00052337">
          <w:rPr>
            <w:noProof/>
            <w:webHidden/>
          </w:rPr>
          <w:tab/>
        </w:r>
        <w:r w:rsidR="00052337">
          <w:rPr>
            <w:noProof/>
            <w:webHidden/>
          </w:rPr>
          <w:fldChar w:fldCharType="begin"/>
        </w:r>
        <w:r w:rsidR="00052337">
          <w:rPr>
            <w:noProof/>
            <w:webHidden/>
          </w:rPr>
          <w:instrText xml:space="preserve"> PAGEREF _Toc109310840 \h </w:instrText>
        </w:r>
        <w:r w:rsidR="00052337">
          <w:rPr>
            <w:noProof/>
            <w:webHidden/>
          </w:rPr>
        </w:r>
        <w:r w:rsidR="00052337">
          <w:rPr>
            <w:noProof/>
            <w:webHidden/>
          </w:rPr>
          <w:fldChar w:fldCharType="separate"/>
        </w:r>
        <w:r w:rsidR="00052337">
          <w:rPr>
            <w:noProof/>
            <w:webHidden/>
          </w:rPr>
          <w:t>4</w:t>
        </w:r>
        <w:r w:rsidR="00052337">
          <w:rPr>
            <w:noProof/>
            <w:webHidden/>
          </w:rPr>
          <w:fldChar w:fldCharType="end"/>
        </w:r>
      </w:hyperlink>
    </w:p>
    <w:p w14:paraId="2BECBE7F" w14:textId="1735C405" w:rsidR="00052337" w:rsidRDefault="00285AD8">
      <w:pPr>
        <w:pStyle w:val="TM1"/>
        <w:rPr>
          <w:rFonts w:asciiTheme="minorHAnsi" w:eastAsiaTheme="minorEastAsia" w:hAnsiTheme="minorHAnsi" w:cstheme="minorBidi"/>
          <w:noProof/>
          <w:sz w:val="22"/>
          <w:szCs w:val="22"/>
          <w:lang w:eastAsia="fr-CA"/>
        </w:rPr>
      </w:pPr>
      <w:hyperlink w:anchor="_Toc109310841" w:history="1">
        <w:r w:rsidR="00052337" w:rsidRPr="007C356D">
          <w:rPr>
            <w:rStyle w:val="Lienhypertexte"/>
            <w:noProof/>
            <w:lang w:val="en-CA"/>
          </w:rPr>
          <w:t>CONTEXT</w:t>
        </w:r>
        <w:r w:rsidR="00052337">
          <w:rPr>
            <w:noProof/>
            <w:webHidden/>
          </w:rPr>
          <w:tab/>
        </w:r>
        <w:r w:rsidR="00052337">
          <w:rPr>
            <w:noProof/>
            <w:webHidden/>
          </w:rPr>
          <w:fldChar w:fldCharType="begin"/>
        </w:r>
        <w:r w:rsidR="00052337">
          <w:rPr>
            <w:noProof/>
            <w:webHidden/>
          </w:rPr>
          <w:instrText xml:space="preserve"> PAGEREF _Toc109310841 \h </w:instrText>
        </w:r>
        <w:r w:rsidR="00052337">
          <w:rPr>
            <w:noProof/>
            <w:webHidden/>
          </w:rPr>
        </w:r>
        <w:r w:rsidR="00052337">
          <w:rPr>
            <w:noProof/>
            <w:webHidden/>
          </w:rPr>
          <w:fldChar w:fldCharType="separate"/>
        </w:r>
        <w:r w:rsidR="00052337">
          <w:rPr>
            <w:noProof/>
            <w:webHidden/>
          </w:rPr>
          <w:t>7</w:t>
        </w:r>
        <w:r w:rsidR="00052337">
          <w:rPr>
            <w:noProof/>
            <w:webHidden/>
          </w:rPr>
          <w:fldChar w:fldCharType="end"/>
        </w:r>
      </w:hyperlink>
    </w:p>
    <w:p w14:paraId="3454D5EB" w14:textId="5DB69DC4" w:rsidR="00052337" w:rsidRDefault="00285AD8">
      <w:pPr>
        <w:pStyle w:val="TM2"/>
        <w:rPr>
          <w:rFonts w:asciiTheme="minorHAnsi" w:eastAsiaTheme="minorEastAsia" w:hAnsiTheme="minorHAnsi" w:cstheme="minorBidi"/>
          <w:noProof/>
          <w:sz w:val="22"/>
          <w:szCs w:val="22"/>
          <w:lang w:eastAsia="fr-CA"/>
        </w:rPr>
      </w:pPr>
      <w:hyperlink w:anchor="_Toc109310842" w:history="1">
        <w:r w:rsidR="00052337" w:rsidRPr="007C356D">
          <w:rPr>
            <w:rStyle w:val="Lienhypertexte"/>
            <w:noProof/>
            <w:lang w:val="en-CA"/>
          </w:rPr>
          <w:t>A.</w:t>
        </w:r>
        <w:r w:rsidR="00052337">
          <w:rPr>
            <w:rFonts w:asciiTheme="minorHAnsi" w:eastAsiaTheme="minorEastAsia" w:hAnsiTheme="minorHAnsi" w:cstheme="minorBidi"/>
            <w:noProof/>
            <w:sz w:val="22"/>
            <w:szCs w:val="22"/>
            <w:lang w:eastAsia="fr-CA"/>
          </w:rPr>
          <w:tab/>
        </w:r>
        <w:r w:rsidR="00052337" w:rsidRPr="007C356D">
          <w:rPr>
            <w:rStyle w:val="Lienhypertexte"/>
            <w:noProof/>
            <w:lang w:val="en-CA" w:bidi="en-CA"/>
          </w:rPr>
          <w:t>The files on the merits</w:t>
        </w:r>
        <w:r w:rsidR="00052337">
          <w:rPr>
            <w:noProof/>
            <w:webHidden/>
          </w:rPr>
          <w:tab/>
        </w:r>
        <w:r w:rsidR="00052337">
          <w:rPr>
            <w:noProof/>
            <w:webHidden/>
          </w:rPr>
          <w:fldChar w:fldCharType="begin"/>
        </w:r>
        <w:r w:rsidR="00052337">
          <w:rPr>
            <w:noProof/>
            <w:webHidden/>
          </w:rPr>
          <w:instrText xml:space="preserve"> PAGEREF _Toc109310842 \h </w:instrText>
        </w:r>
        <w:r w:rsidR="00052337">
          <w:rPr>
            <w:noProof/>
            <w:webHidden/>
          </w:rPr>
        </w:r>
        <w:r w:rsidR="00052337">
          <w:rPr>
            <w:noProof/>
            <w:webHidden/>
          </w:rPr>
          <w:fldChar w:fldCharType="separate"/>
        </w:r>
        <w:r w:rsidR="00052337">
          <w:rPr>
            <w:noProof/>
            <w:webHidden/>
          </w:rPr>
          <w:t>7</w:t>
        </w:r>
        <w:r w:rsidR="00052337">
          <w:rPr>
            <w:noProof/>
            <w:webHidden/>
          </w:rPr>
          <w:fldChar w:fldCharType="end"/>
        </w:r>
      </w:hyperlink>
    </w:p>
    <w:p w14:paraId="359F72A9" w14:textId="339245B5" w:rsidR="00052337" w:rsidRDefault="00285AD8">
      <w:pPr>
        <w:pStyle w:val="TM2"/>
        <w:rPr>
          <w:rFonts w:asciiTheme="minorHAnsi" w:eastAsiaTheme="minorEastAsia" w:hAnsiTheme="minorHAnsi" w:cstheme="minorBidi"/>
          <w:noProof/>
          <w:sz w:val="22"/>
          <w:szCs w:val="22"/>
          <w:lang w:eastAsia="fr-CA"/>
        </w:rPr>
      </w:pPr>
      <w:hyperlink w:anchor="_Toc109310843" w:history="1">
        <w:r w:rsidR="00052337" w:rsidRPr="007C356D">
          <w:rPr>
            <w:rStyle w:val="Lienhypertexte"/>
            <w:noProof/>
            <w:lang w:val="en-CA"/>
          </w:rPr>
          <w:t>B.</w:t>
        </w:r>
        <w:r w:rsidR="00052337">
          <w:rPr>
            <w:rFonts w:asciiTheme="minorHAnsi" w:eastAsiaTheme="minorEastAsia" w:hAnsiTheme="minorHAnsi" w:cstheme="minorBidi"/>
            <w:noProof/>
            <w:sz w:val="22"/>
            <w:szCs w:val="22"/>
            <w:lang w:eastAsia="fr-CA"/>
          </w:rPr>
          <w:tab/>
        </w:r>
        <w:r w:rsidR="00052337" w:rsidRPr="007C356D">
          <w:rPr>
            <w:rStyle w:val="Lienhypertexte"/>
            <w:noProof/>
            <w:lang w:val="en-CA" w:bidi="en-CA"/>
          </w:rPr>
          <w:t>Offer process and negotiations</w:t>
        </w:r>
        <w:r w:rsidR="00052337">
          <w:rPr>
            <w:noProof/>
            <w:webHidden/>
          </w:rPr>
          <w:tab/>
        </w:r>
        <w:r w:rsidR="00052337">
          <w:rPr>
            <w:noProof/>
            <w:webHidden/>
          </w:rPr>
          <w:fldChar w:fldCharType="begin"/>
        </w:r>
        <w:r w:rsidR="00052337">
          <w:rPr>
            <w:noProof/>
            <w:webHidden/>
          </w:rPr>
          <w:instrText xml:space="preserve"> PAGEREF _Toc109310843 \h </w:instrText>
        </w:r>
        <w:r w:rsidR="00052337">
          <w:rPr>
            <w:noProof/>
            <w:webHidden/>
          </w:rPr>
        </w:r>
        <w:r w:rsidR="00052337">
          <w:rPr>
            <w:noProof/>
            <w:webHidden/>
          </w:rPr>
          <w:fldChar w:fldCharType="separate"/>
        </w:r>
        <w:r w:rsidR="00052337">
          <w:rPr>
            <w:noProof/>
            <w:webHidden/>
          </w:rPr>
          <w:t>7</w:t>
        </w:r>
        <w:r w:rsidR="00052337">
          <w:rPr>
            <w:noProof/>
            <w:webHidden/>
          </w:rPr>
          <w:fldChar w:fldCharType="end"/>
        </w:r>
      </w:hyperlink>
    </w:p>
    <w:p w14:paraId="40FE9283" w14:textId="7150BB14" w:rsidR="00052337" w:rsidRDefault="00285AD8">
      <w:pPr>
        <w:pStyle w:val="TM2"/>
        <w:rPr>
          <w:rFonts w:asciiTheme="minorHAnsi" w:eastAsiaTheme="minorEastAsia" w:hAnsiTheme="minorHAnsi" w:cstheme="minorBidi"/>
          <w:noProof/>
          <w:sz w:val="22"/>
          <w:szCs w:val="22"/>
          <w:lang w:eastAsia="fr-CA"/>
        </w:rPr>
      </w:pPr>
      <w:hyperlink w:anchor="_Toc109310844" w:history="1">
        <w:r w:rsidR="00052337" w:rsidRPr="007C356D">
          <w:rPr>
            <w:rStyle w:val="Lienhypertexte"/>
            <w:noProof/>
            <w:lang w:val="en-CA"/>
          </w:rPr>
          <w:t>C.</w:t>
        </w:r>
        <w:r w:rsidR="00052337">
          <w:rPr>
            <w:rFonts w:asciiTheme="minorHAnsi" w:eastAsiaTheme="minorEastAsia" w:hAnsiTheme="minorHAnsi" w:cstheme="minorBidi"/>
            <w:noProof/>
            <w:sz w:val="22"/>
            <w:szCs w:val="22"/>
            <w:lang w:eastAsia="fr-CA"/>
          </w:rPr>
          <w:tab/>
        </w:r>
        <w:r w:rsidR="00052337" w:rsidRPr="007C356D">
          <w:rPr>
            <w:rStyle w:val="Lienhypertexte"/>
            <w:noProof/>
            <w:lang w:val="en-CA" w:bidi="en-CA"/>
          </w:rPr>
          <w:t>Prosecutor's application for the Draft Agreement’s approval</w:t>
        </w:r>
        <w:r w:rsidR="00052337">
          <w:rPr>
            <w:noProof/>
            <w:webHidden/>
          </w:rPr>
          <w:tab/>
        </w:r>
        <w:r w:rsidR="00052337">
          <w:rPr>
            <w:noProof/>
            <w:webHidden/>
          </w:rPr>
          <w:fldChar w:fldCharType="begin"/>
        </w:r>
        <w:r w:rsidR="00052337">
          <w:rPr>
            <w:noProof/>
            <w:webHidden/>
          </w:rPr>
          <w:instrText xml:space="preserve"> PAGEREF _Toc109310844 \h </w:instrText>
        </w:r>
        <w:r w:rsidR="00052337">
          <w:rPr>
            <w:noProof/>
            <w:webHidden/>
          </w:rPr>
        </w:r>
        <w:r w:rsidR="00052337">
          <w:rPr>
            <w:noProof/>
            <w:webHidden/>
          </w:rPr>
          <w:fldChar w:fldCharType="separate"/>
        </w:r>
        <w:r w:rsidR="00052337">
          <w:rPr>
            <w:noProof/>
            <w:webHidden/>
          </w:rPr>
          <w:t>9</w:t>
        </w:r>
        <w:r w:rsidR="00052337">
          <w:rPr>
            <w:noProof/>
            <w:webHidden/>
          </w:rPr>
          <w:fldChar w:fldCharType="end"/>
        </w:r>
      </w:hyperlink>
    </w:p>
    <w:p w14:paraId="0147929F" w14:textId="343D0A7B" w:rsidR="00052337" w:rsidRDefault="00285AD8">
      <w:pPr>
        <w:pStyle w:val="TM2"/>
        <w:rPr>
          <w:rFonts w:asciiTheme="minorHAnsi" w:eastAsiaTheme="minorEastAsia" w:hAnsiTheme="minorHAnsi" w:cstheme="minorBidi"/>
          <w:noProof/>
          <w:sz w:val="22"/>
          <w:szCs w:val="22"/>
          <w:lang w:eastAsia="fr-CA"/>
        </w:rPr>
      </w:pPr>
      <w:hyperlink w:anchor="_Toc109310845" w:history="1">
        <w:r w:rsidR="00052337" w:rsidRPr="007C356D">
          <w:rPr>
            <w:rStyle w:val="Lienhypertexte"/>
            <w:noProof/>
            <w:lang w:val="en-CA" w:bidi="en-CA"/>
          </w:rPr>
          <w:t>D.</w:t>
        </w:r>
        <w:r w:rsidR="00052337">
          <w:rPr>
            <w:rFonts w:asciiTheme="minorHAnsi" w:eastAsiaTheme="minorEastAsia" w:hAnsiTheme="minorHAnsi" w:cstheme="minorBidi"/>
            <w:noProof/>
            <w:sz w:val="22"/>
            <w:szCs w:val="22"/>
            <w:lang w:eastAsia="fr-CA"/>
          </w:rPr>
          <w:tab/>
        </w:r>
        <w:r w:rsidR="00052337" w:rsidRPr="007C356D">
          <w:rPr>
            <w:rStyle w:val="Lienhypertexte"/>
            <w:noProof/>
            <w:lang w:val="en-CA" w:bidi="en-CA"/>
          </w:rPr>
          <w:t xml:space="preserve">Temporary and Partial Anonymity, Confidentiality and </w:t>
        </w:r>
        <w:r w:rsidR="00052337" w:rsidRPr="00085EC5">
          <w:rPr>
            <w:rStyle w:val="Lienhypertexte"/>
            <w:i/>
            <w:noProof/>
            <w:lang w:val="en-CA" w:bidi="en-CA"/>
          </w:rPr>
          <w:t>In Camera</w:t>
        </w:r>
        <w:r w:rsidR="00052337" w:rsidRPr="007C356D">
          <w:rPr>
            <w:rStyle w:val="Lienhypertexte"/>
            <w:noProof/>
            <w:lang w:val="en-CA" w:bidi="en-CA"/>
          </w:rPr>
          <w:t xml:space="preserve"> Orders</w:t>
        </w:r>
        <w:r w:rsidR="00052337">
          <w:rPr>
            <w:noProof/>
            <w:webHidden/>
          </w:rPr>
          <w:tab/>
        </w:r>
        <w:r w:rsidR="00052337">
          <w:rPr>
            <w:noProof/>
            <w:webHidden/>
          </w:rPr>
          <w:fldChar w:fldCharType="begin"/>
        </w:r>
        <w:r w:rsidR="00052337">
          <w:rPr>
            <w:noProof/>
            <w:webHidden/>
          </w:rPr>
          <w:instrText xml:space="preserve"> PAGEREF _Toc109310845 \h </w:instrText>
        </w:r>
        <w:r w:rsidR="00052337">
          <w:rPr>
            <w:noProof/>
            <w:webHidden/>
          </w:rPr>
        </w:r>
        <w:r w:rsidR="00052337">
          <w:rPr>
            <w:noProof/>
            <w:webHidden/>
          </w:rPr>
          <w:fldChar w:fldCharType="separate"/>
        </w:r>
        <w:r w:rsidR="00052337">
          <w:rPr>
            <w:noProof/>
            <w:webHidden/>
          </w:rPr>
          <w:t>13</w:t>
        </w:r>
        <w:r w:rsidR="00052337">
          <w:rPr>
            <w:noProof/>
            <w:webHidden/>
          </w:rPr>
          <w:fldChar w:fldCharType="end"/>
        </w:r>
      </w:hyperlink>
    </w:p>
    <w:p w14:paraId="31D087DF" w14:textId="6B1C97AA" w:rsidR="00052337" w:rsidRDefault="00285AD8">
      <w:pPr>
        <w:pStyle w:val="TM2"/>
        <w:rPr>
          <w:rFonts w:asciiTheme="minorHAnsi" w:eastAsiaTheme="minorEastAsia" w:hAnsiTheme="minorHAnsi" w:cstheme="minorBidi"/>
          <w:noProof/>
          <w:sz w:val="22"/>
          <w:szCs w:val="22"/>
          <w:lang w:eastAsia="fr-CA"/>
        </w:rPr>
      </w:pPr>
      <w:hyperlink w:anchor="_Toc109310846" w:history="1">
        <w:r w:rsidR="00052337" w:rsidRPr="007C356D">
          <w:rPr>
            <w:rStyle w:val="Lienhypertexte"/>
            <w:noProof/>
            <w:lang w:val="en-CA" w:bidi="en-CA"/>
          </w:rPr>
          <w:t>E.</w:t>
        </w:r>
        <w:r w:rsidR="00052337">
          <w:rPr>
            <w:rFonts w:asciiTheme="minorHAnsi" w:eastAsiaTheme="minorEastAsia" w:hAnsiTheme="minorHAnsi" w:cstheme="minorBidi"/>
            <w:noProof/>
            <w:sz w:val="22"/>
            <w:szCs w:val="22"/>
            <w:lang w:eastAsia="fr-CA"/>
          </w:rPr>
          <w:tab/>
        </w:r>
        <w:r w:rsidR="00052337" w:rsidRPr="007C356D">
          <w:rPr>
            <w:rStyle w:val="Lienhypertexte"/>
            <w:noProof/>
            <w:lang w:val="en-CA" w:bidi="en-CA"/>
          </w:rPr>
          <w:t>Sealing of a document protected by settlement privilege</w:t>
        </w:r>
        <w:r w:rsidR="00052337">
          <w:rPr>
            <w:noProof/>
            <w:webHidden/>
          </w:rPr>
          <w:tab/>
        </w:r>
        <w:r w:rsidR="00052337">
          <w:rPr>
            <w:noProof/>
            <w:webHidden/>
          </w:rPr>
          <w:fldChar w:fldCharType="begin"/>
        </w:r>
        <w:r w:rsidR="00052337">
          <w:rPr>
            <w:noProof/>
            <w:webHidden/>
          </w:rPr>
          <w:instrText xml:space="preserve"> PAGEREF _Toc109310846 \h </w:instrText>
        </w:r>
        <w:r w:rsidR="00052337">
          <w:rPr>
            <w:noProof/>
            <w:webHidden/>
          </w:rPr>
        </w:r>
        <w:r w:rsidR="00052337">
          <w:rPr>
            <w:noProof/>
            <w:webHidden/>
          </w:rPr>
          <w:fldChar w:fldCharType="separate"/>
        </w:r>
        <w:r w:rsidR="00052337">
          <w:rPr>
            <w:noProof/>
            <w:webHidden/>
          </w:rPr>
          <w:t>15</w:t>
        </w:r>
        <w:r w:rsidR="00052337">
          <w:rPr>
            <w:noProof/>
            <w:webHidden/>
          </w:rPr>
          <w:fldChar w:fldCharType="end"/>
        </w:r>
      </w:hyperlink>
    </w:p>
    <w:p w14:paraId="27F95300" w14:textId="7D8872CD" w:rsidR="00052337" w:rsidRDefault="00285AD8">
      <w:pPr>
        <w:pStyle w:val="TM2"/>
        <w:rPr>
          <w:rFonts w:asciiTheme="minorHAnsi" w:eastAsiaTheme="minorEastAsia" w:hAnsiTheme="minorHAnsi" w:cstheme="minorBidi"/>
          <w:noProof/>
          <w:sz w:val="22"/>
          <w:szCs w:val="22"/>
          <w:lang w:eastAsia="fr-CA"/>
        </w:rPr>
      </w:pPr>
      <w:hyperlink w:anchor="_Toc109310847" w:history="1">
        <w:r w:rsidR="00052337" w:rsidRPr="007C356D">
          <w:rPr>
            <w:rStyle w:val="Lienhypertexte"/>
            <w:noProof/>
            <w:lang w:val="en-CA" w:bidi="en-CA"/>
          </w:rPr>
          <w:t>F.</w:t>
        </w:r>
        <w:r w:rsidR="00052337">
          <w:rPr>
            <w:rFonts w:asciiTheme="minorHAnsi" w:eastAsiaTheme="minorEastAsia" w:hAnsiTheme="minorHAnsi" w:cstheme="minorBidi"/>
            <w:noProof/>
            <w:sz w:val="22"/>
            <w:szCs w:val="22"/>
            <w:lang w:eastAsia="fr-CA"/>
          </w:rPr>
          <w:tab/>
        </w:r>
        <w:r w:rsidR="00052337" w:rsidRPr="007C356D">
          <w:rPr>
            <w:rStyle w:val="Lienhypertexte"/>
            <w:noProof/>
            <w:lang w:val="en-CA" w:bidi="en-CA"/>
          </w:rPr>
          <w:t>Publication, Broadcasting and Transmission Prohibition Order under s. 715.42 Cr. C.</w:t>
        </w:r>
        <w:r w:rsidR="00052337">
          <w:rPr>
            <w:noProof/>
            <w:webHidden/>
          </w:rPr>
          <w:tab/>
        </w:r>
        <w:r w:rsidR="00052337">
          <w:rPr>
            <w:noProof/>
            <w:webHidden/>
          </w:rPr>
          <w:fldChar w:fldCharType="begin"/>
        </w:r>
        <w:r w:rsidR="00052337">
          <w:rPr>
            <w:noProof/>
            <w:webHidden/>
          </w:rPr>
          <w:instrText xml:space="preserve"> PAGEREF _Toc109310847 \h </w:instrText>
        </w:r>
        <w:r w:rsidR="00052337">
          <w:rPr>
            <w:noProof/>
            <w:webHidden/>
          </w:rPr>
        </w:r>
        <w:r w:rsidR="00052337">
          <w:rPr>
            <w:noProof/>
            <w:webHidden/>
          </w:rPr>
          <w:fldChar w:fldCharType="separate"/>
        </w:r>
        <w:r w:rsidR="00052337">
          <w:rPr>
            <w:noProof/>
            <w:webHidden/>
          </w:rPr>
          <w:t>16</w:t>
        </w:r>
        <w:r w:rsidR="00052337">
          <w:rPr>
            <w:noProof/>
            <w:webHidden/>
          </w:rPr>
          <w:fldChar w:fldCharType="end"/>
        </w:r>
      </w:hyperlink>
    </w:p>
    <w:p w14:paraId="22F1F5F0" w14:textId="26AABEED" w:rsidR="00052337" w:rsidRDefault="00285AD8">
      <w:pPr>
        <w:pStyle w:val="TM3"/>
        <w:rPr>
          <w:rFonts w:asciiTheme="minorHAnsi" w:eastAsiaTheme="minorEastAsia" w:hAnsiTheme="minorHAnsi" w:cstheme="minorBidi"/>
          <w:noProof/>
          <w:sz w:val="22"/>
          <w:szCs w:val="22"/>
          <w:lang w:eastAsia="fr-CA"/>
        </w:rPr>
      </w:pPr>
      <w:hyperlink w:anchor="_Toc109310848" w:history="1">
        <w:r w:rsidR="00052337" w:rsidRPr="007C356D">
          <w:rPr>
            <w:rStyle w:val="Lienhypertexte"/>
            <w:noProof/>
            <w:lang w:val="en-CA" w:bidi="en-CA"/>
          </w:rPr>
          <w:t>(i)</w:t>
        </w:r>
        <w:r w:rsidR="00052337">
          <w:rPr>
            <w:rFonts w:asciiTheme="minorHAnsi" w:eastAsiaTheme="minorEastAsia" w:hAnsiTheme="minorHAnsi" w:cstheme="minorBidi"/>
            <w:noProof/>
            <w:sz w:val="22"/>
            <w:szCs w:val="22"/>
            <w:lang w:eastAsia="fr-CA"/>
          </w:rPr>
          <w:tab/>
        </w:r>
        <w:r w:rsidR="00052337" w:rsidRPr="007C356D">
          <w:rPr>
            <w:rStyle w:val="Lienhypertexte"/>
            <w:noProof/>
            <w:lang w:val="en-CA" w:bidi="en-CA"/>
          </w:rPr>
          <w:t>Application of the regime of s. 715.42 Cr. C.</w:t>
        </w:r>
        <w:r w:rsidR="00052337">
          <w:rPr>
            <w:noProof/>
            <w:webHidden/>
          </w:rPr>
          <w:tab/>
        </w:r>
        <w:r w:rsidR="00052337">
          <w:rPr>
            <w:noProof/>
            <w:webHidden/>
          </w:rPr>
          <w:fldChar w:fldCharType="begin"/>
        </w:r>
        <w:r w:rsidR="00052337">
          <w:rPr>
            <w:noProof/>
            <w:webHidden/>
          </w:rPr>
          <w:instrText xml:space="preserve"> PAGEREF _Toc109310848 \h </w:instrText>
        </w:r>
        <w:r w:rsidR="00052337">
          <w:rPr>
            <w:noProof/>
            <w:webHidden/>
          </w:rPr>
        </w:r>
        <w:r w:rsidR="00052337">
          <w:rPr>
            <w:noProof/>
            <w:webHidden/>
          </w:rPr>
          <w:fldChar w:fldCharType="separate"/>
        </w:r>
        <w:r w:rsidR="00052337">
          <w:rPr>
            <w:noProof/>
            <w:webHidden/>
          </w:rPr>
          <w:t>16</w:t>
        </w:r>
        <w:r w:rsidR="00052337">
          <w:rPr>
            <w:noProof/>
            <w:webHidden/>
          </w:rPr>
          <w:fldChar w:fldCharType="end"/>
        </w:r>
      </w:hyperlink>
    </w:p>
    <w:p w14:paraId="3774CC98" w14:textId="2727EF3D" w:rsidR="00052337" w:rsidRDefault="00285AD8">
      <w:pPr>
        <w:pStyle w:val="TM3"/>
        <w:rPr>
          <w:rFonts w:asciiTheme="minorHAnsi" w:eastAsiaTheme="minorEastAsia" w:hAnsiTheme="minorHAnsi" w:cstheme="minorBidi"/>
          <w:noProof/>
          <w:sz w:val="22"/>
          <w:szCs w:val="22"/>
          <w:lang w:eastAsia="fr-CA"/>
        </w:rPr>
      </w:pPr>
      <w:hyperlink w:anchor="_Toc109310849" w:history="1">
        <w:r w:rsidR="00052337" w:rsidRPr="007C356D">
          <w:rPr>
            <w:rStyle w:val="Lienhypertexte"/>
            <w:noProof/>
            <w:lang w:val="en-CA" w:bidi="en-CA"/>
          </w:rPr>
          <w:t>(ii)</w:t>
        </w:r>
        <w:r w:rsidR="00052337">
          <w:rPr>
            <w:rFonts w:asciiTheme="minorHAnsi" w:eastAsiaTheme="minorEastAsia" w:hAnsiTheme="minorHAnsi" w:cstheme="minorBidi"/>
            <w:noProof/>
            <w:sz w:val="22"/>
            <w:szCs w:val="22"/>
            <w:lang w:eastAsia="fr-CA"/>
          </w:rPr>
          <w:tab/>
        </w:r>
        <w:r w:rsidR="00052337" w:rsidRPr="007C356D">
          <w:rPr>
            <w:rStyle w:val="Lienhypertexte"/>
            <w:noProof/>
            <w:lang w:val="en-CA" w:bidi="en-CA"/>
          </w:rPr>
          <w:t>Prevention of any adverse effect to ongoing prosecutions (715.42(3)(c) Cr. C.)</w:t>
        </w:r>
        <w:r w:rsidR="00052337">
          <w:rPr>
            <w:noProof/>
            <w:webHidden/>
          </w:rPr>
          <w:tab/>
        </w:r>
        <w:r w:rsidR="00052337">
          <w:rPr>
            <w:noProof/>
            <w:webHidden/>
          </w:rPr>
          <w:fldChar w:fldCharType="begin"/>
        </w:r>
        <w:r w:rsidR="00052337">
          <w:rPr>
            <w:noProof/>
            <w:webHidden/>
          </w:rPr>
          <w:instrText xml:space="preserve"> PAGEREF _Toc109310849 \h </w:instrText>
        </w:r>
        <w:r w:rsidR="00052337">
          <w:rPr>
            <w:noProof/>
            <w:webHidden/>
          </w:rPr>
        </w:r>
        <w:r w:rsidR="00052337">
          <w:rPr>
            <w:noProof/>
            <w:webHidden/>
          </w:rPr>
          <w:fldChar w:fldCharType="separate"/>
        </w:r>
        <w:r w:rsidR="00052337">
          <w:rPr>
            <w:noProof/>
            <w:webHidden/>
          </w:rPr>
          <w:t>17</w:t>
        </w:r>
        <w:r w:rsidR="00052337">
          <w:rPr>
            <w:noProof/>
            <w:webHidden/>
          </w:rPr>
          <w:fldChar w:fldCharType="end"/>
        </w:r>
      </w:hyperlink>
    </w:p>
    <w:p w14:paraId="16D9C198" w14:textId="2AEC47B5" w:rsidR="00052337" w:rsidRDefault="00285AD8">
      <w:pPr>
        <w:pStyle w:val="TM1"/>
        <w:rPr>
          <w:rFonts w:asciiTheme="minorHAnsi" w:eastAsiaTheme="minorEastAsia" w:hAnsiTheme="minorHAnsi" w:cstheme="minorBidi"/>
          <w:noProof/>
          <w:sz w:val="22"/>
          <w:szCs w:val="22"/>
          <w:lang w:eastAsia="fr-CA"/>
        </w:rPr>
      </w:pPr>
      <w:hyperlink w:anchor="_Toc109310850" w:history="1">
        <w:r w:rsidR="00052337" w:rsidRPr="007C356D">
          <w:rPr>
            <w:rStyle w:val="Lienhypertexte"/>
            <w:noProof/>
            <w:lang w:val="en-CA"/>
          </w:rPr>
          <w:t>LEGISLATIVE FRAMEWORK</w:t>
        </w:r>
        <w:r w:rsidR="00052337">
          <w:rPr>
            <w:noProof/>
            <w:webHidden/>
          </w:rPr>
          <w:tab/>
        </w:r>
        <w:r w:rsidR="00052337">
          <w:rPr>
            <w:noProof/>
            <w:webHidden/>
          </w:rPr>
          <w:fldChar w:fldCharType="begin"/>
        </w:r>
        <w:r w:rsidR="00052337">
          <w:rPr>
            <w:noProof/>
            <w:webHidden/>
          </w:rPr>
          <w:instrText xml:space="preserve"> PAGEREF _Toc109310850 \h </w:instrText>
        </w:r>
        <w:r w:rsidR="00052337">
          <w:rPr>
            <w:noProof/>
            <w:webHidden/>
          </w:rPr>
        </w:r>
        <w:r w:rsidR="00052337">
          <w:rPr>
            <w:noProof/>
            <w:webHidden/>
          </w:rPr>
          <w:fldChar w:fldCharType="separate"/>
        </w:r>
        <w:r w:rsidR="00052337">
          <w:rPr>
            <w:noProof/>
            <w:webHidden/>
          </w:rPr>
          <w:t>20</w:t>
        </w:r>
        <w:r w:rsidR="00052337">
          <w:rPr>
            <w:noProof/>
            <w:webHidden/>
          </w:rPr>
          <w:fldChar w:fldCharType="end"/>
        </w:r>
      </w:hyperlink>
    </w:p>
    <w:p w14:paraId="3AE4A243" w14:textId="061CE069" w:rsidR="00052337" w:rsidRDefault="00285AD8">
      <w:pPr>
        <w:pStyle w:val="TM2"/>
        <w:rPr>
          <w:rFonts w:asciiTheme="minorHAnsi" w:eastAsiaTheme="minorEastAsia" w:hAnsiTheme="minorHAnsi" w:cstheme="minorBidi"/>
          <w:noProof/>
          <w:sz w:val="22"/>
          <w:szCs w:val="22"/>
          <w:lang w:eastAsia="fr-CA"/>
        </w:rPr>
      </w:pPr>
      <w:hyperlink w:anchor="_Toc109310851" w:history="1">
        <w:r w:rsidR="00052337" w:rsidRPr="007C356D">
          <w:rPr>
            <w:rStyle w:val="Lienhypertexte"/>
            <w:noProof/>
            <w:lang w:val="en-CA" w:bidi="en-CA"/>
          </w:rPr>
          <w:t>A.</w:t>
        </w:r>
        <w:r w:rsidR="00052337">
          <w:rPr>
            <w:rFonts w:asciiTheme="minorHAnsi" w:eastAsiaTheme="minorEastAsia" w:hAnsiTheme="minorHAnsi" w:cstheme="minorBidi"/>
            <w:noProof/>
            <w:sz w:val="22"/>
            <w:szCs w:val="22"/>
            <w:lang w:eastAsia="fr-CA"/>
          </w:rPr>
          <w:tab/>
        </w:r>
        <w:r w:rsidR="00052337" w:rsidRPr="007C356D">
          <w:rPr>
            <w:rStyle w:val="Lienhypertexte"/>
            <w:noProof/>
            <w:lang w:val="en-CA" w:bidi="en-CA"/>
          </w:rPr>
          <w:t>The History of Remediation Agreements in Canada</w:t>
        </w:r>
        <w:r w:rsidR="00052337">
          <w:rPr>
            <w:noProof/>
            <w:webHidden/>
          </w:rPr>
          <w:tab/>
        </w:r>
        <w:r w:rsidR="00052337">
          <w:rPr>
            <w:noProof/>
            <w:webHidden/>
          </w:rPr>
          <w:fldChar w:fldCharType="begin"/>
        </w:r>
        <w:r w:rsidR="00052337">
          <w:rPr>
            <w:noProof/>
            <w:webHidden/>
          </w:rPr>
          <w:instrText xml:space="preserve"> PAGEREF _Toc109310851 \h </w:instrText>
        </w:r>
        <w:r w:rsidR="00052337">
          <w:rPr>
            <w:noProof/>
            <w:webHidden/>
          </w:rPr>
        </w:r>
        <w:r w:rsidR="00052337">
          <w:rPr>
            <w:noProof/>
            <w:webHidden/>
          </w:rPr>
          <w:fldChar w:fldCharType="separate"/>
        </w:r>
        <w:r w:rsidR="00052337">
          <w:rPr>
            <w:noProof/>
            <w:webHidden/>
          </w:rPr>
          <w:t>20</w:t>
        </w:r>
        <w:r w:rsidR="00052337">
          <w:rPr>
            <w:noProof/>
            <w:webHidden/>
          </w:rPr>
          <w:fldChar w:fldCharType="end"/>
        </w:r>
      </w:hyperlink>
    </w:p>
    <w:p w14:paraId="7031A719" w14:textId="1913F560" w:rsidR="00052337" w:rsidRDefault="00285AD8">
      <w:pPr>
        <w:pStyle w:val="TM2"/>
        <w:rPr>
          <w:rFonts w:asciiTheme="minorHAnsi" w:eastAsiaTheme="minorEastAsia" w:hAnsiTheme="minorHAnsi" w:cstheme="minorBidi"/>
          <w:noProof/>
          <w:sz w:val="22"/>
          <w:szCs w:val="22"/>
          <w:lang w:eastAsia="fr-CA"/>
        </w:rPr>
      </w:pPr>
      <w:hyperlink w:anchor="_Toc109310852" w:history="1">
        <w:r w:rsidR="00052337" w:rsidRPr="007C356D">
          <w:rPr>
            <w:rStyle w:val="Lienhypertexte"/>
            <w:noProof/>
            <w:lang w:val="en-CA" w:bidi="en-CA"/>
          </w:rPr>
          <w:t>B.</w:t>
        </w:r>
        <w:r w:rsidR="00052337">
          <w:rPr>
            <w:rFonts w:asciiTheme="minorHAnsi" w:eastAsiaTheme="minorEastAsia" w:hAnsiTheme="minorHAnsi" w:cstheme="minorBidi"/>
            <w:noProof/>
            <w:sz w:val="22"/>
            <w:szCs w:val="22"/>
            <w:lang w:eastAsia="fr-CA"/>
          </w:rPr>
          <w:tab/>
        </w:r>
        <w:r w:rsidR="00052337" w:rsidRPr="007C356D">
          <w:rPr>
            <w:rStyle w:val="Lienhypertexte"/>
            <w:noProof/>
            <w:lang w:val="en-CA" w:bidi="en-CA"/>
          </w:rPr>
          <w:t>The Canadian Remediation Agreement Regime</w:t>
        </w:r>
        <w:r w:rsidR="00052337">
          <w:rPr>
            <w:noProof/>
            <w:webHidden/>
          </w:rPr>
          <w:tab/>
        </w:r>
        <w:r w:rsidR="00052337">
          <w:rPr>
            <w:noProof/>
            <w:webHidden/>
          </w:rPr>
          <w:fldChar w:fldCharType="begin"/>
        </w:r>
        <w:r w:rsidR="00052337">
          <w:rPr>
            <w:noProof/>
            <w:webHidden/>
          </w:rPr>
          <w:instrText xml:space="preserve"> PAGEREF _Toc109310852 \h </w:instrText>
        </w:r>
        <w:r w:rsidR="00052337">
          <w:rPr>
            <w:noProof/>
            <w:webHidden/>
          </w:rPr>
        </w:r>
        <w:r w:rsidR="00052337">
          <w:rPr>
            <w:noProof/>
            <w:webHidden/>
          </w:rPr>
          <w:fldChar w:fldCharType="separate"/>
        </w:r>
        <w:r w:rsidR="00052337">
          <w:rPr>
            <w:noProof/>
            <w:webHidden/>
          </w:rPr>
          <w:t>22</w:t>
        </w:r>
        <w:r w:rsidR="00052337">
          <w:rPr>
            <w:noProof/>
            <w:webHidden/>
          </w:rPr>
          <w:fldChar w:fldCharType="end"/>
        </w:r>
      </w:hyperlink>
    </w:p>
    <w:p w14:paraId="3BE46437" w14:textId="27BF75C2" w:rsidR="00052337" w:rsidRDefault="00285AD8">
      <w:pPr>
        <w:pStyle w:val="TM2"/>
        <w:rPr>
          <w:rFonts w:asciiTheme="minorHAnsi" w:eastAsiaTheme="minorEastAsia" w:hAnsiTheme="minorHAnsi" w:cstheme="minorBidi"/>
          <w:noProof/>
          <w:sz w:val="22"/>
          <w:szCs w:val="22"/>
          <w:lang w:eastAsia="fr-CA"/>
        </w:rPr>
      </w:pPr>
      <w:hyperlink w:anchor="_Toc109310853" w:history="1">
        <w:r w:rsidR="00052337" w:rsidRPr="007C356D">
          <w:rPr>
            <w:rStyle w:val="Lienhypertexte"/>
            <w:noProof/>
            <w:lang w:val="en-CA" w:bidi="en-CA"/>
          </w:rPr>
          <w:t>C.</w:t>
        </w:r>
        <w:r w:rsidR="00052337">
          <w:rPr>
            <w:rFonts w:asciiTheme="minorHAnsi" w:eastAsiaTheme="minorEastAsia" w:hAnsiTheme="minorHAnsi" w:cstheme="minorBidi"/>
            <w:noProof/>
            <w:sz w:val="22"/>
            <w:szCs w:val="22"/>
            <w:lang w:eastAsia="fr-CA"/>
          </w:rPr>
          <w:tab/>
        </w:r>
        <w:r w:rsidR="00052337" w:rsidRPr="007C356D">
          <w:rPr>
            <w:rStyle w:val="Lienhypertexte"/>
            <w:noProof/>
            <w:lang w:val="en-CA" w:bidi="en-CA"/>
          </w:rPr>
          <w:t>Judicial Review and Transparency</w:t>
        </w:r>
        <w:r w:rsidR="00052337">
          <w:rPr>
            <w:noProof/>
            <w:webHidden/>
          </w:rPr>
          <w:tab/>
        </w:r>
        <w:r w:rsidR="00052337">
          <w:rPr>
            <w:noProof/>
            <w:webHidden/>
          </w:rPr>
          <w:fldChar w:fldCharType="begin"/>
        </w:r>
        <w:r w:rsidR="00052337">
          <w:rPr>
            <w:noProof/>
            <w:webHidden/>
          </w:rPr>
          <w:instrText xml:space="preserve"> PAGEREF _Toc109310853 \h </w:instrText>
        </w:r>
        <w:r w:rsidR="00052337">
          <w:rPr>
            <w:noProof/>
            <w:webHidden/>
          </w:rPr>
        </w:r>
        <w:r w:rsidR="00052337">
          <w:rPr>
            <w:noProof/>
            <w:webHidden/>
          </w:rPr>
          <w:fldChar w:fldCharType="separate"/>
        </w:r>
        <w:r w:rsidR="00052337">
          <w:rPr>
            <w:noProof/>
            <w:webHidden/>
          </w:rPr>
          <w:t>23</w:t>
        </w:r>
        <w:r w:rsidR="00052337">
          <w:rPr>
            <w:noProof/>
            <w:webHidden/>
          </w:rPr>
          <w:fldChar w:fldCharType="end"/>
        </w:r>
      </w:hyperlink>
    </w:p>
    <w:p w14:paraId="43E56ED1" w14:textId="54B0A1AD" w:rsidR="00052337" w:rsidRDefault="00285AD8">
      <w:pPr>
        <w:pStyle w:val="TM2"/>
        <w:rPr>
          <w:rFonts w:asciiTheme="minorHAnsi" w:eastAsiaTheme="minorEastAsia" w:hAnsiTheme="minorHAnsi" w:cstheme="minorBidi"/>
          <w:noProof/>
          <w:sz w:val="22"/>
          <w:szCs w:val="22"/>
          <w:lang w:eastAsia="fr-CA"/>
        </w:rPr>
      </w:pPr>
      <w:hyperlink w:anchor="_Toc109310854" w:history="1">
        <w:r w:rsidR="00052337" w:rsidRPr="007C356D">
          <w:rPr>
            <w:rStyle w:val="Lienhypertexte"/>
            <w:noProof/>
            <w:lang w:val="en-CA" w:bidi="en-CA"/>
          </w:rPr>
          <w:t>D.</w:t>
        </w:r>
        <w:r w:rsidR="00052337">
          <w:rPr>
            <w:rFonts w:asciiTheme="minorHAnsi" w:eastAsiaTheme="minorEastAsia" w:hAnsiTheme="minorHAnsi" w:cstheme="minorBidi"/>
            <w:noProof/>
            <w:sz w:val="22"/>
            <w:szCs w:val="22"/>
            <w:lang w:eastAsia="fr-CA"/>
          </w:rPr>
          <w:tab/>
        </w:r>
        <w:r w:rsidR="00052337" w:rsidRPr="007C356D">
          <w:rPr>
            <w:rStyle w:val="Lienhypertexte"/>
            <w:noProof/>
            <w:lang w:val="en-CA" w:bidi="en-CA"/>
          </w:rPr>
          <w:t>Place for the Victim</w:t>
        </w:r>
        <w:r w:rsidR="00052337">
          <w:rPr>
            <w:noProof/>
            <w:webHidden/>
          </w:rPr>
          <w:tab/>
        </w:r>
        <w:r w:rsidR="00052337">
          <w:rPr>
            <w:noProof/>
            <w:webHidden/>
          </w:rPr>
          <w:fldChar w:fldCharType="begin"/>
        </w:r>
        <w:r w:rsidR="00052337">
          <w:rPr>
            <w:noProof/>
            <w:webHidden/>
          </w:rPr>
          <w:instrText xml:space="preserve"> PAGEREF _Toc109310854 \h </w:instrText>
        </w:r>
        <w:r w:rsidR="00052337">
          <w:rPr>
            <w:noProof/>
            <w:webHidden/>
          </w:rPr>
        </w:r>
        <w:r w:rsidR="00052337">
          <w:rPr>
            <w:noProof/>
            <w:webHidden/>
          </w:rPr>
          <w:fldChar w:fldCharType="separate"/>
        </w:r>
        <w:r w:rsidR="00052337">
          <w:rPr>
            <w:noProof/>
            <w:webHidden/>
          </w:rPr>
          <w:t>25</w:t>
        </w:r>
        <w:r w:rsidR="00052337">
          <w:rPr>
            <w:noProof/>
            <w:webHidden/>
          </w:rPr>
          <w:fldChar w:fldCharType="end"/>
        </w:r>
      </w:hyperlink>
    </w:p>
    <w:p w14:paraId="53D923C9" w14:textId="74D9512E" w:rsidR="00052337" w:rsidRDefault="00285AD8">
      <w:pPr>
        <w:pStyle w:val="TM1"/>
        <w:rPr>
          <w:rFonts w:asciiTheme="minorHAnsi" w:eastAsiaTheme="minorEastAsia" w:hAnsiTheme="minorHAnsi" w:cstheme="minorBidi"/>
          <w:noProof/>
          <w:sz w:val="22"/>
          <w:szCs w:val="22"/>
          <w:lang w:eastAsia="fr-CA"/>
        </w:rPr>
      </w:pPr>
      <w:hyperlink w:anchor="_Toc109310855" w:history="1">
        <w:r w:rsidR="00052337" w:rsidRPr="007C356D">
          <w:rPr>
            <w:rStyle w:val="Lienhypertexte"/>
            <w:noProof/>
            <w:lang w:val="en-CA"/>
          </w:rPr>
          <w:t>ANALYSIS</w:t>
        </w:r>
        <w:r w:rsidR="00052337">
          <w:rPr>
            <w:noProof/>
            <w:webHidden/>
          </w:rPr>
          <w:tab/>
        </w:r>
        <w:r w:rsidR="00052337">
          <w:rPr>
            <w:noProof/>
            <w:webHidden/>
          </w:rPr>
          <w:fldChar w:fldCharType="begin"/>
        </w:r>
        <w:r w:rsidR="00052337">
          <w:rPr>
            <w:noProof/>
            <w:webHidden/>
          </w:rPr>
          <w:instrText xml:space="preserve"> PAGEREF _Toc109310855 \h </w:instrText>
        </w:r>
        <w:r w:rsidR="00052337">
          <w:rPr>
            <w:noProof/>
            <w:webHidden/>
          </w:rPr>
        </w:r>
        <w:r w:rsidR="00052337">
          <w:rPr>
            <w:noProof/>
            <w:webHidden/>
          </w:rPr>
          <w:fldChar w:fldCharType="separate"/>
        </w:r>
        <w:r w:rsidR="00052337">
          <w:rPr>
            <w:noProof/>
            <w:webHidden/>
          </w:rPr>
          <w:t>25</w:t>
        </w:r>
        <w:r w:rsidR="00052337">
          <w:rPr>
            <w:noProof/>
            <w:webHidden/>
          </w:rPr>
          <w:fldChar w:fldCharType="end"/>
        </w:r>
      </w:hyperlink>
    </w:p>
    <w:p w14:paraId="4C3ECA62" w14:textId="0650AB01" w:rsidR="00052337" w:rsidRDefault="00285AD8">
      <w:pPr>
        <w:pStyle w:val="TM2"/>
        <w:rPr>
          <w:rFonts w:asciiTheme="minorHAnsi" w:eastAsiaTheme="minorEastAsia" w:hAnsiTheme="minorHAnsi" w:cstheme="minorBidi"/>
          <w:noProof/>
          <w:sz w:val="22"/>
          <w:szCs w:val="22"/>
          <w:lang w:eastAsia="fr-CA"/>
        </w:rPr>
      </w:pPr>
      <w:hyperlink w:anchor="_Toc109310856" w:history="1">
        <w:r w:rsidR="00052337" w:rsidRPr="007C356D">
          <w:rPr>
            <w:rStyle w:val="Lienhypertexte"/>
            <w:noProof/>
            <w:lang w:val="en-CA" w:bidi="en-CA"/>
          </w:rPr>
          <w:t>A.</w:t>
        </w:r>
        <w:r w:rsidR="00052337">
          <w:rPr>
            <w:rFonts w:asciiTheme="minorHAnsi" w:eastAsiaTheme="minorEastAsia" w:hAnsiTheme="minorHAnsi" w:cstheme="minorBidi"/>
            <w:noProof/>
            <w:sz w:val="22"/>
            <w:szCs w:val="22"/>
            <w:lang w:eastAsia="fr-CA"/>
          </w:rPr>
          <w:tab/>
        </w:r>
        <w:r w:rsidR="00052337" w:rsidRPr="007C356D">
          <w:rPr>
            <w:rStyle w:val="Lienhypertexte"/>
            <w:noProof/>
            <w:lang w:val="en-CA" w:bidi="en-CA"/>
          </w:rPr>
          <w:t>Formal Verification of the Agreement’s Content</w:t>
        </w:r>
        <w:r w:rsidR="00052337">
          <w:rPr>
            <w:noProof/>
            <w:webHidden/>
          </w:rPr>
          <w:tab/>
        </w:r>
        <w:r w:rsidR="00052337">
          <w:rPr>
            <w:noProof/>
            <w:webHidden/>
          </w:rPr>
          <w:fldChar w:fldCharType="begin"/>
        </w:r>
        <w:r w:rsidR="00052337">
          <w:rPr>
            <w:noProof/>
            <w:webHidden/>
          </w:rPr>
          <w:instrText xml:space="preserve"> PAGEREF _Toc109310856 \h </w:instrText>
        </w:r>
        <w:r w:rsidR="00052337">
          <w:rPr>
            <w:noProof/>
            <w:webHidden/>
          </w:rPr>
        </w:r>
        <w:r w:rsidR="00052337">
          <w:rPr>
            <w:noProof/>
            <w:webHidden/>
          </w:rPr>
          <w:fldChar w:fldCharType="separate"/>
        </w:r>
        <w:r w:rsidR="00052337">
          <w:rPr>
            <w:noProof/>
            <w:webHidden/>
          </w:rPr>
          <w:t>26</w:t>
        </w:r>
        <w:r w:rsidR="00052337">
          <w:rPr>
            <w:noProof/>
            <w:webHidden/>
          </w:rPr>
          <w:fldChar w:fldCharType="end"/>
        </w:r>
      </w:hyperlink>
    </w:p>
    <w:p w14:paraId="1FE6EED1" w14:textId="6735D269" w:rsidR="00052337" w:rsidRDefault="00285AD8">
      <w:pPr>
        <w:pStyle w:val="TM3"/>
        <w:rPr>
          <w:rFonts w:asciiTheme="minorHAnsi" w:eastAsiaTheme="minorEastAsia" w:hAnsiTheme="minorHAnsi" w:cstheme="minorBidi"/>
          <w:noProof/>
          <w:sz w:val="22"/>
          <w:szCs w:val="22"/>
          <w:lang w:eastAsia="fr-CA"/>
        </w:rPr>
      </w:pPr>
      <w:hyperlink w:anchor="_Toc109310857" w:history="1">
        <w:r w:rsidR="00052337" w:rsidRPr="007C356D">
          <w:rPr>
            <w:rStyle w:val="Lienhypertexte"/>
            <w:noProof/>
            <w:lang w:val="en-CA" w:bidi="en-CA"/>
          </w:rPr>
          <w:t>i.</w:t>
        </w:r>
        <w:r w:rsidR="00052337">
          <w:rPr>
            <w:rFonts w:asciiTheme="minorHAnsi" w:eastAsiaTheme="minorEastAsia" w:hAnsiTheme="minorHAnsi" w:cstheme="minorBidi"/>
            <w:noProof/>
            <w:sz w:val="22"/>
            <w:szCs w:val="22"/>
            <w:lang w:eastAsia="fr-CA"/>
          </w:rPr>
          <w:tab/>
        </w:r>
        <w:r w:rsidR="00052337" w:rsidRPr="007C356D">
          <w:rPr>
            <w:rStyle w:val="Lienhypertexte"/>
            <w:noProof/>
            <w:lang w:val="en-CA" w:bidi="en-CA"/>
          </w:rPr>
          <w:t>Mandatory content</w:t>
        </w:r>
        <w:r w:rsidR="00052337">
          <w:rPr>
            <w:noProof/>
            <w:webHidden/>
          </w:rPr>
          <w:tab/>
        </w:r>
        <w:r w:rsidR="00052337">
          <w:rPr>
            <w:noProof/>
            <w:webHidden/>
          </w:rPr>
          <w:fldChar w:fldCharType="begin"/>
        </w:r>
        <w:r w:rsidR="00052337">
          <w:rPr>
            <w:noProof/>
            <w:webHidden/>
          </w:rPr>
          <w:instrText xml:space="preserve"> PAGEREF _Toc109310857 \h </w:instrText>
        </w:r>
        <w:r w:rsidR="00052337">
          <w:rPr>
            <w:noProof/>
            <w:webHidden/>
          </w:rPr>
        </w:r>
        <w:r w:rsidR="00052337">
          <w:rPr>
            <w:noProof/>
            <w:webHidden/>
          </w:rPr>
          <w:fldChar w:fldCharType="separate"/>
        </w:r>
        <w:r w:rsidR="00052337">
          <w:rPr>
            <w:noProof/>
            <w:webHidden/>
          </w:rPr>
          <w:t>26</w:t>
        </w:r>
        <w:r w:rsidR="00052337">
          <w:rPr>
            <w:noProof/>
            <w:webHidden/>
          </w:rPr>
          <w:fldChar w:fldCharType="end"/>
        </w:r>
      </w:hyperlink>
    </w:p>
    <w:p w14:paraId="796479E6" w14:textId="491BE56C" w:rsidR="00052337" w:rsidRDefault="00285AD8">
      <w:pPr>
        <w:pStyle w:val="TM3"/>
        <w:rPr>
          <w:rFonts w:asciiTheme="minorHAnsi" w:eastAsiaTheme="minorEastAsia" w:hAnsiTheme="minorHAnsi" w:cstheme="minorBidi"/>
          <w:noProof/>
          <w:sz w:val="22"/>
          <w:szCs w:val="22"/>
          <w:lang w:eastAsia="fr-CA"/>
        </w:rPr>
      </w:pPr>
      <w:hyperlink w:anchor="_Toc109310858" w:history="1">
        <w:r w:rsidR="00052337" w:rsidRPr="007C356D">
          <w:rPr>
            <w:rStyle w:val="Lienhypertexte"/>
            <w:noProof/>
            <w:lang w:val="en-CA" w:bidi="en-CA"/>
          </w:rPr>
          <w:t>ii.</w:t>
        </w:r>
        <w:r w:rsidR="00052337">
          <w:rPr>
            <w:rFonts w:asciiTheme="minorHAnsi" w:eastAsiaTheme="minorEastAsia" w:hAnsiTheme="minorHAnsi" w:cstheme="minorBidi"/>
            <w:noProof/>
            <w:sz w:val="22"/>
            <w:szCs w:val="22"/>
            <w:lang w:eastAsia="fr-CA"/>
          </w:rPr>
          <w:tab/>
        </w:r>
        <w:r w:rsidR="00052337" w:rsidRPr="007C356D">
          <w:rPr>
            <w:rStyle w:val="Lienhypertexte"/>
            <w:noProof/>
            <w:lang w:val="en-CA" w:bidi="en-CA"/>
          </w:rPr>
          <w:t>The discretionary content of the Agreement</w:t>
        </w:r>
        <w:r w:rsidR="00052337">
          <w:rPr>
            <w:noProof/>
            <w:webHidden/>
          </w:rPr>
          <w:tab/>
        </w:r>
        <w:r w:rsidR="00052337">
          <w:rPr>
            <w:noProof/>
            <w:webHidden/>
          </w:rPr>
          <w:fldChar w:fldCharType="begin"/>
        </w:r>
        <w:r w:rsidR="00052337">
          <w:rPr>
            <w:noProof/>
            <w:webHidden/>
          </w:rPr>
          <w:instrText xml:space="preserve"> PAGEREF _Toc109310858 \h </w:instrText>
        </w:r>
        <w:r w:rsidR="00052337">
          <w:rPr>
            <w:noProof/>
            <w:webHidden/>
          </w:rPr>
        </w:r>
        <w:r w:rsidR="00052337">
          <w:rPr>
            <w:noProof/>
            <w:webHidden/>
          </w:rPr>
          <w:fldChar w:fldCharType="separate"/>
        </w:r>
        <w:r w:rsidR="00052337">
          <w:rPr>
            <w:noProof/>
            <w:webHidden/>
          </w:rPr>
          <w:t>30</w:t>
        </w:r>
        <w:r w:rsidR="00052337">
          <w:rPr>
            <w:noProof/>
            <w:webHidden/>
          </w:rPr>
          <w:fldChar w:fldCharType="end"/>
        </w:r>
      </w:hyperlink>
    </w:p>
    <w:p w14:paraId="1EA572AE" w14:textId="193D59F7" w:rsidR="00052337" w:rsidRDefault="00285AD8">
      <w:pPr>
        <w:pStyle w:val="TM3"/>
        <w:rPr>
          <w:rFonts w:asciiTheme="minorHAnsi" w:eastAsiaTheme="minorEastAsia" w:hAnsiTheme="minorHAnsi" w:cstheme="minorBidi"/>
          <w:noProof/>
          <w:sz w:val="22"/>
          <w:szCs w:val="22"/>
          <w:lang w:eastAsia="fr-CA"/>
        </w:rPr>
      </w:pPr>
      <w:hyperlink w:anchor="_Toc109310859" w:history="1">
        <w:r w:rsidR="00052337" w:rsidRPr="007C356D">
          <w:rPr>
            <w:rStyle w:val="Lienhypertexte"/>
            <w:noProof/>
            <w:lang w:val="en-CA" w:bidi="en-CA"/>
          </w:rPr>
          <w:t>iii.</w:t>
        </w:r>
        <w:r w:rsidR="00052337">
          <w:rPr>
            <w:rFonts w:asciiTheme="minorHAnsi" w:eastAsiaTheme="minorEastAsia" w:hAnsiTheme="minorHAnsi" w:cstheme="minorBidi"/>
            <w:noProof/>
            <w:sz w:val="22"/>
            <w:szCs w:val="22"/>
            <w:lang w:eastAsia="fr-CA"/>
          </w:rPr>
          <w:tab/>
        </w:r>
        <w:r w:rsidR="00052337" w:rsidRPr="007C356D">
          <w:rPr>
            <w:rStyle w:val="Lienhypertexte"/>
            <w:noProof/>
            <w:lang w:val="en-CA" w:bidi="en-CA"/>
          </w:rPr>
          <w:t>Measures to inform the victim</w:t>
        </w:r>
        <w:r w:rsidR="00052337">
          <w:rPr>
            <w:noProof/>
            <w:webHidden/>
          </w:rPr>
          <w:tab/>
        </w:r>
        <w:r w:rsidR="00052337">
          <w:rPr>
            <w:noProof/>
            <w:webHidden/>
          </w:rPr>
          <w:fldChar w:fldCharType="begin"/>
        </w:r>
        <w:r w:rsidR="00052337">
          <w:rPr>
            <w:noProof/>
            <w:webHidden/>
          </w:rPr>
          <w:instrText xml:space="preserve"> PAGEREF _Toc109310859 \h </w:instrText>
        </w:r>
        <w:r w:rsidR="00052337">
          <w:rPr>
            <w:noProof/>
            <w:webHidden/>
          </w:rPr>
        </w:r>
        <w:r w:rsidR="00052337">
          <w:rPr>
            <w:noProof/>
            <w:webHidden/>
          </w:rPr>
          <w:fldChar w:fldCharType="separate"/>
        </w:r>
        <w:r w:rsidR="00052337">
          <w:rPr>
            <w:noProof/>
            <w:webHidden/>
          </w:rPr>
          <w:t>33</w:t>
        </w:r>
        <w:r w:rsidR="00052337">
          <w:rPr>
            <w:noProof/>
            <w:webHidden/>
          </w:rPr>
          <w:fldChar w:fldCharType="end"/>
        </w:r>
      </w:hyperlink>
    </w:p>
    <w:p w14:paraId="4C2D3615" w14:textId="27261AD7" w:rsidR="00052337" w:rsidRDefault="00285AD8">
      <w:pPr>
        <w:pStyle w:val="TM2"/>
        <w:rPr>
          <w:rFonts w:asciiTheme="minorHAnsi" w:eastAsiaTheme="minorEastAsia" w:hAnsiTheme="minorHAnsi" w:cstheme="minorBidi"/>
          <w:noProof/>
          <w:sz w:val="22"/>
          <w:szCs w:val="22"/>
          <w:lang w:eastAsia="fr-CA"/>
        </w:rPr>
      </w:pPr>
      <w:hyperlink w:anchor="_Toc109310860" w:history="1">
        <w:r w:rsidR="00052337" w:rsidRPr="007C356D">
          <w:rPr>
            <w:rStyle w:val="Lienhypertexte"/>
            <w:noProof/>
            <w:lang w:val="en-CA" w:bidi="en-CA"/>
          </w:rPr>
          <w:t>B.</w:t>
        </w:r>
        <w:r w:rsidR="00052337">
          <w:rPr>
            <w:rFonts w:asciiTheme="minorHAnsi" w:eastAsiaTheme="minorEastAsia" w:hAnsiTheme="minorHAnsi" w:cstheme="minorBidi"/>
            <w:noProof/>
            <w:sz w:val="22"/>
            <w:szCs w:val="22"/>
            <w:lang w:eastAsia="fr-CA"/>
          </w:rPr>
          <w:tab/>
        </w:r>
        <w:r w:rsidR="00052337" w:rsidRPr="007C356D">
          <w:rPr>
            <w:rStyle w:val="Lienhypertexte"/>
            <w:noProof/>
            <w:lang w:val="en-CA" w:bidi="en-CA"/>
          </w:rPr>
          <w:t>Analysis of the conditions for approval of the Agreement</w:t>
        </w:r>
        <w:r w:rsidR="00052337">
          <w:rPr>
            <w:noProof/>
            <w:webHidden/>
          </w:rPr>
          <w:tab/>
        </w:r>
        <w:r w:rsidR="00052337">
          <w:rPr>
            <w:noProof/>
            <w:webHidden/>
          </w:rPr>
          <w:fldChar w:fldCharType="begin"/>
        </w:r>
        <w:r w:rsidR="00052337">
          <w:rPr>
            <w:noProof/>
            <w:webHidden/>
          </w:rPr>
          <w:instrText xml:space="preserve"> PAGEREF _Toc109310860 \h </w:instrText>
        </w:r>
        <w:r w:rsidR="00052337">
          <w:rPr>
            <w:noProof/>
            <w:webHidden/>
          </w:rPr>
        </w:r>
        <w:r w:rsidR="00052337">
          <w:rPr>
            <w:noProof/>
            <w:webHidden/>
          </w:rPr>
          <w:fldChar w:fldCharType="separate"/>
        </w:r>
        <w:r w:rsidR="00052337">
          <w:rPr>
            <w:noProof/>
            <w:webHidden/>
          </w:rPr>
          <w:t>34</w:t>
        </w:r>
        <w:r w:rsidR="00052337">
          <w:rPr>
            <w:noProof/>
            <w:webHidden/>
          </w:rPr>
          <w:fldChar w:fldCharType="end"/>
        </w:r>
      </w:hyperlink>
    </w:p>
    <w:p w14:paraId="7D80984B" w14:textId="3DA6E2EF" w:rsidR="00052337" w:rsidRDefault="00285AD8">
      <w:pPr>
        <w:pStyle w:val="TM3"/>
        <w:rPr>
          <w:rFonts w:asciiTheme="minorHAnsi" w:eastAsiaTheme="minorEastAsia" w:hAnsiTheme="minorHAnsi" w:cstheme="minorBidi"/>
          <w:noProof/>
          <w:sz w:val="22"/>
          <w:szCs w:val="22"/>
          <w:lang w:eastAsia="fr-CA"/>
        </w:rPr>
      </w:pPr>
      <w:hyperlink w:anchor="_Toc109310861" w:history="1">
        <w:r w:rsidR="00052337" w:rsidRPr="007C356D">
          <w:rPr>
            <w:rStyle w:val="Lienhypertexte"/>
            <w:noProof/>
            <w:lang w:val="en-CA" w:bidi="en-CA"/>
          </w:rPr>
          <w:t>i.</w:t>
        </w:r>
        <w:r w:rsidR="00052337">
          <w:rPr>
            <w:rFonts w:asciiTheme="minorHAnsi" w:eastAsiaTheme="minorEastAsia" w:hAnsiTheme="minorHAnsi" w:cstheme="minorBidi"/>
            <w:noProof/>
            <w:sz w:val="22"/>
            <w:szCs w:val="22"/>
            <w:lang w:eastAsia="fr-CA"/>
          </w:rPr>
          <w:tab/>
        </w:r>
        <w:r w:rsidR="00052337" w:rsidRPr="007C356D">
          <w:rPr>
            <w:rStyle w:val="Lienhypertexte"/>
            <w:noProof/>
            <w:lang w:val="en-CA" w:bidi="en-CA"/>
          </w:rPr>
          <w:t>Are the Organizations being charged with the offences contemplated by the Agreement?</w:t>
        </w:r>
        <w:r w:rsidR="00052337">
          <w:rPr>
            <w:noProof/>
            <w:webHidden/>
          </w:rPr>
          <w:tab/>
        </w:r>
        <w:r w:rsidR="00052337">
          <w:rPr>
            <w:noProof/>
            <w:webHidden/>
          </w:rPr>
          <w:fldChar w:fldCharType="begin"/>
        </w:r>
        <w:r w:rsidR="00052337">
          <w:rPr>
            <w:noProof/>
            <w:webHidden/>
          </w:rPr>
          <w:instrText xml:space="preserve"> PAGEREF _Toc109310861 \h </w:instrText>
        </w:r>
        <w:r w:rsidR="00052337">
          <w:rPr>
            <w:noProof/>
            <w:webHidden/>
          </w:rPr>
        </w:r>
        <w:r w:rsidR="00052337">
          <w:rPr>
            <w:noProof/>
            <w:webHidden/>
          </w:rPr>
          <w:fldChar w:fldCharType="separate"/>
        </w:r>
        <w:r w:rsidR="00052337">
          <w:rPr>
            <w:noProof/>
            <w:webHidden/>
          </w:rPr>
          <w:t>35</w:t>
        </w:r>
        <w:r w:rsidR="00052337">
          <w:rPr>
            <w:noProof/>
            <w:webHidden/>
          </w:rPr>
          <w:fldChar w:fldCharType="end"/>
        </w:r>
      </w:hyperlink>
    </w:p>
    <w:p w14:paraId="495F7F30" w14:textId="0C362544" w:rsidR="00052337" w:rsidRDefault="00285AD8">
      <w:pPr>
        <w:pStyle w:val="TM3"/>
        <w:rPr>
          <w:rFonts w:asciiTheme="minorHAnsi" w:eastAsiaTheme="minorEastAsia" w:hAnsiTheme="minorHAnsi" w:cstheme="minorBidi"/>
          <w:noProof/>
          <w:sz w:val="22"/>
          <w:szCs w:val="22"/>
          <w:lang w:eastAsia="fr-CA"/>
        </w:rPr>
      </w:pPr>
      <w:hyperlink w:anchor="_Toc109310862" w:history="1">
        <w:r w:rsidR="00052337" w:rsidRPr="007C356D">
          <w:rPr>
            <w:rStyle w:val="Lienhypertexte"/>
            <w:noProof/>
            <w:lang w:val="en-CA" w:bidi="en-CA"/>
          </w:rPr>
          <w:t>ii.</w:t>
        </w:r>
        <w:r w:rsidR="00052337">
          <w:rPr>
            <w:rFonts w:asciiTheme="minorHAnsi" w:eastAsiaTheme="minorEastAsia" w:hAnsiTheme="minorHAnsi" w:cstheme="minorBidi"/>
            <w:noProof/>
            <w:sz w:val="22"/>
            <w:szCs w:val="22"/>
            <w:lang w:eastAsia="fr-CA"/>
          </w:rPr>
          <w:tab/>
        </w:r>
        <w:r w:rsidR="00052337" w:rsidRPr="007C356D">
          <w:rPr>
            <w:rStyle w:val="Lienhypertexte"/>
            <w:noProof/>
            <w:lang w:val="en-CA" w:bidi="en-CA"/>
          </w:rPr>
          <w:t>Is the Agreement in the public interest?</w:t>
        </w:r>
        <w:r w:rsidR="00052337">
          <w:rPr>
            <w:noProof/>
            <w:webHidden/>
          </w:rPr>
          <w:tab/>
        </w:r>
        <w:r w:rsidR="00052337">
          <w:rPr>
            <w:noProof/>
            <w:webHidden/>
          </w:rPr>
          <w:fldChar w:fldCharType="begin"/>
        </w:r>
        <w:r w:rsidR="00052337">
          <w:rPr>
            <w:noProof/>
            <w:webHidden/>
          </w:rPr>
          <w:instrText xml:space="preserve"> PAGEREF _Toc109310862 \h </w:instrText>
        </w:r>
        <w:r w:rsidR="00052337">
          <w:rPr>
            <w:noProof/>
            <w:webHidden/>
          </w:rPr>
        </w:r>
        <w:r w:rsidR="00052337">
          <w:rPr>
            <w:noProof/>
            <w:webHidden/>
          </w:rPr>
          <w:fldChar w:fldCharType="separate"/>
        </w:r>
        <w:r w:rsidR="00052337">
          <w:rPr>
            <w:noProof/>
            <w:webHidden/>
          </w:rPr>
          <w:t>35</w:t>
        </w:r>
        <w:r w:rsidR="00052337">
          <w:rPr>
            <w:noProof/>
            <w:webHidden/>
          </w:rPr>
          <w:fldChar w:fldCharType="end"/>
        </w:r>
      </w:hyperlink>
    </w:p>
    <w:p w14:paraId="6F9F3DB6" w14:textId="41679513" w:rsidR="00052337" w:rsidRDefault="00285AD8">
      <w:pPr>
        <w:pStyle w:val="TM3"/>
        <w:rPr>
          <w:rFonts w:asciiTheme="minorHAnsi" w:eastAsiaTheme="minorEastAsia" w:hAnsiTheme="minorHAnsi" w:cstheme="minorBidi"/>
          <w:noProof/>
          <w:sz w:val="22"/>
          <w:szCs w:val="22"/>
          <w:lang w:eastAsia="fr-CA"/>
        </w:rPr>
      </w:pPr>
      <w:hyperlink w:anchor="_Toc109310863" w:history="1">
        <w:r w:rsidR="00052337" w:rsidRPr="007C356D">
          <w:rPr>
            <w:rStyle w:val="Lienhypertexte"/>
            <w:noProof/>
            <w:lang w:val="en-CA" w:bidi="en-CA"/>
          </w:rPr>
          <w:t>iii.</w:t>
        </w:r>
        <w:r w:rsidR="00052337">
          <w:rPr>
            <w:rFonts w:asciiTheme="minorHAnsi" w:eastAsiaTheme="minorEastAsia" w:hAnsiTheme="minorHAnsi" w:cstheme="minorBidi"/>
            <w:noProof/>
            <w:sz w:val="22"/>
            <w:szCs w:val="22"/>
            <w:lang w:eastAsia="fr-CA"/>
          </w:rPr>
          <w:tab/>
        </w:r>
        <w:r w:rsidR="00052337" w:rsidRPr="007C356D">
          <w:rPr>
            <w:rStyle w:val="Lienhypertexte"/>
            <w:noProof/>
            <w:lang w:val="en-CA" w:bidi="en-CA"/>
          </w:rPr>
          <w:t>Are the terms of the Agreement fair, reasonable and proportionate to the gravity of the offence?</w:t>
        </w:r>
        <w:r w:rsidR="00052337">
          <w:rPr>
            <w:noProof/>
            <w:webHidden/>
          </w:rPr>
          <w:tab/>
        </w:r>
        <w:r w:rsidR="00052337">
          <w:rPr>
            <w:noProof/>
            <w:webHidden/>
          </w:rPr>
          <w:fldChar w:fldCharType="begin"/>
        </w:r>
        <w:r w:rsidR="00052337">
          <w:rPr>
            <w:noProof/>
            <w:webHidden/>
          </w:rPr>
          <w:instrText xml:space="preserve"> PAGEREF _Toc109310863 \h </w:instrText>
        </w:r>
        <w:r w:rsidR="00052337">
          <w:rPr>
            <w:noProof/>
            <w:webHidden/>
          </w:rPr>
        </w:r>
        <w:r w:rsidR="00052337">
          <w:rPr>
            <w:noProof/>
            <w:webHidden/>
          </w:rPr>
          <w:fldChar w:fldCharType="separate"/>
        </w:r>
        <w:r w:rsidR="00052337">
          <w:rPr>
            <w:noProof/>
            <w:webHidden/>
          </w:rPr>
          <w:t>43</w:t>
        </w:r>
        <w:r w:rsidR="00052337">
          <w:rPr>
            <w:noProof/>
            <w:webHidden/>
          </w:rPr>
          <w:fldChar w:fldCharType="end"/>
        </w:r>
      </w:hyperlink>
    </w:p>
    <w:p w14:paraId="4B0F50D3" w14:textId="6A8E2CA7" w:rsidR="00052337" w:rsidRDefault="00285AD8">
      <w:pPr>
        <w:pStyle w:val="TM1"/>
        <w:rPr>
          <w:rFonts w:asciiTheme="minorHAnsi" w:eastAsiaTheme="minorEastAsia" w:hAnsiTheme="minorHAnsi" w:cstheme="minorBidi"/>
          <w:noProof/>
          <w:sz w:val="22"/>
          <w:szCs w:val="22"/>
          <w:lang w:eastAsia="fr-CA"/>
        </w:rPr>
      </w:pPr>
      <w:hyperlink w:anchor="_Toc109310864" w:history="1">
        <w:r w:rsidR="00052337" w:rsidRPr="007C356D">
          <w:rPr>
            <w:rStyle w:val="Lienhypertexte"/>
            <w:noProof/>
            <w:lang w:val="en-CA" w:bidi="en-CA"/>
          </w:rPr>
          <w:t>CONCLUSION</w:t>
        </w:r>
        <w:r w:rsidR="00052337">
          <w:rPr>
            <w:noProof/>
            <w:webHidden/>
          </w:rPr>
          <w:tab/>
        </w:r>
        <w:r w:rsidR="00052337">
          <w:rPr>
            <w:noProof/>
            <w:webHidden/>
          </w:rPr>
          <w:fldChar w:fldCharType="begin"/>
        </w:r>
        <w:r w:rsidR="00052337">
          <w:rPr>
            <w:noProof/>
            <w:webHidden/>
          </w:rPr>
          <w:instrText xml:space="preserve"> PAGEREF _Toc109310864 \h </w:instrText>
        </w:r>
        <w:r w:rsidR="00052337">
          <w:rPr>
            <w:noProof/>
            <w:webHidden/>
          </w:rPr>
        </w:r>
        <w:r w:rsidR="00052337">
          <w:rPr>
            <w:noProof/>
            <w:webHidden/>
          </w:rPr>
          <w:fldChar w:fldCharType="separate"/>
        </w:r>
        <w:r w:rsidR="00052337">
          <w:rPr>
            <w:noProof/>
            <w:webHidden/>
          </w:rPr>
          <w:t>55</w:t>
        </w:r>
        <w:r w:rsidR="00052337">
          <w:rPr>
            <w:noProof/>
            <w:webHidden/>
          </w:rPr>
          <w:fldChar w:fldCharType="end"/>
        </w:r>
      </w:hyperlink>
    </w:p>
    <w:p w14:paraId="4DAA6D66" w14:textId="77777777" w:rsidR="00FD42DA" w:rsidRPr="0071186E" w:rsidRDefault="001E6FC4" w:rsidP="004067A8">
      <w:pPr>
        <w:tabs>
          <w:tab w:val="right" w:leader="dot" w:pos="9360"/>
        </w:tabs>
        <w:spacing w:after="60"/>
        <w:rPr>
          <w:lang w:val="en-CA"/>
        </w:rPr>
      </w:pPr>
      <w:r w:rsidRPr="00FE1823">
        <w:rPr>
          <w:lang w:val="en-CA"/>
        </w:rPr>
        <w:fldChar w:fldCharType="end"/>
      </w:r>
      <w:r w:rsidR="004067A8" w:rsidRPr="0071186E">
        <w:rPr>
          <w:lang w:val="en-CA"/>
        </w:rPr>
        <w:t>SCHEDULE A</w:t>
      </w:r>
      <w:r w:rsidR="004067A8" w:rsidRPr="0071186E">
        <w:rPr>
          <w:lang w:val="en-CA"/>
        </w:rPr>
        <w:tab/>
        <w:t>52</w:t>
      </w:r>
    </w:p>
    <w:p w14:paraId="1E33B47A" w14:textId="77777777" w:rsidR="004067A8" w:rsidRPr="0071186E" w:rsidRDefault="004067A8" w:rsidP="004067A8">
      <w:pPr>
        <w:tabs>
          <w:tab w:val="right" w:leader="dot" w:pos="9360"/>
        </w:tabs>
        <w:spacing w:after="60"/>
        <w:rPr>
          <w:lang w:val="en-CA"/>
        </w:rPr>
      </w:pPr>
      <w:r w:rsidRPr="0071186E">
        <w:rPr>
          <w:lang w:val="en-CA"/>
        </w:rPr>
        <w:t>SCHEDULE B</w:t>
      </w:r>
      <w:r w:rsidRPr="0071186E">
        <w:rPr>
          <w:lang w:val="en-CA"/>
        </w:rPr>
        <w:tab/>
        <w:t>67</w:t>
      </w:r>
    </w:p>
    <w:p w14:paraId="409F7EAB" w14:textId="77777777" w:rsidR="004067A8" w:rsidRPr="0071186E" w:rsidRDefault="004067A8" w:rsidP="004067A8">
      <w:pPr>
        <w:tabs>
          <w:tab w:val="right" w:leader="dot" w:pos="9360"/>
        </w:tabs>
        <w:spacing w:after="60"/>
        <w:rPr>
          <w:lang w:val="en-CA"/>
        </w:rPr>
      </w:pPr>
      <w:r w:rsidRPr="0071186E">
        <w:rPr>
          <w:lang w:val="en-CA"/>
        </w:rPr>
        <w:t>SCHEDULE C</w:t>
      </w:r>
      <w:r w:rsidRPr="0071186E">
        <w:rPr>
          <w:lang w:val="en-CA"/>
        </w:rPr>
        <w:tab/>
        <w:t>76</w:t>
      </w:r>
    </w:p>
    <w:p w14:paraId="41CB3180" w14:textId="77777777" w:rsidR="004067A8" w:rsidRPr="0071186E" w:rsidRDefault="004067A8" w:rsidP="004067A8">
      <w:pPr>
        <w:tabs>
          <w:tab w:val="right" w:leader="dot" w:pos="9360"/>
        </w:tabs>
        <w:spacing w:after="60"/>
        <w:rPr>
          <w:lang w:val="en-CA"/>
        </w:rPr>
      </w:pPr>
      <w:r w:rsidRPr="0071186E">
        <w:rPr>
          <w:lang w:val="en-CA"/>
        </w:rPr>
        <w:t>SCHEDULE D</w:t>
      </w:r>
      <w:r w:rsidRPr="0071186E">
        <w:rPr>
          <w:lang w:val="en-CA"/>
        </w:rPr>
        <w:tab/>
        <w:t>78</w:t>
      </w:r>
    </w:p>
    <w:p w14:paraId="2B36CB00" w14:textId="77777777" w:rsidR="002D7508" w:rsidRPr="0071186E" w:rsidRDefault="00D0175D" w:rsidP="00D0175D">
      <w:pPr>
        <w:pStyle w:val="Titre1"/>
        <w:rPr>
          <w:lang w:val="en-CA"/>
        </w:rPr>
      </w:pPr>
      <w:r w:rsidRPr="0071186E">
        <w:rPr>
          <w:lang w:val="en-CA"/>
        </w:rPr>
        <w:br w:type="page"/>
      </w:r>
      <w:bookmarkStart w:id="1" w:name="_Toc109310840"/>
      <w:r w:rsidR="00DF6C56" w:rsidRPr="0071186E">
        <w:rPr>
          <w:lang w:val="en-CA"/>
        </w:rPr>
        <w:lastRenderedPageBreak/>
        <w:t>OVERVIEW</w:t>
      </w:r>
      <w:bookmarkEnd w:id="1"/>
    </w:p>
    <w:p w14:paraId="70168E1F" w14:textId="1610E62C" w:rsidR="00D0175D" w:rsidRPr="0071186E" w:rsidRDefault="00E45741" w:rsidP="00300B84">
      <w:pPr>
        <w:pStyle w:val="SimpleL1"/>
        <w:rPr>
          <w:lang w:val="en-CA"/>
        </w:rPr>
      </w:pPr>
      <w:r w:rsidRPr="0071186E">
        <w:rPr>
          <w:lang w:val="en-CA" w:bidi="en-CA"/>
        </w:rPr>
        <w:t xml:space="preserve">The Prosecutor </w:t>
      </w:r>
      <w:r w:rsidR="00D625DD">
        <w:rPr>
          <w:lang w:val="en-CA" w:bidi="en-CA"/>
        </w:rPr>
        <w:t>submits</w:t>
      </w:r>
      <w:r w:rsidRPr="0071186E">
        <w:rPr>
          <w:lang w:val="en-CA" w:bidi="en-CA"/>
        </w:rPr>
        <w:t xml:space="preserve"> a draft remediation agreement (hereinafter the “Draft Agreement”) that it entered into with the organizations SNC-Lavalin Inc. (hereinafter “SNCL</w:t>
      </w:r>
      <w:r w:rsidR="00E071EE" w:rsidRPr="0071186E">
        <w:rPr>
          <w:lang w:val="en-CA" w:bidi="en-CA"/>
        </w:rPr>
        <w:t>”</w:t>
      </w:r>
      <w:r w:rsidRPr="0071186E">
        <w:rPr>
          <w:lang w:val="en-CA" w:bidi="en-CA"/>
        </w:rPr>
        <w:t>) and SNC-Lavalin International Inc. (“SNCLI”</w:t>
      </w:r>
      <w:r w:rsidR="003E0E6C">
        <w:rPr>
          <w:lang w:val="en-CA" w:bidi="en-CA"/>
        </w:rPr>
        <w:t>)</w:t>
      </w:r>
      <w:r w:rsidRPr="0071186E">
        <w:rPr>
          <w:lang w:val="en-CA" w:bidi="en-CA"/>
        </w:rPr>
        <w:t xml:space="preserve"> or, c</w:t>
      </w:r>
      <w:r w:rsidR="005F5C11" w:rsidRPr="0071186E">
        <w:rPr>
          <w:lang w:val="en-CA" w:bidi="en-CA"/>
        </w:rPr>
        <w:t>ollectively, the “Organizations”</w:t>
      </w:r>
      <w:r w:rsidRPr="0071186E">
        <w:rPr>
          <w:lang w:val="en-CA" w:bidi="en-CA"/>
        </w:rPr>
        <w:t xml:space="preserve">, </w:t>
      </w:r>
      <w:r w:rsidR="003E0E6C">
        <w:rPr>
          <w:lang w:val="en-CA" w:bidi="en-CA"/>
        </w:rPr>
        <w:t xml:space="preserve">the </w:t>
      </w:r>
      <w:r w:rsidRPr="0071186E">
        <w:rPr>
          <w:lang w:val="en-CA" w:bidi="en-CA"/>
        </w:rPr>
        <w:t xml:space="preserve">accused in case number 500-01-223556-215, for the purposes of the Court’s approval under </w:t>
      </w:r>
      <w:r w:rsidR="00B905A8">
        <w:rPr>
          <w:lang w:val="en-CA" w:bidi="en-CA"/>
        </w:rPr>
        <w:t>s.</w:t>
      </w:r>
      <w:r w:rsidR="00701389" w:rsidRPr="0071186E">
        <w:rPr>
          <w:lang w:val="en-CA" w:bidi="en-CA"/>
        </w:rPr>
        <w:t xml:space="preserve"> </w:t>
      </w:r>
      <w:r w:rsidRPr="0071186E">
        <w:rPr>
          <w:lang w:val="en-CA" w:bidi="en-CA"/>
        </w:rPr>
        <w:t>715.37(6) Cr.</w:t>
      </w:r>
      <w:r w:rsidR="004E780A">
        <w:rPr>
          <w:lang w:val="en-CA" w:bidi="en-CA"/>
        </w:rPr>
        <w:t xml:space="preserve"> </w:t>
      </w:r>
      <w:r w:rsidRPr="0071186E">
        <w:rPr>
          <w:lang w:val="en-CA" w:bidi="en-CA"/>
        </w:rPr>
        <w:t>C.</w:t>
      </w:r>
      <w:r w:rsidR="00333711" w:rsidRPr="0071186E">
        <w:rPr>
          <w:rStyle w:val="Appelnotedebasdep"/>
          <w:lang w:val="en-CA" w:bidi="en-CA"/>
        </w:rPr>
        <w:footnoteReference w:id="1"/>
      </w:r>
    </w:p>
    <w:p w14:paraId="2C573446" w14:textId="215AECB8" w:rsidR="00D0175D" w:rsidRPr="0071186E" w:rsidRDefault="00E45741" w:rsidP="00300B84">
      <w:pPr>
        <w:pStyle w:val="SimpleL1"/>
        <w:rPr>
          <w:lang w:val="en-CA"/>
        </w:rPr>
      </w:pPr>
      <w:r w:rsidRPr="0071186E">
        <w:rPr>
          <w:lang w:val="en-CA" w:bidi="en-CA"/>
        </w:rPr>
        <w:t xml:space="preserve">In September 2018, </w:t>
      </w:r>
      <w:r w:rsidR="00E071EE" w:rsidRPr="0071186E">
        <w:rPr>
          <w:lang w:val="en-CA" w:bidi="en-CA"/>
        </w:rPr>
        <w:t xml:space="preserve">the Canadian legislator </w:t>
      </w:r>
      <w:r w:rsidRPr="0071186E">
        <w:rPr>
          <w:lang w:val="en-CA" w:bidi="en-CA"/>
        </w:rPr>
        <w:t>introduced the remediation agreement regime in Part</w:t>
      </w:r>
      <w:r w:rsidR="00E071EE" w:rsidRPr="0071186E">
        <w:rPr>
          <w:lang w:val="en-CA" w:bidi="en-CA"/>
        </w:rPr>
        <w:t> </w:t>
      </w:r>
      <w:r w:rsidRPr="0071186E">
        <w:rPr>
          <w:lang w:val="en-CA" w:bidi="en-CA"/>
        </w:rPr>
        <w:t xml:space="preserve">XXll.1 of the </w:t>
      </w:r>
      <w:r w:rsidRPr="0071186E">
        <w:rPr>
          <w:i/>
          <w:lang w:val="en-CA" w:bidi="en-CA"/>
        </w:rPr>
        <w:t>Criminal Code</w:t>
      </w:r>
      <w:r w:rsidRPr="0071186E">
        <w:rPr>
          <w:lang w:val="en-CA" w:bidi="en-CA"/>
        </w:rPr>
        <w:t>. The Draft Agreement in this case is the first submitted before a court for approval in Canada.</w:t>
      </w:r>
    </w:p>
    <w:p w14:paraId="287D2265" w14:textId="5A6FB66C" w:rsidR="005B5D6F" w:rsidRPr="0071186E" w:rsidRDefault="00E45741" w:rsidP="00300B84">
      <w:pPr>
        <w:pStyle w:val="SimpleL1"/>
        <w:rPr>
          <w:lang w:val="en-CA"/>
        </w:rPr>
      </w:pPr>
      <w:r w:rsidRPr="0071186E">
        <w:rPr>
          <w:lang w:val="en-CA" w:bidi="en-CA"/>
        </w:rPr>
        <w:t>The Parties jointly contend that the Draft Agreement is in the public interest and that its terms are fair, reasonable</w:t>
      </w:r>
      <w:r w:rsidR="001C3848">
        <w:rPr>
          <w:lang w:val="en-CA" w:bidi="en-CA"/>
        </w:rPr>
        <w:t>,</w:t>
      </w:r>
      <w:r w:rsidRPr="0071186E">
        <w:rPr>
          <w:lang w:val="en-CA" w:bidi="en-CA"/>
        </w:rPr>
        <w:t xml:space="preserve"> and proportionate to the gravity of the</w:t>
      </w:r>
      <w:r w:rsidR="0058765E">
        <w:rPr>
          <w:lang w:val="en-CA" w:bidi="en-CA"/>
        </w:rPr>
        <w:t xml:space="preserve"> alleged offences</w:t>
      </w:r>
      <w:r w:rsidRPr="0071186E">
        <w:rPr>
          <w:lang w:val="en-CA" w:bidi="en-CA"/>
        </w:rPr>
        <w:t xml:space="preserve">. It is the culmination of </w:t>
      </w:r>
      <w:r w:rsidR="005F5C11" w:rsidRPr="0071186E">
        <w:rPr>
          <w:lang w:val="en-CA" w:bidi="en-CA"/>
        </w:rPr>
        <w:t xml:space="preserve">an </w:t>
      </w:r>
      <w:r w:rsidRPr="0071186E">
        <w:rPr>
          <w:lang w:val="en-CA" w:bidi="en-CA"/>
        </w:rPr>
        <w:t xml:space="preserve">offer </w:t>
      </w:r>
      <w:r w:rsidR="005F5C11" w:rsidRPr="0071186E">
        <w:rPr>
          <w:lang w:val="en-CA" w:bidi="en-CA"/>
        </w:rPr>
        <w:t>to enter into negotiation</w:t>
      </w:r>
      <w:r w:rsidR="004067A8" w:rsidRPr="0071186E">
        <w:rPr>
          <w:lang w:val="en-CA" w:bidi="en-CA"/>
        </w:rPr>
        <w:t>s</w:t>
      </w:r>
      <w:r w:rsidR="005F5C11" w:rsidRPr="0071186E">
        <w:rPr>
          <w:lang w:val="en-CA" w:bidi="en-CA"/>
        </w:rPr>
        <w:t xml:space="preserve"> for a remediation agreement </w:t>
      </w:r>
      <w:r w:rsidRPr="0071186E">
        <w:rPr>
          <w:lang w:val="en-CA" w:bidi="en-CA"/>
        </w:rPr>
        <w:t xml:space="preserve">and </w:t>
      </w:r>
      <w:r w:rsidR="00340BC6">
        <w:rPr>
          <w:lang w:val="en-CA" w:bidi="en-CA"/>
        </w:rPr>
        <w:t xml:space="preserve">the </w:t>
      </w:r>
      <w:r w:rsidR="004067A8" w:rsidRPr="0071186E">
        <w:rPr>
          <w:lang w:val="en-CA" w:bidi="en-CA"/>
        </w:rPr>
        <w:t xml:space="preserve">resulting </w:t>
      </w:r>
      <w:r w:rsidRPr="0071186E">
        <w:rPr>
          <w:lang w:val="en-CA" w:bidi="en-CA"/>
        </w:rPr>
        <w:t>negotiation process undertaken by the Parties from September 2021 to February 2022</w:t>
      </w:r>
      <w:r w:rsidR="00340BC6">
        <w:rPr>
          <w:lang w:val="en-CA" w:bidi="en-CA"/>
        </w:rPr>
        <w:t>,</w:t>
      </w:r>
      <w:r w:rsidRPr="0071186E">
        <w:rPr>
          <w:lang w:val="en-CA" w:bidi="en-CA"/>
        </w:rPr>
        <w:t xml:space="preserve"> governed by common law and Part</w:t>
      </w:r>
      <w:r w:rsidR="005F5C11" w:rsidRPr="0071186E">
        <w:rPr>
          <w:lang w:val="en-CA" w:bidi="en-CA"/>
        </w:rPr>
        <w:t> </w:t>
      </w:r>
      <w:r w:rsidRPr="0071186E">
        <w:rPr>
          <w:lang w:val="en-CA" w:bidi="en-CA"/>
        </w:rPr>
        <w:t>XXIl.1</w:t>
      </w:r>
      <w:r w:rsidRPr="0071186E">
        <w:rPr>
          <w:i/>
          <w:lang w:val="en-CA" w:bidi="en-CA"/>
        </w:rPr>
        <w:t>.</w:t>
      </w:r>
    </w:p>
    <w:p w14:paraId="639D42AC" w14:textId="50850C77" w:rsidR="00E45741" w:rsidRPr="0071186E" w:rsidRDefault="00E45741" w:rsidP="00300B84">
      <w:pPr>
        <w:pStyle w:val="SimpleL1"/>
        <w:rPr>
          <w:lang w:val="en-CA"/>
        </w:rPr>
      </w:pPr>
      <w:r w:rsidRPr="0071186E">
        <w:rPr>
          <w:lang w:val="en-CA" w:bidi="en-CA"/>
        </w:rPr>
        <w:t xml:space="preserve">The Draft Agreement incorporates the mandatory and </w:t>
      </w:r>
      <w:r w:rsidR="009F7070">
        <w:rPr>
          <w:lang w:val="en-CA" w:bidi="en-CA"/>
        </w:rPr>
        <w:t>optional</w:t>
      </w:r>
      <w:r w:rsidRPr="0071186E">
        <w:rPr>
          <w:lang w:val="en-CA" w:bidi="en-CA"/>
        </w:rPr>
        <w:t xml:space="preserve"> content of any remediation agreement, prescribed by </w:t>
      </w:r>
      <w:r w:rsidR="00B905A8" w:rsidRPr="0071186E">
        <w:rPr>
          <w:lang w:val="en-CA" w:bidi="en-CA"/>
        </w:rPr>
        <w:t>s</w:t>
      </w:r>
      <w:r w:rsidR="00B905A8">
        <w:rPr>
          <w:lang w:val="en-CA" w:bidi="en-CA"/>
        </w:rPr>
        <w:t>.</w:t>
      </w:r>
      <w:r w:rsidR="00B905A8" w:rsidRPr="0071186E">
        <w:rPr>
          <w:lang w:val="en-CA" w:bidi="en-CA"/>
        </w:rPr>
        <w:t xml:space="preserve"> </w:t>
      </w:r>
      <w:r w:rsidRPr="0071186E">
        <w:rPr>
          <w:lang w:val="en-CA" w:bidi="en-CA"/>
        </w:rPr>
        <w:t>715.34 Cr.</w:t>
      </w:r>
      <w:r w:rsidR="00B905A8">
        <w:rPr>
          <w:lang w:val="en-CA" w:bidi="en-CA"/>
        </w:rPr>
        <w:t> </w:t>
      </w:r>
      <w:r w:rsidRPr="0071186E">
        <w:rPr>
          <w:lang w:val="en-CA" w:bidi="en-CA"/>
        </w:rPr>
        <w:t xml:space="preserve">C., under two main categories </w:t>
      </w:r>
      <w:r w:rsidR="005F5C11" w:rsidRPr="0071186E">
        <w:rPr>
          <w:lang w:val="en-CA" w:bidi="en-CA"/>
        </w:rPr>
        <w:t>of conditions: the Organization</w:t>
      </w:r>
      <w:r w:rsidRPr="0071186E">
        <w:rPr>
          <w:lang w:val="en-CA" w:bidi="en-CA"/>
        </w:rPr>
        <w:t>s</w:t>
      </w:r>
      <w:r w:rsidR="005F5C11" w:rsidRPr="0071186E">
        <w:rPr>
          <w:lang w:val="en-CA" w:bidi="en-CA"/>
        </w:rPr>
        <w:t>’</w:t>
      </w:r>
      <w:r w:rsidRPr="0071186E">
        <w:rPr>
          <w:lang w:val="en-CA" w:bidi="en-CA"/>
        </w:rPr>
        <w:t xml:space="preserve"> financial obligations and the </w:t>
      </w:r>
      <w:r w:rsidR="009F7070">
        <w:rPr>
          <w:lang w:val="en-CA" w:bidi="en-CA"/>
        </w:rPr>
        <w:t>follow-up on compliance</w:t>
      </w:r>
      <w:r w:rsidRPr="0071186E">
        <w:rPr>
          <w:lang w:val="en-CA" w:bidi="en-CA"/>
        </w:rPr>
        <w:t xml:space="preserve"> measures. The Draft Agreement also includes the Organizations’ admission of responsibility, established based on a Statement of Facts, as well as their commitment to cooperate in </w:t>
      </w:r>
      <w:r w:rsidR="005F5C11" w:rsidRPr="0071186E">
        <w:rPr>
          <w:lang w:val="en-CA" w:bidi="en-CA"/>
        </w:rPr>
        <w:t xml:space="preserve">the </w:t>
      </w:r>
      <w:r w:rsidRPr="0071186E">
        <w:rPr>
          <w:lang w:val="en-CA" w:bidi="en-CA"/>
        </w:rPr>
        <w:t>future.</w:t>
      </w:r>
    </w:p>
    <w:p w14:paraId="2313B35A" w14:textId="2BFB3548" w:rsidR="00E45741" w:rsidRPr="0071186E" w:rsidRDefault="00340BC6" w:rsidP="00300B84">
      <w:pPr>
        <w:pStyle w:val="SimpleL1"/>
        <w:rPr>
          <w:lang w:val="en-CA"/>
        </w:rPr>
      </w:pPr>
      <w:r>
        <w:rPr>
          <w:lang w:val="en-CA" w:bidi="en-CA"/>
        </w:rPr>
        <w:t>With</w:t>
      </w:r>
      <w:r w:rsidRPr="0071186E">
        <w:rPr>
          <w:lang w:val="en-CA" w:bidi="en-CA"/>
        </w:rPr>
        <w:t xml:space="preserve"> </w:t>
      </w:r>
      <w:r w:rsidR="00E45741" w:rsidRPr="0071186E">
        <w:rPr>
          <w:lang w:val="en-CA" w:bidi="en-CA"/>
        </w:rPr>
        <w:t xml:space="preserve">the remediation agreement regime, </w:t>
      </w:r>
      <w:r w:rsidR="00650AB8">
        <w:rPr>
          <w:lang w:val="en-CA" w:bidi="en-CA"/>
        </w:rPr>
        <w:t>Parliament</w:t>
      </w:r>
      <w:r w:rsidR="005F5C11" w:rsidRPr="0071186E">
        <w:rPr>
          <w:lang w:val="en-CA" w:bidi="en-CA"/>
        </w:rPr>
        <w:t xml:space="preserve"> </w:t>
      </w:r>
      <w:r>
        <w:rPr>
          <w:lang w:val="en-CA" w:bidi="en-CA"/>
        </w:rPr>
        <w:t>has</w:t>
      </w:r>
      <w:r w:rsidR="00E45741" w:rsidRPr="0071186E">
        <w:rPr>
          <w:lang w:val="en-CA" w:bidi="en-CA"/>
        </w:rPr>
        <w:t xml:space="preserve"> certain specific objectives: to hold an organization accountable, to correct the corporate culture and to remedy the harm caused by the offences while avoiding negative consequences </w:t>
      </w:r>
      <w:r w:rsidR="00650AB8">
        <w:rPr>
          <w:lang w:val="en-CA" w:bidi="en-CA"/>
        </w:rPr>
        <w:t>to</w:t>
      </w:r>
      <w:r w:rsidR="00650AB8" w:rsidRPr="0071186E">
        <w:rPr>
          <w:lang w:val="en-CA" w:bidi="en-CA"/>
        </w:rPr>
        <w:t xml:space="preserve"> </w:t>
      </w:r>
      <w:r w:rsidR="00E45741" w:rsidRPr="0071186E">
        <w:rPr>
          <w:lang w:val="en-CA" w:bidi="en-CA"/>
        </w:rPr>
        <w:t>innocent third parties.</w:t>
      </w:r>
    </w:p>
    <w:p w14:paraId="45D448A1" w14:textId="77777777" w:rsidR="00E45741" w:rsidRPr="0071186E" w:rsidRDefault="00E45741" w:rsidP="00300B84">
      <w:pPr>
        <w:pStyle w:val="SimpleL1"/>
        <w:rPr>
          <w:lang w:val="en-CA"/>
        </w:rPr>
      </w:pPr>
      <w:r w:rsidRPr="0071186E">
        <w:rPr>
          <w:lang w:val="en-CA" w:bidi="en-CA"/>
        </w:rPr>
        <w:t xml:space="preserve">To that end, the Parties have agreed that the Draft </w:t>
      </w:r>
      <w:r w:rsidR="005F5C11" w:rsidRPr="0071186E">
        <w:rPr>
          <w:lang w:val="en-CA" w:bidi="en-CA"/>
        </w:rPr>
        <w:t xml:space="preserve">Agreement </w:t>
      </w:r>
      <w:r w:rsidRPr="0071186E">
        <w:rPr>
          <w:lang w:val="en-CA" w:bidi="en-CA"/>
        </w:rPr>
        <w:t xml:space="preserve">should provide for financial obligations on the part of the Organizations and monitoring by an Independent Monitor appointed to </w:t>
      </w:r>
      <w:r w:rsidR="00E82FD2">
        <w:rPr>
          <w:lang w:val="en-CA" w:bidi="en-CA"/>
        </w:rPr>
        <w:t>ensure the application</w:t>
      </w:r>
      <w:r w:rsidRPr="0071186E">
        <w:rPr>
          <w:lang w:val="en-CA" w:bidi="en-CA"/>
        </w:rPr>
        <w:t xml:space="preserve"> and, if necessary, </w:t>
      </w:r>
      <w:r w:rsidR="005F5C11" w:rsidRPr="0071186E">
        <w:rPr>
          <w:lang w:val="en-CA" w:bidi="en-CA"/>
        </w:rPr>
        <w:t xml:space="preserve">the </w:t>
      </w:r>
      <w:r w:rsidRPr="0071186E">
        <w:rPr>
          <w:lang w:val="en-CA" w:bidi="en-CA"/>
        </w:rPr>
        <w:t>improvement of the existing integrity program.</w:t>
      </w:r>
    </w:p>
    <w:p w14:paraId="7BF32685" w14:textId="695A7CB1" w:rsidR="00E45741" w:rsidRPr="0071186E" w:rsidRDefault="00E45741" w:rsidP="00300B84">
      <w:pPr>
        <w:pStyle w:val="SimpleL1"/>
        <w:rPr>
          <w:lang w:val="en-CA"/>
        </w:rPr>
      </w:pPr>
      <w:r w:rsidRPr="0071186E">
        <w:rPr>
          <w:lang w:val="en-CA" w:bidi="en-CA"/>
        </w:rPr>
        <w:t>The Parties propose that the financial obligations and integrity monitoring be spread over three (3) years</w:t>
      </w:r>
      <w:r w:rsidR="00650AB8">
        <w:rPr>
          <w:lang w:val="en-CA" w:bidi="en-CA"/>
        </w:rPr>
        <w:t>,</w:t>
      </w:r>
      <w:r w:rsidRPr="0071186E">
        <w:rPr>
          <w:lang w:val="en-CA" w:bidi="en-CA"/>
        </w:rPr>
        <w:t xml:space="preserve"> if the Court finds that </w:t>
      </w:r>
      <w:r w:rsidR="005F5C11" w:rsidRPr="0071186E">
        <w:rPr>
          <w:lang w:val="en-CA" w:bidi="en-CA"/>
        </w:rPr>
        <w:t>these terms</w:t>
      </w:r>
      <w:r w:rsidRPr="0071186E">
        <w:rPr>
          <w:lang w:val="en-CA" w:bidi="en-CA"/>
        </w:rPr>
        <w:t xml:space="preserve"> have all been </w:t>
      </w:r>
      <w:r w:rsidR="005F5C11" w:rsidRPr="0071186E">
        <w:rPr>
          <w:lang w:val="en-CA" w:bidi="en-CA"/>
        </w:rPr>
        <w:t>met</w:t>
      </w:r>
      <w:r w:rsidRPr="0071186E">
        <w:rPr>
          <w:lang w:val="en-CA" w:bidi="en-CA"/>
        </w:rPr>
        <w:t xml:space="preserve">. In such a case, the proceedings </w:t>
      </w:r>
      <w:r w:rsidR="002F3D39">
        <w:rPr>
          <w:lang w:val="en-CA" w:bidi="en-CA"/>
        </w:rPr>
        <w:t>will be</w:t>
      </w:r>
      <w:r w:rsidR="002F3D39" w:rsidRPr="0071186E">
        <w:rPr>
          <w:lang w:val="en-CA" w:bidi="en-CA"/>
        </w:rPr>
        <w:t xml:space="preserve"> </w:t>
      </w:r>
      <w:r w:rsidRPr="0071186E">
        <w:rPr>
          <w:lang w:val="en-CA" w:bidi="en-CA"/>
        </w:rPr>
        <w:t>stayed by the effects of s</w:t>
      </w:r>
      <w:r w:rsidR="00B905A8">
        <w:rPr>
          <w:lang w:val="en-CA" w:bidi="en-CA"/>
        </w:rPr>
        <w:t>.</w:t>
      </w:r>
      <w:r w:rsidR="005F5C11" w:rsidRPr="0071186E">
        <w:rPr>
          <w:lang w:val="en-CA" w:bidi="en-CA"/>
        </w:rPr>
        <w:t> </w:t>
      </w:r>
      <w:r w:rsidRPr="0071186E">
        <w:rPr>
          <w:lang w:val="en-CA" w:bidi="en-CA"/>
        </w:rPr>
        <w:t>715.4(2) Cr.</w:t>
      </w:r>
      <w:r w:rsidR="00B905A8">
        <w:rPr>
          <w:lang w:val="en-CA" w:bidi="en-CA"/>
        </w:rPr>
        <w:t> </w:t>
      </w:r>
      <w:r w:rsidRPr="0071186E">
        <w:rPr>
          <w:lang w:val="en-CA" w:bidi="en-CA"/>
        </w:rPr>
        <w:t>C.</w:t>
      </w:r>
    </w:p>
    <w:p w14:paraId="3A19BAF2" w14:textId="77777777" w:rsidR="00E45741" w:rsidRPr="0071186E" w:rsidRDefault="00E45741" w:rsidP="00300B84">
      <w:pPr>
        <w:pStyle w:val="SimpleL1"/>
        <w:rPr>
          <w:lang w:val="en-CA"/>
        </w:rPr>
      </w:pPr>
      <w:r w:rsidRPr="0071186E">
        <w:rPr>
          <w:lang w:val="en-CA" w:bidi="en-CA"/>
        </w:rPr>
        <w:t>The financial framework of the Draft Agreement consists of:</w:t>
      </w:r>
    </w:p>
    <w:p w14:paraId="0825AEDC" w14:textId="4F6E88E9" w:rsidR="00D0175D" w:rsidRPr="0071186E" w:rsidRDefault="00E45741" w:rsidP="00300B84">
      <w:pPr>
        <w:pStyle w:val="SimpleL2"/>
        <w:rPr>
          <w:lang w:val="en-CA"/>
        </w:rPr>
      </w:pPr>
      <w:r w:rsidRPr="0071186E">
        <w:rPr>
          <w:lang w:val="en-CA" w:bidi="en-CA"/>
        </w:rPr>
        <w:t>payment of a penalty (715.34(1)(f)</w:t>
      </w:r>
      <w:r w:rsidR="004067A8" w:rsidRPr="0071186E">
        <w:rPr>
          <w:lang w:val="en-CA" w:bidi="en-CA"/>
        </w:rPr>
        <w:t xml:space="preserve"> </w:t>
      </w:r>
      <w:r w:rsidRPr="0071186E">
        <w:rPr>
          <w:lang w:val="en-CA" w:bidi="en-CA"/>
        </w:rPr>
        <w:t>Cr.</w:t>
      </w:r>
      <w:r w:rsidR="00B905A8">
        <w:rPr>
          <w:lang w:val="en-CA" w:bidi="en-CA"/>
        </w:rPr>
        <w:t> </w:t>
      </w:r>
      <w:r w:rsidRPr="0071186E">
        <w:rPr>
          <w:lang w:val="en-CA" w:bidi="en-CA"/>
        </w:rPr>
        <w:t>C.);</w:t>
      </w:r>
    </w:p>
    <w:p w14:paraId="28B1D257" w14:textId="3CB92E79" w:rsidR="00D56C53" w:rsidRPr="0071186E" w:rsidRDefault="00D63ECD" w:rsidP="00300B84">
      <w:pPr>
        <w:pStyle w:val="SimpleL2"/>
        <w:rPr>
          <w:lang w:val="en-CA"/>
        </w:rPr>
      </w:pPr>
      <w:r>
        <w:rPr>
          <w:lang w:val="en-CA" w:bidi="en-CA"/>
        </w:rPr>
        <w:t>forfeiture of property, benefit</w:t>
      </w:r>
      <w:r w:rsidR="00E45741" w:rsidRPr="0071186E">
        <w:rPr>
          <w:lang w:val="en-CA" w:bidi="en-CA"/>
        </w:rPr>
        <w:t xml:space="preserve"> </w:t>
      </w:r>
      <w:r w:rsidR="00AC29F5" w:rsidRPr="0071186E">
        <w:rPr>
          <w:lang w:val="en-CA" w:bidi="en-CA"/>
        </w:rPr>
        <w:t xml:space="preserve">and </w:t>
      </w:r>
      <w:r>
        <w:rPr>
          <w:lang w:val="en-CA" w:bidi="en-CA"/>
        </w:rPr>
        <w:t>advantage</w:t>
      </w:r>
      <w:r w:rsidR="00E45741" w:rsidRPr="0071186E">
        <w:rPr>
          <w:lang w:val="en-CA" w:bidi="en-CA"/>
        </w:rPr>
        <w:t xml:space="preserve"> </w:t>
      </w:r>
      <w:r w:rsidR="00AC29F5" w:rsidRPr="0071186E">
        <w:rPr>
          <w:lang w:val="en-CA" w:bidi="en-CA"/>
        </w:rPr>
        <w:t xml:space="preserve">resulting </w:t>
      </w:r>
      <w:r w:rsidR="00E45741" w:rsidRPr="0071186E">
        <w:rPr>
          <w:lang w:val="en-CA" w:bidi="en-CA"/>
        </w:rPr>
        <w:t>from the offences (715.34(1)(e) Cr.</w:t>
      </w:r>
      <w:r w:rsidR="00F25E06">
        <w:rPr>
          <w:lang w:val="en-CA" w:bidi="en-CA"/>
        </w:rPr>
        <w:t> </w:t>
      </w:r>
      <w:r w:rsidR="00E45741" w:rsidRPr="0071186E">
        <w:rPr>
          <w:lang w:val="en-CA" w:bidi="en-CA"/>
        </w:rPr>
        <w:t>C.);</w:t>
      </w:r>
    </w:p>
    <w:p w14:paraId="48DF11B9" w14:textId="5E874116" w:rsidR="00D56C53" w:rsidRPr="0071186E" w:rsidRDefault="00E45741" w:rsidP="00300B84">
      <w:pPr>
        <w:pStyle w:val="SimpleL2"/>
        <w:rPr>
          <w:lang w:val="en-CA"/>
        </w:rPr>
      </w:pPr>
      <w:r w:rsidRPr="0071186E">
        <w:rPr>
          <w:lang w:val="en-CA" w:bidi="en-CA"/>
        </w:rPr>
        <w:lastRenderedPageBreak/>
        <w:t>payment of reparations to the victim (715.34(1)(g) Cr.</w:t>
      </w:r>
      <w:r w:rsidR="00F25E06">
        <w:rPr>
          <w:lang w:val="en-CA" w:bidi="en-CA"/>
        </w:rPr>
        <w:t> </w:t>
      </w:r>
      <w:r w:rsidRPr="0071186E">
        <w:rPr>
          <w:lang w:val="en-CA" w:bidi="en-CA"/>
        </w:rPr>
        <w:t>C.);</w:t>
      </w:r>
    </w:p>
    <w:p w14:paraId="30B7AFF0" w14:textId="05D8DF28" w:rsidR="00D56C53" w:rsidRPr="0071186E" w:rsidRDefault="00E45741" w:rsidP="00300B84">
      <w:pPr>
        <w:pStyle w:val="SimpleL2"/>
        <w:rPr>
          <w:lang w:val="en-CA"/>
        </w:rPr>
      </w:pPr>
      <w:r w:rsidRPr="0071186E">
        <w:rPr>
          <w:lang w:val="en-CA" w:bidi="en-CA"/>
        </w:rPr>
        <w:t>payment of a victim surcharge (715.34(1)(h)</w:t>
      </w:r>
      <w:r w:rsidR="004067A8" w:rsidRPr="0071186E">
        <w:rPr>
          <w:lang w:val="en-CA" w:bidi="en-CA"/>
        </w:rPr>
        <w:t xml:space="preserve"> </w:t>
      </w:r>
      <w:r w:rsidRPr="0071186E">
        <w:rPr>
          <w:lang w:val="en-CA" w:bidi="en-CA"/>
        </w:rPr>
        <w:t>Cr.</w:t>
      </w:r>
      <w:r w:rsidR="00F25E06">
        <w:rPr>
          <w:lang w:val="en-CA" w:bidi="en-CA"/>
        </w:rPr>
        <w:t> </w:t>
      </w:r>
      <w:r w:rsidRPr="0071186E">
        <w:rPr>
          <w:lang w:val="en-CA" w:bidi="en-CA"/>
        </w:rPr>
        <w:t>C.).</w:t>
      </w:r>
    </w:p>
    <w:p w14:paraId="11E559D7" w14:textId="77777777" w:rsidR="00E45741" w:rsidRPr="0071186E" w:rsidRDefault="00E45741" w:rsidP="00E45741">
      <w:pPr>
        <w:pStyle w:val="SimpleL2"/>
        <w:numPr>
          <w:ilvl w:val="0"/>
          <w:numId w:val="0"/>
        </w:numPr>
        <w:ind w:left="1440"/>
        <w:rPr>
          <w:lang w:val="en-CA"/>
        </w:rPr>
      </w:pPr>
    </w:p>
    <w:p w14:paraId="26B443CE" w14:textId="6BF5C62A" w:rsidR="00D56C53" w:rsidRPr="0071186E" w:rsidRDefault="003E0AF4" w:rsidP="00300B84">
      <w:pPr>
        <w:pStyle w:val="SimpleL1"/>
        <w:rPr>
          <w:lang w:val="en-CA"/>
        </w:rPr>
      </w:pPr>
      <w:r>
        <w:rPr>
          <w:lang w:val="en-CA" w:bidi="en-CA"/>
        </w:rPr>
        <w:t>The p</w:t>
      </w:r>
      <w:r w:rsidR="00E45741" w:rsidRPr="0071186E">
        <w:rPr>
          <w:lang w:val="en-CA" w:bidi="en-CA"/>
        </w:rPr>
        <w:t xml:space="preserve">arties argue that the penalty amounts to </w:t>
      </w:r>
      <w:r w:rsidR="00AC29F5" w:rsidRPr="0071186E">
        <w:rPr>
          <w:lang w:val="en-CA" w:bidi="en-CA"/>
        </w:rPr>
        <w:t xml:space="preserve">a </w:t>
      </w:r>
      <w:r w:rsidR="00E45741" w:rsidRPr="0071186E">
        <w:rPr>
          <w:lang w:val="en-CA" w:bidi="en-CA"/>
        </w:rPr>
        <w:t xml:space="preserve">fine imposed on an organization. The penological principles of common law and Part XXIII of the </w:t>
      </w:r>
      <w:r w:rsidR="00E45741" w:rsidRPr="0071186E">
        <w:rPr>
          <w:i/>
          <w:lang w:val="en-CA" w:bidi="en-CA"/>
        </w:rPr>
        <w:t>Criminal Code</w:t>
      </w:r>
      <w:r w:rsidR="00E45741" w:rsidRPr="0071186E">
        <w:rPr>
          <w:lang w:val="en-CA" w:bidi="en-CA"/>
        </w:rPr>
        <w:t xml:space="preserve">, more specifically </w:t>
      </w:r>
      <w:r w:rsidR="00F25E06" w:rsidRPr="0071186E">
        <w:rPr>
          <w:lang w:val="en-CA" w:bidi="en-CA"/>
        </w:rPr>
        <w:t>s</w:t>
      </w:r>
      <w:r w:rsidR="00F25E06">
        <w:rPr>
          <w:lang w:val="en-CA" w:bidi="en-CA"/>
        </w:rPr>
        <w:t>.</w:t>
      </w:r>
      <w:r w:rsidR="00F25E06" w:rsidRPr="0071186E">
        <w:rPr>
          <w:lang w:val="en-CA" w:bidi="en-CA"/>
        </w:rPr>
        <w:t xml:space="preserve"> </w:t>
      </w:r>
      <w:r w:rsidR="00E45741" w:rsidRPr="0071186E">
        <w:rPr>
          <w:lang w:val="en-CA" w:bidi="en-CA"/>
        </w:rPr>
        <w:t>718.21 Cr.</w:t>
      </w:r>
      <w:r w:rsidR="00F25E06">
        <w:rPr>
          <w:lang w:val="en-CA" w:bidi="en-CA"/>
        </w:rPr>
        <w:t> </w:t>
      </w:r>
      <w:r w:rsidR="00E45741" w:rsidRPr="0071186E">
        <w:rPr>
          <w:lang w:val="en-CA" w:bidi="en-CA"/>
        </w:rPr>
        <w:t xml:space="preserve">C., apply </w:t>
      </w:r>
      <w:r w:rsidR="00E45741" w:rsidRPr="0071186E">
        <w:rPr>
          <w:i/>
          <w:lang w:val="en-CA" w:bidi="en-CA"/>
        </w:rPr>
        <w:t>mutatis mutandis</w:t>
      </w:r>
      <w:r w:rsidR="00E45741" w:rsidRPr="0071186E">
        <w:rPr>
          <w:lang w:val="en-CA" w:bidi="en-CA"/>
        </w:rPr>
        <w:t>.</w:t>
      </w:r>
      <w:r w:rsidR="00D56C53" w:rsidRPr="0071186E">
        <w:rPr>
          <w:lang w:val="en-CA"/>
        </w:rPr>
        <w:t xml:space="preserve"> </w:t>
      </w:r>
    </w:p>
    <w:p w14:paraId="6C9A003D" w14:textId="19ED3FBE" w:rsidR="00E45741" w:rsidRPr="0071186E" w:rsidRDefault="003E0AF4" w:rsidP="00300B84">
      <w:pPr>
        <w:pStyle w:val="SimpleL1"/>
        <w:rPr>
          <w:lang w:val="en-CA"/>
        </w:rPr>
      </w:pPr>
      <w:r>
        <w:rPr>
          <w:lang w:val="en-CA" w:bidi="en-CA"/>
        </w:rPr>
        <w:t>The p</w:t>
      </w:r>
      <w:r w:rsidR="00E45741" w:rsidRPr="0071186E">
        <w:rPr>
          <w:lang w:val="en-CA" w:bidi="en-CA"/>
        </w:rPr>
        <w:t xml:space="preserve">arties to the </w:t>
      </w:r>
      <w:r w:rsidR="003A39FA">
        <w:rPr>
          <w:lang w:val="en-CA" w:bidi="en-CA"/>
        </w:rPr>
        <w:t xml:space="preserve">Draft </w:t>
      </w:r>
      <w:r w:rsidR="00E45741" w:rsidRPr="0071186E">
        <w:rPr>
          <w:lang w:val="en-CA" w:bidi="en-CA"/>
        </w:rPr>
        <w:t>Agreement agree that payment of the $18,135,135 penalty satisfies all of these principles and the objectives of the remediation agreement regime.</w:t>
      </w:r>
    </w:p>
    <w:p w14:paraId="6B080C29" w14:textId="4EC021C8" w:rsidR="00E45741" w:rsidRPr="0071186E" w:rsidRDefault="00E45741" w:rsidP="00300B84">
      <w:pPr>
        <w:pStyle w:val="SimpleL1"/>
        <w:rPr>
          <w:lang w:val="en-CA"/>
        </w:rPr>
      </w:pPr>
      <w:r w:rsidRPr="0071186E">
        <w:rPr>
          <w:lang w:val="en-CA" w:bidi="en-CA"/>
        </w:rPr>
        <w:t>This amount represents the projected</w:t>
      </w:r>
      <w:r w:rsidR="001A3040">
        <w:rPr>
          <w:lang w:val="en-CA" w:bidi="en-CA"/>
        </w:rPr>
        <w:t xml:space="preserve"> profit</w:t>
      </w:r>
      <w:r w:rsidR="003A39FA">
        <w:rPr>
          <w:lang w:val="en-CA" w:bidi="en-CA"/>
        </w:rPr>
        <w:t xml:space="preserve"> of</w:t>
      </w:r>
      <w:r w:rsidRPr="0071186E">
        <w:rPr>
          <w:lang w:val="en-CA" w:bidi="en-CA"/>
        </w:rPr>
        <w:t xml:space="preserve"> $6,908,623, multiplied by a punitive factor of 350%, or $24,180,181, less a 25% cooperation credit. This credit is equal to $6,045,046.</w:t>
      </w:r>
    </w:p>
    <w:p w14:paraId="2EC75F3B" w14:textId="4D27F4B9" w:rsidR="00E45741" w:rsidRPr="0071186E" w:rsidRDefault="00E45741" w:rsidP="00300B84">
      <w:pPr>
        <w:pStyle w:val="SimpleL1"/>
        <w:rPr>
          <w:lang w:val="en-CA"/>
        </w:rPr>
      </w:pPr>
      <w:r w:rsidRPr="0071186E">
        <w:rPr>
          <w:lang w:val="en-CA" w:bidi="en-CA"/>
        </w:rPr>
        <w:t xml:space="preserve">Forfeiture under </w:t>
      </w:r>
      <w:r w:rsidR="00F25E06">
        <w:rPr>
          <w:lang w:val="en-CA" w:bidi="en-CA"/>
        </w:rPr>
        <w:t>s.</w:t>
      </w:r>
      <w:r w:rsidR="00F25E06" w:rsidRPr="0071186E">
        <w:rPr>
          <w:lang w:val="en-CA" w:bidi="en-CA"/>
        </w:rPr>
        <w:t xml:space="preserve"> </w:t>
      </w:r>
      <w:r w:rsidRPr="0071186E">
        <w:rPr>
          <w:lang w:val="en-CA" w:bidi="en-CA"/>
        </w:rPr>
        <w:t>715.34(1)(e) Cr.</w:t>
      </w:r>
      <w:r w:rsidR="00F25E06">
        <w:rPr>
          <w:lang w:val="en-CA" w:bidi="en-CA"/>
        </w:rPr>
        <w:t> </w:t>
      </w:r>
      <w:r w:rsidRPr="0071186E">
        <w:rPr>
          <w:lang w:val="en-CA" w:bidi="en-CA"/>
        </w:rPr>
        <w:t xml:space="preserve">C. refers to the </w:t>
      </w:r>
      <w:r w:rsidR="003E0AF4">
        <w:rPr>
          <w:lang w:val="en-CA" w:bidi="en-CA"/>
        </w:rPr>
        <w:t xml:space="preserve">forfeiture of proceeds of crime </w:t>
      </w:r>
      <w:r w:rsidRPr="0071186E">
        <w:rPr>
          <w:lang w:val="en-CA" w:bidi="en-CA"/>
        </w:rPr>
        <w:t xml:space="preserve">regime under Part XII.2 of the </w:t>
      </w:r>
      <w:r w:rsidRPr="0071186E">
        <w:rPr>
          <w:i/>
          <w:lang w:val="en-CA" w:bidi="en-CA"/>
        </w:rPr>
        <w:t>Criminal Code</w:t>
      </w:r>
      <w:r w:rsidR="003E0AF4">
        <w:rPr>
          <w:lang w:val="en-CA" w:bidi="en-CA"/>
        </w:rPr>
        <w:t>. The p</w:t>
      </w:r>
      <w:r w:rsidRPr="0071186E">
        <w:rPr>
          <w:lang w:val="en-CA" w:bidi="en-CA"/>
        </w:rPr>
        <w:t xml:space="preserve">arties to the Agreement agree that the </w:t>
      </w:r>
      <w:r w:rsidR="00AC29F5" w:rsidRPr="0071186E">
        <w:rPr>
          <w:lang w:val="en-CA" w:bidi="en-CA"/>
        </w:rPr>
        <w:t xml:space="preserve">payment of </w:t>
      </w:r>
      <w:r w:rsidRPr="0071186E">
        <w:rPr>
          <w:lang w:val="en-CA" w:bidi="en-CA"/>
        </w:rPr>
        <w:t>$2,490,721 amounts to a fine in lieu of the proceeds of crime based on the circumstances of this case.</w:t>
      </w:r>
    </w:p>
    <w:p w14:paraId="319D2849" w14:textId="21D47C72" w:rsidR="00E45741" w:rsidRPr="0071186E" w:rsidRDefault="003E0AF4" w:rsidP="00300B84">
      <w:pPr>
        <w:pStyle w:val="SimpleL1"/>
        <w:rPr>
          <w:lang w:val="en-CA"/>
        </w:rPr>
      </w:pPr>
      <w:r>
        <w:rPr>
          <w:lang w:val="en-CA" w:bidi="en-CA"/>
        </w:rPr>
        <w:t>The reparation measure to</w:t>
      </w:r>
      <w:r w:rsidR="00E45741" w:rsidRPr="0071186E">
        <w:rPr>
          <w:lang w:val="en-CA" w:bidi="en-CA"/>
        </w:rPr>
        <w:t xml:space="preserve"> the victim, in this case the corporation </w:t>
      </w:r>
      <w:r w:rsidR="00E45741" w:rsidRPr="0071186E">
        <w:rPr>
          <w:i/>
          <w:lang w:val="en-CA" w:bidi="en-CA"/>
        </w:rPr>
        <w:t xml:space="preserve">The Jacques Cartier and Champlain Bridges Incorporated </w:t>
      </w:r>
      <w:r w:rsidR="00E45741" w:rsidRPr="0071186E">
        <w:rPr>
          <w:lang w:val="en-CA" w:bidi="en-CA"/>
        </w:rPr>
        <w:t xml:space="preserve">(hereinafter “JCCBI”), </w:t>
      </w:r>
      <w:r>
        <w:rPr>
          <w:lang w:val="en-CA" w:bidi="en-CA"/>
        </w:rPr>
        <w:t>provided for</w:t>
      </w:r>
      <w:r w:rsidR="00E45741" w:rsidRPr="0071186E">
        <w:rPr>
          <w:lang w:val="en-CA" w:bidi="en-CA"/>
        </w:rPr>
        <w:t xml:space="preserve"> in </w:t>
      </w:r>
      <w:r w:rsidR="00F25E06">
        <w:rPr>
          <w:lang w:val="en-CA" w:bidi="en-CA"/>
        </w:rPr>
        <w:t>s.</w:t>
      </w:r>
      <w:r w:rsidR="00F25E06" w:rsidRPr="0071186E">
        <w:rPr>
          <w:lang w:val="en-CA" w:bidi="en-CA"/>
        </w:rPr>
        <w:t xml:space="preserve"> </w:t>
      </w:r>
      <w:r w:rsidR="00E45741" w:rsidRPr="0071186E">
        <w:rPr>
          <w:lang w:val="en-CA" w:bidi="en-CA"/>
        </w:rPr>
        <w:t>715.34(1)(g) Cr.</w:t>
      </w:r>
      <w:r w:rsidR="00F25E06">
        <w:rPr>
          <w:lang w:val="en-CA" w:bidi="en-CA"/>
        </w:rPr>
        <w:t> </w:t>
      </w:r>
      <w:r w:rsidR="00E45741" w:rsidRPr="0071186E">
        <w:rPr>
          <w:lang w:val="en-CA" w:bidi="en-CA"/>
        </w:rPr>
        <w:t xml:space="preserve">C., expressly refers to the restitution procedure described in </w:t>
      </w:r>
      <w:r w:rsidR="00F25E06" w:rsidRPr="0071186E">
        <w:rPr>
          <w:lang w:val="en-CA" w:bidi="en-CA"/>
        </w:rPr>
        <w:t>s</w:t>
      </w:r>
      <w:r w:rsidR="00F25E06">
        <w:rPr>
          <w:lang w:val="en-CA" w:bidi="en-CA"/>
        </w:rPr>
        <w:t>.</w:t>
      </w:r>
      <w:r w:rsidR="00F25E06" w:rsidRPr="0071186E">
        <w:rPr>
          <w:lang w:val="en-CA" w:bidi="en-CA"/>
        </w:rPr>
        <w:t> </w:t>
      </w:r>
      <w:r w:rsidR="00E45741" w:rsidRPr="0071186E">
        <w:rPr>
          <w:lang w:val="en-CA" w:bidi="en-CA"/>
        </w:rPr>
        <w:t>738 Cr</w:t>
      </w:r>
      <w:r>
        <w:rPr>
          <w:lang w:val="en-CA" w:bidi="en-CA"/>
        </w:rPr>
        <w:t>.</w:t>
      </w:r>
      <w:r w:rsidR="00F25E06">
        <w:rPr>
          <w:lang w:val="en-CA" w:bidi="en-CA"/>
        </w:rPr>
        <w:t> </w:t>
      </w:r>
      <w:r>
        <w:rPr>
          <w:lang w:val="en-CA" w:bidi="en-CA"/>
        </w:rPr>
        <w:t>C. Based on the evidence, the p</w:t>
      </w:r>
      <w:r w:rsidR="00E45741" w:rsidRPr="0071186E">
        <w:rPr>
          <w:lang w:val="en-CA" w:bidi="en-CA"/>
        </w:rPr>
        <w:t xml:space="preserve">arties agree that the </w:t>
      </w:r>
      <w:r w:rsidR="00AC29F5" w:rsidRPr="0071186E">
        <w:rPr>
          <w:lang w:val="en-CA" w:bidi="en-CA"/>
        </w:rPr>
        <w:t xml:space="preserve">payment of </w:t>
      </w:r>
      <w:r w:rsidR="00E45741" w:rsidRPr="0071186E">
        <w:rPr>
          <w:lang w:val="en-CA" w:bidi="en-CA"/>
        </w:rPr>
        <w:t>$3,492,380 to the victim corresponds to adequate reparation for the harm done.</w:t>
      </w:r>
    </w:p>
    <w:p w14:paraId="751F47CA" w14:textId="588FCCC5" w:rsidR="00E45741" w:rsidRPr="0071186E" w:rsidRDefault="00E45741" w:rsidP="00300B84">
      <w:pPr>
        <w:pStyle w:val="SimpleL1"/>
        <w:rPr>
          <w:lang w:val="en-CA"/>
        </w:rPr>
      </w:pPr>
      <w:r w:rsidRPr="0071186E">
        <w:rPr>
          <w:lang w:val="en-CA" w:bidi="en-CA"/>
        </w:rPr>
        <w:t>The vict</w:t>
      </w:r>
      <w:r w:rsidR="00CE02B3">
        <w:rPr>
          <w:lang w:val="en-CA" w:bidi="en-CA"/>
        </w:rPr>
        <w:t>im surcharge is required under provisions</w:t>
      </w:r>
      <w:r w:rsidRPr="0071186E">
        <w:rPr>
          <w:lang w:val="en-CA" w:bidi="en-CA"/>
        </w:rPr>
        <w:t xml:space="preserve"> 715.34(1)(h) and 715.37(5) </w:t>
      </w:r>
      <w:r w:rsidR="00F25E06">
        <w:rPr>
          <w:lang w:val="en-CA" w:bidi="en-CA"/>
        </w:rPr>
        <w:t> </w:t>
      </w:r>
      <w:r w:rsidRPr="0071186E">
        <w:rPr>
          <w:lang w:val="en-CA" w:bidi="en-CA"/>
        </w:rPr>
        <w:t>Cr.</w:t>
      </w:r>
      <w:r w:rsidR="00F25E06">
        <w:rPr>
          <w:lang w:val="en-CA" w:bidi="en-CA"/>
        </w:rPr>
        <w:t> </w:t>
      </w:r>
      <w:r w:rsidRPr="0071186E">
        <w:rPr>
          <w:lang w:val="en-CA" w:bidi="en-CA"/>
        </w:rPr>
        <w:t xml:space="preserve">C., </w:t>
      </w:r>
      <w:r w:rsidR="00457B89">
        <w:rPr>
          <w:lang w:val="en-CA" w:bidi="en-CA"/>
        </w:rPr>
        <w:t xml:space="preserve">which </w:t>
      </w:r>
      <w:r w:rsidRPr="0071186E">
        <w:rPr>
          <w:lang w:val="en-CA" w:bidi="en-CA"/>
        </w:rPr>
        <w:t>set</w:t>
      </w:r>
      <w:r w:rsidR="00457B89">
        <w:rPr>
          <w:lang w:val="en-CA" w:bidi="en-CA"/>
        </w:rPr>
        <w:t xml:space="preserve"> it</w:t>
      </w:r>
      <w:r w:rsidRPr="0071186E">
        <w:rPr>
          <w:lang w:val="en-CA" w:bidi="en-CA"/>
        </w:rPr>
        <w:t xml:space="preserve"> at thirty percent (30%) of the penalty or </w:t>
      </w:r>
      <w:r w:rsidR="00CE02B3">
        <w:rPr>
          <w:lang w:val="en-CA" w:bidi="en-CA"/>
        </w:rPr>
        <w:t>any other percentage that the Prosecutor deems appropriate in</w:t>
      </w:r>
      <w:r w:rsidRPr="0071186E">
        <w:rPr>
          <w:lang w:val="en-CA" w:bidi="en-CA"/>
        </w:rPr>
        <w:t xml:space="preserve"> the circumstances. Here, the Parties </w:t>
      </w:r>
      <w:r w:rsidR="00AC29F5" w:rsidRPr="0071186E">
        <w:rPr>
          <w:lang w:val="en-CA" w:bidi="en-CA"/>
        </w:rPr>
        <w:t xml:space="preserve">have </w:t>
      </w:r>
      <w:r w:rsidRPr="0071186E">
        <w:rPr>
          <w:lang w:val="en-CA" w:bidi="en-CA"/>
        </w:rPr>
        <w:t>agreed on a percentage of thirty percent (30%) of the penalty, i.e.</w:t>
      </w:r>
      <w:r w:rsidR="00457B89">
        <w:rPr>
          <w:lang w:val="en-CA" w:bidi="en-CA"/>
        </w:rPr>
        <w:t>,</w:t>
      </w:r>
      <w:r w:rsidR="00AC29F5" w:rsidRPr="0071186E">
        <w:rPr>
          <w:lang w:val="en-CA" w:bidi="en-CA"/>
        </w:rPr>
        <w:t> </w:t>
      </w:r>
      <w:r w:rsidRPr="0071186E">
        <w:rPr>
          <w:lang w:val="en-CA" w:bidi="en-CA"/>
        </w:rPr>
        <w:t>$5,440,541.</w:t>
      </w:r>
    </w:p>
    <w:p w14:paraId="4C121754" w14:textId="0191B695" w:rsidR="00E45741" w:rsidRPr="0071186E" w:rsidRDefault="00E45741" w:rsidP="00300B84">
      <w:pPr>
        <w:pStyle w:val="SimpleL1"/>
        <w:rPr>
          <w:lang w:val="en-CA"/>
        </w:rPr>
      </w:pPr>
      <w:r w:rsidRPr="0071186E">
        <w:rPr>
          <w:lang w:val="en-CA" w:bidi="en-CA"/>
        </w:rPr>
        <w:t>The Prosecutor and the Organiza</w:t>
      </w:r>
      <w:r w:rsidR="00CE02B3">
        <w:rPr>
          <w:lang w:val="en-CA" w:bidi="en-CA"/>
        </w:rPr>
        <w:t>tions therefore agree to the</w:t>
      </w:r>
      <w:r w:rsidRPr="0071186E">
        <w:rPr>
          <w:lang w:val="en-CA" w:bidi="en-CA"/>
        </w:rPr>
        <w:t xml:space="preserve"> payment of</w:t>
      </w:r>
      <w:r w:rsidR="00CE02B3">
        <w:rPr>
          <w:lang w:val="en-CA" w:bidi="en-CA"/>
        </w:rPr>
        <w:t xml:space="preserve"> </w:t>
      </w:r>
      <w:r w:rsidR="00457B89">
        <w:rPr>
          <w:lang w:val="en-CA" w:bidi="en-CA"/>
        </w:rPr>
        <w:t xml:space="preserve">a </w:t>
      </w:r>
      <w:r w:rsidR="00CE02B3">
        <w:rPr>
          <w:lang w:val="en-CA" w:bidi="en-CA"/>
        </w:rPr>
        <w:t>total amount of</w:t>
      </w:r>
      <w:r w:rsidRPr="0071186E">
        <w:rPr>
          <w:lang w:val="en-CA" w:bidi="en-CA"/>
        </w:rPr>
        <w:t xml:space="preserve"> $29,558,777.</w:t>
      </w:r>
    </w:p>
    <w:p w14:paraId="6D15D099" w14:textId="1FAF7C4F" w:rsidR="00E45741" w:rsidRPr="0071186E" w:rsidRDefault="00E45741" w:rsidP="00300B84">
      <w:pPr>
        <w:pStyle w:val="SimpleL1"/>
        <w:rPr>
          <w:lang w:val="en-CA"/>
        </w:rPr>
      </w:pPr>
      <w:r w:rsidRPr="0071186E">
        <w:rPr>
          <w:lang w:val="en-CA" w:bidi="en-CA"/>
        </w:rPr>
        <w:t xml:space="preserve">Following a public hearing, the Court </w:t>
      </w:r>
      <w:r w:rsidR="00457B89">
        <w:rPr>
          <w:lang w:val="en-CA" w:bidi="en-CA"/>
        </w:rPr>
        <w:t>rendered</w:t>
      </w:r>
      <w:r w:rsidRPr="0071186E">
        <w:rPr>
          <w:lang w:val="en-CA" w:bidi="en-CA"/>
        </w:rPr>
        <w:t xml:space="preserve"> the following conclusions:</w:t>
      </w:r>
    </w:p>
    <w:p w14:paraId="78F06AAD" w14:textId="5FD4A6F4" w:rsidR="00240415" w:rsidRPr="006B7F16" w:rsidRDefault="00240415" w:rsidP="00AC29F5">
      <w:pPr>
        <w:pStyle w:val="Retraitcorpsdetexte"/>
        <w:ind w:right="542"/>
        <w:rPr>
          <w:lang w:val="en-CA" w:bidi="en-CA"/>
        </w:rPr>
      </w:pPr>
      <w:r w:rsidRPr="006B7F16">
        <w:rPr>
          <w:lang w:val="en-CA" w:bidi="en-CA"/>
        </w:rPr>
        <w:t>[</w:t>
      </w:r>
      <w:r w:rsidR="00F25E06" w:rsidRPr="006B7F16">
        <w:rPr>
          <w:smallCaps/>
          <w:lang w:val="en-CA" w:bidi="en-CA"/>
        </w:rPr>
        <w:t>translation</w:t>
      </w:r>
      <w:r w:rsidRPr="006B7F16">
        <w:rPr>
          <w:lang w:val="en-CA" w:bidi="en-CA"/>
        </w:rPr>
        <w:t>]</w:t>
      </w:r>
    </w:p>
    <w:p w14:paraId="3A395AAC" w14:textId="77777777" w:rsidR="00D56C53" w:rsidRPr="0071186E" w:rsidRDefault="00E45741" w:rsidP="00AC29F5">
      <w:pPr>
        <w:pStyle w:val="Retraitcorpsdetexte"/>
        <w:ind w:right="542"/>
        <w:rPr>
          <w:lang w:val="en-CA"/>
        </w:rPr>
      </w:pPr>
      <w:r w:rsidRPr="0071186E">
        <w:rPr>
          <w:b/>
          <w:lang w:val="en-CA" w:bidi="en-CA"/>
        </w:rPr>
        <w:t>THE COURT HEREBY</w:t>
      </w:r>
      <w:r w:rsidRPr="0071186E">
        <w:rPr>
          <w:lang w:val="en-CA" w:bidi="en-CA"/>
        </w:rPr>
        <w:t>:</w:t>
      </w:r>
    </w:p>
    <w:p w14:paraId="45583AA5" w14:textId="2A4094E7" w:rsidR="00D56C53" w:rsidRPr="0071186E" w:rsidRDefault="00E45741" w:rsidP="00AC29F5">
      <w:pPr>
        <w:pStyle w:val="Retraitcorpsdetexte"/>
        <w:ind w:right="542"/>
        <w:rPr>
          <w:lang w:val="en-CA" w:bidi="en-CA"/>
        </w:rPr>
      </w:pPr>
      <w:r w:rsidRPr="0071186E">
        <w:rPr>
          <w:b/>
          <w:lang w:val="en-CA" w:bidi="en-CA"/>
        </w:rPr>
        <w:t xml:space="preserve">GRANTS </w:t>
      </w:r>
      <w:r w:rsidRPr="0071186E">
        <w:rPr>
          <w:lang w:val="en-CA" w:bidi="en-CA"/>
        </w:rPr>
        <w:t xml:space="preserve">the application for an order approving an amended remediation agreement, under </w:t>
      </w:r>
      <w:r w:rsidR="00F25E06" w:rsidRPr="0071186E">
        <w:rPr>
          <w:lang w:val="en-CA" w:bidi="en-CA"/>
        </w:rPr>
        <w:t>s</w:t>
      </w:r>
      <w:r w:rsidR="00F25E06">
        <w:rPr>
          <w:lang w:val="en-CA" w:bidi="en-CA"/>
        </w:rPr>
        <w:t>.</w:t>
      </w:r>
      <w:r w:rsidR="00F25E06" w:rsidRPr="0071186E">
        <w:rPr>
          <w:lang w:val="en-CA" w:bidi="en-CA"/>
        </w:rPr>
        <w:t xml:space="preserve"> </w:t>
      </w:r>
      <w:r w:rsidRPr="0071186E">
        <w:rPr>
          <w:lang w:val="en-CA" w:bidi="en-CA"/>
        </w:rPr>
        <w:t>715.37 Cr.</w:t>
      </w:r>
      <w:r w:rsidR="00F25E06">
        <w:rPr>
          <w:lang w:val="en-CA" w:bidi="en-CA"/>
        </w:rPr>
        <w:t> </w:t>
      </w:r>
      <w:r w:rsidRPr="0071186E">
        <w:rPr>
          <w:lang w:val="en-CA" w:bidi="en-CA"/>
        </w:rPr>
        <w:t>C.</w:t>
      </w:r>
    </w:p>
    <w:p w14:paraId="64CEB4B0" w14:textId="77777777" w:rsidR="00E45741" w:rsidRPr="0071186E" w:rsidRDefault="00E45741" w:rsidP="00AC29F5">
      <w:pPr>
        <w:pStyle w:val="Retraitcorpsdetexte"/>
        <w:ind w:right="542"/>
        <w:rPr>
          <w:lang w:val="en-CA"/>
        </w:rPr>
      </w:pPr>
      <w:r w:rsidRPr="0071186E">
        <w:rPr>
          <w:b/>
          <w:lang w:val="en-CA" w:bidi="en-CA"/>
        </w:rPr>
        <w:t>APPROVES</w:t>
      </w:r>
      <w:r w:rsidRPr="0071186E">
        <w:rPr>
          <w:lang w:val="en-CA" w:bidi="en-CA"/>
        </w:rPr>
        <w:t>, as is,</w:t>
      </w:r>
      <w:r w:rsidRPr="0071186E">
        <w:rPr>
          <w:b/>
          <w:lang w:val="en-CA" w:bidi="en-CA"/>
        </w:rPr>
        <w:t xml:space="preserve"> </w:t>
      </w:r>
      <w:r w:rsidRPr="0071186E">
        <w:rPr>
          <w:lang w:val="en-CA" w:bidi="en-CA"/>
        </w:rPr>
        <w:t>the amended remediation agreement, in accordance with the terms and conditions set forth therein, including the schedules to the remediation agreement.</w:t>
      </w:r>
    </w:p>
    <w:p w14:paraId="68F6C197" w14:textId="4B4FA710" w:rsidR="00D56C53" w:rsidRPr="0071186E" w:rsidRDefault="00E45741" w:rsidP="00AC29F5">
      <w:pPr>
        <w:pStyle w:val="Retraitcorpsdetexte"/>
        <w:ind w:right="542"/>
        <w:rPr>
          <w:lang w:val="en-CA" w:bidi="en-CA"/>
        </w:rPr>
      </w:pPr>
      <w:r w:rsidRPr="0071186E">
        <w:rPr>
          <w:b/>
          <w:lang w:val="en-CA" w:bidi="en-CA"/>
        </w:rPr>
        <w:lastRenderedPageBreak/>
        <w:t xml:space="preserve">ANNOUNCES </w:t>
      </w:r>
      <w:r w:rsidRPr="0071186E">
        <w:rPr>
          <w:lang w:val="en-CA" w:bidi="en-CA"/>
        </w:rPr>
        <w:t>that it will issue detailed reasons shortly in a written decision</w:t>
      </w:r>
      <w:r w:rsidR="00457B89">
        <w:rPr>
          <w:lang w:val="en-CA" w:bidi="en-CA"/>
        </w:rPr>
        <w:t>,</w:t>
      </w:r>
      <w:r w:rsidRPr="0071186E">
        <w:rPr>
          <w:lang w:val="en-CA" w:bidi="en-CA"/>
        </w:rPr>
        <w:t xml:space="preserve"> in accordance with </w:t>
      </w:r>
      <w:r w:rsidR="00F25E06" w:rsidRPr="0071186E">
        <w:rPr>
          <w:lang w:val="en-CA" w:bidi="en-CA"/>
        </w:rPr>
        <w:t>s</w:t>
      </w:r>
      <w:r w:rsidR="00F25E06">
        <w:rPr>
          <w:lang w:val="en-CA" w:bidi="en-CA"/>
        </w:rPr>
        <w:t>.</w:t>
      </w:r>
      <w:r w:rsidR="00F25E06" w:rsidRPr="0071186E">
        <w:rPr>
          <w:lang w:val="en-CA" w:bidi="en-CA"/>
        </w:rPr>
        <w:t> </w:t>
      </w:r>
      <w:r w:rsidRPr="0071186E">
        <w:rPr>
          <w:lang w:val="en-CA" w:bidi="en-CA"/>
        </w:rPr>
        <w:t>715.42 Cr.</w:t>
      </w:r>
      <w:r w:rsidR="00F25E06">
        <w:rPr>
          <w:lang w:val="en-CA" w:bidi="en-CA"/>
        </w:rPr>
        <w:t> </w:t>
      </w:r>
      <w:r w:rsidRPr="0071186E">
        <w:rPr>
          <w:lang w:val="en-CA" w:bidi="en-CA"/>
        </w:rPr>
        <w:t>C.</w:t>
      </w:r>
    </w:p>
    <w:p w14:paraId="5D6DAF25" w14:textId="49C8FF08" w:rsidR="00E45741" w:rsidRPr="0071186E" w:rsidRDefault="00E45741" w:rsidP="00AC29F5">
      <w:pPr>
        <w:pStyle w:val="Retraitcorpsdetexte"/>
        <w:ind w:right="542"/>
        <w:rPr>
          <w:lang w:val="en-CA" w:bidi="en-CA"/>
        </w:rPr>
      </w:pPr>
      <w:r w:rsidRPr="0071186E">
        <w:rPr>
          <w:b/>
          <w:lang w:val="en-CA" w:bidi="en-CA"/>
        </w:rPr>
        <w:t>EMPHASIZES</w:t>
      </w:r>
      <w:r w:rsidRPr="0071186E">
        <w:rPr>
          <w:lang w:val="en-CA" w:bidi="en-CA"/>
        </w:rPr>
        <w:t xml:space="preserve"> that, in </w:t>
      </w:r>
      <w:r w:rsidR="00AC29F5" w:rsidRPr="0071186E">
        <w:rPr>
          <w:lang w:val="en-CA" w:bidi="en-CA"/>
        </w:rPr>
        <w:t>that</w:t>
      </w:r>
      <w:r w:rsidRPr="0071186E">
        <w:rPr>
          <w:lang w:val="en-CA" w:bidi="en-CA"/>
        </w:rPr>
        <w:t xml:space="preserve"> decision, the Court will set out the reasons </w:t>
      </w:r>
      <w:r w:rsidR="00457B89">
        <w:rPr>
          <w:lang w:val="en-CA" w:bidi="en-CA"/>
        </w:rPr>
        <w:t>that justify making</w:t>
      </w:r>
      <w:r w:rsidRPr="0071186E">
        <w:rPr>
          <w:lang w:val="en-CA" w:bidi="en-CA"/>
        </w:rPr>
        <w:t xml:space="preserve"> the amended remediation agreement approval order.</w:t>
      </w:r>
    </w:p>
    <w:p w14:paraId="53E510DB" w14:textId="3EECB72A" w:rsidR="00E45741" w:rsidRPr="0071186E" w:rsidRDefault="00E45741" w:rsidP="00AC29F5">
      <w:pPr>
        <w:pStyle w:val="Retraitcorpsdetexte"/>
        <w:ind w:right="542"/>
        <w:rPr>
          <w:lang w:val="en-CA"/>
        </w:rPr>
      </w:pPr>
      <w:r w:rsidRPr="0071186E">
        <w:rPr>
          <w:b/>
          <w:lang w:val="en-CA" w:bidi="en-CA"/>
        </w:rPr>
        <w:t>ALLOWS</w:t>
      </w:r>
      <w:r w:rsidRPr="0071186E">
        <w:rPr>
          <w:lang w:val="en-CA" w:bidi="en-CA"/>
        </w:rPr>
        <w:t>, as of this moment, the publication of the amended remediation agreement (Book of Exhibits B, Tab 1), with the exception of its SCHEDULE</w:t>
      </w:r>
      <w:r w:rsidR="00497AE7" w:rsidRPr="0071186E">
        <w:rPr>
          <w:lang w:val="en-CA" w:bidi="en-CA"/>
        </w:rPr>
        <w:t> </w:t>
      </w:r>
      <w:r w:rsidRPr="0071186E">
        <w:rPr>
          <w:lang w:val="en-CA" w:bidi="en-CA"/>
        </w:rPr>
        <w:t xml:space="preserve">B STATEMENT OF FACTS, </w:t>
      </w:r>
      <w:r w:rsidR="00240415">
        <w:rPr>
          <w:lang w:val="en-CA" w:bidi="en-CA"/>
        </w:rPr>
        <w:t>given</w:t>
      </w:r>
      <w:r w:rsidRPr="0071186E">
        <w:rPr>
          <w:lang w:val="en-CA" w:bidi="en-CA"/>
        </w:rPr>
        <w:t xml:space="preserve"> the temporary and partial </w:t>
      </w:r>
      <w:r w:rsidR="00AC29F5" w:rsidRPr="0071186E">
        <w:rPr>
          <w:lang w:val="en-CA" w:bidi="en-CA"/>
        </w:rPr>
        <w:t xml:space="preserve">order prohibiting </w:t>
      </w:r>
      <w:r w:rsidRPr="0071186E">
        <w:rPr>
          <w:lang w:val="en-CA" w:bidi="en-CA"/>
        </w:rPr>
        <w:t>publication, broadcasting and transmission (Public Order No.</w:t>
      </w:r>
      <w:r w:rsidR="00AC29F5" w:rsidRPr="0071186E">
        <w:rPr>
          <w:lang w:val="en-CA" w:bidi="en-CA"/>
        </w:rPr>
        <w:t> </w:t>
      </w:r>
      <w:r w:rsidRPr="0071186E">
        <w:rPr>
          <w:lang w:val="en-CA" w:bidi="en-CA"/>
        </w:rPr>
        <w:t xml:space="preserve">5), rendered on May 10, 2022, and the future </w:t>
      </w:r>
      <w:r w:rsidR="00936917">
        <w:rPr>
          <w:lang w:val="en-CA" w:bidi="en-CA"/>
        </w:rPr>
        <w:t>submissions</w:t>
      </w:r>
      <w:r w:rsidR="00936917" w:rsidRPr="0071186E">
        <w:rPr>
          <w:lang w:val="en-CA" w:bidi="en-CA"/>
        </w:rPr>
        <w:t xml:space="preserve"> </w:t>
      </w:r>
      <w:r w:rsidRPr="0071186E">
        <w:rPr>
          <w:lang w:val="en-CA" w:bidi="en-CA"/>
        </w:rPr>
        <w:t>of the parties and impleaded parties.</w:t>
      </w:r>
    </w:p>
    <w:p w14:paraId="15C48969" w14:textId="1E16187F" w:rsidR="00D56C53" w:rsidRPr="0071186E" w:rsidRDefault="00E45741" w:rsidP="00300B84">
      <w:pPr>
        <w:pStyle w:val="SimpleL1"/>
        <w:rPr>
          <w:lang w:val="en-CA"/>
        </w:rPr>
      </w:pPr>
      <w:r w:rsidRPr="0071186E">
        <w:rPr>
          <w:lang w:val="en-CA" w:bidi="en-CA"/>
        </w:rPr>
        <w:t xml:space="preserve">In this judgment, the Court sets out its reasons and gives the procedural context of the case, including the conduct of hearings </w:t>
      </w:r>
      <w:r w:rsidR="00085EC5" w:rsidRPr="00085EC5">
        <w:rPr>
          <w:i/>
          <w:lang w:val="en-CA" w:bidi="en-CA"/>
        </w:rPr>
        <w:t>in camera</w:t>
      </w:r>
      <w:r w:rsidR="00085EC5" w:rsidRPr="0071186E">
        <w:rPr>
          <w:lang w:val="en-CA" w:bidi="en-CA"/>
        </w:rPr>
        <w:t xml:space="preserve"> </w:t>
      </w:r>
      <w:r w:rsidRPr="0071186E">
        <w:rPr>
          <w:lang w:val="en-CA" w:bidi="en-CA"/>
        </w:rPr>
        <w:t xml:space="preserve">that preceded the public hearings, the various anonymity, confidentiality and sealing orders, as well as </w:t>
      </w:r>
      <w:r w:rsidR="004067A8" w:rsidRPr="0071186E">
        <w:rPr>
          <w:lang w:val="en-CA" w:bidi="en-CA"/>
        </w:rPr>
        <w:t xml:space="preserve">the </w:t>
      </w:r>
      <w:r w:rsidR="00240415" w:rsidRPr="0071186E">
        <w:rPr>
          <w:lang w:val="en-CA" w:bidi="en-CA"/>
        </w:rPr>
        <w:t xml:space="preserve">partial and temporary </w:t>
      </w:r>
      <w:r w:rsidR="00AC29F5" w:rsidRPr="0071186E">
        <w:rPr>
          <w:lang w:val="en-CA" w:bidi="en-CA"/>
        </w:rPr>
        <w:t xml:space="preserve">publication, </w:t>
      </w:r>
      <w:r w:rsidRPr="0071186E">
        <w:rPr>
          <w:lang w:val="en-CA" w:bidi="en-CA"/>
        </w:rPr>
        <w:t>broadcasting and transmission prohibition orders.</w:t>
      </w:r>
    </w:p>
    <w:p w14:paraId="2FD8518B" w14:textId="1A3B9742" w:rsidR="00E45741" w:rsidRPr="0071186E" w:rsidRDefault="00E45741" w:rsidP="00300B84">
      <w:pPr>
        <w:pStyle w:val="SimpleL1"/>
        <w:rPr>
          <w:lang w:val="en-CA"/>
        </w:rPr>
      </w:pPr>
      <w:r w:rsidRPr="0071186E">
        <w:rPr>
          <w:lang w:val="en-CA" w:bidi="en-CA"/>
        </w:rPr>
        <w:t>Furthermore and by way of introduction, the Court notes that Canada</w:t>
      </w:r>
      <w:r w:rsidR="00240415">
        <w:rPr>
          <w:lang w:val="en-CA" w:bidi="en-CA"/>
        </w:rPr>
        <w:t>,</w:t>
      </w:r>
      <w:r w:rsidRPr="0071186E">
        <w:rPr>
          <w:lang w:val="en-CA" w:bidi="en-CA"/>
        </w:rPr>
        <w:t xml:space="preserve"> </w:t>
      </w:r>
      <w:r w:rsidR="003C03F6">
        <w:rPr>
          <w:lang w:val="en-CA" w:bidi="en-CA"/>
        </w:rPr>
        <w:t xml:space="preserve">like </w:t>
      </w:r>
      <w:r w:rsidR="00240415">
        <w:rPr>
          <w:lang w:val="en-CA" w:bidi="en-CA"/>
        </w:rPr>
        <w:t>several other countries,</w:t>
      </w:r>
      <w:r w:rsidRPr="0071186E">
        <w:rPr>
          <w:lang w:val="en-CA" w:bidi="en-CA"/>
        </w:rPr>
        <w:t xml:space="preserve"> </w:t>
      </w:r>
      <w:r w:rsidR="006E22C0">
        <w:rPr>
          <w:lang w:val="en-CA" w:bidi="en-CA"/>
        </w:rPr>
        <w:t xml:space="preserve">has </w:t>
      </w:r>
      <w:r w:rsidR="00AC29F5" w:rsidRPr="0071186E">
        <w:rPr>
          <w:lang w:val="en-CA" w:bidi="en-CA"/>
        </w:rPr>
        <w:t xml:space="preserve">implemented </w:t>
      </w:r>
      <w:r w:rsidRPr="0071186E">
        <w:rPr>
          <w:lang w:val="en-CA" w:bidi="en-CA"/>
        </w:rPr>
        <w:t>a remediation agreement regime.</w:t>
      </w:r>
    </w:p>
    <w:p w14:paraId="18BD1784" w14:textId="09D8EC3E" w:rsidR="00E45741" w:rsidRPr="0071186E" w:rsidRDefault="003C03F6" w:rsidP="00300B84">
      <w:pPr>
        <w:pStyle w:val="SimpleL1"/>
        <w:rPr>
          <w:lang w:val="en-CA"/>
        </w:rPr>
      </w:pPr>
      <w:r>
        <w:rPr>
          <w:lang w:val="en-CA" w:bidi="en-CA"/>
        </w:rPr>
        <w:t>Parliament</w:t>
      </w:r>
      <w:r w:rsidR="00AC29F5" w:rsidRPr="0071186E">
        <w:rPr>
          <w:lang w:val="en-CA" w:bidi="en-CA"/>
        </w:rPr>
        <w:t xml:space="preserve"> </w:t>
      </w:r>
      <w:r w:rsidR="0035391E">
        <w:rPr>
          <w:lang w:val="en-CA" w:bidi="en-CA"/>
        </w:rPr>
        <w:t>was inspired primarily by</w:t>
      </w:r>
      <w:r w:rsidR="00E45741" w:rsidRPr="0071186E">
        <w:rPr>
          <w:lang w:val="en-CA" w:bidi="en-CA"/>
        </w:rPr>
        <w:t xml:space="preserve"> the British regime, subjecting the approval of similar agreements to a judicial review, in this case the Superior Court.</w:t>
      </w:r>
    </w:p>
    <w:p w14:paraId="293BEA83" w14:textId="45AA0F6B" w:rsidR="00E45741" w:rsidRPr="0071186E" w:rsidRDefault="00E45741" w:rsidP="00300B84">
      <w:pPr>
        <w:pStyle w:val="SimpleL1"/>
        <w:rPr>
          <w:lang w:val="en-CA"/>
        </w:rPr>
      </w:pPr>
      <w:r w:rsidRPr="0071186E">
        <w:rPr>
          <w:lang w:val="en-CA" w:bidi="en-CA"/>
        </w:rPr>
        <w:t xml:space="preserve">The remediation agreement regime </w:t>
      </w:r>
      <w:r w:rsidR="0035391E">
        <w:rPr>
          <w:lang w:val="en-CA" w:bidi="en-CA"/>
        </w:rPr>
        <w:t xml:space="preserve">should </w:t>
      </w:r>
      <w:r w:rsidRPr="0071186E">
        <w:rPr>
          <w:lang w:val="en-CA" w:bidi="en-CA"/>
        </w:rPr>
        <w:t xml:space="preserve">develop in the coming years and become a tool in the legal arsenal </w:t>
      </w:r>
      <w:r w:rsidR="00AC29F5" w:rsidRPr="0071186E">
        <w:rPr>
          <w:lang w:val="en-CA" w:bidi="en-CA"/>
        </w:rPr>
        <w:t xml:space="preserve">for </w:t>
      </w:r>
      <w:r w:rsidRPr="0071186E">
        <w:rPr>
          <w:lang w:val="en-CA" w:bidi="en-CA"/>
        </w:rPr>
        <w:t>the fight against economic crimes perpetrated by organizations.</w:t>
      </w:r>
    </w:p>
    <w:p w14:paraId="7AA068F8" w14:textId="77777777" w:rsidR="00E45741" w:rsidRPr="0071186E" w:rsidRDefault="00E45741" w:rsidP="00300B84">
      <w:pPr>
        <w:pStyle w:val="SimpleL1"/>
        <w:rPr>
          <w:lang w:val="en-CA"/>
        </w:rPr>
      </w:pPr>
      <w:r w:rsidRPr="0071186E">
        <w:rPr>
          <w:lang w:val="en-CA" w:bidi="en-CA"/>
        </w:rPr>
        <w:t xml:space="preserve">In the Court’s opinion, by encouraging the voluntary </w:t>
      </w:r>
      <w:r w:rsidR="0035391E">
        <w:rPr>
          <w:lang w:val="en-CA" w:bidi="en-CA"/>
        </w:rPr>
        <w:t>disclosure</w:t>
      </w:r>
      <w:r w:rsidRPr="0071186E">
        <w:rPr>
          <w:lang w:val="en-CA" w:bidi="en-CA"/>
        </w:rPr>
        <w:t xml:space="preserve"> of crimes committed by organizations and favouring their cooperation, remediation agreements must be approved by the courts when they are in the public interest and meet the conditions set out in the </w:t>
      </w:r>
      <w:r w:rsidRPr="0071186E">
        <w:rPr>
          <w:i/>
          <w:lang w:val="en-CA" w:bidi="en-CA"/>
        </w:rPr>
        <w:t>Criminal Code</w:t>
      </w:r>
      <w:r w:rsidRPr="0071186E">
        <w:rPr>
          <w:lang w:val="en-CA" w:bidi="en-CA"/>
        </w:rPr>
        <w:t>.</w:t>
      </w:r>
    </w:p>
    <w:p w14:paraId="76E7F9F0" w14:textId="77777777" w:rsidR="00D56C53" w:rsidRPr="0071186E" w:rsidRDefault="00F75163" w:rsidP="00D56C53">
      <w:pPr>
        <w:pStyle w:val="Titre1"/>
        <w:rPr>
          <w:lang w:val="en-CA"/>
        </w:rPr>
      </w:pPr>
      <w:bookmarkStart w:id="2" w:name="_Toc109310841"/>
      <w:r w:rsidRPr="0071186E">
        <w:rPr>
          <w:lang w:val="en-CA"/>
        </w:rPr>
        <w:t>CONTEXT</w:t>
      </w:r>
      <w:bookmarkEnd w:id="2"/>
    </w:p>
    <w:p w14:paraId="3C6C522A" w14:textId="77777777" w:rsidR="00300B84" w:rsidRPr="0071186E" w:rsidRDefault="0035391E" w:rsidP="00252E88">
      <w:pPr>
        <w:pStyle w:val="Titre2"/>
        <w:rPr>
          <w:lang w:val="en-CA"/>
        </w:rPr>
      </w:pPr>
      <w:bookmarkStart w:id="3" w:name="_Toc109310842"/>
      <w:r>
        <w:rPr>
          <w:lang w:val="en-CA" w:bidi="en-CA"/>
        </w:rPr>
        <w:t xml:space="preserve">The files </w:t>
      </w:r>
      <w:r w:rsidR="00F75163" w:rsidRPr="0071186E">
        <w:rPr>
          <w:lang w:val="en-CA" w:bidi="en-CA"/>
        </w:rPr>
        <w:t>on the merits</w:t>
      </w:r>
      <w:bookmarkEnd w:id="3"/>
    </w:p>
    <w:p w14:paraId="2298F757" w14:textId="5CE1D8F0" w:rsidR="00D56C53" w:rsidRPr="0071186E" w:rsidRDefault="00F75163" w:rsidP="00300B84">
      <w:pPr>
        <w:pStyle w:val="SimpleL1"/>
        <w:rPr>
          <w:lang w:val="en-CA"/>
        </w:rPr>
      </w:pPr>
      <w:r w:rsidRPr="0071186E">
        <w:rPr>
          <w:lang w:val="en-CA" w:bidi="en-CA"/>
        </w:rPr>
        <w:t xml:space="preserve">On September 23, 2021, Normand Morin, SNCL and SNCLI were charged with various </w:t>
      </w:r>
      <w:r w:rsidRPr="0071186E">
        <w:rPr>
          <w:i/>
          <w:lang w:val="en-CA" w:bidi="en-CA"/>
        </w:rPr>
        <w:t>Criminal Code</w:t>
      </w:r>
      <w:r w:rsidRPr="0071186E">
        <w:rPr>
          <w:lang w:val="en-CA" w:bidi="en-CA"/>
        </w:rPr>
        <w:t xml:space="preserve"> offences. More specifically, the summons bearing number 500</w:t>
      </w:r>
      <w:r w:rsidRPr="0071186E">
        <w:rPr>
          <w:lang w:val="en-CA" w:bidi="en-CA"/>
        </w:rPr>
        <w:noBreakHyphen/>
        <w:t>01</w:t>
      </w:r>
      <w:r w:rsidRPr="0071186E">
        <w:rPr>
          <w:lang w:val="en-CA" w:bidi="en-CA"/>
        </w:rPr>
        <w:noBreakHyphen/>
        <w:t>223556</w:t>
      </w:r>
      <w:r w:rsidRPr="0071186E">
        <w:rPr>
          <w:lang w:val="en-CA" w:bidi="en-CA"/>
        </w:rPr>
        <w:noBreakHyphen/>
        <w:t>215 charges the Organizations with the offen</w:t>
      </w:r>
      <w:r w:rsidR="00AC29F5" w:rsidRPr="0071186E">
        <w:rPr>
          <w:lang w:val="en-CA" w:bidi="en-CA"/>
        </w:rPr>
        <w:t>c</w:t>
      </w:r>
      <w:r w:rsidRPr="0071186E">
        <w:rPr>
          <w:lang w:val="en-CA" w:bidi="en-CA"/>
        </w:rPr>
        <w:t>es of fraud on the government (</w:t>
      </w:r>
      <w:r w:rsidR="00F25E06" w:rsidRPr="0071186E">
        <w:rPr>
          <w:lang w:val="en-CA" w:bidi="en-CA"/>
        </w:rPr>
        <w:t>s</w:t>
      </w:r>
      <w:r w:rsidR="00F25E06">
        <w:rPr>
          <w:lang w:val="en-CA" w:bidi="en-CA"/>
        </w:rPr>
        <w:t>.</w:t>
      </w:r>
      <w:r w:rsidR="00F25E06" w:rsidRPr="0071186E">
        <w:rPr>
          <w:lang w:val="en-CA" w:bidi="en-CA"/>
        </w:rPr>
        <w:t xml:space="preserve"> </w:t>
      </w:r>
      <w:r w:rsidRPr="0071186E">
        <w:rPr>
          <w:lang w:val="en-CA" w:bidi="en-CA"/>
        </w:rPr>
        <w:t>121 Cr.</w:t>
      </w:r>
      <w:r w:rsidR="00F25E06">
        <w:rPr>
          <w:lang w:val="en-CA" w:bidi="en-CA"/>
        </w:rPr>
        <w:t> </w:t>
      </w:r>
      <w:r w:rsidRPr="0071186E">
        <w:rPr>
          <w:lang w:val="en-CA" w:bidi="en-CA"/>
        </w:rPr>
        <w:t>C.), forgery (</w:t>
      </w:r>
      <w:r w:rsidR="00F25E06" w:rsidRPr="0071186E">
        <w:rPr>
          <w:lang w:val="en-CA" w:bidi="en-CA"/>
        </w:rPr>
        <w:t>s</w:t>
      </w:r>
      <w:r w:rsidR="00F25E06">
        <w:rPr>
          <w:lang w:val="en-CA" w:bidi="en-CA"/>
        </w:rPr>
        <w:t>.</w:t>
      </w:r>
      <w:r w:rsidR="00F25E06" w:rsidRPr="0071186E">
        <w:rPr>
          <w:lang w:val="en-CA" w:bidi="en-CA"/>
        </w:rPr>
        <w:t xml:space="preserve"> </w:t>
      </w:r>
      <w:r w:rsidRPr="0071186E">
        <w:rPr>
          <w:lang w:val="en-CA" w:bidi="en-CA"/>
        </w:rPr>
        <w:t>366 Cr.</w:t>
      </w:r>
      <w:r w:rsidR="00F25E06">
        <w:rPr>
          <w:lang w:val="en-CA" w:bidi="en-CA"/>
        </w:rPr>
        <w:t> </w:t>
      </w:r>
      <w:r w:rsidRPr="0071186E">
        <w:rPr>
          <w:lang w:val="en-CA" w:bidi="en-CA"/>
        </w:rPr>
        <w:t>C.), fraud (</w:t>
      </w:r>
      <w:r w:rsidR="00F25E06" w:rsidRPr="0071186E">
        <w:rPr>
          <w:lang w:val="en-CA" w:bidi="en-CA"/>
        </w:rPr>
        <w:t>s</w:t>
      </w:r>
      <w:r w:rsidR="00F25E06">
        <w:rPr>
          <w:lang w:val="en-CA" w:bidi="en-CA"/>
        </w:rPr>
        <w:t>.</w:t>
      </w:r>
      <w:r w:rsidR="00F25E06" w:rsidRPr="0071186E">
        <w:rPr>
          <w:lang w:val="en-CA" w:bidi="en-CA"/>
        </w:rPr>
        <w:t xml:space="preserve"> </w:t>
      </w:r>
      <w:r w:rsidRPr="0071186E">
        <w:rPr>
          <w:lang w:val="en-CA" w:bidi="en-CA"/>
        </w:rPr>
        <w:t>380</w:t>
      </w:r>
      <w:r w:rsidR="00F25E06">
        <w:rPr>
          <w:lang w:val="en-CA" w:bidi="en-CA"/>
        </w:rPr>
        <w:t> </w:t>
      </w:r>
      <w:r w:rsidRPr="0071186E">
        <w:rPr>
          <w:lang w:val="en-CA" w:bidi="en-CA"/>
        </w:rPr>
        <w:t>Cr.</w:t>
      </w:r>
      <w:r w:rsidR="00F25E06">
        <w:rPr>
          <w:lang w:val="en-CA" w:bidi="en-CA"/>
        </w:rPr>
        <w:t> </w:t>
      </w:r>
      <w:r w:rsidRPr="0071186E">
        <w:rPr>
          <w:lang w:val="en-CA" w:bidi="en-CA"/>
        </w:rPr>
        <w:t>C.) and their respective conspiracies (</w:t>
      </w:r>
      <w:r w:rsidR="00F25E06" w:rsidRPr="0071186E">
        <w:rPr>
          <w:lang w:val="en-CA" w:bidi="en-CA"/>
        </w:rPr>
        <w:t>s</w:t>
      </w:r>
      <w:r w:rsidR="00F25E06">
        <w:rPr>
          <w:lang w:val="en-CA" w:bidi="en-CA"/>
        </w:rPr>
        <w:t>.</w:t>
      </w:r>
      <w:r w:rsidR="00F25E06" w:rsidRPr="0071186E">
        <w:rPr>
          <w:lang w:val="en-CA" w:bidi="en-CA"/>
        </w:rPr>
        <w:t xml:space="preserve"> </w:t>
      </w:r>
      <w:r w:rsidRPr="0071186E">
        <w:rPr>
          <w:lang w:val="en-CA" w:bidi="en-CA"/>
        </w:rPr>
        <w:t>465 Cr.</w:t>
      </w:r>
      <w:r w:rsidR="00F25E06">
        <w:rPr>
          <w:lang w:val="en-CA" w:bidi="en-CA"/>
        </w:rPr>
        <w:t> </w:t>
      </w:r>
      <w:r w:rsidRPr="0071186E">
        <w:rPr>
          <w:lang w:val="en-CA" w:bidi="en-CA"/>
        </w:rPr>
        <w:t>C.)</w:t>
      </w:r>
      <w:r w:rsidR="00942BAF">
        <w:rPr>
          <w:lang w:val="en-CA" w:bidi="en-CA"/>
        </w:rPr>
        <w:t>, which</w:t>
      </w:r>
      <w:r w:rsidRPr="0071186E">
        <w:rPr>
          <w:lang w:val="en-CA" w:bidi="en-CA"/>
        </w:rPr>
        <w:t xml:space="preserve"> occurred between September 1997 and March 2004, in Montreal, in connection with </w:t>
      </w:r>
      <w:r w:rsidR="0086116A">
        <w:rPr>
          <w:lang w:val="en-CA" w:bidi="en-CA"/>
        </w:rPr>
        <w:t xml:space="preserve">the award of the </w:t>
      </w:r>
      <w:r w:rsidRPr="0071186E">
        <w:rPr>
          <w:lang w:val="en-CA" w:bidi="en-CA"/>
        </w:rPr>
        <w:t>Jacques Cartier Bridge</w:t>
      </w:r>
      <w:r w:rsidR="0086116A">
        <w:rPr>
          <w:lang w:val="en-CA" w:bidi="en-CA"/>
        </w:rPr>
        <w:t xml:space="preserve"> refurbishment contract</w:t>
      </w:r>
      <w:r w:rsidRPr="0071186E">
        <w:rPr>
          <w:lang w:val="en-CA" w:bidi="en-CA"/>
        </w:rPr>
        <w:t>.</w:t>
      </w:r>
      <w:r w:rsidR="00333711" w:rsidRPr="0071186E">
        <w:rPr>
          <w:rStyle w:val="Appelnotedebasdep"/>
          <w:lang w:val="en-CA" w:bidi="en-CA"/>
        </w:rPr>
        <w:footnoteReference w:id="2"/>
      </w:r>
    </w:p>
    <w:p w14:paraId="61559587" w14:textId="4123793E" w:rsidR="00D56C53" w:rsidRPr="0071186E" w:rsidRDefault="00F75163" w:rsidP="00300B84">
      <w:pPr>
        <w:pStyle w:val="SimpleL1"/>
        <w:rPr>
          <w:lang w:val="en-CA"/>
        </w:rPr>
      </w:pPr>
      <w:r w:rsidRPr="0071186E">
        <w:rPr>
          <w:lang w:val="en-CA" w:bidi="en-CA"/>
        </w:rPr>
        <w:lastRenderedPageBreak/>
        <w:t>On September 27, 2021, the Organiza</w:t>
      </w:r>
      <w:r w:rsidR="0086116A">
        <w:rPr>
          <w:lang w:val="en-CA" w:bidi="en-CA"/>
        </w:rPr>
        <w:t>tions and Normand Morin appear</w:t>
      </w:r>
      <w:r w:rsidR="00AB04DC">
        <w:rPr>
          <w:lang w:val="en-CA" w:bidi="en-CA"/>
        </w:rPr>
        <w:t>ed</w:t>
      </w:r>
      <w:r w:rsidRPr="0071186E">
        <w:rPr>
          <w:lang w:val="en-CA" w:bidi="en-CA"/>
        </w:rPr>
        <w:t xml:space="preserve"> before the Court of Québec.</w:t>
      </w:r>
    </w:p>
    <w:p w14:paraId="2B563C7A" w14:textId="0E9A0C33" w:rsidR="00F75163" w:rsidRPr="0071186E" w:rsidRDefault="00F75163" w:rsidP="00300B84">
      <w:pPr>
        <w:pStyle w:val="SimpleL1"/>
        <w:rPr>
          <w:lang w:val="en-CA"/>
        </w:rPr>
      </w:pPr>
      <w:r w:rsidRPr="0071186E">
        <w:rPr>
          <w:lang w:val="en-CA" w:bidi="en-CA"/>
        </w:rPr>
        <w:t>On that s</w:t>
      </w:r>
      <w:r w:rsidR="0086116A">
        <w:rPr>
          <w:lang w:val="en-CA" w:bidi="en-CA"/>
        </w:rPr>
        <w:t>ame date, Kamal Francis appear</w:t>
      </w:r>
      <w:r w:rsidR="00AB04DC">
        <w:rPr>
          <w:lang w:val="en-CA" w:bidi="en-CA"/>
        </w:rPr>
        <w:t>ed</w:t>
      </w:r>
      <w:r w:rsidRPr="0071186E">
        <w:rPr>
          <w:lang w:val="en-CA" w:bidi="en-CA"/>
        </w:rPr>
        <w:t xml:space="preserve"> </w:t>
      </w:r>
      <w:r w:rsidR="00AB04DC">
        <w:rPr>
          <w:lang w:val="en-CA" w:bidi="en-CA"/>
        </w:rPr>
        <w:t>on</w:t>
      </w:r>
      <w:r w:rsidR="00AB04DC" w:rsidRPr="0071186E">
        <w:rPr>
          <w:lang w:val="en-CA" w:bidi="en-CA"/>
        </w:rPr>
        <w:t xml:space="preserve"> </w:t>
      </w:r>
      <w:r w:rsidRPr="0071186E">
        <w:rPr>
          <w:lang w:val="en-CA" w:bidi="en-CA"/>
        </w:rPr>
        <w:t>the same charges in a related case bearing number 500</w:t>
      </w:r>
      <w:r w:rsidRPr="0071186E">
        <w:rPr>
          <w:lang w:val="en-CA" w:bidi="en-CA"/>
        </w:rPr>
        <w:noBreakHyphen/>
        <w:t>01</w:t>
      </w:r>
      <w:r w:rsidRPr="0071186E">
        <w:rPr>
          <w:lang w:val="en-CA" w:bidi="en-CA"/>
        </w:rPr>
        <w:noBreakHyphen/>
        <w:t>223557</w:t>
      </w:r>
      <w:r w:rsidRPr="0071186E">
        <w:rPr>
          <w:lang w:val="en-CA" w:bidi="en-CA"/>
        </w:rPr>
        <w:noBreakHyphen/>
        <w:t>213.</w:t>
      </w:r>
    </w:p>
    <w:p w14:paraId="265AE565" w14:textId="46D2AEE8" w:rsidR="00F75163" w:rsidRPr="0071186E" w:rsidRDefault="00F75163" w:rsidP="00300B84">
      <w:pPr>
        <w:pStyle w:val="SimpleL1"/>
        <w:rPr>
          <w:lang w:val="en-CA"/>
        </w:rPr>
      </w:pPr>
      <w:r w:rsidRPr="0071186E">
        <w:rPr>
          <w:lang w:val="en-CA" w:bidi="en-CA"/>
        </w:rPr>
        <w:t>The Court of Québec adjourn</w:t>
      </w:r>
      <w:r w:rsidR="00AB04DC">
        <w:rPr>
          <w:lang w:val="en-CA" w:bidi="en-CA"/>
        </w:rPr>
        <w:t>ed</w:t>
      </w:r>
      <w:r w:rsidRPr="0071186E">
        <w:rPr>
          <w:lang w:val="en-CA" w:bidi="en-CA"/>
        </w:rPr>
        <w:t xml:space="preserve"> for </w:t>
      </w:r>
      <w:r w:rsidR="00AC29F5" w:rsidRPr="0071186E">
        <w:rPr>
          <w:lang w:val="en-CA" w:bidi="en-CA"/>
        </w:rPr>
        <w:t xml:space="preserve">orientation </w:t>
      </w:r>
      <w:r w:rsidRPr="0071186E">
        <w:rPr>
          <w:lang w:val="en-CA" w:bidi="en-CA"/>
        </w:rPr>
        <w:t xml:space="preserve">and </w:t>
      </w:r>
      <w:r w:rsidR="00AC29F5" w:rsidRPr="0071186E">
        <w:rPr>
          <w:lang w:val="en-CA" w:bidi="en-CA"/>
        </w:rPr>
        <w:t>declaration</w:t>
      </w:r>
      <w:r w:rsidRPr="0071186E">
        <w:rPr>
          <w:lang w:val="en-CA" w:bidi="en-CA"/>
        </w:rPr>
        <w:t xml:space="preserve"> on November</w:t>
      </w:r>
      <w:r w:rsidR="00AC29F5" w:rsidRPr="0071186E">
        <w:rPr>
          <w:lang w:val="en-CA" w:bidi="en-CA"/>
        </w:rPr>
        <w:t> </w:t>
      </w:r>
      <w:r w:rsidRPr="0071186E">
        <w:rPr>
          <w:lang w:val="en-CA" w:bidi="en-CA"/>
        </w:rPr>
        <w:t>12, 2021 and February 15, 2022.</w:t>
      </w:r>
    </w:p>
    <w:p w14:paraId="081F1BB4" w14:textId="6C2865B6" w:rsidR="00F75163" w:rsidRPr="0071186E" w:rsidRDefault="00F75163" w:rsidP="00300B84">
      <w:pPr>
        <w:pStyle w:val="SimpleL1"/>
        <w:rPr>
          <w:lang w:val="en-CA"/>
        </w:rPr>
      </w:pPr>
      <w:r w:rsidRPr="0071186E">
        <w:rPr>
          <w:lang w:val="en-CA" w:bidi="en-CA"/>
        </w:rPr>
        <w:t>On Novemb</w:t>
      </w:r>
      <w:r w:rsidR="00B427FC">
        <w:rPr>
          <w:lang w:val="en-CA" w:bidi="en-CA"/>
        </w:rPr>
        <w:t>er 12, 2021, Kamal Francis elect</w:t>
      </w:r>
      <w:r w:rsidR="009B7C3A">
        <w:rPr>
          <w:lang w:val="en-CA" w:bidi="en-CA"/>
        </w:rPr>
        <w:t>ed</w:t>
      </w:r>
      <w:r w:rsidRPr="0071186E">
        <w:rPr>
          <w:lang w:val="en-CA" w:bidi="en-CA"/>
        </w:rPr>
        <w:t xml:space="preserve"> to be tried before a judge of the provincial court.</w:t>
      </w:r>
    </w:p>
    <w:p w14:paraId="2C766ADC" w14:textId="5D7939D5" w:rsidR="00F75163" w:rsidRPr="0071186E" w:rsidRDefault="00F75163" w:rsidP="00300B84">
      <w:pPr>
        <w:pStyle w:val="SimpleL1"/>
        <w:rPr>
          <w:lang w:val="en-CA"/>
        </w:rPr>
      </w:pPr>
      <w:r w:rsidRPr="0071186E">
        <w:rPr>
          <w:lang w:val="en-CA" w:bidi="en-CA"/>
        </w:rPr>
        <w:t>On March 7, 2022, the three co-accused jointly register</w:t>
      </w:r>
      <w:r w:rsidR="009B7C3A">
        <w:rPr>
          <w:lang w:val="en-CA" w:bidi="en-CA"/>
        </w:rPr>
        <w:t>ed</w:t>
      </w:r>
      <w:r w:rsidR="00B427FC">
        <w:rPr>
          <w:lang w:val="en-CA" w:bidi="en-CA"/>
        </w:rPr>
        <w:t xml:space="preserve"> the judge </w:t>
      </w:r>
      <w:r w:rsidRPr="0071186E">
        <w:rPr>
          <w:lang w:val="en-CA" w:bidi="en-CA"/>
        </w:rPr>
        <w:t>a</w:t>
      </w:r>
      <w:r w:rsidR="00B427FC">
        <w:rPr>
          <w:lang w:val="en-CA" w:bidi="en-CA"/>
        </w:rPr>
        <w:t xml:space="preserve">nd </w:t>
      </w:r>
      <w:r w:rsidRPr="0071186E">
        <w:rPr>
          <w:lang w:val="en-CA" w:bidi="en-CA"/>
        </w:rPr>
        <w:t xml:space="preserve">jury option and the case </w:t>
      </w:r>
      <w:r w:rsidR="009B7C3A">
        <w:rPr>
          <w:lang w:val="en-CA" w:bidi="en-CA"/>
        </w:rPr>
        <w:t>was</w:t>
      </w:r>
      <w:r w:rsidR="009B7C3A" w:rsidRPr="0071186E">
        <w:rPr>
          <w:lang w:val="en-CA" w:bidi="en-CA"/>
        </w:rPr>
        <w:t xml:space="preserve"> </w:t>
      </w:r>
      <w:r w:rsidRPr="0071186E">
        <w:rPr>
          <w:lang w:val="en-CA" w:bidi="en-CA"/>
        </w:rPr>
        <w:t>postponed until t</w:t>
      </w:r>
      <w:r w:rsidR="006C19EC">
        <w:rPr>
          <w:lang w:val="en-CA" w:bidi="en-CA"/>
        </w:rPr>
        <w:t>he Superior Court session open</w:t>
      </w:r>
      <w:r w:rsidR="009B7C3A">
        <w:rPr>
          <w:lang w:val="en-CA" w:bidi="en-CA"/>
        </w:rPr>
        <w:t>ed</w:t>
      </w:r>
      <w:r w:rsidRPr="0071186E">
        <w:rPr>
          <w:lang w:val="en-CA" w:bidi="en-CA"/>
        </w:rPr>
        <w:t xml:space="preserve"> on March 9, 2022.</w:t>
      </w:r>
    </w:p>
    <w:p w14:paraId="55EE42AD" w14:textId="681B51B7" w:rsidR="00F75163" w:rsidRPr="0071186E" w:rsidRDefault="00F75163" w:rsidP="00300B84">
      <w:pPr>
        <w:pStyle w:val="SimpleL1"/>
        <w:rPr>
          <w:lang w:val="en-CA"/>
        </w:rPr>
      </w:pPr>
      <w:r w:rsidRPr="0071186E">
        <w:rPr>
          <w:lang w:val="en-CA" w:bidi="en-CA"/>
        </w:rPr>
        <w:t>On</w:t>
      </w:r>
      <w:r w:rsidR="006C19EC">
        <w:rPr>
          <w:lang w:val="en-CA" w:bidi="en-CA"/>
        </w:rPr>
        <w:t xml:space="preserve"> that date, the Prosecutor file</w:t>
      </w:r>
      <w:r w:rsidR="009B7C3A">
        <w:rPr>
          <w:lang w:val="en-CA" w:bidi="en-CA"/>
        </w:rPr>
        <w:t>d</w:t>
      </w:r>
      <w:r w:rsidRPr="0071186E">
        <w:rPr>
          <w:lang w:val="en-CA" w:bidi="en-CA"/>
        </w:rPr>
        <w:t xml:space="preserve"> the indictment agains</w:t>
      </w:r>
      <w:r w:rsidR="006C19EC">
        <w:rPr>
          <w:lang w:val="en-CA" w:bidi="en-CA"/>
        </w:rPr>
        <w:t>t the three co-accused and beg</w:t>
      </w:r>
      <w:r w:rsidR="009B7C3A">
        <w:rPr>
          <w:lang w:val="en-CA" w:bidi="en-CA"/>
        </w:rPr>
        <w:t>a</w:t>
      </w:r>
      <w:r w:rsidR="006C19EC">
        <w:rPr>
          <w:lang w:val="en-CA" w:bidi="en-CA"/>
        </w:rPr>
        <w:t>n</w:t>
      </w:r>
      <w:r w:rsidRPr="0071186E">
        <w:rPr>
          <w:lang w:val="en-CA" w:bidi="en-CA"/>
        </w:rPr>
        <w:t xml:space="preserve"> setting the timetable for the pre-hearing conference</w:t>
      </w:r>
      <w:r w:rsidR="002A48D9">
        <w:rPr>
          <w:lang w:val="en-CA" w:bidi="en-CA"/>
        </w:rPr>
        <w:t>, as</w:t>
      </w:r>
      <w:r w:rsidRPr="0071186E">
        <w:rPr>
          <w:lang w:val="en-CA" w:bidi="en-CA"/>
        </w:rPr>
        <w:t xml:space="preserve"> required under </w:t>
      </w:r>
      <w:r w:rsidR="00F25E06">
        <w:rPr>
          <w:lang w:val="en-CA" w:bidi="en-CA"/>
        </w:rPr>
        <w:t>s.</w:t>
      </w:r>
      <w:r w:rsidR="00701389" w:rsidRPr="0071186E">
        <w:rPr>
          <w:lang w:val="en-CA" w:bidi="en-CA"/>
        </w:rPr>
        <w:t> </w:t>
      </w:r>
      <w:r w:rsidRPr="0071186E">
        <w:rPr>
          <w:lang w:val="en-CA" w:bidi="en-CA"/>
        </w:rPr>
        <w:t>625.1(2) Cr.</w:t>
      </w:r>
      <w:r w:rsidR="00F25E06">
        <w:rPr>
          <w:lang w:val="en-CA" w:bidi="en-CA"/>
        </w:rPr>
        <w:t> </w:t>
      </w:r>
      <w:r w:rsidRPr="0071186E">
        <w:rPr>
          <w:lang w:val="en-CA" w:bidi="en-CA"/>
        </w:rPr>
        <w:t>C.</w:t>
      </w:r>
    </w:p>
    <w:p w14:paraId="3080CF00" w14:textId="77777777" w:rsidR="007E4BF7" w:rsidRPr="0071186E" w:rsidRDefault="00F75163" w:rsidP="00252E88">
      <w:pPr>
        <w:pStyle w:val="Titre2"/>
        <w:rPr>
          <w:lang w:val="en-CA"/>
        </w:rPr>
      </w:pPr>
      <w:bookmarkStart w:id="4" w:name="_Toc109310843"/>
      <w:r w:rsidRPr="0071186E">
        <w:rPr>
          <w:lang w:val="en-CA" w:bidi="en-CA"/>
        </w:rPr>
        <w:t>Offer process and negotiations</w:t>
      </w:r>
      <w:bookmarkEnd w:id="4"/>
    </w:p>
    <w:p w14:paraId="5891F8E8" w14:textId="32F4C400" w:rsidR="007268B1" w:rsidRPr="009D0123" w:rsidRDefault="00F75163" w:rsidP="007268B1">
      <w:pPr>
        <w:pStyle w:val="SimpleL1"/>
        <w:rPr>
          <w:lang w:val="en-CA"/>
        </w:rPr>
      </w:pPr>
      <w:r w:rsidRPr="009D0123">
        <w:rPr>
          <w:lang w:val="en-CA" w:bidi="en-CA"/>
        </w:rPr>
        <w:t>On September</w:t>
      </w:r>
      <w:r w:rsidR="00B96897" w:rsidRPr="009D0123">
        <w:rPr>
          <w:lang w:val="en-CA" w:bidi="en-CA"/>
        </w:rPr>
        <w:t xml:space="preserve"> 23, 2021,</w:t>
      </w:r>
      <w:r w:rsidR="009D0123" w:rsidRPr="009D0123">
        <w:rPr>
          <w:lang w:val="en-CA" w:bidi="en-CA"/>
        </w:rPr>
        <w:t xml:space="preserve"> the same day as the </w:t>
      </w:r>
      <w:r w:rsidR="00391474" w:rsidRPr="009D0123">
        <w:rPr>
          <w:lang w:val="en-CA" w:bidi="en-CA"/>
        </w:rPr>
        <w:t xml:space="preserve">summons </w:t>
      </w:r>
      <w:r w:rsidR="00391474">
        <w:rPr>
          <w:lang w:val="en-CA" w:bidi="en-CA"/>
        </w:rPr>
        <w:t>was served</w:t>
      </w:r>
      <w:r w:rsidR="009D0123" w:rsidRPr="009D0123">
        <w:rPr>
          <w:lang w:val="en-CA" w:bidi="en-CA"/>
        </w:rPr>
        <w:t xml:space="preserve">, </w:t>
      </w:r>
      <w:r w:rsidR="00B96897" w:rsidRPr="009D0123">
        <w:rPr>
          <w:lang w:val="en-CA" w:bidi="en-CA"/>
        </w:rPr>
        <w:t>the Prosecutor serve</w:t>
      </w:r>
      <w:r w:rsidR="00391474">
        <w:rPr>
          <w:lang w:val="en-CA" w:bidi="en-CA"/>
        </w:rPr>
        <w:t>d</w:t>
      </w:r>
      <w:r w:rsidRPr="009D0123">
        <w:rPr>
          <w:lang w:val="en-CA" w:bidi="en-CA"/>
        </w:rPr>
        <w:t xml:space="preserve"> a </w:t>
      </w:r>
      <w:r w:rsidRPr="009D0123">
        <w:rPr>
          <w:i/>
          <w:lang w:val="en-CA" w:bidi="en-CA"/>
        </w:rPr>
        <w:t>Public Notice of Offer to Negotiate a Remediation Agreement</w:t>
      </w:r>
      <w:r w:rsidR="00333711" w:rsidRPr="009D0123">
        <w:rPr>
          <w:rStyle w:val="Appelnotedebasdep"/>
          <w:lang w:val="en-CA" w:bidi="en-CA"/>
        </w:rPr>
        <w:footnoteReference w:id="3"/>
      </w:r>
      <w:r w:rsidRPr="009D0123">
        <w:rPr>
          <w:lang w:val="en-CA" w:bidi="en-CA"/>
        </w:rPr>
        <w:t>. Concurrently with this public notice, the Prosecutor serv</w:t>
      </w:r>
      <w:r w:rsidR="009D0123" w:rsidRPr="009D0123">
        <w:rPr>
          <w:lang w:val="en-CA" w:bidi="en-CA"/>
        </w:rPr>
        <w:t>e</w:t>
      </w:r>
      <w:r w:rsidR="00391474">
        <w:rPr>
          <w:lang w:val="en-CA" w:bidi="en-CA"/>
        </w:rPr>
        <w:t>d</w:t>
      </w:r>
      <w:r w:rsidRPr="009D0123">
        <w:rPr>
          <w:lang w:val="en-CA" w:bidi="en-CA"/>
        </w:rPr>
        <w:t xml:space="preserve"> a </w:t>
      </w:r>
      <w:r w:rsidRPr="009D0123">
        <w:rPr>
          <w:i/>
          <w:lang w:val="en-CA" w:bidi="en-CA"/>
        </w:rPr>
        <w:t>Detailed Notice of Offer to Negotiate a Remediation Agreement</w:t>
      </w:r>
      <w:r w:rsidR="00333711" w:rsidRPr="009D0123">
        <w:rPr>
          <w:rStyle w:val="Appelnotedebasdep"/>
          <w:lang w:val="en-CA" w:bidi="en-CA"/>
        </w:rPr>
        <w:footnoteReference w:id="4"/>
      </w:r>
      <w:r w:rsidRPr="009D0123">
        <w:rPr>
          <w:i/>
          <w:lang w:val="en-CA" w:bidi="en-CA"/>
        </w:rPr>
        <w:t xml:space="preserve"> </w:t>
      </w:r>
      <w:r w:rsidRPr="009D0123">
        <w:rPr>
          <w:lang w:val="en-CA" w:bidi="en-CA"/>
        </w:rPr>
        <w:t>pursuant to s</w:t>
      </w:r>
      <w:r w:rsidR="00F25E06">
        <w:rPr>
          <w:lang w:val="en-CA" w:bidi="en-CA"/>
        </w:rPr>
        <w:t>. </w:t>
      </w:r>
      <w:r w:rsidRPr="009D0123">
        <w:rPr>
          <w:lang w:val="en-CA" w:bidi="en-CA"/>
        </w:rPr>
        <w:t>715.33</w:t>
      </w:r>
      <w:r w:rsidR="00F25E06">
        <w:rPr>
          <w:lang w:val="en-CA" w:bidi="en-CA"/>
        </w:rPr>
        <w:t> </w:t>
      </w:r>
      <w:r w:rsidRPr="009D0123">
        <w:rPr>
          <w:lang w:val="en-CA" w:bidi="en-CA"/>
        </w:rPr>
        <w:t>Cr.</w:t>
      </w:r>
      <w:r w:rsidR="00391474">
        <w:rPr>
          <w:lang w:val="en-CA" w:bidi="en-CA"/>
        </w:rPr>
        <w:t> </w:t>
      </w:r>
      <w:r w:rsidRPr="009D0123">
        <w:rPr>
          <w:lang w:val="en-CA" w:bidi="en-CA"/>
        </w:rPr>
        <w:t>C.</w:t>
      </w:r>
      <w:r w:rsidR="004067A8" w:rsidRPr="009D0123">
        <w:rPr>
          <w:lang w:val="en-CA" w:bidi="en-CA"/>
        </w:rPr>
        <w:t>,</w:t>
      </w:r>
      <w:r w:rsidRPr="009D0123">
        <w:rPr>
          <w:lang w:val="en-CA" w:bidi="en-CA"/>
        </w:rPr>
        <w:t xml:space="preserve"> the contents of which are privileged and confidential.</w:t>
      </w:r>
    </w:p>
    <w:p w14:paraId="7306C82D" w14:textId="5B279EE3" w:rsidR="007268B1" w:rsidRPr="0071186E" w:rsidRDefault="00F75163" w:rsidP="007268B1">
      <w:pPr>
        <w:pStyle w:val="SimpleL1"/>
        <w:rPr>
          <w:lang w:val="en-CA"/>
        </w:rPr>
      </w:pPr>
      <w:r w:rsidRPr="0071186E">
        <w:rPr>
          <w:i/>
          <w:lang w:val="en-CA" w:bidi="en-CA"/>
        </w:rPr>
        <w:t xml:space="preserve">The Public Notice of Offer to Negotiate a Remediation Agreement </w:t>
      </w:r>
      <w:r w:rsidRPr="0071186E">
        <w:rPr>
          <w:lang w:val="en-CA" w:bidi="en-CA"/>
        </w:rPr>
        <w:t xml:space="preserve">came in the wake of the consent given on September 15, 2021, by the </w:t>
      </w:r>
      <w:r w:rsidR="00B57B0E" w:rsidRPr="00246D8F">
        <w:rPr>
          <w:lang w:val="en-CA" w:bidi="en-CA"/>
        </w:rPr>
        <w:t>Directeur des poursuites criminelles et pénales</w:t>
      </w:r>
      <w:r w:rsidRPr="0071186E">
        <w:rPr>
          <w:lang w:val="en-CA" w:bidi="en-CA"/>
        </w:rPr>
        <w:t>, M</w:t>
      </w:r>
      <w:r w:rsidRPr="0071186E">
        <w:rPr>
          <w:vertAlign w:val="superscript"/>
          <w:lang w:val="en-CA" w:bidi="en-CA"/>
        </w:rPr>
        <w:t>tre</w:t>
      </w:r>
      <w:r w:rsidRPr="0071186E">
        <w:rPr>
          <w:lang w:val="en-CA" w:bidi="en-CA"/>
        </w:rPr>
        <w:t xml:space="preserve"> Patrick Mic</w:t>
      </w:r>
      <w:r w:rsidR="00FF41F3" w:rsidRPr="0071186E">
        <w:rPr>
          <w:lang w:val="en-CA" w:bidi="en-CA"/>
        </w:rPr>
        <w:t xml:space="preserve">hel, in accordance with </w:t>
      </w:r>
      <w:r w:rsidR="00CA4224">
        <w:rPr>
          <w:lang w:val="en-CA" w:bidi="en-CA"/>
        </w:rPr>
        <w:t>s.</w:t>
      </w:r>
      <w:r w:rsidR="00CA4224" w:rsidRPr="0071186E">
        <w:rPr>
          <w:lang w:val="en-CA" w:bidi="en-CA"/>
        </w:rPr>
        <w:t> </w:t>
      </w:r>
      <w:r w:rsidRPr="0071186E">
        <w:rPr>
          <w:lang w:val="en-CA" w:bidi="en-CA"/>
        </w:rPr>
        <w:t>715.32(1)(d) Cr.</w:t>
      </w:r>
      <w:r w:rsidR="00CA4224">
        <w:rPr>
          <w:lang w:val="en-CA" w:bidi="en-CA"/>
        </w:rPr>
        <w:t> </w:t>
      </w:r>
      <w:r w:rsidRPr="0071186E">
        <w:rPr>
          <w:lang w:val="en-CA" w:bidi="en-CA"/>
        </w:rPr>
        <w:t>C.</w:t>
      </w:r>
      <w:r w:rsidR="00333711" w:rsidRPr="0071186E">
        <w:rPr>
          <w:rStyle w:val="Appelnotedebasdep"/>
          <w:lang w:val="en-CA" w:bidi="en-CA"/>
        </w:rPr>
        <w:footnoteReference w:id="5"/>
      </w:r>
    </w:p>
    <w:p w14:paraId="663A55C4" w14:textId="26EAB272" w:rsidR="007268B1" w:rsidRPr="0071186E" w:rsidRDefault="00F75163" w:rsidP="007268B1">
      <w:pPr>
        <w:pStyle w:val="SimpleL1"/>
        <w:rPr>
          <w:lang w:val="en-CA"/>
        </w:rPr>
      </w:pPr>
      <w:r w:rsidRPr="002015A2">
        <w:rPr>
          <w:lang w:val="en-CA" w:bidi="en-CA"/>
        </w:rPr>
        <w:t xml:space="preserve">This offer is a procedural act </w:t>
      </w:r>
      <w:r w:rsidR="00B12858">
        <w:rPr>
          <w:lang w:val="en-CA" w:bidi="en-CA"/>
        </w:rPr>
        <w:t>in</w:t>
      </w:r>
      <w:r w:rsidRPr="002015A2">
        <w:rPr>
          <w:lang w:val="en-CA" w:bidi="en-CA"/>
        </w:rPr>
        <w:t xml:space="preserve"> the form of a judicial notice. It informs the Organizations of the framework and timetable for the proposed negotiations and includes the content required under </w:t>
      </w:r>
      <w:r w:rsidR="00CA4224">
        <w:rPr>
          <w:lang w:val="en-CA" w:bidi="en-CA"/>
        </w:rPr>
        <w:t>s.</w:t>
      </w:r>
      <w:r w:rsidR="00CA4224" w:rsidRPr="002015A2">
        <w:rPr>
          <w:lang w:val="en-CA" w:bidi="en-CA"/>
        </w:rPr>
        <w:t xml:space="preserve"> </w:t>
      </w:r>
      <w:r w:rsidRPr="002015A2">
        <w:rPr>
          <w:lang w:val="en-CA" w:bidi="en-CA"/>
        </w:rPr>
        <w:t>715.33 Cr.</w:t>
      </w:r>
      <w:r w:rsidR="00CA4224">
        <w:rPr>
          <w:lang w:val="en-CA" w:bidi="en-CA"/>
        </w:rPr>
        <w:t> </w:t>
      </w:r>
      <w:r w:rsidRPr="002015A2">
        <w:rPr>
          <w:lang w:val="en-CA" w:bidi="en-CA"/>
        </w:rPr>
        <w:t>C. Acceptance of this offer is deemed an undertaking to comply with the stipulated framework and timetable</w:t>
      </w:r>
      <w:r w:rsidRPr="0071186E">
        <w:rPr>
          <w:lang w:val="en-CA" w:bidi="en-CA"/>
        </w:rPr>
        <w:t>.</w:t>
      </w:r>
    </w:p>
    <w:p w14:paraId="66F91DF0" w14:textId="4D1D587C" w:rsidR="00F75163" w:rsidRPr="0071186E" w:rsidRDefault="00F75163" w:rsidP="007268B1">
      <w:pPr>
        <w:pStyle w:val="SimpleL1"/>
        <w:rPr>
          <w:lang w:val="en-CA"/>
        </w:rPr>
      </w:pPr>
      <w:r w:rsidRPr="0071186E">
        <w:rPr>
          <w:lang w:val="en-CA" w:bidi="en-CA"/>
        </w:rPr>
        <w:t xml:space="preserve">Pursuant to </w:t>
      </w:r>
      <w:r w:rsidR="00CA4224">
        <w:rPr>
          <w:lang w:val="en-CA" w:bidi="en-CA"/>
        </w:rPr>
        <w:t>s.</w:t>
      </w:r>
      <w:r w:rsidR="00CA4224" w:rsidRPr="0071186E">
        <w:rPr>
          <w:lang w:val="en-CA" w:bidi="en-CA"/>
        </w:rPr>
        <w:t xml:space="preserve"> </w:t>
      </w:r>
      <w:r w:rsidRPr="0071186E">
        <w:rPr>
          <w:lang w:val="en-CA" w:bidi="en-CA"/>
        </w:rPr>
        <w:t>715.33(1)(j) Cr.</w:t>
      </w:r>
      <w:r w:rsidR="00CA4224">
        <w:rPr>
          <w:lang w:val="en-CA" w:bidi="en-CA"/>
        </w:rPr>
        <w:t> </w:t>
      </w:r>
      <w:r w:rsidRPr="0071186E">
        <w:rPr>
          <w:lang w:val="en-CA" w:bidi="en-CA"/>
        </w:rPr>
        <w:t xml:space="preserve">C., the </w:t>
      </w:r>
      <w:r w:rsidRPr="0071186E">
        <w:rPr>
          <w:i/>
          <w:lang w:val="en-CA" w:bidi="en-CA"/>
        </w:rPr>
        <w:t>Detailed Notice</w:t>
      </w:r>
      <w:r w:rsidRPr="0071186E">
        <w:rPr>
          <w:lang w:val="en-CA" w:bidi="en-CA"/>
        </w:rPr>
        <w:t xml:space="preserve"> fixes the </w:t>
      </w:r>
      <w:r w:rsidR="00B12858">
        <w:rPr>
          <w:lang w:val="en-CA" w:bidi="en-CA"/>
        </w:rPr>
        <w:t>deadline</w:t>
      </w:r>
      <w:r w:rsidRPr="0071186E">
        <w:rPr>
          <w:lang w:val="en-CA" w:bidi="en-CA"/>
        </w:rPr>
        <w:t xml:space="preserve"> to respond to the offer, in this case, fifteen (15) days, and a timetable for the negotiation stages, within a maximum period of three (3) months for presenting the approval procedure before the Superior Court.</w:t>
      </w:r>
    </w:p>
    <w:p w14:paraId="7DFE62F1" w14:textId="396DCDC6" w:rsidR="00F75163" w:rsidRPr="0071186E" w:rsidRDefault="00F75163" w:rsidP="007268B1">
      <w:pPr>
        <w:pStyle w:val="SimpleL1"/>
        <w:rPr>
          <w:lang w:val="en-CA"/>
        </w:rPr>
      </w:pPr>
      <w:r w:rsidRPr="0071186E">
        <w:rPr>
          <w:lang w:val="en-CA" w:bidi="en-CA"/>
        </w:rPr>
        <w:lastRenderedPageBreak/>
        <w:t xml:space="preserve">In </w:t>
      </w:r>
      <w:r w:rsidR="00CA4224">
        <w:rPr>
          <w:lang w:val="en-CA" w:bidi="en-CA"/>
        </w:rPr>
        <w:t>s.</w:t>
      </w:r>
      <w:r w:rsidR="00CA4224" w:rsidRPr="0071186E">
        <w:rPr>
          <w:lang w:val="en-CA" w:bidi="en-CA"/>
        </w:rPr>
        <w:t xml:space="preserve"> </w:t>
      </w:r>
      <w:r w:rsidRPr="0071186E">
        <w:rPr>
          <w:lang w:val="en-CA" w:bidi="en-CA"/>
        </w:rPr>
        <w:t>715.33(1)</w:t>
      </w:r>
      <w:r w:rsidR="00AC29F5" w:rsidRPr="0071186E">
        <w:rPr>
          <w:lang w:val="en-CA" w:bidi="en-CA"/>
        </w:rPr>
        <w:t>(</w:t>
      </w:r>
      <w:r w:rsidRPr="0071186E">
        <w:rPr>
          <w:lang w:val="en-CA" w:bidi="en-CA"/>
        </w:rPr>
        <w:t>d) Cr.</w:t>
      </w:r>
      <w:r w:rsidR="00CA4224">
        <w:rPr>
          <w:lang w:val="en-CA" w:bidi="en-CA"/>
        </w:rPr>
        <w:t> </w:t>
      </w:r>
      <w:r w:rsidRPr="0071186E">
        <w:rPr>
          <w:lang w:val="en-CA" w:bidi="en-CA"/>
        </w:rPr>
        <w:t xml:space="preserve">C., </w:t>
      </w:r>
      <w:r w:rsidR="004067A8" w:rsidRPr="0071186E">
        <w:rPr>
          <w:lang w:val="en-CA" w:bidi="en-CA"/>
        </w:rPr>
        <w:t xml:space="preserve">the </w:t>
      </w:r>
      <w:r w:rsidR="00AC29F5" w:rsidRPr="0071186E">
        <w:rPr>
          <w:lang w:val="en-CA" w:bidi="en-CA"/>
        </w:rPr>
        <w:t xml:space="preserve">legislator </w:t>
      </w:r>
      <w:r w:rsidRPr="0071186E">
        <w:rPr>
          <w:lang w:val="en-CA" w:bidi="en-CA"/>
        </w:rPr>
        <w:t>specif</w:t>
      </w:r>
      <w:r w:rsidR="00AC29F5" w:rsidRPr="0071186E">
        <w:rPr>
          <w:lang w:val="en-CA" w:bidi="en-CA"/>
        </w:rPr>
        <w:t>ies</w:t>
      </w:r>
      <w:r w:rsidRPr="0071186E">
        <w:rPr>
          <w:lang w:val="en-CA" w:bidi="en-CA"/>
        </w:rPr>
        <w:t xml:space="preserve"> that, by agreeing to the terms of the notice, “the organization explicitly waives the inclusion of the negotiation period and the period during which the agreement is in force in any assessment of the reasonableness of the delay between the day on which the charge is laid and the end of trial”.</w:t>
      </w:r>
    </w:p>
    <w:p w14:paraId="2326A0D4" w14:textId="69068DAE" w:rsidR="00F75163" w:rsidRPr="0071186E" w:rsidRDefault="00F75163" w:rsidP="007268B1">
      <w:pPr>
        <w:pStyle w:val="SimpleL1"/>
        <w:rPr>
          <w:lang w:val="en-CA"/>
        </w:rPr>
      </w:pPr>
      <w:r w:rsidRPr="0071186E">
        <w:rPr>
          <w:lang w:val="en-CA" w:bidi="en-CA"/>
        </w:rPr>
        <w:t xml:space="preserve">On September 27, 2021, </w:t>
      </w:r>
      <w:r w:rsidR="00AC29F5" w:rsidRPr="0071186E">
        <w:rPr>
          <w:lang w:val="en-CA" w:bidi="en-CA"/>
        </w:rPr>
        <w:t>at the Organizations’ appearance</w:t>
      </w:r>
      <w:r w:rsidR="00E92AB6">
        <w:rPr>
          <w:lang w:val="en-CA" w:bidi="en-CA"/>
        </w:rPr>
        <w:t>, the Prosecutor file</w:t>
      </w:r>
      <w:r w:rsidR="007752C4">
        <w:rPr>
          <w:lang w:val="en-CA" w:bidi="en-CA"/>
        </w:rPr>
        <w:t>d</w:t>
      </w:r>
      <w:r w:rsidRPr="0071186E">
        <w:rPr>
          <w:lang w:val="en-CA" w:bidi="en-CA"/>
        </w:rPr>
        <w:t xml:space="preserve"> the</w:t>
      </w:r>
      <w:r w:rsidRPr="0071186E">
        <w:rPr>
          <w:i/>
          <w:lang w:val="en-CA" w:bidi="en-CA"/>
        </w:rPr>
        <w:t xml:space="preserve"> Public Notice</w:t>
      </w:r>
      <w:r w:rsidRPr="0071186E">
        <w:rPr>
          <w:lang w:val="en-CA" w:bidi="en-CA"/>
        </w:rPr>
        <w:t xml:space="preserve"> into the records of the Court of Québec. </w:t>
      </w:r>
      <w:r w:rsidR="007752C4">
        <w:rPr>
          <w:lang w:val="en-CA" w:bidi="en-CA"/>
        </w:rPr>
        <w:t>F</w:t>
      </w:r>
      <w:r w:rsidRPr="0071186E">
        <w:rPr>
          <w:lang w:val="en-CA" w:bidi="en-CA"/>
        </w:rPr>
        <w:t xml:space="preserve">iling the </w:t>
      </w:r>
      <w:r w:rsidR="007752C4" w:rsidRPr="0071186E">
        <w:rPr>
          <w:lang w:val="en-CA" w:bidi="en-CA"/>
        </w:rPr>
        <w:t xml:space="preserve">public version </w:t>
      </w:r>
      <w:r w:rsidR="007752C4">
        <w:rPr>
          <w:lang w:val="en-CA" w:bidi="en-CA"/>
        </w:rPr>
        <w:t xml:space="preserve">of the </w:t>
      </w:r>
      <w:r w:rsidRPr="0071186E">
        <w:rPr>
          <w:lang w:val="en-CA" w:bidi="en-CA"/>
        </w:rPr>
        <w:t>notice of offer</w:t>
      </w:r>
      <w:r w:rsidR="006B7F16">
        <w:rPr>
          <w:lang w:val="en-CA" w:bidi="en-CA"/>
        </w:rPr>
        <w:t xml:space="preserve"> </w:t>
      </w:r>
      <w:r w:rsidRPr="0071186E">
        <w:rPr>
          <w:lang w:val="en-CA" w:bidi="en-CA"/>
        </w:rPr>
        <w:t xml:space="preserve">is consistent with the principles of open court, transparency of public prosecutors and consideration of the </w:t>
      </w:r>
      <w:r w:rsidR="00382D3D">
        <w:rPr>
          <w:lang w:val="en-CA" w:bidi="en-CA"/>
        </w:rPr>
        <w:t>financial</w:t>
      </w:r>
      <w:r w:rsidR="00382D3D" w:rsidRPr="0071186E">
        <w:rPr>
          <w:lang w:val="en-CA" w:bidi="en-CA"/>
        </w:rPr>
        <w:t xml:space="preserve"> </w:t>
      </w:r>
      <w:r w:rsidR="00AC29F5" w:rsidRPr="0071186E">
        <w:rPr>
          <w:lang w:val="en-CA" w:bidi="en-CA"/>
        </w:rPr>
        <w:t xml:space="preserve">public </w:t>
      </w:r>
      <w:r w:rsidRPr="0071186E">
        <w:rPr>
          <w:lang w:val="en-CA" w:bidi="en-CA"/>
        </w:rPr>
        <w:t>interest</w:t>
      </w:r>
      <w:r w:rsidR="00382D3D">
        <w:rPr>
          <w:lang w:val="en-CA" w:bidi="en-CA"/>
        </w:rPr>
        <w:t xml:space="preserve">, in particular, because it </w:t>
      </w:r>
      <w:r w:rsidR="00AC29F5" w:rsidRPr="0071186E">
        <w:rPr>
          <w:lang w:val="en-CA" w:bidi="en-CA"/>
        </w:rPr>
        <w:t>eliminate</w:t>
      </w:r>
      <w:r w:rsidR="00382D3D">
        <w:rPr>
          <w:lang w:val="en-CA" w:bidi="en-CA"/>
        </w:rPr>
        <w:t>s</w:t>
      </w:r>
      <w:r w:rsidR="00AC29F5" w:rsidRPr="0071186E">
        <w:rPr>
          <w:lang w:val="en-CA" w:bidi="en-CA"/>
        </w:rPr>
        <w:t xml:space="preserve"> </w:t>
      </w:r>
      <w:r w:rsidRPr="0071186E">
        <w:rPr>
          <w:lang w:val="en-CA" w:bidi="en-CA"/>
        </w:rPr>
        <w:t>any ambiguity surrounding the offer and therefore minimize</w:t>
      </w:r>
      <w:r w:rsidR="00382D3D">
        <w:rPr>
          <w:lang w:val="en-CA" w:bidi="en-CA"/>
        </w:rPr>
        <w:t>s</w:t>
      </w:r>
      <w:r w:rsidRPr="0071186E">
        <w:rPr>
          <w:lang w:val="en-CA" w:bidi="en-CA"/>
        </w:rPr>
        <w:t xml:space="preserve"> the uncertainty of the situation of a public company, the SNC-Lavalin Group Inc. (“SNCLG”).</w:t>
      </w:r>
    </w:p>
    <w:p w14:paraId="1BF4A070" w14:textId="7A515C36" w:rsidR="00F75163" w:rsidRPr="0071186E" w:rsidRDefault="00F75163" w:rsidP="007268B1">
      <w:pPr>
        <w:pStyle w:val="SimpleL1"/>
        <w:rPr>
          <w:lang w:val="en-CA"/>
        </w:rPr>
      </w:pPr>
      <w:r w:rsidRPr="0071186E">
        <w:rPr>
          <w:lang w:val="en-CA" w:bidi="en-CA"/>
        </w:rPr>
        <w:t xml:space="preserve">On October 1, 2021, the Organizations, duly authorized by </w:t>
      </w:r>
      <w:r w:rsidR="004608E5">
        <w:rPr>
          <w:lang w:val="en-CA" w:bidi="en-CA"/>
        </w:rPr>
        <w:t xml:space="preserve">board </w:t>
      </w:r>
      <w:r w:rsidRPr="0071186E">
        <w:rPr>
          <w:lang w:val="en-CA" w:bidi="en-CA"/>
        </w:rPr>
        <w:t>resolution</w:t>
      </w:r>
      <w:r w:rsidR="004608E5">
        <w:rPr>
          <w:lang w:val="en-CA" w:bidi="en-CA"/>
        </w:rPr>
        <w:t>s</w:t>
      </w:r>
      <w:r w:rsidR="00522929">
        <w:rPr>
          <w:lang w:val="en-CA" w:bidi="en-CA"/>
        </w:rPr>
        <w:t>, serve</w:t>
      </w:r>
      <w:r w:rsidR="004608E5">
        <w:rPr>
          <w:lang w:val="en-CA" w:bidi="en-CA"/>
        </w:rPr>
        <w:t>d</w:t>
      </w:r>
      <w:r w:rsidRPr="0071186E">
        <w:rPr>
          <w:lang w:val="en-CA" w:bidi="en-CA"/>
        </w:rPr>
        <w:t xml:space="preserve"> their </w:t>
      </w:r>
      <w:r w:rsidRPr="0071186E">
        <w:rPr>
          <w:i/>
          <w:lang w:val="en-CA" w:bidi="en-CA"/>
        </w:rPr>
        <w:t>Notice of Acceptance of the Offer to Negotiate A Remediation Agreement.</w:t>
      </w:r>
      <w:r w:rsidR="00333711" w:rsidRPr="006B7F16">
        <w:rPr>
          <w:rStyle w:val="Appelnotedebasdep"/>
          <w:lang w:val="en-CA" w:bidi="en-CA"/>
        </w:rPr>
        <w:footnoteReference w:id="6"/>
      </w:r>
      <w:r w:rsidRPr="0071186E">
        <w:rPr>
          <w:i/>
          <w:lang w:val="en-CA" w:bidi="en-CA"/>
        </w:rPr>
        <w:t xml:space="preserve"> </w:t>
      </w:r>
      <w:r w:rsidR="00522929">
        <w:rPr>
          <w:lang w:val="en-CA" w:bidi="en-CA"/>
        </w:rPr>
        <w:t xml:space="preserve">They </w:t>
      </w:r>
      <w:r w:rsidR="004608E5">
        <w:rPr>
          <w:lang w:val="en-CA" w:bidi="en-CA"/>
        </w:rPr>
        <w:t xml:space="preserve">thereby </w:t>
      </w:r>
      <w:r w:rsidR="00522929">
        <w:rPr>
          <w:lang w:val="en-CA" w:bidi="en-CA"/>
        </w:rPr>
        <w:t>accept</w:t>
      </w:r>
      <w:r w:rsidR="004608E5">
        <w:rPr>
          <w:lang w:val="en-CA" w:bidi="en-CA"/>
        </w:rPr>
        <w:t>ed</w:t>
      </w:r>
      <w:r w:rsidRPr="0071186E">
        <w:rPr>
          <w:lang w:val="en-CA" w:bidi="en-CA"/>
        </w:rPr>
        <w:t xml:space="preserve"> the terms of the negotiation, which include</w:t>
      </w:r>
      <w:r w:rsidR="004608E5">
        <w:rPr>
          <w:lang w:val="en-CA" w:bidi="en-CA"/>
        </w:rPr>
        <w:t>d</w:t>
      </w:r>
      <w:r w:rsidRPr="0071186E">
        <w:rPr>
          <w:lang w:val="en-CA" w:bidi="en-CA"/>
        </w:rPr>
        <w:t xml:space="preserve">, under </w:t>
      </w:r>
      <w:r w:rsidR="00CA4224">
        <w:rPr>
          <w:lang w:val="en-CA" w:bidi="en-CA"/>
        </w:rPr>
        <w:t xml:space="preserve">s. </w:t>
      </w:r>
      <w:r w:rsidRPr="0071186E">
        <w:rPr>
          <w:lang w:val="en-CA" w:bidi="en-CA"/>
        </w:rPr>
        <w:t>715.33(1)(e) Cr.</w:t>
      </w:r>
      <w:r w:rsidR="00CA4224">
        <w:rPr>
          <w:lang w:val="en-CA" w:bidi="en-CA"/>
        </w:rPr>
        <w:t> </w:t>
      </w:r>
      <w:r w:rsidRPr="0071186E">
        <w:rPr>
          <w:lang w:val="en-CA" w:bidi="en-CA"/>
        </w:rPr>
        <w:t>C., the obligation to “provide all information requested by the prosecutor that the organization is aware of or can obtain through reasonable efforts”.</w:t>
      </w:r>
    </w:p>
    <w:p w14:paraId="12BB9DBD" w14:textId="58698486" w:rsidR="00F75163" w:rsidRPr="0071186E" w:rsidRDefault="00F75163" w:rsidP="007268B1">
      <w:pPr>
        <w:pStyle w:val="SimpleL1"/>
        <w:rPr>
          <w:lang w:val="en-CA"/>
        </w:rPr>
      </w:pPr>
      <w:r w:rsidRPr="0071186E">
        <w:rPr>
          <w:lang w:val="en-CA" w:bidi="en-CA"/>
        </w:rPr>
        <w:t xml:space="preserve">In this case, </w:t>
      </w:r>
      <w:r w:rsidR="004608E5">
        <w:rPr>
          <w:lang w:val="en-CA" w:bidi="en-CA"/>
        </w:rPr>
        <w:t>to</w:t>
      </w:r>
      <w:r w:rsidRPr="0071186E">
        <w:rPr>
          <w:lang w:val="en-CA" w:bidi="en-CA"/>
        </w:rPr>
        <w:t xml:space="preserve"> defin</w:t>
      </w:r>
      <w:r w:rsidR="004608E5">
        <w:rPr>
          <w:lang w:val="en-CA" w:bidi="en-CA"/>
        </w:rPr>
        <w:t>e</w:t>
      </w:r>
      <w:r w:rsidRPr="0071186E">
        <w:rPr>
          <w:lang w:val="en-CA" w:bidi="en-CA"/>
        </w:rPr>
        <w:t xml:space="preserve"> the </w:t>
      </w:r>
      <w:r w:rsidR="00000DCD" w:rsidRPr="0071186E">
        <w:rPr>
          <w:lang w:val="en-CA" w:bidi="en-CA"/>
        </w:rPr>
        <w:t>bas</w:t>
      </w:r>
      <w:r w:rsidR="004608E5">
        <w:rPr>
          <w:lang w:val="en-CA" w:bidi="en-CA"/>
        </w:rPr>
        <w:t>e</w:t>
      </w:r>
      <w:r w:rsidR="00000DCD" w:rsidRPr="0071186E">
        <w:rPr>
          <w:lang w:val="en-CA" w:bidi="en-CA"/>
        </w:rPr>
        <w:t>s</w:t>
      </w:r>
      <w:r w:rsidRPr="0071186E">
        <w:rPr>
          <w:lang w:val="en-CA" w:bidi="en-CA"/>
        </w:rPr>
        <w:t xml:space="preserve"> for determining the financial framework and improving the compliance m</w:t>
      </w:r>
      <w:r w:rsidR="0041315B">
        <w:rPr>
          <w:lang w:val="en-CA" w:bidi="en-CA"/>
        </w:rPr>
        <w:t>easures, the Prosecutor target</w:t>
      </w:r>
      <w:r w:rsidR="004608E5">
        <w:rPr>
          <w:lang w:val="en-CA" w:bidi="en-CA"/>
        </w:rPr>
        <w:t>ed</w:t>
      </w:r>
      <w:r w:rsidRPr="0071186E">
        <w:rPr>
          <w:lang w:val="en-CA" w:bidi="en-CA"/>
        </w:rPr>
        <w:t xml:space="preserve"> the following documentation in its </w:t>
      </w:r>
      <w:r w:rsidRPr="0071186E">
        <w:rPr>
          <w:i/>
          <w:lang w:val="en-CA" w:bidi="en-CA"/>
        </w:rPr>
        <w:t>Detailed Notice</w:t>
      </w:r>
      <w:r w:rsidRPr="0071186E">
        <w:rPr>
          <w:lang w:val="en-CA" w:bidi="en-CA"/>
        </w:rPr>
        <w:t>:</w:t>
      </w:r>
    </w:p>
    <w:p w14:paraId="429F2637" w14:textId="37A93305" w:rsidR="00F75163" w:rsidRPr="0071186E" w:rsidRDefault="00F75163" w:rsidP="00F75163">
      <w:pPr>
        <w:pStyle w:val="SimpleL2"/>
        <w:rPr>
          <w:szCs w:val="24"/>
          <w:lang w:val="en-CA"/>
        </w:rPr>
      </w:pPr>
      <w:r w:rsidRPr="0071186E">
        <w:rPr>
          <w:w w:val="105"/>
          <w:lang w:val="en-CA" w:bidi="en-CA"/>
        </w:rPr>
        <w:t xml:space="preserve">Information </w:t>
      </w:r>
      <w:r w:rsidR="006851EA">
        <w:rPr>
          <w:w w:val="105"/>
          <w:lang w:val="en-CA" w:bidi="en-CA"/>
        </w:rPr>
        <w:t>allowing</w:t>
      </w:r>
      <w:r w:rsidR="006851EA" w:rsidRPr="0071186E">
        <w:rPr>
          <w:w w:val="105"/>
          <w:lang w:val="en-CA" w:bidi="en-CA"/>
        </w:rPr>
        <w:t xml:space="preserve"> </w:t>
      </w:r>
      <w:r w:rsidRPr="0071186E">
        <w:rPr>
          <w:w w:val="105"/>
          <w:lang w:val="en-CA" w:bidi="en-CA"/>
        </w:rPr>
        <w:t xml:space="preserve">the identification of any person involved in the act </w:t>
      </w:r>
      <w:r w:rsidRPr="0071186E">
        <w:rPr>
          <w:w w:val="105"/>
          <w:szCs w:val="24"/>
          <w:lang w:val="en-CA" w:bidi="en-CA"/>
        </w:rPr>
        <w:t>form</w:t>
      </w:r>
      <w:r w:rsidR="006851EA">
        <w:rPr>
          <w:w w:val="105"/>
          <w:szCs w:val="24"/>
          <w:lang w:val="en-CA" w:bidi="en-CA"/>
        </w:rPr>
        <w:t>ing</w:t>
      </w:r>
      <w:r w:rsidRPr="0071186E">
        <w:rPr>
          <w:w w:val="105"/>
          <w:szCs w:val="24"/>
          <w:lang w:val="en-CA" w:bidi="en-CA"/>
        </w:rPr>
        <w:t xml:space="preserve"> the basis of the offences charged as well as the actions taken in respect of these persons</w:t>
      </w:r>
      <w:r w:rsidRPr="0071186E">
        <w:rPr>
          <w:spacing w:val="-2"/>
          <w:w w:val="105"/>
          <w:szCs w:val="24"/>
          <w:lang w:val="en-CA" w:bidi="en-CA"/>
        </w:rPr>
        <w:t>;</w:t>
      </w:r>
    </w:p>
    <w:p w14:paraId="39B8ACAE" w14:textId="48A69D72" w:rsidR="00F75163" w:rsidRPr="003D4244" w:rsidRDefault="00F75163" w:rsidP="00BA1BFD">
      <w:pPr>
        <w:pStyle w:val="SimpleL2"/>
        <w:rPr>
          <w:lang w:val="en-CA"/>
        </w:rPr>
      </w:pPr>
      <w:r w:rsidRPr="003D4244">
        <w:rPr>
          <w:w w:val="105"/>
          <w:szCs w:val="24"/>
          <w:lang w:val="en-CA" w:bidi="en-CA"/>
        </w:rPr>
        <w:t xml:space="preserve">The accounting </w:t>
      </w:r>
      <w:r w:rsidR="0037214B" w:rsidRPr="003D4244">
        <w:rPr>
          <w:w w:val="105"/>
          <w:szCs w:val="24"/>
          <w:lang w:val="en-CA" w:bidi="en-CA"/>
        </w:rPr>
        <w:t xml:space="preserve">for </w:t>
      </w:r>
      <w:r w:rsidRPr="003D4244">
        <w:rPr>
          <w:w w:val="105"/>
          <w:szCs w:val="24"/>
          <w:lang w:val="en-CA" w:bidi="en-CA"/>
        </w:rPr>
        <w:t>the</w:t>
      </w:r>
      <w:r w:rsidR="00522929" w:rsidRPr="003D4244">
        <w:rPr>
          <w:w w:val="105"/>
          <w:szCs w:val="24"/>
          <w:lang w:val="en-CA" w:bidi="en-CA"/>
        </w:rPr>
        <w:t xml:space="preserve"> </w:t>
      </w:r>
      <w:r w:rsidR="00522929" w:rsidRPr="003D4244">
        <w:rPr>
          <w:lang w:val="en-CA" w:bidi="en-CA"/>
        </w:rPr>
        <w:t>Jacques Cartier Bridge refurbishment</w:t>
      </w:r>
      <w:r w:rsidRPr="003D4244">
        <w:rPr>
          <w:w w:val="105"/>
          <w:szCs w:val="24"/>
          <w:lang w:val="en-CA" w:bidi="en-CA"/>
        </w:rPr>
        <w:t xml:space="preserve"> project, including any internal or external audit report</w:t>
      </w:r>
      <w:r w:rsidR="0037214B" w:rsidRPr="003D4244">
        <w:rPr>
          <w:w w:val="105"/>
          <w:szCs w:val="24"/>
          <w:lang w:val="en-CA" w:bidi="en-CA"/>
        </w:rPr>
        <w:t>s</w:t>
      </w:r>
      <w:r w:rsidRPr="003D4244">
        <w:rPr>
          <w:w w:val="105"/>
          <w:szCs w:val="24"/>
          <w:lang w:val="en-CA" w:bidi="en-CA"/>
        </w:rPr>
        <w:t xml:space="preserve">, </w:t>
      </w:r>
      <w:r w:rsidR="0037214B" w:rsidRPr="003D4244">
        <w:rPr>
          <w:w w:val="105"/>
          <w:szCs w:val="24"/>
          <w:lang w:val="en-CA" w:bidi="en-CA"/>
        </w:rPr>
        <w:t xml:space="preserve">making it possible </w:t>
      </w:r>
      <w:r w:rsidRPr="003D4244">
        <w:rPr>
          <w:w w:val="105"/>
          <w:szCs w:val="24"/>
          <w:lang w:val="en-CA" w:bidi="en-CA"/>
        </w:rPr>
        <w:t>to calculate the anticipated profit associated with the project’s completion;</w:t>
      </w:r>
      <w:r w:rsidR="00431413" w:rsidRPr="003D4244">
        <w:rPr>
          <w:w w:val="105"/>
          <w:lang w:val="en-CA" w:bidi="en-CA"/>
        </w:rPr>
        <w:t xml:space="preserve">existing </w:t>
      </w:r>
      <w:r w:rsidRPr="003D4244">
        <w:rPr>
          <w:w w:val="105"/>
          <w:lang w:val="en-CA" w:bidi="en-CA"/>
        </w:rPr>
        <w:t>ethics, compliance and integrity program</w:t>
      </w:r>
      <w:r w:rsidR="00431413" w:rsidRPr="003D4244">
        <w:rPr>
          <w:w w:val="105"/>
          <w:lang w:val="en-CA" w:bidi="en-CA"/>
        </w:rPr>
        <w:t>s</w:t>
      </w:r>
      <w:r w:rsidRPr="003D4244">
        <w:rPr>
          <w:w w:val="105"/>
          <w:lang w:val="en-CA" w:bidi="en-CA"/>
        </w:rPr>
        <w:t xml:space="preserve"> </w:t>
      </w:r>
      <w:r w:rsidR="00431413" w:rsidRPr="003D4244">
        <w:rPr>
          <w:w w:val="105"/>
          <w:lang w:val="en-CA" w:bidi="en-CA"/>
        </w:rPr>
        <w:t xml:space="preserve">applied by </w:t>
      </w:r>
      <w:r w:rsidRPr="003D4244">
        <w:rPr>
          <w:w w:val="105"/>
          <w:lang w:val="en-CA" w:bidi="en-CA"/>
        </w:rPr>
        <w:t xml:space="preserve">the </w:t>
      </w:r>
      <w:r w:rsidRPr="003D4244">
        <w:rPr>
          <w:spacing w:val="-2"/>
          <w:w w:val="105"/>
          <w:lang w:val="en-CA" w:bidi="en-CA"/>
        </w:rPr>
        <w:t>Organizations;</w:t>
      </w:r>
    </w:p>
    <w:p w14:paraId="04DF2180" w14:textId="77777777" w:rsidR="00EA79D2" w:rsidRPr="00EA79D2" w:rsidRDefault="00EA79D2" w:rsidP="00EA79D2">
      <w:pPr>
        <w:pStyle w:val="SimpleL2"/>
        <w:rPr>
          <w:lang w:val="en-CA"/>
        </w:rPr>
      </w:pPr>
      <w:r w:rsidRPr="00EA79D2">
        <w:rPr>
          <w:lang w:val="en-CA"/>
        </w:rPr>
        <w:t>existing ethics, compliance and integrity programs applied by the Organizations;</w:t>
      </w:r>
    </w:p>
    <w:p w14:paraId="085CF779" w14:textId="36947734" w:rsidR="00EA79D2" w:rsidRPr="00EA79D2" w:rsidRDefault="00F75163" w:rsidP="00BA1BFD">
      <w:pPr>
        <w:pStyle w:val="SimpleL2"/>
        <w:spacing w:after="240"/>
        <w:rPr>
          <w:lang w:val="en-CA"/>
        </w:rPr>
      </w:pPr>
      <w:r w:rsidRPr="00EA79D2">
        <w:rPr>
          <w:w w:val="105"/>
          <w:lang w:val="en-CA" w:bidi="en-CA"/>
        </w:rPr>
        <w:t>any agreement</w:t>
      </w:r>
      <w:r w:rsidR="00000DCD" w:rsidRPr="00EA79D2">
        <w:rPr>
          <w:w w:val="105"/>
          <w:lang w:val="en-CA" w:bidi="en-CA"/>
        </w:rPr>
        <w:t xml:space="preserve"> or</w:t>
      </w:r>
      <w:r w:rsidRPr="00EA79D2">
        <w:rPr>
          <w:w w:val="105"/>
          <w:lang w:val="en-CA" w:bidi="en-CA"/>
        </w:rPr>
        <w:t xml:space="preserve"> settlement previously entered into between the Organizations and any investigative, government</w:t>
      </w:r>
      <w:r w:rsidR="00431413" w:rsidRPr="00EA79D2">
        <w:rPr>
          <w:w w:val="105"/>
          <w:lang w:val="en-CA" w:bidi="en-CA"/>
        </w:rPr>
        <w:t xml:space="preserve"> oversight</w:t>
      </w:r>
      <w:r w:rsidRPr="00EA79D2">
        <w:rPr>
          <w:w w:val="105"/>
          <w:lang w:val="en-CA" w:bidi="en-CA"/>
        </w:rPr>
        <w:t xml:space="preserve"> or </w:t>
      </w:r>
      <w:r w:rsidR="00000DCD" w:rsidRPr="00EA79D2">
        <w:rPr>
          <w:w w:val="105"/>
          <w:lang w:val="en-CA" w:bidi="en-CA"/>
        </w:rPr>
        <w:t>other body,</w:t>
      </w:r>
      <w:r w:rsidRPr="00EA79D2">
        <w:rPr>
          <w:w w:val="105"/>
          <w:lang w:val="en-CA" w:bidi="en-CA"/>
        </w:rPr>
        <w:t xml:space="preserve"> or </w:t>
      </w:r>
      <w:r w:rsidR="00000DCD" w:rsidRPr="00EA79D2">
        <w:rPr>
          <w:w w:val="105"/>
          <w:lang w:val="en-CA" w:bidi="en-CA"/>
        </w:rPr>
        <w:t xml:space="preserve">other </w:t>
      </w:r>
      <w:r w:rsidRPr="00EA79D2">
        <w:rPr>
          <w:w w:val="105"/>
          <w:lang w:val="en-CA" w:bidi="en-CA"/>
        </w:rPr>
        <w:t>law enforcement agency in Canada or elsewhere, since February</w:t>
      </w:r>
      <w:r w:rsidR="00000DCD" w:rsidRPr="00EA79D2">
        <w:rPr>
          <w:w w:val="105"/>
          <w:lang w:val="en-CA" w:bidi="en-CA"/>
        </w:rPr>
        <w:t> </w:t>
      </w:r>
      <w:r w:rsidRPr="00EA79D2">
        <w:rPr>
          <w:w w:val="105"/>
          <w:lang w:val="en-CA" w:bidi="en-CA"/>
        </w:rPr>
        <w:t xml:space="preserve">15, 1999, and their </w:t>
      </w:r>
      <w:r w:rsidR="00000DCD" w:rsidRPr="00EA79D2">
        <w:rPr>
          <w:w w:val="105"/>
          <w:lang w:val="en-CA" w:bidi="en-CA"/>
        </w:rPr>
        <w:t xml:space="preserve">comprehensive </w:t>
      </w:r>
      <w:r w:rsidRPr="00EA79D2">
        <w:rPr>
          <w:w w:val="105"/>
          <w:lang w:val="en-CA" w:bidi="en-CA"/>
        </w:rPr>
        <w:t>follow-up reports;</w:t>
      </w:r>
    </w:p>
    <w:p w14:paraId="3AACBCCB" w14:textId="2E2B1BD0" w:rsidR="00F75163" w:rsidRPr="0071186E" w:rsidRDefault="00F75163" w:rsidP="00F75163">
      <w:pPr>
        <w:pStyle w:val="SimpleL1"/>
        <w:rPr>
          <w:lang w:val="en-CA"/>
        </w:rPr>
      </w:pPr>
      <w:r w:rsidRPr="0071186E">
        <w:rPr>
          <w:lang w:val="en-CA" w:bidi="en-CA"/>
        </w:rPr>
        <w:t>On October 1, 2021, the Parties be</w:t>
      </w:r>
      <w:r w:rsidR="0041315B">
        <w:rPr>
          <w:lang w:val="en-CA" w:bidi="en-CA"/>
        </w:rPr>
        <w:t>g</w:t>
      </w:r>
      <w:r w:rsidR="00862622">
        <w:rPr>
          <w:lang w:val="en-CA" w:bidi="en-CA"/>
        </w:rPr>
        <w:t>a</w:t>
      </w:r>
      <w:r w:rsidR="0041315B">
        <w:rPr>
          <w:lang w:val="en-CA" w:bidi="en-CA"/>
        </w:rPr>
        <w:t>n</w:t>
      </w:r>
      <w:r w:rsidRPr="0071186E">
        <w:rPr>
          <w:lang w:val="en-CA" w:bidi="en-CA"/>
        </w:rPr>
        <w:t xml:space="preserve"> the process of negotiating a draft agreement.</w:t>
      </w:r>
    </w:p>
    <w:p w14:paraId="0FD3957C" w14:textId="610A8863" w:rsidR="00F75163" w:rsidRPr="0071186E" w:rsidRDefault="00F75163" w:rsidP="00F75163">
      <w:pPr>
        <w:pStyle w:val="SimpleL1"/>
        <w:rPr>
          <w:lang w:val="en-CA"/>
        </w:rPr>
      </w:pPr>
      <w:r w:rsidRPr="0071186E">
        <w:rPr>
          <w:lang w:val="en-CA" w:bidi="en-CA"/>
        </w:rPr>
        <w:t>According to the Parties, the entire negotiation and preliminary approval process is protected by</w:t>
      </w:r>
      <w:r w:rsidR="004067A8" w:rsidRPr="0071186E">
        <w:rPr>
          <w:lang w:val="en-CA" w:bidi="en-CA"/>
        </w:rPr>
        <w:t xml:space="preserve"> </w:t>
      </w:r>
      <w:r w:rsidRPr="0071186E">
        <w:rPr>
          <w:lang w:val="en-CA" w:bidi="en-CA"/>
        </w:rPr>
        <w:t xml:space="preserve">settlement privilege, as defined by the Supreme Court, and may only be </w:t>
      </w:r>
      <w:r w:rsidRPr="0071186E">
        <w:rPr>
          <w:lang w:val="en-CA" w:bidi="en-CA"/>
        </w:rPr>
        <w:lastRenderedPageBreak/>
        <w:t>made public upon completion.</w:t>
      </w:r>
      <w:r w:rsidR="00333711" w:rsidRPr="0071186E">
        <w:rPr>
          <w:rStyle w:val="Appelnotedebasdep"/>
          <w:lang w:val="en-CA" w:bidi="en-CA"/>
        </w:rPr>
        <w:footnoteReference w:id="7"/>
      </w:r>
      <w:r w:rsidRPr="0071186E">
        <w:rPr>
          <w:vertAlign w:val="superscript"/>
          <w:lang w:val="en-CA" w:bidi="en-CA"/>
        </w:rPr>
        <w:t xml:space="preserve"> </w:t>
      </w:r>
      <w:r w:rsidRPr="0071186E">
        <w:rPr>
          <w:lang w:val="en-CA" w:bidi="en-CA"/>
        </w:rPr>
        <w:t xml:space="preserve">In fact, </w:t>
      </w:r>
      <w:r w:rsidR="00862622" w:rsidRPr="0071186E">
        <w:rPr>
          <w:lang w:val="en-CA" w:bidi="en-CA"/>
        </w:rPr>
        <w:t>in </w:t>
      </w:r>
      <w:r w:rsidR="00862622">
        <w:rPr>
          <w:lang w:val="en-CA" w:bidi="en-CA"/>
        </w:rPr>
        <w:t>715.42(1) and (2) Cr. </w:t>
      </w:r>
      <w:r w:rsidR="00862622" w:rsidRPr="0071186E">
        <w:rPr>
          <w:lang w:val="en-CA" w:bidi="en-CA"/>
        </w:rPr>
        <w:t>C.</w:t>
      </w:r>
      <w:r w:rsidR="00862622">
        <w:rPr>
          <w:lang w:val="en-CA" w:bidi="en-CA"/>
        </w:rPr>
        <w:t xml:space="preserve">, </w:t>
      </w:r>
      <w:r w:rsidRPr="0071186E">
        <w:rPr>
          <w:lang w:val="en-CA" w:bidi="en-CA"/>
        </w:rPr>
        <w:t xml:space="preserve">the </w:t>
      </w:r>
      <w:r w:rsidR="00000DCD" w:rsidRPr="0071186E">
        <w:rPr>
          <w:lang w:val="en-CA" w:bidi="en-CA"/>
        </w:rPr>
        <w:t xml:space="preserve">legislator </w:t>
      </w:r>
      <w:r w:rsidRPr="0071186E">
        <w:rPr>
          <w:lang w:val="en-CA" w:bidi="en-CA"/>
        </w:rPr>
        <w:t>state</w:t>
      </w:r>
      <w:r w:rsidR="00000DCD" w:rsidRPr="0071186E">
        <w:rPr>
          <w:lang w:val="en-CA" w:bidi="en-CA"/>
        </w:rPr>
        <w:t>s</w:t>
      </w:r>
      <w:r w:rsidRPr="0071186E">
        <w:rPr>
          <w:lang w:val="en-CA" w:bidi="en-CA"/>
        </w:rPr>
        <w:t xml:space="preserve"> that the Court is required to publish the remediation agreement as soon as practicabl</w:t>
      </w:r>
      <w:r w:rsidR="00000DCD" w:rsidRPr="0071186E">
        <w:rPr>
          <w:lang w:val="en-CA" w:bidi="en-CA"/>
        </w:rPr>
        <w:t>e – once “</w:t>
      </w:r>
      <w:r w:rsidRPr="0071186E">
        <w:rPr>
          <w:lang w:val="en-CA" w:bidi="en-CA"/>
        </w:rPr>
        <w:t>approved by the court</w:t>
      </w:r>
      <w:r w:rsidR="00115010" w:rsidRPr="0071186E">
        <w:rPr>
          <w:lang w:val="en-CA" w:bidi="en-CA"/>
        </w:rPr>
        <w:t>”</w:t>
      </w:r>
      <w:r w:rsidRPr="0071186E">
        <w:rPr>
          <w:lang w:val="en-CA" w:bidi="en-CA"/>
        </w:rPr>
        <w:t>.</w:t>
      </w:r>
    </w:p>
    <w:p w14:paraId="431A7270" w14:textId="01026273" w:rsidR="00F75163" w:rsidRPr="0071186E" w:rsidRDefault="00F75163" w:rsidP="00F75163">
      <w:pPr>
        <w:pStyle w:val="SimpleL1"/>
        <w:rPr>
          <w:lang w:val="en-CA"/>
        </w:rPr>
      </w:pPr>
      <w:r w:rsidRPr="0071186E">
        <w:rPr>
          <w:lang w:val="en-CA" w:bidi="en-CA"/>
        </w:rPr>
        <w:t>Upon expiry of the three (3) month negotiation period and following various requests from the Orga</w:t>
      </w:r>
      <w:r w:rsidR="0041315B">
        <w:rPr>
          <w:lang w:val="en-CA" w:bidi="en-CA"/>
        </w:rPr>
        <w:t>nizations, the Prosecutor agree</w:t>
      </w:r>
      <w:r w:rsidR="001560DA">
        <w:rPr>
          <w:lang w:val="en-CA" w:bidi="en-CA"/>
        </w:rPr>
        <w:t>d</w:t>
      </w:r>
      <w:r w:rsidRPr="0071186E">
        <w:rPr>
          <w:lang w:val="en-CA" w:bidi="en-CA"/>
        </w:rPr>
        <w:t xml:space="preserve"> to extend this period by two (2) months to </w:t>
      </w:r>
      <w:r w:rsidR="001560DA">
        <w:rPr>
          <w:lang w:val="en-CA" w:bidi="en-CA"/>
        </w:rPr>
        <w:t>check some things</w:t>
      </w:r>
      <w:r w:rsidRPr="0071186E">
        <w:rPr>
          <w:lang w:val="en-CA" w:bidi="en-CA"/>
        </w:rPr>
        <w:t xml:space="preserve"> that </w:t>
      </w:r>
      <w:r w:rsidR="001560DA">
        <w:rPr>
          <w:lang w:val="en-CA" w:bidi="en-CA"/>
        </w:rPr>
        <w:t xml:space="preserve">had </w:t>
      </w:r>
      <w:r w:rsidRPr="0071186E">
        <w:rPr>
          <w:lang w:val="en-CA" w:bidi="en-CA"/>
        </w:rPr>
        <w:t>bec</w:t>
      </w:r>
      <w:r w:rsidR="001560DA">
        <w:rPr>
          <w:lang w:val="en-CA" w:bidi="en-CA"/>
        </w:rPr>
        <w:t>o</w:t>
      </w:r>
      <w:r w:rsidRPr="0071186E">
        <w:rPr>
          <w:lang w:val="en-CA" w:bidi="en-CA"/>
        </w:rPr>
        <w:t>me necessary in the course of negotiations.</w:t>
      </w:r>
    </w:p>
    <w:p w14:paraId="68A51BF6" w14:textId="0EC69587" w:rsidR="00F75163" w:rsidRPr="0071186E" w:rsidRDefault="00507DF2" w:rsidP="00F75163">
      <w:pPr>
        <w:pStyle w:val="SimpleL1"/>
        <w:rPr>
          <w:lang w:val="en-CA"/>
        </w:rPr>
      </w:pPr>
      <w:r>
        <w:rPr>
          <w:lang w:val="en-CA" w:bidi="en-CA"/>
        </w:rPr>
        <w:t>On February 25, 2022, the p</w:t>
      </w:r>
      <w:r w:rsidR="00F75163" w:rsidRPr="0071186E">
        <w:rPr>
          <w:lang w:val="en-CA" w:bidi="en-CA"/>
        </w:rPr>
        <w:t xml:space="preserve">arties mutually agreed </w:t>
      </w:r>
      <w:r w:rsidR="00000DCD" w:rsidRPr="0071186E">
        <w:rPr>
          <w:lang w:val="en-CA" w:bidi="en-CA"/>
        </w:rPr>
        <w:t>t</w:t>
      </w:r>
      <w:r w:rsidR="00F75163" w:rsidRPr="0071186E">
        <w:rPr>
          <w:lang w:val="en-CA" w:bidi="en-CA"/>
        </w:rPr>
        <w:t>o the terms of a remediation agreement within the meaning of s</w:t>
      </w:r>
      <w:r w:rsidR="00CA4224">
        <w:rPr>
          <w:lang w:val="en-CA" w:bidi="en-CA"/>
        </w:rPr>
        <w:t>.</w:t>
      </w:r>
      <w:r w:rsidR="00F75163" w:rsidRPr="0071186E">
        <w:rPr>
          <w:lang w:val="en-CA" w:bidi="en-CA"/>
        </w:rPr>
        <w:t xml:space="preserve"> 715.37(1) Cr.</w:t>
      </w:r>
      <w:r w:rsidR="001560DA">
        <w:rPr>
          <w:lang w:val="en-CA" w:bidi="en-CA"/>
        </w:rPr>
        <w:t> </w:t>
      </w:r>
      <w:r w:rsidR="00F75163" w:rsidRPr="0071186E">
        <w:rPr>
          <w:lang w:val="en-CA" w:bidi="en-CA"/>
        </w:rPr>
        <w:t>C. and jointly agreed to submit the Draft Agreement to this Court for approval.</w:t>
      </w:r>
    </w:p>
    <w:p w14:paraId="212E8E13" w14:textId="73630B78" w:rsidR="00F75163" w:rsidRPr="0071186E" w:rsidRDefault="00F75163" w:rsidP="00252E88">
      <w:pPr>
        <w:pStyle w:val="Titre2"/>
        <w:rPr>
          <w:lang w:val="en-CA"/>
        </w:rPr>
      </w:pPr>
      <w:bookmarkStart w:id="5" w:name="_Toc109310844"/>
      <w:r w:rsidRPr="0071186E">
        <w:rPr>
          <w:lang w:val="en-CA" w:bidi="en-CA"/>
        </w:rPr>
        <w:t>Prosecutor's application for the Draft Agreement’s approval</w:t>
      </w:r>
      <w:bookmarkEnd w:id="5"/>
    </w:p>
    <w:p w14:paraId="120D435A" w14:textId="24004EF9" w:rsidR="00F75163" w:rsidRPr="0071186E" w:rsidRDefault="00F75163" w:rsidP="00F75163">
      <w:pPr>
        <w:pStyle w:val="SimpleL1"/>
        <w:rPr>
          <w:lang w:val="en-CA"/>
        </w:rPr>
      </w:pPr>
      <w:r w:rsidRPr="0071186E">
        <w:rPr>
          <w:lang w:val="en-CA" w:bidi="en-CA"/>
        </w:rPr>
        <w:t>On February 25, 2022, in accordance with s</w:t>
      </w:r>
      <w:r w:rsidR="00CA4224">
        <w:rPr>
          <w:lang w:val="en-CA" w:bidi="en-CA"/>
        </w:rPr>
        <w:t>.</w:t>
      </w:r>
      <w:r w:rsidRPr="0071186E">
        <w:rPr>
          <w:lang w:val="en-CA" w:bidi="en-CA"/>
        </w:rPr>
        <w:t xml:space="preserve"> 715.37(1) Cr.</w:t>
      </w:r>
      <w:r w:rsidR="003C4ED3">
        <w:rPr>
          <w:lang w:val="en-CA" w:bidi="en-CA"/>
        </w:rPr>
        <w:t> </w:t>
      </w:r>
      <w:r w:rsidRPr="0071186E">
        <w:rPr>
          <w:lang w:val="en-CA" w:bidi="en-CA"/>
        </w:rPr>
        <w:t>C. and with the Organizatio</w:t>
      </w:r>
      <w:r w:rsidR="00507DF2">
        <w:rPr>
          <w:lang w:val="en-CA" w:bidi="en-CA"/>
        </w:rPr>
        <w:t>ns’ consent, the Prosecutor sen</w:t>
      </w:r>
      <w:r w:rsidR="003C4ED3">
        <w:rPr>
          <w:lang w:val="en-CA" w:bidi="en-CA"/>
        </w:rPr>
        <w:t>t</w:t>
      </w:r>
      <w:r w:rsidRPr="0071186E">
        <w:rPr>
          <w:lang w:val="en-CA" w:bidi="en-CA"/>
        </w:rPr>
        <w:t xml:space="preserve"> the Court a written application for approval, in the form of an </w:t>
      </w:r>
      <w:r w:rsidRPr="0071186E">
        <w:rPr>
          <w:i/>
          <w:lang w:val="en-CA" w:bidi="en-CA"/>
        </w:rPr>
        <w:t xml:space="preserve">Application for an Order Approving the Remediation Agreement and for the Temporary and Partial Anonymity, Confidentiality and In Camera Orders </w:t>
      </w:r>
      <w:r w:rsidR="00000DCD" w:rsidRPr="0071186E">
        <w:rPr>
          <w:lang w:val="en-CA" w:bidi="en-CA"/>
        </w:rPr>
        <w:t>(the “</w:t>
      </w:r>
      <w:r w:rsidRPr="0071186E">
        <w:rPr>
          <w:lang w:val="en-CA" w:bidi="en-CA"/>
        </w:rPr>
        <w:t>Application for Approval</w:t>
      </w:r>
      <w:r w:rsidR="00000DCD" w:rsidRPr="0071186E">
        <w:rPr>
          <w:lang w:val="en-CA" w:bidi="en-CA"/>
        </w:rPr>
        <w:t>”</w:t>
      </w:r>
      <w:r w:rsidRPr="0071186E">
        <w:rPr>
          <w:lang w:val="en-CA" w:bidi="en-CA"/>
        </w:rPr>
        <w:t>).</w:t>
      </w:r>
      <w:r w:rsidR="00333711" w:rsidRPr="0071186E">
        <w:rPr>
          <w:rStyle w:val="Appelnotedebasdep"/>
          <w:lang w:val="en-CA" w:bidi="en-CA"/>
        </w:rPr>
        <w:footnoteReference w:id="8"/>
      </w:r>
    </w:p>
    <w:p w14:paraId="21DD7C02" w14:textId="3AE27488" w:rsidR="00F75163" w:rsidRPr="0071186E" w:rsidRDefault="00F75163" w:rsidP="00F75163">
      <w:pPr>
        <w:pStyle w:val="SimpleL1"/>
        <w:rPr>
          <w:lang w:val="en-CA"/>
        </w:rPr>
      </w:pPr>
      <w:r w:rsidRPr="0071186E">
        <w:rPr>
          <w:lang w:val="en-CA" w:bidi="en-CA"/>
        </w:rPr>
        <w:t xml:space="preserve">The </w:t>
      </w:r>
      <w:r w:rsidR="003C4ED3">
        <w:rPr>
          <w:lang w:val="en-CA" w:bidi="en-CA"/>
        </w:rPr>
        <w:t xml:space="preserve">following </w:t>
      </w:r>
      <w:r w:rsidR="003C4ED3" w:rsidRPr="0071186E">
        <w:rPr>
          <w:lang w:val="en-CA" w:bidi="en-CA"/>
        </w:rPr>
        <w:t>exhibits</w:t>
      </w:r>
      <w:r w:rsidR="003C4ED3">
        <w:rPr>
          <w:lang w:val="en-CA" w:bidi="en-CA"/>
        </w:rPr>
        <w:t xml:space="preserve"> support the</w:t>
      </w:r>
      <w:r w:rsidR="003C4ED3" w:rsidRPr="0071186E">
        <w:rPr>
          <w:lang w:val="en-CA" w:bidi="en-CA"/>
        </w:rPr>
        <w:t xml:space="preserve"> </w:t>
      </w:r>
      <w:r w:rsidRPr="0071186E">
        <w:rPr>
          <w:lang w:val="en-CA" w:bidi="en-CA"/>
        </w:rPr>
        <w:t>application,</w:t>
      </w:r>
      <w:r w:rsidR="00333711" w:rsidRPr="0071186E">
        <w:rPr>
          <w:rStyle w:val="Appelnotedebasdep"/>
          <w:lang w:val="en-CA" w:bidi="en-CA"/>
        </w:rPr>
        <w:footnoteReference w:id="9"/>
      </w:r>
      <w:r w:rsidRPr="0071186E">
        <w:rPr>
          <w:lang w:val="en-CA" w:bidi="en-CA"/>
        </w:rPr>
        <w:t xml:space="preserve"> namely:</w:t>
      </w:r>
    </w:p>
    <w:p w14:paraId="48EB27ED" w14:textId="1C9D6996" w:rsidR="00F75163" w:rsidRPr="00507DF2" w:rsidRDefault="004067A8" w:rsidP="00313DEB">
      <w:pPr>
        <w:widowControl w:val="0"/>
        <w:numPr>
          <w:ilvl w:val="1"/>
          <w:numId w:val="15"/>
        </w:numPr>
        <w:tabs>
          <w:tab w:val="left" w:pos="1375"/>
        </w:tabs>
        <w:autoSpaceDE w:val="0"/>
        <w:autoSpaceDN w:val="0"/>
        <w:spacing w:before="1"/>
        <w:ind w:left="720" w:firstLine="0"/>
        <w:jc w:val="both"/>
        <w:rPr>
          <w:rFonts w:eastAsia="Arial" w:cs="Arial"/>
          <w:sz w:val="22"/>
          <w:szCs w:val="22"/>
          <w:lang w:val="en-CA" w:eastAsia="en-US"/>
        </w:rPr>
      </w:pPr>
      <w:r w:rsidRPr="00507DF2">
        <w:rPr>
          <w:rFonts w:eastAsia="Arial" w:cs="Arial"/>
          <w:color w:val="161616"/>
          <w:sz w:val="22"/>
          <w:szCs w:val="22"/>
          <w:lang w:val="en-CA" w:eastAsia="en-US" w:bidi="en-CA"/>
        </w:rPr>
        <w:t>-</w:t>
      </w:r>
      <w:r w:rsidR="00F75163" w:rsidRPr="00507DF2">
        <w:rPr>
          <w:rFonts w:eastAsia="Arial" w:cs="Arial"/>
          <w:color w:val="161616"/>
          <w:sz w:val="22"/>
          <w:szCs w:val="22"/>
          <w:lang w:val="en-CA" w:eastAsia="en-US" w:bidi="en-CA"/>
        </w:rPr>
        <w:t xml:space="preserve"> Draft Agreement between Her Majesty the Queen and SNC-Lavalin Inc</w:t>
      </w:r>
      <w:r w:rsidR="00F75163" w:rsidRPr="00507DF2">
        <w:rPr>
          <w:rFonts w:eastAsia="Arial" w:cs="Arial"/>
          <w:color w:val="3B3B3A"/>
          <w:sz w:val="22"/>
          <w:szCs w:val="22"/>
          <w:lang w:val="en-CA" w:eastAsia="en-US" w:bidi="en-CA"/>
        </w:rPr>
        <w:t xml:space="preserve">. </w:t>
      </w:r>
      <w:r w:rsidR="00F75163" w:rsidRPr="00507DF2">
        <w:rPr>
          <w:rFonts w:eastAsia="Arial" w:cs="Arial"/>
          <w:color w:val="161616"/>
          <w:sz w:val="22"/>
          <w:szCs w:val="22"/>
          <w:lang w:val="en-CA" w:eastAsia="en-US" w:bidi="en-CA"/>
        </w:rPr>
        <w:t>and SNC-Lavalin International Inc., including Schedule A, a copy of the summons; Schedule</w:t>
      </w:r>
      <w:r w:rsidR="00115010" w:rsidRPr="00507DF2">
        <w:rPr>
          <w:rFonts w:eastAsia="Arial" w:cs="Arial"/>
          <w:color w:val="161616"/>
          <w:sz w:val="22"/>
          <w:szCs w:val="22"/>
          <w:lang w:val="en-CA" w:eastAsia="en-US" w:bidi="en-CA"/>
        </w:rPr>
        <w:t> </w:t>
      </w:r>
      <w:r w:rsidR="00F75163" w:rsidRPr="00507DF2">
        <w:rPr>
          <w:rFonts w:eastAsia="Arial" w:cs="Arial"/>
          <w:color w:val="161616"/>
          <w:sz w:val="22"/>
          <w:szCs w:val="22"/>
          <w:lang w:val="en-CA" w:eastAsia="en-US" w:bidi="en-CA"/>
        </w:rPr>
        <w:t xml:space="preserve">B, </w:t>
      </w:r>
      <w:r w:rsidR="00EB011D">
        <w:rPr>
          <w:rFonts w:eastAsia="Arial" w:cs="Arial"/>
          <w:color w:val="161616"/>
          <w:sz w:val="22"/>
          <w:szCs w:val="22"/>
          <w:lang w:val="en-CA" w:eastAsia="en-US" w:bidi="en-CA"/>
        </w:rPr>
        <w:t>[</w:t>
      </w:r>
      <w:r w:rsidR="00EB011D" w:rsidRPr="006B7F16">
        <w:rPr>
          <w:rFonts w:eastAsia="Arial" w:cs="Arial"/>
          <w:smallCaps/>
          <w:color w:val="161616"/>
          <w:sz w:val="22"/>
          <w:szCs w:val="22"/>
          <w:lang w:val="en-CA" w:eastAsia="en-US" w:bidi="en-CA"/>
        </w:rPr>
        <w:t>translation</w:t>
      </w:r>
      <w:r w:rsidR="00EB011D">
        <w:rPr>
          <w:rFonts w:eastAsia="Arial" w:cs="Arial"/>
          <w:color w:val="161616"/>
          <w:sz w:val="22"/>
          <w:szCs w:val="22"/>
          <w:lang w:val="en-CA" w:eastAsia="en-US" w:bidi="en-CA"/>
        </w:rPr>
        <w:t xml:space="preserve">] </w:t>
      </w:r>
      <w:r w:rsidR="00F75163" w:rsidRPr="00507DF2">
        <w:rPr>
          <w:rFonts w:eastAsia="Arial" w:cs="Arial"/>
          <w:color w:val="161616"/>
          <w:sz w:val="22"/>
          <w:szCs w:val="22"/>
          <w:lang w:val="en-CA" w:eastAsia="en-US" w:bidi="en-CA"/>
        </w:rPr>
        <w:t>“Statement of Facts”;</w:t>
      </w:r>
      <w:r w:rsidR="00F75163" w:rsidRPr="00507DF2">
        <w:rPr>
          <w:rFonts w:eastAsia="Arial" w:cs="Arial"/>
          <w:color w:val="3B3B3A"/>
          <w:sz w:val="22"/>
          <w:szCs w:val="22"/>
          <w:lang w:val="en-CA" w:eastAsia="en-US" w:bidi="en-CA"/>
        </w:rPr>
        <w:t xml:space="preserve"> and </w:t>
      </w:r>
      <w:r w:rsidR="00F75163" w:rsidRPr="00507DF2">
        <w:rPr>
          <w:rFonts w:eastAsia="Arial" w:cs="Arial"/>
          <w:color w:val="161616"/>
          <w:sz w:val="22"/>
          <w:szCs w:val="22"/>
          <w:lang w:val="en-CA" w:eastAsia="en-US" w:bidi="en-CA"/>
        </w:rPr>
        <w:t xml:space="preserve">Schedule C, Follow-up Report </w:t>
      </w:r>
      <w:r w:rsidR="00507DF2">
        <w:rPr>
          <w:rFonts w:eastAsia="Arial" w:cs="Arial"/>
          <w:color w:val="161616"/>
          <w:sz w:val="22"/>
          <w:szCs w:val="22"/>
          <w:lang w:val="en-CA" w:eastAsia="en-US" w:bidi="en-CA"/>
        </w:rPr>
        <w:t>Calendar</w:t>
      </w:r>
      <w:r w:rsidR="00F75163" w:rsidRPr="00507DF2">
        <w:rPr>
          <w:rFonts w:eastAsia="Arial" w:cs="Arial"/>
          <w:color w:val="3B3B3A"/>
          <w:spacing w:val="-2"/>
          <w:sz w:val="22"/>
          <w:szCs w:val="22"/>
          <w:lang w:val="en-CA" w:eastAsia="en-US" w:bidi="en-CA"/>
        </w:rPr>
        <w:t>;</w:t>
      </w:r>
    </w:p>
    <w:p w14:paraId="006788B7" w14:textId="5035830D" w:rsidR="00F75163" w:rsidRPr="00507DF2" w:rsidRDefault="004067A8" w:rsidP="00313DEB">
      <w:pPr>
        <w:widowControl w:val="0"/>
        <w:numPr>
          <w:ilvl w:val="1"/>
          <w:numId w:val="15"/>
        </w:numPr>
        <w:tabs>
          <w:tab w:val="left" w:pos="1375"/>
        </w:tabs>
        <w:autoSpaceDE w:val="0"/>
        <w:autoSpaceDN w:val="0"/>
        <w:spacing w:before="1"/>
        <w:ind w:left="720" w:firstLine="0"/>
        <w:jc w:val="both"/>
        <w:rPr>
          <w:rFonts w:eastAsia="Arial" w:cs="Arial"/>
          <w:sz w:val="22"/>
          <w:szCs w:val="22"/>
          <w:lang w:val="en-CA" w:eastAsia="en-US"/>
        </w:rPr>
      </w:pPr>
      <w:r w:rsidRPr="00507DF2">
        <w:rPr>
          <w:rFonts w:eastAsia="Arial" w:cs="Arial"/>
          <w:color w:val="161616"/>
          <w:sz w:val="22"/>
          <w:szCs w:val="22"/>
          <w:lang w:val="en-CA" w:eastAsia="en-US" w:bidi="en-CA"/>
        </w:rPr>
        <w:t>-</w:t>
      </w:r>
      <w:r w:rsidR="00F75163" w:rsidRPr="00507DF2">
        <w:rPr>
          <w:rFonts w:eastAsia="Arial" w:cs="Arial"/>
          <w:color w:val="161616"/>
          <w:sz w:val="22"/>
          <w:szCs w:val="22"/>
          <w:lang w:val="en-CA" w:eastAsia="en-US" w:bidi="en-CA"/>
        </w:rPr>
        <w:t xml:space="preserve"> Consent to </w:t>
      </w:r>
      <w:r w:rsidR="00EB011D">
        <w:rPr>
          <w:rFonts w:eastAsia="Arial" w:cs="Arial"/>
          <w:color w:val="161616"/>
          <w:sz w:val="22"/>
          <w:szCs w:val="22"/>
          <w:lang w:val="en-CA" w:eastAsia="en-US" w:bidi="en-CA"/>
        </w:rPr>
        <w:t>negotiate</w:t>
      </w:r>
      <w:r w:rsidR="00F75163" w:rsidRPr="00507DF2">
        <w:rPr>
          <w:rFonts w:eastAsia="Arial" w:cs="Arial"/>
          <w:color w:val="161616"/>
          <w:sz w:val="22"/>
          <w:szCs w:val="22"/>
          <w:lang w:val="en-CA" w:eastAsia="en-US" w:bidi="en-CA"/>
        </w:rPr>
        <w:t xml:space="preserve"> a remediation agreement</w:t>
      </w:r>
      <w:r w:rsidR="00F75163" w:rsidRPr="00507DF2">
        <w:rPr>
          <w:rFonts w:eastAsia="Arial" w:cs="Arial"/>
          <w:color w:val="3B3B3A"/>
          <w:sz w:val="22"/>
          <w:szCs w:val="22"/>
          <w:lang w:val="en-CA" w:eastAsia="en-US" w:bidi="en-CA"/>
        </w:rPr>
        <w:t>, s</w:t>
      </w:r>
      <w:r w:rsidR="00F75163" w:rsidRPr="00507DF2">
        <w:rPr>
          <w:rFonts w:eastAsia="Arial" w:cs="Arial"/>
          <w:color w:val="161616"/>
          <w:sz w:val="22"/>
          <w:szCs w:val="22"/>
          <w:lang w:val="en-CA" w:eastAsia="en-US" w:bidi="en-CA"/>
        </w:rPr>
        <w:t>.</w:t>
      </w:r>
      <w:r w:rsidR="00EB011D">
        <w:rPr>
          <w:rFonts w:eastAsia="Arial" w:cs="Arial"/>
          <w:color w:val="161616"/>
          <w:sz w:val="22"/>
          <w:szCs w:val="22"/>
          <w:lang w:val="en-CA" w:eastAsia="en-US" w:bidi="en-CA"/>
        </w:rPr>
        <w:t> </w:t>
      </w:r>
      <w:r w:rsidR="00F75163" w:rsidRPr="00507DF2">
        <w:rPr>
          <w:rFonts w:eastAsia="Arial" w:cs="Arial"/>
          <w:color w:val="161616"/>
          <w:sz w:val="22"/>
          <w:szCs w:val="22"/>
          <w:lang w:val="en-CA" w:eastAsia="en-US" w:bidi="en-CA"/>
        </w:rPr>
        <w:t>715.32</w:t>
      </w:r>
      <w:r w:rsidR="00EB011D">
        <w:rPr>
          <w:rFonts w:eastAsia="Arial" w:cs="Arial"/>
          <w:color w:val="161616"/>
          <w:sz w:val="22"/>
          <w:szCs w:val="22"/>
          <w:lang w:val="en-CA" w:eastAsia="en-US" w:bidi="en-CA"/>
        </w:rPr>
        <w:t> </w:t>
      </w:r>
      <w:r w:rsidR="00F75163" w:rsidRPr="00507DF2">
        <w:rPr>
          <w:rFonts w:eastAsia="Arial" w:cs="Arial"/>
          <w:color w:val="161616"/>
          <w:sz w:val="22"/>
          <w:szCs w:val="22"/>
          <w:lang w:val="en-CA" w:eastAsia="en-US" w:bidi="en-CA"/>
        </w:rPr>
        <w:t>(1)(d)</w:t>
      </w:r>
      <w:r w:rsidR="00EB011D">
        <w:rPr>
          <w:rFonts w:eastAsia="Arial" w:cs="Arial"/>
          <w:color w:val="161616"/>
          <w:sz w:val="22"/>
          <w:szCs w:val="22"/>
          <w:lang w:val="en-CA" w:eastAsia="en-US" w:bidi="en-CA"/>
        </w:rPr>
        <w:t> </w:t>
      </w:r>
      <w:r w:rsidR="00F75163" w:rsidRPr="00507DF2">
        <w:rPr>
          <w:rFonts w:eastAsia="Arial" w:cs="Arial"/>
          <w:color w:val="161616"/>
          <w:sz w:val="22"/>
          <w:szCs w:val="22"/>
          <w:lang w:val="en-CA" w:eastAsia="en-US" w:bidi="en-CA"/>
        </w:rPr>
        <w:t>Cr</w:t>
      </w:r>
      <w:r w:rsidR="00F75163" w:rsidRPr="00507DF2">
        <w:rPr>
          <w:rFonts w:eastAsia="Arial" w:cs="Arial"/>
          <w:color w:val="3B3B3A"/>
          <w:spacing w:val="-2"/>
          <w:sz w:val="22"/>
          <w:szCs w:val="22"/>
          <w:lang w:val="en-CA" w:eastAsia="en-US" w:bidi="en-CA"/>
        </w:rPr>
        <w:t>.</w:t>
      </w:r>
      <w:r w:rsidR="00EB011D">
        <w:rPr>
          <w:rFonts w:eastAsia="Arial" w:cs="Arial"/>
          <w:color w:val="3B3B3A"/>
          <w:spacing w:val="-2"/>
          <w:sz w:val="22"/>
          <w:szCs w:val="22"/>
          <w:lang w:val="en-CA" w:eastAsia="en-US" w:bidi="en-CA"/>
        </w:rPr>
        <w:t> </w:t>
      </w:r>
      <w:r w:rsidR="00F75163" w:rsidRPr="00507DF2">
        <w:rPr>
          <w:rFonts w:eastAsia="Arial" w:cs="Arial"/>
          <w:color w:val="3B3B3A"/>
          <w:spacing w:val="-2"/>
          <w:sz w:val="22"/>
          <w:szCs w:val="22"/>
          <w:lang w:val="en-CA" w:eastAsia="en-US" w:bidi="en-CA"/>
        </w:rPr>
        <w:t>C.</w:t>
      </w:r>
      <w:r w:rsidR="00F75163" w:rsidRPr="00507DF2">
        <w:rPr>
          <w:rFonts w:eastAsia="Arial" w:cs="Arial"/>
          <w:color w:val="161616"/>
          <w:spacing w:val="-2"/>
          <w:sz w:val="22"/>
          <w:szCs w:val="22"/>
          <w:lang w:val="en-CA" w:eastAsia="en-US" w:bidi="en-CA"/>
        </w:rPr>
        <w:t>;</w:t>
      </w:r>
    </w:p>
    <w:p w14:paraId="1EF49140" w14:textId="2FF1776B" w:rsidR="00000DCD" w:rsidRPr="00507DF2" w:rsidRDefault="00F75163" w:rsidP="00313DEB">
      <w:pPr>
        <w:widowControl w:val="0"/>
        <w:numPr>
          <w:ilvl w:val="1"/>
          <w:numId w:val="15"/>
        </w:numPr>
        <w:tabs>
          <w:tab w:val="left" w:pos="1375"/>
        </w:tabs>
        <w:autoSpaceDE w:val="0"/>
        <w:autoSpaceDN w:val="0"/>
        <w:spacing w:before="1"/>
        <w:ind w:left="720" w:firstLine="0"/>
        <w:jc w:val="both"/>
        <w:rPr>
          <w:rFonts w:eastAsia="Arial" w:cs="Arial"/>
          <w:sz w:val="22"/>
          <w:szCs w:val="22"/>
          <w:lang w:val="en-CA" w:eastAsia="en-US"/>
        </w:rPr>
      </w:pPr>
      <w:r w:rsidRPr="00507DF2">
        <w:rPr>
          <w:rFonts w:eastAsia="Arial" w:cs="Arial"/>
          <w:color w:val="161616"/>
          <w:sz w:val="22"/>
          <w:szCs w:val="22"/>
          <w:lang w:val="en-CA" w:eastAsia="en-US" w:bidi="en-CA"/>
        </w:rPr>
        <w:t>- Summons 500-01-223556-215 (Schedule A to the Draft Agreement)</w:t>
      </w:r>
      <w:r w:rsidRPr="00507DF2">
        <w:rPr>
          <w:rFonts w:eastAsia="Arial" w:cs="Arial"/>
          <w:color w:val="3B3B3A"/>
          <w:sz w:val="22"/>
          <w:szCs w:val="22"/>
          <w:lang w:val="en-CA" w:eastAsia="en-US" w:bidi="en-CA"/>
        </w:rPr>
        <w:t xml:space="preserve">; </w:t>
      </w:r>
    </w:p>
    <w:p w14:paraId="277503A5" w14:textId="52C00D73" w:rsidR="00F75163" w:rsidRPr="00507DF2" w:rsidRDefault="00F75163" w:rsidP="00313DEB">
      <w:pPr>
        <w:widowControl w:val="0"/>
        <w:numPr>
          <w:ilvl w:val="1"/>
          <w:numId w:val="15"/>
        </w:numPr>
        <w:tabs>
          <w:tab w:val="left" w:pos="1375"/>
        </w:tabs>
        <w:autoSpaceDE w:val="0"/>
        <w:autoSpaceDN w:val="0"/>
        <w:spacing w:before="1"/>
        <w:ind w:left="720" w:firstLine="0"/>
        <w:jc w:val="both"/>
        <w:rPr>
          <w:rFonts w:eastAsia="Arial" w:cs="Arial"/>
          <w:sz w:val="22"/>
          <w:szCs w:val="22"/>
          <w:lang w:val="en-CA" w:eastAsia="en-US"/>
        </w:rPr>
      </w:pPr>
      <w:r w:rsidRPr="00507DF2">
        <w:rPr>
          <w:rFonts w:eastAsia="Arial" w:cs="Arial"/>
          <w:color w:val="161616"/>
          <w:sz w:val="22"/>
          <w:szCs w:val="22"/>
          <w:lang w:val="en-CA" w:eastAsia="en-US" w:bidi="en-CA"/>
        </w:rPr>
        <w:t>- Public Notice of Offer to Negotiate a Remediation Agreement (715</w:t>
      </w:r>
      <w:r w:rsidRPr="00507DF2">
        <w:rPr>
          <w:rFonts w:eastAsia="Arial" w:cs="Arial"/>
          <w:color w:val="3B3B3A"/>
          <w:sz w:val="22"/>
          <w:szCs w:val="22"/>
          <w:lang w:val="en-CA" w:eastAsia="en-US" w:bidi="en-CA"/>
        </w:rPr>
        <w:t>.</w:t>
      </w:r>
      <w:r w:rsidRPr="00507DF2">
        <w:rPr>
          <w:rFonts w:eastAsia="Arial" w:cs="Arial"/>
          <w:color w:val="161616"/>
          <w:sz w:val="22"/>
          <w:szCs w:val="22"/>
          <w:lang w:val="en-CA" w:eastAsia="en-US" w:bidi="en-CA"/>
        </w:rPr>
        <w:t>33 Cr.</w:t>
      </w:r>
      <w:r w:rsidR="00EB011D">
        <w:rPr>
          <w:rFonts w:eastAsia="Arial" w:cs="Arial"/>
          <w:color w:val="161616"/>
          <w:sz w:val="22"/>
          <w:szCs w:val="22"/>
          <w:lang w:val="en-CA" w:eastAsia="en-US" w:bidi="en-CA"/>
        </w:rPr>
        <w:t> </w:t>
      </w:r>
      <w:r w:rsidRPr="00507DF2">
        <w:rPr>
          <w:rFonts w:eastAsia="Arial" w:cs="Arial"/>
          <w:color w:val="161616"/>
          <w:sz w:val="22"/>
          <w:szCs w:val="22"/>
          <w:lang w:val="en-CA" w:eastAsia="en-US" w:bidi="en-CA"/>
        </w:rPr>
        <w:t>C.)</w:t>
      </w:r>
      <w:r w:rsidRPr="00507DF2">
        <w:rPr>
          <w:rFonts w:eastAsia="Arial" w:cs="Arial"/>
          <w:color w:val="3B3B3A"/>
          <w:sz w:val="22"/>
          <w:szCs w:val="22"/>
          <w:lang w:val="en-CA" w:eastAsia="en-US" w:bidi="en-CA"/>
        </w:rPr>
        <w:t>;</w:t>
      </w:r>
    </w:p>
    <w:p w14:paraId="21390BB3" w14:textId="155BB326" w:rsidR="00F75163" w:rsidRPr="00EB011D" w:rsidRDefault="00F75163" w:rsidP="00313DEB">
      <w:pPr>
        <w:widowControl w:val="0"/>
        <w:numPr>
          <w:ilvl w:val="1"/>
          <w:numId w:val="15"/>
        </w:numPr>
        <w:tabs>
          <w:tab w:val="left" w:pos="1375"/>
        </w:tabs>
        <w:autoSpaceDE w:val="0"/>
        <w:autoSpaceDN w:val="0"/>
        <w:spacing w:before="2"/>
        <w:ind w:left="720" w:firstLine="0"/>
        <w:jc w:val="both"/>
        <w:rPr>
          <w:rFonts w:eastAsia="Arial" w:cs="Arial"/>
          <w:sz w:val="22"/>
          <w:szCs w:val="22"/>
          <w:lang w:val="en-CA" w:eastAsia="en-US"/>
        </w:rPr>
      </w:pPr>
      <w:r w:rsidRPr="00EB011D">
        <w:rPr>
          <w:rFonts w:eastAsia="Arial" w:cs="Arial"/>
          <w:color w:val="161616"/>
          <w:sz w:val="22"/>
          <w:szCs w:val="22"/>
          <w:lang w:val="en-CA" w:eastAsia="en-US" w:bidi="en-CA"/>
        </w:rPr>
        <w:t>- Detailed Notice of Offer to Negotiate a Remediation Agreement (715.33 Cr.</w:t>
      </w:r>
      <w:r w:rsidR="00EB011D" w:rsidRPr="00EB011D">
        <w:rPr>
          <w:rFonts w:eastAsia="Arial" w:cs="Arial"/>
          <w:color w:val="161616"/>
          <w:sz w:val="22"/>
          <w:szCs w:val="22"/>
          <w:lang w:val="en-CA" w:eastAsia="en-US" w:bidi="en-CA"/>
        </w:rPr>
        <w:t> </w:t>
      </w:r>
      <w:r w:rsidRPr="00EB011D">
        <w:rPr>
          <w:rFonts w:eastAsia="Arial" w:cs="Arial"/>
          <w:color w:val="161616"/>
          <w:sz w:val="22"/>
          <w:szCs w:val="22"/>
          <w:lang w:val="en-CA" w:eastAsia="en-US" w:bidi="en-CA"/>
        </w:rPr>
        <w:t>C.), including</w:t>
      </w:r>
      <w:r w:rsidR="00EB011D" w:rsidRPr="00EB011D">
        <w:rPr>
          <w:rFonts w:eastAsia="Arial" w:cs="Arial"/>
          <w:color w:val="161616"/>
          <w:sz w:val="22"/>
          <w:szCs w:val="22"/>
          <w:lang w:val="en-CA" w:eastAsia="en-US" w:bidi="en-CA"/>
        </w:rPr>
        <w:t>, under</w:t>
      </w:r>
      <w:r w:rsidRPr="00EB011D">
        <w:rPr>
          <w:rFonts w:eastAsia="Arial" w:cs="Arial"/>
          <w:color w:val="161616"/>
          <w:sz w:val="22"/>
          <w:szCs w:val="22"/>
          <w:lang w:val="en-CA" w:eastAsia="en-US" w:bidi="en-CA"/>
        </w:rPr>
        <w:t xml:space="preserve"> Schedule A, </w:t>
      </w:r>
      <w:r w:rsidR="00EB011D" w:rsidRPr="00EB011D">
        <w:rPr>
          <w:rFonts w:eastAsia="Arial" w:cs="Arial"/>
          <w:color w:val="161616"/>
          <w:sz w:val="22"/>
          <w:szCs w:val="22"/>
          <w:lang w:val="en-CA" w:eastAsia="en-US" w:bidi="en-CA"/>
        </w:rPr>
        <w:t>[</w:t>
      </w:r>
      <w:r w:rsidR="00EB011D" w:rsidRPr="006B7F16">
        <w:rPr>
          <w:rFonts w:eastAsia="Arial" w:cs="Arial"/>
          <w:smallCaps/>
          <w:color w:val="161616"/>
          <w:sz w:val="22"/>
          <w:szCs w:val="22"/>
          <w:lang w:val="en-CA" w:eastAsia="en-US" w:bidi="en-CA"/>
        </w:rPr>
        <w:t>translation</w:t>
      </w:r>
      <w:r w:rsidR="00EB011D" w:rsidRPr="00EB011D">
        <w:rPr>
          <w:rFonts w:eastAsia="Arial" w:cs="Arial"/>
          <w:color w:val="161616"/>
          <w:sz w:val="22"/>
          <w:szCs w:val="22"/>
          <w:lang w:val="en-CA" w:eastAsia="en-US" w:bidi="en-CA"/>
        </w:rPr>
        <w:t>] “</w:t>
      </w:r>
      <w:r w:rsidRPr="00EB011D">
        <w:rPr>
          <w:rFonts w:eastAsia="Arial" w:cs="Arial"/>
          <w:color w:val="161616"/>
          <w:sz w:val="22"/>
          <w:szCs w:val="22"/>
          <w:lang w:val="en-CA" w:eastAsia="en-US" w:bidi="en-CA"/>
        </w:rPr>
        <w:t>Consent to Negotiate a Remediation Agreement</w:t>
      </w:r>
      <w:r w:rsidR="00EB011D" w:rsidRPr="00EB011D">
        <w:rPr>
          <w:rFonts w:eastAsia="Arial" w:cs="Arial"/>
          <w:color w:val="161616"/>
          <w:sz w:val="22"/>
          <w:szCs w:val="22"/>
          <w:lang w:val="en-CA" w:eastAsia="en-US" w:bidi="en-CA"/>
        </w:rPr>
        <w:t>”</w:t>
      </w:r>
      <w:r w:rsidR="00EB011D">
        <w:rPr>
          <w:rFonts w:eastAsia="Arial" w:cs="Arial"/>
          <w:color w:val="161616"/>
          <w:sz w:val="22"/>
          <w:szCs w:val="22"/>
          <w:lang w:val="en-CA" w:eastAsia="en-US" w:bidi="en-CA"/>
        </w:rPr>
        <w:t>; under</w:t>
      </w:r>
      <w:r w:rsidRPr="00EB011D">
        <w:rPr>
          <w:rFonts w:eastAsia="Arial" w:cs="Arial"/>
          <w:color w:val="161616"/>
          <w:sz w:val="22"/>
          <w:szCs w:val="22"/>
          <w:lang w:val="en-CA" w:eastAsia="en-US" w:bidi="en-CA"/>
        </w:rPr>
        <w:t xml:space="preserve"> Schedule B,</w:t>
      </w:r>
      <w:r w:rsidR="006C7788">
        <w:rPr>
          <w:rFonts w:eastAsia="Arial" w:cs="Arial"/>
          <w:color w:val="161616"/>
          <w:sz w:val="22"/>
          <w:szCs w:val="22"/>
          <w:lang w:val="en-CA" w:eastAsia="en-US" w:bidi="en-CA"/>
        </w:rPr>
        <w:t xml:space="preserve"> [</w:t>
      </w:r>
      <w:r w:rsidR="006C7788" w:rsidRPr="006B7F16">
        <w:rPr>
          <w:rFonts w:eastAsia="Arial" w:cs="Arial"/>
          <w:smallCaps/>
          <w:color w:val="161616"/>
          <w:sz w:val="22"/>
          <w:szCs w:val="22"/>
          <w:lang w:val="en-CA" w:eastAsia="en-US" w:bidi="en-CA"/>
        </w:rPr>
        <w:t>translation</w:t>
      </w:r>
      <w:r w:rsidR="006C7788">
        <w:rPr>
          <w:rFonts w:eastAsia="Arial" w:cs="Arial"/>
          <w:color w:val="161616"/>
          <w:sz w:val="22"/>
          <w:szCs w:val="22"/>
          <w:lang w:val="en-CA" w:eastAsia="en-US" w:bidi="en-CA"/>
        </w:rPr>
        <w:t>] “</w:t>
      </w:r>
      <w:r w:rsidRPr="00EB011D">
        <w:rPr>
          <w:rFonts w:eastAsia="Arial" w:cs="Arial"/>
          <w:color w:val="161616"/>
          <w:sz w:val="22"/>
          <w:szCs w:val="22"/>
          <w:lang w:val="en-CA" w:eastAsia="en-US" w:bidi="en-CA"/>
        </w:rPr>
        <w:t xml:space="preserve">Draft </w:t>
      </w:r>
      <w:r w:rsidRPr="00EB011D">
        <w:rPr>
          <w:rFonts w:eastAsia="Arial" w:cs="Arial"/>
          <w:color w:val="161616"/>
          <w:w w:val="105"/>
          <w:sz w:val="22"/>
          <w:szCs w:val="22"/>
          <w:lang w:val="en-CA" w:eastAsia="en-US" w:bidi="en-CA"/>
        </w:rPr>
        <w:t>Notice</w:t>
      </w:r>
      <w:r w:rsidRPr="00EB011D">
        <w:rPr>
          <w:rFonts w:eastAsia="Arial" w:cs="Arial"/>
          <w:color w:val="161616"/>
          <w:sz w:val="22"/>
          <w:szCs w:val="22"/>
          <w:lang w:val="en-CA" w:eastAsia="en-US" w:bidi="en-CA"/>
        </w:rPr>
        <w:t xml:space="preserve"> of Acceptance</w:t>
      </w:r>
      <w:r w:rsidR="006C7788">
        <w:rPr>
          <w:rFonts w:eastAsia="Arial" w:cs="Arial"/>
          <w:color w:val="161616"/>
          <w:sz w:val="22"/>
          <w:szCs w:val="22"/>
          <w:lang w:val="en-CA" w:eastAsia="en-US" w:bidi="en-CA"/>
        </w:rPr>
        <w:t>”;</w:t>
      </w:r>
      <w:r w:rsidRPr="00EB011D">
        <w:rPr>
          <w:rFonts w:eastAsia="Arial" w:cs="Arial"/>
          <w:color w:val="161616"/>
          <w:sz w:val="22"/>
          <w:szCs w:val="22"/>
          <w:lang w:val="en-CA" w:eastAsia="en-US" w:bidi="en-CA"/>
        </w:rPr>
        <w:t xml:space="preserve"> and </w:t>
      </w:r>
      <w:r w:rsidR="006C7788">
        <w:rPr>
          <w:rFonts w:eastAsia="Arial" w:cs="Arial"/>
          <w:color w:val="161616"/>
          <w:sz w:val="22"/>
          <w:szCs w:val="22"/>
          <w:lang w:val="en-CA" w:eastAsia="en-US" w:bidi="en-CA"/>
        </w:rPr>
        <w:t xml:space="preserve">under </w:t>
      </w:r>
      <w:r w:rsidRPr="00EB011D">
        <w:rPr>
          <w:rFonts w:eastAsia="Arial" w:cs="Arial"/>
          <w:color w:val="161616"/>
          <w:sz w:val="22"/>
          <w:szCs w:val="22"/>
          <w:lang w:val="en-CA" w:eastAsia="en-US" w:bidi="en-CA"/>
        </w:rPr>
        <w:t xml:space="preserve">Schedule C, </w:t>
      </w:r>
      <w:r w:rsidR="006C7788">
        <w:rPr>
          <w:rFonts w:eastAsia="Arial" w:cs="Arial"/>
          <w:color w:val="161616"/>
          <w:sz w:val="22"/>
          <w:szCs w:val="22"/>
          <w:lang w:val="en-CA" w:eastAsia="en-US" w:bidi="en-CA"/>
        </w:rPr>
        <w:t>the [</w:t>
      </w:r>
      <w:r w:rsidR="006C7788" w:rsidRPr="006B7F16">
        <w:rPr>
          <w:rFonts w:eastAsia="Arial" w:cs="Arial"/>
          <w:smallCaps/>
          <w:color w:val="161616"/>
          <w:sz w:val="22"/>
          <w:szCs w:val="22"/>
          <w:lang w:val="en-CA" w:eastAsia="en-US" w:bidi="en-CA"/>
        </w:rPr>
        <w:t>translation</w:t>
      </w:r>
      <w:r w:rsidR="006C7788">
        <w:rPr>
          <w:rFonts w:eastAsia="Arial" w:cs="Arial"/>
          <w:color w:val="161616"/>
          <w:sz w:val="22"/>
          <w:szCs w:val="22"/>
          <w:lang w:val="en-CA" w:eastAsia="en-US" w:bidi="en-CA"/>
        </w:rPr>
        <w:t>] “</w:t>
      </w:r>
      <w:r w:rsidRPr="00EB011D">
        <w:rPr>
          <w:rFonts w:eastAsia="Arial" w:cs="Arial"/>
          <w:color w:val="161616"/>
          <w:sz w:val="22"/>
          <w:szCs w:val="22"/>
          <w:lang w:val="en-CA" w:eastAsia="en-US" w:bidi="en-CA"/>
        </w:rPr>
        <w:t>Statement of Facts</w:t>
      </w:r>
      <w:r w:rsidR="006C7788">
        <w:rPr>
          <w:rFonts w:eastAsia="Arial" w:cs="Arial"/>
          <w:color w:val="161616"/>
          <w:sz w:val="22"/>
          <w:szCs w:val="22"/>
          <w:lang w:val="en-CA" w:eastAsia="en-US" w:bidi="en-CA"/>
        </w:rPr>
        <w:t>”</w:t>
      </w:r>
      <w:r w:rsidRPr="00EB011D">
        <w:rPr>
          <w:rFonts w:eastAsia="Arial" w:cs="Arial"/>
          <w:color w:val="161616"/>
          <w:sz w:val="22"/>
          <w:szCs w:val="22"/>
          <w:lang w:val="en-CA" w:eastAsia="en-US" w:bidi="en-CA"/>
        </w:rPr>
        <w:t>;</w:t>
      </w:r>
    </w:p>
    <w:p w14:paraId="24829D7B" w14:textId="3267B419" w:rsidR="00F75163" w:rsidRPr="00507DF2" w:rsidRDefault="00000DCD" w:rsidP="00313DEB">
      <w:pPr>
        <w:widowControl w:val="0"/>
        <w:numPr>
          <w:ilvl w:val="1"/>
          <w:numId w:val="15"/>
        </w:numPr>
        <w:tabs>
          <w:tab w:val="left" w:pos="1375"/>
        </w:tabs>
        <w:autoSpaceDE w:val="0"/>
        <w:autoSpaceDN w:val="0"/>
        <w:spacing w:before="1"/>
        <w:ind w:left="720" w:firstLine="0"/>
        <w:jc w:val="both"/>
        <w:rPr>
          <w:rFonts w:eastAsia="Arial" w:cs="Arial"/>
          <w:sz w:val="22"/>
          <w:szCs w:val="22"/>
          <w:lang w:val="en-CA" w:eastAsia="en-US"/>
        </w:rPr>
      </w:pPr>
      <w:r w:rsidRPr="00507DF2">
        <w:rPr>
          <w:rFonts w:eastAsia="Arial" w:cs="Arial"/>
          <w:color w:val="161616"/>
          <w:sz w:val="22"/>
          <w:szCs w:val="22"/>
          <w:lang w:val="en-CA" w:eastAsia="en-US" w:bidi="en-CA"/>
        </w:rPr>
        <w:t>-</w:t>
      </w:r>
      <w:r w:rsidR="00F75163" w:rsidRPr="00507DF2">
        <w:rPr>
          <w:rFonts w:eastAsia="Arial" w:cs="Arial"/>
          <w:color w:val="161616"/>
          <w:sz w:val="22"/>
          <w:szCs w:val="22"/>
          <w:lang w:val="en-CA" w:eastAsia="en-US" w:bidi="en-CA"/>
        </w:rPr>
        <w:t xml:space="preserve"> </w:t>
      </w:r>
      <w:r w:rsidRPr="00507DF2">
        <w:rPr>
          <w:rFonts w:eastAsia="Arial" w:cs="Arial"/>
          <w:color w:val="161616"/>
          <w:sz w:val="22"/>
          <w:szCs w:val="22"/>
          <w:lang w:val="en-CA" w:eastAsia="en-US" w:bidi="en-CA"/>
        </w:rPr>
        <w:t xml:space="preserve">Notice </w:t>
      </w:r>
      <w:r w:rsidR="00F75163" w:rsidRPr="00507DF2">
        <w:rPr>
          <w:rFonts w:eastAsia="Arial" w:cs="Arial"/>
          <w:color w:val="161616"/>
          <w:sz w:val="22"/>
          <w:szCs w:val="22"/>
          <w:lang w:val="en-CA" w:eastAsia="en-US" w:bidi="en-CA"/>
        </w:rPr>
        <w:t xml:space="preserve">of </w:t>
      </w:r>
      <w:r w:rsidRPr="00507DF2">
        <w:rPr>
          <w:rFonts w:eastAsia="Arial" w:cs="Arial"/>
          <w:color w:val="161616"/>
          <w:sz w:val="22"/>
          <w:szCs w:val="22"/>
          <w:lang w:val="en-CA" w:eastAsia="en-US" w:bidi="en-CA"/>
        </w:rPr>
        <w:t>A</w:t>
      </w:r>
      <w:r w:rsidR="00F75163" w:rsidRPr="00507DF2">
        <w:rPr>
          <w:rFonts w:eastAsia="Arial" w:cs="Arial"/>
          <w:color w:val="161616"/>
          <w:sz w:val="22"/>
          <w:szCs w:val="22"/>
          <w:lang w:val="en-CA" w:eastAsia="en-US" w:bidi="en-CA"/>
        </w:rPr>
        <w:t xml:space="preserve">cceptance of the Offer to Negotiate a Remediation Agreement </w:t>
      </w:r>
      <w:r w:rsidRPr="00507DF2">
        <w:rPr>
          <w:rFonts w:eastAsia="Arial" w:cs="Arial"/>
          <w:color w:val="161616"/>
          <w:sz w:val="22"/>
          <w:szCs w:val="22"/>
          <w:lang w:val="en-CA" w:eastAsia="en-US" w:bidi="en-CA"/>
        </w:rPr>
        <w:t>by</w:t>
      </w:r>
      <w:r w:rsidR="00F75163" w:rsidRPr="00507DF2">
        <w:rPr>
          <w:rFonts w:eastAsia="Arial" w:cs="Arial"/>
          <w:color w:val="161616"/>
          <w:sz w:val="22"/>
          <w:szCs w:val="22"/>
          <w:lang w:val="en-CA" w:eastAsia="en-US" w:bidi="en-CA"/>
        </w:rPr>
        <w:t xml:space="preserve"> the Organizations</w:t>
      </w:r>
      <w:r w:rsidR="00F75163" w:rsidRPr="00507DF2">
        <w:rPr>
          <w:rFonts w:eastAsia="Arial" w:cs="Arial"/>
          <w:color w:val="3B3B3A"/>
          <w:sz w:val="22"/>
          <w:szCs w:val="22"/>
          <w:lang w:val="en-CA" w:eastAsia="en-US" w:bidi="en-CA"/>
        </w:rPr>
        <w:t xml:space="preserve">, </w:t>
      </w:r>
      <w:r w:rsidR="00F75163" w:rsidRPr="00507DF2">
        <w:rPr>
          <w:rFonts w:eastAsia="Arial" w:cs="Arial"/>
          <w:color w:val="161616"/>
          <w:sz w:val="22"/>
          <w:szCs w:val="22"/>
          <w:lang w:val="en-CA" w:eastAsia="en-US" w:bidi="en-CA"/>
        </w:rPr>
        <w:t>715.33 Cr.</w:t>
      </w:r>
      <w:r w:rsidR="006C7788">
        <w:rPr>
          <w:rFonts w:eastAsia="Arial" w:cs="Arial"/>
          <w:color w:val="161616"/>
          <w:sz w:val="22"/>
          <w:szCs w:val="22"/>
          <w:lang w:val="en-CA" w:eastAsia="en-US" w:bidi="en-CA"/>
        </w:rPr>
        <w:t> </w:t>
      </w:r>
      <w:r w:rsidR="00F75163" w:rsidRPr="00507DF2">
        <w:rPr>
          <w:rFonts w:eastAsia="Arial" w:cs="Arial"/>
          <w:color w:val="161616"/>
          <w:sz w:val="22"/>
          <w:szCs w:val="22"/>
          <w:lang w:val="en-CA" w:eastAsia="en-US" w:bidi="en-CA"/>
        </w:rPr>
        <w:t>C</w:t>
      </w:r>
      <w:r w:rsidR="00F75163" w:rsidRPr="00507DF2">
        <w:rPr>
          <w:rFonts w:eastAsia="Arial" w:cs="Arial"/>
          <w:color w:val="3B3B3A"/>
          <w:sz w:val="22"/>
          <w:szCs w:val="22"/>
          <w:lang w:val="en-CA" w:eastAsia="en-US" w:bidi="en-CA"/>
        </w:rPr>
        <w:t>.</w:t>
      </w:r>
      <w:r w:rsidR="00F75163" w:rsidRPr="00507DF2">
        <w:rPr>
          <w:rFonts w:eastAsia="Arial" w:cs="Arial"/>
          <w:color w:val="161616"/>
          <w:sz w:val="22"/>
          <w:szCs w:val="22"/>
          <w:lang w:val="en-CA" w:eastAsia="en-US" w:bidi="en-CA"/>
        </w:rPr>
        <w:t>;</w:t>
      </w:r>
    </w:p>
    <w:p w14:paraId="41E04E27" w14:textId="79F4781E" w:rsidR="00F75163" w:rsidRPr="00507DF2" w:rsidRDefault="00F75163" w:rsidP="00313DEB">
      <w:pPr>
        <w:widowControl w:val="0"/>
        <w:numPr>
          <w:ilvl w:val="1"/>
          <w:numId w:val="15"/>
        </w:numPr>
        <w:tabs>
          <w:tab w:val="left" w:pos="1375"/>
        </w:tabs>
        <w:autoSpaceDE w:val="0"/>
        <w:autoSpaceDN w:val="0"/>
        <w:spacing w:before="1"/>
        <w:ind w:left="720" w:firstLine="0"/>
        <w:jc w:val="both"/>
        <w:rPr>
          <w:rFonts w:eastAsia="Arial" w:cs="Arial"/>
          <w:sz w:val="22"/>
          <w:szCs w:val="22"/>
          <w:lang w:val="en-CA" w:eastAsia="en-US"/>
        </w:rPr>
      </w:pPr>
      <w:r w:rsidRPr="00507DF2">
        <w:rPr>
          <w:rFonts w:eastAsia="Arial" w:cs="Arial"/>
          <w:color w:val="161616"/>
          <w:w w:val="105"/>
          <w:sz w:val="22"/>
          <w:szCs w:val="22"/>
          <w:lang w:val="en-CA" w:eastAsia="en-US" w:bidi="en-CA"/>
        </w:rPr>
        <w:t>-</w:t>
      </w:r>
      <w:r w:rsidR="00000DCD" w:rsidRPr="00507DF2">
        <w:rPr>
          <w:rFonts w:eastAsia="Arial" w:cs="Arial"/>
          <w:color w:val="161616"/>
          <w:w w:val="105"/>
          <w:sz w:val="22"/>
          <w:szCs w:val="22"/>
          <w:lang w:val="en-CA" w:eastAsia="en-US" w:bidi="en-CA"/>
        </w:rPr>
        <w:t xml:space="preserve"> </w:t>
      </w:r>
      <w:r w:rsidRPr="00507DF2">
        <w:rPr>
          <w:rFonts w:eastAsia="Arial" w:cs="Arial"/>
          <w:color w:val="161616"/>
          <w:sz w:val="22"/>
          <w:szCs w:val="22"/>
          <w:lang w:val="en-CA" w:eastAsia="en-US" w:bidi="en-CA"/>
        </w:rPr>
        <w:t>Notice</w:t>
      </w:r>
      <w:r w:rsidRPr="00507DF2">
        <w:rPr>
          <w:rFonts w:eastAsia="Arial" w:cs="Arial"/>
          <w:color w:val="161616"/>
          <w:w w:val="105"/>
          <w:sz w:val="22"/>
          <w:szCs w:val="22"/>
          <w:lang w:val="en-CA" w:eastAsia="en-US" w:bidi="en-CA"/>
        </w:rPr>
        <w:t xml:space="preserve"> to victims, 715.36 </w:t>
      </w:r>
      <w:r w:rsidRPr="00507DF2">
        <w:rPr>
          <w:rFonts w:eastAsia="Arial" w:cs="Arial"/>
          <w:color w:val="161616"/>
          <w:spacing w:val="-2"/>
          <w:w w:val="105"/>
          <w:sz w:val="22"/>
          <w:szCs w:val="22"/>
          <w:lang w:val="en-CA" w:eastAsia="en-US" w:bidi="en-CA"/>
        </w:rPr>
        <w:t>Cr.</w:t>
      </w:r>
      <w:r w:rsidR="006C7788">
        <w:rPr>
          <w:rFonts w:eastAsia="Arial" w:cs="Arial"/>
          <w:color w:val="161616"/>
          <w:spacing w:val="-2"/>
          <w:w w:val="105"/>
          <w:sz w:val="22"/>
          <w:szCs w:val="22"/>
          <w:lang w:val="en-CA" w:eastAsia="en-US" w:bidi="en-CA"/>
        </w:rPr>
        <w:t> </w:t>
      </w:r>
      <w:r w:rsidRPr="00507DF2">
        <w:rPr>
          <w:rFonts w:eastAsia="Arial" w:cs="Arial"/>
          <w:color w:val="161616"/>
          <w:spacing w:val="-2"/>
          <w:w w:val="105"/>
          <w:sz w:val="22"/>
          <w:szCs w:val="22"/>
          <w:lang w:val="en-CA" w:eastAsia="en-US" w:bidi="en-CA"/>
        </w:rPr>
        <w:t>C.</w:t>
      </w:r>
    </w:p>
    <w:p w14:paraId="5522F92C" w14:textId="77777777" w:rsidR="00F86C3A" w:rsidRPr="0071186E" w:rsidRDefault="00F86C3A" w:rsidP="00F86C3A">
      <w:pPr>
        <w:widowControl w:val="0"/>
        <w:tabs>
          <w:tab w:val="left" w:pos="1375"/>
        </w:tabs>
        <w:autoSpaceDE w:val="0"/>
        <w:autoSpaceDN w:val="0"/>
        <w:spacing w:before="2"/>
        <w:ind w:left="720"/>
        <w:jc w:val="both"/>
        <w:rPr>
          <w:rFonts w:eastAsia="Arial" w:cs="Arial"/>
          <w:sz w:val="22"/>
          <w:szCs w:val="22"/>
          <w:lang w:val="en-CA" w:eastAsia="en-US"/>
        </w:rPr>
      </w:pPr>
    </w:p>
    <w:p w14:paraId="39BDE001" w14:textId="1B6D46AA" w:rsidR="00F75163" w:rsidRPr="0071186E" w:rsidRDefault="00F86C3A" w:rsidP="00F75163">
      <w:pPr>
        <w:pStyle w:val="SimpleL1"/>
        <w:rPr>
          <w:lang w:val="en-CA"/>
        </w:rPr>
      </w:pPr>
      <w:r w:rsidRPr="0071186E">
        <w:rPr>
          <w:lang w:val="en-CA" w:bidi="en-CA"/>
        </w:rPr>
        <w:t xml:space="preserve">The Parties in this Application point out that communications between the Organizations and the Prosecutor that </w:t>
      </w:r>
      <w:r w:rsidR="00CA5FED">
        <w:rPr>
          <w:lang w:val="en-CA" w:bidi="en-CA"/>
        </w:rPr>
        <w:t>took place</w:t>
      </w:r>
      <w:r w:rsidR="00CA5FED" w:rsidRPr="0071186E">
        <w:rPr>
          <w:lang w:val="en-CA" w:bidi="en-CA"/>
        </w:rPr>
        <w:t xml:space="preserve"> </w:t>
      </w:r>
      <w:r w:rsidRPr="0071186E">
        <w:rPr>
          <w:lang w:val="en-CA" w:bidi="en-CA"/>
        </w:rPr>
        <w:t>within the context of</w:t>
      </w:r>
      <w:r w:rsidR="00CA5FED">
        <w:rPr>
          <w:lang w:val="en-CA" w:bidi="en-CA"/>
        </w:rPr>
        <w:t xml:space="preserve"> negotiations for</w:t>
      </w:r>
      <w:r w:rsidRPr="0071186E">
        <w:rPr>
          <w:lang w:val="en-CA" w:bidi="en-CA"/>
        </w:rPr>
        <w:t xml:space="preserve"> the Draft Agreement are protected by settlement privilege, and that this privilege extends </w:t>
      </w:r>
      <w:r w:rsidR="0036688B">
        <w:rPr>
          <w:lang w:val="en-CA" w:bidi="en-CA"/>
        </w:rPr>
        <w:t>to readying</w:t>
      </w:r>
      <w:r w:rsidRPr="0071186E">
        <w:rPr>
          <w:lang w:val="en-CA" w:bidi="en-CA"/>
        </w:rPr>
        <w:t xml:space="preserve"> the </w:t>
      </w:r>
      <w:r w:rsidRPr="0071186E">
        <w:rPr>
          <w:i/>
          <w:lang w:val="en-CA" w:bidi="en-CA"/>
        </w:rPr>
        <w:t xml:space="preserve">Application for Approval </w:t>
      </w:r>
      <w:r w:rsidRPr="0071186E">
        <w:rPr>
          <w:lang w:val="en-CA" w:bidi="en-CA"/>
        </w:rPr>
        <w:t>before the Court and until the public hearing.</w:t>
      </w:r>
    </w:p>
    <w:p w14:paraId="44476A18" w14:textId="5C4C933E" w:rsidR="00F75163" w:rsidRPr="0071186E" w:rsidRDefault="00F86C3A" w:rsidP="00F75163">
      <w:pPr>
        <w:pStyle w:val="SimpleL1"/>
        <w:rPr>
          <w:lang w:val="en-CA"/>
        </w:rPr>
      </w:pPr>
      <w:r w:rsidRPr="0071186E">
        <w:rPr>
          <w:lang w:val="en-CA" w:bidi="en-CA"/>
        </w:rPr>
        <w:lastRenderedPageBreak/>
        <w:t>In the Application, the Parties propose a</w:t>
      </w:r>
      <w:r w:rsidR="00593D3F">
        <w:rPr>
          <w:lang w:val="en-CA" w:bidi="en-CA"/>
        </w:rPr>
        <w:t xml:space="preserve"> two-step</w:t>
      </w:r>
      <w:r w:rsidRPr="0071186E">
        <w:rPr>
          <w:lang w:val="en-CA" w:bidi="en-CA"/>
        </w:rPr>
        <w:t xml:space="preserve"> procedure to the Court – the first confidential, the second public – that is grounded on the application of settlement privilege, public interest considerations, </w:t>
      </w:r>
      <w:r w:rsidR="00593D3F">
        <w:rPr>
          <w:lang w:val="en-CA" w:bidi="en-CA"/>
        </w:rPr>
        <w:t>and</w:t>
      </w:r>
      <w:r w:rsidRPr="0071186E">
        <w:rPr>
          <w:lang w:val="en-CA" w:bidi="en-CA"/>
        </w:rPr>
        <w:t xml:space="preserve"> </w:t>
      </w:r>
      <w:r w:rsidR="00AA56DD">
        <w:rPr>
          <w:lang w:val="en-CA" w:bidi="en-CA"/>
        </w:rPr>
        <w:t>British</w:t>
      </w:r>
      <w:r w:rsidR="00C36DC9">
        <w:rPr>
          <w:lang w:val="en-CA" w:bidi="en-CA"/>
        </w:rPr>
        <w:t xml:space="preserve"> law </w:t>
      </w:r>
      <w:r w:rsidR="00593D3F">
        <w:rPr>
          <w:lang w:val="en-CA" w:bidi="en-CA"/>
        </w:rPr>
        <w:t>regarding</w:t>
      </w:r>
      <w:r w:rsidR="00593D3F" w:rsidRPr="0071186E">
        <w:rPr>
          <w:lang w:val="en-CA" w:bidi="en-CA"/>
        </w:rPr>
        <w:t xml:space="preserve"> </w:t>
      </w:r>
      <w:r w:rsidRPr="0071186E">
        <w:rPr>
          <w:lang w:val="en-CA" w:bidi="en-CA"/>
        </w:rPr>
        <w:t>Deferred Prosecution Agreement</w:t>
      </w:r>
      <w:r w:rsidR="00593D3F">
        <w:rPr>
          <w:lang w:val="en-CA" w:bidi="en-CA"/>
        </w:rPr>
        <w:t>s</w:t>
      </w:r>
      <w:r w:rsidRPr="0071186E">
        <w:rPr>
          <w:lang w:val="en-CA" w:bidi="en-CA"/>
        </w:rPr>
        <w:t>, which provides for just such a procedure.</w:t>
      </w:r>
      <w:r w:rsidR="00333711" w:rsidRPr="0071186E">
        <w:rPr>
          <w:rStyle w:val="Appelnotedebasdep"/>
          <w:lang w:val="en-CA" w:bidi="en-CA"/>
        </w:rPr>
        <w:footnoteReference w:id="10"/>
      </w:r>
    </w:p>
    <w:p w14:paraId="02BDEB7F" w14:textId="19D057BA" w:rsidR="00F86C3A" w:rsidRPr="0071186E" w:rsidRDefault="00C36DC9" w:rsidP="00F75163">
      <w:pPr>
        <w:pStyle w:val="SimpleL1"/>
        <w:rPr>
          <w:lang w:val="en-CA"/>
        </w:rPr>
      </w:pPr>
      <w:r>
        <w:rPr>
          <w:lang w:val="en-CA" w:bidi="en-CA"/>
        </w:rPr>
        <w:t>On March 15, 2022, the Court h</w:t>
      </w:r>
      <w:r w:rsidR="00F64597">
        <w:rPr>
          <w:lang w:val="en-CA" w:bidi="en-CA"/>
        </w:rPr>
        <w:t>e</w:t>
      </w:r>
      <w:r w:rsidR="00F86C3A" w:rsidRPr="0071186E">
        <w:rPr>
          <w:lang w:val="en-CA" w:bidi="en-CA"/>
        </w:rPr>
        <w:t xml:space="preserve">ld a hearing </w:t>
      </w:r>
      <w:r w:rsidR="00085EC5" w:rsidRPr="00085EC5">
        <w:rPr>
          <w:i/>
          <w:lang w:val="en-CA" w:bidi="en-CA"/>
        </w:rPr>
        <w:t xml:space="preserve">in camera </w:t>
      </w:r>
      <w:r w:rsidR="00F86C3A" w:rsidRPr="0071186E">
        <w:rPr>
          <w:lang w:val="en-CA" w:bidi="en-CA"/>
        </w:rPr>
        <w:t>at</w:t>
      </w:r>
      <w:r>
        <w:rPr>
          <w:lang w:val="en-CA" w:bidi="en-CA"/>
        </w:rPr>
        <w:t xml:space="preserve"> the Parties’ request and issue</w:t>
      </w:r>
      <w:r w:rsidR="00F64597">
        <w:rPr>
          <w:lang w:val="en-CA" w:bidi="en-CA"/>
        </w:rPr>
        <w:t>d</w:t>
      </w:r>
      <w:r w:rsidR="00F86C3A" w:rsidRPr="0071186E">
        <w:rPr>
          <w:lang w:val="en-CA" w:bidi="en-CA"/>
        </w:rPr>
        <w:t xml:space="preserve"> orders to preserve the anonymity and confidentiality of the file, as well as hearings </w:t>
      </w:r>
      <w:r w:rsidR="00085EC5" w:rsidRPr="00085EC5">
        <w:rPr>
          <w:i/>
          <w:lang w:val="en-CA" w:bidi="en-CA"/>
        </w:rPr>
        <w:t xml:space="preserve">in camera </w:t>
      </w:r>
      <w:r w:rsidR="00F86C3A" w:rsidRPr="0071186E">
        <w:rPr>
          <w:lang w:val="en-CA" w:bidi="en-CA"/>
        </w:rPr>
        <w:t xml:space="preserve">for all of the dates required to </w:t>
      </w:r>
      <w:r w:rsidR="00D6089F">
        <w:rPr>
          <w:lang w:val="en-CA" w:bidi="en-CA"/>
        </w:rPr>
        <w:t>ready</w:t>
      </w:r>
      <w:r w:rsidR="00D6089F" w:rsidRPr="0071186E">
        <w:rPr>
          <w:lang w:val="en-CA" w:bidi="en-CA"/>
        </w:rPr>
        <w:t xml:space="preserve"> </w:t>
      </w:r>
      <w:r w:rsidR="00F86C3A" w:rsidRPr="0071186E">
        <w:rPr>
          <w:lang w:val="en-CA" w:bidi="en-CA"/>
        </w:rPr>
        <w:t>the public presentation of the application to approve a remediation agreement.</w:t>
      </w:r>
      <w:r w:rsidR="00333711" w:rsidRPr="0071186E">
        <w:rPr>
          <w:rStyle w:val="Appelnotedebasdep"/>
          <w:lang w:val="en-CA" w:bidi="en-CA"/>
        </w:rPr>
        <w:footnoteReference w:id="11"/>
      </w:r>
    </w:p>
    <w:p w14:paraId="4B001345" w14:textId="7C7B3D78" w:rsidR="00F86C3A" w:rsidRPr="0071186E" w:rsidRDefault="00F86C3A" w:rsidP="00F75163">
      <w:pPr>
        <w:pStyle w:val="SimpleL1"/>
        <w:rPr>
          <w:lang w:val="en-CA"/>
        </w:rPr>
      </w:pPr>
      <w:r w:rsidRPr="0071186E">
        <w:rPr>
          <w:lang w:val="en-CA" w:bidi="en-CA"/>
        </w:rPr>
        <w:t>On Marc</w:t>
      </w:r>
      <w:r w:rsidR="00C36DC9">
        <w:rPr>
          <w:lang w:val="en-CA" w:bidi="en-CA"/>
        </w:rPr>
        <w:t>h 23, 2022, the Parties produce</w:t>
      </w:r>
      <w:r w:rsidR="00122BBC">
        <w:rPr>
          <w:lang w:val="en-CA" w:bidi="en-CA"/>
        </w:rPr>
        <w:t>d</w:t>
      </w:r>
      <w:r w:rsidRPr="0071186E">
        <w:rPr>
          <w:lang w:val="en-CA" w:bidi="en-CA"/>
        </w:rPr>
        <w:t xml:space="preserve"> written </w:t>
      </w:r>
      <w:r w:rsidR="00555558">
        <w:rPr>
          <w:lang w:val="en-CA" w:bidi="en-CA"/>
        </w:rPr>
        <w:t>submissions</w:t>
      </w:r>
      <w:r w:rsidRPr="0071186E">
        <w:rPr>
          <w:lang w:val="en-CA" w:bidi="en-CA"/>
        </w:rPr>
        <w:t xml:space="preserve"> in support of the Draft Agreement’s approval, some parts of which provide the factual framework of the offences with which the Organizations were charged.</w:t>
      </w:r>
      <w:r w:rsidR="000C24AD" w:rsidRPr="0071186E">
        <w:rPr>
          <w:rStyle w:val="Appelnotedebasdep"/>
          <w:lang w:val="en-CA" w:bidi="en-CA"/>
        </w:rPr>
        <w:footnoteReference w:id="12"/>
      </w:r>
    </w:p>
    <w:p w14:paraId="5CF01762" w14:textId="630A1D15" w:rsidR="00F86C3A" w:rsidRPr="0071186E" w:rsidRDefault="00F86C3A" w:rsidP="00F75163">
      <w:pPr>
        <w:pStyle w:val="SimpleL1"/>
        <w:rPr>
          <w:lang w:val="en-CA"/>
        </w:rPr>
      </w:pPr>
      <w:r w:rsidRPr="0071186E">
        <w:rPr>
          <w:lang w:val="en-CA" w:bidi="en-CA"/>
        </w:rPr>
        <w:t>That sam</w:t>
      </w:r>
      <w:r w:rsidR="00AA6784">
        <w:rPr>
          <w:lang w:val="en-CA" w:bidi="en-CA"/>
        </w:rPr>
        <w:t>e day, the Prosecutor also file</w:t>
      </w:r>
      <w:r w:rsidR="00122BBC">
        <w:rPr>
          <w:lang w:val="en-CA" w:bidi="en-CA"/>
        </w:rPr>
        <w:t>d</w:t>
      </w:r>
      <w:r w:rsidRPr="0071186E">
        <w:rPr>
          <w:lang w:val="en-CA" w:bidi="en-CA"/>
        </w:rPr>
        <w:t xml:space="preserve"> a book of exhibits, in two volumes, containing 39 exhibits,</w:t>
      </w:r>
      <w:r w:rsidR="000C24AD" w:rsidRPr="0071186E">
        <w:rPr>
          <w:rStyle w:val="Appelnotedebasdep"/>
          <w:lang w:val="en-CA" w:bidi="en-CA"/>
        </w:rPr>
        <w:footnoteReference w:id="13"/>
      </w:r>
      <w:r w:rsidRPr="0071186E">
        <w:rPr>
          <w:lang w:val="en-CA" w:bidi="en-CA"/>
        </w:rPr>
        <w:t xml:space="preserve"> </w:t>
      </w:r>
      <w:r w:rsidR="00122BBC">
        <w:rPr>
          <w:lang w:val="en-CA" w:bidi="en-CA"/>
        </w:rPr>
        <w:t xml:space="preserve">and </w:t>
      </w:r>
      <w:r w:rsidRPr="0071186E">
        <w:rPr>
          <w:lang w:val="en-CA" w:bidi="en-CA"/>
        </w:rPr>
        <w:t>a list of admissions signed by the Parties.</w:t>
      </w:r>
    </w:p>
    <w:p w14:paraId="01BDE8DE" w14:textId="19582503" w:rsidR="00F86C3A" w:rsidRPr="0071186E" w:rsidRDefault="00F86C3A" w:rsidP="00F75163">
      <w:pPr>
        <w:pStyle w:val="SimpleL1"/>
        <w:rPr>
          <w:lang w:val="en-CA"/>
        </w:rPr>
      </w:pPr>
      <w:r w:rsidRPr="0071186E">
        <w:rPr>
          <w:lang w:val="en-CA" w:bidi="en-CA"/>
        </w:rPr>
        <w:t>On M</w:t>
      </w:r>
      <w:r w:rsidR="00555558">
        <w:rPr>
          <w:lang w:val="en-CA" w:bidi="en-CA"/>
        </w:rPr>
        <w:t>arch 31, 2022, the Parties file</w:t>
      </w:r>
      <w:r w:rsidR="00761992">
        <w:rPr>
          <w:lang w:val="en-CA" w:bidi="en-CA"/>
        </w:rPr>
        <w:t>d</w:t>
      </w:r>
      <w:r w:rsidRPr="0071186E">
        <w:rPr>
          <w:lang w:val="en-CA" w:bidi="en-CA"/>
        </w:rPr>
        <w:t xml:space="preserve"> joint </w:t>
      </w:r>
      <w:r w:rsidR="00555558">
        <w:rPr>
          <w:lang w:val="en-CA" w:bidi="en-CA"/>
        </w:rPr>
        <w:t>submissions</w:t>
      </w:r>
      <w:r w:rsidRPr="0071186E">
        <w:rPr>
          <w:lang w:val="en-CA" w:bidi="en-CA"/>
        </w:rPr>
        <w:t xml:space="preserve"> regarding the consideration </w:t>
      </w:r>
      <w:r w:rsidR="00761992">
        <w:rPr>
          <w:lang w:val="en-CA" w:bidi="en-CA"/>
        </w:rPr>
        <w:t>to be given to</w:t>
      </w:r>
      <w:r w:rsidR="00761992" w:rsidRPr="0071186E">
        <w:rPr>
          <w:lang w:val="en-CA" w:bidi="en-CA"/>
        </w:rPr>
        <w:t xml:space="preserve"> </w:t>
      </w:r>
      <w:r w:rsidRPr="0071186E">
        <w:rPr>
          <w:lang w:val="en-CA" w:bidi="en-CA"/>
        </w:rPr>
        <w:t>the victim impact statement (715.37(3)(4) and 722 Cr.</w:t>
      </w:r>
      <w:r w:rsidR="0048649B">
        <w:rPr>
          <w:lang w:val="en-CA" w:bidi="en-CA"/>
        </w:rPr>
        <w:t> </w:t>
      </w:r>
      <w:r w:rsidRPr="0071186E">
        <w:rPr>
          <w:lang w:val="en-CA" w:bidi="en-CA"/>
        </w:rPr>
        <w:t>C.)</w:t>
      </w:r>
      <w:r w:rsidR="000C24AD" w:rsidRPr="0071186E">
        <w:rPr>
          <w:rStyle w:val="Appelnotedebasdep"/>
          <w:lang w:val="en-CA" w:bidi="en-CA"/>
        </w:rPr>
        <w:footnoteReference w:id="14"/>
      </w:r>
      <w:r w:rsidR="00B57B0E">
        <w:rPr>
          <w:lang w:val="en-CA" w:bidi="en-CA"/>
        </w:rPr>
        <w:t xml:space="preserve"> and a</w:t>
      </w:r>
      <w:r w:rsidRPr="0071186E">
        <w:rPr>
          <w:lang w:val="en-CA" w:bidi="en-CA"/>
        </w:rPr>
        <w:t xml:space="preserve"> list of </w:t>
      </w:r>
      <w:r w:rsidR="00000DCD" w:rsidRPr="0071186E">
        <w:rPr>
          <w:lang w:val="en-CA" w:bidi="en-CA"/>
        </w:rPr>
        <w:t xml:space="preserve">amended </w:t>
      </w:r>
      <w:r w:rsidRPr="0071186E">
        <w:rPr>
          <w:lang w:val="en-CA" w:bidi="en-CA"/>
        </w:rPr>
        <w:t>admissions.</w:t>
      </w:r>
      <w:r w:rsidR="000C24AD" w:rsidRPr="0071186E">
        <w:rPr>
          <w:rStyle w:val="Appelnotedebasdep"/>
          <w:lang w:val="en-CA" w:bidi="en-CA"/>
        </w:rPr>
        <w:footnoteReference w:id="15"/>
      </w:r>
    </w:p>
    <w:p w14:paraId="6D9B2D17" w14:textId="48890807" w:rsidR="00F86C3A" w:rsidRPr="0071186E" w:rsidRDefault="00F86C3A" w:rsidP="00F75163">
      <w:pPr>
        <w:pStyle w:val="SimpleL1"/>
        <w:rPr>
          <w:lang w:val="en-CA"/>
        </w:rPr>
      </w:pPr>
      <w:r w:rsidRPr="0071186E">
        <w:rPr>
          <w:lang w:val="en-CA" w:bidi="en-CA"/>
        </w:rPr>
        <w:t>On Ap</w:t>
      </w:r>
      <w:r w:rsidR="00555558">
        <w:rPr>
          <w:lang w:val="en-CA" w:bidi="en-CA"/>
        </w:rPr>
        <w:t xml:space="preserve">ril 4, 2022, the Prosecutor </w:t>
      </w:r>
      <w:r w:rsidR="00761992">
        <w:rPr>
          <w:lang w:val="en-CA" w:bidi="en-CA"/>
        </w:rPr>
        <w:t>sent</w:t>
      </w:r>
      <w:r w:rsidR="00761992" w:rsidRPr="0071186E">
        <w:rPr>
          <w:lang w:val="en-CA" w:bidi="en-CA"/>
        </w:rPr>
        <w:t xml:space="preserve"> </w:t>
      </w:r>
      <w:r w:rsidRPr="0071186E">
        <w:rPr>
          <w:lang w:val="en-CA" w:bidi="en-CA"/>
        </w:rPr>
        <w:t xml:space="preserve">the Court an </w:t>
      </w:r>
      <w:r w:rsidRPr="0071186E">
        <w:rPr>
          <w:i/>
          <w:lang w:val="en-CA" w:bidi="en-CA"/>
        </w:rPr>
        <w:t xml:space="preserve">Application to Obtain Temporary and Partial Publication, Broadcasting and Transmission Prohibition Orders </w:t>
      </w:r>
      <w:r w:rsidR="00FB2C3F" w:rsidRPr="0071186E">
        <w:rPr>
          <w:i/>
          <w:lang w:val="en-CA" w:bidi="en-CA"/>
        </w:rPr>
        <w:t>for Part of</w:t>
      </w:r>
      <w:r w:rsidRPr="0071186E">
        <w:rPr>
          <w:i/>
          <w:lang w:val="en-CA" w:bidi="en-CA"/>
        </w:rPr>
        <w:t xml:space="preserve"> a Remediation Agreement, the Reasons for its Approval and the Supporting Exhibits</w:t>
      </w:r>
      <w:r w:rsidR="00000DCD" w:rsidRPr="0071186E">
        <w:rPr>
          <w:i/>
          <w:lang w:val="en-CA" w:bidi="en-CA"/>
        </w:rPr>
        <w:t xml:space="preserve"> </w:t>
      </w:r>
      <w:r w:rsidR="00000DCD" w:rsidRPr="0071186E">
        <w:rPr>
          <w:lang w:val="en-CA" w:bidi="en-CA"/>
        </w:rPr>
        <w:t>(715.42 Cr.</w:t>
      </w:r>
      <w:r w:rsidR="0076732A">
        <w:rPr>
          <w:lang w:val="en-CA" w:bidi="en-CA"/>
        </w:rPr>
        <w:t> </w:t>
      </w:r>
      <w:r w:rsidR="00000DCD" w:rsidRPr="0071186E">
        <w:rPr>
          <w:lang w:val="en-CA" w:bidi="en-CA"/>
        </w:rPr>
        <w:t>C</w:t>
      </w:r>
      <w:r w:rsidR="004067A8" w:rsidRPr="0071186E">
        <w:rPr>
          <w:lang w:val="en-CA" w:bidi="en-CA"/>
        </w:rPr>
        <w:t>.</w:t>
      </w:r>
      <w:r w:rsidR="00000DCD" w:rsidRPr="0071186E">
        <w:rPr>
          <w:lang w:val="en-CA" w:bidi="en-CA"/>
        </w:rPr>
        <w:t>)</w:t>
      </w:r>
      <w:r w:rsidR="00FB2C3F" w:rsidRPr="0071186E">
        <w:rPr>
          <w:lang w:val="en-CA" w:bidi="en-CA"/>
        </w:rPr>
        <w:t>,</w:t>
      </w:r>
      <w:r w:rsidR="00115010" w:rsidRPr="0071186E">
        <w:rPr>
          <w:rStyle w:val="Appelnotedebasdep"/>
          <w:lang w:val="en-CA" w:bidi="en-CA"/>
        </w:rPr>
        <w:footnoteReference w:id="16"/>
      </w:r>
      <w:r w:rsidRPr="0071186E">
        <w:rPr>
          <w:i/>
          <w:lang w:val="en-CA" w:bidi="en-CA"/>
        </w:rPr>
        <w:t xml:space="preserve"> </w:t>
      </w:r>
      <w:r w:rsidRPr="0071186E">
        <w:rPr>
          <w:lang w:val="en-CA" w:bidi="en-CA"/>
        </w:rPr>
        <w:t xml:space="preserve">to which the Organizations responded with their written </w:t>
      </w:r>
      <w:r w:rsidR="00054F57">
        <w:rPr>
          <w:lang w:val="en-CA" w:bidi="en-CA"/>
        </w:rPr>
        <w:t>submissions</w:t>
      </w:r>
      <w:r w:rsidRPr="0071186E">
        <w:rPr>
          <w:lang w:val="en-CA" w:bidi="en-CA"/>
        </w:rPr>
        <w:t xml:space="preserve"> on April 5, 2022.</w:t>
      </w:r>
      <w:r w:rsidR="000C24AD" w:rsidRPr="0071186E">
        <w:rPr>
          <w:rStyle w:val="Appelnotedebasdep"/>
          <w:lang w:val="en-CA" w:bidi="en-CA"/>
        </w:rPr>
        <w:footnoteReference w:id="17"/>
      </w:r>
    </w:p>
    <w:p w14:paraId="751DBE25" w14:textId="49C1665C" w:rsidR="00F86C3A" w:rsidRPr="0071186E" w:rsidRDefault="00054F57" w:rsidP="00F75163">
      <w:pPr>
        <w:pStyle w:val="SimpleL1"/>
        <w:rPr>
          <w:lang w:val="en-CA"/>
        </w:rPr>
      </w:pPr>
      <w:r>
        <w:rPr>
          <w:lang w:val="en-CA" w:bidi="en-CA"/>
        </w:rPr>
        <w:t>On April 6, 2022, the Court h</w:t>
      </w:r>
      <w:r w:rsidR="00B7797E">
        <w:rPr>
          <w:lang w:val="en-CA" w:bidi="en-CA"/>
        </w:rPr>
        <w:t>e</w:t>
      </w:r>
      <w:r w:rsidR="00F86C3A" w:rsidRPr="0071186E">
        <w:rPr>
          <w:lang w:val="en-CA" w:bidi="en-CA"/>
        </w:rPr>
        <w:t xml:space="preserve">ld a second hearing </w:t>
      </w:r>
      <w:r w:rsidR="00085EC5" w:rsidRPr="00085EC5">
        <w:rPr>
          <w:i/>
          <w:lang w:val="en-CA" w:bidi="en-CA"/>
        </w:rPr>
        <w:t>in camera</w:t>
      </w:r>
      <w:r w:rsidR="00085EC5" w:rsidRPr="0071186E">
        <w:rPr>
          <w:lang w:val="en-CA" w:bidi="en-CA"/>
        </w:rPr>
        <w:t xml:space="preserve"> </w:t>
      </w:r>
      <w:r w:rsidR="00B7797E">
        <w:rPr>
          <w:lang w:val="en-CA" w:bidi="en-CA"/>
        </w:rPr>
        <w:t>in order</w:t>
      </w:r>
      <w:r w:rsidR="00F86C3A" w:rsidRPr="0071186E">
        <w:rPr>
          <w:lang w:val="en-CA" w:bidi="en-CA"/>
        </w:rPr>
        <w:t xml:space="preserve"> to orally complete the </w:t>
      </w:r>
      <w:r w:rsidR="00B7797E">
        <w:rPr>
          <w:lang w:val="en-CA" w:bidi="en-CA"/>
        </w:rPr>
        <w:t xml:space="preserve">Parties’ </w:t>
      </w:r>
      <w:r w:rsidR="00F86C3A" w:rsidRPr="0071186E">
        <w:rPr>
          <w:lang w:val="en-CA" w:bidi="en-CA"/>
        </w:rPr>
        <w:t xml:space="preserve">written </w:t>
      </w:r>
      <w:r>
        <w:rPr>
          <w:lang w:val="en-CA" w:bidi="en-CA"/>
        </w:rPr>
        <w:t>submissions</w:t>
      </w:r>
      <w:r w:rsidR="00F86C3A" w:rsidRPr="0071186E">
        <w:rPr>
          <w:lang w:val="en-CA" w:bidi="en-CA"/>
        </w:rPr>
        <w:t xml:space="preserve">, establish the procedure </w:t>
      </w:r>
      <w:r w:rsidR="00B7797E">
        <w:rPr>
          <w:lang w:val="en-CA" w:bidi="en-CA"/>
        </w:rPr>
        <w:t>to consider</w:t>
      </w:r>
      <w:r w:rsidR="00F86C3A" w:rsidRPr="0071186E">
        <w:rPr>
          <w:lang w:val="en-CA" w:bidi="en-CA"/>
        </w:rPr>
        <w:t xml:space="preserve"> the victim impact statement, establish the procedure for</w:t>
      </w:r>
      <w:r>
        <w:rPr>
          <w:lang w:val="en-CA" w:bidi="en-CA"/>
        </w:rPr>
        <w:t xml:space="preserve"> the</w:t>
      </w:r>
      <w:r w:rsidR="00F86C3A" w:rsidRPr="0071186E">
        <w:rPr>
          <w:lang w:val="en-CA" w:bidi="en-CA"/>
        </w:rPr>
        <w:t xml:space="preserve"> </w:t>
      </w:r>
      <w:r>
        <w:rPr>
          <w:lang w:val="en-CA" w:bidi="en-CA"/>
        </w:rPr>
        <w:t>publication of</w:t>
      </w:r>
      <w:r w:rsidR="00F86C3A" w:rsidRPr="0071186E">
        <w:rPr>
          <w:lang w:val="en-CA" w:bidi="en-CA"/>
        </w:rPr>
        <w:t xml:space="preserve"> the file and the applicable publication prohibition order</w:t>
      </w:r>
      <w:r w:rsidR="00FB2C3F" w:rsidRPr="0071186E">
        <w:rPr>
          <w:lang w:val="en-CA" w:bidi="en-CA"/>
        </w:rPr>
        <w:t>s</w:t>
      </w:r>
      <w:r w:rsidR="00F86C3A" w:rsidRPr="0071186E">
        <w:rPr>
          <w:lang w:val="en-CA" w:bidi="en-CA"/>
        </w:rPr>
        <w:t xml:space="preserve">, order the </w:t>
      </w:r>
      <w:r w:rsidR="00B7797E">
        <w:rPr>
          <w:lang w:val="en-CA" w:bidi="en-CA"/>
        </w:rPr>
        <w:t>re-recording</w:t>
      </w:r>
      <w:r w:rsidR="00B7797E" w:rsidRPr="0071186E">
        <w:rPr>
          <w:lang w:val="en-CA" w:bidi="en-CA"/>
        </w:rPr>
        <w:t xml:space="preserve"> </w:t>
      </w:r>
      <w:r w:rsidR="00F86C3A" w:rsidRPr="0071186E">
        <w:rPr>
          <w:lang w:val="en-CA" w:bidi="en-CA"/>
        </w:rPr>
        <w:t>and stenographic transcripts, and finally schedule a public hearing for the approval.</w:t>
      </w:r>
      <w:r w:rsidR="000C24AD" w:rsidRPr="0071186E">
        <w:rPr>
          <w:rStyle w:val="Appelnotedebasdep"/>
          <w:lang w:val="en-CA" w:bidi="en-CA"/>
        </w:rPr>
        <w:footnoteReference w:id="18"/>
      </w:r>
    </w:p>
    <w:p w14:paraId="11148CDA" w14:textId="5351AFAF" w:rsidR="00F86C3A" w:rsidRPr="0071186E" w:rsidRDefault="00F86C3A" w:rsidP="00F75163">
      <w:pPr>
        <w:pStyle w:val="SimpleL1"/>
        <w:rPr>
          <w:lang w:val="en-CA"/>
        </w:rPr>
      </w:pPr>
      <w:r w:rsidRPr="0071186E">
        <w:rPr>
          <w:lang w:val="en-CA" w:bidi="en-CA"/>
        </w:rPr>
        <w:t>On April 20, 2022, at the Court’s invi</w:t>
      </w:r>
      <w:r w:rsidR="007E09AD">
        <w:rPr>
          <w:lang w:val="en-CA" w:bidi="en-CA"/>
        </w:rPr>
        <w:t xml:space="preserve">tation, the Prosecutor </w:t>
      </w:r>
      <w:r w:rsidR="000D5237">
        <w:rPr>
          <w:lang w:val="en-CA" w:bidi="en-CA"/>
        </w:rPr>
        <w:t>sent</w:t>
      </w:r>
      <w:r w:rsidR="000D5237" w:rsidRPr="0071186E">
        <w:rPr>
          <w:lang w:val="en-CA" w:bidi="en-CA"/>
        </w:rPr>
        <w:t xml:space="preserve"> </w:t>
      </w:r>
      <w:r w:rsidRPr="0071186E">
        <w:rPr>
          <w:lang w:val="en-CA" w:bidi="en-CA"/>
        </w:rPr>
        <w:t xml:space="preserve">a Case Management Protocol, the victim impact statement and the application for a sealing order </w:t>
      </w:r>
      <w:r w:rsidR="000D5237">
        <w:rPr>
          <w:lang w:val="en-CA" w:bidi="en-CA"/>
        </w:rPr>
        <w:t>and</w:t>
      </w:r>
      <w:r w:rsidRPr="0071186E">
        <w:rPr>
          <w:lang w:val="en-CA" w:bidi="en-CA"/>
        </w:rPr>
        <w:t xml:space="preserve"> for the temporary and partial order prohibiting the publication, broadcasting and </w:t>
      </w:r>
      <w:r w:rsidRPr="0071186E">
        <w:rPr>
          <w:lang w:val="en-CA" w:bidi="en-CA"/>
        </w:rPr>
        <w:lastRenderedPageBreak/>
        <w:t>transmission of certain information pertaining to a remediation agreement (715.42</w:t>
      </w:r>
      <w:r w:rsidR="000D5237">
        <w:rPr>
          <w:lang w:val="en-CA" w:bidi="en-CA"/>
        </w:rPr>
        <w:t> </w:t>
      </w:r>
      <w:r w:rsidRPr="0071186E">
        <w:rPr>
          <w:lang w:val="en-CA" w:bidi="en-CA"/>
        </w:rPr>
        <w:t>Cr.</w:t>
      </w:r>
      <w:r w:rsidR="000D5237">
        <w:rPr>
          <w:lang w:val="en-CA" w:bidi="en-CA"/>
        </w:rPr>
        <w:t> </w:t>
      </w:r>
      <w:r w:rsidRPr="0071186E">
        <w:rPr>
          <w:lang w:val="en-CA" w:bidi="en-CA"/>
        </w:rPr>
        <w:t>C.).</w:t>
      </w:r>
      <w:r w:rsidR="000C24AD" w:rsidRPr="0071186E">
        <w:rPr>
          <w:rStyle w:val="Appelnotedebasdep"/>
          <w:lang w:val="en-CA" w:bidi="en-CA"/>
        </w:rPr>
        <w:footnoteReference w:id="19"/>
      </w:r>
    </w:p>
    <w:p w14:paraId="5C6C40F7" w14:textId="3B011720" w:rsidR="00F86C3A" w:rsidRPr="0071186E" w:rsidRDefault="00F86C3A" w:rsidP="00F75163">
      <w:pPr>
        <w:pStyle w:val="SimpleL1"/>
        <w:rPr>
          <w:lang w:val="en-CA"/>
        </w:rPr>
      </w:pPr>
      <w:r w:rsidRPr="0071186E">
        <w:rPr>
          <w:lang w:val="en-CA" w:bidi="en-CA"/>
        </w:rPr>
        <w:t>O</w:t>
      </w:r>
      <w:r w:rsidR="007E09AD">
        <w:rPr>
          <w:lang w:val="en-CA" w:bidi="en-CA"/>
        </w:rPr>
        <w:t xml:space="preserve">n April 27, 2022, the Court </w:t>
      </w:r>
      <w:r w:rsidR="000D5237">
        <w:rPr>
          <w:lang w:val="en-CA" w:bidi="en-CA"/>
        </w:rPr>
        <w:t xml:space="preserve">held </w:t>
      </w:r>
      <w:r w:rsidRPr="0071186E">
        <w:rPr>
          <w:lang w:val="en-CA" w:bidi="en-CA"/>
        </w:rPr>
        <w:t>a third and final</w:t>
      </w:r>
      <w:r w:rsidR="007E09AD">
        <w:rPr>
          <w:lang w:val="en-CA" w:bidi="en-CA"/>
        </w:rPr>
        <w:t xml:space="preserve"> hearing </w:t>
      </w:r>
      <w:r w:rsidR="00085EC5" w:rsidRPr="00085EC5">
        <w:rPr>
          <w:i/>
          <w:lang w:val="en-CA" w:bidi="en-CA"/>
        </w:rPr>
        <w:t>in camera</w:t>
      </w:r>
      <w:r w:rsidR="00085EC5">
        <w:rPr>
          <w:lang w:val="en-CA" w:bidi="en-CA"/>
        </w:rPr>
        <w:t xml:space="preserve"> </w:t>
      </w:r>
      <w:r w:rsidR="007E09AD">
        <w:rPr>
          <w:lang w:val="en-CA" w:bidi="en-CA"/>
        </w:rPr>
        <w:t>and schedule</w:t>
      </w:r>
      <w:r w:rsidR="000D5237">
        <w:rPr>
          <w:lang w:val="en-CA" w:bidi="en-CA"/>
        </w:rPr>
        <w:t>d</w:t>
      </w:r>
      <w:r w:rsidRPr="0071186E">
        <w:rPr>
          <w:lang w:val="en-CA" w:bidi="en-CA"/>
        </w:rPr>
        <w:t xml:space="preserve"> the public hearing for approval of a remediation agreement </w:t>
      </w:r>
      <w:r w:rsidR="000D5237">
        <w:rPr>
          <w:lang w:val="en-CA" w:bidi="en-CA"/>
        </w:rPr>
        <w:t>for</w:t>
      </w:r>
      <w:r w:rsidR="000D5237" w:rsidRPr="0071186E">
        <w:rPr>
          <w:lang w:val="en-CA" w:bidi="en-CA"/>
        </w:rPr>
        <w:t xml:space="preserve"> </w:t>
      </w:r>
      <w:r w:rsidRPr="0071186E">
        <w:rPr>
          <w:lang w:val="en-CA" w:bidi="en-CA"/>
        </w:rPr>
        <w:t>May</w:t>
      </w:r>
      <w:r w:rsidR="000C24AD" w:rsidRPr="0071186E">
        <w:rPr>
          <w:lang w:val="en-CA" w:bidi="en-CA"/>
        </w:rPr>
        <w:t> </w:t>
      </w:r>
      <w:r w:rsidRPr="0071186E">
        <w:rPr>
          <w:lang w:val="en-CA" w:bidi="en-CA"/>
        </w:rPr>
        <w:t>10,</w:t>
      </w:r>
      <w:r w:rsidR="000D5237">
        <w:rPr>
          <w:lang w:val="en-CA" w:bidi="en-CA"/>
        </w:rPr>
        <w:t> </w:t>
      </w:r>
      <w:r w:rsidRPr="0071186E">
        <w:rPr>
          <w:lang w:val="en-CA" w:bidi="en-CA"/>
        </w:rPr>
        <w:t>11</w:t>
      </w:r>
      <w:r w:rsidR="000D5237">
        <w:rPr>
          <w:lang w:val="en-CA" w:bidi="en-CA"/>
        </w:rPr>
        <w:t> </w:t>
      </w:r>
      <w:r w:rsidRPr="0071186E">
        <w:rPr>
          <w:lang w:val="en-CA" w:bidi="en-CA"/>
        </w:rPr>
        <w:t>and 12, 2022.</w:t>
      </w:r>
      <w:r w:rsidR="000C24AD" w:rsidRPr="0071186E">
        <w:rPr>
          <w:rStyle w:val="Appelnotedebasdep"/>
          <w:lang w:val="en-CA" w:bidi="en-CA"/>
        </w:rPr>
        <w:footnoteReference w:id="20"/>
      </w:r>
    </w:p>
    <w:p w14:paraId="40051F4B" w14:textId="364E17B2" w:rsidR="00F86C3A" w:rsidRPr="0071186E" w:rsidRDefault="00F86C3A" w:rsidP="00F75163">
      <w:pPr>
        <w:pStyle w:val="SimpleL1"/>
        <w:rPr>
          <w:lang w:val="en-CA"/>
        </w:rPr>
      </w:pPr>
      <w:r w:rsidRPr="0071186E">
        <w:rPr>
          <w:lang w:val="en-CA" w:bidi="en-CA"/>
        </w:rPr>
        <w:t xml:space="preserve">On </w:t>
      </w:r>
      <w:r w:rsidR="007E09AD">
        <w:rPr>
          <w:lang w:val="en-CA" w:bidi="en-CA"/>
        </w:rPr>
        <w:t>May 3, 2022, the Prosecutor sen</w:t>
      </w:r>
      <w:r w:rsidR="00BB41E5">
        <w:rPr>
          <w:lang w:val="en-CA" w:bidi="en-CA"/>
        </w:rPr>
        <w:t>t</w:t>
      </w:r>
      <w:r w:rsidRPr="0071186E">
        <w:rPr>
          <w:lang w:val="en-CA" w:bidi="en-CA"/>
        </w:rPr>
        <w:t xml:space="preserve"> the Court the amended version of the application referred to in paragraph 49,</w:t>
      </w:r>
      <w:r w:rsidR="000C24AD" w:rsidRPr="0071186E">
        <w:rPr>
          <w:rStyle w:val="Appelnotedebasdep"/>
          <w:lang w:val="en-CA" w:bidi="en-CA"/>
        </w:rPr>
        <w:footnoteReference w:id="21"/>
      </w:r>
      <w:r w:rsidRPr="0071186E">
        <w:rPr>
          <w:lang w:val="en-CA" w:bidi="en-CA"/>
        </w:rPr>
        <w:t xml:space="preserve"> to be presented at the public hearing on May</w:t>
      </w:r>
      <w:r w:rsidR="00115010" w:rsidRPr="0071186E">
        <w:rPr>
          <w:lang w:val="en-CA" w:bidi="en-CA"/>
        </w:rPr>
        <w:t> </w:t>
      </w:r>
      <w:r w:rsidRPr="0071186E">
        <w:rPr>
          <w:lang w:val="en-CA" w:bidi="en-CA"/>
        </w:rPr>
        <w:t>10,</w:t>
      </w:r>
      <w:r w:rsidR="00BB41E5">
        <w:rPr>
          <w:lang w:val="en-CA" w:bidi="en-CA"/>
        </w:rPr>
        <w:t> </w:t>
      </w:r>
      <w:r w:rsidRPr="0071186E">
        <w:rPr>
          <w:lang w:val="en-CA" w:bidi="en-CA"/>
        </w:rPr>
        <w:t xml:space="preserve">11 and 12, 2022. </w:t>
      </w:r>
      <w:r w:rsidR="00BB41E5">
        <w:rPr>
          <w:lang w:val="en-CA" w:bidi="en-CA"/>
        </w:rPr>
        <w:t>T</w:t>
      </w:r>
      <w:r w:rsidRPr="0071186E">
        <w:rPr>
          <w:lang w:val="en-CA" w:bidi="en-CA"/>
        </w:rPr>
        <w:t>he Prosecutor appended Schedule A, a Case Management Protocol</w:t>
      </w:r>
      <w:r w:rsidRPr="0071186E">
        <w:rPr>
          <w:i/>
          <w:lang w:val="en-CA" w:bidi="en-CA"/>
        </w:rPr>
        <w:t xml:space="preserve"> </w:t>
      </w:r>
      <w:r w:rsidRPr="0071186E">
        <w:rPr>
          <w:lang w:val="en-CA" w:bidi="en-CA"/>
        </w:rPr>
        <w:t>governing the hearing for the approval of the remediation agreement</w:t>
      </w:r>
      <w:r w:rsidR="00BB41E5">
        <w:rPr>
          <w:lang w:val="en-CA" w:bidi="en-CA"/>
        </w:rPr>
        <w:t>,</w:t>
      </w:r>
      <w:r w:rsidR="00BB41E5" w:rsidRPr="00BB41E5">
        <w:rPr>
          <w:lang w:val="en-CA" w:bidi="en-CA"/>
        </w:rPr>
        <w:t xml:space="preserve"> </w:t>
      </w:r>
      <w:r w:rsidR="00BB41E5">
        <w:rPr>
          <w:lang w:val="en-CA" w:bidi="en-CA"/>
        </w:rPr>
        <w:t>t</w:t>
      </w:r>
      <w:r w:rsidR="00BB41E5" w:rsidRPr="0071186E">
        <w:rPr>
          <w:lang w:val="en-CA" w:bidi="en-CA"/>
        </w:rPr>
        <w:t>o this application</w:t>
      </w:r>
      <w:r w:rsidRPr="0071186E">
        <w:rPr>
          <w:lang w:val="en-CA" w:bidi="en-CA"/>
        </w:rPr>
        <w:t>.</w:t>
      </w:r>
    </w:p>
    <w:p w14:paraId="1F8E58BD" w14:textId="7D422366" w:rsidR="00F86C3A" w:rsidRPr="0071186E" w:rsidRDefault="00F86C3A" w:rsidP="00F75163">
      <w:pPr>
        <w:pStyle w:val="SimpleL1"/>
        <w:rPr>
          <w:lang w:val="en-CA"/>
        </w:rPr>
      </w:pPr>
      <w:r w:rsidRPr="0071186E">
        <w:rPr>
          <w:lang w:val="en-CA" w:bidi="en-CA"/>
        </w:rPr>
        <w:t xml:space="preserve">Before the </w:t>
      </w:r>
      <w:r w:rsidR="00FB2C3F" w:rsidRPr="0071186E">
        <w:rPr>
          <w:lang w:val="en-CA" w:bidi="en-CA"/>
        </w:rPr>
        <w:t>public</w:t>
      </w:r>
      <w:r w:rsidRPr="0071186E">
        <w:rPr>
          <w:lang w:val="en-CA" w:bidi="en-CA"/>
        </w:rPr>
        <w:t xml:space="preserve"> hearing</w:t>
      </w:r>
      <w:r w:rsidR="005975C5">
        <w:rPr>
          <w:lang w:val="en-CA" w:bidi="en-CA"/>
        </w:rPr>
        <w:t xml:space="preserve"> was held</w:t>
      </w:r>
      <w:r w:rsidRPr="0071186E">
        <w:rPr>
          <w:lang w:val="en-CA" w:bidi="en-CA"/>
        </w:rPr>
        <w:t>, the Court, in accordance with the ancillary conclusions sought by the amended application</w:t>
      </w:r>
      <w:r w:rsidR="007E09AD">
        <w:rPr>
          <w:lang w:val="en-CA" w:bidi="en-CA"/>
        </w:rPr>
        <w:t xml:space="preserve">, issued </w:t>
      </w:r>
      <w:r w:rsidRPr="0071186E">
        <w:rPr>
          <w:lang w:val="en-CA" w:bidi="en-CA"/>
        </w:rPr>
        <w:t xml:space="preserve">temporary anonymity, confidentiality, sealing and </w:t>
      </w:r>
      <w:r w:rsidRPr="00085EC5">
        <w:rPr>
          <w:i/>
          <w:lang w:val="en-CA" w:bidi="en-CA"/>
        </w:rPr>
        <w:t>in camera</w:t>
      </w:r>
      <w:r w:rsidRPr="0071186E">
        <w:rPr>
          <w:lang w:val="en-CA" w:bidi="en-CA"/>
        </w:rPr>
        <w:t xml:space="preserve"> orders, reserving th</w:t>
      </w:r>
      <w:r w:rsidR="007E09AD">
        <w:rPr>
          <w:lang w:val="en-CA" w:bidi="en-CA"/>
        </w:rPr>
        <w:t>e right of the Parties and the impleaded p</w:t>
      </w:r>
      <w:r w:rsidRPr="0071186E">
        <w:rPr>
          <w:lang w:val="en-CA" w:bidi="en-CA"/>
        </w:rPr>
        <w:t xml:space="preserve">arties to make additional representations regarding the publication of the proceedings at the </w:t>
      </w:r>
      <w:r w:rsidR="00FB2C3F" w:rsidRPr="0071186E">
        <w:rPr>
          <w:lang w:val="en-CA" w:bidi="en-CA"/>
        </w:rPr>
        <w:t>public</w:t>
      </w:r>
      <w:r w:rsidRPr="0071186E">
        <w:rPr>
          <w:lang w:val="en-CA" w:bidi="en-CA"/>
        </w:rPr>
        <w:t xml:space="preserve"> hearing.</w:t>
      </w:r>
      <w:r w:rsidR="000C24AD" w:rsidRPr="0071186E">
        <w:rPr>
          <w:rStyle w:val="Appelnotedebasdep"/>
          <w:lang w:val="en-CA" w:bidi="en-CA"/>
        </w:rPr>
        <w:footnoteReference w:id="22"/>
      </w:r>
    </w:p>
    <w:p w14:paraId="32EF11FE" w14:textId="77777777" w:rsidR="00F86C3A" w:rsidRPr="0071186E" w:rsidRDefault="00F86C3A" w:rsidP="00F75163">
      <w:pPr>
        <w:pStyle w:val="SimpleL1"/>
        <w:rPr>
          <w:lang w:val="en-CA"/>
        </w:rPr>
      </w:pPr>
      <w:r w:rsidRPr="0071186E">
        <w:rPr>
          <w:lang w:val="en-CA" w:bidi="en-CA"/>
        </w:rPr>
        <w:t xml:space="preserve">The Parties, at the Court’s invitation, agreed that the </w:t>
      </w:r>
      <w:r w:rsidRPr="0071186E">
        <w:rPr>
          <w:i/>
          <w:lang w:val="en-CA" w:bidi="en-CA"/>
        </w:rPr>
        <w:t xml:space="preserve">Amended Application for a Sealing Order and for Temporary and Partial Orders Prohibiting the Publication, Broadcasting and Transmission of Information on a Remediation Agreement </w:t>
      </w:r>
      <w:r w:rsidRPr="0071186E">
        <w:rPr>
          <w:lang w:val="en-CA" w:bidi="en-CA"/>
        </w:rPr>
        <w:t xml:space="preserve">be served </w:t>
      </w:r>
      <w:r w:rsidR="00FB2C3F" w:rsidRPr="0071186E">
        <w:rPr>
          <w:lang w:val="en-CA" w:bidi="en-CA"/>
        </w:rPr>
        <w:t xml:space="preserve">on </w:t>
      </w:r>
      <w:r w:rsidR="00FD2AC8">
        <w:rPr>
          <w:lang w:val="en-CA" w:bidi="en-CA"/>
        </w:rPr>
        <w:t>the impleaded p</w:t>
      </w:r>
      <w:r w:rsidRPr="0071186E">
        <w:rPr>
          <w:lang w:val="en-CA" w:bidi="en-CA"/>
        </w:rPr>
        <w:t xml:space="preserve">arties at least one clear </w:t>
      </w:r>
      <w:r w:rsidR="00FB2C3F" w:rsidRPr="0071186E">
        <w:rPr>
          <w:lang w:val="en-CA" w:bidi="en-CA"/>
        </w:rPr>
        <w:t>juridical</w:t>
      </w:r>
      <w:r w:rsidRPr="0071186E">
        <w:rPr>
          <w:lang w:val="en-CA" w:bidi="en-CA"/>
        </w:rPr>
        <w:t xml:space="preserve"> day before the hearing.</w:t>
      </w:r>
      <w:r w:rsidR="000C24AD" w:rsidRPr="0071186E">
        <w:rPr>
          <w:rStyle w:val="Appelnotedebasdep"/>
          <w:lang w:val="en-CA" w:bidi="en-CA"/>
        </w:rPr>
        <w:footnoteReference w:id="23"/>
      </w:r>
    </w:p>
    <w:p w14:paraId="1892141E" w14:textId="48495371" w:rsidR="00F86C3A" w:rsidRPr="0071186E" w:rsidRDefault="00F86C3A" w:rsidP="00F75163">
      <w:pPr>
        <w:pStyle w:val="SimpleL1"/>
        <w:rPr>
          <w:lang w:val="en-CA"/>
        </w:rPr>
      </w:pPr>
      <w:r w:rsidRPr="0071186E">
        <w:rPr>
          <w:lang w:val="en-CA" w:bidi="en-CA"/>
        </w:rPr>
        <w:t xml:space="preserve">The Court naturally held that, </w:t>
      </w:r>
      <w:r w:rsidR="00FD2AC8">
        <w:rPr>
          <w:lang w:val="en-CA" w:bidi="en-CA"/>
        </w:rPr>
        <w:t xml:space="preserve">at </w:t>
      </w:r>
      <w:r w:rsidRPr="0071186E">
        <w:rPr>
          <w:lang w:val="en-CA" w:bidi="en-CA"/>
        </w:rPr>
        <w:t xml:space="preserve">the public hearing for the approval of a remediation agreement provided for in </w:t>
      </w:r>
      <w:r w:rsidR="004067A8" w:rsidRPr="0071186E">
        <w:rPr>
          <w:lang w:val="en-CA" w:bidi="en-CA"/>
        </w:rPr>
        <w:t>s</w:t>
      </w:r>
      <w:r w:rsidR="00F57710">
        <w:rPr>
          <w:lang w:val="en-CA" w:bidi="en-CA"/>
        </w:rPr>
        <w:t>.</w:t>
      </w:r>
      <w:r w:rsidR="004067A8" w:rsidRPr="0071186E">
        <w:rPr>
          <w:lang w:val="en-CA" w:bidi="en-CA"/>
        </w:rPr>
        <w:t> </w:t>
      </w:r>
      <w:r w:rsidRPr="0071186E">
        <w:rPr>
          <w:lang w:val="en-CA" w:bidi="en-CA"/>
        </w:rPr>
        <w:t>715.37 Cr.</w:t>
      </w:r>
      <w:r w:rsidR="003A2D6B">
        <w:rPr>
          <w:lang w:val="en-CA" w:bidi="en-CA"/>
        </w:rPr>
        <w:t> </w:t>
      </w:r>
      <w:r w:rsidRPr="0071186E">
        <w:rPr>
          <w:lang w:val="en-CA" w:bidi="en-CA"/>
        </w:rPr>
        <w:t xml:space="preserve">C., the </w:t>
      </w:r>
      <w:r w:rsidR="00FB2C3F" w:rsidRPr="00085EC5">
        <w:rPr>
          <w:i/>
          <w:lang w:val="en-CA" w:bidi="en-CA"/>
        </w:rPr>
        <w:t>in camera</w:t>
      </w:r>
      <w:r w:rsidR="00FB2C3F" w:rsidRPr="0071186E">
        <w:rPr>
          <w:lang w:val="en-CA" w:bidi="en-CA"/>
        </w:rPr>
        <w:t xml:space="preserve"> order</w:t>
      </w:r>
      <w:r w:rsidRPr="0071186E">
        <w:rPr>
          <w:lang w:val="en-CA" w:bidi="en-CA"/>
        </w:rPr>
        <w:t xml:space="preserve"> would be lifted and the entire record to date would become public, such that publication could then only be limited in accordance with s</w:t>
      </w:r>
      <w:r w:rsidR="00F57710">
        <w:rPr>
          <w:lang w:val="en-CA" w:bidi="en-CA"/>
        </w:rPr>
        <w:t>.</w:t>
      </w:r>
      <w:r w:rsidRPr="0071186E">
        <w:rPr>
          <w:lang w:val="en-CA" w:bidi="en-CA"/>
        </w:rPr>
        <w:t xml:space="preserve"> 715.42 Cr.</w:t>
      </w:r>
      <w:r w:rsidR="003A2D6B">
        <w:rPr>
          <w:lang w:val="en-CA" w:bidi="en-CA"/>
        </w:rPr>
        <w:t> </w:t>
      </w:r>
      <w:r w:rsidRPr="0071186E">
        <w:rPr>
          <w:lang w:val="en-CA" w:bidi="en-CA"/>
        </w:rPr>
        <w:t>C., which provides that the Court may issue a publication prohibition order “if it is satisfied that the non-publication is necessary for the proper administration of justice”.</w:t>
      </w:r>
    </w:p>
    <w:p w14:paraId="371A8A62" w14:textId="14811A07" w:rsidR="00497AE7" w:rsidRPr="0071186E" w:rsidRDefault="00F86C3A" w:rsidP="00E071EE">
      <w:pPr>
        <w:pStyle w:val="SimpleL1"/>
        <w:widowControl w:val="0"/>
        <w:tabs>
          <w:tab w:val="left" w:pos="1375"/>
        </w:tabs>
        <w:autoSpaceDE w:val="0"/>
        <w:autoSpaceDN w:val="0"/>
        <w:spacing w:before="2"/>
        <w:rPr>
          <w:szCs w:val="24"/>
          <w:lang w:val="en-CA"/>
        </w:rPr>
      </w:pPr>
      <w:r w:rsidRPr="0071186E">
        <w:rPr>
          <w:lang w:val="en-CA" w:bidi="en-CA"/>
        </w:rPr>
        <w:t xml:space="preserve">In this case, from the start of the public hearing, “the prevention of any </w:t>
      </w:r>
      <w:r w:rsidR="00722050">
        <w:rPr>
          <w:lang w:val="en-CA" w:bidi="en-CA"/>
        </w:rPr>
        <w:t>adverse</w:t>
      </w:r>
      <w:r w:rsidR="004174C2" w:rsidRPr="0071186E">
        <w:rPr>
          <w:lang w:val="en-CA" w:bidi="en-CA"/>
        </w:rPr>
        <w:t xml:space="preserve"> </w:t>
      </w:r>
      <w:r w:rsidRPr="0071186E">
        <w:rPr>
          <w:lang w:val="en-CA" w:bidi="en-CA"/>
        </w:rPr>
        <w:t xml:space="preserve">effect </w:t>
      </w:r>
      <w:r w:rsidR="00722050">
        <w:rPr>
          <w:lang w:val="en-CA" w:bidi="en-CA"/>
        </w:rPr>
        <w:t>to</w:t>
      </w:r>
      <w:r w:rsidR="004174C2" w:rsidRPr="0071186E">
        <w:rPr>
          <w:lang w:val="en-CA" w:bidi="en-CA"/>
        </w:rPr>
        <w:t xml:space="preserve"> </w:t>
      </w:r>
      <w:r w:rsidRPr="0071186E">
        <w:rPr>
          <w:lang w:val="en-CA" w:bidi="en-CA"/>
        </w:rPr>
        <w:t xml:space="preserve">any ongoing </w:t>
      </w:r>
      <w:r w:rsidR="00722050">
        <w:rPr>
          <w:lang w:val="en-CA" w:bidi="en-CA"/>
        </w:rPr>
        <w:t xml:space="preserve">investigation or </w:t>
      </w:r>
      <w:r w:rsidRPr="0071186E">
        <w:rPr>
          <w:lang w:val="en-CA" w:bidi="en-CA"/>
        </w:rPr>
        <w:t>prosecution”, according to t</w:t>
      </w:r>
      <w:r w:rsidR="00497AE7" w:rsidRPr="0071186E">
        <w:rPr>
          <w:lang w:val="en-CA" w:bidi="en-CA"/>
        </w:rPr>
        <w:t xml:space="preserve">he factor prescribed in </w:t>
      </w:r>
      <w:r w:rsidR="00F57710">
        <w:rPr>
          <w:lang w:val="en-CA" w:bidi="en-CA"/>
        </w:rPr>
        <w:t>s.</w:t>
      </w:r>
      <w:r w:rsidR="00F57710" w:rsidRPr="0071186E">
        <w:rPr>
          <w:lang w:val="en-CA" w:bidi="en-CA"/>
        </w:rPr>
        <w:t> </w:t>
      </w:r>
      <w:r w:rsidRPr="0071186E">
        <w:rPr>
          <w:lang w:val="en-CA" w:bidi="en-CA"/>
        </w:rPr>
        <w:t>715.42(3)(c) Cr.</w:t>
      </w:r>
      <w:r w:rsidR="003A2D6B">
        <w:rPr>
          <w:lang w:val="en-CA" w:bidi="en-CA"/>
        </w:rPr>
        <w:t> </w:t>
      </w:r>
      <w:r w:rsidRPr="0071186E">
        <w:rPr>
          <w:lang w:val="en-CA" w:bidi="en-CA"/>
        </w:rPr>
        <w:t>C., required two separate</w:t>
      </w:r>
      <w:r w:rsidR="003A2D6B">
        <w:rPr>
          <w:lang w:val="en-CA" w:bidi="en-CA"/>
        </w:rPr>
        <w:t>,</w:t>
      </w:r>
      <w:r w:rsidRPr="0071186E">
        <w:rPr>
          <w:lang w:val="en-CA" w:bidi="en-CA"/>
        </w:rPr>
        <w:t xml:space="preserve"> temporary</w:t>
      </w:r>
      <w:r w:rsidR="003A2D6B">
        <w:rPr>
          <w:lang w:val="en-CA" w:bidi="en-CA"/>
        </w:rPr>
        <w:t>,</w:t>
      </w:r>
      <w:r w:rsidRPr="0071186E">
        <w:rPr>
          <w:lang w:val="en-CA" w:bidi="en-CA"/>
        </w:rPr>
        <w:t xml:space="preserve"> and partial publication prohibition orders:</w:t>
      </w:r>
      <w:r w:rsidR="004067A8" w:rsidRPr="0071186E">
        <w:rPr>
          <w:szCs w:val="24"/>
          <w:lang w:val="en-CA" w:bidi="en-CA"/>
        </w:rPr>
        <w:t xml:space="preserve"> (1) with respect to a possible jury trial for the</w:t>
      </w:r>
      <w:r w:rsidR="00B5359C">
        <w:rPr>
          <w:szCs w:val="24"/>
          <w:lang w:val="en-CA" w:bidi="en-CA"/>
        </w:rPr>
        <w:t xml:space="preserve"> Organizations </w:t>
      </w:r>
      <w:r w:rsidR="003A2D6B">
        <w:rPr>
          <w:szCs w:val="24"/>
          <w:lang w:val="en-CA" w:bidi="en-CA"/>
        </w:rPr>
        <w:t xml:space="preserve">should </w:t>
      </w:r>
      <w:r w:rsidR="00B5359C">
        <w:rPr>
          <w:szCs w:val="24"/>
          <w:lang w:val="en-CA" w:bidi="en-CA"/>
        </w:rPr>
        <w:t xml:space="preserve">the Court </w:t>
      </w:r>
      <w:r w:rsidR="004067A8" w:rsidRPr="0071186E">
        <w:rPr>
          <w:szCs w:val="24"/>
          <w:lang w:val="en-CA" w:bidi="en-CA"/>
        </w:rPr>
        <w:t>refuse to approve the Draft Agreement; and (2) with respect to a jury trial for the co</w:t>
      </w:r>
      <w:r w:rsidR="004067A8" w:rsidRPr="0071186E">
        <w:rPr>
          <w:szCs w:val="24"/>
          <w:lang w:val="en-CA" w:bidi="en-CA"/>
        </w:rPr>
        <w:noBreakHyphen/>
        <w:t xml:space="preserve">accused Normand Morin, and potentially also for Kamal Francis, </w:t>
      </w:r>
      <w:r w:rsidR="003A2D6B">
        <w:rPr>
          <w:szCs w:val="24"/>
          <w:lang w:val="en-CA" w:bidi="en-CA"/>
        </w:rPr>
        <w:t>should he</w:t>
      </w:r>
      <w:r w:rsidR="003A2D6B" w:rsidRPr="0071186E">
        <w:rPr>
          <w:szCs w:val="24"/>
          <w:lang w:val="en-CA" w:bidi="en-CA"/>
        </w:rPr>
        <w:t xml:space="preserve"> </w:t>
      </w:r>
      <w:r w:rsidR="00B5359C">
        <w:rPr>
          <w:szCs w:val="24"/>
          <w:lang w:val="en-CA" w:bidi="en-CA"/>
        </w:rPr>
        <w:t xml:space="preserve">re-elect </w:t>
      </w:r>
      <w:r w:rsidR="003A2D6B">
        <w:rPr>
          <w:szCs w:val="24"/>
          <w:lang w:val="en-CA" w:bidi="en-CA"/>
        </w:rPr>
        <w:t>and choose</w:t>
      </w:r>
      <w:r w:rsidR="00B5359C">
        <w:rPr>
          <w:szCs w:val="24"/>
          <w:lang w:val="en-CA" w:bidi="en-CA"/>
        </w:rPr>
        <w:t xml:space="preserve"> </w:t>
      </w:r>
      <w:r w:rsidR="004067A8" w:rsidRPr="0071186E">
        <w:rPr>
          <w:szCs w:val="24"/>
          <w:lang w:val="en-CA" w:bidi="en-CA"/>
        </w:rPr>
        <w:t xml:space="preserve">a jury trial within the timeframe prescribed by law in his related </w:t>
      </w:r>
      <w:r w:rsidR="00E234A8">
        <w:rPr>
          <w:szCs w:val="24"/>
          <w:lang w:val="en-CA" w:bidi="en-CA"/>
        </w:rPr>
        <w:t> </w:t>
      </w:r>
      <w:r w:rsidR="004067A8" w:rsidRPr="0071186E">
        <w:rPr>
          <w:szCs w:val="24"/>
          <w:lang w:val="en-CA" w:bidi="en-CA"/>
        </w:rPr>
        <w:t>case</w:t>
      </w:r>
      <w:r w:rsidR="00E234A8">
        <w:rPr>
          <w:szCs w:val="24"/>
          <w:lang w:val="en-CA" w:bidi="en-CA"/>
        </w:rPr>
        <w:t xml:space="preserve"> </w:t>
      </w:r>
      <w:r w:rsidR="004067A8" w:rsidRPr="0071186E">
        <w:rPr>
          <w:szCs w:val="24"/>
          <w:lang w:val="en-CA" w:bidi="en-CA"/>
        </w:rPr>
        <w:t>(500-</w:t>
      </w:r>
      <w:r w:rsidR="004067A8" w:rsidRPr="0071186E">
        <w:rPr>
          <w:szCs w:val="24"/>
          <w:lang w:val="en-CA" w:bidi="en-CA"/>
        </w:rPr>
        <w:lastRenderedPageBreak/>
        <w:t>01-223557-213).</w:t>
      </w:r>
      <w:r w:rsidR="004067A8" w:rsidRPr="0071186E">
        <w:rPr>
          <w:rStyle w:val="Appelnotedebasdep"/>
          <w:szCs w:val="24"/>
          <w:lang w:val="en-CA" w:bidi="en-CA"/>
        </w:rPr>
        <w:footnoteReference w:id="24"/>
      </w:r>
    </w:p>
    <w:p w14:paraId="103B9005" w14:textId="2153804E" w:rsidR="00F86C3A" w:rsidRPr="0071186E" w:rsidRDefault="00F86C3A" w:rsidP="00F75163">
      <w:pPr>
        <w:pStyle w:val="SimpleL1"/>
        <w:rPr>
          <w:lang w:val="en-CA"/>
        </w:rPr>
      </w:pPr>
      <w:r w:rsidRPr="0071186E">
        <w:rPr>
          <w:lang w:val="en-CA" w:bidi="en-CA"/>
        </w:rPr>
        <w:t xml:space="preserve">Thus, these two temporary and partial orders covered </w:t>
      </w:r>
      <w:r w:rsidR="00C5220D" w:rsidRPr="0071186E">
        <w:rPr>
          <w:lang w:val="en-CA" w:bidi="en-CA"/>
        </w:rPr>
        <w:t xml:space="preserve">only </w:t>
      </w:r>
      <w:r w:rsidRPr="0071186E">
        <w:rPr>
          <w:lang w:val="en-CA" w:bidi="en-CA"/>
        </w:rPr>
        <w:t>information on the record that could affect the fairness of a jury trial, until this risk was eliminated.</w:t>
      </w:r>
    </w:p>
    <w:p w14:paraId="5810CF0E" w14:textId="77777777" w:rsidR="00F86C3A" w:rsidRPr="0071186E" w:rsidRDefault="007964E8" w:rsidP="00252E88">
      <w:pPr>
        <w:pStyle w:val="Titre2"/>
        <w:rPr>
          <w:lang w:val="en-CA" w:bidi="en-CA"/>
        </w:rPr>
      </w:pPr>
      <w:bookmarkStart w:id="6" w:name="_Toc109310845"/>
      <w:r w:rsidRPr="0071186E">
        <w:rPr>
          <w:lang w:val="en-CA" w:bidi="en-CA"/>
        </w:rPr>
        <w:t xml:space="preserve">Temporary and Partial Anonymity, Confidentiality and </w:t>
      </w:r>
      <w:r w:rsidRPr="00085EC5">
        <w:rPr>
          <w:i/>
          <w:lang w:val="en-CA" w:bidi="en-CA"/>
        </w:rPr>
        <w:t>In Camera</w:t>
      </w:r>
      <w:r w:rsidRPr="0071186E">
        <w:rPr>
          <w:lang w:val="en-CA" w:bidi="en-CA"/>
        </w:rPr>
        <w:t xml:space="preserve"> Orders</w:t>
      </w:r>
      <w:bookmarkEnd w:id="6"/>
    </w:p>
    <w:p w14:paraId="17E4319E" w14:textId="77777777" w:rsidR="007964E8" w:rsidRPr="0071186E" w:rsidRDefault="007964E8" w:rsidP="00F75163">
      <w:pPr>
        <w:pStyle w:val="SimpleL1"/>
        <w:rPr>
          <w:lang w:val="en-CA"/>
        </w:rPr>
      </w:pPr>
      <w:r w:rsidRPr="0071186E">
        <w:rPr>
          <w:lang w:val="en-CA" w:bidi="en-CA"/>
        </w:rPr>
        <w:t xml:space="preserve">It </w:t>
      </w:r>
      <w:r w:rsidR="00FB2C3F" w:rsidRPr="0071186E">
        <w:rPr>
          <w:lang w:val="en-CA" w:bidi="en-CA"/>
        </w:rPr>
        <w:t xml:space="preserve">is </w:t>
      </w:r>
      <w:r w:rsidRPr="0071186E">
        <w:rPr>
          <w:lang w:val="en-CA" w:bidi="en-CA"/>
        </w:rPr>
        <w:t xml:space="preserve">appropriate here to provide more context on the issuance of the temporary and partial anonymity, confidentiality and </w:t>
      </w:r>
      <w:r w:rsidRPr="00085EC5">
        <w:rPr>
          <w:i/>
          <w:lang w:val="en-CA" w:bidi="en-CA"/>
        </w:rPr>
        <w:t>in camera</w:t>
      </w:r>
      <w:r w:rsidRPr="0071186E">
        <w:rPr>
          <w:lang w:val="en-CA" w:bidi="en-CA"/>
        </w:rPr>
        <w:t xml:space="preserve"> orders.</w:t>
      </w:r>
    </w:p>
    <w:p w14:paraId="28503299" w14:textId="1E777BB3" w:rsidR="007964E8" w:rsidRPr="0071186E" w:rsidRDefault="007964E8" w:rsidP="007964E8">
      <w:pPr>
        <w:pStyle w:val="SimpleL1"/>
        <w:rPr>
          <w:lang w:val="en-CA" w:bidi="en-CA"/>
        </w:rPr>
      </w:pPr>
      <w:r w:rsidRPr="0071186E">
        <w:rPr>
          <w:lang w:val="en-CA" w:bidi="en-CA"/>
        </w:rPr>
        <w:t xml:space="preserve">In the Application for Approval of the Draft Agreement, the Parties proposed a two-step approval procedure: a </w:t>
      </w:r>
      <w:r w:rsidR="00B560F2" w:rsidRPr="0071186E">
        <w:rPr>
          <w:lang w:val="en-CA" w:bidi="en-CA"/>
        </w:rPr>
        <w:t xml:space="preserve">confidential </w:t>
      </w:r>
      <w:r w:rsidRPr="0071186E">
        <w:rPr>
          <w:lang w:val="en-CA" w:bidi="en-CA"/>
        </w:rPr>
        <w:t xml:space="preserve">preliminary step followed by a </w:t>
      </w:r>
      <w:r w:rsidR="00B560F2" w:rsidRPr="0071186E">
        <w:rPr>
          <w:lang w:val="en-CA" w:bidi="en-CA"/>
        </w:rPr>
        <w:t xml:space="preserve">public </w:t>
      </w:r>
      <w:r w:rsidRPr="0071186E">
        <w:rPr>
          <w:lang w:val="en-CA" w:bidi="en-CA"/>
        </w:rPr>
        <w:t>final step.</w:t>
      </w:r>
    </w:p>
    <w:p w14:paraId="27B1D3E7" w14:textId="68D13593" w:rsidR="007964E8" w:rsidRPr="0071186E" w:rsidRDefault="007964E8" w:rsidP="007964E8">
      <w:pPr>
        <w:pStyle w:val="SimpleL1"/>
        <w:rPr>
          <w:lang w:val="en-CA" w:bidi="en-CA"/>
        </w:rPr>
      </w:pPr>
      <w:r w:rsidRPr="0071186E">
        <w:rPr>
          <w:lang w:val="en-CA" w:bidi="en-CA"/>
        </w:rPr>
        <w:t xml:space="preserve">As </w:t>
      </w:r>
      <w:r w:rsidR="00BE1267">
        <w:rPr>
          <w:lang w:val="en-CA" w:bidi="en-CA"/>
        </w:rPr>
        <w:t>indicated above, the parties dra</w:t>
      </w:r>
      <w:r w:rsidRPr="0071186E">
        <w:rPr>
          <w:lang w:val="en-CA" w:bidi="en-CA"/>
        </w:rPr>
        <w:t xml:space="preserve">w a parallel with the process established by the </w:t>
      </w:r>
      <w:r w:rsidR="007905EF" w:rsidRPr="0071186E">
        <w:rPr>
          <w:lang w:val="en-CA" w:bidi="en-CA"/>
        </w:rPr>
        <w:t>United Kingdom</w:t>
      </w:r>
      <w:r w:rsidR="00B560F2">
        <w:rPr>
          <w:lang w:val="en-CA" w:bidi="en-CA"/>
        </w:rPr>
        <w:t>’s Parliament</w:t>
      </w:r>
      <w:r w:rsidR="007905EF" w:rsidRPr="0071186E">
        <w:rPr>
          <w:lang w:val="en-CA" w:bidi="en-CA"/>
        </w:rPr>
        <w:t xml:space="preserve"> </w:t>
      </w:r>
      <w:r w:rsidR="00B560F2">
        <w:rPr>
          <w:lang w:val="en-CA" w:bidi="en-CA"/>
        </w:rPr>
        <w:t xml:space="preserve">through its </w:t>
      </w:r>
      <w:r w:rsidRPr="0071186E">
        <w:rPr>
          <w:lang w:val="en-CA" w:bidi="en-CA"/>
        </w:rPr>
        <w:t xml:space="preserve">regime governing </w:t>
      </w:r>
      <w:r w:rsidR="007905EF" w:rsidRPr="0071186E">
        <w:rPr>
          <w:lang w:val="en-CA" w:bidi="en-CA"/>
        </w:rPr>
        <w:t>Deferred Prosecution Agreements</w:t>
      </w:r>
      <w:r w:rsidRPr="0071186E">
        <w:rPr>
          <w:lang w:val="en-CA" w:bidi="en-CA"/>
        </w:rPr>
        <w:t>.</w:t>
      </w:r>
    </w:p>
    <w:p w14:paraId="6C1B00DC" w14:textId="77777777" w:rsidR="007964E8" w:rsidRPr="0071186E" w:rsidRDefault="007964E8" w:rsidP="007964E8">
      <w:pPr>
        <w:spacing w:before="1"/>
        <w:ind w:left="971"/>
        <w:jc w:val="both"/>
        <w:rPr>
          <w:b/>
          <w:sz w:val="21"/>
          <w:lang w:val="en-CA"/>
        </w:rPr>
      </w:pPr>
      <w:r w:rsidRPr="0071186E">
        <w:rPr>
          <w:b/>
          <w:color w:val="181818"/>
          <w:w w:val="105"/>
          <w:sz w:val="21"/>
          <w:lang w:val="en-CA" w:bidi="en-CA"/>
        </w:rPr>
        <w:t xml:space="preserve">Court approval of DPA: preliminary </w:t>
      </w:r>
      <w:r w:rsidRPr="0071186E">
        <w:rPr>
          <w:b/>
          <w:color w:val="181818"/>
          <w:spacing w:val="-2"/>
          <w:w w:val="105"/>
          <w:sz w:val="21"/>
          <w:lang w:val="en-CA" w:bidi="en-CA"/>
        </w:rPr>
        <w:t>hearing</w:t>
      </w:r>
    </w:p>
    <w:p w14:paraId="62FCDDBF" w14:textId="77777777" w:rsidR="007964E8" w:rsidRPr="0071186E" w:rsidRDefault="007964E8" w:rsidP="007964E8">
      <w:pPr>
        <w:pStyle w:val="Corpsdetexte"/>
        <w:rPr>
          <w:b/>
          <w:sz w:val="22"/>
          <w:lang w:val="en-CA"/>
        </w:rPr>
      </w:pPr>
    </w:p>
    <w:p w14:paraId="19D3E2E6" w14:textId="77777777" w:rsidR="007964E8" w:rsidRPr="0071186E" w:rsidRDefault="007964E8" w:rsidP="00313DEB">
      <w:pPr>
        <w:pStyle w:val="Paragraphedeliste"/>
        <w:widowControl w:val="0"/>
        <w:numPr>
          <w:ilvl w:val="0"/>
          <w:numId w:val="18"/>
        </w:numPr>
        <w:tabs>
          <w:tab w:val="left" w:pos="1154"/>
        </w:tabs>
        <w:autoSpaceDE w:val="0"/>
        <w:autoSpaceDN w:val="0"/>
        <w:ind w:right="92" w:firstLine="1"/>
        <w:jc w:val="both"/>
        <w:rPr>
          <w:rFonts w:cs="Arial"/>
          <w:sz w:val="22"/>
          <w:szCs w:val="22"/>
          <w:lang w:val="en-CA"/>
        </w:rPr>
      </w:pPr>
      <w:r w:rsidRPr="0071186E">
        <w:rPr>
          <w:rFonts w:cs="Arial"/>
          <w:b/>
          <w:color w:val="181818"/>
          <w:sz w:val="22"/>
          <w:szCs w:val="22"/>
          <w:lang w:val="en-CA" w:bidi="en-CA"/>
        </w:rPr>
        <w:t xml:space="preserve">(1) </w:t>
      </w:r>
      <w:r w:rsidRPr="0071186E">
        <w:rPr>
          <w:rFonts w:cs="Arial"/>
          <w:color w:val="181818"/>
          <w:sz w:val="22"/>
          <w:szCs w:val="22"/>
          <w:lang w:val="en-CA" w:bidi="en-CA"/>
        </w:rPr>
        <w:t>After the commencement of negotiations between a prosecutor and P in respect of a DPA but before the terms of the DPA are agreed</w:t>
      </w:r>
      <w:r w:rsidRPr="0071186E">
        <w:rPr>
          <w:rFonts w:cs="Arial"/>
          <w:color w:val="4D4B4B"/>
          <w:sz w:val="22"/>
          <w:szCs w:val="22"/>
          <w:lang w:val="en-CA" w:bidi="en-CA"/>
        </w:rPr>
        <w:t xml:space="preserve">, </w:t>
      </w:r>
      <w:r w:rsidRPr="0071186E">
        <w:rPr>
          <w:rFonts w:cs="Arial"/>
          <w:color w:val="181818"/>
          <w:sz w:val="22"/>
          <w:szCs w:val="22"/>
          <w:lang w:val="en-CA" w:bidi="en-CA"/>
        </w:rPr>
        <w:t>the prosecutor must apply to the Crown Court for a declaration that--</w:t>
      </w:r>
    </w:p>
    <w:p w14:paraId="70B4445A" w14:textId="77777777" w:rsidR="007964E8" w:rsidRPr="0071186E" w:rsidRDefault="007964E8" w:rsidP="00313DEB">
      <w:pPr>
        <w:pStyle w:val="Paragraphedeliste"/>
        <w:widowControl w:val="0"/>
        <w:numPr>
          <w:ilvl w:val="0"/>
          <w:numId w:val="17"/>
        </w:numPr>
        <w:tabs>
          <w:tab w:val="left" w:pos="1302"/>
        </w:tabs>
        <w:autoSpaceDE w:val="0"/>
        <w:autoSpaceDN w:val="0"/>
        <w:spacing w:before="106"/>
        <w:ind w:right="92"/>
        <w:jc w:val="both"/>
        <w:rPr>
          <w:rFonts w:cs="Arial"/>
          <w:sz w:val="22"/>
          <w:szCs w:val="22"/>
          <w:lang w:val="en-CA"/>
        </w:rPr>
      </w:pPr>
      <w:r w:rsidRPr="0071186E">
        <w:rPr>
          <w:rFonts w:cs="Arial"/>
          <w:color w:val="181818"/>
          <w:sz w:val="22"/>
          <w:szCs w:val="22"/>
          <w:lang w:val="en-CA" w:bidi="en-CA"/>
        </w:rPr>
        <w:t>entering into a DPA with P is likely to be in the interests of justice, and</w:t>
      </w:r>
    </w:p>
    <w:p w14:paraId="4EAF36BE" w14:textId="77777777" w:rsidR="007964E8" w:rsidRPr="0071186E" w:rsidRDefault="007964E8" w:rsidP="00313DEB">
      <w:pPr>
        <w:pStyle w:val="Paragraphedeliste"/>
        <w:widowControl w:val="0"/>
        <w:numPr>
          <w:ilvl w:val="0"/>
          <w:numId w:val="17"/>
        </w:numPr>
        <w:tabs>
          <w:tab w:val="left" w:pos="1311"/>
        </w:tabs>
        <w:autoSpaceDE w:val="0"/>
        <w:autoSpaceDN w:val="0"/>
        <w:spacing w:before="13"/>
        <w:ind w:left="1310" w:right="92" w:hanging="345"/>
        <w:jc w:val="both"/>
        <w:rPr>
          <w:rFonts w:cs="Arial"/>
          <w:sz w:val="22"/>
          <w:szCs w:val="22"/>
          <w:lang w:val="en-CA"/>
        </w:rPr>
      </w:pPr>
      <w:r w:rsidRPr="0071186E">
        <w:rPr>
          <w:rFonts w:cs="Arial"/>
          <w:color w:val="181818"/>
          <w:sz w:val="22"/>
          <w:szCs w:val="22"/>
          <w:lang w:val="en-CA" w:bidi="en-CA"/>
        </w:rPr>
        <w:t>the proposed terms of the DPA are fair, reasonable and proportionate.</w:t>
      </w:r>
    </w:p>
    <w:p w14:paraId="32D3EF37" w14:textId="751D360C" w:rsidR="007964E8" w:rsidRPr="0071186E" w:rsidRDefault="007964E8" w:rsidP="00115010">
      <w:pPr>
        <w:ind w:left="963" w:right="92"/>
        <w:jc w:val="both"/>
        <w:rPr>
          <w:rFonts w:cs="Arial"/>
          <w:sz w:val="22"/>
          <w:szCs w:val="22"/>
          <w:lang w:val="en-CA"/>
        </w:rPr>
      </w:pPr>
      <w:r w:rsidRPr="0071186E">
        <w:rPr>
          <w:rFonts w:cs="Arial"/>
          <w:color w:val="363636"/>
          <w:sz w:val="22"/>
          <w:szCs w:val="22"/>
          <w:lang w:val="en-CA" w:bidi="en-CA"/>
        </w:rPr>
        <w:t>...</w:t>
      </w:r>
    </w:p>
    <w:p w14:paraId="078CE2CE" w14:textId="77777777" w:rsidR="007964E8" w:rsidRPr="0071186E" w:rsidRDefault="007964E8" w:rsidP="00115010">
      <w:pPr>
        <w:spacing w:before="10"/>
        <w:ind w:left="968" w:right="92" w:hanging="3"/>
        <w:rPr>
          <w:rFonts w:cs="Arial"/>
          <w:sz w:val="22"/>
          <w:szCs w:val="22"/>
          <w:lang w:val="en-CA"/>
        </w:rPr>
      </w:pPr>
      <w:r w:rsidRPr="0071186E">
        <w:rPr>
          <w:rFonts w:cs="Arial"/>
          <w:b/>
          <w:color w:val="181818"/>
          <w:sz w:val="22"/>
          <w:szCs w:val="22"/>
          <w:lang w:val="en-CA" w:bidi="en-CA"/>
        </w:rPr>
        <w:t xml:space="preserve">(4) </w:t>
      </w:r>
      <w:r w:rsidRPr="0071186E">
        <w:rPr>
          <w:rFonts w:cs="Arial"/>
          <w:color w:val="181818"/>
          <w:sz w:val="22"/>
          <w:szCs w:val="22"/>
          <w:lang w:val="en-CA" w:bidi="en-CA"/>
        </w:rPr>
        <w:t xml:space="preserve">A hearing at which an application under this paragraph is determined must be held in private, any declaration under sub-paragraph (1) must be made </w:t>
      </w:r>
      <w:r w:rsidRPr="0071186E">
        <w:rPr>
          <w:rFonts w:cs="Arial"/>
          <w:color w:val="363636"/>
          <w:sz w:val="22"/>
          <w:szCs w:val="22"/>
          <w:lang w:val="en-CA" w:bidi="en-CA"/>
        </w:rPr>
        <w:t xml:space="preserve">in </w:t>
      </w:r>
      <w:r w:rsidRPr="0071186E">
        <w:rPr>
          <w:rFonts w:cs="Arial"/>
          <w:color w:val="181818"/>
          <w:sz w:val="22"/>
          <w:szCs w:val="22"/>
          <w:lang w:val="en-CA" w:bidi="en-CA"/>
        </w:rPr>
        <w:t>private, and reasons under sub-paragraph (2) must be given in private</w:t>
      </w:r>
      <w:r w:rsidRPr="0071186E">
        <w:rPr>
          <w:rFonts w:cs="Arial"/>
          <w:color w:val="4D4B4B"/>
          <w:sz w:val="22"/>
          <w:szCs w:val="22"/>
          <w:lang w:val="en-CA" w:bidi="en-CA"/>
        </w:rPr>
        <w:t>.</w:t>
      </w:r>
    </w:p>
    <w:p w14:paraId="42E5B9CD" w14:textId="6EE8BB75" w:rsidR="007964E8" w:rsidRPr="0071186E" w:rsidRDefault="007964E8" w:rsidP="00115010">
      <w:pPr>
        <w:ind w:left="963" w:right="92"/>
        <w:jc w:val="both"/>
        <w:rPr>
          <w:rFonts w:cs="Arial"/>
          <w:color w:val="181818"/>
          <w:sz w:val="22"/>
          <w:szCs w:val="22"/>
          <w:lang w:val="en-CA" w:bidi="en-CA"/>
        </w:rPr>
      </w:pPr>
      <w:r w:rsidRPr="0071186E">
        <w:rPr>
          <w:rFonts w:cs="Arial"/>
          <w:color w:val="363636"/>
          <w:sz w:val="22"/>
          <w:szCs w:val="22"/>
          <w:lang w:val="en-CA" w:bidi="en-CA"/>
        </w:rPr>
        <w:t>...</w:t>
      </w:r>
    </w:p>
    <w:p w14:paraId="0215B376" w14:textId="77777777" w:rsidR="007964E8" w:rsidRPr="0071186E" w:rsidRDefault="007964E8" w:rsidP="00115010">
      <w:pPr>
        <w:spacing w:before="5"/>
        <w:ind w:left="967"/>
        <w:jc w:val="both"/>
        <w:rPr>
          <w:rFonts w:cs="Arial"/>
          <w:b/>
          <w:sz w:val="22"/>
          <w:szCs w:val="22"/>
          <w:lang w:val="en-CA"/>
        </w:rPr>
      </w:pPr>
      <w:r w:rsidRPr="0071186E">
        <w:rPr>
          <w:rFonts w:cs="Arial"/>
          <w:b/>
          <w:color w:val="181818"/>
          <w:sz w:val="22"/>
          <w:szCs w:val="22"/>
          <w:lang w:val="en-CA" w:bidi="en-CA"/>
        </w:rPr>
        <w:t>Court approval of DPA: final hearing</w:t>
      </w:r>
    </w:p>
    <w:p w14:paraId="15925C02" w14:textId="77777777" w:rsidR="007964E8" w:rsidRPr="0071186E" w:rsidRDefault="007964E8" w:rsidP="007964E8">
      <w:pPr>
        <w:pStyle w:val="Corpsdetexte"/>
        <w:spacing w:before="10"/>
        <w:rPr>
          <w:b/>
          <w:sz w:val="22"/>
          <w:lang w:val="en-CA"/>
        </w:rPr>
      </w:pPr>
    </w:p>
    <w:p w14:paraId="2AE07DAA" w14:textId="77777777" w:rsidR="007964E8" w:rsidRPr="0071186E" w:rsidRDefault="007964E8" w:rsidP="00313DEB">
      <w:pPr>
        <w:pStyle w:val="Paragraphedeliste"/>
        <w:widowControl w:val="0"/>
        <w:numPr>
          <w:ilvl w:val="0"/>
          <w:numId w:val="18"/>
        </w:numPr>
        <w:tabs>
          <w:tab w:val="left" w:pos="1149"/>
        </w:tabs>
        <w:autoSpaceDE w:val="0"/>
        <w:autoSpaceDN w:val="0"/>
        <w:spacing w:before="1" w:line="261" w:lineRule="auto"/>
        <w:ind w:left="969" w:right="642" w:hanging="2"/>
        <w:jc w:val="both"/>
        <w:rPr>
          <w:sz w:val="22"/>
          <w:szCs w:val="22"/>
          <w:lang w:val="en-CA"/>
        </w:rPr>
      </w:pPr>
      <w:r w:rsidRPr="0071186E">
        <w:rPr>
          <w:b/>
          <w:color w:val="181818"/>
          <w:sz w:val="22"/>
          <w:szCs w:val="22"/>
          <w:lang w:val="en-CA" w:bidi="en-CA"/>
        </w:rPr>
        <w:t>(1)</w:t>
      </w:r>
      <w:r w:rsidRPr="0071186E">
        <w:rPr>
          <w:color w:val="181818"/>
          <w:sz w:val="22"/>
          <w:szCs w:val="22"/>
          <w:lang w:val="en-CA" w:bidi="en-CA"/>
        </w:rPr>
        <w:t>When a prosecutor and P have agreed the terms of a DPA, the prosecutor must apply to the Crown Court for a declaration that-</w:t>
      </w:r>
    </w:p>
    <w:p w14:paraId="0141B170" w14:textId="77777777" w:rsidR="007964E8" w:rsidRPr="0071186E" w:rsidRDefault="007964E8" w:rsidP="00313DEB">
      <w:pPr>
        <w:pStyle w:val="Paragraphedeliste"/>
        <w:widowControl w:val="0"/>
        <w:numPr>
          <w:ilvl w:val="0"/>
          <w:numId w:val="16"/>
        </w:numPr>
        <w:tabs>
          <w:tab w:val="left" w:pos="1296"/>
        </w:tabs>
        <w:autoSpaceDE w:val="0"/>
        <w:autoSpaceDN w:val="0"/>
        <w:spacing w:line="232" w:lineRule="exact"/>
        <w:ind w:left="965" w:firstLine="0"/>
        <w:jc w:val="both"/>
        <w:rPr>
          <w:sz w:val="22"/>
          <w:szCs w:val="22"/>
          <w:lang w:val="en-CA"/>
        </w:rPr>
      </w:pPr>
      <w:r w:rsidRPr="0071186E">
        <w:rPr>
          <w:color w:val="181818"/>
          <w:sz w:val="22"/>
          <w:szCs w:val="22"/>
          <w:lang w:val="en-CA" w:bidi="en-CA"/>
        </w:rPr>
        <w:t>the DPA is in the interests of justice, and</w:t>
      </w:r>
    </w:p>
    <w:p w14:paraId="5040BE86" w14:textId="77777777" w:rsidR="007964E8" w:rsidRPr="0071186E" w:rsidRDefault="007964E8" w:rsidP="00313DEB">
      <w:pPr>
        <w:pStyle w:val="Paragraphedeliste"/>
        <w:widowControl w:val="0"/>
        <w:numPr>
          <w:ilvl w:val="0"/>
          <w:numId w:val="16"/>
        </w:numPr>
        <w:tabs>
          <w:tab w:val="left" w:pos="1311"/>
        </w:tabs>
        <w:autoSpaceDE w:val="0"/>
        <w:autoSpaceDN w:val="0"/>
        <w:spacing w:line="232" w:lineRule="exact"/>
        <w:ind w:left="965" w:firstLine="0"/>
        <w:jc w:val="both"/>
        <w:rPr>
          <w:sz w:val="22"/>
          <w:szCs w:val="22"/>
          <w:lang w:val="en-CA"/>
        </w:rPr>
      </w:pPr>
      <w:r w:rsidRPr="0071186E">
        <w:rPr>
          <w:color w:val="181818"/>
          <w:sz w:val="22"/>
          <w:szCs w:val="22"/>
          <w:lang w:val="en-CA" w:bidi="en-CA"/>
        </w:rPr>
        <w:t>the terms of the DPA are fair, reasonable and proportionate.</w:t>
      </w:r>
    </w:p>
    <w:p w14:paraId="6A7DCFD7" w14:textId="00399EB5" w:rsidR="007964E8" w:rsidRPr="0071186E" w:rsidRDefault="007964E8" w:rsidP="00FA000E">
      <w:pPr>
        <w:pStyle w:val="Corpsdetexte"/>
        <w:spacing w:before="9" w:after="0"/>
        <w:ind w:left="965"/>
        <w:rPr>
          <w:rFonts w:ascii="Times New Roman"/>
          <w:sz w:val="23"/>
          <w:lang w:val="en-CA"/>
        </w:rPr>
      </w:pPr>
      <w:r w:rsidRPr="0071186E">
        <w:rPr>
          <w:b/>
          <w:color w:val="181818"/>
          <w:sz w:val="22"/>
          <w:szCs w:val="22"/>
          <w:lang w:val="en-CA" w:bidi="en-CA"/>
        </w:rPr>
        <w:t xml:space="preserve">(2) </w:t>
      </w:r>
      <w:r w:rsidRPr="0071186E">
        <w:rPr>
          <w:color w:val="181818"/>
          <w:sz w:val="22"/>
          <w:szCs w:val="22"/>
          <w:lang w:val="en-CA" w:bidi="en-CA"/>
        </w:rPr>
        <w:t>But the prosecutor may not make an application under sub-paragraph (1) unless the court has made a declaration under paragraph 7(1) (declaration on preliminary hearing)</w:t>
      </w:r>
      <w:r w:rsidRPr="0071186E">
        <w:rPr>
          <w:color w:val="181816"/>
          <w:sz w:val="18"/>
          <w:lang w:val="en-CA" w:bidi="en-CA"/>
        </w:rPr>
        <w:t>..</w:t>
      </w:r>
      <w:r w:rsidRPr="0071186E">
        <w:rPr>
          <w:color w:val="3D3D3D"/>
          <w:sz w:val="18"/>
          <w:lang w:val="en-CA" w:bidi="en-CA"/>
        </w:rPr>
        <w:t>.</w:t>
      </w:r>
    </w:p>
    <w:p w14:paraId="779B48D6" w14:textId="77777777" w:rsidR="007964E8" w:rsidRPr="0071186E" w:rsidRDefault="007964E8" w:rsidP="00313DEB">
      <w:pPr>
        <w:pStyle w:val="Paragraphedeliste"/>
        <w:widowControl w:val="0"/>
        <w:numPr>
          <w:ilvl w:val="0"/>
          <w:numId w:val="19"/>
        </w:numPr>
        <w:tabs>
          <w:tab w:val="left" w:pos="1305"/>
        </w:tabs>
        <w:autoSpaceDE w:val="0"/>
        <w:autoSpaceDN w:val="0"/>
        <w:spacing w:before="3" w:line="256" w:lineRule="auto"/>
        <w:ind w:hanging="4"/>
        <w:jc w:val="both"/>
        <w:rPr>
          <w:sz w:val="21"/>
          <w:lang w:val="en-CA"/>
        </w:rPr>
      </w:pPr>
      <w:r w:rsidRPr="0071186E">
        <w:rPr>
          <w:color w:val="181816"/>
          <w:sz w:val="21"/>
          <w:lang w:val="en-CA" w:bidi="en-CA"/>
        </w:rPr>
        <w:t>A hearing at which an application under this paragraph is determined may be held in private</w:t>
      </w:r>
      <w:r w:rsidRPr="0071186E">
        <w:rPr>
          <w:color w:val="3D3D3D"/>
          <w:sz w:val="21"/>
          <w:lang w:val="en-CA" w:bidi="en-CA"/>
        </w:rPr>
        <w:t>.</w:t>
      </w:r>
    </w:p>
    <w:p w14:paraId="1B4642DD" w14:textId="77777777" w:rsidR="007964E8" w:rsidRPr="0071186E" w:rsidRDefault="007964E8" w:rsidP="00313DEB">
      <w:pPr>
        <w:pStyle w:val="Paragraphedeliste"/>
        <w:widowControl w:val="0"/>
        <w:numPr>
          <w:ilvl w:val="0"/>
          <w:numId w:val="19"/>
        </w:numPr>
        <w:tabs>
          <w:tab w:val="left" w:pos="1308"/>
        </w:tabs>
        <w:autoSpaceDE w:val="0"/>
        <w:autoSpaceDN w:val="0"/>
        <w:spacing w:line="256" w:lineRule="auto"/>
        <w:ind w:hanging="4"/>
        <w:jc w:val="both"/>
        <w:rPr>
          <w:rFonts w:ascii="Times New Roman" w:hAnsi="Times New Roman"/>
          <w:sz w:val="21"/>
          <w:lang w:val="en-CA"/>
        </w:rPr>
      </w:pPr>
      <w:r w:rsidRPr="0071186E">
        <w:rPr>
          <w:color w:val="181816"/>
          <w:sz w:val="21"/>
          <w:lang w:val="en-CA" w:bidi="en-CA"/>
        </w:rPr>
        <w:t>But if the court decides to approve the DPA and make a declaration under sub</w:t>
      </w:r>
      <w:r w:rsidRPr="0071186E">
        <w:rPr>
          <w:color w:val="181816"/>
          <w:sz w:val="21"/>
          <w:lang w:val="en-CA" w:bidi="en-CA"/>
        </w:rPr>
        <w:noBreakHyphen/>
        <w:t>paragraph (1) it must do so, and give its reasons</w:t>
      </w:r>
      <w:r w:rsidRPr="0071186E">
        <w:rPr>
          <w:color w:val="3D3D3D"/>
          <w:sz w:val="21"/>
          <w:lang w:val="en-CA" w:bidi="en-CA"/>
        </w:rPr>
        <w:t xml:space="preserve">, </w:t>
      </w:r>
      <w:r w:rsidRPr="0071186E">
        <w:rPr>
          <w:color w:val="181816"/>
          <w:sz w:val="21"/>
          <w:lang w:val="en-CA" w:bidi="en-CA"/>
        </w:rPr>
        <w:t>in open court.</w:t>
      </w:r>
      <w:r w:rsidR="000C24AD" w:rsidRPr="0071186E">
        <w:rPr>
          <w:rStyle w:val="Appelnotedebasdep"/>
          <w:color w:val="181816"/>
          <w:sz w:val="21"/>
          <w:lang w:val="en-CA" w:bidi="en-CA"/>
        </w:rPr>
        <w:footnoteReference w:id="25"/>
      </w:r>
    </w:p>
    <w:p w14:paraId="510EAE9C" w14:textId="606F3362" w:rsidR="007964E8" w:rsidRPr="0071186E" w:rsidRDefault="00344446" w:rsidP="00F75163">
      <w:pPr>
        <w:pStyle w:val="SimpleL1"/>
        <w:rPr>
          <w:lang w:val="en-CA"/>
        </w:rPr>
      </w:pPr>
      <w:r>
        <w:rPr>
          <w:lang w:val="en-CA" w:bidi="en-CA"/>
        </w:rPr>
        <w:lastRenderedPageBreak/>
        <w:t>In this case, the p</w:t>
      </w:r>
      <w:r w:rsidR="007964E8" w:rsidRPr="0071186E">
        <w:rPr>
          <w:lang w:val="en-CA" w:bidi="en-CA"/>
        </w:rPr>
        <w:t xml:space="preserve">arties have agreed that the content of the Draft Agreement’s negotiations </w:t>
      </w:r>
      <w:r w:rsidR="00683BF1">
        <w:rPr>
          <w:lang w:val="en-CA" w:bidi="en-CA"/>
        </w:rPr>
        <w:t>is</w:t>
      </w:r>
      <w:r w:rsidR="00683BF1" w:rsidRPr="0071186E">
        <w:rPr>
          <w:lang w:val="en-CA" w:bidi="en-CA"/>
        </w:rPr>
        <w:t xml:space="preserve"> </w:t>
      </w:r>
      <w:r w:rsidR="007964E8" w:rsidRPr="0071186E">
        <w:rPr>
          <w:lang w:val="en-CA" w:bidi="en-CA"/>
        </w:rPr>
        <w:t>confidential and that the documents created and communications exchanged with a view to reaching an agreement are protected by settlement privilege.</w:t>
      </w:r>
      <w:r w:rsidR="000C24AD" w:rsidRPr="0071186E">
        <w:rPr>
          <w:rStyle w:val="Appelnotedebasdep"/>
          <w:lang w:val="en-CA" w:bidi="en-CA"/>
        </w:rPr>
        <w:footnoteReference w:id="26"/>
      </w:r>
    </w:p>
    <w:p w14:paraId="3B4D8963" w14:textId="7F0B84F8" w:rsidR="007964E8" w:rsidRPr="0071186E" w:rsidRDefault="007964E8" w:rsidP="00F75163">
      <w:pPr>
        <w:pStyle w:val="SimpleL1"/>
        <w:rPr>
          <w:lang w:val="en-CA"/>
        </w:rPr>
      </w:pPr>
      <w:r w:rsidRPr="0071186E">
        <w:rPr>
          <w:lang w:val="en-CA" w:bidi="en-CA"/>
        </w:rPr>
        <w:t>The Prosecutor and Organizations argued that settlement privilege protects the approval process at least until</w:t>
      </w:r>
      <w:r w:rsidR="00344446">
        <w:rPr>
          <w:lang w:val="en-CA" w:bidi="en-CA"/>
        </w:rPr>
        <w:t xml:space="preserve"> </w:t>
      </w:r>
      <w:r w:rsidR="001B77F1">
        <w:rPr>
          <w:lang w:val="en-CA" w:bidi="en-CA"/>
        </w:rPr>
        <w:t xml:space="preserve">it is </w:t>
      </w:r>
      <w:r w:rsidR="00344446">
        <w:rPr>
          <w:lang w:val="en-CA" w:bidi="en-CA"/>
        </w:rPr>
        <w:t>approv</w:t>
      </w:r>
      <w:r w:rsidR="001B77F1">
        <w:rPr>
          <w:lang w:val="en-CA" w:bidi="en-CA"/>
        </w:rPr>
        <w:t>ed</w:t>
      </w:r>
      <w:r w:rsidR="00344446">
        <w:rPr>
          <w:lang w:val="en-CA" w:bidi="en-CA"/>
        </w:rPr>
        <w:t>. The p</w:t>
      </w:r>
      <w:r w:rsidRPr="0071186E">
        <w:rPr>
          <w:lang w:val="en-CA" w:bidi="en-CA"/>
        </w:rPr>
        <w:t>arties pointed out that, given the impact on a future trial for the Organizations and the rules governing publicly traded companies, the disclosure of information could have an impact on the markets, especially if the Court refuse</w:t>
      </w:r>
      <w:r w:rsidR="001B77F1">
        <w:rPr>
          <w:lang w:val="en-CA" w:bidi="en-CA"/>
        </w:rPr>
        <w:t>d</w:t>
      </w:r>
      <w:r w:rsidRPr="0071186E">
        <w:rPr>
          <w:lang w:val="en-CA" w:bidi="en-CA"/>
        </w:rPr>
        <w:t xml:space="preserve"> to approve the Draft Agreement.</w:t>
      </w:r>
    </w:p>
    <w:p w14:paraId="289C7854" w14:textId="286B799F" w:rsidR="007964E8" w:rsidRPr="0071186E" w:rsidRDefault="00344446" w:rsidP="00F75163">
      <w:pPr>
        <w:pStyle w:val="SimpleL1"/>
        <w:rPr>
          <w:lang w:val="en-CA"/>
        </w:rPr>
      </w:pPr>
      <w:r>
        <w:rPr>
          <w:lang w:val="en-CA" w:bidi="en-CA"/>
        </w:rPr>
        <w:t>The p</w:t>
      </w:r>
      <w:r w:rsidR="007964E8" w:rsidRPr="0071186E">
        <w:rPr>
          <w:lang w:val="en-CA" w:bidi="en-CA"/>
        </w:rPr>
        <w:t>arties argued that settlement privilege is broad</w:t>
      </w:r>
      <w:r w:rsidR="001B77F1">
        <w:rPr>
          <w:lang w:val="en-CA" w:bidi="en-CA"/>
        </w:rPr>
        <w:t xml:space="preserve"> in scope</w:t>
      </w:r>
      <w:r w:rsidR="007964E8" w:rsidRPr="0071186E">
        <w:rPr>
          <w:lang w:val="en-CA" w:bidi="en-CA"/>
        </w:rPr>
        <w:t>, whether or no</w:t>
      </w:r>
      <w:r>
        <w:rPr>
          <w:lang w:val="en-CA" w:bidi="en-CA"/>
        </w:rPr>
        <w:t>t a settlement is reached. The p</w:t>
      </w:r>
      <w:r w:rsidR="007964E8" w:rsidRPr="0071186E">
        <w:rPr>
          <w:lang w:val="en-CA" w:bidi="en-CA"/>
        </w:rPr>
        <w:t xml:space="preserve">arties relied on the following statement from the Supreme Court's </w:t>
      </w:r>
      <w:r w:rsidR="001B77F1">
        <w:rPr>
          <w:lang w:val="en-CA" w:bidi="en-CA"/>
        </w:rPr>
        <w:t>judgment</w:t>
      </w:r>
      <w:r w:rsidR="001B77F1" w:rsidRPr="0071186E">
        <w:rPr>
          <w:lang w:val="en-CA" w:bidi="en-CA"/>
        </w:rPr>
        <w:t xml:space="preserve"> </w:t>
      </w:r>
      <w:r w:rsidR="007964E8" w:rsidRPr="0071186E">
        <w:rPr>
          <w:lang w:val="en-CA" w:bidi="en-CA"/>
        </w:rPr>
        <w:t xml:space="preserve">in </w:t>
      </w:r>
      <w:r w:rsidR="007964E8" w:rsidRPr="0071186E">
        <w:rPr>
          <w:i/>
          <w:lang w:val="en-CA" w:bidi="en-CA"/>
        </w:rPr>
        <w:t>Sable Offshore Energy Inc. v</w:t>
      </w:r>
      <w:r w:rsidR="007964E8" w:rsidRPr="0071186E">
        <w:rPr>
          <w:lang w:val="en-CA" w:bidi="en-CA"/>
        </w:rPr>
        <w:t xml:space="preserve">. </w:t>
      </w:r>
      <w:r w:rsidR="007964E8" w:rsidRPr="0071186E">
        <w:rPr>
          <w:i/>
          <w:lang w:val="en-CA" w:bidi="en-CA"/>
        </w:rPr>
        <w:t>Ameron International Corp.</w:t>
      </w:r>
      <w:r w:rsidR="001B77F1">
        <w:rPr>
          <w:lang w:val="en-CA" w:bidi="en-CA"/>
        </w:rPr>
        <w:t>:</w:t>
      </w:r>
    </w:p>
    <w:p w14:paraId="15C0EE6F" w14:textId="2158D0D5" w:rsidR="007964E8" w:rsidRPr="0071186E" w:rsidRDefault="007964E8" w:rsidP="007964E8">
      <w:pPr>
        <w:spacing w:before="1" w:line="249" w:lineRule="auto"/>
        <w:ind w:left="953" w:right="842" w:hanging="1"/>
        <w:jc w:val="both"/>
        <w:rPr>
          <w:color w:val="181816"/>
          <w:sz w:val="22"/>
          <w:szCs w:val="22"/>
          <w:lang w:val="en-CA" w:bidi="en-CA"/>
        </w:rPr>
      </w:pPr>
      <w:r w:rsidRPr="0071186E">
        <w:rPr>
          <w:color w:val="181816"/>
          <w:sz w:val="22"/>
          <w:szCs w:val="22"/>
          <w:lang w:val="en-CA" w:bidi="en-CA"/>
        </w:rPr>
        <w:t>[T]he protection is for settlement negotiations, whether or not a settlement is reached. That means that successful negotiations are entitled to no less protection than ones that yield no settlement.</w:t>
      </w:r>
    </w:p>
    <w:p w14:paraId="2587C97B" w14:textId="77777777" w:rsidR="007964E8" w:rsidRPr="0071186E" w:rsidRDefault="007964E8" w:rsidP="007964E8">
      <w:pPr>
        <w:spacing w:before="1" w:line="249" w:lineRule="auto"/>
        <w:ind w:left="953" w:right="842" w:hanging="1"/>
        <w:jc w:val="both"/>
        <w:rPr>
          <w:sz w:val="22"/>
          <w:szCs w:val="22"/>
          <w:lang w:val="en-CA"/>
        </w:rPr>
      </w:pPr>
    </w:p>
    <w:p w14:paraId="65492D27" w14:textId="77777777" w:rsidR="007964E8" w:rsidRPr="0071186E" w:rsidRDefault="007964E8" w:rsidP="007964E8">
      <w:pPr>
        <w:spacing w:before="1" w:line="249" w:lineRule="auto"/>
        <w:ind w:left="953" w:right="842" w:hanging="1"/>
        <w:jc w:val="both"/>
        <w:rPr>
          <w:sz w:val="22"/>
          <w:szCs w:val="22"/>
          <w:lang w:val="en-CA"/>
        </w:rPr>
      </w:pPr>
      <w:r w:rsidRPr="0071186E">
        <w:rPr>
          <w:sz w:val="22"/>
          <w:szCs w:val="22"/>
          <w:lang w:val="en-CA" w:bidi="en-CA"/>
        </w:rPr>
        <w:t>Since the negotiated amount is a key component of the “content of successful negotiations”, reflecting the admissions, offers, and compromises made in the course of negotiations, it too is protected by the privilege.</w:t>
      </w:r>
      <w:r w:rsidR="000C24AD" w:rsidRPr="0071186E">
        <w:rPr>
          <w:rStyle w:val="Appelnotedebasdep"/>
          <w:sz w:val="22"/>
          <w:szCs w:val="22"/>
          <w:lang w:val="en-CA" w:bidi="en-CA"/>
        </w:rPr>
        <w:footnoteReference w:id="27"/>
      </w:r>
      <w:r w:rsidRPr="0071186E">
        <w:rPr>
          <w:sz w:val="22"/>
          <w:szCs w:val="22"/>
          <w:lang w:val="en-CA"/>
        </w:rPr>
        <w:t xml:space="preserve"> </w:t>
      </w:r>
    </w:p>
    <w:p w14:paraId="43561738" w14:textId="77777777" w:rsidR="007964E8" w:rsidRPr="0071186E" w:rsidRDefault="007964E8" w:rsidP="007964E8">
      <w:pPr>
        <w:spacing w:before="1" w:line="249" w:lineRule="auto"/>
        <w:ind w:left="953" w:right="842" w:hanging="1"/>
        <w:jc w:val="both"/>
        <w:rPr>
          <w:lang w:val="en-CA"/>
        </w:rPr>
      </w:pPr>
    </w:p>
    <w:p w14:paraId="58C5A851" w14:textId="5D01DD69" w:rsidR="007964E8" w:rsidRPr="0071186E" w:rsidRDefault="007964E8" w:rsidP="00F75163">
      <w:pPr>
        <w:pStyle w:val="SimpleL1"/>
        <w:rPr>
          <w:lang w:val="en-CA"/>
        </w:rPr>
      </w:pPr>
      <w:r w:rsidRPr="0071186E">
        <w:rPr>
          <w:lang w:val="en-CA" w:bidi="en-CA"/>
        </w:rPr>
        <w:t xml:space="preserve">Although Canada’s </w:t>
      </w:r>
      <w:r w:rsidRPr="0071186E">
        <w:rPr>
          <w:i/>
          <w:lang w:val="en-CA" w:bidi="en-CA"/>
        </w:rPr>
        <w:t>Criminal Code</w:t>
      </w:r>
      <w:r w:rsidR="00BB297F">
        <w:rPr>
          <w:lang w:val="en-CA" w:bidi="en-CA"/>
        </w:rPr>
        <w:t xml:space="preserve"> is silent on the privileged character of the</w:t>
      </w:r>
      <w:r w:rsidR="00722050">
        <w:rPr>
          <w:lang w:val="en-CA" w:bidi="en-CA"/>
        </w:rPr>
        <w:t xml:space="preserve"> </w:t>
      </w:r>
      <w:r w:rsidRPr="0071186E">
        <w:rPr>
          <w:lang w:val="en-CA" w:bidi="en-CA"/>
        </w:rPr>
        <w:t>negotiations and does not establish a procedure similar to the one in the United Kingdom, the Court ruled that, in the particular circumstances of this case, the two</w:t>
      </w:r>
      <w:r w:rsidRPr="0071186E">
        <w:rPr>
          <w:lang w:val="en-CA" w:bidi="en-CA"/>
        </w:rPr>
        <w:noBreakHyphen/>
        <w:t>step process proposed by the parties was appropriate.</w:t>
      </w:r>
    </w:p>
    <w:p w14:paraId="31D717A0" w14:textId="0C1A894A" w:rsidR="007964E8" w:rsidRPr="0071186E" w:rsidRDefault="007964E8" w:rsidP="00F75163">
      <w:pPr>
        <w:pStyle w:val="SimpleL1"/>
        <w:rPr>
          <w:lang w:val="en-CA"/>
        </w:rPr>
      </w:pPr>
      <w:r w:rsidRPr="0071186E">
        <w:rPr>
          <w:lang w:val="en-CA" w:bidi="en-CA"/>
        </w:rPr>
        <w:t xml:space="preserve">In addition, it bears noting that </w:t>
      </w:r>
      <w:r w:rsidR="00B024D8" w:rsidRPr="0071186E">
        <w:rPr>
          <w:lang w:val="en-CA" w:bidi="en-CA"/>
        </w:rPr>
        <w:t>under 715.34(2) Cr.</w:t>
      </w:r>
      <w:r w:rsidR="00B024D8">
        <w:rPr>
          <w:lang w:val="en-CA" w:bidi="en-CA"/>
        </w:rPr>
        <w:t> </w:t>
      </w:r>
      <w:r w:rsidR="00B024D8" w:rsidRPr="0071186E">
        <w:rPr>
          <w:lang w:val="en-CA" w:bidi="en-CA"/>
        </w:rPr>
        <w:t>C</w:t>
      </w:r>
      <w:r w:rsidR="00B024D8">
        <w:rPr>
          <w:lang w:val="en-CA" w:bidi="en-CA"/>
        </w:rPr>
        <w:t>.,</w:t>
      </w:r>
      <w:r w:rsidR="00B024D8" w:rsidRPr="0071186E" w:rsidDel="00B024D8">
        <w:rPr>
          <w:lang w:val="en-CA" w:bidi="en-CA"/>
        </w:rPr>
        <w:t xml:space="preserve"> </w:t>
      </w:r>
      <w:r w:rsidR="00B024D8">
        <w:rPr>
          <w:lang w:val="en-CA" w:bidi="en-CA"/>
        </w:rPr>
        <w:t>Parliament</w:t>
      </w:r>
      <w:r w:rsidR="007905EF" w:rsidRPr="0071186E">
        <w:rPr>
          <w:lang w:val="en-CA" w:bidi="en-CA"/>
        </w:rPr>
        <w:t xml:space="preserve"> </w:t>
      </w:r>
      <w:r w:rsidR="00B024D8">
        <w:rPr>
          <w:lang w:val="en-CA" w:bidi="en-CA"/>
        </w:rPr>
        <w:t>states</w:t>
      </w:r>
      <w:r w:rsidRPr="0071186E">
        <w:rPr>
          <w:lang w:val="en-CA" w:bidi="en-CA"/>
        </w:rPr>
        <w:t xml:space="preserve"> that </w:t>
      </w:r>
      <w:r w:rsidR="00B024D8">
        <w:rPr>
          <w:lang w:val="en-CA" w:bidi="en-CA"/>
        </w:rPr>
        <w:t xml:space="preserve">the </w:t>
      </w:r>
      <w:r w:rsidRPr="0071186E">
        <w:rPr>
          <w:lang w:val="en-CA" w:bidi="en-CA"/>
        </w:rPr>
        <w:t>admissions made by the Organizations during negotiations remain inadmissible in evidence in civil or criminal proceedings until the Court approves a remediation agreement.</w:t>
      </w:r>
    </w:p>
    <w:p w14:paraId="23B213B1" w14:textId="101993E3" w:rsidR="007964E8" w:rsidRPr="0071186E" w:rsidRDefault="007964E8" w:rsidP="00F75163">
      <w:pPr>
        <w:pStyle w:val="SimpleL1"/>
        <w:rPr>
          <w:lang w:val="en-CA"/>
        </w:rPr>
      </w:pPr>
      <w:r w:rsidRPr="0071186E">
        <w:rPr>
          <w:lang w:val="en-CA" w:bidi="en-CA"/>
        </w:rPr>
        <w:t xml:space="preserve">Finally, the regime under Part XXII.1 specifies that the Court is required to publish the remediation agreement “approved by the court” as soon as practicable, along with any </w:t>
      </w:r>
      <w:r w:rsidR="007905EF" w:rsidRPr="0071186E">
        <w:rPr>
          <w:lang w:val="en-CA" w:bidi="en-CA"/>
        </w:rPr>
        <w:t>reasoned</w:t>
      </w:r>
      <w:r w:rsidR="00BA7E21">
        <w:rPr>
          <w:lang w:val="en-CA" w:bidi="en-CA"/>
        </w:rPr>
        <w:t xml:space="preserve"> order</w:t>
      </w:r>
      <w:r w:rsidR="007905EF" w:rsidRPr="0071186E">
        <w:rPr>
          <w:lang w:val="en-CA" w:bidi="en-CA"/>
        </w:rPr>
        <w:t xml:space="preserve"> </w:t>
      </w:r>
      <w:r w:rsidRPr="0071186E">
        <w:rPr>
          <w:lang w:val="en-CA" w:bidi="en-CA"/>
        </w:rPr>
        <w:t xml:space="preserve">useful </w:t>
      </w:r>
      <w:r w:rsidR="00BA7E21">
        <w:rPr>
          <w:lang w:val="en-CA" w:bidi="en-CA"/>
        </w:rPr>
        <w:t>to its</w:t>
      </w:r>
      <w:r w:rsidRPr="0071186E">
        <w:rPr>
          <w:lang w:val="en-CA" w:bidi="en-CA"/>
        </w:rPr>
        <w:t xml:space="preserve"> </w:t>
      </w:r>
      <w:r w:rsidR="00E22B4C">
        <w:rPr>
          <w:lang w:val="en-CA" w:bidi="en-CA"/>
        </w:rPr>
        <w:t xml:space="preserve">coming </w:t>
      </w:r>
      <w:r w:rsidR="00BA7E21">
        <w:rPr>
          <w:lang w:val="en-CA" w:bidi="en-CA"/>
        </w:rPr>
        <w:t>into force</w:t>
      </w:r>
      <w:r w:rsidRPr="0071186E">
        <w:rPr>
          <w:lang w:val="en-CA" w:bidi="en-CA"/>
        </w:rPr>
        <w:t xml:space="preserve"> and the accompanying confidentiality conditions, the whole pursuant to 715.42(1)(2) Cr.</w:t>
      </w:r>
      <w:r w:rsidR="00E22B4C">
        <w:rPr>
          <w:lang w:val="en-CA" w:bidi="en-CA"/>
        </w:rPr>
        <w:t> </w:t>
      </w:r>
      <w:r w:rsidRPr="0071186E">
        <w:rPr>
          <w:lang w:val="en-CA" w:bidi="en-CA"/>
        </w:rPr>
        <w:t>C.</w:t>
      </w:r>
    </w:p>
    <w:p w14:paraId="01AA3A7B" w14:textId="404B3040" w:rsidR="007964E8" w:rsidRPr="0071186E" w:rsidRDefault="007964E8" w:rsidP="00F75163">
      <w:pPr>
        <w:pStyle w:val="SimpleL1"/>
        <w:rPr>
          <w:szCs w:val="24"/>
          <w:lang w:val="en-CA"/>
        </w:rPr>
      </w:pPr>
      <w:r w:rsidRPr="0071186E">
        <w:rPr>
          <w:color w:val="181818"/>
          <w:w w:val="105"/>
          <w:szCs w:val="24"/>
          <w:lang w:val="en-CA" w:bidi="en-CA"/>
        </w:rPr>
        <w:t xml:space="preserve">Accordingly, the Court gave effect to the </w:t>
      </w:r>
      <w:r w:rsidR="00AA56DD">
        <w:rPr>
          <w:color w:val="181818"/>
          <w:w w:val="105"/>
          <w:szCs w:val="24"/>
          <w:lang w:val="en-CA" w:bidi="en-CA"/>
        </w:rPr>
        <w:t>p</w:t>
      </w:r>
      <w:r w:rsidRPr="0071186E">
        <w:rPr>
          <w:color w:val="181818"/>
          <w:w w:val="105"/>
          <w:szCs w:val="24"/>
          <w:lang w:val="en-CA" w:bidi="en-CA"/>
        </w:rPr>
        <w:t xml:space="preserve">arties’ application for an order to temporarily enter these proceedings into the </w:t>
      </w:r>
      <w:r w:rsidR="007905EF" w:rsidRPr="0071186E">
        <w:rPr>
          <w:w w:val="105"/>
          <w:szCs w:val="24"/>
          <w:lang w:val="en-CA" w:bidi="en-CA"/>
        </w:rPr>
        <w:t>c</w:t>
      </w:r>
      <w:r w:rsidRPr="0071186E">
        <w:rPr>
          <w:w w:val="105"/>
          <w:szCs w:val="24"/>
          <w:lang w:val="en-CA" w:bidi="en-CA"/>
        </w:rPr>
        <w:t>ourt ledger</w:t>
      </w:r>
      <w:r w:rsidR="00CD3249" w:rsidRPr="0071186E">
        <w:rPr>
          <w:color w:val="181818"/>
          <w:w w:val="105"/>
          <w:szCs w:val="24"/>
          <w:lang w:val="en-CA" w:bidi="en-CA"/>
        </w:rPr>
        <w:t xml:space="preserve"> under the pseudonyms A </w:t>
      </w:r>
      <w:r w:rsidRPr="0071186E">
        <w:rPr>
          <w:color w:val="181818"/>
          <w:w w:val="105"/>
          <w:szCs w:val="24"/>
          <w:lang w:val="en-CA" w:bidi="en-CA"/>
        </w:rPr>
        <w:t>v.</w:t>
      </w:r>
      <w:r w:rsidR="00CD3249" w:rsidRPr="0071186E">
        <w:rPr>
          <w:color w:val="181818"/>
          <w:w w:val="105"/>
          <w:szCs w:val="24"/>
          <w:lang w:val="en-CA" w:bidi="en-CA"/>
        </w:rPr>
        <w:t> </w:t>
      </w:r>
      <w:r w:rsidRPr="0071186E">
        <w:rPr>
          <w:color w:val="181818"/>
          <w:w w:val="105"/>
          <w:szCs w:val="24"/>
          <w:lang w:val="en-CA" w:bidi="en-CA"/>
        </w:rPr>
        <w:t xml:space="preserve">B, without referring to the Court of Québec </w:t>
      </w:r>
      <w:r w:rsidR="0048649B">
        <w:rPr>
          <w:color w:val="181818"/>
          <w:w w:val="105"/>
          <w:szCs w:val="24"/>
          <w:lang w:val="en-CA" w:bidi="en-CA"/>
        </w:rPr>
        <w:t>file</w:t>
      </w:r>
      <w:r w:rsidR="0048649B" w:rsidRPr="0071186E">
        <w:rPr>
          <w:color w:val="181818"/>
          <w:w w:val="105"/>
          <w:szCs w:val="24"/>
          <w:lang w:val="en-CA" w:bidi="en-CA"/>
        </w:rPr>
        <w:t xml:space="preserve"> </w:t>
      </w:r>
      <w:r w:rsidRPr="0071186E">
        <w:rPr>
          <w:color w:val="181818"/>
          <w:w w:val="105"/>
          <w:szCs w:val="24"/>
          <w:lang w:val="en-CA" w:bidi="en-CA"/>
        </w:rPr>
        <w:t xml:space="preserve">number in which the laying of information, the public notice of offer to negotiate a remediation agreement and the </w:t>
      </w:r>
      <w:r w:rsidRPr="0071186E">
        <w:rPr>
          <w:color w:val="181818"/>
          <w:w w:val="105"/>
          <w:szCs w:val="24"/>
          <w:lang w:val="en-CA" w:bidi="en-CA"/>
        </w:rPr>
        <w:lastRenderedPageBreak/>
        <w:t xml:space="preserve">Organizations’ notice of acceptance were filed. Similarly, the names of the Parties and their respective attorneys were not entered into the </w:t>
      </w:r>
      <w:r w:rsidR="007905EF" w:rsidRPr="0071186E">
        <w:rPr>
          <w:color w:val="181818"/>
          <w:w w:val="105"/>
          <w:szCs w:val="24"/>
          <w:lang w:val="en-CA" w:bidi="en-CA"/>
        </w:rPr>
        <w:t>c</w:t>
      </w:r>
      <w:r w:rsidRPr="0071186E">
        <w:rPr>
          <w:color w:val="181818"/>
          <w:w w:val="105"/>
          <w:szCs w:val="24"/>
          <w:lang w:val="en-CA" w:bidi="en-CA"/>
        </w:rPr>
        <w:t>ourt ledger.</w:t>
      </w:r>
      <w:r w:rsidR="000C24AD" w:rsidRPr="0071186E">
        <w:rPr>
          <w:rStyle w:val="Appelnotedebasdep"/>
          <w:color w:val="181818"/>
          <w:w w:val="105"/>
          <w:szCs w:val="24"/>
          <w:lang w:val="en-CA" w:bidi="en-CA"/>
        </w:rPr>
        <w:footnoteReference w:id="28"/>
      </w:r>
    </w:p>
    <w:p w14:paraId="7A92379A" w14:textId="1F86D75A" w:rsidR="007964E8" w:rsidRPr="0071186E" w:rsidRDefault="007964E8" w:rsidP="00F75163">
      <w:pPr>
        <w:pStyle w:val="SimpleL1"/>
        <w:rPr>
          <w:szCs w:val="24"/>
          <w:lang w:val="en-CA"/>
        </w:rPr>
      </w:pPr>
      <w:r w:rsidRPr="0071186E">
        <w:rPr>
          <w:szCs w:val="24"/>
          <w:lang w:val="en-CA" w:bidi="en-CA"/>
        </w:rPr>
        <w:t>The</w:t>
      </w:r>
      <w:r w:rsidR="00BA7E21">
        <w:rPr>
          <w:szCs w:val="24"/>
          <w:lang w:val="en-CA" w:bidi="en-CA"/>
        </w:rPr>
        <w:t xml:space="preserve"> Court also </w:t>
      </w:r>
      <w:r w:rsidR="00B46F0F">
        <w:rPr>
          <w:szCs w:val="24"/>
          <w:lang w:val="en-CA" w:bidi="en-CA"/>
        </w:rPr>
        <w:t>granted</w:t>
      </w:r>
      <w:r w:rsidR="00BA7E21">
        <w:rPr>
          <w:szCs w:val="24"/>
          <w:lang w:val="en-CA" w:bidi="en-CA"/>
        </w:rPr>
        <w:t xml:space="preserve"> the p</w:t>
      </w:r>
      <w:r w:rsidRPr="0071186E">
        <w:rPr>
          <w:szCs w:val="24"/>
          <w:lang w:val="en-CA" w:bidi="en-CA"/>
        </w:rPr>
        <w:t xml:space="preserve">arties’ request </w:t>
      </w:r>
      <w:r w:rsidR="007905EF" w:rsidRPr="0071186E">
        <w:rPr>
          <w:szCs w:val="24"/>
          <w:lang w:val="en-CA" w:bidi="en-CA"/>
        </w:rPr>
        <w:t xml:space="preserve">and ordered </w:t>
      </w:r>
      <w:r w:rsidRPr="0071186E">
        <w:rPr>
          <w:szCs w:val="24"/>
          <w:lang w:val="en-CA" w:bidi="en-CA"/>
        </w:rPr>
        <w:t xml:space="preserve">that the Prosecution's application for an order approving a remediation agreement and for temporary and partial anonymity, confidentiality and </w:t>
      </w:r>
      <w:r w:rsidRPr="00085EC5">
        <w:rPr>
          <w:i/>
          <w:szCs w:val="24"/>
          <w:lang w:val="en-CA" w:bidi="en-CA"/>
        </w:rPr>
        <w:t>in camera</w:t>
      </w:r>
      <w:r w:rsidRPr="0071186E">
        <w:rPr>
          <w:szCs w:val="24"/>
          <w:lang w:val="en-CA" w:bidi="en-CA"/>
        </w:rPr>
        <w:t xml:space="preserve"> orders be temporarily filed under seal at the office of the Court.</w:t>
      </w:r>
      <w:r w:rsidR="009B6364" w:rsidRPr="0071186E">
        <w:rPr>
          <w:rStyle w:val="Appelnotedebasdep"/>
          <w:szCs w:val="24"/>
          <w:lang w:val="en-CA" w:bidi="en-CA"/>
        </w:rPr>
        <w:footnoteReference w:id="29"/>
      </w:r>
    </w:p>
    <w:p w14:paraId="566C149E" w14:textId="2B3B4176" w:rsidR="007964E8" w:rsidRPr="0071186E" w:rsidRDefault="00B46F0F" w:rsidP="00F75163">
      <w:pPr>
        <w:pStyle w:val="SimpleL1"/>
        <w:rPr>
          <w:szCs w:val="24"/>
          <w:lang w:val="en-CA"/>
        </w:rPr>
      </w:pPr>
      <w:r>
        <w:rPr>
          <w:szCs w:val="24"/>
          <w:lang w:val="en-CA" w:bidi="en-CA"/>
        </w:rPr>
        <w:t>Also, t</w:t>
      </w:r>
      <w:r w:rsidR="00517AAF" w:rsidRPr="0071186E">
        <w:rPr>
          <w:szCs w:val="24"/>
          <w:lang w:val="en-CA" w:bidi="en-CA"/>
        </w:rPr>
        <w:t xml:space="preserve">he Court </w:t>
      </w:r>
      <w:r>
        <w:rPr>
          <w:szCs w:val="24"/>
          <w:lang w:val="en-CA" w:bidi="en-CA"/>
        </w:rPr>
        <w:t>granted</w:t>
      </w:r>
      <w:r w:rsidRPr="0071186E">
        <w:rPr>
          <w:szCs w:val="24"/>
          <w:lang w:val="en-CA" w:bidi="en-CA"/>
        </w:rPr>
        <w:t xml:space="preserve"> </w:t>
      </w:r>
      <w:r w:rsidR="00517AAF" w:rsidRPr="0071186E">
        <w:rPr>
          <w:szCs w:val="24"/>
          <w:lang w:val="en-CA" w:bidi="en-CA"/>
        </w:rPr>
        <w:t xml:space="preserve">the Parties’ request that they be allowed to make their preliminary </w:t>
      </w:r>
      <w:r w:rsidR="007905EF" w:rsidRPr="0071186E">
        <w:rPr>
          <w:szCs w:val="24"/>
          <w:lang w:val="en-CA" w:bidi="en-CA"/>
        </w:rPr>
        <w:t>representations</w:t>
      </w:r>
      <w:r w:rsidR="00517AAF" w:rsidRPr="0071186E">
        <w:rPr>
          <w:szCs w:val="24"/>
          <w:lang w:val="en-CA" w:bidi="en-CA"/>
        </w:rPr>
        <w:t xml:space="preserve"> </w:t>
      </w:r>
      <w:r w:rsidR="00517AAF" w:rsidRPr="00085EC5">
        <w:rPr>
          <w:i/>
          <w:szCs w:val="24"/>
          <w:lang w:val="en-CA" w:bidi="en-CA"/>
        </w:rPr>
        <w:t>in camera</w:t>
      </w:r>
      <w:r w:rsidR="00517AAF" w:rsidRPr="0071186E">
        <w:rPr>
          <w:szCs w:val="24"/>
          <w:lang w:val="en-CA" w:bidi="en-CA"/>
        </w:rPr>
        <w:t xml:space="preserve"> for the purposes of responding to any questions raised in the proceedings and written </w:t>
      </w:r>
      <w:r w:rsidR="00AA56DD">
        <w:rPr>
          <w:szCs w:val="24"/>
          <w:lang w:val="en-CA" w:bidi="en-CA"/>
        </w:rPr>
        <w:t>submissions</w:t>
      </w:r>
      <w:r w:rsidR="007905EF" w:rsidRPr="0071186E">
        <w:rPr>
          <w:szCs w:val="24"/>
          <w:lang w:val="en-CA" w:bidi="en-CA"/>
        </w:rPr>
        <w:t xml:space="preserve"> </w:t>
      </w:r>
      <w:r w:rsidR="00517AAF" w:rsidRPr="0071186E">
        <w:rPr>
          <w:szCs w:val="24"/>
          <w:lang w:val="en-CA" w:bidi="en-CA"/>
        </w:rPr>
        <w:t xml:space="preserve">regarding compliance with the conditions of the Draft Agreement, in accordance with the criteria set out in </w:t>
      </w:r>
      <w:r w:rsidR="00F57710">
        <w:rPr>
          <w:szCs w:val="24"/>
          <w:lang w:val="en-CA" w:bidi="en-CA"/>
        </w:rPr>
        <w:t>s.</w:t>
      </w:r>
      <w:r w:rsidR="00B905A8" w:rsidRPr="0071186E">
        <w:rPr>
          <w:szCs w:val="24"/>
          <w:lang w:val="en-CA" w:bidi="en-CA"/>
        </w:rPr>
        <w:t> </w:t>
      </w:r>
      <w:r w:rsidR="00517AAF" w:rsidRPr="0071186E">
        <w:rPr>
          <w:szCs w:val="24"/>
          <w:lang w:val="en-CA" w:bidi="en-CA"/>
        </w:rPr>
        <w:t>715.37(6)</w:t>
      </w:r>
      <w:r w:rsidR="00CD3249" w:rsidRPr="0071186E">
        <w:rPr>
          <w:szCs w:val="24"/>
          <w:lang w:val="en-CA" w:bidi="en-CA"/>
        </w:rPr>
        <w:t> </w:t>
      </w:r>
      <w:r w:rsidR="00517AAF" w:rsidRPr="0071186E">
        <w:rPr>
          <w:szCs w:val="24"/>
          <w:lang w:val="en-CA" w:bidi="en-CA"/>
        </w:rPr>
        <w:t>Cr.</w:t>
      </w:r>
      <w:r>
        <w:rPr>
          <w:szCs w:val="24"/>
          <w:lang w:val="en-CA" w:bidi="en-CA"/>
        </w:rPr>
        <w:t> </w:t>
      </w:r>
      <w:r w:rsidR="00517AAF" w:rsidRPr="0071186E">
        <w:rPr>
          <w:szCs w:val="24"/>
          <w:lang w:val="en-CA" w:bidi="en-CA"/>
        </w:rPr>
        <w:t>C.</w:t>
      </w:r>
    </w:p>
    <w:p w14:paraId="0B5FD894" w14:textId="77777777" w:rsidR="007964E8" w:rsidRPr="0071186E" w:rsidRDefault="00517AAF" w:rsidP="00F75163">
      <w:pPr>
        <w:pStyle w:val="SimpleL1"/>
        <w:rPr>
          <w:szCs w:val="24"/>
          <w:lang w:val="en-CA"/>
        </w:rPr>
      </w:pPr>
      <w:r w:rsidRPr="0071186E">
        <w:rPr>
          <w:szCs w:val="24"/>
          <w:lang w:val="en-CA" w:bidi="en-CA"/>
        </w:rPr>
        <w:t xml:space="preserve">Moreover, contrary to the British procedure, the Court did not </w:t>
      </w:r>
      <w:r w:rsidR="007905EF" w:rsidRPr="0071186E">
        <w:rPr>
          <w:szCs w:val="24"/>
          <w:lang w:val="en-CA" w:bidi="en-CA"/>
        </w:rPr>
        <w:t>consider</w:t>
      </w:r>
      <w:r w:rsidRPr="0071186E">
        <w:rPr>
          <w:szCs w:val="24"/>
          <w:lang w:val="en-CA" w:bidi="en-CA"/>
        </w:rPr>
        <w:t xml:space="preserve"> the </w:t>
      </w:r>
      <w:r w:rsidR="007905EF" w:rsidRPr="0071186E">
        <w:rPr>
          <w:szCs w:val="24"/>
          <w:lang w:val="en-CA" w:bidi="en-CA"/>
        </w:rPr>
        <w:t xml:space="preserve">merits </w:t>
      </w:r>
      <w:r w:rsidRPr="0071186E">
        <w:rPr>
          <w:szCs w:val="24"/>
          <w:lang w:val="en-CA" w:bidi="en-CA"/>
        </w:rPr>
        <w:t xml:space="preserve">of the Agreement during this </w:t>
      </w:r>
      <w:r w:rsidRPr="00085EC5">
        <w:rPr>
          <w:i/>
          <w:szCs w:val="24"/>
          <w:lang w:val="en-CA" w:bidi="en-CA"/>
        </w:rPr>
        <w:t>in camera</w:t>
      </w:r>
      <w:r w:rsidRPr="0071186E">
        <w:rPr>
          <w:szCs w:val="24"/>
          <w:lang w:val="en-CA" w:bidi="en-CA"/>
        </w:rPr>
        <w:t xml:space="preserve"> phase, reserving this exercise for the public hearing.</w:t>
      </w:r>
    </w:p>
    <w:p w14:paraId="77045DCF" w14:textId="7FCC1BC0" w:rsidR="00517AAF" w:rsidRPr="0071186E" w:rsidRDefault="00517AAF" w:rsidP="00F75163">
      <w:pPr>
        <w:pStyle w:val="SimpleL1"/>
        <w:rPr>
          <w:szCs w:val="24"/>
          <w:lang w:val="en-CA"/>
        </w:rPr>
      </w:pPr>
      <w:r w:rsidRPr="0071186E">
        <w:rPr>
          <w:szCs w:val="24"/>
          <w:lang w:val="en-CA" w:bidi="en-CA"/>
        </w:rPr>
        <w:t>Finally, it was agreed that</w:t>
      </w:r>
      <w:r w:rsidR="00B46F0F">
        <w:rPr>
          <w:szCs w:val="24"/>
          <w:lang w:val="en-CA" w:bidi="en-CA"/>
        </w:rPr>
        <w:t xml:space="preserve"> during</w:t>
      </w:r>
      <w:r w:rsidR="00B46F0F" w:rsidRPr="00B46F0F">
        <w:rPr>
          <w:szCs w:val="24"/>
          <w:lang w:val="en-CA" w:bidi="en-CA"/>
        </w:rPr>
        <w:t xml:space="preserve"> </w:t>
      </w:r>
      <w:r w:rsidR="00B46F0F" w:rsidRPr="0071186E">
        <w:rPr>
          <w:szCs w:val="24"/>
          <w:lang w:val="en-CA" w:bidi="en-CA"/>
        </w:rPr>
        <w:t xml:space="preserve">a public hearing for the Draft Agreement’s approval pursuant to </w:t>
      </w:r>
      <w:r w:rsidR="00F57710">
        <w:rPr>
          <w:szCs w:val="24"/>
          <w:lang w:val="en-CA" w:bidi="en-CA"/>
        </w:rPr>
        <w:t>s.</w:t>
      </w:r>
      <w:r w:rsidR="00B46F0F" w:rsidRPr="0071186E">
        <w:rPr>
          <w:szCs w:val="24"/>
          <w:lang w:val="en-CA" w:bidi="en-CA"/>
        </w:rPr>
        <w:t>715.37(3) Cr.</w:t>
      </w:r>
      <w:r w:rsidR="00B46F0F">
        <w:rPr>
          <w:szCs w:val="24"/>
          <w:lang w:val="en-CA" w:bidi="en-CA"/>
        </w:rPr>
        <w:t> </w:t>
      </w:r>
      <w:r w:rsidR="00B46F0F" w:rsidRPr="0071186E">
        <w:rPr>
          <w:szCs w:val="24"/>
          <w:lang w:val="en-CA" w:bidi="en-CA"/>
        </w:rPr>
        <w:t>C.</w:t>
      </w:r>
      <w:r w:rsidR="00B46F0F">
        <w:rPr>
          <w:szCs w:val="24"/>
          <w:lang w:val="en-CA" w:bidi="en-CA"/>
        </w:rPr>
        <w:t>,</w:t>
      </w:r>
      <w:r w:rsidRPr="0071186E">
        <w:rPr>
          <w:szCs w:val="24"/>
          <w:lang w:val="en-CA" w:bidi="en-CA"/>
        </w:rPr>
        <w:t xml:space="preserve"> the Court could determine the conditions </w:t>
      </w:r>
      <w:r w:rsidR="00B46F0F">
        <w:rPr>
          <w:szCs w:val="24"/>
          <w:lang w:val="en-CA" w:bidi="en-CA"/>
        </w:rPr>
        <w:t>and time for lifting</w:t>
      </w:r>
      <w:r w:rsidRPr="0071186E">
        <w:rPr>
          <w:szCs w:val="24"/>
          <w:lang w:val="en-CA" w:bidi="en-CA"/>
        </w:rPr>
        <w:t xml:space="preserve"> the confidentiality measures, </w:t>
      </w:r>
      <w:r w:rsidR="00B46F0F">
        <w:rPr>
          <w:szCs w:val="24"/>
          <w:lang w:val="en-CA" w:bidi="en-CA"/>
        </w:rPr>
        <w:t>then</w:t>
      </w:r>
      <w:r w:rsidRPr="0071186E">
        <w:rPr>
          <w:szCs w:val="24"/>
          <w:lang w:val="en-CA" w:bidi="en-CA"/>
        </w:rPr>
        <w:t xml:space="preserve">, </w:t>
      </w:r>
      <w:r w:rsidR="00B46F0F">
        <w:rPr>
          <w:szCs w:val="24"/>
          <w:lang w:val="en-CA" w:bidi="en-CA"/>
        </w:rPr>
        <w:t>if</w:t>
      </w:r>
      <w:r w:rsidR="00B46F0F" w:rsidRPr="0071186E">
        <w:rPr>
          <w:szCs w:val="24"/>
          <w:lang w:val="en-CA" w:bidi="en-CA"/>
        </w:rPr>
        <w:t xml:space="preserve"> </w:t>
      </w:r>
      <w:r w:rsidRPr="0071186E">
        <w:rPr>
          <w:szCs w:val="24"/>
          <w:lang w:val="en-CA" w:bidi="en-CA"/>
        </w:rPr>
        <w:t xml:space="preserve">applicable, </w:t>
      </w:r>
      <w:r w:rsidR="00B46F0F">
        <w:rPr>
          <w:szCs w:val="24"/>
          <w:lang w:val="en-CA" w:bidi="en-CA"/>
        </w:rPr>
        <w:t>for</w:t>
      </w:r>
      <w:r w:rsidR="00B46F0F" w:rsidRPr="0071186E">
        <w:rPr>
          <w:szCs w:val="24"/>
          <w:lang w:val="en-CA" w:bidi="en-CA"/>
        </w:rPr>
        <w:t xml:space="preserve"> </w:t>
      </w:r>
      <w:r w:rsidRPr="0071186E">
        <w:rPr>
          <w:szCs w:val="24"/>
          <w:lang w:val="en-CA" w:bidi="en-CA"/>
        </w:rPr>
        <w:t>publi</w:t>
      </w:r>
      <w:r w:rsidR="00B46F0F">
        <w:rPr>
          <w:szCs w:val="24"/>
          <w:lang w:val="en-CA" w:bidi="en-CA"/>
        </w:rPr>
        <w:t>shing</w:t>
      </w:r>
      <w:r w:rsidRPr="0071186E">
        <w:rPr>
          <w:szCs w:val="24"/>
          <w:lang w:val="en-CA" w:bidi="en-CA"/>
        </w:rPr>
        <w:t xml:space="preserve"> the approved Agreement and accompanying reasoned orders pursuant to s</w:t>
      </w:r>
      <w:r w:rsidR="00F57710">
        <w:rPr>
          <w:szCs w:val="24"/>
          <w:lang w:val="en-CA" w:bidi="en-CA"/>
        </w:rPr>
        <w:t>s</w:t>
      </w:r>
      <w:r w:rsidR="00CB1085">
        <w:rPr>
          <w:szCs w:val="24"/>
          <w:lang w:val="en-CA" w:bidi="en-CA"/>
        </w:rPr>
        <w:t>.</w:t>
      </w:r>
      <w:r w:rsidR="00CD3249" w:rsidRPr="0071186E">
        <w:rPr>
          <w:szCs w:val="24"/>
          <w:lang w:val="en-CA" w:bidi="en-CA"/>
        </w:rPr>
        <w:t> </w:t>
      </w:r>
      <w:r w:rsidRPr="0071186E">
        <w:rPr>
          <w:szCs w:val="24"/>
          <w:lang w:val="en-CA" w:bidi="en-CA"/>
        </w:rPr>
        <w:t>715.42 Cr.</w:t>
      </w:r>
      <w:r w:rsidR="00B46F0F">
        <w:rPr>
          <w:szCs w:val="24"/>
          <w:lang w:val="en-CA" w:bidi="en-CA"/>
        </w:rPr>
        <w:t> </w:t>
      </w:r>
      <w:r w:rsidRPr="0071186E">
        <w:rPr>
          <w:szCs w:val="24"/>
          <w:lang w:val="en-CA" w:bidi="en-CA"/>
        </w:rPr>
        <w:t>C.</w:t>
      </w:r>
    </w:p>
    <w:p w14:paraId="7D8FC94E" w14:textId="27F892FD" w:rsidR="00517AAF" w:rsidRPr="0071186E" w:rsidRDefault="00517AAF" w:rsidP="00252E88">
      <w:pPr>
        <w:pStyle w:val="Titre2"/>
        <w:rPr>
          <w:lang w:val="en-CA" w:bidi="en-CA"/>
        </w:rPr>
      </w:pPr>
      <w:bookmarkStart w:id="7" w:name="_Toc109310846"/>
      <w:r w:rsidRPr="0071186E">
        <w:rPr>
          <w:lang w:val="en-CA" w:bidi="en-CA"/>
        </w:rPr>
        <w:t>Sealing of a document protected by settlement privilege</w:t>
      </w:r>
      <w:bookmarkEnd w:id="7"/>
    </w:p>
    <w:p w14:paraId="102A9FF6" w14:textId="64EFF1A5" w:rsidR="00517AAF" w:rsidRPr="0071186E" w:rsidRDefault="00517AAF" w:rsidP="00F75163">
      <w:pPr>
        <w:pStyle w:val="SimpleL1"/>
        <w:rPr>
          <w:szCs w:val="24"/>
          <w:lang w:val="en-CA"/>
        </w:rPr>
      </w:pPr>
      <w:r w:rsidRPr="0071186E">
        <w:rPr>
          <w:szCs w:val="24"/>
          <w:lang w:val="en-CA" w:bidi="en-CA"/>
        </w:rPr>
        <w:t xml:space="preserve">It bears noting that once the public hearing ends and the Agreement is approved by the Court, all documents </w:t>
      </w:r>
      <w:r w:rsidR="00DE05C9">
        <w:rPr>
          <w:szCs w:val="24"/>
          <w:lang w:val="en-CA" w:bidi="en-CA"/>
        </w:rPr>
        <w:t>filed</w:t>
      </w:r>
      <w:r w:rsidRPr="0071186E">
        <w:rPr>
          <w:szCs w:val="24"/>
          <w:lang w:val="en-CA" w:bidi="en-CA"/>
        </w:rPr>
        <w:t>, including those adduced during the hearings</w:t>
      </w:r>
      <w:r w:rsidR="00085EC5" w:rsidRPr="00085EC5">
        <w:rPr>
          <w:i/>
          <w:szCs w:val="24"/>
          <w:lang w:val="en-CA" w:bidi="en-CA"/>
        </w:rPr>
        <w:t xml:space="preserve"> in camera</w:t>
      </w:r>
      <w:r w:rsidRPr="0071186E">
        <w:rPr>
          <w:szCs w:val="24"/>
          <w:lang w:val="en-CA" w:bidi="en-CA"/>
        </w:rPr>
        <w:t xml:space="preserve">, </w:t>
      </w:r>
      <w:r w:rsidR="007905EF" w:rsidRPr="0071186E">
        <w:rPr>
          <w:szCs w:val="24"/>
          <w:lang w:val="en-CA" w:bidi="en-CA"/>
        </w:rPr>
        <w:t xml:space="preserve">become </w:t>
      </w:r>
      <w:r w:rsidRPr="0071186E">
        <w:rPr>
          <w:szCs w:val="24"/>
          <w:lang w:val="en-CA" w:bidi="en-CA"/>
        </w:rPr>
        <w:t>public</w:t>
      </w:r>
      <w:r w:rsidR="007905EF" w:rsidRPr="0071186E">
        <w:rPr>
          <w:szCs w:val="24"/>
          <w:lang w:val="en-CA" w:bidi="en-CA"/>
        </w:rPr>
        <w:t>,</w:t>
      </w:r>
      <w:r w:rsidRPr="0071186E">
        <w:rPr>
          <w:szCs w:val="24"/>
          <w:lang w:val="en-CA" w:bidi="en-CA"/>
        </w:rPr>
        <w:t xml:space="preserve"> with the exception of a single </w:t>
      </w:r>
      <w:r w:rsidR="00DE05C9">
        <w:rPr>
          <w:szCs w:val="24"/>
          <w:lang w:val="en-CA" w:bidi="en-CA"/>
        </w:rPr>
        <w:t>one</w:t>
      </w:r>
      <w:r w:rsidRPr="0071186E">
        <w:rPr>
          <w:szCs w:val="24"/>
          <w:lang w:val="en-CA" w:bidi="en-CA"/>
        </w:rPr>
        <w:t>.</w:t>
      </w:r>
    </w:p>
    <w:p w14:paraId="4E476620" w14:textId="4172F17C" w:rsidR="00517AAF" w:rsidRPr="0071186E" w:rsidRDefault="00517AAF" w:rsidP="00F75163">
      <w:pPr>
        <w:pStyle w:val="SimpleL1"/>
        <w:rPr>
          <w:szCs w:val="24"/>
          <w:lang w:val="en-CA"/>
        </w:rPr>
      </w:pPr>
      <w:r w:rsidRPr="0071186E">
        <w:rPr>
          <w:szCs w:val="24"/>
          <w:lang w:val="en-CA" w:bidi="en-CA"/>
        </w:rPr>
        <w:t xml:space="preserve">The Parties agreed that </w:t>
      </w:r>
      <w:r w:rsidR="00DE05C9">
        <w:rPr>
          <w:szCs w:val="24"/>
          <w:lang w:val="en-CA" w:bidi="en-CA"/>
        </w:rPr>
        <w:t>a single</w:t>
      </w:r>
      <w:r w:rsidRPr="0071186E">
        <w:rPr>
          <w:szCs w:val="24"/>
          <w:lang w:val="en-CA" w:bidi="en-CA"/>
        </w:rPr>
        <w:t xml:space="preserve"> document would be permanently protected by settlement privilege, namely Schedule C entitled </w:t>
      </w:r>
      <w:r w:rsidR="00DE05C9">
        <w:rPr>
          <w:szCs w:val="24"/>
          <w:lang w:val="en-CA" w:bidi="en-CA"/>
        </w:rPr>
        <w:t>[</w:t>
      </w:r>
      <w:r w:rsidR="00DE05C9" w:rsidRPr="006B7F16">
        <w:rPr>
          <w:smallCaps/>
          <w:szCs w:val="24"/>
          <w:lang w:val="en-CA" w:bidi="en-CA"/>
        </w:rPr>
        <w:t>translation</w:t>
      </w:r>
      <w:r w:rsidR="00DE05C9">
        <w:rPr>
          <w:szCs w:val="24"/>
          <w:lang w:val="en-CA" w:bidi="en-CA"/>
        </w:rPr>
        <w:t xml:space="preserve">] </w:t>
      </w:r>
      <w:r w:rsidR="009B6364" w:rsidRPr="0071186E">
        <w:rPr>
          <w:szCs w:val="24"/>
          <w:lang w:val="en-CA" w:bidi="en-CA"/>
        </w:rPr>
        <w:t xml:space="preserve">“Statement of Facts” </w:t>
      </w:r>
      <w:r w:rsidR="00DE05C9">
        <w:rPr>
          <w:szCs w:val="24"/>
          <w:lang w:val="en-CA" w:bidi="en-CA"/>
        </w:rPr>
        <w:t>under</w:t>
      </w:r>
      <w:r w:rsidR="00DE05C9" w:rsidRPr="0071186E">
        <w:rPr>
          <w:szCs w:val="24"/>
          <w:lang w:val="en-CA" w:bidi="en-CA"/>
        </w:rPr>
        <w:t xml:space="preserve"> </w:t>
      </w:r>
      <w:r w:rsidR="009B6364" w:rsidRPr="0071186E">
        <w:rPr>
          <w:szCs w:val="24"/>
          <w:lang w:val="en-CA" w:bidi="en-CA"/>
        </w:rPr>
        <w:t>Exhibit </w:t>
      </w:r>
      <w:r w:rsidRPr="0071186E">
        <w:rPr>
          <w:szCs w:val="24"/>
          <w:lang w:val="en-CA" w:bidi="en-CA"/>
        </w:rPr>
        <w:t xml:space="preserve">R-5 - Detailed Notice of Offer to Negotiate a Remediation Agreement of the </w:t>
      </w:r>
      <w:r w:rsidRPr="0071186E">
        <w:rPr>
          <w:i/>
          <w:szCs w:val="24"/>
          <w:lang w:val="en-CA" w:bidi="en-CA"/>
        </w:rPr>
        <w:t>Application for Approval.</w:t>
      </w:r>
    </w:p>
    <w:p w14:paraId="2425B796" w14:textId="469A26CC" w:rsidR="00517AAF" w:rsidRPr="0071186E" w:rsidRDefault="00517AAF" w:rsidP="00F75163">
      <w:pPr>
        <w:pStyle w:val="SimpleL1"/>
        <w:rPr>
          <w:szCs w:val="24"/>
          <w:lang w:val="en-CA"/>
        </w:rPr>
      </w:pPr>
      <w:r w:rsidRPr="0071186E">
        <w:rPr>
          <w:szCs w:val="24"/>
          <w:lang w:val="en-CA" w:bidi="en-CA"/>
        </w:rPr>
        <w:t>Th</w:t>
      </w:r>
      <w:r w:rsidR="00DE05C9">
        <w:rPr>
          <w:szCs w:val="24"/>
          <w:lang w:val="en-CA" w:bidi="en-CA"/>
        </w:rPr>
        <w:t>at</w:t>
      </w:r>
      <w:r w:rsidRPr="0071186E">
        <w:rPr>
          <w:szCs w:val="24"/>
          <w:lang w:val="en-CA" w:bidi="en-CA"/>
        </w:rPr>
        <w:t xml:space="preserve"> exhibit is a communication that was exchanged for the purpose of taking a position during the negotiations and is not an integral part of the agreement submitted for approval.</w:t>
      </w:r>
    </w:p>
    <w:p w14:paraId="5600C6CA" w14:textId="22CF3C20" w:rsidR="00517AAF" w:rsidRPr="0071186E" w:rsidRDefault="00517AAF" w:rsidP="00F75163">
      <w:pPr>
        <w:pStyle w:val="SimpleL1"/>
        <w:rPr>
          <w:szCs w:val="24"/>
          <w:lang w:val="en-CA"/>
        </w:rPr>
      </w:pPr>
      <w:r w:rsidRPr="0071186E">
        <w:rPr>
          <w:szCs w:val="24"/>
          <w:lang w:val="en-CA" w:bidi="en-CA"/>
        </w:rPr>
        <w:t xml:space="preserve">As the Supreme Court ruled in </w:t>
      </w:r>
      <w:r w:rsidRPr="0071186E">
        <w:rPr>
          <w:i/>
          <w:szCs w:val="24"/>
          <w:lang w:val="en-CA" w:bidi="en-CA"/>
        </w:rPr>
        <w:t>Sable Offshore Energy Inc. v.</w:t>
      </w:r>
      <w:r w:rsidRPr="0071186E">
        <w:rPr>
          <w:szCs w:val="24"/>
          <w:lang w:val="en-CA" w:bidi="en-CA"/>
        </w:rPr>
        <w:t xml:space="preserve"> </w:t>
      </w:r>
      <w:r w:rsidRPr="0071186E">
        <w:rPr>
          <w:i/>
          <w:szCs w:val="24"/>
          <w:lang w:val="en-CA" w:bidi="en-CA"/>
        </w:rPr>
        <w:t>Ameron International Corp.,</w:t>
      </w:r>
      <w:r w:rsidR="009B6364" w:rsidRPr="0071186E">
        <w:rPr>
          <w:rStyle w:val="Appelnotedebasdep"/>
          <w:i/>
          <w:szCs w:val="24"/>
          <w:lang w:val="en-CA" w:bidi="en-CA"/>
        </w:rPr>
        <w:footnoteReference w:id="30"/>
      </w:r>
      <w:r w:rsidRPr="0071186E">
        <w:rPr>
          <w:i/>
          <w:szCs w:val="24"/>
          <w:lang w:val="en-CA" w:bidi="en-CA"/>
        </w:rPr>
        <w:t xml:space="preserve"> </w:t>
      </w:r>
      <w:r w:rsidRPr="0071186E">
        <w:rPr>
          <w:szCs w:val="24"/>
          <w:lang w:val="en-CA" w:bidi="en-CA"/>
        </w:rPr>
        <w:t>settlement privilege is a rule of evidence that protects communications between parties negotiating in a dispute.</w:t>
      </w:r>
    </w:p>
    <w:p w14:paraId="76D7104A" w14:textId="77777777" w:rsidR="00517AAF" w:rsidRPr="0071186E" w:rsidRDefault="00517AAF" w:rsidP="007905EF">
      <w:pPr>
        <w:pStyle w:val="Retraitcorpsdetexte"/>
        <w:ind w:right="542"/>
        <w:rPr>
          <w:lang w:val="en-CA"/>
        </w:rPr>
      </w:pPr>
      <w:r w:rsidRPr="0071186E">
        <w:rPr>
          <w:lang w:val="en-CA" w:bidi="en-CA"/>
        </w:rPr>
        <w:lastRenderedPageBreak/>
        <w:t>The purpose of settlement privilege is to promote settlement. The privilege</w:t>
      </w:r>
      <w:r w:rsidRPr="0071186E">
        <w:rPr>
          <w:sz w:val="21"/>
          <w:lang w:val="en-CA" w:bidi="en-CA"/>
        </w:rPr>
        <w:t xml:space="preserve"> </w:t>
      </w:r>
      <w:r w:rsidRPr="0071186E">
        <w:rPr>
          <w:lang w:val="en-CA" w:bidi="en-CA"/>
        </w:rPr>
        <w:t xml:space="preserve">wraps a protective veil around the efforts parties make to settle their disputes by ensuring that communications made in the course of these negotiations are inadmissible.  </w:t>
      </w:r>
    </w:p>
    <w:p w14:paraId="3398F014" w14:textId="21987280" w:rsidR="00517AAF" w:rsidRPr="0071186E" w:rsidRDefault="00517AAF" w:rsidP="007905EF">
      <w:pPr>
        <w:pStyle w:val="Retraitcorpsdetexte"/>
        <w:ind w:right="542"/>
        <w:rPr>
          <w:szCs w:val="22"/>
          <w:lang w:val="en-CA"/>
        </w:rPr>
      </w:pPr>
      <w:r w:rsidRPr="0071186E">
        <w:rPr>
          <w:szCs w:val="22"/>
          <w:lang w:val="en-CA"/>
        </w:rPr>
        <w:t>...</w:t>
      </w:r>
    </w:p>
    <w:p w14:paraId="0D3EF939" w14:textId="77777777" w:rsidR="00517AAF" w:rsidRPr="0071186E" w:rsidRDefault="00517AAF" w:rsidP="007905EF">
      <w:pPr>
        <w:pStyle w:val="Retraitcorpsdetexte"/>
        <w:ind w:right="542"/>
        <w:rPr>
          <w:szCs w:val="22"/>
          <w:vertAlign w:val="superscript"/>
          <w:lang w:val="en-CA"/>
        </w:rPr>
      </w:pPr>
      <w:r w:rsidRPr="0071186E">
        <w:rPr>
          <w:szCs w:val="22"/>
          <w:lang w:val="en-CA"/>
        </w:rPr>
        <w:t>[T]he protection is for settlement negotiations, whether or not a settlement is reached.  That means that successful negotiations are entitled to no less protection than ones that yield no settlement.</w:t>
      </w:r>
      <w:r w:rsidR="009B6364" w:rsidRPr="0071186E">
        <w:rPr>
          <w:rStyle w:val="Appelnotedebasdep"/>
          <w:szCs w:val="22"/>
          <w:lang w:val="en-CA"/>
        </w:rPr>
        <w:footnoteReference w:id="31"/>
      </w:r>
    </w:p>
    <w:p w14:paraId="43EBBDE6" w14:textId="12F51BA2" w:rsidR="00517AAF" w:rsidRPr="0071186E" w:rsidRDefault="00517AAF" w:rsidP="00F75163">
      <w:pPr>
        <w:pStyle w:val="SimpleL1"/>
        <w:rPr>
          <w:szCs w:val="24"/>
          <w:lang w:val="en-CA"/>
        </w:rPr>
      </w:pPr>
      <w:r w:rsidRPr="0071186E">
        <w:rPr>
          <w:szCs w:val="24"/>
          <w:lang w:val="en-CA" w:bidi="en-CA"/>
        </w:rPr>
        <w:t xml:space="preserve">The Parties, </w:t>
      </w:r>
      <w:r w:rsidR="00DE05C9">
        <w:rPr>
          <w:szCs w:val="24"/>
          <w:lang w:val="en-CA" w:bidi="en-CA"/>
        </w:rPr>
        <w:t>who hold</w:t>
      </w:r>
      <w:r w:rsidRPr="0071186E">
        <w:rPr>
          <w:szCs w:val="24"/>
          <w:lang w:val="en-CA" w:bidi="en-CA"/>
        </w:rPr>
        <w:t xml:space="preserve"> the privilege, requested </w:t>
      </w:r>
      <w:r w:rsidR="00BD26B6">
        <w:rPr>
          <w:szCs w:val="24"/>
          <w:lang w:val="en-CA" w:bidi="en-CA"/>
        </w:rPr>
        <w:t>during</w:t>
      </w:r>
      <w:r w:rsidR="00BD26B6" w:rsidRPr="0071186E">
        <w:rPr>
          <w:szCs w:val="24"/>
          <w:lang w:val="en-CA" w:bidi="en-CA"/>
        </w:rPr>
        <w:t xml:space="preserve"> the public hearing</w:t>
      </w:r>
      <w:r w:rsidR="00BD26B6" w:rsidRPr="0071186E" w:rsidDel="00BD26B6">
        <w:rPr>
          <w:szCs w:val="24"/>
          <w:lang w:val="en-CA" w:bidi="en-CA"/>
        </w:rPr>
        <w:t xml:space="preserve"> </w:t>
      </w:r>
      <w:r w:rsidRPr="0071186E">
        <w:rPr>
          <w:szCs w:val="24"/>
          <w:lang w:val="en-CA" w:bidi="en-CA"/>
        </w:rPr>
        <w:t xml:space="preserve">that this Schedule C be sealed; the Court </w:t>
      </w:r>
      <w:r w:rsidR="00BD26B6">
        <w:rPr>
          <w:szCs w:val="24"/>
          <w:lang w:val="en-CA" w:bidi="en-CA"/>
        </w:rPr>
        <w:t>granted</w:t>
      </w:r>
      <w:r w:rsidRPr="0071186E">
        <w:rPr>
          <w:szCs w:val="24"/>
          <w:lang w:val="en-CA" w:bidi="en-CA"/>
        </w:rPr>
        <w:t xml:space="preserve"> this application and issued the appropriate order.</w:t>
      </w:r>
      <w:r w:rsidR="009B6364" w:rsidRPr="0071186E">
        <w:rPr>
          <w:rStyle w:val="Appelnotedebasdep"/>
          <w:szCs w:val="24"/>
          <w:lang w:val="en-CA" w:bidi="en-CA"/>
        </w:rPr>
        <w:footnoteReference w:id="32"/>
      </w:r>
    </w:p>
    <w:p w14:paraId="45E0F141" w14:textId="6031C1C2" w:rsidR="00517AAF" w:rsidRPr="0071186E" w:rsidRDefault="00517AAF" w:rsidP="00252E88">
      <w:pPr>
        <w:pStyle w:val="Titre2"/>
        <w:rPr>
          <w:lang w:val="en-CA" w:bidi="en-CA"/>
        </w:rPr>
      </w:pPr>
      <w:bookmarkStart w:id="8" w:name="_Toc109310847"/>
      <w:r w:rsidRPr="0071186E">
        <w:rPr>
          <w:lang w:val="en-CA" w:bidi="en-CA"/>
        </w:rPr>
        <w:t xml:space="preserve">Publication, Broadcasting and Transmission Prohibition Order under </w:t>
      </w:r>
      <w:r w:rsidR="00F57710">
        <w:rPr>
          <w:lang w:val="en-CA" w:bidi="en-CA"/>
        </w:rPr>
        <w:t>s.</w:t>
      </w:r>
      <w:r w:rsidRPr="0071186E">
        <w:rPr>
          <w:lang w:val="en-CA" w:bidi="en-CA"/>
        </w:rPr>
        <w:t> 715.42 Cr.</w:t>
      </w:r>
      <w:r w:rsidR="00BD26B6">
        <w:rPr>
          <w:lang w:val="en-CA" w:bidi="en-CA"/>
        </w:rPr>
        <w:t> </w:t>
      </w:r>
      <w:r w:rsidRPr="0071186E">
        <w:rPr>
          <w:lang w:val="en-CA" w:bidi="en-CA"/>
        </w:rPr>
        <w:t>C.</w:t>
      </w:r>
      <w:bookmarkEnd w:id="8"/>
    </w:p>
    <w:p w14:paraId="61941624" w14:textId="0E0DC041" w:rsidR="00517AAF" w:rsidRPr="0071186E" w:rsidRDefault="00517AAF" w:rsidP="00860C9A">
      <w:pPr>
        <w:pStyle w:val="Titre3"/>
        <w:rPr>
          <w:lang w:val="en-CA" w:bidi="en-CA"/>
        </w:rPr>
      </w:pPr>
      <w:bookmarkStart w:id="9" w:name="_Toc109310848"/>
      <w:r w:rsidRPr="0071186E">
        <w:rPr>
          <w:lang w:val="en-CA" w:bidi="en-CA"/>
        </w:rPr>
        <w:t>Application of the regime of s</w:t>
      </w:r>
      <w:r w:rsidR="00F57710">
        <w:rPr>
          <w:lang w:val="en-CA" w:bidi="en-CA"/>
        </w:rPr>
        <w:t>.</w:t>
      </w:r>
      <w:r w:rsidRPr="0071186E">
        <w:rPr>
          <w:lang w:val="en-CA" w:bidi="en-CA"/>
        </w:rPr>
        <w:t xml:space="preserve"> 715.42 Cr.</w:t>
      </w:r>
      <w:r w:rsidR="00BD26B6">
        <w:rPr>
          <w:lang w:val="en-CA" w:bidi="en-CA"/>
        </w:rPr>
        <w:t> </w:t>
      </w:r>
      <w:r w:rsidRPr="0071186E">
        <w:rPr>
          <w:lang w:val="en-CA" w:bidi="en-CA"/>
        </w:rPr>
        <w:t>C.</w:t>
      </w:r>
      <w:bookmarkEnd w:id="9"/>
    </w:p>
    <w:p w14:paraId="09224084" w14:textId="07D9F313" w:rsidR="00517AAF" w:rsidRPr="0071186E" w:rsidRDefault="007905EF" w:rsidP="00517AAF">
      <w:pPr>
        <w:pStyle w:val="SimpleL1"/>
        <w:rPr>
          <w:lang w:val="en-CA" w:bidi="en-CA"/>
        </w:rPr>
      </w:pPr>
      <w:r w:rsidRPr="0071186E">
        <w:rPr>
          <w:lang w:val="en-CA" w:bidi="en-CA"/>
        </w:rPr>
        <w:t xml:space="preserve">The legislator </w:t>
      </w:r>
      <w:r w:rsidR="00517AAF" w:rsidRPr="0071186E">
        <w:rPr>
          <w:lang w:val="en-CA" w:bidi="en-CA"/>
        </w:rPr>
        <w:t>provide</w:t>
      </w:r>
      <w:r w:rsidRPr="0071186E">
        <w:rPr>
          <w:lang w:val="en-CA" w:bidi="en-CA"/>
        </w:rPr>
        <w:t>s</w:t>
      </w:r>
      <w:r w:rsidR="00517AAF" w:rsidRPr="0071186E">
        <w:rPr>
          <w:lang w:val="en-CA" w:bidi="en-CA"/>
        </w:rPr>
        <w:t xml:space="preserve"> a framework for the obligations to publish the remediation agreement in s</w:t>
      </w:r>
      <w:r w:rsidR="00F57710">
        <w:rPr>
          <w:lang w:val="en-CA" w:bidi="en-CA"/>
        </w:rPr>
        <w:t>.</w:t>
      </w:r>
      <w:r w:rsidR="00517AAF" w:rsidRPr="0071186E">
        <w:rPr>
          <w:lang w:val="en-CA" w:bidi="en-CA"/>
        </w:rPr>
        <w:t xml:space="preserve"> 715.42 Cr.</w:t>
      </w:r>
      <w:r w:rsidR="00BD26B6">
        <w:rPr>
          <w:lang w:val="en-CA" w:bidi="en-CA"/>
        </w:rPr>
        <w:t> </w:t>
      </w:r>
      <w:r w:rsidR="00517AAF" w:rsidRPr="0071186E">
        <w:rPr>
          <w:lang w:val="en-CA" w:bidi="en-CA"/>
        </w:rPr>
        <w:t>C.</w:t>
      </w:r>
    </w:p>
    <w:p w14:paraId="0211CED7" w14:textId="17F44D80" w:rsidR="00517AAF" w:rsidRPr="0071186E" w:rsidRDefault="00517AAF" w:rsidP="00517AAF">
      <w:pPr>
        <w:pStyle w:val="SimpleL1"/>
        <w:rPr>
          <w:lang w:val="en-CA" w:bidi="en-CA"/>
        </w:rPr>
      </w:pPr>
      <w:r w:rsidRPr="0071186E">
        <w:rPr>
          <w:lang w:val="en-CA" w:bidi="en-CA"/>
        </w:rPr>
        <w:t>According to 715.42(1) Cr.</w:t>
      </w:r>
      <w:r w:rsidR="00BD26B6">
        <w:rPr>
          <w:lang w:val="en-CA" w:bidi="en-CA"/>
        </w:rPr>
        <w:t> </w:t>
      </w:r>
      <w:r w:rsidRPr="0071186E">
        <w:rPr>
          <w:lang w:val="en-CA" w:bidi="en-CA"/>
        </w:rPr>
        <w:t xml:space="preserve">C., the Court must “as soon as practicable”, publish the remediation agreement “approved by the court” along with </w:t>
      </w:r>
      <w:r w:rsidR="00BD26B6">
        <w:rPr>
          <w:lang w:val="en-CA" w:bidi="en-CA"/>
        </w:rPr>
        <w:t>the</w:t>
      </w:r>
      <w:r w:rsidR="00BD26B6" w:rsidRPr="0071186E">
        <w:rPr>
          <w:lang w:val="en-CA" w:bidi="en-CA"/>
        </w:rPr>
        <w:t xml:space="preserve"> </w:t>
      </w:r>
      <w:r w:rsidRPr="0071186E">
        <w:rPr>
          <w:lang w:val="en-CA" w:bidi="en-CA"/>
        </w:rPr>
        <w:t xml:space="preserve">reasons </w:t>
      </w:r>
      <w:r w:rsidR="00BD26B6">
        <w:rPr>
          <w:lang w:val="en-CA" w:bidi="en-CA"/>
        </w:rPr>
        <w:t>justifying</w:t>
      </w:r>
      <w:r w:rsidR="00BD26B6" w:rsidRPr="0071186E">
        <w:rPr>
          <w:lang w:val="en-CA" w:bidi="en-CA"/>
        </w:rPr>
        <w:t xml:space="preserve"> </w:t>
      </w:r>
      <w:r w:rsidRPr="0071186E">
        <w:rPr>
          <w:lang w:val="en-CA" w:bidi="en-CA"/>
        </w:rPr>
        <w:t xml:space="preserve">that </w:t>
      </w:r>
      <w:r w:rsidR="00BD26B6" w:rsidRPr="0071186E">
        <w:rPr>
          <w:lang w:val="en-CA" w:bidi="en-CA"/>
        </w:rPr>
        <w:t xml:space="preserve">approval </w:t>
      </w:r>
      <w:r w:rsidRPr="0071186E">
        <w:rPr>
          <w:lang w:val="en-CA" w:bidi="en-CA"/>
        </w:rPr>
        <w:t xml:space="preserve">order </w:t>
      </w:r>
      <w:r w:rsidR="00BD26B6">
        <w:rPr>
          <w:lang w:val="en-CA" w:bidi="en-CA"/>
        </w:rPr>
        <w:t>as set out under</w:t>
      </w:r>
      <w:r w:rsidRPr="0071186E">
        <w:rPr>
          <w:lang w:val="en-CA" w:bidi="en-CA"/>
        </w:rPr>
        <w:t xml:space="preserve"> 715.37(6)</w:t>
      </w:r>
      <w:r w:rsidR="007E72AC">
        <w:rPr>
          <w:lang w:val="en-CA" w:bidi="en-CA"/>
        </w:rPr>
        <w:t> </w:t>
      </w:r>
      <w:r w:rsidRPr="0071186E">
        <w:rPr>
          <w:lang w:val="en-CA" w:bidi="en-CA"/>
        </w:rPr>
        <w:t>Cr.</w:t>
      </w:r>
      <w:r w:rsidR="00BD26B6">
        <w:rPr>
          <w:lang w:val="en-CA" w:bidi="en-CA"/>
        </w:rPr>
        <w:t> </w:t>
      </w:r>
      <w:r w:rsidRPr="0071186E">
        <w:rPr>
          <w:lang w:val="en-CA" w:bidi="en-CA"/>
        </w:rPr>
        <w:t>C.</w:t>
      </w:r>
    </w:p>
    <w:p w14:paraId="0038BB24" w14:textId="4F88DDFC" w:rsidR="00517AAF" w:rsidRPr="0071186E" w:rsidRDefault="00517AAF" w:rsidP="00517AAF">
      <w:pPr>
        <w:pStyle w:val="SimpleL1"/>
        <w:rPr>
          <w:lang w:val="en-CA" w:bidi="en-CA"/>
        </w:rPr>
      </w:pPr>
      <w:r w:rsidRPr="0071186E">
        <w:rPr>
          <w:lang w:val="en-CA" w:bidi="en-CA"/>
        </w:rPr>
        <w:t xml:space="preserve">Referring to this </w:t>
      </w:r>
      <w:r w:rsidR="00B905A8">
        <w:rPr>
          <w:lang w:val="en-CA" w:bidi="en-CA"/>
        </w:rPr>
        <w:t>subsection</w:t>
      </w:r>
      <w:r w:rsidRPr="0071186E">
        <w:rPr>
          <w:lang w:val="en-CA" w:bidi="en-CA"/>
        </w:rPr>
        <w:t xml:space="preserve">, the Parties argued that the agreement can be published </w:t>
      </w:r>
      <w:r w:rsidR="007E72AC" w:rsidRPr="0071186E">
        <w:rPr>
          <w:lang w:val="en-CA" w:bidi="en-CA"/>
        </w:rPr>
        <w:t xml:space="preserve">only </w:t>
      </w:r>
      <w:r w:rsidRPr="0071186E">
        <w:rPr>
          <w:lang w:val="en-CA" w:bidi="en-CA"/>
        </w:rPr>
        <w:t>after its approval and cannot be published if approval is refused.</w:t>
      </w:r>
    </w:p>
    <w:p w14:paraId="1B700DED" w14:textId="7E47F3D5" w:rsidR="00517AAF" w:rsidRPr="0071186E" w:rsidRDefault="00517AAF" w:rsidP="00517AAF">
      <w:pPr>
        <w:pStyle w:val="SimpleL1"/>
        <w:rPr>
          <w:lang w:val="en-CA" w:bidi="en-CA"/>
        </w:rPr>
      </w:pPr>
      <w:r w:rsidRPr="0071186E">
        <w:rPr>
          <w:lang w:val="en-CA" w:bidi="en-CA"/>
        </w:rPr>
        <w:t>In addition, according to 715.42(2) Cr.</w:t>
      </w:r>
      <w:r w:rsidR="007C6711">
        <w:rPr>
          <w:lang w:val="en-CA" w:bidi="en-CA"/>
        </w:rPr>
        <w:t> </w:t>
      </w:r>
      <w:r w:rsidRPr="0071186E">
        <w:rPr>
          <w:lang w:val="en-CA" w:bidi="en-CA"/>
        </w:rPr>
        <w:t>C., the Court “may decide not to publish the agreement or any order or reasons referred to in paragraph (1)(b), in whole or in part, if it is satisfied that the non-publication is necessary for the proper administration of justice”.</w:t>
      </w:r>
    </w:p>
    <w:p w14:paraId="34D31043" w14:textId="296237FA" w:rsidR="00517AAF" w:rsidRPr="0071186E" w:rsidRDefault="00517AAF" w:rsidP="00517AAF">
      <w:pPr>
        <w:pStyle w:val="SimpleL1"/>
        <w:rPr>
          <w:lang w:val="en-CA" w:bidi="en-CA"/>
        </w:rPr>
      </w:pPr>
      <w:r w:rsidRPr="0071186E">
        <w:rPr>
          <w:lang w:val="en-CA" w:bidi="en-CA"/>
        </w:rPr>
        <w:t xml:space="preserve">On that score, </w:t>
      </w:r>
      <w:r w:rsidR="004C631C">
        <w:rPr>
          <w:lang w:val="en-CA" w:bidi="en-CA"/>
        </w:rPr>
        <w:t>under</w:t>
      </w:r>
      <w:r w:rsidR="004C631C" w:rsidRPr="0071186E">
        <w:rPr>
          <w:lang w:val="en-CA" w:bidi="en-CA"/>
        </w:rPr>
        <w:t xml:space="preserve"> 715.42(3) Cr.</w:t>
      </w:r>
      <w:r w:rsidR="004C631C">
        <w:rPr>
          <w:lang w:val="en-CA" w:bidi="en-CA"/>
        </w:rPr>
        <w:t> </w:t>
      </w:r>
      <w:r w:rsidR="004C631C" w:rsidRPr="0071186E">
        <w:rPr>
          <w:lang w:val="en-CA" w:bidi="en-CA"/>
        </w:rPr>
        <w:t>C.</w:t>
      </w:r>
      <w:r w:rsidR="004C631C">
        <w:rPr>
          <w:lang w:val="en-CA" w:bidi="en-CA"/>
        </w:rPr>
        <w:t>,</w:t>
      </w:r>
      <w:r w:rsidR="004C631C" w:rsidRPr="0071186E">
        <w:rPr>
          <w:lang w:val="en-CA" w:bidi="en-CA"/>
        </w:rPr>
        <w:t xml:space="preserve"> </w:t>
      </w:r>
      <w:r w:rsidR="007905EF" w:rsidRPr="0071186E">
        <w:rPr>
          <w:lang w:val="en-CA" w:bidi="en-CA"/>
        </w:rPr>
        <w:t xml:space="preserve">the legislator </w:t>
      </w:r>
      <w:r w:rsidRPr="0071186E">
        <w:rPr>
          <w:lang w:val="en-CA" w:bidi="en-CA"/>
        </w:rPr>
        <w:t>list</w:t>
      </w:r>
      <w:r w:rsidR="007905EF" w:rsidRPr="0071186E">
        <w:rPr>
          <w:lang w:val="en-CA" w:bidi="en-CA"/>
        </w:rPr>
        <w:t>s</w:t>
      </w:r>
      <w:r w:rsidRPr="0071186E">
        <w:rPr>
          <w:lang w:val="en-CA" w:bidi="en-CA"/>
        </w:rPr>
        <w:t xml:space="preserve"> those factors that are to be considered when “decid[ing] whether the proper administration of justice requires making the deci</w:t>
      </w:r>
      <w:r w:rsidR="001C38EF">
        <w:rPr>
          <w:lang w:val="en-CA" w:bidi="en-CA"/>
        </w:rPr>
        <w:t xml:space="preserve">sion referred to in subsection </w:t>
      </w:r>
      <w:r w:rsidR="004C631C">
        <w:rPr>
          <w:lang w:val="en-CA" w:bidi="en-CA"/>
        </w:rPr>
        <w:t>[</w:t>
      </w:r>
      <w:r w:rsidR="001C38EF">
        <w:rPr>
          <w:lang w:val="en-CA" w:bidi="en-CA"/>
        </w:rPr>
        <w:t>715.42</w:t>
      </w:r>
      <w:r w:rsidR="004C631C">
        <w:rPr>
          <w:lang w:val="en-CA" w:bidi="en-CA"/>
        </w:rPr>
        <w:t>]</w:t>
      </w:r>
      <w:r w:rsidR="001C38EF">
        <w:rPr>
          <w:lang w:val="en-CA" w:bidi="en-CA"/>
        </w:rPr>
        <w:t xml:space="preserve"> </w:t>
      </w:r>
      <w:r w:rsidRPr="0071186E">
        <w:rPr>
          <w:lang w:val="en-CA" w:bidi="en-CA"/>
        </w:rPr>
        <w:t>(2)” Cr.</w:t>
      </w:r>
      <w:r w:rsidR="004C631C">
        <w:rPr>
          <w:lang w:val="en-CA" w:bidi="en-CA"/>
        </w:rPr>
        <w:t> </w:t>
      </w:r>
      <w:r w:rsidRPr="0071186E">
        <w:rPr>
          <w:lang w:val="en-CA" w:bidi="en-CA"/>
        </w:rPr>
        <w:t>C.:</w:t>
      </w:r>
    </w:p>
    <w:p w14:paraId="2023BBC0" w14:textId="77777777" w:rsidR="00517AAF" w:rsidRPr="0071186E" w:rsidRDefault="00517AAF" w:rsidP="00313DEB">
      <w:pPr>
        <w:pStyle w:val="Retraitcorpsdetexte"/>
        <w:numPr>
          <w:ilvl w:val="0"/>
          <w:numId w:val="32"/>
        </w:numPr>
        <w:tabs>
          <w:tab w:val="left" w:pos="1080"/>
        </w:tabs>
        <w:spacing w:after="0"/>
        <w:ind w:left="720" w:right="722" w:firstLine="0"/>
        <w:rPr>
          <w:color w:val="161816"/>
          <w:szCs w:val="22"/>
          <w:lang w:val="en-CA"/>
        </w:rPr>
      </w:pPr>
      <w:r w:rsidRPr="0071186E">
        <w:rPr>
          <w:color w:val="161816"/>
          <w:szCs w:val="22"/>
          <w:lang w:val="en-CA" w:bidi="en-CA"/>
        </w:rPr>
        <w:t>society’s interest in encouraging the reporting of offences and the participation of victims in the criminal justice process;</w:t>
      </w:r>
    </w:p>
    <w:p w14:paraId="15E66D53" w14:textId="77777777" w:rsidR="00517AAF" w:rsidRPr="0071186E" w:rsidRDefault="00517AAF" w:rsidP="00313DEB">
      <w:pPr>
        <w:pStyle w:val="Retraitcorpsdetexte"/>
        <w:numPr>
          <w:ilvl w:val="0"/>
          <w:numId w:val="32"/>
        </w:numPr>
        <w:tabs>
          <w:tab w:val="left" w:pos="1080"/>
        </w:tabs>
        <w:spacing w:after="0"/>
        <w:ind w:left="720" w:right="722" w:firstLine="0"/>
        <w:rPr>
          <w:color w:val="161816"/>
          <w:szCs w:val="22"/>
          <w:lang w:val="en-CA"/>
        </w:rPr>
      </w:pPr>
      <w:r w:rsidRPr="0071186E">
        <w:rPr>
          <w:color w:val="161816"/>
          <w:szCs w:val="22"/>
          <w:lang w:val="en-CA" w:bidi="en-CA"/>
        </w:rPr>
        <w:t>whether it is necessary to protect the identity of any victims, any person not engaged in the wrongdoing and any person who brought the wrongdoing to the attention of investigative authorities;</w:t>
      </w:r>
    </w:p>
    <w:p w14:paraId="43FCC1F3" w14:textId="77777777" w:rsidR="00517AAF" w:rsidRPr="0071186E" w:rsidRDefault="00517AAF" w:rsidP="00313DEB">
      <w:pPr>
        <w:pStyle w:val="Retraitcorpsdetexte"/>
        <w:numPr>
          <w:ilvl w:val="0"/>
          <w:numId w:val="32"/>
        </w:numPr>
        <w:tabs>
          <w:tab w:val="left" w:pos="1080"/>
        </w:tabs>
        <w:spacing w:after="0"/>
        <w:ind w:left="720" w:right="722" w:firstLine="0"/>
        <w:rPr>
          <w:color w:val="161816"/>
          <w:szCs w:val="22"/>
          <w:lang w:val="en-CA"/>
        </w:rPr>
      </w:pPr>
      <w:r w:rsidRPr="0071186E">
        <w:rPr>
          <w:color w:val="161816"/>
          <w:szCs w:val="22"/>
          <w:lang w:val="en-CA" w:bidi="en-CA"/>
        </w:rPr>
        <w:t>the prevention of any adverse effect to any ongoing investigation or prosecution;</w:t>
      </w:r>
    </w:p>
    <w:p w14:paraId="52A954FA" w14:textId="77777777" w:rsidR="00517AAF" w:rsidRPr="0071186E" w:rsidRDefault="00517AAF" w:rsidP="00313DEB">
      <w:pPr>
        <w:pStyle w:val="Retraitcorpsdetexte"/>
        <w:numPr>
          <w:ilvl w:val="0"/>
          <w:numId w:val="32"/>
        </w:numPr>
        <w:tabs>
          <w:tab w:val="left" w:pos="1080"/>
        </w:tabs>
        <w:spacing w:after="0"/>
        <w:ind w:left="720" w:right="722" w:firstLine="0"/>
        <w:rPr>
          <w:color w:val="161816"/>
          <w:szCs w:val="22"/>
          <w:lang w:val="en-CA"/>
        </w:rPr>
      </w:pPr>
      <w:r w:rsidRPr="0071186E">
        <w:rPr>
          <w:color w:val="161816"/>
          <w:szCs w:val="22"/>
          <w:lang w:val="en-CA" w:bidi="en-CA"/>
        </w:rPr>
        <w:lastRenderedPageBreak/>
        <w:t>whether effective alternatives to the decision referred to in subsection (2) are available in the circumstances;</w:t>
      </w:r>
    </w:p>
    <w:p w14:paraId="452DE285" w14:textId="77777777" w:rsidR="00517AAF" w:rsidRPr="0071186E" w:rsidRDefault="00517AAF" w:rsidP="00313DEB">
      <w:pPr>
        <w:pStyle w:val="Retraitcorpsdetexte"/>
        <w:numPr>
          <w:ilvl w:val="0"/>
          <w:numId w:val="32"/>
        </w:numPr>
        <w:tabs>
          <w:tab w:val="left" w:pos="1080"/>
        </w:tabs>
        <w:spacing w:after="0"/>
        <w:ind w:left="720" w:right="722" w:firstLine="0"/>
        <w:rPr>
          <w:color w:val="161816"/>
          <w:szCs w:val="22"/>
          <w:lang w:val="en-CA"/>
        </w:rPr>
      </w:pPr>
      <w:r w:rsidRPr="0071186E">
        <w:rPr>
          <w:color w:val="161816"/>
          <w:szCs w:val="22"/>
          <w:lang w:val="en-CA" w:bidi="en-CA"/>
        </w:rPr>
        <w:t>the salutary and deleterious effects of making the decision referred to in subsection (2); and</w:t>
      </w:r>
    </w:p>
    <w:p w14:paraId="0C57F125" w14:textId="77777777" w:rsidR="00517AAF" w:rsidRPr="0071186E" w:rsidRDefault="00517AAF" w:rsidP="00313DEB">
      <w:pPr>
        <w:pStyle w:val="Retraitcorpsdetexte"/>
        <w:numPr>
          <w:ilvl w:val="0"/>
          <w:numId w:val="32"/>
        </w:numPr>
        <w:tabs>
          <w:tab w:val="left" w:pos="1080"/>
        </w:tabs>
        <w:spacing w:after="0"/>
        <w:ind w:left="720" w:right="722" w:firstLine="0"/>
        <w:rPr>
          <w:color w:val="161816"/>
          <w:szCs w:val="22"/>
          <w:lang w:val="en-CA"/>
        </w:rPr>
      </w:pPr>
      <w:r w:rsidRPr="0071186E">
        <w:rPr>
          <w:color w:val="161816"/>
          <w:szCs w:val="22"/>
          <w:lang w:val="en-CA" w:bidi="en-CA"/>
        </w:rPr>
        <w:t>any other factor that the court considers relevant.</w:t>
      </w:r>
    </w:p>
    <w:p w14:paraId="24CAD057" w14:textId="77777777" w:rsidR="00517AAF" w:rsidRPr="0071186E" w:rsidRDefault="00517AAF" w:rsidP="00517AAF">
      <w:pPr>
        <w:pStyle w:val="Paragraphedeliste"/>
        <w:widowControl w:val="0"/>
        <w:tabs>
          <w:tab w:val="left" w:pos="1166"/>
        </w:tabs>
        <w:autoSpaceDE w:val="0"/>
        <w:autoSpaceDN w:val="0"/>
        <w:spacing w:line="239" w:lineRule="exact"/>
        <w:ind w:left="1165"/>
        <w:jc w:val="both"/>
        <w:rPr>
          <w:color w:val="161816"/>
          <w:sz w:val="20"/>
          <w:lang w:val="en-CA"/>
        </w:rPr>
      </w:pPr>
    </w:p>
    <w:p w14:paraId="13A7606A" w14:textId="380A4691" w:rsidR="00517AAF" w:rsidRPr="0071186E" w:rsidRDefault="00517AAF" w:rsidP="00517AAF">
      <w:pPr>
        <w:pStyle w:val="SimpleL1"/>
        <w:rPr>
          <w:lang w:val="en-CA" w:bidi="en-CA"/>
        </w:rPr>
      </w:pPr>
      <w:r w:rsidRPr="0071186E">
        <w:rPr>
          <w:lang w:val="en-CA" w:bidi="en-CA"/>
        </w:rPr>
        <w:t xml:space="preserve">It therefore appears that </w:t>
      </w:r>
      <w:r w:rsidR="004C631C">
        <w:rPr>
          <w:lang w:val="en-CA" w:bidi="en-CA"/>
        </w:rPr>
        <w:t>sub</w:t>
      </w:r>
      <w:r w:rsidRPr="0071186E">
        <w:rPr>
          <w:lang w:val="en-CA" w:bidi="en-CA"/>
        </w:rPr>
        <w:t>sections 715.42(2) and (3) Cr.</w:t>
      </w:r>
      <w:r w:rsidR="004C631C">
        <w:rPr>
          <w:lang w:val="en-CA" w:bidi="en-CA"/>
        </w:rPr>
        <w:t> </w:t>
      </w:r>
      <w:r w:rsidRPr="0071186E">
        <w:rPr>
          <w:lang w:val="en-CA" w:bidi="en-CA"/>
        </w:rPr>
        <w:t>C. create a specific statutory regime</w:t>
      </w:r>
      <w:r w:rsidR="00DD0EDE" w:rsidRPr="0071186E">
        <w:rPr>
          <w:lang w:val="en-CA" w:bidi="en-CA"/>
        </w:rPr>
        <w:t xml:space="preserve"> prohibiting publication</w:t>
      </w:r>
      <w:r w:rsidRPr="0071186E">
        <w:rPr>
          <w:lang w:val="en-CA" w:bidi="en-CA"/>
        </w:rPr>
        <w:t>.</w:t>
      </w:r>
    </w:p>
    <w:p w14:paraId="172A8EF0" w14:textId="1C1871DF" w:rsidR="00517AAF" w:rsidRPr="0071186E" w:rsidRDefault="00517AAF" w:rsidP="00517AAF">
      <w:pPr>
        <w:pStyle w:val="SimpleL1"/>
        <w:rPr>
          <w:lang w:val="en-CA" w:bidi="en-CA"/>
        </w:rPr>
      </w:pPr>
      <w:r w:rsidRPr="0071186E">
        <w:rPr>
          <w:lang w:val="en-CA" w:bidi="en-CA"/>
        </w:rPr>
        <w:t>The wording of 715.42(2) Cr.</w:t>
      </w:r>
      <w:r w:rsidR="00DF60BF">
        <w:rPr>
          <w:lang w:val="en-CA" w:bidi="en-CA"/>
        </w:rPr>
        <w:t> </w:t>
      </w:r>
      <w:r w:rsidRPr="0071186E">
        <w:rPr>
          <w:lang w:val="en-CA" w:bidi="en-CA"/>
        </w:rPr>
        <w:t xml:space="preserve">C. </w:t>
      </w:r>
      <w:r w:rsidR="001C38EF">
        <w:rPr>
          <w:lang w:val="en-CA" w:bidi="en-CA"/>
        </w:rPr>
        <w:t>nuances</w:t>
      </w:r>
      <w:r w:rsidRPr="0071186E">
        <w:rPr>
          <w:lang w:val="en-CA" w:bidi="en-CA"/>
        </w:rPr>
        <w:t xml:space="preserve"> the criteria established by the Supreme Court. In </w:t>
      </w:r>
      <w:r w:rsidR="00DD0EDE" w:rsidRPr="0071186E">
        <w:rPr>
          <w:lang w:val="en-CA" w:bidi="en-CA"/>
        </w:rPr>
        <w:t>essence</w:t>
      </w:r>
      <w:r w:rsidRPr="0071186E">
        <w:rPr>
          <w:lang w:val="en-CA" w:bidi="en-CA"/>
        </w:rPr>
        <w:t xml:space="preserve">, it </w:t>
      </w:r>
      <w:r w:rsidR="00DF60BF">
        <w:rPr>
          <w:lang w:val="en-CA" w:bidi="en-CA"/>
        </w:rPr>
        <w:t>rewords</w:t>
      </w:r>
      <w:r w:rsidR="00DF60BF" w:rsidRPr="0071186E">
        <w:rPr>
          <w:lang w:val="en-CA" w:bidi="en-CA"/>
        </w:rPr>
        <w:t xml:space="preserve"> </w:t>
      </w:r>
      <w:r w:rsidRPr="0071186E">
        <w:rPr>
          <w:lang w:val="en-CA" w:bidi="en-CA"/>
        </w:rPr>
        <w:t xml:space="preserve">the criteria established by the </w:t>
      </w:r>
      <w:r w:rsidR="00DD0EDE" w:rsidRPr="0071186E">
        <w:rPr>
          <w:i/>
          <w:lang w:val="en-CA" w:bidi="en-CA"/>
        </w:rPr>
        <w:t>D</w:t>
      </w:r>
      <w:r w:rsidRPr="0071186E">
        <w:rPr>
          <w:i/>
          <w:lang w:val="en-CA" w:bidi="en-CA"/>
        </w:rPr>
        <w:t xml:space="preserve">agenais/Mentuck </w:t>
      </w:r>
      <w:r w:rsidR="00DF60BF">
        <w:rPr>
          <w:lang w:val="en-CA" w:bidi="en-CA"/>
        </w:rPr>
        <w:t>judgments</w:t>
      </w:r>
      <w:r w:rsidRPr="0071186E">
        <w:rPr>
          <w:i/>
          <w:lang w:val="en-CA" w:bidi="en-CA"/>
        </w:rPr>
        <w:t xml:space="preserve">, </w:t>
      </w:r>
      <w:r w:rsidRPr="0071186E">
        <w:rPr>
          <w:lang w:val="en-CA" w:bidi="en-CA"/>
        </w:rPr>
        <w:t>which require a “serious risk” as opposed to the “prevention of any adverse effect”</w:t>
      </w:r>
      <w:r w:rsidR="00DF60BF">
        <w:rPr>
          <w:lang w:val="en-CA" w:bidi="en-CA"/>
        </w:rPr>
        <w:t>, for example</w:t>
      </w:r>
      <w:r w:rsidRPr="0071186E">
        <w:rPr>
          <w:lang w:val="en-CA" w:bidi="en-CA"/>
        </w:rPr>
        <w:t xml:space="preserve">. In </w:t>
      </w:r>
      <w:r w:rsidR="001C38EF" w:rsidRPr="0071186E">
        <w:rPr>
          <w:i/>
          <w:lang w:val="en-CA" w:bidi="en-CA"/>
        </w:rPr>
        <w:t>Dagenais/Mentuck</w:t>
      </w:r>
      <w:r w:rsidRPr="0071186E">
        <w:rPr>
          <w:i/>
          <w:lang w:val="en-CA" w:bidi="en-CA"/>
        </w:rPr>
        <w:t xml:space="preserve">, </w:t>
      </w:r>
      <w:r w:rsidRPr="0071186E">
        <w:rPr>
          <w:lang w:val="en-CA" w:bidi="en-CA"/>
        </w:rPr>
        <w:t>the Supreme Court sets out the following test for granting a publication, broadcasting and transmission prohibition order:</w:t>
      </w:r>
      <w:r w:rsidR="001C38EF">
        <w:rPr>
          <w:lang w:val="en-CA" w:bidi="en-CA"/>
        </w:rPr>
        <w:t xml:space="preserve"> </w:t>
      </w:r>
    </w:p>
    <w:p w14:paraId="56BA4B27" w14:textId="77777777" w:rsidR="00517AAF" w:rsidRPr="0071186E" w:rsidRDefault="00517AAF" w:rsidP="00313DEB">
      <w:pPr>
        <w:pStyle w:val="Retraitcorpsdetexte"/>
        <w:numPr>
          <w:ilvl w:val="0"/>
          <w:numId w:val="33"/>
        </w:numPr>
        <w:tabs>
          <w:tab w:val="left" w:pos="1080"/>
          <w:tab w:val="left" w:pos="1260"/>
        </w:tabs>
        <w:spacing w:after="0"/>
        <w:ind w:left="720" w:right="722" w:firstLine="0"/>
        <w:rPr>
          <w:rFonts w:eastAsia="Arial" w:cs="Arial"/>
          <w:color w:val="161816"/>
          <w:szCs w:val="22"/>
          <w:lang w:val="en-CA" w:eastAsia="en-US"/>
        </w:rPr>
      </w:pPr>
      <w:r w:rsidRPr="0071186E">
        <w:rPr>
          <w:szCs w:val="22"/>
          <w:lang w:val="en-CA" w:bidi="en-CA"/>
        </w:rPr>
        <w:t xml:space="preserve"> </w:t>
      </w:r>
      <w:r w:rsidRPr="0071186E">
        <w:rPr>
          <w:rFonts w:eastAsia="Arial" w:cs="Arial"/>
          <w:color w:val="161816"/>
          <w:szCs w:val="22"/>
          <w:lang w:val="en-CA" w:eastAsia="en-US" w:bidi="en-CA"/>
        </w:rPr>
        <w:t>such an order is necessary in order to prevent a serious risk to the proper administration of justice because reasonably alternative measures will not prevent the risk; and</w:t>
      </w:r>
    </w:p>
    <w:p w14:paraId="43E1F953" w14:textId="77777777" w:rsidR="00517AAF" w:rsidRPr="0071186E" w:rsidRDefault="00517AAF" w:rsidP="00313DEB">
      <w:pPr>
        <w:pStyle w:val="Retraitcorpsdetexte"/>
        <w:numPr>
          <w:ilvl w:val="0"/>
          <w:numId w:val="33"/>
        </w:numPr>
        <w:tabs>
          <w:tab w:val="left" w:pos="1080"/>
        </w:tabs>
        <w:spacing w:after="0"/>
        <w:ind w:left="720" w:right="722" w:firstLine="0"/>
        <w:rPr>
          <w:rFonts w:eastAsia="Arial" w:cs="Arial"/>
          <w:color w:val="161816"/>
          <w:szCs w:val="22"/>
          <w:lang w:val="en-CA" w:eastAsia="en-US"/>
        </w:rPr>
      </w:pPr>
      <w:r w:rsidRPr="0071186E">
        <w:rPr>
          <w:rFonts w:eastAsia="Arial" w:cs="Arial"/>
          <w:color w:val="161816"/>
          <w:szCs w:val="22"/>
          <w:lang w:val="en-CA" w:eastAsia="en-US" w:bidi="en-CA"/>
        </w:rPr>
        <w:t>the salutary effects of the publication ban outweigh the deleterious effects on the rights and interests of the parties and the public, including the effects on the right to free expression, the right of the accused to a fair and public trial, and the efficacy of the administration of justice.</w:t>
      </w:r>
      <w:r w:rsidR="009B6364" w:rsidRPr="0071186E">
        <w:rPr>
          <w:rStyle w:val="Appelnotedebasdep"/>
          <w:rFonts w:eastAsia="Arial" w:cs="Arial"/>
          <w:color w:val="161816"/>
          <w:szCs w:val="22"/>
          <w:lang w:val="en-CA" w:eastAsia="en-US" w:bidi="en-CA"/>
        </w:rPr>
        <w:footnoteReference w:id="33"/>
      </w:r>
    </w:p>
    <w:p w14:paraId="4F26BD0B" w14:textId="77777777" w:rsidR="00517AAF" w:rsidRPr="0071186E" w:rsidRDefault="00517AAF" w:rsidP="00517AAF">
      <w:pPr>
        <w:widowControl w:val="0"/>
        <w:tabs>
          <w:tab w:val="left" w:pos="1240"/>
        </w:tabs>
        <w:autoSpaceDE w:val="0"/>
        <w:autoSpaceDN w:val="0"/>
        <w:spacing w:before="13" w:line="242" w:lineRule="auto"/>
        <w:ind w:left="967" w:right="831"/>
        <w:jc w:val="both"/>
        <w:rPr>
          <w:rFonts w:eastAsia="Arial" w:cs="Arial"/>
          <w:color w:val="161816"/>
          <w:sz w:val="22"/>
          <w:szCs w:val="22"/>
          <w:lang w:val="en-CA" w:eastAsia="en-US"/>
        </w:rPr>
      </w:pPr>
    </w:p>
    <w:p w14:paraId="1C2F2B4F" w14:textId="70D52A5C" w:rsidR="00517AAF" w:rsidRPr="0071186E" w:rsidRDefault="00517AAF" w:rsidP="00860C9A">
      <w:pPr>
        <w:pStyle w:val="Titre3"/>
        <w:rPr>
          <w:lang w:val="en-CA" w:bidi="en-CA"/>
        </w:rPr>
      </w:pPr>
      <w:bookmarkStart w:id="10" w:name="_Toc109310849"/>
      <w:r w:rsidRPr="0071186E">
        <w:rPr>
          <w:lang w:val="en-CA" w:bidi="en-CA"/>
        </w:rPr>
        <w:t>Prevention of any adverse effect to ongoing prosecutions (715.42(3)(c)</w:t>
      </w:r>
      <w:r w:rsidR="00E97DF3">
        <w:rPr>
          <w:lang w:val="en-CA" w:bidi="en-CA"/>
        </w:rPr>
        <w:t> </w:t>
      </w:r>
      <w:r w:rsidRPr="0071186E">
        <w:rPr>
          <w:lang w:val="en-CA" w:bidi="en-CA"/>
        </w:rPr>
        <w:t>Cr.</w:t>
      </w:r>
      <w:r w:rsidR="00DF60BF">
        <w:rPr>
          <w:lang w:val="en-CA" w:bidi="en-CA"/>
        </w:rPr>
        <w:t> </w:t>
      </w:r>
      <w:r w:rsidRPr="0071186E">
        <w:rPr>
          <w:lang w:val="en-CA" w:bidi="en-CA"/>
        </w:rPr>
        <w:t>C.)</w:t>
      </w:r>
      <w:bookmarkEnd w:id="10"/>
    </w:p>
    <w:p w14:paraId="589D4725" w14:textId="6C2F21EB" w:rsidR="00517AAF" w:rsidRPr="0071186E" w:rsidRDefault="00517AAF" w:rsidP="00517AAF">
      <w:pPr>
        <w:pStyle w:val="SimpleL1"/>
        <w:rPr>
          <w:lang w:val="en-CA" w:bidi="en-CA"/>
        </w:rPr>
      </w:pPr>
      <w:r w:rsidRPr="0071186E">
        <w:rPr>
          <w:lang w:val="en-CA" w:bidi="en-CA"/>
        </w:rPr>
        <w:t xml:space="preserve">As mentioned above, </w:t>
      </w:r>
      <w:r w:rsidR="00DD0EDE" w:rsidRPr="0071186E">
        <w:rPr>
          <w:lang w:val="en-CA" w:bidi="en-CA"/>
        </w:rPr>
        <w:t xml:space="preserve">in light of </w:t>
      </w:r>
      <w:r w:rsidRPr="0071186E">
        <w:rPr>
          <w:lang w:val="en-CA" w:bidi="en-CA"/>
        </w:rPr>
        <w:t>the specific facts of this</w:t>
      </w:r>
      <w:r w:rsidR="00780876">
        <w:rPr>
          <w:lang w:val="en-CA" w:bidi="en-CA"/>
        </w:rPr>
        <w:t xml:space="preserve"> case, </w:t>
      </w:r>
      <w:r w:rsidR="008B490F">
        <w:rPr>
          <w:lang w:val="en-CA" w:bidi="en-CA"/>
        </w:rPr>
        <w:t>during</w:t>
      </w:r>
      <w:r w:rsidR="008B490F" w:rsidRPr="0071186E">
        <w:rPr>
          <w:lang w:val="en-CA" w:bidi="en-CA"/>
        </w:rPr>
        <w:t xml:space="preserve"> the public hearings</w:t>
      </w:r>
      <w:r w:rsidR="008B490F">
        <w:rPr>
          <w:lang w:val="en-CA" w:bidi="en-CA"/>
        </w:rPr>
        <w:t xml:space="preserve">, </w:t>
      </w:r>
      <w:r w:rsidR="00780876">
        <w:rPr>
          <w:lang w:val="en-CA" w:bidi="en-CA"/>
        </w:rPr>
        <w:t xml:space="preserve">the Prosecutor argued </w:t>
      </w:r>
      <w:r w:rsidRPr="0071186E">
        <w:rPr>
          <w:lang w:val="en-CA" w:bidi="en-CA"/>
        </w:rPr>
        <w:t>that temporary and partial publication, broadcasting and transmission prohibition orders were necessary for two distinct purposes, namely:</w:t>
      </w:r>
    </w:p>
    <w:p w14:paraId="24BF414B" w14:textId="67351C38" w:rsidR="00517AAF" w:rsidRPr="0071186E" w:rsidRDefault="00517AAF" w:rsidP="00313DEB">
      <w:pPr>
        <w:pStyle w:val="Retraitcorpsdetexte"/>
        <w:numPr>
          <w:ilvl w:val="0"/>
          <w:numId w:val="34"/>
        </w:numPr>
        <w:tabs>
          <w:tab w:val="left" w:pos="1080"/>
        </w:tabs>
        <w:spacing w:after="0"/>
        <w:ind w:left="720" w:right="722" w:firstLine="0"/>
        <w:rPr>
          <w:szCs w:val="22"/>
          <w:lang w:val="en-CA"/>
        </w:rPr>
      </w:pPr>
      <w:r w:rsidRPr="0071186E">
        <w:rPr>
          <w:color w:val="161616"/>
          <w:szCs w:val="22"/>
          <w:lang w:val="en-CA" w:bidi="en-CA"/>
        </w:rPr>
        <w:t xml:space="preserve">to prevent any adverse effect to the prosecution </w:t>
      </w:r>
      <w:r w:rsidR="00B44A60">
        <w:rPr>
          <w:color w:val="161616"/>
          <w:szCs w:val="22"/>
          <w:lang w:val="en-CA" w:bidi="en-CA"/>
        </w:rPr>
        <w:t>of</w:t>
      </w:r>
      <w:r w:rsidR="00B44A60" w:rsidRPr="0071186E">
        <w:rPr>
          <w:color w:val="161616"/>
          <w:szCs w:val="22"/>
          <w:lang w:val="en-CA" w:bidi="en-CA"/>
        </w:rPr>
        <w:t xml:space="preserve"> </w:t>
      </w:r>
      <w:r w:rsidRPr="0071186E">
        <w:rPr>
          <w:color w:val="161616"/>
          <w:szCs w:val="22"/>
          <w:lang w:val="en-CA" w:bidi="en-CA"/>
        </w:rPr>
        <w:t>the Organizations</w:t>
      </w:r>
      <w:r w:rsidRPr="0071186E">
        <w:rPr>
          <w:color w:val="3D3D3D"/>
          <w:szCs w:val="22"/>
          <w:lang w:val="en-CA" w:bidi="en-CA"/>
        </w:rPr>
        <w:t xml:space="preserve">, </w:t>
      </w:r>
      <w:r w:rsidRPr="0071186E">
        <w:rPr>
          <w:color w:val="161616"/>
          <w:szCs w:val="22"/>
          <w:lang w:val="en-CA" w:bidi="en-CA"/>
        </w:rPr>
        <w:t>should the Draft Agreement not be approved by the Court;</w:t>
      </w:r>
    </w:p>
    <w:p w14:paraId="58388E78" w14:textId="77777777" w:rsidR="00CD3249" w:rsidRPr="0071186E" w:rsidRDefault="00CD3249" w:rsidP="00CD3249">
      <w:pPr>
        <w:pStyle w:val="Paragraphedeliste"/>
        <w:tabs>
          <w:tab w:val="left" w:pos="1240"/>
        </w:tabs>
        <w:autoSpaceDE w:val="0"/>
        <w:autoSpaceDN w:val="0"/>
        <w:spacing w:before="6"/>
        <w:ind w:left="907" w:right="662"/>
        <w:jc w:val="both"/>
        <w:rPr>
          <w:sz w:val="22"/>
          <w:szCs w:val="22"/>
          <w:lang w:val="en-CA"/>
        </w:rPr>
      </w:pPr>
    </w:p>
    <w:p w14:paraId="0CBE8297" w14:textId="511E1C81" w:rsidR="00517AAF" w:rsidRPr="0071186E" w:rsidRDefault="00517AAF" w:rsidP="00313DEB">
      <w:pPr>
        <w:pStyle w:val="Retraitcorpsdetexte"/>
        <w:numPr>
          <w:ilvl w:val="0"/>
          <w:numId w:val="34"/>
        </w:numPr>
        <w:tabs>
          <w:tab w:val="left" w:pos="1080"/>
        </w:tabs>
        <w:spacing w:after="0"/>
        <w:ind w:left="720" w:right="722" w:firstLine="0"/>
        <w:rPr>
          <w:color w:val="161616"/>
          <w:szCs w:val="22"/>
          <w:lang w:val="en-CA"/>
        </w:rPr>
      </w:pPr>
      <w:r w:rsidRPr="0071186E">
        <w:rPr>
          <w:color w:val="161616"/>
          <w:szCs w:val="22"/>
          <w:lang w:val="en-CA" w:bidi="en-CA"/>
        </w:rPr>
        <w:t xml:space="preserve">to prevent any adverse effect to the prosecution </w:t>
      </w:r>
      <w:r w:rsidR="00B44A60">
        <w:rPr>
          <w:color w:val="161616"/>
          <w:szCs w:val="22"/>
          <w:lang w:val="en-CA" w:bidi="en-CA"/>
        </w:rPr>
        <w:t>of</w:t>
      </w:r>
      <w:r w:rsidR="00B44A60" w:rsidRPr="0071186E">
        <w:rPr>
          <w:color w:val="161616"/>
          <w:szCs w:val="22"/>
          <w:lang w:val="en-CA" w:bidi="en-CA"/>
        </w:rPr>
        <w:t xml:space="preserve"> </w:t>
      </w:r>
      <w:r w:rsidRPr="0071186E">
        <w:rPr>
          <w:color w:val="2B2B2B"/>
          <w:szCs w:val="22"/>
          <w:lang w:val="en-CA" w:bidi="en-CA"/>
        </w:rPr>
        <w:t xml:space="preserve">the </w:t>
      </w:r>
      <w:r w:rsidRPr="0071186E">
        <w:rPr>
          <w:color w:val="161616"/>
          <w:szCs w:val="22"/>
          <w:lang w:val="en-CA" w:bidi="en-CA"/>
        </w:rPr>
        <w:t xml:space="preserve">co-accused Morin, who must stand trial before a jury, and against the accused Françis in </w:t>
      </w:r>
      <w:r w:rsidRPr="0071186E">
        <w:rPr>
          <w:color w:val="2B2B2B"/>
          <w:szCs w:val="22"/>
          <w:lang w:val="en-CA" w:bidi="en-CA"/>
        </w:rPr>
        <w:t xml:space="preserve">the </w:t>
      </w:r>
      <w:r w:rsidRPr="0071186E">
        <w:rPr>
          <w:color w:val="161616"/>
          <w:szCs w:val="22"/>
          <w:lang w:val="en-CA" w:bidi="en-CA"/>
        </w:rPr>
        <w:t>related case </w:t>
      </w:r>
      <w:r w:rsidR="00780876">
        <w:rPr>
          <w:color w:val="161616"/>
          <w:szCs w:val="22"/>
          <w:lang w:val="en-CA" w:bidi="en-CA"/>
        </w:rPr>
        <w:t>500-01-223557-213, should he re-elect</w:t>
      </w:r>
      <w:r w:rsidR="00B44A60">
        <w:rPr>
          <w:color w:val="161616"/>
          <w:szCs w:val="22"/>
          <w:lang w:val="en-CA" w:bidi="en-CA"/>
        </w:rPr>
        <w:t xml:space="preserve"> and choose</w:t>
      </w:r>
      <w:r w:rsidR="00780876">
        <w:rPr>
          <w:color w:val="161616"/>
          <w:szCs w:val="22"/>
          <w:lang w:val="en-CA" w:bidi="en-CA"/>
        </w:rPr>
        <w:t xml:space="preserve"> a trial before</w:t>
      </w:r>
      <w:r w:rsidRPr="0071186E">
        <w:rPr>
          <w:color w:val="161616"/>
          <w:szCs w:val="22"/>
          <w:lang w:val="en-CA" w:bidi="en-CA"/>
        </w:rPr>
        <w:t xml:space="preserve"> judge and jury.</w:t>
      </w:r>
    </w:p>
    <w:p w14:paraId="03A48B0A" w14:textId="77777777" w:rsidR="00517AAF" w:rsidRPr="0071186E" w:rsidRDefault="00517AAF" w:rsidP="00C532C6">
      <w:pPr>
        <w:pStyle w:val="Titre4"/>
        <w:rPr>
          <w:lang w:val="en-CA" w:bidi="en-CA"/>
        </w:rPr>
      </w:pPr>
      <w:r w:rsidRPr="0071186E">
        <w:rPr>
          <w:lang w:val="en-CA" w:bidi="en-CA"/>
        </w:rPr>
        <w:t>Publication Prohibition Order for Accused Organizations</w:t>
      </w:r>
    </w:p>
    <w:p w14:paraId="5A76AA3D" w14:textId="498B8181" w:rsidR="00517AAF" w:rsidRPr="0071186E" w:rsidRDefault="004F6876" w:rsidP="00517AAF">
      <w:pPr>
        <w:pStyle w:val="SimpleL1"/>
        <w:rPr>
          <w:lang w:val="en-CA" w:bidi="en-CA"/>
        </w:rPr>
      </w:pPr>
      <w:r w:rsidRPr="0071186E">
        <w:rPr>
          <w:lang w:val="en-CA" w:bidi="en-CA"/>
        </w:rPr>
        <w:t xml:space="preserve">The Prosecutor requested a temporary and partial publication, broadcasting and transmission prohibition order in respect of documents </w:t>
      </w:r>
      <w:r w:rsidR="00D5715E">
        <w:rPr>
          <w:lang w:val="en-CA" w:bidi="en-CA"/>
        </w:rPr>
        <w:t>the</w:t>
      </w:r>
      <w:r w:rsidR="00D5715E" w:rsidRPr="0071186E">
        <w:rPr>
          <w:lang w:val="en-CA" w:bidi="en-CA"/>
        </w:rPr>
        <w:t xml:space="preserve"> </w:t>
      </w:r>
      <w:r w:rsidRPr="0071186E">
        <w:rPr>
          <w:lang w:val="en-CA" w:bidi="en-CA"/>
        </w:rPr>
        <w:t xml:space="preserve">contents </w:t>
      </w:r>
      <w:r w:rsidR="00D5715E">
        <w:rPr>
          <w:lang w:val="en-CA" w:bidi="en-CA"/>
        </w:rPr>
        <w:t xml:space="preserve">of which </w:t>
      </w:r>
      <w:r w:rsidRPr="0071186E">
        <w:rPr>
          <w:lang w:val="en-CA" w:bidi="en-CA"/>
        </w:rPr>
        <w:t xml:space="preserve">may adversely affect </w:t>
      </w:r>
      <w:r w:rsidR="00D5715E">
        <w:rPr>
          <w:lang w:val="en-CA" w:bidi="en-CA"/>
        </w:rPr>
        <w:t>the</w:t>
      </w:r>
      <w:r w:rsidRPr="0071186E">
        <w:rPr>
          <w:lang w:val="en-CA" w:bidi="en-CA"/>
        </w:rPr>
        <w:t xml:space="preserve"> potential prosecution </w:t>
      </w:r>
      <w:r w:rsidR="00D5715E">
        <w:rPr>
          <w:lang w:val="en-CA" w:bidi="en-CA"/>
        </w:rPr>
        <w:t>of</w:t>
      </w:r>
      <w:r w:rsidRPr="0071186E">
        <w:rPr>
          <w:lang w:val="en-CA" w:bidi="en-CA"/>
        </w:rPr>
        <w:t xml:space="preserve"> the Organizations</w:t>
      </w:r>
      <w:r w:rsidR="00D5715E">
        <w:rPr>
          <w:lang w:val="en-CA" w:bidi="en-CA"/>
        </w:rPr>
        <w:t>. These documents are</w:t>
      </w:r>
      <w:r w:rsidRPr="0071186E">
        <w:rPr>
          <w:lang w:val="en-CA" w:bidi="en-CA"/>
        </w:rPr>
        <w:t>:</w:t>
      </w:r>
    </w:p>
    <w:p w14:paraId="156DDB6D" w14:textId="07F4003E" w:rsidR="004F6876" w:rsidRPr="0071186E" w:rsidRDefault="004F6876" w:rsidP="00313DEB">
      <w:pPr>
        <w:pStyle w:val="Paragraphedeliste"/>
        <w:widowControl w:val="0"/>
        <w:numPr>
          <w:ilvl w:val="0"/>
          <w:numId w:val="35"/>
        </w:numPr>
        <w:tabs>
          <w:tab w:val="left" w:pos="1167"/>
        </w:tabs>
        <w:autoSpaceDE w:val="0"/>
        <w:autoSpaceDN w:val="0"/>
        <w:spacing w:after="240"/>
        <w:ind w:left="720" w:right="124" w:firstLine="0"/>
        <w:jc w:val="both"/>
        <w:rPr>
          <w:sz w:val="22"/>
          <w:szCs w:val="22"/>
          <w:lang w:val="en-CA"/>
        </w:rPr>
      </w:pPr>
      <w:r w:rsidRPr="0071186E">
        <w:rPr>
          <w:color w:val="161616"/>
          <w:sz w:val="22"/>
          <w:szCs w:val="22"/>
          <w:lang w:val="en-CA" w:bidi="en-CA"/>
        </w:rPr>
        <w:t xml:space="preserve">The Draft Agreement (R-1 and R-1A of the </w:t>
      </w:r>
      <w:r w:rsidRPr="0071186E">
        <w:rPr>
          <w:i/>
          <w:color w:val="161616"/>
          <w:sz w:val="22"/>
          <w:szCs w:val="22"/>
          <w:lang w:val="en-CA" w:bidi="en-CA"/>
        </w:rPr>
        <w:t>Application</w:t>
      </w:r>
      <w:r w:rsidRPr="0071186E">
        <w:rPr>
          <w:color w:val="161616"/>
          <w:sz w:val="22"/>
          <w:szCs w:val="22"/>
          <w:lang w:val="en-CA" w:bidi="en-CA"/>
        </w:rPr>
        <w:t xml:space="preserve"> </w:t>
      </w:r>
      <w:r w:rsidRPr="0071186E">
        <w:rPr>
          <w:i/>
          <w:color w:val="161616"/>
          <w:sz w:val="22"/>
          <w:szCs w:val="22"/>
          <w:lang w:val="en-CA" w:bidi="en-CA"/>
        </w:rPr>
        <w:t xml:space="preserve">for Approval) </w:t>
      </w:r>
      <w:r w:rsidRPr="0071186E">
        <w:rPr>
          <w:color w:val="161616"/>
          <w:sz w:val="22"/>
          <w:szCs w:val="22"/>
          <w:lang w:val="en-CA" w:bidi="en-CA"/>
        </w:rPr>
        <w:t xml:space="preserve">under </w:t>
      </w:r>
      <w:r w:rsidR="001543C2">
        <w:rPr>
          <w:color w:val="161616"/>
          <w:sz w:val="22"/>
          <w:szCs w:val="22"/>
          <w:lang w:val="en-CA" w:bidi="en-CA"/>
        </w:rPr>
        <w:lastRenderedPageBreak/>
        <w:t xml:space="preserve">paragraph </w:t>
      </w:r>
      <w:r w:rsidRPr="0071186E">
        <w:rPr>
          <w:color w:val="161616"/>
          <w:sz w:val="22"/>
          <w:szCs w:val="22"/>
          <w:lang w:val="en-CA" w:bidi="en-CA"/>
        </w:rPr>
        <w:t>715.42 (1)(a) Cr.</w:t>
      </w:r>
      <w:r w:rsidR="00D5715E">
        <w:rPr>
          <w:color w:val="161616"/>
          <w:sz w:val="22"/>
          <w:szCs w:val="22"/>
          <w:lang w:val="en-CA" w:bidi="en-CA"/>
        </w:rPr>
        <w:t> </w:t>
      </w:r>
      <w:r w:rsidRPr="0071186E">
        <w:rPr>
          <w:color w:val="161616"/>
          <w:sz w:val="22"/>
          <w:szCs w:val="22"/>
          <w:lang w:val="en-CA" w:bidi="en-CA"/>
        </w:rPr>
        <w:t>C.;</w:t>
      </w:r>
    </w:p>
    <w:p w14:paraId="3287A257" w14:textId="184C57EF" w:rsidR="004F6876" w:rsidRPr="0071186E" w:rsidRDefault="004F6876" w:rsidP="00313DEB">
      <w:pPr>
        <w:pStyle w:val="Paragraphedeliste"/>
        <w:widowControl w:val="0"/>
        <w:numPr>
          <w:ilvl w:val="0"/>
          <w:numId w:val="35"/>
        </w:numPr>
        <w:tabs>
          <w:tab w:val="left" w:pos="1167"/>
        </w:tabs>
        <w:autoSpaceDE w:val="0"/>
        <w:autoSpaceDN w:val="0"/>
        <w:spacing w:after="240"/>
        <w:ind w:left="720" w:right="130" w:firstLine="0"/>
        <w:jc w:val="both"/>
        <w:rPr>
          <w:sz w:val="22"/>
          <w:szCs w:val="22"/>
          <w:lang w:val="en-CA"/>
        </w:rPr>
      </w:pPr>
      <w:r w:rsidRPr="0071186E">
        <w:rPr>
          <w:color w:val="161616"/>
          <w:spacing w:val="-2"/>
          <w:sz w:val="22"/>
          <w:szCs w:val="22"/>
          <w:lang w:val="en-CA" w:bidi="en-CA"/>
        </w:rPr>
        <w:t xml:space="preserve">Where applicable, the </w:t>
      </w:r>
      <w:r w:rsidR="00784C34">
        <w:rPr>
          <w:color w:val="161616"/>
          <w:spacing w:val="-2"/>
          <w:sz w:val="22"/>
          <w:szCs w:val="22"/>
          <w:lang w:val="en-CA" w:bidi="en-CA"/>
        </w:rPr>
        <w:t>excerpts</w:t>
      </w:r>
      <w:r w:rsidRPr="0071186E">
        <w:rPr>
          <w:color w:val="161616"/>
          <w:spacing w:val="-2"/>
          <w:sz w:val="22"/>
          <w:szCs w:val="22"/>
          <w:lang w:val="en-CA" w:bidi="en-CA"/>
        </w:rPr>
        <w:t xml:space="preserve"> adversely affecting the holding of a fair trial, notably those relating to the content of Schedule B to the Draft Agreement, namely the </w:t>
      </w:r>
      <w:r w:rsidR="00D5715E">
        <w:rPr>
          <w:color w:val="161616"/>
          <w:spacing w:val="-2"/>
          <w:sz w:val="22"/>
          <w:szCs w:val="22"/>
          <w:lang w:val="en-CA" w:bidi="en-CA"/>
        </w:rPr>
        <w:t>[</w:t>
      </w:r>
      <w:r w:rsidR="00D5715E" w:rsidRPr="006B7F16">
        <w:rPr>
          <w:smallCaps/>
          <w:color w:val="161616"/>
          <w:spacing w:val="-2"/>
          <w:sz w:val="22"/>
          <w:szCs w:val="22"/>
          <w:lang w:val="en-CA" w:bidi="en-CA"/>
        </w:rPr>
        <w:t>translation</w:t>
      </w:r>
      <w:r w:rsidR="00D5715E">
        <w:rPr>
          <w:color w:val="161616"/>
          <w:spacing w:val="-2"/>
          <w:sz w:val="22"/>
          <w:szCs w:val="22"/>
          <w:lang w:val="en-CA" w:bidi="en-CA"/>
        </w:rPr>
        <w:t xml:space="preserve">] </w:t>
      </w:r>
      <w:r w:rsidRPr="0071186E">
        <w:rPr>
          <w:color w:val="161616"/>
          <w:spacing w:val="-2"/>
          <w:sz w:val="22"/>
          <w:szCs w:val="22"/>
          <w:lang w:val="en-CA" w:bidi="en-CA"/>
        </w:rPr>
        <w:t>“S</w:t>
      </w:r>
      <w:r w:rsidRPr="0071186E">
        <w:rPr>
          <w:color w:val="161616"/>
          <w:w w:val="95"/>
          <w:sz w:val="22"/>
          <w:szCs w:val="22"/>
          <w:lang w:val="en-CA" w:bidi="en-CA"/>
        </w:rPr>
        <w:t xml:space="preserve">tatement of Facts” (R-1 of the </w:t>
      </w:r>
      <w:r w:rsidRPr="0071186E">
        <w:rPr>
          <w:i/>
          <w:color w:val="161616"/>
          <w:w w:val="95"/>
          <w:sz w:val="22"/>
          <w:szCs w:val="22"/>
          <w:lang w:val="en-CA" w:bidi="en-CA"/>
        </w:rPr>
        <w:t>Application for Approval</w:t>
      </w:r>
      <w:r w:rsidRPr="0071186E">
        <w:rPr>
          <w:color w:val="161616"/>
          <w:w w:val="95"/>
          <w:sz w:val="22"/>
          <w:szCs w:val="22"/>
          <w:lang w:val="en-CA" w:bidi="en-CA"/>
        </w:rPr>
        <w:t xml:space="preserve">), </w:t>
      </w:r>
      <w:r w:rsidR="001543C2">
        <w:rPr>
          <w:color w:val="161616"/>
          <w:w w:val="95"/>
          <w:sz w:val="22"/>
          <w:szCs w:val="22"/>
          <w:lang w:val="en-CA" w:bidi="en-CA"/>
        </w:rPr>
        <w:t>in</w:t>
      </w:r>
      <w:r w:rsidR="00DD0EDE" w:rsidRPr="0071186E">
        <w:rPr>
          <w:color w:val="161616"/>
          <w:w w:val="95"/>
          <w:sz w:val="22"/>
          <w:szCs w:val="22"/>
          <w:lang w:val="en-CA" w:bidi="en-CA"/>
        </w:rPr>
        <w:t xml:space="preserve"> </w:t>
      </w:r>
      <w:r w:rsidRPr="0071186E">
        <w:rPr>
          <w:color w:val="161616"/>
          <w:w w:val="95"/>
          <w:sz w:val="22"/>
          <w:szCs w:val="22"/>
          <w:lang w:val="en-CA" w:bidi="en-CA"/>
        </w:rPr>
        <w:t xml:space="preserve">the reasons for the decision </w:t>
      </w:r>
      <w:r w:rsidRPr="0071186E">
        <w:rPr>
          <w:color w:val="161616"/>
          <w:spacing w:val="-2"/>
          <w:sz w:val="22"/>
          <w:szCs w:val="22"/>
          <w:lang w:val="en-CA" w:bidi="en-CA"/>
        </w:rPr>
        <w:t xml:space="preserve">not to make that order </w:t>
      </w:r>
      <w:r w:rsidRPr="0071186E">
        <w:rPr>
          <w:color w:val="3D3D3D"/>
          <w:spacing w:val="-2"/>
          <w:sz w:val="22"/>
          <w:szCs w:val="22"/>
          <w:lang w:val="en-CA" w:bidi="en-CA"/>
        </w:rPr>
        <w:t xml:space="preserve">approving </w:t>
      </w:r>
      <w:r w:rsidRPr="0071186E">
        <w:rPr>
          <w:color w:val="161616"/>
          <w:spacing w:val="-2"/>
          <w:sz w:val="22"/>
          <w:szCs w:val="22"/>
          <w:lang w:val="en-CA" w:bidi="en-CA"/>
        </w:rPr>
        <w:t>the Draft Agreement, pursuant to s</w:t>
      </w:r>
      <w:r w:rsidR="00E97DF3">
        <w:rPr>
          <w:color w:val="161616"/>
          <w:spacing w:val="-2"/>
          <w:sz w:val="22"/>
          <w:szCs w:val="22"/>
          <w:lang w:val="en-CA" w:bidi="en-CA"/>
        </w:rPr>
        <w:t>.</w:t>
      </w:r>
      <w:r w:rsidRPr="0071186E">
        <w:rPr>
          <w:color w:val="161616"/>
          <w:spacing w:val="-2"/>
          <w:sz w:val="22"/>
          <w:szCs w:val="22"/>
          <w:lang w:val="en-CA" w:bidi="en-CA"/>
        </w:rPr>
        <w:t xml:space="preserve"> </w:t>
      </w:r>
      <w:r w:rsidRPr="0071186E">
        <w:rPr>
          <w:color w:val="161616"/>
          <w:w w:val="95"/>
          <w:sz w:val="22"/>
          <w:szCs w:val="22"/>
          <w:lang w:val="en-CA" w:bidi="en-CA"/>
        </w:rPr>
        <w:t>715.42 (1)(b) C</w:t>
      </w:r>
      <w:r w:rsidRPr="0071186E">
        <w:rPr>
          <w:color w:val="161616"/>
          <w:spacing w:val="-2"/>
          <w:w w:val="95"/>
          <w:sz w:val="22"/>
          <w:szCs w:val="22"/>
          <w:lang w:val="en-CA" w:bidi="en-CA"/>
        </w:rPr>
        <w:t>r</w:t>
      </w:r>
      <w:r w:rsidRPr="0071186E">
        <w:rPr>
          <w:color w:val="3D3D3D"/>
          <w:spacing w:val="-2"/>
          <w:w w:val="95"/>
          <w:sz w:val="22"/>
          <w:szCs w:val="22"/>
          <w:lang w:val="en-CA" w:bidi="en-CA"/>
        </w:rPr>
        <w:t>.</w:t>
      </w:r>
      <w:r w:rsidR="00E93963">
        <w:rPr>
          <w:color w:val="3D3D3D"/>
          <w:spacing w:val="-2"/>
          <w:w w:val="95"/>
          <w:sz w:val="22"/>
          <w:szCs w:val="22"/>
          <w:lang w:val="en-CA" w:bidi="en-CA"/>
        </w:rPr>
        <w:t> </w:t>
      </w:r>
      <w:r w:rsidRPr="0071186E">
        <w:rPr>
          <w:color w:val="3D3D3D"/>
          <w:spacing w:val="-2"/>
          <w:w w:val="95"/>
          <w:sz w:val="22"/>
          <w:szCs w:val="22"/>
          <w:lang w:val="en-CA" w:bidi="en-CA"/>
        </w:rPr>
        <w:t>C.;</w:t>
      </w:r>
    </w:p>
    <w:p w14:paraId="186BB0DC" w14:textId="43D62718" w:rsidR="004F6876" w:rsidRPr="0071186E" w:rsidRDefault="004F6876" w:rsidP="00517AAF">
      <w:pPr>
        <w:pStyle w:val="SimpleL1"/>
        <w:rPr>
          <w:lang w:val="en-CA" w:bidi="en-CA"/>
        </w:rPr>
      </w:pPr>
      <w:r w:rsidRPr="0071186E">
        <w:rPr>
          <w:lang w:val="en-CA" w:bidi="en-CA"/>
        </w:rPr>
        <w:t>The Prosecutor suggested that this order remain valid until the Court approve</w:t>
      </w:r>
      <w:r w:rsidR="00DD0EDE" w:rsidRPr="0071186E">
        <w:rPr>
          <w:lang w:val="en-CA" w:bidi="en-CA"/>
        </w:rPr>
        <w:t>s</w:t>
      </w:r>
      <w:r w:rsidRPr="0071186E">
        <w:rPr>
          <w:lang w:val="en-CA" w:bidi="en-CA"/>
        </w:rPr>
        <w:t xml:space="preserve"> the Draft Agreement or, failing that, </w:t>
      </w:r>
      <w:r w:rsidR="00E93963">
        <w:rPr>
          <w:lang w:val="en-CA" w:bidi="en-CA"/>
        </w:rPr>
        <w:t xml:space="preserve">until it approves </w:t>
      </w:r>
      <w:r w:rsidRPr="0071186E">
        <w:rPr>
          <w:lang w:val="en-CA" w:bidi="en-CA"/>
        </w:rPr>
        <w:t>a guilty plea, jury sequestration,</w:t>
      </w:r>
      <w:r w:rsidR="001543C2">
        <w:rPr>
          <w:lang w:val="en-CA" w:bidi="en-CA"/>
        </w:rPr>
        <w:t xml:space="preserve"> </w:t>
      </w:r>
      <w:r w:rsidR="002029C8">
        <w:rPr>
          <w:lang w:val="en-CA" w:bidi="en-CA"/>
        </w:rPr>
        <w:t>re</w:t>
      </w:r>
      <w:r w:rsidR="001543C2">
        <w:rPr>
          <w:lang w:val="en-CA" w:bidi="en-CA"/>
        </w:rPr>
        <w:t>-election</w:t>
      </w:r>
      <w:r w:rsidRPr="0071186E">
        <w:rPr>
          <w:lang w:val="en-CA" w:bidi="en-CA"/>
        </w:rPr>
        <w:t xml:space="preserve"> or order to the contrary issued by this Court in the context of the ongoing proceedings bearing number 500-01-223556-215.</w:t>
      </w:r>
    </w:p>
    <w:p w14:paraId="766CA5CF" w14:textId="123286CA" w:rsidR="004F6876" w:rsidRPr="0071186E" w:rsidRDefault="004F6876" w:rsidP="00517AAF">
      <w:pPr>
        <w:pStyle w:val="SimpleL1"/>
        <w:rPr>
          <w:lang w:val="en-CA" w:bidi="en-CA"/>
        </w:rPr>
      </w:pPr>
      <w:r w:rsidRPr="0071186E">
        <w:rPr>
          <w:lang w:val="en-CA" w:bidi="en-CA"/>
        </w:rPr>
        <w:t>The Court, after hear</w:t>
      </w:r>
      <w:r w:rsidR="001543C2">
        <w:rPr>
          <w:lang w:val="en-CA" w:bidi="en-CA"/>
        </w:rPr>
        <w:t>ing the representations of the parties and the i</w:t>
      </w:r>
      <w:r w:rsidRPr="0071186E">
        <w:rPr>
          <w:lang w:val="en-CA" w:bidi="en-CA"/>
        </w:rPr>
        <w:t xml:space="preserve">mpleaded </w:t>
      </w:r>
      <w:r w:rsidR="001543C2">
        <w:rPr>
          <w:lang w:val="en-CA" w:bidi="en-CA"/>
        </w:rPr>
        <w:t>p</w:t>
      </w:r>
      <w:r w:rsidR="00DD0EDE" w:rsidRPr="0071186E">
        <w:rPr>
          <w:lang w:val="en-CA" w:bidi="en-CA"/>
        </w:rPr>
        <w:t>arties</w:t>
      </w:r>
      <w:r w:rsidRPr="0071186E">
        <w:rPr>
          <w:lang w:val="en-CA" w:bidi="en-CA"/>
        </w:rPr>
        <w:t xml:space="preserve">, </w:t>
      </w:r>
      <w:r w:rsidR="002A3D3F">
        <w:rPr>
          <w:lang w:val="en-CA" w:bidi="en-CA"/>
        </w:rPr>
        <w:t>granted</w:t>
      </w:r>
      <w:r w:rsidRPr="0071186E">
        <w:rPr>
          <w:lang w:val="en-CA" w:bidi="en-CA"/>
        </w:rPr>
        <w:t xml:space="preserve"> this application</w:t>
      </w:r>
      <w:r w:rsidR="00CB1085">
        <w:rPr>
          <w:lang w:val="en-CA" w:bidi="en-CA"/>
        </w:rPr>
        <w:t>,</w:t>
      </w:r>
      <w:r w:rsidRPr="0071186E">
        <w:rPr>
          <w:lang w:val="en-CA" w:bidi="en-CA"/>
        </w:rPr>
        <w:t xml:space="preserve"> which was not the subject of any real </w:t>
      </w:r>
      <w:r w:rsidR="009E2BDA">
        <w:rPr>
          <w:lang w:val="en-CA" w:bidi="en-CA"/>
        </w:rPr>
        <w:t>debate</w:t>
      </w:r>
      <w:r w:rsidRPr="0071186E">
        <w:rPr>
          <w:lang w:val="en-CA" w:bidi="en-CA"/>
        </w:rPr>
        <w:t>. The Court therefore issued the temporary and partial publication, broadcasting and transmission prohibition or</w:t>
      </w:r>
      <w:r w:rsidR="002A3D3F">
        <w:rPr>
          <w:lang w:val="en-CA" w:bidi="en-CA"/>
        </w:rPr>
        <w:t>der reserving the right of the parties and i</w:t>
      </w:r>
      <w:r w:rsidRPr="0071186E">
        <w:rPr>
          <w:lang w:val="en-CA" w:bidi="en-CA"/>
        </w:rPr>
        <w:t xml:space="preserve">mpleaded </w:t>
      </w:r>
      <w:r w:rsidR="002A3D3F">
        <w:rPr>
          <w:lang w:val="en-CA" w:bidi="en-CA"/>
        </w:rPr>
        <w:t>p</w:t>
      </w:r>
      <w:r w:rsidR="00DD0EDE" w:rsidRPr="0071186E">
        <w:rPr>
          <w:lang w:val="en-CA" w:bidi="en-CA"/>
        </w:rPr>
        <w:t xml:space="preserve">arties </w:t>
      </w:r>
      <w:r w:rsidRPr="0071186E">
        <w:rPr>
          <w:lang w:val="en-CA" w:bidi="en-CA"/>
        </w:rPr>
        <w:t xml:space="preserve">to make additional representations following the Court's decision on the remediation agreement, </w:t>
      </w:r>
      <w:r w:rsidR="009E2BDA">
        <w:rPr>
          <w:lang w:val="en-CA" w:bidi="en-CA"/>
        </w:rPr>
        <w:t>in light of the prevailing</w:t>
      </w:r>
      <w:r w:rsidRPr="0071186E">
        <w:rPr>
          <w:lang w:val="en-CA" w:bidi="en-CA"/>
        </w:rPr>
        <w:t xml:space="preserve"> circumstances at the time.</w:t>
      </w:r>
      <w:r w:rsidR="009B6364" w:rsidRPr="0071186E">
        <w:rPr>
          <w:rStyle w:val="Appelnotedebasdep"/>
          <w:lang w:val="en-CA" w:bidi="en-CA"/>
        </w:rPr>
        <w:footnoteReference w:id="34"/>
      </w:r>
    </w:p>
    <w:p w14:paraId="4121F7C0" w14:textId="77777777" w:rsidR="004F6876" w:rsidRPr="0071186E" w:rsidRDefault="004F6876" w:rsidP="00C532C6">
      <w:pPr>
        <w:pStyle w:val="Titre4"/>
        <w:rPr>
          <w:lang w:val="en-CA" w:bidi="en-CA"/>
        </w:rPr>
      </w:pPr>
      <w:r w:rsidRPr="0071186E">
        <w:rPr>
          <w:lang w:val="en-CA" w:bidi="en-CA"/>
        </w:rPr>
        <w:t>Publication prohibition order for co-accused and related accused</w:t>
      </w:r>
    </w:p>
    <w:p w14:paraId="4F2A5CD6" w14:textId="699EB384" w:rsidR="004F6876" w:rsidRPr="0071186E" w:rsidRDefault="004F6876" w:rsidP="00517AAF">
      <w:pPr>
        <w:pStyle w:val="SimpleL1"/>
        <w:rPr>
          <w:lang w:val="en-CA" w:bidi="en-CA"/>
        </w:rPr>
      </w:pPr>
      <w:r w:rsidRPr="0071186E">
        <w:rPr>
          <w:lang w:val="en-CA" w:bidi="en-CA"/>
        </w:rPr>
        <w:t xml:space="preserve">The Prosecutor requested a temporary and partial publication, broadcasting and transmission </w:t>
      </w:r>
      <w:r w:rsidR="00DD0EDE" w:rsidRPr="0071186E">
        <w:rPr>
          <w:lang w:val="en-CA" w:bidi="en-CA"/>
        </w:rPr>
        <w:t xml:space="preserve">prohibition </w:t>
      </w:r>
      <w:r w:rsidRPr="0071186E">
        <w:rPr>
          <w:lang w:val="en-CA" w:bidi="en-CA"/>
        </w:rPr>
        <w:t xml:space="preserve">order in the event the Court </w:t>
      </w:r>
      <w:r w:rsidR="001F7ECD">
        <w:rPr>
          <w:lang w:val="en-CA" w:bidi="en-CA"/>
        </w:rPr>
        <w:t>approved</w:t>
      </w:r>
      <w:r w:rsidRPr="0071186E">
        <w:rPr>
          <w:lang w:val="en-CA" w:bidi="en-CA"/>
        </w:rPr>
        <w:t xml:space="preserve"> the Remediation Agreement, </w:t>
      </w:r>
      <w:r w:rsidR="001F7ECD">
        <w:rPr>
          <w:lang w:val="en-CA" w:bidi="en-CA"/>
        </w:rPr>
        <w:t>because</w:t>
      </w:r>
      <w:r w:rsidRPr="0071186E">
        <w:rPr>
          <w:lang w:val="en-CA" w:bidi="en-CA"/>
        </w:rPr>
        <w:t xml:space="preserve"> the proceedings </w:t>
      </w:r>
      <w:r w:rsidR="00DD0EDE" w:rsidRPr="0071186E">
        <w:rPr>
          <w:lang w:val="en-CA" w:bidi="en-CA"/>
        </w:rPr>
        <w:t xml:space="preserve">are </w:t>
      </w:r>
      <w:r w:rsidRPr="0071186E">
        <w:rPr>
          <w:lang w:val="en-CA" w:bidi="en-CA"/>
        </w:rPr>
        <w:t xml:space="preserve">ongoing against Normand Morin, </w:t>
      </w:r>
      <w:r w:rsidR="001F7ECD">
        <w:rPr>
          <w:lang w:val="en-CA" w:bidi="en-CA"/>
        </w:rPr>
        <w:t>while they are</w:t>
      </w:r>
      <w:r w:rsidR="001F7ECD" w:rsidRPr="0071186E">
        <w:rPr>
          <w:lang w:val="en-CA" w:bidi="en-CA"/>
        </w:rPr>
        <w:t xml:space="preserve"> </w:t>
      </w:r>
      <w:r w:rsidRPr="0071186E">
        <w:rPr>
          <w:lang w:val="en-CA" w:bidi="en-CA"/>
        </w:rPr>
        <w:t>stayed against the Organizations.</w:t>
      </w:r>
    </w:p>
    <w:p w14:paraId="273860A6" w14:textId="0859ACB1" w:rsidR="004F6876" w:rsidRPr="0071186E" w:rsidRDefault="004F6876" w:rsidP="00517AAF">
      <w:pPr>
        <w:pStyle w:val="SimpleL1"/>
        <w:rPr>
          <w:lang w:val="en-CA" w:bidi="en-CA"/>
        </w:rPr>
      </w:pPr>
      <w:r w:rsidRPr="0071186E">
        <w:rPr>
          <w:lang w:val="en-CA" w:bidi="en-CA"/>
        </w:rPr>
        <w:t>More specifically, the Prosecutor submitted that a schedule to the Remediation Agreement containing the factual narrative of</w:t>
      </w:r>
      <w:r w:rsidR="004041D2">
        <w:rPr>
          <w:lang w:val="en-CA" w:bidi="en-CA"/>
        </w:rPr>
        <w:t xml:space="preserve"> the offenc</w:t>
      </w:r>
      <w:r w:rsidRPr="0071186E">
        <w:rPr>
          <w:lang w:val="en-CA" w:bidi="en-CA"/>
        </w:rPr>
        <w:t>es and certain documentary exhibits supporting the representations might reveal information likely to affect the fairness of the jury trial of M</w:t>
      </w:r>
      <w:r w:rsidR="008976CD">
        <w:rPr>
          <w:lang w:val="en-CA" w:bidi="en-CA"/>
        </w:rPr>
        <w:t>r</w:t>
      </w:r>
      <w:r w:rsidRPr="0071186E">
        <w:rPr>
          <w:lang w:val="en-CA" w:bidi="en-CA"/>
        </w:rPr>
        <w:t xml:space="preserve">. Morin and </w:t>
      </w:r>
      <w:r w:rsidR="008976CD">
        <w:rPr>
          <w:lang w:val="en-CA" w:bidi="en-CA"/>
        </w:rPr>
        <w:t xml:space="preserve">Mr. </w:t>
      </w:r>
      <w:r w:rsidRPr="0071186E">
        <w:rPr>
          <w:lang w:val="en-CA" w:bidi="en-CA"/>
        </w:rPr>
        <w:t>Francis</w:t>
      </w:r>
      <w:r w:rsidR="00DD0EDE" w:rsidRPr="0071186E">
        <w:rPr>
          <w:lang w:val="en-CA" w:bidi="en-CA"/>
        </w:rPr>
        <w:t>,</w:t>
      </w:r>
      <w:r w:rsidRPr="0071186E">
        <w:rPr>
          <w:lang w:val="en-CA" w:bidi="en-CA"/>
        </w:rPr>
        <w:t xml:space="preserve"> </w:t>
      </w:r>
      <w:r w:rsidR="004041D2">
        <w:rPr>
          <w:lang w:val="en-CA" w:bidi="en-CA"/>
        </w:rPr>
        <w:t>if</w:t>
      </w:r>
      <w:r w:rsidRPr="0071186E">
        <w:rPr>
          <w:lang w:val="en-CA" w:bidi="en-CA"/>
        </w:rPr>
        <w:t xml:space="preserve"> </w:t>
      </w:r>
      <w:r w:rsidR="008976CD">
        <w:rPr>
          <w:lang w:val="en-CA" w:bidi="en-CA"/>
        </w:rPr>
        <w:t>the latter</w:t>
      </w:r>
      <w:r w:rsidRPr="0071186E">
        <w:rPr>
          <w:lang w:val="en-CA" w:bidi="en-CA"/>
        </w:rPr>
        <w:t xml:space="preserve"> </w:t>
      </w:r>
      <w:r w:rsidR="004041D2">
        <w:rPr>
          <w:lang w:val="en-CA" w:bidi="en-CA"/>
        </w:rPr>
        <w:t>re-elects</w:t>
      </w:r>
      <w:r w:rsidRPr="0071186E">
        <w:rPr>
          <w:lang w:val="en-CA" w:bidi="en-CA"/>
        </w:rPr>
        <w:t xml:space="preserve"> </w:t>
      </w:r>
      <w:r w:rsidR="00950CD2">
        <w:rPr>
          <w:lang w:val="en-CA" w:bidi="en-CA"/>
        </w:rPr>
        <w:t>and chooses</w:t>
      </w:r>
      <w:r w:rsidR="004041D2">
        <w:rPr>
          <w:lang w:val="en-CA" w:bidi="en-CA"/>
        </w:rPr>
        <w:t xml:space="preserve"> a trial before</w:t>
      </w:r>
      <w:r w:rsidR="008976CD">
        <w:rPr>
          <w:lang w:val="en-CA" w:bidi="en-CA"/>
        </w:rPr>
        <w:t xml:space="preserve"> </w:t>
      </w:r>
      <w:r w:rsidR="000B7AB3">
        <w:rPr>
          <w:lang w:val="en-CA" w:bidi="en-CA"/>
        </w:rPr>
        <w:t xml:space="preserve">a </w:t>
      </w:r>
      <w:r w:rsidR="008976CD">
        <w:rPr>
          <w:lang w:val="en-CA" w:bidi="en-CA"/>
        </w:rPr>
        <w:t>jury</w:t>
      </w:r>
      <w:r w:rsidRPr="0071186E">
        <w:rPr>
          <w:lang w:val="en-CA" w:bidi="en-CA"/>
        </w:rPr>
        <w:t>.</w:t>
      </w:r>
    </w:p>
    <w:p w14:paraId="38E09127" w14:textId="77777777" w:rsidR="004F6876" w:rsidRPr="0071186E" w:rsidRDefault="004F6876" w:rsidP="00517AAF">
      <w:pPr>
        <w:pStyle w:val="SimpleL1"/>
        <w:rPr>
          <w:lang w:val="en-CA" w:bidi="en-CA"/>
        </w:rPr>
      </w:pPr>
      <w:r w:rsidRPr="0071186E">
        <w:rPr>
          <w:lang w:val="en-CA" w:bidi="en-CA"/>
        </w:rPr>
        <w:t>More specifically, the Prosecutor identified the following items that should be exempted from publication, broadcasting and transmission:</w:t>
      </w:r>
    </w:p>
    <w:p w14:paraId="1A2D5EA3" w14:textId="7342BEB1" w:rsidR="004F6876" w:rsidRPr="0071186E" w:rsidRDefault="004F6876" w:rsidP="00313DEB">
      <w:pPr>
        <w:pStyle w:val="Paragraphedeliste"/>
        <w:widowControl w:val="0"/>
        <w:numPr>
          <w:ilvl w:val="0"/>
          <w:numId w:val="36"/>
        </w:numPr>
        <w:tabs>
          <w:tab w:val="left" w:pos="1167"/>
        </w:tabs>
        <w:autoSpaceDE w:val="0"/>
        <w:autoSpaceDN w:val="0"/>
        <w:spacing w:before="112" w:line="225" w:lineRule="auto"/>
        <w:ind w:left="720" w:right="124" w:firstLine="0"/>
        <w:jc w:val="both"/>
        <w:rPr>
          <w:i/>
          <w:sz w:val="22"/>
          <w:szCs w:val="22"/>
          <w:lang w:val="en-CA"/>
        </w:rPr>
      </w:pPr>
      <w:r w:rsidRPr="0071186E">
        <w:rPr>
          <w:color w:val="161616"/>
          <w:sz w:val="23"/>
          <w:lang w:val="en-CA" w:bidi="en-CA"/>
        </w:rPr>
        <w:t>Schedule</w:t>
      </w:r>
      <w:r w:rsidRPr="0071186E">
        <w:rPr>
          <w:color w:val="161816"/>
          <w:w w:val="105"/>
          <w:sz w:val="22"/>
          <w:szCs w:val="22"/>
          <w:lang w:val="en-CA" w:bidi="en-CA"/>
        </w:rPr>
        <w:t xml:space="preserve"> B to the Draft Agreement</w:t>
      </w:r>
      <w:r w:rsidRPr="0071186E">
        <w:rPr>
          <w:color w:val="383838"/>
          <w:w w:val="105"/>
          <w:sz w:val="22"/>
          <w:szCs w:val="22"/>
          <w:lang w:val="en-CA" w:bidi="en-CA"/>
        </w:rPr>
        <w:t xml:space="preserve">, </w:t>
      </w:r>
      <w:r w:rsidRPr="0071186E">
        <w:rPr>
          <w:color w:val="161816"/>
          <w:w w:val="105"/>
          <w:sz w:val="22"/>
          <w:szCs w:val="22"/>
          <w:lang w:val="en-CA" w:bidi="en-CA"/>
        </w:rPr>
        <w:t xml:space="preserve">namely the </w:t>
      </w:r>
      <w:r w:rsidR="00950CD2">
        <w:rPr>
          <w:color w:val="161816"/>
          <w:w w:val="105"/>
          <w:sz w:val="22"/>
          <w:szCs w:val="22"/>
          <w:lang w:val="en-CA" w:bidi="en-CA"/>
        </w:rPr>
        <w:t>[</w:t>
      </w:r>
      <w:r w:rsidR="00950CD2" w:rsidRPr="006B7F16">
        <w:rPr>
          <w:smallCaps/>
          <w:color w:val="161816"/>
          <w:w w:val="105"/>
          <w:sz w:val="22"/>
          <w:szCs w:val="22"/>
          <w:lang w:val="en-CA" w:bidi="en-CA"/>
        </w:rPr>
        <w:t>translation</w:t>
      </w:r>
      <w:r w:rsidR="00950CD2">
        <w:rPr>
          <w:color w:val="161816"/>
          <w:w w:val="105"/>
          <w:sz w:val="22"/>
          <w:szCs w:val="22"/>
          <w:lang w:val="en-CA" w:bidi="en-CA"/>
        </w:rPr>
        <w:t xml:space="preserve">] </w:t>
      </w:r>
      <w:r w:rsidRPr="0071186E">
        <w:rPr>
          <w:color w:val="161816"/>
          <w:w w:val="105"/>
          <w:sz w:val="22"/>
          <w:szCs w:val="22"/>
          <w:lang w:val="en-CA" w:bidi="en-CA"/>
        </w:rPr>
        <w:t xml:space="preserve">“Statement of Facts” (R-1 of the </w:t>
      </w:r>
      <w:r w:rsidRPr="0071186E">
        <w:rPr>
          <w:i/>
          <w:color w:val="161816"/>
          <w:w w:val="105"/>
          <w:sz w:val="22"/>
          <w:szCs w:val="22"/>
          <w:lang w:val="en-CA" w:bidi="en-CA"/>
        </w:rPr>
        <w:t xml:space="preserve">Application for </w:t>
      </w:r>
      <w:r w:rsidRPr="0071186E">
        <w:rPr>
          <w:i/>
          <w:color w:val="161816"/>
          <w:spacing w:val="-2"/>
          <w:w w:val="105"/>
          <w:sz w:val="22"/>
          <w:szCs w:val="22"/>
          <w:lang w:val="en-CA" w:bidi="en-CA"/>
        </w:rPr>
        <w:t>Approval);</w:t>
      </w:r>
    </w:p>
    <w:p w14:paraId="5994420B" w14:textId="77777777" w:rsidR="004F6876" w:rsidRPr="0071186E" w:rsidRDefault="004F6876" w:rsidP="00FF41F3">
      <w:pPr>
        <w:pStyle w:val="Corpsdetexte"/>
        <w:spacing w:after="0"/>
        <w:ind w:left="720"/>
        <w:rPr>
          <w:i/>
          <w:sz w:val="22"/>
          <w:szCs w:val="22"/>
          <w:lang w:val="en-CA"/>
        </w:rPr>
      </w:pPr>
    </w:p>
    <w:p w14:paraId="27B68DFE" w14:textId="629A7593" w:rsidR="004F6876" w:rsidRPr="0071186E" w:rsidRDefault="004F6876" w:rsidP="00313DEB">
      <w:pPr>
        <w:pStyle w:val="Paragraphedeliste"/>
        <w:widowControl w:val="0"/>
        <w:numPr>
          <w:ilvl w:val="0"/>
          <w:numId w:val="36"/>
        </w:numPr>
        <w:tabs>
          <w:tab w:val="left" w:pos="1167"/>
        </w:tabs>
        <w:autoSpaceDE w:val="0"/>
        <w:autoSpaceDN w:val="0"/>
        <w:spacing w:before="112" w:line="225" w:lineRule="auto"/>
        <w:ind w:left="720" w:right="124" w:firstLine="0"/>
        <w:jc w:val="both"/>
        <w:rPr>
          <w:i/>
          <w:sz w:val="22"/>
          <w:szCs w:val="22"/>
          <w:lang w:val="en-CA"/>
        </w:rPr>
      </w:pPr>
      <w:r w:rsidRPr="0071186E">
        <w:rPr>
          <w:color w:val="161816"/>
          <w:w w:val="105"/>
          <w:sz w:val="22"/>
          <w:szCs w:val="22"/>
          <w:lang w:val="en-CA" w:bidi="en-CA"/>
        </w:rPr>
        <w:t xml:space="preserve">The Parties’ oral </w:t>
      </w:r>
      <w:r w:rsidR="004041D2">
        <w:rPr>
          <w:color w:val="161816"/>
          <w:w w:val="105"/>
          <w:sz w:val="22"/>
          <w:szCs w:val="22"/>
          <w:lang w:val="en-CA" w:bidi="en-CA"/>
        </w:rPr>
        <w:t>submissions</w:t>
      </w:r>
      <w:r w:rsidRPr="0071186E">
        <w:rPr>
          <w:color w:val="161816"/>
          <w:w w:val="105"/>
          <w:sz w:val="22"/>
          <w:szCs w:val="22"/>
          <w:lang w:val="en-CA" w:bidi="en-CA"/>
        </w:rPr>
        <w:t xml:space="preserve"> in support of the Draft Agreement</w:t>
      </w:r>
      <w:r w:rsidRPr="0071186E">
        <w:rPr>
          <w:color w:val="383838"/>
          <w:w w:val="105"/>
          <w:sz w:val="22"/>
          <w:szCs w:val="22"/>
          <w:lang w:val="en-CA" w:bidi="en-CA"/>
        </w:rPr>
        <w:t xml:space="preserve">, </w:t>
      </w:r>
      <w:r w:rsidRPr="0071186E">
        <w:rPr>
          <w:color w:val="161816"/>
          <w:w w:val="105"/>
          <w:sz w:val="22"/>
          <w:szCs w:val="22"/>
          <w:lang w:val="en-CA" w:bidi="en-CA"/>
        </w:rPr>
        <w:t xml:space="preserve">bearing on </w:t>
      </w:r>
      <w:r w:rsidRPr="0071186E">
        <w:rPr>
          <w:color w:val="161616"/>
          <w:sz w:val="23"/>
          <w:lang w:val="en-CA" w:bidi="en-CA"/>
        </w:rPr>
        <w:t>the</w:t>
      </w:r>
      <w:r w:rsidRPr="0071186E">
        <w:rPr>
          <w:color w:val="161816"/>
          <w:w w:val="105"/>
          <w:sz w:val="22"/>
          <w:szCs w:val="22"/>
          <w:lang w:val="en-CA" w:bidi="en-CA"/>
        </w:rPr>
        <w:t xml:space="preserve"> contents of Schedule B to the Draft Agreement</w:t>
      </w:r>
      <w:r w:rsidRPr="0071186E">
        <w:rPr>
          <w:color w:val="383838"/>
          <w:w w:val="105"/>
          <w:sz w:val="22"/>
          <w:szCs w:val="22"/>
          <w:lang w:val="en-CA" w:bidi="en-CA"/>
        </w:rPr>
        <w:t xml:space="preserve">, </w:t>
      </w:r>
      <w:r w:rsidRPr="0071186E">
        <w:rPr>
          <w:color w:val="161816"/>
          <w:w w:val="105"/>
          <w:sz w:val="22"/>
          <w:szCs w:val="22"/>
          <w:lang w:val="en-CA" w:bidi="en-CA"/>
        </w:rPr>
        <w:t xml:space="preserve">namely the </w:t>
      </w:r>
      <w:r w:rsidR="00950CD2">
        <w:rPr>
          <w:color w:val="161816"/>
          <w:w w:val="105"/>
          <w:sz w:val="22"/>
          <w:szCs w:val="22"/>
          <w:lang w:val="en-CA" w:bidi="en-CA"/>
        </w:rPr>
        <w:t>[</w:t>
      </w:r>
      <w:r w:rsidR="00950CD2" w:rsidRPr="006B7F16">
        <w:rPr>
          <w:smallCaps/>
          <w:color w:val="161816"/>
          <w:w w:val="105"/>
          <w:sz w:val="22"/>
          <w:szCs w:val="22"/>
          <w:lang w:val="en-CA" w:bidi="en-CA"/>
        </w:rPr>
        <w:t>translation</w:t>
      </w:r>
      <w:r w:rsidR="00950CD2">
        <w:rPr>
          <w:color w:val="161816"/>
          <w:w w:val="105"/>
          <w:sz w:val="22"/>
          <w:szCs w:val="22"/>
          <w:lang w:val="en-CA" w:bidi="en-CA"/>
        </w:rPr>
        <w:t xml:space="preserve">] </w:t>
      </w:r>
      <w:r w:rsidRPr="0071186E">
        <w:rPr>
          <w:color w:val="161816"/>
          <w:w w:val="105"/>
          <w:sz w:val="22"/>
          <w:szCs w:val="22"/>
          <w:lang w:val="en-CA" w:bidi="en-CA"/>
        </w:rPr>
        <w:t xml:space="preserve">“Statement of Facts” (R-1 of the </w:t>
      </w:r>
      <w:r w:rsidRPr="0071186E">
        <w:rPr>
          <w:i/>
          <w:color w:val="161816"/>
          <w:w w:val="105"/>
          <w:sz w:val="22"/>
          <w:szCs w:val="22"/>
          <w:lang w:val="en-CA" w:bidi="en-CA"/>
        </w:rPr>
        <w:t>Application for Approval)</w:t>
      </w:r>
      <w:r w:rsidRPr="000B7AB3">
        <w:rPr>
          <w:color w:val="161816"/>
          <w:w w:val="105"/>
          <w:sz w:val="22"/>
          <w:szCs w:val="22"/>
          <w:lang w:val="en-CA" w:bidi="en-CA"/>
        </w:rPr>
        <w:t>;</w:t>
      </w:r>
    </w:p>
    <w:p w14:paraId="217215A1" w14:textId="77777777" w:rsidR="004F6876" w:rsidRPr="0071186E" w:rsidRDefault="004F6876" w:rsidP="00FF41F3">
      <w:pPr>
        <w:pStyle w:val="Corpsdetexte"/>
        <w:spacing w:after="0"/>
        <w:ind w:left="720"/>
        <w:rPr>
          <w:i/>
          <w:sz w:val="22"/>
          <w:szCs w:val="22"/>
          <w:lang w:val="en-CA"/>
        </w:rPr>
      </w:pPr>
    </w:p>
    <w:p w14:paraId="30B4787D" w14:textId="5A9D6A2F" w:rsidR="004F6876" w:rsidRPr="0071186E" w:rsidRDefault="004F6876" w:rsidP="00313DEB">
      <w:pPr>
        <w:pStyle w:val="Paragraphedeliste"/>
        <w:widowControl w:val="0"/>
        <w:numPr>
          <w:ilvl w:val="0"/>
          <w:numId w:val="36"/>
        </w:numPr>
        <w:tabs>
          <w:tab w:val="left" w:pos="1167"/>
        </w:tabs>
        <w:autoSpaceDE w:val="0"/>
        <w:autoSpaceDN w:val="0"/>
        <w:spacing w:before="112" w:line="225" w:lineRule="auto"/>
        <w:ind w:left="720" w:right="124" w:firstLine="0"/>
        <w:jc w:val="both"/>
        <w:rPr>
          <w:sz w:val="22"/>
          <w:szCs w:val="22"/>
          <w:lang w:val="en-CA"/>
        </w:rPr>
      </w:pPr>
      <w:r w:rsidRPr="0071186E">
        <w:rPr>
          <w:color w:val="161816"/>
          <w:w w:val="105"/>
          <w:sz w:val="22"/>
          <w:szCs w:val="22"/>
          <w:lang w:val="en-CA" w:bidi="en-CA"/>
        </w:rPr>
        <w:t>Exhibits AR-26 and AR-27 filed in support of the</w:t>
      </w:r>
      <w:r w:rsidR="00950CD2">
        <w:rPr>
          <w:color w:val="161816"/>
          <w:w w:val="105"/>
          <w:sz w:val="22"/>
          <w:szCs w:val="22"/>
          <w:lang w:val="en-CA" w:bidi="en-CA"/>
        </w:rPr>
        <w:t>se</w:t>
      </w:r>
      <w:r w:rsidRPr="0071186E">
        <w:rPr>
          <w:color w:val="161816"/>
          <w:w w:val="105"/>
          <w:sz w:val="22"/>
          <w:szCs w:val="22"/>
          <w:lang w:val="en-CA" w:bidi="en-CA"/>
        </w:rPr>
        <w:t xml:space="preserve"> </w:t>
      </w:r>
      <w:r w:rsidR="000B7AB3">
        <w:rPr>
          <w:color w:val="161816"/>
          <w:w w:val="105"/>
          <w:sz w:val="22"/>
          <w:szCs w:val="22"/>
          <w:lang w:val="en-CA" w:bidi="en-CA"/>
        </w:rPr>
        <w:t>submissions</w:t>
      </w:r>
      <w:r w:rsidRPr="0071186E">
        <w:rPr>
          <w:color w:val="161816"/>
          <w:spacing w:val="-2"/>
          <w:w w:val="105"/>
          <w:sz w:val="22"/>
          <w:szCs w:val="22"/>
          <w:lang w:val="en-CA" w:bidi="en-CA"/>
        </w:rPr>
        <w:t>;</w:t>
      </w:r>
    </w:p>
    <w:p w14:paraId="167F1354" w14:textId="77777777" w:rsidR="004F6876" w:rsidRPr="0071186E" w:rsidRDefault="004F6876" w:rsidP="00FF41F3">
      <w:pPr>
        <w:pStyle w:val="Corpsdetexte"/>
        <w:spacing w:after="0"/>
        <w:ind w:left="720"/>
        <w:rPr>
          <w:sz w:val="22"/>
          <w:szCs w:val="22"/>
          <w:lang w:val="en-CA"/>
        </w:rPr>
      </w:pPr>
    </w:p>
    <w:p w14:paraId="24152EAC" w14:textId="77777777" w:rsidR="004F6876" w:rsidRPr="0071186E" w:rsidRDefault="004F6876" w:rsidP="00313DEB">
      <w:pPr>
        <w:pStyle w:val="Paragraphedeliste"/>
        <w:widowControl w:val="0"/>
        <w:numPr>
          <w:ilvl w:val="0"/>
          <w:numId w:val="36"/>
        </w:numPr>
        <w:tabs>
          <w:tab w:val="left" w:pos="1167"/>
        </w:tabs>
        <w:autoSpaceDE w:val="0"/>
        <w:autoSpaceDN w:val="0"/>
        <w:spacing w:before="112" w:line="225" w:lineRule="auto"/>
        <w:ind w:left="720" w:right="124" w:firstLine="0"/>
        <w:jc w:val="both"/>
        <w:rPr>
          <w:sz w:val="22"/>
          <w:szCs w:val="22"/>
          <w:lang w:val="en-CA"/>
        </w:rPr>
      </w:pPr>
      <w:r w:rsidRPr="0071186E">
        <w:rPr>
          <w:color w:val="161816"/>
          <w:w w:val="105"/>
          <w:sz w:val="22"/>
          <w:szCs w:val="22"/>
          <w:lang w:val="en-CA" w:bidi="en-CA"/>
        </w:rPr>
        <w:t>Paragraph 38 of the list of admissions (AR-</w:t>
      </w:r>
      <w:r w:rsidRPr="0071186E">
        <w:rPr>
          <w:color w:val="161816"/>
          <w:spacing w:val="-4"/>
          <w:w w:val="105"/>
          <w:sz w:val="22"/>
          <w:szCs w:val="22"/>
          <w:lang w:val="en-CA" w:bidi="en-CA"/>
        </w:rPr>
        <w:t>40).</w:t>
      </w:r>
    </w:p>
    <w:p w14:paraId="5BAC35F4" w14:textId="77777777" w:rsidR="00D96E3F" w:rsidRPr="0071186E" w:rsidRDefault="00D96E3F" w:rsidP="00FF41F3">
      <w:pPr>
        <w:pStyle w:val="Paragraphedeliste"/>
        <w:widowControl w:val="0"/>
        <w:tabs>
          <w:tab w:val="left" w:pos="1087"/>
        </w:tabs>
        <w:autoSpaceDE w:val="0"/>
        <w:autoSpaceDN w:val="0"/>
        <w:spacing w:before="1"/>
        <w:ind w:left="720"/>
        <w:jc w:val="both"/>
        <w:rPr>
          <w:sz w:val="21"/>
          <w:lang w:val="en-CA"/>
        </w:rPr>
      </w:pPr>
    </w:p>
    <w:p w14:paraId="789EB7B1" w14:textId="4DBD451F" w:rsidR="004F6876" w:rsidRPr="0071186E" w:rsidRDefault="00D96E3F" w:rsidP="00517AAF">
      <w:pPr>
        <w:pStyle w:val="SimpleL1"/>
        <w:rPr>
          <w:lang w:val="en-CA" w:bidi="en-CA"/>
        </w:rPr>
      </w:pPr>
      <w:r w:rsidRPr="0071186E">
        <w:rPr>
          <w:lang w:val="en-CA" w:bidi="en-CA"/>
        </w:rPr>
        <w:t xml:space="preserve">The Prosecutor </w:t>
      </w:r>
      <w:r w:rsidR="00DD0EDE" w:rsidRPr="0071186E">
        <w:rPr>
          <w:lang w:val="en-CA" w:bidi="en-CA"/>
        </w:rPr>
        <w:t xml:space="preserve">requested </w:t>
      </w:r>
      <w:r w:rsidRPr="0071186E">
        <w:rPr>
          <w:lang w:val="en-CA" w:bidi="en-CA"/>
        </w:rPr>
        <w:t>that this publication, broadcasting and transmission prohibition order remain valid until</w:t>
      </w:r>
      <w:r w:rsidR="00950CD2">
        <w:rPr>
          <w:lang w:val="en-CA" w:bidi="en-CA"/>
        </w:rPr>
        <w:t xml:space="preserve"> there occurred</w:t>
      </w:r>
      <w:r w:rsidRPr="0071186E">
        <w:rPr>
          <w:lang w:val="en-CA" w:bidi="en-CA"/>
        </w:rPr>
        <w:t xml:space="preserve"> a re-</w:t>
      </w:r>
      <w:r w:rsidR="000B7AB3">
        <w:rPr>
          <w:lang w:val="en-CA" w:bidi="en-CA"/>
        </w:rPr>
        <w:t>election</w:t>
      </w:r>
      <w:r w:rsidRPr="0071186E">
        <w:rPr>
          <w:lang w:val="en-CA" w:bidi="en-CA"/>
        </w:rPr>
        <w:t xml:space="preserve"> before a provincial court, a guilty plea, a jury sequestration, or an order to the contrary issued by this Court in the proceedings bearing numbers 500</w:t>
      </w:r>
      <w:r w:rsidRPr="0071186E">
        <w:rPr>
          <w:lang w:val="en-CA" w:bidi="en-CA"/>
        </w:rPr>
        <w:noBreakHyphen/>
        <w:t>01</w:t>
      </w:r>
      <w:r w:rsidRPr="0071186E">
        <w:rPr>
          <w:lang w:val="en-CA" w:bidi="en-CA"/>
        </w:rPr>
        <w:noBreakHyphen/>
        <w:t>223556</w:t>
      </w:r>
      <w:r w:rsidRPr="0071186E">
        <w:rPr>
          <w:lang w:val="en-CA" w:bidi="en-CA"/>
        </w:rPr>
        <w:noBreakHyphen/>
        <w:t>215 and 500</w:t>
      </w:r>
      <w:r w:rsidRPr="0071186E">
        <w:rPr>
          <w:lang w:val="en-CA" w:bidi="en-CA"/>
        </w:rPr>
        <w:noBreakHyphen/>
        <w:t>01</w:t>
      </w:r>
      <w:r w:rsidRPr="0071186E">
        <w:rPr>
          <w:lang w:val="en-CA" w:bidi="en-CA"/>
        </w:rPr>
        <w:noBreakHyphen/>
        <w:t>223557</w:t>
      </w:r>
      <w:r w:rsidRPr="0071186E">
        <w:rPr>
          <w:lang w:val="en-CA" w:bidi="en-CA"/>
        </w:rPr>
        <w:noBreakHyphen/>
        <w:t>213.</w:t>
      </w:r>
    </w:p>
    <w:p w14:paraId="7BF9EA46" w14:textId="4EB3CC4E" w:rsidR="004F6876" w:rsidRPr="0071186E" w:rsidRDefault="00D96E3F" w:rsidP="00517AAF">
      <w:pPr>
        <w:pStyle w:val="SimpleL1"/>
        <w:rPr>
          <w:lang w:val="en-CA" w:bidi="en-CA"/>
        </w:rPr>
      </w:pPr>
      <w:r w:rsidRPr="0071186E">
        <w:rPr>
          <w:lang w:val="en-CA" w:bidi="en-CA"/>
        </w:rPr>
        <w:t xml:space="preserve">The Prosecutor also </w:t>
      </w:r>
      <w:r w:rsidR="00DD0EDE" w:rsidRPr="0071186E">
        <w:rPr>
          <w:lang w:val="en-CA" w:bidi="en-CA"/>
        </w:rPr>
        <w:t xml:space="preserve">requested </w:t>
      </w:r>
      <w:r w:rsidRPr="0071186E">
        <w:rPr>
          <w:lang w:val="en-CA" w:bidi="en-CA"/>
        </w:rPr>
        <w:t xml:space="preserve">that the above </w:t>
      </w:r>
      <w:r w:rsidR="00DD0EDE" w:rsidRPr="0071186E">
        <w:rPr>
          <w:lang w:val="en-CA" w:bidi="en-CA"/>
        </w:rPr>
        <w:t xml:space="preserve">orders </w:t>
      </w:r>
      <w:r w:rsidRPr="0071186E">
        <w:rPr>
          <w:lang w:val="en-CA" w:bidi="en-CA"/>
        </w:rPr>
        <w:t xml:space="preserve">be issued on an interim basis pending a judgment on the merits </w:t>
      </w:r>
      <w:r w:rsidR="00106B91">
        <w:rPr>
          <w:lang w:val="en-CA" w:bidi="en-CA"/>
        </w:rPr>
        <w:t>with respect to the approval of the</w:t>
      </w:r>
      <w:r w:rsidRPr="0071186E">
        <w:rPr>
          <w:lang w:val="en-CA" w:bidi="en-CA"/>
        </w:rPr>
        <w:t xml:space="preserve"> Draft Agreement.</w:t>
      </w:r>
    </w:p>
    <w:p w14:paraId="3D9D6BB4" w14:textId="75EF03FC" w:rsidR="00D96E3F" w:rsidRPr="0071186E" w:rsidRDefault="00D96E3F" w:rsidP="00517AAF">
      <w:pPr>
        <w:pStyle w:val="SimpleL1"/>
        <w:rPr>
          <w:lang w:val="en-CA" w:bidi="en-CA"/>
        </w:rPr>
      </w:pPr>
      <w:r w:rsidRPr="0071186E">
        <w:rPr>
          <w:lang w:val="en-CA" w:bidi="en-CA"/>
        </w:rPr>
        <w:t xml:space="preserve">The Court, after hearing the representations of the Parties and Impleaded Parties issued the requested order in respect of the items mentioned </w:t>
      </w:r>
      <w:r w:rsidR="004A1307">
        <w:rPr>
          <w:lang w:val="en-CA" w:bidi="en-CA"/>
        </w:rPr>
        <w:t xml:space="preserve">in </w:t>
      </w:r>
      <w:r w:rsidRPr="0071186E">
        <w:rPr>
          <w:lang w:val="en-CA" w:bidi="en-CA"/>
        </w:rPr>
        <w:t>paragraph 91</w:t>
      </w:r>
      <w:r w:rsidR="004A1307">
        <w:rPr>
          <w:lang w:val="en-CA" w:bidi="en-CA"/>
        </w:rPr>
        <w:t>(iii) and (iv)</w:t>
      </w:r>
      <w:r w:rsidRPr="0071186E">
        <w:rPr>
          <w:lang w:val="en-CA" w:bidi="en-CA"/>
        </w:rPr>
        <w:t>.</w:t>
      </w:r>
    </w:p>
    <w:p w14:paraId="5B399DFF" w14:textId="4D872ADD" w:rsidR="00D96E3F" w:rsidRPr="0071186E" w:rsidRDefault="00D96E3F" w:rsidP="00517AAF">
      <w:pPr>
        <w:pStyle w:val="SimpleL1"/>
        <w:rPr>
          <w:lang w:val="en-CA" w:bidi="en-CA"/>
        </w:rPr>
      </w:pPr>
      <w:r w:rsidRPr="0071186E">
        <w:rPr>
          <w:lang w:val="en-CA" w:bidi="en-CA"/>
        </w:rPr>
        <w:t>The Court also issued a temporary and partial order and authorized the publication, broadcasting an</w:t>
      </w:r>
      <w:r w:rsidR="00784C34">
        <w:rPr>
          <w:lang w:val="en-CA" w:bidi="en-CA"/>
        </w:rPr>
        <w:t>d</w:t>
      </w:r>
      <w:r w:rsidRPr="0071186E">
        <w:rPr>
          <w:lang w:val="en-CA" w:bidi="en-CA"/>
        </w:rPr>
        <w:t xml:space="preserve"> transmission of a redacted and contextualized version of Schedule</w:t>
      </w:r>
      <w:r w:rsidR="006E572A" w:rsidRPr="0071186E">
        <w:rPr>
          <w:lang w:val="en-CA" w:bidi="en-CA"/>
        </w:rPr>
        <w:t> </w:t>
      </w:r>
      <w:r w:rsidRPr="0071186E">
        <w:rPr>
          <w:lang w:val="en-CA" w:bidi="en-CA"/>
        </w:rPr>
        <w:t xml:space="preserve">B, namely the </w:t>
      </w:r>
      <w:r w:rsidR="004A1307">
        <w:rPr>
          <w:lang w:val="en-CA" w:bidi="en-CA"/>
        </w:rPr>
        <w:t>s</w:t>
      </w:r>
      <w:r w:rsidRPr="0071186E">
        <w:rPr>
          <w:lang w:val="en-CA" w:bidi="en-CA"/>
        </w:rPr>
        <w:t xml:space="preserve">tatement of </w:t>
      </w:r>
      <w:r w:rsidR="004A1307">
        <w:rPr>
          <w:lang w:val="en-CA" w:bidi="en-CA"/>
        </w:rPr>
        <w:t>f</w:t>
      </w:r>
      <w:r w:rsidRPr="0071186E">
        <w:rPr>
          <w:lang w:val="en-CA" w:bidi="en-CA"/>
        </w:rPr>
        <w:t>acts.</w:t>
      </w:r>
      <w:r w:rsidR="009B6364" w:rsidRPr="0071186E">
        <w:rPr>
          <w:rStyle w:val="Appelnotedebasdep"/>
          <w:lang w:val="en-CA" w:bidi="en-CA"/>
        </w:rPr>
        <w:footnoteReference w:id="35"/>
      </w:r>
    </w:p>
    <w:p w14:paraId="4C6F3606" w14:textId="77777777" w:rsidR="00D96E3F" w:rsidRPr="0071186E" w:rsidRDefault="00D96E3F" w:rsidP="008036E0">
      <w:pPr>
        <w:pStyle w:val="Titre1"/>
        <w:rPr>
          <w:lang w:val="en-CA"/>
        </w:rPr>
      </w:pPr>
      <w:bookmarkStart w:id="11" w:name="_Toc109310850"/>
      <w:r w:rsidRPr="0071186E">
        <w:rPr>
          <w:lang w:val="en-CA"/>
        </w:rPr>
        <w:t>LEGISLATIVE FRAMEWORK</w:t>
      </w:r>
      <w:bookmarkEnd w:id="11"/>
    </w:p>
    <w:p w14:paraId="61785DB8" w14:textId="558435C7" w:rsidR="00D96E3F" w:rsidRPr="0071186E" w:rsidRDefault="00D96E3F" w:rsidP="00517AAF">
      <w:pPr>
        <w:pStyle w:val="SimpleL1"/>
        <w:rPr>
          <w:lang w:val="en-CA" w:bidi="en-CA"/>
        </w:rPr>
      </w:pPr>
      <w:r w:rsidRPr="0071186E">
        <w:rPr>
          <w:lang w:val="en-CA" w:bidi="en-CA"/>
        </w:rPr>
        <w:t xml:space="preserve">This being the first </w:t>
      </w:r>
      <w:r w:rsidR="00DD0EDE" w:rsidRPr="0071186E">
        <w:rPr>
          <w:lang w:val="en-CA" w:bidi="en-CA"/>
        </w:rPr>
        <w:t xml:space="preserve">decision </w:t>
      </w:r>
      <w:r w:rsidRPr="0071186E">
        <w:rPr>
          <w:lang w:val="en-CA" w:bidi="en-CA"/>
        </w:rPr>
        <w:t xml:space="preserve">rendered in Canada </w:t>
      </w:r>
      <w:r w:rsidR="00C40270">
        <w:rPr>
          <w:lang w:val="en-CA" w:bidi="en-CA"/>
        </w:rPr>
        <w:t>under</w:t>
      </w:r>
      <w:r w:rsidRPr="0071186E">
        <w:rPr>
          <w:lang w:val="en-CA" w:bidi="en-CA"/>
        </w:rPr>
        <w:t xml:space="preserve"> s</w:t>
      </w:r>
      <w:r w:rsidR="00021070">
        <w:rPr>
          <w:lang w:val="en-CA" w:bidi="en-CA"/>
        </w:rPr>
        <w:t>.</w:t>
      </w:r>
      <w:r w:rsidRPr="0071186E">
        <w:rPr>
          <w:lang w:val="en-CA" w:bidi="en-CA"/>
        </w:rPr>
        <w:t xml:space="preserve"> 715.37 Cr.</w:t>
      </w:r>
      <w:r w:rsidR="001633B3">
        <w:rPr>
          <w:lang w:val="en-CA" w:bidi="en-CA"/>
        </w:rPr>
        <w:t> </w:t>
      </w:r>
      <w:r w:rsidRPr="0071186E">
        <w:rPr>
          <w:lang w:val="en-CA" w:bidi="en-CA"/>
        </w:rPr>
        <w:t xml:space="preserve">C., it </w:t>
      </w:r>
      <w:r w:rsidR="00C40270">
        <w:rPr>
          <w:lang w:val="en-CA" w:bidi="en-CA"/>
        </w:rPr>
        <w:t>is</w:t>
      </w:r>
      <w:r w:rsidRPr="0071186E">
        <w:rPr>
          <w:lang w:val="en-CA" w:bidi="en-CA"/>
        </w:rPr>
        <w:t xml:space="preserve"> appropriate to review the history that led to the creation of a remediation agreement regime in Canada and the legislative framework </w:t>
      </w:r>
      <w:r w:rsidR="006E572A" w:rsidRPr="0071186E">
        <w:rPr>
          <w:lang w:val="en-CA" w:bidi="en-CA"/>
        </w:rPr>
        <w:t xml:space="preserve">established </w:t>
      </w:r>
      <w:r w:rsidRPr="0071186E">
        <w:rPr>
          <w:lang w:val="en-CA" w:bidi="en-CA"/>
        </w:rPr>
        <w:t xml:space="preserve">in the </w:t>
      </w:r>
      <w:r w:rsidRPr="0071186E">
        <w:rPr>
          <w:i/>
          <w:lang w:val="en-CA" w:bidi="en-CA"/>
        </w:rPr>
        <w:t>Criminal Code</w:t>
      </w:r>
      <w:r w:rsidRPr="0071186E">
        <w:rPr>
          <w:lang w:val="en-CA" w:bidi="en-CA"/>
        </w:rPr>
        <w:t>.</w:t>
      </w:r>
    </w:p>
    <w:p w14:paraId="61B03801" w14:textId="77777777" w:rsidR="00D96E3F" w:rsidRPr="0071186E" w:rsidRDefault="00D96E3F" w:rsidP="00313DEB">
      <w:pPr>
        <w:pStyle w:val="Titre2"/>
        <w:numPr>
          <w:ilvl w:val="0"/>
          <w:numId w:val="21"/>
        </w:numPr>
        <w:rPr>
          <w:lang w:val="en-CA" w:bidi="en-CA"/>
        </w:rPr>
      </w:pPr>
      <w:bookmarkStart w:id="12" w:name="_Toc109310851"/>
      <w:r w:rsidRPr="0071186E">
        <w:rPr>
          <w:lang w:val="en-CA" w:bidi="en-CA"/>
        </w:rPr>
        <w:t>The History of Remediation Agreements in Canada</w:t>
      </w:r>
      <w:bookmarkEnd w:id="12"/>
    </w:p>
    <w:p w14:paraId="4061683D" w14:textId="44E60C5C" w:rsidR="00034B50" w:rsidRPr="0071186E" w:rsidRDefault="00034B50" w:rsidP="00034B50">
      <w:pPr>
        <w:pStyle w:val="SimpleL1"/>
        <w:rPr>
          <w:lang w:val="en-CA" w:bidi="en-CA"/>
        </w:rPr>
      </w:pPr>
      <w:r w:rsidRPr="0071186E">
        <w:rPr>
          <w:lang w:val="en-CA" w:bidi="en-CA"/>
        </w:rPr>
        <w:t xml:space="preserve">Remediation agreements, also referred to as "deferred prosecution agreements” (“DPA”), are not a Canadian creation. DPA regimes already existed in several jurisdictions before </w:t>
      </w:r>
      <w:r w:rsidR="00233CB9">
        <w:rPr>
          <w:lang w:val="en-CA" w:bidi="en-CA"/>
        </w:rPr>
        <w:t>making an appearance</w:t>
      </w:r>
      <w:r w:rsidRPr="0071186E">
        <w:rPr>
          <w:lang w:val="en-CA" w:bidi="en-CA"/>
        </w:rPr>
        <w:t xml:space="preserve"> in our legal system, notably in the United States where they have been widely used for economic crimes since the early 1990s.</w:t>
      </w:r>
      <w:r w:rsidR="009B6364" w:rsidRPr="0071186E">
        <w:rPr>
          <w:rStyle w:val="Appelnotedebasdep"/>
          <w:lang w:val="en-CA" w:bidi="en-CA"/>
        </w:rPr>
        <w:footnoteReference w:id="36"/>
      </w:r>
      <w:r w:rsidRPr="0071186E">
        <w:rPr>
          <w:lang w:val="en-CA" w:bidi="en-CA"/>
        </w:rPr>
        <w:t>. A few years later, the United Kingdom drew inspiration from the United States and implemented its own DPA system with the adoption, in 2013, of Schedule</w:t>
      </w:r>
      <w:r w:rsidR="009B6364" w:rsidRPr="0071186E">
        <w:rPr>
          <w:lang w:val="en-CA" w:bidi="en-CA"/>
        </w:rPr>
        <w:t> </w:t>
      </w:r>
      <w:r w:rsidRPr="0071186E">
        <w:rPr>
          <w:lang w:val="en-CA" w:bidi="en-CA"/>
        </w:rPr>
        <w:t xml:space="preserve">17 to the </w:t>
      </w:r>
      <w:r w:rsidRPr="0071186E">
        <w:rPr>
          <w:i/>
          <w:lang w:val="en-CA" w:bidi="en-CA"/>
        </w:rPr>
        <w:t>Crime and Courts Act 2013.</w:t>
      </w:r>
      <w:r w:rsidR="009B6364" w:rsidRPr="00C40270">
        <w:rPr>
          <w:rStyle w:val="Appelnotedebasdep"/>
          <w:lang w:val="en-CA" w:bidi="en-CA"/>
        </w:rPr>
        <w:footnoteReference w:id="37"/>
      </w:r>
      <w:r w:rsidRPr="0071186E">
        <w:rPr>
          <w:i/>
          <w:lang w:val="en-CA" w:bidi="en-CA"/>
        </w:rPr>
        <w:t xml:space="preserve"> </w:t>
      </w:r>
      <w:r w:rsidR="00233CB9">
        <w:rPr>
          <w:lang w:val="en-CA" w:bidi="en-CA"/>
        </w:rPr>
        <w:t>While</w:t>
      </w:r>
      <w:r w:rsidR="00233CB9" w:rsidRPr="0071186E">
        <w:rPr>
          <w:lang w:val="en-CA" w:bidi="en-CA"/>
        </w:rPr>
        <w:t xml:space="preserve"> </w:t>
      </w:r>
      <w:r w:rsidRPr="0071186E">
        <w:rPr>
          <w:lang w:val="en-CA" w:bidi="en-CA"/>
        </w:rPr>
        <w:t xml:space="preserve">public consultations were </w:t>
      </w:r>
      <w:r w:rsidR="00233CB9">
        <w:rPr>
          <w:lang w:val="en-CA" w:bidi="en-CA"/>
        </w:rPr>
        <w:t>held</w:t>
      </w:r>
      <w:r w:rsidR="00233CB9" w:rsidRPr="0071186E">
        <w:rPr>
          <w:lang w:val="en-CA" w:bidi="en-CA"/>
        </w:rPr>
        <w:t xml:space="preserve"> </w:t>
      </w:r>
      <w:r w:rsidRPr="0071186E">
        <w:rPr>
          <w:lang w:val="en-CA" w:bidi="en-CA"/>
        </w:rPr>
        <w:t xml:space="preserve">in Canada on </w:t>
      </w:r>
      <w:r w:rsidR="00233CB9">
        <w:rPr>
          <w:lang w:val="en-CA" w:bidi="en-CA"/>
        </w:rPr>
        <w:t>the appropriateness of</w:t>
      </w:r>
      <w:r w:rsidRPr="0071186E">
        <w:rPr>
          <w:lang w:val="en-CA" w:bidi="en-CA"/>
        </w:rPr>
        <w:t xml:space="preserve"> </w:t>
      </w:r>
      <w:r w:rsidRPr="0071186E">
        <w:rPr>
          <w:lang w:val="en-CA" w:bidi="en-CA"/>
        </w:rPr>
        <w:lastRenderedPageBreak/>
        <w:t>incorporat</w:t>
      </w:r>
      <w:r w:rsidR="00233CB9">
        <w:rPr>
          <w:lang w:val="en-CA" w:bidi="en-CA"/>
        </w:rPr>
        <w:t>ing</w:t>
      </w:r>
      <w:r w:rsidRPr="0071186E">
        <w:rPr>
          <w:lang w:val="en-CA" w:bidi="en-CA"/>
        </w:rPr>
        <w:t xml:space="preserve"> this system into the </w:t>
      </w:r>
      <w:r w:rsidRPr="0071186E">
        <w:rPr>
          <w:i/>
          <w:lang w:val="en-CA" w:bidi="en-CA"/>
        </w:rPr>
        <w:t>Criminal Code</w:t>
      </w:r>
      <w:r w:rsidRPr="0071186E">
        <w:rPr>
          <w:lang w:val="en-CA" w:bidi="en-CA"/>
        </w:rPr>
        <w:t xml:space="preserve">, other jurisdictions </w:t>
      </w:r>
      <w:r w:rsidR="00233CB9">
        <w:rPr>
          <w:lang w:val="en-CA" w:bidi="en-CA"/>
        </w:rPr>
        <w:t>like</w:t>
      </w:r>
      <w:r w:rsidRPr="0071186E">
        <w:rPr>
          <w:lang w:val="en-CA" w:bidi="en-CA"/>
        </w:rPr>
        <w:t xml:space="preserve"> France and Australia were implementing similar mechanisms.</w:t>
      </w:r>
      <w:r w:rsidR="009B6364" w:rsidRPr="0071186E">
        <w:rPr>
          <w:rStyle w:val="Appelnotedebasdep"/>
          <w:lang w:val="en-CA" w:bidi="en-CA"/>
        </w:rPr>
        <w:footnoteReference w:id="38"/>
      </w:r>
    </w:p>
    <w:p w14:paraId="73E8B8E2" w14:textId="2F3988A6" w:rsidR="00034B50" w:rsidRPr="0071186E" w:rsidRDefault="00034B50" w:rsidP="00034B50">
      <w:pPr>
        <w:pStyle w:val="SimpleL1"/>
        <w:rPr>
          <w:lang w:val="en-CA" w:bidi="en-CA"/>
        </w:rPr>
      </w:pPr>
      <w:r w:rsidRPr="0071186E">
        <w:rPr>
          <w:lang w:val="en-CA" w:bidi="en-CA"/>
        </w:rPr>
        <w:t>It was in this context of global development of a new tool for fighting corporate crime that</w:t>
      </w:r>
      <w:r w:rsidR="00594C17" w:rsidRPr="0071186E">
        <w:rPr>
          <w:lang w:val="en-CA" w:bidi="en-CA"/>
        </w:rPr>
        <w:t xml:space="preserve">, in the fall of 2017, </w:t>
      </w:r>
      <w:r w:rsidRPr="0071186E">
        <w:rPr>
          <w:lang w:val="en-CA" w:bidi="en-CA"/>
        </w:rPr>
        <w:t>the Government of Canada organized</w:t>
      </w:r>
      <w:r w:rsidR="00CB1085">
        <w:rPr>
          <w:lang w:val="en-CA" w:bidi="en-CA"/>
        </w:rPr>
        <w:t xml:space="preserve"> </w:t>
      </w:r>
      <w:r w:rsidRPr="0071186E">
        <w:rPr>
          <w:lang w:val="en-CA" w:bidi="en-CA"/>
        </w:rPr>
        <w:t xml:space="preserve">a public consultation with </w:t>
      </w:r>
      <w:r w:rsidR="00594C17">
        <w:rPr>
          <w:lang w:val="en-CA" w:bidi="en-CA"/>
        </w:rPr>
        <w:t>over</w:t>
      </w:r>
      <w:r w:rsidRPr="0071186E">
        <w:rPr>
          <w:lang w:val="en-CA" w:bidi="en-CA"/>
        </w:rPr>
        <w:t xml:space="preserve"> 370 participants </w:t>
      </w:r>
      <w:r w:rsidR="00594C17">
        <w:rPr>
          <w:lang w:val="en-CA" w:bidi="en-CA"/>
        </w:rPr>
        <w:t>concerning improvements to</w:t>
      </w:r>
      <w:r w:rsidRPr="0071186E">
        <w:rPr>
          <w:lang w:val="en-CA" w:bidi="en-CA"/>
        </w:rPr>
        <w:t xml:space="preserve"> the Government of Canada's Integrity Regime and the adoption of a deferred prosecution agreement regime.</w:t>
      </w:r>
    </w:p>
    <w:p w14:paraId="4209B64E" w14:textId="33E8755C" w:rsidR="00034B50" w:rsidRPr="0071186E" w:rsidRDefault="00034B50" w:rsidP="00034B50">
      <w:pPr>
        <w:pStyle w:val="SimpleL1"/>
        <w:rPr>
          <w:lang w:val="en-CA" w:bidi="en-CA"/>
        </w:rPr>
      </w:pPr>
      <w:r w:rsidRPr="0071186E">
        <w:rPr>
          <w:lang w:val="en-CA" w:bidi="en-CA"/>
        </w:rPr>
        <w:t xml:space="preserve">In its </w:t>
      </w:r>
      <w:r w:rsidR="007E0C31">
        <w:rPr>
          <w:lang w:val="en-CA" w:bidi="en-CA"/>
        </w:rPr>
        <w:t>working paper</w:t>
      </w:r>
      <w:r w:rsidRPr="0071186E">
        <w:rPr>
          <w:lang w:val="en-CA" w:bidi="en-CA"/>
        </w:rPr>
        <w:t xml:space="preserve"> for public consultation, the Government of Canada note</w:t>
      </w:r>
      <w:r w:rsidR="002A3A7C">
        <w:rPr>
          <w:lang w:val="en-CA" w:bidi="en-CA"/>
        </w:rPr>
        <w:t>s</w:t>
      </w:r>
      <w:r w:rsidRPr="0071186E">
        <w:rPr>
          <w:lang w:val="en-CA" w:bidi="en-CA"/>
        </w:rPr>
        <w:t xml:space="preserve"> that corporate crimes are</w:t>
      </w:r>
      <w:r w:rsidR="002A3A7C">
        <w:rPr>
          <w:lang w:val="en-CA" w:bidi="en-CA"/>
        </w:rPr>
        <w:t xml:space="preserve"> </w:t>
      </w:r>
      <w:r w:rsidRPr="0071186E">
        <w:rPr>
          <w:lang w:val="en-CA" w:bidi="en-CA"/>
        </w:rPr>
        <w:t xml:space="preserve">often challenging to identify, time-consuming and resource-intensive to prosecute, and difficult to prove. In addition, businesses </w:t>
      </w:r>
      <w:r w:rsidR="006E572A" w:rsidRPr="0071186E">
        <w:rPr>
          <w:lang w:val="en-CA" w:bidi="en-CA"/>
        </w:rPr>
        <w:t xml:space="preserve">may be reluctant </w:t>
      </w:r>
      <w:r w:rsidRPr="0071186E">
        <w:rPr>
          <w:lang w:val="en-CA" w:bidi="en-CA"/>
        </w:rPr>
        <w:t>under the “traditional” system to report misconduct due to the prospect of a criminal conviction, which could damage the company’s reputation and economic prospects.</w:t>
      </w:r>
      <w:r w:rsidR="009B6364" w:rsidRPr="0071186E">
        <w:rPr>
          <w:rStyle w:val="Appelnotedebasdep"/>
          <w:lang w:val="en-CA" w:bidi="en-CA"/>
        </w:rPr>
        <w:footnoteReference w:id="39"/>
      </w:r>
      <w:r w:rsidR="002A3A7C">
        <w:rPr>
          <w:lang w:val="en-CA" w:bidi="en-CA"/>
        </w:rPr>
        <w:t xml:space="preserve"> </w:t>
      </w:r>
    </w:p>
    <w:p w14:paraId="09A3A016" w14:textId="77EB1173" w:rsidR="00034B50" w:rsidRPr="0071186E" w:rsidRDefault="00034B50" w:rsidP="00034B50">
      <w:pPr>
        <w:pStyle w:val="SimpleL1"/>
        <w:rPr>
          <w:lang w:val="en-CA" w:bidi="en-CA"/>
        </w:rPr>
      </w:pPr>
      <w:r w:rsidRPr="0071186E">
        <w:rPr>
          <w:lang w:val="en-CA" w:bidi="en-CA"/>
        </w:rPr>
        <w:t>In this same document, the Government of Canada cites some of the perceived advantages of DPAs. In addition to being effective, one of their goals is to reduce the negative consequences</w:t>
      </w:r>
      <w:r w:rsidR="00AC2BFD" w:rsidRPr="0071186E">
        <w:rPr>
          <w:lang w:val="en-CA" w:bidi="en-CA"/>
        </w:rPr>
        <w:t xml:space="preserve"> of a conviction for an offence</w:t>
      </w:r>
      <w:r w:rsidRPr="0071186E">
        <w:rPr>
          <w:lang w:val="en-CA" w:bidi="en-CA"/>
        </w:rPr>
        <w:t xml:space="preserve"> for employees, shareholders, customers, pensioners, suppliers, etc. who did not participate in the criminal activities. Criminal prosecution can thus be reserved for individuals within these companies who engaged in unlawful acts. In that regard, one of the major advantages of DPAs is that they allow businesses to avoid being disqualified from public contracts.</w:t>
      </w:r>
      <w:r w:rsidR="009B6364" w:rsidRPr="0071186E">
        <w:rPr>
          <w:rStyle w:val="Appelnotedebasdep"/>
          <w:lang w:val="en-CA" w:bidi="en-CA"/>
        </w:rPr>
        <w:footnoteReference w:id="40"/>
      </w:r>
      <w:r w:rsidRPr="0071186E">
        <w:rPr>
          <w:lang w:val="en-CA" w:bidi="en-CA"/>
        </w:rPr>
        <w:t xml:space="preserve"> However, the Government of Canada also admits in this document that according to some, DPAs could undermine public confidence in the criminal justice system if businesses come to see them as a “cost of doing business”.</w:t>
      </w:r>
      <w:r w:rsidR="009B6364" w:rsidRPr="0071186E">
        <w:rPr>
          <w:rStyle w:val="Appelnotedebasdep"/>
          <w:lang w:val="en-CA" w:bidi="en-CA"/>
        </w:rPr>
        <w:footnoteReference w:id="41"/>
      </w:r>
    </w:p>
    <w:p w14:paraId="654125FC" w14:textId="552CA9FF" w:rsidR="00034B50" w:rsidRPr="0071186E" w:rsidRDefault="00034B50" w:rsidP="00034B50">
      <w:pPr>
        <w:pStyle w:val="SimpleL1"/>
        <w:rPr>
          <w:lang w:val="en-CA" w:bidi="en-CA"/>
        </w:rPr>
      </w:pPr>
      <w:r w:rsidRPr="005236BA">
        <w:rPr>
          <w:lang w:val="en-CA" w:bidi="en-CA"/>
        </w:rPr>
        <w:t xml:space="preserve">In February 2018, the Government of Canada </w:t>
      </w:r>
      <w:r w:rsidR="00AC2BFD" w:rsidRPr="005236BA">
        <w:rPr>
          <w:lang w:val="en-CA" w:bidi="en-CA"/>
        </w:rPr>
        <w:t>report</w:t>
      </w:r>
      <w:r w:rsidR="00B354F6">
        <w:rPr>
          <w:lang w:val="en-CA" w:bidi="en-CA"/>
        </w:rPr>
        <w:t>ed</w:t>
      </w:r>
      <w:r w:rsidR="00AC2BFD" w:rsidRPr="005236BA">
        <w:rPr>
          <w:lang w:val="en-CA" w:bidi="en-CA"/>
        </w:rPr>
        <w:t xml:space="preserve"> on </w:t>
      </w:r>
      <w:r w:rsidRPr="005236BA">
        <w:rPr>
          <w:lang w:val="en-CA" w:bidi="en-CA"/>
        </w:rPr>
        <w:t>the responses received in the context of its public consultation and announc</w:t>
      </w:r>
      <w:r w:rsidR="007B0A2E" w:rsidRPr="005236BA">
        <w:rPr>
          <w:lang w:val="en-CA" w:bidi="en-CA"/>
        </w:rPr>
        <w:t>e</w:t>
      </w:r>
      <w:r w:rsidR="00BB1F00">
        <w:rPr>
          <w:lang w:val="en-CA" w:bidi="en-CA"/>
        </w:rPr>
        <w:t>d</w:t>
      </w:r>
      <w:r w:rsidRPr="005236BA">
        <w:rPr>
          <w:lang w:val="en-CA" w:bidi="en-CA"/>
        </w:rPr>
        <w:t xml:space="preserve"> that most of the public consultation’s participants support</w:t>
      </w:r>
      <w:r w:rsidR="00BB1F00">
        <w:rPr>
          <w:lang w:val="en-CA" w:bidi="en-CA"/>
        </w:rPr>
        <w:t>ed</w:t>
      </w:r>
      <w:r w:rsidRPr="005236BA">
        <w:rPr>
          <w:lang w:val="en-CA" w:bidi="en-CA"/>
        </w:rPr>
        <w:t xml:space="preserve"> establishing a DPA</w:t>
      </w:r>
      <w:r w:rsidRPr="0071186E">
        <w:rPr>
          <w:lang w:val="en-CA" w:bidi="en-CA"/>
        </w:rPr>
        <w:t xml:space="preserve"> system.</w:t>
      </w:r>
      <w:r w:rsidR="009B6364" w:rsidRPr="0071186E">
        <w:rPr>
          <w:rStyle w:val="Appelnotedebasdep"/>
          <w:lang w:val="en-CA" w:bidi="en-CA"/>
        </w:rPr>
        <w:footnoteReference w:id="42"/>
      </w:r>
    </w:p>
    <w:p w14:paraId="0F5B2504" w14:textId="77777777" w:rsidR="00034B50" w:rsidRPr="0071186E" w:rsidRDefault="00034B50" w:rsidP="00034B50">
      <w:pPr>
        <w:pStyle w:val="SimpleL1"/>
        <w:rPr>
          <w:lang w:val="en-CA" w:bidi="en-CA"/>
        </w:rPr>
      </w:pPr>
      <w:r w:rsidRPr="0071186E">
        <w:rPr>
          <w:lang w:val="en-CA" w:bidi="en-CA"/>
        </w:rPr>
        <w:lastRenderedPageBreak/>
        <w:t xml:space="preserve">Finally, this mechanism was introduced in Canada by the </w:t>
      </w:r>
      <w:r w:rsidRPr="0071186E">
        <w:rPr>
          <w:i/>
          <w:lang w:val="en-CA" w:bidi="en-CA"/>
        </w:rPr>
        <w:t>Budget Implementation Act, 2018, No.</w:t>
      </w:r>
      <w:r w:rsidR="00252E88" w:rsidRPr="0071186E">
        <w:rPr>
          <w:i/>
          <w:lang w:val="en-CA" w:bidi="en-CA"/>
        </w:rPr>
        <w:t> </w:t>
      </w:r>
      <w:r w:rsidRPr="0071186E">
        <w:rPr>
          <w:i/>
          <w:lang w:val="en-CA" w:bidi="en-CA"/>
        </w:rPr>
        <w:t>1.</w:t>
      </w:r>
      <w:r w:rsidR="009B6364" w:rsidRPr="006B7F16">
        <w:rPr>
          <w:rStyle w:val="Appelnotedebasdep"/>
          <w:lang w:val="en-CA" w:bidi="en-CA"/>
        </w:rPr>
        <w:footnoteReference w:id="43"/>
      </w:r>
      <w:r w:rsidRPr="002B0A44">
        <w:rPr>
          <w:lang w:val="en-CA" w:bidi="en-CA"/>
        </w:rPr>
        <w:t xml:space="preserve"> </w:t>
      </w:r>
      <w:r w:rsidRPr="0071186E">
        <w:rPr>
          <w:lang w:val="en-CA" w:bidi="en-CA"/>
        </w:rPr>
        <w:t>This law came into force in September of that same year.</w:t>
      </w:r>
      <w:r w:rsidR="00D629B3" w:rsidRPr="0071186E">
        <w:rPr>
          <w:rStyle w:val="Appelnotedebasdep"/>
          <w:lang w:val="en-CA" w:bidi="en-CA"/>
        </w:rPr>
        <w:footnoteReference w:id="44"/>
      </w:r>
    </w:p>
    <w:p w14:paraId="36A7D695" w14:textId="77777777" w:rsidR="00034B50" w:rsidRPr="0071186E" w:rsidRDefault="00034B50" w:rsidP="00313DEB">
      <w:pPr>
        <w:pStyle w:val="Titre2"/>
        <w:numPr>
          <w:ilvl w:val="0"/>
          <w:numId w:val="21"/>
        </w:numPr>
        <w:rPr>
          <w:lang w:val="en-CA" w:bidi="en-CA"/>
        </w:rPr>
      </w:pPr>
      <w:bookmarkStart w:id="13" w:name="_Toc109310852"/>
      <w:r w:rsidRPr="0071186E">
        <w:rPr>
          <w:lang w:val="en-CA" w:bidi="en-CA"/>
        </w:rPr>
        <w:t>The Canadian Remediation Agreement Regime</w:t>
      </w:r>
      <w:bookmarkEnd w:id="13"/>
    </w:p>
    <w:p w14:paraId="5FDFDA95" w14:textId="0FCF8B77" w:rsidR="00034B50" w:rsidRPr="0071186E" w:rsidRDefault="00C542D5" w:rsidP="00034B50">
      <w:pPr>
        <w:pStyle w:val="SimpleL1"/>
        <w:rPr>
          <w:lang w:val="en-CA" w:bidi="en-CA"/>
        </w:rPr>
      </w:pPr>
      <w:r>
        <w:rPr>
          <w:lang w:val="en-CA" w:bidi="en-CA"/>
        </w:rPr>
        <w:t>While</w:t>
      </w:r>
      <w:r w:rsidRPr="0071186E">
        <w:rPr>
          <w:lang w:val="en-CA" w:bidi="en-CA"/>
        </w:rPr>
        <w:t xml:space="preserve"> </w:t>
      </w:r>
      <w:r w:rsidR="00034B50" w:rsidRPr="0071186E">
        <w:rPr>
          <w:lang w:val="en-CA" w:bidi="en-CA"/>
        </w:rPr>
        <w:t xml:space="preserve">this economic crime fighting tool </w:t>
      </w:r>
      <w:r>
        <w:rPr>
          <w:lang w:val="en-CA" w:bidi="en-CA"/>
        </w:rPr>
        <w:t>is rooted</w:t>
      </w:r>
      <w:r w:rsidR="00034B50" w:rsidRPr="0071186E">
        <w:rPr>
          <w:lang w:val="en-CA" w:bidi="en-CA"/>
        </w:rPr>
        <w:t xml:space="preserve"> in other jurisdictions, </w:t>
      </w:r>
      <w:r>
        <w:rPr>
          <w:lang w:val="en-CA" w:bidi="en-CA"/>
        </w:rPr>
        <w:t>Parliament</w:t>
      </w:r>
      <w:r w:rsidR="00AC2BFD" w:rsidRPr="0071186E">
        <w:rPr>
          <w:lang w:val="en-CA" w:bidi="en-CA"/>
        </w:rPr>
        <w:t xml:space="preserve"> </w:t>
      </w:r>
      <w:r w:rsidR="00034B50" w:rsidRPr="0071186E">
        <w:rPr>
          <w:lang w:val="en-CA" w:bidi="en-CA"/>
        </w:rPr>
        <w:t xml:space="preserve">adopted a statutory DPA regime that </w:t>
      </w:r>
      <w:r>
        <w:rPr>
          <w:lang w:val="en-CA" w:bidi="en-CA"/>
        </w:rPr>
        <w:t>was</w:t>
      </w:r>
      <w:r w:rsidRPr="0071186E">
        <w:rPr>
          <w:lang w:val="en-CA" w:bidi="en-CA"/>
        </w:rPr>
        <w:t xml:space="preserve"> </w:t>
      </w:r>
      <w:r w:rsidR="00034B50" w:rsidRPr="0071186E">
        <w:rPr>
          <w:lang w:val="en-CA" w:bidi="en-CA"/>
        </w:rPr>
        <w:t>all its own.</w:t>
      </w:r>
    </w:p>
    <w:p w14:paraId="29D178C5" w14:textId="554D6493" w:rsidR="00034B50" w:rsidRPr="0071186E" w:rsidRDefault="00A14897" w:rsidP="00034B50">
      <w:pPr>
        <w:pStyle w:val="SimpleL1"/>
        <w:rPr>
          <w:lang w:val="en-CA" w:bidi="en-CA"/>
        </w:rPr>
      </w:pPr>
      <w:r>
        <w:rPr>
          <w:lang w:val="en-CA" w:bidi="en-CA"/>
        </w:rPr>
        <w:t xml:space="preserve">In </w:t>
      </w:r>
      <w:r w:rsidR="00C542D5">
        <w:rPr>
          <w:lang w:val="en-CA" w:bidi="en-CA"/>
        </w:rPr>
        <w:t>developing</w:t>
      </w:r>
      <w:r w:rsidR="00034B50" w:rsidRPr="0071186E">
        <w:rPr>
          <w:lang w:val="en-CA" w:bidi="en-CA"/>
        </w:rPr>
        <w:t xml:space="preserve"> Part XXll.1 Cr.</w:t>
      </w:r>
      <w:r w:rsidR="00C542D5">
        <w:rPr>
          <w:lang w:val="en-CA" w:bidi="en-CA"/>
        </w:rPr>
        <w:t> </w:t>
      </w:r>
      <w:r w:rsidR="00034B50" w:rsidRPr="0071186E">
        <w:rPr>
          <w:lang w:val="en-CA" w:bidi="en-CA"/>
        </w:rPr>
        <w:t xml:space="preserve">C., the </w:t>
      </w:r>
      <w:r w:rsidR="00AC2BFD" w:rsidRPr="0071186E">
        <w:rPr>
          <w:lang w:val="en-CA" w:bidi="en-CA"/>
        </w:rPr>
        <w:t xml:space="preserve">legislator </w:t>
      </w:r>
      <w:r w:rsidR="00034B50" w:rsidRPr="0071186E">
        <w:rPr>
          <w:lang w:val="en-CA" w:bidi="en-CA"/>
        </w:rPr>
        <w:t>hewed closer to the foundations of the British regime than the American one, in that it opted for a judicial review and transparency. It also gives a place to the victim.</w:t>
      </w:r>
    </w:p>
    <w:p w14:paraId="6412F3F5" w14:textId="5C056C38" w:rsidR="00034B50" w:rsidRPr="0071186E" w:rsidRDefault="00A14897" w:rsidP="00034B50">
      <w:pPr>
        <w:pStyle w:val="SimpleL1"/>
        <w:rPr>
          <w:lang w:val="en-CA" w:bidi="en-CA"/>
        </w:rPr>
      </w:pPr>
      <w:r>
        <w:rPr>
          <w:lang w:val="en-CA" w:bidi="en-CA"/>
        </w:rPr>
        <w:t>On a p</w:t>
      </w:r>
      <w:r w:rsidR="00034B50" w:rsidRPr="0071186E">
        <w:rPr>
          <w:lang w:val="en-CA" w:bidi="en-CA"/>
        </w:rPr>
        <w:t xml:space="preserve">reliminarily </w:t>
      </w:r>
      <w:r>
        <w:rPr>
          <w:lang w:val="en-CA" w:bidi="en-CA"/>
        </w:rPr>
        <w:t>basis</w:t>
      </w:r>
      <w:r w:rsidR="00034B50" w:rsidRPr="0071186E">
        <w:rPr>
          <w:lang w:val="en-CA" w:bidi="en-CA"/>
        </w:rPr>
        <w:t>, it is useful to review the contents of s</w:t>
      </w:r>
      <w:r w:rsidR="00021070">
        <w:rPr>
          <w:lang w:val="en-CA" w:bidi="en-CA"/>
        </w:rPr>
        <w:t>.</w:t>
      </w:r>
      <w:r w:rsidR="00034B50" w:rsidRPr="0071186E">
        <w:rPr>
          <w:lang w:val="en-CA" w:bidi="en-CA"/>
        </w:rPr>
        <w:t xml:space="preserve"> 715.31 Cr.</w:t>
      </w:r>
      <w:r w:rsidR="00C542D5">
        <w:rPr>
          <w:lang w:val="en-CA" w:bidi="en-CA"/>
        </w:rPr>
        <w:t> </w:t>
      </w:r>
      <w:r w:rsidR="00034B50" w:rsidRPr="0071186E">
        <w:rPr>
          <w:lang w:val="en-CA" w:bidi="en-CA"/>
        </w:rPr>
        <w:t>C., which</w:t>
      </w:r>
      <w:r w:rsidR="001A5B45">
        <w:rPr>
          <w:lang w:val="en-CA" w:bidi="en-CA"/>
        </w:rPr>
        <w:t xml:space="preserve"> acts as a</w:t>
      </w:r>
      <w:r w:rsidR="00034B50" w:rsidRPr="0071186E">
        <w:rPr>
          <w:lang w:val="en-CA" w:bidi="en-CA"/>
        </w:rPr>
        <w:t xml:space="preserve"> guide</w:t>
      </w:r>
      <w:r w:rsidR="001A5B45">
        <w:rPr>
          <w:lang w:val="en-CA" w:bidi="en-CA"/>
        </w:rPr>
        <w:t>line for</w:t>
      </w:r>
      <w:r w:rsidR="00034B50" w:rsidRPr="0071186E">
        <w:rPr>
          <w:lang w:val="en-CA" w:bidi="en-CA"/>
        </w:rPr>
        <w:t xml:space="preserve"> all of the provisions of Part XXIl.1 Cr.</w:t>
      </w:r>
      <w:r w:rsidR="00C542D5">
        <w:rPr>
          <w:lang w:val="en-CA" w:bidi="en-CA"/>
        </w:rPr>
        <w:t> </w:t>
      </w:r>
      <w:r w:rsidR="00034B50" w:rsidRPr="0071186E">
        <w:rPr>
          <w:lang w:val="en-CA" w:bidi="en-CA"/>
        </w:rPr>
        <w:t xml:space="preserve">C. In this provision, the legislator </w:t>
      </w:r>
      <w:r w:rsidR="001A5B45">
        <w:rPr>
          <w:lang w:val="en-CA" w:bidi="en-CA"/>
        </w:rPr>
        <w:t>states</w:t>
      </w:r>
      <w:r w:rsidR="00034B50" w:rsidRPr="0071186E">
        <w:rPr>
          <w:lang w:val="en-CA" w:bidi="en-CA"/>
        </w:rPr>
        <w:t xml:space="preserve"> the objectives of a remediation agreement regime:</w:t>
      </w:r>
    </w:p>
    <w:p w14:paraId="4625E867" w14:textId="77777777" w:rsidR="00034B50" w:rsidRPr="0071186E" w:rsidRDefault="00034B50" w:rsidP="00FF41F3">
      <w:pPr>
        <w:pStyle w:val="Paragraphedeliste"/>
        <w:widowControl w:val="0"/>
        <w:autoSpaceDE w:val="0"/>
        <w:autoSpaceDN w:val="0"/>
        <w:spacing w:before="94"/>
        <w:ind w:left="720" w:right="878"/>
        <w:jc w:val="both"/>
        <w:rPr>
          <w:sz w:val="22"/>
          <w:szCs w:val="22"/>
          <w:lang w:val="en-CA" w:bidi="en-CA"/>
        </w:rPr>
      </w:pPr>
      <w:r w:rsidRPr="0071186E">
        <w:rPr>
          <w:rFonts w:eastAsia="Arial"/>
          <w:color w:val="161616"/>
          <w:sz w:val="22"/>
          <w:szCs w:val="22"/>
          <w:lang w:val="en-CA" w:eastAsia="en-US" w:bidi="en-CA"/>
        </w:rPr>
        <w:t xml:space="preserve">The </w:t>
      </w:r>
      <w:r w:rsidRPr="0071186E">
        <w:rPr>
          <w:color w:val="161615"/>
          <w:sz w:val="22"/>
          <w:szCs w:val="22"/>
          <w:lang w:val="en-CA" w:bidi="en-CA"/>
        </w:rPr>
        <w:t>purpose</w:t>
      </w:r>
      <w:r w:rsidRPr="0071186E">
        <w:rPr>
          <w:rFonts w:eastAsia="Arial"/>
          <w:color w:val="161616"/>
          <w:sz w:val="22"/>
          <w:szCs w:val="22"/>
          <w:lang w:val="en-CA" w:eastAsia="en-US" w:bidi="en-CA"/>
        </w:rPr>
        <w:t xml:space="preserve"> of this Part is to establish a remediation agreement regime that is applicable to organizations alleged to have committed an offence and that has the following objectives:</w:t>
      </w:r>
    </w:p>
    <w:p w14:paraId="37518E8F" w14:textId="77777777" w:rsidR="00034B50" w:rsidRPr="0071186E" w:rsidRDefault="00034B50" w:rsidP="00313DEB">
      <w:pPr>
        <w:pStyle w:val="Paragraphedeliste"/>
        <w:widowControl w:val="0"/>
        <w:numPr>
          <w:ilvl w:val="0"/>
          <w:numId w:val="37"/>
        </w:numPr>
        <w:autoSpaceDE w:val="0"/>
        <w:autoSpaceDN w:val="0"/>
        <w:spacing w:before="94"/>
        <w:ind w:left="1080" w:right="878" w:firstLine="0"/>
        <w:jc w:val="both"/>
        <w:rPr>
          <w:color w:val="161615"/>
          <w:sz w:val="22"/>
          <w:szCs w:val="22"/>
          <w:lang w:val="en-CA"/>
        </w:rPr>
      </w:pPr>
      <w:r w:rsidRPr="0071186E">
        <w:rPr>
          <w:color w:val="161615"/>
          <w:sz w:val="22"/>
          <w:szCs w:val="22"/>
          <w:lang w:val="en-CA" w:bidi="en-CA"/>
        </w:rPr>
        <w:t>to denounce an organization’s wrongdoing and the harm that the wrongdoing has caused to victims or to the community;</w:t>
      </w:r>
    </w:p>
    <w:p w14:paraId="4ED6E74E" w14:textId="77777777" w:rsidR="00034B50" w:rsidRPr="0071186E" w:rsidRDefault="00034B50" w:rsidP="00313DEB">
      <w:pPr>
        <w:pStyle w:val="Paragraphedeliste"/>
        <w:widowControl w:val="0"/>
        <w:numPr>
          <w:ilvl w:val="0"/>
          <w:numId w:val="37"/>
        </w:numPr>
        <w:autoSpaceDE w:val="0"/>
        <w:autoSpaceDN w:val="0"/>
        <w:ind w:left="1080" w:right="878" w:firstLine="0"/>
        <w:jc w:val="both"/>
        <w:rPr>
          <w:color w:val="161615"/>
          <w:sz w:val="22"/>
          <w:szCs w:val="22"/>
          <w:lang w:val="en-CA"/>
        </w:rPr>
      </w:pPr>
      <w:r w:rsidRPr="0071186E">
        <w:rPr>
          <w:color w:val="161615"/>
          <w:sz w:val="22"/>
          <w:szCs w:val="22"/>
          <w:lang w:val="en-CA" w:bidi="en-CA"/>
        </w:rPr>
        <w:t>to hold the organization accountable for its wrongdoing through effective, proportionate and dissuasive penalties;</w:t>
      </w:r>
    </w:p>
    <w:p w14:paraId="25746FA2" w14:textId="77777777" w:rsidR="00034B50" w:rsidRPr="0071186E" w:rsidRDefault="00034B50" w:rsidP="00313DEB">
      <w:pPr>
        <w:pStyle w:val="Paragraphedeliste"/>
        <w:widowControl w:val="0"/>
        <w:numPr>
          <w:ilvl w:val="0"/>
          <w:numId w:val="37"/>
        </w:numPr>
        <w:autoSpaceDE w:val="0"/>
        <w:autoSpaceDN w:val="0"/>
        <w:ind w:left="1080" w:right="878" w:firstLine="0"/>
        <w:jc w:val="both"/>
        <w:rPr>
          <w:color w:val="161615"/>
          <w:sz w:val="22"/>
          <w:szCs w:val="22"/>
          <w:lang w:val="en-CA"/>
        </w:rPr>
      </w:pPr>
      <w:r w:rsidRPr="0071186E">
        <w:rPr>
          <w:color w:val="161615"/>
          <w:sz w:val="22"/>
          <w:szCs w:val="22"/>
          <w:lang w:val="en-CA" w:bidi="en-CA"/>
        </w:rPr>
        <w:t>to contribute to respect for the law by imposing an obligation on the organization to put in place corrective measures and promote a compliance culture;</w:t>
      </w:r>
    </w:p>
    <w:p w14:paraId="7EEB5A96" w14:textId="77777777" w:rsidR="00034B50" w:rsidRPr="0071186E" w:rsidRDefault="00034B50" w:rsidP="00313DEB">
      <w:pPr>
        <w:pStyle w:val="Paragraphedeliste"/>
        <w:widowControl w:val="0"/>
        <w:numPr>
          <w:ilvl w:val="0"/>
          <w:numId w:val="37"/>
        </w:numPr>
        <w:autoSpaceDE w:val="0"/>
        <w:autoSpaceDN w:val="0"/>
        <w:ind w:left="1080" w:right="878" w:firstLine="0"/>
        <w:jc w:val="both"/>
        <w:rPr>
          <w:color w:val="161615"/>
          <w:sz w:val="22"/>
          <w:szCs w:val="22"/>
          <w:lang w:val="en-CA"/>
        </w:rPr>
      </w:pPr>
      <w:r w:rsidRPr="0071186E">
        <w:rPr>
          <w:color w:val="161615"/>
          <w:sz w:val="22"/>
          <w:szCs w:val="22"/>
          <w:lang w:val="en-CA" w:bidi="en-CA"/>
        </w:rPr>
        <w:t>to encourage voluntary disclosure of the wrongdoing;</w:t>
      </w:r>
    </w:p>
    <w:p w14:paraId="25FF2A4C" w14:textId="77777777" w:rsidR="00034B50" w:rsidRPr="0071186E" w:rsidRDefault="00034B50" w:rsidP="00313DEB">
      <w:pPr>
        <w:pStyle w:val="Paragraphedeliste"/>
        <w:widowControl w:val="0"/>
        <w:numPr>
          <w:ilvl w:val="0"/>
          <w:numId w:val="37"/>
        </w:numPr>
        <w:autoSpaceDE w:val="0"/>
        <w:autoSpaceDN w:val="0"/>
        <w:ind w:left="1080" w:right="878" w:firstLine="0"/>
        <w:jc w:val="both"/>
        <w:rPr>
          <w:color w:val="161615"/>
          <w:sz w:val="22"/>
          <w:szCs w:val="22"/>
          <w:lang w:val="en-CA"/>
        </w:rPr>
      </w:pPr>
      <w:r w:rsidRPr="0071186E">
        <w:rPr>
          <w:color w:val="161615"/>
          <w:sz w:val="22"/>
          <w:szCs w:val="22"/>
          <w:lang w:val="en-CA" w:bidi="en-CA"/>
        </w:rPr>
        <w:t>to provide reparations for harm done to victims or to the community; and</w:t>
      </w:r>
    </w:p>
    <w:p w14:paraId="49067E8D" w14:textId="77777777" w:rsidR="00034B50" w:rsidRPr="0071186E" w:rsidRDefault="00034B50" w:rsidP="00313DEB">
      <w:pPr>
        <w:pStyle w:val="Paragraphedeliste"/>
        <w:widowControl w:val="0"/>
        <w:numPr>
          <w:ilvl w:val="0"/>
          <w:numId w:val="37"/>
        </w:numPr>
        <w:autoSpaceDE w:val="0"/>
        <w:autoSpaceDN w:val="0"/>
        <w:ind w:left="1080" w:right="878" w:firstLine="0"/>
        <w:jc w:val="both"/>
        <w:rPr>
          <w:color w:val="161615"/>
          <w:sz w:val="22"/>
          <w:szCs w:val="22"/>
          <w:lang w:val="en-CA"/>
        </w:rPr>
      </w:pPr>
      <w:r w:rsidRPr="0071186E">
        <w:rPr>
          <w:color w:val="161615"/>
          <w:sz w:val="22"/>
          <w:szCs w:val="22"/>
          <w:lang w:val="en-CA" w:bidi="en-CA"/>
        </w:rPr>
        <w:t>to reduce the negative consequences of the wrongdoing for persons — employees, customers, pensioners and others — who did not engage in the wrongdoing, while holding responsible those individuals who did engage in that wrongdoing</w:t>
      </w:r>
      <w:r w:rsidRPr="0071186E">
        <w:rPr>
          <w:color w:val="2B2B2A"/>
          <w:sz w:val="22"/>
          <w:szCs w:val="22"/>
          <w:lang w:val="en-CA" w:bidi="en-CA"/>
        </w:rPr>
        <w:t>.</w:t>
      </w:r>
    </w:p>
    <w:p w14:paraId="1931B201" w14:textId="77777777" w:rsidR="00034B50" w:rsidRPr="0071186E" w:rsidRDefault="00034B50" w:rsidP="00034B50">
      <w:pPr>
        <w:pStyle w:val="Paragraphedeliste"/>
        <w:widowControl w:val="0"/>
        <w:tabs>
          <w:tab w:val="left" w:pos="1844"/>
        </w:tabs>
        <w:autoSpaceDE w:val="0"/>
        <w:autoSpaceDN w:val="0"/>
        <w:spacing w:before="13" w:line="254" w:lineRule="auto"/>
        <w:ind w:left="1440" w:right="883"/>
        <w:jc w:val="both"/>
        <w:rPr>
          <w:color w:val="2B2B2A"/>
          <w:w w:val="105"/>
          <w:sz w:val="22"/>
          <w:szCs w:val="22"/>
          <w:lang w:val="en-CA" w:bidi="en-CA"/>
        </w:rPr>
      </w:pPr>
    </w:p>
    <w:p w14:paraId="22868E7B" w14:textId="77777777" w:rsidR="00034B50" w:rsidRPr="0071186E" w:rsidRDefault="00034B50" w:rsidP="00034B50">
      <w:pPr>
        <w:pStyle w:val="SimpleL1"/>
        <w:rPr>
          <w:szCs w:val="24"/>
          <w:lang w:val="en-CA" w:bidi="en-CA"/>
        </w:rPr>
      </w:pPr>
      <w:r w:rsidRPr="0071186E">
        <w:rPr>
          <w:szCs w:val="24"/>
          <w:lang w:val="en-CA" w:bidi="en-CA"/>
        </w:rPr>
        <w:t>All of the provisions establishing a comprehensive legislative regime governing remediation agreements must be read in light of these objectives.</w:t>
      </w:r>
    </w:p>
    <w:p w14:paraId="1F14CE6A" w14:textId="5E86C811" w:rsidR="00034B50" w:rsidRPr="0071186E" w:rsidRDefault="00034B50" w:rsidP="00034B50">
      <w:pPr>
        <w:pStyle w:val="SimpleL1"/>
        <w:rPr>
          <w:lang w:val="en-CA" w:bidi="en-CA"/>
        </w:rPr>
      </w:pPr>
      <w:r w:rsidRPr="0071186E">
        <w:rPr>
          <w:lang w:val="en-CA" w:bidi="en-CA"/>
        </w:rPr>
        <w:t>Instead of performing an exhaustive review of each provision of Part</w:t>
      </w:r>
      <w:r w:rsidR="00252E88" w:rsidRPr="0071186E">
        <w:rPr>
          <w:lang w:val="en-CA" w:bidi="en-CA"/>
        </w:rPr>
        <w:t> </w:t>
      </w:r>
      <w:r w:rsidRPr="0071186E">
        <w:rPr>
          <w:lang w:val="en-CA" w:bidi="en-CA"/>
        </w:rPr>
        <w:t>XXII.1 Cr.</w:t>
      </w:r>
      <w:r w:rsidR="001A5B45">
        <w:rPr>
          <w:lang w:val="en-CA" w:bidi="en-CA"/>
        </w:rPr>
        <w:t> </w:t>
      </w:r>
      <w:r w:rsidRPr="0071186E">
        <w:rPr>
          <w:lang w:val="en-CA" w:bidi="en-CA"/>
        </w:rPr>
        <w:t xml:space="preserve">C., it </w:t>
      </w:r>
      <w:r w:rsidR="001A5B45">
        <w:rPr>
          <w:lang w:val="en-CA" w:bidi="en-CA"/>
        </w:rPr>
        <w:t>will be more relevant at this stage</w:t>
      </w:r>
      <w:r w:rsidRPr="0071186E">
        <w:rPr>
          <w:lang w:val="en-CA" w:bidi="en-CA"/>
        </w:rPr>
        <w:t xml:space="preserve"> to highlight </w:t>
      </w:r>
      <w:r w:rsidR="001A5B45">
        <w:rPr>
          <w:lang w:val="en-CA" w:bidi="en-CA"/>
        </w:rPr>
        <w:t>the fundamentals</w:t>
      </w:r>
      <w:r w:rsidRPr="0071186E">
        <w:rPr>
          <w:lang w:val="en-CA" w:bidi="en-CA"/>
        </w:rPr>
        <w:t>.</w:t>
      </w:r>
    </w:p>
    <w:p w14:paraId="7C3F8827" w14:textId="77777777" w:rsidR="002E2743" w:rsidRPr="0071186E" w:rsidRDefault="002E2743" w:rsidP="00313DEB">
      <w:pPr>
        <w:pStyle w:val="Titre2"/>
        <w:numPr>
          <w:ilvl w:val="0"/>
          <w:numId w:val="21"/>
        </w:numPr>
        <w:rPr>
          <w:lang w:val="en-CA" w:bidi="en-CA"/>
        </w:rPr>
      </w:pPr>
      <w:bookmarkStart w:id="14" w:name="_Toc109310853"/>
      <w:r w:rsidRPr="0071186E">
        <w:rPr>
          <w:lang w:val="en-CA" w:bidi="en-CA"/>
        </w:rPr>
        <w:lastRenderedPageBreak/>
        <w:t>Judicial Review and Transparency</w:t>
      </w:r>
      <w:bookmarkEnd w:id="14"/>
    </w:p>
    <w:p w14:paraId="2C574398" w14:textId="73B61DF9" w:rsidR="002E2743" w:rsidRPr="0071186E" w:rsidRDefault="002E2743" w:rsidP="00034B50">
      <w:pPr>
        <w:pStyle w:val="SimpleL1"/>
        <w:rPr>
          <w:lang w:val="en-CA" w:bidi="en-CA"/>
        </w:rPr>
      </w:pPr>
      <w:r w:rsidRPr="0071186E">
        <w:rPr>
          <w:lang w:val="en-CA" w:bidi="en-CA"/>
        </w:rPr>
        <w:t>In the report it issued after the public consultations,</w:t>
      </w:r>
      <w:r w:rsidR="006A4D40">
        <w:rPr>
          <w:lang w:val="en-CA" w:bidi="en-CA"/>
        </w:rPr>
        <w:t xml:space="preserve"> the Government of Canada note</w:t>
      </w:r>
      <w:r w:rsidR="005949D1">
        <w:rPr>
          <w:lang w:val="en-CA" w:bidi="en-CA"/>
        </w:rPr>
        <w:t>d</w:t>
      </w:r>
      <w:r w:rsidRPr="0071186E">
        <w:rPr>
          <w:lang w:val="en-CA" w:bidi="en-CA"/>
        </w:rPr>
        <w:t xml:space="preserve"> that most respondents in favour of introducing deferred prosecution agreements preferred the British model because of its transparency.</w:t>
      </w:r>
      <w:r w:rsidR="00D629B3" w:rsidRPr="0071186E">
        <w:rPr>
          <w:rStyle w:val="Appelnotedebasdep"/>
          <w:lang w:val="en-CA" w:bidi="en-CA"/>
        </w:rPr>
        <w:footnoteReference w:id="45"/>
      </w:r>
    </w:p>
    <w:p w14:paraId="2AC8E8C6" w14:textId="77777777" w:rsidR="002E2743" w:rsidRPr="0071186E" w:rsidRDefault="002E2743" w:rsidP="00034B50">
      <w:pPr>
        <w:pStyle w:val="SimpleL1"/>
        <w:rPr>
          <w:lang w:val="en-CA" w:bidi="en-CA"/>
        </w:rPr>
      </w:pPr>
      <w:r w:rsidRPr="0071186E">
        <w:rPr>
          <w:lang w:val="en-CA" w:bidi="en-CA"/>
        </w:rPr>
        <w:t xml:space="preserve">Without delving into the details of the legal mechanisms implemented in foreign jurisdictions, the difference between the American and British models was summarized as follows by author Polly Sprenger in her book </w:t>
      </w:r>
      <w:r w:rsidRPr="0071186E">
        <w:rPr>
          <w:i/>
          <w:lang w:val="en-CA" w:bidi="en-CA"/>
        </w:rPr>
        <w:t>Deferred Prosecution Agreements: The law and practice of negotiated corporate criminal penalties</w:t>
      </w:r>
      <w:r w:rsidRPr="006A4D40">
        <w:rPr>
          <w:lang w:val="en-CA" w:bidi="en-CA"/>
        </w:rPr>
        <w:t>:</w:t>
      </w:r>
    </w:p>
    <w:p w14:paraId="7896C380" w14:textId="77777777" w:rsidR="002E2743" w:rsidRPr="0071186E" w:rsidRDefault="002E2743" w:rsidP="00252E88">
      <w:pPr>
        <w:spacing w:before="1"/>
        <w:ind w:left="907" w:right="878"/>
        <w:jc w:val="both"/>
        <w:rPr>
          <w:color w:val="161615"/>
          <w:sz w:val="22"/>
          <w:szCs w:val="22"/>
          <w:lang w:val="en-CA" w:bidi="en-CA"/>
        </w:rPr>
      </w:pPr>
      <w:r w:rsidRPr="0071186E">
        <w:rPr>
          <w:color w:val="161615"/>
          <w:sz w:val="22"/>
          <w:szCs w:val="22"/>
          <w:lang w:val="en-CA" w:bidi="en-CA"/>
        </w:rPr>
        <w:t xml:space="preserve">The primary difference envisaged by the UK government, and later enacted by the </w:t>
      </w:r>
      <w:r w:rsidRPr="006B7F16">
        <w:rPr>
          <w:i/>
          <w:color w:val="161615"/>
          <w:sz w:val="22"/>
          <w:szCs w:val="22"/>
          <w:lang w:val="en-CA" w:bidi="en-CA"/>
        </w:rPr>
        <w:t>Crime and Courts Act 2013</w:t>
      </w:r>
      <w:r w:rsidRPr="0071186E">
        <w:rPr>
          <w:color w:val="161615"/>
          <w:sz w:val="22"/>
          <w:szCs w:val="22"/>
          <w:lang w:val="en-CA" w:bidi="en-CA"/>
        </w:rPr>
        <w:t xml:space="preserve">, was that UK DPAs, unlike their American predecessors, would be overseen, endorsed and enforced by the courts, </w:t>
      </w:r>
      <w:r w:rsidRPr="0071186E">
        <w:rPr>
          <w:color w:val="2B2B2A"/>
          <w:sz w:val="22"/>
          <w:szCs w:val="22"/>
          <w:lang w:val="en-CA" w:bidi="en-CA"/>
        </w:rPr>
        <w:t xml:space="preserve">rather than </w:t>
      </w:r>
      <w:r w:rsidRPr="0071186E">
        <w:rPr>
          <w:color w:val="161615"/>
          <w:sz w:val="22"/>
          <w:szCs w:val="22"/>
          <w:lang w:val="en-CA" w:bidi="en-CA"/>
        </w:rPr>
        <w:t>the prosecutor or regulator</w:t>
      </w:r>
      <w:r w:rsidRPr="0071186E">
        <w:rPr>
          <w:color w:val="464646"/>
          <w:sz w:val="22"/>
          <w:szCs w:val="22"/>
          <w:lang w:val="en-CA" w:bidi="en-CA"/>
        </w:rPr>
        <w:t xml:space="preserve">: </w:t>
      </w:r>
      <w:r w:rsidRPr="0071186E">
        <w:rPr>
          <w:color w:val="2B2B2A"/>
          <w:sz w:val="22"/>
          <w:szCs w:val="22"/>
          <w:lang w:val="en-CA" w:bidi="en-CA"/>
        </w:rPr>
        <w:t xml:space="preserve">“Under </w:t>
      </w:r>
      <w:r w:rsidRPr="0071186E">
        <w:rPr>
          <w:color w:val="161615"/>
          <w:sz w:val="22"/>
          <w:szCs w:val="22"/>
          <w:lang w:val="en-CA" w:bidi="en-CA"/>
        </w:rPr>
        <w:t xml:space="preserve">our plans, the judiciary will play a vital </w:t>
      </w:r>
      <w:r w:rsidRPr="0071186E">
        <w:rPr>
          <w:color w:val="2B2B2A"/>
          <w:sz w:val="22"/>
          <w:szCs w:val="22"/>
          <w:lang w:val="en-CA" w:bidi="en-CA"/>
        </w:rPr>
        <w:t xml:space="preserve">independent </w:t>
      </w:r>
      <w:r w:rsidRPr="0071186E">
        <w:rPr>
          <w:color w:val="161615"/>
          <w:sz w:val="22"/>
          <w:szCs w:val="22"/>
          <w:lang w:val="en-CA" w:bidi="en-CA"/>
        </w:rPr>
        <w:t xml:space="preserve">role in this process to ensure that DPAs are properly scrutinised, </w:t>
      </w:r>
      <w:r w:rsidRPr="0071186E">
        <w:rPr>
          <w:color w:val="2B2B2A"/>
          <w:sz w:val="22"/>
          <w:szCs w:val="22"/>
          <w:lang w:val="en-CA" w:bidi="en-CA"/>
        </w:rPr>
        <w:t xml:space="preserve">transparent </w:t>
      </w:r>
      <w:r w:rsidRPr="0071186E">
        <w:rPr>
          <w:color w:val="161615"/>
          <w:sz w:val="22"/>
          <w:szCs w:val="22"/>
          <w:lang w:val="en-CA" w:bidi="en-CA"/>
        </w:rPr>
        <w:t xml:space="preserve">and in the </w:t>
      </w:r>
      <w:r w:rsidRPr="0071186E">
        <w:rPr>
          <w:color w:val="2B2B2A"/>
          <w:sz w:val="22"/>
          <w:szCs w:val="22"/>
          <w:lang w:val="en-CA" w:bidi="en-CA"/>
        </w:rPr>
        <w:t xml:space="preserve">interests of </w:t>
      </w:r>
      <w:r w:rsidRPr="0071186E">
        <w:rPr>
          <w:color w:val="161615"/>
          <w:sz w:val="22"/>
          <w:szCs w:val="22"/>
          <w:lang w:val="en-CA" w:bidi="en-CA"/>
        </w:rPr>
        <w:t>justice. They will be empowered</w:t>
      </w:r>
      <w:r w:rsidRPr="0071186E">
        <w:rPr>
          <w:color w:val="2B2B2A"/>
          <w:sz w:val="22"/>
          <w:szCs w:val="22"/>
          <w:lang w:val="en-CA" w:bidi="en-CA"/>
        </w:rPr>
        <w:t xml:space="preserve"> to </w:t>
      </w:r>
      <w:r w:rsidRPr="0071186E">
        <w:rPr>
          <w:color w:val="161615"/>
          <w:sz w:val="22"/>
          <w:szCs w:val="22"/>
          <w:lang w:val="en-CA" w:bidi="en-CA"/>
        </w:rPr>
        <w:t>block them if they do not agree that they are an appropriate response to the organisation's wrongdoing”. The oversight by the court, would ensure “</w:t>
      </w:r>
      <w:r w:rsidRPr="0071186E">
        <w:rPr>
          <w:color w:val="2B2B2A"/>
          <w:sz w:val="22"/>
          <w:szCs w:val="22"/>
          <w:lang w:val="en-CA" w:bidi="en-CA"/>
        </w:rPr>
        <w:t xml:space="preserve">public </w:t>
      </w:r>
      <w:r w:rsidRPr="0071186E">
        <w:rPr>
          <w:color w:val="161615"/>
          <w:sz w:val="22"/>
          <w:szCs w:val="22"/>
          <w:lang w:val="en-CA" w:bidi="en-CA"/>
        </w:rPr>
        <w:t xml:space="preserve">scrutiny of the process - the public will know what wrongdoing has taken place and </w:t>
      </w:r>
      <w:r w:rsidRPr="0071186E">
        <w:rPr>
          <w:color w:val="2B2B2A"/>
          <w:sz w:val="22"/>
          <w:szCs w:val="22"/>
          <w:lang w:val="en-CA" w:bidi="en-CA"/>
        </w:rPr>
        <w:t xml:space="preserve">the </w:t>
      </w:r>
      <w:r w:rsidRPr="0071186E">
        <w:rPr>
          <w:color w:val="161615"/>
          <w:sz w:val="22"/>
          <w:szCs w:val="22"/>
          <w:lang w:val="en-CA" w:bidi="en-CA"/>
        </w:rPr>
        <w:t>sanctions for it, including any penalty that has been paid. The final hearing will be held in open court and the final agreement will be published by the prosecutor”.</w:t>
      </w:r>
      <w:r w:rsidR="00D629B3" w:rsidRPr="0071186E">
        <w:rPr>
          <w:rStyle w:val="Appelnotedebasdep"/>
          <w:color w:val="161615"/>
          <w:sz w:val="22"/>
          <w:szCs w:val="22"/>
          <w:lang w:val="en-CA" w:bidi="en-CA"/>
        </w:rPr>
        <w:footnoteReference w:id="46"/>
      </w:r>
    </w:p>
    <w:p w14:paraId="4AD701F5" w14:textId="77777777" w:rsidR="002E2743" w:rsidRPr="0071186E" w:rsidRDefault="002E2743" w:rsidP="002E2743">
      <w:pPr>
        <w:spacing w:before="1" w:line="249" w:lineRule="auto"/>
        <w:ind w:left="905" w:right="881" w:firstLine="4"/>
        <w:jc w:val="both"/>
        <w:rPr>
          <w:sz w:val="21"/>
          <w:lang w:val="en-CA"/>
        </w:rPr>
      </w:pPr>
    </w:p>
    <w:p w14:paraId="3572E29B" w14:textId="2CA8C594" w:rsidR="002E2743" w:rsidRPr="0071186E" w:rsidRDefault="002E2743" w:rsidP="00034B50">
      <w:pPr>
        <w:pStyle w:val="SimpleL1"/>
        <w:rPr>
          <w:lang w:val="en-CA" w:bidi="en-CA"/>
        </w:rPr>
      </w:pPr>
      <w:r w:rsidRPr="0071186E">
        <w:rPr>
          <w:lang w:val="en-CA" w:bidi="en-CA"/>
        </w:rPr>
        <w:t xml:space="preserve">As Judge Brian Leveson observed in the British </w:t>
      </w:r>
      <w:r w:rsidR="005949D1">
        <w:rPr>
          <w:lang w:val="en-CA" w:bidi="en-CA"/>
        </w:rPr>
        <w:t>judgment</w:t>
      </w:r>
      <w:r w:rsidR="005949D1" w:rsidRPr="0071186E">
        <w:rPr>
          <w:lang w:val="en-CA" w:bidi="en-CA"/>
        </w:rPr>
        <w:t xml:space="preserve"> </w:t>
      </w:r>
      <w:r w:rsidRPr="0071186E">
        <w:rPr>
          <w:i/>
          <w:lang w:val="en-CA" w:bidi="en-CA"/>
        </w:rPr>
        <w:t xml:space="preserve">Serious Fraud Office and Standard Bank PLC, </w:t>
      </w:r>
      <w:r w:rsidRPr="0071186E">
        <w:rPr>
          <w:lang w:val="en-CA" w:bidi="en-CA"/>
        </w:rPr>
        <w:t>“[in] contra-distinction to the United States, a critical feature of the statutory scheme in the UK is the requirement that the court examine the proposed agreement in detail, decide whether the statutory conditions are satisfied and, if appropriate, approve the DPA”.</w:t>
      </w:r>
      <w:r w:rsidR="00D629B3" w:rsidRPr="0071186E">
        <w:rPr>
          <w:rStyle w:val="Appelnotedebasdep"/>
          <w:lang w:val="en-CA" w:bidi="en-CA"/>
        </w:rPr>
        <w:footnoteReference w:id="47"/>
      </w:r>
    </w:p>
    <w:p w14:paraId="136C1C8B" w14:textId="4BA1B4BB" w:rsidR="002E2743" w:rsidRPr="0071186E" w:rsidRDefault="002E2743" w:rsidP="00034B50">
      <w:pPr>
        <w:pStyle w:val="SimpleL1"/>
        <w:rPr>
          <w:lang w:val="en-CA" w:bidi="en-CA"/>
        </w:rPr>
      </w:pPr>
      <w:r w:rsidRPr="0071186E">
        <w:rPr>
          <w:lang w:val="en-CA" w:bidi="en-CA"/>
        </w:rPr>
        <w:t xml:space="preserve">The </w:t>
      </w:r>
      <w:r w:rsidRPr="0071186E">
        <w:rPr>
          <w:i/>
          <w:lang w:val="en-CA" w:bidi="en-CA"/>
        </w:rPr>
        <w:t>Criminal Code</w:t>
      </w:r>
      <w:r w:rsidRPr="0071186E">
        <w:rPr>
          <w:lang w:val="en-CA" w:bidi="en-CA"/>
        </w:rPr>
        <w:t xml:space="preserve"> also favours a judicial review of “remediation agreements”,</w:t>
      </w:r>
      <w:r w:rsidR="00D629B3" w:rsidRPr="0071186E">
        <w:rPr>
          <w:rStyle w:val="Appelnotedebasdep"/>
          <w:lang w:val="en-CA" w:bidi="en-CA"/>
        </w:rPr>
        <w:footnoteReference w:id="48"/>
      </w:r>
      <w:r w:rsidRPr="0071186E">
        <w:rPr>
          <w:lang w:val="en-CA" w:bidi="en-CA"/>
        </w:rPr>
        <w:t xml:space="preserve"> the term finally chosen to designate the "[a]greement, between an organization accused of having committed an offence and a prosecutor, to stay any proceedings related to that offence if the organization complies with the terms of the agreement”.</w:t>
      </w:r>
      <w:r w:rsidR="00D629B3" w:rsidRPr="0071186E">
        <w:rPr>
          <w:rStyle w:val="Appelnotedebasdep"/>
          <w:lang w:val="en-CA" w:bidi="en-CA"/>
        </w:rPr>
        <w:footnoteReference w:id="49"/>
      </w:r>
      <w:r w:rsidRPr="0071186E">
        <w:rPr>
          <w:lang w:val="en-CA" w:bidi="en-CA"/>
        </w:rPr>
        <w:t xml:space="preserve"> Indeed, the </w:t>
      </w:r>
      <w:r w:rsidRPr="0071186E">
        <w:rPr>
          <w:lang w:val="en-CA" w:bidi="en-CA"/>
        </w:rPr>
        <w:lastRenderedPageBreak/>
        <w:t>legislator provides that the Parties must submit the remediation agreement to the Court for approval.</w:t>
      </w:r>
      <w:r w:rsidR="00D629B3" w:rsidRPr="0071186E">
        <w:rPr>
          <w:rStyle w:val="Appelnotedebasdep"/>
          <w:lang w:val="en-CA" w:bidi="en-CA"/>
        </w:rPr>
        <w:footnoteReference w:id="50"/>
      </w:r>
    </w:p>
    <w:p w14:paraId="358FB7DE" w14:textId="4F7C3CBD" w:rsidR="002E2743" w:rsidRPr="0071186E" w:rsidRDefault="002E2743" w:rsidP="00034B50">
      <w:pPr>
        <w:pStyle w:val="SimpleL1"/>
        <w:rPr>
          <w:lang w:val="en-CA" w:bidi="en-CA"/>
        </w:rPr>
      </w:pPr>
      <w:r w:rsidRPr="0071186E">
        <w:rPr>
          <w:lang w:val="en-CA" w:bidi="en-CA"/>
        </w:rPr>
        <w:t xml:space="preserve">Thus, in addition to verifying that the remediation agreement does indeed contain the mandatory elements </w:t>
      </w:r>
      <w:r w:rsidR="001104D5">
        <w:rPr>
          <w:lang w:val="en-CA" w:bidi="en-CA"/>
        </w:rPr>
        <w:t>set out under</w:t>
      </w:r>
      <w:r w:rsidRPr="0071186E">
        <w:rPr>
          <w:lang w:val="en-CA" w:bidi="en-CA"/>
        </w:rPr>
        <w:t xml:space="preserve"> s</w:t>
      </w:r>
      <w:r w:rsidR="00707DF2">
        <w:rPr>
          <w:lang w:val="en-CA" w:bidi="en-CA"/>
        </w:rPr>
        <w:t>.</w:t>
      </w:r>
      <w:r w:rsidRPr="0071186E">
        <w:rPr>
          <w:lang w:val="en-CA" w:bidi="en-CA"/>
        </w:rPr>
        <w:t xml:space="preserve"> 715.34 Cr.</w:t>
      </w:r>
      <w:r w:rsidR="001104D5">
        <w:rPr>
          <w:lang w:val="en-CA" w:bidi="en-CA"/>
        </w:rPr>
        <w:t> </w:t>
      </w:r>
      <w:r w:rsidRPr="0071186E">
        <w:rPr>
          <w:lang w:val="en-CA" w:bidi="en-CA"/>
        </w:rPr>
        <w:t>C. (which will be analyzed later in this judgment), the Court must decide whether it is satisfied that the following conditions are met:</w:t>
      </w:r>
    </w:p>
    <w:p w14:paraId="658DA267" w14:textId="77777777" w:rsidR="002E2743" w:rsidRPr="0071186E" w:rsidRDefault="002E2743" w:rsidP="00FF41F3">
      <w:pPr>
        <w:spacing w:line="237" w:lineRule="auto"/>
        <w:ind w:left="720" w:right="842" w:hanging="2"/>
        <w:rPr>
          <w:sz w:val="22"/>
          <w:szCs w:val="22"/>
          <w:lang w:val="en-CA"/>
        </w:rPr>
      </w:pPr>
      <w:r w:rsidRPr="0071186E">
        <w:rPr>
          <w:color w:val="161616"/>
          <w:sz w:val="22"/>
          <w:szCs w:val="22"/>
          <w:lang w:val="en-CA" w:bidi="en-CA"/>
        </w:rPr>
        <w:t xml:space="preserve">715.37(6) The court must, by order, approve the agreement if it is satisfied that </w:t>
      </w:r>
    </w:p>
    <w:p w14:paraId="059C32B2" w14:textId="77777777" w:rsidR="002E2743" w:rsidRPr="0071186E" w:rsidRDefault="002E2743" w:rsidP="00313DEB">
      <w:pPr>
        <w:pStyle w:val="Paragraphedeliste"/>
        <w:widowControl w:val="0"/>
        <w:numPr>
          <w:ilvl w:val="0"/>
          <w:numId w:val="22"/>
        </w:numPr>
        <w:tabs>
          <w:tab w:val="left" w:pos="1646"/>
        </w:tabs>
        <w:autoSpaceDE w:val="0"/>
        <w:autoSpaceDN w:val="0"/>
        <w:spacing w:line="237" w:lineRule="auto"/>
        <w:ind w:right="542" w:hanging="359"/>
        <w:jc w:val="both"/>
        <w:rPr>
          <w:sz w:val="22"/>
          <w:szCs w:val="22"/>
          <w:lang w:val="en-CA"/>
        </w:rPr>
      </w:pPr>
      <w:r w:rsidRPr="0071186E">
        <w:rPr>
          <w:color w:val="2D2D2D"/>
          <w:sz w:val="22"/>
          <w:szCs w:val="22"/>
          <w:lang w:val="en-CA" w:bidi="en-CA"/>
        </w:rPr>
        <w:t xml:space="preserve">the organization is </w:t>
      </w:r>
      <w:r w:rsidRPr="0071186E">
        <w:rPr>
          <w:color w:val="161616"/>
          <w:sz w:val="22"/>
          <w:szCs w:val="22"/>
          <w:lang w:val="en-CA" w:bidi="en-CA"/>
        </w:rPr>
        <w:t xml:space="preserve">charged with an offence to which the </w:t>
      </w:r>
      <w:r w:rsidRPr="0071186E">
        <w:rPr>
          <w:color w:val="2D2D2D"/>
          <w:sz w:val="22"/>
          <w:szCs w:val="22"/>
          <w:lang w:val="en-CA" w:bidi="en-CA"/>
        </w:rPr>
        <w:t>agreement applies;</w:t>
      </w:r>
    </w:p>
    <w:p w14:paraId="54519202" w14:textId="77777777" w:rsidR="002E2743" w:rsidRPr="0071186E" w:rsidRDefault="002E2743" w:rsidP="00313DEB">
      <w:pPr>
        <w:pStyle w:val="Paragraphedeliste"/>
        <w:widowControl w:val="0"/>
        <w:numPr>
          <w:ilvl w:val="0"/>
          <w:numId w:val="22"/>
        </w:numPr>
        <w:tabs>
          <w:tab w:val="left" w:pos="1646"/>
        </w:tabs>
        <w:autoSpaceDE w:val="0"/>
        <w:autoSpaceDN w:val="0"/>
        <w:ind w:right="542" w:hanging="362"/>
        <w:jc w:val="both"/>
        <w:rPr>
          <w:sz w:val="22"/>
          <w:szCs w:val="22"/>
          <w:lang w:val="en-CA"/>
        </w:rPr>
      </w:pPr>
      <w:r w:rsidRPr="0071186E">
        <w:rPr>
          <w:color w:val="161616"/>
          <w:sz w:val="22"/>
          <w:szCs w:val="22"/>
          <w:lang w:val="en-CA" w:bidi="en-CA"/>
        </w:rPr>
        <w:t>the agreement is in the public interest</w:t>
      </w:r>
      <w:r w:rsidRPr="0071186E">
        <w:rPr>
          <w:color w:val="161616"/>
          <w:spacing w:val="-2"/>
          <w:sz w:val="22"/>
          <w:szCs w:val="22"/>
          <w:lang w:val="en-CA" w:bidi="en-CA"/>
        </w:rPr>
        <w:t>; and</w:t>
      </w:r>
    </w:p>
    <w:p w14:paraId="585B2B2B" w14:textId="77777777" w:rsidR="002E2743" w:rsidRPr="0071186E" w:rsidRDefault="002E2743" w:rsidP="00313DEB">
      <w:pPr>
        <w:pStyle w:val="Paragraphedeliste"/>
        <w:widowControl w:val="0"/>
        <w:numPr>
          <w:ilvl w:val="0"/>
          <w:numId w:val="22"/>
        </w:numPr>
        <w:tabs>
          <w:tab w:val="left" w:pos="1646"/>
        </w:tabs>
        <w:autoSpaceDE w:val="0"/>
        <w:autoSpaceDN w:val="0"/>
        <w:spacing w:before="7"/>
        <w:ind w:right="542" w:hanging="361"/>
        <w:jc w:val="both"/>
        <w:rPr>
          <w:sz w:val="22"/>
          <w:szCs w:val="22"/>
          <w:lang w:val="en-CA"/>
        </w:rPr>
      </w:pPr>
      <w:r w:rsidRPr="0071186E">
        <w:rPr>
          <w:color w:val="161616"/>
          <w:sz w:val="22"/>
          <w:szCs w:val="22"/>
          <w:lang w:val="en-CA" w:bidi="en-CA"/>
        </w:rPr>
        <w:t xml:space="preserve">the terms of the agreement are fair, reasonable and </w:t>
      </w:r>
      <w:r w:rsidRPr="0071186E">
        <w:rPr>
          <w:color w:val="161616"/>
          <w:spacing w:val="-2"/>
          <w:sz w:val="22"/>
          <w:szCs w:val="22"/>
          <w:lang w:val="en-CA" w:bidi="en-CA"/>
        </w:rPr>
        <w:t xml:space="preserve">proportionate to the gravity </w:t>
      </w:r>
      <w:r w:rsidRPr="0071186E">
        <w:rPr>
          <w:color w:val="161616"/>
          <w:sz w:val="22"/>
          <w:szCs w:val="22"/>
          <w:lang w:val="en-CA" w:bidi="en-CA"/>
        </w:rPr>
        <w:t xml:space="preserve">of </w:t>
      </w:r>
      <w:r w:rsidRPr="0071186E">
        <w:rPr>
          <w:color w:val="161616"/>
          <w:spacing w:val="-2"/>
          <w:sz w:val="22"/>
          <w:szCs w:val="22"/>
          <w:lang w:val="en-CA" w:bidi="en-CA"/>
        </w:rPr>
        <w:t>the offence.</w:t>
      </w:r>
    </w:p>
    <w:p w14:paraId="3C9405A9" w14:textId="77777777" w:rsidR="002E2743" w:rsidRPr="0071186E" w:rsidRDefault="002E2743" w:rsidP="002E2743">
      <w:pPr>
        <w:pStyle w:val="Paragraphedeliste"/>
        <w:widowControl w:val="0"/>
        <w:tabs>
          <w:tab w:val="left" w:pos="1646"/>
        </w:tabs>
        <w:autoSpaceDE w:val="0"/>
        <w:autoSpaceDN w:val="0"/>
        <w:spacing w:before="7"/>
        <w:ind w:left="1645"/>
        <w:jc w:val="both"/>
        <w:rPr>
          <w:lang w:val="en-CA"/>
        </w:rPr>
      </w:pPr>
    </w:p>
    <w:p w14:paraId="15A9F399" w14:textId="6C32F773" w:rsidR="002E2743" w:rsidRPr="0071186E" w:rsidRDefault="002E2743" w:rsidP="00034B50">
      <w:pPr>
        <w:pStyle w:val="SimpleL1"/>
        <w:rPr>
          <w:lang w:val="en-CA" w:bidi="en-CA"/>
        </w:rPr>
      </w:pPr>
      <w:r w:rsidRPr="0071186E">
        <w:rPr>
          <w:lang w:val="en-CA" w:bidi="en-CA"/>
        </w:rPr>
        <w:t xml:space="preserve">The </w:t>
      </w:r>
      <w:r w:rsidRPr="0071186E">
        <w:rPr>
          <w:i/>
          <w:lang w:val="en-CA" w:bidi="en-CA"/>
        </w:rPr>
        <w:t>Criminal Code</w:t>
      </w:r>
      <w:r w:rsidRPr="0071186E">
        <w:rPr>
          <w:lang w:val="en-CA" w:bidi="en-CA"/>
        </w:rPr>
        <w:t xml:space="preserve"> therefore provides for a genuine judicial review of remediation agreements, not merely what is colloquially referred to as “rubber stamping”.</w:t>
      </w:r>
    </w:p>
    <w:p w14:paraId="33F2E7D6" w14:textId="18BB2FDA" w:rsidR="002E2743" w:rsidRPr="0071186E" w:rsidRDefault="002E2743" w:rsidP="00034B50">
      <w:pPr>
        <w:pStyle w:val="SimpleL1"/>
        <w:rPr>
          <w:lang w:val="en-CA" w:bidi="en-CA"/>
        </w:rPr>
      </w:pPr>
      <w:r w:rsidRPr="0071186E">
        <w:rPr>
          <w:lang w:val="en-CA" w:bidi="en-CA"/>
        </w:rPr>
        <w:t xml:space="preserve">Moreover, the Court’s role </w:t>
      </w:r>
      <w:r w:rsidR="00983F07">
        <w:rPr>
          <w:lang w:val="en-CA" w:bidi="en-CA"/>
        </w:rPr>
        <w:t>is not limited to</w:t>
      </w:r>
      <w:r w:rsidRPr="0071186E">
        <w:rPr>
          <w:lang w:val="en-CA" w:bidi="en-CA"/>
        </w:rPr>
        <w:t xml:space="preserve"> approving the initial agreement, since</w:t>
      </w:r>
      <w:r w:rsidR="00983F07">
        <w:rPr>
          <w:lang w:val="en-CA" w:bidi="en-CA"/>
        </w:rPr>
        <w:t>, on application by the Prosecutor,</w:t>
      </w:r>
      <w:r w:rsidRPr="0071186E">
        <w:rPr>
          <w:lang w:val="en-CA" w:bidi="en-CA"/>
        </w:rPr>
        <w:t xml:space="preserve"> it can </w:t>
      </w:r>
      <w:r w:rsidR="00810542">
        <w:rPr>
          <w:lang w:val="en-CA" w:bidi="en-CA"/>
        </w:rPr>
        <w:t>vary</w:t>
      </w:r>
      <w:r w:rsidR="006539C6" w:rsidRPr="0071186E">
        <w:rPr>
          <w:lang w:val="en-CA" w:bidi="en-CA"/>
        </w:rPr>
        <w:t xml:space="preserve"> </w:t>
      </w:r>
      <w:r w:rsidRPr="0071186E">
        <w:rPr>
          <w:lang w:val="en-CA" w:bidi="en-CA"/>
        </w:rPr>
        <w:t>the agreement</w:t>
      </w:r>
      <w:r w:rsidR="00D629B3" w:rsidRPr="0071186E">
        <w:rPr>
          <w:rStyle w:val="Appelnotedebasdep"/>
          <w:lang w:val="en-CA" w:bidi="en-CA"/>
        </w:rPr>
        <w:footnoteReference w:id="51"/>
      </w:r>
      <w:r w:rsidRPr="0071186E">
        <w:rPr>
          <w:lang w:val="en-CA" w:bidi="en-CA"/>
        </w:rPr>
        <w:t xml:space="preserve"> or </w:t>
      </w:r>
      <w:r w:rsidR="006539C6" w:rsidRPr="0071186E">
        <w:rPr>
          <w:lang w:val="en-CA" w:bidi="en-CA"/>
        </w:rPr>
        <w:t xml:space="preserve">terminate </w:t>
      </w:r>
      <w:r w:rsidR="00983F07">
        <w:rPr>
          <w:lang w:val="en-CA" w:bidi="en-CA"/>
        </w:rPr>
        <w:t>it</w:t>
      </w:r>
      <w:r w:rsidR="006539C6" w:rsidRPr="0071186E">
        <w:rPr>
          <w:lang w:val="en-CA" w:bidi="en-CA"/>
        </w:rPr>
        <w:t>,</w:t>
      </w:r>
      <w:r w:rsidRPr="0071186E">
        <w:rPr>
          <w:lang w:val="en-CA" w:bidi="en-CA"/>
        </w:rPr>
        <w:t xml:space="preserve"> if the organization breaches the terms of the agreement.</w:t>
      </w:r>
      <w:r w:rsidR="003F60D0" w:rsidRPr="0071186E">
        <w:rPr>
          <w:rStyle w:val="Appelnotedebasdep"/>
          <w:lang w:val="en-CA" w:bidi="en-CA"/>
        </w:rPr>
        <w:footnoteReference w:id="52"/>
      </w:r>
      <w:r w:rsidRPr="0071186E">
        <w:rPr>
          <w:lang w:val="en-CA" w:bidi="en-CA"/>
        </w:rPr>
        <w:t xml:space="preserve"> Finally, the Court may be seized for the purposes of declaring that the terms of the agreement have been met, which results in </w:t>
      </w:r>
      <w:r w:rsidR="00983F07">
        <w:rPr>
          <w:lang w:val="en-CA" w:bidi="en-CA"/>
        </w:rPr>
        <w:t>a</w:t>
      </w:r>
      <w:r w:rsidR="00983F07" w:rsidRPr="0071186E">
        <w:rPr>
          <w:lang w:val="en-CA" w:bidi="en-CA"/>
        </w:rPr>
        <w:t xml:space="preserve"> </w:t>
      </w:r>
      <w:r w:rsidRPr="0071186E">
        <w:rPr>
          <w:lang w:val="en-CA" w:bidi="en-CA"/>
        </w:rPr>
        <w:t>stay of the proceedings against the organization for any offences to which the agreement applies. These proceedings are then deemed never to have been commenced and no other proceedings may be initiated for the same offences.</w:t>
      </w:r>
      <w:r w:rsidR="003F60D0" w:rsidRPr="0071186E">
        <w:rPr>
          <w:rStyle w:val="Appelnotedebasdep"/>
          <w:lang w:val="en-CA" w:bidi="en-CA"/>
        </w:rPr>
        <w:footnoteReference w:id="53"/>
      </w:r>
    </w:p>
    <w:p w14:paraId="08B4B983" w14:textId="5167741D" w:rsidR="002E2743" w:rsidRPr="0071186E" w:rsidRDefault="002E2743" w:rsidP="00034B50">
      <w:pPr>
        <w:pStyle w:val="SimpleL1"/>
        <w:rPr>
          <w:lang w:val="en-CA" w:bidi="en-CA"/>
        </w:rPr>
      </w:pPr>
      <w:r w:rsidRPr="0071186E">
        <w:rPr>
          <w:lang w:val="en-CA" w:bidi="en-CA"/>
        </w:rPr>
        <w:t xml:space="preserve">This desire for a transparent process is also reflected in the contents of </w:t>
      </w:r>
      <w:r w:rsidR="00707DF2" w:rsidRPr="0071186E">
        <w:rPr>
          <w:lang w:val="en-CA" w:bidi="en-CA"/>
        </w:rPr>
        <w:t>s</w:t>
      </w:r>
      <w:r w:rsidR="00707DF2">
        <w:rPr>
          <w:lang w:val="en-CA" w:bidi="en-CA"/>
        </w:rPr>
        <w:t>.</w:t>
      </w:r>
      <w:r w:rsidR="00707DF2" w:rsidRPr="0071186E">
        <w:rPr>
          <w:lang w:val="en-CA" w:bidi="en-CA"/>
        </w:rPr>
        <w:t> </w:t>
      </w:r>
      <w:r w:rsidRPr="0071186E">
        <w:rPr>
          <w:lang w:val="en-CA" w:bidi="en-CA"/>
        </w:rPr>
        <w:t>715.42 Cr.</w:t>
      </w:r>
      <w:r w:rsidR="00810542">
        <w:rPr>
          <w:lang w:val="en-CA" w:bidi="en-CA"/>
        </w:rPr>
        <w:t> </w:t>
      </w:r>
      <w:r w:rsidRPr="0071186E">
        <w:rPr>
          <w:lang w:val="en-CA" w:bidi="en-CA"/>
        </w:rPr>
        <w:t>C. which provides, among other things, that the Court is required, as soon as practicable, to publish the remediation agreement it approved and the order it made under s</w:t>
      </w:r>
      <w:r w:rsidR="00707DF2">
        <w:rPr>
          <w:lang w:val="en-CA" w:bidi="en-CA"/>
        </w:rPr>
        <w:t>.</w:t>
      </w:r>
      <w:r w:rsidRPr="0071186E">
        <w:rPr>
          <w:lang w:val="en-CA" w:bidi="en-CA"/>
        </w:rPr>
        <w:t xml:space="preserve"> 715.37 Cr.</w:t>
      </w:r>
      <w:r w:rsidR="00810542">
        <w:rPr>
          <w:lang w:val="en-CA" w:bidi="en-CA"/>
        </w:rPr>
        <w:t> </w:t>
      </w:r>
      <w:r w:rsidRPr="0071186E">
        <w:rPr>
          <w:lang w:val="en-CA" w:bidi="en-CA"/>
        </w:rPr>
        <w:t xml:space="preserve">C., as well as the reasons for that order or the reasons for the decision not to make that order. However, the second paragraph of this section provides for an exception if the Court is satisfied that non-publication is necessary for the proper administration of justice. This may be the case if it is necessary to prevent any adverse effect to any ongoing investigation </w:t>
      </w:r>
      <w:r w:rsidR="006539C6" w:rsidRPr="0071186E">
        <w:rPr>
          <w:lang w:val="en-CA" w:bidi="en-CA"/>
        </w:rPr>
        <w:t>or</w:t>
      </w:r>
      <w:r w:rsidRPr="0071186E">
        <w:rPr>
          <w:lang w:val="en-CA" w:bidi="en-CA"/>
        </w:rPr>
        <w:t xml:space="preserve"> prosecution.</w:t>
      </w:r>
      <w:r w:rsidR="003F60D0" w:rsidRPr="0071186E">
        <w:rPr>
          <w:rStyle w:val="Appelnotedebasdep"/>
          <w:lang w:val="en-CA" w:bidi="en-CA"/>
        </w:rPr>
        <w:footnoteReference w:id="54"/>
      </w:r>
    </w:p>
    <w:p w14:paraId="183D95FB" w14:textId="77777777" w:rsidR="002E2743" w:rsidRPr="0071186E" w:rsidRDefault="002E2743" w:rsidP="00313DEB">
      <w:pPr>
        <w:pStyle w:val="Titre2"/>
        <w:numPr>
          <w:ilvl w:val="0"/>
          <w:numId w:val="21"/>
        </w:numPr>
        <w:rPr>
          <w:lang w:val="en-CA" w:bidi="en-CA"/>
        </w:rPr>
      </w:pPr>
      <w:bookmarkStart w:id="15" w:name="_Toc109310854"/>
      <w:r w:rsidRPr="0071186E">
        <w:rPr>
          <w:lang w:val="en-CA" w:bidi="en-CA"/>
        </w:rPr>
        <w:t>Place for the Victim</w:t>
      </w:r>
      <w:bookmarkEnd w:id="15"/>
    </w:p>
    <w:p w14:paraId="0DAF8B4A" w14:textId="0B154902" w:rsidR="002E2743" w:rsidRPr="0071186E" w:rsidRDefault="00C324AB" w:rsidP="00034B50">
      <w:pPr>
        <w:pStyle w:val="SimpleL1"/>
        <w:rPr>
          <w:lang w:val="en-CA" w:bidi="en-CA"/>
        </w:rPr>
      </w:pPr>
      <w:r>
        <w:rPr>
          <w:lang w:val="en-CA" w:bidi="en-CA"/>
        </w:rPr>
        <w:t>Parliament</w:t>
      </w:r>
      <w:r w:rsidR="00D2218F" w:rsidRPr="0071186E">
        <w:rPr>
          <w:lang w:val="en-CA" w:bidi="en-CA"/>
        </w:rPr>
        <w:t xml:space="preserve"> stresses the importance of victims’ interests at various stages of the remediation agreement process. </w:t>
      </w:r>
      <w:r w:rsidR="00FB38D7">
        <w:rPr>
          <w:lang w:val="en-CA" w:bidi="en-CA"/>
        </w:rPr>
        <w:t>Indeed, o</w:t>
      </w:r>
      <w:r w:rsidR="00D2218F" w:rsidRPr="0071186E">
        <w:rPr>
          <w:lang w:val="en-CA" w:bidi="en-CA"/>
        </w:rPr>
        <w:t>ne of the purposes of s</w:t>
      </w:r>
      <w:r w:rsidR="00707DF2">
        <w:rPr>
          <w:lang w:val="en-CA" w:bidi="en-CA"/>
        </w:rPr>
        <w:t>.</w:t>
      </w:r>
      <w:r w:rsidR="00252E88" w:rsidRPr="0071186E">
        <w:rPr>
          <w:lang w:val="en-CA" w:bidi="en-CA"/>
        </w:rPr>
        <w:t> </w:t>
      </w:r>
      <w:r w:rsidR="00D2218F" w:rsidRPr="0071186E">
        <w:rPr>
          <w:lang w:val="en-CA" w:bidi="en-CA"/>
        </w:rPr>
        <w:t>715.31 Cr.</w:t>
      </w:r>
      <w:r w:rsidR="00A4162E">
        <w:rPr>
          <w:lang w:val="en-CA" w:bidi="en-CA"/>
        </w:rPr>
        <w:t> </w:t>
      </w:r>
      <w:r w:rsidR="00D2218F" w:rsidRPr="0071186E">
        <w:rPr>
          <w:lang w:val="en-CA" w:bidi="en-CA"/>
        </w:rPr>
        <w:t xml:space="preserve">C. is to denounce and provide reparations for harm done to victims or the community. </w:t>
      </w:r>
      <w:r w:rsidR="00FB38D7">
        <w:rPr>
          <w:lang w:val="en-CA" w:bidi="en-CA"/>
        </w:rPr>
        <w:t>What is more, t</w:t>
      </w:r>
      <w:r w:rsidR="00D2218F" w:rsidRPr="0071186E">
        <w:rPr>
          <w:lang w:val="en-CA" w:bidi="en-CA"/>
        </w:rPr>
        <w:t xml:space="preserve">he Prosecutor must take public interest into consideration </w:t>
      </w:r>
      <w:r w:rsidR="002A6FE0">
        <w:rPr>
          <w:lang w:val="en-CA" w:bidi="en-CA"/>
        </w:rPr>
        <w:t>when deciding</w:t>
      </w:r>
      <w:r w:rsidR="00D2218F" w:rsidRPr="0071186E">
        <w:rPr>
          <w:lang w:val="en-CA" w:bidi="en-CA"/>
        </w:rPr>
        <w:t xml:space="preserve"> to </w:t>
      </w:r>
      <w:r w:rsidR="00D2218F" w:rsidRPr="0071186E">
        <w:rPr>
          <w:lang w:val="en-CA" w:bidi="en-CA"/>
        </w:rPr>
        <w:lastRenderedPageBreak/>
        <w:t>negotiate a remediation agreement, which includes the impact of the act or omission on any victim.</w:t>
      </w:r>
      <w:r w:rsidR="003F60D0" w:rsidRPr="0071186E">
        <w:rPr>
          <w:rStyle w:val="Appelnotedebasdep"/>
          <w:lang w:val="en-CA" w:bidi="en-CA"/>
        </w:rPr>
        <w:footnoteReference w:id="55"/>
      </w:r>
      <w:r w:rsidR="00D2218F" w:rsidRPr="0071186E">
        <w:rPr>
          <w:lang w:val="en-CA" w:bidi="en-CA"/>
        </w:rPr>
        <w:t xml:space="preserve"> It is even more telling that the remediation agreement must include an indication of any reparations the organization is required to make to the victims, </w:t>
      </w:r>
      <w:r w:rsidR="00C928F1">
        <w:rPr>
          <w:lang w:val="en-CA" w:bidi="en-CA"/>
        </w:rPr>
        <w:t>notably</w:t>
      </w:r>
      <w:r w:rsidR="00D2218F" w:rsidRPr="0071186E">
        <w:rPr>
          <w:lang w:val="en-CA" w:bidi="en-CA"/>
        </w:rPr>
        <w:t xml:space="preserve"> restitution. If the Prosecutor believes that this measure is not indicated under the circumstances, it must provide a statement explaining why and indicating any measure required in lieu of reparations.</w:t>
      </w:r>
      <w:r w:rsidR="003F60D0" w:rsidRPr="0071186E">
        <w:rPr>
          <w:rStyle w:val="Appelnotedebasdep"/>
          <w:lang w:val="en-CA" w:bidi="en-CA"/>
        </w:rPr>
        <w:footnoteReference w:id="56"/>
      </w:r>
      <w:r w:rsidR="00D2218F" w:rsidRPr="0071186E">
        <w:rPr>
          <w:lang w:val="en-CA" w:bidi="en-CA"/>
        </w:rPr>
        <w:t xml:space="preserve"> Also, the duty to inform victims is an integral part of these provisions.</w:t>
      </w:r>
      <w:r w:rsidR="003F60D0" w:rsidRPr="0071186E">
        <w:rPr>
          <w:rStyle w:val="Appelnotedebasdep"/>
          <w:lang w:val="en-CA" w:bidi="en-CA"/>
        </w:rPr>
        <w:footnoteReference w:id="57"/>
      </w:r>
    </w:p>
    <w:p w14:paraId="227F45D7" w14:textId="4A9E75EB" w:rsidR="00D2218F" w:rsidRPr="0071186E" w:rsidRDefault="00C928F1" w:rsidP="00034B50">
      <w:pPr>
        <w:pStyle w:val="SimpleL1"/>
        <w:rPr>
          <w:lang w:val="en-CA" w:bidi="en-CA"/>
        </w:rPr>
      </w:pPr>
      <w:r>
        <w:rPr>
          <w:lang w:val="en-CA" w:bidi="en-CA"/>
        </w:rPr>
        <w:t>Above all</w:t>
      </w:r>
      <w:r w:rsidR="00D2218F" w:rsidRPr="0071186E">
        <w:rPr>
          <w:lang w:val="en-CA" w:bidi="en-CA"/>
        </w:rPr>
        <w:t xml:space="preserve">, it is explicitly provided that the Court is </w:t>
      </w:r>
      <w:r w:rsidR="00D2218F" w:rsidRPr="0071186E">
        <w:rPr>
          <w:i/>
          <w:lang w:val="en-CA" w:bidi="en-CA"/>
        </w:rPr>
        <w:t xml:space="preserve">required </w:t>
      </w:r>
      <w:r w:rsidR="00D2218F" w:rsidRPr="0071186E">
        <w:rPr>
          <w:lang w:val="en-CA" w:bidi="en-CA"/>
        </w:rPr>
        <w:t xml:space="preserve">to take into consideration the following </w:t>
      </w:r>
      <w:r w:rsidR="00BF50CE" w:rsidRPr="0071186E">
        <w:rPr>
          <w:lang w:val="en-CA" w:bidi="en-CA"/>
        </w:rPr>
        <w:t xml:space="preserve">elements </w:t>
      </w:r>
      <w:r>
        <w:rPr>
          <w:lang w:val="en-CA" w:bidi="en-CA"/>
        </w:rPr>
        <w:t xml:space="preserve">in </w:t>
      </w:r>
      <w:r w:rsidR="002A6FE0">
        <w:rPr>
          <w:lang w:val="en-CA" w:bidi="en-CA"/>
        </w:rPr>
        <w:t>connection with</w:t>
      </w:r>
      <w:r>
        <w:rPr>
          <w:lang w:val="en-CA" w:bidi="en-CA"/>
        </w:rPr>
        <w:t xml:space="preserve"> </w:t>
      </w:r>
      <w:r w:rsidR="00BF50CE" w:rsidRPr="0071186E">
        <w:rPr>
          <w:lang w:val="en-CA" w:bidi="en-CA"/>
        </w:rPr>
        <w:t xml:space="preserve">the </w:t>
      </w:r>
      <w:r w:rsidR="00D2218F" w:rsidRPr="0071186E">
        <w:rPr>
          <w:lang w:val="en-CA" w:bidi="en-CA"/>
        </w:rPr>
        <w:t>victim</w:t>
      </w:r>
      <w:r w:rsidR="002029C8">
        <w:rPr>
          <w:lang w:val="en-CA" w:bidi="en-CA"/>
        </w:rPr>
        <w:t>’</w:t>
      </w:r>
      <w:r w:rsidR="00BF50CE" w:rsidRPr="0071186E">
        <w:rPr>
          <w:lang w:val="en-CA" w:bidi="en-CA"/>
        </w:rPr>
        <w:t>s</w:t>
      </w:r>
      <w:r w:rsidR="00D2218F" w:rsidRPr="0071186E">
        <w:rPr>
          <w:lang w:val="en-CA" w:bidi="en-CA"/>
        </w:rPr>
        <w:t xml:space="preserve"> interest at the approval hearing:</w:t>
      </w:r>
    </w:p>
    <w:p w14:paraId="07A7062D" w14:textId="3C1E87F2" w:rsidR="00D2218F" w:rsidRPr="0071186E" w:rsidRDefault="00D2218F" w:rsidP="00252E88">
      <w:pPr>
        <w:ind w:left="896" w:right="596" w:firstLine="3"/>
        <w:rPr>
          <w:sz w:val="22"/>
          <w:szCs w:val="22"/>
          <w:lang w:val="en-CA"/>
        </w:rPr>
      </w:pPr>
      <w:r w:rsidRPr="0071186E">
        <w:rPr>
          <w:color w:val="161616"/>
          <w:sz w:val="22"/>
          <w:szCs w:val="22"/>
          <w:lang w:val="en-CA" w:bidi="en-CA"/>
        </w:rPr>
        <w:t>715.37(3) To determine whether to approve the agreement, the court hearing an application must consider</w:t>
      </w:r>
    </w:p>
    <w:p w14:paraId="2DA4A140" w14:textId="77777777" w:rsidR="00D2218F" w:rsidRPr="0071186E" w:rsidRDefault="00D2218F" w:rsidP="00313DEB">
      <w:pPr>
        <w:pStyle w:val="Paragraphedeliste"/>
        <w:widowControl w:val="0"/>
        <w:numPr>
          <w:ilvl w:val="0"/>
          <w:numId w:val="38"/>
        </w:numPr>
        <w:tabs>
          <w:tab w:val="left" w:pos="1285"/>
        </w:tabs>
        <w:autoSpaceDE w:val="0"/>
        <w:autoSpaceDN w:val="0"/>
        <w:spacing w:line="237" w:lineRule="auto"/>
        <w:ind w:left="1260" w:right="887"/>
        <w:jc w:val="both"/>
        <w:rPr>
          <w:color w:val="161616"/>
          <w:sz w:val="22"/>
          <w:szCs w:val="22"/>
          <w:lang w:val="en-CA"/>
        </w:rPr>
      </w:pPr>
      <w:r w:rsidRPr="0071186E">
        <w:rPr>
          <w:color w:val="161616"/>
          <w:sz w:val="22"/>
          <w:szCs w:val="22"/>
          <w:lang w:val="en-CA" w:bidi="en-CA"/>
        </w:rPr>
        <w:t>any reparations, statement and other measure referred to in paragraph 715.34(1)(g);</w:t>
      </w:r>
    </w:p>
    <w:p w14:paraId="1FCAD0DF" w14:textId="77777777" w:rsidR="00D2218F" w:rsidRPr="0071186E" w:rsidRDefault="00D2218F" w:rsidP="00313DEB">
      <w:pPr>
        <w:pStyle w:val="Paragraphedeliste"/>
        <w:widowControl w:val="0"/>
        <w:numPr>
          <w:ilvl w:val="0"/>
          <w:numId w:val="38"/>
        </w:numPr>
        <w:tabs>
          <w:tab w:val="left" w:pos="1285"/>
        </w:tabs>
        <w:autoSpaceDE w:val="0"/>
        <w:autoSpaceDN w:val="0"/>
        <w:spacing w:line="237" w:lineRule="auto"/>
        <w:ind w:left="1260" w:right="887" w:hanging="359"/>
        <w:jc w:val="both"/>
        <w:rPr>
          <w:color w:val="161616"/>
          <w:sz w:val="22"/>
          <w:szCs w:val="22"/>
          <w:lang w:val="en-CA"/>
        </w:rPr>
      </w:pPr>
      <w:r w:rsidRPr="0071186E">
        <w:rPr>
          <w:color w:val="2A2A2A"/>
          <w:sz w:val="22"/>
          <w:szCs w:val="22"/>
          <w:lang w:val="en-CA" w:bidi="en-CA"/>
        </w:rPr>
        <w:t> any statement made by the prosecutor under subsection 715.36(3)</w:t>
      </w:r>
      <w:r w:rsidRPr="0071186E">
        <w:rPr>
          <w:color w:val="161616"/>
          <w:sz w:val="22"/>
          <w:szCs w:val="22"/>
          <w:lang w:val="en-CA" w:bidi="en-CA"/>
        </w:rPr>
        <w:t>;</w:t>
      </w:r>
    </w:p>
    <w:p w14:paraId="42BBAC77" w14:textId="77777777" w:rsidR="00D2218F" w:rsidRPr="0071186E" w:rsidRDefault="00D2218F" w:rsidP="00313DEB">
      <w:pPr>
        <w:pStyle w:val="Paragraphedeliste"/>
        <w:widowControl w:val="0"/>
        <w:numPr>
          <w:ilvl w:val="0"/>
          <w:numId w:val="38"/>
        </w:numPr>
        <w:tabs>
          <w:tab w:val="left" w:pos="1285"/>
        </w:tabs>
        <w:autoSpaceDE w:val="0"/>
        <w:autoSpaceDN w:val="0"/>
        <w:spacing w:line="237" w:lineRule="auto"/>
        <w:ind w:left="1260" w:right="887" w:hanging="359"/>
        <w:jc w:val="both"/>
        <w:rPr>
          <w:color w:val="161616"/>
          <w:sz w:val="22"/>
          <w:szCs w:val="22"/>
          <w:lang w:val="en-CA" w:bidi="en-CA"/>
        </w:rPr>
      </w:pPr>
      <w:r w:rsidRPr="0071186E">
        <w:rPr>
          <w:color w:val="161616"/>
          <w:sz w:val="22"/>
          <w:szCs w:val="22"/>
          <w:lang w:val="en-CA" w:bidi="en-CA"/>
        </w:rPr>
        <w:t xml:space="preserve">any victim or </w:t>
      </w:r>
      <w:r w:rsidRPr="0071186E">
        <w:rPr>
          <w:color w:val="2A2A2A"/>
          <w:sz w:val="22"/>
          <w:szCs w:val="22"/>
          <w:lang w:val="en-CA" w:bidi="en-CA"/>
        </w:rPr>
        <w:t>community</w:t>
      </w:r>
      <w:r w:rsidRPr="0071186E">
        <w:rPr>
          <w:color w:val="161616"/>
          <w:sz w:val="22"/>
          <w:szCs w:val="22"/>
          <w:lang w:val="en-CA" w:bidi="en-CA"/>
        </w:rPr>
        <w:t xml:space="preserve"> impact statement presented to the court; and</w:t>
      </w:r>
    </w:p>
    <w:p w14:paraId="34D42693" w14:textId="77777777" w:rsidR="00D2218F" w:rsidRPr="0071186E" w:rsidRDefault="00D2218F" w:rsidP="00313DEB">
      <w:pPr>
        <w:pStyle w:val="Paragraphedeliste"/>
        <w:widowControl w:val="0"/>
        <w:numPr>
          <w:ilvl w:val="0"/>
          <w:numId w:val="38"/>
        </w:numPr>
        <w:tabs>
          <w:tab w:val="left" w:pos="1285"/>
        </w:tabs>
        <w:autoSpaceDE w:val="0"/>
        <w:autoSpaceDN w:val="0"/>
        <w:spacing w:after="240" w:line="237" w:lineRule="auto"/>
        <w:ind w:left="1260" w:right="887" w:hanging="359"/>
        <w:jc w:val="both"/>
        <w:rPr>
          <w:lang w:val="en-CA" w:bidi="en-CA"/>
        </w:rPr>
      </w:pPr>
      <w:r w:rsidRPr="0071186E">
        <w:rPr>
          <w:color w:val="161616"/>
          <w:sz w:val="22"/>
          <w:szCs w:val="22"/>
          <w:lang w:val="en-CA" w:bidi="en-CA"/>
        </w:rPr>
        <w:t xml:space="preserve">any victim </w:t>
      </w:r>
      <w:r w:rsidRPr="0071186E">
        <w:rPr>
          <w:color w:val="2A2A2A"/>
          <w:sz w:val="22"/>
          <w:szCs w:val="22"/>
          <w:lang w:val="en-CA" w:bidi="en-CA"/>
        </w:rPr>
        <w:t>surcharge</w:t>
      </w:r>
      <w:r w:rsidRPr="0071186E">
        <w:rPr>
          <w:color w:val="161616"/>
          <w:sz w:val="22"/>
          <w:szCs w:val="22"/>
          <w:lang w:val="en-CA" w:bidi="en-CA"/>
        </w:rPr>
        <w:t xml:space="preserve"> referred to in paragraph 715.34(1)(h).</w:t>
      </w:r>
    </w:p>
    <w:p w14:paraId="49D8AAF8" w14:textId="77777777" w:rsidR="00D2218F" w:rsidRPr="0071186E" w:rsidRDefault="00D2218F" w:rsidP="00D2218F">
      <w:pPr>
        <w:pStyle w:val="SimpleL1"/>
        <w:rPr>
          <w:lang w:val="en-CA" w:bidi="en-CA"/>
        </w:rPr>
      </w:pPr>
      <w:r w:rsidRPr="0071186E">
        <w:rPr>
          <w:lang w:val="en-CA" w:bidi="en-CA"/>
        </w:rPr>
        <w:t>Section 715.37(4) also emphasizes the role of victim or community impact statements. Finally, the victim’</w:t>
      </w:r>
      <w:r w:rsidR="00BF50CE" w:rsidRPr="0071186E">
        <w:rPr>
          <w:lang w:val="en-CA" w:bidi="en-CA"/>
        </w:rPr>
        <w:t>s</w:t>
      </w:r>
      <w:r w:rsidRPr="0071186E">
        <w:rPr>
          <w:lang w:val="en-CA" w:bidi="en-CA"/>
        </w:rPr>
        <w:t xml:space="preserve"> interest is </w:t>
      </w:r>
      <w:r w:rsidR="006539C6" w:rsidRPr="0071186E">
        <w:rPr>
          <w:lang w:val="en-CA" w:bidi="en-CA"/>
        </w:rPr>
        <w:t>again</w:t>
      </w:r>
      <w:r w:rsidRPr="0071186E">
        <w:rPr>
          <w:lang w:val="en-CA" w:bidi="en-CA"/>
        </w:rPr>
        <w:t xml:space="preserve"> taken into consideration </w:t>
      </w:r>
      <w:r w:rsidR="00C928F1">
        <w:rPr>
          <w:lang w:val="en-CA" w:bidi="en-CA"/>
        </w:rPr>
        <w:t>at</w:t>
      </w:r>
      <w:r w:rsidRPr="0071186E">
        <w:rPr>
          <w:lang w:val="en-CA" w:bidi="en-CA"/>
        </w:rPr>
        <w:t xml:space="preserve"> the publication stage.</w:t>
      </w:r>
      <w:r w:rsidR="003F60D0" w:rsidRPr="0071186E">
        <w:rPr>
          <w:rStyle w:val="Appelnotedebasdep"/>
          <w:lang w:val="en-CA" w:bidi="en-CA"/>
        </w:rPr>
        <w:footnoteReference w:id="58"/>
      </w:r>
    </w:p>
    <w:p w14:paraId="1823D692" w14:textId="77777777" w:rsidR="00D2218F" w:rsidRPr="0071186E" w:rsidRDefault="00D2218F" w:rsidP="008036E0">
      <w:pPr>
        <w:pStyle w:val="Titre1"/>
        <w:rPr>
          <w:lang w:val="en-CA"/>
        </w:rPr>
      </w:pPr>
      <w:bookmarkStart w:id="16" w:name="_Toc109310855"/>
      <w:r w:rsidRPr="0071186E">
        <w:rPr>
          <w:lang w:val="en-CA"/>
        </w:rPr>
        <w:t>ANALYSIS</w:t>
      </w:r>
      <w:bookmarkEnd w:id="16"/>
    </w:p>
    <w:p w14:paraId="31EB56C9" w14:textId="3C628C41" w:rsidR="00D2218F" w:rsidRPr="0071186E" w:rsidRDefault="007E1D09" w:rsidP="00034B50">
      <w:pPr>
        <w:pStyle w:val="SimpleL1"/>
        <w:rPr>
          <w:lang w:val="en-CA" w:bidi="en-CA"/>
        </w:rPr>
      </w:pPr>
      <w:r w:rsidRPr="00FD0210">
        <w:rPr>
          <w:lang w:val="en-CA" w:bidi="en-CA"/>
        </w:rPr>
        <w:t>The Court’</w:t>
      </w:r>
      <w:r w:rsidR="00D2218F" w:rsidRPr="00FD0210">
        <w:rPr>
          <w:lang w:val="en-CA" w:bidi="en-CA"/>
        </w:rPr>
        <w:t xml:space="preserve">s analysis will be twofold: a first and somewhat formal stage </w:t>
      </w:r>
      <w:r w:rsidR="00C928F1" w:rsidRPr="00FD0210">
        <w:rPr>
          <w:lang w:val="en-CA" w:bidi="en-CA"/>
        </w:rPr>
        <w:t>to</w:t>
      </w:r>
      <w:r w:rsidR="00D2218F" w:rsidRPr="00FD0210">
        <w:rPr>
          <w:lang w:val="en-CA" w:bidi="en-CA"/>
        </w:rPr>
        <w:t xml:space="preserve"> verify that the elements referred to in s</w:t>
      </w:r>
      <w:r w:rsidR="00707DF2">
        <w:rPr>
          <w:lang w:val="en-CA" w:bidi="en-CA"/>
        </w:rPr>
        <w:t>.</w:t>
      </w:r>
      <w:r w:rsidR="00D2218F" w:rsidRPr="00FD0210">
        <w:rPr>
          <w:lang w:val="en-CA" w:bidi="en-CA"/>
        </w:rPr>
        <w:t xml:space="preserve"> 715.34 Cr.</w:t>
      </w:r>
      <w:r w:rsidR="00FD0210">
        <w:rPr>
          <w:lang w:val="en-CA" w:bidi="en-CA"/>
        </w:rPr>
        <w:t> </w:t>
      </w:r>
      <w:r w:rsidR="00D2218F" w:rsidRPr="00FD0210">
        <w:rPr>
          <w:lang w:val="en-CA" w:bidi="en-CA"/>
        </w:rPr>
        <w:t>C. have been addressed in the Remediation Agr</w:t>
      </w:r>
      <w:r w:rsidR="00C928F1" w:rsidRPr="00FD0210">
        <w:rPr>
          <w:lang w:val="en-CA" w:bidi="en-CA"/>
        </w:rPr>
        <w:t>eement agreed upon between the p</w:t>
      </w:r>
      <w:r w:rsidR="00D2218F" w:rsidRPr="00FD0210">
        <w:rPr>
          <w:lang w:val="en-CA" w:bidi="en-CA"/>
        </w:rPr>
        <w:t>arties (hereinafter the “Agreement”) and that the procedures</w:t>
      </w:r>
      <w:r w:rsidR="00D2218F" w:rsidRPr="0071186E">
        <w:rPr>
          <w:lang w:val="en-CA" w:bidi="en-CA"/>
        </w:rPr>
        <w:t xml:space="preserve"> relating to the victim have been respected</w:t>
      </w:r>
      <w:r w:rsidR="00FD0210">
        <w:rPr>
          <w:lang w:val="en-CA" w:bidi="en-CA"/>
        </w:rPr>
        <w:t>. This will be</w:t>
      </w:r>
      <w:r w:rsidR="00D2218F" w:rsidRPr="0071186E">
        <w:rPr>
          <w:lang w:val="en-CA" w:bidi="en-CA"/>
        </w:rPr>
        <w:t xml:space="preserve"> followed by a second stage in which the Court will analyze the terms of the Agreement in greater depth to ensure that it is in the public interest and that its terms are fair, reasonable and proportionate to the gravity of the offence.</w:t>
      </w:r>
    </w:p>
    <w:p w14:paraId="2C6D3C41" w14:textId="77777777" w:rsidR="00D2218F" w:rsidRPr="0071186E" w:rsidRDefault="00D2218F" w:rsidP="00313DEB">
      <w:pPr>
        <w:pStyle w:val="Titre2"/>
        <w:numPr>
          <w:ilvl w:val="0"/>
          <w:numId w:val="24"/>
        </w:numPr>
        <w:rPr>
          <w:lang w:val="en-CA" w:bidi="en-CA"/>
        </w:rPr>
      </w:pPr>
      <w:bookmarkStart w:id="17" w:name="_Toc109310856"/>
      <w:r w:rsidRPr="0071186E">
        <w:rPr>
          <w:lang w:val="en-CA" w:bidi="en-CA"/>
        </w:rPr>
        <w:t>Formal Verification of the Agreement’s Content</w:t>
      </w:r>
      <w:bookmarkEnd w:id="17"/>
    </w:p>
    <w:p w14:paraId="75AD5E48" w14:textId="4D2D4B5F" w:rsidR="00D2218F" w:rsidRPr="0071186E" w:rsidRDefault="00D2218F" w:rsidP="00034B50">
      <w:pPr>
        <w:pStyle w:val="SimpleL1"/>
        <w:rPr>
          <w:lang w:val="en-CA" w:bidi="en-CA"/>
        </w:rPr>
      </w:pPr>
      <w:r w:rsidRPr="0071186E">
        <w:rPr>
          <w:lang w:val="en-CA" w:bidi="en-CA"/>
        </w:rPr>
        <w:t xml:space="preserve">The legislator has provided that the Agreement </w:t>
      </w:r>
      <w:r w:rsidRPr="0071186E">
        <w:rPr>
          <w:i/>
          <w:lang w:val="en-CA" w:bidi="en-CA"/>
        </w:rPr>
        <w:t xml:space="preserve">must </w:t>
      </w:r>
      <w:r w:rsidRPr="0071186E">
        <w:rPr>
          <w:lang w:val="en-CA" w:bidi="en-CA"/>
        </w:rPr>
        <w:t xml:space="preserve">include certain elements provided for in </w:t>
      </w:r>
      <w:r w:rsidR="00707DF2">
        <w:rPr>
          <w:lang w:val="en-CA" w:bidi="en-CA"/>
        </w:rPr>
        <w:t>subsection</w:t>
      </w:r>
      <w:r w:rsidR="00707DF2" w:rsidRPr="0071186E">
        <w:rPr>
          <w:lang w:val="en-CA" w:bidi="en-CA"/>
        </w:rPr>
        <w:t xml:space="preserve"> </w:t>
      </w:r>
      <w:r w:rsidRPr="0071186E">
        <w:rPr>
          <w:lang w:val="en-CA" w:bidi="en-CA"/>
        </w:rPr>
        <w:t>715.34(1) Cr.</w:t>
      </w:r>
      <w:r w:rsidR="00FD0210">
        <w:rPr>
          <w:lang w:val="en-CA" w:bidi="en-CA"/>
        </w:rPr>
        <w:t> </w:t>
      </w:r>
      <w:r w:rsidRPr="0071186E">
        <w:rPr>
          <w:lang w:val="en-CA" w:bidi="en-CA"/>
        </w:rPr>
        <w:t xml:space="preserve">C., and </w:t>
      </w:r>
      <w:r w:rsidRPr="0071186E">
        <w:rPr>
          <w:i/>
          <w:lang w:val="en-CA" w:bidi="en-CA"/>
        </w:rPr>
        <w:t xml:space="preserve">may </w:t>
      </w:r>
      <w:r w:rsidRPr="0071186E">
        <w:rPr>
          <w:lang w:val="en-CA" w:bidi="en-CA"/>
        </w:rPr>
        <w:t xml:space="preserve">also include the additional elements set out in </w:t>
      </w:r>
      <w:r w:rsidR="00707DF2">
        <w:rPr>
          <w:lang w:val="en-CA" w:bidi="en-CA"/>
        </w:rPr>
        <w:t>subsection</w:t>
      </w:r>
      <w:r w:rsidR="00707DF2" w:rsidRPr="0071186E">
        <w:rPr>
          <w:lang w:val="en-CA" w:bidi="en-CA"/>
        </w:rPr>
        <w:t xml:space="preserve"> </w:t>
      </w:r>
      <w:r w:rsidRPr="0071186E">
        <w:rPr>
          <w:lang w:val="en-CA" w:bidi="en-CA"/>
        </w:rPr>
        <w:t>715.34(3) Cr.</w:t>
      </w:r>
      <w:r w:rsidR="00FD0210">
        <w:rPr>
          <w:lang w:val="en-CA" w:bidi="en-CA"/>
        </w:rPr>
        <w:t> </w:t>
      </w:r>
      <w:r w:rsidRPr="0071186E">
        <w:rPr>
          <w:lang w:val="en-CA" w:bidi="en-CA"/>
        </w:rPr>
        <w:t>C.</w:t>
      </w:r>
    </w:p>
    <w:p w14:paraId="1706D3BD" w14:textId="77777777" w:rsidR="00D2218F" w:rsidRPr="0071186E" w:rsidRDefault="00D2218F" w:rsidP="001E6FC4">
      <w:pPr>
        <w:pStyle w:val="Titre6"/>
        <w:ind w:hanging="720"/>
        <w:rPr>
          <w:lang w:val="en-CA" w:bidi="en-CA"/>
        </w:rPr>
      </w:pPr>
      <w:bookmarkStart w:id="18" w:name="_Toc109310857"/>
      <w:r w:rsidRPr="0071186E">
        <w:rPr>
          <w:lang w:val="en-CA" w:bidi="en-CA"/>
        </w:rPr>
        <w:lastRenderedPageBreak/>
        <w:t>Mandatory content</w:t>
      </w:r>
      <w:bookmarkEnd w:id="18"/>
    </w:p>
    <w:p w14:paraId="7BF5BC91" w14:textId="7B43AF5A" w:rsidR="00D2218F" w:rsidRPr="0071186E" w:rsidRDefault="00D2218F" w:rsidP="00034B50">
      <w:pPr>
        <w:pStyle w:val="SimpleL1"/>
        <w:rPr>
          <w:lang w:val="en-CA" w:bidi="en-CA"/>
        </w:rPr>
      </w:pPr>
      <w:r w:rsidRPr="0071186E">
        <w:rPr>
          <w:lang w:val="en-CA" w:bidi="en-CA"/>
        </w:rPr>
        <w:t xml:space="preserve">An examination of the Agreement and </w:t>
      </w:r>
      <w:r w:rsidR="005C3011">
        <w:rPr>
          <w:lang w:val="en-CA" w:bidi="en-CA"/>
        </w:rPr>
        <w:t>its schedules reveals that the p</w:t>
      </w:r>
      <w:r w:rsidRPr="0071186E">
        <w:rPr>
          <w:lang w:val="en-CA" w:bidi="en-CA"/>
        </w:rPr>
        <w:t xml:space="preserve">arties have provided for </w:t>
      </w:r>
      <w:r w:rsidR="005C3011">
        <w:rPr>
          <w:lang w:val="en-CA" w:bidi="en-CA"/>
        </w:rPr>
        <w:t>all of the mandatory elements of</w:t>
      </w:r>
      <w:r w:rsidRPr="0071186E">
        <w:rPr>
          <w:lang w:val="en-CA" w:bidi="en-CA"/>
        </w:rPr>
        <w:t xml:space="preserve"> </w:t>
      </w:r>
      <w:r w:rsidR="00707DF2">
        <w:rPr>
          <w:lang w:val="en-CA" w:bidi="en-CA"/>
        </w:rPr>
        <w:t>subsection</w:t>
      </w:r>
      <w:r w:rsidR="00707DF2" w:rsidRPr="0071186E">
        <w:rPr>
          <w:lang w:val="en-CA" w:bidi="en-CA"/>
        </w:rPr>
        <w:t xml:space="preserve"> </w:t>
      </w:r>
      <w:r w:rsidRPr="0071186E">
        <w:rPr>
          <w:lang w:val="en-CA" w:bidi="en-CA"/>
        </w:rPr>
        <w:t>715.34(1) Cr.</w:t>
      </w:r>
      <w:r w:rsidR="00C2118D">
        <w:rPr>
          <w:lang w:val="en-CA" w:bidi="en-CA"/>
        </w:rPr>
        <w:t> </w:t>
      </w:r>
      <w:r w:rsidRPr="0071186E">
        <w:rPr>
          <w:lang w:val="en-CA" w:bidi="en-CA"/>
        </w:rPr>
        <w:t xml:space="preserve">C. A review of each </w:t>
      </w:r>
      <w:r w:rsidR="00C2118D">
        <w:rPr>
          <w:lang w:val="en-CA" w:bidi="en-CA"/>
        </w:rPr>
        <w:t>paragraph</w:t>
      </w:r>
      <w:r w:rsidR="00C2118D" w:rsidRPr="0071186E">
        <w:rPr>
          <w:lang w:val="en-CA" w:bidi="en-CA"/>
        </w:rPr>
        <w:t xml:space="preserve"> </w:t>
      </w:r>
      <w:r w:rsidRPr="0071186E">
        <w:rPr>
          <w:lang w:val="en-CA" w:bidi="en-CA"/>
        </w:rPr>
        <w:t>will demonstrate this. According to the above provision, the Agreement must include</w:t>
      </w:r>
      <w:r w:rsidR="006539C6" w:rsidRPr="0071186E">
        <w:rPr>
          <w:lang w:val="en-CA" w:bidi="en-CA"/>
        </w:rPr>
        <w:t xml:space="preserve"> the following elements</w:t>
      </w:r>
      <w:r w:rsidRPr="0071186E">
        <w:rPr>
          <w:lang w:val="en-CA" w:bidi="en-CA"/>
        </w:rPr>
        <w:t>:</w:t>
      </w:r>
    </w:p>
    <w:p w14:paraId="1D500EBF" w14:textId="77777777" w:rsidR="00D2218F" w:rsidRPr="00EA54DA" w:rsidRDefault="00D2218F" w:rsidP="00313DEB">
      <w:pPr>
        <w:numPr>
          <w:ilvl w:val="0"/>
          <w:numId w:val="25"/>
        </w:numPr>
        <w:tabs>
          <w:tab w:val="left" w:pos="900"/>
        </w:tabs>
        <w:ind w:left="900" w:right="2"/>
        <w:jc w:val="both"/>
        <w:rPr>
          <w:rFonts w:eastAsia="Arial"/>
          <w:i/>
          <w:color w:val="181816"/>
          <w:szCs w:val="24"/>
          <w:lang w:val="en-CA" w:eastAsia="en-US" w:bidi="en-CA"/>
        </w:rPr>
      </w:pPr>
      <w:r w:rsidRPr="00EA54DA">
        <w:rPr>
          <w:rFonts w:eastAsia="Arial"/>
          <w:i/>
          <w:color w:val="181816"/>
          <w:szCs w:val="24"/>
          <w:lang w:val="en-CA" w:eastAsia="en-US" w:bidi="en-CA"/>
        </w:rPr>
        <w:t>a statement of facts related to the offence that the organization is alleged to have committed and an undertaking by the organization not to make or condone any public statement that contradicts those facts</w:t>
      </w:r>
    </w:p>
    <w:p w14:paraId="235289D5" w14:textId="77777777" w:rsidR="003F60D0" w:rsidRPr="0071186E" w:rsidRDefault="003F60D0" w:rsidP="00D2218F">
      <w:pPr>
        <w:spacing w:line="247" w:lineRule="auto"/>
        <w:ind w:left="896" w:right="596" w:firstLine="3"/>
        <w:rPr>
          <w:sz w:val="22"/>
          <w:szCs w:val="22"/>
          <w:lang w:val="en-CA" w:bidi="en-CA"/>
        </w:rPr>
      </w:pPr>
    </w:p>
    <w:p w14:paraId="307E7F0E" w14:textId="34192928" w:rsidR="00D2218F" w:rsidRPr="0071186E" w:rsidRDefault="005C3011" w:rsidP="00034B50">
      <w:pPr>
        <w:pStyle w:val="SimpleL1"/>
        <w:rPr>
          <w:lang w:val="en-CA" w:bidi="en-CA"/>
        </w:rPr>
      </w:pPr>
      <w:r>
        <w:rPr>
          <w:lang w:val="en-CA" w:bidi="en-CA"/>
        </w:rPr>
        <w:t>The s</w:t>
      </w:r>
      <w:r w:rsidR="00540F45" w:rsidRPr="0071186E">
        <w:rPr>
          <w:lang w:val="en-CA" w:bidi="en-CA"/>
        </w:rPr>
        <w:t>tatement o</w:t>
      </w:r>
      <w:r>
        <w:rPr>
          <w:lang w:val="en-CA" w:bidi="en-CA"/>
        </w:rPr>
        <w:t>f f</w:t>
      </w:r>
      <w:r w:rsidR="00540F45" w:rsidRPr="0071186E">
        <w:rPr>
          <w:lang w:val="en-CA" w:bidi="en-CA"/>
        </w:rPr>
        <w:t xml:space="preserve">acts relating to the offences with which the Organizations are charged can be found in Schedule B. </w:t>
      </w:r>
      <w:r w:rsidR="00813753">
        <w:rPr>
          <w:lang w:val="en-CA" w:bidi="en-CA"/>
        </w:rPr>
        <w:t>I</w:t>
      </w:r>
      <w:r w:rsidR="00813753" w:rsidRPr="0071186E">
        <w:rPr>
          <w:lang w:val="en-CA" w:bidi="en-CA"/>
        </w:rPr>
        <w:t>n the first paragraph of the Agreement</w:t>
      </w:r>
      <w:r w:rsidR="00813753">
        <w:rPr>
          <w:lang w:val="en-CA" w:bidi="en-CA"/>
        </w:rPr>
        <w:t>,</w:t>
      </w:r>
      <w:r w:rsidR="00813753" w:rsidRPr="0071186E">
        <w:rPr>
          <w:lang w:val="en-CA" w:bidi="en-CA"/>
        </w:rPr>
        <w:t xml:space="preserve"> </w:t>
      </w:r>
      <w:r w:rsidR="00813753">
        <w:rPr>
          <w:lang w:val="en-CA" w:bidi="en-CA"/>
        </w:rPr>
        <w:t>t</w:t>
      </w:r>
      <w:r w:rsidR="00540F45" w:rsidRPr="0071186E">
        <w:rPr>
          <w:lang w:val="en-CA" w:bidi="en-CA"/>
        </w:rPr>
        <w:t xml:space="preserve">he Organizations acknowledge that this statement is true and accurate and </w:t>
      </w:r>
      <w:r w:rsidR="006539C6" w:rsidRPr="0071186E">
        <w:rPr>
          <w:lang w:val="en-CA" w:bidi="en-CA"/>
        </w:rPr>
        <w:t xml:space="preserve">constitutes a fair representation of </w:t>
      </w:r>
      <w:r w:rsidR="00540F45" w:rsidRPr="0071186E">
        <w:rPr>
          <w:lang w:val="en-CA" w:bidi="en-CA"/>
        </w:rPr>
        <w:t>the information of which they are aware. In paragraph</w:t>
      </w:r>
      <w:r w:rsidR="003F60D0" w:rsidRPr="0071186E">
        <w:rPr>
          <w:lang w:val="en-CA" w:bidi="en-CA"/>
        </w:rPr>
        <w:t> </w:t>
      </w:r>
      <w:r w:rsidR="00540F45" w:rsidRPr="0071186E">
        <w:rPr>
          <w:lang w:val="en-CA" w:bidi="en-CA"/>
        </w:rPr>
        <w:t xml:space="preserve">2 of the Agreement, the Organizations </w:t>
      </w:r>
      <w:r w:rsidR="006539C6" w:rsidRPr="0071186E">
        <w:rPr>
          <w:lang w:val="en-CA" w:bidi="en-CA"/>
        </w:rPr>
        <w:t xml:space="preserve">undertake </w:t>
      </w:r>
      <w:r w:rsidR="00540F45" w:rsidRPr="0071186E">
        <w:rPr>
          <w:lang w:val="en-CA" w:bidi="en-CA"/>
        </w:rPr>
        <w:t xml:space="preserve">not to make or condone any public statement that contradicts the Statement of Facts, whether made by the Organizations or any affiliate of SNCLG or their respective representatives, or by any former employee, with the exception of </w:t>
      </w:r>
      <w:r w:rsidR="006539C6" w:rsidRPr="0071186E">
        <w:rPr>
          <w:lang w:val="en-CA" w:bidi="en-CA"/>
        </w:rPr>
        <w:t xml:space="preserve">representations </w:t>
      </w:r>
      <w:r w:rsidR="00540F45" w:rsidRPr="0071186E">
        <w:rPr>
          <w:lang w:val="en-CA" w:bidi="en-CA"/>
        </w:rPr>
        <w:t xml:space="preserve">made in </w:t>
      </w:r>
      <w:r w:rsidR="006539C6" w:rsidRPr="0071186E">
        <w:rPr>
          <w:lang w:val="en-CA" w:bidi="en-CA"/>
        </w:rPr>
        <w:t xml:space="preserve">the context of </w:t>
      </w:r>
      <w:r w:rsidR="00540F45" w:rsidRPr="0071186E">
        <w:rPr>
          <w:lang w:val="en-CA" w:bidi="en-CA"/>
        </w:rPr>
        <w:t xml:space="preserve">legal proceedings or before a court of law. Paragraphs 3 and 4 of the Agreement specify the procedure that applies if this undertaking is breached and </w:t>
      </w:r>
      <w:r w:rsidR="00EA54DA">
        <w:rPr>
          <w:lang w:val="en-CA" w:bidi="en-CA"/>
        </w:rPr>
        <w:t xml:space="preserve">the </w:t>
      </w:r>
      <w:r w:rsidR="00813753">
        <w:rPr>
          <w:lang w:val="en-CA" w:bidi="en-CA"/>
        </w:rPr>
        <w:t xml:space="preserve">manner in which </w:t>
      </w:r>
      <w:r w:rsidR="00540F45" w:rsidRPr="0071186E">
        <w:rPr>
          <w:lang w:val="en-CA" w:bidi="en-CA"/>
        </w:rPr>
        <w:t>the Organizations</w:t>
      </w:r>
      <w:r w:rsidR="00813753">
        <w:rPr>
          <w:lang w:val="en-CA" w:bidi="en-CA"/>
        </w:rPr>
        <w:t xml:space="preserve"> will communicate</w:t>
      </w:r>
      <w:r w:rsidR="00540F45" w:rsidRPr="0071186E">
        <w:rPr>
          <w:lang w:val="en-CA" w:bidi="en-CA"/>
        </w:rPr>
        <w:t>.</w:t>
      </w:r>
    </w:p>
    <w:p w14:paraId="7FDD0B48" w14:textId="77777777" w:rsidR="00540F45" w:rsidRPr="00EA54DA" w:rsidRDefault="00540F45" w:rsidP="00313DEB">
      <w:pPr>
        <w:numPr>
          <w:ilvl w:val="0"/>
          <w:numId w:val="25"/>
        </w:numPr>
        <w:tabs>
          <w:tab w:val="left" w:pos="900"/>
        </w:tabs>
        <w:ind w:left="900" w:right="2"/>
        <w:jc w:val="both"/>
        <w:rPr>
          <w:rFonts w:eastAsia="Arial"/>
          <w:i/>
          <w:color w:val="181816"/>
          <w:szCs w:val="24"/>
          <w:lang w:val="en-CA" w:eastAsia="en-US" w:bidi="en-CA"/>
        </w:rPr>
      </w:pPr>
      <w:r w:rsidRPr="00EA54DA">
        <w:rPr>
          <w:rFonts w:eastAsia="Arial"/>
          <w:i/>
          <w:color w:val="181816"/>
          <w:szCs w:val="24"/>
          <w:lang w:val="en-CA" w:eastAsia="en-US" w:bidi="en-CA"/>
        </w:rPr>
        <w:t>the organization’s admission of responsibility for the act or omission that forms the basis of the offence</w:t>
      </w:r>
    </w:p>
    <w:p w14:paraId="5E06C922" w14:textId="77777777" w:rsidR="00540F45" w:rsidRPr="00EA54DA" w:rsidRDefault="00540F45" w:rsidP="00540F45">
      <w:pPr>
        <w:widowControl w:val="0"/>
        <w:autoSpaceDE w:val="0"/>
        <w:autoSpaceDN w:val="0"/>
        <w:spacing w:before="9"/>
        <w:rPr>
          <w:rFonts w:eastAsia="Arial" w:cs="Arial"/>
          <w:i/>
          <w:szCs w:val="24"/>
          <w:lang w:val="en-CA" w:eastAsia="en-US"/>
        </w:rPr>
      </w:pPr>
    </w:p>
    <w:p w14:paraId="455F007B" w14:textId="444CA59F" w:rsidR="00540F45" w:rsidRPr="00EA54DA" w:rsidRDefault="00540F45" w:rsidP="00EA54DA">
      <w:pPr>
        <w:pStyle w:val="SimpleL1"/>
        <w:rPr>
          <w:rFonts w:eastAsia="Arial"/>
          <w:color w:val="161816"/>
          <w:szCs w:val="24"/>
          <w:lang w:val="en-CA" w:eastAsia="en-US"/>
        </w:rPr>
      </w:pPr>
      <w:r w:rsidRPr="00EA54DA">
        <w:rPr>
          <w:rFonts w:eastAsia="Arial"/>
          <w:color w:val="161816"/>
          <w:w w:val="110"/>
          <w:szCs w:val="24"/>
          <w:lang w:val="en-CA" w:eastAsia="en-US" w:bidi="en-CA"/>
        </w:rPr>
        <w:t xml:space="preserve">In </w:t>
      </w:r>
      <w:r w:rsidRPr="00EA54DA">
        <w:rPr>
          <w:szCs w:val="24"/>
          <w:lang w:val="en-CA" w:bidi="en-CA"/>
        </w:rPr>
        <w:t>paragraph</w:t>
      </w:r>
      <w:r w:rsidRPr="00EA54DA">
        <w:rPr>
          <w:rFonts w:eastAsia="Arial"/>
          <w:color w:val="161816"/>
          <w:w w:val="110"/>
          <w:szCs w:val="24"/>
          <w:lang w:val="en-CA" w:eastAsia="en-US" w:bidi="en-CA"/>
        </w:rPr>
        <w:t xml:space="preserve"> 5 of the Agreement, the Organizations </w:t>
      </w:r>
      <w:r w:rsidR="00EA54DA">
        <w:rPr>
          <w:rFonts w:eastAsia="Arial"/>
          <w:color w:val="161816"/>
          <w:w w:val="110"/>
          <w:szCs w:val="24"/>
          <w:lang w:val="en-CA" w:eastAsia="en-US" w:bidi="en-CA"/>
        </w:rPr>
        <w:t>declare</w:t>
      </w:r>
      <w:r w:rsidRPr="00EA54DA">
        <w:rPr>
          <w:rFonts w:eastAsia="Arial"/>
          <w:color w:val="161816"/>
          <w:w w:val="110"/>
          <w:szCs w:val="24"/>
          <w:lang w:val="en-CA" w:eastAsia="en-US" w:bidi="en-CA"/>
        </w:rPr>
        <w:t xml:space="preserve"> that they are responsible for the acts or omissions described in the Statement of Facts</w:t>
      </w:r>
      <w:r w:rsidR="003F213C">
        <w:rPr>
          <w:rFonts w:eastAsia="Arial"/>
          <w:color w:val="161816"/>
          <w:w w:val="110"/>
          <w:szCs w:val="24"/>
          <w:lang w:val="en-CA" w:eastAsia="en-US" w:bidi="en-CA"/>
        </w:rPr>
        <w:t>, which</w:t>
      </w:r>
      <w:r w:rsidRPr="00EA54DA">
        <w:rPr>
          <w:rFonts w:eastAsia="Arial"/>
          <w:color w:val="161816"/>
          <w:w w:val="110"/>
          <w:szCs w:val="24"/>
          <w:lang w:val="en-CA" w:eastAsia="en-US" w:bidi="en-CA"/>
        </w:rPr>
        <w:t xml:space="preserve"> form the basis of the offences charged.</w:t>
      </w:r>
    </w:p>
    <w:p w14:paraId="68A2546F" w14:textId="77777777" w:rsidR="00540F45" w:rsidRPr="00EA54DA" w:rsidRDefault="00540F45" w:rsidP="00313DEB">
      <w:pPr>
        <w:numPr>
          <w:ilvl w:val="0"/>
          <w:numId w:val="25"/>
        </w:numPr>
        <w:tabs>
          <w:tab w:val="left" w:pos="900"/>
        </w:tabs>
        <w:ind w:left="900" w:right="2"/>
        <w:jc w:val="both"/>
        <w:rPr>
          <w:rFonts w:eastAsia="Arial"/>
          <w:i/>
          <w:color w:val="181816"/>
          <w:szCs w:val="24"/>
          <w:lang w:val="en-CA" w:eastAsia="en-US" w:bidi="en-CA"/>
        </w:rPr>
      </w:pPr>
      <w:r w:rsidRPr="00EA54DA">
        <w:rPr>
          <w:rFonts w:eastAsia="Arial"/>
          <w:i/>
          <w:color w:val="181816"/>
          <w:szCs w:val="24"/>
          <w:lang w:val="en-CA" w:eastAsia="en-US" w:bidi="en-CA"/>
        </w:rPr>
        <w:t xml:space="preserve">an indication of the obligation for the organization to provide any other information that will assist in identifying any person involved in the act or omission, or any wrongdoing related to that act or omission, that the organization becomes aware of, or can obtain through reasonable efforts, after the agreement has been entered into </w:t>
      </w:r>
    </w:p>
    <w:p w14:paraId="368E19CA" w14:textId="77777777" w:rsidR="00540F45" w:rsidRPr="0071186E" w:rsidRDefault="00540F45" w:rsidP="00540F45">
      <w:pPr>
        <w:widowControl w:val="0"/>
        <w:tabs>
          <w:tab w:val="left" w:pos="910"/>
        </w:tabs>
        <w:autoSpaceDE w:val="0"/>
        <w:autoSpaceDN w:val="0"/>
        <w:spacing w:line="252" w:lineRule="auto"/>
        <w:ind w:left="911" w:right="174"/>
        <w:jc w:val="both"/>
        <w:rPr>
          <w:rFonts w:eastAsia="Arial" w:cs="Arial"/>
          <w:i/>
          <w:sz w:val="22"/>
          <w:szCs w:val="22"/>
          <w:lang w:val="en-CA" w:eastAsia="en-US"/>
        </w:rPr>
      </w:pPr>
    </w:p>
    <w:p w14:paraId="048030B4" w14:textId="19D6287F" w:rsidR="00540F45" w:rsidRPr="0071186E" w:rsidRDefault="009A763C" w:rsidP="00034B50">
      <w:pPr>
        <w:pStyle w:val="SimpleL1"/>
        <w:rPr>
          <w:lang w:val="en-CA" w:bidi="en-CA"/>
        </w:rPr>
      </w:pPr>
      <w:r>
        <w:rPr>
          <w:lang w:val="en-CA" w:bidi="en-CA"/>
        </w:rPr>
        <w:t>I</w:t>
      </w:r>
      <w:r w:rsidRPr="0071186E">
        <w:rPr>
          <w:lang w:val="en-CA" w:bidi="en-CA"/>
        </w:rPr>
        <w:t xml:space="preserve">n paragraph 46 of the Agreement, </w:t>
      </w:r>
      <w:r>
        <w:rPr>
          <w:lang w:val="en-CA" w:bidi="en-CA"/>
        </w:rPr>
        <w:t>t</w:t>
      </w:r>
      <w:r w:rsidR="00EA54DA">
        <w:rPr>
          <w:lang w:val="en-CA" w:bidi="en-CA"/>
        </w:rPr>
        <w:t xml:space="preserve">he Organizations </w:t>
      </w:r>
      <w:r w:rsidR="00125E72" w:rsidRPr="0071186E">
        <w:rPr>
          <w:lang w:val="en-CA" w:bidi="en-CA"/>
        </w:rPr>
        <w:t>acknowledge</w:t>
      </w:r>
      <w:r w:rsidR="00540F45" w:rsidRPr="0071186E">
        <w:rPr>
          <w:lang w:val="en-CA" w:bidi="en-CA"/>
        </w:rPr>
        <w:t xml:space="preserve"> that they have the obligation to </w:t>
      </w:r>
      <w:r w:rsidR="00D46D9D" w:rsidRPr="0071186E">
        <w:rPr>
          <w:lang w:val="en-CA" w:bidi="en-CA"/>
        </w:rPr>
        <w:t xml:space="preserve">disclose to </w:t>
      </w:r>
      <w:r w:rsidR="00540F45" w:rsidRPr="0071186E">
        <w:rPr>
          <w:lang w:val="en-CA" w:bidi="en-CA"/>
        </w:rPr>
        <w:t xml:space="preserve">the Prosecutor any other information </w:t>
      </w:r>
      <w:r>
        <w:rPr>
          <w:lang w:val="en-CA" w:bidi="en-CA"/>
        </w:rPr>
        <w:t>that is brought to their attention or can be obtained through reasonable efforts after the conclusion of the Agreement, which</w:t>
      </w:r>
      <w:r w:rsidRPr="0071186E">
        <w:rPr>
          <w:lang w:val="en-CA" w:bidi="en-CA"/>
        </w:rPr>
        <w:t xml:space="preserve"> </w:t>
      </w:r>
      <w:r w:rsidR="00540F45" w:rsidRPr="0071186E">
        <w:rPr>
          <w:lang w:val="en-CA" w:bidi="en-CA"/>
        </w:rPr>
        <w:t>will assist in identifying any person</w:t>
      </w:r>
      <w:r>
        <w:rPr>
          <w:lang w:val="en-CA" w:bidi="en-CA"/>
        </w:rPr>
        <w:t>s</w:t>
      </w:r>
      <w:r w:rsidR="00540F45" w:rsidRPr="0071186E">
        <w:rPr>
          <w:lang w:val="en-CA" w:bidi="en-CA"/>
        </w:rPr>
        <w:t xml:space="preserve"> involved in the act</w:t>
      </w:r>
      <w:r w:rsidR="00D46D9D" w:rsidRPr="0071186E">
        <w:rPr>
          <w:lang w:val="en-CA" w:bidi="en-CA"/>
        </w:rPr>
        <w:t>s</w:t>
      </w:r>
      <w:r w:rsidR="00540F45" w:rsidRPr="0071186E">
        <w:rPr>
          <w:lang w:val="en-CA" w:bidi="en-CA"/>
        </w:rPr>
        <w:t xml:space="preserve"> or omission</w:t>
      </w:r>
      <w:r w:rsidR="00D46D9D" w:rsidRPr="0071186E">
        <w:rPr>
          <w:lang w:val="en-CA" w:bidi="en-CA"/>
        </w:rPr>
        <w:t>s</w:t>
      </w:r>
      <w:r w:rsidR="00540F45" w:rsidRPr="0071186E">
        <w:rPr>
          <w:lang w:val="en-CA" w:bidi="en-CA"/>
        </w:rPr>
        <w:t xml:space="preserve">, or </w:t>
      </w:r>
      <w:r w:rsidR="00D46D9D" w:rsidRPr="0071186E">
        <w:rPr>
          <w:lang w:val="en-CA" w:bidi="en-CA"/>
        </w:rPr>
        <w:t xml:space="preserve">in </w:t>
      </w:r>
      <w:r w:rsidR="00540F45" w:rsidRPr="0071186E">
        <w:rPr>
          <w:lang w:val="en-CA" w:bidi="en-CA"/>
        </w:rPr>
        <w:t xml:space="preserve">any wrongdoing related to </w:t>
      </w:r>
      <w:r w:rsidR="00D46D9D" w:rsidRPr="0071186E">
        <w:rPr>
          <w:lang w:val="en-CA" w:bidi="en-CA"/>
        </w:rPr>
        <w:t xml:space="preserve">the </w:t>
      </w:r>
      <w:r w:rsidR="00540F45" w:rsidRPr="0071186E">
        <w:rPr>
          <w:lang w:val="en-CA" w:bidi="en-CA"/>
        </w:rPr>
        <w:t>act</w:t>
      </w:r>
      <w:r w:rsidR="00D46D9D" w:rsidRPr="0071186E">
        <w:rPr>
          <w:lang w:val="en-CA" w:bidi="en-CA"/>
        </w:rPr>
        <w:t>s</w:t>
      </w:r>
      <w:r w:rsidR="00540F45" w:rsidRPr="0071186E">
        <w:rPr>
          <w:lang w:val="en-CA" w:bidi="en-CA"/>
        </w:rPr>
        <w:t xml:space="preserve"> or omission</w:t>
      </w:r>
      <w:r w:rsidR="00D46D9D" w:rsidRPr="0071186E">
        <w:rPr>
          <w:lang w:val="en-CA" w:bidi="en-CA"/>
        </w:rPr>
        <w:t xml:space="preserve">s relating to </w:t>
      </w:r>
      <w:r w:rsidR="00540F45" w:rsidRPr="0071186E">
        <w:rPr>
          <w:lang w:val="en-CA" w:bidi="en-CA"/>
        </w:rPr>
        <w:t>the offences</w:t>
      </w:r>
      <w:r w:rsidR="00C579DC">
        <w:rPr>
          <w:lang w:val="en-CA" w:bidi="en-CA"/>
        </w:rPr>
        <w:t xml:space="preserve"> charged</w:t>
      </w:r>
      <w:r w:rsidR="00C579DC">
        <w:rPr>
          <w:rFonts w:eastAsia="Arial"/>
          <w:color w:val="181816"/>
          <w:szCs w:val="24"/>
          <w:lang w:val="en-CA" w:eastAsia="en-US" w:bidi="en-CA"/>
        </w:rPr>
        <w:t>.</w:t>
      </w:r>
    </w:p>
    <w:p w14:paraId="44D92675" w14:textId="77777777" w:rsidR="00540F45" w:rsidRPr="00FB215A" w:rsidRDefault="00540F45" w:rsidP="00313DEB">
      <w:pPr>
        <w:numPr>
          <w:ilvl w:val="0"/>
          <w:numId w:val="25"/>
        </w:numPr>
        <w:tabs>
          <w:tab w:val="left" w:pos="900"/>
        </w:tabs>
        <w:ind w:left="900" w:right="2"/>
        <w:jc w:val="both"/>
        <w:rPr>
          <w:rFonts w:eastAsia="Arial"/>
          <w:i/>
          <w:color w:val="181816"/>
          <w:szCs w:val="24"/>
          <w:lang w:val="en-CA" w:eastAsia="en-US" w:bidi="en-CA"/>
        </w:rPr>
      </w:pPr>
      <w:r w:rsidRPr="00FB215A">
        <w:rPr>
          <w:rFonts w:eastAsia="Arial"/>
          <w:i/>
          <w:color w:val="181816"/>
          <w:szCs w:val="24"/>
          <w:lang w:val="en-CA" w:eastAsia="en-US" w:bidi="en-CA"/>
        </w:rPr>
        <w:t xml:space="preserve">an indication of the obligation for the organization to cooperate in any investigation, prosecution or other proceeding in Canada — or elsewhere if the </w:t>
      </w:r>
      <w:r w:rsidRPr="00FB215A">
        <w:rPr>
          <w:rFonts w:eastAsia="Arial"/>
          <w:i/>
          <w:color w:val="181816"/>
          <w:szCs w:val="24"/>
          <w:lang w:val="en-CA" w:eastAsia="en-US" w:bidi="en-CA"/>
        </w:rPr>
        <w:lastRenderedPageBreak/>
        <w:t xml:space="preserve">prosecutor considers it appropriate — resulting from the act or omission, including by providing information or testimony </w:t>
      </w:r>
    </w:p>
    <w:p w14:paraId="59A531C4" w14:textId="77777777" w:rsidR="00540F45" w:rsidRPr="0071186E" w:rsidRDefault="00540F45" w:rsidP="00540F45">
      <w:pPr>
        <w:widowControl w:val="0"/>
        <w:tabs>
          <w:tab w:val="left" w:pos="910"/>
        </w:tabs>
        <w:autoSpaceDE w:val="0"/>
        <w:autoSpaceDN w:val="0"/>
        <w:spacing w:line="252" w:lineRule="auto"/>
        <w:ind w:left="911" w:right="174"/>
        <w:jc w:val="both"/>
        <w:rPr>
          <w:rFonts w:eastAsia="Arial" w:cs="Arial"/>
          <w:i/>
          <w:color w:val="161816"/>
          <w:w w:val="105"/>
          <w:sz w:val="23"/>
          <w:szCs w:val="22"/>
          <w:lang w:val="en-CA" w:eastAsia="en-US" w:bidi="en-CA"/>
        </w:rPr>
      </w:pPr>
    </w:p>
    <w:p w14:paraId="31730F2F" w14:textId="4318A178" w:rsidR="00540F45" w:rsidRPr="0071186E" w:rsidRDefault="00540F45" w:rsidP="00034B50">
      <w:pPr>
        <w:pStyle w:val="SimpleL1"/>
        <w:rPr>
          <w:lang w:val="en-CA" w:bidi="en-CA"/>
        </w:rPr>
      </w:pPr>
      <w:r w:rsidRPr="0071186E">
        <w:rPr>
          <w:lang w:val="en-CA" w:bidi="en-CA"/>
        </w:rPr>
        <w:t xml:space="preserve">In paragraph 47 of the Agreement, the Organizations </w:t>
      </w:r>
      <w:r w:rsidR="00D46D9D" w:rsidRPr="0071186E">
        <w:rPr>
          <w:lang w:val="en-CA" w:bidi="en-CA"/>
        </w:rPr>
        <w:t xml:space="preserve">acknowledge their </w:t>
      </w:r>
      <w:r w:rsidRPr="0071186E">
        <w:rPr>
          <w:lang w:val="en-CA" w:bidi="en-CA"/>
        </w:rPr>
        <w:t xml:space="preserve">obligation to cooperate in any investigation, prosecution or other proceeding in Canada or elsewhere </w:t>
      </w:r>
      <w:r w:rsidR="00722050">
        <w:rPr>
          <w:lang w:val="en-CA" w:bidi="en-CA"/>
        </w:rPr>
        <w:t>resulting</w:t>
      </w:r>
      <w:r w:rsidR="00033E7E" w:rsidRPr="0071186E">
        <w:rPr>
          <w:lang w:val="en-CA" w:bidi="en-CA"/>
        </w:rPr>
        <w:t xml:space="preserve"> </w:t>
      </w:r>
      <w:r w:rsidRPr="0071186E">
        <w:rPr>
          <w:lang w:val="en-CA" w:bidi="en-CA"/>
        </w:rPr>
        <w:t xml:space="preserve">from </w:t>
      </w:r>
      <w:r w:rsidR="00D46D9D" w:rsidRPr="0071186E">
        <w:rPr>
          <w:lang w:val="en-CA" w:bidi="en-CA"/>
        </w:rPr>
        <w:t xml:space="preserve">the </w:t>
      </w:r>
      <w:r w:rsidRPr="0071186E">
        <w:rPr>
          <w:lang w:val="en-CA" w:bidi="en-CA"/>
        </w:rPr>
        <w:t>act</w:t>
      </w:r>
      <w:r w:rsidR="00D46D9D" w:rsidRPr="0071186E">
        <w:rPr>
          <w:lang w:val="en-CA" w:bidi="en-CA"/>
        </w:rPr>
        <w:t>s</w:t>
      </w:r>
      <w:r w:rsidRPr="0071186E">
        <w:rPr>
          <w:lang w:val="en-CA" w:bidi="en-CA"/>
        </w:rPr>
        <w:t xml:space="preserve"> or omission</w:t>
      </w:r>
      <w:r w:rsidR="00D46D9D" w:rsidRPr="0071186E">
        <w:rPr>
          <w:lang w:val="en-CA" w:bidi="en-CA"/>
        </w:rPr>
        <w:t>s</w:t>
      </w:r>
      <w:r w:rsidRPr="0071186E">
        <w:rPr>
          <w:lang w:val="en-CA" w:bidi="en-CA"/>
        </w:rPr>
        <w:t xml:space="preserve"> relating to the offences charged, if the Prosecutor so requires, </w:t>
      </w:r>
      <w:r w:rsidR="00D46D9D" w:rsidRPr="0071186E">
        <w:rPr>
          <w:lang w:val="en-CA" w:bidi="en-CA"/>
        </w:rPr>
        <w:t xml:space="preserve">including </w:t>
      </w:r>
      <w:r w:rsidRPr="0071186E">
        <w:rPr>
          <w:lang w:val="en-CA" w:bidi="en-CA"/>
        </w:rPr>
        <w:t>by providing information or testimony.</w:t>
      </w:r>
    </w:p>
    <w:p w14:paraId="261A55E4" w14:textId="77777777" w:rsidR="00540F45" w:rsidRPr="00FB215A" w:rsidRDefault="00540F45" w:rsidP="00313DEB">
      <w:pPr>
        <w:numPr>
          <w:ilvl w:val="0"/>
          <w:numId w:val="25"/>
        </w:numPr>
        <w:tabs>
          <w:tab w:val="left" w:pos="900"/>
        </w:tabs>
        <w:ind w:left="900" w:right="2"/>
        <w:jc w:val="both"/>
        <w:rPr>
          <w:rFonts w:eastAsia="Arial"/>
          <w:i/>
          <w:color w:val="181816"/>
          <w:szCs w:val="24"/>
          <w:lang w:val="en-CA" w:eastAsia="en-US" w:bidi="en-CA"/>
        </w:rPr>
      </w:pPr>
      <w:r w:rsidRPr="00FB215A">
        <w:rPr>
          <w:rFonts w:eastAsia="Arial"/>
          <w:i/>
          <w:color w:val="181816"/>
          <w:szCs w:val="24"/>
          <w:lang w:val="en-CA" w:eastAsia="en-US" w:bidi="en-CA"/>
        </w:rPr>
        <w:t xml:space="preserve">with respect to any property, benefit or advantage identified in the agreement that was obtained or derived directly or indirectly from the act or omission, an obligation for the organization to </w:t>
      </w:r>
    </w:p>
    <w:p w14:paraId="5B5DE12C" w14:textId="77777777" w:rsidR="00540F45" w:rsidRPr="00FB215A" w:rsidRDefault="00540F45" w:rsidP="00313DEB">
      <w:pPr>
        <w:widowControl w:val="0"/>
        <w:numPr>
          <w:ilvl w:val="1"/>
          <w:numId w:val="23"/>
        </w:numPr>
        <w:tabs>
          <w:tab w:val="left" w:pos="1194"/>
        </w:tabs>
        <w:autoSpaceDE w:val="0"/>
        <w:autoSpaceDN w:val="0"/>
        <w:spacing w:before="154" w:line="249" w:lineRule="auto"/>
        <w:ind w:right="414" w:firstLine="2"/>
        <w:jc w:val="both"/>
        <w:rPr>
          <w:rFonts w:eastAsia="Arial" w:cs="Arial"/>
          <w:szCs w:val="24"/>
          <w:lang w:val="en-CA" w:eastAsia="en-US"/>
        </w:rPr>
      </w:pPr>
      <w:r w:rsidRPr="00FB215A">
        <w:rPr>
          <w:rFonts w:eastAsia="Arial" w:cs="Arial"/>
          <w:i/>
          <w:color w:val="161816"/>
          <w:szCs w:val="24"/>
          <w:lang w:val="en-CA" w:eastAsia="en-US" w:bidi="en-CA"/>
        </w:rPr>
        <w:t>forfeit it to Her Majesty in right of Canada, to be disposed of in accordance with paragraph 4(1)(b.2) of the </w:t>
      </w:r>
      <w:r w:rsidRPr="00FB215A">
        <w:rPr>
          <w:rFonts w:eastAsia="Arial" w:cs="Arial"/>
          <w:i/>
          <w:iCs/>
          <w:color w:val="161816"/>
          <w:szCs w:val="24"/>
          <w:lang w:val="en-CA" w:eastAsia="en-US" w:bidi="en-CA"/>
        </w:rPr>
        <w:t>Seized Property Management Act</w:t>
      </w:r>
      <w:r w:rsidRPr="00FB215A">
        <w:rPr>
          <w:rFonts w:eastAsia="Arial" w:cs="Arial"/>
          <w:color w:val="161816"/>
          <w:szCs w:val="24"/>
          <w:lang w:val="en-CA" w:eastAsia="en-US" w:bidi="en-CA"/>
        </w:rPr>
        <w:t>,</w:t>
      </w:r>
    </w:p>
    <w:p w14:paraId="3B942A8E" w14:textId="77777777" w:rsidR="00540F45" w:rsidRPr="00FB215A" w:rsidRDefault="00540F45" w:rsidP="00313DEB">
      <w:pPr>
        <w:widowControl w:val="0"/>
        <w:numPr>
          <w:ilvl w:val="1"/>
          <w:numId w:val="23"/>
        </w:numPr>
        <w:tabs>
          <w:tab w:val="left" w:pos="1247"/>
        </w:tabs>
        <w:autoSpaceDE w:val="0"/>
        <w:autoSpaceDN w:val="0"/>
        <w:spacing w:before="6" w:line="249" w:lineRule="auto"/>
        <w:ind w:left="912" w:right="264" w:hanging="3"/>
        <w:jc w:val="both"/>
        <w:rPr>
          <w:szCs w:val="24"/>
          <w:lang w:val="en-CA" w:bidi="en-CA"/>
        </w:rPr>
      </w:pPr>
      <w:r w:rsidRPr="00FB215A">
        <w:rPr>
          <w:rFonts w:eastAsia="Arial" w:cs="Arial"/>
          <w:i/>
          <w:color w:val="161816"/>
          <w:szCs w:val="24"/>
          <w:lang w:val="en-CA" w:eastAsia="en-US" w:bidi="en-CA"/>
        </w:rPr>
        <w:t xml:space="preserve">forfeit it to Her Majesty in right of a province, to be disposed of as the Attorney General directs, or </w:t>
      </w:r>
    </w:p>
    <w:p w14:paraId="3E314DB2" w14:textId="77777777" w:rsidR="00540F45" w:rsidRPr="00FB215A" w:rsidRDefault="00540F45" w:rsidP="00313DEB">
      <w:pPr>
        <w:widowControl w:val="0"/>
        <w:numPr>
          <w:ilvl w:val="1"/>
          <w:numId w:val="23"/>
        </w:numPr>
        <w:tabs>
          <w:tab w:val="left" w:pos="1247"/>
        </w:tabs>
        <w:autoSpaceDE w:val="0"/>
        <w:autoSpaceDN w:val="0"/>
        <w:spacing w:before="6" w:line="249" w:lineRule="auto"/>
        <w:ind w:left="912" w:right="264" w:hanging="3"/>
        <w:jc w:val="both"/>
        <w:rPr>
          <w:szCs w:val="24"/>
          <w:lang w:val="en-CA" w:bidi="en-CA"/>
        </w:rPr>
      </w:pPr>
      <w:r w:rsidRPr="00FB215A">
        <w:rPr>
          <w:rFonts w:eastAsia="Arial"/>
          <w:i/>
          <w:color w:val="161816"/>
          <w:szCs w:val="24"/>
          <w:lang w:val="en-CA" w:eastAsia="en-US" w:bidi="en-CA"/>
        </w:rPr>
        <w:t>otherwise deal with it, as the prosecutor directs</w:t>
      </w:r>
    </w:p>
    <w:p w14:paraId="047E83C7" w14:textId="77777777" w:rsidR="00540F45" w:rsidRPr="0071186E" w:rsidRDefault="00540F45" w:rsidP="00540F45">
      <w:pPr>
        <w:widowControl w:val="0"/>
        <w:tabs>
          <w:tab w:val="left" w:pos="1247"/>
        </w:tabs>
        <w:autoSpaceDE w:val="0"/>
        <w:autoSpaceDN w:val="0"/>
        <w:spacing w:before="6" w:line="249" w:lineRule="auto"/>
        <w:ind w:left="912" w:right="264"/>
        <w:jc w:val="both"/>
        <w:rPr>
          <w:lang w:val="en-CA" w:bidi="en-CA"/>
        </w:rPr>
      </w:pPr>
    </w:p>
    <w:p w14:paraId="0492222B" w14:textId="32FE1EB0" w:rsidR="00540F45" w:rsidRPr="0071186E" w:rsidRDefault="00540F45" w:rsidP="00540F45">
      <w:pPr>
        <w:pStyle w:val="SimpleL1"/>
        <w:rPr>
          <w:lang w:val="en-CA" w:bidi="en-CA"/>
        </w:rPr>
      </w:pPr>
      <w:r w:rsidRPr="0071186E">
        <w:rPr>
          <w:lang w:val="en-CA" w:bidi="en-CA"/>
        </w:rPr>
        <w:t>Pursuant to paragraphs 1</w:t>
      </w:r>
      <w:r w:rsidR="00125E72">
        <w:rPr>
          <w:lang w:val="en-CA" w:bidi="en-CA"/>
        </w:rPr>
        <w:t>8 and 19 of the Agreement, the p</w:t>
      </w:r>
      <w:r w:rsidRPr="0071186E">
        <w:rPr>
          <w:lang w:val="en-CA" w:bidi="en-CA"/>
        </w:rPr>
        <w:t>arties agree that an amount of $2,490,721</w:t>
      </w:r>
      <w:r w:rsidR="00033E7E">
        <w:rPr>
          <w:lang w:val="en-CA" w:bidi="en-CA"/>
        </w:rPr>
        <w:t>,</w:t>
      </w:r>
      <w:r w:rsidRPr="0071186E">
        <w:rPr>
          <w:lang w:val="en-CA" w:bidi="en-CA"/>
        </w:rPr>
        <w:t xml:space="preserve"> </w:t>
      </w:r>
      <w:r w:rsidR="00125E72">
        <w:rPr>
          <w:lang w:val="en-CA" w:bidi="en-CA"/>
        </w:rPr>
        <w:t>correspond</w:t>
      </w:r>
      <w:r w:rsidR="00033E7E">
        <w:rPr>
          <w:lang w:val="en-CA" w:bidi="en-CA"/>
        </w:rPr>
        <w:t>ing</w:t>
      </w:r>
      <w:r w:rsidR="00125E72">
        <w:rPr>
          <w:lang w:val="en-CA" w:bidi="en-CA"/>
        </w:rPr>
        <w:t xml:space="preserve"> to the property, benefit or advantage</w:t>
      </w:r>
      <w:r w:rsidRPr="0071186E">
        <w:rPr>
          <w:lang w:val="en-CA" w:bidi="en-CA"/>
        </w:rPr>
        <w:t xml:space="preserve"> that the Organizations obtained or derived directly or indirectly from the ac</w:t>
      </w:r>
      <w:r w:rsidR="00125E72">
        <w:rPr>
          <w:lang w:val="en-CA" w:bidi="en-CA"/>
        </w:rPr>
        <w:t>ts or omissions set out in the statement of f</w:t>
      </w:r>
      <w:r w:rsidRPr="0071186E">
        <w:rPr>
          <w:lang w:val="en-CA" w:bidi="en-CA"/>
        </w:rPr>
        <w:t>acts and which are attributable to them</w:t>
      </w:r>
      <w:r w:rsidR="00033E7E">
        <w:rPr>
          <w:lang w:val="en-CA" w:bidi="en-CA"/>
        </w:rPr>
        <w:t>,</w:t>
      </w:r>
      <w:r w:rsidRPr="0071186E">
        <w:rPr>
          <w:lang w:val="en-CA" w:bidi="en-CA"/>
        </w:rPr>
        <w:t xml:space="preserve"> will be forfeited to Her Majesty in right of the province of Quebec, to be disposed of as directed by the Attorney General, in accordance with the </w:t>
      </w:r>
      <w:r w:rsidRPr="0071186E">
        <w:rPr>
          <w:i/>
          <w:lang w:val="en-CA" w:bidi="en-CA"/>
        </w:rPr>
        <w:t>Act respecting the forfeiture, administration and appropriate of proceeds and instruments of unlawful activity.</w:t>
      </w:r>
      <w:r w:rsidR="003F60D0" w:rsidRPr="0071186E">
        <w:rPr>
          <w:rStyle w:val="Appelnotedebasdep"/>
          <w:lang w:val="en-CA" w:bidi="en-CA"/>
        </w:rPr>
        <w:footnoteReference w:id="59"/>
      </w:r>
      <w:r w:rsidR="00033E7E">
        <w:rPr>
          <w:vertAlign w:val="superscript"/>
          <w:lang w:val="en-CA" w:bidi="en-CA"/>
        </w:rPr>
        <w:t xml:space="preserve"> </w:t>
      </w:r>
      <w:r w:rsidR="003F60D0" w:rsidRPr="0071186E">
        <w:rPr>
          <w:rStyle w:val="Appelnotedebasdep"/>
          <w:lang w:val="en-CA" w:bidi="en-CA"/>
        </w:rPr>
        <w:footnoteReference w:id="60"/>
      </w:r>
    </w:p>
    <w:p w14:paraId="753579ED" w14:textId="77777777" w:rsidR="00540F45" w:rsidRPr="00FB215A" w:rsidRDefault="00540F45" w:rsidP="00313DEB">
      <w:pPr>
        <w:numPr>
          <w:ilvl w:val="0"/>
          <w:numId w:val="25"/>
        </w:numPr>
        <w:tabs>
          <w:tab w:val="left" w:pos="900"/>
        </w:tabs>
        <w:ind w:left="900" w:right="2"/>
        <w:jc w:val="both"/>
        <w:rPr>
          <w:rFonts w:eastAsia="Arial"/>
          <w:i/>
          <w:color w:val="181816"/>
          <w:szCs w:val="24"/>
          <w:lang w:val="en-CA" w:eastAsia="en-US" w:bidi="en-CA"/>
        </w:rPr>
      </w:pPr>
      <w:r w:rsidRPr="00FB215A">
        <w:rPr>
          <w:rFonts w:eastAsia="Arial"/>
          <w:i/>
          <w:color w:val="181816"/>
          <w:szCs w:val="24"/>
          <w:lang w:val="en-CA" w:eastAsia="en-US" w:bidi="en-CA"/>
        </w:rPr>
        <w:t>an indication of the obligation for the organization to pay a penalty to the Receiver General or to the treasurer of a province, as the case may be, for each offence to which the agreement applies, the amount to be paid and any other terms respecting payment</w:t>
      </w:r>
    </w:p>
    <w:p w14:paraId="1F935CAE" w14:textId="77777777" w:rsidR="00540F45" w:rsidRPr="0071186E" w:rsidRDefault="00540F45" w:rsidP="00540F45">
      <w:pPr>
        <w:pStyle w:val="Paragraphedeliste"/>
        <w:widowControl w:val="0"/>
        <w:tabs>
          <w:tab w:val="left" w:pos="910"/>
        </w:tabs>
        <w:autoSpaceDE w:val="0"/>
        <w:autoSpaceDN w:val="0"/>
        <w:spacing w:line="254" w:lineRule="auto"/>
        <w:ind w:left="912" w:right="170"/>
        <w:jc w:val="both"/>
        <w:rPr>
          <w:i/>
          <w:color w:val="161616"/>
          <w:sz w:val="23"/>
          <w:lang w:val="en-CA"/>
        </w:rPr>
      </w:pPr>
    </w:p>
    <w:p w14:paraId="7357421E" w14:textId="59EC13C9" w:rsidR="00540F45" w:rsidRPr="0071186E" w:rsidRDefault="00540F45" w:rsidP="00540F45">
      <w:pPr>
        <w:pStyle w:val="SimpleL1"/>
        <w:rPr>
          <w:lang w:val="en-CA" w:bidi="en-CA"/>
        </w:rPr>
      </w:pPr>
      <w:r w:rsidRPr="0071186E">
        <w:rPr>
          <w:lang w:val="en-CA" w:bidi="en-CA"/>
        </w:rPr>
        <w:t>Paragraphs 20 to 22 indicate the Organizations’ obligation to pay a</w:t>
      </w:r>
      <w:r w:rsidR="0073692E">
        <w:rPr>
          <w:lang w:val="en-CA" w:bidi="en-CA"/>
        </w:rPr>
        <w:t xml:space="preserve"> penalty of</w:t>
      </w:r>
      <w:r w:rsidRPr="0071186E">
        <w:rPr>
          <w:lang w:val="en-CA" w:bidi="en-CA"/>
        </w:rPr>
        <w:t xml:space="preserve"> $18,135,135 in six equal installments of $3,022,522.50.</w:t>
      </w:r>
      <w:r w:rsidR="003F60D0" w:rsidRPr="0071186E">
        <w:rPr>
          <w:rStyle w:val="Appelnotedebasdep"/>
          <w:lang w:val="en-CA" w:bidi="en-CA"/>
        </w:rPr>
        <w:footnoteReference w:id="61"/>
      </w:r>
    </w:p>
    <w:p w14:paraId="759080F7" w14:textId="77777777" w:rsidR="00540F45" w:rsidRPr="00FB215A" w:rsidRDefault="00540F45" w:rsidP="00313DEB">
      <w:pPr>
        <w:numPr>
          <w:ilvl w:val="0"/>
          <w:numId w:val="25"/>
        </w:numPr>
        <w:tabs>
          <w:tab w:val="left" w:pos="900"/>
        </w:tabs>
        <w:spacing w:after="240"/>
        <w:ind w:left="900" w:right="2"/>
        <w:jc w:val="both"/>
        <w:rPr>
          <w:rFonts w:eastAsia="Arial"/>
          <w:i/>
          <w:color w:val="181816"/>
          <w:szCs w:val="24"/>
          <w:lang w:val="en-CA" w:eastAsia="en-US" w:bidi="en-CA"/>
        </w:rPr>
      </w:pPr>
      <w:r w:rsidRPr="00FB215A">
        <w:rPr>
          <w:rFonts w:eastAsia="Arial"/>
          <w:i/>
          <w:color w:val="181816"/>
          <w:szCs w:val="24"/>
          <w:lang w:val="en-CA" w:eastAsia="en-US" w:bidi="en-CA"/>
        </w:rPr>
        <w:t xml:space="preserve">an indication of any reparations, including restitution consistent with paragraph 738(1)(a) or (b), that the organization is required to make to a victim or a </w:t>
      </w:r>
      <w:r w:rsidRPr="00FB215A">
        <w:rPr>
          <w:rFonts w:eastAsia="Arial"/>
          <w:i/>
          <w:color w:val="181816"/>
          <w:szCs w:val="24"/>
          <w:lang w:val="en-CA" w:eastAsia="en-US" w:bidi="en-CA"/>
        </w:rPr>
        <w:lastRenderedPageBreak/>
        <w:t xml:space="preserve">statement by the prosecutor of the reasons why reparations to a victim are not appropriate in the circumstances and an indication of any measure required in lieu of reparations to a victim </w:t>
      </w:r>
    </w:p>
    <w:p w14:paraId="43B07E8A" w14:textId="50BFFBA8" w:rsidR="00540F45" w:rsidRPr="0071186E" w:rsidRDefault="00540F45" w:rsidP="00540F45">
      <w:pPr>
        <w:pStyle w:val="SimpleL1"/>
        <w:rPr>
          <w:lang w:val="en-CA" w:bidi="en-CA"/>
        </w:rPr>
      </w:pPr>
      <w:r w:rsidRPr="0071186E">
        <w:rPr>
          <w:lang w:val="en-CA" w:bidi="en-CA"/>
        </w:rPr>
        <w:t xml:space="preserve">As regards reparations for the harm caused to the victims, </w:t>
      </w:r>
      <w:r w:rsidR="00613F31" w:rsidRPr="0071186E">
        <w:rPr>
          <w:lang w:val="en-CA" w:bidi="en-CA"/>
        </w:rPr>
        <w:t>in paragraphs 23</w:t>
      </w:r>
      <w:r w:rsidR="00613F31">
        <w:rPr>
          <w:lang w:val="en-CA" w:bidi="en-CA"/>
        </w:rPr>
        <w:t>–</w:t>
      </w:r>
      <w:r w:rsidR="00613F31" w:rsidRPr="0071186E">
        <w:rPr>
          <w:lang w:val="en-CA" w:bidi="en-CA"/>
        </w:rPr>
        <w:t>24 of the Agreement</w:t>
      </w:r>
      <w:r w:rsidR="00613F31">
        <w:rPr>
          <w:lang w:val="en-CA" w:bidi="en-CA"/>
        </w:rPr>
        <w:t>,</w:t>
      </w:r>
      <w:r w:rsidR="00613F31" w:rsidRPr="0071186E">
        <w:rPr>
          <w:lang w:val="en-CA" w:bidi="en-CA"/>
        </w:rPr>
        <w:t xml:space="preserve"> </w:t>
      </w:r>
      <w:r w:rsidRPr="0071186E">
        <w:rPr>
          <w:lang w:val="en-CA" w:bidi="en-CA"/>
        </w:rPr>
        <w:t>the Organizations undertake to pay $3,492,380 to the Crown corporation JCCBI.</w:t>
      </w:r>
      <w:r w:rsidR="003F60D0" w:rsidRPr="0071186E">
        <w:rPr>
          <w:rStyle w:val="Appelnotedebasdep"/>
          <w:lang w:val="en-CA" w:bidi="en-CA"/>
        </w:rPr>
        <w:footnoteReference w:id="62"/>
      </w:r>
    </w:p>
    <w:p w14:paraId="64F342E1" w14:textId="77777777" w:rsidR="00540F45" w:rsidRPr="00FB215A" w:rsidRDefault="00540F45" w:rsidP="00313DEB">
      <w:pPr>
        <w:numPr>
          <w:ilvl w:val="0"/>
          <w:numId w:val="25"/>
        </w:numPr>
        <w:tabs>
          <w:tab w:val="left" w:pos="900"/>
        </w:tabs>
        <w:ind w:left="900" w:right="2"/>
        <w:jc w:val="both"/>
        <w:rPr>
          <w:rFonts w:eastAsia="Arial"/>
          <w:i/>
          <w:color w:val="181816"/>
          <w:szCs w:val="24"/>
          <w:lang w:val="en-CA" w:eastAsia="en-US" w:bidi="en-CA"/>
        </w:rPr>
      </w:pPr>
      <w:r w:rsidRPr="00FB215A">
        <w:rPr>
          <w:rFonts w:eastAsia="Arial"/>
          <w:i/>
          <w:color w:val="181816"/>
          <w:szCs w:val="24"/>
          <w:lang w:val="en-CA" w:eastAsia="en-US" w:bidi="en-CA"/>
        </w:rPr>
        <w:t xml:space="preserve">an indication of the obligation for the organization to pay a victim surcharge for each offence to which the agreement applies, other than an offence under section 3 or 4 of the Corruption of Foreign Public Officials Act, the amount to be paid and any other terms respecting payment </w:t>
      </w:r>
    </w:p>
    <w:p w14:paraId="6359AE44" w14:textId="77777777" w:rsidR="00540F45" w:rsidRPr="0071186E" w:rsidRDefault="00540F45" w:rsidP="00A07EF3">
      <w:pPr>
        <w:pStyle w:val="Paragraphedeliste"/>
        <w:widowControl w:val="0"/>
        <w:tabs>
          <w:tab w:val="left" w:pos="910"/>
        </w:tabs>
        <w:autoSpaceDE w:val="0"/>
        <w:autoSpaceDN w:val="0"/>
        <w:spacing w:line="249" w:lineRule="auto"/>
        <w:ind w:left="911" w:right="176"/>
        <w:jc w:val="both"/>
        <w:rPr>
          <w:i/>
          <w:color w:val="161616"/>
          <w:sz w:val="23"/>
          <w:lang w:val="en-CA"/>
        </w:rPr>
      </w:pPr>
    </w:p>
    <w:p w14:paraId="027F6290" w14:textId="64A3B334" w:rsidR="00540F45" w:rsidRPr="0071186E" w:rsidRDefault="00540F45" w:rsidP="00540F45">
      <w:pPr>
        <w:pStyle w:val="SimpleL1"/>
        <w:rPr>
          <w:rFonts w:ascii="Times New Roman" w:hAnsi="Times New Roman"/>
          <w:sz w:val="17"/>
          <w:lang w:val="en-CA"/>
        </w:rPr>
      </w:pPr>
      <w:r w:rsidRPr="0071186E">
        <w:rPr>
          <w:w w:val="105"/>
          <w:lang w:val="en-CA" w:bidi="en-CA"/>
        </w:rPr>
        <w:t xml:space="preserve">There is an indication in paragraph 25 of the Organizations’ obligation to pay a $5,440,541 victim surcharge, </w:t>
      </w:r>
      <w:r w:rsidR="00F409F2">
        <w:rPr>
          <w:w w:val="105"/>
          <w:lang w:val="en-CA" w:bidi="en-CA"/>
        </w:rPr>
        <w:t>that is,</w:t>
      </w:r>
      <w:r w:rsidR="00F409F2" w:rsidRPr="0071186E">
        <w:rPr>
          <w:w w:val="105"/>
          <w:lang w:val="en-CA" w:bidi="en-CA"/>
        </w:rPr>
        <w:t xml:space="preserve"> </w:t>
      </w:r>
      <w:r w:rsidRPr="0071186E">
        <w:rPr>
          <w:w w:val="105"/>
          <w:lang w:val="en-CA" w:bidi="en-CA"/>
        </w:rPr>
        <w:t xml:space="preserve">30% of the penalty </w:t>
      </w:r>
      <w:r w:rsidR="00D46D9D" w:rsidRPr="0071186E">
        <w:rPr>
          <w:w w:val="105"/>
          <w:lang w:val="en-CA" w:bidi="en-CA"/>
        </w:rPr>
        <w:t xml:space="preserve">set forth </w:t>
      </w:r>
      <w:r w:rsidRPr="0071186E">
        <w:rPr>
          <w:w w:val="105"/>
          <w:lang w:val="en-CA" w:bidi="en-CA"/>
        </w:rPr>
        <w:t>for in the Agreement, in six (6) equal installments of $906,756.83</w:t>
      </w:r>
      <w:r w:rsidRPr="0071186E">
        <w:rPr>
          <w:spacing w:val="-4"/>
          <w:w w:val="105"/>
          <w:lang w:val="en-CA" w:bidi="en-CA"/>
        </w:rPr>
        <w:t>.</w:t>
      </w:r>
      <w:r w:rsidR="003F60D0" w:rsidRPr="0071186E">
        <w:rPr>
          <w:rStyle w:val="Appelnotedebasdep"/>
          <w:spacing w:val="-4"/>
          <w:w w:val="105"/>
          <w:lang w:val="en-CA" w:bidi="en-CA"/>
        </w:rPr>
        <w:footnoteReference w:id="63"/>
      </w:r>
    </w:p>
    <w:p w14:paraId="6BF4EB74" w14:textId="77777777" w:rsidR="00540F45" w:rsidRPr="00FB215A" w:rsidRDefault="00540F45" w:rsidP="00313DEB">
      <w:pPr>
        <w:numPr>
          <w:ilvl w:val="0"/>
          <w:numId w:val="25"/>
        </w:numPr>
        <w:tabs>
          <w:tab w:val="left" w:pos="915"/>
        </w:tabs>
        <w:ind w:left="900" w:right="2"/>
        <w:jc w:val="both"/>
        <w:rPr>
          <w:rFonts w:eastAsia="Arial"/>
          <w:i/>
          <w:color w:val="181816"/>
          <w:szCs w:val="24"/>
          <w:lang w:val="en-CA" w:eastAsia="en-US" w:bidi="en-CA"/>
        </w:rPr>
      </w:pPr>
      <w:r w:rsidRPr="00FB215A">
        <w:rPr>
          <w:rFonts w:eastAsia="Arial"/>
          <w:i/>
          <w:color w:val="181816"/>
          <w:szCs w:val="24"/>
          <w:lang w:val="en-CA" w:eastAsia="en-US" w:bidi="en-CA"/>
        </w:rPr>
        <w:t xml:space="preserve">an indication of the obligation for the organization to report to the prosecutor on the implementation of the agreement and an indication of the manner in which the report is to be made and any other terms respecting reporting </w:t>
      </w:r>
    </w:p>
    <w:p w14:paraId="2DF9A360" w14:textId="77777777" w:rsidR="00540F45" w:rsidRPr="0071186E" w:rsidRDefault="00540F45" w:rsidP="00540F45">
      <w:pPr>
        <w:widowControl w:val="0"/>
        <w:autoSpaceDE w:val="0"/>
        <w:autoSpaceDN w:val="0"/>
        <w:spacing w:before="6"/>
        <w:rPr>
          <w:rFonts w:eastAsia="Arial" w:cs="Arial"/>
          <w:i/>
          <w:sz w:val="20"/>
          <w:szCs w:val="23"/>
          <w:lang w:val="en-CA" w:eastAsia="en-US"/>
        </w:rPr>
      </w:pPr>
    </w:p>
    <w:p w14:paraId="5CFD695F" w14:textId="217A08ED" w:rsidR="00540F45" w:rsidRPr="0071186E" w:rsidRDefault="00540F45" w:rsidP="00540F45">
      <w:pPr>
        <w:pStyle w:val="SimpleL1"/>
        <w:rPr>
          <w:rFonts w:eastAsia="Arial"/>
          <w:color w:val="161616"/>
          <w:szCs w:val="24"/>
          <w:lang w:val="en-CA" w:eastAsia="en-US"/>
        </w:rPr>
      </w:pPr>
      <w:r w:rsidRPr="0071186E">
        <w:rPr>
          <w:rFonts w:eastAsia="Arial"/>
          <w:color w:val="161616"/>
          <w:w w:val="105"/>
          <w:szCs w:val="24"/>
          <w:lang w:val="en-CA" w:eastAsia="en-US" w:bidi="en-CA"/>
        </w:rPr>
        <w:t xml:space="preserve">Under paragraph 38 of the Agreement, the Organizations undertake, </w:t>
      </w:r>
      <w:r w:rsidR="00D46D9D" w:rsidRPr="0071186E">
        <w:rPr>
          <w:rFonts w:eastAsia="Arial"/>
          <w:color w:val="161616"/>
          <w:w w:val="105"/>
          <w:szCs w:val="24"/>
          <w:lang w:val="en-CA" w:eastAsia="en-US" w:bidi="en-CA"/>
        </w:rPr>
        <w:t xml:space="preserve">throughout the </w:t>
      </w:r>
      <w:r w:rsidR="003F2A87">
        <w:rPr>
          <w:rFonts w:eastAsia="Arial"/>
          <w:color w:val="161616"/>
          <w:w w:val="105"/>
          <w:szCs w:val="24"/>
          <w:lang w:val="en-CA" w:eastAsia="en-US" w:bidi="en-CA"/>
        </w:rPr>
        <w:t>e</w:t>
      </w:r>
      <w:r w:rsidR="00D46D9D" w:rsidRPr="0071186E">
        <w:rPr>
          <w:rFonts w:eastAsia="Arial"/>
          <w:color w:val="161616"/>
          <w:w w:val="105"/>
          <w:szCs w:val="24"/>
          <w:lang w:val="en-CA" w:eastAsia="en-US" w:bidi="en-CA"/>
        </w:rPr>
        <w:t xml:space="preserve">ffective </w:t>
      </w:r>
      <w:r w:rsidR="003F2A87">
        <w:rPr>
          <w:rFonts w:eastAsia="Arial"/>
          <w:color w:val="161616"/>
          <w:w w:val="105"/>
          <w:szCs w:val="24"/>
          <w:lang w:val="en-CA" w:eastAsia="en-US" w:bidi="en-CA"/>
        </w:rPr>
        <w:t>p</w:t>
      </w:r>
      <w:r w:rsidR="00D46D9D" w:rsidRPr="0071186E">
        <w:rPr>
          <w:rFonts w:eastAsia="Arial"/>
          <w:color w:val="161616"/>
          <w:w w:val="105"/>
          <w:szCs w:val="24"/>
          <w:lang w:val="en-CA" w:eastAsia="en-US" w:bidi="en-CA"/>
        </w:rPr>
        <w:t>eriod</w:t>
      </w:r>
      <w:r w:rsidR="009C4477">
        <w:rPr>
          <w:rFonts w:eastAsia="Arial"/>
          <w:color w:val="161616"/>
          <w:w w:val="105"/>
          <w:szCs w:val="24"/>
          <w:lang w:val="en-CA" w:eastAsia="en-US" w:bidi="en-CA"/>
        </w:rPr>
        <w:t xml:space="preserve"> of the Agreement</w:t>
      </w:r>
      <w:r w:rsidRPr="0071186E">
        <w:rPr>
          <w:rFonts w:eastAsia="Arial"/>
          <w:color w:val="161616"/>
          <w:w w:val="105"/>
          <w:szCs w:val="24"/>
          <w:lang w:val="en-CA" w:eastAsia="en-US" w:bidi="en-CA"/>
        </w:rPr>
        <w:t xml:space="preserve">, </w:t>
      </w:r>
      <w:r w:rsidRPr="0071186E">
        <w:rPr>
          <w:rFonts w:eastAsia="Arial"/>
          <w:color w:val="343636"/>
          <w:w w:val="105"/>
          <w:szCs w:val="24"/>
          <w:lang w:val="en-CA" w:eastAsia="en-US" w:bidi="en-CA"/>
        </w:rPr>
        <w:t xml:space="preserve">to ensure </w:t>
      </w:r>
      <w:r w:rsidRPr="0071186E">
        <w:rPr>
          <w:rFonts w:eastAsia="Arial"/>
          <w:color w:val="161616"/>
          <w:w w:val="105"/>
          <w:szCs w:val="24"/>
          <w:lang w:val="en-CA" w:eastAsia="en-US" w:bidi="en-CA"/>
        </w:rPr>
        <w:t>that the SNCLG affiliates submit three (3) reports on the implementation of the Independent Monitor’s recommendations to the Prosecutor and Independent Monitor</w:t>
      </w:r>
      <w:r w:rsidRPr="0071186E">
        <w:rPr>
          <w:rFonts w:eastAsia="Arial"/>
          <w:color w:val="343636"/>
          <w:w w:val="105"/>
          <w:szCs w:val="24"/>
          <w:lang w:val="en-CA" w:eastAsia="en-US" w:bidi="en-CA"/>
        </w:rPr>
        <w:t xml:space="preserve">, </w:t>
      </w:r>
      <w:r w:rsidRPr="0071186E">
        <w:rPr>
          <w:rFonts w:eastAsia="Arial"/>
          <w:color w:val="161616"/>
          <w:w w:val="105"/>
          <w:szCs w:val="24"/>
          <w:lang w:val="en-CA" w:eastAsia="en-US" w:bidi="en-CA"/>
        </w:rPr>
        <w:t>signed by the Chief Executive Officer or the Chief Integrity Officer of SNCLG. The terms and contents of these reports are provided for in paragraphs 39 to 42 of the Agreement.</w:t>
      </w:r>
    </w:p>
    <w:p w14:paraId="00C05701" w14:textId="77777777" w:rsidR="00540F45" w:rsidRPr="004B7C49" w:rsidRDefault="00540F45" w:rsidP="00313DEB">
      <w:pPr>
        <w:numPr>
          <w:ilvl w:val="0"/>
          <w:numId w:val="25"/>
        </w:numPr>
        <w:tabs>
          <w:tab w:val="left" w:pos="920"/>
        </w:tabs>
        <w:ind w:left="900" w:right="2"/>
        <w:jc w:val="both"/>
        <w:rPr>
          <w:rFonts w:eastAsia="Arial"/>
          <w:i/>
          <w:color w:val="181816"/>
          <w:szCs w:val="24"/>
          <w:lang w:val="en-CA" w:eastAsia="en-US" w:bidi="en-CA"/>
        </w:rPr>
      </w:pPr>
      <w:r w:rsidRPr="004B7C49">
        <w:rPr>
          <w:rFonts w:eastAsia="Arial"/>
          <w:i/>
          <w:color w:val="181816"/>
          <w:szCs w:val="24"/>
          <w:lang w:val="en-CA" w:eastAsia="en-US" w:bidi="en-CA"/>
        </w:rPr>
        <w:t>an indication of the legal effects of the agreement</w:t>
      </w:r>
    </w:p>
    <w:p w14:paraId="6DD66DA5" w14:textId="77777777" w:rsidR="00540F45" w:rsidRPr="0071186E" w:rsidRDefault="00540F45" w:rsidP="00540F45">
      <w:pPr>
        <w:widowControl w:val="0"/>
        <w:autoSpaceDE w:val="0"/>
        <w:autoSpaceDN w:val="0"/>
        <w:spacing w:before="9"/>
        <w:rPr>
          <w:rFonts w:eastAsia="Arial" w:cs="Arial"/>
          <w:i/>
          <w:sz w:val="23"/>
          <w:szCs w:val="23"/>
          <w:lang w:val="en-CA" w:eastAsia="en-US"/>
        </w:rPr>
      </w:pPr>
    </w:p>
    <w:p w14:paraId="56393A31" w14:textId="751B440D" w:rsidR="00540F45" w:rsidRPr="0071186E" w:rsidRDefault="00540F45" w:rsidP="00540F45">
      <w:pPr>
        <w:pStyle w:val="SimpleL1"/>
        <w:rPr>
          <w:rFonts w:eastAsia="Arial"/>
          <w:szCs w:val="24"/>
          <w:lang w:val="en-CA" w:eastAsia="en-US"/>
        </w:rPr>
      </w:pPr>
      <w:r w:rsidRPr="0071186E">
        <w:rPr>
          <w:w w:val="105"/>
          <w:szCs w:val="24"/>
          <w:lang w:val="en-CA" w:bidi="en-CA"/>
        </w:rPr>
        <w:t>The</w:t>
      </w:r>
      <w:r w:rsidRPr="0071186E">
        <w:rPr>
          <w:rFonts w:eastAsia="Arial"/>
          <w:color w:val="161616"/>
          <w:w w:val="105"/>
          <w:szCs w:val="24"/>
          <w:lang w:val="en-CA" w:eastAsia="en-US" w:bidi="en-CA"/>
        </w:rPr>
        <w:t xml:space="preserve"> legal effects of the Agreement are indicated in paragraphs 11 to 16 </w:t>
      </w:r>
      <w:r w:rsidRPr="0071186E">
        <w:rPr>
          <w:rFonts w:eastAsia="Arial"/>
          <w:color w:val="161616"/>
          <w:spacing w:val="-5"/>
          <w:w w:val="105"/>
          <w:szCs w:val="24"/>
          <w:lang w:val="en-CA" w:eastAsia="en-US" w:bidi="en-CA"/>
        </w:rPr>
        <w:t>of the Agreement</w:t>
      </w:r>
      <w:r w:rsidRPr="0071186E">
        <w:rPr>
          <w:rFonts w:eastAsia="Arial"/>
          <w:color w:val="343636"/>
          <w:w w:val="105"/>
          <w:szCs w:val="24"/>
          <w:lang w:val="en-CA" w:eastAsia="en-US" w:bidi="en-CA"/>
        </w:rPr>
        <w:t xml:space="preserve">. </w:t>
      </w:r>
      <w:r w:rsidRPr="0071186E">
        <w:rPr>
          <w:rFonts w:eastAsia="Arial"/>
          <w:color w:val="161616"/>
          <w:w w:val="105"/>
          <w:szCs w:val="24"/>
          <w:lang w:val="en-CA" w:eastAsia="en-US" w:bidi="en-CA"/>
        </w:rPr>
        <w:t>This includes, more specifically, the stay of the proceedings in 500</w:t>
      </w:r>
      <w:r w:rsidRPr="0071186E">
        <w:rPr>
          <w:rFonts w:eastAsia="Arial"/>
          <w:color w:val="161616"/>
          <w:w w:val="105"/>
          <w:szCs w:val="24"/>
          <w:lang w:val="en-CA" w:eastAsia="en-US" w:bidi="en-CA"/>
        </w:rPr>
        <w:noBreakHyphen/>
        <w:t>01</w:t>
      </w:r>
      <w:r w:rsidRPr="0071186E">
        <w:rPr>
          <w:rFonts w:eastAsia="Arial"/>
          <w:color w:val="161616"/>
          <w:w w:val="105"/>
          <w:szCs w:val="24"/>
          <w:lang w:val="en-CA" w:eastAsia="en-US" w:bidi="en-CA"/>
        </w:rPr>
        <w:noBreakHyphen/>
        <w:t>223556</w:t>
      </w:r>
      <w:r w:rsidRPr="0071186E">
        <w:rPr>
          <w:rFonts w:eastAsia="Arial"/>
          <w:color w:val="161616"/>
          <w:w w:val="105"/>
          <w:szCs w:val="24"/>
          <w:lang w:val="en-CA" w:eastAsia="en-US" w:bidi="en-CA"/>
        </w:rPr>
        <w:noBreakHyphen/>
        <w:t>215 and the fact that no other proceedings may be brought against the Organizations in respect of the offences charged during the Agreement’s effective period. On the other hand, paragraph</w:t>
      </w:r>
      <w:r w:rsidR="000F0647" w:rsidRPr="0071186E">
        <w:rPr>
          <w:rFonts w:eastAsia="Arial"/>
          <w:color w:val="161616"/>
          <w:w w:val="105"/>
          <w:szCs w:val="24"/>
          <w:lang w:val="en-CA" w:eastAsia="en-US" w:bidi="en-CA"/>
        </w:rPr>
        <w:t> </w:t>
      </w:r>
      <w:r w:rsidRPr="0071186E">
        <w:rPr>
          <w:rFonts w:eastAsia="Arial"/>
          <w:color w:val="161616"/>
          <w:w w:val="105"/>
          <w:szCs w:val="24"/>
          <w:lang w:val="en-CA" w:eastAsia="en-US" w:bidi="en-CA"/>
        </w:rPr>
        <w:t xml:space="preserve">16 </w:t>
      </w:r>
      <w:r w:rsidR="000F0647" w:rsidRPr="0071186E">
        <w:rPr>
          <w:rFonts w:eastAsia="Arial"/>
          <w:color w:val="161616"/>
          <w:w w:val="105"/>
          <w:szCs w:val="24"/>
          <w:lang w:val="en-CA" w:eastAsia="en-US" w:bidi="en-CA"/>
        </w:rPr>
        <w:t xml:space="preserve">specifies </w:t>
      </w:r>
      <w:r w:rsidRPr="0071186E">
        <w:rPr>
          <w:rFonts w:eastAsia="Arial"/>
          <w:color w:val="161616"/>
          <w:w w:val="105"/>
          <w:szCs w:val="24"/>
          <w:lang w:val="en-CA" w:eastAsia="en-US" w:bidi="en-CA"/>
        </w:rPr>
        <w:t xml:space="preserve">that the Agreement </w:t>
      </w:r>
      <w:r w:rsidR="000F0647" w:rsidRPr="0071186E">
        <w:rPr>
          <w:rFonts w:eastAsia="Arial"/>
          <w:color w:val="161616"/>
          <w:w w:val="105"/>
          <w:szCs w:val="24"/>
          <w:lang w:val="en-CA" w:eastAsia="en-US" w:bidi="en-CA"/>
        </w:rPr>
        <w:t xml:space="preserve">does not grant </w:t>
      </w:r>
      <w:r w:rsidRPr="0071186E">
        <w:rPr>
          <w:rFonts w:eastAsia="Arial"/>
          <w:color w:val="161616"/>
          <w:w w:val="105"/>
          <w:szCs w:val="24"/>
          <w:lang w:val="en-CA" w:eastAsia="en-US" w:bidi="en-CA"/>
        </w:rPr>
        <w:t xml:space="preserve">immunity </w:t>
      </w:r>
      <w:r w:rsidR="000F0647" w:rsidRPr="0071186E">
        <w:rPr>
          <w:rFonts w:eastAsia="Arial"/>
          <w:color w:val="161616"/>
          <w:w w:val="105"/>
          <w:szCs w:val="24"/>
          <w:lang w:val="en-CA" w:eastAsia="en-US" w:bidi="en-CA"/>
        </w:rPr>
        <w:t xml:space="preserve">against </w:t>
      </w:r>
      <w:r w:rsidRPr="0071186E">
        <w:rPr>
          <w:rFonts w:eastAsia="Arial"/>
          <w:color w:val="161616"/>
          <w:w w:val="105"/>
          <w:szCs w:val="24"/>
          <w:lang w:val="en-CA" w:eastAsia="en-US" w:bidi="en-CA"/>
        </w:rPr>
        <w:t xml:space="preserve">prosecution for acts or omissions not directly or indirectly related to the facts </w:t>
      </w:r>
      <w:r w:rsidR="000F0647" w:rsidRPr="0071186E">
        <w:rPr>
          <w:rFonts w:eastAsia="Arial"/>
          <w:color w:val="161616"/>
          <w:w w:val="105"/>
          <w:szCs w:val="24"/>
          <w:lang w:val="en-CA" w:eastAsia="en-US" w:bidi="en-CA"/>
        </w:rPr>
        <w:t xml:space="preserve">associated with </w:t>
      </w:r>
      <w:r w:rsidRPr="0071186E">
        <w:rPr>
          <w:rFonts w:eastAsia="Arial"/>
          <w:color w:val="161616"/>
          <w:w w:val="105"/>
          <w:szCs w:val="24"/>
          <w:lang w:val="en-CA" w:eastAsia="en-US" w:bidi="en-CA"/>
        </w:rPr>
        <w:t>the offences charged.</w:t>
      </w:r>
    </w:p>
    <w:p w14:paraId="6C7A5AB7" w14:textId="77777777" w:rsidR="00540F45" w:rsidRPr="004B7C49" w:rsidRDefault="00540F45" w:rsidP="00313DEB">
      <w:pPr>
        <w:numPr>
          <w:ilvl w:val="0"/>
          <w:numId w:val="25"/>
        </w:numPr>
        <w:tabs>
          <w:tab w:val="left" w:pos="915"/>
        </w:tabs>
        <w:ind w:left="900" w:right="2"/>
        <w:jc w:val="both"/>
        <w:rPr>
          <w:rFonts w:eastAsia="Arial"/>
          <w:i/>
          <w:color w:val="181816"/>
          <w:szCs w:val="24"/>
          <w:lang w:val="en-CA" w:eastAsia="en-US" w:bidi="en-CA"/>
        </w:rPr>
      </w:pPr>
      <w:r w:rsidRPr="004B7C49">
        <w:rPr>
          <w:rFonts w:eastAsia="Arial"/>
          <w:i/>
          <w:color w:val="181816"/>
          <w:szCs w:val="24"/>
          <w:lang w:val="en-CA" w:eastAsia="en-US" w:bidi="en-CA"/>
        </w:rPr>
        <w:lastRenderedPageBreak/>
        <w:t xml:space="preserve">an acknowledgement by the organization that the agreement has been made in good faith and that the information it has provided during the negotiation is accurate and complete and a commitment that it will continue to provide accurate and complete information while the agreement is in force </w:t>
      </w:r>
    </w:p>
    <w:p w14:paraId="2CF7146B" w14:textId="77777777" w:rsidR="00540F45" w:rsidRPr="0071186E" w:rsidRDefault="00540F45" w:rsidP="00540F45">
      <w:pPr>
        <w:widowControl w:val="0"/>
        <w:autoSpaceDE w:val="0"/>
        <w:autoSpaceDN w:val="0"/>
        <w:spacing w:before="4"/>
        <w:rPr>
          <w:rFonts w:eastAsia="Arial" w:cs="Arial"/>
          <w:i/>
          <w:sz w:val="20"/>
          <w:szCs w:val="23"/>
          <w:lang w:val="en-CA" w:eastAsia="en-US"/>
        </w:rPr>
      </w:pPr>
    </w:p>
    <w:p w14:paraId="1DD7231E" w14:textId="39DEEE38" w:rsidR="00540F45" w:rsidRPr="0071186E" w:rsidRDefault="00540F45" w:rsidP="00540F45">
      <w:pPr>
        <w:pStyle w:val="SimpleL1"/>
        <w:rPr>
          <w:rFonts w:eastAsia="Arial"/>
          <w:color w:val="161616"/>
          <w:szCs w:val="24"/>
          <w:lang w:val="en-CA" w:eastAsia="en-US"/>
        </w:rPr>
      </w:pPr>
      <w:r w:rsidRPr="0071186E">
        <w:rPr>
          <w:rFonts w:eastAsia="Arial"/>
          <w:color w:val="161616"/>
          <w:w w:val="105"/>
          <w:szCs w:val="24"/>
          <w:lang w:val="en-CA" w:eastAsia="en-US" w:bidi="en-CA"/>
        </w:rPr>
        <w:t xml:space="preserve">In </w:t>
      </w:r>
      <w:r w:rsidRPr="009E7A4E">
        <w:rPr>
          <w:rFonts w:eastAsia="Arial"/>
          <w:color w:val="161616"/>
          <w:w w:val="105"/>
          <w:szCs w:val="24"/>
          <w:lang w:val="en-CA" w:eastAsia="en-US" w:bidi="en-CA"/>
        </w:rPr>
        <w:t>paragraph 6 of the Agreement, the Organizations acknowledge that the Agreement was made in good faith, that to the best of their knowledge</w:t>
      </w:r>
      <w:r w:rsidR="000F0647" w:rsidRPr="009E7A4E">
        <w:rPr>
          <w:rFonts w:eastAsia="Arial"/>
          <w:color w:val="161616"/>
          <w:w w:val="105"/>
          <w:szCs w:val="24"/>
          <w:lang w:val="en-CA" w:eastAsia="en-US" w:bidi="en-CA"/>
        </w:rPr>
        <w:t>,</w:t>
      </w:r>
      <w:r w:rsidRPr="009E7A4E">
        <w:rPr>
          <w:rFonts w:eastAsia="Arial"/>
          <w:color w:val="161616"/>
          <w:w w:val="105"/>
          <w:szCs w:val="24"/>
          <w:lang w:val="en-CA" w:eastAsia="en-US" w:bidi="en-CA"/>
        </w:rPr>
        <w:t xml:space="preserve"> the information they provided </w:t>
      </w:r>
      <w:r w:rsidR="000F0647" w:rsidRPr="009E7A4E">
        <w:rPr>
          <w:rFonts w:eastAsia="Arial"/>
          <w:color w:val="161616"/>
          <w:w w:val="105"/>
          <w:szCs w:val="24"/>
          <w:lang w:val="en-CA" w:eastAsia="en-US" w:bidi="en-CA"/>
        </w:rPr>
        <w:t xml:space="preserve">at the Prosecutor’s request </w:t>
      </w:r>
      <w:r w:rsidRPr="009E7A4E">
        <w:rPr>
          <w:rFonts w:eastAsia="Arial"/>
          <w:color w:val="161616"/>
          <w:w w:val="105"/>
          <w:szCs w:val="24"/>
          <w:lang w:val="en-CA" w:eastAsia="en-US" w:bidi="en-CA"/>
        </w:rPr>
        <w:t xml:space="preserve">during the negotiations </w:t>
      </w:r>
      <w:r w:rsidR="000F0647" w:rsidRPr="009E7A4E">
        <w:rPr>
          <w:rFonts w:eastAsia="Arial"/>
          <w:color w:val="161616"/>
          <w:w w:val="105"/>
          <w:szCs w:val="24"/>
          <w:lang w:val="en-CA" w:eastAsia="en-US" w:bidi="en-CA"/>
        </w:rPr>
        <w:t xml:space="preserve">is </w:t>
      </w:r>
      <w:r w:rsidRPr="009E7A4E">
        <w:rPr>
          <w:rFonts w:eastAsia="Arial"/>
          <w:color w:val="161616"/>
          <w:w w:val="105"/>
          <w:szCs w:val="24"/>
          <w:lang w:val="en-CA" w:eastAsia="en-US" w:bidi="en-CA"/>
        </w:rPr>
        <w:t>accurate and complete and that they will continue</w:t>
      </w:r>
      <w:r w:rsidRPr="0071186E">
        <w:rPr>
          <w:rFonts w:eastAsia="Arial"/>
          <w:color w:val="161616"/>
          <w:w w:val="105"/>
          <w:szCs w:val="24"/>
          <w:lang w:val="en-CA" w:eastAsia="en-US" w:bidi="en-CA"/>
        </w:rPr>
        <w:t xml:space="preserve"> to provide such information to the Prosecutor </w:t>
      </w:r>
      <w:r w:rsidR="000F0647" w:rsidRPr="0071186E">
        <w:rPr>
          <w:rFonts w:eastAsia="Arial"/>
          <w:color w:val="161616"/>
          <w:w w:val="105"/>
          <w:szCs w:val="24"/>
          <w:lang w:val="en-CA" w:eastAsia="en-US" w:bidi="en-CA"/>
        </w:rPr>
        <w:t xml:space="preserve">throughout </w:t>
      </w:r>
      <w:r w:rsidRPr="0071186E">
        <w:rPr>
          <w:rFonts w:eastAsia="Arial"/>
          <w:color w:val="161616"/>
          <w:w w:val="105"/>
          <w:szCs w:val="24"/>
          <w:lang w:val="en-CA" w:eastAsia="en-US" w:bidi="en-CA"/>
        </w:rPr>
        <w:t>the Agreement</w:t>
      </w:r>
      <w:r w:rsidR="000F0647" w:rsidRPr="0071186E">
        <w:rPr>
          <w:rFonts w:eastAsia="Arial"/>
          <w:color w:val="161616"/>
          <w:w w:val="105"/>
          <w:szCs w:val="24"/>
          <w:lang w:val="en-CA" w:eastAsia="en-US" w:bidi="en-CA"/>
        </w:rPr>
        <w:t xml:space="preserve">’s </w:t>
      </w:r>
      <w:r w:rsidR="00E4185D">
        <w:rPr>
          <w:rFonts w:eastAsia="Arial"/>
          <w:color w:val="161616"/>
          <w:w w:val="105"/>
          <w:szCs w:val="24"/>
          <w:lang w:val="en-CA" w:eastAsia="en-US" w:bidi="en-CA"/>
        </w:rPr>
        <w:t>e</w:t>
      </w:r>
      <w:r w:rsidR="000F0647" w:rsidRPr="0071186E">
        <w:rPr>
          <w:rFonts w:eastAsia="Arial"/>
          <w:color w:val="161616"/>
          <w:w w:val="105"/>
          <w:szCs w:val="24"/>
          <w:lang w:val="en-CA" w:eastAsia="en-US" w:bidi="en-CA"/>
        </w:rPr>
        <w:t xml:space="preserve">ffective </w:t>
      </w:r>
      <w:r w:rsidR="00E4185D">
        <w:rPr>
          <w:rFonts w:eastAsia="Arial"/>
          <w:color w:val="161616"/>
          <w:w w:val="105"/>
          <w:szCs w:val="24"/>
          <w:lang w:val="en-CA" w:eastAsia="en-US" w:bidi="en-CA"/>
        </w:rPr>
        <w:t>p</w:t>
      </w:r>
      <w:r w:rsidR="000F0647" w:rsidRPr="0071186E">
        <w:rPr>
          <w:rFonts w:eastAsia="Arial"/>
          <w:color w:val="161616"/>
          <w:w w:val="105"/>
          <w:szCs w:val="24"/>
          <w:lang w:val="en-CA" w:eastAsia="en-US" w:bidi="en-CA"/>
        </w:rPr>
        <w:t>eriod</w:t>
      </w:r>
      <w:r w:rsidRPr="0071186E">
        <w:rPr>
          <w:rFonts w:eastAsia="Arial"/>
          <w:color w:val="161616"/>
          <w:w w:val="105"/>
          <w:szCs w:val="24"/>
          <w:lang w:val="en-CA" w:eastAsia="en-US" w:bidi="en-CA"/>
        </w:rPr>
        <w:t>, i.e.</w:t>
      </w:r>
      <w:r w:rsidR="000F0647" w:rsidRPr="0071186E">
        <w:rPr>
          <w:rFonts w:eastAsia="Arial"/>
          <w:color w:val="161616"/>
          <w:w w:val="105"/>
          <w:szCs w:val="24"/>
          <w:lang w:val="en-CA" w:eastAsia="en-US" w:bidi="en-CA"/>
        </w:rPr>
        <w:t> </w:t>
      </w:r>
      <w:r w:rsidRPr="0071186E">
        <w:rPr>
          <w:rFonts w:eastAsia="Arial"/>
          <w:color w:val="161616"/>
          <w:w w:val="105"/>
          <w:szCs w:val="24"/>
          <w:lang w:val="en-CA" w:eastAsia="en-US" w:bidi="en-CA"/>
        </w:rPr>
        <w:t>three (3) years.</w:t>
      </w:r>
    </w:p>
    <w:p w14:paraId="616AEBFF" w14:textId="77777777" w:rsidR="00540F45" w:rsidRPr="0071186E" w:rsidRDefault="00540F45" w:rsidP="00313DEB">
      <w:pPr>
        <w:numPr>
          <w:ilvl w:val="0"/>
          <w:numId w:val="25"/>
        </w:numPr>
        <w:tabs>
          <w:tab w:val="left" w:pos="900"/>
        </w:tabs>
        <w:ind w:left="900" w:right="2"/>
        <w:jc w:val="both"/>
        <w:rPr>
          <w:rFonts w:eastAsia="Arial"/>
          <w:i/>
          <w:color w:val="181816"/>
          <w:sz w:val="22"/>
          <w:szCs w:val="22"/>
          <w:lang w:val="en-CA" w:eastAsia="en-US" w:bidi="en-CA"/>
        </w:rPr>
      </w:pPr>
      <w:r w:rsidRPr="0071186E">
        <w:rPr>
          <w:rFonts w:eastAsia="Arial"/>
          <w:i/>
          <w:color w:val="181816"/>
          <w:sz w:val="22"/>
          <w:szCs w:val="22"/>
          <w:lang w:val="en-CA" w:eastAsia="en-US" w:bidi="en-CA"/>
        </w:rPr>
        <w:t>an indication of the use that can be made of information obtained as a result of the agreement, subject to subsection (2)</w:t>
      </w:r>
    </w:p>
    <w:p w14:paraId="5DEC7505" w14:textId="77777777" w:rsidR="00540F45" w:rsidRPr="0071186E" w:rsidRDefault="00540F45" w:rsidP="00252E88">
      <w:pPr>
        <w:tabs>
          <w:tab w:val="left" w:pos="900"/>
        </w:tabs>
        <w:ind w:left="900" w:right="2"/>
        <w:jc w:val="both"/>
        <w:rPr>
          <w:rFonts w:eastAsia="Arial"/>
          <w:i/>
          <w:color w:val="181816"/>
          <w:sz w:val="22"/>
          <w:szCs w:val="22"/>
          <w:lang w:val="en-CA" w:eastAsia="en-US" w:bidi="en-CA"/>
        </w:rPr>
      </w:pPr>
    </w:p>
    <w:p w14:paraId="5352236C" w14:textId="7B4E4128" w:rsidR="00540F45" w:rsidRPr="0071186E" w:rsidRDefault="00540F45" w:rsidP="00540F45">
      <w:pPr>
        <w:pStyle w:val="SimpleL1"/>
        <w:rPr>
          <w:rFonts w:ascii="Times New Roman" w:hAnsi="Times New Roman"/>
          <w:szCs w:val="24"/>
          <w:lang w:val="en-CA"/>
        </w:rPr>
      </w:pPr>
      <w:r w:rsidRPr="0071186E">
        <w:rPr>
          <w:w w:val="105"/>
          <w:szCs w:val="24"/>
          <w:lang w:val="en-CA" w:bidi="en-CA"/>
        </w:rPr>
        <w:t>In</w:t>
      </w:r>
      <w:r w:rsidRPr="0071186E">
        <w:rPr>
          <w:rFonts w:eastAsia="Arial"/>
          <w:color w:val="161616"/>
          <w:w w:val="105"/>
          <w:szCs w:val="24"/>
          <w:lang w:val="en-CA" w:eastAsia="en-US" w:bidi="en-CA"/>
        </w:rPr>
        <w:t xml:space="preserve"> paragraph 7 of the Agreement, the Organizations acknowledge that the Prosecutor may use information disclosed to </w:t>
      </w:r>
      <w:r w:rsidR="00BF50CE" w:rsidRPr="0071186E">
        <w:rPr>
          <w:rFonts w:eastAsia="Arial"/>
          <w:color w:val="161616"/>
          <w:w w:val="105"/>
          <w:szCs w:val="24"/>
          <w:lang w:val="en-CA" w:eastAsia="en-US" w:bidi="en-CA"/>
        </w:rPr>
        <w:t>it</w:t>
      </w:r>
      <w:r w:rsidRPr="0071186E">
        <w:rPr>
          <w:rFonts w:eastAsia="Arial"/>
          <w:color w:val="161616"/>
          <w:w w:val="105"/>
          <w:szCs w:val="24"/>
          <w:lang w:val="en-CA" w:eastAsia="en-US" w:bidi="en-CA"/>
        </w:rPr>
        <w:t xml:space="preserve"> during the Agreement’s negotiation for the purposes of any current or future proceedings, provided that such information </w:t>
      </w:r>
      <w:r w:rsidR="000F0647" w:rsidRPr="0071186E">
        <w:rPr>
          <w:rFonts w:eastAsia="Arial"/>
          <w:color w:val="161616"/>
          <w:w w:val="105"/>
          <w:szCs w:val="24"/>
          <w:lang w:val="en-CA" w:eastAsia="en-US" w:bidi="en-CA"/>
        </w:rPr>
        <w:t xml:space="preserve">pre-dates </w:t>
      </w:r>
      <w:r w:rsidRPr="0071186E">
        <w:rPr>
          <w:rFonts w:eastAsia="Arial"/>
          <w:color w:val="161616"/>
          <w:w w:val="105"/>
          <w:szCs w:val="24"/>
          <w:lang w:val="en-CA" w:eastAsia="en-US" w:bidi="en-CA"/>
        </w:rPr>
        <w:t xml:space="preserve">the negotiations and subject to any </w:t>
      </w:r>
      <w:r w:rsidR="000F0647" w:rsidRPr="0071186E">
        <w:rPr>
          <w:rFonts w:eastAsia="Arial"/>
          <w:color w:val="161616"/>
          <w:w w:val="105"/>
          <w:szCs w:val="24"/>
          <w:lang w:val="en-CA" w:eastAsia="en-US" w:bidi="en-CA"/>
        </w:rPr>
        <w:t xml:space="preserve">legally recognized </w:t>
      </w:r>
      <w:r w:rsidRPr="0071186E">
        <w:rPr>
          <w:rFonts w:eastAsia="Arial"/>
          <w:color w:val="161616"/>
          <w:w w:val="105"/>
          <w:szCs w:val="24"/>
          <w:lang w:val="en-CA" w:eastAsia="en-US" w:bidi="en-CA"/>
        </w:rPr>
        <w:t xml:space="preserve">privilege that may </w:t>
      </w:r>
      <w:r w:rsidR="00E4185D">
        <w:rPr>
          <w:rFonts w:eastAsia="Arial"/>
          <w:color w:val="161616"/>
          <w:w w:val="105"/>
          <w:szCs w:val="24"/>
          <w:lang w:val="en-CA" w:eastAsia="en-US" w:bidi="en-CA"/>
        </w:rPr>
        <w:t>attach</w:t>
      </w:r>
      <w:r w:rsidRPr="0071186E">
        <w:rPr>
          <w:rFonts w:eastAsia="Arial"/>
          <w:color w:val="161616"/>
          <w:w w:val="105"/>
          <w:szCs w:val="24"/>
          <w:lang w:val="en-CA" w:eastAsia="en-US" w:bidi="en-CA"/>
        </w:rPr>
        <w:t xml:space="preserve"> thereto. </w:t>
      </w:r>
      <w:r w:rsidR="00BB297F">
        <w:rPr>
          <w:rFonts w:eastAsia="Arial"/>
          <w:color w:val="161616"/>
          <w:w w:val="105"/>
          <w:szCs w:val="24"/>
          <w:lang w:val="en-CA" w:eastAsia="en-US" w:bidi="en-CA"/>
        </w:rPr>
        <w:t>The following paragraph</w:t>
      </w:r>
      <w:r w:rsidRPr="0071186E">
        <w:rPr>
          <w:rFonts w:eastAsia="Arial"/>
          <w:color w:val="161616"/>
          <w:w w:val="105"/>
          <w:szCs w:val="24"/>
          <w:lang w:val="en-CA" w:eastAsia="en-US" w:bidi="en-CA"/>
        </w:rPr>
        <w:t xml:space="preserve"> provides, in accordance with 715.34(2) Cr.</w:t>
      </w:r>
      <w:r w:rsidR="00872E46">
        <w:rPr>
          <w:rFonts w:eastAsia="Arial"/>
          <w:color w:val="161616"/>
          <w:w w:val="105"/>
          <w:szCs w:val="24"/>
          <w:lang w:val="en-CA" w:eastAsia="en-US" w:bidi="en-CA"/>
        </w:rPr>
        <w:t> </w:t>
      </w:r>
      <w:r w:rsidRPr="0071186E">
        <w:rPr>
          <w:rFonts w:eastAsia="Arial"/>
          <w:color w:val="161616"/>
          <w:w w:val="105"/>
          <w:szCs w:val="24"/>
          <w:lang w:val="en-CA" w:eastAsia="en-US" w:bidi="en-CA"/>
        </w:rPr>
        <w:t xml:space="preserve">C., that </w:t>
      </w:r>
      <w:r w:rsidR="000F0647" w:rsidRPr="0071186E">
        <w:rPr>
          <w:rFonts w:eastAsia="Arial"/>
          <w:color w:val="161616"/>
          <w:w w:val="105"/>
          <w:szCs w:val="24"/>
          <w:lang w:val="en-CA" w:eastAsia="en-US" w:bidi="en-CA"/>
        </w:rPr>
        <w:t>no admission, confession or statement accepting responsibility for a given act or omission made by the Organizations as a result of the Agreement is admissible in evidence against those Organizations in any civil action or criminal proceedings relat</w:t>
      </w:r>
      <w:r w:rsidR="00BB297F">
        <w:rPr>
          <w:rFonts w:eastAsia="Arial"/>
          <w:color w:val="161616"/>
          <w:w w:val="105"/>
          <w:szCs w:val="24"/>
          <w:lang w:val="en-CA" w:eastAsia="en-US" w:bidi="en-CA"/>
        </w:rPr>
        <w:t>ed</w:t>
      </w:r>
      <w:r w:rsidR="000F0647" w:rsidRPr="0071186E">
        <w:rPr>
          <w:rFonts w:eastAsia="Arial"/>
          <w:color w:val="161616"/>
          <w:w w:val="105"/>
          <w:szCs w:val="24"/>
          <w:lang w:val="en-CA" w:eastAsia="en-US" w:bidi="en-CA"/>
        </w:rPr>
        <w:t xml:space="preserve"> to that act or omission, </w:t>
      </w:r>
      <w:r w:rsidR="00BB297F">
        <w:rPr>
          <w:rFonts w:eastAsia="Arial"/>
          <w:color w:val="161616"/>
          <w:w w:val="105"/>
          <w:szCs w:val="24"/>
          <w:lang w:val="en-CA" w:eastAsia="en-US" w:bidi="en-CA"/>
        </w:rPr>
        <w:t>with the exception of those admissions, confessions or statements contained in the statement of facts and admission of responsibility deferred to in paragraphs 715.34(1)(a)</w:t>
      </w:r>
      <w:r w:rsidR="000F0647" w:rsidRPr="0071186E">
        <w:rPr>
          <w:rFonts w:eastAsia="Arial"/>
          <w:color w:val="161616"/>
          <w:w w:val="105"/>
          <w:szCs w:val="24"/>
          <w:lang w:val="en-CA" w:eastAsia="en-US" w:bidi="en-CA"/>
        </w:rPr>
        <w:t xml:space="preserve"> or (b)</w:t>
      </w:r>
      <w:r w:rsidR="00BB297F">
        <w:rPr>
          <w:rFonts w:eastAsia="Arial"/>
          <w:color w:val="161616"/>
          <w:w w:val="105"/>
          <w:szCs w:val="24"/>
          <w:lang w:val="en-CA" w:eastAsia="en-US" w:bidi="en-CA"/>
        </w:rPr>
        <w:t>, if the Agreement is approved by the Court</w:t>
      </w:r>
      <w:r w:rsidR="000F0647" w:rsidRPr="0071186E">
        <w:rPr>
          <w:rFonts w:eastAsia="Arial"/>
          <w:color w:val="161616"/>
          <w:w w:val="105"/>
          <w:szCs w:val="24"/>
          <w:lang w:val="en-CA" w:eastAsia="en-US" w:bidi="en-CA"/>
        </w:rPr>
        <w:t>.</w:t>
      </w:r>
    </w:p>
    <w:p w14:paraId="1125C193" w14:textId="77777777" w:rsidR="00540F45" w:rsidRPr="0071186E" w:rsidRDefault="00540F45" w:rsidP="00313DEB">
      <w:pPr>
        <w:numPr>
          <w:ilvl w:val="0"/>
          <w:numId w:val="25"/>
        </w:numPr>
        <w:tabs>
          <w:tab w:val="left" w:pos="900"/>
        </w:tabs>
        <w:ind w:left="900" w:right="2"/>
        <w:jc w:val="both"/>
        <w:rPr>
          <w:rFonts w:eastAsia="Arial"/>
          <w:i/>
          <w:color w:val="181816"/>
          <w:sz w:val="22"/>
          <w:szCs w:val="22"/>
          <w:lang w:val="en-CA" w:eastAsia="en-US" w:bidi="en-CA"/>
        </w:rPr>
      </w:pPr>
      <w:r w:rsidRPr="0071186E">
        <w:rPr>
          <w:rFonts w:eastAsia="Arial"/>
          <w:i/>
          <w:color w:val="181816"/>
          <w:sz w:val="22"/>
          <w:szCs w:val="22"/>
          <w:lang w:val="en-CA" w:eastAsia="en-US" w:bidi="en-CA"/>
        </w:rPr>
        <w:t>a warning that the breach of any term of the agreement may lead to an application by the prosecutor for termination of the agreement and a recommencement of proceedings</w:t>
      </w:r>
    </w:p>
    <w:p w14:paraId="707FE7FC" w14:textId="77777777" w:rsidR="001A6996" w:rsidRPr="0071186E" w:rsidRDefault="001A6996" w:rsidP="008C6051">
      <w:pPr>
        <w:tabs>
          <w:tab w:val="left" w:pos="900"/>
        </w:tabs>
        <w:ind w:left="900" w:right="2"/>
        <w:jc w:val="both"/>
        <w:rPr>
          <w:rFonts w:eastAsia="Arial"/>
          <w:i/>
          <w:color w:val="181816"/>
          <w:sz w:val="22"/>
          <w:szCs w:val="22"/>
          <w:lang w:val="en-CA" w:eastAsia="en-US" w:bidi="en-CA"/>
        </w:rPr>
      </w:pPr>
    </w:p>
    <w:p w14:paraId="75F3A89A" w14:textId="258F5F7D" w:rsidR="00540F45" w:rsidRPr="0071186E" w:rsidRDefault="00A07EF3" w:rsidP="00540F45">
      <w:pPr>
        <w:pStyle w:val="SimpleL1"/>
        <w:rPr>
          <w:rFonts w:ascii="Times New Roman" w:hAnsi="Times New Roman"/>
          <w:szCs w:val="24"/>
          <w:lang w:val="en-CA"/>
        </w:rPr>
      </w:pPr>
      <w:r w:rsidRPr="0071186E">
        <w:rPr>
          <w:lang w:val="en-CA"/>
        </w:rPr>
        <w:t xml:space="preserve">Paragraph 49 includes a </w:t>
      </w:r>
      <w:r w:rsidR="009869C7">
        <w:rPr>
          <w:lang w:val="en-CA"/>
        </w:rPr>
        <w:t>warning</w:t>
      </w:r>
      <w:r w:rsidR="000B7F45" w:rsidRPr="0071186E">
        <w:rPr>
          <w:lang w:val="en-CA"/>
        </w:rPr>
        <w:t xml:space="preserve"> that </w:t>
      </w:r>
      <w:r w:rsidRPr="0071186E">
        <w:rPr>
          <w:lang w:val="en-CA"/>
        </w:rPr>
        <w:t xml:space="preserve">the Prosecutor may ask the Court to terminate the Agreement in the event that </w:t>
      </w:r>
      <w:r w:rsidR="001B2BB8" w:rsidRPr="0071186E">
        <w:rPr>
          <w:lang w:val="en-CA"/>
        </w:rPr>
        <w:t xml:space="preserve">the Organizations </w:t>
      </w:r>
      <w:r w:rsidR="001B2BB8">
        <w:rPr>
          <w:lang w:val="en-CA"/>
        </w:rPr>
        <w:t xml:space="preserve">breach </w:t>
      </w:r>
      <w:r w:rsidRPr="0071186E">
        <w:rPr>
          <w:lang w:val="en-CA"/>
        </w:rPr>
        <w:t xml:space="preserve">one of its terms. Where applicable, paragraph 14 </w:t>
      </w:r>
      <w:r w:rsidR="001B2BB8">
        <w:rPr>
          <w:lang w:val="en-CA"/>
        </w:rPr>
        <w:t xml:space="preserve">provides </w:t>
      </w:r>
      <w:r w:rsidRPr="0071186E">
        <w:rPr>
          <w:lang w:val="en-CA"/>
        </w:rPr>
        <w:t>that the stayed proceedings may be recommenced, without a new information or new indictment.</w:t>
      </w:r>
    </w:p>
    <w:p w14:paraId="1F98181B" w14:textId="77777777" w:rsidR="00A07EF3" w:rsidRPr="0071186E" w:rsidRDefault="00A07EF3" w:rsidP="00313DEB">
      <w:pPr>
        <w:numPr>
          <w:ilvl w:val="0"/>
          <w:numId w:val="25"/>
        </w:numPr>
        <w:tabs>
          <w:tab w:val="left" w:pos="900"/>
        </w:tabs>
        <w:spacing w:after="240"/>
        <w:ind w:left="900" w:right="2"/>
        <w:jc w:val="both"/>
        <w:rPr>
          <w:rFonts w:eastAsia="Arial"/>
          <w:i/>
          <w:color w:val="181816"/>
          <w:sz w:val="22"/>
          <w:szCs w:val="22"/>
          <w:lang w:val="en-CA" w:eastAsia="en-US" w:bidi="en-CA"/>
        </w:rPr>
      </w:pPr>
      <w:r w:rsidRPr="0071186E">
        <w:rPr>
          <w:rFonts w:eastAsia="Arial"/>
          <w:i/>
          <w:color w:val="181816"/>
          <w:sz w:val="22"/>
          <w:szCs w:val="22"/>
          <w:lang w:val="en-CA" w:eastAsia="en-US" w:bidi="en-CA"/>
        </w:rPr>
        <w:t>an indication of the obligation for the organization not to deduct, for income tax purposes, the costs of any reparations or other measures referred to in paragraph (g) or any other costs incurred to fulfil the terms of the agreement</w:t>
      </w:r>
    </w:p>
    <w:p w14:paraId="28E17689" w14:textId="5DC025E0" w:rsidR="00540F45" w:rsidRPr="0071186E" w:rsidRDefault="00A07EF3" w:rsidP="00540F45">
      <w:pPr>
        <w:pStyle w:val="SimpleL1"/>
        <w:rPr>
          <w:lang w:val="en-CA" w:bidi="en-CA"/>
        </w:rPr>
      </w:pPr>
      <w:r w:rsidRPr="0071186E">
        <w:rPr>
          <w:lang w:val="en-CA" w:bidi="en-CA"/>
        </w:rPr>
        <w:t xml:space="preserve">In paragraph 27 of the Agreement, the Organizations undertake not to </w:t>
      </w:r>
      <w:r w:rsidR="002656E8">
        <w:rPr>
          <w:lang w:val="en-CA" w:bidi="en-CA"/>
        </w:rPr>
        <w:t>deduct, for income tax purposes,</w:t>
      </w:r>
      <w:r w:rsidRPr="0071186E">
        <w:rPr>
          <w:lang w:val="en-CA" w:bidi="en-CA"/>
        </w:rPr>
        <w:t xml:space="preserve"> the costs </w:t>
      </w:r>
      <w:r w:rsidR="002656E8">
        <w:rPr>
          <w:lang w:val="en-CA" w:bidi="en-CA"/>
        </w:rPr>
        <w:t>of</w:t>
      </w:r>
      <w:r w:rsidR="00B15BEB" w:rsidRPr="0071186E">
        <w:rPr>
          <w:lang w:val="en-CA" w:bidi="en-CA"/>
        </w:rPr>
        <w:t xml:space="preserve"> </w:t>
      </w:r>
      <w:r w:rsidRPr="0071186E">
        <w:rPr>
          <w:lang w:val="en-CA" w:bidi="en-CA"/>
        </w:rPr>
        <w:t xml:space="preserve">the payments referred to in </w:t>
      </w:r>
      <w:r w:rsidR="009869C7">
        <w:rPr>
          <w:lang w:val="en-CA" w:bidi="en-CA"/>
        </w:rPr>
        <w:t>paragraphs</w:t>
      </w:r>
      <w:r w:rsidRPr="0071186E">
        <w:rPr>
          <w:lang w:val="en-CA" w:bidi="en-CA"/>
        </w:rPr>
        <w:t xml:space="preserve"> 18 to 25 of </w:t>
      </w:r>
      <w:r w:rsidR="000B7F45" w:rsidRPr="0071186E">
        <w:rPr>
          <w:lang w:val="en-CA" w:bidi="en-CA"/>
        </w:rPr>
        <w:t xml:space="preserve">the </w:t>
      </w:r>
      <w:r w:rsidRPr="0071186E">
        <w:rPr>
          <w:lang w:val="en-CA" w:bidi="en-CA"/>
        </w:rPr>
        <w:t>Agreement.</w:t>
      </w:r>
    </w:p>
    <w:p w14:paraId="6C8D3E7B" w14:textId="77777777" w:rsidR="00A07EF3" w:rsidRPr="0071186E" w:rsidRDefault="00A07EF3" w:rsidP="00313DEB">
      <w:pPr>
        <w:numPr>
          <w:ilvl w:val="0"/>
          <w:numId w:val="25"/>
        </w:numPr>
        <w:tabs>
          <w:tab w:val="left" w:pos="900"/>
        </w:tabs>
        <w:spacing w:after="240"/>
        <w:ind w:left="900" w:right="2"/>
        <w:jc w:val="both"/>
        <w:rPr>
          <w:rFonts w:eastAsia="Arial"/>
          <w:i/>
          <w:color w:val="181816"/>
          <w:sz w:val="22"/>
          <w:szCs w:val="22"/>
          <w:lang w:val="en-CA" w:eastAsia="en-US" w:bidi="en-CA"/>
        </w:rPr>
      </w:pPr>
      <w:r w:rsidRPr="0071186E">
        <w:rPr>
          <w:rFonts w:eastAsia="Arial"/>
          <w:i/>
          <w:color w:val="181816"/>
          <w:sz w:val="22"/>
          <w:szCs w:val="22"/>
          <w:lang w:val="en-CA" w:eastAsia="en-US" w:bidi="en-CA"/>
        </w:rPr>
        <w:t>a notice of the prosecutor’s right to vary or terminate the agreement with the approval of the court</w:t>
      </w:r>
    </w:p>
    <w:p w14:paraId="01A2F74A" w14:textId="34CB45D8" w:rsidR="00A07EF3" w:rsidRPr="0071186E" w:rsidRDefault="00701389" w:rsidP="00540F45">
      <w:pPr>
        <w:pStyle w:val="SimpleL1"/>
        <w:rPr>
          <w:lang w:val="en-CA" w:bidi="en-CA"/>
        </w:rPr>
      </w:pPr>
      <w:r>
        <w:rPr>
          <w:lang w:val="en-CA" w:bidi="en-CA"/>
        </w:rPr>
        <w:lastRenderedPageBreak/>
        <w:t>P</w:t>
      </w:r>
      <w:r w:rsidR="00A07EF3" w:rsidRPr="0071186E">
        <w:rPr>
          <w:lang w:val="en-CA" w:bidi="en-CA"/>
        </w:rPr>
        <w:t xml:space="preserve">aragraphs 48 and 49 of the Agreement </w:t>
      </w:r>
      <w:r>
        <w:rPr>
          <w:lang w:val="en-CA" w:bidi="en-CA"/>
        </w:rPr>
        <w:t xml:space="preserve">provide </w:t>
      </w:r>
      <w:r w:rsidR="00A07EF3" w:rsidRPr="0071186E">
        <w:rPr>
          <w:lang w:val="en-CA" w:bidi="en-CA"/>
        </w:rPr>
        <w:t xml:space="preserve">that the Prosecutor may </w:t>
      </w:r>
      <w:r>
        <w:rPr>
          <w:lang w:val="en-CA" w:bidi="en-CA"/>
        </w:rPr>
        <w:t>apply to</w:t>
      </w:r>
      <w:r w:rsidRPr="0071186E">
        <w:rPr>
          <w:lang w:val="en-CA" w:bidi="en-CA"/>
        </w:rPr>
        <w:t xml:space="preserve"> </w:t>
      </w:r>
      <w:r w:rsidR="00A07EF3" w:rsidRPr="0071186E">
        <w:rPr>
          <w:lang w:val="en-CA" w:bidi="en-CA"/>
        </w:rPr>
        <w:t xml:space="preserve">the Court to </w:t>
      </w:r>
      <w:r>
        <w:rPr>
          <w:lang w:val="en-CA" w:bidi="en-CA"/>
        </w:rPr>
        <w:t xml:space="preserve">vary </w:t>
      </w:r>
      <w:r w:rsidR="009869C7">
        <w:rPr>
          <w:lang w:val="en-CA" w:bidi="en-CA"/>
        </w:rPr>
        <w:t>the Agreement during its effective p</w:t>
      </w:r>
      <w:r w:rsidR="00A07EF3" w:rsidRPr="0071186E">
        <w:rPr>
          <w:lang w:val="en-CA" w:bidi="en-CA"/>
        </w:rPr>
        <w:t>eriod, or to terminate the Agreement in the event that one of its terms has been breached.</w:t>
      </w:r>
    </w:p>
    <w:p w14:paraId="63F57612" w14:textId="77777777" w:rsidR="00A07EF3" w:rsidRPr="0071186E" w:rsidRDefault="00A07EF3" w:rsidP="00313DEB">
      <w:pPr>
        <w:numPr>
          <w:ilvl w:val="0"/>
          <w:numId w:val="25"/>
        </w:numPr>
        <w:tabs>
          <w:tab w:val="left" w:pos="900"/>
        </w:tabs>
        <w:spacing w:after="240"/>
        <w:ind w:left="900" w:right="2"/>
        <w:jc w:val="both"/>
        <w:rPr>
          <w:rFonts w:eastAsia="Arial"/>
          <w:i/>
          <w:color w:val="181816"/>
          <w:sz w:val="22"/>
          <w:szCs w:val="22"/>
          <w:lang w:val="en-CA" w:eastAsia="en-US" w:bidi="en-CA"/>
        </w:rPr>
      </w:pPr>
      <w:r w:rsidRPr="0071186E">
        <w:rPr>
          <w:rFonts w:eastAsia="Arial"/>
          <w:i/>
          <w:color w:val="181816"/>
          <w:sz w:val="22"/>
          <w:szCs w:val="22"/>
          <w:lang w:val="en-CA" w:eastAsia="en-US" w:bidi="en-CA"/>
        </w:rPr>
        <w:t>an indication of the deadline by which the organization must meet the terms of the agreement</w:t>
      </w:r>
    </w:p>
    <w:p w14:paraId="5ABF867A" w14:textId="7BBE47E6" w:rsidR="00A07EF3" w:rsidRPr="0071186E" w:rsidRDefault="00A07EF3" w:rsidP="00540F45">
      <w:pPr>
        <w:pStyle w:val="SimpleL1"/>
        <w:rPr>
          <w:lang w:val="en-CA" w:bidi="en-CA"/>
        </w:rPr>
      </w:pPr>
      <w:r w:rsidRPr="0071186E">
        <w:rPr>
          <w:lang w:val="en-CA" w:bidi="en-CA"/>
        </w:rPr>
        <w:t xml:space="preserve">The </w:t>
      </w:r>
      <w:r w:rsidR="00A925D5">
        <w:rPr>
          <w:lang w:val="en-CA" w:bidi="en-CA"/>
        </w:rPr>
        <w:t>effective period of the Agreement is</w:t>
      </w:r>
      <w:r w:rsidRPr="0071186E">
        <w:rPr>
          <w:lang w:val="en-CA" w:bidi="en-CA"/>
        </w:rPr>
        <w:t xml:space="preserve"> three (3) years, as indicated in paragraph 10 of the Agreement.</w:t>
      </w:r>
    </w:p>
    <w:p w14:paraId="0096D7E2" w14:textId="2E4642AF" w:rsidR="00A07EF3" w:rsidRPr="0071186E" w:rsidRDefault="00A07EF3" w:rsidP="00540F45">
      <w:pPr>
        <w:pStyle w:val="SimpleL1"/>
        <w:rPr>
          <w:lang w:val="en-CA" w:bidi="en-CA"/>
        </w:rPr>
      </w:pPr>
      <w:r w:rsidRPr="0071186E">
        <w:rPr>
          <w:lang w:val="en-CA" w:bidi="en-CA"/>
        </w:rPr>
        <w:t xml:space="preserve">The Court </w:t>
      </w:r>
      <w:r w:rsidR="00701389">
        <w:rPr>
          <w:lang w:val="en-CA" w:bidi="en-CA"/>
        </w:rPr>
        <w:t>concludes</w:t>
      </w:r>
      <w:r w:rsidRPr="0071186E">
        <w:rPr>
          <w:lang w:val="en-CA" w:bidi="en-CA"/>
        </w:rPr>
        <w:t xml:space="preserve"> that the Agreement meets the requirements of </w:t>
      </w:r>
      <w:r w:rsidR="00701389">
        <w:rPr>
          <w:lang w:val="en-CA" w:bidi="en-CA"/>
        </w:rPr>
        <w:t>subsection</w:t>
      </w:r>
      <w:r w:rsidR="00701389" w:rsidRPr="0071186E">
        <w:rPr>
          <w:lang w:val="en-CA" w:bidi="en-CA"/>
        </w:rPr>
        <w:t> </w:t>
      </w:r>
      <w:r w:rsidRPr="0071186E">
        <w:rPr>
          <w:lang w:val="en-CA" w:bidi="en-CA"/>
        </w:rPr>
        <w:t>715.34(1) Cr.</w:t>
      </w:r>
      <w:r w:rsidR="00701389">
        <w:rPr>
          <w:lang w:val="en-CA" w:bidi="en-CA"/>
        </w:rPr>
        <w:t> </w:t>
      </w:r>
      <w:r w:rsidRPr="0071186E">
        <w:rPr>
          <w:lang w:val="en-CA" w:bidi="en-CA"/>
        </w:rPr>
        <w:t>C.</w:t>
      </w:r>
    </w:p>
    <w:p w14:paraId="35E4993F" w14:textId="77777777" w:rsidR="00A07EF3" w:rsidRPr="0071186E" w:rsidRDefault="00A07EF3" w:rsidP="00540F45">
      <w:pPr>
        <w:pStyle w:val="SimpleL1"/>
        <w:rPr>
          <w:lang w:val="en-CA" w:bidi="en-CA"/>
        </w:rPr>
      </w:pPr>
      <w:r w:rsidRPr="0071186E">
        <w:rPr>
          <w:lang w:val="en-CA" w:bidi="en-CA"/>
        </w:rPr>
        <w:t>Additionally, the Agreement contains certain discretionary elements that are discussed below.</w:t>
      </w:r>
    </w:p>
    <w:p w14:paraId="1DD7DCCF" w14:textId="77777777" w:rsidR="00A07EF3" w:rsidRPr="0071186E" w:rsidRDefault="00A07EF3" w:rsidP="001E6FC4">
      <w:pPr>
        <w:pStyle w:val="Titre6"/>
        <w:ind w:hanging="720"/>
        <w:rPr>
          <w:lang w:val="en-CA" w:bidi="en-CA"/>
        </w:rPr>
      </w:pPr>
      <w:bookmarkStart w:id="19" w:name="_Toc109310858"/>
      <w:r w:rsidRPr="0071186E">
        <w:rPr>
          <w:lang w:val="en-CA" w:bidi="en-CA"/>
        </w:rPr>
        <w:t>The discretionary content of the Agreement</w:t>
      </w:r>
      <w:bookmarkEnd w:id="19"/>
    </w:p>
    <w:p w14:paraId="7D3EA4BF" w14:textId="35639FEF" w:rsidR="00A07EF3" w:rsidRPr="006A13E2" w:rsidRDefault="00701389" w:rsidP="00A07EF3">
      <w:pPr>
        <w:pStyle w:val="SimpleL1"/>
        <w:rPr>
          <w:lang w:val="en-CA" w:bidi="en-CA"/>
        </w:rPr>
      </w:pPr>
      <w:r>
        <w:rPr>
          <w:lang w:val="en-CA" w:bidi="en-CA"/>
        </w:rPr>
        <w:t>Subsection</w:t>
      </w:r>
      <w:r w:rsidRPr="006A13E2">
        <w:rPr>
          <w:lang w:val="en-CA" w:bidi="en-CA"/>
        </w:rPr>
        <w:t xml:space="preserve"> </w:t>
      </w:r>
      <w:r w:rsidR="00A07EF3" w:rsidRPr="006A13E2">
        <w:rPr>
          <w:lang w:val="en-CA" w:bidi="en-CA"/>
        </w:rPr>
        <w:t xml:space="preserve">715.34(3) mentions elements that the parties </w:t>
      </w:r>
      <w:r w:rsidR="00A07EF3" w:rsidRPr="006A13E2">
        <w:rPr>
          <w:i/>
          <w:lang w:val="en-CA" w:bidi="en-CA"/>
        </w:rPr>
        <w:t>may</w:t>
      </w:r>
      <w:r w:rsidR="00A07EF3" w:rsidRPr="006A13E2">
        <w:rPr>
          <w:lang w:val="en-CA" w:bidi="en-CA"/>
        </w:rPr>
        <w:t xml:space="preserve"> include in their Agreement</w:t>
      </w:r>
      <w:r w:rsidR="000B7F45" w:rsidRPr="006A13E2">
        <w:rPr>
          <w:lang w:val="en-CA" w:bidi="en-CA"/>
        </w:rPr>
        <w:t>, namely</w:t>
      </w:r>
      <w:r w:rsidR="00A07EF3" w:rsidRPr="006A13E2">
        <w:rPr>
          <w:lang w:val="en-CA" w:bidi="en-CA"/>
        </w:rPr>
        <w:t xml:space="preserve"> the following:</w:t>
      </w:r>
    </w:p>
    <w:p w14:paraId="67433263" w14:textId="77777777" w:rsidR="00A07EF3" w:rsidRPr="0071186E" w:rsidRDefault="00A07EF3" w:rsidP="001D03AE">
      <w:pPr>
        <w:pStyle w:val="Citationenretrait"/>
        <w:rPr>
          <w:lang w:val="en-CA"/>
        </w:rPr>
      </w:pPr>
      <w:r w:rsidRPr="0071186E">
        <w:rPr>
          <w:b/>
          <w:bCs/>
          <w:lang w:val="en-CA"/>
        </w:rPr>
        <w:t>(a)</w:t>
      </w:r>
      <w:r w:rsidRPr="0071186E">
        <w:rPr>
          <w:lang w:val="en-CA"/>
        </w:rPr>
        <w:t> an indication of the obligation for the organization to establish, implement or enhance compliance measures to address any deficiencies in the organization’s policies, standards or procedures — including those related to internal control procedures and employee training — that may have allowed the act or omission;</w:t>
      </w:r>
    </w:p>
    <w:p w14:paraId="17F0FBAD" w14:textId="77777777" w:rsidR="00A07EF3" w:rsidRPr="0071186E" w:rsidRDefault="00A07EF3" w:rsidP="001D03AE">
      <w:pPr>
        <w:pStyle w:val="Citationenretrait"/>
        <w:rPr>
          <w:lang w:val="en-CA"/>
        </w:rPr>
      </w:pPr>
      <w:r w:rsidRPr="0071186E">
        <w:rPr>
          <w:b/>
          <w:bCs/>
          <w:lang w:val="en-CA"/>
        </w:rPr>
        <w:t>(b)</w:t>
      </w:r>
      <w:r w:rsidRPr="0071186E">
        <w:rPr>
          <w:lang w:val="en-CA"/>
        </w:rPr>
        <w:t> an indication of the obligation for the organization to reimburse the prosecutor for any costs identified in the agreement that are related to its administration and that have or will be incurred by the prosecutor; and</w:t>
      </w:r>
    </w:p>
    <w:p w14:paraId="12F3CB0E" w14:textId="77777777" w:rsidR="00A07EF3" w:rsidRPr="0071186E" w:rsidRDefault="00A07EF3" w:rsidP="001D03AE">
      <w:pPr>
        <w:pStyle w:val="Citationenretrait"/>
        <w:rPr>
          <w:lang w:val="en-CA" w:bidi="en-CA"/>
        </w:rPr>
      </w:pPr>
      <w:r w:rsidRPr="0071186E">
        <w:rPr>
          <w:b/>
          <w:bCs/>
          <w:lang w:val="en-CA"/>
        </w:rPr>
        <w:t>(c)</w:t>
      </w:r>
      <w:r w:rsidRPr="0071186E">
        <w:rPr>
          <w:lang w:val="en-CA"/>
        </w:rPr>
        <w:t> an indication of the fact that an independent monitor has been appointed, as selected with the prosecutor’s approval, to verify and report to the prosecutor on the organization’s compliance with the obligation referred to in paragraph (a), or any other obligation in the agreement identified by the prosecutor, as well as an indication of the organization’s obligations with respect to that monitor, including the obligations to cooperate with the monitor and pay the monitor’s costs.</w:t>
      </w:r>
      <w:r w:rsidRPr="0071186E">
        <w:rPr>
          <w:lang w:val="en-CA" w:bidi="en-CA"/>
        </w:rPr>
        <w:t xml:space="preserve"> </w:t>
      </w:r>
    </w:p>
    <w:p w14:paraId="2DC19C32" w14:textId="4B29E145" w:rsidR="00A07EF3" w:rsidRPr="0071186E" w:rsidRDefault="00A954B6" w:rsidP="006A13E2">
      <w:pPr>
        <w:pStyle w:val="SimpleL1"/>
        <w:rPr>
          <w:lang w:val="en-CA" w:bidi="en-CA"/>
        </w:rPr>
      </w:pPr>
      <w:r>
        <w:rPr>
          <w:lang w:val="en-CA" w:bidi="en-CA"/>
        </w:rPr>
        <w:t>I</w:t>
      </w:r>
      <w:r w:rsidRPr="0071186E">
        <w:rPr>
          <w:lang w:val="en-CA" w:bidi="en-CA"/>
        </w:rPr>
        <w:t>n their Agreement</w:t>
      </w:r>
      <w:r>
        <w:rPr>
          <w:lang w:val="en-CA" w:bidi="en-CA"/>
        </w:rPr>
        <w:t>, t</w:t>
      </w:r>
      <w:r w:rsidR="001D03AE" w:rsidRPr="0071186E">
        <w:rPr>
          <w:lang w:val="en-CA" w:bidi="en-CA"/>
        </w:rPr>
        <w:t>he Parties provided</w:t>
      </w:r>
      <w:r>
        <w:rPr>
          <w:lang w:val="en-CA" w:bidi="en-CA"/>
        </w:rPr>
        <w:t xml:space="preserve"> for</w:t>
      </w:r>
      <w:r w:rsidR="001D03AE" w:rsidRPr="0071186E">
        <w:rPr>
          <w:lang w:val="en-CA" w:bidi="en-CA"/>
        </w:rPr>
        <w:t xml:space="preserve"> several of these discretionary elements.</w:t>
      </w:r>
    </w:p>
    <w:p w14:paraId="77920845" w14:textId="7498B6DD" w:rsidR="001D03AE" w:rsidRPr="0071186E" w:rsidRDefault="001D03AE" w:rsidP="006A13E2">
      <w:pPr>
        <w:pStyle w:val="SimpleL1"/>
        <w:numPr>
          <w:ilvl w:val="0"/>
          <w:numId w:val="0"/>
        </w:numPr>
        <w:rPr>
          <w:lang w:val="en-CA" w:bidi="en-CA"/>
        </w:rPr>
      </w:pPr>
      <w:r w:rsidRPr="0071186E">
        <w:rPr>
          <w:i/>
          <w:lang w:val="en-CA" w:bidi="en-CA"/>
        </w:rPr>
        <w:t>Establishment and enhancements of compliance measures (</w:t>
      </w:r>
      <w:r w:rsidR="006A13E2">
        <w:rPr>
          <w:i/>
          <w:lang w:val="en-CA" w:bidi="en-CA"/>
        </w:rPr>
        <w:t>paragraph</w:t>
      </w:r>
      <w:r w:rsidR="0071186E" w:rsidRPr="0071186E">
        <w:rPr>
          <w:i/>
          <w:lang w:val="en-CA" w:bidi="en-CA"/>
        </w:rPr>
        <w:t> </w:t>
      </w:r>
      <w:r w:rsidRPr="0071186E">
        <w:rPr>
          <w:i/>
          <w:lang w:val="en-CA" w:bidi="en-CA"/>
        </w:rPr>
        <w:t>715.34(3)(a))</w:t>
      </w:r>
    </w:p>
    <w:p w14:paraId="385444AA" w14:textId="3A4D152C" w:rsidR="001D03AE" w:rsidRPr="0071186E" w:rsidRDefault="001D03AE" w:rsidP="00A07EF3">
      <w:pPr>
        <w:pStyle w:val="SimpleL1"/>
        <w:rPr>
          <w:lang w:val="en-CA" w:bidi="en-CA"/>
        </w:rPr>
      </w:pPr>
      <w:r w:rsidRPr="0071186E">
        <w:rPr>
          <w:lang w:val="en-CA" w:bidi="en-CA"/>
        </w:rPr>
        <w:t>The Organizations</w:t>
      </w:r>
      <w:r w:rsidR="00C62327">
        <w:rPr>
          <w:lang w:val="en-CA" w:bidi="en-CA"/>
        </w:rPr>
        <w:t xml:space="preserve"> specifically</w:t>
      </w:r>
      <w:r w:rsidRPr="0071186E">
        <w:rPr>
          <w:lang w:val="en-CA" w:bidi="en-CA"/>
        </w:rPr>
        <w:t xml:space="preserve"> undertake to establish and enhance their Integrity Program and the various compliance measures making up the program. They undertake to address any deficiencies in their policies, standards or procedures — including those related to internal control and employee training procedures — that may have </w:t>
      </w:r>
      <w:r w:rsidR="00C62327">
        <w:rPr>
          <w:lang w:val="en-CA" w:bidi="en-CA"/>
        </w:rPr>
        <w:t>contributed to</w:t>
      </w:r>
      <w:r w:rsidR="00C62327" w:rsidRPr="0071186E">
        <w:rPr>
          <w:lang w:val="en-CA" w:bidi="en-CA"/>
        </w:rPr>
        <w:t xml:space="preserve"> </w:t>
      </w:r>
      <w:r w:rsidRPr="0071186E">
        <w:rPr>
          <w:lang w:val="en-CA" w:bidi="en-CA"/>
        </w:rPr>
        <w:t xml:space="preserve">the acts or omissions giving rise to the </w:t>
      </w:r>
      <w:r w:rsidR="000B7F45" w:rsidRPr="0071186E">
        <w:rPr>
          <w:lang w:val="en-CA" w:bidi="en-CA"/>
        </w:rPr>
        <w:t>o</w:t>
      </w:r>
      <w:r w:rsidRPr="0071186E">
        <w:rPr>
          <w:lang w:val="en-CA" w:bidi="en-CA"/>
        </w:rPr>
        <w:t>ffences</w:t>
      </w:r>
      <w:r w:rsidR="000B7F45" w:rsidRPr="0071186E">
        <w:rPr>
          <w:lang w:val="en-CA" w:bidi="en-CA"/>
        </w:rPr>
        <w:t xml:space="preserve"> charged</w:t>
      </w:r>
      <w:r w:rsidRPr="0071186E">
        <w:rPr>
          <w:lang w:val="en-CA" w:bidi="en-CA"/>
        </w:rPr>
        <w:t xml:space="preserve">. As such, in paragraph 28 of </w:t>
      </w:r>
      <w:r w:rsidRPr="0071186E">
        <w:rPr>
          <w:lang w:val="en-CA" w:bidi="en-CA"/>
        </w:rPr>
        <w:lastRenderedPageBreak/>
        <w:t xml:space="preserve">the Agreement, several categories of compliance measures are listed. </w:t>
      </w:r>
      <w:r w:rsidR="00564357">
        <w:rPr>
          <w:lang w:val="en-CA" w:bidi="en-CA"/>
        </w:rPr>
        <w:t>In particular, t</w:t>
      </w:r>
      <w:r w:rsidRPr="0071186E">
        <w:rPr>
          <w:lang w:val="en-CA" w:bidi="en-CA"/>
        </w:rPr>
        <w:t xml:space="preserve">his list includes the disclosure of the Integrity Program to the employees, executives, officers, directors, agents, consultants and any person to whom such a disclosure must be made; internal control, </w:t>
      </w:r>
      <w:r w:rsidR="00564357">
        <w:rPr>
          <w:lang w:val="en-CA" w:bidi="en-CA"/>
        </w:rPr>
        <w:t>auditing</w:t>
      </w:r>
      <w:r w:rsidR="00564357" w:rsidRPr="0071186E">
        <w:rPr>
          <w:lang w:val="en-CA" w:bidi="en-CA"/>
        </w:rPr>
        <w:t xml:space="preserve"> </w:t>
      </w:r>
      <w:r w:rsidRPr="0071186E">
        <w:rPr>
          <w:lang w:val="en-CA" w:bidi="en-CA"/>
        </w:rPr>
        <w:t>and reporting procedures; hiring control mechanisms by way of applicant integrity verifications</w:t>
      </w:r>
      <w:r w:rsidR="0071186E" w:rsidRPr="0071186E">
        <w:rPr>
          <w:lang w:val="en-CA" w:bidi="en-CA"/>
        </w:rPr>
        <w:t>,</w:t>
      </w:r>
      <w:r w:rsidRPr="0071186E">
        <w:rPr>
          <w:lang w:val="en-CA" w:bidi="en-CA"/>
        </w:rPr>
        <w:t xml:space="preserve"> the substance of which reflects the position to be held by the applicant</w:t>
      </w:r>
      <w:r w:rsidR="0071186E" w:rsidRPr="0071186E">
        <w:rPr>
          <w:lang w:val="en-CA" w:bidi="en-CA"/>
        </w:rPr>
        <w:t>,</w:t>
      </w:r>
      <w:r w:rsidRPr="0071186E">
        <w:rPr>
          <w:lang w:val="en-CA" w:bidi="en-CA"/>
        </w:rPr>
        <w:t xml:space="preserve"> as well as a conflict of interests verification for applicants where an appearance of conflict of interests is likely; systematic disciplinary action</w:t>
      </w:r>
      <w:r w:rsidR="00564357">
        <w:rPr>
          <w:lang w:val="en-CA" w:bidi="en-CA"/>
        </w:rPr>
        <w:t>, whe</w:t>
      </w:r>
      <w:r w:rsidR="00312121">
        <w:rPr>
          <w:lang w:val="en-CA" w:bidi="en-CA"/>
        </w:rPr>
        <w:t>re</w:t>
      </w:r>
      <w:r w:rsidRPr="0071186E">
        <w:rPr>
          <w:lang w:val="en-CA" w:bidi="en-CA"/>
        </w:rPr>
        <w:t xml:space="preserve"> warranted</w:t>
      </w:r>
      <w:r w:rsidR="00564357">
        <w:rPr>
          <w:lang w:val="en-CA" w:bidi="en-CA"/>
        </w:rPr>
        <w:t>,</w:t>
      </w:r>
      <w:r w:rsidRPr="0071186E">
        <w:rPr>
          <w:lang w:val="en-CA" w:bidi="en-CA"/>
        </w:rPr>
        <w:t xml:space="preserve"> for </w:t>
      </w:r>
      <w:r w:rsidR="00312121">
        <w:rPr>
          <w:lang w:val="en-CA" w:bidi="en-CA"/>
        </w:rPr>
        <w:t>failing</w:t>
      </w:r>
      <w:r w:rsidRPr="0071186E">
        <w:rPr>
          <w:lang w:val="en-CA" w:bidi="en-CA"/>
        </w:rPr>
        <w:t xml:space="preserve"> to comply with the Integrity Program; </w:t>
      </w:r>
      <w:r w:rsidR="00105D90">
        <w:rPr>
          <w:lang w:val="en-CA" w:bidi="en-CA"/>
        </w:rPr>
        <w:t xml:space="preserve">compliance </w:t>
      </w:r>
      <w:r w:rsidRPr="0071186E">
        <w:rPr>
          <w:lang w:val="en-CA" w:bidi="en-CA"/>
        </w:rPr>
        <w:t>incentive</w:t>
      </w:r>
      <w:r w:rsidR="00044A39">
        <w:rPr>
          <w:lang w:val="en-CA" w:bidi="en-CA"/>
        </w:rPr>
        <w:t>s</w:t>
      </w:r>
      <w:r w:rsidRPr="0071186E">
        <w:rPr>
          <w:lang w:val="en-CA" w:bidi="en-CA"/>
        </w:rPr>
        <w:t>; etc.</w:t>
      </w:r>
    </w:p>
    <w:p w14:paraId="13DB0281" w14:textId="2B7C77AF" w:rsidR="001D03AE" w:rsidRPr="0071186E" w:rsidRDefault="001D03AE" w:rsidP="00A07EF3">
      <w:pPr>
        <w:pStyle w:val="SimpleL1"/>
        <w:rPr>
          <w:lang w:val="en-CA" w:bidi="en-CA"/>
        </w:rPr>
      </w:pPr>
      <w:r w:rsidRPr="0071186E">
        <w:rPr>
          <w:lang w:val="en-CA" w:bidi="en-CA"/>
        </w:rPr>
        <w:t xml:space="preserve">Furthermore, in paragraph 29 of the Agreement, the Organizations undertake to ensure that SNCLG develops and offers training sessions </w:t>
      </w:r>
      <w:r w:rsidR="000B7F45" w:rsidRPr="0071186E">
        <w:rPr>
          <w:lang w:val="en-CA" w:bidi="en-CA"/>
        </w:rPr>
        <w:t xml:space="preserve">on </w:t>
      </w:r>
      <w:r w:rsidR="003005C4" w:rsidRPr="0071186E">
        <w:rPr>
          <w:lang w:val="en-CA" w:bidi="en-CA"/>
        </w:rPr>
        <w:t xml:space="preserve">the rules </w:t>
      </w:r>
      <w:r w:rsidR="009A0088" w:rsidRPr="0071186E">
        <w:rPr>
          <w:lang w:val="en-CA" w:bidi="en-CA"/>
        </w:rPr>
        <w:t xml:space="preserve">applicable </w:t>
      </w:r>
      <w:r w:rsidR="00A02DDE" w:rsidRPr="0071186E">
        <w:rPr>
          <w:lang w:val="en-CA" w:bidi="en-CA"/>
        </w:rPr>
        <w:t xml:space="preserve">to federal and Quebec suppliers under public procurement agreements, including the general principles under the laws, regulations and codes of conduct respecting procurement and ineligibility/suspension policies, </w:t>
      </w:r>
      <w:r w:rsidR="009B5804">
        <w:rPr>
          <w:lang w:val="en-CA" w:bidi="en-CA"/>
        </w:rPr>
        <w:t>and</w:t>
      </w:r>
      <w:r w:rsidR="00A02DDE" w:rsidRPr="0071186E">
        <w:rPr>
          <w:lang w:val="en-CA" w:bidi="en-CA"/>
        </w:rPr>
        <w:t xml:space="preserve"> the reasonable expectations with respect to suppliers </w:t>
      </w:r>
      <w:r w:rsidR="009B5804">
        <w:rPr>
          <w:lang w:val="en-CA" w:bidi="en-CA"/>
        </w:rPr>
        <w:t>arising</w:t>
      </w:r>
      <w:r w:rsidR="00A02DDE" w:rsidRPr="0071186E">
        <w:rPr>
          <w:lang w:val="en-CA" w:bidi="en-CA"/>
        </w:rPr>
        <w:t xml:space="preserve"> from the rules to which the contractors in question are subject.</w:t>
      </w:r>
      <w:r w:rsidR="000B7F45" w:rsidRPr="0071186E">
        <w:rPr>
          <w:lang w:val="en-CA" w:bidi="en-CA"/>
        </w:rPr>
        <w:t xml:space="preserve"> T</w:t>
      </w:r>
      <w:r w:rsidRPr="0071186E">
        <w:rPr>
          <w:lang w:val="en-CA" w:bidi="en-CA"/>
        </w:rPr>
        <w:t xml:space="preserve">hese training sessions will be mandatory </w:t>
      </w:r>
      <w:r w:rsidR="00925CBA" w:rsidRPr="0071186E">
        <w:rPr>
          <w:lang w:val="en-CA" w:bidi="en-CA"/>
        </w:rPr>
        <w:t>for</w:t>
      </w:r>
      <w:r w:rsidRPr="0071186E">
        <w:rPr>
          <w:lang w:val="en-CA" w:bidi="en-CA"/>
        </w:rPr>
        <w:t xml:space="preserve"> all Stakeholders (defined as being its employees, self-employed workers, third-party staff made available to SNCLG, officers and directors) involved in the decision-making process for obtaining public contracts or awarding the sub-contracts related thereto or who are legally required to take such training.</w:t>
      </w:r>
    </w:p>
    <w:p w14:paraId="53FBD30C" w14:textId="44EC377D" w:rsidR="001D03AE" w:rsidRPr="0071186E" w:rsidRDefault="001D03AE" w:rsidP="00A07EF3">
      <w:pPr>
        <w:pStyle w:val="SimpleL1"/>
        <w:rPr>
          <w:lang w:val="en-CA" w:bidi="en-CA"/>
        </w:rPr>
      </w:pPr>
      <w:r w:rsidRPr="0071186E">
        <w:rPr>
          <w:lang w:val="en-CA" w:bidi="en-CA"/>
        </w:rPr>
        <w:t>The Organizations also undertake to provide training sessions on post-employment measures and conflict of interest guidelines applicable when hiring public servants and former public servants, including the personnel of various federal and Quebec Crown corporations and members of their immediate families. These mandatory training sessions shall be offered to executives and the human resources staff involved in the hiring process in Canada or who are legally required to take such training.</w:t>
      </w:r>
      <w:bookmarkStart w:id="20" w:name="_UserCurPos"/>
      <w:bookmarkEnd w:id="20"/>
    </w:p>
    <w:p w14:paraId="7EDC586F" w14:textId="131A53B2" w:rsidR="00A07EF3" w:rsidRPr="0071186E" w:rsidRDefault="001D03AE" w:rsidP="00A07EF3">
      <w:pPr>
        <w:rPr>
          <w:i/>
          <w:lang w:val="en-CA" w:bidi="en-CA"/>
        </w:rPr>
      </w:pPr>
      <w:r w:rsidRPr="0071186E">
        <w:rPr>
          <w:i/>
          <w:lang w:val="en-CA" w:bidi="en-CA"/>
        </w:rPr>
        <w:t xml:space="preserve">Reimbursement of </w:t>
      </w:r>
      <w:r w:rsidR="009B5804" w:rsidRPr="0071186E">
        <w:rPr>
          <w:i/>
          <w:lang w:val="en-CA" w:bidi="en-CA"/>
        </w:rPr>
        <w:t>the Prosecutor</w:t>
      </w:r>
      <w:r w:rsidR="009B5804">
        <w:rPr>
          <w:i/>
          <w:lang w:val="en-CA" w:bidi="en-CA"/>
        </w:rPr>
        <w:t xml:space="preserve"> for</w:t>
      </w:r>
      <w:r w:rsidR="009B5804" w:rsidRPr="0071186E">
        <w:rPr>
          <w:i/>
          <w:lang w:val="en-CA" w:bidi="en-CA"/>
        </w:rPr>
        <w:t xml:space="preserve"> </w:t>
      </w:r>
      <w:r w:rsidRPr="0071186E">
        <w:rPr>
          <w:i/>
          <w:lang w:val="en-CA" w:bidi="en-CA"/>
        </w:rPr>
        <w:t xml:space="preserve">the costs related to the administration of the agreement </w:t>
      </w:r>
    </w:p>
    <w:p w14:paraId="66399BCC" w14:textId="77777777" w:rsidR="001D03AE" w:rsidRPr="0071186E" w:rsidRDefault="001D03AE" w:rsidP="00A07EF3">
      <w:pPr>
        <w:rPr>
          <w:lang w:val="en-CA" w:bidi="en-CA"/>
        </w:rPr>
      </w:pPr>
    </w:p>
    <w:p w14:paraId="4B1ADC84" w14:textId="096C375C" w:rsidR="00A07EF3" w:rsidRPr="0071186E" w:rsidRDefault="001D03AE" w:rsidP="001D03AE">
      <w:pPr>
        <w:pStyle w:val="SimpleL1"/>
        <w:rPr>
          <w:lang w:val="en-CA" w:bidi="en-CA"/>
        </w:rPr>
      </w:pPr>
      <w:r w:rsidRPr="0071186E">
        <w:rPr>
          <w:lang w:val="en-CA" w:bidi="en-CA"/>
        </w:rPr>
        <w:t xml:space="preserve">The costs incurred are related </w:t>
      </w:r>
      <w:r w:rsidR="009B5804" w:rsidRPr="0071186E">
        <w:rPr>
          <w:lang w:val="en-CA" w:bidi="en-CA"/>
        </w:rPr>
        <w:t xml:space="preserve">mainly </w:t>
      </w:r>
      <w:r w:rsidRPr="0071186E">
        <w:rPr>
          <w:lang w:val="en-CA" w:bidi="en-CA"/>
        </w:rPr>
        <w:t xml:space="preserve">to the appointment of an </w:t>
      </w:r>
      <w:r w:rsidR="000B7F45" w:rsidRPr="0071186E">
        <w:rPr>
          <w:lang w:val="en-CA" w:bidi="en-CA"/>
        </w:rPr>
        <w:t>I</w:t>
      </w:r>
      <w:r w:rsidRPr="0071186E">
        <w:rPr>
          <w:lang w:val="en-CA" w:bidi="en-CA"/>
        </w:rPr>
        <w:t xml:space="preserve">ndependent </w:t>
      </w:r>
      <w:r w:rsidR="000B7F45" w:rsidRPr="0071186E">
        <w:rPr>
          <w:lang w:val="en-CA" w:bidi="en-CA"/>
        </w:rPr>
        <w:t>M</w:t>
      </w:r>
      <w:r w:rsidRPr="0071186E">
        <w:rPr>
          <w:lang w:val="en-CA" w:bidi="en-CA"/>
        </w:rPr>
        <w:t xml:space="preserve">onitor. </w:t>
      </w:r>
      <w:r w:rsidR="009B5804">
        <w:rPr>
          <w:lang w:val="en-CA" w:bidi="en-CA"/>
        </w:rPr>
        <w:t>I</w:t>
      </w:r>
      <w:r w:rsidR="009B5804" w:rsidRPr="0071186E">
        <w:rPr>
          <w:lang w:val="en-CA" w:bidi="en-CA"/>
        </w:rPr>
        <w:t>n paragraph 31 of the Agreement</w:t>
      </w:r>
      <w:r w:rsidR="009B5804">
        <w:rPr>
          <w:lang w:val="en-CA" w:bidi="en-CA"/>
        </w:rPr>
        <w:t>,</w:t>
      </w:r>
      <w:r w:rsidR="009B5804" w:rsidRPr="0071186E">
        <w:rPr>
          <w:lang w:val="en-CA" w:bidi="en-CA"/>
        </w:rPr>
        <w:t xml:space="preserve"> </w:t>
      </w:r>
      <w:r w:rsidR="009B5804">
        <w:rPr>
          <w:lang w:val="en-CA" w:bidi="en-CA"/>
        </w:rPr>
        <w:t>t</w:t>
      </w:r>
      <w:r w:rsidR="000F50CC">
        <w:rPr>
          <w:lang w:val="en-CA" w:bidi="en-CA"/>
        </w:rPr>
        <w:t>he</w:t>
      </w:r>
      <w:r w:rsidRPr="0071186E">
        <w:rPr>
          <w:lang w:val="en-CA" w:bidi="en-CA"/>
        </w:rPr>
        <w:t xml:space="preserve"> Organizations undertake to pay </w:t>
      </w:r>
      <w:r w:rsidR="004577C7">
        <w:rPr>
          <w:lang w:val="en-CA" w:bidi="en-CA"/>
        </w:rPr>
        <w:t>the</w:t>
      </w:r>
      <w:r w:rsidR="004577C7" w:rsidRPr="0071186E">
        <w:rPr>
          <w:lang w:val="en-CA" w:bidi="en-CA"/>
        </w:rPr>
        <w:t xml:space="preserve"> </w:t>
      </w:r>
      <w:r w:rsidRPr="0071186E">
        <w:rPr>
          <w:lang w:val="en-CA" w:bidi="en-CA"/>
        </w:rPr>
        <w:t>costs</w:t>
      </w:r>
      <w:r w:rsidR="004577C7">
        <w:rPr>
          <w:lang w:val="en-CA" w:bidi="en-CA"/>
        </w:rPr>
        <w:t xml:space="preserve"> for this</w:t>
      </w:r>
      <w:r w:rsidRPr="0071186E">
        <w:rPr>
          <w:lang w:val="en-CA" w:bidi="en-CA"/>
        </w:rPr>
        <w:t>.</w:t>
      </w:r>
    </w:p>
    <w:p w14:paraId="608A9402" w14:textId="77777777" w:rsidR="001D03AE" w:rsidRPr="0071186E" w:rsidRDefault="001D03AE" w:rsidP="001D03AE">
      <w:pPr>
        <w:rPr>
          <w:i/>
          <w:lang w:val="en-CA" w:bidi="en-CA"/>
        </w:rPr>
      </w:pPr>
      <w:r w:rsidRPr="0071186E">
        <w:rPr>
          <w:i/>
          <w:lang w:val="en-CA" w:bidi="en-CA"/>
        </w:rPr>
        <w:t>Appointment of an independent monitor (</w:t>
      </w:r>
      <w:r w:rsidR="000F50CC">
        <w:rPr>
          <w:i/>
          <w:lang w:val="en-CA" w:bidi="en-CA"/>
        </w:rPr>
        <w:t>paragraph</w:t>
      </w:r>
      <w:r w:rsidR="0071186E">
        <w:rPr>
          <w:i/>
          <w:lang w:val="en-CA" w:bidi="en-CA"/>
        </w:rPr>
        <w:t> </w:t>
      </w:r>
      <w:r w:rsidRPr="0071186E">
        <w:rPr>
          <w:i/>
          <w:lang w:val="en-CA" w:bidi="en-CA"/>
        </w:rPr>
        <w:t>715.34 (3)(c))</w:t>
      </w:r>
    </w:p>
    <w:p w14:paraId="3F5D0BAF" w14:textId="77777777" w:rsidR="00BA146E" w:rsidRPr="0071186E" w:rsidRDefault="00BA146E" w:rsidP="001D03AE">
      <w:pPr>
        <w:rPr>
          <w:i/>
          <w:lang w:val="en-CA" w:bidi="en-CA"/>
        </w:rPr>
      </w:pPr>
    </w:p>
    <w:p w14:paraId="6F96152F" w14:textId="7C32E514" w:rsidR="001D03AE" w:rsidRPr="0071186E" w:rsidRDefault="004577C7" w:rsidP="001D03AE">
      <w:pPr>
        <w:pStyle w:val="SimpleL1"/>
        <w:rPr>
          <w:lang w:val="en-CA" w:bidi="en-CA"/>
        </w:rPr>
      </w:pPr>
      <w:r>
        <w:rPr>
          <w:lang w:val="en-CA" w:bidi="en-CA"/>
        </w:rPr>
        <w:t>I</w:t>
      </w:r>
      <w:r w:rsidRPr="0071186E">
        <w:rPr>
          <w:lang w:val="en-CA" w:bidi="en-CA"/>
        </w:rPr>
        <w:t>n paragraph</w:t>
      </w:r>
      <w:r>
        <w:rPr>
          <w:lang w:val="en-CA" w:bidi="en-CA"/>
        </w:rPr>
        <w:t> </w:t>
      </w:r>
      <w:r w:rsidRPr="0071186E">
        <w:rPr>
          <w:lang w:val="en-CA" w:bidi="en-CA"/>
        </w:rPr>
        <w:t>30</w:t>
      </w:r>
      <w:r>
        <w:rPr>
          <w:lang w:val="en-CA" w:bidi="en-CA"/>
        </w:rPr>
        <w:t>, t</w:t>
      </w:r>
      <w:r w:rsidR="001D03AE" w:rsidRPr="0071186E">
        <w:rPr>
          <w:lang w:val="en-CA" w:bidi="en-CA"/>
        </w:rPr>
        <w:t>he Agreement provides for the appointment of M</w:t>
      </w:r>
      <w:r w:rsidR="001D03AE" w:rsidRPr="0071186E">
        <w:rPr>
          <w:vertAlign w:val="superscript"/>
          <w:lang w:val="en-CA" w:bidi="en-CA"/>
        </w:rPr>
        <w:t>tre</w:t>
      </w:r>
      <w:r w:rsidR="000B7F45" w:rsidRPr="0071186E">
        <w:rPr>
          <w:vertAlign w:val="superscript"/>
          <w:lang w:val="en-CA" w:bidi="en-CA"/>
        </w:rPr>
        <w:t> </w:t>
      </w:r>
      <w:r w:rsidR="001D03AE" w:rsidRPr="0071186E">
        <w:rPr>
          <w:lang w:val="en-CA" w:bidi="en-CA"/>
        </w:rPr>
        <w:t>Mark Morrison and M</w:t>
      </w:r>
      <w:r w:rsidR="001D03AE" w:rsidRPr="0071186E">
        <w:rPr>
          <w:vertAlign w:val="superscript"/>
          <w:lang w:val="en-CA" w:bidi="en-CA"/>
        </w:rPr>
        <w:t>tre</w:t>
      </w:r>
      <w:r w:rsidR="000B7F45" w:rsidRPr="0071186E">
        <w:rPr>
          <w:vertAlign w:val="superscript"/>
          <w:lang w:val="en-CA" w:bidi="en-CA"/>
        </w:rPr>
        <w:t> </w:t>
      </w:r>
      <w:r w:rsidR="001D03AE" w:rsidRPr="0071186E">
        <w:rPr>
          <w:lang w:val="en-CA" w:bidi="en-CA"/>
        </w:rPr>
        <w:t>Simon Seida of Blake, Cassels &amp; Graydon LLP as Independent Monitor.</w:t>
      </w:r>
    </w:p>
    <w:p w14:paraId="6BB79964" w14:textId="18DE8332" w:rsidR="001D03AE" w:rsidRPr="0071186E" w:rsidRDefault="001D03AE" w:rsidP="001D03AE">
      <w:pPr>
        <w:pStyle w:val="SimpleL1"/>
        <w:rPr>
          <w:lang w:val="en-CA" w:bidi="en-CA"/>
        </w:rPr>
      </w:pPr>
      <w:r w:rsidRPr="0071186E">
        <w:rPr>
          <w:lang w:val="en-CA" w:bidi="en-CA"/>
        </w:rPr>
        <w:t xml:space="preserve">The Organizations undertake to ensure that SNCLG and all of its corporations </w:t>
      </w:r>
      <w:r w:rsidR="000B7F45" w:rsidRPr="0071186E">
        <w:rPr>
          <w:lang w:val="en-CA" w:bidi="en-CA"/>
        </w:rPr>
        <w:t>cooperate</w:t>
      </w:r>
      <w:r w:rsidRPr="0071186E">
        <w:rPr>
          <w:lang w:val="en-CA" w:bidi="en-CA"/>
        </w:rPr>
        <w:t xml:space="preserve"> with the Independent Monitor, for example by providing </w:t>
      </w:r>
      <w:r w:rsidR="000B7F45" w:rsidRPr="0071186E">
        <w:rPr>
          <w:lang w:val="en-CA" w:bidi="en-CA"/>
        </w:rPr>
        <w:t xml:space="preserve">the Independent Monitor </w:t>
      </w:r>
      <w:r w:rsidRPr="0071186E">
        <w:rPr>
          <w:lang w:val="en-CA" w:bidi="en-CA"/>
        </w:rPr>
        <w:t>with the necessary access to information, documents, facilities, key personnel, officers and directors that fall within its mandate.</w:t>
      </w:r>
    </w:p>
    <w:p w14:paraId="7D849220" w14:textId="6C546E8B" w:rsidR="001D03AE" w:rsidRPr="0071186E" w:rsidRDefault="001D03AE" w:rsidP="001D03AE">
      <w:pPr>
        <w:pStyle w:val="SimpleL1"/>
        <w:rPr>
          <w:lang w:val="en-CA" w:bidi="en-CA"/>
        </w:rPr>
      </w:pPr>
      <w:r w:rsidRPr="0071186E">
        <w:rPr>
          <w:lang w:val="en-CA" w:bidi="en-CA"/>
        </w:rPr>
        <w:lastRenderedPageBreak/>
        <w:t>The Independent Monitor shall submit an initial report within three (3) months of the Agreement</w:t>
      </w:r>
      <w:r w:rsidR="00087DFC">
        <w:rPr>
          <w:lang w:val="en-CA" w:bidi="en-CA"/>
        </w:rPr>
        <w:t>’s approval</w:t>
      </w:r>
      <w:r w:rsidRPr="0071186E">
        <w:rPr>
          <w:lang w:val="en-CA" w:bidi="en-CA"/>
        </w:rPr>
        <w:t xml:space="preserve">. The content of </w:t>
      </w:r>
      <w:r w:rsidR="00087DFC">
        <w:rPr>
          <w:lang w:val="en-CA" w:bidi="en-CA"/>
        </w:rPr>
        <w:t>this</w:t>
      </w:r>
      <w:r w:rsidRPr="0071186E">
        <w:rPr>
          <w:lang w:val="en-CA" w:bidi="en-CA"/>
        </w:rPr>
        <w:t xml:space="preserve"> report is provided for in paragraph 33 of the Agreement. </w:t>
      </w:r>
      <w:r w:rsidR="00D259DE">
        <w:rPr>
          <w:lang w:val="en-CA" w:bidi="en-CA"/>
        </w:rPr>
        <w:t>In particular, t</w:t>
      </w:r>
      <w:r w:rsidRPr="0071186E">
        <w:rPr>
          <w:lang w:val="en-CA" w:bidi="en-CA"/>
        </w:rPr>
        <w:t xml:space="preserve">his report will include a </w:t>
      </w:r>
      <w:r w:rsidR="000B7F45" w:rsidRPr="0071186E">
        <w:rPr>
          <w:lang w:val="en-CA" w:bidi="en-CA"/>
        </w:rPr>
        <w:t xml:space="preserve">contemporaneous </w:t>
      </w:r>
      <w:r w:rsidRPr="0071186E">
        <w:rPr>
          <w:lang w:val="en-CA" w:bidi="en-CA"/>
        </w:rPr>
        <w:t xml:space="preserve">evaluation of the Integrity Program </w:t>
      </w:r>
      <w:r w:rsidR="000B7F45" w:rsidRPr="0071186E">
        <w:rPr>
          <w:lang w:val="en-CA" w:bidi="en-CA"/>
        </w:rPr>
        <w:t xml:space="preserve">as </w:t>
      </w:r>
      <w:r w:rsidRPr="0071186E">
        <w:rPr>
          <w:lang w:val="en-CA" w:bidi="en-CA"/>
        </w:rPr>
        <w:t>regard</w:t>
      </w:r>
      <w:r w:rsidR="000B7F45" w:rsidRPr="0071186E">
        <w:rPr>
          <w:lang w:val="en-CA" w:bidi="en-CA"/>
        </w:rPr>
        <w:t>s</w:t>
      </w:r>
      <w:r w:rsidRPr="0071186E">
        <w:rPr>
          <w:lang w:val="en-CA" w:bidi="en-CA"/>
        </w:rPr>
        <w:t xml:space="preserve"> the </w:t>
      </w:r>
      <w:r w:rsidR="000B7F45" w:rsidRPr="0071186E">
        <w:rPr>
          <w:lang w:val="en-CA" w:bidi="en-CA"/>
        </w:rPr>
        <w:t>size</w:t>
      </w:r>
      <w:r w:rsidRPr="0071186E">
        <w:rPr>
          <w:lang w:val="en-CA" w:bidi="en-CA"/>
        </w:rPr>
        <w:t xml:space="preserve">, nature and complexity of the operations, regions and sectors in which SNCLG operates. It will also include recommendations to maintain or </w:t>
      </w:r>
      <w:r w:rsidR="000B7F45" w:rsidRPr="0071186E">
        <w:rPr>
          <w:lang w:val="en-CA" w:bidi="en-CA"/>
        </w:rPr>
        <w:t xml:space="preserve">enhance </w:t>
      </w:r>
      <w:r w:rsidRPr="0071186E">
        <w:rPr>
          <w:lang w:val="en-CA" w:bidi="en-CA"/>
        </w:rPr>
        <w:t>this program.</w:t>
      </w:r>
    </w:p>
    <w:p w14:paraId="61E6DF1E" w14:textId="6DBE10FC" w:rsidR="001D03AE" w:rsidRPr="0071186E" w:rsidRDefault="001D03AE" w:rsidP="001D03AE">
      <w:pPr>
        <w:pStyle w:val="SimpleL1"/>
        <w:rPr>
          <w:lang w:val="en-CA" w:bidi="en-CA"/>
        </w:rPr>
      </w:pPr>
      <w:r w:rsidRPr="0071186E">
        <w:rPr>
          <w:lang w:val="en-CA" w:bidi="en-CA"/>
        </w:rPr>
        <w:t xml:space="preserve">As mentioned in the analysis of the elements of </w:t>
      </w:r>
      <w:r w:rsidR="000F50CC">
        <w:rPr>
          <w:lang w:val="en-CA" w:bidi="en-CA"/>
        </w:rPr>
        <w:t>paragraph</w:t>
      </w:r>
      <w:r w:rsidR="0071186E">
        <w:rPr>
          <w:lang w:val="en-CA" w:bidi="en-CA"/>
        </w:rPr>
        <w:t> </w:t>
      </w:r>
      <w:r w:rsidRPr="0071186E">
        <w:rPr>
          <w:lang w:val="en-CA" w:bidi="en-CA"/>
        </w:rPr>
        <w:t xml:space="preserve">715.34(1)(i), SNCLG shall submit three reports on the implementation of the Independent Monitor's recommendations. Within four and a half (4½) months </w:t>
      </w:r>
      <w:r w:rsidR="003C00A5">
        <w:rPr>
          <w:lang w:val="en-CA" w:bidi="en-CA"/>
        </w:rPr>
        <w:t>of receiving</w:t>
      </w:r>
      <w:r w:rsidRPr="0071186E">
        <w:rPr>
          <w:lang w:val="en-CA" w:bidi="en-CA"/>
        </w:rPr>
        <w:t xml:space="preserve"> each report, the Independent Monitor </w:t>
      </w:r>
      <w:r w:rsidR="00D71CA8">
        <w:rPr>
          <w:noProof/>
          <w:lang w:eastAsia="fr-CA"/>
        </w:rPr>
        <mc:AlternateContent>
          <mc:Choice Requires="wps">
            <w:drawing>
              <wp:anchor distT="4294967295" distB="4294967295" distL="114299" distR="114299" simplePos="0" relativeHeight="251656704" behindDoc="0" locked="0" layoutInCell="1" allowOverlap="1" wp14:anchorId="6860F909" wp14:editId="6B3EC3E8">
                <wp:simplePos x="0" y="0"/>
                <wp:positionH relativeFrom="page">
                  <wp:posOffset>918844</wp:posOffset>
                </wp:positionH>
                <wp:positionV relativeFrom="page">
                  <wp:posOffset>9942194</wp:posOffset>
                </wp:positionV>
                <wp:extent cx="0" cy="0"/>
                <wp:effectExtent l="0" t="0" r="0" b="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989A3" id="Connecteur droit 6" o:spid="_x0000_s1026" style="position:absolute;z-index:251656704;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72.35pt,782.85pt" to="72.35pt,7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" strokeweight=".33919mm">
                <w10:wrap anchorx="page" anchory="page"/>
              </v:line>
            </w:pict>
          </mc:Fallback>
        </mc:AlternateContent>
      </w:r>
      <w:r w:rsidR="00D71CA8">
        <w:rPr>
          <w:noProof/>
          <w:lang w:eastAsia="fr-CA"/>
        </w:rPr>
        <mc:AlternateContent>
          <mc:Choice Requires="wps">
            <w:drawing>
              <wp:anchor distT="4294967295" distB="4294967295" distL="114299" distR="114299" simplePos="0" relativeHeight="251657728" behindDoc="0" locked="0" layoutInCell="1" allowOverlap="1" wp14:anchorId="61EE7BDD" wp14:editId="1512AC5F">
                <wp:simplePos x="0" y="0"/>
                <wp:positionH relativeFrom="page">
                  <wp:posOffset>7378699</wp:posOffset>
                </wp:positionH>
                <wp:positionV relativeFrom="page">
                  <wp:posOffset>9918064</wp:posOffset>
                </wp:positionV>
                <wp:extent cx="0" cy="0"/>
                <wp:effectExtent l="0" t="0" r="0" b="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20EC0" id="Connecteur droit 5" o:spid="_x0000_s1026" style="position:absolute;z-index:251657728;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581pt,780.95pt" to="581pt,7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" strokeweight=".33919mm">
                <w10:wrap anchorx="page" anchory="page"/>
              </v:line>
            </w:pict>
          </mc:Fallback>
        </mc:AlternateContent>
      </w:r>
      <w:r w:rsidR="00471328" w:rsidRPr="0071186E">
        <w:rPr>
          <w:lang w:val="en-CA" w:bidi="en-CA"/>
        </w:rPr>
        <w:t xml:space="preserve">shall </w:t>
      </w:r>
      <w:r w:rsidRPr="0071186E">
        <w:rPr>
          <w:lang w:val="en-CA" w:bidi="en-CA"/>
        </w:rPr>
        <w:t>submit a report to the Prosecutor, the Organizations and SNCLG indicating</w:t>
      </w:r>
      <w:r w:rsidR="003C00A5">
        <w:rPr>
          <w:lang w:val="en-CA" w:bidi="en-CA"/>
        </w:rPr>
        <w:t>,</w:t>
      </w:r>
      <w:r w:rsidRPr="0071186E">
        <w:rPr>
          <w:lang w:val="en-CA" w:bidi="en-CA"/>
        </w:rPr>
        <w:t xml:space="preserve"> among other things</w:t>
      </w:r>
      <w:r w:rsidR="003C00A5">
        <w:rPr>
          <w:lang w:val="en-CA" w:bidi="en-CA"/>
        </w:rPr>
        <w:t>,</w:t>
      </w:r>
      <w:r w:rsidRPr="0071186E">
        <w:rPr>
          <w:lang w:val="en-CA" w:bidi="en-CA"/>
        </w:rPr>
        <w:t xml:space="preserve"> whether the actions or measures </w:t>
      </w:r>
      <w:r w:rsidR="00471328" w:rsidRPr="0071186E">
        <w:rPr>
          <w:lang w:val="en-CA" w:bidi="en-CA"/>
        </w:rPr>
        <w:t xml:space="preserve">taken or to be taken </w:t>
      </w:r>
      <w:r w:rsidRPr="0071186E">
        <w:rPr>
          <w:lang w:val="en-CA" w:bidi="en-CA"/>
        </w:rPr>
        <w:t xml:space="preserve">by SNCLG described in the Implementation Report are satisfactory, whether the proposed </w:t>
      </w:r>
      <w:r w:rsidR="00471328" w:rsidRPr="0071186E">
        <w:rPr>
          <w:lang w:val="en-CA" w:bidi="en-CA"/>
        </w:rPr>
        <w:t xml:space="preserve">efficiency implementation schedule </w:t>
      </w:r>
      <w:r w:rsidRPr="0071186E">
        <w:rPr>
          <w:lang w:val="en-CA" w:bidi="en-CA"/>
        </w:rPr>
        <w:t xml:space="preserve">is reasonable, whether </w:t>
      </w:r>
      <w:r w:rsidR="00471328" w:rsidRPr="0071186E">
        <w:rPr>
          <w:lang w:val="en-CA" w:bidi="en-CA"/>
        </w:rPr>
        <w:t>amendments</w:t>
      </w:r>
      <w:r w:rsidRPr="0071186E">
        <w:rPr>
          <w:lang w:val="en-CA" w:bidi="en-CA"/>
        </w:rPr>
        <w:t>/additions/</w:t>
      </w:r>
      <w:r w:rsidR="00471328" w:rsidRPr="0071186E">
        <w:rPr>
          <w:lang w:val="en-CA" w:bidi="en-CA"/>
        </w:rPr>
        <w:t xml:space="preserve">cancellation of a policy or procedure </w:t>
      </w:r>
      <w:r w:rsidRPr="0071186E">
        <w:rPr>
          <w:lang w:val="en-CA" w:bidi="en-CA"/>
        </w:rPr>
        <w:t xml:space="preserve">with respect to </w:t>
      </w:r>
      <w:r w:rsidR="00471328" w:rsidRPr="0071186E">
        <w:rPr>
          <w:lang w:val="en-CA" w:bidi="en-CA"/>
        </w:rPr>
        <w:t xml:space="preserve">the </w:t>
      </w:r>
      <w:r w:rsidRPr="0071186E">
        <w:rPr>
          <w:lang w:val="en-CA" w:bidi="en-CA"/>
        </w:rPr>
        <w:t xml:space="preserve">Integrity Program maintain or </w:t>
      </w:r>
      <w:r w:rsidR="00471328" w:rsidRPr="0071186E">
        <w:rPr>
          <w:lang w:val="en-CA" w:bidi="en-CA"/>
        </w:rPr>
        <w:t xml:space="preserve">enhance </w:t>
      </w:r>
      <w:r w:rsidRPr="0071186E">
        <w:rPr>
          <w:lang w:val="en-CA" w:bidi="en-CA"/>
        </w:rPr>
        <w:t xml:space="preserve">the </w:t>
      </w:r>
      <w:r w:rsidR="00471328" w:rsidRPr="0071186E">
        <w:rPr>
          <w:lang w:val="en-CA" w:bidi="en-CA"/>
        </w:rPr>
        <w:t xml:space="preserve">efficiency </w:t>
      </w:r>
      <w:r w:rsidRPr="0071186E">
        <w:rPr>
          <w:lang w:val="en-CA" w:bidi="en-CA"/>
        </w:rPr>
        <w:t xml:space="preserve">of the latter, if the tests and examinations carried out by the Independent Monitor allow it to </w:t>
      </w:r>
      <w:r w:rsidR="003C00A5">
        <w:rPr>
          <w:lang w:val="en-CA" w:bidi="en-CA"/>
        </w:rPr>
        <w:t>find that</w:t>
      </w:r>
      <w:r w:rsidRPr="0071186E">
        <w:rPr>
          <w:lang w:val="en-CA" w:bidi="en-CA"/>
        </w:rPr>
        <w:t xml:space="preserve"> the various measures in place</w:t>
      </w:r>
      <w:r w:rsidR="003C00A5">
        <w:rPr>
          <w:lang w:val="en-CA" w:bidi="en-CA"/>
        </w:rPr>
        <w:t xml:space="preserve"> are effective</w:t>
      </w:r>
      <w:r w:rsidRPr="0071186E">
        <w:rPr>
          <w:lang w:val="en-CA" w:bidi="en-CA"/>
        </w:rPr>
        <w:t xml:space="preserve"> or whether additional recommendations </w:t>
      </w:r>
      <w:r w:rsidR="00471328" w:rsidRPr="0071186E">
        <w:rPr>
          <w:lang w:val="en-CA" w:bidi="en-CA"/>
        </w:rPr>
        <w:t>need to be made</w:t>
      </w:r>
      <w:r w:rsidRPr="0071186E">
        <w:rPr>
          <w:lang w:val="en-CA" w:bidi="en-CA"/>
        </w:rPr>
        <w:t>.</w:t>
      </w:r>
    </w:p>
    <w:p w14:paraId="710A67B9" w14:textId="231D548F" w:rsidR="001D03AE" w:rsidRPr="0071186E" w:rsidRDefault="001D03AE" w:rsidP="001D03AE">
      <w:pPr>
        <w:pStyle w:val="SimpleL1"/>
        <w:rPr>
          <w:lang w:val="en-CA" w:bidi="en-CA"/>
        </w:rPr>
      </w:pPr>
      <w:r w:rsidRPr="0071186E">
        <w:rPr>
          <w:lang w:val="en-CA" w:bidi="en-CA"/>
        </w:rPr>
        <w:t xml:space="preserve">As for </w:t>
      </w:r>
      <w:r w:rsidR="00132606">
        <w:rPr>
          <w:lang w:val="en-CA" w:bidi="en-CA"/>
        </w:rPr>
        <w:t>this last</w:t>
      </w:r>
      <w:r w:rsidRPr="0071186E">
        <w:rPr>
          <w:lang w:val="en-CA" w:bidi="en-CA"/>
        </w:rPr>
        <w:t xml:space="preserve"> aspect, the Agreement provides that the Independent Monitor may review and perform independent </w:t>
      </w:r>
      <w:r w:rsidR="00471328" w:rsidRPr="0071186E">
        <w:rPr>
          <w:lang w:val="en-CA" w:bidi="en-CA"/>
        </w:rPr>
        <w:t xml:space="preserve">tests </w:t>
      </w:r>
      <w:r w:rsidR="00132606" w:rsidRPr="0071186E">
        <w:rPr>
          <w:lang w:val="en-CA" w:bidi="en-CA"/>
        </w:rPr>
        <w:t>on various components</w:t>
      </w:r>
      <w:r w:rsidR="00132606">
        <w:rPr>
          <w:lang w:val="en-CA" w:bidi="en-CA"/>
        </w:rPr>
        <w:t xml:space="preserve"> </w:t>
      </w:r>
      <w:r w:rsidR="000F50CC">
        <w:rPr>
          <w:lang w:val="en-CA" w:bidi="en-CA"/>
        </w:rPr>
        <w:t>during the effective p</w:t>
      </w:r>
      <w:r w:rsidRPr="0071186E">
        <w:rPr>
          <w:lang w:val="en-CA" w:bidi="en-CA"/>
        </w:rPr>
        <w:t>eriod of the Agreement. The components listed in paragraph</w:t>
      </w:r>
      <w:r w:rsidR="00471328" w:rsidRPr="0071186E">
        <w:rPr>
          <w:lang w:val="en-CA" w:bidi="en-CA"/>
        </w:rPr>
        <w:t> </w:t>
      </w:r>
      <w:r w:rsidRPr="0071186E">
        <w:rPr>
          <w:lang w:val="en-CA" w:bidi="en-CA"/>
        </w:rPr>
        <w:t>35 of the Agreement include follow-up o</w:t>
      </w:r>
      <w:r w:rsidR="00132606">
        <w:rPr>
          <w:lang w:val="en-CA" w:bidi="en-CA"/>
        </w:rPr>
        <w:t>n</w:t>
      </w:r>
      <w:r w:rsidRPr="0071186E">
        <w:rPr>
          <w:lang w:val="en-CA" w:bidi="en-CA"/>
        </w:rPr>
        <w:t xml:space="preserve"> the training sessions </w:t>
      </w:r>
      <w:r w:rsidR="00132606">
        <w:rPr>
          <w:lang w:val="en-CA" w:bidi="en-CA"/>
        </w:rPr>
        <w:t>and</w:t>
      </w:r>
      <w:r w:rsidRPr="0071186E">
        <w:rPr>
          <w:lang w:val="en-CA" w:bidi="en-CA"/>
        </w:rPr>
        <w:t xml:space="preserve"> the continuing education of SNCLG’s </w:t>
      </w:r>
      <w:r w:rsidR="0071186E">
        <w:rPr>
          <w:lang w:val="en-CA" w:bidi="en-CA"/>
        </w:rPr>
        <w:t>S</w:t>
      </w:r>
      <w:r w:rsidRPr="0071186E">
        <w:rPr>
          <w:lang w:val="en-CA" w:bidi="en-CA"/>
        </w:rPr>
        <w:t>takeholders regarding the code of conduct and their commitment to comply therewith; the implementation of the policies and procedures associated with the determination, identification and resolution of conflicts of interest or the efficacy of the reporting mechanisms.</w:t>
      </w:r>
    </w:p>
    <w:p w14:paraId="373A1EA4" w14:textId="6C452BB9" w:rsidR="001D03AE" w:rsidRPr="0071186E" w:rsidRDefault="001D03AE" w:rsidP="001D03AE">
      <w:pPr>
        <w:pStyle w:val="SimpleL1"/>
        <w:rPr>
          <w:lang w:val="en-CA" w:bidi="en-CA"/>
        </w:rPr>
      </w:pPr>
      <w:r w:rsidRPr="0071186E">
        <w:rPr>
          <w:lang w:val="en-CA" w:bidi="en-CA"/>
        </w:rPr>
        <w:t xml:space="preserve">The Independent Monitor will have a role to play </w:t>
      </w:r>
      <w:r w:rsidR="00132606">
        <w:rPr>
          <w:lang w:val="en-CA" w:bidi="en-CA"/>
        </w:rPr>
        <w:t>when</w:t>
      </w:r>
      <w:r w:rsidRPr="0071186E">
        <w:rPr>
          <w:lang w:val="en-CA" w:bidi="en-CA"/>
        </w:rPr>
        <w:t xml:space="preserve"> </w:t>
      </w:r>
      <w:r w:rsidR="00471328" w:rsidRPr="0071186E">
        <w:rPr>
          <w:lang w:val="en-CA" w:bidi="en-CA"/>
        </w:rPr>
        <w:t xml:space="preserve">the </w:t>
      </w:r>
      <w:r w:rsidRPr="0071186E">
        <w:rPr>
          <w:lang w:val="en-CA" w:bidi="en-CA"/>
        </w:rPr>
        <w:t xml:space="preserve">order </w:t>
      </w:r>
      <w:r w:rsidR="00471328" w:rsidRPr="0071186E">
        <w:rPr>
          <w:lang w:val="en-CA" w:bidi="en-CA"/>
        </w:rPr>
        <w:t xml:space="preserve">is </w:t>
      </w:r>
      <w:r w:rsidRPr="0071186E">
        <w:rPr>
          <w:lang w:val="en-CA" w:bidi="en-CA"/>
        </w:rPr>
        <w:t>issued pursuant to s</w:t>
      </w:r>
      <w:r w:rsidR="00132606">
        <w:rPr>
          <w:lang w:val="en-CA" w:bidi="en-CA"/>
        </w:rPr>
        <w:t>.</w:t>
      </w:r>
      <w:r w:rsidRPr="0071186E">
        <w:rPr>
          <w:lang w:val="en-CA" w:bidi="en-CA"/>
        </w:rPr>
        <w:t xml:space="preserve"> 715.4 Cr.</w:t>
      </w:r>
      <w:r w:rsidR="00132606">
        <w:rPr>
          <w:lang w:val="en-CA" w:bidi="en-CA"/>
        </w:rPr>
        <w:t> </w:t>
      </w:r>
      <w:r w:rsidRPr="0071186E">
        <w:rPr>
          <w:lang w:val="en-CA" w:bidi="en-CA"/>
        </w:rPr>
        <w:t xml:space="preserve">C. declaring that the terms of the Agreement were met. In fact, for </w:t>
      </w:r>
      <w:r w:rsidR="00132606">
        <w:rPr>
          <w:lang w:val="en-CA" w:bidi="en-CA"/>
        </w:rPr>
        <w:t xml:space="preserve">the </w:t>
      </w:r>
      <w:r w:rsidRPr="0071186E">
        <w:rPr>
          <w:lang w:val="en-CA" w:bidi="en-CA"/>
        </w:rPr>
        <w:t xml:space="preserve">purposes of </w:t>
      </w:r>
      <w:r w:rsidR="00132606">
        <w:rPr>
          <w:lang w:val="en-CA" w:bidi="en-CA"/>
        </w:rPr>
        <w:t>that</w:t>
      </w:r>
      <w:r w:rsidR="00132606" w:rsidRPr="0071186E">
        <w:rPr>
          <w:lang w:val="en-CA" w:bidi="en-CA"/>
        </w:rPr>
        <w:t xml:space="preserve"> </w:t>
      </w:r>
      <w:r w:rsidRPr="0071186E">
        <w:rPr>
          <w:lang w:val="en-CA" w:bidi="en-CA"/>
        </w:rPr>
        <w:t>hearing, and within two (2) months following receipt of SNCLG’s Final Report, the Independent Monitor</w:t>
      </w:r>
      <w:r w:rsidR="00132606">
        <w:rPr>
          <w:lang w:val="en-CA" w:bidi="en-CA"/>
        </w:rPr>
        <w:t xml:space="preserve"> will send </w:t>
      </w:r>
      <w:r w:rsidR="00132606" w:rsidRPr="0071186E">
        <w:rPr>
          <w:lang w:val="en-CA" w:bidi="en-CA"/>
        </w:rPr>
        <w:t>the Prosecutor, the Organizations and SNCLG</w:t>
      </w:r>
      <w:r w:rsidR="00132606">
        <w:rPr>
          <w:lang w:val="en-CA" w:bidi="en-CA"/>
        </w:rPr>
        <w:t xml:space="preserve"> a c</w:t>
      </w:r>
      <w:r w:rsidRPr="0071186E">
        <w:rPr>
          <w:lang w:val="en-CA" w:bidi="en-CA"/>
        </w:rPr>
        <w:t xml:space="preserve">losing </w:t>
      </w:r>
      <w:r w:rsidR="00132606">
        <w:rPr>
          <w:lang w:val="en-CA" w:bidi="en-CA"/>
        </w:rPr>
        <w:t>r</w:t>
      </w:r>
      <w:r w:rsidRPr="0071186E">
        <w:rPr>
          <w:lang w:val="en-CA" w:bidi="en-CA"/>
        </w:rPr>
        <w:t xml:space="preserve">eport indicating whether, in </w:t>
      </w:r>
      <w:r w:rsidR="00471328" w:rsidRPr="0071186E">
        <w:rPr>
          <w:lang w:val="en-CA" w:bidi="en-CA"/>
        </w:rPr>
        <w:t xml:space="preserve">its </w:t>
      </w:r>
      <w:r w:rsidRPr="0071186E">
        <w:rPr>
          <w:lang w:val="en-CA" w:bidi="en-CA"/>
        </w:rPr>
        <w:t>opinion, SNCLG carried out the implementation and/or enhancement of the compliance measures required under this Agreement.</w:t>
      </w:r>
    </w:p>
    <w:p w14:paraId="4BB64BED" w14:textId="77777777" w:rsidR="001D03AE" w:rsidRPr="0071186E" w:rsidRDefault="001D03AE" w:rsidP="001E6FC4">
      <w:pPr>
        <w:pStyle w:val="Titre6"/>
        <w:ind w:hanging="720"/>
        <w:rPr>
          <w:lang w:val="en-CA" w:bidi="en-CA"/>
        </w:rPr>
      </w:pPr>
      <w:bookmarkStart w:id="21" w:name="_Toc109310859"/>
      <w:r w:rsidRPr="0071186E">
        <w:rPr>
          <w:lang w:val="en-CA" w:bidi="en-CA"/>
        </w:rPr>
        <w:t>Measures to inform the victim</w:t>
      </w:r>
      <w:bookmarkEnd w:id="21"/>
    </w:p>
    <w:p w14:paraId="2B8B8E7A" w14:textId="1DDF2A12" w:rsidR="001D03AE" w:rsidRPr="0071186E" w:rsidRDefault="001D03AE" w:rsidP="001D03AE">
      <w:pPr>
        <w:pStyle w:val="SimpleL1"/>
        <w:rPr>
          <w:lang w:val="en-CA" w:bidi="en-CA"/>
        </w:rPr>
      </w:pPr>
      <w:r w:rsidRPr="0071186E">
        <w:rPr>
          <w:lang w:val="en-CA" w:bidi="en-CA"/>
        </w:rPr>
        <w:t xml:space="preserve">The Prosecutor took reasonable </w:t>
      </w:r>
      <w:r w:rsidR="00471328" w:rsidRPr="0071186E">
        <w:rPr>
          <w:lang w:val="en-CA" w:bidi="en-CA"/>
        </w:rPr>
        <w:t xml:space="preserve">steps </w:t>
      </w:r>
      <w:r w:rsidRPr="0071186E">
        <w:rPr>
          <w:lang w:val="en-CA" w:bidi="en-CA"/>
        </w:rPr>
        <w:t xml:space="preserve">to inform the victim that a remediation agreement could be </w:t>
      </w:r>
      <w:r w:rsidR="00471328" w:rsidRPr="0071186E">
        <w:rPr>
          <w:lang w:val="en-CA" w:bidi="en-CA"/>
        </w:rPr>
        <w:t xml:space="preserve">entered into </w:t>
      </w:r>
      <w:r w:rsidRPr="0071186E">
        <w:rPr>
          <w:lang w:val="en-CA" w:bidi="en-CA"/>
        </w:rPr>
        <w:t xml:space="preserve">after the Organizations accepted the </w:t>
      </w:r>
      <w:r w:rsidR="00471328" w:rsidRPr="0071186E">
        <w:rPr>
          <w:lang w:val="en-CA" w:bidi="en-CA"/>
        </w:rPr>
        <w:t xml:space="preserve">offer </w:t>
      </w:r>
      <w:r w:rsidRPr="0071186E">
        <w:rPr>
          <w:lang w:val="en-CA" w:bidi="en-CA"/>
        </w:rPr>
        <w:t>to negotiate, in accordance with s</w:t>
      </w:r>
      <w:r w:rsidR="00A70B7E">
        <w:rPr>
          <w:lang w:val="en-CA" w:bidi="en-CA"/>
        </w:rPr>
        <w:t>.</w:t>
      </w:r>
      <w:r w:rsidRPr="0071186E">
        <w:rPr>
          <w:lang w:val="en-CA" w:bidi="en-CA"/>
        </w:rPr>
        <w:t xml:space="preserve"> 715.36 Cr.</w:t>
      </w:r>
      <w:r w:rsidR="00A70B7E">
        <w:rPr>
          <w:lang w:val="en-CA" w:bidi="en-CA"/>
        </w:rPr>
        <w:t> </w:t>
      </w:r>
      <w:r w:rsidRPr="0071186E">
        <w:rPr>
          <w:lang w:val="en-CA" w:bidi="en-CA"/>
        </w:rPr>
        <w:t xml:space="preserve">C. In fact, on October 6, 2021, the Prosecutor notified the victim of the </w:t>
      </w:r>
      <w:r w:rsidR="00596B7D" w:rsidRPr="0071186E">
        <w:rPr>
          <w:lang w:val="en-CA" w:bidi="en-CA"/>
        </w:rPr>
        <w:t>offer</w:t>
      </w:r>
      <w:r w:rsidR="00A70B7E">
        <w:rPr>
          <w:lang w:val="en-CA" w:bidi="en-CA"/>
        </w:rPr>
        <w:t xml:space="preserve"> made</w:t>
      </w:r>
      <w:r w:rsidR="00596B7D" w:rsidRPr="0071186E">
        <w:rPr>
          <w:lang w:val="en-CA" w:bidi="en-CA"/>
        </w:rPr>
        <w:t xml:space="preserve"> </w:t>
      </w:r>
      <w:r w:rsidRPr="0071186E">
        <w:rPr>
          <w:lang w:val="en-CA" w:bidi="en-CA"/>
        </w:rPr>
        <w:t xml:space="preserve">to the Organizations, their acceptance and that a remediation agreement </w:t>
      </w:r>
      <w:r w:rsidR="00A70B7E">
        <w:rPr>
          <w:lang w:val="en-CA" w:bidi="en-CA"/>
        </w:rPr>
        <w:t>might</w:t>
      </w:r>
      <w:r w:rsidR="00A70B7E" w:rsidRPr="0071186E">
        <w:rPr>
          <w:lang w:val="en-CA" w:bidi="en-CA"/>
        </w:rPr>
        <w:t xml:space="preserve"> </w:t>
      </w:r>
      <w:r w:rsidRPr="0071186E">
        <w:rPr>
          <w:lang w:val="en-CA" w:bidi="en-CA"/>
        </w:rPr>
        <w:t>be reached</w:t>
      </w:r>
      <w:r w:rsidRPr="0071186E">
        <w:rPr>
          <w:vertAlign w:val="superscript"/>
          <w:lang w:val="en-CA" w:bidi="en-CA"/>
        </w:rPr>
        <w:footnoteReference w:id="64"/>
      </w:r>
      <w:r w:rsidRPr="0071186E">
        <w:rPr>
          <w:lang w:val="en-CA" w:bidi="en-CA"/>
        </w:rPr>
        <w:t>.</w:t>
      </w:r>
    </w:p>
    <w:p w14:paraId="23E5ADD2" w14:textId="77777777" w:rsidR="001D03AE" w:rsidRPr="0071186E" w:rsidRDefault="001D03AE" w:rsidP="001D03AE">
      <w:pPr>
        <w:pStyle w:val="SimpleL1"/>
        <w:rPr>
          <w:lang w:val="en-CA" w:bidi="en-CA"/>
        </w:rPr>
      </w:pPr>
      <w:r w:rsidRPr="0071186E">
        <w:rPr>
          <w:lang w:val="en-CA" w:bidi="en-CA"/>
        </w:rPr>
        <w:lastRenderedPageBreak/>
        <w:t>The Prosecutor was also diligent in obtaining the Victim Impact Statement. This statement is dated April</w:t>
      </w:r>
      <w:r w:rsidR="00973C1B" w:rsidRPr="0071186E">
        <w:rPr>
          <w:lang w:val="en-CA" w:bidi="en-CA"/>
        </w:rPr>
        <w:t> </w:t>
      </w:r>
      <w:r w:rsidRPr="0071186E">
        <w:rPr>
          <w:lang w:val="en-CA" w:bidi="en-CA"/>
        </w:rPr>
        <w:t>14, 2022.</w:t>
      </w:r>
      <w:r w:rsidRPr="0071186E">
        <w:rPr>
          <w:vertAlign w:val="superscript"/>
          <w:lang w:val="en-CA" w:bidi="en-CA"/>
        </w:rPr>
        <w:footnoteReference w:id="65"/>
      </w:r>
    </w:p>
    <w:p w14:paraId="3D4A206A" w14:textId="70F2EAD2" w:rsidR="001D03AE" w:rsidRPr="0071186E" w:rsidRDefault="00973C1B" w:rsidP="001D03AE">
      <w:pPr>
        <w:pStyle w:val="SimpleL1"/>
        <w:rPr>
          <w:lang w:val="en-CA" w:bidi="en-CA"/>
        </w:rPr>
      </w:pPr>
      <w:r w:rsidRPr="0071186E">
        <w:rPr>
          <w:lang w:val="en-CA" w:bidi="en-CA"/>
        </w:rPr>
        <w:t xml:space="preserve">Once these </w:t>
      </w:r>
      <w:r w:rsidR="00A70B7E">
        <w:rPr>
          <w:lang w:val="en-CA" w:bidi="en-CA"/>
        </w:rPr>
        <w:t>pre</w:t>
      </w:r>
      <w:r w:rsidR="00596B7D" w:rsidRPr="0071186E">
        <w:rPr>
          <w:lang w:val="en-CA" w:bidi="en-CA"/>
        </w:rPr>
        <w:t>conditions</w:t>
      </w:r>
      <w:r w:rsidRPr="0071186E">
        <w:rPr>
          <w:lang w:val="en-CA" w:bidi="en-CA"/>
        </w:rPr>
        <w:t xml:space="preserve"> have been met, it is appropriate to turn to the heart of the </w:t>
      </w:r>
      <w:r w:rsidR="00A70B7E">
        <w:rPr>
          <w:lang w:val="en-CA" w:bidi="en-CA"/>
        </w:rPr>
        <w:t>application</w:t>
      </w:r>
      <w:r w:rsidR="00A70B7E" w:rsidRPr="0071186E">
        <w:rPr>
          <w:lang w:val="en-CA" w:bidi="en-CA"/>
        </w:rPr>
        <w:t xml:space="preserve"> </w:t>
      </w:r>
      <w:r w:rsidRPr="0071186E">
        <w:rPr>
          <w:lang w:val="en-CA" w:bidi="en-CA"/>
        </w:rPr>
        <w:t xml:space="preserve">for approval of the agreement, namely the analysis of the </w:t>
      </w:r>
      <w:r w:rsidR="00596B7D" w:rsidRPr="0071186E">
        <w:rPr>
          <w:lang w:val="en-CA" w:bidi="en-CA"/>
        </w:rPr>
        <w:t xml:space="preserve">conditions </w:t>
      </w:r>
      <w:r w:rsidR="00A70B7E">
        <w:rPr>
          <w:lang w:val="en-CA" w:bidi="en-CA"/>
        </w:rPr>
        <w:t xml:space="preserve">under </w:t>
      </w:r>
      <w:r w:rsidRPr="0071186E">
        <w:rPr>
          <w:lang w:val="en-CA" w:bidi="en-CA"/>
        </w:rPr>
        <w:t>715.37(6) Cr.</w:t>
      </w:r>
      <w:r w:rsidR="00701389">
        <w:rPr>
          <w:lang w:val="en-CA" w:bidi="en-CA"/>
        </w:rPr>
        <w:t> </w:t>
      </w:r>
      <w:r w:rsidRPr="0071186E">
        <w:rPr>
          <w:lang w:val="en-CA" w:bidi="en-CA"/>
        </w:rPr>
        <w:t>C.</w:t>
      </w:r>
    </w:p>
    <w:p w14:paraId="5FCA5527" w14:textId="32277579" w:rsidR="00A07EF3" w:rsidRPr="0071186E" w:rsidRDefault="00973C1B" w:rsidP="00313DEB">
      <w:pPr>
        <w:pStyle w:val="Titre2"/>
        <w:numPr>
          <w:ilvl w:val="0"/>
          <w:numId w:val="24"/>
        </w:numPr>
        <w:rPr>
          <w:lang w:val="en-CA" w:bidi="en-CA"/>
        </w:rPr>
      </w:pPr>
      <w:bookmarkStart w:id="22" w:name="_Toc109310860"/>
      <w:r w:rsidRPr="0071186E">
        <w:rPr>
          <w:lang w:val="en-CA" w:bidi="en-CA"/>
        </w:rPr>
        <w:t xml:space="preserve">Analysis of the </w:t>
      </w:r>
      <w:r w:rsidR="00596B7D" w:rsidRPr="0071186E">
        <w:rPr>
          <w:lang w:val="en-CA" w:bidi="en-CA"/>
        </w:rPr>
        <w:t xml:space="preserve">conditions </w:t>
      </w:r>
      <w:r w:rsidR="00A70B7E">
        <w:rPr>
          <w:lang w:val="en-CA" w:bidi="en-CA"/>
        </w:rPr>
        <w:t>for</w:t>
      </w:r>
      <w:r w:rsidR="00A70B7E" w:rsidRPr="0071186E">
        <w:rPr>
          <w:lang w:val="en-CA" w:bidi="en-CA"/>
        </w:rPr>
        <w:t xml:space="preserve"> </w:t>
      </w:r>
      <w:r w:rsidRPr="0071186E">
        <w:rPr>
          <w:lang w:val="en-CA" w:bidi="en-CA"/>
        </w:rPr>
        <w:t>approval of the Agreement</w:t>
      </w:r>
      <w:bookmarkEnd w:id="22"/>
    </w:p>
    <w:p w14:paraId="7031A06B" w14:textId="16E564EB" w:rsidR="00A07EF3" w:rsidRPr="0071186E" w:rsidRDefault="00973C1B" w:rsidP="00973C1B">
      <w:pPr>
        <w:pStyle w:val="SimpleL1"/>
        <w:rPr>
          <w:lang w:val="en-CA" w:bidi="en-CA"/>
        </w:rPr>
      </w:pPr>
      <w:r w:rsidRPr="0071186E">
        <w:rPr>
          <w:lang w:val="en-CA" w:bidi="en-CA"/>
        </w:rPr>
        <w:t xml:space="preserve">The </w:t>
      </w:r>
      <w:r w:rsidRPr="006B7F16">
        <w:rPr>
          <w:i/>
          <w:lang w:val="en-CA" w:bidi="en-CA"/>
        </w:rPr>
        <w:t>Criminal Code</w:t>
      </w:r>
      <w:r w:rsidRPr="0071186E">
        <w:rPr>
          <w:lang w:val="en-CA" w:bidi="en-CA"/>
        </w:rPr>
        <w:t xml:space="preserve"> provides that the Agreement must obtain the approval of the Court to come into force</w:t>
      </w:r>
      <w:r w:rsidR="00184ED1">
        <w:rPr>
          <w:lang w:val="en-CA" w:bidi="en-CA"/>
        </w:rPr>
        <w:t>.</w:t>
      </w:r>
      <w:r w:rsidRPr="0071186E">
        <w:rPr>
          <w:vertAlign w:val="superscript"/>
          <w:lang w:val="en-CA" w:bidi="en-CA"/>
        </w:rPr>
        <w:footnoteReference w:id="66"/>
      </w:r>
      <w:r w:rsidRPr="0071186E">
        <w:rPr>
          <w:lang w:val="en-CA" w:bidi="en-CA"/>
        </w:rPr>
        <w:t xml:space="preserve"> For that</w:t>
      </w:r>
      <w:r w:rsidR="00596B7D" w:rsidRPr="0071186E">
        <w:rPr>
          <w:lang w:val="en-CA" w:bidi="en-CA"/>
        </w:rPr>
        <w:t>,</w:t>
      </w:r>
      <w:r w:rsidRPr="0071186E">
        <w:rPr>
          <w:lang w:val="en-CA" w:bidi="en-CA"/>
        </w:rPr>
        <w:t xml:space="preserve"> the Court must be convinced that the </w:t>
      </w:r>
      <w:r w:rsidR="00596B7D" w:rsidRPr="0071186E">
        <w:rPr>
          <w:lang w:val="en-CA" w:bidi="en-CA"/>
        </w:rPr>
        <w:t>conditions</w:t>
      </w:r>
      <w:r w:rsidRPr="0071186E">
        <w:rPr>
          <w:lang w:val="en-CA" w:bidi="en-CA"/>
        </w:rPr>
        <w:t xml:space="preserve"> provided in </w:t>
      </w:r>
      <w:r w:rsidR="00701389">
        <w:rPr>
          <w:lang w:val="en-CA" w:bidi="en-CA"/>
        </w:rPr>
        <w:t>subsection </w:t>
      </w:r>
      <w:r w:rsidRPr="0071186E">
        <w:rPr>
          <w:lang w:val="en-CA" w:bidi="en-CA"/>
        </w:rPr>
        <w:t>715.37(6) are met. This provision reads as follows:</w:t>
      </w:r>
    </w:p>
    <w:p w14:paraId="3AE40E40" w14:textId="77777777" w:rsidR="00973C1B" w:rsidRPr="0071186E" w:rsidRDefault="00973C1B" w:rsidP="007E1D09">
      <w:pPr>
        <w:ind w:left="720"/>
        <w:rPr>
          <w:sz w:val="22"/>
          <w:szCs w:val="22"/>
          <w:lang w:val="en-CA"/>
        </w:rPr>
      </w:pPr>
      <w:r w:rsidRPr="0071186E">
        <w:rPr>
          <w:sz w:val="22"/>
          <w:szCs w:val="22"/>
          <w:lang w:val="en-CA"/>
        </w:rPr>
        <w:t>The court must, by order, approve the agreement if it is satisfied that:</w:t>
      </w:r>
    </w:p>
    <w:p w14:paraId="5A037DF2" w14:textId="77777777" w:rsidR="00973C1B" w:rsidRPr="0071186E" w:rsidRDefault="00973C1B" w:rsidP="007E1D09">
      <w:pPr>
        <w:ind w:left="1440" w:hanging="360"/>
        <w:rPr>
          <w:sz w:val="22"/>
          <w:szCs w:val="22"/>
          <w:lang w:val="en-CA"/>
        </w:rPr>
      </w:pPr>
      <w:r w:rsidRPr="0071186E">
        <w:rPr>
          <w:bCs/>
          <w:sz w:val="22"/>
          <w:szCs w:val="22"/>
          <w:lang w:val="en-CA"/>
        </w:rPr>
        <w:t>(a)</w:t>
      </w:r>
      <w:r w:rsidRPr="0071186E">
        <w:rPr>
          <w:sz w:val="22"/>
          <w:szCs w:val="22"/>
          <w:lang w:val="en-CA"/>
        </w:rPr>
        <w:t> the organization is charged with an offence to which the agreement applies;</w:t>
      </w:r>
    </w:p>
    <w:p w14:paraId="53039ECE" w14:textId="77777777" w:rsidR="00973C1B" w:rsidRPr="0071186E" w:rsidRDefault="00973C1B" w:rsidP="007E1D09">
      <w:pPr>
        <w:ind w:left="1440" w:hanging="360"/>
        <w:rPr>
          <w:sz w:val="22"/>
          <w:szCs w:val="22"/>
          <w:lang w:val="en-CA"/>
        </w:rPr>
      </w:pPr>
      <w:r w:rsidRPr="0071186E">
        <w:rPr>
          <w:bCs/>
          <w:sz w:val="22"/>
          <w:szCs w:val="22"/>
          <w:lang w:val="en-CA"/>
        </w:rPr>
        <w:t>(b)</w:t>
      </w:r>
      <w:r w:rsidRPr="0071186E">
        <w:rPr>
          <w:sz w:val="22"/>
          <w:szCs w:val="22"/>
          <w:lang w:val="en-CA"/>
        </w:rPr>
        <w:t> the agreement is in the public interest; and</w:t>
      </w:r>
    </w:p>
    <w:p w14:paraId="4CF02245" w14:textId="77777777" w:rsidR="00973C1B" w:rsidRPr="0071186E" w:rsidRDefault="00973C1B" w:rsidP="007E1D09">
      <w:pPr>
        <w:ind w:left="1440" w:hanging="360"/>
        <w:rPr>
          <w:sz w:val="22"/>
          <w:szCs w:val="22"/>
          <w:lang w:val="en-CA" w:bidi="en-CA"/>
        </w:rPr>
      </w:pPr>
      <w:r w:rsidRPr="0071186E">
        <w:rPr>
          <w:bCs/>
          <w:sz w:val="22"/>
          <w:szCs w:val="22"/>
          <w:lang w:val="en-CA"/>
        </w:rPr>
        <w:t>(c)</w:t>
      </w:r>
      <w:r w:rsidRPr="0071186E">
        <w:rPr>
          <w:sz w:val="22"/>
          <w:szCs w:val="22"/>
          <w:lang w:val="en-CA"/>
        </w:rPr>
        <w:t> the terms of the agreement are fair, reasonable and proportionate to the gravity of the offence.</w:t>
      </w:r>
    </w:p>
    <w:p w14:paraId="335F9E50" w14:textId="77777777" w:rsidR="00A07EF3" w:rsidRPr="0071186E" w:rsidRDefault="00A07EF3" w:rsidP="007E1D09">
      <w:pPr>
        <w:ind w:left="1440" w:hanging="360"/>
        <w:rPr>
          <w:lang w:val="en-CA" w:bidi="en-CA"/>
        </w:rPr>
      </w:pPr>
    </w:p>
    <w:p w14:paraId="76493674" w14:textId="03BF8C7A" w:rsidR="00A07EF3" w:rsidRPr="0071186E" w:rsidRDefault="00973C1B" w:rsidP="00973C1B">
      <w:pPr>
        <w:pStyle w:val="SimpleL1"/>
        <w:rPr>
          <w:lang w:val="en-CA" w:bidi="en-CA"/>
        </w:rPr>
      </w:pPr>
      <w:r w:rsidRPr="0071186E">
        <w:rPr>
          <w:lang w:val="en-CA" w:bidi="en-CA"/>
        </w:rPr>
        <w:t xml:space="preserve">It is </w:t>
      </w:r>
      <w:r w:rsidR="00D4139D">
        <w:rPr>
          <w:lang w:val="en-CA" w:bidi="en-CA"/>
        </w:rPr>
        <w:t>appropriate</w:t>
      </w:r>
      <w:r w:rsidR="00D4139D" w:rsidRPr="0071186E">
        <w:rPr>
          <w:lang w:val="en-CA" w:bidi="en-CA"/>
        </w:rPr>
        <w:t xml:space="preserve"> </w:t>
      </w:r>
      <w:r w:rsidRPr="0071186E">
        <w:rPr>
          <w:lang w:val="en-CA" w:bidi="en-CA"/>
        </w:rPr>
        <w:t xml:space="preserve">to </w:t>
      </w:r>
      <w:r w:rsidR="00596B7D" w:rsidRPr="0071186E">
        <w:rPr>
          <w:lang w:val="en-CA" w:bidi="en-CA"/>
        </w:rPr>
        <w:t xml:space="preserve">verify </w:t>
      </w:r>
      <w:r w:rsidRPr="0071186E">
        <w:rPr>
          <w:lang w:val="en-CA" w:bidi="en-CA"/>
        </w:rPr>
        <w:t xml:space="preserve">whether these conditions are met </w:t>
      </w:r>
      <w:r w:rsidR="00D4139D">
        <w:rPr>
          <w:lang w:val="en-CA" w:bidi="en-CA"/>
        </w:rPr>
        <w:t>here</w:t>
      </w:r>
      <w:r w:rsidRPr="0071186E">
        <w:rPr>
          <w:lang w:val="en-CA" w:bidi="en-CA"/>
        </w:rPr>
        <w:t xml:space="preserve">. </w:t>
      </w:r>
      <w:r w:rsidR="00D4139D">
        <w:rPr>
          <w:lang w:val="en-CA" w:bidi="en-CA"/>
        </w:rPr>
        <w:t>I</w:t>
      </w:r>
      <w:r w:rsidR="00D4139D" w:rsidRPr="0071186E">
        <w:rPr>
          <w:lang w:val="en-CA" w:bidi="en-CA"/>
        </w:rPr>
        <w:t xml:space="preserve">n </w:t>
      </w:r>
      <w:r w:rsidR="00D4139D">
        <w:rPr>
          <w:lang w:val="en-CA" w:bidi="en-CA"/>
        </w:rPr>
        <w:t xml:space="preserve">performing </w:t>
      </w:r>
      <w:r w:rsidR="00D4139D" w:rsidRPr="0071186E">
        <w:rPr>
          <w:lang w:val="en-CA" w:bidi="en-CA"/>
        </w:rPr>
        <w:t>this exercise</w:t>
      </w:r>
      <w:r w:rsidR="00D4139D">
        <w:rPr>
          <w:lang w:val="en-CA" w:bidi="en-CA"/>
        </w:rPr>
        <w:t>,</w:t>
      </w:r>
      <w:r w:rsidR="00D4139D" w:rsidRPr="0071186E">
        <w:rPr>
          <w:lang w:val="en-CA" w:bidi="en-CA"/>
        </w:rPr>
        <w:t xml:space="preserve"> </w:t>
      </w:r>
      <w:r w:rsidR="00D4139D">
        <w:rPr>
          <w:lang w:val="en-CA" w:bidi="en-CA"/>
        </w:rPr>
        <w:t>t</w:t>
      </w:r>
      <w:r w:rsidRPr="0071186E">
        <w:rPr>
          <w:lang w:val="en-CA" w:bidi="en-CA"/>
        </w:rPr>
        <w:t xml:space="preserve">he Court must strike a balance. On the one hand, if it only ratifies the Agreement as proposed by the </w:t>
      </w:r>
      <w:r w:rsidR="0071186E" w:rsidRPr="0071186E">
        <w:rPr>
          <w:lang w:val="en-CA" w:bidi="en-CA"/>
        </w:rPr>
        <w:t>P</w:t>
      </w:r>
      <w:r w:rsidRPr="0071186E">
        <w:rPr>
          <w:lang w:val="en-CA" w:bidi="en-CA"/>
        </w:rPr>
        <w:t xml:space="preserve">arties, it violates </w:t>
      </w:r>
      <w:r w:rsidR="00D4139D">
        <w:rPr>
          <w:lang w:val="en-CA" w:bidi="en-CA"/>
        </w:rPr>
        <w:t>Parliament’s</w:t>
      </w:r>
      <w:r w:rsidR="00D4139D" w:rsidRPr="0071186E">
        <w:rPr>
          <w:lang w:val="en-CA" w:bidi="en-CA"/>
        </w:rPr>
        <w:t xml:space="preserve"> </w:t>
      </w:r>
      <w:r w:rsidRPr="0071186E">
        <w:rPr>
          <w:lang w:val="en-CA" w:bidi="en-CA"/>
        </w:rPr>
        <w:t xml:space="preserve">clear </w:t>
      </w:r>
      <w:r w:rsidR="00D4139D">
        <w:rPr>
          <w:lang w:val="en-CA" w:bidi="en-CA"/>
        </w:rPr>
        <w:t>intention</w:t>
      </w:r>
      <w:r w:rsidR="00D4139D" w:rsidRPr="0071186E">
        <w:rPr>
          <w:lang w:val="en-CA" w:bidi="en-CA"/>
        </w:rPr>
        <w:t xml:space="preserve"> </w:t>
      </w:r>
      <w:r w:rsidR="00D4139D">
        <w:rPr>
          <w:lang w:val="en-CA" w:bidi="en-CA"/>
        </w:rPr>
        <w:t>of</w:t>
      </w:r>
      <w:r w:rsidR="00D4139D" w:rsidRPr="0071186E">
        <w:rPr>
          <w:lang w:val="en-CA" w:bidi="en-CA"/>
        </w:rPr>
        <w:t xml:space="preserve"> </w:t>
      </w:r>
      <w:r w:rsidR="00D4139D">
        <w:rPr>
          <w:lang w:val="en-CA" w:bidi="en-CA"/>
        </w:rPr>
        <w:t>ensuring that</w:t>
      </w:r>
      <w:r w:rsidR="00596B7D" w:rsidRPr="0071186E">
        <w:rPr>
          <w:lang w:val="en-CA" w:bidi="en-CA"/>
        </w:rPr>
        <w:t xml:space="preserve"> remediation agreements </w:t>
      </w:r>
      <w:r w:rsidR="00D4139D">
        <w:rPr>
          <w:lang w:val="en-CA" w:bidi="en-CA"/>
        </w:rPr>
        <w:t xml:space="preserve">are checked </w:t>
      </w:r>
      <w:r w:rsidRPr="0071186E">
        <w:rPr>
          <w:lang w:val="en-CA" w:bidi="en-CA"/>
        </w:rPr>
        <w:t xml:space="preserve">by the Courts. The </w:t>
      </w:r>
      <w:r w:rsidR="00596B7D" w:rsidRPr="0071186E">
        <w:rPr>
          <w:lang w:val="en-CA" w:bidi="en-CA"/>
        </w:rPr>
        <w:t>legislator</w:t>
      </w:r>
      <w:r w:rsidRPr="0071186E">
        <w:rPr>
          <w:lang w:val="en-CA" w:bidi="en-CA"/>
        </w:rPr>
        <w:t>, based on the American and British experience, favoured judicial oversight of remediation agreements. On the other hand, too much uncertainty could deter companies from resorting to remediation agreements in the future, especially in self-reporting scenarios</w:t>
      </w:r>
      <w:r w:rsidRPr="0071186E">
        <w:rPr>
          <w:vertAlign w:val="superscript"/>
          <w:lang w:val="en-CA" w:bidi="en-CA"/>
        </w:rPr>
        <w:footnoteReference w:id="67"/>
      </w:r>
      <w:r w:rsidRPr="0071186E">
        <w:rPr>
          <w:lang w:val="en-CA" w:bidi="en-CA"/>
        </w:rPr>
        <w:t xml:space="preserve">. This would contravene a major objective </w:t>
      </w:r>
      <w:r w:rsidR="00D4139D">
        <w:rPr>
          <w:lang w:val="en-CA" w:bidi="en-CA"/>
        </w:rPr>
        <w:t>behind</w:t>
      </w:r>
      <w:r w:rsidR="00D4139D" w:rsidRPr="0071186E">
        <w:rPr>
          <w:lang w:val="en-CA" w:bidi="en-CA"/>
        </w:rPr>
        <w:t xml:space="preserve"> </w:t>
      </w:r>
      <w:r w:rsidRPr="0071186E">
        <w:rPr>
          <w:lang w:val="en-CA" w:bidi="en-CA"/>
        </w:rPr>
        <w:t>the introduction of remediation agreements in</w:t>
      </w:r>
      <w:r w:rsidR="00D4139D">
        <w:rPr>
          <w:lang w:val="en-CA" w:bidi="en-CA"/>
        </w:rPr>
        <w:t>to</w:t>
      </w:r>
      <w:r w:rsidRPr="0071186E">
        <w:rPr>
          <w:lang w:val="en-CA" w:bidi="en-CA"/>
        </w:rPr>
        <w:t xml:space="preserve"> the legal arsenal </w:t>
      </w:r>
      <w:r w:rsidR="00596B7D" w:rsidRPr="0071186E">
        <w:rPr>
          <w:lang w:val="en-CA" w:bidi="en-CA"/>
        </w:rPr>
        <w:t xml:space="preserve">for </w:t>
      </w:r>
      <w:r w:rsidRPr="0071186E">
        <w:rPr>
          <w:lang w:val="en-CA" w:bidi="en-CA"/>
        </w:rPr>
        <w:t>fight</w:t>
      </w:r>
      <w:r w:rsidR="00D4139D">
        <w:rPr>
          <w:lang w:val="en-CA" w:bidi="en-CA"/>
        </w:rPr>
        <w:t>ing</w:t>
      </w:r>
      <w:r w:rsidRPr="0071186E">
        <w:rPr>
          <w:lang w:val="en-CA" w:bidi="en-CA"/>
        </w:rPr>
        <w:t xml:space="preserve"> economic crimes.</w:t>
      </w:r>
    </w:p>
    <w:p w14:paraId="71BB06B6" w14:textId="2317606C" w:rsidR="00973C1B" w:rsidRPr="0071186E" w:rsidRDefault="00973C1B" w:rsidP="00973C1B">
      <w:pPr>
        <w:pStyle w:val="SimpleL1"/>
        <w:rPr>
          <w:lang w:val="en-CA" w:bidi="en-CA"/>
        </w:rPr>
      </w:pPr>
      <w:r w:rsidRPr="0071186E">
        <w:rPr>
          <w:lang w:val="en-CA" w:bidi="en-CA"/>
        </w:rPr>
        <w:t xml:space="preserve">As proposed by the parties, a parallel can be drawn with the recording of guilty pleas for which the Supreme Court </w:t>
      </w:r>
      <w:r w:rsidR="000F1255">
        <w:rPr>
          <w:lang w:val="en-CA" w:bidi="en-CA"/>
        </w:rPr>
        <w:t>chose</w:t>
      </w:r>
      <w:r w:rsidRPr="0071186E">
        <w:rPr>
          <w:lang w:val="en-CA" w:bidi="en-CA"/>
        </w:rPr>
        <w:t xml:space="preserve"> a </w:t>
      </w:r>
      <w:r w:rsidR="00596B7D" w:rsidRPr="0071186E">
        <w:rPr>
          <w:lang w:val="en-CA" w:bidi="en-CA"/>
        </w:rPr>
        <w:t xml:space="preserve">stringent test </w:t>
      </w:r>
      <w:r w:rsidRPr="0071186E">
        <w:rPr>
          <w:lang w:val="en-CA" w:bidi="en-CA"/>
        </w:rPr>
        <w:t xml:space="preserve">in </w:t>
      </w:r>
      <w:r w:rsidRPr="0071186E">
        <w:rPr>
          <w:i/>
          <w:lang w:val="en-CA" w:bidi="en-CA"/>
        </w:rPr>
        <w:t>R.</w:t>
      </w:r>
      <w:r w:rsidR="00596B7D" w:rsidRPr="0071186E">
        <w:rPr>
          <w:i/>
          <w:lang w:val="en-CA" w:bidi="en-CA"/>
        </w:rPr>
        <w:t xml:space="preserve"> </w:t>
      </w:r>
      <w:r w:rsidRPr="0071186E">
        <w:rPr>
          <w:i/>
          <w:lang w:val="en-CA" w:bidi="en-CA"/>
        </w:rPr>
        <w:t>v.</w:t>
      </w:r>
      <w:r w:rsidRPr="0071186E">
        <w:rPr>
          <w:lang w:val="en-CA" w:bidi="en-CA"/>
        </w:rPr>
        <w:t xml:space="preserve"> </w:t>
      </w:r>
      <w:r w:rsidRPr="0071186E">
        <w:rPr>
          <w:i/>
          <w:lang w:val="en-CA" w:bidi="en-CA"/>
        </w:rPr>
        <w:t>Anthony-Cook</w:t>
      </w:r>
      <w:r w:rsidR="000F1255" w:rsidRPr="006B7F16">
        <w:rPr>
          <w:lang w:val="en-CA" w:bidi="en-CA"/>
        </w:rPr>
        <w:t>.</w:t>
      </w:r>
      <w:r w:rsidRPr="006B7F16">
        <w:rPr>
          <w:vertAlign w:val="superscript"/>
          <w:lang w:val="en-CA" w:bidi="en-CA"/>
        </w:rPr>
        <w:footnoteReference w:id="68"/>
      </w:r>
      <w:r w:rsidRPr="0071186E">
        <w:rPr>
          <w:i/>
          <w:lang w:val="en-CA" w:bidi="en-CA"/>
        </w:rPr>
        <w:t xml:space="preserve"> </w:t>
      </w:r>
      <w:r w:rsidR="000F1255">
        <w:rPr>
          <w:lang w:val="en-CA" w:bidi="en-CA"/>
        </w:rPr>
        <w:t>In that judgment, t</w:t>
      </w:r>
      <w:r w:rsidR="00CD2FE5" w:rsidRPr="0071186E">
        <w:rPr>
          <w:lang w:val="en-CA" w:bidi="en-CA"/>
        </w:rPr>
        <w:t xml:space="preserve">he Supreme Court refers </w:t>
      </w:r>
      <w:r w:rsidRPr="0071186E">
        <w:rPr>
          <w:lang w:val="en-CA" w:bidi="en-CA"/>
        </w:rPr>
        <w:t xml:space="preserve">to the Martin </w:t>
      </w:r>
      <w:r w:rsidR="00596B7D" w:rsidRPr="0071186E">
        <w:rPr>
          <w:lang w:val="en-CA" w:bidi="en-CA"/>
        </w:rPr>
        <w:t>C</w:t>
      </w:r>
      <w:r w:rsidRPr="0071186E">
        <w:rPr>
          <w:lang w:val="en-CA" w:bidi="en-CA"/>
        </w:rPr>
        <w:t xml:space="preserve">ommittee, </w:t>
      </w:r>
      <w:r w:rsidR="00596B7D" w:rsidRPr="0071186E">
        <w:rPr>
          <w:lang w:val="en-CA" w:bidi="en-CA"/>
        </w:rPr>
        <w:t xml:space="preserve">which stated that </w:t>
      </w:r>
      <w:r w:rsidRPr="0071186E">
        <w:rPr>
          <w:lang w:val="en-CA" w:bidi="en-CA"/>
        </w:rPr>
        <w:t xml:space="preserve">the most important factor in the </w:t>
      </w:r>
      <w:r w:rsidR="00CD2FE5" w:rsidRPr="0071186E">
        <w:rPr>
          <w:lang w:val="en-CA" w:bidi="en-CA"/>
        </w:rPr>
        <w:t>“ability to conclude resolution agreements, thereby deriving the benefits that such agreements bring, is that of certainty</w:t>
      </w:r>
      <w:r w:rsidR="00596B7D" w:rsidRPr="0071186E">
        <w:rPr>
          <w:lang w:val="en-CA" w:bidi="en-CA"/>
        </w:rPr>
        <w:t>”</w:t>
      </w:r>
      <w:r w:rsidR="000F1255">
        <w:rPr>
          <w:lang w:val="en-CA" w:bidi="en-CA"/>
        </w:rPr>
        <w:t>.</w:t>
      </w:r>
      <w:r w:rsidRPr="0071186E">
        <w:rPr>
          <w:vertAlign w:val="superscript"/>
          <w:lang w:val="en-CA" w:bidi="en-CA"/>
        </w:rPr>
        <w:footnoteReference w:id="69"/>
      </w:r>
      <w:r w:rsidRPr="0071186E">
        <w:rPr>
          <w:lang w:val="en-CA" w:bidi="en-CA"/>
        </w:rPr>
        <w:t xml:space="preserve"> As the </w:t>
      </w:r>
      <w:r w:rsidR="00E373BB" w:rsidRPr="0071186E">
        <w:rPr>
          <w:lang w:val="en-CA" w:bidi="en-CA"/>
        </w:rPr>
        <w:t>h</w:t>
      </w:r>
      <w:r w:rsidRPr="0071186E">
        <w:rPr>
          <w:lang w:val="en-CA" w:bidi="en-CA"/>
        </w:rPr>
        <w:t>ighest Court reminds us, if the</w:t>
      </w:r>
      <w:r w:rsidR="002A51F2" w:rsidRPr="0071186E">
        <w:rPr>
          <w:lang w:val="en-CA" w:bidi="en-CA"/>
        </w:rPr>
        <w:t>re is too much</w:t>
      </w:r>
      <w:r w:rsidRPr="0071186E">
        <w:rPr>
          <w:lang w:val="en-CA" w:bidi="en-CA"/>
        </w:rPr>
        <w:t xml:space="preserve"> doubt, parties </w:t>
      </w:r>
      <w:r w:rsidR="00E373BB" w:rsidRPr="0071186E">
        <w:rPr>
          <w:lang w:val="en-CA" w:bidi="en-CA"/>
        </w:rPr>
        <w:t xml:space="preserve">may </w:t>
      </w:r>
      <w:r w:rsidRPr="0071186E">
        <w:rPr>
          <w:lang w:val="en-CA" w:bidi="en-CA"/>
        </w:rPr>
        <w:t xml:space="preserve">choose </w:t>
      </w:r>
      <w:r w:rsidR="00E373BB" w:rsidRPr="0071186E">
        <w:rPr>
          <w:lang w:val="en-CA" w:bidi="en-CA"/>
        </w:rPr>
        <w:t xml:space="preserve">instead </w:t>
      </w:r>
      <w:r w:rsidRPr="0071186E">
        <w:rPr>
          <w:lang w:val="en-CA" w:bidi="en-CA"/>
        </w:rPr>
        <w:t>to accept the risks of a trial</w:t>
      </w:r>
      <w:r w:rsidR="000F1255">
        <w:rPr>
          <w:lang w:val="en-CA" w:bidi="en-CA"/>
        </w:rPr>
        <w:t>.</w:t>
      </w:r>
      <w:r w:rsidRPr="0071186E">
        <w:rPr>
          <w:vertAlign w:val="superscript"/>
          <w:lang w:val="en-CA" w:bidi="en-CA"/>
        </w:rPr>
        <w:footnoteReference w:id="70"/>
      </w:r>
    </w:p>
    <w:p w14:paraId="2EFD56A6" w14:textId="5B156CB7" w:rsidR="00973C1B" w:rsidRPr="0071186E" w:rsidRDefault="00973C1B" w:rsidP="00973C1B">
      <w:pPr>
        <w:pStyle w:val="SimpleL1"/>
        <w:rPr>
          <w:lang w:val="en-CA" w:bidi="en-CA"/>
        </w:rPr>
      </w:pPr>
      <w:r w:rsidRPr="0071186E">
        <w:rPr>
          <w:lang w:val="en-CA" w:bidi="en-CA"/>
        </w:rPr>
        <w:t xml:space="preserve">Finally, the Court </w:t>
      </w:r>
      <w:r w:rsidR="00E373BB" w:rsidRPr="0071186E">
        <w:rPr>
          <w:lang w:val="en-CA" w:bidi="en-CA"/>
        </w:rPr>
        <w:t xml:space="preserve">shall keep </w:t>
      </w:r>
      <w:r w:rsidRPr="0071186E">
        <w:rPr>
          <w:lang w:val="en-CA" w:bidi="en-CA"/>
        </w:rPr>
        <w:t>in mind that the Prosecutor took into consideration the public interest when it</w:t>
      </w:r>
      <w:r w:rsidR="00AD5C35">
        <w:rPr>
          <w:lang w:val="en-CA" w:bidi="en-CA"/>
        </w:rPr>
        <w:t xml:space="preserve"> sent the</w:t>
      </w:r>
      <w:r w:rsidRPr="0071186E">
        <w:rPr>
          <w:lang w:val="en-CA" w:bidi="en-CA"/>
        </w:rPr>
        <w:t xml:space="preserve"> Organizations</w:t>
      </w:r>
      <w:r w:rsidR="00AD5C35">
        <w:rPr>
          <w:lang w:val="en-CA" w:bidi="en-CA"/>
        </w:rPr>
        <w:t xml:space="preserve"> an offer</w:t>
      </w:r>
      <w:r w:rsidRPr="0071186E">
        <w:rPr>
          <w:lang w:val="en-CA" w:bidi="en-CA"/>
        </w:rPr>
        <w:t xml:space="preserve"> to negotiate</w:t>
      </w:r>
      <w:r w:rsidR="000F1255">
        <w:rPr>
          <w:lang w:val="en-CA" w:bidi="en-CA"/>
        </w:rPr>
        <w:t>.</w:t>
      </w:r>
      <w:r w:rsidRPr="0071186E">
        <w:rPr>
          <w:vertAlign w:val="superscript"/>
          <w:lang w:val="en-CA" w:bidi="en-CA"/>
        </w:rPr>
        <w:footnoteReference w:id="71"/>
      </w:r>
    </w:p>
    <w:p w14:paraId="47F1F2C0" w14:textId="77777777" w:rsidR="00973C1B" w:rsidRPr="0071186E" w:rsidRDefault="00973C1B" w:rsidP="00973C1B">
      <w:pPr>
        <w:pStyle w:val="SimpleL1"/>
        <w:rPr>
          <w:lang w:val="en-CA" w:bidi="en-CA"/>
        </w:rPr>
      </w:pPr>
      <w:r w:rsidRPr="0071186E">
        <w:rPr>
          <w:lang w:val="en-CA" w:bidi="en-CA"/>
        </w:rPr>
        <w:lastRenderedPageBreak/>
        <w:t xml:space="preserve">The Court will therefore show deference in its analysis, while ensuring that the conditions set out in the </w:t>
      </w:r>
      <w:r w:rsidRPr="006B7F16">
        <w:rPr>
          <w:i/>
          <w:lang w:val="en-CA" w:bidi="en-CA"/>
        </w:rPr>
        <w:t>Criminal Code</w:t>
      </w:r>
      <w:r w:rsidRPr="0071186E">
        <w:rPr>
          <w:lang w:val="en-CA" w:bidi="en-CA"/>
        </w:rPr>
        <w:t xml:space="preserve"> are met.</w:t>
      </w:r>
    </w:p>
    <w:p w14:paraId="27FA7E6D" w14:textId="27EA5612" w:rsidR="00973C1B" w:rsidRPr="0071186E" w:rsidRDefault="0071186E" w:rsidP="00313DEB">
      <w:pPr>
        <w:pStyle w:val="Titre6"/>
        <w:numPr>
          <w:ilvl w:val="0"/>
          <w:numId w:val="31"/>
        </w:numPr>
        <w:ind w:hanging="720"/>
        <w:rPr>
          <w:lang w:val="en-CA" w:bidi="en-CA"/>
        </w:rPr>
      </w:pPr>
      <w:bookmarkStart w:id="23" w:name="_Toc109310861"/>
      <w:r>
        <w:rPr>
          <w:lang w:val="en-CA" w:bidi="en-CA"/>
        </w:rPr>
        <w:t>Are the O</w:t>
      </w:r>
      <w:r w:rsidR="00973C1B" w:rsidRPr="0071186E">
        <w:rPr>
          <w:lang w:val="en-CA" w:bidi="en-CA"/>
        </w:rPr>
        <w:t xml:space="preserve">rganizations being charged with </w:t>
      </w:r>
      <w:r w:rsidR="00524E63">
        <w:rPr>
          <w:lang w:val="en-CA" w:bidi="en-CA"/>
        </w:rPr>
        <w:t xml:space="preserve">the </w:t>
      </w:r>
      <w:r w:rsidR="00973C1B" w:rsidRPr="0071186E">
        <w:rPr>
          <w:lang w:val="en-CA" w:bidi="en-CA"/>
        </w:rPr>
        <w:t xml:space="preserve">offences </w:t>
      </w:r>
      <w:r w:rsidR="00E373BB" w:rsidRPr="0071186E">
        <w:rPr>
          <w:lang w:val="en-CA" w:bidi="en-CA"/>
        </w:rPr>
        <w:t>contemplated</w:t>
      </w:r>
      <w:r w:rsidR="00973C1B" w:rsidRPr="0071186E">
        <w:rPr>
          <w:lang w:val="en-CA" w:bidi="en-CA"/>
        </w:rPr>
        <w:t xml:space="preserve"> by the Agreement?</w:t>
      </w:r>
      <w:bookmarkEnd w:id="23"/>
    </w:p>
    <w:p w14:paraId="4FD0EACC" w14:textId="1F675EDB" w:rsidR="00973C1B" w:rsidRPr="0071186E" w:rsidRDefault="00973C1B" w:rsidP="00973C1B">
      <w:pPr>
        <w:pStyle w:val="SimpleL1"/>
        <w:rPr>
          <w:lang w:val="en-CA" w:bidi="en-CA"/>
        </w:rPr>
      </w:pPr>
      <w:r w:rsidRPr="0071186E">
        <w:rPr>
          <w:lang w:val="en-CA" w:bidi="en-CA"/>
        </w:rPr>
        <w:t xml:space="preserve">From the outset, the first criterion poses no difficulty. The laying of information </w:t>
      </w:r>
      <w:r w:rsidR="00DC5832">
        <w:rPr>
          <w:lang w:val="en-CA" w:bidi="en-CA"/>
        </w:rPr>
        <w:t xml:space="preserve">bearing </w:t>
      </w:r>
      <w:r w:rsidRPr="0071186E">
        <w:rPr>
          <w:lang w:val="en-CA" w:bidi="en-CA"/>
        </w:rPr>
        <w:t>number 500-01-223556-215 may be found in Schedule A of the Agreement. This information charges SNCL and SNCLI with the offences of fraud on the government (</w:t>
      </w:r>
      <w:r w:rsidR="00DC5832">
        <w:rPr>
          <w:lang w:val="en-CA" w:bidi="en-CA"/>
        </w:rPr>
        <w:t>s.</w:t>
      </w:r>
      <w:r w:rsidR="00DC5832" w:rsidRPr="0071186E">
        <w:rPr>
          <w:lang w:val="en-CA" w:bidi="en-CA"/>
        </w:rPr>
        <w:t xml:space="preserve"> </w:t>
      </w:r>
      <w:r w:rsidRPr="0071186E">
        <w:rPr>
          <w:lang w:val="en-CA" w:bidi="en-CA"/>
        </w:rPr>
        <w:t>121 Cr.</w:t>
      </w:r>
      <w:r w:rsidR="00DC5832">
        <w:rPr>
          <w:lang w:val="en-CA" w:bidi="en-CA"/>
        </w:rPr>
        <w:t> </w:t>
      </w:r>
      <w:r w:rsidRPr="0071186E">
        <w:rPr>
          <w:lang w:val="en-CA" w:bidi="en-CA"/>
        </w:rPr>
        <w:t>C.), forgery (</w:t>
      </w:r>
      <w:r w:rsidR="00DC5832">
        <w:rPr>
          <w:lang w:val="en-CA" w:bidi="en-CA"/>
        </w:rPr>
        <w:t xml:space="preserve">s. </w:t>
      </w:r>
      <w:r w:rsidRPr="0071186E">
        <w:rPr>
          <w:lang w:val="en-CA" w:bidi="en-CA"/>
        </w:rPr>
        <w:t>366 Cr.</w:t>
      </w:r>
      <w:r w:rsidR="00DC5832">
        <w:rPr>
          <w:lang w:val="en-CA" w:bidi="en-CA"/>
        </w:rPr>
        <w:t> </w:t>
      </w:r>
      <w:r w:rsidRPr="0071186E">
        <w:rPr>
          <w:lang w:val="en-CA" w:bidi="en-CA"/>
        </w:rPr>
        <w:t>C.), fraud (</w:t>
      </w:r>
      <w:r w:rsidR="00DC5832">
        <w:rPr>
          <w:lang w:val="en-CA" w:bidi="en-CA"/>
        </w:rPr>
        <w:t>s.</w:t>
      </w:r>
      <w:r w:rsidR="00DC5832" w:rsidRPr="0071186E">
        <w:rPr>
          <w:lang w:val="en-CA" w:bidi="en-CA"/>
        </w:rPr>
        <w:t> </w:t>
      </w:r>
      <w:r w:rsidRPr="0071186E">
        <w:rPr>
          <w:lang w:val="en-CA" w:bidi="en-CA"/>
        </w:rPr>
        <w:t>380 Cr.</w:t>
      </w:r>
      <w:r w:rsidR="00DC5832">
        <w:rPr>
          <w:lang w:val="en-CA" w:bidi="en-CA"/>
        </w:rPr>
        <w:t> </w:t>
      </w:r>
      <w:r w:rsidRPr="0071186E">
        <w:rPr>
          <w:lang w:val="en-CA" w:bidi="en-CA"/>
        </w:rPr>
        <w:t>C.) and their respective conspiracies (</w:t>
      </w:r>
      <w:r w:rsidR="00DC5832">
        <w:rPr>
          <w:lang w:val="en-CA" w:bidi="en-CA"/>
        </w:rPr>
        <w:t>s.</w:t>
      </w:r>
      <w:r w:rsidR="00DC5832" w:rsidRPr="0071186E">
        <w:rPr>
          <w:lang w:val="en-CA" w:bidi="en-CA"/>
        </w:rPr>
        <w:t xml:space="preserve"> </w:t>
      </w:r>
      <w:r w:rsidRPr="0071186E">
        <w:rPr>
          <w:lang w:val="en-CA" w:bidi="en-CA"/>
        </w:rPr>
        <w:t>465 Cr.</w:t>
      </w:r>
      <w:r w:rsidR="00DC5832">
        <w:rPr>
          <w:lang w:val="en-CA" w:bidi="en-CA"/>
        </w:rPr>
        <w:t> </w:t>
      </w:r>
      <w:r w:rsidRPr="0071186E">
        <w:rPr>
          <w:lang w:val="en-CA" w:bidi="en-CA"/>
        </w:rPr>
        <w:t>C.), which occurred between September 1997 and March 2004, in Montreal. All these offences are covered in Schedule [1.1] of Part XXII.1.</w:t>
      </w:r>
    </w:p>
    <w:p w14:paraId="1CCC6DBA" w14:textId="77777777" w:rsidR="00973C1B" w:rsidRPr="0071186E" w:rsidRDefault="00973C1B" w:rsidP="001E6FC4">
      <w:pPr>
        <w:pStyle w:val="Titre6"/>
        <w:ind w:hanging="720"/>
        <w:rPr>
          <w:lang w:val="en-CA" w:bidi="en-CA"/>
        </w:rPr>
      </w:pPr>
      <w:bookmarkStart w:id="24" w:name="_Toc109310862"/>
      <w:r w:rsidRPr="0071186E">
        <w:rPr>
          <w:lang w:val="en-CA" w:bidi="en-CA"/>
        </w:rPr>
        <w:t>Is the Agreement in the public interest?</w:t>
      </w:r>
      <w:bookmarkEnd w:id="24"/>
    </w:p>
    <w:p w14:paraId="699A3556" w14:textId="588AD6EE" w:rsidR="00973C1B" w:rsidRPr="0071186E" w:rsidRDefault="00E373BB" w:rsidP="00973C1B">
      <w:pPr>
        <w:pStyle w:val="SimpleL1"/>
        <w:rPr>
          <w:lang w:val="en-CA" w:bidi="en-CA"/>
        </w:rPr>
      </w:pPr>
      <w:r w:rsidRPr="0071186E">
        <w:rPr>
          <w:lang w:val="en-CA" w:bidi="en-CA"/>
        </w:rPr>
        <w:t>In Part XXII.1 of the Cr.</w:t>
      </w:r>
      <w:r w:rsidR="00DC5832">
        <w:rPr>
          <w:lang w:val="en-CA" w:bidi="en-CA"/>
        </w:rPr>
        <w:t> </w:t>
      </w:r>
      <w:r w:rsidRPr="0071186E">
        <w:rPr>
          <w:lang w:val="en-CA" w:bidi="en-CA"/>
        </w:rPr>
        <w:t>C.</w:t>
      </w:r>
      <w:r w:rsidR="00973C1B" w:rsidRPr="0071186E">
        <w:rPr>
          <w:lang w:val="en-CA" w:bidi="en-CA"/>
        </w:rPr>
        <w:t xml:space="preserve">, the legislator refers </w:t>
      </w:r>
      <w:r w:rsidRPr="0071186E">
        <w:rPr>
          <w:lang w:val="en-CA" w:bidi="en-CA"/>
        </w:rPr>
        <w:t xml:space="preserve">to the notion of public interest in </w:t>
      </w:r>
      <w:r w:rsidR="00973C1B" w:rsidRPr="0071186E">
        <w:rPr>
          <w:lang w:val="en-CA" w:bidi="en-CA"/>
        </w:rPr>
        <w:t xml:space="preserve">two </w:t>
      </w:r>
      <w:r w:rsidRPr="0071186E">
        <w:rPr>
          <w:lang w:val="en-CA" w:bidi="en-CA"/>
        </w:rPr>
        <w:t xml:space="preserve">instances. Indeed, </w:t>
      </w:r>
      <w:r w:rsidR="00701389">
        <w:rPr>
          <w:lang w:val="en-CA" w:bidi="en-CA"/>
        </w:rPr>
        <w:t>subsection</w:t>
      </w:r>
      <w:r w:rsidR="00701389" w:rsidRPr="0071186E">
        <w:rPr>
          <w:lang w:val="en-CA" w:bidi="en-CA"/>
        </w:rPr>
        <w:t xml:space="preserve"> </w:t>
      </w:r>
      <w:r w:rsidRPr="0071186E">
        <w:rPr>
          <w:lang w:val="en-CA" w:bidi="en-CA"/>
        </w:rPr>
        <w:t>715.32(1) Cr.</w:t>
      </w:r>
      <w:r w:rsidR="00701389">
        <w:rPr>
          <w:lang w:val="en-CA" w:bidi="en-CA"/>
        </w:rPr>
        <w:t> </w:t>
      </w:r>
      <w:r w:rsidRPr="0071186E">
        <w:rPr>
          <w:lang w:val="en-CA" w:bidi="en-CA"/>
        </w:rPr>
        <w:t xml:space="preserve">C. provides </w:t>
      </w:r>
      <w:r w:rsidR="00973C1B" w:rsidRPr="0071186E">
        <w:rPr>
          <w:lang w:val="en-CA" w:bidi="en-CA"/>
        </w:rPr>
        <w:t>that the prosecutor may negotiate a remediation agreement with an organization charged with an offence only if certain conditions are met, including that it is in the public interest to do so.</w:t>
      </w:r>
    </w:p>
    <w:p w14:paraId="5BFD09FE" w14:textId="3F7062D4" w:rsidR="00973C1B" w:rsidRPr="0071186E" w:rsidRDefault="00973C1B" w:rsidP="00973C1B">
      <w:pPr>
        <w:pStyle w:val="SimpleL1"/>
        <w:rPr>
          <w:lang w:val="en-CA" w:bidi="en-CA"/>
        </w:rPr>
      </w:pPr>
      <w:r w:rsidRPr="0071186E">
        <w:rPr>
          <w:lang w:val="en-CA" w:bidi="en-CA"/>
        </w:rPr>
        <w:t>To interpret paragraph 715.32(1)(c) Cr.</w:t>
      </w:r>
      <w:r w:rsidR="007B24BA">
        <w:rPr>
          <w:lang w:val="en-CA" w:bidi="en-CA"/>
        </w:rPr>
        <w:t> </w:t>
      </w:r>
      <w:r w:rsidRPr="0071186E">
        <w:rPr>
          <w:lang w:val="en-CA" w:bidi="en-CA"/>
        </w:rPr>
        <w:t>C.</w:t>
      </w:r>
      <w:r w:rsidR="007B24BA">
        <w:rPr>
          <w:lang w:val="en-CA" w:bidi="en-CA"/>
        </w:rPr>
        <w:t>,</w:t>
      </w:r>
      <w:r w:rsidRPr="0071186E">
        <w:rPr>
          <w:lang w:val="en-CA" w:bidi="en-CA"/>
        </w:rPr>
        <w:t xml:space="preserve"> in which this notion of public interest</w:t>
      </w:r>
      <w:r w:rsidR="007B24BA" w:rsidRPr="007B24BA">
        <w:rPr>
          <w:lang w:val="en-CA" w:bidi="en-CA"/>
        </w:rPr>
        <w:t xml:space="preserve"> </w:t>
      </w:r>
      <w:r w:rsidR="007B24BA" w:rsidRPr="0071186E">
        <w:rPr>
          <w:lang w:val="en-CA" w:bidi="en-CA"/>
        </w:rPr>
        <w:t>appears</w:t>
      </w:r>
      <w:r w:rsidRPr="0071186E">
        <w:rPr>
          <w:lang w:val="en-CA" w:bidi="en-CA"/>
        </w:rPr>
        <w:t xml:space="preserve">, </w:t>
      </w:r>
      <w:r w:rsidR="007B24BA">
        <w:rPr>
          <w:lang w:val="en-CA" w:bidi="en-CA"/>
        </w:rPr>
        <w:t>Parliament has</w:t>
      </w:r>
      <w:r w:rsidRPr="0071186E">
        <w:rPr>
          <w:lang w:val="en-CA" w:bidi="en-CA"/>
        </w:rPr>
        <w:t xml:space="preserve"> specifie</w:t>
      </w:r>
      <w:r w:rsidR="007B24BA">
        <w:rPr>
          <w:lang w:val="en-CA" w:bidi="en-CA"/>
        </w:rPr>
        <w:t>d</w:t>
      </w:r>
      <w:r w:rsidRPr="0071186E">
        <w:rPr>
          <w:lang w:val="en-CA" w:bidi="en-CA"/>
        </w:rPr>
        <w:t xml:space="preserve"> the factors to consider:</w:t>
      </w:r>
    </w:p>
    <w:p w14:paraId="157548BE" w14:textId="77777777" w:rsidR="00973C1B" w:rsidRPr="0071186E" w:rsidRDefault="00973C1B" w:rsidP="007E1D09">
      <w:pPr>
        <w:ind w:left="720" w:right="542"/>
        <w:jc w:val="both"/>
        <w:rPr>
          <w:lang w:val="en-CA"/>
        </w:rPr>
      </w:pPr>
      <w:r w:rsidRPr="0071186E">
        <w:rPr>
          <w:b/>
          <w:bCs/>
          <w:lang w:val="en-CA"/>
        </w:rPr>
        <w:t>(a)</w:t>
      </w:r>
      <w:r w:rsidRPr="0071186E">
        <w:rPr>
          <w:lang w:val="en-CA"/>
        </w:rPr>
        <w:t> the circumstances in which the act or omission that forms the basis of the offence was brought to the attention of investigative authorities;</w:t>
      </w:r>
    </w:p>
    <w:p w14:paraId="4F7450FA" w14:textId="77777777" w:rsidR="00973C1B" w:rsidRPr="0071186E" w:rsidRDefault="00973C1B" w:rsidP="007E1D09">
      <w:pPr>
        <w:ind w:left="720" w:right="542"/>
        <w:jc w:val="both"/>
        <w:rPr>
          <w:lang w:val="en-CA"/>
        </w:rPr>
      </w:pPr>
      <w:r w:rsidRPr="0071186E">
        <w:rPr>
          <w:b/>
          <w:bCs/>
          <w:lang w:val="en-CA"/>
        </w:rPr>
        <w:t>(b)</w:t>
      </w:r>
      <w:r w:rsidRPr="0071186E">
        <w:rPr>
          <w:lang w:val="en-CA"/>
        </w:rPr>
        <w:t> the nature and gravity of the act or omission and its impact on any victim;</w:t>
      </w:r>
    </w:p>
    <w:p w14:paraId="3C536A40" w14:textId="77777777" w:rsidR="00973C1B" w:rsidRPr="0071186E" w:rsidRDefault="00973C1B" w:rsidP="007E1D09">
      <w:pPr>
        <w:ind w:left="720" w:right="542"/>
        <w:jc w:val="both"/>
        <w:rPr>
          <w:lang w:val="en-CA"/>
        </w:rPr>
      </w:pPr>
      <w:r w:rsidRPr="0071186E">
        <w:rPr>
          <w:b/>
          <w:bCs/>
          <w:lang w:val="en-CA"/>
        </w:rPr>
        <w:t>(c)</w:t>
      </w:r>
      <w:r w:rsidRPr="0071186E">
        <w:rPr>
          <w:lang w:val="en-CA"/>
        </w:rPr>
        <w:t> the degree of involvement of senior officers of the organization in the act or omission;</w:t>
      </w:r>
    </w:p>
    <w:p w14:paraId="671FF483" w14:textId="77777777" w:rsidR="00973C1B" w:rsidRPr="0071186E" w:rsidRDefault="00973C1B" w:rsidP="007E1D09">
      <w:pPr>
        <w:ind w:left="720" w:right="542"/>
        <w:jc w:val="both"/>
        <w:rPr>
          <w:lang w:val="en-CA"/>
        </w:rPr>
      </w:pPr>
      <w:r w:rsidRPr="0071186E">
        <w:rPr>
          <w:b/>
          <w:bCs/>
          <w:lang w:val="en-CA"/>
        </w:rPr>
        <w:t>(d)</w:t>
      </w:r>
      <w:r w:rsidRPr="0071186E">
        <w:rPr>
          <w:lang w:val="en-CA"/>
        </w:rPr>
        <w:t> whether the organization has taken disciplinary action, including termination of employment, against any person who was involved in the act or omission;</w:t>
      </w:r>
    </w:p>
    <w:p w14:paraId="4FF42892" w14:textId="77777777" w:rsidR="00973C1B" w:rsidRPr="0071186E" w:rsidRDefault="00973C1B" w:rsidP="007E1D09">
      <w:pPr>
        <w:ind w:left="720" w:right="542"/>
        <w:jc w:val="both"/>
        <w:rPr>
          <w:lang w:val="en-CA"/>
        </w:rPr>
      </w:pPr>
      <w:r w:rsidRPr="0071186E">
        <w:rPr>
          <w:b/>
          <w:bCs/>
          <w:lang w:val="en-CA"/>
        </w:rPr>
        <w:t>(e)</w:t>
      </w:r>
      <w:r w:rsidRPr="0071186E">
        <w:rPr>
          <w:lang w:val="en-CA"/>
        </w:rPr>
        <w:t> whether the organization has made reparations or taken other measures to remedy the harm caused by the act or omission and to prevent the commission of similar acts or omissions;</w:t>
      </w:r>
    </w:p>
    <w:p w14:paraId="64C540DA" w14:textId="77777777" w:rsidR="00973C1B" w:rsidRPr="0071186E" w:rsidRDefault="00973C1B" w:rsidP="007E1D09">
      <w:pPr>
        <w:ind w:left="720" w:right="542"/>
        <w:jc w:val="both"/>
        <w:rPr>
          <w:lang w:val="en-CA"/>
        </w:rPr>
      </w:pPr>
      <w:r w:rsidRPr="0071186E">
        <w:rPr>
          <w:b/>
          <w:bCs/>
          <w:lang w:val="en-CA"/>
        </w:rPr>
        <w:t>(f)</w:t>
      </w:r>
      <w:r w:rsidRPr="0071186E">
        <w:rPr>
          <w:lang w:val="en-CA"/>
        </w:rPr>
        <w:t> whether the organization has identified or expressed a willingness to identify any person involved in wrongdoing related to the act or omission;</w:t>
      </w:r>
    </w:p>
    <w:p w14:paraId="7E55E6E6" w14:textId="77777777" w:rsidR="00973C1B" w:rsidRPr="0071186E" w:rsidRDefault="00973C1B" w:rsidP="007E1D09">
      <w:pPr>
        <w:ind w:left="720" w:right="542"/>
        <w:jc w:val="both"/>
        <w:rPr>
          <w:lang w:val="en-CA"/>
        </w:rPr>
      </w:pPr>
      <w:r w:rsidRPr="0071186E">
        <w:rPr>
          <w:b/>
          <w:bCs/>
          <w:lang w:val="en-CA"/>
        </w:rPr>
        <w:t>(g)</w:t>
      </w:r>
      <w:r w:rsidRPr="0071186E">
        <w:rPr>
          <w:lang w:val="en-CA"/>
        </w:rPr>
        <w:t> whether the organization — or any of its representatives — was convicted of an offence or sanctioned by a regulatory body, or whether it entered into a previous remediation agreement or other settlement, in Canada or elsewhere, for similar acts or omissions;</w:t>
      </w:r>
    </w:p>
    <w:p w14:paraId="4088017D" w14:textId="77777777" w:rsidR="00973C1B" w:rsidRPr="0071186E" w:rsidRDefault="00973C1B" w:rsidP="007E1D09">
      <w:pPr>
        <w:ind w:left="720" w:right="542"/>
        <w:jc w:val="both"/>
        <w:rPr>
          <w:lang w:val="en-CA"/>
        </w:rPr>
      </w:pPr>
      <w:r w:rsidRPr="0071186E">
        <w:rPr>
          <w:b/>
          <w:bCs/>
          <w:lang w:val="en-CA"/>
        </w:rPr>
        <w:t>(h)</w:t>
      </w:r>
      <w:r w:rsidRPr="0071186E">
        <w:rPr>
          <w:lang w:val="en-CA"/>
        </w:rPr>
        <w:t> whether the organization — or any of its representatives — is alleged to have committed any other offences, including those not listed in the schedule to this Part; and</w:t>
      </w:r>
    </w:p>
    <w:p w14:paraId="3CADDCAC" w14:textId="77777777" w:rsidR="00973C1B" w:rsidRPr="0071186E" w:rsidRDefault="00973C1B" w:rsidP="007E1D09">
      <w:pPr>
        <w:ind w:left="720" w:right="542"/>
        <w:jc w:val="both"/>
        <w:rPr>
          <w:lang w:val="en-CA"/>
        </w:rPr>
      </w:pPr>
      <w:r w:rsidRPr="0071186E">
        <w:rPr>
          <w:b/>
          <w:bCs/>
          <w:lang w:val="en-CA"/>
        </w:rPr>
        <w:t>(i)</w:t>
      </w:r>
      <w:r w:rsidRPr="0071186E">
        <w:rPr>
          <w:lang w:val="en-CA"/>
        </w:rPr>
        <w:t> any other factor that the prosecutor considers relevant.</w:t>
      </w:r>
    </w:p>
    <w:p w14:paraId="74F7782A" w14:textId="77777777" w:rsidR="00973C1B" w:rsidRPr="0071186E" w:rsidRDefault="00973C1B" w:rsidP="00973C1B">
      <w:pPr>
        <w:ind w:left="720"/>
        <w:rPr>
          <w:lang w:val="en-CA"/>
        </w:rPr>
      </w:pPr>
    </w:p>
    <w:p w14:paraId="54C9E09D" w14:textId="4275186F" w:rsidR="00973C1B" w:rsidRPr="0071186E" w:rsidRDefault="00973C1B" w:rsidP="00973C1B">
      <w:pPr>
        <w:pStyle w:val="SimpleL1"/>
        <w:rPr>
          <w:lang w:val="en-CA" w:bidi="en-CA"/>
        </w:rPr>
      </w:pPr>
      <w:r w:rsidRPr="0071186E">
        <w:rPr>
          <w:lang w:val="en-CA" w:bidi="en-CA"/>
        </w:rPr>
        <w:lastRenderedPageBreak/>
        <w:t xml:space="preserve">The legislator provides for a second </w:t>
      </w:r>
      <w:r w:rsidR="00BD7590">
        <w:rPr>
          <w:lang w:val="en-CA" w:bidi="en-CA"/>
        </w:rPr>
        <w:t>check</w:t>
      </w:r>
      <w:r w:rsidRPr="0071186E">
        <w:rPr>
          <w:lang w:val="en-CA" w:bidi="en-CA"/>
        </w:rPr>
        <w:t>, this time by the Court, which must be convinced that the Agreement is in the public interest before approving it</w:t>
      </w:r>
      <w:r w:rsidR="00BD7590">
        <w:rPr>
          <w:lang w:val="en-CA" w:bidi="en-CA"/>
        </w:rPr>
        <w:t>.</w:t>
      </w:r>
      <w:r w:rsidRPr="0071186E">
        <w:rPr>
          <w:vertAlign w:val="superscript"/>
          <w:lang w:val="en-CA" w:bidi="en-CA"/>
        </w:rPr>
        <w:footnoteReference w:id="72"/>
      </w:r>
      <w:r w:rsidRPr="0071186E">
        <w:rPr>
          <w:lang w:val="en-CA" w:bidi="en-CA"/>
        </w:rPr>
        <w:t xml:space="preserve"> </w:t>
      </w:r>
      <w:r w:rsidR="00BD7590">
        <w:rPr>
          <w:lang w:val="en-CA" w:bidi="en-CA"/>
        </w:rPr>
        <w:t>While Parliament</w:t>
      </w:r>
      <w:r w:rsidRPr="0071186E">
        <w:rPr>
          <w:lang w:val="en-CA" w:bidi="en-CA"/>
        </w:rPr>
        <w:t xml:space="preserve"> does not expressly refer to the factors of paragraph 715.32(1)(c) Cr.</w:t>
      </w:r>
      <w:r w:rsidR="00BD7590">
        <w:rPr>
          <w:lang w:val="en-CA" w:bidi="en-CA"/>
        </w:rPr>
        <w:t> </w:t>
      </w:r>
      <w:r w:rsidRPr="0071186E">
        <w:rPr>
          <w:lang w:val="en-CA" w:bidi="en-CA"/>
        </w:rPr>
        <w:t xml:space="preserve">C. in this second step, the Court finds that they </w:t>
      </w:r>
      <w:r w:rsidR="00BD7590">
        <w:rPr>
          <w:lang w:val="en-CA" w:bidi="en-CA"/>
        </w:rPr>
        <w:t>may</w:t>
      </w:r>
      <w:r w:rsidR="00BD7590" w:rsidRPr="0071186E">
        <w:rPr>
          <w:lang w:val="en-CA" w:bidi="en-CA"/>
        </w:rPr>
        <w:t xml:space="preserve"> </w:t>
      </w:r>
      <w:r w:rsidRPr="0071186E">
        <w:rPr>
          <w:lang w:val="en-CA" w:bidi="en-CA"/>
        </w:rPr>
        <w:t>be relevant to its analysis.</w:t>
      </w:r>
    </w:p>
    <w:p w14:paraId="5FBABC87" w14:textId="4ADDEFE4" w:rsidR="00973C1B" w:rsidRPr="0071186E" w:rsidRDefault="00A90D3F" w:rsidP="00973C1B">
      <w:pPr>
        <w:pStyle w:val="SimpleL1"/>
        <w:rPr>
          <w:lang w:val="en-CA" w:bidi="en-CA"/>
        </w:rPr>
      </w:pPr>
      <w:r>
        <w:rPr>
          <w:lang w:val="en-CA" w:bidi="en-CA"/>
        </w:rPr>
        <w:t>M</w:t>
      </w:r>
      <w:r w:rsidRPr="0071186E">
        <w:rPr>
          <w:lang w:val="en-CA" w:bidi="en-CA"/>
        </w:rPr>
        <w:t xml:space="preserve">ore </w:t>
      </w:r>
      <w:r>
        <w:rPr>
          <w:lang w:val="en-CA" w:bidi="en-CA"/>
        </w:rPr>
        <w:t>generally,</w:t>
      </w:r>
      <w:r w:rsidRPr="0071186E">
        <w:rPr>
          <w:lang w:val="en-CA" w:bidi="en-CA"/>
        </w:rPr>
        <w:t xml:space="preserve"> </w:t>
      </w:r>
      <w:r>
        <w:rPr>
          <w:lang w:val="en-CA" w:bidi="en-CA"/>
        </w:rPr>
        <w:t>t</w:t>
      </w:r>
      <w:r w:rsidR="00973C1B" w:rsidRPr="0071186E">
        <w:rPr>
          <w:lang w:val="en-CA" w:bidi="en-CA"/>
        </w:rPr>
        <w:t xml:space="preserve">he objectives of introducing remediation agreements into Canadian law must also be considered. These objectives include encouraging voluntary disclosure and reducing the negative </w:t>
      </w:r>
      <w:r>
        <w:rPr>
          <w:lang w:val="en-CA" w:bidi="en-CA"/>
        </w:rPr>
        <w:t>consequences</w:t>
      </w:r>
      <w:r w:rsidRPr="0071186E">
        <w:rPr>
          <w:lang w:val="en-CA" w:bidi="en-CA"/>
        </w:rPr>
        <w:t xml:space="preserve"> </w:t>
      </w:r>
      <w:r w:rsidR="00973C1B" w:rsidRPr="0071186E">
        <w:rPr>
          <w:lang w:val="en-CA" w:bidi="en-CA"/>
        </w:rPr>
        <w:t xml:space="preserve">of wrongdoing </w:t>
      </w:r>
      <w:r>
        <w:rPr>
          <w:lang w:val="en-CA" w:bidi="en-CA"/>
        </w:rPr>
        <w:t>for</w:t>
      </w:r>
      <w:r w:rsidRPr="0071186E">
        <w:rPr>
          <w:lang w:val="en-CA" w:bidi="en-CA"/>
        </w:rPr>
        <w:t xml:space="preserve"> </w:t>
      </w:r>
      <w:r w:rsidR="00973C1B" w:rsidRPr="0071186E">
        <w:rPr>
          <w:lang w:val="en-CA" w:bidi="en-CA"/>
        </w:rPr>
        <w:t xml:space="preserve">individuals who are not responsible therefor, </w:t>
      </w:r>
      <w:r>
        <w:rPr>
          <w:lang w:val="en-CA" w:bidi="en-CA"/>
        </w:rPr>
        <w:t>e.g.,</w:t>
      </w:r>
      <w:r w:rsidR="00973C1B" w:rsidRPr="0071186E">
        <w:rPr>
          <w:lang w:val="en-CA" w:bidi="en-CA"/>
        </w:rPr>
        <w:t xml:space="preserve"> employees, customers</w:t>
      </w:r>
      <w:r>
        <w:rPr>
          <w:lang w:val="en-CA" w:bidi="en-CA"/>
        </w:rPr>
        <w:t>,</w:t>
      </w:r>
      <w:r w:rsidR="00973C1B" w:rsidRPr="0071186E">
        <w:rPr>
          <w:lang w:val="en-CA" w:bidi="en-CA"/>
        </w:rPr>
        <w:t xml:space="preserve"> or retirees. This does not mean, however, that a </w:t>
      </w:r>
      <w:r w:rsidR="00E373BB" w:rsidRPr="0071186E">
        <w:rPr>
          <w:lang w:val="en-CA" w:bidi="en-CA"/>
        </w:rPr>
        <w:t xml:space="preserve">remediation </w:t>
      </w:r>
      <w:r w:rsidR="00973C1B" w:rsidRPr="0071186E">
        <w:rPr>
          <w:lang w:val="en-CA" w:bidi="en-CA"/>
        </w:rPr>
        <w:t>agreement could not be rejected by a court</w:t>
      </w:r>
      <w:r w:rsidR="00CF5F64">
        <w:rPr>
          <w:lang w:val="en-CA" w:bidi="en-CA"/>
        </w:rPr>
        <w:t xml:space="preserve"> in </w:t>
      </w:r>
      <w:r w:rsidR="00CF5F64" w:rsidRPr="0071186E">
        <w:rPr>
          <w:lang w:val="en-CA" w:bidi="en-CA"/>
        </w:rPr>
        <w:t>spite</w:t>
      </w:r>
      <w:r w:rsidR="00CF5F64">
        <w:rPr>
          <w:lang w:val="en-CA" w:bidi="en-CA"/>
        </w:rPr>
        <w:t xml:space="preserve"> of</w:t>
      </w:r>
      <w:r w:rsidR="00CF5F64" w:rsidRPr="0071186E">
        <w:rPr>
          <w:lang w:val="en-CA" w:bidi="en-CA"/>
        </w:rPr>
        <w:t xml:space="preserve"> </w:t>
      </w:r>
      <w:r w:rsidR="00973C1B" w:rsidRPr="0071186E">
        <w:rPr>
          <w:lang w:val="en-CA" w:bidi="en-CA"/>
        </w:rPr>
        <w:t xml:space="preserve">the consequences for third parties where this would be contrary to the public interest, </w:t>
      </w:r>
      <w:r w:rsidR="00CF5F64">
        <w:rPr>
          <w:lang w:val="en-CA" w:bidi="en-CA"/>
        </w:rPr>
        <w:t>for example, where the acts are particularly serious</w:t>
      </w:r>
      <w:r w:rsidR="00973C1B" w:rsidRPr="0071186E">
        <w:rPr>
          <w:lang w:val="en-CA" w:bidi="en-CA"/>
        </w:rPr>
        <w:t xml:space="preserve">. In fact, under no circumstances </w:t>
      </w:r>
      <w:r w:rsidR="00E373BB" w:rsidRPr="0071186E">
        <w:rPr>
          <w:lang w:val="en-CA" w:bidi="en-CA"/>
        </w:rPr>
        <w:t xml:space="preserve">should </w:t>
      </w:r>
      <w:r w:rsidR="00973C1B" w:rsidRPr="0071186E">
        <w:rPr>
          <w:lang w:val="en-CA" w:bidi="en-CA"/>
        </w:rPr>
        <w:t xml:space="preserve">remediation agreements </w:t>
      </w:r>
      <w:r w:rsidR="007D40ED" w:rsidRPr="0071186E">
        <w:rPr>
          <w:lang w:val="en-CA" w:bidi="en-CA"/>
        </w:rPr>
        <w:t xml:space="preserve">constitute </w:t>
      </w:r>
      <w:r w:rsidR="00973C1B" w:rsidRPr="0071186E">
        <w:rPr>
          <w:lang w:val="en-CA" w:bidi="en-CA"/>
        </w:rPr>
        <w:t xml:space="preserve">a </w:t>
      </w:r>
      <w:r w:rsidR="00CF5F64">
        <w:rPr>
          <w:lang w:val="en-CA" w:bidi="en-CA"/>
        </w:rPr>
        <w:t>[</w:t>
      </w:r>
      <w:r w:rsidR="00CF5F64" w:rsidRPr="006B7F16">
        <w:rPr>
          <w:smallCaps/>
          <w:lang w:val="en-CA" w:bidi="en-CA"/>
        </w:rPr>
        <w:t>translation</w:t>
      </w:r>
      <w:r w:rsidR="00CF5F64">
        <w:rPr>
          <w:lang w:val="en-CA" w:bidi="en-CA"/>
        </w:rPr>
        <w:t xml:space="preserve">] </w:t>
      </w:r>
      <w:r w:rsidR="007D40ED" w:rsidRPr="0071186E">
        <w:rPr>
          <w:lang w:val="en-CA" w:bidi="en-CA"/>
        </w:rPr>
        <w:t>“</w:t>
      </w:r>
      <w:r w:rsidR="00973C1B" w:rsidRPr="0071186E">
        <w:rPr>
          <w:lang w:val="en-CA" w:bidi="en-CA"/>
        </w:rPr>
        <w:t>free pass</w:t>
      </w:r>
      <w:r w:rsidR="007D40ED" w:rsidRPr="0071186E">
        <w:rPr>
          <w:lang w:val="en-CA" w:bidi="en-CA"/>
        </w:rPr>
        <w:t>”</w:t>
      </w:r>
      <w:r w:rsidR="00973C1B" w:rsidRPr="0071186E">
        <w:rPr>
          <w:lang w:val="en-CA" w:bidi="en-CA"/>
        </w:rPr>
        <w:t xml:space="preserve"> </w:t>
      </w:r>
      <w:r w:rsidR="007D40ED" w:rsidRPr="0071186E">
        <w:rPr>
          <w:lang w:val="en-CA" w:bidi="en-CA"/>
        </w:rPr>
        <w:t xml:space="preserve">for </w:t>
      </w:r>
      <w:r w:rsidR="00973C1B" w:rsidRPr="0071186E">
        <w:rPr>
          <w:lang w:val="en-CA" w:bidi="en-CA"/>
        </w:rPr>
        <w:t>large or public companies that would be, as the well-known expression goes, “too big to fail.”</w:t>
      </w:r>
    </w:p>
    <w:p w14:paraId="19DF6A8D" w14:textId="77777777" w:rsidR="00973C1B" w:rsidRPr="0071186E" w:rsidRDefault="00973C1B" w:rsidP="00973C1B">
      <w:pPr>
        <w:pStyle w:val="Titre5"/>
        <w:rPr>
          <w:lang w:val="en-CA" w:bidi="en-CA"/>
        </w:rPr>
      </w:pPr>
      <w:r w:rsidRPr="0071186E">
        <w:rPr>
          <w:lang w:val="en-CA" w:bidi="en-CA"/>
        </w:rPr>
        <w:t>What abou</w:t>
      </w:r>
      <w:r w:rsidR="007D40ED" w:rsidRPr="0071186E">
        <w:rPr>
          <w:lang w:val="en-CA" w:bidi="en-CA"/>
        </w:rPr>
        <w:t>t the Agreement reached by the P</w:t>
      </w:r>
      <w:r w:rsidRPr="0071186E">
        <w:rPr>
          <w:lang w:val="en-CA" w:bidi="en-CA"/>
        </w:rPr>
        <w:t>arties?</w:t>
      </w:r>
    </w:p>
    <w:p w14:paraId="2B075F18" w14:textId="77777777" w:rsidR="00973C1B" w:rsidRPr="0071186E" w:rsidRDefault="00973C1B" w:rsidP="00973C1B">
      <w:pPr>
        <w:pStyle w:val="SimpleL1"/>
        <w:rPr>
          <w:lang w:val="en-CA" w:bidi="en-CA"/>
        </w:rPr>
      </w:pPr>
      <w:r w:rsidRPr="0071186E">
        <w:rPr>
          <w:lang w:val="en-CA" w:bidi="en-CA"/>
        </w:rPr>
        <w:t>Without question, one of the elements to consider in this case is the impact of convictions on innocent third parties.</w:t>
      </w:r>
    </w:p>
    <w:p w14:paraId="54D7D437" w14:textId="77777777" w:rsidR="00973C1B" w:rsidRPr="0071186E" w:rsidRDefault="00A45FFD" w:rsidP="00973C1B">
      <w:pPr>
        <w:pStyle w:val="SimpleL1"/>
        <w:rPr>
          <w:lang w:val="en-CA" w:bidi="en-CA"/>
        </w:rPr>
      </w:pPr>
      <w:r>
        <w:rPr>
          <w:lang w:val="en-CA" w:bidi="en-CA"/>
        </w:rPr>
        <w:t>The two p</w:t>
      </w:r>
      <w:r w:rsidR="00C2719F" w:rsidRPr="0071186E">
        <w:rPr>
          <w:lang w:val="en-CA" w:bidi="en-CA"/>
        </w:rPr>
        <w:t xml:space="preserve">arties emphasize the impact that convictions would have on </w:t>
      </w:r>
      <w:r>
        <w:rPr>
          <w:lang w:val="en-CA" w:bidi="en-CA"/>
        </w:rPr>
        <w:t xml:space="preserve">the </w:t>
      </w:r>
      <w:r w:rsidR="00C2719F" w:rsidRPr="0071186E">
        <w:rPr>
          <w:lang w:val="en-CA" w:bidi="en-CA"/>
        </w:rPr>
        <w:t>Organizations’ ability to contract with public corporations in Canada and Quebec, with serious negative consequences for a large number of non-responsible third parties and, more broadly, the engineering industry in Quebec and Canada.</w:t>
      </w:r>
    </w:p>
    <w:p w14:paraId="76F51A2B" w14:textId="7BFD2F66" w:rsidR="00973C1B" w:rsidRPr="0071186E" w:rsidRDefault="001661D4" w:rsidP="00973C1B">
      <w:pPr>
        <w:pStyle w:val="SimpleL1"/>
        <w:rPr>
          <w:lang w:val="en-CA" w:bidi="en-CA"/>
        </w:rPr>
      </w:pPr>
      <w:r>
        <w:rPr>
          <w:lang w:val="en-CA" w:bidi="en-CA"/>
        </w:rPr>
        <w:t>I</w:t>
      </w:r>
      <w:r w:rsidRPr="0071186E">
        <w:rPr>
          <w:lang w:val="en-CA" w:bidi="en-CA"/>
        </w:rPr>
        <w:t xml:space="preserve">n </w:t>
      </w:r>
      <w:r>
        <w:rPr>
          <w:lang w:val="en-CA" w:bidi="en-CA"/>
        </w:rPr>
        <w:t>its</w:t>
      </w:r>
      <w:r w:rsidRPr="0071186E">
        <w:rPr>
          <w:lang w:val="en-CA" w:bidi="en-CA"/>
        </w:rPr>
        <w:t xml:space="preserve"> </w:t>
      </w:r>
      <w:r>
        <w:rPr>
          <w:lang w:val="en-CA" w:bidi="en-CA"/>
        </w:rPr>
        <w:t>submissions,</w:t>
      </w:r>
      <w:r w:rsidRPr="0071186E">
        <w:rPr>
          <w:lang w:val="en-CA" w:bidi="en-CA"/>
        </w:rPr>
        <w:t xml:space="preserve"> </w:t>
      </w:r>
      <w:r>
        <w:rPr>
          <w:lang w:val="en-CA" w:bidi="en-CA"/>
        </w:rPr>
        <w:t>t</w:t>
      </w:r>
      <w:r w:rsidR="00973C1B" w:rsidRPr="0071186E">
        <w:rPr>
          <w:lang w:val="en-CA" w:bidi="en-CA"/>
        </w:rPr>
        <w:t xml:space="preserve">he Prosecutor details the legislative provisions applicable at both the </w:t>
      </w:r>
      <w:r w:rsidR="00973C1B" w:rsidRPr="00827C1B">
        <w:rPr>
          <w:lang w:val="en-CA" w:bidi="en-CA"/>
        </w:rPr>
        <w:t>provincial and federal levels that</w:t>
      </w:r>
      <w:r w:rsidR="00973C1B" w:rsidRPr="0071186E">
        <w:rPr>
          <w:lang w:val="en-CA" w:bidi="en-CA"/>
        </w:rPr>
        <w:t xml:space="preserve"> could </w:t>
      </w:r>
      <w:r>
        <w:rPr>
          <w:lang w:val="en-CA" w:bidi="en-CA"/>
        </w:rPr>
        <w:t>cause</w:t>
      </w:r>
      <w:r w:rsidR="00973C1B" w:rsidRPr="0071186E">
        <w:rPr>
          <w:lang w:val="en-CA" w:bidi="en-CA"/>
        </w:rPr>
        <w:t xml:space="preserve"> disproportionate economic </w:t>
      </w:r>
      <w:r>
        <w:rPr>
          <w:lang w:val="en-CA" w:bidi="en-CA"/>
        </w:rPr>
        <w:t>repercussions</w:t>
      </w:r>
      <w:r w:rsidRPr="0071186E">
        <w:rPr>
          <w:lang w:val="en-CA" w:bidi="en-CA"/>
        </w:rPr>
        <w:t xml:space="preserve"> </w:t>
      </w:r>
      <w:r w:rsidR="00973C1B" w:rsidRPr="0071186E">
        <w:rPr>
          <w:lang w:val="en-CA" w:bidi="en-CA"/>
        </w:rPr>
        <w:t>for the Organizations, but</w:t>
      </w:r>
      <w:r w:rsidR="00B256CE">
        <w:rPr>
          <w:lang w:val="en-CA" w:bidi="en-CA"/>
        </w:rPr>
        <w:t xml:space="preserve"> also, and</w:t>
      </w:r>
      <w:r w:rsidR="00973C1B" w:rsidRPr="0071186E">
        <w:rPr>
          <w:lang w:val="en-CA" w:bidi="en-CA"/>
        </w:rPr>
        <w:t xml:space="preserve"> more importantly, for non-responsible third parties:</w:t>
      </w:r>
    </w:p>
    <w:p w14:paraId="33F9DBCF" w14:textId="16B7A203" w:rsidR="00A45FFD" w:rsidRPr="006B7F16" w:rsidRDefault="00A45FFD" w:rsidP="00A45FFD">
      <w:pPr>
        <w:pStyle w:val="Retraitcorpsdetexte"/>
        <w:ind w:right="542"/>
        <w:rPr>
          <w:lang w:val="en-CA" w:bidi="en-CA"/>
        </w:rPr>
      </w:pPr>
      <w:r w:rsidRPr="006B7F16">
        <w:rPr>
          <w:lang w:val="en-CA" w:bidi="en-CA"/>
        </w:rPr>
        <w:t>[</w:t>
      </w:r>
      <w:r w:rsidR="00F12AA0" w:rsidRPr="006B7F16">
        <w:rPr>
          <w:smallCaps/>
          <w:lang w:val="en-CA" w:bidi="en-CA"/>
        </w:rPr>
        <w:t>translation</w:t>
      </w:r>
      <w:r w:rsidRPr="006B7F16">
        <w:rPr>
          <w:lang w:val="en-CA" w:bidi="en-CA"/>
        </w:rPr>
        <w:t>]</w:t>
      </w:r>
    </w:p>
    <w:p w14:paraId="1372552A" w14:textId="3B10639A" w:rsidR="00973C1B" w:rsidRPr="0071186E" w:rsidRDefault="00973C1B" w:rsidP="007E1D09">
      <w:pPr>
        <w:ind w:left="720" w:right="542"/>
        <w:jc w:val="both"/>
        <w:rPr>
          <w:sz w:val="22"/>
          <w:szCs w:val="22"/>
          <w:lang w:val="en-CA" w:bidi="en-CA"/>
        </w:rPr>
      </w:pPr>
      <w:r w:rsidRPr="0071186E">
        <w:rPr>
          <w:sz w:val="22"/>
          <w:szCs w:val="22"/>
          <w:lang w:val="en-CA" w:bidi="en-CA"/>
        </w:rPr>
        <w:t>42. First of all, in Quebec, a conviction for any of the alleged offences makes the enterprise “</w:t>
      </w:r>
      <w:r w:rsidRPr="0071186E">
        <w:rPr>
          <w:sz w:val="22"/>
          <w:szCs w:val="22"/>
          <w:u w:val="single"/>
          <w:lang w:val="en-CA" w:bidi="en-CA"/>
        </w:rPr>
        <w:t>ineligible for public contracts for five years</w:t>
      </w:r>
      <w:r w:rsidRPr="0071186E">
        <w:rPr>
          <w:sz w:val="22"/>
          <w:szCs w:val="22"/>
          <w:lang w:val="en-CA" w:bidi="en-CA"/>
        </w:rPr>
        <w:t xml:space="preserve"> as of the recording of the finding of guilty in the register of enterprises ineligible for public contractsˮ</w:t>
      </w:r>
      <w:r w:rsidR="00B256CE">
        <w:rPr>
          <w:sz w:val="22"/>
          <w:szCs w:val="22"/>
          <w:lang w:val="en-CA" w:bidi="en-CA"/>
        </w:rPr>
        <w:t>.</w:t>
      </w:r>
      <w:r w:rsidRPr="0071186E">
        <w:rPr>
          <w:sz w:val="22"/>
          <w:szCs w:val="22"/>
          <w:lang w:val="en-CA" w:bidi="en-CA"/>
        </w:rPr>
        <w:t xml:space="preserve"> This ineligibility applies to any contract with the government of Quebec, its sub-entities and agencies.</w:t>
      </w:r>
    </w:p>
    <w:p w14:paraId="2439F23E" w14:textId="77777777" w:rsidR="00973C1B" w:rsidRPr="0071186E" w:rsidRDefault="00973C1B" w:rsidP="007E1D09">
      <w:pPr>
        <w:ind w:left="720" w:right="542"/>
        <w:jc w:val="both"/>
        <w:rPr>
          <w:sz w:val="22"/>
          <w:szCs w:val="22"/>
          <w:lang w:val="en-CA" w:bidi="en-CA"/>
        </w:rPr>
      </w:pPr>
    </w:p>
    <w:p w14:paraId="5E0F0106" w14:textId="1AAEB020" w:rsidR="00FB3DE2" w:rsidRPr="0071186E" w:rsidRDefault="00FB3DE2" w:rsidP="007E1D09">
      <w:pPr>
        <w:ind w:left="1440" w:right="542"/>
        <w:jc w:val="both"/>
        <w:rPr>
          <w:i/>
          <w:sz w:val="22"/>
          <w:szCs w:val="22"/>
          <w:lang w:val="en-CA" w:bidi="en-CA"/>
        </w:rPr>
      </w:pPr>
      <w:r w:rsidRPr="0071186E">
        <w:rPr>
          <w:i/>
          <w:sz w:val="22"/>
          <w:szCs w:val="22"/>
          <w:lang w:val="en-CA" w:bidi="en-CA"/>
        </w:rPr>
        <w:t>Act respecting contracting by public bodies, CQLR c</w:t>
      </w:r>
      <w:r w:rsidR="00B256CE">
        <w:rPr>
          <w:i/>
          <w:sz w:val="22"/>
          <w:szCs w:val="22"/>
          <w:lang w:val="en-CA" w:bidi="en-CA"/>
        </w:rPr>
        <w:t>.</w:t>
      </w:r>
      <w:r w:rsidRPr="0071186E">
        <w:rPr>
          <w:i/>
          <w:sz w:val="22"/>
          <w:szCs w:val="22"/>
          <w:lang w:val="en-CA" w:bidi="en-CA"/>
        </w:rPr>
        <w:t xml:space="preserve"> C-65.1, section 21.1.</w:t>
      </w:r>
    </w:p>
    <w:p w14:paraId="00A72E7B" w14:textId="77777777" w:rsidR="00B849AF" w:rsidRPr="0071186E" w:rsidRDefault="00B849AF" w:rsidP="007E1D09">
      <w:pPr>
        <w:ind w:left="720" w:right="542"/>
        <w:jc w:val="both"/>
        <w:rPr>
          <w:sz w:val="22"/>
          <w:szCs w:val="22"/>
          <w:lang w:val="en-CA" w:bidi="en-CA"/>
        </w:rPr>
      </w:pPr>
    </w:p>
    <w:p w14:paraId="28AEDC5B" w14:textId="77777777" w:rsidR="00FB3DE2" w:rsidRPr="0071186E" w:rsidRDefault="00FB3DE2" w:rsidP="007E1D09">
      <w:pPr>
        <w:ind w:left="720" w:right="542"/>
        <w:jc w:val="both"/>
        <w:rPr>
          <w:rFonts w:cs="Arial"/>
          <w:bCs/>
          <w:color w:val="212529"/>
          <w:sz w:val="22"/>
          <w:szCs w:val="22"/>
          <w:lang w:val="en-CA"/>
        </w:rPr>
      </w:pPr>
      <w:r w:rsidRPr="0071186E">
        <w:rPr>
          <w:rFonts w:cs="Arial"/>
          <w:bCs/>
          <w:color w:val="212529"/>
          <w:sz w:val="22"/>
          <w:szCs w:val="22"/>
          <w:lang w:val="en-CA"/>
        </w:rPr>
        <w:t xml:space="preserve">43. Federally, the Organizations face the </w:t>
      </w:r>
      <w:r w:rsidRPr="0071186E">
        <w:rPr>
          <w:rFonts w:cs="Arial"/>
          <w:bCs/>
          <w:i/>
          <w:color w:val="212529"/>
          <w:sz w:val="22"/>
          <w:szCs w:val="22"/>
          <w:lang w:val="en-CA"/>
        </w:rPr>
        <w:t>Criminal Code</w:t>
      </w:r>
      <w:r w:rsidRPr="0071186E">
        <w:rPr>
          <w:rFonts w:cs="Arial"/>
          <w:bCs/>
          <w:color w:val="212529"/>
          <w:sz w:val="22"/>
          <w:szCs w:val="22"/>
          <w:lang w:val="en-CA"/>
        </w:rPr>
        <w:t xml:space="preserve"> and the </w:t>
      </w:r>
      <w:r w:rsidRPr="0071186E">
        <w:rPr>
          <w:rFonts w:cs="Arial"/>
          <w:bCs/>
          <w:i/>
          <w:color w:val="212529"/>
          <w:sz w:val="22"/>
          <w:szCs w:val="22"/>
          <w:lang w:val="en-CA"/>
        </w:rPr>
        <w:t>Ineligibility and Suspension Policy</w:t>
      </w:r>
      <w:r w:rsidRPr="0071186E">
        <w:rPr>
          <w:rFonts w:cs="Arial"/>
          <w:bCs/>
          <w:color w:val="212529"/>
          <w:sz w:val="22"/>
          <w:szCs w:val="22"/>
          <w:lang w:val="en-CA"/>
        </w:rPr>
        <w:t xml:space="preserve"> of Public Works and Government Services Canada (PWGSC).</w:t>
      </w:r>
    </w:p>
    <w:p w14:paraId="57486753" w14:textId="77777777" w:rsidR="00FB3DE2" w:rsidRPr="0071186E" w:rsidRDefault="00FB3DE2" w:rsidP="007E1D09">
      <w:pPr>
        <w:ind w:right="542"/>
        <w:jc w:val="both"/>
        <w:rPr>
          <w:sz w:val="22"/>
          <w:szCs w:val="22"/>
          <w:lang w:val="en-CA"/>
        </w:rPr>
      </w:pPr>
    </w:p>
    <w:p w14:paraId="0FB0BF72" w14:textId="53ECF0F2" w:rsidR="00FB3DE2" w:rsidRPr="0071186E" w:rsidRDefault="00FB3DE2" w:rsidP="007E1D09">
      <w:pPr>
        <w:ind w:left="720" w:right="542"/>
        <w:jc w:val="both"/>
        <w:rPr>
          <w:sz w:val="22"/>
          <w:szCs w:val="22"/>
          <w:lang w:val="en-CA"/>
        </w:rPr>
      </w:pPr>
      <w:r w:rsidRPr="0071186E">
        <w:rPr>
          <w:sz w:val="22"/>
          <w:szCs w:val="22"/>
          <w:lang w:val="en-CA"/>
        </w:rPr>
        <w:t>44. Following a conviction on count 4</w:t>
      </w:r>
      <w:r w:rsidR="00344554">
        <w:rPr>
          <w:sz w:val="22"/>
          <w:szCs w:val="22"/>
          <w:lang w:val="en-CA"/>
        </w:rPr>
        <w:t>,</w:t>
      </w:r>
      <w:r w:rsidRPr="0071186E">
        <w:rPr>
          <w:sz w:val="22"/>
          <w:szCs w:val="22"/>
          <w:lang w:val="en-CA"/>
        </w:rPr>
        <w:t xml:space="preserve"> fraud (s. 380 Cr.</w:t>
      </w:r>
      <w:r w:rsidR="00B256CE">
        <w:rPr>
          <w:sz w:val="22"/>
          <w:szCs w:val="22"/>
          <w:lang w:val="en-CA"/>
        </w:rPr>
        <w:t> </w:t>
      </w:r>
      <w:r w:rsidRPr="0071186E">
        <w:rPr>
          <w:sz w:val="22"/>
          <w:szCs w:val="22"/>
          <w:lang w:val="en-CA"/>
        </w:rPr>
        <w:t>C.)</w:t>
      </w:r>
      <w:r w:rsidR="00344554">
        <w:rPr>
          <w:sz w:val="22"/>
          <w:szCs w:val="22"/>
          <w:lang w:val="en-CA"/>
        </w:rPr>
        <w:t>,</w:t>
      </w:r>
      <w:r w:rsidRPr="0071186E">
        <w:rPr>
          <w:sz w:val="22"/>
          <w:szCs w:val="22"/>
          <w:lang w:val="en-CA"/>
        </w:rPr>
        <w:t xml:space="preserve"> against Her Majesty, in this case a federal Crown corporation, or count</w:t>
      </w:r>
      <w:r w:rsidR="0043075F" w:rsidRPr="0071186E">
        <w:rPr>
          <w:sz w:val="22"/>
          <w:szCs w:val="22"/>
          <w:lang w:val="en-CA"/>
        </w:rPr>
        <w:t> 7</w:t>
      </w:r>
      <w:r w:rsidR="00344554">
        <w:rPr>
          <w:sz w:val="22"/>
          <w:szCs w:val="22"/>
          <w:lang w:val="en-CA"/>
        </w:rPr>
        <w:t>,</w:t>
      </w:r>
      <w:r w:rsidRPr="0071186E">
        <w:rPr>
          <w:sz w:val="22"/>
          <w:szCs w:val="22"/>
          <w:lang w:val="en-CA"/>
        </w:rPr>
        <w:t xml:space="preserve"> fraud on the government (s.</w:t>
      </w:r>
      <w:r w:rsidR="007E1D09" w:rsidRPr="0071186E">
        <w:rPr>
          <w:sz w:val="22"/>
          <w:szCs w:val="22"/>
          <w:lang w:val="en-CA"/>
        </w:rPr>
        <w:t> </w:t>
      </w:r>
      <w:r w:rsidRPr="0071186E">
        <w:rPr>
          <w:sz w:val="22"/>
          <w:szCs w:val="22"/>
          <w:lang w:val="en-CA"/>
        </w:rPr>
        <w:t xml:space="preserve">121 </w:t>
      </w:r>
      <w:r w:rsidRPr="0071186E">
        <w:rPr>
          <w:sz w:val="22"/>
          <w:szCs w:val="22"/>
          <w:lang w:val="en-CA"/>
        </w:rPr>
        <w:lastRenderedPageBreak/>
        <w:t>Cr.</w:t>
      </w:r>
      <w:r w:rsidR="00344554">
        <w:rPr>
          <w:sz w:val="22"/>
          <w:szCs w:val="22"/>
          <w:lang w:val="en-CA"/>
        </w:rPr>
        <w:t> </w:t>
      </w:r>
      <w:r w:rsidRPr="0071186E">
        <w:rPr>
          <w:sz w:val="22"/>
          <w:szCs w:val="22"/>
          <w:lang w:val="en-CA"/>
        </w:rPr>
        <w:t>C.), section 750 Cr.</w:t>
      </w:r>
      <w:r w:rsidR="00344554">
        <w:rPr>
          <w:sz w:val="22"/>
          <w:szCs w:val="22"/>
          <w:lang w:val="en-CA"/>
        </w:rPr>
        <w:t> </w:t>
      </w:r>
      <w:r w:rsidRPr="0071186E">
        <w:rPr>
          <w:sz w:val="22"/>
          <w:szCs w:val="22"/>
          <w:lang w:val="en-CA"/>
        </w:rPr>
        <w:t xml:space="preserve">C. imposes an inability to contract with </w:t>
      </w:r>
      <w:r w:rsidR="007E1D09" w:rsidRPr="0071186E">
        <w:rPr>
          <w:sz w:val="22"/>
          <w:szCs w:val="22"/>
          <w:lang w:val="en-CA"/>
        </w:rPr>
        <w:t>“</w:t>
      </w:r>
      <w:r w:rsidRPr="0071186E">
        <w:rPr>
          <w:sz w:val="22"/>
          <w:szCs w:val="22"/>
          <w:lang w:val="en-CA"/>
        </w:rPr>
        <w:t>Her Majesty</w:t>
      </w:r>
      <w:r w:rsidR="007E1D09" w:rsidRPr="0071186E">
        <w:rPr>
          <w:rFonts w:cs="Arial"/>
          <w:sz w:val="22"/>
          <w:szCs w:val="22"/>
          <w:lang w:val="en-CA"/>
        </w:rPr>
        <w:t>”</w:t>
      </w:r>
      <w:r w:rsidR="00344554">
        <w:rPr>
          <w:rFonts w:cs="Arial"/>
          <w:sz w:val="22"/>
          <w:szCs w:val="22"/>
          <w:lang w:val="en-CA"/>
        </w:rPr>
        <w:t>.</w:t>
      </w:r>
      <w:r w:rsidRPr="0071186E">
        <w:rPr>
          <w:sz w:val="22"/>
          <w:szCs w:val="22"/>
          <w:lang w:val="en-CA"/>
        </w:rPr>
        <w:t xml:space="preserve"> </w:t>
      </w:r>
      <w:r w:rsidRPr="0071186E">
        <w:rPr>
          <w:sz w:val="22"/>
          <w:szCs w:val="22"/>
          <w:u w:val="single"/>
          <w:lang w:val="en-CA"/>
        </w:rPr>
        <w:t>This incapacity is for an indefinite period</w:t>
      </w:r>
      <w:r w:rsidRPr="0071186E">
        <w:rPr>
          <w:sz w:val="22"/>
          <w:szCs w:val="22"/>
          <w:lang w:val="en-CA"/>
        </w:rPr>
        <w:t xml:space="preserve">, until an order of </w:t>
      </w:r>
      <w:r w:rsidR="0043075F" w:rsidRPr="0071186E">
        <w:rPr>
          <w:sz w:val="22"/>
          <w:szCs w:val="22"/>
          <w:lang w:val="en-CA"/>
        </w:rPr>
        <w:t xml:space="preserve">restoration </w:t>
      </w:r>
      <w:r w:rsidRPr="0071186E">
        <w:rPr>
          <w:sz w:val="22"/>
          <w:szCs w:val="22"/>
          <w:lang w:val="en-CA"/>
        </w:rPr>
        <w:t>is made by Cabinet, pursuant to subsections 750(4) and (5) Cr.</w:t>
      </w:r>
      <w:r w:rsidR="00344554">
        <w:rPr>
          <w:sz w:val="22"/>
          <w:szCs w:val="22"/>
          <w:lang w:val="en-CA"/>
        </w:rPr>
        <w:t> </w:t>
      </w:r>
      <w:r w:rsidRPr="0071186E">
        <w:rPr>
          <w:sz w:val="22"/>
          <w:szCs w:val="22"/>
          <w:lang w:val="en-CA"/>
        </w:rPr>
        <w:t>C.</w:t>
      </w:r>
    </w:p>
    <w:p w14:paraId="0AAD43F2" w14:textId="77777777" w:rsidR="00FB3DE2" w:rsidRPr="0071186E" w:rsidRDefault="00FB3DE2" w:rsidP="007E1D09">
      <w:pPr>
        <w:ind w:right="542"/>
        <w:jc w:val="both"/>
        <w:rPr>
          <w:sz w:val="22"/>
          <w:szCs w:val="22"/>
          <w:lang w:val="en-CA"/>
        </w:rPr>
      </w:pPr>
    </w:p>
    <w:p w14:paraId="341451FD" w14:textId="43E44A4E" w:rsidR="00FB3DE2" w:rsidRPr="0071186E" w:rsidRDefault="00FB3DE2" w:rsidP="007E1D09">
      <w:pPr>
        <w:ind w:left="720" w:right="542"/>
        <w:jc w:val="both"/>
        <w:rPr>
          <w:rFonts w:cs="Arial"/>
          <w:bCs/>
          <w:color w:val="212529"/>
          <w:sz w:val="22"/>
          <w:szCs w:val="22"/>
          <w:lang w:val="en-CA"/>
        </w:rPr>
      </w:pPr>
      <w:r w:rsidRPr="0071186E">
        <w:rPr>
          <w:sz w:val="22"/>
          <w:szCs w:val="22"/>
          <w:lang w:val="en-CA"/>
        </w:rPr>
        <w:t>45.</w:t>
      </w:r>
      <w:r w:rsidR="007E1D09" w:rsidRPr="0071186E">
        <w:rPr>
          <w:sz w:val="22"/>
          <w:szCs w:val="22"/>
          <w:lang w:val="en-CA"/>
        </w:rPr>
        <w:t xml:space="preserve"> </w:t>
      </w:r>
      <w:r w:rsidRPr="0071186E">
        <w:rPr>
          <w:sz w:val="22"/>
          <w:szCs w:val="22"/>
          <w:lang w:val="en-CA"/>
        </w:rPr>
        <w:t xml:space="preserve">These convictions also result in an automatic determination of ineligibility </w:t>
      </w:r>
      <w:r w:rsidR="0043075F" w:rsidRPr="0071186E">
        <w:rPr>
          <w:sz w:val="22"/>
          <w:szCs w:val="22"/>
          <w:lang w:val="en-CA"/>
        </w:rPr>
        <w:t xml:space="preserve">for </w:t>
      </w:r>
      <w:r w:rsidRPr="0071186E">
        <w:rPr>
          <w:sz w:val="22"/>
          <w:szCs w:val="22"/>
          <w:lang w:val="en-CA"/>
        </w:rPr>
        <w:t xml:space="preserve">the same duration under the </w:t>
      </w:r>
      <w:r w:rsidRPr="0071186E">
        <w:rPr>
          <w:rFonts w:cs="Arial"/>
          <w:bCs/>
          <w:i/>
          <w:color w:val="212529"/>
          <w:sz w:val="22"/>
          <w:szCs w:val="22"/>
          <w:lang w:val="en-CA"/>
        </w:rPr>
        <w:t>Ineligibility and Suspension Policy</w:t>
      </w:r>
      <w:r w:rsidRPr="0071186E">
        <w:rPr>
          <w:rFonts w:cs="Arial"/>
          <w:bCs/>
          <w:color w:val="212529"/>
          <w:sz w:val="22"/>
          <w:szCs w:val="22"/>
          <w:lang w:val="en-CA"/>
        </w:rPr>
        <w:t xml:space="preserve"> of the Government of Canada’s Integrity Regime, adopted under the </w:t>
      </w:r>
      <w:r w:rsidRPr="0071186E">
        <w:rPr>
          <w:rFonts w:cs="Arial"/>
          <w:bCs/>
          <w:i/>
          <w:color w:val="212529"/>
          <w:sz w:val="22"/>
          <w:szCs w:val="22"/>
          <w:lang w:val="en-CA"/>
        </w:rPr>
        <w:t>Financial Administration Act</w:t>
      </w:r>
      <w:r w:rsidRPr="0071186E">
        <w:rPr>
          <w:rFonts w:cs="Arial"/>
          <w:bCs/>
          <w:color w:val="212529"/>
          <w:sz w:val="22"/>
          <w:szCs w:val="22"/>
          <w:lang w:val="en-CA"/>
        </w:rPr>
        <w:t xml:space="preserve">, </w:t>
      </w:r>
      <w:r w:rsidR="00FD4766">
        <w:rPr>
          <w:rFonts w:cs="Arial"/>
          <w:bCs/>
          <w:color w:val="212529"/>
          <w:sz w:val="22"/>
          <w:szCs w:val="22"/>
          <w:lang w:val="en-CA"/>
        </w:rPr>
        <w:t>R.</w:t>
      </w:r>
      <w:r w:rsidRPr="0071186E">
        <w:rPr>
          <w:rFonts w:cs="Arial"/>
          <w:bCs/>
          <w:color w:val="212529"/>
          <w:sz w:val="22"/>
          <w:szCs w:val="22"/>
          <w:lang w:val="en-CA"/>
        </w:rPr>
        <w:t xml:space="preserve">S.C. (1985), c. F-11. </w:t>
      </w:r>
      <w:r w:rsidR="0043075F" w:rsidRPr="0071186E">
        <w:rPr>
          <w:rFonts w:cs="Arial"/>
          <w:bCs/>
          <w:color w:val="212529"/>
          <w:sz w:val="22"/>
          <w:szCs w:val="22"/>
          <w:lang w:val="en-CA"/>
        </w:rPr>
        <w:t>a</w:t>
      </w:r>
      <w:r w:rsidRPr="0071186E">
        <w:rPr>
          <w:rFonts w:cs="Arial"/>
          <w:bCs/>
          <w:color w:val="212529"/>
          <w:sz w:val="22"/>
          <w:szCs w:val="22"/>
          <w:lang w:val="en-CA"/>
        </w:rPr>
        <w:t>nd applied by Public Services and Procurement Canada.</w:t>
      </w:r>
    </w:p>
    <w:p w14:paraId="0A9A1DCC" w14:textId="77777777" w:rsidR="00FB3DE2" w:rsidRPr="0071186E" w:rsidRDefault="00FB3DE2" w:rsidP="007E1D09">
      <w:pPr>
        <w:ind w:right="542" w:firstLine="734"/>
        <w:jc w:val="both"/>
        <w:rPr>
          <w:rFonts w:cs="Arial"/>
          <w:bCs/>
          <w:color w:val="212529"/>
          <w:sz w:val="22"/>
          <w:szCs w:val="22"/>
          <w:lang w:val="en-CA"/>
        </w:rPr>
      </w:pPr>
    </w:p>
    <w:p w14:paraId="5575C824" w14:textId="28D50F71" w:rsidR="00FB3DE2" w:rsidRPr="0071186E" w:rsidRDefault="00FB3DE2" w:rsidP="007E1D09">
      <w:pPr>
        <w:ind w:left="720" w:right="542"/>
        <w:jc w:val="both"/>
        <w:rPr>
          <w:rFonts w:cs="Arial"/>
          <w:bCs/>
          <w:color w:val="212529"/>
          <w:sz w:val="22"/>
          <w:szCs w:val="22"/>
          <w:lang w:val="en-CA"/>
        </w:rPr>
      </w:pPr>
      <w:r w:rsidRPr="0071186E">
        <w:rPr>
          <w:rFonts w:cs="Arial"/>
          <w:bCs/>
          <w:color w:val="212529"/>
          <w:sz w:val="22"/>
          <w:szCs w:val="22"/>
          <w:lang w:val="en-CA"/>
        </w:rPr>
        <w:t xml:space="preserve">46. In addition, a conviction for a forgery offence under Count 1 </w:t>
      </w:r>
      <w:r w:rsidR="00FD4766">
        <w:rPr>
          <w:rFonts w:cs="Arial"/>
          <w:bCs/>
          <w:color w:val="212529"/>
          <w:sz w:val="22"/>
          <w:szCs w:val="22"/>
          <w:lang w:val="en-CA"/>
        </w:rPr>
        <w:t xml:space="preserve">would </w:t>
      </w:r>
      <w:r w:rsidRPr="0071186E">
        <w:rPr>
          <w:rFonts w:cs="Arial"/>
          <w:bCs/>
          <w:color w:val="212529"/>
          <w:sz w:val="22"/>
          <w:szCs w:val="22"/>
          <w:lang w:val="en-CA"/>
        </w:rPr>
        <w:t xml:space="preserve">result in an </w:t>
      </w:r>
      <w:r w:rsidRPr="0071186E">
        <w:rPr>
          <w:rFonts w:cs="Arial"/>
          <w:bCs/>
          <w:color w:val="212529"/>
          <w:sz w:val="22"/>
          <w:szCs w:val="22"/>
          <w:u w:val="single"/>
          <w:lang w:val="en-CA"/>
        </w:rPr>
        <w:t>ineligibility for contract</w:t>
      </w:r>
      <w:r w:rsidR="0043075F" w:rsidRPr="0071186E">
        <w:rPr>
          <w:rFonts w:cs="Arial"/>
          <w:bCs/>
          <w:color w:val="212529"/>
          <w:sz w:val="22"/>
          <w:szCs w:val="22"/>
          <w:u w:val="single"/>
          <w:lang w:val="en-CA"/>
        </w:rPr>
        <w:t xml:space="preserve"> awards</w:t>
      </w:r>
      <w:r w:rsidRPr="0071186E">
        <w:rPr>
          <w:rFonts w:cs="Arial"/>
          <w:bCs/>
          <w:color w:val="212529"/>
          <w:sz w:val="22"/>
          <w:szCs w:val="22"/>
          <w:u w:val="single"/>
          <w:lang w:val="en-CA"/>
        </w:rPr>
        <w:t xml:space="preserve"> from the federal government and its agencies for a period of 10</w:t>
      </w:r>
      <w:r w:rsidR="0043075F" w:rsidRPr="0071186E">
        <w:rPr>
          <w:rFonts w:cs="Arial"/>
          <w:bCs/>
          <w:color w:val="212529"/>
          <w:sz w:val="22"/>
          <w:szCs w:val="22"/>
          <w:u w:val="single"/>
          <w:lang w:val="en-CA"/>
        </w:rPr>
        <w:t> </w:t>
      </w:r>
      <w:r w:rsidRPr="0071186E">
        <w:rPr>
          <w:rFonts w:cs="Arial"/>
          <w:bCs/>
          <w:color w:val="212529"/>
          <w:sz w:val="22"/>
          <w:szCs w:val="22"/>
          <w:u w:val="single"/>
          <w:lang w:val="en-CA"/>
        </w:rPr>
        <w:t>years, which may be reduced to five (5) years</w:t>
      </w:r>
      <w:r w:rsidRPr="0071186E">
        <w:rPr>
          <w:rFonts w:cs="Arial"/>
          <w:bCs/>
          <w:color w:val="212529"/>
          <w:sz w:val="22"/>
          <w:szCs w:val="22"/>
          <w:lang w:val="en-CA"/>
        </w:rPr>
        <w:t>.</w:t>
      </w:r>
    </w:p>
    <w:p w14:paraId="228BED4A" w14:textId="77777777" w:rsidR="00FB3DE2" w:rsidRPr="0071186E" w:rsidRDefault="00FB3DE2" w:rsidP="007E1D09">
      <w:pPr>
        <w:ind w:right="542" w:firstLine="734"/>
        <w:jc w:val="both"/>
        <w:rPr>
          <w:rFonts w:cs="Arial"/>
          <w:bCs/>
          <w:color w:val="212529"/>
          <w:sz w:val="22"/>
          <w:szCs w:val="22"/>
          <w:lang w:val="en-CA"/>
        </w:rPr>
      </w:pPr>
    </w:p>
    <w:p w14:paraId="1CFAC77C" w14:textId="01F2FA76" w:rsidR="00842DC3" w:rsidRPr="0071186E" w:rsidRDefault="00FB3DE2" w:rsidP="007E1D09">
      <w:pPr>
        <w:ind w:left="1440" w:right="542"/>
        <w:jc w:val="both"/>
        <w:rPr>
          <w:sz w:val="22"/>
          <w:szCs w:val="22"/>
          <w:lang w:val="en-CA"/>
        </w:rPr>
      </w:pPr>
      <w:r w:rsidRPr="0071186E">
        <w:rPr>
          <w:rFonts w:cs="Arial"/>
          <w:bCs/>
          <w:color w:val="212529"/>
          <w:sz w:val="22"/>
          <w:szCs w:val="22"/>
          <w:lang w:val="en-CA"/>
        </w:rPr>
        <w:t xml:space="preserve">Government of Canada, </w:t>
      </w:r>
      <w:r w:rsidRPr="0071186E">
        <w:rPr>
          <w:rFonts w:cs="Arial"/>
          <w:bCs/>
          <w:i/>
          <w:color w:val="212529"/>
          <w:sz w:val="22"/>
          <w:szCs w:val="22"/>
          <w:lang w:val="en-CA"/>
        </w:rPr>
        <w:t>Ineligibility and Suspension Policy </w:t>
      </w:r>
      <w:r w:rsidRPr="0071186E">
        <w:rPr>
          <w:rFonts w:cs="Arial"/>
          <w:bCs/>
          <w:color w:val="212529"/>
          <w:sz w:val="22"/>
          <w:szCs w:val="22"/>
          <w:lang w:val="en-CA"/>
        </w:rPr>
        <w:t>: &lt;</w:t>
      </w:r>
      <w:r w:rsidR="00B849AF" w:rsidRPr="0071186E">
        <w:rPr>
          <w:rFonts w:cs="Arial"/>
          <w:bCs/>
          <w:color w:val="212529"/>
          <w:sz w:val="22"/>
          <w:szCs w:val="22"/>
          <w:lang w:val="en-CA"/>
        </w:rPr>
        <w:t> </w:t>
      </w:r>
      <w:hyperlink r:id="rId9" w:history="1">
        <w:r w:rsidR="00842DC3" w:rsidRPr="005D2B8C">
          <w:rPr>
            <w:rStyle w:val="Lienhypertexte"/>
            <w:rFonts w:cs="Arial"/>
            <w:bCs/>
            <w:sz w:val="22"/>
            <w:szCs w:val="22"/>
            <w:lang w:val="en-CA"/>
          </w:rPr>
          <w:t>https://www.tpsgc-pwgsc.gc.ca/ci-if/politique-policy-eng.html</w:t>
        </w:r>
      </w:hyperlink>
      <w:r w:rsidRPr="0071186E">
        <w:rPr>
          <w:rFonts w:cs="Arial"/>
          <w:bCs/>
          <w:color w:val="212529"/>
          <w:sz w:val="22"/>
          <w:szCs w:val="22"/>
          <w:lang w:val="en-CA"/>
        </w:rPr>
        <w:t>&gt;.</w:t>
      </w:r>
      <w:r w:rsidRPr="0071186E">
        <w:rPr>
          <w:rStyle w:val="Appelnotedebasdep"/>
          <w:rFonts w:cs="Arial"/>
          <w:bCs/>
          <w:color w:val="212529"/>
          <w:sz w:val="22"/>
          <w:szCs w:val="22"/>
          <w:lang w:val="en-CA"/>
        </w:rPr>
        <w:footnoteReference w:id="73"/>
      </w:r>
    </w:p>
    <w:p w14:paraId="3CDE8318" w14:textId="77777777" w:rsidR="00FB3DE2" w:rsidRPr="0071186E" w:rsidRDefault="00FB3DE2" w:rsidP="007E1D09">
      <w:pPr>
        <w:widowControl w:val="0"/>
        <w:tabs>
          <w:tab w:val="left" w:pos="929"/>
        </w:tabs>
        <w:autoSpaceDE w:val="0"/>
        <w:autoSpaceDN w:val="0"/>
        <w:spacing w:line="254" w:lineRule="auto"/>
        <w:ind w:right="542"/>
        <w:jc w:val="both"/>
        <w:rPr>
          <w:color w:val="161616"/>
          <w:sz w:val="22"/>
          <w:szCs w:val="22"/>
          <w:lang w:val="en-CA"/>
        </w:rPr>
      </w:pPr>
    </w:p>
    <w:p w14:paraId="3F57F793" w14:textId="10BE1F0C" w:rsidR="00FB3DE2" w:rsidRPr="0071186E" w:rsidRDefault="00FB3DE2" w:rsidP="007E1D09">
      <w:pPr>
        <w:ind w:left="720" w:right="542"/>
        <w:jc w:val="both"/>
        <w:rPr>
          <w:sz w:val="22"/>
          <w:szCs w:val="22"/>
          <w:lang w:val="en-CA" w:bidi="en-CA"/>
        </w:rPr>
      </w:pPr>
      <w:r w:rsidRPr="0071186E">
        <w:rPr>
          <w:color w:val="161616"/>
          <w:sz w:val="22"/>
          <w:szCs w:val="22"/>
          <w:lang w:val="en-CA"/>
        </w:rPr>
        <w:t>[</w:t>
      </w:r>
      <w:r w:rsidR="00FD4766">
        <w:rPr>
          <w:color w:val="161616"/>
          <w:sz w:val="22"/>
          <w:szCs w:val="22"/>
          <w:lang w:val="en-CA"/>
        </w:rPr>
        <w:t>Emphasis added.</w:t>
      </w:r>
      <w:r w:rsidRPr="0071186E">
        <w:rPr>
          <w:color w:val="161616"/>
          <w:sz w:val="22"/>
          <w:szCs w:val="22"/>
          <w:lang w:val="en-CA"/>
        </w:rPr>
        <w:t>]</w:t>
      </w:r>
    </w:p>
    <w:p w14:paraId="2CC1A3A9" w14:textId="77777777" w:rsidR="00FB3DE2" w:rsidRPr="0071186E" w:rsidRDefault="00FB3DE2" w:rsidP="00973C1B">
      <w:pPr>
        <w:ind w:left="720"/>
        <w:rPr>
          <w:lang w:val="en-CA" w:bidi="en-CA"/>
        </w:rPr>
      </w:pPr>
    </w:p>
    <w:p w14:paraId="1BB05B65" w14:textId="389FA6FC" w:rsidR="00973C1B" w:rsidRPr="0071186E" w:rsidRDefault="00FB3DE2" w:rsidP="00973C1B">
      <w:pPr>
        <w:pStyle w:val="SimpleL1"/>
        <w:rPr>
          <w:lang w:val="en-CA" w:bidi="en-CA"/>
        </w:rPr>
      </w:pPr>
      <w:r w:rsidRPr="0071186E">
        <w:rPr>
          <w:lang w:val="en-CA" w:bidi="en-CA"/>
        </w:rPr>
        <w:t xml:space="preserve">The Organizations add that the laws or policies applicable in other Canadian provinces are likely to </w:t>
      </w:r>
      <w:r w:rsidR="00094AE7" w:rsidRPr="0071186E">
        <w:rPr>
          <w:lang w:val="en-CA" w:bidi="en-CA"/>
        </w:rPr>
        <w:t xml:space="preserve">also </w:t>
      </w:r>
      <w:r w:rsidRPr="0071186E">
        <w:rPr>
          <w:lang w:val="en-CA" w:bidi="en-CA"/>
        </w:rPr>
        <w:t>have similar consequences</w:t>
      </w:r>
      <w:r w:rsidR="00094AE7">
        <w:rPr>
          <w:lang w:val="en-CA" w:bidi="en-CA"/>
        </w:rPr>
        <w:t>.</w:t>
      </w:r>
      <w:r w:rsidRPr="0071186E">
        <w:rPr>
          <w:vertAlign w:val="superscript"/>
          <w:lang w:val="en-CA" w:bidi="en-CA"/>
        </w:rPr>
        <w:footnoteReference w:id="74"/>
      </w:r>
    </w:p>
    <w:p w14:paraId="57AEF2BA" w14:textId="124F260C" w:rsidR="00FB3DE2" w:rsidRPr="0071186E" w:rsidRDefault="00FB3DE2" w:rsidP="00973C1B">
      <w:pPr>
        <w:pStyle w:val="SimpleL1"/>
        <w:rPr>
          <w:lang w:val="en-CA" w:bidi="en-CA"/>
        </w:rPr>
      </w:pPr>
      <w:r w:rsidRPr="0071186E">
        <w:rPr>
          <w:lang w:val="en-CA" w:bidi="en-CA"/>
        </w:rPr>
        <w:t xml:space="preserve">These provisions could lead to repercussions on third parties, in particular </w:t>
      </w:r>
      <w:r w:rsidR="005D0244">
        <w:rPr>
          <w:lang w:val="en-CA" w:bidi="en-CA"/>
        </w:rPr>
        <w:t xml:space="preserve">the </w:t>
      </w:r>
      <w:r w:rsidRPr="0071186E">
        <w:rPr>
          <w:lang w:val="en-CA" w:bidi="en-CA"/>
        </w:rPr>
        <w:t>thousands of employees of the Organizations, SNCLG or even suppliers, or on the pension funds of thousands of employees</w:t>
      </w:r>
      <w:r w:rsidR="00D51283">
        <w:rPr>
          <w:lang w:val="en-CA" w:bidi="en-CA"/>
        </w:rPr>
        <w:t>.</w:t>
      </w:r>
      <w:r w:rsidRPr="0071186E">
        <w:rPr>
          <w:vertAlign w:val="superscript"/>
          <w:lang w:val="en-CA" w:bidi="en-CA"/>
        </w:rPr>
        <w:footnoteReference w:id="75"/>
      </w:r>
    </w:p>
    <w:p w14:paraId="6DA2BCE2" w14:textId="32F499A2" w:rsidR="00FB3DE2" w:rsidRPr="0071186E" w:rsidRDefault="00F277B1" w:rsidP="00973C1B">
      <w:pPr>
        <w:pStyle w:val="SimpleL1"/>
        <w:rPr>
          <w:lang w:val="en-CA" w:bidi="en-CA"/>
        </w:rPr>
      </w:pPr>
      <w:r>
        <w:rPr>
          <w:lang w:val="en-CA" w:bidi="en-CA"/>
        </w:rPr>
        <w:t>Parliament</w:t>
      </w:r>
      <w:r w:rsidR="00FB3DE2" w:rsidRPr="0071186E">
        <w:rPr>
          <w:lang w:val="en-CA" w:bidi="en-CA"/>
        </w:rPr>
        <w:t xml:space="preserve"> opted </w:t>
      </w:r>
      <w:r>
        <w:rPr>
          <w:lang w:val="en-CA" w:bidi="en-CA"/>
        </w:rPr>
        <w:t xml:space="preserve">to introduce </w:t>
      </w:r>
      <w:r w:rsidR="00FB3DE2" w:rsidRPr="0071186E">
        <w:rPr>
          <w:lang w:val="en-CA" w:bidi="en-CA"/>
        </w:rPr>
        <w:t xml:space="preserve">remediation agreements in the </w:t>
      </w:r>
      <w:r w:rsidR="00FB3DE2" w:rsidRPr="006B7F16">
        <w:rPr>
          <w:i/>
          <w:lang w:val="en-CA" w:bidi="en-CA"/>
        </w:rPr>
        <w:t>Criminal Code</w:t>
      </w:r>
      <w:r w:rsidR="00FB3DE2" w:rsidRPr="0071186E">
        <w:rPr>
          <w:lang w:val="en-CA" w:bidi="en-CA"/>
        </w:rPr>
        <w:t xml:space="preserve">, particularly with a view to limiting the impact on third parties </w:t>
      </w:r>
      <w:r w:rsidR="0043075F" w:rsidRPr="0071186E">
        <w:rPr>
          <w:lang w:val="en-CA" w:bidi="en-CA"/>
        </w:rPr>
        <w:t xml:space="preserve">not responsible for </w:t>
      </w:r>
      <w:r w:rsidR="00FB3DE2" w:rsidRPr="0071186E">
        <w:rPr>
          <w:lang w:val="en-CA" w:bidi="en-CA"/>
        </w:rPr>
        <w:t xml:space="preserve">criminal acts </w:t>
      </w:r>
      <w:r>
        <w:rPr>
          <w:lang w:val="en-CA" w:bidi="en-CA"/>
        </w:rPr>
        <w:t>over</w:t>
      </w:r>
      <w:r w:rsidRPr="0071186E">
        <w:rPr>
          <w:lang w:val="en-CA" w:bidi="en-CA"/>
        </w:rPr>
        <w:t xml:space="preserve"> </w:t>
      </w:r>
      <w:r w:rsidR="00FB3DE2" w:rsidRPr="0071186E">
        <w:rPr>
          <w:lang w:val="en-CA" w:bidi="en-CA"/>
        </w:rPr>
        <w:t xml:space="preserve">which they had no control. It is clear to the Court that in this case, </w:t>
      </w:r>
      <w:r>
        <w:rPr>
          <w:lang w:val="en-CA" w:bidi="en-CA"/>
        </w:rPr>
        <w:t xml:space="preserve">entering into the Agreement satisfies </w:t>
      </w:r>
      <w:r w:rsidR="00FB3DE2" w:rsidRPr="0071186E">
        <w:rPr>
          <w:lang w:val="en-CA" w:bidi="en-CA"/>
        </w:rPr>
        <w:t>this objective</w:t>
      </w:r>
      <w:r>
        <w:rPr>
          <w:lang w:val="en-CA" w:bidi="en-CA"/>
        </w:rPr>
        <w:t>,</w:t>
      </w:r>
      <w:r w:rsidR="00FB3DE2" w:rsidRPr="0071186E">
        <w:rPr>
          <w:lang w:val="en-CA" w:bidi="en-CA"/>
        </w:rPr>
        <w:t xml:space="preserve"> </w:t>
      </w:r>
      <w:r>
        <w:rPr>
          <w:lang w:val="en-CA" w:bidi="en-CA"/>
        </w:rPr>
        <w:t>which</w:t>
      </w:r>
      <w:r w:rsidR="00FB3DE2" w:rsidRPr="0071186E">
        <w:rPr>
          <w:lang w:val="en-CA" w:bidi="en-CA"/>
        </w:rPr>
        <w:t xml:space="preserve"> must have significant weight in </w:t>
      </w:r>
      <w:r>
        <w:rPr>
          <w:lang w:val="en-CA" w:bidi="en-CA"/>
        </w:rPr>
        <w:t>the Court’s</w:t>
      </w:r>
      <w:r w:rsidRPr="0071186E">
        <w:rPr>
          <w:lang w:val="en-CA" w:bidi="en-CA"/>
        </w:rPr>
        <w:t xml:space="preserve"> </w:t>
      </w:r>
      <w:r w:rsidR="00FB3DE2" w:rsidRPr="0071186E">
        <w:rPr>
          <w:lang w:val="en-CA" w:bidi="en-CA"/>
        </w:rPr>
        <w:t>analysis of the public interest.</w:t>
      </w:r>
    </w:p>
    <w:p w14:paraId="173518D9" w14:textId="367FEFE6" w:rsidR="00FB3DE2" w:rsidRPr="0071186E" w:rsidRDefault="00FB3DE2" w:rsidP="00973C1B">
      <w:pPr>
        <w:pStyle w:val="SimpleL1"/>
        <w:rPr>
          <w:lang w:val="en-CA" w:bidi="en-CA"/>
        </w:rPr>
      </w:pPr>
      <w:r w:rsidRPr="0071186E">
        <w:rPr>
          <w:lang w:val="en-CA" w:bidi="en-CA"/>
        </w:rPr>
        <w:t xml:space="preserve">But </w:t>
      </w:r>
      <w:r w:rsidR="004A6821">
        <w:rPr>
          <w:lang w:val="en-CA" w:bidi="en-CA"/>
        </w:rPr>
        <w:t xml:space="preserve">our analysis of the </w:t>
      </w:r>
      <w:r w:rsidRPr="0071186E">
        <w:rPr>
          <w:lang w:val="en-CA" w:bidi="en-CA"/>
        </w:rPr>
        <w:t xml:space="preserve">public interest does not end there. </w:t>
      </w:r>
      <w:r w:rsidR="004A6821">
        <w:rPr>
          <w:lang w:val="en-CA" w:bidi="en-CA"/>
        </w:rPr>
        <w:t>Indeed</w:t>
      </w:r>
      <w:r w:rsidRPr="0071186E">
        <w:rPr>
          <w:lang w:val="en-CA" w:bidi="en-CA"/>
        </w:rPr>
        <w:t xml:space="preserve">, as </w:t>
      </w:r>
      <w:r w:rsidR="004A6821">
        <w:rPr>
          <w:lang w:val="en-CA" w:bidi="en-CA"/>
        </w:rPr>
        <w:t>stated above</w:t>
      </w:r>
      <w:r w:rsidRPr="0071186E">
        <w:rPr>
          <w:lang w:val="en-CA" w:bidi="en-CA"/>
        </w:rPr>
        <w:t>, this element</w:t>
      </w:r>
      <w:r w:rsidR="00967AEC">
        <w:rPr>
          <w:lang w:val="en-CA" w:bidi="en-CA"/>
        </w:rPr>
        <w:t>, by itself, is not sufficient</w:t>
      </w:r>
      <w:r w:rsidRPr="0071186E">
        <w:rPr>
          <w:lang w:val="en-CA" w:bidi="en-CA"/>
        </w:rPr>
        <w:t xml:space="preserve">, since </w:t>
      </w:r>
      <w:r w:rsidR="00967AEC" w:rsidRPr="0071186E">
        <w:rPr>
          <w:lang w:val="en-CA" w:bidi="en-CA"/>
        </w:rPr>
        <w:t>otherwise,</w:t>
      </w:r>
      <w:r w:rsidRPr="0071186E">
        <w:rPr>
          <w:lang w:val="en-CA" w:bidi="en-CA"/>
        </w:rPr>
        <w:t xml:space="preserve"> it could serve as a carte blanche for large-scale companies employing thousands of people, or for example, pharmaceutical companies that </w:t>
      </w:r>
      <w:r w:rsidR="00967AEC">
        <w:rPr>
          <w:lang w:val="en-CA" w:bidi="en-CA"/>
        </w:rPr>
        <w:t>are</w:t>
      </w:r>
      <w:r w:rsidRPr="0071186E">
        <w:rPr>
          <w:lang w:val="en-CA" w:bidi="en-CA"/>
        </w:rPr>
        <w:t xml:space="preserve"> alone in producing a certain drug and could then brandish </w:t>
      </w:r>
      <w:r w:rsidR="00967AEC">
        <w:rPr>
          <w:lang w:val="en-CA" w:bidi="en-CA"/>
        </w:rPr>
        <w:t xml:space="preserve">the </w:t>
      </w:r>
      <w:r w:rsidRPr="0071186E">
        <w:rPr>
          <w:lang w:val="en-CA" w:bidi="en-CA"/>
        </w:rPr>
        <w:t>negative consequences on their customers.</w:t>
      </w:r>
    </w:p>
    <w:p w14:paraId="6B07024A" w14:textId="0E0A6175" w:rsidR="00FB3DE2" w:rsidRPr="0071186E" w:rsidRDefault="00FB3DE2" w:rsidP="00973C1B">
      <w:pPr>
        <w:pStyle w:val="SimpleL1"/>
        <w:rPr>
          <w:lang w:val="en-CA" w:bidi="en-CA"/>
        </w:rPr>
      </w:pPr>
      <w:r w:rsidRPr="0071186E">
        <w:rPr>
          <w:lang w:val="en-CA" w:bidi="en-CA"/>
        </w:rPr>
        <w:t xml:space="preserve">This is why the Court must consider all circumstances surrounding the Agreement, including the first factor set out by </w:t>
      </w:r>
      <w:r w:rsidR="00B51392">
        <w:rPr>
          <w:lang w:val="en-CA" w:bidi="en-CA"/>
        </w:rPr>
        <w:t>Parliament</w:t>
      </w:r>
      <w:r w:rsidRPr="0071186E">
        <w:rPr>
          <w:lang w:val="en-CA" w:bidi="en-CA"/>
        </w:rPr>
        <w:t xml:space="preserve"> in 715.32(2) Cr.</w:t>
      </w:r>
      <w:r w:rsidR="00B51392">
        <w:rPr>
          <w:lang w:val="en-CA" w:bidi="en-CA"/>
        </w:rPr>
        <w:t> </w:t>
      </w:r>
      <w:r w:rsidRPr="0071186E">
        <w:rPr>
          <w:lang w:val="en-CA" w:bidi="en-CA"/>
        </w:rPr>
        <w:t>C., i.e.</w:t>
      </w:r>
      <w:r w:rsidR="00B51392">
        <w:rPr>
          <w:lang w:val="en-CA" w:bidi="en-CA"/>
        </w:rPr>
        <w:t>,</w:t>
      </w:r>
      <w:r w:rsidR="00B849AF" w:rsidRPr="0071186E">
        <w:rPr>
          <w:lang w:val="en-CA" w:bidi="en-CA"/>
        </w:rPr>
        <w:t> </w:t>
      </w:r>
      <w:r w:rsidRPr="0071186E">
        <w:rPr>
          <w:lang w:val="en-CA" w:bidi="en-CA"/>
        </w:rPr>
        <w:t xml:space="preserve">the circumstances </w:t>
      </w:r>
      <w:r w:rsidRPr="0071186E">
        <w:rPr>
          <w:lang w:val="en-CA" w:bidi="en-CA"/>
        </w:rPr>
        <w:lastRenderedPageBreak/>
        <w:t>in which the act or omission that resulted in the offense was brought to the attention of the investigating authorities.</w:t>
      </w:r>
    </w:p>
    <w:p w14:paraId="06EFB956" w14:textId="51C61EBC" w:rsidR="00FB3DE2" w:rsidRPr="0071186E" w:rsidRDefault="0043075F" w:rsidP="00973C1B">
      <w:pPr>
        <w:pStyle w:val="SimpleL1"/>
        <w:rPr>
          <w:lang w:val="en-CA" w:bidi="en-CA"/>
        </w:rPr>
      </w:pPr>
      <w:r w:rsidRPr="0071186E">
        <w:rPr>
          <w:lang w:val="en-CA" w:bidi="en-CA"/>
        </w:rPr>
        <w:t>Although</w:t>
      </w:r>
      <w:r w:rsidR="00FB3DE2" w:rsidRPr="0071186E">
        <w:rPr>
          <w:lang w:val="en-CA" w:bidi="en-CA"/>
        </w:rPr>
        <w:t xml:space="preserve"> this is not a case of self-reporting, the Organizations cooperated </w:t>
      </w:r>
      <w:r w:rsidR="00082F41">
        <w:rPr>
          <w:lang w:val="en-CA" w:bidi="en-CA"/>
        </w:rPr>
        <w:t>consistently</w:t>
      </w:r>
      <w:r w:rsidR="00082F41" w:rsidRPr="0071186E">
        <w:rPr>
          <w:lang w:val="en-CA" w:bidi="en-CA"/>
        </w:rPr>
        <w:t xml:space="preserve"> </w:t>
      </w:r>
      <w:r w:rsidR="00FB3DE2" w:rsidRPr="0071186E">
        <w:rPr>
          <w:lang w:val="en-CA" w:bidi="en-CA"/>
        </w:rPr>
        <w:t xml:space="preserve">with the authorities during the investigation. It is clear that the objective of remediation agreements is to encourage self-reporting, and that self-reporting would carry considerable weight in the balance. However, it is not a mandatory </w:t>
      </w:r>
      <w:r w:rsidR="00082F41">
        <w:rPr>
          <w:lang w:val="en-CA" w:bidi="en-CA"/>
        </w:rPr>
        <w:t>precondition</w:t>
      </w:r>
      <w:r w:rsidR="00082F41" w:rsidRPr="0071186E">
        <w:rPr>
          <w:lang w:val="en-CA" w:bidi="en-CA"/>
        </w:rPr>
        <w:t xml:space="preserve"> </w:t>
      </w:r>
      <w:r w:rsidR="00FB3DE2" w:rsidRPr="0071186E">
        <w:rPr>
          <w:lang w:val="en-CA" w:bidi="en-CA"/>
        </w:rPr>
        <w:t xml:space="preserve">retained by the legislator. Strong cooperation, as in the present case, can also work in favour of </w:t>
      </w:r>
      <w:r w:rsidR="00082F41">
        <w:rPr>
          <w:lang w:val="en-CA" w:bidi="en-CA"/>
        </w:rPr>
        <w:t>approving</w:t>
      </w:r>
      <w:r w:rsidR="00FB3DE2" w:rsidRPr="0071186E">
        <w:rPr>
          <w:lang w:val="en-CA" w:bidi="en-CA"/>
        </w:rPr>
        <w:t xml:space="preserve"> a remediation agreement.</w:t>
      </w:r>
    </w:p>
    <w:p w14:paraId="35A5D3D0" w14:textId="1EDD0B5F" w:rsidR="00FB3DE2" w:rsidRPr="0071186E" w:rsidRDefault="00FB3DE2" w:rsidP="00973C1B">
      <w:pPr>
        <w:pStyle w:val="SimpleL1"/>
        <w:rPr>
          <w:lang w:val="en-CA" w:bidi="en-CA"/>
        </w:rPr>
      </w:pPr>
      <w:r w:rsidRPr="0071186E">
        <w:rPr>
          <w:lang w:val="en-CA" w:bidi="en-CA"/>
        </w:rPr>
        <w:t xml:space="preserve">In this case, the </w:t>
      </w:r>
      <w:r w:rsidR="00082F41" w:rsidRPr="0071186E">
        <w:rPr>
          <w:lang w:val="en-CA" w:bidi="en-CA"/>
        </w:rPr>
        <w:t>Organizations</w:t>
      </w:r>
      <w:r w:rsidR="00082F41">
        <w:rPr>
          <w:lang w:val="en-CA" w:bidi="en-CA"/>
        </w:rPr>
        <w:t>’</w:t>
      </w:r>
      <w:r w:rsidR="00082F41" w:rsidRPr="0071186E">
        <w:rPr>
          <w:lang w:val="en-CA" w:bidi="en-CA"/>
        </w:rPr>
        <w:t xml:space="preserve"> </w:t>
      </w:r>
      <w:r w:rsidRPr="0071186E">
        <w:rPr>
          <w:lang w:val="en-CA" w:bidi="en-CA"/>
        </w:rPr>
        <w:t xml:space="preserve">cooperation has been </w:t>
      </w:r>
      <w:r w:rsidR="0043075F" w:rsidRPr="0071186E">
        <w:rPr>
          <w:lang w:val="en-CA" w:bidi="en-CA"/>
        </w:rPr>
        <w:t xml:space="preserve">demonstrated </w:t>
      </w:r>
      <w:r w:rsidRPr="0071186E">
        <w:rPr>
          <w:lang w:val="en-CA" w:bidi="en-CA"/>
        </w:rPr>
        <w:t xml:space="preserve">in several ways. More specifically, </w:t>
      </w:r>
      <w:r w:rsidR="007D65E7">
        <w:rPr>
          <w:lang w:val="en-CA" w:bidi="en-CA"/>
        </w:rPr>
        <w:t xml:space="preserve">it is appropriate to reproduce </w:t>
      </w:r>
      <w:r w:rsidRPr="0071186E">
        <w:rPr>
          <w:lang w:val="en-CA" w:bidi="en-CA"/>
        </w:rPr>
        <w:t xml:space="preserve">paragraph 36 of the </w:t>
      </w:r>
      <w:r w:rsidR="002773F2">
        <w:rPr>
          <w:lang w:val="en-CA" w:bidi="en-CA"/>
        </w:rPr>
        <w:t>p</w:t>
      </w:r>
      <w:r w:rsidRPr="0071186E">
        <w:rPr>
          <w:lang w:val="en-CA" w:bidi="en-CA"/>
        </w:rPr>
        <w:t>arties’ admissions:</w:t>
      </w:r>
    </w:p>
    <w:p w14:paraId="35BB958D" w14:textId="10384196" w:rsidR="00F2716A" w:rsidRPr="006B7F16" w:rsidRDefault="00F2716A" w:rsidP="00F2716A">
      <w:pPr>
        <w:pStyle w:val="Retraitcorpsdetexte"/>
        <w:ind w:right="542"/>
        <w:rPr>
          <w:lang w:val="en-CA" w:bidi="en-CA"/>
        </w:rPr>
      </w:pPr>
      <w:r w:rsidRPr="006B7F16">
        <w:rPr>
          <w:lang w:val="en-CA" w:bidi="en-CA"/>
        </w:rPr>
        <w:t>[</w:t>
      </w:r>
      <w:r w:rsidR="00F12AA0" w:rsidRPr="006B7F16">
        <w:rPr>
          <w:smallCaps/>
          <w:lang w:val="en-CA" w:bidi="en-CA"/>
        </w:rPr>
        <w:t>translation</w:t>
      </w:r>
      <w:r w:rsidRPr="006B7F16">
        <w:rPr>
          <w:lang w:val="en-CA" w:bidi="en-CA"/>
        </w:rPr>
        <w:t>]</w:t>
      </w:r>
    </w:p>
    <w:p w14:paraId="78650488" w14:textId="77777777" w:rsidR="00FB3DE2" w:rsidRPr="0071186E" w:rsidRDefault="00B849AF" w:rsidP="007E1D09">
      <w:pPr>
        <w:tabs>
          <w:tab w:val="left" w:pos="1260"/>
        </w:tabs>
        <w:ind w:left="720" w:right="542"/>
        <w:jc w:val="both"/>
        <w:rPr>
          <w:sz w:val="22"/>
          <w:szCs w:val="22"/>
          <w:lang w:val="en-CA" w:bidi="en-CA"/>
        </w:rPr>
      </w:pPr>
      <w:r w:rsidRPr="0071186E">
        <w:rPr>
          <w:sz w:val="22"/>
          <w:szCs w:val="22"/>
          <w:lang w:val="en-CA" w:bidi="en-CA"/>
        </w:rPr>
        <w:t>36.</w:t>
      </w:r>
      <w:r w:rsidRPr="0071186E">
        <w:rPr>
          <w:sz w:val="22"/>
          <w:szCs w:val="22"/>
          <w:lang w:val="en-CA" w:bidi="en-CA"/>
        </w:rPr>
        <w:tab/>
      </w:r>
      <w:r w:rsidR="0043075F" w:rsidRPr="0071186E">
        <w:rPr>
          <w:sz w:val="22"/>
          <w:szCs w:val="22"/>
          <w:lang w:val="en-CA" w:bidi="en-CA"/>
        </w:rPr>
        <w:t xml:space="preserve">the </w:t>
      </w:r>
      <w:r w:rsidR="00FB3DE2" w:rsidRPr="0071186E">
        <w:rPr>
          <w:rFonts w:cs="Arial"/>
          <w:bCs/>
          <w:color w:val="212529"/>
          <w:sz w:val="22"/>
          <w:szCs w:val="22"/>
          <w:lang w:val="en-CA"/>
        </w:rPr>
        <w:t>Organizations</w:t>
      </w:r>
      <w:r w:rsidR="00FB3DE2" w:rsidRPr="0071186E">
        <w:rPr>
          <w:sz w:val="22"/>
          <w:szCs w:val="22"/>
          <w:lang w:val="en-CA" w:bidi="en-CA"/>
        </w:rPr>
        <w:t xml:space="preserve"> </w:t>
      </w:r>
      <w:r w:rsidR="0043075F" w:rsidRPr="0071186E">
        <w:rPr>
          <w:sz w:val="22"/>
          <w:szCs w:val="22"/>
          <w:lang w:val="en-CA" w:bidi="en-CA"/>
        </w:rPr>
        <w:t xml:space="preserve">cooperated </w:t>
      </w:r>
      <w:r w:rsidR="00FB3DE2" w:rsidRPr="0071186E">
        <w:rPr>
          <w:sz w:val="22"/>
          <w:szCs w:val="22"/>
          <w:lang w:val="en-CA" w:bidi="en-CA"/>
        </w:rPr>
        <w:t xml:space="preserve">with the RCMP’s investigation into them, </w:t>
      </w:r>
      <w:r w:rsidR="0043075F" w:rsidRPr="0071186E">
        <w:rPr>
          <w:sz w:val="22"/>
          <w:szCs w:val="22"/>
          <w:lang w:val="en-CA" w:bidi="en-CA"/>
        </w:rPr>
        <w:t xml:space="preserve">according to </w:t>
      </w:r>
      <w:r w:rsidR="00FB3DE2" w:rsidRPr="0071186E">
        <w:rPr>
          <w:sz w:val="22"/>
          <w:szCs w:val="22"/>
          <w:lang w:val="en-CA" w:bidi="en-CA"/>
        </w:rPr>
        <w:t>the following timeline:</w:t>
      </w:r>
    </w:p>
    <w:p w14:paraId="566BCC17" w14:textId="77777777" w:rsidR="00FB3DE2" w:rsidRPr="0071186E" w:rsidRDefault="00FB3DE2" w:rsidP="007E1D09">
      <w:pPr>
        <w:tabs>
          <w:tab w:val="left" w:pos="1260"/>
        </w:tabs>
        <w:ind w:left="720" w:right="542"/>
        <w:jc w:val="both"/>
        <w:rPr>
          <w:sz w:val="22"/>
          <w:szCs w:val="22"/>
          <w:lang w:val="en-CA" w:bidi="en-CA"/>
        </w:rPr>
      </w:pPr>
    </w:p>
    <w:p w14:paraId="008183C6" w14:textId="4E3D3281" w:rsidR="00FB3DE2" w:rsidRPr="0071186E" w:rsidRDefault="00B849AF" w:rsidP="007E1D09">
      <w:pPr>
        <w:tabs>
          <w:tab w:val="left" w:pos="1260"/>
        </w:tabs>
        <w:ind w:left="720" w:right="542"/>
        <w:jc w:val="both"/>
        <w:rPr>
          <w:sz w:val="22"/>
          <w:szCs w:val="22"/>
          <w:lang w:val="en-CA" w:bidi="en-CA"/>
        </w:rPr>
      </w:pPr>
      <w:r w:rsidRPr="0071186E">
        <w:rPr>
          <w:rFonts w:cs="Arial"/>
          <w:bCs/>
          <w:color w:val="212529"/>
          <w:sz w:val="22"/>
          <w:szCs w:val="22"/>
          <w:lang w:val="en-CA"/>
        </w:rPr>
        <w:t>36.1</w:t>
      </w:r>
      <w:r w:rsidRPr="0071186E">
        <w:rPr>
          <w:rFonts w:cs="Arial"/>
          <w:bCs/>
          <w:color w:val="212529"/>
          <w:sz w:val="22"/>
          <w:szCs w:val="22"/>
          <w:lang w:val="en-CA"/>
        </w:rPr>
        <w:tab/>
      </w:r>
      <w:r w:rsidR="00FB3DE2" w:rsidRPr="0071186E">
        <w:rPr>
          <w:rFonts w:cs="Arial"/>
          <w:bCs/>
          <w:color w:val="212529"/>
          <w:sz w:val="22"/>
          <w:szCs w:val="22"/>
          <w:lang w:val="en-CA"/>
        </w:rPr>
        <w:t>In</w:t>
      </w:r>
      <w:r w:rsidR="00FB3DE2" w:rsidRPr="0071186E">
        <w:rPr>
          <w:sz w:val="22"/>
          <w:szCs w:val="22"/>
          <w:lang w:val="en-CA" w:bidi="en-CA"/>
        </w:rPr>
        <w:t xml:space="preserve"> 2014, the Organizations voluntar</w:t>
      </w:r>
      <w:r w:rsidR="006261EE">
        <w:rPr>
          <w:sz w:val="22"/>
          <w:szCs w:val="22"/>
          <w:lang w:val="en-CA" w:bidi="en-CA"/>
        </w:rPr>
        <w:t>ily</w:t>
      </w:r>
      <w:r w:rsidR="00FB3DE2" w:rsidRPr="0071186E">
        <w:rPr>
          <w:sz w:val="22"/>
          <w:szCs w:val="22"/>
          <w:lang w:val="en-CA" w:bidi="en-CA"/>
        </w:rPr>
        <w:t xml:space="preserve"> </w:t>
      </w:r>
      <w:r w:rsidR="002773F2">
        <w:rPr>
          <w:sz w:val="22"/>
          <w:szCs w:val="22"/>
          <w:lang w:val="en-CA" w:bidi="en-CA"/>
        </w:rPr>
        <w:t>disclos</w:t>
      </w:r>
      <w:r w:rsidR="006261EE">
        <w:rPr>
          <w:sz w:val="22"/>
          <w:szCs w:val="22"/>
          <w:lang w:val="en-CA" w:bidi="en-CA"/>
        </w:rPr>
        <w:t>ed</w:t>
      </w:r>
      <w:r w:rsidR="00FB3DE2" w:rsidRPr="0071186E">
        <w:rPr>
          <w:sz w:val="22"/>
          <w:szCs w:val="22"/>
          <w:lang w:val="en-CA" w:bidi="en-CA"/>
        </w:rPr>
        <w:t xml:space="preserve"> </w:t>
      </w:r>
      <w:r w:rsidR="006261EE" w:rsidRPr="0071186E">
        <w:rPr>
          <w:sz w:val="22"/>
          <w:szCs w:val="22"/>
          <w:lang w:val="en-CA" w:bidi="en-CA"/>
        </w:rPr>
        <w:t xml:space="preserve">several documents </w:t>
      </w:r>
      <w:r w:rsidR="00FB3DE2" w:rsidRPr="0071186E">
        <w:rPr>
          <w:sz w:val="22"/>
          <w:szCs w:val="22"/>
          <w:lang w:val="en-CA" w:bidi="en-CA"/>
        </w:rPr>
        <w:t xml:space="preserve">to the RCMP </w:t>
      </w:r>
      <w:r w:rsidR="006261EE">
        <w:rPr>
          <w:sz w:val="22"/>
          <w:szCs w:val="22"/>
          <w:lang w:val="en-CA" w:bidi="en-CA"/>
        </w:rPr>
        <w:t xml:space="preserve">that were </w:t>
      </w:r>
      <w:r w:rsidR="00FB3DE2" w:rsidRPr="0071186E">
        <w:rPr>
          <w:sz w:val="22"/>
          <w:szCs w:val="22"/>
          <w:lang w:val="en-CA" w:bidi="en-CA"/>
        </w:rPr>
        <w:t>related to the projects under investigation;</w:t>
      </w:r>
    </w:p>
    <w:p w14:paraId="03A8E83F" w14:textId="77777777" w:rsidR="00FB3DE2" w:rsidRPr="0071186E" w:rsidRDefault="00FB3DE2" w:rsidP="007E1D09">
      <w:pPr>
        <w:tabs>
          <w:tab w:val="left" w:pos="1260"/>
        </w:tabs>
        <w:ind w:left="720" w:right="542"/>
        <w:jc w:val="both"/>
        <w:rPr>
          <w:sz w:val="22"/>
          <w:szCs w:val="22"/>
          <w:lang w:val="en-CA" w:bidi="en-CA"/>
        </w:rPr>
      </w:pPr>
    </w:p>
    <w:p w14:paraId="01E27DE7" w14:textId="2A0F7B9F" w:rsidR="00FB3DE2" w:rsidRPr="0071186E" w:rsidRDefault="00B849AF" w:rsidP="007E1D09">
      <w:pPr>
        <w:tabs>
          <w:tab w:val="left" w:pos="1260"/>
        </w:tabs>
        <w:ind w:left="720" w:right="542"/>
        <w:jc w:val="both"/>
        <w:rPr>
          <w:sz w:val="22"/>
          <w:szCs w:val="22"/>
          <w:lang w:val="en-CA" w:bidi="en-CA"/>
        </w:rPr>
      </w:pPr>
      <w:r w:rsidRPr="0071186E">
        <w:rPr>
          <w:sz w:val="22"/>
          <w:szCs w:val="22"/>
          <w:lang w:val="en-CA" w:bidi="en-CA"/>
        </w:rPr>
        <w:t>36.2</w:t>
      </w:r>
      <w:r w:rsidRPr="0071186E">
        <w:rPr>
          <w:sz w:val="22"/>
          <w:szCs w:val="22"/>
          <w:lang w:val="en-CA" w:bidi="en-CA"/>
        </w:rPr>
        <w:tab/>
      </w:r>
      <w:r w:rsidR="00FB3DE2" w:rsidRPr="0071186E">
        <w:rPr>
          <w:sz w:val="22"/>
          <w:szCs w:val="22"/>
          <w:lang w:val="en-CA" w:bidi="en-CA"/>
        </w:rPr>
        <w:t>In 2018 and 2020, the Organizations cooperate</w:t>
      </w:r>
      <w:r w:rsidR="0043075F" w:rsidRPr="0071186E">
        <w:rPr>
          <w:sz w:val="22"/>
          <w:szCs w:val="22"/>
          <w:lang w:val="en-CA" w:bidi="en-CA"/>
        </w:rPr>
        <w:t>d</w:t>
      </w:r>
      <w:r w:rsidR="00FB3DE2" w:rsidRPr="0071186E">
        <w:rPr>
          <w:sz w:val="22"/>
          <w:szCs w:val="22"/>
          <w:lang w:val="en-CA" w:bidi="en-CA"/>
        </w:rPr>
        <w:t xml:space="preserve"> during the execution of search warrants at their head office, in particular through logistical assistance, research and </w:t>
      </w:r>
      <w:r w:rsidR="0043075F" w:rsidRPr="0071186E">
        <w:rPr>
          <w:sz w:val="22"/>
          <w:szCs w:val="22"/>
          <w:lang w:val="en-CA" w:bidi="en-CA"/>
        </w:rPr>
        <w:t xml:space="preserve">transportation </w:t>
      </w:r>
      <w:r w:rsidR="00FB3DE2" w:rsidRPr="0071186E">
        <w:rPr>
          <w:sz w:val="22"/>
          <w:szCs w:val="22"/>
          <w:lang w:val="en-CA" w:bidi="en-CA"/>
        </w:rPr>
        <w:t xml:space="preserve">of archives, </w:t>
      </w:r>
      <w:r w:rsidR="00C4556D">
        <w:rPr>
          <w:sz w:val="22"/>
          <w:szCs w:val="22"/>
          <w:lang w:val="en-CA" w:bidi="en-CA"/>
        </w:rPr>
        <w:t>as well as</w:t>
      </w:r>
      <w:r w:rsidR="00C4556D" w:rsidRPr="0071186E">
        <w:rPr>
          <w:sz w:val="22"/>
          <w:szCs w:val="22"/>
          <w:lang w:val="en-CA" w:bidi="en-CA"/>
        </w:rPr>
        <w:t xml:space="preserve"> </w:t>
      </w:r>
      <w:r w:rsidR="00FB3DE2" w:rsidRPr="0071186E">
        <w:rPr>
          <w:sz w:val="22"/>
          <w:szCs w:val="22"/>
          <w:lang w:val="en-CA" w:bidi="en-CA"/>
        </w:rPr>
        <w:t>taking employee statements;</w:t>
      </w:r>
    </w:p>
    <w:p w14:paraId="6904AAB0" w14:textId="77777777" w:rsidR="00FB3DE2" w:rsidRPr="0071186E" w:rsidRDefault="00FB3DE2" w:rsidP="007E1D09">
      <w:pPr>
        <w:tabs>
          <w:tab w:val="left" w:pos="1260"/>
        </w:tabs>
        <w:ind w:left="720" w:right="542"/>
        <w:jc w:val="both"/>
        <w:rPr>
          <w:sz w:val="22"/>
          <w:szCs w:val="22"/>
          <w:lang w:val="en-CA" w:bidi="en-CA"/>
        </w:rPr>
      </w:pPr>
    </w:p>
    <w:p w14:paraId="73152377" w14:textId="565705B8" w:rsidR="00FB3DE2" w:rsidRPr="0071186E" w:rsidRDefault="00B849AF" w:rsidP="007E1D09">
      <w:pPr>
        <w:tabs>
          <w:tab w:val="left" w:pos="1260"/>
        </w:tabs>
        <w:ind w:left="720" w:right="542"/>
        <w:jc w:val="both"/>
        <w:rPr>
          <w:sz w:val="22"/>
          <w:szCs w:val="22"/>
          <w:lang w:val="en-CA" w:bidi="en-CA"/>
        </w:rPr>
      </w:pPr>
      <w:r w:rsidRPr="0071186E">
        <w:rPr>
          <w:sz w:val="22"/>
          <w:szCs w:val="22"/>
          <w:lang w:val="en-CA" w:bidi="en-CA"/>
        </w:rPr>
        <w:t>36.3</w:t>
      </w:r>
      <w:r w:rsidRPr="0071186E">
        <w:rPr>
          <w:sz w:val="22"/>
          <w:szCs w:val="22"/>
          <w:lang w:val="en-CA" w:bidi="en-CA"/>
        </w:rPr>
        <w:tab/>
      </w:r>
      <w:r w:rsidR="00FB3DE2" w:rsidRPr="0071186E">
        <w:rPr>
          <w:sz w:val="22"/>
          <w:szCs w:val="22"/>
          <w:lang w:val="en-CA" w:bidi="en-CA"/>
        </w:rPr>
        <w:t xml:space="preserve">In 2020, </w:t>
      </w:r>
      <w:r w:rsidR="003270CD" w:rsidRPr="0071186E">
        <w:rPr>
          <w:sz w:val="22"/>
          <w:szCs w:val="22"/>
          <w:lang w:val="en-CA" w:bidi="en-CA"/>
        </w:rPr>
        <w:t>following multiple requests</w:t>
      </w:r>
      <w:r w:rsidR="003270CD">
        <w:rPr>
          <w:sz w:val="22"/>
          <w:szCs w:val="22"/>
          <w:lang w:val="en-CA" w:bidi="en-CA"/>
        </w:rPr>
        <w:t>,</w:t>
      </w:r>
      <w:r w:rsidR="003270CD" w:rsidRPr="0071186E">
        <w:rPr>
          <w:sz w:val="22"/>
          <w:szCs w:val="22"/>
          <w:lang w:val="en-CA" w:bidi="en-CA"/>
        </w:rPr>
        <w:t xml:space="preserve"> </w:t>
      </w:r>
      <w:r w:rsidR="00FB3DE2" w:rsidRPr="0071186E">
        <w:rPr>
          <w:sz w:val="22"/>
          <w:szCs w:val="22"/>
          <w:lang w:val="en-CA" w:bidi="en-CA"/>
        </w:rPr>
        <w:t>the Organizations voluntar</w:t>
      </w:r>
      <w:r w:rsidR="00C4556D">
        <w:rPr>
          <w:sz w:val="22"/>
          <w:szCs w:val="22"/>
          <w:lang w:val="en-CA" w:bidi="en-CA"/>
        </w:rPr>
        <w:t>il</w:t>
      </w:r>
      <w:r w:rsidR="00FB3DE2" w:rsidRPr="0071186E">
        <w:rPr>
          <w:sz w:val="22"/>
          <w:szCs w:val="22"/>
          <w:lang w:val="en-CA" w:bidi="en-CA"/>
        </w:rPr>
        <w:t xml:space="preserve">y </w:t>
      </w:r>
      <w:r w:rsidR="002773F2">
        <w:rPr>
          <w:sz w:val="22"/>
          <w:szCs w:val="22"/>
          <w:lang w:val="en-CA" w:bidi="en-CA"/>
        </w:rPr>
        <w:t>disclos</w:t>
      </w:r>
      <w:r w:rsidR="00C4556D">
        <w:rPr>
          <w:sz w:val="22"/>
          <w:szCs w:val="22"/>
          <w:lang w:val="en-CA" w:bidi="en-CA"/>
        </w:rPr>
        <w:t xml:space="preserve">ed </w:t>
      </w:r>
      <w:r w:rsidR="00C4556D" w:rsidRPr="0071186E">
        <w:rPr>
          <w:sz w:val="22"/>
          <w:szCs w:val="22"/>
          <w:lang w:val="en-CA" w:bidi="en-CA"/>
        </w:rPr>
        <w:t xml:space="preserve">documents related to the investigation </w:t>
      </w:r>
      <w:r w:rsidR="00FB3DE2" w:rsidRPr="0071186E">
        <w:rPr>
          <w:sz w:val="22"/>
          <w:szCs w:val="22"/>
          <w:lang w:val="en-CA" w:bidi="en-CA"/>
        </w:rPr>
        <w:t xml:space="preserve">to the RCMP, </w:t>
      </w:r>
      <w:r w:rsidR="00C4556D" w:rsidRPr="0071186E">
        <w:rPr>
          <w:sz w:val="22"/>
          <w:szCs w:val="22"/>
          <w:lang w:val="en-CA" w:bidi="en-CA"/>
        </w:rPr>
        <w:t>including certain waivers of applicable confidentiality privileges</w:t>
      </w:r>
      <w:r w:rsidR="00FB3DE2" w:rsidRPr="0071186E">
        <w:rPr>
          <w:sz w:val="22"/>
          <w:szCs w:val="22"/>
          <w:lang w:val="en-CA" w:bidi="en-CA"/>
        </w:rPr>
        <w:t>;</w:t>
      </w:r>
    </w:p>
    <w:p w14:paraId="0CFE7F79" w14:textId="77777777" w:rsidR="00FB3DE2" w:rsidRPr="0071186E" w:rsidRDefault="00FB3DE2" w:rsidP="007E1D09">
      <w:pPr>
        <w:tabs>
          <w:tab w:val="left" w:pos="1260"/>
        </w:tabs>
        <w:ind w:left="720" w:right="542"/>
        <w:jc w:val="both"/>
        <w:rPr>
          <w:sz w:val="22"/>
          <w:szCs w:val="22"/>
          <w:lang w:val="en-CA" w:bidi="en-CA"/>
        </w:rPr>
      </w:pPr>
    </w:p>
    <w:p w14:paraId="1A6D0686" w14:textId="77777777" w:rsidR="00FB3DE2" w:rsidRPr="0071186E" w:rsidRDefault="00B849AF" w:rsidP="007E1D09">
      <w:pPr>
        <w:tabs>
          <w:tab w:val="left" w:pos="1260"/>
        </w:tabs>
        <w:ind w:left="720" w:right="542"/>
        <w:jc w:val="both"/>
        <w:rPr>
          <w:sz w:val="22"/>
          <w:szCs w:val="22"/>
          <w:lang w:val="en-CA" w:bidi="en-CA"/>
        </w:rPr>
      </w:pPr>
      <w:r w:rsidRPr="0071186E">
        <w:rPr>
          <w:sz w:val="22"/>
          <w:szCs w:val="22"/>
          <w:lang w:val="en-CA" w:bidi="en-CA"/>
        </w:rPr>
        <w:t>36.4</w:t>
      </w:r>
      <w:r w:rsidRPr="0071186E">
        <w:rPr>
          <w:sz w:val="22"/>
          <w:szCs w:val="22"/>
          <w:lang w:val="en-CA" w:bidi="en-CA"/>
        </w:rPr>
        <w:tab/>
      </w:r>
      <w:r w:rsidR="00FB3DE2" w:rsidRPr="0071186E">
        <w:rPr>
          <w:sz w:val="22"/>
          <w:szCs w:val="22"/>
          <w:lang w:val="en-CA" w:bidi="en-CA"/>
        </w:rPr>
        <w:t>In 2020, the Organizations offer</w:t>
      </w:r>
      <w:r w:rsidR="0043075F" w:rsidRPr="0071186E">
        <w:rPr>
          <w:sz w:val="22"/>
          <w:szCs w:val="22"/>
          <w:lang w:val="en-CA" w:bidi="en-CA"/>
        </w:rPr>
        <w:t>ed</w:t>
      </w:r>
      <w:r w:rsidR="00FB3DE2" w:rsidRPr="0071186E">
        <w:rPr>
          <w:sz w:val="22"/>
          <w:szCs w:val="22"/>
          <w:lang w:val="en-CA" w:bidi="en-CA"/>
        </w:rPr>
        <w:t xml:space="preserve"> the RCMP the assistance of specialized employees to help them understand their internal accounting systems.</w:t>
      </w:r>
    </w:p>
    <w:p w14:paraId="639FF3AE" w14:textId="77777777" w:rsidR="00FB3DE2" w:rsidRPr="0071186E" w:rsidRDefault="00FB3DE2" w:rsidP="007E1D09">
      <w:pPr>
        <w:tabs>
          <w:tab w:val="left" w:pos="1260"/>
        </w:tabs>
        <w:ind w:left="720" w:right="542"/>
        <w:jc w:val="both"/>
        <w:rPr>
          <w:sz w:val="22"/>
          <w:szCs w:val="22"/>
          <w:lang w:val="en-CA" w:bidi="en-CA"/>
        </w:rPr>
      </w:pPr>
    </w:p>
    <w:p w14:paraId="0A545279" w14:textId="073418EE" w:rsidR="00FB3DE2" w:rsidRPr="0071186E" w:rsidRDefault="00B849AF" w:rsidP="007E1D09">
      <w:pPr>
        <w:tabs>
          <w:tab w:val="left" w:pos="1260"/>
        </w:tabs>
        <w:ind w:left="720" w:right="542"/>
        <w:jc w:val="both"/>
        <w:rPr>
          <w:sz w:val="22"/>
          <w:szCs w:val="22"/>
          <w:lang w:val="en-CA" w:bidi="en-CA"/>
        </w:rPr>
      </w:pPr>
      <w:r w:rsidRPr="0071186E">
        <w:rPr>
          <w:sz w:val="22"/>
          <w:szCs w:val="22"/>
          <w:lang w:val="en-CA" w:bidi="en-CA"/>
        </w:rPr>
        <w:t>36.5</w:t>
      </w:r>
      <w:r w:rsidRPr="0071186E">
        <w:rPr>
          <w:sz w:val="22"/>
          <w:szCs w:val="22"/>
          <w:lang w:val="en-CA" w:bidi="en-CA"/>
        </w:rPr>
        <w:tab/>
      </w:r>
      <w:r w:rsidR="00FB3DE2" w:rsidRPr="0071186E">
        <w:rPr>
          <w:sz w:val="22"/>
          <w:szCs w:val="22"/>
          <w:lang w:val="en-CA" w:bidi="en-CA"/>
        </w:rPr>
        <w:t>On April 23, 2020</w:t>
      </w:r>
      <w:r w:rsidR="008C49E0">
        <w:rPr>
          <w:sz w:val="22"/>
          <w:szCs w:val="22"/>
          <w:lang w:val="en-CA" w:bidi="en-CA"/>
        </w:rPr>
        <w:t>,</w:t>
      </w:r>
      <w:r w:rsidR="00FB3DE2" w:rsidRPr="0071186E">
        <w:rPr>
          <w:sz w:val="22"/>
          <w:szCs w:val="22"/>
          <w:lang w:val="en-CA" w:bidi="en-CA"/>
        </w:rPr>
        <w:t xml:space="preserve"> and May 7, 2020, the Organizations provide</w:t>
      </w:r>
      <w:r w:rsidR="0043075F" w:rsidRPr="0071186E">
        <w:rPr>
          <w:sz w:val="22"/>
          <w:szCs w:val="22"/>
          <w:lang w:val="en-CA" w:bidi="en-CA"/>
        </w:rPr>
        <w:t>d</w:t>
      </w:r>
      <w:r w:rsidR="00FB3DE2" w:rsidRPr="0071186E">
        <w:rPr>
          <w:sz w:val="22"/>
          <w:szCs w:val="22"/>
          <w:lang w:val="en-CA" w:bidi="en-CA"/>
        </w:rPr>
        <w:t xml:space="preserve"> the </w:t>
      </w:r>
      <w:r w:rsidR="0043075F" w:rsidRPr="0071186E">
        <w:rPr>
          <w:sz w:val="22"/>
          <w:szCs w:val="22"/>
          <w:lang w:val="en-CA" w:bidi="en-CA"/>
        </w:rPr>
        <w:t xml:space="preserve">RCMP </w:t>
      </w:r>
      <w:r w:rsidR="00FB3DE2" w:rsidRPr="0071186E">
        <w:rPr>
          <w:sz w:val="22"/>
          <w:szCs w:val="22"/>
          <w:lang w:val="en-CA" w:bidi="en-CA"/>
        </w:rPr>
        <w:t>with documentary evidence that significantly incriminate</w:t>
      </w:r>
      <w:r w:rsidR="0043075F" w:rsidRPr="0071186E">
        <w:rPr>
          <w:sz w:val="22"/>
          <w:szCs w:val="22"/>
          <w:lang w:val="en-CA" w:bidi="en-CA"/>
        </w:rPr>
        <w:t>d</w:t>
      </w:r>
      <w:r w:rsidR="00FB3DE2" w:rsidRPr="0071186E">
        <w:rPr>
          <w:sz w:val="22"/>
          <w:szCs w:val="22"/>
          <w:lang w:val="en-CA" w:bidi="en-CA"/>
        </w:rPr>
        <w:t xml:space="preserve"> them, demonstrating their willingness to identify the participants in the offences.</w:t>
      </w:r>
    </w:p>
    <w:p w14:paraId="5FECB3E3" w14:textId="77777777" w:rsidR="00FB3DE2" w:rsidRPr="0071186E" w:rsidRDefault="00FB3DE2" w:rsidP="007E1D09">
      <w:pPr>
        <w:tabs>
          <w:tab w:val="left" w:pos="1260"/>
        </w:tabs>
        <w:ind w:left="720" w:right="542"/>
        <w:jc w:val="both"/>
        <w:rPr>
          <w:sz w:val="22"/>
          <w:szCs w:val="22"/>
          <w:lang w:val="en-CA" w:bidi="en-CA"/>
        </w:rPr>
      </w:pPr>
    </w:p>
    <w:p w14:paraId="16BDF3B1" w14:textId="3BBA2191" w:rsidR="00FB3DE2" w:rsidRPr="0071186E" w:rsidRDefault="00B849AF" w:rsidP="007E1D09">
      <w:pPr>
        <w:tabs>
          <w:tab w:val="left" w:pos="1260"/>
        </w:tabs>
        <w:ind w:left="720" w:right="542"/>
        <w:jc w:val="both"/>
        <w:rPr>
          <w:sz w:val="22"/>
          <w:szCs w:val="22"/>
          <w:lang w:val="en-CA" w:bidi="en-CA"/>
        </w:rPr>
      </w:pPr>
      <w:r w:rsidRPr="0071186E">
        <w:rPr>
          <w:sz w:val="22"/>
          <w:szCs w:val="22"/>
          <w:lang w:val="en-CA" w:bidi="en-CA"/>
        </w:rPr>
        <w:t>36.6</w:t>
      </w:r>
      <w:r w:rsidRPr="0071186E">
        <w:rPr>
          <w:sz w:val="22"/>
          <w:szCs w:val="22"/>
          <w:lang w:val="en-CA" w:bidi="en-CA"/>
        </w:rPr>
        <w:tab/>
      </w:r>
      <w:r w:rsidR="00FB3DE2" w:rsidRPr="0071186E">
        <w:rPr>
          <w:sz w:val="22"/>
          <w:szCs w:val="22"/>
          <w:lang w:val="en-CA" w:bidi="en-CA"/>
        </w:rPr>
        <w:t>On April 21, 2021, the Organizations voluntarily provide</w:t>
      </w:r>
      <w:r w:rsidR="0043075F" w:rsidRPr="0071186E">
        <w:rPr>
          <w:sz w:val="22"/>
          <w:szCs w:val="22"/>
          <w:lang w:val="en-CA" w:bidi="en-CA"/>
        </w:rPr>
        <w:t>d</w:t>
      </w:r>
      <w:r w:rsidR="00FB3DE2" w:rsidRPr="0071186E">
        <w:rPr>
          <w:sz w:val="22"/>
          <w:szCs w:val="22"/>
          <w:lang w:val="en-CA" w:bidi="en-CA"/>
        </w:rPr>
        <w:t xml:space="preserve"> the RCMP with an internal investigation report, i.e.</w:t>
      </w:r>
      <w:r w:rsidR="008C49E0">
        <w:rPr>
          <w:sz w:val="22"/>
          <w:szCs w:val="22"/>
          <w:lang w:val="en-CA" w:bidi="en-CA"/>
        </w:rPr>
        <w:t>,</w:t>
      </w:r>
      <w:r w:rsidR="00FB3DE2" w:rsidRPr="0071186E">
        <w:rPr>
          <w:sz w:val="22"/>
          <w:szCs w:val="22"/>
          <w:lang w:val="en-CA" w:bidi="en-CA"/>
        </w:rPr>
        <w:t xml:space="preserve"> the "Compliance Investigations" (CI), which describes the procedures and findings of an internal investigation referred to as "Case Watch," </w:t>
      </w:r>
      <w:r w:rsidR="008C49E0">
        <w:rPr>
          <w:sz w:val="22"/>
          <w:szCs w:val="22"/>
          <w:lang w:val="en-CA" w:bidi="en-CA"/>
        </w:rPr>
        <w:t>concerning</w:t>
      </w:r>
      <w:r w:rsidR="00FB3DE2" w:rsidRPr="0071186E">
        <w:rPr>
          <w:sz w:val="22"/>
          <w:szCs w:val="22"/>
          <w:lang w:val="en-CA" w:bidi="en-CA"/>
        </w:rPr>
        <w:t xml:space="preserve"> the facts underlying the offences charged.</w:t>
      </w:r>
    </w:p>
    <w:p w14:paraId="103A9A2E" w14:textId="77777777" w:rsidR="00B849AF" w:rsidRPr="0071186E" w:rsidRDefault="00B849AF" w:rsidP="007E1D09">
      <w:pPr>
        <w:tabs>
          <w:tab w:val="left" w:pos="1260"/>
        </w:tabs>
        <w:ind w:left="720" w:right="542"/>
        <w:jc w:val="both"/>
        <w:rPr>
          <w:sz w:val="22"/>
          <w:szCs w:val="22"/>
          <w:lang w:val="en-CA" w:bidi="en-CA"/>
        </w:rPr>
      </w:pPr>
    </w:p>
    <w:p w14:paraId="33399820" w14:textId="19F88887" w:rsidR="00FB3DE2" w:rsidRPr="0071186E" w:rsidRDefault="00D71CA8" w:rsidP="007E1D09">
      <w:pPr>
        <w:tabs>
          <w:tab w:val="left" w:pos="1260"/>
        </w:tabs>
        <w:ind w:left="720" w:right="542"/>
        <w:jc w:val="both"/>
        <w:rPr>
          <w:sz w:val="22"/>
          <w:szCs w:val="22"/>
          <w:lang w:val="en-CA" w:bidi="en-CA"/>
        </w:rPr>
      </w:pPr>
      <w:r>
        <w:rPr>
          <w:noProof/>
          <w:sz w:val="22"/>
          <w:szCs w:val="22"/>
          <w:lang w:eastAsia="fr-CA"/>
        </w:rPr>
        <mc:AlternateContent>
          <mc:Choice Requires="wps">
            <w:drawing>
              <wp:anchor distT="4294967295" distB="4294967295" distL="114299" distR="114299" simplePos="0" relativeHeight="251658752" behindDoc="0" locked="0" layoutInCell="1" allowOverlap="1" wp14:anchorId="086B7F3F" wp14:editId="1EFD5959">
                <wp:simplePos x="0" y="0"/>
                <wp:positionH relativeFrom="page">
                  <wp:posOffset>918844</wp:posOffset>
                </wp:positionH>
                <wp:positionV relativeFrom="page">
                  <wp:posOffset>9942194</wp:posOffset>
                </wp:positionV>
                <wp:extent cx="0" cy="0"/>
                <wp:effectExtent l="0" t="0" r="0" b="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5008F" id="Connecteur droit 4" o:spid="_x0000_s1026" style="position:absolute;z-index:251658752;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72.35pt,782.85pt" to="72.35pt,7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" strokeweight=".33919mm">
                <w10:wrap anchorx="page" anchory="page"/>
              </v:line>
            </w:pict>
          </mc:Fallback>
        </mc:AlternateContent>
      </w:r>
      <w:r>
        <w:rPr>
          <w:noProof/>
          <w:sz w:val="22"/>
          <w:szCs w:val="22"/>
          <w:lang w:eastAsia="fr-CA"/>
        </w:rPr>
        <mc:AlternateContent>
          <mc:Choice Requires="wps">
            <w:drawing>
              <wp:anchor distT="4294967295" distB="4294967295" distL="114299" distR="114299" simplePos="0" relativeHeight="251659776" behindDoc="0" locked="0" layoutInCell="1" allowOverlap="1" wp14:anchorId="78596D6A" wp14:editId="19C783A8">
                <wp:simplePos x="0" y="0"/>
                <wp:positionH relativeFrom="page">
                  <wp:posOffset>7378699</wp:posOffset>
                </wp:positionH>
                <wp:positionV relativeFrom="page">
                  <wp:posOffset>9918064</wp:posOffset>
                </wp:positionV>
                <wp:extent cx="0" cy="0"/>
                <wp:effectExtent l="0" t="0" r="0" b="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30414" id="Connecteur droit 3" o:spid="_x0000_s1026" style="position:absolute;z-index:251659776;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581pt,780.95pt" to="581pt,7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" strokeweight=".33919mm">
                <w10:wrap anchorx="page" anchory="page"/>
              </v:line>
            </w:pict>
          </mc:Fallback>
        </mc:AlternateContent>
      </w:r>
      <w:r w:rsidR="00B849AF" w:rsidRPr="0071186E">
        <w:rPr>
          <w:sz w:val="22"/>
          <w:szCs w:val="22"/>
          <w:lang w:val="en-CA" w:bidi="en-CA"/>
        </w:rPr>
        <w:t>36.7</w:t>
      </w:r>
      <w:r w:rsidR="00B849AF" w:rsidRPr="0071186E">
        <w:rPr>
          <w:sz w:val="22"/>
          <w:szCs w:val="22"/>
          <w:lang w:val="en-CA" w:bidi="en-CA"/>
        </w:rPr>
        <w:tab/>
      </w:r>
      <w:r w:rsidR="00FB3DE2" w:rsidRPr="0071186E">
        <w:rPr>
          <w:sz w:val="22"/>
          <w:szCs w:val="22"/>
          <w:lang w:val="en-CA" w:bidi="en-CA"/>
        </w:rPr>
        <w:t>Following the analysis of the report, the RCMP ask</w:t>
      </w:r>
      <w:r w:rsidR="0043075F" w:rsidRPr="0071186E">
        <w:rPr>
          <w:sz w:val="22"/>
          <w:szCs w:val="22"/>
          <w:lang w:val="en-CA" w:bidi="en-CA"/>
        </w:rPr>
        <w:t>ed</w:t>
      </w:r>
      <w:r w:rsidR="00FB3DE2" w:rsidRPr="0071186E">
        <w:rPr>
          <w:sz w:val="22"/>
          <w:szCs w:val="22"/>
          <w:lang w:val="en-CA" w:bidi="en-CA"/>
        </w:rPr>
        <w:t xml:space="preserve"> the Organizations for certain results of the </w:t>
      </w:r>
      <w:r w:rsidR="0043075F" w:rsidRPr="0071186E">
        <w:rPr>
          <w:sz w:val="22"/>
          <w:szCs w:val="22"/>
          <w:lang w:val="en-CA" w:bidi="en-CA"/>
        </w:rPr>
        <w:t xml:space="preserve">internal </w:t>
      </w:r>
      <w:r w:rsidR="00FB3DE2" w:rsidRPr="0071186E">
        <w:rPr>
          <w:sz w:val="22"/>
          <w:szCs w:val="22"/>
          <w:lang w:val="en-CA" w:bidi="en-CA"/>
        </w:rPr>
        <w:t xml:space="preserve">investigation </w:t>
      </w:r>
      <w:r w:rsidR="00A32E92">
        <w:rPr>
          <w:sz w:val="22"/>
          <w:szCs w:val="22"/>
          <w:lang w:val="en-CA" w:bidi="en-CA"/>
        </w:rPr>
        <w:t>that</w:t>
      </w:r>
      <w:r w:rsidR="00A32E92" w:rsidRPr="0071186E">
        <w:rPr>
          <w:sz w:val="22"/>
          <w:szCs w:val="22"/>
          <w:lang w:val="en-CA" w:bidi="en-CA"/>
        </w:rPr>
        <w:t xml:space="preserve"> </w:t>
      </w:r>
      <w:r w:rsidR="00A32E92">
        <w:rPr>
          <w:sz w:val="22"/>
          <w:szCs w:val="22"/>
          <w:lang w:val="en-CA" w:bidi="en-CA"/>
        </w:rPr>
        <w:t>were</w:t>
      </w:r>
      <w:r w:rsidR="00A32E92" w:rsidRPr="0071186E">
        <w:rPr>
          <w:sz w:val="22"/>
          <w:szCs w:val="22"/>
          <w:lang w:val="en-CA" w:bidi="en-CA"/>
        </w:rPr>
        <w:t xml:space="preserve"> </w:t>
      </w:r>
      <w:r w:rsidR="00FB3DE2" w:rsidRPr="0071186E">
        <w:rPr>
          <w:sz w:val="22"/>
          <w:szCs w:val="22"/>
          <w:lang w:val="en-CA" w:bidi="en-CA"/>
        </w:rPr>
        <w:t xml:space="preserve">relevant to its investigation, in particular copies of the statements of the witnesses met and/or investigators’ notes, </w:t>
      </w:r>
      <w:r w:rsidR="00FB3DE2" w:rsidRPr="0071186E">
        <w:rPr>
          <w:sz w:val="22"/>
          <w:szCs w:val="22"/>
          <w:lang w:val="en-CA" w:bidi="en-CA"/>
        </w:rPr>
        <w:lastRenderedPageBreak/>
        <w:t>as well as emails retrieved by the Cl. During the su</w:t>
      </w:r>
      <w:r w:rsidR="0043075F" w:rsidRPr="0071186E">
        <w:rPr>
          <w:sz w:val="22"/>
          <w:szCs w:val="22"/>
          <w:lang w:val="en-CA" w:bidi="en-CA"/>
        </w:rPr>
        <w:t>mmer of 2021, SNCL responded</w:t>
      </w:r>
      <w:r w:rsidR="00FB3DE2" w:rsidRPr="0071186E">
        <w:rPr>
          <w:sz w:val="22"/>
          <w:szCs w:val="22"/>
          <w:lang w:val="en-CA" w:bidi="en-CA"/>
        </w:rPr>
        <w:t xml:space="preserve"> to requests with a series of voluntary </w:t>
      </w:r>
      <w:r w:rsidR="00A32E92">
        <w:rPr>
          <w:sz w:val="22"/>
          <w:szCs w:val="22"/>
          <w:lang w:val="en-CA" w:bidi="en-CA"/>
        </w:rPr>
        <w:t>disclosures.</w:t>
      </w:r>
      <w:r w:rsidR="00FB3DE2" w:rsidRPr="0071186E">
        <w:rPr>
          <w:sz w:val="22"/>
          <w:szCs w:val="22"/>
          <w:vertAlign w:val="superscript"/>
          <w:lang w:val="en-CA" w:bidi="en-CA"/>
        </w:rPr>
        <w:footnoteReference w:id="76"/>
      </w:r>
    </w:p>
    <w:p w14:paraId="438DCD0E" w14:textId="77777777" w:rsidR="00FB3DE2" w:rsidRPr="0071186E" w:rsidRDefault="00FB3DE2" w:rsidP="00FB3DE2">
      <w:pPr>
        <w:ind w:left="720"/>
        <w:rPr>
          <w:lang w:val="en-CA" w:bidi="en-CA"/>
        </w:rPr>
      </w:pPr>
    </w:p>
    <w:p w14:paraId="32006C3A" w14:textId="323AFAE3" w:rsidR="00FB3DE2" w:rsidRPr="0071186E" w:rsidRDefault="00FB3DE2" w:rsidP="00FB3DE2">
      <w:pPr>
        <w:pStyle w:val="SimpleL1"/>
        <w:rPr>
          <w:lang w:val="en-CA" w:bidi="en-CA"/>
        </w:rPr>
      </w:pPr>
      <w:r w:rsidRPr="0071186E">
        <w:rPr>
          <w:lang w:val="en-CA" w:bidi="en-CA"/>
        </w:rPr>
        <w:t xml:space="preserve">The </w:t>
      </w:r>
      <w:r w:rsidR="000C106B" w:rsidRPr="0071186E">
        <w:rPr>
          <w:lang w:val="en-CA" w:bidi="en-CA"/>
        </w:rPr>
        <w:t>Organizations</w:t>
      </w:r>
      <w:r w:rsidR="000C106B">
        <w:rPr>
          <w:lang w:val="en-CA" w:bidi="en-CA"/>
        </w:rPr>
        <w:t>’</w:t>
      </w:r>
      <w:r w:rsidR="000C106B" w:rsidRPr="0071186E">
        <w:rPr>
          <w:lang w:val="en-CA" w:bidi="en-CA"/>
        </w:rPr>
        <w:t xml:space="preserve"> </w:t>
      </w:r>
      <w:r w:rsidRPr="0071186E">
        <w:rPr>
          <w:lang w:val="en-CA" w:bidi="en-CA"/>
        </w:rPr>
        <w:t>cooperation, in particular to identify the participants in the offen</w:t>
      </w:r>
      <w:r w:rsidR="0043075F" w:rsidRPr="0071186E">
        <w:rPr>
          <w:lang w:val="en-CA" w:bidi="en-CA"/>
        </w:rPr>
        <w:t>c</w:t>
      </w:r>
      <w:r w:rsidRPr="0071186E">
        <w:rPr>
          <w:lang w:val="en-CA" w:bidi="en-CA"/>
        </w:rPr>
        <w:t>es despite the incriminating nature of the evidence disclosed, is a significant consideration in the Court's analysis.</w:t>
      </w:r>
    </w:p>
    <w:p w14:paraId="5544B440" w14:textId="2557772D" w:rsidR="00FB3DE2" w:rsidRPr="0071186E" w:rsidRDefault="00FB3DE2" w:rsidP="00FB3DE2">
      <w:pPr>
        <w:pStyle w:val="SimpleL1"/>
        <w:rPr>
          <w:lang w:val="en-CA" w:bidi="en-CA"/>
        </w:rPr>
      </w:pPr>
      <w:r w:rsidRPr="0071186E">
        <w:rPr>
          <w:lang w:val="en-CA" w:bidi="en-CA"/>
        </w:rPr>
        <w:t xml:space="preserve">The measures taken by the Organizations to remedy the situation are also </w:t>
      </w:r>
      <w:r w:rsidR="006F7315">
        <w:rPr>
          <w:lang w:val="en-CA" w:bidi="en-CA"/>
        </w:rPr>
        <w:t>of significance</w:t>
      </w:r>
      <w:r w:rsidR="00831ED2" w:rsidRPr="0071186E">
        <w:rPr>
          <w:lang w:val="en-CA" w:bidi="en-CA"/>
        </w:rPr>
        <w:t xml:space="preserve"> </w:t>
      </w:r>
      <w:r w:rsidR="00831ED2">
        <w:rPr>
          <w:lang w:val="en-CA" w:bidi="en-CA"/>
        </w:rPr>
        <w:t>in</w:t>
      </w:r>
      <w:r w:rsidRPr="0071186E">
        <w:rPr>
          <w:lang w:val="en-CA" w:bidi="en-CA"/>
        </w:rPr>
        <w:t xml:space="preserve"> the Court’s analysis. In this case</w:t>
      </w:r>
      <w:r w:rsidR="00B849AF" w:rsidRPr="0071186E">
        <w:rPr>
          <w:lang w:val="en-CA" w:bidi="en-CA"/>
        </w:rPr>
        <w:t>, the Organizations argue that</w:t>
      </w:r>
      <w:r w:rsidR="006F7315">
        <w:rPr>
          <w:lang w:val="en-CA" w:bidi="en-CA"/>
        </w:rPr>
        <w:t xml:space="preserve"> [</w:t>
      </w:r>
      <w:r w:rsidR="006F7315" w:rsidRPr="006B7F16">
        <w:rPr>
          <w:smallCaps/>
          <w:lang w:val="en-CA" w:bidi="en-CA"/>
        </w:rPr>
        <w:t>translation</w:t>
      </w:r>
      <w:r w:rsidR="006F7315">
        <w:rPr>
          <w:lang w:val="en-CA" w:bidi="en-CA"/>
        </w:rPr>
        <w:t>]</w:t>
      </w:r>
      <w:r w:rsidR="00B849AF" w:rsidRPr="0071186E">
        <w:rPr>
          <w:lang w:val="en-CA" w:bidi="en-CA"/>
        </w:rPr>
        <w:t xml:space="preserve"> “</w:t>
      </w:r>
      <w:r w:rsidRPr="0071186E">
        <w:rPr>
          <w:lang w:val="en-CA" w:bidi="en-CA"/>
        </w:rPr>
        <w:t xml:space="preserve">Since 2012, the Organizations’ ultimate parent </w:t>
      </w:r>
      <w:r w:rsidR="006F7315">
        <w:rPr>
          <w:lang w:val="en-CA" w:bidi="en-CA"/>
        </w:rPr>
        <w:t>company</w:t>
      </w:r>
      <w:r w:rsidRPr="0071186E">
        <w:rPr>
          <w:lang w:val="en-CA" w:bidi="en-CA"/>
        </w:rPr>
        <w:t xml:space="preserve">, </w:t>
      </w:r>
      <w:r w:rsidR="0043075F" w:rsidRPr="0071186E">
        <w:rPr>
          <w:lang w:val="en-CA" w:bidi="en-CA"/>
        </w:rPr>
        <w:t>SNCLG</w:t>
      </w:r>
      <w:r w:rsidR="00F908E9" w:rsidRPr="0071186E">
        <w:rPr>
          <w:lang w:val="en-CA" w:bidi="en-CA"/>
        </w:rPr>
        <w:t>,</w:t>
      </w:r>
      <w:r w:rsidR="0043075F" w:rsidRPr="0071186E">
        <w:rPr>
          <w:lang w:val="en-CA" w:bidi="en-CA"/>
        </w:rPr>
        <w:t xml:space="preserve"> </w:t>
      </w:r>
      <w:r w:rsidRPr="0071186E">
        <w:rPr>
          <w:lang w:val="en-CA" w:bidi="en-CA"/>
        </w:rPr>
        <w:t xml:space="preserve">fundamentally transformed its leadership, </w:t>
      </w:r>
      <w:r w:rsidR="00213F95">
        <w:rPr>
          <w:lang w:val="en-CA" w:bidi="en-CA"/>
        </w:rPr>
        <w:t>corporate</w:t>
      </w:r>
      <w:r w:rsidR="00213F95" w:rsidRPr="0071186E">
        <w:rPr>
          <w:lang w:val="en-CA" w:bidi="en-CA"/>
        </w:rPr>
        <w:t xml:space="preserve"> </w:t>
      </w:r>
      <w:r w:rsidRPr="0071186E">
        <w:rPr>
          <w:lang w:val="en-CA" w:bidi="en-CA"/>
        </w:rPr>
        <w:t>culture and integrity program (including the various compliance measures thereof) so as to detect and reduce the risk of any wrongdoing on the part of any SNCLG affiliateˮ</w:t>
      </w:r>
      <w:r w:rsidR="00213F95">
        <w:rPr>
          <w:lang w:val="en-CA" w:bidi="en-CA"/>
        </w:rPr>
        <w:t>.</w:t>
      </w:r>
      <w:r w:rsidRPr="0071186E">
        <w:rPr>
          <w:vertAlign w:val="superscript"/>
          <w:lang w:val="en-CA" w:bidi="en-CA"/>
        </w:rPr>
        <w:footnoteReference w:id="77"/>
      </w:r>
      <w:r w:rsidR="00883D15">
        <w:rPr>
          <w:lang w:val="en-CA" w:bidi="en-CA"/>
        </w:rPr>
        <w:t xml:space="preserve"> </w:t>
      </w:r>
      <w:r w:rsidRPr="0071186E">
        <w:rPr>
          <w:lang w:val="en-CA" w:bidi="en-CA"/>
        </w:rPr>
        <w:t>The Organizations’ Integrity Program is also monitored by various law enforcement agencies as a result of criminal, penal and administrative investigation</w:t>
      </w:r>
      <w:r w:rsidR="00213F95">
        <w:rPr>
          <w:lang w:val="en-CA" w:bidi="en-CA"/>
        </w:rPr>
        <w:t>s</w:t>
      </w:r>
      <w:r w:rsidRPr="0071186E">
        <w:rPr>
          <w:lang w:val="en-CA" w:bidi="en-CA"/>
        </w:rPr>
        <w:t>.</w:t>
      </w:r>
      <w:r w:rsidRPr="0071186E">
        <w:rPr>
          <w:vertAlign w:val="superscript"/>
          <w:lang w:val="en-CA" w:bidi="en-CA"/>
        </w:rPr>
        <w:footnoteReference w:id="78"/>
      </w:r>
    </w:p>
    <w:p w14:paraId="47C3EA85" w14:textId="282A03A9" w:rsidR="00FB3DE2" w:rsidRPr="0071186E" w:rsidRDefault="00FB3DE2" w:rsidP="00FB3DE2">
      <w:pPr>
        <w:pStyle w:val="SimpleL1"/>
        <w:rPr>
          <w:lang w:val="en-CA" w:bidi="en-CA"/>
        </w:rPr>
      </w:pPr>
      <w:r w:rsidRPr="0071186E">
        <w:rPr>
          <w:lang w:val="en-CA" w:bidi="en-CA"/>
        </w:rPr>
        <w:t xml:space="preserve">It is clear that since 2012, the Organizations have put in place measures to ensure that the disputed acts do not </w:t>
      </w:r>
      <w:r w:rsidR="009B7B6D" w:rsidRPr="0071186E">
        <w:rPr>
          <w:lang w:val="en-CA" w:bidi="en-CA"/>
        </w:rPr>
        <w:t>occur again</w:t>
      </w:r>
      <w:r w:rsidRPr="0071186E">
        <w:rPr>
          <w:lang w:val="en-CA" w:bidi="en-CA"/>
        </w:rPr>
        <w:t xml:space="preserve">. In 2012, </w:t>
      </w:r>
      <w:r w:rsidR="007476F9">
        <w:rPr>
          <w:lang w:val="en-CA" w:bidi="en-CA"/>
        </w:rPr>
        <w:t>[</w:t>
      </w:r>
      <w:r w:rsidR="007476F9" w:rsidRPr="006B7F16">
        <w:rPr>
          <w:smallCaps/>
          <w:lang w:val="en-CA" w:bidi="en-CA"/>
        </w:rPr>
        <w:t>translation</w:t>
      </w:r>
      <w:r w:rsidR="007476F9">
        <w:rPr>
          <w:lang w:val="en-CA" w:bidi="en-CA"/>
        </w:rPr>
        <w:t xml:space="preserve">] </w:t>
      </w:r>
      <w:r w:rsidRPr="0071186E">
        <w:rPr>
          <w:lang w:val="en-CA" w:bidi="en-CA"/>
        </w:rPr>
        <w:t>" a redesigned Code of Ethics and Business Conduct</w:t>
      </w:r>
      <w:r w:rsidR="004B2183">
        <w:rPr>
          <w:lang w:val="en-CA" w:bidi="en-CA"/>
        </w:rPr>
        <w:t xml:space="preserve"> was introduced</w:t>
      </w:r>
      <w:r w:rsidRPr="0071186E">
        <w:rPr>
          <w:lang w:val="en-CA" w:bidi="en-CA"/>
        </w:rPr>
        <w:t xml:space="preserve">, </w:t>
      </w:r>
      <w:r w:rsidR="004B2183">
        <w:rPr>
          <w:lang w:val="en-CA" w:bidi="en-CA"/>
        </w:rPr>
        <w:t>with</w:t>
      </w:r>
      <w:r w:rsidR="00C67716">
        <w:rPr>
          <w:lang w:val="en-CA" w:bidi="en-CA"/>
        </w:rPr>
        <w:t xml:space="preserve"> </w:t>
      </w:r>
      <w:r w:rsidRPr="0071186E">
        <w:rPr>
          <w:lang w:val="en-CA" w:bidi="en-CA"/>
        </w:rPr>
        <w:t>annual training and certification, a supplier-run tip line, a review of the corporate policy with respect to representatives and sponsors</w:t>
      </w:r>
      <w:r w:rsidR="007476F9">
        <w:rPr>
          <w:lang w:val="en-CA" w:bidi="en-CA"/>
        </w:rPr>
        <w:t>. It</w:t>
      </w:r>
      <w:r w:rsidRPr="0071186E">
        <w:rPr>
          <w:lang w:val="en-CA" w:bidi="en-CA"/>
        </w:rPr>
        <w:t xml:space="preserve"> introduc</w:t>
      </w:r>
      <w:r w:rsidR="007476F9">
        <w:rPr>
          <w:lang w:val="en-CA" w:bidi="en-CA"/>
        </w:rPr>
        <w:t>ed</w:t>
      </w:r>
      <w:r w:rsidRPr="0071186E">
        <w:rPr>
          <w:lang w:val="en-CA" w:bidi="en-CA"/>
        </w:rPr>
        <w:t xml:space="preserve"> a complete set of new measures</w:t>
      </w:r>
      <w:r w:rsidR="007476F9">
        <w:rPr>
          <w:lang w:val="en-CA" w:bidi="en-CA"/>
        </w:rPr>
        <w:t>. T</w:t>
      </w:r>
      <w:r w:rsidRPr="0071186E">
        <w:rPr>
          <w:lang w:val="en-CA" w:bidi="en-CA"/>
        </w:rPr>
        <w:t xml:space="preserve">he Ethics and Compliance Committee responsible for overseeing the </w:t>
      </w:r>
      <w:r w:rsidR="009B7B6D" w:rsidRPr="0071186E">
        <w:rPr>
          <w:lang w:val="en-CA" w:bidi="en-CA"/>
        </w:rPr>
        <w:t xml:space="preserve">treatment of </w:t>
      </w:r>
      <w:r w:rsidRPr="0071186E">
        <w:rPr>
          <w:lang w:val="en-CA" w:bidi="en-CA"/>
        </w:rPr>
        <w:t>allegations of misconduct</w:t>
      </w:r>
      <w:r w:rsidR="004B2183">
        <w:rPr>
          <w:lang w:val="en-CA" w:bidi="en-CA"/>
        </w:rPr>
        <w:t xml:space="preserve"> was </w:t>
      </w:r>
      <w:r w:rsidR="007476F9">
        <w:rPr>
          <w:lang w:val="en-CA" w:bidi="en-CA"/>
        </w:rPr>
        <w:t xml:space="preserve">also </w:t>
      </w:r>
      <w:r w:rsidR="004B2183">
        <w:rPr>
          <w:lang w:val="en-CA" w:bidi="en-CA"/>
        </w:rPr>
        <w:t>created</w:t>
      </w:r>
      <w:r w:rsidRPr="0071186E">
        <w:rPr>
          <w:lang w:val="en-CA" w:bidi="en-CA"/>
        </w:rPr>
        <w:t>”</w:t>
      </w:r>
      <w:r w:rsidR="007476F9">
        <w:rPr>
          <w:lang w:val="en-CA" w:bidi="en-CA"/>
        </w:rPr>
        <w:t>.</w:t>
      </w:r>
      <w:r w:rsidRPr="0071186E">
        <w:rPr>
          <w:vertAlign w:val="superscript"/>
          <w:lang w:val="en-CA" w:bidi="en-CA"/>
        </w:rPr>
        <w:footnoteReference w:id="79"/>
      </w:r>
      <w:r w:rsidR="00883D15">
        <w:rPr>
          <w:lang w:val="en-CA" w:bidi="en-CA"/>
        </w:rPr>
        <w:t xml:space="preserve"> </w:t>
      </w:r>
      <w:r w:rsidRPr="0071186E">
        <w:rPr>
          <w:lang w:val="en-CA" w:bidi="en-CA"/>
        </w:rPr>
        <w:t xml:space="preserve">This program has evolved, particularly </w:t>
      </w:r>
      <w:r w:rsidR="007476F9">
        <w:rPr>
          <w:lang w:val="en-CA" w:bidi="en-CA"/>
        </w:rPr>
        <w:t>in light of</w:t>
      </w:r>
      <w:r w:rsidRPr="0071186E">
        <w:rPr>
          <w:lang w:val="en-CA" w:bidi="en-CA"/>
        </w:rPr>
        <w:t xml:space="preserve"> the recommendations made by the various co</w:t>
      </w:r>
      <w:r w:rsidR="007476F9">
        <w:rPr>
          <w:lang w:val="en-CA" w:bidi="en-CA"/>
        </w:rPr>
        <w:t>mp</w:t>
      </w:r>
      <w:r w:rsidRPr="0071186E">
        <w:rPr>
          <w:lang w:val="en-CA" w:bidi="en-CA"/>
        </w:rPr>
        <w:t>trollers of SNCL</w:t>
      </w:r>
      <w:r w:rsidR="007476F9">
        <w:rPr>
          <w:lang w:val="en-CA" w:bidi="en-CA"/>
        </w:rPr>
        <w:t>.</w:t>
      </w:r>
      <w:r w:rsidRPr="0071186E">
        <w:rPr>
          <w:vertAlign w:val="superscript"/>
          <w:lang w:val="en-CA" w:bidi="en-CA"/>
        </w:rPr>
        <w:footnoteReference w:id="80"/>
      </w:r>
      <w:r w:rsidRPr="0071186E">
        <w:rPr>
          <w:lang w:val="en-CA" w:bidi="en-CA"/>
        </w:rPr>
        <w:t xml:space="preserve"> </w:t>
      </w:r>
      <w:r w:rsidR="007476F9">
        <w:rPr>
          <w:lang w:val="en-CA" w:bidi="en-CA"/>
        </w:rPr>
        <w:t>I</w:t>
      </w:r>
      <w:r w:rsidR="007476F9" w:rsidRPr="0071186E">
        <w:rPr>
          <w:lang w:val="en-CA" w:bidi="en-CA"/>
        </w:rPr>
        <w:t>n this regard</w:t>
      </w:r>
      <w:r w:rsidR="007476F9">
        <w:rPr>
          <w:lang w:val="en-CA" w:bidi="en-CA"/>
        </w:rPr>
        <w:t>,</w:t>
      </w:r>
      <w:r w:rsidR="007476F9" w:rsidRPr="0071186E">
        <w:rPr>
          <w:lang w:val="en-CA" w:bidi="en-CA"/>
        </w:rPr>
        <w:t xml:space="preserve"> </w:t>
      </w:r>
      <w:r w:rsidR="007476F9">
        <w:rPr>
          <w:lang w:val="en-CA" w:bidi="en-CA"/>
        </w:rPr>
        <w:t>i</w:t>
      </w:r>
      <w:r w:rsidRPr="0071186E">
        <w:rPr>
          <w:lang w:val="en-CA" w:bidi="en-CA"/>
        </w:rPr>
        <w:t xml:space="preserve">t should be noted, as the Organizations did in their </w:t>
      </w:r>
      <w:r w:rsidR="009B7B6D" w:rsidRPr="0071186E">
        <w:rPr>
          <w:lang w:val="en-CA" w:bidi="en-CA"/>
        </w:rPr>
        <w:t>representations</w:t>
      </w:r>
      <w:r w:rsidRPr="0071186E">
        <w:rPr>
          <w:lang w:val="en-CA" w:bidi="en-CA"/>
        </w:rPr>
        <w:t xml:space="preserve">, that SNCL has been </w:t>
      </w:r>
      <w:r w:rsidR="009B7B6D" w:rsidRPr="0071186E">
        <w:rPr>
          <w:lang w:val="en-CA" w:bidi="en-CA"/>
        </w:rPr>
        <w:t xml:space="preserve">subject to </w:t>
      </w:r>
      <w:r w:rsidRPr="0071186E">
        <w:rPr>
          <w:lang w:val="en-CA" w:bidi="en-CA"/>
        </w:rPr>
        <w:t>an independent monitor for ten years, an exceptional situation.</w:t>
      </w:r>
    </w:p>
    <w:p w14:paraId="4208C00A" w14:textId="56561856" w:rsidR="00FB3DE2" w:rsidRPr="0071186E" w:rsidRDefault="00FB3DE2" w:rsidP="00FB3DE2">
      <w:pPr>
        <w:pStyle w:val="SimpleL1"/>
        <w:rPr>
          <w:lang w:val="en-CA" w:bidi="en-CA"/>
        </w:rPr>
      </w:pPr>
      <w:r w:rsidRPr="0071186E">
        <w:rPr>
          <w:lang w:val="en-CA" w:bidi="en-CA"/>
        </w:rPr>
        <w:t xml:space="preserve">The </w:t>
      </w:r>
      <w:r w:rsidR="007476F9" w:rsidRPr="0071186E">
        <w:rPr>
          <w:lang w:val="en-CA" w:bidi="en-CA"/>
        </w:rPr>
        <w:t>Independent</w:t>
      </w:r>
      <w:r w:rsidRPr="0071186E">
        <w:rPr>
          <w:lang w:val="en-CA" w:bidi="en-CA"/>
        </w:rPr>
        <w:t xml:space="preserve"> Monitor, appointed following the </w:t>
      </w:r>
      <w:r w:rsidR="0060796D">
        <w:rPr>
          <w:lang w:val="en-CA" w:bidi="en-CA"/>
        </w:rPr>
        <w:t>judgment by</w:t>
      </w:r>
      <w:r w:rsidR="007476F9" w:rsidRPr="0071186E">
        <w:rPr>
          <w:lang w:val="en-CA" w:bidi="en-CA"/>
        </w:rPr>
        <w:t xml:space="preserve"> </w:t>
      </w:r>
      <w:r w:rsidR="007476F9">
        <w:rPr>
          <w:lang w:val="en-CA" w:bidi="en-CA"/>
        </w:rPr>
        <w:t xml:space="preserve">the Honourable </w:t>
      </w:r>
      <w:r w:rsidR="007476F9" w:rsidRPr="0071186E">
        <w:rPr>
          <w:lang w:val="en-CA" w:bidi="en-CA"/>
        </w:rPr>
        <w:t xml:space="preserve">Claude Leblond of the Court of Quebec </w:t>
      </w:r>
      <w:r w:rsidRPr="0071186E">
        <w:rPr>
          <w:lang w:val="en-CA" w:bidi="en-CA"/>
        </w:rPr>
        <w:t>o</w:t>
      </w:r>
      <w:r w:rsidR="007476F9">
        <w:rPr>
          <w:lang w:val="en-CA" w:bidi="en-CA"/>
        </w:rPr>
        <w:t>n</w:t>
      </w:r>
      <w:r w:rsidRPr="0071186E">
        <w:rPr>
          <w:lang w:val="en-CA" w:bidi="en-CA"/>
        </w:rPr>
        <w:t xml:space="preserve"> December</w:t>
      </w:r>
      <w:r w:rsidR="009B7B6D" w:rsidRPr="0071186E">
        <w:rPr>
          <w:lang w:val="en-CA" w:bidi="en-CA"/>
        </w:rPr>
        <w:t> </w:t>
      </w:r>
      <w:r w:rsidRPr="0071186E">
        <w:rPr>
          <w:lang w:val="en-CA" w:bidi="en-CA"/>
        </w:rPr>
        <w:t>18, 2019</w:t>
      </w:r>
      <w:r w:rsidR="007476F9">
        <w:rPr>
          <w:lang w:val="en-CA" w:bidi="en-CA"/>
        </w:rPr>
        <w:t>,</w:t>
      </w:r>
      <w:r w:rsidRPr="0071186E">
        <w:rPr>
          <w:lang w:val="en-CA" w:bidi="en-CA"/>
        </w:rPr>
        <w:t xml:space="preserve"> in the fraud case </w:t>
      </w:r>
      <w:r w:rsidR="009B7B6D" w:rsidRPr="0071186E">
        <w:rPr>
          <w:lang w:val="en-CA" w:bidi="en-CA"/>
        </w:rPr>
        <w:t xml:space="preserve">involving </w:t>
      </w:r>
      <w:r w:rsidRPr="0071186E">
        <w:rPr>
          <w:lang w:val="en-CA" w:bidi="en-CA"/>
        </w:rPr>
        <w:t>the Libyan authorities</w:t>
      </w:r>
      <w:r w:rsidR="0060796D">
        <w:rPr>
          <w:lang w:val="en-CA" w:bidi="en-CA"/>
        </w:rPr>
        <w:t>,</w:t>
      </w:r>
      <w:r w:rsidRPr="0071186E">
        <w:rPr>
          <w:vertAlign w:val="superscript"/>
          <w:lang w:val="en-CA" w:bidi="en-CA"/>
        </w:rPr>
        <w:footnoteReference w:id="81"/>
      </w:r>
      <w:r w:rsidRPr="0071186E">
        <w:rPr>
          <w:lang w:val="en-CA" w:bidi="en-CA"/>
        </w:rPr>
        <w:t xml:space="preserve"> note</w:t>
      </w:r>
      <w:r w:rsidR="0060796D">
        <w:rPr>
          <w:lang w:val="en-CA" w:bidi="en-CA"/>
        </w:rPr>
        <w:t>d</w:t>
      </w:r>
      <w:r w:rsidRPr="0071186E">
        <w:rPr>
          <w:lang w:val="en-CA" w:bidi="en-CA"/>
        </w:rPr>
        <w:t xml:space="preserve"> in its initial report </w:t>
      </w:r>
      <w:r w:rsidR="009B7B6D" w:rsidRPr="0071186E">
        <w:rPr>
          <w:lang w:val="en-CA" w:bidi="en-CA"/>
        </w:rPr>
        <w:t xml:space="preserve">dated </w:t>
      </w:r>
      <w:r w:rsidRPr="0071186E">
        <w:rPr>
          <w:lang w:val="en-CA" w:bidi="en-CA"/>
        </w:rPr>
        <w:t>April</w:t>
      </w:r>
      <w:r w:rsidR="009B7B6D" w:rsidRPr="0071186E">
        <w:rPr>
          <w:lang w:val="en-CA" w:bidi="en-CA"/>
        </w:rPr>
        <w:t> </w:t>
      </w:r>
      <w:r w:rsidRPr="0071186E">
        <w:rPr>
          <w:lang w:val="en-CA" w:bidi="en-CA"/>
        </w:rPr>
        <w:t>1, 2020</w:t>
      </w:r>
      <w:r w:rsidR="0060796D">
        <w:rPr>
          <w:lang w:val="en-CA" w:bidi="en-CA"/>
        </w:rPr>
        <w:t>,</w:t>
      </w:r>
      <w:r w:rsidRPr="0071186E">
        <w:rPr>
          <w:lang w:val="en-CA" w:bidi="en-CA"/>
        </w:rPr>
        <w:t xml:space="preserve"> that since 2012, "</w:t>
      </w:r>
      <w:r w:rsidRPr="006B7F16">
        <w:rPr>
          <w:lang w:val="en-CA" w:bidi="en-CA"/>
        </w:rPr>
        <w:t>SNC-Lavalin has expended considerable effort on the remediation of its anti-corruption compliance program and has transformed its culture of ethics and compliance. As further described below, our independent assessment is that these remediation efforts have culminated in the development of one of Canada’s leading anti-corruption compliance programs</w:t>
      </w:r>
      <w:r w:rsidRPr="0071186E">
        <w:rPr>
          <w:i/>
          <w:lang w:val="en-CA" w:bidi="en-CA"/>
        </w:rPr>
        <w:t>ˮ</w:t>
      </w:r>
      <w:r w:rsidR="0060796D">
        <w:rPr>
          <w:i/>
          <w:lang w:val="en-CA" w:bidi="en-CA"/>
        </w:rPr>
        <w:t>.</w:t>
      </w:r>
      <w:r w:rsidRPr="0071186E">
        <w:rPr>
          <w:vertAlign w:val="superscript"/>
          <w:lang w:val="en-CA" w:bidi="en-CA"/>
        </w:rPr>
        <w:footnoteReference w:id="82"/>
      </w:r>
    </w:p>
    <w:p w14:paraId="64BC23A9" w14:textId="086F054B" w:rsidR="00FB3DE2" w:rsidRPr="0071186E" w:rsidRDefault="00FB3DE2" w:rsidP="00FB3DE2">
      <w:pPr>
        <w:pStyle w:val="SimpleL1"/>
        <w:rPr>
          <w:lang w:val="en-CA" w:bidi="en-CA"/>
        </w:rPr>
      </w:pPr>
      <w:r w:rsidRPr="0071186E">
        <w:rPr>
          <w:lang w:val="en-CA" w:bidi="en-CA"/>
        </w:rPr>
        <w:lastRenderedPageBreak/>
        <w:t xml:space="preserve">Without going into detail </w:t>
      </w:r>
      <w:r w:rsidR="009B7B6D" w:rsidRPr="0071186E">
        <w:rPr>
          <w:lang w:val="en-CA" w:bidi="en-CA"/>
        </w:rPr>
        <w:t xml:space="preserve">on </w:t>
      </w:r>
      <w:r w:rsidRPr="0071186E">
        <w:rPr>
          <w:lang w:val="en-CA" w:bidi="en-CA"/>
        </w:rPr>
        <w:t xml:space="preserve">all the measures included in the Integrity Program </w:t>
      </w:r>
      <w:r w:rsidR="009B7B6D" w:rsidRPr="0071186E">
        <w:rPr>
          <w:lang w:val="en-CA" w:bidi="en-CA"/>
        </w:rPr>
        <w:t xml:space="preserve">implemented </w:t>
      </w:r>
      <w:r w:rsidRPr="0071186E">
        <w:rPr>
          <w:lang w:val="en-CA" w:bidi="en-CA"/>
        </w:rPr>
        <w:t xml:space="preserve">by SNCL, some of them </w:t>
      </w:r>
      <w:r w:rsidR="0060796D">
        <w:rPr>
          <w:lang w:val="en-CA" w:bidi="en-CA"/>
        </w:rPr>
        <w:t>may be enumerated for illustrative purposes</w:t>
      </w:r>
      <w:r w:rsidRPr="0071186E">
        <w:rPr>
          <w:lang w:val="en-CA" w:bidi="en-CA"/>
        </w:rPr>
        <w:t>:</w:t>
      </w:r>
    </w:p>
    <w:p w14:paraId="20B0F70B" w14:textId="5278FAD1" w:rsidR="00FB3DE2" w:rsidRPr="0071186E" w:rsidRDefault="00FB3DE2" w:rsidP="00313DEB">
      <w:pPr>
        <w:pStyle w:val="Paragraphedeliste"/>
        <w:widowControl w:val="0"/>
        <w:numPr>
          <w:ilvl w:val="1"/>
          <w:numId w:val="27"/>
        </w:numPr>
        <w:tabs>
          <w:tab w:val="left" w:pos="720"/>
        </w:tabs>
        <w:autoSpaceDE w:val="0"/>
        <w:autoSpaceDN w:val="0"/>
        <w:ind w:left="720" w:right="201"/>
        <w:jc w:val="both"/>
        <w:rPr>
          <w:rFonts w:cs="Arial"/>
          <w:color w:val="2A2B2B"/>
          <w:szCs w:val="24"/>
          <w:lang w:val="en-CA"/>
        </w:rPr>
      </w:pPr>
      <w:r w:rsidRPr="0071186E">
        <w:rPr>
          <w:rFonts w:cs="Arial"/>
          <w:color w:val="161616"/>
          <w:szCs w:val="24"/>
          <w:lang w:val="en-CA" w:bidi="en-CA"/>
        </w:rPr>
        <w:t xml:space="preserve">Implementation of a communications strategy on the </w:t>
      </w:r>
      <w:r w:rsidRPr="0071186E">
        <w:rPr>
          <w:rFonts w:cs="Arial"/>
          <w:color w:val="2A2B2B"/>
          <w:szCs w:val="24"/>
          <w:lang w:val="en-CA" w:bidi="en-CA"/>
        </w:rPr>
        <w:t xml:space="preserve">importance of </w:t>
      </w:r>
      <w:r w:rsidRPr="0071186E">
        <w:rPr>
          <w:rFonts w:cs="Arial"/>
          <w:color w:val="161616"/>
          <w:szCs w:val="24"/>
          <w:lang w:val="en-CA" w:bidi="en-CA"/>
        </w:rPr>
        <w:t xml:space="preserve">integrity, </w:t>
      </w:r>
      <w:r w:rsidR="009B7B6D" w:rsidRPr="0071186E">
        <w:rPr>
          <w:rFonts w:cs="Arial"/>
          <w:color w:val="161616"/>
          <w:szCs w:val="24"/>
          <w:lang w:val="en-CA" w:bidi="en-CA"/>
        </w:rPr>
        <w:t xml:space="preserve">strengthening of </w:t>
      </w:r>
      <w:r w:rsidRPr="0071186E">
        <w:rPr>
          <w:rFonts w:cs="Arial"/>
          <w:color w:val="161616"/>
          <w:szCs w:val="24"/>
          <w:lang w:val="en-CA" w:bidi="en-CA"/>
        </w:rPr>
        <w:t>communications at the management level, increas</w:t>
      </w:r>
      <w:r w:rsidR="003A50AB">
        <w:rPr>
          <w:rFonts w:cs="Arial"/>
          <w:color w:val="161616"/>
          <w:szCs w:val="24"/>
          <w:lang w:val="en-CA" w:bidi="en-CA"/>
        </w:rPr>
        <w:t>e</w:t>
      </w:r>
      <w:r w:rsidRPr="0071186E">
        <w:rPr>
          <w:rFonts w:cs="Arial"/>
          <w:color w:val="161616"/>
          <w:szCs w:val="24"/>
          <w:lang w:val="en-CA" w:bidi="en-CA"/>
        </w:rPr>
        <w:t xml:space="preserve"> discussions on ethics and integrity</w:t>
      </w:r>
      <w:r w:rsidR="00A63867">
        <w:rPr>
          <w:rFonts w:cs="Arial"/>
          <w:color w:val="161616"/>
          <w:szCs w:val="24"/>
          <w:lang w:val="en-CA" w:bidi="en-CA"/>
        </w:rPr>
        <w:t>;</w:t>
      </w:r>
      <w:r w:rsidRPr="0071186E">
        <w:rPr>
          <w:rStyle w:val="Appelnotedebasdep"/>
          <w:rFonts w:cs="Arial"/>
          <w:color w:val="161616"/>
          <w:szCs w:val="24"/>
          <w:lang w:val="en-CA" w:bidi="en-CA"/>
        </w:rPr>
        <w:footnoteReference w:id="83"/>
      </w:r>
    </w:p>
    <w:p w14:paraId="40022302" w14:textId="063B0317" w:rsidR="00FB3DE2" w:rsidRPr="0071186E" w:rsidRDefault="00FB3DE2" w:rsidP="00313DEB">
      <w:pPr>
        <w:pStyle w:val="Paragraphedeliste"/>
        <w:widowControl w:val="0"/>
        <w:numPr>
          <w:ilvl w:val="1"/>
          <w:numId w:val="27"/>
        </w:numPr>
        <w:tabs>
          <w:tab w:val="left" w:pos="720"/>
        </w:tabs>
        <w:autoSpaceDE w:val="0"/>
        <w:autoSpaceDN w:val="0"/>
        <w:spacing w:before="31"/>
        <w:ind w:left="720" w:right="191"/>
        <w:jc w:val="both"/>
        <w:rPr>
          <w:rFonts w:cs="Arial"/>
          <w:color w:val="2A2B2B"/>
          <w:szCs w:val="24"/>
          <w:lang w:val="en-CA"/>
        </w:rPr>
      </w:pPr>
      <w:r w:rsidRPr="0071186E">
        <w:rPr>
          <w:rFonts w:cs="Arial"/>
          <w:color w:val="161616"/>
          <w:szCs w:val="24"/>
          <w:lang w:val="en-CA" w:bidi="en-CA"/>
        </w:rPr>
        <w:t>Establishment of an Integrity Service with, in particular, quarterly presentations on updates to the Integrity Program, feedback on</w:t>
      </w:r>
      <w:r w:rsidR="003A50AB">
        <w:rPr>
          <w:rFonts w:cs="Arial"/>
          <w:color w:val="161616"/>
          <w:szCs w:val="24"/>
          <w:lang w:val="en-CA" w:bidi="en-CA"/>
        </w:rPr>
        <w:t xml:space="preserve"> any</w:t>
      </w:r>
      <w:r w:rsidRPr="0071186E">
        <w:rPr>
          <w:rFonts w:cs="Arial"/>
          <w:color w:val="161616"/>
          <w:szCs w:val="24"/>
          <w:lang w:val="en-CA" w:bidi="en-CA"/>
        </w:rPr>
        <w:t xml:space="preserve"> alleged compliance violations received, </w:t>
      </w:r>
      <w:r w:rsidR="003A50AB">
        <w:rPr>
          <w:rFonts w:cs="Arial"/>
          <w:color w:val="161616"/>
          <w:szCs w:val="24"/>
          <w:lang w:val="en-CA" w:bidi="en-CA"/>
        </w:rPr>
        <w:t>presentation</w:t>
      </w:r>
      <w:r w:rsidRPr="0071186E">
        <w:rPr>
          <w:rFonts w:cs="Arial"/>
          <w:color w:val="161616"/>
          <w:szCs w:val="24"/>
          <w:lang w:val="en-CA" w:bidi="en-CA"/>
        </w:rPr>
        <w:t xml:space="preserve"> of requests for waivers of SNCL policies, procedures and controls that have been approved, payments to representatives and sponsors, etc.</w:t>
      </w:r>
    </w:p>
    <w:p w14:paraId="2D05DE8B" w14:textId="20F230B2" w:rsidR="00FB3DE2" w:rsidRPr="0071186E" w:rsidRDefault="00FB3DE2" w:rsidP="00313DEB">
      <w:pPr>
        <w:pStyle w:val="Paragraphedeliste"/>
        <w:widowControl w:val="0"/>
        <w:numPr>
          <w:ilvl w:val="1"/>
          <w:numId w:val="27"/>
        </w:numPr>
        <w:tabs>
          <w:tab w:val="left" w:pos="720"/>
        </w:tabs>
        <w:autoSpaceDE w:val="0"/>
        <w:autoSpaceDN w:val="0"/>
        <w:spacing w:before="15"/>
        <w:ind w:left="720" w:right="194"/>
        <w:jc w:val="both"/>
        <w:rPr>
          <w:rFonts w:cs="Arial"/>
          <w:color w:val="2A2B2B"/>
          <w:szCs w:val="24"/>
          <w:lang w:val="en-CA"/>
        </w:rPr>
      </w:pPr>
      <w:r w:rsidRPr="0071186E">
        <w:rPr>
          <w:rFonts w:cs="Arial"/>
          <w:color w:val="161616"/>
          <w:szCs w:val="24"/>
          <w:lang w:val="en-CA" w:bidi="en-CA"/>
        </w:rPr>
        <w:t xml:space="preserve">Establishment of an Ethics and Compliance Committee </w:t>
      </w:r>
      <w:r w:rsidR="009B7B6D" w:rsidRPr="0071186E">
        <w:rPr>
          <w:rFonts w:cs="Arial"/>
          <w:color w:val="161616"/>
          <w:szCs w:val="24"/>
          <w:lang w:val="en-CA" w:bidi="en-CA"/>
        </w:rPr>
        <w:t xml:space="preserve">that </w:t>
      </w:r>
      <w:r w:rsidRPr="0071186E">
        <w:rPr>
          <w:rFonts w:cs="Arial"/>
          <w:color w:val="161616"/>
          <w:szCs w:val="24"/>
          <w:lang w:val="en-CA" w:bidi="en-CA"/>
        </w:rPr>
        <w:t xml:space="preserve">meets on a monthly basis and is responsible for disciplinary decisions related to misconduct or non-compliance with the rules, and for the approval of </w:t>
      </w:r>
      <w:r w:rsidRPr="0071186E">
        <w:rPr>
          <w:rFonts w:cs="Arial"/>
          <w:color w:val="2A2B2B"/>
          <w:szCs w:val="24"/>
          <w:lang w:val="en-CA" w:bidi="en-CA"/>
        </w:rPr>
        <w:t xml:space="preserve">recommendations </w:t>
      </w:r>
      <w:r w:rsidRPr="0071186E">
        <w:rPr>
          <w:rFonts w:cs="Arial"/>
          <w:color w:val="161616"/>
          <w:szCs w:val="24"/>
          <w:lang w:val="en-CA" w:bidi="en-CA"/>
        </w:rPr>
        <w:t>issued as a result of investigations, risk assessments and ongoing controls and testing</w:t>
      </w:r>
      <w:r w:rsidR="00A63867">
        <w:rPr>
          <w:rFonts w:cs="Arial"/>
          <w:color w:val="161616"/>
          <w:szCs w:val="24"/>
          <w:lang w:val="en-CA" w:bidi="en-CA"/>
        </w:rPr>
        <w:t>.</w:t>
      </w:r>
      <w:r w:rsidRPr="0071186E">
        <w:rPr>
          <w:rStyle w:val="Appelnotedebasdep"/>
          <w:rFonts w:cs="Arial"/>
          <w:color w:val="161616"/>
          <w:szCs w:val="24"/>
          <w:lang w:val="en-CA" w:bidi="en-CA"/>
        </w:rPr>
        <w:footnoteReference w:id="84"/>
      </w:r>
    </w:p>
    <w:p w14:paraId="553733AA" w14:textId="0642DE01" w:rsidR="00FB3DE2" w:rsidRPr="0071186E" w:rsidRDefault="00FB3DE2" w:rsidP="00313DEB">
      <w:pPr>
        <w:pStyle w:val="Paragraphedeliste"/>
        <w:widowControl w:val="0"/>
        <w:numPr>
          <w:ilvl w:val="1"/>
          <w:numId w:val="27"/>
        </w:numPr>
        <w:tabs>
          <w:tab w:val="left" w:pos="720"/>
        </w:tabs>
        <w:autoSpaceDE w:val="0"/>
        <w:autoSpaceDN w:val="0"/>
        <w:spacing w:before="21"/>
        <w:ind w:left="720" w:right="201"/>
        <w:jc w:val="both"/>
        <w:rPr>
          <w:rFonts w:cs="Arial"/>
          <w:color w:val="2A2B2B"/>
          <w:szCs w:val="24"/>
          <w:lang w:val="en-CA"/>
        </w:rPr>
      </w:pPr>
      <w:r w:rsidRPr="0071186E">
        <w:rPr>
          <w:rFonts w:cs="Arial"/>
          <w:color w:val="161616"/>
          <w:szCs w:val="24"/>
          <w:lang w:val="en-CA" w:bidi="en-CA"/>
        </w:rPr>
        <w:t>Implementation of internal corruption risk assessments in global operations</w:t>
      </w:r>
      <w:r w:rsidRPr="0071186E">
        <w:rPr>
          <w:rFonts w:cs="Arial"/>
          <w:color w:val="41413F"/>
          <w:szCs w:val="24"/>
          <w:lang w:val="en-CA" w:bidi="en-CA"/>
        </w:rPr>
        <w:t xml:space="preserve">. </w:t>
      </w:r>
      <w:r w:rsidRPr="0071186E">
        <w:rPr>
          <w:rFonts w:cs="Arial"/>
          <w:color w:val="161616"/>
          <w:szCs w:val="24"/>
          <w:lang w:val="en-CA" w:bidi="en-CA"/>
        </w:rPr>
        <w:t xml:space="preserve">The risk assessment process typically involves the creation of applicable risk scenarios, the selection of territories for in-depth review, questionnaires distributed to executives close to operations, interviews with company personnel supervising executives who have completed </w:t>
      </w:r>
      <w:r w:rsidRPr="0071186E">
        <w:rPr>
          <w:rFonts w:cs="Arial"/>
          <w:color w:val="2A2B2B"/>
          <w:szCs w:val="24"/>
          <w:lang w:val="en-CA" w:bidi="en-CA"/>
        </w:rPr>
        <w:t xml:space="preserve">the </w:t>
      </w:r>
      <w:r w:rsidRPr="0071186E">
        <w:rPr>
          <w:rFonts w:cs="Arial"/>
          <w:color w:val="161616"/>
          <w:szCs w:val="24"/>
          <w:lang w:val="en-CA" w:bidi="en-CA"/>
        </w:rPr>
        <w:t>questionnaires</w:t>
      </w:r>
      <w:r w:rsidR="00A63867">
        <w:rPr>
          <w:rFonts w:cs="Arial"/>
          <w:color w:val="161616"/>
          <w:szCs w:val="24"/>
          <w:lang w:val="en-CA" w:bidi="en-CA"/>
        </w:rPr>
        <w:t>.</w:t>
      </w:r>
      <w:r w:rsidRPr="0071186E">
        <w:rPr>
          <w:rStyle w:val="Appelnotedebasdep"/>
          <w:rFonts w:cs="Arial"/>
          <w:color w:val="161616"/>
          <w:szCs w:val="24"/>
          <w:lang w:val="en-CA" w:bidi="en-CA"/>
        </w:rPr>
        <w:footnoteReference w:id="85"/>
      </w:r>
    </w:p>
    <w:p w14:paraId="41C5F14D" w14:textId="4E4B8ED3" w:rsidR="00FB3DE2" w:rsidRPr="0071186E" w:rsidRDefault="00FB3DE2" w:rsidP="00313DEB">
      <w:pPr>
        <w:pStyle w:val="Paragraphedeliste"/>
        <w:widowControl w:val="0"/>
        <w:numPr>
          <w:ilvl w:val="1"/>
          <w:numId w:val="27"/>
        </w:numPr>
        <w:tabs>
          <w:tab w:val="left" w:pos="720"/>
        </w:tabs>
        <w:autoSpaceDE w:val="0"/>
        <w:autoSpaceDN w:val="0"/>
        <w:spacing w:before="22"/>
        <w:ind w:left="720" w:right="221"/>
        <w:jc w:val="both"/>
        <w:rPr>
          <w:rFonts w:cs="Arial"/>
          <w:color w:val="161616"/>
          <w:szCs w:val="24"/>
          <w:lang w:val="en-CA"/>
        </w:rPr>
      </w:pPr>
      <w:r w:rsidRPr="0071186E">
        <w:rPr>
          <w:rFonts w:cs="Arial"/>
          <w:color w:val="161616"/>
          <w:szCs w:val="24"/>
          <w:lang w:val="en-CA" w:bidi="en-CA"/>
        </w:rPr>
        <w:t>Implementation of fraud risk assessments</w:t>
      </w:r>
      <w:r w:rsidR="003A50AB">
        <w:rPr>
          <w:rFonts w:cs="Arial"/>
          <w:color w:val="161616"/>
          <w:szCs w:val="24"/>
          <w:lang w:val="en-CA" w:bidi="en-CA"/>
        </w:rPr>
        <w:t>,</w:t>
      </w:r>
      <w:r w:rsidRPr="0071186E">
        <w:rPr>
          <w:rFonts w:cs="Arial"/>
          <w:color w:val="161616"/>
          <w:szCs w:val="24"/>
          <w:lang w:val="en-CA" w:bidi="en-CA"/>
        </w:rPr>
        <w:t xml:space="preserve"> which are detailed examinations of certain SNCL activities or </w:t>
      </w:r>
      <w:r w:rsidR="009B7B6D" w:rsidRPr="0071186E">
        <w:rPr>
          <w:rFonts w:cs="Arial"/>
          <w:color w:val="161616"/>
          <w:szCs w:val="24"/>
          <w:lang w:val="en-CA" w:bidi="en-CA"/>
        </w:rPr>
        <w:t>inspection</w:t>
      </w:r>
      <w:r w:rsidR="003A50AB">
        <w:rPr>
          <w:rFonts w:cs="Arial"/>
          <w:color w:val="161616"/>
          <w:szCs w:val="24"/>
          <w:lang w:val="en-CA" w:bidi="en-CA"/>
        </w:rPr>
        <w:t>s</w:t>
      </w:r>
      <w:r w:rsidR="009B7B6D" w:rsidRPr="0071186E">
        <w:rPr>
          <w:rFonts w:cs="Arial"/>
          <w:color w:val="161616"/>
          <w:szCs w:val="24"/>
          <w:lang w:val="en-CA" w:bidi="en-CA"/>
        </w:rPr>
        <w:t xml:space="preserve"> of its </w:t>
      </w:r>
      <w:r w:rsidRPr="0071186E">
        <w:rPr>
          <w:rFonts w:cs="Arial"/>
          <w:color w:val="161616"/>
          <w:szCs w:val="24"/>
          <w:lang w:val="en-CA" w:bidi="en-CA"/>
        </w:rPr>
        <w:t>construction sites</w:t>
      </w:r>
      <w:r w:rsidR="00A63867">
        <w:rPr>
          <w:rFonts w:cs="Arial"/>
          <w:color w:val="161616"/>
          <w:szCs w:val="24"/>
          <w:lang w:val="en-CA" w:bidi="en-CA"/>
        </w:rPr>
        <w:t>.</w:t>
      </w:r>
      <w:r w:rsidRPr="0071186E">
        <w:rPr>
          <w:rStyle w:val="Appelnotedebasdep"/>
          <w:rFonts w:cs="Arial"/>
          <w:color w:val="161616"/>
          <w:szCs w:val="24"/>
          <w:lang w:val="en-CA" w:bidi="en-CA"/>
        </w:rPr>
        <w:footnoteReference w:id="86"/>
      </w:r>
    </w:p>
    <w:p w14:paraId="61C6EA11" w14:textId="43B312EA" w:rsidR="00FB3DE2" w:rsidRPr="0071186E" w:rsidRDefault="00FB3DE2" w:rsidP="00313DEB">
      <w:pPr>
        <w:pStyle w:val="Paragraphedeliste"/>
        <w:numPr>
          <w:ilvl w:val="1"/>
          <w:numId w:val="27"/>
        </w:numPr>
        <w:tabs>
          <w:tab w:val="left" w:pos="720"/>
        </w:tabs>
        <w:autoSpaceDE w:val="0"/>
        <w:autoSpaceDN w:val="0"/>
        <w:spacing w:before="20"/>
        <w:ind w:left="720" w:right="202"/>
        <w:jc w:val="both"/>
        <w:rPr>
          <w:rFonts w:cs="Arial"/>
          <w:color w:val="2A2B2B"/>
          <w:szCs w:val="24"/>
          <w:lang w:val="en-CA"/>
        </w:rPr>
      </w:pPr>
      <w:r w:rsidRPr="0071186E">
        <w:rPr>
          <w:rFonts w:cs="Arial"/>
          <w:color w:val="161616"/>
          <w:szCs w:val="24"/>
          <w:lang w:val="en-CA" w:bidi="en-CA"/>
        </w:rPr>
        <w:t>Implementation of a compliance control framework to test and monitor the internal controls that make up the Integrity Program. Controls are sampled and tested by the review team to determine whether the Integrity Program is effectively implemented in practice</w:t>
      </w:r>
      <w:r w:rsidR="00FA3F9D">
        <w:rPr>
          <w:rFonts w:cs="Arial"/>
          <w:color w:val="161616"/>
          <w:szCs w:val="24"/>
          <w:lang w:val="en-CA" w:bidi="en-CA"/>
        </w:rPr>
        <w:t>.</w:t>
      </w:r>
      <w:r w:rsidRPr="0071186E">
        <w:rPr>
          <w:rStyle w:val="Appelnotedebasdep"/>
          <w:rFonts w:cs="Arial"/>
          <w:color w:val="161616"/>
          <w:szCs w:val="24"/>
          <w:lang w:val="en-CA" w:bidi="en-CA"/>
        </w:rPr>
        <w:footnoteReference w:id="87"/>
      </w:r>
    </w:p>
    <w:p w14:paraId="270E78E0" w14:textId="56297856" w:rsidR="00FB3DE2" w:rsidRPr="0071186E" w:rsidRDefault="00FB3DE2" w:rsidP="00313DEB">
      <w:pPr>
        <w:pStyle w:val="Corpsdetexte"/>
        <w:numPr>
          <w:ilvl w:val="1"/>
          <w:numId w:val="27"/>
        </w:numPr>
        <w:tabs>
          <w:tab w:val="left" w:pos="720"/>
        </w:tabs>
        <w:spacing w:after="0"/>
        <w:ind w:left="720" w:right="187"/>
        <w:rPr>
          <w:rFonts w:cs="Arial"/>
          <w:szCs w:val="24"/>
          <w:lang w:val="en-CA"/>
        </w:rPr>
      </w:pPr>
      <w:r w:rsidRPr="0071186E">
        <w:rPr>
          <w:rFonts w:cs="Arial"/>
          <w:color w:val="161616"/>
          <w:szCs w:val="24"/>
          <w:lang w:val="en-CA" w:bidi="en-CA"/>
        </w:rPr>
        <w:t xml:space="preserve">Implementation of compliance due diligence at the beginning of a new business relationship with all third parties, including </w:t>
      </w:r>
      <w:r w:rsidR="009B7B6D" w:rsidRPr="0071186E">
        <w:rPr>
          <w:rFonts w:cs="Arial"/>
          <w:color w:val="161616"/>
          <w:szCs w:val="24"/>
          <w:lang w:val="en-CA" w:bidi="en-CA"/>
        </w:rPr>
        <w:t xml:space="preserve">the </w:t>
      </w:r>
      <w:r w:rsidRPr="0071186E">
        <w:rPr>
          <w:rFonts w:cs="Arial"/>
          <w:color w:val="161616"/>
          <w:szCs w:val="24"/>
          <w:lang w:val="en-CA" w:bidi="en-CA"/>
        </w:rPr>
        <w:t xml:space="preserve">business partners. Third parties are subject to SNCL's 360° integrity check tool which </w:t>
      </w:r>
      <w:r w:rsidR="00FA3F9D">
        <w:rPr>
          <w:rFonts w:cs="Arial"/>
          <w:color w:val="161616"/>
          <w:szCs w:val="24"/>
          <w:lang w:val="en-CA" w:bidi="en-CA"/>
        </w:rPr>
        <w:t>searches</w:t>
      </w:r>
      <w:r w:rsidR="00FA3F9D" w:rsidRPr="0071186E">
        <w:rPr>
          <w:rFonts w:cs="Arial"/>
          <w:color w:val="161616"/>
          <w:szCs w:val="24"/>
          <w:lang w:val="en-CA" w:bidi="en-CA"/>
        </w:rPr>
        <w:t xml:space="preserve"> </w:t>
      </w:r>
      <w:r w:rsidRPr="0071186E">
        <w:rPr>
          <w:rFonts w:cs="Arial"/>
          <w:color w:val="161616"/>
          <w:szCs w:val="24"/>
          <w:lang w:val="en-CA" w:bidi="en-CA"/>
        </w:rPr>
        <w:t xml:space="preserve">for information that is potentially harmful to </w:t>
      </w:r>
      <w:r w:rsidRPr="0071186E">
        <w:rPr>
          <w:rFonts w:cs="Arial"/>
          <w:color w:val="2A2B2B"/>
          <w:szCs w:val="24"/>
          <w:lang w:val="en-CA" w:bidi="en-CA"/>
        </w:rPr>
        <w:t xml:space="preserve">the </w:t>
      </w:r>
      <w:r w:rsidRPr="0071186E">
        <w:rPr>
          <w:rFonts w:cs="Arial"/>
          <w:color w:val="161616"/>
          <w:szCs w:val="24"/>
          <w:lang w:val="en-CA" w:bidi="en-CA"/>
        </w:rPr>
        <w:t xml:space="preserve">Company (for example if the third party has a history of corruption, collusion or fraud). </w:t>
      </w:r>
      <w:r w:rsidRPr="0071186E">
        <w:rPr>
          <w:rFonts w:cs="Arial"/>
          <w:color w:val="181A18"/>
          <w:szCs w:val="24"/>
          <w:lang w:val="en-CA" w:bidi="en-CA"/>
        </w:rPr>
        <w:t xml:space="preserve">A full procedure is provided based on the compliance due diligence score obtained. Important controls are detailed in the Integrity Program when the degree is </w:t>
      </w:r>
      <w:r w:rsidR="00102CE5">
        <w:rPr>
          <w:rFonts w:cs="Arial"/>
          <w:color w:val="181A18"/>
          <w:szCs w:val="24"/>
          <w:lang w:val="en-CA" w:bidi="en-CA"/>
        </w:rPr>
        <w:t>characterized</w:t>
      </w:r>
      <w:r w:rsidR="00102CE5" w:rsidRPr="0071186E">
        <w:rPr>
          <w:rFonts w:cs="Arial"/>
          <w:color w:val="181A18"/>
          <w:szCs w:val="24"/>
          <w:lang w:val="en-CA" w:bidi="en-CA"/>
        </w:rPr>
        <w:t xml:space="preserve"> </w:t>
      </w:r>
      <w:r w:rsidRPr="0071186E">
        <w:rPr>
          <w:rFonts w:cs="Arial"/>
          <w:color w:val="181A18"/>
          <w:szCs w:val="24"/>
          <w:lang w:val="en-CA" w:bidi="en-CA"/>
        </w:rPr>
        <w:t>as in-depth</w:t>
      </w:r>
      <w:r w:rsidR="00FA3F9D">
        <w:rPr>
          <w:rFonts w:cs="Arial"/>
          <w:color w:val="181A18"/>
          <w:szCs w:val="24"/>
          <w:lang w:val="en-CA" w:bidi="en-CA"/>
        </w:rPr>
        <w:t>.</w:t>
      </w:r>
      <w:r w:rsidRPr="0071186E">
        <w:rPr>
          <w:rStyle w:val="Appelnotedebasdep"/>
          <w:rFonts w:cs="Arial"/>
          <w:color w:val="181A18"/>
          <w:szCs w:val="24"/>
          <w:lang w:val="en-CA" w:bidi="en-CA"/>
        </w:rPr>
        <w:footnoteReference w:id="88"/>
      </w:r>
    </w:p>
    <w:p w14:paraId="713FF606" w14:textId="0FFA5323" w:rsidR="00FB3DE2" w:rsidRPr="0071186E" w:rsidRDefault="00FB3DE2" w:rsidP="00313DEB">
      <w:pPr>
        <w:pStyle w:val="Corpsdetexte"/>
        <w:numPr>
          <w:ilvl w:val="1"/>
          <w:numId w:val="27"/>
        </w:numPr>
        <w:tabs>
          <w:tab w:val="left" w:pos="720"/>
        </w:tabs>
        <w:ind w:left="720" w:right="187"/>
        <w:rPr>
          <w:rFonts w:cs="Arial"/>
          <w:color w:val="181A18"/>
          <w:szCs w:val="24"/>
          <w:lang w:val="en-CA" w:bidi="en-CA"/>
        </w:rPr>
      </w:pPr>
      <w:r w:rsidRPr="0071186E">
        <w:rPr>
          <w:rFonts w:cs="Arial"/>
          <w:color w:val="181A18"/>
          <w:szCs w:val="24"/>
          <w:lang w:val="en-CA" w:bidi="en-CA"/>
        </w:rPr>
        <w:t>Implementation of a comprehensive system of internal financial controls to reduce the risk of issuing payments linked to corruption or other improper purposes</w:t>
      </w:r>
      <w:r w:rsidR="00FA3F9D">
        <w:rPr>
          <w:rFonts w:cs="Arial"/>
          <w:color w:val="181A18"/>
          <w:szCs w:val="24"/>
          <w:lang w:val="en-CA" w:bidi="en-CA"/>
        </w:rPr>
        <w:t>;</w:t>
      </w:r>
      <w:r w:rsidRPr="0071186E">
        <w:rPr>
          <w:rFonts w:cs="Arial"/>
          <w:szCs w:val="24"/>
          <w:vertAlign w:val="superscript"/>
          <w:lang w:val="en-CA"/>
        </w:rPr>
        <w:footnoteReference w:id="89"/>
      </w:r>
      <w:r w:rsidRPr="0071186E">
        <w:rPr>
          <w:rFonts w:cs="Arial"/>
          <w:color w:val="181A18"/>
          <w:szCs w:val="24"/>
          <w:lang w:val="en-CA" w:bidi="en-CA"/>
        </w:rPr>
        <w:t xml:space="preserve"> etc.</w:t>
      </w:r>
    </w:p>
    <w:p w14:paraId="3DCE3D6A" w14:textId="77777777" w:rsidR="004208A9" w:rsidRPr="0071186E" w:rsidRDefault="004208A9" w:rsidP="004208A9">
      <w:pPr>
        <w:pStyle w:val="SimpleL1"/>
        <w:rPr>
          <w:color w:val="181A18"/>
          <w:szCs w:val="24"/>
          <w:lang w:val="en-CA" w:bidi="en-CA"/>
        </w:rPr>
      </w:pPr>
      <w:r w:rsidRPr="0071186E">
        <w:rPr>
          <w:color w:val="181A18"/>
          <w:szCs w:val="24"/>
          <w:lang w:val="en-CA" w:bidi="en-CA"/>
        </w:rPr>
        <w:lastRenderedPageBreak/>
        <w:t xml:space="preserve">The Court is satisfied that the Organizations have made serious efforts to prevent </w:t>
      </w:r>
      <w:r w:rsidR="009B7B6D" w:rsidRPr="0071186E">
        <w:rPr>
          <w:color w:val="181A18"/>
          <w:szCs w:val="24"/>
          <w:lang w:val="en-CA" w:bidi="en-CA"/>
        </w:rPr>
        <w:t xml:space="preserve">the reoccurrence of </w:t>
      </w:r>
      <w:r w:rsidRPr="0071186E">
        <w:rPr>
          <w:color w:val="181A18"/>
          <w:szCs w:val="24"/>
          <w:lang w:val="en-CA" w:bidi="en-CA"/>
        </w:rPr>
        <w:t xml:space="preserve">the </w:t>
      </w:r>
      <w:r w:rsidR="009B7B6D" w:rsidRPr="0071186E">
        <w:rPr>
          <w:color w:val="181A18"/>
          <w:szCs w:val="24"/>
          <w:lang w:val="en-CA" w:bidi="en-CA"/>
        </w:rPr>
        <w:t>alleged conduct</w:t>
      </w:r>
      <w:r w:rsidRPr="0071186E">
        <w:rPr>
          <w:color w:val="181A18"/>
          <w:szCs w:val="24"/>
          <w:lang w:val="en-CA" w:bidi="en-CA"/>
        </w:rPr>
        <w:t xml:space="preserve">. The monitoring and measures put in place since the events of the early 2000s </w:t>
      </w:r>
      <w:r w:rsidR="009B7B6D" w:rsidRPr="0071186E">
        <w:rPr>
          <w:color w:val="181A18"/>
          <w:szCs w:val="24"/>
          <w:lang w:val="en-CA" w:bidi="en-CA"/>
        </w:rPr>
        <w:t xml:space="preserve">attest to </w:t>
      </w:r>
      <w:r w:rsidRPr="0071186E">
        <w:rPr>
          <w:color w:val="181A18"/>
          <w:szCs w:val="24"/>
          <w:lang w:val="en-CA" w:bidi="en-CA"/>
        </w:rPr>
        <w:t>a fundamental change in the corporate culture.</w:t>
      </w:r>
    </w:p>
    <w:p w14:paraId="2C16E174" w14:textId="274B9626" w:rsidR="004208A9" w:rsidRPr="0071186E" w:rsidRDefault="004208A9" w:rsidP="004208A9">
      <w:pPr>
        <w:pStyle w:val="SimpleL1"/>
        <w:rPr>
          <w:color w:val="181A18"/>
          <w:szCs w:val="24"/>
          <w:lang w:val="en-CA" w:bidi="en-CA"/>
        </w:rPr>
      </w:pPr>
      <w:r w:rsidRPr="0071186E">
        <w:rPr>
          <w:color w:val="181A18"/>
          <w:szCs w:val="24"/>
          <w:lang w:val="en-CA" w:bidi="en-CA"/>
        </w:rPr>
        <w:t xml:space="preserve">Another important consideration in the Court's analysis is to look at the actions taken by the Organizations with respect to those who participated in the offence. It should be recalled that the offences charged stem from the </w:t>
      </w:r>
      <w:r w:rsidRPr="00E708F1">
        <w:rPr>
          <w:color w:val="181A18"/>
          <w:szCs w:val="24"/>
          <w:lang w:val="en-CA" w:bidi="en-CA"/>
        </w:rPr>
        <w:t xml:space="preserve">actions </w:t>
      </w:r>
      <w:r w:rsidR="007A70E6" w:rsidRPr="005C655E">
        <w:rPr>
          <w:color w:val="A6A6A6" w:themeColor="background1" w:themeShade="A6"/>
          <w:szCs w:val="24"/>
          <w:highlight w:val="darkGray"/>
          <w:lang w:val="en-CA" w:bidi="en-CA"/>
        </w:rPr>
        <w:t>xx</w:t>
      </w:r>
      <w:r w:rsidRPr="005C655E">
        <w:rPr>
          <w:color w:val="A6A6A6" w:themeColor="background1" w:themeShade="A6"/>
          <w:szCs w:val="24"/>
          <w:highlight w:val="darkGray"/>
          <w:lang w:val="en-CA" w:bidi="en-CA"/>
        </w:rPr>
        <w:t xml:space="preserve"> </w:t>
      </w:r>
      <w:r w:rsidR="007A70E6" w:rsidRPr="005C655E">
        <w:rPr>
          <w:color w:val="A6A6A6" w:themeColor="background1" w:themeShade="A6"/>
          <w:szCs w:val="24"/>
          <w:highlight w:val="darkGray"/>
          <w:lang w:val="en-CA" w:bidi="en-CA"/>
        </w:rPr>
        <w:t>xxx</w:t>
      </w:r>
      <w:r w:rsidRPr="005C655E">
        <w:rPr>
          <w:color w:val="A6A6A6" w:themeColor="background1" w:themeShade="A6"/>
          <w:szCs w:val="24"/>
          <w:highlight w:val="darkGray"/>
          <w:lang w:val="en-CA" w:bidi="en-CA"/>
        </w:rPr>
        <w:t xml:space="preserve"> </w:t>
      </w:r>
      <w:r w:rsidR="007A70E6" w:rsidRPr="005C655E">
        <w:rPr>
          <w:color w:val="A6A6A6" w:themeColor="background1" w:themeShade="A6"/>
          <w:szCs w:val="24"/>
          <w:highlight w:val="darkGray"/>
          <w:lang w:val="en-CA" w:bidi="en-CA"/>
        </w:rPr>
        <w:t>xxxxx</w:t>
      </w:r>
      <w:r w:rsidRPr="005C655E">
        <w:rPr>
          <w:color w:val="A6A6A6" w:themeColor="background1" w:themeShade="A6"/>
          <w:szCs w:val="24"/>
          <w:highlight w:val="darkGray"/>
          <w:lang w:val="en-CA" w:bidi="en-CA"/>
        </w:rPr>
        <w:t xml:space="preserve"> </w:t>
      </w:r>
      <w:r w:rsidR="007A70E6" w:rsidRPr="005C655E">
        <w:rPr>
          <w:color w:val="A6A6A6" w:themeColor="background1" w:themeShade="A6"/>
          <w:szCs w:val="24"/>
          <w:highlight w:val="darkGray"/>
          <w:lang w:val="en-CA" w:bidi="en-CA"/>
        </w:rPr>
        <w:t>xxx</w:t>
      </w:r>
      <w:r w:rsidRPr="005C655E">
        <w:rPr>
          <w:color w:val="A6A6A6" w:themeColor="background1" w:themeShade="A6"/>
          <w:szCs w:val="24"/>
          <w:highlight w:val="darkGray"/>
          <w:lang w:val="en-CA" w:bidi="en-CA"/>
        </w:rPr>
        <w:t xml:space="preserve"> </w:t>
      </w:r>
      <w:r w:rsidR="007A70E6" w:rsidRPr="005C655E">
        <w:rPr>
          <w:color w:val="A6A6A6" w:themeColor="background1" w:themeShade="A6"/>
          <w:szCs w:val="24"/>
          <w:highlight w:val="darkGray"/>
          <w:lang w:val="en-CA" w:bidi="en-CA"/>
        </w:rPr>
        <w:t>xxx</w:t>
      </w:r>
      <w:r w:rsidRPr="005C655E">
        <w:rPr>
          <w:color w:val="A6A6A6" w:themeColor="background1" w:themeShade="A6"/>
          <w:szCs w:val="24"/>
          <w:highlight w:val="darkGray"/>
          <w:lang w:val="en-CA" w:bidi="en-CA"/>
        </w:rPr>
        <w:t xml:space="preserve"> </w:t>
      </w:r>
      <w:r w:rsidR="007A70E6" w:rsidRPr="005C655E">
        <w:rPr>
          <w:color w:val="A6A6A6" w:themeColor="background1" w:themeShade="A6"/>
          <w:szCs w:val="24"/>
          <w:highlight w:val="darkGray"/>
          <w:lang w:val="en-CA" w:bidi="en-CA"/>
        </w:rPr>
        <w:t>xx</w:t>
      </w:r>
      <w:r w:rsidR="005C655E" w:rsidRPr="005C655E">
        <w:rPr>
          <w:color w:val="A6A6A6" w:themeColor="background1" w:themeShade="A6"/>
          <w:szCs w:val="24"/>
          <w:highlight w:val="darkGray"/>
          <w:lang w:val="en-CA" w:bidi="en-CA"/>
        </w:rPr>
        <w:t>xxxxx</w:t>
      </w:r>
      <w:r w:rsidRPr="005852B8">
        <w:rPr>
          <w:szCs w:val="24"/>
          <w:lang w:val="en-CA" w:bidi="en-CA"/>
        </w:rPr>
        <w:t>,</w:t>
      </w:r>
      <w:r w:rsidRPr="005C655E">
        <w:rPr>
          <w:szCs w:val="24"/>
          <w:lang w:val="en-CA" w:bidi="en-CA"/>
        </w:rPr>
        <w:t xml:space="preserve"> w</w:t>
      </w:r>
      <w:r w:rsidRPr="005852B8">
        <w:rPr>
          <w:szCs w:val="24"/>
          <w:lang w:val="en-CA" w:bidi="en-CA"/>
        </w:rPr>
        <w:t xml:space="preserve">ho were the senior officers from SNCL and SNCLI from 1999 to 2004. </w:t>
      </w:r>
      <w:r w:rsidR="007A70E6" w:rsidRPr="005852B8">
        <w:rPr>
          <w:color w:val="A6A6A6" w:themeColor="background1" w:themeShade="A6"/>
          <w:szCs w:val="24"/>
          <w:highlight w:val="darkGray"/>
          <w:lang w:val="en-CA" w:bidi="en-CA"/>
        </w:rPr>
        <w:t>xxxxx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xxxxxxxxxx xxxx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xxxxxxx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xxxxxxx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xxxxxxxxx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xxxxxxxxxxxx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xxxxxx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xxxxxxxxxxx xxxxx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xxxxxx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xxxxxxxxxxx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xxxxxxxx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xxxxx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xxxxxxxx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xxxxx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xxxxxx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xxxxxx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xxxx xxxxxx</w:t>
      </w:r>
      <w:r w:rsidRPr="005852B8">
        <w:rPr>
          <w:color w:val="A6A6A6" w:themeColor="background1" w:themeShade="A6"/>
          <w:szCs w:val="24"/>
          <w:highlight w:val="darkGray"/>
          <w:lang w:val="en-CA" w:bidi="en-CA"/>
        </w:rPr>
        <w:t xml:space="preserve"> </w:t>
      </w:r>
      <w:r w:rsidR="007A70E6" w:rsidRPr="005852B8">
        <w:rPr>
          <w:color w:val="A6A6A6" w:themeColor="background1" w:themeShade="A6"/>
          <w:szCs w:val="24"/>
          <w:highlight w:val="darkGray"/>
          <w:lang w:val="en-CA" w:bidi="en-CA"/>
        </w:rPr>
        <w:t>xxxx</w:t>
      </w:r>
      <w:r w:rsidRPr="005C655E">
        <w:rPr>
          <w:szCs w:val="24"/>
          <w:vertAlign w:val="superscript"/>
          <w:lang w:val="en-CA" w:bidi="en-CA"/>
        </w:rPr>
        <w:footnoteReference w:id="90"/>
      </w:r>
      <w:r w:rsidRPr="005C655E">
        <w:rPr>
          <w:szCs w:val="24"/>
          <w:lang w:val="en-CA" w:bidi="en-CA"/>
        </w:rPr>
        <w:t xml:space="preserve">. </w:t>
      </w:r>
      <w:r w:rsidR="00C7225C" w:rsidRPr="005852B8">
        <w:rPr>
          <w:color w:val="A6A6A6" w:themeColor="background1" w:themeShade="A6"/>
          <w:szCs w:val="24"/>
          <w:highlight w:val="darkGray"/>
          <w:lang w:val="en-CA" w:bidi="en-CA"/>
        </w:rPr>
        <w:t>xxxxxxxxxxxxxx</w:t>
      </w:r>
      <w:r w:rsidRPr="005852B8">
        <w:rPr>
          <w:color w:val="A6A6A6" w:themeColor="background1" w:themeShade="A6"/>
          <w:szCs w:val="24"/>
          <w:highlight w:val="darkGray"/>
          <w:lang w:val="en-CA" w:bidi="en-CA"/>
        </w:rPr>
        <w:t xml:space="preserve"> </w:t>
      </w:r>
      <w:r w:rsidR="00C7225C" w:rsidRPr="005852B8">
        <w:rPr>
          <w:color w:val="A6A6A6" w:themeColor="background1" w:themeShade="A6"/>
          <w:szCs w:val="24"/>
          <w:highlight w:val="darkGray"/>
          <w:lang w:val="en-CA" w:bidi="en-CA"/>
        </w:rPr>
        <w:t>xx xxxxxx</w:t>
      </w:r>
      <w:r w:rsidRPr="005852B8">
        <w:rPr>
          <w:color w:val="A6A6A6" w:themeColor="background1" w:themeShade="A6"/>
          <w:szCs w:val="24"/>
          <w:highlight w:val="darkGray"/>
          <w:lang w:val="en-CA" w:bidi="en-CA"/>
        </w:rPr>
        <w:t xml:space="preserve"> </w:t>
      </w:r>
      <w:r w:rsidR="00C7225C" w:rsidRPr="005852B8">
        <w:rPr>
          <w:color w:val="A6A6A6" w:themeColor="background1" w:themeShade="A6"/>
          <w:szCs w:val="24"/>
          <w:highlight w:val="darkGray"/>
          <w:lang w:val="en-CA" w:bidi="en-CA"/>
        </w:rPr>
        <w:t>xxxxx</w:t>
      </w:r>
      <w:r w:rsidRPr="005852B8">
        <w:rPr>
          <w:color w:val="A6A6A6" w:themeColor="background1" w:themeShade="A6"/>
          <w:szCs w:val="24"/>
          <w:highlight w:val="darkGray"/>
          <w:lang w:val="en-CA" w:bidi="en-CA"/>
        </w:rPr>
        <w:t xml:space="preserve"> </w:t>
      </w:r>
      <w:r w:rsidR="00C7225C" w:rsidRPr="005852B8">
        <w:rPr>
          <w:color w:val="A6A6A6" w:themeColor="background1" w:themeShade="A6"/>
          <w:szCs w:val="24"/>
          <w:highlight w:val="darkGray"/>
          <w:lang w:val="en-CA" w:bidi="en-CA"/>
        </w:rPr>
        <w:t>xxxx</w:t>
      </w:r>
      <w:r w:rsidRPr="005852B8">
        <w:rPr>
          <w:color w:val="A6A6A6" w:themeColor="background1" w:themeShade="A6"/>
          <w:szCs w:val="24"/>
          <w:highlight w:val="darkGray"/>
          <w:lang w:val="en-CA" w:bidi="en-CA"/>
        </w:rPr>
        <w:t xml:space="preserve"> </w:t>
      </w:r>
      <w:r w:rsidR="00C7225C" w:rsidRPr="005852B8">
        <w:rPr>
          <w:color w:val="A6A6A6" w:themeColor="background1" w:themeShade="A6"/>
          <w:szCs w:val="24"/>
          <w:highlight w:val="darkGray"/>
          <w:lang w:val="en-CA" w:bidi="en-CA"/>
        </w:rPr>
        <w:t>xxx</w:t>
      </w:r>
      <w:r w:rsidRPr="005852B8">
        <w:rPr>
          <w:color w:val="A6A6A6" w:themeColor="background1" w:themeShade="A6"/>
          <w:szCs w:val="24"/>
          <w:highlight w:val="darkGray"/>
          <w:lang w:val="en-CA" w:bidi="en-CA"/>
        </w:rPr>
        <w:t xml:space="preserve"> </w:t>
      </w:r>
      <w:r w:rsidR="00C7225C" w:rsidRPr="005852B8">
        <w:rPr>
          <w:color w:val="A6A6A6" w:themeColor="background1" w:themeShade="A6"/>
          <w:szCs w:val="24"/>
          <w:highlight w:val="darkGray"/>
          <w:lang w:val="en-CA" w:bidi="en-CA"/>
        </w:rPr>
        <w:t>xxxxxxxxxx</w:t>
      </w:r>
      <w:r w:rsidRPr="005852B8">
        <w:rPr>
          <w:color w:val="A6A6A6" w:themeColor="background1" w:themeShade="A6"/>
          <w:szCs w:val="24"/>
          <w:highlight w:val="darkGray"/>
          <w:lang w:val="en-CA" w:bidi="en-CA"/>
        </w:rPr>
        <w:t xml:space="preserve"> </w:t>
      </w:r>
      <w:r w:rsidR="00C7225C" w:rsidRPr="005852B8">
        <w:rPr>
          <w:color w:val="A6A6A6" w:themeColor="background1" w:themeShade="A6"/>
          <w:szCs w:val="24"/>
          <w:highlight w:val="darkGray"/>
          <w:lang w:val="en-CA" w:bidi="en-CA"/>
        </w:rPr>
        <w:t>xxxxxxx</w:t>
      </w:r>
      <w:r w:rsidRPr="005852B8">
        <w:rPr>
          <w:color w:val="A6A6A6" w:themeColor="background1" w:themeShade="A6"/>
          <w:szCs w:val="24"/>
          <w:highlight w:val="darkGray"/>
          <w:lang w:val="en-CA" w:bidi="en-CA"/>
        </w:rPr>
        <w:t xml:space="preserve"> </w:t>
      </w:r>
      <w:r w:rsidR="00C7225C" w:rsidRPr="005852B8">
        <w:rPr>
          <w:color w:val="A6A6A6" w:themeColor="background1" w:themeShade="A6"/>
          <w:szCs w:val="24"/>
          <w:highlight w:val="darkGray"/>
          <w:lang w:val="en-CA" w:bidi="en-CA"/>
        </w:rPr>
        <w:t>xxxx</w:t>
      </w:r>
      <w:r w:rsidRPr="005852B8">
        <w:rPr>
          <w:color w:val="A6A6A6" w:themeColor="background1" w:themeShade="A6"/>
          <w:szCs w:val="24"/>
          <w:highlight w:val="darkGray"/>
          <w:lang w:val="en-CA" w:bidi="en-CA"/>
        </w:rPr>
        <w:t xml:space="preserve"> </w:t>
      </w:r>
      <w:r w:rsidR="00C7225C" w:rsidRPr="005852B8">
        <w:rPr>
          <w:color w:val="A6A6A6" w:themeColor="background1" w:themeShade="A6"/>
          <w:szCs w:val="24"/>
          <w:highlight w:val="darkGray"/>
          <w:lang w:val="en-CA" w:bidi="en-CA"/>
        </w:rPr>
        <w:t>xxxx</w:t>
      </w:r>
      <w:r w:rsidRPr="005852B8">
        <w:rPr>
          <w:color w:val="A6A6A6" w:themeColor="background1" w:themeShade="A6"/>
          <w:szCs w:val="24"/>
          <w:highlight w:val="darkGray"/>
          <w:lang w:val="en-CA" w:bidi="en-CA"/>
        </w:rPr>
        <w:t xml:space="preserve"> </w:t>
      </w:r>
      <w:r w:rsidR="00C7225C" w:rsidRPr="005852B8">
        <w:rPr>
          <w:color w:val="A6A6A6" w:themeColor="background1" w:themeShade="A6"/>
          <w:szCs w:val="24"/>
          <w:highlight w:val="darkGray"/>
          <w:lang w:val="en-CA" w:bidi="en-CA"/>
        </w:rPr>
        <w:t>xx</w:t>
      </w:r>
      <w:r w:rsidRPr="005852B8">
        <w:rPr>
          <w:color w:val="A6A6A6" w:themeColor="background1" w:themeShade="A6"/>
          <w:szCs w:val="24"/>
          <w:highlight w:val="darkGray"/>
          <w:lang w:val="en-CA" w:bidi="en-CA"/>
        </w:rPr>
        <w:t xml:space="preserve"> </w:t>
      </w:r>
      <w:r w:rsidR="00C7225C" w:rsidRPr="005852B8">
        <w:rPr>
          <w:color w:val="A6A6A6" w:themeColor="background1" w:themeShade="A6"/>
          <w:szCs w:val="24"/>
          <w:highlight w:val="darkGray"/>
          <w:lang w:val="en-CA" w:bidi="en-CA"/>
        </w:rPr>
        <w:t>xxx</w:t>
      </w:r>
      <w:r w:rsidRPr="005852B8">
        <w:rPr>
          <w:color w:val="A6A6A6" w:themeColor="background1" w:themeShade="A6"/>
          <w:szCs w:val="24"/>
          <w:highlight w:val="darkGray"/>
          <w:lang w:val="en-CA" w:bidi="en-CA"/>
        </w:rPr>
        <w:t xml:space="preserve"> </w:t>
      </w:r>
      <w:r w:rsidR="00C7225C" w:rsidRPr="005852B8">
        <w:rPr>
          <w:color w:val="A6A6A6" w:themeColor="background1" w:themeShade="A6"/>
          <w:szCs w:val="24"/>
          <w:highlight w:val="darkGray"/>
          <w:lang w:val="en-CA" w:bidi="en-CA"/>
        </w:rPr>
        <w:t>xxxxx</w:t>
      </w:r>
      <w:r w:rsidRPr="005852B8">
        <w:rPr>
          <w:color w:val="A6A6A6" w:themeColor="background1" w:themeShade="A6"/>
          <w:szCs w:val="24"/>
          <w:highlight w:val="darkGray"/>
          <w:lang w:val="en-CA" w:bidi="en-CA"/>
        </w:rPr>
        <w:t xml:space="preserve"> </w:t>
      </w:r>
      <w:r w:rsidR="00C7225C" w:rsidRPr="005852B8">
        <w:rPr>
          <w:color w:val="A6A6A6" w:themeColor="background1" w:themeShade="A6"/>
          <w:szCs w:val="24"/>
          <w:highlight w:val="darkGray"/>
          <w:lang w:val="en-CA" w:bidi="en-CA"/>
        </w:rPr>
        <w:t>xxxxxxxxx</w:t>
      </w:r>
      <w:r w:rsidRPr="005852B8">
        <w:rPr>
          <w:color w:val="A6A6A6" w:themeColor="background1" w:themeShade="A6"/>
          <w:szCs w:val="24"/>
          <w:highlight w:val="darkGray"/>
          <w:lang w:val="en-CA" w:bidi="en-CA"/>
        </w:rPr>
        <w:t xml:space="preserve"> </w:t>
      </w:r>
      <w:r w:rsidR="00C7225C" w:rsidRPr="005852B8">
        <w:rPr>
          <w:color w:val="A6A6A6" w:themeColor="background1" w:themeShade="A6"/>
          <w:szCs w:val="24"/>
          <w:highlight w:val="darkGray"/>
          <w:lang w:val="en-CA" w:bidi="en-CA"/>
        </w:rPr>
        <w:t>xxxxxxxxxx</w:t>
      </w:r>
      <w:r w:rsidRPr="005852B8">
        <w:rPr>
          <w:color w:val="A6A6A6" w:themeColor="background1" w:themeShade="A6"/>
          <w:szCs w:val="24"/>
          <w:highlight w:val="darkGray"/>
          <w:lang w:val="en-CA" w:bidi="en-CA"/>
        </w:rPr>
        <w:t xml:space="preserve"> </w:t>
      </w:r>
      <w:r w:rsidR="00C7225C" w:rsidRPr="005852B8">
        <w:rPr>
          <w:color w:val="A6A6A6" w:themeColor="background1" w:themeShade="A6"/>
          <w:szCs w:val="24"/>
          <w:highlight w:val="darkGray"/>
          <w:lang w:val="en-CA" w:bidi="en-CA"/>
        </w:rPr>
        <w:t>xxx</w:t>
      </w:r>
      <w:r w:rsidRPr="005852B8">
        <w:rPr>
          <w:color w:val="A6A6A6" w:themeColor="background1" w:themeShade="A6"/>
          <w:szCs w:val="24"/>
          <w:highlight w:val="darkGray"/>
          <w:lang w:val="en-CA" w:bidi="en-CA"/>
        </w:rPr>
        <w:t xml:space="preserve"> </w:t>
      </w:r>
      <w:r w:rsidR="00C7225C" w:rsidRPr="005852B8">
        <w:rPr>
          <w:color w:val="A6A6A6" w:themeColor="background1" w:themeShade="A6"/>
          <w:szCs w:val="24"/>
          <w:highlight w:val="darkGray"/>
          <w:lang w:val="en-CA" w:bidi="en-CA"/>
        </w:rPr>
        <w:t>xxxx</w:t>
      </w:r>
      <w:r w:rsidRPr="005852B8">
        <w:rPr>
          <w:color w:val="A6A6A6" w:themeColor="background1" w:themeShade="A6"/>
          <w:szCs w:val="24"/>
          <w:highlight w:val="darkGray"/>
          <w:lang w:val="en-CA" w:bidi="en-CA"/>
        </w:rPr>
        <w:t xml:space="preserve"> </w:t>
      </w:r>
      <w:r w:rsidR="00C7225C" w:rsidRPr="005852B8">
        <w:rPr>
          <w:color w:val="A6A6A6" w:themeColor="background1" w:themeShade="A6"/>
          <w:szCs w:val="24"/>
          <w:highlight w:val="darkGray"/>
          <w:lang w:val="en-CA" w:bidi="en-CA"/>
        </w:rPr>
        <w:t>xxxx</w:t>
      </w:r>
      <w:r w:rsidRPr="005852B8">
        <w:rPr>
          <w:color w:val="A6A6A6" w:themeColor="background1" w:themeShade="A6"/>
          <w:szCs w:val="24"/>
          <w:highlight w:val="darkGray"/>
          <w:lang w:val="en-CA" w:bidi="en-CA"/>
        </w:rPr>
        <w:t xml:space="preserve"> </w:t>
      </w:r>
      <w:r w:rsidR="00C7225C" w:rsidRPr="005852B8">
        <w:rPr>
          <w:color w:val="A6A6A6" w:themeColor="background1" w:themeShade="A6"/>
          <w:szCs w:val="24"/>
          <w:highlight w:val="darkGray"/>
          <w:lang w:val="en-CA" w:bidi="en-CA"/>
        </w:rPr>
        <w:t>xx</w:t>
      </w:r>
      <w:r w:rsidRPr="005852B8">
        <w:rPr>
          <w:color w:val="A6A6A6" w:themeColor="background1" w:themeShade="A6"/>
          <w:szCs w:val="24"/>
          <w:highlight w:val="darkGray"/>
          <w:lang w:val="en-CA" w:bidi="en-CA"/>
        </w:rPr>
        <w:t xml:space="preserve"> </w:t>
      </w:r>
      <w:r w:rsidR="00C7225C" w:rsidRPr="005852B8">
        <w:rPr>
          <w:color w:val="A6A6A6" w:themeColor="background1" w:themeShade="A6"/>
          <w:szCs w:val="24"/>
          <w:highlight w:val="darkGray"/>
          <w:lang w:val="en-CA" w:bidi="en-CA"/>
        </w:rPr>
        <w:t>xxxx</w:t>
      </w:r>
      <w:r w:rsidRPr="005852B8">
        <w:rPr>
          <w:color w:val="A6A6A6" w:themeColor="background1" w:themeShade="A6"/>
          <w:szCs w:val="24"/>
          <w:highlight w:val="darkGray"/>
          <w:lang w:val="en-CA" w:bidi="en-CA"/>
        </w:rPr>
        <w:t xml:space="preserve"> </w:t>
      </w:r>
      <w:r w:rsidR="00C7225C" w:rsidRPr="005852B8">
        <w:rPr>
          <w:color w:val="A6A6A6" w:themeColor="background1" w:themeShade="A6"/>
          <w:szCs w:val="24"/>
          <w:highlight w:val="darkGray"/>
          <w:lang w:val="en-CA" w:bidi="en-CA"/>
        </w:rPr>
        <w:t>xx</w:t>
      </w:r>
      <w:r w:rsidRPr="005852B8">
        <w:rPr>
          <w:color w:val="A6A6A6" w:themeColor="background1" w:themeShade="A6"/>
          <w:szCs w:val="24"/>
          <w:highlight w:val="darkGray"/>
          <w:lang w:val="en-CA" w:bidi="en-CA"/>
        </w:rPr>
        <w:t xml:space="preserve"> </w:t>
      </w:r>
      <w:r w:rsidR="00C7225C" w:rsidRPr="005852B8">
        <w:rPr>
          <w:color w:val="A6A6A6" w:themeColor="background1" w:themeShade="A6"/>
          <w:szCs w:val="24"/>
          <w:highlight w:val="darkGray"/>
          <w:lang w:val="en-CA" w:bidi="en-CA"/>
        </w:rPr>
        <w:t>xxxx</w:t>
      </w:r>
      <w:r w:rsidRPr="005852B8">
        <w:rPr>
          <w:color w:val="A6A6A6" w:themeColor="background1" w:themeShade="A6"/>
          <w:szCs w:val="24"/>
          <w:highlight w:val="darkGray"/>
          <w:lang w:val="en-CA" w:bidi="en-CA"/>
        </w:rPr>
        <w:t xml:space="preserve"> </w:t>
      </w:r>
      <w:r w:rsidR="00C7225C" w:rsidRPr="005852B8">
        <w:rPr>
          <w:color w:val="A6A6A6" w:themeColor="background1" w:themeShade="A6"/>
          <w:szCs w:val="24"/>
          <w:highlight w:val="darkGray"/>
          <w:lang w:val="en-CA" w:bidi="en-CA"/>
        </w:rPr>
        <w:t>xxxxxxxxxxx</w:t>
      </w:r>
      <w:r w:rsidRPr="005852B8">
        <w:rPr>
          <w:color w:val="A6A6A6" w:themeColor="background1" w:themeShade="A6"/>
          <w:szCs w:val="24"/>
          <w:highlight w:val="darkGray"/>
          <w:lang w:val="en-CA" w:bidi="en-CA"/>
        </w:rPr>
        <w:t xml:space="preserve"> </w:t>
      </w:r>
      <w:r w:rsidR="00C7225C" w:rsidRPr="005852B8">
        <w:rPr>
          <w:color w:val="A6A6A6" w:themeColor="background1" w:themeShade="A6"/>
          <w:szCs w:val="24"/>
          <w:highlight w:val="darkGray"/>
          <w:lang w:val="en-CA" w:bidi="en-CA"/>
        </w:rPr>
        <w:t>xx</w:t>
      </w:r>
      <w:r w:rsidRPr="005852B8">
        <w:rPr>
          <w:color w:val="A6A6A6" w:themeColor="background1" w:themeShade="A6"/>
          <w:szCs w:val="24"/>
          <w:highlight w:val="darkGray"/>
          <w:lang w:val="en-CA" w:bidi="en-CA"/>
        </w:rPr>
        <w:t xml:space="preserve"> </w:t>
      </w:r>
      <w:r w:rsidR="00C7225C" w:rsidRPr="005852B8">
        <w:rPr>
          <w:color w:val="A6A6A6" w:themeColor="background1" w:themeShade="A6"/>
          <w:szCs w:val="24"/>
          <w:highlight w:val="darkGray"/>
          <w:lang w:val="en-CA" w:bidi="en-CA"/>
        </w:rPr>
        <w:t>xxxxx</w:t>
      </w:r>
      <w:r w:rsidRPr="005C655E">
        <w:rPr>
          <w:szCs w:val="24"/>
          <w:lang w:val="en-CA" w:bidi="en-CA"/>
        </w:rPr>
        <w:t>. The cooperation of the Organizations in gathering evidence was highlighted by the Prosecutor. The Organization</w:t>
      </w:r>
      <w:r w:rsidRPr="0071186E">
        <w:rPr>
          <w:color w:val="181A18"/>
          <w:szCs w:val="24"/>
          <w:lang w:val="en-CA" w:bidi="en-CA"/>
        </w:rPr>
        <w:t xml:space="preserve">s assisted the Prosecutor in identifying the responsible </w:t>
      </w:r>
      <w:r w:rsidR="009B7B6D" w:rsidRPr="0071186E">
        <w:rPr>
          <w:color w:val="181A18"/>
          <w:szCs w:val="24"/>
          <w:lang w:val="en-CA" w:bidi="en-CA"/>
        </w:rPr>
        <w:t xml:space="preserve">individuals </w:t>
      </w:r>
      <w:r w:rsidRPr="0071186E">
        <w:rPr>
          <w:color w:val="181A18"/>
          <w:szCs w:val="24"/>
          <w:lang w:val="en-CA" w:bidi="en-CA"/>
        </w:rPr>
        <w:t xml:space="preserve">so that they </w:t>
      </w:r>
      <w:r w:rsidR="000F7EB5">
        <w:rPr>
          <w:color w:val="181A18"/>
          <w:szCs w:val="24"/>
          <w:lang w:val="en-CA" w:bidi="en-CA"/>
        </w:rPr>
        <w:t>could</w:t>
      </w:r>
      <w:r w:rsidR="000F7EB5" w:rsidRPr="0071186E">
        <w:rPr>
          <w:color w:val="181A18"/>
          <w:szCs w:val="24"/>
          <w:lang w:val="en-CA" w:bidi="en-CA"/>
        </w:rPr>
        <w:t xml:space="preserve"> </w:t>
      </w:r>
      <w:r w:rsidRPr="0071186E">
        <w:rPr>
          <w:color w:val="181A18"/>
          <w:szCs w:val="24"/>
          <w:lang w:val="en-CA" w:bidi="en-CA"/>
        </w:rPr>
        <w:t>be brought to justice for the acts covered by the Agreement.</w:t>
      </w:r>
    </w:p>
    <w:p w14:paraId="04D3DFBC" w14:textId="4D7B59F4" w:rsidR="004208A9" w:rsidRPr="0071186E" w:rsidRDefault="009B7B6D" w:rsidP="004208A9">
      <w:pPr>
        <w:pStyle w:val="SimpleL1"/>
        <w:rPr>
          <w:color w:val="181A18"/>
          <w:szCs w:val="24"/>
          <w:lang w:val="en-CA" w:bidi="en-CA"/>
        </w:rPr>
      </w:pPr>
      <w:r w:rsidRPr="0071186E">
        <w:rPr>
          <w:color w:val="181A18"/>
          <w:szCs w:val="24"/>
          <w:lang w:val="en-CA" w:bidi="en-CA"/>
        </w:rPr>
        <w:t xml:space="preserve">As regards judicial </w:t>
      </w:r>
      <w:r w:rsidR="004208A9" w:rsidRPr="0071186E">
        <w:rPr>
          <w:color w:val="181A18"/>
          <w:szCs w:val="24"/>
          <w:lang w:val="en-CA" w:bidi="en-CA"/>
        </w:rPr>
        <w:t xml:space="preserve">history, SNC-Lavalin Construction Inc., </w:t>
      </w:r>
      <w:r w:rsidR="0087450D">
        <w:rPr>
          <w:color w:val="181A18"/>
          <w:szCs w:val="24"/>
          <w:lang w:val="en-CA" w:bidi="en-CA"/>
        </w:rPr>
        <w:t>an affiliate</w:t>
      </w:r>
      <w:r w:rsidR="00215A37" w:rsidRPr="0071186E">
        <w:rPr>
          <w:color w:val="181A18"/>
          <w:szCs w:val="24"/>
          <w:lang w:val="en-CA" w:bidi="en-CA"/>
        </w:rPr>
        <w:t xml:space="preserve"> </w:t>
      </w:r>
      <w:r w:rsidR="0087450D">
        <w:rPr>
          <w:color w:val="181A18"/>
          <w:szCs w:val="24"/>
          <w:lang w:val="en-CA" w:bidi="en-CA"/>
        </w:rPr>
        <w:t>of</w:t>
      </w:r>
      <w:r w:rsidR="004208A9" w:rsidRPr="0071186E">
        <w:rPr>
          <w:color w:val="181A18"/>
          <w:szCs w:val="24"/>
          <w:lang w:val="en-CA" w:bidi="en-CA"/>
        </w:rPr>
        <w:t xml:space="preserve"> SNCLG, admitted its guilt for fraud against Libyan public authorities. The company was sentenced to $280 million with a three (3) year probation order and an independent monitor was appointed. On June 19, 2020, SNCL was the subject of a prohibition order under</w:t>
      </w:r>
      <w:r w:rsidRPr="0071186E">
        <w:rPr>
          <w:color w:val="181A18"/>
          <w:szCs w:val="24"/>
          <w:lang w:val="en-CA" w:bidi="en-CA"/>
        </w:rPr>
        <w:t> </w:t>
      </w:r>
      <w:r w:rsidR="004208A9" w:rsidRPr="0071186E">
        <w:rPr>
          <w:color w:val="181A18"/>
          <w:szCs w:val="24"/>
          <w:lang w:val="en-CA" w:bidi="en-CA"/>
        </w:rPr>
        <w:t xml:space="preserve">34(2) and 34(2.1) of </w:t>
      </w:r>
      <w:r w:rsidR="004208A9" w:rsidRPr="0071186E">
        <w:rPr>
          <w:i/>
          <w:color w:val="181A18"/>
          <w:szCs w:val="24"/>
          <w:lang w:val="en-CA" w:bidi="en-CA"/>
        </w:rPr>
        <w:t xml:space="preserve">the Competition Act </w:t>
      </w:r>
      <w:r w:rsidR="004208A9" w:rsidRPr="0071186E">
        <w:rPr>
          <w:color w:val="181A18"/>
          <w:szCs w:val="24"/>
          <w:lang w:val="en-CA" w:bidi="en-CA"/>
        </w:rPr>
        <w:t xml:space="preserve">in relation to certain issues </w:t>
      </w:r>
      <w:r w:rsidRPr="0071186E">
        <w:rPr>
          <w:color w:val="181A18"/>
          <w:szCs w:val="24"/>
          <w:lang w:val="en-CA" w:bidi="en-CA"/>
        </w:rPr>
        <w:t xml:space="preserve">resulting </w:t>
      </w:r>
      <w:r w:rsidR="004208A9" w:rsidRPr="0071186E">
        <w:rPr>
          <w:color w:val="181A18"/>
          <w:szCs w:val="24"/>
          <w:lang w:val="en-CA" w:bidi="en-CA"/>
        </w:rPr>
        <w:t xml:space="preserve">from </w:t>
      </w:r>
      <w:r w:rsidRPr="0071186E">
        <w:rPr>
          <w:color w:val="181A18"/>
          <w:szCs w:val="24"/>
          <w:lang w:val="en-CA" w:bidi="en-CA"/>
        </w:rPr>
        <w:t xml:space="preserve">its </w:t>
      </w:r>
      <w:r w:rsidR="004208A9" w:rsidRPr="0071186E">
        <w:rPr>
          <w:color w:val="181A18"/>
          <w:szCs w:val="24"/>
          <w:lang w:val="en-CA" w:bidi="en-CA"/>
        </w:rPr>
        <w:t>past conduct.</w:t>
      </w:r>
    </w:p>
    <w:p w14:paraId="4F3AD270" w14:textId="1FE97D05" w:rsidR="004208A9" w:rsidRPr="0071186E" w:rsidRDefault="004208A9" w:rsidP="004208A9">
      <w:pPr>
        <w:pStyle w:val="SimpleL1"/>
        <w:rPr>
          <w:color w:val="181A18"/>
          <w:szCs w:val="24"/>
          <w:lang w:val="en-CA" w:bidi="en-CA"/>
        </w:rPr>
      </w:pPr>
      <w:r w:rsidRPr="0071186E">
        <w:rPr>
          <w:color w:val="181A18"/>
          <w:szCs w:val="24"/>
          <w:lang w:val="en-CA" w:bidi="en-CA"/>
        </w:rPr>
        <w:t xml:space="preserve">At this time, the Organizations have not taken measures to repair the harm caused to the victim. However, that is the very purpose of the </w:t>
      </w:r>
      <w:r w:rsidR="009B7B6D" w:rsidRPr="0071186E">
        <w:rPr>
          <w:color w:val="181A18"/>
          <w:szCs w:val="24"/>
          <w:lang w:val="en-CA" w:bidi="en-CA"/>
        </w:rPr>
        <w:t>A</w:t>
      </w:r>
      <w:r w:rsidRPr="0071186E">
        <w:rPr>
          <w:color w:val="181A18"/>
          <w:szCs w:val="24"/>
          <w:lang w:val="en-CA" w:bidi="en-CA"/>
        </w:rPr>
        <w:t xml:space="preserve">greement. </w:t>
      </w:r>
      <w:r w:rsidR="002D7746">
        <w:rPr>
          <w:color w:val="181A18"/>
          <w:szCs w:val="24"/>
          <w:lang w:val="en-CA" w:bidi="en-CA"/>
        </w:rPr>
        <w:t>D</w:t>
      </w:r>
      <w:r w:rsidR="002D7746" w:rsidRPr="0071186E">
        <w:rPr>
          <w:color w:val="181A18"/>
          <w:szCs w:val="24"/>
          <w:lang w:val="en-CA" w:bidi="en-CA"/>
        </w:rPr>
        <w:t>uring their arguments</w:t>
      </w:r>
      <w:r w:rsidR="002D7746">
        <w:rPr>
          <w:color w:val="181A18"/>
          <w:szCs w:val="24"/>
          <w:lang w:val="en-CA" w:bidi="en-CA"/>
        </w:rPr>
        <w:t>,</w:t>
      </w:r>
      <w:r w:rsidR="002D7746" w:rsidRPr="0071186E">
        <w:rPr>
          <w:color w:val="181A18"/>
          <w:szCs w:val="24"/>
          <w:lang w:val="en-CA" w:bidi="en-CA"/>
        </w:rPr>
        <w:t xml:space="preserve"> </w:t>
      </w:r>
      <w:r w:rsidR="002D7746">
        <w:rPr>
          <w:color w:val="181A18"/>
          <w:szCs w:val="24"/>
          <w:lang w:val="en-CA" w:bidi="en-CA"/>
        </w:rPr>
        <w:t>t</w:t>
      </w:r>
      <w:r w:rsidRPr="0071186E">
        <w:rPr>
          <w:color w:val="181A18"/>
          <w:szCs w:val="24"/>
          <w:lang w:val="en-CA" w:bidi="en-CA"/>
        </w:rPr>
        <w:t xml:space="preserve">he Organizations raised </w:t>
      </w:r>
      <w:r w:rsidR="002D7746">
        <w:rPr>
          <w:color w:val="181A18"/>
          <w:szCs w:val="24"/>
          <w:lang w:val="en-CA" w:bidi="en-CA"/>
        </w:rPr>
        <w:t xml:space="preserve">the fact </w:t>
      </w:r>
      <w:r w:rsidRPr="0071186E">
        <w:rPr>
          <w:color w:val="181A18"/>
          <w:szCs w:val="24"/>
          <w:lang w:val="en-CA" w:bidi="en-CA"/>
        </w:rPr>
        <w:t>that the victim had taken no steps to obtain compensation before receiving an invitation as part of the negotiation of the Agreement and that, according to them, the victim had never considered quantifying any losses whatsoever.</w:t>
      </w:r>
    </w:p>
    <w:p w14:paraId="1EA7F3CC" w14:textId="0F5E562A" w:rsidR="004208A9" w:rsidRPr="0071186E" w:rsidRDefault="004208A9" w:rsidP="004208A9">
      <w:pPr>
        <w:pStyle w:val="SimpleL1"/>
        <w:rPr>
          <w:color w:val="181A18"/>
          <w:szCs w:val="24"/>
          <w:lang w:val="en-CA" w:bidi="en-CA"/>
        </w:rPr>
      </w:pPr>
      <w:r w:rsidRPr="00135016">
        <w:rPr>
          <w:color w:val="181A18"/>
          <w:szCs w:val="24"/>
          <w:lang w:val="en-CA" w:bidi="en-CA"/>
        </w:rPr>
        <w:t>Before concluding the analysis of the public interest, it should be recalled that it is not for the Court to question the</w:t>
      </w:r>
      <w:r w:rsidRPr="0071186E">
        <w:rPr>
          <w:color w:val="181A18"/>
          <w:szCs w:val="24"/>
          <w:lang w:val="en-CA" w:bidi="en-CA"/>
        </w:rPr>
        <w:t xml:space="preserve"> legitimacy of </w:t>
      </w:r>
      <w:r w:rsidR="003A3639">
        <w:rPr>
          <w:color w:val="181A18"/>
          <w:szCs w:val="24"/>
          <w:lang w:val="en-CA" w:bidi="en-CA"/>
        </w:rPr>
        <w:t>Parliament</w:t>
      </w:r>
      <w:r w:rsidR="0087082C" w:rsidRPr="0071186E">
        <w:rPr>
          <w:color w:val="181A18"/>
          <w:szCs w:val="24"/>
          <w:lang w:val="en-CA" w:bidi="en-CA"/>
        </w:rPr>
        <w:t>’</w:t>
      </w:r>
      <w:r w:rsidRPr="0071186E">
        <w:rPr>
          <w:color w:val="181A18"/>
          <w:szCs w:val="24"/>
          <w:lang w:val="en-CA" w:bidi="en-CA"/>
        </w:rPr>
        <w:t xml:space="preserve">s </w:t>
      </w:r>
      <w:r w:rsidR="0087082C" w:rsidRPr="0071186E">
        <w:rPr>
          <w:color w:val="181A18"/>
          <w:szCs w:val="24"/>
          <w:lang w:val="en-CA" w:bidi="en-CA"/>
        </w:rPr>
        <w:t>decision</w:t>
      </w:r>
      <w:r w:rsidRPr="0071186E">
        <w:rPr>
          <w:color w:val="181A18"/>
          <w:szCs w:val="24"/>
          <w:lang w:val="en-CA" w:bidi="en-CA"/>
        </w:rPr>
        <w:t xml:space="preserve"> to introduce the remediation agreement </w:t>
      </w:r>
      <w:r w:rsidR="003A3639" w:rsidRPr="0071186E">
        <w:rPr>
          <w:color w:val="181A18"/>
          <w:szCs w:val="24"/>
          <w:lang w:val="en-CA" w:bidi="en-CA"/>
        </w:rPr>
        <w:t xml:space="preserve">system </w:t>
      </w:r>
      <w:r w:rsidRPr="0071186E">
        <w:rPr>
          <w:color w:val="181A18"/>
          <w:szCs w:val="24"/>
          <w:lang w:val="en-CA" w:bidi="en-CA"/>
        </w:rPr>
        <w:t>into the Canadian legal system. For some, the very notion of a remediation agreement is contrary to public interest</w:t>
      </w:r>
      <w:r w:rsidR="00774791">
        <w:rPr>
          <w:color w:val="181A18"/>
          <w:szCs w:val="24"/>
          <w:lang w:val="en-CA" w:bidi="en-CA"/>
        </w:rPr>
        <w:t>.</w:t>
      </w:r>
      <w:r w:rsidRPr="0071186E">
        <w:rPr>
          <w:color w:val="181A18"/>
          <w:szCs w:val="24"/>
          <w:vertAlign w:val="superscript"/>
          <w:lang w:val="en-CA" w:bidi="en-CA"/>
        </w:rPr>
        <w:footnoteReference w:id="91"/>
      </w:r>
      <w:r w:rsidRPr="0071186E">
        <w:rPr>
          <w:color w:val="181A18"/>
          <w:szCs w:val="24"/>
          <w:lang w:val="en-CA" w:bidi="en-CA"/>
        </w:rPr>
        <w:t xml:space="preserve"> It should be noted, however, that these criticisms are directed </w:t>
      </w:r>
      <w:r w:rsidR="003A3639" w:rsidRPr="0071186E">
        <w:rPr>
          <w:color w:val="181A18"/>
          <w:szCs w:val="24"/>
          <w:lang w:val="en-CA" w:bidi="en-CA"/>
        </w:rPr>
        <w:t xml:space="preserve">more </w:t>
      </w:r>
      <w:r w:rsidRPr="0071186E">
        <w:rPr>
          <w:color w:val="181A18"/>
          <w:szCs w:val="24"/>
          <w:lang w:val="en-CA" w:bidi="en-CA"/>
        </w:rPr>
        <w:t xml:space="preserve">at the U.S. system, which differs significantly from </w:t>
      </w:r>
      <w:r w:rsidR="0087082C" w:rsidRPr="0071186E">
        <w:rPr>
          <w:color w:val="181A18"/>
          <w:szCs w:val="24"/>
          <w:lang w:val="en-CA" w:bidi="en-CA"/>
        </w:rPr>
        <w:t xml:space="preserve">the one </w:t>
      </w:r>
      <w:r w:rsidRPr="0071186E">
        <w:rPr>
          <w:color w:val="181A18"/>
          <w:szCs w:val="24"/>
          <w:lang w:val="en-CA" w:bidi="en-CA"/>
        </w:rPr>
        <w:t xml:space="preserve">in place in Canada. Above all, it is not the role of the Courts to render remediation agreements ineffective by adopting too strict an interpretation of the public interest. It is </w:t>
      </w:r>
      <w:r w:rsidRPr="0071186E">
        <w:rPr>
          <w:color w:val="181A18"/>
          <w:szCs w:val="24"/>
          <w:lang w:val="en-CA" w:bidi="en-CA"/>
        </w:rPr>
        <w:lastRenderedPageBreak/>
        <w:t xml:space="preserve">obviously necessary to respect </w:t>
      </w:r>
      <w:r w:rsidR="003A3639">
        <w:rPr>
          <w:color w:val="181A18"/>
          <w:szCs w:val="24"/>
          <w:lang w:val="en-CA" w:bidi="en-CA"/>
        </w:rPr>
        <w:t>Parliament’s</w:t>
      </w:r>
      <w:r w:rsidR="003A3639" w:rsidRPr="0071186E">
        <w:rPr>
          <w:color w:val="181A18"/>
          <w:szCs w:val="24"/>
          <w:lang w:val="en-CA" w:bidi="en-CA"/>
        </w:rPr>
        <w:t xml:space="preserve"> </w:t>
      </w:r>
      <w:r w:rsidRPr="0071186E">
        <w:rPr>
          <w:color w:val="181A18"/>
          <w:szCs w:val="24"/>
          <w:lang w:val="en-CA" w:bidi="en-CA"/>
        </w:rPr>
        <w:t>choice and to interpret the notion of public interest,</w:t>
      </w:r>
      <w:r w:rsidR="0087082C" w:rsidRPr="0071186E">
        <w:rPr>
          <w:color w:val="181A18"/>
          <w:szCs w:val="24"/>
          <w:lang w:val="en-CA" w:bidi="en-CA"/>
        </w:rPr>
        <w:t xml:space="preserve"> while</w:t>
      </w:r>
      <w:r w:rsidRPr="0071186E">
        <w:rPr>
          <w:color w:val="181A18"/>
          <w:szCs w:val="24"/>
          <w:lang w:val="en-CA" w:bidi="en-CA"/>
        </w:rPr>
        <w:t xml:space="preserve"> bearing in mind</w:t>
      </w:r>
      <w:r w:rsidR="003A3639">
        <w:rPr>
          <w:color w:val="181A18"/>
          <w:szCs w:val="24"/>
          <w:lang w:val="en-CA" w:bidi="en-CA"/>
        </w:rPr>
        <w:t>, among other things,</w:t>
      </w:r>
      <w:r w:rsidRPr="0071186E">
        <w:rPr>
          <w:color w:val="181A18"/>
          <w:szCs w:val="24"/>
          <w:lang w:val="en-CA" w:bidi="en-CA"/>
        </w:rPr>
        <w:t xml:space="preserve"> the objectives set out in s</w:t>
      </w:r>
      <w:r w:rsidR="00774791">
        <w:rPr>
          <w:color w:val="181A18"/>
          <w:szCs w:val="24"/>
          <w:lang w:val="en-CA" w:bidi="en-CA"/>
        </w:rPr>
        <w:t>.</w:t>
      </w:r>
      <w:r w:rsidRPr="0071186E">
        <w:rPr>
          <w:color w:val="181A18"/>
          <w:szCs w:val="24"/>
          <w:lang w:val="en-CA" w:bidi="en-CA"/>
        </w:rPr>
        <w:t xml:space="preserve"> 715.31 Cr.</w:t>
      </w:r>
      <w:r w:rsidR="00774791">
        <w:rPr>
          <w:color w:val="181A18"/>
          <w:szCs w:val="24"/>
          <w:lang w:val="en-CA" w:bidi="en-CA"/>
        </w:rPr>
        <w:t> </w:t>
      </w:r>
      <w:r w:rsidRPr="0071186E">
        <w:rPr>
          <w:color w:val="181A18"/>
          <w:szCs w:val="24"/>
          <w:lang w:val="en-CA" w:bidi="en-CA"/>
        </w:rPr>
        <w:t xml:space="preserve">C. and the factors </w:t>
      </w:r>
      <w:r w:rsidR="003A3639">
        <w:rPr>
          <w:color w:val="181A18"/>
          <w:szCs w:val="24"/>
          <w:lang w:val="en-CA" w:bidi="en-CA"/>
        </w:rPr>
        <w:t>Parliament</w:t>
      </w:r>
      <w:r w:rsidRPr="0071186E">
        <w:rPr>
          <w:color w:val="181A18"/>
          <w:szCs w:val="24"/>
          <w:lang w:val="en-CA" w:bidi="en-CA"/>
        </w:rPr>
        <w:t xml:space="preserve"> listed in s</w:t>
      </w:r>
      <w:r w:rsidR="00B972B3">
        <w:rPr>
          <w:color w:val="181A18"/>
          <w:szCs w:val="24"/>
          <w:lang w:val="en-CA" w:bidi="en-CA"/>
        </w:rPr>
        <w:t>.</w:t>
      </w:r>
      <w:r w:rsidR="000252EF" w:rsidRPr="0071186E">
        <w:rPr>
          <w:color w:val="181A18"/>
          <w:szCs w:val="24"/>
          <w:lang w:val="en-CA" w:bidi="en-CA"/>
        </w:rPr>
        <w:t> </w:t>
      </w:r>
      <w:r w:rsidRPr="0071186E">
        <w:rPr>
          <w:color w:val="181A18"/>
          <w:szCs w:val="24"/>
          <w:lang w:val="en-CA" w:bidi="en-CA"/>
        </w:rPr>
        <w:t>715.32(2)</w:t>
      </w:r>
      <w:r w:rsidR="00B972B3">
        <w:rPr>
          <w:color w:val="181A18"/>
          <w:szCs w:val="24"/>
          <w:lang w:val="en-CA" w:bidi="en-CA"/>
        </w:rPr>
        <w:t> </w:t>
      </w:r>
      <w:r w:rsidRPr="0071186E">
        <w:rPr>
          <w:color w:val="181A18"/>
          <w:szCs w:val="24"/>
          <w:lang w:val="en-CA" w:bidi="en-CA"/>
        </w:rPr>
        <w:t>Cr.</w:t>
      </w:r>
      <w:r w:rsidR="00B972B3">
        <w:rPr>
          <w:color w:val="181A18"/>
          <w:szCs w:val="24"/>
          <w:lang w:val="en-CA" w:bidi="en-CA"/>
        </w:rPr>
        <w:t> </w:t>
      </w:r>
      <w:r w:rsidRPr="0071186E">
        <w:rPr>
          <w:color w:val="181A18"/>
          <w:szCs w:val="24"/>
          <w:lang w:val="en-CA" w:bidi="en-CA"/>
        </w:rPr>
        <w:t>C.</w:t>
      </w:r>
    </w:p>
    <w:p w14:paraId="2C409C2C" w14:textId="77777777" w:rsidR="004208A9" w:rsidRPr="0071186E" w:rsidRDefault="004208A9" w:rsidP="004208A9">
      <w:pPr>
        <w:pStyle w:val="SimpleL1"/>
        <w:rPr>
          <w:color w:val="181A18"/>
          <w:szCs w:val="24"/>
          <w:lang w:val="en-CA" w:bidi="en-CA"/>
        </w:rPr>
      </w:pPr>
      <w:r w:rsidRPr="0071186E">
        <w:rPr>
          <w:color w:val="181A18"/>
          <w:szCs w:val="24"/>
          <w:lang w:val="en-CA" w:bidi="en-CA"/>
        </w:rPr>
        <w:t xml:space="preserve">The actions of which the Organizations are accused are serious. In addition to the identified victim, all citizens are victims of this type of crime when it affects public entities. The events occurred over a relatively long period </w:t>
      </w:r>
      <w:r w:rsidR="0087082C" w:rsidRPr="0071186E">
        <w:rPr>
          <w:color w:val="181A18"/>
          <w:szCs w:val="24"/>
          <w:lang w:val="en-CA" w:bidi="en-CA"/>
        </w:rPr>
        <w:t xml:space="preserve">of time </w:t>
      </w:r>
      <w:r w:rsidRPr="0071186E">
        <w:rPr>
          <w:color w:val="181A18"/>
          <w:szCs w:val="24"/>
          <w:lang w:val="en-CA" w:bidi="en-CA"/>
        </w:rPr>
        <w:t>(approximately three years), with a fairly elaborate mechanism.</w:t>
      </w:r>
    </w:p>
    <w:p w14:paraId="45B40D44" w14:textId="056023F6" w:rsidR="004208A9" w:rsidRPr="0071186E" w:rsidRDefault="004208A9" w:rsidP="004208A9">
      <w:pPr>
        <w:pStyle w:val="SimpleL1"/>
        <w:rPr>
          <w:color w:val="181A18"/>
          <w:szCs w:val="24"/>
          <w:lang w:val="en-CA" w:bidi="en-CA"/>
        </w:rPr>
      </w:pPr>
      <w:r w:rsidRPr="0071186E">
        <w:rPr>
          <w:color w:val="181A18"/>
          <w:szCs w:val="24"/>
          <w:lang w:val="en-CA" w:bidi="en-CA"/>
        </w:rPr>
        <w:t xml:space="preserve">However, in light of all the circumstances, the Court considers that the Agreement is in the public interest. The Agreement makes it possible to </w:t>
      </w:r>
      <w:r w:rsidR="00C9140D">
        <w:rPr>
          <w:color w:val="181A18"/>
          <w:szCs w:val="24"/>
          <w:lang w:val="en-CA" w:bidi="en-CA"/>
        </w:rPr>
        <w:t>denounce</w:t>
      </w:r>
      <w:r w:rsidR="00836B47">
        <w:rPr>
          <w:color w:val="181A18"/>
          <w:szCs w:val="24"/>
          <w:lang w:val="en-CA" w:bidi="en-CA"/>
        </w:rPr>
        <w:t xml:space="preserve"> the Organizations’</w:t>
      </w:r>
      <w:r w:rsidR="0031702F">
        <w:rPr>
          <w:color w:val="181A18"/>
          <w:szCs w:val="24"/>
          <w:lang w:val="en-CA" w:bidi="en-CA"/>
        </w:rPr>
        <w:t xml:space="preserve"> </w:t>
      </w:r>
      <w:r w:rsidRPr="0071186E">
        <w:rPr>
          <w:color w:val="181A18"/>
          <w:szCs w:val="24"/>
          <w:lang w:val="en-CA" w:bidi="en-CA"/>
        </w:rPr>
        <w:t xml:space="preserve">wrongdoing, while reducing the harm that criminal convictions would cause </w:t>
      </w:r>
      <w:r w:rsidR="00F002B6">
        <w:rPr>
          <w:color w:val="181A18"/>
          <w:szCs w:val="24"/>
          <w:lang w:val="en-CA" w:bidi="en-CA"/>
        </w:rPr>
        <w:t>to</w:t>
      </w:r>
      <w:r w:rsidR="00F002B6" w:rsidRPr="0071186E">
        <w:rPr>
          <w:color w:val="181A18"/>
          <w:szCs w:val="24"/>
          <w:lang w:val="en-CA" w:bidi="en-CA"/>
        </w:rPr>
        <w:t xml:space="preserve"> </w:t>
      </w:r>
      <w:r w:rsidRPr="0071186E">
        <w:rPr>
          <w:color w:val="181A18"/>
          <w:szCs w:val="24"/>
          <w:lang w:val="en-CA" w:bidi="en-CA"/>
        </w:rPr>
        <w:t xml:space="preserve">third parties who have not engaged in wrongdoing. The Organizations have shown a strong degree of cooperation, thus allowing the responsible individuals to be subjected to the justice system. There have also been significant changes in the Organizations: the responsible persons are no longer part of the </w:t>
      </w:r>
      <w:r w:rsidR="00F002B6" w:rsidRPr="0071186E">
        <w:rPr>
          <w:color w:val="181A18"/>
          <w:szCs w:val="24"/>
          <w:lang w:val="en-CA" w:bidi="en-CA"/>
        </w:rPr>
        <w:t>Organizations</w:t>
      </w:r>
      <w:r w:rsidR="00F002B6">
        <w:rPr>
          <w:color w:val="181A18"/>
          <w:szCs w:val="24"/>
          <w:lang w:val="en-CA" w:bidi="en-CA"/>
        </w:rPr>
        <w:t>’</w:t>
      </w:r>
      <w:r w:rsidR="00F002B6" w:rsidRPr="0071186E">
        <w:rPr>
          <w:color w:val="181A18"/>
          <w:szCs w:val="24"/>
          <w:lang w:val="en-CA" w:bidi="en-CA"/>
        </w:rPr>
        <w:t xml:space="preserve"> </w:t>
      </w:r>
      <w:r w:rsidRPr="0071186E">
        <w:rPr>
          <w:color w:val="181A18"/>
          <w:szCs w:val="24"/>
          <w:lang w:val="en-CA" w:bidi="en-CA"/>
        </w:rPr>
        <w:t xml:space="preserve">management and considerable effort has been put into developing measures to prevent similar events from reoccurring. </w:t>
      </w:r>
      <w:r w:rsidR="0087082C" w:rsidRPr="0071186E">
        <w:rPr>
          <w:color w:val="181A18"/>
          <w:szCs w:val="24"/>
          <w:lang w:val="en-CA" w:bidi="en-CA"/>
        </w:rPr>
        <w:t>The r</w:t>
      </w:r>
      <w:r w:rsidRPr="0071186E">
        <w:rPr>
          <w:color w:val="181A18"/>
          <w:szCs w:val="24"/>
          <w:lang w:val="en-CA" w:bidi="en-CA"/>
        </w:rPr>
        <w:t xml:space="preserve">esponsible individuals </w:t>
      </w:r>
      <w:r w:rsidR="0087082C" w:rsidRPr="0071186E">
        <w:rPr>
          <w:color w:val="181A18"/>
          <w:szCs w:val="24"/>
          <w:lang w:val="en-CA" w:bidi="en-CA"/>
        </w:rPr>
        <w:t xml:space="preserve">have been </w:t>
      </w:r>
      <w:r w:rsidRPr="0071186E">
        <w:rPr>
          <w:color w:val="181A18"/>
          <w:szCs w:val="24"/>
          <w:lang w:val="en-CA" w:bidi="en-CA"/>
        </w:rPr>
        <w:t>identified and have</w:t>
      </w:r>
      <w:r w:rsidR="00F002B6">
        <w:rPr>
          <w:color w:val="181A18"/>
          <w:szCs w:val="24"/>
          <w:lang w:val="en-CA" w:bidi="en-CA"/>
        </w:rPr>
        <w:t xml:space="preserve"> faced</w:t>
      </w:r>
      <w:r w:rsidRPr="0071186E">
        <w:rPr>
          <w:color w:val="181A18"/>
          <w:szCs w:val="24"/>
          <w:lang w:val="en-CA" w:bidi="en-CA"/>
        </w:rPr>
        <w:t xml:space="preserve"> or will face justice.</w:t>
      </w:r>
    </w:p>
    <w:p w14:paraId="276DB5E8" w14:textId="1D838751" w:rsidR="004208A9" w:rsidRPr="0071186E" w:rsidRDefault="004208A9" w:rsidP="004208A9">
      <w:pPr>
        <w:pStyle w:val="SimpleL1"/>
        <w:rPr>
          <w:color w:val="181A18"/>
          <w:szCs w:val="24"/>
          <w:lang w:val="en-CA" w:bidi="en-CA"/>
        </w:rPr>
      </w:pPr>
      <w:r w:rsidRPr="0071186E">
        <w:rPr>
          <w:color w:val="181A18"/>
          <w:szCs w:val="24"/>
          <w:lang w:val="en-CA" w:bidi="en-CA"/>
        </w:rPr>
        <w:t>It is therefore appropriate to turn to the last condition before concluding whether or not the Agreement should be approved, namely</w:t>
      </w:r>
      <w:r w:rsidR="00F002B6">
        <w:rPr>
          <w:color w:val="181A18"/>
          <w:szCs w:val="24"/>
          <w:lang w:val="en-CA" w:bidi="en-CA"/>
        </w:rPr>
        <w:t>,</w:t>
      </w:r>
      <w:r w:rsidRPr="0071186E">
        <w:rPr>
          <w:color w:val="181A18"/>
          <w:szCs w:val="24"/>
          <w:lang w:val="en-CA" w:bidi="en-CA"/>
        </w:rPr>
        <w:t xml:space="preserve"> whether the terms of the agreement are fair, reasonable and proportionate to the gravity of the offence.</w:t>
      </w:r>
    </w:p>
    <w:p w14:paraId="36E854B5" w14:textId="77777777" w:rsidR="004208A9" w:rsidRPr="0071186E" w:rsidRDefault="004208A9" w:rsidP="001E6FC4">
      <w:pPr>
        <w:pStyle w:val="Titre6"/>
        <w:ind w:hanging="720"/>
        <w:rPr>
          <w:lang w:val="en-CA" w:bidi="en-CA"/>
        </w:rPr>
      </w:pPr>
      <w:bookmarkStart w:id="25" w:name="_Toc109310863"/>
      <w:r w:rsidRPr="0071186E">
        <w:rPr>
          <w:lang w:val="en-CA" w:bidi="en-CA"/>
        </w:rPr>
        <w:t>Are the terms of the Agreement fair, reasonable and proportionate to the gravity of the offence?</w:t>
      </w:r>
      <w:bookmarkEnd w:id="25"/>
    </w:p>
    <w:p w14:paraId="0A066BEA" w14:textId="77777777" w:rsidR="004208A9" w:rsidRPr="0071186E" w:rsidRDefault="004208A9" w:rsidP="004208A9">
      <w:pPr>
        <w:pStyle w:val="SimpleL1"/>
        <w:rPr>
          <w:color w:val="181A18"/>
          <w:szCs w:val="24"/>
          <w:lang w:val="en-CA" w:bidi="en-CA"/>
        </w:rPr>
      </w:pPr>
      <w:r w:rsidRPr="0071186E">
        <w:rPr>
          <w:color w:val="181A18"/>
          <w:szCs w:val="24"/>
          <w:lang w:val="en-CA" w:bidi="en-CA"/>
        </w:rPr>
        <w:t>The terms of the Agreement have been set forth above in the formal verification of the Agreement. It is now necessary to analyze their content to determine whether they are fair, reasonable and proportionate to the gravity of the offence.</w:t>
      </w:r>
    </w:p>
    <w:p w14:paraId="3366A06A" w14:textId="23420E67" w:rsidR="004208A9" w:rsidRPr="0071186E" w:rsidRDefault="004208A9" w:rsidP="004208A9">
      <w:pPr>
        <w:pStyle w:val="SimpleL1"/>
        <w:rPr>
          <w:color w:val="181A18"/>
          <w:szCs w:val="24"/>
          <w:lang w:val="en-CA" w:bidi="en-CA"/>
        </w:rPr>
      </w:pPr>
      <w:r w:rsidRPr="0071186E">
        <w:rPr>
          <w:color w:val="181A18"/>
          <w:szCs w:val="24"/>
          <w:lang w:val="en-CA" w:bidi="en-CA"/>
        </w:rPr>
        <w:t xml:space="preserve">It is enlightening to have an overview of the Agreement’s financial framework since the Agreement must be taken as a whole to determine whether its conditions are fair, reasonable and proportionate. The </w:t>
      </w:r>
      <w:r w:rsidR="00F64C40">
        <w:rPr>
          <w:color w:val="181A18"/>
          <w:szCs w:val="24"/>
          <w:lang w:val="en-CA" w:bidi="en-CA"/>
        </w:rPr>
        <w:t>t</w:t>
      </w:r>
      <w:r w:rsidRPr="0071186E">
        <w:rPr>
          <w:color w:val="181A18"/>
          <w:szCs w:val="24"/>
          <w:lang w:val="en-CA" w:bidi="en-CA"/>
        </w:rPr>
        <w:t xml:space="preserve">able prepared by the Prosecutor is useful </w:t>
      </w:r>
      <w:r w:rsidR="00F64C40">
        <w:rPr>
          <w:color w:val="181A18"/>
          <w:szCs w:val="24"/>
          <w:lang w:val="en-CA" w:bidi="en-CA"/>
        </w:rPr>
        <w:t>to</w:t>
      </w:r>
      <w:r w:rsidR="00F64C40" w:rsidRPr="0071186E">
        <w:rPr>
          <w:color w:val="181A18"/>
          <w:szCs w:val="24"/>
          <w:lang w:val="en-CA" w:bidi="en-CA"/>
        </w:rPr>
        <w:t xml:space="preserve"> </w:t>
      </w:r>
      <w:r w:rsidRPr="0071186E">
        <w:rPr>
          <w:color w:val="181A18"/>
          <w:szCs w:val="24"/>
          <w:lang w:val="en-CA" w:bidi="en-CA"/>
        </w:rPr>
        <w:t xml:space="preserve">this </w:t>
      </w:r>
      <w:r w:rsidR="00F64C40">
        <w:rPr>
          <w:color w:val="181A18"/>
          <w:szCs w:val="24"/>
          <w:lang w:val="en-CA" w:bidi="en-CA"/>
        </w:rPr>
        <w:t>end</w:t>
      </w:r>
      <w:r w:rsidRPr="0071186E">
        <w:rPr>
          <w:color w:val="181A18"/>
          <w:szCs w:val="24"/>
          <w:lang w:val="en-CA" w:bidi="en-CA"/>
        </w:rPr>
        <w:t>:</w:t>
      </w:r>
    </w:p>
    <w:tbl>
      <w:tblPr>
        <w:tblW w:w="9078"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5"/>
        <w:gridCol w:w="1693"/>
        <w:gridCol w:w="1429"/>
        <w:gridCol w:w="1549"/>
        <w:gridCol w:w="1280"/>
        <w:gridCol w:w="1242"/>
      </w:tblGrid>
      <w:tr w:rsidR="004208A9" w:rsidRPr="0071186E" w14:paraId="59C301A8" w14:textId="77777777" w:rsidTr="00057C2F">
        <w:trPr>
          <w:trHeight w:val="821"/>
        </w:trPr>
        <w:tc>
          <w:tcPr>
            <w:tcW w:w="3578" w:type="dxa"/>
            <w:gridSpan w:val="2"/>
            <w:tcBorders>
              <w:bottom w:val="single" w:sz="4" w:space="0" w:color="000000"/>
              <w:right w:val="single" w:sz="6" w:space="0" w:color="000000"/>
            </w:tcBorders>
            <w:shd w:val="clear" w:color="auto" w:fill="9CC2E5" w:themeFill="accent1" w:themeFillTint="99"/>
          </w:tcPr>
          <w:p w14:paraId="0324C306" w14:textId="77777777" w:rsidR="004208A9" w:rsidRPr="0071186E" w:rsidRDefault="004208A9" w:rsidP="00C128CA">
            <w:pPr>
              <w:pStyle w:val="TableParagraph"/>
              <w:keepNext/>
              <w:keepLines/>
              <w:widowControl/>
              <w:spacing w:before="13"/>
              <w:ind w:left="865" w:right="841"/>
              <w:jc w:val="center"/>
              <w:rPr>
                <w:b/>
                <w:sz w:val="18"/>
              </w:rPr>
            </w:pPr>
            <w:r w:rsidRPr="0071186E">
              <w:rPr>
                <w:b/>
                <w:color w:val="161615"/>
                <w:sz w:val="18"/>
                <w:lang w:bidi="en-CA"/>
              </w:rPr>
              <w:lastRenderedPageBreak/>
              <w:t>Penalty</w:t>
            </w:r>
          </w:p>
          <w:p w14:paraId="345A7FB8" w14:textId="467B4A4A" w:rsidR="004208A9" w:rsidRPr="0071186E" w:rsidRDefault="004208A9" w:rsidP="004E2391">
            <w:pPr>
              <w:pStyle w:val="TableParagraph"/>
              <w:keepNext/>
              <w:keepLines/>
              <w:widowControl/>
              <w:spacing w:before="178"/>
              <w:ind w:left="60" w:right="1"/>
              <w:jc w:val="center"/>
              <w:rPr>
                <w:b/>
                <w:sz w:val="18"/>
              </w:rPr>
            </w:pPr>
            <w:r w:rsidRPr="0071186E">
              <w:rPr>
                <w:b/>
                <w:color w:val="161615"/>
                <w:sz w:val="18"/>
                <w:lang w:bidi="en-CA"/>
              </w:rPr>
              <w:t>715.31(b), 715.34</w:t>
            </w:r>
            <w:r w:rsidRPr="0071186E">
              <w:rPr>
                <w:b/>
                <w:color w:val="262826"/>
                <w:sz w:val="18"/>
                <w:lang w:bidi="en-CA"/>
              </w:rPr>
              <w:t>(1)(f)</w:t>
            </w:r>
            <w:r w:rsidR="004E2391">
              <w:rPr>
                <w:b/>
                <w:color w:val="262826"/>
                <w:sz w:val="18"/>
                <w:lang w:bidi="en-CA"/>
              </w:rPr>
              <w:t xml:space="preserve"> </w:t>
            </w:r>
            <w:r w:rsidRPr="0071186E">
              <w:rPr>
                <w:b/>
                <w:color w:val="161615"/>
                <w:sz w:val="18"/>
                <w:lang w:bidi="en-CA"/>
              </w:rPr>
              <w:t>Cr.</w:t>
            </w:r>
            <w:r w:rsidR="00F64C40">
              <w:rPr>
                <w:b/>
                <w:color w:val="161615"/>
                <w:sz w:val="18"/>
                <w:lang w:bidi="en-CA"/>
              </w:rPr>
              <w:t> </w:t>
            </w:r>
            <w:r w:rsidRPr="0071186E">
              <w:rPr>
                <w:b/>
                <w:color w:val="161615"/>
                <w:sz w:val="18"/>
                <w:lang w:bidi="en-CA"/>
              </w:rPr>
              <w:t>C.</w:t>
            </w:r>
          </w:p>
        </w:tc>
        <w:tc>
          <w:tcPr>
            <w:tcW w:w="1429" w:type="dxa"/>
            <w:vMerge w:val="restart"/>
            <w:tcBorders>
              <w:left w:val="single" w:sz="6" w:space="0" w:color="000000"/>
              <w:right w:val="single" w:sz="6" w:space="0" w:color="000000"/>
            </w:tcBorders>
            <w:shd w:val="clear" w:color="auto" w:fill="9CC2E5" w:themeFill="accent1" w:themeFillTint="99"/>
          </w:tcPr>
          <w:p w14:paraId="0EE274B7" w14:textId="77777777" w:rsidR="004208A9" w:rsidRPr="0071186E" w:rsidRDefault="006D3C7D" w:rsidP="00C128CA">
            <w:pPr>
              <w:pStyle w:val="TableParagraph"/>
              <w:keepNext/>
              <w:keepLines/>
              <w:widowControl/>
              <w:spacing w:before="13" w:line="259" w:lineRule="auto"/>
              <w:ind w:left="140" w:right="101" w:hanging="21"/>
              <w:jc w:val="center"/>
              <w:rPr>
                <w:b/>
                <w:sz w:val="18"/>
              </w:rPr>
            </w:pPr>
            <w:r w:rsidRPr="0071186E">
              <w:rPr>
                <w:b/>
                <w:color w:val="161615"/>
                <w:sz w:val="18"/>
                <w:lang w:bidi="en-CA"/>
              </w:rPr>
              <w:t>Forfeiture</w:t>
            </w:r>
            <w:r w:rsidR="004208A9" w:rsidRPr="0071186E">
              <w:rPr>
                <w:b/>
                <w:color w:val="161615"/>
                <w:sz w:val="18"/>
                <w:lang w:bidi="en-CA"/>
              </w:rPr>
              <w:t xml:space="preserve"> of property, benefit</w:t>
            </w:r>
            <w:r w:rsidR="00C128CA" w:rsidRPr="0071186E">
              <w:rPr>
                <w:b/>
                <w:color w:val="161615"/>
                <w:sz w:val="18"/>
                <w:lang w:bidi="en-CA"/>
              </w:rPr>
              <w:t>s</w:t>
            </w:r>
            <w:r w:rsidR="004208A9" w:rsidRPr="0071186E">
              <w:rPr>
                <w:b/>
                <w:color w:val="161615"/>
                <w:sz w:val="18"/>
                <w:lang w:bidi="en-CA"/>
              </w:rPr>
              <w:t xml:space="preserve"> or advantage</w:t>
            </w:r>
            <w:r w:rsidR="00C128CA" w:rsidRPr="0071186E">
              <w:rPr>
                <w:b/>
                <w:color w:val="161615"/>
                <w:sz w:val="18"/>
                <w:lang w:bidi="en-CA"/>
              </w:rPr>
              <w:t>s</w:t>
            </w:r>
          </w:p>
          <w:p w14:paraId="20A443CF" w14:textId="2171C2DB" w:rsidR="004208A9" w:rsidRPr="0071186E" w:rsidRDefault="004208A9" w:rsidP="00C128CA">
            <w:pPr>
              <w:pStyle w:val="TableParagraph"/>
              <w:keepNext/>
              <w:keepLines/>
              <w:widowControl/>
              <w:spacing w:before="161"/>
              <w:ind w:left="125"/>
              <w:jc w:val="center"/>
              <w:rPr>
                <w:b/>
                <w:sz w:val="18"/>
              </w:rPr>
            </w:pPr>
            <w:r w:rsidRPr="0071186E">
              <w:rPr>
                <w:b/>
                <w:color w:val="161615"/>
                <w:sz w:val="18"/>
                <w:lang w:bidi="en-CA"/>
              </w:rPr>
              <w:t>715.34 (1)(e)</w:t>
            </w:r>
            <w:r w:rsidR="00C128CA" w:rsidRPr="0071186E">
              <w:rPr>
                <w:b/>
                <w:color w:val="161615"/>
                <w:sz w:val="18"/>
                <w:lang w:bidi="en-CA"/>
              </w:rPr>
              <w:br/>
            </w:r>
            <w:r w:rsidRPr="0071186E">
              <w:rPr>
                <w:b/>
                <w:color w:val="161615"/>
                <w:sz w:val="18"/>
                <w:lang w:bidi="en-CA"/>
              </w:rPr>
              <w:t>Cr.</w:t>
            </w:r>
            <w:r w:rsidR="00F64C40">
              <w:rPr>
                <w:b/>
                <w:color w:val="161615"/>
                <w:sz w:val="18"/>
                <w:lang w:bidi="en-CA"/>
              </w:rPr>
              <w:t> </w:t>
            </w:r>
            <w:r w:rsidRPr="0071186E">
              <w:rPr>
                <w:b/>
                <w:color w:val="161615"/>
                <w:sz w:val="18"/>
                <w:lang w:bidi="en-CA"/>
              </w:rPr>
              <w:t>C.</w:t>
            </w:r>
          </w:p>
        </w:tc>
        <w:tc>
          <w:tcPr>
            <w:tcW w:w="1549" w:type="dxa"/>
            <w:vMerge w:val="restart"/>
            <w:tcBorders>
              <w:left w:val="single" w:sz="6" w:space="0" w:color="000000"/>
              <w:right w:val="single" w:sz="6" w:space="0" w:color="000000"/>
            </w:tcBorders>
            <w:shd w:val="clear" w:color="auto" w:fill="9CC2E5" w:themeFill="accent1" w:themeFillTint="99"/>
          </w:tcPr>
          <w:p w14:paraId="58CA1FEF" w14:textId="77777777" w:rsidR="004208A9" w:rsidRPr="0071186E" w:rsidRDefault="00C128CA" w:rsidP="00C128CA">
            <w:pPr>
              <w:pStyle w:val="TableParagraph"/>
              <w:keepNext/>
              <w:keepLines/>
              <w:widowControl/>
              <w:spacing w:before="13" w:line="254" w:lineRule="auto"/>
              <w:ind w:left="163" w:right="143" w:firstLine="8"/>
              <w:jc w:val="center"/>
              <w:rPr>
                <w:b/>
                <w:sz w:val="18"/>
              </w:rPr>
            </w:pPr>
            <w:r w:rsidRPr="0071186E">
              <w:rPr>
                <w:b/>
                <w:color w:val="262826"/>
                <w:sz w:val="18"/>
                <w:lang w:bidi="en-CA"/>
              </w:rPr>
              <w:t>R</w:t>
            </w:r>
            <w:r w:rsidR="004208A9" w:rsidRPr="0071186E">
              <w:rPr>
                <w:b/>
                <w:color w:val="262826"/>
                <w:sz w:val="18"/>
                <w:lang w:bidi="en-CA"/>
              </w:rPr>
              <w:t>eparation</w:t>
            </w:r>
            <w:r w:rsidRPr="0071186E">
              <w:rPr>
                <w:b/>
                <w:color w:val="262826"/>
                <w:sz w:val="18"/>
                <w:lang w:bidi="en-CA"/>
              </w:rPr>
              <w:t>s</w:t>
            </w:r>
            <w:r w:rsidR="004208A9" w:rsidRPr="0071186E">
              <w:rPr>
                <w:b/>
                <w:color w:val="262826"/>
                <w:sz w:val="18"/>
                <w:lang w:bidi="en-CA"/>
              </w:rPr>
              <w:t xml:space="preserve"> to the victim</w:t>
            </w:r>
          </w:p>
          <w:p w14:paraId="5D37F574" w14:textId="78D09AC6" w:rsidR="004208A9" w:rsidRPr="0071186E" w:rsidRDefault="004208A9" w:rsidP="00C128CA">
            <w:pPr>
              <w:pStyle w:val="TableParagraph"/>
              <w:keepNext/>
              <w:keepLines/>
              <w:widowControl/>
              <w:spacing w:before="156"/>
              <w:ind w:left="204" w:right="188"/>
              <w:jc w:val="center"/>
              <w:rPr>
                <w:b/>
                <w:sz w:val="18"/>
              </w:rPr>
            </w:pPr>
            <w:r w:rsidRPr="0071186E">
              <w:rPr>
                <w:b/>
                <w:color w:val="161615"/>
                <w:sz w:val="18"/>
                <w:lang w:bidi="en-CA"/>
              </w:rPr>
              <w:t>715.34</w:t>
            </w:r>
            <w:r w:rsidRPr="0071186E">
              <w:rPr>
                <w:b/>
                <w:color w:val="262826"/>
                <w:sz w:val="18"/>
                <w:lang w:bidi="en-CA"/>
              </w:rPr>
              <w:t>(1)(g),</w:t>
            </w:r>
            <w:r w:rsidRPr="0071186E">
              <w:rPr>
                <w:b/>
                <w:color w:val="161615"/>
                <w:sz w:val="18"/>
                <w:lang w:bidi="en-CA"/>
              </w:rPr>
              <w:t>738</w:t>
            </w:r>
            <w:r w:rsidR="00C128CA" w:rsidRPr="0071186E">
              <w:rPr>
                <w:b/>
                <w:color w:val="161615"/>
                <w:sz w:val="18"/>
                <w:lang w:bidi="en-CA"/>
              </w:rPr>
              <w:br/>
            </w:r>
            <w:r w:rsidRPr="0071186E">
              <w:rPr>
                <w:b/>
                <w:color w:val="161615"/>
                <w:sz w:val="18"/>
                <w:lang w:bidi="en-CA"/>
              </w:rPr>
              <w:t>Cr.</w:t>
            </w:r>
            <w:r w:rsidR="00F64C40">
              <w:rPr>
                <w:b/>
                <w:color w:val="161615"/>
                <w:sz w:val="18"/>
                <w:lang w:bidi="en-CA"/>
              </w:rPr>
              <w:t> </w:t>
            </w:r>
            <w:r w:rsidRPr="0071186E">
              <w:rPr>
                <w:b/>
                <w:color w:val="161615"/>
                <w:sz w:val="18"/>
                <w:lang w:bidi="en-CA"/>
              </w:rPr>
              <w:t>C.</w:t>
            </w:r>
          </w:p>
        </w:tc>
        <w:tc>
          <w:tcPr>
            <w:tcW w:w="1280" w:type="dxa"/>
            <w:vMerge w:val="restart"/>
            <w:tcBorders>
              <w:left w:val="single" w:sz="6" w:space="0" w:color="000000"/>
              <w:right w:val="single" w:sz="6" w:space="0" w:color="000000"/>
            </w:tcBorders>
            <w:shd w:val="clear" w:color="auto" w:fill="9CC2E5" w:themeFill="accent1" w:themeFillTint="99"/>
          </w:tcPr>
          <w:p w14:paraId="46D056FB" w14:textId="77777777" w:rsidR="004208A9" w:rsidRPr="0071186E" w:rsidRDefault="00C128CA" w:rsidP="00C128CA">
            <w:pPr>
              <w:pStyle w:val="TableParagraph"/>
              <w:keepNext/>
              <w:keepLines/>
              <w:widowControl/>
              <w:spacing w:before="13" w:line="256" w:lineRule="auto"/>
              <w:ind w:left="113" w:firstLine="126"/>
              <w:jc w:val="center"/>
              <w:rPr>
                <w:b/>
                <w:sz w:val="18"/>
              </w:rPr>
            </w:pPr>
            <w:r w:rsidRPr="0071186E">
              <w:rPr>
                <w:b/>
                <w:color w:val="161615"/>
                <w:sz w:val="18"/>
                <w:lang w:bidi="en-CA"/>
              </w:rPr>
              <w:t>Victim su</w:t>
            </w:r>
            <w:r w:rsidR="004208A9" w:rsidRPr="0071186E">
              <w:rPr>
                <w:b/>
                <w:color w:val="161615"/>
                <w:sz w:val="18"/>
                <w:lang w:bidi="en-CA"/>
              </w:rPr>
              <w:t xml:space="preserve">rcharge </w:t>
            </w:r>
          </w:p>
          <w:p w14:paraId="41A5ADFB" w14:textId="7508A333" w:rsidR="004208A9" w:rsidRPr="0071186E" w:rsidRDefault="004208A9" w:rsidP="004E2391">
            <w:pPr>
              <w:pStyle w:val="TableParagraph"/>
              <w:keepNext/>
              <w:keepLines/>
              <w:widowControl/>
              <w:spacing w:before="163"/>
              <w:ind w:left="214"/>
              <w:jc w:val="center"/>
              <w:rPr>
                <w:b/>
                <w:sz w:val="18"/>
              </w:rPr>
            </w:pPr>
            <w:r w:rsidRPr="0071186E">
              <w:rPr>
                <w:b/>
                <w:color w:val="161615"/>
                <w:sz w:val="18"/>
                <w:lang w:bidi="en-CA"/>
              </w:rPr>
              <w:t>715.34</w:t>
            </w:r>
            <w:r w:rsidRPr="0071186E">
              <w:rPr>
                <w:b/>
                <w:color w:val="262826"/>
                <w:sz w:val="18"/>
                <w:lang w:bidi="en-CA"/>
              </w:rPr>
              <w:t>(1)(h),715.37 (5)</w:t>
            </w:r>
            <w:r w:rsidR="00C128CA" w:rsidRPr="0071186E">
              <w:rPr>
                <w:b/>
                <w:color w:val="262826"/>
                <w:sz w:val="18"/>
                <w:lang w:bidi="en-CA"/>
              </w:rPr>
              <w:br/>
            </w:r>
            <w:r w:rsidRPr="0071186E">
              <w:rPr>
                <w:b/>
                <w:color w:val="161615"/>
                <w:sz w:val="18"/>
                <w:lang w:bidi="en-CA"/>
              </w:rPr>
              <w:t>Cr.</w:t>
            </w:r>
            <w:r w:rsidR="00F64C40">
              <w:rPr>
                <w:b/>
                <w:color w:val="161615"/>
                <w:sz w:val="18"/>
                <w:lang w:bidi="en-CA"/>
              </w:rPr>
              <w:t> </w:t>
            </w:r>
            <w:r w:rsidRPr="0071186E">
              <w:rPr>
                <w:b/>
                <w:color w:val="161615"/>
                <w:sz w:val="18"/>
                <w:lang w:bidi="en-CA"/>
              </w:rPr>
              <w:t>C.</w:t>
            </w:r>
          </w:p>
        </w:tc>
        <w:tc>
          <w:tcPr>
            <w:tcW w:w="1242" w:type="dxa"/>
            <w:vMerge w:val="restart"/>
            <w:tcBorders>
              <w:left w:val="single" w:sz="6" w:space="0" w:color="000000"/>
            </w:tcBorders>
            <w:shd w:val="clear" w:color="auto" w:fill="9CC2E5" w:themeFill="accent1" w:themeFillTint="99"/>
          </w:tcPr>
          <w:p w14:paraId="0C104503" w14:textId="77777777" w:rsidR="004208A9" w:rsidRPr="0071186E" w:rsidRDefault="004208A9" w:rsidP="00C128CA">
            <w:pPr>
              <w:pStyle w:val="TableParagraph"/>
              <w:keepNext/>
              <w:keepLines/>
              <w:widowControl/>
              <w:jc w:val="center"/>
              <w:rPr>
                <w:sz w:val="20"/>
              </w:rPr>
            </w:pPr>
          </w:p>
          <w:p w14:paraId="67343ADC" w14:textId="77777777" w:rsidR="004208A9" w:rsidRPr="0071186E" w:rsidRDefault="004208A9" w:rsidP="00C128CA">
            <w:pPr>
              <w:pStyle w:val="TableParagraph"/>
              <w:keepNext/>
              <w:keepLines/>
              <w:widowControl/>
              <w:spacing w:before="163"/>
              <w:ind w:left="402" w:right="391"/>
              <w:jc w:val="center"/>
              <w:rPr>
                <w:b/>
                <w:sz w:val="18"/>
              </w:rPr>
            </w:pPr>
            <w:r w:rsidRPr="0071186E">
              <w:rPr>
                <w:b/>
                <w:color w:val="262826"/>
                <w:sz w:val="18"/>
                <w:lang w:bidi="en-CA"/>
              </w:rPr>
              <w:t>Total</w:t>
            </w:r>
          </w:p>
        </w:tc>
      </w:tr>
      <w:tr w:rsidR="004208A9" w:rsidRPr="0071186E" w14:paraId="75248DB8" w14:textId="77777777" w:rsidTr="00057C2F">
        <w:trPr>
          <w:trHeight w:val="605"/>
        </w:trPr>
        <w:tc>
          <w:tcPr>
            <w:tcW w:w="1885" w:type="dxa"/>
            <w:tcBorders>
              <w:bottom w:val="single" w:sz="4" w:space="0" w:color="000000"/>
            </w:tcBorders>
            <w:shd w:val="clear" w:color="auto" w:fill="9CC2E5" w:themeFill="accent1" w:themeFillTint="99"/>
          </w:tcPr>
          <w:p w14:paraId="29236DEA" w14:textId="382F5D4F" w:rsidR="004208A9" w:rsidRPr="0071186E" w:rsidRDefault="002225C0" w:rsidP="00C128CA">
            <w:pPr>
              <w:pStyle w:val="TableParagraph"/>
              <w:keepNext/>
              <w:keepLines/>
              <w:widowControl/>
              <w:spacing w:line="173" w:lineRule="exact"/>
              <w:ind w:right="104"/>
              <w:jc w:val="center"/>
              <w:rPr>
                <w:b/>
                <w:sz w:val="18"/>
              </w:rPr>
            </w:pPr>
            <w:r>
              <w:rPr>
                <w:b/>
                <w:color w:val="161615"/>
                <w:sz w:val="18"/>
                <w:lang w:bidi="en-CA"/>
              </w:rPr>
              <w:t>Projected</w:t>
            </w:r>
            <w:r w:rsidRPr="0071186E">
              <w:rPr>
                <w:b/>
                <w:color w:val="161615"/>
                <w:sz w:val="18"/>
                <w:lang w:bidi="en-CA"/>
              </w:rPr>
              <w:t xml:space="preserve"> </w:t>
            </w:r>
            <w:r w:rsidR="004208A9" w:rsidRPr="0071186E">
              <w:rPr>
                <w:b/>
                <w:color w:val="161615"/>
                <w:sz w:val="18"/>
                <w:lang w:bidi="en-CA"/>
              </w:rPr>
              <w:t>profit</w:t>
            </w:r>
          </w:p>
        </w:tc>
        <w:tc>
          <w:tcPr>
            <w:tcW w:w="1693" w:type="dxa"/>
            <w:tcBorders>
              <w:bottom w:val="single" w:sz="4" w:space="0" w:color="000000"/>
            </w:tcBorders>
            <w:shd w:val="clear" w:color="auto" w:fill="9CC2E5" w:themeFill="accent1" w:themeFillTint="99"/>
          </w:tcPr>
          <w:p w14:paraId="4F3C625A" w14:textId="77777777" w:rsidR="004208A9" w:rsidRPr="0071186E" w:rsidRDefault="004208A9" w:rsidP="00C128CA">
            <w:pPr>
              <w:pStyle w:val="TableParagraph"/>
              <w:keepNext/>
              <w:keepLines/>
              <w:widowControl/>
              <w:spacing w:line="173" w:lineRule="exact"/>
              <w:ind w:left="226"/>
              <w:rPr>
                <w:b/>
                <w:sz w:val="18"/>
              </w:rPr>
            </w:pPr>
            <w:r w:rsidRPr="0071186E">
              <w:rPr>
                <w:b/>
                <w:color w:val="161615"/>
                <w:sz w:val="18"/>
                <w:lang w:bidi="en-CA"/>
              </w:rPr>
              <w:t xml:space="preserve">Punitive factor </w:t>
            </w:r>
          </w:p>
        </w:tc>
        <w:tc>
          <w:tcPr>
            <w:tcW w:w="1429" w:type="dxa"/>
            <w:vMerge/>
            <w:tcBorders>
              <w:top w:val="nil"/>
              <w:bottom w:val="single" w:sz="4" w:space="0" w:color="000000"/>
            </w:tcBorders>
          </w:tcPr>
          <w:p w14:paraId="5A960750" w14:textId="77777777" w:rsidR="004208A9" w:rsidRPr="0071186E" w:rsidRDefault="004208A9" w:rsidP="00C128CA">
            <w:pPr>
              <w:keepNext/>
              <w:keepLines/>
              <w:rPr>
                <w:sz w:val="2"/>
                <w:szCs w:val="2"/>
                <w:lang w:val="en-CA"/>
              </w:rPr>
            </w:pPr>
          </w:p>
        </w:tc>
        <w:tc>
          <w:tcPr>
            <w:tcW w:w="1549" w:type="dxa"/>
            <w:vMerge/>
            <w:tcBorders>
              <w:top w:val="nil"/>
              <w:bottom w:val="single" w:sz="4" w:space="0" w:color="000000"/>
            </w:tcBorders>
          </w:tcPr>
          <w:p w14:paraId="48A36220" w14:textId="77777777" w:rsidR="004208A9" w:rsidRPr="0071186E" w:rsidRDefault="004208A9" w:rsidP="00C128CA">
            <w:pPr>
              <w:keepNext/>
              <w:keepLines/>
              <w:rPr>
                <w:sz w:val="2"/>
                <w:szCs w:val="2"/>
                <w:lang w:val="en-CA"/>
              </w:rPr>
            </w:pPr>
          </w:p>
        </w:tc>
        <w:tc>
          <w:tcPr>
            <w:tcW w:w="1280" w:type="dxa"/>
            <w:vMerge/>
            <w:tcBorders>
              <w:top w:val="nil"/>
              <w:bottom w:val="single" w:sz="4" w:space="0" w:color="000000"/>
            </w:tcBorders>
          </w:tcPr>
          <w:p w14:paraId="3EF84C34" w14:textId="77777777" w:rsidR="004208A9" w:rsidRPr="0071186E" w:rsidRDefault="004208A9" w:rsidP="00C128CA">
            <w:pPr>
              <w:keepNext/>
              <w:keepLines/>
              <w:rPr>
                <w:sz w:val="2"/>
                <w:szCs w:val="2"/>
                <w:lang w:val="en-CA"/>
              </w:rPr>
            </w:pPr>
          </w:p>
        </w:tc>
        <w:tc>
          <w:tcPr>
            <w:tcW w:w="1242" w:type="dxa"/>
            <w:vMerge/>
            <w:tcBorders>
              <w:top w:val="nil"/>
              <w:bottom w:val="single" w:sz="4" w:space="0" w:color="000000"/>
            </w:tcBorders>
          </w:tcPr>
          <w:p w14:paraId="569033EA" w14:textId="77777777" w:rsidR="004208A9" w:rsidRPr="0071186E" w:rsidRDefault="004208A9" w:rsidP="00C128CA">
            <w:pPr>
              <w:keepNext/>
              <w:keepLines/>
              <w:rPr>
                <w:sz w:val="2"/>
                <w:szCs w:val="2"/>
                <w:lang w:val="en-CA"/>
              </w:rPr>
            </w:pPr>
          </w:p>
        </w:tc>
      </w:tr>
      <w:tr w:rsidR="004208A9" w:rsidRPr="0071186E" w14:paraId="2CEF276F" w14:textId="77777777" w:rsidTr="00057C2F">
        <w:trPr>
          <w:trHeight w:val="2493"/>
        </w:trPr>
        <w:tc>
          <w:tcPr>
            <w:tcW w:w="1885" w:type="dxa"/>
            <w:tcBorders>
              <w:bottom w:val="nil"/>
            </w:tcBorders>
            <w:shd w:val="clear" w:color="auto" w:fill="FFF2CC" w:themeFill="accent4" w:themeFillTint="33"/>
          </w:tcPr>
          <w:p w14:paraId="165DB366" w14:textId="0C1B7C04" w:rsidR="004208A9" w:rsidRPr="0071186E" w:rsidRDefault="002225C0" w:rsidP="00C128CA">
            <w:pPr>
              <w:pStyle w:val="TableParagraph"/>
              <w:keepNext/>
              <w:keepLines/>
              <w:widowControl/>
              <w:spacing w:before="23" w:line="259" w:lineRule="auto"/>
              <w:ind w:left="117" w:right="111" w:hanging="2"/>
              <w:rPr>
                <w:sz w:val="18"/>
              </w:rPr>
            </w:pPr>
            <w:r>
              <w:rPr>
                <w:color w:val="161615"/>
                <w:sz w:val="18"/>
                <w:lang w:bidi="en-CA"/>
              </w:rPr>
              <w:t>Projected</w:t>
            </w:r>
            <w:r w:rsidRPr="0071186E">
              <w:rPr>
                <w:color w:val="161615"/>
                <w:sz w:val="18"/>
                <w:lang w:bidi="en-CA"/>
              </w:rPr>
              <w:t xml:space="preserve"> </w:t>
            </w:r>
            <w:r w:rsidR="004208A9" w:rsidRPr="0071186E">
              <w:rPr>
                <w:color w:val="161615"/>
                <w:sz w:val="18"/>
                <w:lang w:bidi="en-CA"/>
              </w:rPr>
              <w:t xml:space="preserve">profit for the completion of the </w:t>
            </w:r>
            <w:r w:rsidR="00C66C74" w:rsidRPr="00C66C74">
              <w:rPr>
                <w:color w:val="161615"/>
                <w:sz w:val="18"/>
                <w:lang w:bidi="en-CA"/>
              </w:rPr>
              <w:t>Jacques Carti</w:t>
            </w:r>
            <w:r w:rsidR="00C66C74">
              <w:rPr>
                <w:color w:val="161615"/>
                <w:sz w:val="18"/>
                <w:lang w:bidi="en-CA"/>
              </w:rPr>
              <w:t>er Bridge refurbishment project</w:t>
            </w:r>
            <w:r w:rsidR="004208A9" w:rsidRPr="0071186E">
              <w:rPr>
                <w:color w:val="161615"/>
                <w:sz w:val="18"/>
                <w:lang w:bidi="en-CA"/>
              </w:rPr>
              <w:t xml:space="preserve">, </w:t>
            </w:r>
            <w:r w:rsidR="004208A9" w:rsidRPr="0071186E">
              <w:rPr>
                <w:color w:val="262826"/>
                <w:sz w:val="18"/>
                <w:lang w:bidi="en-CA"/>
              </w:rPr>
              <w:t xml:space="preserve">based on SNCL’s 50% interest in the </w:t>
            </w:r>
            <w:r w:rsidR="004208A9" w:rsidRPr="0071186E">
              <w:rPr>
                <w:color w:val="161615"/>
                <w:sz w:val="18"/>
                <w:lang w:bidi="en-CA"/>
              </w:rPr>
              <w:t>consortium;</w:t>
            </w:r>
          </w:p>
          <w:p w14:paraId="23B804BB" w14:textId="77777777" w:rsidR="004208A9" w:rsidRPr="0071186E" w:rsidRDefault="004208A9" w:rsidP="00C128CA">
            <w:pPr>
              <w:pStyle w:val="TableParagraph"/>
              <w:keepNext/>
              <w:keepLines/>
              <w:widowControl/>
              <w:spacing w:before="152"/>
              <w:ind w:left="121"/>
              <w:rPr>
                <w:rFonts w:ascii="Times New Roman"/>
                <w:sz w:val="19"/>
              </w:rPr>
            </w:pPr>
            <w:r w:rsidRPr="0071186E">
              <w:rPr>
                <w:b/>
                <w:color w:val="161615"/>
                <w:sz w:val="18"/>
                <w:lang w:bidi="en-CA"/>
              </w:rPr>
              <w:t>$5,300,000</w:t>
            </w:r>
          </w:p>
          <w:p w14:paraId="659A4802" w14:textId="77777777" w:rsidR="004208A9" w:rsidRPr="0071186E" w:rsidRDefault="004208A9" w:rsidP="00C128CA">
            <w:pPr>
              <w:pStyle w:val="TableParagraph"/>
              <w:keepNext/>
              <w:keepLines/>
              <w:widowControl/>
              <w:spacing w:before="4"/>
              <w:rPr>
                <w:sz w:val="16"/>
              </w:rPr>
            </w:pPr>
          </w:p>
          <w:p w14:paraId="6AC958E7" w14:textId="77777777" w:rsidR="004208A9" w:rsidRPr="0071186E" w:rsidRDefault="004208A9" w:rsidP="00C128CA">
            <w:pPr>
              <w:pStyle w:val="TableParagraph"/>
              <w:keepNext/>
              <w:keepLines/>
              <w:widowControl/>
              <w:ind w:left="116"/>
              <w:rPr>
                <w:sz w:val="15"/>
              </w:rPr>
            </w:pPr>
            <w:r w:rsidRPr="0071186E">
              <w:rPr>
                <w:color w:val="161615"/>
                <w:sz w:val="15"/>
                <w:lang w:bidi="en-CA"/>
              </w:rPr>
              <w:t>+</w:t>
            </w:r>
          </w:p>
        </w:tc>
        <w:tc>
          <w:tcPr>
            <w:tcW w:w="1693" w:type="dxa"/>
            <w:tcBorders>
              <w:bottom w:val="nil"/>
            </w:tcBorders>
            <w:shd w:val="clear" w:color="auto" w:fill="FFF2CC" w:themeFill="accent4" w:themeFillTint="33"/>
          </w:tcPr>
          <w:p w14:paraId="49649080" w14:textId="77777777" w:rsidR="004208A9" w:rsidRPr="0071186E" w:rsidRDefault="00C128CA" w:rsidP="00C128CA">
            <w:pPr>
              <w:pStyle w:val="TableParagraph"/>
              <w:keepNext/>
              <w:keepLines/>
              <w:widowControl/>
              <w:spacing w:before="23" w:line="259" w:lineRule="auto"/>
              <w:ind w:left="112" w:hanging="2"/>
              <w:rPr>
                <w:sz w:val="18"/>
              </w:rPr>
            </w:pPr>
            <w:r w:rsidRPr="0071186E">
              <w:rPr>
                <w:b/>
                <w:color w:val="161615"/>
                <w:sz w:val="18"/>
                <w:lang w:bidi="en-CA"/>
              </w:rPr>
              <w:t>350%</w:t>
            </w:r>
            <w:r w:rsidRPr="0071186E">
              <w:rPr>
                <w:color w:val="161615"/>
                <w:sz w:val="18"/>
                <w:lang w:bidi="en-CA"/>
              </w:rPr>
              <w:t xml:space="preserve"> </w:t>
            </w:r>
            <w:r w:rsidR="004208A9" w:rsidRPr="0071186E">
              <w:rPr>
                <w:color w:val="161615"/>
                <w:sz w:val="18"/>
                <w:lang w:bidi="en-CA"/>
              </w:rPr>
              <w:t xml:space="preserve">Multiplying factor </w:t>
            </w:r>
            <w:r w:rsidRPr="0071186E">
              <w:rPr>
                <w:color w:val="161615"/>
                <w:sz w:val="18"/>
                <w:lang w:bidi="en-CA"/>
              </w:rPr>
              <w:t xml:space="preserve">on </w:t>
            </w:r>
            <w:r w:rsidR="004208A9" w:rsidRPr="0071186E">
              <w:rPr>
                <w:color w:val="161615"/>
                <w:sz w:val="18"/>
                <w:lang w:bidi="en-CA"/>
              </w:rPr>
              <w:t xml:space="preserve">the base amount </w:t>
            </w:r>
            <w:r w:rsidRPr="0071186E">
              <w:rPr>
                <w:color w:val="161615"/>
                <w:sz w:val="18"/>
                <w:lang w:bidi="en-CA"/>
              </w:rPr>
              <w:t>=</w:t>
            </w:r>
          </w:p>
          <w:p w14:paraId="32085EA2" w14:textId="77777777" w:rsidR="004208A9" w:rsidRPr="0071186E" w:rsidRDefault="004208A9" w:rsidP="00C128CA">
            <w:pPr>
              <w:pStyle w:val="TableParagraph"/>
              <w:keepNext/>
              <w:keepLines/>
              <w:widowControl/>
              <w:spacing w:before="159"/>
              <w:ind w:left="119"/>
              <w:rPr>
                <w:rFonts w:ascii="Times New Roman"/>
                <w:sz w:val="19"/>
              </w:rPr>
            </w:pPr>
            <w:r w:rsidRPr="0071186E">
              <w:rPr>
                <w:b/>
                <w:color w:val="161615"/>
                <w:sz w:val="18"/>
                <w:lang w:bidi="en-CA"/>
              </w:rPr>
              <w:t>$24,180,</w:t>
            </w:r>
            <w:r w:rsidRPr="0071186E">
              <w:rPr>
                <w:b/>
                <w:color w:val="262826"/>
                <w:sz w:val="18"/>
                <w:lang w:bidi="en-CA"/>
              </w:rPr>
              <w:t>181</w:t>
            </w:r>
          </w:p>
          <w:p w14:paraId="0623486B" w14:textId="77777777" w:rsidR="004208A9" w:rsidRPr="0071186E" w:rsidRDefault="004208A9" w:rsidP="00C128CA">
            <w:pPr>
              <w:pStyle w:val="TableParagraph"/>
              <w:keepNext/>
              <w:keepLines/>
              <w:widowControl/>
              <w:rPr>
                <w:sz w:val="20"/>
              </w:rPr>
            </w:pPr>
          </w:p>
          <w:p w14:paraId="129DE300" w14:textId="77777777" w:rsidR="004208A9" w:rsidRPr="0071186E" w:rsidRDefault="004208A9" w:rsidP="00C128CA">
            <w:pPr>
              <w:pStyle w:val="TableParagraph"/>
              <w:keepNext/>
              <w:keepLines/>
              <w:widowControl/>
              <w:rPr>
                <w:sz w:val="25"/>
              </w:rPr>
            </w:pPr>
          </w:p>
          <w:p w14:paraId="4E1A3E55" w14:textId="77777777" w:rsidR="004208A9" w:rsidRPr="0071186E" w:rsidRDefault="004208A9" w:rsidP="00C128CA">
            <w:pPr>
              <w:pStyle w:val="TableParagraph"/>
              <w:keepNext/>
              <w:keepLines/>
              <w:widowControl/>
              <w:spacing w:before="1" w:line="220" w:lineRule="atLeast"/>
              <w:ind w:left="113" w:firstLine="6"/>
              <w:rPr>
                <w:color w:val="262826"/>
                <w:sz w:val="18"/>
                <w:lang w:bidi="en-CA"/>
              </w:rPr>
            </w:pPr>
            <w:r w:rsidRPr="0071186E">
              <w:rPr>
                <w:color w:val="262826"/>
                <w:sz w:val="18"/>
                <w:lang w:bidi="en-CA"/>
              </w:rPr>
              <w:t xml:space="preserve">Application of </w:t>
            </w:r>
            <w:r w:rsidRPr="0071186E">
              <w:rPr>
                <w:color w:val="424241"/>
                <w:sz w:val="18"/>
                <w:lang w:bidi="en-CA"/>
              </w:rPr>
              <w:t xml:space="preserve">a cooperation credit of </w:t>
            </w:r>
            <w:r w:rsidRPr="0071186E">
              <w:rPr>
                <w:b/>
                <w:color w:val="161615"/>
                <w:sz w:val="18"/>
                <w:lang w:bidi="en-CA"/>
              </w:rPr>
              <w:t xml:space="preserve">25% </w:t>
            </w:r>
            <w:r w:rsidRPr="0071186E">
              <w:rPr>
                <w:color w:val="262826"/>
                <w:sz w:val="18"/>
                <w:lang w:bidi="en-CA"/>
              </w:rPr>
              <w:t>=</w:t>
            </w:r>
          </w:p>
          <w:p w14:paraId="5FD619B8" w14:textId="77777777" w:rsidR="00C128CA" w:rsidRPr="0071186E" w:rsidRDefault="00C128CA" w:rsidP="00C128CA">
            <w:pPr>
              <w:pStyle w:val="TableParagraph"/>
              <w:keepNext/>
              <w:keepLines/>
              <w:widowControl/>
              <w:spacing w:before="1" w:line="220" w:lineRule="atLeast"/>
              <w:ind w:left="113" w:firstLine="6"/>
              <w:rPr>
                <w:color w:val="262826"/>
                <w:sz w:val="18"/>
                <w:lang w:bidi="en-CA"/>
              </w:rPr>
            </w:pPr>
          </w:p>
          <w:p w14:paraId="33A595B1" w14:textId="77777777" w:rsidR="00C128CA" w:rsidRPr="0071186E" w:rsidRDefault="00C128CA" w:rsidP="00C128CA">
            <w:pPr>
              <w:pStyle w:val="TableParagraph"/>
              <w:keepNext/>
              <w:keepLines/>
              <w:widowControl/>
              <w:spacing w:before="1" w:line="220" w:lineRule="atLeast"/>
              <w:ind w:left="113" w:firstLine="6"/>
              <w:rPr>
                <w:sz w:val="18"/>
              </w:rPr>
            </w:pPr>
            <w:r w:rsidRPr="0071186E">
              <w:rPr>
                <w:b/>
                <w:color w:val="262826"/>
                <w:sz w:val="18"/>
                <w:lang w:bidi="en-CA"/>
              </w:rPr>
              <w:t>$18,135,135</w:t>
            </w:r>
          </w:p>
        </w:tc>
        <w:tc>
          <w:tcPr>
            <w:tcW w:w="1429" w:type="dxa"/>
            <w:tcBorders>
              <w:bottom w:val="nil"/>
            </w:tcBorders>
            <w:shd w:val="clear" w:color="auto" w:fill="FFE599" w:themeFill="accent4" w:themeFillTint="66"/>
          </w:tcPr>
          <w:p w14:paraId="726C65B7" w14:textId="77777777" w:rsidR="004208A9" w:rsidRPr="0071186E" w:rsidRDefault="00C66C74" w:rsidP="00C128CA">
            <w:pPr>
              <w:pStyle w:val="TableParagraph"/>
              <w:keepNext/>
              <w:keepLines/>
              <w:widowControl/>
              <w:spacing w:before="18" w:line="256" w:lineRule="auto"/>
              <w:ind w:left="120" w:hanging="6"/>
              <w:rPr>
                <w:b/>
                <w:sz w:val="18"/>
              </w:rPr>
            </w:pPr>
            <w:r>
              <w:rPr>
                <w:color w:val="161615"/>
                <w:sz w:val="18"/>
                <w:lang w:bidi="en-CA"/>
              </w:rPr>
              <w:t>Profit realized</w:t>
            </w:r>
            <w:r w:rsidR="004208A9" w:rsidRPr="0071186E">
              <w:rPr>
                <w:color w:val="161615"/>
                <w:sz w:val="18"/>
                <w:lang w:bidi="en-CA"/>
              </w:rPr>
              <w:t xml:space="preserve"> by SNCL </w:t>
            </w:r>
            <w:r w:rsidR="00C128CA" w:rsidRPr="0071186E">
              <w:rPr>
                <w:color w:val="161615"/>
                <w:sz w:val="18"/>
                <w:lang w:bidi="en-CA"/>
              </w:rPr>
              <w:t xml:space="preserve">of </w:t>
            </w:r>
            <w:r w:rsidR="004208A9" w:rsidRPr="0071186E">
              <w:rPr>
                <w:color w:val="161615"/>
                <w:sz w:val="18"/>
                <w:lang w:bidi="en-CA"/>
              </w:rPr>
              <w:t>$</w:t>
            </w:r>
            <w:r w:rsidR="004208A9" w:rsidRPr="0071186E">
              <w:rPr>
                <w:b/>
                <w:color w:val="262826"/>
                <w:sz w:val="18"/>
                <w:lang w:bidi="en-CA"/>
              </w:rPr>
              <w:t>1</w:t>
            </w:r>
            <w:r w:rsidR="004208A9" w:rsidRPr="0071186E">
              <w:rPr>
                <w:b/>
                <w:sz w:val="18"/>
              </w:rPr>
              <w:t>,</w:t>
            </w:r>
            <w:r w:rsidR="004208A9" w:rsidRPr="0071186E">
              <w:rPr>
                <w:b/>
                <w:color w:val="161615"/>
                <w:sz w:val="18"/>
                <w:lang w:bidi="en-CA"/>
              </w:rPr>
              <w:t>748,694</w:t>
            </w:r>
            <w:r w:rsidR="004208A9" w:rsidRPr="0071186E">
              <w:rPr>
                <w:rFonts w:ascii="Times New Roman" w:eastAsia="Times New Roman" w:hAnsi="Times New Roman" w:cs="Times New Roman"/>
                <w:color w:val="161615"/>
                <w:sz w:val="19"/>
                <w:lang w:bidi="en-CA"/>
              </w:rPr>
              <w:t>,</w:t>
            </w:r>
          </w:p>
          <w:p w14:paraId="43870315" w14:textId="77777777" w:rsidR="004208A9" w:rsidRPr="0071186E" w:rsidRDefault="006F5BDF" w:rsidP="00C128CA">
            <w:pPr>
              <w:pStyle w:val="TableParagraph"/>
              <w:keepNext/>
              <w:keepLines/>
              <w:widowControl/>
              <w:spacing w:before="16" w:line="261" w:lineRule="auto"/>
              <w:ind w:left="117" w:right="84" w:firstLine="4"/>
              <w:rPr>
                <w:sz w:val="18"/>
              </w:rPr>
            </w:pPr>
            <w:r w:rsidRPr="006F5BDF">
              <w:rPr>
                <w:color w:val="262826"/>
                <w:sz w:val="18"/>
                <w:lang w:bidi="en-CA"/>
              </w:rPr>
              <w:t>updated</w:t>
            </w:r>
            <w:r w:rsidR="00C66C74">
              <w:rPr>
                <w:color w:val="262826"/>
                <w:sz w:val="18"/>
                <w:lang w:bidi="en-CA"/>
              </w:rPr>
              <w:t xml:space="preserve"> at a</w:t>
            </w:r>
            <w:r>
              <w:rPr>
                <w:color w:val="262826"/>
                <w:sz w:val="18"/>
                <w:lang w:bidi="en-CA"/>
              </w:rPr>
              <w:t xml:space="preserve"> rate</w:t>
            </w:r>
            <w:r w:rsidR="004208A9" w:rsidRPr="0071186E">
              <w:rPr>
                <w:color w:val="262826"/>
                <w:sz w:val="18"/>
                <w:lang w:bidi="en-CA"/>
              </w:rPr>
              <w:t xml:space="preserve"> </w:t>
            </w:r>
            <w:r w:rsidR="004208A9" w:rsidRPr="0071186E">
              <w:rPr>
                <w:color w:val="161615"/>
                <w:sz w:val="18"/>
                <w:lang w:bidi="en-CA"/>
              </w:rPr>
              <w:t xml:space="preserve">of 42.43% </w:t>
            </w:r>
            <w:r w:rsidR="004208A9" w:rsidRPr="0071186E">
              <w:rPr>
                <w:color w:val="262826"/>
                <w:sz w:val="18"/>
                <w:lang w:bidi="en-CA"/>
              </w:rPr>
              <w:t>between</w:t>
            </w:r>
          </w:p>
          <w:p w14:paraId="2D8E2228" w14:textId="77777777" w:rsidR="004208A9" w:rsidRPr="0071186E" w:rsidRDefault="004208A9" w:rsidP="00C128CA">
            <w:pPr>
              <w:pStyle w:val="TableParagraph"/>
              <w:keepNext/>
              <w:keepLines/>
              <w:widowControl/>
              <w:spacing w:before="1"/>
              <w:ind w:left="118"/>
              <w:rPr>
                <w:sz w:val="18"/>
              </w:rPr>
            </w:pPr>
            <w:r w:rsidRPr="0071186E">
              <w:rPr>
                <w:color w:val="262826"/>
                <w:sz w:val="18"/>
                <w:lang w:bidi="en-CA"/>
              </w:rPr>
              <w:t xml:space="preserve">2002 </w:t>
            </w:r>
            <w:r w:rsidRPr="0071186E">
              <w:rPr>
                <w:color w:val="161615"/>
                <w:sz w:val="18"/>
                <w:lang w:bidi="en-CA"/>
              </w:rPr>
              <w:t xml:space="preserve">and </w:t>
            </w:r>
            <w:r w:rsidRPr="0071186E">
              <w:rPr>
                <w:color w:val="262826"/>
                <w:sz w:val="18"/>
                <w:lang w:bidi="en-CA"/>
              </w:rPr>
              <w:t xml:space="preserve">2021 </w:t>
            </w:r>
            <w:r w:rsidRPr="0071186E">
              <w:rPr>
                <w:color w:val="161615"/>
                <w:sz w:val="18"/>
                <w:lang w:bidi="en-CA"/>
              </w:rPr>
              <w:t>=</w:t>
            </w:r>
          </w:p>
          <w:p w14:paraId="40C13717" w14:textId="77777777" w:rsidR="004208A9" w:rsidRPr="0071186E" w:rsidRDefault="004208A9" w:rsidP="00C128CA">
            <w:pPr>
              <w:pStyle w:val="TableParagraph"/>
              <w:keepNext/>
              <w:keepLines/>
              <w:widowControl/>
              <w:spacing w:before="168"/>
              <w:ind w:left="123"/>
              <w:rPr>
                <w:rFonts w:ascii="Times New Roman"/>
                <w:sz w:val="19"/>
              </w:rPr>
            </w:pPr>
            <w:r w:rsidRPr="0071186E">
              <w:rPr>
                <w:b/>
                <w:color w:val="161615"/>
                <w:sz w:val="18"/>
                <w:lang w:bidi="en-CA"/>
              </w:rPr>
              <w:t>$2,</w:t>
            </w:r>
            <w:r w:rsidRPr="0071186E">
              <w:rPr>
                <w:b/>
                <w:color w:val="262826"/>
                <w:sz w:val="18"/>
                <w:lang w:bidi="en-CA"/>
              </w:rPr>
              <w:t>490,</w:t>
            </w:r>
            <w:r w:rsidRPr="0071186E">
              <w:rPr>
                <w:b/>
                <w:color w:val="161615"/>
                <w:sz w:val="18"/>
                <w:lang w:bidi="en-CA"/>
              </w:rPr>
              <w:t>721</w:t>
            </w:r>
          </w:p>
        </w:tc>
        <w:tc>
          <w:tcPr>
            <w:tcW w:w="1549" w:type="dxa"/>
            <w:tcBorders>
              <w:bottom w:val="nil"/>
            </w:tcBorders>
            <w:shd w:val="clear" w:color="auto" w:fill="FFE599" w:themeFill="accent4" w:themeFillTint="66"/>
          </w:tcPr>
          <w:p w14:paraId="4F6B5009" w14:textId="77777777" w:rsidR="004208A9" w:rsidRPr="0071186E" w:rsidRDefault="004208A9" w:rsidP="00C128CA">
            <w:pPr>
              <w:pStyle w:val="TableParagraph"/>
              <w:keepNext/>
              <w:keepLines/>
              <w:widowControl/>
              <w:spacing w:before="18" w:line="256" w:lineRule="auto"/>
              <w:ind w:left="110" w:right="94" w:hanging="3"/>
              <w:rPr>
                <w:sz w:val="18"/>
              </w:rPr>
            </w:pPr>
            <w:r w:rsidRPr="0071186E">
              <w:rPr>
                <w:color w:val="161615"/>
                <w:sz w:val="18"/>
                <w:lang w:bidi="en-CA"/>
              </w:rPr>
              <w:t>Restitution based on the value of the bribe and its costs of $</w:t>
            </w:r>
            <w:r w:rsidRPr="0071186E">
              <w:rPr>
                <w:b/>
                <w:color w:val="161615"/>
                <w:sz w:val="18"/>
                <w:lang w:bidi="en-CA"/>
              </w:rPr>
              <w:t>2,345,230,</w:t>
            </w:r>
            <w:r w:rsidRPr="0071186E">
              <w:rPr>
                <w:color w:val="262826"/>
                <w:sz w:val="18"/>
                <w:lang w:bidi="en-CA"/>
              </w:rPr>
              <w:t xml:space="preserve"> </w:t>
            </w:r>
            <w:r w:rsidR="006F5BDF" w:rsidRPr="006F5BDF">
              <w:rPr>
                <w:color w:val="262826"/>
                <w:sz w:val="18"/>
                <w:lang w:bidi="en-CA"/>
              </w:rPr>
              <w:t>updated</w:t>
            </w:r>
            <w:r w:rsidR="00C66C74">
              <w:rPr>
                <w:color w:val="262826"/>
                <w:sz w:val="18"/>
                <w:lang w:bidi="en-CA"/>
              </w:rPr>
              <w:t xml:space="preserve"> at a</w:t>
            </w:r>
            <w:r w:rsidRPr="0071186E">
              <w:rPr>
                <w:color w:val="262826"/>
                <w:sz w:val="18"/>
                <w:lang w:bidi="en-CA"/>
              </w:rPr>
              <w:t xml:space="preserve"> rate </w:t>
            </w:r>
            <w:r w:rsidRPr="0071186E">
              <w:rPr>
                <w:color w:val="161615"/>
                <w:sz w:val="18"/>
                <w:lang w:bidi="en-CA"/>
              </w:rPr>
              <w:t xml:space="preserve">of </w:t>
            </w:r>
            <w:r w:rsidRPr="0071186E">
              <w:rPr>
                <w:color w:val="262826"/>
                <w:sz w:val="18"/>
                <w:lang w:bidi="en-CA"/>
              </w:rPr>
              <w:t>48</w:t>
            </w:r>
            <w:r w:rsidRPr="0071186E">
              <w:rPr>
                <w:color w:val="424241"/>
                <w:sz w:val="18"/>
                <w:lang w:bidi="en-CA"/>
              </w:rPr>
              <w:t>.</w:t>
            </w:r>
            <w:r w:rsidRPr="0071186E">
              <w:rPr>
                <w:color w:val="262826"/>
                <w:sz w:val="18"/>
                <w:lang w:bidi="en-CA"/>
              </w:rPr>
              <w:t>91%</w:t>
            </w:r>
          </w:p>
          <w:p w14:paraId="62EA4B93" w14:textId="77777777" w:rsidR="004208A9" w:rsidRPr="0071186E" w:rsidRDefault="00C128CA" w:rsidP="00C128CA">
            <w:pPr>
              <w:pStyle w:val="TableParagraph"/>
              <w:keepNext/>
              <w:keepLines/>
              <w:widowControl/>
              <w:spacing w:before="5"/>
              <w:ind w:left="110"/>
              <w:rPr>
                <w:sz w:val="18"/>
              </w:rPr>
            </w:pPr>
            <w:r w:rsidRPr="0071186E">
              <w:rPr>
                <w:color w:val="262826"/>
                <w:sz w:val="18"/>
                <w:lang w:bidi="en-CA"/>
              </w:rPr>
              <w:t>b</w:t>
            </w:r>
            <w:r w:rsidR="004208A9" w:rsidRPr="0071186E">
              <w:rPr>
                <w:color w:val="262826"/>
                <w:sz w:val="18"/>
                <w:lang w:bidi="en-CA"/>
              </w:rPr>
              <w:t xml:space="preserve">etween </w:t>
            </w:r>
            <w:r w:rsidR="004208A9" w:rsidRPr="0071186E">
              <w:rPr>
                <w:color w:val="161615"/>
                <w:sz w:val="18"/>
                <w:lang w:bidi="en-CA"/>
              </w:rPr>
              <w:t xml:space="preserve">2000 </w:t>
            </w:r>
            <w:r w:rsidR="004208A9" w:rsidRPr="0071186E">
              <w:rPr>
                <w:color w:val="262826"/>
                <w:sz w:val="18"/>
                <w:lang w:bidi="en-CA"/>
              </w:rPr>
              <w:t xml:space="preserve">and </w:t>
            </w:r>
            <w:r w:rsidR="004208A9" w:rsidRPr="0071186E">
              <w:rPr>
                <w:color w:val="161615"/>
                <w:sz w:val="18"/>
                <w:lang w:bidi="en-CA"/>
              </w:rPr>
              <w:t>2021</w:t>
            </w:r>
          </w:p>
          <w:p w14:paraId="51622C3B" w14:textId="77777777" w:rsidR="004208A9" w:rsidRPr="0071186E" w:rsidRDefault="004208A9" w:rsidP="00C128CA">
            <w:pPr>
              <w:pStyle w:val="TableParagraph"/>
              <w:keepNext/>
              <w:keepLines/>
              <w:widowControl/>
              <w:spacing w:before="18"/>
              <w:ind w:left="112"/>
              <w:rPr>
                <w:sz w:val="18"/>
              </w:rPr>
            </w:pPr>
            <w:r w:rsidRPr="0071186E">
              <w:rPr>
                <w:color w:val="161615"/>
                <w:sz w:val="18"/>
                <w:lang w:bidi="en-CA"/>
              </w:rPr>
              <w:t>=</w:t>
            </w:r>
          </w:p>
          <w:p w14:paraId="3E47A781" w14:textId="77777777" w:rsidR="004208A9" w:rsidRPr="0071186E" w:rsidRDefault="004208A9" w:rsidP="00C128CA">
            <w:pPr>
              <w:pStyle w:val="TableParagraph"/>
              <w:keepNext/>
              <w:keepLines/>
              <w:widowControl/>
              <w:spacing w:before="160"/>
              <w:ind w:left="115"/>
              <w:rPr>
                <w:rFonts w:ascii="Times New Roman"/>
                <w:sz w:val="19"/>
              </w:rPr>
            </w:pPr>
            <w:r w:rsidRPr="0071186E">
              <w:rPr>
                <w:b/>
                <w:color w:val="161615"/>
                <w:sz w:val="18"/>
                <w:lang w:bidi="en-CA"/>
              </w:rPr>
              <w:t>$3,492,380</w:t>
            </w:r>
          </w:p>
        </w:tc>
        <w:tc>
          <w:tcPr>
            <w:tcW w:w="1280" w:type="dxa"/>
            <w:tcBorders>
              <w:bottom w:val="nil"/>
            </w:tcBorders>
            <w:shd w:val="clear" w:color="auto" w:fill="FFE599" w:themeFill="accent4" w:themeFillTint="66"/>
          </w:tcPr>
          <w:p w14:paraId="5DF1D20F" w14:textId="77777777" w:rsidR="004208A9" w:rsidRPr="0071186E" w:rsidRDefault="004208A9" w:rsidP="00C128CA">
            <w:pPr>
              <w:pStyle w:val="TableParagraph"/>
              <w:keepNext/>
              <w:keepLines/>
              <w:widowControl/>
              <w:spacing w:before="13" w:line="256" w:lineRule="auto"/>
              <w:ind w:left="114" w:right="491" w:hanging="1"/>
              <w:rPr>
                <w:sz w:val="18"/>
              </w:rPr>
            </w:pPr>
            <w:r w:rsidRPr="0071186E">
              <w:rPr>
                <w:color w:val="161615"/>
                <w:sz w:val="18"/>
                <w:lang w:bidi="en-CA"/>
              </w:rPr>
              <w:t xml:space="preserve">30% of </w:t>
            </w:r>
            <w:r w:rsidRPr="0071186E">
              <w:rPr>
                <w:color w:val="262826"/>
                <w:sz w:val="18"/>
                <w:lang w:bidi="en-CA"/>
              </w:rPr>
              <w:t xml:space="preserve">the </w:t>
            </w:r>
            <w:r w:rsidRPr="0071186E">
              <w:rPr>
                <w:color w:val="161615"/>
                <w:sz w:val="18"/>
                <w:lang w:bidi="en-CA"/>
              </w:rPr>
              <w:t>penalty =</w:t>
            </w:r>
          </w:p>
          <w:p w14:paraId="21146D42" w14:textId="77777777" w:rsidR="004208A9" w:rsidRPr="0071186E" w:rsidRDefault="004208A9" w:rsidP="00C128CA">
            <w:pPr>
              <w:pStyle w:val="TableParagraph"/>
              <w:keepNext/>
              <w:keepLines/>
              <w:widowControl/>
              <w:spacing w:before="159"/>
              <w:ind w:left="113"/>
              <w:rPr>
                <w:rFonts w:ascii="Times New Roman"/>
                <w:sz w:val="19"/>
              </w:rPr>
            </w:pPr>
            <w:r w:rsidRPr="0071186E">
              <w:rPr>
                <w:b/>
                <w:color w:val="161615"/>
                <w:sz w:val="18"/>
                <w:lang w:bidi="en-CA"/>
              </w:rPr>
              <w:t>$5,</w:t>
            </w:r>
            <w:r w:rsidRPr="0071186E">
              <w:rPr>
                <w:b/>
                <w:color w:val="262826"/>
                <w:sz w:val="18"/>
                <w:lang w:bidi="en-CA"/>
              </w:rPr>
              <w:t>440,</w:t>
            </w:r>
            <w:r w:rsidRPr="0071186E">
              <w:rPr>
                <w:b/>
                <w:color w:val="161615"/>
                <w:sz w:val="18"/>
                <w:lang w:bidi="en-CA"/>
              </w:rPr>
              <w:t>541</w:t>
            </w:r>
          </w:p>
        </w:tc>
        <w:tc>
          <w:tcPr>
            <w:tcW w:w="1242" w:type="dxa"/>
            <w:vMerge w:val="restart"/>
            <w:shd w:val="clear" w:color="auto" w:fill="FFD966" w:themeFill="accent4" w:themeFillTint="99"/>
          </w:tcPr>
          <w:p w14:paraId="27B02E5B" w14:textId="77777777" w:rsidR="004208A9" w:rsidRPr="0071186E" w:rsidRDefault="004208A9" w:rsidP="00C128CA">
            <w:pPr>
              <w:pStyle w:val="TableParagraph"/>
              <w:keepNext/>
              <w:keepLines/>
              <w:widowControl/>
              <w:rPr>
                <w:rFonts w:ascii="Times New Roman"/>
                <w:sz w:val="18"/>
              </w:rPr>
            </w:pPr>
          </w:p>
        </w:tc>
      </w:tr>
      <w:tr w:rsidR="004208A9" w:rsidRPr="00BB297F" w14:paraId="46E8DAE9" w14:textId="77777777" w:rsidTr="00057C2F">
        <w:trPr>
          <w:trHeight w:val="730"/>
        </w:trPr>
        <w:tc>
          <w:tcPr>
            <w:tcW w:w="1885" w:type="dxa"/>
            <w:tcBorders>
              <w:top w:val="nil"/>
              <w:bottom w:val="nil"/>
            </w:tcBorders>
            <w:shd w:val="clear" w:color="auto" w:fill="FFF2CC" w:themeFill="accent4" w:themeFillTint="33"/>
          </w:tcPr>
          <w:p w14:paraId="6DC8A703" w14:textId="1571508A" w:rsidR="004208A9" w:rsidRPr="0071186E" w:rsidRDefault="004208A9" w:rsidP="002225C0">
            <w:pPr>
              <w:pStyle w:val="TableParagraph"/>
              <w:keepNext/>
              <w:keepLines/>
              <w:widowControl/>
              <w:spacing w:line="254" w:lineRule="auto"/>
              <w:ind w:left="118" w:right="111" w:hanging="4"/>
              <w:rPr>
                <w:sz w:val="18"/>
              </w:rPr>
            </w:pPr>
            <w:r w:rsidRPr="0071186E">
              <w:rPr>
                <w:color w:val="262826"/>
                <w:sz w:val="18"/>
                <w:lang w:bidi="en-CA"/>
              </w:rPr>
              <w:t xml:space="preserve">SNCL’s separate </w:t>
            </w:r>
            <w:r w:rsidR="002225C0">
              <w:rPr>
                <w:color w:val="262826"/>
                <w:sz w:val="18"/>
                <w:lang w:bidi="en-CA"/>
              </w:rPr>
              <w:t>projected</w:t>
            </w:r>
            <w:r w:rsidR="002225C0" w:rsidRPr="0071186E">
              <w:rPr>
                <w:color w:val="262826"/>
                <w:sz w:val="18"/>
                <w:lang w:bidi="en-CA"/>
              </w:rPr>
              <w:t xml:space="preserve"> </w:t>
            </w:r>
            <w:r w:rsidRPr="0071186E">
              <w:rPr>
                <w:color w:val="262826"/>
                <w:sz w:val="18"/>
                <w:lang w:bidi="en-CA"/>
              </w:rPr>
              <w:t>profit</w:t>
            </w:r>
            <w:r w:rsidRPr="0071186E">
              <w:rPr>
                <w:color w:val="161615"/>
                <w:sz w:val="18"/>
                <w:lang w:bidi="en-CA"/>
              </w:rPr>
              <w:t xml:space="preserve"> for the completion of the project;</w:t>
            </w:r>
          </w:p>
        </w:tc>
        <w:tc>
          <w:tcPr>
            <w:tcW w:w="1693" w:type="dxa"/>
            <w:tcBorders>
              <w:top w:val="nil"/>
              <w:bottom w:val="nil"/>
            </w:tcBorders>
            <w:shd w:val="clear" w:color="auto" w:fill="FFF2CC" w:themeFill="accent4" w:themeFillTint="33"/>
          </w:tcPr>
          <w:p w14:paraId="45BC0830" w14:textId="77777777" w:rsidR="004208A9" w:rsidRPr="0071186E" w:rsidRDefault="004208A9" w:rsidP="00C128CA">
            <w:pPr>
              <w:pStyle w:val="TableParagraph"/>
              <w:keepNext/>
              <w:keepLines/>
              <w:widowControl/>
              <w:spacing w:before="155"/>
              <w:ind w:left="114"/>
              <w:rPr>
                <w:rFonts w:ascii="Times New Roman"/>
                <w:sz w:val="19"/>
              </w:rPr>
            </w:pPr>
          </w:p>
        </w:tc>
        <w:tc>
          <w:tcPr>
            <w:tcW w:w="1429" w:type="dxa"/>
            <w:tcBorders>
              <w:top w:val="nil"/>
              <w:bottom w:val="nil"/>
            </w:tcBorders>
            <w:shd w:val="clear" w:color="auto" w:fill="FFE599" w:themeFill="accent4" w:themeFillTint="66"/>
          </w:tcPr>
          <w:p w14:paraId="5992FB11" w14:textId="77777777" w:rsidR="004208A9" w:rsidRPr="0071186E" w:rsidRDefault="004208A9" w:rsidP="00C128CA">
            <w:pPr>
              <w:pStyle w:val="TableParagraph"/>
              <w:keepNext/>
              <w:keepLines/>
              <w:widowControl/>
              <w:rPr>
                <w:rFonts w:ascii="Times New Roman"/>
                <w:sz w:val="18"/>
              </w:rPr>
            </w:pPr>
          </w:p>
        </w:tc>
        <w:tc>
          <w:tcPr>
            <w:tcW w:w="1549" w:type="dxa"/>
            <w:tcBorders>
              <w:top w:val="nil"/>
              <w:bottom w:val="nil"/>
            </w:tcBorders>
            <w:shd w:val="clear" w:color="auto" w:fill="FFE599" w:themeFill="accent4" w:themeFillTint="66"/>
          </w:tcPr>
          <w:p w14:paraId="76B6AF03" w14:textId="77777777" w:rsidR="004208A9" w:rsidRPr="0071186E" w:rsidRDefault="00C66C74" w:rsidP="00C128CA">
            <w:pPr>
              <w:pStyle w:val="TableParagraph"/>
              <w:keepNext/>
              <w:keepLines/>
              <w:widowControl/>
              <w:rPr>
                <w:rFonts w:ascii="Times New Roman"/>
                <w:sz w:val="18"/>
              </w:rPr>
            </w:pPr>
            <w:r>
              <w:rPr>
                <w:rFonts w:ascii="Times New Roman"/>
                <w:sz w:val="18"/>
              </w:rPr>
              <w:t xml:space="preserve"> </w:t>
            </w:r>
          </w:p>
        </w:tc>
        <w:tc>
          <w:tcPr>
            <w:tcW w:w="1280" w:type="dxa"/>
            <w:tcBorders>
              <w:top w:val="nil"/>
              <w:bottom w:val="nil"/>
            </w:tcBorders>
            <w:shd w:val="clear" w:color="auto" w:fill="FFE599" w:themeFill="accent4" w:themeFillTint="66"/>
          </w:tcPr>
          <w:p w14:paraId="5964FF3F" w14:textId="77777777" w:rsidR="004208A9" w:rsidRPr="0071186E" w:rsidRDefault="004208A9" w:rsidP="00C128CA">
            <w:pPr>
              <w:pStyle w:val="TableParagraph"/>
              <w:keepNext/>
              <w:keepLines/>
              <w:widowControl/>
              <w:rPr>
                <w:rFonts w:ascii="Times New Roman"/>
                <w:sz w:val="18"/>
              </w:rPr>
            </w:pPr>
          </w:p>
        </w:tc>
        <w:tc>
          <w:tcPr>
            <w:tcW w:w="1242" w:type="dxa"/>
            <w:vMerge/>
            <w:tcBorders>
              <w:top w:val="single" w:sz="4" w:space="0" w:color="000000"/>
            </w:tcBorders>
            <w:shd w:val="clear" w:color="auto" w:fill="FFD966" w:themeFill="accent4" w:themeFillTint="99"/>
          </w:tcPr>
          <w:p w14:paraId="12A10927" w14:textId="77777777" w:rsidR="004208A9" w:rsidRPr="0071186E" w:rsidRDefault="004208A9" w:rsidP="00C128CA">
            <w:pPr>
              <w:keepNext/>
              <w:keepLines/>
              <w:rPr>
                <w:sz w:val="2"/>
                <w:szCs w:val="2"/>
                <w:lang w:val="en-CA"/>
              </w:rPr>
            </w:pPr>
          </w:p>
        </w:tc>
      </w:tr>
      <w:tr w:rsidR="00C128CA" w:rsidRPr="0071186E" w14:paraId="604F1AD5" w14:textId="77777777" w:rsidTr="00057C2F">
        <w:trPr>
          <w:trHeight w:val="435"/>
        </w:trPr>
        <w:tc>
          <w:tcPr>
            <w:tcW w:w="1885" w:type="dxa"/>
            <w:vMerge w:val="restart"/>
            <w:tcBorders>
              <w:top w:val="nil"/>
            </w:tcBorders>
            <w:shd w:val="clear" w:color="auto" w:fill="FFF2CC" w:themeFill="accent4" w:themeFillTint="33"/>
          </w:tcPr>
          <w:p w14:paraId="6E22E9E5" w14:textId="77777777" w:rsidR="00C128CA" w:rsidRPr="0071186E" w:rsidRDefault="00C128CA" w:rsidP="00C128CA">
            <w:pPr>
              <w:pStyle w:val="TableParagraph"/>
              <w:keepNext/>
              <w:keepLines/>
              <w:widowControl/>
              <w:spacing w:before="73" w:after="60"/>
              <w:ind w:left="115"/>
              <w:rPr>
                <w:rFonts w:ascii="Times New Roman"/>
                <w:sz w:val="19"/>
              </w:rPr>
            </w:pPr>
            <w:r w:rsidRPr="0071186E">
              <w:rPr>
                <w:b/>
                <w:color w:val="262826"/>
                <w:sz w:val="18"/>
                <w:lang w:bidi="en-CA"/>
              </w:rPr>
              <w:t>$1,108,</w:t>
            </w:r>
            <w:r w:rsidRPr="0071186E">
              <w:rPr>
                <w:b/>
                <w:color w:val="161615"/>
                <w:sz w:val="18"/>
                <w:lang w:bidi="en-CA"/>
              </w:rPr>
              <w:t>623</w:t>
            </w:r>
          </w:p>
          <w:p w14:paraId="4C73DA72" w14:textId="77777777" w:rsidR="00C128CA" w:rsidRPr="0071186E" w:rsidRDefault="00C128CA" w:rsidP="00C128CA">
            <w:pPr>
              <w:pStyle w:val="TableParagraph"/>
              <w:keepNext/>
              <w:keepLines/>
              <w:spacing w:before="38" w:after="60"/>
              <w:ind w:left="115"/>
              <w:rPr>
                <w:rFonts w:ascii="Times New Roman"/>
                <w:sz w:val="19"/>
              </w:rPr>
            </w:pPr>
            <w:r w:rsidRPr="0071186E">
              <w:rPr>
                <w:color w:val="262826"/>
                <w:sz w:val="15"/>
                <w:lang w:bidi="en-CA"/>
              </w:rPr>
              <w:t>+</w:t>
            </w:r>
          </w:p>
          <w:p w14:paraId="139022C1" w14:textId="77777777" w:rsidR="00C128CA" w:rsidRPr="0071186E" w:rsidRDefault="00827C1B" w:rsidP="00827C1B">
            <w:pPr>
              <w:pStyle w:val="TableParagraph"/>
              <w:keepNext/>
              <w:keepLines/>
              <w:spacing w:before="60" w:after="60"/>
              <w:ind w:left="118"/>
              <w:rPr>
                <w:rFonts w:ascii="Times New Roman"/>
                <w:sz w:val="19"/>
              </w:rPr>
            </w:pPr>
            <w:r>
              <w:rPr>
                <w:color w:val="161615"/>
                <w:sz w:val="18"/>
                <w:lang w:bidi="en-CA"/>
              </w:rPr>
              <w:t xml:space="preserve">$1 million </w:t>
            </w:r>
            <w:r w:rsidR="00C128CA" w:rsidRPr="0071186E">
              <w:rPr>
                <w:color w:val="161615"/>
                <w:sz w:val="18"/>
                <w:lang w:bidi="en-CA"/>
              </w:rPr>
              <w:t>performance bonus</w:t>
            </w:r>
            <w:r w:rsidR="00C128CA" w:rsidRPr="0071186E">
              <w:rPr>
                <w:color w:val="262826"/>
                <w:sz w:val="18"/>
                <w:lang w:bidi="en-CA"/>
              </w:rPr>
              <w:t>, based on SNCL’s 50% interest in the consortium</w:t>
            </w:r>
          </w:p>
        </w:tc>
        <w:tc>
          <w:tcPr>
            <w:tcW w:w="1693" w:type="dxa"/>
            <w:tcBorders>
              <w:top w:val="nil"/>
              <w:bottom w:val="nil"/>
            </w:tcBorders>
            <w:shd w:val="clear" w:color="auto" w:fill="FFF2CC" w:themeFill="accent4" w:themeFillTint="33"/>
          </w:tcPr>
          <w:p w14:paraId="1B9209B3" w14:textId="77777777" w:rsidR="00C128CA" w:rsidRPr="0071186E" w:rsidRDefault="00C128CA" w:rsidP="00C128CA">
            <w:pPr>
              <w:pStyle w:val="TableParagraph"/>
              <w:keepNext/>
              <w:keepLines/>
              <w:widowControl/>
              <w:ind w:left="115"/>
              <w:rPr>
                <w:rFonts w:ascii="Times New Roman" w:hAnsi="Times New Roman"/>
                <w:sz w:val="19"/>
              </w:rPr>
            </w:pPr>
            <w:r w:rsidRPr="0071186E">
              <w:rPr>
                <w:b/>
                <w:color w:val="161615"/>
                <w:sz w:val="18"/>
                <w:lang w:bidi="en-CA"/>
              </w:rPr>
              <w:t>Credit of $6,045,046</w:t>
            </w:r>
          </w:p>
        </w:tc>
        <w:tc>
          <w:tcPr>
            <w:tcW w:w="1429" w:type="dxa"/>
            <w:tcBorders>
              <w:top w:val="nil"/>
              <w:bottom w:val="nil"/>
            </w:tcBorders>
            <w:shd w:val="clear" w:color="auto" w:fill="FFE599" w:themeFill="accent4" w:themeFillTint="66"/>
          </w:tcPr>
          <w:p w14:paraId="4C8AEBB9" w14:textId="77777777" w:rsidR="00C128CA" w:rsidRPr="0071186E" w:rsidRDefault="00C128CA" w:rsidP="00C128CA">
            <w:pPr>
              <w:pStyle w:val="TableParagraph"/>
              <w:keepNext/>
              <w:keepLines/>
              <w:widowControl/>
              <w:rPr>
                <w:rFonts w:ascii="Times New Roman"/>
                <w:sz w:val="18"/>
              </w:rPr>
            </w:pPr>
          </w:p>
        </w:tc>
        <w:tc>
          <w:tcPr>
            <w:tcW w:w="1549" w:type="dxa"/>
            <w:tcBorders>
              <w:top w:val="nil"/>
              <w:bottom w:val="nil"/>
            </w:tcBorders>
            <w:shd w:val="clear" w:color="auto" w:fill="FFE599" w:themeFill="accent4" w:themeFillTint="66"/>
          </w:tcPr>
          <w:p w14:paraId="0881EDEE" w14:textId="77777777" w:rsidR="00C128CA" w:rsidRPr="0071186E" w:rsidRDefault="00C128CA" w:rsidP="00C128CA">
            <w:pPr>
              <w:pStyle w:val="TableParagraph"/>
              <w:keepNext/>
              <w:keepLines/>
              <w:widowControl/>
              <w:rPr>
                <w:rFonts w:ascii="Times New Roman"/>
                <w:sz w:val="18"/>
              </w:rPr>
            </w:pPr>
          </w:p>
        </w:tc>
        <w:tc>
          <w:tcPr>
            <w:tcW w:w="1280" w:type="dxa"/>
            <w:tcBorders>
              <w:top w:val="nil"/>
              <w:bottom w:val="nil"/>
            </w:tcBorders>
            <w:shd w:val="clear" w:color="auto" w:fill="FFE599" w:themeFill="accent4" w:themeFillTint="66"/>
          </w:tcPr>
          <w:p w14:paraId="7B916F24" w14:textId="77777777" w:rsidR="00C128CA" w:rsidRPr="0071186E" w:rsidRDefault="00C128CA" w:rsidP="00C128CA">
            <w:pPr>
              <w:pStyle w:val="TableParagraph"/>
              <w:keepNext/>
              <w:keepLines/>
              <w:widowControl/>
              <w:rPr>
                <w:rFonts w:ascii="Times New Roman"/>
                <w:sz w:val="18"/>
              </w:rPr>
            </w:pPr>
          </w:p>
        </w:tc>
        <w:tc>
          <w:tcPr>
            <w:tcW w:w="1242" w:type="dxa"/>
            <w:vMerge/>
            <w:tcBorders>
              <w:top w:val="single" w:sz="4" w:space="0" w:color="000000"/>
            </w:tcBorders>
            <w:shd w:val="clear" w:color="auto" w:fill="FFD966" w:themeFill="accent4" w:themeFillTint="99"/>
          </w:tcPr>
          <w:p w14:paraId="1561B450" w14:textId="77777777" w:rsidR="00C128CA" w:rsidRPr="0071186E" w:rsidRDefault="00C128CA" w:rsidP="00C128CA">
            <w:pPr>
              <w:keepNext/>
              <w:keepLines/>
              <w:rPr>
                <w:sz w:val="2"/>
                <w:szCs w:val="2"/>
                <w:lang w:val="en-CA"/>
              </w:rPr>
            </w:pPr>
          </w:p>
        </w:tc>
      </w:tr>
      <w:tr w:rsidR="00C128CA" w:rsidRPr="0071186E" w14:paraId="162E9A29" w14:textId="77777777" w:rsidTr="00057C2F">
        <w:trPr>
          <w:trHeight w:val="303"/>
        </w:trPr>
        <w:tc>
          <w:tcPr>
            <w:tcW w:w="1885" w:type="dxa"/>
            <w:vMerge/>
            <w:shd w:val="clear" w:color="auto" w:fill="FFF2CC" w:themeFill="accent4" w:themeFillTint="33"/>
          </w:tcPr>
          <w:p w14:paraId="55C538F1" w14:textId="77777777" w:rsidR="00C128CA" w:rsidRPr="0071186E" w:rsidRDefault="00C128CA" w:rsidP="00C128CA">
            <w:pPr>
              <w:pStyle w:val="TableParagraph"/>
              <w:keepNext/>
              <w:keepLines/>
              <w:ind w:left="118"/>
              <w:rPr>
                <w:sz w:val="15"/>
              </w:rPr>
            </w:pPr>
          </w:p>
        </w:tc>
        <w:tc>
          <w:tcPr>
            <w:tcW w:w="1693" w:type="dxa"/>
            <w:tcBorders>
              <w:top w:val="nil"/>
              <w:bottom w:val="nil"/>
            </w:tcBorders>
            <w:shd w:val="clear" w:color="auto" w:fill="FFF2CC" w:themeFill="accent4" w:themeFillTint="33"/>
          </w:tcPr>
          <w:p w14:paraId="0A264E0B" w14:textId="77777777" w:rsidR="00C128CA" w:rsidRPr="0071186E" w:rsidRDefault="00C128CA" w:rsidP="00C128CA">
            <w:pPr>
              <w:pStyle w:val="TableParagraph"/>
              <w:keepNext/>
              <w:keepLines/>
              <w:widowControl/>
              <w:rPr>
                <w:rFonts w:ascii="Times New Roman"/>
                <w:sz w:val="18"/>
              </w:rPr>
            </w:pPr>
          </w:p>
        </w:tc>
        <w:tc>
          <w:tcPr>
            <w:tcW w:w="1429" w:type="dxa"/>
            <w:tcBorders>
              <w:top w:val="nil"/>
              <w:bottom w:val="nil"/>
            </w:tcBorders>
            <w:shd w:val="clear" w:color="auto" w:fill="FFE599" w:themeFill="accent4" w:themeFillTint="66"/>
          </w:tcPr>
          <w:p w14:paraId="7A8CC353" w14:textId="77777777" w:rsidR="00C128CA" w:rsidRPr="0071186E" w:rsidRDefault="00C128CA" w:rsidP="00C128CA">
            <w:pPr>
              <w:pStyle w:val="TableParagraph"/>
              <w:keepNext/>
              <w:keepLines/>
              <w:widowControl/>
              <w:rPr>
                <w:rFonts w:ascii="Times New Roman"/>
                <w:sz w:val="18"/>
              </w:rPr>
            </w:pPr>
          </w:p>
        </w:tc>
        <w:tc>
          <w:tcPr>
            <w:tcW w:w="1549" w:type="dxa"/>
            <w:tcBorders>
              <w:top w:val="nil"/>
              <w:bottom w:val="nil"/>
            </w:tcBorders>
            <w:shd w:val="clear" w:color="auto" w:fill="FFE599" w:themeFill="accent4" w:themeFillTint="66"/>
          </w:tcPr>
          <w:p w14:paraId="052E445D" w14:textId="77777777" w:rsidR="00C128CA" w:rsidRPr="0071186E" w:rsidRDefault="00C128CA" w:rsidP="00C128CA">
            <w:pPr>
              <w:pStyle w:val="TableParagraph"/>
              <w:keepNext/>
              <w:keepLines/>
              <w:widowControl/>
              <w:rPr>
                <w:rFonts w:ascii="Times New Roman"/>
                <w:sz w:val="18"/>
              </w:rPr>
            </w:pPr>
          </w:p>
        </w:tc>
        <w:tc>
          <w:tcPr>
            <w:tcW w:w="1280" w:type="dxa"/>
            <w:tcBorders>
              <w:top w:val="nil"/>
              <w:bottom w:val="nil"/>
            </w:tcBorders>
            <w:shd w:val="clear" w:color="auto" w:fill="FFE599" w:themeFill="accent4" w:themeFillTint="66"/>
          </w:tcPr>
          <w:p w14:paraId="5B0144FA" w14:textId="77777777" w:rsidR="00C128CA" w:rsidRPr="0071186E" w:rsidRDefault="00C128CA" w:rsidP="00C128CA">
            <w:pPr>
              <w:pStyle w:val="TableParagraph"/>
              <w:keepNext/>
              <w:keepLines/>
              <w:widowControl/>
              <w:rPr>
                <w:rFonts w:ascii="Times New Roman"/>
                <w:sz w:val="18"/>
              </w:rPr>
            </w:pPr>
          </w:p>
        </w:tc>
        <w:tc>
          <w:tcPr>
            <w:tcW w:w="1242" w:type="dxa"/>
            <w:vMerge/>
            <w:tcBorders>
              <w:top w:val="single" w:sz="4" w:space="0" w:color="000000"/>
            </w:tcBorders>
            <w:shd w:val="clear" w:color="auto" w:fill="FFD966" w:themeFill="accent4" w:themeFillTint="99"/>
          </w:tcPr>
          <w:p w14:paraId="5AC01691" w14:textId="77777777" w:rsidR="00C128CA" w:rsidRPr="0071186E" w:rsidRDefault="00C128CA" w:rsidP="00C128CA">
            <w:pPr>
              <w:keepNext/>
              <w:keepLines/>
              <w:rPr>
                <w:sz w:val="2"/>
                <w:szCs w:val="2"/>
                <w:lang w:val="en-CA"/>
              </w:rPr>
            </w:pPr>
          </w:p>
        </w:tc>
      </w:tr>
      <w:tr w:rsidR="00C128CA" w:rsidRPr="0071186E" w14:paraId="5FD074CB" w14:textId="77777777" w:rsidTr="00057C2F">
        <w:trPr>
          <w:trHeight w:val="1035"/>
        </w:trPr>
        <w:tc>
          <w:tcPr>
            <w:tcW w:w="1885" w:type="dxa"/>
            <w:vMerge/>
            <w:tcBorders>
              <w:bottom w:val="nil"/>
            </w:tcBorders>
            <w:shd w:val="clear" w:color="auto" w:fill="FFF2CC" w:themeFill="accent4" w:themeFillTint="33"/>
          </w:tcPr>
          <w:p w14:paraId="14DCD670" w14:textId="77777777" w:rsidR="00C128CA" w:rsidRPr="0071186E" w:rsidRDefault="00C128CA" w:rsidP="00C128CA">
            <w:pPr>
              <w:pStyle w:val="TableParagraph"/>
              <w:keepNext/>
              <w:keepLines/>
              <w:widowControl/>
              <w:ind w:left="118"/>
              <w:rPr>
                <w:sz w:val="18"/>
              </w:rPr>
            </w:pPr>
          </w:p>
        </w:tc>
        <w:tc>
          <w:tcPr>
            <w:tcW w:w="1693" w:type="dxa"/>
            <w:tcBorders>
              <w:top w:val="nil"/>
              <w:bottom w:val="nil"/>
            </w:tcBorders>
            <w:shd w:val="clear" w:color="auto" w:fill="FFF2CC" w:themeFill="accent4" w:themeFillTint="33"/>
          </w:tcPr>
          <w:p w14:paraId="771B3B5C" w14:textId="77777777" w:rsidR="00C128CA" w:rsidRPr="0071186E" w:rsidRDefault="00C128CA" w:rsidP="00C128CA">
            <w:pPr>
              <w:pStyle w:val="TableParagraph"/>
              <w:keepNext/>
              <w:keepLines/>
              <w:widowControl/>
              <w:rPr>
                <w:rFonts w:ascii="Times New Roman"/>
                <w:sz w:val="18"/>
              </w:rPr>
            </w:pPr>
          </w:p>
        </w:tc>
        <w:tc>
          <w:tcPr>
            <w:tcW w:w="1429" w:type="dxa"/>
            <w:tcBorders>
              <w:top w:val="nil"/>
              <w:bottom w:val="nil"/>
            </w:tcBorders>
            <w:shd w:val="clear" w:color="auto" w:fill="FFE599" w:themeFill="accent4" w:themeFillTint="66"/>
          </w:tcPr>
          <w:p w14:paraId="6AC12CDC" w14:textId="77777777" w:rsidR="00C128CA" w:rsidRPr="0071186E" w:rsidRDefault="00C128CA" w:rsidP="00C128CA">
            <w:pPr>
              <w:pStyle w:val="TableParagraph"/>
              <w:keepNext/>
              <w:keepLines/>
              <w:widowControl/>
              <w:rPr>
                <w:rFonts w:ascii="Times New Roman"/>
                <w:sz w:val="18"/>
              </w:rPr>
            </w:pPr>
          </w:p>
        </w:tc>
        <w:tc>
          <w:tcPr>
            <w:tcW w:w="1549" w:type="dxa"/>
            <w:tcBorders>
              <w:top w:val="nil"/>
              <w:bottom w:val="nil"/>
            </w:tcBorders>
            <w:shd w:val="clear" w:color="auto" w:fill="FFE599" w:themeFill="accent4" w:themeFillTint="66"/>
          </w:tcPr>
          <w:p w14:paraId="0FE2D841" w14:textId="77777777" w:rsidR="00C128CA" w:rsidRPr="0071186E" w:rsidRDefault="00C128CA" w:rsidP="00C128CA">
            <w:pPr>
              <w:pStyle w:val="TableParagraph"/>
              <w:keepNext/>
              <w:keepLines/>
              <w:widowControl/>
              <w:rPr>
                <w:rFonts w:ascii="Times New Roman"/>
                <w:sz w:val="18"/>
              </w:rPr>
            </w:pPr>
          </w:p>
        </w:tc>
        <w:tc>
          <w:tcPr>
            <w:tcW w:w="1280" w:type="dxa"/>
            <w:tcBorders>
              <w:top w:val="nil"/>
              <w:bottom w:val="nil"/>
            </w:tcBorders>
            <w:shd w:val="clear" w:color="auto" w:fill="FFE599" w:themeFill="accent4" w:themeFillTint="66"/>
          </w:tcPr>
          <w:p w14:paraId="0C8EF169" w14:textId="77777777" w:rsidR="00C128CA" w:rsidRPr="0071186E" w:rsidRDefault="00C128CA" w:rsidP="00C128CA">
            <w:pPr>
              <w:pStyle w:val="TableParagraph"/>
              <w:keepNext/>
              <w:keepLines/>
              <w:widowControl/>
              <w:rPr>
                <w:rFonts w:ascii="Times New Roman"/>
                <w:sz w:val="18"/>
              </w:rPr>
            </w:pPr>
          </w:p>
        </w:tc>
        <w:tc>
          <w:tcPr>
            <w:tcW w:w="1242" w:type="dxa"/>
            <w:vMerge/>
            <w:tcBorders>
              <w:top w:val="single" w:sz="4" w:space="0" w:color="000000"/>
            </w:tcBorders>
            <w:shd w:val="clear" w:color="auto" w:fill="FFD966" w:themeFill="accent4" w:themeFillTint="99"/>
          </w:tcPr>
          <w:p w14:paraId="62CFFAAC" w14:textId="77777777" w:rsidR="00C128CA" w:rsidRPr="0071186E" w:rsidRDefault="00C128CA" w:rsidP="00C128CA">
            <w:pPr>
              <w:keepNext/>
              <w:keepLines/>
              <w:rPr>
                <w:sz w:val="2"/>
                <w:szCs w:val="2"/>
                <w:lang w:val="en-CA"/>
              </w:rPr>
            </w:pPr>
          </w:p>
        </w:tc>
      </w:tr>
      <w:tr w:rsidR="004208A9" w:rsidRPr="0071186E" w14:paraId="2AD675AE" w14:textId="77777777" w:rsidTr="00057C2F">
        <w:trPr>
          <w:trHeight w:val="449"/>
        </w:trPr>
        <w:tc>
          <w:tcPr>
            <w:tcW w:w="1885" w:type="dxa"/>
            <w:tcBorders>
              <w:top w:val="nil"/>
            </w:tcBorders>
            <w:shd w:val="clear" w:color="auto" w:fill="FFF2CC" w:themeFill="accent4" w:themeFillTint="33"/>
          </w:tcPr>
          <w:p w14:paraId="5B1D878E" w14:textId="77777777" w:rsidR="004208A9" w:rsidRPr="0071186E" w:rsidRDefault="004208A9" w:rsidP="00C128CA">
            <w:pPr>
              <w:pStyle w:val="TableParagraph"/>
              <w:keepNext/>
              <w:keepLines/>
              <w:widowControl/>
              <w:spacing w:before="75"/>
              <w:ind w:left="116"/>
              <w:rPr>
                <w:rFonts w:ascii="Times New Roman"/>
                <w:sz w:val="19"/>
              </w:rPr>
            </w:pPr>
            <w:r w:rsidRPr="0071186E">
              <w:rPr>
                <w:b/>
                <w:color w:val="161615"/>
                <w:sz w:val="18"/>
                <w:lang w:bidi="en-CA"/>
              </w:rPr>
              <w:t>$500,000</w:t>
            </w:r>
          </w:p>
        </w:tc>
        <w:tc>
          <w:tcPr>
            <w:tcW w:w="1693" w:type="dxa"/>
            <w:tcBorders>
              <w:top w:val="nil"/>
            </w:tcBorders>
            <w:shd w:val="clear" w:color="auto" w:fill="FFF2CC" w:themeFill="accent4" w:themeFillTint="33"/>
          </w:tcPr>
          <w:p w14:paraId="16E63D70" w14:textId="77777777" w:rsidR="004208A9" w:rsidRPr="0071186E" w:rsidRDefault="004208A9" w:rsidP="00C128CA">
            <w:pPr>
              <w:pStyle w:val="TableParagraph"/>
              <w:keepNext/>
              <w:keepLines/>
              <w:widowControl/>
              <w:rPr>
                <w:rFonts w:ascii="Times New Roman"/>
                <w:sz w:val="18"/>
              </w:rPr>
            </w:pPr>
          </w:p>
        </w:tc>
        <w:tc>
          <w:tcPr>
            <w:tcW w:w="1429" w:type="dxa"/>
            <w:tcBorders>
              <w:top w:val="nil"/>
            </w:tcBorders>
            <w:shd w:val="clear" w:color="auto" w:fill="FFE599" w:themeFill="accent4" w:themeFillTint="66"/>
          </w:tcPr>
          <w:p w14:paraId="19CFA5EA" w14:textId="77777777" w:rsidR="004208A9" w:rsidRPr="0071186E" w:rsidRDefault="004208A9" w:rsidP="00C128CA">
            <w:pPr>
              <w:pStyle w:val="TableParagraph"/>
              <w:keepNext/>
              <w:keepLines/>
              <w:widowControl/>
              <w:rPr>
                <w:rFonts w:ascii="Times New Roman"/>
                <w:sz w:val="18"/>
              </w:rPr>
            </w:pPr>
          </w:p>
        </w:tc>
        <w:tc>
          <w:tcPr>
            <w:tcW w:w="1549" w:type="dxa"/>
            <w:tcBorders>
              <w:top w:val="nil"/>
            </w:tcBorders>
            <w:shd w:val="clear" w:color="auto" w:fill="FFE599" w:themeFill="accent4" w:themeFillTint="66"/>
          </w:tcPr>
          <w:p w14:paraId="4E1CCCA3" w14:textId="77777777" w:rsidR="004208A9" w:rsidRPr="0071186E" w:rsidRDefault="004208A9" w:rsidP="00C128CA">
            <w:pPr>
              <w:pStyle w:val="TableParagraph"/>
              <w:keepNext/>
              <w:keepLines/>
              <w:widowControl/>
              <w:rPr>
                <w:rFonts w:ascii="Times New Roman"/>
                <w:sz w:val="18"/>
              </w:rPr>
            </w:pPr>
          </w:p>
        </w:tc>
        <w:tc>
          <w:tcPr>
            <w:tcW w:w="1280" w:type="dxa"/>
            <w:tcBorders>
              <w:top w:val="nil"/>
            </w:tcBorders>
            <w:shd w:val="clear" w:color="auto" w:fill="FFE599" w:themeFill="accent4" w:themeFillTint="66"/>
          </w:tcPr>
          <w:p w14:paraId="41E35FC2" w14:textId="77777777" w:rsidR="004208A9" w:rsidRPr="0071186E" w:rsidRDefault="004208A9" w:rsidP="00C128CA">
            <w:pPr>
              <w:pStyle w:val="TableParagraph"/>
              <w:keepNext/>
              <w:keepLines/>
              <w:widowControl/>
              <w:rPr>
                <w:rFonts w:ascii="Times New Roman"/>
                <w:sz w:val="18"/>
              </w:rPr>
            </w:pPr>
          </w:p>
        </w:tc>
        <w:tc>
          <w:tcPr>
            <w:tcW w:w="1242" w:type="dxa"/>
            <w:vMerge/>
            <w:tcBorders>
              <w:top w:val="single" w:sz="4" w:space="0" w:color="000000"/>
            </w:tcBorders>
            <w:shd w:val="clear" w:color="auto" w:fill="FFD966" w:themeFill="accent4" w:themeFillTint="99"/>
          </w:tcPr>
          <w:p w14:paraId="4ADD6773" w14:textId="77777777" w:rsidR="004208A9" w:rsidRPr="0071186E" w:rsidRDefault="004208A9" w:rsidP="00C128CA">
            <w:pPr>
              <w:keepNext/>
              <w:keepLines/>
              <w:rPr>
                <w:sz w:val="2"/>
                <w:szCs w:val="2"/>
                <w:lang w:val="en-CA"/>
              </w:rPr>
            </w:pPr>
          </w:p>
        </w:tc>
      </w:tr>
      <w:tr w:rsidR="004208A9" w:rsidRPr="0071186E" w14:paraId="409B5352" w14:textId="77777777" w:rsidTr="00057C2F">
        <w:trPr>
          <w:trHeight w:val="863"/>
        </w:trPr>
        <w:tc>
          <w:tcPr>
            <w:tcW w:w="1885" w:type="dxa"/>
            <w:shd w:val="clear" w:color="auto" w:fill="FFF2CC" w:themeFill="accent4" w:themeFillTint="33"/>
          </w:tcPr>
          <w:p w14:paraId="006D51F5" w14:textId="77777777" w:rsidR="004208A9" w:rsidRPr="0071186E" w:rsidRDefault="004208A9" w:rsidP="00C128CA">
            <w:pPr>
              <w:pStyle w:val="TableParagraph"/>
              <w:keepNext/>
              <w:keepLines/>
              <w:widowControl/>
              <w:jc w:val="center"/>
              <w:rPr>
                <w:sz w:val="20"/>
              </w:rPr>
            </w:pPr>
          </w:p>
          <w:p w14:paraId="7CEDCAE3" w14:textId="77777777" w:rsidR="004208A9" w:rsidRPr="0071186E" w:rsidRDefault="004208A9" w:rsidP="00C128CA">
            <w:pPr>
              <w:pStyle w:val="TableParagraph"/>
              <w:keepNext/>
              <w:keepLines/>
              <w:widowControl/>
              <w:spacing w:before="145"/>
              <w:jc w:val="center"/>
              <w:rPr>
                <w:rFonts w:ascii="Times New Roman"/>
                <w:sz w:val="19"/>
              </w:rPr>
            </w:pPr>
            <w:r w:rsidRPr="0071186E">
              <w:rPr>
                <w:b/>
                <w:color w:val="161615"/>
                <w:sz w:val="18"/>
                <w:lang w:bidi="en-CA"/>
              </w:rPr>
              <w:t>$6,908,623</w:t>
            </w:r>
          </w:p>
        </w:tc>
        <w:tc>
          <w:tcPr>
            <w:tcW w:w="1693" w:type="dxa"/>
            <w:shd w:val="clear" w:color="auto" w:fill="FFF2CC" w:themeFill="accent4" w:themeFillTint="33"/>
          </w:tcPr>
          <w:p w14:paraId="498D7115" w14:textId="77777777" w:rsidR="004208A9" w:rsidRPr="0071186E" w:rsidRDefault="004208A9" w:rsidP="00C128CA">
            <w:pPr>
              <w:pStyle w:val="TableParagraph"/>
              <w:keepNext/>
              <w:keepLines/>
              <w:widowControl/>
              <w:jc w:val="center"/>
              <w:rPr>
                <w:sz w:val="20"/>
              </w:rPr>
            </w:pPr>
          </w:p>
          <w:p w14:paraId="5238195B" w14:textId="77777777" w:rsidR="004208A9" w:rsidRPr="0071186E" w:rsidRDefault="004208A9" w:rsidP="00C128CA">
            <w:pPr>
              <w:pStyle w:val="TableParagraph"/>
              <w:keepNext/>
              <w:keepLines/>
              <w:widowControl/>
              <w:spacing w:before="145"/>
              <w:jc w:val="center"/>
              <w:rPr>
                <w:rFonts w:ascii="Times New Roman"/>
                <w:sz w:val="19"/>
              </w:rPr>
            </w:pPr>
            <w:r w:rsidRPr="0071186E">
              <w:rPr>
                <w:b/>
                <w:color w:val="161615"/>
                <w:sz w:val="18"/>
                <w:lang w:bidi="en-CA"/>
              </w:rPr>
              <w:t>$18,135,135</w:t>
            </w:r>
          </w:p>
        </w:tc>
        <w:tc>
          <w:tcPr>
            <w:tcW w:w="1429" w:type="dxa"/>
            <w:shd w:val="clear" w:color="auto" w:fill="FFE599" w:themeFill="accent4" w:themeFillTint="66"/>
          </w:tcPr>
          <w:p w14:paraId="4D319305" w14:textId="77777777" w:rsidR="004208A9" w:rsidRPr="0071186E" w:rsidRDefault="004208A9" w:rsidP="00C128CA">
            <w:pPr>
              <w:pStyle w:val="TableParagraph"/>
              <w:keepNext/>
              <w:keepLines/>
              <w:widowControl/>
              <w:jc w:val="center"/>
              <w:rPr>
                <w:sz w:val="20"/>
              </w:rPr>
            </w:pPr>
          </w:p>
          <w:p w14:paraId="01E2144A" w14:textId="77777777" w:rsidR="004208A9" w:rsidRPr="0071186E" w:rsidRDefault="004208A9" w:rsidP="00C128CA">
            <w:pPr>
              <w:pStyle w:val="TableParagraph"/>
              <w:keepNext/>
              <w:keepLines/>
              <w:widowControl/>
              <w:spacing w:before="158"/>
              <w:jc w:val="center"/>
              <w:rPr>
                <w:rFonts w:ascii="Times New Roman"/>
                <w:sz w:val="17"/>
              </w:rPr>
            </w:pPr>
            <w:r w:rsidRPr="0071186E">
              <w:rPr>
                <w:b/>
                <w:color w:val="161615"/>
                <w:sz w:val="18"/>
                <w:lang w:bidi="en-CA"/>
              </w:rPr>
              <w:t>$2,</w:t>
            </w:r>
            <w:r w:rsidRPr="0071186E">
              <w:rPr>
                <w:b/>
                <w:color w:val="262826"/>
                <w:sz w:val="18"/>
                <w:lang w:bidi="en-CA"/>
              </w:rPr>
              <w:t>490,</w:t>
            </w:r>
            <w:r w:rsidRPr="0071186E">
              <w:rPr>
                <w:b/>
                <w:color w:val="161615"/>
                <w:sz w:val="18"/>
                <w:lang w:bidi="en-CA"/>
              </w:rPr>
              <w:t>721</w:t>
            </w:r>
          </w:p>
        </w:tc>
        <w:tc>
          <w:tcPr>
            <w:tcW w:w="1549" w:type="dxa"/>
            <w:shd w:val="clear" w:color="auto" w:fill="FFE599" w:themeFill="accent4" w:themeFillTint="66"/>
          </w:tcPr>
          <w:p w14:paraId="59311CD2" w14:textId="77777777" w:rsidR="004208A9" w:rsidRPr="0071186E" w:rsidRDefault="004208A9" w:rsidP="00C128CA">
            <w:pPr>
              <w:pStyle w:val="TableParagraph"/>
              <w:keepNext/>
              <w:keepLines/>
              <w:widowControl/>
              <w:jc w:val="center"/>
              <w:rPr>
                <w:sz w:val="20"/>
              </w:rPr>
            </w:pPr>
          </w:p>
          <w:p w14:paraId="4C2B7823" w14:textId="77777777" w:rsidR="004208A9" w:rsidRPr="0071186E" w:rsidRDefault="004208A9" w:rsidP="00C128CA">
            <w:pPr>
              <w:pStyle w:val="TableParagraph"/>
              <w:keepNext/>
              <w:keepLines/>
              <w:widowControl/>
              <w:spacing w:before="145"/>
              <w:jc w:val="center"/>
              <w:rPr>
                <w:rFonts w:ascii="Times New Roman"/>
                <w:sz w:val="19"/>
              </w:rPr>
            </w:pPr>
            <w:r w:rsidRPr="0071186E">
              <w:rPr>
                <w:b/>
                <w:color w:val="161615"/>
                <w:sz w:val="18"/>
                <w:lang w:bidi="en-CA"/>
              </w:rPr>
              <w:t>$3,492,380</w:t>
            </w:r>
          </w:p>
        </w:tc>
        <w:tc>
          <w:tcPr>
            <w:tcW w:w="1280" w:type="dxa"/>
            <w:shd w:val="clear" w:color="auto" w:fill="FFE599" w:themeFill="accent4" w:themeFillTint="66"/>
          </w:tcPr>
          <w:p w14:paraId="3AACAB03" w14:textId="77777777" w:rsidR="004208A9" w:rsidRPr="0071186E" w:rsidRDefault="004208A9" w:rsidP="00C128CA">
            <w:pPr>
              <w:pStyle w:val="TableParagraph"/>
              <w:keepNext/>
              <w:keepLines/>
              <w:widowControl/>
              <w:jc w:val="center"/>
              <w:rPr>
                <w:sz w:val="20"/>
              </w:rPr>
            </w:pPr>
          </w:p>
          <w:p w14:paraId="0D2952D5" w14:textId="77777777" w:rsidR="004208A9" w:rsidRPr="0071186E" w:rsidRDefault="004208A9" w:rsidP="00C128CA">
            <w:pPr>
              <w:pStyle w:val="TableParagraph"/>
              <w:keepNext/>
              <w:keepLines/>
              <w:widowControl/>
              <w:spacing w:before="145"/>
              <w:jc w:val="center"/>
              <w:rPr>
                <w:rFonts w:ascii="Times New Roman"/>
                <w:sz w:val="19"/>
              </w:rPr>
            </w:pPr>
            <w:r w:rsidRPr="0071186E">
              <w:rPr>
                <w:b/>
                <w:color w:val="161615"/>
                <w:sz w:val="18"/>
                <w:lang w:bidi="en-CA"/>
              </w:rPr>
              <w:t>$5,440,541</w:t>
            </w:r>
          </w:p>
        </w:tc>
        <w:tc>
          <w:tcPr>
            <w:tcW w:w="1242" w:type="dxa"/>
            <w:shd w:val="clear" w:color="auto" w:fill="FFD966" w:themeFill="accent4" w:themeFillTint="99"/>
          </w:tcPr>
          <w:p w14:paraId="055B6676" w14:textId="77777777" w:rsidR="004208A9" w:rsidRPr="0071186E" w:rsidRDefault="004208A9" w:rsidP="00C128CA">
            <w:pPr>
              <w:pStyle w:val="TableParagraph"/>
              <w:keepNext/>
              <w:keepLines/>
              <w:widowControl/>
              <w:jc w:val="center"/>
              <w:rPr>
                <w:sz w:val="20"/>
              </w:rPr>
            </w:pPr>
          </w:p>
          <w:p w14:paraId="1E766F5F" w14:textId="77777777" w:rsidR="004208A9" w:rsidRPr="0071186E" w:rsidRDefault="004208A9" w:rsidP="00C128CA">
            <w:pPr>
              <w:pStyle w:val="TableParagraph"/>
              <w:keepNext/>
              <w:keepLines/>
              <w:widowControl/>
              <w:spacing w:before="153"/>
              <w:jc w:val="center"/>
              <w:rPr>
                <w:rFonts w:ascii="Times New Roman"/>
                <w:sz w:val="17"/>
              </w:rPr>
            </w:pPr>
            <w:r w:rsidRPr="0071186E">
              <w:rPr>
                <w:b/>
                <w:color w:val="161615"/>
                <w:sz w:val="18"/>
                <w:lang w:bidi="en-CA"/>
              </w:rPr>
              <w:t>$29,558,777</w:t>
            </w:r>
          </w:p>
        </w:tc>
      </w:tr>
    </w:tbl>
    <w:p w14:paraId="21D85964" w14:textId="77777777" w:rsidR="004208A9" w:rsidRPr="0071186E" w:rsidRDefault="004208A9" w:rsidP="004208A9">
      <w:pPr>
        <w:pStyle w:val="Corpsdetexte"/>
        <w:spacing w:before="93"/>
        <w:ind w:left="891" w:right="181" w:firstLine="1"/>
        <w:rPr>
          <w:color w:val="181A18"/>
          <w:szCs w:val="24"/>
          <w:lang w:val="en-CA" w:bidi="en-CA"/>
        </w:rPr>
      </w:pPr>
    </w:p>
    <w:p w14:paraId="03EA1AB0" w14:textId="3B0771AD" w:rsidR="004208A9" w:rsidRPr="0071186E" w:rsidRDefault="004208A9" w:rsidP="00C66C74">
      <w:pPr>
        <w:pStyle w:val="SimpleL1"/>
        <w:rPr>
          <w:lang w:val="en-CA" w:bidi="en-CA"/>
        </w:rPr>
      </w:pPr>
      <w:r w:rsidRPr="00C66C74">
        <w:rPr>
          <w:lang w:val="en-CA" w:bidi="en-CA"/>
        </w:rPr>
        <w:t>To do its calculations</w:t>
      </w:r>
      <w:r w:rsidRPr="0071186E">
        <w:rPr>
          <w:lang w:val="en-CA" w:bidi="en-CA"/>
        </w:rPr>
        <w:t xml:space="preserve">, the Prosecutor obtained the accounting documentation for the </w:t>
      </w:r>
      <w:r w:rsidR="00C66C74" w:rsidRPr="00C66C74">
        <w:rPr>
          <w:color w:val="181A18"/>
          <w:szCs w:val="24"/>
          <w:lang w:val="en-CA" w:bidi="en-CA"/>
        </w:rPr>
        <w:t xml:space="preserve">Jacques Cartier Bridge refurbishment project </w:t>
      </w:r>
      <w:r w:rsidRPr="0071186E">
        <w:rPr>
          <w:lang w:val="en-CA" w:bidi="en-CA"/>
        </w:rPr>
        <w:t xml:space="preserve">during the negotiation of the Draft Agreement following requests made to the Organizations </w:t>
      </w:r>
      <w:r w:rsidR="006D70F4">
        <w:rPr>
          <w:lang w:val="en-CA" w:bidi="en-CA"/>
        </w:rPr>
        <w:t>pursuant to</w:t>
      </w:r>
      <w:r w:rsidR="006D70F4" w:rsidRPr="0071186E">
        <w:rPr>
          <w:lang w:val="en-CA" w:bidi="en-CA"/>
        </w:rPr>
        <w:t xml:space="preserve"> </w:t>
      </w:r>
      <w:r w:rsidRPr="0071186E">
        <w:rPr>
          <w:lang w:val="en-CA" w:bidi="en-CA"/>
        </w:rPr>
        <w:t>paragraph 715.33(1)(e) Cr.</w:t>
      </w:r>
      <w:r w:rsidR="006D70F4">
        <w:rPr>
          <w:lang w:val="en-CA" w:bidi="en-CA"/>
        </w:rPr>
        <w:t> </w:t>
      </w:r>
      <w:r w:rsidRPr="0071186E">
        <w:rPr>
          <w:lang w:val="en-CA" w:bidi="en-CA"/>
        </w:rPr>
        <w:t xml:space="preserve">C. The Prosecutor submitted this documentation to </w:t>
      </w:r>
      <w:r w:rsidRPr="0071186E">
        <w:rPr>
          <w:i/>
          <w:lang w:val="en-CA" w:bidi="en-CA"/>
        </w:rPr>
        <w:t xml:space="preserve">the Forensic Accounting Management Group of Public Services and Procurement Canada, </w:t>
      </w:r>
      <w:r w:rsidRPr="0071186E">
        <w:rPr>
          <w:lang w:val="en-CA" w:bidi="en-CA"/>
        </w:rPr>
        <w:t xml:space="preserve">whose services had been retained by the RCMP, responsible for investigating this file. A forensic accounting summary was then </w:t>
      </w:r>
      <w:r w:rsidR="006D70F4">
        <w:rPr>
          <w:lang w:val="en-CA" w:bidi="en-CA"/>
        </w:rPr>
        <w:t>prepared.</w:t>
      </w:r>
      <w:r w:rsidRPr="0071186E">
        <w:rPr>
          <w:vertAlign w:val="superscript"/>
          <w:lang w:val="en-CA" w:bidi="en-CA"/>
        </w:rPr>
        <w:footnoteReference w:id="92"/>
      </w:r>
      <w:r w:rsidR="00C66C74">
        <w:rPr>
          <w:lang w:val="en-CA" w:bidi="en-CA"/>
        </w:rPr>
        <w:t xml:space="preserve"> </w:t>
      </w:r>
    </w:p>
    <w:p w14:paraId="470E7EBF" w14:textId="77777777" w:rsidR="004208A9" w:rsidRPr="0071186E" w:rsidRDefault="004208A9" w:rsidP="004208A9">
      <w:pPr>
        <w:pStyle w:val="SimpleL1"/>
        <w:rPr>
          <w:color w:val="181A18"/>
          <w:szCs w:val="24"/>
          <w:lang w:val="en-CA" w:bidi="en-CA"/>
        </w:rPr>
      </w:pPr>
      <w:r w:rsidRPr="0071186E">
        <w:rPr>
          <w:color w:val="181A18"/>
          <w:szCs w:val="24"/>
          <w:lang w:val="en-CA" w:bidi="en-CA"/>
        </w:rPr>
        <w:lastRenderedPageBreak/>
        <w:t xml:space="preserve">It is appropriate to </w:t>
      </w:r>
      <w:r w:rsidR="00C128CA" w:rsidRPr="0071186E">
        <w:rPr>
          <w:color w:val="181A18"/>
          <w:szCs w:val="24"/>
          <w:lang w:val="en-CA" w:bidi="en-CA"/>
        </w:rPr>
        <w:t xml:space="preserve">review </w:t>
      </w:r>
      <w:r w:rsidRPr="0071186E">
        <w:rPr>
          <w:color w:val="181A18"/>
          <w:szCs w:val="24"/>
          <w:lang w:val="en-CA" w:bidi="en-CA"/>
        </w:rPr>
        <w:t xml:space="preserve">each of the elements </w:t>
      </w:r>
      <w:r w:rsidR="00C128CA" w:rsidRPr="0071186E">
        <w:rPr>
          <w:color w:val="181A18"/>
          <w:szCs w:val="24"/>
          <w:lang w:val="en-CA" w:bidi="en-CA"/>
        </w:rPr>
        <w:t>involved in arriv</w:t>
      </w:r>
      <w:r w:rsidR="004E2391">
        <w:rPr>
          <w:color w:val="181A18"/>
          <w:szCs w:val="24"/>
          <w:lang w:val="en-CA" w:bidi="en-CA"/>
        </w:rPr>
        <w:t>ing</w:t>
      </w:r>
      <w:r w:rsidR="00C128CA" w:rsidRPr="0071186E">
        <w:rPr>
          <w:color w:val="181A18"/>
          <w:szCs w:val="24"/>
          <w:lang w:val="en-CA" w:bidi="en-CA"/>
        </w:rPr>
        <w:t xml:space="preserve"> </w:t>
      </w:r>
      <w:r w:rsidRPr="0071186E">
        <w:rPr>
          <w:color w:val="181A18"/>
          <w:szCs w:val="24"/>
          <w:lang w:val="en-CA" w:bidi="en-CA"/>
        </w:rPr>
        <w:t>at a total amount of $29,558,777 payable by the Organizations.</w:t>
      </w:r>
    </w:p>
    <w:p w14:paraId="122130B1" w14:textId="77777777" w:rsidR="004208A9" w:rsidRPr="0071186E" w:rsidRDefault="004208A9" w:rsidP="00313DEB">
      <w:pPr>
        <w:pStyle w:val="Titre4"/>
        <w:numPr>
          <w:ilvl w:val="0"/>
          <w:numId w:val="28"/>
        </w:numPr>
        <w:rPr>
          <w:lang w:val="en-CA" w:bidi="en-CA"/>
        </w:rPr>
      </w:pPr>
      <w:r w:rsidRPr="0071186E">
        <w:rPr>
          <w:lang w:val="en-CA" w:bidi="en-CA"/>
        </w:rPr>
        <w:t>The penalty</w:t>
      </w:r>
    </w:p>
    <w:p w14:paraId="1E55BED5" w14:textId="45D49BA4" w:rsidR="004208A9" w:rsidRPr="0071186E" w:rsidRDefault="00E77D93" w:rsidP="004208A9">
      <w:pPr>
        <w:pStyle w:val="SimpleL1"/>
        <w:rPr>
          <w:color w:val="181A18"/>
          <w:szCs w:val="24"/>
          <w:lang w:val="en-CA" w:bidi="en-CA"/>
        </w:rPr>
      </w:pPr>
      <w:r>
        <w:rPr>
          <w:color w:val="181A18"/>
          <w:szCs w:val="24"/>
          <w:lang w:val="en-CA" w:bidi="en-CA"/>
        </w:rPr>
        <w:t>In its</w:t>
      </w:r>
      <w:r w:rsidRPr="0071186E">
        <w:rPr>
          <w:color w:val="181A18"/>
          <w:szCs w:val="24"/>
          <w:lang w:val="en-CA" w:bidi="en-CA"/>
        </w:rPr>
        <w:t xml:space="preserve"> </w:t>
      </w:r>
      <w:r>
        <w:rPr>
          <w:color w:val="181A18"/>
          <w:szCs w:val="24"/>
          <w:lang w:val="en-CA" w:bidi="en-CA"/>
        </w:rPr>
        <w:t>submission</w:t>
      </w:r>
      <w:r w:rsidRPr="0071186E">
        <w:rPr>
          <w:color w:val="181A18"/>
          <w:szCs w:val="24"/>
          <w:lang w:val="en-CA" w:bidi="en-CA"/>
        </w:rPr>
        <w:t>s</w:t>
      </w:r>
      <w:r>
        <w:rPr>
          <w:color w:val="181A18"/>
          <w:szCs w:val="24"/>
          <w:lang w:val="en-CA" w:bidi="en-CA"/>
        </w:rPr>
        <w:t>,</w:t>
      </w:r>
      <w:r w:rsidRPr="0071186E">
        <w:rPr>
          <w:color w:val="181A18"/>
          <w:szCs w:val="24"/>
          <w:lang w:val="en-CA" w:bidi="en-CA"/>
        </w:rPr>
        <w:t xml:space="preserve"> </w:t>
      </w:r>
      <w:r>
        <w:rPr>
          <w:color w:val="181A18"/>
          <w:szCs w:val="24"/>
          <w:lang w:val="en-CA" w:bidi="en-CA"/>
        </w:rPr>
        <w:t>t</w:t>
      </w:r>
      <w:r w:rsidR="004208A9" w:rsidRPr="0071186E">
        <w:rPr>
          <w:color w:val="181A18"/>
          <w:szCs w:val="24"/>
          <w:lang w:val="en-CA" w:bidi="en-CA"/>
        </w:rPr>
        <w:t>he Pros</w:t>
      </w:r>
      <w:r w:rsidR="00210DD1">
        <w:rPr>
          <w:color w:val="181A18"/>
          <w:szCs w:val="24"/>
          <w:lang w:val="en-CA" w:bidi="en-CA"/>
        </w:rPr>
        <w:t xml:space="preserve">ecutor explains in detail </w:t>
      </w:r>
      <w:r w:rsidR="004208A9" w:rsidRPr="0071186E">
        <w:rPr>
          <w:color w:val="181A18"/>
          <w:szCs w:val="24"/>
          <w:lang w:val="en-CA" w:bidi="en-CA"/>
        </w:rPr>
        <w:t>how the penalty amount of $18,135,135 was reached.</w:t>
      </w:r>
    </w:p>
    <w:p w14:paraId="5A86C49F" w14:textId="519C7152" w:rsidR="004208A9" w:rsidRPr="0071186E" w:rsidRDefault="004208A9" w:rsidP="002225C0">
      <w:pPr>
        <w:pStyle w:val="SimpleL1"/>
        <w:tabs>
          <w:tab w:val="left" w:pos="4395"/>
        </w:tabs>
        <w:rPr>
          <w:lang w:val="en-CA" w:bidi="en-CA"/>
        </w:rPr>
      </w:pPr>
      <w:r w:rsidRPr="0071186E">
        <w:rPr>
          <w:lang w:val="en-CA" w:bidi="en-CA"/>
        </w:rPr>
        <w:t xml:space="preserve">To summarize, the Prosecutor first determined the profit projected by the Organizations for </w:t>
      </w:r>
      <w:r w:rsidR="002225C0">
        <w:rPr>
          <w:lang w:val="en-CA" w:bidi="en-CA"/>
        </w:rPr>
        <w:t>performing</w:t>
      </w:r>
      <w:r w:rsidRPr="0071186E">
        <w:rPr>
          <w:lang w:val="en-CA" w:bidi="en-CA"/>
        </w:rPr>
        <w:t xml:space="preserve"> the Jacques-Cartier bridge contract. The Prosecutor </w:t>
      </w:r>
      <w:r w:rsidR="002225C0">
        <w:rPr>
          <w:lang w:val="en-CA" w:bidi="en-CA"/>
        </w:rPr>
        <w:t>accepted</w:t>
      </w:r>
      <w:r w:rsidR="002225C0" w:rsidRPr="0071186E">
        <w:rPr>
          <w:lang w:val="en-CA" w:bidi="en-CA"/>
        </w:rPr>
        <w:t xml:space="preserve"> </w:t>
      </w:r>
      <w:r w:rsidRPr="0071186E">
        <w:rPr>
          <w:lang w:val="en-CA" w:bidi="en-CA"/>
        </w:rPr>
        <w:t xml:space="preserve">this anticipated profit since, in its view, it corresponds to the purpose for which the offences were committed: this amount </w:t>
      </w:r>
      <w:r w:rsidR="00D81113">
        <w:rPr>
          <w:lang w:val="en-CA" w:bidi="en-CA"/>
        </w:rPr>
        <w:t>[</w:t>
      </w:r>
      <w:r w:rsidR="00D81113" w:rsidRPr="006B7F16">
        <w:rPr>
          <w:smallCaps/>
          <w:lang w:val="en-CA" w:bidi="en-CA"/>
        </w:rPr>
        <w:t>translation</w:t>
      </w:r>
      <w:r w:rsidR="00D81113">
        <w:rPr>
          <w:lang w:val="en-CA" w:bidi="en-CA"/>
        </w:rPr>
        <w:t xml:space="preserve">] </w:t>
      </w:r>
      <w:r w:rsidR="004F6306" w:rsidRPr="0071186E">
        <w:rPr>
          <w:lang w:val="en-CA" w:bidi="en-CA"/>
        </w:rPr>
        <w:t>“</w:t>
      </w:r>
      <w:r w:rsidR="002225C0">
        <w:rPr>
          <w:lang w:val="en-CA" w:bidi="en-CA"/>
        </w:rPr>
        <w:t>accurately</w:t>
      </w:r>
      <w:r w:rsidR="002225C0" w:rsidRPr="0071186E">
        <w:rPr>
          <w:lang w:val="en-CA" w:bidi="en-CA"/>
        </w:rPr>
        <w:t xml:space="preserve"> </w:t>
      </w:r>
      <w:r w:rsidRPr="0071186E">
        <w:rPr>
          <w:lang w:val="en-CA" w:bidi="en-CA"/>
        </w:rPr>
        <w:t xml:space="preserve">embodies the moral element of its authors, the </w:t>
      </w:r>
      <w:r w:rsidR="00866642" w:rsidRPr="00866642">
        <w:rPr>
          <w:color w:val="181A18"/>
          <w:szCs w:val="24"/>
          <w:lang w:val="en-CA" w:bidi="en-CA"/>
        </w:rPr>
        <w:t>directing mind</w:t>
      </w:r>
      <w:r w:rsidR="00866642">
        <w:rPr>
          <w:color w:val="181A18"/>
          <w:szCs w:val="24"/>
          <w:lang w:val="en-CA" w:bidi="en-CA"/>
        </w:rPr>
        <w:t>s</w:t>
      </w:r>
      <w:r w:rsidRPr="0071186E">
        <w:rPr>
          <w:lang w:val="en-CA" w:bidi="en-CA"/>
        </w:rPr>
        <w:t xml:space="preserve"> of the Organizations, </w:t>
      </w:r>
      <w:r w:rsidR="00D81113">
        <w:rPr>
          <w:lang w:val="en-CA" w:bidi="en-CA"/>
        </w:rPr>
        <w:t>when they decided</w:t>
      </w:r>
      <w:r w:rsidRPr="0071186E">
        <w:rPr>
          <w:lang w:val="en-CA" w:bidi="en-CA"/>
        </w:rPr>
        <w:t xml:space="preserve"> to bribe a government official, driven by the lure of a gain</w:t>
      </w:r>
      <w:r w:rsidR="004F6306" w:rsidRPr="0071186E">
        <w:rPr>
          <w:lang w:val="en-CA" w:bidi="en-CA"/>
        </w:rPr>
        <w:t>”</w:t>
      </w:r>
      <w:r w:rsidR="00D81113">
        <w:rPr>
          <w:lang w:val="en-CA" w:bidi="en-CA"/>
        </w:rPr>
        <w:t>.</w:t>
      </w:r>
      <w:r w:rsidRPr="0071186E">
        <w:rPr>
          <w:vertAlign w:val="superscript"/>
          <w:lang w:val="en-CA" w:bidi="en-CA"/>
        </w:rPr>
        <w:footnoteReference w:id="93"/>
      </w:r>
      <w:r w:rsidRPr="0071186E">
        <w:rPr>
          <w:lang w:val="en-CA" w:bidi="en-CA"/>
        </w:rPr>
        <w:t xml:space="preserve"> The fact that the profit made was actually lower should not be taken into consideration, as the acts of corruption are not </w:t>
      </w:r>
      <w:r w:rsidR="00C128CA" w:rsidRPr="0071186E">
        <w:rPr>
          <w:lang w:val="en-CA" w:bidi="en-CA"/>
        </w:rPr>
        <w:t xml:space="preserve">diminished </w:t>
      </w:r>
      <w:r w:rsidRPr="0071186E">
        <w:rPr>
          <w:lang w:val="en-CA" w:bidi="en-CA"/>
        </w:rPr>
        <w:t xml:space="preserve">by the unforeseen events of the project. The Prosecutor cites </w:t>
      </w:r>
      <w:r w:rsidR="00D81113" w:rsidRPr="0071186E">
        <w:rPr>
          <w:i/>
          <w:lang w:val="en-CA" w:bidi="en-CA"/>
        </w:rPr>
        <w:t xml:space="preserve">McNamara </w:t>
      </w:r>
      <w:r w:rsidRPr="0071186E">
        <w:rPr>
          <w:lang w:val="en-CA" w:bidi="en-CA"/>
        </w:rPr>
        <w:t>with approval</w:t>
      </w:r>
      <w:r w:rsidRPr="0071186E">
        <w:rPr>
          <w:i/>
          <w:lang w:val="en-CA" w:bidi="en-CA"/>
        </w:rPr>
        <w:t xml:space="preserve">, </w:t>
      </w:r>
      <w:r w:rsidRPr="0071186E">
        <w:rPr>
          <w:lang w:val="en-CA" w:bidi="en-CA"/>
        </w:rPr>
        <w:t>in which the Court of Appeal</w:t>
      </w:r>
      <w:r w:rsidR="00D81113">
        <w:rPr>
          <w:lang w:val="en-CA" w:bidi="en-CA"/>
        </w:rPr>
        <w:t xml:space="preserve"> for Ontario</w:t>
      </w:r>
      <w:r w:rsidRPr="0071186E">
        <w:rPr>
          <w:lang w:val="en-CA" w:bidi="en-CA"/>
        </w:rPr>
        <w:t xml:space="preserve"> holds that </w:t>
      </w:r>
      <w:r w:rsidR="004F6306" w:rsidRPr="0071186E">
        <w:rPr>
          <w:lang w:val="en-CA" w:bidi="en-CA"/>
        </w:rPr>
        <w:t>“</w:t>
      </w:r>
      <w:r w:rsidRPr="0071186E">
        <w:rPr>
          <w:lang w:val="en-CA" w:bidi="en-CA"/>
        </w:rPr>
        <w:t>the fact that the contract did not work out as well as the conspirators expected is, in our judgment, of little consequence</w:t>
      </w:r>
      <w:r w:rsidR="004F6306" w:rsidRPr="0071186E">
        <w:rPr>
          <w:lang w:val="en-CA" w:bidi="en-CA"/>
        </w:rPr>
        <w:t>”</w:t>
      </w:r>
      <w:r w:rsidR="00D81113">
        <w:rPr>
          <w:lang w:val="en-CA" w:bidi="en-CA"/>
        </w:rPr>
        <w:t>.</w:t>
      </w:r>
      <w:r w:rsidRPr="0071186E">
        <w:rPr>
          <w:vertAlign w:val="superscript"/>
          <w:lang w:val="en-CA" w:bidi="en-CA"/>
        </w:rPr>
        <w:footnoteReference w:id="94"/>
      </w:r>
      <w:r w:rsidRPr="0071186E">
        <w:rPr>
          <w:lang w:val="en-CA" w:bidi="en-CA"/>
        </w:rPr>
        <w:t xml:space="preserve"> For the Prosecutor, the use of </w:t>
      </w:r>
      <w:r w:rsidR="00D81113">
        <w:rPr>
          <w:i/>
          <w:lang w:val="en-CA" w:bidi="en-CA"/>
        </w:rPr>
        <w:t>projected</w:t>
      </w:r>
      <w:r w:rsidR="00D81113" w:rsidRPr="0071186E">
        <w:rPr>
          <w:lang w:val="en-CA" w:bidi="en-CA"/>
        </w:rPr>
        <w:t xml:space="preserve"> </w:t>
      </w:r>
      <w:r w:rsidRPr="0071186E">
        <w:rPr>
          <w:lang w:val="en-CA" w:bidi="en-CA"/>
        </w:rPr>
        <w:t xml:space="preserve">profit provides a more consistent proportionality between the desired gain and the payment </w:t>
      </w:r>
      <w:r w:rsidR="005255DF">
        <w:rPr>
          <w:lang w:val="en-CA" w:bidi="en-CA"/>
        </w:rPr>
        <w:t>of</w:t>
      </w:r>
      <w:r w:rsidRPr="0071186E">
        <w:rPr>
          <w:lang w:val="en-CA" w:bidi="en-CA"/>
        </w:rPr>
        <w:t xml:space="preserve"> the bribe. It should indeed be noted that the profit made by the Organizations was significantly less than the </w:t>
      </w:r>
      <w:r w:rsidR="005255DF">
        <w:rPr>
          <w:lang w:val="en-CA" w:bidi="en-CA"/>
        </w:rPr>
        <w:t>projected</w:t>
      </w:r>
      <w:r w:rsidR="005255DF" w:rsidRPr="0071186E">
        <w:rPr>
          <w:lang w:val="en-CA" w:bidi="en-CA"/>
        </w:rPr>
        <w:t xml:space="preserve"> </w:t>
      </w:r>
      <w:r w:rsidRPr="0071186E">
        <w:rPr>
          <w:lang w:val="en-CA" w:bidi="en-CA"/>
        </w:rPr>
        <w:t>profit, to the point that the bribe paid is higher than the profit made by the Organizations.</w:t>
      </w:r>
    </w:p>
    <w:p w14:paraId="7F320065" w14:textId="76A9B128" w:rsidR="004208A9" w:rsidRPr="0071186E" w:rsidRDefault="004208A9" w:rsidP="004208A9">
      <w:pPr>
        <w:pStyle w:val="SimpleL1"/>
        <w:rPr>
          <w:color w:val="181A18"/>
          <w:szCs w:val="24"/>
          <w:lang w:val="en-CA" w:bidi="en-CA"/>
        </w:rPr>
      </w:pPr>
      <w:r w:rsidRPr="0071186E">
        <w:rPr>
          <w:color w:val="181A18"/>
          <w:szCs w:val="24"/>
          <w:lang w:val="en-CA" w:bidi="en-CA"/>
        </w:rPr>
        <w:t>Second, the Prosecutor determine</w:t>
      </w:r>
      <w:r w:rsidR="00C96A88">
        <w:rPr>
          <w:color w:val="181A18"/>
          <w:szCs w:val="24"/>
          <w:lang w:val="en-CA" w:bidi="en-CA"/>
        </w:rPr>
        <w:t>d</w:t>
      </w:r>
      <w:r w:rsidRPr="0071186E">
        <w:rPr>
          <w:color w:val="181A18"/>
          <w:szCs w:val="24"/>
          <w:lang w:val="en-CA" w:bidi="en-CA"/>
        </w:rPr>
        <w:t xml:space="preserve"> what is referred to as a punitive factor, which the parties established </w:t>
      </w:r>
      <w:r w:rsidR="00C96A88" w:rsidRPr="0071186E">
        <w:rPr>
          <w:color w:val="181A18"/>
          <w:szCs w:val="24"/>
          <w:lang w:val="en-CA" w:bidi="en-CA"/>
        </w:rPr>
        <w:t>at 350%</w:t>
      </w:r>
      <w:r w:rsidR="00C96A88">
        <w:rPr>
          <w:color w:val="181A18"/>
          <w:szCs w:val="24"/>
          <w:lang w:val="en-CA" w:bidi="en-CA"/>
        </w:rPr>
        <w:t xml:space="preserve"> </w:t>
      </w:r>
      <w:r w:rsidRPr="0071186E">
        <w:rPr>
          <w:color w:val="181A18"/>
          <w:szCs w:val="24"/>
          <w:lang w:val="en-CA" w:bidi="en-CA"/>
        </w:rPr>
        <w:t xml:space="preserve">in this case. The Prosecutor then subtracts a 25% </w:t>
      </w:r>
      <w:r w:rsidR="00C96A88">
        <w:rPr>
          <w:color w:val="181A18"/>
          <w:szCs w:val="24"/>
          <w:lang w:val="en-CA" w:bidi="en-CA"/>
        </w:rPr>
        <w:t>credit</w:t>
      </w:r>
      <w:r w:rsidR="00C96A88" w:rsidRPr="0071186E">
        <w:rPr>
          <w:color w:val="181A18"/>
          <w:szCs w:val="24"/>
          <w:lang w:val="en-CA" w:bidi="en-CA"/>
        </w:rPr>
        <w:t xml:space="preserve"> </w:t>
      </w:r>
      <w:r w:rsidR="00D72BBE" w:rsidRPr="0071186E">
        <w:rPr>
          <w:color w:val="181A18"/>
          <w:szCs w:val="24"/>
          <w:lang w:val="en-CA" w:bidi="en-CA"/>
        </w:rPr>
        <w:t xml:space="preserve">in light of the </w:t>
      </w:r>
      <w:r w:rsidRPr="0071186E">
        <w:rPr>
          <w:color w:val="181A18"/>
          <w:szCs w:val="24"/>
          <w:lang w:val="en-CA" w:bidi="en-CA"/>
        </w:rPr>
        <w:t>Organizations’ cooperation.</w:t>
      </w:r>
    </w:p>
    <w:p w14:paraId="3C460D77" w14:textId="2D1E57AF" w:rsidR="004208A9" w:rsidRPr="0071186E" w:rsidRDefault="004208A9" w:rsidP="00B44032">
      <w:pPr>
        <w:pStyle w:val="SimpleL1"/>
        <w:spacing w:after="0"/>
        <w:rPr>
          <w:color w:val="181A18"/>
          <w:szCs w:val="24"/>
          <w:lang w:val="en-CA" w:bidi="en-CA"/>
        </w:rPr>
      </w:pPr>
      <w:r w:rsidRPr="0071186E">
        <w:rPr>
          <w:color w:val="181A18"/>
          <w:szCs w:val="24"/>
          <w:lang w:val="en-CA" w:bidi="en-CA"/>
        </w:rPr>
        <w:t>This way of calculating with factors is inspired by the sentencing frameworks of other jurisdictions. As su</w:t>
      </w:r>
      <w:r w:rsidR="004F6306" w:rsidRPr="0071186E">
        <w:rPr>
          <w:color w:val="181A18"/>
          <w:szCs w:val="24"/>
          <w:lang w:val="en-CA" w:bidi="en-CA"/>
        </w:rPr>
        <w:t>ch, in the United Kingdom, the “</w:t>
      </w:r>
      <w:r w:rsidRPr="0071186E">
        <w:rPr>
          <w:i/>
          <w:color w:val="181A18"/>
          <w:szCs w:val="24"/>
          <w:lang w:val="en-CA" w:bidi="en-CA"/>
        </w:rPr>
        <w:t xml:space="preserve">Sentencing </w:t>
      </w:r>
      <w:r w:rsidR="00D72BBE" w:rsidRPr="0071186E">
        <w:rPr>
          <w:i/>
          <w:color w:val="181A18"/>
          <w:szCs w:val="24"/>
          <w:lang w:val="en-CA" w:bidi="en-CA"/>
        </w:rPr>
        <w:t>G</w:t>
      </w:r>
      <w:r w:rsidRPr="0071186E">
        <w:rPr>
          <w:i/>
          <w:color w:val="181A18"/>
          <w:szCs w:val="24"/>
          <w:lang w:val="en-CA" w:bidi="en-CA"/>
        </w:rPr>
        <w:t>uidelines</w:t>
      </w:r>
      <w:r w:rsidR="004F6306" w:rsidRPr="0071186E">
        <w:rPr>
          <w:color w:val="181A18"/>
          <w:szCs w:val="24"/>
          <w:lang w:val="en-CA" w:bidi="en-CA"/>
        </w:rPr>
        <w:t>”</w:t>
      </w:r>
      <w:r w:rsidRPr="0071186E">
        <w:rPr>
          <w:color w:val="181A18"/>
          <w:szCs w:val="24"/>
          <w:lang w:val="en-CA" w:bidi="en-CA"/>
        </w:rPr>
        <w:t xml:space="preserve"> provide for the multiplication of the damage caused by the </w:t>
      </w:r>
      <w:r w:rsidR="00A7309C">
        <w:rPr>
          <w:color w:val="181A18"/>
          <w:szCs w:val="24"/>
          <w:lang w:val="en-CA" w:bidi="en-CA"/>
        </w:rPr>
        <w:t>offences</w:t>
      </w:r>
      <w:r w:rsidR="00A7309C" w:rsidRPr="0071186E">
        <w:rPr>
          <w:color w:val="181A18"/>
          <w:szCs w:val="24"/>
          <w:lang w:val="en-CA" w:bidi="en-CA"/>
        </w:rPr>
        <w:t xml:space="preserve"> </w:t>
      </w:r>
      <w:r w:rsidRPr="0071186E">
        <w:rPr>
          <w:color w:val="181A18"/>
          <w:szCs w:val="24"/>
          <w:lang w:val="en-CA" w:bidi="en-CA"/>
        </w:rPr>
        <w:t>of fraud, corruption or money laundering by a punitive factor linked to the degree of responsibility</w:t>
      </w:r>
      <w:r w:rsidR="00F01090">
        <w:rPr>
          <w:color w:val="181A18"/>
          <w:szCs w:val="24"/>
          <w:lang w:val="en-CA" w:bidi="en-CA"/>
        </w:rPr>
        <w:t>.</w:t>
      </w:r>
      <w:r w:rsidRPr="0071186E">
        <w:rPr>
          <w:color w:val="181A18"/>
          <w:szCs w:val="24"/>
          <w:vertAlign w:val="superscript"/>
          <w:lang w:val="en-CA" w:bidi="en-CA"/>
        </w:rPr>
        <w:footnoteReference w:id="95"/>
      </w:r>
      <w:r w:rsidRPr="0071186E">
        <w:rPr>
          <w:color w:val="181A18"/>
          <w:szCs w:val="24"/>
          <w:lang w:val="en-CA" w:bidi="en-CA"/>
        </w:rPr>
        <w:t xml:space="preserve"> </w:t>
      </w:r>
      <w:r w:rsidR="00F01090">
        <w:rPr>
          <w:color w:val="181A18"/>
          <w:szCs w:val="24"/>
          <w:lang w:val="en-CA" w:bidi="en-CA"/>
        </w:rPr>
        <w:t>Similarly</w:t>
      </w:r>
      <w:r w:rsidRPr="0071186E">
        <w:rPr>
          <w:color w:val="181A18"/>
          <w:szCs w:val="24"/>
          <w:lang w:val="en-CA" w:bidi="en-CA"/>
        </w:rPr>
        <w:t>, there are also guidelines in the United States establishing a method of calculation:</w:t>
      </w:r>
    </w:p>
    <w:p w14:paraId="2A281477" w14:textId="7AD99975" w:rsidR="00F01090" w:rsidRDefault="00F01090" w:rsidP="00D72BBE">
      <w:pPr>
        <w:pStyle w:val="Paragraphedeliste"/>
        <w:keepNext/>
        <w:tabs>
          <w:tab w:val="left" w:pos="915"/>
        </w:tabs>
        <w:autoSpaceDE w:val="0"/>
        <w:autoSpaceDN w:val="0"/>
        <w:spacing w:before="221" w:line="250" w:lineRule="auto"/>
        <w:ind w:left="720" w:right="634"/>
        <w:jc w:val="both"/>
        <w:rPr>
          <w:rFonts w:cs="Arial"/>
          <w:color w:val="161616"/>
          <w:sz w:val="22"/>
          <w:szCs w:val="22"/>
          <w:lang w:val="en-CA" w:bidi="en-CA"/>
        </w:rPr>
      </w:pPr>
      <w:r>
        <w:rPr>
          <w:rFonts w:cs="Arial"/>
          <w:color w:val="161616"/>
          <w:sz w:val="22"/>
          <w:szCs w:val="22"/>
          <w:lang w:val="en-CA" w:bidi="en-CA"/>
        </w:rPr>
        <w:t>[</w:t>
      </w:r>
      <w:r w:rsidRPr="006B7F16">
        <w:rPr>
          <w:rFonts w:cs="Arial"/>
          <w:smallCaps/>
          <w:color w:val="161616"/>
          <w:sz w:val="22"/>
          <w:szCs w:val="22"/>
          <w:lang w:val="en-CA" w:bidi="en-CA"/>
        </w:rPr>
        <w:t>translation</w:t>
      </w:r>
      <w:r>
        <w:rPr>
          <w:rFonts w:cs="Arial"/>
          <w:color w:val="161616"/>
          <w:sz w:val="22"/>
          <w:szCs w:val="22"/>
          <w:lang w:val="en-CA" w:bidi="en-CA"/>
        </w:rPr>
        <w:t xml:space="preserve">] </w:t>
      </w:r>
    </w:p>
    <w:p w14:paraId="667F61EC" w14:textId="3E5A90B8" w:rsidR="004208A9" w:rsidRPr="0071186E" w:rsidRDefault="004208A9" w:rsidP="00D72BBE">
      <w:pPr>
        <w:pStyle w:val="Paragraphedeliste"/>
        <w:keepNext/>
        <w:tabs>
          <w:tab w:val="left" w:pos="915"/>
        </w:tabs>
        <w:autoSpaceDE w:val="0"/>
        <w:autoSpaceDN w:val="0"/>
        <w:spacing w:before="221" w:line="250" w:lineRule="auto"/>
        <w:ind w:left="720" w:right="634"/>
        <w:jc w:val="both"/>
        <w:rPr>
          <w:rFonts w:cs="Arial"/>
          <w:color w:val="161616"/>
          <w:sz w:val="22"/>
          <w:szCs w:val="22"/>
          <w:lang w:val="en-CA" w:bidi="en-CA"/>
        </w:rPr>
      </w:pPr>
      <w:r w:rsidRPr="0071186E">
        <w:rPr>
          <w:rFonts w:cs="Arial"/>
          <w:color w:val="161616"/>
          <w:sz w:val="22"/>
          <w:szCs w:val="22"/>
          <w:lang w:val="en-CA" w:bidi="en-CA"/>
        </w:rPr>
        <w:t>In the Uni</w:t>
      </w:r>
      <w:r w:rsidR="000252EF" w:rsidRPr="0071186E">
        <w:rPr>
          <w:rFonts w:cs="Arial"/>
          <w:color w:val="161616"/>
          <w:sz w:val="22"/>
          <w:szCs w:val="22"/>
          <w:lang w:val="en-CA" w:bidi="en-CA"/>
        </w:rPr>
        <w:t xml:space="preserve">ted States, Chapter 8 </w:t>
      </w:r>
      <w:r w:rsidR="006622EB">
        <w:rPr>
          <w:rFonts w:cs="Arial"/>
          <w:color w:val="161616"/>
          <w:sz w:val="22"/>
          <w:szCs w:val="22"/>
          <w:lang w:val="en-CA" w:bidi="en-CA"/>
        </w:rPr>
        <w:t>of</w:t>
      </w:r>
      <w:r w:rsidR="006622EB" w:rsidRPr="0071186E">
        <w:rPr>
          <w:rFonts w:cs="Arial"/>
          <w:color w:val="161616"/>
          <w:sz w:val="22"/>
          <w:szCs w:val="22"/>
          <w:lang w:val="en-CA" w:bidi="en-CA"/>
        </w:rPr>
        <w:t xml:space="preserve"> </w:t>
      </w:r>
      <w:r w:rsidR="000252EF" w:rsidRPr="0071186E">
        <w:rPr>
          <w:rFonts w:cs="Arial"/>
          <w:color w:val="161616"/>
          <w:sz w:val="22"/>
          <w:szCs w:val="22"/>
          <w:lang w:val="en-CA" w:bidi="en-CA"/>
        </w:rPr>
        <w:t>the “</w:t>
      </w:r>
      <w:r w:rsidRPr="0071186E">
        <w:rPr>
          <w:rFonts w:cs="Arial"/>
          <w:color w:val="161616"/>
          <w:sz w:val="22"/>
          <w:szCs w:val="22"/>
          <w:lang w:val="en-CA" w:bidi="en-CA"/>
        </w:rPr>
        <w:t>2018 Guidelines Manual</w:t>
      </w:r>
      <w:r w:rsidR="000252EF" w:rsidRPr="0071186E">
        <w:rPr>
          <w:rFonts w:cs="Arial"/>
          <w:color w:val="161616"/>
          <w:sz w:val="22"/>
          <w:szCs w:val="22"/>
          <w:lang w:val="en-CA" w:bidi="en-CA"/>
        </w:rPr>
        <w:t>”</w:t>
      </w:r>
      <w:r w:rsidRPr="0071186E">
        <w:rPr>
          <w:rFonts w:cs="Arial"/>
          <w:color w:val="161616"/>
          <w:sz w:val="22"/>
          <w:szCs w:val="22"/>
          <w:lang w:val="en-CA" w:bidi="en-CA"/>
        </w:rPr>
        <w:t xml:space="preserve"> prescribes a </w:t>
      </w:r>
      <w:r w:rsidR="00D72BBE" w:rsidRPr="0071186E">
        <w:rPr>
          <w:rFonts w:cs="Arial"/>
          <w:color w:val="161616"/>
          <w:sz w:val="22"/>
          <w:szCs w:val="22"/>
          <w:lang w:val="en-CA" w:bidi="en-CA"/>
        </w:rPr>
        <w:t xml:space="preserve">range of </w:t>
      </w:r>
      <w:r w:rsidR="006622EB">
        <w:rPr>
          <w:rFonts w:cs="Arial"/>
          <w:color w:val="161616"/>
          <w:sz w:val="22"/>
          <w:szCs w:val="22"/>
          <w:lang w:val="en-CA" w:bidi="en-CA"/>
        </w:rPr>
        <w:t>fines</w:t>
      </w:r>
      <w:r w:rsidR="006622EB" w:rsidRPr="0071186E">
        <w:rPr>
          <w:rFonts w:cs="Arial"/>
          <w:color w:val="161616"/>
          <w:sz w:val="22"/>
          <w:szCs w:val="22"/>
          <w:lang w:val="en-CA" w:bidi="en-CA"/>
        </w:rPr>
        <w:t xml:space="preserve"> </w:t>
      </w:r>
      <w:r w:rsidR="006622EB">
        <w:rPr>
          <w:rFonts w:cs="Arial"/>
          <w:color w:val="161616"/>
          <w:sz w:val="22"/>
          <w:szCs w:val="22"/>
          <w:lang w:val="en-CA" w:bidi="en-CA"/>
        </w:rPr>
        <w:t>through</w:t>
      </w:r>
      <w:r w:rsidR="006622EB" w:rsidRPr="0071186E">
        <w:rPr>
          <w:rFonts w:cs="Arial"/>
          <w:color w:val="161616"/>
          <w:sz w:val="22"/>
          <w:szCs w:val="22"/>
          <w:lang w:val="en-CA" w:bidi="en-CA"/>
        </w:rPr>
        <w:t xml:space="preserve"> </w:t>
      </w:r>
      <w:r w:rsidRPr="0071186E">
        <w:rPr>
          <w:rFonts w:cs="Arial"/>
          <w:color w:val="161616"/>
          <w:sz w:val="22"/>
          <w:szCs w:val="22"/>
          <w:lang w:val="en-CA" w:bidi="en-CA"/>
        </w:rPr>
        <w:t xml:space="preserve">a five-step </w:t>
      </w:r>
      <w:r w:rsidR="00D72BBE" w:rsidRPr="0071186E">
        <w:rPr>
          <w:rFonts w:cs="Arial"/>
          <w:color w:val="161616"/>
          <w:sz w:val="22"/>
          <w:szCs w:val="22"/>
          <w:lang w:val="en-CA" w:bidi="en-CA"/>
        </w:rPr>
        <w:t>mathematic</w:t>
      </w:r>
      <w:r w:rsidR="00EC404C" w:rsidRPr="0071186E">
        <w:rPr>
          <w:rFonts w:cs="Arial"/>
          <w:color w:val="161616"/>
          <w:sz w:val="22"/>
          <w:szCs w:val="22"/>
          <w:lang w:val="en-CA" w:bidi="en-CA"/>
        </w:rPr>
        <w:t>al</w:t>
      </w:r>
      <w:r w:rsidR="00D72BBE" w:rsidRPr="0071186E">
        <w:rPr>
          <w:rFonts w:cs="Arial"/>
          <w:color w:val="161616"/>
          <w:sz w:val="22"/>
          <w:szCs w:val="22"/>
          <w:lang w:val="en-CA" w:bidi="en-CA"/>
        </w:rPr>
        <w:t xml:space="preserve"> </w:t>
      </w:r>
      <w:r w:rsidRPr="0071186E">
        <w:rPr>
          <w:rFonts w:cs="Arial"/>
          <w:color w:val="161616"/>
          <w:sz w:val="22"/>
          <w:szCs w:val="22"/>
          <w:lang w:val="en-CA" w:bidi="en-CA"/>
        </w:rPr>
        <w:t xml:space="preserve">calculation depending on the type and </w:t>
      </w:r>
      <w:r w:rsidRPr="0071186E">
        <w:rPr>
          <w:rFonts w:cs="Arial"/>
          <w:color w:val="161616"/>
          <w:sz w:val="22"/>
          <w:szCs w:val="22"/>
          <w:lang w:val="en-CA" w:bidi="en-CA"/>
        </w:rPr>
        <w:lastRenderedPageBreak/>
        <w:t xml:space="preserve">scale of the </w:t>
      </w:r>
      <w:r w:rsidR="006622EB">
        <w:rPr>
          <w:rFonts w:cs="Arial"/>
          <w:color w:val="161616"/>
          <w:sz w:val="22"/>
          <w:szCs w:val="22"/>
          <w:lang w:val="en-CA" w:bidi="en-CA"/>
        </w:rPr>
        <w:t>offence</w:t>
      </w:r>
      <w:r w:rsidRPr="0071186E">
        <w:rPr>
          <w:rFonts w:cs="Arial"/>
          <w:color w:val="161616"/>
          <w:sz w:val="22"/>
          <w:szCs w:val="22"/>
          <w:lang w:val="en-CA" w:bidi="en-CA"/>
        </w:rPr>
        <w:t>. Section §8C2.4. of the 2018 Manual refers to the 2014 Manual for offen</w:t>
      </w:r>
      <w:r w:rsidR="00D72BBE" w:rsidRPr="0071186E">
        <w:rPr>
          <w:rFonts w:cs="Arial"/>
          <w:color w:val="161616"/>
          <w:sz w:val="22"/>
          <w:szCs w:val="22"/>
          <w:lang w:val="en-CA" w:bidi="en-CA"/>
        </w:rPr>
        <w:t>c</w:t>
      </w:r>
      <w:r w:rsidRPr="0071186E">
        <w:rPr>
          <w:rFonts w:cs="Arial"/>
          <w:color w:val="161616"/>
          <w:sz w:val="22"/>
          <w:szCs w:val="22"/>
          <w:lang w:val="en-CA" w:bidi="en-CA"/>
        </w:rPr>
        <w:t>es committed prior to November 1, 2015.</w:t>
      </w:r>
    </w:p>
    <w:p w14:paraId="3FDC96D1" w14:textId="336EA80F" w:rsidR="004208A9" w:rsidRPr="0071186E" w:rsidRDefault="00FB4154" w:rsidP="00B44032">
      <w:pPr>
        <w:spacing w:before="93" w:line="252" w:lineRule="auto"/>
        <w:ind w:left="720" w:right="632" w:firstLine="3"/>
        <w:jc w:val="both"/>
        <w:rPr>
          <w:rFonts w:cs="Arial"/>
          <w:sz w:val="22"/>
          <w:szCs w:val="22"/>
          <w:lang w:val="en-CA"/>
        </w:rPr>
      </w:pPr>
      <w:r w:rsidRPr="0071186E">
        <w:rPr>
          <w:rFonts w:cs="Arial"/>
          <w:color w:val="161616"/>
          <w:sz w:val="22"/>
          <w:szCs w:val="22"/>
          <w:lang w:val="en-CA" w:bidi="en-CA"/>
        </w:rPr>
        <w:t>“</w:t>
      </w:r>
      <w:r w:rsidR="004208A9" w:rsidRPr="0071186E">
        <w:rPr>
          <w:rFonts w:cs="Arial"/>
          <w:color w:val="161616"/>
          <w:sz w:val="22"/>
          <w:szCs w:val="22"/>
          <w:lang w:val="en-CA" w:bidi="en-CA"/>
        </w:rPr>
        <w:t>Base offence level number” (§8C2</w:t>
      </w:r>
      <w:r w:rsidR="004208A9" w:rsidRPr="0071186E">
        <w:rPr>
          <w:rFonts w:cs="Arial"/>
          <w:color w:val="484848"/>
          <w:sz w:val="22"/>
          <w:szCs w:val="22"/>
          <w:lang w:val="en-CA" w:bidi="en-CA"/>
        </w:rPr>
        <w:t>.</w:t>
      </w:r>
      <w:r w:rsidR="004208A9" w:rsidRPr="0071186E">
        <w:rPr>
          <w:rFonts w:cs="Arial"/>
          <w:color w:val="161616"/>
          <w:sz w:val="22"/>
          <w:szCs w:val="22"/>
          <w:lang w:val="en-CA" w:bidi="en-CA"/>
        </w:rPr>
        <w:t>3</w:t>
      </w:r>
      <w:r w:rsidR="004208A9" w:rsidRPr="0071186E">
        <w:rPr>
          <w:rFonts w:cs="Arial"/>
          <w:color w:val="484848"/>
          <w:sz w:val="22"/>
          <w:szCs w:val="22"/>
          <w:lang w:val="en-CA" w:bidi="en-CA"/>
        </w:rPr>
        <w:t xml:space="preserve">. </w:t>
      </w:r>
      <w:r w:rsidR="004208A9" w:rsidRPr="0071186E">
        <w:rPr>
          <w:rFonts w:cs="Arial"/>
          <w:color w:val="161616"/>
          <w:sz w:val="22"/>
          <w:szCs w:val="22"/>
          <w:lang w:val="en-CA" w:bidi="en-CA"/>
        </w:rPr>
        <w:t>and §2C1.1.)</w:t>
      </w:r>
      <w:r w:rsidR="004208A9" w:rsidRPr="0071186E">
        <w:rPr>
          <w:rFonts w:cs="Arial"/>
          <w:color w:val="2D2D2D"/>
          <w:sz w:val="22"/>
          <w:szCs w:val="22"/>
          <w:lang w:val="en-CA" w:bidi="en-CA"/>
        </w:rPr>
        <w:t xml:space="preserve">: </w:t>
      </w:r>
      <w:r w:rsidR="004208A9" w:rsidRPr="0071186E">
        <w:rPr>
          <w:rFonts w:cs="Arial"/>
          <w:color w:val="161616"/>
          <w:sz w:val="22"/>
          <w:szCs w:val="22"/>
          <w:lang w:val="en-CA" w:bidi="en-CA"/>
        </w:rPr>
        <w:t xml:space="preserve">number defined by the nature of the </w:t>
      </w:r>
      <w:r w:rsidR="006622EB">
        <w:rPr>
          <w:rFonts w:cs="Arial"/>
          <w:color w:val="161616"/>
          <w:sz w:val="22"/>
          <w:szCs w:val="22"/>
          <w:lang w:val="en-CA" w:bidi="en-CA"/>
        </w:rPr>
        <w:t>offence</w:t>
      </w:r>
      <w:r w:rsidR="004208A9" w:rsidRPr="0071186E">
        <w:rPr>
          <w:rFonts w:cs="Arial"/>
          <w:color w:val="161616"/>
          <w:sz w:val="22"/>
          <w:szCs w:val="22"/>
          <w:lang w:val="en-CA" w:bidi="en-CA"/>
        </w:rPr>
        <w:t>.</w:t>
      </w:r>
    </w:p>
    <w:p w14:paraId="0C92A1FA" w14:textId="77777777" w:rsidR="004208A9" w:rsidRPr="0071186E" w:rsidRDefault="00FB4154" w:rsidP="00B44032">
      <w:pPr>
        <w:spacing w:line="252" w:lineRule="auto"/>
        <w:ind w:left="720" w:right="632" w:firstLine="5"/>
        <w:jc w:val="both"/>
        <w:rPr>
          <w:rFonts w:cs="Arial"/>
          <w:sz w:val="22"/>
          <w:szCs w:val="22"/>
          <w:lang w:val="en-CA"/>
        </w:rPr>
      </w:pPr>
      <w:r w:rsidRPr="0071186E">
        <w:rPr>
          <w:rFonts w:cs="Arial"/>
          <w:color w:val="161616"/>
          <w:w w:val="105"/>
          <w:sz w:val="22"/>
          <w:szCs w:val="22"/>
          <w:lang w:val="en-CA" w:bidi="en-CA"/>
        </w:rPr>
        <w:t>“</w:t>
      </w:r>
      <w:r w:rsidR="004208A9" w:rsidRPr="0071186E">
        <w:rPr>
          <w:rFonts w:cs="Arial"/>
          <w:color w:val="161616"/>
          <w:w w:val="105"/>
          <w:sz w:val="22"/>
          <w:szCs w:val="22"/>
          <w:lang w:val="en-CA" w:bidi="en-CA"/>
        </w:rPr>
        <w:t>Base level fine” (§8C2.4.): base amount of the</w:t>
      </w:r>
      <w:r w:rsidR="004208A9" w:rsidRPr="0071186E">
        <w:rPr>
          <w:rFonts w:cs="Arial"/>
          <w:color w:val="484848"/>
          <w:w w:val="105"/>
          <w:sz w:val="22"/>
          <w:szCs w:val="22"/>
          <w:lang w:val="en-CA" w:bidi="en-CA"/>
        </w:rPr>
        <w:t xml:space="preserve"> </w:t>
      </w:r>
      <w:r w:rsidR="004208A9" w:rsidRPr="0071186E">
        <w:rPr>
          <w:rFonts w:cs="Arial"/>
          <w:color w:val="161616"/>
          <w:w w:val="105"/>
          <w:sz w:val="22"/>
          <w:szCs w:val="22"/>
          <w:lang w:val="en-CA" w:bidi="en-CA"/>
        </w:rPr>
        <w:t xml:space="preserve">fine according to </w:t>
      </w:r>
      <w:r w:rsidR="004208A9" w:rsidRPr="0071186E">
        <w:rPr>
          <w:rFonts w:cs="Arial"/>
          <w:color w:val="2D2D2D"/>
          <w:w w:val="105"/>
          <w:sz w:val="22"/>
          <w:szCs w:val="22"/>
          <w:lang w:val="en-CA" w:bidi="en-CA"/>
        </w:rPr>
        <w:t xml:space="preserve">the </w:t>
      </w:r>
      <w:r w:rsidR="004208A9" w:rsidRPr="0071186E">
        <w:rPr>
          <w:rFonts w:cs="Arial"/>
          <w:color w:val="161616"/>
          <w:spacing w:val="-2"/>
          <w:w w:val="105"/>
          <w:sz w:val="22"/>
          <w:szCs w:val="22"/>
          <w:lang w:val="en-CA" w:bidi="en-CA"/>
        </w:rPr>
        <w:t>grids.</w:t>
      </w:r>
    </w:p>
    <w:p w14:paraId="705CA352" w14:textId="373222DD" w:rsidR="004208A9" w:rsidRPr="0071186E" w:rsidRDefault="00FB4154" w:rsidP="00B44032">
      <w:pPr>
        <w:spacing w:line="252" w:lineRule="auto"/>
        <w:ind w:left="720" w:right="632" w:firstLine="7"/>
        <w:jc w:val="both"/>
        <w:rPr>
          <w:rFonts w:cs="Arial"/>
          <w:sz w:val="22"/>
          <w:szCs w:val="22"/>
          <w:lang w:val="en-CA"/>
        </w:rPr>
      </w:pPr>
      <w:r w:rsidRPr="0071186E">
        <w:rPr>
          <w:rFonts w:cs="Arial"/>
          <w:color w:val="161616"/>
          <w:w w:val="105"/>
          <w:sz w:val="22"/>
          <w:szCs w:val="22"/>
          <w:lang w:val="en-CA" w:bidi="en-CA"/>
        </w:rPr>
        <w:t>“</w:t>
      </w:r>
      <w:r w:rsidR="004208A9" w:rsidRPr="0071186E">
        <w:rPr>
          <w:rFonts w:cs="Arial"/>
          <w:color w:val="161616"/>
          <w:w w:val="105"/>
          <w:sz w:val="22"/>
          <w:szCs w:val="22"/>
          <w:lang w:val="en-CA" w:bidi="en-CA"/>
        </w:rPr>
        <w:t>Culpability score” (§8C2.5)</w:t>
      </w:r>
      <w:r w:rsidR="004208A9" w:rsidRPr="0071186E">
        <w:rPr>
          <w:rFonts w:cs="Arial"/>
          <w:color w:val="484848"/>
          <w:w w:val="105"/>
          <w:sz w:val="22"/>
          <w:szCs w:val="22"/>
          <w:lang w:val="en-CA" w:bidi="en-CA"/>
        </w:rPr>
        <w:t xml:space="preserve">: </w:t>
      </w:r>
      <w:r w:rsidR="004208A9" w:rsidRPr="0071186E">
        <w:rPr>
          <w:rFonts w:cs="Arial"/>
          <w:color w:val="161616"/>
          <w:w w:val="105"/>
          <w:sz w:val="22"/>
          <w:szCs w:val="22"/>
          <w:lang w:val="en-CA" w:bidi="en-CA"/>
        </w:rPr>
        <w:t xml:space="preserve">number defined by objective </w:t>
      </w:r>
      <w:r w:rsidR="005F1542">
        <w:rPr>
          <w:rFonts w:cs="Arial"/>
          <w:color w:val="161616"/>
          <w:w w:val="105"/>
          <w:sz w:val="22"/>
          <w:szCs w:val="22"/>
          <w:lang w:val="en-CA" w:bidi="en-CA"/>
        </w:rPr>
        <w:t>seriousness</w:t>
      </w:r>
      <w:r w:rsidR="005F1542" w:rsidRPr="0071186E">
        <w:rPr>
          <w:rFonts w:cs="Arial"/>
          <w:color w:val="161616"/>
          <w:w w:val="105"/>
          <w:sz w:val="22"/>
          <w:szCs w:val="22"/>
          <w:lang w:val="en-CA" w:bidi="en-CA"/>
        </w:rPr>
        <w:t xml:space="preserve"> </w:t>
      </w:r>
      <w:r w:rsidR="004208A9" w:rsidRPr="0071186E">
        <w:rPr>
          <w:rFonts w:cs="Arial"/>
          <w:color w:val="161616"/>
          <w:w w:val="105"/>
          <w:sz w:val="22"/>
          <w:szCs w:val="22"/>
          <w:lang w:val="en-CA" w:bidi="en-CA"/>
        </w:rPr>
        <w:t>and corporate profile.</w:t>
      </w:r>
    </w:p>
    <w:p w14:paraId="2CF28723" w14:textId="77777777" w:rsidR="004208A9" w:rsidRPr="0071186E" w:rsidRDefault="00FB4154" w:rsidP="00B44032">
      <w:pPr>
        <w:spacing w:line="249" w:lineRule="auto"/>
        <w:ind w:left="720" w:right="632" w:firstLine="2"/>
        <w:jc w:val="both"/>
        <w:rPr>
          <w:rFonts w:cs="Arial"/>
          <w:sz w:val="22"/>
          <w:szCs w:val="22"/>
          <w:lang w:val="en-CA"/>
        </w:rPr>
      </w:pPr>
      <w:r w:rsidRPr="0071186E">
        <w:rPr>
          <w:rFonts w:cs="Arial"/>
          <w:color w:val="161616"/>
          <w:w w:val="105"/>
          <w:sz w:val="22"/>
          <w:szCs w:val="22"/>
          <w:lang w:val="en-CA" w:bidi="en-CA"/>
        </w:rPr>
        <w:t>“</w:t>
      </w:r>
      <w:r w:rsidR="004208A9" w:rsidRPr="0071186E">
        <w:rPr>
          <w:rFonts w:cs="Arial"/>
          <w:color w:val="161616"/>
          <w:w w:val="105"/>
          <w:sz w:val="22"/>
          <w:szCs w:val="22"/>
          <w:lang w:val="en-CA" w:bidi="en-CA"/>
        </w:rPr>
        <w:t>Minimum and maximum multiplier” (§8C2.6. and §8C2</w:t>
      </w:r>
      <w:r w:rsidR="004208A9" w:rsidRPr="0071186E">
        <w:rPr>
          <w:rFonts w:cs="Arial"/>
          <w:color w:val="484848"/>
          <w:w w:val="105"/>
          <w:sz w:val="22"/>
          <w:szCs w:val="22"/>
          <w:lang w:val="en-CA" w:bidi="en-CA"/>
        </w:rPr>
        <w:t>.</w:t>
      </w:r>
      <w:r w:rsidR="004208A9" w:rsidRPr="0071186E">
        <w:rPr>
          <w:rFonts w:cs="Arial"/>
          <w:color w:val="161616"/>
          <w:w w:val="105"/>
          <w:sz w:val="22"/>
          <w:szCs w:val="22"/>
          <w:lang w:val="en-CA" w:bidi="en-CA"/>
        </w:rPr>
        <w:t>7.): multiplier of the bas</w:t>
      </w:r>
      <w:r w:rsidR="00D72BBE" w:rsidRPr="0071186E">
        <w:rPr>
          <w:rFonts w:cs="Arial"/>
          <w:color w:val="161616"/>
          <w:w w:val="105"/>
          <w:sz w:val="22"/>
          <w:szCs w:val="22"/>
          <w:lang w:val="en-CA" w:bidi="en-CA"/>
        </w:rPr>
        <w:t>e</w:t>
      </w:r>
      <w:r w:rsidR="004208A9" w:rsidRPr="0071186E">
        <w:rPr>
          <w:rFonts w:cs="Arial"/>
          <w:color w:val="161616"/>
          <w:w w:val="105"/>
          <w:sz w:val="22"/>
          <w:szCs w:val="22"/>
          <w:lang w:val="en-CA" w:bidi="en-CA"/>
        </w:rPr>
        <w:t xml:space="preserve"> fine between 0.05 and 4.00 depending on </w:t>
      </w:r>
      <w:r w:rsidR="004208A9" w:rsidRPr="0071186E">
        <w:rPr>
          <w:rFonts w:cs="Arial"/>
          <w:color w:val="2D2D2D"/>
          <w:w w:val="105"/>
          <w:sz w:val="22"/>
          <w:szCs w:val="22"/>
          <w:lang w:val="en-CA" w:bidi="en-CA"/>
        </w:rPr>
        <w:t xml:space="preserve">the </w:t>
      </w:r>
      <w:r w:rsidR="004F6306" w:rsidRPr="0071186E">
        <w:rPr>
          <w:rFonts w:cs="Arial"/>
          <w:color w:val="161616"/>
          <w:w w:val="105"/>
          <w:sz w:val="22"/>
          <w:szCs w:val="22"/>
          <w:lang w:val="en-CA" w:bidi="en-CA"/>
        </w:rPr>
        <w:t>“</w:t>
      </w:r>
      <w:r w:rsidR="004208A9" w:rsidRPr="0071186E">
        <w:rPr>
          <w:rFonts w:cs="Arial"/>
          <w:color w:val="161616"/>
          <w:w w:val="105"/>
          <w:sz w:val="22"/>
          <w:szCs w:val="22"/>
          <w:lang w:val="en-CA" w:bidi="en-CA"/>
        </w:rPr>
        <w:t>culpability score”.</w:t>
      </w:r>
    </w:p>
    <w:p w14:paraId="6F37176A" w14:textId="416A464E" w:rsidR="004208A9" w:rsidRPr="0071186E" w:rsidRDefault="00FB4154" w:rsidP="00B44032">
      <w:pPr>
        <w:spacing w:line="247" w:lineRule="auto"/>
        <w:ind w:left="720" w:right="632" w:firstLine="2"/>
        <w:jc w:val="both"/>
        <w:rPr>
          <w:rFonts w:cs="Arial"/>
          <w:sz w:val="22"/>
          <w:szCs w:val="22"/>
          <w:lang w:val="en-CA"/>
        </w:rPr>
      </w:pPr>
      <w:r w:rsidRPr="0071186E">
        <w:rPr>
          <w:rFonts w:cs="Arial"/>
          <w:color w:val="161616"/>
          <w:w w:val="105"/>
          <w:sz w:val="22"/>
          <w:szCs w:val="22"/>
          <w:lang w:val="en-CA" w:bidi="en-CA"/>
        </w:rPr>
        <w:t>“</w:t>
      </w:r>
      <w:r w:rsidR="004208A9" w:rsidRPr="0071186E">
        <w:rPr>
          <w:rFonts w:cs="Arial"/>
          <w:color w:val="161616"/>
          <w:w w:val="105"/>
          <w:sz w:val="22"/>
          <w:szCs w:val="22"/>
          <w:lang w:val="en-CA" w:bidi="en-CA"/>
        </w:rPr>
        <w:t xml:space="preserve">Determining the </w:t>
      </w:r>
      <w:r w:rsidR="005F1542">
        <w:rPr>
          <w:rFonts w:cs="Arial"/>
          <w:color w:val="161616"/>
          <w:w w:val="105"/>
          <w:sz w:val="22"/>
          <w:szCs w:val="22"/>
          <w:lang w:val="en-CA" w:bidi="en-CA"/>
        </w:rPr>
        <w:t>F</w:t>
      </w:r>
      <w:r w:rsidR="004208A9" w:rsidRPr="0071186E">
        <w:rPr>
          <w:rFonts w:cs="Arial"/>
          <w:color w:val="161616"/>
          <w:w w:val="105"/>
          <w:sz w:val="22"/>
          <w:szCs w:val="22"/>
          <w:lang w:val="en-CA" w:bidi="en-CA"/>
        </w:rPr>
        <w:t xml:space="preserve">ine </w:t>
      </w:r>
      <w:r w:rsidR="005F1542">
        <w:rPr>
          <w:rFonts w:cs="Arial"/>
          <w:color w:val="161616"/>
          <w:w w:val="105"/>
          <w:sz w:val="22"/>
          <w:szCs w:val="22"/>
          <w:lang w:val="en-CA" w:bidi="en-CA"/>
        </w:rPr>
        <w:t>W</w:t>
      </w:r>
      <w:r w:rsidR="004208A9" w:rsidRPr="0071186E">
        <w:rPr>
          <w:rFonts w:cs="Arial"/>
          <w:color w:val="161616"/>
          <w:w w:val="105"/>
          <w:sz w:val="22"/>
          <w:szCs w:val="22"/>
          <w:lang w:val="en-CA" w:bidi="en-CA"/>
        </w:rPr>
        <w:t xml:space="preserve">ithin the </w:t>
      </w:r>
      <w:r w:rsidR="005F1542">
        <w:rPr>
          <w:rFonts w:cs="Arial"/>
          <w:color w:val="161616"/>
          <w:w w:val="105"/>
          <w:sz w:val="22"/>
          <w:szCs w:val="22"/>
          <w:lang w:val="en-CA" w:bidi="en-CA"/>
        </w:rPr>
        <w:t>R</w:t>
      </w:r>
      <w:r w:rsidR="004208A9" w:rsidRPr="0071186E">
        <w:rPr>
          <w:rFonts w:cs="Arial"/>
          <w:color w:val="161616"/>
          <w:w w:val="105"/>
          <w:sz w:val="22"/>
          <w:szCs w:val="22"/>
          <w:lang w:val="en-CA" w:bidi="en-CA"/>
        </w:rPr>
        <w:t>ange” (§8C2.8.)</w:t>
      </w:r>
      <w:r w:rsidR="004208A9" w:rsidRPr="0071186E">
        <w:rPr>
          <w:rFonts w:cs="Arial"/>
          <w:color w:val="484848"/>
          <w:w w:val="105"/>
          <w:sz w:val="22"/>
          <w:szCs w:val="22"/>
          <w:lang w:val="en-CA" w:bidi="en-CA"/>
        </w:rPr>
        <w:t xml:space="preserve">: </w:t>
      </w:r>
      <w:r w:rsidR="004208A9" w:rsidRPr="0071186E">
        <w:rPr>
          <w:rFonts w:cs="Arial"/>
          <w:color w:val="161616"/>
          <w:w w:val="105"/>
          <w:sz w:val="22"/>
          <w:szCs w:val="22"/>
          <w:lang w:val="en-CA" w:bidi="en-CA"/>
        </w:rPr>
        <w:t>final determination of the fine according to the circumstantial factors, within the defined range.</w:t>
      </w:r>
    </w:p>
    <w:p w14:paraId="2F8A2536" w14:textId="77777777" w:rsidR="004208A9" w:rsidRPr="0071186E" w:rsidRDefault="004208A9" w:rsidP="00B44032">
      <w:pPr>
        <w:pStyle w:val="Corpsdetexte"/>
        <w:spacing w:before="1"/>
        <w:ind w:left="720" w:right="632"/>
        <w:rPr>
          <w:rFonts w:cs="Arial"/>
          <w:sz w:val="22"/>
          <w:szCs w:val="22"/>
          <w:lang w:val="en-CA"/>
        </w:rPr>
      </w:pPr>
    </w:p>
    <w:p w14:paraId="61C24B14" w14:textId="77777777" w:rsidR="004208A9" w:rsidRPr="0071186E" w:rsidRDefault="004208A9" w:rsidP="00B44032">
      <w:pPr>
        <w:spacing w:before="1" w:line="252" w:lineRule="auto"/>
        <w:ind w:left="720" w:right="632" w:firstLine="2"/>
        <w:jc w:val="both"/>
        <w:rPr>
          <w:rFonts w:cs="Arial"/>
          <w:i/>
          <w:spacing w:val="-2"/>
          <w:w w:val="105"/>
          <w:sz w:val="22"/>
          <w:szCs w:val="22"/>
          <w:lang w:val="en-CA" w:bidi="en-CA"/>
        </w:rPr>
      </w:pPr>
      <w:r w:rsidRPr="0071186E">
        <w:rPr>
          <w:rFonts w:cs="Arial"/>
          <w:i/>
          <w:w w:val="105"/>
          <w:sz w:val="22"/>
          <w:szCs w:val="22"/>
          <w:lang w:val="en-CA" w:bidi="en-CA"/>
        </w:rPr>
        <w:t xml:space="preserve">United States Sentencing Commission, Guidelines Manual, Chapter 2, </w:t>
      </w:r>
      <w:r w:rsidRPr="0071186E">
        <w:rPr>
          <w:rFonts w:cs="Arial"/>
          <w:i/>
          <w:spacing w:val="-2"/>
          <w:w w:val="105"/>
          <w:sz w:val="22"/>
          <w:szCs w:val="22"/>
          <w:lang w:val="en-CA" w:bidi="en-CA"/>
        </w:rPr>
        <w:t>(2018).</w:t>
      </w:r>
    </w:p>
    <w:p w14:paraId="75C71C86" w14:textId="77777777" w:rsidR="004208A9" w:rsidRPr="0071186E" w:rsidRDefault="004208A9" w:rsidP="00B44032">
      <w:pPr>
        <w:spacing w:before="1" w:line="252" w:lineRule="auto"/>
        <w:ind w:left="720" w:right="632" w:firstLine="2"/>
        <w:jc w:val="both"/>
        <w:rPr>
          <w:rFonts w:cs="Arial"/>
          <w:i/>
          <w:spacing w:val="-2"/>
          <w:w w:val="105"/>
          <w:sz w:val="22"/>
          <w:szCs w:val="22"/>
          <w:lang w:val="en-CA" w:bidi="en-CA"/>
        </w:rPr>
      </w:pPr>
      <w:r w:rsidRPr="0071186E">
        <w:rPr>
          <w:rFonts w:cs="Arial"/>
          <w:i/>
          <w:spacing w:val="-2"/>
          <w:w w:val="105"/>
          <w:sz w:val="22"/>
          <w:szCs w:val="22"/>
          <w:lang w:val="en-CA" w:bidi="en-CA"/>
        </w:rPr>
        <w:t>United States Sentencing Commission, Guidelines Manual, section §8C2.4, (2018).</w:t>
      </w:r>
    </w:p>
    <w:p w14:paraId="729E2DD9" w14:textId="77777777" w:rsidR="004208A9" w:rsidRPr="0071186E" w:rsidRDefault="004208A9" w:rsidP="00B44032">
      <w:pPr>
        <w:spacing w:before="1" w:line="252" w:lineRule="auto"/>
        <w:ind w:left="720" w:right="632" w:firstLine="2"/>
        <w:jc w:val="both"/>
        <w:rPr>
          <w:rFonts w:cs="Arial"/>
          <w:i/>
          <w:spacing w:val="-2"/>
          <w:w w:val="105"/>
          <w:sz w:val="22"/>
          <w:szCs w:val="22"/>
          <w:lang w:val="en-CA" w:bidi="en-CA"/>
        </w:rPr>
      </w:pPr>
      <w:r w:rsidRPr="0071186E">
        <w:rPr>
          <w:rFonts w:cs="Arial"/>
          <w:i/>
          <w:spacing w:val="-2"/>
          <w:w w:val="105"/>
          <w:sz w:val="22"/>
          <w:szCs w:val="22"/>
          <w:lang w:val="en-CA" w:bidi="en-CA"/>
        </w:rPr>
        <w:t>United States Sentencing Commission, Guidelines Manual, Chapter</w:t>
      </w:r>
      <w:r w:rsidR="000252EF" w:rsidRPr="0071186E">
        <w:rPr>
          <w:rFonts w:cs="Arial"/>
          <w:i/>
          <w:spacing w:val="-2"/>
          <w:w w:val="105"/>
          <w:sz w:val="22"/>
          <w:szCs w:val="22"/>
          <w:lang w:val="en-CA" w:bidi="en-CA"/>
        </w:rPr>
        <w:t> </w:t>
      </w:r>
      <w:r w:rsidRPr="0071186E">
        <w:rPr>
          <w:rFonts w:cs="Arial"/>
          <w:i/>
          <w:spacing w:val="-2"/>
          <w:w w:val="105"/>
          <w:sz w:val="22"/>
          <w:szCs w:val="22"/>
          <w:lang w:val="en-CA" w:bidi="en-CA"/>
        </w:rPr>
        <w:t>8 (Nov.</w:t>
      </w:r>
      <w:r w:rsidR="00FB4154" w:rsidRPr="0071186E">
        <w:rPr>
          <w:rFonts w:cs="Arial"/>
          <w:i/>
          <w:spacing w:val="-2"/>
          <w:w w:val="105"/>
          <w:sz w:val="22"/>
          <w:szCs w:val="22"/>
          <w:lang w:val="en-CA" w:bidi="en-CA"/>
        </w:rPr>
        <w:t> </w:t>
      </w:r>
      <w:r w:rsidRPr="0071186E">
        <w:rPr>
          <w:rFonts w:cs="Arial"/>
          <w:i/>
          <w:spacing w:val="-2"/>
          <w:w w:val="105"/>
          <w:sz w:val="22"/>
          <w:szCs w:val="22"/>
          <w:lang w:val="en-CA" w:bidi="en-CA"/>
        </w:rPr>
        <w:t>2014).</w:t>
      </w:r>
      <w:r w:rsidRPr="006B7F16">
        <w:rPr>
          <w:rFonts w:cs="Arial"/>
          <w:spacing w:val="-2"/>
          <w:w w:val="105"/>
          <w:sz w:val="22"/>
          <w:szCs w:val="22"/>
          <w:vertAlign w:val="superscript"/>
          <w:lang w:val="en-CA" w:bidi="en-CA"/>
        </w:rPr>
        <w:footnoteReference w:id="96"/>
      </w:r>
    </w:p>
    <w:p w14:paraId="3951D0B3" w14:textId="77777777" w:rsidR="004208A9" w:rsidRPr="0071186E" w:rsidRDefault="004208A9" w:rsidP="004208A9">
      <w:pPr>
        <w:spacing w:before="1" w:line="252" w:lineRule="auto"/>
        <w:ind w:right="596"/>
        <w:rPr>
          <w:i/>
          <w:szCs w:val="24"/>
          <w:lang w:val="en-CA"/>
        </w:rPr>
      </w:pPr>
    </w:p>
    <w:p w14:paraId="12C0280A" w14:textId="28F49213" w:rsidR="004208A9" w:rsidRPr="0071186E" w:rsidRDefault="006203B6" w:rsidP="004208A9">
      <w:pPr>
        <w:pStyle w:val="SimpleL1"/>
        <w:rPr>
          <w:color w:val="181A18"/>
          <w:szCs w:val="24"/>
          <w:lang w:val="en-CA" w:bidi="en-CA"/>
        </w:rPr>
      </w:pPr>
      <w:r>
        <w:rPr>
          <w:color w:val="181A18"/>
          <w:szCs w:val="24"/>
          <w:lang w:val="en-CA" w:bidi="en-CA"/>
        </w:rPr>
        <w:t>While</w:t>
      </w:r>
      <w:r w:rsidRPr="0071186E">
        <w:rPr>
          <w:color w:val="181A18"/>
          <w:szCs w:val="24"/>
          <w:lang w:val="en-CA" w:bidi="en-CA"/>
        </w:rPr>
        <w:t xml:space="preserve"> </w:t>
      </w:r>
      <w:r w:rsidR="004208A9" w:rsidRPr="0071186E">
        <w:rPr>
          <w:color w:val="181A18"/>
          <w:szCs w:val="24"/>
          <w:lang w:val="en-CA" w:bidi="en-CA"/>
        </w:rPr>
        <w:t xml:space="preserve">these methods are interesting, particularly in that they offer a higher degree of certainty, </w:t>
      </w:r>
      <w:r>
        <w:rPr>
          <w:color w:val="181A18"/>
          <w:szCs w:val="24"/>
          <w:lang w:val="en-CA" w:bidi="en-CA"/>
        </w:rPr>
        <w:t>Parliament</w:t>
      </w:r>
      <w:r w:rsidR="004208A9" w:rsidRPr="0071186E">
        <w:rPr>
          <w:color w:val="181A18"/>
          <w:szCs w:val="24"/>
          <w:lang w:val="en-CA" w:bidi="en-CA"/>
        </w:rPr>
        <w:t xml:space="preserve"> did not choose to adopt a mathematical method of calculation. Each State can have its own vision of the sentence and its own sentencing scales, and it is appropriate to focus </w:t>
      </w:r>
      <w:r w:rsidRPr="0071186E">
        <w:rPr>
          <w:color w:val="181A18"/>
          <w:szCs w:val="24"/>
          <w:lang w:val="en-CA" w:bidi="en-CA"/>
        </w:rPr>
        <w:t xml:space="preserve">instead </w:t>
      </w:r>
      <w:r w:rsidR="004208A9" w:rsidRPr="0071186E">
        <w:rPr>
          <w:color w:val="181A18"/>
          <w:szCs w:val="24"/>
          <w:lang w:val="en-CA" w:bidi="en-CA"/>
        </w:rPr>
        <w:t xml:space="preserve">on how </w:t>
      </w:r>
      <w:r>
        <w:rPr>
          <w:color w:val="181A18"/>
          <w:szCs w:val="24"/>
          <w:lang w:val="en-CA" w:bidi="en-CA"/>
        </w:rPr>
        <w:t>Parliament</w:t>
      </w:r>
      <w:r w:rsidR="004208A9" w:rsidRPr="0071186E">
        <w:rPr>
          <w:color w:val="181A18"/>
          <w:szCs w:val="24"/>
          <w:lang w:val="en-CA" w:bidi="en-CA"/>
        </w:rPr>
        <w:t xml:space="preserve"> and </w:t>
      </w:r>
      <w:r>
        <w:rPr>
          <w:color w:val="181A18"/>
          <w:szCs w:val="24"/>
          <w:lang w:val="en-CA" w:bidi="en-CA"/>
        </w:rPr>
        <w:t xml:space="preserve">the </w:t>
      </w:r>
      <w:r w:rsidR="004208A9" w:rsidRPr="0071186E">
        <w:rPr>
          <w:color w:val="181A18"/>
          <w:szCs w:val="24"/>
          <w:lang w:val="en-CA" w:bidi="en-CA"/>
        </w:rPr>
        <w:t xml:space="preserve">case law </w:t>
      </w:r>
      <w:r>
        <w:rPr>
          <w:color w:val="181A18"/>
          <w:szCs w:val="24"/>
          <w:lang w:val="en-CA" w:bidi="en-CA"/>
        </w:rPr>
        <w:t>have dealt with</w:t>
      </w:r>
      <w:r w:rsidRPr="0071186E">
        <w:rPr>
          <w:color w:val="181A18"/>
          <w:szCs w:val="24"/>
          <w:lang w:val="en-CA" w:bidi="en-CA"/>
        </w:rPr>
        <w:t xml:space="preserve"> </w:t>
      </w:r>
      <w:r w:rsidR="004208A9" w:rsidRPr="0071186E">
        <w:rPr>
          <w:color w:val="181A18"/>
          <w:szCs w:val="24"/>
          <w:lang w:val="en-CA" w:bidi="en-CA"/>
        </w:rPr>
        <w:t>these issues</w:t>
      </w:r>
      <w:r>
        <w:rPr>
          <w:color w:val="181A18"/>
          <w:szCs w:val="24"/>
          <w:lang w:val="en-CA" w:bidi="en-CA"/>
        </w:rPr>
        <w:t>.</w:t>
      </w:r>
      <w:r w:rsidR="004208A9" w:rsidRPr="0071186E">
        <w:rPr>
          <w:color w:val="181A18"/>
          <w:szCs w:val="24"/>
          <w:vertAlign w:val="superscript"/>
          <w:lang w:val="en-CA" w:bidi="en-CA"/>
        </w:rPr>
        <w:footnoteReference w:id="97"/>
      </w:r>
    </w:p>
    <w:p w14:paraId="70CCC645" w14:textId="37B6786E" w:rsidR="004208A9" w:rsidRPr="0071186E" w:rsidRDefault="004208A9" w:rsidP="004208A9">
      <w:pPr>
        <w:pStyle w:val="SimpleL1"/>
        <w:rPr>
          <w:color w:val="181A18"/>
          <w:szCs w:val="24"/>
          <w:lang w:val="en-CA" w:bidi="en-CA"/>
        </w:rPr>
      </w:pPr>
      <w:r w:rsidRPr="0071186E">
        <w:rPr>
          <w:color w:val="181A18"/>
          <w:szCs w:val="24"/>
          <w:lang w:val="en-CA" w:bidi="en-CA"/>
        </w:rPr>
        <w:t>In Part XXII.1 Cr.</w:t>
      </w:r>
      <w:r w:rsidR="006203B6">
        <w:rPr>
          <w:color w:val="181A18"/>
          <w:szCs w:val="24"/>
          <w:lang w:val="en-CA" w:bidi="en-CA"/>
        </w:rPr>
        <w:t> </w:t>
      </w:r>
      <w:r w:rsidRPr="0071186E">
        <w:rPr>
          <w:color w:val="181A18"/>
          <w:szCs w:val="24"/>
          <w:lang w:val="en-CA" w:bidi="en-CA"/>
        </w:rPr>
        <w:t xml:space="preserve">C., </w:t>
      </w:r>
      <w:r w:rsidR="00264D40">
        <w:rPr>
          <w:color w:val="181A18"/>
          <w:szCs w:val="24"/>
          <w:lang w:val="en-CA" w:bidi="en-CA"/>
        </w:rPr>
        <w:t>paragraph</w:t>
      </w:r>
      <w:r w:rsidRPr="0071186E">
        <w:rPr>
          <w:color w:val="181A18"/>
          <w:szCs w:val="24"/>
          <w:lang w:val="en-CA" w:bidi="en-CA"/>
        </w:rPr>
        <w:t xml:space="preserve"> 715.31(b) Cr.</w:t>
      </w:r>
      <w:r w:rsidR="006203B6">
        <w:rPr>
          <w:color w:val="181A18"/>
          <w:szCs w:val="24"/>
          <w:lang w:val="en-CA" w:bidi="en-CA"/>
        </w:rPr>
        <w:t> </w:t>
      </w:r>
      <w:r w:rsidRPr="0071186E">
        <w:rPr>
          <w:color w:val="181A18"/>
          <w:szCs w:val="24"/>
          <w:lang w:val="en-CA" w:bidi="en-CA"/>
        </w:rPr>
        <w:t xml:space="preserve">C. provides that the remediation agreement </w:t>
      </w:r>
      <w:r w:rsidR="00D72BBE" w:rsidRPr="0071186E">
        <w:rPr>
          <w:color w:val="181A18"/>
          <w:szCs w:val="24"/>
          <w:lang w:val="en-CA" w:bidi="en-CA"/>
        </w:rPr>
        <w:t xml:space="preserve">regime </w:t>
      </w:r>
      <w:r w:rsidRPr="0071186E">
        <w:rPr>
          <w:color w:val="181A18"/>
          <w:szCs w:val="24"/>
          <w:lang w:val="en-CA" w:bidi="en-CA"/>
        </w:rPr>
        <w:t xml:space="preserve">aims to hold the organization accountable through </w:t>
      </w:r>
      <w:r w:rsidR="00EF4E5C" w:rsidRPr="0071186E">
        <w:rPr>
          <w:color w:val="181A18"/>
          <w:szCs w:val="24"/>
          <w:lang w:val="en-CA" w:bidi="en-CA"/>
        </w:rPr>
        <w:t>“</w:t>
      </w:r>
      <w:r w:rsidRPr="0071186E">
        <w:rPr>
          <w:color w:val="181A18"/>
          <w:szCs w:val="24"/>
          <w:lang w:val="en-CA" w:bidi="en-CA"/>
        </w:rPr>
        <w:t>effective, proportionate and dissuasive penalties.</w:t>
      </w:r>
      <w:r w:rsidR="00EF4E5C" w:rsidRPr="0071186E">
        <w:rPr>
          <w:color w:val="181A18"/>
          <w:szCs w:val="24"/>
          <w:lang w:val="en-CA" w:bidi="en-CA"/>
        </w:rPr>
        <w:t>”</w:t>
      </w:r>
      <w:r w:rsidRPr="0071186E">
        <w:rPr>
          <w:color w:val="181A18"/>
          <w:szCs w:val="24"/>
          <w:lang w:val="en-CA" w:bidi="en-CA"/>
        </w:rPr>
        <w:t xml:space="preserve"> The Court agrees with the Organizations when they submit that the objectives, principles and factors set out in Part XXIII of the </w:t>
      </w:r>
      <w:r w:rsidRPr="006B7F16">
        <w:rPr>
          <w:i/>
          <w:color w:val="181A18"/>
          <w:szCs w:val="24"/>
          <w:lang w:val="en-CA" w:bidi="en-CA"/>
        </w:rPr>
        <w:t>Criminal</w:t>
      </w:r>
      <w:r w:rsidRPr="0071186E">
        <w:rPr>
          <w:color w:val="181A18"/>
          <w:szCs w:val="24"/>
          <w:lang w:val="en-CA" w:bidi="en-CA"/>
        </w:rPr>
        <w:t xml:space="preserve"> </w:t>
      </w:r>
      <w:r w:rsidRPr="006B7F16">
        <w:rPr>
          <w:i/>
          <w:color w:val="181A18"/>
          <w:szCs w:val="24"/>
          <w:lang w:val="en-CA" w:bidi="en-CA"/>
        </w:rPr>
        <w:t>Code</w:t>
      </w:r>
      <w:r w:rsidR="006203B6">
        <w:rPr>
          <w:color w:val="181A18"/>
          <w:szCs w:val="24"/>
          <w:lang w:val="en-CA" w:bidi="en-CA"/>
        </w:rPr>
        <w:t>,</w:t>
      </w:r>
      <w:r w:rsidRPr="0071186E">
        <w:rPr>
          <w:color w:val="181A18"/>
          <w:szCs w:val="24"/>
          <w:lang w:val="en-CA" w:bidi="en-CA"/>
        </w:rPr>
        <w:t xml:space="preserve"> and interpreted by the case law</w:t>
      </w:r>
      <w:r w:rsidR="006203B6">
        <w:rPr>
          <w:color w:val="181A18"/>
          <w:szCs w:val="24"/>
          <w:lang w:val="en-CA" w:bidi="en-CA"/>
        </w:rPr>
        <w:t>,</w:t>
      </w:r>
      <w:r w:rsidRPr="0071186E">
        <w:rPr>
          <w:color w:val="181A18"/>
          <w:szCs w:val="24"/>
          <w:lang w:val="en-CA" w:bidi="en-CA"/>
        </w:rPr>
        <w:t xml:space="preserve"> govern the determination of a penalty respecting these features. It is particularly appropriate to reproduce s</w:t>
      </w:r>
      <w:r w:rsidR="006203B6">
        <w:rPr>
          <w:color w:val="181A18"/>
          <w:szCs w:val="24"/>
          <w:lang w:val="en-CA" w:bidi="en-CA"/>
        </w:rPr>
        <w:t>.</w:t>
      </w:r>
      <w:r w:rsidR="004E2391">
        <w:rPr>
          <w:color w:val="181A18"/>
          <w:szCs w:val="24"/>
          <w:lang w:val="en-CA" w:bidi="en-CA"/>
        </w:rPr>
        <w:t> </w:t>
      </w:r>
      <w:r w:rsidRPr="0071186E">
        <w:rPr>
          <w:color w:val="181A18"/>
          <w:szCs w:val="24"/>
          <w:lang w:val="en-CA" w:bidi="en-CA"/>
        </w:rPr>
        <w:t>718.21 Cr.</w:t>
      </w:r>
      <w:r w:rsidR="006203B6">
        <w:rPr>
          <w:color w:val="181A18"/>
          <w:szCs w:val="24"/>
          <w:lang w:val="en-CA" w:bidi="en-CA"/>
        </w:rPr>
        <w:t> </w:t>
      </w:r>
      <w:r w:rsidRPr="0071186E">
        <w:rPr>
          <w:color w:val="181A18"/>
          <w:szCs w:val="24"/>
          <w:lang w:val="en-CA" w:bidi="en-CA"/>
        </w:rPr>
        <w:t xml:space="preserve">C., which provides the factors to consider when </w:t>
      </w:r>
      <w:r w:rsidR="006B3C4B">
        <w:rPr>
          <w:color w:val="181A18"/>
          <w:szCs w:val="24"/>
          <w:lang w:val="en-CA" w:bidi="en-CA"/>
        </w:rPr>
        <w:t>sentencing</w:t>
      </w:r>
      <w:r w:rsidRPr="0071186E">
        <w:rPr>
          <w:color w:val="181A18"/>
          <w:szCs w:val="24"/>
          <w:lang w:val="en-CA" w:bidi="en-CA"/>
        </w:rPr>
        <w:t xml:space="preserve"> an organization:</w:t>
      </w:r>
    </w:p>
    <w:p w14:paraId="7ADF3F92" w14:textId="77777777" w:rsidR="004208A9" w:rsidRPr="0071186E" w:rsidRDefault="004208A9" w:rsidP="003C61BE">
      <w:pPr>
        <w:spacing w:before="1" w:line="252" w:lineRule="auto"/>
        <w:ind w:left="720" w:right="596" w:firstLine="2"/>
        <w:rPr>
          <w:rFonts w:cs="Arial"/>
          <w:spacing w:val="-2"/>
          <w:w w:val="105"/>
          <w:sz w:val="22"/>
          <w:szCs w:val="22"/>
          <w:lang w:val="en-CA" w:bidi="en-CA"/>
        </w:rPr>
      </w:pPr>
      <w:r w:rsidRPr="0071186E">
        <w:rPr>
          <w:rFonts w:cs="Arial"/>
          <w:b/>
          <w:spacing w:val="-2"/>
          <w:w w:val="105"/>
          <w:sz w:val="22"/>
          <w:szCs w:val="22"/>
          <w:lang w:val="en-CA" w:bidi="en-CA"/>
        </w:rPr>
        <w:t>718.21</w:t>
      </w:r>
      <w:r w:rsidRPr="0071186E">
        <w:rPr>
          <w:rFonts w:cs="Arial"/>
          <w:spacing w:val="-2"/>
          <w:w w:val="105"/>
          <w:sz w:val="22"/>
          <w:szCs w:val="22"/>
          <w:lang w:val="en-CA" w:bidi="en-CA"/>
        </w:rPr>
        <w:t xml:space="preserve"> A court that imposes a sentence on an organization shall also take into consideration the following factors:</w:t>
      </w:r>
    </w:p>
    <w:p w14:paraId="6196C3A4" w14:textId="77777777" w:rsidR="004208A9" w:rsidRPr="0071186E" w:rsidRDefault="004208A9" w:rsidP="003C61BE">
      <w:pPr>
        <w:spacing w:before="1" w:line="252" w:lineRule="auto"/>
        <w:ind w:left="720" w:right="596"/>
        <w:jc w:val="both"/>
        <w:rPr>
          <w:rFonts w:cs="Arial"/>
          <w:spacing w:val="-2"/>
          <w:w w:val="105"/>
          <w:sz w:val="22"/>
          <w:szCs w:val="22"/>
          <w:lang w:val="en-CA" w:bidi="en-CA"/>
        </w:rPr>
      </w:pPr>
      <w:r w:rsidRPr="0071186E">
        <w:rPr>
          <w:rFonts w:cs="Arial"/>
          <w:b/>
          <w:bCs/>
          <w:spacing w:val="-2"/>
          <w:w w:val="105"/>
          <w:sz w:val="22"/>
          <w:szCs w:val="22"/>
          <w:lang w:val="en-CA" w:bidi="en-CA"/>
        </w:rPr>
        <w:t>(a)</w:t>
      </w:r>
      <w:r w:rsidRPr="0071186E">
        <w:rPr>
          <w:rFonts w:cs="Arial"/>
          <w:spacing w:val="-2"/>
          <w:w w:val="105"/>
          <w:sz w:val="22"/>
          <w:szCs w:val="22"/>
          <w:lang w:val="en-CA" w:bidi="en-CA"/>
        </w:rPr>
        <w:t> any advantage realized by the organization as a result of the offence;</w:t>
      </w:r>
    </w:p>
    <w:p w14:paraId="6FDC514D" w14:textId="77777777" w:rsidR="004208A9" w:rsidRPr="0071186E" w:rsidRDefault="004208A9" w:rsidP="003C61BE">
      <w:pPr>
        <w:spacing w:before="1" w:line="252" w:lineRule="auto"/>
        <w:ind w:left="720" w:right="596"/>
        <w:jc w:val="both"/>
        <w:rPr>
          <w:rFonts w:cs="Arial"/>
          <w:spacing w:val="-2"/>
          <w:w w:val="105"/>
          <w:sz w:val="22"/>
          <w:szCs w:val="22"/>
          <w:lang w:val="en-CA" w:bidi="en-CA"/>
        </w:rPr>
      </w:pPr>
      <w:r w:rsidRPr="0071186E">
        <w:rPr>
          <w:rFonts w:cs="Arial"/>
          <w:b/>
          <w:bCs/>
          <w:spacing w:val="-2"/>
          <w:w w:val="105"/>
          <w:sz w:val="22"/>
          <w:szCs w:val="22"/>
          <w:lang w:val="en-CA" w:bidi="en-CA"/>
        </w:rPr>
        <w:t>(b)</w:t>
      </w:r>
      <w:r w:rsidRPr="0071186E">
        <w:rPr>
          <w:rFonts w:cs="Arial"/>
          <w:spacing w:val="-2"/>
          <w:w w:val="105"/>
          <w:sz w:val="22"/>
          <w:szCs w:val="22"/>
          <w:lang w:val="en-CA" w:bidi="en-CA"/>
        </w:rPr>
        <w:t> the degree of planning involved in carrying out the offence and the duration and complexity of the offence;</w:t>
      </w:r>
    </w:p>
    <w:p w14:paraId="7227F84C" w14:textId="77777777" w:rsidR="004208A9" w:rsidRPr="0071186E" w:rsidRDefault="004208A9" w:rsidP="003C61BE">
      <w:pPr>
        <w:spacing w:before="1" w:line="252" w:lineRule="auto"/>
        <w:ind w:left="720" w:right="596"/>
        <w:jc w:val="both"/>
        <w:rPr>
          <w:rFonts w:cs="Arial"/>
          <w:spacing w:val="-2"/>
          <w:w w:val="105"/>
          <w:sz w:val="22"/>
          <w:szCs w:val="22"/>
          <w:lang w:val="en-CA" w:bidi="en-CA"/>
        </w:rPr>
      </w:pPr>
      <w:r w:rsidRPr="0071186E">
        <w:rPr>
          <w:rFonts w:cs="Arial"/>
          <w:b/>
          <w:bCs/>
          <w:spacing w:val="-2"/>
          <w:w w:val="105"/>
          <w:sz w:val="22"/>
          <w:szCs w:val="22"/>
          <w:lang w:val="en-CA" w:bidi="en-CA"/>
        </w:rPr>
        <w:t>(c)</w:t>
      </w:r>
      <w:r w:rsidRPr="0071186E">
        <w:rPr>
          <w:rFonts w:cs="Arial"/>
          <w:spacing w:val="-2"/>
          <w:w w:val="105"/>
          <w:sz w:val="22"/>
          <w:szCs w:val="22"/>
          <w:lang w:val="en-CA" w:bidi="en-CA"/>
        </w:rPr>
        <w:t> whether the organization has attempted to conceal its assets, or convert them, in order to show that it is not able to pay a fine or make restitution;</w:t>
      </w:r>
    </w:p>
    <w:p w14:paraId="026D693C" w14:textId="77777777" w:rsidR="004208A9" w:rsidRPr="0071186E" w:rsidRDefault="004208A9" w:rsidP="003C61BE">
      <w:pPr>
        <w:spacing w:before="1" w:line="252" w:lineRule="auto"/>
        <w:ind w:left="720" w:right="596"/>
        <w:jc w:val="both"/>
        <w:rPr>
          <w:rFonts w:cs="Arial"/>
          <w:spacing w:val="-2"/>
          <w:w w:val="105"/>
          <w:sz w:val="22"/>
          <w:szCs w:val="22"/>
          <w:lang w:val="en-CA" w:bidi="en-CA"/>
        </w:rPr>
      </w:pPr>
      <w:r w:rsidRPr="0071186E">
        <w:rPr>
          <w:rFonts w:cs="Arial"/>
          <w:b/>
          <w:bCs/>
          <w:spacing w:val="-2"/>
          <w:w w:val="105"/>
          <w:sz w:val="22"/>
          <w:szCs w:val="22"/>
          <w:lang w:val="en-CA" w:bidi="en-CA"/>
        </w:rPr>
        <w:t>(d)</w:t>
      </w:r>
      <w:r w:rsidRPr="0071186E">
        <w:rPr>
          <w:rFonts w:cs="Arial"/>
          <w:spacing w:val="-2"/>
          <w:w w:val="105"/>
          <w:sz w:val="22"/>
          <w:szCs w:val="22"/>
          <w:lang w:val="en-CA" w:bidi="en-CA"/>
        </w:rPr>
        <w:t> the impact that the sentence would have on the economic viability of the organization and the continued employment of its employees;</w:t>
      </w:r>
    </w:p>
    <w:p w14:paraId="3A6ACC62" w14:textId="77777777" w:rsidR="004208A9" w:rsidRPr="0071186E" w:rsidRDefault="004208A9" w:rsidP="003C61BE">
      <w:pPr>
        <w:spacing w:before="1" w:line="252" w:lineRule="auto"/>
        <w:ind w:left="720" w:right="596"/>
        <w:jc w:val="both"/>
        <w:rPr>
          <w:rFonts w:cs="Arial"/>
          <w:spacing w:val="-2"/>
          <w:w w:val="105"/>
          <w:sz w:val="22"/>
          <w:szCs w:val="22"/>
          <w:lang w:val="en-CA" w:bidi="en-CA"/>
        </w:rPr>
      </w:pPr>
      <w:r w:rsidRPr="0071186E">
        <w:rPr>
          <w:rFonts w:cs="Arial"/>
          <w:b/>
          <w:bCs/>
          <w:spacing w:val="-2"/>
          <w:w w:val="105"/>
          <w:sz w:val="22"/>
          <w:szCs w:val="22"/>
          <w:lang w:val="en-CA" w:bidi="en-CA"/>
        </w:rPr>
        <w:lastRenderedPageBreak/>
        <w:t>(e)</w:t>
      </w:r>
      <w:r w:rsidRPr="0071186E">
        <w:rPr>
          <w:rFonts w:cs="Arial"/>
          <w:spacing w:val="-2"/>
          <w:w w:val="105"/>
          <w:sz w:val="22"/>
          <w:szCs w:val="22"/>
          <w:lang w:val="en-CA" w:bidi="en-CA"/>
        </w:rPr>
        <w:t> the cost to public authorities of the investigation and prosecution of the offence;</w:t>
      </w:r>
    </w:p>
    <w:p w14:paraId="2E2F9E2D" w14:textId="77777777" w:rsidR="004208A9" w:rsidRPr="0071186E" w:rsidRDefault="004208A9" w:rsidP="003C61BE">
      <w:pPr>
        <w:spacing w:before="1" w:line="252" w:lineRule="auto"/>
        <w:ind w:left="720" w:right="596"/>
        <w:jc w:val="both"/>
        <w:rPr>
          <w:rFonts w:cs="Arial"/>
          <w:spacing w:val="-2"/>
          <w:w w:val="105"/>
          <w:sz w:val="22"/>
          <w:szCs w:val="22"/>
          <w:lang w:val="en-CA" w:bidi="en-CA"/>
        </w:rPr>
      </w:pPr>
      <w:r w:rsidRPr="0071186E">
        <w:rPr>
          <w:rFonts w:cs="Arial"/>
          <w:b/>
          <w:bCs/>
          <w:spacing w:val="-2"/>
          <w:w w:val="105"/>
          <w:sz w:val="22"/>
          <w:szCs w:val="22"/>
          <w:lang w:val="en-CA" w:bidi="en-CA"/>
        </w:rPr>
        <w:t>(f)</w:t>
      </w:r>
      <w:r w:rsidRPr="0071186E">
        <w:rPr>
          <w:rFonts w:cs="Arial"/>
          <w:spacing w:val="-2"/>
          <w:w w:val="105"/>
          <w:sz w:val="22"/>
          <w:szCs w:val="22"/>
          <w:lang w:val="en-CA" w:bidi="en-CA"/>
        </w:rPr>
        <w:t> any regulatory penalty imposed on the organization or one of its representatives in respect of the conduct that formed the basis of the offence;</w:t>
      </w:r>
    </w:p>
    <w:p w14:paraId="73D3F544" w14:textId="77777777" w:rsidR="004208A9" w:rsidRPr="0071186E" w:rsidRDefault="004208A9" w:rsidP="003C61BE">
      <w:pPr>
        <w:spacing w:before="1" w:line="252" w:lineRule="auto"/>
        <w:ind w:left="720" w:right="596"/>
        <w:jc w:val="both"/>
        <w:rPr>
          <w:rFonts w:cs="Arial"/>
          <w:spacing w:val="-2"/>
          <w:w w:val="105"/>
          <w:sz w:val="22"/>
          <w:szCs w:val="22"/>
          <w:lang w:val="en-CA" w:bidi="en-CA"/>
        </w:rPr>
      </w:pPr>
      <w:r w:rsidRPr="0071186E">
        <w:rPr>
          <w:rFonts w:cs="Arial"/>
          <w:b/>
          <w:bCs/>
          <w:spacing w:val="-2"/>
          <w:w w:val="105"/>
          <w:sz w:val="22"/>
          <w:szCs w:val="22"/>
          <w:lang w:val="en-CA" w:bidi="en-CA"/>
        </w:rPr>
        <w:t>(g)</w:t>
      </w:r>
      <w:r w:rsidRPr="0071186E">
        <w:rPr>
          <w:rFonts w:cs="Arial"/>
          <w:spacing w:val="-2"/>
          <w:w w:val="105"/>
          <w:sz w:val="22"/>
          <w:szCs w:val="22"/>
          <w:lang w:val="en-CA" w:bidi="en-CA"/>
        </w:rPr>
        <w:t> whether the organization was — or any of its representatives who were involved in the commission of the offence were — convicted of a similar offence or sanctioned by a regulatory body for similar conduct;</w:t>
      </w:r>
    </w:p>
    <w:p w14:paraId="25753880" w14:textId="77777777" w:rsidR="004208A9" w:rsidRPr="0071186E" w:rsidRDefault="004208A9" w:rsidP="003C61BE">
      <w:pPr>
        <w:spacing w:before="1" w:line="252" w:lineRule="auto"/>
        <w:ind w:left="720" w:right="596"/>
        <w:jc w:val="both"/>
        <w:rPr>
          <w:rFonts w:cs="Arial"/>
          <w:spacing w:val="-2"/>
          <w:w w:val="105"/>
          <w:sz w:val="22"/>
          <w:szCs w:val="22"/>
          <w:lang w:val="en-CA" w:bidi="en-CA"/>
        </w:rPr>
      </w:pPr>
      <w:r w:rsidRPr="0071186E">
        <w:rPr>
          <w:rFonts w:cs="Arial"/>
          <w:b/>
          <w:bCs/>
          <w:spacing w:val="-2"/>
          <w:w w:val="105"/>
          <w:sz w:val="22"/>
          <w:szCs w:val="22"/>
          <w:lang w:val="en-CA" w:bidi="en-CA"/>
        </w:rPr>
        <w:t>(h)</w:t>
      </w:r>
      <w:r w:rsidRPr="0071186E">
        <w:rPr>
          <w:rFonts w:cs="Arial"/>
          <w:spacing w:val="-2"/>
          <w:w w:val="105"/>
          <w:sz w:val="22"/>
          <w:szCs w:val="22"/>
          <w:lang w:val="en-CA" w:bidi="en-CA"/>
        </w:rPr>
        <w:t> any penalty imposed by the organization on a representative for their role in the commission of the offence;</w:t>
      </w:r>
    </w:p>
    <w:p w14:paraId="1D0557A6" w14:textId="77777777" w:rsidR="004208A9" w:rsidRPr="0071186E" w:rsidRDefault="004208A9" w:rsidP="003C61BE">
      <w:pPr>
        <w:spacing w:before="1" w:line="252" w:lineRule="auto"/>
        <w:ind w:left="720" w:right="596"/>
        <w:jc w:val="both"/>
        <w:rPr>
          <w:rFonts w:cs="Arial"/>
          <w:spacing w:val="-2"/>
          <w:w w:val="105"/>
          <w:sz w:val="22"/>
          <w:szCs w:val="22"/>
          <w:lang w:val="en-CA" w:bidi="en-CA"/>
        </w:rPr>
      </w:pPr>
      <w:r w:rsidRPr="0071186E">
        <w:rPr>
          <w:rFonts w:cs="Arial"/>
          <w:b/>
          <w:bCs/>
          <w:spacing w:val="-2"/>
          <w:w w:val="105"/>
          <w:sz w:val="22"/>
          <w:szCs w:val="22"/>
          <w:lang w:val="en-CA" w:bidi="en-CA"/>
        </w:rPr>
        <w:t>(i)</w:t>
      </w:r>
      <w:r w:rsidRPr="0071186E">
        <w:rPr>
          <w:rFonts w:cs="Arial"/>
          <w:spacing w:val="-2"/>
          <w:w w:val="105"/>
          <w:sz w:val="22"/>
          <w:szCs w:val="22"/>
          <w:lang w:val="en-CA" w:bidi="en-CA"/>
        </w:rPr>
        <w:t> any restitution that the organization is ordered to make or any amount that the organization has paid to a victim of the offence; and</w:t>
      </w:r>
    </w:p>
    <w:p w14:paraId="71004A47" w14:textId="77777777" w:rsidR="004208A9" w:rsidRPr="0071186E" w:rsidRDefault="004208A9" w:rsidP="003C61BE">
      <w:pPr>
        <w:spacing w:before="1" w:line="252" w:lineRule="auto"/>
        <w:ind w:left="720" w:right="596"/>
        <w:jc w:val="both"/>
        <w:rPr>
          <w:rFonts w:cs="Arial"/>
          <w:spacing w:val="-2"/>
          <w:w w:val="105"/>
          <w:sz w:val="22"/>
          <w:szCs w:val="22"/>
          <w:lang w:val="en-CA" w:bidi="en-CA"/>
        </w:rPr>
      </w:pPr>
      <w:r w:rsidRPr="0071186E">
        <w:rPr>
          <w:rFonts w:cs="Arial"/>
          <w:b/>
          <w:bCs/>
          <w:spacing w:val="-2"/>
          <w:w w:val="105"/>
          <w:sz w:val="22"/>
          <w:szCs w:val="22"/>
          <w:lang w:val="en-CA" w:bidi="en-CA"/>
        </w:rPr>
        <w:t>(j)</w:t>
      </w:r>
      <w:r w:rsidRPr="0071186E">
        <w:rPr>
          <w:rFonts w:cs="Arial"/>
          <w:spacing w:val="-2"/>
          <w:w w:val="105"/>
          <w:sz w:val="22"/>
          <w:szCs w:val="22"/>
          <w:lang w:val="en-CA" w:bidi="en-CA"/>
        </w:rPr>
        <w:t> any measures that the organization has taken to reduce the likelihood of it committing a subsequent offence.</w:t>
      </w:r>
    </w:p>
    <w:p w14:paraId="332E70DE" w14:textId="77777777" w:rsidR="004208A9" w:rsidRPr="0071186E" w:rsidRDefault="004208A9" w:rsidP="003C61BE">
      <w:pPr>
        <w:spacing w:before="1" w:line="252" w:lineRule="auto"/>
        <w:ind w:left="720" w:right="596"/>
        <w:jc w:val="both"/>
        <w:rPr>
          <w:rFonts w:cs="Arial"/>
          <w:spacing w:val="-2"/>
          <w:w w:val="105"/>
          <w:sz w:val="22"/>
          <w:szCs w:val="22"/>
          <w:lang w:val="en-CA" w:bidi="en-CA"/>
        </w:rPr>
      </w:pPr>
    </w:p>
    <w:p w14:paraId="17ACBDDB" w14:textId="5B471521" w:rsidR="004208A9" w:rsidRPr="0071186E" w:rsidRDefault="003C61BE" w:rsidP="004208A9">
      <w:pPr>
        <w:pStyle w:val="SimpleL1"/>
        <w:rPr>
          <w:color w:val="181A18"/>
          <w:szCs w:val="24"/>
          <w:lang w:val="en-CA" w:bidi="en-CA"/>
        </w:rPr>
      </w:pPr>
      <w:r w:rsidRPr="0071186E">
        <w:rPr>
          <w:color w:val="181A18"/>
          <w:szCs w:val="24"/>
          <w:lang w:val="en-CA" w:bidi="en-CA"/>
        </w:rPr>
        <w:t>Before analyzing these factors, some principles for determining a fine for an organization are worth recalling.</w:t>
      </w:r>
    </w:p>
    <w:p w14:paraId="58FC3FCB" w14:textId="702EB07D" w:rsidR="003C61BE" w:rsidRPr="0071186E" w:rsidRDefault="003C61BE" w:rsidP="004208A9">
      <w:pPr>
        <w:pStyle w:val="SimpleL1"/>
        <w:rPr>
          <w:color w:val="181A18"/>
          <w:szCs w:val="24"/>
          <w:lang w:val="en-CA" w:bidi="en-CA"/>
        </w:rPr>
      </w:pPr>
      <w:r w:rsidRPr="0071186E">
        <w:rPr>
          <w:color w:val="181A18"/>
          <w:szCs w:val="24"/>
          <w:lang w:val="en-CA" w:bidi="en-CA"/>
        </w:rPr>
        <w:t xml:space="preserve">First, the sentence cannot be purely restitutive. It must serve as </w:t>
      </w:r>
      <w:r w:rsidR="00D72BBE" w:rsidRPr="0071186E">
        <w:rPr>
          <w:color w:val="181A18"/>
          <w:szCs w:val="24"/>
          <w:lang w:val="en-CA" w:bidi="en-CA"/>
        </w:rPr>
        <w:t xml:space="preserve">a </w:t>
      </w:r>
      <w:r w:rsidRPr="0071186E">
        <w:rPr>
          <w:color w:val="181A18"/>
          <w:szCs w:val="24"/>
          <w:lang w:val="en-CA" w:bidi="en-CA"/>
        </w:rPr>
        <w:t>deterren</w:t>
      </w:r>
      <w:r w:rsidR="00D72BBE" w:rsidRPr="0071186E">
        <w:rPr>
          <w:color w:val="181A18"/>
          <w:szCs w:val="24"/>
          <w:lang w:val="en-CA" w:bidi="en-CA"/>
        </w:rPr>
        <w:t>t</w:t>
      </w:r>
      <w:r w:rsidRPr="0071186E">
        <w:rPr>
          <w:color w:val="181A18"/>
          <w:szCs w:val="24"/>
          <w:lang w:val="en-CA" w:bidi="en-CA"/>
        </w:rPr>
        <w:t xml:space="preserve"> and </w:t>
      </w:r>
      <w:r w:rsidR="00D72BBE" w:rsidRPr="0071186E">
        <w:rPr>
          <w:color w:val="181A18"/>
          <w:szCs w:val="24"/>
          <w:lang w:val="en-CA" w:bidi="en-CA"/>
        </w:rPr>
        <w:t xml:space="preserve">a </w:t>
      </w:r>
      <w:r w:rsidRPr="0071186E">
        <w:rPr>
          <w:color w:val="181A18"/>
          <w:szCs w:val="24"/>
          <w:lang w:val="en-CA" w:bidi="en-CA"/>
        </w:rPr>
        <w:t>denunciation</w:t>
      </w:r>
      <w:r w:rsidR="00972460">
        <w:rPr>
          <w:color w:val="181A18"/>
          <w:szCs w:val="24"/>
          <w:lang w:val="en-CA" w:bidi="en-CA"/>
        </w:rPr>
        <w:t>.</w:t>
      </w:r>
      <w:r w:rsidRPr="0071186E">
        <w:rPr>
          <w:color w:val="181A18"/>
          <w:szCs w:val="24"/>
          <w:vertAlign w:val="superscript"/>
          <w:lang w:val="en-CA" w:bidi="en-CA"/>
        </w:rPr>
        <w:footnoteReference w:id="98"/>
      </w:r>
      <w:r w:rsidRPr="0071186E">
        <w:rPr>
          <w:color w:val="181A18"/>
          <w:szCs w:val="24"/>
          <w:lang w:val="en-CA" w:bidi="en-CA"/>
        </w:rPr>
        <w:t xml:space="preserve"> </w:t>
      </w:r>
      <w:r w:rsidR="00972460">
        <w:rPr>
          <w:color w:val="181A18"/>
          <w:szCs w:val="24"/>
          <w:lang w:val="en-CA" w:bidi="en-CA"/>
        </w:rPr>
        <w:t>Unlawful</w:t>
      </w:r>
      <w:r w:rsidR="00972460" w:rsidRPr="0071186E">
        <w:rPr>
          <w:color w:val="181A18"/>
          <w:szCs w:val="24"/>
          <w:lang w:val="en-CA" w:bidi="en-CA"/>
        </w:rPr>
        <w:t xml:space="preserve"> </w:t>
      </w:r>
      <w:r w:rsidRPr="0071186E">
        <w:rPr>
          <w:color w:val="181A18"/>
          <w:szCs w:val="24"/>
          <w:lang w:val="en-CA" w:bidi="en-CA"/>
        </w:rPr>
        <w:t xml:space="preserve">profit can only be the starting point for </w:t>
      </w:r>
      <w:r w:rsidR="00D72BBE" w:rsidRPr="0071186E">
        <w:rPr>
          <w:color w:val="181A18"/>
          <w:szCs w:val="24"/>
          <w:lang w:val="en-CA" w:bidi="en-CA"/>
        </w:rPr>
        <w:t xml:space="preserve">the purpose of </w:t>
      </w:r>
      <w:r w:rsidRPr="0071186E">
        <w:rPr>
          <w:color w:val="181A18"/>
          <w:szCs w:val="24"/>
          <w:lang w:val="en-CA" w:bidi="en-CA"/>
        </w:rPr>
        <w:t>sentencing</w:t>
      </w:r>
      <w:r w:rsidR="001953FD">
        <w:rPr>
          <w:color w:val="181A18"/>
          <w:szCs w:val="24"/>
          <w:lang w:val="en-CA" w:bidi="en-CA"/>
        </w:rPr>
        <w:t>.</w:t>
      </w:r>
      <w:r w:rsidRPr="0071186E">
        <w:rPr>
          <w:color w:val="181A18"/>
          <w:szCs w:val="24"/>
          <w:vertAlign w:val="superscript"/>
          <w:lang w:val="en-CA" w:bidi="en-CA"/>
        </w:rPr>
        <w:footnoteReference w:id="99"/>
      </w:r>
      <w:r w:rsidRPr="0071186E">
        <w:rPr>
          <w:color w:val="181A18"/>
          <w:szCs w:val="24"/>
          <w:lang w:val="en-CA" w:bidi="en-CA"/>
        </w:rPr>
        <w:t xml:space="preserve"> It is essential that the fine not be seen as the cost of doing business:</w:t>
      </w:r>
    </w:p>
    <w:p w14:paraId="6028224A" w14:textId="77777777" w:rsidR="003C61BE" w:rsidRPr="0071186E" w:rsidRDefault="003C61BE" w:rsidP="003C61BE">
      <w:pPr>
        <w:spacing w:before="1" w:line="252" w:lineRule="auto"/>
        <w:ind w:left="720" w:right="596"/>
        <w:jc w:val="both"/>
        <w:rPr>
          <w:color w:val="181A18"/>
          <w:sz w:val="22"/>
          <w:szCs w:val="22"/>
          <w:u w:val="thick"/>
          <w:lang w:val="en-CA" w:bidi="en-CA"/>
        </w:rPr>
      </w:pPr>
      <w:r w:rsidRPr="0071186E">
        <w:rPr>
          <w:color w:val="181A18"/>
          <w:sz w:val="22"/>
          <w:szCs w:val="22"/>
          <w:lang w:val="en-CA" w:bidi="en-CA"/>
        </w:rPr>
        <w:t xml:space="preserve">60 </w:t>
      </w:r>
      <w:r w:rsidR="00B44032" w:rsidRPr="0071186E">
        <w:rPr>
          <w:color w:val="181A18"/>
          <w:sz w:val="22"/>
          <w:szCs w:val="22"/>
          <w:lang w:val="en-CA" w:bidi="en-CA"/>
        </w:rPr>
        <w:tab/>
      </w:r>
      <w:r w:rsidRPr="0071186E">
        <w:rPr>
          <w:color w:val="181A18"/>
          <w:sz w:val="22"/>
          <w:szCs w:val="22"/>
          <w:lang w:val="en-CA" w:bidi="en-CA"/>
        </w:rPr>
        <w:t xml:space="preserve">The penalty imposed should also have a deterrent effect on others in that industry who may risk offending. [...] What will be a severe fine for one offender may be a pittance to another. </w:t>
      </w:r>
      <w:r w:rsidRPr="0071186E">
        <w:rPr>
          <w:color w:val="181A18"/>
          <w:sz w:val="22"/>
          <w:szCs w:val="22"/>
          <w:u w:val="single"/>
          <w:lang w:val="en-CA" w:bidi="en-CA"/>
        </w:rPr>
        <w:t>The starting point for sentencing a corporate offender must be such that the fine imposed appears to be more than a</w:t>
      </w:r>
      <w:r w:rsidR="000252EF" w:rsidRPr="0071186E">
        <w:rPr>
          <w:color w:val="181A18"/>
          <w:sz w:val="22"/>
          <w:szCs w:val="22"/>
          <w:u w:val="single"/>
          <w:lang w:val="en-CA" w:bidi="en-CA"/>
        </w:rPr>
        <w:t xml:space="preserve"> </w:t>
      </w:r>
      <w:r w:rsidRPr="0071186E">
        <w:rPr>
          <w:color w:val="181A18"/>
          <w:sz w:val="22"/>
          <w:szCs w:val="22"/>
          <w:u w:val="single"/>
          <w:lang w:val="en-CA" w:bidi="en-CA"/>
        </w:rPr>
        <w:t>licensing fee for illegal activity or the cost of doing business</w:t>
      </w:r>
      <w:r w:rsidRPr="0071186E">
        <w:rPr>
          <w:color w:val="181A18"/>
          <w:sz w:val="22"/>
          <w:szCs w:val="22"/>
          <w:lang w:val="en-CA" w:bidi="en-CA"/>
        </w:rPr>
        <w:t xml:space="preserve">: </w:t>
      </w:r>
      <w:r w:rsidRPr="0071186E">
        <w:rPr>
          <w:i/>
          <w:color w:val="181A18"/>
          <w:sz w:val="22"/>
          <w:szCs w:val="22"/>
          <w:lang w:val="en-CA" w:bidi="en-CA"/>
        </w:rPr>
        <w:t xml:space="preserve">Cotton Felts; General Scrap Iron </w:t>
      </w:r>
      <w:r w:rsidRPr="0071186E">
        <w:rPr>
          <w:color w:val="181A18"/>
          <w:sz w:val="22"/>
          <w:szCs w:val="22"/>
          <w:lang w:val="en-CA" w:bidi="en-CA"/>
        </w:rPr>
        <w:t>&amp; Metals; Van Waters&amp;</w:t>
      </w:r>
      <w:r w:rsidRPr="0071186E">
        <w:rPr>
          <w:i/>
          <w:color w:val="181A18"/>
          <w:sz w:val="22"/>
          <w:szCs w:val="22"/>
          <w:lang w:val="en-CA" w:bidi="en-CA"/>
        </w:rPr>
        <w:t xml:space="preserve">Rogers. </w:t>
      </w:r>
      <w:r w:rsidRPr="0071186E">
        <w:rPr>
          <w:color w:val="181A18"/>
          <w:sz w:val="22"/>
          <w:szCs w:val="22"/>
          <w:lang w:val="en-CA" w:bidi="en-CA"/>
        </w:rPr>
        <w:t xml:space="preserve">The other side of this coin must be that, in the majority of cases, the sentence should not result in economic inviability: </w:t>
      </w:r>
      <w:r w:rsidRPr="0071186E">
        <w:rPr>
          <w:i/>
          <w:color w:val="181A18"/>
          <w:sz w:val="22"/>
          <w:szCs w:val="22"/>
          <w:lang w:val="en-CA" w:bidi="en-CA"/>
        </w:rPr>
        <w:t xml:space="preserve">United Keno Mines </w:t>
      </w:r>
      <w:r w:rsidRPr="0071186E">
        <w:rPr>
          <w:color w:val="181A18"/>
          <w:sz w:val="22"/>
          <w:szCs w:val="22"/>
          <w:lang w:val="en-CA" w:bidi="en-CA"/>
        </w:rPr>
        <w:t xml:space="preserve">at 50; see also s. 718.21(d) of the </w:t>
      </w:r>
      <w:r w:rsidRPr="0071186E">
        <w:rPr>
          <w:i/>
          <w:color w:val="181A18"/>
          <w:sz w:val="22"/>
          <w:szCs w:val="22"/>
          <w:lang w:val="en-CA" w:bidi="en-CA"/>
        </w:rPr>
        <w:t xml:space="preserve">Criminal Code, </w:t>
      </w:r>
      <w:r w:rsidRPr="0071186E">
        <w:rPr>
          <w:color w:val="181A18"/>
          <w:sz w:val="22"/>
          <w:szCs w:val="22"/>
          <w:lang w:val="en-CA" w:bidi="en-CA"/>
        </w:rPr>
        <w:t>R.S.C. 1985 c. VS</w:t>
      </w:r>
      <w:r w:rsidR="007268A5" w:rsidRPr="0071186E">
        <w:rPr>
          <w:color w:val="181A18"/>
          <w:sz w:val="22"/>
          <w:szCs w:val="22"/>
          <w:lang w:val="en-CA" w:bidi="en-CA"/>
        </w:rPr>
        <w:noBreakHyphen/>
      </w:r>
      <w:r w:rsidRPr="0071186E">
        <w:rPr>
          <w:color w:val="181A18"/>
          <w:sz w:val="22"/>
          <w:szCs w:val="22"/>
          <w:lang w:val="en-CA" w:bidi="en-CA"/>
        </w:rPr>
        <w:t xml:space="preserve">46. </w:t>
      </w:r>
      <w:r w:rsidRPr="0071186E">
        <w:rPr>
          <w:color w:val="181A18"/>
          <w:sz w:val="22"/>
          <w:szCs w:val="22"/>
          <w:u w:val="single"/>
          <w:lang w:val="en-CA" w:bidi="en-CA"/>
        </w:rPr>
        <w:t>The penalty must be more than a slap on the wrist but less than a fatal blow</w:t>
      </w:r>
      <w:r w:rsidRPr="0071186E">
        <w:rPr>
          <w:color w:val="181A18"/>
          <w:sz w:val="22"/>
          <w:szCs w:val="22"/>
          <w:vertAlign w:val="superscript"/>
          <w:lang w:val="en-CA" w:bidi="en-CA"/>
        </w:rPr>
        <w:footnoteReference w:id="100"/>
      </w:r>
      <w:r w:rsidR="00EC404C" w:rsidRPr="0071186E">
        <w:rPr>
          <w:color w:val="181A18"/>
          <w:sz w:val="22"/>
          <w:szCs w:val="22"/>
          <w:lang w:val="en-CA" w:bidi="en-CA"/>
        </w:rPr>
        <w:t>.</w:t>
      </w:r>
    </w:p>
    <w:p w14:paraId="7EB85F06" w14:textId="77777777" w:rsidR="003C61BE" w:rsidRPr="0071186E" w:rsidRDefault="003C61BE" w:rsidP="003C61BE">
      <w:pPr>
        <w:spacing w:before="1" w:line="252" w:lineRule="auto"/>
        <w:ind w:left="720" w:right="596"/>
        <w:jc w:val="both"/>
        <w:rPr>
          <w:color w:val="181A18"/>
          <w:sz w:val="22"/>
          <w:szCs w:val="22"/>
          <w:u w:val="thick"/>
          <w:lang w:val="en-CA" w:bidi="en-CA"/>
        </w:rPr>
      </w:pPr>
    </w:p>
    <w:p w14:paraId="022269D6" w14:textId="4A35B01C" w:rsidR="003C61BE" w:rsidRPr="0071186E" w:rsidRDefault="003C61BE" w:rsidP="003C61BE">
      <w:pPr>
        <w:spacing w:before="1" w:line="252" w:lineRule="auto"/>
        <w:ind w:left="720" w:right="596"/>
        <w:jc w:val="both"/>
        <w:rPr>
          <w:color w:val="181A18"/>
          <w:sz w:val="22"/>
          <w:szCs w:val="22"/>
          <w:lang w:val="en-CA" w:bidi="en-CA"/>
        </w:rPr>
      </w:pPr>
      <w:r w:rsidRPr="0071186E">
        <w:rPr>
          <w:color w:val="181A18"/>
          <w:sz w:val="22"/>
          <w:szCs w:val="22"/>
          <w:lang w:val="en-CA" w:bidi="en-CA"/>
        </w:rPr>
        <w:t>[</w:t>
      </w:r>
      <w:r w:rsidR="002973D7">
        <w:rPr>
          <w:color w:val="181A18"/>
          <w:sz w:val="22"/>
          <w:szCs w:val="22"/>
          <w:lang w:val="en-CA" w:bidi="en-CA"/>
        </w:rPr>
        <w:t>Emphasis added.</w:t>
      </w:r>
      <w:r w:rsidRPr="0071186E">
        <w:rPr>
          <w:color w:val="181A18"/>
          <w:sz w:val="22"/>
          <w:szCs w:val="22"/>
          <w:lang w:val="en-CA" w:bidi="en-CA"/>
        </w:rPr>
        <w:t>]</w:t>
      </w:r>
    </w:p>
    <w:p w14:paraId="7D42E592" w14:textId="77777777" w:rsidR="003C61BE" w:rsidRPr="0071186E" w:rsidRDefault="003C61BE" w:rsidP="003C61BE">
      <w:pPr>
        <w:spacing w:before="1" w:line="252" w:lineRule="auto"/>
        <w:ind w:left="720" w:right="596"/>
        <w:jc w:val="both"/>
        <w:rPr>
          <w:color w:val="181A18"/>
          <w:sz w:val="22"/>
          <w:szCs w:val="22"/>
          <w:lang w:val="en-CA" w:bidi="en-CA"/>
        </w:rPr>
      </w:pPr>
    </w:p>
    <w:p w14:paraId="0A6E000A" w14:textId="39DC73B9" w:rsidR="003C61BE" w:rsidRPr="0071186E" w:rsidRDefault="003C61BE" w:rsidP="00D10361">
      <w:pPr>
        <w:pStyle w:val="SimpleL1"/>
        <w:rPr>
          <w:color w:val="181A18"/>
          <w:szCs w:val="24"/>
          <w:lang w:val="en-CA" w:bidi="en-CA"/>
        </w:rPr>
      </w:pPr>
      <w:r w:rsidRPr="0071186E">
        <w:rPr>
          <w:color w:val="181A18"/>
          <w:szCs w:val="24"/>
          <w:lang w:val="en-CA" w:bidi="en-CA"/>
        </w:rPr>
        <w:t>The sentence must convey the message that crime does not pay. To this end,</w:t>
      </w:r>
      <w:r w:rsidR="00B44032" w:rsidRPr="0071186E">
        <w:rPr>
          <w:color w:val="181A18"/>
          <w:szCs w:val="24"/>
          <w:lang w:val="en-CA" w:bidi="en-CA"/>
        </w:rPr>
        <w:t xml:space="preserve"> </w:t>
      </w:r>
      <w:r w:rsidR="008602A2">
        <w:rPr>
          <w:color w:val="181A18"/>
          <w:szCs w:val="24"/>
          <w:lang w:val="en-CA" w:bidi="en-CA"/>
        </w:rPr>
        <w:t>[</w:t>
      </w:r>
      <w:r w:rsidR="008602A2" w:rsidRPr="006B7F16">
        <w:rPr>
          <w:smallCaps/>
          <w:color w:val="181A18"/>
          <w:szCs w:val="24"/>
          <w:lang w:val="en-CA" w:bidi="en-CA"/>
        </w:rPr>
        <w:t>translation</w:t>
      </w:r>
      <w:r w:rsidR="008602A2">
        <w:rPr>
          <w:color w:val="181A18"/>
          <w:szCs w:val="24"/>
          <w:lang w:val="en-CA" w:bidi="en-CA"/>
        </w:rPr>
        <w:t xml:space="preserve">] </w:t>
      </w:r>
      <w:r w:rsidR="00B44032" w:rsidRPr="0071186E">
        <w:rPr>
          <w:color w:val="181A18"/>
          <w:szCs w:val="24"/>
          <w:lang w:val="en-CA" w:bidi="en-CA"/>
        </w:rPr>
        <w:t>“</w:t>
      </w:r>
      <w:r w:rsidRPr="0071186E">
        <w:rPr>
          <w:color w:val="181A18"/>
          <w:szCs w:val="24"/>
          <w:lang w:val="en-CA" w:bidi="en-CA"/>
        </w:rPr>
        <w:t xml:space="preserve">the amount of the fine should be set at such a level that the cost of </w:t>
      </w:r>
      <w:r w:rsidRPr="008602A2">
        <w:rPr>
          <w:color w:val="181A18"/>
          <w:szCs w:val="24"/>
          <w:lang w:val="en-CA" w:bidi="en-CA"/>
        </w:rPr>
        <w:t>committing</w:t>
      </w:r>
      <w:r w:rsidRPr="0071186E">
        <w:rPr>
          <w:color w:val="181A18"/>
          <w:szCs w:val="24"/>
          <w:lang w:val="en-CA" w:bidi="en-CA"/>
        </w:rPr>
        <w:t xml:space="preserve"> the offence exceed</w:t>
      </w:r>
      <w:r w:rsidR="008602A2">
        <w:rPr>
          <w:color w:val="181A18"/>
          <w:szCs w:val="24"/>
          <w:lang w:val="en-CA" w:bidi="en-CA"/>
        </w:rPr>
        <w:t>s</w:t>
      </w:r>
      <w:r w:rsidRPr="0071186E">
        <w:rPr>
          <w:color w:val="181A18"/>
          <w:szCs w:val="24"/>
          <w:lang w:val="en-CA" w:bidi="en-CA"/>
        </w:rPr>
        <w:t xml:space="preserve"> the potential benefits, thereby encouraging the organization not to commit the offence in the future and deterring others from doing so</w:t>
      </w:r>
      <w:r w:rsidR="00B44032" w:rsidRPr="0071186E">
        <w:rPr>
          <w:color w:val="181A18"/>
          <w:szCs w:val="24"/>
          <w:lang w:val="en-CA" w:bidi="en-CA"/>
        </w:rPr>
        <w:t>”</w:t>
      </w:r>
      <w:r w:rsidR="008602A2">
        <w:rPr>
          <w:color w:val="181A18"/>
          <w:szCs w:val="24"/>
          <w:lang w:val="en-CA" w:bidi="en-CA"/>
        </w:rPr>
        <w:t>.</w:t>
      </w:r>
      <w:r w:rsidRPr="0071186E">
        <w:rPr>
          <w:color w:val="181A18"/>
          <w:szCs w:val="24"/>
          <w:vertAlign w:val="superscript"/>
          <w:lang w:val="en-CA" w:bidi="en-CA"/>
        </w:rPr>
        <w:footnoteReference w:id="101"/>
      </w:r>
      <w:r w:rsidR="00264D40">
        <w:rPr>
          <w:color w:val="181A18"/>
          <w:szCs w:val="24"/>
          <w:lang w:val="en-CA" w:bidi="en-CA"/>
        </w:rPr>
        <w:t xml:space="preserve"> </w:t>
      </w:r>
    </w:p>
    <w:p w14:paraId="39043CB3" w14:textId="77777777" w:rsidR="003C61BE" w:rsidRPr="0071186E" w:rsidRDefault="003C61BE" w:rsidP="003C61BE">
      <w:pPr>
        <w:pStyle w:val="SimpleL1"/>
        <w:rPr>
          <w:color w:val="181A18"/>
          <w:szCs w:val="24"/>
          <w:lang w:val="en-CA" w:bidi="en-CA"/>
        </w:rPr>
      </w:pPr>
      <w:r w:rsidRPr="0071186E">
        <w:rPr>
          <w:color w:val="181A18"/>
          <w:szCs w:val="24"/>
          <w:lang w:val="en-CA" w:bidi="en-CA"/>
        </w:rPr>
        <w:t xml:space="preserve">The Parties and the Court have no precedents to assist them in this exercise, since this is the first remediation agreement submitted to a Court in Canada. The Court may, </w:t>
      </w:r>
      <w:r w:rsidRPr="0071186E">
        <w:rPr>
          <w:color w:val="181A18"/>
          <w:szCs w:val="24"/>
          <w:lang w:val="en-CA" w:bidi="en-CA"/>
        </w:rPr>
        <w:lastRenderedPageBreak/>
        <w:t>however, draw from the corruption judgments submitted by the parties that the fines are substantially higher than the value of the bribes or consideration</w:t>
      </w:r>
      <w:r w:rsidR="00D72BBE" w:rsidRPr="0071186E">
        <w:rPr>
          <w:color w:val="181A18"/>
          <w:szCs w:val="24"/>
          <w:lang w:val="en-CA" w:bidi="en-CA"/>
        </w:rPr>
        <w:t>s</w:t>
      </w:r>
      <w:r w:rsidRPr="0071186E">
        <w:rPr>
          <w:color w:val="181A18"/>
          <w:szCs w:val="24"/>
          <w:lang w:val="en-CA" w:bidi="en-CA"/>
        </w:rPr>
        <w:t>:</w:t>
      </w:r>
    </w:p>
    <w:p w14:paraId="72997A4A" w14:textId="77777777" w:rsidR="003C61BE" w:rsidRPr="0071186E" w:rsidRDefault="003C61BE" w:rsidP="00313DEB">
      <w:pPr>
        <w:numPr>
          <w:ilvl w:val="0"/>
          <w:numId w:val="29"/>
        </w:numPr>
        <w:spacing w:before="1"/>
        <w:ind w:left="720" w:right="2"/>
        <w:jc w:val="both"/>
        <w:rPr>
          <w:rFonts w:cs="Arial"/>
          <w:szCs w:val="24"/>
          <w:lang w:val="en-CA"/>
        </w:rPr>
      </w:pPr>
      <w:r w:rsidRPr="0071186E">
        <w:rPr>
          <w:rFonts w:cs="Arial"/>
          <w:i/>
          <w:szCs w:val="24"/>
          <w:lang w:val="en-CA" w:bidi="en-CA"/>
        </w:rPr>
        <w:t>R. v.</w:t>
      </w:r>
      <w:r w:rsidRPr="0071186E">
        <w:rPr>
          <w:rFonts w:cs="Arial"/>
          <w:szCs w:val="24"/>
          <w:lang w:val="en-CA" w:bidi="en-CA"/>
        </w:rPr>
        <w:t xml:space="preserve"> </w:t>
      </w:r>
      <w:r w:rsidRPr="0071186E">
        <w:rPr>
          <w:rFonts w:cs="Arial"/>
          <w:i/>
          <w:szCs w:val="24"/>
          <w:lang w:val="en-CA" w:bidi="en-CA"/>
        </w:rPr>
        <w:t>Griffiths Energy International,</w:t>
      </w:r>
      <w:r w:rsidR="00D72BBE" w:rsidRPr="0071186E">
        <w:rPr>
          <w:rFonts w:cs="Arial"/>
          <w:i/>
          <w:szCs w:val="24"/>
          <w:lang w:val="en-CA" w:bidi="en-CA"/>
        </w:rPr>
        <w:t xml:space="preserve"> </w:t>
      </w:r>
      <w:r w:rsidRPr="0071186E">
        <w:rPr>
          <w:rFonts w:cs="Arial"/>
          <w:szCs w:val="24"/>
          <w:lang w:val="en-CA" w:bidi="en-CA"/>
        </w:rPr>
        <w:t>[2013] A.J. n</w:t>
      </w:r>
      <w:r w:rsidRPr="0071186E">
        <w:rPr>
          <w:rFonts w:cs="Arial"/>
          <w:szCs w:val="24"/>
          <w:vertAlign w:val="superscript"/>
          <w:lang w:val="en-CA" w:bidi="en-CA"/>
        </w:rPr>
        <w:t>o</w:t>
      </w:r>
      <w:r w:rsidR="00D72BBE" w:rsidRPr="0071186E">
        <w:rPr>
          <w:rFonts w:cs="Arial"/>
          <w:szCs w:val="24"/>
          <w:lang w:val="en-CA" w:bidi="en-CA"/>
        </w:rPr>
        <w:t> </w:t>
      </w:r>
      <w:r w:rsidRPr="0071186E">
        <w:rPr>
          <w:rFonts w:cs="Arial"/>
          <w:szCs w:val="24"/>
          <w:lang w:val="en-CA" w:bidi="en-CA"/>
        </w:rPr>
        <w:t>412 (Alb. Q</w:t>
      </w:r>
      <w:r w:rsidR="00D72BBE" w:rsidRPr="0071186E">
        <w:rPr>
          <w:rFonts w:cs="Arial"/>
          <w:szCs w:val="24"/>
          <w:lang w:val="en-CA" w:bidi="en-CA"/>
        </w:rPr>
        <w:t>.</w:t>
      </w:r>
      <w:r w:rsidRPr="0071186E">
        <w:rPr>
          <w:rFonts w:cs="Arial"/>
          <w:szCs w:val="24"/>
          <w:lang w:val="en-CA" w:bidi="en-CA"/>
        </w:rPr>
        <w:t>B</w:t>
      </w:r>
      <w:r w:rsidR="00D72BBE" w:rsidRPr="0071186E">
        <w:rPr>
          <w:rFonts w:cs="Arial"/>
          <w:szCs w:val="24"/>
          <w:lang w:val="en-CA" w:bidi="en-CA"/>
        </w:rPr>
        <w:t>.</w:t>
      </w:r>
      <w:r w:rsidRPr="0071186E">
        <w:rPr>
          <w:rFonts w:cs="Arial"/>
          <w:szCs w:val="24"/>
          <w:lang w:val="en-CA" w:bidi="en-CA"/>
        </w:rPr>
        <w:t>): $9,000,000 penalty (plus $1,350,000 in compensation to the victim). The bribe was $2</w:t>
      </w:r>
      <w:r w:rsidR="00D10361" w:rsidRPr="0071186E">
        <w:rPr>
          <w:rFonts w:cs="Arial"/>
          <w:szCs w:val="24"/>
          <w:lang w:val="en-CA" w:bidi="en-CA"/>
        </w:rPr>
        <w:t> </w:t>
      </w:r>
      <w:r w:rsidRPr="0071186E">
        <w:rPr>
          <w:rFonts w:cs="Arial"/>
          <w:szCs w:val="24"/>
          <w:lang w:val="en-CA" w:bidi="en-CA"/>
        </w:rPr>
        <w:t>million. The anticipated or obtained profit is not an issue in the decision.</w:t>
      </w:r>
    </w:p>
    <w:p w14:paraId="04F54BDE" w14:textId="6C54A6C0" w:rsidR="003C61BE" w:rsidRPr="0071186E" w:rsidRDefault="003C61BE" w:rsidP="00313DEB">
      <w:pPr>
        <w:numPr>
          <w:ilvl w:val="0"/>
          <w:numId w:val="29"/>
        </w:numPr>
        <w:spacing w:before="1"/>
        <w:ind w:left="720" w:right="2"/>
        <w:jc w:val="both"/>
        <w:rPr>
          <w:rFonts w:cs="Arial"/>
          <w:szCs w:val="24"/>
          <w:lang w:val="en-CA"/>
        </w:rPr>
      </w:pPr>
      <w:r w:rsidRPr="0071186E">
        <w:rPr>
          <w:rFonts w:cs="Arial"/>
          <w:i/>
          <w:szCs w:val="24"/>
          <w:lang w:val="en-CA" w:bidi="en-CA"/>
        </w:rPr>
        <w:t>R. v.</w:t>
      </w:r>
      <w:r w:rsidRPr="0071186E">
        <w:rPr>
          <w:rFonts w:cs="Arial"/>
          <w:szCs w:val="24"/>
          <w:lang w:val="en-CA" w:bidi="en-CA"/>
        </w:rPr>
        <w:t xml:space="preserve"> </w:t>
      </w:r>
      <w:r w:rsidRPr="0071186E">
        <w:rPr>
          <w:rFonts w:cs="Arial"/>
          <w:i/>
          <w:szCs w:val="24"/>
          <w:lang w:val="en-CA" w:bidi="en-CA"/>
        </w:rPr>
        <w:t>Nik</w:t>
      </w:r>
      <w:r w:rsidR="00D72BBE" w:rsidRPr="0071186E">
        <w:rPr>
          <w:rFonts w:cs="Arial"/>
          <w:i/>
          <w:szCs w:val="24"/>
          <w:lang w:val="en-CA" w:bidi="en-CA"/>
        </w:rPr>
        <w:t>o</w:t>
      </w:r>
      <w:r w:rsidRPr="0071186E">
        <w:rPr>
          <w:rFonts w:cs="Arial"/>
          <w:i/>
          <w:szCs w:val="24"/>
          <w:lang w:val="en-CA" w:bidi="en-CA"/>
        </w:rPr>
        <w:t xml:space="preserve"> Resources Ltd,</w:t>
      </w:r>
      <w:r w:rsidR="00D72BBE" w:rsidRPr="0071186E">
        <w:rPr>
          <w:rFonts w:cs="Arial"/>
          <w:i/>
          <w:szCs w:val="24"/>
          <w:lang w:val="en-CA" w:bidi="en-CA"/>
        </w:rPr>
        <w:t xml:space="preserve"> </w:t>
      </w:r>
      <w:r w:rsidRPr="0071186E">
        <w:rPr>
          <w:rFonts w:cs="Arial"/>
          <w:szCs w:val="24"/>
          <w:lang w:val="en-CA" w:bidi="en-CA"/>
        </w:rPr>
        <w:t>(2011) 101 W.C.B. (2d) 118 (Alta. Q</w:t>
      </w:r>
      <w:r w:rsidR="00D72BBE" w:rsidRPr="0071186E">
        <w:rPr>
          <w:rFonts w:cs="Arial"/>
          <w:szCs w:val="24"/>
          <w:lang w:val="en-CA" w:bidi="en-CA"/>
        </w:rPr>
        <w:t>.</w:t>
      </w:r>
      <w:r w:rsidRPr="0071186E">
        <w:rPr>
          <w:rFonts w:cs="Arial"/>
          <w:szCs w:val="24"/>
          <w:lang w:val="en-CA" w:bidi="en-CA"/>
        </w:rPr>
        <w:t>B</w:t>
      </w:r>
      <w:r w:rsidR="00D72BBE" w:rsidRPr="0071186E">
        <w:rPr>
          <w:rFonts w:cs="Arial"/>
          <w:szCs w:val="24"/>
          <w:lang w:val="en-CA" w:bidi="en-CA"/>
        </w:rPr>
        <w:t>.</w:t>
      </w:r>
      <w:r w:rsidRPr="0071186E">
        <w:rPr>
          <w:rFonts w:cs="Arial"/>
          <w:szCs w:val="24"/>
          <w:lang w:val="en-CA" w:bidi="en-CA"/>
        </w:rPr>
        <w:t xml:space="preserve">): $8,260,000 penalty for a bribe of around $200,000. The </w:t>
      </w:r>
      <w:r w:rsidR="008602A2">
        <w:rPr>
          <w:rFonts w:cs="Arial"/>
          <w:szCs w:val="24"/>
          <w:lang w:val="en-CA" w:bidi="en-CA"/>
        </w:rPr>
        <w:t>projected</w:t>
      </w:r>
      <w:r w:rsidR="008602A2" w:rsidRPr="0071186E">
        <w:rPr>
          <w:rFonts w:cs="Arial"/>
          <w:szCs w:val="24"/>
          <w:lang w:val="en-CA" w:bidi="en-CA"/>
        </w:rPr>
        <w:t xml:space="preserve"> </w:t>
      </w:r>
      <w:r w:rsidRPr="0071186E">
        <w:rPr>
          <w:rFonts w:cs="Arial"/>
          <w:szCs w:val="24"/>
          <w:lang w:val="en-CA" w:bidi="en-CA"/>
        </w:rPr>
        <w:t xml:space="preserve">or obtained profit is not </w:t>
      </w:r>
      <w:r w:rsidR="00D72BBE" w:rsidRPr="0071186E">
        <w:rPr>
          <w:rFonts w:cs="Arial"/>
          <w:szCs w:val="24"/>
          <w:lang w:val="en-CA" w:bidi="en-CA"/>
        </w:rPr>
        <w:t xml:space="preserve">indicated </w:t>
      </w:r>
      <w:r w:rsidRPr="0071186E">
        <w:rPr>
          <w:rFonts w:cs="Arial"/>
          <w:szCs w:val="24"/>
          <w:lang w:val="en-CA" w:bidi="en-CA"/>
        </w:rPr>
        <w:t>in the decision.</w:t>
      </w:r>
    </w:p>
    <w:p w14:paraId="516C352D" w14:textId="40FF9E92" w:rsidR="003C61BE" w:rsidRPr="0071186E" w:rsidRDefault="003C61BE" w:rsidP="00313DEB">
      <w:pPr>
        <w:numPr>
          <w:ilvl w:val="0"/>
          <w:numId w:val="29"/>
        </w:numPr>
        <w:spacing w:before="1"/>
        <w:ind w:left="720" w:right="2"/>
        <w:jc w:val="both"/>
        <w:rPr>
          <w:rFonts w:cs="Arial"/>
          <w:szCs w:val="24"/>
          <w:lang w:val="en-CA"/>
        </w:rPr>
      </w:pPr>
      <w:r w:rsidRPr="00246D8F">
        <w:rPr>
          <w:rFonts w:cs="Arial"/>
          <w:i/>
          <w:szCs w:val="24"/>
          <w:lang w:bidi="en-CA"/>
        </w:rPr>
        <w:t xml:space="preserve">R. </w:t>
      </w:r>
      <w:r w:rsidR="008602A2" w:rsidRPr="00CE3D43">
        <w:rPr>
          <w:rFonts w:cs="Arial"/>
          <w:i/>
          <w:szCs w:val="24"/>
          <w:lang w:bidi="en-CA"/>
        </w:rPr>
        <w:t>c</w:t>
      </w:r>
      <w:r w:rsidRPr="00312121">
        <w:rPr>
          <w:rFonts w:cs="Arial"/>
          <w:i/>
          <w:szCs w:val="24"/>
          <w:lang w:bidi="en-CA"/>
        </w:rPr>
        <w:t>.</w:t>
      </w:r>
      <w:r w:rsidRPr="00312121">
        <w:rPr>
          <w:rFonts w:cs="Arial"/>
          <w:szCs w:val="24"/>
          <w:lang w:bidi="en-CA"/>
        </w:rPr>
        <w:t xml:space="preserve"> </w:t>
      </w:r>
      <w:r w:rsidRPr="00312121">
        <w:rPr>
          <w:rFonts w:cs="Arial"/>
          <w:i/>
          <w:szCs w:val="24"/>
          <w:lang w:bidi="en-CA"/>
        </w:rPr>
        <w:t xml:space="preserve">BPR Triax Inc. </w:t>
      </w:r>
      <w:r w:rsidRPr="0071186E">
        <w:rPr>
          <w:rFonts w:cs="Arial"/>
          <w:szCs w:val="24"/>
          <w:lang w:val="en-CA" w:bidi="en-CA"/>
        </w:rPr>
        <w:t xml:space="preserve">(application for </w:t>
      </w:r>
      <w:r w:rsidRPr="0071186E">
        <w:rPr>
          <w:rFonts w:cs="Arial"/>
          <w:i/>
          <w:szCs w:val="24"/>
          <w:lang w:val="en-CA" w:bidi="en-CA"/>
        </w:rPr>
        <w:t>certiorari</w:t>
      </w:r>
      <w:r w:rsidR="00D10361" w:rsidRPr="0071186E">
        <w:rPr>
          <w:rFonts w:cs="Arial"/>
          <w:i/>
          <w:szCs w:val="24"/>
          <w:lang w:val="en-CA" w:bidi="en-CA"/>
        </w:rPr>
        <w:t xml:space="preserve"> </w:t>
      </w:r>
      <w:r w:rsidRPr="0071186E">
        <w:rPr>
          <w:rFonts w:cs="Arial"/>
          <w:szCs w:val="24"/>
          <w:lang w:val="en-CA" w:bidi="en-CA"/>
        </w:rPr>
        <w:t xml:space="preserve">dismissed, 2016 QCCS 5754), 2017 QCCQ 4191: </w:t>
      </w:r>
      <w:r w:rsidR="008602A2" w:rsidRPr="0071186E">
        <w:rPr>
          <w:rFonts w:cs="Arial"/>
          <w:szCs w:val="24"/>
          <w:lang w:val="en-CA" w:bidi="en-CA"/>
        </w:rPr>
        <w:t>$100,000</w:t>
      </w:r>
      <w:r w:rsidR="008602A2">
        <w:rPr>
          <w:rFonts w:cs="Arial"/>
          <w:szCs w:val="24"/>
          <w:lang w:val="en-CA" w:bidi="en-CA"/>
        </w:rPr>
        <w:t xml:space="preserve"> </w:t>
      </w:r>
      <w:r w:rsidRPr="0071186E">
        <w:rPr>
          <w:rFonts w:cs="Arial"/>
          <w:szCs w:val="24"/>
          <w:lang w:val="en-CA" w:bidi="en-CA"/>
        </w:rPr>
        <w:t xml:space="preserve">fine for a </w:t>
      </w:r>
      <w:r w:rsidR="008602A2" w:rsidRPr="0071186E">
        <w:rPr>
          <w:rFonts w:cs="Arial"/>
          <w:szCs w:val="24"/>
          <w:lang w:val="en-CA" w:bidi="en-CA"/>
        </w:rPr>
        <w:t>$25,000</w:t>
      </w:r>
      <w:r w:rsidR="008602A2">
        <w:rPr>
          <w:rFonts w:cs="Arial"/>
          <w:szCs w:val="24"/>
          <w:lang w:val="en-CA" w:bidi="en-CA"/>
        </w:rPr>
        <w:t xml:space="preserve"> </w:t>
      </w:r>
      <w:r w:rsidRPr="0071186E">
        <w:rPr>
          <w:rFonts w:cs="Arial"/>
          <w:szCs w:val="24"/>
          <w:lang w:val="en-CA" w:bidi="en-CA"/>
        </w:rPr>
        <w:t>bribe. The criminal acts of the accused had no bearing on</w:t>
      </w:r>
      <w:r w:rsidR="00D10361" w:rsidRPr="0071186E">
        <w:rPr>
          <w:rFonts w:cs="Arial"/>
          <w:szCs w:val="24"/>
          <w:lang w:val="en-CA" w:bidi="en-CA"/>
        </w:rPr>
        <w:t xml:space="preserve"> </w:t>
      </w:r>
      <w:r w:rsidR="00F77BB0">
        <w:rPr>
          <w:rFonts w:cs="Arial"/>
          <w:color w:val="2A2A28"/>
          <w:szCs w:val="24"/>
          <w:lang w:val="en-CA" w:bidi="en-CA"/>
        </w:rPr>
        <w:t>the award</w:t>
      </w:r>
      <w:r w:rsidR="00D10361" w:rsidRPr="0071186E">
        <w:rPr>
          <w:rFonts w:cs="Arial"/>
          <w:color w:val="2A2A28"/>
          <w:szCs w:val="24"/>
          <w:lang w:val="en-CA" w:bidi="en-CA"/>
        </w:rPr>
        <w:t xml:space="preserve"> </w:t>
      </w:r>
      <w:r w:rsidRPr="0071186E">
        <w:rPr>
          <w:rFonts w:cs="Arial"/>
          <w:szCs w:val="24"/>
          <w:lang w:val="en-CA" w:bidi="en-CA"/>
        </w:rPr>
        <w:t>of a contract o</w:t>
      </w:r>
      <w:r w:rsidR="00D72BBE" w:rsidRPr="0071186E">
        <w:rPr>
          <w:rFonts w:cs="Arial"/>
          <w:szCs w:val="24"/>
          <w:lang w:val="en-CA" w:bidi="en-CA"/>
        </w:rPr>
        <w:t>r the adoption of a resolution to its</w:t>
      </w:r>
      <w:r w:rsidRPr="0071186E">
        <w:rPr>
          <w:rFonts w:cs="Arial"/>
          <w:szCs w:val="24"/>
          <w:lang w:val="en-CA" w:bidi="en-CA"/>
        </w:rPr>
        <w:t xml:space="preserve"> advantage, nor any impact on the amount or the terms of the contracts it obtained from the City.</w:t>
      </w:r>
    </w:p>
    <w:p w14:paraId="3F40DBA9" w14:textId="37B7FF31" w:rsidR="003C61BE" w:rsidRPr="0071186E" w:rsidRDefault="003C61BE" w:rsidP="00313DEB">
      <w:pPr>
        <w:numPr>
          <w:ilvl w:val="0"/>
          <w:numId w:val="29"/>
        </w:numPr>
        <w:spacing w:before="1"/>
        <w:ind w:left="720" w:right="2"/>
        <w:jc w:val="both"/>
        <w:rPr>
          <w:rFonts w:cs="Arial"/>
          <w:szCs w:val="24"/>
          <w:lang w:val="en-CA"/>
        </w:rPr>
      </w:pPr>
      <w:r w:rsidRPr="0071186E">
        <w:rPr>
          <w:rFonts w:cs="Arial"/>
          <w:i/>
          <w:szCs w:val="24"/>
          <w:lang w:val="en-CA" w:bidi="en-CA"/>
        </w:rPr>
        <w:t>R.</w:t>
      </w:r>
      <w:r w:rsidR="00D72BBE" w:rsidRPr="0071186E">
        <w:rPr>
          <w:rFonts w:cs="Arial"/>
          <w:i/>
          <w:szCs w:val="24"/>
          <w:lang w:val="en-CA" w:bidi="en-CA"/>
        </w:rPr>
        <w:t xml:space="preserve"> </w:t>
      </w:r>
      <w:r w:rsidR="008602A2">
        <w:rPr>
          <w:rFonts w:cs="Arial"/>
          <w:i/>
          <w:szCs w:val="24"/>
          <w:lang w:val="en-CA" w:bidi="en-CA"/>
        </w:rPr>
        <w:t>c</w:t>
      </w:r>
      <w:r w:rsidRPr="0071186E">
        <w:rPr>
          <w:rFonts w:cs="Arial"/>
          <w:i/>
          <w:szCs w:val="24"/>
          <w:lang w:val="en-CA" w:bidi="en-CA"/>
        </w:rPr>
        <w:t>.</w:t>
      </w:r>
      <w:r w:rsidRPr="0071186E">
        <w:rPr>
          <w:rFonts w:cs="Arial"/>
          <w:szCs w:val="24"/>
          <w:lang w:val="en-CA" w:bidi="en-CA"/>
        </w:rPr>
        <w:t xml:space="preserve"> </w:t>
      </w:r>
      <w:r w:rsidR="00D72BBE" w:rsidRPr="0071186E">
        <w:rPr>
          <w:rFonts w:cs="Arial"/>
          <w:szCs w:val="24"/>
          <w:lang w:val="en-CA" w:bidi="en-CA"/>
        </w:rPr>
        <w:t>SNCLC</w:t>
      </w:r>
      <w:r w:rsidRPr="0071186E">
        <w:rPr>
          <w:rFonts w:cs="Arial"/>
          <w:szCs w:val="24"/>
          <w:lang w:val="en-CA" w:bidi="en-CA"/>
        </w:rPr>
        <w:t>,</w:t>
      </w:r>
      <w:r w:rsidR="00D72BBE" w:rsidRPr="0071186E">
        <w:rPr>
          <w:rFonts w:cs="Arial"/>
          <w:i/>
          <w:szCs w:val="24"/>
          <w:lang w:val="en-CA" w:bidi="en-CA"/>
        </w:rPr>
        <w:t xml:space="preserve"> </w:t>
      </w:r>
      <w:r w:rsidRPr="0071186E">
        <w:rPr>
          <w:rFonts w:cs="Arial"/>
          <w:szCs w:val="24"/>
          <w:lang w:val="en-CA" w:bidi="en-CA"/>
        </w:rPr>
        <w:t>500-73-004261-158</w:t>
      </w:r>
      <w:r w:rsidR="00D72BBE" w:rsidRPr="0071186E">
        <w:rPr>
          <w:rFonts w:cs="Arial"/>
          <w:szCs w:val="24"/>
          <w:lang w:val="en-CA" w:bidi="en-CA"/>
        </w:rPr>
        <w:t xml:space="preserve"> </w:t>
      </w:r>
      <w:r w:rsidR="005E1D19" w:rsidRPr="0071186E">
        <w:rPr>
          <w:rFonts w:cs="Arial"/>
          <w:szCs w:val="24"/>
          <w:lang w:val="en-CA" w:bidi="en-CA"/>
        </w:rPr>
        <w:t>(</w:t>
      </w:r>
      <w:r w:rsidR="00D72BBE" w:rsidRPr="0071186E">
        <w:rPr>
          <w:rFonts w:cs="Arial"/>
          <w:szCs w:val="24"/>
          <w:lang w:val="en-CA" w:bidi="en-CA"/>
        </w:rPr>
        <w:t>Leblond</w:t>
      </w:r>
      <w:r w:rsidR="00F577AA">
        <w:rPr>
          <w:rFonts w:cs="Arial"/>
          <w:szCs w:val="24"/>
          <w:lang w:val="en-CA" w:bidi="en-CA"/>
        </w:rPr>
        <w:t xml:space="preserve"> J.</w:t>
      </w:r>
      <w:r w:rsidR="00D72BBE" w:rsidRPr="0071186E">
        <w:rPr>
          <w:rFonts w:cs="Arial"/>
          <w:szCs w:val="24"/>
          <w:lang w:val="en-CA" w:bidi="en-CA"/>
        </w:rPr>
        <w:t>):</w:t>
      </w:r>
      <w:r w:rsidRPr="0071186E">
        <w:rPr>
          <w:rFonts w:cs="Arial"/>
          <w:szCs w:val="24"/>
          <w:lang w:val="en-CA" w:bidi="en-CA"/>
        </w:rPr>
        <w:t xml:space="preserve"> </w:t>
      </w:r>
      <w:r w:rsidR="00D72BBE" w:rsidRPr="0071186E">
        <w:rPr>
          <w:rFonts w:cs="Arial"/>
          <w:szCs w:val="24"/>
          <w:lang w:val="en-CA" w:bidi="en-CA"/>
        </w:rPr>
        <w:t xml:space="preserve">$280,000,000 penalty for agent fees of $127,245,937. </w:t>
      </w:r>
      <w:r w:rsidRPr="0071186E">
        <w:rPr>
          <w:rFonts w:cs="Arial"/>
          <w:szCs w:val="24"/>
          <w:lang w:val="en-CA" w:bidi="en-CA"/>
        </w:rPr>
        <w:t>The gross profit was $235,258,769,</w:t>
      </w:r>
      <w:r w:rsidR="00D10361" w:rsidRPr="0071186E">
        <w:rPr>
          <w:rFonts w:cs="Arial"/>
          <w:szCs w:val="24"/>
          <w:lang w:val="en-CA" w:bidi="en-CA"/>
        </w:rPr>
        <w:t xml:space="preserve"> </w:t>
      </w:r>
      <w:r w:rsidRPr="0071186E">
        <w:rPr>
          <w:rFonts w:cs="Arial"/>
          <w:szCs w:val="24"/>
          <w:lang w:val="en-CA" w:bidi="en-CA"/>
        </w:rPr>
        <w:t>the</w:t>
      </w:r>
      <w:r w:rsidR="00D10361" w:rsidRPr="0071186E">
        <w:rPr>
          <w:rFonts w:cs="Arial"/>
          <w:szCs w:val="24"/>
          <w:lang w:val="en-CA" w:bidi="en-CA"/>
        </w:rPr>
        <w:t xml:space="preserve"> </w:t>
      </w:r>
      <w:r w:rsidR="00D72BBE" w:rsidRPr="0071186E">
        <w:rPr>
          <w:rFonts w:cs="Arial"/>
          <w:szCs w:val="24"/>
          <w:lang w:val="en-CA" w:bidi="en-CA"/>
        </w:rPr>
        <w:t xml:space="preserve">net </w:t>
      </w:r>
      <w:r w:rsidRPr="0071186E">
        <w:rPr>
          <w:rFonts w:cs="Arial"/>
          <w:szCs w:val="24"/>
          <w:lang w:val="en-CA" w:bidi="en-CA"/>
        </w:rPr>
        <w:t xml:space="preserve">profit </w:t>
      </w:r>
      <w:r w:rsidR="00D72BBE" w:rsidRPr="0071186E">
        <w:rPr>
          <w:rFonts w:cs="Arial"/>
          <w:szCs w:val="24"/>
          <w:lang w:val="en-CA" w:bidi="en-CA"/>
        </w:rPr>
        <w:t xml:space="preserve">was </w:t>
      </w:r>
      <w:r w:rsidRPr="0071186E">
        <w:rPr>
          <w:rFonts w:cs="Arial"/>
          <w:szCs w:val="24"/>
          <w:lang w:val="en-CA" w:bidi="en-CA"/>
        </w:rPr>
        <w:t xml:space="preserve">$154,152,761 and the anticipated profit </w:t>
      </w:r>
      <w:r w:rsidR="00D72BBE" w:rsidRPr="0071186E">
        <w:rPr>
          <w:rFonts w:cs="Arial"/>
          <w:szCs w:val="24"/>
          <w:lang w:val="en-CA" w:bidi="en-CA"/>
        </w:rPr>
        <w:t xml:space="preserve">was </w:t>
      </w:r>
      <w:r w:rsidRPr="0071186E">
        <w:rPr>
          <w:rFonts w:cs="Arial"/>
          <w:szCs w:val="24"/>
          <w:lang w:val="en-CA" w:bidi="en-CA"/>
        </w:rPr>
        <w:t>$260,270,000</w:t>
      </w:r>
      <w:r w:rsidR="00D72BBE" w:rsidRPr="0071186E">
        <w:rPr>
          <w:rFonts w:cs="Arial"/>
          <w:szCs w:val="24"/>
          <w:lang w:val="en-CA" w:bidi="en-CA"/>
        </w:rPr>
        <w:t>.</w:t>
      </w:r>
    </w:p>
    <w:p w14:paraId="3637B3D8" w14:textId="77777777" w:rsidR="003C61BE" w:rsidRPr="0071186E" w:rsidRDefault="003C61BE" w:rsidP="008671D1">
      <w:pPr>
        <w:pStyle w:val="SimpleL1"/>
        <w:numPr>
          <w:ilvl w:val="0"/>
          <w:numId w:val="0"/>
        </w:numPr>
        <w:spacing w:after="0"/>
        <w:ind w:left="720" w:hanging="720"/>
        <w:rPr>
          <w:color w:val="181A18"/>
          <w:szCs w:val="24"/>
          <w:lang w:val="en-CA" w:bidi="en-CA"/>
        </w:rPr>
      </w:pPr>
    </w:p>
    <w:p w14:paraId="11FB29F5" w14:textId="28C5C6C8" w:rsidR="003C61BE" w:rsidRPr="0071186E" w:rsidRDefault="005D4234" w:rsidP="003C61BE">
      <w:pPr>
        <w:pStyle w:val="SimpleL1"/>
        <w:rPr>
          <w:color w:val="181A18"/>
          <w:szCs w:val="24"/>
          <w:lang w:val="en-CA" w:bidi="en-CA"/>
        </w:rPr>
      </w:pPr>
      <w:r w:rsidRPr="0071186E">
        <w:rPr>
          <w:color w:val="181A18"/>
          <w:szCs w:val="24"/>
          <w:lang w:val="en-CA" w:bidi="en-CA"/>
        </w:rPr>
        <w:t xml:space="preserve">Regarding this last decision, the Prosecutor points out important distinctions with this case: the facts were spread over a period of ten years, the anticipated profit was $260,000,000, and </w:t>
      </w:r>
      <w:r w:rsidR="00F77BB0">
        <w:rPr>
          <w:color w:val="181A18"/>
          <w:szCs w:val="24"/>
          <w:lang w:val="en-CA" w:bidi="en-CA"/>
        </w:rPr>
        <w:t>revenues</w:t>
      </w:r>
      <w:r w:rsidRPr="0071186E">
        <w:rPr>
          <w:color w:val="181A18"/>
          <w:szCs w:val="24"/>
          <w:lang w:val="en-CA" w:bidi="en-CA"/>
        </w:rPr>
        <w:t xml:space="preserve"> reached </w:t>
      </w:r>
      <w:r w:rsidR="00F577AA">
        <w:rPr>
          <w:color w:val="181A18"/>
          <w:szCs w:val="24"/>
          <w:lang w:val="en-CA" w:bidi="en-CA"/>
        </w:rPr>
        <w:t>over</w:t>
      </w:r>
      <w:r w:rsidRPr="0071186E">
        <w:rPr>
          <w:color w:val="181A18"/>
          <w:szCs w:val="24"/>
          <w:lang w:val="en-CA" w:bidi="en-CA"/>
        </w:rPr>
        <w:t xml:space="preserve"> $1 billion.</w:t>
      </w:r>
    </w:p>
    <w:p w14:paraId="6B85503A" w14:textId="7EA94152" w:rsidR="003C61BE" w:rsidRPr="0071186E" w:rsidRDefault="005D4234" w:rsidP="003C61BE">
      <w:pPr>
        <w:pStyle w:val="SimpleL1"/>
        <w:rPr>
          <w:color w:val="181A18"/>
          <w:szCs w:val="24"/>
          <w:lang w:val="en-CA" w:bidi="en-CA"/>
        </w:rPr>
      </w:pPr>
      <w:r w:rsidRPr="0071186E">
        <w:rPr>
          <w:color w:val="181A18"/>
          <w:szCs w:val="24"/>
          <w:lang w:val="en-CA" w:bidi="en-CA"/>
        </w:rPr>
        <w:t xml:space="preserve">More generally, </w:t>
      </w:r>
      <w:r w:rsidR="00D72BBE" w:rsidRPr="0071186E">
        <w:rPr>
          <w:color w:val="181A18"/>
          <w:szCs w:val="24"/>
          <w:lang w:val="en-CA" w:bidi="en-CA"/>
        </w:rPr>
        <w:t xml:space="preserve">it </w:t>
      </w:r>
      <w:r w:rsidRPr="0071186E">
        <w:rPr>
          <w:color w:val="181A18"/>
          <w:szCs w:val="24"/>
          <w:lang w:val="en-CA" w:bidi="en-CA"/>
        </w:rPr>
        <w:t xml:space="preserve">is difficult to draw from these precedents </w:t>
      </w:r>
      <w:r w:rsidR="00D72BBE" w:rsidRPr="0071186E">
        <w:rPr>
          <w:color w:val="181A18"/>
          <w:szCs w:val="24"/>
          <w:lang w:val="en-CA" w:bidi="en-CA"/>
        </w:rPr>
        <w:t xml:space="preserve">a mathematical </w:t>
      </w:r>
      <w:r w:rsidRPr="0071186E">
        <w:rPr>
          <w:color w:val="181A18"/>
          <w:szCs w:val="24"/>
          <w:lang w:val="en-CA" w:bidi="en-CA"/>
        </w:rPr>
        <w:t xml:space="preserve">formula from which the Court </w:t>
      </w:r>
      <w:r w:rsidR="005834FA">
        <w:rPr>
          <w:color w:val="181A18"/>
          <w:szCs w:val="24"/>
          <w:lang w:val="en-CA" w:bidi="en-CA"/>
        </w:rPr>
        <w:t>could</w:t>
      </w:r>
      <w:r w:rsidR="005834FA" w:rsidRPr="0071186E">
        <w:rPr>
          <w:color w:val="181A18"/>
          <w:szCs w:val="24"/>
          <w:lang w:val="en-CA" w:bidi="en-CA"/>
        </w:rPr>
        <w:t xml:space="preserve"> </w:t>
      </w:r>
      <w:r w:rsidRPr="0071186E">
        <w:rPr>
          <w:color w:val="181A18"/>
          <w:szCs w:val="24"/>
          <w:lang w:val="en-CA" w:bidi="en-CA"/>
        </w:rPr>
        <w:t>draw</w:t>
      </w:r>
      <w:r w:rsidR="005834FA">
        <w:rPr>
          <w:color w:val="181A18"/>
          <w:szCs w:val="24"/>
          <w:lang w:val="en-CA" w:bidi="en-CA"/>
        </w:rPr>
        <w:t xml:space="preserve"> inspiration</w:t>
      </w:r>
      <w:r w:rsidRPr="0071186E">
        <w:rPr>
          <w:color w:val="181A18"/>
          <w:szCs w:val="24"/>
          <w:lang w:val="en-CA" w:bidi="en-CA"/>
        </w:rPr>
        <w:t xml:space="preserve">. In addition, in some </w:t>
      </w:r>
      <w:r w:rsidR="005834FA">
        <w:rPr>
          <w:color w:val="181A18"/>
          <w:szCs w:val="24"/>
          <w:lang w:val="en-CA" w:bidi="en-CA"/>
        </w:rPr>
        <w:t>judgments</w:t>
      </w:r>
      <w:r w:rsidRPr="0071186E">
        <w:rPr>
          <w:color w:val="181A18"/>
          <w:szCs w:val="24"/>
          <w:lang w:val="en-CA" w:bidi="en-CA"/>
        </w:rPr>
        <w:t xml:space="preserve">, it is a matter of a compromise </w:t>
      </w:r>
      <w:r w:rsidR="0007632F" w:rsidRPr="0071186E">
        <w:rPr>
          <w:color w:val="181A18"/>
          <w:szCs w:val="24"/>
          <w:lang w:val="en-CA" w:bidi="en-CA"/>
        </w:rPr>
        <w:t xml:space="preserve">having been </w:t>
      </w:r>
      <w:r w:rsidRPr="0071186E">
        <w:rPr>
          <w:color w:val="181A18"/>
          <w:szCs w:val="24"/>
          <w:lang w:val="en-CA" w:bidi="en-CA"/>
        </w:rPr>
        <w:t>reached by the parties</w:t>
      </w:r>
      <w:r w:rsidR="005834FA">
        <w:rPr>
          <w:color w:val="181A18"/>
          <w:szCs w:val="24"/>
          <w:lang w:val="en-CA" w:bidi="en-CA"/>
        </w:rPr>
        <w:t>, the particular details of which</w:t>
      </w:r>
      <w:r w:rsidR="0007632F" w:rsidRPr="0071186E">
        <w:rPr>
          <w:color w:val="181A18"/>
          <w:szCs w:val="24"/>
          <w:lang w:val="en-CA" w:bidi="en-CA"/>
        </w:rPr>
        <w:t xml:space="preserve"> </w:t>
      </w:r>
      <w:r w:rsidRPr="0071186E">
        <w:rPr>
          <w:color w:val="181A18"/>
          <w:szCs w:val="24"/>
          <w:lang w:val="en-CA" w:bidi="en-CA"/>
        </w:rPr>
        <w:t>are not known.</w:t>
      </w:r>
    </w:p>
    <w:p w14:paraId="7463B20F" w14:textId="3E3BE724" w:rsidR="005D4234" w:rsidRPr="0071186E" w:rsidRDefault="005D4234" w:rsidP="003C61BE">
      <w:pPr>
        <w:pStyle w:val="SimpleL1"/>
        <w:rPr>
          <w:color w:val="181A18"/>
          <w:szCs w:val="24"/>
          <w:lang w:val="en-CA" w:bidi="en-CA"/>
        </w:rPr>
      </w:pPr>
      <w:r w:rsidRPr="0071186E">
        <w:rPr>
          <w:color w:val="181A18"/>
          <w:szCs w:val="24"/>
          <w:lang w:val="en-CA" w:bidi="en-CA"/>
        </w:rPr>
        <w:t>It is therefore preferable to turn to the factors in s</w:t>
      </w:r>
      <w:r w:rsidR="005834FA">
        <w:rPr>
          <w:color w:val="181A18"/>
          <w:szCs w:val="24"/>
          <w:lang w:val="en-CA" w:bidi="en-CA"/>
        </w:rPr>
        <w:t>.</w:t>
      </w:r>
      <w:r w:rsidRPr="0071186E">
        <w:rPr>
          <w:color w:val="181A18"/>
          <w:szCs w:val="24"/>
          <w:lang w:val="en-CA" w:bidi="en-CA"/>
        </w:rPr>
        <w:t xml:space="preserve"> 718.21 Cr.</w:t>
      </w:r>
      <w:r w:rsidR="005834FA">
        <w:rPr>
          <w:color w:val="181A18"/>
          <w:szCs w:val="24"/>
          <w:lang w:val="en-CA" w:bidi="en-CA"/>
        </w:rPr>
        <w:t> </w:t>
      </w:r>
      <w:r w:rsidRPr="0071186E">
        <w:rPr>
          <w:color w:val="181A18"/>
          <w:szCs w:val="24"/>
          <w:lang w:val="en-CA" w:bidi="en-CA"/>
        </w:rPr>
        <w:t>C.</w:t>
      </w:r>
    </w:p>
    <w:p w14:paraId="2FB2E65B" w14:textId="13E0BA45" w:rsidR="005D4234" w:rsidRPr="0071186E" w:rsidRDefault="005D4234" w:rsidP="003C61BE">
      <w:pPr>
        <w:pStyle w:val="SimpleL1"/>
        <w:rPr>
          <w:color w:val="181A18"/>
          <w:szCs w:val="24"/>
          <w:lang w:val="en-CA" w:bidi="en-CA"/>
        </w:rPr>
      </w:pPr>
      <w:r w:rsidRPr="0071186E">
        <w:rPr>
          <w:color w:val="181A18"/>
          <w:szCs w:val="24"/>
          <w:lang w:val="en-CA" w:bidi="en-CA"/>
        </w:rPr>
        <w:t xml:space="preserve">In terms of the </w:t>
      </w:r>
      <w:r w:rsidR="0007632F" w:rsidRPr="0071186E">
        <w:rPr>
          <w:color w:val="181A18"/>
          <w:szCs w:val="24"/>
          <w:lang w:val="en-CA" w:bidi="en-CA"/>
        </w:rPr>
        <w:t xml:space="preserve">advantages </w:t>
      </w:r>
      <w:r w:rsidR="007969DA">
        <w:rPr>
          <w:color w:val="181A18"/>
          <w:szCs w:val="24"/>
          <w:lang w:val="en-CA" w:bidi="en-CA"/>
        </w:rPr>
        <w:t>received</w:t>
      </w:r>
      <w:r w:rsidR="007969DA" w:rsidRPr="0071186E">
        <w:rPr>
          <w:color w:val="181A18"/>
          <w:szCs w:val="24"/>
          <w:lang w:val="en-CA" w:bidi="en-CA"/>
        </w:rPr>
        <w:t xml:space="preserve"> </w:t>
      </w:r>
      <w:r w:rsidR="0007632F" w:rsidRPr="0071186E">
        <w:rPr>
          <w:color w:val="181A18"/>
          <w:szCs w:val="24"/>
          <w:lang w:val="en-CA" w:bidi="en-CA"/>
        </w:rPr>
        <w:t xml:space="preserve">by </w:t>
      </w:r>
      <w:r w:rsidRPr="0071186E">
        <w:rPr>
          <w:color w:val="181A18"/>
          <w:szCs w:val="24"/>
          <w:lang w:val="en-CA" w:bidi="en-CA"/>
        </w:rPr>
        <w:t>the Organizations, in addition to the</w:t>
      </w:r>
      <w:r w:rsidR="007969DA">
        <w:rPr>
          <w:color w:val="181A18"/>
          <w:szCs w:val="24"/>
          <w:lang w:val="en-CA" w:bidi="en-CA"/>
        </w:rPr>
        <w:t xml:space="preserve"> profit of</w:t>
      </w:r>
      <w:r w:rsidRPr="0071186E">
        <w:rPr>
          <w:color w:val="181A18"/>
          <w:szCs w:val="24"/>
          <w:lang w:val="en-CA" w:bidi="en-CA"/>
        </w:rPr>
        <w:t xml:space="preserve"> $1,748,694 for the </w:t>
      </w:r>
      <w:r w:rsidR="00C3534A" w:rsidRPr="0071186E">
        <w:rPr>
          <w:lang w:val="en-CA" w:bidi="en-CA"/>
        </w:rPr>
        <w:t>Jacques Cartier Bridge</w:t>
      </w:r>
      <w:r w:rsidR="00C3534A">
        <w:rPr>
          <w:lang w:val="en-CA" w:bidi="en-CA"/>
        </w:rPr>
        <w:t xml:space="preserve"> refurbishment</w:t>
      </w:r>
      <w:r w:rsidR="00C3534A" w:rsidRPr="0071186E">
        <w:rPr>
          <w:w w:val="105"/>
          <w:szCs w:val="24"/>
          <w:lang w:val="en-CA" w:bidi="en-CA"/>
        </w:rPr>
        <w:t xml:space="preserve"> </w:t>
      </w:r>
      <w:r w:rsidR="00C3534A">
        <w:rPr>
          <w:w w:val="105"/>
          <w:szCs w:val="24"/>
          <w:lang w:val="en-CA" w:bidi="en-CA"/>
        </w:rPr>
        <w:t>contract</w:t>
      </w:r>
      <w:r w:rsidRPr="0071186E">
        <w:rPr>
          <w:color w:val="181A18"/>
          <w:szCs w:val="24"/>
          <w:lang w:val="en-CA" w:bidi="en-CA"/>
        </w:rPr>
        <w:t xml:space="preserve">, there are other </w:t>
      </w:r>
      <w:r w:rsidR="0007632F" w:rsidRPr="0071186E">
        <w:rPr>
          <w:color w:val="181A18"/>
          <w:szCs w:val="24"/>
          <w:lang w:val="en-CA" w:bidi="en-CA"/>
        </w:rPr>
        <w:t>advantages</w:t>
      </w:r>
      <w:r w:rsidRPr="0071186E">
        <w:rPr>
          <w:color w:val="181A18"/>
          <w:szCs w:val="24"/>
          <w:lang w:val="en-CA" w:bidi="en-CA"/>
        </w:rPr>
        <w:t xml:space="preserve"> </w:t>
      </w:r>
      <w:r w:rsidR="007969DA">
        <w:rPr>
          <w:color w:val="181A18"/>
          <w:szCs w:val="24"/>
          <w:lang w:val="en-CA" w:bidi="en-CA"/>
        </w:rPr>
        <w:t>that</w:t>
      </w:r>
      <w:r w:rsidR="007969DA" w:rsidRPr="0071186E">
        <w:rPr>
          <w:color w:val="181A18"/>
          <w:szCs w:val="24"/>
          <w:lang w:val="en-CA" w:bidi="en-CA"/>
        </w:rPr>
        <w:t xml:space="preserve"> </w:t>
      </w:r>
      <w:r w:rsidRPr="0071186E">
        <w:rPr>
          <w:color w:val="181A18"/>
          <w:szCs w:val="24"/>
          <w:lang w:val="en-CA" w:bidi="en-CA"/>
        </w:rPr>
        <w:t xml:space="preserve">are less easily quantifiable, such as the </w:t>
      </w:r>
      <w:r w:rsidR="007969DA">
        <w:rPr>
          <w:color w:val="181A18"/>
          <w:szCs w:val="24"/>
          <w:lang w:val="en-CA" w:bidi="en-CA"/>
        </w:rPr>
        <w:t>positive</w:t>
      </w:r>
      <w:r w:rsidR="007969DA" w:rsidRPr="0071186E">
        <w:rPr>
          <w:color w:val="181A18"/>
          <w:szCs w:val="24"/>
          <w:lang w:val="en-CA" w:bidi="en-CA"/>
        </w:rPr>
        <w:t xml:space="preserve"> </w:t>
      </w:r>
      <w:r w:rsidRPr="0071186E">
        <w:rPr>
          <w:color w:val="181A18"/>
          <w:szCs w:val="24"/>
          <w:lang w:val="en-CA" w:bidi="en-CA"/>
        </w:rPr>
        <w:t>reputation in the infrastructure construction</w:t>
      </w:r>
      <w:r w:rsidR="007969DA">
        <w:rPr>
          <w:color w:val="181A18"/>
          <w:szCs w:val="24"/>
          <w:lang w:val="en-CA" w:bidi="en-CA"/>
        </w:rPr>
        <w:t xml:space="preserve"> sector</w:t>
      </w:r>
      <w:r w:rsidRPr="0071186E">
        <w:rPr>
          <w:color w:val="181A18"/>
          <w:szCs w:val="24"/>
          <w:lang w:val="en-CA" w:bidi="en-CA"/>
        </w:rPr>
        <w:t>.</w:t>
      </w:r>
    </w:p>
    <w:p w14:paraId="7D3C031A" w14:textId="3C036D73" w:rsidR="005D4234" w:rsidRPr="0071186E" w:rsidRDefault="005D4234" w:rsidP="003C61BE">
      <w:pPr>
        <w:pStyle w:val="SimpleL1"/>
        <w:rPr>
          <w:color w:val="181A18"/>
          <w:szCs w:val="24"/>
          <w:lang w:val="en-CA" w:bidi="en-CA"/>
        </w:rPr>
      </w:pPr>
      <w:r w:rsidRPr="0071186E">
        <w:rPr>
          <w:color w:val="181A18"/>
          <w:szCs w:val="24"/>
          <w:lang w:val="en-CA" w:bidi="en-CA"/>
        </w:rPr>
        <w:t xml:space="preserve">Regarding the degree of complexity of the </w:t>
      </w:r>
      <w:r w:rsidR="00C3534A">
        <w:rPr>
          <w:color w:val="181A18"/>
          <w:szCs w:val="24"/>
          <w:lang w:val="en-CA" w:bidi="en-CA"/>
        </w:rPr>
        <w:t>planning</w:t>
      </w:r>
      <w:r w:rsidRPr="0071186E">
        <w:rPr>
          <w:color w:val="181A18"/>
          <w:szCs w:val="24"/>
          <w:lang w:val="en-CA" w:bidi="en-CA"/>
        </w:rPr>
        <w:t xml:space="preserve"> related to the offence and </w:t>
      </w:r>
      <w:r w:rsidR="00F6133A">
        <w:rPr>
          <w:color w:val="181A18"/>
          <w:szCs w:val="24"/>
          <w:lang w:val="en-CA" w:bidi="en-CA"/>
        </w:rPr>
        <w:t xml:space="preserve">of </w:t>
      </w:r>
      <w:r w:rsidRPr="0071186E">
        <w:rPr>
          <w:color w:val="181A18"/>
          <w:szCs w:val="24"/>
          <w:lang w:val="en-CA" w:bidi="en-CA"/>
        </w:rPr>
        <w:t xml:space="preserve">the offence itself, </w:t>
      </w:r>
      <w:r w:rsidR="00F6133A">
        <w:rPr>
          <w:color w:val="181A18"/>
          <w:szCs w:val="24"/>
          <w:lang w:val="en-CA" w:bidi="en-CA"/>
        </w:rPr>
        <w:t>and</w:t>
      </w:r>
      <w:r w:rsidRPr="0071186E">
        <w:rPr>
          <w:color w:val="181A18"/>
          <w:szCs w:val="24"/>
          <w:lang w:val="en-CA" w:bidi="en-CA"/>
        </w:rPr>
        <w:t xml:space="preserve"> the period during which it was committed, the scheme uses consultant contracts charged to construction projects</w:t>
      </w:r>
      <w:r w:rsidR="00F6133A">
        <w:rPr>
          <w:color w:val="181A18"/>
          <w:szCs w:val="24"/>
          <w:lang w:val="en-CA" w:bidi="en-CA"/>
        </w:rPr>
        <w:t xml:space="preserve"> abroad</w:t>
      </w:r>
      <w:r w:rsidRPr="0071186E">
        <w:rPr>
          <w:color w:val="181A18"/>
          <w:szCs w:val="24"/>
          <w:lang w:val="en-CA" w:bidi="en-CA"/>
        </w:rPr>
        <w:t>. This is a sophisticated scheme whereby the Organizations prepare</w:t>
      </w:r>
      <w:r w:rsidR="00F6133A">
        <w:rPr>
          <w:color w:val="181A18"/>
          <w:szCs w:val="24"/>
          <w:lang w:val="en-CA" w:bidi="en-CA"/>
        </w:rPr>
        <w:t>d</w:t>
      </w:r>
      <w:r w:rsidRPr="0071186E">
        <w:rPr>
          <w:color w:val="181A18"/>
          <w:szCs w:val="24"/>
          <w:lang w:val="en-CA" w:bidi="en-CA"/>
        </w:rPr>
        <w:t xml:space="preserve"> </w:t>
      </w:r>
      <w:r w:rsidR="00C3534A">
        <w:rPr>
          <w:color w:val="181A18"/>
          <w:szCs w:val="24"/>
          <w:lang w:val="en-CA" w:bidi="en-CA"/>
        </w:rPr>
        <w:t>false</w:t>
      </w:r>
      <w:r w:rsidRPr="0071186E">
        <w:rPr>
          <w:color w:val="181A18"/>
          <w:szCs w:val="24"/>
          <w:lang w:val="en-CA" w:bidi="en-CA"/>
        </w:rPr>
        <w:t xml:space="preserve"> commercial agent agreements with a consulting firm used to provide intermediary services to third party beneficiaries. </w:t>
      </w:r>
      <w:r w:rsidR="00C3534A">
        <w:rPr>
          <w:color w:val="181A18"/>
          <w:szCs w:val="24"/>
          <w:lang w:val="en-CA" w:bidi="en-CA"/>
        </w:rPr>
        <w:t>Fictitious</w:t>
      </w:r>
      <w:r w:rsidRPr="0071186E">
        <w:rPr>
          <w:color w:val="181A18"/>
          <w:szCs w:val="24"/>
          <w:lang w:val="en-CA" w:bidi="en-CA"/>
        </w:rPr>
        <w:t xml:space="preserve"> fee payments are transferred to Swiss accounts. As to its duration, the scheme lasted from October 2000 to October 2003.</w:t>
      </w:r>
    </w:p>
    <w:p w14:paraId="024FF8AE" w14:textId="6A8AA180" w:rsidR="005D4234" w:rsidRPr="0071186E" w:rsidRDefault="0007632F" w:rsidP="003C61BE">
      <w:pPr>
        <w:pStyle w:val="SimpleL1"/>
        <w:rPr>
          <w:color w:val="181A18"/>
          <w:szCs w:val="24"/>
          <w:lang w:val="en-CA" w:bidi="en-CA"/>
        </w:rPr>
      </w:pPr>
      <w:r w:rsidRPr="0071186E">
        <w:rPr>
          <w:color w:val="181A18"/>
          <w:szCs w:val="24"/>
          <w:lang w:val="en-CA" w:bidi="en-CA"/>
        </w:rPr>
        <w:t>However, t</w:t>
      </w:r>
      <w:r w:rsidR="005D4234" w:rsidRPr="0071186E">
        <w:rPr>
          <w:color w:val="181A18"/>
          <w:szCs w:val="24"/>
          <w:lang w:val="en-CA" w:bidi="en-CA"/>
        </w:rPr>
        <w:t>here is no evidence that the Organizations attempted to conceal or convert assets to prove themselves to be unable to pay a fine or make restitution.</w:t>
      </w:r>
    </w:p>
    <w:p w14:paraId="5103E4FB" w14:textId="6362ABB3" w:rsidR="005D4234" w:rsidRPr="0071186E" w:rsidRDefault="005D4234" w:rsidP="003C61BE">
      <w:pPr>
        <w:pStyle w:val="SimpleL1"/>
        <w:rPr>
          <w:color w:val="181A18"/>
          <w:szCs w:val="24"/>
          <w:lang w:val="en-CA" w:bidi="en-CA"/>
        </w:rPr>
      </w:pPr>
      <w:r w:rsidRPr="0071186E">
        <w:rPr>
          <w:color w:val="181A18"/>
          <w:szCs w:val="24"/>
          <w:lang w:val="en-CA" w:bidi="en-CA"/>
        </w:rPr>
        <w:lastRenderedPageBreak/>
        <w:t xml:space="preserve">As to the effect of the penalty on the Organizations’ economic viability and employee retention, this factor has already been </w:t>
      </w:r>
      <w:r w:rsidR="008D7139">
        <w:rPr>
          <w:color w:val="181A18"/>
          <w:szCs w:val="24"/>
          <w:lang w:val="en-CA" w:bidi="en-CA"/>
        </w:rPr>
        <w:t>addressed as part of</w:t>
      </w:r>
      <w:r w:rsidRPr="0071186E">
        <w:rPr>
          <w:color w:val="181A18"/>
          <w:szCs w:val="24"/>
          <w:lang w:val="en-CA" w:bidi="en-CA"/>
        </w:rPr>
        <w:t xml:space="preserve"> the public interest to approve the Agreement.</w:t>
      </w:r>
    </w:p>
    <w:p w14:paraId="1D744CC0" w14:textId="565D4133" w:rsidR="005D4234" w:rsidRPr="0071186E" w:rsidRDefault="005D4234" w:rsidP="003C61BE">
      <w:pPr>
        <w:pStyle w:val="SimpleL1"/>
        <w:rPr>
          <w:color w:val="181A18"/>
          <w:szCs w:val="24"/>
          <w:lang w:val="en-CA" w:bidi="en-CA"/>
        </w:rPr>
      </w:pPr>
      <w:r w:rsidRPr="0071186E">
        <w:rPr>
          <w:color w:val="181A18"/>
          <w:szCs w:val="24"/>
          <w:lang w:val="en-CA" w:bidi="en-CA"/>
        </w:rPr>
        <w:t xml:space="preserve">With regard to the costs borne by public </w:t>
      </w:r>
      <w:r w:rsidR="008D7139">
        <w:rPr>
          <w:color w:val="181A18"/>
          <w:szCs w:val="24"/>
          <w:lang w:val="en-CA" w:bidi="en-CA"/>
        </w:rPr>
        <w:t>bodies</w:t>
      </w:r>
      <w:r w:rsidR="008D7139" w:rsidRPr="0071186E">
        <w:rPr>
          <w:color w:val="181A18"/>
          <w:szCs w:val="24"/>
          <w:lang w:val="en-CA" w:bidi="en-CA"/>
        </w:rPr>
        <w:t xml:space="preserve"> </w:t>
      </w:r>
      <w:r w:rsidRPr="0071186E">
        <w:rPr>
          <w:color w:val="181A18"/>
          <w:szCs w:val="24"/>
          <w:lang w:val="en-CA" w:bidi="en-CA"/>
        </w:rPr>
        <w:t xml:space="preserve">in the context of investigations and prosecutions relating to the offence, it should be noted that the RCMP </w:t>
      </w:r>
      <w:r w:rsidR="0007632F" w:rsidRPr="0071186E">
        <w:rPr>
          <w:color w:val="181A18"/>
          <w:szCs w:val="24"/>
          <w:lang w:val="en-CA" w:bidi="en-CA"/>
        </w:rPr>
        <w:t xml:space="preserve">carried </w:t>
      </w:r>
      <w:r w:rsidRPr="0071186E">
        <w:rPr>
          <w:color w:val="181A18"/>
          <w:szCs w:val="24"/>
          <w:lang w:val="en-CA" w:bidi="en-CA"/>
        </w:rPr>
        <w:t>out a long investigation from 2015 to 2021, incurring significant costs, in particular du</w:t>
      </w:r>
      <w:r w:rsidR="0007632F" w:rsidRPr="0071186E">
        <w:rPr>
          <w:color w:val="181A18"/>
          <w:szCs w:val="24"/>
          <w:lang w:val="en-CA" w:bidi="en-CA"/>
        </w:rPr>
        <w:t>e to forensic accounting</w:t>
      </w:r>
      <w:r w:rsidR="008D7139">
        <w:rPr>
          <w:color w:val="181A18"/>
          <w:szCs w:val="24"/>
          <w:lang w:val="en-CA" w:bidi="en-CA"/>
        </w:rPr>
        <w:t xml:space="preserve"> expert reports</w:t>
      </w:r>
      <w:r w:rsidRPr="0071186E">
        <w:rPr>
          <w:color w:val="181A18"/>
          <w:szCs w:val="24"/>
          <w:lang w:val="en-CA" w:bidi="en-CA"/>
        </w:rPr>
        <w:t>.</w:t>
      </w:r>
    </w:p>
    <w:p w14:paraId="11B12AE2" w14:textId="529B361D" w:rsidR="005D4234" w:rsidRPr="0071186E" w:rsidRDefault="005D4234" w:rsidP="003C61BE">
      <w:pPr>
        <w:pStyle w:val="SimpleL1"/>
        <w:rPr>
          <w:color w:val="181A18"/>
          <w:szCs w:val="24"/>
          <w:lang w:val="en-CA" w:bidi="en-CA"/>
        </w:rPr>
      </w:pPr>
      <w:r w:rsidRPr="0071186E">
        <w:rPr>
          <w:color w:val="181A18"/>
          <w:szCs w:val="24"/>
          <w:lang w:val="en-CA" w:bidi="en-CA"/>
        </w:rPr>
        <w:t xml:space="preserve">The Organizations and their agents have not received a penalty for the actions leading to the offences. Several senior officers of SNCLG and its subsidiaries have been convicted of criminal offences for similar actions. SNC-Lavalin Construction Inc. </w:t>
      </w:r>
      <w:r w:rsidR="008D7139">
        <w:rPr>
          <w:color w:val="181A18"/>
          <w:szCs w:val="24"/>
          <w:lang w:val="en-CA" w:bidi="en-CA"/>
        </w:rPr>
        <w:t>pleaded</w:t>
      </w:r>
      <w:r w:rsidRPr="0071186E">
        <w:rPr>
          <w:color w:val="181A18"/>
          <w:szCs w:val="24"/>
          <w:lang w:val="en-CA" w:bidi="en-CA"/>
        </w:rPr>
        <w:t xml:space="preserve"> guilty of fraud in 2019.</w:t>
      </w:r>
    </w:p>
    <w:p w14:paraId="54C6DE5E" w14:textId="3AD4D11F" w:rsidR="005D4234" w:rsidRPr="00A96932" w:rsidRDefault="005D4234" w:rsidP="003C61BE">
      <w:pPr>
        <w:pStyle w:val="SimpleL1"/>
        <w:rPr>
          <w:szCs w:val="24"/>
          <w:lang w:val="en-CA" w:bidi="en-CA"/>
        </w:rPr>
      </w:pPr>
      <w:r w:rsidRPr="0071186E">
        <w:rPr>
          <w:color w:val="181A18"/>
          <w:szCs w:val="24"/>
          <w:lang w:val="en-CA" w:bidi="en-CA"/>
        </w:rPr>
        <w:t xml:space="preserve">With regard to </w:t>
      </w:r>
      <w:r w:rsidR="009F04DF" w:rsidRPr="0071186E">
        <w:rPr>
          <w:color w:val="181A18"/>
          <w:szCs w:val="24"/>
          <w:lang w:val="en-CA" w:bidi="en-CA"/>
        </w:rPr>
        <w:t xml:space="preserve">the </w:t>
      </w:r>
      <w:r w:rsidR="009F04DF" w:rsidRPr="00A96932">
        <w:rPr>
          <w:szCs w:val="24"/>
          <w:lang w:val="en-CA" w:bidi="en-CA"/>
        </w:rPr>
        <w:t xml:space="preserve">Organizations </w:t>
      </w:r>
      <w:r w:rsidRPr="00A96932">
        <w:rPr>
          <w:szCs w:val="24"/>
          <w:lang w:val="en-CA" w:bidi="en-CA"/>
        </w:rPr>
        <w:t>imposi</w:t>
      </w:r>
      <w:r w:rsidR="009F04DF" w:rsidRPr="00A96932">
        <w:rPr>
          <w:szCs w:val="24"/>
          <w:lang w:val="en-CA" w:bidi="en-CA"/>
        </w:rPr>
        <w:t>ng</w:t>
      </w:r>
      <w:r w:rsidRPr="00A96932">
        <w:rPr>
          <w:szCs w:val="24"/>
          <w:lang w:val="en-CA" w:bidi="en-CA"/>
        </w:rPr>
        <w:t xml:space="preserve"> penalties on </w:t>
      </w:r>
      <w:r w:rsidR="009F04DF" w:rsidRPr="00A96932">
        <w:rPr>
          <w:szCs w:val="24"/>
          <w:lang w:val="en-CA" w:bidi="en-CA"/>
        </w:rPr>
        <w:t xml:space="preserve">their </w:t>
      </w:r>
      <w:r w:rsidRPr="00A96932">
        <w:rPr>
          <w:szCs w:val="24"/>
          <w:lang w:val="en-CA" w:bidi="en-CA"/>
        </w:rPr>
        <w:t xml:space="preserve">agents for their role in the </w:t>
      </w:r>
      <w:r w:rsidR="009F04DF" w:rsidRPr="00A96932">
        <w:rPr>
          <w:szCs w:val="24"/>
          <w:lang w:val="en-CA" w:bidi="en-CA"/>
        </w:rPr>
        <w:t xml:space="preserve">commission </w:t>
      </w:r>
      <w:r w:rsidRPr="00A96932">
        <w:rPr>
          <w:szCs w:val="24"/>
          <w:lang w:val="en-CA" w:bidi="en-CA"/>
        </w:rPr>
        <w:t xml:space="preserve">of the offence, </w:t>
      </w:r>
      <w:r w:rsidR="00D11666" w:rsidRPr="00A96932">
        <w:rPr>
          <w:color w:val="A6A6A6" w:themeColor="background1" w:themeShade="A6"/>
          <w:szCs w:val="24"/>
          <w:highlight w:val="darkGray"/>
          <w:lang w:val="en-CA" w:bidi="en-CA"/>
        </w:rPr>
        <w:t>xxxx</w:t>
      </w:r>
      <w:r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xxxx</w:t>
      </w:r>
      <w:r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xxxxxxxx</w:t>
      </w:r>
      <w:r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xxxxxxx</w:t>
      </w:r>
      <w:r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xxx</w:t>
      </w:r>
      <w:r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xxxxxxx</w:t>
      </w:r>
      <w:r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w:t>
      </w:r>
      <w:r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w:t>
      </w:r>
      <w:r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xxxxxxx</w:t>
      </w:r>
      <w:r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xxxx</w:t>
      </w:r>
      <w:r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w:t>
      </w:r>
      <w:r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xxxxxxxxxxxx</w:t>
      </w:r>
      <w:r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xxxxxx</w:t>
      </w:r>
      <w:r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xxxx</w:t>
      </w:r>
      <w:r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w:t>
      </w:r>
      <w:r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xxxxxxxxxx</w:t>
      </w:r>
      <w:r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xxxxxxxxx</w:t>
      </w:r>
      <w:r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xxx</w:t>
      </w:r>
      <w:r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xxx</w:t>
      </w:r>
      <w:r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xxxxxxxx</w:t>
      </w:r>
      <w:r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xxxxx</w:t>
      </w:r>
      <w:r w:rsidR="0007632F"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xxxx</w:t>
      </w:r>
      <w:r w:rsidR="0007632F"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w:t>
      </w:r>
      <w:r w:rsidR="0007632F"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xxxxx</w:t>
      </w:r>
      <w:r w:rsidR="0007632F"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xxxxxxxx</w:t>
      </w:r>
      <w:r w:rsidR="0007632F"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xxxxx</w:t>
      </w:r>
      <w:r w:rsidR="0007632F"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w:t>
      </w:r>
      <w:r w:rsidR="0007632F"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xxx</w:t>
      </w:r>
      <w:r w:rsidR="0007632F"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xxxxxxx</w:t>
      </w:r>
      <w:r w:rsidR="0007632F"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w:t>
      </w:r>
      <w:r w:rsidR="0007632F"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xxx</w:t>
      </w:r>
      <w:r w:rsidR="0007632F"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xxxxxxxx</w:t>
      </w:r>
      <w:r w:rsidR="0007632F"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xxxx</w:t>
      </w:r>
      <w:r w:rsidR="0007632F"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xxxxxxx</w:t>
      </w:r>
      <w:r w:rsidR="0007632F"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w:t>
      </w:r>
      <w:r w:rsidR="0007632F"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xxx</w:t>
      </w:r>
      <w:r w:rsidR="0007632F"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xxxx</w:t>
      </w:r>
      <w:r w:rsidR="0007632F"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w:t>
      </w:r>
      <w:r w:rsidR="0007632F"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xxx</w:t>
      </w:r>
      <w:r w:rsidR="0007632F" w:rsidRPr="00A96932">
        <w:rPr>
          <w:color w:val="A6A6A6" w:themeColor="background1" w:themeShade="A6"/>
          <w:szCs w:val="24"/>
          <w:highlight w:val="darkGray"/>
          <w:lang w:val="en-CA" w:bidi="en-CA"/>
        </w:rPr>
        <w:t xml:space="preserve"> </w:t>
      </w:r>
      <w:r w:rsidR="00D11666" w:rsidRPr="00A96932">
        <w:rPr>
          <w:color w:val="A6A6A6" w:themeColor="background1" w:themeShade="A6"/>
          <w:szCs w:val="24"/>
          <w:highlight w:val="darkGray"/>
          <w:lang w:val="en-CA" w:bidi="en-CA"/>
        </w:rPr>
        <w:t>xxxxxxxxxxxxx</w:t>
      </w:r>
      <w:r w:rsidR="0007632F" w:rsidRPr="00A96932">
        <w:rPr>
          <w:szCs w:val="24"/>
          <w:lang w:val="en-CA" w:bidi="en-CA"/>
        </w:rPr>
        <w:t xml:space="preserve">. </w:t>
      </w:r>
      <w:r w:rsidRPr="00A96932">
        <w:rPr>
          <w:szCs w:val="24"/>
          <w:lang w:val="en-CA" w:bidi="en-CA"/>
        </w:rPr>
        <w:t xml:space="preserve">However, the Organizations’ </w:t>
      </w:r>
      <w:r w:rsidR="0007632F" w:rsidRPr="00A96932">
        <w:rPr>
          <w:szCs w:val="24"/>
          <w:lang w:val="en-CA" w:bidi="en-CA"/>
        </w:rPr>
        <w:t xml:space="preserve">cooperation </w:t>
      </w:r>
      <w:r w:rsidRPr="00A96932">
        <w:rPr>
          <w:szCs w:val="24"/>
          <w:lang w:val="en-CA" w:bidi="en-CA"/>
        </w:rPr>
        <w:t>in identifying the persons responsible can be taken into account at this stage.</w:t>
      </w:r>
    </w:p>
    <w:p w14:paraId="6C4D93D0" w14:textId="2D8CA0A1" w:rsidR="005D4234" w:rsidRPr="00A518EC" w:rsidRDefault="005D4234" w:rsidP="003C61BE">
      <w:pPr>
        <w:pStyle w:val="SimpleL1"/>
        <w:rPr>
          <w:color w:val="181A18"/>
          <w:szCs w:val="24"/>
          <w:lang w:val="en-CA" w:bidi="en-CA"/>
        </w:rPr>
      </w:pPr>
      <w:r w:rsidRPr="00A96932">
        <w:rPr>
          <w:szCs w:val="24"/>
          <w:lang w:val="en-CA" w:bidi="en-CA"/>
        </w:rPr>
        <w:t>In terms of restitution or compensation to th</w:t>
      </w:r>
      <w:r w:rsidRPr="00A518EC">
        <w:rPr>
          <w:color w:val="181A18"/>
          <w:szCs w:val="24"/>
          <w:lang w:val="en-CA" w:bidi="en-CA"/>
        </w:rPr>
        <w:t xml:space="preserve">e victim, the Organizations have not yet made any, but </w:t>
      </w:r>
      <w:r w:rsidR="00883686">
        <w:rPr>
          <w:color w:val="181A18"/>
          <w:szCs w:val="24"/>
          <w:lang w:val="en-CA" w:bidi="en-CA"/>
        </w:rPr>
        <w:t xml:space="preserve">the Agreement provides for </w:t>
      </w:r>
      <w:r w:rsidRPr="00A518EC">
        <w:rPr>
          <w:color w:val="181A18"/>
          <w:szCs w:val="24"/>
          <w:lang w:val="en-CA" w:bidi="en-CA"/>
        </w:rPr>
        <w:t>this.</w:t>
      </w:r>
    </w:p>
    <w:p w14:paraId="772C8054" w14:textId="67F793AA" w:rsidR="005D4234" w:rsidRPr="0071186E" w:rsidRDefault="005D4234" w:rsidP="003C61BE">
      <w:pPr>
        <w:pStyle w:val="SimpleL1"/>
        <w:rPr>
          <w:color w:val="181A18"/>
          <w:szCs w:val="24"/>
          <w:lang w:val="en-CA" w:bidi="en-CA"/>
        </w:rPr>
      </w:pPr>
      <w:r w:rsidRPr="00A518EC">
        <w:rPr>
          <w:color w:val="181A18"/>
          <w:szCs w:val="24"/>
          <w:lang w:val="en-CA" w:bidi="en-CA"/>
        </w:rPr>
        <w:t>Finally, with regard to the Organizations’</w:t>
      </w:r>
      <w:r w:rsidRPr="0071186E">
        <w:rPr>
          <w:color w:val="181A18"/>
          <w:szCs w:val="24"/>
          <w:lang w:val="en-CA" w:bidi="en-CA"/>
        </w:rPr>
        <w:t xml:space="preserve"> adoption of measures to reduce the likelihood that </w:t>
      </w:r>
      <w:r w:rsidR="00D8059F">
        <w:rPr>
          <w:color w:val="181A18"/>
          <w:szCs w:val="24"/>
          <w:lang w:val="en-CA" w:bidi="en-CA"/>
        </w:rPr>
        <w:t>they</w:t>
      </w:r>
      <w:r w:rsidR="00D8059F" w:rsidRPr="0071186E">
        <w:rPr>
          <w:color w:val="181A18"/>
          <w:szCs w:val="24"/>
          <w:lang w:val="en-CA" w:bidi="en-CA"/>
        </w:rPr>
        <w:t xml:space="preserve"> </w:t>
      </w:r>
      <w:r w:rsidRPr="0071186E">
        <w:rPr>
          <w:color w:val="181A18"/>
          <w:szCs w:val="24"/>
          <w:lang w:val="en-CA" w:bidi="en-CA"/>
        </w:rPr>
        <w:t xml:space="preserve">would commit other offences, the new arsenal of measures put in place by the Organizations </w:t>
      </w:r>
      <w:r w:rsidR="00D8059F">
        <w:rPr>
          <w:color w:val="181A18"/>
          <w:szCs w:val="24"/>
          <w:lang w:val="en-CA" w:bidi="en-CA"/>
        </w:rPr>
        <w:t>was</w:t>
      </w:r>
      <w:r w:rsidRPr="0071186E">
        <w:rPr>
          <w:color w:val="181A18"/>
          <w:szCs w:val="24"/>
          <w:lang w:val="en-CA" w:bidi="en-CA"/>
        </w:rPr>
        <w:t xml:space="preserve"> analyzed above.</w:t>
      </w:r>
    </w:p>
    <w:p w14:paraId="01441AC5" w14:textId="43E45D15" w:rsidR="005D4234" w:rsidRPr="0071186E" w:rsidRDefault="00D8059F" w:rsidP="003C61BE">
      <w:pPr>
        <w:pStyle w:val="SimpleL1"/>
        <w:rPr>
          <w:color w:val="181A18"/>
          <w:szCs w:val="24"/>
          <w:lang w:val="en-CA" w:bidi="en-CA"/>
        </w:rPr>
      </w:pPr>
      <w:r>
        <w:rPr>
          <w:color w:val="181A18"/>
          <w:szCs w:val="24"/>
          <w:lang w:val="en-CA" w:bidi="en-CA"/>
        </w:rPr>
        <w:t>In addition to</w:t>
      </w:r>
      <w:r w:rsidRPr="0071186E">
        <w:rPr>
          <w:color w:val="181A18"/>
          <w:szCs w:val="24"/>
          <w:lang w:val="en-CA" w:bidi="en-CA"/>
        </w:rPr>
        <w:t xml:space="preserve"> </w:t>
      </w:r>
      <w:r w:rsidR="005D4234" w:rsidRPr="0071186E">
        <w:rPr>
          <w:color w:val="181A18"/>
          <w:szCs w:val="24"/>
          <w:lang w:val="en-CA" w:bidi="en-CA"/>
        </w:rPr>
        <w:t xml:space="preserve">these factors, the </w:t>
      </w:r>
      <w:r>
        <w:rPr>
          <w:color w:val="181A18"/>
          <w:szCs w:val="24"/>
          <w:lang w:val="en-CA" w:bidi="en-CA"/>
        </w:rPr>
        <w:t xml:space="preserve">Organizations’ </w:t>
      </w:r>
      <w:r w:rsidR="005D4234" w:rsidRPr="0071186E">
        <w:rPr>
          <w:color w:val="181A18"/>
          <w:szCs w:val="24"/>
          <w:lang w:val="en-CA" w:bidi="en-CA"/>
        </w:rPr>
        <w:t xml:space="preserve">degree of </w:t>
      </w:r>
      <w:r w:rsidR="0007632F" w:rsidRPr="0071186E">
        <w:rPr>
          <w:color w:val="181A18"/>
          <w:szCs w:val="24"/>
          <w:lang w:val="en-CA" w:bidi="en-CA"/>
        </w:rPr>
        <w:t>cooperation</w:t>
      </w:r>
      <w:r>
        <w:rPr>
          <w:color w:val="181A18"/>
          <w:szCs w:val="24"/>
          <w:lang w:val="en-CA" w:bidi="en-CA"/>
        </w:rPr>
        <w:t>,</w:t>
      </w:r>
      <w:r w:rsidR="0007632F" w:rsidRPr="0071186E">
        <w:rPr>
          <w:color w:val="181A18"/>
          <w:szCs w:val="24"/>
          <w:lang w:val="en-CA" w:bidi="en-CA"/>
        </w:rPr>
        <w:t xml:space="preserve"> </w:t>
      </w:r>
      <w:r w:rsidR="005D4234" w:rsidRPr="0071186E">
        <w:rPr>
          <w:color w:val="181A18"/>
          <w:szCs w:val="24"/>
          <w:lang w:val="en-CA" w:bidi="en-CA"/>
        </w:rPr>
        <w:t>as presented above</w:t>
      </w:r>
      <w:r>
        <w:rPr>
          <w:color w:val="181A18"/>
          <w:szCs w:val="24"/>
          <w:lang w:val="en-CA" w:bidi="en-CA"/>
        </w:rPr>
        <w:t>,</w:t>
      </w:r>
      <w:r w:rsidR="005D4234" w:rsidRPr="0071186E">
        <w:rPr>
          <w:color w:val="181A18"/>
          <w:szCs w:val="24"/>
          <w:lang w:val="en-CA" w:bidi="en-CA"/>
        </w:rPr>
        <w:t xml:space="preserve"> should be taken into consideration. It is necessary </w:t>
      </w:r>
      <w:r w:rsidR="00712968">
        <w:rPr>
          <w:color w:val="181A18"/>
          <w:szCs w:val="24"/>
          <w:lang w:val="en-CA" w:bidi="en-CA"/>
        </w:rPr>
        <w:t xml:space="preserve">for cooperation to have such an impact as </w:t>
      </w:r>
      <w:r w:rsidR="005D4234" w:rsidRPr="0071186E">
        <w:rPr>
          <w:color w:val="181A18"/>
          <w:szCs w:val="24"/>
          <w:lang w:val="en-CA" w:bidi="en-CA"/>
        </w:rPr>
        <w:t xml:space="preserve">to encourage future organizations to </w:t>
      </w:r>
      <w:r w:rsidR="00134151">
        <w:rPr>
          <w:color w:val="181A18"/>
          <w:szCs w:val="24"/>
          <w:lang w:val="en-CA" w:bidi="en-CA"/>
        </w:rPr>
        <w:t>self-</w:t>
      </w:r>
      <w:r w:rsidR="005D4234" w:rsidRPr="0071186E">
        <w:rPr>
          <w:color w:val="181A18"/>
          <w:szCs w:val="24"/>
          <w:lang w:val="en-CA" w:bidi="en-CA"/>
        </w:rPr>
        <w:t xml:space="preserve">report or </w:t>
      </w:r>
      <w:r w:rsidR="0007632F" w:rsidRPr="0071186E">
        <w:rPr>
          <w:color w:val="181A18"/>
          <w:szCs w:val="24"/>
          <w:lang w:val="en-CA" w:bidi="en-CA"/>
        </w:rPr>
        <w:t>cooperat</w:t>
      </w:r>
      <w:r w:rsidR="005E1D19" w:rsidRPr="0071186E">
        <w:rPr>
          <w:color w:val="181A18"/>
          <w:szCs w:val="24"/>
          <w:lang w:val="en-CA" w:bidi="en-CA"/>
        </w:rPr>
        <w:t>e</w:t>
      </w:r>
      <w:r w:rsidR="0007632F" w:rsidRPr="0071186E">
        <w:rPr>
          <w:color w:val="181A18"/>
          <w:szCs w:val="24"/>
          <w:lang w:val="en-CA" w:bidi="en-CA"/>
        </w:rPr>
        <w:t xml:space="preserve"> </w:t>
      </w:r>
      <w:r w:rsidR="005D4234" w:rsidRPr="0071186E">
        <w:rPr>
          <w:color w:val="181A18"/>
          <w:szCs w:val="24"/>
          <w:lang w:val="en-CA" w:bidi="en-CA"/>
        </w:rPr>
        <w:t>fully and quickly when informed of the facts.</w:t>
      </w:r>
    </w:p>
    <w:p w14:paraId="2CC39B9C" w14:textId="4200A17E" w:rsidR="005D4234" w:rsidRPr="0071186E" w:rsidRDefault="005D4234" w:rsidP="003C61BE">
      <w:pPr>
        <w:pStyle w:val="SimpleL1"/>
        <w:rPr>
          <w:color w:val="181A18"/>
          <w:szCs w:val="24"/>
          <w:lang w:val="en-CA" w:bidi="en-CA"/>
        </w:rPr>
      </w:pPr>
      <w:r w:rsidRPr="0071186E">
        <w:rPr>
          <w:color w:val="181A18"/>
          <w:szCs w:val="24"/>
          <w:lang w:val="en-CA" w:bidi="en-CA"/>
        </w:rPr>
        <w:t xml:space="preserve">In view of all the representations of the parties, the Court finds that the proposed penalty fulfills its purpose of serving as a deterrent. It is not purely restitutive and cannot be seen </w:t>
      </w:r>
      <w:r w:rsidR="004C45F5">
        <w:rPr>
          <w:color w:val="181A18"/>
          <w:szCs w:val="24"/>
          <w:lang w:val="en-CA" w:bidi="en-CA"/>
        </w:rPr>
        <w:t>merely</w:t>
      </w:r>
      <w:r w:rsidR="004C45F5" w:rsidRPr="0071186E">
        <w:rPr>
          <w:color w:val="181A18"/>
          <w:szCs w:val="24"/>
          <w:lang w:val="en-CA" w:bidi="en-CA"/>
        </w:rPr>
        <w:t xml:space="preserve"> </w:t>
      </w:r>
      <w:r w:rsidRPr="0071186E">
        <w:rPr>
          <w:color w:val="181A18"/>
          <w:szCs w:val="24"/>
          <w:lang w:val="en-CA" w:bidi="en-CA"/>
        </w:rPr>
        <w:t xml:space="preserve">as </w:t>
      </w:r>
      <w:r w:rsidR="0007632F" w:rsidRPr="0071186E">
        <w:rPr>
          <w:color w:val="181A18"/>
          <w:szCs w:val="24"/>
          <w:lang w:val="en-CA" w:bidi="en-CA"/>
        </w:rPr>
        <w:t>the</w:t>
      </w:r>
      <w:r w:rsidRPr="0071186E">
        <w:rPr>
          <w:color w:val="181A18"/>
          <w:szCs w:val="24"/>
          <w:lang w:val="en-CA" w:bidi="en-CA"/>
        </w:rPr>
        <w:t xml:space="preserve"> cost of doing business. All relevant considerations were </w:t>
      </w:r>
      <w:r w:rsidR="00D73641">
        <w:rPr>
          <w:color w:val="181A18"/>
          <w:szCs w:val="24"/>
          <w:lang w:val="en-CA" w:bidi="en-CA"/>
        </w:rPr>
        <w:t>properly</w:t>
      </w:r>
      <w:r w:rsidRPr="0071186E">
        <w:rPr>
          <w:color w:val="181A18"/>
          <w:szCs w:val="24"/>
          <w:lang w:val="en-CA" w:bidi="en-CA"/>
        </w:rPr>
        <w:t xml:space="preserve"> weighed by the </w:t>
      </w:r>
      <w:r w:rsidR="009B4BC3">
        <w:rPr>
          <w:color w:val="181A18"/>
          <w:szCs w:val="24"/>
          <w:lang w:val="en-CA" w:bidi="en-CA"/>
        </w:rPr>
        <w:t>p</w:t>
      </w:r>
      <w:r w:rsidRPr="0071186E">
        <w:rPr>
          <w:color w:val="181A18"/>
          <w:szCs w:val="24"/>
          <w:lang w:val="en-CA" w:bidi="en-CA"/>
        </w:rPr>
        <w:t xml:space="preserve">arties. The Court considers that, in this case, the </w:t>
      </w:r>
      <w:r w:rsidR="0007632F" w:rsidRPr="0071186E">
        <w:rPr>
          <w:color w:val="181A18"/>
          <w:szCs w:val="24"/>
          <w:lang w:val="en-CA" w:bidi="en-CA"/>
        </w:rPr>
        <w:t>P</w:t>
      </w:r>
      <w:r w:rsidRPr="0071186E">
        <w:rPr>
          <w:color w:val="181A18"/>
          <w:szCs w:val="24"/>
          <w:lang w:val="en-CA" w:bidi="en-CA"/>
        </w:rPr>
        <w:t>arties, who drew inspiration from the British method, reached a reasonable result.</w:t>
      </w:r>
    </w:p>
    <w:p w14:paraId="6735714F" w14:textId="77777777" w:rsidR="005D4234" w:rsidRPr="0071186E" w:rsidRDefault="005D4234" w:rsidP="00313DEB">
      <w:pPr>
        <w:pStyle w:val="Titre4"/>
        <w:numPr>
          <w:ilvl w:val="0"/>
          <w:numId w:val="28"/>
        </w:numPr>
        <w:rPr>
          <w:lang w:val="en-CA" w:bidi="en-CA"/>
        </w:rPr>
      </w:pPr>
      <w:r w:rsidRPr="0071186E">
        <w:rPr>
          <w:lang w:val="en-CA" w:bidi="en-CA"/>
        </w:rPr>
        <w:t>Forfeiture of property, benefit or advantage</w:t>
      </w:r>
    </w:p>
    <w:p w14:paraId="0848CD8A" w14:textId="288F310E" w:rsidR="005D4234" w:rsidRPr="0071186E" w:rsidRDefault="00432B13" w:rsidP="003C61BE">
      <w:pPr>
        <w:pStyle w:val="SimpleL1"/>
        <w:rPr>
          <w:color w:val="181A18"/>
          <w:szCs w:val="24"/>
          <w:lang w:val="en-CA" w:bidi="en-CA"/>
        </w:rPr>
      </w:pPr>
      <w:r>
        <w:rPr>
          <w:color w:val="181A18"/>
          <w:szCs w:val="24"/>
          <w:lang w:val="en-CA" w:bidi="en-CA"/>
        </w:rPr>
        <w:t>P</w:t>
      </w:r>
      <w:r w:rsidRPr="0071186E">
        <w:rPr>
          <w:color w:val="181A18"/>
          <w:szCs w:val="24"/>
          <w:lang w:val="en-CA" w:bidi="en-CA"/>
        </w:rPr>
        <w:t>ursuant to 715.34(1)(e)(i) Cr.</w:t>
      </w:r>
      <w:r>
        <w:rPr>
          <w:color w:val="181A18"/>
          <w:szCs w:val="24"/>
          <w:lang w:val="en-CA" w:bidi="en-CA"/>
        </w:rPr>
        <w:t> </w:t>
      </w:r>
      <w:r w:rsidRPr="0071186E">
        <w:rPr>
          <w:color w:val="181A18"/>
          <w:szCs w:val="24"/>
          <w:lang w:val="en-CA" w:bidi="en-CA"/>
        </w:rPr>
        <w:t xml:space="preserve">C., </w:t>
      </w:r>
      <w:r>
        <w:rPr>
          <w:color w:val="181A18"/>
          <w:szCs w:val="24"/>
          <w:lang w:val="en-CA" w:bidi="en-CA"/>
        </w:rPr>
        <w:t>t</w:t>
      </w:r>
      <w:r w:rsidR="005D4234" w:rsidRPr="0071186E">
        <w:rPr>
          <w:color w:val="181A18"/>
          <w:szCs w:val="24"/>
          <w:lang w:val="en-CA" w:bidi="en-CA"/>
        </w:rPr>
        <w:t xml:space="preserve">he Agreement provides </w:t>
      </w:r>
      <w:r w:rsidR="0007632F" w:rsidRPr="0071186E">
        <w:rPr>
          <w:color w:val="181A18"/>
          <w:szCs w:val="24"/>
          <w:lang w:val="en-CA" w:bidi="en-CA"/>
        </w:rPr>
        <w:t xml:space="preserve">for </w:t>
      </w:r>
      <w:r w:rsidR="005D4234" w:rsidRPr="0071186E">
        <w:rPr>
          <w:color w:val="181A18"/>
          <w:szCs w:val="24"/>
          <w:lang w:val="en-CA" w:bidi="en-CA"/>
        </w:rPr>
        <w:t>the forfeiture of an amount of $2,490,721 as property, benefit or advantage</w:t>
      </w:r>
      <w:r>
        <w:rPr>
          <w:color w:val="181A18"/>
          <w:szCs w:val="24"/>
          <w:lang w:val="en-CA" w:bidi="en-CA"/>
        </w:rPr>
        <w:t xml:space="preserve"> that</w:t>
      </w:r>
      <w:r w:rsidR="005D4234" w:rsidRPr="0071186E">
        <w:rPr>
          <w:color w:val="181A18"/>
          <w:szCs w:val="24"/>
          <w:lang w:val="en-CA" w:bidi="en-CA"/>
        </w:rPr>
        <w:t xml:space="preserve"> </w:t>
      </w:r>
      <w:r>
        <w:rPr>
          <w:color w:val="181A18"/>
          <w:szCs w:val="24"/>
          <w:lang w:val="en-CA" w:bidi="en-CA"/>
        </w:rPr>
        <w:t>was</w:t>
      </w:r>
      <w:r w:rsidR="005D4234" w:rsidRPr="0071186E">
        <w:rPr>
          <w:color w:val="181A18"/>
          <w:szCs w:val="24"/>
          <w:lang w:val="en-CA" w:bidi="en-CA"/>
        </w:rPr>
        <w:t xml:space="preserve"> obtained or </w:t>
      </w:r>
      <w:r w:rsidR="008405E6">
        <w:rPr>
          <w:color w:val="181A18"/>
          <w:szCs w:val="24"/>
          <w:lang w:val="en-CA" w:bidi="en-CA"/>
        </w:rPr>
        <w:t>derives</w:t>
      </w:r>
      <w:r w:rsidR="005D4234" w:rsidRPr="0071186E">
        <w:rPr>
          <w:color w:val="181A18"/>
          <w:szCs w:val="24"/>
          <w:lang w:val="en-CA" w:bidi="en-CA"/>
        </w:rPr>
        <w:t xml:space="preserve"> directly or indirectly from the act or omission.</w:t>
      </w:r>
    </w:p>
    <w:p w14:paraId="6C01DD3B" w14:textId="16E55A3C" w:rsidR="005D4234" w:rsidRPr="0071186E" w:rsidRDefault="005D4234" w:rsidP="003C61BE">
      <w:pPr>
        <w:pStyle w:val="SimpleL1"/>
        <w:rPr>
          <w:color w:val="181A18"/>
          <w:szCs w:val="24"/>
          <w:lang w:val="en-CA" w:bidi="en-CA"/>
        </w:rPr>
      </w:pPr>
      <w:r w:rsidRPr="0071186E">
        <w:rPr>
          <w:color w:val="181A18"/>
          <w:szCs w:val="24"/>
          <w:lang w:val="en-CA" w:bidi="en-CA"/>
        </w:rPr>
        <w:lastRenderedPageBreak/>
        <w:t>The terms of Part XXll.1 Cr.</w:t>
      </w:r>
      <w:r w:rsidR="00CA771A">
        <w:rPr>
          <w:color w:val="181A18"/>
          <w:szCs w:val="24"/>
          <w:lang w:val="en-CA" w:bidi="en-CA"/>
        </w:rPr>
        <w:t> </w:t>
      </w:r>
      <w:r w:rsidRPr="0071186E">
        <w:rPr>
          <w:color w:val="181A18"/>
          <w:szCs w:val="24"/>
          <w:lang w:val="en-CA" w:bidi="en-CA"/>
        </w:rPr>
        <w:t xml:space="preserve">C. </w:t>
      </w:r>
      <w:r w:rsidR="00AB6112">
        <w:rPr>
          <w:color w:val="181A18"/>
          <w:szCs w:val="24"/>
          <w:lang w:val="en-CA" w:bidi="en-CA"/>
        </w:rPr>
        <w:t>echo</w:t>
      </w:r>
      <w:r w:rsidR="00AB6112" w:rsidRPr="0071186E">
        <w:rPr>
          <w:color w:val="181A18"/>
          <w:szCs w:val="24"/>
          <w:lang w:val="en-CA" w:bidi="en-CA"/>
        </w:rPr>
        <w:t xml:space="preserve"> </w:t>
      </w:r>
      <w:r w:rsidRPr="0071186E">
        <w:rPr>
          <w:color w:val="181A18"/>
          <w:szCs w:val="24"/>
          <w:lang w:val="en-CA" w:bidi="en-CA"/>
        </w:rPr>
        <w:t>the forfeiture of proceeds of crime regime in Part</w:t>
      </w:r>
      <w:r w:rsidR="008671D1" w:rsidRPr="0071186E">
        <w:rPr>
          <w:color w:val="181A18"/>
          <w:szCs w:val="24"/>
          <w:lang w:val="en-CA" w:bidi="en-CA"/>
        </w:rPr>
        <w:t> </w:t>
      </w:r>
      <w:r w:rsidRPr="0071186E">
        <w:rPr>
          <w:color w:val="181A18"/>
          <w:szCs w:val="24"/>
          <w:lang w:val="en-CA" w:bidi="en-CA"/>
        </w:rPr>
        <w:t>XII.2 Cr.</w:t>
      </w:r>
      <w:r w:rsidR="00CA771A">
        <w:rPr>
          <w:color w:val="181A18"/>
          <w:szCs w:val="24"/>
          <w:lang w:val="en-CA" w:bidi="en-CA"/>
        </w:rPr>
        <w:t> </w:t>
      </w:r>
      <w:r w:rsidRPr="0071186E">
        <w:rPr>
          <w:color w:val="181A18"/>
          <w:szCs w:val="24"/>
          <w:lang w:val="en-CA" w:bidi="en-CA"/>
        </w:rPr>
        <w:t>C. In this last part, subsection 462.37(3) Cr.</w:t>
      </w:r>
      <w:r w:rsidR="00CA771A">
        <w:rPr>
          <w:color w:val="181A18"/>
          <w:szCs w:val="24"/>
          <w:lang w:val="en-CA" w:bidi="en-CA"/>
        </w:rPr>
        <w:t> </w:t>
      </w:r>
      <w:r w:rsidRPr="0071186E">
        <w:rPr>
          <w:color w:val="181A18"/>
          <w:szCs w:val="24"/>
          <w:lang w:val="en-CA" w:bidi="en-CA"/>
        </w:rPr>
        <w:t xml:space="preserve">C. provides recourse to a compensatory fine if it is impossible to forfeit the </w:t>
      </w:r>
      <w:r w:rsidR="00AB6112">
        <w:rPr>
          <w:color w:val="181A18"/>
          <w:szCs w:val="24"/>
          <w:lang w:val="en-CA" w:bidi="en-CA"/>
        </w:rPr>
        <w:t>property</w:t>
      </w:r>
      <w:r w:rsidR="00AB6112" w:rsidRPr="0071186E">
        <w:rPr>
          <w:color w:val="181A18"/>
          <w:szCs w:val="24"/>
          <w:lang w:val="en-CA" w:bidi="en-CA"/>
        </w:rPr>
        <w:t xml:space="preserve"> </w:t>
      </w:r>
      <w:r w:rsidR="00AB6112">
        <w:rPr>
          <w:color w:val="181A18"/>
          <w:szCs w:val="24"/>
          <w:lang w:val="en-CA" w:bidi="en-CA"/>
        </w:rPr>
        <w:t>that</w:t>
      </w:r>
      <w:r w:rsidR="00AB6112" w:rsidRPr="0071186E">
        <w:rPr>
          <w:color w:val="181A18"/>
          <w:szCs w:val="24"/>
          <w:lang w:val="en-CA" w:bidi="en-CA"/>
        </w:rPr>
        <w:t xml:space="preserve"> </w:t>
      </w:r>
      <w:r w:rsidRPr="0071186E">
        <w:rPr>
          <w:color w:val="181A18"/>
          <w:szCs w:val="24"/>
          <w:lang w:val="en-CA" w:bidi="en-CA"/>
        </w:rPr>
        <w:t>constitute</w:t>
      </w:r>
      <w:r w:rsidR="00AB6112">
        <w:rPr>
          <w:color w:val="181A18"/>
          <w:szCs w:val="24"/>
          <w:lang w:val="en-CA" w:bidi="en-CA"/>
        </w:rPr>
        <w:t>s</w:t>
      </w:r>
      <w:r w:rsidRPr="0071186E">
        <w:rPr>
          <w:color w:val="181A18"/>
          <w:szCs w:val="24"/>
          <w:lang w:val="en-CA" w:bidi="en-CA"/>
        </w:rPr>
        <w:t xml:space="preserve"> the proceeds of crime</w:t>
      </w:r>
      <w:r w:rsidR="00AB6112">
        <w:rPr>
          <w:color w:val="181A18"/>
          <w:szCs w:val="24"/>
          <w:lang w:val="en-CA" w:bidi="en-CA"/>
        </w:rPr>
        <w:t>.</w:t>
      </w:r>
      <w:r w:rsidRPr="0071186E">
        <w:rPr>
          <w:color w:val="181A18"/>
          <w:szCs w:val="24"/>
          <w:vertAlign w:val="superscript"/>
          <w:lang w:val="en-CA" w:bidi="en-CA"/>
        </w:rPr>
        <w:footnoteReference w:id="102"/>
      </w:r>
    </w:p>
    <w:p w14:paraId="1E90FFD2" w14:textId="77777777" w:rsidR="005D4234" w:rsidRPr="0071186E" w:rsidRDefault="005D4234" w:rsidP="003C61BE">
      <w:pPr>
        <w:pStyle w:val="SimpleL1"/>
        <w:rPr>
          <w:color w:val="181A18"/>
          <w:szCs w:val="24"/>
          <w:lang w:val="en-CA" w:bidi="en-CA"/>
        </w:rPr>
      </w:pPr>
      <w:r w:rsidRPr="0071186E">
        <w:rPr>
          <w:color w:val="181A18"/>
          <w:szCs w:val="24"/>
          <w:lang w:val="en-CA" w:bidi="en-CA"/>
        </w:rPr>
        <w:t xml:space="preserve">In their written </w:t>
      </w:r>
      <w:r w:rsidR="00E34682">
        <w:rPr>
          <w:color w:val="181A18"/>
          <w:szCs w:val="24"/>
          <w:lang w:val="en-CA" w:bidi="en-CA"/>
        </w:rPr>
        <w:t>submissions</w:t>
      </w:r>
      <w:r w:rsidRPr="0071186E">
        <w:rPr>
          <w:color w:val="181A18"/>
          <w:szCs w:val="24"/>
          <w:lang w:val="en-CA" w:bidi="en-CA"/>
        </w:rPr>
        <w:t xml:space="preserve">, the </w:t>
      </w:r>
      <w:r w:rsidR="0007632F" w:rsidRPr="0071186E">
        <w:rPr>
          <w:color w:val="181A18"/>
          <w:szCs w:val="24"/>
          <w:lang w:val="en-CA" w:bidi="en-CA"/>
        </w:rPr>
        <w:t>P</w:t>
      </w:r>
      <w:r w:rsidRPr="0071186E">
        <w:rPr>
          <w:color w:val="181A18"/>
          <w:szCs w:val="24"/>
          <w:lang w:val="en-CA" w:bidi="en-CA"/>
        </w:rPr>
        <w:t xml:space="preserve">arties </w:t>
      </w:r>
      <w:r w:rsidR="0007632F" w:rsidRPr="0071186E">
        <w:rPr>
          <w:color w:val="181A18"/>
          <w:szCs w:val="24"/>
          <w:lang w:val="en-CA" w:bidi="en-CA"/>
        </w:rPr>
        <w:t xml:space="preserve">rely on </w:t>
      </w:r>
      <w:r w:rsidRPr="0071186E">
        <w:rPr>
          <w:color w:val="181A18"/>
          <w:szCs w:val="24"/>
          <w:lang w:val="en-CA" w:bidi="en-CA"/>
        </w:rPr>
        <w:t xml:space="preserve">two different </w:t>
      </w:r>
      <w:r w:rsidR="0007632F" w:rsidRPr="0071186E">
        <w:rPr>
          <w:color w:val="181A18"/>
          <w:szCs w:val="24"/>
          <w:lang w:val="en-CA" w:bidi="en-CA"/>
        </w:rPr>
        <w:t xml:space="preserve">methods </w:t>
      </w:r>
      <w:r w:rsidRPr="0071186E">
        <w:rPr>
          <w:color w:val="181A18"/>
          <w:szCs w:val="24"/>
          <w:lang w:val="en-CA" w:bidi="en-CA"/>
        </w:rPr>
        <w:t>to determine the amount of the compensatory fine.</w:t>
      </w:r>
    </w:p>
    <w:p w14:paraId="3BB2D79B" w14:textId="6B5B9865" w:rsidR="005D4234" w:rsidRPr="0071186E" w:rsidRDefault="005D4234" w:rsidP="003C61BE">
      <w:pPr>
        <w:pStyle w:val="SimpleL1"/>
        <w:rPr>
          <w:color w:val="181A18"/>
          <w:szCs w:val="24"/>
          <w:lang w:val="en-CA" w:bidi="en-CA"/>
        </w:rPr>
      </w:pPr>
      <w:r w:rsidRPr="0071186E">
        <w:rPr>
          <w:color w:val="181A18"/>
          <w:szCs w:val="24"/>
          <w:lang w:val="en-CA" w:bidi="en-CA"/>
        </w:rPr>
        <w:t>The Prosecutor considers that</w:t>
      </w:r>
      <w:r w:rsidR="006E238E">
        <w:rPr>
          <w:color w:val="181A18"/>
          <w:szCs w:val="24"/>
          <w:lang w:val="en-CA" w:bidi="en-CA"/>
        </w:rPr>
        <w:t>,</w:t>
      </w:r>
      <w:r w:rsidRPr="0071186E">
        <w:rPr>
          <w:color w:val="181A18"/>
          <w:szCs w:val="24"/>
          <w:lang w:val="en-CA" w:bidi="en-CA"/>
        </w:rPr>
        <w:t xml:space="preserve"> in this case, the most appropriate approach to determine the value of the fine in lieu of the proceeds of crime is that which refers to </w:t>
      </w:r>
      <w:r w:rsidR="006E238E">
        <w:rPr>
          <w:color w:val="181A18"/>
          <w:szCs w:val="24"/>
          <w:lang w:val="en-CA" w:bidi="en-CA"/>
        </w:rPr>
        <w:t>[</w:t>
      </w:r>
      <w:r w:rsidR="006E238E" w:rsidRPr="006B7F16">
        <w:rPr>
          <w:smallCaps/>
          <w:color w:val="181A18"/>
          <w:szCs w:val="24"/>
          <w:lang w:val="en-CA" w:bidi="en-CA"/>
        </w:rPr>
        <w:t>translation</w:t>
      </w:r>
      <w:r w:rsidR="006E238E">
        <w:rPr>
          <w:color w:val="181A18"/>
          <w:szCs w:val="24"/>
          <w:lang w:val="en-CA" w:bidi="en-CA"/>
        </w:rPr>
        <w:t xml:space="preserve">] </w:t>
      </w:r>
      <w:r w:rsidRPr="0071186E">
        <w:rPr>
          <w:color w:val="181A18"/>
          <w:szCs w:val="24"/>
          <w:lang w:val="en-CA" w:bidi="en-CA"/>
        </w:rPr>
        <w:t xml:space="preserve">“the value of the property </w:t>
      </w:r>
      <w:r w:rsidR="00190E6B">
        <w:rPr>
          <w:color w:val="181A18"/>
          <w:szCs w:val="24"/>
          <w:lang w:val="en-CA" w:bidi="en-CA"/>
        </w:rPr>
        <w:t>possessed</w:t>
      </w:r>
      <w:r w:rsidRPr="0071186E">
        <w:rPr>
          <w:color w:val="181A18"/>
          <w:szCs w:val="24"/>
          <w:lang w:val="en-CA" w:bidi="en-CA"/>
        </w:rPr>
        <w:t xml:space="preserve"> or controlled at any time”</w:t>
      </w:r>
      <w:r w:rsidR="00E34682">
        <w:rPr>
          <w:color w:val="181A18"/>
          <w:szCs w:val="24"/>
          <w:lang w:val="en-CA" w:bidi="en-CA"/>
        </w:rPr>
        <w:t xml:space="preserve"> </w:t>
      </w:r>
      <w:r w:rsidRPr="0071186E">
        <w:rPr>
          <w:color w:val="181A18"/>
          <w:szCs w:val="24"/>
          <w:lang w:val="en-CA" w:bidi="en-CA"/>
        </w:rPr>
        <w:t>by the Organizations. At</w:t>
      </w:r>
      <w:r w:rsidR="007068E8">
        <w:rPr>
          <w:color w:val="181A18"/>
          <w:szCs w:val="24"/>
          <w:lang w:val="en-CA" w:bidi="en-CA"/>
        </w:rPr>
        <w:t xml:space="preserve"> no time did the Organizations </w:t>
      </w:r>
      <w:r w:rsidR="00190E6B">
        <w:rPr>
          <w:color w:val="181A18"/>
          <w:szCs w:val="24"/>
          <w:lang w:val="en-CA" w:bidi="en-CA"/>
        </w:rPr>
        <w:t>possess</w:t>
      </w:r>
      <w:r w:rsidR="00190E6B" w:rsidRPr="0071186E">
        <w:rPr>
          <w:color w:val="181A18"/>
          <w:szCs w:val="24"/>
          <w:lang w:val="en-CA" w:bidi="en-CA"/>
        </w:rPr>
        <w:t xml:space="preserve"> </w:t>
      </w:r>
      <w:r w:rsidRPr="0071186E">
        <w:rPr>
          <w:color w:val="181A18"/>
          <w:szCs w:val="24"/>
          <w:lang w:val="en-CA" w:bidi="en-CA"/>
        </w:rPr>
        <w:t>or control the consortium's overall profit.</w:t>
      </w:r>
    </w:p>
    <w:p w14:paraId="5706379D" w14:textId="0C4239B8" w:rsidR="0022213F" w:rsidRPr="0071186E" w:rsidRDefault="0022213F" w:rsidP="003C61BE">
      <w:pPr>
        <w:pStyle w:val="SimpleL1"/>
        <w:rPr>
          <w:color w:val="181A18"/>
          <w:szCs w:val="24"/>
          <w:lang w:val="en-CA" w:bidi="en-CA"/>
        </w:rPr>
      </w:pPr>
      <w:r w:rsidRPr="0071186E">
        <w:rPr>
          <w:color w:val="181A18"/>
          <w:szCs w:val="24"/>
          <w:lang w:val="en-CA" w:bidi="en-CA"/>
        </w:rPr>
        <w:t>The SMDB-2 consortium earn</w:t>
      </w:r>
      <w:r w:rsidR="00E24888">
        <w:rPr>
          <w:color w:val="181A18"/>
          <w:szCs w:val="24"/>
          <w:lang w:val="en-CA" w:bidi="en-CA"/>
        </w:rPr>
        <w:t>ed</w:t>
      </w:r>
      <w:r w:rsidRPr="0071186E">
        <w:rPr>
          <w:color w:val="181A18"/>
          <w:szCs w:val="24"/>
          <w:lang w:val="en-CA" w:bidi="en-CA"/>
        </w:rPr>
        <w:t xml:space="preserve"> $110,069,715 in </w:t>
      </w:r>
      <w:r w:rsidR="00E24888">
        <w:rPr>
          <w:color w:val="181A18"/>
          <w:szCs w:val="24"/>
          <w:lang w:val="en-CA" w:bidi="en-CA"/>
        </w:rPr>
        <w:t>income</w:t>
      </w:r>
      <w:r w:rsidR="00E24888" w:rsidRPr="0071186E">
        <w:rPr>
          <w:color w:val="181A18"/>
          <w:szCs w:val="24"/>
          <w:lang w:val="en-CA" w:bidi="en-CA"/>
        </w:rPr>
        <w:t xml:space="preserve"> </w:t>
      </w:r>
      <w:r w:rsidRPr="0071186E">
        <w:rPr>
          <w:color w:val="181A18"/>
          <w:szCs w:val="24"/>
          <w:lang w:val="en-CA" w:bidi="en-CA"/>
        </w:rPr>
        <w:t>from the client and to do so, spen</w:t>
      </w:r>
      <w:r w:rsidR="00E24888">
        <w:rPr>
          <w:color w:val="181A18"/>
          <w:szCs w:val="24"/>
          <w:lang w:val="en-CA" w:bidi="en-CA"/>
        </w:rPr>
        <w:t>t</w:t>
      </w:r>
      <w:r w:rsidRPr="0071186E">
        <w:rPr>
          <w:color w:val="181A18"/>
          <w:szCs w:val="24"/>
          <w:lang w:val="en-CA" w:bidi="en-CA"/>
        </w:rPr>
        <w:t xml:space="preserve"> $107,639,014 to generate an actual profit </w:t>
      </w:r>
      <w:r w:rsidR="0048510B">
        <w:rPr>
          <w:color w:val="181A18"/>
          <w:szCs w:val="24"/>
          <w:lang w:val="en-CA" w:bidi="en-CA"/>
        </w:rPr>
        <w:t xml:space="preserve">reported </w:t>
      </w:r>
      <w:r w:rsidRPr="0071186E">
        <w:rPr>
          <w:color w:val="181A18"/>
          <w:szCs w:val="24"/>
          <w:lang w:val="en-CA" w:bidi="en-CA"/>
        </w:rPr>
        <w:t xml:space="preserve">on an accounting basis of $2,430,701. </w:t>
      </w:r>
      <w:r w:rsidR="00071655">
        <w:rPr>
          <w:color w:val="181A18"/>
          <w:szCs w:val="24"/>
          <w:lang w:val="en-CA" w:bidi="en-CA"/>
        </w:rPr>
        <w:t>F</w:t>
      </w:r>
      <w:r w:rsidRPr="0071186E">
        <w:rPr>
          <w:color w:val="181A18"/>
          <w:szCs w:val="24"/>
          <w:lang w:val="en-CA" w:bidi="en-CA"/>
        </w:rPr>
        <w:t xml:space="preserve">ollowing the distribution between partners, SOCODEC, </w:t>
      </w:r>
      <w:r w:rsidR="0007632F" w:rsidRPr="0071186E">
        <w:rPr>
          <w:color w:val="181A18"/>
          <w:szCs w:val="24"/>
          <w:lang w:val="en-CA" w:bidi="en-CA"/>
        </w:rPr>
        <w:t xml:space="preserve">the </w:t>
      </w:r>
      <w:r w:rsidRPr="0071186E">
        <w:rPr>
          <w:color w:val="181A18"/>
          <w:szCs w:val="24"/>
          <w:lang w:val="en-CA" w:bidi="en-CA"/>
        </w:rPr>
        <w:t xml:space="preserve">construction subsidiary </w:t>
      </w:r>
      <w:r w:rsidR="0007632F" w:rsidRPr="0071186E">
        <w:rPr>
          <w:color w:val="181A18"/>
          <w:szCs w:val="24"/>
          <w:lang w:val="en-CA" w:bidi="en-CA"/>
        </w:rPr>
        <w:t xml:space="preserve">of </w:t>
      </w:r>
      <w:r w:rsidRPr="0071186E">
        <w:rPr>
          <w:color w:val="181A18"/>
          <w:szCs w:val="24"/>
          <w:lang w:val="en-CA" w:bidi="en-CA"/>
        </w:rPr>
        <w:t>SNCL received</w:t>
      </w:r>
      <w:r w:rsidR="00071655">
        <w:rPr>
          <w:color w:val="181A18"/>
          <w:szCs w:val="24"/>
          <w:lang w:val="en-CA" w:bidi="en-CA"/>
        </w:rPr>
        <w:t>, in its own right,</w:t>
      </w:r>
      <w:r w:rsidRPr="0071186E">
        <w:rPr>
          <w:color w:val="181A18"/>
          <w:szCs w:val="24"/>
          <w:lang w:val="en-CA" w:bidi="en-CA"/>
        </w:rPr>
        <w:t xml:space="preserve"> 50% of this profit, i.e.</w:t>
      </w:r>
      <w:r w:rsidR="00071655">
        <w:rPr>
          <w:color w:val="181A18"/>
          <w:szCs w:val="24"/>
          <w:lang w:val="en-CA" w:bidi="en-CA"/>
        </w:rPr>
        <w:t>,</w:t>
      </w:r>
      <w:r w:rsidRPr="0071186E">
        <w:rPr>
          <w:color w:val="181A18"/>
          <w:szCs w:val="24"/>
          <w:lang w:val="en-CA" w:bidi="en-CA"/>
        </w:rPr>
        <w:t xml:space="preserve"> the amount of $1,215,351</w:t>
      </w:r>
      <w:r w:rsidR="00E24888">
        <w:rPr>
          <w:color w:val="181A18"/>
          <w:szCs w:val="24"/>
          <w:lang w:val="en-CA" w:bidi="en-CA"/>
        </w:rPr>
        <w:t>.</w:t>
      </w:r>
      <w:r w:rsidRPr="0071186E">
        <w:rPr>
          <w:color w:val="181A18"/>
          <w:szCs w:val="24"/>
          <w:vertAlign w:val="superscript"/>
          <w:lang w:val="en-CA" w:bidi="en-CA"/>
        </w:rPr>
        <w:footnoteReference w:id="103"/>
      </w:r>
      <w:r w:rsidRPr="0071186E">
        <w:rPr>
          <w:color w:val="181A18"/>
          <w:szCs w:val="24"/>
          <w:lang w:val="en-CA" w:bidi="en-CA"/>
        </w:rPr>
        <w:t xml:space="preserve"> </w:t>
      </w:r>
      <w:r w:rsidR="00071655">
        <w:rPr>
          <w:color w:val="181A18"/>
          <w:szCs w:val="24"/>
          <w:lang w:val="en-CA" w:bidi="en-CA"/>
        </w:rPr>
        <w:t>In</w:t>
      </w:r>
      <w:r w:rsidRPr="0071186E">
        <w:rPr>
          <w:color w:val="181A18"/>
          <w:szCs w:val="24"/>
          <w:lang w:val="en-CA" w:bidi="en-CA"/>
        </w:rPr>
        <w:t xml:space="preserve"> the final distribution, SOCODEC also receive</w:t>
      </w:r>
      <w:r w:rsidR="00071655">
        <w:rPr>
          <w:color w:val="181A18"/>
          <w:szCs w:val="24"/>
          <w:lang w:val="en-CA" w:bidi="en-CA"/>
        </w:rPr>
        <w:t>d</w:t>
      </w:r>
      <w:r w:rsidRPr="0071186E">
        <w:rPr>
          <w:color w:val="181A18"/>
          <w:szCs w:val="24"/>
          <w:lang w:val="en-CA" w:bidi="en-CA"/>
        </w:rPr>
        <w:t xml:space="preserve"> an amount of $533,343.24 as </w:t>
      </w:r>
      <w:r w:rsidR="004F664A">
        <w:rPr>
          <w:color w:val="181A18"/>
          <w:szCs w:val="24"/>
          <w:lang w:val="en-CA" w:bidi="en-CA"/>
        </w:rPr>
        <w:t>[</w:t>
      </w:r>
      <w:r w:rsidR="004F664A" w:rsidRPr="006B7F16">
        <w:rPr>
          <w:smallCaps/>
          <w:color w:val="181A18"/>
          <w:szCs w:val="24"/>
          <w:lang w:val="en-CA" w:bidi="en-CA"/>
        </w:rPr>
        <w:t>translation</w:t>
      </w:r>
      <w:r w:rsidR="004F664A">
        <w:rPr>
          <w:color w:val="181A18"/>
          <w:szCs w:val="24"/>
          <w:lang w:val="en-CA" w:bidi="en-CA"/>
        </w:rPr>
        <w:t xml:space="preserve">] </w:t>
      </w:r>
      <w:r w:rsidRPr="0071186E">
        <w:rPr>
          <w:color w:val="181A18"/>
          <w:szCs w:val="24"/>
          <w:lang w:val="en-CA" w:bidi="en-CA"/>
        </w:rPr>
        <w:t xml:space="preserve">“interest to partners,” in addition to the profit </w:t>
      </w:r>
      <w:r w:rsidR="0007632F" w:rsidRPr="0071186E">
        <w:rPr>
          <w:color w:val="181A18"/>
          <w:szCs w:val="24"/>
          <w:lang w:val="en-CA" w:bidi="en-CA"/>
        </w:rPr>
        <w:t xml:space="preserve">for </w:t>
      </w:r>
      <w:r w:rsidRPr="0071186E">
        <w:rPr>
          <w:color w:val="181A18"/>
          <w:szCs w:val="24"/>
          <w:lang w:val="en-CA" w:bidi="en-CA"/>
        </w:rPr>
        <w:t>a total of $1,748,694.</w:t>
      </w:r>
    </w:p>
    <w:p w14:paraId="249067DD" w14:textId="4C4765B6" w:rsidR="0022213F" w:rsidRPr="0071186E" w:rsidRDefault="0022213F" w:rsidP="003C61BE">
      <w:pPr>
        <w:pStyle w:val="SimpleL1"/>
        <w:rPr>
          <w:color w:val="181A18"/>
          <w:szCs w:val="24"/>
          <w:lang w:val="en-CA" w:bidi="en-CA"/>
        </w:rPr>
      </w:pPr>
      <w:r w:rsidRPr="0071186E">
        <w:rPr>
          <w:color w:val="181A18"/>
          <w:szCs w:val="24"/>
          <w:lang w:val="en-CA" w:bidi="en-CA"/>
        </w:rPr>
        <w:t xml:space="preserve">As for the Organizations, </w:t>
      </w:r>
      <w:r w:rsidR="00B4185B" w:rsidRPr="0071186E">
        <w:rPr>
          <w:color w:val="181A18"/>
          <w:szCs w:val="24"/>
          <w:lang w:val="en-CA" w:bidi="en-CA"/>
        </w:rPr>
        <w:t xml:space="preserve">in their written </w:t>
      </w:r>
      <w:r w:rsidR="00B4185B">
        <w:rPr>
          <w:color w:val="181A18"/>
          <w:szCs w:val="24"/>
          <w:lang w:val="en-CA" w:bidi="en-CA"/>
        </w:rPr>
        <w:t>submissions</w:t>
      </w:r>
      <w:r w:rsidR="00B4185B" w:rsidRPr="0071186E">
        <w:rPr>
          <w:color w:val="181A18"/>
          <w:szCs w:val="24"/>
          <w:lang w:val="en-CA" w:bidi="en-CA"/>
        </w:rPr>
        <w:t xml:space="preserve"> of March 23, 2022</w:t>
      </w:r>
      <w:r w:rsidR="00B4185B">
        <w:rPr>
          <w:color w:val="181A18"/>
          <w:szCs w:val="24"/>
          <w:lang w:val="en-CA" w:bidi="en-CA"/>
        </w:rPr>
        <w:t xml:space="preserve">, </w:t>
      </w:r>
      <w:r w:rsidRPr="0071186E">
        <w:rPr>
          <w:color w:val="181A18"/>
          <w:szCs w:val="24"/>
          <w:lang w:val="en-CA" w:bidi="en-CA"/>
        </w:rPr>
        <w:t>they rely on the notion of profit margin from which the offender has benefited in connection with its criminal activity. According to them, this profit margin method is a</w:t>
      </w:r>
      <w:r w:rsidR="00B4185B">
        <w:rPr>
          <w:color w:val="181A18"/>
          <w:szCs w:val="24"/>
          <w:lang w:val="en-CA" w:bidi="en-CA"/>
        </w:rPr>
        <w:t>n</w:t>
      </w:r>
      <w:r w:rsidRPr="0071186E">
        <w:rPr>
          <w:color w:val="181A18"/>
          <w:szCs w:val="24"/>
          <w:lang w:val="en-CA" w:bidi="en-CA"/>
        </w:rPr>
        <w:t xml:space="preserve"> </w:t>
      </w:r>
      <w:r w:rsidR="00B4185B" w:rsidRPr="0071186E">
        <w:rPr>
          <w:color w:val="181A18"/>
          <w:szCs w:val="24"/>
          <w:lang w:val="en-CA" w:bidi="en-CA"/>
        </w:rPr>
        <w:t xml:space="preserve">index </w:t>
      </w:r>
      <w:r w:rsidR="00B4185B">
        <w:rPr>
          <w:color w:val="181A18"/>
          <w:szCs w:val="24"/>
          <w:lang w:val="en-CA" w:bidi="en-CA"/>
        </w:rPr>
        <w:t xml:space="preserve">that is </w:t>
      </w:r>
      <w:r w:rsidRPr="0071186E">
        <w:rPr>
          <w:color w:val="181A18"/>
          <w:szCs w:val="24"/>
          <w:lang w:val="en-CA" w:bidi="en-CA"/>
        </w:rPr>
        <w:t>more appropriate</w:t>
      </w:r>
      <w:r w:rsidR="00B4185B">
        <w:rPr>
          <w:color w:val="181A18"/>
          <w:szCs w:val="24"/>
          <w:lang w:val="en-CA" w:bidi="en-CA"/>
        </w:rPr>
        <w:t xml:space="preserve"> for</w:t>
      </w:r>
      <w:r w:rsidRPr="0071186E">
        <w:rPr>
          <w:color w:val="181A18"/>
          <w:szCs w:val="24"/>
          <w:lang w:val="en-CA" w:bidi="en-CA"/>
        </w:rPr>
        <w:t xml:space="preserve"> and suitable </w:t>
      </w:r>
      <w:r w:rsidR="00B4185B">
        <w:rPr>
          <w:color w:val="181A18"/>
          <w:szCs w:val="24"/>
          <w:lang w:val="en-CA" w:bidi="en-CA"/>
        </w:rPr>
        <w:t>to</w:t>
      </w:r>
      <w:r w:rsidRPr="0071186E">
        <w:rPr>
          <w:color w:val="181A18"/>
          <w:szCs w:val="24"/>
          <w:lang w:val="en-CA" w:bidi="en-CA"/>
        </w:rPr>
        <w:t xml:space="preserve"> the situation of an organization</w:t>
      </w:r>
      <w:r w:rsidR="00B4185B">
        <w:rPr>
          <w:color w:val="181A18"/>
          <w:szCs w:val="24"/>
          <w:lang w:val="en-CA" w:bidi="en-CA"/>
        </w:rPr>
        <w:t>.</w:t>
      </w:r>
      <w:r w:rsidRPr="0071186E">
        <w:rPr>
          <w:color w:val="181A18"/>
          <w:szCs w:val="24"/>
          <w:vertAlign w:val="superscript"/>
          <w:lang w:val="en-CA" w:bidi="en-CA"/>
        </w:rPr>
        <w:footnoteReference w:id="104"/>
      </w:r>
    </w:p>
    <w:p w14:paraId="52ED5D5B" w14:textId="3D579F95" w:rsidR="0022213F" w:rsidRPr="0071186E" w:rsidRDefault="0022213F" w:rsidP="003C61BE">
      <w:pPr>
        <w:pStyle w:val="SimpleL1"/>
        <w:rPr>
          <w:color w:val="181A18"/>
          <w:szCs w:val="24"/>
          <w:lang w:val="en-CA" w:bidi="en-CA"/>
        </w:rPr>
      </w:pPr>
      <w:r w:rsidRPr="0071186E">
        <w:rPr>
          <w:color w:val="181A18"/>
          <w:szCs w:val="24"/>
          <w:lang w:val="en-CA" w:bidi="en-CA"/>
        </w:rPr>
        <w:t xml:space="preserve">On March 31, 2022, the Supreme Court </w:t>
      </w:r>
      <w:r w:rsidR="00BE540F">
        <w:rPr>
          <w:color w:val="181A18"/>
          <w:szCs w:val="24"/>
          <w:lang w:val="en-CA" w:bidi="en-CA"/>
        </w:rPr>
        <w:t>rendered</w:t>
      </w:r>
      <w:r w:rsidRPr="0071186E">
        <w:rPr>
          <w:color w:val="181A18"/>
          <w:szCs w:val="24"/>
          <w:lang w:val="en-CA" w:bidi="en-CA"/>
        </w:rPr>
        <w:t xml:space="preserve"> </w:t>
      </w:r>
      <w:r w:rsidRPr="0071186E">
        <w:rPr>
          <w:i/>
          <w:color w:val="181A18"/>
          <w:szCs w:val="24"/>
          <w:lang w:val="en-CA" w:bidi="en-CA"/>
        </w:rPr>
        <w:t>Valli</w:t>
      </w:r>
      <w:r w:rsidR="00375567" w:rsidRPr="0071186E">
        <w:rPr>
          <w:i/>
          <w:color w:val="181A18"/>
          <w:szCs w:val="24"/>
          <w:lang w:val="en-CA" w:bidi="en-CA"/>
        </w:rPr>
        <w:t>è</w:t>
      </w:r>
      <w:r w:rsidRPr="0071186E">
        <w:rPr>
          <w:i/>
          <w:color w:val="181A18"/>
          <w:szCs w:val="24"/>
          <w:lang w:val="en-CA" w:bidi="en-CA"/>
        </w:rPr>
        <w:t>res</w:t>
      </w:r>
      <w:r w:rsidR="00BE540F">
        <w:rPr>
          <w:color w:val="181A18"/>
          <w:szCs w:val="24"/>
          <w:lang w:val="en-CA" w:bidi="en-CA"/>
        </w:rPr>
        <w:t>.</w:t>
      </w:r>
      <w:r w:rsidRPr="006B7F16">
        <w:rPr>
          <w:color w:val="181A18"/>
          <w:szCs w:val="24"/>
          <w:vertAlign w:val="superscript"/>
          <w:lang w:val="en-CA" w:bidi="en-CA"/>
        </w:rPr>
        <w:footnoteReference w:id="105"/>
      </w:r>
      <w:r w:rsidRPr="0071186E">
        <w:rPr>
          <w:i/>
          <w:color w:val="181A18"/>
          <w:szCs w:val="24"/>
          <w:lang w:val="en-CA" w:bidi="en-CA"/>
        </w:rPr>
        <w:t xml:space="preserve"> </w:t>
      </w:r>
      <w:r w:rsidRPr="0071186E">
        <w:rPr>
          <w:color w:val="181A18"/>
          <w:szCs w:val="24"/>
          <w:lang w:val="en-CA" w:bidi="en-CA"/>
        </w:rPr>
        <w:t xml:space="preserve">In </w:t>
      </w:r>
      <w:r w:rsidR="00BE540F">
        <w:rPr>
          <w:color w:val="181A18"/>
          <w:szCs w:val="24"/>
          <w:lang w:val="en-CA" w:bidi="en-CA"/>
        </w:rPr>
        <w:t>that judgment</w:t>
      </w:r>
      <w:r w:rsidRPr="0071186E">
        <w:rPr>
          <w:color w:val="181A18"/>
          <w:szCs w:val="24"/>
          <w:lang w:val="en-CA" w:bidi="en-CA"/>
        </w:rPr>
        <w:t>, the Supreme Court consider</w:t>
      </w:r>
      <w:r w:rsidR="00BE540F">
        <w:rPr>
          <w:color w:val="181A18"/>
          <w:szCs w:val="24"/>
          <w:lang w:val="en-CA" w:bidi="en-CA"/>
        </w:rPr>
        <w:t>ed</w:t>
      </w:r>
      <w:r w:rsidRPr="0071186E">
        <w:rPr>
          <w:color w:val="181A18"/>
          <w:szCs w:val="24"/>
          <w:lang w:val="en-CA" w:bidi="en-CA"/>
        </w:rPr>
        <w:t xml:space="preserve"> that the compensatory fine is equivalent to the value of the property, and cannot be limited </w:t>
      </w:r>
      <w:r w:rsidR="00BE540F" w:rsidRPr="0071186E">
        <w:rPr>
          <w:color w:val="181A18"/>
          <w:szCs w:val="24"/>
          <w:lang w:val="en-CA" w:bidi="en-CA"/>
        </w:rPr>
        <w:t>sole</w:t>
      </w:r>
      <w:r w:rsidR="00BE540F">
        <w:rPr>
          <w:color w:val="181A18"/>
          <w:szCs w:val="24"/>
          <w:lang w:val="en-CA" w:bidi="en-CA"/>
        </w:rPr>
        <w:t>ly</w:t>
      </w:r>
      <w:r w:rsidR="00BE540F" w:rsidRPr="0071186E">
        <w:rPr>
          <w:color w:val="181A18"/>
          <w:szCs w:val="24"/>
          <w:lang w:val="en-CA" w:bidi="en-CA"/>
        </w:rPr>
        <w:t xml:space="preserve"> </w:t>
      </w:r>
      <w:r w:rsidRPr="0071186E">
        <w:rPr>
          <w:color w:val="181A18"/>
          <w:szCs w:val="24"/>
          <w:lang w:val="en-CA" w:bidi="en-CA"/>
        </w:rPr>
        <w:t xml:space="preserve">to the profit margin of the offender. The </w:t>
      </w:r>
      <w:r w:rsidR="00BE540F">
        <w:rPr>
          <w:color w:val="181A18"/>
          <w:szCs w:val="24"/>
          <w:lang w:val="en-CA" w:bidi="en-CA"/>
        </w:rPr>
        <w:t>method chosen</w:t>
      </w:r>
      <w:r w:rsidRPr="0071186E">
        <w:rPr>
          <w:color w:val="181A18"/>
          <w:szCs w:val="24"/>
          <w:lang w:val="en-CA" w:bidi="en-CA"/>
        </w:rPr>
        <w:t xml:space="preserve"> by the Organizations is therefore no longer available.</w:t>
      </w:r>
    </w:p>
    <w:p w14:paraId="77233E40" w14:textId="2F4A4B1E" w:rsidR="0022213F" w:rsidRPr="0071186E" w:rsidRDefault="00275EC4" w:rsidP="003C61BE">
      <w:pPr>
        <w:pStyle w:val="SimpleL1"/>
        <w:rPr>
          <w:color w:val="181A18"/>
          <w:szCs w:val="24"/>
          <w:lang w:val="en-CA" w:bidi="en-CA"/>
        </w:rPr>
      </w:pPr>
      <w:r w:rsidRPr="0071186E">
        <w:rPr>
          <w:color w:val="181A18"/>
          <w:szCs w:val="24"/>
          <w:lang w:val="en-CA" w:bidi="en-CA"/>
        </w:rPr>
        <w:t xml:space="preserve">Questioned on the impact of this judgment on the amount of the compensatory fine provided for in the Agreement, the Parties agreed at the hearing that there was none. In this case, </w:t>
      </w:r>
      <w:r w:rsidR="00234688">
        <w:rPr>
          <w:color w:val="181A18"/>
          <w:szCs w:val="24"/>
          <w:lang w:val="en-CA" w:bidi="en-CA"/>
        </w:rPr>
        <w:t>both</w:t>
      </w:r>
      <w:r w:rsidRPr="0071186E">
        <w:rPr>
          <w:color w:val="181A18"/>
          <w:szCs w:val="24"/>
          <w:lang w:val="en-CA" w:bidi="en-CA"/>
        </w:rPr>
        <w:t xml:space="preserve"> methods of calculation </w:t>
      </w:r>
      <w:r w:rsidR="00234688">
        <w:rPr>
          <w:color w:val="181A18"/>
          <w:szCs w:val="24"/>
          <w:lang w:val="en-CA" w:bidi="en-CA"/>
        </w:rPr>
        <w:t xml:space="preserve">yield </w:t>
      </w:r>
      <w:r w:rsidRPr="0071186E">
        <w:rPr>
          <w:color w:val="181A18"/>
          <w:szCs w:val="24"/>
          <w:lang w:val="en-CA" w:bidi="en-CA"/>
        </w:rPr>
        <w:t>the same result.</w:t>
      </w:r>
    </w:p>
    <w:p w14:paraId="1E18276C" w14:textId="625A5E09" w:rsidR="00275EC4" w:rsidRPr="0071186E" w:rsidRDefault="00275EC4" w:rsidP="003C61BE">
      <w:pPr>
        <w:pStyle w:val="SimpleL1"/>
        <w:rPr>
          <w:color w:val="181A18"/>
          <w:szCs w:val="24"/>
          <w:lang w:val="en-CA" w:bidi="en-CA"/>
        </w:rPr>
      </w:pPr>
      <w:r w:rsidRPr="0071186E">
        <w:rPr>
          <w:color w:val="181A18"/>
          <w:szCs w:val="24"/>
          <w:lang w:val="en-CA" w:bidi="en-CA"/>
        </w:rPr>
        <w:lastRenderedPageBreak/>
        <w:t>The Court considers that for the purposes of the approval of the Agreement, it is the concept of property that has been “</w:t>
      </w:r>
      <w:r w:rsidR="005774BB">
        <w:rPr>
          <w:color w:val="181A18"/>
          <w:szCs w:val="24"/>
          <w:lang w:val="en-CA" w:bidi="en-CA"/>
        </w:rPr>
        <w:t>possessed</w:t>
      </w:r>
      <w:r w:rsidRPr="0071186E">
        <w:rPr>
          <w:color w:val="181A18"/>
          <w:szCs w:val="24"/>
          <w:lang w:val="en-CA" w:bidi="en-CA"/>
        </w:rPr>
        <w:t xml:space="preserve"> or </w:t>
      </w:r>
      <w:r w:rsidR="00D73641" w:rsidRPr="0071186E">
        <w:rPr>
          <w:color w:val="181A18"/>
          <w:szCs w:val="24"/>
          <w:lang w:val="en-CA" w:bidi="en-CA"/>
        </w:rPr>
        <w:t>control</w:t>
      </w:r>
      <w:r w:rsidR="00D73641">
        <w:rPr>
          <w:color w:val="181A18"/>
          <w:szCs w:val="24"/>
          <w:lang w:val="en-CA" w:bidi="en-CA"/>
        </w:rPr>
        <w:t>led</w:t>
      </w:r>
      <w:r w:rsidRPr="0071186E">
        <w:rPr>
          <w:color w:val="181A18"/>
          <w:szCs w:val="24"/>
          <w:lang w:val="en-CA" w:bidi="en-CA"/>
        </w:rPr>
        <w:t xml:space="preserve">” </w:t>
      </w:r>
      <w:r w:rsidR="005774BB">
        <w:rPr>
          <w:color w:val="181A18"/>
          <w:szCs w:val="24"/>
          <w:lang w:val="en-CA" w:bidi="en-CA"/>
        </w:rPr>
        <w:t>by</w:t>
      </w:r>
      <w:r w:rsidR="005774BB" w:rsidRPr="0071186E">
        <w:rPr>
          <w:color w:val="181A18"/>
          <w:szCs w:val="24"/>
          <w:lang w:val="en-CA" w:bidi="en-CA"/>
        </w:rPr>
        <w:t xml:space="preserve"> </w:t>
      </w:r>
      <w:r w:rsidRPr="0071186E">
        <w:rPr>
          <w:color w:val="181A18"/>
          <w:szCs w:val="24"/>
          <w:lang w:val="en-CA" w:bidi="en-CA"/>
        </w:rPr>
        <w:t>the Organizations that applies</w:t>
      </w:r>
      <w:r w:rsidRPr="0071186E">
        <w:rPr>
          <w:color w:val="181A18"/>
          <w:szCs w:val="24"/>
          <w:vertAlign w:val="superscript"/>
          <w:lang w:val="en-CA" w:bidi="en-CA"/>
        </w:rPr>
        <w:footnoteReference w:id="106"/>
      </w:r>
      <w:r w:rsidRPr="0071186E">
        <w:rPr>
          <w:color w:val="181A18"/>
          <w:szCs w:val="24"/>
          <w:lang w:val="en-CA" w:bidi="en-CA"/>
        </w:rPr>
        <w:t>.</w:t>
      </w:r>
    </w:p>
    <w:p w14:paraId="1FAD0B9D" w14:textId="0DE04C80" w:rsidR="00275EC4" w:rsidRPr="0071186E" w:rsidRDefault="00275EC4" w:rsidP="003C61BE">
      <w:pPr>
        <w:pStyle w:val="SimpleL1"/>
        <w:rPr>
          <w:color w:val="181A18"/>
          <w:szCs w:val="24"/>
          <w:lang w:val="en-CA" w:bidi="en-CA"/>
        </w:rPr>
      </w:pPr>
      <w:r w:rsidRPr="0071186E">
        <w:rPr>
          <w:color w:val="181A18"/>
          <w:szCs w:val="24"/>
          <w:lang w:val="en-CA" w:bidi="en-CA"/>
        </w:rPr>
        <w:t>The Court is also convinced by the Prosecutor’s demonstration that it is appropria</w:t>
      </w:r>
      <w:r w:rsidR="00BD08F5">
        <w:rPr>
          <w:color w:val="181A18"/>
          <w:szCs w:val="24"/>
          <w:lang w:val="en-CA" w:bidi="en-CA"/>
        </w:rPr>
        <w:t>te to take into consideration</w:t>
      </w:r>
      <w:r w:rsidRPr="0071186E">
        <w:rPr>
          <w:color w:val="181A18"/>
          <w:szCs w:val="24"/>
          <w:lang w:val="en-CA" w:bidi="en-CA"/>
        </w:rPr>
        <w:t xml:space="preserve"> only the profit made by </w:t>
      </w:r>
      <w:r w:rsidR="00236DB0">
        <w:rPr>
          <w:color w:val="181A18"/>
          <w:szCs w:val="24"/>
          <w:lang w:val="en-CA" w:bidi="en-CA"/>
        </w:rPr>
        <w:t>the Organizations in the benefit obtained by them,</w:t>
      </w:r>
      <w:r w:rsidR="00236DB0" w:rsidRPr="0071186E">
        <w:rPr>
          <w:color w:val="181A18"/>
          <w:szCs w:val="24"/>
          <w:lang w:val="en-CA" w:bidi="en-CA"/>
        </w:rPr>
        <w:t xml:space="preserve"> </w:t>
      </w:r>
      <w:r w:rsidRPr="0071186E">
        <w:rPr>
          <w:color w:val="181A18"/>
          <w:szCs w:val="24"/>
          <w:lang w:val="en-CA" w:bidi="en-CA"/>
        </w:rPr>
        <w:t xml:space="preserve">and not that of the </w:t>
      </w:r>
      <w:r w:rsidR="00236DB0">
        <w:rPr>
          <w:color w:val="181A18"/>
          <w:szCs w:val="24"/>
          <w:lang w:val="en-CA" w:bidi="en-CA"/>
        </w:rPr>
        <w:t xml:space="preserve">entire </w:t>
      </w:r>
      <w:r w:rsidRPr="0071186E">
        <w:rPr>
          <w:color w:val="181A18"/>
          <w:szCs w:val="24"/>
          <w:lang w:val="en-CA" w:bidi="en-CA"/>
        </w:rPr>
        <w:t>group</w:t>
      </w:r>
      <w:r w:rsidR="00236DB0">
        <w:rPr>
          <w:color w:val="181A18"/>
          <w:szCs w:val="24"/>
          <w:lang w:val="en-CA" w:bidi="en-CA"/>
        </w:rPr>
        <w:t>,</w:t>
      </w:r>
      <w:r w:rsidRPr="0071186E">
        <w:rPr>
          <w:color w:val="181A18"/>
          <w:szCs w:val="24"/>
          <w:lang w:val="en-CA" w:bidi="en-CA"/>
        </w:rPr>
        <w:t xml:space="preserve"> over which </w:t>
      </w:r>
      <w:r w:rsidR="00236DB0">
        <w:rPr>
          <w:color w:val="181A18"/>
          <w:szCs w:val="24"/>
          <w:lang w:val="en-CA" w:bidi="en-CA"/>
        </w:rPr>
        <w:t>they</w:t>
      </w:r>
      <w:r w:rsidRPr="0071186E">
        <w:rPr>
          <w:color w:val="181A18"/>
          <w:szCs w:val="24"/>
          <w:lang w:val="en-CA" w:bidi="en-CA"/>
        </w:rPr>
        <w:t xml:space="preserve"> had no control. It is useful to repeat the reasoning submitted by the Prosecutor</w:t>
      </w:r>
      <w:r w:rsidR="00236DB0">
        <w:rPr>
          <w:color w:val="181A18"/>
          <w:szCs w:val="24"/>
          <w:lang w:val="en-CA" w:bidi="en-CA"/>
        </w:rPr>
        <w:t xml:space="preserve"> in whole</w:t>
      </w:r>
      <w:r w:rsidRPr="0071186E">
        <w:rPr>
          <w:color w:val="181A18"/>
          <w:szCs w:val="24"/>
          <w:lang w:val="en-CA" w:bidi="en-CA"/>
        </w:rPr>
        <w:t xml:space="preserve">, with which the </w:t>
      </w:r>
      <w:r w:rsidRPr="00BD08F5">
        <w:rPr>
          <w:color w:val="181A18"/>
          <w:szCs w:val="24"/>
          <w:lang w:val="en-CA" w:bidi="en-CA"/>
        </w:rPr>
        <w:t>Court agrees:</w:t>
      </w:r>
    </w:p>
    <w:p w14:paraId="4CA35469" w14:textId="53BE5E58" w:rsidR="00BD08F5" w:rsidRPr="006B7F16" w:rsidRDefault="00BD08F5" w:rsidP="003D3ABD">
      <w:pPr>
        <w:ind w:left="720" w:right="542" w:firstLine="1"/>
        <w:jc w:val="both"/>
        <w:rPr>
          <w:color w:val="151515"/>
          <w:sz w:val="22"/>
          <w:szCs w:val="22"/>
          <w:lang w:val="en-CA" w:bidi="en-CA"/>
        </w:rPr>
      </w:pPr>
      <w:r w:rsidRPr="006B7F16">
        <w:rPr>
          <w:color w:val="151515"/>
          <w:sz w:val="22"/>
          <w:szCs w:val="22"/>
          <w:lang w:val="en-CA" w:bidi="en-CA"/>
        </w:rPr>
        <w:t>[</w:t>
      </w:r>
      <w:r w:rsidR="00F12AA0" w:rsidRPr="006B7F16">
        <w:rPr>
          <w:smallCaps/>
          <w:color w:val="151515"/>
          <w:sz w:val="22"/>
          <w:szCs w:val="22"/>
          <w:lang w:val="en-CA" w:bidi="en-CA"/>
        </w:rPr>
        <w:t>translation</w:t>
      </w:r>
      <w:r w:rsidRPr="006B7F16">
        <w:rPr>
          <w:color w:val="151515"/>
          <w:sz w:val="22"/>
          <w:szCs w:val="22"/>
          <w:lang w:val="en-CA" w:bidi="en-CA"/>
        </w:rPr>
        <w:t>]</w:t>
      </w:r>
    </w:p>
    <w:p w14:paraId="30EA19D6" w14:textId="77777777" w:rsidR="00BD08F5" w:rsidRDefault="00BD08F5" w:rsidP="003D3ABD">
      <w:pPr>
        <w:ind w:left="720" w:right="542" w:firstLine="1"/>
        <w:jc w:val="both"/>
        <w:rPr>
          <w:color w:val="151515"/>
          <w:sz w:val="22"/>
          <w:szCs w:val="22"/>
          <w:lang w:val="en-CA" w:bidi="en-CA"/>
        </w:rPr>
      </w:pPr>
    </w:p>
    <w:p w14:paraId="1FEDEA7B" w14:textId="70E37CC6" w:rsidR="00275EC4" w:rsidRPr="0071186E" w:rsidRDefault="00275EC4" w:rsidP="003D3ABD">
      <w:pPr>
        <w:ind w:left="720" w:right="542" w:firstLine="1"/>
        <w:jc w:val="both"/>
        <w:rPr>
          <w:color w:val="151515"/>
          <w:sz w:val="22"/>
          <w:szCs w:val="22"/>
          <w:lang w:val="en-CA" w:bidi="en-CA"/>
        </w:rPr>
      </w:pPr>
      <w:r w:rsidRPr="0071186E">
        <w:rPr>
          <w:color w:val="151515"/>
          <w:sz w:val="22"/>
          <w:szCs w:val="22"/>
          <w:lang w:val="en-CA" w:bidi="en-CA"/>
        </w:rPr>
        <w:t xml:space="preserve">The SMBD-2 group is a joint venture separate from the entities that make it up and owns its own </w:t>
      </w:r>
      <w:r w:rsidR="00EE2251">
        <w:rPr>
          <w:color w:val="151515"/>
          <w:sz w:val="22"/>
          <w:szCs w:val="22"/>
          <w:lang w:val="en-CA" w:bidi="en-CA"/>
        </w:rPr>
        <w:t>patrimony</w:t>
      </w:r>
      <w:r w:rsidRPr="0071186E">
        <w:rPr>
          <w:color w:val="151515"/>
          <w:sz w:val="22"/>
          <w:szCs w:val="22"/>
          <w:lang w:val="en-CA" w:bidi="en-CA"/>
        </w:rPr>
        <w:t>.</w:t>
      </w:r>
    </w:p>
    <w:p w14:paraId="05492BF5" w14:textId="77777777" w:rsidR="003D3ABD" w:rsidRPr="0071186E" w:rsidRDefault="003D3ABD" w:rsidP="003D3ABD">
      <w:pPr>
        <w:ind w:left="1608" w:right="542" w:firstLine="1"/>
        <w:jc w:val="both"/>
        <w:rPr>
          <w:color w:val="151515"/>
          <w:sz w:val="22"/>
          <w:szCs w:val="22"/>
          <w:lang w:val="en-CA" w:bidi="en-CA"/>
        </w:rPr>
      </w:pPr>
    </w:p>
    <w:p w14:paraId="6327FD1D" w14:textId="2C4EC56D" w:rsidR="00275EC4" w:rsidRPr="0071186E" w:rsidRDefault="003169EE" w:rsidP="003D3ABD">
      <w:pPr>
        <w:ind w:left="1608" w:right="542" w:firstLine="1"/>
        <w:jc w:val="both"/>
        <w:rPr>
          <w:sz w:val="22"/>
          <w:szCs w:val="22"/>
          <w:lang w:val="en-CA"/>
        </w:rPr>
      </w:pPr>
      <w:r w:rsidRPr="0071186E">
        <w:rPr>
          <w:color w:val="151515"/>
          <w:sz w:val="22"/>
          <w:szCs w:val="22"/>
          <w:lang w:val="en-CA" w:bidi="en-CA"/>
        </w:rPr>
        <w:t xml:space="preserve">A joint venture is thus formed where businesses choose to become partners and to cooperate in a project by each investing resources and by sharing any profits from the project. A </w:t>
      </w:r>
      <w:r w:rsidRPr="00BD08F5">
        <w:rPr>
          <w:color w:val="151515"/>
          <w:sz w:val="22"/>
          <w:szCs w:val="22"/>
          <w:u w:val="single"/>
          <w:lang w:val="en-CA" w:bidi="en-CA"/>
        </w:rPr>
        <w:t>separate partnership</w:t>
      </w:r>
      <w:r w:rsidRPr="0071186E">
        <w:rPr>
          <w:color w:val="151515"/>
          <w:sz w:val="22"/>
          <w:szCs w:val="22"/>
          <w:lang w:val="en-CA" w:bidi="en-CA"/>
        </w:rPr>
        <w:t xml:space="preserve"> is then created until, among other possibilities, the project is completed, and the partners can be held liable for one another’s undertakings and debts: arts. 2253 to 2255 C.C.Q</w:t>
      </w:r>
      <w:r w:rsidR="00EE2251">
        <w:rPr>
          <w:color w:val="151515"/>
          <w:sz w:val="22"/>
          <w:szCs w:val="22"/>
          <w:lang w:val="en-CA" w:bidi="en-CA"/>
        </w:rPr>
        <w:t>.</w:t>
      </w:r>
    </w:p>
    <w:p w14:paraId="10263AB3" w14:textId="77777777" w:rsidR="00275EC4" w:rsidRPr="0071186E" w:rsidRDefault="00275EC4" w:rsidP="003D3ABD">
      <w:pPr>
        <w:pStyle w:val="Corpsdetexte"/>
        <w:spacing w:after="0"/>
        <w:ind w:right="542"/>
        <w:rPr>
          <w:sz w:val="22"/>
          <w:szCs w:val="22"/>
          <w:lang w:val="en-CA"/>
        </w:rPr>
      </w:pPr>
    </w:p>
    <w:p w14:paraId="25A68D7E" w14:textId="707D1BAD" w:rsidR="00275EC4" w:rsidRPr="0071186E" w:rsidRDefault="00275EC4" w:rsidP="003D3ABD">
      <w:pPr>
        <w:ind w:left="1610" w:right="542" w:hanging="4"/>
        <w:jc w:val="both"/>
        <w:rPr>
          <w:sz w:val="22"/>
          <w:szCs w:val="22"/>
          <w:lang w:val="en-CA"/>
        </w:rPr>
      </w:pPr>
      <w:r w:rsidRPr="0071186E">
        <w:rPr>
          <w:i/>
          <w:color w:val="151515"/>
          <w:sz w:val="22"/>
          <w:szCs w:val="22"/>
          <w:lang w:val="en-CA" w:bidi="en-CA"/>
        </w:rPr>
        <w:t>Churchill Falls (Labrador) Corp.</w:t>
      </w:r>
      <w:r w:rsidR="0007632F" w:rsidRPr="0071186E">
        <w:rPr>
          <w:i/>
          <w:color w:val="151515"/>
          <w:sz w:val="22"/>
          <w:szCs w:val="22"/>
          <w:lang w:val="en-CA" w:bidi="en-CA"/>
        </w:rPr>
        <w:t xml:space="preserve"> </w:t>
      </w:r>
      <w:r w:rsidRPr="0071186E">
        <w:rPr>
          <w:i/>
          <w:color w:val="151515"/>
          <w:sz w:val="22"/>
          <w:szCs w:val="22"/>
          <w:lang w:val="en-CA" w:bidi="en-CA"/>
        </w:rPr>
        <w:t>v.</w:t>
      </w:r>
      <w:r w:rsidRPr="0071186E">
        <w:rPr>
          <w:color w:val="151515"/>
          <w:sz w:val="22"/>
          <w:szCs w:val="22"/>
          <w:lang w:val="en-CA" w:bidi="en-CA"/>
        </w:rPr>
        <w:t xml:space="preserve"> </w:t>
      </w:r>
      <w:r w:rsidRPr="0071186E">
        <w:rPr>
          <w:i/>
          <w:color w:val="151515"/>
          <w:sz w:val="22"/>
          <w:szCs w:val="22"/>
          <w:lang w:val="en-CA" w:bidi="en-CA"/>
        </w:rPr>
        <w:t>Hydr</w:t>
      </w:r>
      <w:r w:rsidR="0007632F" w:rsidRPr="0071186E">
        <w:rPr>
          <w:i/>
          <w:color w:val="151515"/>
          <w:sz w:val="22"/>
          <w:szCs w:val="22"/>
          <w:lang w:val="en-CA" w:bidi="en-CA"/>
        </w:rPr>
        <w:t>o</w:t>
      </w:r>
      <w:r w:rsidRPr="0071186E">
        <w:rPr>
          <w:i/>
          <w:color w:val="151515"/>
          <w:sz w:val="22"/>
          <w:szCs w:val="22"/>
          <w:lang w:val="en-CA" w:bidi="en-CA"/>
        </w:rPr>
        <w:t>-Québec,</w:t>
      </w:r>
      <w:r w:rsidR="008671D1" w:rsidRPr="0071186E">
        <w:rPr>
          <w:i/>
          <w:color w:val="151515"/>
          <w:sz w:val="22"/>
          <w:szCs w:val="22"/>
          <w:lang w:val="en-CA" w:bidi="en-CA"/>
        </w:rPr>
        <w:t xml:space="preserve"> </w:t>
      </w:r>
      <w:r w:rsidRPr="0071186E">
        <w:rPr>
          <w:color w:val="151515"/>
          <w:sz w:val="22"/>
          <w:szCs w:val="22"/>
          <w:lang w:val="en-CA" w:bidi="en-CA"/>
        </w:rPr>
        <w:t>2018 SCC</w:t>
      </w:r>
      <w:r w:rsidR="003D3ABD" w:rsidRPr="0071186E">
        <w:rPr>
          <w:color w:val="151515"/>
          <w:sz w:val="22"/>
          <w:szCs w:val="22"/>
          <w:lang w:val="en-CA" w:bidi="en-CA"/>
        </w:rPr>
        <w:t> </w:t>
      </w:r>
      <w:r w:rsidRPr="0071186E">
        <w:rPr>
          <w:color w:val="151515"/>
          <w:sz w:val="22"/>
          <w:szCs w:val="22"/>
          <w:lang w:val="en-CA" w:bidi="en-CA"/>
        </w:rPr>
        <w:t>46</w:t>
      </w:r>
      <w:r w:rsidR="00EE2251">
        <w:rPr>
          <w:color w:val="151515"/>
          <w:sz w:val="22"/>
          <w:szCs w:val="22"/>
          <w:lang w:val="en-CA" w:bidi="en-CA"/>
        </w:rPr>
        <w:t xml:space="preserve"> at</w:t>
      </w:r>
      <w:r w:rsidRPr="0071186E">
        <w:rPr>
          <w:color w:val="151515"/>
          <w:sz w:val="22"/>
          <w:szCs w:val="22"/>
          <w:lang w:val="en-CA" w:bidi="en-CA"/>
        </w:rPr>
        <w:t xml:space="preserve"> para.</w:t>
      </w:r>
      <w:r w:rsidR="00375567" w:rsidRPr="0071186E">
        <w:rPr>
          <w:color w:val="151515"/>
          <w:sz w:val="22"/>
          <w:szCs w:val="22"/>
          <w:lang w:val="en-CA" w:bidi="en-CA"/>
        </w:rPr>
        <w:t> </w:t>
      </w:r>
      <w:r w:rsidRPr="0071186E">
        <w:rPr>
          <w:color w:val="151515"/>
          <w:sz w:val="22"/>
          <w:szCs w:val="22"/>
          <w:lang w:val="en-CA" w:bidi="en-CA"/>
        </w:rPr>
        <w:t>61</w:t>
      </w:r>
      <w:r w:rsidRPr="0071186E">
        <w:rPr>
          <w:color w:val="424242"/>
          <w:sz w:val="22"/>
          <w:szCs w:val="22"/>
          <w:lang w:val="en-CA" w:bidi="en-CA"/>
        </w:rPr>
        <w:t>,</w:t>
      </w:r>
      <w:r w:rsidR="008671D1" w:rsidRPr="0071186E">
        <w:rPr>
          <w:color w:val="424242"/>
          <w:sz w:val="22"/>
          <w:szCs w:val="22"/>
          <w:lang w:val="en-CA" w:bidi="en-CA"/>
        </w:rPr>
        <w:t xml:space="preserve"> </w:t>
      </w:r>
      <w:r w:rsidRPr="0071186E">
        <w:rPr>
          <w:color w:val="151515"/>
          <w:sz w:val="22"/>
          <w:szCs w:val="22"/>
          <w:lang w:val="en-CA" w:bidi="en-CA"/>
        </w:rPr>
        <w:t>Gascon</w:t>
      </w:r>
      <w:r w:rsidR="00EE2251">
        <w:rPr>
          <w:color w:val="151515"/>
          <w:sz w:val="22"/>
          <w:szCs w:val="22"/>
          <w:lang w:val="en-CA" w:bidi="en-CA"/>
        </w:rPr>
        <w:t xml:space="preserve"> J., diss</w:t>
      </w:r>
      <w:r w:rsidRPr="0071186E">
        <w:rPr>
          <w:color w:val="525252"/>
          <w:sz w:val="22"/>
          <w:szCs w:val="22"/>
          <w:lang w:val="en-CA" w:bidi="en-CA"/>
        </w:rPr>
        <w:t xml:space="preserve">. </w:t>
      </w:r>
      <w:r w:rsidR="00EE2251">
        <w:rPr>
          <w:color w:val="151515"/>
          <w:sz w:val="22"/>
          <w:szCs w:val="22"/>
          <w:lang w:val="en-CA" w:bidi="en-CA"/>
        </w:rPr>
        <w:t>[Emphasis added.]</w:t>
      </w:r>
    </w:p>
    <w:p w14:paraId="018ED18D" w14:textId="77777777" w:rsidR="00275EC4" w:rsidRPr="0071186E" w:rsidRDefault="00275EC4" w:rsidP="003D3ABD">
      <w:pPr>
        <w:pStyle w:val="Corpsdetexte"/>
        <w:spacing w:after="0"/>
        <w:ind w:right="542"/>
        <w:rPr>
          <w:sz w:val="22"/>
          <w:szCs w:val="22"/>
          <w:lang w:val="en-CA"/>
        </w:rPr>
      </w:pPr>
    </w:p>
    <w:p w14:paraId="461BD766" w14:textId="3CAEAD56" w:rsidR="00EE2251" w:rsidRDefault="00EE2251" w:rsidP="003D3ABD">
      <w:pPr>
        <w:ind w:left="1607" w:right="542" w:firstLine="2"/>
        <w:jc w:val="both"/>
        <w:rPr>
          <w:color w:val="151515"/>
          <w:sz w:val="22"/>
          <w:szCs w:val="22"/>
          <w:lang w:val="en-CA" w:bidi="en-CA"/>
        </w:rPr>
      </w:pPr>
      <w:r>
        <w:rPr>
          <w:color w:val="151515"/>
          <w:sz w:val="22"/>
          <w:szCs w:val="22"/>
          <w:lang w:val="en-CA" w:bidi="en-CA"/>
        </w:rPr>
        <w:t>[</w:t>
      </w:r>
      <w:r w:rsidRPr="006B7F16">
        <w:rPr>
          <w:smallCaps/>
          <w:color w:val="151515"/>
          <w:sz w:val="22"/>
          <w:szCs w:val="22"/>
          <w:lang w:val="en-CA" w:bidi="en-CA"/>
        </w:rPr>
        <w:t>translation</w:t>
      </w:r>
      <w:r>
        <w:rPr>
          <w:color w:val="151515"/>
          <w:sz w:val="22"/>
          <w:szCs w:val="22"/>
          <w:lang w:val="en-CA" w:bidi="en-CA"/>
        </w:rPr>
        <w:t>]</w:t>
      </w:r>
    </w:p>
    <w:p w14:paraId="5F09B93B" w14:textId="374B5FF5" w:rsidR="00275EC4" w:rsidRPr="0071186E" w:rsidRDefault="00275EC4" w:rsidP="003D3ABD">
      <w:pPr>
        <w:ind w:left="1607" w:right="542" w:firstLine="2"/>
        <w:jc w:val="both"/>
        <w:rPr>
          <w:sz w:val="22"/>
          <w:szCs w:val="22"/>
          <w:lang w:val="en-CA"/>
        </w:rPr>
      </w:pPr>
      <w:r w:rsidRPr="0071186E">
        <w:rPr>
          <w:color w:val="151515"/>
          <w:sz w:val="22"/>
          <w:szCs w:val="22"/>
          <w:lang w:val="en-CA" w:bidi="en-CA"/>
        </w:rPr>
        <w:t>A limited partnership, like any other partnership, has its own p</w:t>
      </w:r>
      <w:r w:rsidR="00BD08F5">
        <w:rPr>
          <w:color w:val="151515"/>
          <w:sz w:val="22"/>
          <w:szCs w:val="22"/>
          <w:lang w:val="en-CA" w:bidi="en-CA"/>
        </w:rPr>
        <w:t>atrimony</w:t>
      </w:r>
      <w:r w:rsidRPr="0071186E">
        <w:rPr>
          <w:color w:val="151515"/>
          <w:sz w:val="22"/>
          <w:szCs w:val="22"/>
          <w:lang w:val="en-CA" w:bidi="en-CA"/>
        </w:rPr>
        <w:t xml:space="preserve"> which, so long as it is sufficient, is separate from the </w:t>
      </w:r>
      <w:r w:rsidR="005019F4">
        <w:rPr>
          <w:color w:val="151515"/>
          <w:sz w:val="22"/>
          <w:szCs w:val="22"/>
          <w:lang w:val="en-CA" w:bidi="en-CA"/>
        </w:rPr>
        <w:t>patrimony</w:t>
      </w:r>
      <w:r w:rsidRPr="0071186E">
        <w:rPr>
          <w:color w:val="151515"/>
          <w:sz w:val="22"/>
          <w:szCs w:val="22"/>
          <w:lang w:val="en-CA" w:bidi="en-CA"/>
        </w:rPr>
        <w:t xml:space="preserve"> of the persons </w:t>
      </w:r>
      <w:r w:rsidR="00EE2251">
        <w:rPr>
          <w:color w:val="151515"/>
          <w:sz w:val="22"/>
          <w:szCs w:val="22"/>
          <w:lang w:val="en-CA" w:bidi="en-CA"/>
        </w:rPr>
        <w:t>that make it up</w:t>
      </w:r>
      <w:r w:rsidRPr="0071186E">
        <w:rPr>
          <w:color w:val="151515"/>
          <w:sz w:val="22"/>
          <w:szCs w:val="22"/>
          <w:lang w:val="en-CA" w:bidi="en-CA"/>
        </w:rPr>
        <w:t xml:space="preserve">; it then has its own entity, </w:t>
      </w:r>
      <w:r w:rsidR="00EE2251">
        <w:rPr>
          <w:color w:val="151515"/>
          <w:sz w:val="22"/>
          <w:szCs w:val="22"/>
          <w:lang w:val="en-CA" w:bidi="en-CA"/>
        </w:rPr>
        <w:t>without, however, being</w:t>
      </w:r>
      <w:r w:rsidRPr="0071186E">
        <w:rPr>
          <w:color w:val="151515"/>
          <w:sz w:val="22"/>
          <w:szCs w:val="22"/>
          <w:lang w:val="en-CA" w:bidi="en-CA"/>
        </w:rPr>
        <w:t xml:space="preserve"> a legal person within the meaning of the Act.</w:t>
      </w:r>
    </w:p>
    <w:p w14:paraId="1313F051" w14:textId="77777777" w:rsidR="00275EC4" w:rsidRPr="0071186E" w:rsidRDefault="00275EC4" w:rsidP="003D3ABD">
      <w:pPr>
        <w:pStyle w:val="Corpsdetexte"/>
        <w:spacing w:after="0"/>
        <w:ind w:right="542"/>
        <w:rPr>
          <w:sz w:val="22"/>
          <w:szCs w:val="22"/>
          <w:lang w:val="en-CA"/>
        </w:rPr>
      </w:pPr>
    </w:p>
    <w:p w14:paraId="7EF7173B" w14:textId="68B396B2" w:rsidR="00275EC4" w:rsidRPr="00BD08F5" w:rsidRDefault="00275EC4" w:rsidP="003D3ABD">
      <w:pPr>
        <w:ind w:left="1607" w:right="542"/>
        <w:jc w:val="both"/>
        <w:rPr>
          <w:sz w:val="22"/>
          <w:szCs w:val="22"/>
          <w:lang w:val="en-CA" w:bidi="en-CA"/>
        </w:rPr>
      </w:pPr>
      <w:r w:rsidRPr="006B7F16">
        <w:rPr>
          <w:i/>
          <w:sz w:val="22"/>
          <w:szCs w:val="22"/>
          <w:lang w:bidi="en-CA"/>
        </w:rPr>
        <w:t>Laval (Ville de)</w:t>
      </w:r>
      <w:r w:rsidR="0007632F" w:rsidRPr="006B7F16">
        <w:rPr>
          <w:sz w:val="22"/>
          <w:szCs w:val="22"/>
          <w:lang w:bidi="en-CA"/>
        </w:rPr>
        <w:t xml:space="preserve"> </w:t>
      </w:r>
      <w:r w:rsidR="00EE2251">
        <w:rPr>
          <w:i/>
          <w:sz w:val="22"/>
          <w:szCs w:val="22"/>
          <w:lang w:bidi="en-CA"/>
        </w:rPr>
        <w:t>c</w:t>
      </w:r>
      <w:r w:rsidRPr="006B7F16">
        <w:rPr>
          <w:i/>
          <w:sz w:val="22"/>
          <w:szCs w:val="22"/>
          <w:lang w:bidi="en-CA"/>
        </w:rPr>
        <w:t>.</w:t>
      </w:r>
      <w:r w:rsidRPr="006B7F16">
        <w:rPr>
          <w:sz w:val="22"/>
          <w:szCs w:val="22"/>
          <w:lang w:bidi="en-CA"/>
        </w:rPr>
        <w:t xml:space="preserve"> </w:t>
      </w:r>
      <w:r w:rsidRPr="006B7F16">
        <w:rPr>
          <w:i/>
          <w:sz w:val="22"/>
          <w:szCs w:val="22"/>
          <w:lang w:bidi="en-CA"/>
        </w:rPr>
        <w:t>Polyclinique médicale Fabreville, s.e.c</w:t>
      </w:r>
      <w:r w:rsidRPr="006B7F16">
        <w:rPr>
          <w:sz w:val="22"/>
          <w:szCs w:val="22"/>
          <w:lang w:bidi="en-CA"/>
        </w:rPr>
        <w:t>., 2007 QCCA 426</w:t>
      </w:r>
      <w:r w:rsidR="00EE2251">
        <w:rPr>
          <w:sz w:val="22"/>
          <w:szCs w:val="22"/>
          <w:lang w:bidi="en-CA"/>
        </w:rPr>
        <w:t xml:space="preserve"> at</w:t>
      </w:r>
      <w:r w:rsidRPr="006B7F16">
        <w:rPr>
          <w:i/>
          <w:sz w:val="22"/>
          <w:szCs w:val="22"/>
          <w:lang w:bidi="en-CA"/>
        </w:rPr>
        <w:t xml:space="preserve"> </w:t>
      </w:r>
      <w:r w:rsidRPr="006B7F16">
        <w:rPr>
          <w:sz w:val="22"/>
          <w:szCs w:val="22"/>
          <w:lang w:bidi="en-CA"/>
        </w:rPr>
        <w:t xml:space="preserve">para. </w:t>
      </w:r>
      <w:r w:rsidRPr="00BD08F5">
        <w:rPr>
          <w:sz w:val="22"/>
          <w:szCs w:val="22"/>
          <w:lang w:val="en-CA" w:bidi="en-CA"/>
        </w:rPr>
        <w:t>24, Brossard, Delisle, Thibault</w:t>
      </w:r>
      <w:r w:rsidR="00EE2251">
        <w:rPr>
          <w:sz w:val="22"/>
          <w:szCs w:val="22"/>
          <w:lang w:val="en-CA" w:bidi="en-CA"/>
        </w:rPr>
        <w:t>, JJ.A</w:t>
      </w:r>
      <w:r w:rsidRPr="00BD08F5">
        <w:rPr>
          <w:sz w:val="22"/>
          <w:szCs w:val="22"/>
          <w:lang w:val="en-CA" w:bidi="en-CA"/>
        </w:rPr>
        <w:t>.</w:t>
      </w:r>
    </w:p>
    <w:p w14:paraId="68434165" w14:textId="77777777" w:rsidR="00275EC4" w:rsidRPr="0071186E" w:rsidRDefault="00275EC4" w:rsidP="003D3ABD">
      <w:pPr>
        <w:ind w:left="1607" w:right="542"/>
        <w:jc w:val="both"/>
        <w:rPr>
          <w:color w:val="424242"/>
          <w:sz w:val="22"/>
          <w:szCs w:val="22"/>
          <w:lang w:val="en-CA" w:bidi="en-CA"/>
        </w:rPr>
      </w:pPr>
    </w:p>
    <w:p w14:paraId="7730AF68" w14:textId="77777777" w:rsidR="00275EC4" w:rsidRPr="005019F4" w:rsidRDefault="00275EC4" w:rsidP="003D3ABD">
      <w:pPr>
        <w:ind w:left="720" w:right="542" w:firstLine="1"/>
        <w:jc w:val="both"/>
        <w:rPr>
          <w:sz w:val="22"/>
          <w:szCs w:val="22"/>
          <w:lang w:val="en-CA" w:bidi="en-CA"/>
        </w:rPr>
      </w:pPr>
      <w:r w:rsidRPr="005019F4">
        <w:rPr>
          <w:sz w:val="22"/>
          <w:szCs w:val="22"/>
          <w:lang w:val="en-CA" w:bidi="en-CA"/>
        </w:rPr>
        <w:t>The documentary evidence shows that the SMBD-2 group owns and controls a bank account separate from the entities that make it up.</w:t>
      </w:r>
    </w:p>
    <w:p w14:paraId="21C62251" w14:textId="77777777" w:rsidR="00275EC4" w:rsidRPr="005019F4" w:rsidRDefault="00275EC4" w:rsidP="003D3ABD">
      <w:pPr>
        <w:ind w:left="1607" w:right="542"/>
        <w:jc w:val="both"/>
        <w:rPr>
          <w:sz w:val="22"/>
          <w:szCs w:val="22"/>
          <w:lang w:val="en-CA" w:bidi="en-CA"/>
        </w:rPr>
      </w:pPr>
    </w:p>
    <w:p w14:paraId="491F48E1" w14:textId="28887A5C" w:rsidR="00275EC4" w:rsidRPr="005019F4" w:rsidRDefault="00275EC4" w:rsidP="003D3ABD">
      <w:pPr>
        <w:ind w:left="720" w:right="542" w:firstLine="1"/>
        <w:jc w:val="both"/>
        <w:rPr>
          <w:sz w:val="22"/>
          <w:szCs w:val="22"/>
          <w:lang w:val="en-CA" w:bidi="en-CA"/>
        </w:rPr>
      </w:pPr>
      <w:r w:rsidRPr="005019F4">
        <w:rPr>
          <w:sz w:val="22"/>
          <w:szCs w:val="22"/>
          <w:lang w:val="en-CA" w:bidi="en-CA"/>
        </w:rPr>
        <w:t xml:space="preserve">The partners specify in the </w:t>
      </w:r>
      <w:r w:rsidR="005019F4">
        <w:rPr>
          <w:sz w:val="22"/>
          <w:szCs w:val="22"/>
          <w:lang w:val="en-CA" w:bidi="en-CA"/>
        </w:rPr>
        <w:t>joint-venture</w:t>
      </w:r>
      <w:r w:rsidRPr="005019F4">
        <w:rPr>
          <w:sz w:val="22"/>
          <w:szCs w:val="22"/>
          <w:lang w:val="en-CA" w:bidi="en-CA"/>
        </w:rPr>
        <w:t xml:space="preserve"> agreement that the </w:t>
      </w:r>
      <w:r w:rsidR="00154087">
        <w:rPr>
          <w:sz w:val="22"/>
          <w:szCs w:val="22"/>
          <w:lang w:val="en-CA" w:bidi="en-CA"/>
        </w:rPr>
        <w:t>[</w:t>
      </w:r>
      <w:r w:rsidR="00154087" w:rsidRPr="006B7F16">
        <w:rPr>
          <w:smallCaps/>
          <w:sz w:val="22"/>
          <w:szCs w:val="22"/>
          <w:lang w:val="en-CA" w:bidi="en-CA"/>
        </w:rPr>
        <w:t>translation</w:t>
      </w:r>
      <w:r w:rsidR="00154087">
        <w:rPr>
          <w:sz w:val="22"/>
          <w:szCs w:val="22"/>
          <w:lang w:val="en-CA" w:bidi="en-CA"/>
        </w:rPr>
        <w:t xml:space="preserve">] </w:t>
      </w:r>
      <w:r w:rsidRPr="005019F4">
        <w:rPr>
          <w:sz w:val="22"/>
          <w:szCs w:val="22"/>
          <w:lang w:val="en-CA" w:bidi="en-CA"/>
        </w:rPr>
        <w:t xml:space="preserve">“funds, property and other assets“ are </w:t>
      </w:r>
      <w:r w:rsidR="00154087">
        <w:rPr>
          <w:sz w:val="22"/>
          <w:szCs w:val="22"/>
          <w:lang w:val="en-CA" w:bidi="en-CA"/>
        </w:rPr>
        <w:t>[</w:t>
      </w:r>
      <w:r w:rsidR="00154087" w:rsidRPr="006B7F16">
        <w:rPr>
          <w:smallCaps/>
          <w:sz w:val="22"/>
          <w:szCs w:val="22"/>
          <w:lang w:val="en-CA" w:bidi="en-CA"/>
        </w:rPr>
        <w:t>translation</w:t>
      </w:r>
      <w:r w:rsidR="00154087">
        <w:rPr>
          <w:sz w:val="22"/>
          <w:szCs w:val="22"/>
          <w:lang w:val="en-CA" w:bidi="en-CA"/>
        </w:rPr>
        <w:t xml:space="preserve">] </w:t>
      </w:r>
      <w:r w:rsidRPr="005019F4">
        <w:rPr>
          <w:sz w:val="22"/>
          <w:szCs w:val="22"/>
          <w:lang w:val="en-CA" w:bidi="en-CA"/>
        </w:rPr>
        <w:t xml:space="preserve">“held by the </w:t>
      </w:r>
      <w:r w:rsidR="0007632F" w:rsidRPr="005019F4">
        <w:rPr>
          <w:sz w:val="22"/>
          <w:szCs w:val="22"/>
          <w:lang w:val="en-CA" w:bidi="en-CA"/>
        </w:rPr>
        <w:t xml:space="preserve">Consortium </w:t>
      </w:r>
      <w:r w:rsidRPr="005019F4">
        <w:rPr>
          <w:sz w:val="22"/>
          <w:szCs w:val="22"/>
          <w:lang w:val="en-CA" w:bidi="en-CA"/>
        </w:rPr>
        <w:t xml:space="preserve">on behalf of the Parties“ and </w:t>
      </w:r>
      <w:r w:rsidR="00154087">
        <w:rPr>
          <w:sz w:val="22"/>
          <w:szCs w:val="22"/>
          <w:lang w:val="en-CA" w:bidi="en-CA"/>
        </w:rPr>
        <w:t>[</w:t>
      </w:r>
      <w:r w:rsidR="00154087" w:rsidRPr="008151D4">
        <w:rPr>
          <w:smallCaps/>
          <w:sz w:val="22"/>
          <w:szCs w:val="22"/>
          <w:lang w:val="en-CA" w:bidi="en-CA"/>
        </w:rPr>
        <w:t>translation</w:t>
      </w:r>
      <w:r w:rsidR="00154087">
        <w:rPr>
          <w:sz w:val="22"/>
          <w:szCs w:val="22"/>
          <w:lang w:val="en-CA" w:bidi="en-CA"/>
        </w:rPr>
        <w:t xml:space="preserve">] </w:t>
      </w:r>
      <w:r w:rsidR="003D3ABD" w:rsidRPr="005019F4">
        <w:rPr>
          <w:sz w:val="22"/>
          <w:szCs w:val="22"/>
          <w:lang w:val="en-CA" w:bidi="en-CA"/>
        </w:rPr>
        <w:t>“</w:t>
      </w:r>
      <w:r w:rsidRPr="005019F4">
        <w:rPr>
          <w:sz w:val="22"/>
          <w:szCs w:val="22"/>
          <w:lang w:val="en-CA" w:bidi="en-CA"/>
        </w:rPr>
        <w:t xml:space="preserve">the payments arising from execution of the Contract are deposited on behalf of the </w:t>
      </w:r>
      <w:r w:rsidR="0007632F" w:rsidRPr="005019F4">
        <w:rPr>
          <w:sz w:val="22"/>
          <w:szCs w:val="22"/>
          <w:lang w:val="en-CA" w:bidi="en-CA"/>
        </w:rPr>
        <w:t xml:space="preserve">Consortium </w:t>
      </w:r>
      <w:r w:rsidRPr="005019F4">
        <w:rPr>
          <w:sz w:val="22"/>
          <w:szCs w:val="22"/>
          <w:lang w:val="en-CA" w:bidi="en-CA"/>
        </w:rPr>
        <w:t>in</w:t>
      </w:r>
      <w:r w:rsidR="00154087">
        <w:rPr>
          <w:sz w:val="22"/>
          <w:szCs w:val="22"/>
          <w:lang w:val="en-CA" w:bidi="en-CA"/>
        </w:rPr>
        <w:t>to</w:t>
      </w:r>
      <w:r w:rsidRPr="005019F4">
        <w:rPr>
          <w:sz w:val="22"/>
          <w:szCs w:val="22"/>
          <w:lang w:val="en-CA" w:bidi="en-CA"/>
        </w:rPr>
        <w:t xml:space="preserve"> the account opened in the bank designated by the Management Committee</w:t>
      </w:r>
      <w:r w:rsidR="003D3ABD" w:rsidRPr="005019F4">
        <w:rPr>
          <w:sz w:val="22"/>
          <w:szCs w:val="22"/>
          <w:lang w:val="en-CA" w:bidi="en-CA"/>
        </w:rPr>
        <w:t>”</w:t>
      </w:r>
      <w:r w:rsidR="00154087">
        <w:rPr>
          <w:sz w:val="22"/>
          <w:szCs w:val="22"/>
          <w:lang w:val="en-CA" w:bidi="en-CA"/>
        </w:rPr>
        <w:t>.</w:t>
      </w:r>
    </w:p>
    <w:p w14:paraId="503BB634" w14:textId="77777777" w:rsidR="00275EC4" w:rsidRPr="005019F4" w:rsidRDefault="00275EC4" w:rsidP="003D3ABD">
      <w:pPr>
        <w:ind w:left="1607" w:right="542"/>
        <w:jc w:val="both"/>
        <w:rPr>
          <w:sz w:val="22"/>
          <w:szCs w:val="22"/>
          <w:lang w:val="en-CA" w:bidi="en-CA"/>
        </w:rPr>
      </w:pPr>
    </w:p>
    <w:p w14:paraId="1DC9DA42" w14:textId="77777777" w:rsidR="00275EC4" w:rsidRPr="005019F4" w:rsidRDefault="00275EC4" w:rsidP="003D3ABD">
      <w:pPr>
        <w:ind w:left="1607" w:right="542"/>
        <w:jc w:val="both"/>
        <w:rPr>
          <w:sz w:val="22"/>
          <w:szCs w:val="22"/>
          <w:lang w:val="en-CA" w:bidi="en-CA"/>
        </w:rPr>
      </w:pPr>
      <w:r w:rsidRPr="005019F4">
        <w:rPr>
          <w:sz w:val="22"/>
          <w:szCs w:val="22"/>
          <w:lang w:val="en-CA" w:bidi="en-CA"/>
        </w:rPr>
        <w:t>AR-12 - Docld_4437-SMBD Agreement-Nov. 2, 2000, clauses 8.5,</w:t>
      </w:r>
      <w:r w:rsidR="001A34B4" w:rsidRPr="005019F4">
        <w:rPr>
          <w:sz w:val="22"/>
          <w:szCs w:val="22"/>
          <w:lang w:val="en-CA" w:bidi="en-CA"/>
        </w:rPr>
        <w:t xml:space="preserve"> </w:t>
      </w:r>
      <w:r w:rsidRPr="005019F4">
        <w:rPr>
          <w:sz w:val="22"/>
          <w:szCs w:val="22"/>
          <w:lang w:val="en-CA" w:bidi="en-CA"/>
        </w:rPr>
        <w:t>9.1.</w:t>
      </w:r>
    </w:p>
    <w:p w14:paraId="63C6E8FF" w14:textId="77777777" w:rsidR="00275EC4" w:rsidRPr="005019F4" w:rsidRDefault="00275EC4" w:rsidP="003D3ABD">
      <w:pPr>
        <w:ind w:left="1607" w:right="542"/>
        <w:jc w:val="both"/>
        <w:rPr>
          <w:sz w:val="22"/>
          <w:szCs w:val="22"/>
          <w:lang w:val="en-CA" w:bidi="en-CA"/>
        </w:rPr>
      </w:pPr>
    </w:p>
    <w:p w14:paraId="60E5625D" w14:textId="01303409" w:rsidR="00275EC4" w:rsidRPr="005019F4" w:rsidRDefault="00275EC4" w:rsidP="003D3ABD">
      <w:pPr>
        <w:ind w:left="720" w:right="542" w:firstLine="1"/>
        <w:jc w:val="both"/>
        <w:rPr>
          <w:sz w:val="22"/>
          <w:szCs w:val="22"/>
          <w:lang w:val="en-CA" w:bidi="en-CA"/>
        </w:rPr>
      </w:pPr>
      <w:r w:rsidRPr="005019F4">
        <w:rPr>
          <w:sz w:val="22"/>
          <w:szCs w:val="22"/>
          <w:lang w:val="en-CA" w:bidi="en-CA"/>
        </w:rPr>
        <w:lastRenderedPageBreak/>
        <w:t xml:space="preserve">The partners also establish that </w:t>
      </w:r>
      <w:r w:rsidR="005241E0">
        <w:rPr>
          <w:sz w:val="22"/>
          <w:szCs w:val="22"/>
          <w:lang w:val="en-CA" w:bidi="en-CA"/>
        </w:rPr>
        <w:t>any</w:t>
      </w:r>
      <w:r w:rsidR="005241E0" w:rsidRPr="005019F4">
        <w:rPr>
          <w:sz w:val="22"/>
          <w:szCs w:val="22"/>
          <w:lang w:val="en-CA" w:bidi="en-CA"/>
        </w:rPr>
        <w:t xml:space="preserve"> </w:t>
      </w:r>
      <w:r w:rsidRPr="005019F4">
        <w:rPr>
          <w:sz w:val="22"/>
          <w:szCs w:val="22"/>
          <w:lang w:val="en-CA" w:bidi="en-CA"/>
        </w:rPr>
        <w:t>transactions in bank account 1092998 of the SMBD-2 group require the signatures of two authorized persons, identified in two groups. The first group consists of SOCODEC employees while the second group is made up of representatives of the partners DeMathieu &amp; Bard and Montacier.</w:t>
      </w:r>
    </w:p>
    <w:p w14:paraId="5AFB80EB" w14:textId="77777777" w:rsidR="00275EC4" w:rsidRPr="005019F4" w:rsidRDefault="00275EC4" w:rsidP="003D3ABD">
      <w:pPr>
        <w:ind w:left="1607" w:right="542"/>
        <w:jc w:val="both"/>
        <w:rPr>
          <w:sz w:val="22"/>
          <w:szCs w:val="22"/>
          <w:lang w:val="en-CA" w:bidi="en-CA"/>
        </w:rPr>
      </w:pPr>
    </w:p>
    <w:p w14:paraId="7D8DB03A" w14:textId="3148F4F1" w:rsidR="00275EC4" w:rsidRPr="005019F4" w:rsidRDefault="00275EC4" w:rsidP="003D3ABD">
      <w:pPr>
        <w:ind w:left="720" w:right="542" w:firstLine="1"/>
        <w:jc w:val="both"/>
        <w:rPr>
          <w:sz w:val="22"/>
          <w:szCs w:val="22"/>
          <w:lang w:val="en-CA" w:bidi="en-CA"/>
        </w:rPr>
      </w:pPr>
      <w:r w:rsidRPr="005019F4">
        <w:rPr>
          <w:sz w:val="22"/>
          <w:szCs w:val="22"/>
          <w:lang w:val="en-CA" w:bidi="en-CA"/>
        </w:rPr>
        <w:t xml:space="preserve">There is no evidence to the effect that the </w:t>
      </w:r>
      <w:r w:rsidR="005019F4">
        <w:rPr>
          <w:sz w:val="22"/>
          <w:szCs w:val="22"/>
          <w:lang w:val="en-CA" w:bidi="en-CA"/>
        </w:rPr>
        <w:t>directing minds</w:t>
      </w:r>
      <w:r w:rsidRPr="005019F4">
        <w:rPr>
          <w:sz w:val="22"/>
          <w:szCs w:val="22"/>
          <w:lang w:val="en-CA" w:bidi="en-CA"/>
        </w:rPr>
        <w:t xml:space="preserve"> of the two other members of the group had knowledge of the </w:t>
      </w:r>
      <w:r w:rsidR="00A518EC" w:rsidRPr="005019F4">
        <w:rPr>
          <w:sz w:val="22"/>
          <w:szCs w:val="22"/>
          <w:lang w:val="en-CA" w:bidi="en-CA"/>
        </w:rPr>
        <w:t>charged</w:t>
      </w:r>
      <w:r w:rsidRPr="005019F4">
        <w:rPr>
          <w:sz w:val="22"/>
          <w:szCs w:val="22"/>
          <w:lang w:val="en-CA" w:bidi="en-CA"/>
        </w:rPr>
        <w:t xml:space="preserve"> offen</w:t>
      </w:r>
      <w:r w:rsidR="001A34B4" w:rsidRPr="005019F4">
        <w:rPr>
          <w:sz w:val="22"/>
          <w:szCs w:val="22"/>
          <w:lang w:val="en-CA" w:bidi="en-CA"/>
        </w:rPr>
        <w:t>c</w:t>
      </w:r>
      <w:r w:rsidRPr="005019F4">
        <w:rPr>
          <w:sz w:val="22"/>
          <w:szCs w:val="22"/>
          <w:lang w:val="en-CA" w:bidi="en-CA"/>
        </w:rPr>
        <w:t xml:space="preserve">es. In addition, the accounting documentary evidence confirms that these partner corporations actually provided the goods and services for which they </w:t>
      </w:r>
      <w:r w:rsidR="005241E0">
        <w:rPr>
          <w:sz w:val="22"/>
          <w:szCs w:val="22"/>
          <w:lang w:val="en-CA" w:bidi="en-CA"/>
        </w:rPr>
        <w:t>were</w:t>
      </w:r>
      <w:r w:rsidR="005241E0" w:rsidRPr="005019F4">
        <w:rPr>
          <w:sz w:val="22"/>
          <w:szCs w:val="22"/>
          <w:lang w:val="en-CA" w:bidi="en-CA"/>
        </w:rPr>
        <w:t xml:space="preserve"> </w:t>
      </w:r>
      <w:r w:rsidRPr="005019F4">
        <w:rPr>
          <w:sz w:val="22"/>
          <w:szCs w:val="22"/>
          <w:lang w:val="en-CA" w:bidi="en-CA"/>
        </w:rPr>
        <w:t>remunerated.</w:t>
      </w:r>
    </w:p>
    <w:p w14:paraId="3FAEA0C0" w14:textId="77777777" w:rsidR="00275EC4" w:rsidRPr="005019F4" w:rsidRDefault="00275EC4" w:rsidP="003D3ABD">
      <w:pPr>
        <w:ind w:left="1607" w:right="542"/>
        <w:jc w:val="both"/>
        <w:rPr>
          <w:sz w:val="22"/>
          <w:szCs w:val="22"/>
          <w:lang w:val="en-CA" w:bidi="en-CA"/>
        </w:rPr>
      </w:pPr>
    </w:p>
    <w:p w14:paraId="2959AD02" w14:textId="77777777" w:rsidR="00275EC4" w:rsidRPr="005019F4" w:rsidRDefault="00275EC4" w:rsidP="003D3ABD">
      <w:pPr>
        <w:ind w:left="720" w:right="542" w:firstLine="1"/>
        <w:jc w:val="both"/>
        <w:rPr>
          <w:sz w:val="22"/>
          <w:szCs w:val="22"/>
          <w:lang w:val="en-CA" w:bidi="en-CA"/>
        </w:rPr>
      </w:pPr>
      <w:r w:rsidRPr="005019F4">
        <w:rPr>
          <w:sz w:val="22"/>
          <w:szCs w:val="22"/>
          <w:lang w:val="en-CA" w:bidi="en-CA"/>
        </w:rPr>
        <w:t>Finally, the cheques drawn at the end of the project for the distribution of profits corroborate compliance with this procedure.</w:t>
      </w:r>
    </w:p>
    <w:p w14:paraId="704EF599" w14:textId="77777777" w:rsidR="00275EC4" w:rsidRPr="005019F4" w:rsidRDefault="00275EC4" w:rsidP="003D3ABD">
      <w:pPr>
        <w:ind w:left="1607" w:right="542"/>
        <w:jc w:val="both"/>
        <w:rPr>
          <w:sz w:val="22"/>
          <w:szCs w:val="22"/>
          <w:lang w:val="en-CA" w:bidi="en-CA"/>
        </w:rPr>
      </w:pPr>
    </w:p>
    <w:p w14:paraId="2030E08D" w14:textId="77777777" w:rsidR="00275EC4" w:rsidRPr="005019F4" w:rsidRDefault="00275EC4" w:rsidP="003D3ABD">
      <w:pPr>
        <w:ind w:left="1607" w:right="542"/>
        <w:jc w:val="both"/>
        <w:rPr>
          <w:sz w:val="22"/>
          <w:szCs w:val="22"/>
          <w:lang w:val="en-CA" w:bidi="en-CA"/>
        </w:rPr>
      </w:pPr>
      <w:r w:rsidRPr="005019F4">
        <w:rPr>
          <w:sz w:val="22"/>
          <w:szCs w:val="22"/>
          <w:lang w:val="en-CA" w:bidi="en-CA"/>
        </w:rPr>
        <w:t>AR-13 - DoclD 4485 - Letter opening a bank account dated November</w:t>
      </w:r>
      <w:r w:rsidR="003D3ABD" w:rsidRPr="005019F4">
        <w:rPr>
          <w:sz w:val="22"/>
          <w:szCs w:val="22"/>
          <w:lang w:val="en-CA" w:bidi="en-CA"/>
        </w:rPr>
        <w:t> </w:t>
      </w:r>
      <w:r w:rsidRPr="005019F4">
        <w:rPr>
          <w:sz w:val="22"/>
          <w:szCs w:val="22"/>
          <w:lang w:val="en-CA" w:bidi="en-CA"/>
        </w:rPr>
        <w:t>15, 2000.</w:t>
      </w:r>
    </w:p>
    <w:p w14:paraId="0E233F57" w14:textId="0B2154F8" w:rsidR="00275EC4" w:rsidRPr="005019F4" w:rsidRDefault="00275EC4" w:rsidP="003D3ABD">
      <w:pPr>
        <w:ind w:left="1607" w:right="542"/>
        <w:jc w:val="both"/>
        <w:rPr>
          <w:sz w:val="22"/>
          <w:szCs w:val="22"/>
          <w:lang w:val="en-CA" w:bidi="en-CA"/>
        </w:rPr>
      </w:pPr>
      <w:r w:rsidRPr="005019F4">
        <w:rPr>
          <w:sz w:val="22"/>
          <w:szCs w:val="22"/>
          <w:lang w:val="en-CA" w:bidi="en-CA"/>
        </w:rPr>
        <w:t>AR-23 - Docld 4502 - Proof of payments to partners</w:t>
      </w:r>
      <w:r w:rsidR="005241E0">
        <w:rPr>
          <w:sz w:val="22"/>
          <w:szCs w:val="22"/>
          <w:lang w:val="en-CA" w:bidi="en-CA"/>
        </w:rPr>
        <w:t>.</w:t>
      </w:r>
      <w:r w:rsidRPr="005019F4">
        <w:rPr>
          <w:sz w:val="22"/>
          <w:szCs w:val="22"/>
          <w:vertAlign w:val="superscript"/>
          <w:lang w:val="en-CA" w:bidi="en-CA"/>
        </w:rPr>
        <w:footnoteReference w:id="107"/>
      </w:r>
    </w:p>
    <w:p w14:paraId="7941B655" w14:textId="77777777" w:rsidR="00275EC4" w:rsidRPr="0071186E" w:rsidRDefault="00275EC4" w:rsidP="00275EC4">
      <w:pPr>
        <w:spacing w:line="252" w:lineRule="auto"/>
        <w:ind w:left="1607" w:right="923"/>
        <w:jc w:val="both"/>
        <w:rPr>
          <w:color w:val="424242"/>
          <w:w w:val="105"/>
          <w:sz w:val="21"/>
          <w:lang w:val="en-CA" w:bidi="en-CA"/>
        </w:rPr>
      </w:pPr>
    </w:p>
    <w:p w14:paraId="68FCD0E4" w14:textId="56E999D1" w:rsidR="00275EC4" w:rsidRPr="0071186E" w:rsidRDefault="00275EC4" w:rsidP="003C61BE">
      <w:pPr>
        <w:pStyle w:val="SimpleL1"/>
        <w:rPr>
          <w:color w:val="181A18"/>
          <w:szCs w:val="24"/>
          <w:lang w:val="en-CA" w:bidi="en-CA"/>
        </w:rPr>
      </w:pPr>
      <w:r w:rsidRPr="0071186E">
        <w:rPr>
          <w:color w:val="181A18"/>
          <w:szCs w:val="24"/>
          <w:lang w:val="en-CA" w:bidi="en-CA"/>
        </w:rPr>
        <w:t xml:space="preserve">The </w:t>
      </w:r>
      <w:r w:rsidR="001A34B4" w:rsidRPr="0071186E">
        <w:rPr>
          <w:color w:val="181A18"/>
          <w:szCs w:val="24"/>
          <w:lang w:val="en-CA" w:bidi="en-CA"/>
        </w:rPr>
        <w:t>P</w:t>
      </w:r>
      <w:r w:rsidRPr="0071186E">
        <w:rPr>
          <w:color w:val="181A18"/>
          <w:szCs w:val="24"/>
          <w:lang w:val="en-CA" w:bidi="en-CA"/>
        </w:rPr>
        <w:t xml:space="preserve">arties also agreed that the amount should also </w:t>
      </w:r>
      <w:r w:rsidRPr="00A518EC">
        <w:rPr>
          <w:color w:val="181A18"/>
          <w:szCs w:val="24"/>
          <w:lang w:val="en-CA" w:bidi="en-CA"/>
        </w:rPr>
        <w:t>reflect 42.43%</w:t>
      </w:r>
      <w:r w:rsidRPr="0071186E">
        <w:rPr>
          <w:color w:val="181A18"/>
          <w:szCs w:val="24"/>
          <w:lang w:val="en-CA" w:bidi="en-CA"/>
        </w:rPr>
        <w:t xml:space="preserve"> inflation between 2002 and 2021. The </w:t>
      </w:r>
      <w:r w:rsidR="001A34B4" w:rsidRPr="0071186E">
        <w:rPr>
          <w:color w:val="181A18"/>
          <w:szCs w:val="24"/>
          <w:lang w:val="en-CA" w:bidi="en-CA"/>
        </w:rPr>
        <w:t xml:space="preserve">updated </w:t>
      </w:r>
      <w:r w:rsidRPr="0071186E">
        <w:rPr>
          <w:color w:val="181A18"/>
          <w:szCs w:val="24"/>
          <w:lang w:val="en-CA" w:bidi="en-CA"/>
        </w:rPr>
        <w:t xml:space="preserve">total </w:t>
      </w:r>
      <w:r w:rsidR="005241E0">
        <w:rPr>
          <w:color w:val="181A18"/>
          <w:szCs w:val="24"/>
          <w:lang w:val="en-CA" w:bidi="en-CA"/>
        </w:rPr>
        <w:t>is</w:t>
      </w:r>
      <w:r w:rsidRPr="0071186E">
        <w:rPr>
          <w:color w:val="181A18"/>
          <w:szCs w:val="24"/>
          <w:lang w:val="en-CA" w:bidi="en-CA"/>
        </w:rPr>
        <w:t xml:space="preserve"> $2,490,721.</w:t>
      </w:r>
    </w:p>
    <w:p w14:paraId="45E697F7" w14:textId="77777777" w:rsidR="00275EC4" w:rsidRPr="0071186E" w:rsidRDefault="00275EC4" w:rsidP="00313DEB">
      <w:pPr>
        <w:pStyle w:val="Titre4"/>
        <w:numPr>
          <w:ilvl w:val="0"/>
          <w:numId w:val="28"/>
        </w:numPr>
        <w:rPr>
          <w:lang w:val="en-CA" w:bidi="en-CA"/>
        </w:rPr>
      </w:pPr>
      <w:r w:rsidRPr="0071186E">
        <w:rPr>
          <w:lang w:val="en-CA" w:bidi="en-CA"/>
        </w:rPr>
        <w:t>Reparations to the victim</w:t>
      </w:r>
    </w:p>
    <w:p w14:paraId="3A60B01A" w14:textId="6486EEDF" w:rsidR="00275EC4" w:rsidRPr="0071186E" w:rsidRDefault="00275EC4" w:rsidP="00275EC4">
      <w:pPr>
        <w:pStyle w:val="SimpleL1"/>
        <w:rPr>
          <w:color w:val="181A18"/>
          <w:szCs w:val="24"/>
          <w:lang w:val="en-CA" w:bidi="en-CA"/>
        </w:rPr>
      </w:pPr>
      <w:r w:rsidRPr="0071186E">
        <w:rPr>
          <w:color w:val="181A18"/>
          <w:szCs w:val="24"/>
          <w:lang w:val="en-CA" w:bidi="en-CA"/>
        </w:rPr>
        <w:t xml:space="preserve">Section 715.34(1)(g) provides that the Agreement must contain a reference to any </w:t>
      </w:r>
      <w:r w:rsidR="001A34B4" w:rsidRPr="0071186E">
        <w:rPr>
          <w:color w:val="181A18"/>
          <w:szCs w:val="24"/>
          <w:lang w:val="en-CA" w:bidi="en-CA"/>
        </w:rPr>
        <w:t xml:space="preserve">reparations </w:t>
      </w:r>
      <w:r w:rsidRPr="0071186E">
        <w:rPr>
          <w:color w:val="181A18"/>
          <w:szCs w:val="24"/>
          <w:lang w:val="en-CA" w:bidi="en-CA"/>
        </w:rPr>
        <w:t xml:space="preserve">for the harm caused to the victims that the organization is required to </w:t>
      </w:r>
      <w:r w:rsidR="001A34B4" w:rsidRPr="0071186E">
        <w:rPr>
          <w:color w:val="181A18"/>
          <w:szCs w:val="24"/>
          <w:lang w:val="en-CA" w:bidi="en-CA"/>
        </w:rPr>
        <w:t xml:space="preserve">make </w:t>
      </w:r>
      <w:r w:rsidRPr="0071186E">
        <w:rPr>
          <w:color w:val="181A18"/>
          <w:szCs w:val="24"/>
          <w:lang w:val="en-CA" w:bidi="en-CA"/>
        </w:rPr>
        <w:t xml:space="preserve">in their regard, including any compensation referred to in </w:t>
      </w:r>
      <w:r w:rsidR="00890925">
        <w:rPr>
          <w:color w:val="181A18"/>
          <w:szCs w:val="24"/>
          <w:lang w:val="en-CA" w:bidi="en-CA"/>
        </w:rPr>
        <w:t>paragraphs</w:t>
      </w:r>
      <w:r w:rsidR="004E2391">
        <w:rPr>
          <w:color w:val="181A18"/>
          <w:szCs w:val="24"/>
          <w:lang w:val="en-CA" w:bidi="en-CA"/>
        </w:rPr>
        <w:t> </w:t>
      </w:r>
      <w:r w:rsidRPr="0071186E">
        <w:rPr>
          <w:color w:val="181A18"/>
          <w:szCs w:val="24"/>
          <w:lang w:val="en-CA" w:bidi="en-CA"/>
        </w:rPr>
        <w:t>738(1)(a) and (b)</w:t>
      </w:r>
      <w:r w:rsidR="008671D1" w:rsidRPr="0071186E">
        <w:rPr>
          <w:color w:val="181A18"/>
          <w:szCs w:val="24"/>
          <w:lang w:val="en-CA" w:bidi="en-CA"/>
        </w:rPr>
        <w:t> </w:t>
      </w:r>
      <w:r w:rsidR="00890925">
        <w:rPr>
          <w:color w:val="181A18"/>
          <w:szCs w:val="24"/>
          <w:lang w:val="en-CA" w:bidi="en-CA"/>
        </w:rPr>
        <w:t>Cr.</w:t>
      </w:r>
      <w:r w:rsidR="002D64D3">
        <w:rPr>
          <w:color w:val="181A18"/>
          <w:szCs w:val="24"/>
          <w:lang w:val="en-CA" w:bidi="en-CA"/>
        </w:rPr>
        <w:t> </w:t>
      </w:r>
      <w:r w:rsidR="00890925">
        <w:rPr>
          <w:color w:val="181A18"/>
          <w:szCs w:val="24"/>
          <w:lang w:val="en-CA" w:bidi="en-CA"/>
        </w:rPr>
        <w:t>C. P</w:t>
      </w:r>
      <w:r w:rsidRPr="0071186E">
        <w:rPr>
          <w:color w:val="181A18"/>
          <w:szCs w:val="24"/>
          <w:lang w:val="en-CA" w:bidi="en-CA"/>
        </w:rPr>
        <w:t>aragraph (a) is relevant here and allows the Court to order the Organizations to pay the victim "an amount not exceeding the replacement value of the property as of the date the order is imposed, less the value of any part of the property that is returned to that person as of the date it is returned, where the amount is readily ascertainable”</w:t>
      </w:r>
      <w:r w:rsidR="002D64D3">
        <w:rPr>
          <w:color w:val="181A18"/>
          <w:szCs w:val="24"/>
          <w:lang w:val="en-CA" w:bidi="en-CA"/>
        </w:rPr>
        <w:t>.</w:t>
      </w:r>
    </w:p>
    <w:p w14:paraId="2A50B954" w14:textId="2786BE73" w:rsidR="00275EC4" w:rsidRPr="0071186E" w:rsidRDefault="00275EC4" w:rsidP="00275EC4">
      <w:pPr>
        <w:pStyle w:val="SimpleL1"/>
        <w:rPr>
          <w:color w:val="181A18"/>
          <w:szCs w:val="24"/>
          <w:lang w:val="en-CA" w:bidi="en-CA"/>
        </w:rPr>
      </w:pPr>
      <w:r w:rsidRPr="0071186E">
        <w:rPr>
          <w:color w:val="181A18"/>
          <w:szCs w:val="24"/>
          <w:lang w:val="en-CA" w:bidi="en-CA"/>
        </w:rPr>
        <w:t>The victim provided a statement on April</w:t>
      </w:r>
      <w:r w:rsidR="003D3ABD" w:rsidRPr="0071186E">
        <w:rPr>
          <w:color w:val="181A18"/>
          <w:szCs w:val="24"/>
          <w:lang w:val="en-CA" w:bidi="en-CA"/>
        </w:rPr>
        <w:t> </w:t>
      </w:r>
      <w:r w:rsidRPr="0071186E">
        <w:rPr>
          <w:color w:val="181A18"/>
          <w:szCs w:val="24"/>
          <w:lang w:val="en-CA" w:bidi="en-CA"/>
        </w:rPr>
        <w:t>14, 2022</w:t>
      </w:r>
      <w:r w:rsidR="002D64D3">
        <w:rPr>
          <w:color w:val="181A18"/>
          <w:szCs w:val="24"/>
          <w:lang w:val="en-CA" w:bidi="en-CA"/>
        </w:rPr>
        <w:t>.</w:t>
      </w:r>
      <w:r w:rsidRPr="0071186E">
        <w:rPr>
          <w:color w:val="181A18"/>
          <w:szCs w:val="24"/>
          <w:vertAlign w:val="superscript"/>
          <w:lang w:val="en-CA" w:bidi="en-CA"/>
        </w:rPr>
        <w:footnoteReference w:id="108"/>
      </w:r>
      <w:r w:rsidRPr="0071186E">
        <w:rPr>
          <w:color w:val="181A18"/>
          <w:szCs w:val="24"/>
          <w:lang w:val="en-CA" w:bidi="en-CA"/>
        </w:rPr>
        <w:t xml:space="preserve"> This statement was accompanied by 45 paragraphs of written submissions. Of these 45</w:t>
      </w:r>
      <w:r w:rsidR="003D3ABD" w:rsidRPr="0071186E">
        <w:rPr>
          <w:color w:val="181A18"/>
          <w:szCs w:val="24"/>
          <w:lang w:val="en-CA" w:bidi="en-CA"/>
        </w:rPr>
        <w:t> </w:t>
      </w:r>
      <w:r w:rsidRPr="0071186E">
        <w:rPr>
          <w:color w:val="181A18"/>
          <w:szCs w:val="24"/>
          <w:lang w:val="en-CA" w:bidi="en-CA"/>
        </w:rPr>
        <w:t>paragraphs, two paragraphs directly addressed the economic harm suffered by the victim.</w:t>
      </w:r>
    </w:p>
    <w:p w14:paraId="75E283DC" w14:textId="77777777" w:rsidR="00275EC4" w:rsidRPr="0071186E" w:rsidRDefault="00275EC4" w:rsidP="00275EC4">
      <w:pPr>
        <w:pStyle w:val="SimpleL1"/>
        <w:rPr>
          <w:color w:val="181A18"/>
          <w:szCs w:val="24"/>
          <w:lang w:val="en-CA" w:bidi="en-CA"/>
        </w:rPr>
      </w:pPr>
      <w:r w:rsidRPr="0071186E">
        <w:rPr>
          <w:color w:val="181A18"/>
          <w:szCs w:val="24"/>
          <w:lang w:val="en-CA" w:bidi="en-CA"/>
        </w:rPr>
        <w:t xml:space="preserve">The Organizations objected to the Victim Impact Statement, since, in their opinion, the said statement went beyond describing the economic impact </w:t>
      </w:r>
      <w:r w:rsidR="001A34B4" w:rsidRPr="0071186E">
        <w:rPr>
          <w:color w:val="181A18"/>
          <w:szCs w:val="24"/>
          <w:lang w:val="en-CA" w:bidi="en-CA"/>
        </w:rPr>
        <w:t xml:space="preserve">suffered by </w:t>
      </w:r>
      <w:r w:rsidRPr="0071186E">
        <w:rPr>
          <w:color w:val="181A18"/>
          <w:szCs w:val="24"/>
          <w:lang w:val="en-CA" w:bidi="en-CA"/>
        </w:rPr>
        <w:t>the victim.</w:t>
      </w:r>
    </w:p>
    <w:p w14:paraId="0DE97F8B" w14:textId="1C380AF8" w:rsidR="00275EC4" w:rsidRPr="0071186E" w:rsidRDefault="00275EC4" w:rsidP="00275EC4">
      <w:pPr>
        <w:pStyle w:val="SimpleL1"/>
        <w:rPr>
          <w:color w:val="181A18"/>
          <w:szCs w:val="24"/>
          <w:lang w:val="en-CA" w:bidi="en-CA"/>
        </w:rPr>
      </w:pPr>
      <w:r w:rsidRPr="0071186E">
        <w:rPr>
          <w:color w:val="181A18"/>
          <w:szCs w:val="24"/>
          <w:lang w:val="en-CA" w:bidi="en-CA"/>
        </w:rPr>
        <w:t>The victim and the Organizations finally agreed on content</w:t>
      </w:r>
      <w:r w:rsidR="002D64D3">
        <w:rPr>
          <w:color w:val="181A18"/>
          <w:szCs w:val="24"/>
          <w:lang w:val="en-CA" w:bidi="en-CA"/>
        </w:rPr>
        <w:t xml:space="preserve"> that was</w:t>
      </w:r>
      <w:r w:rsidRPr="0071186E">
        <w:rPr>
          <w:color w:val="181A18"/>
          <w:szCs w:val="24"/>
          <w:lang w:val="en-CA" w:bidi="en-CA"/>
        </w:rPr>
        <w:t xml:space="preserve"> read at the hearing and it is only the said content that the Court considers admissible. In any event, </w:t>
      </w:r>
      <w:r w:rsidRPr="0071186E">
        <w:rPr>
          <w:color w:val="181A18"/>
          <w:szCs w:val="24"/>
          <w:lang w:val="en-CA" w:bidi="en-CA"/>
        </w:rPr>
        <w:lastRenderedPageBreak/>
        <w:t xml:space="preserve">the Court would have </w:t>
      </w:r>
      <w:r w:rsidR="002D64D3">
        <w:rPr>
          <w:color w:val="181A18"/>
          <w:szCs w:val="24"/>
          <w:lang w:val="en-CA" w:bidi="en-CA"/>
        </w:rPr>
        <w:t>set aside</w:t>
      </w:r>
      <w:r w:rsidR="002D64D3" w:rsidRPr="0071186E">
        <w:rPr>
          <w:color w:val="181A18"/>
          <w:szCs w:val="24"/>
          <w:lang w:val="en-CA" w:bidi="en-CA"/>
        </w:rPr>
        <w:t xml:space="preserve"> </w:t>
      </w:r>
      <w:r w:rsidR="002D64D3">
        <w:rPr>
          <w:color w:val="181A18"/>
          <w:szCs w:val="24"/>
          <w:lang w:val="en-CA" w:bidi="en-CA"/>
        </w:rPr>
        <w:t>any of the victim’s</w:t>
      </w:r>
      <w:r w:rsidRPr="0071186E">
        <w:rPr>
          <w:color w:val="181A18"/>
          <w:szCs w:val="24"/>
          <w:lang w:val="en-CA" w:bidi="en-CA"/>
        </w:rPr>
        <w:t xml:space="preserve"> general remarks </w:t>
      </w:r>
      <w:r w:rsidR="002D64D3">
        <w:rPr>
          <w:color w:val="181A18"/>
          <w:szCs w:val="24"/>
          <w:lang w:val="en-CA" w:bidi="en-CA"/>
        </w:rPr>
        <w:t>that</w:t>
      </w:r>
      <w:r w:rsidRPr="0071186E">
        <w:rPr>
          <w:color w:val="181A18"/>
          <w:szCs w:val="24"/>
          <w:lang w:val="en-CA" w:bidi="en-CA"/>
        </w:rPr>
        <w:t xml:space="preserve"> go beyond the description of </w:t>
      </w:r>
      <w:r w:rsidR="001A34B4" w:rsidRPr="0071186E">
        <w:rPr>
          <w:color w:val="181A18"/>
          <w:szCs w:val="24"/>
          <w:lang w:val="en-CA" w:bidi="en-CA"/>
        </w:rPr>
        <w:t xml:space="preserve">its </w:t>
      </w:r>
      <w:r w:rsidRPr="0071186E">
        <w:rPr>
          <w:color w:val="181A18"/>
          <w:szCs w:val="24"/>
          <w:lang w:val="en-CA" w:bidi="en-CA"/>
        </w:rPr>
        <w:t>own damages</w:t>
      </w:r>
      <w:r w:rsidR="002D64D3">
        <w:rPr>
          <w:color w:val="181A18"/>
          <w:szCs w:val="24"/>
          <w:lang w:val="en-CA" w:bidi="en-CA"/>
        </w:rPr>
        <w:t>.</w:t>
      </w:r>
      <w:r w:rsidRPr="0071186E">
        <w:rPr>
          <w:color w:val="181A18"/>
          <w:szCs w:val="24"/>
          <w:vertAlign w:val="superscript"/>
          <w:lang w:val="en-CA" w:bidi="en-CA"/>
        </w:rPr>
        <w:footnoteReference w:id="109"/>
      </w:r>
    </w:p>
    <w:p w14:paraId="51CEAB45" w14:textId="1089DA65" w:rsidR="00275EC4" w:rsidRPr="0071186E" w:rsidRDefault="00275EC4" w:rsidP="00275EC4">
      <w:pPr>
        <w:pStyle w:val="SimpleL1"/>
        <w:rPr>
          <w:color w:val="181A18"/>
          <w:szCs w:val="24"/>
          <w:lang w:val="en-CA" w:bidi="en-CA"/>
        </w:rPr>
      </w:pPr>
      <w:r w:rsidRPr="0071186E">
        <w:rPr>
          <w:color w:val="181A18"/>
          <w:szCs w:val="24"/>
          <w:lang w:val="en-CA" w:bidi="en-CA"/>
        </w:rPr>
        <w:t xml:space="preserve">The victim assesses </w:t>
      </w:r>
      <w:r w:rsidR="001A34B4" w:rsidRPr="0071186E">
        <w:rPr>
          <w:color w:val="181A18"/>
          <w:szCs w:val="24"/>
          <w:lang w:val="en-CA" w:bidi="en-CA"/>
        </w:rPr>
        <w:t xml:space="preserve">its </w:t>
      </w:r>
      <w:r w:rsidRPr="0071186E">
        <w:rPr>
          <w:color w:val="181A18"/>
          <w:szCs w:val="24"/>
          <w:lang w:val="en-CA" w:bidi="en-CA"/>
        </w:rPr>
        <w:t xml:space="preserve">economic loss </w:t>
      </w:r>
      <w:r w:rsidR="0010732D">
        <w:rPr>
          <w:color w:val="181A18"/>
          <w:szCs w:val="24"/>
          <w:lang w:val="en-CA" w:bidi="en-CA"/>
        </w:rPr>
        <w:t>based on</w:t>
      </w:r>
      <w:r w:rsidR="0010732D" w:rsidRPr="0071186E">
        <w:rPr>
          <w:color w:val="181A18"/>
          <w:szCs w:val="24"/>
          <w:lang w:val="en-CA" w:bidi="en-CA"/>
        </w:rPr>
        <w:t xml:space="preserve"> </w:t>
      </w:r>
      <w:r w:rsidRPr="0071186E">
        <w:rPr>
          <w:color w:val="181A18"/>
          <w:szCs w:val="24"/>
          <w:lang w:val="en-CA" w:bidi="en-CA"/>
        </w:rPr>
        <w:t xml:space="preserve">the established amount of bribes paid. According to the victim, this amount is the starting point for calculating </w:t>
      </w:r>
      <w:r w:rsidR="001A34B4" w:rsidRPr="0071186E">
        <w:rPr>
          <w:color w:val="181A18"/>
          <w:szCs w:val="24"/>
          <w:lang w:val="en-CA" w:bidi="en-CA"/>
        </w:rPr>
        <w:t xml:space="preserve">its </w:t>
      </w:r>
      <w:r w:rsidRPr="0071186E">
        <w:rPr>
          <w:color w:val="181A18"/>
          <w:szCs w:val="24"/>
          <w:lang w:val="en-CA" w:bidi="en-CA"/>
        </w:rPr>
        <w:t xml:space="preserve">damages. The assessment should also take into account various factors including, in particular, the costs generated by this breach of the </w:t>
      </w:r>
      <w:r w:rsidR="0010732D" w:rsidRPr="0071186E">
        <w:rPr>
          <w:color w:val="181A18"/>
          <w:szCs w:val="24"/>
          <w:lang w:val="en-CA" w:bidi="en-CA"/>
        </w:rPr>
        <w:t xml:space="preserve">arm's length </w:t>
      </w:r>
      <w:r w:rsidRPr="0071186E">
        <w:rPr>
          <w:color w:val="181A18"/>
          <w:szCs w:val="24"/>
          <w:lang w:val="en-CA" w:bidi="en-CA"/>
        </w:rPr>
        <w:t xml:space="preserve">principle in awarding public contracts </w:t>
      </w:r>
      <w:r w:rsidR="0010732D">
        <w:rPr>
          <w:color w:val="181A18"/>
          <w:szCs w:val="24"/>
          <w:lang w:val="en-CA" w:bidi="en-CA"/>
        </w:rPr>
        <w:t>that</w:t>
      </w:r>
      <w:r w:rsidR="0010732D" w:rsidRPr="0071186E">
        <w:rPr>
          <w:color w:val="181A18"/>
          <w:szCs w:val="24"/>
          <w:lang w:val="en-CA" w:bidi="en-CA"/>
        </w:rPr>
        <w:t xml:space="preserve"> </w:t>
      </w:r>
      <w:r w:rsidRPr="0071186E">
        <w:rPr>
          <w:color w:val="181A18"/>
          <w:szCs w:val="24"/>
          <w:lang w:val="en-CA" w:bidi="en-CA"/>
        </w:rPr>
        <w:t>has, among other things, the potential effect of discouraging certain bidders from participating in calls for tenders.</w:t>
      </w:r>
    </w:p>
    <w:p w14:paraId="008D639E" w14:textId="0DE44ED7" w:rsidR="00275EC4" w:rsidRPr="0071186E" w:rsidRDefault="00275EC4" w:rsidP="00275EC4">
      <w:pPr>
        <w:pStyle w:val="SimpleL1"/>
        <w:rPr>
          <w:color w:val="181A18"/>
          <w:szCs w:val="24"/>
          <w:lang w:val="en-CA" w:bidi="en-CA"/>
        </w:rPr>
      </w:pPr>
      <w:r w:rsidRPr="0071186E">
        <w:rPr>
          <w:color w:val="181A18"/>
          <w:szCs w:val="24"/>
          <w:lang w:val="en-CA" w:bidi="en-CA"/>
        </w:rPr>
        <w:t xml:space="preserve">The victim was informed that the Prosecutor had </w:t>
      </w:r>
      <w:r w:rsidR="00CF0C23">
        <w:rPr>
          <w:color w:val="181A18"/>
          <w:szCs w:val="24"/>
          <w:lang w:val="en-CA" w:bidi="en-CA"/>
        </w:rPr>
        <w:t>analyzed</w:t>
      </w:r>
      <w:r w:rsidRPr="0071186E">
        <w:rPr>
          <w:color w:val="181A18"/>
          <w:szCs w:val="24"/>
          <w:lang w:val="en-CA" w:bidi="en-CA"/>
        </w:rPr>
        <w:t xml:space="preserve"> its economic loss. Although </w:t>
      </w:r>
      <w:r w:rsidR="00CF0C23">
        <w:rPr>
          <w:color w:val="181A18"/>
          <w:szCs w:val="24"/>
          <w:lang w:val="en-CA" w:bidi="en-CA"/>
        </w:rPr>
        <w:t>the results of the analysis</w:t>
      </w:r>
      <w:r w:rsidR="00CF0C23" w:rsidRPr="0071186E">
        <w:rPr>
          <w:color w:val="181A18"/>
          <w:szCs w:val="24"/>
          <w:lang w:val="en-CA" w:bidi="en-CA"/>
        </w:rPr>
        <w:t xml:space="preserve"> </w:t>
      </w:r>
      <w:r w:rsidR="00CF0C23">
        <w:rPr>
          <w:color w:val="181A18"/>
          <w:szCs w:val="24"/>
          <w:lang w:val="en-CA" w:bidi="en-CA"/>
        </w:rPr>
        <w:t>were</w:t>
      </w:r>
      <w:r w:rsidR="00CF0C23" w:rsidRPr="0071186E">
        <w:rPr>
          <w:color w:val="181A18"/>
          <w:szCs w:val="24"/>
          <w:lang w:val="en-CA" w:bidi="en-CA"/>
        </w:rPr>
        <w:t xml:space="preserve"> </w:t>
      </w:r>
      <w:r w:rsidRPr="0071186E">
        <w:rPr>
          <w:color w:val="181A18"/>
          <w:szCs w:val="24"/>
          <w:lang w:val="en-CA" w:bidi="en-CA"/>
        </w:rPr>
        <w:t xml:space="preserve">not shared with the </w:t>
      </w:r>
      <w:r w:rsidR="001A34B4" w:rsidRPr="0071186E">
        <w:rPr>
          <w:color w:val="181A18"/>
          <w:szCs w:val="24"/>
          <w:lang w:val="en-CA" w:bidi="en-CA"/>
        </w:rPr>
        <w:t>victim</w:t>
      </w:r>
      <w:r w:rsidRPr="0071186E">
        <w:rPr>
          <w:color w:val="181A18"/>
          <w:szCs w:val="24"/>
          <w:lang w:val="en-CA" w:bidi="en-CA"/>
        </w:rPr>
        <w:t xml:space="preserve">, </w:t>
      </w:r>
      <w:r w:rsidR="001A34B4" w:rsidRPr="0071186E">
        <w:rPr>
          <w:color w:val="181A18"/>
          <w:szCs w:val="24"/>
          <w:lang w:val="en-CA" w:bidi="en-CA"/>
        </w:rPr>
        <w:t xml:space="preserve">said victim </w:t>
      </w:r>
      <w:r w:rsidRPr="0071186E">
        <w:rPr>
          <w:color w:val="181A18"/>
          <w:szCs w:val="24"/>
          <w:lang w:val="en-CA" w:bidi="en-CA"/>
        </w:rPr>
        <w:t>indicate</w:t>
      </w:r>
      <w:r w:rsidR="00CF0C23">
        <w:rPr>
          <w:color w:val="181A18"/>
          <w:szCs w:val="24"/>
          <w:lang w:val="en-CA" w:bidi="en-CA"/>
        </w:rPr>
        <w:t>d</w:t>
      </w:r>
      <w:r w:rsidRPr="0071186E">
        <w:rPr>
          <w:color w:val="181A18"/>
          <w:szCs w:val="24"/>
          <w:lang w:val="en-CA" w:bidi="en-CA"/>
        </w:rPr>
        <w:t xml:space="preserve"> in writing </w:t>
      </w:r>
      <w:r w:rsidR="00CF0C23">
        <w:rPr>
          <w:color w:val="181A18"/>
          <w:szCs w:val="24"/>
          <w:lang w:val="en-CA" w:bidi="en-CA"/>
        </w:rPr>
        <w:t>that it relied on it</w:t>
      </w:r>
      <w:r w:rsidRPr="0071186E">
        <w:rPr>
          <w:color w:val="181A18"/>
          <w:szCs w:val="24"/>
          <w:lang w:val="en-CA" w:bidi="en-CA"/>
        </w:rPr>
        <w:t>.</w:t>
      </w:r>
    </w:p>
    <w:p w14:paraId="4B3346F1" w14:textId="2E713E8E" w:rsidR="00275EC4" w:rsidRPr="0071186E" w:rsidRDefault="00275EC4" w:rsidP="00275EC4">
      <w:pPr>
        <w:pStyle w:val="SimpleL1"/>
        <w:rPr>
          <w:color w:val="181A18"/>
          <w:szCs w:val="24"/>
          <w:lang w:val="en-CA" w:bidi="en-CA"/>
        </w:rPr>
      </w:pPr>
      <w:r w:rsidRPr="0071186E">
        <w:rPr>
          <w:color w:val="181A18"/>
          <w:szCs w:val="24"/>
          <w:lang w:val="en-CA" w:bidi="en-CA"/>
        </w:rPr>
        <w:t xml:space="preserve">According to </w:t>
      </w:r>
      <w:r w:rsidR="008E4185">
        <w:rPr>
          <w:color w:val="181A18"/>
          <w:szCs w:val="24"/>
          <w:lang w:val="en-CA" w:bidi="en-CA"/>
        </w:rPr>
        <w:t xml:space="preserve">the </w:t>
      </w:r>
      <w:r w:rsidRPr="0071186E">
        <w:rPr>
          <w:color w:val="181A18"/>
          <w:szCs w:val="24"/>
          <w:lang w:val="en-CA" w:bidi="en-CA"/>
        </w:rPr>
        <w:t xml:space="preserve">case law, if there is </w:t>
      </w:r>
      <w:r w:rsidR="001A34B4" w:rsidRPr="0071186E">
        <w:rPr>
          <w:color w:val="181A18"/>
          <w:szCs w:val="24"/>
          <w:lang w:val="en-CA" w:bidi="en-CA"/>
        </w:rPr>
        <w:t xml:space="preserve">a </w:t>
      </w:r>
      <w:r w:rsidRPr="0071186E">
        <w:rPr>
          <w:color w:val="181A18"/>
          <w:szCs w:val="24"/>
          <w:lang w:val="en-CA" w:bidi="en-CA"/>
        </w:rPr>
        <w:t xml:space="preserve">serious dispute as to the determination of the actual amount of the loss, restitution should not be ordered, </w:t>
      </w:r>
      <w:r w:rsidR="008E4185">
        <w:rPr>
          <w:color w:val="181A18"/>
          <w:szCs w:val="24"/>
          <w:lang w:val="en-CA" w:bidi="en-CA"/>
        </w:rPr>
        <w:t>because</w:t>
      </w:r>
      <w:r w:rsidR="008E4185" w:rsidRPr="0071186E">
        <w:rPr>
          <w:color w:val="181A18"/>
          <w:szCs w:val="24"/>
          <w:lang w:val="en-CA" w:bidi="en-CA"/>
        </w:rPr>
        <w:t xml:space="preserve"> </w:t>
      </w:r>
      <w:r w:rsidRPr="0071186E">
        <w:rPr>
          <w:color w:val="181A18"/>
          <w:szCs w:val="24"/>
          <w:lang w:val="en-CA" w:bidi="en-CA"/>
        </w:rPr>
        <w:t>the criminal courts should not replace the civil courts</w:t>
      </w:r>
      <w:r w:rsidR="008E4185">
        <w:rPr>
          <w:color w:val="181A18"/>
          <w:szCs w:val="24"/>
          <w:lang w:val="en-CA" w:bidi="en-CA"/>
        </w:rPr>
        <w:t>.</w:t>
      </w:r>
      <w:r w:rsidRPr="0071186E">
        <w:rPr>
          <w:color w:val="181A18"/>
          <w:szCs w:val="24"/>
          <w:vertAlign w:val="superscript"/>
          <w:lang w:val="en-CA" w:bidi="en-CA"/>
        </w:rPr>
        <w:footnoteReference w:id="110"/>
      </w:r>
      <w:r w:rsidRPr="0071186E">
        <w:rPr>
          <w:color w:val="181A18"/>
          <w:szCs w:val="24"/>
          <w:lang w:val="en-CA" w:bidi="en-CA"/>
        </w:rPr>
        <w:t xml:space="preserve"> The question of determining this amount in corruption cases is delicate. </w:t>
      </w:r>
      <w:r w:rsidR="008E4185">
        <w:rPr>
          <w:color w:val="181A18"/>
          <w:szCs w:val="24"/>
          <w:lang w:val="en-CA" w:bidi="en-CA"/>
        </w:rPr>
        <w:t>Where</w:t>
      </w:r>
      <w:r w:rsidRPr="0071186E">
        <w:rPr>
          <w:color w:val="181A18"/>
          <w:szCs w:val="24"/>
          <w:lang w:val="en-CA" w:bidi="en-CA"/>
        </w:rPr>
        <w:t xml:space="preserve"> </w:t>
      </w:r>
      <w:r w:rsidR="008E4185">
        <w:rPr>
          <w:color w:val="181A18"/>
          <w:szCs w:val="24"/>
          <w:lang w:val="en-CA" w:bidi="en-CA"/>
        </w:rPr>
        <w:t>the</w:t>
      </w:r>
      <w:r w:rsidRPr="0071186E">
        <w:rPr>
          <w:color w:val="181A18"/>
          <w:szCs w:val="24"/>
          <w:lang w:val="en-CA" w:bidi="en-CA"/>
        </w:rPr>
        <w:t xml:space="preserve"> entity has not been able to benefit from free competition in the </w:t>
      </w:r>
      <w:r w:rsidR="001A34B4" w:rsidRPr="0071186E">
        <w:rPr>
          <w:color w:val="181A18"/>
          <w:szCs w:val="24"/>
          <w:lang w:val="en-CA" w:bidi="en-CA"/>
        </w:rPr>
        <w:t xml:space="preserve">call for </w:t>
      </w:r>
      <w:r w:rsidRPr="0071186E">
        <w:rPr>
          <w:color w:val="181A18"/>
          <w:szCs w:val="24"/>
          <w:lang w:val="en-CA" w:bidi="en-CA"/>
        </w:rPr>
        <w:t xml:space="preserve">tender due to corruption, the damage is that it </w:t>
      </w:r>
      <w:r w:rsidR="008E4185">
        <w:rPr>
          <w:color w:val="181A18"/>
          <w:szCs w:val="24"/>
          <w:lang w:val="en-CA" w:bidi="en-CA"/>
        </w:rPr>
        <w:t>was</w:t>
      </w:r>
      <w:r w:rsidRPr="0071186E">
        <w:rPr>
          <w:color w:val="181A18"/>
          <w:szCs w:val="24"/>
          <w:lang w:val="en-CA" w:bidi="en-CA"/>
        </w:rPr>
        <w:t xml:space="preserve"> deprived of the best price </w:t>
      </w:r>
      <w:r w:rsidR="008E4185">
        <w:rPr>
          <w:color w:val="181A18"/>
          <w:szCs w:val="24"/>
          <w:lang w:val="en-CA" w:bidi="en-CA"/>
        </w:rPr>
        <w:t>coming</w:t>
      </w:r>
      <w:r w:rsidR="008E4185" w:rsidRPr="0071186E">
        <w:rPr>
          <w:color w:val="181A18"/>
          <w:szCs w:val="24"/>
          <w:lang w:val="en-CA" w:bidi="en-CA"/>
        </w:rPr>
        <w:t xml:space="preserve"> </w:t>
      </w:r>
      <w:r w:rsidRPr="0071186E">
        <w:rPr>
          <w:color w:val="181A18"/>
          <w:szCs w:val="24"/>
          <w:lang w:val="en-CA" w:bidi="en-CA"/>
        </w:rPr>
        <w:t>from the lowest compliant bidder</w:t>
      </w:r>
      <w:r w:rsidR="008E4185">
        <w:rPr>
          <w:color w:val="181A18"/>
          <w:szCs w:val="24"/>
          <w:lang w:val="en-CA" w:bidi="en-CA"/>
        </w:rPr>
        <w:t>.</w:t>
      </w:r>
      <w:r w:rsidRPr="0071186E">
        <w:rPr>
          <w:color w:val="181A18"/>
          <w:szCs w:val="24"/>
          <w:vertAlign w:val="superscript"/>
          <w:lang w:val="en-CA" w:bidi="en-CA"/>
        </w:rPr>
        <w:footnoteReference w:id="111"/>
      </w:r>
    </w:p>
    <w:p w14:paraId="09355B48" w14:textId="5B131287" w:rsidR="00275EC4" w:rsidRPr="0071186E" w:rsidRDefault="00275EC4" w:rsidP="00275EC4">
      <w:pPr>
        <w:pStyle w:val="SimpleL1"/>
        <w:rPr>
          <w:color w:val="181A18"/>
          <w:szCs w:val="24"/>
          <w:lang w:val="en-CA" w:bidi="en-CA"/>
        </w:rPr>
      </w:pPr>
      <w:r w:rsidRPr="0071186E">
        <w:rPr>
          <w:color w:val="181A18"/>
          <w:szCs w:val="24"/>
          <w:lang w:val="en-CA" w:bidi="en-CA"/>
        </w:rPr>
        <w:t>The parties recognize the difficulty of establishing the loss suffered by the victim. They agreed that the minimum amount of the loss incurred by the victim is the amount of the bribes in favour of Michel Fournier, i.e.</w:t>
      </w:r>
      <w:r w:rsidR="008E7D8A">
        <w:rPr>
          <w:color w:val="181A18"/>
          <w:szCs w:val="24"/>
          <w:lang w:val="en-CA" w:bidi="en-CA"/>
        </w:rPr>
        <w:t>,</w:t>
      </w:r>
      <w:r w:rsidRPr="0071186E">
        <w:rPr>
          <w:color w:val="181A18"/>
          <w:szCs w:val="24"/>
          <w:lang w:val="en-CA" w:bidi="en-CA"/>
        </w:rPr>
        <w:t xml:space="preserve"> $2,231,343, in addition to $113,887 for the intermediary, for a total of $2,345,230. This amount is </w:t>
      </w:r>
      <w:r w:rsidR="008E7D8A">
        <w:rPr>
          <w:color w:val="181A18"/>
          <w:szCs w:val="24"/>
          <w:lang w:val="en-CA" w:bidi="en-CA"/>
        </w:rPr>
        <w:t>adjusted for inflation</w:t>
      </w:r>
      <w:r w:rsidR="008E7D8A" w:rsidRPr="0071186E">
        <w:rPr>
          <w:color w:val="181A18"/>
          <w:szCs w:val="24"/>
          <w:lang w:val="en-CA" w:bidi="en-CA"/>
        </w:rPr>
        <w:t xml:space="preserve"> </w:t>
      </w:r>
      <w:r w:rsidRPr="0071186E">
        <w:rPr>
          <w:color w:val="181A18"/>
          <w:szCs w:val="24"/>
          <w:lang w:val="en-CA" w:bidi="en-CA"/>
        </w:rPr>
        <w:t xml:space="preserve">at a rate of 48.91% between 2000 and 2021, to </w:t>
      </w:r>
      <w:r w:rsidR="001A34B4" w:rsidRPr="0071186E">
        <w:rPr>
          <w:color w:val="181A18"/>
          <w:szCs w:val="24"/>
          <w:lang w:val="en-CA" w:bidi="en-CA"/>
        </w:rPr>
        <w:t xml:space="preserve">reach </w:t>
      </w:r>
      <w:r w:rsidRPr="0071186E">
        <w:rPr>
          <w:color w:val="181A18"/>
          <w:szCs w:val="24"/>
          <w:lang w:val="en-CA" w:bidi="en-CA"/>
        </w:rPr>
        <w:t>$3,492,380.</w:t>
      </w:r>
    </w:p>
    <w:p w14:paraId="5EFB7BEC" w14:textId="7FFC3C60" w:rsidR="00275EC4" w:rsidRPr="0071186E" w:rsidRDefault="00275EC4" w:rsidP="00275EC4">
      <w:pPr>
        <w:pStyle w:val="SimpleL1"/>
        <w:rPr>
          <w:color w:val="181A18"/>
          <w:szCs w:val="24"/>
          <w:lang w:val="en-CA" w:bidi="en-CA"/>
        </w:rPr>
      </w:pPr>
      <w:r w:rsidRPr="0071186E">
        <w:rPr>
          <w:color w:val="181A18"/>
          <w:szCs w:val="24"/>
          <w:lang w:val="en-CA" w:bidi="en-CA"/>
        </w:rPr>
        <w:t xml:space="preserve">The Prosecutor acknowledges that based on </w:t>
      </w:r>
      <w:r w:rsidRPr="0071186E">
        <w:rPr>
          <w:i/>
          <w:color w:val="181A18"/>
          <w:szCs w:val="24"/>
          <w:lang w:val="en-CA" w:bidi="en-CA"/>
        </w:rPr>
        <w:t>Michaud</w:t>
      </w:r>
      <w:r w:rsidRPr="006B7F16">
        <w:rPr>
          <w:color w:val="181A18"/>
          <w:szCs w:val="24"/>
          <w:lang w:val="en-CA" w:bidi="en-CA"/>
        </w:rPr>
        <w:t xml:space="preserve">, </w:t>
      </w:r>
      <w:r w:rsidR="00CC6523">
        <w:rPr>
          <w:color w:val="181A18"/>
          <w:szCs w:val="24"/>
          <w:lang w:val="en-CA" w:bidi="en-CA"/>
        </w:rPr>
        <w:t>[</w:t>
      </w:r>
      <w:r w:rsidR="00CC6523" w:rsidRPr="006B7F16">
        <w:rPr>
          <w:smallCaps/>
          <w:color w:val="181A18"/>
          <w:szCs w:val="24"/>
          <w:lang w:val="en-CA" w:bidi="en-CA"/>
        </w:rPr>
        <w:t>translation</w:t>
      </w:r>
      <w:r w:rsidR="00CC6523">
        <w:rPr>
          <w:color w:val="181A18"/>
          <w:szCs w:val="24"/>
          <w:lang w:val="en-CA" w:bidi="en-CA"/>
        </w:rPr>
        <w:t>]</w:t>
      </w:r>
      <w:r w:rsidR="00CC6523">
        <w:rPr>
          <w:rFonts w:ascii="MS Gothic" w:eastAsia="Malgun Gothic" w:hAnsi="MS Gothic" w:cs="MS Gothic" w:hint="eastAsia"/>
          <w:color w:val="181A18"/>
          <w:szCs w:val="24"/>
          <w:lang w:val="en-CA" w:eastAsia="ko-KR" w:bidi="en-CA"/>
        </w:rPr>
        <w:t xml:space="preserve"> </w:t>
      </w:r>
      <w:r w:rsidRPr="0071186E">
        <w:rPr>
          <w:color w:val="181A18"/>
          <w:szCs w:val="24"/>
          <w:lang w:val="en-CA" w:bidi="en-CA"/>
        </w:rPr>
        <w:t>“the rigging of</w:t>
      </w:r>
      <w:r w:rsidR="00CC6523">
        <w:rPr>
          <w:color w:val="181A18"/>
          <w:szCs w:val="24"/>
          <w:lang w:val="en-CA" w:bidi="en-CA"/>
        </w:rPr>
        <w:t xml:space="preserve"> calls for</w:t>
      </w:r>
      <w:r w:rsidRPr="0071186E">
        <w:rPr>
          <w:color w:val="181A18"/>
          <w:szCs w:val="24"/>
          <w:lang w:val="en-CA" w:bidi="en-CA"/>
        </w:rPr>
        <w:t xml:space="preserve"> tender</w:t>
      </w:r>
      <w:r w:rsidR="00CC6523">
        <w:rPr>
          <w:color w:val="181A18"/>
          <w:szCs w:val="24"/>
          <w:lang w:val="en-CA" w:bidi="en-CA"/>
        </w:rPr>
        <w:t>s</w:t>
      </w:r>
      <w:r w:rsidRPr="0071186E">
        <w:rPr>
          <w:color w:val="181A18"/>
          <w:szCs w:val="24"/>
          <w:lang w:val="en-CA" w:bidi="en-CA"/>
        </w:rPr>
        <w:t xml:space="preserve"> causes </w:t>
      </w:r>
      <w:r w:rsidR="00CC6523">
        <w:rPr>
          <w:color w:val="181A18"/>
          <w:szCs w:val="24"/>
          <w:lang w:val="en-CA" w:bidi="en-CA"/>
        </w:rPr>
        <w:t>harm</w:t>
      </w:r>
      <w:r w:rsidR="00CC6523" w:rsidRPr="0071186E">
        <w:rPr>
          <w:color w:val="181A18"/>
          <w:szCs w:val="24"/>
          <w:lang w:val="en-CA" w:bidi="en-CA"/>
        </w:rPr>
        <w:t xml:space="preserve"> </w:t>
      </w:r>
      <w:r w:rsidR="00CC6523">
        <w:rPr>
          <w:color w:val="181A18"/>
          <w:szCs w:val="24"/>
          <w:lang w:val="en-CA" w:bidi="en-CA"/>
        </w:rPr>
        <w:t>in</w:t>
      </w:r>
      <w:r w:rsidR="00CC6523" w:rsidRPr="0071186E">
        <w:rPr>
          <w:color w:val="181A18"/>
          <w:szCs w:val="24"/>
          <w:lang w:val="en-CA" w:bidi="en-CA"/>
        </w:rPr>
        <w:t xml:space="preserve"> </w:t>
      </w:r>
      <w:r w:rsidRPr="0071186E">
        <w:rPr>
          <w:color w:val="181A18"/>
          <w:szCs w:val="24"/>
          <w:lang w:val="en-CA" w:bidi="en-CA"/>
        </w:rPr>
        <w:t>regard to obtaining the best price</w:t>
      </w:r>
      <w:r w:rsidR="00CC6523">
        <w:rPr>
          <w:color w:val="181A18"/>
          <w:szCs w:val="24"/>
          <w:lang w:val="en-CA" w:bidi="en-CA"/>
        </w:rPr>
        <w:t xml:space="preserve"> due to</w:t>
      </w:r>
      <w:r w:rsidRPr="0071186E">
        <w:rPr>
          <w:color w:val="181A18"/>
          <w:szCs w:val="24"/>
          <w:lang w:val="en-CA" w:bidi="en-CA"/>
        </w:rPr>
        <w:t xml:space="preserve"> competition,”</w:t>
      </w:r>
      <w:r w:rsidR="006F5BDF">
        <w:rPr>
          <w:color w:val="181A18"/>
          <w:szCs w:val="24"/>
          <w:lang w:val="en-CA" w:bidi="en-CA"/>
        </w:rPr>
        <w:t xml:space="preserve"> </w:t>
      </w:r>
      <w:r w:rsidRPr="0071186E">
        <w:rPr>
          <w:color w:val="181A18"/>
          <w:szCs w:val="24"/>
          <w:lang w:val="en-CA" w:bidi="en-CA"/>
        </w:rPr>
        <w:t>but this value cannot be easily determined in the circumstances.</w:t>
      </w:r>
      <w:r w:rsidRPr="0071186E">
        <w:rPr>
          <w:color w:val="181A18"/>
          <w:szCs w:val="24"/>
          <w:vertAlign w:val="superscript"/>
          <w:lang w:val="en-CA" w:bidi="en-CA"/>
        </w:rPr>
        <w:footnoteReference w:id="112"/>
      </w:r>
    </w:p>
    <w:p w14:paraId="70CDF15C" w14:textId="0266D756" w:rsidR="00275EC4" w:rsidRPr="0071186E" w:rsidRDefault="00275EC4" w:rsidP="00275EC4">
      <w:pPr>
        <w:pStyle w:val="SimpleL1"/>
        <w:rPr>
          <w:color w:val="181A18"/>
          <w:szCs w:val="24"/>
          <w:lang w:val="en-CA" w:bidi="en-CA"/>
        </w:rPr>
      </w:pPr>
      <w:r w:rsidRPr="0071186E">
        <w:rPr>
          <w:color w:val="181A18"/>
          <w:szCs w:val="24"/>
          <w:lang w:val="en-CA" w:bidi="en-CA"/>
        </w:rPr>
        <w:t xml:space="preserve">In the context of the Agreement, the parties having reached an agreement </w:t>
      </w:r>
      <w:r w:rsidR="007648F3">
        <w:rPr>
          <w:color w:val="181A18"/>
          <w:szCs w:val="24"/>
          <w:lang w:val="en-CA" w:bidi="en-CA"/>
        </w:rPr>
        <w:t>with which</w:t>
      </w:r>
      <w:r w:rsidR="007648F3" w:rsidRPr="0071186E">
        <w:rPr>
          <w:color w:val="181A18"/>
          <w:szCs w:val="24"/>
          <w:lang w:val="en-CA" w:bidi="en-CA"/>
        </w:rPr>
        <w:t xml:space="preserve"> </w:t>
      </w:r>
      <w:r w:rsidRPr="0071186E">
        <w:rPr>
          <w:color w:val="181A18"/>
          <w:szCs w:val="24"/>
          <w:lang w:val="en-CA" w:bidi="en-CA"/>
        </w:rPr>
        <w:t>the victim</w:t>
      </w:r>
      <w:r w:rsidR="007648F3">
        <w:rPr>
          <w:color w:val="181A18"/>
          <w:szCs w:val="24"/>
          <w:lang w:val="en-CA" w:bidi="en-CA"/>
        </w:rPr>
        <w:t xml:space="preserve"> is satisfied</w:t>
      </w:r>
      <w:r w:rsidRPr="0071186E">
        <w:rPr>
          <w:color w:val="181A18"/>
          <w:szCs w:val="24"/>
          <w:lang w:val="en-CA" w:bidi="en-CA"/>
        </w:rPr>
        <w:t xml:space="preserve">, the Court approves the method adopted by the </w:t>
      </w:r>
      <w:r w:rsidR="00BC62A0">
        <w:rPr>
          <w:color w:val="181A18"/>
          <w:szCs w:val="24"/>
          <w:lang w:val="en-CA" w:bidi="en-CA"/>
        </w:rPr>
        <w:t>p</w:t>
      </w:r>
      <w:r w:rsidRPr="0071186E">
        <w:rPr>
          <w:color w:val="181A18"/>
          <w:szCs w:val="24"/>
          <w:lang w:val="en-CA" w:bidi="en-CA"/>
        </w:rPr>
        <w:t xml:space="preserve">arties to establish the reparation to the victim. Given the absence of serious disagreement on the assessment of the victim's prejudice, given the </w:t>
      </w:r>
      <w:r w:rsidR="001A34B4" w:rsidRPr="0071186E">
        <w:rPr>
          <w:color w:val="181A18"/>
          <w:szCs w:val="24"/>
          <w:lang w:val="en-CA" w:bidi="en-CA"/>
        </w:rPr>
        <w:t xml:space="preserve">victim’s </w:t>
      </w:r>
      <w:r w:rsidRPr="0071186E">
        <w:rPr>
          <w:color w:val="181A18"/>
          <w:szCs w:val="24"/>
          <w:lang w:val="en-CA" w:bidi="en-CA"/>
        </w:rPr>
        <w:t xml:space="preserve">representations to the effect that </w:t>
      </w:r>
      <w:r w:rsidR="001A34B4" w:rsidRPr="0071186E">
        <w:rPr>
          <w:color w:val="181A18"/>
          <w:szCs w:val="24"/>
          <w:lang w:val="en-CA" w:bidi="en-CA"/>
        </w:rPr>
        <w:t xml:space="preserve">it </w:t>
      </w:r>
      <w:r w:rsidRPr="0071186E">
        <w:rPr>
          <w:color w:val="181A18"/>
          <w:szCs w:val="24"/>
          <w:lang w:val="en-CA" w:bidi="en-CA"/>
        </w:rPr>
        <w:t>relie</w:t>
      </w:r>
      <w:r w:rsidR="007648F3">
        <w:rPr>
          <w:color w:val="181A18"/>
          <w:szCs w:val="24"/>
          <w:lang w:val="en-CA" w:bidi="en-CA"/>
        </w:rPr>
        <w:t>d</w:t>
      </w:r>
      <w:r w:rsidRPr="0071186E">
        <w:rPr>
          <w:color w:val="181A18"/>
          <w:szCs w:val="24"/>
          <w:lang w:val="en-CA" w:bidi="en-CA"/>
        </w:rPr>
        <w:t xml:space="preserve"> on the Prosecutor's analysis, and given the Agreement taken </w:t>
      </w:r>
      <w:r w:rsidR="001A34B4" w:rsidRPr="0071186E">
        <w:rPr>
          <w:color w:val="181A18"/>
          <w:szCs w:val="24"/>
          <w:lang w:val="en-CA" w:bidi="en-CA"/>
        </w:rPr>
        <w:t>as a whole</w:t>
      </w:r>
      <w:r w:rsidRPr="0071186E">
        <w:rPr>
          <w:color w:val="181A18"/>
          <w:szCs w:val="24"/>
          <w:lang w:val="en-CA" w:bidi="en-CA"/>
        </w:rPr>
        <w:t>, the measure appears to be fair and equitable to the victim.</w:t>
      </w:r>
    </w:p>
    <w:p w14:paraId="27B15474" w14:textId="77777777" w:rsidR="00275EC4" w:rsidRPr="0071186E" w:rsidRDefault="00275EC4" w:rsidP="00313DEB">
      <w:pPr>
        <w:pStyle w:val="Titre4"/>
        <w:numPr>
          <w:ilvl w:val="0"/>
          <w:numId w:val="28"/>
        </w:numPr>
        <w:rPr>
          <w:lang w:val="en-CA" w:bidi="en-CA"/>
        </w:rPr>
      </w:pPr>
      <w:r w:rsidRPr="0071186E">
        <w:rPr>
          <w:lang w:val="en-CA" w:bidi="en-CA"/>
        </w:rPr>
        <w:lastRenderedPageBreak/>
        <w:t>Victim surcharge</w:t>
      </w:r>
    </w:p>
    <w:p w14:paraId="5901ADB2" w14:textId="025AC429" w:rsidR="00275EC4" w:rsidRPr="0071186E" w:rsidRDefault="00985A67" w:rsidP="00275EC4">
      <w:pPr>
        <w:pStyle w:val="SimpleL1"/>
        <w:rPr>
          <w:color w:val="181A18"/>
          <w:szCs w:val="24"/>
          <w:lang w:val="en-CA" w:bidi="en-CA"/>
        </w:rPr>
      </w:pPr>
      <w:r>
        <w:rPr>
          <w:color w:val="181A18"/>
          <w:szCs w:val="24"/>
          <w:lang w:val="en-CA" w:bidi="en-CA"/>
        </w:rPr>
        <w:t>Subsection</w:t>
      </w:r>
      <w:r w:rsidRPr="0071186E">
        <w:rPr>
          <w:color w:val="181A18"/>
          <w:szCs w:val="24"/>
          <w:lang w:val="en-CA" w:bidi="en-CA"/>
        </w:rPr>
        <w:t xml:space="preserve"> 715.37(5) Cr.</w:t>
      </w:r>
      <w:r>
        <w:rPr>
          <w:color w:val="181A18"/>
          <w:szCs w:val="24"/>
          <w:lang w:val="en-CA" w:bidi="en-CA"/>
        </w:rPr>
        <w:t> </w:t>
      </w:r>
      <w:r w:rsidRPr="0071186E">
        <w:rPr>
          <w:color w:val="181A18"/>
          <w:szCs w:val="24"/>
          <w:lang w:val="en-CA" w:bidi="en-CA"/>
        </w:rPr>
        <w:t xml:space="preserve">C. </w:t>
      </w:r>
      <w:r w:rsidR="00275EC4" w:rsidRPr="0071186E">
        <w:rPr>
          <w:color w:val="181A18"/>
          <w:szCs w:val="24"/>
          <w:lang w:val="en-CA" w:bidi="en-CA"/>
        </w:rPr>
        <w:t xml:space="preserve">expressly provides the amount of the victim surcharge, </w:t>
      </w:r>
      <w:r w:rsidR="00F3385E">
        <w:rPr>
          <w:color w:val="181A18"/>
          <w:szCs w:val="24"/>
          <w:lang w:val="en-CA" w:bidi="en-CA"/>
        </w:rPr>
        <w:t>that is,</w:t>
      </w:r>
      <w:r w:rsidR="00275EC4" w:rsidRPr="0071186E">
        <w:rPr>
          <w:color w:val="181A18"/>
          <w:szCs w:val="24"/>
          <w:lang w:val="en-CA" w:bidi="en-CA"/>
        </w:rPr>
        <w:t xml:space="preserve"> thirty percent (30%) or such other percentage as the prosecutor deems appropriate in the circumstances.</w:t>
      </w:r>
    </w:p>
    <w:p w14:paraId="3071716A" w14:textId="6EAA8A51" w:rsidR="00BA1A8C" w:rsidRPr="0071186E" w:rsidRDefault="00BA1A8C" w:rsidP="00275EC4">
      <w:pPr>
        <w:pStyle w:val="SimpleL1"/>
        <w:rPr>
          <w:color w:val="181A18"/>
          <w:szCs w:val="24"/>
          <w:lang w:val="en-CA" w:bidi="en-CA"/>
        </w:rPr>
      </w:pPr>
      <w:r w:rsidRPr="0071186E">
        <w:rPr>
          <w:color w:val="181A18"/>
          <w:szCs w:val="24"/>
          <w:lang w:val="en-CA" w:bidi="en-CA"/>
        </w:rPr>
        <w:t xml:space="preserve">In the circumstances, the </w:t>
      </w:r>
      <w:r w:rsidR="001A34B4" w:rsidRPr="0071186E">
        <w:rPr>
          <w:color w:val="181A18"/>
          <w:szCs w:val="24"/>
          <w:lang w:val="en-CA" w:bidi="en-CA"/>
        </w:rPr>
        <w:t>P</w:t>
      </w:r>
      <w:r w:rsidRPr="0071186E">
        <w:rPr>
          <w:color w:val="181A18"/>
          <w:szCs w:val="24"/>
          <w:lang w:val="en-CA" w:bidi="en-CA"/>
        </w:rPr>
        <w:t>arties considered that it was not necessary to deviate from the planned amount, which amounts to a victim surcharge of $5,440,541.</w:t>
      </w:r>
    </w:p>
    <w:p w14:paraId="0B18AAA1" w14:textId="77777777" w:rsidR="00BA1A8C" w:rsidRPr="0071186E" w:rsidRDefault="00BA1A8C" w:rsidP="00BA1A8C">
      <w:pPr>
        <w:pStyle w:val="Titre1"/>
        <w:rPr>
          <w:lang w:val="en-CA" w:bidi="en-CA"/>
        </w:rPr>
      </w:pPr>
      <w:bookmarkStart w:id="26" w:name="_Toc109310864"/>
      <w:r w:rsidRPr="0071186E">
        <w:rPr>
          <w:lang w:val="en-CA" w:bidi="en-CA"/>
        </w:rPr>
        <w:t>CONCLUSION</w:t>
      </w:r>
      <w:bookmarkEnd w:id="26"/>
    </w:p>
    <w:p w14:paraId="4C56A207" w14:textId="6F23FF7B" w:rsidR="00BA1A8C" w:rsidRPr="0071186E" w:rsidRDefault="00BA1A8C" w:rsidP="00275EC4">
      <w:pPr>
        <w:pStyle w:val="SimpleL1"/>
        <w:rPr>
          <w:color w:val="181A18"/>
          <w:szCs w:val="24"/>
          <w:lang w:val="en-CA" w:bidi="en-CA"/>
        </w:rPr>
      </w:pPr>
      <w:r w:rsidRPr="0071186E">
        <w:rPr>
          <w:color w:val="181A18"/>
          <w:szCs w:val="24"/>
          <w:lang w:val="en-CA" w:bidi="en-CA"/>
        </w:rPr>
        <w:t>In addition to the financial conditions analyz</w:t>
      </w:r>
      <w:r w:rsidR="00BC62A0">
        <w:rPr>
          <w:color w:val="181A18"/>
          <w:szCs w:val="24"/>
          <w:lang w:val="en-CA" w:bidi="en-CA"/>
        </w:rPr>
        <w:t>ed above, the framework of the A</w:t>
      </w:r>
      <w:r w:rsidRPr="0071186E">
        <w:rPr>
          <w:color w:val="181A18"/>
          <w:szCs w:val="24"/>
          <w:lang w:val="en-CA" w:bidi="en-CA"/>
        </w:rPr>
        <w:t>greement include</w:t>
      </w:r>
      <w:r w:rsidR="00BC62A0">
        <w:rPr>
          <w:color w:val="181A18"/>
          <w:szCs w:val="24"/>
          <w:lang w:val="en-CA" w:bidi="en-CA"/>
        </w:rPr>
        <w:t>s</w:t>
      </w:r>
      <w:r w:rsidRPr="0071186E">
        <w:rPr>
          <w:color w:val="181A18"/>
          <w:szCs w:val="24"/>
          <w:lang w:val="en-CA" w:bidi="en-CA"/>
        </w:rPr>
        <w:t xml:space="preserve"> measures to maintain and improve compliance measures, </w:t>
      </w:r>
      <w:r w:rsidR="00F3385E">
        <w:rPr>
          <w:color w:val="181A18"/>
          <w:szCs w:val="24"/>
          <w:lang w:val="en-CA" w:bidi="en-CA"/>
        </w:rPr>
        <w:t>and</w:t>
      </w:r>
      <w:r w:rsidRPr="0071186E">
        <w:rPr>
          <w:color w:val="181A18"/>
          <w:szCs w:val="24"/>
          <w:lang w:val="en-CA" w:bidi="en-CA"/>
        </w:rPr>
        <w:t xml:space="preserve"> the appointment of an independent monitor even though the Organizations have already been monitored for ten (10) years. Taken as a whole, the Court finds that the terms of the agreement are fair, reasonable and proportionate to the gravity of the offences.</w:t>
      </w:r>
    </w:p>
    <w:p w14:paraId="3292C195" w14:textId="39C3541D" w:rsidR="00BA1A8C" w:rsidRPr="0071186E" w:rsidRDefault="00BA1A8C" w:rsidP="00275EC4">
      <w:pPr>
        <w:pStyle w:val="SimpleL1"/>
        <w:rPr>
          <w:color w:val="181A18"/>
          <w:szCs w:val="24"/>
          <w:lang w:val="en-CA" w:bidi="en-CA"/>
        </w:rPr>
      </w:pPr>
      <w:r w:rsidRPr="0071186E">
        <w:rPr>
          <w:color w:val="181A18"/>
          <w:szCs w:val="24"/>
          <w:lang w:val="en-CA" w:bidi="en-CA"/>
        </w:rPr>
        <w:t xml:space="preserve">Despite the seriousness of the charges, the Agreement puts in place the measures </w:t>
      </w:r>
      <w:r w:rsidR="00322B7F" w:rsidRPr="0071186E">
        <w:rPr>
          <w:color w:val="181A18"/>
          <w:szCs w:val="24"/>
          <w:lang w:val="en-CA" w:bidi="en-CA"/>
        </w:rPr>
        <w:t xml:space="preserve">necessary </w:t>
      </w:r>
      <w:r w:rsidRPr="0071186E">
        <w:rPr>
          <w:color w:val="181A18"/>
          <w:szCs w:val="24"/>
          <w:lang w:val="en-CA" w:bidi="en-CA"/>
        </w:rPr>
        <w:t xml:space="preserve">to prevent such behaviour from recurring. </w:t>
      </w:r>
      <w:r w:rsidR="00322B7F">
        <w:rPr>
          <w:color w:val="181A18"/>
          <w:szCs w:val="24"/>
          <w:lang w:val="en-CA" w:bidi="en-CA"/>
        </w:rPr>
        <w:t>The f</w:t>
      </w:r>
      <w:r w:rsidRPr="0071186E">
        <w:rPr>
          <w:color w:val="181A18"/>
          <w:szCs w:val="24"/>
          <w:lang w:val="en-CA" w:bidi="en-CA"/>
        </w:rPr>
        <w:t xml:space="preserve">inancial provisions are substantial enough to </w:t>
      </w:r>
      <w:r w:rsidR="00EC2237">
        <w:rPr>
          <w:color w:val="181A18"/>
          <w:szCs w:val="24"/>
          <w:lang w:val="en-CA" w:bidi="en-CA"/>
        </w:rPr>
        <w:t>denounce</w:t>
      </w:r>
      <w:r w:rsidRPr="0071186E">
        <w:rPr>
          <w:color w:val="181A18"/>
          <w:szCs w:val="24"/>
          <w:lang w:val="en-CA" w:bidi="en-CA"/>
        </w:rPr>
        <w:t xml:space="preserve"> wrongdoing and hold the Organizations accountable. In addition, the </w:t>
      </w:r>
      <w:r w:rsidR="00322B7F" w:rsidRPr="0071186E">
        <w:rPr>
          <w:color w:val="181A18"/>
          <w:szCs w:val="24"/>
          <w:lang w:val="en-CA" w:bidi="en-CA"/>
        </w:rPr>
        <w:t>victim</w:t>
      </w:r>
      <w:r w:rsidR="00322B7F">
        <w:rPr>
          <w:color w:val="181A18"/>
          <w:szCs w:val="24"/>
          <w:lang w:val="en-CA" w:bidi="en-CA"/>
        </w:rPr>
        <w:t>’s</w:t>
      </w:r>
      <w:r w:rsidR="00322B7F" w:rsidRPr="0071186E">
        <w:rPr>
          <w:color w:val="181A18"/>
          <w:szCs w:val="24"/>
          <w:lang w:val="en-CA" w:bidi="en-CA"/>
        </w:rPr>
        <w:t xml:space="preserve"> </w:t>
      </w:r>
      <w:r w:rsidR="00EC2237">
        <w:rPr>
          <w:color w:val="181A18"/>
          <w:szCs w:val="24"/>
          <w:lang w:val="en-CA" w:bidi="en-CA"/>
        </w:rPr>
        <w:t>harm</w:t>
      </w:r>
      <w:r w:rsidRPr="0071186E">
        <w:rPr>
          <w:color w:val="181A18"/>
          <w:szCs w:val="24"/>
          <w:lang w:val="en-CA" w:bidi="en-CA"/>
        </w:rPr>
        <w:t xml:space="preserve"> </w:t>
      </w:r>
      <w:r w:rsidR="00EC2237">
        <w:rPr>
          <w:color w:val="181A18"/>
          <w:szCs w:val="24"/>
          <w:lang w:val="en-CA" w:bidi="en-CA"/>
        </w:rPr>
        <w:t>is</w:t>
      </w:r>
      <w:r w:rsidRPr="0071186E">
        <w:rPr>
          <w:color w:val="181A18"/>
          <w:szCs w:val="24"/>
          <w:lang w:val="en-CA" w:bidi="en-CA"/>
        </w:rPr>
        <w:t xml:space="preserve"> </w:t>
      </w:r>
      <w:r w:rsidR="00322B7F" w:rsidRPr="0071186E">
        <w:rPr>
          <w:color w:val="181A18"/>
          <w:szCs w:val="24"/>
          <w:lang w:val="en-CA" w:bidi="en-CA"/>
        </w:rPr>
        <w:t xml:space="preserve">adequately </w:t>
      </w:r>
      <w:r w:rsidRPr="0071186E">
        <w:rPr>
          <w:color w:val="181A18"/>
          <w:szCs w:val="24"/>
          <w:lang w:val="en-CA" w:bidi="en-CA"/>
        </w:rPr>
        <w:t>addressed.</w:t>
      </w:r>
    </w:p>
    <w:p w14:paraId="43193F34" w14:textId="77777777" w:rsidR="00BA1A8C" w:rsidRPr="0071186E" w:rsidRDefault="00BA1A8C" w:rsidP="00275EC4">
      <w:pPr>
        <w:pStyle w:val="SimpleL1"/>
        <w:rPr>
          <w:color w:val="181A18"/>
          <w:szCs w:val="24"/>
          <w:lang w:val="en-CA" w:bidi="en-CA"/>
        </w:rPr>
      </w:pPr>
      <w:r w:rsidRPr="0071186E">
        <w:rPr>
          <w:color w:val="181A18"/>
          <w:szCs w:val="24"/>
          <w:lang w:val="en-CA" w:bidi="en-CA"/>
        </w:rPr>
        <w:t>For these reasons, the Court:</w:t>
      </w:r>
    </w:p>
    <w:p w14:paraId="3A9A9212" w14:textId="2AB6D29C" w:rsidR="00BA1A8C" w:rsidRPr="0071186E" w:rsidRDefault="00BA1A8C" w:rsidP="00275EC4">
      <w:pPr>
        <w:pStyle w:val="SimpleL1"/>
        <w:rPr>
          <w:color w:val="181A18"/>
          <w:szCs w:val="24"/>
          <w:lang w:val="en-CA" w:bidi="en-CA"/>
        </w:rPr>
      </w:pPr>
      <w:r w:rsidRPr="0071186E">
        <w:rPr>
          <w:b/>
          <w:color w:val="181A18"/>
          <w:szCs w:val="24"/>
          <w:lang w:val="en-CA" w:bidi="en-CA"/>
        </w:rPr>
        <w:t>GRANTS</w:t>
      </w:r>
      <w:r w:rsidRPr="0071186E">
        <w:rPr>
          <w:color w:val="181A18"/>
          <w:szCs w:val="24"/>
          <w:lang w:val="en-CA" w:bidi="en-CA"/>
        </w:rPr>
        <w:t xml:space="preserve"> the </w:t>
      </w:r>
      <w:r w:rsidR="00322B7F">
        <w:rPr>
          <w:color w:val="181A18"/>
          <w:szCs w:val="24"/>
          <w:lang w:val="en-CA" w:bidi="en-CA"/>
        </w:rPr>
        <w:t>application</w:t>
      </w:r>
      <w:r w:rsidR="00322B7F" w:rsidRPr="0071186E">
        <w:rPr>
          <w:color w:val="181A18"/>
          <w:szCs w:val="24"/>
          <w:lang w:val="en-CA" w:bidi="en-CA"/>
        </w:rPr>
        <w:t xml:space="preserve"> </w:t>
      </w:r>
      <w:r w:rsidRPr="0071186E">
        <w:rPr>
          <w:color w:val="181A18"/>
          <w:szCs w:val="24"/>
          <w:lang w:val="en-CA" w:bidi="en-CA"/>
        </w:rPr>
        <w:t xml:space="preserve">for </w:t>
      </w:r>
      <w:r w:rsidR="00322B7F">
        <w:rPr>
          <w:color w:val="181A18"/>
          <w:szCs w:val="24"/>
          <w:lang w:val="en-CA" w:bidi="en-CA"/>
        </w:rPr>
        <w:t>an</w:t>
      </w:r>
      <w:r w:rsidR="00322B7F" w:rsidRPr="0071186E">
        <w:rPr>
          <w:color w:val="181A18"/>
          <w:szCs w:val="24"/>
          <w:lang w:val="en-CA" w:bidi="en-CA"/>
        </w:rPr>
        <w:t xml:space="preserve"> </w:t>
      </w:r>
      <w:r w:rsidRPr="0071186E">
        <w:rPr>
          <w:color w:val="181A18"/>
          <w:szCs w:val="24"/>
          <w:lang w:val="en-CA" w:bidi="en-CA"/>
        </w:rPr>
        <w:t xml:space="preserve">order </w:t>
      </w:r>
      <w:r w:rsidR="00164081">
        <w:rPr>
          <w:color w:val="181A18"/>
          <w:szCs w:val="24"/>
          <w:lang w:val="en-CA" w:bidi="en-CA"/>
        </w:rPr>
        <w:t>approving</w:t>
      </w:r>
      <w:r w:rsidRPr="0071186E">
        <w:rPr>
          <w:color w:val="181A18"/>
          <w:szCs w:val="24"/>
          <w:lang w:val="en-CA" w:bidi="en-CA"/>
        </w:rPr>
        <w:t xml:space="preserve"> the </w:t>
      </w:r>
      <w:r w:rsidR="00322B7F">
        <w:rPr>
          <w:color w:val="181A18"/>
          <w:szCs w:val="24"/>
          <w:lang w:val="en-CA" w:bidi="en-CA"/>
        </w:rPr>
        <w:t>A</w:t>
      </w:r>
      <w:r w:rsidRPr="0071186E">
        <w:rPr>
          <w:color w:val="181A18"/>
          <w:szCs w:val="24"/>
          <w:lang w:val="en-CA" w:bidi="en-CA"/>
        </w:rPr>
        <w:t>mended Remediation Agreement, pursuant to section 715.37 Cr.</w:t>
      </w:r>
      <w:r w:rsidR="00322B7F">
        <w:rPr>
          <w:color w:val="181A18"/>
          <w:szCs w:val="24"/>
          <w:lang w:val="en-CA" w:bidi="en-CA"/>
        </w:rPr>
        <w:t> </w:t>
      </w:r>
      <w:r w:rsidRPr="0071186E">
        <w:rPr>
          <w:color w:val="181A18"/>
          <w:szCs w:val="24"/>
          <w:lang w:val="en-CA" w:bidi="en-CA"/>
        </w:rPr>
        <w:t>C.</w:t>
      </w:r>
    </w:p>
    <w:p w14:paraId="56E290C2" w14:textId="42BA7E84" w:rsidR="00BA1A8C" w:rsidRPr="0071186E" w:rsidRDefault="00BA1A8C" w:rsidP="00275EC4">
      <w:pPr>
        <w:pStyle w:val="SimpleL1"/>
        <w:rPr>
          <w:color w:val="181A18"/>
          <w:szCs w:val="24"/>
          <w:lang w:val="en-CA" w:bidi="en-CA"/>
        </w:rPr>
      </w:pPr>
      <w:r w:rsidRPr="0071186E">
        <w:rPr>
          <w:b/>
          <w:color w:val="181A18"/>
          <w:szCs w:val="24"/>
          <w:lang w:val="en-CA" w:bidi="en-CA"/>
        </w:rPr>
        <w:t>APPROVES</w:t>
      </w:r>
      <w:r w:rsidRPr="0071186E">
        <w:rPr>
          <w:color w:val="181A18"/>
          <w:szCs w:val="24"/>
          <w:lang w:val="en-CA" w:bidi="en-CA"/>
        </w:rPr>
        <w:t xml:space="preserve"> the </w:t>
      </w:r>
      <w:r w:rsidR="001A34B4" w:rsidRPr="0071186E">
        <w:rPr>
          <w:color w:val="181A18"/>
          <w:szCs w:val="24"/>
          <w:lang w:val="en-CA" w:bidi="en-CA"/>
        </w:rPr>
        <w:t>A</w:t>
      </w:r>
      <w:r w:rsidRPr="0071186E">
        <w:rPr>
          <w:color w:val="181A18"/>
          <w:szCs w:val="24"/>
          <w:lang w:val="en-CA" w:bidi="en-CA"/>
        </w:rPr>
        <w:t xml:space="preserve">mended Remediation Agreement as is, </w:t>
      </w:r>
      <w:r w:rsidR="00322B7F">
        <w:rPr>
          <w:color w:val="181A18"/>
          <w:szCs w:val="24"/>
          <w:lang w:val="en-CA" w:bidi="en-CA"/>
        </w:rPr>
        <w:t>according to</w:t>
      </w:r>
      <w:r w:rsidR="00322B7F" w:rsidRPr="0071186E">
        <w:rPr>
          <w:color w:val="181A18"/>
          <w:szCs w:val="24"/>
          <w:lang w:val="en-CA" w:bidi="en-CA"/>
        </w:rPr>
        <w:t xml:space="preserve"> </w:t>
      </w:r>
      <w:r w:rsidRPr="0071186E">
        <w:rPr>
          <w:color w:val="181A18"/>
          <w:szCs w:val="24"/>
          <w:lang w:val="en-CA" w:bidi="en-CA"/>
        </w:rPr>
        <w:t>the terms and conditions set out therein, including the schedules to the Remediation Agreement.</w:t>
      </w:r>
    </w:p>
    <w:tbl>
      <w:tblPr>
        <w:tblW w:w="9505" w:type="dxa"/>
        <w:tblLayout w:type="fixed"/>
        <w:tblCellMar>
          <w:left w:w="70" w:type="dxa"/>
          <w:right w:w="70" w:type="dxa"/>
        </w:tblCellMar>
        <w:tblLook w:val="0000" w:firstRow="0" w:lastRow="0" w:firstColumn="0" w:lastColumn="0" w:noHBand="0" w:noVBand="0"/>
      </w:tblPr>
      <w:tblGrid>
        <w:gridCol w:w="4867"/>
        <w:gridCol w:w="4638"/>
      </w:tblGrid>
      <w:tr w:rsidR="005154AF" w:rsidRPr="00BB297F" w14:paraId="1F80363D" w14:textId="77777777" w:rsidTr="007E4BF7">
        <w:trPr>
          <w:trHeight w:val="576"/>
        </w:trPr>
        <w:tc>
          <w:tcPr>
            <w:tcW w:w="9505" w:type="dxa"/>
            <w:gridSpan w:val="2"/>
          </w:tcPr>
          <w:p w14:paraId="4CD8429C" w14:textId="77777777" w:rsidR="00FA31D4" w:rsidRPr="0071186E" w:rsidRDefault="00FA31D4" w:rsidP="00843691">
            <w:pPr>
              <w:keepNext/>
              <w:keepLines/>
              <w:rPr>
                <w:lang w:val="en-CA"/>
              </w:rPr>
            </w:pPr>
          </w:p>
        </w:tc>
      </w:tr>
      <w:tr w:rsidR="005154AF" w:rsidRPr="00BB297F" w14:paraId="7A917261" w14:textId="77777777" w:rsidTr="007E4BF7">
        <w:tblPrEx>
          <w:tblCellMar>
            <w:left w:w="0" w:type="dxa"/>
            <w:right w:w="0" w:type="dxa"/>
          </w:tblCellMar>
        </w:tblPrEx>
        <w:trPr>
          <w:cantSplit/>
        </w:trPr>
        <w:tc>
          <w:tcPr>
            <w:tcW w:w="4867" w:type="dxa"/>
          </w:tcPr>
          <w:p w14:paraId="1F733C23" w14:textId="77777777" w:rsidR="00FA31D4" w:rsidRPr="0071186E" w:rsidRDefault="00FA31D4" w:rsidP="00843691">
            <w:pPr>
              <w:rPr>
                <w:lang w:val="en-CA"/>
              </w:rPr>
            </w:pPr>
          </w:p>
        </w:tc>
        <w:tc>
          <w:tcPr>
            <w:tcW w:w="4638" w:type="dxa"/>
          </w:tcPr>
          <w:p w14:paraId="22D6C922" w14:textId="77777777" w:rsidR="00FA31D4" w:rsidRPr="0071186E" w:rsidRDefault="00F53A14" w:rsidP="00843691">
            <w:pPr>
              <w:pStyle w:val="zSoquijdatSignature3Juge"/>
              <w:rPr>
                <w:lang w:val="en-CA"/>
              </w:rPr>
            </w:pPr>
            <w:r w:rsidRPr="0071186E">
              <w:rPr>
                <w:lang w:val="en-CA"/>
              </w:rPr>
              <w:t>__________________________________</w:t>
            </w:r>
          </w:p>
          <w:p w14:paraId="24EEDC98" w14:textId="0794719D" w:rsidR="00FA31D4" w:rsidRPr="0071186E" w:rsidRDefault="00BA1A8C" w:rsidP="00322B7F">
            <w:pPr>
              <w:pStyle w:val="zSoquijdatSignature3Juge"/>
              <w:rPr>
                <w:bCs/>
                <w:lang w:val="en-CA"/>
              </w:rPr>
            </w:pPr>
            <w:r w:rsidRPr="0071186E">
              <w:rPr>
                <w:bCs/>
                <w:lang w:val="en-CA"/>
              </w:rPr>
              <w:t xml:space="preserve">The Honourable Éric Downs, </w:t>
            </w:r>
            <w:r w:rsidR="00322B7F">
              <w:rPr>
                <w:bCs/>
                <w:lang w:val="en-CA"/>
              </w:rPr>
              <w:t>J.S.C.</w:t>
            </w:r>
          </w:p>
        </w:tc>
      </w:tr>
      <w:tr w:rsidR="005154AF" w:rsidRPr="00BB297F" w14:paraId="36861FBA" w14:textId="77777777" w:rsidTr="007E4BF7">
        <w:tc>
          <w:tcPr>
            <w:tcW w:w="9505" w:type="dxa"/>
            <w:gridSpan w:val="2"/>
          </w:tcPr>
          <w:p w14:paraId="38DDF829" w14:textId="77777777" w:rsidR="00FA31D4" w:rsidRPr="0071186E" w:rsidRDefault="00FA31D4" w:rsidP="00843691">
            <w:pPr>
              <w:rPr>
                <w:lang w:val="en-CA"/>
              </w:rPr>
            </w:pPr>
          </w:p>
        </w:tc>
      </w:tr>
      <w:tr w:rsidR="005154AF" w:rsidRPr="00BB297F" w14:paraId="07D77677" w14:textId="77777777" w:rsidTr="007E4BF7">
        <w:tc>
          <w:tcPr>
            <w:tcW w:w="9505" w:type="dxa"/>
            <w:gridSpan w:val="2"/>
          </w:tcPr>
          <w:p w14:paraId="4148259B" w14:textId="77777777" w:rsidR="00A17140" w:rsidRPr="0071186E" w:rsidRDefault="00A17140" w:rsidP="00527ADB">
            <w:pPr>
              <w:rPr>
                <w:lang w:val="en-CA"/>
              </w:rPr>
            </w:pPr>
          </w:p>
        </w:tc>
      </w:tr>
    </w:tbl>
    <w:p w14:paraId="6FE86DD2" w14:textId="77777777" w:rsidR="00BA1A8C" w:rsidRPr="0071186E" w:rsidRDefault="00BA1A8C" w:rsidP="00BA1A8C">
      <w:pPr>
        <w:rPr>
          <w:lang w:val="en-CA"/>
        </w:rPr>
      </w:pPr>
      <w:r w:rsidRPr="0071186E">
        <w:rPr>
          <w:lang w:val="en-CA"/>
        </w:rPr>
        <w:t>M</w:t>
      </w:r>
      <w:r w:rsidRPr="0071186E">
        <w:rPr>
          <w:vertAlign w:val="superscript"/>
          <w:lang w:val="en-CA"/>
        </w:rPr>
        <w:t>tre</w:t>
      </w:r>
      <w:r w:rsidRPr="0071186E">
        <w:rPr>
          <w:lang w:val="en-CA"/>
        </w:rPr>
        <w:t xml:space="preserve"> Francis Pilotte and</w:t>
      </w:r>
    </w:p>
    <w:p w14:paraId="42CA1324" w14:textId="77777777" w:rsidR="00BA1A8C" w:rsidRPr="0071186E" w:rsidRDefault="00BA1A8C" w:rsidP="00BA1A8C">
      <w:pPr>
        <w:rPr>
          <w:lang w:val="en-CA"/>
        </w:rPr>
      </w:pPr>
      <w:r w:rsidRPr="0071186E">
        <w:rPr>
          <w:lang w:val="en-CA"/>
        </w:rPr>
        <w:t>M</w:t>
      </w:r>
      <w:r w:rsidRPr="0071186E">
        <w:rPr>
          <w:vertAlign w:val="superscript"/>
          <w:lang w:val="en-CA"/>
        </w:rPr>
        <w:t>tre</w:t>
      </w:r>
      <w:r w:rsidRPr="0071186E">
        <w:rPr>
          <w:lang w:val="en-CA"/>
        </w:rPr>
        <w:t xml:space="preserve"> Patrice Peltier-Rivest</w:t>
      </w:r>
    </w:p>
    <w:p w14:paraId="5D4D1DAC" w14:textId="77777777" w:rsidR="00BA1A8C" w:rsidRPr="0071186E" w:rsidRDefault="00BA1A8C" w:rsidP="00BA1A8C">
      <w:pPr>
        <w:rPr>
          <w:lang w:val="en-CA"/>
        </w:rPr>
      </w:pPr>
      <w:r w:rsidRPr="0071186E">
        <w:rPr>
          <w:lang w:val="en-CA"/>
        </w:rPr>
        <w:t>Counsel for the Prosecutor</w:t>
      </w:r>
    </w:p>
    <w:p w14:paraId="72784844" w14:textId="77777777" w:rsidR="00BA1A8C" w:rsidRPr="0071186E" w:rsidRDefault="00BA1A8C" w:rsidP="00BA1A8C">
      <w:pPr>
        <w:rPr>
          <w:lang w:val="en-CA"/>
        </w:rPr>
      </w:pPr>
    </w:p>
    <w:p w14:paraId="0B79516B" w14:textId="77777777" w:rsidR="00BA1A8C" w:rsidRPr="006B7F16" w:rsidRDefault="00BA1A8C" w:rsidP="00BA1A8C">
      <w:r w:rsidRPr="006B7F16">
        <w:t>M</w:t>
      </w:r>
      <w:r w:rsidRPr="006B7F16">
        <w:rPr>
          <w:vertAlign w:val="superscript"/>
        </w:rPr>
        <w:t>tre</w:t>
      </w:r>
      <w:r w:rsidRPr="006B7F16">
        <w:t xml:space="preserve"> François Fontaine</w:t>
      </w:r>
    </w:p>
    <w:p w14:paraId="48351AF6" w14:textId="77777777" w:rsidR="00BA1A8C" w:rsidRPr="006B7F16" w:rsidRDefault="00BA1A8C" w:rsidP="00BA1A8C">
      <w:r w:rsidRPr="006B7F16">
        <w:t>M</w:t>
      </w:r>
      <w:r w:rsidRPr="006B7F16">
        <w:rPr>
          <w:vertAlign w:val="superscript"/>
        </w:rPr>
        <w:t>tre</w:t>
      </w:r>
      <w:r w:rsidRPr="006B7F16">
        <w:t xml:space="preserve"> Charles-Antoine Péladeau</w:t>
      </w:r>
    </w:p>
    <w:p w14:paraId="385825D6" w14:textId="77777777" w:rsidR="00BA1A8C" w:rsidRPr="0071186E" w:rsidRDefault="00BA1A8C" w:rsidP="00BA1A8C">
      <w:pPr>
        <w:rPr>
          <w:lang w:val="en-CA"/>
        </w:rPr>
      </w:pPr>
      <w:r w:rsidRPr="0071186E">
        <w:rPr>
          <w:lang w:val="en-CA"/>
        </w:rPr>
        <w:t>Counsel for the Accused</w:t>
      </w:r>
    </w:p>
    <w:p w14:paraId="28B04DBF" w14:textId="77777777" w:rsidR="00BA1A8C" w:rsidRPr="0071186E" w:rsidRDefault="00BA1A8C" w:rsidP="00BA1A8C">
      <w:pPr>
        <w:rPr>
          <w:lang w:val="en-CA"/>
        </w:rPr>
      </w:pPr>
      <w:r w:rsidRPr="0071186E">
        <w:rPr>
          <w:lang w:val="en-CA"/>
        </w:rPr>
        <w:t>SNC-Lavalin Inc. and</w:t>
      </w:r>
    </w:p>
    <w:p w14:paraId="0EA36B69" w14:textId="77777777" w:rsidR="00BA1A8C" w:rsidRPr="0071186E" w:rsidRDefault="00BA1A8C" w:rsidP="00BA1A8C">
      <w:pPr>
        <w:rPr>
          <w:lang w:val="en-CA"/>
        </w:rPr>
      </w:pPr>
      <w:r w:rsidRPr="0071186E">
        <w:rPr>
          <w:lang w:val="en-CA"/>
        </w:rPr>
        <w:t>SNC-Lavalin International Inc.</w:t>
      </w:r>
    </w:p>
    <w:p w14:paraId="27BC6A5D" w14:textId="77777777" w:rsidR="00BA1A8C" w:rsidRPr="0071186E" w:rsidRDefault="00BA1A8C" w:rsidP="00BA1A8C">
      <w:pPr>
        <w:rPr>
          <w:lang w:val="en-CA"/>
        </w:rPr>
      </w:pPr>
      <w:r w:rsidRPr="0071186E">
        <w:rPr>
          <w:lang w:val="en-CA"/>
        </w:rPr>
        <w:lastRenderedPageBreak/>
        <w:t>M</w:t>
      </w:r>
      <w:r w:rsidRPr="0071186E">
        <w:rPr>
          <w:vertAlign w:val="superscript"/>
          <w:lang w:val="en-CA"/>
        </w:rPr>
        <w:t>tre</w:t>
      </w:r>
      <w:r w:rsidRPr="0071186E">
        <w:rPr>
          <w:lang w:val="en-CA"/>
        </w:rPr>
        <w:t xml:space="preserve"> Stéphane Eljarrat, Osler, Hoskin &amp; Harcourt, LLP</w:t>
      </w:r>
    </w:p>
    <w:p w14:paraId="02494449" w14:textId="2A413981" w:rsidR="00BA1A8C" w:rsidRPr="0071186E" w:rsidRDefault="00BA1A8C" w:rsidP="00BA1A8C">
      <w:pPr>
        <w:rPr>
          <w:lang w:val="en-CA"/>
        </w:rPr>
      </w:pPr>
      <w:r w:rsidRPr="0071186E">
        <w:rPr>
          <w:lang w:val="en-CA"/>
        </w:rPr>
        <w:t>Counsel for the Victim</w:t>
      </w:r>
      <w:r w:rsidR="00322B7F">
        <w:rPr>
          <w:lang w:val="en-CA"/>
        </w:rPr>
        <w:t>,</w:t>
      </w:r>
      <w:r w:rsidRPr="0071186E">
        <w:rPr>
          <w:lang w:val="en-CA"/>
        </w:rPr>
        <w:t xml:space="preserve"> The Jacques Cartier and Champlain Bridges Incorporated.</w:t>
      </w:r>
    </w:p>
    <w:p w14:paraId="4FCD5778" w14:textId="77777777" w:rsidR="00BA1A8C" w:rsidRPr="0071186E" w:rsidRDefault="00BA1A8C" w:rsidP="00BA1A8C">
      <w:pPr>
        <w:rPr>
          <w:lang w:val="en-CA"/>
        </w:rPr>
      </w:pPr>
    </w:p>
    <w:p w14:paraId="13A18438" w14:textId="77777777" w:rsidR="00BA1A8C" w:rsidRPr="0071186E" w:rsidRDefault="00BA1A8C" w:rsidP="00BA1A8C">
      <w:pPr>
        <w:rPr>
          <w:lang w:val="en-CA"/>
        </w:rPr>
      </w:pPr>
      <w:r w:rsidRPr="0071186E">
        <w:rPr>
          <w:lang w:val="en-CA"/>
        </w:rPr>
        <w:t>M</w:t>
      </w:r>
      <w:r w:rsidRPr="0071186E">
        <w:rPr>
          <w:vertAlign w:val="superscript"/>
          <w:lang w:val="en-CA"/>
        </w:rPr>
        <w:t>tre</w:t>
      </w:r>
      <w:r w:rsidRPr="0071186E">
        <w:rPr>
          <w:lang w:val="en-CA"/>
        </w:rPr>
        <w:t xml:space="preserve"> Simon Seida and M</w:t>
      </w:r>
      <w:r w:rsidRPr="0071186E">
        <w:rPr>
          <w:vertAlign w:val="superscript"/>
          <w:lang w:val="en-CA"/>
        </w:rPr>
        <w:t>tre</w:t>
      </w:r>
      <w:r w:rsidRPr="0071186E">
        <w:rPr>
          <w:lang w:val="en-CA"/>
        </w:rPr>
        <w:t xml:space="preserve"> Mark Morrison</w:t>
      </w:r>
    </w:p>
    <w:p w14:paraId="365A18DC" w14:textId="77777777" w:rsidR="00BA1A8C" w:rsidRPr="0071186E" w:rsidRDefault="00BA1A8C" w:rsidP="00BA1A8C">
      <w:pPr>
        <w:rPr>
          <w:lang w:val="en-CA"/>
        </w:rPr>
      </w:pPr>
      <w:r w:rsidRPr="0071186E">
        <w:rPr>
          <w:lang w:val="en-CA"/>
        </w:rPr>
        <w:t>Blake Cassels and Graydon, S.E.N.C.R.L.</w:t>
      </w:r>
    </w:p>
    <w:p w14:paraId="39787275" w14:textId="77777777" w:rsidR="00BA1A8C" w:rsidRPr="0071186E" w:rsidRDefault="00BA1A8C" w:rsidP="00BA1A8C">
      <w:pPr>
        <w:rPr>
          <w:lang w:val="en-CA"/>
        </w:rPr>
      </w:pPr>
      <w:r w:rsidRPr="0071186E">
        <w:rPr>
          <w:lang w:val="en-CA"/>
        </w:rPr>
        <w:t>As Independent Monitors</w:t>
      </w:r>
    </w:p>
    <w:p w14:paraId="5CCBD7BB" w14:textId="77777777" w:rsidR="00BA1A8C" w:rsidRPr="0071186E" w:rsidRDefault="00BA1A8C" w:rsidP="00BA1A8C">
      <w:pPr>
        <w:rPr>
          <w:lang w:val="en-CA"/>
        </w:rPr>
      </w:pPr>
    </w:p>
    <w:p w14:paraId="132009FC" w14:textId="77777777" w:rsidR="00BA1A8C" w:rsidRPr="0071186E" w:rsidRDefault="00BA1A8C" w:rsidP="00BA1A8C">
      <w:pPr>
        <w:rPr>
          <w:lang w:val="en-CA"/>
        </w:rPr>
      </w:pPr>
      <w:r w:rsidRPr="0071186E">
        <w:rPr>
          <w:lang w:val="en-CA"/>
        </w:rPr>
        <w:t xml:space="preserve">DATES: March 15, April 6, </w:t>
      </w:r>
      <w:r w:rsidR="001A34B4" w:rsidRPr="0071186E">
        <w:rPr>
          <w:lang w:val="en-CA"/>
        </w:rPr>
        <w:t>April 2</w:t>
      </w:r>
      <w:r w:rsidR="005528DF" w:rsidRPr="0071186E">
        <w:rPr>
          <w:lang w:val="en-CA"/>
        </w:rPr>
        <w:t>7</w:t>
      </w:r>
      <w:r w:rsidR="001A34B4" w:rsidRPr="0071186E">
        <w:rPr>
          <w:lang w:val="en-CA"/>
        </w:rPr>
        <w:t xml:space="preserve">, </w:t>
      </w:r>
      <w:r w:rsidRPr="0071186E">
        <w:rPr>
          <w:lang w:val="en-CA"/>
        </w:rPr>
        <w:t>May 10 and May 11, 2022</w:t>
      </w:r>
    </w:p>
    <w:p w14:paraId="5FA49823" w14:textId="77777777" w:rsidR="003D3ABD" w:rsidRPr="0071186E" w:rsidRDefault="003D3ABD" w:rsidP="00BA1A8C">
      <w:pPr>
        <w:rPr>
          <w:lang w:val="en-CA"/>
        </w:rPr>
      </w:pPr>
    </w:p>
    <w:p w14:paraId="486D6AA1" w14:textId="77777777" w:rsidR="003D3ABD" w:rsidRPr="0071186E" w:rsidRDefault="003D3ABD" w:rsidP="00BA1A8C">
      <w:pPr>
        <w:rPr>
          <w:lang w:val="en-CA"/>
        </w:rPr>
      </w:pPr>
    </w:p>
    <w:p w14:paraId="29CEABD4" w14:textId="77777777" w:rsidR="00313DEB" w:rsidRDefault="00BA1A8C" w:rsidP="00BA1A8C">
      <w:pPr>
        <w:rPr>
          <w:sz w:val="20"/>
          <w:lang w:val="en-CA"/>
        </w:rPr>
        <w:sectPr w:rsidR="00313DEB" w:rsidSect="0084249E">
          <w:headerReference w:type="even" r:id="rId10"/>
          <w:headerReference w:type="default" r:id="rId11"/>
          <w:footerReference w:type="even" r:id="rId12"/>
          <w:footnotePr>
            <w:numRestart w:val="eachSect"/>
          </w:footnotePr>
          <w:pgSz w:w="12242" w:h="15842" w:code="1"/>
          <w:pgMar w:top="1440" w:right="1008" w:bottom="1440" w:left="1872" w:header="1440" w:footer="792" w:gutter="0"/>
          <w:pgNumType w:start="1"/>
          <w:cols w:space="720"/>
          <w:titlePg/>
        </w:sectPr>
      </w:pPr>
      <w:r w:rsidRPr="0071186E">
        <w:rPr>
          <w:sz w:val="20"/>
          <w:vertAlign w:val="superscript"/>
          <w:lang w:val="en-CA"/>
        </w:rPr>
        <w:t>113</w:t>
      </w:r>
      <w:r w:rsidRPr="0071186E">
        <w:rPr>
          <w:sz w:val="20"/>
          <w:lang w:val="en-CA"/>
        </w:rPr>
        <w:t xml:space="preserve"> Schedule C: Report</w:t>
      </w:r>
      <w:r w:rsidR="00EC2237">
        <w:rPr>
          <w:sz w:val="20"/>
          <w:lang w:val="en-CA"/>
        </w:rPr>
        <w:t>s</w:t>
      </w:r>
      <w:r w:rsidRPr="0071186E">
        <w:rPr>
          <w:sz w:val="20"/>
          <w:lang w:val="en-CA"/>
        </w:rPr>
        <w:t xml:space="preserve"> </w:t>
      </w:r>
      <w:r w:rsidR="00EC2237">
        <w:rPr>
          <w:sz w:val="20"/>
          <w:lang w:val="en-CA"/>
        </w:rPr>
        <w:t>Calendar</w:t>
      </w:r>
      <w:r w:rsidRPr="0071186E">
        <w:rPr>
          <w:sz w:val="20"/>
          <w:lang w:val="en-CA"/>
        </w:rPr>
        <w:t xml:space="preserve"> and Schedule D are appended to this judgment.</w:t>
      </w:r>
    </w:p>
    <w:p w14:paraId="0CCB8C8B" w14:textId="536255F6" w:rsidR="00313DEB" w:rsidRDefault="00BA1BFD" w:rsidP="00BA1BFD">
      <w:pPr>
        <w:pStyle w:val="Titre1"/>
        <w:jc w:val="center"/>
        <w:rPr>
          <w:rFonts w:cs="Arial"/>
          <w:lang w:val="en-CA"/>
        </w:rPr>
      </w:pPr>
      <w:bookmarkStart w:id="27" w:name="_Toc104882732"/>
      <w:r w:rsidRPr="00BA1BFD">
        <w:rPr>
          <w:sz w:val="22"/>
          <w:szCs w:val="22"/>
        </w:rPr>
        <w:lastRenderedPageBreak/>
        <w:t>ANNEXE A</w:t>
      </w:r>
      <w:bookmarkEnd w:id="27"/>
    </w:p>
    <w:tbl>
      <w:tblPr>
        <w:tblW w:w="4998" w:type="pct"/>
        <w:tblLook w:val="04A0" w:firstRow="1" w:lastRow="0" w:firstColumn="1" w:lastColumn="0" w:noHBand="0" w:noVBand="1"/>
      </w:tblPr>
      <w:tblGrid>
        <w:gridCol w:w="4291"/>
        <w:gridCol w:w="5067"/>
      </w:tblGrid>
      <w:tr w:rsidR="00313DEB" w:rsidRPr="00371453" w14:paraId="2A27C7FA" w14:textId="77777777" w:rsidTr="00895880">
        <w:tc>
          <w:tcPr>
            <w:tcW w:w="4290" w:type="dxa"/>
            <w:hideMark/>
          </w:tcPr>
          <w:p w14:paraId="77DB70A2" w14:textId="77777777" w:rsidR="00313DEB" w:rsidRDefault="00313DEB">
            <w:pPr>
              <w:widowControl w:val="0"/>
              <w:rPr>
                <w:rFonts w:cs="Arial"/>
                <w:b/>
                <w:lang w:val="en-CA"/>
              </w:rPr>
            </w:pPr>
            <w:r>
              <w:rPr>
                <w:rFonts w:cs="Arial"/>
                <w:b/>
                <w:lang w:val="en-CA"/>
              </w:rPr>
              <w:t>CANADA</w:t>
            </w:r>
          </w:p>
        </w:tc>
        <w:tc>
          <w:tcPr>
            <w:tcW w:w="5066" w:type="dxa"/>
            <w:hideMark/>
          </w:tcPr>
          <w:p w14:paraId="387CE346" w14:textId="77777777" w:rsidR="00313DEB" w:rsidRDefault="00313DEB">
            <w:pPr>
              <w:widowControl w:val="0"/>
              <w:jc w:val="center"/>
              <w:rPr>
                <w:rFonts w:cs="Arial"/>
                <w:b/>
                <w:lang w:val="en-CA"/>
              </w:rPr>
            </w:pPr>
            <w:r>
              <w:rPr>
                <w:rFonts w:cs="Arial"/>
                <w:b/>
                <w:lang w:val="en-CA"/>
              </w:rPr>
              <w:t>S U P E R I O R   C O U R T</w:t>
            </w:r>
          </w:p>
        </w:tc>
      </w:tr>
      <w:tr w:rsidR="00313DEB" w14:paraId="6BEED9EA" w14:textId="77777777" w:rsidTr="00895880">
        <w:tc>
          <w:tcPr>
            <w:tcW w:w="4290" w:type="dxa"/>
            <w:hideMark/>
          </w:tcPr>
          <w:p w14:paraId="532F899A" w14:textId="77777777" w:rsidR="00313DEB" w:rsidRDefault="00313DEB">
            <w:pPr>
              <w:widowControl w:val="0"/>
              <w:rPr>
                <w:rFonts w:cs="Arial"/>
                <w:b/>
                <w:caps/>
                <w:lang w:val="en-CA"/>
              </w:rPr>
            </w:pPr>
            <w:r>
              <w:rPr>
                <w:rFonts w:cs="Arial"/>
                <w:b/>
                <w:caps/>
                <w:lang w:val="en-CA"/>
              </w:rPr>
              <w:t>PROVINCE OF QuEbec</w:t>
            </w:r>
          </w:p>
        </w:tc>
        <w:tc>
          <w:tcPr>
            <w:tcW w:w="5066" w:type="dxa"/>
            <w:hideMark/>
          </w:tcPr>
          <w:p w14:paraId="61BEB33B" w14:textId="77777777" w:rsidR="00313DEB" w:rsidRDefault="00313DEB">
            <w:pPr>
              <w:widowControl w:val="0"/>
              <w:jc w:val="center"/>
              <w:rPr>
                <w:rFonts w:cs="Arial"/>
                <w:lang w:val="en-CA"/>
              </w:rPr>
            </w:pPr>
            <w:r>
              <w:rPr>
                <w:rFonts w:cs="Arial"/>
                <w:lang w:val="en-CA"/>
              </w:rPr>
              <w:t>(Criminal Division)</w:t>
            </w:r>
          </w:p>
        </w:tc>
      </w:tr>
      <w:tr w:rsidR="00313DEB" w14:paraId="645B0FE1" w14:textId="77777777" w:rsidTr="00895880">
        <w:tc>
          <w:tcPr>
            <w:tcW w:w="4290" w:type="dxa"/>
            <w:hideMark/>
          </w:tcPr>
          <w:p w14:paraId="452ACD09" w14:textId="77777777" w:rsidR="00313DEB" w:rsidRDefault="00313DEB">
            <w:pPr>
              <w:widowControl w:val="0"/>
              <w:rPr>
                <w:rFonts w:cs="Arial"/>
                <w:b/>
                <w:lang w:val="en-CA"/>
              </w:rPr>
            </w:pPr>
            <w:r>
              <w:rPr>
                <w:rFonts w:cs="Arial"/>
                <w:b/>
                <w:lang w:val="en-CA"/>
              </w:rPr>
              <w:t>DISTRICT OF MONTREAL</w:t>
            </w:r>
          </w:p>
        </w:tc>
        <w:tc>
          <w:tcPr>
            <w:tcW w:w="5066" w:type="dxa"/>
            <w:tcBorders>
              <w:top w:val="nil"/>
              <w:left w:val="nil"/>
              <w:bottom w:val="single" w:sz="8" w:space="0" w:color="auto"/>
              <w:right w:val="nil"/>
            </w:tcBorders>
          </w:tcPr>
          <w:p w14:paraId="1608A2D2" w14:textId="77777777" w:rsidR="00313DEB" w:rsidRDefault="00313DEB">
            <w:pPr>
              <w:widowControl w:val="0"/>
              <w:rPr>
                <w:rFonts w:cs="Arial"/>
                <w:lang w:val="en-CA"/>
              </w:rPr>
            </w:pPr>
          </w:p>
        </w:tc>
      </w:tr>
      <w:tr w:rsidR="00313DEB" w14:paraId="27477288" w14:textId="77777777" w:rsidTr="00895880">
        <w:tc>
          <w:tcPr>
            <w:tcW w:w="4290" w:type="dxa"/>
          </w:tcPr>
          <w:p w14:paraId="147D106B" w14:textId="77777777" w:rsidR="00313DEB" w:rsidRDefault="00313DEB">
            <w:pPr>
              <w:widowControl w:val="0"/>
              <w:rPr>
                <w:rFonts w:cs="Arial"/>
                <w:lang w:val="en-CA"/>
              </w:rPr>
            </w:pPr>
          </w:p>
          <w:p w14:paraId="1CEB9F02" w14:textId="77777777" w:rsidR="00313DEB" w:rsidRDefault="00313DEB">
            <w:pPr>
              <w:widowControl w:val="0"/>
              <w:rPr>
                <w:rFonts w:cs="Arial"/>
                <w:lang w:val="en-CA"/>
              </w:rPr>
            </w:pPr>
          </w:p>
        </w:tc>
        <w:tc>
          <w:tcPr>
            <w:tcW w:w="5066" w:type="dxa"/>
            <w:tcBorders>
              <w:top w:val="single" w:sz="8" w:space="0" w:color="auto"/>
              <w:left w:val="nil"/>
              <w:bottom w:val="nil"/>
              <w:right w:val="nil"/>
            </w:tcBorders>
          </w:tcPr>
          <w:p w14:paraId="163FC3CE" w14:textId="77777777" w:rsidR="00313DEB" w:rsidRDefault="00313DEB">
            <w:pPr>
              <w:widowControl w:val="0"/>
              <w:rPr>
                <w:rFonts w:cs="Arial"/>
                <w:b/>
                <w:lang w:val="en-CA"/>
              </w:rPr>
            </w:pPr>
          </w:p>
        </w:tc>
      </w:tr>
      <w:tr w:rsidR="00313DEB" w14:paraId="528852C2" w14:textId="77777777" w:rsidTr="00895880">
        <w:tc>
          <w:tcPr>
            <w:tcW w:w="4290" w:type="dxa"/>
            <w:hideMark/>
          </w:tcPr>
          <w:p w14:paraId="7B0183D3" w14:textId="77777777" w:rsidR="00313DEB" w:rsidRDefault="00313DEB">
            <w:pPr>
              <w:rPr>
                <w:rFonts w:cs="Arial"/>
                <w:b/>
                <w:lang w:val="en-CA"/>
              </w:rPr>
            </w:pPr>
            <w:r>
              <w:rPr>
                <w:rFonts w:cs="Arial"/>
                <w:b/>
                <w:lang w:val="en-CA"/>
              </w:rPr>
              <w:t>Sup. Ct. No.: 500-36-010199-225</w:t>
            </w:r>
          </w:p>
          <w:p w14:paraId="042B2D3E" w14:textId="77777777" w:rsidR="00313DEB" w:rsidRDefault="00313DEB">
            <w:pPr>
              <w:rPr>
                <w:rFonts w:cs="Arial"/>
                <w:b/>
                <w:lang w:val="en-CA"/>
              </w:rPr>
            </w:pPr>
            <w:r>
              <w:rPr>
                <w:rFonts w:cs="Arial"/>
                <w:b/>
                <w:lang w:val="en-CA"/>
              </w:rPr>
              <w:t>CQ No.:         500-01-223556-215</w:t>
            </w:r>
          </w:p>
          <w:p w14:paraId="0773531B" w14:textId="77777777" w:rsidR="00313DEB" w:rsidRDefault="00313DEB">
            <w:pPr>
              <w:widowControl w:val="0"/>
              <w:rPr>
                <w:rFonts w:cs="Arial"/>
                <w:b/>
                <w:lang w:val="en-CA"/>
              </w:rPr>
            </w:pPr>
            <w:r>
              <w:rPr>
                <w:rFonts w:cs="Arial"/>
                <w:b/>
                <w:lang w:val="en-CA"/>
              </w:rPr>
              <w:t>RCMP No.:    2013</w:t>
            </w:r>
            <w:r>
              <w:rPr>
                <w:rFonts w:ascii="Cambria Math" w:hAnsi="Cambria Math" w:cs="Cambria Math"/>
                <w:b/>
                <w:lang w:val="en-CA"/>
              </w:rPr>
              <w:t>‐</w:t>
            </w:r>
            <w:r>
              <w:rPr>
                <w:rFonts w:cs="Arial"/>
                <w:b/>
                <w:lang w:val="en-CA"/>
              </w:rPr>
              <w:t xml:space="preserve">1438587 </w:t>
            </w:r>
          </w:p>
          <w:p w14:paraId="6E47F365" w14:textId="77777777" w:rsidR="00313DEB" w:rsidRDefault="00313DEB">
            <w:pPr>
              <w:widowControl w:val="0"/>
              <w:rPr>
                <w:rFonts w:cs="Arial"/>
                <w:b/>
                <w:lang w:val="en-CA"/>
              </w:rPr>
            </w:pPr>
            <w:r>
              <w:rPr>
                <w:rFonts w:cs="Arial"/>
                <w:b/>
                <w:lang w:val="en-CA"/>
              </w:rPr>
              <w:t xml:space="preserve">          </w:t>
            </w:r>
          </w:p>
        </w:tc>
        <w:tc>
          <w:tcPr>
            <w:tcW w:w="5066" w:type="dxa"/>
          </w:tcPr>
          <w:p w14:paraId="5951598F" w14:textId="77777777" w:rsidR="00313DEB" w:rsidRDefault="00313DEB">
            <w:pPr>
              <w:widowControl w:val="0"/>
              <w:rPr>
                <w:rFonts w:cs="Arial"/>
                <w:b/>
                <w:lang w:val="en-CA"/>
              </w:rPr>
            </w:pPr>
          </w:p>
          <w:p w14:paraId="20E5A422" w14:textId="77777777" w:rsidR="00313DEB" w:rsidRDefault="00313DEB">
            <w:pPr>
              <w:widowControl w:val="0"/>
              <w:rPr>
                <w:rFonts w:cs="Arial"/>
                <w:b/>
                <w:lang w:val="en-CA"/>
              </w:rPr>
            </w:pPr>
          </w:p>
          <w:p w14:paraId="24D67662" w14:textId="77777777" w:rsidR="00313DEB" w:rsidRDefault="00313DEB">
            <w:pPr>
              <w:widowControl w:val="0"/>
              <w:rPr>
                <w:rFonts w:cs="Arial"/>
                <w:b/>
                <w:lang w:val="en-CA"/>
              </w:rPr>
            </w:pPr>
            <w:r>
              <w:rPr>
                <w:rFonts w:cs="Arial"/>
                <w:b/>
                <w:lang w:val="en-CA"/>
              </w:rPr>
              <w:t>Her Majesty the Queen</w:t>
            </w:r>
          </w:p>
        </w:tc>
      </w:tr>
      <w:tr w:rsidR="00313DEB" w14:paraId="038410D9" w14:textId="77777777" w:rsidTr="00895880">
        <w:tc>
          <w:tcPr>
            <w:tcW w:w="4290" w:type="dxa"/>
          </w:tcPr>
          <w:p w14:paraId="52DBCF6A" w14:textId="77777777" w:rsidR="00313DEB" w:rsidRDefault="00313DEB">
            <w:pPr>
              <w:widowControl w:val="0"/>
              <w:ind w:left="672"/>
              <w:rPr>
                <w:rFonts w:cs="Arial"/>
                <w:b/>
                <w:lang w:val="en-CA"/>
              </w:rPr>
            </w:pPr>
          </w:p>
        </w:tc>
        <w:tc>
          <w:tcPr>
            <w:tcW w:w="5066" w:type="dxa"/>
          </w:tcPr>
          <w:p w14:paraId="55B107C6" w14:textId="77777777" w:rsidR="00313DEB" w:rsidRDefault="00313DEB">
            <w:pPr>
              <w:widowControl w:val="0"/>
              <w:rPr>
                <w:rFonts w:cs="Arial"/>
                <w:lang w:val="en-CA"/>
              </w:rPr>
            </w:pPr>
          </w:p>
        </w:tc>
      </w:tr>
      <w:tr w:rsidR="00313DEB" w14:paraId="2686C7CD" w14:textId="77777777" w:rsidTr="00895880">
        <w:tc>
          <w:tcPr>
            <w:tcW w:w="4290" w:type="dxa"/>
          </w:tcPr>
          <w:p w14:paraId="7C87071B" w14:textId="77777777" w:rsidR="00313DEB" w:rsidRDefault="00313DEB">
            <w:pPr>
              <w:widowControl w:val="0"/>
              <w:ind w:left="672"/>
              <w:rPr>
                <w:rFonts w:cs="Arial"/>
                <w:b/>
                <w:lang w:val="en-CA"/>
              </w:rPr>
            </w:pPr>
          </w:p>
        </w:tc>
        <w:tc>
          <w:tcPr>
            <w:tcW w:w="5066" w:type="dxa"/>
            <w:hideMark/>
          </w:tcPr>
          <w:p w14:paraId="63289270" w14:textId="77777777" w:rsidR="00313DEB" w:rsidRDefault="00313DEB">
            <w:pPr>
              <w:widowControl w:val="0"/>
              <w:jc w:val="right"/>
              <w:rPr>
                <w:rFonts w:cs="Arial"/>
                <w:lang w:val="en-CA"/>
              </w:rPr>
            </w:pPr>
            <w:r>
              <w:rPr>
                <w:rFonts w:cs="Arial"/>
                <w:lang w:val="en-CA"/>
              </w:rPr>
              <w:t>PROSECUTOR</w:t>
            </w:r>
          </w:p>
        </w:tc>
      </w:tr>
      <w:tr w:rsidR="00313DEB" w14:paraId="055F1C0C" w14:textId="77777777" w:rsidTr="00895880">
        <w:tc>
          <w:tcPr>
            <w:tcW w:w="4290" w:type="dxa"/>
          </w:tcPr>
          <w:p w14:paraId="1BABD9A5" w14:textId="77777777" w:rsidR="00313DEB" w:rsidRDefault="00313DEB">
            <w:pPr>
              <w:widowControl w:val="0"/>
              <w:ind w:left="672"/>
              <w:rPr>
                <w:rFonts w:cs="Arial"/>
                <w:b/>
                <w:lang w:val="en-CA"/>
              </w:rPr>
            </w:pPr>
          </w:p>
        </w:tc>
        <w:tc>
          <w:tcPr>
            <w:tcW w:w="5066" w:type="dxa"/>
          </w:tcPr>
          <w:p w14:paraId="2AC93E13" w14:textId="77777777" w:rsidR="00313DEB" w:rsidRDefault="00313DEB">
            <w:pPr>
              <w:widowControl w:val="0"/>
              <w:rPr>
                <w:rFonts w:cs="Arial"/>
                <w:lang w:val="en-CA"/>
              </w:rPr>
            </w:pPr>
          </w:p>
        </w:tc>
      </w:tr>
      <w:tr w:rsidR="00313DEB" w14:paraId="12CBC9A8" w14:textId="77777777" w:rsidTr="00895880">
        <w:tc>
          <w:tcPr>
            <w:tcW w:w="4290" w:type="dxa"/>
          </w:tcPr>
          <w:p w14:paraId="2CC3B43B" w14:textId="77777777" w:rsidR="00313DEB" w:rsidRDefault="00313DEB">
            <w:pPr>
              <w:widowControl w:val="0"/>
              <w:ind w:left="672"/>
              <w:rPr>
                <w:rFonts w:cs="Arial"/>
                <w:b/>
                <w:lang w:val="en-CA"/>
              </w:rPr>
            </w:pPr>
          </w:p>
        </w:tc>
        <w:tc>
          <w:tcPr>
            <w:tcW w:w="5066" w:type="dxa"/>
            <w:hideMark/>
          </w:tcPr>
          <w:p w14:paraId="6AE5F3ED" w14:textId="77777777" w:rsidR="00313DEB" w:rsidRDefault="00313DEB">
            <w:pPr>
              <w:widowControl w:val="0"/>
              <w:rPr>
                <w:rFonts w:cs="Arial"/>
                <w:lang w:val="en-CA"/>
              </w:rPr>
            </w:pPr>
            <w:r>
              <w:rPr>
                <w:rFonts w:cs="Arial"/>
                <w:lang w:val="en-CA"/>
              </w:rPr>
              <w:t>v.</w:t>
            </w:r>
          </w:p>
        </w:tc>
      </w:tr>
      <w:tr w:rsidR="00313DEB" w14:paraId="3D2AE189" w14:textId="77777777" w:rsidTr="00895880">
        <w:tc>
          <w:tcPr>
            <w:tcW w:w="4290" w:type="dxa"/>
          </w:tcPr>
          <w:p w14:paraId="2F03DD91" w14:textId="77777777" w:rsidR="00313DEB" w:rsidRDefault="00313DEB">
            <w:pPr>
              <w:widowControl w:val="0"/>
              <w:ind w:left="672"/>
              <w:rPr>
                <w:rFonts w:cs="Arial"/>
                <w:b/>
                <w:lang w:val="en-CA"/>
              </w:rPr>
            </w:pPr>
          </w:p>
        </w:tc>
        <w:tc>
          <w:tcPr>
            <w:tcW w:w="5066" w:type="dxa"/>
          </w:tcPr>
          <w:p w14:paraId="4257CB9B" w14:textId="77777777" w:rsidR="00313DEB" w:rsidRDefault="00313DEB">
            <w:pPr>
              <w:widowControl w:val="0"/>
              <w:rPr>
                <w:rFonts w:cs="Arial"/>
                <w:lang w:val="en-CA"/>
              </w:rPr>
            </w:pPr>
          </w:p>
        </w:tc>
      </w:tr>
      <w:tr w:rsidR="00313DEB" w14:paraId="4BA08191" w14:textId="77777777" w:rsidTr="00895880">
        <w:tc>
          <w:tcPr>
            <w:tcW w:w="4290" w:type="dxa"/>
          </w:tcPr>
          <w:p w14:paraId="311B11A6" w14:textId="77777777" w:rsidR="00313DEB" w:rsidRDefault="00313DEB">
            <w:pPr>
              <w:widowControl w:val="0"/>
              <w:ind w:left="672"/>
              <w:rPr>
                <w:rFonts w:cs="Arial"/>
                <w:b/>
                <w:lang w:val="en-CA"/>
              </w:rPr>
            </w:pPr>
          </w:p>
        </w:tc>
        <w:tc>
          <w:tcPr>
            <w:tcW w:w="5066" w:type="dxa"/>
            <w:hideMark/>
          </w:tcPr>
          <w:p w14:paraId="7680CEB7" w14:textId="77777777" w:rsidR="00313DEB" w:rsidRDefault="00313DEB">
            <w:pPr>
              <w:widowControl w:val="0"/>
              <w:rPr>
                <w:rFonts w:cs="Arial"/>
                <w:b/>
              </w:rPr>
            </w:pPr>
            <w:r>
              <w:rPr>
                <w:rFonts w:cs="Arial"/>
                <w:b/>
              </w:rPr>
              <w:t>SNC-Lavalin Inc.</w:t>
            </w:r>
          </w:p>
          <w:p w14:paraId="46873246" w14:textId="77777777" w:rsidR="00313DEB" w:rsidRDefault="00313DEB">
            <w:pPr>
              <w:widowControl w:val="0"/>
              <w:rPr>
                <w:rFonts w:cs="Arial"/>
                <w:b/>
              </w:rPr>
            </w:pPr>
            <w:r>
              <w:rPr>
                <w:rFonts w:cs="Arial"/>
                <w:b/>
              </w:rPr>
              <w:t>SNC-Lavalin International Inc.</w:t>
            </w:r>
          </w:p>
        </w:tc>
      </w:tr>
      <w:tr w:rsidR="00313DEB" w14:paraId="0A5DEAC3" w14:textId="77777777" w:rsidTr="00895880">
        <w:tc>
          <w:tcPr>
            <w:tcW w:w="4290" w:type="dxa"/>
          </w:tcPr>
          <w:p w14:paraId="67978538" w14:textId="77777777" w:rsidR="00313DEB" w:rsidRDefault="00313DEB">
            <w:pPr>
              <w:widowControl w:val="0"/>
              <w:ind w:left="672"/>
              <w:rPr>
                <w:rFonts w:cs="Arial"/>
                <w:b/>
              </w:rPr>
            </w:pPr>
          </w:p>
        </w:tc>
        <w:tc>
          <w:tcPr>
            <w:tcW w:w="5066" w:type="dxa"/>
          </w:tcPr>
          <w:p w14:paraId="3ADEA49D" w14:textId="77777777" w:rsidR="00313DEB" w:rsidRDefault="00313DEB">
            <w:pPr>
              <w:widowControl w:val="0"/>
              <w:rPr>
                <w:rFonts w:cs="Arial"/>
              </w:rPr>
            </w:pPr>
          </w:p>
        </w:tc>
      </w:tr>
      <w:tr w:rsidR="00313DEB" w14:paraId="08B3B89B" w14:textId="77777777" w:rsidTr="00895880">
        <w:tc>
          <w:tcPr>
            <w:tcW w:w="4290" w:type="dxa"/>
          </w:tcPr>
          <w:p w14:paraId="5003F881" w14:textId="77777777" w:rsidR="00313DEB" w:rsidRDefault="00313DEB">
            <w:pPr>
              <w:widowControl w:val="0"/>
              <w:rPr>
                <w:rFonts w:cs="Arial"/>
              </w:rPr>
            </w:pPr>
          </w:p>
        </w:tc>
        <w:tc>
          <w:tcPr>
            <w:tcW w:w="5066" w:type="dxa"/>
            <w:hideMark/>
          </w:tcPr>
          <w:p w14:paraId="43615982" w14:textId="77777777" w:rsidR="00313DEB" w:rsidRDefault="00313DEB">
            <w:pPr>
              <w:widowControl w:val="0"/>
              <w:jc w:val="right"/>
              <w:rPr>
                <w:rFonts w:cs="Arial"/>
                <w:lang w:val="en-CA"/>
              </w:rPr>
            </w:pPr>
            <w:r>
              <w:rPr>
                <w:rFonts w:cs="Arial"/>
                <w:lang w:val="en-CA"/>
              </w:rPr>
              <w:t>ACCUSED</w:t>
            </w:r>
          </w:p>
        </w:tc>
      </w:tr>
      <w:tr w:rsidR="00313DEB" w14:paraId="56649D58" w14:textId="77777777" w:rsidTr="00895880">
        <w:tc>
          <w:tcPr>
            <w:tcW w:w="4290" w:type="dxa"/>
          </w:tcPr>
          <w:p w14:paraId="71BDC6C1" w14:textId="77777777" w:rsidR="00313DEB" w:rsidRDefault="00313DEB">
            <w:pPr>
              <w:widowControl w:val="0"/>
              <w:rPr>
                <w:rFonts w:cs="Arial"/>
                <w:lang w:val="en-CA"/>
              </w:rPr>
            </w:pPr>
          </w:p>
        </w:tc>
        <w:tc>
          <w:tcPr>
            <w:tcW w:w="5066" w:type="dxa"/>
            <w:tcBorders>
              <w:top w:val="nil"/>
              <w:left w:val="nil"/>
              <w:bottom w:val="single" w:sz="8" w:space="0" w:color="auto"/>
              <w:right w:val="nil"/>
            </w:tcBorders>
          </w:tcPr>
          <w:p w14:paraId="187EE003" w14:textId="77777777" w:rsidR="00313DEB" w:rsidRDefault="00313DEB">
            <w:pPr>
              <w:widowControl w:val="0"/>
              <w:jc w:val="right"/>
              <w:rPr>
                <w:rFonts w:cs="Arial"/>
                <w:lang w:val="en-CA"/>
              </w:rPr>
            </w:pPr>
          </w:p>
        </w:tc>
      </w:tr>
    </w:tbl>
    <w:p w14:paraId="6CF51308" w14:textId="77777777" w:rsidR="00313DEB" w:rsidRDefault="00313DEB" w:rsidP="00895880"/>
    <w:p w14:paraId="10E8007C" w14:textId="77777777" w:rsidR="00313DEB" w:rsidRDefault="00313DEB" w:rsidP="00895880">
      <w:pPr>
        <w:pBdr>
          <w:top w:val="double" w:sz="4" w:space="1" w:color="auto"/>
          <w:bottom w:val="double" w:sz="4" w:space="1" w:color="auto"/>
        </w:pBdr>
        <w:tabs>
          <w:tab w:val="left" w:pos="-720"/>
        </w:tabs>
        <w:suppressAutoHyphens/>
        <w:jc w:val="center"/>
        <w:rPr>
          <w:rFonts w:cs="Arial"/>
          <w:b/>
          <w:lang w:val="en-CA"/>
        </w:rPr>
      </w:pPr>
    </w:p>
    <w:p w14:paraId="2F676226" w14:textId="77777777" w:rsidR="00313DEB" w:rsidRDefault="00313DEB" w:rsidP="00895880">
      <w:pPr>
        <w:pBdr>
          <w:top w:val="double" w:sz="4" w:space="1" w:color="auto"/>
          <w:bottom w:val="double" w:sz="4" w:space="1" w:color="auto"/>
        </w:pBdr>
        <w:tabs>
          <w:tab w:val="left" w:pos="-720"/>
          <w:tab w:val="left" w:pos="1418"/>
          <w:tab w:val="left" w:pos="1701"/>
          <w:tab w:val="left" w:pos="7513"/>
          <w:tab w:val="left" w:pos="7938"/>
        </w:tabs>
        <w:suppressAutoHyphens/>
        <w:jc w:val="center"/>
        <w:rPr>
          <w:rFonts w:cs="Arial"/>
          <w:b/>
          <w:lang w:val="en-CA"/>
        </w:rPr>
      </w:pPr>
      <w:r>
        <w:rPr>
          <w:rFonts w:cs="Arial"/>
          <w:b/>
          <w:lang w:val="en-CA"/>
        </w:rPr>
        <w:t>AMENDED REMEDIATION AGREEMENT</w:t>
      </w:r>
    </w:p>
    <w:p w14:paraId="2C2D2220" w14:textId="77777777" w:rsidR="00313DEB" w:rsidRDefault="00313DEB" w:rsidP="00895880">
      <w:pPr>
        <w:pBdr>
          <w:top w:val="double" w:sz="4" w:space="1" w:color="auto"/>
          <w:bottom w:val="double" w:sz="4" w:space="1" w:color="auto"/>
        </w:pBdr>
        <w:tabs>
          <w:tab w:val="left" w:pos="-720"/>
          <w:tab w:val="left" w:pos="1418"/>
          <w:tab w:val="left" w:pos="1701"/>
          <w:tab w:val="left" w:pos="7513"/>
          <w:tab w:val="left" w:pos="7938"/>
        </w:tabs>
        <w:suppressAutoHyphens/>
        <w:jc w:val="center"/>
        <w:rPr>
          <w:rFonts w:cs="Arial"/>
          <w:b/>
          <w:lang w:val="en-CA"/>
        </w:rPr>
      </w:pPr>
    </w:p>
    <w:p w14:paraId="5A82E2B1" w14:textId="77777777" w:rsidR="00313DEB" w:rsidRDefault="00313DEB" w:rsidP="00895880">
      <w:pPr>
        <w:pBdr>
          <w:top w:val="double" w:sz="4" w:space="1" w:color="auto"/>
          <w:bottom w:val="double" w:sz="4" w:space="1" w:color="auto"/>
        </w:pBdr>
        <w:tabs>
          <w:tab w:val="left" w:pos="-720"/>
          <w:tab w:val="left" w:pos="1418"/>
          <w:tab w:val="left" w:pos="1701"/>
          <w:tab w:val="left" w:pos="7513"/>
          <w:tab w:val="left" w:pos="7938"/>
        </w:tabs>
        <w:suppressAutoHyphens/>
        <w:jc w:val="center"/>
        <w:rPr>
          <w:rFonts w:cs="Arial"/>
          <w:b/>
          <w:lang w:val="en-CA"/>
        </w:rPr>
      </w:pPr>
      <w:r>
        <w:rPr>
          <w:rFonts w:cs="Arial"/>
          <w:b/>
          <w:lang w:val="en-CA"/>
        </w:rPr>
        <w:t xml:space="preserve">Part XXII.1 of the </w:t>
      </w:r>
      <w:r>
        <w:rPr>
          <w:rFonts w:cs="Arial"/>
          <w:b/>
          <w:i/>
          <w:lang w:val="en-CA"/>
        </w:rPr>
        <w:t>Criminal Code</w:t>
      </w:r>
      <w:r>
        <w:rPr>
          <w:rFonts w:cs="Arial"/>
          <w:b/>
          <w:lang w:val="en-CA"/>
        </w:rPr>
        <w:t xml:space="preserve"> (Cr.C</w:t>
      </w:r>
      <w:r>
        <w:rPr>
          <w:rFonts w:cs="Arial"/>
          <w:b/>
          <w:i/>
          <w:lang w:val="en-CA"/>
        </w:rPr>
        <w:t>.</w:t>
      </w:r>
      <w:r>
        <w:rPr>
          <w:rFonts w:cs="Arial"/>
          <w:b/>
          <w:lang w:val="en-CA"/>
        </w:rPr>
        <w:t>)</w:t>
      </w:r>
    </w:p>
    <w:p w14:paraId="6A3F7B90" w14:textId="77777777" w:rsidR="00313DEB" w:rsidRDefault="00313DEB" w:rsidP="00895880">
      <w:pPr>
        <w:pBdr>
          <w:top w:val="double" w:sz="4" w:space="1" w:color="auto"/>
          <w:bottom w:val="double" w:sz="4" w:space="1" w:color="auto"/>
        </w:pBdr>
        <w:tabs>
          <w:tab w:val="left" w:pos="-720"/>
          <w:tab w:val="left" w:pos="1418"/>
          <w:tab w:val="left" w:pos="1701"/>
          <w:tab w:val="left" w:pos="7513"/>
          <w:tab w:val="left" w:pos="7938"/>
        </w:tabs>
        <w:suppressAutoHyphens/>
        <w:jc w:val="center"/>
        <w:rPr>
          <w:rFonts w:cs="Arial"/>
          <w:b/>
          <w:lang w:val="en-CA"/>
        </w:rPr>
      </w:pPr>
    </w:p>
    <w:p w14:paraId="2074264C" w14:textId="77777777" w:rsidR="00313DEB" w:rsidRDefault="00313DEB" w:rsidP="00895880">
      <w:pPr>
        <w:pStyle w:val="BodyText"/>
        <w:spacing w:after="0"/>
        <w:rPr>
          <w:rFonts w:cs="Arial"/>
          <w:sz w:val="22"/>
          <w:szCs w:val="22"/>
          <w:highlight w:val="yellow"/>
          <w:lang w:val="en-CA"/>
        </w:rPr>
      </w:pPr>
    </w:p>
    <w:p w14:paraId="22EDE310" w14:textId="77777777" w:rsidR="00313DEB" w:rsidRDefault="00313DEB" w:rsidP="00895880">
      <w:pPr>
        <w:pStyle w:val="BodyText"/>
        <w:spacing w:after="0"/>
        <w:rPr>
          <w:rFonts w:cs="Arial"/>
          <w:sz w:val="22"/>
          <w:szCs w:val="22"/>
          <w:lang w:val="en-CA"/>
        </w:rPr>
      </w:pPr>
      <w:r>
        <w:rPr>
          <w:rFonts w:cs="Arial"/>
          <w:sz w:val="22"/>
          <w:szCs w:val="22"/>
          <w:lang w:val="en-CA"/>
        </w:rPr>
        <w:t>SNC-Lavalin Inc. (</w:t>
      </w:r>
      <w:r>
        <w:rPr>
          <w:rFonts w:cs="Arial"/>
          <w:b/>
          <w:sz w:val="22"/>
          <w:szCs w:val="22"/>
          <w:lang w:val="en-CA"/>
        </w:rPr>
        <w:t>SNCL)</w:t>
      </w:r>
      <w:r>
        <w:rPr>
          <w:rFonts w:cs="Arial"/>
          <w:sz w:val="22"/>
          <w:szCs w:val="22"/>
          <w:lang w:val="en-CA"/>
        </w:rPr>
        <w:t xml:space="preserve"> and SNC-Lavalin International Inc. (</w:t>
      </w:r>
      <w:r>
        <w:rPr>
          <w:rFonts w:cs="Arial"/>
          <w:b/>
          <w:sz w:val="22"/>
          <w:szCs w:val="22"/>
          <w:lang w:val="en-CA"/>
        </w:rPr>
        <w:t>SNCLI</w:t>
      </w:r>
      <w:r>
        <w:rPr>
          <w:rFonts w:cs="Arial"/>
          <w:sz w:val="22"/>
          <w:szCs w:val="22"/>
          <w:lang w:val="en-CA"/>
        </w:rPr>
        <w:t xml:space="preserve">) (collectively, the </w:t>
      </w:r>
      <w:r>
        <w:rPr>
          <w:rFonts w:cs="Arial"/>
          <w:b/>
          <w:sz w:val="22"/>
          <w:szCs w:val="22"/>
          <w:lang w:val="en-CA"/>
        </w:rPr>
        <w:t>Organizations</w:t>
      </w:r>
      <w:r>
        <w:rPr>
          <w:rFonts w:cs="Arial"/>
          <w:sz w:val="22"/>
          <w:szCs w:val="22"/>
          <w:lang w:val="en-CA"/>
        </w:rPr>
        <w:t>), through their undersigned representatives pursuant to an authorization granted by their Board of Directors and the Directeur des poursuites criminelles et pénales (</w:t>
      </w:r>
      <w:r>
        <w:rPr>
          <w:rFonts w:cs="Arial"/>
          <w:b/>
          <w:sz w:val="22"/>
          <w:szCs w:val="22"/>
          <w:lang w:val="en-CA"/>
        </w:rPr>
        <w:t>Prosecutor</w:t>
      </w:r>
      <w:r>
        <w:rPr>
          <w:rFonts w:cs="Arial"/>
          <w:sz w:val="22"/>
          <w:szCs w:val="22"/>
          <w:lang w:val="en-CA"/>
        </w:rPr>
        <w:t>), in his capacity as lawful Deputy Attorney General and legitimate substitute of the Attorney General, declare that they have agreed on the conditions of a remediation agreement (</w:t>
      </w:r>
      <w:r>
        <w:rPr>
          <w:rFonts w:cs="Arial"/>
          <w:b/>
          <w:sz w:val="22"/>
          <w:szCs w:val="22"/>
          <w:lang w:val="en-CA"/>
        </w:rPr>
        <w:t>Agreement</w:t>
      </w:r>
      <w:r>
        <w:rPr>
          <w:rFonts w:cs="Arial"/>
          <w:sz w:val="22"/>
          <w:szCs w:val="22"/>
          <w:lang w:val="en-CA"/>
        </w:rPr>
        <w:t xml:space="preserve">). </w:t>
      </w:r>
    </w:p>
    <w:p w14:paraId="1B2CB229" w14:textId="77777777" w:rsidR="00313DEB" w:rsidRDefault="00313DEB" w:rsidP="00895880">
      <w:pPr>
        <w:rPr>
          <w:rFonts w:cs="Arial"/>
          <w:lang w:val="en-CA"/>
        </w:rPr>
      </w:pPr>
    </w:p>
    <w:p w14:paraId="1CBB7E1A" w14:textId="77777777" w:rsidR="00313DEB" w:rsidRDefault="00313DEB" w:rsidP="00895880">
      <w:pPr>
        <w:rPr>
          <w:rFonts w:cs="Arial"/>
          <w:lang w:val="en-CA"/>
        </w:rPr>
      </w:pPr>
      <w:r>
        <w:rPr>
          <w:rFonts w:cs="Arial"/>
          <w:lang w:val="en-CA"/>
        </w:rPr>
        <w:t>The terms and conditions of this Agreement are as follows:</w:t>
      </w:r>
    </w:p>
    <w:p w14:paraId="668178B2" w14:textId="77777777" w:rsidR="00313DEB" w:rsidRDefault="00313DEB" w:rsidP="00895880">
      <w:pPr>
        <w:rPr>
          <w:rFonts w:cs="Arial"/>
          <w:lang w:val="en-CA"/>
        </w:rPr>
      </w:pPr>
    </w:p>
    <w:p w14:paraId="100023E7" w14:textId="77777777" w:rsidR="00313DEB" w:rsidRDefault="00313DEB" w:rsidP="00313DEB">
      <w:pPr>
        <w:pStyle w:val="Titre1"/>
        <w:numPr>
          <w:ilvl w:val="0"/>
          <w:numId w:val="39"/>
        </w:numPr>
        <w:spacing w:before="0" w:after="0"/>
        <w:jc w:val="both"/>
        <w:rPr>
          <w:rFonts w:cs="Arial"/>
          <w:b w:val="0"/>
          <w:sz w:val="22"/>
          <w:szCs w:val="22"/>
          <w:lang w:val="en-CA"/>
        </w:rPr>
      </w:pPr>
      <w:r>
        <w:rPr>
          <w:rFonts w:cs="Arial"/>
          <w:sz w:val="22"/>
          <w:szCs w:val="22"/>
          <w:lang w:val="en-CA"/>
        </w:rPr>
        <w:t xml:space="preserve">ORGANIZATIONS’ STATEMENT OF FACTS AND ADMISSION OF RESPONSIBILITY FOR THE ACTS FORMING THE BASIS OF THE ALLEGED OFFENCES </w:t>
      </w:r>
    </w:p>
    <w:p w14:paraId="706E0339" w14:textId="77777777" w:rsidR="00313DEB" w:rsidRDefault="00313DEB" w:rsidP="00895880">
      <w:pPr>
        <w:rPr>
          <w:rFonts w:cs="Arial"/>
          <w:lang w:val="en-CA"/>
        </w:rPr>
      </w:pPr>
    </w:p>
    <w:p w14:paraId="477E8549" w14:textId="77777777" w:rsidR="00313DEB" w:rsidRDefault="00313DEB" w:rsidP="00313DEB">
      <w:pPr>
        <w:pStyle w:val="Paragraphedeliste"/>
        <w:numPr>
          <w:ilvl w:val="0"/>
          <w:numId w:val="40"/>
        </w:numPr>
        <w:contextualSpacing/>
        <w:jc w:val="both"/>
        <w:rPr>
          <w:rFonts w:cs="Arial"/>
          <w:lang w:val="en-CA"/>
        </w:rPr>
      </w:pPr>
      <w:r>
        <w:rPr>
          <w:rFonts w:cs="Arial"/>
          <w:lang w:val="en-CA"/>
        </w:rPr>
        <w:t xml:space="preserve">As regards to information number 500-01-223556-215, </w:t>
      </w:r>
      <w:r>
        <w:rPr>
          <w:rFonts w:cs="Arial"/>
          <w:b/>
          <w:lang w:val="en-CA"/>
        </w:rPr>
        <w:t>Schedule A</w:t>
      </w:r>
      <w:r>
        <w:rPr>
          <w:rFonts w:cs="Arial"/>
          <w:lang w:val="en-CA"/>
        </w:rPr>
        <w:t xml:space="preserve"> (</w:t>
      </w:r>
      <w:r>
        <w:rPr>
          <w:rFonts w:cs="Arial"/>
          <w:b/>
          <w:lang w:val="en-CA"/>
        </w:rPr>
        <w:t>Alleged</w:t>
      </w:r>
      <w:r>
        <w:rPr>
          <w:rFonts w:cs="Arial"/>
          <w:lang w:val="en-CA"/>
        </w:rPr>
        <w:t xml:space="preserve"> </w:t>
      </w:r>
      <w:r>
        <w:rPr>
          <w:rFonts w:cs="Arial"/>
          <w:b/>
          <w:lang w:val="en-CA"/>
        </w:rPr>
        <w:t>Offences</w:t>
      </w:r>
      <w:r>
        <w:rPr>
          <w:rFonts w:cs="Arial"/>
          <w:lang w:val="en-CA"/>
        </w:rPr>
        <w:t>), the Organizations acknowledge that the Statement of Facts (</w:t>
      </w:r>
      <w:r>
        <w:rPr>
          <w:rFonts w:cs="Arial"/>
          <w:b/>
          <w:lang w:val="en-CA"/>
        </w:rPr>
        <w:t>Statement of Facts</w:t>
      </w:r>
      <w:r>
        <w:rPr>
          <w:rFonts w:cs="Arial"/>
          <w:lang w:val="en-CA"/>
        </w:rPr>
        <w:t xml:space="preserve">), </w:t>
      </w:r>
      <w:r>
        <w:rPr>
          <w:rFonts w:cs="Arial"/>
          <w:b/>
          <w:lang w:val="en-CA"/>
        </w:rPr>
        <w:t>Schedule B</w:t>
      </w:r>
      <w:r>
        <w:rPr>
          <w:rFonts w:cs="Arial"/>
          <w:lang w:val="en-CA"/>
        </w:rPr>
        <w:t>, relating to the offences they are alleged to have committed is true and accurate and constitutes a fair representation of the information of which they are aware [715.34(1)(a) Cr. C.].</w:t>
      </w:r>
    </w:p>
    <w:p w14:paraId="5BCC2ACB" w14:textId="77777777" w:rsidR="00313DEB" w:rsidRDefault="00313DEB" w:rsidP="00895880">
      <w:pPr>
        <w:pStyle w:val="Paragraphedeliste"/>
        <w:jc w:val="both"/>
        <w:rPr>
          <w:rFonts w:cs="Arial"/>
          <w:lang w:val="en-CA"/>
        </w:rPr>
      </w:pPr>
    </w:p>
    <w:p w14:paraId="42928F74" w14:textId="77777777" w:rsidR="00313DEB" w:rsidRDefault="00313DEB" w:rsidP="00313DEB">
      <w:pPr>
        <w:pStyle w:val="Paragraphedeliste"/>
        <w:numPr>
          <w:ilvl w:val="0"/>
          <w:numId w:val="40"/>
        </w:numPr>
        <w:contextualSpacing/>
        <w:jc w:val="both"/>
        <w:rPr>
          <w:rFonts w:cs="Arial"/>
          <w:lang w:val="en-CA"/>
        </w:rPr>
      </w:pPr>
      <w:r>
        <w:rPr>
          <w:rFonts w:cs="Arial"/>
          <w:lang w:val="en-CA"/>
        </w:rPr>
        <w:t>The Organizations undertake not to make or condone any public statement that contradicts the Statement of Facts, whether made by the Organizations themselves or by any corporation belonging to SNC-Lavalin Group Inc. (</w:t>
      </w:r>
      <w:r>
        <w:rPr>
          <w:rFonts w:cs="Arial"/>
          <w:b/>
          <w:lang w:val="en-CA"/>
        </w:rPr>
        <w:t>SNCLG</w:t>
      </w:r>
      <w:r>
        <w:rPr>
          <w:rFonts w:cs="Arial"/>
          <w:lang w:val="en-CA"/>
        </w:rPr>
        <w:t>) or their respective representatives, or by any former employee, with the exception of representations made in the context of legal proceedings or before a court of law [715.34(1)(a) Cr. C.].</w:t>
      </w:r>
    </w:p>
    <w:p w14:paraId="0B962997" w14:textId="77777777" w:rsidR="00313DEB" w:rsidRDefault="00313DEB" w:rsidP="00895880">
      <w:pPr>
        <w:pStyle w:val="Paragraphedeliste"/>
        <w:rPr>
          <w:rFonts w:cs="Arial"/>
          <w:lang w:val="en-CA"/>
        </w:rPr>
      </w:pPr>
    </w:p>
    <w:p w14:paraId="1AC62E2B" w14:textId="77777777" w:rsidR="00313DEB" w:rsidRDefault="00313DEB" w:rsidP="00313DEB">
      <w:pPr>
        <w:pStyle w:val="Paragraphedeliste"/>
        <w:numPr>
          <w:ilvl w:val="0"/>
          <w:numId w:val="40"/>
        </w:numPr>
        <w:contextualSpacing/>
        <w:jc w:val="both"/>
        <w:rPr>
          <w:rFonts w:cs="Arial"/>
          <w:lang w:val="en-CA"/>
        </w:rPr>
      </w:pPr>
      <w:r>
        <w:rPr>
          <w:rFonts w:cs="Arial"/>
          <w:lang w:val="en-CA"/>
        </w:rPr>
        <w:t xml:space="preserve">The Prosecutor shall give the Organizations written notice should it determine that a public statement referred to in the above paragraph has been made, and the Organizations undertake to publicly correct or deny the said statement within </w:t>
      </w:r>
      <w:r>
        <w:rPr>
          <w:rFonts w:cs="Arial"/>
          <w:b/>
          <w:lang w:val="en-CA"/>
        </w:rPr>
        <w:t>five</w:t>
      </w:r>
      <w:r>
        <w:rPr>
          <w:rFonts w:cs="Arial"/>
          <w:lang w:val="en-CA"/>
        </w:rPr>
        <w:t xml:space="preserve"> </w:t>
      </w:r>
      <w:r>
        <w:rPr>
          <w:rFonts w:cs="Arial"/>
          <w:b/>
          <w:lang w:val="en-CA"/>
        </w:rPr>
        <w:t>(5) full legal days</w:t>
      </w:r>
      <w:r>
        <w:rPr>
          <w:rFonts w:cs="Arial"/>
          <w:lang w:val="en-CA"/>
        </w:rPr>
        <w:t xml:space="preserve"> after receipt of such notice.</w:t>
      </w:r>
    </w:p>
    <w:p w14:paraId="3FE5F6D2" w14:textId="77777777" w:rsidR="00313DEB" w:rsidRDefault="00313DEB" w:rsidP="00895880">
      <w:pPr>
        <w:pStyle w:val="Paragraphedeliste"/>
        <w:rPr>
          <w:rFonts w:cs="Arial"/>
          <w:lang w:val="en-CA"/>
        </w:rPr>
      </w:pPr>
    </w:p>
    <w:p w14:paraId="743AAFE7" w14:textId="77777777" w:rsidR="00313DEB" w:rsidRDefault="00313DEB" w:rsidP="00313DEB">
      <w:pPr>
        <w:pStyle w:val="Paragraphedeliste"/>
        <w:numPr>
          <w:ilvl w:val="0"/>
          <w:numId w:val="40"/>
        </w:numPr>
        <w:contextualSpacing/>
        <w:jc w:val="both"/>
        <w:rPr>
          <w:rFonts w:cs="Arial"/>
          <w:lang w:val="en-CA"/>
        </w:rPr>
      </w:pPr>
      <w:r>
        <w:rPr>
          <w:rFonts w:cs="Arial"/>
          <w:lang w:val="en-CA"/>
        </w:rPr>
        <w:t>The Organizations agree to consult the Prosecutor before issuing any press release or other written public statement in respect of the Agreement to allow the Prosecutor to determine whether the text adequately reflects the Agreement, and the Prosecutor may not refuse such a statement being made without reasonable grounds. If the Organizations believe they have a legal obligation to issue such a statement within a period of time that does not allow for such a consultation, they shall inform the Prosecutor of the circumstances and applicable mandatory provisions as soon as possible.</w:t>
      </w:r>
    </w:p>
    <w:p w14:paraId="0A7B140D" w14:textId="77777777" w:rsidR="00313DEB" w:rsidRDefault="00313DEB" w:rsidP="00895880">
      <w:pPr>
        <w:pStyle w:val="Paragraphedeliste"/>
        <w:rPr>
          <w:rFonts w:cs="Arial"/>
          <w:lang w:val="en-CA"/>
        </w:rPr>
      </w:pPr>
    </w:p>
    <w:p w14:paraId="2EBCF630" w14:textId="77777777" w:rsidR="00313DEB" w:rsidRDefault="00313DEB" w:rsidP="00313DEB">
      <w:pPr>
        <w:pStyle w:val="Paragraphedeliste"/>
        <w:numPr>
          <w:ilvl w:val="0"/>
          <w:numId w:val="40"/>
        </w:numPr>
        <w:contextualSpacing/>
        <w:jc w:val="both"/>
        <w:rPr>
          <w:rFonts w:cs="Arial"/>
          <w:lang w:val="en-CA"/>
        </w:rPr>
      </w:pPr>
      <w:bookmarkStart w:id="28" w:name="_Ref88741955"/>
      <w:r>
        <w:rPr>
          <w:rFonts w:cs="Arial"/>
          <w:lang w:val="en-CA"/>
        </w:rPr>
        <w:t>The Organizations admit that they are responsible for the acts or omissions described in the Statement of Facts that form the basis of the Alleged Offences [715.34(1)(b) Cr. C.</w:t>
      </w:r>
      <w:bookmarkEnd w:id="28"/>
      <w:r>
        <w:rPr>
          <w:rFonts w:cs="Arial"/>
          <w:lang w:val="en-CA"/>
        </w:rPr>
        <w:t>].</w:t>
      </w:r>
    </w:p>
    <w:p w14:paraId="223D6382" w14:textId="77777777" w:rsidR="00313DEB" w:rsidRDefault="00313DEB" w:rsidP="00895880">
      <w:pPr>
        <w:pStyle w:val="Paragraphedeliste"/>
        <w:rPr>
          <w:rFonts w:cs="Arial"/>
          <w:lang w:val="en-CA"/>
        </w:rPr>
      </w:pPr>
    </w:p>
    <w:p w14:paraId="281F446D" w14:textId="77777777" w:rsidR="00313DEB" w:rsidRDefault="00313DEB" w:rsidP="00313DEB">
      <w:pPr>
        <w:pStyle w:val="Paragraphedeliste"/>
        <w:numPr>
          <w:ilvl w:val="0"/>
          <w:numId w:val="40"/>
        </w:numPr>
        <w:contextualSpacing/>
        <w:jc w:val="both"/>
        <w:rPr>
          <w:rFonts w:cs="Arial"/>
          <w:lang w:val="en-CA"/>
        </w:rPr>
      </w:pPr>
      <w:r>
        <w:rPr>
          <w:rFonts w:cs="Arial"/>
          <w:lang w:val="en-CA"/>
        </w:rPr>
        <w:t>The Organizations acknowledge that the Agreement has been made in good faith, that, to the best of their knowledge, the information they have provided at the Prosecutor’s request during the negotiation of the Agreement is accurate and complete, and that they shall continue to provide such information to the Prosecutor throughout the Agreement’s Effective Period, as that expression is defined in Section 10 of this Agreement [715.34 (1)(k) Cr. C.].</w:t>
      </w:r>
    </w:p>
    <w:p w14:paraId="5290C70A" w14:textId="77777777" w:rsidR="00313DEB" w:rsidRDefault="00313DEB" w:rsidP="00895880">
      <w:pPr>
        <w:jc w:val="both"/>
        <w:rPr>
          <w:rFonts w:cs="Arial"/>
          <w:lang w:val="en-CA"/>
        </w:rPr>
      </w:pPr>
    </w:p>
    <w:p w14:paraId="1730A260" w14:textId="77777777" w:rsidR="00313DEB" w:rsidRDefault="00313DEB" w:rsidP="00313DEB">
      <w:pPr>
        <w:pStyle w:val="Paragraphedeliste"/>
        <w:numPr>
          <w:ilvl w:val="0"/>
          <w:numId w:val="40"/>
        </w:numPr>
        <w:contextualSpacing/>
        <w:jc w:val="both"/>
        <w:rPr>
          <w:rFonts w:cs="Arial"/>
          <w:lang w:val="en-CA"/>
        </w:rPr>
      </w:pPr>
      <w:r>
        <w:rPr>
          <w:rFonts w:cs="Arial"/>
          <w:lang w:val="en-CA"/>
        </w:rPr>
        <w:t>The Organizations acknowledge that the Prosecutor may use the information disclosed to him during the Agreement’s negotiation for the purposes of any proceedings already instituted or to come, provided the information pre-dates the negotiations and subject to any legally recognized privilege that may relate thereto [715.34(1)(l) Cr. C.].</w:t>
      </w:r>
    </w:p>
    <w:p w14:paraId="3FD20B40" w14:textId="77777777" w:rsidR="00313DEB" w:rsidRDefault="00313DEB" w:rsidP="00895880">
      <w:pPr>
        <w:pStyle w:val="Paragraphedeliste"/>
        <w:rPr>
          <w:rFonts w:cs="Arial"/>
          <w:lang w:val="en-CA"/>
        </w:rPr>
      </w:pPr>
    </w:p>
    <w:p w14:paraId="78066FF0" w14:textId="77777777" w:rsidR="00313DEB" w:rsidRDefault="00313DEB" w:rsidP="00313DEB">
      <w:pPr>
        <w:pStyle w:val="Paragraphedeliste"/>
        <w:numPr>
          <w:ilvl w:val="0"/>
          <w:numId w:val="40"/>
        </w:numPr>
        <w:contextualSpacing/>
        <w:jc w:val="both"/>
        <w:rPr>
          <w:rFonts w:cs="Arial"/>
          <w:lang w:val="en-CA"/>
        </w:rPr>
      </w:pPr>
      <w:bookmarkStart w:id="29" w:name="lt_pId033"/>
      <w:r>
        <w:rPr>
          <w:rFonts w:cs="Arial"/>
          <w:lang w:val="en-CA"/>
        </w:rPr>
        <w:t xml:space="preserve">No admission, confession or statement accepting responsibility for a given act or omission made by the Organizations as a result of the Agreement is admissible in evidence against those Organizations in any civil or criminal proceedings related to that act or omission, with the exception of those admissions, confessions or statements contained in the Statement of Facts and admission of responsibility </w:t>
      </w:r>
      <w:r>
        <w:rPr>
          <w:rFonts w:cs="Arial"/>
          <w:lang w:val="en-CA"/>
        </w:rPr>
        <w:lastRenderedPageBreak/>
        <w:t>referred to in paragraphs 715.34(1)(a) or (b) if the Agreement is approved by the Court [715.34(2) Cr. C.].</w:t>
      </w:r>
      <w:bookmarkEnd w:id="29"/>
      <w:r>
        <w:rPr>
          <w:rFonts w:cs="Arial"/>
          <w:lang w:val="en-CA"/>
        </w:rPr>
        <w:t xml:space="preserve"> </w:t>
      </w:r>
    </w:p>
    <w:p w14:paraId="0B3FB628" w14:textId="77777777" w:rsidR="00313DEB" w:rsidRDefault="00313DEB" w:rsidP="00895880">
      <w:pPr>
        <w:rPr>
          <w:rFonts w:cs="Arial"/>
          <w:lang w:val="en-CA"/>
        </w:rPr>
      </w:pPr>
    </w:p>
    <w:p w14:paraId="263BC3A5" w14:textId="77777777" w:rsidR="00313DEB" w:rsidRDefault="00313DEB" w:rsidP="00313DEB">
      <w:pPr>
        <w:pStyle w:val="Titre1"/>
        <w:numPr>
          <w:ilvl w:val="0"/>
          <w:numId w:val="39"/>
        </w:numPr>
        <w:spacing w:before="0" w:after="0"/>
        <w:rPr>
          <w:rFonts w:cs="Arial"/>
          <w:b w:val="0"/>
          <w:sz w:val="22"/>
          <w:szCs w:val="22"/>
          <w:lang w:val="en-CA"/>
        </w:rPr>
      </w:pPr>
      <w:r>
        <w:rPr>
          <w:rFonts w:cs="Arial"/>
          <w:sz w:val="22"/>
          <w:szCs w:val="22"/>
          <w:lang w:val="en-CA"/>
        </w:rPr>
        <w:t>AGREEMENT’S APPROVAL AND EFFECTIVE PERIOD</w:t>
      </w:r>
    </w:p>
    <w:p w14:paraId="5DCD63BC" w14:textId="77777777" w:rsidR="00313DEB" w:rsidRDefault="00313DEB" w:rsidP="00895880">
      <w:pPr>
        <w:rPr>
          <w:rFonts w:cs="Arial"/>
          <w:lang w:val="en-CA"/>
        </w:rPr>
      </w:pPr>
    </w:p>
    <w:p w14:paraId="2B78187C" w14:textId="77777777" w:rsidR="00313DEB" w:rsidRDefault="00313DEB" w:rsidP="00313DEB">
      <w:pPr>
        <w:pStyle w:val="Paragraphedeliste"/>
        <w:numPr>
          <w:ilvl w:val="0"/>
          <w:numId w:val="40"/>
        </w:numPr>
        <w:contextualSpacing/>
        <w:jc w:val="both"/>
        <w:rPr>
          <w:rFonts w:cs="Arial"/>
          <w:lang w:val="en-CA"/>
        </w:rPr>
      </w:pPr>
      <w:r>
        <w:rPr>
          <w:rFonts w:cs="Arial"/>
          <w:lang w:val="en-CA"/>
        </w:rPr>
        <w:t>As soon as possible following the execution date hereof, the Prosecutor undertakes to apply to the Superior Court of Québec (</w:t>
      </w:r>
      <w:r>
        <w:rPr>
          <w:rFonts w:cs="Arial"/>
          <w:b/>
          <w:lang w:val="en-CA"/>
        </w:rPr>
        <w:t>Court</w:t>
      </w:r>
      <w:r>
        <w:rPr>
          <w:rFonts w:cs="Arial"/>
          <w:lang w:val="en-CA"/>
        </w:rPr>
        <w:t xml:space="preserve">) in writing for approval, in accordance with subsection 715.37(1) of the </w:t>
      </w:r>
      <w:r>
        <w:rPr>
          <w:rFonts w:cs="Arial"/>
          <w:i/>
          <w:lang w:val="en-CA"/>
        </w:rPr>
        <w:t>Criminal Code</w:t>
      </w:r>
      <w:r>
        <w:rPr>
          <w:rFonts w:cs="Arial"/>
          <w:iCs/>
          <w:lang w:val="en-CA"/>
        </w:rPr>
        <w:t>.</w:t>
      </w:r>
    </w:p>
    <w:p w14:paraId="39502A2F" w14:textId="77777777" w:rsidR="00313DEB" w:rsidRDefault="00313DEB" w:rsidP="00895880">
      <w:pPr>
        <w:pStyle w:val="Paragraphedeliste"/>
        <w:jc w:val="both"/>
        <w:rPr>
          <w:rFonts w:cs="Arial"/>
          <w:lang w:val="en-CA"/>
        </w:rPr>
      </w:pPr>
    </w:p>
    <w:p w14:paraId="536F1E72" w14:textId="77777777" w:rsidR="00313DEB" w:rsidRDefault="00313DEB" w:rsidP="00313DEB">
      <w:pPr>
        <w:pStyle w:val="Paragraphedeliste"/>
        <w:numPr>
          <w:ilvl w:val="0"/>
          <w:numId w:val="40"/>
        </w:numPr>
        <w:contextualSpacing/>
        <w:jc w:val="both"/>
        <w:rPr>
          <w:rFonts w:cs="Arial"/>
          <w:lang w:val="en-CA"/>
        </w:rPr>
      </w:pPr>
      <w:r>
        <w:rPr>
          <w:rFonts w:cs="Arial"/>
          <w:lang w:val="en-CA"/>
        </w:rPr>
        <w:t xml:space="preserve">This Agreement shall come into effect as of the date on which the Court issues an approval order pursuant to subsection 715.37(6) Cr. C. and shall remain in effect for a period of </w:t>
      </w:r>
      <w:r>
        <w:rPr>
          <w:rFonts w:cs="Arial"/>
          <w:b/>
          <w:lang w:val="en-CA"/>
        </w:rPr>
        <w:t xml:space="preserve">three (3) years </w:t>
      </w:r>
      <w:r>
        <w:rPr>
          <w:rFonts w:cs="Arial"/>
          <w:lang w:val="en-CA"/>
        </w:rPr>
        <w:t>(</w:t>
      </w:r>
      <w:r>
        <w:rPr>
          <w:rFonts w:cs="Arial"/>
          <w:b/>
          <w:lang w:val="en-CA"/>
        </w:rPr>
        <w:t>Agreement’s Effective Period</w:t>
      </w:r>
      <w:r>
        <w:rPr>
          <w:rFonts w:cs="Arial"/>
          <w:lang w:val="en-CA"/>
        </w:rPr>
        <w:t>).</w:t>
      </w:r>
    </w:p>
    <w:p w14:paraId="55561EF4" w14:textId="490A3A5D" w:rsidR="00313DEB" w:rsidRDefault="00313DEB" w:rsidP="00895880">
      <w:pPr>
        <w:pStyle w:val="Paragraphedeliste"/>
        <w:jc w:val="both"/>
        <w:rPr>
          <w:rFonts w:cs="Arial"/>
          <w:lang w:val="en-CA"/>
        </w:rPr>
      </w:pPr>
    </w:p>
    <w:p w14:paraId="63EE6742" w14:textId="77777777" w:rsidR="00313DEB" w:rsidRDefault="00313DEB" w:rsidP="00313DEB">
      <w:pPr>
        <w:pStyle w:val="Titre1"/>
        <w:numPr>
          <w:ilvl w:val="0"/>
          <w:numId w:val="39"/>
        </w:numPr>
        <w:spacing w:before="0" w:after="0"/>
        <w:rPr>
          <w:rFonts w:cs="Arial"/>
          <w:b w:val="0"/>
          <w:sz w:val="22"/>
          <w:szCs w:val="22"/>
          <w:lang w:val="en-CA"/>
        </w:rPr>
      </w:pPr>
      <w:r>
        <w:rPr>
          <w:rFonts w:cs="Arial"/>
          <w:sz w:val="22"/>
          <w:szCs w:val="22"/>
          <w:lang w:val="en-CA"/>
        </w:rPr>
        <w:t>AGREEMENT’S LEGAL EFFECTS ON THE PROCEEDINGS [715.34(1)(j) Cr. C.]</w:t>
      </w:r>
    </w:p>
    <w:p w14:paraId="4BFC290A" w14:textId="77777777" w:rsidR="00313DEB" w:rsidRDefault="00313DEB" w:rsidP="00895880">
      <w:pPr>
        <w:rPr>
          <w:rFonts w:cs="Arial"/>
          <w:lang w:val="en-CA"/>
        </w:rPr>
      </w:pPr>
    </w:p>
    <w:p w14:paraId="23BF4B36" w14:textId="77777777" w:rsidR="00313DEB" w:rsidRDefault="00313DEB" w:rsidP="00313DEB">
      <w:pPr>
        <w:pStyle w:val="Paragraphedeliste"/>
        <w:numPr>
          <w:ilvl w:val="0"/>
          <w:numId w:val="40"/>
        </w:numPr>
        <w:contextualSpacing/>
        <w:jc w:val="both"/>
        <w:rPr>
          <w:rFonts w:cs="Arial"/>
          <w:lang w:val="en-CA"/>
        </w:rPr>
      </w:pPr>
      <w:r>
        <w:rPr>
          <w:rFonts w:cs="Arial"/>
          <w:lang w:val="en-CA"/>
        </w:rPr>
        <w:t>As soon as practicable after the Court approves the Agreement, the Prosecutor shall direct the clerk or other proper officer of the Court to make an entry on the record no. 500-01-223556-215 to the effect that the proceedings against the Organizations in respect of any Alleged Offence are stayed by that direction and that entry must be made immediately, after which time the proceedings shall be stayed accordingly [715.37(7) Cr. C.].</w:t>
      </w:r>
    </w:p>
    <w:p w14:paraId="7CB523A4" w14:textId="77777777" w:rsidR="00313DEB" w:rsidRDefault="00313DEB" w:rsidP="00895880">
      <w:pPr>
        <w:pStyle w:val="Paragraphedeliste"/>
        <w:jc w:val="both"/>
        <w:rPr>
          <w:rFonts w:cs="Arial"/>
          <w:lang w:val="en-CA"/>
        </w:rPr>
      </w:pPr>
    </w:p>
    <w:p w14:paraId="4C25404A" w14:textId="77777777" w:rsidR="00313DEB" w:rsidRDefault="00313DEB" w:rsidP="00313DEB">
      <w:pPr>
        <w:pStyle w:val="Paragraphedeliste"/>
        <w:numPr>
          <w:ilvl w:val="0"/>
          <w:numId w:val="40"/>
        </w:numPr>
        <w:contextualSpacing/>
        <w:jc w:val="both"/>
        <w:rPr>
          <w:rFonts w:cs="Arial"/>
          <w:lang w:val="en-CA"/>
        </w:rPr>
      </w:pPr>
      <w:r>
        <w:rPr>
          <w:rFonts w:cs="Arial"/>
          <w:lang w:val="en-CA"/>
        </w:rPr>
        <w:t xml:space="preserve">As part of the public disclosure of this Agreement that SNCLG is required to make pursuant to its obligations under the securities legislation, the press release that the Organizations undertake will be posted by SNCLG on the </w:t>
      </w:r>
      <w:hyperlink r:id="rId13" w:history="1">
        <w:r>
          <w:rPr>
            <w:rStyle w:val="Lienhypertexte"/>
            <w:rFonts w:cs="Arial"/>
            <w:lang w:val="en-CA"/>
          </w:rPr>
          <w:t>www.sedar.com</w:t>
        </w:r>
      </w:hyperlink>
      <w:r>
        <w:rPr>
          <w:rFonts w:cs="Arial"/>
          <w:lang w:val="en-CA"/>
        </w:rPr>
        <w:t xml:space="preserve"> website and contain the following information: </w:t>
      </w:r>
    </w:p>
    <w:p w14:paraId="4C203E82" w14:textId="77777777" w:rsidR="00313DEB" w:rsidRDefault="00313DEB" w:rsidP="00895880">
      <w:pPr>
        <w:rPr>
          <w:rFonts w:cs="Arial"/>
          <w:lang w:val="en-CA"/>
        </w:rPr>
      </w:pPr>
    </w:p>
    <w:p w14:paraId="0C0AE316" w14:textId="77777777" w:rsidR="00313DEB" w:rsidRDefault="00313DEB" w:rsidP="00313DEB">
      <w:pPr>
        <w:pStyle w:val="Paragraphedeliste"/>
        <w:numPr>
          <w:ilvl w:val="0"/>
          <w:numId w:val="41"/>
        </w:numPr>
        <w:ind w:left="1134" w:hanging="426"/>
        <w:contextualSpacing/>
        <w:jc w:val="both"/>
        <w:rPr>
          <w:rFonts w:cs="Arial"/>
          <w:lang w:val="en-CA"/>
        </w:rPr>
      </w:pPr>
      <w:r>
        <w:rPr>
          <w:rFonts w:cs="Arial"/>
          <w:lang w:val="en-CA"/>
        </w:rPr>
        <w:t>The financial elements of the Agreement, and the respective timetables;</w:t>
      </w:r>
    </w:p>
    <w:p w14:paraId="18B67F03" w14:textId="77777777" w:rsidR="00313DEB" w:rsidRDefault="00313DEB" w:rsidP="00895880">
      <w:pPr>
        <w:pStyle w:val="Paragraphedeliste"/>
        <w:ind w:left="1134"/>
        <w:jc w:val="both"/>
        <w:rPr>
          <w:rFonts w:cs="Arial"/>
          <w:lang w:val="en-CA"/>
        </w:rPr>
      </w:pPr>
    </w:p>
    <w:p w14:paraId="2C335C86" w14:textId="77777777" w:rsidR="00313DEB" w:rsidRDefault="00313DEB" w:rsidP="00313DEB">
      <w:pPr>
        <w:pStyle w:val="Paragraphedeliste"/>
        <w:numPr>
          <w:ilvl w:val="0"/>
          <w:numId w:val="41"/>
        </w:numPr>
        <w:ind w:left="1134" w:hanging="426"/>
        <w:contextualSpacing/>
        <w:jc w:val="both"/>
        <w:rPr>
          <w:rFonts w:cs="Arial"/>
          <w:lang w:val="en-CA"/>
        </w:rPr>
      </w:pPr>
      <w:r>
        <w:rPr>
          <w:rFonts w:cs="Arial"/>
          <w:lang w:val="en-CA"/>
        </w:rPr>
        <w:t>The fact that an Independent Monitor was appointed, its mandate, and the term for which it was appointed;</w:t>
      </w:r>
    </w:p>
    <w:p w14:paraId="497150A1" w14:textId="77777777" w:rsidR="00313DEB" w:rsidRDefault="00313DEB" w:rsidP="00895880">
      <w:pPr>
        <w:pStyle w:val="Paragraphedeliste"/>
        <w:ind w:left="1134"/>
        <w:jc w:val="both"/>
        <w:rPr>
          <w:rFonts w:cs="Arial"/>
          <w:lang w:val="en-CA"/>
        </w:rPr>
      </w:pPr>
    </w:p>
    <w:p w14:paraId="1B2F0310" w14:textId="77777777" w:rsidR="00313DEB" w:rsidRDefault="00313DEB" w:rsidP="00313DEB">
      <w:pPr>
        <w:pStyle w:val="Paragraphedeliste"/>
        <w:numPr>
          <w:ilvl w:val="0"/>
          <w:numId w:val="41"/>
        </w:numPr>
        <w:ind w:left="1134" w:hanging="426"/>
        <w:contextualSpacing/>
        <w:jc w:val="both"/>
        <w:rPr>
          <w:rFonts w:cs="Arial"/>
          <w:lang w:val="en-CA"/>
        </w:rPr>
      </w:pPr>
      <w:r>
        <w:rPr>
          <w:rFonts w:cs="Arial"/>
          <w:lang w:val="en-CA"/>
        </w:rPr>
        <w:t xml:space="preserve">The Agreement’s legal effects, namely that the proceedings will be stayed once the Agreement is approved and may be discontinued upon expiry of the Agreement’s Effective Period if all conditions are met; and </w:t>
      </w:r>
    </w:p>
    <w:p w14:paraId="759536BB" w14:textId="77777777" w:rsidR="00313DEB" w:rsidRDefault="00313DEB" w:rsidP="00895880">
      <w:pPr>
        <w:pStyle w:val="Paragraphedeliste"/>
        <w:ind w:left="1134"/>
        <w:jc w:val="both"/>
        <w:rPr>
          <w:rFonts w:cs="Arial"/>
          <w:lang w:val="en-CA"/>
        </w:rPr>
      </w:pPr>
    </w:p>
    <w:p w14:paraId="78618D6E" w14:textId="77777777" w:rsidR="00313DEB" w:rsidRDefault="00313DEB" w:rsidP="00313DEB">
      <w:pPr>
        <w:pStyle w:val="Paragraphedeliste"/>
        <w:numPr>
          <w:ilvl w:val="0"/>
          <w:numId w:val="41"/>
        </w:numPr>
        <w:ind w:left="1134" w:hanging="426"/>
        <w:contextualSpacing/>
        <w:rPr>
          <w:rFonts w:cs="Arial"/>
          <w:lang w:val="en-CA"/>
        </w:rPr>
      </w:pPr>
      <w:r>
        <w:rPr>
          <w:rFonts w:cs="Arial"/>
          <w:lang w:val="en-CA"/>
        </w:rPr>
        <w:t>A hyperlink leading to the approval judgment.</w:t>
      </w:r>
    </w:p>
    <w:p w14:paraId="517BAB92" w14:textId="77777777" w:rsidR="00313DEB" w:rsidRDefault="00313DEB" w:rsidP="00895880">
      <w:pPr>
        <w:pStyle w:val="Paragraphedeliste"/>
        <w:ind w:left="1428"/>
        <w:rPr>
          <w:rFonts w:cs="Arial"/>
          <w:lang w:val="en-CA"/>
        </w:rPr>
      </w:pPr>
    </w:p>
    <w:p w14:paraId="1071EE90" w14:textId="77777777" w:rsidR="00313DEB" w:rsidRDefault="00313DEB" w:rsidP="00313DEB">
      <w:pPr>
        <w:pStyle w:val="Paragraphedeliste"/>
        <w:numPr>
          <w:ilvl w:val="0"/>
          <w:numId w:val="40"/>
        </w:numPr>
        <w:contextualSpacing/>
        <w:jc w:val="both"/>
        <w:rPr>
          <w:rFonts w:cs="Arial"/>
          <w:lang w:val="en-CA"/>
        </w:rPr>
      </w:pPr>
      <w:bookmarkStart w:id="30" w:name="lt_pId045"/>
      <w:r>
        <w:rPr>
          <w:rFonts w:cs="Arial"/>
          <w:lang w:val="en-CA"/>
        </w:rPr>
        <w:t>No other proceedings may be initiated against the Organizations for the same Alleged Offences during the Agreement’s Effective Period [715.37(8) Cr. C.].</w:t>
      </w:r>
      <w:bookmarkEnd w:id="30"/>
      <w:r>
        <w:rPr>
          <w:rFonts w:cs="Arial"/>
          <w:lang w:val="en-CA"/>
        </w:rPr>
        <w:t xml:space="preserve"> </w:t>
      </w:r>
    </w:p>
    <w:p w14:paraId="7DD9BAB6" w14:textId="77777777" w:rsidR="00313DEB" w:rsidRDefault="00313DEB" w:rsidP="00895880">
      <w:pPr>
        <w:pStyle w:val="Paragraphedeliste"/>
        <w:jc w:val="both"/>
        <w:rPr>
          <w:rFonts w:cs="Arial"/>
          <w:lang w:val="en-CA"/>
        </w:rPr>
      </w:pPr>
    </w:p>
    <w:p w14:paraId="24DCE55C" w14:textId="77777777" w:rsidR="00313DEB" w:rsidRDefault="00313DEB" w:rsidP="00313DEB">
      <w:pPr>
        <w:pStyle w:val="Paragraphedeliste"/>
        <w:numPr>
          <w:ilvl w:val="0"/>
          <w:numId w:val="40"/>
        </w:numPr>
        <w:contextualSpacing/>
        <w:jc w:val="both"/>
        <w:rPr>
          <w:rFonts w:cs="Arial"/>
          <w:lang w:val="en-CA"/>
        </w:rPr>
      </w:pPr>
      <w:r>
        <w:rPr>
          <w:rFonts w:cs="Arial"/>
          <w:lang w:val="en-CA"/>
        </w:rPr>
        <w:t xml:space="preserve">If, following an application by the Prosecutor, the Court is convinced that one of the conditions of the Agreement has not been met and, as a result, an order to terminate the Agreement is made, the stayed proceedings may be recommenced, without a new information or a new indictment, as the case may be, by the </w:t>
      </w:r>
      <w:r>
        <w:rPr>
          <w:rFonts w:cs="Arial"/>
          <w:lang w:val="en-CA"/>
        </w:rPr>
        <w:lastRenderedPageBreak/>
        <w:t>Prosecutor giving notice of the recommencement to the clerk of the court in which the stay of the proceedings was entered [715.39(1) and (2) Cr. C.].</w:t>
      </w:r>
    </w:p>
    <w:p w14:paraId="4957BD08" w14:textId="77777777" w:rsidR="00313DEB" w:rsidRDefault="00313DEB" w:rsidP="00895880">
      <w:pPr>
        <w:jc w:val="both"/>
        <w:rPr>
          <w:rFonts w:cs="Arial"/>
          <w:lang w:val="en-CA"/>
        </w:rPr>
      </w:pPr>
    </w:p>
    <w:p w14:paraId="45FBC81A" w14:textId="77777777" w:rsidR="00313DEB" w:rsidRDefault="00313DEB" w:rsidP="00313DEB">
      <w:pPr>
        <w:pStyle w:val="Paragraphedeliste"/>
        <w:numPr>
          <w:ilvl w:val="0"/>
          <w:numId w:val="40"/>
        </w:numPr>
        <w:contextualSpacing/>
        <w:jc w:val="both"/>
        <w:rPr>
          <w:rFonts w:cs="Arial"/>
          <w:lang w:val="en-CA"/>
        </w:rPr>
      </w:pPr>
      <w:r>
        <w:rPr>
          <w:rFonts w:cs="Arial"/>
          <w:lang w:val="en-CA"/>
        </w:rPr>
        <w:t xml:space="preserve">As soon as practicable after expiry of the Agreement’s Effective Period, the Prosecutor shall file a written application with the Court declaring, where applicable, that the terms of the Agreement were met. If the Court is satisfied thereof, it must issue an order declaring that the terms were met, resulting in the immediate stay of the proceedings against the Organizations relating to the Alleged Offences. The proceedings shall then be deemed never to have been commenced and no other proceedings may be initiated for the same offences [715.4 Cr. C.]. </w:t>
      </w:r>
    </w:p>
    <w:p w14:paraId="6738725F" w14:textId="77777777" w:rsidR="00313DEB" w:rsidRDefault="00313DEB" w:rsidP="00895880">
      <w:pPr>
        <w:pStyle w:val="Paragraphedeliste"/>
        <w:rPr>
          <w:rFonts w:cs="Arial"/>
          <w:lang w:val="en-CA"/>
        </w:rPr>
      </w:pPr>
    </w:p>
    <w:p w14:paraId="7B889A0C" w14:textId="77777777" w:rsidR="00313DEB" w:rsidRDefault="00313DEB" w:rsidP="00313DEB">
      <w:pPr>
        <w:pStyle w:val="Paragraphedeliste"/>
        <w:numPr>
          <w:ilvl w:val="0"/>
          <w:numId w:val="40"/>
        </w:numPr>
        <w:contextualSpacing/>
        <w:jc w:val="both"/>
        <w:rPr>
          <w:rFonts w:cs="Arial"/>
          <w:lang w:val="en-CA"/>
        </w:rPr>
      </w:pPr>
      <w:r>
        <w:rPr>
          <w:rFonts w:cs="Arial"/>
          <w:lang w:val="en-CA"/>
        </w:rPr>
        <w:t>This Agreement does not grant immunity against proceedings for acts or omissions that are neither directly nor indirectly related to the facts associated with the Alleged Offences, whether to the Organizations or any affiliate of SNCLG, or its current or former employees.</w:t>
      </w:r>
    </w:p>
    <w:p w14:paraId="6041A61C" w14:textId="77777777" w:rsidR="00313DEB" w:rsidRDefault="00313DEB" w:rsidP="00895880">
      <w:pPr>
        <w:jc w:val="both"/>
        <w:rPr>
          <w:rFonts w:cs="Arial"/>
          <w:lang w:val="en-CA"/>
        </w:rPr>
      </w:pPr>
    </w:p>
    <w:p w14:paraId="518E62C7" w14:textId="77777777" w:rsidR="00313DEB" w:rsidRDefault="00313DEB" w:rsidP="00313DEB">
      <w:pPr>
        <w:pStyle w:val="Titre1"/>
        <w:numPr>
          <w:ilvl w:val="0"/>
          <w:numId w:val="39"/>
        </w:numPr>
        <w:spacing w:before="0" w:after="0"/>
        <w:rPr>
          <w:rFonts w:cs="Arial"/>
          <w:b w:val="0"/>
          <w:sz w:val="22"/>
          <w:szCs w:val="22"/>
          <w:lang w:val="en-CA"/>
        </w:rPr>
      </w:pPr>
      <w:r>
        <w:rPr>
          <w:rFonts w:cs="Arial"/>
          <w:sz w:val="22"/>
          <w:szCs w:val="22"/>
          <w:lang w:val="en-CA"/>
        </w:rPr>
        <w:t>ORGANIZATIONS’ FINANCIAL OBLIGATIONS</w:t>
      </w:r>
    </w:p>
    <w:p w14:paraId="5E7047A1" w14:textId="77777777" w:rsidR="00313DEB" w:rsidRDefault="00313DEB" w:rsidP="00895880">
      <w:pPr>
        <w:rPr>
          <w:lang w:val="en-CA"/>
        </w:rPr>
      </w:pPr>
    </w:p>
    <w:p w14:paraId="1478D571" w14:textId="77777777" w:rsidR="00313DEB" w:rsidRDefault="00313DEB" w:rsidP="00313DEB">
      <w:pPr>
        <w:pStyle w:val="Paragraphedeliste"/>
        <w:numPr>
          <w:ilvl w:val="0"/>
          <w:numId w:val="40"/>
        </w:numPr>
        <w:contextualSpacing/>
        <w:jc w:val="both"/>
        <w:rPr>
          <w:rFonts w:cs="Arial"/>
          <w:lang w:val="en-CA"/>
        </w:rPr>
      </w:pPr>
      <w:r>
        <w:rPr>
          <w:rFonts w:cs="Arial"/>
          <w:lang w:val="en-CA"/>
        </w:rPr>
        <w:t xml:space="preserve">The total amount of the financial obligations contracted by the Organizations stands at $29,558,777, as detailed at greater length below.  </w:t>
      </w:r>
    </w:p>
    <w:p w14:paraId="7AA0FD61" w14:textId="77777777" w:rsidR="00313DEB" w:rsidRDefault="00313DEB" w:rsidP="00895880">
      <w:pPr>
        <w:rPr>
          <w:rFonts w:cs="Arial"/>
          <w:lang w:val="en-CA"/>
        </w:rPr>
      </w:pPr>
    </w:p>
    <w:p w14:paraId="0D256E53" w14:textId="77777777" w:rsidR="00313DEB" w:rsidRDefault="00313DEB" w:rsidP="00313DEB">
      <w:pPr>
        <w:pStyle w:val="Titre2"/>
        <w:keepLines/>
        <w:numPr>
          <w:ilvl w:val="0"/>
          <w:numId w:val="42"/>
        </w:numPr>
        <w:spacing w:after="0"/>
        <w:jc w:val="left"/>
        <w:rPr>
          <w:rFonts w:cs="Arial"/>
          <w:b w:val="0"/>
          <w:sz w:val="22"/>
          <w:szCs w:val="22"/>
          <w:lang w:val="en-CA"/>
        </w:rPr>
      </w:pPr>
      <w:r>
        <w:rPr>
          <w:rFonts w:cs="Arial"/>
          <w:sz w:val="22"/>
          <w:szCs w:val="22"/>
          <w:lang w:val="en-CA"/>
        </w:rPr>
        <w:t>FORFEITURE OF PROPERTY, BENEFITS OR ADVANTAGE</w:t>
      </w:r>
    </w:p>
    <w:p w14:paraId="700611D5" w14:textId="77777777" w:rsidR="00313DEB" w:rsidRDefault="00313DEB" w:rsidP="00895880">
      <w:pPr>
        <w:rPr>
          <w:rFonts w:cs="Arial"/>
          <w:lang w:val="en-CA"/>
        </w:rPr>
      </w:pPr>
    </w:p>
    <w:p w14:paraId="33E7149C" w14:textId="77777777" w:rsidR="00313DEB" w:rsidRDefault="00313DEB" w:rsidP="00313DEB">
      <w:pPr>
        <w:pStyle w:val="Paragraphedeliste"/>
        <w:numPr>
          <w:ilvl w:val="0"/>
          <w:numId w:val="40"/>
        </w:numPr>
        <w:contextualSpacing/>
        <w:jc w:val="both"/>
        <w:rPr>
          <w:rFonts w:cs="Arial"/>
          <w:lang w:val="en-CA"/>
        </w:rPr>
      </w:pPr>
      <w:r>
        <w:rPr>
          <w:rFonts w:cs="Arial"/>
          <w:lang w:val="en-CA"/>
        </w:rPr>
        <w:t xml:space="preserve">For the purposes of this Agreement, the Organizations and the Prosecutor agree that the amount of $2,490,721 corresponds to the property, benefit or advantage that the Organizations obtained or that were derived directly or indirectly from the acts or omissions indicated in the Statement of Facts and that are attributable to them [715.34(1)(e)(ii) Cr. C.]. </w:t>
      </w:r>
    </w:p>
    <w:p w14:paraId="430E84CE" w14:textId="77777777" w:rsidR="00313DEB" w:rsidRDefault="00313DEB" w:rsidP="00895880">
      <w:pPr>
        <w:jc w:val="both"/>
        <w:rPr>
          <w:rFonts w:cs="Arial"/>
          <w:lang w:val="en-CA"/>
        </w:rPr>
      </w:pPr>
    </w:p>
    <w:p w14:paraId="1F09AE67" w14:textId="77777777" w:rsidR="00313DEB" w:rsidRDefault="00313DEB" w:rsidP="00313DEB">
      <w:pPr>
        <w:pStyle w:val="Paragraphedeliste"/>
        <w:numPr>
          <w:ilvl w:val="0"/>
          <w:numId w:val="40"/>
        </w:numPr>
        <w:contextualSpacing/>
        <w:jc w:val="both"/>
        <w:rPr>
          <w:rFonts w:cs="Arial"/>
          <w:lang w:val="en-CA"/>
        </w:rPr>
      </w:pPr>
      <w:r>
        <w:rPr>
          <w:rFonts w:cs="Arial"/>
          <w:lang w:val="en-CA"/>
        </w:rPr>
        <w:t xml:space="preserve">Within </w:t>
      </w:r>
      <w:r>
        <w:rPr>
          <w:rFonts w:cs="Arial"/>
          <w:b/>
          <w:lang w:val="en-CA"/>
        </w:rPr>
        <w:t xml:space="preserve">thirty (30) days </w:t>
      </w:r>
      <w:r>
        <w:rPr>
          <w:rFonts w:cs="Arial"/>
          <w:lang w:val="en-CA"/>
        </w:rPr>
        <w:t xml:space="preserve">following the Agreement’s approval by the Court, the Organizations undertake to forfeit to Her Majesty in right of Quebec the amount of $2,490,721, to be disposed of as the Attorney General directs, in accordance with the </w:t>
      </w:r>
      <w:r>
        <w:rPr>
          <w:rFonts w:cs="Arial"/>
          <w:i/>
          <w:lang w:val="en-CA"/>
        </w:rPr>
        <w:t>Act respecting the forfeiture, administration and appropriation of proceeds and instruments of unlawful activity</w:t>
      </w:r>
      <w:r>
        <w:rPr>
          <w:rFonts w:cs="Arial"/>
          <w:lang w:val="en-CA"/>
        </w:rPr>
        <w:t>, CQLR c. C-52.2.</w:t>
      </w:r>
    </w:p>
    <w:p w14:paraId="5174578B" w14:textId="77777777" w:rsidR="00313DEB" w:rsidRDefault="00313DEB" w:rsidP="00895880">
      <w:pPr>
        <w:pStyle w:val="Paragraphedeliste"/>
        <w:jc w:val="both"/>
        <w:rPr>
          <w:rFonts w:cs="Arial"/>
          <w:lang w:val="en-CA"/>
        </w:rPr>
      </w:pPr>
    </w:p>
    <w:p w14:paraId="774F5D30" w14:textId="77777777" w:rsidR="00313DEB" w:rsidRDefault="00313DEB" w:rsidP="00313DEB">
      <w:pPr>
        <w:pStyle w:val="Titre2"/>
        <w:keepLines/>
        <w:numPr>
          <w:ilvl w:val="0"/>
          <w:numId w:val="42"/>
        </w:numPr>
        <w:spacing w:after="0"/>
        <w:jc w:val="left"/>
        <w:rPr>
          <w:rFonts w:cs="Arial"/>
          <w:b w:val="0"/>
          <w:sz w:val="22"/>
          <w:szCs w:val="22"/>
          <w:lang w:val="en-CA"/>
        </w:rPr>
      </w:pPr>
      <w:r>
        <w:rPr>
          <w:rFonts w:cs="Arial"/>
          <w:sz w:val="22"/>
          <w:szCs w:val="22"/>
          <w:lang w:val="en-CA"/>
        </w:rPr>
        <w:t>PAYMENT OF A PENALTY</w:t>
      </w:r>
    </w:p>
    <w:p w14:paraId="3AB6F7A5" w14:textId="77777777" w:rsidR="00313DEB" w:rsidRDefault="00313DEB" w:rsidP="00895880">
      <w:pPr>
        <w:rPr>
          <w:rFonts w:cs="Arial"/>
          <w:lang w:val="en-CA"/>
        </w:rPr>
      </w:pPr>
      <w:r>
        <w:rPr>
          <w:rFonts w:cs="Arial"/>
          <w:lang w:val="en-CA"/>
        </w:rPr>
        <w:t xml:space="preserve"> </w:t>
      </w:r>
    </w:p>
    <w:p w14:paraId="18473C80" w14:textId="77777777" w:rsidR="00313DEB" w:rsidRDefault="00313DEB" w:rsidP="00313DEB">
      <w:pPr>
        <w:pStyle w:val="Paragraphedeliste"/>
        <w:numPr>
          <w:ilvl w:val="0"/>
          <w:numId w:val="40"/>
        </w:numPr>
        <w:contextualSpacing/>
        <w:jc w:val="both"/>
        <w:rPr>
          <w:rFonts w:cs="Arial"/>
          <w:lang w:val="en-CA"/>
        </w:rPr>
      </w:pPr>
      <w:r>
        <w:rPr>
          <w:rFonts w:cs="Arial"/>
          <w:lang w:val="en-CA"/>
        </w:rPr>
        <w:t xml:space="preserve">For the purposes of this Agreement, the Organizations and Prosecutor agree that the amount of $18,135,135 represents a penalty that is effective, proportionate and dissuasive within the meaning of 715.31(b) Cr. C., which amount is established in accordance with the applicable common law principles as well as the principles defined in Part XXIII of the </w:t>
      </w:r>
      <w:r>
        <w:rPr>
          <w:rFonts w:cs="Arial"/>
          <w:i/>
          <w:lang w:val="en-CA"/>
        </w:rPr>
        <w:t>Criminal Code</w:t>
      </w:r>
      <w:r>
        <w:rPr>
          <w:rFonts w:cs="Arial"/>
          <w:lang w:val="en-CA"/>
        </w:rPr>
        <w:t>. [715.31(b), 715.34(1)(f) Cr. C.].</w:t>
      </w:r>
    </w:p>
    <w:p w14:paraId="7FE8BFE1" w14:textId="77777777" w:rsidR="00313DEB" w:rsidRDefault="00313DEB" w:rsidP="00895880">
      <w:pPr>
        <w:jc w:val="both"/>
        <w:rPr>
          <w:rFonts w:cs="Arial"/>
          <w:lang w:val="en-CA"/>
        </w:rPr>
      </w:pPr>
    </w:p>
    <w:p w14:paraId="1F162296" w14:textId="77777777" w:rsidR="00313DEB" w:rsidRDefault="00313DEB" w:rsidP="00313DEB">
      <w:pPr>
        <w:pStyle w:val="Paragraphedeliste"/>
        <w:numPr>
          <w:ilvl w:val="0"/>
          <w:numId w:val="40"/>
        </w:numPr>
        <w:contextualSpacing/>
        <w:jc w:val="both"/>
        <w:rPr>
          <w:rFonts w:cs="Arial"/>
          <w:lang w:val="en-CA"/>
        </w:rPr>
      </w:pPr>
      <w:r>
        <w:rPr>
          <w:rFonts w:cs="Arial"/>
          <w:lang w:val="en-CA"/>
        </w:rPr>
        <w:t xml:space="preserve">The Organizations undertake to pay $18,135,135 to the Treasurer of the province of Québec, namely an amount equivalent to the basic amount of $6,908,623 based </w:t>
      </w:r>
      <w:r>
        <w:rPr>
          <w:rFonts w:cs="Arial"/>
          <w:lang w:val="en-CA"/>
        </w:rPr>
        <w:lastRenderedPageBreak/>
        <w:t xml:space="preserve">on the profit anticipated by the Organizations for the project in the context of which the Alleged Offences were committed, multiplied by a punitive factor of 350% based on the weighing of the aggravating and mitigating circumstances, to which a 25% credit, deemed fair under the circumstances, is applied as consideration for the cooperation of the Organizations and SNCLG in the investigation: </w:t>
      </w:r>
    </w:p>
    <w:p w14:paraId="2F39941C" w14:textId="77777777" w:rsidR="00313DEB" w:rsidRDefault="00313DEB" w:rsidP="00895880">
      <w:pPr>
        <w:jc w:val="both"/>
        <w:rPr>
          <w:rFonts w:cs="Arial"/>
          <w:lang w:val="en-CA"/>
        </w:rPr>
      </w:pPr>
    </w:p>
    <w:p w14:paraId="4EF3B1D0" w14:textId="133B2F52" w:rsidR="00313DEB" w:rsidRDefault="00313DEB" w:rsidP="00895880">
      <w:pPr>
        <w:ind w:left="1416"/>
        <w:jc w:val="both"/>
        <w:rPr>
          <w:rFonts w:cs="Arial"/>
          <w:lang w:val="en-CA"/>
        </w:rPr>
      </w:pPr>
      <w:r>
        <w:rPr>
          <w:rFonts w:cs="Arial"/>
          <w:lang w:val="en-CA"/>
        </w:rPr>
        <w:t>Basic amount:</w:t>
      </w:r>
      <w:r>
        <w:rPr>
          <w:rFonts w:cs="Arial"/>
          <w:lang w:val="en-CA"/>
        </w:rPr>
        <w:tab/>
      </w:r>
      <w:r>
        <w:rPr>
          <w:rFonts w:cs="Arial"/>
          <w:lang w:val="en-CA"/>
        </w:rPr>
        <w:tab/>
        <w:t>$6,908,623</w:t>
      </w:r>
    </w:p>
    <w:p w14:paraId="75F968E1" w14:textId="77777777" w:rsidR="00313DEB" w:rsidRDefault="00313DEB" w:rsidP="00895880">
      <w:pPr>
        <w:ind w:left="1416"/>
        <w:jc w:val="both"/>
        <w:rPr>
          <w:rFonts w:cs="Arial"/>
          <w:lang w:val="en-CA"/>
        </w:rPr>
      </w:pPr>
      <w:r>
        <w:rPr>
          <w:rFonts w:cs="Arial"/>
          <w:lang w:val="en-CA"/>
        </w:rPr>
        <w:t xml:space="preserve">Punitive factor: </w:t>
      </w:r>
      <w:r>
        <w:rPr>
          <w:rFonts w:cs="Arial"/>
          <w:lang w:val="en-CA"/>
        </w:rPr>
        <w:tab/>
      </w:r>
      <w:r>
        <w:rPr>
          <w:rFonts w:cs="Arial"/>
          <w:lang w:val="en-CA"/>
        </w:rPr>
        <w:tab/>
        <w:t>350%</w:t>
      </w:r>
    </w:p>
    <w:p w14:paraId="7C39644A" w14:textId="77777777" w:rsidR="00313DEB" w:rsidRDefault="00313DEB" w:rsidP="00895880">
      <w:pPr>
        <w:ind w:left="1416"/>
        <w:jc w:val="both"/>
        <w:rPr>
          <w:rFonts w:cs="Arial"/>
          <w:lang w:val="en-CA"/>
        </w:rPr>
      </w:pPr>
      <w:r>
        <w:rPr>
          <w:rFonts w:cs="Arial"/>
          <w:lang w:val="en-CA"/>
        </w:rPr>
        <w:t>Cooperation credit:</w:t>
      </w:r>
      <w:r>
        <w:rPr>
          <w:rFonts w:cs="Arial"/>
          <w:lang w:val="en-CA"/>
        </w:rPr>
        <w:tab/>
      </w:r>
      <w:r>
        <w:rPr>
          <w:rFonts w:cs="Arial"/>
          <w:lang w:val="en-CA"/>
        </w:rPr>
        <w:tab/>
        <w:t xml:space="preserve">25% </w:t>
      </w:r>
    </w:p>
    <w:p w14:paraId="40C96218" w14:textId="77777777" w:rsidR="00313DEB" w:rsidRDefault="00313DEB" w:rsidP="00895880">
      <w:pPr>
        <w:ind w:left="1416"/>
        <w:jc w:val="both"/>
        <w:rPr>
          <w:rFonts w:cs="Arial"/>
          <w:lang w:val="en-CA"/>
        </w:rPr>
      </w:pPr>
      <w:r>
        <w:rPr>
          <w:rFonts w:cs="Arial"/>
          <w:lang w:val="en-CA"/>
        </w:rPr>
        <w:t>TOTAL</w:t>
      </w:r>
      <w:r>
        <w:rPr>
          <w:rFonts w:cs="Arial"/>
          <w:lang w:val="en-CA"/>
        </w:rPr>
        <w:tab/>
      </w:r>
      <w:r>
        <w:rPr>
          <w:rFonts w:cs="Arial"/>
          <w:lang w:val="en-CA"/>
        </w:rPr>
        <w:tab/>
      </w:r>
      <w:r>
        <w:rPr>
          <w:rFonts w:cs="Arial"/>
          <w:lang w:val="en-CA"/>
        </w:rPr>
        <w:tab/>
        <w:t>$18,135,135</w:t>
      </w:r>
    </w:p>
    <w:p w14:paraId="08C50C43" w14:textId="77777777" w:rsidR="00313DEB" w:rsidRDefault="00313DEB" w:rsidP="00895880">
      <w:pPr>
        <w:rPr>
          <w:rFonts w:cs="Arial"/>
          <w:lang w:val="en-CA"/>
        </w:rPr>
      </w:pPr>
    </w:p>
    <w:p w14:paraId="0A741C24" w14:textId="77777777" w:rsidR="00313DEB" w:rsidRDefault="00313DEB" w:rsidP="00313DEB">
      <w:pPr>
        <w:pStyle w:val="Paragraphedeliste"/>
        <w:numPr>
          <w:ilvl w:val="0"/>
          <w:numId w:val="40"/>
        </w:numPr>
        <w:contextualSpacing/>
        <w:jc w:val="both"/>
        <w:rPr>
          <w:rFonts w:cs="Arial"/>
          <w:lang w:val="en-CA"/>
        </w:rPr>
      </w:pPr>
      <w:r>
        <w:rPr>
          <w:rFonts w:cs="Arial"/>
          <w:lang w:val="en-CA"/>
        </w:rPr>
        <w:t xml:space="preserve">The Organizations undertake to pay the penalty in six (6) equal instalments of $3,022,522.50, namely: </w:t>
      </w:r>
    </w:p>
    <w:p w14:paraId="23685497" w14:textId="77777777" w:rsidR="00313DEB" w:rsidRDefault="00313DEB" w:rsidP="00895880">
      <w:pPr>
        <w:pStyle w:val="Paragraphedeliste"/>
        <w:jc w:val="both"/>
        <w:rPr>
          <w:rFonts w:cs="Arial"/>
          <w:lang w:val="en-CA"/>
        </w:rPr>
      </w:pPr>
    </w:p>
    <w:p w14:paraId="7481F194" w14:textId="77777777" w:rsidR="00313DEB" w:rsidRDefault="00313DEB" w:rsidP="00313DEB">
      <w:pPr>
        <w:pStyle w:val="Paragraphedeliste"/>
        <w:numPr>
          <w:ilvl w:val="0"/>
          <w:numId w:val="43"/>
        </w:numPr>
        <w:ind w:left="1134" w:hanging="425"/>
        <w:contextualSpacing/>
        <w:jc w:val="both"/>
        <w:rPr>
          <w:rFonts w:cs="Arial"/>
          <w:lang w:val="en-CA"/>
        </w:rPr>
      </w:pPr>
      <w:r>
        <w:rPr>
          <w:rFonts w:cs="Arial"/>
          <w:lang w:val="en-CA"/>
        </w:rPr>
        <w:t>A first instalment no later than June 30, 2023;</w:t>
      </w:r>
    </w:p>
    <w:p w14:paraId="381DBAF8" w14:textId="77777777" w:rsidR="00313DEB" w:rsidRDefault="00313DEB" w:rsidP="00895880">
      <w:pPr>
        <w:pStyle w:val="Paragraphedeliste"/>
        <w:ind w:left="1134" w:hanging="425"/>
        <w:jc w:val="both"/>
        <w:rPr>
          <w:rFonts w:cs="Arial"/>
          <w:lang w:val="en-CA"/>
        </w:rPr>
      </w:pPr>
    </w:p>
    <w:p w14:paraId="679A8DD7" w14:textId="77777777" w:rsidR="00313DEB" w:rsidRDefault="00313DEB" w:rsidP="00313DEB">
      <w:pPr>
        <w:pStyle w:val="Paragraphedeliste"/>
        <w:numPr>
          <w:ilvl w:val="0"/>
          <w:numId w:val="43"/>
        </w:numPr>
        <w:ind w:left="1134" w:hanging="425"/>
        <w:contextualSpacing/>
        <w:jc w:val="both"/>
        <w:rPr>
          <w:rFonts w:cs="Arial"/>
          <w:lang w:val="en-CA"/>
        </w:rPr>
      </w:pPr>
      <w:r>
        <w:rPr>
          <w:rFonts w:cs="Arial"/>
          <w:lang w:val="en-CA"/>
        </w:rPr>
        <w:t>A second instalment no later than September 30, 2023;</w:t>
      </w:r>
    </w:p>
    <w:p w14:paraId="2F405177" w14:textId="77777777" w:rsidR="00313DEB" w:rsidRDefault="00313DEB" w:rsidP="00895880">
      <w:pPr>
        <w:pStyle w:val="Paragraphedeliste"/>
        <w:ind w:left="1134" w:hanging="425"/>
        <w:jc w:val="both"/>
        <w:rPr>
          <w:rFonts w:cs="Arial"/>
          <w:lang w:val="en-CA"/>
        </w:rPr>
      </w:pPr>
    </w:p>
    <w:p w14:paraId="51820C55" w14:textId="77777777" w:rsidR="00313DEB" w:rsidRDefault="00313DEB" w:rsidP="00313DEB">
      <w:pPr>
        <w:pStyle w:val="Paragraphedeliste"/>
        <w:numPr>
          <w:ilvl w:val="0"/>
          <w:numId w:val="43"/>
        </w:numPr>
        <w:ind w:left="1134" w:hanging="425"/>
        <w:contextualSpacing/>
        <w:jc w:val="both"/>
        <w:rPr>
          <w:rFonts w:cs="Arial"/>
          <w:lang w:val="en-CA"/>
        </w:rPr>
      </w:pPr>
      <w:r>
        <w:rPr>
          <w:rFonts w:cs="Arial"/>
          <w:lang w:val="en-CA"/>
        </w:rPr>
        <w:t>A third instalment no later than December 31, 2023;</w:t>
      </w:r>
    </w:p>
    <w:p w14:paraId="05200B60" w14:textId="77777777" w:rsidR="00313DEB" w:rsidRDefault="00313DEB" w:rsidP="00895880">
      <w:pPr>
        <w:pStyle w:val="Paragraphedeliste"/>
        <w:ind w:left="1134" w:hanging="425"/>
        <w:jc w:val="both"/>
        <w:rPr>
          <w:rFonts w:cs="Arial"/>
          <w:lang w:val="en-CA"/>
        </w:rPr>
      </w:pPr>
    </w:p>
    <w:p w14:paraId="396103F8" w14:textId="77777777" w:rsidR="00313DEB" w:rsidRDefault="00313DEB" w:rsidP="00313DEB">
      <w:pPr>
        <w:pStyle w:val="Paragraphedeliste"/>
        <w:numPr>
          <w:ilvl w:val="0"/>
          <w:numId w:val="43"/>
        </w:numPr>
        <w:ind w:left="1134" w:hanging="425"/>
        <w:contextualSpacing/>
        <w:jc w:val="both"/>
        <w:rPr>
          <w:rFonts w:cs="Arial"/>
          <w:lang w:val="en-CA"/>
        </w:rPr>
      </w:pPr>
      <w:r>
        <w:rPr>
          <w:rFonts w:cs="Arial"/>
          <w:lang w:val="en-CA"/>
        </w:rPr>
        <w:t>A fourth instalment no later than June 30, 2024;</w:t>
      </w:r>
    </w:p>
    <w:p w14:paraId="59E20D5F" w14:textId="77777777" w:rsidR="00313DEB" w:rsidRDefault="00313DEB" w:rsidP="00895880">
      <w:pPr>
        <w:pStyle w:val="Paragraphedeliste"/>
        <w:ind w:left="1134" w:hanging="425"/>
        <w:jc w:val="both"/>
        <w:rPr>
          <w:rFonts w:cs="Arial"/>
          <w:lang w:val="en-CA"/>
        </w:rPr>
      </w:pPr>
    </w:p>
    <w:p w14:paraId="5027CBE7" w14:textId="77777777" w:rsidR="00313DEB" w:rsidRDefault="00313DEB" w:rsidP="00313DEB">
      <w:pPr>
        <w:pStyle w:val="Paragraphedeliste"/>
        <w:numPr>
          <w:ilvl w:val="0"/>
          <w:numId w:val="43"/>
        </w:numPr>
        <w:ind w:left="1134" w:hanging="425"/>
        <w:contextualSpacing/>
        <w:jc w:val="both"/>
        <w:rPr>
          <w:rFonts w:cs="Arial"/>
          <w:lang w:val="en-CA"/>
        </w:rPr>
      </w:pPr>
      <w:r>
        <w:rPr>
          <w:rFonts w:cs="Arial"/>
          <w:lang w:val="en-CA"/>
        </w:rPr>
        <w:t>A fifth instalment no later than September 30, 2024; et</w:t>
      </w:r>
    </w:p>
    <w:p w14:paraId="21C64751" w14:textId="77777777" w:rsidR="00313DEB" w:rsidRDefault="00313DEB" w:rsidP="00895880">
      <w:pPr>
        <w:pStyle w:val="Paragraphedeliste"/>
        <w:ind w:left="1134" w:hanging="425"/>
        <w:jc w:val="both"/>
        <w:rPr>
          <w:rFonts w:cs="Arial"/>
          <w:lang w:val="en-CA"/>
        </w:rPr>
      </w:pPr>
    </w:p>
    <w:p w14:paraId="4EAAC591" w14:textId="77777777" w:rsidR="00313DEB" w:rsidRDefault="00313DEB" w:rsidP="00313DEB">
      <w:pPr>
        <w:pStyle w:val="Paragraphedeliste"/>
        <w:numPr>
          <w:ilvl w:val="0"/>
          <w:numId w:val="43"/>
        </w:numPr>
        <w:ind w:left="1134" w:hanging="425"/>
        <w:contextualSpacing/>
        <w:jc w:val="both"/>
        <w:rPr>
          <w:rFonts w:cs="Arial"/>
          <w:lang w:val="en-CA"/>
        </w:rPr>
      </w:pPr>
      <w:r>
        <w:rPr>
          <w:rFonts w:cs="Arial"/>
          <w:lang w:val="en-CA"/>
        </w:rPr>
        <w:t xml:space="preserve">A sixth instalment no later than December 31, 2024. </w:t>
      </w:r>
    </w:p>
    <w:p w14:paraId="086A2F09" w14:textId="77777777" w:rsidR="00313DEB" w:rsidRDefault="00313DEB" w:rsidP="00895880">
      <w:pPr>
        <w:jc w:val="both"/>
        <w:rPr>
          <w:rFonts w:cs="Arial"/>
          <w:lang w:val="en-CA"/>
        </w:rPr>
      </w:pPr>
    </w:p>
    <w:p w14:paraId="6C9B1A33" w14:textId="77777777" w:rsidR="00313DEB" w:rsidRDefault="00313DEB" w:rsidP="00313DEB">
      <w:pPr>
        <w:pStyle w:val="Titre2"/>
        <w:keepLines/>
        <w:numPr>
          <w:ilvl w:val="0"/>
          <w:numId w:val="42"/>
        </w:numPr>
        <w:spacing w:after="0"/>
        <w:jc w:val="left"/>
        <w:rPr>
          <w:rFonts w:cs="Arial"/>
          <w:b w:val="0"/>
          <w:sz w:val="22"/>
          <w:szCs w:val="22"/>
          <w:lang w:val="en-CA"/>
        </w:rPr>
      </w:pPr>
      <w:r>
        <w:rPr>
          <w:rFonts w:cs="Arial"/>
          <w:sz w:val="22"/>
          <w:szCs w:val="22"/>
          <w:lang w:val="en-CA"/>
        </w:rPr>
        <w:t>REPARATIONS TO THE VICTIM</w:t>
      </w:r>
    </w:p>
    <w:p w14:paraId="1548FDA2" w14:textId="77777777" w:rsidR="00313DEB" w:rsidRDefault="00313DEB" w:rsidP="00895880">
      <w:pPr>
        <w:rPr>
          <w:rFonts w:cs="Arial"/>
          <w:lang w:val="en-CA"/>
        </w:rPr>
      </w:pPr>
    </w:p>
    <w:p w14:paraId="2C36E0EE" w14:textId="77777777" w:rsidR="00313DEB" w:rsidRDefault="00313DEB" w:rsidP="00313DEB">
      <w:pPr>
        <w:pStyle w:val="Paragraphedeliste"/>
        <w:numPr>
          <w:ilvl w:val="0"/>
          <w:numId w:val="40"/>
        </w:numPr>
        <w:contextualSpacing/>
        <w:jc w:val="both"/>
        <w:rPr>
          <w:rFonts w:cs="Arial"/>
          <w:lang w:val="en-CA"/>
        </w:rPr>
      </w:pPr>
      <w:bookmarkStart w:id="31" w:name="_Ref88742227"/>
      <w:r>
        <w:rPr>
          <w:rFonts w:cs="Arial"/>
          <w:lang w:val="en-CA"/>
        </w:rPr>
        <w:t xml:space="preserve">The Organizations undertake to pay $3,492,380 in reparations to the Crown corporation </w:t>
      </w:r>
      <w:r>
        <w:rPr>
          <w:rFonts w:cs="Arial"/>
          <w:i/>
          <w:lang w:val="en-CA"/>
        </w:rPr>
        <w:t>The Jacques Cartier and Champlain Bridges Incorporated</w:t>
      </w:r>
      <w:r>
        <w:rPr>
          <w:rFonts w:cs="Arial"/>
          <w:lang w:val="en-CA"/>
        </w:rPr>
        <w:t>, the victim, in respect of the acts or omissions indicated in the Statement of Facts [715.34(1)(g) Cr. C.].</w:t>
      </w:r>
    </w:p>
    <w:p w14:paraId="505FE353" w14:textId="77777777" w:rsidR="00313DEB" w:rsidRDefault="00313DEB" w:rsidP="00895880">
      <w:pPr>
        <w:jc w:val="both"/>
        <w:rPr>
          <w:rFonts w:cs="Arial"/>
          <w:lang w:val="en-CA"/>
        </w:rPr>
      </w:pPr>
    </w:p>
    <w:p w14:paraId="09A0D154" w14:textId="77777777" w:rsidR="00313DEB" w:rsidRDefault="00313DEB" w:rsidP="00313DEB">
      <w:pPr>
        <w:pStyle w:val="Paragraphedeliste"/>
        <w:numPr>
          <w:ilvl w:val="0"/>
          <w:numId w:val="40"/>
        </w:numPr>
        <w:contextualSpacing/>
        <w:jc w:val="both"/>
        <w:rPr>
          <w:rFonts w:cs="Arial"/>
          <w:lang w:val="en-CA"/>
        </w:rPr>
      </w:pPr>
      <w:r>
        <w:rPr>
          <w:rFonts w:cs="Arial"/>
          <w:lang w:val="en-CA"/>
        </w:rPr>
        <w:t xml:space="preserve">Within </w:t>
      </w:r>
      <w:r>
        <w:rPr>
          <w:rFonts w:cs="Arial"/>
          <w:b/>
          <w:lang w:val="en-CA"/>
        </w:rPr>
        <w:t xml:space="preserve">thirty (30) days </w:t>
      </w:r>
      <w:r>
        <w:rPr>
          <w:rFonts w:cs="Arial"/>
          <w:lang w:val="en-CA"/>
        </w:rPr>
        <w:t xml:space="preserve">following the Agreement’s approval by the Court, the Organizations undertake to pay $3,492,380 to </w:t>
      </w:r>
      <w:r>
        <w:rPr>
          <w:rFonts w:cs="Arial"/>
          <w:i/>
          <w:lang w:val="en-CA"/>
        </w:rPr>
        <w:t>The Jacques Cartier and Champlain Bridges Incorporated</w:t>
      </w:r>
      <w:r>
        <w:rPr>
          <w:rFonts w:cs="Arial"/>
          <w:lang w:val="en-CA"/>
        </w:rPr>
        <w:t>.</w:t>
      </w:r>
      <w:bookmarkEnd w:id="31"/>
    </w:p>
    <w:p w14:paraId="798B45C0" w14:textId="77777777" w:rsidR="00313DEB" w:rsidRDefault="00313DEB" w:rsidP="00895880">
      <w:pPr>
        <w:rPr>
          <w:rFonts w:cs="Arial"/>
          <w:lang w:val="en-CA"/>
        </w:rPr>
      </w:pPr>
    </w:p>
    <w:p w14:paraId="6EFFC677" w14:textId="77777777" w:rsidR="00313DEB" w:rsidRDefault="00313DEB" w:rsidP="00313DEB">
      <w:pPr>
        <w:pStyle w:val="Titre2"/>
        <w:keepLines/>
        <w:numPr>
          <w:ilvl w:val="0"/>
          <w:numId w:val="42"/>
        </w:numPr>
        <w:spacing w:after="0"/>
        <w:jc w:val="left"/>
        <w:rPr>
          <w:rFonts w:cs="Arial"/>
          <w:b w:val="0"/>
          <w:sz w:val="22"/>
          <w:szCs w:val="22"/>
          <w:lang w:val="en-CA"/>
        </w:rPr>
      </w:pPr>
      <w:r>
        <w:rPr>
          <w:rFonts w:cs="Arial"/>
          <w:sz w:val="22"/>
          <w:szCs w:val="22"/>
          <w:lang w:val="en-CA"/>
        </w:rPr>
        <w:t>VICTIM SURCHARGE</w:t>
      </w:r>
    </w:p>
    <w:p w14:paraId="656DBCD6" w14:textId="77777777" w:rsidR="00313DEB" w:rsidRDefault="00313DEB" w:rsidP="00895880">
      <w:pPr>
        <w:rPr>
          <w:rFonts w:cs="Arial"/>
          <w:lang w:val="en-CA"/>
        </w:rPr>
      </w:pPr>
    </w:p>
    <w:p w14:paraId="3DF25674" w14:textId="77777777" w:rsidR="00313DEB" w:rsidRDefault="00313DEB" w:rsidP="00313DEB">
      <w:pPr>
        <w:pStyle w:val="Paragraphedeliste"/>
        <w:numPr>
          <w:ilvl w:val="0"/>
          <w:numId w:val="40"/>
        </w:numPr>
        <w:contextualSpacing/>
        <w:jc w:val="both"/>
        <w:rPr>
          <w:rFonts w:cs="Arial"/>
          <w:lang w:val="en-CA"/>
        </w:rPr>
      </w:pPr>
      <w:bookmarkStart w:id="32" w:name="_Ref88742374"/>
      <w:r>
        <w:rPr>
          <w:rFonts w:cs="Arial"/>
          <w:lang w:val="en-CA"/>
        </w:rPr>
        <w:t xml:space="preserve">The Organizations undertake to pay to the Treasurer of the province of Québec a victim surcharge of $5,440,541, representing thirty percent (30%) of the penalty set forth in Section 20 of this Agreement, payable in six (6) equal instalments of $906,756.83 on the same due dates as the penalty instalments provided for in Section 22 of this Agreement, in accordance with </w:t>
      </w:r>
      <w:r>
        <w:rPr>
          <w:rFonts w:cs="Arial"/>
          <w:i/>
          <w:lang w:val="en-CA"/>
        </w:rPr>
        <w:t>Order in Council respecting the time limit to pay the victim surcharge</w:t>
      </w:r>
      <w:r>
        <w:rPr>
          <w:rFonts w:cs="Arial"/>
          <w:lang w:val="en-CA"/>
        </w:rPr>
        <w:t xml:space="preserve">, </w:t>
      </w:r>
      <w:r>
        <w:rPr>
          <w:rFonts w:cs="Arial"/>
          <w:i/>
          <w:lang w:val="en-CA"/>
        </w:rPr>
        <w:t>Criminal Code</w:t>
      </w:r>
      <w:r>
        <w:rPr>
          <w:rFonts w:cs="Arial"/>
          <w:lang w:val="en-CA"/>
        </w:rPr>
        <w:t xml:space="preserve">, c CCR, r. 1.02. [715.34(1)(h) Cr. C.]. </w:t>
      </w:r>
    </w:p>
    <w:p w14:paraId="26889CD1" w14:textId="77777777" w:rsidR="00313DEB" w:rsidRDefault="00313DEB" w:rsidP="00313DEB">
      <w:pPr>
        <w:pStyle w:val="Titre2"/>
        <w:keepLines/>
        <w:numPr>
          <w:ilvl w:val="0"/>
          <w:numId w:val="42"/>
        </w:numPr>
        <w:spacing w:after="0"/>
        <w:jc w:val="left"/>
        <w:rPr>
          <w:rFonts w:cs="Arial"/>
          <w:b w:val="0"/>
          <w:sz w:val="22"/>
          <w:szCs w:val="22"/>
          <w:lang w:val="en-CA"/>
        </w:rPr>
      </w:pPr>
      <w:r>
        <w:rPr>
          <w:rFonts w:cs="Arial"/>
          <w:sz w:val="22"/>
          <w:szCs w:val="22"/>
          <w:lang w:val="en-CA"/>
        </w:rPr>
        <w:lastRenderedPageBreak/>
        <w:t>BREACH AND DEDUCTION</w:t>
      </w:r>
    </w:p>
    <w:bookmarkEnd w:id="32"/>
    <w:p w14:paraId="61F4CD0C" w14:textId="77777777" w:rsidR="00313DEB" w:rsidRDefault="00313DEB" w:rsidP="00895880">
      <w:pPr>
        <w:rPr>
          <w:rFonts w:cs="Arial"/>
          <w:lang w:val="en-CA"/>
        </w:rPr>
      </w:pPr>
    </w:p>
    <w:p w14:paraId="076B3E5F" w14:textId="77777777" w:rsidR="00313DEB" w:rsidRDefault="00313DEB" w:rsidP="00313DEB">
      <w:pPr>
        <w:pStyle w:val="Paragraphedeliste"/>
        <w:numPr>
          <w:ilvl w:val="0"/>
          <w:numId w:val="40"/>
        </w:numPr>
        <w:contextualSpacing/>
        <w:jc w:val="both"/>
        <w:rPr>
          <w:rFonts w:cs="Arial"/>
          <w:lang w:val="en-CA"/>
        </w:rPr>
      </w:pPr>
      <w:r>
        <w:rPr>
          <w:rFonts w:cs="Arial"/>
          <w:lang w:val="en-CA"/>
        </w:rPr>
        <w:t xml:space="preserve">The Organizations undertake to give written notice to the Royal Canadian Mounted Police and, more specifically, to the Lead Investigator/Manager of the Sensitive and International Investigation Team and to the Prosecutor, of the payments made pursuant to Sections 18 to 25. Failure to make payments in accordance with Sections 18 to 25 shall constitute a breach of this Agreement’s terms within the meaning of Section 49 hereof. </w:t>
      </w:r>
    </w:p>
    <w:p w14:paraId="38448367" w14:textId="77777777" w:rsidR="00313DEB" w:rsidRDefault="00313DEB" w:rsidP="00895880">
      <w:pPr>
        <w:pStyle w:val="Paragraphedeliste"/>
        <w:jc w:val="both"/>
        <w:rPr>
          <w:rFonts w:cs="Arial"/>
          <w:lang w:val="en-CA"/>
        </w:rPr>
      </w:pPr>
    </w:p>
    <w:p w14:paraId="3771C56F" w14:textId="77777777" w:rsidR="00313DEB" w:rsidRDefault="00313DEB" w:rsidP="00313DEB">
      <w:pPr>
        <w:pStyle w:val="Paragraphedeliste"/>
        <w:numPr>
          <w:ilvl w:val="0"/>
          <w:numId w:val="40"/>
        </w:numPr>
        <w:contextualSpacing/>
        <w:jc w:val="both"/>
        <w:rPr>
          <w:rFonts w:cs="Arial"/>
          <w:lang w:val="en-CA"/>
        </w:rPr>
      </w:pPr>
      <w:r>
        <w:rPr>
          <w:rFonts w:cs="Arial"/>
          <w:lang w:val="en-CA"/>
        </w:rPr>
        <w:t xml:space="preserve">The Organizations undertake not to deduct, for income tax purposes, the costs of the payments referred to in Sections 18 to 25 of this Agreement [715.34(1)(n) Cr. C.]. </w:t>
      </w:r>
    </w:p>
    <w:p w14:paraId="22B003F3" w14:textId="77777777" w:rsidR="00313DEB" w:rsidRDefault="00313DEB" w:rsidP="00895880">
      <w:pPr>
        <w:rPr>
          <w:rFonts w:cs="Arial"/>
          <w:lang w:val="en-CA"/>
        </w:rPr>
      </w:pPr>
    </w:p>
    <w:p w14:paraId="559445D6" w14:textId="77777777" w:rsidR="00313DEB" w:rsidRDefault="00313DEB" w:rsidP="00313DEB">
      <w:pPr>
        <w:pStyle w:val="Titre1"/>
        <w:numPr>
          <w:ilvl w:val="0"/>
          <w:numId w:val="39"/>
        </w:numPr>
        <w:spacing w:before="0" w:after="0"/>
        <w:rPr>
          <w:rFonts w:cs="Arial"/>
          <w:b w:val="0"/>
          <w:sz w:val="22"/>
          <w:szCs w:val="22"/>
          <w:lang w:val="en-CA"/>
        </w:rPr>
      </w:pPr>
      <w:r>
        <w:rPr>
          <w:rFonts w:cs="Arial"/>
          <w:sz w:val="22"/>
          <w:szCs w:val="22"/>
          <w:lang w:val="en-CA"/>
        </w:rPr>
        <w:t>FOLLOW-UP ON COMPLIANCE MEASURES</w:t>
      </w:r>
      <w:r>
        <w:rPr>
          <w:rFonts w:cs="Arial"/>
          <w:sz w:val="22"/>
          <w:szCs w:val="22"/>
          <w:lang w:val="en-CA"/>
        </w:rPr>
        <w:tab/>
        <w:t xml:space="preserve"> </w:t>
      </w:r>
      <w:r>
        <w:rPr>
          <w:rFonts w:cs="Arial"/>
          <w:sz w:val="22"/>
          <w:szCs w:val="22"/>
          <w:highlight w:val="cyan"/>
          <w:lang w:val="en-CA"/>
        </w:rPr>
        <w:t xml:space="preserve"> </w:t>
      </w:r>
    </w:p>
    <w:p w14:paraId="3448044D" w14:textId="77777777" w:rsidR="00313DEB" w:rsidRDefault="00313DEB" w:rsidP="00895880">
      <w:pPr>
        <w:rPr>
          <w:rFonts w:cs="Arial"/>
          <w:lang w:val="en-CA"/>
        </w:rPr>
      </w:pPr>
    </w:p>
    <w:p w14:paraId="49D9C47B" w14:textId="77777777" w:rsidR="00313DEB" w:rsidRDefault="00313DEB" w:rsidP="00313DEB">
      <w:pPr>
        <w:pStyle w:val="Titre2"/>
        <w:keepLines/>
        <w:numPr>
          <w:ilvl w:val="0"/>
          <w:numId w:val="44"/>
        </w:numPr>
        <w:spacing w:after="0"/>
        <w:jc w:val="left"/>
        <w:rPr>
          <w:rFonts w:cs="Arial"/>
          <w:b w:val="0"/>
          <w:sz w:val="22"/>
          <w:szCs w:val="22"/>
          <w:lang w:val="en-CA"/>
        </w:rPr>
      </w:pPr>
      <w:r>
        <w:rPr>
          <w:rFonts w:cs="Arial"/>
          <w:sz w:val="22"/>
          <w:szCs w:val="22"/>
          <w:lang w:val="en-CA"/>
        </w:rPr>
        <w:t>MAINTENANCE AND ENHANCEMENT OF INTEGRITY PROGRAM</w:t>
      </w:r>
    </w:p>
    <w:p w14:paraId="4253799A" w14:textId="77777777" w:rsidR="00313DEB" w:rsidRDefault="00313DEB" w:rsidP="00895880">
      <w:pPr>
        <w:rPr>
          <w:rFonts w:cs="Arial"/>
          <w:lang w:val="en-CA"/>
        </w:rPr>
      </w:pPr>
    </w:p>
    <w:p w14:paraId="176CD766" w14:textId="77777777" w:rsidR="00313DEB" w:rsidRDefault="00313DEB" w:rsidP="00313DEB">
      <w:pPr>
        <w:pStyle w:val="Paragraphedeliste"/>
        <w:numPr>
          <w:ilvl w:val="0"/>
          <w:numId w:val="40"/>
        </w:numPr>
        <w:contextualSpacing/>
        <w:jc w:val="both"/>
        <w:rPr>
          <w:rFonts w:cs="Arial"/>
          <w:lang w:val="en-CA"/>
        </w:rPr>
      </w:pPr>
      <w:bookmarkStart w:id="33" w:name="_Ref88742560"/>
      <w:r>
        <w:rPr>
          <w:rFonts w:cs="Arial"/>
          <w:lang w:val="en-CA"/>
        </w:rPr>
        <w:t xml:space="preserve">The Organizations undertake to ensure that SNCLG – whose integrity measures apply to the Organizations – maintains and continuously enhances its Integrity Program and the various compliance measures making up the program (collectively, the </w:t>
      </w:r>
      <w:r>
        <w:rPr>
          <w:rFonts w:cs="Arial"/>
          <w:b/>
          <w:lang w:val="en-CA"/>
        </w:rPr>
        <w:t>Integrity Program)</w:t>
      </w:r>
      <w:r>
        <w:rPr>
          <w:rFonts w:cs="Arial"/>
          <w:lang w:val="en-CA"/>
        </w:rPr>
        <w:t xml:space="preserve"> and, where applicable, addresses any deficiencies in its policies, standards or procedures — including those related to internal controls and employee training procedures — that may have allowed the acts or omissions giving rise to the Alleged Offences [715.34(3)(a) Cr. C.]. The compliance measures are divided into the following categories:</w:t>
      </w:r>
    </w:p>
    <w:bookmarkEnd w:id="33"/>
    <w:p w14:paraId="45901E59" w14:textId="77777777" w:rsidR="00313DEB" w:rsidRDefault="00313DEB" w:rsidP="00895880">
      <w:pPr>
        <w:jc w:val="both"/>
        <w:rPr>
          <w:rFonts w:cs="Arial"/>
          <w:lang w:val="en-CA"/>
        </w:rPr>
      </w:pPr>
    </w:p>
    <w:p w14:paraId="44E9224F" w14:textId="77777777" w:rsidR="00313DEB" w:rsidRDefault="00313DEB" w:rsidP="00313DEB">
      <w:pPr>
        <w:pStyle w:val="Paragraphedeliste"/>
        <w:numPr>
          <w:ilvl w:val="0"/>
          <w:numId w:val="45"/>
        </w:numPr>
        <w:ind w:left="1134" w:hanging="426"/>
        <w:contextualSpacing/>
        <w:jc w:val="both"/>
        <w:rPr>
          <w:rFonts w:cs="Arial"/>
          <w:lang w:val="en-CA"/>
        </w:rPr>
      </w:pPr>
      <w:r>
        <w:rPr>
          <w:rFonts w:cs="Arial"/>
          <w:lang w:val="en-CA"/>
        </w:rPr>
        <w:t>The commitment and support of SNCLG’s management;</w:t>
      </w:r>
    </w:p>
    <w:p w14:paraId="3ED612B5" w14:textId="77777777" w:rsidR="00313DEB" w:rsidRDefault="00313DEB" w:rsidP="00895880">
      <w:pPr>
        <w:pStyle w:val="Paragraphedeliste"/>
        <w:ind w:left="1134" w:hanging="426"/>
        <w:jc w:val="both"/>
        <w:rPr>
          <w:rFonts w:cs="Arial"/>
          <w:lang w:val="en-CA"/>
        </w:rPr>
      </w:pPr>
    </w:p>
    <w:p w14:paraId="359873B6" w14:textId="77777777" w:rsidR="00313DEB" w:rsidRDefault="00313DEB" w:rsidP="00313DEB">
      <w:pPr>
        <w:pStyle w:val="Paragraphedeliste"/>
        <w:numPr>
          <w:ilvl w:val="0"/>
          <w:numId w:val="45"/>
        </w:numPr>
        <w:ind w:left="1134" w:hanging="426"/>
        <w:contextualSpacing/>
        <w:jc w:val="both"/>
        <w:rPr>
          <w:rFonts w:cs="Arial"/>
          <w:lang w:val="en-CA"/>
        </w:rPr>
      </w:pPr>
      <w:r>
        <w:rPr>
          <w:rFonts w:cs="Arial"/>
          <w:lang w:val="en-CA"/>
        </w:rPr>
        <w:t xml:space="preserve">An assessment of the risks of non-compliance; </w:t>
      </w:r>
    </w:p>
    <w:p w14:paraId="349BCB4F" w14:textId="77777777" w:rsidR="00313DEB" w:rsidRDefault="00313DEB" w:rsidP="00895880">
      <w:pPr>
        <w:pStyle w:val="Paragraphedeliste"/>
        <w:ind w:left="1134" w:hanging="426"/>
        <w:jc w:val="both"/>
        <w:rPr>
          <w:rFonts w:cs="Arial"/>
          <w:lang w:val="en-CA"/>
        </w:rPr>
      </w:pPr>
    </w:p>
    <w:p w14:paraId="57D36665" w14:textId="77777777" w:rsidR="00313DEB" w:rsidRDefault="00313DEB" w:rsidP="00313DEB">
      <w:pPr>
        <w:pStyle w:val="Paragraphedeliste"/>
        <w:numPr>
          <w:ilvl w:val="0"/>
          <w:numId w:val="45"/>
        </w:numPr>
        <w:ind w:left="1134" w:hanging="426"/>
        <w:contextualSpacing/>
        <w:jc w:val="both"/>
        <w:rPr>
          <w:rFonts w:cs="Arial"/>
          <w:lang w:val="en-CA"/>
        </w:rPr>
      </w:pPr>
      <w:r>
        <w:rPr>
          <w:rFonts w:cs="Arial"/>
          <w:lang w:val="en-CA"/>
        </w:rPr>
        <w:t>The maintenance and enhancement of the Integrity Program’s policies and procedures;</w:t>
      </w:r>
    </w:p>
    <w:p w14:paraId="640C2295" w14:textId="77777777" w:rsidR="00313DEB" w:rsidRDefault="00313DEB" w:rsidP="00895880">
      <w:pPr>
        <w:pStyle w:val="Paragraphedeliste"/>
        <w:ind w:left="1134" w:hanging="426"/>
        <w:jc w:val="both"/>
        <w:rPr>
          <w:rFonts w:cs="Arial"/>
          <w:lang w:val="en-CA"/>
        </w:rPr>
      </w:pPr>
    </w:p>
    <w:p w14:paraId="40978B91" w14:textId="77777777" w:rsidR="00313DEB" w:rsidRDefault="00313DEB" w:rsidP="00313DEB">
      <w:pPr>
        <w:pStyle w:val="Paragraphedeliste"/>
        <w:numPr>
          <w:ilvl w:val="0"/>
          <w:numId w:val="45"/>
        </w:numPr>
        <w:ind w:left="1134" w:hanging="426"/>
        <w:contextualSpacing/>
        <w:jc w:val="both"/>
        <w:rPr>
          <w:rFonts w:cs="Arial"/>
          <w:lang w:val="en-CA"/>
        </w:rPr>
      </w:pPr>
      <w:r>
        <w:rPr>
          <w:rFonts w:cs="Arial"/>
          <w:lang w:val="en-CA"/>
        </w:rPr>
        <w:t>The communication of the Integrity Program to the employees, executives, officers, directors, agents, consultants and any person to whom such a disclosure must be made;</w:t>
      </w:r>
    </w:p>
    <w:p w14:paraId="10D20090" w14:textId="77777777" w:rsidR="00313DEB" w:rsidRDefault="00313DEB" w:rsidP="00895880">
      <w:pPr>
        <w:pStyle w:val="Paragraphedeliste"/>
        <w:ind w:left="1134" w:hanging="426"/>
        <w:jc w:val="both"/>
        <w:rPr>
          <w:rFonts w:cs="Arial"/>
          <w:lang w:val="en-CA"/>
        </w:rPr>
      </w:pPr>
    </w:p>
    <w:p w14:paraId="636C4158" w14:textId="77777777" w:rsidR="00313DEB" w:rsidRDefault="00313DEB" w:rsidP="00313DEB">
      <w:pPr>
        <w:pStyle w:val="Paragraphedeliste"/>
        <w:numPr>
          <w:ilvl w:val="0"/>
          <w:numId w:val="45"/>
        </w:numPr>
        <w:ind w:left="1134" w:hanging="426"/>
        <w:contextualSpacing/>
        <w:jc w:val="both"/>
        <w:rPr>
          <w:rFonts w:cs="Arial"/>
          <w:lang w:val="en-CA"/>
        </w:rPr>
      </w:pPr>
      <w:r>
        <w:rPr>
          <w:rFonts w:cs="Arial"/>
          <w:lang w:val="en-CA"/>
        </w:rPr>
        <w:t xml:space="preserve">The compliance measure training for employees, executives, officers, directors, agents, consultants and any person to whom such training must be given; </w:t>
      </w:r>
    </w:p>
    <w:p w14:paraId="4B13AD2D" w14:textId="77777777" w:rsidR="00313DEB" w:rsidRDefault="00313DEB" w:rsidP="00895880">
      <w:pPr>
        <w:pStyle w:val="Paragraphedeliste"/>
        <w:ind w:left="1134" w:hanging="426"/>
        <w:jc w:val="both"/>
        <w:rPr>
          <w:rFonts w:cs="Arial"/>
          <w:lang w:val="en-CA"/>
        </w:rPr>
      </w:pPr>
    </w:p>
    <w:p w14:paraId="4CE779E1" w14:textId="77777777" w:rsidR="00313DEB" w:rsidRDefault="00313DEB" w:rsidP="00313DEB">
      <w:pPr>
        <w:pStyle w:val="Paragraphedeliste"/>
        <w:numPr>
          <w:ilvl w:val="0"/>
          <w:numId w:val="45"/>
        </w:numPr>
        <w:ind w:left="1134" w:hanging="426"/>
        <w:contextualSpacing/>
        <w:jc w:val="both"/>
        <w:rPr>
          <w:rFonts w:cs="Arial"/>
          <w:lang w:val="en-CA"/>
        </w:rPr>
      </w:pPr>
      <w:r>
        <w:rPr>
          <w:rFonts w:cs="Arial"/>
          <w:lang w:val="en-CA"/>
        </w:rPr>
        <w:t>Internal control, audit and reporting procedures;</w:t>
      </w:r>
    </w:p>
    <w:p w14:paraId="673B811B" w14:textId="77777777" w:rsidR="00313DEB" w:rsidRDefault="00313DEB" w:rsidP="00895880">
      <w:pPr>
        <w:pStyle w:val="Paragraphedeliste"/>
        <w:ind w:left="1134" w:hanging="426"/>
        <w:jc w:val="both"/>
        <w:rPr>
          <w:rFonts w:cs="Arial"/>
          <w:lang w:val="en-CA"/>
        </w:rPr>
      </w:pPr>
    </w:p>
    <w:p w14:paraId="70D4D6E0" w14:textId="77777777" w:rsidR="00313DEB" w:rsidRDefault="00313DEB" w:rsidP="00313DEB">
      <w:pPr>
        <w:pStyle w:val="Paragraphedeliste"/>
        <w:numPr>
          <w:ilvl w:val="0"/>
          <w:numId w:val="45"/>
        </w:numPr>
        <w:ind w:left="1134" w:hanging="426"/>
        <w:contextualSpacing/>
        <w:jc w:val="both"/>
        <w:rPr>
          <w:rFonts w:cs="Arial"/>
          <w:lang w:val="en-CA"/>
        </w:rPr>
      </w:pPr>
      <w:r>
        <w:rPr>
          <w:rFonts w:cs="Arial"/>
          <w:lang w:val="en-CA"/>
        </w:rPr>
        <w:t xml:space="preserve">Hiring control mechanisms by way of applicant integrity verifications the substance of which reflects the position to be held by the applicant as well as </w:t>
      </w:r>
      <w:r>
        <w:rPr>
          <w:rFonts w:cs="Arial"/>
          <w:lang w:val="en-CA"/>
        </w:rPr>
        <w:lastRenderedPageBreak/>
        <w:t>a conflict of interests verification for applicants where an appearance of conflict of interests is likely;</w:t>
      </w:r>
    </w:p>
    <w:p w14:paraId="3044490F" w14:textId="77777777" w:rsidR="00313DEB" w:rsidRDefault="00313DEB" w:rsidP="00895880">
      <w:pPr>
        <w:pStyle w:val="Paragraphedeliste"/>
        <w:ind w:left="1134" w:hanging="426"/>
        <w:jc w:val="both"/>
        <w:rPr>
          <w:rFonts w:cs="Arial"/>
          <w:lang w:val="en-CA"/>
        </w:rPr>
      </w:pPr>
    </w:p>
    <w:p w14:paraId="46B39DB0" w14:textId="77777777" w:rsidR="00313DEB" w:rsidRDefault="00313DEB" w:rsidP="00313DEB">
      <w:pPr>
        <w:pStyle w:val="Paragraphedeliste"/>
        <w:numPr>
          <w:ilvl w:val="0"/>
          <w:numId w:val="45"/>
        </w:numPr>
        <w:ind w:left="1134" w:hanging="426"/>
        <w:contextualSpacing/>
        <w:jc w:val="both"/>
        <w:rPr>
          <w:rFonts w:cs="Arial"/>
          <w:lang w:val="en-CA"/>
        </w:rPr>
      </w:pPr>
      <w:r>
        <w:rPr>
          <w:rFonts w:cs="Arial"/>
          <w:lang w:val="en-CA"/>
        </w:rPr>
        <w:t xml:space="preserve">Systematic disciplinary action, where warranted, for failing to comply with the Integrity Program; </w:t>
      </w:r>
    </w:p>
    <w:p w14:paraId="73B54F96" w14:textId="77777777" w:rsidR="00313DEB" w:rsidRDefault="00313DEB" w:rsidP="00895880">
      <w:pPr>
        <w:pStyle w:val="Paragraphedeliste"/>
        <w:ind w:left="1134" w:hanging="426"/>
        <w:jc w:val="both"/>
        <w:rPr>
          <w:rFonts w:cs="Arial"/>
          <w:lang w:val="en-CA"/>
        </w:rPr>
      </w:pPr>
    </w:p>
    <w:p w14:paraId="0DBB27DA" w14:textId="77777777" w:rsidR="00313DEB" w:rsidRDefault="00313DEB" w:rsidP="00313DEB">
      <w:pPr>
        <w:pStyle w:val="Paragraphedeliste"/>
        <w:numPr>
          <w:ilvl w:val="0"/>
          <w:numId w:val="45"/>
        </w:numPr>
        <w:ind w:left="1134" w:hanging="426"/>
        <w:contextualSpacing/>
        <w:jc w:val="both"/>
        <w:rPr>
          <w:rFonts w:cs="Arial"/>
          <w:lang w:val="en-CA"/>
        </w:rPr>
      </w:pPr>
      <w:r>
        <w:rPr>
          <w:rFonts w:cs="Arial"/>
          <w:lang w:val="en-US"/>
        </w:rPr>
        <w:t>Measures to promote compliance</w:t>
      </w:r>
      <w:r>
        <w:rPr>
          <w:rFonts w:cs="Arial"/>
          <w:lang w:val="en-CA"/>
        </w:rPr>
        <w:t>;</w:t>
      </w:r>
    </w:p>
    <w:p w14:paraId="5FF4A17F" w14:textId="77777777" w:rsidR="00313DEB" w:rsidRDefault="00313DEB" w:rsidP="00895880">
      <w:pPr>
        <w:pStyle w:val="Paragraphedeliste"/>
        <w:ind w:left="1134" w:hanging="426"/>
        <w:jc w:val="both"/>
        <w:rPr>
          <w:rFonts w:cs="Arial"/>
          <w:lang w:val="en-CA"/>
        </w:rPr>
      </w:pPr>
    </w:p>
    <w:p w14:paraId="46E47408" w14:textId="77777777" w:rsidR="00313DEB" w:rsidRDefault="00313DEB" w:rsidP="00313DEB">
      <w:pPr>
        <w:pStyle w:val="Paragraphedeliste"/>
        <w:numPr>
          <w:ilvl w:val="0"/>
          <w:numId w:val="45"/>
        </w:numPr>
        <w:ind w:left="1134" w:hanging="426"/>
        <w:contextualSpacing/>
        <w:jc w:val="both"/>
        <w:rPr>
          <w:rFonts w:cs="Arial"/>
          <w:lang w:val="en-CA"/>
        </w:rPr>
      </w:pPr>
      <w:r>
        <w:rPr>
          <w:rFonts w:cs="Arial"/>
          <w:lang w:val="en-CA"/>
        </w:rPr>
        <w:t>An evaluation of the Integrity Program; and</w:t>
      </w:r>
    </w:p>
    <w:p w14:paraId="45442A27" w14:textId="77777777" w:rsidR="00313DEB" w:rsidRDefault="00313DEB" w:rsidP="00895880">
      <w:pPr>
        <w:pStyle w:val="Paragraphedeliste"/>
        <w:ind w:left="1134" w:hanging="426"/>
        <w:jc w:val="both"/>
        <w:rPr>
          <w:rFonts w:cs="Arial"/>
          <w:lang w:val="en-CA"/>
        </w:rPr>
      </w:pPr>
    </w:p>
    <w:p w14:paraId="6311EC70" w14:textId="77777777" w:rsidR="00313DEB" w:rsidRDefault="00313DEB" w:rsidP="00313DEB">
      <w:pPr>
        <w:pStyle w:val="Paragraphedeliste"/>
        <w:numPr>
          <w:ilvl w:val="0"/>
          <w:numId w:val="45"/>
        </w:numPr>
        <w:ind w:left="1134" w:hanging="426"/>
        <w:contextualSpacing/>
        <w:jc w:val="both"/>
        <w:rPr>
          <w:rFonts w:cs="Arial"/>
          <w:lang w:val="en-CA"/>
        </w:rPr>
      </w:pPr>
      <w:r>
        <w:rPr>
          <w:rFonts w:cs="Arial"/>
          <w:lang w:val="en-CA"/>
        </w:rPr>
        <w:t xml:space="preserve">An internal accounting control system ensuring fair and accurate bookkeeping. </w:t>
      </w:r>
    </w:p>
    <w:p w14:paraId="41A86F76" w14:textId="77777777" w:rsidR="00313DEB" w:rsidRDefault="00313DEB" w:rsidP="00895880">
      <w:pPr>
        <w:jc w:val="both"/>
        <w:rPr>
          <w:rFonts w:cs="Arial"/>
          <w:lang w:val="en-CA"/>
        </w:rPr>
      </w:pPr>
    </w:p>
    <w:p w14:paraId="75C8D57C" w14:textId="77777777" w:rsidR="00313DEB" w:rsidRDefault="00313DEB" w:rsidP="00313DEB">
      <w:pPr>
        <w:pStyle w:val="Paragraphedeliste"/>
        <w:numPr>
          <w:ilvl w:val="0"/>
          <w:numId w:val="40"/>
        </w:numPr>
        <w:contextualSpacing/>
        <w:jc w:val="both"/>
        <w:rPr>
          <w:rFonts w:cs="Arial"/>
          <w:lang w:val="en-CA"/>
        </w:rPr>
      </w:pPr>
      <w:r>
        <w:rPr>
          <w:rFonts w:cs="Arial"/>
          <w:lang w:val="en-CA"/>
        </w:rPr>
        <w:t>The Organizations undertake to ensure that SNCLG develops and offers training sessions on:</w:t>
      </w:r>
    </w:p>
    <w:p w14:paraId="34B2EB29" w14:textId="77777777" w:rsidR="00313DEB" w:rsidRDefault="00313DEB" w:rsidP="00895880">
      <w:pPr>
        <w:jc w:val="both"/>
        <w:rPr>
          <w:rFonts w:cs="Arial"/>
          <w:lang w:val="en-CA"/>
        </w:rPr>
      </w:pPr>
    </w:p>
    <w:p w14:paraId="4EF45A23" w14:textId="77777777" w:rsidR="00313DEB" w:rsidRDefault="00313DEB" w:rsidP="00313DEB">
      <w:pPr>
        <w:pStyle w:val="Paragraphedeliste"/>
        <w:numPr>
          <w:ilvl w:val="0"/>
          <w:numId w:val="46"/>
        </w:numPr>
        <w:ind w:left="1134" w:hanging="426"/>
        <w:contextualSpacing/>
        <w:jc w:val="both"/>
        <w:rPr>
          <w:rFonts w:cs="Arial"/>
          <w:lang w:val="en-CA"/>
        </w:rPr>
      </w:pPr>
      <w:r>
        <w:rPr>
          <w:rFonts w:cs="Arial"/>
          <w:lang w:val="en-CA"/>
        </w:rPr>
        <w:t>The rules applicable to suppliers under federal and Quebec public procurement, including the general principles under the laws, regulations and codes of conduct respecting procurement and ineligibility/suspension policies, and the reasonable expectations with respect to suppliers arising from the rules to which the relevent clients are subject. SNCLG shall offer these mandatory training sessions to all Stakeholders (defined as being its employees, self-employed workers, third-party staff made available to SNCLG, officers and directors) involved in the decision-making process for obtaining public contracts or awarding sub-contracts related thereto or who are legally required to take such training.</w:t>
      </w:r>
    </w:p>
    <w:p w14:paraId="0F32CD2E" w14:textId="77777777" w:rsidR="00313DEB" w:rsidRDefault="00313DEB" w:rsidP="00895880">
      <w:pPr>
        <w:pStyle w:val="Paragraphedeliste"/>
        <w:ind w:left="1134" w:hanging="426"/>
        <w:jc w:val="both"/>
        <w:rPr>
          <w:rFonts w:cs="Arial"/>
          <w:lang w:val="en-CA"/>
        </w:rPr>
      </w:pPr>
    </w:p>
    <w:p w14:paraId="2AF616BC" w14:textId="77777777" w:rsidR="00313DEB" w:rsidRDefault="00313DEB" w:rsidP="00313DEB">
      <w:pPr>
        <w:pStyle w:val="Paragraphedeliste"/>
        <w:numPr>
          <w:ilvl w:val="0"/>
          <w:numId w:val="46"/>
        </w:numPr>
        <w:ind w:left="1134" w:hanging="426"/>
        <w:contextualSpacing/>
        <w:jc w:val="both"/>
        <w:rPr>
          <w:rFonts w:cs="Arial"/>
          <w:lang w:val="en-CA"/>
        </w:rPr>
      </w:pPr>
      <w:r>
        <w:rPr>
          <w:rFonts w:cs="Arial"/>
          <w:lang w:val="en-CA"/>
        </w:rPr>
        <w:t>The post-employment mesures and conflict of interest guidelines applicable when hiring public servants and former public servants, including the personnel of various federal and Quebec Crown corporations and members of their immediate families. SNCLG shall offer these mandatory training sessions to executives and human resources staff involved in the hiring process in Canada or who are legally required to take such training.</w:t>
      </w:r>
    </w:p>
    <w:p w14:paraId="3DD2E68A" w14:textId="77777777" w:rsidR="00313DEB" w:rsidRDefault="00313DEB" w:rsidP="00895880">
      <w:pPr>
        <w:rPr>
          <w:rFonts w:cs="Arial"/>
          <w:lang w:val="en-CA"/>
        </w:rPr>
      </w:pPr>
    </w:p>
    <w:p w14:paraId="5EE31778" w14:textId="77777777" w:rsidR="00313DEB" w:rsidRDefault="00313DEB" w:rsidP="00313DEB">
      <w:pPr>
        <w:pStyle w:val="Titre2"/>
        <w:keepLines/>
        <w:numPr>
          <w:ilvl w:val="0"/>
          <w:numId w:val="44"/>
        </w:numPr>
        <w:spacing w:after="0"/>
        <w:jc w:val="left"/>
        <w:rPr>
          <w:rFonts w:cs="Arial"/>
          <w:b w:val="0"/>
          <w:sz w:val="22"/>
          <w:szCs w:val="22"/>
          <w:lang w:val="en-CA"/>
        </w:rPr>
      </w:pPr>
      <w:r>
        <w:rPr>
          <w:rFonts w:cs="Arial"/>
          <w:sz w:val="22"/>
          <w:szCs w:val="22"/>
          <w:lang w:val="en-CA"/>
        </w:rPr>
        <w:t xml:space="preserve">INDEPENDENT MONITOR </w:t>
      </w:r>
    </w:p>
    <w:p w14:paraId="4908408B" w14:textId="77777777" w:rsidR="00313DEB" w:rsidRDefault="00313DEB" w:rsidP="00895880">
      <w:pPr>
        <w:rPr>
          <w:rFonts w:cs="Arial"/>
          <w:lang w:val="en-CA"/>
        </w:rPr>
      </w:pPr>
    </w:p>
    <w:p w14:paraId="5CA0E831" w14:textId="77777777" w:rsidR="00313DEB" w:rsidRDefault="00313DEB" w:rsidP="00313DEB">
      <w:pPr>
        <w:pStyle w:val="Paragraphedeliste"/>
        <w:numPr>
          <w:ilvl w:val="0"/>
          <w:numId w:val="40"/>
        </w:numPr>
        <w:contextualSpacing/>
        <w:jc w:val="both"/>
        <w:rPr>
          <w:rFonts w:cs="Arial"/>
          <w:lang w:val="en-CA"/>
        </w:rPr>
      </w:pPr>
      <w:r>
        <w:rPr>
          <w:rFonts w:cs="Arial"/>
          <w:lang w:val="en-CA"/>
        </w:rPr>
        <w:t>The Organizations and the Prosecutor agree to appoint M</w:t>
      </w:r>
      <w:r>
        <w:rPr>
          <w:rFonts w:cs="Arial"/>
          <w:vertAlign w:val="superscript"/>
          <w:lang w:val="en-CA"/>
        </w:rPr>
        <w:t>tres</w:t>
      </w:r>
      <w:r>
        <w:rPr>
          <w:rFonts w:cs="Arial"/>
          <w:lang w:val="en-CA"/>
        </w:rPr>
        <w:t xml:space="preserve"> Mark Morrison and Simon Seida</w:t>
      </w:r>
      <w:r>
        <w:rPr>
          <w:rFonts w:cs="Arial"/>
          <w:b/>
          <w:lang w:val="en-CA"/>
        </w:rPr>
        <w:t xml:space="preserve"> </w:t>
      </w:r>
      <w:r>
        <w:rPr>
          <w:rFonts w:cs="Arial"/>
          <w:lang w:val="en-CA"/>
        </w:rPr>
        <w:t>from BLAKE, CASSELS &amp; GRAYDON LLP as Independent Monitor (</w:t>
      </w:r>
      <w:r>
        <w:rPr>
          <w:rFonts w:cs="Arial"/>
          <w:b/>
          <w:lang w:val="en-CA"/>
        </w:rPr>
        <w:t>Independent Monitor</w:t>
      </w:r>
      <w:r>
        <w:rPr>
          <w:rFonts w:cs="Arial"/>
          <w:lang w:val="en-CA"/>
        </w:rPr>
        <w:t>) [715.34(3)(c) Cr. C.].</w:t>
      </w:r>
    </w:p>
    <w:p w14:paraId="23F87585" w14:textId="77777777" w:rsidR="00313DEB" w:rsidRDefault="00313DEB" w:rsidP="00895880">
      <w:pPr>
        <w:pStyle w:val="Paragraphedeliste"/>
        <w:jc w:val="both"/>
        <w:rPr>
          <w:rFonts w:cs="Arial"/>
          <w:lang w:val="en-CA"/>
        </w:rPr>
      </w:pPr>
    </w:p>
    <w:p w14:paraId="0DC1415E" w14:textId="77777777" w:rsidR="00313DEB" w:rsidRDefault="00313DEB" w:rsidP="00313DEB">
      <w:pPr>
        <w:pStyle w:val="Paragraphedeliste"/>
        <w:numPr>
          <w:ilvl w:val="0"/>
          <w:numId w:val="40"/>
        </w:numPr>
        <w:contextualSpacing/>
        <w:jc w:val="both"/>
        <w:rPr>
          <w:rFonts w:cs="Arial"/>
          <w:lang w:val="en-CA"/>
        </w:rPr>
      </w:pPr>
      <w:r>
        <w:rPr>
          <w:rFonts w:cs="Arial"/>
          <w:lang w:val="en-CA"/>
        </w:rPr>
        <w:t xml:space="preserve">The Organizations undertake to ensure that SNCLG and any other SNCLG corporation cooperate with the Independent Monitor in the performance of their duties, grant them the necessary access to information, documents, recordings, resources, facilities and/or key personnel, officers and directors who fall within the purview of the Independent Monitor’s mandate and that SNCLG pays their costs. </w:t>
      </w:r>
    </w:p>
    <w:p w14:paraId="49F562A7" w14:textId="77777777" w:rsidR="00313DEB" w:rsidRDefault="00313DEB" w:rsidP="00895880">
      <w:pPr>
        <w:pStyle w:val="Paragraphedeliste"/>
        <w:rPr>
          <w:rFonts w:cs="Arial"/>
          <w:lang w:val="en-CA"/>
        </w:rPr>
      </w:pPr>
    </w:p>
    <w:p w14:paraId="65D680A6" w14:textId="77777777" w:rsidR="00313DEB" w:rsidRDefault="00313DEB" w:rsidP="00313DEB">
      <w:pPr>
        <w:pStyle w:val="Paragraphedeliste"/>
        <w:numPr>
          <w:ilvl w:val="0"/>
          <w:numId w:val="40"/>
        </w:numPr>
        <w:contextualSpacing/>
        <w:jc w:val="both"/>
        <w:rPr>
          <w:rFonts w:cs="Arial"/>
          <w:lang w:val="en-CA"/>
        </w:rPr>
      </w:pPr>
      <w:r>
        <w:rPr>
          <w:rFonts w:cs="Arial"/>
          <w:lang w:val="en-CA"/>
        </w:rPr>
        <w:lastRenderedPageBreak/>
        <w:t xml:space="preserve">Within </w:t>
      </w:r>
      <w:r>
        <w:rPr>
          <w:rFonts w:cs="Arial"/>
          <w:b/>
          <w:lang w:val="en-CA"/>
        </w:rPr>
        <w:t>three (3) months</w:t>
      </w:r>
      <w:r>
        <w:rPr>
          <w:rFonts w:cs="Arial"/>
          <w:lang w:val="en-CA"/>
        </w:rPr>
        <w:t xml:space="preserve"> following the Court’s approval of the Agreement, the Independent Monitor shall submit an initial report (</w:t>
      </w:r>
      <w:r>
        <w:rPr>
          <w:rFonts w:cs="Arial"/>
          <w:b/>
          <w:lang w:val="en-CA"/>
        </w:rPr>
        <w:t>Independent Monitor’s Initial Report</w:t>
      </w:r>
      <w:r>
        <w:rPr>
          <w:rFonts w:cs="Arial"/>
          <w:lang w:val="en-CA"/>
        </w:rPr>
        <w:t xml:space="preserve">) to the Prosecutor, the Organizations and SNCLG. </w:t>
      </w:r>
    </w:p>
    <w:p w14:paraId="7112544A" w14:textId="77777777" w:rsidR="00313DEB" w:rsidRDefault="00313DEB" w:rsidP="00895880">
      <w:pPr>
        <w:ind w:left="360"/>
        <w:rPr>
          <w:rFonts w:cs="Arial"/>
          <w:lang w:val="en-CA"/>
        </w:rPr>
      </w:pPr>
    </w:p>
    <w:p w14:paraId="6738A1FA" w14:textId="77777777" w:rsidR="00313DEB" w:rsidRDefault="00313DEB" w:rsidP="00313DEB">
      <w:pPr>
        <w:pStyle w:val="Paragraphedeliste"/>
        <w:numPr>
          <w:ilvl w:val="0"/>
          <w:numId w:val="40"/>
        </w:numPr>
        <w:contextualSpacing/>
        <w:jc w:val="both"/>
        <w:rPr>
          <w:rFonts w:cs="Arial"/>
          <w:lang w:val="en-CA"/>
        </w:rPr>
      </w:pPr>
      <w:r>
        <w:rPr>
          <w:rFonts w:cs="Arial"/>
          <w:lang w:val="en-CA"/>
        </w:rPr>
        <w:t>The Independent Monitor’s Initial Report shall contain, among other things:</w:t>
      </w:r>
    </w:p>
    <w:p w14:paraId="02AAE0D8" w14:textId="77777777" w:rsidR="00313DEB" w:rsidRDefault="00313DEB" w:rsidP="00895880">
      <w:pPr>
        <w:rPr>
          <w:rFonts w:cs="Arial"/>
          <w:lang w:val="en-CA"/>
        </w:rPr>
      </w:pPr>
    </w:p>
    <w:p w14:paraId="70807CF5" w14:textId="77777777" w:rsidR="00313DEB" w:rsidRDefault="00313DEB" w:rsidP="00313DEB">
      <w:pPr>
        <w:pStyle w:val="Paragraphedeliste"/>
        <w:numPr>
          <w:ilvl w:val="0"/>
          <w:numId w:val="47"/>
        </w:numPr>
        <w:ind w:left="1134" w:hanging="426"/>
        <w:contextualSpacing/>
        <w:jc w:val="both"/>
        <w:rPr>
          <w:rFonts w:cs="Arial"/>
          <w:lang w:val="en-CA"/>
        </w:rPr>
      </w:pPr>
      <w:r>
        <w:rPr>
          <w:rFonts w:cs="Arial"/>
          <w:lang w:val="en-CA"/>
        </w:rPr>
        <w:t>A full description of the work it has carried out, taking into consideration the work it previously carried out in the context of previous mandates;</w:t>
      </w:r>
    </w:p>
    <w:p w14:paraId="0C46AF95" w14:textId="77777777" w:rsidR="00313DEB" w:rsidRDefault="00313DEB" w:rsidP="00895880">
      <w:pPr>
        <w:pStyle w:val="Paragraphedeliste"/>
        <w:ind w:left="1134" w:hanging="426"/>
        <w:jc w:val="both"/>
        <w:rPr>
          <w:rFonts w:cs="Arial"/>
          <w:lang w:val="en-CA"/>
        </w:rPr>
      </w:pPr>
    </w:p>
    <w:p w14:paraId="0ECA92D1" w14:textId="77777777" w:rsidR="00313DEB" w:rsidRDefault="00313DEB" w:rsidP="00313DEB">
      <w:pPr>
        <w:pStyle w:val="Paragraphedeliste"/>
        <w:numPr>
          <w:ilvl w:val="0"/>
          <w:numId w:val="47"/>
        </w:numPr>
        <w:ind w:left="1134" w:hanging="426"/>
        <w:contextualSpacing/>
        <w:jc w:val="both"/>
        <w:rPr>
          <w:rFonts w:cs="Arial"/>
          <w:lang w:val="en-CA"/>
        </w:rPr>
      </w:pPr>
      <w:r>
        <w:rPr>
          <w:rFonts w:cs="Arial"/>
          <w:lang w:val="en-CA"/>
        </w:rPr>
        <w:t>A contemporaneous evaluation of SNCLG’s Integrity Program in light of the size, nature and complexity of the operations, regions and sectors in which it operates;</w:t>
      </w:r>
    </w:p>
    <w:p w14:paraId="0C6F0B6F" w14:textId="77777777" w:rsidR="00313DEB" w:rsidRDefault="00313DEB" w:rsidP="00895880">
      <w:pPr>
        <w:ind w:left="1134" w:hanging="426"/>
        <w:jc w:val="both"/>
        <w:rPr>
          <w:rFonts w:cs="Arial"/>
          <w:lang w:val="en-CA"/>
        </w:rPr>
      </w:pPr>
    </w:p>
    <w:p w14:paraId="1B165AF2" w14:textId="77777777" w:rsidR="00313DEB" w:rsidRDefault="00313DEB" w:rsidP="00313DEB">
      <w:pPr>
        <w:pStyle w:val="Paragraphedeliste"/>
        <w:numPr>
          <w:ilvl w:val="0"/>
          <w:numId w:val="47"/>
        </w:numPr>
        <w:ind w:left="1134" w:hanging="426"/>
        <w:contextualSpacing/>
        <w:jc w:val="both"/>
        <w:rPr>
          <w:rFonts w:cs="Arial"/>
          <w:lang w:val="en-CA"/>
        </w:rPr>
      </w:pPr>
      <w:r>
        <w:rPr>
          <w:rFonts w:cs="Arial"/>
          <w:lang w:val="en-CA"/>
        </w:rPr>
        <w:t>Their recommendations for maintaining or, where necessary, enhancing SNCLG’s Integrity Program.</w:t>
      </w:r>
    </w:p>
    <w:p w14:paraId="43ABC38A" w14:textId="77777777" w:rsidR="00313DEB" w:rsidRDefault="00313DEB" w:rsidP="00895880">
      <w:pPr>
        <w:rPr>
          <w:rFonts w:cs="Arial"/>
          <w:lang w:val="en-CA"/>
        </w:rPr>
      </w:pPr>
    </w:p>
    <w:p w14:paraId="2F7965DE" w14:textId="77777777" w:rsidR="00313DEB" w:rsidRDefault="00313DEB" w:rsidP="00313DEB">
      <w:pPr>
        <w:pStyle w:val="Paragraphedeliste"/>
        <w:numPr>
          <w:ilvl w:val="0"/>
          <w:numId w:val="40"/>
        </w:numPr>
        <w:contextualSpacing/>
        <w:jc w:val="both"/>
        <w:rPr>
          <w:rFonts w:cs="Arial"/>
          <w:lang w:val="en-CA"/>
        </w:rPr>
      </w:pPr>
      <w:r>
        <w:rPr>
          <w:rFonts w:cs="Arial"/>
          <w:lang w:val="en-CA"/>
        </w:rPr>
        <w:t xml:space="preserve">Throughout the Agreement’s Effective Period, within </w:t>
      </w:r>
      <w:r>
        <w:rPr>
          <w:rFonts w:cs="Arial"/>
          <w:b/>
          <w:lang w:val="en-CA"/>
        </w:rPr>
        <w:t xml:space="preserve">four and a half (4½) months </w:t>
      </w:r>
      <w:r>
        <w:rPr>
          <w:rFonts w:cs="Arial"/>
          <w:lang w:val="en-CA"/>
        </w:rPr>
        <w:t>following receipt of each of SNCLG’s Implementation Reports, as defined in Section 38 of this Agreement, the Independent Monitor shall submit a report (</w:t>
      </w:r>
      <w:r>
        <w:rPr>
          <w:rFonts w:cs="Arial"/>
          <w:b/>
          <w:lang w:val="en-CA"/>
        </w:rPr>
        <w:t>Independent Monitor’s Follow-Up Report</w:t>
      </w:r>
      <w:r>
        <w:rPr>
          <w:rFonts w:cs="Arial"/>
          <w:lang w:val="en-CA"/>
        </w:rPr>
        <w:t xml:space="preserve">) to the Prosecutor, the Organizations and SNCLG indicating whether, in their opinion: </w:t>
      </w:r>
    </w:p>
    <w:p w14:paraId="5F45BC3B" w14:textId="77777777" w:rsidR="00313DEB" w:rsidRDefault="00313DEB" w:rsidP="00895880">
      <w:pPr>
        <w:jc w:val="both"/>
        <w:rPr>
          <w:rFonts w:cs="Arial"/>
          <w:lang w:val="en-CA"/>
        </w:rPr>
      </w:pPr>
    </w:p>
    <w:p w14:paraId="11530152" w14:textId="77777777" w:rsidR="00313DEB" w:rsidRDefault="00313DEB" w:rsidP="00313DEB">
      <w:pPr>
        <w:pStyle w:val="Paragraphedeliste"/>
        <w:numPr>
          <w:ilvl w:val="0"/>
          <w:numId w:val="48"/>
        </w:numPr>
        <w:ind w:left="1068"/>
        <w:contextualSpacing/>
        <w:jc w:val="both"/>
        <w:rPr>
          <w:rFonts w:cs="Arial"/>
          <w:lang w:val="en-CA"/>
        </w:rPr>
      </w:pPr>
      <w:r>
        <w:rPr>
          <w:rFonts w:cs="Arial"/>
          <w:lang w:val="en-CA"/>
        </w:rPr>
        <w:t xml:space="preserve">The actions and/or measures taken or to be taken by SNCLG to carry out the recommendations formulated in the Independent Monitor’s Initial Report or in any other subsequent report of the Independent Monitor, as these are described in SNCLG’s Implementation Report, are effectively satisfactory; </w:t>
      </w:r>
    </w:p>
    <w:p w14:paraId="3866711E" w14:textId="77777777" w:rsidR="00313DEB" w:rsidRDefault="00313DEB" w:rsidP="00895880">
      <w:pPr>
        <w:ind w:left="348"/>
        <w:jc w:val="both"/>
        <w:rPr>
          <w:rFonts w:cs="Arial"/>
          <w:lang w:val="en-CA"/>
        </w:rPr>
      </w:pPr>
    </w:p>
    <w:p w14:paraId="4D0E6CEE" w14:textId="77777777" w:rsidR="00313DEB" w:rsidRDefault="00313DEB" w:rsidP="00313DEB">
      <w:pPr>
        <w:pStyle w:val="Paragraphedeliste"/>
        <w:numPr>
          <w:ilvl w:val="0"/>
          <w:numId w:val="48"/>
        </w:numPr>
        <w:ind w:left="1068"/>
        <w:contextualSpacing/>
        <w:jc w:val="both"/>
        <w:rPr>
          <w:rFonts w:cs="Arial"/>
          <w:lang w:val="en-CA"/>
        </w:rPr>
      </w:pPr>
      <w:r>
        <w:rPr>
          <w:rFonts w:cs="Arial"/>
          <w:lang w:val="en-CA"/>
        </w:rPr>
        <w:t>The implementation schedule proposed by SNCLG is reasonable;</w:t>
      </w:r>
    </w:p>
    <w:p w14:paraId="3D75C8EB" w14:textId="77777777" w:rsidR="00313DEB" w:rsidRDefault="00313DEB" w:rsidP="00895880">
      <w:pPr>
        <w:ind w:left="348"/>
        <w:jc w:val="both"/>
        <w:rPr>
          <w:rFonts w:cs="Arial"/>
          <w:lang w:val="en-CA"/>
        </w:rPr>
      </w:pPr>
    </w:p>
    <w:p w14:paraId="6AA9ACC5" w14:textId="77777777" w:rsidR="00313DEB" w:rsidRDefault="00313DEB" w:rsidP="00313DEB">
      <w:pPr>
        <w:pStyle w:val="Paragraphedeliste"/>
        <w:numPr>
          <w:ilvl w:val="0"/>
          <w:numId w:val="48"/>
        </w:numPr>
        <w:ind w:left="1068"/>
        <w:contextualSpacing/>
        <w:jc w:val="both"/>
        <w:rPr>
          <w:rFonts w:cs="Arial"/>
          <w:lang w:val="en-CA"/>
        </w:rPr>
      </w:pPr>
      <w:r>
        <w:rPr>
          <w:rFonts w:cs="Arial"/>
          <w:lang w:val="en-CA"/>
        </w:rPr>
        <w:t>The changes to the schedule proposed by SNCLG, if any, are problematic;</w:t>
      </w:r>
    </w:p>
    <w:p w14:paraId="0A55F3C3" w14:textId="77777777" w:rsidR="00313DEB" w:rsidRDefault="00313DEB" w:rsidP="00895880">
      <w:pPr>
        <w:ind w:left="348"/>
        <w:jc w:val="both"/>
        <w:rPr>
          <w:rFonts w:cs="Arial"/>
          <w:lang w:val="en-CA"/>
        </w:rPr>
      </w:pPr>
    </w:p>
    <w:p w14:paraId="1E752C6D" w14:textId="77777777" w:rsidR="00313DEB" w:rsidRDefault="00313DEB" w:rsidP="00313DEB">
      <w:pPr>
        <w:pStyle w:val="Paragraphedeliste"/>
        <w:numPr>
          <w:ilvl w:val="0"/>
          <w:numId w:val="48"/>
        </w:numPr>
        <w:ind w:left="1068"/>
        <w:contextualSpacing/>
        <w:jc w:val="both"/>
        <w:rPr>
          <w:rFonts w:cs="Arial"/>
          <w:lang w:val="en-CA"/>
        </w:rPr>
      </w:pPr>
      <w:r>
        <w:rPr>
          <w:rFonts w:cs="Arial"/>
          <w:lang w:val="en-CA"/>
        </w:rPr>
        <w:t>The amendments to, or the addition or cancellation of, a policy or procedure of SNCLG’s Integrity Program maintain or enhance the Integrity Program’s efficiency; and</w:t>
      </w:r>
    </w:p>
    <w:p w14:paraId="10360800" w14:textId="77777777" w:rsidR="00313DEB" w:rsidRDefault="00313DEB" w:rsidP="00895880">
      <w:pPr>
        <w:ind w:left="348"/>
        <w:jc w:val="both"/>
        <w:rPr>
          <w:rFonts w:cs="Arial"/>
          <w:lang w:val="en-CA"/>
        </w:rPr>
      </w:pPr>
    </w:p>
    <w:p w14:paraId="03DD9689" w14:textId="77777777" w:rsidR="00313DEB" w:rsidRDefault="00313DEB" w:rsidP="00313DEB">
      <w:pPr>
        <w:pStyle w:val="Paragraphedeliste"/>
        <w:numPr>
          <w:ilvl w:val="0"/>
          <w:numId w:val="48"/>
        </w:numPr>
        <w:ind w:left="1068"/>
        <w:contextualSpacing/>
        <w:jc w:val="both"/>
        <w:rPr>
          <w:rFonts w:cs="Arial"/>
          <w:lang w:val="en-CA"/>
        </w:rPr>
      </w:pPr>
      <w:r>
        <w:rPr>
          <w:rFonts w:cs="Arial"/>
          <w:lang w:val="en-CA"/>
        </w:rPr>
        <w:t>The findings of the examinations and tests listed in Sections 35 and following allow it to conclude that the various measures implemented are effective or whether additional recommendations are required.</w:t>
      </w:r>
    </w:p>
    <w:p w14:paraId="66E4B187" w14:textId="77777777" w:rsidR="00313DEB" w:rsidRDefault="00313DEB" w:rsidP="00895880">
      <w:pPr>
        <w:jc w:val="both"/>
        <w:rPr>
          <w:rFonts w:cs="Arial"/>
          <w:lang w:val="en-CA"/>
        </w:rPr>
      </w:pPr>
    </w:p>
    <w:p w14:paraId="6E7B64E0" w14:textId="77777777" w:rsidR="00313DEB" w:rsidRDefault="00313DEB" w:rsidP="00313DEB">
      <w:pPr>
        <w:pStyle w:val="Paragraphedeliste"/>
        <w:numPr>
          <w:ilvl w:val="0"/>
          <w:numId w:val="40"/>
        </w:numPr>
        <w:contextualSpacing/>
        <w:jc w:val="both"/>
        <w:rPr>
          <w:rFonts w:cs="Arial"/>
          <w:lang w:val="en-CA"/>
        </w:rPr>
      </w:pPr>
      <w:r>
        <w:rPr>
          <w:rFonts w:cs="Arial"/>
          <w:lang w:val="en-CA"/>
        </w:rPr>
        <w:t>Throughout the Agreement’s Effective Period, the Independent Monitor shall continue to examine and conduct independent tests on each of the following components</w:t>
      </w:r>
      <w:r>
        <w:rPr>
          <w:rFonts w:cs="Arial"/>
          <w:iCs/>
          <w:lang w:val="en-CA"/>
        </w:rPr>
        <w:t>; to that end, the Independent Monitor shall determine, at its discretion, which particular aspect(s) of each of these components it will test</w:t>
      </w:r>
      <w:r>
        <w:rPr>
          <w:rFonts w:cs="Arial"/>
          <w:lang w:val="en-CA"/>
        </w:rPr>
        <w:t>:</w:t>
      </w:r>
    </w:p>
    <w:p w14:paraId="0ED9E79B" w14:textId="77777777" w:rsidR="00313DEB" w:rsidRDefault="00313DEB" w:rsidP="00895880">
      <w:pPr>
        <w:jc w:val="both"/>
        <w:rPr>
          <w:rFonts w:cs="Arial"/>
          <w:lang w:val="en-CA"/>
        </w:rPr>
      </w:pPr>
    </w:p>
    <w:p w14:paraId="5896CD18" w14:textId="77777777" w:rsidR="00313DEB" w:rsidRDefault="00313DEB" w:rsidP="00313DEB">
      <w:pPr>
        <w:pStyle w:val="Paragraphedeliste"/>
        <w:numPr>
          <w:ilvl w:val="0"/>
          <w:numId w:val="49"/>
        </w:numPr>
        <w:ind w:left="1134" w:hanging="425"/>
        <w:contextualSpacing/>
        <w:jc w:val="both"/>
        <w:rPr>
          <w:rFonts w:cs="Arial"/>
          <w:lang w:val="en-CA"/>
        </w:rPr>
      </w:pPr>
      <w:r>
        <w:rPr>
          <w:rFonts w:cs="Arial"/>
          <w:lang w:val="en-CA"/>
        </w:rPr>
        <w:lastRenderedPageBreak/>
        <w:t>The follow-up on the training sessions listed in Section 29, as well as the continuing education of SNCLG’s Stakeholders (within the meaning of Subsection 29(a) of this Agreement) regarding the code of conduct and their commitment to complying therewith;</w:t>
      </w:r>
    </w:p>
    <w:p w14:paraId="2C46FCDE" w14:textId="77777777" w:rsidR="00313DEB" w:rsidRDefault="00313DEB" w:rsidP="00895880">
      <w:pPr>
        <w:pStyle w:val="Paragraphedeliste"/>
        <w:ind w:left="1134" w:hanging="425"/>
        <w:jc w:val="both"/>
        <w:rPr>
          <w:rFonts w:cs="Arial"/>
          <w:lang w:val="en-CA"/>
        </w:rPr>
      </w:pPr>
    </w:p>
    <w:p w14:paraId="3A5FA0BF" w14:textId="77777777" w:rsidR="00313DEB" w:rsidRDefault="00313DEB" w:rsidP="00313DEB">
      <w:pPr>
        <w:pStyle w:val="Paragraphedeliste"/>
        <w:numPr>
          <w:ilvl w:val="0"/>
          <w:numId w:val="49"/>
        </w:numPr>
        <w:ind w:left="1134" w:hanging="425"/>
        <w:contextualSpacing/>
        <w:jc w:val="both"/>
        <w:rPr>
          <w:rFonts w:cs="Arial"/>
          <w:lang w:val="en-CA"/>
        </w:rPr>
      </w:pPr>
      <w:r>
        <w:rPr>
          <w:rFonts w:cs="Arial"/>
          <w:lang w:val="en-CA"/>
        </w:rPr>
        <w:t>The implementation of the policies and procedures associated with the determination, identification and resolution of conflicts of interest;</w:t>
      </w:r>
    </w:p>
    <w:p w14:paraId="01A69FE6" w14:textId="77777777" w:rsidR="00313DEB" w:rsidRDefault="00313DEB" w:rsidP="00895880">
      <w:pPr>
        <w:pStyle w:val="Paragraphedeliste"/>
        <w:ind w:left="1134" w:hanging="425"/>
        <w:jc w:val="both"/>
        <w:rPr>
          <w:rFonts w:cs="Arial"/>
          <w:lang w:val="en-CA"/>
        </w:rPr>
      </w:pPr>
    </w:p>
    <w:p w14:paraId="7050EC3B" w14:textId="77777777" w:rsidR="00313DEB" w:rsidRDefault="00313DEB" w:rsidP="00313DEB">
      <w:pPr>
        <w:pStyle w:val="Paragraphedeliste"/>
        <w:numPr>
          <w:ilvl w:val="0"/>
          <w:numId w:val="49"/>
        </w:numPr>
        <w:ind w:left="1134" w:hanging="425"/>
        <w:contextualSpacing/>
        <w:jc w:val="both"/>
        <w:rPr>
          <w:rFonts w:cs="Arial"/>
          <w:lang w:val="en-CA"/>
        </w:rPr>
      </w:pPr>
      <w:r>
        <w:rPr>
          <w:rFonts w:cs="Arial"/>
          <w:lang w:val="en-CA"/>
        </w:rPr>
        <w:t xml:space="preserve"> The pre-employment probity verification;</w:t>
      </w:r>
    </w:p>
    <w:p w14:paraId="6B837DAE" w14:textId="77777777" w:rsidR="00313DEB" w:rsidRDefault="00313DEB" w:rsidP="00895880">
      <w:pPr>
        <w:pStyle w:val="Paragraphedeliste"/>
        <w:ind w:left="1134" w:hanging="425"/>
        <w:jc w:val="both"/>
        <w:rPr>
          <w:rFonts w:cs="Arial"/>
          <w:lang w:val="en-CA"/>
        </w:rPr>
      </w:pPr>
    </w:p>
    <w:p w14:paraId="2E797752" w14:textId="77777777" w:rsidR="00313DEB" w:rsidRDefault="00313DEB" w:rsidP="00313DEB">
      <w:pPr>
        <w:pStyle w:val="Paragraphedeliste"/>
        <w:numPr>
          <w:ilvl w:val="0"/>
          <w:numId w:val="49"/>
        </w:numPr>
        <w:ind w:left="1134" w:hanging="425"/>
        <w:contextualSpacing/>
        <w:jc w:val="both"/>
        <w:rPr>
          <w:rFonts w:cs="Arial"/>
          <w:lang w:val="en-CA"/>
        </w:rPr>
      </w:pPr>
      <w:r>
        <w:rPr>
          <w:rFonts w:cs="Arial"/>
          <w:lang w:val="en-CA"/>
        </w:rPr>
        <w:t>The approval of new foreign commercial representatives after the Agreement’s execution;</w:t>
      </w:r>
    </w:p>
    <w:p w14:paraId="04E3490D" w14:textId="77777777" w:rsidR="00313DEB" w:rsidRDefault="00313DEB" w:rsidP="00895880">
      <w:pPr>
        <w:pStyle w:val="Paragraphedeliste"/>
        <w:ind w:left="1134" w:hanging="425"/>
        <w:jc w:val="both"/>
        <w:rPr>
          <w:rFonts w:cs="Arial"/>
          <w:lang w:val="en-CA"/>
        </w:rPr>
      </w:pPr>
    </w:p>
    <w:p w14:paraId="1E763D69" w14:textId="77777777" w:rsidR="00313DEB" w:rsidRDefault="00313DEB" w:rsidP="00313DEB">
      <w:pPr>
        <w:pStyle w:val="Paragraphedeliste"/>
        <w:numPr>
          <w:ilvl w:val="0"/>
          <w:numId w:val="49"/>
        </w:numPr>
        <w:ind w:left="1134" w:hanging="425"/>
        <w:contextualSpacing/>
        <w:jc w:val="both"/>
        <w:rPr>
          <w:rFonts w:cs="Arial"/>
          <w:lang w:val="en-CA"/>
        </w:rPr>
      </w:pPr>
      <w:r>
        <w:rPr>
          <w:rFonts w:cs="Arial"/>
          <w:lang w:val="en-CA"/>
        </w:rPr>
        <w:t>The hiring process, in Canada, for existing and former public servants, including the staff of various federal and Quebec Crown corporations and members of their immediate families;</w:t>
      </w:r>
    </w:p>
    <w:p w14:paraId="391E95C6" w14:textId="77777777" w:rsidR="00313DEB" w:rsidRDefault="00313DEB" w:rsidP="00895880">
      <w:pPr>
        <w:ind w:left="1134" w:hanging="425"/>
        <w:rPr>
          <w:lang w:val="en-CA"/>
        </w:rPr>
      </w:pPr>
    </w:p>
    <w:p w14:paraId="6564A259" w14:textId="77777777" w:rsidR="00313DEB" w:rsidRDefault="00313DEB" w:rsidP="00313DEB">
      <w:pPr>
        <w:pStyle w:val="Paragraphedeliste"/>
        <w:numPr>
          <w:ilvl w:val="0"/>
          <w:numId w:val="49"/>
        </w:numPr>
        <w:ind w:left="1134" w:hanging="425"/>
        <w:contextualSpacing/>
        <w:jc w:val="both"/>
        <w:rPr>
          <w:rFonts w:cs="Arial"/>
          <w:lang w:val="en-CA"/>
        </w:rPr>
      </w:pPr>
      <w:r>
        <w:rPr>
          <w:rFonts w:cs="Arial"/>
          <w:lang w:val="en-CA"/>
        </w:rPr>
        <w:t xml:space="preserve">SNCLG’s documentation of the applications for exemption from the policies and procedures; and </w:t>
      </w:r>
    </w:p>
    <w:p w14:paraId="60B50CDE" w14:textId="77777777" w:rsidR="00313DEB" w:rsidRDefault="00313DEB" w:rsidP="00895880">
      <w:pPr>
        <w:pStyle w:val="Paragraphedeliste"/>
        <w:ind w:left="1134" w:hanging="425"/>
        <w:jc w:val="both"/>
        <w:rPr>
          <w:rFonts w:cs="Arial"/>
          <w:lang w:val="en-CA"/>
        </w:rPr>
      </w:pPr>
    </w:p>
    <w:p w14:paraId="1CBB8701" w14:textId="77777777" w:rsidR="00313DEB" w:rsidRDefault="00313DEB" w:rsidP="00313DEB">
      <w:pPr>
        <w:pStyle w:val="Paragraphedeliste"/>
        <w:numPr>
          <w:ilvl w:val="0"/>
          <w:numId w:val="49"/>
        </w:numPr>
        <w:ind w:left="1134" w:hanging="425"/>
        <w:contextualSpacing/>
        <w:jc w:val="both"/>
        <w:rPr>
          <w:rFonts w:cs="Arial"/>
          <w:lang w:val="en-CA"/>
        </w:rPr>
      </w:pPr>
      <w:r>
        <w:rPr>
          <w:rFonts w:cs="Arial"/>
          <w:lang w:val="en-CA"/>
        </w:rPr>
        <w:t>The efficacy of the reporting mechanisms.</w:t>
      </w:r>
    </w:p>
    <w:p w14:paraId="6136E97C" w14:textId="77777777" w:rsidR="00313DEB" w:rsidRDefault="00313DEB" w:rsidP="00895880">
      <w:pPr>
        <w:rPr>
          <w:rFonts w:cs="Arial"/>
          <w:lang w:val="en-CA"/>
        </w:rPr>
      </w:pPr>
    </w:p>
    <w:p w14:paraId="12A815C3" w14:textId="77777777" w:rsidR="00313DEB" w:rsidRDefault="00313DEB" w:rsidP="00313DEB">
      <w:pPr>
        <w:pStyle w:val="Paragraphedeliste"/>
        <w:numPr>
          <w:ilvl w:val="0"/>
          <w:numId w:val="40"/>
        </w:numPr>
        <w:contextualSpacing/>
        <w:jc w:val="both"/>
        <w:rPr>
          <w:rFonts w:cs="Arial"/>
          <w:lang w:val="en-CA"/>
        </w:rPr>
      </w:pPr>
      <w:r>
        <w:rPr>
          <w:rFonts w:cs="Arial"/>
          <w:lang w:val="en-CA"/>
        </w:rPr>
        <w:t xml:space="preserve">For purposes of the hearing provided for in section 715.4 Cr. C. regarding the Court’s issuance of an order declaring that the terms of this Agreement have been met, the Independent Monitor shall, within the </w:t>
      </w:r>
      <w:r>
        <w:rPr>
          <w:rFonts w:cs="Arial"/>
          <w:b/>
          <w:lang w:val="en-CA"/>
        </w:rPr>
        <w:t xml:space="preserve">two (2) months </w:t>
      </w:r>
      <w:r>
        <w:rPr>
          <w:rFonts w:cs="Arial"/>
          <w:lang w:val="en-CA"/>
        </w:rPr>
        <w:t>following receipt of SNCLG’s Final Report, as defined in Section 40 of this Agreement, send a report (</w:t>
      </w:r>
      <w:r>
        <w:rPr>
          <w:rFonts w:cs="Arial"/>
          <w:b/>
          <w:lang w:val="en-CA"/>
        </w:rPr>
        <w:t>Independent Monitor’s Closing Report</w:t>
      </w:r>
      <w:r>
        <w:rPr>
          <w:rFonts w:cs="Arial"/>
          <w:lang w:val="en-CA"/>
        </w:rPr>
        <w:t xml:space="preserve">) to the Prosecutor, the Organizations and SNCLG indicating whether, in their opinion, SNCLG carried out the maintainance and/or enhancement of the compliance measures required under this Agreement. </w:t>
      </w:r>
    </w:p>
    <w:p w14:paraId="555799E7" w14:textId="77777777" w:rsidR="00313DEB" w:rsidRDefault="00313DEB" w:rsidP="00895880">
      <w:pPr>
        <w:pStyle w:val="Paragraphedeliste"/>
        <w:jc w:val="both"/>
        <w:rPr>
          <w:rFonts w:cs="Arial"/>
          <w:lang w:val="en-CA"/>
        </w:rPr>
      </w:pPr>
      <w:r>
        <w:rPr>
          <w:rFonts w:cs="Arial"/>
          <w:lang w:val="en-CA"/>
        </w:rPr>
        <w:t xml:space="preserve"> </w:t>
      </w:r>
    </w:p>
    <w:p w14:paraId="1CB81860" w14:textId="77777777" w:rsidR="00313DEB" w:rsidRDefault="00313DEB" w:rsidP="00313DEB">
      <w:pPr>
        <w:pStyle w:val="Paragraphedeliste"/>
        <w:numPr>
          <w:ilvl w:val="0"/>
          <w:numId w:val="40"/>
        </w:numPr>
        <w:contextualSpacing/>
        <w:jc w:val="both"/>
        <w:rPr>
          <w:rFonts w:cs="Arial"/>
          <w:lang w:val="en-CA"/>
        </w:rPr>
      </w:pPr>
      <w:r>
        <w:rPr>
          <w:rFonts w:cs="Arial"/>
          <w:lang w:val="en-CA"/>
        </w:rPr>
        <w:t xml:space="preserve">Throughout the Agreement’s Effective Period, the Independent Monitor shall make itself available for the purposes of freely discussing with and answering the questions of the Prosecutor regarding its mandate. The Independent Monitor shall also send the Prosecutor such documents as he may require that shall have been obtained or created within the context of its mandate after having given notice to the Organizations and SNCLG so as to allow them to examine the said documents and mutually agree with the Prosecutor on whatever measures may be necessary, where applicable, to preserve the privileged and confidential nature of the documents. </w:t>
      </w:r>
    </w:p>
    <w:p w14:paraId="5D8BCC1A" w14:textId="77777777" w:rsidR="00313DEB" w:rsidRDefault="00313DEB" w:rsidP="00895880">
      <w:pPr>
        <w:rPr>
          <w:rFonts w:cs="Arial"/>
          <w:lang w:val="en-CA"/>
        </w:rPr>
      </w:pPr>
    </w:p>
    <w:p w14:paraId="5721E83F" w14:textId="77777777" w:rsidR="00313DEB" w:rsidRDefault="00313DEB" w:rsidP="00313DEB">
      <w:pPr>
        <w:pStyle w:val="Titre2"/>
        <w:keepLines/>
        <w:numPr>
          <w:ilvl w:val="0"/>
          <w:numId w:val="44"/>
        </w:numPr>
        <w:spacing w:after="0"/>
        <w:jc w:val="left"/>
        <w:rPr>
          <w:rFonts w:cs="Arial"/>
          <w:b w:val="0"/>
          <w:sz w:val="22"/>
          <w:szCs w:val="22"/>
          <w:lang w:val="en-CA"/>
        </w:rPr>
      </w:pPr>
      <w:r>
        <w:rPr>
          <w:rFonts w:cs="Arial"/>
          <w:sz w:val="22"/>
          <w:szCs w:val="22"/>
          <w:lang w:val="en-CA"/>
        </w:rPr>
        <w:t xml:space="preserve">ORGANIZATIONS’ REPORTS </w:t>
      </w:r>
    </w:p>
    <w:p w14:paraId="4AD79AD1" w14:textId="77777777" w:rsidR="00313DEB" w:rsidRDefault="00313DEB" w:rsidP="00895880">
      <w:pPr>
        <w:rPr>
          <w:rFonts w:cs="Arial"/>
          <w:lang w:val="en-CA"/>
        </w:rPr>
      </w:pPr>
    </w:p>
    <w:p w14:paraId="4C5B2D46" w14:textId="77777777" w:rsidR="00313DEB" w:rsidRDefault="00313DEB" w:rsidP="00313DEB">
      <w:pPr>
        <w:pStyle w:val="Paragraphedeliste"/>
        <w:numPr>
          <w:ilvl w:val="0"/>
          <w:numId w:val="40"/>
        </w:numPr>
        <w:contextualSpacing/>
        <w:jc w:val="both"/>
        <w:rPr>
          <w:rFonts w:cs="Arial"/>
          <w:lang w:val="en-CA"/>
        </w:rPr>
      </w:pPr>
      <w:bookmarkStart w:id="34" w:name="_Ref88742648"/>
      <w:r>
        <w:rPr>
          <w:rFonts w:cs="Arial"/>
          <w:lang w:val="en-CA"/>
        </w:rPr>
        <w:t xml:space="preserve">Throughout the Agreement’s Effective Period, the Organizations undertake to ensure that SNCLG submits three (3) reports on the implementation of the Independent Monitors’ recommendations to the Prosecutor and the Independent </w:t>
      </w:r>
      <w:r>
        <w:rPr>
          <w:rFonts w:cs="Arial"/>
          <w:lang w:val="en-CA"/>
        </w:rPr>
        <w:lastRenderedPageBreak/>
        <w:t>Monitors, signed by the CEO or Chief Integrity Officer of SNCLG (</w:t>
      </w:r>
      <w:r>
        <w:rPr>
          <w:rFonts w:cs="Arial"/>
          <w:b/>
          <w:lang w:val="en-CA"/>
        </w:rPr>
        <w:t>SNCLG’s Implementation Reports</w:t>
      </w:r>
      <w:r>
        <w:rPr>
          <w:rFonts w:cs="Arial"/>
          <w:lang w:val="en-CA"/>
        </w:rPr>
        <w:t>) [715.34(1)(i) Cr. C.].</w:t>
      </w:r>
    </w:p>
    <w:p w14:paraId="60E4BF1A" w14:textId="77777777" w:rsidR="00313DEB" w:rsidRDefault="00313DEB" w:rsidP="00895880">
      <w:pPr>
        <w:jc w:val="both"/>
        <w:rPr>
          <w:rFonts w:cs="Arial"/>
          <w:lang w:val="en-CA"/>
        </w:rPr>
      </w:pPr>
    </w:p>
    <w:p w14:paraId="42843F22" w14:textId="77777777" w:rsidR="00313DEB" w:rsidRDefault="00313DEB" w:rsidP="00313DEB">
      <w:pPr>
        <w:pStyle w:val="Paragraphedeliste"/>
        <w:numPr>
          <w:ilvl w:val="0"/>
          <w:numId w:val="40"/>
        </w:numPr>
        <w:contextualSpacing/>
        <w:jc w:val="both"/>
        <w:rPr>
          <w:rFonts w:cs="Arial"/>
          <w:lang w:val="en-CA"/>
        </w:rPr>
      </w:pPr>
      <w:r>
        <w:rPr>
          <w:rFonts w:cs="Arial"/>
          <w:lang w:val="en-CA"/>
        </w:rPr>
        <w:t xml:space="preserve">The first report shall be submitted within </w:t>
      </w:r>
      <w:r>
        <w:rPr>
          <w:rFonts w:cs="Arial"/>
          <w:b/>
          <w:lang w:val="en-CA"/>
        </w:rPr>
        <w:t xml:space="preserve">six (6) months </w:t>
      </w:r>
      <w:r>
        <w:rPr>
          <w:rFonts w:cs="Arial"/>
          <w:lang w:val="en-CA"/>
        </w:rPr>
        <w:t xml:space="preserve">of the Agreement’s approval by the Court, namely </w:t>
      </w:r>
      <w:r>
        <w:rPr>
          <w:rFonts w:cs="Arial"/>
          <w:b/>
          <w:lang w:val="en-CA"/>
        </w:rPr>
        <w:t xml:space="preserve">three (3) months </w:t>
      </w:r>
      <w:r>
        <w:rPr>
          <w:rFonts w:cs="Arial"/>
          <w:lang w:val="en-CA"/>
        </w:rPr>
        <w:t xml:space="preserve">following the Independent Monitors’ Initial Report, the second report shall be submitted in 2023, within </w:t>
      </w:r>
      <w:r>
        <w:rPr>
          <w:rFonts w:cs="Arial"/>
          <w:b/>
          <w:lang w:val="en-CA"/>
        </w:rPr>
        <w:t xml:space="preserve">fifteen (15) months </w:t>
      </w:r>
      <w:r>
        <w:rPr>
          <w:rFonts w:cs="Arial"/>
          <w:lang w:val="en-CA"/>
        </w:rPr>
        <w:t xml:space="preserve"> of the date of the Court’s approval, and the third report shall be submitted in 2024, within </w:t>
      </w:r>
      <w:r>
        <w:rPr>
          <w:rFonts w:cs="Arial"/>
          <w:b/>
          <w:lang w:val="en-CA"/>
        </w:rPr>
        <w:t xml:space="preserve">twenty-four (24) months </w:t>
      </w:r>
      <w:r>
        <w:rPr>
          <w:rFonts w:cs="Arial"/>
          <w:lang w:val="en-CA"/>
        </w:rPr>
        <w:t>of the date of the Court’s approval.</w:t>
      </w:r>
    </w:p>
    <w:p w14:paraId="6676CA66" w14:textId="77777777" w:rsidR="00313DEB" w:rsidRDefault="00313DEB" w:rsidP="00895880">
      <w:pPr>
        <w:pStyle w:val="Paragraphedeliste"/>
        <w:rPr>
          <w:rFonts w:cs="Arial"/>
          <w:lang w:val="en-CA"/>
        </w:rPr>
      </w:pPr>
    </w:p>
    <w:p w14:paraId="763F9D18" w14:textId="77777777" w:rsidR="00313DEB" w:rsidRDefault="00313DEB" w:rsidP="00313DEB">
      <w:pPr>
        <w:pStyle w:val="Paragraphedeliste"/>
        <w:numPr>
          <w:ilvl w:val="0"/>
          <w:numId w:val="40"/>
        </w:numPr>
        <w:contextualSpacing/>
        <w:jc w:val="both"/>
        <w:rPr>
          <w:rFonts w:cs="Arial"/>
          <w:lang w:val="en-CA"/>
        </w:rPr>
      </w:pPr>
      <w:r>
        <w:rPr>
          <w:rFonts w:cs="Arial"/>
          <w:lang w:val="en-CA"/>
        </w:rPr>
        <w:t>The Organizations undertake to ensure that SNCLG submits a final report (</w:t>
      </w:r>
      <w:r>
        <w:rPr>
          <w:rFonts w:cs="Arial"/>
          <w:b/>
          <w:lang w:val="en-CA"/>
        </w:rPr>
        <w:t>SNCLG’s Final Report</w:t>
      </w:r>
      <w:r>
        <w:rPr>
          <w:rFonts w:cs="Arial"/>
          <w:lang w:val="en-CA"/>
        </w:rPr>
        <w:t xml:space="preserve">) </w:t>
      </w:r>
      <w:r>
        <w:rPr>
          <w:rFonts w:cs="Arial"/>
          <w:b/>
          <w:lang w:val="en-CA"/>
        </w:rPr>
        <w:t>four (4) months</w:t>
      </w:r>
      <w:r>
        <w:rPr>
          <w:rFonts w:cs="Arial"/>
          <w:lang w:val="en-CA"/>
        </w:rPr>
        <w:t xml:space="preserve"> prior to the expiry of the Agreement’s Effective Period.</w:t>
      </w:r>
    </w:p>
    <w:p w14:paraId="017A8D18" w14:textId="77777777" w:rsidR="00313DEB" w:rsidRDefault="00313DEB" w:rsidP="00895880">
      <w:pPr>
        <w:pStyle w:val="Paragraphedeliste"/>
        <w:rPr>
          <w:rFonts w:cs="Arial"/>
          <w:lang w:val="en-CA"/>
        </w:rPr>
      </w:pPr>
    </w:p>
    <w:p w14:paraId="5583906F" w14:textId="77777777" w:rsidR="00313DEB" w:rsidRDefault="00313DEB" w:rsidP="00313DEB">
      <w:pPr>
        <w:pStyle w:val="Paragraphedeliste"/>
        <w:numPr>
          <w:ilvl w:val="0"/>
          <w:numId w:val="40"/>
        </w:numPr>
        <w:contextualSpacing/>
        <w:jc w:val="both"/>
        <w:rPr>
          <w:rFonts w:cs="Arial"/>
          <w:lang w:val="en-CA"/>
        </w:rPr>
      </w:pPr>
      <w:r>
        <w:rPr>
          <w:rFonts w:cs="Arial"/>
          <w:lang w:val="en-CA"/>
        </w:rPr>
        <w:t>The reports shall render account on:</w:t>
      </w:r>
      <w:bookmarkEnd w:id="34"/>
      <w:r>
        <w:rPr>
          <w:rFonts w:cs="Arial"/>
          <w:lang w:val="en-CA"/>
        </w:rPr>
        <w:t xml:space="preserve"> </w:t>
      </w:r>
    </w:p>
    <w:p w14:paraId="3348CD70" w14:textId="77777777" w:rsidR="00313DEB" w:rsidRDefault="00313DEB" w:rsidP="00895880">
      <w:pPr>
        <w:rPr>
          <w:rFonts w:cs="Arial"/>
          <w:lang w:val="en-CA"/>
        </w:rPr>
      </w:pPr>
    </w:p>
    <w:p w14:paraId="0AFE2233" w14:textId="77777777" w:rsidR="00313DEB" w:rsidRDefault="00313DEB" w:rsidP="00313DEB">
      <w:pPr>
        <w:pStyle w:val="Paragraphedeliste"/>
        <w:numPr>
          <w:ilvl w:val="0"/>
          <w:numId w:val="50"/>
        </w:numPr>
        <w:ind w:left="1068"/>
        <w:contextualSpacing/>
        <w:jc w:val="both"/>
        <w:rPr>
          <w:rFonts w:cs="Arial"/>
          <w:lang w:val="en-CA"/>
        </w:rPr>
      </w:pPr>
      <w:r>
        <w:rPr>
          <w:rFonts w:cs="Arial"/>
          <w:lang w:val="en-CA"/>
        </w:rPr>
        <w:t xml:space="preserve">the Integrity Program, including the fundamental elements listed in Section 28 of this Agreement; </w:t>
      </w:r>
    </w:p>
    <w:p w14:paraId="5272B034" w14:textId="77777777" w:rsidR="00313DEB" w:rsidRDefault="00313DEB" w:rsidP="00895880">
      <w:pPr>
        <w:ind w:left="348"/>
        <w:jc w:val="both"/>
        <w:rPr>
          <w:rFonts w:cs="Arial"/>
          <w:lang w:val="en-CA"/>
        </w:rPr>
      </w:pPr>
    </w:p>
    <w:p w14:paraId="14DEA524" w14:textId="77777777" w:rsidR="00313DEB" w:rsidRDefault="00313DEB" w:rsidP="00313DEB">
      <w:pPr>
        <w:pStyle w:val="Paragraphedeliste"/>
        <w:numPr>
          <w:ilvl w:val="0"/>
          <w:numId w:val="50"/>
        </w:numPr>
        <w:ind w:left="1068"/>
        <w:contextualSpacing/>
        <w:jc w:val="both"/>
        <w:rPr>
          <w:rFonts w:cs="Arial"/>
          <w:lang w:val="en-CA"/>
        </w:rPr>
      </w:pPr>
      <w:r>
        <w:rPr>
          <w:rFonts w:cs="Arial"/>
          <w:lang w:val="en-CA"/>
        </w:rPr>
        <w:t xml:space="preserve">the implementation of the compliance measures and efforts made to implement this Agreement and comply with the conditions thereof; </w:t>
      </w:r>
    </w:p>
    <w:p w14:paraId="3C721F49" w14:textId="77777777" w:rsidR="00313DEB" w:rsidRDefault="00313DEB" w:rsidP="00895880">
      <w:pPr>
        <w:ind w:left="348"/>
        <w:jc w:val="both"/>
        <w:rPr>
          <w:rFonts w:cs="Arial"/>
          <w:lang w:val="en-CA"/>
        </w:rPr>
      </w:pPr>
    </w:p>
    <w:p w14:paraId="0126F8C2" w14:textId="77777777" w:rsidR="00313DEB" w:rsidRDefault="00313DEB" w:rsidP="00313DEB">
      <w:pPr>
        <w:pStyle w:val="Paragraphedeliste"/>
        <w:numPr>
          <w:ilvl w:val="0"/>
          <w:numId w:val="50"/>
        </w:numPr>
        <w:ind w:left="1068"/>
        <w:contextualSpacing/>
        <w:jc w:val="both"/>
        <w:rPr>
          <w:rFonts w:cs="Arial"/>
          <w:lang w:val="en-CA"/>
        </w:rPr>
      </w:pPr>
      <w:r>
        <w:rPr>
          <w:rFonts w:cs="Arial"/>
          <w:lang w:val="en-CA"/>
        </w:rPr>
        <w:t xml:space="preserve">the implementation of the recommendations made in the Independent Monitor’s Initial Report and in any other subsequent report of the Independent Monitor providing, for each, other than those previously confirmed by the Independent Monitor as having been met, either: (i) confirmation that the recommendation was satisfied, along with a description of the actions and/or measures taken to satisfy it, or (ii) a description of the actions and/or measures that were implemented and those that will be implemented, as the case may be, along with the schedule proposed by SNCLG to that end. </w:t>
      </w:r>
    </w:p>
    <w:p w14:paraId="4F21D7A8" w14:textId="77777777" w:rsidR="00313DEB" w:rsidRDefault="00313DEB" w:rsidP="00895880">
      <w:pPr>
        <w:rPr>
          <w:rFonts w:cs="Arial"/>
          <w:b/>
          <w:lang w:val="en-CA"/>
        </w:rPr>
      </w:pPr>
    </w:p>
    <w:p w14:paraId="605B362D" w14:textId="77777777" w:rsidR="00313DEB" w:rsidRDefault="00313DEB" w:rsidP="00313DEB">
      <w:pPr>
        <w:pStyle w:val="Paragraphedeliste"/>
        <w:numPr>
          <w:ilvl w:val="0"/>
          <w:numId w:val="40"/>
        </w:numPr>
        <w:contextualSpacing/>
        <w:jc w:val="both"/>
        <w:rPr>
          <w:rFonts w:cs="Arial"/>
          <w:lang w:val="en-CA"/>
        </w:rPr>
      </w:pPr>
      <w:r>
        <w:rPr>
          <w:rFonts w:cs="Arial"/>
          <w:lang w:val="en-CA"/>
        </w:rPr>
        <w:t xml:space="preserve">To ensure that the compliance measures are followed up on efficiently and continuously throughout the Agreement’s Effective Period, it is agreed that the Independent Monitors’ Initial Report, SNCLG’s Implementation Reports, the Independent Monitors’ Follow-Up Report, SNCLG’s Final Report and the Independent Monitors’ Closing Report shall be submitted on the dates provided for in </w:t>
      </w:r>
      <w:r>
        <w:rPr>
          <w:rFonts w:cs="Arial"/>
          <w:b/>
          <w:lang w:val="en-CA"/>
        </w:rPr>
        <w:t>Schedule C</w:t>
      </w:r>
      <w:r>
        <w:rPr>
          <w:rFonts w:cs="Arial"/>
          <w:lang w:val="en-CA"/>
        </w:rPr>
        <w:t xml:space="preserve"> (</w:t>
      </w:r>
      <w:r>
        <w:rPr>
          <w:rFonts w:cs="Arial"/>
          <w:b/>
          <w:lang w:val="en-CA"/>
        </w:rPr>
        <w:t>Report Schedule</w:t>
      </w:r>
      <w:r>
        <w:rPr>
          <w:rFonts w:cs="Arial"/>
          <w:lang w:val="en-CA"/>
        </w:rPr>
        <w:t>).</w:t>
      </w:r>
    </w:p>
    <w:p w14:paraId="263A421A" w14:textId="77777777" w:rsidR="00313DEB" w:rsidRDefault="00313DEB" w:rsidP="00895880">
      <w:pPr>
        <w:pStyle w:val="Paragraphedeliste"/>
        <w:jc w:val="both"/>
        <w:rPr>
          <w:rFonts w:cs="Arial"/>
          <w:lang w:val="en-CA"/>
        </w:rPr>
      </w:pPr>
    </w:p>
    <w:p w14:paraId="2406AC8C" w14:textId="77777777" w:rsidR="00313DEB" w:rsidRDefault="00313DEB" w:rsidP="00895880">
      <w:pPr>
        <w:rPr>
          <w:rFonts w:cs="Arial"/>
          <w:b/>
          <w:lang w:val="en-CA"/>
        </w:rPr>
      </w:pPr>
    </w:p>
    <w:p w14:paraId="2F164D2E" w14:textId="77777777" w:rsidR="00313DEB" w:rsidRDefault="00313DEB" w:rsidP="00313DEB">
      <w:pPr>
        <w:pStyle w:val="Titre2"/>
        <w:keepLines/>
        <w:numPr>
          <w:ilvl w:val="0"/>
          <w:numId w:val="44"/>
        </w:numPr>
        <w:spacing w:after="0"/>
        <w:jc w:val="left"/>
        <w:rPr>
          <w:rFonts w:cs="Arial"/>
          <w:b w:val="0"/>
          <w:sz w:val="22"/>
          <w:szCs w:val="22"/>
          <w:lang w:val="en-CA"/>
        </w:rPr>
      </w:pPr>
      <w:r>
        <w:rPr>
          <w:rFonts w:cs="Arial"/>
          <w:sz w:val="22"/>
          <w:szCs w:val="22"/>
          <w:lang w:val="en-CA"/>
        </w:rPr>
        <w:t>COOPERATION DURING THE AGREEMENT’S EFFECTIVE PERIOD</w:t>
      </w:r>
    </w:p>
    <w:p w14:paraId="059B9AC8" w14:textId="77777777" w:rsidR="00313DEB" w:rsidRDefault="00313DEB" w:rsidP="00895880">
      <w:pPr>
        <w:rPr>
          <w:rFonts w:cs="Arial"/>
          <w:b/>
          <w:lang w:val="en-CA"/>
        </w:rPr>
      </w:pPr>
    </w:p>
    <w:p w14:paraId="3D8D9F8E" w14:textId="77777777" w:rsidR="00313DEB" w:rsidRDefault="00313DEB" w:rsidP="00313DEB">
      <w:pPr>
        <w:pStyle w:val="Paragraphedeliste"/>
        <w:numPr>
          <w:ilvl w:val="0"/>
          <w:numId w:val="40"/>
        </w:numPr>
        <w:contextualSpacing/>
        <w:jc w:val="both"/>
        <w:rPr>
          <w:rFonts w:cs="Arial"/>
          <w:lang w:val="en-CA"/>
        </w:rPr>
      </w:pPr>
      <w:r>
        <w:rPr>
          <w:rFonts w:cs="Arial"/>
          <w:lang w:val="en-CA"/>
        </w:rPr>
        <w:t>Throughout the Agreement’s Effective Period, the Organizations undertake to preserve such documents as are relevant for demonstrating compliance with the Agreement’s requirements and to make such documents available to the Independent Monitor and the Prosecutor at their request. The Organizations undertake to ensure that SNCLG honours this obligation.</w:t>
      </w:r>
    </w:p>
    <w:p w14:paraId="0C5CAB7F" w14:textId="77777777" w:rsidR="00313DEB" w:rsidRDefault="00313DEB" w:rsidP="00313DEB">
      <w:pPr>
        <w:pStyle w:val="Paragraphedeliste"/>
        <w:numPr>
          <w:ilvl w:val="0"/>
          <w:numId w:val="40"/>
        </w:numPr>
        <w:contextualSpacing/>
        <w:jc w:val="both"/>
        <w:rPr>
          <w:rFonts w:cs="Arial"/>
          <w:lang w:val="en-CA"/>
        </w:rPr>
      </w:pPr>
      <w:r>
        <w:rPr>
          <w:rFonts w:cs="Arial"/>
          <w:lang w:val="en-CA"/>
        </w:rPr>
        <w:lastRenderedPageBreak/>
        <w:t xml:space="preserve">Throughout the Agreement’s Effective Period, the Organizations undertake to disclose to the Prosecutor, on a confidential basis, the existence of any criminal or penal investigation in Canada or elsewhere respecting the offences subject to the Schedule to Part XXII.1 (or, if elsewhere, similar offences which, had they been committed in Canada, would have constituted criminal offences under the Schedule to Part XXII.1) that targets the Organizations or any affiliates of SNCLG and their current or former executive officers for acts or omission commited within the context of their duties, and this from the moment they were informed thereof. </w:t>
      </w:r>
    </w:p>
    <w:p w14:paraId="5A2BD61E" w14:textId="77777777" w:rsidR="00313DEB" w:rsidRDefault="00313DEB" w:rsidP="00895880">
      <w:pPr>
        <w:pStyle w:val="Paragraphedeliste"/>
        <w:jc w:val="both"/>
        <w:rPr>
          <w:rFonts w:cs="Arial"/>
          <w:lang w:val="en-CA"/>
        </w:rPr>
      </w:pPr>
    </w:p>
    <w:p w14:paraId="5EC21277" w14:textId="77777777" w:rsidR="00313DEB" w:rsidRDefault="00313DEB" w:rsidP="00313DEB">
      <w:pPr>
        <w:pStyle w:val="Paragraphedeliste"/>
        <w:numPr>
          <w:ilvl w:val="0"/>
          <w:numId w:val="40"/>
        </w:numPr>
        <w:contextualSpacing/>
        <w:jc w:val="both"/>
        <w:rPr>
          <w:rFonts w:cs="Arial"/>
          <w:lang w:val="en-CA"/>
        </w:rPr>
      </w:pPr>
      <w:r>
        <w:rPr>
          <w:rFonts w:cs="Arial"/>
          <w:lang w:val="en-CA"/>
        </w:rPr>
        <w:t>The Organizations acknowledge that all acts or omissions committed throughout the Agreement’s Effective Period by the Organizations and in respect of which a public prosecutor in Canada files criminal charges under the Schedule to Part XXII.1 shall constitute a breach of the Agreement’s terms.</w:t>
      </w:r>
    </w:p>
    <w:p w14:paraId="564B49B4" w14:textId="77777777" w:rsidR="00313DEB" w:rsidRDefault="00313DEB" w:rsidP="00895880">
      <w:pPr>
        <w:pStyle w:val="Paragraphedeliste"/>
        <w:rPr>
          <w:rFonts w:cs="Arial"/>
          <w:lang w:val="en-CA"/>
        </w:rPr>
      </w:pPr>
    </w:p>
    <w:p w14:paraId="21575C81" w14:textId="77777777" w:rsidR="00313DEB" w:rsidRDefault="00313DEB" w:rsidP="00313DEB">
      <w:pPr>
        <w:pStyle w:val="Paragraphedeliste"/>
        <w:numPr>
          <w:ilvl w:val="0"/>
          <w:numId w:val="40"/>
        </w:numPr>
        <w:contextualSpacing/>
        <w:jc w:val="both"/>
        <w:rPr>
          <w:rFonts w:cs="Arial"/>
          <w:lang w:val="en-CA"/>
        </w:rPr>
      </w:pPr>
      <w:bookmarkStart w:id="35" w:name="lt_pId146"/>
      <w:r>
        <w:rPr>
          <w:rFonts w:cs="Arial"/>
          <w:lang w:val="en-CA"/>
        </w:rPr>
        <w:t>The Organizations acknowledge their obligation to disclose to the Prosecutor any other information that they become aware of or that may be obtained through reasonable efforts after the Agreement has been entered into and that will assist in identifying any person involved in the acts or omissions, or in any wrongdoing  related to the acts or omissions relating to the Alleged Offences (715.34(1)(c) Cr. C.)</w:t>
      </w:r>
      <w:bookmarkEnd w:id="35"/>
      <w:r>
        <w:rPr>
          <w:rFonts w:cs="Arial"/>
          <w:lang w:val="en-CA"/>
        </w:rPr>
        <w:t>.</w:t>
      </w:r>
    </w:p>
    <w:p w14:paraId="2F8479BC" w14:textId="77777777" w:rsidR="00313DEB" w:rsidRDefault="00313DEB" w:rsidP="00895880">
      <w:pPr>
        <w:pStyle w:val="Paragraphedeliste"/>
        <w:rPr>
          <w:rFonts w:cs="Arial"/>
          <w:lang w:val="en-CA"/>
        </w:rPr>
      </w:pPr>
    </w:p>
    <w:p w14:paraId="083EF5F8" w14:textId="77777777" w:rsidR="00313DEB" w:rsidRDefault="00313DEB" w:rsidP="00313DEB">
      <w:pPr>
        <w:pStyle w:val="Paragraphedeliste"/>
        <w:numPr>
          <w:ilvl w:val="0"/>
          <w:numId w:val="40"/>
        </w:numPr>
        <w:contextualSpacing/>
        <w:jc w:val="both"/>
        <w:rPr>
          <w:rFonts w:cs="Arial"/>
          <w:lang w:val="en-CA"/>
        </w:rPr>
      </w:pPr>
      <w:bookmarkStart w:id="36" w:name="lt_pId147"/>
      <w:r>
        <w:rPr>
          <w:rFonts w:cs="Arial"/>
          <w:lang w:val="en-CA"/>
        </w:rPr>
        <w:t>The Organizations acknowledge their obligation to cooperate in any investigation, prosecution or other proceeding, in Canada or elsewhere, following the Prosecutor’s request, – resulting from the acts or omissions relating to the Alleged Offences, including by providing informations or testimonies (715.34(1)(d) Cr. C.).</w:t>
      </w:r>
      <w:bookmarkEnd w:id="36"/>
      <w:r>
        <w:rPr>
          <w:rFonts w:cs="Arial"/>
          <w:lang w:val="en-CA"/>
        </w:rPr>
        <w:t xml:space="preserve"> </w:t>
      </w:r>
    </w:p>
    <w:p w14:paraId="726EE84F" w14:textId="77777777" w:rsidR="00313DEB" w:rsidRDefault="00313DEB" w:rsidP="00895880">
      <w:pPr>
        <w:rPr>
          <w:rFonts w:cs="Arial"/>
          <w:lang w:val="en-CA"/>
        </w:rPr>
      </w:pPr>
    </w:p>
    <w:p w14:paraId="23D307E7" w14:textId="77777777" w:rsidR="00313DEB" w:rsidRDefault="00313DEB" w:rsidP="00313DEB">
      <w:pPr>
        <w:pStyle w:val="Titre1"/>
        <w:numPr>
          <w:ilvl w:val="0"/>
          <w:numId w:val="39"/>
        </w:numPr>
        <w:spacing w:before="0" w:after="0"/>
        <w:rPr>
          <w:rFonts w:cs="Arial"/>
          <w:b w:val="0"/>
          <w:sz w:val="22"/>
          <w:szCs w:val="22"/>
          <w:lang w:val="en-CA"/>
        </w:rPr>
      </w:pPr>
      <w:r>
        <w:rPr>
          <w:rFonts w:cs="Arial"/>
          <w:sz w:val="22"/>
          <w:szCs w:val="22"/>
          <w:lang w:val="en-CA"/>
        </w:rPr>
        <w:t xml:space="preserve">MODIFICATION AND TERMINATION OF AGREEMENT </w:t>
      </w:r>
    </w:p>
    <w:p w14:paraId="71E2DD4A" w14:textId="77777777" w:rsidR="00313DEB" w:rsidRDefault="00313DEB" w:rsidP="00895880">
      <w:pPr>
        <w:rPr>
          <w:rFonts w:cs="Arial"/>
          <w:lang w:val="en-CA"/>
        </w:rPr>
      </w:pPr>
    </w:p>
    <w:p w14:paraId="27505ED0" w14:textId="77777777" w:rsidR="00313DEB" w:rsidRDefault="00313DEB" w:rsidP="00313DEB">
      <w:pPr>
        <w:pStyle w:val="Paragraphedeliste"/>
        <w:numPr>
          <w:ilvl w:val="0"/>
          <w:numId w:val="40"/>
        </w:numPr>
        <w:contextualSpacing/>
        <w:jc w:val="both"/>
        <w:rPr>
          <w:rFonts w:cs="Arial"/>
          <w:lang w:val="en-CA"/>
        </w:rPr>
      </w:pPr>
      <w:r>
        <w:rPr>
          <w:rFonts w:cs="Arial"/>
          <w:lang w:val="en-CA"/>
        </w:rPr>
        <w:t xml:space="preserve">At all times throughout the Agreement’s Effective Period, the Prosecutor may ask the Court to modify the Agreement in accordance with section 715.38 of the </w:t>
      </w:r>
      <w:r>
        <w:rPr>
          <w:rFonts w:cs="Arial"/>
          <w:i/>
          <w:lang w:val="en-CA"/>
        </w:rPr>
        <w:t>Criminal Code</w:t>
      </w:r>
      <w:r>
        <w:rPr>
          <w:rFonts w:cs="Arial"/>
          <w:lang w:val="en-CA"/>
        </w:rPr>
        <w:t>.</w:t>
      </w:r>
    </w:p>
    <w:p w14:paraId="51522003" w14:textId="77777777" w:rsidR="00313DEB" w:rsidRDefault="00313DEB" w:rsidP="00895880">
      <w:pPr>
        <w:pStyle w:val="Paragraphedeliste"/>
        <w:jc w:val="both"/>
        <w:rPr>
          <w:rFonts w:cs="Arial"/>
          <w:lang w:val="en-CA"/>
        </w:rPr>
      </w:pPr>
    </w:p>
    <w:p w14:paraId="56A2F3BF" w14:textId="77777777" w:rsidR="00313DEB" w:rsidRDefault="00313DEB" w:rsidP="00313DEB">
      <w:pPr>
        <w:pStyle w:val="Paragraphedeliste"/>
        <w:numPr>
          <w:ilvl w:val="0"/>
          <w:numId w:val="40"/>
        </w:numPr>
        <w:contextualSpacing/>
        <w:jc w:val="both"/>
        <w:rPr>
          <w:rFonts w:cs="Arial"/>
          <w:lang w:val="en-CA"/>
        </w:rPr>
      </w:pPr>
      <w:r>
        <w:rPr>
          <w:rFonts w:cs="Arial"/>
          <w:lang w:val="en-CA"/>
        </w:rPr>
        <w:t xml:space="preserve"> At all times throughout the Agreement’s Effective Period, the Prosecutor may ask the Court to terminate the Agreement in the event that one of its terms has been breached in accordance with section 715.39 of the </w:t>
      </w:r>
      <w:r>
        <w:rPr>
          <w:rFonts w:cs="Arial"/>
          <w:i/>
          <w:lang w:val="en-CA"/>
        </w:rPr>
        <w:t>Criminal Code</w:t>
      </w:r>
      <w:r>
        <w:rPr>
          <w:rFonts w:cs="Arial"/>
          <w:lang w:val="en-CA"/>
        </w:rPr>
        <w:t xml:space="preserve">. </w:t>
      </w:r>
    </w:p>
    <w:p w14:paraId="446DCC5D" w14:textId="77777777" w:rsidR="00313DEB" w:rsidRDefault="00313DEB" w:rsidP="00895880">
      <w:pPr>
        <w:pStyle w:val="Paragraphedeliste"/>
        <w:rPr>
          <w:rFonts w:cs="Arial"/>
          <w:lang w:val="en-CA"/>
        </w:rPr>
      </w:pPr>
    </w:p>
    <w:p w14:paraId="4345EDCB" w14:textId="77777777" w:rsidR="00313DEB" w:rsidRDefault="00313DEB" w:rsidP="00313DEB">
      <w:pPr>
        <w:pStyle w:val="Paragraphedeliste"/>
        <w:numPr>
          <w:ilvl w:val="0"/>
          <w:numId w:val="40"/>
        </w:numPr>
        <w:contextualSpacing/>
        <w:jc w:val="both"/>
        <w:rPr>
          <w:rFonts w:cs="Arial"/>
          <w:lang w:val="en-CA"/>
        </w:rPr>
      </w:pPr>
      <w:r>
        <w:rPr>
          <w:rFonts w:cs="Arial"/>
          <w:lang w:val="en-CA"/>
        </w:rPr>
        <w:t xml:space="preserve">Prior to filing an application to terminate the Agreement, the Prosecutor shall give the Organizations a written notice providing sufficient details of the alleged breach and specifically identifying the terms breached by the Organizations so as to allow them, within </w:t>
      </w:r>
      <w:r>
        <w:rPr>
          <w:rFonts w:cs="Arial"/>
          <w:b/>
          <w:lang w:val="en-CA"/>
        </w:rPr>
        <w:t xml:space="preserve">thirty (30) days </w:t>
      </w:r>
      <w:r>
        <w:rPr>
          <w:rFonts w:cs="Arial"/>
          <w:lang w:val="en-CA"/>
        </w:rPr>
        <w:t>following receipt of such written notice, to explain the circumstances of the alleged breach and to propose, where applicable, a corrective measures plan to remedy the breach.</w:t>
      </w:r>
    </w:p>
    <w:p w14:paraId="6CC04EB3" w14:textId="77777777" w:rsidR="00313DEB" w:rsidRDefault="00313DEB" w:rsidP="00895880">
      <w:pPr>
        <w:pStyle w:val="Paragraphedeliste"/>
        <w:rPr>
          <w:rFonts w:cs="Arial"/>
          <w:lang w:val="en-CA"/>
        </w:rPr>
      </w:pPr>
    </w:p>
    <w:p w14:paraId="28980D95" w14:textId="77777777" w:rsidR="00313DEB" w:rsidRDefault="00313DEB" w:rsidP="00313DEB">
      <w:pPr>
        <w:pStyle w:val="Paragraphedeliste"/>
        <w:numPr>
          <w:ilvl w:val="0"/>
          <w:numId w:val="40"/>
        </w:numPr>
        <w:contextualSpacing/>
        <w:jc w:val="both"/>
        <w:rPr>
          <w:rFonts w:cs="Arial"/>
          <w:lang w:val="en-CA"/>
        </w:rPr>
      </w:pPr>
      <w:r>
        <w:rPr>
          <w:rFonts w:cs="Arial"/>
          <w:lang w:val="en-CA"/>
        </w:rPr>
        <w:t xml:space="preserve"> If the terms hereof are met throughout the Agreement’s Effective Period, the Prosecutor shall file a written application, as soon as practicable following expiry of the Agreement, requesting that the Court issue an order declaring that the terms </w:t>
      </w:r>
      <w:r>
        <w:rPr>
          <w:rFonts w:cs="Arial"/>
          <w:lang w:val="en-CA"/>
        </w:rPr>
        <w:lastRenderedPageBreak/>
        <w:t>of the Agreement were met, resulting in the immediate stay of the proceedings against the Organizations, in which case they shall be deemed never to have been commenced against the Organizations for the Alleged Offences [715.4 Cr. C.].</w:t>
      </w:r>
    </w:p>
    <w:p w14:paraId="6C4DDDF9" w14:textId="77777777" w:rsidR="00313DEB" w:rsidRDefault="00313DEB" w:rsidP="00895880">
      <w:pPr>
        <w:pStyle w:val="Paragraphedeliste"/>
        <w:rPr>
          <w:rFonts w:cs="Arial"/>
          <w:lang w:val="en-CA"/>
        </w:rPr>
      </w:pPr>
    </w:p>
    <w:p w14:paraId="0249994A" w14:textId="77777777" w:rsidR="00313DEB" w:rsidRDefault="00313DEB" w:rsidP="00313DEB">
      <w:pPr>
        <w:pStyle w:val="Paragraphedeliste"/>
        <w:numPr>
          <w:ilvl w:val="0"/>
          <w:numId w:val="40"/>
        </w:numPr>
        <w:contextualSpacing/>
        <w:jc w:val="both"/>
        <w:rPr>
          <w:rFonts w:cs="Arial"/>
          <w:lang w:val="en-CA"/>
        </w:rPr>
      </w:pPr>
      <w:r>
        <w:rPr>
          <w:rFonts w:cs="Arial"/>
          <w:lang w:val="en-CA"/>
        </w:rPr>
        <w:t>At all times throughout the Agreement’s Effective Period, the Organizations undertake to inform the Prosecutor as soon as practicable should any of them file proceedings to liquidate, whether or not voluntarily, in which case they shall first pay the balance of expenses payable under Chapter IV of the Agreement.</w:t>
      </w:r>
    </w:p>
    <w:p w14:paraId="5C8A5ADD" w14:textId="77777777" w:rsidR="00313DEB" w:rsidRDefault="00313DEB" w:rsidP="00895880">
      <w:pPr>
        <w:pStyle w:val="Paragraphedeliste"/>
        <w:rPr>
          <w:rFonts w:cs="Arial"/>
          <w:lang w:val="en-CA"/>
        </w:rPr>
      </w:pPr>
    </w:p>
    <w:p w14:paraId="42CCA5DB" w14:textId="77777777" w:rsidR="00313DEB" w:rsidRDefault="00313DEB" w:rsidP="00313DEB">
      <w:pPr>
        <w:pStyle w:val="Paragraphedeliste"/>
        <w:numPr>
          <w:ilvl w:val="0"/>
          <w:numId w:val="40"/>
        </w:numPr>
        <w:contextualSpacing/>
        <w:jc w:val="both"/>
        <w:rPr>
          <w:rFonts w:cs="Arial"/>
          <w:lang w:val="en-CA"/>
        </w:rPr>
      </w:pPr>
      <w:bookmarkStart w:id="37" w:name="lt_pId154"/>
      <w:r>
        <w:rPr>
          <w:rFonts w:cs="Arial"/>
          <w:lang w:val="en-CA"/>
        </w:rPr>
        <w:t>The terms, conditions, and obligations of this Agreement, as they relate to the Organizations, shall survive a reorganization of the Organizations' corporate structure and be fully binding upon any organization which is a successor in interest or an assignee to all or substantially all of the assets of the Organizations or shares of SNCLG, except to the extent that such successor or assignee is not controlled by, has no control over or is not under common control with SNCLG or any of its affiliates, in which case the terms, conditions, and obligations of this Agreement shall cease to apply to the relevant assets or shares.</w:t>
      </w:r>
      <w:bookmarkEnd w:id="37"/>
      <w:r>
        <w:rPr>
          <w:rFonts w:cs="Arial"/>
          <w:lang w:val="en-CA"/>
        </w:rPr>
        <w:t xml:space="preserve"> </w:t>
      </w:r>
    </w:p>
    <w:p w14:paraId="40039DAC" w14:textId="77777777" w:rsidR="00313DEB" w:rsidRDefault="00313DEB" w:rsidP="00895880">
      <w:pPr>
        <w:rPr>
          <w:rFonts w:cs="Arial"/>
          <w:lang w:val="en-CA"/>
        </w:rPr>
      </w:pPr>
    </w:p>
    <w:p w14:paraId="65C4A487" w14:textId="77777777" w:rsidR="00313DEB" w:rsidRDefault="00313DEB" w:rsidP="00313DEB">
      <w:pPr>
        <w:pStyle w:val="Titre1"/>
        <w:numPr>
          <w:ilvl w:val="0"/>
          <w:numId w:val="39"/>
        </w:numPr>
        <w:spacing w:before="0" w:after="0"/>
        <w:rPr>
          <w:rFonts w:cs="Arial"/>
          <w:b w:val="0"/>
          <w:sz w:val="22"/>
          <w:szCs w:val="22"/>
          <w:lang w:val="en-CA"/>
        </w:rPr>
      </w:pPr>
      <w:r>
        <w:rPr>
          <w:rFonts w:cs="Arial"/>
          <w:sz w:val="22"/>
          <w:szCs w:val="22"/>
          <w:lang w:val="en-CA"/>
        </w:rPr>
        <w:t>FINAL PROVISIONS</w:t>
      </w:r>
    </w:p>
    <w:p w14:paraId="43E8AF1A" w14:textId="77777777" w:rsidR="00313DEB" w:rsidRDefault="00313DEB" w:rsidP="00895880">
      <w:pPr>
        <w:rPr>
          <w:lang w:val="en-CA"/>
        </w:rPr>
      </w:pPr>
    </w:p>
    <w:p w14:paraId="50924D0A" w14:textId="77777777" w:rsidR="00313DEB" w:rsidRDefault="00313DEB" w:rsidP="00313DEB">
      <w:pPr>
        <w:pStyle w:val="Paragraphedeliste"/>
        <w:numPr>
          <w:ilvl w:val="0"/>
          <w:numId w:val="40"/>
        </w:numPr>
        <w:contextualSpacing/>
        <w:jc w:val="both"/>
        <w:rPr>
          <w:rFonts w:cs="Arial"/>
          <w:lang w:val="en-CA"/>
        </w:rPr>
      </w:pPr>
      <w:r>
        <w:rPr>
          <w:rFonts w:cs="Arial"/>
          <w:lang w:val="en-CA"/>
        </w:rPr>
        <w:t xml:space="preserve">The Agreement consists of this Agreement and its </w:t>
      </w:r>
      <w:r>
        <w:rPr>
          <w:rFonts w:cs="Arial"/>
          <w:b/>
          <w:lang w:val="en-CA"/>
        </w:rPr>
        <w:t>Schedule A</w:t>
      </w:r>
      <w:r>
        <w:rPr>
          <w:rFonts w:cs="Arial"/>
          <w:lang w:val="en-CA"/>
        </w:rPr>
        <w:t xml:space="preserve"> [</w:t>
      </w:r>
      <w:r>
        <w:rPr>
          <w:rFonts w:cs="Arial"/>
          <w:smallCaps/>
          <w:lang w:val="en-CA"/>
        </w:rPr>
        <w:t>translation</w:t>
      </w:r>
      <w:r>
        <w:rPr>
          <w:rFonts w:cs="Arial"/>
          <w:lang w:val="en-CA"/>
        </w:rPr>
        <w:t xml:space="preserve">] “Alleged Offences”, </w:t>
      </w:r>
      <w:r>
        <w:rPr>
          <w:rFonts w:cs="Arial"/>
          <w:b/>
          <w:lang w:val="en-CA"/>
        </w:rPr>
        <w:t>Schedule B</w:t>
      </w:r>
      <w:r>
        <w:rPr>
          <w:rFonts w:cs="Arial"/>
          <w:lang w:val="en-CA"/>
        </w:rPr>
        <w:t xml:space="preserve"> [</w:t>
      </w:r>
      <w:r>
        <w:rPr>
          <w:rFonts w:cs="Arial"/>
          <w:smallCaps/>
          <w:lang w:val="en-CA"/>
        </w:rPr>
        <w:t>translation</w:t>
      </w:r>
      <w:r>
        <w:rPr>
          <w:rFonts w:cs="Arial"/>
          <w:lang w:val="en-CA"/>
        </w:rPr>
        <w:t xml:space="preserve">] “Statement of Facts” and </w:t>
      </w:r>
      <w:r>
        <w:rPr>
          <w:rFonts w:cs="Arial"/>
          <w:b/>
          <w:lang w:val="en-CA"/>
        </w:rPr>
        <w:t>Schedule C</w:t>
      </w:r>
      <w:r>
        <w:rPr>
          <w:rFonts w:cs="Arial"/>
          <w:lang w:val="en-CA"/>
        </w:rPr>
        <w:t xml:space="preserve"> [</w:t>
      </w:r>
      <w:r>
        <w:rPr>
          <w:rFonts w:cs="Arial"/>
          <w:smallCaps/>
          <w:lang w:val="en-CA"/>
        </w:rPr>
        <w:t>translation</w:t>
      </w:r>
      <w:r>
        <w:rPr>
          <w:rFonts w:cs="Arial"/>
          <w:lang w:val="en-CA"/>
        </w:rPr>
        <w:t xml:space="preserve">] “Reports Calendar”, </w:t>
      </w:r>
      <w:r w:rsidRPr="00542BA1">
        <w:rPr>
          <w:rFonts w:cs="Arial"/>
          <w:lang w:val="en-CA"/>
        </w:rPr>
        <w:t>*</w:t>
      </w:r>
      <w:r w:rsidRPr="00542BA1">
        <w:rPr>
          <w:rFonts w:cs="Arial"/>
          <w:b/>
          <w:lang w:val="en-CA"/>
        </w:rPr>
        <w:t>Schedule D</w:t>
      </w:r>
      <w:r w:rsidRPr="00542BA1">
        <w:rPr>
          <w:rFonts w:cs="Arial"/>
          <w:lang w:val="en-CA"/>
        </w:rPr>
        <w:t xml:space="preserve"> [</w:t>
      </w:r>
      <w:r w:rsidRPr="00542BA1">
        <w:rPr>
          <w:rFonts w:cs="Arial"/>
          <w:smallCaps/>
          <w:lang w:val="en-CA"/>
        </w:rPr>
        <w:t>translation</w:t>
      </w:r>
      <w:r w:rsidRPr="00542BA1">
        <w:rPr>
          <w:rFonts w:cs="Arial"/>
          <w:lang w:val="en-CA"/>
        </w:rPr>
        <w:t xml:space="preserve">] “Methods of Payments” and no modification, amendment or addition shall be valid without the Court’s approval in accordance with section </w:t>
      </w:r>
      <w:r>
        <w:rPr>
          <w:rFonts w:cs="Arial"/>
          <w:lang w:val="en-CA"/>
        </w:rPr>
        <w:t xml:space="preserve">715.38 of the </w:t>
      </w:r>
      <w:r>
        <w:rPr>
          <w:rFonts w:cs="Arial"/>
          <w:i/>
          <w:lang w:val="en-CA"/>
        </w:rPr>
        <w:t>Criminal Code</w:t>
      </w:r>
      <w:r>
        <w:rPr>
          <w:rFonts w:cs="Arial"/>
          <w:lang w:val="en-CA"/>
        </w:rPr>
        <w:t>.</w:t>
      </w:r>
    </w:p>
    <w:p w14:paraId="17A2553F" w14:textId="77777777" w:rsidR="00313DEB" w:rsidRDefault="00313DEB" w:rsidP="00895880">
      <w:pPr>
        <w:pStyle w:val="Paragraphedeliste"/>
        <w:jc w:val="both"/>
        <w:rPr>
          <w:rFonts w:cs="Arial"/>
          <w:lang w:val="en-CA"/>
        </w:rPr>
      </w:pPr>
    </w:p>
    <w:p w14:paraId="49AD18D8" w14:textId="77777777" w:rsidR="00313DEB" w:rsidRDefault="00313DEB" w:rsidP="00313DEB">
      <w:pPr>
        <w:pStyle w:val="Paragraphedeliste"/>
        <w:numPr>
          <w:ilvl w:val="0"/>
          <w:numId w:val="40"/>
        </w:numPr>
        <w:contextualSpacing/>
        <w:jc w:val="both"/>
        <w:rPr>
          <w:rFonts w:cs="Arial"/>
          <w:lang w:val="en-CA"/>
        </w:rPr>
      </w:pPr>
      <w:bookmarkStart w:id="38" w:name="lt_pId157"/>
      <w:r>
        <w:rPr>
          <w:rFonts w:cs="Arial"/>
          <w:lang w:val="en-CA"/>
        </w:rPr>
        <w:t>The signatory of the Organizations is fully authorized by resolution of their Board of Directors to execute this Agreement and represents that he or she has the authority to bind the Organizations.</w:t>
      </w:r>
      <w:bookmarkEnd w:id="38"/>
    </w:p>
    <w:p w14:paraId="109EF0D6" w14:textId="77777777" w:rsidR="00313DEB" w:rsidRDefault="00313DEB" w:rsidP="00895880">
      <w:pPr>
        <w:pStyle w:val="Paragraphedeliste"/>
        <w:rPr>
          <w:rFonts w:cs="Arial"/>
          <w:lang w:val="en-CA"/>
        </w:rPr>
      </w:pPr>
    </w:p>
    <w:p w14:paraId="3C89F777" w14:textId="77777777" w:rsidR="00313DEB" w:rsidRDefault="00313DEB" w:rsidP="00313DEB">
      <w:pPr>
        <w:pStyle w:val="Paragraphedeliste"/>
        <w:numPr>
          <w:ilvl w:val="0"/>
          <w:numId w:val="40"/>
        </w:numPr>
        <w:contextualSpacing/>
        <w:jc w:val="both"/>
        <w:rPr>
          <w:rFonts w:cs="Arial"/>
          <w:lang w:val="en-CA"/>
        </w:rPr>
      </w:pPr>
      <w:bookmarkStart w:id="39" w:name="lt_pId158"/>
      <w:r>
        <w:rPr>
          <w:rFonts w:cs="Arial"/>
          <w:lang w:val="en-CA"/>
        </w:rPr>
        <w:t>Any notices or information required hereunder shall be in writing and delivered by electronic mail with receipt or sent by registered mail, postage paid, as follows:</w:t>
      </w:r>
      <w:bookmarkEnd w:id="39"/>
      <w:r>
        <w:rPr>
          <w:rFonts w:cs="Arial"/>
          <w:lang w:val="en-CA"/>
        </w:rPr>
        <w:t xml:space="preserve"> </w:t>
      </w:r>
    </w:p>
    <w:p w14:paraId="13E77324" w14:textId="77777777" w:rsidR="00313DEB" w:rsidRDefault="00313DEB" w:rsidP="00895880">
      <w:pPr>
        <w:rPr>
          <w:rFonts w:cs="Arial"/>
          <w:lang w:val="en-CA"/>
        </w:rPr>
      </w:pPr>
    </w:p>
    <w:p w14:paraId="3138D690" w14:textId="77777777" w:rsidR="00313DEB" w:rsidRDefault="00313DEB" w:rsidP="00895880">
      <w:pPr>
        <w:ind w:left="1416"/>
        <w:rPr>
          <w:rFonts w:cs="Arial"/>
          <w:lang w:val="en-CA"/>
        </w:rPr>
      </w:pPr>
      <w:r>
        <w:rPr>
          <w:rFonts w:cs="Arial"/>
          <w:lang w:val="en-CA"/>
        </w:rPr>
        <w:t>If the recipient is the Prosecutor:</w:t>
      </w:r>
    </w:p>
    <w:p w14:paraId="6C8C2BC6" w14:textId="77777777" w:rsidR="00313DEB" w:rsidRDefault="00313DEB" w:rsidP="00895880">
      <w:pPr>
        <w:ind w:left="1416"/>
        <w:rPr>
          <w:rFonts w:cs="Arial"/>
          <w:lang w:val="en-CA"/>
        </w:rPr>
      </w:pPr>
    </w:p>
    <w:p w14:paraId="5878467C" w14:textId="77777777" w:rsidR="00313DEB" w:rsidRDefault="00313DEB" w:rsidP="00895880">
      <w:pPr>
        <w:ind w:left="1416"/>
        <w:rPr>
          <w:rFonts w:cs="Arial"/>
        </w:rPr>
      </w:pPr>
      <w:r>
        <w:rPr>
          <w:rFonts w:cs="Arial"/>
        </w:rPr>
        <w:t>To the attention of: Directeur des poursuites criminelles et pénales</w:t>
      </w:r>
      <w:r>
        <w:rPr>
          <w:rFonts w:cs="Arial"/>
        </w:rPr>
        <w:br/>
        <w:t>Bureau de la grande criminalité et des affaires spéciales</w:t>
      </w:r>
      <w:r>
        <w:rPr>
          <w:rFonts w:cs="Arial"/>
        </w:rPr>
        <w:br/>
        <w:t>393 St-Jacques Street, Suite 600</w:t>
      </w:r>
      <w:r>
        <w:rPr>
          <w:rFonts w:cs="Arial"/>
        </w:rPr>
        <w:br/>
        <w:t>Montréal, Québec  H2Y 1N9</w:t>
      </w:r>
      <w:r>
        <w:rPr>
          <w:rFonts w:cs="Arial"/>
        </w:rPr>
        <w:br/>
        <w:t>Fax: 514 904-4130</w:t>
      </w:r>
    </w:p>
    <w:p w14:paraId="1934F11F" w14:textId="77777777" w:rsidR="00313DEB" w:rsidRPr="00542BA1" w:rsidRDefault="00285AD8" w:rsidP="00895880">
      <w:pPr>
        <w:ind w:left="1416"/>
        <w:rPr>
          <w:rFonts w:cs="Arial"/>
        </w:rPr>
      </w:pPr>
      <w:hyperlink r:id="rId14" w:history="1">
        <w:r w:rsidR="00313DEB" w:rsidRPr="00542BA1">
          <w:rPr>
            <w:rStyle w:val="Lienhypertexte"/>
            <w:rFonts w:cs="Arial"/>
          </w:rPr>
          <w:t>patrice.peltier-rivest@dpcp.gouv.qc.ca</w:t>
        </w:r>
      </w:hyperlink>
    </w:p>
    <w:p w14:paraId="1F12DF39" w14:textId="77777777" w:rsidR="00313DEB" w:rsidRPr="00542BA1" w:rsidRDefault="00285AD8" w:rsidP="00895880">
      <w:pPr>
        <w:ind w:left="1416"/>
        <w:rPr>
          <w:rFonts w:cs="Arial"/>
        </w:rPr>
      </w:pPr>
      <w:hyperlink r:id="rId15" w:history="1">
        <w:r w:rsidR="00313DEB" w:rsidRPr="00542BA1">
          <w:rPr>
            <w:rStyle w:val="Lienhypertexte"/>
            <w:rFonts w:cs="Arial"/>
          </w:rPr>
          <w:t>francis.pilotte@dpcp.gouv.qc.ca</w:t>
        </w:r>
      </w:hyperlink>
    </w:p>
    <w:p w14:paraId="320A4096" w14:textId="77777777" w:rsidR="00313DEB" w:rsidRPr="00542BA1" w:rsidRDefault="00313DEB" w:rsidP="00895880">
      <w:pPr>
        <w:ind w:left="1416"/>
        <w:rPr>
          <w:rFonts w:cs="Arial"/>
        </w:rPr>
      </w:pPr>
    </w:p>
    <w:p w14:paraId="4E5C7AC8" w14:textId="77777777" w:rsidR="00313DEB" w:rsidRDefault="00313DEB" w:rsidP="00895880">
      <w:pPr>
        <w:ind w:left="1416"/>
        <w:rPr>
          <w:rFonts w:cs="Arial"/>
          <w:lang w:val="en-CA"/>
        </w:rPr>
      </w:pPr>
      <w:r>
        <w:rPr>
          <w:rFonts w:cs="Arial"/>
          <w:lang w:val="en-CA"/>
        </w:rPr>
        <w:t>If the recipients are the Organizations:</w:t>
      </w:r>
    </w:p>
    <w:p w14:paraId="4CDF1EA7" w14:textId="77777777" w:rsidR="00313DEB" w:rsidRDefault="00313DEB" w:rsidP="00895880">
      <w:pPr>
        <w:ind w:left="1416"/>
        <w:rPr>
          <w:rFonts w:cs="Arial"/>
          <w:lang w:val="en-CA"/>
        </w:rPr>
      </w:pPr>
    </w:p>
    <w:p w14:paraId="26A7B7E6" w14:textId="77777777" w:rsidR="00313DEB" w:rsidRPr="00542BA1" w:rsidRDefault="00313DEB" w:rsidP="00895880">
      <w:pPr>
        <w:ind w:left="1416"/>
        <w:rPr>
          <w:rFonts w:cs="Arial"/>
          <w:lang w:val="en-CA"/>
        </w:rPr>
      </w:pPr>
      <w:r>
        <w:rPr>
          <w:rFonts w:cs="Arial"/>
          <w:lang w:val="en-CA"/>
        </w:rPr>
        <w:lastRenderedPageBreak/>
        <w:t>To the attention of: The Office of the General Counsel</w:t>
      </w:r>
      <w:r>
        <w:rPr>
          <w:rFonts w:cs="Arial"/>
          <w:lang w:val="en-CA"/>
        </w:rPr>
        <w:br/>
        <w:t>SNC-Lavalin Group Inc.</w:t>
      </w:r>
      <w:r>
        <w:rPr>
          <w:rFonts w:cs="Arial"/>
          <w:lang w:val="en-CA"/>
        </w:rPr>
        <w:br/>
        <w:t>455 René-Lévesque Blvd. West</w:t>
      </w:r>
      <w:r>
        <w:rPr>
          <w:rFonts w:cs="Arial"/>
          <w:lang w:val="en-CA"/>
        </w:rPr>
        <w:br/>
        <w:t>Montréal, Québec  H2Z 1Z3</w:t>
      </w:r>
      <w:r>
        <w:rPr>
          <w:rFonts w:cs="Arial"/>
          <w:lang w:val="en-CA"/>
        </w:rPr>
        <w:br/>
        <w:t xml:space="preserve">Fax: </w:t>
      </w:r>
      <w:r w:rsidRPr="00542BA1">
        <w:rPr>
          <w:rFonts w:cs="Arial"/>
          <w:lang w:val="en-CA"/>
        </w:rPr>
        <w:t>514 866-5057</w:t>
      </w:r>
    </w:p>
    <w:p w14:paraId="0B46B41F" w14:textId="77777777" w:rsidR="00313DEB" w:rsidRPr="00542BA1" w:rsidRDefault="00285AD8" w:rsidP="00895880">
      <w:pPr>
        <w:ind w:left="1416"/>
        <w:rPr>
          <w:rFonts w:cs="Arial"/>
          <w:lang w:val="en-CA"/>
        </w:rPr>
      </w:pPr>
      <w:hyperlink r:id="rId16" w:history="1">
        <w:r w:rsidR="00313DEB" w:rsidRPr="00542BA1">
          <w:rPr>
            <w:rStyle w:val="Lienhypertexte"/>
            <w:rFonts w:cs="Arial"/>
            <w:lang w:val="en-CA"/>
          </w:rPr>
          <w:t>Charlene.Ripley@snclavalin.com</w:t>
        </w:r>
      </w:hyperlink>
      <w:r w:rsidR="00313DEB" w:rsidRPr="00542BA1">
        <w:rPr>
          <w:rFonts w:cs="Arial"/>
          <w:lang w:val="en-CA"/>
        </w:rPr>
        <w:t xml:space="preserve"> </w:t>
      </w:r>
    </w:p>
    <w:p w14:paraId="3278BA44" w14:textId="77777777" w:rsidR="00313DEB" w:rsidRPr="00542BA1" w:rsidRDefault="00313DEB" w:rsidP="00895880">
      <w:pPr>
        <w:ind w:left="1416"/>
        <w:rPr>
          <w:rFonts w:cs="Arial"/>
          <w:lang w:val="en-CA"/>
        </w:rPr>
      </w:pPr>
    </w:p>
    <w:p w14:paraId="5C8E9499" w14:textId="77777777" w:rsidR="00313DEB" w:rsidRPr="00542BA1" w:rsidRDefault="00313DEB" w:rsidP="00895880">
      <w:pPr>
        <w:ind w:left="1416"/>
        <w:rPr>
          <w:rFonts w:cs="Arial"/>
          <w:lang w:val="en-CA"/>
        </w:rPr>
      </w:pPr>
      <w:r w:rsidRPr="00542BA1">
        <w:rPr>
          <w:rFonts w:cs="Arial"/>
          <w:lang w:val="en-CA"/>
        </w:rPr>
        <w:t>With copy to Norton Rose Fulbright Canada, to the attention of</w:t>
      </w:r>
    </w:p>
    <w:p w14:paraId="64E79FE0" w14:textId="77777777" w:rsidR="00313DEB" w:rsidRPr="00542BA1" w:rsidRDefault="00313DEB" w:rsidP="00895880">
      <w:pPr>
        <w:ind w:left="1416"/>
        <w:rPr>
          <w:rFonts w:cs="Arial"/>
        </w:rPr>
      </w:pPr>
      <w:r w:rsidRPr="00542BA1">
        <w:rPr>
          <w:rFonts w:cs="Arial"/>
        </w:rPr>
        <w:t>M</w:t>
      </w:r>
      <w:r w:rsidRPr="00542BA1">
        <w:rPr>
          <w:rFonts w:cs="Arial"/>
          <w:vertAlign w:val="superscript"/>
        </w:rPr>
        <w:t>tre</w:t>
      </w:r>
      <w:r w:rsidRPr="00542BA1">
        <w:rPr>
          <w:rFonts w:cs="Arial"/>
        </w:rPr>
        <w:t xml:space="preserve"> François Fontaine Ad.E. (</w:t>
      </w:r>
      <w:hyperlink r:id="rId17" w:history="1">
        <w:r w:rsidRPr="00542BA1">
          <w:rPr>
            <w:rStyle w:val="Lienhypertexte"/>
            <w:rFonts w:cs="Arial"/>
          </w:rPr>
          <w:t>francois.fontaine@nortonrosefulbright.com</w:t>
        </w:r>
      </w:hyperlink>
      <w:r w:rsidRPr="00542BA1">
        <w:rPr>
          <w:rFonts w:cs="Arial"/>
        </w:rPr>
        <w:t xml:space="preserve">) </w:t>
      </w:r>
    </w:p>
    <w:p w14:paraId="24ED3C9A" w14:textId="77777777" w:rsidR="00313DEB" w:rsidRPr="00542BA1" w:rsidRDefault="00313DEB" w:rsidP="00895880">
      <w:pPr>
        <w:ind w:left="1416"/>
        <w:rPr>
          <w:rFonts w:cs="Arial"/>
        </w:rPr>
      </w:pPr>
    </w:p>
    <w:p w14:paraId="3C3AACD3" w14:textId="77777777" w:rsidR="00313DEB" w:rsidRPr="00542BA1" w:rsidRDefault="00313DEB" w:rsidP="00895880">
      <w:pPr>
        <w:ind w:left="1416"/>
        <w:rPr>
          <w:rFonts w:cs="Arial"/>
          <w:lang w:val="en-CA"/>
        </w:rPr>
      </w:pPr>
      <w:r w:rsidRPr="00542BA1">
        <w:rPr>
          <w:rFonts w:cs="Arial"/>
          <w:lang w:val="en-CA"/>
        </w:rPr>
        <w:t>If the recipient is the Independent Monitor:</w:t>
      </w:r>
    </w:p>
    <w:p w14:paraId="3204DC11" w14:textId="77777777" w:rsidR="00313DEB" w:rsidRPr="00542BA1" w:rsidRDefault="00313DEB" w:rsidP="00895880">
      <w:pPr>
        <w:ind w:left="1416"/>
        <w:rPr>
          <w:rFonts w:cs="Arial"/>
          <w:lang w:val="en-CA"/>
        </w:rPr>
      </w:pPr>
    </w:p>
    <w:p w14:paraId="7F7B419A" w14:textId="77777777" w:rsidR="00313DEB" w:rsidRPr="00542BA1" w:rsidRDefault="00313DEB" w:rsidP="00895880">
      <w:pPr>
        <w:ind w:left="1416"/>
        <w:rPr>
          <w:rFonts w:cs="Arial"/>
          <w:lang w:val="en-CA"/>
        </w:rPr>
      </w:pPr>
      <w:r w:rsidRPr="00542BA1">
        <w:rPr>
          <w:rFonts w:cs="Arial"/>
          <w:lang w:val="en-CA"/>
        </w:rPr>
        <w:t>To the attention of: M</w:t>
      </w:r>
      <w:r w:rsidRPr="00542BA1">
        <w:rPr>
          <w:rFonts w:cs="Arial"/>
          <w:vertAlign w:val="superscript"/>
          <w:lang w:val="en-CA"/>
        </w:rPr>
        <w:t>tres</w:t>
      </w:r>
      <w:r w:rsidRPr="00542BA1">
        <w:rPr>
          <w:rFonts w:cs="Arial"/>
          <w:lang w:val="en-CA"/>
        </w:rPr>
        <w:t xml:space="preserve"> Mark Morisson and Simon Seida</w:t>
      </w:r>
      <w:r w:rsidRPr="00542BA1">
        <w:rPr>
          <w:rFonts w:cs="Arial"/>
          <w:lang w:val="en-CA"/>
        </w:rPr>
        <w:br/>
      </w:r>
      <w:r w:rsidRPr="00542BA1">
        <w:rPr>
          <w:rFonts w:cs="Arial"/>
          <w:bCs/>
          <w:lang w:val="en-CA"/>
        </w:rPr>
        <w:t>Blake</w:t>
      </w:r>
      <w:r w:rsidRPr="00542BA1">
        <w:rPr>
          <w:rFonts w:cs="Arial"/>
          <w:lang w:val="en-CA"/>
        </w:rPr>
        <w:t>, </w:t>
      </w:r>
      <w:r w:rsidRPr="00542BA1">
        <w:rPr>
          <w:rFonts w:cs="Arial"/>
          <w:bCs/>
          <w:lang w:val="en-CA"/>
        </w:rPr>
        <w:t>Cassels &amp; Graydon LLP</w:t>
      </w:r>
      <w:r w:rsidRPr="00542BA1">
        <w:rPr>
          <w:rFonts w:cs="Arial"/>
          <w:lang w:val="en-CA"/>
        </w:rPr>
        <w:br/>
        <w:t>1 Place Ville Marie, Suite 3000</w:t>
      </w:r>
      <w:r w:rsidRPr="00542BA1">
        <w:rPr>
          <w:rFonts w:cs="Arial"/>
          <w:lang w:val="en-CA"/>
        </w:rPr>
        <w:br/>
        <w:t>Montréal, Québec  H3B 4N8</w:t>
      </w:r>
    </w:p>
    <w:p w14:paraId="3690B173" w14:textId="77777777" w:rsidR="00313DEB" w:rsidRPr="00542BA1" w:rsidRDefault="00313DEB" w:rsidP="00895880">
      <w:pPr>
        <w:ind w:left="1416"/>
        <w:rPr>
          <w:rFonts w:cs="Arial"/>
        </w:rPr>
      </w:pPr>
      <w:r w:rsidRPr="00542BA1">
        <w:rPr>
          <w:rFonts w:cs="Arial"/>
        </w:rPr>
        <w:t xml:space="preserve">Fax: </w:t>
      </w:r>
      <w:hyperlink r:id="rId18" w:tooltip="Envoyer une télécopie à Blakes Montréal" w:history="1">
        <w:r w:rsidRPr="00542BA1">
          <w:rPr>
            <w:rStyle w:val="Lienhypertexte"/>
            <w:rFonts w:cs="Arial"/>
          </w:rPr>
          <w:t> 514 982-4099</w:t>
        </w:r>
      </w:hyperlink>
    </w:p>
    <w:p w14:paraId="67F45008" w14:textId="77777777" w:rsidR="00313DEB" w:rsidRPr="00542BA1" w:rsidRDefault="00285AD8" w:rsidP="00895880">
      <w:pPr>
        <w:ind w:left="1416"/>
        <w:rPr>
          <w:rFonts w:cs="Arial"/>
        </w:rPr>
      </w:pPr>
      <w:hyperlink r:id="rId19" w:history="1">
        <w:r w:rsidR="00313DEB" w:rsidRPr="00542BA1">
          <w:rPr>
            <w:rStyle w:val="Lienhypertexte"/>
            <w:rFonts w:cs="Arial"/>
          </w:rPr>
          <w:t>mark.morrison@blakes.com</w:t>
        </w:r>
      </w:hyperlink>
    </w:p>
    <w:p w14:paraId="22AF3925" w14:textId="77777777" w:rsidR="00313DEB" w:rsidRPr="00542BA1" w:rsidRDefault="00285AD8" w:rsidP="00895880">
      <w:pPr>
        <w:ind w:left="1416"/>
        <w:rPr>
          <w:rFonts w:cs="Arial"/>
        </w:rPr>
      </w:pPr>
      <w:hyperlink r:id="rId20" w:history="1">
        <w:r w:rsidR="00313DEB" w:rsidRPr="00542BA1">
          <w:rPr>
            <w:rStyle w:val="Lienhypertexte"/>
            <w:rFonts w:cs="Arial"/>
          </w:rPr>
          <w:t>simon.seida@blakes.com</w:t>
        </w:r>
      </w:hyperlink>
      <w:r w:rsidR="00313DEB" w:rsidRPr="00542BA1">
        <w:rPr>
          <w:rFonts w:cs="Arial"/>
        </w:rPr>
        <w:t xml:space="preserve"> </w:t>
      </w:r>
    </w:p>
    <w:p w14:paraId="37300C0B" w14:textId="77777777" w:rsidR="00313DEB" w:rsidRPr="00542BA1" w:rsidRDefault="00313DEB" w:rsidP="00895880">
      <w:pPr>
        <w:ind w:left="1416"/>
        <w:rPr>
          <w:rFonts w:cs="Arial"/>
        </w:rPr>
      </w:pPr>
    </w:p>
    <w:p w14:paraId="494AE666" w14:textId="77777777" w:rsidR="00313DEB" w:rsidRPr="00542BA1" w:rsidRDefault="00313DEB" w:rsidP="00895880">
      <w:pPr>
        <w:ind w:left="1416"/>
        <w:rPr>
          <w:rFonts w:cs="Arial"/>
          <w:lang w:val="en-CA"/>
        </w:rPr>
      </w:pPr>
      <w:r w:rsidRPr="00542BA1">
        <w:rPr>
          <w:rFonts w:cs="Arial"/>
          <w:lang w:val="en-CA"/>
        </w:rPr>
        <w:t>If the recipient is the Royal Canadian Mounted Police:</w:t>
      </w:r>
    </w:p>
    <w:p w14:paraId="5975C02E" w14:textId="77777777" w:rsidR="00313DEB" w:rsidRPr="00542BA1" w:rsidRDefault="00313DEB" w:rsidP="00895880">
      <w:pPr>
        <w:ind w:left="1416"/>
        <w:rPr>
          <w:rFonts w:cs="Arial"/>
          <w:lang w:val="en-CA"/>
        </w:rPr>
      </w:pPr>
    </w:p>
    <w:p w14:paraId="155A787C" w14:textId="77777777" w:rsidR="00313DEB" w:rsidRPr="00542BA1" w:rsidRDefault="00313DEB" w:rsidP="00895880">
      <w:pPr>
        <w:ind w:left="1416"/>
        <w:rPr>
          <w:rFonts w:cs="Arial"/>
          <w:lang w:val="en-CA"/>
        </w:rPr>
      </w:pPr>
      <w:r w:rsidRPr="00542BA1">
        <w:rPr>
          <w:rFonts w:cs="Arial"/>
          <w:lang w:val="en-CA"/>
        </w:rPr>
        <w:t xml:space="preserve">To the attention of: Royal Canadian Mounted Police  </w:t>
      </w:r>
    </w:p>
    <w:p w14:paraId="4ACCE35F" w14:textId="77777777" w:rsidR="00313DEB" w:rsidRPr="00542BA1" w:rsidRDefault="00313DEB" w:rsidP="00895880">
      <w:pPr>
        <w:ind w:left="1416"/>
        <w:rPr>
          <w:rFonts w:cs="Arial"/>
          <w:lang w:val="en-CA"/>
        </w:rPr>
      </w:pPr>
      <w:r w:rsidRPr="00542BA1">
        <w:rPr>
          <w:rFonts w:cs="Arial"/>
          <w:lang w:val="en-CA"/>
        </w:rPr>
        <w:t xml:space="preserve">Sensitive and International Investigation Team – International Corruption </w:t>
      </w:r>
      <w:r w:rsidRPr="00542BA1">
        <w:rPr>
          <w:rFonts w:cs="Arial"/>
          <w:lang w:val="en-CA"/>
        </w:rPr>
        <w:br/>
        <w:t>155 McArthur Avenue</w:t>
      </w:r>
      <w:r w:rsidRPr="00542BA1">
        <w:rPr>
          <w:rFonts w:cs="Arial"/>
          <w:lang w:val="en-CA"/>
        </w:rPr>
        <w:br/>
        <w:t xml:space="preserve">Ottawa, Ontario  K1A 0R4 </w:t>
      </w:r>
    </w:p>
    <w:p w14:paraId="313B8170" w14:textId="77777777" w:rsidR="00313DEB" w:rsidRPr="00542BA1" w:rsidRDefault="00285AD8" w:rsidP="00895880">
      <w:pPr>
        <w:ind w:left="1416"/>
        <w:rPr>
          <w:rFonts w:cs="Arial"/>
          <w:lang w:val="en-CA"/>
        </w:rPr>
      </w:pPr>
      <w:hyperlink r:id="rId21" w:history="1">
        <w:r w:rsidR="00313DEB" w:rsidRPr="00542BA1">
          <w:rPr>
            <w:rStyle w:val="Lienhypertexte"/>
            <w:rFonts w:cs="Arial"/>
            <w:lang w:val="en-CA"/>
          </w:rPr>
          <w:t>Guy-Michel.Nkili@rcmp-grc.gc.ca</w:t>
        </w:r>
      </w:hyperlink>
      <w:r w:rsidR="00313DEB" w:rsidRPr="00542BA1">
        <w:rPr>
          <w:rFonts w:cs="Arial"/>
          <w:lang w:val="en-CA"/>
        </w:rPr>
        <w:t xml:space="preserve"> </w:t>
      </w:r>
    </w:p>
    <w:p w14:paraId="52E17BEE" w14:textId="77777777" w:rsidR="00313DEB" w:rsidRDefault="00313DEB" w:rsidP="00895880">
      <w:pPr>
        <w:rPr>
          <w:rFonts w:cs="Arial"/>
          <w:lang w:val="en-CA"/>
        </w:rPr>
      </w:pPr>
    </w:p>
    <w:p w14:paraId="2F5C35EC" w14:textId="77777777" w:rsidR="00313DEB" w:rsidRDefault="00313DEB" w:rsidP="00895880">
      <w:pPr>
        <w:jc w:val="center"/>
        <w:rPr>
          <w:rFonts w:cs="Arial"/>
          <w:lang w:val="en-CA"/>
        </w:rPr>
      </w:pPr>
      <w:r>
        <w:rPr>
          <w:rFonts w:cs="Arial"/>
          <w:lang w:val="en-CA"/>
        </w:rPr>
        <w:t>[</w:t>
      </w:r>
      <w:r>
        <w:rPr>
          <w:rFonts w:cs="Arial"/>
          <w:i/>
          <w:lang w:val="en-CA"/>
        </w:rPr>
        <w:t>Signature page to follow.</w:t>
      </w:r>
      <w:r>
        <w:rPr>
          <w:rFonts w:cs="Arial"/>
          <w:lang w:val="en-CA"/>
        </w:rPr>
        <w:t>]</w:t>
      </w:r>
    </w:p>
    <w:p w14:paraId="7F8D7E1D" w14:textId="77777777" w:rsidR="00313DEB" w:rsidRDefault="00313DEB" w:rsidP="00895880">
      <w:pPr>
        <w:rPr>
          <w:rFonts w:cs="Arial"/>
          <w:lang w:val="en-CA"/>
        </w:rPr>
      </w:pPr>
      <w:r>
        <w:rPr>
          <w:rFonts w:cs="Arial"/>
          <w:lang w:val="en-CA"/>
        </w:rPr>
        <w:br w:type="page"/>
      </w:r>
    </w:p>
    <w:p w14:paraId="3CB804E3" w14:textId="77777777" w:rsidR="00313DEB" w:rsidRDefault="00313DEB" w:rsidP="00895880">
      <w:pPr>
        <w:jc w:val="both"/>
        <w:rPr>
          <w:rFonts w:cs="Arial"/>
          <w:lang w:val="en-CA"/>
        </w:rPr>
      </w:pPr>
    </w:p>
    <w:p w14:paraId="7AA04A0F" w14:textId="77777777" w:rsidR="00313DEB" w:rsidRDefault="00313DEB" w:rsidP="00895880">
      <w:pPr>
        <w:rPr>
          <w:rFonts w:cs="Arial"/>
          <w:lang w:val="en-CA"/>
        </w:rPr>
      </w:pPr>
      <w:r>
        <w:rPr>
          <w:rFonts w:cs="Arial"/>
          <w:lang w:val="en-CA"/>
        </w:rPr>
        <w:t>IN WITNESS WHEREOF, THE PARTIES HAVE SIGNED THIS REMEDIATION AGREEMENT ON THE DATES AND AT THE PLACES INDICATED BELOW:</w:t>
      </w:r>
      <w:r>
        <w:rPr>
          <w:rFonts w:cs="Arial"/>
          <w:lang w:val="en-CA"/>
        </w:rPr>
        <w:br/>
      </w:r>
    </w:p>
    <w:tbl>
      <w:tblPr>
        <w:tblW w:w="8789" w:type="dxa"/>
        <w:tblLook w:val="04A0" w:firstRow="1" w:lastRow="0" w:firstColumn="1" w:lastColumn="0" w:noHBand="0" w:noVBand="1"/>
      </w:tblPr>
      <w:tblGrid>
        <w:gridCol w:w="683"/>
        <w:gridCol w:w="3429"/>
        <w:gridCol w:w="465"/>
        <w:gridCol w:w="681"/>
        <w:gridCol w:w="3531"/>
      </w:tblGrid>
      <w:tr w:rsidR="00313DEB" w:rsidRPr="00371453" w14:paraId="581AEEF7" w14:textId="77777777" w:rsidTr="00895880">
        <w:trPr>
          <w:trHeight w:val="1363"/>
        </w:trPr>
        <w:tc>
          <w:tcPr>
            <w:tcW w:w="683" w:type="dxa"/>
          </w:tcPr>
          <w:p w14:paraId="72461A3B" w14:textId="77777777" w:rsidR="00313DEB" w:rsidRDefault="00313DEB">
            <w:pPr>
              <w:rPr>
                <w:rFonts w:cs="Arial"/>
                <w:lang w:val="en-CA"/>
              </w:rPr>
            </w:pPr>
          </w:p>
        </w:tc>
        <w:tc>
          <w:tcPr>
            <w:tcW w:w="3429" w:type="dxa"/>
            <w:tcBorders>
              <w:top w:val="nil"/>
              <w:left w:val="nil"/>
              <w:bottom w:val="single" w:sz="4" w:space="0" w:color="auto"/>
              <w:right w:val="nil"/>
            </w:tcBorders>
          </w:tcPr>
          <w:p w14:paraId="06694226" w14:textId="77777777" w:rsidR="00313DEB" w:rsidRDefault="00313DEB">
            <w:pPr>
              <w:rPr>
                <w:rFonts w:cs="Arial"/>
                <w:lang w:val="en-CA"/>
              </w:rPr>
            </w:pPr>
            <w:r>
              <w:rPr>
                <w:rFonts w:cs="Arial"/>
                <w:lang w:val="en-CA"/>
              </w:rPr>
              <w:t>Montréal, this 25</w:t>
            </w:r>
            <w:r>
              <w:rPr>
                <w:rFonts w:cs="Arial"/>
                <w:vertAlign w:val="superscript"/>
                <w:lang w:val="en-CA"/>
              </w:rPr>
              <w:t>th</w:t>
            </w:r>
            <w:r>
              <w:rPr>
                <w:rFonts w:cs="Arial"/>
                <w:lang w:val="en-CA"/>
              </w:rPr>
              <w:t xml:space="preserve"> day of February 2022</w:t>
            </w:r>
          </w:p>
          <w:p w14:paraId="0F1B50E6" w14:textId="77777777" w:rsidR="00313DEB" w:rsidRDefault="00313DEB">
            <w:pPr>
              <w:rPr>
                <w:rFonts w:cs="Arial"/>
                <w:lang w:val="en-CA"/>
              </w:rPr>
            </w:pPr>
          </w:p>
          <w:p w14:paraId="25FB37A9" w14:textId="77777777" w:rsidR="00313DEB" w:rsidRDefault="00313DEB">
            <w:pPr>
              <w:rPr>
                <w:rFonts w:cs="Arial"/>
                <w:lang w:val="en-CA"/>
              </w:rPr>
            </w:pPr>
          </w:p>
          <w:p w14:paraId="31931966" w14:textId="77777777" w:rsidR="00313DEB" w:rsidRDefault="00313DEB">
            <w:pPr>
              <w:rPr>
                <w:rFonts w:cs="Arial"/>
                <w:lang w:val="en-CA"/>
              </w:rPr>
            </w:pPr>
          </w:p>
          <w:p w14:paraId="73423113" w14:textId="77777777" w:rsidR="00313DEB" w:rsidRDefault="00313DEB">
            <w:pPr>
              <w:rPr>
                <w:rFonts w:cs="Arial"/>
                <w:lang w:val="en-CA"/>
              </w:rPr>
            </w:pPr>
          </w:p>
        </w:tc>
        <w:tc>
          <w:tcPr>
            <w:tcW w:w="465" w:type="dxa"/>
          </w:tcPr>
          <w:p w14:paraId="4D6189A2" w14:textId="77777777" w:rsidR="00313DEB" w:rsidRDefault="00313DEB">
            <w:pPr>
              <w:rPr>
                <w:rFonts w:cs="Arial"/>
                <w:lang w:val="en-CA"/>
              </w:rPr>
            </w:pPr>
          </w:p>
        </w:tc>
        <w:tc>
          <w:tcPr>
            <w:tcW w:w="681" w:type="dxa"/>
          </w:tcPr>
          <w:p w14:paraId="31E9DCB3" w14:textId="77777777" w:rsidR="00313DEB" w:rsidRDefault="00313DEB">
            <w:pPr>
              <w:rPr>
                <w:lang w:val="en-CA"/>
              </w:rPr>
            </w:pPr>
          </w:p>
        </w:tc>
        <w:tc>
          <w:tcPr>
            <w:tcW w:w="3531" w:type="dxa"/>
            <w:tcBorders>
              <w:top w:val="nil"/>
              <w:left w:val="nil"/>
              <w:bottom w:val="single" w:sz="4" w:space="0" w:color="auto"/>
              <w:right w:val="nil"/>
            </w:tcBorders>
            <w:hideMark/>
          </w:tcPr>
          <w:p w14:paraId="73C4987D" w14:textId="77777777" w:rsidR="00313DEB" w:rsidRDefault="00313DEB">
            <w:pPr>
              <w:rPr>
                <w:lang w:val="en-CA"/>
              </w:rPr>
            </w:pPr>
            <w:r>
              <w:rPr>
                <w:rFonts w:cs="Arial"/>
                <w:lang w:val="en-CA"/>
              </w:rPr>
              <w:t>Montréal, this 25</w:t>
            </w:r>
            <w:r>
              <w:rPr>
                <w:rFonts w:cs="Arial"/>
                <w:vertAlign w:val="superscript"/>
                <w:lang w:val="en-CA"/>
              </w:rPr>
              <w:t>th</w:t>
            </w:r>
            <w:r>
              <w:rPr>
                <w:rFonts w:cs="Arial"/>
                <w:lang w:val="en-CA"/>
              </w:rPr>
              <w:t xml:space="preserve"> day of February 2022</w:t>
            </w:r>
          </w:p>
        </w:tc>
      </w:tr>
      <w:tr w:rsidR="00313DEB" w:rsidRPr="00371453" w14:paraId="261C7B35" w14:textId="77777777" w:rsidTr="00895880">
        <w:tc>
          <w:tcPr>
            <w:tcW w:w="683" w:type="dxa"/>
            <w:hideMark/>
          </w:tcPr>
          <w:p w14:paraId="1C4E67CD" w14:textId="77777777" w:rsidR="00313DEB" w:rsidRDefault="00313DEB">
            <w:pPr>
              <w:rPr>
                <w:rFonts w:cs="Arial"/>
                <w:lang w:val="en-CA"/>
              </w:rPr>
            </w:pPr>
            <w:r>
              <w:rPr>
                <w:rFonts w:cs="Arial"/>
                <w:lang w:val="en-CA"/>
              </w:rPr>
              <w:t>Per:</w:t>
            </w:r>
          </w:p>
        </w:tc>
        <w:tc>
          <w:tcPr>
            <w:tcW w:w="3429" w:type="dxa"/>
            <w:tcBorders>
              <w:top w:val="single" w:sz="4" w:space="0" w:color="auto"/>
              <w:left w:val="nil"/>
              <w:bottom w:val="nil"/>
              <w:right w:val="nil"/>
            </w:tcBorders>
            <w:hideMark/>
          </w:tcPr>
          <w:p w14:paraId="06F0F6CC" w14:textId="77777777" w:rsidR="00313DEB" w:rsidRDefault="00313DEB">
            <w:pPr>
              <w:rPr>
                <w:rFonts w:cs="Arial"/>
                <w:lang w:val="en-CA"/>
              </w:rPr>
            </w:pPr>
            <w:r>
              <w:rPr>
                <w:rFonts w:cs="Arial"/>
                <w:lang w:val="en-CA"/>
              </w:rPr>
              <w:t>M</w:t>
            </w:r>
            <w:r>
              <w:rPr>
                <w:rFonts w:cs="Arial"/>
                <w:vertAlign w:val="superscript"/>
                <w:lang w:val="en-CA"/>
              </w:rPr>
              <w:t>tre</w:t>
            </w:r>
            <w:r>
              <w:rPr>
                <w:rFonts w:cs="Arial"/>
                <w:lang w:val="en-CA"/>
              </w:rPr>
              <w:t xml:space="preserve"> Charlene Ripley </w:t>
            </w:r>
            <w:r>
              <w:rPr>
                <w:rFonts w:cs="Arial"/>
                <w:lang w:val="en-CA"/>
              </w:rPr>
              <w:br/>
            </w:r>
            <w:bookmarkStart w:id="40" w:name="lt_pId197"/>
            <w:r>
              <w:rPr>
                <w:rFonts w:cs="Arial"/>
                <w:lang w:val="en-CA"/>
              </w:rPr>
              <w:t xml:space="preserve">Executive Vice-President and General Counsel </w:t>
            </w:r>
            <w:bookmarkEnd w:id="40"/>
            <w:r>
              <w:rPr>
                <w:rFonts w:cs="Arial"/>
                <w:lang w:val="en-CA"/>
              </w:rPr>
              <w:br/>
            </w:r>
            <w:bookmarkStart w:id="41" w:name="lt_pId198"/>
            <w:r>
              <w:rPr>
                <w:rFonts w:cs="Arial"/>
                <w:lang w:val="en-CA"/>
              </w:rPr>
              <w:t>Duly authorized representative</w:t>
            </w:r>
            <w:bookmarkEnd w:id="41"/>
            <w:r>
              <w:rPr>
                <w:rFonts w:cs="Arial"/>
                <w:lang w:val="en-CA"/>
              </w:rPr>
              <w:t xml:space="preserve"> of</w:t>
            </w:r>
            <w:r>
              <w:rPr>
                <w:rFonts w:cs="Arial"/>
                <w:lang w:val="en-CA"/>
              </w:rPr>
              <w:br/>
            </w:r>
            <w:bookmarkStart w:id="42" w:name="lt_pId199"/>
            <w:r>
              <w:rPr>
                <w:rFonts w:cs="Arial"/>
                <w:lang w:val="en-CA"/>
              </w:rPr>
              <w:t>SNC-Lavalin Inc.</w:t>
            </w:r>
            <w:bookmarkEnd w:id="42"/>
          </w:p>
        </w:tc>
        <w:tc>
          <w:tcPr>
            <w:tcW w:w="465" w:type="dxa"/>
          </w:tcPr>
          <w:p w14:paraId="6538A2FC" w14:textId="77777777" w:rsidR="00313DEB" w:rsidRDefault="00313DEB">
            <w:pPr>
              <w:spacing w:after="60"/>
              <w:rPr>
                <w:rFonts w:cs="Arial"/>
                <w:lang w:val="en-CA"/>
              </w:rPr>
            </w:pPr>
          </w:p>
        </w:tc>
        <w:tc>
          <w:tcPr>
            <w:tcW w:w="681" w:type="dxa"/>
            <w:hideMark/>
          </w:tcPr>
          <w:p w14:paraId="48D18433" w14:textId="77777777" w:rsidR="00313DEB" w:rsidRDefault="00313DEB">
            <w:pPr>
              <w:rPr>
                <w:lang w:val="en-CA"/>
              </w:rPr>
            </w:pPr>
            <w:r>
              <w:rPr>
                <w:rFonts w:cs="Arial"/>
                <w:lang w:val="en-CA"/>
              </w:rPr>
              <w:t>Per:</w:t>
            </w:r>
          </w:p>
        </w:tc>
        <w:tc>
          <w:tcPr>
            <w:tcW w:w="3531" w:type="dxa"/>
            <w:tcBorders>
              <w:top w:val="single" w:sz="4" w:space="0" w:color="auto"/>
              <w:left w:val="nil"/>
              <w:bottom w:val="nil"/>
              <w:right w:val="nil"/>
            </w:tcBorders>
            <w:hideMark/>
          </w:tcPr>
          <w:p w14:paraId="28C96C86" w14:textId="77777777" w:rsidR="00313DEB" w:rsidRDefault="00313DEB">
            <w:pPr>
              <w:rPr>
                <w:rFonts w:cs="Arial"/>
                <w:lang w:val="en-CA"/>
              </w:rPr>
            </w:pPr>
            <w:r>
              <w:rPr>
                <w:rFonts w:cs="Arial"/>
                <w:lang w:val="en-CA"/>
              </w:rPr>
              <w:t>M</w:t>
            </w:r>
            <w:r>
              <w:rPr>
                <w:rFonts w:cs="Arial"/>
                <w:vertAlign w:val="superscript"/>
                <w:lang w:val="en-CA"/>
              </w:rPr>
              <w:t>tre</w:t>
            </w:r>
            <w:r>
              <w:rPr>
                <w:rFonts w:cs="Arial"/>
                <w:lang w:val="en-CA"/>
              </w:rPr>
              <w:t xml:space="preserve"> Charlene Ripley </w:t>
            </w:r>
            <w:r>
              <w:rPr>
                <w:rFonts w:cs="Arial"/>
                <w:lang w:val="en-CA"/>
              </w:rPr>
              <w:br/>
            </w:r>
            <w:bookmarkStart w:id="43" w:name="lt_pId202"/>
            <w:r>
              <w:rPr>
                <w:rFonts w:cs="Arial"/>
                <w:lang w:val="en-CA"/>
              </w:rPr>
              <w:t xml:space="preserve">Executive Vice-President and General Counsel </w:t>
            </w:r>
            <w:bookmarkStart w:id="44" w:name="lt_pId203"/>
            <w:bookmarkEnd w:id="43"/>
          </w:p>
          <w:p w14:paraId="52551BE8" w14:textId="77777777" w:rsidR="00313DEB" w:rsidRDefault="00313DEB">
            <w:pPr>
              <w:rPr>
                <w:rFonts w:cs="Arial"/>
                <w:lang w:val="en-CA"/>
              </w:rPr>
            </w:pPr>
            <w:r>
              <w:rPr>
                <w:rFonts w:cs="Arial"/>
                <w:lang w:val="en-CA"/>
              </w:rPr>
              <w:t>Duly authorized representative</w:t>
            </w:r>
            <w:bookmarkEnd w:id="44"/>
            <w:r>
              <w:rPr>
                <w:rFonts w:cs="Arial"/>
                <w:lang w:val="en-CA"/>
              </w:rPr>
              <w:t xml:space="preserve"> of</w:t>
            </w:r>
            <w:r>
              <w:rPr>
                <w:rFonts w:cs="Arial"/>
                <w:lang w:val="en-CA"/>
              </w:rPr>
              <w:br/>
            </w:r>
            <w:bookmarkStart w:id="45" w:name="lt_pId204"/>
            <w:r>
              <w:rPr>
                <w:rFonts w:cs="Arial"/>
                <w:lang w:val="en-CA"/>
              </w:rPr>
              <w:t>SNC-Lavalin International Inc.</w:t>
            </w:r>
            <w:bookmarkEnd w:id="45"/>
          </w:p>
        </w:tc>
      </w:tr>
    </w:tbl>
    <w:p w14:paraId="2DAF779F" w14:textId="77777777" w:rsidR="00313DEB" w:rsidRDefault="00313DEB" w:rsidP="00895880">
      <w:pPr>
        <w:rPr>
          <w:rFonts w:cs="Arial"/>
          <w:lang w:val="en-CA"/>
        </w:rPr>
      </w:pPr>
    </w:p>
    <w:p w14:paraId="3F8CE0A9" w14:textId="77777777" w:rsidR="00313DEB" w:rsidRDefault="00313DEB" w:rsidP="00895880">
      <w:pPr>
        <w:rPr>
          <w:rFonts w:cs="Arial"/>
          <w:lang w:val="en-CA"/>
        </w:rPr>
      </w:pPr>
    </w:p>
    <w:tbl>
      <w:tblPr>
        <w:tblW w:w="8789" w:type="dxa"/>
        <w:tblLook w:val="04A0" w:firstRow="1" w:lastRow="0" w:firstColumn="1" w:lastColumn="0" w:noHBand="0" w:noVBand="1"/>
      </w:tblPr>
      <w:tblGrid>
        <w:gridCol w:w="681"/>
        <w:gridCol w:w="3441"/>
        <w:gridCol w:w="467"/>
        <w:gridCol w:w="657"/>
        <w:gridCol w:w="3543"/>
      </w:tblGrid>
      <w:tr w:rsidR="00313DEB" w:rsidRPr="00371453" w14:paraId="43286D4B" w14:textId="77777777" w:rsidTr="00895880">
        <w:trPr>
          <w:trHeight w:val="1363"/>
        </w:trPr>
        <w:tc>
          <w:tcPr>
            <w:tcW w:w="682" w:type="dxa"/>
          </w:tcPr>
          <w:p w14:paraId="1A937B54" w14:textId="77777777" w:rsidR="00313DEB" w:rsidRDefault="00313DEB">
            <w:pPr>
              <w:rPr>
                <w:rFonts w:cs="Arial"/>
                <w:lang w:val="en-CA"/>
              </w:rPr>
            </w:pPr>
          </w:p>
        </w:tc>
        <w:tc>
          <w:tcPr>
            <w:tcW w:w="3519" w:type="dxa"/>
            <w:tcBorders>
              <w:top w:val="nil"/>
              <w:left w:val="nil"/>
              <w:bottom w:val="single" w:sz="4" w:space="0" w:color="auto"/>
              <w:right w:val="nil"/>
            </w:tcBorders>
          </w:tcPr>
          <w:p w14:paraId="26EF0761" w14:textId="77777777" w:rsidR="00313DEB" w:rsidRDefault="00313DEB">
            <w:pPr>
              <w:rPr>
                <w:rFonts w:cs="Arial"/>
                <w:lang w:val="en-CA"/>
              </w:rPr>
            </w:pPr>
            <w:r>
              <w:rPr>
                <w:rFonts w:cs="Arial"/>
                <w:lang w:val="en-CA"/>
              </w:rPr>
              <w:t>Montréal, this 25</w:t>
            </w:r>
            <w:r>
              <w:rPr>
                <w:rFonts w:cs="Arial"/>
                <w:vertAlign w:val="superscript"/>
                <w:lang w:val="en-CA"/>
              </w:rPr>
              <w:t>th</w:t>
            </w:r>
            <w:r>
              <w:rPr>
                <w:rFonts w:cs="Arial"/>
                <w:lang w:val="en-CA"/>
              </w:rPr>
              <w:t xml:space="preserve"> day of February 2022</w:t>
            </w:r>
          </w:p>
          <w:p w14:paraId="3AFAE11E" w14:textId="77777777" w:rsidR="00313DEB" w:rsidRDefault="00313DEB">
            <w:pPr>
              <w:rPr>
                <w:rFonts w:cs="Arial"/>
                <w:lang w:val="en-CA"/>
              </w:rPr>
            </w:pPr>
          </w:p>
          <w:p w14:paraId="459AFD50" w14:textId="77777777" w:rsidR="00313DEB" w:rsidRDefault="00313DEB">
            <w:pPr>
              <w:rPr>
                <w:rFonts w:cs="Arial"/>
                <w:lang w:val="en-CA"/>
              </w:rPr>
            </w:pPr>
          </w:p>
          <w:p w14:paraId="65F4AF7E" w14:textId="77777777" w:rsidR="00313DEB" w:rsidRDefault="00313DEB">
            <w:pPr>
              <w:rPr>
                <w:rFonts w:cs="Arial"/>
                <w:lang w:val="en-CA"/>
              </w:rPr>
            </w:pPr>
          </w:p>
        </w:tc>
        <w:tc>
          <w:tcPr>
            <w:tcW w:w="477" w:type="dxa"/>
          </w:tcPr>
          <w:p w14:paraId="76FD4EE9" w14:textId="77777777" w:rsidR="00313DEB" w:rsidRDefault="00313DEB">
            <w:pPr>
              <w:rPr>
                <w:rFonts w:cs="Arial"/>
                <w:lang w:val="en-CA"/>
              </w:rPr>
            </w:pPr>
          </w:p>
        </w:tc>
        <w:tc>
          <w:tcPr>
            <w:tcW w:w="485" w:type="dxa"/>
          </w:tcPr>
          <w:p w14:paraId="6EC92E30" w14:textId="77777777" w:rsidR="00313DEB" w:rsidRDefault="00313DEB">
            <w:pPr>
              <w:rPr>
                <w:lang w:val="en-CA"/>
              </w:rPr>
            </w:pPr>
          </w:p>
        </w:tc>
        <w:tc>
          <w:tcPr>
            <w:tcW w:w="3626" w:type="dxa"/>
            <w:tcBorders>
              <w:top w:val="nil"/>
              <w:left w:val="nil"/>
              <w:bottom w:val="single" w:sz="4" w:space="0" w:color="auto"/>
              <w:right w:val="nil"/>
            </w:tcBorders>
            <w:hideMark/>
          </w:tcPr>
          <w:p w14:paraId="36FDD6DB" w14:textId="77777777" w:rsidR="00313DEB" w:rsidRDefault="00313DEB">
            <w:pPr>
              <w:rPr>
                <w:lang w:val="en-CA"/>
              </w:rPr>
            </w:pPr>
            <w:r>
              <w:rPr>
                <w:rFonts w:cs="Arial"/>
                <w:lang w:val="en-CA"/>
              </w:rPr>
              <w:t>Montréal, this 25</w:t>
            </w:r>
            <w:r>
              <w:rPr>
                <w:rFonts w:cs="Arial"/>
                <w:vertAlign w:val="superscript"/>
                <w:lang w:val="en-CA"/>
              </w:rPr>
              <w:t>th</w:t>
            </w:r>
            <w:r>
              <w:rPr>
                <w:rFonts w:cs="Arial"/>
                <w:lang w:val="en-CA"/>
              </w:rPr>
              <w:t xml:space="preserve"> day of February 2022</w:t>
            </w:r>
          </w:p>
        </w:tc>
      </w:tr>
      <w:tr w:rsidR="00313DEB" w:rsidRPr="00371453" w14:paraId="70F8EE66" w14:textId="77777777" w:rsidTr="00895880">
        <w:tc>
          <w:tcPr>
            <w:tcW w:w="682" w:type="dxa"/>
            <w:hideMark/>
          </w:tcPr>
          <w:p w14:paraId="00F5B901" w14:textId="77777777" w:rsidR="00313DEB" w:rsidRDefault="00313DEB">
            <w:pPr>
              <w:rPr>
                <w:rFonts w:cs="Arial"/>
                <w:lang w:val="en-CA"/>
              </w:rPr>
            </w:pPr>
            <w:r>
              <w:rPr>
                <w:rFonts w:cs="Arial"/>
                <w:lang w:val="en-CA"/>
              </w:rPr>
              <w:t>Per:</w:t>
            </w:r>
          </w:p>
        </w:tc>
        <w:tc>
          <w:tcPr>
            <w:tcW w:w="3519" w:type="dxa"/>
            <w:tcBorders>
              <w:top w:val="single" w:sz="4" w:space="0" w:color="auto"/>
              <w:left w:val="nil"/>
              <w:bottom w:val="nil"/>
              <w:right w:val="nil"/>
            </w:tcBorders>
            <w:hideMark/>
          </w:tcPr>
          <w:p w14:paraId="6DC71E46" w14:textId="77777777" w:rsidR="00313DEB" w:rsidRDefault="00313DEB">
            <w:pPr>
              <w:rPr>
                <w:rFonts w:cs="Arial"/>
                <w:lang w:val="en-CA"/>
              </w:rPr>
            </w:pPr>
            <w:r>
              <w:rPr>
                <w:rFonts w:cs="Arial"/>
                <w:lang w:val="en-CA"/>
              </w:rPr>
              <w:t>M</w:t>
            </w:r>
            <w:r>
              <w:rPr>
                <w:rFonts w:cs="Arial"/>
                <w:vertAlign w:val="superscript"/>
                <w:lang w:val="en-CA"/>
              </w:rPr>
              <w:t>tre</w:t>
            </w:r>
            <w:r>
              <w:rPr>
                <w:rFonts w:cs="Arial"/>
                <w:lang w:val="en-CA"/>
              </w:rPr>
              <w:t xml:space="preserve"> François Fontaine, Ad.E (AF4749)</w:t>
            </w:r>
            <w:r>
              <w:rPr>
                <w:rFonts w:cs="Arial"/>
                <w:lang w:val="en-CA"/>
              </w:rPr>
              <w:br/>
            </w:r>
            <w:bookmarkStart w:id="46" w:name="lt_pId209"/>
            <w:r>
              <w:rPr>
                <w:rFonts w:cs="Arial"/>
                <w:lang w:val="en-CA"/>
              </w:rPr>
              <w:t>Norton Rose Fulbright Canada LLP</w:t>
            </w:r>
            <w:bookmarkEnd w:id="46"/>
            <w:r>
              <w:rPr>
                <w:rFonts w:cs="Arial"/>
                <w:lang w:val="en-CA"/>
              </w:rPr>
              <w:br/>
            </w:r>
            <w:bookmarkStart w:id="47" w:name="lt_pId210"/>
            <w:r>
              <w:rPr>
                <w:rFonts w:cs="Arial"/>
                <w:lang w:val="en-CA"/>
              </w:rPr>
              <w:t>Counsel for SNC-Lavalin Inc. and SNC-Lavalin International Inc.</w:t>
            </w:r>
            <w:bookmarkEnd w:id="47"/>
          </w:p>
        </w:tc>
        <w:tc>
          <w:tcPr>
            <w:tcW w:w="477" w:type="dxa"/>
          </w:tcPr>
          <w:p w14:paraId="0AE14524" w14:textId="77777777" w:rsidR="00313DEB" w:rsidRDefault="00313DEB">
            <w:pPr>
              <w:spacing w:after="60"/>
              <w:rPr>
                <w:rFonts w:cs="Arial"/>
                <w:lang w:val="en-CA"/>
              </w:rPr>
            </w:pPr>
          </w:p>
        </w:tc>
        <w:tc>
          <w:tcPr>
            <w:tcW w:w="485" w:type="dxa"/>
            <w:hideMark/>
          </w:tcPr>
          <w:p w14:paraId="7F262FB2" w14:textId="77777777" w:rsidR="00313DEB" w:rsidRDefault="00313DEB">
            <w:pPr>
              <w:rPr>
                <w:lang w:val="en-CA"/>
              </w:rPr>
            </w:pPr>
            <w:r>
              <w:rPr>
                <w:rFonts w:cs="Arial"/>
                <w:lang w:val="en-CA"/>
              </w:rPr>
              <w:t>Per:</w:t>
            </w:r>
          </w:p>
        </w:tc>
        <w:tc>
          <w:tcPr>
            <w:tcW w:w="3626" w:type="dxa"/>
            <w:tcBorders>
              <w:top w:val="single" w:sz="4" w:space="0" w:color="auto"/>
              <w:left w:val="nil"/>
              <w:bottom w:val="nil"/>
              <w:right w:val="nil"/>
            </w:tcBorders>
            <w:hideMark/>
          </w:tcPr>
          <w:p w14:paraId="7700B3A6" w14:textId="77777777" w:rsidR="00313DEB" w:rsidRDefault="00313DEB">
            <w:pPr>
              <w:rPr>
                <w:rFonts w:cs="Arial"/>
                <w:lang w:val="en-CA"/>
              </w:rPr>
            </w:pPr>
            <w:r>
              <w:rPr>
                <w:rFonts w:cs="Arial"/>
                <w:lang w:val="en-CA"/>
              </w:rPr>
              <w:t>M</w:t>
            </w:r>
            <w:r>
              <w:rPr>
                <w:rFonts w:cs="Arial"/>
                <w:vertAlign w:val="superscript"/>
                <w:lang w:val="en-CA"/>
              </w:rPr>
              <w:t>tre</w:t>
            </w:r>
            <w:r>
              <w:rPr>
                <w:rFonts w:cs="Arial"/>
                <w:lang w:val="en-CA"/>
              </w:rPr>
              <w:t xml:space="preserve"> Charles-Antoine Péladeau (AP0LV7)</w:t>
            </w:r>
            <w:r>
              <w:rPr>
                <w:rFonts w:cs="Arial"/>
                <w:lang w:val="en-CA"/>
              </w:rPr>
              <w:br/>
              <w:t>Norton Rose Fulbright Canada LLP</w:t>
            </w:r>
            <w:r>
              <w:rPr>
                <w:rFonts w:cs="Arial"/>
                <w:lang w:val="en-CA"/>
              </w:rPr>
              <w:br/>
              <w:t>Counsel for SNC-Lavalin Inc. and SNC-Lavalin International Inc.</w:t>
            </w:r>
          </w:p>
        </w:tc>
      </w:tr>
    </w:tbl>
    <w:p w14:paraId="18DEAC14" w14:textId="77777777" w:rsidR="00313DEB" w:rsidRDefault="00313DEB" w:rsidP="00895880">
      <w:pPr>
        <w:rPr>
          <w:rFonts w:cs="Arial"/>
          <w:lang w:val="en-CA"/>
        </w:rPr>
      </w:pPr>
    </w:p>
    <w:tbl>
      <w:tblPr>
        <w:tblW w:w="8789" w:type="dxa"/>
        <w:tblLook w:val="04A0" w:firstRow="1" w:lastRow="0" w:firstColumn="1" w:lastColumn="0" w:noHBand="0" w:noVBand="1"/>
      </w:tblPr>
      <w:tblGrid>
        <w:gridCol w:w="681"/>
        <w:gridCol w:w="3436"/>
        <w:gridCol w:w="467"/>
        <w:gridCol w:w="657"/>
        <w:gridCol w:w="3548"/>
      </w:tblGrid>
      <w:tr w:rsidR="00313DEB" w:rsidRPr="00371453" w14:paraId="2C5753FF" w14:textId="77777777" w:rsidTr="00895880">
        <w:trPr>
          <w:trHeight w:val="1363"/>
        </w:trPr>
        <w:tc>
          <w:tcPr>
            <w:tcW w:w="682" w:type="dxa"/>
          </w:tcPr>
          <w:p w14:paraId="317C39D5" w14:textId="77777777" w:rsidR="00313DEB" w:rsidRDefault="00313DEB">
            <w:pPr>
              <w:rPr>
                <w:rFonts w:cs="Arial"/>
                <w:lang w:val="en-CA"/>
              </w:rPr>
            </w:pPr>
          </w:p>
        </w:tc>
        <w:tc>
          <w:tcPr>
            <w:tcW w:w="3519" w:type="dxa"/>
            <w:tcBorders>
              <w:top w:val="nil"/>
              <w:left w:val="nil"/>
              <w:bottom w:val="single" w:sz="4" w:space="0" w:color="auto"/>
              <w:right w:val="nil"/>
            </w:tcBorders>
          </w:tcPr>
          <w:p w14:paraId="05C36D8F" w14:textId="77777777" w:rsidR="00313DEB" w:rsidRDefault="00313DEB">
            <w:pPr>
              <w:rPr>
                <w:rFonts w:cs="Arial"/>
                <w:lang w:val="en-CA"/>
              </w:rPr>
            </w:pPr>
            <w:r>
              <w:rPr>
                <w:rFonts w:cs="Arial"/>
                <w:lang w:val="en-CA"/>
              </w:rPr>
              <w:t>Montréal, this 25</w:t>
            </w:r>
            <w:r>
              <w:rPr>
                <w:rFonts w:cs="Arial"/>
                <w:vertAlign w:val="superscript"/>
                <w:lang w:val="en-CA"/>
              </w:rPr>
              <w:t>th</w:t>
            </w:r>
            <w:r>
              <w:rPr>
                <w:rFonts w:cs="Arial"/>
                <w:lang w:val="en-CA"/>
              </w:rPr>
              <w:t xml:space="preserve"> day of February 2022</w:t>
            </w:r>
          </w:p>
          <w:p w14:paraId="354EBDDF" w14:textId="77777777" w:rsidR="00313DEB" w:rsidRDefault="00313DEB">
            <w:pPr>
              <w:rPr>
                <w:rFonts w:cs="Arial"/>
                <w:lang w:val="en-CA"/>
              </w:rPr>
            </w:pPr>
          </w:p>
          <w:p w14:paraId="28D6F352" w14:textId="77777777" w:rsidR="00313DEB" w:rsidRDefault="00313DEB">
            <w:pPr>
              <w:rPr>
                <w:rFonts w:cs="Arial"/>
                <w:lang w:val="en-CA"/>
              </w:rPr>
            </w:pPr>
          </w:p>
          <w:p w14:paraId="59416C6D" w14:textId="77777777" w:rsidR="00313DEB" w:rsidRDefault="00313DEB">
            <w:pPr>
              <w:rPr>
                <w:rFonts w:cs="Arial"/>
                <w:lang w:val="en-CA"/>
              </w:rPr>
            </w:pPr>
          </w:p>
        </w:tc>
        <w:tc>
          <w:tcPr>
            <w:tcW w:w="477" w:type="dxa"/>
          </w:tcPr>
          <w:p w14:paraId="3DE9710F" w14:textId="77777777" w:rsidR="00313DEB" w:rsidRDefault="00313DEB">
            <w:pPr>
              <w:rPr>
                <w:rFonts w:cs="Arial"/>
                <w:lang w:val="en-CA"/>
              </w:rPr>
            </w:pPr>
          </w:p>
        </w:tc>
        <w:tc>
          <w:tcPr>
            <w:tcW w:w="485" w:type="dxa"/>
          </w:tcPr>
          <w:p w14:paraId="3FA30FA9" w14:textId="77777777" w:rsidR="00313DEB" w:rsidRDefault="00313DEB">
            <w:pPr>
              <w:rPr>
                <w:lang w:val="en-CA"/>
              </w:rPr>
            </w:pPr>
          </w:p>
        </w:tc>
        <w:tc>
          <w:tcPr>
            <w:tcW w:w="3626" w:type="dxa"/>
            <w:tcBorders>
              <w:top w:val="nil"/>
              <w:left w:val="nil"/>
              <w:bottom w:val="single" w:sz="4" w:space="0" w:color="auto"/>
              <w:right w:val="nil"/>
            </w:tcBorders>
            <w:hideMark/>
          </w:tcPr>
          <w:p w14:paraId="6D9C9D9C" w14:textId="77777777" w:rsidR="00313DEB" w:rsidRDefault="00313DEB">
            <w:pPr>
              <w:rPr>
                <w:lang w:val="en-CA"/>
              </w:rPr>
            </w:pPr>
            <w:r>
              <w:rPr>
                <w:rFonts w:cs="Arial"/>
                <w:lang w:val="en-CA"/>
              </w:rPr>
              <w:t>Montréal, this 25</w:t>
            </w:r>
            <w:r>
              <w:rPr>
                <w:rFonts w:cs="Arial"/>
                <w:vertAlign w:val="superscript"/>
                <w:lang w:val="en-CA"/>
              </w:rPr>
              <w:t>th</w:t>
            </w:r>
            <w:r>
              <w:rPr>
                <w:rFonts w:cs="Arial"/>
                <w:lang w:val="en-CA"/>
              </w:rPr>
              <w:t xml:space="preserve"> day of February 2022</w:t>
            </w:r>
          </w:p>
        </w:tc>
      </w:tr>
      <w:tr w:rsidR="00313DEB" w14:paraId="6C7D74EC" w14:textId="77777777" w:rsidTr="00895880">
        <w:tc>
          <w:tcPr>
            <w:tcW w:w="682" w:type="dxa"/>
            <w:hideMark/>
          </w:tcPr>
          <w:p w14:paraId="2D3E2DE3" w14:textId="77777777" w:rsidR="00313DEB" w:rsidRDefault="00313DEB">
            <w:pPr>
              <w:rPr>
                <w:rFonts w:cs="Arial"/>
                <w:lang w:val="en-CA"/>
              </w:rPr>
            </w:pPr>
            <w:r>
              <w:rPr>
                <w:rFonts w:cs="Arial"/>
                <w:lang w:val="en-CA"/>
              </w:rPr>
              <w:t>Per:</w:t>
            </w:r>
          </w:p>
        </w:tc>
        <w:tc>
          <w:tcPr>
            <w:tcW w:w="3519" w:type="dxa"/>
            <w:tcBorders>
              <w:top w:val="single" w:sz="4" w:space="0" w:color="auto"/>
              <w:left w:val="nil"/>
              <w:bottom w:val="nil"/>
              <w:right w:val="nil"/>
            </w:tcBorders>
            <w:hideMark/>
          </w:tcPr>
          <w:p w14:paraId="4573258C" w14:textId="77777777" w:rsidR="00313DEB" w:rsidRDefault="00313DEB">
            <w:pPr>
              <w:rPr>
                <w:rFonts w:cs="Arial"/>
              </w:rPr>
            </w:pPr>
            <w:r>
              <w:rPr>
                <w:rFonts w:cs="Arial"/>
              </w:rPr>
              <w:t>M</w:t>
            </w:r>
            <w:r>
              <w:rPr>
                <w:rFonts w:cs="Arial"/>
                <w:vertAlign w:val="superscript"/>
              </w:rPr>
              <w:t>tre</w:t>
            </w:r>
            <w:r>
              <w:rPr>
                <w:rFonts w:cs="Arial"/>
              </w:rPr>
              <w:t xml:space="preserve"> Patrice Peltier-Rivest (AZ6139)</w:t>
            </w:r>
            <w:r>
              <w:rPr>
                <w:rFonts w:cs="Arial"/>
              </w:rPr>
              <w:br/>
              <w:t>Associate Chief Prosecutor</w:t>
            </w:r>
            <w:r>
              <w:rPr>
                <w:rFonts w:cs="Arial"/>
              </w:rPr>
              <w:br/>
              <w:t>Directeur des poursuites criminelles et pénales</w:t>
            </w:r>
            <w:r>
              <w:rPr>
                <w:rFonts w:cs="Arial"/>
              </w:rPr>
              <w:br/>
            </w:r>
            <w:bookmarkStart w:id="48" w:name="lt_pId221"/>
            <w:r>
              <w:rPr>
                <w:rFonts w:cs="Arial"/>
              </w:rPr>
              <w:t>Bureau de la grande criminalité et des affaires spéciales</w:t>
            </w:r>
            <w:bookmarkEnd w:id="48"/>
          </w:p>
        </w:tc>
        <w:tc>
          <w:tcPr>
            <w:tcW w:w="477" w:type="dxa"/>
          </w:tcPr>
          <w:p w14:paraId="6D743BA8" w14:textId="77777777" w:rsidR="00313DEB" w:rsidRDefault="00313DEB">
            <w:pPr>
              <w:spacing w:after="60"/>
              <w:rPr>
                <w:rFonts w:cs="Arial"/>
              </w:rPr>
            </w:pPr>
          </w:p>
        </w:tc>
        <w:tc>
          <w:tcPr>
            <w:tcW w:w="485" w:type="dxa"/>
            <w:hideMark/>
          </w:tcPr>
          <w:p w14:paraId="1F218708" w14:textId="77777777" w:rsidR="00313DEB" w:rsidRDefault="00313DEB">
            <w:pPr>
              <w:rPr>
                <w:lang w:val="en-CA"/>
              </w:rPr>
            </w:pPr>
            <w:r>
              <w:rPr>
                <w:rFonts w:cs="Arial"/>
                <w:lang w:val="en-CA"/>
              </w:rPr>
              <w:t>Per:</w:t>
            </w:r>
          </w:p>
        </w:tc>
        <w:tc>
          <w:tcPr>
            <w:tcW w:w="3626" w:type="dxa"/>
            <w:tcBorders>
              <w:top w:val="single" w:sz="4" w:space="0" w:color="auto"/>
              <w:left w:val="nil"/>
              <w:bottom w:val="nil"/>
              <w:right w:val="nil"/>
            </w:tcBorders>
            <w:hideMark/>
          </w:tcPr>
          <w:p w14:paraId="64460011" w14:textId="77777777" w:rsidR="00313DEB" w:rsidRDefault="00313DEB">
            <w:pPr>
              <w:rPr>
                <w:rFonts w:cs="Arial"/>
              </w:rPr>
            </w:pPr>
            <w:r>
              <w:rPr>
                <w:rFonts w:cs="Arial"/>
              </w:rPr>
              <w:t>M</w:t>
            </w:r>
            <w:r>
              <w:rPr>
                <w:rFonts w:cs="Arial"/>
                <w:vertAlign w:val="superscript"/>
              </w:rPr>
              <w:t>tre</w:t>
            </w:r>
            <w:r>
              <w:rPr>
                <w:rFonts w:cs="Arial"/>
              </w:rPr>
              <w:t xml:space="preserve"> Francis Pilotte (AP00H4)</w:t>
            </w:r>
            <w:r>
              <w:rPr>
                <w:rFonts w:cs="Arial"/>
              </w:rPr>
              <w:br/>
            </w:r>
            <w:bookmarkStart w:id="49" w:name="lt_pId224"/>
            <w:r>
              <w:rPr>
                <w:rFonts w:cs="Arial"/>
              </w:rPr>
              <w:t>Criminal and Penal Prosecutions Attorney</w:t>
            </w:r>
            <w:bookmarkEnd w:id="49"/>
            <w:r>
              <w:rPr>
                <w:rFonts w:cs="Arial"/>
              </w:rPr>
              <w:br/>
              <w:t>Directeur des poursuites criminelles et pénales</w:t>
            </w:r>
            <w:r>
              <w:rPr>
                <w:rFonts w:cs="Arial"/>
              </w:rPr>
              <w:br/>
            </w:r>
            <w:bookmarkStart w:id="50" w:name="lt_pId226"/>
            <w:r>
              <w:rPr>
                <w:rFonts w:cs="Arial"/>
              </w:rPr>
              <w:t>Bureau de la grande criminalité et des affaires spéciales</w:t>
            </w:r>
            <w:bookmarkEnd w:id="50"/>
          </w:p>
        </w:tc>
      </w:tr>
    </w:tbl>
    <w:p w14:paraId="0252EA56" w14:textId="77777777" w:rsidR="00313DEB" w:rsidRDefault="00313DEB" w:rsidP="00895880">
      <w:pPr>
        <w:rPr>
          <w:rFonts w:cs="Arial"/>
        </w:rPr>
      </w:pPr>
    </w:p>
    <w:p w14:paraId="41F491E6" w14:textId="77777777" w:rsidR="00313DEB" w:rsidRDefault="00313DEB" w:rsidP="00895880">
      <w:pPr>
        <w:rPr>
          <w:rFonts w:cs="Arial"/>
        </w:rPr>
        <w:sectPr w:rsidR="00313DEB" w:rsidSect="0084249E">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2242" w:h="15842" w:code="1"/>
          <w:pgMar w:top="1440" w:right="1008" w:bottom="1440" w:left="1872" w:header="1440" w:footer="792" w:gutter="0"/>
          <w:pgNumType w:start="1"/>
          <w:cols w:space="720"/>
          <w:titlePg/>
        </w:sectPr>
      </w:pPr>
    </w:p>
    <w:p w14:paraId="09E0C04D" w14:textId="77777777" w:rsidR="00313DEB" w:rsidRDefault="00313DEB" w:rsidP="00895880">
      <w:pPr>
        <w:jc w:val="center"/>
        <w:rPr>
          <w:rFonts w:cs="Arial"/>
          <w:sz w:val="28"/>
          <w:szCs w:val="28"/>
          <w:lang w:val="en-CA"/>
        </w:rPr>
      </w:pPr>
      <w:r>
        <w:rPr>
          <w:rFonts w:cs="Arial"/>
          <w:sz w:val="28"/>
          <w:szCs w:val="28"/>
          <w:lang w:val="en-CA"/>
        </w:rPr>
        <w:lastRenderedPageBreak/>
        <w:t>Schedule A</w:t>
      </w:r>
    </w:p>
    <w:p w14:paraId="0E3DED0B" w14:textId="77777777" w:rsidR="00313DEB" w:rsidRDefault="00313DEB" w:rsidP="00895880">
      <w:pPr>
        <w:jc w:val="center"/>
        <w:rPr>
          <w:rFonts w:cs="Arial"/>
          <w:sz w:val="28"/>
          <w:szCs w:val="28"/>
          <w:lang w:val="en-CA"/>
        </w:rPr>
      </w:pPr>
    </w:p>
    <w:p w14:paraId="78BB72C5" w14:textId="77777777" w:rsidR="00313DEB" w:rsidRDefault="00313DEB" w:rsidP="00895880">
      <w:pPr>
        <w:jc w:val="center"/>
        <w:rPr>
          <w:rFonts w:cs="Arial"/>
          <w:sz w:val="28"/>
          <w:szCs w:val="28"/>
          <w:lang w:val="en-CA"/>
        </w:rPr>
      </w:pPr>
    </w:p>
    <w:p w14:paraId="4A2EDD1C" w14:textId="77777777" w:rsidR="00313DEB" w:rsidRDefault="00313DEB" w:rsidP="00895880">
      <w:pPr>
        <w:jc w:val="center"/>
        <w:rPr>
          <w:rFonts w:cs="Arial"/>
          <w:sz w:val="28"/>
          <w:szCs w:val="28"/>
          <w:lang w:val="en-CA"/>
        </w:rPr>
      </w:pPr>
      <w:r>
        <w:rPr>
          <w:rFonts w:cs="Arial"/>
          <w:lang w:val="en-CA"/>
        </w:rPr>
        <w:t>[</w:t>
      </w:r>
      <w:r w:rsidRPr="00107A24">
        <w:rPr>
          <w:rFonts w:cs="Arial"/>
          <w:sz w:val="18"/>
          <w:lang w:val="en-CA"/>
        </w:rPr>
        <w:t>NOT</w:t>
      </w:r>
      <w:r>
        <w:rPr>
          <w:rFonts w:cs="Arial"/>
          <w:lang w:val="en-CA"/>
        </w:rPr>
        <w:t xml:space="preserve"> </w:t>
      </w:r>
      <w:r>
        <w:rPr>
          <w:rFonts w:cs="Arial"/>
          <w:smallCaps/>
          <w:lang w:val="en-CA"/>
        </w:rPr>
        <w:t>translat</w:t>
      </w:r>
      <w:r w:rsidRPr="00107A24">
        <w:rPr>
          <w:rFonts w:cs="Arial"/>
          <w:smallCaps/>
          <w:sz w:val="18"/>
          <w:lang w:val="en-CA"/>
        </w:rPr>
        <w:t>ED</w:t>
      </w:r>
      <w:r>
        <w:rPr>
          <w:rFonts w:cs="Arial"/>
          <w:lang w:val="en-CA"/>
        </w:rPr>
        <w:t>]</w:t>
      </w:r>
      <w:r>
        <w:rPr>
          <w:rFonts w:cs="Arial"/>
          <w:sz w:val="28"/>
          <w:szCs w:val="28"/>
          <w:lang w:val="en-CA"/>
        </w:rPr>
        <w:t xml:space="preserve"> “Alleged Offences”</w:t>
      </w:r>
    </w:p>
    <w:p w14:paraId="02E56A98" w14:textId="77777777" w:rsidR="00313DEB" w:rsidRDefault="00313DEB" w:rsidP="00895880">
      <w:pPr>
        <w:jc w:val="center"/>
        <w:rPr>
          <w:rFonts w:cs="Arial"/>
          <w:sz w:val="28"/>
          <w:szCs w:val="28"/>
          <w:lang w:val="en-CA"/>
        </w:rPr>
      </w:pPr>
    </w:p>
    <w:p w14:paraId="36370084" w14:textId="77777777" w:rsidR="00313DEB" w:rsidRDefault="00313DEB" w:rsidP="00895880">
      <w:pPr>
        <w:jc w:val="center"/>
        <w:rPr>
          <w:rFonts w:cs="Arial"/>
          <w:sz w:val="28"/>
          <w:szCs w:val="28"/>
          <w:lang w:val="en-CA"/>
        </w:rPr>
      </w:pPr>
    </w:p>
    <w:p w14:paraId="771BA3BD" w14:textId="77777777" w:rsidR="00313DEB" w:rsidRDefault="00313DEB" w:rsidP="00895880">
      <w:pPr>
        <w:rPr>
          <w:rFonts w:cs="Arial"/>
          <w:sz w:val="28"/>
          <w:szCs w:val="28"/>
          <w:lang w:val="en-CA"/>
        </w:rPr>
        <w:sectPr w:rsidR="00313DEB" w:rsidSect="0084249E">
          <w:pgSz w:w="12240" w:h="15840"/>
          <w:pgMar w:top="1440" w:right="1800" w:bottom="1440" w:left="1800" w:header="708" w:footer="708" w:gutter="0"/>
          <w:cols w:space="720"/>
        </w:sectPr>
      </w:pPr>
    </w:p>
    <w:p w14:paraId="2507ADCB" w14:textId="77777777" w:rsidR="00313DEB" w:rsidRDefault="00313DEB" w:rsidP="00895880">
      <w:pPr>
        <w:jc w:val="center"/>
        <w:rPr>
          <w:rFonts w:cs="Arial"/>
          <w:sz w:val="28"/>
          <w:szCs w:val="28"/>
          <w:lang w:val="en-CA"/>
        </w:rPr>
      </w:pPr>
      <w:r>
        <w:rPr>
          <w:rFonts w:cs="Arial"/>
          <w:sz w:val="28"/>
          <w:szCs w:val="28"/>
          <w:lang w:val="en-CA"/>
        </w:rPr>
        <w:lastRenderedPageBreak/>
        <w:t>Schedule B</w:t>
      </w:r>
    </w:p>
    <w:p w14:paraId="32A2FE38" w14:textId="77777777" w:rsidR="00313DEB" w:rsidRDefault="00313DEB" w:rsidP="00895880">
      <w:pPr>
        <w:jc w:val="center"/>
        <w:rPr>
          <w:rFonts w:cs="Arial"/>
          <w:sz w:val="28"/>
          <w:szCs w:val="28"/>
          <w:lang w:val="en-CA"/>
        </w:rPr>
      </w:pPr>
    </w:p>
    <w:p w14:paraId="31FF6A09" w14:textId="77777777" w:rsidR="00313DEB" w:rsidRDefault="00313DEB" w:rsidP="00895880">
      <w:pPr>
        <w:jc w:val="center"/>
        <w:rPr>
          <w:rFonts w:cs="Arial"/>
          <w:sz w:val="28"/>
          <w:szCs w:val="28"/>
          <w:lang w:val="en-CA"/>
        </w:rPr>
      </w:pPr>
    </w:p>
    <w:p w14:paraId="2E939DE2" w14:textId="77777777" w:rsidR="00313DEB" w:rsidRDefault="00313DEB" w:rsidP="00895880">
      <w:pPr>
        <w:jc w:val="center"/>
        <w:rPr>
          <w:rFonts w:cs="Arial"/>
          <w:sz w:val="28"/>
          <w:szCs w:val="28"/>
          <w:lang w:val="en-CA"/>
        </w:rPr>
      </w:pPr>
      <w:r>
        <w:rPr>
          <w:rFonts w:cs="Arial"/>
          <w:lang w:val="en-CA"/>
        </w:rPr>
        <w:t>[</w:t>
      </w:r>
      <w:r w:rsidRPr="00371453">
        <w:rPr>
          <w:rFonts w:cs="Arial"/>
          <w:sz w:val="18"/>
          <w:lang w:val="en-CA"/>
        </w:rPr>
        <w:t>NOT</w:t>
      </w:r>
      <w:r>
        <w:rPr>
          <w:rFonts w:cs="Arial"/>
          <w:lang w:val="en-CA"/>
        </w:rPr>
        <w:t xml:space="preserve"> </w:t>
      </w:r>
      <w:r>
        <w:rPr>
          <w:rFonts w:cs="Arial"/>
          <w:smallCaps/>
          <w:lang w:val="en-CA"/>
        </w:rPr>
        <w:t>translat</w:t>
      </w:r>
      <w:r w:rsidRPr="00371453">
        <w:rPr>
          <w:rFonts w:cs="Arial"/>
          <w:smallCaps/>
          <w:sz w:val="18"/>
          <w:lang w:val="en-CA"/>
        </w:rPr>
        <w:t>ED</w:t>
      </w:r>
      <w:r>
        <w:rPr>
          <w:rFonts w:cs="Arial"/>
          <w:lang w:val="en-CA"/>
        </w:rPr>
        <w:t>]</w:t>
      </w:r>
      <w:r>
        <w:rPr>
          <w:rFonts w:cs="Arial"/>
          <w:sz w:val="28"/>
          <w:szCs w:val="28"/>
          <w:lang w:val="en-CA"/>
        </w:rPr>
        <w:t xml:space="preserve"> “Statement of Facts”</w:t>
      </w:r>
    </w:p>
    <w:p w14:paraId="701CACEF" w14:textId="77777777" w:rsidR="00313DEB" w:rsidRDefault="00313DEB" w:rsidP="00895880">
      <w:pPr>
        <w:jc w:val="center"/>
        <w:rPr>
          <w:rFonts w:cs="Arial"/>
          <w:sz w:val="28"/>
          <w:szCs w:val="28"/>
          <w:lang w:val="en-CA"/>
        </w:rPr>
      </w:pPr>
    </w:p>
    <w:p w14:paraId="172331C1" w14:textId="77777777" w:rsidR="00313DEB" w:rsidRDefault="00313DEB" w:rsidP="00895880">
      <w:pPr>
        <w:rPr>
          <w:rFonts w:cs="Arial"/>
          <w:sz w:val="28"/>
          <w:szCs w:val="28"/>
          <w:lang w:val="en-CA"/>
        </w:rPr>
        <w:sectPr w:rsidR="00313DEB" w:rsidSect="0084249E">
          <w:pgSz w:w="12240" w:h="15840"/>
          <w:pgMar w:top="1440" w:right="1800" w:bottom="1440" w:left="1800" w:header="708" w:footer="708" w:gutter="0"/>
          <w:cols w:space="720"/>
        </w:sectPr>
      </w:pPr>
    </w:p>
    <w:p w14:paraId="5F87820A" w14:textId="77777777" w:rsidR="00313DEB" w:rsidRDefault="00313DEB" w:rsidP="00895880">
      <w:pPr>
        <w:jc w:val="center"/>
        <w:rPr>
          <w:rFonts w:cs="Arial"/>
          <w:sz w:val="28"/>
          <w:szCs w:val="28"/>
          <w:lang w:val="en-CA"/>
        </w:rPr>
      </w:pPr>
      <w:r>
        <w:rPr>
          <w:rFonts w:cs="Arial"/>
          <w:sz w:val="28"/>
          <w:szCs w:val="28"/>
          <w:lang w:val="en-CA"/>
        </w:rPr>
        <w:lastRenderedPageBreak/>
        <w:t>Schedule C</w:t>
      </w:r>
    </w:p>
    <w:p w14:paraId="6C9494D1" w14:textId="77777777" w:rsidR="00313DEB" w:rsidRDefault="00313DEB" w:rsidP="00895880">
      <w:pPr>
        <w:jc w:val="center"/>
        <w:rPr>
          <w:rFonts w:cs="Arial"/>
          <w:sz w:val="28"/>
          <w:szCs w:val="28"/>
          <w:lang w:val="en-CA"/>
        </w:rPr>
      </w:pPr>
    </w:p>
    <w:p w14:paraId="1B1E184E" w14:textId="77777777" w:rsidR="00313DEB" w:rsidRDefault="00313DEB" w:rsidP="00895880">
      <w:pPr>
        <w:jc w:val="center"/>
        <w:rPr>
          <w:rFonts w:cs="Arial"/>
          <w:sz w:val="28"/>
          <w:szCs w:val="28"/>
          <w:lang w:val="en-CA"/>
        </w:rPr>
      </w:pPr>
    </w:p>
    <w:p w14:paraId="6C971DE8" w14:textId="77777777" w:rsidR="00313DEB" w:rsidRDefault="00313DEB" w:rsidP="00895880">
      <w:pPr>
        <w:jc w:val="center"/>
        <w:rPr>
          <w:rFonts w:cs="Arial"/>
          <w:sz w:val="28"/>
          <w:szCs w:val="28"/>
          <w:lang w:val="en-CA"/>
        </w:rPr>
      </w:pPr>
      <w:r>
        <w:rPr>
          <w:rFonts w:cs="Arial"/>
          <w:lang w:val="en-CA"/>
        </w:rPr>
        <w:t>[</w:t>
      </w:r>
      <w:r>
        <w:rPr>
          <w:rFonts w:cs="Arial"/>
          <w:smallCaps/>
          <w:lang w:val="en-CA"/>
        </w:rPr>
        <w:t>translation</w:t>
      </w:r>
      <w:r>
        <w:rPr>
          <w:rFonts w:cs="Arial"/>
          <w:lang w:val="en-CA"/>
        </w:rPr>
        <w:t>]</w:t>
      </w:r>
      <w:r>
        <w:rPr>
          <w:rFonts w:cs="Arial"/>
          <w:sz w:val="28"/>
          <w:szCs w:val="28"/>
          <w:lang w:val="en-CA"/>
        </w:rPr>
        <w:t xml:space="preserve"> “Reports Calendar”</w:t>
      </w:r>
    </w:p>
    <w:p w14:paraId="7C63489C" w14:textId="77777777" w:rsidR="00313DEB" w:rsidRDefault="00313DEB" w:rsidP="00895880">
      <w:pPr>
        <w:rPr>
          <w:rFonts w:cs="Arial"/>
          <w:sz w:val="28"/>
          <w:szCs w:val="28"/>
          <w:lang w:val="en-CA"/>
        </w:rPr>
        <w:sectPr w:rsidR="00313DEB" w:rsidSect="0084249E">
          <w:pgSz w:w="12240" w:h="15840"/>
          <w:pgMar w:top="1440" w:right="1800" w:bottom="1440" w:left="1800" w:header="708" w:footer="708" w:gutter="0"/>
          <w:cols w:space="720"/>
        </w:sectPr>
      </w:pPr>
      <w:r>
        <w:rPr>
          <w:rFonts w:cs="Arial"/>
          <w:sz w:val="28"/>
          <w:szCs w:val="28"/>
          <w:lang w:val="en-CA"/>
        </w:rPr>
        <w:br w:type="page"/>
      </w:r>
    </w:p>
    <w:tbl>
      <w:tblPr>
        <w:tblStyle w:val="Grilledutableau1"/>
        <w:tblW w:w="0" w:type="auto"/>
        <w:tblInd w:w="0" w:type="dxa"/>
        <w:tblLook w:val="04A0" w:firstRow="1" w:lastRow="0" w:firstColumn="1" w:lastColumn="0" w:noHBand="0" w:noVBand="1"/>
      </w:tblPr>
      <w:tblGrid>
        <w:gridCol w:w="4306"/>
        <w:gridCol w:w="4334"/>
      </w:tblGrid>
      <w:tr w:rsidR="00313DEB" w14:paraId="4EEB57EA" w14:textId="77777777" w:rsidTr="00064CA6">
        <w:tc>
          <w:tcPr>
            <w:tcW w:w="4306" w:type="dxa"/>
            <w:tcBorders>
              <w:top w:val="nil"/>
              <w:left w:val="nil"/>
              <w:bottom w:val="nil"/>
              <w:right w:val="nil"/>
            </w:tcBorders>
            <w:hideMark/>
          </w:tcPr>
          <w:p w14:paraId="0BA9CC29" w14:textId="77777777" w:rsidR="00313DEB" w:rsidRDefault="00313DEB">
            <w:pPr>
              <w:rPr>
                <w:rFonts w:eastAsia="Arial" w:cs="Arial"/>
                <w:b/>
                <w:sz w:val="20"/>
                <w:szCs w:val="20"/>
              </w:rPr>
            </w:pPr>
            <w:r>
              <w:rPr>
                <w:rFonts w:eastAsia="Arial" w:cs="Arial"/>
                <w:b/>
                <w:sz w:val="20"/>
                <w:szCs w:val="20"/>
              </w:rPr>
              <w:lastRenderedPageBreak/>
              <w:t>CANADA</w:t>
            </w:r>
          </w:p>
          <w:p w14:paraId="0C09F57F" w14:textId="77777777" w:rsidR="00313DEB" w:rsidRDefault="00313DEB">
            <w:pPr>
              <w:rPr>
                <w:rFonts w:eastAsia="Arial" w:cs="Arial"/>
                <w:b/>
                <w:sz w:val="20"/>
                <w:szCs w:val="20"/>
              </w:rPr>
            </w:pPr>
            <w:r>
              <w:rPr>
                <w:rFonts w:eastAsia="Arial" w:cs="Arial"/>
                <w:b/>
                <w:sz w:val="20"/>
                <w:szCs w:val="20"/>
              </w:rPr>
              <w:t>PROVINCE OF QUÉBEC</w:t>
            </w:r>
          </w:p>
          <w:p w14:paraId="751BD03E" w14:textId="77777777" w:rsidR="00313DEB" w:rsidRDefault="00313DEB">
            <w:pPr>
              <w:rPr>
                <w:rFonts w:eastAsia="Arial" w:cs="Arial"/>
                <w:b/>
                <w:sz w:val="20"/>
                <w:szCs w:val="20"/>
              </w:rPr>
            </w:pPr>
            <w:r>
              <w:rPr>
                <w:rFonts w:eastAsia="Arial" w:cs="Arial"/>
                <w:b/>
                <w:sz w:val="20"/>
                <w:szCs w:val="20"/>
              </w:rPr>
              <w:t>DISTRICT OF MONTRÉAL</w:t>
            </w:r>
          </w:p>
        </w:tc>
        <w:tc>
          <w:tcPr>
            <w:tcW w:w="4334" w:type="dxa"/>
            <w:tcBorders>
              <w:top w:val="nil"/>
              <w:left w:val="nil"/>
              <w:bottom w:val="single" w:sz="4" w:space="0" w:color="auto"/>
              <w:right w:val="nil"/>
            </w:tcBorders>
          </w:tcPr>
          <w:p w14:paraId="4710C2D3" w14:textId="77777777" w:rsidR="00313DEB" w:rsidRDefault="00313DEB">
            <w:pPr>
              <w:rPr>
                <w:rFonts w:eastAsia="Arial" w:cs="Arial"/>
                <w:sz w:val="20"/>
                <w:szCs w:val="20"/>
              </w:rPr>
            </w:pPr>
          </w:p>
          <w:p w14:paraId="690EEC7F" w14:textId="77777777" w:rsidR="00313DEB" w:rsidRDefault="00313DEB">
            <w:pPr>
              <w:jc w:val="center"/>
              <w:rPr>
                <w:rFonts w:eastAsia="Arial" w:cs="Arial"/>
                <w:b/>
                <w:sz w:val="20"/>
                <w:szCs w:val="20"/>
              </w:rPr>
            </w:pPr>
            <w:r>
              <w:rPr>
                <w:rFonts w:eastAsia="Arial" w:cs="Arial"/>
                <w:b/>
                <w:sz w:val="20"/>
                <w:szCs w:val="20"/>
              </w:rPr>
              <w:t>S U P E R I O R  C O U R T</w:t>
            </w:r>
          </w:p>
          <w:p w14:paraId="7C93A7CA" w14:textId="77777777" w:rsidR="00313DEB" w:rsidRDefault="00313DEB">
            <w:pPr>
              <w:jc w:val="center"/>
              <w:rPr>
                <w:rFonts w:eastAsia="Arial" w:cs="Arial"/>
                <w:sz w:val="20"/>
                <w:szCs w:val="20"/>
              </w:rPr>
            </w:pPr>
            <w:r>
              <w:rPr>
                <w:rFonts w:eastAsia="Arial" w:cs="Arial"/>
                <w:sz w:val="20"/>
                <w:szCs w:val="20"/>
              </w:rPr>
              <w:t>(Criminal Division)</w:t>
            </w:r>
          </w:p>
          <w:p w14:paraId="4798E08D" w14:textId="77777777" w:rsidR="00313DEB" w:rsidRDefault="00313DEB">
            <w:pPr>
              <w:jc w:val="center"/>
              <w:rPr>
                <w:rFonts w:eastAsia="Arial" w:cs="Arial"/>
                <w:sz w:val="20"/>
                <w:szCs w:val="20"/>
              </w:rPr>
            </w:pPr>
          </w:p>
        </w:tc>
      </w:tr>
      <w:tr w:rsidR="00313DEB" w14:paraId="3599B191" w14:textId="77777777" w:rsidTr="00064CA6">
        <w:tc>
          <w:tcPr>
            <w:tcW w:w="4306" w:type="dxa"/>
            <w:tcBorders>
              <w:top w:val="nil"/>
              <w:left w:val="nil"/>
              <w:bottom w:val="nil"/>
              <w:right w:val="nil"/>
            </w:tcBorders>
          </w:tcPr>
          <w:p w14:paraId="35988BEB" w14:textId="77777777" w:rsidR="00313DEB" w:rsidRDefault="00313DEB">
            <w:pPr>
              <w:rPr>
                <w:rFonts w:eastAsia="Arial" w:cs="Arial"/>
                <w:b/>
                <w:sz w:val="20"/>
                <w:szCs w:val="20"/>
              </w:rPr>
            </w:pPr>
          </w:p>
          <w:p w14:paraId="383C7D07" w14:textId="77777777" w:rsidR="00313DEB" w:rsidRDefault="00313DEB">
            <w:pPr>
              <w:rPr>
                <w:rFonts w:eastAsia="Arial" w:cs="Arial"/>
                <w:b/>
                <w:sz w:val="20"/>
                <w:szCs w:val="20"/>
              </w:rPr>
            </w:pPr>
            <w:r>
              <w:rPr>
                <w:rFonts w:eastAsia="Arial" w:cs="Arial"/>
                <w:b/>
                <w:sz w:val="20"/>
                <w:szCs w:val="20"/>
              </w:rPr>
              <w:t xml:space="preserve">Sup. Ct. No.: 500-36-010199-225 </w:t>
            </w:r>
          </w:p>
          <w:p w14:paraId="03955A67" w14:textId="77777777" w:rsidR="00313DEB" w:rsidRDefault="00313DEB">
            <w:pPr>
              <w:rPr>
                <w:rFonts w:eastAsia="Arial" w:cs="Arial"/>
                <w:b/>
                <w:sz w:val="20"/>
                <w:szCs w:val="20"/>
              </w:rPr>
            </w:pPr>
            <w:r>
              <w:rPr>
                <w:rFonts w:eastAsia="Arial" w:cs="Arial"/>
                <w:b/>
                <w:sz w:val="20"/>
                <w:szCs w:val="20"/>
              </w:rPr>
              <w:t xml:space="preserve">CQ No.:         500-01-223556-215 </w:t>
            </w:r>
          </w:p>
          <w:p w14:paraId="13B9C144" w14:textId="77777777" w:rsidR="00313DEB" w:rsidRDefault="00313DEB">
            <w:pPr>
              <w:rPr>
                <w:rFonts w:eastAsia="Arial" w:cs="Arial"/>
                <w:b/>
                <w:sz w:val="20"/>
                <w:szCs w:val="20"/>
              </w:rPr>
            </w:pPr>
            <w:r>
              <w:rPr>
                <w:rFonts w:eastAsia="Arial" w:cs="Arial"/>
                <w:b/>
                <w:sz w:val="20"/>
                <w:szCs w:val="20"/>
              </w:rPr>
              <w:t>RCMP No.:    2013-1438587</w:t>
            </w:r>
          </w:p>
        </w:tc>
        <w:tc>
          <w:tcPr>
            <w:tcW w:w="4334" w:type="dxa"/>
            <w:tcBorders>
              <w:top w:val="single" w:sz="4" w:space="0" w:color="auto"/>
              <w:left w:val="nil"/>
              <w:bottom w:val="single" w:sz="4" w:space="0" w:color="auto"/>
              <w:right w:val="nil"/>
            </w:tcBorders>
          </w:tcPr>
          <w:p w14:paraId="583808BF" w14:textId="77777777" w:rsidR="00313DEB" w:rsidRDefault="00313DEB">
            <w:pPr>
              <w:rPr>
                <w:rFonts w:eastAsia="Arial" w:cs="Arial"/>
                <w:sz w:val="20"/>
                <w:szCs w:val="20"/>
              </w:rPr>
            </w:pPr>
          </w:p>
          <w:p w14:paraId="78B46651" w14:textId="77777777" w:rsidR="00313DEB" w:rsidRDefault="00313DEB">
            <w:pPr>
              <w:rPr>
                <w:rFonts w:eastAsia="Arial" w:cs="Arial"/>
                <w:sz w:val="20"/>
                <w:szCs w:val="20"/>
              </w:rPr>
            </w:pPr>
          </w:p>
          <w:p w14:paraId="3BC636F3" w14:textId="77777777" w:rsidR="00313DEB" w:rsidRDefault="00313DEB">
            <w:pPr>
              <w:rPr>
                <w:rFonts w:eastAsia="Arial" w:cs="Arial"/>
                <w:b/>
                <w:sz w:val="20"/>
                <w:szCs w:val="20"/>
              </w:rPr>
            </w:pPr>
            <w:r>
              <w:rPr>
                <w:rFonts w:eastAsia="Arial" w:cs="Arial"/>
                <w:b/>
                <w:sz w:val="20"/>
                <w:szCs w:val="20"/>
              </w:rPr>
              <w:t>Her Majesty the Queen</w:t>
            </w:r>
          </w:p>
          <w:p w14:paraId="3E36D621" w14:textId="77777777" w:rsidR="00313DEB" w:rsidRDefault="00313DEB">
            <w:pPr>
              <w:rPr>
                <w:rFonts w:eastAsia="Arial" w:cs="Arial"/>
                <w:sz w:val="20"/>
                <w:szCs w:val="20"/>
              </w:rPr>
            </w:pPr>
          </w:p>
          <w:p w14:paraId="58C17F43" w14:textId="77777777" w:rsidR="00313DEB" w:rsidRDefault="00313DEB">
            <w:pPr>
              <w:rPr>
                <w:rFonts w:eastAsia="Arial" w:cs="Arial"/>
                <w:sz w:val="20"/>
                <w:szCs w:val="20"/>
              </w:rPr>
            </w:pPr>
          </w:p>
          <w:p w14:paraId="123C0DED" w14:textId="77777777" w:rsidR="00313DEB" w:rsidRDefault="00313DEB">
            <w:pPr>
              <w:jc w:val="right"/>
              <w:rPr>
                <w:rFonts w:eastAsia="Arial" w:cs="Arial"/>
                <w:sz w:val="20"/>
                <w:szCs w:val="20"/>
              </w:rPr>
            </w:pPr>
            <w:r>
              <w:rPr>
                <w:rFonts w:eastAsia="Arial" w:cs="Arial"/>
                <w:sz w:val="20"/>
                <w:szCs w:val="20"/>
              </w:rPr>
              <w:tab/>
              <w:t>PROSECUTOR</w:t>
            </w:r>
          </w:p>
          <w:p w14:paraId="24EEF5BF" w14:textId="77777777" w:rsidR="00313DEB" w:rsidRDefault="00313DEB">
            <w:pPr>
              <w:rPr>
                <w:rFonts w:eastAsia="Arial" w:cs="Arial"/>
                <w:sz w:val="20"/>
                <w:szCs w:val="20"/>
              </w:rPr>
            </w:pPr>
          </w:p>
          <w:p w14:paraId="7E566026" w14:textId="77777777" w:rsidR="00313DEB" w:rsidRDefault="00313DEB">
            <w:pPr>
              <w:rPr>
                <w:rFonts w:eastAsia="Arial" w:cs="Arial"/>
                <w:sz w:val="20"/>
                <w:szCs w:val="20"/>
              </w:rPr>
            </w:pPr>
            <w:r>
              <w:rPr>
                <w:rFonts w:eastAsia="Arial" w:cs="Arial"/>
                <w:sz w:val="20"/>
                <w:szCs w:val="20"/>
              </w:rPr>
              <w:t>v.</w:t>
            </w:r>
          </w:p>
          <w:p w14:paraId="52B381BF" w14:textId="77777777" w:rsidR="00313DEB" w:rsidRDefault="00313DEB">
            <w:pPr>
              <w:rPr>
                <w:rFonts w:eastAsia="Arial" w:cs="Arial"/>
                <w:sz w:val="20"/>
                <w:szCs w:val="20"/>
              </w:rPr>
            </w:pPr>
          </w:p>
          <w:p w14:paraId="4B85649D" w14:textId="77777777" w:rsidR="00313DEB" w:rsidRPr="00EA6F14" w:rsidRDefault="00313DEB">
            <w:pPr>
              <w:rPr>
                <w:rFonts w:eastAsia="Arial" w:cs="Arial"/>
                <w:b/>
                <w:sz w:val="20"/>
                <w:szCs w:val="20"/>
              </w:rPr>
            </w:pPr>
            <w:r w:rsidRPr="00EA6F14">
              <w:rPr>
                <w:rFonts w:eastAsia="Arial" w:cs="Arial"/>
                <w:b/>
                <w:sz w:val="20"/>
                <w:szCs w:val="20"/>
              </w:rPr>
              <w:t>SNC-Lavalin Inc.</w:t>
            </w:r>
          </w:p>
          <w:p w14:paraId="5771A7E9" w14:textId="77777777" w:rsidR="00313DEB" w:rsidRPr="00EA6F14" w:rsidRDefault="00313DEB">
            <w:pPr>
              <w:rPr>
                <w:rFonts w:eastAsia="Arial" w:cs="Arial"/>
                <w:b/>
                <w:sz w:val="20"/>
                <w:szCs w:val="20"/>
              </w:rPr>
            </w:pPr>
            <w:r w:rsidRPr="00EA6F14">
              <w:rPr>
                <w:rFonts w:eastAsia="Arial" w:cs="Arial"/>
                <w:b/>
                <w:sz w:val="20"/>
                <w:szCs w:val="20"/>
              </w:rPr>
              <w:t>SNC-Lavalin International Inc.</w:t>
            </w:r>
          </w:p>
          <w:p w14:paraId="3E437D6C" w14:textId="77777777" w:rsidR="00313DEB" w:rsidRPr="00EA6F14" w:rsidRDefault="00313DEB">
            <w:pPr>
              <w:rPr>
                <w:rFonts w:eastAsia="Arial" w:cs="Arial"/>
                <w:sz w:val="20"/>
                <w:szCs w:val="20"/>
              </w:rPr>
            </w:pPr>
            <w:r w:rsidRPr="00EA6F14">
              <w:rPr>
                <w:rFonts w:eastAsia="Arial" w:cs="Arial"/>
                <w:sz w:val="20"/>
                <w:szCs w:val="20"/>
              </w:rPr>
              <w:t xml:space="preserve"> </w:t>
            </w:r>
          </w:p>
          <w:p w14:paraId="3E2F61AA" w14:textId="77777777" w:rsidR="00313DEB" w:rsidRPr="00EA6F14" w:rsidRDefault="00313DEB">
            <w:pPr>
              <w:rPr>
                <w:rFonts w:eastAsia="Arial" w:cs="Arial"/>
                <w:sz w:val="20"/>
                <w:szCs w:val="20"/>
              </w:rPr>
            </w:pPr>
          </w:p>
          <w:p w14:paraId="3AC290E6" w14:textId="77777777" w:rsidR="00313DEB" w:rsidRPr="00EA6F14" w:rsidRDefault="00313DEB">
            <w:pPr>
              <w:rPr>
                <w:rFonts w:eastAsia="Arial" w:cs="Arial"/>
                <w:sz w:val="20"/>
                <w:szCs w:val="20"/>
              </w:rPr>
            </w:pPr>
            <w:r w:rsidRPr="00EA6F14">
              <w:rPr>
                <w:rFonts w:eastAsia="Arial" w:cs="Arial"/>
                <w:sz w:val="20"/>
                <w:szCs w:val="20"/>
              </w:rPr>
              <w:t xml:space="preserve"> </w:t>
            </w:r>
          </w:p>
          <w:p w14:paraId="553D8EBC" w14:textId="77777777" w:rsidR="00313DEB" w:rsidRDefault="00313DEB">
            <w:pPr>
              <w:jc w:val="right"/>
              <w:rPr>
                <w:rFonts w:eastAsia="Arial" w:cs="Arial"/>
                <w:sz w:val="20"/>
                <w:szCs w:val="20"/>
              </w:rPr>
            </w:pPr>
            <w:r w:rsidRPr="00EA6F14">
              <w:rPr>
                <w:rFonts w:eastAsia="Arial" w:cs="Arial"/>
                <w:sz w:val="20"/>
                <w:szCs w:val="20"/>
              </w:rPr>
              <w:tab/>
            </w:r>
            <w:r>
              <w:rPr>
                <w:rFonts w:eastAsia="Arial" w:cs="Arial"/>
                <w:sz w:val="20"/>
                <w:szCs w:val="20"/>
              </w:rPr>
              <w:t>ACCUSED</w:t>
            </w:r>
          </w:p>
        </w:tc>
      </w:tr>
    </w:tbl>
    <w:p w14:paraId="643DD766" w14:textId="77777777" w:rsidR="00313DEB" w:rsidRDefault="00313DEB" w:rsidP="00895880">
      <w:pPr>
        <w:widowControl w:val="0"/>
        <w:autoSpaceDE w:val="0"/>
        <w:autoSpaceDN w:val="0"/>
        <w:rPr>
          <w:rFonts w:eastAsia="Arial" w:cs="Arial"/>
          <w:sz w:val="20"/>
          <w:lang w:val="en-US"/>
        </w:rPr>
      </w:pPr>
    </w:p>
    <w:p w14:paraId="337D4816" w14:textId="77777777" w:rsidR="00313DEB" w:rsidRDefault="00313DEB" w:rsidP="00895880">
      <w:pPr>
        <w:widowControl w:val="0"/>
        <w:pBdr>
          <w:top w:val="single" w:sz="12" w:space="1" w:color="auto"/>
          <w:bottom w:val="single" w:sz="12" w:space="1" w:color="auto"/>
        </w:pBdr>
        <w:autoSpaceDE w:val="0"/>
        <w:autoSpaceDN w:val="0"/>
        <w:rPr>
          <w:rFonts w:eastAsia="Arial" w:cs="Arial"/>
          <w:b/>
          <w:sz w:val="20"/>
          <w:lang w:val="en-US"/>
        </w:rPr>
      </w:pPr>
    </w:p>
    <w:p w14:paraId="68433A46" w14:textId="77777777" w:rsidR="00313DEB" w:rsidRDefault="00313DEB" w:rsidP="00895880">
      <w:pPr>
        <w:widowControl w:val="0"/>
        <w:pBdr>
          <w:top w:val="single" w:sz="12" w:space="1" w:color="auto"/>
          <w:bottom w:val="single" w:sz="12" w:space="1" w:color="auto"/>
        </w:pBdr>
        <w:autoSpaceDE w:val="0"/>
        <w:autoSpaceDN w:val="0"/>
        <w:jc w:val="center"/>
        <w:rPr>
          <w:rFonts w:eastAsia="Arial" w:cs="Arial"/>
          <w:b/>
          <w:sz w:val="20"/>
          <w:lang w:val="en-US"/>
        </w:rPr>
      </w:pPr>
      <w:r>
        <w:rPr>
          <w:rFonts w:eastAsia="Arial" w:cs="Arial"/>
          <w:b/>
          <w:sz w:val="20"/>
          <w:lang w:val="en-US"/>
        </w:rPr>
        <w:t>REMEDIATION AGREEMENT</w:t>
      </w:r>
    </w:p>
    <w:p w14:paraId="761F77CD" w14:textId="77777777" w:rsidR="00313DEB" w:rsidRDefault="00313DEB" w:rsidP="00895880">
      <w:pPr>
        <w:widowControl w:val="0"/>
        <w:pBdr>
          <w:top w:val="single" w:sz="12" w:space="1" w:color="auto"/>
          <w:bottom w:val="single" w:sz="12" w:space="1" w:color="auto"/>
        </w:pBdr>
        <w:autoSpaceDE w:val="0"/>
        <w:autoSpaceDN w:val="0"/>
        <w:jc w:val="center"/>
        <w:rPr>
          <w:rFonts w:eastAsia="Arial" w:cs="Arial"/>
          <w:b/>
          <w:sz w:val="20"/>
          <w:lang w:val="en-US"/>
        </w:rPr>
      </w:pPr>
      <w:r>
        <w:rPr>
          <w:rFonts w:eastAsia="Arial" w:cs="Arial"/>
          <w:b/>
          <w:sz w:val="20"/>
          <w:lang w:val="en-US"/>
        </w:rPr>
        <w:t>- SCHEDULE C -</w:t>
      </w:r>
    </w:p>
    <w:p w14:paraId="3043F4A6" w14:textId="77777777" w:rsidR="00313DEB" w:rsidRDefault="00313DEB" w:rsidP="00895880">
      <w:pPr>
        <w:widowControl w:val="0"/>
        <w:pBdr>
          <w:top w:val="single" w:sz="12" w:space="1" w:color="auto"/>
          <w:bottom w:val="single" w:sz="12" w:space="1" w:color="auto"/>
        </w:pBdr>
        <w:autoSpaceDE w:val="0"/>
        <w:autoSpaceDN w:val="0"/>
        <w:jc w:val="center"/>
        <w:rPr>
          <w:rFonts w:eastAsia="Arial" w:cs="Arial"/>
          <w:b/>
          <w:sz w:val="20"/>
          <w:lang w:val="en-US"/>
        </w:rPr>
      </w:pPr>
    </w:p>
    <w:p w14:paraId="3A0D63D7" w14:textId="77777777" w:rsidR="00313DEB" w:rsidRDefault="00313DEB" w:rsidP="00895880">
      <w:pPr>
        <w:widowControl w:val="0"/>
        <w:pBdr>
          <w:top w:val="single" w:sz="12" w:space="1" w:color="auto"/>
          <w:bottom w:val="single" w:sz="12" w:space="1" w:color="auto"/>
        </w:pBdr>
        <w:autoSpaceDE w:val="0"/>
        <w:autoSpaceDN w:val="0"/>
        <w:jc w:val="center"/>
        <w:rPr>
          <w:rFonts w:eastAsia="Arial" w:cs="Arial"/>
          <w:b/>
          <w:sz w:val="20"/>
          <w:lang w:val="en-US"/>
        </w:rPr>
      </w:pPr>
      <w:r>
        <w:rPr>
          <w:rFonts w:eastAsia="Arial" w:cs="Arial"/>
          <w:b/>
          <w:sz w:val="20"/>
          <w:lang w:val="en-US"/>
        </w:rPr>
        <w:t>REPORTS CALENDAR</w:t>
      </w:r>
    </w:p>
    <w:p w14:paraId="2EBBF949" w14:textId="77777777" w:rsidR="00313DEB" w:rsidRDefault="00313DEB" w:rsidP="00895880">
      <w:pPr>
        <w:widowControl w:val="0"/>
        <w:autoSpaceDE w:val="0"/>
        <w:autoSpaceDN w:val="0"/>
        <w:rPr>
          <w:rFonts w:eastAsia="Arial" w:cs="Arial"/>
          <w:sz w:val="20"/>
          <w:lang w:val="en-US"/>
        </w:rPr>
      </w:pPr>
      <w:r>
        <w:rPr>
          <w:noProof/>
          <w:lang w:eastAsia="fr-CA"/>
        </w:rPr>
        <mc:AlternateContent>
          <mc:Choice Requires="wps">
            <w:drawing>
              <wp:anchor distT="0" distB="0" distL="114300" distR="114300" simplePos="0" relativeHeight="251661824" behindDoc="0" locked="0" layoutInCell="1" allowOverlap="1" wp14:anchorId="7D44D0AD" wp14:editId="54066705">
                <wp:simplePos x="0" y="0"/>
                <wp:positionH relativeFrom="column">
                  <wp:posOffset>4554220</wp:posOffset>
                </wp:positionH>
                <wp:positionV relativeFrom="paragraph">
                  <wp:posOffset>141605</wp:posOffset>
                </wp:positionV>
                <wp:extent cx="2700020" cy="336550"/>
                <wp:effectExtent l="635" t="0" r="5715" b="5715"/>
                <wp:wrapNone/>
                <wp:docPr id="11" name="Zone de texte 11"/>
                <wp:cNvGraphicFramePr/>
                <a:graphic xmlns:a="http://schemas.openxmlformats.org/drawingml/2006/main">
                  <a:graphicData uri="http://schemas.microsoft.com/office/word/2010/wordprocessingShape">
                    <wps:wsp>
                      <wps:cNvSpPr txBox="1"/>
                      <wps:spPr>
                        <a:xfrm rot="5400000">
                          <a:off x="0" y="0"/>
                          <a:ext cx="2700020" cy="335915"/>
                        </a:xfrm>
                        <a:prstGeom prst="rect">
                          <a:avLst/>
                        </a:prstGeom>
                        <a:solidFill>
                          <a:sysClr val="window" lastClr="FFFFFF"/>
                        </a:solidFill>
                        <a:ln w="6350">
                          <a:noFill/>
                        </a:ln>
                      </wps:spPr>
                      <wps:txbx>
                        <w:txbxContent>
                          <w:p w14:paraId="29B298FF" w14:textId="77777777" w:rsidR="00BA1BFD" w:rsidRDefault="00BA1BFD" w:rsidP="008958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44D0AD" id="Zone de texte 11" o:spid="_x0000_s1027" type="#_x0000_t202" style="position:absolute;margin-left:358.6pt;margin-top:11.15pt;width:212.6pt;height:26.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" fillcolor="window" stroked="f" strokeweight=".5pt">
                <v:textbox>
                  <w:txbxContent>
                    <w:p w14:paraId="29B298FF" w14:textId="77777777" w:rsidR="00BA1BFD" w:rsidRDefault="00BA1BFD" w:rsidP="00895880"/>
                  </w:txbxContent>
                </v:textbox>
              </v:shape>
            </w:pict>
          </mc:Fallback>
        </mc:AlternateContent>
      </w:r>
    </w:p>
    <w:p w14:paraId="7C57389D" w14:textId="77777777" w:rsidR="00313DEB" w:rsidRDefault="00313DEB" w:rsidP="00895880">
      <w:pPr>
        <w:widowControl w:val="0"/>
        <w:autoSpaceDE w:val="0"/>
        <w:autoSpaceDN w:val="0"/>
        <w:rPr>
          <w:rFonts w:eastAsia="Arial" w:cs="Arial"/>
          <w:i/>
          <w:sz w:val="20"/>
          <w:lang w:val="en-US"/>
        </w:rPr>
      </w:pPr>
      <w:r>
        <w:rPr>
          <w:rFonts w:eastAsia="Arial" w:cs="Arial"/>
          <w:i/>
          <w:sz w:val="20"/>
          <w:lang w:val="en-US"/>
        </w:rPr>
        <w:t>Should an order be issued approving the Draft Remediation Agreement dated between May 10 and 13, 2022, the calendar for filing reports pursuant to paragraphs 32, 34, 36, 39 and 40 of the Draft Agreement shall be spread over the following dates:</w:t>
      </w:r>
    </w:p>
    <w:p w14:paraId="3923C9BC" w14:textId="77777777" w:rsidR="00313DEB" w:rsidRDefault="00313DEB" w:rsidP="00895880">
      <w:pPr>
        <w:widowControl w:val="0"/>
        <w:autoSpaceDE w:val="0"/>
        <w:autoSpaceDN w:val="0"/>
        <w:rPr>
          <w:rFonts w:eastAsia="Arial" w:cs="Arial"/>
          <w:sz w:val="20"/>
          <w:lang w:val="en-US"/>
        </w:rPr>
      </w:pPr>
      <w:r>
        <w:rPr>
          <w:rFonts w:eastAsia="Arial" w:cs="Arial"/>
          <w:sz w:val="20"/>
          <w:lang w:val="en-US"/>
        </w:rPr>
        <w:t xml:space="preserve"> </w:t>
      </w:r>
    </w:p>
    <w:tbl>
      <w:tblPr>
        <w:tblStyle w:val="Grilledutableau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2682"/>
      </w:tblGrid>
      <w:tr w:rsidR="00313DEB" w14:paraId="29536A55" w14:textId="77777777" w:rsidTr="00895880">
        <w:tc>
          <w:tcPr>
            <w:tcW w:w="6062" w:type="dxa"/>
            <w:shd w:val="clear" w:color="auto" w:fill="D9D9D9"/>
          </w:tcPr>
          <w:p w14:paraId="2CFEFDF3" w14:textId="77777777" w:rsidR="00313DEB" w:rsidRDefault="00313DEB">
            <w:pPr>
              <w:jc w:val="center"/>
              <w:rPr>
                <w:rFonts w:eastAsia="Arial" w:cs="Arial"/>
                <w:b/>
                <w:sz w:val="20"/>
                <w:szCs w:val="20"/>
                <w:highlight w:val="lightGray"/>
              </w:rPr>
            </w:pPr>
            <w:r>
              <w:rPr>
                <w:rFonts w:eastAsia="Arial" w:cs="Arial"/>
                <w:b/>
                <w:sz w:val="20"/>
                <w:szCs w:val="20"/>
                <w:highlight w:val="lightGray"/>
              </w:rPr>
              <w:t>REPORT(S)</w:t>
            </w:r>
          </w:p>
          <w:p w14:paraId="4D612626" w14:textId="77777777" w:rsidR="00313DEB" w:rsidRDefault="00313DEB">
            <w:pPr>
              <w:rPr>
                <w:rFonts w:eastAsia="Arial" w:cs="Arial"/>
                <w:b/>
                <w:sz w:val="20"/>
                <w:szCs w:val="20"/>
                <w:highlight w:val="lightGray"/>
              </w:rPr>
            </w:pPr>
          </w:p>
        </w:tc>
        <w:tc>
          <w:tcPr>
            <w:tcW w:w="2718" w:type="dxa"/>
            <w:shd w:val="clear" w:color="auto" w:fill="D9D9D9"/>
          </w:tcPr>
          <w:p w14:paraId="2301559A" w14:textId="77777777" w:rsidR="00313DEB" w:rsidRDefault="00313DEB">
            <w:pPr>
              <w:jc w:val="center"/>
              <w:rPr>
                <w:rFonts w:eastAsia="Arial" w:cs="Arial"/>
                <w:b/>
                <w:sz w:val="20"/>
                <w:szCs w:val="20"/>
              </w:rPr>
            </w:pPr>
            <w:r>
              <w:rPr>
                <w:rFonts w:eastAsia="Arial" w:cs="Arial"/>
                <w:b/>
                <w:sz w:val="20"/>
                <w:szCs w:val="20"/>
              </w:rPr>
              <w:t>DATE</w:t>
            </w:r>
          </w:p>
          <w:p w14:paraId="053DA79A" w14:textId="77777777" w:rsidR="00313DEB" w:rsidRDefault="00313DEB">
            <w:pPr>
              <w:rPr>
                <w:rFonts w:eastAsia="Arial" w:cs="Arial"/>
                <w:b/>
                <w:sz w:val="20"/>
                <w:szCs w:val="20"/>
              </w:rPr>
            </w:pPr>
          </w:p>
        </w:tc>
      </w:tr>
      <w:tr w:rsidR="00313DEB" w14:paraId="100FE044" w14:textId="77777777" w:rsidTr="00895880">
        <w:tc>
          <w:tcPr>
            <w:tcW w:w="6062" w:type="dxa"/>
          </w:tcPr>
          <w:p w14:paraId="0022F8E1" w14:textId="77777777" w:rsidR="00313DEB" w:rsidRDefault="00313DEB">
            <w:pPr>
              <w:rPr>
                <w:rFonts w:eastAsia="Arial" w:cs="Arial"/>
                <w:i/>
                <w:sz w:val="20"/>
                <w:szCs w:val="20"/>
              </w:rPr>
            </w:pPr>
            <w:r>
              <w:rPr>
                <w:rFonts w:eastAsia="Arial" w:cs="Arial"/>
                <w:i/>
                <w:sz w:val="20"/>
                <w:szCs w:val="20"/>
              </w:rPr>
              <w:t>Independent Monitor’s Initial Report</w:t>
            </w:r>
          </w:p>
          <w:p w14:paraId="58B2737A" w14:textId="77777777" w:rsidR="00313DEB" w:rsidRDefault="00313DEB">
            <w:pPr>
              <w:rPr>
                <w:rFonts w:eastAsia="Arial" w:cs="Arial"/>
                <w:i/>
                <w:sz w:val="20"/>
                <w:szCs w:val="20"/>
              </w:rPr>
            </w:pPr>
          </w:p>
        </w:tc>
        <w:tc>
          <w:tcPr>
            <w:tcW w:w="2718" w:type="dxa"/>
          </w:tcPr>
          <w:p w14:paraId="510501D0" w14:textId="77777777" w:rsidR="00313DEB" w:rsidRDefault="00313DEB">
            <w:pPr>
              <w:jc w:val="center"/>
              <w:rPr>
                <w:rFonts w:eastAsia="Arial" w:cs="Arial"/>
                <w:sz w:val="20"/>
                <w:szCs w:val="20"/>
              </w:rPr>
            </w:pPr>
            <w:r>
              <w:rPr>
                <w:rFonts w:eastAsia="Arial" w:cs="Arial"/>
                <w:sz w:val="20"/>
                <w:szCs w:val="20"/>
              </w:rPr>
              <w:t>August 15, 2022</w:t>
            </w:r>
          </w:p>
          <w:p w14:paraId="48235F67" w14:textId="77777777" w:rsidR="00313DEB" w:rsidRDefault="00313DEB">
            <w:pPr>
              <w:jc w:val="center"/>
              <w:rPr>
                <w:rFonts w:eastAsia="Arial" w:cs="Arial"/>
                <w:sz w:val="20"/>
                <w:szCs w:val="20"/>
              </w:rPr>
            </w:pPr>
          </w:p>
        </w:tc>
      </w:tr>
      <w:tr w:rsidR="00313DEB" w14:paraId="6F804E20" w14:textId="77777777" w:rsidTr="00895880">
        <w:tc>
          <w:tcPr>
            <w:tcW w:w="6062" w:type="dxa"/>
          </w:tcPr>
          <w:p w14:paraId="4C1B4F1E" w14:textId="77777777" w:rsidR="00313DEB" w:rsidRDefault="00313DEB">
            <w:pPr>
              <w:rPr>
                <w:rFonts w:eastAsia="Arial" w:cs="Arial"/>
                <w:i/>
                <w:sz w:val="20"/>
                <w:szCs w:val="20"/>
              </w:rPr>
            </w:pPr>
            <w:r>
              <w:rPr>
                <w:rFonts w:eastAsia="Arial" w:cs="Arial"/>
                <w:i/>
                <w:sz w:val="20"/>
                <w:szCs w:val="20"/>
              </w:rPr>
              <w:t xml:space="preserve">SNCLG’s 1st Implementation Report </w:t>
            </w:r>
          </w:p>
          <w:p w14:paraId="4EB71780" w14:textId="77777777" w:rsidR="00313DEB" w:rsidRDefault="00313DEB">
            <w:pPr>
              <w:rPr>
                <w:rFonts w:eastAsia="Arial" w:cs="Arial"/>
                <w:i/>
                <w:sz w:val="20"/>
                <w:szCs w:val="20"/>
              </w:rPr>
            </w:pPr>
          </w:p>
        </w:tc>
        <w:tc>
          <w:tcPr>
            <w:tcW w:w="2718" w:type="dxa"/>
          </w:tcPr>
          <w:p w14:paraId="610D6F07" w14:textId="77777777" w:rsidR="00313DEB" w:rsidRDefault="00313DEB">
            <w:pPr>
              <w:jc w:val="center"/>
              <w:rPr>
                <w:rFonts w:eastAsia="Arial" w:cs="Arial"/>
                <w:sz w:val="20"/>
                <w:szCs w:val="20"/>
              </w:rPr>
            </w:pPr>
            <w:r>
              <w:rPr>
                <w:rFonts w:eastAsia="Arial" w:cs="Arial"/>
                <w:sz w:val="20"/>
                <w:szCs w:val="20"/>
              </w:rPr>
              <w:t>November 15, 2022</w:t>
            </w:r>
          </w:p>
          <w:p w14:paraId="5B693E1A" w14:textId="77777777" w:rsidR="00313DEB" w:rsidRDefault="00313DEB">
            <w:pPr>
              <w:jc w:val="center"/>
              <w:rPr>
                <w:rFonts w:eastAsia="Arial" w:cs="Arial"/>
                <w:sz w:val="20"/>
                <w:szCs w:val="20"/>
              </w:rPr>
            </w:pPr>
          </w:p>
        </w:tc>
      </w:tr>
      <w:tr w:rsidR="00313DEB" w14:paraId="49BE8C8C" w14:textId="77777777" w:rsidTr="00895880">
        <w:tc>
          <w:tcPr>
            <w:tcW w:w="6062" w:type="dxa"/>
          </w:tcPr>
          <w:p w14:paraId="284203EF" w14:textId="77777777" w:rsidR="00313DEB" w:rsidRDefault="00313DEB">
            <w:pPr>
              <w:rPr>
                <w:rFonts w:eastAsia="Arial" w:cs="Arial"/>
                <w:i/>
                <w:sz w:val="20"/>
                <w:szCs w:val="20"/>
              </w:rPr>
            </w:pPr>
            <w:r>
              <w:rPr>
                <w:rFonts w:eastAsia="Arial" w:cs="Arial"/>
                <w:i/>
                <w:sz w:val="20"/>
                <w:szCs w:val="20"/>
              </w:rPr>
              <w:t>Independent Monitor’s 1st Follow-Up Report</w:t>
            </w:r>
          </w:p>
          <w:p w14:paraId="079DA74B" w14:textId="77777777" w:rsidR="00313DEB" w:rsidRDefault="00313DEB">
            <w:pPr>
              <w:rPr>
                <w:rFonts w:eastAsia="Arial" w:cs="Arial"/>
                <w:i/>
                <w:sz w:val="20"/>
                <w:szCs w:val="20"/>
              </w:rPr>
            </w:pPr>
          </w:p>
        </w:tc>
        <w:tc>
          <w:tcPr>
            <w:tcW w:w="2718" w:type="dxa"/>
          </w:tcPr>
          <w:p w14:paraId="462795F4" w14:textId="77777777" w:rsidR="00313DEB" w:rsidRDefault="00313DEB">
            <w:pPr>
              <w:jc w:val="center"/>
              <w:rPr>
                <w:rFonts w:eastAsia="Arial" w:cs="Arial"/>
                <w:sz w:val="20"/>
                <w:szCs w:val="20"/>
              </w:rPr>
            </w:pPr>
            <w:r>
              <w:rPr>
                <w:rFonts w:eastAsia="Arial" w:cs="Arial"/>
                <w:sz w:val="20"/>
                <w:szCs w:val="20"/>
              </w:rPr>
              <w:t>March 31, 2023</w:t>
            </w:r>
          </w:p>
          <w:p w14:paraId="77B083D5" w14:textId="77777777" w:rsidR="00313DEB" w:rsidRDefault="00313DEB">
            <w:pPr>
              <w:jc w:val="center"/>
              <w:rPr>
                <w:rFonts w:eastAsia="Arial" w:cs="Arial"/>
                <w:sz w:val="20"/>
                <w:szCs w:val="20"/>
              </w:rPr>
            </w:pPr>
          </w:p>
        </w:tc>
      </w:tr>
      <w:tr w:rsidR="00313DEB" w14:paraId="3E070781" w14:textId="77777777" w:rsidTr="00895880">
        <w:tc>
          <w:tcPr>
            <w:tcW w:w="6062" w:type="dxa"/>
          </w:tcPr>
          <w:p w14:paraId="2E22AE9A" w14:textId="77777777" w:rsidR="00313DEB" w:rsidRDefault="00313DEB">
            <w:pPr>
              <w:rPr>
                <w:rFonts w:eastAsia="Arial" w:cs="Arial"/>
                <w:i/>
                <w:sz w:val="20"/>
                <w:szCs w:val="20"/>
              </w:rPr>
            </w:pPr>
            <w:r>
              <w:rPr>
                <w:rFonts w:eastAsia="Arial" w:cs="Arial"/>
                <w:i/>
                <w:sz w:val="20"/>
                <w:szCs w:val="20"/>
              </w:rPr>
              <w:t xml:space="preserve">SNCLG’s 2nd Implementation Report </w:t>
            </w:r>
          </w:p>
          <w:p w14:paraId="03911853" w14:textId="77777777" w:rsidR="00313DEB" w:rsidRDefault="00313DEB">
            <w:pPr>
              <w:rPr>
                <w:rFonts w:eastAsia="Arial" w:cs="Arial"/>
                <w:i/>
                <w:sz w:val="20"/>
                <w:szCs w:val="20"/>
              </w:rPr>
            </w:pPr>
          </w:p>
        </w:tc>
        <w:tc>
          <w:tcPr>
            <w:tcW w:w="2718" w:type="dxa"/>
          </w:tcPr>
          <w:p w14:paraId="705EDB7A" w14:textId="77777777" w:rsidR="00313DEB" w:rsidRDefault="00313DEB">
            <w:pPr>
              <w:jc w:val="center"/>
              <w:rPr>
                <w:rFonts w:eastAsia="Arial" w:cs="Arial"/>
                <w:sz w:val="20"/>
                <w:szCs w:val="20"/>
              </w:rPr>
            </w:pPr>
            <w:r>
              <w:rPr>
                <w:rFonts w:eastAsia="Arial" w:cs="Arial"/>
                <w:sz w:val="20"/>
                <w:szCs w:val="20"/>
              </w:rPr>
              <w:t>August 15, 2023</w:t>
            </w:r>
          </w:p>
          <w:p w14:paraId="0216C16C" w14:textId="77777777" w:rsidR="00313DEB" w:rsidRDefault="00313DEB">
            <w:pPr>
              <w:jc w:val="center"/>
              <w:rPr>
                <w:rFonts w:eastAsia="Arial" w:cs="Arial"/>
                <w:sz w:val="20"/>
                <w:szCs w:val="20"/>
              </w:rPr>
            </w:pPr>
          </w:p>
        </w:tc>
      </w:tr>
      <w:tr w:rsidR="00313DEB" w14:paraId="4F63B504" w14:textId="77777777" w:rsidTr="00895880">
        <w:tc>
          <w:tcPr>
            <w:tcW w:w="6062" w:type="dxa"/>
          </w:tcPr>
          <w:p w14:paraId="2EB7AD58" w14:textId="77777777" w:rsidR="00313DEB" w:rsidRDefault="00313DEB">
            <w:pPr>
              <w:rPr>
                <w:rFonts w:eastAsia="Arial" w:cs="Arial"/>
                <w:i/>
                <w:sz w:val="20"/>
                <w:szCs w:val="20"/>
              </w:rPr>
            </w:pPr>
            <w:r>
              <w:rPr>
                <w:rFonts w:eastAsia="Arial" w:cs="Arial"/>
                <w:i/>
                <w:sz w:val="20"/>
                <w:szCs w:val="20"/>
              </w:rPr>
              <w:t>Independent Monitor’s 2nd Follow-Up Report</w:t>
            </w:r>
          </w:p>
          <w:p w14:paraId="5781CC67" w14:textId="77777777" w:rsidR="00313DEB" w:rsidRDefault="00313DEB">
            <w:pPr>
              <w:rPr>
                <w:rFonts w:eastAsia="Arial" w:cs="Arial"/>
                <w:i/>
                <w:sz w:val="20"/>
                <w:szCs w:val="20"/>
              </w:rPr>
            </w:pPr>
          </w:p>
        </w:tc>
        <w:tc>
          <w:tcPr>
            <w:tcW w:w="2718" w:type="dxa"/>
          </w:tcPr>
          <w:p w14:paraId="298B778B" w14:textId="77777777" w:rsidR="00313DEB" w:rsidRDefault="00313DEB">
            <w:pPr>
              <w:jc w:val="center"/>
              <w:rPr>
                <w:rFonts w:eastAsia="Arial" w:cs="Arial"/>
                <w:sz w:val="20"/>
                <w:szCs w:val="20"/>
              </w:rPr>
            </w:pPr>
            <w:r>
              <w:rPr>
                <w:rFonts w:eastAsia="Arial" w:cs="Arial"/>
                <w:sz w:val="20"/>
                <w:szCs w:val="20"/>
              </w:rPr>
              <w:t>January 2, 2024</w:t>
            </w:r>
          </w:p>
          <w:p w14:paraId="6675C717" w14:textId="77777777" w:rsidR="00313DEB" w:rsidRDefault="00313DEB">
            <w:pPr>
              <w:jc w:val="center"/>
              <w:rPr>
                <w:rFonts w:eastAsia="Arial" w:cs="Arial"/>
                <w:sz w:val="20"/>
                <w:szCs w:val="20"/>
              </w:rPr>
            </w:pPr>
          </w:p>
        </w:tc>
      </w:tr>
      <w:tr w:rsidR="00313DEB" w14:paraId="04956ACD" w14:textId="77777777" w:rsidTr="00895880">
        <w:tc>
          <w:tcPr>
            <w:tcW w:w="6062" w:type="dxa"/>
          </w:tcPr>
          <w:p w14:paraId="3F24375D" w14:textId="77777777" w:rsidR="00313DEB" w:rsidRDefault="00313DEB">
            <w:pPr>
              <w:rPr>
                <w:rFonts w:eastAsia="Arial" w:cs="Arial"/>
                <w:i/>
                <w:sz w:val="20"/>
                <w:szCs w:val="20"/>
              </w:rPr>
            </w:pPr>
            <w:r>
              <w:rPr>
                <w:rFonts w:eastAsia="Arial" w:cs="Arial"/>
                <w:i/>
                <w:sz w:val="20"/>
                <w:szCs w:val="20"/>
              </w:rPr>
              <w:t>SNCLG’s 3rd Implementation Report</w:t>
            </w:r>
          </w:p>
          <w:p w14:paraId="6B6CCD9D" w14:textId="77777777" w:rsidR="00313DEB" w:rsidRDefault="00313DEB">
            <w:pPr>
              <w:rPr>
                <w:rFonts w:eastAsia="Arial" w:cs="Arial"/>
                <w:i/>
                <w:sz w:val="20"/>
                <w:szCs w:val="20"/>
              </w:rPr>
            </w:pPr>
          </w:p>
        </w:tc>
        <w:tc>
          <w:tcPr>
            <w:tcW w:w="2718" w:type="dxa"/>
          </w:tcPr>
          <w:p w14:paraId="4818F047" w14:textId="77777777" w:rsidR="00313DEB" w:rsidRDefault="00313DEB">
            <w:pPr>
              <w:jc w:val="center"/>
              <w:rPr>
                <w:rFonts w:eastAsia="Arial" w:cs="Arial"/>
                <w:sz w:val="20"/>
                <w:szCs w:val="20"/>
              </w:rPr>
            </w:pPr>
            <w:r>
              <w:rPr>
                <w:rFonts w:eastAsia="Arial" w:cs="Arial"/>
                <w:sz w:val="20"/>
                <w:szCs w:val="20"/>
              </w:rPr>
              <w:t>May 15, 2024</w:t>
            </w:r>
          </w:p>
          <w:p w14:paraId="7FC6B186" w14:textId="77777777" w:rsidR="00313DEB" w:rsidRDefault="00313DEB">
            <w:pPr>
              <w:jc w:val="center"/>
              <w:rPr>
                <w:rFonts w:eastAsia="Arial" w:cs="Arial"/>
                <w:sz w:val="20"/>
                <w:szCs w:val="20"/>
              </w:rPr>
            </w:pPr>
          </w:p>
        </w:tc>
      </w:tr>
      <w:tr w:rsidR="00313DEB" w14:paraId="4A80077D" w14:textId="77777777" w:rsidTr="00895880">
        <w:tc>
          <w:tcPr>
            <w:tcW w:w="6062" w:type="dxa"/>
          </w:tcPr>
          <w:p w14:paraId="732EFD88" w14:textId="77777777" w:rsidR="00313DEB" w:rsidRDefault="00313DEB">
            <w:pPr>
              <w:rPr>
                <w:rFonts w:eastAsia="Arial" w:cs="Arial"/>
                <w:i/>
                <w:sz w:val="20"/>
                <w:szCs w:val="20"/>
              </w:rPr>
            </w:pPr>
            <w:r>
              <w:rPr>
                <w:rFonts w:eastAsia="Arial" w:cs="Arial"/>
                <w:i/>
                <w:sz w:val="20"/>
                <w:szCs w:val="20"/>
              </w:rPr>
              <w:t xml:space="preserve">Independent Monitor’s 3rd Follow-Up Report </w:t>
            </w:r>
          </w:p>
          <w:p w14:paraId="6CC13A0C" w14:textId="77777777" w:rsidR="00313DEB" w:rsidRDefault="00313DEB">
            <w:pPr>
              <w:rPr>
                <w:rFonts w:eastAsia="Arial" w:cs="Arial"/>
                <w:i/>
                <w:sz w:val="20"/>
                <w:szCs w:val="20"/>
              </w:rPr>
            </w:pPr>
          </w:p>
        </w:tc>
        <w:tc>
          <w:tcPr>
            <w:tcW w:w="2718" w:type="dxa"/>
          </w:tcPr>
          <w:p w14:paraId="4BDCD113" w14:textId="77777777" w:rsidR="00313DEB" w:rsidRDefault="00313DEB">
            <w:pPr>
              <w:jc w:val="center"/>
              <w:rPr>
                <w:rFonts w:eastAsia="Arial" w:cs="Arial"/>
                <w:sz w:val="20"/>
                <w:szCs w:val="20"/>
              </w:rPr>
            </w:pPr>
            <w:r>
              <w:rPr>
                <w:rFonts w:eastAsia="Arial" w:cs="Arial"/>
                <w:sz w:val="20"/>
                <w:szCs w:val="20"/>
              </w:rPr>
              <w:t>October 1, 2024</w:t>
            </w:r>
          </w:p>
          <w:p w14:paraId="714DA356" w14:textId="77777777" w:rsidR="00313DEB" w:rsidRDefault="00313DEB">
            <w:pPr>
              <w:jc w:val="center"/>
              <w:rPr>
                <w:rFonts w:eastAsia="Arial" w:cs="Arial"/>
                <w:sz w:val="20"/>
                <w:szCs w:val="20"/>
              </w:rPr>
            </w:pPr>
          </w:p>
        </w:tc>
      </w:tr>
      <w:tr w:rsidR="00313DEB" w14:paraId="550DB7F4" w14:textId="77777777" w:rsidTr="00895880">
        <w:tc>
          <w:tcPr>
            <w:tcW w:w="6062" w:type="dxa"/>
          </w:tcPr>
          <w:p w14:paraId="2CAC19F5" w14:textId="77777777" w:rsidR="00313DEB" w:rsidRDefault="00313DEB">
            <w:pPr>
              <w:rPr>
                <w:rFonts w:eastAsia="Arial" w:cs="Arial"/>
                <w:i/>
                <w:sz w:val="20"/>
                <w:szCs w:val="20"/>
              </w:rPr>
            </w:pPr>
            <w:r>
              <w:rPr>
                <w:rFonts w:eastAsia="Arial" w:cs="Arial"/>
                <w:i/>
                <w:sz w:val="20"/>
                <w:szCs w:val="20"/>
              </w:rPr>
              <w:t xml:space="preserve">SNCLG’s Final Report </w:t>
            </w:r>
          </w:p>
          <w:p w14:paraId="616C93C9" w14:textId="77777777" w:rsidR="00313DEB" w:rsidRDefault="00313DEB">
            <w:pPr>
              <w:rPr>
                <w:rFonts w:eastAsia="Arial" w:cs="Arial"/>
                <w:i/>
                <w:sz w:val="20"/>
                <w:szCs w:val="20"/>
              </w:rPr>
            </w:pPr>
          </w:p>
        </w:tc>
        <w:tc>
          <w:tcPr>
            <w:tcW w:w="2718" w:type="dxa"/>
          </w:tcPr>
          <w:p w14:paraId="1D6E6050" w14:textId="77777777" w:rsidR="00313DEB" w:rsidRDefault="00313DEB">
            <w:pPr>
              <w:jc w:val="center"/>
              <w:rPr>
                <w:rFonts w:eastAsia="Arial" w:cs="Arial"/>
                <w:sz w:val="20"/>
                <w:szCs w:val="20"/>
              </w:rPr>
            </w:pPr>
            <w:r>
              <w:rPr>
                <w:rFonts w:eastAsia="Arial" w:cs="Arial"/>
                <w:sz w:val="20"/>
                <w:szCs w:val="20"/>
              </w:rPr>
              <w:t>January 15, 2025</w:t>
            </w:r>
          </w:p>
          <w:p w14:paraId="2E718BD2" w14:textId="77777777" w:rsidR="00313DEB" w:rsidRDefault="00313DEB">
            <w:pPr>
              <w:jc w:val="center"/>
              <w:rPr>
                <w:rFonts w:eastAsia="Arial" w:cs="Arial"/>
                <w:sz w:val="20"/>
                <w:szCs w:val="20"/>
              </w:rPr>
            </w:pPr>
          </w:p>
        </w:tc>
      </w:tr>
      <w:tr w:rsidR="00313DEB" w14:paraId="3FF0FBFE" w14:textId="77777777" w:rsidTr="00895880">
        <w:tc>
          <w:tcPr>
            <w:tcW w:w="6062" w:type="dxa"/>
          </w:tcPr>
          <w:p w14:paraId="0A56DC1E" w14:textId="77777777" w:rsidR="00313DEB" w:rsidRDefault="00313DEB">
            <w:pPr>
              <w:rPr>
                <w:rFonts w:eastAsia="Arial" w:cs="Arial"/>
                <w:i/>
                <w:sz w:val="20"/>
                <w:szCs w:val="20"/>
              </w:rPr>
            </w:pPr>
            <w:r>
              <w:rPr>
                <w:rFonts w:eastAsia="Arial" w:cs="Arial"/>
                <w:i/>
                <w:sz w:val="20"/>
                <w:szCs w:val="20"/>
              </w:rPr>
              <w:t>Independent Monitor’s Closing Report</w:t>
            </w:r>
          </w:p>
          <w:p w14:paraId="41472185" w14:textId="77777777" w:rsidR="00313DEB" w:rsidRDefault="00313DEB">
            <w:pPr>
              <w:rPr>
                <w:rFonts w:eastAsia="Arial" w:cs="Arial"/>
                <w:i/>
                <w:sz w:val="20"/>
                <w:szCs w:val="20"/>
              </w:rPr>
            </w:pPr>
          </w:p>
        </w:tc>
        <w:tc>
          <w:tcPr>
            <w:tcW w:w="2718" w:type="dxa"/>
          </w:tcPr>
          <w:p w14:paraId="60DDD51D" w14:textId="77777777" w:rsidR="00313DEB" w:rsidRDefault="00313DEB">
            <w:pPr>
              <w:jc w:val="center"/>
              <w:rPr>
                <w:rFonts w:eastAsia="Arial" w:cs="Arial"/>
                <w:sz w:val="20"/>
                <w:szCs w:val="20"/>
              </w:rPr>
            </w:pPr>
            <w:r>
              <w:rPr>
                <w:rFonts w:eastAsia="Arial" w:cs="Arial"/>
                <w:sz w:val="20"/>
                <w:szCs w:val="20"/>
              </w:rPr>
              <w:t>March 14, 2025</w:t>
            </w:r>
          </w:p>
          <w:p w14:paraId="3945A5A8" w14:textId="77777777" w:rsidR="00313DEB" w:rsidRDefault="00313DEB">
            <w:pPr>
              <w:jc w:val="center"/>
              <w:rPr>
                <w:rFonts w:eastAsia="Arial" w:cs="Arial"/>
                <w:sz w:val="20"/>
                <w:szCs w:val="20"/>
              </w:rPr>
            </w:pPr>
          </w:p>
        </w:tc>
      </w:tr>
    </w:tbl>
    <w:p w14:paraId="1B001093" w14:textId="77777777" w:rsidR="00313DEB" w:rsidRDefault="00313DEB" w:rsidP="00895880">
      <w:pPr>
        <w:widowControl w:val="0"/>
        <w:autoSpaceDE w:val="0"/>
        <w:autoSpaceDN w:val="0"/>
        <w:rPr>
          <w:rFonts w:eastAsia="Arial" w:cs="Arial"/>
          <w:sz w:val="20"/>
          <w:lang w:val="en-US"/>
        </w:rPr>
      </w:pPr>
    </w:p>
    <w:p w14:paraId="6C888DF3" w14:textId="77777777" w:rsidR="00313DEB" w:rsidRDefault="00313DEB" w:rsidP="00895880">
      <w:pPr>
        <w:widowControl w:val="0"/>
        <w:autoSpaceDE w:val="0"/>
        <w:autoSpaceDN w:val="0"/>
        <w:rPr>
          <w:rFonts w:eastAsia="Arial" w:cs="Arial"/>
          <w:sz w:val="20"/>
          <w:lang w:val="en-US"/>
        </w:rPr>
      </w:pPr>
      <w:r>
        <w:rPr>
          <w:rFonts w:eastAsia="Arial" w:cs="Arial"/>
          <w:sz w:val="20"/>
          <w:lang w:val="en-US"/>
        </w:rPr>
        <w:br w:type="page"/>
      </w:r>
    </w:p>
    <w:p w14:paraId="4DBA861B" w14:textId="77777777" w:rsidR="00313DEB" w:rsidRDefault="00313DEB" w:rsidP="00895880">
      <w:pPr>
        <w:rPr>
          <w:rFonts w:cs="Arial"/>
          <w:sz w:val="28"/>
          <w:szCs w:val="28"/>
          <w:lang w:val="en-CA"/>
        </w:rPr>
        <w:sectPr w:rsidR="00313DEB" w:rsidSect="0084249E">
          <w:pgSz w:w="12240" w:h="15840"/>
          <w:pgMar w:top="1440" w:right="1800" w:bottom="1440" w:left="1800" w:header="708" w:footer="708" w:gutter="0"/>
          <w:cols w:space="720"/>
        </w:sectPr>
      </w:pPr>
    </w:p>
    <w:p w14:paraId="2C06722E" w14:textId="77777777" w:rsidR="00313DEB" w:rsidRDefault="00313DEB" w:rsidP="00895880">
      <w:pPr>
        <w:jc w:val="center"/>
        <w:rPr>
          <w:rFonts w:cs="Arial"/>
          <w:sz w:val="28"/>
          <w:szCs w:val="28"/>
          <w:lang w:val="en-CA"/>
        </w:rPr>
      </w:pPr>
      <w:r>
        <w:rPr>
          <w:rFonts w:cs="Arial"/>
          <w:sz w:val="28"/>
          <w:szCs w:val="28"/>
          <w:lang w:val="en-CA"/>
        </w:rPr>
        <w:lastRenderedPageBreak/>
        <w:t>Schedule D</w:t>
      </w:r>
    </w:p>
    <w:p w14:paraId="0E571F69" w14:textId="77777777" w:rsidR="00313DEB" w:rsidRDefault="00313DEB" w:rsidP="00895880">
      <w:pPr>
        <w:jc w:val="center"/>
        <w:rPr>
          <w:rFonts w:cs="Arial"/>
          <w:sz w:val="28"/>
          <w:szCs w:val="28"/>
          <w:lang w:val="en-CA"/>
        </w:rPr>
      </w:pPr>
    </w:p>
    <w:p w14:paraId="3F5CCAAC" w14:textId="77777777" w:rsidR="00313DEB" w:rsidRDefault="00313DEB" w:rsidP="00895880">
      <w:pPr>
        <w:jc w:val="center"/>
        <w:rPr>
          <w:rFonts w:cs="Arial"/>
          <w:sz w:val="28"/>
          <w:szCs w:val="28"/>
          <w:lang w:val="en-CA"/>
        </w:rPr>
      </w:pPr>
    </w:p>
    <w:p w14:paraId="65D805EB" w14:textId="77777777" w:rsidR="00313DEB" w:rsidRDefault="00313DEB" w:rsidP="00895880">
      <w:pPr>
        <w:jc w:val="center"/>
        <w:rPr>
          <w:rFonts w:cs="Arial"/>
          <w:sz w:val="28"/>
          <w:szCs w:val="28"/>
          <w:lang w:val="en-CA"/>
        </w:rPr>
      </w:pPr>
      <w:r>
        <w:rPr>
          <w:rFonts w:cs="Arial"/>
          <w:lang w:val="en-CA"/>
        </w:rPr>
        <w:t>[</w:t>
      </w:r>
      <w:r>
        <w:rPr>
          <w:rFonts w:cs="Arial"/>
          <w:smallCaps/>
          <w:lang w:val="en-CA"/>
        </w:rPr>
        <w:t>translation</w:t>
      </w:r>
      <w:r>
        <w:rPr>
          <w:rFonts w:cs="Arial"/>
          <w:lang w:val="en-CA"/>
        </w:rPr>
        <w:t>]</w:t>
      </w:r>
      <w:r>
        <w:rPr>
          <w:rFonts w:cs="Arial"/>
          <w:sz w:val="28"/>
          <w:szCs w:val="28"/>
          <w:lang w:val="en-CA"/>
        </w:rPr>
        <w:t xml:space="preserve"> “Methods of Payments”</w:t>
      </w:r>
    </w:p>
    <w:p w14:paraId="2B67F59E" w14:textId="77777777" w:rsidR="00313DEB" w:rsidRDefault="00313DEB" w:rsidP="00895880">
      <w:pPr>
        <w:jc w:val="center"/>
        <w:rPr>
          <w:rFonts w:cs="Arial"/>
          <w:sz w:val="28"/>
          <w:szCs w:val="28"/>
          <w:lang w:val="en-CA"/>
        </w:rPr>
      </w:pPr>
    </w:p>
    <w:p w14:paraId="4E4681CB" w14:textId="77777777" w:rsidR="00313DEB" w:rsidRDefault="00313DEB" w:rsidP="00895880">
      <w:pPr>
        <w:jc w:val="center"/>
        <w:rPr>
          <w:rFonts w:cs="Arial"/>
          <w:sz w:val="28"/>
          <w:szCs w:val="28"/>
          <w:lang w:val="en-CA"/>
        </w:rPr>
      </w:pPr>
    </w:p>
    <w:p w14:paraId="01EE28F5" w14:textId="77777777" w:rsidR="00313DEB" w:rsidRDefault="00313DEB" w:rsidP="00895880">
      <w:pPr>
        <w:jc w:val="center"/>
        <w:rPr>
          <w:rFonts w:cs="Arial"/>
          <w:sz w:val="28"/>
          <w:szCs w:val="28"/>
          <w:lang w:val="en-CA"/>
        </w:rPr>
      </w:pPr>
    </w:p>
    <w:p w14:paraId="28A5FB2C" w14:textId="77777777" w:rsidR="00313DEB" w:rsidRDefault="00313DEB" w:rsidP="00895880">
      <w:pPr>
        <w:jc w:val="center"/>
        <w:rPr>
          <w:rFonts w:cs="Arial"/>
          <w:sz w:val="28"/>
          <w:szCs w:val="28"/>
          <w:lang w:val="en-CA"/>
        </w:rPr>
      </w:pPr>
    </w:p>
    <w:p w14:paraId="02A19B5C" w14:textId="77777777" w:rsidR="00313DEB" w:rsidRDefault="00313DEB" w:rsidP="00895880">
      <w:pPr>
        <w:rPr>
          <w:rFonts w:cs="Arial"/>
          <w:sz w:val="28"/>
          <w:szCs w:val="28"/>
          <w:lang w:val="en-CA"/>
        </w:rPr>
        <w:sectPr w:rsidR="00313DEB" w:rsidSect="0084249E">
          <w:pgSz w:w="12240" w:h="15840"/>
          <w:pgMar w:top="1440" w:right="1800" w:bottom="1440" w:left="1800" w:header="708" w:footer="708" w:gutter="0"/>
          <w:cols w:space="720"/>
        </w:sectPr>
      </w:pPr>
      <w:r>
        <w:rPr>
          <w:rFonts w:cs="Arial"/>
          <w:sz w:val="28"/>
          <w:szCs w:val="28"/>
          <w:lang w:val="en-CA"/>
        </w:rPr>
        <w:br w:type="page"/>
      </w:r>
    </w:p>
    <w:tbl>
      <w:tblPr>
        <w:tblStyle w:val="Grilledutableau2"/>
        <w:tblW w:w="0" w:type="auto"/>
        <w:tblInd w:w="0" w:type="dxa"/>
        <w:tblLook w:val="04A0" w:firstRow="1" w:lastRow="0" w:firstColumn="1" w:lastColumn="0" w:noHBand="0" w:noVBand="1"/>
      </w:tblPr>
      <w:tblGrid>
        <w:gridCol w:w="4306"/>
        <w:gridCol w:w="4334"/>
      </w:tblGrid>
      <w:tr w:rsidR="00313DEB" w14:paraId="3DEBE73E" w14:textId="77777777" w:rsidTr="00064CA6">
        <w:tc>
          <w:tcPr>
            <w:tcW w:w="4306" w:type="dxa"/>
            <w:tcBorders>
              <w:top w:val="nil"/>
              <w:left w:val="nil"/>
              <w:bottom w:val="nil"/>
              <w:right w:val="nil"/>
            </w:tcBorders>
            <w:hideMark/>
          </w:tcPr>
          <w:p w14:paraId="6842DFD2" w14:textId="77777777" w:rsidR="00313DEB" w:rsidRDefault="00313DEB">
            <w:pPr>
              <w:rPr>
                <w:rFonts w:eastAsia="Arial" w:cs="Arial"/>
                <w:b/>
                <w:sz w:val="20"/>
                <w:szCs w:val="20"/>
              </w:rPr>
            </w:pPr>
            <w:r>
              <w:rPr>
                <w:rFonts w:eastAsia="Arial" w:cs="Arial"/>
                <w:b/>
                <w:sz w:val="20"/>
                <w:szCs w:val="20"/>
              </w:rPr>
              <w:lastRenderedPageBreak/>
              <w:t>CANADA</w:t>
            </w:r>
          </w:p>
          <w:p w14:paraId="68916C58" w14:textId="77777777" w:rsidR="00313DEB" w:rsidRDefault="00313DEB">
            <w:pPr>
              <w:rPr>
                <w:rFonts w:eastAsia="Arial" w:cs="Arial"/>
                <w:b/>
                <w:sz w:val="20"/>
                <w:szCs w:val="20"/>
              </w:rPr>
            </w:pPr>
            <w:r>
              <w:rPr>
                <w:rFonts w:eastAsia="Arial" w:cs="Arial"/>
                <w:b/>
                <w:sz w:val="20"/>
                <w:szCs w:val="20"/>
              </w:rPr>
              <w:t>PROVINCE OF QUÉBEC</w:t>
            </w:r>
          </w:p>
          <w:p w14:paraId="2DF6608F" w14:textId="77777777" w:rsidR="00313DEB" w:rsidRDefault="00313DEB">
            <w:pPr>
              <w:rPr>
                <w:rFonts w:eastAsia="Arial" w:cs="Arial"/>
                <w:b/>
                <w:sz w:val="20"/>
                <w:szCs w:val="20"/>
              </w:rPr>
            </w:pPr>
            <w:r>
              <w:rPr>
                <w:rFonts w:eastAsia="Arial" w:cs="Arial"/>
                <w:b/>
                <w:sz w:val="20"/>
                <w:szCs w:val="20"/>
              </w:rPr>
              <w:t>DISTRICT OF MONTRÉAL</w:t>
            </w:r>
          </w:p>
        </w:tc>
        <w:tc>
          <w:tcPr>
            <w:tcW w:w="4334" w:type="dxa"/>
            <w:tcBorders>
              <w:top w:val="nil"/>
              <w:left w:val="nil"/>
              <w:bottom w:val="single" w:sz="4" w:space="0" w:color="auto"/>
              <w:right w:val="nil"/>
            </w:tcBorders>
          </w:tcPr>
          <w:p w14:paraId="5FE319B3" w14:textId="77777777" w:rsidR="00313DEB" w:rsidRDefault="00313DEB">
            <w:pPr>
              <w:rPr>
                <w:rFonts w:eastAsia="Arial" w:cs="Arial"/>
                <w:sz w:val="20"/>
                <w:szCs w:val="20"/>
              </w:rPr>
            </w:pPr>
          </w:p>
          <w:p w14:paraId="265DDA5F" w14:textId="77777777" w:rsidR="00313DEB" w:rsidRDefault="00313DEB">
            <w:pPr>
              <w:jc w:val="center"/>
              <w:rPr>
                <w:rFonts w:eastAsia="Arial" w:cs="Arial"/>
                <w:b/>
                <w:sz w:val="20"/>
                <w:szCs w:val="20"/>
              </w:rPr>
            </w:pPr>
            <w:r>
              <w:rPr>
                <w:rFonts w:eastAsia="Arial" w:cs="Arial"/>
                <w:b/>
                <w:sz w:val="20"/>
                <w:szCs w:val="20"/>
              </w:rPr>
              <w:t>S U P E R I O R  C O U R T</w:t>
            </w:r>
          </w:p>
          <w:p w14:paraId="798F2907" w14:textId="77777777" w:rsidR="00313DEB" w:rsidRDefault="00313DEB">
            <w:pPr>
              <w:jc w:val="center"/>
              <w:rPr>
                <w:rFonts w:eastAsia="Arial" w:cs="Arial"/>
                <w:sz w:val="20"/>
                <w:szCs w:val="20"/>
              </w:rPr>
            </w:pPr>
            <w:r>
              <w:rPr>
                <w:rFonts w:eastAsia="Arial" w:cs="Arial"/>
                <w:sz w:val="20"/>
                <w:szCs w:val="20"/>
              </w:rPr>
              <w:t>(Criminal Division)</w:t>
            </w:r>
          </w:p>
          <w:p w14:paraId="0425EC6E" w14:textId="77777777" w:rsidR="00313DEB" w:rsidRDefault="00313DEB">
            <w:pPr>
              <w:jc w:val="center"/>
              <w:rPr>
                <w:rFonts w:eastAsia="Arial" w:cs="Arial"/>
                <w:sz w:val="20"/>
                <w:szCs w:val="20"/>
              </w:rPr>
            </w:pPr>
          </w:p>
        </w:tc>
      </w:tr>
      <w:tr w:rsidR="00313DEB" w14:paraId="64E65303" w14:textId="77777777" w:rsidTr="00064CA6">
        <w:tc>
          <w:tcPr>
            <w:tcW w:w="4306" w:type="dxa"/>
            <w:tcBorders>
              <w:top w:val="nil"/>
              <w:left w:val="nil"/>
              <w:bottom w:val="nil"/>
              <w:right w:val="nil"/>
            </w:tcBorders>
          </w:tcPr>
          <w:p w14:paraId="1E13009B" w14:textId="77777777" w:rsidR="00313DEB" w:rsidRDefault="00313DEB">
            <w:pPr>
              <w:rPr>
                <w:rFonts w:eastAsia="Arial" w:cs="Arial"/>
                <w:b/>
                <w:sz w:val="20"/>
                <w:szCs w:val="20"/>
              </w:rPr>
            </w:pPr>
          </w:p>
          <w:p w14:paraId="5A0AEDEF" w14:textId="77777777" w:rsidR="00313DEB" w:rsidRDefault="00313DEB">
            <w:pPr>
              <w:rPr>
                <w:rFonts w:eastAsia="Arial" w:cs="Arial"/>
                <w:b/>
                <w:sz w:val="20"/>
                <w:szCs w:val="20"/>
              </w:rPr>
            </w:pPr>
            <w:r>
              <w:rPr>
                <w:rFonts w:eastAsia="Arial" w:cs="Arial"/>
                <w:b/>
                <w:sz w:val="20"/>
                <w:szCs w:val="20"/>
              </w:rPr>
              <w:t xml:space="preserve">Sup. Ct. No.: 500-36-010199-225 </w:t>
            </w:r>
          </w:p>
          <w:p w14:paraId="7056C96E" w14:textId="77777777" w:rsidR="00313DEB" w:rsidRDefault="00313DEB">
            <w:pPr>
              <w:rPr>
                <w:rFonts w:eastAsia="Arial" w:cs="Arial"/>
                <w:b/>
                <w:sz w:val="20"/>
                <w:szCs w:val="20"/>
              </w:rPr>
            </w:pPr>
            <w:r>
              <w:rPr>
                <w:rFonts w:eastAsia="Arial" w:cs="Arial"/>
                <w:b/>
                <w:sz w:val="20"/>
                <w:szCs w:val="20"/>
              </w:rPr>
              <w:t xml:space="preserve">CQ No.:         500-01-223556-215 </w:t>
            </w:r>
          </w:p>
          <w:p w14:paraId="4C7A7879" w14:textId="77777777" w:rsidR="00313DEB" w:rsidRDefault="00313DEB">
            <w:pPr>
              <w:rPr>
                <w:rFonts w:eastAsia="Arial" w:cs="Arial"/>
                <w:b/>
                <w:sz w:val="20"/>
                <w:szCs w:val="20"/>
              </w:rPr>
            </w:pPr>
          </w:p>
        </w:tc>
        <w:tc>
          <w:tcPr>
            <w:tcW w:w="4334" w:type="dxa"/>
            <w:tcBorders>
              <w:top w:val="single" w:sz="4" w:space="0" w:color="auto"/>
              <w:left w:val="nil"/>
              <w:bottom w:val="single" w:sz="4" w:space="0" w:color="auto"/>
              <w:right w:val="nil"/>
            </w:tcBorders>
          </w:tcPr>
          <w:p w14:paraId="116C8902" w14:textId="77777777" w:rsidR="00313DEB" w:rsidRDefault="00313DEB">
            <w:pPr>
              <w:rPr>
                <w:rFonts w:eastAsia="Arial" w:cs="Arial"/>
                <w:sz w:val="20"/>
                <w:szCs w:val="20"/>
              </w:rPr>
            </w:pPr>
          </w:p>
          <w:p w14:paraId="0BD0DD68" w14:textId="77777777" w:rsidR="00313DEB" w:rsidRDefault="00313DEB">
            <w:pPr>
              <w:rPr>
                <w:rFonts w:eastAsia="Arial" w:cs="Arial"/>
                <w:sz w:val="20"/>
                <w:szCs w:val="20"/>
              </w:rPr>
            </w:pPr>
          </w:p>
          <w:p w14:paraId="66CAA3CA" w14:textId="77777777" w:rsidR="00313DEB" w:rsidRDefault="00313DEB">
            <w:pPr>
              <w:rPr>
                <w:rFonts w:eastAsia="Arial" w:cs="Arial"/>
                <w:b/>
                <w:sz w:val="20"/>
                <w:szCs w:val="20"/>
              </w:rPr>
            </w:pPr>
            <w:r>
              <w:rPr>
                <w:rFonts w:eastAsia="Arial" w:cs="Arial"/>
                <w:b/>
                <w:sz w:val="20"/>
                <w:szCs w:val="20"/>
              </w:rPr>
              <w:t>Her Majesty the Queen</w:t>
            </w:r>
          </w:p>
          <w:p w14:paraId="06FA6164" w14:textId="77777777" w:rsidR="00313DEB" w:rsidRDefault="00313DEB">
            <w:pPr>
              <w:rPr>
                <w:rFonts w:eastAsia="Arial" w:cs="Arial"/>
                <w:sz w:val="20"/>
                <w:szCs w:val="20"/>
              </w:rPr>
            </w:pPr>
          </w:p>
          <w:p w14:paraId="4E76E71C" w14:textId="77777777" w:rsidR="00313DEB" w:rsidRDefault="00313DEB">
            <w:pPr>
              <w:rPr>
                <w:rFonts w:eastAsia="Arial" w:cs="Arial"/>
                <w:sz w:val="20"/>
                <w:szCs w:val="20"/>
              </w:rPr>
            </w:pPr>
          </w:p>
          <w:p w14:paraId="428CF656" w14:textId="77777777" w:rsidR="00313DEB" w:rsidRDefault="00313DEB">
            <w:pPr>
              <w:jc w:val="right"/>
              <w:rPr>
                <w:rFonts w:eastAsia="Arial" w:cs="Arial"/>
                <w:sz w:val="20"/>
                <w:szCs w:val="20"/>
              </w:rPr>
            </w:pPr>
            <w:r>
              <w:rPr>
                <w:rFonts w:eastAsia="Arial" w:cs="Arial"/>
                <w:sz w:val="20"/>
                <w:szCs w:val="20"/>
              </w:rPr>
              <w:tab/>
              <w:t>PROSECUTOR</w:t>
            </w:r>
          </w:p>
          <w:p w14:paraId="34D320ED" w14:textId="77777777" w:rsidR="00313DEB" w:rsidRDefault="00313DEB">
            <w:pPr>
              <w:rPr>
                <w:rFonts w:eastAsia="Arial" w:cs="Arial"/>
                <w:sz w:val="20"/>
                <w:szCs w:val="20"/>
              </w:rPr>
            </w:pPr>
          </w:p>
          <w:p w14:paraId="22A2FC37" w14:textId="77777777" w:rsidR="00313DEB" w:rsidRDefault="00313DEB">
            <w:pPr>
              <w:rPr>
                <w:rFonts w:eastAsia="Arial" w:cs="Arial"/>
                <w:sz w:val="20"/>
                <w:szCs w:val="20"/>
              </w:rPr>
            </w:pPr>
            <w:r>
              <w:rPr>
                <w:rFonts w:eastAsia="Arial" w:cs="Arial"/>
                <w:sz w:val="20"/>
                <w:szCs w:val="20"/>
              </w:rPr>
              <w:t>v.</w:t>
            </w:r>
          </w:p>
          <w:p w14:paraId="61B294D5" w14:textId="77777777" w:rsidR="00313DEB" w:rsidRDefault="00313DEB">
            <w:pPr>
              <w:rPr>
                <w:rFonts w:eastAsia="Arial" w:cs="Arial"/>
                <w:sz w:val="20"/>
                <w:szCs w:val="20"/>
              </w:rPr>
            </w:pPr>
          </w:p>
          <w:p w14:paraId="1B049AD4" w14:textId="77777777" w:rsidR="00313DEB" w:rsidRPr="00EA6F14" w:rsidRDefault="00313DEB">
            <w:pPr>
              <w:rPr>
                <w:rFonts w:eastAsia="Arial" w:cs="Arial"/>
                <w:b/>
                <w:sz w:val="20"/>
                <w:szCs w:val="20"/>
              </w:rPr>
            </w:pPr>
            <w:r w:rsidRPr="00EA6F14">
              <w:rPr>
                <w:rFonts w:eastAsia="Arial" w:cs="Arial"/>
                <w:b/>
                <w:sz w:val="20"/>
                <w:szCs w:val="20"/>
              </w:rPr>
              <w:t>SNC-Lavalin Inc.</w:t>
            </w:r>
          </w:p>
          <w:p w14:paraId="1AB47CA0" w14:textId="77777777" w:rsidR="00313DEB" w:rsidRPr="00EA6F14" w:rsidRDefault="00313DEB">
            <w:pPr>
              <w:rPr>
                <w:rFonts w:eastAsia="Arial" w:cs="Arial"/>
                <w:b/>
                <w:sz w:val="20"/>
                <w:szCs w:val="20"/>
              </w:rPr>
            </w:pPr>
            <w:r w:rsidRPr="00EA6F14">
              <w:rPr>
                <w:rFonts w:eastAsia="Arial" w:cs="Arial"/>
                <w:b/>
                <w:sz w:val="20"/>
                <w:szCs w:val="20"/>
              </w:rPr>
              <w:t>SNC-Lavalin International Inc.</w:t>
            </w:r>
          </w:p>
          <w:p w14:paraId="191DD627" w14:textId="77777777" w:rsidR="00313DEB" w:rsidRPr="00EA6F14" w:rsidRDefault="00313DEB">
            <w:pPr>
              <w:rPr>
                <w:rFonts w:eastAsia="Arial" w:cs="Arial"/>
                <w:sz w:val="20"/>
                <w:szCs w:val="20"/>
              </w:rPr>
            </w:pPr>
            <w:r w:rsidRPr="00EA6F14">
              <w:rPr>
                <w:rFonts w:eastAsia="Arial" w:cs="Arial"/>
                <w:sz w:val="20"/>
                <w:szCs w:val="20"/>
              </w:rPr>
              <w:t xml:space="preserve"> </w:t>
            </w:r>
          </w:p>
          <w:p w14:paraId="28AD4959" w14:textId="77777777" w:rsidR="00313DEB" w:rsidRPr="00EA6F14" w:rsidRDefault="00313DEB">
            <w:pPr>
              <w:rPr>
                <w:rFonts w:eastAsia="Arial" w:cs="Arial"/>
                <w:sz w:val="20"/>
                <w:szCs w:val="20"/>
              </w:rPr>
            </w:pPr>
          </w:p>
          <w:p w14:paraId="1AE39122" w14:textId="77777777" w:rsidR="00313DEB" w:rsidRPr="00EA6F14" w:rsidRDefault="00313DEB">
            <w:pPr>
              <w:rPr>
                <w:rFonts w:eastAsia="Arial" w:cs="Arial"/>
                <w:sz w:val="20"/>
                <w:szCs w:val="20"/>
              </w:rPr>
            </w:pPr>
            <w:r w:rsidRPr="00EA6F14">
              <w:rPr>
                <w:rFonts w:eastAsia="Arial" w:cs="Arial"/>
                <w:sz w:val="20"/>
                <w:szCs w:val="20"/>
              </w:rPr>
              <w:t xml:space="preserve"> </w:t>
            </w:r>
          </w:p>
          <w:p w14:paraId="274388DD" w14:textId="77777777" w:rsidR="00313DEB" w:rsidRDefault="00313DEB">
            <w:pPr>
              <w:jc w:val="right"/>
              <w:rPr>
                <w:rFonts w:eastAsia="Arial" w:cs="Arial"/>
                <w:sz w:val="20"/>
                <w:szCs w:val="20"/>
              </w:rPr>
            </w:pPr>
            <w:r w:rsidRPr="00EA6F14">
              <w:rPr>
                <w:rFonts w:eastAsia="Arial" w:cs="Arial"/>
                <w:sz w:val="20"/>
                <w:szCs w:val="20"/>
              </w:rPr>
              <w:tab/>
            </w:r>
            <w:r>
              <w:rPr>
                <w:rFonts w:eastAsia="Arial" w:cs="Arial"/>
                <w:sz w:val="20"/>
                <w:szCs w:val="20"/>
              </w:rPr>
              <w:t>ACCUSED</w:t>
            </w:r>
          </w:p>
        </w:tc>
      </w:tr>
    </w:tbl>
    <w:p w14:paraId="730B73ED" w14:textId="77777777" w:rsidR="00313DEB" w:rsidRDefault="00313DEB" w:rsidP="00895880">
      <w:pPr>
        <w:widowControl w:val="0"/>
        <w:autoSpaceDE w:val="0"/>
        <w:autoSpaceDN w:val="0"/>
        <w:rPr>
          <w:rFonts w:eastAsia="Arial" w:cs="Arial"/>
          <w:sz w:val="20"/>
          <w:lang w:val="en-US"/>
        </w:rPr>
      </w:pPr>
    </w:p>
    <w:p w14:paraId="196B4323" w14:textId="77777777" w:rsidR="00313DEB" w:rsidRDefault="00313DEB" w:rsidP="00895880">
      <w:pPr>
        <w:widowControl w:val="0"/>
        <w:autoSpaceDE w:val="0"/>
        <w:autoSpaceDN w:val="0"/>
        <w:rPr>
          <w:rFonts w:eastAsia="Arial" w:cs="Arial"/>
          <w:sz w:val="20"/>
          <w:lang w:val="en-US"/>
        </w:rPr>
      </w:pPr>
    </w:p>
    <w:p w14:paraId="42FB48E4" w14:textId="77777777" w:rsidR="00313DEB" w:rsidRDefault="00313DEB" w:rsidP="00895880">
      <w:pPr>
        <w:widowControl w:val="0"/>
        <w:pBdr>
          <w:top w:val="single" w:sz="12" w:space="1" w:color="auto"/>
          <w:bottom w:val="single" w:sz="12" w:space="1" w:color="auto"/>
        </w:pBdr>
        <w:autoSpaceDE w:val="0"/>
        <w:autoSpaceDN w:val="0"/>
        <w:rPr>
          <w:rFonts w:eastAsia="Arial" w:cs="Arial"/>
          <w:sz w:val="20"/>
          <w:lang w:val="en-US"/>
        </w:rPr>
      </w:pPr>
      <w:r>
        <w:rPr>
          <w:rFonts w:eastAsia="Arial" w:cs="Arial"/>
          <w:sz w:val="20"/>
          <w:lang w:val="en-US"/>
        </w:rPr>
        <w:t xml:space="preserve"> </w:t>
      </w:r>
    </w:p>
    <w:p w14:paraId="3D282EFE" w14:textId="77777777" w:rsidR="00313DEB" w:rsidRDefault="00313DEB" w:rsidP="00895880">
      <w:pPr>
        <w:widowControl w:val="0"/>
        <w:pBdr>
          <w:top w:val="single" w:sz="12" w:space="1" w:color="auto"/>
          <w:bottom w:val="single" w:sz="12" w:space="1" w:color="auto"/>
        </w:pBdr>
        <w:autoSpaceDE w:val="0"/>
        <w:autoSpaceDN w:val="0"/>
        <w:jc w:val="center"/>
        <w:rPr>
          <w:rFonts w:eastAsia="Arial" w:cs="Arial"/>
          <w:b/>
          <w:sz w:val="20"/>
          <w:lang w:val="en-US"/>
        </w:rPr>
      </w:pPr>
      <w:r>
        <w:rPr>
          <w:rFonts w:eastAsia="Arial" w:cs="Arial"/>
          <w:b/>
          <w:sz w:val="20"/>
          <w:lang w:val="en-US"/>
        </w:rPr>
        <w:t>REMEDIATION AGREEMENT</w:t>
      </w:r>
    </w:p>
    <w:p w14:paraId="499F89C9" w14:textId="77777777" w:rsidR="00313DEB" w:rsidRDefault="00313DEB" w:rsidP="00895880">
      <w:pPr>
        <w:widowControl w:val="0"/>
        <w:pBdr>
          <w:top w:val="single" w:sz="12" w:space="1" w:color="auto"/>
          <w:bottom w:val="single" w:sz="12" w:space="1" w:color="auto"/>
        </w:pBdr>
        <w:autoSpaceDE w:val="0"/>
        <w:autoSpaceDN w:val="0"/>
        <w:jc w:val="center"/>
        <w:rPr>
          <w:rFonts w:eastAsia="Arial" w:cs="Arial"/>
          <w:b/>
          <w:sz w:val="20"/>
          <w:lang w:val="en-US"/>
        </w:rPr>
      </w:pPr>
      <w:r>
        <w:rPr>
          <w:rFonts w:eastAsia="Arial" w:cs="Arial"/>
          <w:b/>
          <w:sz w:val="20"/>
          <w:lang w:val="en-US"/>
        </w:rPr>
        <w:t>- SCHEDULE D -</w:t>
      </w:r>
    </w:p>
    <w:p w14:paraId="0875B0C0" w14:textId="77777777" w:rsidR="00313DEB" w:rsidRDefault="00313DEB" w:rsidP="00895880">
      <w:pPr>
        <w:widowControl w:val="0"/>
        <w:pBdr>
          <w:top w:val="single" w:sz="12" w:space="1" w:color="auto"/>
          <w:bottom w:val="single" w:sz="12" w:space="1" w:color="auto"/>
        </w:pBdr>
        <w:autoSpaceDE w:val="0"/>
        <w:autoSpaceDN w:val="0"/>
        <w:jc w:val="center"/>
        <w:rPr>
          <w:rFonts w:eastAsia="Arial" w:cs="Arial"/>
          <w:b/>
          <w:sz w:val="20"/>
          <w:lang w:val="en-US"/>
        </w:rPr>
      </w:pPr>
    </w:p>
    <w:p w14:paraId="260A693A" w14:textId="77777777" w:rsidR="00313DEB" w:rsidRDefault="00313DEB" w:rsidP="00895880">
      <w:pPr>
        <w:widowControl w:val="0"/>
        <w:pBdr>
          <w:top w:val="single" w:sz="12" w:space="1" w:color="auto"/>
          <w:bottom w:val="single" w:sz="12" w:space="1" w:color="auto"/>
        </w:pBdr>
        <w:autoSpaceDE w:val="0"/>
        <w:autoSpaceDN w:val="0"/>
        <w:jc w:val="center"/>
        <w:rPr>
          <w:rFonts w:eastAsia="Arial" w:cs="Arial"/>
          <w:b/>
          <w:sz w:val="20"/>
          <w:lang w:val="en-US"/>
        </w:rPr>
      </w:pPr>
      <w:r>
        <w:rPr>
          <w:rFonts w:eastAsia="Arial" w:cs="Arial"/>
          <w:b/>
          <w:sz w:val="20"/>
          <w:lang w:val="en-US"/>
        </w:rPr>
        <w:t>METHODS OF PAYMENTS</w:t>
      </w:r>
    </w:p>
    <w:p w14:paraId="7873A7BD" w14:textId="77777777" w:rsidR="00313DEB" w:rsidRDefault="00313DEB" w:rsidP="00895880">
      <w:pPr>
        <w:widowControl w:val="0"/>
        <w:autoSpaceDE w:val="0"/>
        <w:autoSpaceDN w:val="0"/>
        <w:rPr>
          <w:rFonts w:eastAsia="Arial" w:cs="Arial"/>
          <w:sz w:val="20"/>
          <w:lang w:val="en-US"/>
        </w:rPr>
      </w:pPr>
    </w:p>
    <w:p w14:paraId="07F6FD6B" w14:textId="77777777" w:rsidR="00313DEB" w:rsidRDefault="00313DEB" w:rsidP="00313DEB">
      <w:pPr>
        <w:widowControl w:val="0"/>
        <w:numPr>
          <w:ilvl w:val="0"/>
          <w:numId w:val="51"/>
        </w:numPr>
        <w:autoSpaceDE w:val="0"/>
        <w:autoSpaceDN w:val="0"/>
        <w:rPr>
          <w:rFonts w:eastAsia="Arial" w:cs="Arial"/>
          <w:b/>
          <w:sz w:val="20"/>
          <w:lang w:val="en-US"/>
        </w:rPr>
      </w:pPr>
      <w:r>
        <w:rPr>
          <w:rFonts w:eastAsia="Arial" w:cs="Arial"/>
          <w:b/>
          <w:sz w:val="20"/>
          <w:lang w:val="en-US"/>
        </w:rPr>
        <w:t>PENALTY under sections 715.31(b) and 715.34(1)(f) Cr. C.:</w:t>
      </w:r>
    </w:p>
    <w:p w14:paraId="296499CF" w14:textId="77777777" w:rsidR="00313DEB" w:rsidRDefault="00313DEB" w:rsidP="00895880">
      <w:pPr>
        <w:widowControl w:val="0"/>
        <w:autoSpaceDE w:val="0"/>
        <w:autoSpaceDN w:val="0"/>
        <w:rPr>
          <w:rFonts w:eastAsia="Arial" w:cs="Arial"/>
          <w:sz w:val="20"/>
          <w:lang w:val="en-US"/>
        </w:rPr>
      </w:pPr>
    </w:p>
    <w:p w14:paraId="136D6CEC" w14:textId="77777777" w:rsidR="00313DEB" w:rsidRDefault="00313DEB" w:rsidP="00313DEB">
      <w:pPr>
        <w:widowControl w:val="0"/>
        <w:numPr>
          <w:ilvl w:val="1"/>
          <w:numId w:val="51"/>
        </w:numPr>
        <w:autoSpaceDE w:val="0"/>
        <w:autoSpaceDN w:val="0"/>
        <w:ind w:left="567" w:hanging="567"/>
        <w:jc w:val="both"/>
        <w:rPr>
          <w:rFonts w:eastAsia="Arial" w:cs="Arial"/>
          <w:sz w:val="20"/>
          <w:lang w:val="en-US"/>
        </w:rPr>
      </w:pPr>
      <w:r>
        <w:rPr>
          <w:rFonts w:eastAsia="Arial" w:cs="Arial"/>
          <w:sz w:val="20"/>
          <w:lang w:val="en-US"/>
        </w:rPr>
        <w:t>The Accused pay the Treasurer of the province of Québec an eighteen million, one hundred and thirty-five thousand, one hundred and thirty-five dollar ($18,135,135) penalty in six (6) equal electronic instalments of three million, twenty-two thousand, five hundred and twenty-two dollars and fifty cents ($3,022,522.50) each, as per the instructions provided to that end by the Bureau des Amendes et Infractions, by contacting Ms. Louise Leblond, Director, Service des plaidoyers et paiements, at 1200 route de l'Église, 6th Floor, Québec City, Québec  G1V 4X1 (email: louise.leblond@justice.gouv.qc.ca, telephone: 418 644-2330, extension 21076, cellphone: 418 575-5135), based on the following schedule:</w:t>
      </w:r>
    </w:p>
    <w:p w14:paraId="67F86197" w14:textId="77777777" w:rsidR="00313DEB" w:rsidRDefault="00313DEB" w:rsidP="00895880">
      <w:pPr>
        <w:widowControl w:val="0"/>
        <w:autoSpaceDE w:val="0"/>
        <w:autoSpaceDN w:val="0"/>
        <w:rPr>
          <w:rFonts w:eastAsia="Arial" w:cs="Arial"/>
          <w:sz w:val="20"/>
          <w:lang w:val="en-US"/>
        </w:rPr>
      </w:pPr>
    </w:p>
    <w:p w14:paraId="3EC4BF1D" w14:textId="77777777" w:rsidR="00313DEB" w:rsidRDefault="00313DEB" w:rsidP="00313DEB">
      <w:pPr>
        <w:widowControl w:val="0"/>
        <w:numPr>
          <w:ilvl w:val="2"/>
          <w:numId w:val="51"/>
        </w:numPr>
        <w:autoSpaceDE w:val="0"/>
        <w:autoSpaceDN w:val="0"/>
        <w:spacing w:after="240"/>
        <w:ind w:left="993"/>
        <w:jc w:val="both"/>
        <w:rPr>
          <w:rFonts w:eastAsia="Arial" w:cs="Arial"/>
          <w:sz w:val="20"/>
          <w:lang w:val="en-US"/>
        </w:rPr>
      </w:pPr>
      <w:r>
        <w:rPr>
          <w:rFonts w:eastAsia="Arial" w:cs="Arial"/>
          <w:sz w:val="20"/>
          <w:lang w:val="en-US"/>
        </w:rPr>
        <w:t>A first instalment no later than June 30, 2023;</w:t>
      </w:r>
    </w:p>
    <w:p w14:paraId="1CE48C89" w14:textId="77777777" w:rsidR="00313DEB" w:rsidRDefault="00313DEB" w:rsidP="00313DEB">
      <w:pPr>
        <w:widowControl w:val="0"/>
        <w:numPr>
          <w:ilvl w:val="2"/>
          <w:numId w:val="51"/>
        </w:numPr>
        <w:autoSpaceDE w:val="0"/>
        <w:autoSpaceDN w:val="0"/>
        <w:spacing w:after="240"/>
        <w:ind w:left="993"/>
        <w:jc w:val="both"/>
        <w:rPr>
          <w:rFonts w:eastAsia="Arial" w:cs="Arial"/>
          <w:sz w:val="20"/>
          <w:lang w:val="en-US"/>
        </w:rPr>
      </w:pPr>
      <w:r>
        <w:rPr>
          <w:rFonts w:eastAsia="Arial" w:cs="Arial"/>
          <w:sz w:val="20"/>
          <w:lang w:val="en-US"/>
        </w:rPr>
        <w:t>A second instalment no later than September 30, 2023;</w:t>
      </w:r>
    </w:p>
    <w:p w14:paraId="06F024D0" w14:textId="77777777" w:rsidR="00313DEB" w:rsidRDefault="00313DEB" w:rsidP="00313DEB">
      <w:pPr>
        <w:widowControl w:val="0"/>
        <w:numPr>
          <w:ilvl w:val="2"/>
          <w:numId w:val="51"/>
        </w:numPr>
        <w:autoSpaceDE w:val="0"/>
        <w:autoSpaceDN w:val="0"/>
        <w:spacing w:after="240"/>
        <w:ind w:left="993"/>
        <w:jc w:val="both"/>
        <w:rPr>
          <w:rFonts w:eastAsia="Arial" w:cs="Arial"/>
          <w:sz w:val="20"/>
          <w:lang w:val="en-US"/>
        </w:rPr>
      </w:pPr>
      <w:r>
        <w:rPr>
          <w:rFonts w:eastAsia="Arial" w:cs="Arial"/>
          <w:sz w:val="20"/>
          <w:lang w:val="en-US"/>
        </w:rPr>
        <w:t>A third instalment no later than December 31, 2023;</w:t>
      </w:r>
    </w:p>
    <w:p w14:paraId="45C0E627" w14:textId="77777777" w:rsidR="00313DEB" w:rsidRDefault="00313DEB" w:rsidP="00313DEB">
      <w:pPr>
        <w:widowControl w:val="0"/>
        <w:numPr>
          <w:ilvl w:val="2"/>
          <w:numId w:val="51"/>
        </w:numPr>
        <w:autoSpaceDE w:val="0"/>
        <w:autoSpaceDN w:val="0"/>
        <w:spacing w:after="240"/>
        <w:ind w:left="993"/>
        <w:jc w:val="both"/>
        <w:rPr>
          <w:rFonts w:eastAsia="Arial" w:cs="Arial"/>
          <w:sz w:val="20"/>
          <w:lang w:val="en-US"/>
        </w:rPr>
      </w:pPr>
      <w:r>
        <w:rPr>
          <w:rFonts w:eastAsia="Arial" w:cs="Arial"/>
          <w:sz w:val="20"/>
          <w:lang w:val="en-US"/>
        </w:rPr>
        <w:t>A fourth instalment no later than June 30, 2024;</w:t>
      </w:r>
    </w:p>
    <w:p w14:paraId="144A2E8D" w14:textId="77777777" w:rsidR="00313DEB" w:rsidRDefault="00313DEB" w:rsidP="00313DEB">
      <w:pPr>
        <w:widowControl w:val="0"/>
        <w:numPr>
          <w:ilvl w:val="2"/>
          <w:numId w:val="51"/>
        </w:numPr>
        <w:autoSpaceDE w:val="0"/>
        <w:autoSpaceDN w:val="0"/>
        <w:spacing w:after="240"/>
        <w:ind w:left="993"/>
        <w:jc w:val="both"/>
        <w:rPr>
          <w:rFonts w:eastAsia="Arial" w:cs="Arial"/>
          <w:sz w:val="20"/>
          <w:lang w:val="en-US"/>
        </w:rPr>
      </w:pPr>
      <w:r>
        <w:rPr>
          <w:rFonts w:eastAsia="Arial" w:cs="Arial"/>
          <w:sz w:val="20"/>
          <w:lang w:val="en-US"/>
        </w:rPr>
        <w:t xml:space="preserve">A fifth instalment no later than September 30, 2024; and </w:t>
      </w:r>
    </w:p>
    <w:p w14:paraId="7CE89C87" w14:textId="77777777" w:rsidR="00313DEB" w:rsidRDefault="00313DEB" w:rsidP="00313DEB">
      <w:pPr>
        <w:widowControl w:val="0"/>
        <w:numPr>
          <w:ilvl w:val="2"/>
          <w:numId w:val="51"/>
        </w:numPr>
        <w:autoSpaceDE w:val="0"/>
        <w:autoSpaceDN w:val="0"/>
        <w:ind w:left="993"/>
        <w:jc w:val="both"/>
        <w:rPr>
          <w:rFonts w:eastAsia="Arial" w:cs="Arial"/>
          <w:sz w:val="20"/>
          <w:lang w:val="en-US"/>
        </w:rPr>
      </w:pPr>
      <w:r>
        <w:rPr>
          <w:rFonts w:eastAsia="Arial" w:cs="Arial"/>
          <w:sz w:val="20"/>
          <w:lang w:val="en-US"/>
        </w:rPr>
        <w:t>A sixth instalment no later than December 31, 2024;</w:t>
      </w:r>
    </w:p>
    <w:p w14:paraId="02C9E7EC" w14:textId="77777777" w:rsidR="00313DEB" w:rsidRDefault="00313DEB" w:rsidP="00895880">
      <w:pPr>
        <w:widowControl w:val="0"/>
        <w:autoSpaceDE w:val="0"/>
        <w:autoSpaceDN w:val="0"/>
        <w:rPr>
          <w:rFonts w:eastAsia="Arial" w:cs="Arial"/>
          <w:sz w:val="20"/>
          <w:lang w:val="en-US"/>
        </w:rPr>
      </w:pPr>
    </w:p>
    <w:p w14:paraId="16D30C66" w14:textId="77777777" w:rsidR="00313DEB" w:rsidRDefault="00313DEB" w:rsidP="00313DEB">
      <w:pPr>
        <w:widowControl w:val="0"/>
        <w:numPr>
          <w:ilvl w:val="0"/>
          <w:numId w:val="51"/>
        </w:numPr>
        <w:autoSpaceDE w:val="0"/>
        <w:autoSpaceDN w:val="0"/>
        <w:jc w:val="both"/>
        <w:rPr>
          <w:rFonts w:eastAsia="Arial" w:cs="Arial"/>
          <w:b/>
          <w:sz w:val="20"/>
          <w:lang w:val="en-US"/>
        </w:rPr>
      </w:pPr>
      <w:r>
        <w:rPr>
          <w:rFonts w:eastAsia="Arial" w:cs="Arial"/>
          <w:b/>
          <w:sz w:val="20"/>
          <w:lang w:val="en-US"/>
        </w:rPr>
        <w:t>VICTIM SURCHARGE pursuant to sections 715.34(1)(h) and 715.37(5) Cr. C.:</w:t>
      </w:r>
    </w:p>
    <w:p w14:paraId="398F595C" w14:textId="77777777" w:rsidR="00313DEB" w:rsidRDefault="00313DEB" w:rsidP="00895880">
      <w:pPr>
        <w:widowControl w:val="0"/>
        <w:autoSpaceDE w:val="0"/>
        <w:autoSpaceDN w:val="0"/>
        <w:rPr>
          <w:rFonts w:eastAsia="Arial" w:cs="Arial"/>
          <w:sz w:val="20"/>
          <w:lang w:val="en-US"/>
        </w:rPr>
      </w:pPr>
    </w:p>
    <w:p w14:paraId="4B63E0A8" w14:textId="77777777" w:rsidR="00313DEB" w:rsidRDefault="00313DEB" w:rsidP="00895880">
      <w:pPr>
        <w:widowControl w:val="0"/>
        <w:autoSpaceDE w:val="0"/>
        <w:autoSpaceDN w:val="0"/>
        <w:ind w:left="709" w:hanging="709"/>
        <w:jc w:val="both"/>
        <w:rPr>
          <w:rFonts w:eastAsia="Arial" w:cs="Arial"/>
          <w:sz w:val="20"/>
          <w:lang w:val="en-US"/>
        </w:rPr>
      </w:pPr>
      <w:r>
        <w:rPr>
          <w:rFonts w:eastAsia="Arial" w:cs="Arial"/>
          <w:b/>
          <w:sz w:val="20"/>
          <w:lang w:val="en-US"/>
        </w:rPr>
        <w:t>[2]</w:t>
      </w:r>
      <w:r>
        <w:rPr>
          <w:rFonts w:eastAsia="Arial" w:cs="Arial"/>
          <w:sz w:val="20"/>
          <w:lang w:val="en-US"/>
        </w:rPr>
        <w:t xml:space="preserve"> </w:t>
      </w:r>
      <w:r>
        <w:rPr>
          <w:rFonts w:eastAsia="Arial" w:cs="Arial"/>
          <w:sz w:val="20"/>
          <w:lang w:val="en-US"/>
        </w:rPr>
        <w:tab/>
        <w:t xml:space="preserve">The Accused pay the Treasurer of the province of Québec a five million, four hundred and forty thousand, five hundred and forty-one dollar ($5,440,541) victim surcharge in six (6) equal electronic instalments of nine hundred and six thousand, seven hundred and fifty-six </w:t>
      </w:r>
      <w:r>
        <w:rPr>
          <w:rFonts w:eastAsia="Arial" w:cs="Arial"/>
          <w:sz w:val="20"/>
          <w:lang w:val="en-US"/>
        </w:rPr>
        <w:lastRenderedPageBreak/>
        <w:t>dollars and eighty-three cents ($906,756.83) each, as per the instructions provided to that end by the Bureau des Amendes et Infractions, by contacting Ms. Louise Leblond, Director, Service des plaidoyers et paiements, at 1200 route de l'Église, 6th Floor, Québec City, Québec  G1V 4X1 (email: louise.leblond@justice.gouv.qc.ca, telephone: 418 644-2330, extension 21076, cellphone: 418 575-5135), based on the following schedule:</w:t>
      </w:r>
    </w:p>
    <w:p w14:paraId="51AE7CC0" w14:textId="77777777" w:rsidR="00313DEB" w:rsidRDefault="00313DEB" w:rsidP="00895880">
      <w:pPr>
        <w:widowControl w:val="0"/>
        <w:autoSpaceDE w:val="0"/>
        <w:autoSpaceDN w:val="0"/>
        <w:ind w:left="709" w:hanging="567"/>
        <w:rPr>
          <w:rFonts w:eastAsia="Arial" w:cs="Arial"/>
          <w:sz w:val="20"/>
          <w:lang w:val="en-US"/>
        </w:rPr>
      </w:pPr>
    </w:p>
    <w:p w14:paraId="2DF4A4EC" w14:textId="77777777" w:rsidR="00313DEB" w:rsidRDefault="00313DEB" w:rsidP="00313DEB">
      <w:pPr>
        <w:widowControl w:val="0"/>
        <w:numPr>
          <w:ilvl w:val="2"/>
          <w:numId w:val="51"/>
        </w:numPr>
        <w:autoSpaceDE w:val="0"/>
        <w:autoSpaceDN w:val="0"/>
        <w:spacing w:after="240"/>
        <w:ind w:left="1134"/>
        <w:jc w:val="both"/>
        <w:rPr>
          <w:rFonts w:eastAsia="Arial" w:cs="Arial"/>
          <w:sz w:val="20"/>
          <w:lang w:val="en-US"/>
        </w:rPr>
      </w:pPr>
      <w:r>
        <w:rPr>
          <w:rFonts w:eastAsia="Arial" w:cs="Arial"/>
          <w:sz w:val="20"/>
          <w:lang w:val="en-US"/>
        </w:rPr>
        <w:t>A first instalment no later than June 30, 2023;</w:t>
      </w:r>
    </w:p>
    <w:p w14:paraId="1D67BD0A" w14:textId="77777777" w:rsidR="00313DEB" w:rsidRDefault="00313DEB" w:rsidP="00313DEB">
      <w:pPr>
        <w:widowControl w:val="0"/>
        <w:numPr>
          <w:ilvl w:val="2"/>
          <w:numId w:val="51"/>
        </w:numPr>
        <w:autoSpaceDE w:val="0"/>
        <w:autoSpaceDN w:val="0"/>
        <w:spacing w:after="240"/>
        <w:ind w:left="1134"/>
        <w:jc w:val="both"/>
        <w:rPr>
          <w:rFonts w:eastAsia="Arial" w:cs="Arial"/>
          <w:sz w:val="20"/>
          <w:lang w:val="en-US"/>
        </w:rPr>
      </w:pPr>
      <w:r>
        <w:rPr>
          <w:rFonts w:eastAsia="Arial" w:cs="Arial"/>
          <w:sz w:val="20"/>
          <w:lang w:val="en-US"/>
        </w:rPr>
        <w:t>A second instalment no later than September 30, 2023;</w:t>
      </w:r>
    </w:p>
    <w:p w14:paraId="2FCBF12A" w14:textId="77777777" w:rsidR="00313DEB" w:rsidRDefault="00313DEB" w:rsidP="00313DEB">
      <w:pPr>
        <w:widowControl w:val="0"/>
        <w:numPr>
          <w:ilvl w:val="2"/>
          <w:numId w:val="51"/>
        </w:numPr>
        <w:autoSpaceDE w:val="0"/>
        <w:autoSpaceDN w:val="0"/>
        <w:spacing w:after="240"/>
        <w:ind w:left="1134"/>
        <w:jc w:val="both"/>
        <w:rPr>
          <w:rFonts w:eastAsia="Arial" w:cs="Arial"/>
          <w:sz w:val="20"/>
          <w:lang w:val="en-US"/>
        </w:rPr>
      </w:pPr>
      <w:r>
        <w:rPr>
          <w:rFonts w:eastAsia="Arial" w:cs="Arial"/>
          <w:sz w:val="20"/>
          <w:lang w:val="en-US"/>
        </w:rPr>
        <w:t>A third instalment no later than December 31, 2023;</w:t>
      </w:r>
    </w:p>
    <w:p w14:paraId="3DEFAB81" w14:textId="77777777" w:rsidR="00313DEB" w:rsidRDefault="00313DEB" w:rsidP="00313DEB">
      <w:pPr>
        <w:widowControl w:val="0"/>
        <w:numPr>
          <w:ilvl w:val="2"/>
          <w:numId w:val="51"/>
        </w:numPr>
        <w:autoSpaceDE w:val="0"/>
        <w:autoSpaceDN w:val="0"/>
        <w:spacing w:after="240"/>
        <w:ind w:left="1134"/>
        <w:jc w:val="both"/>
        <w:rPr>
          <w:rFonts w:eastAsia="Arial" w:cs="Arial"/>
          <w:sz w:val="20"/>
          <w:lang w:val="en-US"/>
        </w:rPr>
      </w:pPr>
      <w:r>
        <w:rPr>
          <w:rFonts w:eastAsia="Arial" w:cs="Arial"/>
          <w:sz w:val="20"/>
          <w:lang w:val="en-US"/>
        </w:rPr>
        <w:t>A fourth instalment no later than June 30, 2024;</w:t>
      </w:r>
    </w:p>
    <w:p w14:paraId="2E934623" w14:textId="77777777" w:rsidR="00313DEB" w:rsidRDefault="00313DEB" w:rsidP="00313DEB">
      <w:pPr>
        <w:widowControl w:val="0"/>
        <w:numPr>
          <w:ilvl w:val="2"/>
          <w:numId w:val="51"/>
        </w:numPr>
        <w:autoSpaceDE w:val="0"/>
        <w:autoSpaceDN w:val="0"/>
        <w:spacing w:after="240"/>
        <w:ind w:left="1134"/>
        <w:jc w:val="both"/>
        <w:rPr>
          <w:rFonts w:eastAsia="Arial" w:cs="Arial"/>
          <w:sz w:val="20"/>
          <w:lang w:val="en-US"/>
        </w:rPr>
      </w:pPr>
      <w:r>
        <w:rPr>
          <w:rFonts w:eastAsia="Arial" w:cs="Arial"/>
          <w:sz w:val="20"/>
          <w:lang w:val="en-US"/>
        </w:rPr>
        <w:t>A fifth instalment no later than September 30, 2024; and</w:t>
      </w:r>
    </w:p>
    <w:p w14:paraId="62F6711F" w14:textId="77777777" w:rsidR="00313DEB" w:rsidRDefault="00313DEB" w:rsidP="00313DEB">
      <w:pPr>
        <w:widowControl w:val="0"/>
        <w:numPr>
          <w:ilvl w:val="2"/>
          <w:numId w:val="51"/>
        </w:numPr>
        <w:autoSpaceDE w:val="0"/>
        <w:autoSpaceDN w:val="0"/>
        <w:spacing w:after="240"/>
        <w:ind w:left="1134"/>
        <w:jc w:val="both"/>
        <w:rPr>
          <w:rFonts w:eastAsia="Arial" w:cs="Arial"/>
          <w:sz w:val="20"/>
          <w:lang w:val="en-US"/>
        </w:rPr>
      </w:pPr>
      <w:r>
        <w:rPr>
          <w:rFonts w:eastAsia="Arial" w:cs="Arial"/>
          <w:sz w:val="20"/>
          <w:lang w:val="en-US"/>
        </w:rPr>
        <w:t>A sixth instalment no later than December 31, 2024;</w:t>
      </w:r>
    </w:p>
    <w:p w14:paraId="235EAC3F" w14:textId="77777777" w:rsidR="00313DEB" w:rsidRDefault="00313DEB" w:rsidP="00895880">
      <w:pPr>
        <w:widowControl w:val="0"/>
        <w:autoSpaceDE w:val="0"/>
        <w:autoSpaceDN w:val="0"/>
        <w:rPr>
          <w:rFonts w:eastAsia="Arial" w:cs="Arial"/>
          <w:sz w:val="20"/>
          <w:lang w:val="en-US"/>
        </w:rPr>
      </w:pPr>
    </w:p>
    <w:p w14:paraId="0202BBA4" w14:textId="77777777" w:rsidR="00313DEB" w:rsidRDefault="00313DEB" w:rsidP="00895880">
      <w:pPr>
        <w:widowControl w:val="0"/>
        <w:autoSpaceDE w:val="0"/>
        <w:autoSpaceDN w:val="0"/>
        <w:ind w:left="709" w:hanging="567"/>
        <w:rPr>
          <w:rFonts w:eastAsia="Arial" w:cs="Arial"/>
          <w:b/>
          <w:sz w:val="20"/>
          <w:lang w:val="en-US"/>
        </w:rPr>
      </w:pPr>
      <w:r>
        <w:rPr>
          <w:rFonts w:eastAsia="Arial" w:cs="Arial"/>
          <w:b/>
          <w:sz w:val="20"/>
          <w:lang w:val="en-US"/>
        </w:rPr>
        <w:t>Ill</w:t>
      </w:r>
      <w:r>
        <w:rPr>
          <w:rFonts w:eastAsia="Arial" w:cs="Arial"/>
          <w:sz w:val="20"/>
          <w:lang w:val="en-US"/>
        </w:rPr>
        <w:t>.</w:t>
      </w:r>
      <w:r>
        <w:rPr>
          <w:rFonts w:eastAsia="Arial" w:cs="Arial"/>
          <w:sz w:val="20"/>
          <w:lang w:val="en-US"/>
        </w:rPr>
        <w:tab/>
      </w:r>
      <w:r>
        <w:rPr>
          <w:rFonts w:eastAsia="Arial" w:cs="Arial"/>
          <w:b/>
          <w:sz w:val="20"/>
          <w:lang w:val="en-US"/>
        </w:rPr>
        <w:t>FORFEITURE OF PROPERTY pursuant to sections 715.34(1)(e)(ii) and 462.37 Cr. C.:</w:t>
      </w:r>
    </w:p>
    <w:p w14:paraId="3DE53262" w14:textId="77777777" w:rsidR="00313DEB" w:rsidRDefault="00313DEB" w:rsidP="00895880">
      <w:pPr>
        <w:widowControl w:val="0"/>
        <w:autoSpaceDE w:val="0"/>
        <w:autoSpaceDN w:val="0"/>
        <w:rPr>
          <w:rFonts w:eastAsia="Arial" w:cs="Arial"/>
          <w:sz w:val="20"/>
          <w:lang w:val="en-US"/>
        </w:rPr>
      </w:pPr>
    </w:p>
    <w:p w14:paraId="1CCAAF19" w14:textId="77777777" w:rsidR="00313DEB" w:rsidRPr="00542BA1" w:rsidRDefault="00313DEB" w:rsidP="00895880">
      <w:pPr>
        <w:widowControl w:val="0"/>
        <w:autoSpaceDE w:val="0"/>
        <w:autoSpaceDN w:val="0"/>
        <w:ind w:left="709" w:hanging="709"/>
        <w:jc w:val="both"/>
        <w:rPr>
          <w:rFonts w:eastAsia="Arial" w:cs="Arial"/>
          <w:sz w:val="20"/>
          <w:lang w:val="en-US"/>
        </w:rPr>
      </w:pPr>
      <w:r>
        <w:rPr>
          <w:rFonts w:eastAsia="Arial" w:cs="Arial"/>
          <w:b/>
          <w:sz w:val="20"/>
          <w:lang w:val="en-US"/>
        </w:rPr>
        <w:t>[3]</w:t>
      </w:r>
      <w:r>
        <w:rPr>
          <w:rFonts w:eastAsia="Arial" w:cs="Arial"/>
          <w:sz w:val="20"/>
          <w:lang w:val="en-US"/>
        </w:rPr>
        <w:tab/>
        <w:t>The Accused remit and pay to the ATTORNEY-GENERAL OF QUÉBEC, represented by the Directeur des poursuites criminelles et pénales, the amount of two million, four hundred and ninety thousand, seven hundred and twenty-one dollars ($2,490,721) within thirty (30) days of the date on which the court approves the Remediation Agreement, and this by electronic payment, as per the instructions provided to that end by the DCPP, by contacting M</w:t>
      </w:r>
      <w:r>
        <w:rPr>
          <w:rFonts w:eastAsia="Arial" w:cs="Arial"/>
          <w:sz w:val="20"/>
          <w:vertAlign w:val="superscript"/>
          <w:lang w:val="en-US"/>
        </w:rPr>
        <w:t>tre</w:t>
      </w:r>
      <w:r>
        <w:rPr>
          <w:rFonts w:eastAsia="Arial" w:cs="Arial"/>
          <w:sz w:val="20"/>
          <w:lang w:val="en-US"/>
        </w:rPr>
        <w:t xml:space="preserve"> Danielle Fréchette, Service de la gestion des biens, at 2828 boulevard Laurier, Tower 1, Suite 500, Québec City, Québec  G1V 089 (email: </w:t>
      </w:r>
      <w:hyperlink r:id="rId28" w:history="1">
        <w:r w:rsidRPr="00542BA1">
          <w:rPr>
            <w:rStyle w:val="Lienhypertexte"/>
            <w:rFonts w:eastAsia="Arial" w:cs="Arial"/>
            <w:sz w:val="20"/>
            <w:lang w:val="en-US"/>
          </w:rPr>
          <w:t>danielle.frechette@dpcp.gouv.qc.ca</w:t>
        </w:r>
      </w:hyperlink>
      <w:r w:rsidRPr="00542BA1">
        <w:rPr>
          <w:rFonts w:eastAsia="Arial" w:cs="Arial"/>
          <w:sz w:val="20"/>
          <w:lang w:val="en-US"/>
        </w:rPr>
        <w:t>; telephone: 514 348-4684; fax: 418 643 7522);</w:t>
      </w:r>
    </w:p>
    <w:p w14:paraId="26AC263A" w14:textId="77777777" w:rsidR="00313DEB" w:rsidRPr="00542BA1" w:rsidRDefault="00313DEB" w:rsidP="00895880">
      <w:pPr>
        <w:widowControl w:val="0"/>
        <w:autoSpaceDE w:val="0"/>
        <w:autoSpaceDN w:val="0"/>
        <w:rPr>
          <w:rFonts w:eastAsia="Arial" w:cs="Arial"/>
          <w:sz w:val="20"/>
          <w:lang w:val="en-US"/>
        </w:rPr>
      </w:pPr>
      <w:r w:rsidRPr="00542BA1">
        <w:rPr>
          <w:rFonts w:eastAsia="Arial" w:cs="Arial"/>
          <w:sz w:val="20"/>
          <w:lang w:val="en-US"/>
        </w:rPr>
        <w:t xml:space="preserve"> </w:t>
      </w:r>
    </w:p>
    <w:p w14:paraId="3543583C" w14:textId="77777777" w:rsidR="00313DEB" w:rsidRPr="00542BA1" w:rsidRDefault="00313DEB" w:rsidP="00895880">
      <w:pPr>
        <w:widowControl w:val="0"/>
        <w:autoSpaceDE w:val="0"/>
        <w:autoSpaceDN w:val="0"/>
        <w:ind w:left="142"/>
        <w:rPr>
          <w:rFonts w:eastAsia="Arial" w:cs="Arial"/>
          <w:b/>
          <w:sz w:val="20"/>
          <w:lang w:val="en-US"/>
        </w:rPr>
      </w:pPr>
      <w:r w:rsidRPr="00542BA1">
        <w:rPr>
          <w:rFonts w:eastAsia="Arial" w:cs="Arial"/>
          <w:b/>
          <w:sz w:val="20"/>
          <w:lang w:val="en-US"/>
        </w:rPr>
        <w:t>IV.</w:t>
      </w:r>
      <w:r w:rsidRPr="00542BA1">
        <w:rPr>
          <w:rFonts w:eastAsia="Arial" w:cs="Arial"/>
          <w:b/>
          <w:sz w:val="20"/>
          <w:lang w:val="en-US"/>
        </w:rPr>
        <w:tab/>
        <w:t>REPARATIONS TO THE VICTIM pursuant to sections 715.34(1)(g) and 738 Cr. C.:</w:t>
      </w:r>
    </w:p>
    <w:p w14:paraId="739CD57A" w14:textId="77777777" w:rsidR="00313DEB" w:rsidRPr="00542BA1" w:rsidRDefault="00313DEB" w:rsidP="00895880">
      <w:pPr>
        <w:widowControl w:val="0"/>
        <w:autoSpaceDE w:val="0"/>
        <w:autoSpaceDN w:val="0"/>
        <w:rPr>
          <w:rFonts w:eastAsia="Arial" w:cs="Arial"/>
          <w:sz w:val="20"/>
          <w:lang w:val="en-US"/>
        </w:rPr>
      </w:pPr>
    </w:p>
    <w:p w14:paraId="62B6A7CC" w14:textId="77777777" w:rsidR="00313DEB" w:rsidRPr="00542BA1" w:rsidRDefault="00313DEB" w:rsidP="00895880">
      <w:pPr>
        <w:widowControl w:val="0"/>
        <w:autoSpaceDE w:val="0"/>
        <w:autoSpaceDN w:val="0"/>
        <w:ind w:left="709" w:hanging="709"/>
        <w:jc w:val="both"/>
        <w:rPr>
          <w:rFonts w:eastAsia="Arial" w:cs="Arial"/>
          <w:sz w:val="20"/>
          <w:lang w:val="en-US"/>
        </w:rPr>
      </w:pPr>
      <w:r w:rsidRPr="00542BA1">
        <w:rPr>
          <w:rFonts w:eastAsia="Arial" w:cs="Arial"/>
          <w:b/>
          <w:sz w:val="20"/>
          <w:lang w:val="en-US"/>
        </w:rPr>
        <w:t>[4]</w:t>
      </w:r>
      <w:r w:rsidRPr="00542BA1">
        <w:rPr>
          <w:rFonts w:eastAsia="Arial" w:cs="Arial"/>
          <w:sz w:val="20"/>
          <w:lang w:val="en-US"/>
        </w:rPr>
        <w:t xml:space="preserve"> </w:t>
      </w:r>
      <w:r w:rsidRPr="00542BA1">
        <w:rPr>
          <w:rFonts w:eastAsia="Arial" w:cs="Arial"/>
          <w:sz w:val="20"/>
          <w:lang w:val="en-US"/>
        </w:rPr>
        <w:tab/>
        <w:t xml:space="preserve">The Accused pay </w:t>
      </w:r>
      <w:r w:rsidRPr="00542BA1">
        <w:rPr>
          <w:rFonts w:eastAsia="Arial" w:cs="Arial"/>
          <w:i/>
          <w:sz w:val="20"/>
          <w:lang w:val="en-US"/>
        </w:rPr>
        <w:t>The Jacques Cartier and Champlain Bridges Incorporated</w:t>
      </w:r>
      <w:r w:rsidRPr="00542BA1">
        <w:rPr>
          <w:rFonts w:eastAsia="Arial" w:cs="Arial"/>
          <w:sz w:val="20"/>
          <w:lang w:val="en-US"/>
        </w:rPr>
        <w:t xml:space="preserve"> three million, four hundred and ninety-two thousand, three hundred and eighty dollars ($3,492,380) in restitution within thirty (30) days of the date on which the court approves the Remediation Agreement, and this by electronic payment to the transitional account of the Directeur des poursuites criminelles et pénales, as per the instructions provided to that end by the DCPP, by contacting M</w:t>
      </w:r>
      <w:r w:rsidRPr="00542BA1">
        <w:rPr>
          <w:rFonts w:eastAsia="Arial" w:cs="Arial"/>
          <w:sz w:val="20"/>
          <w:vertAlign w:val="superscript"/>
          <w:lang w:val="en-US"/>
        </w:rPr>
        <w:t>tre</w:t>
      </w:r>
      <w:r w:rsidRPr="00542BA1">
        <w:rPr>
          <w:rFonts w:eastAsia="Arial" w:cs="Arial"/>
          <w:sz w:val="20"/>
          <w:lang w:val="en-US"/>
        </w:rPr>
        <w:t xml:space="preserve"> Danielle Fréchette, Service de la gestion des biens, at 2828 boulevard Laurier, Tower 1, Suite 500, Québec City, Québec  G1V 089 (email: </w:t>
      </w:r>
      <w:hyperlink r:id="rId29" w:history="1">
        <w:r w:rsidRPr="00542BA1">
          <w:rPr>
            <w:rStyle w:val="Lienhypertexte"/>
            <w:rFonts w:eastAsia="Arial" w:cs="Arial"/>
            <w:sz w:val="20"/>
            <w:lang w:val="en-US"/>
          </w:rPr>
          <w:t>danielle.frechette@dpcp.gouv.qc.ca</w:t>
        </w:r>
      </w:hyperlink>
      <w:r w:rsidRPr="00542BA1">
        <w:rPr>
          <w:rFonts w:eastAsia="Arial" w:cs="Arial"/>
          <w:sz w:val="20"/>
          <w:lang w:val="en-US"/>
        </w:rPr>
        <w:t>; telephone: 514 348-4684; fax: 418 643 7522);</w:t>
      </w:r>
    </w:p>
    <w:p w14:paraId="14502E54" w14:textId="77777777" w:rsidR="00313DEB" w:rsidRPr="00542BA1" w:rsidRDefault="00313DEB" w:rsidP="00895880">
      <w:pPr>
        <w:widowControl w:val="0"/>
        <w:autoSpaceDE w:val="0"/>
        <w:autoSpaceDN w:val="0"/>
        <w:ind w:left="709" w:hanging="709"/>
        <w:jc w:val="both"/>
        <w:rPr>
          <w:rFonts w:eastAsia="Arial" w:cs="Arial"/>
          <w:sz w:val="20"/>
          <w:lang w:val="en-US"/>
        </w:rPr>
      </w:pPr>
    </w:p>
    <w:p w14:paraId="630E1199" w14:textId="77777777" w:rsidR="00313DEB" w:rsidRDefault="00313DEB" w:rsidP="00895880">
      <w:pPr>
        <w:widowControl w:val="0"/>
        <w:autoSpaceDE w:val="0"/>
        <w:autoSpaceDN w:val="0"/>
        <w:ind w:left="709" w:hanging="709"/>
        <w:jc w:val="both"/>
        <w:rPr>
          <w:rFonts w:eastAsia="Arial" w:cs="Arial"/>
          <w:sz w:val="20"/>
          <w:lang w:val="en-US"/>
        </w:rPr>
      </w:pPr>
      <w:r>
        <w:rPr>
          <w:rFonts w:eastAsia="Arial" w:cs="Arial"/>
          <w:b/>
          <w:sz w:val="20"/>
          <w:lang w:val="en-US"/>
        </w:rPr>
        <w:t>[5]</w:t>
      </w:r>
      <w:r>
        <w:rPr>
          <w:rFonts w:eastAsia="Arial" w:cs="Arial"/>
          <w:sz w:val="20"/>
          <w:lang w:val="en-US"/>
        </w:rPr>
        <w:tab/>
        <w:t xml:space="preserve">The ATTORNEY-GENERAL OF QUÉBEC, represented by the Directeur des poursuites criminelles et pénales, shall remit the amount of three million, four hundred and ninety-two thousand, three hundred and eighty dollars ($3,492,380) to </w:t>
      </w:r>
      <w:r>
        <w:rPr>
          <w:rFonts w:eastAsia="Arial" w:cs="Arial"/>
          <w:i/>
          <w:sz w:val="20"/>
          <w:lang w:val="en-US"/>
        </w:rPr>
        <w:t>The</w:t>
      </w:r>
      <w:r>
        <w:rPr>
          <w:rFonts w:eastAsia="Arial" w:cs="Arial"/>
          <w:sz w:val="20"/>
          <w:lang w:val="en-US"/>
        </w:rPr>
        <w:t xml:space="preserve"> </w:t>
      </w:r>
      <w:r>
        <w:rPr>
          <w:rFonts w:eastAsia="Arial" w:cs="Arial"/>
          <w:i/>
          <w:sz w:val="20"/>
          <w:lang w:val="en-US"/>
        </w:rPr>
        <w:t>Jacques Cartier and Champlain Bridges Incorporated</w:t>
      </w:r>
      <w:r>
        <w:rPr>
          <w:rFonts w:eastAsia="Arial" w:cs="Arial"/>
          <w:sz w:val="20"/>
          <w:lang w:val="en-US"/>
        </w:rPr>
        <w:t>, sent to the attention of its president, Ms. Catherine Lavoie, at 500-1225 St Charles Street West, Longueuil, Québec  J4K 0B9, within 30 days of the deposit of the said amount in the transitional account;</w:t>
      </w:r>
    </w:p>
    <w:p w14:paraId="2DC6068E" w14:textId="77777777" w:rsidR="00313DEB" w:rsidRDefault="00313DEB" w:rsidP="00895880">
      <w:pPr>
        <w:widowControl w:val="0"/>
        <w:autoSpaceDE w:val="0"/>
        <w:autoSpaceDN w:val="0"/>
        <w:rPr>
          <w:rFonts w:eastAsia="Arial" w:cs="Arial"/>
          <w:sz w:val="20"/>
          <w:lang w:val="en-US"/>
        </w:rPr>
      </w:pPr>
    </w:p>
    <w:p w14:paraId="20F6459D" w14:textId="77777777" w:rsidR="00313DEB" w:rsidRDefault="00313DEB" w:rsidP="00895880">
      <w:pPr>
        <w:widowControl w:val="0"/>
        <w:autoSpaceDE w:val="0"/>
        <w:autoSpaceDN w:val="0"/>
        <w:rPr>
          <w:rFonts w:eastAsia="Arial" w:cs="Arial"/>
          <w:sz w:val="20"/>
          <w:lang w:val="en-US"/>
        </w:rPr>
      </w:pPr>
    </w:p>
    <w:p w14:paraId="22D94B37" w14:textId="77777777" w:rsidR="00313DEB" w:rsidRDefault="00313DEB" w:rsidP="00895880">
      <w:pPr>
        <w:widowControl w:val="0"/>
        <w:autoSpaceDE w:val="0"/>
        <w:autoSpaceDN w:val="0"/>
        <w:rPr>
          <w:rFonts w:eastAsia="Arial" w:cs="Arial"/>
          <w:sz w:val="20"/>
          <w:lang w:val="en-US"/>
        </w:rPr>
      </w:pPr>
      <w:r>
        <w:rPr>
          <w:rFonts w:eastAsia="Arial" w:cs="Arial"/>
          <w:sz w:val="20"/>
          <w:lang w:val="en-US"/>
        </w:rPr>
        <w:br w:type="page"/>
      </w:r>
    </w:p>
    <w:p w14:paraId="052732C8" w14:textId="77777777" w:rsidR="00313DEB" w:rsidRDefault="00313DEB" w:rsidP="00895880">
      <w:pPr>
        <w:widowControl w:val="0"/>
        <w:autoSpaceDE w:val="0"/>
        <w:autoSpaceDN w:val="0"/>
        <w:rPr>
          <w:rFonts w:eastAsia="Arial" w:cs="Arial"/>
          <w:sz w:val="20"/>
          <w:lang w:val="en-US"/>
        </w:rPr>
      </w:pPr>
      <w:r>
        <w:rPr>
          <w:rFonts w:eastAsia="Arial" w:cs="Arial"/>
          <w:sz w:val="20"/>
          <w:lang w:val="en-US"/>
        </w:rPr>
        <w:lastRenderedPageBreak/>
        <w:t>Montréal, March 29, 2022</w:t>
      </w:r>
      <w:r>
        <w:rPr>
          <w:rFonts w:eastAsia="Arial" w:cs="Arial"/>
          <w:sz w:val="20"/>
          <w:lang w:val="en-US"/>
        </w:rPr>
        <w:tab/>
      </w:r>
      <w:r>
        <w:rPr>
          <w:rFonts w:eastAsia="Arial" w:cs="Arial"/>
          <w:sz w:val="20"/>
          <w:lang w:val="en-US"/>
        </w:rPr>
        <w:tab/>
      </w:r>
      <w:r>
        <w:rPr>
          <w:rFonts w:eastAsia="Arial" w:cs="Arial"/>
          <w:sz w:val="20"/>
          <w:lang w:val="en-US"/>
        </w:rPr>
        <w:tab/>
        <w:t>Montréal, March 29, 2022</w:t>
      </w:r>
    </w:p>
    <w:p w14:paraId="4BD3E62B" w14:textId="77777777" w:rsidR="00313DEB" w:rsidRDefault="00313DEB" w:rsidP="00895880">
      <w:pPr>
        <w:widowControl w:val="0"/>
        <w:autoSpaceDE w:val="0"/>
        <w:autoSpaceDN w:val="0"/>
        <w:rPr>
          <w:rFonts w:eastAsia="Arial" w:cs="Arial"/>
          <w:sz w:val="20"/>
          <w:lang w:val="en-US"/>
        </w:rPr>
      </w:pPr>
    </w:p>
    <w:tbl>
      <w:tblPr>
        <w:tblStyle w:val="Grilledutableau2"/>
        <w:tblW w:w="0" w:type="auto"/>
        <w:tblInd w:w="0" w:type="dxa"/>
        <w:tblLook w:val="04A0" w:firstRow="1" w:lastRow="0" w:firstColumn="1" w:lastColumn="0" w:noHBand="0" w:noVBand="1"/>
      </w:tblPr>
      <w:tblGrid>
        <w:gridCol w:w="3873"/>
        <w:gridCol w:w="420"/>
        <w:gridCol w:w="4347"/>
      </w:tblGrid>
      <w:tr w:rsidR="00313DEB" w14:paraId="337FC9BD" w14:textId="77777777" w:rsidTr="00895880">
        <w:tc>
          <w:tcPr>
            <w:tcW w:w="3936" w:type="dxa"/>
            <w:tcBorders>
              <w:top w:val="nil"/>
              <w:left w:val="nil"/>
              <w:bottom w:val="single" w:sz="12" w:space="0" w:color="auto"/>
              <w:right w:val="nil"/>
            </w:tcBorders>
          </w:tcPr>
          <w:p w14:paraId="1B31CC5A" w14:textId="77777777" w:rsidR="00313DEB" w:rsidRDefault="00313DEB">
            <w:pPr>
              <w:rPr>
                <w:rFonts w:eastAsia="Arial" w:cs="Arial"/>
                <w:sz w:val="20"/>
                <w:szCs w:val="20"/>
              </w:rPr>
            </w:pPr>
          </w:p>
          <w:p w14:paraId="60794C2B" w14:textId="77777777" w:rsidR="00313DEB" w:rsidRDefault="00313DEB">
            <w:pPr>
              <w:rPr>
                <w:rFonts w:eastAsia="Arial" w:cs="Arial"/>
                <w:sz w:val="20"/>
                <w:szCs w:val="20"/>
              </w:rPr>
            </w:pPr>
          </w:p>
          <w:p w14:paraId="286C05A8" w14:textId="77777777" w:rsidR="00313DEB" w:rsidRDefault="00313DEB">
            <w:pPr>
              <w:rPr>
                <w:rFonts w:eastAsia="Arial" w:cs="Arial"/>
                <w:sz w:val="20"/>
                <w:szCs w:val="20"/>
              </w:rPr>
            </w:pPr>
          </w:p>
        </w:tc>
        <w:tc>
          <w:tcPr>
            <w:tcW w:w="425" w:type="dxa"/>
            <w:tcBorders>
              <w:top w:val="nil"/>
              <w:left w:val="nil"/>
              <w:bottom w:val="nil"/>
              <w:right w:val="nil"/>
            </w:tcBorders>
          </w:tcPr>
          <w:p w14:paraId="5321D76B" w14:textId="77777777" w:rsidR="00313DEB" w:rsidRDefault="00313DEB">
            <w:pPr>
              <w:rPr>
                <w:rFonts w:eastAsia="Arial" w:cs="Arial"/>
                <w:sz w:val="20"/>
                <w:szCs w:val="20"/>
              </w:rPr>
            </w:pPr>
          </w:p>
        </w:tc>
        <w:tc>
          <w:tcPr>
            <w:tcW w:w="4419" w:type="dxa"/>
            <w:tcBorders>
              <w:top w:val="nil"/>
              <w:left w:val="nil"/>
              <w:bottom w:val="single" w:sz="12" w:space="0" w:color="auto"/>
              <w:right w:val="nil"/>
            </w:tcBorders>
          </w:tcPr>
          <w:p w14:paraId="54521875" w14:textId="77777777" w:rsidR="00313DEB" w:rsidRDefault="00313DEB">
            <w:pPr>
              <w:rPr>
                <w:rFonts w:eastAsia="Arial" w:cs="Arial"/>
                <w:sz w:val="20"/>
                <w:szCs w:val="20"/>
              </w:rPr>
            </w:pPr>
          </w:p>
          <w:p w14:paraId="6C81329E" w14:textId="77777777" w:rsidR="00313DEB" w:rsidRDefault="00313DEB">
            <w:pPr>
              <w:rPr>
                <w:rFonts w:eastAsia="Arial" w:cs="Arial"/>
                <w:sz w:val="20"/>
                <w:szCs w:val="20"/>
              </w:rPr>
            </w:pPr>
          </w:p>
        </w:tc>
      </w:tr>
      <w:tr w:rsidR="00313DEB" w14:paraId="44E29599" w14:textId="77777777" w:rsidTr="00895880">
        <w:tc>
          <w:tcPr>
            <w:tcW w:w="3936" w:type="dxa"/>
            <w:tcBorders>
              <w:top w:val="single" w:sz="12" w:space="0" w:color="auto"/>
              <w:left w:val="nil"/>
              <w:bottom w:val="nil"/>
              <w:right w:val="nil"/>
            </w:tcBorders>
            <w:hideMark/>
          </w:tcPr>
          <w:p w14:paraId="486B38B1" w14:textId="77777777" w:rsidR="00313DEB" w:rsidRDefault="00313DEB">
            <w:pPr>
              <w:rPr>
                <w:rFonts w:eastAsia="Arial" w:cs="Arial"/>
                <w:sz w:val="20"/>
                <w:szCs w:val="20"/>
              </w:rPr>
            </w:pPr>
            <w:r>
              <w:rPr>
                <w:rFonts w:eastAsia="Arial" w:cs="Arial"/>
                <w:sz w:val="20"/>
                <w:szCs w:val="20"/>
              </w:rPr>
              <w:t>M</w:t>
            </w:r>
            <w:r>
              <w:rPr>
                <w:rFonts w:eastAsia="Arial" w:cs="Arial"/>
                <w:sz w:val="20"/>
                <w:szCs w:val="20"/>
                <w:vertAlign w:val="superscript"/>
              </w:rPr>
              <w:t>tre</w:t>
            </w:r>
            <w:r>
              <w:rPr>
                <w:rFonts w:eastAsia="Arial" w:cs="Arial"/>
                <w:sz w:val="20"/>
                <w:szCs w:val="20"/>
              </w:rPr>
              <w:t xml:space="preserve"> Francis Pilotte (AP00H4)</w:t>
            </w:r>
          </w:p>
          <w:p w14:paraId="546AC0C1" w14:textId="77777777" w:rsidR="00313DEB" w:rsidRDefault="00313DEB">
            <w:pPr>
              <w:rPr>
                <w:rFonts w:eastAsia="Arial" w:cs="Arial"/>
                <w:sz w:val="20"/>
                <w:szCs w:val="20"/>
              </w:rPr>
            </w:pPr>
            <w:r>
              <w:rPr>
                <w:rFonts w:eastAsia="Arial" w:cs="Arial"/>
                <w:sz w:val="20"/>
                <w:szCs w:val="20"/>
              </w:rPr>
              <w:t>M</w:t>
            </w:r>
            <w:r>
              <w:rPr>
                <w:rFonts w:eastAsia="Arial" w:cs="Arial"/>
                <w:sz w:val="20"/>
                <w:szCs w:val="20"/>
                <w:vertAlign w:val="superscript"/>
              </w:rPr>
              <w:t>tre</w:t>
            </w:r>
            <w:r>
              <w:rPr>
                <w:rFonts w:eastAsia="Arial" w:cs="Arial"/>
                <w:sz w:val="20"/>
                <w:szCs w:val="20"/>
              </w:rPr>
              <w:t xml:space="preserve"> Patrice Peltier-Rivest (AZ6139) Counsel for the Prosecutor </w:t>
            </w:r>
          </w:p>
          <w:p w14:paraId="1E719FE1" w14:textId="77777777" w:rsidR="00313DEB" w:rsidRPr="00EA6F14" w:rsidRDefault="00313DEB">
            <w:pPr>
              <w:rPr>
                <w:rFonts w:eastAsia="Arial" w:cs="Arial"/>
                <w:sz w:val="20"/>
                <w:szCs w:val="20"/>
              </w:rPr>
            </w:pPr>
            <w:r w:rsidRPr="00EA6F14">
              <w:rPr>
                <w:rFonts w:eastAsia="Arial" w:cs="Arial"/>
                <w:sz w:val="20"/>
                <w:szCs w:val="20"/>
              </w:rPr>
              <w:t xml:space="preserve">Directeur des poursuites criminelles et pénales </w:t>
            </w:r>
          </w:p>
        </w:tc>
        <w:tc>
          <w:tcPr>
            <w:tcW w:w="425" w:type="dxa"/>
            <w:tcBorders>
              <w:top w:val="nil"/>
              <w:left w:val="nil"/>
              <w:bottom w:val="nil"/>
              <w:right w:val="nil"/>
            </w:tcBorders>
          </w:tcPr>
          <w:p w14:paraId="080F4692" w14:textId="77777777" w:rsidR="00313DEB" w:rsidRPr="00EA6F14" w:rsidRDefault="00313DEB">
            <w:pPr>
              <w:rPr>
                <w:rFonts w:eastAsia="Arial" w:cs="Arial"/>
                <w:sz w:val="20"/>
                <w:szCs w:val="20"/>
              </w:rPr>
            </w:pPr>
          </w:p>
        </w:tc>
        <w:tc>
          <w:tcPr>
            <w:tcW w:w="4419" w:type="dxa"/>
            <w:tcBorders>
              <w:top w:val="single" w:sz="12" w:space="0" w:color="auto"/>
              <w:left w:val="nil"/>
              <w:bottom w:val="nil"/>
              <w:right w:val="nil"/>
            </w:tcBorders>
          </w:tcPr>
          <w:p w14:paraId="4D12FB9F" w14:textId="77777777" w:rsidR="00313DEB" w:rsidRPr="00EA6F14" w:rsidRDefault="00313DEB">
            <w:pPr>
              <w:rPr>
                <w:rFonts w:eastAsia="Arial" w:cs="Arial"/>
                <w:sz w:val="20"/>
                <w:szCs w:val="20"/>
              </w:rPr>
            </w:pPr>
            <w:r w:rsidRPr="00EA6F14">
              <w:rPr>
                <w:rFonts w:eastAsia="Arial" w:cs="Arial"/>
                <w:sz w:val="20"/>
                <w:szCs w:val="20"/>
              </w:rPr>
              <w:t>M</w:t>
            </w:r>
            <w:r w:rsidRPr="00EA6F14">
              <w:rPr>
                <w:rFonts w:eastAsia="Arial" w:cs="Arial"/>
                <w:sz w:val="20"/>
                <w:szCs w:val="20"/>
                <w:vertAlign w:val="superscript"/>
              </w:rPr>
              <w:t>tre</w:t>
            </w:r>
            <w:r w:rsidRPr="00EA6F14">
              <w:rPr>
                <w:rFonts w:eastAsia="Arial" w:cs="Arial"/>
                <w:sz w:val="20"/>
                <w:szCs w:val="20"/>
              </w:rPr>
              <w:t xml:space="preserve"> François Fontaine, Ad. E. (AF4749)</w:t>
            </w:r>
          </w:p>
          <w:p w14:paraId="6C4BDF85" w14:textId="77777777" w:rsidR="00313DEB" w:rsidRDefault="00313DEB">
            <w:pPr>
              <w:rPr>
                <w:rFonts w:eastAsia="Arial" w:cs="Arial"/>
                <w:sz w:val="20"/>
                <w:szCs w:val="20"/>
              </w:rPr>
            </w:pPr>
            <w:r>
              <w:rPr>
                <w:rFonts w:eastAsia="Arial" w:cs="Arial"/>
                <w:sz w:val="20"/>
                <w:szCs w:val="20"/>
              </w:rPr>
              <w:t>M</w:t>
            </w:r>
            <w:r>
              <w:rPr>
                <w:rFonts w:eastAsia="Arial" w:cs="Arial"/>
                <w:sz w:val="20"/>
                <w:szCs w:val="20"/>
                <w:vertAlign w:val="superscript"/>
              </w:rPr>
              <w:t>tre</w:t>
            </w:r>
            <w:r>
              <w:rPr>
                <w:rFonts w:eastAsia="Arial" w:cs="Arial"/>
                <w:sz w:val="20"/>
                <w:szCs w:val="20"/>
              </w:rPr>
              <w:t xml:space="preserve"> Charles-Antoine Péladeau (AP0LV7) Counsel for SNC Lavalin Inc. and SNC-Lavalin International Inc.</w:t>
            </w:r>
          </w:p>
          <w:p w14:paraId="35CAEC93" w14:textId="77777777" w:rsidR="00313DEB" w:rsidRDefault="00313DEB">
            <w:pPr>
              <w:rPr>
                <w:rFonts w:eastAsia="Arial" w:cs="Arial"/>
                <w:sz w:val="20"/>
                <w:szCs w:val="20"/>
              </w:rPr>
            </w:pPr>
          </w:p>
        </w:tc>
      </w:tr>
    </w:tbl>
    <w:p w14:paraId="4391F263" w14:textId="77777777" w:rsidR="00313DEB" w:rsidRDefault="00313DEB" w:rsidP="00895880">
      <w:pPr>
        <w:widowControl w:val="0"/>
        <w:autoSpaceDE w:val="0"/>
        <w:autoSpaceDN w:val="0"/>
        <w:rPr>
          <w:rFonts w:eastAsia="Arial" w:cs="Arial"/>
          <w:sz w:val="20"/>
          <w:lang w:val="en-US"/>
        </w:rPr>
      </w:pPr>
    </w:p>
    <w:sectPr w:rsidR="00313DEB" w:rsidSect="0084249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B02D8" w14:textId="77777777" w:rsidR="00285AD8" w:rsidRDefault="00285AD8">
      <w:r>
        <w:separator/>
      </w:r>
    </w:p>
  </w:endnote>
  <w:endnote w:type="continuationSeparator" w:id="0">
    <w:p w14:paraId="3F54732A" w14:textId="77777777" w:rsidR="00285AD8" w:rsidRDefault="0028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48F88" w14:textId="77777777" w:rsidR="00BA1BFD" w:rsidRDefault="00BA1BFD">
    <w:pPr>
      <w:framePr w:wrap="around" w:vAnchor="text" w:hAnchor="margin" w:xAlign="right" w:y="1"/>
    </w:pPr>
    <w:r>
      <w:fldChar w:fldCharType="begin"/>
    </w:r>
    <w:r>
      <w:instrText xml:space="preserve">PAGE  </w:instrText>
    </w:r>
    <w:r>
      <w:fldChar w:fldCharType="end"/>
    </w:r>
  </w:p>
  <w:p w14:paraId="01C32256" w14:textId="77777777" w:rsidR="00BA1BFD" w:rsidRDefault="00BA1BFD">
    <w:pPr>
      <w:ind w:right="360"/>
    </w:pPr>
  </w:p>
  <w:p w14:paraId="3608ED1F" w14:textId="77777777" w:rsidR="00BA1BFD" w:rsidRDefault="00BA1BFD"/>
  <w:p w14:paraId="0F7D9ABB" w14:textId="77777777" w:rsidR="00BA1BFD" w:rsidRDefault="00BA1BF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5DEC" w14:textId="77777777" w:rsidR="00BA1BFD" w:rsidRDefault="00BA1BF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497AB" w14:textId="77777777" w:rsidR="00BA1BFD" w:rsidRDefault="00BA1BF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592DB" w14:textId="77777777" w:rsidR="00BA1BFD" w:rsidRDefault="00BA1B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723F8" w14:textId="77777777" w:rsidR="00285AD8" w:rsidRDefault="00285AD8">
      <w:r>
        <w:separator/>
      </w:r>
    </w:p>
  </w:footnote>
  <w:footnote w:type="continuationSeparator" w:id="0">
    <w:p w14:paraId="5221306A" w14:textId="77777777" w:rsidR="00285AD8" w:rsidRDefault="00285AD8">
      <w:r>
        <w:continuationSeparator/>
      </w:r>
    </w:p>
  </w:footnote>
  <w:footnote w:id="1">
    <w:p w14:paraId="3B1AEAC5" w14:textId="64D73779"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 xml:space="preserve">Book of Exhibits B, Tab 1. The Draft Agreement is </w:t>
      </w:r>
      <w:r>
        <w:rPr>
          <w:lang w:val="en-CA" w:bidi="en-CA"/>
        </w:rPr>
        <w:t>appended</w:t>
      </w:r>
      <w:r w:rsidRPr="008671D1">
        <w:rPr>
          <w:lang w:val="en-CA" w:bidi="en-CA"/>
        </w:rPr>
        <w:t xml:space="preserve"> to this judgment as Schedule A.</w:t>
      </w:r>
    </w:p>
  </w:footnote>
  <w:footnote w:id="2">
    <w:p w14:paraId="12AD569E" w14:textId="77777777"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Book of Exhibits B, Tab 3.</w:t>
      </w:r>
    </w:p>
  </w:footnote>
  <w:footnote w:id="3">
    <w:p w14:paraId="1EE0B714" w14:textId="77777777"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Book of Exhibits B, Tab 4.</w:t>
      </w:r>
    </w:p>
  </w:footnote>
  <w:footnote w:id="4">
    <w:p w14:paraId="2DDC3F47" w14:textId="77777777"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Book of Exhibits B, Tab 5.</w:t>
      </w:r>
    </w:p>
  </w:footnote>
  <w:footnote w:id="5">
    <w:p w14:paraId="7574456E" w14:textId="77777777"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Book of Exhibits B, Tab 2.</w:t>
      </w:r>
    </w:p>
  </w:footnote>
  <w:footnote w:id="6">
    <w:p w14:paraId="08988779" w14:textId="77777777"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Book of Exhibits B, Tab 6.</w:t>
      </w:r>
    </w:p>
  </w:footnote>
  <w:footnote w:id="7">
    <w:p w14:paraId="5E91DFD5" w14:textId="19F92358"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i/>
          <w:lang w:val="en-CA" w:bidi="en-CA"/>
        </w:rPr>
        <w:t xml:space="preserve">Union Carbide Canada Inc. </w:t>
      </w:r>
      <w:r w:rsidRPr="001B3A1B">
        <w:rPr>
          <w:i/>
          <w:lang w:val="en-CA" w:bidi="en-CA"/>
        </w:rPr>
        <w:t>v.</w:t>
      </w:r>
      <w:r w:rsidRPr="008671D1">
        <w:rPr>
          <w:lang w:val="en-CA" w:bidi="en-CA"/>
        </w:rPr>
        <w:t xml:space="preserve"> </w:t>
      </w:r>
      <w:r w:rsidRPr="008671D1">
        <w:rPr>
          <w:i/>
          <w:lang w:val="en-CA" w:bidi="en-CA"/>
        </w:rPr>
        <w:t xml:space="preserve">Bombardier Inc., </w:t>
      </w:r>
      <w:r w:rsidRPr="008671D1">
        <w:rPr>
          <w:lang w:val="en-CA" w:bidi="en-CA"/>
        </w:rPr>
        <w:t>2014 SCC 35</w:t>
      </w:r>
      <w:r>
        <w:rPr>
          <w:lang w:val="en-CA" w:bidi="en-CA"/>
        </w:rPr>
        <w:t xml:space="preserve"> at</w:t>
      </w:r>
      <w:r w:rsidRPr="008671D1">
        <w:rPr>
          <w:lang w:val="en-CA" w:bidi="en-CA"/>
        </w:rPr>
        <w:t xml:space="preserve"> para. 32, Wagner</w:t>
      </w:r>
      <w:r>
        <w:rPr>
          <w:lang w:val="en-CA" w:bidi="en-CA"/>
        </w:rPr>
        <w:t xml:space="preserve"> J.</w:t>
      </w:r>
      <w:r w:rsidRPr="008671D1">
        <w:rPr>
          <w:lang w:val="en-CA" w:bidi="en-CA"/>
        </w:rPr>
        <w:t xml:space="preserve">; </w:t>
      </w:r>
      <w:r w:rsidRPr="008671D1">
        <w:rPr>
          <w:i/>
          <w:lang w:val="en-CA" w:bidi="en-CA"/>
        </w:rPr>
        <w:t xml:space="preserve">Sable Offshore Energy Inc. </w:t>
      </w:r>
      <w:r w:rsidRPr="001B3A1B">
        <w:rPr>
          <w:i/>
          <w:lang w:val="en-CA" w:bidi="en-CA"/>
        </w:rPr>
        <w:t>v.</w:t>
      </w:r>
      <w:r w:rsidRPr="008671D1">
        <w:rPr>
          <w:lang w:val="en-CA" w:bidi="en-CA"/>
        </w:rPr>
        <w:t xml:space="preserve"> </w:t>
      </w:r>
      <w:r w:rsidRPr="008671D1">
        <w:rPr>
          <w:i/>
          <w:lang w:val="en-CA" w:bidi="en-CA"/>
        </w:rPr>
        <w:t xml:space="preserve">Ameron International Corp., </w:t>
      </w:r>
      <w:r w:rsidRPr="008671D1">
        <w:rPr>
          <w:lang w:val="en-CA" w:bidi="en-CA"/>
        </w:rPr>
        <w:t>2013 SCC 37</w:t>
      </w:r>
      <w:r>
        <w:rPr>
          <w:lang w:val="en-CA" w:bidi="en-CA"/>
        </w:rPr>
        <w:t xml:space="preserve"> at</w:t>
      </w:r>
      <w:r w:rsidRPr="008671D1">
        <w:rPr>
          <w:lang w:val="en-CA" w:bidi="en-CA"/>
        </w:rPr>
        <w:t xml:space="preserve"> para</w:t>
      </w:r>
      <w:r>
        <w:rPr>
          <w:lang w:val="en-CA" w:bidi="en-CA"/>
        </w:rPr>
        <w:t>s</w:t>
      </w:r>
      <w:r w:rsidRPr="008671D1">
        <w:rPr>
          <w:lang w:val="en-CA" w:bidi="en-CA"/>
        </w:rPr>
        <w:t>. 2, 12</w:t>
      </w:r>
      <w:r>
        <w:rPr>
          <w:lang w:val="en-CA" w:bidi="en-CA"/>
        </w:rPr>
        <w:t>–</w:t>
      </w:r>
      <w:r w:rsidRPr="008671D1">
        <w:rPr>
          <w:lang w:val="en-CA" w:bidi="en-CA"/>
        </w:rPr>
        <w:t>13,</w:t>
      </w:r>
      <w:r>
        <w:rPr>
          <w:lang w:val="en-CA" w:bidi="en-CA"/>
        </w:rPr>
        <w:t xml:space="preserve"> </w:t>
      </w:r>
      <w:r w:rsidRPr="008671D1">
        <w:rPr>
          <w:lang w:val="en-CA" w:bidi="en-CA"/>
        </w:rPr>
        <w:t>17</w:t>
      </w:r>
      <w:r>
        <w:rPr>
          <w:lang w:val="en-CA" w:bidi="en-CA"/>
        </w:rPr>
        <w:t>–</w:t>
      </w:r>
      <w:r w:rsidRPr="008671D1">
        <w:rPr>
          <w:lang w:val="en-CA" w:bidi="en-CA"/>
        </w:rPr>
        <w:t>18, Abella</w:t>
      </w:r>
      <w:r>
        <w:rPr>
          <w:lang w:val="en-CA" w:bidi="en-CA"/>
        </w:rPr>
        <w:t xml:space="preserve"> J.</w:t>
      </w:r>
      <w:r w:rsidRPr="008671D1">
        <w:rPr>
          <w:lang w:val="en-CA" w:bidi="en-CA"/>
        </w:rPr>
        <w:t xml:space="preserve">; </w:t>
      </w:r>
      <w:r w:rsidRPr="008671D1">
        <w:rPr>
          <w:i/>
          <w:lang w:val="en-CA" w:bidi="en-CA"/>
        </w:rPr>
        <w:t xml:space="preserve">PGQ </w:t>
      </w:r>
      <w:r>
        <w:rPr>
          <w:i/>
          <w:lang w:val="en-CA" w:bidi="en-CA"/>
        </w:rPr>
        <w:t>c.</w:t>
      </w:r>
      <w:r w:rsidRPr="008671D1">
        <w:rPr>
          <w:i/>
          <w:lang w:val="en-CA" w:bidi="en-CA"/>
        </w:rPr>
        <w:t xml:space="preserve"> Groupe Hexagone, </w:t>
      </w:r>
      <w:r w:rsidRPr="008671D1">
        <w:rPr>
          <w:lang w:val="en-CA" w:bidi="en-CA"/>
        </w:rPr>
        <w:t>2018 QCCA 2129</w:t>
      </w:r>
      <w:r>
        <w:rPr>
          <w:lang w:val="en-CA" w:bidi="en-CA"/>
        </w:rPr>
        <w:t xml:space="preserve"> at</w:t>
      </w:r>
      <w:r w:rsidRPr="008671D1">
        <w:rPr>
          <w:lang w:val="en-CA" w:bidi="en-CA"/>
        </w:rPr>
        <w:t xml:space="preserve"> paras. 45</w:t>
      </w:r>
      <w:r>
        <w:rPr>
          <w:lang w:val="en-CA" w:bidi="en-CA"/>
        </w:rPr>
        <w:t>–</w:t>
      </w:r>
      <w:r w:rsidRPr="008671D1">
        <w:rPr>
          <w:lang w:val="en-CA" w:bidi="en-CA"/>
        </w:rPr>
        <w:t>50</w:t>
      </w:r>
      <w:r>
        <w:rPr>
          <w:lang w:val="en-CA" w:bidi="en-CA"/>
        </w:rPr>
        <w:t>,</w:t>
      </w:r>
      <w:r w:rsidRPr="008671D1">
        <w:rPr>
          <w:lang w:val="en-CA" w:bidi="en-CA"/>
        </w:rPr>
        <w:t xml:space="preserve"> 94; In criminal law: </w:t>
      </w:r>
      <w:r w:rsidRPr="008671D1">
        <w:rPr>
          <w:i/>
          <w:lang w:val="en-CA" w:bidi="en-CA"/>
        </w:rPr>
        <w:t xml:space="preserve">R. v. Delchev, </w:t>
      </w:r>
      <w:r w:rsidRPr="008671D1">
        <w:rPr>
          <w:lang w:val="en-CA" w:bidi="en-CA"/>
        </w:rPr>
        <w:t>2015 ONCA 381</w:t>
      </w:r>
      <w:r>
        <w:rPr>
          <w:lang w:val="en-CA" w:bidi="en-CA"/>
        </w:rPr>
        <w:t xml:space="preserve"> at</w:t>
      </w:r>
      <w:r w:rsidRPr="008671D1">
        <w:rPr>
          <w:lang w:val="en-CA" w:bidi="en-CA"/>
        </w:rPr>
        <w:t xml:space="preserve"> paras. 26</w:t>
      </w:r>
      <w:r>
        <w:rPr>
          <w:lang w:val="en-CA" w:bidi="en-CA"/>
        </w:rPr>
        <w:t>–</w:t>
      </w:r>
      <w:r w:rsidRPr="008671D1">
        <w:rPr>
          <w:lang w:val="en-CA" w:bidi="en-CA"/>
        </w:rPr>
        <w:t>31.</w:t>
      </w:r>
    </w:p>
  </w:footnote>
  <w:footnote w:id="8">
    <w:p w14:paraId="1D44D508" w14:textId="77777777"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Books of Exhibits A and C.</w:t>
      </w:r>
    </w:p>
  </w:footnote>
  <w:footnote w:id="9">
    <w:p w14:paraId="74AD67E6" w14:textId="77777777"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Book of Exhibits B.</w:t>
      </w:r>
    </w:p>
  </w:footnote>
  <w:footnote w:id="10">
    <w:p w14:paraId="3B77D426" w14:textId="77777777"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i/>
          <w:lang w:val="en-CA" w:bidi="en-CA"/>
        </w:rPr>
        <w:t xml:space="preserve">Crime and Courts Act 2013 </w:t>
      </w:r>
      <w:r w:rsidRPr="008671D1">
        <w:rPr>
          <w:lang w:val="en-CA" w:bidi="en-CA"/>
        </w:rPr>
        <w:t>(UK), 2013, c. 22, Schedule 17, art. 7 and 8.</w:t>
      </w:r>
    </w:p>
  </w:footnote>
  <w:footnote w:id="11">
    <w:p w14:paraId="7F12775D" w14:textId="212AB1F4"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Book of Exhibits K, transcripts of the March 15, 2022</w:t>
      </w:r>
      <w:r>
        <w:rPr>
          <w:lang w:val="en-CA" w:bidi="en-CA"/>
        </w:rPr>
        <w:t>,</w:t>
      </w:r>
      <w:r w:rsidRPr="008671D1">
        <w:rPr>
          <w:lang w:val="en-CA" w:bidi="en-CA"/>
        </w:rPr>
        <w:t xml:space="preserve"> hearing</w:t>
      </w:r>
      <w:r w:rsidRPr="00085EC5">
        <w:rPr>
          <w:i/>
          <w:lang w:val="en-CA" w:bidi="en-CA"/>
        </w:rPr>
        <w:t xml:space="preserve"> in camera</w:t>
      </w:r>
      <w:r w:rsidRPr="008671D1">
        <w:rPr>
          <w:lang w:val="en-CA" w:bidi="en-CA"/>
        </w:rPr>
        <w:t>.</w:t>
      </w:r>
    </w:p>
  </w:footnote>
  <w:footnote w:id="12">
    <w:p w14:paraId="027A2885" w14:textId="77777777"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Books of Exhibits D and G: Prosecutor</w:t>
      </w:r>
      <w:r>
        <w:rPr>
          <w:lang w:val="en-CA" w:bidi="en-CA"/>
        </w:rPr>
        <w:t>’s submissions</w:t>
      </w:r>
      <w:r w:rsidRPr="008671D1">
        <w:rPr>
          <w:lang w:val="en-CA" w:bidi="en-CA"/>
        </w:rPr>
        <w:t xml:space="preserve"> for the approval of a remediation agreement; Books of Exhibits I and J: </w:t>
      </w:r>
      <w:r>
        <w:rPr>
          <w:lang w:val="en-CA" w:bidi="en-CA"/>
        </w:rPr>
        <w:t>Accused’s submissions</w:t>
      </w:r>
      <w:r w:rsidRPr="008671D1">
        <w:rPr>
          <w:lang w:val="en-CA" w:bidi="en-CA"/>
        </w:rPr>
        <w:t xml:space="preserve"> for</w:t>
      </w:r>
      <w:r>
        <w:rPr>
          <w:lang w:val="en-CA" w:bidi="en-CA"/>
        </w:rPr>
        <w:t xml:space="preserve"> the approval of a remediation </w:t>
      </w:r>
      <w:r w:rsidRPr="008671D1">
        <w:rPr>
          <w:lang w:val="en-CA" w:bidi="en-CA"/>
        </w:rPr>
        <w:t>agreement.</w:t>
      </w:r>
    </w:p>
  </w:footnote>
  <w:footnote w:id="13">
    <w:p w14:paraId="23712200" w14:textId="77777777"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Book of Exhibits E, volume I; Book of Exhibits F, volume 2.</w:t>
      </w:r>
    </w:p>
  </w:footnote>
  <w:footnote w:id="14">
    <w:p w14:paraId="46322FDF" w14:textId="77777777"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Book of Exhibits N.</w:t>
      </w:r>
    </w:p>
  </w:footnote>
  <w:footnote w:id="15">
    <w:p w14:paraId="0E634EA3" w14:textId="50AB986E"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 xml:space="preserve">Book of Exhibits (volume 2), Exhibit F, Tab AR-40 </w:t>
      </w:r>
      <w:r>
        <w:rPr>
          <w:lang w:val="en-CA" w:bidi="en-CA"/>
        </w:rPr>
        <w:t>[</w:t>
      </w:r>
      <w:r w:rsidRPr="006B7F16">
        <w:rPr>
          <w:smallCaps/>
          <w:lang w:val="en-CA" w:bidi="en-CA"/>
        </w:rPr>
        <w:t>translation</w:t>
      </w:r>
      <w:r>
        <w:rPr>
          <w:lang w:val="en-CA" w:bidi="en-CA"/>
        </w:rPr>
        <w:t xml:space="preserve">] </w:t>
      </w:r>
      <w:r w:rsidRPr="008671D1">
        <w:rPr>
          <w:lang w:val="en-CA" w:bidi="en-CA"/>
        </w:rPr>
        <w:t>“List of amended admissions”.</w:t>
      </w:r>
    </w:p>
  </w:footnote>
  <w:footnote w:id="16">
    <w:p w14:paraId="12CC87C7" w14:textId="72489374" w:rsidR="00BA1BFD" w:rsidRPr="008671D1" w:rsidRDefault="00BA1BFD" w:rsidP="00115010">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Book of Exhibits Q: Prosecutor’s application.</w:t>
      </w:r>
    </w:p>
  </w:footnote>
  <w:footnote w:id="17">
    <w:p w14:paraId="4B81987C" w14:textId="6CCFF360"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Book</w:t>
      </w:r>
      <w:r>
        <w:rPr>
          <w:lang w:val="en-CA" w:bidi="en-CA"/>
        </w:rPr>
        <w:t>s</w:t>
      </w:r>
      <w:r w:rsidRPr="008671D1">
        <w:rPr>
          <w:lang w:val="en-CA" w:bidi="en-CA"/>
        </w:rPr>
        <w:t xml:space="preserve"> of Exhibits R and S: </w:t>
      </w:r>
      <w:r>
        <w:rPr>
          <w:lang w:val="en-CA" w:bidi="en-CA"/>
        </w:rPr>
        <w:t>Submissions</w:t>
      </w:r>
      <w:r w:rsidRPr="008671D1">
        <w:rPr>
          <w:lang w:val="en-CA" w:bidi="en-CA"/>
        </w:rPr>
        <w:t xml:space="preserve"> </w:t>
      </w:r>
      <w:r>
        <w:rPr>
          <w:lang w:val="en-CA" w:bidi="en-CA"/>
        </w:rPr>
        <w:t>of the a</w:t>
      </w:r>
      <w:r w:rsidRPr="008671D1">
        <w:rPr>
          <w:lang w:val="en-CA" w:bidi="en-CA"/>
        </w:rPr>
        <w:t>ccused.</w:t>
      </w:r>
    </w:p>
  </w:footnote>
  <w:footnote w:id="18">
    <w:p w14:paraId="45C3B9EB" w14:textId="670EF127"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Book of Exhibits L, transcripts of the April 6, 2022</w:t>
      </w:r>
      <w:r>
        <w:rPr>
          <w:lang w:val="en-CA" w:bidi="en-CA"/>
        </w:rPr>
        <w:t>,</w:t>
      </w:r>
      <w:r w:rsidRPr="008671D1">
        <w:rPr>
          <w:lang w:val="en-CA" w:bidi="en-CA"/>
        </w:rPr>
        <w:t xml:space="preserve"> hearings</w:t>
      </w:r>
      <w:r w:rsidRPr="00085EC5">
        <w:rPr>
          <w:lang w:val="en-CA" w:bidi="en-CA"/>
        </w:rPr>
        <w:t xml:space="preserve"> </w:t>
      </w:r>
      <w:r w:rsidRPr="00085EC5">
        <w:rPr>
          <w:i/>
          <w:lang w:val="en-CA" w:bidi="en-CA"/>
        </w:rPr>
        <w:t>in camera</w:t>
      </w:r>
      <w:r w:rsidRPr="008671D1">
        <w:rPr>
          <w:lang w:val="en-CA" w:bidi="en-CA"/>
        </w:rPr>
        <w:t>.</w:t>
      </w:r>
    </w:p>
  </w:footnote>
  <w:footnote w:id="19">
    <w:p w14:paraId="00C0434B" w14:textId="77777777"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Book of Exhibits T.</w:t>
      </w:r>
    </w:p>
  </w:footnote>
  <w:footnote w:id="20">
    <w:p w14:paraId="6AE23C55" w14:textId="77777777"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Book of Exhibits M.</w:t>
      </w:r>
    </w:p>
  </w:footnote>
  <w:footnote w:id="21">
    <w:p w14:paraId="0431698B" w14:textId="77777777"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Books of Exhibits V and W.</w:t>
      </w:r>
    </w:p>
  </w:footnote>
  <w:footnote w:id="22">
    <w:p w14:paraId="76AA9E48" w14:textId="77777777"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May 6, 2022 Publication, Broadcasting and Transmission Prohibition Order.</w:t>
      </w:r>
    </w:p>
  </w:footnote>
  <w:footnote w:id="23">
    <w:p w14:paraId="0A87377B" w14:textId="00B89540"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The Parties also agreed to issue press releases, such that on May 6, 2022, after the markets closed, separate press releases were issued to the media simultaneously indicating, among other things, that the Parties had agreed to a deal, which would be submitted to the Court at the public hearings on May</w:t>
      </w:r>
      <w:r>
        <w:rPr>
          <w:lang w:val="en-CA" w:bidi="en-CA"/>
        </w:rPr>
        <w:t> </w:t>
      </w:r>
      <w:r w:rsidRPr="008671D1">
        <w:rPr>
          <w:lang w:val="en-CA" w:bidi="en-CA"/>
        </w:rPr>
        <w:t>10, 11 and 12, 2022.</w:t>
      </w:r>
    </w:p>
  </w:footnote>
  <w:footnote w:id="24">
    <w:p w14:paraId="00681EF6" w14:textId="77777777" w:rsidR="00BA1BFD" w:rsidRPr="008671D1" w:rsidRDefault="00BA1BFD" w:rsidP="004067A8">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Temporary and partial publication, broadcasting and transmission prohibition order (Public Order No. 4 dated May 10, 2022).</w:t>
      </w:r>
    </w:p>
  </w:footnote>
  <w:footnote w:id="25">
    <w:p w14:paraId="35787C77" w14:textId="77777777"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 xml:space="preserve">Section 7(4), Schedule 17 to the </w:t>
      </w:r>
      <w:r w:rsidRPr="006B7F16">
        <w:rPr>
          <w:i/>
          <w:lang w:val="en-CA" w:bidi="en-CA"/>
        </w:rPr>
        <w:t>Crime and Courts Act 2013</w:t>
      </w:r>
      <w:r w:rsidRPr="008671D1">
        <w:rPr>
          <w:lang w:val="en-CA" w:bidi="en-CA"/>
        </w:rPr>
        <w:t>.</w:t>
      </w:r>
    </w:p>
  </w:footnote>
  <w:footnote w:id="26">
    <w:p w14:paraId="6A4BA471" w14:textId="444276F7"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R-5 - Detailed Notice of Offer to Negotiate a Remediation Agreement</w:t>
      </w:r>
      <w:r>
        <w:rPr>
          <w:lang w:val="en-CA" w:bidi="en-CA"/>
        </w:rPr>
        <w:t xml:space="preserve"> at</w:t>
      </w:r>
      <w:r w:rsidRPr="008671D1">
        <w:rPr>
          <w:lang w:val="en-CA" w:bidi="en-CA"/>
        </w:rPr>
        <w:t xml:space="preserve"> 5, para. 7.</w:t>
      </w:r>
    </w:p>
  </w:footnote>
  <w:footnote w:id="27">
    <w:p w14:paraId="72F068A7" w14:textId="168B8AFB"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i/>
          <w:lang w:val="en-CA" w:bidi="en-CA"/>
        </w:rPr>
        <w:t xml:space="preserve">Sable Offshore Energy Inc. </w:t>
      </w:r>
      <w:r w:rsidRPr="001B3A1B">
        <w:rPr>
          <w:i/>
          <w:lang w:val="en-CA" w:bidi="en-CA"/>
        </w:rPr>
        <w:t>v.</w:t>
      </w:r>
      <w:r w:rsidRPr="008671D1">
        <w:rPr>
          <w:lang w:val="en-CA" w:bidi="en-CA"/>
        </w:rPr>
        <w:t xml:space="preserve"> </w:t>
      </w:r>
      <w:r w:rsidRPr="008671D1">
        <w:rPr>
          <w:i/>
          <w:lang w:val="en-CA" w:bidi="en-CA"/>
        </w:rPr>
        <w:t xml:space="preserve">Ameron International Corp., </w:t>
      </w:r>
      <w:r w:rsidRPr="008671D1">
        <w:rPr>
          <w:lang w:val="en-CA" w:bidi="en-CA"/>
        </w:rPr>
        <w:t>2013 SCC 37</w:t>
      </w:r>
      <w:r>
        <w:rPr>
          <w:lang w:val="en-CA" w:bidi="en-CA"/>
        </w:rPr>
        <w:t xml:space="preserve"> at</w:t>
      </w:r>
      <w:r w:rsidRPr="008671D1">
        <w:rPr>
          <w:lang w:val="en-CA" w:bidi="en-CA"/>
        </w:rPr>
        <w:t xml:space="preserve"> paras. 17</w:t>
      </w:r>
      <w:r>
        <w:rPr>
          <w:lang w:val="en-CA" w:bidi="en-CA"/>
        </w:rPr>
        <w:t>–</w:t>
      </w:r>
      <w:r w:rsidRPr="008671D1">
        <w:rPr>
          <w:lang w:val="en-CA" w:bidi="en-CA"/>
        </w:rPr>
        <w:t>18.</w:t>
      </w:r>
    </w:p>
  </w:footnote>
  <w:footnote w:id="28">
    <w:p w14:paraId="0BEBB433" w14:textId="77777777"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Anonymity and Confidentiality Order and Order of Entry into the Court Ledger dated March 15, 2022.</w:t>
      </w:r>
    </w:p>
  </w:footnote>
  <w:footnote w:id="29">
    <w:p w14:paraId="6C6CC0CC" w14:textId="77777777"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 xml:space="preserve">Sealing Order and </w:t>
      </w:r>
      <w:r w:rsidRPr="00085EC5">
        <w:rPr>
          <w:i/>
          <w:lang w:val="en-CA" w:bidi="en-CA"/>
        </w:rPr>
        <w:t>In Camera</w:t>
      </w:r>
      <w:r w:rsidRPr="008671D1">
        <w:rPr>
          <w:lang w:val="en-CA" w:bidi="en-CA"/>
        </w:rPr>
        <w:t xml:space="preserve"> Order dated March 15, 2022.</w:t>
      </w:r>
    </w:p>
  </w:footnote>
  <w:footnote w:id="30">
    <w:p w14:paraId="232D3BC3" w14:textId="77777777"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i/>
          <w:lang w:val="en-CA" w:bidi="en-CA"/>
        </w:rPr>
        <w:t xml:space="preserve">Sable Offshore Energy Inc. </w:t>
      </w:r>
      <w:r w:rsidRPr="001B3A1B">
        <w:rPr>
          <w:i/>
          <w:lang w:val="en-CA" w:bidi="en-CA"/>
        </w:rPr>
        <w:t>v.</w:t>
      </w:r>
      <w:r w:rsidRPr="008671D1">
        <w:rPr>
          <w:lang w:val="en-CA" w:bidi="en-CA"/>
        </w:rPr>
        <w:t xml:space="preserve"> </w:t>
      </w:r>
      <w:r w:rsidRPr="008671D1">
        <w:rPr>
          <w:i/>
          <w:lang w:val="en-CA" w:bidi="en-CA"/>
        </w:rPr>
        <w:t xml:space="preserve">Ameron International Corp., </w:t>
      </w:r>
      <w:r w:rsidRPr="008671D1">
        <w:rPr>
          <w:lang w:val="en-CA" w:bidi="en-CA"/>
        </w:rPr>
        <w:t>2013 SCC 37.</w:t>
      </w:r>
    </w:p>
  </w:footnote>
  <w:footnote w:id="31">
    <w:p w14:paraId="195A5FD0" w14:textId="2279922C"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i/>
          <w:lang w:val="en-CA" w:bidi="en-CA"/>
        </w:rPr>
        <w:t xml:space="preserve">Sable Offshore Energy Inc. </w:t>
      </w:r>
      <w:r w:rsidRPr="001B3A1B">
        <w:rPr>
          <w:i/>
          <w:lang w:val="en-CA" w:bidi="en-CA"/>
        </w:rPr>
        <w:t>v.</w:t>
      </w:r>
      <w:r w:rsidRPr="008671D1">
        <w:rPr>
          <w:lang w:val="en-CA" w:bidi="en-CA"/>
        </w:rPr>
        <w:t xml:space="preserve"> </w:t>
      </w:r>
      <w:r w:rsidRPr="008671D1">
        <w:rPr>
          <w:i/>
          <w:lang w:val="en-CA" w:bidi="en-CA"/>
        </w:rPr>
        <w:t>Ameron International Corp.</w:t>
      </w:r>
      <w:r>
        <w:rPr>
          <w:lang w:val="en-CA" w:bidi="en-CA"/>
        </w:rPr>
        <w:t xml:space="preserve"> at</w:t>
      </w:r>
      <w:r w:rsidRPr="00ED3672">
        <w:rPr>
          <w:lang w:val="en-CA" w:bidi="en-CA"/>
        </w:rPr>
        <w:t xml:space="preserve"> paras. 2,</w:t>
      </w:r>
      <w:r>
        <w:rPr>
          <w:lang w:val="en-CA" w:bidi="en-CA"/>
        </w:rPr>
        <w:t xml:space="preserve"> </w:t>
      </w:r>
      <w:r w:rsidRPr="00ED3672">
        <w:rPr>
          <w:lang w:val="en-CA" w:bidi="en-CA"/>
        </w:rPr>
        <w:t>17, Abella</w:t>
      </w:r>
      <w:r>
        <w:rPr>
          <w:lang w:val="en-CA" w:bidi="en-CA"/>
        </w:rPr>
        <w:t xml:space="preserve"> J</w:t>
      </w:r>
      <w:r w:rsidRPr="00ED3672">
        <w:rPr>
          <w:lang w:val="en-CA" w:bidi="en-CA"/>
        </w:rPr>
        <w:t>.</w:t>
      </w:r>
    </w:p>
  </w:footnote>
  <w:footnote w:id="32">
    <w:p w14:paraId="3B1A7C57" w14:textId="77777777"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 xml:space="preserve">Order ending the </w:t>
      </w:r>
      <w:r w:rsidRPr="00085EC5">
        <w:rPr>
          <w:i/>
          <w:lang w:val="en-CA" w:bidi="en-CA"/>
        </w:rPr>
        <w:t>in camera</w:t>
      </w:r>
      <w:r w:rsidRPr="008671D1">
        <w:rPr>
          <w:lang w:val="en-CA" w:bidi="en-CA"/>
        </w:rPr>
        <w:t xml:space="preserve"> order and lifting the seal dated May 10, 2022 (Public Order No. 3).</w:t>
      </w:r>
    </w:p>
  </w:footnote>
  <w:footnote w:id="33">
    <w:p w14:paraId="0220DDEA" w14:textId="74A5EE23" w:rsidR="00BA1BFD" w:rsidRPr="00722050" w:rsidRDefault="00BA1BFD">
      <w:pPr>
        <w:pStyle w:val="Notedebasdepage"/>
        <w:rPr>
          <w:lang w:val="en-CA"/>
        </w:rPr>
      </w:pPr>
      <w:r w:rsidRPr="008671D1">
        <w:rPr>
          <w:rStyle w:val="Appelnotedebasdep"/>
          <w:lang w:val="en-CA"/>
        </w:rPr>
        <w:footnoteRef/>
      </w:r>
      <w:r w:rsidRPr="008B490F">
        <w:rPr>
          <w:lang w:val="en-CA"/>
        </w:rPr>
        <w:t xml:space="preserve"> </w:t>
      </w:r>
      <w:r w:rsidRPr="008B490F">
        <w:rPr>
          <w:lang w:val="en-CA"/>
        </w:rPr>
        <w:tab/>
      </w:r>
      <w:r w:rsidRPr="008B490F">
        <w:rPr>
          <w:i/>
          <w:lang w:val="en-CA" w:bidi="en-CA"/>
        </w:rPr>
        <w:t>R. v</w:t>
      </w:r>
      <w:r w:rsidRPr="008B490F">
        <w:rPr>
          <w:lang w:val="en-CA" w:bidi="en-CA"/>
        </w:rPr>
        <w:t xml:space="preserve">. </w:t>
      </w:r>
      <w:r w:rsidRPr="008B490F">
        <w:rPr>
          <w:i/>
          <w:lang w:val="en-CA" w:bidi="en-CA"/>
        </w:rPr>
        <w:t xml:space="preserve">Mentuck, </w:t>
      </w:r>
      <w:r w:rsidRPr="008B490F">
        <w:rPr>
          <w:lang w:val="en-CA" w:bidi="en-CA"/>
        </w:rPr>
        <w:t>2001 SCC 76 (CanLII), [2001] 3 SCR 442</w:t>
      </w:r>
      <w:r w:rsidRPr="006B7F16">
        <w:rPr>
          <w:lang w:val="en-CA" w:bidi="en-CA"/>
        </w:rPr>
        <w:t xml:space="preserve"> at</w:t>
      </w:r>
      <w:r w:rsidRPr="008B490F">
        <w:rPr>
          <w:lang w:val="en-CA" w:bidi="en-CA"/>
        </w:rPr>
        <w:t xml:space="preserve"> para. </w:t>
      </w:r>
      <w:r w:rsidRPr="00722050">
        <w:rPr>
          <w:lang w:val="en-CA" w:bidi="en-CA"/>
        </w:rPr>
        <w:t>32, lacobucci J. at 7.</w:t>
      </w:r>
    </w:p>
  </w:footnote>
  <w:footnote w:id="34">
    <w:p w14:paraId="41EE1859" w14:textId="77777777"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Temporary and Partial Publication, Broadcasting and Transmission Prohibition Order (Public Order No. 5).</w:t>
      </w:r>
    </w:p>
  </w:footnote>
  <w:footnote w:id="35">
    <w:p w14:paraId="6628ECF8" w14:textId="77777777"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Temporary and Partial Order Prohibiting the Publication, Broadcasting and Transmission of Certain Information (Public Order No. 6 dated May 12, 2022). The redacted and contextualized Statement of Facts is attached to this judgment as Schedule B.</w:t>
      </w:r>
    </w:p>
  </w:footnote>
  <w:footnote w:id="36">
    <w:p w14:paraId="4B17C062" w14:textId="4F10CC65"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color w:val="161616"/>
          <w:lang w:val="en-CA" w:bidi="en-CA"/>
        </w:rPr>
        <w:t xml:space="preserve">GOVERNMENT OF CANADA, </w:t>
      </w:r>
      <w:r w:rsidRPr="00C532C6">
        <w:rPr>
          <w:i/>
          <w:lang w:val="en-CA" w:bidi="en-CA"/>
        </w:rPr>
        <w:t xml:space="preserve">Expanding Canada’s Toolkit to Address to Corporate Wrongdoing </w:t>
      </w:r>
      <w:r w:rsidRPr="00C532C6">
        <w:rPr>
          <w:lang w:val="en-CA" w:bidi="en-CA"/>
        </w:rPr>
        <w:t xml:space="preserve">- </w:t>
      </w:r>
      <w:r w:rsidRPr="00C532C6">
        <w:rPr>
          <w:i/>
          <w:lang w:val="en-CA" w:bidi="en-CA"/>
        </w:rPr>
        <w:t>Discussion Paper for Public Consultation</w:t>
      </w:r>
      <w:r w:rsidRPr="00C532C6">
        <w:rPr>
          <w:rStyle w:val="Lienhypertexte"/>
          <w:i/>
          <w:color w:val="auto"/>
          <w:u w:val="none"/>
          <w:lang w:val="en-CA" w:bidi="en-CA"/>
        </w:rPr>
        <w:t>: The deferred prosecution agreement stream discussion guide</w:t>
      </w:r>
      <w:r w:rsidRPr="00C532C6">
        <w:rPr>
          <w:i/>
          <w:lang w:val="en-CA" w:bidi="en-CA"/>
        </w:rPr>
        <w:t>,</w:t>
      </w:r>
      <w:r w:rsidRPr="008671D1">
        <w:rPr>
          <w:i/>
          <w:color w:val="3B3B3B"/>
          <w:lang w:val="en-CA" w:bidi="en-CA"/>
        </w:rPr>
        <w:t xml:space="preserve"> </w:t>
      </w:r>
      <w:r w:rsidRPr="008671D1">
        <w:rPr>
          <w:color w:val="3B3B3B"/>
          <w:lang w:val="en-CA" w:bidi="en-CA"/>
        </w:rPr>
        <w:t>2017, Gatineau, Public Services and Procurement Canada</w:t>
      </w:r>
      <w:r>
        <w:rPr>
          <w:color w:val="3B3B3B"/>
          <w:lang w:val="en-CA" w:bidi="en-CA"/>
        </w:rPr>
        <w:t xml:space="preserve"> at</w:t>
      </w:r>
      <w:r w:rsidRPr="00C40270">
        <w:rPr>
          <w:color w:val="3B3B3B"/>
          <w:lang w:val="en-CA" w:bidi="en-CA"/>
        </w:rPr>
        <w:t> 5.</w:t>
      </w:r>
    </w:p>
  </w:footnote>
  <w:footnote w:id="37">
    <w:p w14:paraId="693C44B8" w14:textId="77777777"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i/>
          <w:lang w:val="en-CA" w:bidi="en-CA"/>
        </w:rPr>
        <w:t>Crime and Courts Act 2013</w:t>
      </w:r>
      <w:r w:rsidRPr="008671D1">
        <w:rPr>
          <w:lang w:val="en-CA" w:bidi="en-CA"/>
        </w:rPr>
        <w:t xml:space="preserve"> (UK), 2013, c. 22, Schedule 17.</w:t>
      </w:r>
    </w:p>
  </w:footnote>
  <w:footnote w:id="38">
    <w:p w14:paraId="48252DDF" w14:textId="454763F8"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 xml:space="preserve">GOVERNMENT OF CANADA, </w:t>
      </w:r>
      <w:r w:rsidRPr="008671D1">
        <w:rPr>
          <w:i/>
          <w:lang w:val="en-CA" w:bidi="en-CA"/>
        </w:rPr>
        <w:t xml:space="preserve">Expanding Canada’s Toolkit to Address Corporate Wrongdoing – Discussion Paper for Public Consultation: The deferred prosecution agreement stream discussion guide, </w:t>
      </w:r>
      <w:r w:rsidRPr="008671D1">
        <w:rPr>
          <w:lang w:val="en-CA" w:bidi="en-CA"/>
        </w:rPr>
        <w:t>2017, Gatineau, Public Services and Procurement Canada</w:t>
      </w:r>
      <w:r>
        <w:rPr>
          <w:lang w:val="en-CA" w:bidi="en-CA"/>
        </w:rPr>
        <w:t xml:space="preserve"> at</w:t>
      </w:r>
      <w:r w:rsidRPr="008671D1">
        <w:rPr>
          <w:lang w:val="en-CA" w:bidi="en-CA"/>
        </w:rPr>
        <w:t xml:space="preserve"> 5. France adopted the “convention judiciaire d’intérêt public” </w:t>
      </w:r>
      <w:r w:rsidRPr="00CB1085">
        <w:rPr>
          <w:lang w:val="en-CA" w:bidi="en-CA"/>
        </w:rPr>
        <w:t>[</w:t>
      </w:r>
      <w:r w:rsidRPr="00021070">
        <w:rPr>
          <w:lang w:val="en-CA" w:bidi="en-CA"/>
        </w:rPr>
        <w:t>judicial</w:t>
      </w:r>
      <w:r w:rsidRPr="008671D1">
        <w:rPr>
          <w:lang w:val="en-CA" w:bidi="en-CA"/>
        </w:rPr>
        <w:t xml:space="preserve"> agreement in the public interest</w:t>
      </w:r>
      <w:r>
        <w:rPr>
          <w:lang w:val="en-CA" w:bidi="en-CA"/>
        </w:rPr>
        <w:t>]</w:t>
      </w:r>
      <w:r w:rsidRPr="008671D1">
        <w:rPr>
          <w:lang w:val="en-CA" w:bidi="en-CA"/>
        </w:rPr>
        <w:t xml:space="preserve"> under Loi n</w:t>
      </w:r>
      <w:r w:rsidRPr="008671D1">
        <w:rPr>
          <w:vertAlign w:val="superscript"/>
          <w:lang w:val="en-CA" w:bidi="en-CA"/>
        </w:rPr>
        <w:t>o</w:t>
      </w:r>
      <w:r w:rsidRPr="008671D1">
        <w:rPr>
          <w:lang w:val="en-CA" w:bidi="en-CA"/>
        </w:rPr>
        <w:t> 2016-1691 du 9 décembre 2016 relative à la transparence, à la lut</w:t>
      </w:r>
      <w:r>
        <w:rPr>
          <w:lang w:val="en-CA" w:bidi="en-CA"/>
        </w:rPr>
        <w:t>te</w:t>
      </w:r>
      <w:r w:rsidRPr="008671D1">
        <w:rPr>
          <w:lang w:val="en-CA" w:bidi="en-CA"/>
        </w:rPr>
        <w:t xml:space="preserve"> contr</w:t>
      </w:r>
      <w:r>
        <w:rPr>
          <w:lang w:val="en-CA" w:bidi="en-CA"/>
        </w:rPr>
        <w:t>e</w:t>
      </w:r>
      <w:r w:rsidRPr="008671D1">
        <w:rPr>
          <w:lang w:val="en-CA" w:bidi="en-CA"/>
        </w:rPr>
        <w:t xml:space="preserve"> la corruption et à la modernisation de la vie économique </w:t>
      </w:r>
      <w:r w:rsidRPr="00CB1085">
        <w:rPr>
          <w:lang w:val="en-CA" w:bidi="en-CA"/>
        </w:rPr>
        <w:t>[</w:t>
      </w:r>
      <w:r w:rsidRPr="00021070">
        <w:rPr>
          <w:i/>
          <w:lang w:val="en-CA" w:bidi="en-CA"/>
        </w:rPr>
        <w:t>Act 2016</w:t>
      </w:r>
      <w:r w:rsidRPr="008671D1">
        <w:rPr>
          <w:i/>
          <w:lang w:val="en-CA" w:bidi="en-CA"/>
        </w:rPr>
        <w:t>-1691 dated December</w:t>
      </w:r>
      <w:r>
        <w:rPr>
          <w:i/>
          <w:lang w:val="en-CA" w:bidi="en-CA"/>
        </w:rPr>
        <w:t> 9,</w:t>
      </w:r>
      <w:r w:rsidRPr="008671D1">
        <w:rPr>
          <w:i/>
          <w:lang w:val="en-CA" w:bidi="en-CA"/>
        </w:rPr>
        <w:t xml:space="preserve"> 2016 relating to transparency, the fight against corruption and the modernization of economic life</w:t>
      </w:r>
      <w:r>
        <w:rPr>
          <w:i/>
          <w:lang w:val="en-CA" w:bidi="en-CA"/>
        </w:rPr>
        <w:t>]</w:t>
      </w:r>
      <w:r w:rsidRPr="008671D1">
        <w:rPr>
          <w:lang w:val="en-CA" w:bidi="en-CA"/>
        </w:rPr>
        <w:t>, JORF, December 10, 2016, no. 0287.</w:t>
      </w:r>
    </w:p>
  </w:footnote>
  <w:footnote w:id="39">
    <w:p w14:paraId="555D947C" w14:textId="5ED2EA4C"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GOVERNMENT OF CANADA,</w:t>
      </w:r>
      <w:r w:rsidRPr="008671D1">
        <w:rPr>
          <w:i/>
          <w:lang w:val="en-CA" w:bidi="en-CA"/>
        </w:rPr>
        <w:t xml:space="preserve"> Expanding Canada’s Toolkit to </w:t>
      </w:r>
      <w:r>
        <w:rPr>
          <w:i/>
          <w:lang w:val="en-CA" w:bidi="en-CA"/>
        </w:rPr>
        <w:t xml:space="preserve">Address </w:t>
      </w:r>
      <w:r w:rsidRPr="008671D1">
        <w:rPr>
          <w:i/>
          <w:lang w:val="en-CA" w:bidi="en-CA"/>
        </w:rPr>
        <w:t xml:space="preserve">Corporate Wrongdoing – Discussion Paper for Public Consultation: The deferred prosecution agreement stream discussion guide, </w:t>
      </w:r>
      <w:r w:rsidRPr="008671D1">
        <w:rPr>
          <w:lang w:val="en-CA" w:bidi="en-CA"/>
        </w:rPr>
        <w:t>2017, Gatineau, Public Services and Procurement Canada</w:t>
      </w:r>
      <w:r>
        <w:rPr>
          <w:lang w:val="en-CA" w:bidi="en-CA"/>
        </w:rPr>
        <w:t xml:space="preserve"> at</w:t>
      </w:r>
      <w:r w:rsidRPr="008671D1">
        <w:rPr>
          <w:lang w:val="en-CA" w:bidi="en-CA"/>
        </w:rPr>
        <w:t xml:space="preserve"> 4.</w:t>
      </w:r>
    </w:p>
  </w:footnote>
  <w:footnote w:id="40">
    <w:p w14:paraId="02163609" w14:textId="5C735134"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 xml:space="preserve">GOVERNMENT OF CANADA, </w:t>
      </w:r>
      <w:r w:rsidRPr="008671D1">
        <w:rPr>
          <w:i/>
          <w:lang w:val="en-CA" w:bidi="en-CA"/>
        </w:rPr>
        <w:t xml:space="preserve">Expanding Canada’s Toolkit to Address Corporate Wrongdoing – Discussion Paper for Public Consultation: The deferred prosecution agreement stream discussion guide, </w:t>
      </w:r>
      <w:r w:rsidRPr="008671D1">
        <w:rPr>
          <w:lang w:val="en-CA" w:bidi="en-CA"/>
        </w:rPr>
        <w:t>2017, Gatineau, Public Services and Procurement Canada</w:t>
      </w:r>
      <w:r>
        <w:rPr>
          <w:lang w:val="en-CA" w:bidi="en-CA"/>
        </w:rPr>
        <w:t xml:space="preserve"> at</w:t>
      </w:r>
      <w:r w:rsidRPr="008671D1">
        <w:rPr>
          <w:lang w:val="en-CA" w:bidi="en-CA"/>
        </w:rPr>
        <w:t xml:space="preserve"> 6.</w:t>
      </w:r>
    </w:p>
  </w:footnote>
  <w:footnote w:id="41">
    <w:p w14:paraId="2923BAB5" w14:textId="4EFF31CC"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 xml:space="preserve">GOVERNMENT OF CANADA, </w:t>
      </w:r>
      <w:r w:rsidRPr="008671D1">
        <w:rPr>
          <w:i/>
          <w:lang w:val="en-CA" w:bidi="en-CA"/>
        </w:rPr>
        <w:t xml:space="preserve">Expanding Canada’s Toolkit to Address Corporate Wrongdoing – Discussion Paper for Public Consultation: The deferred prosecution agreement stream discussion guide, </w:t>
      </w:r>
      <w:r w:rsidRPr="008671D1">
        <w:rPr>
          <w:lang w:val="en-CA" w:bidi="en-CA"/>
        </w:rPr>
        <w:t>2017, Gatineau, Public Services and Procurement Canada</w:t>
      </w:r>
      <w:r>
        <w:rPr>
          <w:lang w:val="en-CA" w:bidi="en-CA"/>
        </w:rPr>
        <w:t xml:space="preserve"> at</w:t>
      </w:r>
      <w:r w:rsidRPr="008671D1">
        <w:rPr>
          <w:lang w:val="en-CA" w:bidi="en-CA"/>
        </w:rPr>
        <w:t xml:space="preserve"> 6.</w:t>
      </w:r>
    </w:p>
  </w:footnote>
  <w:footnote w:id="42">
    <w:p w14:paraId="5ABE7783" w14:textId="6B6E90E6"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color w:val="161616"/>
          <w:sz w:val="19"/>
          <w:lang w:val="en-CA" w:bidi="en-CA"/>
        </w:rPr>
        <w:t>GOVERNMENT OF CANADA</w:t>
      </w:r>
      <w:r w:rsidRPr="008671D1">
        <w:rPr>
          <w:color w:val="3A383A"/>
          <w:sz w:val="19"/>
          <w:lang w:val="en-CA" w:bidi="en-CA"/>
        </w:rPr>
        <w:t xml:space="preserve">, </w:t>
      </w:r>
      <w:r w:rsidRPr="00C532C6">
        <w:rPr>
          <w:i/>
          <w:w w:val="105"/>
          <w:lang w:val="en-CA" w:bidi="en-CA"/>
        </w:rPr>
        <w:t>Expanding Canada’s Toolkit to Address Corporate Wrongdoing</w:t>
      </w:r>
      <w:r w:rsidRPr="00C532C6">
        <w:rPr>
          <w:lang w:val="en-CA" w:bidi="en-CA"/>
        </w:rPr>
        <w:t xml:space="preserve"> - </w:t>
      </w:r>
      <w:r w:rsidRPr="00C532C6">
        <w:rPr>
          <w:i/>
          <w:lang w:val="en-CA" w:bidi="en-CA"/>
        </w:rPr>
        <w:t>What We Heard</w:t>
      </w:r>
      <w:r w:rsidRPr="008671D1">
        <w:rPr>
          <w:color w:val="161616"/>
          <w:sz w:val="19"/>
          <w:lang w:val="en-CA" w:bidi="en-CA"/>
        </w:rPr>
        <w:t xml:space="preserve">: </w:t>
      </w:r>
      <w:r w:rsidRPr="008671D1">
        <w:rPr>
          <w:i/>
          <w:color w:val="161616"/>
          <w:lang w:val="en-CA" w:bidi="en-CA"/>
        </w:rPr>
        <w:t>February 22, 2018</w:t>
      </w:r>
      <w:r w:rsidRPr="008671D1">
        <w:rPr>
          <w:i/>
          <w:color w:val="3A383A"/>
          <w:lang w:val="en-CA" w:bidi="en-CA"/>
        </w:rPr>
        <w:t xml:space="preserve">, </w:t>
      </w:r>
      <w:r w:rsidRPr="008671D1">
        <w:rPr>
          <w:color w:val="161616"/>
          <w:sz w:val="19"/>
          <w:lang w:val="en-CA" w:bidi="en-CA"/>
        </w:rPr>
        <w:t>2018</w:t>
      </w:r>
      <w:r w:rsidRPr="008671D1">
        <w:rPr>
          <w:color w:val="3A383A"/>
          <w:sz w:val="19"/>
          <w:lang w:val="en-CA" w:bidi="en-CA"/>
        </w:rPr>
        <w:t xml:space="preserve">, </w:t>
      </w:r>
      <w:r w:rsidRPr="008671D1">
        <w:rPr>
          <w:color w:val="161616"/>
          <w:sz w:val="19"/>
          <w:lang w:val="en-CA" w:bidi="en-CA"/>
        </w:rPr>
        <w:t>Gatineau, Government of Canada</w:t>
      </w:r>
      <w:r>
        <w:rPr>
          <w:color w:val="161616"/>
          <w:sz w:val="19"/>
          <w:lang w:val="en-CA" w:bidi="en-CA"/>
        </w:rPr>
        <w:t xml:space="preserve"> at</w:t>
      </w:r>
      <w:r w:rsidRPr="008671D1">
        <w:rPr>
          <w:color w:val="161616"/>
          <w:sz w:val="19"/>
          <w:lang w:val="en-CA" w:bidi="en-CA"/>
        </w:rPr>
        <w:t xml:space="preserve"> 4</w:t>
      </w:r>
      <w:r w:rsidRPr="008671D1">
        <w:rPr>
          <w:color w:val="3A383A"/>
          <w:sz w:val="19"/>
          <w:lang w:val="en-CA" w:bidi="en-CA"/>
        </w:rPr>
        <w:t>.</w:t>
      </w:r>
    </w:p>
  </w:footnote>
  <w:footnote w:id="43">
    <w:p w14:paraId="57FBD18D" w14:textId="77777777"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i/>
          <w:lang w:val="en-CA" w:bidi="en-CA"/>
        </w:rPr>
        <w:t xml:space="preserve">An Act to implement certain provisions of the budget tabled in Parliament on February 27, 2018 and other measures, </w:t>
      </w:r>
      <w:r w:rsidRPr="008671D1">
        <w:rPr>
          <w:lang w:val="en-CA" w:bidi="en-CA"/>
        </w:rPr>
        <w:t>S.C. 2018, c. 12.</w:t>
      </w:r>
    </w:p>
  </w:footnote>
  <w:footnote w:id="44">
    <w:p w14:paraId="72A2FCD0" w14:textId="77777777"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i/>
          <w:lang w:val="en-CA" w:bidi="en-CA"/>
        </w:rPr>
        <w:t xml:space="preserve">An Act to implement certain provisions of the budget tabled in Parliament on February 27, 2018 and other measures, </w:t>
      </w:r>
      <w:r w:rsidRPr="008671D1">
        <w:rPr>
          <w:lang w:val="en-CA" w:bidi="en-CA"/>
        </w:rPr>
        <w:t>S.C. 2018, c. 12, s. 409.</w:t>
      </w:r>
    </w:p>
  </w:footnote>
  <w:footnote w:id="45">
    <w:p w14:paraId="71C9BBA9" w14:textId="707C174B"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 xml:space="preserve">GOVERNMENT OF CANADA, </w:t>
      </w:r>
      <w:r w:rsidRPr="008671D1">
        <w:rPr>
          <w:i/>
          <w:lang w:val="en-CA" w:bidi="en-CA"/>
        </w:rPr>
        <w:t>Expanding Canada’s Toolkit to Address Corporate Wrongdoing</w:t>
      </w:r>
      <w:r w:rsidRPr="008671D1">
        <w:rPr>
          <w:lang w:val="en-CA" w:bidi="en-CA"/>
        </w:rPr>
        <w:t xml:space="preserve"> - </w:t>
      </w:r>
      <w:r w:rsidRPr="008671D1">
        <w:rPr>
          <w:i/>
          <w:lang w:val="en-CA" w:bidi="en-CA"/>
        </w:rPr>
        <w:t>What We Heard</w:t>
      </w:r>
      <w:r w:rsidRPr="008671D1">
        <w:rPr>
          <w:lang w:val="en-CA" w:bidi="en-CA"/>
        </w:rPr>
        <w:t xml:space="preserve">: </w:t>
      </w:r>
      <w:r w:rsidRPr="008671D1">
        <w:rPr>
          <w:i/>
          <w:lang w:val="en-CA" w:bidi="en-CA"/>
        </w:rPr>
        <w:t xml:space="preserve">February 22, 2018, </w:t>
      </w:r>
      <w:r w:rsidRPr="008671D1">
        <w:rPr>
          <w:lang w:val="en-CA" w:bidi="en-CA"/>
        </w:rPr>
        <w:t>2018, Gatineau, Government of Canada</w:t>
      </w:r>
      <w:r>
        <w:rPr>
          <w:i/>
          <w:lang w:val="en-CA" w:bidi="en-CA"/>
        </w:rPr>
        <w:t xml:space="preserve"> </w:t>
      </w:r>
      <w:r w:rsidRPr="006B7F16">
        <w:rPr>
          <w:lang w:val="en-CA" w:bidi="en-CA"/>
        </w:rPr>
        <w:t>at</w:t>
      </w:r>
      <w:r w:rsidRPr="008671D1">
        <w:rPr>
          <w:i/>
          <w:lang w:val="en-CA" w:bidi="en-CA"/>
        </w:rPr>
        <w:t xml:space="preserve"> </w:t>
      </w:r>
      <w:r w:rsidRPr="006B7F16">
        <w:rPr>
          <w:lang w:val="en-CA" w:bidi="en-CA"/>
        </w:rPr>
        <w:t>15</w:t>
      </w:r>
      <w:r w:rsidRPr="008671D1">
        <w:rPr>
          <w:i/>
          <w:lang w:val="en-CA" w:bidi="en-CA"/>
        </w:rPr>
        <w:t>.</w:t>
      </w:r>
    </w:p>
  </w:footnote>
  <w:footnote w:id="46">
    <w:p w14:paraId="63312539" w14:textId="1AA171F7"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 xml:space="preserve">Polly SPRENGER, </w:t>
      </w:r>
      <w:r w:rsidRPr="008671D1">
        <w:rPr>
          <w:i/>
          <w:lang w:val="en-CA" w:bidi="en-CA"/>
        </w:rPr>
        <w:t xml:space="preserve">Deferred Prosecution Agreements: The law and practice of negotiated corporate criminal penalties, </w:t>
      </w:r>
      <w:r>
        <w:rPr>
          <w:lang w:val="en-CA" w:bidi="en-CA"/>
        </w:rPr>
        <w:t>(</w:t>
      </w:r>
      <w:r w:rsidRPr="008671D1">
        <w:rPr>
          <w:lang w:val="en-CA" w:bidi="en-CA"/>
        </w:rPr>
        <w:t>London</w:t>
      </w:r>
      <w:r>
        <w:rPr>
          <w:lang w:val="en-CA" w:bidi="en-CA"/>
        </w:rPr>
        <w:t xml:space="preserve">: </w:t>
      </w:r>
      <w:r w:rsidRPr="008671D1">
        <w:rPr>
          <w:lang w:val="en-CA" w:bidi="en-CA"/>
        </w:rPr>
        <w:t>Thomson Reuters,</w:t>
      </w:r>
      <w:r>
        <w:rPr>
          <w:lang w:val="en-CA" w:bidi="en-CA"/>
        </w:rPr>
        <w:t xml:space="preserve"> 2015)</w:t>
      </w:r>
      <w:r w:rsidRPr="008671D1">
        <w:rPr>
          <w:lang w:val="en-CA" w:bidi="en-CA"/>
        </w:rPr>
        <w:t xml:space="preserve"> </w:t>
      </w:r>
      <w:r>
        <w:rPr>
          <w:lang w:val="en-CA" w:bidi="en-CA"/>
        </w:rPr>
        <w:t>at</w:t>
      </w:r>
      <w:r w:rsidRPr="008671D1">
        <w:rPr>
          <w:lang w:val="en-CA" w:bidi="en-CA"/>
        </w:rPr>
        <w:t xml:space="preserve"> 24. Internal quotations refer to DEPARTMENT OF JUSTICE (UK), </w:t>
      </w:r>
      <w:r w:rsidRPr="008671D1">
        <w:rPr>
          <w:i/>
          <w:lang w:val="en-CA" w:bidi="en-CA"/>
        </w:rPr>
        <w:t>Deferred Prosecution Agreements: Government response to the consultation on a new enforcement tool to deal with economic crime committed by commercial organizations</w:t>
      </w:r>
      <w:r w:rsidRPr="008671D1">
        <w:rPr>
          <w:lang w:val="en-CA" w:bidi="en-CA"/>
        </w:rPr>
        <w:t xml:space="preserve">, </w:t>
      </w:r>
      <w:r>
        <w:rPr>
          <w:lang w:val="en-CA" w:bidi="en-CA"/>
        </w:rPr>
        <w:t>(</w:t>
      </w:r>
      <w:r w:rsidRPr="008671D1">
        <w:rPr>
          <w:lang w:val="en-CA" w:bidi="en-CA"/>
        </w:rPr>
        <w:t>London</w:t>
      </w:r>
      <w:r>
        <w:rPr>
          <w:lang w:val="en-CA" w:bidi="en-CA"/>
        </w:rPr>
        <w:t>:</w:t>
      </w:r>
      <w:r w:rsidRPr="008671D1">
        <w:rPr>
          <w:lang w:val="en-CA" w:bidi="en-CA"/>
        </w:rPr>
        <w:t xml:space="preserve"> The Stationery Office Ltd., 2012</w:t>
      </w:r>
      <w:r>
        <w:rPr>
          <w:lang w:val="en-CA" w:bidi="en-CA"/>
        </w:rPr>
        <w:t>)</w:t>
      </w:r>
      <w:r w:rsidRPr="008671D1">
        <w:rPr>
          <w:lang w:val="en-CA" w:bidi="en-CA"/>
        </w:rPr>
        <w:t>.</w:t>
      </w:r>
    </w:p>
  </w:footnote>
  <w:footnote w:id="47">
    <w:p w14:paraId="6F6DEC06" w14:textId="10CF0DFC"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Serious Fraud Office and Standard Bank PLC, no. U20150854, November 30, 2015</w:t>
      </w:r>
      <w:r>
        <w:rPr>
          <w:lang w:val="en-CA" w:bidi="en-CA"/>
        </w:rPr>
        <w:t xml:space="preserve"> at</w:t>
      </w:r>
      <w:r w:rsidRPr="008671D1">
        <w:rPr>
          <w:lang w:val="en-CA" w:bidi="en-CA"/>
        </w:rPr>
        <w:t xml:space="preserve"> para. 2.</w:t>
      </w:r>
    </w:p>
  </w:footnote>
  <w:footnote w:id="48">
    <w:p w14:paraId="670486BB" w14:textId="77777777"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w:t>
      </w:r>
      <w:r w:rsidRPr="008671D1">
        <w:rPr>
          <w:i/>
          <w:lang w:val="en-CA" w:bidi="en-CA"/>
        </w:rPr>
        <w:t>Accord de réparation</w:t>
      </w:r>
      <w:r w:rsidRPr="008671D1">
        <w:rPr>
          <w:lang w:val="en-CA" w:bidi="en-CA"/>
        </w:rPr>
        <w:t>”</w:t>
      </w:r>
      <w:r w:rsidRPr="008671D1">
        <w:rPr>
          <w:i/>
          <w:lang w:val="en-CA" w:bidi="en-CA"/>
        </w:rPr>
        <w:t xml:space="preserve"> </w:t>
      </w:r>
      <w:r w:rsidRPr="008671D1">
        <w:rPr>
          <w:lang w:val="en-CA" w:bidi="en-CA"/>
        </w:rPr>
        <w:t>in the French version.</w:t>
      </w:r>
    </w:p>
  </w:footnote>
  <w:footnote w:id="49">
    <w:p w14:paraId="33B1AB25" w14:textId="72583CC2" w:rsidR="00BA1BFD" w:rsidRPr="00722050" w:rsidRDefault="00BA1BFD">
      <w:pPr>
        <w:pStyle w:val="Notedebasdepage"/>
        <w:rPr>
          <w:lang w:val="en-CA"/>
        </w:rPr>
      </w:pPr>
      <w:r w:rsidRPr="008671D1">
        <w:rPr>
          <w:rStyle w:val="Appelnotedebasdep"/>
          <w:lang w:val="en-CA"/>
        </w:rPr>
        <w:footnoteRef/>
      </w:r>
      <w:r w:rsidRPr="00722050">
        <w:rPr>
          <w:lang w:val="en-CA"/>
        </w:rPr>
        <w:t xml:space="preserve"> </w:t>
      </w:r>
      <w:r w:rsidRPr="00722050">
        <w:rPr>
          <w:lang w:val="en-CA"/>
        </w:rPr>
        <w:tab/>
        <w:t>Section</w:t>
      </w:r>
      <w:r w:rsidRPr="00722050">
        <w:rPr>
          <w:lang w:val="en-CA" w:bidi="en-CA"/>
        </w:rPr>
        <w:t xml:space="preserve"> 715.3 Cr. C.</w:t>
      </w:r>
    </w:p>
  </w:footnote>
  <w:footnote w:id="50">
    <w:p w14:paraId="41FF83E8" w14:textId="3E1FD1DE" w:rsidR="00BA1BFD" w:rsidRPr="00722050" w:rsidRDefault="00BA1BFD">
      <w:pPr>
        <w:pStyle w:val="Notedebasdepage"/>
        <w:rPr>
          <w:lang w:val="en-CA"/>
        </w:rPr>
      </w:pPr>
      <w:r w:rsidRPr="008671D1">
        <w:rPr>
          <w:rStyle w:val="Appelnotedebasdep"/>
          <w:lang w:val="en-CA"/>
        </w:rPr>
        <w:footnoteRef/>
      </w:r>
      <w:r w:rsidRPr="00722050">
        <w:rPr>
          <w:lang w:val="en-CA"/>
        </w:rPr>
        <w:t xml:space="preserve"> </w:t>
      </w:r>
      <w:r w:rsidRPr="00722050">
        <w:rPr>
          <w:lang w:val="en-CA"/>
        </w:rPr>
        <w:tab/>
        <w:t>Section</w:t>
      </w:r>
      <w:r w:rsidRPr="00722050">
        <w:rPr>
          <w:lang w:val="en-CA" w:bidi="en-CA"/>
        </w:rPr>
        <w:t xml:space="preserve"> 715.37 Cr. C.</w:t>
      </w:r>
    </w:p>
  </w:footnote>
  <w:footnote w:id="51">
    <w:p w14:paraId="0274307B" w14:textId="65C300FF" w:rsidR="00BA1BFD" w:rsidRPr="00722050" w:rsidRDefault="00BA1BFD">
      <w:pPr>
        <w:pStyle w:val="Notedebasdepage"/>
        <w:rPr>
          <w:lang w:val="en-CA"/>
        </w:rPr>
      </w:pPr>
      <w:r w:rsidRPr="008671D1">
        <w:rPr>
          <w:rStyle w:val="Appelnotedebasdep"/>
          <w:lang w:val="en-CA"/>
        </w:rPr>
        <w:footnoteRef/>
      </w:r>
      <w:r w:rsidRPr="00722050">
        <w:rPr>
          <w:lang w:val="en-CA"/>
        </w:rPr>
        <w:t xml:space="preserve"> </w:t>
      </w:r>
      <w:r w:rsidRPr="00722050">
        <w:rPr>
          <w:lang w:val="en-CA"/>
        </w:rPr>
        <w:tab/>
        <w:t>Section</w:t>
      </w:r>
      <w:r w:rsidRPr="00722050">
        <w:rPr>
          <w:lang w:val="en-CA" w:bidi="en-CA"/>
        </w:rPr>
        <w:t xml:space="preserve"> 715.38 Cr. C.</w:t>
      </w:r>
    </w:p>
  </w:footnote>
  <w:footnote w:id="52">
    <w:p w14:paraId="3E747FF4" w14:textId="050A1E31" w:rsidR="00BA1BFD" w:rsidRPr="006B7F16" w:rsidRDefault="00BA1BFD">
      <w:pPr>
        <w:pStyle w:val="Notedebasdepage"/>
      </w:pPr>
      <w:r w:rsidRPr="008671D1">
        <w:rPr>
          <w:rStyle w:val="Appelnotedebasdep"/>
          <w:lang w:val="en-CA"/>
        </w:rPr>
        <w:footnoteRef/>
      </w:r>
      <w:r w:rsidRPr="006B7F16">
        <w:t xml:space="preserve"> </w:t>
      </w:r>
      <w:r w:rsidRPr="006B7F16">
        <w:tab/>
        <w:t>Section</w:t>
      </w:r>
      <w:r w:rsidRPr="006B7F16">
        <w:rPr>
          <w:lang w:bidi="en-CA"/>
        </w:rPr>
        <w:t xml:space="preserve"> 715.39 Cr. C.</w:t>
      </w:r>
    </w:p>
  </w:footnote>
  <w:footnote w:id="53">
    <w:p w14:paraId="165D7FFF" w14:textId="7034F253" w:rsidR="00BA1BFD" w:rsidRPr="006B7F16" w:rsidRDefault="00BA1BFD">
      <w:pPr>
        <w:pStyle w:val="Notedebasdepage"/>
      </w:pPr>
      <w:r w:rsidRPr="008671D1">
        <w:rPr>
          <w:rStyle w:val="Appelnotedebasdep"/>
          <w:lang w:val="en-CA"/>
        </w:rPr>
        <w:footnoteRef/>
      </w:r>
      <w:r w:rsidRPr="006B7F16">
        <w:t xml:space="preserve"> </w:t>
      </w:r>
      <w:r w:rsidRPr="006B7F16">
        <w:tab/>
      </w:r>
      <w:r w:rsidRPr="006B7F16">
        <w:rPr>
          <w:lang w:bidi="en-CA"/>
        </w:rPr>
        <w:t>S</w:t>
      </w:r>
      <w:r>
        <w:rPr>
          <w:lang w:bidi="en-CA"/>
        </w:rPr>
        <w:t>ection</w:t>
      </w:r>
      <w:r w:rsidRPr="006B7F16">
        <w:rPr>
          <w:lang w:bidi="en-CA"/>
        </w:rPr>
        <w:t xml:space="preserve"> 715.4 Cr. C.</w:t>
      </w:r>
    </w:p>
  </w:footnote>
  <w:footnote w:id="54">
    <w:p w14:paraId="1C0427A4" w14:textId="3A4140A8" w:rsidR="00BA1BFD" w:rsidRPr="006B7F16" w:rsidRDefault="00BA1BFD">
      <w:pPr>
        <w:pStyle w:val="Notedebasdepage"/>
      </w:pPr>
      <w:r w:rsidRPr="008671D1">
        <w:rPr>
          <w:rStyle w:val="Appelnotedebasdep"/>
          <w:lang w:val="en-CA"/>
        </w:rPr>
        <w:footnoteRef/>
      </w:r>
      <w:r w:rsidRPr="006B7F16">
        <w:t xml:space="preserve"> </w:t>
      </w:r>
      <w:r w:rsidRPr="006B7F16">
        <w:tab/>
      </w:r>
      <w:r w:rsidRPr="006B7F16">
        <w:rPr>
          <w:lang w:bidi="en-CA"/>
        </w:rPr>
        <w:t>S</w:t>
      </w:r>
      <w:r>
        <w:rPr>
          <w:lang w:bidi="en-CA"/>
        </w:rPr>
        <w:t>ection</w:t>
      </w:r>
      <w:r w:rsidRPr="006B7F16">
        <w:rPr>
          <w:lang w:bidi="en-CA"/>
        </w:rPr>
        <w:t xml:space="preserve"> 715.42(3)(c) Cr. C.</w:t>
      </w:r>
    </w:p>
  </w:footnote>
  <w:footnote w:id="55">
    <w:p w14:paraId="6671756C" w14:textId="745A3316" w:rsidR="00BA1BFD" w:rsidRPr="006B7F16" w:rsidRDefault="00BA1BFD">
      <w:pPr>
        <w:pStyle w:val="Notedebasdepage"/>
      </w:pPr>
      <w:r w:rsidRPr="008671D1">
        <w:rPr>
          <w:rStyle w:val="Appelnotedebasdep"/>
          <w:lang w:val="en-CA"/>
        </w:rPr>
        <w:footnoteRef/>
      </w:r>
      <w:r w:rsidRPr="006B7F16">
        <w:t xml:space="preserve"> </w:t>
      </w:r>
      <w:r w:rsidRPr="006B7F16">
        <w:tab/>
      </w:r>
      <w:r w:rsidRPr="006B7F16">
        <w:rPr>
          <w:lang w:bidi="en-CA"/>
        </w:rPr>
        <w:t>Section 715.32(2)(b) Cr. C.</w:t>
      </w:r>
    </w:p>
  </w:footnote>
  <w:footnote w:id="56">
    <w:p w14:paraId="29B2AEF1" w14:textId="4366CCD3" w:rsidR="00BA1BFD" w:rsidRPr="006B7F16" w:rsidRDefault="00BA1BFD">
      <w:pPr>
        <w:pStyle w:val="Notedebasdepage"/>
      </w:pPr>
      <w:r w:rsidRPr="008671D1">
        <w:rPr>
          <w:rStyle w:val="Appelnotedebasdep"/>
          <w:lang w:val="en-CA"/>
        </w:rPr>
        <w:footnoteRef/>
      </w:r>
      <w:r w:rsidRPr="006B7F16">
        <w:t xml:space="preserve"> </w:t>
      </w:r>
      <w:r w:rsidRPr="006B7F16">
        <w:tab/>
      </w:r>
      <w:r w:rsidRPr="006B7F16">
        <w:rPr>
          <w:lang w:bidi="en-CA"/>
        </w:rPr>
        <w:t>Section 715.34(1)(g) Cr. C.</w:t>
      </w:r>
    </w:p>
  </w:footnote>
  <w:footnote w:id="57">
    <w:p w14:paraId="46EE0CF2" w14:textId="59CCA1FA" w:rsidR="00BA1BFD" w:rsidRPr="006B7F16" w:rsidRDefault="00BA1BFD">
      <w:pPr>
        <w:pStyle w:val="Notedebasdepage"/>
      </w:pPr>
      <w:r w:rsidRPr="008671D1">
        <w:rPr>
          <w:rStyle w:val="Appelnotedebasdep"/>
          <w:lang w:val="en-CA"/>
        </w:rPr>
        <w:footnoteRef/>
      </w:r>
      <w:r w:rsidRPr="006B7F16">
        <w:t xml:space="preserve"> </w:t>
      </w:r>
      <w:r w:rsidRPr="006B7F16">
        <w:tab/>
      </w:r>
      <w:r w:rsidRPr="006B7F16">
        <w:rPr>
          <w:lang w:bidi="en-CA"/>
        </w:rPr>
        <w:t>Section 715.36 Cr. C.</w:t>
      </w:r>
    </w:p>
  </w:footnote>
  <w:footnote w:id="58">
    <w:p w14:paraId="35737F00" w14:textId="01AD0DFD" w:rsidR="00BA1BFD" w:rsidRPr="006B7F16" w:rsidRDefault="00BA1BFD">
      <w:pPr>
        <w:pStyle w:val="Notedebasdepage"/>
      </w:pPr>
      <w:r w:rsidRPr="008671D1">
        <w:rPr>
          <w:rStyle w:val="Appelnotedebasdep"/>
          <w:lang w:val="en-CA"/>
        </w:rPr>
        <w:footnoteRef/>
      </w:r>
      <w:r w:rsidRPr="006B7F16">
        <w:t xml:space="preserve"> </w:t>
      </w:r>
      <w:r w:rsidRPr="006B7F16">
        <w:tab/>
      </w:r>
      <w:r w:rsidRPr="006B7F16">
        <w:rPr>
          <w:lang w:bidi="en-CA"/>
        </w:rPr>
        <w:t>Sections 715.42(3)(a) and (b) Cr. C.</w:t>
      </w:r>
    </w:p>
  </w:footnote>
  <w:footnote w:id="59">
    <w:p w14:paraId="2ADBE9BC" w14:textId="77777777"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CQLR, c. C-52.2.</w:t>
      </w:r>
    </w:p>
  </w:footnote>
  <w:footnote w:id="60">
    <w:p w14:paraId="51A296C1" w14:textId="79B418D2"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 xml:space="preserve">The timeline is as follows: </w:t>
      </w:r>
      <w:r>
        <w:rPr>
          <w:lang w:val="en-CA" w:bidi="en-CA"/>
        </w:rPr>
        <w:t>[</w:t>
      </w:r>
      <w:r w:rsidRPr="006B7F16">
        <w:rPr>
          <w:smallCaps/>
          <w:lang w:val="en-CA" w:bidi="en-CA"/>
        </w:rPr>
        <w:t>translation</w:t>
      </w:r>
      <w:r>
        <w:rPr>
          <w:lang w:val="en-CA" w:bidi="en-CA"/>
        </w:rPr>
        <w:t xml:space="preserve">] </w:t>
      </w:r>
      <w:r w:rsidRPr="008671D1">
        <w:rPr>
          <w:lang w:val="en-CA" w:bidi="en-CA"/>
        </w:rPr>
        <w:t>“</w:t>
      </w:r>
      <w:r w:rsidRPr="00FB215A">
        <w:rPr>
          <w:lang w:val="en-US" w:bidi="en-CA"/>
        </w:rPr>
        <w:t>within thirty (30) days following the date on which the court approves the Remediation Agreement</w:t>
      </w:r>
      <w:r w:rsidRPr="008671D1">
        <w:rPr>
          <w:lang w:val="en-CA" w:bidi="en-CA"/>
        </w:rPr>
        <w:t xml:space="preserve">" (Book of Exhibits B, Tab R-1 </w:t>
      </w:r>
      <w:r>
        <w:rPr>
          <w:lang w:val="en-CA" w:bidi="en-CA"/>
        </w:rPr>
        <w:t>[</w:t>
      </w:r>
      <w:r w:rsidRPr="006B7F16">
        <w:rPr>
          <w:smallCaps/>
          <w:lang w:val="en-CA" w:bidi="en-CA"/>
        </w:rPr>
        <w:t>translation</w:t>
      </w:r>
      <w:r>
        <w:rPr>
          <w:lang w:val="en-CA" w:bidi="en-CA"/>
        </w:rPr>
        <w:t xml:space="preserve">] </w:t>
      </w:r>
      <w:r w:rsidRPr="008671D1">
        <w:rPr>
          <w:lang w:val="en-CA" w:bidi="en-CA"/>
        </w:rPr>
        <w:t xml:space="preserve">“Draft Remediation Agreement between Her Majesty the Queen and SNC-Lavalin Inc. and SNC-Lavalin International Inc. (amended)”, Schedule D </w:t>
      </w:r>
      <w:r>
        <w:rPr>
          <w:lang w:val="en-CA" w:bidi="en-CA"/>
        </w:rPr>
        <w:t>[</w:t>
      </w:r>
      <w:r w:rsidRPr="006B7F16">
        <w:rPr>
          <w:smallCaps/>
          <w:lang w:val="en-CA" w:bidi="en-CA"/>
        </w:rPr>
        <w:t>translation</w:t>
      </w:r>
      <w:r>
        <w:rPr>
          <w:lang w:val="en-CA" w:bidi="en-CA"/>
        </w:rPr>
        <w:t xml:space="preserve">] </w:t>
      </w:r>
      <w:r w:rsidRPr="008671D1">
        <w:rPr>
          <w:lang w:val="en-CA" w:bidi="en-CA"/>
        </w:rPr>
        <w:t>“</w:t>
      </w:r>
      <w:r>
        <w:rPr>
          <w:lang w:val="en-CA" w:bidi="en-CA"/>
        </w:rPr>
        <w:t>Methods</w:t>
      </w:r>
      <w:r w:rsidRPr="008671D1">
        <w:rPr>
          <w:lang w:val="en-CA" w:bidi="en-CA"/>
        </w:rPr>
        <w:t xml:space="preserve"> of Payment</w:t>
      </w:r>
      <w:r>
        <w:rPr>
          <w:lang w:val="en-CA" w:bidi="en-CA"/>
        </w:rPr>
        <w:t>s</w:t>
      </w:r>
      <w:r w:rsidRPr="008671D1">
        <w:rPr>
          <w:lang w:val="en-CA" w:bidi="en-CA"/>
        </w:rPr>
        <w:t>”</w:t>
      </w:r>
      <w:r>
        <w:rPr>
          <w:lang w:val="en-CA" w:bidi="en-CA"/>
        </w:rPr>
        <w:t xml:space="preserve"> at</w:t>
      </w:r>
      <w:r w:rsidRPr="008671D1">
        <w:rPr>
          <w:lang w:val="en-CA" w:bidi="en-CA"/>
        </w:rPr>
        <w:t xml:space="preserve"> para. 3).</w:t>
      </w:r>
    </w:p>
  </w:footnote>
  <w:footnote w:id="61">
    <w:p w14:paraId="657E5290" w14:textId="6B124970"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 xml:space="preserve">The timeline is as follows: June 30, 2023, September 30, 2023, December 31, 2023, June 30, 2024, September 30, 2024, December 31, 2024 (Book of Exhibits B, Tab R-1 </w:t>
      </w:r>
      <w:r>
        <w:rPr>
          <w:lang w:val="en-CA" w:bidi="en-CA"/>
        </w:rPr>
        <w:t>[</w:t>
      </w:r>
      <w:r w:rsidRPr="006B7F16">
        <w:rPr>
          <w:smallCaps/>
          <w:lang w:val="en-CA" w:bidi="en-CA"/>
        </w:rPr>
        <w:t>translation</w:t>
      </w:r>
      <w:r>
        <w:rPr>
          <w:lang w:val="en-CA" w:bidi="en-CA"/>
        </w:rPr>
        <w:t xml:space="preserve">] </w:t>
      </w:r>
      <w:r w:rsidRPr="008671D1">
        <w:rPr>
          <w:lang w:val="en-CA" w:bidi="en-CA"/>
        </w:rPr>
        <w:t xml:space="preserve">“Draft Remediation Agreement between Her Majesty the Queen and SNC-Lavalin Inc. and SNC-Lavalin International Inc. (amended)”, Schedule D </w:t>
      </w:r>
      <w:r>
        <w:rPr>
          <w:lang w:val="en-CA" w:bidi="en-CA"/>
        </w:rPr>
        <w:t>[</w:t>
      </w:r>
      <w:r w:rsidRPr="00430D9D">
        <w:rPr>
          <w:smallCaps/>
          <w:lang w:val="en-CA" w:bidi="en-CA"/>
        </w:rPr>
        <w:t>translation</w:t>
      </w:r>
      <w:r>
        <w:rPr>
          <w:lang w:val="en-CA" w:bidi="en-CA"/>
        </w:rPr>
        <w:t>]</w:t>
      </w:r>
      <w:r w:rsidRPr="008671D1">
        <w:rPr>
          <w:lang w:val="en-CA" w:bidi="en-CA"/>
        </w:rPr>
        <w:t xml:space="preserve"> “</w:t>
      </w:r>
      <w:r>
        <w:rPr>
          <w:lang w:val="en-CA" w:bidi="en-CA"/>
        </w:rPr>
        <w:t>Methods</w:t>
      </w:r>
      <w:r w:rsidRPr="008671D1">
        <w:rPr>
          <w:lang w:val="en-CA" w:bidi="en-CA"/>
        </w:rPr>
        <w:t xml:space="preserve"> of Payment</w:t>
      </w:r>
      <w:r>
        <w:rPr>
          <w:lang w:val="en-CA" w:bidi="en-CA"/>
        </w:rPr>
        <w:t>s</w:t>
      </w:r>
      <w:r w:rsidRPr="008671D1">
        <w:rPr>
          <w:lang w:val="en-CA" w:bidi="en-CA"/>
        </w:rPr>
        <w:t>”</w:t>
      </w:r>
      <w:r>
        <w:rPr>
          <w:lang w:val="en-CA" w:bidi="en-CA"/>
        </w:rPr>
        <w:t xml:space="preserve"> at</w:t>
      </w:r>
      <w:r w:rsidRPr="008671D1">
        <w:rPr>
          <w:lang w:val="en-CA" w:bidi="en-CA"/>
        </w:rPr>
        <w:t xml:space="preserve"> para. 1).</w:t>
      </w:r>
    </w:p>
  </w:footnote>
  <w:footnote w:id="62">
    <w:p w14:paraId="3A324018" w14:textId="1707FBAE"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 xml:space="preserve">The timeline is as follows: </w:t>
      </w:r>
      <w:r>
        <w:rPr>
          <w:lang w:val="en-CA" w:bidi="en-CA"/>
        </w:rPr>
        <w:t>[</w:t>
      </w:r>
      <w:r w:rsidRPr="00430D9D">
        <w:rPr>
          <w:smallCaps/>
          <w:lang w:val="en-CA" w:bidi="en-CA"/>
        </w:rPr>
        <w:t>translation</w:t>
      </w:r>
      <w:r>
        <w:rPr>
          <w:lang w:val="en-CA" w:bidi="en-CA"/>
        </w:rPr>
        <w:t>]</w:t>
      </w:r>
      <w:r w:rsidRPr="008671D1">
        <w:rPr>
          <w:lang w:val="en-CA" w:bidi="en-CA"/>
        </w:rPr>
        <w:t xml:space="preserve"> “within thirty (30) days of the date on which the remediation agreement is approved by the Court” (Book of Exhibits B, Tab R-1 </w:t>
      </w:r>
      <w:r>
        <w:rPr>
          <w:lang w:val="en-CA" w:bidi="en-CA"/>
        </w:rPr>
        <w:t>[</w:t>
      </w:r>
      <w:r w:rsidRPr="00430D9D">
        <w:rPr>
          <w:smallCaps/>
          <w:lang w:val="en-CA" w:bidi="en-CA"/>
        </w:rPr>
        <w:t>translation</w:t>
      </w:r>
      <w:r>
        <w:rPr>
          <w:lang w:val="en-CA" w:bidi="en-CA"/>
        </w:rPr>
        <w:t>]</w:t>
      </w:r>
      <w:r w:rsidRPr="008671D1">
        <w:rPr>
          <w:lang w:val="en-CA" w:bidi="en-CA"/>
        </w:rPr>
        <w:t xml:space="preserve"> “Draft Remediation Agreement between Her Majesty the Queen and SNC-Lavalin Inc. and SNC-Lavalin International Inc.(amended)”, Schedule D </w:t>
      </w:r>
      <w:r>
        <w:rPr>
          <w:lang w:val="en-CA" w:bidi="en-CA"/>
        </w:rPr>
        <w:t>[</w:t>
      </w:r>
      <w:r w:rsidRPr="00430D9D">
        <w:rPr>
          <w:smallCaps/>
          <w:lang w:val="en-CA" w:bidi="en-CA"/>
        </w:rPr>
        <w:t>translation</w:t>
      </w:r>
      <w:r>
        <w:rPr>
          <w:lang w:val="en-CA" w:bidi="en-CA"/>
        </w:rPr>
        <w:t>]</w:t>
      </w:r>
      <w:r w:rsidRPr="008671D1">
        <w:rPr>
          <w:lang w:val="en-CA" w:bidi="en-CA"/>
        </w:rPr>
        <w:t xml:space="preserve"> “</w:t>
      </w:r>
      <w:r>
        <w:rPr>
          <w:lang w:val="en-CA" w:bidi="en-CA"/>
        </w:rPr>
        <w:t xml:space="preserve">Methods </w:t>
      </w:r>
      <w:r w:rsidRPr="008671D1">
        <w:rPr>
          <w:lang w:val="en-CA" w:bidi="en-CA"/>
        </w:rPr>
        <w:t>of Payment</w:t>
      </w:r>
      <w:r>
        <w:rPr>
          <w:lang w:val="en-CA" w:bidi="en-CA"/>
        </w:rPr>
        <w:t>s</w:t>
      </w:r>
      <w:r w:rsidRPr="008671D1">
        <w:rPr>
          <w:lang w:val="en-CA" w:bidi="en-CA"/>
        </w:rPr>
        <w:t>”</w:t>
      </w:r>
      <w:r>
        <w:rPr>
          <w:lang w:val="en-CA" w:bidi="en-CA"/>
        </w:rPr>
        <w:t xml:space="preserve"> at</w:t>
      </w:r>
      <w:r w:rsidRPr="008671D1">
        <w:rPr>
          <w:lang w:val="en-CA" w:bidi="en-CA"/>
        </w:rPr>
        <w:t xml:space="preserve"> para. 4).</w:t>
      </w:r>
    </w:p>
  </w:footnote>
  <w:footnote w:id="63">
    <w:p w14:paraId="34D1B422" w14:textId="71EA5831" w:rsidR="00BA1BFD" w:rsidRPr="008671D1" w:rsidRDefault="00BA1BFD">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lang w:val="en-CA" w:bidi="en-CA"/>
        </w:rPr>
        <w:t xml:space="preserve">The timeline is as follows: June 30, 2023, September 30, 2023, December 31, 2023, June 30, 2024, September 30, 2024, December 31, 2024 (Book of Exhibits, Tab R-1 </w:t>
      </w:r>
      <w:r>
        <w:rPr>
          <w:lang w:val="en-CA" w:bidi="en-CA"/>
        </w:rPr>
        <w:t>[</w:t>
      </w:r>
      <w:r w:rsidRPr="00430D9D">
        <w:rPr>
          <w:smallCaps/>
          <w:lang w:val="en-CA" w:bidi="en-CA"/>
        </w:rPr>
        <w:t>translation</w:t>
      </w:r>
      <w:r>
        <w:rPr>
          <w:lang w:val="en-CA" w:bidi="en-CA"/>
        </w:rPr>
        <w:t>]</w:t>
      </w:r>
      <w:r w:rsidRPr="008671D1">
        <w:rPr>
          <w:lang w:val="en-CA" w:bidi="en-CA"/>
        </w:rPr>
        <w:t xml:space="preserve"> “Draft Remediation Agreement between Her Majesty the Queen and SNC-Lavalin Inc. and SNC-Lavalin International Inc. (amended)”, Schedule D, </w:t>
      </w:r>
      <w:r>
        <w:rPr>
          <w:lang w:val="en-CA" w:bidi="en-CA"/>
        </w:rPr>
        <w:t>[</w:t>
      </w:r>
      <w:r w:rsidRPr="00430D9D">
        <w:rPr>
          <w:smallCaps/>
          <w:lang w:val="en-CA" w:bidi="en-CA"/>
        </w:rPr>
        <w:t>translation</w:t>
      </w:r>
      <w:r>
        <w:rPr>
          <w:lang w:val="en-CA" w:bidi="en-CA"/>
        </w:rPr>
        <w:t>]</w:t>
      </w:r>
      <w:r w:rsidRPr="008671D1">
        <w:rPr>
          <w:lang w:val="en-CA" w:bidi="en-CA"/>
        </w:rPr>
        <w:t xml:space="preserve"> “</w:t>
      </w:r>
      <w:r>
        <w:rPr>
          <w:lang w:val="en-CA" w:bidi="en-CA"/>
        </w:rPr>
        <w:t>Methods</w:t>
      </w:r>
      <w:r w:rsidRPr="008671D1">
        <w:rPr>
          <w:lang w:val="en-CA" w:bidi="en-CA"/>
        </w:rPr>
        <w:t xml:space="preserve"> of Payment</w:t>
      </w:r>
      <w:r>
        <w:rPr>
          <w:lang w:val="en-CA" w:bidi="en-CA"/>
        </w:rPr>
        <w:t>s</w:t>
      </w:r>
      <w:r w:rsidRPr="008671D1">
        <w:rPr>
          <w:lang w:val="en-CA" w:bidi="en-CA"/>
        </w:rPr>
        <w:t>”</w:t>
      </w:r>
      <w:r>
        <w:rPr>
          <w:lang w:val="en-CA" w:bidi="en-CA"/>
        </w:rPr>
        <w:t xml:space="preserve"> at</w:t>
      </w:r>
      <w:r w:rsidRPr="008671D1">
        <w:rPr>
          <w:lang w:val="en-CA" w:bidi="en-CA"/>
        </w:rPr>
        <w:t xml:space="preserve"> para. 2).</w:t>
      </w:r>
    </w:p>
  </w:footnote>
  <w:footnote w:id="64">
    <w:p w14:paraId="6BF846E7" w14:textId="2CB1546A" w:rsidR="00BA1BFD" w:rsidRPr="008671D1" w:rsidRDefault="00BA1BFD" w:rsidP="001D03AE">
      <w:pPr>
        <w:pStyle w:val="Notedebasdepage"/>
        <w:rPr>
          <w:lang w:val="en-CA"/>
        </w:rPr>
      </w:pPr>
      <w:r w:rsidRPr="008671D1">
        <w:rPr>
          <w:rStyle w:val="Appelnotedebasdep"/>
          <w:lang w:val="en-CA"/>
        </w:rPr>
        <w:footnoteRef/>
      </w:r>
      <w:r>
        <w:rPr>
          <w:lang w:val="en-CA"/>
        </w:rPr>
        <w:t xml:space="preserve"> </w:t>
      </w:r>
      <w:r>
        <w:rPr>
          <w:lang w:val="en-CA"/>
        </w:rPr>
        <w:tab/>
        <w:t>Book of E</w:t>
      </w:r>
      <w:r w:rsidRPr="008671D1">
        <w:rPr>
          <w:lang w:val="en-CA"/>
        </w:rPr>
        <w:t xml:space="preserve">xhibits B, tab R-7, </w:t>
      </w:r>
      <w:r>
        <w:rPr>
          <w:lang w:val="en-CA"/>
        </w:rPr>
        <w:t>[</w:t>
      </w:r>
      <w:r w:rsidRPr="006B7F16">
        <w:rPr>
          <w:smallCaps/>
          <w:lang w:val="en-CA"/>
        </w:rPr>
        <w:t>translation</w:t>
      </w:r>
      <w:r>
        <w:rPr>
          <w:lang w:val="en-CA"/>
        </w:rPr>
        <w:t xml:space="preserve">] </w:t>
      </w:r>
      <w:r w:rsidRPr="008671D1">
        <w:rPr>
          <w:rFonts w:cs="Arial"/>
          <w:lang w:val="en-CA"/>
        </w:rPr>
        <w:t>"</w:t>
      </w:r>
      <w:r w:rsidRPr="008671D1">
        <w:rPr>
          <w:lang w:val="en-CA"/>
        </w:rPr>
        <w:t>Notice to victims 715.36 Cr.</w:t>
      </w:r>
      <w:r>
        <w:rPr>
          <w:lang w:val="en-CA"/>
        </w:rPr>
        <w:t> </w:t>
      </w:r>
      <w:r w:rsidRPr="008671D1">
        <w:rPr>
          <w:lang w:val="en-CA"/>
        </w:rPr>
        <w:t>C.</w:t>
      </w:r>
      <w:r w:rsidRPr="008671D1">
        <w:rPr>
          <w:rFonts w:cs="Arial"/>
          <w:lang w:val="en-CA"/>
        </w:rPr>
        <w:t>"</w:t>
      </w:r>
    </w:p>
  </w:footnote>
  <w:footnote w:id="65">
    <w:p w14:paraId="2EC501DB" w14:textId="77777777" w:rsidR="00BA1BFD" w:rsidRPr="008671D1" w:rsidRDefault="00BA1BFD" w:rsidP="001D03AE">
      <w:pPr>
        <w:pStyle w:val="Notedebasdepage"/>
        <w:rPr>
          <w:lang w:val="en-CA"/>
        </w:rPr>
      </w:pPr>
      <w:r w:rsidRPr="008671D1">
        <w:rPr>
          <w:rStyle w:val="Appelnotedebasdep"/>
          <w:lang w:val="en-CA"/>
        </w:rPr>
        <w:footnoteRef/>
      </w:r>
      <w:r w:rsidRPr="008671D1">
        <w:rPr>
          <w:lang w:val="en-CA"/>
        </w:rPr>
        <w:t xml:space="preserve"> </w:t>
      </w:r>
      <w:r w:rsidRPr="008671D1">
        <w:rPr>
          <w:lang w:val="en-CA"/>
        </w:rPr>
        <w:tab/>
        <w:t>Victim Impact Statement and signed observations dated April 14, 2022, Book of Exhibits P.</w:t>
      </w:r>
    </w:p>
  </w:footnote>
  <w:footnote w:id="66">
    <w:p w14:paraId="56E504CD" w14:textId="0D30BD25" w:rsidR="00BA1BFD" w:rsidRPr="008671D1" w:rsidRDefault="00BA1BFD" w:rsidP="00973C1B">
      <w:pPr>
        <w:pStyle w:val="Notedebasdepage"/>
        <w:rPr>
          <w:lang w:val="en-CA"/>
        </w:rPr>
      </w:pPr>
      <w:r w:rsidRPr="008671D1">
        <w:rPr>
          <w:rStyle w:val="Appelnotedebasdep"/>
          <w:lang w:val="en-CA"/>
        </w:rPr>
        <w:footnoteRef/>
      </w:r>
      <w:r w:rsidRPr="008671D1">
        <w:rPr>
          <w:lang w:val="en-CA"/>
        </w:rPr>
        <w:t xml:space="preserve"> </w:t>
      </w:r>
      <w:r w:rsidRPr="008671D1">
        <w:rPr>
          <w:lang w:val="en-CA"/>
        </w:rPr>
        <w:tab/>
        <w:t>S</w:t>
      </w:r>
      <w:r>
        <w:rPr>
          <w:lang w:val="en-CA"/>
        </w:rPr>
        <w:t>ection</w:t>
      </w:r>
      <w:r w:rsidRPr="008671D1">
        <w:rPr>
          <w:lang w:val="en-CA"/>
        </w:rPr>
        <w:t xml:space="preserve"> 715.37(2) Cr.</w:t>
      </w:r>
      <w:r>
        <w:rPr>
          <w:lang w:val="en-CA"/>
        </w:rPr>
        <w:t> </w:t>
      </w:r>
      <w:r w:rsidRPr="008671D1">
        <w:rPr>
          <w:lang w:val="en-CA"/>
        </w:rPr>
        <w:t>C.</w:t>
      </w:r>
    </w:p>
  </w:footnote>
  <w:footnote w:id="67">
    <w:p w14:paraId="2AF608F0" w14:textId="21D4F2EF" w:rsidR="00BA1BFD" w:rsidRPr="008671D1" w:rsidRDefault="00BA1BFD" w:rsidP="00973C1B">
      <w:pPr>
        <w:pStyle w:val="Notedebasdepage"/>
        <w:rPr>
          <w:lang w:val="en-CA"/>
        </w:rPr>
      </w:pPr>
      <w:r w:rsidRPr="008671D1">
        <w:rPr>
          <w:rStyle w:val="Appelnotedebasdep"/>
          <w:lang w:val="en-CA"/>
        </w:rPr>
        <w:footnoteRef/>
      </w:r>
      <w:r w:rsidRPr="008671D1">
        <w:rPr>
          <w:lang w:val="en-CA"/>
        </w:rPr>
        <w:t xml:space="preserve"> </w:t>
      </w:r>
      <w:r w:rsidRPr="008671D1">
        <w:rPr>
          <w:lang w:val="en-CA" w:bidi="en-CA"/>
        </w:rPr>
        <w:tab/>
        <w:t>Amissi M. Manirabona, “Do we need prosecution agreements in Canada,” (2016) 50</w:t>
      </w:r>
      <w:r>
        <w:rPr>
          <w:lang w:val="en-CA" w:bidi="en-CA"/>
        </w:rPr>
        <w:t xml:space="preserve"> </w:t>
      </w:r>
      <w:r w:rsidRPr="008671D1">
        <w:rPr>
          <w:i/>
          <w:lang w:val="en-CA" w:bidi="en-CA"/>
        </w:rPr>
        <w:t xml:space="preserve">R.J.T. </w:t>
      </w:r>
      <w:r w:rsidRPr="008671D1">
        <w:rPr>
          <w:lang w:val="en-CA" w:bidi="en-CA"/>
        </w:rPr>
        <w:t>651</w:t>
      </w:r>
      <w:r>
        <w:rPr>
          <w:lang w:val="en-CA" w:bidi="en-CA"/>
        </w:rPr>
        <w:t xml:space="preserve"> at</w:t>
      </w:r>
      <w:r w:rsidRPr="008671D1">
        <w:rPr>
          <w:lang w:val="en-CA" w:bidi="en-CA"/>
        </w:rPr>
        <w:t> 687.</w:t>
      </w:r>
    </w:p>
  </w:footnote>
  <w:footnote w:id="68">
    <w:p w14:paraId="3BC19835" w14:textId="06FAF151" w:rsidR="00BA1BFD" w:rsidRPr="008671D1" w:rsidRDefault="00BA1BFD" w:rsidP="00973C1B">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i/>
          <w:lang w:val="en-CA" w:bidi="en-CA"/>
        </w:rPr>
        <w:t xml:space="preserve">R. </w:t>
      </w:r>
      <w:r w:rsidRPr="001B3A1B">
        <w:rPr>
          <w:i/>
          <w:lang w:val="en-CA" w:bidi="en-CA"/>
        </w:rPr>
        <w:t>v.</w:t>
      </w:r>
      <w:r w:rsidRPr="008671D1">
        <w:rPr>
          <w:lang w:val="en-CA" w:bidi="en-CA"/>
        </w:rPr>
        <w:t xml:space="preserve"> </w:t>
      </w:r>
      <w:r w:rsidRPr="008671D1">
        <w:rPr>
          <w:i/>
          <w:lang w:val="en-CA" w:bidi="en-CA"/>
        </w:rPr>
        <w:t xml:space="preserve">Anthony Cook, </w:t>
      </w:r>
      <w:r w:rsidRPr="008671D1">
        <w:rPr>
          <w:lang w:val="en-CA" w:bidi="en-CA"/>
        </w:rPr>
        <w:t>2016 SCC 43</w:t>
      </w:r>
      <w:r>
        <w:rPr>
          <w:lang w:val="en-CA" w:bidi="en-CA"/>
        </w:rPr>
        <w:t xml:space="preserve"> at</w:t>
      </w:r>
      <w:r w:rsidRPr="008671D1">
        <w:rPr>
          <w:lang w:val="en-CA" w:bidi="en-CA"/>
        </w:rPr>
        <w:t xml:space="preserve"> paras. 35</w:t>
      </w:r>
      <w:r>
        <w:rPr>
          <w:lang w:val="en-CA" w:bidi="en-CA"/>
        </w:rPr>
        <w:t>–</w:t>
      </w:r>
      <w:r w:rsidRPr="008671D1">
        <w:rPr>
          <w:lang w:val="en-CA" w:bidi="en-CA"/>
        </w:rPr>
        <w:t>45</w:t>
      </w:r>
      <w:r>
        <w:rPr>
          <w:lang w:val="en-CA" w:bidi="en-CA"/>
        </w:rPr>
        <w:t>.</w:t>
      </w:r>
    </w:p>
  </w:footnote>
  <w:footnote w:id="69">
    <w:p w14:paraId="0CF90BDD" w14:textId="640868FF" w:rsidR="00BA1BFD" w:rsidRPr="008671D1" w:rsidRDefault="00BA1BFD" w:rsidP="00973C1B">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i/>
          <w:lang w:val="en-CA" w:bidi="en-CA"/>
        </w:rPr>
        <w:t xml:space="preserve">R. </w:t>
      </w:r>
      <w:r w:rsidRPr="001B3A1B">
        <w:rPr>
          <w:i/>
          <w:lang w:val="en-CA" w:bidi="en-CA"/>
        </w:rPr>
        <w:t>v.</w:t>
      </w:r>
      <w:r w:rsidRPr="008671D1">
        <w:rPr>
          <w:lang w:val="en-CA" w:bidi="en-CA"/>
        </w:rPr>
        <w:t xml:space="preserve"> </w:t>
      </w:r>
      <w:r w:rsidRPr="008671D1">
        <w:rPr>
          <w:i/>
          <w:lang w:val="en-CA" w:bidi="en-CA"/>
        </w:rPr>
        <w:t xml:space="preserve">Anthony Cook, </w:t>
      </w:r>
      <w:r>
        <w:rPr>
          <w:lang w:val="en-CA" w:bidi="en-CA"/>
        </w:rPr>
        <w:t>2016 SCC 43 at para. 37.</w:t>
      </w:r>
    </w:p>
  </w:footnote>
  <w:footnote w:id="70">
    <w:p w14:paraId="4948D242" w14:textId="31B0E94C" w:rsidR="00BA1BFD" w:rsidRPr="008671D1" w:rsidRDefault="00BA1BFD" w:rsidP="00973C1B">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i/>
          <w:lang w:val="en-CA" w:bidi="en-CA"/>
        </w:rPr>
        <w:t xml:space="preserve">R. </w:t>
      </w:r>
      <w:r w:rsidRPr="001B3A1B">
        <w:rPr>
          <w:i/>
          <w:lang w:val="en-CA" w:bidi="en-CA"/>
        </w:rPr>
        <w:t>v.</w:t>
      </w:r>
      <w:r w:rsidRPr="008671D1">
        <w:rPr>
          <w:lang w:val="en-CA" w:bidi="en-CA"/>
        </w:rPr>
        <w:t xml:space="preserve"> </w:t>
      </w:r>
      <w:r w:rsidRPr="008671D1">
        <w:rPr>
          <w:i/>
          <w:lang w:val="en-CA" w:bidi="en-CA"/>
        </w:rPr>
        <w:t xml:space="preserve">Anthony Cook, </w:t>
      </w:r>
      <w:r w:rsidRPr="008671D1">
        <w:rPr>
          <w:lang w:val="en-CA" w:bidi="en-CA"/>
        </w:rPr>
        <w:t>2016 SCC 43</w:t>
      </w:r>
      <w:r>
        <w:rPr>
          <w:lang w:val="en-CA" w:bidi="en-CA"/>
        </w:rPr>
        <w:t xml:space="preserve"> at</w:t>
      </w:r>
      <w:r w:rsidRPr="008671D1">
        <w:rPr>
          <w:lang w:val="en-CA" w:bidi="en-CA"/>
        </w:rPr>
        <w:t xml:space="preserve"> para. 41. </w:t>
      </w:r>
    </w:p>
  </w:footnote>
  <w:footnote w:id="71">
    <w:p w14:paraId="09B717EE" w14:textId="0345032F" w:rsidR="00BA1BFD" w:rsidRPr="008671D1" w:rsidRDefault="00BA1BFD" w:rsidP="00973C1B">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i/>
          <w:lang w:val="en-CA" w:bidi="en-CA"/>
        </w:rPr>
        <w:t xml:space="preserve">R. </w:t>
      </w:r>
      <w:r w:rsidRPr="001B3A1B">
        <w:rPr>
          <w:i/>
          <w:lang w:val="en-CA" w:bidi="en-CA"/>
        </w:rPr>
        <w:t>v.</w:t>
      </w:r>
      <w:r w:rsidRPr="008671D1">
        <w:rPr>
          <w:lang w:val="en-CA" w:bidi="en-CA"/>
        </w:rPr>
        <w:t xml:space="preserve"> </w:t>
      </w:r>
      <w:r w:rsidRPr="008671D1">
        <w:rPr>
          <w:i/>
          <w:lang w:val="en-CA" w:bidi="en-CA"/>
        </w:rPr>
        <w:t xml:space="preserve">Power, </w:t>
      </w:r>
      <w:r w:rsidRPr="008671D1">
        <w:rPr>
          <w:lang w:val="en-CA" w:bidi="en-CA"/>
        </w:rPr>
        <w:t xml:space="preserve">[1994] 1 SCR 601; </w:t>
      </w:r>
      <w:r w:rsidRPr="008671D1">
        <w:rPr>
          <w:i/>
          <w:lang w:val="en-CA" w:bidi="en-CA"/>
        </w:rPr>
        <w:t>R.</w:t>
      </w:r>
      <w:r>
        <w:rPr>
          <w:i/>
          <w:lang w:val="en-CA" w:bidi="en-CA"/>
        </w:rPr>
        <w:t xml:space="preserve"> </w:t>
      </w:r>
      <w:r w:rsidRPr="001B3A1B">
        <w:rPr>
          <w:i/>
          <w:lang w:val="en-CA" w:bidi="en-CA"/>
        </w:rPr>
        <w:t>v.</w:t>
      </w:r>
      <w:r w:rsidRPr="008671D1">
        <w:rPr>
          <w:lang w:val="en-CA" w:bidi="en-CA"/>
        </w:rPr>
        <w:t xml:space="preserve"> </w:t>
      </w:r>
      <w:r w:rsidRPr="008671D1">
        <w:rPr>
          <w:i/>
          <w:lang w:val="en-CA" w:bidi="en-CA"/>
        </w:rPr>
        <w:t xml:space="preserve">Anthony-Cook, </w:t>
      </w:r>
      <w:r w:rsidRPr="008671D1">
        <w:rPr>
          <w:lang w:val="en-CA" w:bidi="en-CA"/>
        </w:rPr>
        <w:t>2016 SCC 43</w:t>
      </w:r>
      <w:r>
        <w:rPr>
          <w:lang w:val="en-CA" w:bidi="en-CA"/>
        </w:rPr>
        <w:t xml:space="preserve"> at</w:t>
      </w:r>
      <w:r w:rsidRPr="008671D1">
        <w:rPr>
          <w:lang w:val="en-CA" w:bidi="en-CA"/>
        </w:rPr>
        <w:t xml:space="preserve"> para. 44; </w:t>
      </w:r>
      <w:r>
        <w:rPr>
          <w:lang w:val="en-CA" w:bidi="en-CA"/>
        </w:rPr>
        <w:t>s</w:t>
      </w:r>
      <w:r w:rsidRPr="008671D1">
        <w:rPr>
          <w:lang w:val="en-CA" w:bidi="en-CA"/>
        </w:rPr>
        <w:t>. 715.32(1)(c) Cr.</w:t>
      </w:r>
      <w:r>
        <w:rPr>
          <w:lang w:val="en-CA" w:bidi="en-CA"/>
        </w:rPr>
        <w:t> </w:t>
      </w:r>
      <w:r w:rsidRPr="008671D1">
        <w:rPr>
          <w:lang w:val="en-CA" w:bidi="en-CA"/>
        </w:rPr>
        <w:t>C.</w:t>
      </w:r>
    </w:p>
  </w:footnote>
  <w:footnote w:id="72">
    <w:p w14:paraId="501DB2CB" w14:textId="0997E6A3" w:rsidR="00BA1BFD" w:rsidRPr="008671D1" w:rsidRDefault="00BA1BFD" w:rsidP="00973C1B">
      <w:pPr>
        <w:pStyle w:val="Notedebasdepage"/>
        <w:rPr>
          <w:lang w:val="en-CA"/>
        </w:rPr>
      </w:pPr>
      <w:r w:rsidRPr="008671D1">
        <w:rPr>
          <w:rStyle w:val="Appelnotedebasdep"/>
          <w:lang w:val="en-CA"/>
        </w:rPr>
        <w:footnoteRef/>
      </w:r>
      <w:r w:rsidRPr="008671D1">
        <w:rPr>
          <w:lang w:val="en-CA"/>
        </w:rPr>
        <w:t xml:space="preserve"> </w:t>
      </w:r>
      <w:r w:rsidRPr="008671D1">
        <w:rPr>
          <w:lang w:val="en-CA"/>
        </w:rPr>
        <w:tab/>
        <w:t>S</w:t>
      </w:r>
      <w:r>
        <w:rPr>
          <w:lang w:val="en-CA"/>
        </w:rPr>
        <w:t>ection</w:t>
      </w:r>
      <w:r w:rsidRPr="008671D1">
        <w:rPr>
          <w:lang w:val="en-CA"/>
        </w:rPr>
        <w:t xml:space="preserve"> 715.37(6)(b) Cr.</w:t>
      </w:r>
      <w:r>
        <w:rPr>
          <w:lang w:val="en-CA"/>
        </w:rPr>
        <w:t> </w:t>
      </w:r>
      <w:r w:rsidRPr="008671D1">
        <w:rPr>
          <w:lang w:val="en-CA"/>
        </w:rPr>
        <w:t>C.</w:t>
      </w:r>
    </w:p>
  </w:footnote>
  <w:footnote w:id="73">
    <w:p w14:paraId="1E60EB77" w14:textId="77777777" w:rsidR="00BA1BFD" w:rsidRPr="008671D1" w:rsidRDefault="00BA1BFD" w:rsidP="00FB3DE2">
      <w:pPr>
        <w:pStyle w:val="Notedebasdepage"/>
        <w:rPr>
          <w:lang w:val="en-CA"/>
        </w:rPr>
      </w:pPr>
      <w:r w:rsidRPr="008671D1">
        <w:rPr>
          <w:rStyle w:val="Appelnotedebasdep"/>
          <w:lang w:val="en-CA"/>
        </w:rPr>
        <w:footnoteRef/>
      </w:r>
      <w:r w:rsidRPr="008671D1">
        <w:rPr>
          <w:lang w:val="en-CA"/>
        </w:rPr>
        <w:t xml:space="preserve"> </w:t>
      </w:r>
      <w:r w:rsidRPr="008671D1">
        <w:rPr>
          <w:lang w:val="en-CA"/>
        </w:rPr>
        <w:tab/>
        <w:t xml:space="preserve">Prosecutor’s </w:t>
      </w:r>
      <w:r>
        <w:rPr>
          <w:lang w:val="en-CA"/>
        </w:rPr>
        <w:t>submissions</w:t>
      </w:r>
      <w:r w:rsidRPr="008671D1">
        <w:rPr>
          <w:lang w:val="en-CA"/>
        </w:rPr>
        <w:t xml:space="preserve"> for the approval of a remediation agreement dated March 22, 2022, Exhibit D, paras. 42 to 46.</w:t>
      </w:r>
    </w:p>
  </w:footnote>
  <w:footnote w:id="74">
    <w:p w14:paraId="07360648" w14:textId="77777777" w:rsidR="00BA1BFD" w:rsidRPr="008671D1" w:rsidRDefault="00BA1BFD" w:rsidP="00FB3DE2">
      <w:pPr>
        <w:pStyle w:val="Notedebasdepage"/>
        <w:rPr>
          <w:lang w:val="en-CA"/>
        </w:rPr>
      </w:pPr>
      <w:r w:rsidRPr="008671D1">
        <w:rPr>
          <w:rStyle w:val="Appelnotedebasdep"/>
          <w:lang w:val="en-CA"/>
        </w:rPr>
        <w:footnoteRef/>
      </w:r>
      <w:r w:rsidRPr="008671D1">
        <w:rPr>
          <w:lang w:val="en-CA"/>
        </w:rPr>
        <w:tab/>
        <w:t xml:space="preserve">Organizations’ </w:t>
      </w:r>
      <w:r>
        <w:rPr>
          <w:lang w:val="en-CA"/>
        </w:rPr>
        <w:t>submissions</w:t>
      </w:r>
      <w:r w:rsidRPr="008671D1">
        <w:rPr>
          <w:lang w:val="en-CA"/>
        </w:rPr>
        <w:t xml:space="preserve"> for the approval of a Remediation Agreement, Exhibit I, para. 37.</w:t>
      </w:r>
    </w:p>
  </w:footnote>
  <w:footnote w:id="75">
    <w:p w14:paraId="3E9BA7A9" w14:textId="77777777" w:rsidR="00BA1BFD" w:rsidRPr="008671D1" w:rsidRDefault="00BA1BFD" w:rsidP="00FB3DE2">
      <w:pPr>
        <w:pStyle w:val="Notedebasdepage"/>
        <w:rPr>
          <w:lang w:val="en-CA"/>
        </w:rPr>
      </w:pPr>
      <w:r w:rsidRPr="008671D1">
        <w:rPr>
          <w:rStyle w:val="Appelnotedebasdep"/>
          <w:lang w:val="en-CA"/>
        </w:rPr>
        <w:footnoteRef/>
      </w:r>
      <w:r w:rsidRPr="008671D1">
        <w:rPr>
          <w:lang w:val="en-CA"/>
        </w:rPr>
        <w:tab/>
        <w:t xml:space="preserve">Book of Exhibits (volume 1), Exhibit E, tab AR-1 </w:t>
      </w:r>
      <w:r w:rsidRPr="008671D1">
        <w:rPr>
          <w:rFonts w:cs="Arial"/>
          <w:lang w:val="en-CA"/>
        </w:rPr>
        <w:t>"</w:t>
      </w:r>
      <w:r w:rsidRPr="008671D1">
        <w:rPr>
          <w:lang w:val="en-CA"/>
        </w:rPr>
        <w:t>Groupe SNC-Lavalin Inc. REQ 2022</w:t>
      </w:r>
      <w:r w:rsidRPr="008671D1">
        <w:rPr>
          <w:rFonts w:cs="Arial"/>
          <w:lang w:val="en-CA"/>
        </w:rPr>
        <w:t>"</w:t>
      </w:r>
      <w:r w:rsidRPr="008671D1">
        <w:rPr>
          <w:lang w:val="en-CA"/>
        </w:rPr>
        <w:t xml:space="preserve">; Prosecutor’s </w:t>
      </w:r>
      <w:r>
        <w:rPr>
          <w:lang w:val="en-CA"/>
        </w:rPr>
        <w:t>submissions</w:t>
      </w:r>
      <w:r w:rsidRPr="008671D1">
        <w:rPr>
          <w:lang w:val="en-CA"/>
        </w:rPr>
        <w:t xml:space="preserve"> for the approval of a Remediation Agreement dated March 22, 2022, Exhibit D, para. 49.</w:t>
      </w:r>
    </w:p>
  </w:footnote>
  <w:footnote w:id="76">
    <w:p w14:paraId="747BDE60" w14:textId="412937C6" w:rsidR="00BA1BFD" w:rsidRPr="008671D1" w:rsidRDefault="00BA1BFD" w:rsidP="00FB3DE2">
      <w:pPr>
        <w:pStyle w:val="Notedebasdepage"/>
        <w:rPr>
          <w:lang w:val="en-CA"/>
        </w:rPr>
      </w:pPr>
      <w:r w:rsidRPr="008671D1">
        <w:rPr>
          <w:rStyle w:val="Appelnotedebasdep"/>
          <w:lang w:val="en-CA"/>
        </w:rPr>
        <w:footnoteRef/>
      </w:r>
      <w:r w:rsidRPr="008671D1">
        <w:rPr>
          <w:lang w:val="en-CA"/>
        </w:rPr>
        <w:tab/>
        <w:t xml:space="preserve">Book of Exhibits (volume 2), Exhibit F, tab AR-40, </w:t>
      </w:r>
      <w:r>
        <w:rPr>
          <w:lang w:val="en-CA"/>
        </w:rPr>
        <w:t>[</w:t>
      </w:r>
      <w:r w:rsidRPr="006B7F16">
        <w:rPr>
          <w:smallCaps/>
          <w:lang w:val="en-CA"/>
        </w:rPr>
        <w:t>translation</w:t>
      </w:r>
      <w:r>
        <w:rPr>
          <w:lang w:val="en-CA"/>
        </w:rPr>
        <w:t xml:space="preserve">] </w:t>
      </w:r>
      <w:r w:rsidRPr="008671D1">
        <w:rPr>
          <w:rFonts w:cs="Arial"/>
          <w:lang w:val="en-CA"/>
        </w:rPr>
        <w:t>"List of Amended Admissions."</w:t>
      </w:r>
    </w:p>
  </w:footnote>
  <w:footnote w:id="77">
    <w:p w14:paraId="4F0EFCDD" w14:textId="429DB7A5" w:rsidR="00BA1BFD" w:rsidRPr="008671D1" w:rsidRDefault="00BA1BFD" w:rsidP="00FB3DE2">
      <w:pPr>
        <w:pStyle w:val="Notedebasdepage"/>
        <w:rPr>
          <w:lang w:val="en-CA"/>
        </w:rPr>
      </w:pPr>
      <w:r w:rsidRPr="008671D1">
        <w:rPr>
          <w:rStyle w:val="Appelnotedebasdep"/>
          <w:lang w:val="en-CA"/>
        </w:rPr>
        <w:footnoteRef/>
      </w:r>
      <w:r>
        <w:rPr>
          <w:lang w:val="en-CA"/>
        </w:rPr>
        <w:tab/>
        <w:t>Organizations’ submissions</w:t>
      </w:r>
      <w:r w:rsidRPr="008671D1">
        <w:rPr>
          <w:lang w:val="en-CA"/>
        </w:rPr>
        <w:t xml:space="preserve"> for the approval of a Remediation Agreement, Exhibit I</w:t>
      </w:r>
      <w:r>
        <w:rPr>
          <w:lang w:val="en-CA"/>
        </w:rPr>
        <w:t xml:space="preserve"> at</w:t>
      </w:r>
      <w:r w:rsidRPr="008671D1">
        <w:rPr>
          <w:lang w:val="en-CA"/>
        </w:rPr>
        <w:t xml:space="preserve"> para. 42.</w:t>
      </w:r>
    </w:p>
  </w:footnote>
  <w:footnote w:id="78">
    <w:p w14:paraId="0D078B05" w14:textId="379B19E8" w:rsidR="00BA1BFD" w:rsidRPr="008671D1" w:rsidRDefault="00BA1BFD" w:rsidP="00FB3DE2">
      <w:pPr>
        <w:pStyle w:val="Notedebasdepage"/>
        <w:rPr>
          <w:lang w:val="en-CA"/>
        </w:rPr>
      </w:pPr>
      <w:r w:rsidRPr="008671D1">
        <w:rPr>
          <w:rStyle w:val="Appelnotedebasdep"/>
          <w:lang w:val="en-CA"/>
        </w:rPr>
        <w:footnoteRef/>
      </w:r>
      <w:r>
        <w:rPr>
          <w:lang w:val="en-CA"/>
        </w:rPr>
        <w:t xml:space="preserve"> </w:t>
      </w:r>
      <w:r>
        <w:rPr>
          <w:lang w:val="en-CA"/>
        </w:rPr>
        <w:tab/>
        <w:t>Prosecutor’s submissions</w:t>
      </w:r>
      <w:r w:rsidRPr="008671D1">
        <w:rPr>
          <w:lang w:val="en-CA"/>
        </w:rPr>
        <w:t xml:space="preserve"> for the approval of a Remediation Agreement dated Match 22, 2022, Exhibit D</w:t>
      </w:r>
      <w:r>
        <w:rPr>
          <w:lang w:val="en-CA"/>
        </w:rPr>
        <w:t xml:space="preserve"> at</w:t>
      </w:r>
      <w:r w:rsidRPr="008671D1">
        <w:rPr>
          <w:lang w:val="en-CA"/>
        </w:rPr>
        <w:t xml:space="preserve"> para. 50.</w:t>
      </w:r>
    </w:p>
  </w:footnote>
  <w:footnote w:id="79">
    <w:p w14:paraId="756D0565" w14:textId="543DBD16" w:rsidR="00BA1BFD" w:rsidRPr="008671D1" w:rsidRDefault="00BA1BFD" w:rsidP="00FB3DE2">
      <w:pPr>
        <w:pStyle w:val="Notedebasdepage"/>
        <w:rPr>
          <w:lang w:val="en-CA"/>
        </w:rPr>
      </w:pPr>
      <w:r w:rsidRPr="008671D1">
        <w:rPr>
          <w:rStyle w:val="Appelnotedebasdep"/>
          <w:lang w:val="en-CA"/>
        </w:rPr>
        <w:footnoteRef/>
      </w:r>
      <w:r w:rsidRPr="008671D1">
        <w:rPr>
          <w:lang w:val="en-CA"/>
        </w:rPr>
        <w:t xml:space="preserve"> </w:t>
      </w:r>
      <w:r w:rsidRPr="008671D1">
        <w:rPr>
          <w:lang w:val="en-CA"/>
        </w:rPr>
        <w:tab/>
        <w:t xml:space="preserve">Book of Exhibits (volume 2), Exhibit F, tab AR-28, </w:t>
      </w:r>
      <w:r>
        <w:rPr>
          <w:lang w:val="en-CA"/>
        </w:rPr>
        <w:t>[</w:t>
      </w:r>
      <w:r w:rsidRPr="006B7F16">
        <w:rPr>
          <w:smallCaps/>
          <w:lang w:val="en-CA"/>
        </w:rPr>
        <w:t>translation</w:t>
      </w:r>
      <w:r>
        <w:rPr>
          <w:lang w:val="en-CA"/>
        </w:rPr>
        <w:t xml:space="preserve">] </w:t>
      </w:r>
      <w:r w:rsidRPr="008671D1">
        <w:rPr>
          <w:rFonts w:cs="Arial"/>
          <w:lang w:val="en-CA"/>
        </w:rPr>
        <w:t xml:space="preserve">"Integrity Program," </w:t>
      </w:r>
      <w:r>
        <w:rPr>
          <w:rFonts w:cs="Arial"/>
          <w:lang w:val="en-CA"/>
        </w:rPr>
        <w:t xml:space="preserve">at </w:t>
      </w:r>
      <w:r w:rsidRPr="008671D1">
        <w:rPr>
          <w:rFonts w:cs="Arial"/>
          <w:lang w:val="en-CA"/>
        </w:rPr>
        <w:t>1.</w:t>
      </w:r>
    </w:p>
  </w:footnote>
  <w:footnote w:id="80">
    <w:p w14:paraId="7274F7F0" w14:textId="5F8BCCBB" w:rsidR="00BA1BFD" w:rsidRPr="008671D1" w:rsidRDefault="00BA1BFD" w:rsidP="00FB3DE2">
      <w:pPr>
        <w:pStyle w:val="Notedebasdepage"/>
        <w:rPr>
          <w:lang w:val="en-CA"/>
        </w:rPr>
      </w:pPr>
      <w:r w:rsidRPr="008671D1">
        <w:rPr>
          <w:rStyle w:val="Appelnotedebasdep"/>
          <w:lang w:val="en-CA"/>
        </w:rPr>
        <w:footnoteRef/>
      </w:r>
      <w:r w:rsidRPr="008671D1">
        <w:rPr>
          <w:lang w:val="en-CA"/>
        </w:rPr>
        <w:t xml:space="preserve"> </w:t>
      </w:r>
      <w:r w:rsidRPr="008671D1">
        <w:rPr>
          <w:lang w:val="en-CA"/>
        </w:rPr>
        <w:tab/>
        <w:t xml:space="preserve">Book of Exhibits (volume 2), Exhibit F, tab AR-28, </w:t>
      </w:r>
      <w:r>
        <w:rPr>
          <w:lang w:val="en-CA"/>
        </w:rPr>
        <w:t>[</w:t>
      </w:r>
      <w:r w:rsidRPr="008151D4">
        <w:rPr>
          <w:smallCaps/>
          <w:lang w:val="en-CA"/>
        </w:rPr>
        <w:t>translation</w:t>
      </w:r>
      <w:r>
        <w:rPr>
          <w:lang w:val="en-CA"/>
        </w:rPr>
        <w:t xml:space="preserve">] </w:t>
      </w:r>
      <w:r w:rsidRPr="008671D1">
        <w:rPr>
          <w:rFonts w:cs="Arial"/>
          <w:lang w:val="en-CA"/>
        </w:rPr>
        <w:t>"Integrity Program,"</w:t>
      </w:r>
      <w:r>
        <w:rPr>
          <w:rFonts w:cs="Arial"/>
          <w:lang w:val="en-CA"/>
        </w:rPr>
        <w:t xml:space="preserve"> at </w:t>
      </w:r>
      <w:r w:rsidRPr="008671D1">
        <w:rPr>
          <w:rFonts w:cs="Arial"/>
          <w:lang w:val="en-CA"/>
        </w:rPr>
        <w:t>1</w:t>
      </w:r>
    </w:p>
  </w:footnote>
  <w:footnote w:id="81">
    <w:p w14:paraId="0C58A2F5" w14:textId="113A16AD" w:rsidR="00BA1BFD" w:rsidRPr="008671D1" w:rsidRDefault="00BA1BFD" w:rsidP="00FB3DE2">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i/>
          <w:lang w:val="en-CA"/>
        </w:rPr>
        <w:t xml:space="preserve">R. </w:t>
      </w:r>
      <w:r>
        <w:rPr>
          <w:i/>
          <w:lang w:val="en-CA"/>
        </w:rPr>
        <w:t>c</w:t>
      </w:r>
      <w:r w:rsidRPr="008671D1">
        <w:rPr>
          <w:i/>
          <w:lang w:val="en-CA"/>
        </w:rPr>
        <w:t>. SNC-Lavalin Construction Inc.</w:t>
      </w:r>
      <w:r w:rsidRPr="008671D1">
        <w:rPr>
          <w:lang w:val="en-CA"/>
        </w:rPr>
        <w:t>, C.Q., 500-73-004261-158, December 18, 2019, Leblond J.</w:t>
      </w:r>
    </w:p>
  </w:footnote>
  <w:footnote w:id="82">
    <w:p w14:paraId="3F7052B7" w14:textId="06B4E816" w:rsidR="00BA1BFD" w:rsidRPr="008671D1" w:rsidRDefault="00BA1BFD" w:rsidP="00FB3DE2">
      <w:pPr>
        <w:pStyle w:val="Notedebasdepage"/>
        <w:rPr>
          <w:lang w:val="en-CA"/>
        </w:rPr>
      </w:pPr>
      <w:r w:rsidRPr="008671D1">
        <w:rPr>
          <w:rStyle w:val="Appelnotedebasdep"/>
          <w:lang w:val="en-CA"/>
        </w:rPr>
        <w:footnoteRef/>
      </w:r>
      <w:r w:rsidRPr="008671D1">
        <w:rPr>
          <w:lang w:val="en-CA"/>
        </w:rPr>
        <w:t xml:space="preserve"> </w:t>
      </w:r>
      <w:r w:rsidRPr="008671D1">
        <w:rPr>
          <w:lang w:val="en-CA"/>
        </w:rPr>
        <w:tab/>
        <w:t xml:space="preserve">Book of Exhibits (volume 2), Exhibit F, tab AR-33, </w:t>
      </w:r>
      <w:r>
        <w:rPr>
          <w:lang w:val="en-CA"/>
        </w:rPr>
        <w:t>“</w:t>
      </w:r>
      <w:r w:rsidRPr="008671D1">
        <w:rPr>
          <w:rFonts w:cs="Arial"/>
          <w:lang w:val="en-CA"/>
        </w:rPr>
        <w:t>Initial Monitor’s Report</w:t>
      </w:r>
      <w:r>
        <w:rPr>
          <w:rFonts w:cs="Arial"/>
          <w:lang w:val="en-CA"/>
        </w:rPr>
        <w:t>”</w:t>
      </w:r>
      <w:r w:rsidRPr="008671D1">
        <w:rPr>
          <w:rFonts w:cs="Arial"/>
          <w:lang w:val="en-CA"/>
        </w:rPr>
        <w:t xml:space="preserve"> (April 2020)</w:t>
      </w:r>
      <w:r>
        <w:rPr>
          <w:rFonts w:cs="Arial"/>
          <w:lang w:val="en-CA"/>
        </w:rPr>
        <w:t xml:space="preserve"> at</w:t>
      </w:r>
      <w:r w:rsidRPr="008671D1">
        <w:rPr>
          <w:rFonts w:cs="Arial"/>
          <w:lang w:val="en-CA"/>
        </w:rPr>
        <w:t xml:space="preserve"> 1.</w:t>
      </w:r>
    </w:p>
  </w:footnote>
  <w:footnote w:id="83">
    <w:p w14:paraId="53221BC8" w14:textId="65384F42" w:rsidR="00BA1BFD" w:rsidRPr="008671D1" w:rsidRDefault="00BA1BFD" w:rsidP="00FB3DE2">
      <w:pPr>
        <w:pStyle w:val="Notedebasdepage"/>
        <w:rPr>
          <w:lang w:val="en-CA"/>
        </w:rPr>
      </w:pPr>
      <w:r w:rsidRPr="008671D1">
        <w:rPr>
          <w:rStyle w:val="Appelnotedebasdep"/>
          <w:lang w:val="en-CA"/>
        </w:rPr>
        <w:footnoteRef/>
      </w:r>
      <w:r w:rsidRPr="008671D1">
        <w:rPr>
          <w:lang w:val="en-CA"/>
        </w:rPr>
        <w:t xml:space="preserve"> </w:t>
      </w:r>
      <w:r w:rsidRPr="008671D1">
        <w:rPr>
          <w:lang w:val="en-CA"/>
        </w:rPr>
        <w:tab/>
        <w:t xml:space="preserve">Book of Exhibits (volume 2), Exhibit F, tab AR-28, </w:t>
      </w:r>
      <w:r>
        <w:rPr>
          <w:lang w:val="en-CA"/>
        </w:rPr>
        <w:t>[</w:t>
      </w:r>
      <w:r w:rsidRPr="006B7F16">
        <w:rPr>
          <w:smallCaps/>
          <w:lang w:val="en-CA"/>
        </w:rPr>
        <w:t>translation</w:t>
      </w:r>
      <w:r>
        <w:rPr>
          <w:lang w:val="en-CA"/>
        </w:rPr>
        <w:t>] “</w:t>
      </w:r>
      <w:r w:rsidRPr="008671D1">
        <w:rPr>
          <w:rFonts w:cs="Arial"/>
          <w:lang w:val="en-CA"/>
        </w:rPr>
        <w:t>Integrity Program,</w:t>
      </w:r>
      <w:r>
        <w:rPr>
          <w:rFonts w:cs="Arial"/>
          <w:lang w:val="en-CA"/>
        </w:rPr>
        <w:t>”</w:t>
      </w:r>
      <w:r w:rsidRPr="008671D1">
        <w:rPr>
          <w:rFonts w:cs="Arial"/>
          <w:lang w:val="en-CA"/>
        </w:rPr>
        <w:t xml:space="preserve"> </w:t>
      </w:r>
      <w:r>
        <w:rPr>
          <w:rFonts w:cs="Arial"/>
          <w:lang w:val="en-CA"/>
        </w:rPr>
        <w:t>at</w:t>
      </w:r>
      <w:r w:rsidRPr="008671D1">
        <w:rPr>
          <w:rFonts w:cs="Arial"/>
          <w:lang w:val="en-CA"/>
        </w:rPr>
        <w:t xml:space="preserve"> 2.</w:t>
      </w:r>
    </w:p>
  </w:footnote>
  <w:footnote w:id="84">
    <w:p w14:paraId="5E90B7AC" w14:textId="3C458AD1" w:rsidR="00BA1BFD" w:rsidRPr="008671D1" w:rsidRDefault="00BA1BFD" w:rsidP="00FB3DE2">
      <w:pPr>
        <w:pStyle w:val="Notedebasdepage"/>
        <w:rPr>
          <w:lang w:val="en-CA"/>
        </w:rPr>
      </w:pPr>
      <w:r w:rsidRPr="008671D1">
        <w:rPr>
          <w:rStyle w:val="Appelnotedebasdep"/>
          <w:lang w:val="en-CA"/>
        </w:rPr>
        <w:footnoteRef/>
      </w:r>
      <w:r w:rsidRPr="008671D1">
        <w:rPr>
          <w:lang w:val="en-CA"/>
        </w:rPr>
        <w:t xml:space="preserve"> </w:t>
      </w:r>
      <w:r w:rsidRPr="008671D1">
        <w:rPr>
          <w:lang w:val="en-CA"/>
        </w:rPr>
        <w:tab/>
        <w:t xml:space="preserve">Book of Exhibits (volume 2), Exhibit F, tab AR-28, </w:t>
      </w:r>
      <w:r>
        <w:rPr>
          <w:lang w:val="en-CA"/>
        </w:rPr>
        <w:t>[</w:t>
      </w:r>
      <w:r w:rsidRPr="008151D4">
        <w:rPr>
          <w:smallCaps/>
          <w:lang w:val="en-CA"/>
        </w:rPr>
        <w:t>translation</w:t>
      </w:r>
      <w:r>
        <w:rPr>
          <w:lang w:val="en-CA"/>
        </w:rPr>
        <w:t xml:space="preserve">] </w:t>
      </w:r>
      <w:r w:rsidRPr="008671D1">
        <w:rPr>
          <w:rFonts w:cs="Arial"/>
          <w:lang w:val="en-CA"/>
        </w:rPr>
        <w:t xml:space="preserve">"Integrity Program," </w:t>
      </w:r>
      <w:r>
        <w:rPr>
          <w:rFonts w:cs="Arial"/>
          <w:lang w:val="en-CA"/>
        </w:rPr>
        <w:t>at</w:t>
      </w:r>
      <w:r w:rsidRPr="008671D1">
        <w:rPr>
          <w:rFonts w:cs="Arial"/>
          <w:lang w:val="en-CA"/>
        </w:rPr>
        <w:t xml:space="preserve"> 4.</w:t>
      </w:r>
    </w:p>
  </w:footnote>
  <w:footnote w:id="85">
    <w:p w14:paraId="70E33087" w14:textId="2704F609" w:rsidR="00BA1BFD" w:rsidRPr="008671D1" w:rsidRDefault="00BA1BFD" w:rsidP="00FB3DE2">
      <w:pPr>
        <w:pStyle w:val="Notedebasdepage"/>
        <w:rPr>
          <w:lang w:val="en-CA"/>
        </w:rPr>
      </w:pPr>
      <w:r w:rsidRPr="008671D1">
        <w:rPr>
          <w:rStyle w:val="Appelnotedebasdep"/>
          <w:lang w:val="en-CA"/>
        </w:rPr>
        <w:footnoteRef/>
      </w:r>
      <w:r w:rsidRPr="008671D1">
        <w:rPr>
          <w:lang w:val="en-CA"/>
        </w:rPr>
        <w:t xml:space="preserve"> </w:t>
      </w:r>
      <w:r w:rsidRPr="008671D1">
        <w:rPr>
          <w:lang w:val="en-CA"/>
        </w:rPr>
        <w:tab/>
        <w:t xml:space="preserve">Book of Exhibits (volume 2), Exhibit F, tab AR-28, </w:t>
      </w:r>
      <w:r>
        <w:rPr>
          <w:lang w:val="en-CA"/>
        </w:rPr>
        <w:t>[</w:t>
      </w:r>
      <w:r w:rsidRPr="008151D4">
        <w:rPr>
          <w:smallCaps/>
          <w:lang w:val="en-CA"/>
        </w:rPr>
        <w:t>translation</w:t>
      </w:r>
      <w:r>
        <w:rPr>
          <w:lang w:val="en-CA"/>
        </w:rPr>
        <w:t xml:space="preserve">] </w:t>
      </w:r>
      <w:r w:rsidRPr="008671D1">
        <w:rPr>
          <w:rFonts w:cs="Arial"/>
          <w:lang w:val="en-CA"/>
        </w:rPr>
        <w:t xml:space="preserve">"Integrity Program," </w:t>
      </w:r>
      <w:r>
        <w:rPr>
          <w:rFonts w:cs="Arial"/>
          <w:lang w:val="en-CA"/>
        </w:rPr>
        <w:t>at</w:t>
      </w:r>
      <w:r w:rsidRPr="008671D1">
        <w:rPr>
          <w:rFonts w:cs="Arial"/>
          <w:lang w:val="en-CA"/>
        </w:rPr>
        <w:t xml:space="preserve"> 6</w:t>
      </w:r>
      <w:r>
        <w:rPr>
          <w:rFonts w:cs="Arial"/>
          <w:lang w:val="en-CA"/>
        </w:rPr>
        <w:t>–</w:t>
      </w:r>
      <w:r w:rsidRPr="008671D1">
        <w:rPr>
          <w:rFonts w:cs="Arial"/>
          <w:lang w:val="en-CA"/>
        </w:rPr>
        <w:t>8.</w:t>
      </w:r>
    </w:p>
  </w:footnote>
  <w:footnote w:id="86">
    <w:p w14:paraId="56C98C39" w14:textId="045F6E0C" w:rsidR="00BA1BFD" w:rsidRPr="008671D1" w:rsidRDefault="00BA1BFD" w:rsidP="00FB3DE2">
      <w:pPr>
        <w:pStyle w:val="Notedebasdepage"/>
        <w:rPr>
          <w:lang w:val="en-CA"/>
        </w:rPr>
      </w:pPr>
      <w:r w:rsidRPr="008671D1">
        <w:rPr>
          <w:rStyle w:val="Appelnotedebasdep"/>
          <w:lang w:val="en-CA"/>
        </w:rPr>
        <w:footnoteRef/>
      </w:r>
      <w:r w:rsidRPr="008671D1">
        <w:rPr>
          <w:lang w:val="en-CA"/>
        </w:rPr>
        <w:t xml:space="preserve"> </w:t>
      </w:r>
      <w:r w:rsidRPr="008671D1">
        <w:rPr>
          <w:lang w:val="en-CA"/>
        </w:rPr>
        <w:tab/>
        <w:t xml:space="preserve">Book of Exhibits (volume 2), Exhibit F, tab AR-28, </w:t>
      </w:r>
      <w:r>
        <w:rPr>
          <w:lang w:val="en-CA"/>
        </w:rPr>
        <w:t>[</w:t>
      </w:r>
      <w:r w:rsidRPr="008151D4">
        <w:rPr>
          <w:smallCaps/>
          <w:lang w:val="en-CA"/>
        </w:rPr>
        <w:t>translation</w:t>
      </w:r>
      <w:r>
        <w:rPr>
          <w:lang w:val="en-CA"/>
        </w:rPr>
        <w:t xml:space="preserve">] </w:t>
      </w:r>
      <w:r w:rsidRPr="008671D1">
        <w:rPr>
          <w:rFonts w:cs="Arial"/>
          <w:lang w:val="en-CA"/>
        </w:rPr>
        <w:t xml:space="preserve">"Integrity Program," </w:t>
      </w:r>
      <w:r>
        <w:rPr>
          <w:rFonts w:cs="Arial"/>
          <w:lang w:val="en-CA"/>
        </w:rPr>
        <w:t>at</w:t>
      </w:r>
      <w:r w:rsidRPr="008671D1">
        <w:rPr>
          <w:rFonts w:cs="Arial"/>
          <w:lang w:val="en-CA"/>
        </w:rPr>
        <w:t xml:space="preserve"> 8.</w:t>
      </w:r>
    </w:p>
  </w:footnote>
  <w:footnote w:id="87">
    <w:p w14:paraId="0D15572E" w14:textId="4D61BCD8" w:rsidR="00BA1BFD" w:rsidRPr="008671D1" w:rsidRDefault="00BA1BFD" w:rsidP="00FB3DE2">
      <w:pPr>
        <w:pStyle w:val="Notedebasdepage"/>
        <w:rPr>
          <w:lang w:val="en-CA"/>
        </w:rPr>
      </w:pPr>
      <w:r w:rsidRPr="008671D1">
        <w:rPr>
          <w:rStyle w:val="Appelnotedebasdep"/>
          <w:lang w:val="en-CA"/>
        </w:rPr>
        <w:footnoteRef/>
      </w:r>
      <w:r w:rsidRPr="008671D1">
        <w:rPr>
          <w:lang w:val="en-CA"/>
        </w:rPr>
        <w:t xml:space="preserve"> </w:t>
      </w:r>
      <w:r w:rsidRPr="008671D1">
        <w:rPr>
          <w:lang w:val="en-CA"/>
        </w:rPr>
        <w:tab/>
        <w:t xml:space="preserve">Book of Exhibits (volume 2), Exhibit F, tab AR-28, </w:t>
      </w:r>
      <w:r w:rsidRPr="008671D1">
        <w:rPr>
          <w:rFonts w:cs="Arial"/>
          <w:lang w:val="en-CA"/>
        </w:rPr>
        <w:t xml:space="preserve">“Integrity Program,” </w:t>
      </w:r>
      <w:r>
        <w:rPr>
          <w:rFonts w:cs="Arial"/>
          <w:lang w:val="en-CA"/>
        </w:rPr>
        <w:t>at</w:t>
      </w:r>
      <w:r w:rsidRPr="008671D1">
        <w:rPr>
          <w:rFonts w:cs="Arial"/>
          <w:lang w:val="en-CA"/>
        </w:rPr>
        <w:t xml:space="preserve"> 8</w:t>
      </w:r>
      <w:r>
        <w:rPr>
          <w:rFonts w:cs="Arial"/>
          <w:lang w:val="en-CA"/>
        </w:rPr>
        <w:t>–</w:t>
      </w:r>
      <w:r w:rsidRPr="008671D1">
        <w:rPr>
          <w:rFonts w:cs="Arial"/>
          <w:lang w:val="en-CA"/>
        </w:rPr>
        <w:t>9.</w:t>
      </w:r>
    </w:p>
  </w:footnote>
  <w:footnote w:id="88">
    <w:p w14:paraId="06BE257B" w14:textId="0A80787C" w:rsidR="00BA1BFD" w:rsidRPr="008671D1" w:rsidRDefault="00BA1BFD" w:rsidP="00FB3DE2">
      <w:pPr>
        <w:pStyle w:val="Notedebasdepage"/>
        <w:rPr>
          <w:lang w:val="en-CA"/>
        </w:rPr>
      </w:pPr>
      <w:r w:rsidRPr="008671D1">
        <w:rPr>
          <w:rStyle w:val="Appelnotedebasdep"/>
          <w:lang w:val="en-CA"/>
        </w:rPr>
        <w:footnoteRef/>
      </w:r>
      <w:r w:rsidRPr="008671D1">
        <w:rPr>
          <w:lang w:val="en-CA"/>
        </w:rPr>
        <w:t xml:space="preserve"> </w:t>
      </w:r>
      <w:r w:rsidRPr="008671D1">
        <w:rPr>
          <w:lang w:val="en-CA"/>
        </w:rPr>
        <w:tab/>
        <w:t>Book of Exhibits (volume 2), Exhibit F, tab AR-28, “</w:t>
      </w:r>
      <w:r w:rsidRPr="008671D1">
        <w:rPr>
          <w:rFonts w:cs="Arial"/>
          <w:lang w:val="en-CA"/>
        </w:rPr>
        <w:t xml:space="preserve">Integrity Program,” </w:t>
      </w:r>
      <w:r>
        <w:rPr>
          <w:rFonts w:cs="Arial"/>
          <w:lang w:val="en-CA"/>
        </w:rPr>
        <w:t>at</w:t>
      </w:r>
      <w:r w:rsidRPr="008671D1">
        <w:rPr>
          <w:rFonts w:cs="Arial"/>
          <w:lang w:val="en-CA"/>
        </w:rPr>
        <w:t xml:space="preserve"> 15</w:t>
      </w:r>
      <w:r>
        <w:rPr>
          <w:rFonts w:cs="Arial"/>
          <w:lang w:val="en-CA"/>
        </w:rPr>
        <w:t>–</w:t>
      </w:r>
      <w:r w:rsidRPr="008671D1">
        <w:rPr>
          <w:rFonts w:cs="Arial"/>
          <w:lang w:val="en-CA"/>
        </w:rPr>
        <w:t>17.</w:t>
      </w:r>
    </w:p>
  </w:footnote>
  <w:footnote w:id="89">
    <w:p w14:paraId="47B081C7" w14:textId="69DD2021" w:rsidR="00BA1BFD" w:rsidRPr="008671D1" w:rsidRDefault="00BA1BFD" w:rsidP="00FB3DE2">
      <w:pPr>
        <w:pStyle w:val="Notedebasdepage"/>
        <w:rPr>
          <w:lang w:val="en-CA"/>
        </w:rPr>
      </w:pPr>
      <w:r w:rsidRPr="008671D1">
        <w:rPr>
          <w:rStyle w:val="Appelnotedebasdep"/>
          <w:lang w:val="en-CA"/>
        </w:rPr>
        <w:footnoteRef/>
      </w:r>
      <w:r w:rsidRPr="008671D1">
        <w:rPr>
          <w:lang w:val="en-CA"/>
        </w:rPr>
        <w:t xml:space="preserve"> </w:t>
      </w:r>
      <w:r w:rsidRPr="008671D1">
        <w:rPr>
          <w:lang w:val="en-CA"/>
        </w:rPr>
        <w:tab/>
        <w:t>Book of Exhibits (volume 2), Exhibit F, tab AR-28, “</w:t>
      </w:r>
      <w:r w:rsidRPr="008671D1">
        <w:rPr>
          <w:rFonts w:cs="Arial"/>
          <w:lang w:val="en-CA"/>
        </w:rPr>
        <w:t xml:space="preserve">Integrity Program,” </w:t>
      </w:r>
      <w:r>
        <w:rPr>
          <w:rFonts w:cs="Arial"/>
          <w:lang w:val="en-CA"/>
        </w:rPr>
        <w:t>at</w:t>
      </w:r>
      <w:r w:rsidRPr="008671D1">
        <w:rPr>
          <w:rFonts w:cs="Arial"/>
          <w:lang w:val="en-CA"/>
        </w:rPr>
        <w:t xml:space="preserve"> 20.</w:t>
      </w:r>
    </w:p>
  </w:footnote>
  <w:footnote w:id="90">
    <w:p w14:paraId="596F7B92" w14:textId="425FD475" w:rsidR="00BA1BFD" w:rsidRPr="00E708F1" w:rsidRDefault="00BA1BFD" w:rsidP="004208A9">
      <w:pPr>
        <w:pStyle w:val="Notedebasdepage"/>
        <w:rPr>
          <w:lang w:val="en-CA"/>
        </w:rPr>
      </w:pPr>
      <w:r w:rsidRPr="00E708F1">
        <w:rPr>
          <w:rStyle w:val="Appelnotedebasdep"/>
          <w:lang w:val="en-CA"/>
        </w:rPr>
        <w:footnoteRef/>
      </w:r>
      <w:r w:rsidRPr="00E708F1">
        <w:rPr>
          <w:lang w:val="en-CA"/>
        </w:rPr>
        <w:t xml:space="preserve"> </w:t>
      </w:r>
      <w:r w:rsidRPr="00E708F1">
        <w:rPr>
          <w:lang w:val="en-CA"/>
        </w:rPr>
        <w:tab/>
      </w:r>
      <w:r w:rsidRPr="005C655E">
        <w:rPr>
          <w:color w:val="A6A6A6" w:themeColor="background1" w:themeShade="A6"/>
          <w:highlight w:val="darkGray"/>
          <w:lang w:val="en-CA"/>
        </w:rPr>
        <w:t>xxxx xx xxxxxxxx xxxxxxxxxxx xxxxxxx xx xxx xxxxxx xxxxxxxxxxx</w:t>
      </w:r>
      <w:r w:rsidRPr="005C655E">
        <w:rPr>
          <w:rFonts w:cs="Arial"/>
          <w:color w:val="A6A6A6" w:themeColor="background1" w:themeShade="A6"/>
          <w:highlight w:val="darkGray"/>
          <w:lang w:val="en-CA"/>
        </w:rPr>
        <w:t xml:space="preserve"> xxxxxxx xxxxx xxxxxxx xxxx xxxxxx xxxxx xxxxxxxx xxxxxxxx xxx xxxxxxxxxxxxxxxxx xxxxx xxxxxxx xxxxxxx xxxx xxxxxx xxxxxxx xxxxxxxxxxxx xxxxxx</w:t>
      </w:r>
    </w:p>
  </w:footnote>
  <w:footnote w:id="91">
    <w:p w14:paraId="24E4666F" w14:textId="5FA882F7" w:rsidR="00BA1BFD" w:rsidRPr="008671D1" w:rsidRDefault="00BA1BFD" w:rsidP="004208A9">
      <w:pPr>
        <w:pStyle w:val="Notedebasdepage"/>
        <w:rPr>
          <w:lang w:val="en-CA"/>
        </w:rPr>
      </w:pPr>
      <w:r w:rsidRPr="00E708F1">
        <w:rPr>
          <w:rStyle w:val="Appelnotedebasdep"/>
          <w:lang w:val="en-CA"/>
        </w:rPr>
        <w:footnoteRef/>
      </w:r>
      <w:r w:rsidRPr="00E708F1">
        <w:rPr>
          <w:lang w:val="en-CA"/>
        </w:rPr>
        <w:t xml:space="preserve"> </w:t>
      </w:r>
      <w:r w:rsidRPr="00E708F1">
        <w:rPr>
          <w:lang w:val="en-CA"/>
        </w:rPr>
        <w:tab/>
      </w:r>
      <w:r w:rsidRPr="00E708F1">
        <w:rPr>
          <w:lang w:val="en-CA" w:bidi="en-CA"/>
        </w:rPr>
        <w:t>See in particular David M</w:t>
      </w:r>
      <w:r w:rsidRPr="008671D1">
        <w:rPr>
          <w:lang w:val="en-CA" w:bidi="en-CA"/>
        </w:rPr>
        <w:t xml:space="preserve">. Uhlmann, “Deferred prosecution and non-prosecution agreements and the erosion of corporate criminal liability,” (2013) 72 </w:t>
      </w:r>
      <w:r w:rsidRPr="008671D1">
        <w:rPr>
          <w:i/>
          <w:lang w:val="en-CA" w:bidi="en-CA"/>
        </w:rPr>
        <w:t>Md. L.</w:t>
      </w:r>
      <w:r w:rsidRPr="008671D1">
        <w:rPr>
          <w:lang w:val="en-CA" w:bidi="en-CA"/>
        </w:rPr>
        <w:t xml:space="preserve"> 1295; Peter R.</w:t>
      </w:r>
      <w:r>
        <w:rPr>
          <w:lang w:val="en-CA" w:bidi="en-CA"/>
        </w:rPr>
        <w:t xml:space="preserve"> </w:t>
      </w:r>
      <w:r w:rsidRPr="008671D1">
        <w:rPr>
          <w:lang w:val="en-CA" w:bidi="en-CA"/>
        </w:rPr>
        <w:t xml:space="preserve">Reilly, “Justice deferred is justice denied: we must end our failed experiment in deferring corporate criminal prosecutions,” 2015 </w:t>
      </w:r>
      <w:r w:rsidRPr="008671D1">
        <w:rPr>
          <w:i/>
          <w:lang w:val="en-CA" w:bidi="en-CA"/>
        </w:rPr>
        <w:t xml:space="preserve">BYU L. Rev. </w:t>
      </w:r>
      <w:r w:rsidRPr="008671D1">
        <w:rPr>
          <w:lang w:val="en-CA" w:bidi="en-CA"/>
        </w:rPr>
        <w:t>307.</w:t>
      </w:r>
    </w:p>
  </w:footnote>
  <w:footnote w:id="92">
    <w:p w14:paraId="693A745B" w14:textId="77FA5240" w:rsidR="00BA1BFD" w:rsidRPr="008671D1" w:rsidRDefault="00BA1BFD" w:rsidP="004208A9">
      <w:pPr>
        <w:pStyle w:val="Notedebasdepage"/>
        <w:rPr>
          <w:lang w:val="en-CA"/>
        </w:rPr>
      </w:pPr>
      <w:r w:rsidRPr="008671D1">
        <w:rPr>
          <w:rStyle w:val="Appelnotedebasdep"/>
          <w:lang w:val="en-CA"/>
        </w:rPr>
        <w:footnoteRef/>
      </w:r>
      <w:r w:rsidRPr="008671D1">
        <w:rPr>
          <w:lang w:val="en-CA"/>
        </w:rPr>
        <w:tab/>
      </w:r>
      <w:r w:rsidRPr="008671D1">
        <w:rPr>
          <w:lang w:val="en-CA" w:bidi="en-CA"/>
        </w:rPr>
        <w:t xml:space="preserve">The Prosecutor’s </w:t>
      </w:r>
      <w:r>
        <w:rPr>
          <w:lang w:val="en-CA" w:bidi="en-CA"/>
        </w:rPr>
        <w:t>submissions</w:t>
      </w:r>
      <w:r w:rsidRPr="008671D1">
        <w:rPr>
          <w:lang w:val="en-CA" w:bidi="en-CA"/>
        </w:rPr>
        <w:t xml:space="preserve"> for the approval of a remediation agreement dated March 22, 2022, Exhibit D</w:t>
      </w:r>
      <w:r>
        <w:rPr>
          <w:lang w:val="en-CA" w:bidi="en-CA"/>
        </w:rPr>
        <w:t xml:space="preserve"> at</w:t>
      </w:r>
      <w:r w:rsidRPr="008671D1">
        <w:rPr>
          <w:lang w:val="en-CA" w:bidi="en-CA"/>
        </w:rPr>
        <w:t xml:space="preserve"> paras. 74</w:t>
      </w:r>
      <w:r>
        <w:rPr>
          <w:lang w:val="en-CA" w:bidi="en-CA"/>
        </w:rPr>
        <w:t>–</w:t>
      </w:r>
      <w:r w:rsidRPr="008671D1">
        <w:rPr>
          <w:lang w:val="en-CA" w:bidi="en-CA"/>
        </w:rPr>
        <w:t xml:space="preserve">76; Book of Exhibits (volume 2), Exhibit F, </w:t>
      </w:r>
      <w:r>
        <w:rPr>
          <w:lang w:val="en-CA" w:bidi="en-CA"/>
        </w:rPr>
        <w:t>T</w:t>
      </w:r>
      <w:r w:rsidRPr="008671D1">
        <w:rPr>
          <w:lang w:val="en-CA" w:bidi="en-CA"/>
        </w:rPr>
        <w:t xml:space="preserve">ab AR-25 </w:t>
      </w:r>
      <w:r>
        <w:rPr>
          <w:lang w:val="en-CA" w:bidi="en-CA"/>
        </w:rPr>
        <w:t>[</w:t>
      </w:r>
      <w:r w:rsidRPr="006B7F16">
        <w:rPr>
          <w:smallCaps/>
          <w:lang w:val="en-CA" w:bidi="en-CA"/>
        </w:rPr>
        <w:t>translation</w:t>
      </w:r>
      <w:r>
        <w:rPr>
          <w:lang w:val="en-CA" w:bidi="en-CA"/>
        </w:rPr>
        <w:t xml:space="preserve">] </w:t>
      </w:r>
      <w:r w:rsidRPr="008671D1">
        <w:rPr>
          <w:lang w:val="en-CA" w:bidi="en-CA"/>
        </w:rPr>
        <w:t>“Summary of the results of the forensic accounting review of documents submitted by SNC-Lavalin Inc. to the RCMP in connection with the negotiation of a remediation agreement.”</w:t>
      </w:r>
    </w:p>
  </w:footnote>
  <w:footnote w:id="93">
    <w:p w14:paraId="028EC491" w14:textId="77777777" w:rsidR="00BA1BFD" w:rsidRPr="006B7F16" w:rsidRDefault="00BA1BFD" w:rsidP="004208A9">
      <w:pPr>
        <w:pStyle w:val="Notedebasdepage"/>
      </w:pPr>
      <w:r w:rsidRPr="008671D1">
        <w:rPr>
          <w:rStyle w:val="Appelnotedebasdep"/>
          <w:lang w:val="en-CA"/>
        </w:rPr>
        <w:footnoteRef/>
      </w:r>
      <w:r w:rsidRPr="008671D1">
        <w:rPr>
          <w:lang w:val="en-CA"/>
        </w:rPr>
        <w:tab/>
        <w:t xml:space="preserve">Prosecutor’s </w:t>
      </w:r>
      <w:r>
        <w:rPr>
          <w:lang w:val="en-CA"/>
        </w:rPr>
        <w:t>submissions</w:t>
      </w:r>
      <w:r w:rsidRPr="008671D1">
        <w:rPr>
          <w:lang w:val="en-CA"/>
        </w:rPr>
        <w:t xml:space="preserve"> for the approval of a remediation agreement dated March 22, 2022, Exhibit D, para. </w:t>
      </w:r>
      <w:r w:rsidRPr="006B7F16">
        <w:t>101.</w:t>
      </w:r>
    </w:p>
  </w:footnote>
  <w:footnote w:id="94">
    <w:p w14:paraId="3A17ABAB" w14:textId="77777777" w:rsidR="00BA1BFD" w:rsidRPr="006B7F16" w:rsidRDefault="00BA1BFD" w:rsidP="004208A9">
      <w:pPr>
        <w:pStyle w:val="Notedebasdepage"/>
      </w:pPr>
      <w:r w:rsidRPr="008671D1">
        <w:rPr>
          <w:rStyle w:val="Appelnotedebasdep"/>
          <w:lang w:val="en-CA"/>
        </w:rPr>
        <w:footnoteRef/>
      </w:r>
      <w:r w:rsidRPr="006B7F16">
        <w:tab/>
        <w:t xml:space="preserve">R. </w:t>
      </w:r>
      <w:r w:rsidRPr="006B7F16">
        <w:rPr>
          <w:i/>
        </w:rPr>
        <w:t>v.</w:t>
      </w:r>
      <w:r w:rsidRPr="006B7F16">
        <w:t xml:space="preserve"> </w:t>
      </w:r>
      <w:r w:rsidRPr="006B7F16">
        <w:rPr>
          <w:i/>
        </w:rPr>
        <w:t>McNamara</w:t>
      </w:r>
      <w:r w:rsidRPr="006B7F16">
        <w:t>, (1981) 56 C.C.C. (2d) 516 (Ont. C.A.), p. 523.</w:t>
      </w:r>
    </w:p>
  </w:footnote>
  <w:footnote w:id="95">
    <w:p w14:paraId="3921936B" w14:textId="77777777" w:rsidR="00BA1BFD" w:rsidRPr="008671D1" w:rsidRDefault="00BA1BFD" w:rsidP="004208A9">
      <w:pPr>
        <w:pStyle w:val="Notedebasdepage"/>
        <w:rPr>
          <w:lang w:val="en-CA"/>
        </w:rPr>
      </w:pPr>
      <w:r w:rsidRPr="008671D1">
        <w:rPr>
          <w:rStyle w:val="Appelnotedebasdep"/>
          <w:lang w:val="en-CA"/>
        </w:rPr>
        <w:footnoteRef/>
      </w:r>
      <w:r w:rsidRPr="008671D1">
        <w:rPr>
          <w:lang w:val="en-CA"/>
        </w:rPr>
        <w:tab/>
        <w:t xml:space="preserve">SENTENCING COUNCIL (UK), </w:t>
      </w:r>
      <w:r w:rsidRPr="008671D1">
        <w:rPr>
          <w:i/>
          <w:lang w:val="en-CA"/>
        </w:rPr>
        <w:t xml:space="preserve">Sentencing Guidelines, </w:t>
      </w:r>
      <w:r w:rsidRPr="008671D1">
        <w:rPr>
          <w:rFonts w:cs="Arial"/>
          <w:i/>
          <w:lang w:val="en-CA"/>
        </w:rPr>
        <w:t>"</w:t>
      </w:r>
      <w:r w:rsidRPr="008671D1">
        <w:rPr>
          <w:i/>
          <w:lang w:val="en-CA"/>
        </w:rPr>
        <w:t>Corporate offenders : fraud, bribery and money laundering</w:t>
      </w:r>
      <w:r w:rsidRPr="008671D1">
        <w:rPr>
          <w:rFonts w:cs="Arial"/>
          <w:lang w:val="en-CA"/>
        </w:rPr>
        <w:t xml:space="preserve">": </w:t>
      </w:r>
      <w:hyperlink r:id="rId1" w:history="1">
        <w:r w:rsidRPr="008671D1">
          <w:rPr>
            <w:rStyle w:val="Lienhypertexte"/>
            <w:rFonts w:cs="Arial"/>
            <w:lang w:val="en-CA"/>
          </w:rPr>
          <w:t>https://www.sentencingcouncil.org.uk/offences/crown-court/item/corporate-offenders-fraud-bribery-and-money-laundering/</w:t>
        </w:r>
      </w:hyperlink>
      <w:r w:rsidRPr="008671D1">
        <w:rPr>
          <w:rFonts w:cs="Arial"/>
          <w:lang w:val="en-CA"/>
        </w:rPr>
        <w:t xml:space="preserve"> </w:t>
      </w:r>
    </w:p>
  </w:footnote>
  <w:footnote w:id="96">
    <w:p w14:paraId="5821479C" w14:textId="593251DE" w:rsidR="00BA1BFD" w:rsidRPr="008671D1" w:rsidRDefault="00BA1BFD" w:rsidP="004208A9">
      <w:pPr>
        <w:pStyle w:val="Notedebasdepage"/>
        <w:rPr>
          <w:lang w:val="en-CA"/>
        </w:rPr>
      </w:pPr>
      <w:r w:rsidRPr="008671D1">
        <w:rPr>
          <w:rStyle w:val="Appelnotedebasdep"/>
          <w:lang w:val="en-CA"/>
        </w:rPr>
        <w:footnoteRef/>
      </w:r>
      <w:r w:rsidRPr="008671D1">
        <w:rPr>
          <w:lang w:val="en-CA"/>
        </w:rPr>
        <w:tab/>
        <w:t xml:space="preserve">Prosecutor’s </w:t>
      </w:r>
      <w:r>
        <w:rPr>
          <w:lang w:val="en-CA"/>
        </w:rPr>
        <w:t>submissions</w:t>
      </w:r>
      <w:r w:rsidRPr="008671D1">
        <w:rPr>
          <w:lang w:val="en-CA"/>
        </w:rPr>
        <w:t xml:space="preserve"> for the approval of a remediation agreement dated March 22, 2022, Exhibit D</w:t>
      </w:r>
      <w:r>
        <w:rPr>
          <w:lang w:val="en-CA"/>
        </w:rPr>
        <w:t xml:space="preserve"> at</w:t>
      </w:r>
      <w:r w:rsidRPr="008671D1">
        <w:rPr>
          <w:lang w:val="en-CA"/>
        </w:rPr>
        <w:t xml:space="preserve"> para. 93.</w:t>
      </w:r>
    </w:p>
  </w:footnote>
  <w:footnote w:id="97">
    <w:p w14:paraId="0FC5206A" w14:textId="77777777" w:rsidR="00BA1BFD" w:rsidRPr="00930A2B" w:rsidRDefault="00BA1BFD" w:rsidP="004208A9">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i/>
          <w:lang w:val="en-CA" w:bidi="en-CA"/>
        </w:rPr>
        <w:t xml:space="preserve">R. </w:t>
      </w:r>
      <w:r w:rsidRPr="001B3A1B">
        <w:rPr>
          <w:i/>
          <w:lang w:val="en-CA" w:bidi="en-CA"/>
        </w:rPr>
        <w:t>v.</w:t>
      </w:r>
      <w:r w:rsidRPr="008671D1">
        <w:rPr>
          <w:lang w:val="en-CA" w:bidi="en-CA"/>
        </w:rPr>
        <w:t xml:space="preserve"> </w:t>
      </w:r>
      <w:r w:rsidRPr="008671D1">
        <w:rPr>
          <w:i/>
          <w:lang w:val="en-CA" w:bidi="en-CA"/>
        </w:rPr>
        <w:t xml:space="preserve">Karigar, </w:t>
      </w:r>
      <w:r w:rsidRPr="008671D1">
        <w:rPr>
          <w:lang w:val="en-CA" w:bidi="en-CA"/>
        </w:rPr>
        <w:t xml:space="preserve">2014 ONSC 3093, para. 16; </w:t>
      </w:r>
      <w:r w:rsidRPr="008671D1">
        <w:rPr>
          <w:i/>
          <w:lang w:val="en-CA" w:bidi="en-CA"/>
        </w:rPr>
        <w:t>R.</w:t>
      </w:r>
      <w:r>
        <w:rPr>
          <w:i/>
          <w:lang w:val="en-CA" w:bidi="en-CA"/>
        </w:rPr>
        <w:t xml:space="preserve"> </w:t>
      </w:r>
      <w:r w:rsidRPr="001B3A1B">
        <w:rPr>
          <w:i/>
          <w:lang w:val="en-CA" w:bidi="en-CA"/>
        </w:rPr>
        <w:t>v.</w:t>
      </w:r>
      <w:r w:rsidRPr="008671D1">
        <w:rPr>
          <w:lang w:val="en-CA" w:bidi="en-CA"/>
        </w:rPr>
        <w:t xml:space="preserve"> </w:t>
      </w:r>
      <w:r w:rsidRPr="008671D1">
        <w:rPr>
          <w:i/>
          <w:lang w:val="en-CA" w:bidi="en-CA"/>
        </w:rPr>
        <w:t>Griffiths Energy International,</w:t>
      </w:r>
      <w:r>
        <w:rPr>
          <w:i/>
          <w:lang w:val="en-CA" w:bidi="en-CA"/>
        </w:rPr>
        <w:t xml:space="preserve"> </w:t>
      </w:r>
      <w:r w:rsidRPr="008671D1">
        <w:rPr>
          <w:lang w:val="en-CA" w:bidi="en-CA"/>
        </w:rPr>
        <w:t>[2013] A.J. no. 412, para. </w:t>
      </w:r>
      <w:r w:rsidRPr="00CE3D43">
        <w:rPr>
          <w:lang w:val="en-CA" w:bidi="en-CA"/>
        </w:rPr>
        <w:t xml:space="preserve">23; </w:t>
      </w:r>
      <w:r w:rsidRPr="00312121">
        <w:rPr>
          <w:i/>
          <w:lang w:val="en-CA" w:bidi="en-CA"/>
        </w:rPr>
        <w:t>R. v.</w:t>
      </w:r>
      <w:r w:rsidRPr="00312121">
        <w:rPr>
          <w:lang w:val="en-CA" w:bidi="en-CA"/>
        </w:rPr>
        <w:t xml:space="preserve"> </w:t>
      </w:r>
      <w:r w:rsidRPr="00312121">
        <w:rPr>
          <w:i/>
          <w:lang w:val="en-CA" w:bidi="en-CA"/>
        </w:rPr>
        <w:t xml:space="preserve">Nika Resources Ltd. </w:t>
      </w:r>
      <w:r w:rsidRPr="00385475">
        <w:rPr>
          <w:lang w:val="en-CA" w:bidi="en-CA"/>
        </w:rPr>
        <w:t>(2011), 101 W.C.B. (2d) 118 (Alta. Q.B.), para. 9.</w:t>
      </w:r>
    </w:p>
  </w:footnote>
  <w:footnote w:id="98">
    <w:p w14:paraId="187935D6" w14:textId="20CE9DAC" w:rsidR="00BA1BFD" w:rsidRPr="008671D1" w:rsidRDefault="00BA1BFD" w:rsidP="003C61BE">
      <w:pPr>
        <w:pStyle w:val="Notedebasdepage"/>
        <w:rPr>
          <w:lang w:val="en-CA"/>
        </w:rPr>
      </w:pPr>
      <w:r w:rsidRPr="008671D1">
        <w:rPr>
          <w:rStyle w:val="Appelnotedebasdep"/>
          <w:lang w:val="en-CA"/>
        </w:rPr>
        <w:footnoteRef/>
      </w:r>
      <w:r w:rsidRPr="00CE3D43">
        <w:rPr>
          <w:lang w:val="en-CA"/>
        </w:rPr>
        <w:t xml:space="preserve"> </w:t>
      </w:r>
      <w:r w:rsidRPr="00CE3D43">
        <w:rPr>
          <w:lang w:val="en-CA"/>
        </w:rPr>
        <w:tab/>
      </w:r>
      <w:r w:rsidRPr="00312121">
        <w:rPr>
          <w:i/>
          <w:lang w:val="en-CA"/>
        </w:rPr>
        <w:t xml:space="preserve">R. </w:t>
      </w:r>
      <w:r w:rsidRPr="006B7F16">
        <w:rPr>
          <w:i/>
          <w:lang w:val="en-CA"/>
        </w:rPr>
        <w:t>c</w:t>
      </w:r>
      <w:r w:rsidRPr="00312121">
        <w:rPr>
          <w:i/>
          <w:lang w:val="en-CA"/>
        </w:rPr>
        <w:t>. Pétroles Global inc.</w:t>
      </w:r>
      <w:r w:rsidRPr="00312121">
        <w:rPr>
          <w:lang w:val="en-CA"/>
        </w:rPr>
        <w:t>, 2015 QCCS 1618</w:t>
      </w:r>
      <w:r w:rsidRPr="006B7F16">
        <w:rPr>
          <w:lang w:val="en-CA"/>
        </w:rPr>
        <w:t xml:space="preserve"> at</w:t>
      </w:r>
      <w:r w:rsidRPr="00312121">
        <w:rPr>
          <w:lang w:val="en-CA"/>
        </w:rPr>
        <w:t xml:space="preserve"> para. 99. See also </w:t>
      </w:r>
      <w:r w:rsidRPr="00312121">
        <w:rPr>
          <w:i/>
          <w:lang w:val="en-CA"/>
        </w:rPr>
        <w:t>R. v. McNamara</w:t>
      </w:r>
      <w:r w:rsidRPr="00385475">
        <w:rPr>
          <w:lang w:val="en-CA"/>
        </w:rPr>
        <w:t>, (1981) 56 C.C.C. (2d) 516 (Ont. C.A.)</w:t>
      </w:r>
      <w:r w:rsidRPr="004132C7">
        <w:rPr>
          <w:lang w:val="en-CA"/>
        </w:rPr>
        <w:t xml:space="preserve"> </w:t>
      </w:r>
      <w:r>
        <w:rPr>
          <w:lang w:val="en-CA"/>
        </w:rPr>
        <w:t>at</w:t>
      </w:r>
      <w:r w:rsidRPr="008671D1">
        <w:rPr>
          <w:lang w:val="en-CA"/>
        </w:rPr>
        <w:t xml:space="preserve"> 527.</w:t>
      </w:r>
    </w:p>
  </w:footnote>
  <w:footnote w:id="99">
    <w:p w14:paraId="7D131679" w14:textId="1E9CD986" w:rsidR="00BA1BFD" w:rsidRPr="00312121" w:rsidRDefault="00BA1BFD" w:rsidP="003C61BE">
      <w:pPr>
        <w:pStyle w:val="Notedebasdepage"/>
        <w:rPr>
          <w:lang w:val="en-CA"/>
        </w:rPr>
      </w:pPr>
      <w:r w:rsidRPr="008671D1">
        <w:rPr>
          <w:rStyle w:val="Appelnotedebasdep"/>
          <w:lang w:val="en-CA"/>
        </w:rPr>
        <w:footnoteRef/>
      </w:r>
      <w:r w:rsidRPr="00CE3D43">
        <w:rPr>
          <w:i/>
          <w:lang w:val="en-CA"/>
        </w:rPr>
        <w:tab/>
        <w:t xml:space="preserve">R. </w:t>
      </w:r>
      <w:r w:rsidRPr="006B7F16">
        <w:rPr>
          <w:i/>
          <w:lang w:val="en-CA"/>
        </w:rPr>
        <w:t>c</w:t>
      </w:r>
      <w:r w:rsidRPr="00312121">
        <w:rPr>
          <w:i/>
          <w:lang w:val="en-CA"/>
        </w:rPr>
        <w:t>. Pétroles Global inc.</w:t>
      </w:r>
      <w:r w:rsidRPr="00312121">
        <w:rPr>
          <w:lang w:val="en-CA"/>
        </w:rPr>
        <w:t>, 2015 QCCS 1618</w:t>
      </w:r>
      <w:r w:rsidRPr="006B7F16">
        <w:rPr>
          <w:lang w:val="en-CA"/>
        </w:rPr>
        <w:t xml:space="preserve"> at</w:t>
      </w:r>
      <w:r w:rsidRPr="00CE3D43">
        <w:rPr>
          <w:lang w:val="en-CA"/>
        </w:rPr>
        <w:t xml:space="preserve"> para. 55.</w:t>
      </w:r>
    </w:p>
  </w:footnote>
  <w:footnote w:id="100">
    <w:p w14:paraId="605227F3" w14:textId="2CFF8E4B" w:rsidR="00BA1BFD" w:rsidRPr="00385475" w:rsidRDefault="00BA1BFD" w:rsidP="003C61BE">
      <w:pPr>
        <w:pStyle w:val="Notedebasdepage"/>
        <w:rPr>
          <w:lang w:val="en-CA"/>
        </w:rPr>
      </w:pPr>
      <w:r w:rsidRPr="008671D1">
        <w:rPr>
          <w:rStyle w:val="Appelnotedebasdep"/>
          <w:lang w:val="en-CA"/>
        </w:rPr>
        <w:footnoteRef/>
      </w:r>
      <w:r w:rsidRPr="00CE3D43">
        <w:rPr>
          <w:lang w:val="en-CA"/>
        </w:rPr>
        <w:t xml:space="preserve"> </w:t>
      </w:r>
      <w:r w:rsidRPr="00CE3D43">
        <w:rPr>
          <w:lang w:val="en-CA"/>
        </w:rPr>
        <w:tab/>
      </w:r>
      <w:r w:rsidRPr="00312121">
        <w:rPr>
          <w:i/>
          <w:lang w:val="en-CA"/>
        </w:rPr>
        <w:t xml:space="preserve">R. v. Terroco </w:t>
      </w:r>
      <w:r w:rsidRPr="00312121">
        <w:rPr>
          <w:i/>
          <w:lang w:val="en-CA" w:bidi="en-CA"/>
        </w:rPr>
        <w:t xml:space="preserve">Industries Limited, </w:t>
      </w:r>
      <w:r w:rsidRPr="00312121">
        <w:rPr>
          <w:lang w:val="en-CA" w:bidi="en-CA"/>
        </w:rPr>
        <w:t>2005 ABCA 141</w:t>
      </w:r>
      <w:r>
        <w:rPr>
          <w:lang w:val="en-CA" w:bidi="en-CA"/>
        </w:rPr>
        <w:t xml:space="preserve"> at</w:t>
      </w:r>
      <w:r w:rsidRPr="00312121">
        <w:rPr>
          <w:lang w:val="en-CA" w:bidi="en-CA"/>
        </w:rPr>
        <w:t xml:space="preserve"> para. 60</w:t>
      </w:r>
      <w:r w:rsidRPr="00385475">
        <w:rPr>
          <w:lang w:val="en-CA"/>
        </w:rPr>
        <w:t>.</w:t>
      </w:r>
    </w:p>
  </w:footnote>
  <w:footnote w:id="101">
    <w:p w14:paraId="4AD38931" w14:textId="04677B81" w:rsidR="00BA1BFD" w:rsidRPr="00312121" w:rsidRDefault="00BA1BFD" w:rsidP="003C61BE">
      <w:pPr>
        <w:pStyle w:val="Notedebasdepage"/>
        <w:rPr>
          <w:lang w:val="en-CA"/>
        </w:rPr>
      </w:pPr>
      <w:r w:rsidRPr="008671D1">
        <w:rPr>
          <w:rStyle w:val="Appelnotedebasdep"/>
          <w:lang w:val="en-CA"/>
        </w:rPr>
        <w:footnoteRef/>
      </w:r>
      <w:r w:rsidRPr="00CE3D43">
        <w:rPr>
          <w:lang w:val="en-CA"/>
        </w:rPr>
        <w:t xml:space="preserve"> </w:t>
      </w:r>
      <w:r w:rsidRPr="00CE3D43">
        <w:rPr>
          <w:lang w:val="en-CA"/>
        </w:rPr>
        <w:tab/>
      </w:r>
      <w:r w:rsidRPr="00312121">
        <w:rPr>
          <w:i/>
          <w:lang w:val="en-CA"/>
        </w:rPr>
        <w:t>R. v. Pétroles Global inc.</w:t>
      </w:r>
      <w:r w:rsidRPr="00312121">
        <w:rPr>
          <w:lang w:val="en-CA"/>
        </w:rPr>
        <w:t>, 2015 QCCS 1618</w:t>
      </w:r>
      <w:r>
        <w:rPr>
          <w:lang w:val="en-CA"/>
        </w:rPr>
        <w:t xml:space="preserve"> at</w:t>
      </w:r>
      <w:r w:rsidRPr="00312121">
        <w:rPr>
          <w:lang w:val="en-CA"/>
        </w:rPr>
        <w:t xml:space="preserve"> para. 52.</w:t>
      </w:r>
    </w:p>
  </w:footnote>
  <w:footnote w:id="102">
    <w:p w14:paraId="3042F691" w14:textId="109692BD" w:rsidR="00BA1BFD" w:rsidRPr="008671D1" w:rsidRDefault="00BA1BFD" w:rsidP="005D4234">
      <w:pPr>
        <w:pStyle w:val="Notedebasdepage"/>
        <w:rPr>
          <w:lang w:val="en-CA"/>
        </w:rPr>
      </w:pPr>
      <w:r w:rsidRPr="008671D1">
        <w:rPr>
          <w:rStyle w:val="Appelnotedebasdep"/>
          <w:lang w:val="en-CA"/>
        </w:rPr>
        <w:footnoteRef/>
      </w:r>
      <w:r w:rsidRPr="00190E6B">
        <w:rPr>
          <w:lang w:val="en-CA"/>
        </w:rPr>
        <w:t xml:space="preserve"> </w:t>
      </w:r>
      <w:r w:rsidRPr="00190E6B">
        <w:rPr>
          <w:lang w:val="en-CA"/>
        </w:rPr>
        <w:tab/>
        <w:t xml:space="preserve">R. </w:t>
      </w:r>
      <w:r w:rsidRPr="00190E6B">
        <w:rPr>
          <w:i/>
          <w:lang w:val="en-CA"/>
        </w:rPr>
        <w:t>v.</w:t>
      </w:r>
      <w:r w:rsidRPr="006B7F16">
        <w:rPr>
          <w:i/>
          <w:lang w:val="en-CA"/>
        </w:rPr>
        <w:t xml:space="preserve"> Lavigne</w:t>
      </w:r>
      <w:r w:rsidRPr="00190E6B">
        <w:rPr>
          <w:lang w:val="en-CA"/>
        </w:rPr>
        <w:t xml:space="preserve">, 2006 </w:t>
      </w:r>
      <w:r w:rsidRPr="006B7F16">
        <w:rPr>
          <w:lang w:val="en-CA"/>
        </w:rPr>
        <w:t>SCC</w:t>
      </w:r>
      <w:r w:rsidRPr="00190E6B">
        <w:rPr>
          <w:lang w:val="en-CA"/>
        </w:rPr>
        <w:t xml:space="preserve"> 10</w:t>
      </w:r>
      <w:r w:rsidRPr="006B7F16">
        <w:rPr>
          <w:lang w:val="en-CA"/>
        </w:rPr>
        <w:t xml:space="preserve"> at</w:t>
      </w:r>
      <w:r w:rsidRPr="00190E6B">
        <w:rPr>
          <w:lang w:val="en-CA"/>
        </w:rPr>
        <w:t xml:space="preserve"> para. </w:t>
      </w:r>
      <w:r w:rsidRPr="008671D1">
        <w:rPr>
          <w:lang w:val="en-CA"/>
        </w:rPr>
        <w:t>35.</w:t>
      </w:r>
    </w:p>
  </w:footnote>
  <w:footnote w:id="103">
    <w:p w14:paraId="13F9E362" w14:textId="316C4E86" w:rsidR="00BA1BFD" w:rsidRPr="008671D1" w:rsidRDefault="00BA1BFD" w:rsidP="0022213F">
      <w:pPr>
        <w:pStyle w:val="Notedebasdepage"/>
        <w:rPr>
          <w:lang w:val="en-CA"/>
        </w:rPr>
      </w:pPr>
      <w:r w:rsidRPr="008671D1">
        <w:rPr>
          <w:rStyle w:val="Appelnotedebasdep"/>
          <w:lang w:val="en-CA"/>
        </w:rPr>
        <w:footnoteRef/>
      </w:r>
      <w:r w:rsidRPr="008671D1">
        <w:rPr>
          <w:lang w:val="en-CA"/>
        </w:rPr>
        <w:t xml:space="preserve"> </w:t>
      </w:r>
      <w:r>
        <w:rPr>
          <w:lang w:val="en-CA"/>
        </w:rPr>
        <w:tab/>
      </w:r>
      <w:r w:rsidRPr="008671D1">
        <w:rPr>
          <w:lang w:val="en-CA" w:bidi="en-CA"/>
        </w:rPr>
        <w:t xml:space="preserve">Book of Exhibits (volume 2), Exhibit F, tab AR-25, </w:t>
      </w:r>
      <w:r>
        <w:rPr>
          <w:lang w:val="en-CA" w:bidi="en-CA"/>
        </w:rPr>
        <w:t>[</w:t>
      </w:r>
      <w:r w:rsidRPr="006B7F16">
        <w:rPr>
          <w:smallCaps/>
          <w:lang w:val="en-CA" w:bidi="en-CA"/>
        </w:rPr>
        <w:t>translation</w:t>
      </w:r>
      <w:r>
        <w:rPr>
          <w:lang w:val="en-CA" w:bidi="en-CA"/>
        </w:rPr>
        <w:t xml:space="preserve">] </w:t>
      </w:r>
      <w:r w:rsidRPr="008671D1">
        <w:rPr>
          <w:lang w:val="en-CA" w:bidi="en-CA"/>
        </w:rPr>
        <w:t>"Summary of the results of the forensic accounting review of documents submitted by SNC-Lavalin Inc.</w:t>
      </w:r>
      <w:r>
        <w:rPr>
          <w:lang w:val="en-CA" w:bidi="en-CA"/>
        </w:rPr>
        <w:t xml:space="preserve"> </w:t>
      </w:r>
      <w:r w:rsidRPr="008671D1">
        <w:rPr>
          <w:lang w:val="en-CA" w:bidi="en-CA"/>
        </w:rPr>
        <w:t xml:space="preserve">to the RCMP in connection with the negotiations for a remediation agreement,” </w:t>
      </w:r>
      <w:r>
        <w:rPr>
          <w:lang w:val="en-CA" w:bidi="en-CA"/>
        </w:rPr>
        <w:t>at</w:t>
      </w:r>
      <w:r w:rsidRPr="008671D1">
        <w:rPr>
          <w:lang w:val="en-CA" w:bidi="en-CA"/>
        </w:rPr>
        <w:t xml:space="preserve"> 7</w:t>
      </w:r>
      <w:r>
        <w:rPr>
          <w:lang w:val="en-CA" w:bidi="en-CA"/>
        </w:rPr>
        <w:t>–</w:t>
      </w:r>
      <w:r w:rsidRPr="008671D1">
        <w:rPr>
          <w:lang w:val="en-CA" w:bidi="en-CA"/>
        </w:rPr>
        <w:t>8</w:t>
      </w:r>
    </w:p>
  </w:footnote>
  <w:footnote w:id="104">
    <w:p w14:paraId="7494DDBF" w14:textId="4DF0C0A9" w:rsidR="00BA1BFD" w:rsidRPr="008671D1" w:rsidRDefault="00BA1BFD" w:rsidP="0022213F">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Pr>
          <w:lang w:val="en-CA"/>
        </w:rPr>
        <w:t xml:space="preserve">The </w:t>
      </w:r>
      <w:r w:rsidRPr="008671D1">
        <w:rPr>
          <w:lang w:val="en-CA"/>
        </w:rPr>
        <w:t xml:space="preserve">Organizations’ </w:t>
      </w:r>
      <w:r>
        <w:rPr>
          <w:lang w:val="en-CA"/>
        </w:rPr>
        <w:t>submissions</w:t>
      </w:r>
      <w:r w:rsidRPr="008671D1">
        <w:rPr>
          <w:lang w:val="en-CA"/>
        </w:rPr>
        <w:t xml:space="preserve"> for the approval of a Remediation Agreement, Exhibit</w:t>
      </w:r>
      <w:r>
        <w:rPr>
          <w:lang w:val="en-CA"/>
        </w:rPr>
        <w:t> </w:t>
      </w:r>
      <w:r w:rsidRPr="008671D1">
        <w:rPr>
          <w:lang w:val="en-CA"/>
        </w:rPr>
        <w:t>I</w:t>
      </w:r>
      <w:r>
        <w:rPr>
          <w:lang w:val="en-CA"/>
        </w:rPr>
        <w:t xml:space="preserve"> at</w:t>
      </w:r>
      <w:r w:rsidRPr="008671D1">
        <w:rPr>
          <w:lang w:val="en-CA"/>
        </w:rPr>
        <w:t xml:space="preserve"> paras.</w:t>
      </w:r>
      <w:r>
        <w:rPr>
          <w:lang w:val="en-CA"/>
        </w:rPr>
        <w:t> </w:t>
      </w:r>
      <w:r w:rsidRPr="008671D1">
        <w:rPr>
          <w:lang w:val="en-CA"/>
        </w:rPr>
        <w:t>86</w:t>
      </w:r>
      <w:r>
        <w:rPr>
          <w:lang w:val="en-CA"/>
        </w:rPr>
        <w:t>–</w:t>
      </w:r>
      <w:r w:rsidRPr="008671D1">
        <w:rPr>
          <w:lang w:val="en-CA"/>
        </w:rPr>
        <w:t>88.</w:t>
      </w:r>
    </w:p>
  </w:footnote>
  <w:footnote w:id="105">
    <w:p w14:paraId="0E0BDC9B" w14:textId="77777777" w:rsidR="00BA1BFD" w:rsidRPr="008671D1" w:rsidRDefault="00BA1BFD" w:rsidP="0022213F">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sidRPr="008671D1">
        <w:rPr>
          <w:i/>
          <w:lang w:val="en-CA"/>
        </w:rPr>
        <w:t>R. v. Vallières</w:t>
      </w:r>
      <w:r w:rsidRPr="008671D1">
        <w:rPr>
          <w:lang w:val="en-CA"/>
        </w:rPr>
        <w:t>, 2022 SCC 10.</w:t>
      </w:r>
    </w:p>
  </w:footnote>
  <w:footnote w:id="106">
    <w:p w14:paraId="781ACF4B" w14:textId="555FC653" w:rsidR="00BA1BFD" w:rsidRPr="008671D1" w:rsidRDefault="00BA1BFD" w:rsidP="00275EC4">
      <w:pPr>
        <w:pStyle w:val="Notedebasdepage"/>
        <w:rPr>
          <w:lang w:val="en-CA"/>
        </w:rPr>
      </w:pPr>
      <w:r w:rsidRPr="008671D1">
        <w:rPr>
          <w:rStyle w:val="Appelnotedebasdep"/>
          <w:lang w:val="en-CA"/>
        </w:rPr>
        <w:footnoteRef/>
      </w:r>
      <w:r w:rsidRPr="008671D1">
        <w:rPr>
          <w:lang w:val="en-CA"/>
        </w:rPr>
        <w:t xml:space="preserve"> </w:t>
      </w:r>
      <w:r w:rsidRPr="008671D1">
        <w:rPr>
          <w:lang w:val="en-CA"/>
        </w:rPr>
        <w:tab/>
        <w:t>Definition of “property”</w:t>
      </w:r>
      <w:r w:rsidRPr="008671D1">
        <w:rPr>
          <w:lang w:val="en-CA" w:bidi="en-CA"/>
        </w:rPr>
        <w:t xml:space="preserve"> in section 2 Cr.</w:t>
      </w:r>
      <w:r>
        <w:rPr>
          <w:lang w:val="en-CA" w:bidi="en-CA"/>
        </w:rPr>
        <w:t> </w:t>
      </w:r>
      <w:r w:rsidRPr="008671D1">
        <w:rPr>
          <w:lang w:val="en-CA" w:bidi="en-CA"/>
        </w:rPr>
        <w:t xml:space="preserve">C., taken up in </w:t>
      </w:r>
      <w:r w:rsidRPr="008671D1">
        <w:rPr>
          <w:i/>
          <w:lang w:val="en-CA"/>
        </w:rPr>
        <w:t>R. v. Vallières</w:t>
      </w:r>
      <w:r w:rsidRPr="008671D1">
        <w:rPr>
          <w:lang w:val="en-CA"/>
        </w:rPr>
        <w:t>, 2022 SCC 10</w:t>
      </w:r>
      <w:r>
        <w:rPr>
          <w:lang w:val="en-CA"/>
        </w:rPr>
        <w:t xml:space="preserve"> at</w:t>
      </w:r>
      <w:r w:rsidRPr="008671D1">
        <w:rPr>
          <w:lang w:val="en-CA"/>
        </w:rPr>
        <w:t xml:space="preserve"> para. 29. See also </w:t>
      </w:r>
      <w:r w:rsidRPr="008671D1">
        <w:rPr>
          <w:i/>
          <w:lang w:val="en-CA"/>
        </w:rPr>
        <w:t>R. v. Vallières</w:t>
      </w:r>
      <w:r w:rsidRPr="008671D1">
        <w:rPr>
          <w:lang w:val="en-CA"/>
        </w:rPr>
        <w:t>, 2022 SCC 10</w:t>
      </w:r>
      <w:r>
        <w:rPr>
          <w:lang w:val="en-CA"/>
        </w:rPr>
        <w:t xml:space="preserve"> at</w:t>
      </w:r>
      <w:r w:rsidRPr="008671D1">
        <w:rPr>
          <w:lang w:val="en-CA"/>
        </w:rPr>
        <w:t xml:space="preserve"> paras. 36, 38.</w:t>
      </w:r>
    </w:p>
  </w:footnote>
  <w:footnote w:id="107">
    <w:p w14:paraId="378F57CC" w14:textId="6D3B4AA3" w:rsidR="00BA1BFD" w:rsidRPr="008671D1" w:rsidRDefault="00BA1BFD" w:rsidP="00275EC4">
      <w:pPr>
        <w:pStyle w:val="Notedebasdepage"/>
        <w:rPr>
          <w:lang w:val="en-CA"/>
        </w:rPr>
      </w:pPr>
      <w:r w:rsidRPr="008671D1">
        <w:rPr>
          <w:rStyle w:val="Appelnotedebasdep"/>
          <w:lang w:val="en-CA"/>
        </w:rPr>
        <w:footnoteRef/>
      </w:r>
      <w:r w:rsidRPr="008671D1">
        <w:rPr>
          <w:lang w:val="en-CA" w:bidi="en-CA"/>
        </w:rPr>
        <w:tab/>
        <w:t xml:space="preserve">Prosecutor’s </w:t>
      </w:r>
      <w:r>
        <w:rPr>
          <w:lang w:val="en-CA" w:bidi="en-CA"/>
        </w:rPr>
        <w:t>submissions</w:t>
      </w:r>
      <w:r w:rsidRPr="008671D1">
        <w:rPr>
          <w:lang w:val="en-CA" w:bidi="en-CA"/>
        </w:rPr>
        <w:t xml:space="preserve"> for the approval of a remediation agreement dated March 22, 2022, Exhibit D</w:t>
      </w:r>
      <w:r>
        <w:rPr>
          <w:lang w:val="en-CA" w:bidi="en-CA"/>
        </w:rPr>
        <w:t xml:space="preserve"> at</w:t>
      </w:r>
      <w:r w:rsidRPr="008671D1">
        <w:rPr>
          <w:lang w:val="en-CA" w:bidi="en-CA"/>
        </w:rPr>
        <w:t xml:space="preserve"> paras. 157</w:t>
      </w:r>
      <w:r>
        <w:rPr>
          <w:lang w:val="en-CA" w:bidi="en-CA"/>
        </w:rPr>
        <w:t>–</w:t>
      </w:r>
      <w:r w:rsidRPr="008671D1">
        <w:rPr>
          <w:lang w:val="en-CA" w:bidi="en-CA"/>
        </w:rPr>
        <w:t xml:space="preserve">162. See also Organizations’ </w:t>
      </w:r>
      <w:r>
        <w:rPr>
          <w:lang w:val="en-CA" w:bidi="en-CA"/>
        </w:rPr>
        <w:t>submissions</w:t>
      </w:r>
      <w:r w:rsidRPr="008671D1">
        <w:rPr>
          <w:lang w:val="en-CA" w:bidi="en-CA"/>
        </w:rPr>
        <w:t xml:space="preserve"> for </w:t>
      </w:r>
      <w:r>
        <w:rPr>
          <w:lang w:val="en-CA" w:bidi="en-CA"/>
        </w:rPr>
        <w:t>the a</w:t>
      </w:r>
      <w:r w:rsidRPr="008671D1">
        <w:rPr>
          <w:lang w:val="en-CA" w:bidi="en-CA"/>
        </w:rPr>
        <w:t>pproval of a Remediation Agreement, Exhibit 1</w:t>
      </w:r>
      <w:r>
        <w:rPr>
          <w:lang w:val="en-CA" w:bidi="en-CA"/>
        </w:rPr>
        <w:t xml:space="preserve"> at</w:t>
      </w:r>
      <w:r w:rsidRPr="008671D1">
        <w:rPr>
          <w:lang w:val="en-CA" w:bidi="en-CA"/>
        </w:rPr>
        <w:t xml:space="preserve"> paras. 91</w:t>
      </w:r>
      <w:r>
        <w:rPr>
          <w:lang w:val="en-CA" w:bidi="en-CA"/>
        </w:rPr>
        <w:t>–</w:t>
      </w:r>
      <w:r w:rsidRPr="008671D1">
        <w:rPr>
          <w:lang w:val="en-CA" w:bidi="en-CA"/>
        </w:rPr>
        <w:t xml:space="preserve">94. See also, Organizations’ </w:t>
      </w:r>
      <w:r>
        <w:rPr>
          <w:lang w:val="en-CA" w:bidi="en-CA"/>
        </w:rPr>
        <w:t>submissions</w:t>
      </w:r>
      <w:r w:rsidRPr="008671D1">
        <w:rPr>
          <w:lang w:val="en-CA" w:bidi="en-CA"/>
        </w:rPr>
        <w:t xml:space="preserve"> for the approval of a Remediation Agreement, Exhibit 1</w:t>
      </w:r>
      <w:r>
        <w:rPr>
          <w:lang w:val="en-CA" w:bidi="en-CA"/>
        </w:rPr>
        <w:t>, at</w:t>
      </w:r>
      <w:r w:rsidRPr="008671D1">
        <w:rPr>
          <w:lang w:val="en-CA" w:bidi="en-CA"/>
        </w:rPr>
        <w:t xml:space="preserve"> paras. 91</w:t>
      </w:r>
      <w:r>
        <w:rPr>
          <w:lang w:val="en-CA" w:bidi="en-CA"/>
        </w:rPr>
        <w:t>–</w:t>
      </w:r>
      <w:r w:rsidRPr="008671D1">
        <w:rPr>
          <w:lang w:val="en-CA" w:bidi="en-CA"/>
        </w:rPr>
        <w:t>95.</w:t>
      </w:r>
    </w:p>
  </w:footnote>
  <w:footnote w:id="108">
    <w:p w14:paraId="11280827" w14:textId="77777777" w:rsidR="00BA1BFD" w:rsidRPr="008671D1" w:rsidRDefault="00BA1BFD" w:rsidP="00275EC4">
      <w:pPr>
        <w:pStyle w:val="Notedebasdepage"/>
        <w:rPr>
          <w:lang w:val="en-CA"/>
        </w:rPr>
      </w:pPr>
      <w:r w:rsidRPr="008671D1">
        <w:rPr>
          <w:rStyle w:val="Appelnotedebasdep"/>
          <w:lang w:val="en-CA"/>
        </w:rPr>
        <w:footnoteRef/>
      </w:r>
      <w:r w:rsidRPr="008671D1">
        <w:rPr>
          <w:lang w:val="en-CA"/>
        </w:rPr>
        <w:t xml:space="preserve"> </w:t>
      </w:r>
      <w:r w:rsidRPr="008671D1">
        <w:rPr>
          <w:lang w:val="en-CA"/>
        </w:rPr>
        <w:tab/>
      </w:r>
      <w:r>
        <w:rPr>
          <w:lang w:val="en-CA" w:bidi="en-CA"/>
        </w:rPr>
        <w:t>Victim Impact S</w:t>
      </w:r>
      <w:r w:rsidRPr="008671D1">
        <w:rPr>
          <w:lang w:val="en-CA" w:bidi="en-CA"/>
        </w:rPr>
        <w:t>tatement and signed submissions dated April 14, 2022, Exhibit P.</w:t>
      </w:r>
    </w:p>
  </w:footnote>
  <w:footnote w:id="109">
    <w:p w14:paraId="47CD67E1" w14:textId="4DDBA87B" w:rsidR="00BA1BFD" w:rsidRPr="006B7F16" w:rsidRDefault="00BA1BFD" w:rsidP="00275EC4">
      <w:pPr>
        <w:pStyle w:val="Notedebasdepage"/>
      </w:pPr>
      <w:r w:rsidRPr="008671D1">
        <w:rPr>
          <w:rStyle w:val="Appelnotedebasdep"/>
          <w:lang w:val="en-CA"/>
        </w:rPr>
        <w:footnoteRef/>
      </w:r>
      <w:r w:rsidRPr="006B7F16">
        <w:t xml:space="preserve"> </w:t>
      </w:r>
      <w:r w:rsidRPr="006B7F16">
        <w:tab/>
      </w:r>
      <w:r w:rsidRPr="006B7F16">
        <w:rPr>
          <w:i/>
        </w:rPr>
        <w:t>R. v. Dillon</w:t>
      </w:r>
      <w:r w:rsidRPr="006B7F16">
        <w:t>, 2022 SKCA 17</w:t>
      </w:r>
      <w:r>
        <w:t xml:space="preserve"> at</w:t>
      </w:r>
      <w:r w:rsidRPr="006B7F16">
        <w:t xml:space="preserve"> paras. 20–26.</w:t>
      </w:r>
    </w:p>
  </w:footnote>
  <w:footnote w:id="110">
    <w:p w14:paraId="2E1706EB" w14:textId="0C30FFE1" w:rsidR="00BA1BFD" w:rsidRPr="006B7F16" w:rsidRDefault="00BA1BFD" w:rsidP="00275EC4">
      <w:pPr>
        <w:pStyle w:val="Notedebasdepage"/>
      </w:pPr>
      <w:r w:rsidRPr="008671D1">
        <w:rPr>
          <w:rStyle w:val="Appelnotedebasdep"/>
          <w:lang w:val="en-CA"/>
        </w:rPr>
        <w:footnoteRef/>
      </w:r>
      <w:r w:rsidRPr="006B7F16">
        <w:t xml:space="preserve"> </w:t>
      </w:r>
      <w:r w:rsidRPr="006B7F16">
        <w:tab/>
      </w:r>
      <w:r w:rsidRPr="006B7F16">
        <w:rPr>
          <w:i/>
          <w:lang w:bidi="en-CA"/>
        </w:rPr>
        <w:t>R. v.</w:t>
      </w:r>
      <w:r w:rsidRPr="006B7F16">
        <w:rPr>
          <w:lang w:bidi="en-CA"/>
        </w:rPr>
        <w:t xml:space="preserve"> </w:t>
      </w:r>
      <w:r w:rsidRPr="006B7F16">
        <w:rPr>
          <w:i/>
          <w:lang w:bidi="en-CA"/>
        </w:rPr>
        <w:t xml:space="preserve">Zelenski, </w:t>
      </w:r>
      <w:r w:rsidRPr="006B7F16">
        <w:rPr>
          <w:lang w:bidi="en-CA"/>
        </w:rPr>
        <w:t xml:space="preserve">[1978] 2 S.C.R. 940 at 963; </w:t>
      </w:r>
      <w:r w:rsidRPr="006B7F16">
        <w:rPr>
          <w:i/>
          <w:lang w:bidi="en-CA"/>
        </w:rPr>
        <w:t xml:space="preserve">R. </w:t>
      </w:r>
      <w:r>
        <w:rPr>
          <w:i/>
          <w:lang w:bidi="en-CA"/>
        </w:rPr>
        <w:t>c</w:t>
      </w:r>
      <w:r w:rsidRPr="006B7F16">
        <w:rPr>
          <w:i/>
          <w:lang w:bidi="en-CA"/>
        </w:rPr>
        <w:t>.</w:t>
      </w:r>
      <w:r w:rsidRPr="006B7F16">
        <w:rPr>
          <w:lang w:bidi="en-CA"/>
        </w:rPr>
        <w:t xml:space="preserve"> </w:t>
      </w:r>
      <w:r w:rsidRPr="006B7F16">
        <w:rPr>
          <w:i/>
          <w:lang w:bidi="en-CA"/>
        </w:rPr>
        <w:t xml:space="preserve">Simoneau, </w:t>
      </w:r>
      <w:r w:rsidRPr="006B7F16">
        <w:rPr>
          <w:lang w:bidi="en-CA"/>
        </w:rPr>
        <w:t>2017 QCCA 1382</w:t>
      </w:r>
      <w:r>
        <w:rPr>
          <w:lang w:bidi="en-CA"/>
        </w:rPr>
        <w:t xml:space="preserve"> at</w:t>
      </w:r>
      <w:r w:rsidRPr="006B7F16">
        <w:rPr>
          <w:lang w:bidi="en-CA"/>
        </w:rPr>
        <w:t xml:space="preserve"> paras. 35–37.</w:t>
      </w:r>
    </w:p>
  </w:footnote>
  <w:footnote w:id="111">
    <w:p w14:paraId="44713997" w14:textId="759BD719" w:rsidR="00BA1BFD" w:rsidRPr="008671D1" w:rsidRDefault="00BA1BFD" w:rsidP="00275EC4">
      <w:pPr>
        <w:pStyle w:val="Notedebasdepage"/>
        <w:rPr>
          <w:lang w:val="en-CA"/>
        </w:rPr>
      </w:pPr>
      <w:r w:rsidRPr="008671D1">
        <w:rPr>
          <w:rStyle w:val="Appelnotedebasdep"/>
          <w:lang w:val="en-CA"/>
        </w:rPr>
        <w:footnoteRef/>
      </w:r>
      <w:r w:rsidRPr="006B7F16">
        <w:tab/>
      </w:r>
      <w:r w:rsidRPr="006B7F16">
        <w:rPr>
          <w:i/>
        </w:rPr>
        <w:t>Michaud c. R.</w:t>
      </w:r>
      <w:r w:rsidRPr="006B7F16">
        <w:t xml:space="preserve">, 2018 QCCA 1804, </w:t>
      </w:r>
      <w:r w:rsidRPr="006B7F16">
        <w:rPr>
          <w:lang w:bidi="en-CA"/>
        </w:rPr>
        <w:t xml:space="preserve">citing </w:t>
      </w:r>
      <w:r w:rsidRPr="006B7F16">
        <w:rPr>
          <w:i/>
          <w:lang w:bidi="en-CA"/>
        </w:rPr>
        <w:t>Directeur des poursuites criminelles et pénales</w:t>
      </w:r>
      <w:r w:rsidRPr="006B7F16">
        <w:rPr>
          <w:lang w:bidi="en-CA"/>
        </w:rPr>
        <w:t xml:space="preserve"> </w:t>
      </w:r>
      <w:r w:rsidRPr="006B7F16">
        <w:rPr>
          <w:i/>
          <w:lang w:bidi="en-CA"/>
        </w:rPr>
        <w:t>c.</w:t>
      </w:r>
      <w:r w:rsidRPr="006B7F16">
        <w:rPr>
          <w:lang w:bidi="en-CA"/>
        </w:rPr>
        <w:t xml:space="preserve"> </w:t>
      </w:r>
      <w:r w:rsidRPr="006B7F16">
        <w:rPr>
          <w:i/>
          <w:lang w:bidi="en-CA"/>
        </w:rPr>
        <w:t xml:space="preserve">Michaud, </w:t>
      </w:r>
      <w:r w:rsidRPr="006B7F16">
        <w:rPr>
          <w:lang w:bidi="en-CA"/>
        </w:rPr>
        <w:t xml:space="preserve">2015 QCCQ 7768 (appeals on guilt and sentence dismissed, 2018 QCCA 1802 and 2018 QCCA 1804; leave to appeal refused, SCC, 2-05-2019, no. 38497) at para. </w:t>
      </w:r>
      <w:r w:rsidRPr="008671D1">
        <w:rPr>
          <w:lang w:val="en-CA" w:bidi="en-CA"/>
        </w:rPr>
        <w:t>378.</w:t>
      </w:r>
    </w:p>
  </w:footnote>
  <w:footnote w:id="112">
    <w:p w14:paraId="46BB35FD" w14:textId="7697BE8F" w:rsidR="00BA1BFD" w:rsidRPr="008671D1" w:rsidRDefault="00BA1BFD" w:rsidP="00275EC4">
      <w:pPr>
        <w:pStyle w:val="Notedebasdepage"/>
        <w:rPr>
          <w:lang w:val="en-CA"/>
        </w:rPr>
      </w:pPr>
      <w:r w:rsidRPr="008671D1">
        <w:rPr>
          <w:rStyle w:val="Appelnotedebasdep"/>
          <w:lang w:val="en-CA"/>
        </w:rPr>
        <w:footnoteRef/>
      </w:r>
      <w:r w:rsidRPr="008671D1">
        <w:rPr>
          <w:lang w:val="en-CA" w:bidi="en-CA"/>
        </w:rPr>
        <w:tab/>
        <w:t xml:space="preserve">Prosecutor’s </w:t>
      </w:r>
      <w:r>
        <w:rPr>
          <w:lang w:val="en-CA" w:bidi="en-CA"/>
        </w:rPr>
        <w:t>submissions</w:t>
      </w:r>
      <w:r w:rsidRPr="008671D1">
        <w:rPr>
          <w:lang w:val="en-CA" w:bidi="en-CA"/>
        </w:rPr>
        <w:t xml:space="preserve"> for the approval of a remediation agreement dated March 22, 2022, Exhibit</w:t>
      </w:r>
      <w:r>
        <w:rPr>
          <w:lang w:val="en-CA" w:bidi="en-CA"/>
        </w:rPr>
        <w:t> </w:t>
      </w:r>
      <w:r w:rsidRPr="008671D1">
        <w:rPr>
          <w:lang w:val="en-CA" w:bidi="en-CA"/>
        </w:rPr>
        <w:t>D</w:t>
      </w:r>
      <w:r>
        <w:rPr>
          <w:lang w:val="en-CA" w:bidi="en-CA"/>
        </w:rPr>
        <w:t xml:space="preserve"> at</w:t>
      </w:r>
      <w:r w:rsidRPr="008671D1">
        <w:rPr>
          <w:lang w:val="en-CA" w:bidi="en-CA"/>
        </w:rPr>
        <w:t xml:space="preserve"> para. 176.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047A4" w14:textId="77777777" w:rsidR="00BA1BFD" w:rsidRDefault="00BA1BFD">
    <w:pPr>
      <w:pStyle w:val="En-tte"/>
    </w:pPr>
  </w:p>
  <w:p w14:paraId="72B93112" w14:textId="77777777" w:rsidR="00BA1BFD" w:rsidRDefault="00BA1BFD"/>
  <w:p w14:paraId="459C7F38" w14:textId="77777777" w:rsidR="00BA1BFD" w:rsidRDefault="00BA1BF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939D3" w14:textId="376F4874" w:rsidR="00BA1BFD" w:rsidRDefault="00BA1BFD" w:rsidP="00563ADC">
    <w:pPr>
      <w:tabs>
        <w:tab w:val="center" w:pos="4709"/>
        <w:tab w:val="right" w:pos="9360"/>
      </w:tabs>
      <w:ind w:right="524"/>
    </w:pPr>
    <w:r>
      <w:t>500-36-010199-225</w:t>
    </w:r>
    <w:r>
      <w:tab/>
    </w:r>
    <w:r>
      <w:tab/>
      <w:t xml:space="preserve">PAGE: </w:t>
    </w:r>
    <w:r>
      <w:fldChar w:fldCharType="begin"/>
    </w:r>
    <w:r>
      <w:instrText xml:space="preserve"> PAGE </w:instrText>
    </w:r>
    <w:r>
      <w:fldChar w:fldCharType="separate"/>
    </w:r>
    <w:r w:rsidR="00E34ACB">
      <w:rPr>
        <w:noProof/>
      </w:rPr>
      <w:t>2</w:t>
    </w:r>
    <w:r>
      <w:fldChar w:fldCharType="end"/>
    </w:r>
  </w:p>
  <w:p w14:paraId="22D00E03" w14:textId="77777777" w:rsidR="00BA1BFD" w:rsidRDefault="00BA1BF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137F" w14:textId="77777777" w:rsidR="00BA1BFD" w:rsidRDefault="00BA1BF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92321" w14:textId="77777777" w:rsidR="00BA1BFD" w:rsidRDefault="00BA1BFD">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03412" w14:textId="77777777" w:rsidR="00BA1BFD" w:rsidRDefault="00BA1B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429BC2"/>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7E0E3EAE"/>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6AC4604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24843764"/>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474449F6"/>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1EEF56"/>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366554"/>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18A7A4"/>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DAAC7F8E"/>
    <w:lvl w:ilvl="0">
      <w:start w:val="1"/>
      <w:numFmt w:val="bullet"/>
      <w:pStyle w:val="Listepuces"/>
      <w:lvlText w:val=""/>
      <w:lvlJc w:val="left"/>
      <w:pPr>
        <w:tabs>
          <w:tab w:val="num" w:pos="360"/>
        </w:tabs>
        <w:ind w:left="360" w:hanging="360"/>
      </w:pPr>
      <w:rPr>
        <w:rFonts w:ascii="Symbol" w:hAnsi="Symbol" w:hint="default"/>
      </w:rPr>
    </w:lvl>
  </w:abstractNum>
  <w:abstractNum w:abstractNumId="9" w15:restartNumberingAfterBreak="0">
    <w:nsid w:val="0CF430E2"/>
    <w:multiLevelType w:val="hybridMultilevel"/>
    <w:tmpl w:val="39B68114"/>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0" w15:restartNumberingAfterBreak="0">
    <w:nsid w:val="11F77296"/>
    <w:multiLevelType w:val="hybridMultilevel"/>
    <w:tmpl w:val="6E2CF04C"/>
    <w:name w:val="_Simple-410035616-F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5882CFF"/>
    <w:multiLevelType w:val="hybridMultilevel"/>
    <w:tmpl w:val="DF94C27A"/>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2" w15:restartNumberingAfterBreak="0">
    <w:nsid w:val="180B0369"/>
    <w:multiLevelType w:val="hybridMultilevel"/>
    <w:tmpl w:val="180E2082"/>
    <w:lvl w:ilvl="0" w:tplc="0C0C0017">
      <w:start w:val="1"/>
      <w:numFmt w:val="lowerLetter"/>
      <w:lvlText w:val="%1)"/>
      <w:lvlJc w:val="left"/>
      <w:pPr>
        <w:ind w:left="1428" w:hanging="720"/>
      </w:pPr>
    </w:lvl>
    <w:lvl w:ilvl="1" w:tplc="0C0C0019">
      <w:start w:val="1"/>
      <w:numFmt w:val="lowerLetter"/>
      <w:lvlText w:val="%2."/>
      <w:lvlJc w:val="left"/>
      <w:pPr>
        <w:ind w:left="1788" w:hanging="360"/>
      </w:pPr>
    </w:lvl>
    <w:lvl w:ilvl="2" w:tplc="0C0C001B">
      <w:start w:val="1"/>
      <w:numFmt w:val="lowerRoman"/>
      <w:lvlText w:val="%3."/>
      <w:lvlJc w:val="right"/>
      <w:pPr>
        <w:ind w:left="2508" w:hanging="180"/>
      </w:pPr>
    </w:lvl>
    <w:lvl w:ilvl="3" w:tplc="0C0C000F">
      <w:start w:val="1"/>
      <w:numFmt w:val="decimal"/>
      <w:lvlText w:val="%4."/>
      <w:lvlJc w:val="left"/>
      <w:pPr>
        <w:ind w:left="3228" w:hanging="360"/>
      </w:pPr>
    </w:lvl>
    <w:lvl w:ilvl="4" w:tplc="0C0C0019">
      <w:start w:val="1"/>
      <w:numFmt w:val="lowerLetter"/>
      <w:lvlText w:val="%5."/>
      <w:lvlJc w:val="left"/>
      <w:pPr>
        <w:ind w:left="3948" w:hanging="360"/>
      </w:pPr>
    </w:lvl>
    <w:lvl w:ilvl="5" w:tplc="0C0C001B">
      <w:start w:val="1"/>
      <w:numFmt w:val="lowerRoman"/>
      <w:lvlText w:val="%6."/>
      <w:lvlJc w:val="right"/>
      <w:pPr>
        <w:ind w:left="4668" w:hanging="180"/>
      </w:pPr>
    </w:lvl>
    <w:lvl w:ilvl="6" w:tplc="0C0C000F">
      <w:start w:val="1"/>
      <w:numFmt w:val="decimal"/>
      <w:lvlText w:val="%7."/>
      <w:lvlJc w:val="left"/>
      <w:pPr>
        <w:ind w:left="5388" w:hanging="360"/>
      </w:pPr>
    </w:lvl>
    <w:lvl w:ilvl="7" w:tplc="0C0C0019">
      <w:start w:val="1"/>
      <w:numFmt w:val="lowerLetter"/>
      <w:lvlText w:val="%8."/>
      <w:lvlJc w:val="left"/>
      <w:pPr>
        <w:ind w:left="6108" w:hanging="360"/>
      </w:pPr>
    </w:lvl>
    <w:lvl w:ilvl="8" w:tplc="0C0C001B">
      <w:start w:val="1"/>
      <w:numFmt w:val="lowerRoman"/>
      <w:lvlText w:val="%9."/>
      <w:lvlJc w:val="right"/>
      <w:pPr>
        <w:ind w:left="6828" w:hanging="180"/>
      </w:pPr>
    </w:lvl>
  </w:abstractNum>
  <w:abstractNum w:abstractNumId="13" w15:restartNumberingAfterBreak="0">
    <w:nsid w:val="18151C3B"/>
    <w:multiLevelType w:val="hybridMultilevel"/>
    <w:tmpl w:val="530C5910"/>
    <w:lvl w:ilvl="0" w:tplc="122A2828">
      <w:start w:val="1"/>
      <w:numFmt w:val="lowerLetter"/>
      <w:lvlText w:val="(%1)"/>
      <w:lvlJc w:val="left"/>
      <w:pPr>
        <w:ind w:left="1645" w:hanging="360"/>
      </w:pPr>
      <w:rPr>
        <w:rFonts w:hint="default"/>
        <w:b w:val="0"/>
        <w:bCs w:val="0"/>
        <w:i w:val="0"/>
        <w:iCs w:val="0"/>
        <w:color w:val="161616"/>
        <w:spacing w:val="0"/>
        <w:w w:val="100"/>
        <w:sz w:val="22"/>
        <w:szCs w:val="22"/>
      </w:rPr>
    </w:lvl>
    <w:lvl w:ilvl="1" w:tplc="31527874">
      <w:numFmt w:val="bullet"/>
      <w:lvlText w:val="•"/>
      <w:lvlJc w:val="left"/>
      <w:pPr>
        <w:ind w:left="2464" w:hanging="360"/>
      </w:pPr>
      <w:rPr>
        <w:rFonts w:hint="default"/>
      </w:rPr>
    </w:lvl>
    <w:lvl w:ilvl="2" w:tplc="765E9488">
      <w:numFmt w:val="bullet"/>
      <w:lvlText w:val="•"/>
      <w:lvlJc w:val="left"/>
      <w:pPr>
        <w:ind w:left="3288" w:hanging="360"/>
      </w:pPr>
      <w:rPr>
        <w:rFonts w:hint="default"/>
      </w:rPr>
    </w:lvl>
    <w:lvl w:ilvl="3" w:tplc="99E0AAB0">
      <w:numFmt w:val="bullet"/>
      <w:lvlText w:val="•"/>
      <w:lvlJc w:val="left"/>
      <w:pPr>
        <w:ind w:left="4112" w:hanging="360"/>
      </w:pPr>
      <w:rPr>
        <w:rFonts w:hint="default"/>
      </w:rPr>
    </w:lvl>
    <w:lvl w:ilvl="4" w:tplc="AD062FBC">
      <w:numFmt w:val="bullet"/>
      <w:lvlText w:val="•"/>
      <w:lvlJc w:val="left"/>
      <w:pPr>
        <w:ind w:left="4936" w:hanging="360"/>
      </w:pPr>
      <w:rPr>
        <w:rFonts w:hint="default"/>
      </w:rPr>
    </w:lvl>
    <w:lvl w:ilvl="5" w:tplc="9F449EB8">
      <w:numFmt w:val="bullet"/>
      <w:lvlText w:val="•"/>
      <w:lvlJc w:val="left"/>
      <w:pPr>
        <w:ind w:left="5760" w:hanging="360"/>
      </w:pPr>
      <w:rPr>
        <w:rFonts w:hint="default"/>
      </w:rPr>
    </w:lvl>
    <w:lvl w:ilvl="6" w:tplc="68645E34">
      <w:numFmt w:val="bullet"/>
      <w:lvlText w:val="•"/>
      <w:lvlJc w:val="left"/>
      <w:pPr>
        <w:ind w:left="6584" w:hanging="360"/>
      </w:pPr>
      <w:rPr>
        <w:rFonts w:hint="default"/>
      </w:rPr>
    </w:lvl>
    <w:lvl w:ilvl="7" w:tplc="86DE76FC">
      <w:numFmt w:val="bullet"/>
      <w:lvlText w:val="•"/>
      <w:lvlJc w:val="left"/>
      <w:pPr>
        <w:ind w:left="7408" w:hanging="360"/>
      </w:pPr>
      <w:rPr>
        <w:rFonts w:hint="default"/>
      </w:rPr>
    </w:lvl>
    <w:lvl w:ilvl="8" w:tplc="3C66A976">
      <w:numFmt w:val="bullet"/>
      <w:lvlText w:val="•"/>
      <w:lvlJc w:val="left"/>
      <w:pPr>
        <w:ind w:left="8232" w:hanging="360"/>
      </w:pPr>
      <w:rPr>
        <w:rFonts w:hint="default"/>
      </w:rPr>
    </w:lvl>
  </w:abstractNum>
  <w:abstractNum w:abstractNumId="14" w15:restartNumberingAfterBreak="0">
    <w:nsid w:val="18647ABA"/>
    <w:multiLevelType w:val="hybridMultilevel"/>
    <w:tmpl w:val="D4E60EDE"/>
    <w:lvl w:ilvl="0" w:tplc="AB043546">
      <w:start w:val="5"/>
      <w:numFmt w:val="decimal"/>
      <w:lvlText w:val="(%1)"/>
      <w:lvlJc w:val="left"/>
      <w:pPr>
        <w:ind w:left="972" w:hanging="336"/>
      </w:pPr>
      <w:rPr>
        <w:rFonts w:ascii="Arial" w:eastAsia="Arial" w:hAnsi="Arial" w:cs="Arial" w:hint="default"/>
        <w:b/>
        <w:bCs w:val="0"/>
        <w:i w:val="0"/>
        <w:iCs w:val="0"/>
        <w:color w:val="181816"/>
        <w:spacing w:val="-1"/>
        <w:w w:val="106"/>
        <w:sz w:val="21"/>
        <w:szCs w:val="21"/>
      </w:rPr>
    </w:lvl>
    <w:lvl w:ilvl="1" w:tplc="E25473DE">
      <w:numFmt w:val="bullet"/>
      <w:lvlText w:val="•"/>
      <w:lvlJc w:val="left"/>
      <w:pPr>
        <w:ind w:left="1870" w:hanging="336"/>
      </w:pPr>
      <w:rPr>
        <w:rFonts w:hint="default"/>
      </w:rPr>
    </w:lvl>
    <w:lvl w:ilvl="2" w:tplc="6D1E8D24">
      <w:numFmt w:val="bullet"/>
      <w:lvlText w:val="•"/>
      <w:lvlJc w:val="left"/>
      <w:pPr>
        <w:ind w:left="2760" w:hanging="336"/>
      </w:pPr>
      <w:rPr>
        <w:rFonts w:hint="default"/>
      </w:rPr>
    </w:lvl>
    <w:lvl w:ilvl="3" w:tplc="42D6688A">
      <w:numFmt w:val="bullet"/>
      <w:lvlText w:val="•"/>
      <w:lvlJc w:val="left"/>
      <w:pPr>
        <w:ind w:left="3650" w:hanging="336"/>
      </w:pPr>
      <w:rPr>
        <w:rFonts w:hint="default"/>
      </w:rPr>
    </w:lvl>
    <w:lvl w:ilvl="4" w:tplc="E55C84C0">
      <w:numFmt w:val="bullet"/>
      <w:lvlText w:val="•"/>
      <w:lvlJc w:val="left"/>
      <w:pPr>
        <w:ind w:left="4540" w:hanging="336"/>
      </w:pPr>
      <w:rPr>
        <w:rFonts w:hint="default"/>
      </w:rPr>
    </w:lvl>
    <w:lvl w:ilvl="5" w:tplc="3BD482E8">
      <w:numFmt w:val="bullet"/>
      <w:lvlText w:val="•"/>
      <w:lvlJc w:val="left"/>
      <w:pPr>
        <w:ind w:left="5430" w:hanging="336"/>
      </w:pPr>
      <w:rPr>
        <w:rFonts w:hint="default"/>
      </w:rPr>
    </w:lvl>
    <w:lvl w:ilvl="6" w:tplc="9454DD0C">
      <w:numFmt w:val="bullet"/>
      <w:lvlText w:val="•"/>
      <w:lvlJc w:val="left"/>
      <w:pPr>
        <w:ind w:left="6320" w:hanging="336"/>
      </w:pPr>
      <w:rPr>
        <w:rFonts w:hint="default"/>
      </w:rPr>
    </w:lvl>
    <w:lvl w:ilvl="7" w:tplc="A7224732">
      <w:numFmt w:val="bullet"/>
      <w:lvlText w:val="•"/>
      <w:lvlJc w:val="left"/>
      <w:pPr>
        <w:ind w:left="7210" w:hanging="336"/>
      </w:pPr>
      <w:rPr>
        <w:rFonts w:hint="default"/>
      </w:rPr>
    </w:lvl>
    <w:lvl w:ilvl="8" w:tplc="CEAE67F4">
      <w:numFmt w:val="bullet"/>
      <w:lvlText w:val="•"/>
      <w:lvlJc w:val="left"/>
      <w:pPr>
        <w:ind w:left="8100" w:hanging="336"/>
      </w:pPr>
      <w:rPr>
        <w:rFonts w:hint="default"/>
      </w:rPr>
    </w:lvl>
  </w:abstractNum>
  <w:abstractNum w:abstractNumId="15" w15:restartNumberingAfterBreak="0">
    <w:nsid w:val="1F5E0E7D"/>
    <w:multiLevelType w:val="hybridMultilevel"/>
    <w:tmpl w:val="0A10559C"/>
    <w:name w:val="_Simple-410035616-F3222"/>
    <w:lvl w:ilvl="0" w:tplc="BFB2A616">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25DE5FB6"/>
    <w:multiLevelType w:val="hybridMultilevel"/>
    <w:tmpl w:val="0448811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7" w15:restartNumberingAfterBreak="0">
    <w:nsid w:val="28E17F79"/>
    <w:multiLevelType w:val="hybridMultilevel"/>
    <w:tmpl w:val="EBB2BDA6"/>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8" w15:restartNumberingAfterBreak="0">
    <w:nsid w:val="2B52205C"/>
    <w:multiLevelType w:val="hybridMultilevel"/>
    <w:tmpl w:val="9A10BE5E"/>
    <w:lvl w:ilvl="0" w:tplc="C660CA4C">
      <w:start w:val="1"/>
      <w:numFmt w:val="lowerLetter"/>
      <w:lvlText w:val="%1)"/>
      <w:lvlJc w:val="left"/>
      <w:pPr>
        <w:ind w:left="720" w:hanging="360"/>
      </w:pPr>
      <w:rPr>
        <w:rFonts w:ascii="Arial" w:hAnsi="Arial" w:cs="Arial"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9" w15:restartNumberingAfterBreak="0">
    <w:nsid w:val="2B9833F7"/>
    <w:multiLevelType w:val="hybridMultilevel"/>
    <w:tmpl w:val="40FED2C4"/>
    <w:lvl w:ilvl="0" w:tplc="5C72E7E0">
      <w:start w:val="1"/>
      <w:numFmt w:val="upperRoman"/>
      <w:lvlText w:val="%1."/>
      <w:lvlJc w:val="left"/>
      <w:pPr>
        <w:ind w:left="1080" w:hanging="72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0" w15:restartNumberingAfterBreak="0">
    <w:nsid w:val="2D066981"/>
    <w:multiLevelType w:val="hybridMultilevel"/>
    <w:tmpl w:val="7F1E3906"/>
    <w:lvl w:ilvl="0" w:tplc="F6EEA86E">
      <w:start w:val="1"/>
      <w:numFmt w:val="lowerLetter"/>
      <w:pStyle w:val="Titre4"/>
      <w:lvlText w:val="(%1)"/>
      <w:lvlJc w:val="left"/>
      <w:pPr>
        <w:ind w:left="720" w:hanging="360"/>
      </w:pPr>
      <w:rPr>
        <w:rFonts w:hint="default"/>
        <w:b/>
        <w:i/>
        <w:spacing w:val="-1"/>
        <w:w w:val="10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D5C6865"/>
    <w:multiLevelType w:val="hybridMultilevel"/>
    <w:tmpl w:val="0A10559C"/>
    <w:lvl w:ilvl="0" w:tplc="BFB2A616">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334A4EAB"/>
    <w:multiLevelType w:val="hybridMultilevel"/>
    <w:tmpl w:val="0A00E89A"/>
    <w:name w:val="Unknown A-44714369A-X"/>
    <w:lvl w:ilvl="0" w:tplc="D7427830">
      <w:start w:val="1"/>
      <w:numFmt w:val="decimal"/>
      <w:lvlText w:val="[%1]"/>
      <w:lvlJc w:val="left"/>
      <w:pPr>
        <w:ind w:left="0" w:firstLine="0"/>
      </w:pPr>
      <w:rPr>
        <w:rFonts w:hint="default"/>
        <w:b w:val="0"/>
        <w:spacing w:val="-1"/>
        <w:w w:val="104"/>
      </w:rPr>
    </w:lvl>
    <w:lvl w:ilvl="1" w:tplc="2F26203C">
      <w:start w:val="1"/>
      <w:numFmt w:val="lowerRoman"/>
      <w:lvlText w:val="%2."/>
      <w:lvlJc w:val="right"/>
      <w:pPr>
        <w:ind w:left="1789" w:hanging="360"/>
      </w:pPr>
      <w:rPr>
        <w:rFonts w:hint="default"/>
      </w:r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3" w15:restartNumberingAfterBreak="0">
    <w:nsid w:val="38635B32"/>
    <w:multiLevelType w:val="hybridMultilevel"/>
    <w:tmpl w:val="8EBC2C7E"/>
    <w:lvl w:ilvl="0" w:tplc="3A7C1B18">
      <w:start w:val="2"/>
      <w:numFmt w:val="lowerLetter"/>
      <w:lvlText w:val="%1)"/>
      <w:lvlJc w:val="left"/>
      <w:pPr>
        <w:ind w:left="912" w:hanging="359"/>
      </w:pPr>
      <w:rPr>
        <w:rFonts w:hint="default"/>
        <w:spacing w:val="-1"/>
        <w:w w:val="105"/>
      </w:rPr>
    </w:lvl>
    <w:lvl w:ilvl="1" w:tplc="E8A6BF44">
      <w:start w:val="1"/>
      <w:numFmt w:val="lowerRoman"/>
      <w:lvlText w:val="(%2)"/>
      <w:lvlJc w:val="left"/>
      <w:pPr>
        <w:ind w:left="911" w:hanging="280"/>
      </w:pPr>
      <w:rPr>
        <w:rFonts w:ascii="Arial" w:eastAsia="Arial" w:hAnsi="Arial" w:cs="Arial" w:hint="default"/>
        <w:b w:val="0"/>
        <w:bCs w:val="0"/>
        <w:i/>
        <w:iCs/>
        <w:color w:val="161816"/>
        <w:spacing w:val="-1"/>
        <w:w w:val="104"/>
        <w:sz w:val="23"/>
        <w:szCs w:val="23"/>
      </w:rPr>
    </w:lvl>
    <w:lvl w:ilvl="2" w:tplc="27D6C7D4">
      <w:numFmt w:val="bullet"/>
      <w:lvlText w:val="•"/>
      <w:lvlJc w:val="left"/>
      <w:pPr>
        <w:ind w:left="2712" w:hanging="280"/>
      </w:pPr>
      <w:rPr>
        <w:rFonts w:hint="default"/>
      </w:rPr>
    </w:lvl>
    <w:lvl w:ilvl="3" w:tplc="C2803020">
      <w:numFmt w:val="bullet"/>
      <w:lvlText w:val="•"/>
      <w:lvlJc w:val="left"/>
      <w:pPr>
        <w:ind w:left="3608" w:hanging="280"/>
      </w:pPr>
      <w:rPr>
        <w:rFonts w:hint="default"/>
      </w:rPr>
    </w:lvl>
    <w:lvl w:ilvl="4" w:tplc="BB2C35E0">
      <w:numFmt w:val="bullet"/>
      <w:lvlText w:val="•"/>
      <w:lvlJc w:val="left"/>
      <w:pPr>
        <w:ind w:left="4504" w:hanging="280"/>
      </w:pPr>
      <w:rPr>
        <w:rFonts w:hint="default"/>
      </w:rPr>
    </w:lvl>
    <w:lvl w:ilvl="5" w:tplc="208AB0F4">
      <w:numFmt w:val="bullet"/>
      <w:lvlText w:val="•"/>
      <w:lvlJc w:val="left"/>
      <w:pPr>
        <w:ind w:left="5400" w:hanging="280"/>
      </w:pPr>
      <w:rPr>
        <w:rFonts w:hint="default"/>
      </w:rPr>
    </w:lvl>
    <w:lvl w:ilvl="6" w:tplc="F370BACA">
      <w:numFmt w:val="bullet"/>
      <w:lvlText w:val="•"/>
      <w:lvlJc w:val="left"/>
      <w:pPr>
        <w:ind w:left="6296" w:hanging="280"/>
      </w:pPr>
      <w:rPr>
        <w:rFonts w:hint="default"/>
      </w:rPr>
    </w:lvl>
    <w:lvl w:ilvl="7" w:tplc="91AE3086">
      <w:numFmt w:val="bullet"/>
      <w:lvlText w:val="•"/>
      <w:lvlJc w:val="left"/>
      <w:pPr>
        <w:ind w:left="7192" w:hanging="280"/>
      </w:pPr>
      <w:rPr>
        <w:rFonts w:hint="default"/>
      </w:rPr>
    </w:lvl>
    <w:lvl w:ilvl="8" w:tplc="CCEE448E">
      <w:numFmt w:val="bullet"/>
      <w:lvlText w:val="•"/>
      <w:lvlJc w:val="left"/>
      <w:pPr>
        <w:ind w:left="8088" w:hanging="280"/>
      </w:pPr>
      <w:rPr>
        <w:rFonts w:hint="default"/>
      </w:rPr>
    </w:lvl>
  </w:abstractNum>
  <w:abstractNum w:abstractNumId="24" w15:restartNumberingAfterBreak="0">
    <w:nsid w:val="3C7F09A6"/>
    <w:multiLevelType w:val="hybridMultilevel"/>
    <w:tmpl w:val="C6901A2A"/>
    <w:lvl w:ilvl="0" w:tplc="1CC40694">
      <w:start w:val="1"/>
      <w:numFmt w:val="lowerLetter"/>
      <w:lvlText w:val="(%1)"/>
      <w:lvlJc w:val="left"/>
      <w:pPr>
        <w:ind w:left="1301" w:hanging="336"/>
      </w:pPr>
      <w:rPr>
        <w:rFonts w:ascii="Arial" w:eastAsia="Arial" w:hAnsi="Arial" w:cs="Arial" w:hint="default"/>
        <w:b/>
        <w:bCs/>
        <w:i w:val="0"/>
        <w:iCs w:val="0"/>
        <w:color w:val="181818"/>
        <w:spacing w:val="-1"/>
        <w:w w:val="108"/>
        <w:sz w:val="21"/>
        <w:szCs w:val="21"/>
      </w:rPr>
    </w:lvl>
    <w:lvl w:ilvl="1" w:tplc="A74A5FF6">
      <w:numFmt w:val="bullet"/>
      <w:lvlText w:val="•"/>
      <w:lvlJc w:val="left"/>
      <w:pPr>
        <w:ind w:left="2158" w:hanging="336"/>
      </w:pPr>
      <w:rPr>
        <w:rFonts w:hint="default"/>
      </w:rPr>
    </w:lvl>
    <w:lvl w:ilvl="2" w:tplc="FD9E3E78">
      <w:numFmt w:val="bullet"/>
      <w:lvlText w:val="•"/>
      <w:lvlJc w:val="left"/>
      <w:pPr>
        <w:ind w:left="3016" w:hanging="336"/>
      </w:pPr>
      <w:rPr>
        <w:rFonts w:hint="default"/>
      </w:rPr>
    </w:lvl>
    <w:lvl w:ilvl="3" w:tplc="F9805184">
      <w:numFmt w:val="bullet"/>
      <w:lvlText w:val="•"/>
      <w:lvlJc w:val="left"/>
      <w:pPr>
        <w:ind w:left="3874" w:hanging="336"/>
      </w:pPr>
      <w:rPr>
        <w:rFonts w:hint="default"/>
      </w:rPr>
    </w:lvl>
    <w:lvl w:ilvl="4" w:tplc="999A100A">
      <w:numFmt w:val="bullet"/>
      <w:lvlText w:val="•"/>
      <w:lvlJc w:val="left"/>
      <w:pPr>
        <w:ind w:left="4732" w:hanging="336"/>
      </w:pPr>
      <w:rPr>
        <w:rFonts w:hint="default"/>
      </w:rPr>
    </w:lvl>
    <w:lvl w:ilvl="5" w:tplc="AE708998">
      <w:numFmt w:val="bullet"/>
      <w:lvlText w:val="•"/>
      <w:lvlJc w:val="left"/>
      <w:pPr>
        <w:ind w:left="5590" w:hanging="336"/>
      </w:pPr>
      <w:rPr>
        <w:rFonts w:hint="default"/>
      </w:rPr>
    </w:lvl>
    <w:lvl w:ilvl="6" w:tplc="36E20D3A">
      <w:numFmt w:val="bullet"/>
      <w:lvlText w:val="•"/>
      <w:lvlJc w:val="left"/>
      <w:pPr>
        <w:ind w:left="6448" w:hanging="336"/>
      </w:pPr>
      <w:rPr>
        <w:rFonts w:hint="default"/>
      </w:rPr>
    </w:lvl>
    <w:lvl w:ilvl="7" w:tplc="D706A52C">
      <w:numFmt w:val="bullet"/>
      <w:lvlText w:val="•"/>
      <w:lvlJc w:val="left"/>
      <w:pPr>
        <w:ind w:left="7306" w:hanging="336"/>
      </w:pPr>
      <w:rPr>
        <w:rFonts w:hint="default"/>
      </w:rPr>
    </w:lvl>
    <w:lvl w:ilvl="8" w:tplc="F31279EC">
      <w:numFmt w:val="bullet"/>
      <w:lvlText w:val="•"/>
      <w:lvlJc w:val="left"/>
      <w:pPr>
        <w:ind w:left="8164" w:hanging="336"/>
      </w:pPr>
      <w:rPr>
        <w:rFonts w:hint="default"/>
      </w:rPr>
    </w:lvl>
  </w:abstractNum>
  <w:abstractNum w:abstractNumId="25" w15:restartNumberingAfterBreak="0">
    <w:nsid w:val="44D01B5B"/>
    <w:multiLevelType w:val="hybridMultilevel"/>
    <w:tmpl w:val="0A10559C"/>
    <w:lvl w:ilvl="0" w:tplc="BFB2A616">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47501A8D"/>
    <w:multiLevelType w:val="hybridMultilevel"/>
    <w:tmpl w:val="B4ACB182"/>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7" w15:restartNumberingAfterBreak="0">
    <w:nsid w:val="4773395A"/>
    <w:multiLevelType w:val="hybridMultilevel"/>
    <w:tmpl w:val="33CA4BF4"/>
    <w:lvl w:ilvl="0" w:tplc="21E2333E">
      <w:start w:val="1"/>
      <w:numFmt w:val="lowerRoman"/>
      <w:lvlText w:val="(%1)"/>
      <w:lvlJc w:val="left"/>
      <w:pPr>
        <w:ind w:left="955" w:hanging="186"/>
      </w:pPr>
      <w:rPr>
        <w:rFonts w:ascii="Arial" w:eastAsia="Arial" w:hAnsi="Arial" w:cs="Arial" w:hint="default"/>
        <w:b w:val="0"/>
        <w:bCs w:val="0"/>
        <w:i w:val="0"/>
        <w:iCs w:val="0"/>
        <w:color w:val="161616"/>
        <w:spacing w:val="-1"/>
        <w:w w:val="95"/>
        <w:sz w:val="23"/>
        <w:szCs w:val="23"/>
      </w:rPr>
    </w:lvl>
    <w:lvl w:ilvl="1" w:tplc="A7F01476">
      <w:numFmt w:val="bullet"/>
      <w:lvlText w:val="•"/>
      <w:lvlJc w:val="left"/>
      <w:pPr>
        <w:ind w:left="1852" w:hanging="186"/>
      </w:pPr>
      <w:rPr>
        <w:rFonts w:hint="default"/>
      </w:rPr>
    </w:lvl>
    <w:lvl w:ilvl="2" w:tplc="43486CBC">
      <w:numFmt w:val="bullet"/>
      <w:lvlText w:val="•"/>
      <w:lvlJc w:val="left"/>
      <w:pPr>
        <w:ind w:left="2744" w:hanging="186"/>
      </w:pPr>
      <w:rPr>
        <w:rFonts w:hint="default"/>
      </w:rPr>
    </w:lvl>
    <w:lvl w:ilvl="3" w:tplc="E960C74C">
      <w:numFmt w:val="bullet"/>
      <w:lvlText w:val="•"/>
      <w:lvlJc w:val="left"/>
      <w:pPr>
        <w:ind w:left="3636" w:hanging="186"/>
      </w:pPr>
      <w:rPr>
        <w:rFonts w:hint="default"/>
      </w:rPr>
    </w:lvl>
    <w:lvl w:ilvl="4" w:tplc="29807938">
      <w:numFmt w:val="bullet"/>
      <w:lvlText w:val="•"/>
      <w:lvlJc w:val="left"/>
      <w:pPr>
        <w:ind w:left="4528" w:hanging="186"/>
      </w:pPr>
      <w:rPr>
        <w:rFonts w:hint="default"/>
      </w:rPr>
    </w:lvl>
    <w:lvl w:ilvl="5" w:tplc="C186E7E0">
      <w:numFmt w:val="bullet"/>
      <w:lvlText w:val="•"/>
      <w:lvlJc w:val="left"/>
      <w:pPr>
        <w:ind w:left="5420" w:hanging="186"/>
      </w:pPr>
      <w:rPr>
        <w:rFonts w:hint="default"/>
      </w:rPr>
    </w:lvl>
    <w:lvl w:ilvl="6" w:tplc="1A2445B0">
      <w:numFmt w:val="bullet"/>
      <w:lvlText w:val="•"/>
      <w:lvlJc w:val="left"/>
      <w:pPr>
        <w:ind w:left="6312" w:hanging="186"/>
      </w:pPr>
      <w:rPr>
        <w:rFonts w:hint="default"/>
      </w:rPr>
    </w:lvl>
    <w:lvl w:ilvl="7" w:tplc="FC329294">
      <w:numFmt w:val="bullet"/>
      <w:lvlText w:val="•"/>
      <w:lvlJc w:val="left"/>
      <w:pPr>
        <w:ind w:left="7204" w:hanging="186"/>
      </w:pPr>
      <w:rPr>
        <w:rFonts w:hint="default"/>
      </w:rPr>
    </w:lvl>
    <w:lvl w:ilvl="8" w:tplc="E3CA48B0">
      <w:numFmt w:val="bullet"/>
      <w:lvlText w:val="•"/>
      <w:lvlJc w:val="left"/>
      <w:pPr>
        <w:ind w:left="8096" w:hanging="186"/>
      </w:pPr>
      <w:rPr>
        <w:rFonts w:hint="default"/>
      </w:rPr>
    </w:lvl>
  </w:abstractNum>
  <w:abstractNum w:abstractNumId="28" w15:restartNumberingAfterBreak="0">
    <w:nsid w:val="488C5DE1"/>
    <w:multiLevelType w:val="hybridMultilevel"/>
    <w:tmpl w:val="722694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AC9449A"/>
    <w:multiLevelType w:val="hybridMultilevel"/>
    <w:tmpl w:val="F762F1FA"/>
    <w:lvl w:ilvl="0" w:tplc="C3203768">
      <w:start w:val="1"/>
      <w:numFmt w:val="lowerRoman"/>
      <w:pStyle w:val="Titre3"/>
      <w:lvlText w:val="(%1)"/>
      <w:lvlJc w:val="left"/>
      <w:pPr>
        <w:ind w:left="360" w:hanging="360"/>
      </w:pPr>
      <w:rPr>
        <w:rFonts w:hint="default"/>
        <w:b/>
        <w:i w:val="0"/>
      </w:rPr>
    </w:lvl>
    <w:lvl w:ilvl="1" w:tplc="022E0CCA" w:tentative="1">
      <w:start w:val="1"/>
      <w:numFmt w:val="lowerLetter"/>
      <w:lvlText w:val="%2."/>
      <w:lvlJc w:val="left"/>
      <w:pPr>
        <w:ind w:left="1440" w:hanging="360"/>
      </w:pPr>
    </w:lvl>
    <w:lvl w:ilvl="2" w:tplc="269A311A" w:tentative="1">
      <w:start w:val="1"/>
      <w:numFmt w:val="lowerRoman"/>
      <w:lvlText w:val="%3."/>
      <w:lvlJc w:val="right"/>
      <w:pPr>
        <w:ind w:left="2160" w:hanging="180"/>
      </w:pPr>
    </w:lvl>
    <w:lvl w:ilvl="3" w:tplc="270AF41A" w:tentative="1">
      <w:start w:val="1"/>
      <w:numFmt w:val="decimal"/>
      <w:lvlText w:val="%4."/>
      <w:lvlJc w:val="left"/>
      <w:pPr>
        <w:ind w:left="2880" w:hanging="360"/>
      </w:pPr>
    </w:lvl>
    <w:lvl w:ilvl="4" w:tplc="3C724754" w:tentative="1">
      <w:start w:val="1"/>
      <w:numFmt w:val="lowerLetter"/>
      <w:lvlText w:val="%5."/>
      <w:lvlJc w:val="left"/>
      <w:pPr>
        <w:ind w:left="3600" w:hanging="360"/>
      </w:pPr>
    </w:lvl>
    <w:lvl w:ilvl="5" w:tplc="E364FB46" w:tentative="1">
      <w:start w:val="1"/>
      <w:numFmt w:val="lowerRoman"/>
      <w:lvlText w:val="%6."/>
      <w:lvlJc w:val="right"/>
      <w:pPr>
        <w:ind w:left="4320" w:hanging="180"/>
      </w:pPr>
    </w:lvl>
    <w:lvl w:ilvl="6" w:tplc="3FFADB68" w:tentative="1">
      <w:start w:val="1"/>
      <w:numFmt w:val="decimal"/>
      <w:lvlText w:val="%7."/>
      <w:lvlJc w:val="left"/>
      <w:pPr>
        <w:ind w:left="5040" w:hanging="360"/>
      </w:pPr>
    </w:lvl>
    <w:lvl w:ilvl="7" w:tplc="E3D26F76" w:tentative="1">
      <w:start w:val="1"/>
      <w:numFmt w:val="lowerLetter"/>
      <w:lvlText w:val="%8."/>
      <w:lvlJc w:val="left"/>
      <w:pPr>
        <w:ind w:left="5760" w:hanging="360"/>
      </w:pPr>
    </w:lvl>
    <w:lvl w:ilvl="8" w:tplc="9DAAFEF6" w:tentative="1">
      <w:start w:val="1"/>
      <w:numFmt w:val="lowerRoman"/>
      <w:lvlText w:val="%9."/>
      <w:lvlJc w:val="right"/>
      <w:pPr>
        <w:ind w:left="6480" w:hanging="180"/>
      </w:pPr>
    </w:lvl>
  </w:abstractNum>
  <w:abstractNum w:abstractNumId="30" w15:restartNumberingAfterBreak="0">
    <w:nsid w:val="4D160E6C"/>
    <w:multiLevelType w:val="hybridMultilevel"/>
    <w:tmpl w:val="0EF631AE"/>
    <w:lvl w:ilvl="0" w:tplc="363C01BE">
      <w:start w:val="1"/>
      <w:numFmt w:val="lowerLetter"/>
      <w:lvlText w:val="(%1)"/>
      <w:lvlJc w:val="left"/>
      <w:pPr>
        <w:ind w:left="1295" w:hanging="335"/>
      </w:pPr>
      <w:rPr>
        <w:rFonts w:ascii="Arial" w:eastAsia="Arial" w:hAnsi="Arial" w:cs="Arial" w:hint="default"/>
        <w:b/>
        <w:bCs/>
        <w:i w:val="0"/>
        <w:iCs w:val="0"/>
        <w:color w:val="181818"/>
        <w:spacing w:val="-1"/>
        <w:w w:val="108"/>
        <w:sz w:val="21"/>
        <w:szCs w:val="21"/>
      </w:rPr>
    </w:lvl>
    <w:lvl w:ilvl="1" w:tplc="32147398">
      <w:numFmt w:val="bullet"/>
      <w:lvlText w:val="•"/>
      <w:lvlJc w:val="left"/>
      <w:pPr>
        <w:ind w:left="2158" w:hanging="335"/>
      </w:pPr>
      <w:rPr>
        <w:rFonts w:hint="default"/>
      </w:rPr>
    </w:lvl>
    <w:lvl w:ilvl="2" w:tplc="2F88EF18">
      <w:numFmt w:val="bullet"/>
      <w:lvlText w:val="•"/>
      <w:lvlJc w:val="left"/>
      <w:pPr>
        <w:ind w:left="3016" w:hanging="335"/>
      </w:pPr>
      <w:rPr>
        <w:rFonts w:hint="default"/>
      </w:rPr>
    </w:lvl>
    <w:lvl w:ilvl="3" w:tplc="0F08F094">
      <w:numFmt w:val="bullet"/>
      <w:lvlText w:val="•"/>
      <w:lvlJc w:val="left"/>
      <w:pPr>
        <w:ind w:left="3874" w:hanging="335"/>
      </w:pPr>
      <w:rPr>
        <w:rFonts w:hint="default"/>
      </w:rPr>
    </w:lvl>
    <w:lvl w:ilvl="4" w:tplc="F0D4892A">
      <w:numFmt w:val="bullet"/>
      <w:lvlText w:val="•"/>
      <w:lvlJc w:val="left"/>
      <w:pPr>
        <w:ind w:left="4732" w:hanging="335"/>
      </w:pPr>
      <w:rPr>
        <w:rFonts w:hint="default"/>
      </w:rPr>
    </w:lvl>
    <w:lvl w:ilvl="5" w:tplc="80327022">
      <w:numFmt w:val="bullet"/>
      <w:lvlText w:val="•"/>
      <w:lvlJc w:val="left"/>
      <w:pPr>
        <w:ind w:left="5590" w:hanging="335"/>
      </w:pPr>
      <w:rPr>
        <w:rFonts w:hint="default"/>
      </w:rPr>
    </w:lvl>
    <w:lvl w:ilvl="6" w:tplc="5C409F0C">
      <w:numFmt w:val="bullet"/>
      <w:lvlText w:val="•"/>
      <w:lvlJc w:val="left"/>
      <w:pPr>
        <w:ind w:left="6448" w:hanging="335"/>
      </w:pPr>
      <w:rPr>
        <w:rFonts w:hint="default"/>
      </w:rPr>
    </w:lvl>
    <w:lvl w:ilvl="7" w:tplc="274C11E2">
      <w:numFmt w:val="bullet"/>
      <w:lvlText w:val="•"/>
      <w:lvlJc w:val="left"/>
      <w:pPr>
        <w:ind w:left="7306" w:hanging="335"/>
      </w:pPr>
      <w:rPr>
        <w:rFonts w:hint="default"/>
      </w:rPr>
    </w:lvl>
    <w:lvl w:ilvl="8" w:tplc="536CAE90">
      <w:numFmt w:val="bullet"/>
      <w:lvlText w:val="•"/>
      <w:lvlJc w:val="left"/>
      <w:pPr>
        <w:ind w:left="8164" w:hanging="335"/>
      </w:pPr>
      <w:rPr>
        <w:rFonts w:hint="default"/>
      </w:rPr>
    </w:lvl>
  </w:abstractNum>
  <w:abstractNum w:abstractNumId="31" w15:restartNumberingAfterBreak="0">
    <w:nsid w:val="4FCB6D34"/>
    <w:multiLevelType w:val="hybridMultilevel"/>
    <w:tmpl w:val="93E2CCD0"/>
    <w:lvl w:ilvl="0" w:tplc="87E4A94E">
      <w:start w:val="1"/>
      <w:numFmt w:val="upp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2" w15:restartNumberingAfterBreak="0">
    <w:nsid w:val="54AD450F"/>
    <w:multiLevelType w:val="hybridMultilevel"/>
    <w:tmpl w:val="49E2AF60"/>
    <w:name w:val="_Simple-410035616-F4"/>
    <w:lvl w:ilvl="0" w:tplc="BFB2A616">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551972BA"/>
    <w:multiLevelType w:val="hybridMultilevel"/>
    <w:tmpl w:val="0E947EAE"/>
    <w:lvl w:ilvl="0" w:tplc="0C0C0017">
      <w:start w:val="1"/>
      <w:numFmt w:val="lowerLetter"/>
      <w:lvlText w:val="%1)"/>
      <w:lvlJc w:val="left"/>
      <w:pPr>
        <w:ind w:left="1428" w:hanging="720"/>
      </w:pPr>
    </w:lvl>
    <w:lvl w:ilvl="1" w:tplc="0C0C0019">
      <w:start w:val="1"/>
      <w:numFmt w:val="lowerLetter"/>
      <w:lvlText w:val="%2."/>
      <w:lvlJc w:val="left"/>
      <w:pPr>
        <w:ind w:left="1788" w:hanging="360"/>
      </w:pPr>
    </w:lvl>
    <w:lvl w:ilvl="2" w:tplc="0C0C001B">
      <w:start w:val="1"/>
      <w:numFmt w:val="lowerRoman"/>
      <w:lvlText w:val="%3."/>
      <w:lvlJc w:val="right"/>
      <w:pPr>
        <w:ind w:left="2508" w:hanging="180"/>
      </w:pPr>
    </w:lvl>
    <w:lvl w:ilvl="3" w:tplc="0C0C000F">
      <w:start w:val="1"/>
      <w:numFmt w:val="decimal"/>
      <w:lvlText w:val="%4."/>
      <w:lvlJc w:val="left"/>
      <w:pPr>
        <w:ind w:left="3228" w:hanging="360"/>
      </w:pPr>
    </w:lvl>
    <w:lvl w:ilvl="4" w:tplc="0C0C0019">
      <w:start w:val="1"/>
      <w:numFmt w:val="lowerLetter"/>
      <w:lvlText w:val="%5."/>
      <w:lvlJc w:val="left"/>
      <w:pPr>
        <w:ind w:left="3948" w:hanging="360"/>
      </w:pPr>
    </w:lvl>
    <w:lvl w:ilvl="5" w:tplc="0C0C001B">
      <w:start w:val="1"/>
      <w:numFmt w:val="lowerRoman"/>
      <w:lvlText w:val="%6."/>
      <w:lvlJc w:val="right"/>
      <w:pPr>
        <w:ind w:left="4668" w:hanging="180"/>
      </w:pPr>
    </w:lvl>
    <w:lvl w:ilvl="6" w:tplc="0C0C000F">
      <w:start w:val="1"/>
      <w:numFmt w:val="decimal"/>
      <w:lvlText w:val="%7."/>
      <w:lvlJc w:val="left"/>
      <w:pPr>
        <w:ind w:left="5388" w:hanging="360"/>
      </w:pPr>
    </w:lvl>
    <w:lvl w:ilvl="7" w:tplc="0C0C0019">
      <w:start w:val="1"/>
      <w:numFmt w:val="lowerLetter"/>
      <w:lvlText w:val="%8."/>
      <w:lvlJc w:val="left"/>
      <w:pPr>
        <w:ind w:left="6108" w:hanging="360"/>
      </w:pPr>
    </w:lvl>
    <w:lvl w:ilvl="8" w:tplc="0C0C001B">
      <w:start w:val="1"/>
      <w:numFmt w:val="lowerRoman"/>
      <w:lvlText w:val="%9."/>
      <w:lvlJc w:val="right"/>
      <w:pPr>
        <w:ind w:left="6828" w:hanging="180"/>
      </w:pPr>
    </w:lvl>
  </w:abstractNum>
  <w:abstractNum w:abstractNumId="34" w15:restartNumberingAfterBreak="0">
    <w:nsid w:val="5CF01C84"/>
    <w:multiLevelType w:val="hybridMultilevel"/>
    <w:tmpl w:val="0C36C8D2"/>
    <w:name w:val="_Simple-410035616-F322"/>
    <w:lvl w:ilvl="0" w:tplc="A1188FCC">
      <w:start w:val="1"/>
      <w:numFmt w:val="lowerRoman"/>
      <w:pStyle w:val="Titre6"/>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E145FC9"/>
    <w:multiLevelType w:val="hybridMultilevel"/>
    <w:tmpl w:val="D11CD4DA"/>
    <w:lvl w:ilvl="0" w:tplc="68B66CBA">
      <w:start w:val="7"/>
      <w:numFmt w:val="decimal"/>
      <w:lvlText w:val="%1"/>
      <w:lvlJc w:val="left"/>
      <w:pPr>
        <w:ind w:left="967" w:hanging="186"/>
      </w:pPr>
      <w:rPr>
        <w:rFonts w:ascii="Arial" w:eastAsia="Arial" w:hAnsi="Arial" w:cs="Arial" w:hint="default"/>
        <w:b/>
        <w:bCs/>
        <w:i w:val="0"/>
        <w:iCs w:val="0"/>
        <w:color w:val="181818"/>
        <w:w w:val="110"/>
        <w:sz w:val="21"/>
        <w:szCs w:val="21"/>
      </w:rPr>
    </w:lvl>
    <w:lvl w:ilvl="1" w:tplc="B05C54F2">
      <w:numFmt w:val="bullet"/>
      <w:lvlText w:val="•"/>
      <w:lvlJc w:val="left"/>
      <w:pPr>
        <w:ind w:left="1852" w:hanging="186"/>
      </w:pPr>
      <w:rPr>
        <w:rFonts w:hint="default"/>
      </w:rPr>
    </w:lvl>
    <w:lvl w:ilvl="2" w:tplc="25C2F102">
      <w:numFmt w:val="bullet"/>
      <w:lvlText w:val="•"/>
      <w:lvlJc w:val="left"/>
      <w:pPr>
        <w:ind w:left="2744" w:hanging="186"/>
      </w:pPr>
      <w:rPr>
        <w:rFonts w:hint="default"/>
      </w:rPr>
    </w:lvl>
    <w:lvl w:ilvl="3" w:tplc="6E02D388">
      <w:numFmt w:val="bullet"/>
      <w:lvlText w:val="•"/>
      <w:lvlJc w:val="left"/>
      <w:pPr>
        <w:ind w:left="3636" w:hanging="186"/>
      </w:pPr>
      <w:rPr>
        <w:rFonts w:hint="default"/>
      </w:rPr>
    </w:lvl>
    <w:lvl w:ilvl="4" w:tplc="ADAC4CFE">
      <w:numFmt w:val="bullet"/>
      <w:lvlText w:val="•"/>
      <w:lvlJc w:val="left"/>
      <w:pPr>
        <w:ind w:left="4528" w:hanging="186"/>
      </w:pPr>
      <w:rPr>
        <w:rFonts w:hint="default"/>
      </w:rPr>
    </w:lvl>
    <w:lvl w:ilvl="5" w:tplc="11820018">
      <w:numFmt w:val="bullet"/>
      <w:lvlText w:val="•"/>
      <w:lvlJc w:val="left"/>
      <w:pPr>
        <w:ind w:left="5420" w:hanging="186"/>
      </w:pPr>
      <w:rPr>
        <w:rFonts w:hint="default"/>
      </w:rPr>
    </w:lvl>
    <w:lvl w:ilvl="6" w:tplc="F8E4F8A0">
      <w:numFmt w:val="bullet"/>
      <w:lvlText w:val="•"/>
      <w:lvlJc w:val="left"/>
      <w:pPr>
        <w:ind w:left="6312" w:hanging="186"/>
      </w:pPr>
      <w:rPr>
        <w:rFonts w:hint="default"/>
      </w:rPr>
    </w:lvl>
    <w:lvl w:ilvl="7" w:tplc="C54EC106">
      <w:numFmt w:val="bullet"/>
      <w:lvlText w:val="•"/>
      <w:lvlJc w:val="left"/>
      <w:pPr>
        <w:ind w:left="7204" w:hanging="186"/>
      </w:pPr>
      <w:rPr>
        <w:rFonts w:hint="default"/>
      </w:rPr>
    </w:lvl>
    <w:lvl w:ilvl="8" w:tplc="87BCDC7C">
      <w:numFmt w:val="bullet"/>
      <w:lvlText w:val="•"/>
      <w:lvlJc w:val="left"/>
      <w:pPr>
        <w:ind w:left="8096" w:hanging="186"/>
      </w:pPr>
      <w:rPr>
        <w:rFonts w:hint="default"/>
      </w:rPr>
    </w:lvl>
  </w:abstractNum>
  <w:abstractNum w:abstractNumId="36" w15:restartNumberingAfterBreak="0">
    <w:nsid w:val="5E4B31B9"/>
    <w:multiLevelType w:val="multilevel"/>
    <w:tmpl w:val="1B94775E"/>
    <w:lvl w:ilvl="0">
      <w:start w:val="36"/>
      <w:numFmt w:val="decimal"/>
      <w:lvlText w:val="%1."/>
      <w:lvlJc w:val="left"/>
      <w:pPr>
        <w:ind w:left="906" w:hanging="431"/>
      </w:pPr>
      <w:rPr>
        <w:rFonts w:ascii="Arial" w:eastAsia="Arial" w:hAnsi="Arial" w:cs="Arial" w:hint="default"/>
        <w:b w:val="0"/>
        <w:bCs w:val="0"/>
        <w:i w:val="0"/>
        <w:iCs w:val="0"/>
        <w:color w:val="161615"/>
        <w:w w:val="109"/>
        <w:sz w:val="21"/>
        <w:szCs w:val="21"/>
      </w:rPr>
    </w:lvl>
    <w:lvl w:ilvl="1">
      <w:start w:val="1"/>
      <w:numFmt w:val="decimal"/>
      <w:pStyle w:val="Paragraphedelist-1"/>
      <w:lvlText w:val="%1.%2"/>
      <w:lvlJc w:val="left"/>
      <w:pPr>
        <w:ind w:left="902" w:hanging="522"/>
      </w:pPr>
      <w:rPr>
        <w:rFonts w:hint="default"/>
        <w:spacing w:val="-1"/>
        <w:w w:val="106"/>
      </w:rPr>
    </w:lvl>
    <w:lvl w:ilvl="2">
      <w:numFmt w:val="bullet"/>
      <w:lvlText w:val="•"/>
      <w:lvlJc w:val="left"/>
      <w:pPr>
        <w:ind w:left="2696" w:hanging="522"/>
      </w:pPr>
      <w:rPr>
        <w:rFonts w:hint="default"/>
      </w:rPr>
    </w:lvl>
    <w:lvl w:ilvl="3">
      <w:numFmt w:val="bullet"/>
      <w:lvlText w:val="•"/>
      <w:lvlJc w:val="left"/>
      <w:pPr>
        <w:ind w:left="3594" w:hanging="522"/>
      </w:pPr>
      <w:rPr>
        <w:rFonts w:hint="default"/>
      </w:rPr>
    </w:lvl>
    <w:lvl w:ilvl="4">
      <w:numFmt w:val="bullet"/>
      <w:lvlText w:val="•"/>
      <w:lvlJc w:val="left"/>
      <w:pPr>
        <w:ind w:left="4492" w:hanging="522"/>
      </w:pPr>
      <w:rPr>
        <w:rFonts w:hint="default"/>
      </w:rPr>
    </w:lvl>
    <w:lvl w:ilvl="5">
      <w:numFmt w:val="bullet"/>
      <w:lvlText w:val="•"/>
      <w:lvlJc w:val="left"/>
      <w:pPr>
        <w:ind w:left="5390" w:hanging="522"/>
      </w:pPr>
      <w:rPr>
        <w:rFonts w:hint="default"/>
      </w:rPr>
    </w:lvl>
    <w:lvl w:ilvl="6">
      <w:numFmt w:val="bullet"/>
      <w:lvlText w:val="•"/>
      <w:lvlJc w:val="left"/>
      <w:pPr>
        <w:ind w:left="6288" w:hanging="522"/>
      </w:pPr>
      <w:rPr>
        <w:rFonts w:hint="default"/>
      </w:rPr>
    </w:lvl>
    <w:lvl w:ilvl="7">
      <w:numFmt w:val="bullet"/>
      <w:lvlText w:val="•"/>
      <w:lvlJc w:val="left"/>
      <w:pPr>
        <w:ind w:left="7186" w:hanging="522"/>
      </w:pPr>
      <w:rPr>
        <w:rFonts w:hint="default"/>
      </w:rPr>
    </w:lvl>
    <w:lvl w:ilvl="8">
      <w:numFmt w:val="bullet"/>
      <w:lvlText w:val="•"/>
      <w:lvlJc w:val="left"/>
      <w:pPr>
        <w:ind w:left="8084" w:hanging="522"/>
      </w:pPr>
      <w:rPr>
        <w:rFonts w:hint="default"/>
      </w:rPr>
    </w:lvl>
  </w:abstractNum>
  <w:abstractNum w:abstractNumId="37" w15:restartNumberingAfterBreak="0">
    <w:nsid w:val="609C0DCC"/>
    <w:multiLevelType w:val="multilevel"/>
    <w:tmpl w:val="293AE29A"/>
    <w:lvl w:ilvl="0">
      <w:start w:val="1"/>
      <w:numFmt w:val="decimal"/>
      <w:lvlText w:val="[%1]"/>
      <w:lvlJc w:val="left"/>
      <w:pPr>
        <w:tabs>
          <w:tab w:val="num" w:pos="360"/>
        </w:tabs>
        <w:ind w:left="0" w:firstLine="0"/>
      </w:pPr>
      <w:rPr>
        <w:rFonts w:ascii="Arial" w:hAnsi="Arial" w:hint="default"/>
        <w:b w:val="0"/>
        <w:i w:val="0"/>
        <w:sz w:val="24"/>
        <w:lang w:val="en-CA"/>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61D73865"/>
    <w:multiLevelType w:val="hybridMultilevel"/>
    <w:tmpl w:val="532C2470"/>
    <w:name w:val="_Simple-410035616-F3"/>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3F31A4D"/>
    <w:multiLevelType w:val="multilevel"/>
    <w:tmpl w:val="63763EEC"/>
    <w:lvl w:ilvl="0">
      <w:start w:val="1"/>
      <w:numFmt w:val="upperRoman"/>
      <w:lvlText w:val="%1."/>
      <w:lvlJc w:val="right"/>
      <w:pPr>
        <w:ind w:left="720" w:hanging="360"/>
      </w:pPr>
    </w:lvl>
    <w:lvl w:ilvl="1">
      <w:start w:val="1"/>
      <w:numFmt w:val="decimal"/>
      <w:lvlText w:val="[%2]"/>
      <w:lvlJc w:val="left"/>
      <w:pPr>
        <w:ind w:left="1440" w:hanging="360"/>
      </w:pPr>
      <w:rPr>
        <w:b/>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5F6E4F"/>
    <w:multiLevelType w:val="multilevel"/>
    <w:tmpl w:val="215068A2"/>
    <w:lvl w:ilvl="0">
      <w:start w:val="18"/>
      <w:numFmt w:val="upperLetter"/>
      <w:lvlText w:val="%1"/>
      <w:lvlJc w:val="left"/>
      <w:pPr>
        <w:ind w:left="962" w:hanging="415"/>
      </w:pPr>
      <w:rPr>
        <w:rFonts w:hint="default"/>
      </w:rPr>
    </w:lvl>
    <w:lvl w:ilvl="1">
      <w:start w:val="1"/>
      <w:numFmt w:val="decimal"/>
      <w:lvlText w:val="%1-%2"/>
      <w:lvlJc w:val="left"/>
      <w:pPr>
        <w:ind w:left="962" w:hanging="415"/>
      </w:pPr>
      <w:rPr>
        <w:rFonts w:ascii="Arial" w:eastAsia="Arial" w:hAnsi="Arial" w:cs="Arial" w:hint="default"/>
        <w:b w:val="0"/>
        <w:bCs w:val="0"/>
        <w:i w:val="0"/>
        <w:iCs w:val="0"/>
        <w:color w:val="161616"/>
        <w:spacing w:val="-1"/>
        <w:w w:val="100"/>
        <w:sz w:val="22"/>
        <w:szCs w:val="22"/>
      </w:rPr>
    </w:lvl>
    <w:lvl w:ilvl="2">
      <w:numFmt w:val="bullet"/>
      <w:lvlText w:val="•"/>
      <w:lvlJc w:val="left"/>
      <w:pPr>
        <w:ind w:left="2744" w:hanging="415"/>
      </w:pPr>
      <w:rPr>
        <w:rFonts w:hint="default"/>
      </w:rPr>
    </w:lvl>
    <w:lvl w:ilvl="3">
      <w:numFmt w:val="bullet"/>
      <w:lvlText w:val="•"/>
      <w:lvlJc w:val="left"/>
      <w:pPr>
        <w:ind w:left="3636" w:hanging="415"/>
      </w:pPr>
      <w:rPr>
        <w:rFonts w:hint="default"/>
      </w:rPr>
    </w:lvl>
    <w:lvl w:ilvl="4">
      <w:numFmt w:val="bullet"/>
      <w:lvlText w:val="•"/>
      <w:lvlJc w:val="left"/>
      <w:pPr>
        <w:ind w:left="4528" w:hanging="415"/>
      </w:pPr>
      <w:rPr>
        <w:rFonts w:hint="default"/>
      </w:rPr>
    </w:lvl>
    <w:lvl w:ilvl="5">
      <w:numFmt w:val="bullet"/>
      <w:lvlText w:val="•"/>
      <w:lvlJc w:val="left"/>
      <w:pPr>
        <w:ind w:left="5420" w:hanging="415"/>
      </w:pPr>
      <w:rPr>
        <w:rFonts w:hint="default"/>
      </w:rPr>
    </w:lvl>
    <w:lvl w:ilvl="6">
      <w:numFmt w:val="bullet"/>
      <w:lvlText w:val="•"/>
      <w:lvlJc w:val="left"/>
      <w:pPr>
        <w:ind w:left="6312" w:hanging="415"/>
      </w:pPr>
      <w:rPr>
        <w:rFonts w:hint="default"/>
      </w:rPr>
    </w:lvl>
    <w:lvl w:ilvl="7">
      <w:numFmt w:val="bullet"/>
      <w:lvlText w:val="•"/>
      <w:lvlJc w:val="left"/>
      <w:pPr>
        <w:ind w:left="7204" w:hanging="415"/>
      </w:pPr>
      <w:rPr>
        <w:rFonts w:hint="default"/>
      </w:rPr>
    </w:lvl>
    <w:lvl w:ilvl="8">
      <w:numFmt w:val="bullet"/>
      <w:lvlText w:val="•"/>
      <w:lvlJc w:val="left"/>
      <w:pPr>
        <w:ind w:left="8096" w:hanging="415"/>
      </w:pPr>
      <w:rPr>
        <w:rFonts w:hint="default"/>
      </w:rPr>
    </w:lvl>
  </w:abstractNum>
  <w:abstractNum w:abstractNumId="41" w15:restartNumberingAfterBreak="0">
    <w:nsid w:val="67D63CF1"/>
    <w:multiLevelType w:val="hybridMultilevel"/>
    <w:tmpl w:val="655293DA"/>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42" w15:restartNumberingAfterBreak="0">
    <w:nsid w:val="6938662F"/>
    <w:multiLevelType w:val="hybridMultilevel"/>
    <w:tmpl w:val="F90E36FC"/>
    <w:lvl w:ilvl="0" w:tplc="5AA045B0">
      <w:start w:val="1"/>
      <w:numFmt w:val="upperLetter"/>
      <w:lvlText w:val="%1)"/>
      <w:lvlJc w:val="left"/>
      <w:pPr>
        <w:ind w:left="720" w:hanging="360"/>
      </w:pPr>
      <w:rPr>
        <w:color w:val="auto"/>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43" w15:restartNumberingAfterBreak="0">
    <w:nsid w:val="69AB0BB2"/>
    <w:multiLevelType w:val="hybridMultilevel"/>
    <w:tmpl w:val="A2AE5DD2"/>
    <w:lvl w:ilvl="0" w:tplc="BFB2A616">
      <w:start w:val="1"/>
      <w:numFmt w:val="lowerLetter"/>
      <w:lvlText w:val="(%1)"/>
      <w:lvlJc w:val="left"/>
      <w:pPr>
        <w:ind w:left="1980" w:hanging="360"/>
      </w:pPr>
      <w:rPr>
        <w:rFonts w:hint="default"/>
      </w:rPr>
    </w:lvl>
    <w:lvl w:ilvl="1" w:tplc="10090019" w:tentative="1">
      <w:start w:val="1"/>
      <w:numFmt w:val="lowerLetter"/>
      <w:lvlText w:val="%2."/>
      <w:lvlJc w:val="left"/>
      <w:pPr>
        <w:ind w:left="2700" w:hanging="360"/>
      </w:pPr>
    </w:lvl>
    <w:lvl w:ilvl="2" w:tplc="1009001B" w:tentative="1">
      <w:start w:val="1"/>
      <w:numFmt w:val="lowerRoman"/>
      <w:lvlText w:val="%3."/>
      <w:lvlJc w:val="right"/>
      <w:pPr>
        <w:ind w:left="3420" w:hanging="180"/>
      </w:pPr>
    </w:lvl>
    <w:lvl w:ilvl="3" w:tplc="1009000F" w:tentative="1">
      <w:start w:val="1"/>
      <w:numFmt w:val="decimal"/>
      <w:lvlText w:val="%4."/>
      <w:lvlJc w:val="left"/>
      <w:pPr>
        <w:ind w:left="4140" w:hanging="360"/>
      </w:pPr>
    </w:lvl>
    <w:lvl w:ilvl="4" w:tplc="10090019" w:tentative="1">
      <w:start w:val="1"/>
      <w:numFmt w:val="lowerLetter"/>
      <w:lvlText w:val="%5."/>
      <w:lvlJc w:val="left"/>
      <w:pPr>
        <w:ind w:left="4860" w:hanging="360"/>
      </w:pPr>
    </w:lvl>
    <w:lvl w:ilvl="5" w:tplc="1009001B" w:tentative="1">
      <w:start w:val="1"/>
      <w:numFmt w:val="lowerRoman"/>
      <w:lvlText w:val="%6."/>
      <w:lvlJc w:val="right"/>
      <w:pPr>
        <w:ind w:left="5580" w:hanging="180"/>
      </w:pPr>
    </w:lvl>
    <w:lvl w:ilvl="6" w:tplc="1009000F" w:tentative="1">
      <w:start w:val="1"/>
      <w:numFmt w:val="decimal"/>
      <w:lvlText w:val="%7."/>
      <w:lvlJc w:val="left"/>
      <w:pPr>
        <w:ind w:left="6300" w:hanging="360"/>
      </w:pPr>
    </w:lvl>
    <w:lvl w:ilvl="7" w:tplc="10090019" w:tentative="1">
      <w:start w:val="1"/>
      <w:numFmt w:val="lowerLetter"/>
      <w:lvlText w:val="%8."/>
      <w:lvlJc w:val="left"/>
      <w:pPr>
        <w:ind w:left="7020" w:hanging="360"/>
      </w:pPr>
    </w:lvl>
    <w:lvl w:ilvl="8" w:tplc="1009001B" w:tentative="1">
      <w:start w:val="1"/>
      <w:numFmt w:val="lowerRoman"/>
      <w:lvlText w:val="%9."/>
      <w:lvlJc w:val="right"/>
      <w:pPr>
        <w:ind w:left="7740" w:hanging="180"/>
      </w:pPr>
    </w:lvl>
  </w:abstractNum>
  <w:abstractNum w:abstractNumId="44" w15:restartNumberingAfterBreak="0">
    <w:nsid w:val="6DD30888"/>
    <w:multiLevelType w:val="hybridMultilevel"/>
    <w:tmpl w:val="33CA4BF4"/>
    <w:lvl w:ilvl="0" w:tplc="21E2333E">
      <w:start w:val="1"/>
      <w:numFmt w:val="lowerRoman"/>
      <w:lvlText w:val="(%1)"/>
      <w:lvlJc w:val="left"/>
      <w:pPr>
        <w:ind w:left="955" w:hanging="186"/>
      </w:pPr>
      <w:rPr>
        <w:rFonts w:ascii="Arial" w:eastAsia="Arial" w:hAnsi="Arial" w:cs="Arial" w:hint="default"/>
        <w:b w:val="0"/>
        <w:bCs w:val="0"/>
        <w:i w:val="0"/>
        <w:iCs w:val="0"/>
        <w:color w:val="161616"/>
        <w:spacing w:val="-1"/>
        <w:w w:val="95"/>
        <w:sz w:val="23"/>
        <w:szCs w:val="23"/>
      </w:rPr>
    </w:lvl>
    <w:lvl w:ilvl="1" w:tplc="A7F01476">
      <w:numFmt w:val="bullet"/>
      <w:lvlText w:val="•"/>
      <w:lvlJc w:val="left"/>
      <w:pPr>
        <w:ind w:left="1852" w:hanging="186"/>
      </w:pPr>
      <w:rPr>
        <w:rFonts w:hint="default"/>
      </w:rPr>
    </w:lvl>
    <w:lvl w:ilvl="2" w:tplc="43486CBC">
      <w:numFmt w:val="bullet"/>
      <w:lvlText w:val="•"/>
      <w:lvlJc w:val="left"/>
      <w:pPr>
        <w:ind w:left="2744" w:hanging="186"/>
      </w:pPr>
      <w:rPr>
        <w:rFonts w:hint="default"/>
      </w:rPr>
    </w:lvl>
    <w:lvl w:ilvl="3" w:tplc="E960C74C">
      <w:numFmt w:val="bullet"/>
      <w:lvlText w:val="•"/>
      <w:lvlJc w:val="left"/>
      <w:pPr>
        <w:ind w:left="3636" w:hanging="186"/>
      </w:pPr>
      <w:rPr>
        <w:rFonts w:hint="default"/>
      </w:rPr>
    </w:lvl>
    <w:lvl w:ilvl="4" w:tplc="29807938">
      <w:numFmt w:val="bullet"/>
      <w:lvlText w:val="•"/>
      <w:lvlJc w:val="left"/>
      <w:pPr>
        <w:ind w:left="4528" w:hanging="186"/>
      </w:pPr>
      <w:rPr>
        <w:rFonts w:hint="default"/>
      </w:rPr>
    </w:lvl>
    <w:lvl w:ilvl="5" w:tplc="C186E7E0">
      <w:numFmt w:val="bullet"/>
      <w:lvlText w:val="•"/>
      <w:lvlJc w:val="left"/>
      <w:pPr>
        <w:ind w:left="5420" w:hanging="186"/>
      </w:pPr>
      <w:rPr>
        <w:rFonts w:hint="default"/>
      </w:rPr>
    </w:lvl>
    <w:lvl w:ilvl="6" w:tplc="1A2445B0">
      <w:numFmt w:val="bullet"/>
      <w:lvlText w:val="•"/>
      <w:lvlJc w:val="left"/>
      <w:pPr>
        <w:ind w:left="6312" w:hanging="186"/>
      </w:pPr>
      <w:rPr>
        <w:rFonts w:hint="default"/>
      </w:rPr>
    </w:lvl>
    <w:lvl w:ilvl="7" w:tplc="FC329294">
      <w:numFmt w:val="bullet"/>
      <w:lvlText w:val="•"/>
      <w:lvlJc w:val="left"/>
      <w:pPr>
        <w:ind w:left="7204" w:hanging="186"/>
      </w:pPr>
      <w:rPr>
        <w:rFonts w:hint="default"/>
      </w:rPr>
    </w:lvl>
    <w:lvl w:ilvl="8" w:tplc="E3CA48B0">
      <w:numFmt w:val="bullet"/>
      <w:lvlText w:val="•"/>
      <w:lvlJc w:val="left"/>
      <w:pPr>
        <w:ind w:left="8096" w:hanging="186"/>
      </w:pPr>
      <w:rPr>
        <w:rFonts w:hint="default"/>
      </w:rPr>
    </w:lvl>
  </w:abstractNum>
  <w:abstractNum w:abstractNumId="45" w15:restartNumberingAfterBreak="0">
    <w:nsid w:val="72D347DC"/>
    <w:multiLevelType w:val="multilevel"/>
    <w:tmpl w:val="3170FE52"/>
    <w:lvl w:ilvl="0">
      <w:start w:val="1"/>
      <w:numFmt w:val="bullet"/>
      <w:pStyle w:val="Listenumros"/>
      <w:lvlText w:val=""/>
      <w:lvlJc w:val="left"/>
      <w:pPr>
        <w:tabs>
          <w:tab w:val="num" w:pos="709"/>
        </w:tabs>
        <w:ind w:left="382" w:hanging="382"/>
      </w:pPr>
      <w:rPr>
        <w:rFonts w:ascii="Symbol" w:hAnsi="Symbol" w:hint="default"/>
        <w:b w:val="0"/>
        <w:i w:val="0"/>
        <w:color w:val="auto"/>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15:restartNumberingAfterBreak="0">
    <w:nsid w:val="73096F25"/>
    <w:multiLevelType w:val="hybridMultilevel"/>
    <w:tmpl w:val="530C5910"/>
    <w:lvl w:ilvl="0" w:tplc="122A2828">
      <w:start w:val="1"/>
      <w:numFmt w:val="lowerLetter"/>
      <w:lvlText w:val="(%1)"/>
      <w:lvlJc w:val="left"/>
      <w:pPr>
        <w:ind w:left="1645" w:hanging="360"/>
      </w:pPr>
      <w:rPr>
        <w:rFonts w:hint="default"/>
        <w:b w:val="0"/>
        <w:bCs w:val="0"/>
        <w:i w:val="0"/>
        <w:iCs w:val="0"/>
        <w:color w:val="161616"/>
        <w:spacing w:val="0"/>
        <w:w w:val="100"/>
        <w:sz w:val="22"/>
        <w:szCs w:val="22"/>
      </w:rPr>
    </w:lvl>
    <w:lvl w:ilvl="1" w:tplc="31527874">
      <w:numFmt w:val="bullet"/>
      <w:lvlText w:val="•"/>
      <w:lvlJc w:val="left"/>
      <w:pPr>
        <w:ind w:left="2464" w:hanging="360"/>
      </w:pPr>
      <w:rPr>
        <w:rFonts w:hint="default"/>
      </w:rPr>
    </w:lvl>
    <w:lvl w:ilvl="2" w:tplc="765E9488">
      <w:numFmt w:val="bullet"/>
      <w:lvlText w:val="•"/>
      <w:lvlJc w:val="left"/>
      <w:pPr>
        <w:ind w:left="3288" w:hanging="360"/>
      </w:pPr>
      <w:rPr>
        <w:rFonts w:hint="default"/>
      </w:rPr>
    </w:lvl>
    <w:lvl w:ilvl="3" w:tplc="99E0AAB0">
      <w:numFmt w:val="bullet"/>
      <w:lvlText w:val="•"/>
      <w:lvlJc w:val="left"/>
      <w:pPr>
        <w:ind w:left="4112" w:hanging="360"/>
      </w:pPr>
      <w:rPr>
        <w:rFonts w:hint="default"/>
      </w:rPr>
    </w:lvl>
    <w:lvl w:ilvl="4" w:tplc="AD062FBC">
      <w:numFmt w:val="bullet"/>
      <w:lvlText w:val="•"/>
      <w:lvlJc w:val="left"/>
      <w:pPr>
        <w:ind w:left="4936" w:hanging="360"/>
      </w:pPr>
      <w:rPr>
        <w:rFonts w:hint="default"/>
      </w:rPr>
    </w:lvl>
    <w:lvl w:ilvl="5" w:tplc="9F449EB8">
      <w:numFmt w:val="bullet"/>
      <w:lvlText w:val="•"/>
      <w:lvlJc w:val="left"/>
      <w:pPr>
        <w:ind w:left="5760" w:hanging="360"/>
      </w:pPr>
      <w:rPr>
        <w:rFonts w:hint="default"/>
      </w:rPr>
    </w:lvl>
    <w:lvl w:ilvl="6" w:tplc="68645E34">
      <w:numFmt w:val="bullet"/>
      <w:lvlText w:val="•"/>
      <w:lvlJc w:val="left"/>
      <w:pPr>
        <w:ind w:left="6584" w:hanging="360"/>
      </w:pPr>
      <w:rPr>
        <w:rFonts w:hint="default"/>
      </w:rPr>
    </w:lvl>
    <w:lvl w:ilvl="7" w:tplc="86DE76FC">
      <w:numFmt w:val="bullet"/>
      <w:lvlText w:val="•"/>
      <w:lvlJc w:val="left"/>
      <w:pPr>
        <w:ind w:left="7408" w:hanging="360"/>
      </w:pPr>
      <w:rPr>
        <w:rFonts w:hint="default"/>
      </w:rPr>
    </w:lvl>
    <w:lvl w:ilvl="8" w:tplc="3C66A976">
      <w:numFmt w:val="bullet"/>
      <w:lvlText w:val="•"/>
      <w:lvlJc w:val="left"/>
      <w:pPr>
        <w:ind w:left="8232" w:hanging="360"/>
      </w:pPr>
      <w:rPr>
        <w:rFonts w:hint="default"/>
      </w:rPr>
    </w:lvl>
  </w:abstractNum>
  <w:abstractNum w:abstractNumId="47" w15:restartNumberingAfterBreak="0">
    <w:nsid w:val="782272F6"/>
    <w:multiLevelType w:val="hybridMultilevel"/>
    <w:tmpl w:val="B1A45478"/>
    <w:name w:val="_Simple-410035616-F2"/>
    <w:lvl w:ilvl="0" w:tplc="DC9E198E">
      <w:start w:val="1"/>
      <w:numFmt w:val="upperLetter"/>
      <w:pStyle w:val="Titre2"/>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9882468"/>
    <w:multiLevelType w:val="multilevel"/>
    <w:tmpl w:val="23A49CCE"/>
    <w:name w:val="_Simple-410035616-F"/>
    <w:styleLink w:val="SimpleList"/>
    <w:lvl w:ilvl="0">
      <w:start w:val="1"/>
      <w:numFmt w:val="decimal"/>
      <w:lvlRestart w:val="0"/>
      <w:pStyle w:val="SimpleL1"/>
      <w:lvlText w:val="[%1]"/>
      <w:lvlJc w:val="left"/>
      <w:pPr>
        <w:tabs>
          <w:tab w:val="num" w:pos="720"/>
        </w:tabs>
        <w:ind w:left="720" w:hanging="720"/>
      </w:pPr>
      <w:rPr>
        <w:rFonts w:ascii="Arial" w:hAnsi="Arial" w:cs="Arial" w:hint="default"/>
        <w:b w:val="0"/>
        <w:i w:val="0"/>
        <w:caps w:val="0"/>
        <w:smallCaps w:val="0"/>
        <w:color w:val="auto"/>
        <w:spacing w:val="-1"/>
        <w:w w:val="104"/>
        <w:sz w:val="24"/>
        <w:u w:val="none"/>
      </w:rPr>
    </w:lvl>
    <w:lvl w:ilvl="1">
      <w:start w:val="1"/>
      <w:numFmt w:val="lowerRoman"/>
      <w:pStyle w:val="SimpleL2"/>
      <w:lvlText w:val="%2."/>
      <w:lvlJc w:val="right"/>
      <w:pPr>
        <w:tabs>
          <w:tab w:val="num" w:pos="1440"/>
        </w:tabs>
        <w:ind w:left="1440" w:hanging="432"/>
      </w:pPr>
      <w:rPr>
        <w:rFonts w:ascii="Arial" w:hAnsi="Arial" w:cs="Arial" w:hint="default"/>
        <w:b w:val="0"/>
        <w:i w:val="0"/>
        <w:caps w:val="0"/>
        <w:smallCaps w:val="0"/>
        <w:color w:val="auto"/>
        <w:sz w:val="24"/>
        <w:u w:val="none"/>
      </w:rPr>
    </w:lvl>
    <w:lvl w:ilvl="2">
      <w:start w:val="1"/>
      <w:numFmt w:val="lowerRoman"/>
      <w:pStyle w:val="SimpleL3"/>
      <w:lvlText w:val="(%3)"/>
      <w:lvlJc w:val="left"/>
      <w:pPr>
        <w:tabs>
          <w:tab w:val="num" w:pos="2160"/>
        </w:tabs>
        <w:ind w:left="2160" w:hanging="720"/>
      </w:pPr>
      <w:rPr>
        <w:rFonts w:ascii="Arial" w:hAnsi="Arial" w:cs="Arial" w:hint="default"/>
        <w:b w:val="0"/>
        <w:i w:val="0"/>
        <w:caps w:val="0"/>
        <w:smallCaps w:val="0"/>
        <w:color w:val="auto"/>
        <w:sz w:val="24"/>
        <w:u w:val="none"/>
      </w:rPr>
    </w:lvl>
    <w:lvl w:ilvl="3">
      <w:start w:val="1"/>
      <w:numFmt w:val="upperLetter"/>
      <w:pStyle w:val="SimpleL4"/>
      <w:lvlText w:val="(%4)"/>
      <w:lvlJc w:val="left"/>
      <w:pPr>
        <w:tabs>
          <w:tab w:val="num" w:pos="2880"/>
        </w:tabs>
        <w:ind w:left="2880" w:hanging="720"/>
      </w:pPr>
      <w:rPr>
        <w:rFonts w:ascii="Arial" w:hAnsi="Arial" w:cs="Arial" w:hint="default"/>
        <w:b w:val="0"/>
        <w:i w:val="0"/>
        <w:caps w:val="0"/>
        <w:smallCaps w:val="0"/>
        <w:color w:val="auto"/>
        <w:sz w:val="24"/>
        <w:u w:val="none"/>
      </w:rPr>
    </w:lvl>
    <w:lvl w:ilvl="4">
      <w:start w:val="1"/>
      <w:numFmt w:val="decimal"/>
      <w:pStyle w:val="SimpleL5"/>
      <w:lvlText w:val="%5)"/>
      <w:lvlJc w:val="left"/>
      <w:pPr>
        <w:tabs>
          <w:tab w:val="num" w:pos="3600"/>
        </w:tabs>
        <w:ind w:left="3600" w:hanging="720"/>
      </w:pPr>
      <w:rPr>
        <w:rFonts w:ascii="Arial" w:hAnsi="Arial" w:cs="Arial" w:hint="default"/>
        <w:b w:val="0"/>
        <w:i w:val="0"/>
        <w:caps w:val="0"/>
        <w:smallCaps w:val="0"/>
        <w:color w:val="auto"/>
        <w:sz w:val="24"/>
        <w:u w:val="none"/>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num w:numId="1">
    <w:abstractNumId w:val="3"/>
  </w:num>
  <w:num w:numId="2">
    <w:abstractNumId w:val="2"/>
  </w:num>
  <w:num w:numId="3">
    <w:abstractNumId w:val="1"/>
  </w:num>
  <w:num w:numId="4">
    <w:abstractNumId w:val="0"/>
  </w:num>
  <w:num w:numId="5">
    <w:abstractNumId w:val="8"/>
  </w:num>
  <w:num w:numId="6">
    <w:abstractNumId w:val="7"/>
  </w:num>
  <w:num w:numId="7">
    <w:abstractNumId w:val="6"/>
  </w:num>
  <w:num w:numId="8">
    <w:abstractNumId w:val="5"/>
  </w:num>
  <w:num w:numId="9">
    <w:abstractNumId w:val="4"/>
  </w:num>
  <w:num w:numId="10">
    <w:abstractNumId w:val="45"/>
  </w:num>
  <w:num w:numId="11">
    <w:abstractNumId w:val="37"/>
  </w:num>
  <w:num w:numId="12">
    <w:abstractNumId w:val="29"/>
  </w:num>
  <w:num w:numId="13">
    <w:abstractNumId w:val="48"/>
  </w:num>
  <w:num w:numId="14">
    <w:abstractNumId w:val="47"/>
  </w:num>
  <w:num w:numId="15">
    <w:abstractNumId w:val="40"/>
  </w:num>
  <w:num w:numId="16">
    <w:abstractNumId w:val="30"/>
  </w:num>
  <w:num w:numId="17">
    <w:abstractNumId w:val="24"/>
  </w:num>
  <w:num w:numId="18">
    <w:abstractNumId w:val="35"/>
  </w:num>
  <w:num w:numId="19">
    <w:abstractNumId w:val="14"/>
  </w:num>
  <w:num w:numId="20">
    <w:abstractNumId w:val="20"/>
  </w:num>
  <w:num w:numId="21">
    <w:abstractNumId w:val="47"/>
    <w:lvlOverride w:ilvl="0">
      <w:startOverride w:val="1"/>
    </w:lvlOverride>
  </w:num>
  <w:num w:numId="22">
    <w:abstractNumId w:val="46"/>
  </w:num>
  <w:num w:numId="23">
    <w:abstractNumId w:val="23"/>
  </w:num>
  <w:num w:numId="24">
    <w:abstractNumId w:val="47"/>
    <w:lvlOverride w:ilvl="0">
      <w:startOverride w:val="1"/>
    </w:lvlOverride>
  </w:num>
  <w:num w:numId="25">
    <w:abstractNumId w:val="43"/>
  </w:num>
  <w:num w:numId="26">
    <w:abstractNumId w:val="36"/>
  </w:num>
  <w:num w:numId="27">
    <w:abstractNumId w:val="28"/>
  </w:num>
  <w:num w:numId="28">
    <w:abstractNumId w:val="20"/>
    <w:lvlOverride w:ilvl="0">
      <w:startOverride w:val="1"/>
    </w:lvlOverride>
  </w:num>
  <w:num w:numId="29">
    <w:abstractNumId w:val="10"/>
  </w:num>
  <w:num w:numId="30">
    <w:abstractNumId w:val="34"/>
  </w:num>
  <w:num w:numId="31">
    <w:abstractNumId w:val="34"/>
    <w:lvlOverride w:ilvl="0">
      <w:startOverride w:val="1"/>
    </w:lvlOverride>
  </w:num>
  <w:num w:numId="32">
    <w:abstractNumId w:val="15"/>
  </w:num>
  <w:num w:numId="33">
    <w:abstractNumId w:val="25"/>
  </w:num>
  <w:num w:numId="34">
    <w:abstractNumId w:val="21"/>
  </w:num>
  <w:num w:numId="35">
    <w:abstractNumId w:val="27"/>
  </w:num>
  <w:num w:numId="36">
    <w:abstractNumId w:val="44"/>
  </w:num>
  <w:num w:numId="37">
    <w:abstractNumId w:val="32"/>
  </w:num>
  <w:num w:numId="38">
    <w:abstractNumId w:val="13"/>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3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7D"/>
    <w:rsid w:val="00000DCD"/>
    <w:rsid w:val="00001F35"/>
    <w:rsid w:val="00021070"/>
    <w:rsid w:val="000252EF"/>
    <w:rsid w:val="00033E7E"/>
    <w:rsid w:val="00034B50"/>
    <w:rsid w:val="000356C6"/>
    <w:rsid w:val="00037234"/>
    <w:rsid w:val="00037E0B"/>
    <w:rsid w:val="000408D2"/>
    <w:rsid w:val="00041C60"/>
    <w:rsid w:val="00044A39"/>
    <w:rsid w:val="000450CB"/>
    <w:rsid w:val="0005034A"/>
    <w:rsid w:val="0005169A"/>
    <w:rsid w:val="00052337"/>
    <w:rsid w:val="000528B1"/>
    <w:rsid w:val="00054F57"/>
    <w:rsid w:val="00057274"/>
    <w:rsid w:val="000573FB"/>
    <w:rsid w:val="00057C2F"/>
    <w:rsid w:val="00064CA6"/>
    <w:rsid w:val="00071655"/>
    <w:rsid w:val="0007632F"/>
    <w:rsid w:val="0007728F"/>
    <w:rsid w:val="00082F41"/>
    <w:rsid w:val="00082F4E"/>
    <w:rsid w:val="00085EC5"/>
    <w:rsid w:val="00087DFC"/>
    <w:rsid w:val="000943E2"/>
    <w:rsid w:val="00094AE7"/>
    <w:rsid w:val="00095775"/>
    <w:rsid w:val="000A5112"/>
    <w:rsid w:val="000A7B0D"/>
    <w:rsid w:val="000B0B1F"/>
    <w:rsid w:val="000B7AB3"/>
    <w:rsid w:val="000B7F45"/>
    <w:rsid w:val="000C106B"/>
    <w:rsid w:val="000C220F"/>
    <w:rsid w:val="000C24AD"/>
    <w:rsid w:val="000D5237"/>
    <w:rsid w:val="000F0647"/>
    <w:rsid w:val="000F1255"/>
    <w:rsid w:val="000F27DE"/>
    <w:rsid w:val="000F46ED"/>
    <w:rsid w:val="000F50CC"/>
    <w:rsid w:val="000F7EB5"/>
    <w:rsid w:val="00102CE5"/>
    <w:rsid w:val="00105D90"/>
    <w:rsid w:val="00106B91"/>
    <w:rsid w:val="0010732D"/>
    <w:rsid w:val="001104D5"/>
    <w:rsid w:val="00114EEE"/>
    <w:rsid w:val="00115010"/>
    <w:rsid w:val="00122BBC"/>
    <w:rsid w:val="00123564"/>
    <w:rsid w:val="001257AF"/>
    <w:rsid w:val="00125E72"/>
    <w:rsid w:val="00132606"/>
    <w:rsid w:val="00134151"/>
    <w:rsid w:val="00135016"/>
    <w:rsid w:val="001510EC"/>
    <w:rsid w:val="00154087"/>
    <w:rsid w:val="001543C2"/>
    <w:rsid w:val="001560DA"/>
    <w:rsid w:val="00163261"/>
    <w:rsid w:val="001633B3"/>
    <w:rsid w:val="00164081"/>
    <w:rsid w:val="001661D4"/>
    <w:rsid w:val="00166D2F"/>
    <w:rsid w:val="00184ED1"/>
    <w:rsid w:val="00185029"/>
    <w:rsid w:val="00190E6B"/>
    <w:rsid w:val="0019117C"/>
    <w:rsid w:val="00192ED0"/>
    <w:rsid w:val="00195110"/>
    <w:rsid w:val="001953FD"/>
    <w:rsid w:val="001970C0"/>
    <w:rsid w:val="001A0A5A"/>
    <w:rsid w:val="001A3040"/>
    <w:rsid w:val="001A34B4"/>
    <w:rsid w:val="001A5B45"/>
    <w:rsid w:val="001A6291"/>
    <w:rsid w:val="001A6996"/>
    <w:rsid w:val="001B1846"/>
    <w:rsid w:val="001B2BB8"/>
    <w:rsid w:val="001B31B9"/>
    <w:rsid w:val="001B3A1B"/>
    <w:rsid w:val="001B77F1"/>
    <w:rsid w:val="001C3848"/>
    <w:rsid w:val="001C38EF"/>
    <w:rsid w:val="001D03AE"/>
    <w:rsid w:val="001E34F5"/>
    <w:rsid w:val="001E6FC4"/>
    <w:rsid w:val="001E7F54"/>
    <w:rsid w:val="001F6914"/>
    <w:rsid w:val="001F70A8"/>
    <w:rsid w:val="001F787C"/>
    <w:rsid w:val="001F7ECD"/>
    <w:rsid w:val="002015A2"/>
    <w:rsid w:val="002029C8"/>
    <w:rsid w:val="00204678"/>
    <w:rsid w:val="00210DD1"/>
    <w:rsid w:val="002122A7"/>
    <w:rsid w:val="00213DC3"/>
    <w:rsid w:val="00213F95"/>
    <w:rsid w:val="0021572C"/>
    <w:rsid w:val="00215A37"/>
    <w:rsid w:val="00217767"/>
    <w:rsid w:val="0022213F"/>
    <w:rsid w:val="002225C0"/>
    <w:rsid w:val="00224DA0"/>
    <w:rsid w:val="00226449"/>
    <w:rsid w:val="00231E08"/>
    <w:rsid w:val="00233CB9"/>
    <w:rsid w:val="00234688"/>
    <w:rsid w:val="00234CFF"/>
    <w:rsid w:val="00236DB0"/>
    <w:rsid w:val="00240415"/>
    <w:rsid w:val="00246313"/>
    <w:rsid w:val="00246D8F"/>
    <w:rsid w:val="00252B0D"/>
    <w:rsid w:val="00252E88"/>
    <w:rsid w:val="00264D40"/>
    <w:rsid w:val="002656E8"/>
    <w:rsid w:val="0027294E"/>
    <w:rsid w:val="00275B11"/>
    <w:rsid w:val="00275EC4"/>
    <w:rsid w:val="002773F2"/>
    <w:rsid w:val="00282646"/>
    <w:rsid w:val="00285AD8"/>
    <w:rsid w:val="00294918"/>
    <w:rsid w:val="002973D7"/>
    <w:rsid w:val="002A1478"/>
    <w:rsid w:val="002A3A7C"/>
    <w:rsid w:val="002A3D3F"/>
    <w:rsid w:val="002A48D9"/>
    <w:rsid w:val="002A51F2"/>
    <w:rsid w:val="002A5689"/>
    <w:rsid w:val="002A6FE0"/>
    <w:rsid w:val="002B0A44"/>
    <w:rsid w:val="002B33C2"/>
    <w:rsid w:val="002B4A28"/>
    <w:rsid w:val="002C0EEE"/>
    <w:rsid w:val="002D1F11"/>
    <w:rsid w:val="002D3423"/>
    <w:rsid w:val="002D64D3"/>
    <w:rsid w:val="002D7508"/>
    <w:rsid w:val="002D7746"/>
    <w:rsid w:val="002E2743"/>
    <w:rsid w:val="002F3D39"/>
    <w:rsid w:val="002F5E0B"/>
    <w:rsid w:val="003005C4"/>
    <w:rsid w:val="00300B84"/>
    <w:rsid w:val="003068A2"/>
    <w:rsid w:val="003114D4"/>
    <w:rsid w:val="00312121"/>
    <w:rsid w:val="00313DEB"/>
    <w:rsid w:val="003169EE"/>
    <w:rsid w:val="0031702F"/>
    <w:rsid w:val="00322829"/>
    <w:rsid w:val="00322B7F"/>
    <w:rsid w:val="00324E86"/>
    <w:rsid w:val="0032502A"/>
    <w:rsid w:val="003270CD"/>
    <w:rsid w:val="00333711"/>
    <w:rsid w:val="003400E0"/>
    <w:rsid w:val="00340BC6"/>
    <w:rsid w:val="00341BD6"/>
    <w:rsid w:val="00344446"/>
    <w:rsid w:val="00344554"/>
    <w:rsid w:val="0035391E"/>
    <w:rsid w:val="0035432F"/>
    <w:rsid w:val="00357A3B"/>
    <w:rsid w:val="00360C2B"/>
    <w:rsid w:val="0036688B"/>
    <w:rsid w:val="00367F75"/>
    <w:rsid w:val="0037214B"/>
    <w:rsid w:val="00375567"/>
    <w:rsid w:val="00381D4B"/>
    <w:rsid w:val="00382D3D"/>
    <w:rsid w:val="00385475"/>
    <w:rsid w:val="00391474"/>
    <w:rsid w:val="00391BA7"/>
    <w:rsid w:val="00396397"/>
    <w:rsid w:val="00397614"/>
    <w:rsid w:val="003A2D6B"/>
    <w:rsid w:val="003A3639"/>
    <w:rsid w:val="003A39FA"/>
    <w:rsid w:val="003A4E7D"/>
    <w:rsid w:val="003A50AB"/>
    <w:rsid w:val="003B05F6"/>
    <w:rsid w:val="003B1037"/>
    <w:rsid w:val="003B1273"/>
    <w:rsid w:val="003B5411"/>
    <w:rsid w:val="003C00A5"/>
    <w:rsid w:val="003C03F6"/>
    <w:rsid w:val="003C4ED3"/>
    <w:rsid w:val="003C61BE"/>
    <w:rsid w:val="003C72E7"/>
    <w:rsid w:val="003D3ABD"/>
    <w:rsid w:val="003D4244"/>
    <w:rsid w:val="003E0AF4"/>
    <w:rsid w:val="003E0B5A"/>
    <w:rsid w:val="003E0E6C"/>
    <w:rsid w:val="003E5178"/>
    <w:rsid w:val="003F213C"/>
    <w:rsid w:val="003F2A87"/>
    <w:rsid w:val="003F60D0"/>
    <w:rsid w:val="003F735D"/>
    <w:rsid w:val="00401414"/>
    <w:rsid w:val="00402CC4"/>
    <w:rsid w:val="004041D2"/>
    <w:rsid w:val="0040612F"/>
    <w:rsid w:val="004067A8"/>
    <w:rsid w:val="004113BC"/>
    <w:rsid w:val="0041315B"/>
    <w:rsid w:val="004132C7"/>
    <w:rsid w:val="004174C2"/>
    <w:rsid w:val="004208A9"/>
    <w:rsid w:val="00421E07"/>
    <w:rsid w:val="00422414"/>
    <w:rsid w:val="00427EDD"/>
    <w:rsid w:val="0043075F"/>
    <w:rsid w:val="00431413"/>
    <w:rsid w:val="00432B13"/>
    <w:rsid w:val="004512EA"/>
    <w:rsid w:val="004577C7"/>
    <w:rsid w:val="00457B89"/>
    <w:rsid w:val="004608E5"/>
    <w:rsid w:val="00465ABD"/>
    <w:rsid w:val="004669C9"/>
    <w:rsid w:val="00471328"/>
    <w:rsid w:val="004747E6"/>
    <w:rsid w:val="00477C30"/>
    <w:rsid w:val="004806F3"/>
    <w:rsid w:val="00483122"/>
    <w:rsid w:val="0048510B"/>
    <w:rsid w:val="00486472"/>
    <w:rsid w:val="0048649B"/>
    <w:rsid w:val="0048751A"/>
    <w:rsid w:val="00497AE7"/>
    <w:rsid w:val="004A026C"/>
    <w:rsid w:val="004A1307"/>
    <w:rsid w:val="004A48B2"/>
    <w:rsid w:val="004A6821"/>
    <w:rsid w:val="004A6B9F"/>
    <w:rsid w:val="004B09CD"/>
    <w:rsid w:val="004B166D"/>
    <w:rsid w:val="004B2183"/>
    <w:rsid w:val="004B7C49"/>
    <w:rsid w:val="004C45F5"/>
    <w:rsid w:val="004C59ED"/>
    <w:rsid w:val="004C631C"/>
    <w:rsid w:val="004D0216"/>
    <w:rsid w:val="004E2391"/>
    <w:rsid w:val="004E3F24"/>
    <w:rsid w:val="004E4595"/>
    <w:rsid w:val="004E780A"/>
    <w:rsid w:val="004F2F8D"/>
    <w:rsid w:val="004F6306"/>
    <w:rsid w:val="004F664A"/>
    <w:rsid w:val="004F6876"/>
    <w:rsid w:val="005019F4"/>
    <w:rsid w:val="005050EB"/>
    <w:rsid w:val="005062D3"/>
    <w:rsid w:val="00507DF2"/>
    <w:rsid w:val="005154AF"/>
    <w:rsid w:val="00517AAF"/>
    <w:rsid w:val="00520DAC"/>
    <w:rsid w:val="00522929"/>
    <w:rsid w:val="005236BA"/>
    <w:rsid w:val="005241E0"/>
    <w:rsid w:val="00524E63"/>
    <w:rsid w:val="005255DF"/>
    <w:rsid w:val="00527ADB"/>
    <w:rsid w:val="005348CB"/>
    <w:rsid w:val="00540F45"/>
    <w:rsid w:val="005438C5"/>
    <w:rsid w:val="0054566A"/>
    <w:rsid w:val="00551EA7"/>
    <w:rsid w:val="005528DF"/>
    <w:rsid w:val="0055409D"/>
    <w:rsid w:val="00555558"/>
    <w:rsid w:val="0055576C"/>
    <w:rsid w:val="00561852"/>
    <w:rsid w:val="00563ADC"/>
    <w:rsid w:val="00564357"/>
    <w:rsid w:val="00576014"/>
    <w:rsid w:val="005774BB"/>
    <w:rsid w:val="0058111B"/>
    <w:rsid w:val="005834FA"/>
    <w:rsid w:val="005852B8"/>
    <w:rsid w:val="0058765E"/>
    <w:rsid w:val="00587EE1"/>
    <w:rsid w:val="005913FE"/>
    <w:rsid w:val="0059397B"/>
    <w:rsid w:val="00593D3F"/>
    <w:rsid w:val="005949D1"/>
    <w:rsid w:val="00594C17"/>
    <w:rsid w:val="00596B7D"/>
    <w:rsid w:val="005975C5"/>
    <w:rsid w:val="005A75E2"/>
    <w:rsid w:val="005B5D6F"/>
    <w:rsid w:val="005C0FCE"/>
    <w:rsid w:val="005C222C"/>
    <w:rsid w:val="005C3011"/>
    <w:rsid w:val="005C655E"/>
    <w:rsid w:val="005D0244"/>
    <w:rsid w:val="005D3DB2"/>
    <w:rsid w:val="005D4234"/>
    <w:rsid w:val="005E1D19"/>
    <w:rsid w:val="005E6D1C"/>
    <w:rsid w:val="005E6E2E"/>
    <w:rsid w:val="005F1542"/>
    <w:rsid w:val="005F4BED"/>
    <w:rsid w:val="005F5C11"/>
    <w:rsid w:val="005F79BB"/>
    <w:rsid w:val="006009F4"/>
    <w:rsid w:val="0060796D"/>
    <w:rsid w:val="00612442"/>
    <w:rsid w:val="00613F31"/>
    <w:rsid w:val="006203B6"/>
    <w:rsid w:val="00623C66"/>
    <w:rsid w:val="00624A2A"/>
    <w:rsid w:val="006261EE"/>
    <w:rsid w:val="00632CC5"/>
    <w:rsid w:val="0063308E"/>
    <w:rsid w:val="0063632A"/>
    <w:rsid w:val="00637F10"/>
    <w:rsid w:val="00650AB8"/>
    <w:rsid w:val="0065222F"/>
    <w:rsid w:val="006539C6"/>
    <w:rsid w:val="006622EB"/>
    <w:rsid w:val="006649B0"/>
    <w:rsid w:val="0066507E"/>
    <w:rsid w:val="00672EC5"/>
    <w:rsid w:val="00676912"/>
    <w:rsid w:val="00676C13"/>
    <w:rsid w:val="006835A5"/>
    <w:rsid w:val="00683BF1"/>
    <w:rsid w:val="00684431"/>
    <w:rsid w:val="006851EA"/>
    <w:rsid w:val="00690DFF"/>
    <w:rsid w:val="00694C2F"/>
    <w:rsid w:val="006A0960"/>
    <w:rsid w:val="006A13E2"/>
    <w:rsid w:val="006A4D40"/>
    <w:rsid w:val="006A573B"/>
    <w:rsid w:val="006A6A6F"/>
    <w:rsid w:val="006B3C4B"/>
    <w:rsid w:val="006B4487"/>
    <w:rsid w:val="006B7F16"/>
    <w:rsid w:val="006C19EC"/>
    <w:rsid w:val="006C7788"/>
    <w:rsid w:val="006D0BBF"/>
    <w:rsid w:val="006D0DFF"/>
    <w:rsid w:val="006D218F"/>
    <w:rsid w:val="006D3C7D"/>
    <w:rsid w:val="006D61C6"/>
    <w:rsid w:val="006D70F4"/>
    <w:rsid w:val="006E078B"/>
    <w:rsid w:val="006E22C0"/>
    <w:rsid w:val="006E238E"/>
    <w:rsid w:val="006E3269"/>
    <w:rsid w:val="006E572A"/>
    <w:rsid w:val="006E7C44"/>
    <w:rsid w:val="006E7F5E"/>
    <w:rsid w:val="006F5BDF"/>
    <w:rsid w:val="006F7315"/>
    <w:rsid w:val="00701389"/>
    <w:rsid w:val="00702301"/>
    <w:rsid w:val="007033A6"/>
    <w:rsid w:val="007068E8"/>
    <w:rsid w:val="00707DF2"/>
    <w:rsid w:val="0071186E"/>
    <w:rsid w:val="00712935"/>
    <w:rsid w:val="00712968"/>
    <w:rsid w:val="00716DF7"/>
    <w:rsid w:val="00720E52"/>
    <w:rsid w:val="00722050"/>
    <w:rsid w:val="007247DE"/>
    <w:rsid w:val="007268A5"/>
    <w:rsid w:val="007268B1"/>
    <w:rsid w:val="00730159"/>
    <w:rsid w:val="0073692E"/>
    <w:rsid w:val="007456D0"/>
    <w:rsid w:val="007476F9"/>
    <w:rsid w:val="00750676"/>
    <w:rsid w:val="007521DE"/>
    <w:rsid w:val="007608F0"/>
    <w:rsid w:val="00761992"/>
    <w:rsid w:val="007648F3"/>
    <w:rsid w:val="0076732A"/>
    <w:rsid w:val="007727E3"/>
    <w:rsid w:val="00772C05"/>
    <w:rsid w:val="00774791"/>
    <w:rsid w:val="007752C4"/>
    <w:rsid w:val="007777FE"/>
    <w:rsid w:val="00780876"/>
    <w:rsid w:val="00784C34"/>
    <w:rsid w:val="00786BE1"/>
    <w:rsid w:val="007905EF"/>
    <w:rsid w:val="00790E3F"/>
    <w:rsid w:val="00793065"/>
    <w:rsid w:val="007957F5"/>
    <w:rsid w:val="007964E8"/>
    <w:rsid w:val="007969DA"/>
    <w:rsid w:val="007A0BD5"/>
    <w:rsid w:val="007A2E86"/>
    <w:rsid w:val="007A341F"/>
    <w:rsid w:val="007A37A4"/>
    <w:rsid w:val="007A70E6"/>
    <w:rsid w:val="007B0A2E"/>
    <w:rsid w:val="007B21D1"/>
    <w:rsid w:val="007B24BA"/>
    <w:rsid w:val="007C1247"/>
    <w:rsid w:val="007C6711"/>
    <w:rsid w:val="007D40ED"/>
    <w:rsid w:val="007D65E7"/>
    <w:rsid w:val="007E09AD"/>
    <w:rsid w:val="007E0C31"/>
    <w:rsid w:val="007E1D09"/>
    <w:rsid w:val="007E4BF7"/>
    <w:rsid w:val="007E72AC"/>
    <w:rsid w:val="007F106C"/>
    <w:rsid w:val="007F1B00"/>
    <w:rsid w:val="008036E0"/>
    <w:rsid w:val="00807EF1"/>
    <w:rsid w:val="0081035F"/>
    <w:rsid w:val="00810542"/>
    <w:rsid w:val="00812719"/>
    <w:rsid w:val="00813753"/>
    <w:rsid w:val="00825972"/>
    <w:rsid w:val="00827C1B"/>
    <w:rsid w:val="00831ED2"/>
    <w:rsid w:val="00834364"/>
    <w:rsid w:val="00836B47"/>
    <w:rsid w:val="008405E6"/>
    <w:rsid w:val="0084249E"/>
    <w:rsid w:val="00842DC3"/>
    <w:rsid w:val="00843691"/>
    <w:rsid w:val="00854AE6"/>
    <w:rsid w:val="0085507F"/>
    <w:rsid w:val="008602A2"/>
    <w:rsid w:val="00860C9A"/>
    <w:rsid w:val="0086116A"/>
    <w:rsid w:val="00862622"/>
    <w:rsid w:val="00866642"/>
    <w:rsid w:val="008671D1"/>
    <w:rsid w:val="0087082C"/>
    <w:rsid w:val="00871C22"/>
    <w:rsid w:val="00871DB3"/>
    <w:rsid w:val="008729F8"/>
    <w:rsid w:val="00872E46"/>
    <w:rsid w:val="0087450D"/>
    <w:rsid w:val="00874AA4"/>
    <w:rsid w:val="0087725D"/>
    <w:rsid w:val="008812DA"/>
    <w:rsid w:val="0088321F"/>
    <w:rsid w:val="00883686"/>
    <w:rsid w:val="00883D15"/>
    <w:rsid w:val="00885B85"/>
    <w:rsid w:val="00890925"/>
    <w:rsid w:val="00893FE4"/>
    <w:rsid w:val="00894CA9"/>
    <w:rsid w:val="00895282"/>
    <w:rsid w:val="00895880"/>
    <w:rsid w:val="008976CD"/>
    <w:rsid w:val="008A55D2"/>
    <w:rsid w:val="008A6B55"/>
    <w:rsid w:val="008B4598"/>
    <w:rsid w:val="008B464A"/>
    <w:rsid w:val="008B490F"/>
    <w:rsid w:val="008B5488"/>
    <w:rsid w:val="008C49E0"/>
    <w:rsid w:val="008C5FB0"/>
    <w:rsid w:val="008C6051"/>
    <w:rsid w:val="008D35E3"/>
    <w:rsid w:val="008D7139"/>
    <w:rsid w:val="008E0D52"/>
    <w:rsid w:val="008E4185"/>
    <w:rsid w:val="008E7D8A"/>
    <w:rsid w:val="008F397A"/>
    <w:rsid w:val="008F4A47"/>
    <w:rsid w:val="008F7811"/>
    <w:rsid w:val="0091525D"/>
    <w:rsid w:val="00916C90"/>
    <w:rsid w:val="009203E1"/>
    <w:rsid w:val="00925CBA"/>
    <w:rsid w:val="00927A51"/>
    <w:rsid w:val="00930A2B"/>
    <w:rsid w:val="00936917"/>
    <w:rsid w:val="00936EC9"/>
    <w:rsid w:val="00937702"/>
    <w:rsid w:val="00942BAF"/>
    <w:rsid w:val="00950CD2"/>
    <w:rsid w:val="00954EF6"/>
    <w:rsid w:val="009566E2"/>
    <w:rsid w:val="009601C1"/>
    <w:rsid w:val="00961633"/>
    <w:rsid w:val="00967AEC"/>
    <w:rsid w:val="00970B87"/>
    <w:rsid w:val="00972460"/>
    <w:rsid w:val="00973C1B"/>
    <w:rsid w:val="00983F07"/>
    <w:rsid w:val="00985A67"/>
    <w:rsid w:val="009869C7"/>
    <w:rsid w:val="0099017D"/>
    <w:rsid w:val="009A0088"/>
    <w:rsid w:val="009A6A32"/>
    <w:rsid w:val="009A763C"/>
    <w:rsid w:val="009B1847"/>
    <w:rsid w:val="009B3642"/>
    <w:rsid w:val="009B4BC3"/>
    <w:rsid w:val="009B5804"/>
    <w:rsid w:val="009B6364"/>
    <w:rsid w:val="009B7B6D"/>
    <w:rsid w:val="009B7C3A"/>
    <w:rsid w:val="009C3916"/>
    <w:rsid w:val="009C4477"/>
    <w:rsid w:val="009C7C12"/>
    <w:rsid w:val="009D0123"/>
    <w:rsid w:val="009D247C"/>
    <w:rsid w:val="009E2BDA"/>
    <w:rsid w:val="009E30AA"/>
    <w:rsid w:val="009E4EB1"/>
    <w:rsid w:val="009E62BF"/>
    <w:rsid w:val="009E7A4E"/>
    <w:rsid w:val="009F04DF"/>
    <w:rsid w:val="009F2714"/>
    <w:rsid w:val="009F3386"/>
    <w:rsid w:val="009F53BA"/>
    <w:rsid w:val="009F7070"/>
    <w:rsid w:val="009F7C41"/>
    <w:rsid w:val="009F7FC3"/>
    <w:rsid w:val="00A02DDE"/>
    <w:rsid w:val="00A05022"/>
    <w:rsid w:val="00A051E4"/>
    <w:rsid w:val="00A07EF3"/>
    <w:rsid w:val="00A14897"/>
    <w:rsid w:val="00A17140"/>
    <w:rsid w:val="00A17C11"/>
    <w:rsid w:val="00A20A4F"/>
    <w:rsid w:val="00A24C48"/>
    <w:rsid w:val="00A304C7"/>
    <w:rsid w:val="00A32E92"/>
    <w:rsid w:val="00A3685B"/>
    <w:rsid w:val="00A4162E"/>
    <w:rsid w:val="00A45FFD"/>
    <w:rsid w:val="00A4710F"/>
    <w:rsid w:val="00A518EC"/>
    <w:rsid w:val="00A5325A"/>
    <w:rsid w:val="00A54CDD"/>
    <w:rsid w:val="00A57300"/>
    <w:rsid w:val="00A60492"/>
    <w:rsid w:val="00A63867"/>
    <w:rsid w:val="00A70B7E"/>
    <w:rsid w:val="00A72698"/>
    <w:rsid w:val="00A726BF"/>
    <w:rsid w:val="00A7309C"/>
    <w:rsid w:val="00A74215"/>
    <w:rsid w:val="00A7768D"/>
    <w:rsid w:val="00A80EBA"/>
    <w:rsid w:val="00A90D3F"/>
    <w:rsid w:val="00A925D5"/>
    <w:rsid w:val="00A954B6"/>
    <w:rsid w:val="00A96932"/>
    <w:rsid w:val="00AA56DD"/>
    <w:rsid w:val="00AA6784"/>
    <w:rsid w:val="00AA69B5"/>
    <w:rsid w:val="00AA6B2A"/>
    <w:rsid w:val="00AB02C3"/>
    <w:rsid w:val="00AB04DC"/>
    <w:rsid w:val="00AB6112"/>
    <w:rsid w:val="00AC29F5"/>
    <w:rsid w:val="00AC2BFD"/>
    <w:rsid w:val="00AC4587"/>
    <w:rsid w:val="00AD0E58"/>
    <w:rsid w:val="00AD306C"/>
    <w:rsid w:val="00AD47F4"/>
    <w:rsid w:val="00AD5C35"/>
    <w:rsid w:val="00AF46D4"/>
    <w:rsid w:val="00AF49E8"/>
    <w:rsid w:val="00B024D8"/>
    <w:rsid w:val="00B12858"/>
    <w:rsid w:val="00B15BEB"/>
    <w:rsid w:val="00B21AF5"/>
    <w:rsid w:val="00B2274B"/>
    <w:rsid w:val="00B2455A"/>
    <w:rsid w:val="00B24AB4"/>
    <w:rsid w:val="00B256CE"/>
    <w:rsid w:val="00B26221"/>
    <w:rsid w:val="00B354F6"/>
    <w:rsid w:val="00B4185B"/>
    <w:rsid w:val="00B427FC"/>
    <w:rsid w:val="00B44032"/>
    <w:rsid w:val="00B446E1"/>
    <w:rsid w:val="00B44A60"/>
    <w:rsid w:val="00B468FE"/>
    <w:rsid w:val="00B46F0F"/>
    <w:rsid w:val="00B51392"/>
    <w:rsid w:val="00B5359C"/>
    <w:rsid w:val="00B560F2"/>
    <w:rsid w:val="00B57B0E"/>
    <w:rsid w:val="00B60F30"/>
    <w:rsid w:val="00B6752E"/>
    <w:rsid w:val="00B7797E"/>
    <w:rsid w:val="00B847C9"/>
    <w:rsid w:val="00B849AF"/>
    <w:rsid w:val="00B84AC0"/>
    <w:rsid w:val="00B905A8"/>
    <w:rsid w:val="00B94A09"/>
    <w:rsid w:val="00B96897"/>
    <w:rsid w:val="00B972B3"/>
    <w:rsid w:val="00B97944"/>
    <w:rsid w:val="00BA0EC2"/>
    <w:rsid w:val="00BA146E"/>
    <w:rsid w:val="00BA1A8C"/>
    <w:rsid w:val="00BA1BFD"/>
    <w:rsid w:val="00BA289A"/>
    <w:rsid w:val="00BA457E"/>
    <w:rsid w:val="00BA7E21"/>
    <w:rsid w:val="00BB0E3F"/>
    <w:rsid w:val="00BB1174"/>
    <w:rsid w:val="00BB1F00"/>
    <w:rsid w:val="00BB297F"/>
    <w:rsid w:val="00BB41E5"/>
    <w:rsid w:val="00BB6D87"/>
    <w:rsid w:val="00BC62A0"/>
    <w:rsid w:val="00BC6D5A"/>
    <w:rsid w:val="00BD08F5"/>
    <w:rsid w:val="00BD26B6"/>
    <w:rsid w:val="00BD7590"/>
    <w:rsid w:val="00BE1267"/>
    <w:rsid w:val="00BE522D"/>
    <w:rsid w:val="00BE540F"/>
    <w:rsid w:val="00BF0350"/>
    <w:rsid w:val="00BF0C0E"/>
    <w:rsid w:val="00BF50CE"/>
    <w:rsid w:val="00BF636E"/>
    <w:rsid w:val="00BF72E1"/>
    <w:rsid w:val="00C012A7"/>
    <w:rsid w:val="00C128CA"/>
    <w:rsid w:val="00C2118D"/>
    <w:rsid w:val="00C22FD3"/>
    <w:rsid w:val="00C24FD3"/>
    <w:rsid w:val="00C26DB5"/>
    <w:rsid w:val="00C2719F"/>
    <w:rsid w:val="00C300F3"/>
    <w:rsid w:val="00C324AB"/>
    <w:rsid w:val="00C3534A"/>
    <w:rsid w:val="00C36DC9"/>
    <w:rsid w:val="00C40270"/>
    <w:rsid w:val="00C4556D"/>
    <w:rsid w:val="00C50CFC"/>
    <w:rsid w:val="00C5220D"/>
    <w:rsid w:val="00C532C6"/>
    <w:rsid w:val="00C542D5"/>
    <w:rsid w:val="00C579DC"/>
    <w:rsid w:val="00C62327"/>
    <w:rsid w:val="00C66C74"/>
    <w:rsid w:val="00C67716"/>
    <w:rsid w:val="00C7225C"/>
    <w:rsid w:val="00C861C4"/>
    <w:rsid w:val="00C9094E"/>
    <w:rsid w:val="00C9140D"/>
    <w:rsid w:val="00C91D98"/>
    <w:rsid w:val="00C928F1"/>
    <w:rsid w:val="00C939B9"/>
    <w:rsid w:val="00C96A88"/>
    <w:rsid w:val="00CA3425"/>
    <w:rsid w:val="00CA4224"/>
    <w:rsid w:val="00CA5FED"/>
    <w:rsid w:val="00CA692A"/>
    <w:rsid w:val="00CA771A"/>
    <w:rsid w:val="00CB1085"/>
    <w:rsid w:val="00CB4070"/>
    <w:rsid w:val="00CB6FA6"/>
    <w:rsid w:val="00CC256C"/>
    <w:rsid w:val="00CC6523"/>
    <w:rsid w:val="00CC6946"/>
    <w:rsid w:val="00CD2BC8"/>
    <w:rsid w:val="00CD2FE5"/>
    <w:rsid w:val="00CD3249"/>
    <w:rsid w:val="00CD7EA0"/>
    <w:rsid w:val="00CE02B3"/>
    <w:rsid w:val="00CE3D43"/>
    <w:rsid w:val="00CE4D4B"/>
    <w:rsid w:val="00CE5CA7"/>
    <w:rsid w:val="00CE6D92"/>
    <w:rsid w:val="00CE7A63"/>
    <w:rsid w:val="00CF0C23"/>
    <w:rsid w:val="00CF16A4"/>
    <w:rsid w:val="00CF3A4D"/>
    <w:rsid w:val="00CF3BE7"/>
    <w:rsid w:val="00CF5F64"/>
    <w:rsid w:val="00D0175D"/>
    <w:rsid w:val="00D04846"/>
    <w:rsid w:val="00D10361"/>
    <w:rsid w:val="00D10EF6"/>
    <w:rsid w:val="00D11666"/>
    <w:rsid w:val="00D13D4D"/>
    <w:rsid w:val="00D2218F"/>
    <w:rsid w:val="00D259DE"/>
    <w:rsid w:val="00D318B1"/>
    <w:rsid w:val="00D4139D"/>
    <w:rsid w:val="00D43228"/>
    <w:rsid w:val="00D45EBB"/>
    <w:rsid w:val="00D46D9D"/>
    <w:rsid w:val="00D470F7"/>
    <w:rsid w:val="00D51283"/>
    <w:rsid w:val="00D52F1E"/>
    <w:rsid w:val="00D5514B"/>
    <w:rsid w:val="00D56C53"/>
    <w:rsid w:val="00D5715E"/>
    <w:rsid w:val="00D6089F"/>
    <w:rsid w:val="00D61F49"/>
    <w:rsid w:val="00D625DD"/>
    <w:rsid w:val="00D629B3"/>
    <w:rsid w:val="00D63ECD"/>
    <w:rsid w:val="00D64A8D"/>
    <w:rsid w:val="00D66888"/>
    <w:rsid w:val="00D709D7"/>
    <w:rsid w:val="00D71CA8"/>
    <w:rsid w:val="00D72BBE"/>
    <w:rsid w:val="00D73641"/>
    <w:rsid w:val="00D760DA"/>
    <w:rsid w:val="00D8059F"/>
    <w:rsid w:val="00D80A6D"/>
    <w:rsid w:val="00D81113"/>
    <w:rsid w:val="00D94075"/>
    <w:rsid w:val="00D94F5C"/>
    <w:rsid w:val="00D96E3F"/>
    <w:rsid w:val="00DA5807"/>
    <w:rsid w:val="00DC5832"/>
    <w:rsid w:val="00DC736E"/>
    <w:rsid w:val="00DD0EDE"/>
    <w:rsid w:val="00DD56B6"/>
    <w:rsid w:val="00DD630E"/>
    <w:rsid w:val="00DD71C4"/>
    <w:rsid w:val="00DE05C9"/>
    <w:rsid w:val="00DE2D52"/>
    <w:rsid w:val="00DE2D62"/>
    <w:rsid w:val="00DF2284"/>
    <w:rsid w:val="00DF60BF"/>
    <w:rsid w:val="00DF6C56"/>
    <w:rsid w:val="00E071EE"/>
    <w:rsid w:val="00E22B4C"/>
    <w:rsid w:val="00E234A8"/>
    <w:rsid w:val="00E2478C"/>
    <w:rsid w:val="00E24888"/>
    <w:rsid w:val="00E26138"/>
    <w:rsid w:val="00E30D81"/>
    <w:rsid w:val="00E34682"/>
    <w:rsid w:val="00E34ACB"/>
    <w:rsid w:val="00E373BB"/>
    <w:rsid w:val="00E4185D"/>
    <w:rsid w:val="00E45741"/>
    <w:rsid w:val="00E57ADB"/>
    <w:rsid w:val="00E6773D"/>
    <w:rsid w:val="00E708F1"/>
    <w:rsid w:val="00E713A7"/>
    <w:rsid w:val="00E77D93"/>
    <w:rsid w:val="00E82DFF"/>
    <w:rsid w:val="00E82FD2"/>
    <w:rsid w:val="00E92AB6"/>
    <w:rsid w:val="00E93656"/>
    <w:rsid w:val="00E93963"/>
    <w:rsid w:val="00E97DF3"/>
    <w:rsid w:val="00EA54DA"/>
    <w:rsid w:val="00EA79D2"/>
    <w:rsid w:val="00EB011D"/>
    <w:rsid w:val="00EB51D6"/>
    <w:rsid w:val="00EB5A76"/>
    <w:rsid w:val="00EC2237"/>
    <w:rsid w:val="00EC404C"/>
    <w:rsid w:val="00EC41CA"/>
    <w:rsid w:val="00EC534B"/>
    <w:rsid w:val="00EC58BE"/>
    <w:rsid w:val="00ED3672"/>
    <w:rsid w:val="00ED61B4"/>
    <w:rsid w:val="00ED6C94"/>
    <w:rsid w:val="00EE2251"/>
    <w:rsid w:val="00EE2653"/>
    <w:rsid w:val="00EE7D90"/>
    <w:rsid w:val="00EF3A14"/>
    <w:rsid w:val="00EF4E5C"/>
    <w:rsid w:val="00F002B6"/>
    <w:rsid w:val="00F01090"/>
    <w:rsid w:val="00F038BA"/>
    <w:rsid w:val="00F05AA9"/>
    <w:rsid w:val="00F12AA0"/>
    <w:rsid w:val="00F25E06"/>
    <w:rsid w:val="00F26612"/>
    <w:rsid w:val="00F2716A"/>
    <w:rsid w:val="00F277B1"/>
    <w:rsid w:val="00F27C29"/>
    <w:rsid w:val="00F3385E"/>
    <w:rsid w:val="00F35998"/>
    <w:rsid w:val="00F409F2"/>
    <w:rsid w:val="00F447B3"/>
    <w:rsid w:val="00F458C3"/>
    <w:rsid w:val="00F47EB6"/>
    <w:rsid w:val="00F51BC5"/>
    <w:rsid w:val="00F53A14"/>
    <w:rsid w:val="00F57710"/>
    <w:rsid w:val="00F577AA"/>
    <w:rsid w:val="00F57D02"/>
    <w:rsid w:val="00F604DC"/>
    <w:rsid w:val="00F60E3F"/>
    <w:rsid w:val="00F6133A"/>
    <w:rsid w:val="00F64597"/>
    <w:rsid w:val="00F64C40"/>
    <w:rsid w:val="00F73004"/>
    <w:rsid w:val="00F73256"/>
    <w:rsid w:val="00F75163"/>
    <w:rsid w:val="00F76E86"/>
    <w:rsid w:val="00F77BB0"/>
    <w:rsid w:val="00F81122"/>
    <w:rsid w:val="00F86C3A"/>
    <w:rsid w:val="00F87C8B"/>
    <w:rsid w:val="00F9012D"/>
    <w:rsid w:val="00F908E9"/>
    <w:rsid w:val="00FA000E"/>
    <w:rsid w:val="00FA3196"/>
    <w:rsid w:val="00FA31D4"/>
    <w:rsid w:val="00FA3F9D"/>
    <w:rsid w:val="00FB215A"/>
    <w:rsid w:val="00FB2C3F"/>
    <w:rsid w:val="00FB38D7"/>
    <w:rsid w:val="00FB3DE2"/>
    <w:rsid w:val="00FB4154"/>
    <w:rsid w:val="00FB583C"/>
    <w:rsid w:val="00FD0210"/>
    <w:rsid w:val="00FD2AC8"/>
    <w:rsid w:val="00FD42DA"/>
    <w:rsid w:val="00FD4766"/>
    <w:rsid w:val="00FD7281"/>
    <w:rsid w:val="00FE1823"/>
    <w:rsid w:val="00FE3A67"/>
    <w:rsid w:val="00FF0A91"/>
    <w:rsid w:val="00FF41F3"/>
    <w:rsid w:val="00FF43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5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CA" w:eastAsia="en-CA" w:bidi="ar-SA"/>
      </w:rPr>
    </w:rPrDefault>
    <w:pPrDefault/>
  </w:docDefaults>
  <w:latentStyles w:defLockedState="0" w:defUIPriority="99" w:defSemiHidden="0" w:defUnhideWhenUsed="0" w:defQFormat="0" w:count="371">
    <w:lsdException w:name="Normal" w:uiPriority="29" w:unhideWhenUsed="1" w:qFormat="1"/>
    <w:lsdException w:name="heading 1" w:unhideWhenUsed="1" w:qFormat="1"/>
    <w:lsdException w:name="heading 2" w:unhideWhenUsed="1" w:qFormat="1"/>
    <w:lsdException w:name="heading 3" w:unhideWhenUsed="1"/>
    <w:lsdException w:name="heading 4" w:unhideWhenUsed="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unhideWhenUsed="1"/>
    <w:lsdException w:name="Date" w:uiPriority="29" w:unhideWhenUsed="1" w:qFormat="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nhideWhenUsed="1"/>
    <w:lsdException w:name="Emphasis" w:unhideWhenUsed="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lsdException w:name="Outline List 1" w:semiHidden="1" w:uiPriority="0"/>
    <w:lsdException w:name="Outline List 2" w:semiHidden="1" w:uiPriority="0"/>
    <w:lsdException w:name="Outline List 3" w:semiHidden="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nhideWhenUsed="1" w:qFormat="1"/>
    <w:lsdException w:name="Quote" w:unhideWhenUsed="1"/>
    <w:lsdException w:name="Intense Quote"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nhideWhenUsed="1"/>
    <w:lsdException w:name="Intense Emphasis" w:unhideWhenUsed="1"/>
    <w:lsdException w:name="Subtle Reference" w:unhideWhenUsed="1"/>
    <w:lsdException w:name="Intense Reference" w:unhideWhenUsed="1"/>
    <w:lsdException w:name="Book Title" w:unhideWhenUsed="1"/>
    <w:lsdException w:name="Bibliography" w:semiHidden="1" w:unhideWhenUsed="1"/>
    <w:lsdException w:name="TOC Heading" w:semiHidden="1" w:unhideWhenUsed="1"/>
  </w:latentStyles>
  <w:style w:type="paragraph" w:default="1" w:styleId="Normal">
    <w:name w:val="Normal"/>
    <w:uiPriority w:val="29"/>
    <w:unhideWhenUsed/>
    <w:qFormat/>
    <w:rsid w:val="00322829"/>
    <w:rPr>
      <w:rFonts w:ascii="Arial" w:hAnsi="Arial"/>
      <w:sz w:val="24"/>
      <w:lang w:val="fr-CA" w:eastAsia="fr-FR"/>
    </w:rPr>
  </w:style>
  <w:style w:type="paragraph" w:styleId="Titre1">
    <w:name w:val="heading 1"/>
    <w:basedOn w:val="Normal"/>
    <w:next w:val="Normal"/>
    <w:link w:val="Titre1Car"/>
    <w:uiPriority w:val="99"/>
    <w:unhideWhenUsed/>
    <w:qFormat/>
    <w:rsid w:val="00300B84"/>
    <w:pPr>
      <w:keepNext/>
      <w:keepLines/>
      <w:spacing w:before="120" w:after="240"/>
      <w:outlineLvl w:val="0"/>
    </w:pPr>
    <w:rPr>
      <w:b/>
      <w:kern w:val="28"/>
    </w:rPr>
  </w:style>
  <w:style w:type="paragraph" w:styleId="Titre2">
    <w:name w:val="heading 2"/>
    <w:basedOn w:val="Normal"/>
    <w:next w:val="Normal"/>
    <w:link w:val="Titre2Car"/>
    <w:autoRedefine/>
    <w:uiPriority w:val="99"/>
    <w:semiHidden/>
    <w:unhideWhenUsed/>
    <w:qFormat/>
    <w:rsid w:val="00252E88"/>
    <w:pPr>
      <w:keepNext/>
      <w:numPr>
        <w:numId w:val="14"/>
      </w:numPr>
      <w:spacing w:after="240"/>
      <w:jc w:val="both"/>
      <w:outlineLvl w:val="1"/>
    </w:pPr>
    <w:rPr>
      <w:b/>
    </w:rPr>
  </w:style>
  <w:style w:type="paragraph" w:styleId="Titre3">
    <w:name w:val="heading 3"/>
    <w:basedOn w:val="Normal"/>
    <w:next w:val="Normal"/>
    <w:autoRedefine/>
    <w:uiPriority w:val="99"/>
    <w:semiHidden/>
    <w:unhideWhenUsed/>
    <w:rsid w:val="00FB4154"/>
    <w:pPr>
      <w:keepNext/>
      <w:numPr>
        <w:numId w:val="12"/>
      </w:numPr>
      <w:spacing w:after="240"/>
      <w:ind w:left="720" w:hanging="720"/>
      <w:jc w:val="both"/>
      <w:outlineLvl w:val="2"/>
    </w:pPr>
    <w:rPr>
      <w:b/>
    </w:rPr>
  </w:style>
  <w:style w:type="paragraph" w:styleId="Titre4">
    <w:name w:val="heading 4"/>
    <w:basedOn w:val="Normal"/>
    <w:next w:val="Normal"/>
    <w:uiPriority w:val="99"/>
    <w:semiHidden/>
    <w:unhideWhenUsed/>
    <w:rsid w:val="008671D1"/>
    <w:pPr>
      <w:keepNext/>
      <w:numPr>
        <w:numId w:val="20"/>
      </w:numPr>
      <w:spacing w:before="240" w:after="240"/>
      <w:outlineLvl w:val="3"/>
    </w:pPr>
    <w:rPr>
      <w:b/>
      <w:i/>
    </w:rPr>
  </w:style>
  <w:style w:type="paragraph" w:styleId="Titre5">
    <w:name w:val="heading 5"/>
    <w:basedOn w:val="Normal"/>
    <w:next w:val="Normal"/>
    <w:uiPriority w:val="99"/>
    <w:semiHidden/>
    <w:unhideWhenUsed/>
    <w:rsid w:val="00034B50"/>
    <w:pPr>
      <w:keepNext/>
      <w:spacing w:after="240"/>
      <w:outlineLvl w:val="4"/>
    </w:pPr>
    <w:rPr>
      <w:b/>
    </w:rPr>
  </w:style>
  <w:style w:type="paragraph" w:styleId="Titre6">
    <w:name w:val="heading 6"/>
    <w:basedOn w:val="Normal"/>
    <w:next w:val="Normal"/>
    <w:uiPriority w:val="99"/>
    <w:semiHidden/>
    <w:unhideWhenUsed/>
    <w:rsid w:val="001E6FC4"/>
    <w:pPr>
      <w:keepNext/>
      <w:numPr>
        <w:numId w:val="30"/>
      </w:numPr>
      <w:spacing w:after="240"/>
      <w:outlineLvl w:val="5"/>
    </w:pPr>
    <w:rPr>
      <w:b/>
    </w:rPr>
  </w:style>
  <w:style w:type="paragraph" w:styleId="Titre7">
    <w:name w:val="heading 7"/>
    <w:basedOn w:val="Normal"/>
    <w:next w:val="Normal"/>
    <w:uiPriority w:val="99"/>
    <w:semiHidden/>
    <w:unhideWhenUsed/>
    <w:pPr>
      <w:spacing w:before="240" w:after="60"/>
      <w:outlineLvl w:val="6"/>
    </w:pPr>
    <w:rPr>
      <w:sz w:val="20"/>
    </w:rPr>
  </w:style>
  <w:style w:type="paragraph" w:styleId="Titre8">
    <w:name w:val="heading 8"/>
    <w:basedOn w:val="Normal"/>
    <w:next w:val="Normal"/>
    <w:uiPriority w:val="99"/>
    <w:semiHidden/>
    <w:unhideWhenUsed/>
    <w:pPr>
      <w:spacing w:before="240" w:after="60"/>
      <w:outlineLvl w:val="7"/>
    </w:pPr>
    <w:rPr>
      <w:i/>
      <w:sz w:val="20"/>
    </w:rPr>
  </w:style>
  <w:style w:type="paragraph" w:styleId="Titre9">
    <w:name w:val="heading 9"/>
    <w:basedOn w:val="Normal"/>
    <w:next w:val="Normal"/>
    <w:uiPriority w:val="99"/>
    <w:semiHidden/>
    <w:unhideWhenUsed/>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enretrait">
    <w:name w:val="Citation en retrait"/>
    <w:basedOn w:val="Normal"/>
    <w:uiPriority w:val="29"/>
    <w:qFormat/>
    <w:rsid w:val="007E4BF7"/>
    <w:pPr>
      <w:spacing w:before="120" w:after="120"/>
      <w:ind w:left="720"/>
      <w:jc w:val="both"/>
    </w:pPr>
    <w:rPr>
      <w:kern w:val="24"/>
      <w:sz w:val="22"/>
    </w:rPr>
  </w:style>
  <w:style w:type="character" w:customStyle="1" w:styleId="Citationintgre">
    <w:name w:val="Citation intégrée"/>
    <w:uiPriority w:val="29"/>
    <w:qFormat/>
    <w:rPr>
      <w:rFonts w:ascii="Arial" w:hAnsi="Arial"/>
      <w:i/>
      <w:noProof w:val="0"/>
      <w:sz w:val="22"/>
      <w:lang w:val="fr-CA"/>
    </w:rPr>
  </w:style>
  <w:style w:type="paragraph" w:styleId="Corpsdetexte">
    <w:name w:val="Body Text"/>
    <w:basedOn w:val="Normal"/>
    <w:link w:val="CorpsdetexteCar"/>
    <w:uiPriority w:val="99"/>
    <w:unhideWhenUsed/>
    <w:rsid w:val="00FD42DA"/>
    <w:pPr>
      <w:spacing w:after="120"/>
      <w:jc w:val="both"/>
    </w:pPr>
  </w:style>
  <w:style w:type="paragraph" w:styleId="Notedebasdepage">
    <w:name w:val="footnote text"/>
    <w:basedOn w:val="Normal"/>
    <w:uiPriority w:val="99"/>
    <w:semiHidden/>
    <w:unhideWhenUsed/>
    <w:pPr>
      <w:ind w:left="360" w:hanging="360"/>
      <w:jc w:val="both"/>
    </w:pPr>
    <w:rPr>
      <w:sz w:val="20"/>
    </w:rPr>
  </w:style>
  <w:style w:type="paragraph" w:styleId="Notedefin">
    <w:name w:val="endnote text"/>
    <w:basedOn w:val="Normal"/>
    <w:uiPriority w:val="99"/>
    <w:semiHidden/>
    <w:unhideWhenUsed/>
    <w:pPr>
      <w:ind w:left="-360"/>
      <w:jc w:val="both"/>
    </w:pPr>
    <w:rPr>
      <w:sz w:val="20"/>
    </w:rPr>
  </w:style>
  <w:style w:type="paragraph" w:customStyle="1" w:styleId="zSoquijlblCour">
    <w:name w:val="zSoquij_lblCour"/>
    <w:basedOn w:val="Normal"/>
    <w:uiPriority w:val="29"/>
    <w:qFormat/>
    <w:pPr>
      <w:jc w:val="center"/>
    </w:pPr>
    <w:rPr>
      <w:b/>
      <w:sz w:val="36"/>
    </w:rPr>
  </w:style>
  <w:style w:type="paragraph" w:customStyle="1" w:styleId="zSoquijlblPays">
    <w:name w:val="zSoquij_lblPays"/>
    <w:basedOn w:val="Normal"/>
    <w:uiPriority w:val="29"/>
    <w:qFormat/>
  </w:style>
  <w:style w:type="paragraph" w:customStyle="1" w:styleId="zSoquijlblProvince">
    <w:name w:val="zSoquij_lblProvince"/>
    <w:basedOn w:val="Normal"/>
    <w:uiPriority w:val="29"/>
    <w:qFormat/>
  </w:style>
  <w:style w:type="paragraph" w:customStyle="1" w:styleId="zSoquijlblGreffe">
    <w:name w:val="zSoquij_lblGreffe"/>
    <w:basedOn w:val="Normal"/>
    <w:uiPriority w:val="29"/>
    <w:qFormat/>
    <w:pPr>
      <w:ind w:left="70"/>
    </w:pPr>
  </w:style>
  <w:style w:type="paragraph" w:customStyle="1" w:styleId="zSoquijdatGreffe">
    <w:name w:val="zSoquij_datGreffe"/>
    <w:basedOn w:val="Normal"/>
    <w:uiPriority w:val="29"/>
    <w:qFormat/>
    <w:pPr>
      <w:ind w:left="29"/>
    </w:pPr>
  </w:style>
  <w:style w:type="paragraph" w:customStyle="1" w:styleId="zSoquijdatDivision">
    <w:name w:val="zSoquij_datDivision"/>
    <w:basedOn w:val="Normal"/>
    <w:uiPriority w:val="29"/>
    <w:qFormat/>
    <w:pPr>
      <w:jc w:val="center"/>
    </w:pPr>
    <w:rPr>
      <w:sz w:val="22"/>
    </w:rPr>
  </w:style>
  <w:style w:type="paragraph" w:customStyle="1" w:styleId="zSoquijlblNoDossier">
    <w:name w:val="zSoquij_lblNoDossier"/>
    <w:basedOn w:val="Normal"/>
    <w:uiPriority w:val="29"/>
    <w:qFormat/>
  </w:style>
  <w:style w:type="paragraph" w:customStyle="1" w:styleId="zSoquijdatNoDossier">
    <w:name w:val="zSoquij_datNoDossier"/>
    <w:basedOn w:val="Normal"/>
    <w:uiPriority w:val="29"/>
    <w:qFormat/>
  </w:style>
  <w:style w:type="paragraph" w:customStyle="1" w:styleId="zSoquijdatNoDossierAnt">
    <w:name w:val="zSoquij_datNoDossierAnt"/>
    <w:basedOn w:val="Normal"/>
    <w:uiPriority w:val="29"/>
    <w:qFormat/>
  </w:style>
  <w:style w:type="paragraph" w:customStyle="1" w:styleId="zSoquijdatDateJugement">
    <w:name w:val="zSoquij_datDateJugement"/>
    <w:basedOn w:val="Normal"/>
    <w:uiPriority w:val="29"/>
    <w:qFormat/>
  </w:style>
  <w:style w:type="paragraph" w:customStyle="1" w:styleId="zSoquijlblDateJugement">
    <w:name w:val="zSoquij_lblDateJugement"/>
    <w:basedOn w:val="Normal"/>
    <w:uiPriority w:val="29"/>
    <w:qFormat/>
  </w:style>
  <w:style w:type="paragraph" w:customStyle="1" w:styleId="zSoquijlblJuge">
    <w:name w:val="zSoquij_lblJuge"/>
    <w:basedOn w:val="Normal"/>
    <w:uiPriority w:val="29"/>
    <w:qFormat/>
    <w:pPr>
      <w:ind w:left="70"/>
    </w:pPr>
    <w:rPr>
      <w:b/>
    </w:rPr>
  </w:style>
  <w:style w:type="paragraph" w:customStyle="1" w:styleId="zSoquijdatQteJuge">
    <w:name w:val="zSoquij_datQteJuge"/>
    <w:basedOn w:val="Normal"/>
    <w:uiPriority w:val="29"/>
    <w:qFormat/>
    <w:pPr>
      <w:ind w:left="29"/>
    </w:pPr>
    <w:rPr>
      <w:b/>
    </w:rPr>
  </w:style>
  <w:style w:type="paragraph" w:customStyle="1" w:styleId="zSoquijdatJuge">
    <w:name w:val="zSoquij_datJuge"/>
    <w:basedOn w:val="Normal"/>
    <w:uiPriority w:val="29"/>
    <w:qFormat/>
    <w:pPr>
      <w:ind w:left="52"/>
    </w:pPr>
    <w:rPr>
      <w:b/>
    </w:rPr>
  </w:style>
  <w:style w:type="paragraph" w:customStyle="1" w:styleId="zSoquijdatNomPartieDem">
    <w:name w:val="zSoquij_datNomPartieDem"/>
    <w:basedOn w:val="Normal"/>
    <w:uiPriority w:val="29"/>
    <w:qFormat/>
    <w:rPr>
      <w:b/>
      <w:bCs/>
    </w:rPr>
  </w:style>
  <w:style w:type="paragraph" w:customStyle="1" w:styleId="zSoquijdatQtePartieDem">
    <w:name w:val="zSoquij_datQtePartieDem"/>
    <w:basedOn w:val="Normal"/>
    <w:uiPriority w:val="29"/>
    <w:qFormat/>
    <w:pPr>
      <w:ind w:left="708"/>
    </w:pPr>
  </w:style>
  <w:style w:type="paragraph" w:customStyle="1" w:styleId="zSoquijlblLienParties">
    <w:name w:val="zSoquij_lblLienParties"/>
    <w:basedOn w:val="Normal"/>
    <w:uiPriority w:val="29"/>
    <w:qFormat/>
  </w:style>
  <w:style w:type="paragraph" w:customStyle="1" w:styleId="zSoquijdatNomPartieDef">
    <w:name w:val="zSoquij_datNomPartieDef"/>
    <w:basedOn w:val="Normal"/>
    <w:uiPriority w:val="29"/>
    <w:qFormat/>
    <w:rPr>
      <w:b/>
      <w:bCs/>
    </w:rPr>
  </w:style>
  <w:style w:type="paragraph" w:customStyle="1" w:styleId="zSoquijdatQtePartieDef">
    <w:name w:val="zSoquij_datQtePartieDef"/>
    <w:basedOn w:val="Normal"/>
    <w:uiPriority w:val="29"/>
    <w:qFormat/>
    <w:pPr>
      <w:ind w:left="708"/>
    </w:pPr>
  </w:style>
  <w:style w:type="paragraph" w:customStyle="1" w:styleId="zSoquijlblTypeDocument">
    <w:name w:val="zSoquij_lblTypeDocument"/>
    <w:basedOn w:val="Normal"/>
    <w:uiPriority w:val="29"/>
    <w:qFormat/>
    <w:pPr>
      <w:jc w:val="center"/>
    </w:pPr>
  </w:style>
  <w:style w:type="paragraph" w:customStyle="1" w:styleId="zSoquijlblProcureurDem">
    <w:name w:val="zSoquij_lblProcureurDem"/>
    <w:basedOn w:val="Normal"/>
    <w:uiPriority w:val="29"/>
    <w:qFormat/>
  </w:style>
  <w:style w:type="paragraph" w:customStyle="1" w:styleId="zSoquijlblProcureurDef">
    <w:name w:val="zSoquij_lblProcureurDef"/>
    <w:basedOn w:val="Normal"/>
    <w:uiPriority w:val="29"/>
    <w:qFormat/>
  </w:style>
  <w:style w:type="paragraph" w:customStyle="1" w:styleId="zSoquijlblDateAudience">
    <w:name w:val="zSoquij_lblDateAudience"/>
    <w:basedOn w:val="Normal"/>
    <w:uiPriority w:val="29"/>
    <w:qFormat/>
  </w:style>
  <w:style w:type="paragraph" w:customStyle="1" w:styleId="zSoquijdatDateAudience">
    <w:name w:val="zSoquij_datDateAudience"/>
    <w:basedOn w:val="Normal"/>
    <w:uiPriority w:val="29"/>
    <w:qFormat/>
  </w:style>
  <w:style w:type="paragraph" w:customStyle="1" w:styleId="zSoquijlblNomChambre">
    <w:name w:val="zSoquij_lblNomChambre"/>
    <w:basedOn w:val="Normal"/>
    <w:uiPriority w:val="29"/>
    <w:qFormat/>
  </w:style>
  <w:style w:type="paragraph" w:customStyle="1" w:styleId="zSoquijlblOpinionJuge">
    <w:name w:val="zSoquij_lblOpinionJuge"/>
    <w:basedOn w:val="Normal"/>
    <w:uiPriority w:val="29"/>
    <w:qFormat/>
    <w:pPr>
      <w:tabs>
        <w:tab w:val="left" w:pos="720"/>
      </w:tabs>
      <w:jc w:val="center"/>
    </w:pPr>
  </w:style>
  <w:style w:type="character" w:customStyle="1" w:styleId="zSoquijlblEntNoDossier">
    <w:name w:val="zSoquij_lblEntNoDossier"/>
    <w:uiPriority w:val="29"/>
    <w:qFormat/>
    <w:rPr>
      <w:lang w:val="fr-CA"/>
    </w:rPr>
  </w:style>
  <w:style w:type="paragraph" w:customStyle="1" w:styleId="zSoquijlblTitrePartie">
    <w:name w:val="zSoquij_lblTitrePartie"/>
    <w:basedOn w:val="Normal"/>
    <w:uiPriority w:val="29"/>
    <w:qFormat/>
  </w:style>
  <w:style w:type="paragraph" w:customStyle="1" w:styleId="zSoquijdatSignature3Juge">
    <w:name w:val="zSoquij_datSignature3Juge"/>
    <w:basedOn w:val="Normal"/>
    <w:uiPriority w:val="29"/>
    <w:qFormat/>
  </w:style>
  <w:style w:type="paragraph" w:customStyle="1" w:styleId="ParagNonNum">
    <w:name w:val="ParagNonNum"/>
    <w:basedOn w:val="Normal"/>
    <w:uiPriority w:val="29"/>
    <w:qFormat/>
    <w:rsid w:val="00300B84"/>
    <w:pPr>
      <w:spacing w:before="120" w:after="120"/>
      <w:jc w:val="both"/>
    </w:pPr>
    <w:rPr>
      <w:kern w:val="28"/>
    </w:rPr>
  </w:style>
  <w:style w:type="paragraph" w:customStyle="1" w:styleId="zSoquijdatIdJuge">
    <w:name w:val="zSoquij_datIdJuge"/>
    <w:basedOn w:val="Normal"/>
    <w:uiPriority w:val="29"/>
    <w:qFormat/>
    <w:pPr>
      <w:jc w:val="center"/>
    </w:pPr>
    <w:rPr>
      <w:sz w:val="20"/>
    </w:rPr>
  </w:style>
  <w:style w:type="paragraph" w:customStyle="1" w:styleId="Sous-paragraphe">
    <w:name w:val="Sous-paragraphe"/>
    <w:basedOn w:val="Normal"/>
    <w:uiPriority w:val="28"/>
    <w:qFormat/>
    <w:rsid w:val="001F70A8"/>
    <w:pPr>
      <w:widowControl w:val="0"/>
      <w:numPr>
        <w:ilvl w:val="1"/>
        <w:numId w:val="11"/>
      </w:numPr>
      <w:spacing w:after="120"/>
      <w:jc w:val="both"/>
    </w:pPr>
    <w:rPr>
      <w:kern w:val="28"/>
    </w:rPr>
  </w:style>
  <w:style w:type="paragraph" w:customStyle="1" w:styleId="zSoquijdatNomProcureurDem">
    <w:name w:val="zSoquij_datNomProcureurDem"/>
    <w:basedOn w:val="zSoquijlblProcureurDem"/>
    <w:uiPriority w:val="29"/>
    <w:qFormat/>
  </w:style>
  <w:style w:type="paragraph" w:customStyle="1" w:styleId="zSoquijdatNomProcureurDef">
    <w:name w:val="zSoquij_datNomProcureurDef"/>
    <w:basedOn w:val="zSoquijlblProcureurDef"/>
    <w:uiPriority w:val="29"/>
    <w:qFormat/>
  </w:style>
  <w:style w:type="paragraph" w:customStyle="1" w:styleId="zSoquijdatCabinetProcureurDem">
    <w:name w:val="zSoquij_datCabinetProcureurDem"/>
    <w:basedOn w:val="Normal"/>
    <w:uiPriority w:val="29"/>
    <w:qFormat/>
  </w:style>
  <w:style w:type="paragraph" w:customStyle="1" w:styleId="zSoquijdatCabinetProcureurDef">
    <w:name w:val="zSoquij_datCabinetProcureurDef"/>
    <w:basedOn w:val="zSoquijlblProcureurDef"/>
    <w:uiPriority w:val="29"/>
    <w:qFormat/>
  </w:style>
  <w:style w:type="paragraph" w:customStyle="1" w:styleId="zSoquijdatSignatureJuge1">
    <w:name w:val="zSoquij_datSignatureJuge1"/>
    <w:basedOn w:val="Normal"/>
    <w:uiPriority w:val="29"/>
    <w:qFormat/>
  </w:style>
  <w:style w:type="paragraph" w:customStyle="1" w:styleId="zSoquijdatSignatureJuge2">
    <w:name w:val="zSoquij_datSignatureJuge2"/>
    <w:basedOn w:val="Normal"/>
    <w:uiPriority w:val="29"/>
    <w:qFormat/>
  </w:style>
  <w:style w:type="paragraph" w:customStyle="1" w:styleId="zSoquijdatSignatureJuge3">
    <w:name w:val="zSoquij_datSignatureJuge3"/>
    <w:basedOn w:val="Normal"/>
    <w:uiPriority w:val="29"/>
    <w:qFormat/>
  </w:style>
  <w:style w:type="paragraph" w:customStyle="1" w:styleId="zSoquijdatRepertorie">
    <w:name w:val="zSoquij_datRepertorie"/>
    <w:basedOn w:val="zSoquijlblCour"/>
    <w:qFormat/>
    <w:pPr>
      <w:jc w:val="left"/>
    </w:pPr>
    <w:rPr>
      <w:noProof/>
      <w:sz w:val="22"/>
    </w:rPr>
  </w:style>
  <w:style w:type="paragraph" w:customStyle="1" w:styleId="zSoquijdatRefNeutre">
    <w:name w:val="zSoquij_datRefNeutre"/>
    <w:basedOn w:val="zSoquijlblCour"/>
    <w:qFormat/>
    <w:pPr>
      <w:jc w:val="left"/>
    </w:pPr>
    <w:rPr>
      <w:noProof/>
      <w:sz w:val="22"/>
    </w:rPr>
  </w:style>
  <w:style w:type="paragraph" w:styleId="En-tte">
    <w:name w:val="header"/>
    <w:basedOn w:val="Normal"/>
    <w:link w:val="En-tteCar"/>
    <w:unhideWhenUsed/>
    <w:rsid w:val="00BB0E3F"/>
    <w:pPr>
      <w:tabs>
        <w:tab w:val="center" w:pos="4320"/>
        <w:tab w:val="right" w:pos="8640"/>
      </w:tabs>
    </w:pPr>
  </w:style>
  <w:style w:type="paragraph" w:styleId="Pieddepage">
    <w:name w:val="footer"/>
    <w:basedOn w:val="Normal"/>
    <w:link w:val="PieddepageCar"/>
    <w:unhideWhenUsed/>
    <w:rsid w:val="00BB0E3F"/>
    <w:pPr>
      <w:tabs>
        <w:tab w:val="center" w:pos="4320"/>
        <w:tab w:val="right" w:pos="8640"/>
      </w:tabs>
    </w:pPr>
  </w:style>
  <w:style w:type="paragraph" w:styleId="Listenumros">
    <w:name w:val="List Number"/>
    <w:basedOn w:val="Normal"/>
    <w:uiPriority w:val="99"/>
    <w:semiHidden/>
    <w:unhideWhenUsed/>
    <w:rsid w:val="00FB583C"/>
    <w:pPr>
      <w:numPr>
        <w:numId w:val="10"/>
      </w:numPr>
      <w:spacing w:before="120" w:after="120" w:line="500" w:lineRule="exact"/>
      <w:jc w:val="both"/>
    </w:pPr>
  </w:style>
  <w:style w:type="paragraph" w:customStyle="1" w:styleId="StyleTitre3Justifi1">
    <w:name w:val="Style Titre 3 + Justifié1"/>
    <w:basedOn w:val="Titre3"/>
    <w:uiPriority w:val="29"/>
    <w:qFormat/>
    <w:rsid w:val="00C22FD3"/>
    <w:pPr>
      <w:numPr>
        <w:numId w:val="0"/>
      </w:numPr>
    </w:pPr>
    <w:rPr>
      <w:bCs/>
    </w:rPr>
  </w:style>
  <w:style w:type="paragraph" w:customStyle="1" w:styleId="StyleTitre3Justifi2">
    <w:name w:val="Style Titre 3 + Justifié2"/>
    <w:basedOn w:val="Titre3"/>
    <w:uiPriority w:val="29"/>
    <w:qFormat/>
    <w:rsid w:val="00D94F5C"/>
    <w:pPr>
      <w:numPr>
        <w:numId w:val="0"/>
      </w:numPr>
    </w:pPr>
    <w:rPr>
      <w:bCs/>
    </w:rPr>
  </w:style>
  <w:style w:type="paragraph" w:customStyle="1" w:styleId="StyleTitre1Justifi">
    <w:name w:val="Style Titre 1 + Justifié"/>
    <w:basedOn w:val="Titre1"/>
    <w:uiPriority w:val="29"/>
    <w:qFormat/>
    <w:rsid w:val="00871C22"/>
    <w:pPr>
      <w:jc w:val="both"/>
    </w:pPr>
    <w:rPr>
      <w:bCs/>
    </w:rPr>
  </w:style>
  <w:style w:type="paragraph" w:styleId="Citation">
    <w:name w:val="Quote"/>
    <w:basedOn w:val="Normal"/>
    <w:next w:val="Normal"/>
    <w:link w:val="CitationCar"/>
    <w:uiPriority w:val="99"/>
    <w:semiHidden/>
    <w:unhideWhenUsed/>
    <w:rsid w:val="002B4A28"/>
    <w:pPr>
      <w:spacing w:before="120" w:after="120"/>
      <w:ind w:left="862" w:right="862"/>
      <w:jc w:val="both"/>
    </w:pPr>
    <w:rPr>
      <w:iCs/>
      <w:sz w:val="22"/>
    </w:rPr>
  </w:style>
  <w:style w:type="character" w:customStyle="1" w:styleId="CitationCar">
    <w:name w:val="Citation Car"/>
    <w:link w:val="Citation"/>
    <w:uiPriority w:val="29"/>
    <w:rsid w:val="002B4A28"/>
    <w:rPr>
      <w:rFonts w:ascii="Arial" w:hAnsi="Arial"/>
      <w:iCs/>
      <w:sz w:val="22"/>
      <w:lang w:val="fr-CA" w:eastAsia="fr-FR"/>
    </w:rPr>
  </w:style>
  <w:style w:type="paragraph" w:customStyle="1" w:styleId="CitationJFM">
    <w:name w:val="Citation JFM"/>
    <w:basedOn w:val="Citation"/>
    <w:link w:val="CitationJFMCar"/>
    <w:uiPriority w:val="29"/>
    <w:qFormat/>
    <w:rsid w:val="00BA289A"/>
    <w:pPr>
      <w:ind w:left="709" w:right="715"/>
    </w:pPr>
    <w:rPr>
      <w:i/>
      <w:szCs w:val="22"/>
    </w:rPr>
  </w:style>
  <w:style w:type="character" w:customStyle="1" w:styleId="CitationJFMCar">
    <w:name w:val="Citation JFM Car"/>
    <w:link w:val="CitationJFM"/>
    <w:rsid w:val="00BA289A"/>
    <w:rPr>
      <w:rFonts w:ascii="Arial" w:hAnsi="Arial"/>
      <w:i/>
      <w:iCs/>
      <w:sz w:val="22"/>
      <w:szCs w:val="22"/>
      <w:lang w:val="fr-CA" w:eastAsia="fr-FR"/>
    </w:rPr>
  </w:style>
  <w:style w:type="character" w:customStyle="1" w:styleId="En-tteCar">
    <w:name w:val="En-tête Car"/>
    <w:link w:val="En-tte"/>
    <w:rsid w:val="00D5514B"/>
    <w:rPr>
      <w:rFonts w:ascii="Arial" w:hAnsi="Arial"/>
      <w:sz w:val="24"/>
      <w:lang w:eastAsia="fr-FR"/>
    </w:rPr>
  </w:style>
  <w:style w:type="character" w:styleId="Appelnotedebasdep">
    <w:name w:val="footnote reference"/>
    <w:uiPriority w:val="99"/>
    <w:semiHidden/>
    <w:unhideWhenUsed/>
    <w:rsid w:val="003400E0"/>
    <w:rPr>
      <w:vertAlign w:val="superscript"/>
    </w:rPr>
  </w:style>
  <w:style w:type="character" w:styleId="Accentuation">
    <w:name w:val="Emphasis"/>
    <w:uiPriority w:val="99"/>
    <w:semiHidden/>
    <w:unhideWhenUsed/>
    <w:rsid w:val="00057274"/>
    <w:rPr>
      <w:i/>
      <w:iCs/>
    </w:rPr>
  </w:style>
  <w:style w:type="character" w:styleId="AcronymeHTML">
    <w:name w:val="HTML Acronym"/>
    <w:basedOn w:val="Policepardfaut"/>
    <w:uiPriority w:val="99"/>
    <w:semiHidden/>
    <w:unhideWhenUsed/>
    <w:rsid w:val="00057274"/>
  </w:style>
  <w:style w:type="paragraph" w:styleId="Adressedestinataire">
    <w:name w:val="envelope address"/>
    <w:basedOn w:val="Normal"/>
    <w:uiPriority w:val="99"/>
    <w:semiHidden/>
    <w:unhideWhenUsed/>
    <w:rsid w:val="00057274"/>
    <w:pPr>
      <w:framePr w:w="7938" w:h="1985" w:hRule="exact" w:hSpace="141" w:wrap="auto" w:hAnchor="page" w:xAlign="center" w:yAlign="bottom"/>
      <w:ind w:left="2835"/>
    </w:pPr>
    <w:rPr>
      <w:rFonts w:ascii="Calibri Light" w:hAnsi="Calibri Light"/>
      <w:szCs w:val="24"/>
    </w:rPr>
  </w:style>
  <w:style w:type="paragraph" w:styleId="Adresseexpditeur">
    <w:name w:val="envelope return"/>
    <w:basedOn w:val="Normal"/>
    <w:uiPriority w:val="99"/>
    <w:semiHidden/>
    <w:unhideWhenUsed/>
    <w:rsid w:val="00057274"/>
    <w:rPr>
      <w:rFonts w:ascii="Calibri Light" w:hAnsi="Calibri Light"/>
      <w:sz w:val="20"/>
    </w:rPr>
  </w:style>
  <w:style w:type="paragraph" w:styleId="AdresseHTML">
    <w:name w:val="HTML Address"/>
    <w:basedOn w:val="Normal"/>
    <w:link w:val="AdresseHTMLCar"/>
    <w:uiPriority w:val="99"/>
    <w:semiHidden/>
    <w:unhideWhenUsed/>
    <w:rsid w:val="00057274"/>
    <w:rPr>
      <w:i/>
      <w:iCs/>
    </w:rPr>
  </w:style>
  <w:style w:type="character" w:customStyle="1" w:styleId="AdresseHTMLCar">
    <w:name w:val="Adresse HTML Car"/>
    <w:link w:val="AdresseHTML"/>
    <w:rsid w:val="00057274"/>
    <w:rPr>
      <w:rFonts w:ascii="Arial" w:hAnsi="Arial"/>
      <w:i/>
      <w:iCs/>
      <w:sz w:val="24"/>
      <w:lang w:eastAsia="fr-FR"/>
    </w:rPr>
  </w:style>
  <w:style w:type="character" w:styleId="Appeldenotedefin">
    <w:name w:val="endnote reference"/>
    <w:uiPriority w:val="99"/>
    <w:semiHidden/>
    <w:unhideWhenUsed/>
    <w:rsid w:val="00057274"/>
    <w:rPr>
      <w:vertAlign w:val="superscript"/>
    </w:rPr>
  </w:style>
  <w:style w:type="paragraph" w:styleId="Bibliographie">
    <w:name w:val="Bibliography"/>
    <w:basedOn w:val="Normal"/>
    <w:next w:val="Normal"/>
    <w:uiPriority w:val="99"/>
    <w:semiHidden/>
    <w:unhideWhenUsed/>
    <w:rsid w:val="00057274"/>
  </w:style>
  <w:style w:type="character" w:styleId="CitationHTML">
    <w:name w:val="HTML Cite"/>
    <w:uiPriority w:val="99"/>
    <w:semiHidden/>
    <w:unhideWhenUsed/>
    <w:rsid w:val="00057274"/>
    <w:rPr>
      <w:i/>
      <w:iCs/>
    </w:rPr>
  </w:style>
  <w:style w:type="paragraph" w:styleId="Citationintense">
    <w:name w:val="Intense Quote"/>
    <w:basedOn w:val="Normal"/>
    <w:next w:val="Normal"/>
    <w:link w:val="CitationintenseCar"/>
    <w:uiPriority w:val="99"/>
    <w:semiHidden/>
    <w:unhideWhenUsed/>
    <w:rsid w:val="00057274"/>
    <w:pPr>
      <w:pBdr>
        <w:bottom w:val="single" w:sz="4" w:space="4" w:color="5B9BD5"/>
      </w:pBdr>
      <w:spacing w:before="200" w:after="280"/>
      <w:ind w:left="936" w:right="936"/>
    </w:pPr>
    <w:rPr>
      <w:b/>
      <w:bCs/>
      <w:i/>
      <w:iCs/>
      <w:color w:val="5B9BD5"/>
    </w:rPr>
  </w:style>
  <w:style w:type="character" w:customStyle="1" w:styleId="CitationintenseCar">
    <w:name w:val="Citation intense Car"/>
    <w:link w:val="Citationintense"/>
    <w:uiPriority w:val="30"/>
    <w:rsid w:val="00057274"/>
    <w:rPr>
      <w:rFonts w:ascii="Arial" w:hAnsi="Arial"/>
      <w:b/>
      <w:bCs/>
      <w:i/>
      <w:iCs/>
      <w:color w:val="5B9BD5"/>
      <w:sz w:val="24"/>
      <w:lang w:eastAsia="fr-FR"/>
    </w:rPr>
  </w:style>
  <w:style w:type="character" w:styleId="ClavierHTML">
    <w:name w:val="HTML Keyboard"/>
    <w:uiPriority w:val="99"/>
    <w:semiHidden/>
    <w:unhideWhenUsed/>
    <w:rsid w:val="00057274"/>
    <w:rPr>
      <w:rFonts w:ascii="Courier New" w:hAnsi="Courier New" w:cs="Courier New"/>
      <w:sz w:val="20"/>
      <w:szCs w:val="20"/>
    </w:rPr>
  </w:style>
  <w:style w:type="character" w:styleId="CodeHTML">
    <w:name w:val="HTML Code"/>
    <w:uiPriority w:val="99"/>
    <w:semiHidden/>
    <w:unhideWhenUsed/>
    <w:rsid w:val="00057274"/>
    <w:rPr>
      <w:rFonts w:ascii="Courier New" w:hAnsi="Courier New" w:cs="Courier New"/>
      <w:sz w:val="20"/>
      <w:szCs w:val="20"/>
    </w:rPr>
  </w:style>
  <w:style w:type="table" w:styleId="Colonnesdetableau1">
    <w:name w:val="Table Columns 1"/>
    <w:basedOn w:val="TableauNormal"/>
    <w:uiPriority w:val="99"/>
    <w:semiHidden/>
    <w:unhideWhenUsed/>
    <w:rsid w:val="0005727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05727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05727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05727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05727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057274"/>
    <w:rPr>
      <w:sz w:val="20"/>
    </w:rPr>
  </w:style>
  <w:style w:type="character" w:customStyle="1" w:styleId="CommentaireCar">
    <w:name w:val="Commentaire Car"/>
    <w:link w:val="Commentaire"/>
    <w:rsid w:val="00057274"/>
    <w:rPr>
      <w:rFonts w:ascii="Arial" w:hAnsi="Arial"/>
      <w:lang w:eastAsia="fr-FR"/>
    </w:rPr>
  </w:style>
  <w:style w:type="paragraph" w:styleId="Corpsdetexte2">
    <w:name w:val="Body Text 2"/>
    <w:basedOn w:val="Normal"/>
    <w:link w:val="Corpsdetexte2Car"/>
    <w:uiPriority w:val="99"/>
    <w:semiHidden/>
    <w:unhideWhenUsed/>
    <w:rsid w:val="00057274"/>
    <w:pPr>
      <w:spacing w:after="120" w:line="480" w:lineRule="auto"/>
    </w:pPr>
  </w:style>
  <w:style w:type="character" w:customStyle="1" w:styleId="Corpsdetexte2Car">
    <w:name w:val="Corps de texte 2 Car"/>
    <w:link w:val="Corpsdetexte2"/>
    <w:rsid w:val="00057274"/>
    <w:rPr>
      <w:rFonts w:ascii="Arial" w:hAnsi="Arial"/>
      <w:sz w:val="24"/>
      <w:lang w:eastAsia="fr-FR"/>
    </w:rPr>
  </w:style>
  <w:style w:type="paragraph" w:styleId="Corpsdetexte3">
    <w:name w:val="Body Text 3"/>
    <w:basedOn w:val="Normal"/>
    <w:link w:val="Corpsdetexte3Car"/>
    <w:uiPriority w:val="99"/>
    <w:semiHidden/>
    <w:unhideWhenUsed/>
    <w:rsid w:val="00057274"/>
    <w:pPr>
      <w:spacing w:after="120"/>
    </w:pPr>
    <w:rPr>
      <w:sz w:val="16"/>
      <w:szCs w:val="16"/>
    </w:rPr>
  </w:style>
  <w:style w:type="character" w:customStyle="1" w:styleId="Corpsdetexte3Car">
    <w:name w:val="Corps de texte 3 Car"/>
    <w:link w:val="Corpsdetexte3"/>
    <w:rsid w:val="00057274"/>
    <w:rPr>
      <w:rFonts w:ascii="Arial" w:hAnsi="Arial"/>
      <w:sz w:val="16"/>
      <w:szCs w:val="16"/>
      <w:lang w:eastAsia="fr-FR"/>
    </w:rPr>
  </w:style>
  <w:style w:type="paragraph" w:styleId="Date">
    <w:name w:val="Date"/>
    <w:basedOn w:val="Normal"/>
    <w:next w:val="Normal"/>
    <w:link w:val="DateCar"/>
    <w:uiPriority w:val="29"/>
    <w:unhideWhenUsed/>
    <w:qFormat/>
    <w:rsid w:val="00057274"/>
  </w:style>
  <w:style w:type="character" w:customStyle="1" w:styleId="DateCar">
    <w:name w:val="Date Car"/>
    <w:link w:val="Date"/>
    <w:rsid w:val="00057274"/>
    <w:rPr>
      <w:rFonts w:ascii="Arial" w:hAnsi="Arial"/>
      <w:sz w:val="24"/>
      <w:lang w:eastAsia="fr-FR"/>
    </w:rPr>
  </w:style>
  <w:style w:type="character" w:styleId="DfinitionHTML">
    <w:name w:val="HTML Definition"/>
    <w:uiPriority w:val="99"/>
    <w:semiHidden/>
    <w:unhideWhenUsed/>
    <w:rsid w:val="00057274"/>
    <w:rPr>
      <w:i/>
      <w:iCs/>
    </w:rPr>
  </w:style>
  <w:style w:type="table" w:styleId="Effetsdetableau3D1">
    <w:name w:val="Table 3D effects 1"/>
    <w:basedOn w:val="TableauNormal"/>
    <w:uiPriority w:val="99"/>
    <w:semiHidden/>
    <w:unhideWhenUsed/>
    <w:rsid w:val="0005727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05727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05727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uiPriority w:val="99"/>
    <w:semiHidden/>
    <w:unhideWhenUsed/>
    <w:rsid w:val="00057274"/>
    <w:rPr>
      <w:b/>
      <w:bCs/>
    </w:rPr>
  </w:style>
  <w:style w:type="character" w:styleId="Emphaseintense">
    <w:name w:val="Intense Emphasis"/>
    <w:uiPriority w:val="99"/>
    <w:semiHidden/>
    <w:unhideWhenUsed/>
    <w:rsid w:val="00057274"/>
    <w:rPr>
      <w:b/>
      <w:bCs/>
      <w:i/>
      <w:iCs/>
      <w:color w:val="5B9BD5"/>
    </w:rPr>
  </w:style>
  <w:style w:type="character" w:styleId="Emphaseple">
    <w:name w:val="Subtle Emphasis"/>
    <w:uiPriority w:val="99"/>
    <w:semiHidden/>
    <w:unhideWhenUsed/>
    <w:rsid w:val="00057274"/>
    <w:rPr>
      <w:i/>
      <w:iCs/>
      <w:color w:val="808080"/>
    </w:rPr>
  </w:style>
  <w:style w:type="paragraph" w:styleId="En-ttedemessage">
    <w:name w:val="Message Header"/>
    <w:basedOn w:val="Normal"/>
    <w:link w:val="En-ttedemessageCar"/>
    <w:uiPriority w:val="99"/>
    <w:semiHidden/>
    <w:unhideWhenUsed/>
    <w:rsid w:val="0005727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Cs w:val="24"/>
    </w:rPr>
  </w:style>
  <w:style w:type="character" w:customStyle="1" w:styleId="En-ttedemessageCar">
    <w:name w:val="En-tête de message Car"/>
    <w:link w:val="En-ttedemessage"/>
    <w:rsid w:val="00057274"/>
    <w:rPr>
      <w:rFonts w:ascii="Calibri Light" w:eastAsia="Times New Roman" w:hAnsi="Calibri Light" w:cs="Times New Roman"/>
      <w:sz w:val="24"/>
      <w:szCs w:val="24"/>
      <w:shd w:val="pct20" w:color="auto" w:fill="auto"/>
      <w:lang w:eastAsia="fr-FR"/>
    </w:rPr>
  </w:style>
  <w:style w:type="paragraph" w:styleId="En-ttedetabledesmatires">
    <w:name w:val="TOC Heading"/>
    <w:basedOn w:val="Titre1"/>
    <w:next w:val="Normal"/>
    <w:uiPriority w:val="99"/>
    <w:semiHidden/>
    <w:unhideWhenUsed/>
    <w:rsid w:val="00057274"/>
    <w:pPr>
      <w:spacing w:before="240" w:after="60"/>
      <w:outlineLvl w:val="9"/>
    </w:pPr>
    <w:rPr>
      <w:rFonts w:ascii="Calibri Light" w:hAnsi="Calibri Light"/>
      <w:bCs/>
      <w:kern w:val="32"/>
      <w:sz w:val="32"/>
      <w:szCs w:val="32"/>
    </w:rPr>
  </w:style>
  <w:style w:type="character" w:styleId="ExempleHTML">
    <w:name w:val="HTML Sample"/>
    <w:uiPriority w:val="99"/>
    <w:semiHidden/>
    <w:unhideWhenUsed/>
    <w:rsid w:val="00057274"/>
    <w:rPr>
      <w:rFonts w:ascii="Courier New" w:hAnsi="Courier New" w:cs="Courier New"/>
    </w:rPr>
  </w:style>
  <w:style w:type="paragraph" w:styleId="Explorateurdedocuments">
    <w:name w:val="Document Map"/>
    <w:basedOn w:val="Normal"/>
    <w:link w:val="ExplorateurdedocumentsCar"/>
    <w:uiPriority w:val="99"/>
    <w:semiHidden/>
    <w:unhideWhenUsed/>
    <w:rsid w:val="00057274"/>
    <w:rPr>
      <w:rFonts w:ascii="Tahoma" w:hAnsi="Tahoma" w:cs="Tahoma"/>
      <w:sz w:val="16"/>
      <w:szCs w:val="16"/>
    </w:rPr>
  </w:style>
  <w:style w:type="character" w:customStyle="1" w:styleId="ExplorateurdedocumentsCar">
    <w:name w:val="Explorateur de documents Car"/>
    <w:link w:val="Explorateurdedocuments"/>
    <w:rsid w:val="00057274"/>
    <w:rPr>
      <w:rFonts w:ascii="Tahoma" w:hAnsi="Tahoma" w:cs="Tahoma"/>
      <w:sz w:val="16"/>
      <w:szCs w:val="16"/>
      <w:lang w:eastAsia="fr-FR"/>
    </w:rPr>
  </w:style>
  <w:style w:type="paragraph" w:styleId="Formuledepolitesse">
    <w:name w:val="Closing"/>
    <w:basedOn w:val="Normal"/>
    <w:link w:val="FormuledepolitesseCar"/>
    <w:uiPriority w:val="99"/>
    <w:semiHidden/>
    <w:unhideWhenUsed/>
    <w:rsid w:val="00057274"/>
    <w:pPr>
      <w:ind w:left="4252"/>
    </w:pPr>
  </w:style>
  <w:style w:type="character" w:customStyle="1" w:styleId="FormuledepolitesseCar">
    <w:name w:val="Formule de politesse Car"/>
    <w:link w:val="Formuledepolitesse"/>
    <w:rsid w:val="00057274"/>
    <w:rPr>
      <w:rFonts w:ascii="Arial" w:hAnsi="Arial"/>
      <w:sz w:val="24"/>
      <w:lang w:eastAsia="fr-FR"/>
    </w:rPr>
  </w:style>
  <w:style w:type="table" w:styleId="Grilleclaire">
    <w:name w:val="Light Grid"/>
    <w:basedOn w:val="TableauNormal"/>
    <w:uiPriority w:val="99"/>
    <w:semiHidden/>
    <w:unhideWhenUsed/>
    <w:rsid w:val="0005727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99"/>
    <w:semiHidden/>
    <w:unhideWhenUsed/>
    <w:rsid w:val="00057274"/>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Grilleclaire-Accent2">
    <w:name w:val="Light Grid Accent 2"/>
    <w:basedOn w:val="TableauNormal"/>
    <w:uiPriority w:val="99"/>
    <w:semiHidden/>
    <w:unhideWhenUsed/>
    <w:rsid w:val="00057274"/>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Grilleclaire-Accent3">
    <w:name w:val="Light Grid Accent 3"/>
    <w:basedOn w:val="TableauNormal"/>
    <w:uiPriority w:val="99"/>
    <w:semiHidden/>
    <w:unhideWhenUsed/>
    <w:rsid w:val="00057274"/>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Grilleclaire-Accent4">
    <w:name w:val="Light Grid Accent 4"/>
    <w:basedOn w:val="TableauNormal"/>
    <w:uiPriority w:val="99"/>
    <w:semiHidden/>
    <w:unhideWhenUsed/>
    <w:rsid w:val="00057274"/>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Grilleclaire-Accent5">
    <w:name w:val="Light Grid Accent 5"/>
    <w:basedOn w:val="TableauNormal"/>
    <w:uiPriority w:val="99"/>
    <w:semiHidden/>
    <w:unhideWhenUsed/>
    <w:rsid w:val="00057274"/>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Grilleclaire-Accent6">
    <w:name w:val="Light Grid Accent 6"/>
    <w:basedOn w:val="TableauNormal"/>
    <w:uiPriority w:val="99"/>
    <w:semiHidden/>
    <w:unhideWhenUsed/>
    <w:rsid w:val="00057274"/>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Grillecouleur">
    <w:name w:val="Colorful Grid"/>
    <w:basedOn w:val="TableauNormal"/>
    <w:uiPriority w:val="99"/>
    <w:semiHidden/>
    <w:unhideWhenUsed/>
    <w:rsid w:val="0005727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99"/>
    <w:semiHidden/>
    <w:unhideWhenUsed/>
    <w:rsid w:val="00057274"/>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Grillecouleur-Accent2">
    <w:name w:val="Colorful Grid Accent 2"/>
    <w:basedOn w:val="TableauNormal"/>
    <w:uiPriority w:val="99"/>
    <w:semiHidden/>
    <w:unhideWhenUsed/>
    <w:rsid w:val="00057274"/>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Grillecouleur-Accent3">
    <w:name w:val="Colorful Grid Accent 3"/>
    <w:basedOn w:val="TableauNormal"/>
    <w:uiPriority w:val="99"/>
    <w:semiHidden/>
    <w:unhideWhenUsed/>
    <w:rsid w:val="0005727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Grillecouleur-Accent4">
    <w:name w:val="Colorful Grid Accent 4"/>
    <w:basedOn w:val="TableauNormal"/>
    <w:uiPriority w:val="99"/>
    <w:semiHidden/>
    <w:unhideWhenUsed/>
    <w:rsid w:val="00057274"/>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Grillecouleur-Accent5">
    <w:name w:val="Colorful Grid Accent 5"/>
    <w:basedOn w:val="TableauNormal"/>
    <w:uiPriority w:val="99"/>
    <w:semiHidden/>
    <w:unhideWhenUsed/>
    <w:rsid w:val="00057274"/>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Grillecouleur-Accent6">
    <w:name w:val="Colorful Grid Accent 6"/>
    <w:basedOn w:val="TableauNormal"/>
    <w:uiPriority w:val="99"/>
    <w:semiHidden/>
    <w:unhideWhenUsed/>
    <w:rsid w:val="00057274"/>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Grilledetableau1">
    <w:name w:val="Table Grid 1"/>
    <w:basedOn w:val="TableauNormal"/>
    <w:uiPriority w:val="99"/>
    <w:semiHidden/>
    <w:unhideWhenUsed/>
    <w:rsid w:val="000572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05727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05727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05727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05727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05727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05727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05727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99"/>
    <w:semiHidden/>
    <w:unhideWhenUsed/>
    <w:rsid w:val="00057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99"/>
    <w:semiHidden/>
    <w:unhideWhenUsed/>
    <w:rsid w:val="0005727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99"/>
    <w:semiHidden/>
    <w:unhideWhenUsed/>
    <w:rsid w:val="00057274"/>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Grillemoyenne1-Accent2">
    <w:name w:val="Medium Grid 1 Accent 2"/>
    <w:basedOn w:val="TableauNormal"/>
    <w:uiPriority w:val="99"/>
    <w:semiHidden/>
    <w:unhideWhenUsed/>
    <w:rsid w:val="00057274"/>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Grillemoyenne1-Accent3">
    <w:name w:val="Medium Grid 1 Accent 3"/>
    <w:basedOn w:val="TableauNormal"/>
    <w:uiPriority w:val="99"/>
    <w:semiHidden/>
    <w:unhideWhenUsed/>
    <w:rsid w:val="00057274"/>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Grillemoyenne1-Accent4">
    <w:name w:val="Medium Grid 1 Accent 4"/>
    <w:basedOn w:val="TableauNormal"/>
    <w:uiPriority w:val="99"/>
    <w:semiHidden/>
    <w:unhideWhenUsed/>
    <w:rsid w:val="00057274"/>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Grillemoyenne1-Accent5">
    <w:name w:val="Medium Grid 1 Accent 5"/>
    <w:basedOn w:val="TableauNormal"/>
    <w:uiPriority w:val="99"/>
    <w:semiHidden/>
    <w:unhideWhenUsed/>
    <w:rsid w:val="00057274"/>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Grillemoyenne1-Accent6">
    <w:name w:val="Medium Grid 1 Accent 6"/>
    <w:basedOn w:val="TableauNormal"/>
    <w:uiPriority w:val="99"/>
    <w:semiHidden/>
    <w:unhideWhenUsed/>
    <w:rsid w:val="00057274"/>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Grillemoyenne2">
    <w:name w:val="Medium Grid 2"/>
    <w:basedOn w:val="TableauNormal"/>
    <w:uiPriority w:val="99"/>
    <w:semiHidden/>
    <w:unhideWhenUsed/>
    <w:rsid w:val="00057274"/>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99"/>
    <w:semiHidden/>
    <w:unhideWhenUsed/>
    <w:rsid w:val="00057274"/>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Grillemoyenne2-Accent2">
    <w:name w:val="Medium Grid 2 Accent 2"/>
    <w:basedOn w:val="TableauNormal"/>
    <w:uiPriority w:val="99"/>
    <w:semiHidden/>
    <w:unhideWhenUsed/>
    <w:rsid w:val="00057274"/>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Grillemoyenne2-Accent3">
    <w:name w:val="Medium Grid 2 Accent 3"/>
    <w:basedOn w:val="TableauNormal"/>
    <w:uiPriority w:val="99"/>
    <w:semiHidden/>
    <w:unhideWhenUsed/>
    <w:rsid w:val="00057274"/>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Grillemoyenne2-Accent4">
    <w:name w:val="Medium Grid 2 Accent 4"/>
    <w:basedOn w:val="TableauNormal"/>
    <w:uiPriority w:val="99"/>
    <w:semiHidden/>
    <w:unhideWhenUsed/>
    <w:rsid w:val="00057274"/>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Grillemoyenne2-Accent5">
    <w:name w:val="Medium Grid 2 Accent 5"/>
    <w:basedOn w:val="TableauNormal"/>
    <w:uiPriority w:val="99"/>
    <w:semiHidden/>
    <w:unhideWhenUsed/>
    <w:rsid w:val="00057274"/>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Grillemoyenne2-Accent6">
    <w:name w:val="Medium Grid 2 Accent 6"/>
    <w:basedOn w:val="TableauNormal"/>
    <w:uiPriority w:val="99"/>
    <w:semiHidden/>
    <w:unhideWhenUsed/>
    <w:rsid w:val="00057274"/>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Grillemoyenne3">
    <w:name w:val="Medium Grid 3"/>
    <w:basedOn w:val="TableauNormal"/>
    <w:uiPriority w:val="99"/>
    <w:semiHidden/>
    <w:unhideWhenUsed/>
    <w:rsid w:val="0005727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99"/>
    <w:semiHidden/>
    <w:unhideWhenUsed/>
    <w:rsid w:val="0005727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Grillemoyenne3-Accent2">
    <w:name w:val="Medium Grid 3 Accent 2"/>
    <w:basedOn w:val="TableauNormal"/>
    <w:uiPriority w:val="99"/>
    <w:semiHidden/>
    <w:unhideWhenUsed/>
    <w:rsid w:val="0005727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Grillemoyenne3-Accent3">
    <w:name w:val="Medium Grid 3 Accent 3"/>
    <w:basedOn w:val="TableauNormal"/>
    <w:uiPriority w:val="99"/>
    <w:semiHidden/>
    <w:unhideWhenUsed/>
    <w:rsid w:val="0005727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Grillemoyenne3-Accent4">
    <w:name w:val="Medium Grid 3 Accent 4"/>
    <w:basedOn w:val="TableauNormal"/>
    <w:uiPriority w:val="99"/>
    <w:semiHidden/>
    <w:unhideWhenUsed/>
    <w:rsid w:val="0005727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Grillemoyenne3-Accent5">
    <w:name w:val="Medium Grid 3 Accent 5"/>
    <w:basedOn w:val="TableauNormal"/>
    <w:uiPriority w:val="99"/>
    <w:semiHidden/>
    <w:unhideWhenUsed/>
    <w:rsid w:val="0005727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Grillemoyenne3-Accent6">
    <w:name w:val="Medium Grid 3 Accent 6"/>
    <w:basedOn w:val="TableauNormal"/>
    <w:uiPriority w:val="99"/>
    <w:semiHidden/>
    <w:unhideWhenUsed/>
    <w:rsid w:val="0005727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paragraph" w:styleId="Index1">
    <w:name w:val="index 1"/>
    <w:basedOn w:val="Normal"/>
    <w:next w:val="Normal"/>
    <w:autoRedefine/>
    <w:uiPriority w:val="99"/>
    <w:semiHidden/>
    <w:unhideWhenUsed/>
    <w:rsid w:val="00057274"/>
    <w:pPr>
      <w:ind w:left="240" w:hanging="240"/>
    </w:pPr>
  </w:style>
  <w:style w:type="paragraph" w:styleId="Index2">
    <w:name w:val="index 2"/>
    <w:basedOn w:val="Normal"/>
    <w:next w:val="Normal"/>
    <w:autoRedefine/>
    <w:uiPriority w:val="99"/>
    <w:semiHidden/>
    <w:unhideWhenUsed/>
    <w:rsid w:val="00057274"/>
    <w:pPr>
      <w:ind w:left="480" w:hanging="240"/>
    </w:pPr>
  </w:style>
  <w:style w:type="paragraph" w:styleId="Index3">
    <w:name w:val="index 3"/>
    <w:basedOn w:val="Normal"/>
    <w:next w:val="Normal"/>
    <w:autoRedefine/>
    <w:uiPriority w:val="99"/>
    <w:semiHidden/>
    <w:unhideWhenUsed/>
    <w:rsid w:val="00057274"/>
    <w:pPr>
      <w:ind w:left="720" w:hanging="240"/>
    </w:pPr>
  </w:style>
  <w:style w:type="paragraph" w:styleId="Index4">
    <w:name w:val="index 4"/>
    <w:basedOn w:val="Normal"/>
    <w:next w:val="Normal"/>
    <w:autoRedefine/>
    <w:uiPriority w:val="99"/>
    <w:semiHidden/>
    <w:unhideWhenUsed/>
    <w:rsid w:val="00057274"/>
    <w:pPr>
      <w:ind w:left="960" w:hanging="240"/>
    </w:pPr>
  </w:style>
  <w:style w:type="paragraph" w:styleId="Index5">
    <w:name w:val="index 5"/>
    <w:basedOn w:val="Normal"/>
    <w:next w:val="Normal"/>
    <w:autoRedefine/>
    <w:uiPriority w:val="99"/>
    <w:semiHidden/>
    <w:unhideWhenUsed/>
    <w:rsid w:val="00057274"/>
    <w:pPr>
      <w:ind w:left="1200" w:hanging="240"/>
    </w:pPr>
  </w:style>
  <w:style w:type="paragraph" w:styleId="Index6">
    <w:name w:val="index 6"/>
    <w:basedOn w:val="Normal"/>
    <w:next w:val="Normal"/>
    <w:autoRedefine/>
    <w:uiPriority w:val="99"/>
    <w:semiHidden/>
    <w:unhideWhenUsed/>
    <w:rsid w:val="00057274"/>
    <w:pPr>
      <w:ind w:left="1440" w:hanging="240"/>
    </w:pPr>
  </w:style>
  <w:style w:type="paragraph" w:styleId="Index7">
    <w:name w:val="index 7"/>
    <w:basedOn w:val="Normal"/>
    <w:next w:val="Normal"/>
    <w:autoRedefine/>
    <w:uiPriority w:val="99"/>
    <w:semiHidden/>
    <w:unhideWhenUsed/>
    <w:rsid w:val="00057274"/>
    <w:pPr>
      <w:ind w:left="1680" w:hanging="240"/>
    </w:pPr>
  </w:style>
  <w:style w:type="paragraph" w:styleId="Index8">
    <w:name w:val="index 8"/>
    <w:basedOn w:val="Normal"/>
    <w:next w:val="Normal"/>
    <w:autoRedefine/>
    <w:uiPriority w:val="99"/>
    <w:semiHidden/>
    <w:unhideWhenUsed/>
    <w:rsid w:val="00057274"/>
    <w:pPr>
      <w:ind w:left="1920" w:hanging="240"/>
    </w:pPr>
  </w:style>
  <w:style w:type="paragraph" w:styleId="Index9">
    <w:name w:val="index 9"/>
    <w:basedOn w:val="Normal"/>
    <w:next w:val="Normal"/>
    <w:autoRedefine/>
    <w:uiPriority w:val="99"/>
    <w:semiHidden/>
    <w:unhideWhenUsed/>
    <w:rsid w:val="00057274"/>
    <w:pPr>
      <w:ind w:left="2160" w:hanging="240"/>
    </w:pPr>
  </w:style>
  <w:style w:type="paragraph" w:styleId="Lgende">
    <w:name w:val="caption"/>
    <w:basedOn w:val="Normal"/>
    <w:next w:val="Normal"/>
    <w:uiPriority w:val="99"/>
    <w:semiHidden/>
    <w:unhideWhenUsed/>
    <w:rsid w:val="00057274"/>
    <w:rPr>
      <w:b/>
      <w:bCs/>
      <w:sz w:val="20"/>
    </w:rPr>
  </w:style>
  <w:style w:type="character" w:styleId="Lienhypertexte">
    <w:name w:val="Hyperlink"/>
    <w:uiPriority w:val="99"/>
    <w:unhideWhenUsed/>
    <w:rsid w:val="00057274"/>
    <w:rPr>
      <w:color w:val="0563C1"/>
      <w:u w:val="single"/>
    </w:rPr>
  </w:style>
  <w:style w:type="character" w:styleId="Lienhypertextesuivivisit">
    <w:name w:val="FollowedHyperlink"/>
    <w:uiPriority w:val="99"/>
    <w:semiHidden/>
    <w:unhideWhenUsed/>
    <w:rsid w:val="00057274"/>
    <w:rPr>
      <w:color w:val="954F72"/>
      <w:u w:val="single"/>
    </w:rPr>
  </w:style>
  <w:style w:type="paragraph" w:styleId="Liste">
    <w:name w:val="List"/>
    <w:basedOn w:val="Normal"/>
    <w:uiPriority w:val="99"/>
    <w:semiHidden/>
    <w:unhideWhenUsed/>
    <w:rsid w:val="00057274"/>
    <w:pPr>
      <w:ind w:left="283" w:hanging="283"/>
      <w:contextualSpacing/>
    </w:pPr>
  </w:style>
  <w:style w:type="paragraph" w:styleId="Liste2">
    <w:name w:val="List 2"/>
    <w:basedOn w:val="Normal"/>
    <w:uiPriority w:val="99"/>
    <w:semiHidden/>
    <w:unhideWhenUsed/>
    <w:rsid w:val="00057274"/>
    <w:pPr>
      <w:ind w:left="566" w:hanging="283"/>
      <w:contextualSpacing/>
    </w:pPr>
  </w:style>
  <w:style w:type="paragraph" w:styleId="Liste3">
    <w:name w:val="List 3"/>
    <w:basedOn w:val="Normal"/>
    <w:uiPriority w:val="99"/>
    <w:semiHidden/>
    <w:unhideWhenUsed/>
    <w:rsid w:val="00057274"/>
    <w:pPr>
      <w:ind w:left="849" w:hanging="283"/>
      <w:contextualSpacing/>
    </w:pPr>
  </w:style>
  <w:style w:type="paragraph" w:styleId="Liste4">
    <w:name w:val="List 4"/>
    <w:basedOn w:val="Normal"/>
    <w:uiPriority w:val="99"/>
    <w:semiHidden/>
    <w:unhideWhenUsed/>
    <w:rsid w:val="00057274"/>
    <w:pPr>
      <w:ind w:left="1132" w:hanging="283"/>
      <w:contextualSpacing/>
    </w:pPr>
  </w:style>
  <w:style w:type="paragraph" w:styleId="Liste5">
    <w:name w:val="List 5"/>
    <w:basedOn w:val="Normal"/>
    <w:uiPriority w:val="99"/>
    <w:semiHidden/>
    <w:unhideWhenUsed/>
    <w:rsid w:val="00057274"/>
    <w:pPr>
      <w:ind w:left="1415" w:hanging="283"/>
      <w:contextualSpacing/>
    </w:pPr>
  </w:style>
  <w:style w:type="paragraph" w:styleId="Listenumros2">
    <w:name w:val="List Number 2"/>
    <w:basedOn w:val="Normal"/>
    <w:uiPriority w:val="99"/>
    <w:semiHidden/>
    <w:unhideWhenUsed/>
    <w:rsid w:val="00057274"/>
    <w:pPr>
      <w:numPr>
        <w:numId w:val="1"/>
      </w:numPr>
      <w:contextualSpacing/>
    </w:pPr>
  </w:style>
  <w:style w:type="paragraph" w:styleId="Listenumros3">
    <w:name w:val="List Number 3"/>
    <w:basedOn w:val="Normal"/>
    <w:uiPriority w:val="99"/>
    <w:semiHidden/>
    <w:unhideWhenUsed/>
    <w:rsid w:val="00057274"/>
    <w:pPr>
      <w:numPr>
        <w:numId w:val="2"/>
      </w:numPr>
      <w:contextualSpacing/>
    </w:pPr>
  </w:style>
  <w:style w:type="paragraph" w:styleId="Listenumros4">
    <w:name w:val="List Number 4"/>
    <w:basedOn w:val="Normal"/>
    <w:uiPriority w:val="99"/>
    <w:semiHidden/>
    <w:unhideWhenUsed/>
    <w:rsid w:val="00057274"/>
    <w:pPr>
      <w:numPr>
        <w:numId w:val="3"/>
      </w:numPr>
      <w:contextualSpacing/>
    </w:pPr>
  </w:style>
  <w:style w:type="paragraph" w:styleId="Listenumros5">
    <w:name w:val="List Number 5"/>
    <w:basedOn w:val="Normal"/>
    <w:uiPriority w:val="99"/>
    <w:semiHidden/>
    <w:unhideWhenUsed/>
    <w:rsid w:val="00057274"/>
    <w:pPr>
      <w:numPr>
        <w:numId w:val="4"/>
      </w:numPr>
      <w:contextualSpacing/>
    </w:pPr>
  </w:style>
  <w:style w:type="paragraph" w:styleId="Listepuces">
    <w:name w:val="List Bullet"/>
    <w:basedOn w:val="Normal"/>
    <w:uiPriority w:val="99"/>
    <w:unhideWhenUsed/>
    <w:rsid w:val="00057274"/>
    <w:pPr>
      <w:numPr>
        <w:numId w:val="5"/>
      </w:numPr>
      <w:contextualSpacing/>
    </w:pPr>
  </w:style>
  <w:style w:type="paragraph" w:styleId="Listepuces2">
    <w:name w:val="List Bullet 2"/>
    <w:basedOn w:val="Normal"/>
    <w:uiPriority w:val="99"/>
    <w:semiHidden/>
    <w:unhideWhenUsed/>
    <w:rsid w:val="00057274"/>
    <w:pPr>
      <w:numPr>
        <w:numId w:val="6"/>
      </w:numPr>
      <w:contextualSpacing/>
    </w:pPr>
  </w:style>
  <w:style w:type="paragraph" w:styleId="Listepuces3">
    <w:name w:val="List Bullet 3"/>
    <w:basedOn w:val="Normal"/>
    <w:uiPriority w:val="99"/>
    <w:semiHidden/>
    <w:unhideWhenUsed/>
    <w:rsid w:val="00057274"/>
    <w:pPr>
      <w:numPr>
        <w:numId w:val="7"/>
      </w:numPr>
      <w:contextualSpacing/>
    </w:pPr>
  </w:style>
  <w:style w:type="paragraph" w:styleId="Listepuces4">
    <w:name w:val="List Bullet 4"/>
    <w:basedOn w:val="Normal"/>
    <w:uiPriority w:val="99"/>
    <w:semiHidden/>
    <w:unhideWhenUsed/>
    <w:rsid w:val="00057274"/>
    <w:pPr>
      <w:numPr>
        <w:numId w:val="8"/>
      </w:numPr>
      <w:contextualSpacing/>
    </w:pPr>
  </w:style>
  <w:style w:type="paragraph" w:styleId="Listepuces5">
    <w:name w:val="List Bullet 5"/>
    <w:basedOn w:val="Normal"/>
    <w:uiPriority w:val="99"/>
    <w:semiHidden/>
    <w:unhideWhenUsed/>
    <w:rsid w:val="00057274"/>
    <w:pPr>
      <w:numPr>
        <w:numId w:val="9"/>
      </w:numPr>
      <w:contextualSpacing/>
    </w:pPr>
  </w:style>
  <w:style w:type="table" w:styleId="Listeclaire">
    <w:name w:val="Light List"/>
    <w:basedOn w:val="TableauNormal"/>
    <w:uiPriority w:val="99"/>
    <w:semiHidden/>
    <w:unhideWhenUsed/>
    <w:rsid w:val="0005727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99"/>
    <w:semiHidden/>
    <w:unhideWhenUsed/>
    <w:rsid w:val="00057274"/>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steclaire-Accent2">
    <w:name w:val="Light List Accent 2"/>
    <w:basedOn w:val="TableauNormal"/>
    <w:uiPriority w:val="99"/>
    <w:semiHidden/>
    <w:unhideWhenUsed/>
    <w:rsid w:val="00057274"/>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steclaire-Accent3">
    <w:name w:val="Light List Accent 3"/>
    <w:basedOn w:val="TableauNormal"/>
    <w:uiPriority w:val="99"/>
    <w:semiHidden/>
    <w:unhideWhenUsed/>
    <w:rsid w:val="00057274"/>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steclaire-Accent4">
    <w:name w:val="Light List Accent 4"/>
    <w:basedOn w:val="TableauNormal"/>
    <w:uiPriority w:val="99"/>
    <w:semiHidden/>
    <w:unhideWhenUsed/>
    <w:rsid w:val="00057274"/>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steclaire-Accent5">
    <w:name w:val="Light List Accent 5"/>
    <w:basedOn w:val="TableauNormal"/>
    <w:uiPriority w:val="99"/>
    <w:semiHidden/>
    <w:unhideWhenUsed/>
    <w:rsid w:val="00057274"/>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steclaire-Accent6">
    <w:name w:val="Light List Accent 6"/>
    <w:basedOn w:val="TableauNormal"/>
    <w:uiPriority w:val="99"/>
    <w:semiHidden/>
    <w:unhideWhenUsed/>
    <w:rsid w:val="00057274"/>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paragraph" w:styleId="Listecontinue">
    <w:name w:val="List Continue"/>
    <w:basedOn w:val="Normal"/>
    <w:uiPriority w:val="99"/>
    <w:semiHidden/>
    <w:unhideWhenUsed/>
    <w:rsid w:val="00057274"/>
    <w:pPr>
      <w:spacing w:after="120"/>
      <w:ind w:left="283"/>
      <w:contextualSpacing/>
    </w:pPr>
  </w:style>
  <w:style w:type="paragraph" w:styleId="Listecontinue2">
    <w:name w:val="List Continue 2"/>
    <w:basedOn w:val="Normal"/>
    <w:uiPriority w:val="99"/>
    <w:semiHidden/>
    <w:unhideWhenUsed/>
    <w:rsid w:val="00057274"/>
    <w:pPr>
      <w:spacing w:after="120"/>
      <w:ind w:left="566"/>
      <w:contextualSpacing/>
    </w:pPr>
  </w:style>
  <w:style w:type="paragraph" w:styleId="Listecontinue3">
    <w:name w:val="List Continue 3"/>
    <w:basedOn w:val="Normal"/>
    <w:uiPriority w:val="99"/>
    <w:semiHidden/>
    <w:unhideWhenUsed/>
    <w:rsid w:val="00057274"/>
    <w:pPr>
      <w:spacing w:after="120"/>
      <w:ind w:left="849"/>
      <w:contextualSpacing/>
    </w:pPr>
  </w:style>
  <w:style w:type="paragraph" w:styleId="Listecontinue4">
    <w:name w:val="List Continue 4"/>
    <w:basedOn w:val="Normal"/>
    <w:uiPriority w:val="99"/>
    <w:semiHidden/>
    <w:unhideWhenUsed/>
    <w:rsid w:val="00057274"/>
    <w:pPr>
      <w:spacing w:after="120"/>
      <w:ind w:left="1132"/>
      <w:contextualSpacing/>
    </w:pPr>
  </w:style>
  <w:style w:type="paragraph" w:styleId="Listecontinue5">
    <w:name w:val="List Continue 5"/>
    <w:basedOn w:val="Normal"/>
    <w:uiPriority w:val="99"/>
    <w:semiHidden/>
    <w:unhideWhenUsed/>
    <w:rsid w:val="00057274"/>
    <w:pPr>
      <w:spacing w:after="120"/>
      <w:ind w:left="1415"/>
      <w:contextualSpacing/>
    </w:pPr>
  </w:style>
  <w:style w:type="table" w:styleId="Listecouleur">
    <w:name w:val="Colorful List"/>
    <w:basedOn w:val="TableauNormal"/>
    <w:uiPriority w:val="99"/>
    <w:semiHidden/>
    <w:unhideWhenUsed/>
    <w:rsid w:val="0005727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99"/>
    <w:semiHidden/>
    <w:unhideWhenUsed/>
    <w:rsid w:val="00057274"/>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Listecouleur-Accent2">
    <w:name w:val="Colorful List Accent 2"/>
    <w:basedOn w:val="TableauNormal"/>
    <w:uiPriority w:val="99"/>
    <w:semiHidden/>
    <w:unhideWhenUsed/>
    <w:rsid w:val="00057274"/>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Listecouleur-Accent3">
    <w:name w:val="Colorful List Accent 3"/>
    <w:basedOn w:val="TableauNormal"/>
    <w:uiPriority w:val="99"/>
    <w:semiHidden/>
    <w:unhideWhenUsed/>
    <w:rsid w:val="00057274"/>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Listecouleur-Accent4">
    <w:name w:val="Colorful List Accent 4"/>
    <w:basedOn w:val="TableauNormal"/>
    <w:uiPriority w:val="99"/>
    <w:semiHidden/>
    <w:unhideWhenUsed/>
    <w:rsid w:val="00057274"/>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Listecouleur-Accent5">
    <w:name w:val="Colorful List Accent 5"/>
    <w:basedOn w:val="TableauNormal"/>
    <w:uiPriority w:val="99"/>
    <w:semiHidden/>
    <w:unhideWhenUsed/>
    <w:rsid w:val="00057274"/>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Listecouleur-Accent6">
    <w:name w:val="Colorful List Accent 6"/>
    <w:basedOn w:val="TableauNormal"/>
    <w:uiPriority w:val="99"/>
    <w:semiHidden/>
    <w:unhideWhenUsed/>
    <w:rsid w:val="00057274"/>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Listefonce">
    <w:name w:val="Dark List"/>
    <w:basedOn w:val="TableauNormal"/>
    <w:uiPriority w:val="99"/>
    <w:semiHidden/>
    <w:unhideWhenUsed/>
    <w:rsid w:val="0005727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99"/>
    <w:semiHidden/>
    <w:unhideWhenUsed/>
    <w:rsid w:val="00057274"/>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Listefonce-Accent2">
    <w:name w:val="Dark List Accent 2"/>
    <w:basedOn w:val="TableauNormal"/>
    <w:uiPriority w:val="99"/>
    <w:semiHidden/>
    <w:unhideWhenUsed/>
    <w:rsid w:val="00057274"/>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Listefonce-Accent3">
    <w:name w:val="Dark List Accent 3"/>
    <w:basedOn w:val="TableauNormal"/>
    <w:uiPriority w:val="99"/>
    <w:semiHidden/>
    <w:unhideWhenUsed/>
    <w:rsid w:val="00057274"/>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Listefonce-Accent4">
    <w:name w:val="Dark List Accent 4"/>
    <w:basedOn w:val="TableauNormal"/>
    <w:uiPriority w:val="99"/>
    <w:semiHidden/>
    <w:unhideWhenUsed/>
    <w:rsid w:val="00057274"/>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Listefonce-Accent5">
    <w:name w:val="Dark List Accent 5"/>
    <w:basedOn w:val="TableauNormal"/>
    <w:uiPriority w:val="99"/>
    <w:semiHidden/>
    <w:unhideWhenUsed/>
    <w:rsid w:val="00057274"/>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Listefonce-Accent6">
    <w:name w:val="Dark List Accent 6"/>
    <w:basedOn w:val="TableauNormal"/>
    <w:uiPriority w:val="99"/>
    <w:semiHidden/>
    <w:unhideWhenUsed/>
    <w:rsid w:val="00057274"/>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styleId="Listemoyenne1">
    <w:name w:val="Medium List 1"/>
    <w:basedOn w:val="TableauNormal"/>
    <w:uiPriority w:val="99"/>
    <w:semiHidden/>
    <w:unhideWhenUsed/>
    <w:rsid w:val="00057274"/>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99"/>
    <w:semiHidden/>
    <w:unhideWhenUsed/>
    <w:rsid w:val="00057274"/>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Listemoyenne1-Accent2">
    <w:name w:val="Medium List 1 Accent 2"/>
    <w:basedOn w:val="TableauNormal"/>
    <w:uiPriority w:val="99"/>
    <w:semiHidden/>
    <w:unhideWhenUsed/>
    <w:rsid w:val="00057274"/>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Listemoyenne1-Accent3">
    <w:name w:val="Medium List 1 Accent 3"/>
    <w:basedOn w:val="TableauNormal"/>
    <w:uiPriority w:val="99"/>
    <w:semiHidden/>
    <w:unhideWhenUsed/>
    <w:rsid w:val="00057274"/>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Listemoyenne1-Accent4">
    <w:name w:val="Medium List 1 Accent 4"/>
    <w:basedOn w:val="TableauNormal"/>
    <w:uiPriority w:val="99"/>
    <w:semiHidden/>
    <w:unhideWhenUsed/>
    <w:rsid w:val="00057274"/>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Listemoyenne1-Accent5">
    <w:name w:val="Medium List 1 Accent 5"/>
    <w:basedOn w:val="TableauNormal"/>
    <w:uiPriority w:val="99"/>
    <w:semiHidden/>
    <w:unhideWhenUsed/>
    <w:rsid w:val="00057274"/>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Listemoyenne1-Accent6">
    <w:name w:val="Medium List 1 Accent 6"/>
    <w:basedOn w:val="TableauNormal"/>
    <w:uiPriority w:val="99"/>
    <w:semiHidden/>
    <w:unhideWhenUsed/>
    <w:rsid w:val="00057274"/>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Listemoyenne2">
    <w:name w:val="Medium List 2"/>
    <w:basedOn w:val="TableauNormal"/>
    <w:uiPriority w:val="99"/>
    <w:semiHidden/>
    <w:unhideWhenUsed/>
    <w:rsid w:val="00057274"/>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99"/>
    <w:semiHidden/>
    <w:unhideWhenUsed/>
    <w:rsid w:val="00057274"/>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99"/>
    <w:semiHidden/>
    <w:unhideWhenUsed/>
    <w:rsid w:val="00057274"/>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99"/>
    <w:semiHidden/>
    <w:unhideWhenUsed/>
    <w:rsid w:val="00057274"/>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99"/>
    <w:semiHidden/>
    <w:unhideWhenUsed/>
    <w:rsid w:val="00057274"/>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99"/>
    <w:semiHidden/>
    <w:unhideWhenUsed/>
    <w:rsid w:val="00057274"/>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99"/>
    <w:semiHidden/>
    <w:unhideWhenUsed/>
    <w:rsid w:val="00057274"/>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character" w:styleId="MachinecrireHTML">
    <w:name w:val="HTML Typewriter"/>
    <w:uiPriority w:val="99"/>
    <w:semiHidden/>
    <w:unhideWhenUsed/>
    <w:rsid w:val="00057274"/>
    <w:rPr>
      <w:rFonts w:ascii="Courier New" w:hAnsi="Courier New" w:cs="Courier New"/>
      <w:sz w:val="20"/>
      <w:szCs w:val="20"/>
    </w:rPr>
  </w:style>
  <w:style w:type="character" w:styleId="Marquedecommentaire">
    <w:name w:val="annotation reference"/>
    <w:uiPriority w:val="99"/>
    <w:semiHidden/>
    <w:unhideWhenUsed/>
    <w:rsid w:val="00057274"/>
    <w:rPr>
      <w:sz w:val="16"/>
      <w:szCs w:val="16"/>
    </w:rPr>
  </w:style>
  <w:style w:type="paragraph" w:styleId="NormalWeb">
    <w:name w:val="Normal (Web)"/>
    <w:basedOn w:val="Normal"/>
    <w:uiPriority w:val="99"/>
    <w:semiHidden/>
    <w:unhideWhenUsed/>
    <w:rsid w:val="00057274"/>
    <w:rPr>
      <w:rFonts w:ascii="Times New Roman" w:hAnsi="Times New Roman"/>
      <w:szCs w:val="24"/>
    </w:rPr>
  </w:style>
  <w:style w:type="paragraph" w:styleId="Normalcentr">
    <w:name w:val="Block Text"/>
    <w:basedOn w:val="Normal"/>
    <w:uiPriority w:val="99"/>
    <w:semiHidden/>
    <w:unhideWhenUsed/>
    <w:rsid w:val="00057274"/>
    <w:pPr>
      <w:spacing w:after="120"/>
      <w:ind w:left="1440" w:right="1440"/>
    </w:pPr>
  </w:style>
  <w:style w:type="character" w:styleId="Numrodeligne">
    <w:name w:val="line number"/>
    <w:basedOn w:val="Policepardfaut"/>
    <w:uiPriority w:val="99"/>
    <w:semiHidden/>
    <w:unhideWhenUsed/>
    <w:rsid w:val="00057274"/>
  </w:style>
  <w:style w:type="character" w:styleId="Numrodepage">
    <w:name w:val="page number"/>
    <w:basedOn w:val="Policepardfaut"/>
    <w:uiPriority w:val="99"/>
    <w:semiHidden/>
    <w:unhideWhenUsed/>
    <w:rsid w:val="00057274"/>
  </w:style>
  <w:style w:type="paragraph" w:styleId="Objetducommentaire">
    <w:name w:val="annotation subject"/>
    <w:basedOn w:val="Commentaire"/>
    <w:next w:val="Commentaire"/>
    <w:link w:val="ObjetducommentaireCar"/>
    <w:uiPriority w:val="99"/>
    <w:semiHidden/>
    <w:unhideWhenUsed/>
    <w:rsid w:val="00057274"/>
    <w:rPr>
      <w:b/>
      <w:bCs/>
    </w:rPr>
  </w:style>
  <w:style w:type="character" w:customStyle="1" w:styleId="ObjetducommentaireCar">
    <w:name w:val="Objet du commentaire Car"/>
    <w:link w:val="Objetducommentaire"/>
    <w:rsid w:val="00057274"/>
    <w:rPr>
      <w:rFonts w:ascii="Arial" w:hAnsi="Arial"/>
      <w:b/>
      <w:bCs/>
      <w:lang w:eastAsia="fr-FR"/>
    </w:rPr>
  </w:style>
  <w:style w:type="table" w:styleId="Ombrageclair">
    <w:name w:val="Light Shading"/>
    <w:basedOn w:val="TableauNormal"/>
    <w:uiPriority w:val="99"/>
    <w:semiHidden/>
    <w:unhideWhenUsed/>
    <w:rsid w:val="0005727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aragraphedeliste">
    <w:name w:val="List Paragraph"/>
    <w:basedOn w:val="Normal"/>
    <w:uiPriority w:val="99"/>
    <w:unhideWhenUsed/>
    <w:qFormat/>
    <w:rsid w:val="00057274"/>
    <w:pPr>
      <w:ind w:left="708"/>
    </w:pPr>
  </w:style>
  <w:style w:type="paragraph" w:styleId="PrformatHTML">
    <w:name w:val="HTML Preformatted"/>
    <w:basedOn w:val="Normal"/>
    <w:link w:val="PrformatHTMLCar"/>
    <w:uiPriority w:val="99"/>
    <w:semiHidden/>
    <w:unhideWhenUsed/>
    <w:rsid w:val="00057274"/>
    <w:rPr>
      <w:rFonts w:ascii="Courier New" w:hAnsi="Courier New" w:cs="Courier New"/>
      <w:sz w:val="20"/>
    </w:rPr>
  </w:style>
  <w:style w:type="character" w:customStyle="1" w:styleId="PrformatHTMLCar">
    <w:name w:val="Préformaté HTML Car"/>
    <w:link w:val="PrformatHTML"/>
    <w:rsid w:val="00057274"/>
    <w:rPr>
      <w:rFonts w:ascii="Courier New" w:hAnsi="Courier New" w:cs="Courier New"/>
      <w:lang w:eastAsia="fr-FR"/>
    </w:rPr>
  </w:style>
  <w:style w:type="character" w:styleId="Rfrenceintense">
    <w:name w:val="Intense Reference"/>
    <w:uiPriority w:val="99"/>
    <w:semiHidden/>
    <w:unhideWhenUsed/>
    <w:rsid w:val="00057274"/>
    <w:rPr>
      <w:b/>
      <w:bCs/>
      <w:smallCaps/>
      <w:color w:val="ED7D31"/>
      <w:spacing w:val="5"/>
      <w:u w:val="single"/>
    </w:rPr>
  </w:style>
  <w:style w:type="character" w:styleId="Rfrenceple">
    <w:name w:val="Subtle Reference"/>
    <w:uiPriority w:val="99"/>
    <w:semiHidden/>
    <w:unhideWhenUsed/>
    <w:rsid w:val="00057274"/>
    <w:rPr>
      <w:smallCaps/>
      <w:color w:val="ED7D31"/>
      <w:u w:val="single"/>
    </w:rPr>
  </w:style>
  <w:style w:type="paragraph" w:styleId="Retrait1religne">
    <w:name w:val="Body Text First Indent"/>
    <w:basedOn w:val="Corpsdetexte"/>
    <w:link w:val="Retrait1religneCar"/>
    <w:uiPriority w:val="99"/>
    <w:semiHidden/>
    <w:unhideWhenUsed/>
    <w:rsid w:val="00057274"/>
    <w:pPr>
      <w:ind w:firstLine="210"/>
    </w:pPr>
  </w:style>
  <w:style w:type="character" w:customStyle="1" w:styleId="CorpsdetexteCar">
    <w:name w:val="Corps de texte Car"/>
    <w:link w:val="Corpsdetexte"/>
    <w:uiPriority w:val="99"/>
    <w:rsid w:val="00FD42DA"/>
    <w:rPr>
      <w:rFonts w:ascii="Arial" w:hAnsi="Arial"/>
      <w:sz w:val="24"/>
      <w:lang w:eastAsia="fr-FR"/>
    </w:rPr>
  </w:style>
  <w:style w:type="character" w:customStyle="1" w:styleId="Retrait1religneCar">
    <w:name w:val="Retrait 1re ligne Car"/>
    <w:link w:val="Retrait1religne"/>
    <w:rsid w:val="00057274"/>
    <w:rPr>
      <w:rFonts w:ascii="Arial" w:hAnsi="Arial"/>
      <w:sz w:val="24"/>
      <w:lang w:eastAsia="fr-FR"/>
    </w:rPr>
  </w:style>
  <w:style w:type="paragraph" w:styleId="Retraitcorpsdetexte">
    <w:name w:val="Body Text Indent"/>
    <w:basedOn w:val="Normal"/>
    <w:link w:val="RetraitcorpsdetexteCar"/>
    <w:uiPriority w:val="99"/>
    <w:semiHidden/>
    <w:unhideWhenUsed/>
    <w:rsid w:val="00860C9A"/>
    <w:pPr>
      <w:spacing w:after="240"/>
      <w:ind w:left="720"/>
      <w:jc w:val="both"/>
    </w:pPr>
    <w:rPr>
      <w:sz w:val="22"/>
    </w:rPr>
  </w:style>
  <w:style w:type="character" w:customStyle="1" w:styleId="RetraitcorpsdetexteCar">
    <w:name w:val="Retrait corps de texte Car"/>
    <w:link w:val="Retraitcorpsdetexte"/>
    <w:uiPriority w:val="99"/>
    <w:rsid w:val="00860C9A"/>
    <w:rPr>
      <w:rFonts w:ascii="Arial" w:hAnsi="Arial"/>
      <w:sz w:val="22"/>
      <w:lang w:eastAsia="fr-FR"/>
    </w:rPr>
  </w:style>
  <w:style w:type="paragraph" w:styleId="Retraitcorpsdetexte2">
    <w:name w:val="Body Text Indent 2"/>
    <w:basedOn w:val="Normal"/>
    <w:link w:val="Retraitcorpsdetexte2Car"/>
    <w:uiPriority w:val="99"/>
    <w:semiHidden/>
    <w:unhideWhenUsed/>
    <w:rsid w:val="00057274"/>
    <w:pPr>
      <w:spacing w:after="120" w:line="480" w:lineRule="auto"/>
      <w:ind w:left="283"/>
    </w:pPr>
  </w:style>
  <w:style w:type="character" w:customStyle="1" w:styleId="Retraitcorpsdetexte2Car">
    <w:name w:val="Retrait corps de texte 2 Car"/>
    <w:link w:val="Retraitcorpsdetexte2"/>
    <w:rsid w:val="00057274"/>
    <w:rPr>
      <w:rFonts w:ascii="Arial" w:hAnsi="Arial"/>
      <w:sz w:val="24"/>
      <w:lang w:eastAsia="fr-FR"/>
    </w:rPr>
  </w:style>
  <w:style w:type="paragraph" w:styleId="Retraitcorpsdetexte3">
    <w:name w:val="Body Text Indent 3"/>
    <w:basedOn w:val="Normal"/>
    <w:link w:val="Retraitcorpsdetexte3Car"/>
    <w:uiPriority w:val="99"/>
    <w:semiHidden/>
    <w:unhideWhenUsed/>
    <w:rsid w:val="00057274"/>
    <w:pPr>
      <w:spacing w:after="120"/>
      <w:ind w:left="283"/>
    </w:pPr>
    <w:rPr>
      <w:sz w:val="16"/>
      <w:szCs w:val="16"/>
    </w:rPr>
  </w:style>
  <w:style w:type="character" w:customStyle="1" w:styleId="Retraitcorpsdetexte3Car">
    <w:name w:val="Retrait corps de texte 3 Car"/>
    <w:link w:val="Retraitcorpsdetexte3"/>
    <w:rsid w:val="00057274"/>
    <w:rPr>
      <w:rFonts w:ascii="Arial" w:hAnsi="Arial"/>
      <w:sz w:val="16"/>
      <w:szCs w:val="16"/>
      <w:lang w:eastAsia="fr-FR"/>
    </w:rPr>
  </w:style>
  <w:style w:type="paragraph" w:styleId="Retraitcorpset1relig">
    <w:name w:val="Body Text First Indent 2"/>
    <w:basedOn w:val="Retraitcorpsdetexte"/>
    <w:link w:val="Retraitcorpset1religCar"/>
    <w:uiPriority w:val="99"/>
    <w:semiHidden/>
    <w:unhideWhenUsed/>
    <w:rsid w:val="00057274"/>
    <w:pPr>
      <w:ind w:firstLine="210"/>
    </w:pPr>
  </w:style>
  <w:style w:type="character" w:customStyle="1" w:styleId="Retraitcorpset1religCar">
    <w:name w:val="Retrait corps et 1re lig. Car"/>
    <w:link w:val="Retraitcorpset1relig"/>
    <w:rsid w:val="00057274"/>
    <w:rPr>
      <w:rFonts w:ascii="Arial" w:hAnsi="Arial"/>
      <w:sz w:val="24"/>
      <w:lang w:eastAsia="fr-FR"/>
    </w:rPr>
  </w:style>
  <w:style w:type="paragraph" w:styleId="Retraitnormal">
    <w:name w:val="Normal Indent"/>
    <w:basedOn w:val="Normal"/>
    <w:uiPriority w:val="99"/>
    <w:semiHidden/>
    <w:unhideWhenUsed/>
    <w:rsid w:val="00057274"/>
    <w:pPr>
      <w:ind w:left="708"/>
    </w:pPr>
  </w:style>
  <w:style w:type="paragraph" w:styleId="Salutations">
    <w:name w:val="Salutation"/>
    <w:basedOn w:val="Normal"/>
    <w:next w:val="Normal"/>
    <w:link w:val="SalutationsCar"/>
    <w:uiPriority w:val="99"/>
    <w:semiHidden/>
    <w:unhideWhenUsed/>
    <w:rsid w:val="00057274"/>
  </w:style>
  <w:style w:type="character" w:customStyle="1" w:styleId="SalutationsCar">
    <w:name w:val="Salutations Car"/>
    <w:link w:val="Salutations"/>
    <w:rsid w:val="00057274"/>
    <w:rPr>
      <w:rFonts w:ascii="Arial" w:hAnsi="Arial"/>
      <w:sz w:val="24"/>
      <w:lang w:eastAsia="fr-FR"/>
    </w:rPr>
  </w:style>
  <w:style w:type="paragraph" w:styleId="Sansinterligne">
    <w:name w:val="No Spacing"/>
    <w:uiPriority w:val="99"/>
    <w:semiHidden/>
    <w:unhideWhenUsed/>
    <w:rsid w:val="00057274"/>
    <w:rPr>
      <w:rFonts w:ascii="Arial" w:hAnsi="Arial"/>
      <w:sz w:val="24"/>
      <w:lang w:val="fr-CA" w:eastAsia="fr-FR"/>
    </w:rPr>
  </w:style>
  <w:style w:type="paragraph" w:styleId="Signature">
    <w:name w:val="Signature"/>
    <w:basedOn w:val="Normal"/>
    <w:link w:val="SignatureCar"/>
    <w:uiPriority w:val="99"/>
    <w:semiHidden/>
    <w:unhideWhenUsed/>
    <w:rsid w:val="00057274"/>
    <w:pPr>
      <w:ind w:left="4252"/>
    </w:pPr>
  </w:style>
  <w:style w:type="character" w:customStyle="1" w:styleId="SignatureCar">
    <w:name w:val="Signature Car"/>
    <w:link w:val="Signature"/>
    <w:rsid w:val="00057274"/>
    <w:rPr>
      <w:rFonts w:ascii="Arial" w:hAnsi="Arial"/>
      <w:sz w:val="24"/>
      <w:lang w:eastAsia="fr-FR"/>
    </w:rPr>
  </w:style>
  <w:style w:type="paragraph" w:styleId="Signaturelectronique">
    <w:name w:val="E-mail Signature"/>
    <w:basedOn w:val="Normal"/>
    <w:link w:val="SignaturelectroniqueCar"/>
    <w:uiPriority w:val="99"/>
    <w:semiHidden/>
    <w:unhideWhenUsed/>
    <w:rsid w:val="00057274"/>
  </w:style>
  <w:style w:type="character" w:customStyle="1" w:styleId="SignaturelectroniqueCar">
    <w:name w:val="Signature électronique Car"/>
    <w:link w:val="Signaturelectronique"/>
    <w:rsid w:val="00057274"/>
    <w:rPr>
      <w:rFonts w:ascii="Arial" w:hAnsi="Arial"/>
      <w:sz w:val="24"/>
      <w:lang w:eastAsia="fr-FR"/>
    </w:rPr>
  </w:style>
  <w:style w:type="paragraph" w:styleId="Sous-titre">
    <w:name w:val="Subtitle"/>
    <w:basedOn w:val="Normal"/>
    <w:next w:val="Normal"/>
    <w:link w:val="Sous-titreCar"/>
    <w:uiPriority w:val="99"/>
    <w:semiHidden/>
    <w:unhideWhenUsed/>
    <w:rsid w:val="00057274"/>
    <w:pPr>
      <w:spacing w:after="60"/>
      <w:jc w:val="center"/>
      <w:outlineLvl w:val="1"/>
    </w:pPr>
    <w:rPr>
      <w:rFonts w:ascii="Calibri Light" w:hAnsi="Calibri Light"/>
      <w:szCs w:val="24"/>
    </w:rPr>
  </w:style>
  <w:style w:type="character" w:customStyle="1" w:styleId="Sous-titreCar">
    <w:name w:val="Sous-titre Car"/>
    <w:link w:val="Sous-titre"/>
    <w:rsid w:val="00057274"/>
    <w:rPr>
      <w:rFonts w:ascii="Calibri Light" w:eastAsia="Times New Roman" w:hAnsi="Calibri Light" w:cs="Times New Roman"/>
      <w:sz w:val="24"/>
      <w:szCs w:val="24"/>
      <w:lang w:eastAsia="fr-FR"/>
    </w:rPr>
  </w:style>
  <w:style w:type="paragraph" w:styleId="Tabledesillustrations">
    <w:name w:val="table of figures"/>
    <w:basedOn w:val="Normal"/>
    <w:next w:val="Normal"/>
    <w:uiPriority w:val="99"/>
    <w:semiHidden/>
    <w:unhideWhenUsed/>
    <w:rsid w:val="00057274"/>
  </w:style>
  <w:style w:type="paragraph" w:styleId="Tabledesrfrencesjuridiques">
    <w:name w:val="table of authorities"/>
    <w:basedOn w:val="Normal"/>
    <w:next w:val="Normal"/>
    <w:uiPriority w:val="99"/>
    <w:semiHidden/>
    <w:unhideWhenUsed/>
    <w:rsid w:val="00057274"/>
    <w:pPr>
      <w:ind w:left="240" w:hanging="240"/>
    </w:pPr>
  </w:style>
  <w:style w:type="table" w:styleId="Tableauclassique1">
    <w:name w:val="Table Classic 1"/>
    <w:basedOn w:val="TableauNormal"/>
    <w:uiPriority w:val="99"/>
    <w:semiHidden/>
    <w:unhideWhenUsed/>
    <w:rsid w:val="0005727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05727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05727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05727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05727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05727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05727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05727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05727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05727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05727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05727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05727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05727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05727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05727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05727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le1">
    <w:name w:val="Table Subtle 1"/>
    <w:basedOn w:val="TableauNormal"/>
    <w:uiPriority w:val="99"/>
    <w:semiHidden/>
    <w:unhideWhenUsed/>
    <w:rsid w:val="0005727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05727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0572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05727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05727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05727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unhideWhenUsed/>
    <w:rsid w:val="0005727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05727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05727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057274"/>
    <w:rPr>
      <w:rFonts w:ascii="Courier New" w:hAnsi="Courier New" w:cs="Courier New"/>
      <w:sz w:val="20"/>
    </w:rPr>
  </w:style>
  <w:style w:type="character" w:customStyle="1" w:styleId="TextebrutCar">
    <w:name w:val="Texte brut Car"/>
    <w:link w:val="Textebrut"/>
    <w:rsid w:val="00057274"/>
    <w:rPr>
      <w:rFonts w:ascii="Courier New" w:hAnsi="Courier New" w:cs="Courier New"/>
      <w:lang w:eastAsia="fr-FR"/>
    </w:rPr>
  </w:style>
  <w:style w:type="paragraph" w:styleId="Textedebulles">
    <w:name w:val="Balloon Text"/>
    <w:basedOn w:val="Normal"/>
    <w:link w:val="TextedebullesCar"/>
    <w:uiPriority w:val="99"/>
    <w:semiHidden/>
    <w:unhideWhenUsed/>
    <w:rsid w:val="00057274"/>
    <w:rPr>
      <w:rFonts w:ascii="Tahoma" w:hAnsi="Tahoma" w:cs="Tahoma"/>
      <w:sz w:val="16"/>
      <w:szCs w:val="16"/>
    </w:rPr>
  </w:style>
  <w:style w:type="character" w:customStyle="1" w:styleId="TextedebullesCar">
    <w:name w:val="Texte de bulles Car"/>
    <w:link w:val="Textedebulles"/>
    <w:rsid w:val="00057274"/>
    <w:rPr>
      <w:rFonts w:ascii="Tahoma" w:hAnsi="Tahoma" w:cs="Tahoma"/>
      <w:sz w:val="16"/>
      <w:szCs w:val="16"/>
      <w:lang w:eastAsia="fr-FR"/>
    </w:rPr>
  </w:style>
  <w:style w:type="character" w:styleId="Textedelespacerserv">
    <w:name w:val="Placeholder Text"/>
    <w:uiPriority w:val="99"/>
    <w:semiHidden/>
    <w:unhideWhenUsed/>
    <w:rsid w:val="00057274"/>
    <w:rPr>
      <w:color w:val="808080"/>
    </w:rPr>
  </w:style>
  <w:style w:type="paragraph" w:styleId="Textedemacro">
    <w:name w:val="macro"/>
    <w:link w:val="TextedemacroCar"/>
    <w:uiPriority w:val="99"/>
    <w:semiHidden/>
    <w:unhideWhenUsed/>
    <w:rsid w:val="000572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fr-CA" w:eastAsia="fr-FR"/>
    </w:rPr>
  </w:style>
  <w:style w:type="character" w:customStyle="1" w:styleId="TextedemacroCar">
    <w:name w:val="Texte de macro Car"/>
    <w:link w:val="Textedemacro"/>
    <w:rsid w:val="00057274"/>
    <w:rPr>
      <w:rFonts w:ascii="Courier New" w:hAnsi="Courier New" w:cs="Courier New"/>
      <w:lang w:eastAsia="fr-FR"/>
    </w:rPr>
  </w:style>
  <w:style w:type="table" w:styleId="Thmedutableau">
    <w:name w:val="Table Theme"/>
    <w:basedOn w:val="TableauNormal"/>
    <w:uiPriority w:val="99"/>
    <w:semiHidden/>
    <w:unhideWhenUsed/>
    <w:rsid w:val="00057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99"/>
    <w:semiHidden/>
    <w:unhideWhenUsed/>
    <w:rsid w:val="00057274"/>
    <w:pPr>
      <w:spacing w:before="240" w:after="60"/>
      <w:jc w:val="center"/>
      <w:outlineLvl w:val="0"/>
    </w:pPr>
    <w:rPr>
      <w:rFonts w:ascii="Calibri Light" w:hAnsi="Calibri Light"/>
      <w:b/>
      <w:bCs/>
      <w:kern w:val="28"/>
      <w:sz w:val="32"/>
      <w:szCs w:val="32"/>
    </w:rPr>
  </w:style>
  <w:style w:type="character" w:customStyle="1" w:styleId="TitreCar">
    <w:name w:val="Titre Car"/>
    <w:link w:val="Titre"/>
    <w:rsid w:val="00057274"/>
    <w:rPr>
      <w:rFonts w:ascii="Calibri Light" w:eastAsia="Times New Roman" w:hAnsi="Calibri Light" w:cs="Times New Roman"/>
      <w:b/>
      <w:bCs/>
      <w:kern w:val="28"/>
      <w:sz w:val="32"/>
      <w:szCs w:val="32"/>
      <w:lang w:eastAsia="fr-FR"/>
    </w:rPr>
  </w:style>
  <w:style w:type="paragraph" w:styleId="Titredenote">
    <w:name w:val="Note Heading"/>
    <w:basedOn w:val="Normal"/>
    <w:next w:val="Normal"/>
    <w:link w:val="TitredenoteCar"/>
    <w:uiPriority w:val="99"/>
    <w:semiHidden/>
    <w:unhideWhenUsed/>
    <w:rsid w:val="00057274"/>
  </w:style>
  <w:style w:type="character" w:customStyle="1" w:styleId="TitredenoteCar">
    <w:name w:val="Titre de note Car"/>
    <w:link w:val="Titredenote"/>
    <w:rsid w:val="00057274"/>
    <w:rPr>
      <w:rFonts w:ascii="Arial" w:hAnsi="Arial"/>
      <w:sz w:val="24"/>
      <w:lang w:eastAsia="fr-FR"/>
    </w:rPr>
  </w:style>
  <w:style w:type="character" w:styleId="Titredulivre">
    <w:name w:val="Book Title"/>
    <w:uiPriority w:val="99"/>
    <w:semiHidden/>
    <w:unhideWhenUsed/>
    <w:rsid w:val="00057274"/>
    <w:rPr>
      <w:b/>
      <w:bCs/>
      <w:smallCaps/>
      <w:spacing w:val="5"/>
    </w:rPr>
  </w:style>
  <w:style w:type="paragraph" w:styleId="Titreindex">
    <w:name w:val="index heading"/>
    <w:basedOn w:val="Normal"/>
    <w:next w:val="Index1"/>
    <w:uiPriority w:val="99"/>
    <w:semiHidden/>
    <w:unhideWhenUsed/>
    <w:rsid w:val="00057274"/>
    <w:rPr>
      <w:rFonts w:ascii="Calibri Light" w:hAnsi="Calibri Light"/>
      <w:b/>
      <w:bCs/>
    </w:rPr>
  </w:style>
  <w:style w:type="paragraph" w:styleId="TitreTR">
    <w:name w:val="toa heading"/>
    <w:basedOn w:val="Normal"/>
    <w:next w:val="Normal"/>
    <w:uiPriority w:val="99"/>
    <w:semiHidden/>
    <w:unhideWhenUsed/>
    <w:rsid w:val="00057274"/>
    <w:pPr>
      <w:spacing w:before="120"/>
    </w:pPr>
    <w:rPr>
      <w:rFonts w:ascii="Calibri Light" w:hAnsi="Calibri Light"/>
      <w:b/>
      <w:bCs/>
      <w:szCs w:val="24"/>
    </w:rPr>
  </w:style>
  <w:style w:type="paragraph" w:styleId="TM1">
    <w:name w:val="toc 1"/>
    <w:basedOn w:val="Normal"/>
    <w:next w:val="Normal"/>
    <w:autoRedefine/>
    <w:uiPriority w:val="39"/>
    <w:unhideWhenUsed/>
    <w:rsid w:val="008036E0"/>
    <w:pPr>
      <w:tabs>
        <w:tab w:val="right" w:leader="dot" w:pos="9352"/>
      </w:tabs>
      <w:spacing w:after="60"/>
    </w:pPr>
  </w:style>
  <w:style w:type="paragraph" w:styleId="TM2">
    <w:name w:val="toc 2"/>
    <w:basedOn w:val="Normal"/>
    <w:next w:val="Normal"/>
    <w:autoRedefine/>
    <w:uiPriority w:val="39"/>
    <w:unhideWhenUsed/>
    <w:rsid w:val="00322829"/>
    <w:pPr>
      <w:tabs>
        <w:tab w:val="left" w:pos="720"/>
        <w:tab w:val="right" w:leader="dot" w:pos="9352"/>
      </w:tabs>
      <w:spacing w:after="60"/>
      <w:ind w:left="677" w:hanging="432"/>
    </w:pPr>
  </w:style>
  <w:style w:type="paragraph" w:styleId="TM3">
    <w:name w:val="toc 3"/>
    <w:basedOn w:val="Normal"/>
    <w:next w:val="Normal"/>
    <w:autoRedefine/>
    <w:uiPriority w:val="39"/>
    <w:unhideWhenUsed/>
    <w:rsid w:val="00672EC5"/>
    <w:pPr>
      <w:tabs>
        <w:tab w:val="left" w:pos="960"/>
        <w:tab w:val="right" w:leader="dot" w:pos="9352"/>
      </w:tabs>
      <w:spacing w:after="60"/>
      <w:ind w:left="950" w:right="288" w:hanging="475"/>
    </w:pPr>
  </w:style>
  <w:style w:type="paragraph" w:styleId="TM4">
    <w:name w:val="toc 4"/>
    <w:basedOn w:val="Normal"/>
    <w:next w:val="Normal"/>
    <w:autoRedefine/>
    <w:uiPriority w:val="99"/>
    <w:semiHidden/>
    <w:unhideWhenUsed/>
    <w:rsid w:val="00057274"/>
    <w:pPr>
      <w:ind w:left="720"/>
    </w:pPr>
  </w:style>
  <w:style w:type="paragraph" w:styleId="TM5">
    <w:name w:val="toc 5"/>
    <w:basedOn w:val="Normal"/>
    <w:next w:val="Normal"/>
    <w:autoRedefine/>
    <w:uiPriority w:val="99"/>
    <w:semiHidden/>
    <w:unhideWhenUsed/>
    <w:rsid w:val="00057274"/>
    <w:pPr>
      <w:ind w:left="960"/>
    </w:pPr>
  </w:style>
  <w:style w:type="paragraph" w:styleId="TM6">
    <w:name w:val="toc 6"/>
    <w:basedOn w:val="Normal"/>
    <w:next w:val="Normal"/>
    <w:autoRedefine/>
    <w:uiPriority w:val="99"/>
    <w:semiHidden/>
    <w:unhideWhenUsed/>
    <w:rsid w:val="00057274"/>
    <w:pPr>
      <w:ind w:left="1200"/>
    </w:pPr>
  </w:style>
  <w:style w:type="paragraph" w:styleId="TM7">
    <w:name w:val="toc 7"/>
    <w:basedOn w:val="Normal"/>
    <w:next w:val="Normal"/>
    <w:autoRedefine/>
    <w:uiPriority w:val="99"/>
    <w:semiHidden/>
    <w:unhideWhenUsed/>
    <w:rsid w:val="00057274"/>
    <w:pPr>
      <w:ind w:left="1440"/>
    </w:pPr>
  </w:style>
  <w:style w:type="paragraph" w:styleId="TM8">
    <w:name w:val="toc 8"/>
    <w:basedOn w:val="Normal"/>
    <w:next w:val="Normal"/>
    <w:autoRedefine/>
    <w:uiPriority w:val="99"/>
    <w:semiHidden/>
    <w:unhideWhenUsed/>
    <w:rsid w:val="00057274"/>
    <w:pPr>
      <w:ind w:left="1680"/>
    </w:pPr>
  </w:style>
  <w:style w:type="paragraph" w:styleId="TM9">
    <w:name w:val="toc 9"/>
    <w:basedOn w:val="Normal"/>
    <w:next w:val="Normal"/>
    <w:autoRedefine/>
    <w:uiPriority w:val="99"/>
    <w:semiHidden/>
    <w:unhideWhenUsed/>
    <w:rsid w:val="00057274"/>
    <w:pPr>
      <w:ind w:left="1920"/>
    </w:pPr>
  </w:style>
  <w:style w:type="table" w:styleId="Trameclaire-Accent1">
    <w:name w:val="Light Shading Accent 1"/>
    <w:basedOn w:val="TableauNormal"/>
    <w:uiPriority w:val="99"/>
    <w:semiHidden/>
    <w:unhideWhenUsed/>
    <w:rsid w:val="00057274"/>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Trameclaire-Accent2">
    <w:name w:val="Light Shading Accent 2"/>
    <w:basedOn w:val="TableauNormal"/>
    <w:uiPriority w:val="99"/>
    <w:semiHidden/>
    <w:unhideWhenUsed/>
    <w:rsid w:val="00057274"/>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Trameclaire-Accent3">
    <w:name w:val="Light Shading Accent 3"/>
    <w:basedOn w:val="TableauNormal"/>
    <w:uiPriority w:val="99"/>
    <w:semiHidden/>
    <w:unhideWhenUsed/>
    <w:rsid w:val="00057274"/>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Trameclaire-Accent4">
    <w:name w:val="Light Shading Accent 4"/>
    <w:basedOn w:val="TableauNormal"/>
    <w:uiPriority w:val="99"/>
    <w:semiHidden/>
    <w:unhideWhenUsed/>
    <w:rsid w:val="00057274"/>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Trameclaire-Accent5">
    <w:name w:val="Light Shading Accent 5"/>
    <w:basedOn w:val="TableauNormal"/>
    <w:uiPriority w:val="99"/>
    <w:semiHidden/>
    <w:unhideWhenUsed/>
    <w:rsid w:val="00057274"/>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Trameclaire-Accent6">
    <w:name w:val="Light Shading Accent 6"/>
    <w:basedOn w:val="TableauNormal"/>
    <w:uiPriority w:val="99"/>
    <w:semiHidden/>
    <w:unhideWhenUsed/>
    <w:rsid w:val="00057274"/>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Tramecouleur">
    <w:name w:val="Colorful Shading"/>
    <w:basedOn w:val="TableauNormal"/>
    <w:uiPriority w:val="99"/>
    <w:semiHidden/>
    <w:unhideWhenUsed/>
    <w:rsid w:val="00057274"/>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99"/>
    <w:semiHidden/>
    <w:unhideWhenUsed/>
    <w:rsid w:val="00057274"/>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Tramecouleur-Accent2">
    <w:name w:val="Colorful Shading Accent 2"/>
    <w:basedOn w:val="TableauNormal"/>
    <w:uiPriority w:val="99"/>
    <w:semiHidden/>
    <w:unhideWhenUsed/>
    <w:rsid w:val="00057274"/>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Tramecouleur-Accent3">
    <w:name w:val="Colorful Shading Accent 3"/>
    <w:basedOn w:val="TableauNormal"/>
    <w:uiPriority w:val="99"/>
    <w:semiHidden/>
    <w:unhideWhenUsed/>
    <w:rsid w:val="00057274"/>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Tramecouleur-Accent5">
    <w:name w:val="Colorful Shading Accent 5"/>
    <w:basedOn w:val="TableauNormal"/>
    <w:uiPriority w:val="99"/>
    <w:semiHidden/>
    <w:unhideWhenUsed/>
    <w:rsid w:val="00057274"/>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Tramecouleur-Accent6">
    <w:name w:val="Colorful Shading Accent 6"/>
    <w:basedOn w:val="TableauNormal"/>
    <w:uiPriority w:val="99"/>
    <w:semiHidden/>
    <w:unhideWhenUsed/>
    <w:rsid w:val="00057274"/>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Tramecouleur-Accent4">
    <w:name w:val="Colorful Shading Accent 4"/>
    <w:basedOn w:val="TableauNormal"/>
    <w:uiPriority w:val="99"/>
    <w:semiHidden/>
    <w:unhideWhenUsed/>
    <w:rsid w:val="00057274"/>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Tramemoyenne1">
    <w:name w:val="Medium Shading 1"/>
    <w:basedOn w:val="TableauNormal"/>
    <w:uiPriority w:val="99"/>
    <w:semiHidden/>
    <w:unhideWhenUsed/>
    <w:rsid w:val="0005727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99"/>
    <w:semiHidden/>
    <w:unhideWhenUsed/>
    <w:rsid w:val="00057274"/>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Tramemoyenne1-Accent2">
    <w:name w:val="Medium Shading 1 Accent 2"/>
    <w:basedOn w:val="TableauNormal"/>
    <w:uiPriority w:val="99"/>
    <w:semiHidden/>
    <w:unhideWhenUsed/>
    <w:rsid w:val="00057274"/>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Tramemoyenne1-Accent3">
    <w:name w:val="Medium Shading 1 Accent 3"/>
    <w:basedOn w:val="TableauNormal"/>
    <w:uiPriority w:val="99"/>
    <w:semiHidden/>
    <w:unhideWhenUsed/>
    <w:rsid w:val="00057274"/>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Tramemoyenne1-Accent4">
    <w:name w:val="Medium Shading 1 Accent 4"/>
    <w:basedOn w:val="TableauNormal"/>
    <w:uiPriority w:val="99"/>
    <w:semiHidden/>
    <w:unhideWhenUsed/>
    <w:rsid w:val="00057274"/>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Tramemoyenne1-Accent5">
    <w:name w:val="Medium Shading 1 Accent 5"/>
    <w:basedOn w:val="TableauNormal"/>
    <w:uiPriority w:val="99"/>
    <w:semiHidden/>
    <w:unhideWhenUsed/>
    <w:rsid w:val="00057274"/>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Tramemoyenne1-Accent6">
    <w:name w:val="Medium Shading 1 Accent 6"/>
    <w:basedOn w:val="TableauNormal"/>
    <w:uiPriority w:val="99"/>
    <w:semiHidden/>
    <w:unhideWhenUsed/>
    <w:rsid w:val="00057274"/>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Tramemoyenne2">
    <w:name w:val="Medium Shading 2"/>
    <w:basedOn w:val="TableauNormal"/>
    <w:uiPriority w:val="99"/>
    <w:semiHidden/>
    <w:unhideWhenUsed/>
    <w:rsid w:val="000572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99"/>
    <w:semiHidden/>
    <w:unhideWhenUsed/>
    <w:rsid w:val="000572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99"/>
    <w:semiHidden/>
    <w:unhideWhenUsed/>
    <w:rsid w:val="000572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99"/>
    <w:semiHidden/>
    <w:unhideWhenUsed/>
    <w:rsid w:val="000572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99"/>
    <w:semiHidden/>
    <w:unhideWhenUsed/>
    <w:rsid w:val="000572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99"/>
    <w:semiHidden/>
    <w:unhideWhenUsed/>
    <w:rsid w:val="000572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99"/>
    <w:semiHidden/>
    <w:unhideWhenUsed/>
    <w:rsid w:val="000572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uiPriority w:val="99"/>
    <w:semiHidden/>
    <w:unhideWhenUsed/>
    <w:rsid w:val="00057274"/>
    <w:rPr>
      <w:i/>
      <w:iCs/>
    </w:rPr>
  </w:style>
  <w:style w:type="paragraph" w:customStyle="1" w:styleId="DocsID">
    <w:name w:val="DocsID"/>
    <w:basedOn w:val="Normal"/>
    <w:uiPriority w:val="29"/>
    <w:qFormat/>
    <w:rsid w:val="00057274"/>
    <w:pPr>
      <w:widowControl w:val="0"/>
      <w:spacing w:before="20" w:line="160" w:lineRule="exact"/>
    </w:pPr>
    <w:rPr>
      <w:sz w:val="16"/>
      <w:szCs w:val="13"/>
      <w:lang w:val="en-CA" w:eastAsia="en-US"/>
    </w:rPr>
  </w:style>
  <w:style w:type="table" w:styleId="Grilledetableauclaire">
    <w:name w:val="Grid Table Light"/>
    <w:basedOn w:val="TableauNormal"/>
    <w:uiPriority w:val="99"/>
    <w:semiHidden/>
    <w:unhideWhenUsed/>
    <w:rsid w:val="006A096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auGrille1Clair">
    <w:name w:val="Grid Table 1 Light"/>
    <w:basedOn w:val="TableauNormal"/>
    <w:uiPriority w:val="99"/>
    <w:semiHidden/>
    <w:unhideWhenUsed/>
    <w:rsid w:val="006A096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99"/>
    <w:semiHidden/>
    <w:unhideWhenUsed/>
    <w:rsid w:val="006A0960"/>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99"/>
    <w:semiHidden/>
    <w:unhideWhenUsed/>
    <w:rsid w:val="006A0960"/>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99"/>
    <w:semiHidden/>
    <w:unhideWhenUsed/>
    <w:rsid w:val="006A0960"/>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99"/>
    <w:semiHidden/>
    <w:unhideWhenUsed/>
    <w:rsid w:val="006A0960"/>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99"/>
    <w:semiHidden/>
    <w:unhideWhenUsed/>
    <w:rsid w:val="006A096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99"/>
    <w:semiHidden/>
    <w:unhideWhenUsed/>
    <w:rsid w:val="006A0960"/>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TableauGrille2">
    <w:name w:val="Grid Table 2"/>
    <w:basedOn w:val="TableauNormal"/>
    <w:uiPriority w:val="99"/>
    <w:semiHidden/>
    <w:unhideWhenUsed/>
    <w:rsid w:val="006A0960"/>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Grille2-Accentuation1">
    <w:name w:val="Grid Table 2 Accent 1"/>
    <w:basedOn w:val="TableauNormal"/>
    <w:uiPriority w:val="99"/>
    <w:semiHidden/>
    <w:unhideWhenUsed/>
    <w:rsid w:val="006A0960"/>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auGrille2-Accentuation2">
    <w:name w:val="Grid Table 2 Accent 2"/>
    <w:basedOn w:val="TableauNormal"/>
    <w:uiPriority w:val="99"/>
    <w:semiHidden/>
    <w:unhideWhenUsed/>
    <w:rsid w:val="006A0960"/>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eauGrille2-Accentuation3">
    <w:name w:val="Grid Table 2 Accent 3"/>
    <w:basedOn w:val="TableauNormal"/>
    <w:uiPriority w:val="99"/>
    <w:semiHidden/>
    <w:unhideWhenUsed/>
    <w:rsid w:val="006A0960"/>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auGrille2-Accentuation4">
    <w:name w:val="Grid Table 2 Accent 4"/>
    <w:basedOn w:val="TableauNormal"/>
    <w:uiPriority w:val="99"/>
    <w:semiHidden/>
    <w:unhideWhenUsed/>
    <w:rsid w:val="006A0960"/>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eauGrille2-Accentuation5">
    <w:name w:val="Grid Table 2 Accent 5"/>
    <w:basedOn w:val="TableauNormal"/>
    <w:uiPriority w:val="99"/>
    <w:semiHidden/>
    <w:unhideWhenUsed/>
    <w:rsid w:val="006A0960"/>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Grille2-Accentuation6">
    <w:name w:val="Grid Table 2 Accent 6"/>
    <w:basedOn w:val="TableauNormal"/>
    <w:uiPriority w:val="99"/>
    <w:semiHidden/>
    <w:unhideWhenUsed/>
    <w:rsid w:val="006A0960"/>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eauGrille3">
    <w:name w:val="Grid Table 3"/>
    <w:basedOn w:val="TableauNormal"/>
    <w:uiPriority w:val="99"/>
    <w:semiHidden/>
    <w:unhideWhenUsed/>
    <w:rsid w:val="006A09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leauGrille3-Accentuation1">
    <w:name w:val="Grid Table 3 Accent 1"/>
    <w:basedOn w:val="TableauNormal"/>
    <w:uiPriority w:val="99"/>
    <w:semiHidden/>
    <w:unhideWhenUsed/>
    <w:rsid w:val="006A0960"/>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TableauGrille3-Accentuation2">
    <w:name w:val="Grid Table 3 Accent 2"/>
    <w:basedOn w:val="TableauNormal"/>
    <w:uiPriority w:val="99"/>
    <w:semiHidden/>
    <w:unhideWhenUsed/>
    <w:rsid w:val="006A096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TableauGrille3-Accentuation3">
    <w:name w:val="Grid Table 3 Accent 3"/>
    <w:basedOn w:val="TableauNormal"/>
    <w:uiPriority w:val="99"/>
    <w:semiHidden/>
    <w:unhideWhenUsed/>
    <w:rsid w:val="006A0960"/>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TableauGrille3-Accentuation4">
    <w:name w:val="Grid Table 3 Accent 4"/>
    <w:basedOn w:val="TableauNormal"/>
    <w:uiPriority w:val="99"/>
    <w:semiHidden/>
    <w:unhideWhenUsed/>
    <w:rsid w:val="006A0960"/>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TableauGrille3-Accentuation5">
    <w:name w:val="Grid Table 3 Accent 5"/>
    <w:basedOn w:val="TableauNormal"/>
    <w:uiPriority w:val="99"/>
    <w:semiHidden/>
    <w:unhideWhenUsed/>
    <w:rsid w:val="006A0960"/>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TableauGrille3-Accentuation6">
    <w:name w:val="Grid Table 3 Accent 6"/>
    <w:basedOn w:val="TableauNormal"/>
    <w:uiPriority w:val="99"/>
    <w:semiHidden/>
    <w:unhideWhenUsed/>
    <w:rsid w:val="006A0960"/>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TableauGrille4">
    <w:name w:val="Grid Table 4"/>
    <w:basedOn w:val="TableauNormal"/>
    <w:uiPriority w:val="99"/>
    <w:semiHidden/>
    <w:unhideWhenUsed/>
    <w:rsid w:val="006A09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Grille4-Accentuation1">
    <w:name w:val="Grid Table 4 Accent 1"/>
    <w:basedOn w:val="TableauNormal"/>
    <w:uiPriority w:val="99"/>
    <w:semiHidden/>
    <w:unhideWhenUsed/>
    <w:rsid w:val="006A0960"/>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auGrille4-Accentuation2">
    <w:name w:val="Grid Table 4 Accent 2"/>
    <w:basedOn w:val="TableauNormal"/>
    <w:uiPriority w:val="99"/>
    <w:semiHidden/>
    <w:unhideWhenUsed/>
    <w:rsid w:val="006A096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eauGrille4-Accentuation3">
    <w:name w:val="Grid Table 4 Accent 3"/>
    <w:basedOn w:val="TableauNormal"/>
    <w:uiPriority w:val="99"/>
    <w:semiHidden/>
    <w:unhideWhenUsed/>
    <w:rsid w:val="006A0960"/>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auGrille4-Accentuation4">
    <w:name w:val="Grid Table 4 Accent 4"/>
    <w:basedOn w:val="TableauNormal"/>
    <w:uiPriority w:val="99"/>
    <w:semiHidden/>
    <w:unhideWhenUsed/>
    <w:rsid w:val="006A0960"/>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eauGrille4-Accentuation5">
    <w:name w:val="Grid Table 4 Accent 5"/>
    <w:basedOn w:val="TableauNormal"/>
    <w:uiPriority w:val="99"/>
    <w:semiHidden/>
    <w:unhideWhenUsed/>
    <w:rsid w:val="006A0960"/>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Grille4-Accentuation6">
    <w:name w:val="Grid Table 4 Accent 6"/>
    <w:basedOn w:val="TableauNormal"/>
    <w:uiPriority w:val="99"/>
    <w:semiHidden/>
    <w:unhideWhenUsed/>
    <w:rsid w:val="006A0960"/>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eauGrille5Fonc">
    <w:name w:val="Grid Table 5 Dark"/>
    <w:basedOn w:val="TableauNormal"/>
    <w:uiPriority w:val="99"/>
    <w:semiHidden/>
    <w:unhideWhenUsed/>
    <w:rsid w:val="006A096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TableauGrille5Fonc-Accentuation1">
    <w:name w:val="Grid Table 5 Dark Accent 1"/>
    <w:basedOn w:val="TableauNormal"/>
    <w:uiPriority w:val="99"/>
    <w:semiHidden/>
    <w:unhideWhenUsed/>
    <w:rsid w:val="006A096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leauGrille5Fonc-Accentuation2">
    <w:name w:val="Grid Table 5 Dark Accent 2"/>
    <w:basedOn w:val="TableauNormal"/>
    <w:uiPriority w:val="99"/>
    <w:semiHidden/>
    <w:unhideWhenUsed/>
    <w:rsid w:val="006A096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TableauGrille5Fonc-Accentuation3">
    <w:name w:val="Grid Table 5 Dark Accent 3"/>
    <w:basedOn w:val="TableauNormal"/>
    <w:uiPriority w:val="99"/>
    <w:semiHidden/>
    <w:unhideWhenUsed/>
    <w:rsid w:val="006A096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auGrille5Fonc-Accentuation4">
    <w:name w:val="Grid Table 5 Dark Accent 4"/>
    <w:basedOn w:val="TableauNormal"/>
    <w:uiPriority w:val="99"/>
    <w:semiHidden/>
    <w:unhideWhenUsed/>
    <w:rsid w:val="006A096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TableauGrille5Fonc-Accentuation5">
    <w:name w:val="Grid Table 5 Dark Accent 5"/>
    <w:basedOn w:val="TableauNormal"/>
    <w:uiPriority w:val="99"/>
    <w:semiHidden/>
    <w:unhideWhenUsed/>
    <w:rsid w:val="006A096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TableauGrille5Fonc-Accentuation6">
    <w:name w:val="Grid Table 5 Dark Accent 6"/>
    <w:basedOn w:val="TableauNormal"/>
    <w:uiPriority w:val="99"/>
    <w:semiHidden/>
    <w:unhideWhenUsed/>
    <w:rsid w:val="006A096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TableauGrille6Couleur">
    <w:name w:val="Grid Table 6 Colorful"/>
    <w:basedOn w:val="TableauNormal"/>
    <w:uiPriority w:val="99"/>
    <w:semiHidden/>
    <w:unhideWhenUsed/>
    <w:rsid w:val="006A0960"/>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Grille6Couleur-Accentuation1">
    <w:name w:val="Grid Table 6 Colorful Accent 1"/>
    <w:basedOn w:val="TableauNormal"/>
    <w:uiPriority w:val="99"/>
    <w:semiHidden/>
    <w:unhideWhenUsed/>
    <w:rsid w:val="006A0960"/>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auGrille6Couleur-Accentuation2">
    <w:name w:val="Grid Table 6 Colorful Accent 2"/>
    <w:basedOn w:val="TableauNormal"/>
    <w:uiPriority w:val="99"/>
    <w:semiHidden/>
    <w:unhideWhenUsed/>
    <w:rsid w:val="006A0960"/>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eauGrille6Couleur-Accentuation3">
    <w:name w:val="Grid Table 6 Colorful Accent 3"/>
    <w:basedOn w:val="TableauNormal"/>
    <w:uiPriority w:val="99"/>
    <w:semiHidden/>
    <w:unhideWhenUsed/>
    <w:rsid w:val="006A096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auGrille6Couleur-Accentuation4">
    <w:name w:val="Grid Table 6 Colorful Accent 4"/>
    <w:basedOn w:val="TableauNormal"/>
    <w:uiPriority w:val="99"/>
    <w:semiHidden/>
    <w:unhideWhenUsed/>
    <w:rsid w:val="006A0960"/>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eauGrille6Couleur-Accentuation5">
    <w:name w:val="Grid Table 6 Colorful Accent 5"/>
    <w:basedOn w:val="TableauNormal"/>
    <w:uiPriority w:val="99"/>
    <w:semiHidden/>
    <w:unhideWhenUsed/>
    <w:rsid w:val="006A0960"/>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Grille6Couleur-Accentuation6">
    <w:name w:val="Grid Table 6 Colorful Accent 6"/>
    <w:basedOn w:val="TableauNormal"/>
    <w:uiPriority w:val="99"/>
    <w:semiHidden/>
    <w:unhideWhenUsed/>
    <w:rsid w:val="006A0960"/>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eauGrille7Couleur">
    <w:name w:val="Grid Table 7 Colorful"/>
    <w:basedOn w:val="TableauNormal"/>
    <w:uiPriority w:val="99"/>
    <w:semiHidden/>
    <w:unhideWhenUsed/>
    <w:rsid w:val="006A0960"/>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leauGrille7Couleur-Accentuation1">
    <w:name w:val="Grid Table 7 Colorful Accent 1"/>
    <w:basedOn w:val="TableauNormal"/>
    <w:uiPriority w:val="99"/>
    <w:semiHidden/>
    <w:unhideWhenUsed/>
    <w:rsid w:val="006A0960"/>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TableauGrille7Couleur-Accentuation2">
    <w:name w:val="Grid Table 7 Colorful Accent 2"/>
    <w:basedOn w:val="TableauNormal"/>
    <w:uiPriority w:val="99"/>
    <w:semiHidden/>
    <w:unhideWhenUsed/>
    <w:rsid w:val="006A0960"/>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TableauGrille7Couleur-Accentuation3">
    <w:name w:val="Grid Table 7 Colorful Accent 3"/>
    <w:basedOn w:val="TableauNormal"/>
    <w:uiPriority w:val="99"/>
    <w:semiHidden/>
    <w:unhideWhenUsed/>
    <w:rsid w:val="006A096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TableauGrille7Couleur-Accentuation4">
    <w:name w:val="Grid Table 7 Colorful Accent 4"/>
    <w:basedOn w:val="TableauNormal"/>
    <w:uiPriority w:val="99"/>
    <w:semiHidden/>
    <w:unhideWhenUsed/>
    <w:rsid w:val="006A0960"/>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TableauGrille7Couleur-Accentuation5">
    <w:name w:val="Grid Table 7 Colorful Accent 5"/>
    <w:basedOn w:val="TableauNormal"/>
    <w:uiPriority w:val="99"/>
    <w:semiHidden/>
    <w:unhideWhenUsed/>
    <w:rsid w:val="006A0960"/>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TableauGrille7Couleur-Accentuation6">
    <w:name w:val="Grid Table 7 Colorful Accent 6"/>
    <w:basedOn w:val="TableauNormal"/>
    <w:uiPriority w:val="99"/>
    <w:semiHidden/>
    <w:unhideWhenUsed/>
    <w:rsid w:val="006A0960"/>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TableauListe1Clair">
    <w:name w:val="List Table 1 Light"/>
    <w:basedOn w:val="TableauNormal"/>
    <w:uiPriority w:val="99"/>
    <w:semiHidden/>
    <w:unhideWhenUsed/>
    <w:rsid w:val="006A0960"/>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Liste1Clair-Accentuation1">
    <w:name w:val="List Table 1 Light Accent 1"/>
    <w:basedOn w:val="TableauNormal"/>
    <w:uiPriority w:val="99"/>
    <w:semiHidden/>
    <w:unhideWhenUsed/>
    <w:rsid w:val="006A0960"/>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auListe1Clair-Accentuation2">
    <w:name w:val="List Table 1 Light Accent 2"/>
    <w:basedOn w:val="TableauNormal"/>
    <w:uiPriority w:val="99"/>
    <w:semiHidden/>
    <w:unhideWhenUsed/>
    <w:rsid w:val="006A0960"/>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eauListe1Clair-Accentuation3">
    <w:name w:val="List Table 1 Light Accent 3"/>
    <w:basedOn w:val="TableauNormal"/>
    <w:uiPriority w:val="99"/>
    <w:semiHidden/>
    <w:unhideWhenUsed/>
    <w:rsid w:val="006A0960"/>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auListe1Clair-Accentuation4">
    <w:name w:val="List Table 1 Light Accent 4"/>
    <w:basedOn w:val="TableauNormal"/>
    <w:uiPriority w:val="99"/>
    <w:semiHidden/>
    <w:unhideWhenUsed/>
    <w:rsid w:val="006A0960"/>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eauListe1Clair-Accentuation5">
    <w:name w:val="List Table 1 Light Accent 5"/>
    <w:basedOn w:val="TableauNormal"/>
    <w:uiPriority w:val="99"/>
    <w:semiHidden/>
    <w:unhideWhenUsed/>
    <w:rsid w:val="006A0960"/>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Liste1Clair-Accentuation6">
    <w:name w:val="List Table 1 Light Accent 6"/>
    <w:basedOn w:val="TableauNormal"/>
    <w:uiPriority w:val="99"/>
    <w:semiHidden/>
    <w:unhideWhenUsed/>
    <w:rsid w:val="006A0960"/>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eauListe20">
    <w:name w:val="List Table 2"/>
    <w:basedOn w:val="TableauNormal"/>
    <w:uiPriority w:val="99"/>
    <w:semiHidden/>
    <w:unhideWhenUsed/>
    <w:rsid w:val="006A0960"/>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Liste2-Accentuation1">
    <w:name w:val="List Table 2 Accent 1"/>
    <w:basedOn w:val="TableauNormal"/>
    <w:uiPriority w:val="99"/>
    <w:semiHidden/>
    <w:unhideWhenUsed/>
    <w:rsid w:val="006A0960"/>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auListe2-Accentuation2">
    <w:name w:val="List Table 2 Accent 2"/>
    <w:basedOn w:val="TableauNormal"/>
    <w:uiPriority w:val="99"/>
    <w:semiHidden/>
    <w:unhideWhenUsed/>
    <w:rsid w:val="006A0960"/>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eauListe2-Accentuation3">
    <w:name w:val="List Table 2 Accent 3"/>
    <w:basedOn w:val="TableauNormal"/>
    <w:uiPriority w:val="99"/>
    <w:semiHidden/>
    <w:unhideWhenUsed/>
    <w:rsid w:val="006A0960"/>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auListe2-Accentuation4">
    <w:name w:val="List Table 2 Accent 4"/>
    <w:basedOn w:val="TableauNormal"/>
    <w:uiPriority w:val="99"/>
    <w:semiHidden/>
    <w:unhideWhenUsed/>
    <w:rsid w:val="006A0960"/>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eauListe2-Accentuation5">
    <w:name w:val="List Table 2 Accent 5"/>
    <w:basedOn w:val="TableauNormal"/>
    <w:uiPriority w:val="99"/>
    <w:semiHidden/>
    <w:unhideWhenUsed/>
    <w:rsid w:val="006A0960"/>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Liste2-Accentuation6">
    <w:name w:val="List Table 2 Accent 6"/>
    <w:basedOn w:val="TableauNormal"/>
    <w:uiPriority w:val="99"/>
    <w:semiHidden/>
    <w:unhideWhenUsed/>
    <w:rsid w:val="006A0960"/>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eauListe30">
    <w:name w:val="List Table 3"/>
    <w:basedOn w:val="TableauNormal"/>
    <w:uiPriority w:val="99"/>
    <w:semiHidden/>
    <w:unhideWhenUsed/>
    <w:rsid w:val="006A0960"/>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TableauListe3-Accentuation1">
    <w:name w:val="List Table 3 Accent 1"/>
    <w:basedOn w:val="TableauNormal"/>
    <w:uiPriority w:val="99"/>
    <w:semiHidden/>
    <w:unhideWhenUsed/>
    <w:rsid w:val="006A0960"/>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TableauListe3-Accentuation2">
    <w:name w:val="List Table 3 Accent 2"/>
    <w:basedOn w:val="TableauNormal"/>
    <w:uiPriority w:val="99"/>
    <w:semiHidden/>
    <w:unhideWhenUsed/>
    <w:rsid w:val="006A096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auListe3-Accentuation3">
    <w:name w:val="List Table 3 Accent 3"/>
    <w:basedOn w:val="TableauNormal"/>
    <w:uiPriority w:val="99"/>
    <w:semiHidden/>
    <w:unhideWhenUsed/>
    <w:rsid w:val="006A0960"/>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TableauListe3-Accentuation4">
    <w:name w:val="List Table 3 Accent 4"/>
    <w:basedOn w:val="TableauNormal"/>
    <w:uiPriority w:val="99"/>
    <w:semiHidden/>
    <w:unhideWhenUsed/>
    <w:rsid w:val="006A0960"/>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TableauListe3-Accentuation5">
    <w:name w:val="List Table 3 Accent 5"/>
    <w:basedOn w:val="TableauNormal"/>
    <w:uiPriority w:val="99"/>
    <w:semiHidden/>
    <w:unhideWhenUsed/>
    <w:rsid w:val="006A0960"/>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TableauListe3-Accentuation6">
    <w:name w:val="List Table 3 Accent 6"/>
    <w:basedOn w:val="TableauNormal"/>
    <w:uiPriority w:val="99"/>
    <w:semiHidden/>
    <w:unhideWhenUsed/>
    <w:rsid w:val="006A0960"/>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TableauListe40">
    <w:name w:val="List Table 4"/>
    <w:basedOn w:val="TableauNormal"/>
    <w:uiPriority w:val="99"/>
    <w:semiHidden/>
    <w:unhideWhenUsed/>
    <w:rsid w:val="006A09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Liste4-Accentuation1">
    <w:name w:val="List Table 4 Accent 1"/>
    <w:basedOn w:val="TableauNormal"/>
    <w:uiPriority w:val="99"/>
    <w:semiHidden/>
    <w:unhideWhenUsed/>
    <w:rsid w:val="006A0960"/>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auListe4-Accentuation2">
    <w:name w:val="List Table 4 Accent 2"/>
    <w:basedOn w:val="TableauNormal"/>
    <w:uiPriority w:val="99"/>
    <w:semiHidden/>
    <w:unhideWhenUsed/>
    <w:rsid w:val="006A096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eauListe4-Accentuation3">
    <w:name w:val="List Table 4 Accent 3"/>
    <w:basedOn w:val="TableauNormal"/>
    <w:uiPriority w:val="99"/>
    <w:semiHidden/>
    <w:unhideWhenUsed/>
    <w:rsid w:val="006A0960"/>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auListe4-Accentuation4">
    <w:name w:val="List Table 4 Accent 4"/>
    <w:basedOn w:val="TableauNormal"/>
    <w:uiPriority w:val="99"/>
    <w:semiHidden/>
    <w:unhideWhenUsed/>
    <w:rsid w:val="006A0960"/>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eauListe4-Accentuation5">
    <w:name w:val="List Table 4 Accent 5"/>
    <w:basedOn w:val="TableauNormal"/>
    <w:uiPriority w:val="99"/>
    <w:semiHidden/>
    <w:unhideWhenUsed/>
    <w:rsid w:val="006A0960"/>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Liste4-Accentuation6">
    <w:name w:val="List Table 4 Accent 6"/>
    <w:basedOn w:val="TableauNormal"/>
    <w:uiPriority w:val="99"/>
    <w:semiHidden/>
    <w:unhideWhenUsed/>
    <w:rsid w:val="006A0960"/>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eauListe5Fonc">
    <w:name w:val="List Table 5 Dark"/>
    <w:basedOn w:val="TableauNormal"/>
    <w:uiPriority w:val="99"/>
    <w:semiHidden/>
    <w:unhideWhenUsed/>
    <w:rsid w:val="006A0960"/>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99"/>
    <w:semiHidden/>
    <w:unhideWhenUsed/>
    <w:rsid w:val="006A0960"/>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99"/>
    <w:semiHidden/>
    <w:unhideWhenUsed/>
    <w:rsid w:val="006A0960"/>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99"/>
    <w:semiHidden/>
    <w:unhideWhenUsed/>
    <w:rsid w:val="006A0960"/>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99"/>
    <w:semiHidden/>
    <w:unhideWhenUsed/>
    <w:rsid w:val="006A0960"/>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99"/>
    <w:semiHidden/>
    <w:unhideWhenUsed/>
    <w:rsid w:val="006A0960"/>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99"/>
    <w:semiHidden/>
    <w:unhideWhenUsed/>
    <w:rsid w:val="006A0960"/>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99"/>
    <w:semiHidden/>
    <w:unhideWhenUsed/>
    <w:rsid w:val="006A0960"/>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Liste6Couleur-Accentuation1">
    <w:name w:val="List Table 6 Colorful Accent 1"/>
    <w:basedOn w:val="TableauNormal"/>
    <w:uiPriority w:val="99"/>
    <w:semiHidden/>
    <w:unhideWhenUsed/>
    <w:rsid w:val="006A0960"/>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auListe6Couleur-Accentuation2">
    <w:name w:val="List Table 6 Colorful Accent 2"/>
    <w:basedOn w:val="TableauNormal"/>
    <w:uiPriority w:val="99"/>
    <w:semiHidden/>
    <w:unhideWhenUsed/>
    <w:rsid w:val="006A0960"/>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eauListe6Couleur-Accentuation3">
    <w:name w:val="List Table 6 Colorful Accent 3"/>
    <w:basedOn w:val="TableauNormal"/>
    <w:uiPriority w:val="99"/>
    <w:semiHidden/>
    <w:unhideWhenUsed/>
    <w:rsid w:val="006A0960"/>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auListe6Couleur-Accentuation4">
    <w:name w:val="List Table 6 Colorful Accent 4"/>
    <w:basedOn w:val="TableauNormal"/>
    <w:uiPriority w:val="99"/>
    <w:semiHidden/>
    <w:unhideWhenUsed/>
    <w:rsid w:val="006A0960"/>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eauListe6Couleur-Accentuation5">
    <w:name w:val="List Table 6 Colorful Accent 5"/>
    <w:basedOn w:val="TableauNormal"/>
    <w:uiPriority w:val="99"/>
    <w:semiHidden/>
    <w:unhideWhenUsed/>
    <w:rsid w:val="006A0960"/>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Liste6Couleur-Accentuation6">
    <w:name w:val="List Table 6 Colorful Accent 6"/>
    <w:basedOn w:val="TableauNormal"/>
    <w:uiPriority w:val="99"/>
    <w:semiHidden/>
    <w:unhideWhenUsed/>
    <w:rsid w:val="006A0960"/>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eauListe7Couleur">
    <w:name w:val="List Table 7 Colorful"/>
    <w:basedOn w:val="TableauNormal"/>
    <w:uiPriority w:val="99"/>
    <w:semiHidden/>
    <w:unhideWhenUsed/>
    <w:rsid w:val="006A0960"/>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99"/>
    <w:semiHidden/>
    <w:unhideWhenUsed/>
    <w:rsid w:val="006A0960"/>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99"/>
    <w:semiHidden/>
    <w:unhideWhenUsed/>
    <w:rsid w:val="006A0960"/>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99"/>
    <w:semiHidden/>
    <w:unhideWhenUsed/>
    <w:rsid w:val="006A0960"/>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99"/>
    <w:semiHidden/>
    <w:unhideWhenUsed/>
    <w:rsid w:val="006A0960"/>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99"/>
    <w:semiHidden/>
    <w:unhideWhenUsed/>
    <w:rsid w:val="006A0960"/>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99"/>
    <w:semiHidden/>
    <w:unhideWhenUsed/>
    <w:rsid w:val="006A0960"/>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10">
    <w:name w:val="Plain Table 1"/>
    <w:basedOn w:val="TableauNormal"/>
    <w:uiPriority w:val="99"/>
    <w:semiHidden/>
    <w:unhideWhenUsed/>
    <w:rsid w:val="006A096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ausimple20">
    <w:name w:val="Plain Table 2"/>
    <w:basedOn w:val="TableauNormal"/>
    <w:uiPriority w:val="99"/>
    <w:semiHidden/>
    <w:unhideWhenUsed/>
    <w:rsid w:val="006A096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ausimple30">
    <w:name w:val="Plain Table 3"/>
    <w:basedOn w:val="TableauNormal"/>
    <w:uiPriority w:val="99"/>
    <w:semiHidden/>
    <w:unhideWhenUsed/>
    <w:rsid w:val="006A096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99"/>
    <w:semiHidden/>
    <w:unhideWhenUsed/>
    <w:rsid w:val="006A096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ausimple5">
    <w:name w:val="Plain Table 5"/>
    <w:basedOn w:val="TableauNormal"/>
    <w:uiPriority w:val="99"/>
    <w:semiHidden/>
    <w:unhideWhenUsed/>
    <w:rsid w:val="006A0960"/>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impleL1">
    <w:name w:val="Simple_L1"/>
    <w:basedOn w:val="Normal"/>
    <w:uiPriority w:val="28"/>
    <w:qFormat/>
    <w:rsid w:val="007D40ED"/>
    <w:pPr>
      <w:numPr>
        <w:numId w:val="13"/>
      </w:numPr>
      <w:spacing w:after="240"/>
      <w:ind w:left="0" w:firstLine="0"/>
      <w:jc w:val="both"/>
      <w:outlineLvl w:val="0"/>
    </w:pPr>
    <w:rPr>
      <w:rFonts w:cs="Arial"/>
    </w:rPr>
  </w:style>
  <w:style w:type="paragraph" w:customStyle="1" w:styleId="SimpleL2">
    <w:name w:val="Simple_L2"/>
    <w:basedOn w:val="Normal"/>
    <w:uiPriority w:val="28"/>
    <w:qFormat/>
    <w:rsid w:val="00300B84"/>
    <w:pPr>
      <w:numPr>
        <w:ilvl w:val="1"/>
        <w:numId w:val="13"/>
      </w:numPr>
      <w:jc w:val="both"/>
      <w:outlineLvl w:val="1"/>
    </w:pPr>
    <w:rPr>
      <w:rFonts w:cs="Arial"/>
    </w:rPr>
  </w:style>
  <w:style w:type="paragraph" w:customStyle="1" w:styleId="SimpleL3">
    <w:name w:val="Simple_L3"/>
    <w:basedOn w:val="Normal"/>
    <w:uiPriority w:val="28"/>
    <w:qFormat/>
    <w:rsid w:val="00300B84"/>
    <w:pPr>
      <w:numPr>
        <w:ilvl w:val="2"/>
        <w:numId w:val="13"/>
      </w:numPr>
      <w:jc w:val="both"/>
      <w:outlineLvl w:val="2"/>
    </w:pPr>
    <w:rPr>
      <w:rFonts w:cs="Arial"/>
    </w:rPr>
  </w:style>
  <w:style w:type="paragraph" w:customStyle="1" w:styleId="SimpleL4">
    <w:name w:val="Simple_L4"/>
    <w:basedOn w:val="Normal"/>
    <w:uiPriority w:val="28"/>
    <w:qFormat/>
    <w:rsid w:val="00300B84"/>
    <w:pPr>
      <w:numPr>
        <w:ilvl w:val="3"/>
        <w:numId w:val="13"/>
      </w:numPr>
      <w:jc w:val="both"/>
      <w:outlineLvl w:val="3"/>
    </w:pPr>
    <w:rPr>
      <w:rFonts w:cs="Arial"/>
    </w:rPr>
  </w:style>
  <w:style w:type="paragraph" w:customStyle="1" w:styleId="SimpleL5">
    <w:name w:val="Simple_L5"/>
    <w:basedOn w:val="Normal"/>
    <w:uiPriority w:val="28"/>
    <w:qFormat/>
    <w:rsid w:val="00300B84"/>
    <w:pPr>
      <w:numPr>
        <w:ilvl w:val="4"/>
        <w:numId w:val="13"/>
      </w:numPr>
      <w:jc w:val="both"/>
      <w:outlineLvl w:val="4"/>
    </w:pPr>
    <w:rPr>
      <w:rFonts w:cs="Arial"/>
    </w:rPr>
  </w:style>
  <w:style w:type="paragraph" w:customStyle="1" w:styleId="SimpleNoL1">
    <w:name w:val="Simple_No#L1"/>
    <w:basedOn w:val="Normal"/>
    <w:uiPriority w:val="28"/>
    <w:qFormat/>
    <w:rsid w:val="00300B84"/>
    <w:pPr>
      <w:ind w:left="720"/>
      <w:jc w:val="both"/>
    </w:pPr>
    <w:rPr>
      <w:rFonts w:cs="Arial"/>
    </w:rPr>
  </w:style>
  <w:style w:type="paragraph" w:customStyle="1" w:styleId="SimpleNoL2">
    <w:name w:val="Simple_No#L2"/>
    <w:basedOn w:val="Normal"/>
    <w:uiPriority w:val="28"/>
    <w:qFormat/>
    <w:rsid w:val="00300B84"/>
    <w:pPr>
      <w:ind w:left="1440"/>
      <w:jc w:val="both"/>
    </w:pPr>
    <w:rPr>
      <w:rFonts w:cs="Arial"/>
    </w:rPr>
  </w:style>
  <w:style w:type="paragraph" w:customStyle="1" w:styleId="SimpleNoL3">
    <w:name w:val="Simple_No#L3"/>
    <w:basedOn w:val="Normal"/>
    <w:uiPriority w:val="28"/>
    <w:qFormat/>
    <w:rsid w:val="00300B84"/>
    <w:pPr>
      <w:ind w:left="2160"/>
      <w:jc w:val="both"/>
    </w:pPr>
    <w:rPr>
      <w:rFonts w:cs="Arial"/>
    </w:rPr>
  </w:style>
  <w:style w:type="paragraph" w:customStyle="1" w:styleId="SimpleNoL4">
    <w:name w:val="Simple_No#L4"/>
    <w:basedOn w:val="Normal"/>
    <w:uiPriority w:val="28"/>
    <w:qFormat/>
    <w:rsid w:val="00300B84"/>
    <w:pPr>
      <w:ind w:left="2880"/>
      <w:jc w:val="both"/>
    </w:pPr>
    <w:rPr>
      <w:rFonts w:cs="Arial"/>
    </w:rPr>
  </w:style>
  <w:style w:type="paragraph" w:customStyle="1" w:styleId="SimpleNoL5">
    <w:name w:val="Simple_No#L5"/>
    <w:basedOn w:val="Normal"/>
    <w:uiPriority w:val="28"/>
    <w:qFormat/>
    <w:rsid w:val="00300B84"/>
    <w:pPr>
      <w:ind w:left="3600"/>
      <w:jc w:val="both"/>
    </w:pPr>
    <w:rPr>
      <w:rFonts w:cs="Arial"/>
    </w:rPr>
  </w:style>
  <w:style w:type="numbering" w:customStyle="1" w:styleId="SimpleList">
    <w:name w:val="_Simple List"/>
    <w:basedOn w:val="Aucuneliste"/>
    <w:rsid w:val="00300B84"/>
    <w:pPr>
      <w:numPr>
        <w:numId w:val="13"/>
      </w:numPr>
    </w:pPr>
  </w:style>
  <w:style w:type="paragraph" w:customStyle="1" w:styleId="t">
    <w:name w:val="t"/>
    <w:basedOn w:val="SimpleL1"/>
    <w:uiPriority w:val="28"/>
    <w:qFormat/>
    <w:rsid w:val="007964E8"/>
    <w:rPr>
      <w:b/>
      <w:lang w:val="en-CA" w:bidi="en-CA"/>
    </w:rPr>
  </w:style>
  <w:style w:type="paragraph" w:customStyle="1" w:styleId="Paragraphedelist-1">
    <w:name w:val="Paragraphe de list-1"/>
    <w:basedOn w:val="Paragraphedeliste"/>
    <w:uiPriority w:val="28"/>
    <w:qFormat/>
    <w:rsid w:val="00FB3DE2"/>
    <w:pPr>
      <w:widowControl w:val="0"/>
      <w:numPr>
        <w:ilvl w:val="1"/>
        <w:numId w:val="26"/>
      </w:numPr>
      <w:tabs>
        <w:tab w:val="left" w:pos="1438"/>
      </w:tabs>
      <w:autoSpaceDE w:val="0"/>
      <w:autoSpaceDN w:val="0"/>
      <w:spacing w:line="247" w:lineRule="auto"/>
      <w:ind w:right="890" w:firstLine="3"/>
      <w:jc w:val="both"/>
    </w:pPr>
    <w:rPr>
      <w:color w:val="161615"/>
      <w:sz w:val="21"/>
    </w:rPr>
  </w:style>
  <w:style w:type="paragraph" w:customStyle="1" w:styleId="TableParagraph">
    <w:name w:val="Table Paragraph"/>
    <w:basedOn w:val="Normal"/>
    <w:uiPriority w:val="29"/>
    <w:qFormat/>
    <w:rsid w:val="004208A9"/>
    <w:pPr>
      <w:widowControl w:val="0"/>
      <w:autoSpaceDE w:val="0"/>
      <w:autoSpaceDN w:val="0"/>
    </w:pPr>
    <w:rPr>
      <w:rFonts w:eastAsia="Arial" w:cs="Arial"/>
      <w:sz w:val="22"/>
      <w:szCs w:val="22"/>
      <w:lang w:val="en-CA" w:eastAsia="en-US"/>
    </w:rPr>
  </w:style>
  <w:style w:type="character" w:customStyle="1" w:styleId="Titre1Car">
    <w:name w:val="Titre 1 Car"/>
    <w:basedOn w:val="Policepardfaut"/>
    <w:link w:val="Titre1"/>
    <w:uiPriority w:val="99"/>
    <w:rsid w:val="00313DEB"/>
    <w:rPr>
      <w:rFonts w:ascii="Arial" w:hAnsi="Arial"/>
      <w:b/>
      <w:kern w:val="28"/>
      <w:sz w:val="24"/>
      <w:lang w:val="fr-CA" w:eastAsia="fr-FR"/>
    </w:rPr>
  </w:style>
  <w:style w:type="character" w:customStyle="1" w:styleId="Titre2Car">
    <w:name w:val="Titre 2 Car"/>
    <w:basedOn w:val="Policepardfaut"/>
    <w:link w:val="Titre2"/>
    <w:uiPriority w:val="99"/>
    <w:semiHidden/>
    <w:rsid w:val="00313DEB"/>
    <w:rPr>
      <w:rFonts w:ascii="Arial" w:hAnsi="Arial"/>
      <w:b/>
      <w:sz w:val="24"/>
      <w:lang w:val="fr-CA" w:eastAsia="fr-FR"/>
    </w:rPr>
  </w:style>
  <w:style w:type="paragraph" w:customStyle="1" w:styleId="BodyText">
    <w:name w:val="#BodyText"/>
    <w:basedOn w:val="Normal"/>
    <w:uiPriority w:val="99"/>
    <w:semiHidden/>
    <w:qFormat/>
    <w:rsid w:val="00313DEB"/>
    <w:pPr>
      <w:spacing w:after="240"/>
      <w:jc w:val="both"/>
    </w:pPr>
    <w:rPr>
      <w:rFonts w:eastAsia="Times New Roman"/>
      <w:sz w:val="20"/>
      <w:lang w:eastAsia="en-CA"/>
    </w:rPr>
  </w:style>
  <w:style w:type="table" w:customStyle="1" w:styleId="Grilledutableau1">
    <w:name w:val="Grille du tableau1"/>
    <w:basedOn w:val="TableauNormal"/>
    <w:uiPriority w:val="29"/>
    <w:rsid w:val="00313DEB"/>
    <w:pPr>
      <w:widowControl w:val="0"/>
      <w:autoSpaceDE w:val="0"/>
      <w:autoSpaceDN w:val="0"/>
    </w:pPr>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uiPriority w:val="29"/>
    <w:rsid w:val="00313DEB"/>
    <w:pPr>
      <w:widowControl w:val="0"/>
      <w:autoSpaceDE w:val="0"/>
      <w:autoSpaceDN w:val="0"/>
    </w:pPr>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rsid w:val="00313DEB"/>
    <w:rPr>
      <w:rFonts w:ascii="Arial" w:hAnsi="Arial"/>
      <w:sz w:val="24"/>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1805">
      <w:bodyDiv w:val="1"/>
      <w:marLeft w:val="0"/>
      <w:marRight w:val="0"/>
      <w:marTop w:val="0"/>
      <w:marBottom w:val="0"/>
      <w:divBdr>
        <w:top w:val="none" w:sz="0" w:space="0" w:color="auto"/>
        <w:left w:val="none" w:sz="0" w:space="0" w:color="auto"/>
        <w:bottom w:val="none" w:sz="0" w:space="0" w:color="auto"/>
        <w:right w:val="none" w:sz="0" w:space="0" w:color="auto"/>
      </w:divBdr>
    </w:div>
    <w:div w:id="160179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dar.com" TargetMode="External"/><Relationship Id="rId18" Type="http://schemas.openxmlformats.org/officeDocument/2006/relationships/hyperlink" Target="tel:+1-514-982-4099" TargetMode="Externa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yperlink" Target="mailto:Guy-Michel.Nkili@rcmp-grc.gc.c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francois.fontaine@nortonrosefulbright.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Charlene.Ripley@snclavalin.com" TargetMode="External"/><Relationship Id="rId20" Type="http://schemas.openxmlformats.org/officeDocument/2006/relationships/hyperlink" Target="mailto:simon.seida@blakes.com" TargetMode="External"/><Relationship Id="rId29" Type="http://schemas.openxmlformats.org/officeDocument/2006/relationships/hyperlink" Target="mailto:danielle.frechette@dpcp.gouv.qc.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francis.pilotte@dpcp.gouv.qc.ca" TargetMode="External"/><Relationship Id="rId23" Type="http://schemas.openxmlformats.org/officeDocument/2006/relationships/header" Target="header4.xml"/><Relationship Id="rId28" Type="http://schemas.openxmlformats.org/officeDocument/2006/relationships/hyperlink" Target="mailto:danielle.frechette@dpcp.gouv.qc.ca" TargetMode="External"/><Relationship Id="rId10" Type="http://schemas.openxmlformats.org/officeDocument/2006/relationships/header" Target="header1.xml"/><Relationship Id="rId19" Type="http://schemas.openxmlformats.org/officeDocument/2006/relationships/hyperlink" Target="mailto:mark.morrison@blakes.com"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tpsgc-pwgsc.gc.ca/ci-if/politique-policy-eng.html" TargetMode="External"/><Relationship Id="rId14" Type="http://schemas.openxmlformats.org/officeDocument/2006/relationships/hyperlink" Target="mailto:patrice.peltier-rivest@dpcp.gouv.qc.ca" TargetMode="Externa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entencingcouncil.org.uk/offences/crown-court/item/corporate-offenders-fraud-bribery-and-money-launder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 C A N _ D M S ! 1 4 6 3 3 3 3 4 5 . 2 < / d o c u m e n t i d >  
     < s e n d e r i d > C P E L A D E A U 0 1 < / s e n d e r i d >  
     < s e n d e r e m a i l > C H A R L E S - A N T O I N E . P E L A D E A U @ N O R T O N R O S E F U L B R I G H T . C O M < / s e n d e r e m a i l >  
     < l a s t m o d i f i e d > 2 0 2 2 - 0 6 - 1 4 T 1 1 : 0 0 : 0 0 . 0 0 0 0 0 0 0 - 0 4 : 0 0 < / l a s t m o d i f i e d >  
     < d a t a b a s e > C A N _ D M S 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B5390-90E5-4B3F-B050-695ED123FDF1}">
  <ds:schemaRefs>
    <ds:schemaRef ds:uri="http://www.imanage.com/work/xmlschema"/>
  </ds:schemaRefs>
</ds:datastoreItem>
</file>

<file path=customXml/itemProps2.xml><?xml version="1.0" encoding="utf-8"?>
<ds:datastoreItem xmlns:ds="http://schemas.openxmlformats.org/officeDocument/2006/customXml" ds:itemID="{82CEC906-4C5A-4B2B-8164-D649CC2E2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22932</Words>
  <Characters>126126</Characters>
  <Application>Microsoft Office Word</Application>
  <DocSecurity>0</DocSecurity>
  <Lines>1051</Lines>
  <Paragraphs>297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2022-08-10T13:41:00Z</dcterms:created>
  <dcterms:modified xsi:type="dcterms:W3CDTF">2022-08-16T16:37:00Z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CAN_DMS: \146333345\2</vt:lpwstr>
  </property>
</Properties>
</file>