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D200" w14:textId="77777777" w:rsidR="00CF2301" w:rsidRPr="0088092F" w:rsidRDefault="00CF2301">
      <w:pPr>
        <w:rPr>
          <w:lang w:val="en-CA"/>
        </w:rPr>
      </w:pPr>
      <w:bookmarkStart w:id="0" w:name="_GoBack"/>
      <w:bookmarkEnd w:id="0"/>
      <w:r w:rsidRPr="0088092F">
        <w:rPr>
          <w:lang w:val="en-CA"/>
        </w:rPr>
        <w:t>Unofficial English Translation of the Judgment of the Court</w:t>
      </w:r>
    </w:p>
    <w:p w14:paraId="7FC71B5E" w14:textId="77777777" w:rsidR="00CF2301" w:rsidRPr="0088092F" w:rsidRDefault="00CF2301">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856BB5" w:rsidRPr="0088092F" w14:paraId="12995FC3" w14:textId="77777777" w:rsidTr="00461B74">
        <w:trPr>
          <w:trHeight w:val="248"/>
        </w:trPr>
        <w:tc>
          <w:tcPr>
            <w:tcW w:w="7372" w:type="dxa"/>
            <w:gridSpan w:val="5"/>
          </w:tcPr>
          <w:p w14:paraId="1471EF65" w14:textId="77777777" w:rsidR="00461B74" w:rsidRPr="00D7563F" w:rsidRDefault="00461B74" w:rsidP="00CF2301">
            <w:pPr>
              <w:pStyle w:val="zSoquijdatRepertorie"/>
              <w:rPr>
                <w:rFonts w:cs="Arial"/>
              </w:rPr>
            </w:pPr>
            <w:r w:rsidRPr="00D7563F">
              <w:rPr>
                <w:rFonts w:cs="Arial"/>
              </w:rPr>
              <w:t>Turbide Labbé c. Ministère de la Sécurité publique</w:t>
            </w:r>
          </w:p>
        </w:tc>
        <w:tc>
          <w:tcPr>
            <w:tcW w:w="1988" w:type="dxa"/>
          </w:tcPr>
          <w:p w14:paraId="71F9AE1C" w14:textId="77777777" w:rsidR="00461B74" w:rsidRPr="0088092F" w:rsidRDefault="00461B74" w:rsidP="00461B74">
            <w:pPr>
              <w:pStyle w:val="zSoquijdatRefNeutre"/>
              <w:jc w:val="right"/>
              <w:rPr>
                <w:rFonts w:cs="Arial"/>
                <w:lang w:val="en-CA"/>
              </w:rPr>
            </w:pPr>
            <w:r w:rsidRPr="0088092F">
              <w:rPr>
                <w:rFonts w:cs="Arial"/>
                <w:lang w:val="en-CA"/>
              </w:rPr>
              <w:t>2021 QCCA 1687</w:t>
            </w:r>
          </w:p>
        </w:tc>
      </w:tr>
      <w:tr w:rsidR="00856BB5" w:rsidRPr="0088092F" w14:paraId="6854CED2" w14:textId="77777777" w:rsidTr="00461B74">
        <w:trPr>
          <w:trHeight w:val="247"/>
        </w:trPr>
        <w:tc>
          <w:tcPr>
            <w:tcW w:w="9360" w:type="dxa"/>
            <w:gridSpan w:val="6"/>
          </w:tcPr>
          <w:p w14:paraId="20FB6B6C" w14:textId="77777777" w:rsidR="00461B74" w:rsidRPr="0088092F" w:rsidRDefault="00461B74" w:rsidP="00CF2301">
            <w:pPr>
              <w:pStyle w:val="zSoquijlblCour"/>
              <w:rPr>
                <w:lang w:val="en-CA"/>
              </w:rPr>
            </w:pPr>
            <w:r w:rsidRPr="0088092F">
              <w:rPr>
                <w:lang w:val="en-CA"/>
              </w:rPr>
              <w:t>COUR</w:t>
            </w:r>
            <w:r w:rsidR="00CF2301" w:rsidRPr="0088092F">
              <w:rPr>
                <w:lang w:val="en-CA"/>
              </w:rPr>
              <w:t>T OF APPEAL</w:t>
            </w:r>
          </w:p>
        </w:tc>
      </w:tr>
      <w:tr w:rsidR="00856BB5" w:rsidRPr="0088092F" w14:paraId="4A5065A3" w14:textId="77777777" w:rsidTr="00461B74">
        <w:trPr>
          <w:trHeight w:val="540"/>
        </w:trPr>
        <w:tc>
          <w:tcPr>
            <w:tcW w:w="9360" w:type="dxa"/>
            <w:gridSpan w:val="6"/>
          </w:tcPr>
          <w:p w14:paraId="188F3E29" w14:textId="77777777" w:rsidR="00461B74" w:rsidRPr="0088092F" w:rsidRDefault="00461B74">
            <w:pPr>
              <w:pStyle w:val="zSoquijdatDivision"/>
              <w:rPr>
                <w:lang w:val="en-CA"/>
              </w:rPr>
            </w:pPr>
          </w:p>
        </w:tc>
      </w:tr>
      <w:tr w:rsidR="00856BB5" w:rsidRPr="0088092F" w14:paraId="1129E7DC" w14:textId="77777777" w:rsidTr="00461B74">
        <w:tc>
          <w:tcPr>
            <w:tcW w:w="9360" w:type="dxa"/>
            <w:gridSpan w:val="6"/>
          </w:tcPr>
          <w:p w14:paraId="095807A5" w14:textId="77777777" w:rsidR="00461B74" w:rsidRPr="0088092F" w:rsidRDefault="00461B74">
            <w:pPr>
              <w:pStyle w:val="zSoquijlblPays"/>
              <w:rPr>
                <w:lang w:val="en-CA"/>
              </w:rPr>
            </w:pPr>
            <w:r w:rsidRPr="0088092F">
              <w:rPr>
                <w:lang w:val="en-CA"/>
              </w:rPr>
              <w:t>CANADA</w:t>
            </w:r>
          </w:p>
        </w:tc>
      </w:tr>
      <w:tr w:rsidR="00856BB5" w:rsidRPr="0088092F" w14:paraId="083B2E0D" w14:textId="77777777" w:rsidTr="00461B74">
        <w:tc>
          <w:tcPr>
            <w:tcW w:w="9360" w:type="dxa"/>
            <w:gridSpan w:val="6"/>
          </w:tcPr>
          <w:p w14:paraId="0FB0AF21" w14:textId="77777777" w:rsidR="00461B74" w:rsidRPr="0088092F" w:rsidRDefault="00CF2301">
            <w:pPr>
              <w:pStyle w:val="zSoquijlblProvince"/>
              <w:rPr>
                <w:lang w:val="en-CA"/>
              </w:rPr>
            </w:pPr>
            <w:r w:rsidRPr="0088092F">
              <w:rPr>
                <w:lang w:val="en-CA"/>
              </w:rPr>
              <w:t>PROVINCE OF QUEBEC</w:t>
            </w:r>
          </w:p>
        </w:tc>
      </w:tr>
      <w:tr w:rsidR="00856BB5" w:rsidRPr="0088092F" w14:paraId="05705890" w14:textId="77777777" w:rsidTr="00B869E2">
        <w:tc>
          <w:tcPr>
            <w:tcW w:w="1701" w:type="dxa"/>
            <w:gridSpan w:val="3"/>
          </w:tcPr>
          <w:p w14:paraId="616270E0" w14:textId="77777777" w:rsidR="00461B74" w:rsidRPr="0088092F" w:rsidRDefault="00CF2301">
            <w:pPr>
              <w:pStyle w:val="zSoquijlblGreffe"/>
              <w:rPr>
                <w:lang w:val="en-CA"/>
              </w:rPr>
            </w:pPr>
            <w:r w:rsidRPr="0088092F">
              <w:rPr>
                <w:lang w:val="en-CA"/>
              </w:rPr>
              <w:t>REGISTRY OF</w:t>
            </w:r>
          </w:p>
          <w:p w14:paraId="18913E82" w14:textId="77777777" w:rsidR="00461B74" w:rsidRPr="0088092F" w:rsidRDefault="00461B74">
            <w:pPr>
              <w:pStyle w:val="zSoquijlblGreffe"/>
              <w:rPr>
                <w:lang w:val="en-CA"/>
              </w:rPr>
            </w:pPr>
          </w:p>
        </w:tc>
        <w:tc>
          <w:tcPr>
            <w:tcW w:w="7659" w:type="dxa"/>
            <w:gridSpan w:val="3"/>
          </w:tcPr>
          <w:p w14:paraId="1717C1BE" w14:textId="77777777" w:rsidR="00461B74" w:rsidRPr="0088092F" w:rsidRDefault="00CF2301">
            <w:pPr>
              <w:pStyle w:val="zSoquijdatGreffe"/>
              <w:rPr>
                <w:lang w:val="en-CA"/>
              </w:rPr>
            </w:pPr>
            <w:r w:rsidRPr="0088092F">
              <w:rPr>
                <w:lang w:val="en-CA"/>
              </w:rPr>
              <w:t>MONTREAL</w:t>
            </w:r>
          </w:p>
        </w:tc>
      </w:tr>
      <w:tr w:rsidR="00856BB5" w:rsidRPr="0088092F" w14:paraId="5635A3DB" w14:textId="77777777" w:rsidTr="00461B74">
        <w:tc>
          <w:tcPr>
            <w:tcW w:w="1030" w:type="dxa"/>
          </w:tcPr>
          <w:p w14:paraId="42024B2D" w14:textId="77777777" w:rsidR="00461B74" w:rsidRPr="0088092F" w:rsidRDefault="00461B74" w:rsidP="00CF2301">
            <w:pPr>
              <w:pStyle w:val="zSoquijlblNoDossier"/>
              <w:rPr>
                <w:lang w:val="en-CA"/>
              </w:rPr>
            </w:pPr>
            <w:r w:rsidRPr="0088092F">
              <w:rPr>
                <w:lang w:val="en-CA"/>
              </w:rPr>
              <w:t>N</w:t>
            </w:r>
            <w:r w:rsidR="00CF2301" w:rsidRPr="0088092F">
              <w:rPr>
                <w:lang w:val="en-CA"/>
              </w:rPr>
              <w:t>o.</w:t>
            </w:r>
            <w:r w:rsidRPr="0088092F">
              <w:rPr>
                <w:lang w:val="en-CA"/>
              </w:rPr>
              <w:t>:</w:t>
            </w:r>
          </w:p>
        </w:tc>
        <w:tc>
          <w:tcPr>
            <w:tcW w:w="8330" w:type="dxa"/>
            <w:gridSpan w:val="5"/>
          </w:tcPr>
          <w:p w14:paraId="6D0AE665" w14:textId="77777777" w:rsidR="00461B74" w:rsidRPr="0088092F" w:rsidRDefault="00461B74">
            <w:pPr>
              <w:pStyle w:val="zSoquijdatNoDossier"/>
              <w:rPr>
                <w:lang w:val="en-CA"/>
              </w:rPr>
            </w:pPr>
            <w:bookmarkStart w:id="1" w:name="NoDossier"/>
            <w:r w:rsidRPr="0088092F">
              <w:rPr>
                <w:lang w:val="en-CA"/>
              </w:rPr>
              <w:t>500-09-029601-218</w:t>
            </w:r>
            <w:bookmarkEnd w:id="1"/>
          </w:p>
        </w:tc>
      </w:tr>
      <w:tr w:rsidR="00856BB5" w:rsidRPr="0088092F" w14:paraId="29976892" w14:textId="77777777" w:rsidTr="00461B74">
        <w:tc>
          <w:tcPr>
            <w:tcW w:w="9360" w:type="dxa"/>
            <w:gridSpan w:val="6"/>
          </w:tcPr>
          <w:p w14:paraId="62DBE970" w14:textId="77777777" w:rsidR="00461B74" w:rsidRPr="0088092F" w:rsidRDefault="00461B74" w:rsidP="00461B74">
            <w:pPr>
              <w:pStyle w:val="zSoquijdatNoDossierAnt"/>
              <w:rPr>
                <w:lang w:val="en-CA"/>
              </w:rPr>
            </w:pPr>
            <w:r w:rsidRPr="0088092F">
              <w:rPr>
                <w:lang w:val="en-CA"/>
              </w:rPr>
              <w:t>(765-36-000292-211)</w:t>
            </w:r>
          </w:p>
        </w:tc>
      </w:tr>
      <w:tr w:rsidR="00856BB5" w:rsidRPr="0088092F" w14:paraId="256FCAA8" w14:textId="77777777" w:rsidTr="00461B74">
        <w:tc>
          <w:tcPr>
            <w:tcW w:w="9360" w:type="dxa"/>
            <w:gridSpan w:val="6"/>
          </w:tcPr>
          <w:p w14:paraId="30937EAF" w14:textId="77777777" w:rsidR="00461B74" w:rsidRPr="0088092F" w:rsidRDefault="00461B74">
            <w:pPr>
              <w:rPr>
                <w:lang w:val="en-CA"/>
              </w:rPr>
            </w:pPr>
          </w:p>
        </w:tc>
      </w:tr>
      <w:tr w:rsidR="00856BB5" w:rsidRPr="0088092F" w14:paraId="13DB92BA" w14:textId="77777777" w:rsidTr="00461B74">
        <w:tc>
          <w:tcPr>
            <w:tcW w:w="1030" w:type="dxa"/>
          </w:tcPr>
          <w:p w14:paraId="4CBE42A8" w14:textId="77777777" w:rsidR="00461B74" w:rsidRPr="0088092F" w:rsidRDefault="00CF2301">
            <w:pPr>
              <w:pStyle w:val="zSoquijlblDateJugement"/>
              <w:rPr>
                <w:lang w:val="en-CA"/>
              </w:rPr>
            </w:pPr>
            <w:r w:rsidRPr="0088092F">
              <w:rPr>
                <w:lang w:val="en-CA"/>
              </w:rPr>
              <w:t>DATE</w:t>
            </w:r>
            <w:r w:rsidR="00461B74" w:rsidRPr="0088092F">
              <w:rPr>
                <w:lang w:val="en-CA"/>
              </w:rPr>
              <w:t>:</w:t>
            </w:r>
          </w:p>
        </w:tc>
        <w:tc>
          <w:tcPr>
            <w:tcW w:w="8330" w:type="dxa"/>
            <w:gridSpan w:val="5"/>
          </w:tcPr>
          <w:p w14:paraId="3A1006A4" w14:textId="77777777" w:rsidR="00461B74" w:rsidRPr="0088092F" w:rsidRDefault="00461B74" w:rsidP="00CF2301">
            <w:pPr>
              <w:pStyle w:val="zSoquijdatDateJugement"/>
              <w:rPr>
                <w:lang w:val="en-CA"/>
              </w:rPr>
            </w:pPr>
            <w:r w:rsidRPr="0088092F">
              <w:rPr>
                <w:lang w:val="en-CA"/>
              </w:rPr>
              <w:t xml:space="preserve"> November</w:t>
            </w:r>
            <w:r w:rsidR="00CF2301" w:rsidRPr="0088092F">
              <w:rPr>
                <w:lang w:val="en-CA"/>
              </w:rPr>
              <w:t xml:space="preserve"> 12,</w:t>
            </w:r>
            <w:r w:rsidRPr="0088092F">
              <w:rPr>
                <w:lang w:val="en-CA"/>
              </w:rPr>
              <w:t xml:space="preserve"> 2021</w:t>
            </w:r>
          </w:p>
        </w:tc>
      </w:tr>
      <w:tr w:rsidR="00856BB5" w:rsidRPr="0088092F" w14:paraId="22EC9792" w14:textId="77777777" w:rsidTr="00461B74">
        <w:tc>
          <w:tcPr>
            <w:tcW w:w="9360" w:type="dxa"/>
            <w:gridSpan w:val="6"/>
            <w:tcBorders>
              <w:bottom w:val="single" w:sz="8" w:space="0" w:color="auto"/>
            </w:tcBorders>
          </w:tcPr>
          <w:p w14:paraId="6998B88B" w14:textId="77777777" w:rsidR="00461B74" w:rsidRPr="0088092F" w:rsidRDefault="00461B74">
            <w:pPr>
              <w:rPr>
                <w:lang w:val="en-CA"/>
              </w:rPr>
            </w:pPr>
          </w:p>
        </w:tc>
      </w:tr>
      <w:tr w:rsidR="00856BB5" w:rsidRPr="0088092F" w14:paraId="5C24A740" w14:textId="77777777" w:rsidTr="00461B74">
        <w:tc>
          <w:tcPr>
            <w:tcW w:w="9360" w:type="dxa"/>
            <w:gridSpan w:val="6"/>
            <w:tcBorders>
              <w:top w:val="single" w:sz="8" w:space="0" w:color="auto"/>
            </w:tcBorders>
          </w:tcPr>
          <w:p w14:paraId="697F852B" w14:textId="77777777" w:rsidR="00461B74" w:rsidRPr="0088092F" w:rsidRDefault="00461B74">
            <w:pPr>
              <w:rPr>
                <w:lang w:val="en-CA"/>
              </w:rPr>
            </w:pPr>
          </w:p>
        </w:tc>
      </w:tr>
      <w:tr w:rsidR="00856BB5" w:rsidRPr="0088092F" w14:paraId="77804602" w14:textId="77777777" w:rsidTr="00461B74">
        <w:tc>
          <w:tcPr>
            <w:tcW w:w="1620" w:type="dxa"/>
            <w:gridSpan w:val="2"/>
          </w:tcPr>
          <w:p w14:paraId="053119EC" w14:textId="77777777" w:rsidR="00461B74" w:rsidRPr="0088092F" w:rsidRDefault="001F6648" w:rsidP="00461B74">
            <w:pPr>
              <w:pStyle w:val="zSoquijlblJuge"/>
              <w:ind w:right="-142"/>
              <w:rPr>
                <w:lang w:val="en-CA"/>
              </w:rPr>
            </w:pPr>
            <w:r w:rsidRPr="0088092F">
              <w:rPr>
                <w:lang w:val="en-CA"/>
              </w:rPr>
              <w:t>CORAM:</w:t>
            </w:r>
          </w:p>
        </w:tc>
        <w:tc>
          <w:tcPr>
            <w:tcW w:w="2350" w:type="dxa"/>
            <w:gridSpan w:val="2"/>
          </w:tcPr>
          <w:p w14:paraId="47BC13C7" w14:textId="77777777" w:rsidR="00461B74" w:rsidRPr="0088092F" w:rsidRDefault="001F6648">
            <w:pPr>
              <w:pStyle w:val="zSoquijdatQteJuge"/>
              <w:rPr>
                <w:lang w:val="en-CA"/>
              </w:rPr>
            </w:pPr>
            <w:r w:rsidRPr="0088092F">
              <w:rPr>
                <w:lang w:val="en-CA"/>
              </w:rPr>
              <w:t>THE HONOURABLE</w:t>
            </w:r>
          </w:p>
        </w:tc>
        <w:tc>
          <w:tcPr>
            <w:tcW w:w="5390" w:type="dxa"/>
            <w:gridSpan w:val="2"/>
          </w:tcPr>
          <w:p w14:paraId="154F971B" w14:textId="77777777" w:rsidR="00461B74" w:rsidRPr="0088092F" w:rsidRDefault="00461B74">
            <w:pPr>
              <w:pStyle w:val="zSoquijdatJuge"/>
              <w:rPr>
                <w:lang w:val="en-CA"/>
              </w:rPr>
            </w:pPr>
            <w:bookmarkStart w:id="2" w:name="NomJuge1"/>
            <w:r w:rsidRPr="0088092F">
              <w:rPr>
                <w:lang w:val="en-CA"/>
              </w:rPr>
              <w:t>STEPHEN W. HAMILTON, J.A.</w:t>
            </w:r>
            <w:bookmarkEnd w:id="2"/>
          </w:p>
          <w:p w14:paraId="2964AA2C" w14:textId="77777777" w:rsidR="00461B74" w:rsidRPr="00D7563F" w:rsidRDefault="00461B74">
            <w:pPr>
              <w:pStyle w:val="zSoquijdatJuge"/>
            </w:pPr>
            <w:bookmarkStart w:id="3" w:name="NomJuge2"/>
            <w:r w:rsidRPr="00D7563F">
              <w:t>BENOÎT MOORE, J.A.</w:t>
            </w:r>
            <w:bookmarkEnd w:id="3"/>
          </w:p>
          <w:p w14:paraId="15E118C7" w14:textId="77777777" w:rsidR="00461B74" w:rsidRPr="00D7563F" w:rsidRDefault="00461B74" w:rsidP="001F6648">
            <w:pPr>
              <w:pStyle w:val="zSoquijdatJuge"/>
            </w:pPr>
            <w:bookmarkStart w:id="4" w:name="_Hlt520513784"/>
            <w:bookmarkStart w:id="5" w:name="NomJuge3"/>
            <w:bookmarkEnd w:id="4"/>
            <w:r w:rsidRPr="00D7563F">
              <w:t>GUY COURNOYER, J.A.</w:t>
            </w:r>
            <w:bookmarkEnd w:id="5"/>
          </w:p>
        </w:tc>
      </w:tr>
      <w:tr w:rsidR="00856BB5" w:rsidRPr="0088092F" w14:paraId="285BFD86" w14:textId="77777777" w:rsidTr="00461B74">
        <w:tc>
          <w:tcPr>
            <w:tcW w:w="9360" w:type="dxa"/>
            <w:gridSpan w:val="6"/>
            <w:tcBorders>
              <w:bottom w:val="single" w:sz="8" w:space="0" w:color="auto"/>
            </w:tcBorders>
          </w:tcPr>
          <w:p w14:paraId="0F0AB204" w14:textId="77777777" w:rsidR="00461B74" w:rsidRPr="00D7563F" w:rsidRDefault="00461B74"/>
        </w:tc>
      </w:tr>
      <w:tr w:rsidR="00856BB5" w:rsidRPr="0088092F" w14:paraId="351D8A1F" w14:textId="77777777" w:rsidTr="00461B74">
        <w:tc>
          <w:tcPr>
            <w:tcW w:w="9360" w:type="dxa"/>
            <w:gridSpan w:val="6"/>
          </w:tcPr>
          <w:p w14:paraId="6C19CEC0" w14:textId="77777777" w:rsidR="00461B74" w:rsidRPr="00D7563F" w:rsidRDefault="00461B74">
            <w:pPr>
              <w:pStyle w:val="zSoquijlblTitrePartie"/>
            </w:pPr>
          </w:p>
        </w:tc>
      </w:tr>
      <w:tr w:rsidR="00856BB5" w:rsidRPr="0088092F" w14:paraId="7FCF9157" w14:textId="77777777" w:rsidTr="00461B74">
        <w:tc>
          <w:tcPr>
            <w:tcW w:w="9360" w:type="dxa"/>
            <w:gridSpan w:val="6"/>
          </w:tcPr>
          <w:p w14:paraId="4948902B" w14:textId="77777777" w:rsidR="00461B74" w:rsidRPr="0088092F" w:rsidRDefault="00461B74">
            <w:pPr>
              <w:pStyle w:val="zSoquijdatNomPartieDem"/>
              <w:rPr>
                <w:lang w:val="en-CA"/>
              </w:rPr>
            </w:pPr>
            <w:r w:rsidRPr="0088092F">
              <w:rPr>
                <w:lang w:val="en-CA"/>
              </w:rPr>
              <w:t>JEAN-FRANÇOIS TURBIDE LABBÉ</w:t>
            </w:r>
          </w:p>
        </w:tc>
      </w:tr>
      <w:tr w:rsidR="00856BB5" w:rsidRPr="0088092F" w14:paraId="1983E35C" w14:textId="77777777" w:rsidTr="00461B74">
        <w:tc>
          <w:tcPr>
            <w:tcW w:w="9360" w:type="dxa"/>
            <w:gridSpan w:val="6"/>
          </w:tcPr>
          <w:p w14:paraId="5907C0FF" w14:textId="77777777" w:rsidR="00461B74" w:rsidRPr="0088092F" w:rsidRDefault="00461B74" w:rsidP="001F6648">
            <w:pPr>
              <w:pStyle w:val="zSoquijdatQtePartieDem"/>
              <w:rPr>
                <w:lang w:val="en-CA"/>
              </w:rPr>
            </w:pPr>
            <w:r w:rsidRPr="0088092F">
              <w:rPr>
                <w:lang w:val="en-CA"/>
              </w:rPr>
              <w:t xml:space="preserve">APPELANT – applicant </w:t>
            </w:r>
          </w:p>
        </w:tc>
      </w:tr>
      <w:tr w:rsidR="00856BB5" w:rsidRPr="0088092F" w14:paraId="29938B1D" w14:textId="77777777" w:rsidTr="00461B74">
        <w:tc>
          <w:tcPr>
            <w:tcW w:w="9360" w:type="dxa"/>
            <w:gridSpan w:val="6"/>
          </w:tcPr>
          <w:p w14:paraId="73B60966" w14:textId="77777777" w:rsidR="00461B74" w:rsidRPr="0088092F" w:rsidRDefault="001F6648">
            <w:pPr>
              <w:pStyle w:val="zSoquijlblLienParties"/>
              <w:rPr>
                <w:lang w:val="en-CA"/>
              </w:rPr>
            </w:pPr>
            <w:r w:rsidRPr="0088092F">
              <w:rPr>
                <w:lang w:val="en-CA"/>
              </w:rPr>
              <w:t>v.</w:t>
            </w:r>
          </w:p>
        </w:tc>
      </w:tr>
      <w:tr w:rsidR="00856BB5" w:rsidRPr="0088092F" w14:paraId="40697928" w14:textId="77777777" w:rsidTr="00461B74">
        <w:tc>
          <w:tcPr>
            <w:tcW w:w="9360" w:type="dxa"/>
            <w:gridSpan w:val="6"/>
          </w:tcPr>
          <w:p w14:paraId="1C4C9128" w14:textId="77777777" w:rsidR="00461B74" w:rsidRPr="0088092F" w:rsidRDefault="00461B74">
            <w:pPr>
              <w:rPr>
                <w:lang w:val="en-CA"/>
              </w:rPr>
            </w:pPr>
          </w:p>
        </w:tc>
      </w:tr>
      <w:tr w:rsidR="00856BB5" w:rsidRPr="0088092F" w14:paraId="7630FB48" w14:textId="77777777" w:rsidTr="00461B74">
        <w:tc>
          <w:tcPr>
            <w:tcW w:w="9360" w:type="dxa"/>
            <w:gridSpan w:val="6"/>
          </w:tcPr>
          <w:p w14:paraId="2959D444" w14:textId="77777777" w:rsidR="00461B74" w:rsidRPr="00D7563F" w:rsidRDefault="00461B74">
            <w:pPr>
              <w:pStyle w:val="zSoquijdatNomPartieDef"/>
            </w:pPr>
            <w:r w:rsidRPr="00D7563F">
              <w:t>MINISTÈRE DE LA SÉCURITÉ PUBLIQUE</w:t>
            </w:r>
          </w:p>
        </w:tc>
      </w:tr>
      <w:tr w:rsidR="00856BB5" w:rsidRPr="0088092F" w14:paraId="361A4930" w14:textId="77777777" w:rsidTr="00461B74">
        <w:tc>
          <w:tcPr>
            <w:tcW w:w="9360" w:type="dxa"/>
            <w:gridSpan w:val="6"/>
          </w:tcPr>
          <w:p w14:paraId="5024FD67" w14:textId="77777777" w:rsidR="00461B74" w:rsidRPr="0088092F" w:rsidRDefault="001F6648">
            <w:pPr>
              <w:pStyle w:val="zSoquijdatQtePartieDef"/>
              <w:rPr>
                <w:lang w:val="en-CA"/>
              </w:rPr>
            </w:pPr>
            <w:r w:rsidRPr="0088092F">
              <w:rPr>
                <w:lang w:val="en-CA"/>
              </w:rPr>
              <w:t>RESPONDENT – respondent</w:t>
            </w:r>
            <w:r w:rsidR="00461B74" w:rsidRPr="0088092F">
              <w:rPr>
                <w:lang w:val="en-CA"/>
              </w:rPr>
              <w:t xml:space="preserve"> </w:t>
            </w:r>
          </w:p>
        </w:tc>
      </w:tr>
      <w:tr w:rsidR="00856BB5" w:rsidRPr="0088092F" w14:paraId="40E94F3D" w14:textId="77777777" w:rsidTr="00461B74">
        <w:tc>
          <w:tcPr>
            <w:tcW w:w="9360" w:type="dxa"/>
            <w:gridSpan w:val="6"/>
          </w:tcPr>
          <w:p w14:paraId="29767814" w14:textId="77777777" w:rsidR="00461B74" w:rsidRPr="0088092F" w:rsidRDefault="001F6648" w:rsidP="00461B74">
            <w:pPr>
              <w:pStyle w:val="zSoquijdatQtePartieDef"/>
              <w:ind w:left="0"/>
              <w:rPr>
                <w:lang w:val="en-CA"/>
              </w:rPr>
            </w:pPr>
            <w:r w:rsidRPr="0088092F">
              <w:rPr>
                <w:lang w:val="en-CA"/>
              </w:rPr>
              <w:t>and</w:t>
            </w:r>
          </w:p>
        </w:tc>
      </w:tr>
      <w:tr w:rsidR="00856BB5" w:rsidRPr="0088092F" w14:paraId="5B71537E" w14:textId="77777777" w:rsidTr="00461B74">
        <w:tc>
          <w:tcPr>
            <w:tcW w:w="9360" w:type="dxa"/>
            <w:gridSpan w:val="6"/>
          </w:tcPr>
          <w:p w14:paraId="5191A4EF" w14:textId="77777777" w:rsidR="00461B74" w:rsidRPr="0088092F" w:rsidRDefault="00461B74" w:rsidP="00461B74">
            <w:pPr>
              <w:pStyle w:val="zSoquijdatQtePartieDef"/>
              <w:ind w:left="0"/>
              <w:rPr>
                <w:lang w:val="en-CA"/>
              </w:rPr>
            </w:pPr>
          </w:p>
        </w:tc>
      </w:tr>
      <w:tr w:rsidR="00856BB5" w:rsidRPr="0088092F" w14:paraId="104F3FF5" w14:textId="77777777" w:rsidTr="00461B74">
        <w:tc>
          <w:tcPr>
            <w:tcW w:w="9360" w:type="dxa"/>
            <w:gridSpan w:val="6"/>
          </w:tcPr>
          <w:p w14:paraId="259CED7B" w14:textId="77777777" w:rsidR="00461B74" w:rsidRPr="0088092F" w:rsidRDefault="001F6648" w:rsidP="00461B74">
            <w:pPr>
              <w:pStyle w:val="zSoquijdatQtePartieDef"/>
              <w:ind w:left="0"/>
              <w:rPr>
                <w:b/>
                <w:lang w:val="en-CA"/>
              </w:rPr>
            </w:pPr>
            <w:r w:rsidRPr="0088092F">
              <w:rPr>
                <w:b/>
                <w:lang w:val="en-CA"/>
              </w:rPr>
              <w:t>ATTORNEY GENERAL OF QUEBEC</w:t>
            </w:r>
          </w:p>
        </w:tc>
      </w:tr>
      <w:tr w:rsidR="00856BB5" w:rsidRPr="0088092F" w14:paraId="24E8BE12" w14:textId="77777777" w:rsidTr="00461B74">
        <w:tc>
          <w:tcPr>
            <w:tcW w:w="9360" w:type="dxa"/>
            <w:gridSpan w:val="6"/>
          </w:tcPr>
          <w:p w14:paraId="4B555D4A" w14:textId="141500AD" w:rsidR="00461B74" w:rsidRPr="0088092F" w:rsidRDefault="00461B74" w:rsidP="00461B74">
            <w:pPr>
              <w:pStyle w:val="zSoquijdatQtePartieDef"/>
              <w:ind w:left="0"/>
              <w:rPr>
                <w:lang w:val="en-CA"/>
              </w:rPr>
            </w:pPr>
            <w:r w:rsidRPr="0088092F">
              <w:rPr>
                <w:b/>
                <w:lang w:val="en-CA"/>
              </w:rPr>
              <w:tab/>
            </w:r>
            <w:r w:rsidR="001F6648" w:rsidRPr="0088092F">
              <w:rPr>
                <w:lang w:val="en-CA"/>
              </w:rPr>
              <w:t xml:space="preserve">IMPLEADED PARTY – </w:t>
            </w:r>
            <w:r w:rsidR="009B7667" w:rsidRPr="0088092F">
              <w:rPr>
                <w:lang w:val="en-CA"/>
              </w:rPr>
              <w:t>impleaded</w:t>
            </w:r>
            <w:r w:rsidR="001F6648" w:rsidRPr="0088092F">
              <w:rPr>
                <w:lang w:val="en-CA"/>
              </w:rPr>
              <w:t xml:space="preserve"> Party</w:t>
            </w:r>
          </w:p>
        </w:tc>
      </w:tr>
      <w:tr w:rsidR="00856BB5" w:rsidRPr="0088092F" w14:paraId="4BA6F1C9" w14:textId="77777777" w:rsidTr="00461B74">
        <w:tc>
          <w:tcPr>
            <w:tcW w:w="9360" w:type="dxa"/>
            <w:gridSpan w:val="6"/>
          </w:tcPr>
          <w:p w14:paraId="0FD07862" w14:textId="77777777" w:rsidR="00461B74" w:rsidRPr="0088092F" w:rsidRDefault="00461B74">
            <w:pPr>
              <w:rPr>
                <w:lang w:val="en-CA"/>
              </w:rPr>
            </w:pPr>
          </w:p>
        </w:tc>
      </w:tr>
      <w:tr w:rsidR="00856BB5" w:rsidRPr="0088092F" w14:paraId="511E2922" w14:textId="77777777" w:rsidTr="00461B74">
        <w:tc>
          <w:tcPr>
            <w:tcW w:w="9360" w:type="dxa"/>
            <w:gridSpan w:val="6"/>
            <w:tcBorders>
              <w:top w:val="single" w:sz="8" w:space="0" w:color="auto"/>
            </w:tcBorders>
          </w:tcPr>
          <w:p w14:paraId="5E968FF9" w14:textId="77777777" w:rsidR="00461B74" w:rsidRPr="0088092F" w:rsidRDefault="00461B74">
            <w:pPr>
              <w:rPr>
                <w:lang w:val="en-CA"/>
              </w:rPr>
            </w:pPr>
            <w:bookmarkStart w:id="6" w:name="Arret"/>
          </w:p>
        </w:tc>
      </w:tr>
      <w:tr w:rsidR="00856BB5" w:rsidRPr="0088092F" w14:paraId="29440446" w14:textId="77777777" w:rsidTr="00461B74">
        <w:tc>
          <w:tcPr>
            <w:tcW w:w="9360" w:type="dxa"/>
            <w:gridSpan w:val="6"/>
          </w:tcPr>
          <w:p w14:paraId="0D1CE9DA" w14:textId="77777777" w:rsidR="00461B74" w:rsidRPr="0088092F" w:rsidRDefault="001F6648">
            <w:pPr>
              <w:pStyle w:val="zSoquijlblTypeDocument"/>
              <w:rPr>
                <w:lang w:val="en-CA"/>
              </w:rPr>
            </w:pPr>
            <w:r w:rsidRPr="0088092F">
              <w:rPr>
                <w:lang w:val="en-CA"/>
              </w:rPr>
              <w:t>JUDGMENT</w:t>
            </w:r>
          </w:p>
        </w:tc>
      </w:tr>
      <w:tr w:rsidR="00856BB5" w:rsidRPr="0088092F" w14:paraId="7E78BA0B" w14:textId="77777777" w:rsidTr="00461B74">
        <w:tc>
          <w:tcPr>
            <w:tcW w:w="9360" w:type="dxa"/>
            <w:gridSpan w:val="6"/>
            <w:tcBorders>
              <w:bottom w:val="single" w:sz="8" w:space="0" w:color="auto"/>
            </w:tcBorders>
          </w:tcPr>
          <w:p w14:paraId="3164AE1F" w14:textId="77777777" w:rsidR="00461B74" w:rsidRPr="0088092F" w:rsidRDefault="00461B74">
            <w:pPr>
              <w:rPr>
                <w:lang w:val="en-CA"/>
              </w:rPr>
            </w:pPr>
          </w:p>
        </w:tc>
      </w:tr>
      <w:tr w:rsidR="00856BB5" w:rsidRPr="0088092F" w14:paraId="4EDC3D12" w14:textId="77777777" w:rsidTr="00461B74">
        <w:tc>
          <w:tcPr>
            <w:tcW w:w="9360" w:type="dxa"/>
            <w:gridSpan w:val="6"/>
            <w:tcBorders>
              <w:top w:val="single" w:sz="8" w:space="0" w:color="auto"/>
            </w:tcBorders>
          </w:tcPr>
          <w:p w14:paraId="78862F94" w14:textId="77777777" w:rsidR="00461B74" w:rsidRPr="0088092F" w:rsidRDefault="00461B74">
            <w:pPr>
              <w:rPr>
                <w:lang w:val="en-CA"/>
              </w:rPr>
            </w:pPr>
          </w:p>
        </w:tc>
      </w:tr>
    </w:tbl>
    <w:p w14:paraId="721FC290" w14:textId="7904C2BD" w:rsidR="00461B74" w:rsidRPr="0088092F" w:rsidRDefault="009E2224" w:rsidP="00461B74">
      <w:pPr>
        <w:pStyle w:val="Paragraphe"/>
        <w:spacing w:before="240" w:line="280" w:lineRule="exact"/>
        <w:rPr>
          <w:lang w:val="en-CA"/>
        </w:rPr>
      </w:pPr>
      <w:r w:rsidRPr="0088092F">
        <w:rPr>
          <w:lang w:val="en-CA"/>
        </w:rPr>
        <w:t xml:space="preserve">The </w:t>
      </w:r>
      <w:r w:rsidR="00461B74" w:rsidRPr="0088092F">
        <w:rPr>
          <w:lang w:val="en-CA"/>
        </w:rPr>
        <w:t xml:space="preserve">appellant </w:t>
      </w:r>
      <w:r w:rsidRPr="0088092F">
        <w:rPr>
          <w:lang w:val="en-CA"/>
        </w:rPr>
        <w:t xml:space="preserve">appeals from a </w:t>
      </w:r>
      <w:r w:rsidR="00461B74" w:rsidRPr="0088092F">
        <w:rPr>
          <w:lang w:val="en-CA"/>
        </w:rPr>
        <w:t>judgment</w:t>
      </w:r>
      <w:r w:rsidRPr="0088092F">
        <w:rPr>
          <w:lang w:val="en-CA"/>
        </w:rPr>
        <w:t xml:space="preserve"> </w:t>
      </w:r>
      <w:r w:rsidR="00461B74" w:rsidRPr="0088092F">
        <w:rPr>
          <w:lang w:val="en-CA"/>
        </w:rPr>
        <w:t xml:space="preserve">rendered </w:t>
      </w:r>
      <w:r w:rsidRPr="0088092F">
        <w:rPr>
          <w:lang w:val="en-CA"/>
        </w:rPr>
        <w:t xml:space="preserve">on </w:t>
      </w:r>
      <w:r w:rsidR="00461B74" w:rsidRPr="0088092F">
        <w:rPr>
          <w:lang w:val="en-CA"/>
        </w:rPr>
        <w:t>July</w:t>
      </w:r>
      <w:r w:rsidRPr="0088092F">
        <w:rPr>
          <w:lang w:val="en-CA"/>
        </w:rPr>
        <w:t xml:space="preserve"> 8,</w:t>
      </w:r>
      <w:r w:rsidR="00461B74" w:rsidRPr="0088092F">
        <w:rPr>
          <w:lang w:val="en-CA"/>
        </w:rPr>
        <w:t xml:space="preserve"> 2021</w:t>
      </w:r>
      <w:r w:rsidRPr="0088092F">
        <w:rPr>
          <w:lang w:val="en-CA"/>
        </w:rPr>
        <w:t xml:space="preserve">, by the </w:t>
      </w:r>
      <w:r w:rsidR="00461B74" w:rsidRPr="0088092F">
        <w:rPr>
          <w:lang w:val="en-CA"/>
        </w:rPr>
        <w:t>Superior</w:t>
      </w:r>
      <w:r w:rsidRPr="0088092F">
        <w:rPr>
          <w:lang w:val="en-CA"/>
        </w:rPr>
        <w:t xml:space="preserve"> </w:t>
      </w:r>
      <w:r w:rsidR="00461B74" w:rsidRPr="0088092F">
        <w:rPr>
          <w:lang w:val="en-CA"/>
        </w:rPr>
        <w:t xml:space="preserve">Court, </w:t>
      </w:r>
      <w:r w:rsidRPr="0088092F">
        <w:rPr>
          <w:lang w:val="en-CA"/>
        </w:rPr>
        <w:t>D</w:t>
      </w:r>
      <w:r w:rsidR="00461B74" w:rsidRPr="0088092F">
        <w:rPr>
          <w:lang w:val="en-CA"/>
        </w:rPr>
        <w:t xml:space="preserve">istrict </w:t>
      </w:r>
      <w:r w:rsidRPr="0088092F">
        <w:rPr>
          <w:lang w:val="en-CA"/>
        </w:rPr>
        <w:t>of</w:t>
      </w:r>
      <w:r w:rsidR="00461B74" w:rsidRPr="0088092F">
        <w:rPr>
          <w:lang w:val="en-CA"/>
        </w:rPr>
        <w:t xml:space="preserve"> Richelieu (</w:t>
      </w:r>
      <w:r w:rsidRPr="0088092F">
        <w:rPr>
          <w:lang w:val="en-CA"/>
        </w:rPr>
        <w:t>the H</w:t>
      </w:r>
      <w:r w:rsidR="00461B74" w:rsidRPr="0088092F">
        <w:rPr>
          <w:lang w:val="en-CA"/>
        </w:rPr>
        <w:t xml:space="preserve">onourable Daniel Royer), </w:t>
      </w:r>
      <w:r w:rsidR="00403186" w:rsidRPr="0088092F">
        <w:rPr>
          <w:lang w:val="en-CA"/>
        </w:rPr>
        <w:t xml:space="preserve">granting </w:t>
      </w:r>
      <w:r w:rsidRPr="0088092F">
        <w:rPr>
          <w:lang w:val="en-CA"/>
        </w:rPr>
        <w:t xml:space="preserve">in part his motion </w:t>
      </w:r>
      <w:r w:rsidR="00403186" w:rsidRPr="0088092F">
        <w:rPr>
          <w:lang w:val="en-CA"/>
        </w:rPr>
        <w:t xml:space="preserve">for </w:t>
      </w:r>
      <w:r w:rsidR="00461B74" w:rsidRPr="0088092F">
        <w:rPr>
          <w:i/>
          <w:lang w:val="en-CA"/>
        </w:rPr>
        <w:t>habeas corpus</w:t>
      </w:r>
      <w:r w:rsidR="00461B74" w:rsidRPr="0088092F">
        <w:rPr>
          <w:rFonts w:cs="Arial"/>
          <w:lang w:val="en-CA"/>
        </w:rPr>
        <w:t xml:space="preserve"> (</w:t>
      </w:r>
      <w:r w:rsidR="00403186" w:rsidRPr="0088092F">
        <w:rPr>
          <w:rFonts w:cs="Arial"/>
          <w:lang w:val="en-CA"/>
        </w:rPr>
        <w:t xml:space="preserve">amended motion dated </w:t>
      </w:r>
      <w:r w:rsidR="00461B74" w:rsidRPr="0088092F">
        <w:rPr>
          <w:rFonts w:cs="Arial"/>
          <w:lang w:val="en-CA"/>
        </w:rPr>
        <w:t>June</w:t>
      </w:r>
      <w:r w:rsidR="00403186" w:rsidRPr="0088092F">
        <w:rPr>
          <w:rFonts w:cs="Arial"/>
          <w:lang w:val="en-CA"/>
        </w:rPr>
        <w:t xml:space="preserve"> 9,</w:t>
      </w:r>
      <w:r w:rsidR="00461B74" w:rsidRPr="0088092F">
        <w:rPr>
          <w:rFonts w:cs="Arial"/>
          <w:lang w:val="en-CA"/>
        </w:rPr>
        <w:t xml:space="preserve"> 2021), </w:t>
      </w:r>
      <w:r w:rsidR="00403186" w:rsidRPr="0088092F">
        <w:rPr>
          <w:rFonts w:cs="Arial"/>
          <w:lang w:val="en-CA"/>
        </w:rPr>
        <w:t xml:space="preserve">in which he essentially contested the effects of solitary confinement on his </w:t>
      </w:r>
      <w:r w:rsidR="00461B74" w:rsidRPr="0088092F">
        <w:rPr>
          <w:rFonts w:cs="Arial"/>
          <w:lang w:val="en-CA"/>
        </w:rPr>
        <w:t>mental</w:t>
      </w:r>
      <w:r w:rsidR="00403186" w:rsidRPr="0088092F">
        <w:rPr>
          <w:rFonts w:cs="Arial"/>
          <w:lang w:val="en-CA"/>
        </w:rPr>
        <w:t xml:space="preserve"> </w:t>
      </w:r>
      <w:r w:rsidR="00461B74" w:rsidRPr="0088092F">
        <w:rPr>
          <w:rFonts w:cs="Arial"/>
          <w:lang w:val="en-CA"/>
        </w:rPr>
        <w:t>health.</w:t>
      </w:r>
    </w:p>
    <w:p w14:paraId="47780526" w14:textId="77777777" w:rsidR="00461B74" w:rsidRPr="0088092F" w:rsidRDefault="001F6648" w:rsidP="00461B74">
      <w:pPr>
        <w:pStyle w:val="Paragraphe"/>
        <w:keepNext/>
        <w:spacing w:line="280" w:lineRule="exact"/>
        <w:rPr>
          <w:lang w:val="en-CA"/>
        </w:rPr>
      </w:pPr>
      <w:r w:rsidRPr="0088092F">
        <w:rPr>
          <w:rFonts w:cs="Arial"/>
          <w:lang w:val="en-CA"/>
        </w:rPr>
        <w:lastRenderedPageBreak/>
        <w:t xml:space="preserve">For the reasons of Cournoyer, J.A., with which Hamilton and Moore, JJ.A. agree, </w:t>
      </w:r>
      <w:r w:rsidRPr="0088092F">
        <w:rPr>
          <w:rFonts w:cs="Arial"/>
          <w:b/>
          <w:lang w:val="en-CA"/>
        </w:rPr>
        <w:t>THE COURT:</w:t>
      </w:r>
    </w:p>
    <w:p w14:paraId="626A5FF0" w14:textId="77777777" w:rsidR="00461B74" w:rsidRPr="0088092F" w:rsidRDefault="001F6648" w:rsidP="00461B74">
      <w:pPr>
        <w:pStyle w:val="Paragraphe"/>
        <w:keepNext/>
        <w:spacing w:line="280" w:lineRule="exact"/>
        <w:rPr>
          <w:lang w:val="en-CA"/>
        </w:rPr>
      </w:pPr>
      <w:r w:rsidRPr="0088092F">
        <w:rPr>
          <w:rFonts w:cs="Arial"/>
          <w:b/>
          <w:lang w:val="en-CA"/>
        </w:rPr>
        <w:t>ALLOWS</w:t>
      </w:r>
      <w:r w:rsidRPr="0088092F">
        <w:rPr>
          <w:rFonts w:cs="Arial"/>
          <w:lang w:val="en-CA"/>
        </w:rPr>
        <w:t xml:space="preserve"> the appeal, without 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856BB5" w:rsidRPr="00092F31" w14:paraId="6DF24E9C" w14:textId="77777777" w:rsidTr="00461B74">
        <w:trPr>
          <w:trHeight w:val="576"/>
        </w:trPr>
        <w:tc>
          <w:tcPr>
            <w:tcW w:w="9362" w:type="dxa"/>
            <w:gridSpan w:val="3"/>
            <w:tcBorders>
              <w:top w:val="nil"/>
              <w:bottom w:val="nil"/>
            </w:tcBorders>
          </w:tcPr>
          <w:p w14:paraId="25EF71ED" w14:textId="77777777" w:rsidR="00461B74" w:rsidRPr="0088092F" w:rsidRDefault="00461B74" w:rsidP="00461B74">
            <w:pPr>
              <w:keepNext/>
              <w:rPr>
                <w:lang w:val="en-CA"/>
              </w:rPr>
            </w:pPr>
          </w:p>
        </w:tc>
      </w:tr>
      <w:tr w:rsidR="00856BB5" w:rsidRPr="00092F31" w14:paraId="649665A4" w14:textId="77777777" w:rsidTr="00461B74">
        <w:trPr>
          <w:trHeight w:val="283"/>
        </w:trPr>
        <w:tc>
          <w:tcPr>
            <w:tcW w:w="4682" w:type="dxa"/>
            <w:gridSpan w:val="2"/>
            <w:tcBorders>
              <w:top w:val="nil"/>
              <w:bottom w:val="nil"/>
            </w:tcBorders>
          </w:tcPr>
          <w:p w14:paraId="03BEBBC0" w14:textId="77777777" w:rsidR="00461B74" w:rsidRPr="0088092F" w:rsidRDefault="00461B74" w:rsidP="00461B74">
            <w:pPr>
              <w:keepNext/>
              <w:rPr>
                <w:lang w:val="en-CA"/>
              </w:rPr>
            </w:pPr>
          </w:p>
        </w:tc>
        <w:tc>
          <w:tcPr>
            <w:tcW w:w="4680" w:type="dxa"/>
            <w:tcBorders>
              <w:top w:val="nil"/>
              <w:bottom w:val="single" w:sz="8" w:space="0" w:color="auto"/>
            </w:tcBorders>
          </w:tcPr>
          <w:p w14:paraId="473558A4" w14:textId="77777777" w:rsidR="00461B74" w:rsidRPr="0088092F" w:rsidRDefault="00461B74" w:rsidP="00461B74">
            <w:pPr>
              <w:keepNext/>
              <w:rPr>
                <w:lang w:val="en-CA"/>
              </w:rPr>
            </w:pPr>
          </w:p>
        </w:tc>
      </w:tr>
      <w:tr w:rsidR="00856BB5" w:rsidRPr="00092F31" w14:paraId="716EBF4C" w14:textId="77777777" w:rsidTr="00461B74">
        <w:trPr>
          <w:trHeight w:val="283"/>
        </w:trPr>
        <w:tc>
          <w:tcPr>
            <w:tcW w:w="4682" w:type="dxa"/>
            <w:gridSpan w:val="2"/>
            <w:tcBorders>
              <w:top w:val="nil"/>
            </w:tcBorders>
          </w:tcPr>
          <w:p w14:paraId="78C62B27" w14:textId="77777777" w:rsidR="00461B74" w:rsidRPr="0088092F" w:rsidRDefault="00461B74" w:rsidP="00461B74">
            <w:pPr>
              <w:keepNext/>
              <w:rPr>
                <w:lang w:val="en-CA"/>
              </w:rPr>
            </w:pPr>
          </w:p>
        </w:tc>
        <w:tc>
          <w:tcPr>
            <w:tcW w:w="4680" w:type="dxa"/>
            <w:tcBorders>
              <w:top w:val="single" w:sz="8" w:space="0" w:color="auto"/>
            </w:tcBorders>
          </w:tcPr>
          <w:p w14:paraId="65726A8E" w14:textId="77777777" w:rsidR="00461B74" w:rsidRPr="0088092F" w:rsidRDefault="00461B74" w:rsidP="001F6648">
            <w:pPr>
              <w:keepNext/>
              <w:rPr>
                <w:lang w:val="en-CA"/>
              </w:rPr>
            </w:pPr>
            <w:r w:rsidRPr="0088092F">
              <w:rPr>
                <w:lang w:val="en-CA"/>
              </w:rPr>
              <w:t>STEPHEN W. HAMILTON, J.A.</w:t>
            </w:r>
          </w:p>
        </w:tc>
      </w:tr>
      <w:tr w:rsidR="00856BB5" w:rsidRPr="00092F31" w14:paraId="16C4DFE7" w14:textId="77777777" w:rsidTr="00461B74">
        <w:trPr>
          <w:trHeight w:val="283"/>
        </w:trPr>
        <w:tc>
          <w:tcPr>
            <w:tcW w:w="4682" w:type="dxa"/>
            <w:gridSpan w:val="2"/>
            <w:tcBorders>
              <w:top w:val="nil"/>
            </w:tcBorders>
          </w:tcPr>
          <w:p w14:paraId="40ADAE29" w14:textId="77777777" w:rsidR="00461B74" w:rsidRPr="0088092F" w:rsidRDefault="00461B74" w:rsidP="00461B74">
            <w:pPr>
              <w:keepNext/>
              <w:rPr>
                <w:lang w:val="en-CA"/>
              </w:rPr>
            </w:pPr>
            <w:bookmarkStart w:id="7" w:name="Signature2"/>
          </w:p>
        </w:tc>
        <w:tc>
          <w:tcPr>
            <w:tcW w:w="4680" w:type="dxa"/>
            <w:tcBorders>
              <w:top w:val="nil"/>
            </w:tcBorders>
          </w:tcPr>
          <w:p w14:paraId="61FF35EE" w14:textId="77777777" w:rsidR="00461B74" w:rsidRPr="0088092F" w:rsidRDefault="00461B74" w:rsidP="00461B74">
            <w:pPr>
              <w:keepNext/>
              <w:rPr>
                <w:lang w:val="en-CA"/>
              </w:rPr>
            </w:pPr>
          </w:p>
        </w:tc>
      </w:tr>
      <w:tr w:rsidR="00856BB5" w:rsidRPr="00092F31" w14:paraId="4F737616" w14:textId="77777777" w:rsidTr="00461B74">
        <w:trPr>
          <w:trHeight w:val="283"/>
        </w:trPr>
        <w:tc>
          <w:tcPr>
            <w:tcW w:w="4682" w:type="dxa"/>
            <w:gridSpan w:val="2"/>
            <w:tcBorders>
              <w:top w:val="nil"/>
              <w:bottom w:val="nil"/>
            </w:tcBorders>
          </w:tcPr>
          <w:p w14:paraId="19CE5EBD" w14:textId="77777777" w:rsidR="00461B74" w:rsidRPr="0088092F" w:rsidRDefault="00461B74" w:rsidP="00461B74">
            <w:pPr>
              <w:keepNext/>
              <w:rPr>
                <w:lang w:val="en-CA"/>
              </w:rPr>
            </w:pPr>
          </w:p>
        </w:tc>
        <w:tc>
          <w:tcPr>
            <w:tcW w:w="4680" w:type="dxa"/>
            <w:tcBorders>
              <w:top w:val="nil"/>
              <w:bottom w:val="single" w:sz="8" w:space="0" w:color="auto"/>
            </w:tcBorders>
          </w:tcPr>
          <w:p w14:paraId="1D152685" w14:textId="77777777" w:rsidR="00461B74" w:rsidRPr="0088092F" w:rsidRDefault="00461B74" w:rsidP="00461B74">
            <w:pPr>
              <w:keepNext/>
              <w:rPr>
                <w:lang w:val="en-CA"/>
              </w:rPr>
            </w:pPr>
          </w:p>
        </w:tc>
      </w:tr>
      <w:tr w:rsidR="00856BB5" w:rsidRPr="0088092F" w14:paraId="50205399" w14:textId="77777777" w:rsidTr="00461B74">
        <w:trPr>
          <w:trHeight w:val="283"/>
        </w:trPr>
        <w:tc>
          <w:tcPr>
            <w:tcW w:w="4682" w:type="dxa"/>
            <w:gridSpan w:val="2"/>
            <w:tcBorders>
              <w:top w:val="nil"/>
            </w:tcBorders>
          </w:tcPr>
          <w:p w14:paraId="1B86058F" w14:textId="77777777" w:rsidR="00461B74" w:rsidRPr="0088092F" w:rsidRDefault="00461B74" w:rsidP="00461B74">
            <w:pPr>
              <w:keepNext/>
              <w:rPr>
                <w:lang w:val="en-CA"/>
              </w:rPr>
            </w:pPr>
          </w:p>
        </w:tc>
        <w:tc>
          <w:tcPr>
            <w:tcW w:w="4680" w:type="dxa"/>
            <w:tcBorders>
              <w:top w:val="single" w:sz="8" w:space="0" w:color="auto"/>
            </w:tcBorders>
          </w:tcPr>
          <w:p w14:paraId="7F8FF113" w14:textId="77777777" w:rsidR="00461B74" w:rsidRPr="0088092F" w:rsidRDefault="00461B74" w:rsidP="001F6648">
            <w:pPr>
              <w:keepNext/>
              <w:rPr>
                <w:lang w:val="en-CA"/>
              </w:rPr>
            </w:pPr>
            <w:r w:rsidRPr="0088092F">
              <w:rPr>
                <w:lang w:val="en-CA"/>
              </w:rPr>
              <w:t>BENOÎT MOORE, J.A.</w:t>
            </w:r>
          </w:p>
        </w:tc>
      </w:tr>
      <w:tr w:rsidR="00856BB5" w:rsidRPr="0088092F" w14:paraId="7433F00B" w14:textId="77777777" w:rsidTr="00461B74">
        <w:trPr>
          <w:trHeight w:val="283"/>
        </w:trPr>
        <w:tc>
          <w:tcPr>
            <w:tcW w:w="4682" w:type="dxa"/>
            <w:gridSpan w:val="2"/>
            <w:tcBorders>
              <w:top w:val="nil"/>
            </w:tcBorders>
          </w:tcPr>
          <w:p w14:paraId="0333EB6E" w14:textId="77777777" w:rsidR="00461B74" w:rsidRPr="0088092F" w:rsidRDefault="00461B74" w:rsidP="00461B74">
            <w:pPr>
              <w:keepNext/>
              <w:rPr>
                <w:lang w:val="en-CA"/>
              </w:rPr>
            </w:pPr>
            <w:bookmarkStart w:id="8" w:name="Signature3"/>
            <w:bookmarkEnd w:id="7"/>
          </w:p>
        </w:tc>
        <w:tc>
          <w:tcPr>
            <w:tcW w:w="4680" w:type="dxa"/>
            <w:tcBorders>
              <w:top w:val="nil"/>
            </w:tcBorders>
          </w:tcPr>
          <w:p w14:paraId="79DB7C13" w14:textId="77777777" w:rsidR="00461B74" w:rsidRPr="0088092F" w:rsidRDefault="00461B74" w:rsidP="00461B74">
            <w:pPr>
              <w:keepNext/>
              <w:rPr>
                <w:lang w:val="en-CA"/>
              </w:rPr>
            </w:pPr>
          </w:p>
        </w:tc>
      </w:tr>
      <w:tr w:rsidR="00856BB5" w:rsidRPr="0088092F" w14:paraId="5F686709" w14:textId="77777777" w:rsidTr="00461B74">
        <w:trPr>
          <w:trHeight w:val="68"/>
        </w:trPr>
        <w:tc>
          <w:tcPr>
            <w:tcW w:w="4682" w:type="dxa"/>
            <w:gridSpan w:val="2"/>
            <w:tcBorders>
              <w:top w:val="nil"/>
              <w:bottom w:val="nil"/>
            </w:tcBorders>
          </w:tcPr>
          <w:p w14:paraId="078CD29B" w14:textId="77777777" w:rsidR="00461B74" w:rsidRPr="0088092F" w:rsidRDefault="00461B74" w:rsidP="00461B74">
            <w:pPr>
              <w:keepNext/>
              <w:rPr>
                <w:lang w:val="en-CA"/>
              </w:rPr>
            </w:pPr>
          </w:p>
        </w:tc>
        <w:tc>
          <w:tcPr>
            <w:tcW w:w="4680" w:type="dxa"/>
            <w:tcBorders>
              <w:top w:val="nil"/>
              <w:bottom w:val="single" w:sz="8" w:space="0" w:color="auto"/>
            </w:tcBorders>
          </w:tcPr>
          <w:p w14:paraId="40783A7B" w14:textId="77777777" w:rsidR="00461B74" w:rsidRPr="0088092F" w:rsidRDefault="00461B74" w:rsidP="00461B74">
            <w:pPr>
              <w:keepNext/>
              <w:rPr>
                <w:lang w:val="en-CA"/>
              </w:rPr>
            </w:pPr>
          </w:p>
        </w:tc>
      </w:tr>
      <w:tr w:rsidR="00856BB5" w:rsidRPr="0088092F" w14:paraId="452A0214" w14:textId="77777777" w:rsidTr="00461B74">
        <w:trPr>
          <w:trHeight w:val="283"/>
        </w:trPr>
        <w:tc>
          <w:tcPr>
            <w:tcW w:w="4682" w:type="dxa"/>
            <w:gridSpan w:val="2"/>
            <w:tcBorders>
              <w:top w:val="nil"/>
            </w:tcBorders>
          </w:tcPr>
          <w:p w14:paraId="4345A2C1" w14:textId="77777777" w:rsidR="00461B74" w:rsidRPr="0088092F" w:rsidRDefault="00461B74" w:rsidP="00461B74">
            <w:pPr>
              <w:keepNext/>
              <w:rPr>
                <w:lang w:val="en-CA"/>
              </w:rPr>
            </w:pPr>
          </w:p>
        </w:tc>
        <w:tc>
          <w:tcPr>
            <w:tcW w:w="4680" w:type="dxa"/>
            <w:tcBorders>
              <w:top w:val="single" w:sz="8" w:space="0" w:color="auto"/>
            </w:tcBorders>
          </w:tcPr>
          <w:p w14:paraId="6181A1D3" w14:textId="77777777" w:rsidR="00461B74" w:rsidRPr="0088092F" w:rsidRDefault="00461B74" w:rsidP="001F6648">
            <w:pPr>
              <w:keepNext/>
              <w:rPr>
                <w:lang w:val="en-CA"/>
              </w:rPr>
            </w:pPr>
            <w:r w:rsidRPr="0088092F">
              <w:rPr>
                <w:lang w:val="en-CA"/>
              </w:rPr>
              <w:t>GUY COURNOYER, J.A.</w:t>
            </w:r>
          </w:p>
        </w:tc>
      </w:tr>
      <w:bookmarkEnd w:id="8"/>
      <w:tr w:rsidR="00856BB5" w:rsidRPr="0088092F" w14:paraId="1B3BD070" w14:textId="77777777" w:rsidTr="00461B74">
        <w:tc>
          <w:tcPr>
            <w:tcW w:w="9362" w:type="dxa"/>
            <w:gridSpan w:val="3"/>
          </w:tcPr>
          <w:p w14:paraId="779E9EB7" w14:textId="77777777" w:rsidR="00461B74" w:rsidRPr="0088092F" w:rsidRDefault="00461B74" w:rsidP="00461B74">
            <w:pPr>
              <w:keepNext/>
              <w:rPr>
                <w:lang w:val="en-CA"/>
              </w:rPr>
            </w:pPr>
          </w:p>
        </w:tc>
      </w:tr>
      <w:tr w:rsidR="00856BB5" w:rsidRPr="0088092F" w14:paraId="11ABA26E" w14:textId="77777777" w:rsidTr="00461B74">
        <w:tc>
          <w:tcPr>
            <w:tcW w:w="9362" w:type="dxa"/>
            <w:gridSpan w:val="3"/>
          </w:tcPr>
          <w:p w14:paraId="60B81933" w14:textId="77777777" w:rsidR="00461B74" w:rsidRPr="0088092F" w:rsidRDefault="00461B74" w:rsidP="00461B74">
            <w:pPr>
              <w:pStyle w:val="zSoquijdatNomProcureurDem"/>
              <w:rPr>
                <w:lang w:val="en-CA"/>
              </w:rPr>
            </w:pPr>
            <w:r w:rsidRPr="0088092F">
              <w:rPr>
                <w:lang w:val="en-CA"/>
              </w:rPr>
              <w:t>Jean-François Turbide Labbé</w:t>
            </w:r>
          </w:p>
        </w:tc>
      </w:tr>
      <w:tr w:rsidR="00856BB5" w:rsidRPr="0088092F" w14:paraId="3FC2CBB4" w14:textId="77777777" w:rsidTr="00461B74">
        <w:tc>
          <w:tcPr>
            <w:tcW w:w="9362" w:type="dxa"/>
            <w:gridSpan w:val="3"/>
          </w:tcPr>
          <w:p w14:paraId="008314D4" w14:textId="77777777" w:rsidR="00461B74" w:rsidRPr="0088092F" w:rsidRDefault="001F6648" w:rsidP="00461B74">
            <w:pPr>
              <w:pStyle w:val="zSoquijdatCabinetProcureurDem"/>
              <w:rPr>
                <w:lang w:val="en-CA"/>
              </w:rPr>
            </w:pPr>
            <w:r w:rsidRPr="0088092F">
              <w:rPr>
                <w:lang w:val="en-CA"/>
              </w:rPr>
              <w:t>Not represented</w:t>
            </w:r>
          </w:p>
        </w:tc>
      </w:tr>
      <w:tr w:rsidR="00856BB5" w:rsidRPr="0088092F" w14:paraId="34BB9513" w14:textId="77777777" w:rsidTr="00461B74">
        <w:tc>
          <w:tcPr>
            <w:tcW w:w="9362" w:type="dxa"/>
            <w:gridSpan w:val="3"/>
          </w:tcPr>
          <w:p w14:paraId="2F0D8532" w14:textId="77777777" w:rsidR="00461B74" w:rsidRPr="0088092F" w:rsidRDefault="00461B74" w:rsidP="00461B74">
            <w:pPr>
              <w:rPr>
                <w:lang w:val="en-CA"/>
              </w:rPr>
            </w:pPr>
          </w:p>
        </w:tc>
      </w:tr>
      <w:tr w:rsidR="00856BB5" w:rsidRPr="0088092F" w14:paraId="5086F4BE" w14:textId="77777777" w:rsidTr="00461B74">
        <w:tc>
          <w:tcPr>
            <w:tcW w:w="9362" w:type="dxa"/>
            <w:gridSpan w:val="3"/>
          </w:tcPr>
          <w:p w14:paraId="1B52BF70" w14:textId="77777777" w:rsidR="00461B74" w:rsidRPr="0088092F" w:rsidRDefault="00461B74" w:rsidP="001F6648">
            <w:pPr>
              <w:pStyle w:val="zSoquijdatNomProcureurDef"/>
              <w:rPr>
                <w:lang w:val="en-CA"/>
              </w:rPr>
            </w:pPr>
            <w:r w:rsidRPr="0088092F">
              <w:rPr>
                <w:lang w:val="en-CA"/>
              </w:rPr>
              <w:t>Mtre David Tremblay</w:t>
            </w:r>
          </w:p>
        </w:tc>
      </w:tr>
      <w:tr w:rsidR="00856BB5" w:rsidRPr="0088092F" w14:paraId="0408E75E" w14:textId="77777777" w:rsidTr="00461B74">
        <w:tc>
          <w:tcPr>
            <w:tcW w:w="9362" w:type="dxa"/>
            <w:gridSpan w:val="3"/>
          </w:tcPr>
          <w:p w14:paraId="6467FAAF" w14:textId="77777777" w:rsidR="00461B74" w:rsidRPr="0088092F" w:rsidRDefault="00461B74" w:rsidP="00461B74">
            <w:pPr>
              <w:pStyle w:val="zSoquijdatCabinetProcureurDef"/>
              <w:rPr>
                <w:lang w:val="en-CA"/>
              </w:rPr>
            </w:pPr>
            <w:r w:rsidRPr="0088092F">
              <w:rPr>
                <w:lang w:val="en-CA"/>
              </w:rPr>
              <w:t>BERNARD ROY (JUSTICE QUÉBEC)</w:t>
            </w:r>
          </w:p>
        </w:tc>
      </w:tr>
      <w:tr w:rsidR="00856BB5" w:rsidRPr="00092F31" w14:paraId="016CB043" w14:textId="77777777" w:rsidTr="00461B74">
        <w:tc>
          <w:tcPr>
            <w:tcW w:w="9362" w:type="dxa"/>
            <w:gridSpan w:val="3"/>
          </w:tcPr>
          <w:p w14:paraId="64A0A1D1" w14:textId="77777777" w:rsidR="00461B74" w:rsidRPr="0088092F" w:rsidRDefault="001F6648" w:rsidP="001F6648">
            <w:pPr>
              <w:pStyle w:val="zSoquijlblProcureurDef"/>
              <w:rPr>
                <w:lang w:val="en-CA"/>
              </w:rPr>
            </w:pPr>
            <w:r w:rsidRPr="0088092F">
              <w:rPr>
                <w:lang w:val="en-CA"/>
              </w:rPr>
              <w:t xml:space="preserve">Counsel for </w:t>
            </w:r>
            <w:r w:rsidR="00461B74" w:rsidRPr="0088092F">
              <w:rPr>
                <w:lang w:val="en-CA"/>
              </w:rPr>
              <w:t>the</w:t>
            </w:r>
            <w:r w:rsidRPr="0088092F">
              <w:rPr>
                <w:lang w:val="en-CA"/>
              </w:rPr>
              <w:t xml:space="preserve"> </w:t>
            </w:r>
            <w:r w:rsidR="00461B74" w:rsidRPr="0088092F">
              <w:rPr>
                <w:lang w:val="en-CA"/>
              </w:rPr>
              <w:t>respondent</w:t>
            </w:r>
            <w:r w:rsidRPr="0088092F">
              <w:rPr>
                <w:lang w:val="en-CA"/>
              </w:rPr>
              <w:t xml:space="preserve"> and the </w:t>
            </w:r>
            <w:r w:rsidR="00461B74" w:rsidRPr="0088092F">
              <w:rPr>
                <w:lang w:val="en-CA"/>
              </w:rPr>
              <w:t>impleaded</w:t>
            </w:r>
            <w:r w:rsidRPr="0088092F">
              <w:rPr>
                <w:lang w:val="en-CA"/>
              </w:rPr>
              <w:t xml:space="preserve"> </w:t>
            </w:r>
            <w:r w:rsidR="00461B74" w:rsidRPr="0088092F">
              <w:rPr>
                <w:lang w:val="en-CA"/>
              </w:rPr>
              <w:t>party</w:t>
            </w:r>
          </w:p>
        </w:tc>
      </w:tr>
      <w:tr w:rsidR="00856BB5" w:rsidRPr="00092F31" w14:paraId="7E7B1FD4" w14:textId="77777777" w:rsidTr="00461B74">
        <w:tc>
          <w:tcPr>
            <w:tcW w:w="9362" w:type="dxa"/>
            <w:gridSpan w:val="3"/>
          </w:tcPr>
          <w:p w14:paraId="41B2ABF1" w14:textId="77777777" w:rsidR="00461B74" w:rsidRPr="0088092F" w:rsidRDefault="00461B74" w:rsidP="00461B74">
            <w:pPr>
              <w:rPr>
                <w:lang w:val="en-CA"/>
              </w:rPr>
            </w:pPr>
          </w:p>
        </w:tc>
      </w:tr>
      <w:tr w:rsidR="00856BB5" w:rsidRPr="0088092F" w14:paraId="24266E3F" w14:textId="77777777" w:rsidTr="00461B74">
        <w:tc>
          <w:tcPr>
            <w:tcW w:w="1997" w:type="dxa"/>
          </w:tcPr>
          <w:p w14:paraId="5481072B" w14:textId="77777777" w:rsidR="00461B74" w:rsidRPr="0088092F" w:rsidRDefault="001F6648" w:rsidP="00461B74">
            <w:pPr>
              <w:pStyle w:val="zSoquijlblDateAudience"/>
              <w:rPr>
                <w:lang w:val="en-CA"/>
              </w:rPr>
            </w:pPr>
            <w:r w:rsidRPr="0088092F">
              <w:rPr>
                <w:lang w:val="en-CA"/>
              </w:rPr>
              <w:t>Date of hearing:</w:t>
            </w:r>
          </w:p>
        </w:tc>
        <w:tc>
          <w:tcPr>
            <w:tcW w:w="7365" w:type="dxa"/>
            <w:gridSpan w:val="2"/>
          </w:tcPr>
          <w:p w14:paraId="74FCDFE6" w14:textId="77777777" w:rsidR="00461B74" w:rsidRPr="0088092F" w:rsidRDefault="001F6648" w:rsidP="00461B74">
            <w:pPr>
              <w:pStyle w:val="zSoquijdatDateAudience"/>
              <w:rPr>
                <w:lang w:val="en-CA"/>
              </w:rPr>
            </w:pPr>
            <w:r w:rsidRPr="0088092F">
              <w:rPr>
                <w:lang w:val="en-CA"/>
              </w:rPr>
              <w:t>August 5, 2021</w:t>
            </w:r>
          </w:p>
        </w:tc>
      </w:tr>
      <w:bookmarkEnd w:id="6"/>
    </w:tbl>
    <w:p w14:paraId="71602BBE" w14:textId="77777777" w:rsidR="00461B74" w:rsidRPr="0088092F" w:rsidRDefault="00461B74" w:rsidP="00461B74">
      <w:pPr>
        <w:rPr>
          <w:lang w:val="en-CA"/>
        </w:rPr>
      </w:pPr>
    </w:p>
    <w:p w14:paraId="117B1575" w14:textId="77777777" w:rsidR="00461B74" w:rsidRPr="0088092F" w:rsidRDefault="00461B74" w:rsidP="00461B74">
      <w:pPr>
        <w:rPr>
          <w:lang w:val="en-CA"/>
        </w:rPr>
        <w:sectPr w:rsidR="00461B74" w:rsidRPr="0088092F" w:rsidSect="00461B7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560" w:right="1008" w:bottom="1440" w:left="1872" w:header="1440" w:footer="792" w:gutter="0"/>
          <w:cols w:space="720"/>
          <w:formProt w:val="0"/>
          <w:titlePg/>
          <w:docGrid w:linePitch="326"/>
        </w:sectPr>
      </w:pPr>
      <w:bookmarkStart w:id="9" w:name="Opinion"/>
    </w:p>
    <w:tbl>
      <w:tblPr>
        <w:tblW w:w="0" w:type="auto"/>
        <w:tblLayout w:type="fixed"/>
        <w:tblCellMar>
          <w:left w:w="0" w:type="dxa"/>
          <w:right w:w="0" w:type="dxa"/>
        </w:tblCellMar>
        <w:tblLook w:val="0000" w:firstRow="0" w:lastRow="0" w:firstColumn="0" w:lastColumn="0" w:noHBand="0" w:noVBand="0"/>
      </w:tblPr>
      <w:tblGrid>
        <w:gridCol w:w="9360"/>
      </w:tblGrid>
      <w:tr w:rsidR="00856BB5" w:rsidRPr="0088092F" w14:paraId="357BD633" w14:textId="77777777" w:rsidTr="00461B74">
        <w:tc>
          <w:tcPr>
            <w:tcW w:w="9360" w:type="dxa"/>
            <w:tcBorders>
              <w:bottom w:val="single" w:sz="8" w:space="0" w:color="auto"/>
            </w:tcBorders>
          </w:tcPr>
          <w:p w14:paraId="39F2DFAE" w14:textId="77777777" w:rsidR="00461B74" w:rsidRPr="0088092F" w:rsidRDefault="00461B74" w:rsidP="00461B74">
            <w:pPr>
              <w:rPr>
                <w:lang w:val="en-CA"/>
              </w:rPr>
            </w:pPr>
          </w:p>
        </w:tc>
      </w:tr>
      <w:tr w:rsidR="00856BB5" w:rsidRPr="0088092F" w14:paraId="122BEBCE" w14:textId="77777777" w:rsidTr="00461B74">
        <w:tc>
          <w:tcPr>
            <w:tcW w:w="9360" w:type="dxa"/>
            <w:tcBorders>
              <w:top w:val="single" w:sz="8" w:space="0" w:color="auto"/>
            </w:tcBorders>
          </w:tcPr>
          <w:p w14:paraId="6AD54102" w14:textId="77777777" w:rsidR="00461B74" w:rsidRPr="0088092F" w:rsidRDefault="00461B74" w:rsidP="00461B74">
            <w:pPr>
              <w:rPr>
                <w:lang w:val="en-CA"/>
              </w:rPr>
            </w:pPr>
          </w:p>
        </w:tc>
      </w:tr>
      <w:tr w:rsidR="00856BB5" w:rsidRPr="00092F31" w14:paraId="79764601" w14:textId="77777777" w:rsidTr="00461B74">
        <w:tc>
          <w:tcPr>
            <w:tcW w:w="9360" w:type="dxa"/>
          </w:tcPr>
          <w:p w14:paraId="3A01FDE6" w14:textId="77777777" w:rsidR="00461B74" w:rsidRPr="0088092F" w:rsidRDefault="001F6648" w:rsidP="00461B74">
            <w:pPr>
              <w:pStyle w:val="zSoquijlblOpinionJuge"/>
              <w:rPr>
                <w:lang w:val="en-CA"/>
              </w:rPr>
            </w:pPr>
            <w:r w:rsidRPr="0088092F">
              <w:rPr>
                <w:lang w:val="en-CA"/>
              </w:rPr>
              <w:t>REASONS OF COURNOYER, J.A.</w:t>
            </w:r>
          </w:p>
        </w:tc>
      </w:tr>
      <w:tr w:rsidR="00856BB5" w:rsidRPr="00092F31" w14:paraId="4BC2144D" w14:textId="77777777" w:rsidTr="00461B74">
        <w:tc>
          <w:tcPr>
            <w:tcW w:w="9360" w:type="dxa"/>
            <w:tcBorders>
              <w:bottom w:val="single" w:sz="8" w:space="0" w:color="auto"/>
            </w:tcBorders>
          </w:tcPr>
          <w:p w14:paraId="49689251" w14:textId="77777777" w:rsidR="00461B74" w:rsidRPr="0088092F" w:rsidRDefault="00461B74" w:rsidP="00461B74">
            <w:pPr>
              <w:rPr>
                <w:lang w:val="en-CA"/>
              </w:rPr>
            </w:pPr>
          </w:p>
        </w:tc>
      </w:tr>
      <w:tr w:rsidR="00856BB5" w:rsidRPr="00092F31" w14:paraId="44216E3D" w14:textId="77777777" w:rsidTr="00461B74">
        <w:tc>
          <w:tcPr>
            <w:tcW w:w="9360" w:type="dxa"/>
            <w:tcBorders>
              <w:top w:val="single" w:sz="8" w:space="0" w:color="auto"/>
            </w:tcBorders>
          </w:tcPr>
          <w:p w14:paraId="6F91B6DF" w14:textId="77777777" w:rsidR="00461B74" w:rsidRPr="0088092F" w:rsidRDefault="00461B74" w:rsidP="00461B74">
            <w:pPr>
              <w:rPr>
                <w:lang w:val="en-CA"/>
              </w:rPr>
            </w:pPr>
          </w:p>
        </w:tc>
      </w:tr>
    </w:tbl>
    <w:sdt>
      <w:sdtPr>
        <w:rPr>
          <w:rFonts w:ascii="Arial" w:eastAsia="Times New Roman" w:hAnsi="Arial" w:cs="Times New Roman"/>
          <w:color w:val="auto"/>
          <w:sz w:val="24"/>
          <w:szCs w:val="20"/>
          <w:lang w:val="en-CA" w:eastAsia="fr-FR"/>
        </w:rPr>
        <w:id w:val="647478636"/>
        <w:docPartObj>
          <w:docPartGallery w:val="Table of Contents"/>
          <w:docPartUnique/>
        </w:docPartObj>
      </w:sdtPr>
      <w:sdtEndPr>
        <w:rPr>
          <w:b/>
          <w:bCs/>
        </w:rPr>
      </w:sdtEndPr>
      <w:sdtContent>
        <w:p w14:paraId="767DDB49" w14:textId="1F71B07E" w:rsidR="00461B74" w:rsidRPr="0088092F" w:rsidRDefault="00461B74" w:rsidP="00503187">
          <w:pPr>
            <w:pStyle w:val="En-ttedetabledesmatires"/>
            <w:jc w:val="center"/>
            <w:rPr>
              <w:lang w:val="en-CA"/>
            </w:rPr>
          </w:pPr>
          <w:r w:rsidRPr="0088092F">
            <w:rPr>
              <w:rFonts w:ascii="Arial" w:hAnsi="Arial" w:cs="Arial"/>
              <w:b/>
              <w:color w:val="auto"/>
              <w:sz w:val="24"/>
              <w:szCs w:val="24"/>
              <w:lang w:val="en-CA"/>
            </w:rPr>
            <w:t xml:space="preserve">TABLE </w:t>
          </w:r>
          <w:r w:rsidR="00503187">
            <w:rPr>
              <w:rFonts w:ascii="Arial" w:hAnsi="Arial" w:cs="Arial"/>
              <w:b/>
              <w:color w:val="auto"/>
              <w:sz w:val="24"/>
              <w:szCs w:val="24"/>
              <w:lang w:val="en-CA"/>
            </w:rPr>
            <w:t>OF CONTENTS</w:t>
          </w:r>
        </w:p>
        <w:p w14:paraId="55528291" w14:textId="77777777" w:rsidR="00461B74" w:rsidRPr="00D7563F" w:rsidRDefault="00461B74" w:rsidP="00461B74">
          <w:pPr>
            <w:rPr>
              <w:b/>
              <w:bCs/>
              <w:noProof/>
              <w:lang w:val="en-CA"/>
            </w:rPr>
          </w:pPr>
          <w:r w:rsidRPr="0088092F">
            <w:rPr>
              <w:b/>
              <w:bCs/>
              <w:noProof/>
              <w:lang w:val="en-CA"/>
            </w:rPr>
            <w:t xml:space="preserve">I - </w:t>
          </w:r>
          <w:r w:rsidRPr="0088092F">
            <w:rPr>
              <w:b/>
              <w:bCs/>
              <w:noProof/>
              <w:lang w:val="en-CA"/>
            </w:rPr>
            <w:tab/>
          </w:r>
          <w:r w:rsidRPr="00D7563F">
            <w:rPr>
              <w:b/>
              <w:bCs/>
              <w:noProof/>
              <w:lang w:val="en-CA"/>
            </w:rPr>
            <w:t>INTRODUCTION</w:t>
          </w:r>
          <w:r w:rsidRPr="00D7563F">
            <w:rPr>
              <w:b/>
              <w:bCs/>
              <w:noProof/>
              <w:lang w:val="en-CA"/>
            </w:rPr>
            <w:tab/>
            <w:t>4</w:t>
          </w:r>
        </w:p>
        <w:p w14:paraId="5967E90A" w14:textId="43269D22" w:rsidR="00461B74" w:rsidRPr="00C82E5D" w:rsidRDefault="00461B74" w:rsidP="00461B74">
          <w:pPr>
            <w:rPr>
              <w:b/>
              <w:bCs/>
              <w:noProof/>
              <w:lang w:val="en-CA"/>
            </w:rPr>
          </w:pPr>
          <w:r w:rsidRPr="00C82E5D">
            <w:rPr>
              <w:b/>
              <w:bCs/>
              <w:noProof/>
              <w:lang w:val="en-CA"/>
            </w:rPr>
            <w:t>II -</w:t>
          </w:r>
          <w:r w:rsidRPr="00C82E5D">
            <w:rPr>
              <w:b/>
              <w:bCs/>
              <w:noProof/>
              <w:lang w:val="en-CA"/>
            </w:rPr>
            <w:tab/>
          </w:r>
          <w:r w:rsidR="00C82E5D" w:rsidRPr="00C82E5D">
            <w:rPr>
              <w:b/>
              <w:bCs/>
              <w:noProof/>
              <w:lang w:val="en-CA"/>
            </w:rPr>
            <w:t>BACKGROUND</w:t>
          </w:r>
          <w:r w:rsidR="0088092F" w:rsidRPr="00C82E5D">
            <w:rPr>
              <w:b/>
              <w:bCs/>
              <w:noProof/>
              <w:lang w:val="en-CA"/>
            </w:rPr>
            <w:t xml:space="preserve"> </w:t>
          </w:r>
          <w:r w:rsidRPr="00C82E5D">
            <w:rPr>
              <w:b/>
              <w:bCs/>
              <w:noProof/>
              <w:lang w:val="en-CA"/>
            </w:rPr>
            <w:tab/>
            <w:t>5</w:t>
          </w:r>
        </w:p>
        <w:p w14:paraId="026401D9" w14:textId="1DF3686F" w:rsidR="00461B74" w:rsidRPr="00C82E5D" w:rsidRDefault="00461B74" w:rsidP="00461B74">
          <w:pPr>
            <w:rPr>
              <w:b/>
              <w:bCs/>
              <w:noProof/>
              <w:lang w:val="en-CA"/>
            </w:rPr>
          </w:pPr>
          <w:r w:rsidRPr="00C82E5D">
            <w:rPr>
              <w:b/>
              <w:bCs/>
              <w:noProof/>
              <w:lang w:val="en-CA"/>
            </w:rPr>
            <w:t>III -</w:t>
          </w:r>
          <w:r w:rsidRPr="00C82E5D">
            <w:rPr>
              <w:b/>
              <w:bCs/>
              <w:noProof/>
              <w:lang w:val="en-CA"/>
            </w:rPr>
            <w:tab/>
            <w:t>FA</w:t>
          </w:r>
          <w:r w:rsidR="00C82E5D" w:rsidRPr="00C82E5D">
            <w:rPr>
              <w:b/>
              <w:bCs/>
              <w:noProof/>
              <w:lang w:val="en-CA"/>
            </w:rPr>
            <w:t>C</w:t>
          </w:r>
          <w:r w:rsidRPr="00C82E5D">
            <w:rPr>
              <w:b/>
              <w:bCs/>
              <w:noProof/>
              <w:lang w:val="en-CA"/>
            </w:rPr>
            <w:t>TS</w:t>
          </w:r>
          <w:r w:rsidRPr="00C82E5D">
            <w:rPr>
              <w:b/>
              <w:bCs/>
              <w:noProof/>
              <w:lang w:val="en-CA"/>
            </w:rPr>
            <w:tab/>
            <w:t>8</w:t>
          </w:r>
        </w:p>
        <w:p w14:paraId="51A793CF" w14:textId="0EB70D5E" w:rsidR="00461B74" w:rsidRPr="00F91E9F" w:rsidRDefault="00461B74" w:rsidP="00461B74">
          <w:pPr>
            <w:rPr>
              <w:b/>
              <w:bCs/>
              <w:noProof/>
              <w:lang w:val="en-CA"/>
            </w:rPr>
          </w:pPr>
          <w:r w:rsidRPr="00F91E9F">
            <w:rPr>
              <w:b/>
              <w:bCs/>
              <w:noProof/>
              <w:lang w:val="en-CA"/>
            </w:rPr>
            <w:t>A -</w:t>
          </w:r>
          <w:r w:rsidRPr="00F91E9F">
            <w:rPr>
              <w:b/>
              <w:bCs/>
              <w:noProof/>
              <w:lang w:val="en-CA"/>
            </w:rPr>
            <w:tab/>
          </w:r>
          <w:r w:rsidR="00F91E9F" w:rsidRPr="00F91E9F">
            <w:rPr>
              <w:b/>
              <w:bCs/>
              <w:noProof/>
              <w:lang w:val="en-CA"/>
            </w:rPr>
            <w:t xml:space="preserve">The restrictive classification at the </w:t>
          </w:r>
          <w:r w:rsidRPr="00F91E9F">
            <w:rPr>
              <w:b/>
              <w:bCs/>
              <w:noProof/>
              <w:lang w:val="en-CA"/>
            </w:rPr>
            <w:t>Sorel-Tracy</w:t>
          </w:r>
          <w:r w:rsidR="00F91E9F" w:rsidRPr="00F91E9F">
            <w:rPr>
              <w:b/>
              <w:bCs/>
              <w:noProof/>
              <w:lang w:val="en-CA"/>
            </w:rPr>
            <w:t xml:space="preserve"> correctional facility</w:t>
          </w:r>
          <w:r w:rsidRPr="00F91E9F">
            <w:rPr>
              <w:b/>
              <w:bCs/>
              <w:noProof/>
              <w:lang w:val="en-CA"/>
            </w:rPr>
            <w:tab/>
            <w:t>8</w:t>
          </w:r>
        </w:p>
        <w:p w14:paraId="24DE4BF6" w14:textId="4BCE48E8" w:rsidR="00461B74" w:rsidRPr="00F91E9F" w:rsidRDefault="00461B74" w:rsidP="00461B74">
          <w:pPr>
            <w:rPr>
              <w:b/>
              <w:bCs/>
              <w:noProof/>
              <w:lang w:val="en-CA"/>
            </w:rPr>
          </w:pPr>
          <w:r w:rsidRPr="00F91E9F">
            <w:rPr>
              <w:b/>
              <w:bCs/>
              <w:noProof/>
              <w:lang w:val="en-CA"/>
            </w:rPr>
            <w:t xml:space="preserve">B - </w:t>
          </w:r>
          <w:r w:rsidRPr="00F91E9F">
            <w:rPr>
              <w:b/>
              <w:bCs/>
              <w:noProof/>
              <w:lang w:val="en-CA"/>
            </w:rPr>
            <w:tab/>
          </w:r>
          <w:r w:rsidR="00F91E9F" w:rsidRPr="00F91E9F">
            <w:rPr>
              <w:b/>
              <w:bCs/>
              <w:noProof/>
              <w:lang w:val="en-CA"/>
            </w:rPr>
            <w:t>The appellant’s segregation in the MS area</w:t>
          </w:r>
          <w:r w:rsidRPr="00F91E9F">
            <w:rPr>
              <w:b/>
              <w:bCs/>
              <w:noProof/>
              <w:lang w:val="en-CA"/>
            </w:rPr>
            <w:tab/>
          </w:r>
          <w:r w:rsidR="00F91E9F">
            <w:rPr>
              <w:b/>
              <w:bCs/>
              <w:noProof/>
              <w:lang w:val="en-CA"/>
            </w:rPr>
            <w:t>9</w:t>
          </w:r>
        </w:p>
        <w:p w14:paraId="7F14EC16" w14:textId="1087E595" w:rsidR="00461B74" w:rsidRPr="00F91E9F" w:rsidRDefault="00461B74" w:rsidP="00461B74">
          <w:pPr>
            <w:rPr>
              <w:b/>
              <w:bCs/>
              <w:noProof/>
              <w:lang w:val="en-CA"/>
            </w:rPr>
          </w:pPr>
          <w:r w:rsidRPr="00F91E9F">
            <w:rPr>
              <w:b/>
              <w:bCs/>
              <w:noProof/>
              <w:lang w:val="en-CA"/>
            </w:rPr>
            <w:t>IV -</w:t>
          </w:r>
          <w:r w:rsidRPr="00F91E9F">
            <w:rPr>
              <w:b/>
              <w:bCs/>
              <w:noProof/>
              <w:lang w:val="en-CA"/>
            </w:rPr>
            <w:tab/>
          </w:r>
          <w:r w:rsidR="00F91E9F" w:rsidRPr="00F91E9F">
            <w:rPr>
              <w:b/>
              <w:bCs/>
              <w:noProof/>
              <w:lang w:val="en-CA"/>
            </w:rPr>
            <w:t>ASSESSMENT OF THE APPELLANT’S MENTAL HEALTH</w:t>
          </w:r>
          <w:r w:rsidRPr="00F91E9F">
            <w:rPr>
              <w:b/>
              <w:bCs/>
              <w:noProof/>
              <w:lang w:val="en-CA"/>
            </w:rPr>
            <w:tab/>
            <w:t>12</w:t>
          </w:r>
        </w:p>
        <w:p w14:paraId="60B21262" w14:textId="0DEE0788" w:rsidR="00461B74" w:rsidRPr="00F91E9F" w:rsidRDefault="00461B74" w:rsidP="00461B74">
          <w:pPr>
            <w:rPr>
              <w:b/>
              <w:bCs/>
              <w:noProof/>
              <w:lang w:val="en-CA"/>
            </w:rPr>
          </w:pPr>
          <w:r w:rsidRPr="00F91E9F">
            <w:rPr>
              <w:b/>
              <w:bCs/>
              <w:noProof/>
              <w:lang w:val="en-CA"/>
            </w:rPr>
            <w:t>V -</w:t>
          </w:r>
          <w:r w:rsidRPr="00F91E9F">
            <w:rPr>
              <w:b/>
              <w:bCs/>
              <w:noProof/>
              <w:lang w:val="en-CA"/>
            </w:rPr>
            <w:tab/>
          </w:r>
          <w:r w:rsidR="00F91E9F" w:rsidRPr="00F91E9F">
            <w:rPr>
              <w:b/>
              <w:bCs/>
              <w:noProof/>
              <w:lang w:val="en-CA"/>
            </w:rPr>
            <w:t>TRIAL JUDGMENT</w:t>
          </w:r>
          <w:r w:rsidRPr="00F91E9F">
            <w:rPr>
              <w:b/>
              <w:bCs/>
              <w:noProof/>
              <w:lang w:val="en-CA"/>
            </w:rPr>
            <w:tab/>
            <w:t>15</w:t>
          </w:r>
        </w:p>
        <w:p w14:paraId="2A782653" w14:textId="147FE01B" w:rsidR="00461B74" w:rsidRPr="00F91E9F" w:rsidRDefault="00461B74" w:rsidP="00461B74">
          <w:pPr>
            <w:rPr>
              <w:b/>
              <w:bCs/>
              <w:noProof/>
              <w:lang w:val="en-CA"/>
            </w:rPr>
          </w:pPr>
          <w:r w:rsidRPr="00F91E9F">
            <w:rPr>
              <w:b/>
              <w:bCs/>
              <w:noProof/>
              <w:lang w:val="en-CA"/>
            </w:rPr>
            <w:t xml:space="preserve">V - </w:t>
          </w:r>
          <w:r w:rsidRPr="00F91E9F">
            <w:rPr>
              <w:b/>
              <w:bCs/>
              <w:noProof/>
              <w:lang w:val="en-CA"/>
            </w:rPr>
            <w:tab/>
            <w:t>ANALYS</w:t>
          </w:r>
          <w:r w:rsidR="00F91E9F" w:rsidRPr="00F91E9F">
            <w:rPr>
              <w:b/>
              <w:bCs/>
              <w:noProof/>
              <w:lang w:val="en-CA"/>
            </w:rPr>
            <w:t>IS</w:t>
          </w:r>
          <w:r w:rsidRPr="00F91E9F">
            <w:rPr>
              <w:b/>
              <w:bCs/>
              <w:noProof/>
              <w:lang w:val="en-CA"/>
            </w:rPr>
            <w:tab/>
            <w:t>19</w:t>
          </w:r>
        </w:p>
        <w:p w14:paraId="5E630722" w14:textId="7BB0A7BA" w:rsidR="00461B74" w:rsidRPr="00260019" w:rsidRDefault="00461B74" w:rsidP="00461B74">
          <w:pPr>
            <w:rPr>
              <w:b/>
              <w:bCs/>
              <w:noProof/>
              <w:lang w:val="en-CA"/>
            </w:rPr>
          </w:pPr>
          <w:r w:rsidRPr="00260019">
            <w:rPr>
              <w:b/>
              <w:bCs/>
              <w:noProof/>
              <w:lang w:val="en-CA"/>
            </w:rPr>
            <w:t>A -</w:t>
          </w:r>
          <w:r w:rsidRPr="00260019">
            <w:rPr>
              <w:b/>
              <w:bCs/>
              <w:noProof/>
              <w:lang w:val="en-CA"/>
            </w:rPr>
            <w:tab/>
          </w:r>
          <w:r w:rsidR="00260019" w:rsidRPr="00260019">
            <w:rPr>
              <w:b/>
              <w:bCs/>
              <w:noProof/>
              <w:lang w:val="en-CA"/>
            </w:rPr>
            <w:t>Mootness of the appellant’s appeal</w:t>
          </w:r>
          <w:r w:rsidRPr="00260019">
            <w:rPr>
              <w:b/>
              <w:bCs/>
              <w:noProof/>
              <w:lang w:val="en-CA"/>
            </w:rPr>
            <w:tab/>
            <w:t>20</w:t>
          </w:r>
        </w:p>
        <w:p w14:paraId="18157A0C" w14:textId="710424E1" w:rsidR="00461B74" w:rsidRPr="00260019" w:rsidRDefault="00461B74" w:rsidP="00461B74">
          <w:pPr>
            <w:rPr>
              <w:b/>
              <w:bCs/>
              <w:noProof/>
              <w:lang w:val="en-CA"/>
            </w:rPr>
          </w:pPr>
          <w:r w:rsidRPr="00260019">
            <w:rPr>
              <w:b/>
              <w:bCs/>
              <w:noProof/>
              <w:lang w:val="en-CA"/>
            </w:rPr>
            <w:t>B -</w:t>
          </w:r>
          <w:r w:rsidRPr="00260019">
            <w:rPr>
              <w:b/>
              <w:bCs/>
              <w:noProof/>
              <w:lang w:val="en-CA"/>
            </w:rPr>
            <w:tab/>
          </w:r>
          <w:r w:rsidR="00260019" w:rsidRPr="00260019">
            <w:rPr>
              <w:b/>
              <w:bCs/>
              <w:noProof/>
              <w:lang w:val="en-CA"/>
            </w:rPr>
            <w:t>Questioning solitary confinement in Canada</w:t>
          </w:r>
          <w:r w:rsidR="00260019">
            <w:rPr>
              <w:b/>
              <w:bCs/>
              <w:noProof/>
              <w:lang w:val="en-CA"/>
            </w:rPr>
            <w:t xml:space="preserve">   </w:t>
          </w:r>
          <w:r w:rsidRPr="00260019">
            <w:rPr>
              <w:b/>
              <w:bCs/>
              <w:noProof/>
              <w:lang w:val="en-CA"/>
            </w:rPr>
            <w:t>2</w:t>
          </w:r>
          <w:r w:rsidR="00260019">
            <w:rPr>
              <w:b/>
              <w:bCs/>
              <w:noProof/>
              <w:lang w:val="en-CA"/>
            </w:rPr>
            <w:t>1</w:t>
          </w:r>
        </w:p>
        <w:p w14:paraId="0AF7D7E8" w14:textId="392333E0" w:rsidR="00461B74" w:rsidRPr="00260019" w:rsidRDefault="00461B74" w:rsidP="00461B74">
          <w:pPr>
            <w:rPr>
              <w:b/>
              <w:bCs/>
              <w:noProof/>
              <w:lang w:val="en-CA"/>
            </w:rPr>
          </w:pPr>
          <w:r w:rsidRPr="00260019">
            <w:rPr>
              <w:b/>
              <w:bCs/>
              <w:noProof/>
              <w:lang w:val="en-CA"/>
            </w:rPr>
            <w:t xml:space="preserve">C - </w:t>
          </w:r>
          <w:r w:rsidRPr="00260019">
            <w:rPr>
              <w:b/>
              <w:bCs/>
              <w:noProof/>
              <w:lang w:val="en-CA"/>
            </w:rPr>
            <w:tab/>
          </w:r>
          <w:r w:rsidR="00260019" w:rsidRPr="00260019">
            <w:rPr>
              <w:b/>
              <w:bCs/>
              <w:noProof/>
              <w:lang w:val="en-CA"/>
            </w:rPr>
            <w:t xml:space="preserve">Constitutional challenges to the </w:t>
          </w:r>
          <w:r w:rsidR="00260019" w:rsidRPr="00260019">
            <w:rPr>
              <w:b/>
              <w:bCs/>
              <w:i/>
              <w:noProof/>
              <w:lang w:val="en-CA"/>
            </w:rPr>
            <w:t>CCRA</w:t>
          </w:r>
          <w:r w:rsidRPr="00260019">
            <w:rPr>
              <w:b/>
              <w:bCs/>
              <w:noProof/>
              <w:lang w:val="en-CA"/>
            </w:rPr>
            <w:tab/>
            <w:t>23</w:t>
          </w:r>
        </w:p>
        <w:p w14:paraId="6122A5F0" w14:textId="377DF409" w:rsidR="00461B74" w:rsidRPr="00260019" w:rsidRDefault="00461B74" w:rsidP="00461B74">
          <w:pPr>
            <w:rPr>
              <w:b/>
              <w:bCs/>
              <w:noProof/>
              <w:lang w:val="en-CA"/>
            </w:rPr>
          </w:pPr>
          <w:r w:rsidRPr="00260019">
            <w:rPr>
              <w:b/>
              <w:bCs/>
              <w:noProof/>
              <w:lang w:val="en-CA"/>
            </w:rPr>
            <w:t>D -</w:t>
          </w:r>
          <w:r w:rsidRPr="00260019">
            <w:rPr>
              <w:b/>
              <w:bCs/>
              <w:noProof/>
              <w:lang w:val="en-CA"/>
            </w:rPr>
            <w:tab/>
          </w:r>
          <w:r w:rsidR="00260019" w:rsidRPr="00260019">
            <w:rPr>
              <w:b/>
              <w:bCs/>
              <w:noProof/>
              <w:lang w:val="en-CA"/>
            </w:rPr>
            <w:t>Bill C-83</w:t>
          </w:r>
          <w:r w:rsidRPr="00260019">
            <w:rPr>
              <w:b/>
              <w:bCs/>
              <w:noProof/>
              <w:lang w:val="en-CA"/>
            </w:rPr>
            <w:tab/>
            <w:t>25</w:t>
          </w:r>
        </w:p>
        <w:p w14:paraId="0944CD0B" w14:textId="2B1AAA38" w:rsidR="00461B74" w:rsidRPr="00260019" w:rsidRDefault="00461B74" w:rsidP="00461B74">
          <w:pPr>
            <w:rPr>
              <w:b/>
              <w:bCs/>
              <w:noProof/>
              <w:lang w:val="en-CA"/>
            </w:rPr>
          </w:pPr>
          <w:r w:rsidRPr="00260019">
            <w:rPr>
              <w:b/>
              <w:bCs/>
              <w:noProof/>
              <w:lang w:val="en-CA"/>
            </w:rPr>
            <w:t>E -</w:t>
          </w:r>
          <w:r w:rsidRPr="00260019">
            <w:rPr>
              <w:b/>
              <w:bCs/>
              <w:noProof/>
              <w:lang w:val="en-CA"/>
            </w:rPr>
            <w:tab/>
          </w:r>
          <w:r w:rsidR="00260019" w:rsidRPr="00260019">
            <w:rPr>
              <w:b/>
              <w:bCs/>
              <w:noProof/>
              <w:lang w:val="en-CA"/>
            </w:rPr>
            <w:t>Quebec correctional law: solitary confinement and the protection of inmates’ mental health</w:t>
          </w:r>
          <w:r w:rsidRPr="00260019">
            <w:rPr>
              <w:b/>
              <w:bCs/>
              <w:noProof/>
              <w:lang w:val="en-CA"/>
            </w:rPr>
            <w:tab/>
            <w:t>2</w:t>
          </w:r>
          <w:r w:rsidR="00260019">
            <w:rPr>
              <w:b/>
              <w:bCs/>
              <w:noProof/>
              <w:lang w:val="en-CA"/>
            </w:rPr>
            <w:t>6</w:t>
          </w:r>
        </w:p>
        <w:p w14:paraId="2F7AE535" w14:textId="799EC021" w:rsidR="00461B74" w:rsidRPr="00260019" w:rsidRDefault="00461B74" w:rsidP="00461B74">
          <w:pPr>
            <w:rPr>
              <w:b/>
              <w:bCs/>
              <w:noProof/>
              <w:lang w:val="en-CA"/>
            </w:rPr>
          </w:pPr>
          <w:r w:rsidRPr="00260019">
            <w:rPr>
              <w:b/>
              <w:bCs/>
              <w:noProof/>
              <w:lang w:val="en-CA"/>
            </w:rPr>
            <w:t>F -</w:t>
          </w:r>
          <w:r w:rsidRPr="00260019">
            <w:rPr>
              <w:b/>
              <w:bCs/>
              <w:noProof/>
              <w:lang w:val="en-CA"/>
            </w:rPr>
            <w:tab/>
          </w:r>
          <w:r w:rsidR="00260019" w:rsidRPr="00260019">
            <w:rPr>
              <w:b/>
              <w:bCs/>
              <w:noProof/>
              <w:lang w:val="en-CA"/>
            </w:rPr>
            <w:t>Habeas corpus and the challenge to solitary confinement</w:t>
          </w:r>
          <w:r w:rsidRPr="00260019">
            <w:rPr>
              <w:b/>
              <w:bCs/>
              <w:noProof/>
              <w:lang w:val="en-CA"/>
            </w:rPr>
            <w:tab/>
            <w:t>2</w:t>
          </w:r>
          <w:r w:rsidR="00260019">
            <w:rPr>
              <w:b/>
              <w:bCs/>
              <w:noProof/>
              <w:lang w:val="en-CA"/>
            </w:rPr>
            <w:t>7</w:t>
          </w:r>
        </w:p>
        <w:p w14:paraId="18B7DD4D" w14:textId="5302A2A7" w:rsidR="00461B74" w:rsidRPr="00260019" w:rsidRDefault="00461B74" w:rsidP="00461B74">
          <w:pPr>
            <w:rPr>
              <w:b/>
              <w:bCs/>
              <w:noProof/>
              <w:lang w:val="en-CA"/>
            </w:rPr>
          </w:pPr>
          <w:r w:rsidRPr="00260019">
            <w:rPr>
              <w:b/>
              <w:bCs/>
              <w:noProof/>
              <w:lang w:val="en-CA"/>
            </w:rPr>
            <w:t>VI -</w:t>
          </w:r>
          <w:r w:rsidRPr="00260019">
            <w:rPr>
              <w:b/>
              <w:bCs/>
              <w:noProof/>
              <w:lang w:val="en-CA"/>
            </w:rPr>
            <w:tab/>
          </w:r>
          <w:r w:rsidR="00260019" w:rsidRPr="00260019">
            <w:rPr>
              <w:b/>
              <w:bCs/>
              <w:noProof/>
              <w:lang w:val="en-CA"/>
            </w:rPr>
            <w:t>THE SCOPE OF THE APPELLANT’S CHALLENGE TO HIS DETENTION CONDITIONS</w:t>
          </w:r>
          <w:r w:rsidRPr="00260019">
            <w:rPr>
              <w:b/>
              <w:bCs/>
              <w:noProof/>
              <w:lang w:val="en-CA"/>
            </w:rPr>
            <w:tab/>
          </w:r>
          <w:r w:rsidR="00260019">
            <w:rPr>
              <w:b/>
              <w:bCs/>
              <w:noProof/>
              <w:lang w:val="en-CA"/>
            </w:rPr>
            <w:t>29</w:t>
          </w:r>
        </w:p>
        <w:p w14:paraId="60B18B8B" w14:textId="77777777" w:rsidR="00461B74" w:rsidRPr="0088092F" w:rsidRDefault="00BA6B0B" w:rsidP="00461B74">
          <w:pPr>
            <w:rPr>
              <w:lang w:val="en-CA"/>
            </w:rPr>
          </w:pPr>
        </w:p>
      </w:sdtContent>
    </w:sdt>
    <w:p w14:paraId="164332A8" w14:textId="77777777" w:rsidR="00461B74" w:rsidRPr="0088092F" w:rsidRDefault="00461B74" w:rsidP="00461B74">
      <w:pPr>
        <w:spacing w:line="240" w:lineRule="auto"/>
        <w:rPr>
          <w:lang w:val="en-CA"/>
        </w:rPr>
      </w:pPr>
      <w:r w:rsidRPr="0088092F">
        <w:rPr>
          <w:lang w:val="en-CA"/>
        </w:rPr>
        <w:br w:type="page"/>
      </w:r>
    </w:p>
    <w:p w14:paraId="2AFB24BC" w14:textId="77777777" w:rsidR="00461B74" w:rsidRPr="0088092F" w:rsidRDefault="00461B74" w:rsidP="00461B74">
      <w:pPr>
        <w:pStyle w:val="Titre1"/>
        <w:rPr>
          <w:lang w:val="en-CA"/>
        </w:rPr>
      </w:pPr>
      <w:bookmarkStart w:id="10" w:name="_Toc85547008"/>
      <w:r w:rsidRPr="0088092F">
        <w:rPr>
          <w:lang w:val="en-CA"/>
        </w:rPr>
        <w:lastRenderedPageBreak/>
        <w:t xml:space="preserve">I - </w:t>
      </w:r>
      <w:r w:rsidRPr="0088092F">
        <w:rPr>
          <w:lang w:val="en-CA"/>
        </w:rPr>
        <w:tab/>
        <w:t>INTRODUCTION</w:t>
      </w:r>
      <w:bookmarkEnd w:id="10"/>
    </w:p>
    <w:p w14:paraId="7FBD01A1" w14:textId="67BA9734" w:rsidR="00461B74" w:rsidRPr="0088092F" w:rsidRDefault="00403186" w:rsidP="00461B74">
      <w:pPr>
        <w:pStyle w:val="Paragraphe"/>
        <w:spacing w:line="280" w:lineRule="exact"/>
        <w:rPr>
          <w:lang w:val="en-CA"/>
        </w:rPr>
      </w:pPr>
      <w:r w:rsidRPr="0088092F">
        <w:rPr>
          <w:lang w:val="en-CA"/>
        </w:rPr>
        <w:t xml:space="preserve">Placing an inmate in solitary confinement restricts </w:t>
      </w:r>
      <w:r w:rsidR="00330B1B" w:rsidRPr="0088092F">
        <w:rPr>
          <w:lang w:val="en-CA"/>
        </w:rPr>
        <w:t>the inmate’s liberty</w:t>
      </w:r>
      <w:r w:rsidR="008F1F1A" w:rsidRPr="0088092F">
        <w:rPr>
          <w:lang w:val="en-CA"/>
        </w:rPr>
        <w:t xml:space="preserve"> in a heightened and significant manner. It is considered to be a</w:t>
      </w:r>
      <w:r w:rsidR="006B573E">
        <w:rPr>
          <w:lang w:val="en-CA"/>
        </w:rPr>
        <w:t xml:space="preserve"> new detention</w:t>
      </w:r>
      <w:r w:rsidR="00E3012F" w:rsidRPr="0088092F">
        <w:rPr>
          <w:lang w:val="en-CA"/>
        </w:rPr>
        <w:t xml:space="preserve"> in a “</w:t>
      </w:r>
      <w:r w:rsidR="00461B74" w:rsidRPr="0088092F">
        <w:rPr>
          <w:lang w:val="en-CA"/>
        </w:rPr>
        <w:t xml:space="preserve">prison </w:t>
      </w:r>
      <w:r w:rsidR="00E3012F" w:rsidRPr="0088092F">
        <w:rPr>
          <w:lang w:val="en-CA"/>
        </w:rPr>
        <w:t xml:space="preserve">within a </w:t>
      </w:r>
      <w:r w:rsidR="00461B74" w:rsidRPr="0088092F">
        <w:rPr>
          <w:lang w:val="en-CA"/>
        </w:rPr>
        <w:t>prison</w:t>
      </w:r>
      <w:r w:rsidR="00E3012F" w:rsidRPr="0088092F">
        <w:rPr>
          <w:lang w:val="en-CA"/>
        </w:rPr>
        <w:t>”</w:t>
      </w:r>
      <w:r w:rsidR="00461B74" w:rsidRPr="0088092F">
        <w:rPr>
          <w:lang w:val="en-CA"/>
        </w:rPr>
        <w:t>.</w:t>
      </w:r>
    </w:p>
    <w:p w14:paraId="10F48CAE" w14:textId="798659C3" w:rsidR="00461B74" w:rsidRPr="0088092F" w:rsidRDefault="007366D2" w:rsidP="00461B74">
      <w:pPr>
        <w:pStyle w:val="Paragraphe"/>
        <w:spacing w:line="280" w:lineRule="exact"/>
        <w:rPr>
          <w:lang w:val="en-CA"/>
        </w:rPr>
      </w:pPr>
      <w:r w:rsidRPr="0088092F">
        <w:rPr>
          <w:lang w:val="en-CA"/>
        </w:rPr>
        <w:t xml:space="preserve">Since the early </w:t>
      </w:r>
      <w:r w:rsidR="00461B74" w:rsidRPr="0088092F">
        <w:rPr>
          <w:lang w:val="en-CA"/>
        </w:rPr>
        <w:t>1970</w:t>
      </w:r>
      <w:r w:rsidRPr="0088092F">
        <w:rPr>
          <w:lang w:val="en-CA"/>
        </w:rPr>
        <w:t>s</w:t>
      </w:r>
      <w:r w:rsidR="00461B74" w:rsidRPr="0088092F">
        <w:rPr>
          <w:lang w:val="en-CA"/>
        </w:rPr>
        <w:t>,</w:t>
      </w:r>
      <w:r w:rsidRPr="0088092F">
        <w:rPr>
          <w:lang w:val="en-CA"/>
        </w:rPr>
        <w:t xml:space="preserve"> this </w:t>
      </w:r>
      <w:r w:rsidR="001005B2" w:rsidRPr="0088092F">
        <w:rPr>
          <w:lang w:val="en-CA"/>
        </w:rPr>
        <w:t xml:space="preserve">controversial </w:t>
      </w:r>
      <w:r w:rsidR="00461B74" w:rsidRPr="0088092F">
        <w:rPr>
          <w:lang w:val="en-CA"/>
        </w:rPr>
        <w:t>correction</w:t>
      </w:r>
      <w:r w:rsidR="001B4F87" w:rsidRPr="0088092F">
        <w:rPr>
          <w:lang w:val="en-CA"/>
        </w:rPr>
        <w:t xml:space="preserve">al measure has been </w:t>
      </w:r>
      <w:r w:rsidR="001005B2" w:rsidRPr="0088092F">
        <w:rPr>
          <w:lang w:val="en-CA"/>
        </w:rPr>
        <w:t xml:space="preserve">the subject of many reports and legal challenges due to its deleterious effects on the </w:t>
      </w:r>
      <w:r w:rsidR="00461B74" w:rsidRPr="0088092F">
        <w:rPr>
          <w:lang w:val="en-CA"/>
        </w:rPr>
        <w:t>mental</w:t>
      </w:r>
      <w:r w:rsidR="001005B2" w:rsidRPr="0088092F">
        <w:rPr>
          <w:lang w:val="en-CA"/>
        </w:rPr>
        <w:t xml:space="preserve"> </w:t>
      </w:r>
      <w:r w:rsidR="00461B74" w:rsidRPr="0088092F">
        <w:rPr>
          <w:lang w:val="en-CA"/>
        </w:rPr>
        <w:t>health</w:t>
      </w:r>
      <w:r w:rsidR="001005B2" w:rsidRPr="0088092F">
        <w:rPr>
          <w:lang w:val="en-CA"/>
        </w:rPr>
        <w:t xml:space="preserve"> of inmates</w:t>
      </w:r>
      <w:r w:rsidR="00461B74" w:rsidRPr="0088092F">
        <w:rPr>
          <w:lang w:val="en-CA"/>
        </w:rPr>
        <w:t>.</w:t>
      </w:r>
    </w:p>
    <w:p w14:paraId="10C5A730" w14:textId="31302059" w:rsidR="00461B74" w:rsidRPr="0088092F" w:rsidRDefault="00350676" w:rsidP="00461B74">
      <w:pPr>
        <w:pStyle w:val="Paragraphe"/>
        <w:spacing w:line="280" w:lineRule="exact"/>
        <w:rPr>
          <w:lang w:val="en-CA"/>
        </w:rPr>
      </w:pPr>
      <w:r w:rsidRPr="0088092F">
        <w:rPr>
          <w:lang w:val="en-CA"/>
        </w:rPr>
        <w:t xml:space="preserve">In </w:t>
      </w:r>
      <w:r w:rsidR="00461B74" w:rsidRPr="0088092F">
        <w:rPr>
          <w:lang w:val="en-CA"/>
        </w:rPr>
        <w:t xml:space="preserve">December 2015, </w:t>
      </w:r>
      <w:r w:rsidR="006834A6" w:rsidRPr="0088092F">
        <w:rPr>
          <w:lang w:val="en-CA"/>
        </w:rPr>
        <w:t xml:space="preserve">the United Nations General </w:t>
      </w:r>
      <w:r w:rsidR="00461B74" w:rsidRPr="0088092F">
        <w:rPr>
          <w:lang w:val="en-CA"/>
        </w:rPr>
        <w:t>Assembl</w:t>
      </w:r>
      <w:r w:rsidR="00E420E4" w:rsidRPr="0088092F">
        <w:rPr>
          <w:lang w:val="en-CA"/>
        </w:rPr>
        <w:t xml:space="preserve">y revised the minimum rules for the treatment of prisoners adopted in </w:t>
      </w:r>
      <w:r w:rsidR="00461B74" w:rsidRPr="0088092F">
        <w:rPr>
          <w:lang w:val="en-CA"/>
        </w:rPr>
        <w:t xml:space="preserve">1995 </w:t>
      </w:r>
      <w:r w:rsidR="00E420E4" w:rsidRPr="0088092F">
        <w:rPr>
          <w:lang w:val="en-CA"/>
        </w:rPr>
        <w:t>tilted</w:t>
      </w:r>
      <w:r w:rsidR="00461B74" w:rsidRPr="0088092F">
        <w:rPr>
          <w:lang w:val="en-CA"/>
        </w:rPr>
        <w:t xml:space="preserve"> </w:t>
      </w:r>
      <w:r w:rsidR="006834A6" w:rsidRPr="0088092F">
        <w:rPr>
          <w:lang w:val="en-CA"/>
        </w:rPr>
        <w:t>The United Nations Standard Minimum Rules for the Treatment of Prisoners</w:t>
      </w:r>
      <w:r w:rsidR="00461B74" w:rsidRPr="0088092F">
        <w:rPr>
          <w:lang w:val="en-CA"/>
        </w:rPr>
        <w:t xml:space="preserve">. </w:t>
      </w:r>
      <w:r w:rsidR="006834A6" w:rsidRPr="0088092F">
        <w:rPr>
          <w:lang w:val="en-CA"/>
        </w:rPr>
        <w:t xml:space="preserve">These rules are also known as the </w:t>
      </w:r>
      <w:r w:rsidR="006834A6" w:rsidRPr="0088092F">
        <w:rPr>
          <w:rStyle w:val="Aucun"/>
          <w:iCs/>
          <w:lang w:val="en-CA"/>
        </w:rPr>
        <w:t>Nelson Mandela Rules</w:t>
      </w:r>
      <w:r w:rsidR="006268D0" w:rsidRPr="0088092F">
        <w:rPr>
          <w:rStyle w:val="Aucun"/>
          <w:iCs/>
          <w:lang w:val="en-CA"/>
        </w:rPr>
        <w:t>.</w:t>
      </w:r>
      <w:r w:rsidR="00461B74" w:rsidRPr="0088092F">
        <w:rPr>
          <w:rStyle w:val="Appelnotedebasdep"/>
          <w:iCs/>
          <w:lang w:val="en-CA"/>
        </w:rPr>
        <w:footnoteReference w:id="1"/>
      </w:r>
      <w:r w:rsidR="00461B74" w:rsidRPr="0088092F">
        <w:rPr>
          <w:lang w:val="en-CA"/>
        </w:rPr>
        <w:t xml:space="preserve"> </w:t>
      </w:r>
    </w:p>
    <w:p w14:paraId="09AB83DA" w14:textId="10DCD063" w:rsidR="00461B74" w:rsidRPr="0088092F" w:rsidRDefault="00E420E4" w:rsidP="00461B74">
      <w:pPr>
        <w:pStyle w:val="Paragraphe"/>
        <w:spacing w:line="280" w:lineRule="exact"/>
        <w:rPr>
          <w:lang w:val="en-CA"/>
        </w:rPr>
      </w:pPr>
      <w:r w:rsidRPr="0088092F">
        <w:rPr>
          <w:rStyle w:val="Aucun"/>
          <w:iCs/>
          <w:lang w:val="en-CA"/>
        </w:rPr>
        <w:t xml:space="preserve">The </w:t>
      </w:r>
      <w:r w:rsidR="006834A6" w:rsidRPr="0088092F">
        <w:rPr>
          <w:rStyle w:val="Aucun"/>
          <w:iCs/>
          <w:lang w:val="en-CA"/>
        </w:rPr>
        <w:t>Nelson Mandela Rules</w:t>
      </w:r>
      <w:r w:rsidRPr="0088092F">
        <w:rPr>
          <w:rStyle w:val="Aucun"/>
          <w:iCs/>
          <w:lang w:val="en-CA"/>
        </w:rPr>
        <w:t xml:space="preserve"> set out c</w:t>
      </w:r>
      <w:r w:rsidR="00461B74" w:rsidRPr="0088092F">
        <w:rPr>
          <w:lang w:val="en-CA"/>
        </w:rPr>
        <w:t xml:space="preserve">ertain principles </w:t>
      </w:r>
      <w:r w:rsidR="00A705FF" w:rsidRPr="0088092F">
        <w:rPr>
          <w:lang w:val="en-CA"/>
        </w:rPr>
        <w:t>governing solitary confinement</w:t>
      </w:r>
      <w:r w:rsidR="00516863">
        <w:rPr>
          <w:lang w:val="en-CA"/>
        </w:rPr>
        <w:t>, which</w:t>
      </w:r>
      <w:r w:rsidR="006268D0" w:rsidRPr="0088092F">
        <w:rPr>
          <w:lang w:val="en-CA"/>
        </w:rPr>
        <w:t xml:space="preserve"> must be used only as a last resort; it must be authorized by </w:t>
      </w:r>
      <w:r w:rsidR="00516863">
        <w:rPr>
          <w:lang w:val="en-CA"/>
        </w:rPr>
        <w:t>statute</w:t>
      </w:r>
      <w:r w:rsidR="00516863" w:rsidRPr="0088092F">
        <w:rPr>
          <w:lang w:val="en-CA"/>
        </w:rPr>
        <w:t xml:space="preserve"> </w:t>
      </w:r>
      <w:r w:rsidR="006268D0" w:rsidRPr="0088092F">
        <w:rPr>
          <w:lang w:val="en-CA"/>
        </w:rPr>
        <w:t>or regulation of the competent authority</w:t>
      </w:r>
      <w:r w:rsidR="00461B74" w:rsidRPr="0088092F">
        <w:rPr>
          <w:lang w:val="en-CA"/>
        </w:rPr>
        <w:t xml:space="preserve">; </w:t>
      </w:r>
      <w:r w:rsidR="000A4E97" w:rsidRPr="0088092F">
        <w:rPr>
          <w:lang w:val="en-CA"/>
        </w:rPr>
        <w:t xml:space="preserve">the </w:t>
      </w:r>
      <w:r w:rsidR="000D511D" w:rsidRPr="0088092F">
        <w:rPr>
          <w:lang w:val="en-CA"/>
        </w:rPr>
        <w:t xml:space="preserve">daily </w:t>
      </w:r>
      <w:r w:rsidR="000A4E97" w:rsidRPr="0088092F">
        <w:rPr>
          <w:lang w:val="en-CA"/>
        </w:rPr>
        <w:t>duration of confinement</w:t>
      </w:r>
      <w:r w:rsidR="000D511D" w:rsidRPr="0088092F">
        <w:rPr>
          <w:lang w:val="en-CA"/>
        </w:rPr>
        <w:t xml:space="preserve"> and </w:t>
      </w:r>
      <w:r w:rsidR="000A4E97" w:rsidRPr="0088092F">
        <w:rPr>
          <w:lang w:val="en-CA"/>
        </w:rPr>
        <w:t>prolonged sol</w:t>
      </w:r>
      <w:r w:rsidR="000D511D" w:rsidRPr="0088092F">
        <w:rPr>
          <w:lang w:val="en-CA"/>
        </w:rPr>
        <w:t>itary confinement must be limited</w:t>
      </w:r>
      <w:r w:rsidR="00461B74" w:rsidRPr="0088092F">
        <w:rPr>
          <w:lang w:val="en-CA"/>
        </w:rPr>
        <w:t xml:space="preserve">; </w:t>
      </w:r>
      <w:r w:rsidR="000D511D" w:rsidRPr="0088092F">
        <w:rPr>
          <w:lang w:val="en-CA"/>
        </w:rPr>
        <w:t>it must be subject to regular and independent review</w:t>
      </w:r>
      <w:r w:rsidR="00461B74" w:rsidRPr="0088092F">
        <w:rPr>
          <w:lang w:val="en-CA"/>
        </w:rPr>
        <w:t xml:space="preserve">; </w:t>
      </w:r>
      <w:r w:rsidR="000A4E97" w:rsidRPr="0088092F">
        <w:rPr>
          <w:lang w:val="en-CA"/>
        </w:rPr>
        <w:t>it must includ</w:t>
      </w:r>
      <w:r w:rsidR="00D02895" w:rsidRPr="0088092F">
        <w:rPr>
          <w:lang w:val="en-CA"/>
        </w:rPr>
        <w:t xml:space="preserve">e meaningful </w:t>
      </w:r>
      <w:r w:rsidR="00461B74" w:rsidRPr="0088092F">
        <w:rPr>
          <w:lang w:val="en-CA"/>
        </w:rPr>
        <w:t>human</w:t>
      </w:r>
      <w:r w:rsidR="00D02895" w:rsidRPr="0088092F">
        <w:rPr>
          <w:lang w:val="en-CA"/>
        </w:rPr>
        <w:t xml:space="preserve"> contact; and the prisoner’s state of health must be assessed by </w:t>
      </w:r>
      <w:r w:rsidR="00461B74" w:rsidRPr="0088092F">
        <w:rPr>
          <w:lang w:val="en-CA"/>
        </w:rPr>
        <w:t>health</w:t>
      </w:r>
      <w:r w:rsidR="00D02895" w:rsidRPr="0088092F">
        <w:rPr>
          <w:lang w:val="en-CA"/>
        </w:rPr>
        <w:t>-</w:t>
      </w:r>
      <w:r w:rsidR="00461B74" w:rsidRPr="0088092F">
        <w:rPr>
          <w:lang w:val="en-CA"/>
        </w:rPr>
        <w:t>care</w:t>
      </w:r>
      <w:r w:rsidR="00D02895" w:rsidRPr="0088092F">
        <w:rPr>
          <w:lang w:val="en-CA"/>
        </w:rPr>
        <w:t xml:space="preserve"> professional</w:t>
      </w:r>
      <w:r w:rsidR="00461B74" w:rsidRPr="0088092F">
        <w:rPr>
          <w:lang w:val="en-CA"/>
        </w:rPr>
        <w:t xml:space="preserve">s.  </w:t>
      </w:r>
    </w:p>
    <w:p w14:paraId="13EE0A81" w14:textId="66D01BEF" w:rsidR="00461B74" w:rsidRPr="0088092F" w:rsidRDefault="001324C1" w:rsidP="00461B74">
      <w:pPr>
        <w:pStyle w:val="Paragraphe"/>
        <w:spacing w:line="280" w:lineRule="exact"/>
        <w:rPr>
          <w:lang w:val="en-CA"/>
        </w:rPr>
      </w:pPr>
      <w:r w:rsidRPr="0088092F">
        <w:rPr>
          <w:lang w:val="en-CA"/>
        </w:rPr>
        <w:t xml:space="preserve">These rules are based on best correctional practices and reflect </w:t>
      </w:r>
      <w:r w:rsidR="002F506A">
        <w:rPr>
          <w:lang w:val="en-CA"/>
        </w:rPr>
        <w:t xml:space="preserve">a </w:t>
      </w:r>
      <w:r w:rsidRPr="0088092F">
        <w:rPr>
          <w:lang w:val="en-CA"/>
        </w:rPr>
        <w:t xml:space="preserve">broad international </w:t>
      </w:r>
      <w:r w:rsidR="00461B74" w:rsidRPr="0088092F">
        <w:rPr>
          <w:lang w:val="en-CA"/>
        </w:rPr>
        <w:t>consensus.</w:t>
      </w:r>
    </w:p>
    <w:p w14:paraId="2E15B534" w14:textId="11672AA8" w:rsidR="00461B74" w:rsidRPr="0088092F" w:rsidRDefault="00057BE5" w:rsidP="00976C77">
      <w:pPr>
        <w:pStyle w:val="Paragraphe"/>
        <w:spacing w:line="280" w:lineRule="exact"/>
        <w:rPr>
          <w:lang w:val="en-CA"/>
        </w:rPr>
      </w:pPr>
      <w:r w:rsidRPr="0088092F">
        <w:rPr>
          <w:lang w:val="en-CA"/>
        </w:rPr>
        <w:t xml:space="preserve">The </w:t>
      </w:r>
      <w:r w:rsidR="00461B74" w:rsidRPr="0088092F">
        <w:rPr>
          <w:lang w:val="en-CA"/>
        </w:rPr>
        <w:t xml:space="preserve">influence </w:t>
      </w:r>
      <w:r w:rsidRPr="0088092F">
        <w:rPr>
          <w:lang w:val="en-CA"/>
        </w:rPr>
        <w:t xml:space="preserve">of these Rules is </w:t>
      </w:r>
      <w:r w:rsidR="00461B74" w:rsidRPr="0088092F">
        <w:rPr>
          <w:lang w:val="en-CA"/>
        </w:rPr>
        <w:t>consid</w:t>
      </w:r>
      <w:r w:rsidRPr="0088092F">
        <w:rPr>
          <w:lang w:val="en-CA"/>
        </w:rPr>
        <w:t>e</w:t>
      </w:r>
      <w:r w:rsidR="00461B74" w:rsidRPr="0088092F">
        <w:rPr>
          <w:lang w:val="en-CA"/>
        </w:rPr>
        <w:t xml:space="preserve">rable. </w:t>
      </w:r>
      <w:r w:rsidRPr="0088092F">
        <w:rPr>
          <w:lang w:val="en-CA"/>
        </w:rPr>
        <w:t xml:space="preserve">In </w:t>
      </w:r>
      <w:r w:rsidR="00461B74" w:rsidRPr="0088092F">
        <w:rPr>
          <w:lang w:val="en-CA"/>
        </w:rPr>
        <w:t xml:space="preserve">Canada, </w:t>
      </w:r>
      <w:r w:rsidRPr="0088092F">
        <w:rPr>
          <w:lang w:val="en-CA"/>
        </w:rPr>
        <w:t xml:space="preserve">two </w:t>
      </w:r>
      <w:r w:rsidR="00461B74" w:rsidRPr="0088092F">
        <w:rPr>
          <w:lang w:val="en-CA"/>
        </w:rPr>
        <w:t>appellate</w:t>
      </w:r>
      <w:r w:rsidRPr="0088092F">
        <w:rPr>
          <w:lang w:val="en-CA"/>
        </w:rPr>
        <w:t xml:space="preserve"> </w:t>
      </w:r>
      <w:r w:rsidR="00461B74" w:rsidRPr="0088092F">
        <w:rPr>
          <w:lang w:val="en-CA"/>
        </w:rPr>
        <w:t>court</w:t>
      </w:r>
      <w:r w:rsidRPr="0088092F">
        <w:rPr>
          <w:lang w:val="en-CA"/>
        </w:rPr>
        <w:t>s</w:t>
      </w:r>
      <w:r w:rsidR="00461B74" w:rsidRPr="0088092F">
        <w:rPr>
          <w:lang w:val="en-CA"/>
        </w:rPr>
        <w:t xml:space="preserve"> </w:t>
      </w:r>
      <w:r w:rsidRPr="0088092F">
        <w:rPr>
          <w:lang w:val="en-CA"/>
        </w:rPr>
        <w:t xml:space="preserve">have relied on them in part in their judgments declaring constitutionally invalid certain provisions of the </w:t>
      </w:r>
      <w:r w:rsidR="00375640" w:rsidRPr="0088092F">
        <w:rPr>
          <w:bCs/>
          <w:i/>
          <w:lang w:val="en-CA"/>
        </w:rPr>
        <w:t>Corrections and Conditional Release Act</w:t>
      </w:r>
      <w:r w:rsidR="00461B74" w:rsidRPr="0088092F">
        <w:rPr>
          <w:rStyle w:val="Appelnotedebasdep"/>
          <w:iCs/>
          <w:lang w:val="en-CA"/>
        </w:rPr>
        <w:footnoteReference w:id="2"/>
      </w:r>
      <w:r w:rsidR="00461B74" w:rsidRPr="0088092F">
        <w:rPr>
          <w:rStyle w:val="Aucun"/>
          <w:iCs/>
          <w:lang w:val="en-CA"/>
        </w:rPr>
        <w:t xml:space="preserve"> (</w:t>
      </w:r>
      <w:r w:rsidR="00375640" w:rsidRPr="0088092F">
        <w:rPr>
          <w:rStyle w:val="Aucun"/>
          <w:iCs/>
          <w:lang w:val="en-CA"/>
        </w:rPr>
        <w:t>“</w:t>
      </w:r>
      <w:r w:rsidR="00D45771" w:rsidRPr="0088092F">
        <w:rPr>
          <w:rStyle w:val="Aucun"/>
          <w:i/>
          <w:iCs/>
          <w:lang w:val="en-CA"/>
        </w:rPr>
        <w:t>CCRA</w:t>
      </w:r>
      <w:r w:rsidR="00375640" w:rsidRPr="0088092F">
        <w:rPr>
          <w:rStyle w:val="Aucun"/>
          <w:iCs/>
          <w:lang w:val="en-CA"/>
        </w:rPr>
        <w:t>”</w:t>
      </w:r>
      <w:r w:rsidR="00461B74" w:rsidRPr="0088092F">
        <w:rPr>
          <w:lang w:val="en-CA"/>
        </w:rPr>
        <w:t>)</w:t>
      </w:r>
      <w:r w:rsidR="00EA06BF">
        <w:rPr>
          <w:lang w:val="en-CA"/>
        </w:rPr>
        <w:t>, which</w:t>
      </w:r>
      <w:r w:rsidR="00461B74" w:rsidRPr="0088092F">
        <w:rPr>
          <w:lang w:val="en-CA"/>
        </w:rPr>
        <w:t xml:space="preserve"> </w:t>
      </w:r>
      <w:r w:rsidR="00EA06BF">
        <w:rPr>
          <w:lang w:val="en-CA"/>
        </w:rPr>
        <w:t>regulated</w:t>
      </w:r>
      <w:r w:rsidRPr="0088092F">
        <w:rPr>
          <w:lang w:val="en-CA"/>
        </w:rPr>
        <w:t xml:space="preserve"> solitary confinement in the federal </w:t>
      </w:r>
      <w:r w:rsidR="00461B74" w:rsidRPr="0088092F">
        <w:rPr>
          <w:lang w:val="en-CA"/>
        </w:rPr>
        <w:t>correction</w:t>
      </w:r>
      <w:r w:rsidRPr="0088092F">
        <w:rPr>
          <w:lang w:val="en-CA"/>
        </w:rPr>
        <w:t>a</w:t>
      </w:r>
      <w:r w:rsidR="00461B74" w:rsidRPr="0088092F">
        <w:rPr>
          <w:lang w:val="en-CA"/>
        </w:rPr>
        <w:t xml:space="preserve">l </w:t>
      </w:r>
      <w:r w:rsidR="000C5D1C" w:rsidRPr="0088092F">
        <w:rPr>
          <w:lang w:val="en-CA"/>
        </w:rPr>
        <w:t>system</w:t>
      </w:r>
      <w:r w:rsidR="00461B74" w:rsidRPr="0088092F">
        <w:rPr>
          <w:lang w:val="en-CA"/>
        </w:rPr>
        <w:t>.</w:t>
      </w:r>
    </w:p>
    <w:p w14:paraId="11D56A87" w14:textId="5D7D0493" w:rsidR="00461B74" w:rsidRPr="0088092F" w:rsidRDefault="00057BE5" w:rsidP="00461B74">
      <w:pPr>
        <w:pStyle w:val="Paragraphe"/>
        <w:spacing w:line="280" w:lineRule="exact"/>
        <w:rPr>
          <w:rFonts w:eastAsia="Arial" w:cs="Arial"/>
          <w:szCs w:val="24"/>
          <w:lang w:val="en-CA"/>
        </w:rPr>
      </w:pPr>
      <w:r w:rsidRPr="0088092F">
        <w:rPr>
          <w:lang w:val="en-CA"/>
        </w:rPr>
        <w:t xml:space="preserve">Relying on the report of a </w:t>
      </w:r>
      <w:r w:rsidR="00461B74" w:rsidRPr="0088092F">
        <w:rPr>
          <w:lang w:val="en-CA"/>
        </w:rPr>
        <w:t xml:space="preserve">psychologist </w:t>
      </w:r>
      <w:r w:rsidRPr="0088092F">
        <w:rPr>
          <w:lang w:val="en-CA"/>
        </w:rPr>
        <w:t xml:space="preserve">who noted the </w:t>
      </w:r>
      <w:r w:rsidR="00461B74" w:rsidRPr="0088092F">
        <w:rPr>
          <w:lang w:val="en-CA"/>
        </w:rPr>
        <w:t>effe</w:t>
      </w:r>
      <w:r w:rsidRPr="0088092F">
        <w:rPr>
          <w:lang w:val="en-CA"/>
        </w:rPr>
        <w:t>c</w:t>
      </w:r>
      <w:r w:rsidR="00461B74" w:rsidRPr="0088092F">
        <w:rPr>
          <w:lang w:val="en-CA"/>
        </w:rPr>
        <w:t xml:space="preserve">ts </w:t>
      </w:r>
      <w:r w:rsidRPr="0088092F">
        <w:rPr>
          <w:lang w:val="en-CA"/>
        </w:rPr>
        <w:t xml:space="preserve">of solitary confinement on his </w:t>
      </w:r>
      <w:r w:rsidR="00461B74" w:rsidRPr="0088092F">
        <w:rPr>
          <w:lang w:val="en-CA"/>
        </w:rPr>
        <w:t>mental</w:t>
      </w:r>
      <w:r w:rsidRPr="0088092F">
        <w:rPr>
          <w:lang w:val="en-CA"/>
        </w:rPr>
        <w:t xml:space="preserve"> </w:t>
      </w:r>
      <w:r w:rsidR="00461B74" w:rsidRPr="0088092F">
        <w:rPr>
          <w:lang w:val="en-CA"/>
        </w:rPr>
        <w:t>health,</w:t>
      </w:r>
      <w:r w:rsidRPr="0088092F">
        <w:rPr>
          <w:lang w:val="en-CA"/>
        </w:rPr>
        <w:t xml:space="preserve"> the </w:t>
      </w:r>
      <w:r w:rsidR="00461B74" w:rsidRPr="0088092F">
        <w:rPr>
          <w:lang w:val="en-CA"/>
        </w:rPr>
        <w:t xml:space="preserve">appellant, </w:t>
      </w:r>
      <w:r w:rsidRPr="0088092F">
        <w:rPr>
          <w:lang w:val="en-CA"/>
        </w:rPr>
        <w:t>who is detained in the</w:t>
      </w:r>
      <w:r w:rsidR="00461B74" w:rsidRPr="0088092F">
        <w:rPr>
          <w:lang w:val="en-CA"/>
        </w:rPr>
        <w:t xml:space="preserve"> Sorel-Tracy</w:t>
      </w:r>
      <w:r w:rsidRPr="0088092F">
        <w:rPr>
          <w:lang w:val="en-CA"/>
        </w:rPr>
        <w:t xml:space="preserve"> </w:t>
      </w:r>
      <w:r w:rsidR="00277D20" w:rsidRPr="0088092F">
        <w:rPr>
          <w:lang w:val="en-CA"/>
        </w:rPr>
        <w:t xml:space="preserve">detention centre </w:t>
      </w:r>
      <w:r w:rsidRPr="0088092F">
        <w:rPr>
          <w:lang w:val="en-CA"/>
        </w:rPr>
        <w:t>while awaiting trial</w:t>
      </w:r>
      <w:r w:rsidR="00461B74" w:rsidRPr="0088092F">
        <w:rPr>
          <w:lang w:val="en-CA"/>
        </w:rPr>
        <w:t xml:space="preserve">, </w:t>
      </w:r>
      <w:r w:rsidR="0027710D" w:rsidRPr="0088092F">
        <w:rPr>
          <w:lang w:val="en-CA"/>
        </w:rPr>
        <w:t xml:space="preserve">brought </w:t>
      </w:r>
      <w:r w:rsidR="00461B74" w:rsidRPr="0088092F">
        <w:rPr>
          <w:rStyle w:val="Aucun"/>
          <w:i/>
          <w:iCs/>
          <w:lang w:val="en-CA"/>
        </w:rPr>
        <w:t>habeas corpus</w:t>
      </w:r>
      <w:r w:rsidR="00461B74" w:rsidRPr="0088092F">
        <w:rPr>
          <w:lang w:val="en-CA"/>
        </w:rPr>
        <w:t xml:space="preserve"> </w:t>
      </w:r>
      <w:r w:rsidR="0027710D" w:rsidRPr="0088092F">
        <w:rPr>
          <w:lang w:val="en-CA"/>
        </w:rPr>
        <w:t>proceedings seeking</w:t>
      </w:r>
      <w:r w:rsidR="00277D20" w:rsidRPr="0088092F">
        <w:rPr>
          <w:lang w:val="en-CA"/>
        </w:rPr>
        <w:t xml:space="preserve"> release from solitary confinement on the grounds that</w:t>
      </w:r>
      <w:r w:rsidR="00A910B7">
        <w:rPr>
          <w:lang w:val="en-CA"/>
        </w:rPr>
        <w:t xml:space="preserve"> the conditions of</w:t>
      </w:r>
      <w:r w:rsidR="00277D20" w:rsidRPr="0088092F">
        <w:rPr>
          <w:lang w:val="en-CA"/>
        </w:rPr>
        <w:t xml:space="preserve"> his confinement do not comply with the r</w:t>
      </w:r>
      <w:r w:rsidR="00165D4A" w:rsidRPr="0088092F">
        <w:rPr>
          <w:lang w:val="en-CA"/>
        </w:rPr>
        <w:t xml:space="preserve">ecent guidance in the Canadian </w:t>
      </w:r>
      <w:r w:rsidR="00461B74" w:rsidRPr="0088092F">
        <w:rPr>
          <w:lang w:val="en-CA"/>
        </w:rPr>
        <w:t>case</w:t>
      </w:r>
      <w:r w:rsidR="00165D4A" w:rsidRPr="0088092F">
        <w:rPr>
          <w:lang w:val="en-CA"/>
        </w:rPr>
        <w:t xml:space="preserve"> l</w:t>
      </w:r>
      <w:r w:rsidR="00461B74" w:rsidRPr="0088092F">
        <w:rPr>
          <w:lang w:val="en-CA"/>
        </w:rPr>
        <w:t xml:space="preserve">aw. </w:t>
      </w:r>
      <w:r w:rsidR="00165D4A" w:rsidRPr="0088092F">
        <w:rPr>
          <w:lang w:val="en-CA"/>
        </w:rPr>
        <w:t xml:space="preserve">He submits that </w:t>
      </w:r>
      <w:r w:rsidR="00A910B7">
        <w:rPr>
          <w:lang w:val="en-CA"/>
        </w:rPr>
        <w:t>they</w:t>
      </w:r>
      <w:r w:rsidR="00165D4A" w:rsidRPr="0088092F">
        <w:rPr>
          <w:lang w:val="en-CA"/>
        </w:rPr>
        <w:t xml:space="preserve"> constitute cruel and unusual treatment</w:t>
      </w:r>
      <w:r w:rsidR="00461B74" w:rsidRPr="0088092F">
        <w:rPr>
          <w:lang w:val="en-CA"/>
        </w:rPr>
        <w:t>.</w:t>
      </w:r>
    </w:p>
    <w:p w14:paraId="43648054" w14:textId="570FB8D5" w:rsidR="00461B74" w:rsidRPr="0088092F" w:rsidRDefault="00165D4A" w:rsidP="00461B74">
      <w:pPr>
        <w:pStyle w:val="Paragraphe"/>
        <w:spacing w:line="280" w:lineRule="exact"/>
        <w:rPr>
          <w:lang w:val="en-CA"/>
        </w:rPr>
      </w:pPr>
      <w:r w:rsidRPr="0088092F">
        <w:rPr>
          <w:lang w:val="en-CA"/>
        </w:rPr>
        <w:t xml:space="preserve">The </w:t>
      </w:r>
      <w:r w:rsidR="00461B74" w:rsidRPr="0088092F">
        <w:rPr>
          <w:lang w:val="en-CA"/>
        </w:rPr>
        <w:t>appellant</w:t>
      </w:r>
      <w:r w:rsidRPr="0088092F">
        <w:rPr>
          <w:lang w:val="en-CA"/>
        </w:rPr>
        <w:t xml:space="preserve"> does not dispute that his </w:t>
      </w:r>
      <w:r w:rsidR="002F506A">
        <w:rPr>
          <w:lang w:val="en-CA"/>
        </w:rPr>
        <w:t>behaviour</w:t>
      </w:r>
      <w:r w:rsidRPr="0088092F">
        <w:rPr>
          <w:lang w:val="en-CA"/>
        </w:rPr>
        <w:t xml:space="preserve"> </w:t>
      </w:r>
      <w:r w:rsidR="00E00C8D" w:rsidRPr="0088092F">
        <w:rPr>
          <w:lang w:val="en-CA"/>
        </w:rPr>
        <w:t xml:space="preserve">requires him to be isolated from the general </w:t>
      </w:r>
      <w:r w:rsidR="00461B74" w:rsidRPr="0088092F">
        <w:rPr>
          <w:lang w:val="en-CA"/>
        </w:rPr>
        <w:t xml:space="preserve">population </w:t>
      </w:r>
      <w:r w:rsidR="00E00C8D" w:rsidRPr="0088092F">
        <w:rPr>
          <w:lang w:val="en-CA"/>
        </w:rPr>
        <w:t xml:space="preserve">of prisoners, which the file in fact amply demonstrates; however, </w:t>
      </w:r>
      <w:r w:rsidR="00E00C8D" w:rsidRPr="0088092F">
        <w:rPr>
          <w:lang w:val="en-CA"/>
        </w:rPr>
        <w:lastRenderedPageBreak/>
        <w:t xml:space="preserve">he submits that the minimal </w:t>
      </w:r>
      <w:r w:rsidR="00461B74" w:rsidRPr="0088092F">
        <w:rPr>
          <w:lang w:val="en-CA"/>
        </w:rPr>
        <w:t>constitution</w:t>
      </w:r>
      <w:r w:rsidR="00E00C8D" w:rsidRPr="0088092F">
        <w:rPr>
          <w:lang w:val="en-CA"/>
        </w:rPr>
        <w:t>a</w:t>
      </w:r>
      <w:r w:rsidR="00461B74" w:rsidRPr="0088092F">
        <w:rPr>
          <w:lang w:val="en-CA"/>
        </w:rPr>
        <w:t>l</w:t>
      </w:r>
      <w:r w:rsidR="00E00C8D" w:rsidRPr="0088092F">
        <w:rPr>
          <w:lang w:val="en-CA"/>
        </w:rPr>
        <w:t xml:space="preserve"> requirements that must govern his confinement have not been met</w:t>
      </w:r>
      <w:r w:rsidR="00461B74" w:rsidRPr="0088092F">
        <w:rPr>
          <w:lang w:val="en-CA"/>
        </w:rPr>
        <w:t xml:space="preserve">.  </w:t>
      </w:r>
    </w:p>
    <w:p w14:paraId="019BF4B4" w14:textId="57B2F8E8" w:rsidR="00461B74" w:rsidRPr="0088092F" w:rsidRDefault="0027710D" w:rsidP="00461B74">
      <w:pPr>
        <w:pStyle w:val="Paragraphe"/>
        <w:spacing w:line="280" w:lineRule="exact"/>
        <w:rPr>
          <w:lang w:val="en-CA"/>
        </w:rPr>
      </w:pPr>
      <w:r w:rsidRPr="0088092F">
        <w:rPr>
          <w:lang w:val="en-CA"/>
        </w:rPr>
        <w:t xml:space="preserve">Although </w:t>
      </w:r>
      <w:r w:rsidR="002B53D5">
        <w:rPr>
          <w:lang w:val="en-CA"/>
        </w:rPr>
        <w:t>the Superior Court</w:t>
      </w:r>
      <w:r w:rsidRPr="0088092F">
        <w:rPr>
          <w:lang w:val="en-CA"/>
        </w:rPr>
        <w:t xml:space="preserve"> was extremely </w:t>
      </w:r>
      <w:r w:rsidR="002B53D5">
        <w:rPr>
          <w:lang w:val="en-CA"/>
        </w:rPr>
        <w:t>mindful</w:t>
      </w:r>
      <w:r w:rsidR="00F50E71" w:rsidRPr="0088092F">
        <w:rPr>
          <w:lang w:val="en-CA"/>
        </w:rPr>
        <w:t xml:space="preserve"> </w:t>
      </w:r>
      <w:r w:rsidR="002B53D5">
        <w:rPr>
          <w:lang w:val="en-CA"/>
        </w:rPr>
        <w:t>of</w:t>
      </w:r>
      <w:r w:rsidRPr="0088092F">
        <w:rPr>
          <w:lang w:val="en-CA"/>
        </w:rPr>
        <w:t xml:space="preserve"> the impact of the </w:t>
      </w:r>
      <w:r w:rsidR="00461B74" w:rsidRPr="0088092F">
        <w:rPr>
          <w:lang w:val="en-CA"/>
        </w:rPr>
        <w:t>appellant</w:t>
      </w:r>
      <w:r w:rsidRPr="0088092F">
        <w:rPr>
          <w:lang w:val="en-CA"/>
        </w:rPr>
        <w:t xml:space="preserve">’s confinement on his </w:t>
      </w:r>
      <w:r w:rsidR="00461B74" w:rsidRPr="0088092F">
        <w:rPr>
          <w:lang w:val="en-CA"/>
        </w:rPr>
        <w:t>mental</w:t>
      </w:r>
      <w:r w:rsidRPr="0088092F">
        <w:rPr>
          <w:lang w:val="en-CA"/>
        </w:rPr>
        <w:t xml:space="preserve"> </w:t>
      </w:r>
      <w:r w:rsidR="00461B74" w:rsidRPr="0088092F">
        <w:rPr>
          <w:lang w:val="en-CA"/>
        </w:rPr>
        <w:t xml:space="preserve">health, </w:t>
      </w:r>
      <w:r w:rsidR="002B53D5">
        <w:rPr>
          <w:lang w:val="en-CA"/>
        </w:rPr>
        <w:t>it</w:t>
      </w:r>
      <w:r w:rsidR="00461B74" w:rsidRPr="0088092F">
        <w:rPr>
          <w:lang w:val="en-CA"/>
        </w:rPr>
        <w:t xml:space="preserve"> </w:t>
      </w:r>
      <w:r w:rsidRPr="0088092F">
        <w:rPr>
          <w:lang w:val="en-CA"/>
        </w:rPr>
        <w:t xml:space="preserve">found that the </w:t>
      </w:r>
      <w:r w:rsidR="00461B74" w:rsidRPr="0088092F">
        <w:rPr>
          <w:lang w:val="en-CA"/>
        </w:rPr>
        <w:t>appellant</w:t>
      </w:r>
      <w:r w:rsidRPr="0088092F">
        <w:rPr>
          <w:lang w:val="en-CA"/>
        </w:rPr>
        <w:t>’s detention was not cruel and unusual</w:t>
      </w:r>
      <w:r w:rsidR="00461B74" w:rsidRPr="0088092F">
        <w:rPr>
          <w:lang w:val="en-CA"/>
        </w:rPr>
        <w:t>.</w:t>
      </w:r>
      <w:r w:rsidRPr="0088092F">
        <w:rPr>
          <w:lang w:val="en-CA"/>
        </w:rPr>
        <w:t xml:space="preserve"> However, it allowed his </w:t>
      </w:r>
      <w:r w:rsidR="00C83564" w:rsidRPr="0088092F">
        <w:rPr>
          <w:lang w:val="en-CA"/>
        </w:rPr>
        <w:t xml:space="preserve">motion for </w:t>
      </w:r>
      <w:r w:rsidR="00461B74" w:rsidRPr="0088092F">
        <w:rPr>
          <w:i/>
          <w:iCs/>
          <w:lang w:val="en-CA"/>
        </w:rPr>
        <w:t xml:space="preserve">habeas corpus </w:t>
      </w:r>
      <w:r w:rsidR="00C83564" w:rsidRPr="0088092F">
        <w:rPr>
          <w:iCs/>
          <w:lang w:val="en-CA"/>
        </w:rPr>
        <w:t>and ordered the correctional authorities [</w:t>
      </w:r>
      <w:r w:rsidR="00C83564" w:rsidRPr="0088092F">
        <w:rPr>
          <w:iCs/>
          <w:smallCaps/>
          <w:lang w:val="en-CA"/>
        </w:rPr>
        <w:t>translation</w:t>
      </w:r>
      <w:r w:rsidR="00C83564" w:rsidRPr="0088092F">
        <w:rPr>
          <w:iCs/>
          <w:lang w:val="en-CA"/>
        </w:rPr>
        <w:t xml:space="preserve">] “to </w:t>
      </w:r>
      <w:r w:rsidR="00E26B94" w:rsidRPr="0088092F">
        <w:rPr>
          <w:iCs/>
          <w:lang w:val="en-CA"/>
        </w:rPr>
        <w:t>implement</w:t>
      </w:r>
      <w:r w:rsidR="00C83564" w:rsidRPr="0088092F">
        <w:rPr>
          <w:iCs/>
          <w:lang w:val="en-CA"/>
        </w:rPr>
        <w:t xml:space="preserve"> an alternative</w:t>
      </w:r>
      <w:r w:rsidR="00233EED" w:rsidRPr="0088092F">
        <w:rPr>
          <w:iCs/>
          <w:lang w:val="en-CA"/>
        </w:rPr>
        <w:t>, within a reasonable time,</w:t>
      </w:r>
      <w:r w:rsidR="00C83564" w:rsidRPr="0088092F">
        <w:rPr>
          <w:iCs/>
          <w:lang w:val="en-CA"/>
        </w:rPr>
        <w:t xml:space="preserve"> </w:t>
      </w:r>
      <w:r w:rsidR="00936C68" w:rsidRPr="0088092F">
        <w:rPr>
          <w:iCs/>
          <w:lang w:val="en-CA"/>
        </w:rPr>
        <w:t xml:space="preserve">at the </w:t>
      </w:r>
      <w:r w:rsidR="00461B74" w:rsidRPr="0088092F">
        <w:rPr>
          <w:lang w:val="en-CA"/>
        </w:rPr>
        <w:t xml:space="preserve">Sorel </w:t>
      </w:r>
      <w:r w:rsidR="00936C68" w:rsidRPr="0088092F">
        <w:rPr>
          <w:lang w:val="en-CA"/>
        </w:rPr>
        <w:t xml:space="preserve">facility </w:t>
      </w:r>
      <w:r w:rsidR="00C83564" w:rsidRPr="0088092F">
        <w:rPr>
          <w:lang w:val="en-CA"/>
        </w:rPr>
        <w:t xml:space="preserve">or elsewhere, to </w:t>
      </w:r>
      <w:r w:rsidR="00461B74" w:rsidRPr="0088092F">
        <w:rPr>
          <w:lang w:val="en-CA"/>
        </w:rPr>
        <w:t>M</w:t>
      </w:r>
      <w:r w:rsidR="005F5294" w:rsidRPr="0088092F">
        <w:rPr>
          <w:lang w:val="en-CA"/>
        </w:rPr>
        <w:t>r</w:t>
      </w:r>
      <w:r w:rsidR="00461B74" w:rsidRPr="0088092F">
        <w:rPr>
          <w:lang w:val="en-CA"/>
        </w:rPr>
        <w:t>. Turbide-Labbé</w:t>
      </w:r>
      <w:r w:rsidR="005F5294" w:rsidRPr="0088092F">
        <w:rPr>
          <w:lang w:val="en-CA"/>
        </w:rPr>
        <w:t>’s</w:t>
      </w:r>
      <w:r w:rsidR="00461B74" w:rsidRPr="0088092F">
        <w:rPr>
          <w:lang w:val="en-CA"/>
        </w:rPr>
        <w:t xml:space="preserve"> </w:t>
      </w:r>
      <w:r w:rsidR="00AC1677" w:rsidRPr="0088092F">
        <w:rPr>
          <w:lang w:val="en-CA"/>
        </w:rPr>
        <w:t xml:space="preserve">detention </w:t>
      </w:r>
      <w:r w:rsidR="005F5294" w:rsidRPr="0088092F">
        <w:rPr>
          <w:lang w:val="en-CA"/>
        </w:rPr>
        <w:t xml:space="preserve">conditions depriving him of meaningful human contact in person and by </w:t>
      </w:r>
      <w:r w:rsidR="00461B74" w:rsidRPr="0088092F">
        <w:rPr>
          <w:lang w:val="en-CA"/>
        </w:rPr>
        <w:t>telephone</w:t>
      </w:r>
      <w:r w:rsidR="005F5294" w:rsidRPr="0088092F">
        <w:rPr>
          <w:lang w:val="en-CA"/>
        </w:rPr>
        <w:t>”</w:t>
      </w:r>
      <w:r w:rsidR="00461B74" w:rsidRPr="0088092F">
        <w:rPr>
          <w:lang w:val="en-CA"/>
        </w:rPr>
        <w:t>.</w:t>
      </w:r>
    </w:p>
    <w:p w14:paraId="57075D3A" w14:textId="02A83B34" w:rsidR="00461B74" w:rsidRPr="0088092F" w:rsidRDefault="00453504" w:rsidP="00461B74">
      <w:pPr>
        <w:pStyle w:val="Paragraphe"/>
        <w:spacing w:line="280" w:lineRule="exact"/>
        <w:rPr>
          <w:lang w:val="en-CA"/>
        </w:rPr>
      </w:pPr>
      <w:r w:rsidRPr="0088092F">
        <w:rPr>
          <w:lang w:val="en-CA"/>
        </w:rPr>
        <w:t>In his appeal b</w:t>
      </w:r>
      <w:r w:rsidR="00233EED" w:rsidRPr="0088092F">
        <w:rPr>
          <w:lang w:val="en-CA"/>
        </w:rPr>
        <w:t xml:space="preserve">efore this </w:t>
      </w:r>
      <w:r w:rsidR="00461B74" w:rsidRPr="0088092F">
        <w:rPr>
          <w:lang w:val="en-CA"/>
        </w:rPr>
        <w:t xml:space="preserve">Court, </w:t>
      </w:r>
      <w:r w:rsidR="00461DA5" w:rsidRPr="0088092F">
        <w:rPr>
          <w:lang w:val="en-CA"/>
        </w:rPr>
        <w:t xml:space="preserve">the </w:t>
      </w:r>
      <w:r w:rsidR="00461B74" w:rsidRPr="0088092F">
        <w:rPr>
          <w:lang w:val="en-CA"/>
        </w:rPr>
        <w:t>appellant</w:t>
      </w:r>
      <w:r w:rsidRPr="0088092F">
        <w:rPr>
          <w:lang w:val="en-CA"/>
        </w:rPr>
        <w:t xml:space="preserve"> </w:t>
      </w:r>
      <w:r w:rsidR="00461B74" w:rsidRPr="0088092F">
        <w:rPr>
          <w:lang w:val="en-CA"/>
        </w:rPr>
        <w:t>raise</w:t>
      </w:r>
      <w:r w:rsidR="002F506A">
        <w:rPr>
          <w:lang w:val="en-CA"/>
        </w:rPr>
        <w:t>s</w:t>
      </w:r>
      <w:r w:rsidR="00461DA5" w:rsidRPr="0088092F">
        <w:rPr>
          <w:lang w:val="en-CA"/>
        </w:rPr>
        <w:t xml:space="preserve"> a </w:t>
      </w:r>
      <w:r w:rsidR="00461B74" w:rsidRPr="0088092F">
        <w:rPr>
          <w:lang w:val="en-CA"/>
        </w:rPr>
        <w:t>constitutional</w:t>
      </w:r>
      <w:r w:rsidR="00461DA5" w:rsidRPr="0088092F">
        <w:rPr>
          <w:lang w:val="en-CA"/>
        </w:rPr>
        <w:t xml:space="preserve"> </w:t>
      </w:r>
      <w:r w:rsidR="00461B74" w:rsidRPr="0088092F">
        <w:rPr>
          <w:lang w:val="en-CA"/>
        </w:rPr>
        <w:t>challenge</w:t>
      </w:r>
      <w:r w:rsidR="00461DA5" w:rsidRPr="0088092F">
        <w:rPr>
          <w:lang w:val="en-CA"/>
        </w:rPr>
        <w:t xml:space="preserve"> to the solitary confinement of prisoners</w:t>
      </w:r>
      <w:r w:rsidR="001848DD" w:rsidRPr="001848DD">
        <w:rPr>
          <w:lang w:val="en-CA"/>
        </w:rPr>
        <w:t xml:space="preserve"> </w:t>
      </w:r>
      <w:r w:rsidR="001848DD" w:rsidRPr="0088092F">
        <w:rPr>
          <w:lang w:val="en-CA"/>
        </w:rPr>
        <w:t>for the first time</w:t>
      </w:r>
      <w:r w:rsidR="00461B74" w:rsidRPr="0088092F">
        <w:rPr>
          <w:lang w:val="en-CA"/>
        </w:rPr>
        <w:t>.</w:t>
      </w:r>
    </w:p>
    <w:p w14:paraId="509070FB" w14:textId="0DC211C9" w:rsidR="00461B74" w:rsidRPr="0088092F" w:rsidRDefault="00461DA5" w:rsidP="00461B74">
      <w:pPr>
        <w:pStyle w:val="Paragraphe"/>
        <w:spacing w:line="280" w:lineRule="exact"/>
        <w:rPr>
          <w:lang w:val="en-CA"/>
        </w:rPr>
      </w:pPr>
      <w:r w:rsidRPr="0088092F">
        <w:rPr>
          <w:lang w:val="en-CA"/>
        </w:rPr>
        <w:t xml:space="preserve">For the reasons that follow, I am of the view that </w:t>
      </w:r>
      <w:r w:rsidR="000230D8">
        <w:rPr>
          <w:lang w:val="en-CA"/>
        </w:rPr>
        <w:t>despite</w:t>
      </w:r>
      <w:r w:rsidR="000230D8" w:rsidRPr="0088092F">
        <w:rPr>
          <w:lang w:val="en-CA"/>
        </w:rPr>
        <w:t xml:space="preserve"> </w:t>
      </w:r>
      <w:r w:rsidRPr="0088092F">
        <w:rPr>
          <w:lang w:val="en-CA"/>
        </w:rPr>
        <w:t xml:space="preserve">the </w:t>
      </w:r>
      <w:r w:rsidR="00461B74" w:rsidRPr="0088092F">
        <w:rPr>
          <w:lang w:val="en-CA"/>
        </w:rPr>
        <w:t>appeal</w:t>
      </w:r>
      <w:r w:rsidRPr="0088092F">
        <w:rPr>
          <w:lang w:val="en-CA"/>
        </w:rPr>
        <w:t xml:space="preserve"> </w:t>
      </w:r>
      <w:r w:rsidR="000230D8">
        <w:rPr>
          <w:lang w:val="en-CA"/>
        </w:rPr>
        <w:t>being</w:t>
      </w:r>
      <w:r w:rsidR="000230D8" w:rsidRPr="0088092F">
        <w:rPr>
          <w:lang w:val="en-CA"/>
        </w:rPr>
        <w:t xml:space="preserve"> </w:t>
      </w:r>
      <w:r w:rsidRPr="0088092F">
        <w:rPr>
          <w:lang w:val="en-CA"/>
        </w:rPr>
        <w:t xml:space="preserve">moot </w:t>
      </w:r>
      <w:r w:rsidRPr="0088092F">
        <w:rPr>
          <w:rFonts w:cs="Arial"/>
          <w:szCs w:val="24"/>
          <w:lang w:val="en-CA"/>
        </w:rPr>
        <w:t>given that the appellant was transferred to another detention facility, a ruling is necessary</w:t>
      </w:r>
      <w:r w:rsidR="00461B74" w:rsidRPr="0088092F">
        <w:rPr>
          <w:lang w:val="en-CA"/>
        </w:rPr>
        <w:t xml:space="preserve">. </w:t>
      </w:r>
    </w:p>
    <w:p w14:paraId="504B3C9A" w14:textId="77777777" w:rsidR="00461B74" w:rsidRPr="0088092F" w:rsidRDefault="00461B74" w:rsidP="00461B74">
      <w:pPr>
        <w:pStyle w:val="Titre1"/>
        <w:spacing w:line="280" w:lineRule="exact"/>
        <w:rPr>
          <w:lang w:val="en-CA"/>
        </w:rPr>
      </w:pPr>
      <w:bookmarkStart w:id="11" w:name="_Toc85547009"/>
      <w:r w:rsidRPr="0088092F">
        <w:rPr>
          <w:lang w:val="en-CA"/>
        </w:rPr>
        <w:t>II -</w:t>
      </w:r>
      <w:r w:rsidRPr="0088092F">
        <w:rPr>
          <w:lang w:val="en-CA"/>
        </w:rPr>
        <w:tab/>
      </w:r>
      <w:bookmarkEnd w:id="11"/>
      <w:r w:rsidR="001F6648" w:rsidRPr="0088092F">
        <w:rPr>
          <w:lang w:val="en-CA"/>
        </w:rPr>
        <w:t>BACKGROUND</w:t>
      </w:r>
    </w:p>
    <w:p w14:paraId="7160BD9A" w14:textId="101BB540" w:rsidR="00461B74" w:rsidRPr="0088092F" w:rsidRDefault="00453504" w:rsidP="00461B74">
      <w:pPr>
        <w:pStyle w:val="Paragraphe"/>
        <w:spacing w:line="280" w:lineRule="exact"/>
        <w:rPr>
          <w:lang w:val="en-CA"/>
        </w:rPr>
      </w:pPr>
      <w:r w:rsidRPr="0088092F">
        <w:rPr>
          <w:lang w:val="en-CA"/>
        </w:rPr>
        <w:t xml:space="preserve">Before setting out a summary of the facts, </w:t>
      </w:r>
      <w:r w:rsidR="009E0716" w:rsidRPr="0088092F">
        <w:rPr>
          <w:lang w:val="en-CA"/>
        </w:rPr>
        <w:t>some background is in order</w:t>
      </w:r>
      <w:r w:rsidR="00461B74" w:rsidRPr="0088092F">
        <w:rPr>
          <w:lang w:val="en-CA"/>
        </w:rPr>
        <w:t xml:space="preserve">. </w:t>
      </w:r>
    </w:p>
    <w:p w14:paraId="2756BF19" w14:textId="600CA662" w:rsidR="00461B74" w:rsidRPr="0088092F" w:rsidRDefault="007159D8" w:rsidP="00461B74">
      <w:pPr>
        <w:pStyle w:val="Paragraphe"/>
        <w:spacing w:line="280" w:lineRule="exact"/>
        <w:rPr>
          <w:lang w:val="en-CA"/>
        </w:rPr>
      </w:pPr>
      <w:r w:rsidRPr="0088092F">
        <w:rPr>
          <w:lang w:val="en-CA"/>
        </w:rPr>
        <w:t xml:space="preserve">It is not easy to draw strong and specific conclusions from the </w:t>
      </w:r>
      <w:r w:rsidR="00461B74" w:rsidRPr="0088092F">
        <w:rPr>
          <w:lang w:val="en-CA"/>
        </w:rPr>
        <w:t>record</w:t>
      </w:r>
      <w:r w:rsidRPr="0088092F">
        <w:rPr>
          <w:lang w:val="en-CA"/>
        </w:rPr>
        <w:t xml:space="preserve"> </w:t>
      </w:r>
      <w:r w:rsidR="00F903E4">
        <w:rPr>
          <w:lang w:val="en-CA"/>
        </w:rPr>
        <w:t>about</w:t>
      </w:r>
      <w:r w:rsidRPr="0088092F">
        <w:rPr>
          <w:lang w:val="en-CA"/>
        </w:rPr>
        <w:t xml:space="preserve"> the appellant’s various periods of de</w:t>
      </w:r>
      <w:r w:rsidR="00461B74" w:rsidRPr="0088092F">
        <w:rPr>
          <w:lang w:val="en-CA"/>
        </w:rPr>
        <w:t>tention</w:t>
      </w:r>
      <w:r w:rsidRPr="0088092F">
        <w:rPr>
          <w:lang w:val="en-CA"/>
        </w:rPr>
        <w:t>,</w:t>
      </w:r>
      <w:r w:rsidR="00461B74" w:rsidRPr="0088092F">
        <w:rPr>
          <w:rStyle w:val="Appelnotedebasdep"/>
          <w:bCs/>
          <w:lang w:val="en-CA"/>
        </w:rPr>
        <w:footnoteReference w:id="3"/>
      </w:r>
      <w:r w:rsidRPr="0088092F">
        <w:rPr>
          <w:lang w:val="en-CA"/>
        </w:rPr>
        <w:t xml:space="preserve"> the </w:t>
      </w:r>
      <w:r w:rsidR="00461B74" w:rsidRPr="0088092F">
        <w:rPr>
          <w:lang w:val="en-CA"/>
        </w:rPr>
        <w:t xml:space="preserve">conditions </w:t>
      </w:r>
      <w:r w:rsidRPr="0088092F">
        <w:rPr>
          <w:lang w:val="en-CA"/>
        </w:rPr>
        <w:t xml:space="preserve">surrounding them, or their </w:t>
      </w:r>
      <w:r w:rsidR="00FF6182">
        <w:rPr>
          <w:lang w:val="en-CA"/>
        </w:rPr>
        <w:t>respective</w:t>
      </w:r>
      <w:r w:rsidR="00CE6449">
        <w:rPr>
          <w:lang w:val="en-CA"/>
        </w:rPr>
        <w:t xml:space="preserve"> l</w:t>
      </w:r>
      <w:r w:rsidRPr="0088092F">
        <w:rPr>
          <w:lang w:val="en-CA"/>
        </w:rPr>
        <w:t>egal bas</w:t>
      </w:r>
      <w:r w:rsidR="00CE6449">
        <w:rPr>
          <w:lang w:val="en-CA"/>
        </w:rPr>
        <w:t>e</w:t>
      </w:r>
      <w:r w:rsidRPr="0088092F">
        <w:rPr>
          <w:lang w:val="en-CA"/>
        </w:rPr>
        <w:t>s</w:t>
      </w:r>
      <w:r w:rsidR="00461B74" w:rsidRPr="0088092F">
        <w:rPr>
          <w:lang w:val="en-CA"/>
        </w:rPr>
        <w:t xml:space="preserve">.  </w:t>
      </w:r>
    </w:p>
    <w:p w14:paraId="45EDE930" w14:textId="41F2457F" w:rsidR="00461B74" w:rsidRPr="0088092F" w:rsidRDefault="007159D8" w:rsidP="00461B74">
      <w:pPr>
        <w:pStyle w:val="Paragraphe"/>
        <w:spacing w:line="280" w:lineRule="exact"/>
        <w:rPr>
          <w:lang w:val="en-CA"/>
        </w:rPr>
      </w:pPr>
      <w:r w:rsidRPr="0088092F">
        <w:rPr>
          <w:lang w:val="en-CA"/>
        </w:rPr>
        <w:t>It is necessary to make that observation from the outset, as it is important to acknowledge the challenge</w:t>
      </w:r>
      <w:r w:rsidR="00071740" w:rsidRPr="0088092F">
        <w:rPr>
          <w:lang w:val="en-CA"/>
        </w:rPr>
        <w:t xml:space="preserve"> faced by </w:t>
      </w:r>
      <w:r w:rsidR="00461B74" w:rsidRPr="0088092F">
        <w:rPr>
          <w:lang w:val="en-CA"/>
        </w:rPr>
        <w:t>Superior</w:t>
      </w:r>
      <w:r w:rsidR="00071740" w:rsidRPr="0088092F">
        <w:rPr>
          <w:lang w:val="en-CA"/>
        </w:rPr>
        <w:t xml:space="preserve"> </w:t>
      </w:r>
      <w:r w:rsidR="00461B74" w:rsidRPr="0088092F">
        <w:rPr>
          <w:lang w:val="en-CA"/>
        </w:rPr>
        <w:t>Court</w:t>
      </w:r>
      <w:r w:rsidR="00071740" w:rsidRPr="0088092F">
        <w:rPr>
          <w:lang w:val="en-CA"/>
        </w:rPr>
        <w:t xml:space="preserve"> judges, who </w:t>
      </w:r>
      <w:r w:rsidR="00FF6182">
        <w:rPr>
          <w:lang w:val="en-CA"/>
        </w:rPr>
        <w:t xml:space="preserve">must </w:t>
      </w:r>
      <w:r w:rsidR="00071740" w:rsidRPr="0088092F">
        <w:rPr>
          <w:lang w:val="en-CA"/>
        </w:rPr>
        <w:t xml:space="preserve">rule on </w:t>
      </w:r>
      <w:r w:rsidR="00461B74" w:rsidRPr="0088092F">
        <w:rPr>
          <w:lang w:val="en-CA"/>
        </w:rPr>
        <w:t>applications</w:t>
      </w:r>
      <w:r w:rsidR="00071740" w:rsidRPr="0088092F">
        <w:rPr>
          <w:lang w:val="en-CA"/>
        </w:rPr>
        <w:t xml:space="preserve"> for </w:t>
      </w:r>
      <w:r w:rsidR="00461B74" w:rsidRPr="0088092F">
        <w:rPr>
          <w:i/>
          <w:iCs/>
          <w:lang w:val="en-CA"/>
        </w:rPr>
        <w:t>habeas corpus</w:t>
      </w:r>
      <w:r w:rsidR="00461B74" w:rsidRPr="0088092F">
        <w:rPr>
          <w:lang w:val="en-CA"/>
        </w:rPr>
        <w:t xml:space="preserve"> </w:t>
      </w:r>
      <w:r w:rsidR="00071740" w:rsidRPr="0088092F">
        <w:rPr>
          <w:lang w:val="en-CA"/>
        </w:rPr>
        <w:t xml:space="preserve">concerning </w:t>
      </w:r>
      <w:r w:rsidR="00461B74" w:rsidRPr="0088092F">
        <w:rPr>
          <w:lang w:val="en-CA"/>
        </w:rPr>
        <w:t>situation</w:t>
      </w:r>
      <w:r w:rsidR="00071740" w:rsidRPr="0088092F">
        <w:rPr>
          <w:lang w:val="en-CA"/>
        </w:rPr>
        <w:t>s of solitary confinement in the Quebec correctional system</w:t>
      </w:r>
      <w:r w:rsidR="00BD289D">
        <w:rPr>
          <w:lang w:val="en-CA"/>
        </w:rPr>
        <w:t xml:space="preserve"> – a</w:t>
      </w:r>
      <w:r w:rsidR="00071740" w:rsidRPr="0088092F">
        <w:rPr>
          <w:lang w:val="en-CA"/>
        </w:rPr>
        <w:t>n exercise that is not easy due to the absence of clear rules</w:t>
      </w:r>
      <w:r w:rsidR="00461B74" w:rsidRPr="0088092F">
        <w:rPr>
          <w:lang w:val="en-CA"/>
        </w:rPr>
        <w:t>.</w:t>
      </w:r>
    </w:p>
    <w:p w14:paraId="5317BEBD" w14:textId="7B8DCAC3" w:rsidR="00461B74" w:rsidRPr="0088092F" w:rsidRDefault="00071740" w:rsidP="00461B74">
      <w:pPr>
        <w:pStyle w:val="Paragraphe"/>
        <w:spacing w:line="280" w:lineRule="exact"/>
        <w:rPr>
          <w:lang w:val="en-CA"/>
        </w:rPr>
      </w:pPr>
      <w:r w:rsidRPr="0088092F">
        <w:rPr>
          <w:lang w:val="en-CA"/>
        </w:rPr>
        <w:t>Indeed, the Quebec correctional system distinguishes</w:t>
      </w:r>
      <w:r w:rsidR="00D32A2F" w:rsidRPr="0088092F">
        <w:rPr>
          <w:lang w:val="en-CA"/>
        </w:rPr>
        <w:t xml:space="preserve"> </w:t>
      </w:r>
      <w:r w:rsidR="00FA1C56" w:rsidRPr="0088092F">
        <w:rPr>
          <w:lang w:val="en-CA"/>
        </w:rPr>
        <w:t xml:space="preserve">between </w:t>
      </w:r>
      <w:r w:rsidR="00D32A2F" w:rsidRPr="0088092F">
        <w:rPr>
          <w:lang w:val="en-CA"/>
        </w:rPr>
        <w:t xml:space="preserve">administrative segregation </w:t>
      </w:r>
      <w:r w:rsidR="00FA1C56" w:rsidRPr="0088092F">
        <w:rPr>
          <w:lang w:val="en-CA"/>
        </w:rPr>
        <w:t>relat</w:t>
      </w:r>
      <w:r w:rsidR="00FF6182">
        <w:rPr>
          <w:lang w:val="en-CA"/>
        </w:rPr>
        <w:t>ing</w:t>
      </w:r>
      <w:r w:rsidR="00FA1C56" w:rsidRPr="0088092F">
        <w:rPr>
          <w:lang w:val="en-CA"/>
        </w:rPr>
        <w:t xml:space="preserve"> to contraband,</w:t>
      </w:r>
      <w:r w:rsidR="00461B74" w:rsidRPr="0088092F">
        <w:rPr>
          <w:rStyle w:val="Appelnotedebasdep"/>
          <w:lang w:val="en-CA"/>
        </w:rPr>
        <w:footnoteReference w:id="4"/>
      </w:r>
      <w:r w:rsidR="00FA1C56" w:rsidRPr="0088092F">
        <w:rPr>
          <w:lang w:val="en-CA"/>
        </w:rPr>
        <w:t xml:space="preserve"> </w:t>
      </w:r>
      <w:r w:rsidR="00924E4F" w:rsidRPr="0088092F">
        <w:rPr>
          <w:lang w:val="en-CA"/>
        </w:rPr>
        <w:t xml:space="preserve">on the one hand, </w:t>
      </w:r>
      <w:r w:rsidR="00FA1C56" w:rsidRPr="0088092F">
        <w:rPr>
          <w:lang w:val="en-CA"/>
        </w:rPr>
        <w:t>and confinement</w:t>
      </w:r>
      <w:r w:rsidR="00461B74" w:rsidRPr="0088092F">
        <w:rPr>
          <w:rStyle w:val="Appelnotedebasdep"/>
          <w:lang w:val="en-CA"/>
        </w:rPr>
        <w:footnoteReference w:id="5"/>
      </w:r>
      <w:r w:rsidR="00FA1C56" w:rsidRPr="0088092F">
        <w:rPr>
          <w:lang w:val="en-CA"/>
        </w:rPr>
        <w:t xml:space="preserve"> and solitary confinement</w:t>
      </w:r>
      <w:r w:rsidR="00461B74" w:rsidRPr="0088092F">
        <w:rPr>
          <w:rStyle w:val="Appelnotedebasdep"/>
          <w:lang w:val="en-CA"/>
        </w:rPr>
        <w:footnoteReference w:id="6"/>
      </w:r>
      <w:r w:rsidR="00461B74" w:rsidRPr="0088092F">
        <w:rPr>
          <w:lang w:val="en-CA"/>
        </w:rPr>
        <w:t xml:space="preserve"> r</w:t>
      </w:r>
      <w:r w:rsidR="00FA1C56" w:rsidRPr="0088092F">
        <w:rPr>
          <w:lang w:val="en-CA"/>
        </w:rPr>
        <w:t>e</w:t>
      </w:r>
      <w:r w:rsidR="00461B74" w:rsidRPr="0088092F">
        <w:rPr>
          <w:lang w:val="en-CA"/>
        </w:rPr>
        <w:t>sult</w:t>
      </w:r>
      <w:r w:rsidR="00FA1C56" w:rsidRPr="0088092F">
        <w:rPr>
          <w:lang w:val="en-CA"/>
        </w:rPr>
        <w:t>ing from a disciplinary offence</w:t>
      </w:r>
      <w:r w:rsidR="00924E4F" w:rsidRPr="0088092F">
        <w:rPr>
          <w:lang w:val="en-CA"/>
        </w:rPr>
        <w:t>, on the other</w:t>
      </w:r>
      <w:r w:rsidR="00461B74" w:rsidRPr="0088092F">
        <w:rPr>
          <w:lang w:val="en-CA"/>
        </w:rPr>
        <w:t xml:space="preserve">. </w:t>
      </w:r>
    </w:p>
    <w:p w14:paraId="50FD2C81" w14:textId="1A9CA0C4" w:rsidR="00461B74" w:rsidRPr="0088092F" w:rsidRDefault="009C5B2B" w:rsidP="00461B74">
      <w:pPr>
        <w:pStyle w:val="Paragraphe"/>
        <w:spacing w:line="280" w:lineRule="exact"/>
        <w:rPr>
          <w:lang w:val="en-CA"/>
        </w:rPr>
      </w:pPr>
      <w:r w:rsidRPr="0088092F">
        <w:rPr>
          <w:lang w:val="en-CA"/>
        </w:rPr>
        <w:t xml:space="preserve">Contrary to the federal correctional system, however, there is no specific statutory or regulatory provision </w:t>
      </w:r>
      <w:r w:rsidR="00F344AC">
        <w:rPr>
          <w:lang w:val="en-CA"/>
        </w:rPr>
        <w:t>setting out</w:t>
      </w:r>
      <w:r w:rsidR="00CA53BE">
        <w:rPr>
          <w:lang w:val="en-CA"/>
        </w:rPr>
        <w:t xml:space="preserve"> guidelines for correctional authorities to make decisions about</w:t>
      </w:r>
      <w:r w:rsidR="002A08A9" w:rsidRPr="0088092F">
        <w:rPr>
          <w:lang w:val="en-CA"/>
        </w:rPr>
        <w:t xml:space="preserve"> discretionary solitary confinement, that is, solitary confinement </w:t>
      </w:r>
      <w:r w:rsidR="007607D9" w:rsidRPr="0088092F">
        <w:rPr>
          <w:lang w:val="en-CA"/>
        </w:rPr>
        <w:t xml:space="preserve">necessary for </w:t>
      </w:r>
      <w:r w:rsidR="007607D9" w:rsidRPr="0088092F">
        <w:rPr>
          <w:lang w:val="en-CA"/>
        </w:rPr>
        <w:lastRenderedPageBreak/>
        <w:t>security within a correctional facility, the security of other inmates, or the inmate himself or herself</w:t>
      </w:r>
      <w:r w:rsidR="00461B74" w:rsidRPr="0088092F">
        <w:rPr>
          <w:lang w:val="en-CA"/>
        </w:rPr>
        <w:t xml:space="preserve">. </w:t>
      </w:r>
    </w:p>
    <w:p w14:paraId="1BA13485" w14:textId="0722EEB5" w:rsidR="00461B74" w:rsidRPr="0088092F" w:rsidRDefault="00131A1E" w:rsidP="00461B74">
      <w:pPr>
        <w:pStyle w:val="Paragraphe"/>
        <w:spacing w:line="280" w:lineRule="exact"/>
        <w:rPr>
          <w:lang w:val="en-CA"/>
        </w:rPr>
      </w:pPr>
      <w:r w:rsidRPr="0088092F">
        <w:rPr>
          <w:lang w:val="en-CA"/>
        </w:rPr>
        <w:t xml:space="preserve">When questioned at the hearing, counsel for the </w:t>
      </w:r>
      <w:r w:rsidR="00D76941" w:rsidRPr="0088092F">
        <w:rPr>
          <w:lang w:val="en-CA"/>
        </w:rPr>
        <w:t>M</w:t>
      </w:r>
      <w:r w:rsidR="00461B74" w:rsidRPr="0088092F">
        <w:rPr>
          <w:lang w:val="en-CA"/>
        </w:rPr>
        <w:t xml:space="preserve">inistère de la Sécurité publique </w:t>
      </w:r>
      <w:r w:rsidR="00D76941" w:rsidRPr="0088092F">
        <w:rPr>
          <w:lang w:val="en-CA"/>
        </w:rPr>
        <w:t xml:space="preserve">and for the </w:t>
      </w:r>
      <w:r w:rsidR="00461B74" w:rsidRPr="0088092F">
        <w:rPr>
          <w:lang w:val="en-CA"/>
        </w:rPr>
        <w:t>Attorney</w:t>
      </w:r>
      <w:r w:rsidR="00D76941" w:rsidRPr="0088092F">
        <w:rPr>
          <w:lang w:val="en-CA"/>
        </w:rPr>
        <w:t xml:space="preserve"> </w:t>
      </w:r>
      <w:r w:rsidR="00461B74" w:rsidRPr="0088092F">
        <w:rPr>
          <w:lang w:val="en-CA"/>
        </w:rPr>
        <w:t>General</w:t>
      </w:r>
      <w:r w:rsidR="00D76941" w:rsidRPr="0088092F">
        <w:rPr>
          <w:lang w:val="en-CA"/>
        </w:rPr>
        <w:t xml:space="preserve"> acknowledged that there </w:t>
      </w:r>
      <w:r w:rsidR="00C55BF7">
        <w:rPr>
          <w:lang w:val="en-CA"/>
        </w:rPr>
        <w:t>are no specific guidelines concerning</w:t>
      </w:r>
      <w:r w:rsidR="00D76941" w:rsidRPr="0088092F">
        <w:rPr>
          <w:lang w:val="en-CA"/>
        </w:rPr>
        <w:t xml:space="preserve"> solitary confinement in the </w:t>
      </w:r>
      <w:r w:rsidR="0029725C" w:rsidRPr="0088092F">
        <w:rPr>
          <w:i/>
          <w:lang w:val="en-CA"/>
        </w:rPr>
        <w:t>Act respecting the Québec correctional system</w:t>
      </w:r>
      <w:r w:rsidR="00461B74" w:rsidRPr="0088092F">
        <w:rPr>
          <w:lang w:val="en-CA"/>
        </w:rPr>
        <w:t xml:space="preserve"> (</w:t>
      </w:r>
      <w:r w:rsidR="0029725C" w:rsidRPr="0088092F">
        <w:rPr>
          <w:lang w:val="en-CA"/>
        </w:rPr>
        <w:t>“</w:t>
      </w:r>
      <w:r w:rsidR="0029725C" w:rsidRPr="00BD289D">
        <w:rPr>
          <w:i/>
          <w:lang w:val="en-CA"/>
        </w:rPr>
        <w:t>AQCS</w:t>
      </w:r>
      <w:r w:rsidR="0029725C" w:rsidRPr="0088092F">
        <w:rPr>
          <w:lang w:val="en-CA"/>
        </w:rPr>
        <w:t>”</w:t>
      </w:r>
      <w:r w:rsidR="00461B74" w:rsidRPr="0088092F">
        <w:rPr>
          <w:lang w:val="en-CA"/>
        </w:rPr>
        <w:t xml:space="preserve">) </w:t>
      </w:r>
      <w:r w:rsidR="00D76941" w:rsidRPr="0088092F">
        <w:rPr>
          <w:lang w:val="en-CA"/>
        </w:rPr>
        <w:t xml:space="preserve">or </w:t>
      </w:r>
      <w:r w:rsidR="0029725C" w:rsidRPr="0088092F">
        <w:rPr>
          <w:lang w:val="en-CA"/>
        </w:rPr>
        <w:t xml:space="preserve">its </w:t>
      </w:r>
      <w:r w:rsidR="0029725C" w:rsidRPr="0088092F">
        <w:rPr>
          <w:i/>
          <w:lang w:val="en-CA"/>
        </w:rPr>
        <w:t xml:space="preserve">Regulation </w:t>
      </w:r>
      <w:r w:rsidR="00461B74" w:rsidRPr="0088092F">
        <w:rPr>
          <w:lang w:val="en-CA"/>
        </w:rPr>
        <w:t>(</w:t>
      </w:r>
      <w:r w:rsidR="0029725C" w:rsidRPr="0088092F">
        <w:rPr>
          <w:lang w:val="en-CA"/>
        </w:rPr>
        <w:t>“</w:t>
      </w:r>
      <w:r w:rsidR="0029725C" w:rsidRPr="00BD289D">
        <w:rPr>
          <w:i/>
          <w:lang w:val="en-CA"/>
        </w:rPr>
        <w:t>RAQSC</w:t>
      </w:r>
      <w:r w:rsidR="0029725C" w:rsidRPr="0088092F">
        <w:rPr>
          <w:lang w:val="en-CA"/>
        </w:rPr>
        <w:t>”</w:t>
      </w:r>
      <w:r w:rsidR="00461B74" w:rsidRPr="0088092F">
        <w:rPr>
          <w:lang w:val="en-CA"/>
        </w:rPr>
        <w:t>)</w:t>
      </w:r>
      <w:r w:rsidR="00D76941" w:rsidRPr="0088092F">
        <w:rPr>
          <w:lang w:val="en-CA"/>
        </w:rPr>
        <w:t xml:space="preserve"> for </w:t>
      </w:r>
      <w:r w:rsidR="00461B74" w:rsidRPr="0088092F">
        <w:rPr>
          <w:lang w:val="en-CA"/>
        </w:rPr>
        <w:t xml:space="preserve">situations </w:t>
      </w:r>
      <w:r w:rsidR="00C0046B" w:rsidRPr="0088092F">
        <w:rPr>
          <w:lang w:val="en-CA"/>
        </w:rPr>
        <w:t xml:space="preserve">that are not covered by </w:t>
      </w:r>
      <w:r w:rsidR="00461B74" w:rsidRPr="0088092F">
        <w:rPr>
          <w:lang w:val="en-CA"/>
        </w:rPr>
        <w:t xml:space="preserve">sections 31 </w:t>
      </w:r>
      <w:r w:rsidR="00C0046B" w:rsidRPr="0088092F">
        <w:rPr>
          <w:lang w:val="en-CA"/>
        </w:rPr>
        <w:t xml:space="preserve">and </w:t>
      </w:r>
      <w:r w:rsidR="00461B74" w:rsidRPr="0088092F">
        <w:rPr>
          <w:lang w:val="en-CA"/>
        </w:rPr>
        <w:t xml:space="preserve">74 </w:t>
      </w:r>
      <w:r w:rsidR="00C0046B" w:rsidRPr="0088092F">
        <w:rPr>
          <w:lang w:val="en-CA"/>
        </w:rPr>
        <w:t xml:space="preserve">of the </w:t>
      </w:r>
      <w:r w:rsidR="00461B74" w:rsidRPr="00BD289D">
        <w:rPr>
          <w:i/>
          <w:lang w:val="en-CA"/>
        </w:rPr>
        <w:t>R</w:t>
      </w:r>
      <w:r w:rsidR="002F2810" w:rsidRPr="00BD289D">
        <w:rPr>
          <w:i/>
          <w:lang w:val="en-CA"/>
        </w:rPr>
        <w:t>AQCS</w:t>
      </w:r>
      <w:r w:rsidR="00461B74" w:rsidRPr="0088092F">
        <w:rPr>
          <w:lang w:val="en-CA"/>
        </w:rPr>
        <w:t xml:space="preserve">.  </w:t>
      </w:r>
    </w:p>
    <w:p w14:paraId="12689C20" w14:textId="63E26CA4" w:rsidR="00461B74" w:rsidRPr="0088092F" w:rsidRDefault="00C0046B" w:rsidP="00461B74">
      <w:pPr>
        <w:pStyle w:val="Paragraphe"/>
        <w:spacing w:line="280" w:lineRule="exact"/>
        <w:rPr>
          <w:lang w:val="en-CA"/>
        </w:rPr>
      </w:pPr>
      <w:r w:rsidRPr="0088092F">
        <w:rPr>
          <w:lang w:val="en-CA"/>
        </w:rPr>
        <w:t xml:space="preserve">In </w:t>
      </w:r>
      <w:r w:rsidR="00BD289D">
        <w:rPr>
          <w:lang w:val="en-CA"/>
        </w:rPr>
        <w:t>his</w:t>
      </w:r>
      <w:r w:rsidRPr="0088092F">
        <w:rPr>
          <w:lang w:val="en-CA"/>
        </w:rPr>
        <w:t xml:space="preserve"> view, </w:t>
      </w:r>
      <w:r w:rsidR="00461B74" w:rsidRPr="0088092F">
        <w:rPr>
          <w:lang w:val="en-CA"/>
        </w:rPr>
        <w:t>decisions</w:t>
      </w:r>
      <w:r w:rsidRPr="0088092F">
        <w:rPr>
          <w:lang w:val="en-CA"/>
        </w:rPr>
        <w:t xml:space="preserve"> made in this regard fall under the </w:t>
      </w:r>
      <w:r w:rsidR="00461B74" w:rsidRPr="0088092F">
        <w:rPr>
          <w:lang w:val="en-CA"/>
        </w:rPr>
        <w:t>discretion</w:t>
      </w:r>
      <w:r w:rsidRPr="0088092F">
        <w:rPr>
          <w:lang w:val="en-CA"/>
        </w:rPr>
        <w:t xml:space="preserve"> of the facility director granted by the </w:t>
      </w:r>
      <w:r w:rsidR="00461B74" w:rsidRPr="0088092F">
        <w:rPr>
          <w:lang w:val="en-CA"/>
        </w:rPr>
        <w:t>second</w:t>
      </w:r>
      <w:r w:rsidRPr="0088092F">
        <w:rPr>
          <w:lang w:val="en-CA"/>
        </w:rPr>
        <w:t xml:space="preserve"> </w:t>
      </w:r>
      <w:r w:rsidR="00461B74" w:rsidRPr="0088092F">
        <w:rPr>
          <w:lang w:val="en-CA"/>
        </w:rPr>
        <w:t>paragraph</w:t>
      </w:r>
      <w:r w:rsidRPr="0088092F">
        <w:rPr>
          <w:lang w:val="en-CA"/>
        </w:rPr>
        <w:t xml:space="preserve"> </w:t>
      </w:r>
      <w:r w:rsidR="00461B74" w:rsidRPr="0088092F">
        <w:rPr>
          <w:lang w:val="en-CA"/>
        </w:rPr>
        <w:t>of</w:t>
      </w:r>
      <w:r w:rsidRPr="0088092F">
        <w:rPr>
          <w:lang w:val="en-CA"/>
        </w:rPr>
        <w:t xml:space="preserve"> section </w:t>
      </w:r>
      <w:r w:rsidR="00461B74" w:rsidRPr="0088092F">
        <w:rPr>
          <w:lang w:val="en-CA"/>
        </w:rPr>
        <w:t xml:space="preserve">30 </w:t>
      </w:r>
      <w:r w:rsidRPr="0088092F">
        <w:rPr>
          <w:lang w:val="en-CA"/>
        </w:rPr>
        <w:t xml:space="preserve">of the </w:t>
      </w:r>
      <w:r w:rsidR="002F2810" w:rsidRPr="00BD289D">
        <w:rPr>
          <w:i/>
          <w:iCs/>
          <w:lang w:val="en-CA"/>
        </w:rPr>
        <w:t>AQCS</w:t>
      </w:r>
      <w:r w:rsidR="00461B74" w:rsidRPr="0088092F">
        <w:rPr>
          <w:lang w:val="en-CA"/>
        </w:rPr>
        <w:t xml:space="preserve">, </w:t>
      </w:r>
      <w:r w:rsidRPr="0088092F">
        <w:rPr>
          <w:lang w:val="en-CA"/>
        </w:rPr>
        <w:t xml:space="preserve">which </w:t>
      </w:r>
      <w:r w:rsidR="00461B74" w:rsidRPr="0088092F">
        <w:rPr>
          <w:lang w:val="en-CA"/>
        </w:rPr>
        <w:t>discretion</w:t>
      </w:r>
      <w:r w:rsidR="00426E74" w:rsidRPr="0088092F">
        <w:rPr>
          <w:lang w:val="en-CA"/>
        </w:rPr>
        <w:t xml:space="preserve"> must be exercised in compliance with the requirements of the </w:t>
      </w:r>
      <w:r w:rsidR="00461B74" w:rsidRPr="0088092F">
        <w:rPr>
          <w:i/>
          <w:iCs/>
          <w:lang w:val="en-CA"/>
        </w:rPr>
        <w:t>Charter</w:t>
      </w:r>
      <w:r w:rsidR="00426E74" w:rsidRPr="0088092F">
        <w:rPr>
          <w:iCs/>
          <w:lang w:val="en-CA"/>
        </w:rPr>
        <w:t>:</w:t>
      </w:r>
      <w:r w:rsidR="00461B74" w:rsidRPr="0088092F">
        <w:rPr>
          <w:rStyle w:val="Appelnotedebasdep"/>
          <w:lang w:val="en-CA"/>
        </w:rPr>
        <w:footnoteReference w:id="7"/>
      </w:r>
    </w:p>
    <w:p w14:paraId="523A27E1" w14:textId="47AB9FBC" w:rsidR="00461B74" w:rsidRPr="0088092F" w:rsidRDefault="00C0046B" w:rsidP="00461B74">
      <w:pPr>
        <w:pStyle w:val="Citationenretrait"/>
        <w:rPr>
          <w:lang w:val="en-CA"/>
        </w:rPr>
      </w:pPr>
      <w:r w:rsidRPr="0088092F">
        <w:rPr>
          <w:rFonts w:cs="Arial"/>
          <w:color w:val="000000"/>
          <w:szCs w:val="22"/>
          <w:lang w:val="en-CA"/>
        </w:rPr>
        <w:t>The facility director is responsible for the custody of the persons admitted to the facility until their final release or their transfer to another facility.</w:t>
      </w:r>
    </w:p>
    <w:p w14:paraId="1C18BBAE" w14:textId="5A787C4E" w:rsidR="00461B74" w:rsidRPr="0088092F" w:rsidRDefault="00F1062C" w:rsidP="00461B74">
      <w:pPr>
        <w:pStyle w:val="Paragraphe"/>
        <w:spacing w:line="280" w:lineRule="exact"/>
        <w:rPr>
          <w:lang w:val="en-CA"/>
        </w:rPr>
      </w:pPr>
      <w:r w:rsidRPr="00086F48">
        <w:rPr>
          <w:lang w:val="en-CA"/>
        </w:rPr>
        <w:t xml:space="preserve">Thus, in the opinion of the </w:t>
      </w:r>
      <w:r w:rsidR="00461B74" w:rsidRPr="00086F48">
        <w:rPr>
          <w:lang w:val="en-CA"/>
        </w:rPr>
        <w:t>respondent</w:t>
      </w:r>
      <w:r w:rsidRPr="00086F48">
        <w:rPr>
          <w:lang w:val="en-CA"/>
        </w:rPr>
        <w:t xml:space="preserve"> and the </w:t>
      </w:r>
      <w:r w:rsidR="00461B74" w:rsidRPr="00086F48">
        <w:rPr>
          <w:lang w:val="en-CA"/>
        </w:rPr>
        <w:t>impleaded</w:t>
      </w:r>
      <w:r w:rsidRPr="00086F48">
        <w:rPr>
          <w:lang w:val="en-CA"/>
        </w:rPr>
        <w:t xml:space="preserve"> </w:t>
      </w:r>
      <w:r w:rsidR="00461B74" w:rsidRPr="00086F48">
        <w:rPr>
          <w:lang w:val="en-CA"/>
        </w:rPr>
        <w:t>party,</w:t>
      </w:r>
      <w:r w:rsidRPr="00086F48">
        <w:rPr>
          <w:lang w:val="en-CA"/>
        </w:rPr>
        <w:t xml:space="preserve"> [</w:t>
      </w:r>
      <w:r w:rsidRPr="00086F48">
        <w:rPr>
          <w:smallCaps/>
          <w:lang w:val="en-CA"/>
        </w:rPr>
        <w:t>translation</w:t>
      </w:r>
      <w:r w:rsidRPr="00086F48">
        <w:rPr>
          <w:lang w:val="en-CA"/>
        </w:rPr>
        <w:t xml:space="preserve">] “the director of a correctional facility is the person with the authority to issue </w:t>
      </w:r>
      <w:r w:rsidR="00461B74" w:rsidRPr="00086F48">
        <w:rPr>
          <w:lang w:val="en-CA"/>
        </w:rPr>
        <w:t>directives</w:t>
      </w:r>
      <w:r w:rsidR="003257C4" w:rsidRPr="00086F48">
        <w:rPr>
          <w:lang w:val="en-CA"/>
        </w:rPr>
        <w:t xml:space="preserve"> applicable to that facility for all </w:t>
      </w:r>
      <w:r w:rsidR="0029043C" w:rsidRPr="00086F48">
        <w:rPr>
          <w:lang w:val="en-CA"/>
        </w:rPr>
        <w:t xml:space="preserve">offenders, whether in respect </w:t>
      </w:r>
      <w:r w:rsidR="00AF3F72" w:rsidRPr="00086F48">
        <w:rPr>
          <w:lang w:val="en-CA"/>
        </w:rPr>
        <w:t>of</w:t>
      </w:r>
      <w:r w:rsidR="0029043C" w:rsidRPr="00086F48">
        <w:rPr>
          <w:lang w:val="en-CA"/>
        </w:rPr>
        <w:t xml:space="preserve"> their</w:t>
      </w:r>
      <w:r w:rsidR="00AF3F72" w:rsidRPr="00086F48">
        <w:rPr>
          <w:lang w:val="en-CA"/>
        </w:rPr>
        <w:t xml:space="preserve"> security classification, their daily routine, or their placement within the </w:t>
      </w:r>
      <w:r w:rsidR="00F344AC">
        <w:rPr>
          <w:lang w:val="en-CA"/>
        </w:rPr>
        <w:t>various areas</w:t>
      </w:r>
      <w:r w:rsidR="00AF3F72" w:rsidRPr="0088092F">
        <w:rPr>
          <w:lang w:val="en-CA"/>
        </w:rPr>
        <w:t>”.</w:t>
      </w:r>
      <w:r w:rsidR="00461B74" w:rsidRPr="0088092F">
        <w:rPr>
          <w:rStyle w:val="Appelnotedebasdep"/>
          <w:lang w:val="en-CA"/>
        </w:rPr>
        <w:footnoteReference w:id="8"/>
      </w:r>
    </w:p>
    <w:p w14:paraId="7BE4CCFC" w14:textId="1EC35EEF" w:rsidR="00461B74" w:rsidRPr="0088092F" w:rsidRDefault="00C06B3C" w:rsidP="00461B74">
      <w:pPr>
        <w:pStyle w:val="Paragraphe"/>
        <w:spacing w:line="280" w:lineRule="exact"/>
        <w:rPr>
          <w:lang w:val="en-CA"/>
        </w:rPr>
      </w:pPr>
      <w:r w:rsidRPr="0088092F">
        <w:rPr>
          <w:lang w:val="en-CA"/>
        </w:rPr>
        <w:t xml:space="preserve">During testimony before the trial judge, reference was also made to the </w:t>
      </w:r>
      <w:r w:rsidR="00461B74" w:rsidRPr="0088092F">
        <w:rPr>
          <w:i/>
          <w:iCs/>
          <w:lang w:val="en-CA"/>
        </w:rPr>
        <w:t>Politiques, instructions et procédures administratives du réseau correctionnel</w:t>
      </w:r>
      <w:r w:rsidR="00461B74" w:rsidRPr="0088092F">
        <w:rPr>
          <w:iCs/>
          <w:lang w:val="en-CA"/>
        </w:rPr>
        <w:t xml:space="preserve"> </w:t>
      </w:r>
      <w:r w:rsidRPr="0088092F">
        <w:rPr>
          <w:iCs/>
          <w:lang w:val="en-CA"/>
        </w:rPr>
        <w:t>([</w:t>
      </w:r>
      <w:r w:rsidRPr="0088092F">
        <w:rPr>
          <w:iCs/>
          <w:smallCaps/>
          <w:lang w:val="en-CA"/>
        </w:rPr>
        <w:t>translation</w:t>
      </w:r>
      <w:r w:rsidRPr="0088092F">
        <w:rPr>
          <w:iCs/>
          <w:lang w:val="en-CA"/>
        </w:rPr>
        <w:t>] Policies, instructions</w:t>
      </w:r>
      <w:r w:rsidR="00607EA8" w:rsidRPr="0088092F">
        <w:rPr>
          <w:iCs/>
          <w:lang w:val="en-CA"/>
        </w:rPr>
        <w:t>,</w:t>
      </w:r>
      <w:r w:rsidRPr="0088092F">
        <w:rPr>
          <w:iCs/>
          <w:lang w:val="en-CA"/>
        </w:rPr>
        <w:t xml:space="preserve"> and administrative procedures of the correctional network) of </w:t>
      </w:r>
      <w:r w:rsidR="00461B74" w:rsidRPr="0088092F">
        <w:rPr>
          <w:iCs/>
          <w:lang w:val="en-CA"/>
        </w:rPr>
        <w:t>Qu</w:t>
      </w:r>
      <w:r w:rsidRPr="0088092F">
        <w:rPr>
          <w:iCs/>
          <w:lang w:val="en-CA"/>
        </w:rPr>
        <w:t>e</w:t>
      </w:r>
      <w:r w:rsidR="00461B74" w:rsidRPr="0088092F">
        <w:rPr>
          <w:iCs/>
          <w:lang w:val="en-CA"/>
        </w:rPr>
        <w:t>bec</w:t>
      </w:r>
      <w:r w:rsidR="00461B74" w:rsidRPr="0088092F">
        <w:rPr>
          <w:rStyle w:val="Appelnotedebasdep"/>
          <w:lang w:val="en-CA"/>
        </w:rPr>
        <w:footnoteReference w:id="9"/>
      </w:r>
      <w:r w:rsidR="00461B74" w:rsidRPr="0088092F">
        <w:rPr>
          <w:lang w:val="en-CA"/>
        </w:rPr>
        <w:t xml:space="preserve">. </w:t>
      </w:r>
      <w:r w:rsidR="00607EA8" w:rsidRPr="0088092F">
        <w:rPr>
          <w:lang w:val="en-CA"/>
        </w:rPr>
        <w:t xml:space="preserve">None of them were filed before him or </w:t>
      </w:r>
      <w:r w:rsidR="00461B74" w:rsidRPr="0088092F">
        <w:rPr>
          <w:lang w:val="en-CA"/>
        </w:rPr>
        <w:t>th</w:t>
      </w:r>
      <w:r w:rsidR="00E42EEF">
        <w:rPr>
          <w:lang w:val="en-CA"/>
        </w:rPr>
        <w:t>is</w:t>
      </w:r>
      <w:r w:rsidR="00607EA8" w:rsidRPr="0088092F">
        <w:rPr>
          <w:lang w:val="en-CA"/>
        </w:rPr>
        <w:t xml:space="preserve"> </w:t>
      </w:r>
      <w:r w:rsidR="00461B74" w:rsidRPr="0088092F">
        <w:rPr>
          <w:lang w:val="en-CA"/>
        </w:rPr>
        <w:t>Court,</w:t>
      </w:r>
      <w:r w:rsidR="00607EA8" w:rsidRPr="0088092F">
        <w:rPr>
          <w:lang w:val="en-CA"/>
        </w:rPr>
        <w:t xml:space="preserve"> and the correctional authorities</w:t>
      </w:r>
      <w:r w:rsidR="00461B74" w:rsidRPr="0088092F">
        <w:rPr>
          <w:lang w:val="en-CA"/>
        </w:rPr>
        <w:t xml:space="preserve"> </w:t>
      </w:r>
      <w:r w:rsidR="004215DC" w:rsidRPr="0088092F">
        <w:rPr>
          <w:lang w:val="en-CA"/>
        </w:rPr>
        <w:t xml:space="preserve">do not rely on them in support of the lawfulness of the </w:t>
      </w:r>
      <w:r w:rsidR="00461B74" w:rsidRPr="0088092F">
        <w:rPr>
          <w:lang w:val="en-CA"/>
        </w:rPr>
        <w:t xml:space="preserve">decisions </w:t>
      </w:r>
      <w:r w:rsidR="004215DC" w:rsidRPr="0088092F">
        <w:rPr>
          <w:lang w:val="en-CA"/>
        </w:rPr>
        <w:t xml:space="preserve">taken in regard to the </w:t>
      </w:r>
      <w:r w:rsidR="00461B74" w:rsidRPr="0088092F">
        <w:rPr>
          <w:lang w:val="en-CA"/>
        </w:rPr>
        <w:t xml:space="preserve">conditions </w:t>
      </w:r>
      <w:r w:rsidR="004215DC" w:rsidRPr="0088092F">
        <w:rPr>
          <w:lang w:val="en-CA"/>
        </w:rPr>
        <w:t>of the appellant’s de</w:t>
      </w:r>
      <w:r w:rsidR="00461B74" w:rsidRPr="0088092F">
        <w:rPr>
          <w:lang w:val="en-CA"/>
        </w:rPr>
        <w:t>tention.</w:t>
      </w:r>
    </w:p>
    <w:p w14:paraId="1398EA64" w14:textId="16BE76C7" w:rsidR="00461B74" w:rsidRPr="0088092F" w:rsidRDefault="004215DC" w:rsidP="00461B74">
      <w:pPr>
        <w:pStyle w:val="Paragraphe"/>
        <w:spacing w:line="280" w:lineRule="exact"/>
        <w:rPr>
          <w:lang w:val="en-CA"/>
        </w:rPr>
      </w:pPr>
      <w:r w:rsidRPr="0088092F">
        <w:rPr>
          <w:lang w:val="en-CA"/>
        </w:rPr>
        <w:t>I</w:t>
      </w:r>
      <w:r w:rsidR="00461B74" w:rsidRPr="0088092F">
        <w:rPr>
          <w:lang w:val="en-CA"/>
        </w:rPr>
        <w:t>n</w:t>
      </w:r>
      <w:r w:rsidRPr="0088092F">
        <w:rPr>
          <w:lang w:val="en-CA"/>
        </w:rPr>
        <w:t xml:space="preserve"> </w:t>
      </w:r>
      <w:r w:rsidR="00461B74" w:rsidRPr="0088092F">
        <w:rPr>
          <w:lang w:val="en-CA"/>
        </w:rPr>
        <w:t xml:space="preserve">addition, </w:t>
      </w:r>
      <w:r w:rsidR="006B7038" w:rsidRPr="0088092F">
        <w:rPr>
          <w:lang w:val="en-CA"/>
        </w:rPr>
        <w:t xml:space="preserve">the </w:t>
      </w:r>
      <w:r w:rsidR="00461B74" w:rsidRPr="0088092F">
        <w:rPr>
          <w:lang w:val="en-CA"/>
        </w:rPr>
        <w:t>appellant</w:t>
      </w:r>
      <w:r w:rsidR="006B7038" w:rsidRPr="0088092F">
        <w:rPr>
          <w:lang w:val="en-CA"/>
        </w:rPr>
        <w:t>’s correctional record</w:t>
      </w:r>
      <w:r w:rsidR="00461B74" w:rsidRPr="0088092F">
        <w:rPr>
          <w:lang w:val="en-CA"/>
        </w:rPr>
        <w:t>,</w:t>
      </w:r>
      <w:r w:rsidR="006B7038" w:rsidRPr="0088092F">
        <w:rPr>
          <w:lang w:val="en-CA"/>
        </w:rPr>
        <w:t xml:space="preserve"> which </w:t>
      </w:r>
      <w:r w:rsidR="000C5D1C" w:rsidRPr="0088092F">
        <w:rPr>
          <w:lang w:val="en-CA"/>
        </w:rPr>
        <w:t>would</w:t>
      </w:r>
      <w:r w:rsidR="006B7038" w:rsidRPr="0088092F">
        <w:rPr>
          <w:lang w:val="en-CA"/>
        </w:rPr>
        <w:t xml:space="preserve"> normally allow us to accurately track his detention periods and specific </w:t>
      </w:r>
      <w:r w:rsidR="00461B74" w:rsidRPr="0088092F">
        <w:rPr>
          <w:lang w:val="en-CA"/>
        </w:rPr>
        <w:t xml:space="preserve">conditions, </w:t>
      </w:r>
      <w:r w:rsidR="006B7038" w:rsidRPr="0088092F">
        <w:rPr>
          <w:lang w:val="en-CA"/>
        </w:rPr>
        <w:t xml:space="preserve">does not seem to have been filed before the </w:t>
      </w:r>
      <w:r w:rsidR="00461B74" w:rsidRPr="0088092F">
        <w:rPr>
          <w:lang w:val="en-CA"/>
        </w:rPr>
        <w:t>judge</w:t>
      </w:r>
      <w:r w:rsidR="006B7038" w:rsidRPr="0088092F">
        <w:rPr>
          <w:lang w:val="en-CA"/>
        </w:rPr>
        <w:t xml:space="preserve"> and was not filed before th</w:t>
      </w:r>
      <w:r w:rsidR="00390B0C">
        <w:rPr>
          <w:lang w:val="en-CA"/>
        </w:rPr>
        <w:t>is</w:t>
      </w:r>
      <w:r w:rsidR="006B7038" w:rsidRPr="0088092F">
        <w:rPr>
          <w:lang w:val="en-CA"/>
        </w:rPr>
        <w:t xml:space="preserve"> </w:t>
      </w:r>
      <w:r w:rsidR="00461B74" w:rsidRPr="0088092F">
        <w:rPr>
          <w:lang w:val="en-CA"/>
        </w:rPr>
        <w:t>Court</w:t>
      </w:r>
      <w:r w:rsidR="006B7038" w:rsidRPr="0088092F">
        <w:rPr>
          <w:lang w:val="en-CA"/>
        </w:rPr>
        <w:t>.</w:t>
      </w:r>
      <w:r w:rsidR="00461B74" w:rsidRPr="0088092F">
        <w:rPr>
          <w:rStyle w:val="Appelnotedebasdep"/>
          <w:lang w:val="en-CA"/>
        </w:rPr>
        <w:footnoteReference w:id="10"/>
      </w:r>
    </w:p>
    <w:p w14:paraId="6C64C821" w14:textId="7B2666FC" w:rsidR="00461B74" w:rsidRPr="0088092F" w:rsidRDefault="00C777AA" w:rsidP="00461B74">
      <w:pPr>
        <w:pStyle w:val="Paragraphe"/>
        <w:keepNext/>
        <w:spacing w:line="280" w:lineRule="exact"/>
        <w:rPr>
          <w:lang w:val="en-CA"/>
        </w:rPr>
      </w:pPr>
      <w:r w:rsidRPr="0088092F">
        <w:rPr>
          <w:lang w:val="en-CA"/>
        </w:rPr>
        <w:lastRenderedPageBreak/>
        <w:t xml:space="preserve">In the </w:t>
      </w:r>
      <w:r w:rsidR="00461B74" w:rsidRPr="0088092F">
        <w:rPr>
          <w:lang w:val="en-CA"/>
        </w:rPr>
        <w:t>circumstances, d</w:t>
      </w:r>
      <w:r w:rsidRPr="0088092F">
        <w:rPr>
          <w:lang w:val="en-CA"/>
        </w:rPr>
        <w:t>e</w:t>
      </w:r>
      <w:r w:rsidR="00461B74" w:rsidRPr="0088092F">
        <w:rPr>
          <w:lang w:val="en-CA"/>
        </w:rPr>
        <w:t>termin</w:t>
      </w:r>
      <w:r w:rsidRPr="0088092F">
        <w:rPr>
          <w:lang w:val="en-CA"/>
        </w:rPr>
        <w:t xml:space="preserve">ing the </w:t>
      </w:r>
      <w:r w:rsidR="00461B74" w:rsidRPr="0088092F">
        <w:rPr>
          <w:lang w:val="en-CA"/>
        </w:rPr>
        <w:t>reasonableness</w:t>
      </w:r>
      <w:r w:rsidRPr="0088092F">
        <w:rPr>
          <w:lang w:val="en-CA"/>
        </w:rPr>
        <w:t xml:space="preserve"> of the decision of the correctional authorities poses </w:t>
      </w:r>
      <w:r w:rsidR="00461B74" w:rsidRPr="0088092F">
        <w:rPr>
          <w:lang w:val="en-CA"/>
        </w:rPr>
        <w:t>difficult</w:t>
      </w:r>
      <w:r w:rsidRPr="0088092F">
        <w:rPr>
          <w:lang w:val="en-CA"/>
        </w:rPr>
        <w:t>y</w:t>
      </w:r>
      <w:r w:rsidR="00BA5D7A" w:rsidRPr="0088092F">
        <w:rPr>
          <w:lang w:val="en-CA"/>
        </w:rPr>
        <w:t>,</w:t>
      </w:r>
      <w:r w:rsidR="007423C7" w:rsidRPr="0088092F">
        <w:rPr>
          <w:lang w:val="en-CA"/>
        </w:rPr>
        <w:t xml:space="preserve"> because to do so</w:t>
      </w:r>
      <w:r w:rsidR="00F94934">
        <w:rPr>
          <w:lang w:val="en-CA"/>
        </w:rPr>
        <w:t>,</w:t>
      </w:r>
      <w:r w:rsidR="007423C7" w:rsidRPr="0088092F">
        <w:rPr>
          <w:lang w:val="en-CA"/>
        </w:rPr>
        <w:t xml:space="preserve"> it is necessary to seek the </w:t>
      </w:r>
      <w:r w:rsidR="00461B74" w:rsidRPr="0088092F">
        <w:rPr>
          <w:lang w:val="en-CA"/>
        </w:rPr>
        <w:t>legal</w:t>
      </w:r>
      <w:r w:rsidR="007423C7" w:rsidRPr="0088092F">
        <w:rPr>
          <w:lang w:val="en-CA"/>
        </w:rPr>
        <w:t xml:space="preserve"> </w:t>
      </w:r>
      <w:r w:rsidR="00461B74" w:rsidRPr="0088092F">
        <w:rPr>
          <w:lang w:val="en-CA"/>
        </w:rPr>
        <w:t xml:space="preserve">standards </w:t>
      </w:r>
      <w:r w:rsidR="007423C7" w:rsidRPr="0088092F">
        <w:rPr>
          <w:lang w:val="en-CA"/>
        </w:rPr>
        <w:t xml:space="preserve">applicable to the impugned </w:t>
      </w:r>
      <w:r w:rsidR="00461B74" w:rsidRPr="0088092F">
        <w:rPr>
          <w:lang w:val="en-CA"/>
        </w:rPr>
        <w:t xml:space="preserve">decision </w:t>
      </w:r>
      <w:r w:rsidR="007423C7" w:rsidRPr="0088092F">
        <w:rPr>
          <w:lang w:val="en-CA"/>
        </w:rPr>
        <w:t xml:space="preserve">and reliably establish the detention </w:t>
      </w:r>
      <w:r w:rsidR="00461B74" w:rsidRPr="0088092F">
        <w:rPr>
          <w:lang w:val="en-CA"/>
        </w:rPr>
        <w:t xml:space="preserve">conditions </w:t>
      </w:r>
      <w:r w:rsidR="007423C7" w:rsidRPr="0088092F">
        <w:rPr>
          <w:lang w:val="en-CA"/>
        </w:rPr>
        <w:t>to which an inmate was subject</w:t>
      </w:r>
      <w:r w:rsidR="00461B74" w:rsidRPr="0088092F">
        <w:rPr>
          <w:lang w:val="en-CA"/>
        </w:rPr>
        <w:t>.</w:t>
      </w:r>
    </w:p>
    <w:p w14:paraId="715E96F7" w14:textId="7FEEB05F" w:rsidR="00461B74" w:rsidRPr="0088092F" w:rsidRDefault="007423C7" w:rsidP="00461B74">
      <w:pPr>
        <w:pStyle w:val="Paragraphe"/>
        <w:spacing w:line="280" w:lineRule="exact"/>
        <w:rPr>
          <w:lang w:val="en-CA"/>
        </w:rPr>
      </w:pPr>
      <w:r w:rsidRPr="0088092F">
        <w:rPr>
          <w:lang w:val="en-CA"/>
        </w:rPr>
        <w:t xml:space="preserve">Of course, </w:t>
      </w:r>
      <w:r w:rsidR="00ED564F" w:rsidRPr="0088092F">
        <w:rPr>
          <w:lang w:val="en-CA"/>
        </w:rPr>
        <w:t>judicial intervention in matters of prison law requires caution due to both the “</w:t>
      </w:r>
      <w:r w:rsidR="00ED564F" w:rsidRPr="0088092F">
        <w:rPr>
          <w:color w:val="000000"/>
          <w:spacing w:val="-3"/>
          <w:lang w:val="en-CA"/>
        </w:rPr>
        <w:t>concern that the process of prison administration …</w:t>
      </w:r>
      <w:r w:rsidR="00F94934">
        <w:rPr>
          <w:color w:val="000000"/>
          <w:spacing w:val="-3"/>
          <w:lang w:val="en-CA"/>
        </w:rPr>
        <w:t xml:space="preserve"> </w:t>
      </w:r>
      <w:r w:rsidR="00ED564F" w:rsidRPr="0088092F">
        <w:rPr>
          <w:color w:val="000000"/>
          <w:spacing w:val="-3"/>
          <w:lang w:val="en-CA"/>
        </w:rPr>
        <w:t>should not be unduly burdened or obstructed”</w:t>
      </w:r>
      <w:r w:rsidR="00461B74" w:rsidRPr="0088092F">
        <w:rPr>
          <w:rStyle w:val="Appelnotedebasdep"/>
          <w:lang w:val="en-CA"/>
        </w:rPr>
        <w:footnoteReference w:id="11"/>
      </w:r>
      <w:r w:rsidR="00461B74" w:rsidRPr="0088092F">
        <w:rPr>
          <w:lang w:val="en-CA"/>
        </w:rPr>
        <w:t xml:space="preserve"> </w:t>
      </w:r>
      <w:r w:rsidR="002C1085" w:rsidRPr="0088092F">
        <w:rPr>
          <w:lang w:val="en-CA"/>
        </w:rPr>
        <w:t>and the undeniable challenge for staff members to manage conduct that may put their security and that of all inmates at risk</w:t>
      </w:r>
      <w:r w:rsidR="00461B74" w:rsidRPr="0088092F">
        <w:rPr>
          <w:lang w:val="en-CA"/>
        </w:rPr>
        <w:t xml:space="preserve">.   </w:t>
      </w:r>
    </w:p>
    <w:p w14:paraId="54D28108" w14:textId="4AA25619" w:rsidR="00461B74" w:rsidRPr="0088092F" w:rsidRDefault="002C1085" w:rsidP="00461B74">
      <w:pPr>
        <w:pStyle w:val="Paragraphe"/>
        <w:spacing w:line="280" w:lineRule="exact"/>
        <w:rPr>
          <w:lang w:val="en-CA"/>
        </w:rPr>
      </w:pPr>
      <w:r w:rsidRPr="0088092F">
        <w:rPr>
          <w:lang w:val="en-CA"/>
        </w:rPr>
        <w:t>T</w:t>
      </w:r>
      <w:r w:rsidR="00461B74" w:rsidRPr="0088092F">
        <w:rPr>
          <w:lang w:val="en-CA"/>
        </w:rPr>
        <w:t>hat</w:t>
      </w:r>
      <w:r w:rsidRPr="0088092F">
        <w:rPr>
          <w:lang w:val="en-CA"/>
        </w:rPr>
        <w:t xml:space="preserve"> </w:t>
      </w:r>
      <w:r w:rsidR="00461B74" w:rsidRPr="0088092F">
        <w:rPr>
          <w:lang w:val="en-CA"/>
        </w:rPr>
        <w:t>being</w:t>
      </w:r>
      <w:r w:rsidRPr="0088092F">
        <w:rPr>
          <w:lang w:val="en-CA"/>
        </w:rPr>
        <w:t xml:space="preserve"> </w:t>
      </w:r>
      <w:r w:rsidR="00461B74" w:rsidRPr="0088092F">
        <w:rPr>
          <w:lang w:val="en-CA"/>
        </w:rPr>
        <w:t xml:space="preserve">said, </w:t>
      </w:r>
      <w:r w:rsidRPr="0088092F">
        <w:rPr>
          <w:lang w:val="en-CA"/>
        </w:rPr>
        <w:t xml:space="preserve">in the early </w:t>
      </w:r>
      <w:r w:rsidR="00461B74" w:rsidRPr="0088092F">
        <w:rPr>
          <w:lang w:val="en-CA"/>
        </w:rPr>
        <w:t>1980</w:t>
      </w:r>
      <w:r w:rsidRPr="0088092F">
        <w:rPr>
          <w:lang w:val="en-CA"/>
        </w:rPr>
        <w:t>s</w:t>
      </w:r>
      <w:r w:rsidR="00461B74" w:rsidRPr="0088092F">
        <w:rPr>
          <w:lang w:val="en-CA"/>
        </w:rPr>
        <w:t>, the</w:t>
      </w:r>
      <w:r w:rsidR="00943AAF" w:rsidRPr="0088092F">
        <w:rPr>
          <w:lang w:val="en-CA"/>
        </w:rPr>
        <w:t xml:space="preserve"> </w:t>
      </w:r>
      <w:r w:rsidR="00461B74" w:rsidRPr="0088092F">
        <w:rPr>
          <w:lang w:val="en-CA"/>
        </w:rPr>
        <w:t>Supreme</w:t>
      </w:r>
      <w:r w:rsidR="00943AAF" w:rsidRPr="0088092F">
        <w:rPr>
          <w:lang w:val="en-CA"/>
        </w:rPr>
        <w:t xml:space="preserve"> </w:t>
      </w:r>
      <w:r w:rsidR="00461B74" w:rsidRPr="0088092F">
        <w:rPr>
          <w:lang w:val="en-CA"/>
        </w:rPr>
        <w:t>Court</w:t>
      </w:r>
      <w:r w:rsidR="00943AAF" w:rsidRPr="0088092F">
        <w:rPr>
          <w:lang w:val="en-CA"/>
        </w:rPr>
        <w:t xml:space="preserve"> nevertheless</w:t>
      </w:r>
      <w:r w:rsidR="00461B74" w:rsidRPr="0088092F">
        <w:rPr>
          <w:lang w:val="en-CA"/>
        </w:rPr>
        <w:t xml:space="preserve"> abandon</w:t>
      </w:r>
      <w:r w:rsidR="00943AAF" w:rsidRPr="0088092F">
        <w:rPr>
          <w:lang w:val="en-CA"/>
        </w:rPr>
        <w:t xml:space="preserve">ed the “hands-off” doctrine in correctional matters and extended judicial review to the </w:t>
      </w:r>
      <w:r w:rsidR="00461B74" w:rsidRPr="0088092F">
        <w:rPr>
          <w:lang w:val="en-CA"/>
        </w:rPr>
        <w:t>decision-making</w:t>
      </w:r>
      <w:r w:rsidR="00943AAF" w:rsidRPr="0088092F">
        <w:rPr>
          <w:lang w:val="en-CA"/>
        </w:rPr>
        <w:t xml:space="preserve"> </w:t>
      </w:r>
      <w:r w:rsidR="00461B74" w:rsidRPr="0088092F">
        <w:rPr>
          <w:lang w:val="en-CA"/>
        </w:rPr>
        <w:t>process</w:t>
      </w:r>
      <w:r w:rsidR="00943AAF" w:rsidRPr="0088092F">
        <w:rPr>
          <w:lang w:val="en-CA"/>
        </w:rPr>
        <w:t xml:space="preserve"> of prison officials to ensure that the </w:t>
      </w:r>
      <w:r w:rsidR="00461B74" w:rsidRPr="0088092F">
        <w:rPr>
          <w:lang w:val="en-CA"/>
        </w:rPr>
        <w:t>rule</w:t>
      </w:r>
      <w:r w:rsidR="00943AAF" w:rsidRPr="0088092F">
        <w:rPr>
          <w:lang w:val="en-CA"/>
        </w:rPr>
        <w:t xml:space="preserve"> </w:t>
      </w:r>
      <w:r w:rsidR="00461B74" w:rsidRPr="0088092F">
        <w:rPr>
          <w:lang w:val="en-CA"/>
        </w:rPr>
        <w:t>of</w:t>
      </w:r>
      <w:r w:rsidR="00943AAF" w:rsidRPr="0088092F">
        <w:rPr>
          <w:lang w:val="en-CA"/>
        </w:rPr>
        <w:t xml:space="preserve"> </w:t>
      </w:r>
      <w:r w:rsidR="00461B74" w:rsidRPr="0088092F">
        <w:rPr>
          <w:lang w:val="en-CA"/>
        </w:rPr>
        <w:t>law</w:t>
      </w:r>
      <w:r w:rsidR="00943AAF" w:rsidRPr="0088092F">
        <w:rPr>
          <w:lang w:val="en-CA"/>
        </w:rPr>
        <w:t xml:space="preserve"> applies within the walls</w:t>
      </w:r>
      <w:r w:rsidR="00461B74" w:rsidRPr="0088092F">
        <w:rPr>
          <w:lang w:val="en-CA"/>
        </w:rPr>
        <w:t xml:space="preserve"> </w:t>
      </w:r>
      <w:r w:rsidR="00943AAF" w:rsidRPr="0088092F">
        <w:rPr>
          <w:lang w:val="en-CA"/>
        </w:rPr>
        <w:t xml:space="preserve">within Canadian </w:t>
      </w:r>
      <w:r w:rsidR="00461B74" w:rsidRPr="0088092F">
        <w:rPr>
          <w:lang w:val="en-CA"/>
        </w:rPr>
        <w:t>prisons</w:t>
      </w:r>
      <w:r w:rsidR="00943AAF" w:rsidRPr="0088092F">
        <w:rPr>
          <w:lang w:val="en-CA"/>
        </w:rPr>
        <w:t>.</w:t>
      </w:r>
      <w:r w:rsidR="00461B74" w:rsidRPr="0088092F">
        <w:rPr>
          <w:rStyle w:val="Appelnotedebasdep"/>
          <w:lang w:val="en-CA"/>
        </w:rPr>
        <w:footnoteReference w:id="12"/>
      </w:r>
      <w:r w:rsidR="00461B74" w:rsidRPr="0088092F">
        <w:rPr>
          <w:lang w:val="en-CA"/>
        </w:rPr>
        <w:t xml:space="preserve">  </w:t>
      </w:r>
    </w:p>
    <w:p w14:paraId="2AAD0120" w14:textId="551C1590" w:rsidR="00461B74" w:rsidRPr="0088092F" w:rsidRDefault="00EC7DD5" w:rsidP="00461B74">
      <w:pPr>
        <w:pStyle w:val="Paragraphe"/>
        <w:spacing w:line="280" w:lineRule="exact"/>
        <w:rPr>
          <w:lang w:val="en-CA"/>
        </w:rPr>
      </w:pPr>
      <w:r w:rsidRPr="0088092F">
        <w:rPr>
          <w:lang w:val="en-CA"/>
        </w:rPr>
        <w:t xml:space="preserve">Moreover, </w:t>
      </w:r>
      <w:r w:rsidR="00B778AA" w:rsidRPr="0088092F">
        <w:rPr>
          <w:lang w:val="en-CA"/>
        </w:rPr>
        <w:t xml:space="preserve">determining the </w:t>
      </w:r>
      <w:r w:rsidR="00461B74" w:rsidRPr="0088092F">
        <w:rPr>
          <w:lang w:val="en-CA"/>
        </w:rPr>
        <w:t>reasonableness</w:t>
      </w:r>
      <w:r w:rsidR="00B778AA" w:rsidRPr="0088092F">
        <w:rPr>
          <w:lang w:val="en-CA"/>
        </w:rPr>
        <w:t xml:space="preserve"> of a </w:t>
      </w:r>
      <w:r w:rsidR="00461B74" w:rsidRPr="0088092F">
        <w:rPr>
          <w:lang w:val="en-CA"/>
        </w:rPr>
        <w:t>decision</w:t>
      </w:r>
      <w:r w:rsidR="00BA5D7A" w:rsidRPr="0088092F">
        <w:rPr>
          <w:lang w:val="en-CA"/>
        </w:rPr>
        <w:t xml:space="preserve"> </w:t>
      </w:r>
      <w:r w:rsidR="00D75548">
        <w:rPr>
          <w:lang w:val="en-CA"/>
        </w:rPr>
        <w:t>made</w:t>
      </w:r>
      <w:r w:rsidR="00D75548" w:rsidRPr="0088092F">
        <w:rPr>
          <w:lang w:val="en-CA"/>
        </w:rPr>
        <w:t xml:space="preserve"> </w:t>
      </w:r>
      <w:r w:rsidR="00BA5D7A" w:rsidRPr="0088092F">
        <w:rPr>
          <w:lang w:val="en-CA"/>
        </w:rPr>
        <w:t>by correctional authorities requires defe</w:t>
      </w:r>
      <w:r w:rsidR="00461B74" w:rsidRPr="0088092F">
        <w:rPr>
          <w:lang w:val="en-CA"/>
        </w:rPr>
        <w:t>rence,</w:t>
      </w:r>
      <w:r w:rsidR="00BA5D7A" w:rsidRPr="0088092F">
        <w:rPr>
          <w:lang w:val="en-CA"/>
        </w:rPr>
        <w:t xml:space="preserve"> because </w:t>
      </w:r>
      <w:r w:rsidR="00365813" w:rsidRPr="0088092F">
        <w:rPr>
          <w:lang w:val="en-CA"/>
        </w:rPr>
        <w:t xml:space="preserve">it is a </w:t>
      </w:r>
      <w:r w:rsidR="00461B74" w:rsidRPr="0088092F">
        <w:rPr>
          <w:lang w:val="en-CA"/>
        </w:rPr>
        <w:t>decision</w:t>
      </w:r>
      <w:r w:rsidR="00365813" w:rsidRPr="0088092F">
        <w:rPr>
          <w:lang w:val="en-CA"/>
        </w:rPr>
        <w:t xml:space="preserve"> “</w:t>
      </w:r>
      <w:r w:rsidR="00365813" w:rsidRPr="0088092F">
        <w:rPr>
          <w:color w:val="000000"/>
          <w:lang w:val="en-CA"/>
        </w:rPr>
        <w:t>made by a decision maker with expertise in the environment of a particular penitentiary”</w:t>
      </w:r>
      <w:r w:rsidR="00365813" w:rsidRPr="0088092F">
        <w:rPr>
          <w:lang w:val="en-CA"/>
        </w:rPr>
        <w:t>.</w:t>
      </w:r>
      <w:r w:rsidR="00461B74" w:rsidRPr="0088092F">
        <w:rPr>
          <w:rStyle w:val="Appelnotedebasdep"/>
          <w:lang w:val="en-CA"/>
        </w:rPr>
        <w:footnoteReference w:id="13"/>
      </w:r>
      <w:r w:rsidR="00461B74" w:rsidRPr="0088092F">
        <w:rPr>
          <w:lang w:val="en-CA"/>
        </w:rPr>
        <w:t xml:space="preserve"> </w:t>
      </w:r>
      <w:r w:rsidR="00AA2D33" w:rsidRPr="0088092F">
        <w:rPr>
          <w:lang w:val="en-CA"/>
        </w:rPr>
        <w:t xml:space="preserve">Applying the standard of </w:t>
      </w:r>
      <w:r w:rsidR="00461B74" w:rsidRPr="0088092F">
        <w:rPr>
          <w:lang w:val="en-CA"/>
        </w:rPr>
        <w:t>reasonable</w:t>
      </w:r>
      <w:r w:rsidR="00AA2D33" w:rsidRPr="0088092F">
        <w:rPr>
          <w:lang w:val="en-CA"/>
        </w:rPr>
        <w:t xml:space="preserve">ness is </w:t>
      </w:r>
      <w:r w:rsidR="00461B74" w:rsidRPr="0088092F">
        <w:rPr>
          <w:lang w:val="en-CA"/>
        </w:rPr>
        <w:t>justifie</w:t>
      </w:r>
      <w:r w:rsidR="00AA2D33" w:rsidRPr="0088092F">
        <w:rPr>
          <w:lang w:val="en-CA"/>
        </w:rPr>
        <w:t>d by the fact that reviewing such a decision using “</w:t>
      </w:r>
      <w:r w:rsidR="00AA2D33" w:rsidRPr="0088092F">
        <w:rPr>
          <w:color w:val="000000"/>
          <w:lang w:val="en-CA"/>
        </w:rPr>
        <w:t>any standard other than reasonableness … could well lead to the micromanagement of prisons by the courts”.</w:t>
      </w:r>
      <w:r w:rsidR="00461B74" w:rsidRPr="0088092F">
        <w:rPr>
          <w:rStyle w:val="Appelnotedebasdep"/>
          <w:lang w:val="en-CA"/>
        </w:rPr>
        <w:footnoteReference w:id="14"/>
      </w:r>
    </w:p>
    <w:p w14:paraId="4A10EDB5" w14:textId="697431D9" w:rsidR="00461B74" w:rsidRPr="0088092F" w:rsidRDefault="009266DF" w:rsidP="00461B74">
      <w:pPr>
        <w:pStyle w:val="Paragraphe"/>
        <w:spacing w:line="280" w:lineRule="exact"/>
        <w:rPr>
          <w:lang w:val="en-CA"/>
        </w:rPr>
      </w:pPr>
      <w:r w:rsidRPr="0088092F">
        <w:rPr>
          <w:lang w:val="en-CA"/>
        </w:rPr>
        <w:t xml:space="preserve">However, although the </w:t>
      </w:r>
      <w:r w:rsidR="00461B74" w:rsidRPr="0088092F">
        <w:rPr>
          <w:lang w:val="en-CA"/>
        </w:rPr>
        <w:t>principle</w:t>
      </w:r>
      <w:r w:rsidRPr="0088092F">
        <w:rPr>
          <w:lang w:val="en-CA"/>
        </w:rPr>
        <w:t xml:space="preserve"> of </w:t>
      </w:r>
      <w:r w:rsidR="00461B74" w:rsidRPr="0088092F">
        <w:rPr>
          <w:lang w:val="en-CA"/>
        </w:rPr>
        <w:t>judicial</w:t>
      </w:r>
      <w:r w:rsidRPr="0088092F">
        <w:rPr>
          <w:lang w:val="en-CA"/>
        </w:rPr>
        <w:t xml:space="preserve"> restraint applies, the judicial review of a decision </w:t>
      </w:r>
      <w:r w:rsidR="00D75548">
        <w:rPr>
          <w:lang w:val="en-CA"/>
        </w:rPr>
        <w:t>by</w:t>
      </w:r>
      <w:r w:rsidR="00D75548" w:rsidRPr="0088092F">
        <w:rPr>
          <w:lang w:val="en-CA"/>
        </w:rPr>
        <w:t xml:space="preserve"> </w:t>
      </w:r>
      <w:r w:rsidRPr="0088092F">
        <w:rPr>
          <w:lang w:val="en-CA"/>
        </w:rPr>
        <w:t>correctional authorities is not a rubber-stamping process an</w:t>
      </w:r>
      <w:r w:rsidR="00F6575F" w:rsidRPr="0088092F">
        <w:rPr>
          <w:lang w:val="en-CA"/>
        </w:rPr>
        <w:t>d must remain robust.</w:t>
      </w:r>
      <w:r w:rsidR="00461B74" w:rsidRPr="0088092F">
        <w:rPr>
          <w:rStyle w:val="Appelnotedebasdep"/>
          <w:lang w:val="en-CA"/>
        </w:rPr>
        <w:footnoteReference w:id="15"/>
      </w:r>
    </w:p>
    <w:p w14:paraId="067C24BB" w14:textId="6AF02D1D" w:rsidR="00461B74" w:rsidRPr="0088092F" w:rsidRDefault="008D1868" w:rsidP="00461B74">
      <w:pPr>
        <w:pStyle w:val="Paragraphe"/>
        <w:spacing w:line="280" w:lineRule="exact"/>
        <w:rPr>
          <w:lang w:val="en-CA"/>
        </w:rPr>
      </w:pPr>
      <w:r w:rsidRPr="0088092F">
        <w:rPr>
          <w:lang w:val="en-CA"/>
        </w:rPr>
        <w:t xml:space="preserve">I note that the appeal </w:t>
      </w:r>
      <w:r w:rsidR="00461B74" w:rsidRPr="0088092F">
        <w:rPr>
          <w:lang w:val="en-CA"/>
        </w:rPr>
        <w:t>concern</w:t>
      </w:r>
      <w:r w:rsidRPr="0088092F">
        <w:rPr>
          <w:lang w:val="en-CA"/>
        </w:rPr>
        <w:t xml:space="preserve">s only the appellant’s detention conditions </w:t>
      </w:r>
      <w:r w:rsidR="00461B74" w:rsidRPr="0088092F">
        <w:rPr>
          <w:lang w:val="en-CA"/>
        </w:rPr>
        <w:t>affect</w:t>
      </w:r>
      <w:r w:rsidRPr="0088092F">
        <w:rPr>
          <w:lang w:val="en-CA"/>
        </w:rPr>
        <w:t xml:space="preserve">ing his residual liberty </w:t>
      </w:r>
      <w:r w:rsidR="00D75548">
        <w:rPr>
          <w:lang w:val="en-CA"/>
        </w:rPr>
        <w:t>and the issues</w:t>
      </w:r>
      <w:r w:rsidRPr="0088092F">
        <w:rPr>
          <w:lang w:val="en-CA"/>
        </w:rPr>
        <w:t xml:space="preserve"> he raises in his </w:t>
      </w:r>
      <w:r w:rsidR="00A419A9" w:rsidRPr="0088092F">
        <w:rPr>
          <w:lang w:val="en-CA"/>
        </w:rPr>
        <w:t xml:space="preserve">challenge in light of the </w:t>
      </w:r>
      <w:r w:rsidR="00461B74" w:rsidRPr="0088092F">
        <w:rPr>
          <w:lang w:val="en-CA"/>
        </w:rPr>
        <w:t>psychological</w:t>
      </w:r>
      <w:r w:rsidR="00A419A9" w:rsidRPr="0088092F">
        <w:rPr>
          <w:lang w:val="en-CA"/>
        </w:rPr>
        <w:t xml:space="preserve"> report he filed</w:t>
      </w:r>
      <w:r w:rsidR="00461B74" w:rsidRPr="0088092F">
        <w:rPr>
          <w:lang w:val="en-CA"/>
        </w:rPr>
        <w:t xml:space="preserve">. </w:t>
      </w:r>
      <w:r w:rsidR="001F6648" w:rsidRPr="0088092F">
        <w:rPr>
          <w:lang w:val="en-CA"/>
        </w:rPr>
        <w:t>Nothing less, nothing more.</w:t>
      </w:r>
      <w:r w:rsidR="00461B74" w:rsidRPr="0088092F">
        <w:rPr>
          <w:lang w:val="en-CA"/>
        </w:rPr>
        <w:t xml:space="preserve">  </w:t>
      </w:r>
    </w:p>
    <w:p w14:paraId="6399C398" w14:textId="3146896F" w:rsidR="00461B74" w:rsidRPr="0088092F" w:rsidRDefault="00A419A9" w:rsidP="00461B74">
      <w:pPr>
        <w:pStyle w:val="Paragraphe"/>
        <w:spacing w:line="280" w:lineRule="exact"/>
        <w:rPr>
          <w:lang w:val="en-CA"/>
        </w:rPr>
      </w:pPr>
      <w:r w:rsidRPr="0088092F">
        <w:rPr>
          <w:lang w:val="en-CA"/>
        </w:rPr>
        <w:t>While they are similari</w:t>
      </w:r>
      <w:r w:rsidR="000C5D1C">
        <w:rPr>
          <w:lang w:val="en-CA"/>
        </w:rPr>
        <w:t>ti</w:t>
      </w:r>
      <w:r w:rsidRPr="0088092F">
        <w:rPr>
          <w:lang w:val="en-CA"/>
        </w:rPr>
        <w:t xml:space="preserve">es between the issues raised by the </w:t>
      </w:r>
      <w:r w:rsidR="00461B74" w:rsidRPr="0088092F">
        <w:rPr>
          <w:lang w:val="en-CA"/>
        </w:rPr>
        <w:t>appellant</w:t>
      </w:r>
      <w:r w:rsidRPr="0088092F">
        <w:rPr>
          <w:lang w:val="en-CA"/>
        </w:rPr>
        <w:t xml:space="preserve"> and those that are to be resolved in the context of class actions</w:t>
      </w:r>
      <w:r w:rsidR="00461B74" w:rsidRPr="0088092F">
        <w:rPr>
          <w:lang w:val="en-CA"/>
        </w:rPr>
        <w:t xml:space="preserve"> aut</w:t>
      </w:r>
      <w:r w:rsidRPr="0088092F">
        <w:rPr>
          <w:lang w:val="en-CA"/>
        </w:rPr>
        <w:t xml:space="preserve">horized by the </w:t>
      </w:r>
      <w:r w:rsidR="00461B74" w:rsidRPr="0088092F">
        <w:rPr>
          <w:lang w:val="en-CA"/>
        </w:rPr>
        <w:t>Superior</w:t>
      </w:r>
      <w:r w:rsidRPr="0088092F">
        <w:rPr>
          <w:lang w:val="en-CA"/>
        </w:rPr>
        <w:t xml:space="preserve"> </w:t>
      </w:r>
      <w:r w:rsidR="00461B74" w:rsidRPr="0088092F">
        <w:rPr>
          <w:lang w:val="en-CA"/>
        </w:rPr>
        <w:t>Court</w:t>
      </w:r>
      <w:r w:rsidRPr="0088092F">
        <w:rPr>
          <w:lang w:val="en-CA"/>
        </w:rPr>
        <w:t>,</w:t>
      </w:r>
      <w:r w:rsidR="00461B74" w:rsidRPr="0088092F">
        <w:rPr>
          <w:rStyle w:val="Appelnotedebasdep"/>
          <w:lang w:val="en-CA"/>
        </w:rPr>
        <w:footnoteReference w:id="16"/>
      </w:r>
      <w:r w:rsidRPr="0088092F">
        <w:rPr>
          <w:lang w:val="en-CA"/>
        </w:rPr>
        <w:t xml:space="preserve"> those cases will need to be heard in light of the </w:t>
      </w:r>
      <w:r w:rsidR="00461B74" w:rsidRPr="0088092F">
        <w:rPr>
          <w:lang w:val="en-CA"/>
        </w:rPr>
        <w:t>legal</w:t>
      </w:r>
      <w:r w:rsidRPr="0088092F">
        <w:rPr>
          <w:lang w:val="en-CA"/>
        </w:rPr>
        <w:t xml:space="preserve"> framework applicable to them and the </w:t>
      </w:r>
      <w:r w:rsidR="00461B74" w:rsidRPr="0088092F">
        <w:rPr>
          <w:lang w:val="en-CA"/>
        </w:rPr>
        <w:t>evidence</w:t>
      </w:r>
      <w:r w:rsidRPr="0088092F">
        <w:rPr>
          <w:lang w:val="en-CA"/>
        </w:rPr>
        <w:t xml:space="preserve"> </w:t>
      </w:r>
      <w:r w:rsidR="00461B74" w:rsidRPr="0088092F">
        <w:rPr>
          <w:lang w:val="en-CA"/>
        </w:rPr>
        <w:t>pr</w:t>
      </w:r>
      <w:r w:rsidRPr="0088092F">
        <w:rPr>
          <w:lang w:val="en-CA"/>
        </w:rPr>
        <w:t>e</w:t>
      </w:r>
      <w:r w:rsidR="00461B74" w:rsidRPr="0088092F">
        <w:rPr>
          <w:lang w:val="en-CA"/>
        </w:rPr>
        <w:t>sent</w:t>
      </w:r>
      <w:r w:rsidRPr="0088092F">
        <w:rPr>
          <w:lang w:val="en-CA"/>
        </w:rPr>
        <w:t>ed</w:t>
      </w:r>
      <w:r w:rsidR="00461B74" w:rsidRPr="0088092F">
        <w:rPr>
          <w:lang w:val="en-CA"/>
        </w:rPr>
        <w:t>.</w:t>
      </w:r>
    </w:p>
    <w:p w14:paraId="1CF177C3" w14:textId="743C8A64" w:rsidR="00461B74" w:rsidRPr="0088092F" w:rsidRDefault="00461B74" w:rsidP="00461B74">
      <w:pPr>
        <w:pStyle w:val="Titre1"/>
        <w:spacing w:line="280" w:lineRule="exact"/>
        <w:rPr>
          <w:lang w:val="en-CA"/>
        </w:rPr>
      </w:pPr>
      <w:bookmarkStart w:id="12" w:name="_Toc85547010"/>
      <w:r w:rsidRPr="0088092F">
        <w:rPr>
          <w:lang w:val="en-CA"/>
        </w:rPr>
        <w:lastRenderedPageBreak/>
        <w:t>III -</w:t>
      </w:r>
      <w:r w:rsidRPr="0088092F">
        <w:rPr>
          <w:lang w:val="en-CA"/>
        </w:rPr>
        <w:tab/>
      </w:r>
      <w:bookmarkEnd w:id="12"/>
      <w:r w:rsidR="001F6648" w:rsidRPr="0088092F">
        <w:rPr>
          <w:lang w:val="en-CA"/>
        </w:rPr>
        <w:t>FACTS</w:t>
      </w:r>
    </w:p>
    <w:p w14:paraId="768C29A3" w14:textId="026B0C02" w:rsidR="00461B74" w:rsidRPr="0088092F" w:rsidRDefault="00C82313" w:rsidP="00461B74">
      <w:pPr>
        <w:pStyle w:val="Paragraphe"/>
        <w:spacing w:line="280" w:lineRule="exact"/>
        <w:rPr>
          <w:lang w:val="en-CA"/>
        </w:rPr>
      </w:pPr>
      <w:r w:rsidRPr="0088092F">
        <w:rPr>
          <w:lang w:val="en-CA"/>
        </w:rPr>
        <w:t xml:space="preserve">The </w:t>
      </w:r>
      <w:r w:rsidR="00461B74" w:rsidRPr="0088092F">
        <w:rPr>
          <w:lang w:val="en-CA"/>
        </w:rPr>
        <w:t>appellant</w:t>
      </w:r>
      <w:r w:rsidRPr="0088092F">
        <w:rPr>
          <w:lang w:val="en-CA"/>
        </w:rPr>
        <w:t xml:space="preserve"> has been detained pending his trial for several criminal offences since </w:t>
      </w:r>
      <w:r w:rsidR="00461B74" w:rsidRPr="0088092F">
        <w:rPr>
          <w:lang w:val="en-CA"/>
        </w:rPr>
        <w:t>November</w:t>
      </w:r>
      <w:r w:rsidRPr="0088092F">
        <w:rPr>
          <w:lang w:val="en-CA"/>
        </w:rPr>
        <w:t xml:space="preserve"> 11,</w:t>
      </w:r>
      <w:r w:rsidR="00461B74" w:rsidRPr="0088092F">
        <w:rPr>
          <w:lang w:val="en-CA"/>
        </w:rPr>
        <w:t xml:space="preserve"> 2019. </w:t>
      </w:r>
    </w:p>
    <w:p w14:paraId="7A263C16" w14:textId="735F09E8" w:rsidR="00461B74" w:rsidRPr="0088092F" w:rsidRDefault="006B6877" w:rsidP="00461B74">
      <w:pPr>
        <w:pStyle w:val="Paragraphe"/>
        <w:spacing w:line="280" w:lineRule="exact"/>
        <w:rPr>
          <w:lang w:val="en-CA"/>
        </w:rPr>
      </w:pPr>
      <w:r w:rsidRPr="0088092F">
        <w:rPr>
          <w:lang w:val="en-CA"/>
        </w:rPr>
        <w:t xml:space="preserve">He was first detained for </w:t>
      </w:r>
      <w:r w:rsidR="00461B74" w:rsidRPr="0088092F">
        <w:rPr>
          <w:lang w:val="en-CA"/>
        </w:rPr>
        <w:t>13 months</w:t>
      </w:r>
      <w:r w:rsidRPr="0088092F">
        <w:rPr>
          <w:lang w:val="en-CA"/>
        </w:rPr>
        <w:t xml:space="preserve"> at the Québec</w:t>
      </w:r>
      <w:r w:rsidR="00DC2DB4">
        <w:rPr>
          <w:lang w:val="en-CA"/>
        </w:rPr>
        <w:t xml:space="preserve"> City</w:t>
      </w:r>
      <w:r w:rsidRPr="0088092F">
        <w:rPr>
          <w:lang w:val="en-CA"/>
        </w:rPr>
        <w:t xml:space="preserve"> correctional facility, where he says he was in solitary confinement.</w:t>
      </w:r>
      <w:r w:rsidR="00461B74" w:rsidRPr="0088092F">
        <w:rPr>
          <w:rStyle w:val="Appelnotedebasdep"/>
          <w:lang w:val="en-CA"/>
        </w:rPr>
        <w:footnoteReference w:id="17"/>
      </w:r>
      <w:r w:rsidRPr="0088092F">
        <w:rPr>
          <w:lang w:val="en-CA"/>
        </w:rPr>
        <w:t xml:space="preserve"> He was then transferred to </w:t>
      </w:r>
      <w:r w:rsidR="00E47777">
        <w:rPr>
          <w:lang w:val="en-CA"/>
        </w:rPr>
        <w:t xml:space="preserve">the </w:t>
      </w:r>
      <w:r w:rsidR="00461B74" w:rsidRPr="0088092F">
        <w:rPr>
          <w:lang w:val="en-CA"/>
        </w:rPr>
        <w:t>Rivière-des-Prairies</w:t>
      </w:r>
      <w:r w:rsidRPr="0088092F">
        <w:rPr>
          <w:lang w:val="en-CA"/>
        </w:rPr>
        <w:t xml:space="preserve"> correctional facility</w:t>
      </w:r>
      <w:r w:rsidR="00461B74" w:rsidRPr="0088092F">
        <w:rPr>
          <w:lang w:val="en-CA"/>
        </w:rPr>
        <w:t xml:space="preserve">, </w:t>
      </w:r>
      <w:r w:rsidRPr="0088092F">
        <w:rPr>
          <w:lang w:val="en-CA"/>
        </w:rPr>
        <w:t>where he was placed in a</w:t>
      </w:r>
      <w:r w:rsidR="0068190A" w:rsidRPr="0088092F">
        <w:rPr>
          <w:lang w:val="en-CA"/>
        </w:rPr>
        <w:t xml:space="preserve">n </w:t>
      </w:r>
      <w:r w:rsidR="00461B74" w:rsidRPr="0088092F">
        <w:rPr>
          <w:lang w:val="en-CA"/>
        </w:rPr>
        <w:t>anti-suicide</w:t>
      </w:r>
      <w:r w:rsidR="0068190A" w:rsidRPr="0088092F">
        <w:rPr>
          <w:lang w:val="en-CA"/>
        </w:rPr>
        <w:t xml:space="preserve"> cell</w:t>
      </w:r>
      <w:r w:rsidR="00DC2DB4">
        <w:rPr>
          <w:lang w:val="en-CA"/>
        </w:rPr>
        <w:t xml:space="preserve"> for several weeks</w:t>
      </w:r>
      <w:r w:rsidR="0068190A" w:rsidRPr="0088092F">
        <w:rPr>
          <w:lang w:val="en-CA"/>
        </w:rPr>
        <w:t xml:space="preserve">. In </w:t>
      </w:r>
      <w:r w:rsidR="00461B74" w:rsidRPr="0088092F">
        <w:rPr>
          <w:lang w:val="en-CA"/>
        </w:rPr>
        <w:t xml:space="preserve">January 2021, </w:t>
      </w:r>
      <w:r w:rsidR="0068190A" w:rsidRPr="0088092F">
        <w:rPr>
          <w:lang w:val="en-CA"/>
        </w:rPr>
        <w:t xml:space="preserve">the </w:t>
      </w:r>
      <w:r w:rsidR="00461B74" w:rsidRPr="0088092F">
        <w:rPr>
          <w:lang w:val="en-CA"/>
        </w:rPr>
        <w:t>appellant</w:t>
      </w:r>
      <w:r w:rsidR="0068190A" w:rsidRPr="0088092F">
        <w:rPr>
          <w:lang w:val="en-CA"/>
        </w:rPr>
        <w:t xml:space="preserve"> alleged that he had </w:t>
      </w:r>
      <w:r w:rsidR="000A72FE">
        <w:rPr>
          <w:lang w:val="en-CA"/>
        </w:rPr>
        <w:t>already</w:t>
      </w:r>
      <w:r w:rsidR="000A72FE" w:rsidRPr="0088092F">
        <w:rPr>
          <w:lang w:val="en-CA"/>
        </w:rPr>
        <w:t xml:space="preserve"> </w:t>
      </w:r>
      <w:r w:rsidR="0068190A" w:rsidRPr="0088092F">
        <w:rPr>
          <w:lang w:val="en-CA"/>
        </w:rPr>
        <w:t>been</w:t>
      </w:r>
      <w:r w:rsidR="009E3E73" w:rsidRPr="0088092F">
        <w:rPr>
          <w:lang w:val="en-CA"/>
        </w:rPr>
        <w:t xml:space="preserve"> in confinement for </w:t>
      </w:r>
      <w:r w:rsidR="00461B74" w:rsidRPr="0088092F">
        <w:rPr>
          <w:lang w:val="en-CA"/>
        </w:rPr>
        <w:t>15 months.</w:t>
      </w:r>
    </w:p>
    <w:p w14:paraId="27DC0B29" w14:textId="66239D2B" w:rsidR="00461B74" w:rsidRPr="0088092F" w:rsidRDefault="00024BA5" w:rsidP="00461B74">
      <w:pPr>
        <w:pStyle w:val="Paragraphe"/>
        <w:spacing w:line="280" w:lineRule="exact"/>
        <w:rPr>
          <w:lang w:val="en-CA"/>
        </w:rPr>
      </w:pPr>
      <w:r w:rsidRPr="0088092F">
        <w:rPr>
          <w:lang w:val="en-CA"/>
        </w:rPr>
        <w:t xml:space="preserve">From </w:t>
      </w:r>
      <w:r w:rsidR="00461B74" w:rsidRPr="0088092F">
        <w:rPr>
          <w:lang w:val="en-CA"/>
        </w:rPr>
        <w:t xml:space="preserve">January 2021 </w:t>
      </w:r>
      <w:r w:rsidRPr="0088092F">
        <w:rPr>
          <w:lang w:val="en-CA"/>
        </w:rPr>
        <w:t xml:space="preserve">to </w:t>
      </w:r>
      <w:r w:rsidR="00461B74" w:rsidRPr="0088092F">
        <w:rPr>
          <w:lang w:val="en-CA"/>
        </w:rPr>
        <w:t>May</w:t>
      </w:r>
      <w:r w:rsidRPr="0088092F">
        <w:rPr>
          <w:lang w:val="en-CA"/>
        </w:rPr>
        <w:t xml:space="preserve"> 14, </w:t>
      </w:r>
      <w:r w:rsidR="00461B74" w:rsidRPr="0088092F">
        <w:rPr>
          <w:lang w:val="en-CA"/>
        </w:rPr>
        <w:t xml:space="preserve">2021, </w:t>
      </w:r>
      <w:r w:rsidRPr="0088092F">
        <w:rPr>
          <w:lang w:val="en-CA"/>
        </w:rPr>
        <w:t xml:space="preserve">the </w:t>
      </w:r>
      <w:r w:rsidR="00461B74" w:rsidRPr="0088092F">
        <w:rPr>
          <w:lang w:val="en-CA"/>
        </w:rPr>
        <w:t xml:space="preserve">appellant </w:t>
      </w:r>
      <w:r w:rsidRPr="0088092F">
        <w:rPr>
          <w:lang w:val="en-CA"/>
        </w:rPr>
        <w:t xml:space="preserve">was housed in a </w:t>
      </w:r>
      <w:r w:rsidR="00092F31">
        <w:rPr>
          <w:lang w:val="en-CA"/>
        </w:rPr>
        <w:t>general</w:t>
      </w:r>
      <w:r w:rsidRPr="0088092F">
        <w:rPr>
          <w:lang w:val="en-CA"/>
        </w:rPr>
        <w:t xml:space="preserve"> </w:t>
      </w:r>
      <w:r w:rsidR="000A72FE">
        <w:rPr>
          <w:lang w:val="en-CA"/>
        </w:rPr>
        <w:t>area</w:t>
      </w:r>
      <w:r w:rsidRPr="0088092F">
        <w:rPr>
          <w:lang w:val="en-CA"/>
        </w:rPr>
        <w:t xml:space="preserve"> of the facility, which allowed him to leave his cell from </w:t>
      </w:r>
      <w:r w:rsidR="00461B74" w:rsidRPr="0088092F">
        <w:rPr>
          <w:lang w:val="en-CA"/>
        </w:rPr>
        <w:t>8</w:t>
      </w:r>
      <w:r w:rsidRPr="0088092F">
        <w:rPr>
          <w:lang w:val="en-CA"/>
        </w:rPr>
        <w:t>:00 a.m. to 10:</w:t>
      </w:r>
      <w:r w:rsidR="00461B74" w:rsidRPr="0088092F">
        <w:rPr>
          <w:lang w:val="en-CA"/>
        </w:rPr>
        <w:t>30</w:t>
      </w:r>
      <w:r w:rsidRPr="0088092F">
        <w:rPr>
          <w:lang w:val="en-CA"/>
        </w:rPr>
        <w:t xml:space="preserve"> p.m. and to have human contact. During that period, he received regular follow-up </w:t>
      </w:r>
      <w:r w:rsidR="00E47777">
        <w:rPr>
          <w:lang w:val="en-CA"/>
        </w:rPr>
        <w:t xml:space="preserve">care </w:t>
      </w:r>
      <w:r w:rsidRPr="0088092F">
        <w:rPr>
          <w:lang w:val="en-CA"/>
        </w:rPr>
        <w:t xml:space="preserve">from a physician and a </w:t>
      </w:r>
      <w:r w:rsidR="00335C5F" w:rsidRPr="0088092F">
        <w:rPr>
          <w:lang w:val="en-CA"/>
        </w:rPr>
        <w:t>specialist nurse</w:t>
      </w:r>
      <w:r w:rsidR="00461B74" w:rsidRPr="0088092F">
        <w:rPr>
          <w:lang w:val="en-CA"/>
        </w:rPr>
        <w:t>.</w:t>
      </w:r>
    </w:p>
    <w:p w14:paraId="3FA4DE6A" w14:textId="4B9B48ED" w:rsidR="00461B74" w:rsidRPr="0088092F" w:rsidRDefault="00586D42" w:rsidP="00461B74">
      <w:pPr>
        <w:pStyle w:val="Paragraphe"/>
        <w:spacing w:line="280" w:lineRule="exact"/>
        <w:rPr>
          <w:lang w:val="en-CA"/>
        </w:rPr>
      </w:pPr>
      <w:r w:rsidRPr="0088092F">
        <w:rPr>
          <w:lang w:val="en-CA"/>
        </w:rPr>
        <w:t xml:space="preserve">On </w:t>
      </w:r>
      <w:r w:rsidR="00461B74" w:rsidRPr="0088092F">
        <w:rPr>
          <w:lang w:val="en-CA"/>
        </w:rPr>
        <w:t>May</w:t>
      </w:r>
      <w:r w:rsidRPr="0088092F">
        <w:rPr>
          <w:lang w:val="en-CA"/>
        </w:rPr>
        <w:t xml:space="preserve"> 14,</w:t>
      </w:r>
      <w:r w:rsidR="00461B74" w:rsidRPr="0088092F">
        <w:rPr>
          <w:lang w:val="en-CA"/>
        </w:rPr>
        <w:t xml:space="preserve"> 2021,</w:t>
      </w:r>
      <w:r w:rsidRPr="0088092F">
        <w:rPr>
          <w:lang w:val="en-CA"/>
        </w:rPr>
        <w:t xml:space="preserve"> the </w:t>
      </w:r>
      <w:r w:rsidR="00461B74" w:rsidRPr="0088092F">
        <w:rPr>
          <w:lang w:val="en-CA"/>
        </w:rPr>
        <w:t>appellant</w:t>
      </w:r>
      <w:r w:rsidRPr="0088092F">
        <w:rPr>
          <w:lang w:val="en-CA"/>
        </w:rPr>
        <w:t xml:space="preserve"> was again placed in confinement, with two and a half hours outside of his cell</w:t>
      </w:r>
      <w:r w:rsidR="00461B74" w:rsidRPr="0088092F">
        <w:rPr>
          <w:lang w:val="en-CA"/>
        </w:rPr>
        <w:t>.</w:t>
      </w:r>
    </w:p>
    <w:p w14:paraId="32F55D07" w14:textId="4CEA1857" w:rsidR="00461B74" w:rsidRPr="0088092F" w:rsidRDefault="00C14793" w:rsidP="00461B74">
      <w:pPr>
        <w:pStyle w:val="Paragraphe"/>
        <w:spacing w:line="280" w:lineRule="exact"/>
        <w:rPr>
          <w:lang w:val="en-CA"/>
        </w:rPr>
      </w:pPr>
      <w:r w:rsidRPr="0088092F">
        <w:rPr>
          <w:lang w:val="en-CA"/>
        </w:rPr>
        <w:t>On May 19,</w:t>
      </w:r>
      <w:r w:rsidR="00461B74" w:rsidRPr="0088092F">
        <w:rPr>
          <w:lang w:val="en-CA"/>
        </w:rPr>
        <w:t xml:space="preserve"> 2021, </w:t>
      </w:r>
      <w:r w:rsidRPr="0088092F">
        <w:rPr>
          <w:lang w:val="en-CA"/>
        </w:rPr>
        <w:t xml:space="preserve">he was transferred to the </w:t>
      </w:r>
      <w:r w:rsidR="00461B74" w:rsidRPr="0088092F">
        <w:rPr>
          <w:lang w:val="en-CA"/>
        </w:rPr>
        <w:t>Sorel-Tracy</w:t>
      </w:r>
      <w:r w:rsidRPr="0088092F">
        <w:rPr>
          <w:lang w:val="en-CA"/>
        </w:rPr>
        <w:t xml:space="preserve"> correctional facility so that he could have four hours outside of his cell</w:t>
      </w:r>
      <w:r w:rsidR="00461B74" w:rsidRPr="0088092F">
        <w:rPr>
          <w:lang w:val="en-CA"/>
        </w:rPr>
        <w:t xml:space="preserve">. </w:t>
      </w:r>
    </w:p>
    <w:p w14:paraId="09FEAB31" w14:textId="47D0B451" w:rsidR="00461B74" w:rsidRPr="0088092F" w:rsidRDefault="00C14793" w:rsidP="00461B74">
      <w:pPr>
        <w:pStyle w:val="Paragraphe"/>
        <w:spacing w:line="280" w:lineRule="exact"/>
        <w:rPr>
          <w:lang w:val="en-CA"/>
        </w:rPr>
      </w:pPr>
      <w:r w:rsidRPr="0088092F">
        <w:rPr>
          <w:lang w:val="en-CA"/>
        </w:rPr>
        <w:t xml:space="preserve">Before presenting the facts underlining the </w:t>
      </w:r>
      <w:r w:rsidR="00F01A38" w:rsidRPr="0088092F">
        <w:rPr>
          <w:lang w:val="en-CA"/>
        </w:rPr>
        <w:t>motion</w:t>
      </w:r>
      <w:r w:rsidRPr="0088092F">
        <w:rPr>
          <w:lang w:val="en-CA"/>
        </w:rPr>
        <w:t xml:space="preserve"> for </w:t>
      </w:r>
      <w:r w:rsidR="00461B74" w:rsidRPr="0088092F">
        <w:rPr>
          <w:i/>
          <w:iCs/>
          <w:lang w:val="en-CA"/>
        </w:rPr>
        <w:t>habeas corpus</w:t>
      </w:r>
      <w:r w:rsidR="00461B74" w:rsidRPr="0088092F">
        <w:rPr>
          <w:lang w:val="en-CA"/>
        </w:rPr>
        <w:t xml:space="preserve">, </w:t>
      </w:r>
      <w:r w:rsidR="00E47777">
        <w:rPr>
          <w:lang w:val="en-CA"/>
        </w:rPr>
        <w:t xml:space="preserve">it is worth presenting </w:t>
      </w:r>
      <w:r w:rsidRPr="0088092F">
        <w:rPr>
          <w:lang w:val="en-CA"/>
        </w:rPr>
        <w:t xml:space="preserve">a brief </w:t>
      </w:r>
      <w:r w:rsidR="00E47777">
        <w:rPr>
          <w:lang w:val="en-CA"/>
        </w:rPr>
        <w:t xml:space="preserve">overview </w:t>
      </w:r>
      <w:r w:rsidRPr="0088092F">
        <w:rPr>
          <w:lang w:val="en-CA"/>
        </w:rPr>
        <w:t xml:space="preserve">of the way in which </w:t>
      </w:r>
      <w:r w:rsidR="00E47777">
        <w:rPr>
          <w:lang w:val="en-CA"/>
        </w:rPr>
        <w:t>what is known as</w:t>
      </w:r>
      <w:r w:rsidR="00F01A38" w:rsidRPr="0088092F">
        <w:rPr>
          <w:lang w:val="en-CA"/>
        </w:rPr>
        <w:t xml:space="preserve"> restrictive classification at the </w:t>
      </w:r>
      <w:r w:rsidR="00461B74" w:rsidRPr="0088092F">
        <w:rPr>
          <w:lang w:val="en-CA"/>
        </w:rPr>
        <w:t>Sorel-Tracy</w:t>
      </w:r>
      <w:r w:rsidR="00F01A38" w:rsidRPr="0088092F">
        <w:rPr>
          <w:lang w:val="en-CA"/>
        </w:rPr>
        <w:t xml:space="preserve"> correction facility operate</w:t>
      </w:r>
      <w:r w:rsidR="00E47777">
        <w:rPr>
          <w:lang w:val="en-CA"/>
        </w:rPr>
        <w:t>s</w:t>
      </w:r>
      <w:r w:rsidR="00461B74" w:rsidRPr="0088092F">
        <w:rPr>
          <w:lang w:val="en-CA"/>
        </w:rPr>
        <w:t xml:space="preserve">. </w:t>
      </w:r>
    </w:p>
    <w:p w14:paraId="09FA1B85" w14:textId="1CD5FA5C" w:rsidR="00461B74" w:rsidRPr="0088092F" w:rsidRDefault="00461B74" w:rsidP="00461B74">
      <w:pPr>
        <w:pStyle w:val="Titre2"/>
        <w:rPr>
          <w:lang w:val="en-CA"/>
        </w:rPr>
      </w:pPr>
      <w:bookmarkStart w:id="13" w:name="_Toc85547011"/>
      <w:r w:rsidRPr="0088092F">
        <w:rPr>
          <w:lang w:val="en-CA"/>
        </w:rPr>
        <w:t>A -</w:t>
      </w:r>
      <w:r w:rsidRPr="0088092F">
        <w:rPr>
          <w:lang w:val="en-CA"/>
        </w:rPr>
        <w:tab/>
      </w:r>
      <w:r w:rsidR="00E34047" w:rsidRPr="0088092F">
        <w:rPr>
          <w:lang w:val="en-CA"/>
        </w:rPr>
        <w:t>The r</w:t>
      </w:r>
      <w:r w:rsidR="00C14793" w:rsidRPr="0088092F">
        <w:rPr>
          <w:lang w:val="en-CA"/>
        </w:rPr>
        <w:t>estrictive</w:t>
      </w:r>
      <w:r w:rsidR="00E34047" w:rsidRPr="0088092F">
        <w:rPr>
          <w:lang w:val="en-CA"/>
        </w:rPr>
        <w:t xml:space="preserve"> classification at the </w:t>
      </w:r>
      <w:r w:rsidRPr="0088092F">
        <w:rPr>
          <w:lang w:val="en-CA"/>
        </w:rPr>
        <w:t>Sorel-Tracy</w:t>
      </w:r>
      <w:bookmarkEnd w:id="13"/>
      <w:r w:rsidR="00E34047" w:rsidRPr="0088092F">
        <w:rPr>
          <w:lang w:val="en-CA"/>
        </w:rPr>
        <w:t xml:space="preserve"> correctional facility</w:t>
      </w:r>
      <w:r w:rsidRPr="0088092F">
        <w:rPr>
          <w:lang w:val="en-CA"/>
        </w:rPr>
        <w:t xml:space="preserve"> </w:t>
      </w:r>
    </w:p>
    <w:p w14:paraId="5AFE70F1" w14:textId="2FBB49EF" w:rsidR="00461B74" w:rsidRPr="0088092F" w:rsidRDefault="00FB7E01" w:rsidP="00461B74">
      <w:pPr>
        <w:pStyle w:val="Paragraphe"/>
        <w:spacing w:line="280" w:lineRule="exact"/>
        <w:rPr>
          <w:lang w:val="en-CA"/>
        </w:rPr>
      </w:pPr>
      <w:r w:rsidRPr="009571AD">
        <w:rPr>
          <w:lang w:val="en-CA"/>
        </w:rPr>
        <w:t xml:space="preserve">In this facility, inmates are placed in various </w:t>
      </w:r>
      <w:r w:rsidR="000A72FE">
        <w:rPr>
          <w:lang w:val="en-CA"/>
        </w:rPr>
        <w:t>areas</w:t>
      </w:r>
      <w:r w:rsidRPr="009571AD">
        <w:rPr>
          <w:lang w:val="en-CA"/>
        </w:rPr>
        <w:t xml:space="preserve"> according to their security </w:t>
      </w:r>
      <w:r w:rsidR="00F81EA9" w:rsidRPr="009571AD">
        <w:rPr>
          <w:lang w:val="en-CA"/>
        </w:rPr>
        <w:t>supervision needs</w:t>
      </w:r>
      <w:r w:rsidR="00461B74" w:rsidRPr="009571AD">
        <w:rPr>
          <w:lang w:val="en-CA"/>
        </w:rPr>
        <w:t xml:space="preserve">. </w:t>
      </w:r>
      <w:r w:rsidR="00F81EA9" w:rsidRPr="009571AD">
        <w:rPr>
          <w:lang w:val="en-CA"/>
        </w:rPr>
        <w:t xml:space="preserve">They are </w:t>
      </w:r>
      <w:r w:rsidR="00885A36">
        <w:rPr>
          <w:lang w:val="en-CA"/>
        </w:rPr>
        <w:t>assigned</w:t>
      </w:r>
      <w:r w:rsidR="00F81EA9" w:rsidRPr="009571AD">
        <w:rPr>
          <w:lang w:val="en-CA"/>
        </w:rPr>
        <w:t xml:space="preserve"> a security classification of either </w:t>
      </w:r>
      <w:r w:rsidR="00B5268A">
        <w:rPr>
          <w:lang w:val="en-CA"/>
        </w:rPr>
        <w:t>minimum</w:t>
      </w:r>
      <w:r w:rsidR="00F81EA9" w:rsidRPr="009571AD">
        <w:rPr>
          <w:lang w:val="en-CA"/>
        </w:rPr>
        <w:t xml:space="preserve">, medium, or </w:t>
      </w:r>
      <w:r w:rsidR="00B5268A">
        <w:rPr>
          <w:lang w:val="en-CA"/>
        </w:rPr>
        <w:t>maximum</w:t>
      </w:r>
      <w:r w:rsidR="00F81EA9" w:rsidRPr="009571AD">
        <w:rPr>
          <w:lang w:val="en-CA"/>
        </w:rPr>
        <w:t xml:space="preserve">. The inmates in these three </w:t>
      </w:r>
      <w:r w:rsidR="00461B74" w:rsidRPr="009571AD">
        <w:rPr>
          <w:lang w:val="en-CA"/>
        </w:rPr>
        <w:t>cat</w:t>
      </w:r>
      <w:r w:rsidR="00F81EA9" w:rsidRPr="009571AD">
        <w:rPr>
          <w:lang w:val="en-CA"/>
        </w:rPr>
        <w:t>e</w:t>
      </w:r>
      <w:r w:rsidR="00461B74" w:rsidRPr="009571AD">
        <w:rPr>
          <w:lang w:val="en-CA"/>
        </w:rPr>
        <w:t>gories</w:t>
      </w:r>
      <w:r w:rsidR="00F81EA9" w:rsidRPr="009571AD">
        <w:rPr>
          <w:lang w:val="en-CA"/>
        </w:rPr>
        <w:t xml:space="preserve"> are placed in the [</w:t>
      </w:r>
      <w:r w:rsidR="00F81EA9" w:rsidRPr="009571AD">
        <w:rPr>
          <w:smallCaps/>
          <w:lang w:val="en-CA"/>
        </w:rPr>
        <w:t>translation</w:t>
      </w:r>
      <w:r w:rsidR="00F81EA9" w:rsidRPr="009571AD">
        <w:rPr>
          <w:lang w:val="en-CA"/>
        </w:rPr>
        <w:t>] “</w:t>
      </w:r>
      <w:r w:rsidR="00CA2CF6">
        <w:rPr>
          <w:lang w:val="en-CA"/>
        </w:rPr>
        <w:t xml:space="preserve">general </w:t>
      </w:r>
      <w:r w:rsidR="000A72FE">
        <w:rPr>
          <w:lang w:val="en-CA"/>
        </w:rPr>
        <w:t>area</w:t>
      </w:r>
      <w:r w:rsidR="00F81EA9" w:rsidRPr="009571AD">
        <w:rPr>
          <w:lang w:val="en-CA"/>
        </w:rPr>
        <w:t xml:space="preserve">” of the </w:t>
      </w:r>
      <w:r w:rsidR="008D614F" w:rsidRPr="009571AD">
        <w:rPr>
          <w:lang w:val="en-CA"/>
        </w:rPr>
        <w:t xml:space="preserve">correctional facility. There are two other </w:t>
      </w:r>
      <w:r w:rsidR="00461B74" w:rsidRPr="009571AD">
        <w:rPr>
          <w:lang w:val="en-CA"/>
        </w:rPr>
        <w:t xml:space="preserve">types </w:t>
      </w:r>
      <w:r w:rsidR="008D614F" w:rsidRPr="009571AD">
        <w:rPr>
          <w:lang w:val="en-CA"/>
        </w:rPr>
        <w:t xml:space="preserve">of classification for inmates with </w:t>
      </w:r>
      <w:r w:rsidR="00461B74" w:rsidRPr="009571AD">
        <w:rPr>
          <w:lang w:val="en-CA"/>
        </w:rPr>
        <w:t>particul</w:t>
      </w:r>
      <w:r w:rsidR="008D614F" w:rsidRPr="009571AD">
        <w:rPr>
          <w:lang w:val="en-CA"/>
        </w:rPr>
        <w:t>a</w:t>
      </w:r>
      <w:r w:rsidR="00461B74" w:rsidRPr="009571AD">
        <w:rPr>
          <w:lang w:val="en-CA"/>
        </w:rPr>
        <w:t>r</w:t>
      </w:r>
      <w:r w:rsidR="008D614F" w:rsidRPr="009571AD">
        <w:rPr>
          <w:lang w:val="en-CA"/>
        </w:rPr>
        <w:t xml:space="preserve"> need</w:t>
      </w:r>
      <w:r w:rsidR="00461B74" w:rsidRPr="009571AD">
        <w:rPr>
          <w:lang w:val="en-CA"/>
        </w:rPr>
        <w:t xml:space="preserve">s: </w:t>
      </w:r>
      <w:r w:rsidR="008D614F" w:rsidRPr="009571AD">
        <w:rPr>
          <w:lang w:val="en-CA"/>
        </w:rPr>
        <w:t>specific classification and r</w:t>
      </w:r>
      <w:r w:rsidRPr="009571AD">
        <w:rPr>
          <w:lang w:val="en-CA"/>
        </w:rPr>
        <w:t>estrictive classification</w:t>
      </w:r>
      <w:r w:rsidR="00461B74" w:rsidRPr="009571AD">
        <w:rPr>
          <w:lang w:val="en-CA"/>
        </w:rPr>
        <w:t>.</w:t>
      </w:r>
      <w:r w:rsidR="008D614F" w:rsidRPr="009571AD">
        <w:rPr>
          <w:lang w:val="en-CA"/>
        </w:rPr>
        <w:t xml:space="preserve"> The latter applies in particular to </w:t>
      </w:r>
      <w:r w:rsidR="003257C4" w:rsidRPr="009571AD">
        <w:rPr>
          <w:lang w:val="en-CA"/>
        </w:rPr>
        <w:t>offenders</w:t>
      </w:r>
      <w:r w:rsidR="00461B74" w:rsidRPr="009571AD">
        <w:rPr>
          <w:lang w:val="en-CA"/>
        </w:rPr>
        <w:t xml:space="preserve"> </w:t>
      </w:r>
      <w:r w:rsidR="008D614F" w:rsidRPr="009571AD">
        <w:rPr>
          <w:lang w:val="en-CA"/>
        </w:rPr>
        <w:t>with security measures that require stricter</w:t>
      </w:r>
      <w:r w:rsidR="00D035F6" w:rsidRPr="009571AD">
        <w:rPr>
          <w:lang w:val="en-CA"/>
        </w:rPr>
        <w:t xml:space="preserve"> general supervision. Such </w:t>
      </w:r>
      <w:r w:rsidR="00461B74" w:rsidRPr="009571AD">
        <w:rPr>
          <w:lang w:val="en-CA"/>
        </w:rPr>
        <w:t>me</w:t>
      </w:r>
      <w:r w:rsidR="00D035F6" w:rsidRPr="009571AD">
        <w:rPr>
          <w:lang w:val="en-CA"/>
        </w:rPr>
        <w:t>as</w:t>
      </w:r>
      <w:r w:rsidR="00461B74" w:rsidRPr="009571AD">
        <w:rPr>
          <w:lang w:val="en-CA"/>
        </w:rPr>
        <w:t xml:space="preserve">ures </w:t>
      </w:r>
      <w:r w:rsidR="00D035F6" w:rsidRPr="009571AD">
        <w:rPr>
          <w:lang w:val="en-CA"/>
        </w:rPr>
        <w:t xml:space="preserve">are </w:t>
      </w:r>
      <w:r w:rsidR="00461B74" w:rsidRPr="009571AD">
        <w:rPr>
          <w:lang w:val="en-CA"/>
        </w:rPr>
        <w:t>impos</w:t>
      </w:r>
      <w:r w:rsidR="00D035F6" w:rsidRPr="009571AD">
        <w:rPr>
          <w:lang w:val="en-CA"/>
        </w:rPr>
        <w:t>ed when an offender</w:t>
      </w:r>
      <w:r w:rsidR="00D035F6" w:rsidRPr="0088092F">
        <w:rPr>
          <w:lang w:val="en-CA"/>
        </w:rPr>
        <w:t xml:space="preserve"> displays </w:t>
      </w:r>
      <w:r w:rsidR="00461B74" w:rsidRPr="0088092F">
        <w:rPr>
          <w:lang w:val="en-CA"/>
        </w:rPr>
        <w:t>violent</w:t>
      </w:r>
      <w:r w:rsidR="00D035F6" w:rsidRPr="0088092F">
        <w:rPr>
          <w:lang w:val="en-CA"/>
        </w:rPr>
        <w:t xml:space="preserve">, </w:t>
      </w:r>
      <w:r w:rsidR="00461B74" w:rsidRPr="0088092F">
        <w:rPr>
          <w:lang w:val="en-CA"/>
        </w:rPr>
        <w:t>probl</w:t>
      </w:r>
      <w:r w:rsidR="00D035F6" w:rsidRPr="0088092F">
        <w:rPr>
          <w:lang w:val="en-CA"/>
        </w:rPr>
        <w:t>e</w:t>
      </w:r>
      <w:r w:rsidR="00461B74" w:rsidRPr="0088092F">
        <w:rPr>
          <w:lang w:val="en-CA"/>
        </w:rPr>
        <w:t>mati</w:t>
      </w:r>
      <w:r w:rsidR="00D035F6" w:rsidRPr="0088092F">
        <w:rPr>
          <w:lang w:val="en-CA"/>
        </w:rPr>
        <w:t>c behaviour</w:t>
      </w:r>
      <w:r w:rsidR="00461B74" w:rsidRPr="0088092F">
        <w:rPr>
          <w:lang w:val="en-CA"/>
        </w:rPr>
        <w:t xml:space="preserve">. </w:t>
      </w:r>
    </w:p>
    <w:p w14:paraId="6E3FAD28" w14:textId="1795F78F" w:rsidR="00461B74" w:rsidRPr="0088092F" w:rsidRDefault="008541AD" w:rsidP="00461B74">
      <w:pPr>
        <w:pStyle w:val="Paragraphe"/>
        <w:spacing w:line="280" w:lineRule="exact"/>
        <w:rPr>
          <w:lang w:val="en-CA"/>
        </w:rPr>
      </w:pPr>
      <w:r w:rsidRPr="0088092F">
        <w:rPr>
          <w:lang w:val="en-CA"/>
        </w:rPr>
        <w:t xml:space="preserve">The </w:t>
      </w:r>
      <w:r w:rsidR="00461B74" w:rsidRPr="0088092F">
        <w:rPr>
          <w:lang w:val="en-CA"/>
        </w:rPr>
        <w:t>appellant</w:t>
      </w:r>
      <w:r w:rsidRPr="0088092F">
        <w:rPr>
          <w:lang w:val="en-CA"/>
        </w:rPr>
        <w:t xml:space="preserve"> is subject to security measures. As such, he is housed in a </w:t>
      </w:r>
      <w:r w:rsidR="00FB7E01" w:rsidRPr="0088092F">
        <w:rPr>
          <w:lang w:val="en-CA"/>
        </w:rPr>
        <w:t>restrictive classification</w:t>
      </w:r>
      <w:r w:rsidRPr="0088092F">
        <w:rPr>
          <w:lang w:val="en-CA"/>
        </w:rPr>
        <w:t xml:space="preserve"> </w:t>
      </w:r>
      <w:r w:rsidR="00F51382">
        <w:rPr>
          <w:lang w:val="en-CA"/>
        </w:rPr>
        <w:t>area</w:t>
      </w:r>
      <w:r w:rsidRPr="0088092F">
        <w:rPr>
          <w:lang w:val="en-CA"/>
        </w:rPr>
        <w:t>, called the [</w:t>
      </w:r>
      <w:r w:rsidRPr="0088092F">
        <w:rPr>
          <w:smallCaps/>
          <w:lang w:val="en-CA"/>
        </w:rPr>
        <w:t>translation] “</w:t>
      </w:r>
      <w:r w:rsidRPr="0088092F">
        <w:rPr>
          <w:lang w:val="en-CA"/>
        </w:rPr>
        <w:t xml:space="preserve">MS </w:t>
      </w:r>
      <w:r w:rsidR="00F51382">
        <w:rPr>
          <w:lang w:val="en-CA"/>
        </w:rPr>
        <w:t>area</w:t>
      </w:r>
      <w:r w:rsidRPr="0088092F">
        <w:rPr>
          <w:lang w:val="en-CA"/>
        </w:rPr>
        <w:t>”</w:t>
      </w:r>
      <w:r w:rsidR="00461B74" w:rsidRPr="0088092F">
        <w:rPr>
          <w:lang w:val="en-CA"/>
        </w:rPr>
        <w:t xml:space="preserve">. </w:t>
      </w:r>
    </w:p>
    <w:p w14:paraId="1BE2CF0B" w14:textId="183A34B8" w:rsidR="00461B74" w:rsidRPr="0088092F" w:rsidRDefault="00A2022F" w:rsidP="00461B74">
      <w:pPr>
        <w:pStyle w:val="Paragraphe"/>
        <w:spacing w:line="280" w:lineRule="exact"/>
        <w:rPr>
          <w:lang w:val="en-CA"/>
        </w:rPr>
      </w:pPr>
      <w:r w:rsidRPr="0088092F">
        <w:rPr>
          <w:lang w:val="en-CA"/>
        </w:rPr>
        <w:t xml:space="preserve">A classification committee reassesses the classification and security </w:t>
      </w:r>
      <w:r w:rsidR="00461B74" w:rsidRPr="0088092F">
        <w:rPr>
          <w:lang w:val="en-CA"/>
        </w:rPr>
        <w:t>me</w:t>
      </w:r>
      <w:r w:rsidRPr="0088092F">
        <w:rPr>
          <w:lang w:val="en-CA"/>
        </w:rPr>
        <w:t>a</w:t>
      </w:r>
      <w:r w:rsidR="00461B74" w:rsidRPr="0088092F">
        <w:rPr>
          <w:lang w:val="en-CA"/>
        </w:rPr>
        <w:t xml:space="preserve">sures </w:t>
      </w:r>
      <w:r w:rsidRPr="0088092F">
        <w:rPr>
          <w:lang w:val="en-CA"/>
        </w:rPr>
        <w:t xml:space="preserve">every </w:t>
      </w:r>
      <w:r w:rsidR="00461B74" w:rsidRPr="0088092F">
        <w:rPr>
          <w:lang w:val="en-CA"/>
        </w:rPr>
        <w:t xml:space="preserve">14 </w:t>
      </w:r>
      <w:r w:rsidRPr="0088092F">
        <w:rPr>
          <w:lang w:val="en-CA"/>
        </w:rPr>
        <w:t>days</w:t>
      </w:r>
      <w:r w:rsidR="00461B74" w:rsidRPr="0088092F">
        <w:rPr>
          <w:lang w:val="en-CA"/>
        </w:rPr>
        <w:t xml:space="preserve">. </w:t>
      </w:r>
      <w:r w:rsidRPr="0088092F">
        <w:rPr>
          <w:lang w:val="en-CA"/>
        </w:rPr>
        <w:t xml:space="preserve">If the offender behaved appropriately in the </w:t>
      </w:r>
      <w:r w:rsidR="00461B74" w:rsidRPr="0088092F">
        <w:rPr>
          <w:lang w:val="en-CA"/>
        </w:rPr>
        <w:t>MS</w:t>
      </w:r>
      <w:r w:rsidRPr="0088092F">
        <w:rPr>
          <w:lang w:val="en-CA"/>
        </w:rPr>
        <w:t xml:space="preserve"> </w:t>
      </w:r>
      <w:r w:rsidR="00F51382">
        <w:rPr>
          <w:lang w:val="en-CA"/>
        </w:rPr>
        <w:t>area</w:t>
      </w:r>
      <w:r w:rsidRPr="0088092F">
        <w:rPr>
          <w:lang w:val="en-CA"/>
        </w:rPr>
        <w:t xml:space="preserve">, he can </w:t>
      </w:r>
      <w:r w:rsidR="00104278" w:rsidRPr="0088092F">
        <w:rPr>
          <w:lang w:val="en-CA"/>
        </w:rPr>
        <w:t xml:space="preserve">reintegrate </w:t>
      </w:r>
      <w:r w:rsidR="002F5272" w:rsidRPr="0088092F">
        <w:rPr>
          <w:lang w:val="en-CA"/>
        </w:rPr>
        <w:lastRenderedPageBreak/>
        <w:t>into the facility</w:t>
      </w:r>
      <w:r w:rsidR="0084637F">
        <w:rPr>
          <w:lang w:val="en-CA"/>
        </w:rPr>
        <w:t xml:space="preserve">’s general </w:t>
      </w:r>
      <w:r w:rsidR="00F51382">
        <w:rPr>
          <w:lang w:val="en-CA"/>
        </w:rPr>
        <w:t>area</w:t>
      </w:r>
      <w:r w:rsidR="00461B74" w:rsidRPr="0088092F">
        <w:rPr>
          <w:lang w:val="en-CA"/>
        </w:rPr>
        <w:t xml:space="preserve">. </w:t>
      </w:r>
      <w:r w:rsidR="002F5272" w:rsidRPr="0088092F">
        <w:rPr>
          <w:lang w:val="en-CA"/>
        </w:rPr>
        <w:t xml:space="preserve">If his conduct still requires restrictive supervision, he must remain in the MS </w:t>
      </w:r>
      <w:r w:rsidR="00F51382">
        <w:rPr>
          <w:lang w:val="en-CA"/>
        </w:rPr>
        <w:t xml:space="preserve">area </w:t>
      </w:r>
      <w:r w:rsidR="002F5272" w:rsidRPr="0088092F">
        <w:rPr>
          <w:lang w:val="en-CA"/>
        </w:rPr>
        <w:t xml:space="preserve">for </w:t>
      </w:r>
      <w:r w:rsidR="00193E49">
        <w:rPr>
          <w:lang w:val="en-CA"/>
        </w:rPr>
        <w:t xml:space="preserve">an additional </w:t>
      </w:r>
      <w:r w:rsidR="00461B74" w:rsidRPr="0088092F">
        <w:rPr>
          <w:lang w:val="en-CA"/>
        </w:rPr>
        <w:t xml:space="preserve">14 </w:t>
      </w:r>
      <w:r w:rsidR="002F5272" w:rsidRPr="0088092F">
        <w:rPr>
          <w:lang w:val="en-CA"/>
        </w:rPr>
        <w:t xml:space="preserve">days of </w:t>
      </w:r>
      <w:r w:rsidR="00461B74" w:rsidRPr="0088092F">
        <w:rPr>
          <w:lang w:val="en-CA"/>
        </w:rPr>
        <w:t>observation.</w:t>
      </w:r>
    </w:p>
    <w:p w14:paraId="672DA80B" w14:textId="5C5DB487" w:rsidR="00461B74" w:rsidRPr="0088092F" w:rsidRDefault="00F04937" w:rsidP="00461B74">
      <w:pPr>
        <w:pStyle w:val="Paragraphe"/>
        <w:spacing w:line="280" w:lineRule="exact"/>
        <w:rPr>
          <w:lang w:val="en-CA"/>
        </w:rPr>
      </w:pPr>
      <w:r w:rsidRPr="0088092F">
        <w:rPr>
          <w:lang w:val="en-CA"/>
        </w:rPr>
        <w:t xml:space="preserve">The </w:t>
      </w:r>
      <w:r w:rsidR="00461B74" w:rsidRPr="0088092F">
        <w:rPr>
          <w:lang w:val="en-CA"/>
        </w:rPr>
        <w:t xml:space="preserve">MS </w:t>
      </w:r>
      <w:r w:rsidR="00F51382">
        <w:rPr>
          <w:lang w:val="en-CA"/>
        </w:rPr>
        <w:t>area</w:t>
      </w:r>
      <w:r w:rsidR="0084637F" w:rsidRPr="0088092F">
        <w:rPr>
          <w:lang w:val="en-CA"/>
        </w:rPr>
        <w:t xml:space="preserve"> </w:t>
      </w:r>
      <w:r w:rsidRPr="0088092F">
        <w:rPr>
          <w:lang w:val="en-CA"/>
        </w:rPr>
        <w:t xml:space="preserve">includes </w:t>
      </w:r>
      <w:r w:rsidR="0064420E" w:rsidRPr="0088092F">
        <w:rPr>
          <w:lang w:val="en-CA"/>
        </w:rPr>
        <w:t xml:space="preserve">isolation cells for inmates subject to </w:t>
      </w:r>
      <w:r w:rsidR="00461B74" w:rsidRPr="0088092F">
        <w:rPr>
          <w:lang w:val="en-CA"/>
        </w:rPr>
        <w:t>disciplina</w:t>
      </w:r>
      <w:r w:rsidR="0064420E" w:rsidRPr="0088092F">
        <w:rPr>
          <w:lang w:val="en-CA"/>
        </w:rPr>
        <w:t xml:space="preserve">ry measures. The detention </w:t>
      </w:r>
      <w:r w:rsidR="00461B74" w:rsidRPr="0088092F">
        <w:rPr>
          <w:lang w:val="en-CA"/>
        </w:rPr>
        <w:t>conditions</w:t>
      </w:r>
      <w:r w:rsidR="0064420E" w:rsidRPr="0088092F">
        <w:rPr>
          <w:lang w:val="en-CA"/>
        </w:rPr>
        <w:t xml:space="preserve"> in th</w:t>
      </w:r>
      <w:r w:rsidR="00CB5DC3">
        <w:rPr>
          <w:lang w:val="en-CA"/>
        </w:rPr>
        <w:t>is isolation</w:t>
      </w:r>
      <w:r w:rsidR="0064420E" w:rsidRPr="0088092F">
        <w:rPr>
          <w:lang w:val="en-CA"/>
        </w:rPr>
        <w:t xml:space="preserve"> </w:t>
      </w:r>
      <w:r w:rsidR="00F51382">
        <w:rPr>
          <w:lang w:val="en-CA"/>
        </w:rPr>
        <w:t>area</w:t>
      </w:r>
      <w:r w:rsidR="0084637F" w:rsidRPr="0088092F">
        <w:rPr>
          <w:lang w:val="en-CA"/>
        </w:rPr>
        <w:t xml:space="preserve"> </w:t>
      </w:r>
      <w:r w:rsidR="0064420E" w:rsidRPr="0088092F">
        <w:rPr>
          <w:lang w:val="en-CA"/>
        </w:rPr>
        <w:t xml:space="preserve">and the </w:t>
      </w:r>
      <w:r w:rsidR="00461B74" w:rsidRPr="0088092F">
        <w:rPr>
          <w:lang w:val="en-CA"/>
        </w:rPr>
        <w:t>MS</w:t>
      </w:r>
      <w:r w:rsidR="0064420E" w:rsidRPr="0088092F">
        <w:rPr>
          <w:lang w:val="en-CA"/>
        </w:rPr>
        <w:t xml:space="preserve"> </w:t>
      </w:r>
      <w:r w:rsidR="00F51382">
        <w:rPr>
          <w:lang w:val="en-CA"/>
        </w:rPr>
        <w:t>area</w:t>
      </w:r>
      <w:r w:rsidR="0084637F" w:rsidRPr="0088092F">
        <w:rPr>
          <w:lang w:val="en-CA"/>
        </w:rPr>
        <w:t xml:space="preserve"> </w:t>
      </w:r>
      <w:r w:rsidR="0064420E" w:rsidRPr="0088092F">
        <w:rPr>
          <w:lang w:val="en-CA"/>
        </w:rPr>
        <w:t>are</w:t>
      </w:r>
      <w:r w:rsidR="00461B74" w:rsidRPr="0088092F">
        <w:rPr>
          <w:lang w:val="en-CA"/>
        </w:rPr>
        <w:t xml:space="preserve"> </w:t>
      </w:r>
      <w:r w:rsidR="00954260" w:rsidRPr="0088092F">
        <w:rPr>
          <w:lang w:val="en-CA"/>
        </w:rPr>
        <w:t>substantially the same</w:t>
      </w:r>
      <w:r w:rsidR="00461B74" w:rsidRPr="0088092F">
        <w:rPr>
          <w:lang w:val="en-CA"/>
        </w:rPr>
        <w:t xml:space="preserve">: </w:t>
      </w:r>
      <w:r w:rsidR="00954260" w:rsidRPr="0088092F">
        <w:rPr>
          <w:lang w:val="en-CA"/>
        </w:rPr>
        <w:t>the computer station schedules are the same</w:t>
      </w:r>
      <w:r w:rsidR="00491653" w:rsidRPr="0088092F">
        <w:rPr>
          <w:lang w:val="en-CA"/>
        </w:rPr>
        <w:t xml:space="preserve">, and, most importantly, there is no human </w:t>
      </w:r>
      <w:r w:rsidR="00461B74" w:rsidRPr="0088092F">
        <w:rPr>
          <w:lang w:val="en-CA"/>
        </w:rPr>
        <w:t xml:space="preserve">contact </w:t>
      </w:r>
      <w:r w:rsidR="00491653" w:rsidRPr="0088092F">
        <w:rPr>
          <w:lang w:val="en-CA"/>
        </w:rPr>
        <w:t xml:space="preserve">with other inmates. The only contact takes place through the door or the </w:t>
      </w:r>
      <w:r w:rsidR="00B801FE" w:rsidRPr="0088092F">
        <w:rPr>
          <w:lang w:val="en-CA"/>
        </w:rPr>
        <w:t>food</w:t>
      </w:r>
      <w:r w:rsidR="000268A8" w:rsidRPr="0088092F">
        <w:rPr>
          <w:lang w:val="en-CA"/>
        </w:rPr>
        <w:t xml:space="preserve"> slot</w:t>
      </w:r>
      <w:r w:rsidR="00461B74" w:rsidRPr="0088092F">
        <w:rPr>
          <w:lang w:val="en-CA"/>
        </w:rPr>
        <w:t>.</w:t>
      </w:r>
    </w:p>
    <w:p w14:paraId="5D94A009" w14:textId="4083CA11" w:rsidR="00461B74" w:rsidRPr="0088092F" w:rsidRDefault="00B801FE" w:rsidP="00461B74">
      <w:pPr>
        <w:pStyle w:val="Paragraphe"/>
        <w:spacing w:line="280" w:lineRule="exact"/>
        <w:rPr>
          <w:lang w:val="en-CA"/>
        </w:rPr>
      </w:pPr>
      <w:r w:rsidRPr="0088092F">
        <w:rPr>
          <w:lang w:val="en-CA"/>
        </w:rPr>
        <w:t xml:space="preserve">According to the </w:t>
      </w:r>
      <w:r w:rsidR="00461B74" w:rsidRPr="0088092F">
        <w:rPr>
          <w:lang w:val="en-CA"/>
        </w:rPr>
        <w:t>evidence,</w:t>
      </w:r>
      <w:r w:rsidRPr="0088092F">
        <w:rPr>
          <w:lang w:val="en-CA"/>
        </w:rPr>
        <w:t xml:space="preserve"> the </w:t>
      </w:r>
      <w:r w:rsidR="00461B74" w:rsidRPr="0088092F">
        <w:rPr>
          <w:lang w:val="en-CA"/>
        </w:rPr>
        <w:t>diff</w:t>
      </w:r>
      <w:r w:rsidRPr="0088092F">
        <w:rPr>
          <w:lang w:val="en-CA"/>
        </w:rPr>
        <w:t>e</w:t>
      </w:r>
      <w:r w:rsidR="00461B74" w:rsidRPr="0088092F">
        <w:rPr>
          <w:lang w:val="en-CA"/>
        </w:rPr>
        <w:t xml:space="preserve">rences </w:t>
      </w:r>
      <w:r w:rsidRPr="0088092F">
        <w:rPr>
          <w:lang w:val="en-CA"/>
        </w:rPr>
        <w:t>are</w:t>
      </w:r>
      <w:r w:rsidR="00CB5DC3">
        <w:rPr>
          <w:lang w:val="en-CA"/>
        </w:rPr>
        <w:t xml:space="preserve"> as follows</w:t>
      </w:r>
      <w:r w:rsidR="00461B74" w:rsidRPr="0088092F">
        <w:rPr>
          <w:lang w:val="en-CA"/>
        </w:rPr>
        <w:t xml:space="preserve">: </w:t>
      </w:r>
      <w:r w:rsidRPr="0088092F">
        <w:rPr>
          <w:lang w:val="en-CA"/>
        </w:rPr>
        <w:t xml:space="preserve">the inmates in the MS </w:t>
      </w:r>
      <w:r w:rsidR="00F51382">
        <w:rPr>
          <w:lang w:val="en-CA"/>
        </w:rPr>
        <w:t>area</w:t>
      </w:r>
      <w:r w:rsidR="0084637F" w:rsidRPr="0088092F">
        <w:rPr>
          <w:lang w:val="en-CA"/>
        </w:rPr>
        <w:t xml:space="preserve"> </w:t>
      </w:r>
      <w:r w:rsidRPr="0088092F">
        <w:rPr>
          <w:lang w:val="en-CA"/>
        </w:rPr>
        <w:t>have more time outside their cell</w:t>
      </w:r>
      <w:r w:rsidR="00461B74" w:rsidRPr="0088092F">
        <w:rPr>
          <w:lang w:val="en-CA"/>
        </w:rPr>
        <w:t xml:space="preserve"> (</w:t>
      </w:r>
      <w:r w:rsidR="00966CF8" w:rsidRPr="0088092F">
        <w:rPr>
          <w:lang w:val="en-CA"/>
        </w:rPr>
        <w:t>approximately four hours, rather than one</w:t>
      </w:r>
      <w:r w:rsidR="00461B74" w:rsidRPr="0088092F">
        <w:rPr>
          <w:lang w:val="en-CA"/>
        </w:rPr>
        <w:t xml:space="preserve">), </w:t>
      </w:r>
      <w:r w:rsidR="00966CF8" w:rsidRPr="0088092F">
        <w:rPr>
          <w:lang w:val="en-CA"/>
        </w:rPr>
        <w:t>which allows them more time to use the telephone</w:t>
      </w:r>
      <w:r w:rsidR="00461B74" w:rsidRPr="0088092F">
        <w:rPr>
          <w:lang w:val="en-CA"/>
        </w:rPr>
        <w:t xml:space="preserve">, </w:t>
      </w:r>
      <w:r w:rsidR="00966CF8" w:rsidRPr="0088092F">
        <w:rPr>
          <w:lang w:val="en-CA"/>
        </w:rPr>
        <w:t xml:space="preserve">and the inmates in the </w:t>
      </w:r>
      <w:r w:rsidR="0084637F">
        <w:rPr>
          <w:lang w:val="en-CA"/>
        </w:rPr>
        <w:t xml:space="preserve">general </w:t>
      </w:r>
      <w:r w:rsidR="00F51382">
        <w:rPr>
          <w:lang w:val="en-CA"/>
        </w:rPr>
        <w:t>area</w:t>
      </w:r>
      <w:r w:rsidR="00966CF8" w:rsidRPr="0088092F">
        <w:rPr>
          <w:lang w:val="en-CA"/>
        </w:rPr>
        <w:t xml:space="preserve"> have no shower restrictions, </w:t>
      </w:r>
      <w:r w:rsidR="009F40E6" w:rsidRPr="0088092F">
        <w:rPr>
          <w:lang w:val="en-CA"/>
        </w:rPr>
        <w:t xml:space="preserve">while those in </w:t>
      </w:r>
      <w:r w:rsidR="00461B74" w:rsidRPr="0088092F">
        <w:rPr>
          <w:lang w:val="en-CA"/>
        </w:rPr>
        <w:t>isol</w:t>
      </w:r>
      <w:r w:rsidR="009F40E6" w:rsidRPr="0088092F">
        <w:rPr>
          <w:lang w:val="en-CA"/>
        </w:rPr>
        <w:t>ation are allowed three showers a week</w:t>
      </w:r>
      <w:r w:rsidR="00461B74" w:rsidRPr="0088092F">
        <w:rPr>
          <w:lang w:val="en-CA"/>
        </w:rPr>
        <w:t xml:space="preserve">. </w:t>
      </w:r>
    </w:p>
    <w:p w14:paraId="29CC64A5" w14:textId="13D99AF6" w:rsidR="00461B74" w:rsidRPr="0088092F" w:rsidRDefault="00725BAB" w:rsidP="00461B74">
      <w:pPr>
        <w:pStyle w:val="Paragraphe"/>
        <w:spacing w:line="280" w:lineRule="exact"/>
        <w:rPr>
          <w:lang w:val="en-CA"/>
        </w:rPr>
      </w:pPr>
      <w:r w:rsidRPr="0088092F">
        <w:rPr>
          <w:lang w:val="en-CA"/>
        </w:rPr>
        <w:t>Th</w:t>
      </w:r>
      <w:r w:rsidR="002A13FD" w:rsidRPr="0088092F">
        <w:rPr>
          <w:lang w:val="en-CA"/>
        </w:rPr>
        <w:t>u</w:t>
      </w:r>
      <w:r w:rsidRPr="0088092F">
        <w:rPr>
          <w:lang w:val="en-CA"/>
        </w:rPr>
        <w:t>s</w:t>
      </w:r>
      <w:r w:rsidR="00461B74" w:rsidRPr="0088092F">
        <w:rPr>
          <w:lang w:val="en-CA"/>
        </w:rPr>
        <w:t>,</w:t>
      </w:r>
      <w:r w:rsidR="002A13FD" w:rsidRPr="0088092F">
        <w:rPr>
          <w:lang w:val="en-CA"/>
        </w:rPr>
        <w:t xml:space="preserve"> according to the </w:t>
      </w:r>
      <w:r w:rsidR="00461B74" w:rsidRPr="0088092F">
        <w:rPr>
          <w:lang w:val="en-CA"/>
        </w:rPr>
        <w:t>appellant,</w:t>
      </w:r>
      <w:r w:rsidR="00CC0B1F" w:rsidRPr="0088092F">
        <w:rPr>
          <w:lang w:val="en-CA"/>
        </w:rPr>
        <w:t xml:space="preserve"> the </w:t>
      </w:r>
      <w:r w:rsidR="00461B74" w:rsidRPr="0088092F">
        <w:rPr>
          <w:lang w:val="en-CA"/>
        </w:rPr>
        <w:t>MS</w:t>
      </w:r>
      <w:r w:rsidR="00CC0B1F" w:rsidRPr="0088092F">
        <w:rPr>
          <w:lang w:val="en-CA"/>
        </w:rPr>
        <w:t xml:space="preserve"> </w:t>
      </w:r>
      <w:r w:rsidR="00F51382">
        <w:rPr>
          <w:lang w:val="en-CA"/>
        </w:rPr>
        <w:t xml:space="preserve">area </w:t>
      </w:r>
      <w:r w:rsidR="00CC0B1F" w:rsidRPr="0088092F">
        <w:rPr>
          <w:lang w:val="en-CA"/>
        </w:rPr>
        <w:t xml:space="preserve">as a whole is an isolation </w:t>
      </w:r>
      <w:r w:rsidR="00F51382">
        <w:rPr>
          <w:lang w:val="en-CA"/>
        </w:rPr>
        <w:t>area</w:t>
      </w:r>
      <w:r w:rsidR="00CC0B1F" w:rsidRPr="0088092F">
        <w:rPr>
          <w:lang w:val="en-CA"/>
        </w:rPr>
        <w:t>, which the correctional authorities dispute.</w:t>
      </w:r>
      <w:r w:rsidR="00461B74" w:rsidRPr="0088092F">
        <w:rPr>
          <w:rStyle w:val="Appelnotedebasdep"/>
          <w:lang w:val="en-CA"/>
        </w:rPr>
        <w:footnoteReference w:id="18"/>
      </w:r>
      <w:r w:rsidR="00461B74" w:rsidRPr="0088092F">
        <w:rPr>
          <w:lang w:val="en-CA"/>
        </w:rPr>
        <w:t xml:space="preserve"> </w:t>
      </w:r>
    </w:p>
    <w:p w14:paraId="213DCC95" w14:textId="7F6D8950" w:rsidR="00461B74" w:rsidRPr="0088092F" w:rsidRDefault="007D4C5C" w:rsidP="00461B74">
      <w:pPr>
        <w:pStyle w:val="Paragraphe"/>
        <w:spacing w:line="280" w:lineRule="exact"/>
        <w:rPr>
          <w:lang w:val="en-CA"/>
        </w:rPr>
      </w:pPr>
      <w:r w:rsidRPr="0088092F">
        <w:rPr>
          <w:lang w:val="en-CA"/>
        </w:rPr>
        <w:t xml:space="preserve">As noted above, the </w:t>
      </w:r>
      <w:r w:rsidR="00461B74" w:rsidRPr="0088092F">
        <w:rPr>
          <w:lang w:val="en-CA"/>
        </w:rPr>
        <w:t xml:space="preserve">appellant </w:t>
      </w:r>
      <w:r w:rsidRPr="0088092F">
        <w:rPr>
          <w:lang w:val="en-CA"/>
        </w:rPr>
        <w:t xml:space="preserve">does not challenge the fact </w:t>
      </w:r>
      <w:r w:rsidR="00ED2F24">
        <w:rPr>
          <w:lang w:val="en-CA"/>
        </w:rPr>
        <w:t>that he is</w:t>
      </w:r>
      <w:r w:rsidRPr="0088092F">
        <w:rPr>
          <w:lang w:val="en-CA"/>
        </w:rPr>
        <w:t xml:space="preserve"> separated from the general </w:t>
      </w:r>
      <w:r w:rsidR="00461B74" w:rsidRPr="0088092F">
        <w:rPr>
          <w:lang w:val="en-CA"/>
        </w:rPr>
        <w:t xml:space="preserve">population </w:t>
      </w:r>
      <w:r w:rsidRPr="0088092F">
        <w:rPr>
          <w:lang w:val="en-CA"/>
        </w:rPr>
        <w:t>of inmates</w:t>
      </w:r>
      <w:r w:rsidR="00461B74" w:rsidRPr="0088092F">
        <w:rPr>
          <w:lang w:val="en-CA"/>
        </w:rPr>
        <w:t xml:space="preserve">. </w:t>
      </w:r>
    </w:p>
    <w:p w14:paraId="5ADE4446" w14:textId="4D03B272" w:rsidR="00461B74" w:rsidRPr="0088092F" w:rsidRDefault="00840BC3" w:rsidP="00461B74">
      <w:pPr>
        <w:pStyle w:val="Paragraphe"/>
        <w:spacing w:line="280" w:lineRule="exact"/>
        <w:rPr>
          <w:lang w:val="en-CA"/>
        </w:rPr>
      </w:pPr>
      <w:r w:rsidRPr="0088092F">
        <w:rPr>
          <w:lang w:val="en-CA"/>
        </w:rPr>
        <w:t xml:space="preserve">As I understand his proceeding, he instead contests the </w:t>
      </w:r>
      <w:r w:rsidR="00461B74" w:rsidRPr="0088092F">
        <w:rPr>
          <w:lang w:val="en-CA"/>
        </w:rPr>
        <w:t>duration</w:t>
      </w:r>
      <w:r w:rsidR="00D83FA2" w:rsidRPr="0088092F">
        <w:rPr>
          <w:lang w:val="en-CA"/>
        </w:rPr>
        <w:t xml:space="preserve"> of his solitary confinement and the </w:t>
      </w:r>
      <w:r w:rsidR="00461B74" w:rsidRPr="0088092F">
        <w:rPr>
          <w:lang w:val="en-CA"/>
        </w:rPr>
        <w:t xml:space="preserve">conditions </w:t>
      </w:r>
      <w:r w:rsidR="00D83FA2" w:rsidRPr="0088092F">
        <w:rPr>
          <w:lang w:val="en-CA"/>
        </w:rPr>
        <w:t xml:space="preserve">attached thereto by invoking both the </w:t>
      </w:r>
      <w:r w:rsidR="00461B74" w:rsidRPr="0088092F">
        <w:rPr>
          <w:lang w:val="en-CA"/>
        </w:rPr>
        <w:t xml:space="preserve">protection </w:t>
      </w:r>
      <w:r w:rsidR="00D83FA2" w:rsidRPr="0088092F">
        <w:rPr>
          <w:lang w:val="en-CA"/>
        </w:rPr>
        <w:t xml:space="preserve">of </w:t>
      </w:r>
      <w:r w:rsidR="00461B74" w:rsidRPr="0088092F">
        <w:rPr>
          <w:lang w:val="en-CA"/>
        </w:rPr>
        <w:t xml:space="preserve">sections 7 </w:t>
      </w:r>
      <w:r w:rsidR="00D83FA2" w:rsidRPr="0088092F">
        <w:rPr>
          <w:lang w:val="en-CA"/>
        </w:rPr>
        <w:t>and</w:t>
      </w:r>
      <w:r w:rsidR="00461B74" w:rsidRPr="0088092F">
        <w:rPr>
          <w:lang w:val="en-CA"/>
        </w:rPr>
        <w:t xml:space="preserve"> 12 </w:t>
      </w:r>
      <w:r w:rsidR="00D83FA2" w:rsidRPr="0088092F">
        <w:rPr>
          <w:lang w:val="en-CA"/>
        </w:rPr>
        <w:t xml:space="preserve">of the </w:t>
      </w:r>
      <w:r w:rsidR="00461B74" w:rsidRPr="0088092F">
        <w:rPr>
          <w:i/>
          <w:lang w:val="en-CA"/>
        </w:rPr>
        <w:t>Charter</w:t>
      </w:r>
      <w:r w:rsidR="00461B74" w:rsidRPr="0088092F">
        <w:rPr>
          <w:lang w:val="en-CA"/>
        </w:rPr>
        <w:t xml:space="preserve"> </w:t>
      </w:r>
      <w:r w:rsidR="00D83FA2" w:rsidRPr="0088092F">
        <w:rPr>
          <w:lang w:val="en-CA"/>
        </w:rPr>
        <w:t>and compliance with the</w:t>
      </w:r>
      <w:r w:rsidR="00461B74" w:rsidRPr="0088092F">
        <w:rPr>
          <w:lang w:val="en-CA"/>
        </w:rPr>
        <w:t xml:space="preserve"> </w:t>
      </w:r>
      <w:r w:rsidR="006834A6" w:rsidRPr="0088092F">
        <w:rPr>
          <w:iCs/>
          <w:lang w:val="en-CA"/>
        </w:rPr>
        <w:t>Nelson Mandela Rules</w:t>
      </w:r>
      <w:r w:rsidR="00461B74" w:rsidRPr="0088092F">
        <w:rPr>
          <w:lang w:val="en-CA"/>
        </w:rPr>
        <w:t xml:space="preserve">. </w:t>
      </w:r>
    </w:p>
    <w:p w14:paraId="1BEE0A99" w14:textId="46495278" w:rsidR="00461B74" w:rsidRPr="0088092F" w:rsidRDefault="00ED0463" w:rsidP="00461B74">
      <w:pPr>
        <w:pStyle w:val="Paragraphe"/>
        <w:spacing w:line="280" w:lineRule="exact"/>
        <w:rPr>
          <w:lang w:val="en-CA"/>
        </w:rPr>
      </w:pPr>
      <w:r w:rsidRPr="0088092F">
        <w:rPr>
          <w:lang w:val="en-CA"/>
        </w:rPr>
        <w:t xml:space="preserve">Having been detained for over </w:t>
      </w:r>
      <w:r w:rsidR="00461B74" w:rsidRPr="0088092F">
        <w:rPr>
          <w:lang w:val="en-CA"/>
        </w:rPr>
        <w:t xml:space="preserve">60 </w:t>
      </w:r>
      <w:r w:rsidRPr="0088092F">
        <w:rPr>
          <w:lang w:val="en-CA"/>
        </w:rPr>
        <w:t xml:space="preserve">days in isolation, he asks that his detention be declared unlawful. More generally, the </w:t>
      </w:r>
      <w:r w:rsidR="00461B74" w:rsidRPr="0088092F">
        <w:rPr>
          <w:lang w:val="en-CA"/>
        </w:rPr>
        <w:t>appellant</w:t>
      </w:r>
      <w:r w:rsidRPr="0088092F">
        <w:rPr>
          <w:lang w:val="en-CA"/>
        </w:rPr>
        <w:t xml:space="preserve"> seeks a declaration that his </w:t>
      </w:r>
      <w:r w:rsidR="00AC1677" w:rsidRPr="0088092F">
        <w:rPr>
          <w:lang w:val="en-CA"/>
        </w:rPr>
        <w:t>detention conditions</w:t>
      </w:r>
      <w:r w:rsidR="00461B74" w:rsidRPr="0088092F">
        <w:rPr>
          <w:lang w:val="en-CA"/>
        </w:rPr>
        <w:t xml:space="preserve"> </w:t>
      </w:r>
      <w:r w:rsidRPr="0088092F">
        <w:rPr>
          <w:lang w:val="en-CA"/>
        </w:rPr>
        <w:t xml:space="preserve">are contrary to the requirements of the </w:t>
      </w:r>
      <w:r w:rsidR="00461B74" w:rsidRPr="0088092F">
        <w:rPr>
          <w:i/>
          <w:iCs/>
          <w:lang w:val="en-CA"/>
        </w:rPr>
        <w:t xml:space="preserve">Charter. </w:t>
      </w:r>
      <w:r w:rsidR="00461B74" w:rsidRPr="0088092F">
        <w:rPr>
          <w:lang w:val="en-CA"/>
        </w:rPr>
        <w:t xml:space="preserve"> </w:t>
      </w:r>
    </w:p>
    <w:p w14:paraId="161948E8" w14:textId="08956086" w:rsidR="00461B74" w:rsidRPr="0088092F" w:rsidRDefault="00461B74" w:rsidP="00461B74">
      <w:pPr>
        <w:pStyle w:val="Titre2"/>
        <w:rPr>
          <w:lang w:val="en-CA"/>
        </w:rPr>
      </w:pPr>
      <w:bookmarkStart w:id="14" w:name="_Toc85547012"/>
      <w:r w:rsidRPr="0088092F">
        <w:rPr>
          <w:lang w:val="en-CA"/>
        </w:rPr>
        <w:t xml:space="preserve">B - </w:t>
      </w:r>
      <w:r w:rsidRPr="0088092F">
        <w:rPr>
          <w:lang w:val="en-CA"/>
        </w:rPr>
        <w:tab/>
      </w:r>
      <w:r w:rsidR="00D72EAA" w:rsidRPr="0088092F">
        <w:rPr>
          <w:lang w:val="en-CA"/>
        </w:rPr>
        <w:t xml:space="preserve">The </w:t>
      </w:r>
      <w:r w:rsidRPr="0088092F">
        <w:rPr>
          <w:lang w:val="en-CA"/>
        </w:rPr>
        <w:t>appellant</w:t>
      </w:r>
      <w:r w:rsidR="00D72EAA" w:rsidRPr="0088092F">
        <w:rPr>
          <w:lang w:val="en-CA"/>
        </w:rPr>
        <w:t xml:space="preserve">’s </w:t>
      </w:r>
      <w:r w:rsidR="008417E8" w:rsidRPr="0088092F">
        <w:rPr>
          <w:rFonts w:cs="Arial"/>
          <w:color w:val="000000"/>
          <w:szCs w:val="22"/>
          <w:lang w:val="en-CA" w:eastAsia="fr-CA"/>
        </w:rPr>
        <w:t>segregation</w:t>
      </w:r>
      <w:r w:rsidR="00D72EAA" w:rsidRPr="0088092F">
        <w:rPr>
          <w:lang w:val="en-CA"/>
        </w:rPr>
        <w:t xml:space="preserve"> in the MS </w:t>
      </w:r>
      <w:bookmarkEnd w:id="14"/>
      <w:r w:rsidR="00F51382">
        <w:rPr>
          <w:lang w:val="en-CA"/>
        </w:rPr>
        <w:t>area</w:t>
      </w:r>
      <w:r w:rsidR="0084637F" w:rsidRPr="0088092F">
        <w:rPr>
          <w:lang w:val="en-CA"/>
        </w:rPr>
        <w:t xml:space="preserve"> </w:t>
      </w:r>
    </w:p>
    <w:p w14:paraId="630E9E08" w14:textId="6D7B3E1E" w:rsidR="00461B74" w:rsidRPr="0088092F" w:rsidRDefault="009D03D4" w:rsidP="00461B74">
      <w:pPr>
        <w:pStyle w:val="Paragraphe"/>
        <w:spacing w:line="280" w:lineRule="exact"/>
        <w:rPr>
          <w:lang w:val="en-CA"/>
        </w:rPr>
      </w:pPr>
      <w:r w:rsidRPr="0088092F">
        <w:rPr>
          <w:lang w:val="en-CA"/>
        </w:rPr>
        <w:t xml:space="preserve">On </w:t>
      </w:r>
      <w:r w:rsidR="00461B74" w:rsidRPr="0088092F">
        <w:rPr>
          <w:lang w:val="en-CA"/>
        </w:rPr>
        <w:t>May</w:t>
      </w:r>
      <w:r w:rsidRPr="0088092F">
        <w:rPr>
          <w:lang w:val="en-CA"/>
        </w:rPr>
        <w:t xml:space="preserve"> 19,</w:t>
      </w:r>
      <w:r w:rsidR="00461B74" w:rsidRPr="0088092F">
        <w:rPr>
          <w:lang w:val="en-CA"/>
        </w:rPr>
        <w:t xml:space="preserve"> 2021, </w:t>
      </w:r>
      <w:r w:rsidRPr="0088092F">
        <w:rPr>
          <w:lang w:val="en-CA"/>
        </w:rPr>
        <w:t xml:space="preserve">when he was transferred to the </w:t>
      </w:r>
      <w:r w:rsidR="00461B74" w:rsidRPr="0088092F">
        <w:rPr>
          <w:lang w:val="en-CA"/>
        </w:rPr>
        <w:t>Sorel-Tracy</w:t>
      </w:r>
      <w:r w:rsidRPr="0088092F">
        <w:rPr>
          <w:lang w:val="en-CA"/>
        </w:rPr>
        <w:t xml:space="preserve"> facility, the </w:t>
      </w:r>
      <w:r w:rsidR="00461B74" w:rsidRPr="0088092F">
        <w:rPr>
          <w:lang w:val="en-CA"/>
        </w:rPr>
        <w:t>appellant</w:t>
      </w:r>
      <w:r w:rsidRPr="0088092F">
        <w:rPr>
          <w:lang w:val="en-CA"/>
        </w:rPr>
        <w:t xml:space="preserve"> was </w:t>
      </w:r>
      <w:r w:rsidR="00461B74" w:rsidRPr="0088092F">
        <w:rPr>
          <w:lang w:val="en-CA"/>
        </w:rPr>
        <w:t>erroneously</w:t>
      </w:r>
      <w:r w:rsidRPr="0088092F">
        <w:rPr>
          <w:lang w:val="en-CA"/>
        </w:rPr>
        <w:t xml:space="preserve"> place</w:t>
      </w:r>
      <w:r w:rsidR="00EE2A26">
        <w:rPr>
          <w:lang w:val="en-CA"/>
        </w:rPr>
        <w:t>d</w:t>
      </w:r>
      <w:r w:rsidRPr="0088092F">
        <w:rPr>
          <w:lang w:val="en-CA"/>
        </w:rPr>
        <w:t xml:space="preserve"> in </w:t>
      </w:r>
      <w:r w:rsidR="00147D08" w:rsidRPr="0088092F">
        <w:rPr>
          <w:lang w:val="en-CA"/>
        </w:rPr>
        <w:t>an isolation cell</w:t>
      </w:r>
      <w:r w:rsidR="00CF7825" w:rsidRPr="0088092F">
        <w:rPr>
          <w:lang w:val="en-CA"/>
        </w:rPr>
        <w:t xml:space="preserve"> because the facility staff had received incorrect information that he was subject to a </w:t>
      </w:r>
      <w:r w:rsidR="00461B74" w:rsidRPr="0088092F">
        <w:rPr>
          <w:lang w:val="en-CA"/>
        </w:rPr>
        <w:t>disciplina</w:t>
      </w:r>
      <w:r w:rsidR="00CF7825" w:rsidRPr="0088092F">
        <w:rPr>
          <w:lang w:val="en-CA"/>
        </w:rPr>
        <w:t>ry measure</w:t>
      </w:r>
      <w:r w:rsidR="00461B74" w:rsidRPr="0088092F">
        <w:rPr>
          <w:lang w:val="en-CA"/>
        </w:rPr>
        <w:t xml:space="preserve">. </w:t>
      </w:r>
      <w:r w:rsidR="00CF7825" w:rsidRPr="0088092F">
        <w:rPr>
          <w:lang w:val="en-CA"/>
        </w:rPr>
        <w:t xml:space="preserve">On </w:t>
      </w:r>
      <w:r w:rsidR="00461B74" w:rsidRPr="0088092F">
        <w:rPr>
          <w:lang w:val="en-CA"/>
        </w:rPr>
        <w:t>May</w:t>
      </w:r>
      <w:r w:rsidR="00CF7825" w:rsidRPr="0088092F">
        <w:rPr>
          <w:lang w:val="en-CA"/>
        </w:rPr>
        <w:t xml:space="preserve"> 21,</w:t>
      </w:r>
      <w:r w:rsidR="00461B74" w:rsidRPr="0088092F">
        <w:rPr>
          <w:lang w:val="en-CA"/>
        </w:rPr>
        <w:t xml:space="preserve"> 2021, </w:t>
      </w:r>
      <w:r w:rsidR="00CF7825" w:rsidRPr="0088092F">
        <w:rPr>
          <w:lang w:val="en-CA"/>
        </w:rPr>
        <w:t xml:space="preserve">the </w:t>
      </w:r>
      <w:r w:rsidR="00461B74" w:rsidRPr="0088092F">
        <w:rPr>
          <w:lang w:val="en-CA"/>
        </w:rPr>
        <w:t>appellant</w:t>
      </w:r>
      <w:r w:rsidR="00CF7825" w:rsidRPr="0088092F">
        <w:rPr>
          <w:lang w:val="en-CA"/>
        </w:rPr>
        <w:t xml:space="preserve"> was </w:t>
      </w:r>
      <w:r w:rsidR="00D7311B" w:rsidRPr="0088092F">
        <w:rPr>
          <w:lang w:val="en-CA"/>
        </w:rPr>
        <w:t>transferred</w:t>
      </w:r>
      <w:r w:rsidR="00CF7825" w:rsidRPr="0088092F">
        <w:rPr>
          <w:lang w:val="en-CA"/>
        </w:rPr>
        <w:t xml:space="preserve"> to the </w:t>
      </w:r>
      <w:r w:rsidR="00461B74" w:rsidRPr="0088092F">
        <w:rPr>
          <w:lang w:val="en-CA"/>
        </w:rPr>
        <w:t>MS</w:t>
      </w:r>
      <w:r w:rsidR="00CF7825" w:rsidRPr="0088092F">
        <w:rPr>
          <w:lang w:val="en-CA"/>
        </w:rPr>
        <w:t xml:space="preserve"> </w:t>
      </w:r>
      <w:r w:rsidR="00641103">
        <w:rPr>
          <w:lang w:val="en-CA"/>
        </w:rPr>
        <w:t>area</w:t>
      </w:r>
      <w:r w:rsidR="00461B74" w:rsidRPr="0088092F">
        <w:rPr>
          <w:lang w:val="en-CA"/>
        </w:rPr>
        <w:t>.</w:t>
      </w:r>
      <w:r w:rsidR="00CF7825" w:rsidRPr="0088092F">
        <w:rPr>
          <w:lang w:val="en-CA"/>
        </w:rPr>
        <w:t xml:space="preserve"> According to his </w:t>
      </w:r>
      <w:r w:rsidR="00461B74" w:rsidRPr="0088092F">
        <w:rPr>
          <w:lang w:val="en-CA"/>
        </w:rPr>
        <w:t>testimony,</w:t>
      </w:r>
      <w:r w:rsidR="00CF7825" w:rsidRPr="0088092F">
        <w:rPr>
          <w:lang w:val="en-CA"/>
        </w:rPr>
        <w:t xml:space="preserve"> the cell in which he was placed was unsanitary</w:t>
      </w:r>
      <w:r w:rsidR="00461B74" w:rsidRPr="0088092F">
        <w:rPr>
          <w:lang w:val="en-CA"/>
        </w:rPr>
        <w:t>.</w:t>
      </w:r>
      <w:r w:rsidR="00CF7825" w:rsidRPr="0088092F">
        <w:rPr>
          <w:lang w:val="en-CA"/>
        </w:rPr>
        <w:t xml:space="preserve"> He asked for cleaning products, but his request was denied.</w:t>
      </w:r>
      <w:r w:rsidR="00147D08" w:rsidRPr="0088092F">
        <w:rPr>
          <w:lang w:val="en-CA"/>
        </w:rPr>
        <w:t xml:space="preserve"> He therefore asked to return to a clean cell, that is, the isolation cell</w:t>
      </w:r>
      <w:r w:rsidR="00461B74" w:rsidRPr="0088092F">
        <w:rPr>
          <w:lang w:val="en-CA"/>
        </w:rPr>
        <w:t xml:space="preserve">. </w:t>
      </w:r>
    </w:p>
    <w:p w14:paraId="42D18A20" w14:textId="008D2110" w:rsidR="00461B74" w:rsidRPr="0088092F" w:rsidRDefault="00E60EFC" w:rsidP="00461B74">
      <w:pPr>
        <w:pStyle w:val="Paragraphe"/>
        <w:spacing w:line="280" w:lineRule="exact"/>
        <w:rPr>
          <w:lang w:val="en-CA"/>
        </w:rPr>
      </w:pPr>
      <w:r w:rsidRPr="0088092F">
        <w:rPr>
          <w:lang w:val="en-CA"/>
        </w:rPr>
        <w:t xml:space="preserve">The </w:t>
      </w:r>
      <w:r w:rsidR="00461B74" w:rsidRPr="0088092F">
        <w:rPr>
          <w:lang w:val="en-CA"/>
        </w:rPr>
        <w:t xml:space="preserve">appellant </w:t>
      </w:r>
      <w:r w:rsidRPr="0088092F">
        <w:rPr>
          <w:lang w:val="en-CA"/>
        </w:rPr>
        <w:t xml:space="preserve">told the staff several times that he was not well and needed help, but in vain. In reaction to these denials, the </w:t>
      </w:r>
      <w:r w:rsidR="00461B74" w:rsidRPr="0088092F">
        <w:rPr>
          <w:lang w:val="en-CA"/>
        </w:rPr>
        <w:t>appellant barricade</w:t>
      </w:r>
      <w:r w:rsidRPr="0088092F">
        <w:rPr>
          <w:lang w:val="en-CA"/>
        </w:rPr>
        <w:t xml:space="preserve">d the windows </w:t>
      </w:r>
      <w:r w:rsidR="003609EC">
        <w:rPr>
          <w:lang w:val="en-CA"/>
        </w:rPr>
        <w:t>of</w:t>
      </w:r>
      <w:r w:rsidR="003609EC" w:rsidRPr="0088092F">
        <w:rPr>
          <w:lang w:val="en-CA"/>
        </w:rPr>
        <w:t xml:space="preserve"> </w:t>
      </w:r>
      <w:r w:rsidRPr="0088092F">
        <w:rPr>
          <w:lang w:val="en-CA"/>
        </w:rPr>
        <w:t xml:space="preserve">his cell and </w:t>
      </w:r>
      <w:r w:rsidR="003609EC">
        <w:rPr>
          <w:lang w:val="en-CA"/>
        </w:rPr>
        <w:t>ransacked</w:t>
      </w:r>
      <w:r w:rsidR="003609EC" w:rsidRPr="0088092F">
        <w:rPr>
          <w:lang w:val="en-CA"/>
        </w:rPr>
        <w:t xml:space="preserve"> </w:t>
      </w:r>
      <w:r w:rsidRPr="0088092F">
        <w:rPr>
          <w:lang w:val="en-CA"/>
        </w:rPr>
        <w:t>another</w:t>
      </w:r>
      <w:r w:rsidR="00461B74" w:rsidRPr="0088092F">
        <w:rPr>
          <w:lang w:val="en-CA"/>
        </w:rPr>
        <w:t>.</w:t>
      </w:r>
      <w:r w:rsidRPr="0088092F">
        <w:rPr>
          <w:lang w:val="en-CA"/>
        </w:rPr>
        <w:t xml:space="preserve"> On </w:t>
      </w:r>
      <w:r w:rsidR="00461B74" w:rsidRPr="0088092F">
        <w:rPr>
          <w:lang w:val="en-CA"/>
        </w:rPr>
        <w:t>May</w:t>
      </w:r>
      <w:r w:rsidRPr="0088092F">
        <w:rPr>
          <w:lang w:val="en-CA"/>
        </w:rPr>
        <w:t xml:space="preserve"> 26,</w:t>
      </w:r>
      <w:r w:rsidR="00461B74" w:rsidRPr="0088092F">
        <w:rPr>
          <w:lang w:val="en-CA"/>
        </w:rPr>
        <w:t xml:space="preserve"> 2021,</w:t>
      </w:r>
      <w:r w:rsidRPr="0088092F">
        <w:rPr>
          <w:lang w:val="en-CA"/>
        </w:rPr>
        <w:t xml:space="preserve"> he was placed in </w:t>
      </w:r>
      <w:r w:rsidR="008417E8" w:rsidRPr="0088092F">
        <w:rPr>
          <w:rFonts w:cs="Arial"/>
          <w:color w:val="000000"/>
          <w:szCs w:val="22"/>
          <w:lang w:val="en-CA" w:eastAsia="fr-CA"/>
        </w:rPr>
        <w:t>segregation</w:t>
      </w:r>
      <w:r w:rsidRPr="0088092F">
        <w:rPr>
          <w:lang w:val="en-CA"/>
        </w:rPr>
        <w:t xml:space="preserve"> for </w:t>
      </w:r>
      <w:r w:rsidR="00461B74" w:rsidRPr="0088092F">
        <w:rPr>
          <w:lang w:val="en-CA"/>
        </w:rPr>
        <w:t>72 h</w:t>
      </w:r>
      <w:r w:rsidRPr="0088092F">
        <w:rPr>
          <w:lang w:val="en-CA"/>
        </w:rPr>
        <w:t>o</w:t>
      </w:r>
      <w:r w:rsidR="00461B74" w:rsidRPr="0088092F">
        <w:rPr>
          <w:lang w:val="en-CA"/>
        </w:rPr>
        <w:t>urs</w:t>
      </w:r>
      <w:r w:rsidRPr="0088092F">
        <w:rPr>
          <w:lang w:val="en-CA"/>
        </w:rPr>
        <w:t xml:space="preserve"> in </w:t>
      </w:r>
      <w:r w:rsidRPr="0088092F">
        <w:rPr>
          <w:lang w:val="en-CA"/>
        </w:rPr>
        <w:lastRenderedPageBreak/>
        <w:t xml:space="preserve">a </w:t>
      </w:r>
      <w:r w:rsidR="00D16656" w:rsidRPr="0088092F">
        <w:rPr>
          <w:lang w:val="en-CA"/>
        </w:rPr>
        <w:t xml:space="preserve">padded health care </w:t>
      </w:r>
      <w:r w:rsidR="00461B74" w:rsidRPr="0088092F">
        <w:rPr>
          <w:lang w:val="en-CA"/>
        </w:rPr>
        <w:t>cell</w:t>
      </w:r>
      <w:r w:rsidR="00D16656" w:rsidRPr="0088092F">
        <w:rPr>
          <w:lang w:val="en-CA"/>
        </w:rPr>
        <w:t xml:space="preserve">. The </w:t>
      </w:r>
      <w:r w:rsidR="00461B74" w:rsidRPr="0088092F">
        <w:rPr>
          <w:lang w:val="en-CA"/>
        </w:rPr>
        <w:t>appellant</w:t>
      </w:r>
      <w:r w:rsidR="00D16656" w:rsidRPr="0088092F">
        <w:rPr>
          <w:lang w:val="en-CA"/>
        </w:rPr>
        <w:t xml:space="preserve"> described this cell as being [</w:t>
      </w:r>
      <w:r w:rsidR="00D16656" w:rsidRPr="0088092F">
        <w:rPr>
          <w:smallCaps/>
          <w:lang w:val="en-CA"/>
        </w:rPr>
        <w:t>translation</w:t>
      </w:r>
      <w:r w:rsidR="00D16656" w:rsidRPr="0088092F">
        <w:rPr>
          <w:lang w:val="en-CA"/>
        </w:rPr>
        <w:t xml:space="preserve">] “covered in excrement, dirty, disgusting”. He destroyed the cell. He was then </w:t>
      </w:r>
      <w:r w:rsidR="000F37FB" w:rsidRPr="0088092F">
        <w:rPr>
          <w:lang w:val="en-CA"/>
        </w:rPr>
        <w:t>transferred</w:t>
      </w:r>
      <w:r w:rsidR="003609EC">
        <w:rPr>
          <w:lang w:val="en-CA"/>
        </w:rPr>
        <w:t xml:space="preserve"> back</w:t>
      </w:r>
      <w:r w:rsidR="00D16656" w:rsidRPr="0088092F">
        <w:rPr>
          <w:lang w:val="en-CA"/>
        </w:rPr>
        <w:t xml:space="preserve"> to an isolation cell on May 29,</w:t>
      </w:r>
      <w:r w:rsidR="00B904FC" w:rsidRPr="0088092F">
        <w:rPr>
          <w:lang w:val="en-CA"/>
        </w:rPr>
        <w:t xml:space="preserve"> </w:t>
      </w:r>
      <w:r w:rsidR="00461B74" w:rsidRPr="0088092F">
        <w:rPr>
          <w:lang w:val="en-CA"/>
        </w:rPr>
        <w:t>2021.</w:t>
      </w:r>
    </w:p>
    <w:p w14:paraId="7BACB2B5" w14:textId="18456DA5" w:rsidR="00461B74" w:rsidRPr="0088092F" w:rsidRDefault="00B904FC" w:rsidP="00461B74">
      <w:pPr>
        <w:pStyle w:val="Paragraphe"/>
        <w:spacing w:line="280" w:lineRule="exact"/>
        <w:rPr>
          <w:lang w:val="en-CA"/>
        </w:rPr>
      </w:pPr>
      <w:r w:rsidRPr="0088092F">
        <w:rPr>
          <w:lang w:val="en-CA"/>
        </w:rPr>
        <w:t xml:space="preserve">As of that </w:t>
      </w:r>
      <w:r w:rsidR="00461B74" w:rsidRPr="0088092F">
        <w:rPr>
          <w:lang w:val="en-CA"/>
        </w:rPr>
        <w:t xml:space="preserve">date, </w:t>
      </w:r>
      <w:r w:rsidRPr="0088092F">
        <w:rPr>
          <w:lang w:val="en-CA"/>
        </w:rPr>
        <w:t xml:space="preserve">the </w:t>
      </w:r>
      <w:r w:rsidR="00461B74" w:rsidRPr="0088092F">
        <w:rPr>
          <w:lang w:val="en-CA"/>
        </w:rPr>
        <w:t>appellant</w:t>
      </w:r>
      <w:r w:rsidRPr="0088092F">
        <w:rPr>
          <w:lang w:val="en-CA"/>
        </w:rPr>
        <w:t xml:space="preserve"> had access to an IP telephone in his isolation cell. He therefore wanted to stay there and did not want to return to the </w:t>
      </w:r>
      <w:r w:rsidR="00461B74" w:rsidRPr="0088092F">
        <w:rPr>
          <w:lang w:val="en-CA"/>
        </w:rPr>
        <w:t>MS</w:t>
      </w:r>
      <w:r w:rsidRPr="0088092F">
        <w:rPr>
          <w:lang w:val="en-CA"/>
        </w:rPr>
        <w:t xml:space="preserve"> </w:t>
      </w:r>
      <w:r w:rsidR="00641103">
        <w:rPr>
          <w:lang w:val="en-CA"/>
        </w:rPr>
        <w:t>area</w:t>
      </w:r>
      <w:r w:rsidR="00461B74" w:rsidRPr="0088092F">
        <w:rPr>
          <w:lang w:val="en-CA"/>
        </w:rPr>
        <w:t>,</w:t>
      </w:r>
      <w:r w:rsidRPr="0088092F">
        <w:rPr>
          <w:lang w:val="en-CA"/>
        </w:rPr>
        <w:t xml:space="preserve"> where he would lose that privilege</w:t>
      </w:r>
      <w:r w:rsidR="00461B74" w:rsidRPr="0088092F">
        <w:rPr>
          <w:lang w:val="en-CA"/>
        </w:rPr>
        <w:t xml:space="preserve">. </w:t>
      </w:r>
    </w:p>
    <w:p w14:paraId="2B50B5BA" w14:textId="77C9FD48" w:rsidR="00461B74" w:rsidRPr="0088092F" w:rsidRDefault="00B904FC" w:rsidP="00461B74">
      <w:pPr>
        <w:pStyle w:val="Paragraphe"/>
        <w:spacing w:line="280" w:lineRule="exact"/>
        <w:rPr>
          <w:lang w:val="en-CA"/>
        </w:rPr>
      </w:pPr>
      <w:r w:rsidRPr="0088092F">
        <w:rPr>
          <w:lang w:val="en-CA"/>
        </w:rPr>
        <w:t xml:space="preserve">On </w:t>
      </w:r>
      <w:r w:rsidR="00461B74" w:rsidRPr="0088092F">
        <w:rPr>
          <w:lang w:val="en-CA"/>
        </w:rPr>
        <w:t>June</w:t>
      </w:r>
      <w:r w:rsidR="001A7A9C">
        <w:rPr>
          <w:lang w:val="en-CA"/>
        </w:rPr>
        <w:t xml:space="preserve"> 10,</w:t>
      </w:r>
      <w:r w:rsidR="00461B74" w:rsidRPr="0088092F">
        <w:rPr>
          <w:lang w:val="en-CA"/>
        </w:rPr>
        <w:t xml:space="preserve"> 2021,</w:t>
      </w:r>
      <w:r w:rsidR="00461C16" w:rsidRPr="0088092F">
        <w:rPr>
          <w:lang w:val="en-CA"/>
        </w:rPr>
        <w:t xml:space="preserve"> the </w:t>
      </w:r>
      <w:r w:rsidR="00461B74" w:rsidRPr="0088092F">
        <w:rPr>
          <w:lang w:val="en-CA"/>
        </w:rPr>
        <w:t>appellant</w:t>
      </w:r>
      <w:r w:rsidR="00461C16" w:rsidRPr="0088092F">
        <w:rPr>
          <w:lang w:val="en-CA"/>
        </w:rPr>
        <w:t xml:space="preserve"> filed an </w:t>
      </w:r>
      <w:r w:rsidR="00461B74" w:rsidRPr="0088092F">
        <w:rPr>
          <w:lang w:val="en-CA"/>
        </w:rPr>
        <w:t>application</w:t>
      </w:r>
      <w:r w:rsidR="00461C16" w:rsidRPr="0088092F">
        <w:rPr>
          <w:lang w:val="en-CA"/>
        </w:rPr>
        <w:t xml:space="preserve"> for </w:t>
      </w:r>
      <w:r w:rsidR="00461B74" w:rsidRPr="0088092F">
        <w:rPr>
          <w:i/>
          <w:iCs/>
          <w:lang w:val="en-CA"/>
        </w:rPr>
        <w:t>habeas corpus</w:t>
      </w:r>
      <w:r w:rsidR="00461B74" w:rsidRPr="0088092F">
        <w:rPr>
          <w:lang w:val="en-CA"/>
        </w:rPr>
        <w:t xml:space="preserve">. </w:t>
      </w:r>
    </w:p>
    <w:p w14:paraId="525870AB" w14:textId="2C24CF49" w:rsidR="00461B74" w:rsidRPr="0088092F" w:rsidRDefault="00641103" w:rsidP="00461B74">
      <w:pPr>
        <w:pStyle w:val="Paragraphe"/>
        <w:spacing w:line="280" w:lineRule="exact"/>
        <w:rPr>
          <w:color w:val="000000" w:themeColor="text1"/>
          <w:lang w:val="en-CA"/>
        </w:rPr>
      </w:pPr>
      <w:r>
        <w:rPr>
          <w:color w:val="000000" w:themeColor="text1"/>
          <w:lang w:val="en-CA"/>
        </w:rPr>
        <w:t>As of</w:t>
      </w:r>
      <w:r w:rsidR="00AC1CC7" w:rsidRPr="0088092F">
        <w:rPr>
          <w:color w:val="000000" w:themeColor="text1"/>
          <w:lang w:val="en-CA"/>
        </w:rPr>
        <w:t xml:space="preserve"> </w:t>
      </w:r>
      <w:r w:rsidR="00461B74" w:rsidRPr="0088092F">
        <w:rPr>
          <w:lang w:val="en-CA"/>
        </w:rPr>
        <w:t>June</w:t>
      </w:r>
      <w:r w:rsidR="00AC1CC7" w:rsidRPr="0088092F">
        <w:rPr>
          <w:lang w:val="en-CA"/>
        </w:rPr>
        <w:t xml:space="preserve"> 13,</w:t>
      </w:r>
      <w:r w:rsidR="00461B74" w:rsidRPr="0088092F">
        <w:rPr>
          <w:color w:val="000000" w:themeColor="text1"/>
          <w:lang w:val="en-CA"/>
        </w:rPr>
        <w:t xml:space="preserve"> 2021, </w:t>
      </w:r>
      <w:r w:rsidR="00AC1CC7" w:rsidRPr="0088092F">
        <w:rPr>
          <w:color w:val="000000" w:themeColor="text1"/>
          <w:lang w:val="en-CA"/>
        </w:rPr>
        <w:t xml:space="preserve">the </w:t>
      </w:r>
      <w:r w:rsidR="00461B74" w:rsidRPr="0088092F">
        <w:rPr>
          <w:lang w:val="en-CA"/>
        </w:rPr>
        <w:t>appellant</w:t>
      </w:r>
      <w:r w:rsidR="00AC1CC7" w:rsidRPr="0088092F">
        <w:rPr>
          <w:lang w:val="en-CA"/>
        </w:rPr>
        <w:t xml:space="preserve"> requested a transfer to the MS </w:t>
      </w:r>
      <w:r>
        <w:rPr>
          <w:lang w:val="en-CA"/>
        </w:rPr>
        <w:t>area</w:t>
      </w:r>
      <w:r w:rsidR="00AC1CC7" w:rsidRPr="0088092F">
        <w:rPr>
          <w:lang w:val="en-CA"/>
        </w:rPr>
        <w:t xml:space="preserve">. He received no response. On </w:t>
      </w:r>
      <w:r w:rsidR="00461B74" w:rsidRPr="0088092F">
        <w:rPr>
          <w:lang w:val="en-CA"/>
        </w:rPr>
        <w:t>June</w:t>
      </w:r>
      <w:r w:rsidR="00AC1CC7" w:rsidRPr="0088092F">
        <w:rPr>
          <w:lang w:val="en-CA"/>
        </w:rPr>
        <w:t xml:space="preserve"> 18,</w:t>
      </w:r>
      <w:r w:rsidR="00461B74" w:rsidRPr="0088092F">
        <w:rPr>
          <w:lang w:val="en-CA"/>
        </w:rPr>
        <w:t xml:space="preserve"> 2021,</w:t>
      </w:r>
      <w:r w:rsidR="00AC1CC7" w:rsidRPr="0088092F">
        <w:rPr>
          <w:lang w:val="en-CA"/>
        </w:rPr>
        <w:t xml:space="preserve"> he received a</w:t>
      </w:r>
      <w:r w:rsidR="003A66A6">
        <w:rPr>
          <w:lang w:val="en-CA"/>
        </w:rPr>
        <w:t>n</w:t>
      </w:r>
      <w:r w:rsidR="00AC1CC7" w:rsidRPr="0088092F">
        <w:rPr>
          <w:lang w:val="en-CA"/>
        </w:rPr>
        <w:t xml:space="preserve"> offer for housing in the </w:t>
      </w:r>
      <w:r w:rsidR="00461B74" w:rsidRPr="0088092F">
        <w:rPr>
          <w:lang w:val="en-CA"/>
        </w:rPr>
        <w:t xml:space="preserve">MS </w:t>
      </w:r>
      <w:r>
        <w:rPr>
          <w:lang w:val="en-CA"/>
        </w:rPr>
        <w:t xml:space="preserve">area </w:t>
      </w:r>
      <w:r w:rsidR="00AC1CC7" w:rsidRPr="0088092F">
        <w:rPr>
          <w:lang w:val="en-CA"/>
        </w:rPr>
        <w:t xml:space="preserve">subject to certain </w:t>
      </w:r>
      <w:r w:rsidR="00461B74" w:rsidRPr="0088092F">
        <w:rPr>
          <w:lang w:val="en-CA"/>
        </w:rPr>
        <w:t xml:space="preserve">conditions. </w:t>
      </w:r>
      <w:r w:rsidR="00AC1CC7" w:rsidRPr="0088092F">
        <w:rPr>
          <w:lang w:val="en-CA"/>
        </w:rPr>
        <w:t xml:space="preserve">The </w:t>
      </w:r>
      <w:r w:rsidR="00461B74" w:rsidRPr="0088092F">
        <w:rPr>
          <w:lang w:val="en-CA"/>
        </w:rPr>
        <w:t>appellant pr</w:t>
      </w:r>
      <w:r w:rsidR="00AC1CC7" w:rsidRPr="0088092F">
        <w:rPr>
          <w:lang w:val="en-CA"/>
        </w:rPr>
        <w:t>e</w:t>
      </w:r>
      <w:r w:rsidR="00461B74" w:rsidRPr="0088092F">
        <w:rPr>
          <w:lang w:val="en-CA"/>
        </w:rPr>
        <w:t>sente</w:t>
      </w:r>
      <w:r w:rsidR="00AC1CC7" w:rsidRPr="0088092F">
        <w:rPr>
          <w:lang w:val="en-CA"/>
        </w:rPr>
        <w:t>d a counter-offer that remained unanswered</w:t>
      </w:r>
      <w:r w:rsidR="00461B74" w:rsidRPr="0088092F">
        <w:rPr>
          <w:lang w:val="en-CA"/>
        </w:rPr>
        <w:t xml:space="preserve">. </w:t>
      </w:r>
    </w:p>
    <w:p w14:paraId="25E730A1" w14:textId="40AEE03C" w:rsidR="00461B74" w:rsidRPr="0088092F" w:rsidRDefault="00D362CE" w:rsidP="00461B74">
      <w:pPr>
        <w:pStyle w:val="Paragraphe"/>
        <w:spacing w:line="280" w:lineRule="exact"/>
        <w:rPr>
          <w:color w:val="000000" w:themeColor="text1"/>
          <w:lang w:val="en-CA"/>
        </w:rPr>
      </w:pPr>
      <w:r w:rsidRPr="0088092F">
        <w:rPr>
          <w:lang w:val="en-CA"/>
        </w:rPr>
        <w:t xml:space="preserve">In the days that followed, the </w:t>
      </w:r>
      <w:r w:rsidR="00461B74" w:rsidRPr="0088092F">
        <w:rPr>
          <w:lang w:val="en-CA"/>
        </w:rPr>
        <w:t>appellant continue</w:t>
      </w:r>
      <w:r w:rsidRPr="0088092F">
        <w:rPr>
          <w:lang w:val="en-CA"/>
        </w:rPr>
        <w:t>d to have problematic behaviour and threatened to break property belonging to the facility</w:t>
      </w:r>
      <w:r w:rsidR="00461B74" w:rsidRPr="0088092F">
        <w:rPr>
          <w:lang w:val="en-CA"/>
        </w:rPr>
        <w:t xml:space="preserve">. </w:t>
      </w:r>
    </w:p>
    <w:p w14:paraId="31416888" w14:textId="156AFC88" w:rsidR="00461B74" w:rsidRPr="0088092F" w:rsidRDefault="000B6B9A" w:rsidP="00461B74">
      <w:pPr>
        <w:pStyle w:val="Paragraphe"/>
        <w:spacing w:line="280" w:lineRule="exact"/>
        <w:rPr>
          <w:color w:val="000000" w:themeColor="text1"/>
          <w:lang w:val="en-CA"/>
        </w:rPr>
      </w:pPr>
      <w:r w:rsidRPr="0088092F">
        <w:rPr>
          <w:lang w:val="en-CA"/>
        </w:rPr>
        <w:t xml:space="preserve">On </w:t>
      </w:r>
      <w:r w:rsidR="00461B74" w:rsidRPr="0088092F">
        <w:rPr>
          <w:lang w:val="en-CA"/>
        </w:rPr>
        <w:t xml:space="preserve">June </w:t>
      </w:r>
      <w:r w:rsidRPr="0088092F">
        <w:rPr>
          <w:lang w:val="en-CA"/>
        </w:rPr>
        <w:t xml:space="preserve">30, </w:t>
      </w:r>
      <w:r w:rsidR="00461B74" w:rsidRPr="0088092F">
        <w:rPr>
          <w:lang w:val="en-CA"/>
        </w:rPr>
        <w:t xml:space="preserve">2021, </w:t>
      </w:r>
      <w:r w:rsidRPr="0088092F">
        <w:rPr>
          <w:lang w:val="en-CA"/>
        </w:rPr>
        <w:t xml:space="preserve">the appellant’s security classification was reviewed, Although the prison authorities seemed to have been aware that the </w:t>
      </w:r>
      <w:r w:rsidR="00461B74" w:rsidRPr="0088092F">
        <w:rPr>
          <w:lang w:val="en-CA"/>
        </w:rPr>
        <w:t>appellant</w:t>
      </w:r>
      <w:r w:rsidRPr="0088092F">
        <w:rPr>
          <w:lang w:val="en-CA"/>
        </w:rPr>
        <w:t xml:space="preserve"> did not </w:t>
      </w:r>
      <w:r w:rsidR="00EE2A26">
        <w:rPr>
          <w:lang w:val="en-CA"/>
        </w:rPr>
        <w:t>engage in</w:t>
      </w:r>
      <w:r w:rsidRPr="0088092F">
        <w:rPr>
          <w:lang w:val="en-CA"/>
        </w:rPr>
        <w:t xml:space="preserve"> any </w:t>
      </w:r>
      <w:r w:rsidR="00461B74" w:rsidRPr="0088092F">
        <w:rPr>
          <w:lang w:val="en-CA"/>
        </w:rPr>
        <w:t xml:space="preserve">violent </w:t>
      </w:r>
      <w:r w:rsidRPr="0088092F">
        <w:rPr>
          <w:lang w:val="en-CA"/>
        </w:rPr>
        <w:t xml:space="preserve">behaviour towards others </w:t>
      </w:r>
      <w:r w:rsidR="00EE2A26">
        <w:rPr>
          <w:lang w:val="en-CA"/>
        </w:rPr>
        <w:t>or any</w:t>
      </w:r>
      <w:r w:rsidRPr="0088092F">
        <w:rPr>
          <w:lang w:val="en-CA"/>
        </w:rPr>
        <w:t xml:space="preserve"> physical </w:t>
      </w:r>
      <w:r w:rsidR="00D7311B" w:rsidRPr="0088092F">
        <w:rPr>
          <w:lang w:val="en-CA"/>
        </w:rPr>
        <w:t>aggression</w:t>
      </w:r>
      <w:r w:rsidR="00461B74" w:rsidRPr="0088092F">
        <w:rPr>
          <w:lang w:val="en-CA"/>
        </w:rPr>
        <w:t xml:space="preserve"> </w:t>
      </w:r>
      <w:r w:rsidRPr="0088092F">
        <w:rPr>
          <w:lang w:val="en-CA"/>
        </w:rPr>
        <w:t xml:space="preserve">or abusive remarks towards the </w:t>
      </w:r>
      <w:r w:rsidR="00461B74" w:rsidRPr="0088092F">
        <w:rPr>
          <w:lang w:val="en-CA"/>
        </w:rPr>
        <w:t>correction</w:t>
      </w:r>
      <w:r w:rsidRPr="0088092F">
        <w:rPr>
          <w:lang w:val="en-CA"/>
        </w:rPr>
        <w:t xml:space="preserve">al officers, </w:t>
      </w:r>
      <w:r w:rsidR="00435370" w:rsidRPr="0088092F">
        <w:rPr>
          <w:lang w:val="en-CA"/>
        </w:rPr>
        <w:t xml:space="preserve">his classification remained restrictive because of </w:t>
      </w:r>
      <w:r w:rsidRPr="0088092F">
        <w:rPr>
          <w:lang w:val="en-CA"/>
        </w:rPr>
        <w:t xml:space="preserve">his </w:t>
      </w:r>
      <w:r w:rsidR="00461B74" w:rsidRPr="0088092F">
        <w:rPr>
          <w:lang w:val="en-CA"/>
        </w:rPr>
        <w:t>mischief</w:t>
      </w:r>
      <w:r w:rsidRPr="0088092F">
        <w:rPr>
          <w:lang w:val="en-CA"/>
        </w:rPr>
        <w:t xml:space="preserve"> against </w:t>
      </w:r>
      <w:r w:rsidR="00435370" w:rsidRPr="0088092F">
        <w:rPr>
          <w:lang w:val="en-CA"/>
        </w:rPr>
        <w:t xml:space="preserve">facility property, and he had to remain in the MS </w:t>
      </w:r>
      <w:r w:rsidR="00641103">
        <w:rPr>
          <w:lang w:val="en-CA"/>
        </w:rPr>
        <w:t>area</w:t>
      </w:r>
      <w:r w:rsidR="00461B74" w:rsidRPr="0088092F">
        <w:rPr>
          <w:lang w:val="en-CA"/>
        </w:rPr>
        <w:t xml:space="preserve">. </w:t>
      </w:r>
    </w:p>
    <w:p w14:paraId="3553ED4B" w14:textId="62E73249" w:rsidR="00461B74" w:rsidRPr="0088092F" w:rsidRDefault="00F85941" w:rsidP="00461B74">
      <w:pPr>
        <w:pStyle w:val="Paragraphe"/>
        <w:spacing w:line="280" w:lineRule="exact"/>
        <w:rPr>
          <w:lang w:val="en-CA"/>
        </w:rPr>
      </w:pPr>
      <w:r w:rsidRPr="0088092F">
        <w:rPr>
          <w:lang w:val="en-CA"/>
        </w:rPr>
        <w:t xml:space="preserve">That day, while he was still in </w:t>
      </w:r>
      <w:r w:rsidR="00503A07">
        <w:rPr>
          <w:lang w:val="en-CA"/>
        </w:rPr>
        <w:t>the</w:t>
      </w:r>
      <w:r w:rsidR="00503A07" w:rsidRPr="0088092F">
        <w:rPr>
          <w:lang w:val="en-CA"/>
        </w:rPr>
        <w:t xml:space="preserve"> </w:t>
      </w:r>
      <w:r w:rsidRPr="0088092F">
        <w:rPr>
          <w:lang w:val="en-CA"/>
        </w:rPr>
        <w:t xml:space="preserve">isolation cell, the </w:t>
      </w:r>
      <w:r w:rsidR="00461B74" w:rsidRPr="0088092F">
        <w:rPr>
          <w:lang w:val="en-CA"/>
        </w:rPr>
        <w:t>appellant</w:t>
      </w:r>
      <w:r w:rsidRPr="0088092F">
        <w:rPr>
          <w:lang w:val="en-CA"/>
        </w:rPr>
        <w:t xml:space="preserve"> </w:t>
      </w:r>
      <w:r w:rsidR="00D7311B" w:rsidRPr="0088092F">
        <w:rPr>
          <w:lang w:val="en-CA"/>
        </w:rPr>
        <w:t>received</w:t>
      </w:r>
      <w:r w:rsidRPr="0088092F">
        <w:rPr>
          <w:lang w:val="en-CA"/>
        </w:rPr>
        <w:t xml:space="preserve"> a second offer for housing in the MS </w:t>
      </w:r>
      <w:r w:rsidR="004F68EA">
        <w:rPr>
          <w:lang w:val="en-CA"/>
        </w:rPr>
        <w:t>area</w:t>
      </w:r>
      <w:r w:rsidRPr="0088092F">
        <w:rPr>
          <w:lang w:val="en-CA"/>
        </w:rPr>
        <w:t xml:space="preserve">. He says that he accepted the offer in a </w:t>
      </w:r>
      <w:r w:rsidR="00461B74" w:rsidRPr="0088092F">
        <w:rPr>
          <w:lang w:val="en-CA"/>
        </w:rPr>
        <w:t xml:space="preserve">document </w:t>
      </w:r>
      <w:r w:rsidRPr="0088092F">
        <w:rPr>
          <w:lang w:val="en-CA"/>
        </w:rPr>
        <w:t xml:space="preserve">that never reached the operations director. On </w:t>
      </w:r>
      <w:r w:rsidR="00461B74" w:rsidRPr="0088092F">
        <w:rPr>
          <w:lang w:val="en-CA"/>
        </w:rPr>
        <w:t>July</w:t>
      </w:r>
      <w:r w:rsidRPr="0088092F">
        <w:rPr>
          <w:lang w:val="en-CA"/>
        </w:rPr>
        <w:t xml:space="preserve"> 5,</w:t>
      </w:r>
      <w:r w:rsidR="00461B74" w:rsidRPr="0088092F">
        <w:rPr>
          <w:lang w:val="en-CA"/>
        </w:rPr>
        <w:t xml:space="preserve"> 2021, </w:t>
      </w:r>
      <w:r w:rsidRPr="0088092F">
        <w:rPr>
          <w:lang w:val="en-CA"/>
        </w:rPr>
        <w:t xml:space="preserve">a third offer for housing in the </w:t>
      </w:r>
      <w:r w:rsidR="00461B74" w:rsidRPr="0088092F">
        <w:rPr>
          <w:lang w:val="en-CA"/>
        </w:rPr>
        <w:t xml:space="preserve">MS </w:t>
      </w:r>
      <w:r w:rsidR="004F68EA">
        <w:rPr>
          <w:lang w:val="en-CA"/>
        </w:rPr>
        <w:t>area</w:t>
      </w:r>
      <w:r w:rsidRPr="0088092F">
        <w:rPr>
          <w:lang w:val="en-CA"/>
        </w:rPr>
        <w:t xml:space="preserve"> was sent to the </w:t>
      </w:r>
      <w:r w:rsidR="00461B74" w:rsidRPr="0088092F">
        <w:rPr>
          <w:lang w:val="en-CA"/>
        </w:rPr>
        <w:t>appellant.</w:t>
      </w:r>
      <w:r w:rsidR="000C5E1E" w:rsidRPr="0088092F">
        <w:rPr>
          <w:lang w:val="en-CA"/>
        </w:rPr>
        <w:t xml:space="preserve"> </w:t>
      </w:r>
      <w:r w:rsidRPr="0088092F">
        <w:rPr>
          <w:lang w:val="en-CA"/>
        </w:rPr>
        <w:t xml:space="preserve">The director of </w:t>
      </w:r>
      <w:r w:rsidR="00EB393B" w:rsidRPr="0088092F">
        <w:rPr>
          <w:lang w:val="en-CA"/>
        </w:rPr>
        <w:t>operations received no response from him</w:t>
      </w:r>
      <w:r w:rsidR="00461B74" w:rsidRPr="0088092F">
        <w:rPr>
          <w:lang w:val="en-CA"/>
        </w:rPr>
        <w:t>.</w:t>
      </w:r>
    </w:p>
    <w:p w14:paraId="6FC31F73" w14:textId="17A5DA29" w:rsidR="00461B74" w:rsidRPr="0088092F" w:rsidRDefault="00EB393B" w:rsidP="00461B74">
      <w:pPr>
        <w:pStyle w:val="Paragraphe"/>
        <w:spacing w:line="280" w:lineRule="exact"/>
        <w:rPr>
          <w:lang w:val="en-CA"/>
        </w:rPr>
      </w:pPr>
      <w:r w:rsidRPr="0088092F">
        <w:rPr>
          <w:lang w:val="en-CA"/>
        </w:rPr>
        <w:t xml:space="preserve">The </w:t>
      </w:r>
      <w:r w:rsidR="00461B74" w:rsidRPr="0088092F">
        <w:rPr>
          <w:lang w:val="en-CA"/>
        </w:rPr>
        <w:t>hearing</w:t>
      </w:r>
      <w:r w:rsidRPr="0088092F">
        <w:rPr>
          <w:lang w:val="en-CA"/>
        </w:rPr>
        <w:t xml:space="preserve"> </w:t>
      </w:r>
      <w:r w:rsidR="00461B74" w:rsidRPr="0088092F">
        <w:rPr>
          <w:lang w:val="en-CA"/>
        </w:rPr>
        <w:t>of</w:t>
      </w:r>
      <w:r w:rsidRPr="0088092F">
        <w:rPr>
          <w:lang w:val="en-CA"/>
        </w:rPr>
        <w:t xml:space="preserve"> </w:t>
      </w:r>
      <w:r w:rsidR="00461B74" w:rsidRPr="0088092F">
        <w:rPr>
          <w:lang w:val="en-CA"/>
        </w:rPr>
        <w:t>the</w:t>
      </w:r>
      <w:r w:rsidRPr="0088092F">
        <w:rPr>
          <w:lang w:val="en-CA"/>
        </w:rPr>
        <w:t xml:space="preserve"> </w:t>
      </w:r>
      <w:r w:rsidR="00461B74" w:rsidRPr="0088092F">
        <w:rPr>
          <w:lang w:val="en-CA"/>
        </w:rPr>
        <w:t>motion</w:t>
      </w:r>
      <w:r w:rsidRPr="0088092F">
        <w:rPr>
          <w:lang w:val="en-CA"/>
        </w:rPr>
        <w:t xml:space="preserve"> for </w:t>
      </w:r>
      <w:r w:rsidR="00461B74" w:rsidRPr="0088092F">
        <w:rPr>
          <w:i/>
          <w:iCs/>
          <w:lang w:val="en-CA"/>
        </w:rPr>
        <w:t xml:space="preserve">habeas corpus </w:t>
      </w:r>
      <w:r w:rsidRPr="0088092F">
        <w:rPr>
          <w:iCs/>
          <w:lang w:val="en-CA"/>
        </w:rPr>
        <w:t xml:space="preserve">took place on </w:t>
      </w:r>
      <w:r w:rsidR="00461B74" w:rsidRPr="0088092F">
        <w:rPr>
          <w:lang w:val="en-CA"/>
        </w:rPr>
        <w:t>July</w:t>
      </w:r>
      <w:r w:rsidRPr="0088092F">
        <w:rPr>
          <w:lang w:val="en-CA"/>
        </w:rPr>
        <w:t xml:space="preserve"> 7 and 8,</w:t>
      </w:r>
      <w:r w:rsidR="00461B74" w:rsidRPr="0088092F">
        <w:rPr>
          <w:lang w:val="en-CA"/>
        </w:rPr>
        <w:t xml:space="preserve"> 2021. </w:t>
      </w:r>
      <w:r w:rsidR="00503A07">
        <w:rPr>
          <w:lang w:val="en-CA"/>
        </w:rPr>
        <w:t>J</w:t>
      </w:r>
      <w:r w:rsidRPr="0088092F">
        <w:rPr>
          <w:lang w:val="en-CA"/>
        </w:rPr>
        <w:t xml:space="preserve">udgment was rendered on </w:t>
      </w:r>
      <w:r w:rsidR="00461B74" w:rsidRPr="0088092F">
        <w:rPr>
          <w:lang w:val="en-CA"/>
        </w:rPr>
        <w:t>July</w:t>
      </w:r>
      <w:r w:rsidRPr="0088092F">
        <w:rPr>
          <w:lang w:val="en-CA"/>
        </w:rPr>
        <w:t xml:space="preserve"> 8,</w:t>
      </w:r>
      <w:r w:rsidR="00461B74" w:rsidRPr="0088092F">
        <w:rPr>
          <w:lang w:val="en-CA"/>
        </w:rPr>
        <w:t xml:space="preserve"> 2021</w:t>
      </w:r>
      <w:r w:rsidRPr="0088092F">
        <w:rPr>
          <w:lang w:val="en-CA"/>
        </w:rPr>
        <w:t>.</w:t>
      </w:r>
      <w:r w:rsidR="00461B74" w:rsidRPr="0088092F">
        <w:rPr>
          <w:rStyle w:val="Appelnotedebasdep"/>
          <w:color w:val="000000" w:themeColor="text1"/>
          <w:lang w:val="en-CA"/>
        </w:rPr>
        <w:footnoteReference w:id="19"/>
      </w:r>
      <w:r w:rsidR="00461B74" w:rsidRPr="0088092F">
        <w:rPr>
          <w:lang w:val="en-CA"/>
        </w:rPr>
        <w:t xml:space="preserve"> </w:t>
      </w:r>
    </w:p>
    <w:p w14:paraId="2B9A6A60" w14:textId="3AF038F9" w:rsidR="00461B74" w:rsidRPr="0088092F" w:rsidRDefault="00EB393B" w:rsidP="00461B74">
      <w:pPr>
        <w:pStyle w:val="Paragraphe"/>
        <w:spacing w:line="280" w:lineRule="exact"/>
        <w:rPr>
          <w:lang w:val="en-CA"/>
        </w:rPr>
      </w:pPr>
      <w:r w:rsidRPr="0088092F">
        <w:rPr>
          <w:lang w:val="en-CA"/>
        </w:rPr>
        <w:t xml:space="preserve">The </w:t>
      </w:r>
      <w:r w:rsidR="00461B74" w:rsidRPr="0088092F">
        <w:rPr>
          <w:lang w:val="en-CA"/>
        </w:rPr>
        <w:t>appellant</w:t>
      </w:r>
      <w:r w:rsidRPr="0088092F">
        <w:rPr>
          <w:lang w:val="en-CA"/>
        </w:rPr>
        <w:t xml:space="preserve"> claim</w:t>
      </w:r>
      <w:r w:rsidR="00DB5C5F">
        <w:rPr>
          <w:lang w:val="en-CA"/>
        </w:rPr>
        <w:t>ed</w:t>
      </w:r>
      <w:r w:rsidRPr="0088092F">
        <w:rPr>
          <w:lang w:val="en-CA"/>
        </w:rPr>
        <w:t xml:space="preserve"> that his transfer from an isolation cell to the </w:t>
      </w:r>
      <w:r w:rsidR="00461B74" w:rsidRPr="0088092F">
        <w:rPr>
          <w:lang w:val="en-CA"/>
        </w:rPr>
        <w:t xml:space="preserve">MS </w:t>
      </w:r>
      <w:r w:rsidR="004F68EA">
        <w:rPr>
          <w:lang w:val="en-CA"/>
        </w:rPr>
        <w:t>area</w:t>
      </w:r>
      <w:r w:rsidRPr="0088092F">
        <w:rPr>
          <w:lang w:val="en-CA"/>
        </w:rPr>
        <w:t xml:space="preserve"> </w:t>
      </w:r>
      <w:r w:rsidR="00DB5C5F">
        <w:rPr>
          <w:lang w:val="en-CA"/>
        </w:rPr>
        <w:t>would</w:t>
      </w:r>
      <w:r w:rsidRPr="0088092F">
        <w:rPr>
          <w:lang w:val="en-CA"/>
        </w:rPr>
        <w:t xml:space="preserve"> not change his de</w:t>
      </w:r>
      <w:r w:rsidR="00461B74" w:rsidRPr="0088092F">
        <w:rPr>
          <w:lang w:val="en-CA"/>
        </w:rPr>
        <w:t>tention</w:t>
      </w:r>
      <w:r w:rsidR="00F81F4D" w:rsidRPr="0088092F">
        <w:rPr>
          <w:lang w:val="en-CA"/>
        </w:rPr>
        <w:t xml:space="preserve"> conditions</w:t>
      </w:r>
      <w:r w:rsidR="00461B74" w:rsidRPr="0088092F">
        <w:rPr>
          <w:lang w:val="en-CA"/>
        </w:rPr>
        <w:t xml:space="preserve">, </w:t>
      </w:r>
      <w:r w:rsidRPr="0088092F">
        <w:rPr>
          <w:lang w:val="en-CA"/>
        </w:rPr>
        <w:t xml:space="preserve">because both cases </w:t>
      </w:r>
      <w:r w:rsidR="00503A07">
        <w:rPr>
          <w:lang w:val="en-CA"/>
        </w:rPr>
        <w:t>preclude</w:t>
      </w:r>
      <w:r w:rsidR="00503A07" w:rsidRPr="0088092F">
        <w:rPr>
          <w:lang w:val="en-CA"/>
        </w:rPr>
        <w:t xml:space="preserve"> </w:t>
      </w:r>
      <w:r w:rsidR="00503A07">
        <w:rPr>
          <w:lang w:val="en-CA"/>
        </w:rPr>
        <w:t xml:space="preserve">any </w:t>
      </w:r>
      <w:r w:rsidRPr="0088092F">
        <w:rPr>
          <w:lang w:val="en-CA"/>
        </w:rPr>
        <w:t>significant human contact</w:t>
      </w:r>
      <w:r w:rsidR="00461B74" w:rsidRPr="0088092F">
        <w:rPr>
          <w:lang w:val="en-CA"/>
        </w:rPr>
        <w:t xml:space="preserve">. </w:t>
      </w:r>
      <w:r w:rsidRPr="0088092F">
        <w:rPr>
          <w:lang w:val="en-CA"/>
        </w:rPr>
        <w:t xml:space="preserve">Therefore, in his view, even if he </w:t>
      </w:r>
      <w:r w:rsidR="00DB5C5F">
        <w:rPr>
          <w:lang w:val="en-CA"/>
        </w:rPr>
        <w:t>was</w:t>
      </w:r>
      <w:r w:rsidRPr="0088092F">
        <w:rPr>
          <w:lang w:val="en-CA"/>
        </w:rPr>
        <w:t xml:space="preserve"> transferred, the solitary confinement </w:t>
      </w:r>
      <w:r w:rsidR="00DB5C5F">
        <w:rPr>
          <w:lang w:val="en-CA"/>
        </w:rPr>
        <w:t>would</w:t>
      </w:r>
      <w:r w:rsidRPr="0088092F">
        <w:rPr>
          <w:lang w:val="en-CA"/>
        </w:rPr>
        <w:t xml:space="preserve"> continue</w:t>
      </w:r>
      <w:r w:rsidR="00461B74" w:rsidRPr="0088092F">
        <w:rPr>
          <w:lang w:val="en-CA"/>
        </w:rPr>
        <w:t>.</w:t>
      </w:r>
    </w:p>
    <w:p w14:paraId="5DEFB86B" w14:textId="77777777" w:rsidR="00461B74" w:rsidRPr="0088092F" w:rsidRDefault="00461B74" w:rsidP="00461B74">
      <w:pPr>
        <w:pStyle w:val="Paragraphe"/>
        <w:numPr>
          <w:ilvl w:val="0"/>
          <w:numId w:val="0"/>
        </w:numPr>
        <w:spacing w:line="280" w:lineRule="exact"/>
        <w:jc w:val="center"/>
        <w:rPr>
          <w:lang w:val="en-CA"/>
        </w:rPr>
      </w:pPr>
      <w:r w:rsidRPr="0088092F">
        <w:rPr>
          <w:lang w:val="en-CA"/>
        </w:rPr>
        <w:t>***</w:t>
      </w:r>
    </w:p>
    <w:p w14:paraId="5082CF04" w14:textId="150EE774" w:rsidR="00461B74" w:rsidRPr="0088092F" w:rsidRDefault="008F6E86" w:rsidP="00461B74">
      <w:pPr>
        <w:pStyle w:val="Paragraphe"/>
        <w:spacing w:line="280" w:lineRule="exact"/>
        <w:rPr>
          <w:lang w:val="en-CA"/>
        </w:rPr>
      </w:pPr>
      <w:r w:rsidRPr="0088092F">
        <w:rPr>
          <w:lang w:val="en-CA"/>
        </w:rPr>
        <w:t>Before</w:t>
      </w:r>
      <w:r w:rsidR="00950583" w:rsidRPr="0088092F">
        <w:rPr>
          <w:lang w:val="en-CA"/>
        </w:rPr>
        <w:t xml:space="preserve"> setting out the d</w:t>
      </w:r>
      <w:r w:rsidR="00461B74" w:rsidRPr="0088092F">
        <w:rPr>
          <w:lang w:val="en-CA"/>
        </w:rPr>
        <w:t xml:space="preserve">escription </w:t>
      </w:r>
      <w:r w:rsidR="00950583" w:rsidRPr="0088092F">
        <w:rPr>
          <w:lang w:val="en-CA"/>
        </w:rPr>
        <w:t xml:space="preserve">of the appellant’s </w:t>
      </w:r>
      <w:r w:rsidR="00461B74" w:rsidRPr="0088092F">
        <w:rPr>
          <w:lang w:val="en-CA"/>
        </w:rPr>
        <w:t>mental</w:t>
      </w:r>
      <w:r w:rsidR="00950583" w:rsidRPr="0088092F">
        <w:rPr>
          <w:lang w:val="en-CA"/>
        </w:rPr>
        <w:t xml:space="preserve"> </w:t>
      </w:r>
      <w:r w:rsidR="00461B74" w:rsidRPr="0088092F">
        <w:rPr>
          <w:lang w:val="en-CA"/>
        </w:rPr>
        <w:t>health</w:t>
      </w:r>
      <w:r w:rsidR="00C4357C">
        <w:rPr>
          <w:lang w:val="en-CA"/>
        </w:rPr>
        <w:t xml:space="preserve"> assessment</w:t>
      </w:r>
      <w:r w:rsidR="00461B74" w:rsidRPr="0088092F">
        <w:rPr>
          <w:lang w:val="en-CA"/>
        </w:rPr>
        <w:t>,</w:t>
      </w:r>
      <w:r w:rsidR="00950583" w:rsidRPr="0088092F">
        <w:rPr>
          <w:lang w:val="en-CA"/>
        </w:rPr>
        <w:t xml:space="preserve"> I find it useful to refer to </w:t>
      </w:r>
      <w:r w:rsidR="00461B74" w:rsidRPr="0088092F">
        <w:rPr>
          <w:lang w:val="en-CA"/>
        </w:rPr>
        <w:t xml:space="preserve">certain passages </w:t>
      </w:r>
      <w:r w:rsidR="00950583" w:rsidRPr="0088092F">
        <w:rPr>
          <w:lang w:val="en-CA"/>
        </w:rPr>
        <w:t xml:space="preserve">of the judgment rendered on </w:t>
      </w:r>
      <w:r w:rsidR="00461B74" w:rsidRPr="0088092F">
        <w:rPr>
          <w:lang w:val="en-CA"/>
        </w:rPr>
        <w:t>December</w:t>
      </w:r>
      <w:r w:rsidR="00950583" w:rsidRPr="0088092F">
        <w:rPr>
          <w:lang w:val="en-CA"/>
        </w:rPr>
        <w:t xml:space="preserve"> 11,</w:t>
      </w:r>
      <w:r w:rsidR="00461B74" w:rsidRPr="0088092F">
        <w:rPr>
          <w:lang w:val="en-CA"/>
        </w:rPr>
        <w:t xml:space="preserve"> 2020</w:t>
      </w:r>
      <w:r w:rsidR="00950583" w:rsidRPr="0088092F">
        <w:rPr>
          <w:lang w:val="en-CA"/>
        </w:rPr>
        <w:t xml:space="preserve">, by </w:t>
      </w:r>
      <w:r w:rsidR="00461B74" w:rsidRPr="0088092F">
        <w:rPr>
          <w:lang w:val="en-CA"/>
        </w:rPr>
        <w:t>Dionne</w:t>
      </w:r>
      <w:r w:rsidR="00950583" w:rsidRPr="0088092F">
        <w:rPr>
          <w:lang w:val="en-CA"/>
        </w:rPr>
        <w:t>,</w:t>
      </w:r>
      <w:r w:rsidR="00A6724F" w:rsidRPr="0088092F">
        <w:rPr>
          <w:lang w:val="en-CA"/>
        </w:rPr>
        <w:t> </w:t>
      </w:r>
      <w:r w:rsidR="00950583" w:rsidRPr="0088092F">
        <w:rPr>
          <w:lang w:val="en-CA"/>
        </w:rPr>
        <w:t xml:space="preserve">J., of the </w:t>
      </w:r>
      <w:r w:rsidR="00461B74" w:rsidRPr="0088092F">
        <w:rPr>
          <w:lang w:val="en-CA"/>
        </w:rPr>
        <w:t>Superior</w:t>
      </w:r>
      <w:r w:rsidR="00950583" w:rsidRPr="0088092F">
        <w:rPr>
          <w:lang w:val="en-CA"/>
        </w:rPr>
        <w:t xml:space="preserve"> </w:t>
      </w:r>
      <w:r w:rsidR="00461B74" w:rsidRPr="0088092F">
        <w:rPr>
          <w:lang w:val="en-CA"/>
        </w:rPr>
        <w:t xml:space="preserve">Court </w:t>
      </w:r>
      <w:r w:rsidR="00950583" w:rsidRPr="0088092F">
        <w:rPr>
          <w:lang w:val="en-CA"/>
        </w:rPr>
        <w:t>regarding a</w:t>
      </w:r>
      <w:r w:rsidR="00A6724F" w:rsidRPr="0088092F">
        <w:rPr>
          <w:lang w:val="en-CA"/>
        </w:rPr>
        <w:t xml:space="preserve"> previous </w:t>
      </w:r>
      <w:r w:rsidR="00404F92" w:rsidRPr="0088092F">
        <w:rPr>
          <w:lang w:val="en-CA"/>
        </w:rPr>
        <w:t>challenge</w:t>
      </w:r>
      <w:r w:rsidR="00F81F4D" w:rsidRPr="0088092F">
        <w:rPr>
          <w:lang w:val="en-CA"/>
        </w:rPr>
        <w:t xml:space="preserve"> by the </w:t>
      </w:r>
      <w:r w:rsidR="00461B74" w:rsidRPr="0088092F">
        <w:rPr>
          <w:lang w:val="en-CA"/>
        </w:rPr>
        <w:t>appellant</w:t>
      </w:r>
      <w:r w:rsidR="00F81F4D" w:rsidRPr="0088092F">
        <w:rPr>
          <w:lang w:val="en-CA"/>
        </w:rPr>
        <w:t xml:space="preserve"> </w:t>
      </w:r>
      <w:r w:rsidR="00404F92" w:rsidRPr="0088092F">
        <w:rPr>
          <w:lang w:val="en-CA"/>
        </w:rPr>
        <w:t>of</w:t>
      </w:r>
      <w:r w:rsidR="00F81F4D" w:rsidRPr="0088092F">
        <w:rPr>
          <w:lang w:val="en-CA"/>
        </w:rPr>
        <w:t xml:space="preserve"> </w:t>
      </w:r>
      <w:r w:rsidR="00F81F4D" w:rsidRPr="0088092F">
        <w:rPr>
          <w:lang w:val="en-CA"/>
        </w:rPr>
        <w:lastRenderedPageBreak/>
        <w:t xml:space="preserve">his detention </w:t>
      </w:r>
      <w:r w:rsidR="00461B74" w:rsidRPr="0088092F">
        <w:rPr>
          <w:lang w:val="en-CA"/>
        </w:rPr>
        <w:t xml:space="preserve">conditions </w:t>
      </w:r>
      <w:r w:rsidR="00F81F4D" w:rsidRPr="0088092F">
        <w:rPr>
          <w:lang w:val="en-CA"/>
        </w:rPr>
        <w:t xml:space="preserve">at the </w:t>
      </w:r>
      <w:r w:rsidR="00461B74" w:rsidRPr="0088092F">
        <w:rPr>
          <w:lang w:val="en-CA"/>
        </w:rPr>
        <w:t>Québec</w:t>
      </w:r>
      <w:r w:rsidR="00C4357C">
        <w:rPr>
          <w:lang w:val="en-CA"/>
        </w:rPr>
        <w:t xml:space="preserve"> City</w:t>
      </w:r>
      <w:r w:rsidR="00461B74" w:rsidRPr="0088092F">
        <w:rPr>
          <w:lang w:val="en-CA"/>
        </w:rPr>
        <w:t xml:space="preserve"> </w:t>
      </w:r>
      <w:r w:rsidR="00F81F4D" w:rsidRPr="0088092F">
        <w:rPr>
          <w:lang w:val="en-CA"/>
        </w:rPr>
        <w:t xml:space="preserve">correctional facility, in the context of which he also </w:t>
      </w:r>
      <w:r w:rsidR="00404F92" w:rsidRPr="0088092F">
        <w:rPr>
          <w:lang w:val="en-CA"/>
        </w:rPr>
        <w:t xml:space="preserve">challenged </w:t>
      </w:r>
      <w:r w:rsidR="00F81F4D" w:rsidRPr="0088092F">
        <w:rPr>
          <w:lang w:val="en-CA"/>
        </w:rPr>
        <w:t>his [</w:t>
      </w:r>
      <w:r w:rsidR="00F81F4D" w:rsidRPr="0088092F">
        <w:rPr>
          <w:smallCaps/>
          <w:lang w:val="en-CA"/>
        </w:rPr>
        <w:t>translation</w:t>
      </w:r>
      <w:r w:rsidR="00F81F4D" w:rsidRPr="0088092F">
        <w:rPr>
          <w:lang w:val="en-CA"/>
        </w:rPr>
        <w:t>] “prolonged solitary confinement”</w:t>
      </w:r>
      <w:r w:rsidR="00461B74" w:rsidRPr="0088092F">
        <w:rPr>
          <w:lang w:val="en-CA"/>
        </w:rPr>
        <w:t>. Dionne</w:t>
      </w:r>
      <w:r w:rsidR="00F81F4D" w:rsidRPr="0088092F">
        <w:rPr>
          <w:lang w:val="en-CA"/>
        </w:rPr>
        <w:t>, J. stated</w:t>
      </w:r>
      <w:r w:rsidR="00461B74" w:rsidRPr="0088092F">
        <w:rPr>
          <w:lang w:val="en-CA"/>
        </w:rPr>
        <w:t>:</w:t>
      </w:r>
    </w:p>
    <w:p w14:paraId="335A5996" w14:textId="3C4D98BA" w:rsidR="00F81F4D" w:rsidRPr="0088092F" w:rsidRDefault="00F81F4D" w:rsidP="00461B74">
      <w:pPr>
        <w:pStyle w:val="Citationenretrait"/>
        <w:keepNext/>
        <w:rPr>
          <w:lang w:val="en-CA"/>
        </w:rPr>
      </w:pPr>
      <w:r w:rsidRPr="0088092F">
        <w:rPr>
          <w:lang w:val="en-CA"/>
        </w:rPr>
        <w:t>[</w:t>
      </w:r>
      <w:r w:rsidRPr="0088092F">
        <w:rPr>
          <w:smallCaps/>
          <w:lang w:val="en-CA"/>
        </w:rPr>
        <w:t>translation</w:t>
      </w:r>
      <w:r w:rsidRPr="0088092F">
        <w:rPr>
          <w:lang w:val="en-CA"/>
        </w:rPr>
        <w:t>]</w:t>
      </w:r>
    </w:p>
    <w:p w14:paraId="454CA6BE" w14:textId="7B727A08" w:rsidR="00461B74" w:rsidRPr="0088092F" w:rsidRDefault="00F81F4D" w:rsidP="00461B74">
      <w:pPr>
        <w:pStyle w:val="Citationenretrait"/>
        <w:keepNext/>
        <w:rPr>
          <w:b/>
          <w:u w:val="single"/>
          <w:lang w:val="en-CA" w:eastAsia="fr-CA"/>
        </w:rPr>
      </w:pPr>
      <w:r w:rsidRPr="0088092F">
        <w:rPr>
          <w:b/>
          <w:u w:val="single"/>
          <w:lang w:val="en-CA"/>
        </w:rPr>
        <w:t>THE APPLICANT’S HEALTH</w:t>
      </w:r>
    </w:p>
    <w:p w14:paraId="28A59C25" w14:textId="0627FA43" w:rsidR="00461B74" w:rsidRPr="0088092F" w:rsidRDefault="00461B74" w:rsidP="00461B74">
      <w:pPr>
        <w:pStyle w:val="Citationenretrait"/>
        <w:keepNext/>
        <w:rPr>
          <w:lang w:val="en-CA"/>
        </w:rPr>
      </w:pPr>
      <w:r w:rsidRPr="0088092F">
        <w:rPr>
          <w:lang w:val="en-CA"/>
        </w:rPr>
        <w:t>[</w:t>
      </w:r>
      <w:bookmarkStart w:id="15" w:name="par121"/>
      <w:r w:rsidRPr="0088092F">
        <w:rPr>
          <w:lang w:val="en-CA"/>
        </w:rPr>
        <w:t>121</w:t>
      </w:r>
      <w:bookmarkEnd w:id="15"/>
      <w:r w:rsidRPr="0088092F">
        <w:rPr>
          <w:lang w:val="en-CA"/>
        </w:rPr>
        <w:t>]</w:t>
      </w:r>
      <w:r w:rsidR="00FB2233" w:rsidRPr="0088092F">
        <w:rPr>
          <w:lang w:val="en-CA"/>
        </w:rPr>
        <w:tab/>
      </w:r>
      <w:r w:rsidR="00B97993" w:rsidRPr="0088092F">
        <w:rPr>
          <w:lang w:val="en-CA"/>
        </w:rPr>
        <w:t xml:space="preserve">The </w:t>
      </w:r>
      <w:r w:rsidRPr="0088092F">
        <w:rPr>
          <w:lang w:val="en-CA"/>
        </w:rPr>
        <w:t>evidence</w:t>
      </w:r>
      <w:r w:rsidR="00B97993" w:rsidRPr="0088092F">
        <w:rPr>
          <w:lang w:val="en-CA"/>
        </w:rPr>
        <w:t xml:space="preserve"> </w:t>
      </w:r>
      <w:r w:rsidRPr="0088092F">
        <w:rPr>
          <w:lang w:val="en-CA"/>
        </w:rPr>
        <w:t>reveals</w:t>
      </w:r>
      <w:r w:rsidR="00B97993" w:rsidRPr="0088092F">
        <w:rPr>
          <w:lang w:val="en-CA"/>
        </w:rPr>
        <w:t xml:space="preserve"> that the </w:t>
      </w:r>
      <w:r w:rsidRPr="0088092F">
        <w:rPr>
          <w:lang w:val="en-CA"/>
        </w:rPr>
        <w:t>applicant</w:t>
      </w:r>
      <w:r w:rsidR="00B97993" w:rsidRPr="0088092F">
        <w:rPr>
          <w:lang w:val="en-CA"/>
        </w:rPr>
        <w:t xml:space="preserve"> was the target of a serious assault in </w:t>
      </w:r>
      <w:r w:rsidRPr="0088092F">
        <w:rPr>
          <w:lang w:val="en-CA"/>
        </w:rPr>
        <w:t xml:space="preserve">November 2019 </w:t>
      </w:r>
      <w:r w:rsidR="00B97993" w:rsidRPr="0088092F">
        <w:rPr>
          <w:lang w:val="en-CA"/>
        </w:rPr>
        <w:t>at the QCF</w:t>
      </w:r>
      <w:r w:rsidRPr="0088092F">
        <w:rPr>
          <w:lang w:val="en-CA"/>
        </w:rPr>
        <w:t xml:space="preserve"> </w:t>
      </w:r>
      <w:r w:rsidR="00B97993" w:rsidRPr="0088092F">
        <w:rPr>
          <w:lang w:val="en-CA"/>
        </w:rPr>
        <w:t xml:space="preserve">that led to his </w:t>
      </w:r>
      <w:r w:rsidR="000F37FB" w:rsidRPr="0088092F">
        <w:rPr>
          <w:rFonts w:cs="Arial"/>
          <w:color w:val="000000"/>
          <w:szCs w:val="22"/>
          <w:lang w:val="en-CA" w:eastAsia="fr-CA"/>
        </w:rPr>
        <w:t>segregation</w:t>
      </w:r>
      <w:r w:rsidR="00B97993" w:rsidRPr="0088092F">
        <w:rPr>
          <w:lang w:val="en-CA"/>
        </w:rPr>
        <w:t xml:space="preserve"> in </w:t>
      </w:r>
      <w:r w:rsidRPr="0088092F">
        <w:rPr>
          <w:lang w:val="en-CA"/>
        </w:rPr>
        <w:t>administrative</w:t>
      </w:r>
      <w:r w:rsidR="00B97993" w:rsidRPr="0088092F">
        <w:rPr>
          <w:lang w:val="en-CA"/>
        </w:rPr>
        <w:t xml:space="preserve"> protection in view of his refusal to be housed in a protective </w:t>
      </w:r>
      <w:r w:rsidR="00D239E8">
        <w:rPr>
          <w:lang w:val="en-CA"/>
        </w:rPr>
        <w:t>area</w:t>
      </w:r>
      <w:r w:rsidRPr="0088092F">
        <w:rPr>
          <w:lang w:val="en-CA"/>
        </w:rPr>
        <w:t>.</w:t>
      </w:r>
    </w:p>
    <w:p w14:paraId="7463F81A" w14:textId="31CC6F2A"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16" w:name="par122"/>
      <w:r w:rsidRPr="0088092F">
        <w:rPr>
          <w:rFonts w:cs="Arial"/>
          <w:color w:val="000000"/>
          <w:szCs w:val="22"/>
          <w:lang w:val="en-CA"/>
        </w:rPr>
        <w:t>122</w:t>
      </w:r>
      <w:bookmarkEnd w:id="16"/>
      <w:r w:rsidRPr="0088092F">
        <w:rPr>
          <w:rFonts w:cs="Arial"/>
          <w:color w:val="000000"/>
          <w:szCs w:val="22"/>
          <w:lang w:val="en-CA"/>
        </w:rPr>
        <w:t>]    </w:t>
      </w:r>
      <w:r w:rsidR="00B97993" w:rsidRPr="0088092F">
        <w:rPr>
          <w:rFonts w:cs="Arial"/>
          <w:color w:val="000000"/>
          <w:szCs w:val="22"/>
          <w:lang w:val="en-CA"/>
        </w:rPr>
        <w:t>His behaviou</w:t>
      </w:r>
      <w:r w:rsidR="004213E2" w:rsidRPr="0088092F">
        <w:rPr>
          <w:rFonts w:cs="Arial"/>
          <w:color w:val="000000"/>
          <w:szCs w:val="22"/>
          <w:lang w:val="en-CA"/>
        </w:rPr>
        <w:t>r</w:t>
      </w:r>
      <w:r w:rsidR="00B97993" w:rsidRPr="0088092F">
        <w:rPr>
          <w:rFonts w:cs="Arial"/>
          <w:color w:val="000000"/>
          <w:szCs w:val="22"/>
          <w:lang w:val="en-CA"/>
        </w:rPr>
        <w:t xml:space="preserve"> in de</w:t>
      </w:r>
      <w:r w:rsidRPr="0088092F">
        <w:rPr>
          <w:rFonts w:cs="Arial"/>
          <w:color w:val="000000"/>
          <w:szCs w:val="22"/>
          <w:lang w:val="en-CA"/>
        </w:rPr>
        <w:t xml:space="preserve">tention </w:t>
      </w:r>
      <w:r w:rsidR="00B97993" w:rsidRPr="0088092F">
        <w:rPr>
          <w:rFonts w:cs="Arial"/>
          <w:color w:val="000000"/>
          <w:szCs w:val="22"/>
          <w:lang w:val="en-CA"/>
        </w:rPr>
        <w:t xml:space="preserve">also </w:t>
      </w:r>
      <w:r w:rsidRPr="0088092F">
        <w:rPr>
          <w:rFonts w:cs="Arial"/>
          <w:color w:val="000000"/>
          <w:szCs w:val="22"/>
          <w:lang w:val="en-CA"/>
        </w:rPr>
        <w:t>contribu</w:t>
      </w:r>
      <w:r w:rsidR="00B97993" w:rsidRPr="0088092F">
        <w:rPr>
          <w:rFonts w:cs="Arial"/>
          <w:color w:val="000000"/>
          <w:szCs w:val="22"/>
          <w:lang w:val="en-CA"/>
        </w:rPr>
        <w:t xml:space="preserve">ted to his </w:t>
      </w:r>
      <w:r w:rsidR="00D239E8">
        <w:rPr>
          <w:rFonts w:cs="Arial"/>
          <w:color w:val="000000"/>
          <w:szCs w:val="22"/>
          <w:lang w:val="en-CA"/>
        </w:rPr>
        <w:t xml:space="preserve">being </w:t>
      </w:r>
      <w:r w:rsidR="00B97993" w:rsidRPr="0088092F">
        <w:rPr>
          <w:rFonts w:cs="Arial"/>
          <w:color w:val="000000"/>
          <w:szCs w:val="22"/>
          <w:lang w:val="en-CA"/>
        </w:rPr>
        <w:t>place</w:t>
      </w:r>
      <w:r w:rsidR="00D239E8">
        <w:rPr>
          <w:rFonts w:cs="Arial"/>
          <w:color w:val="000000"/>
          <w:szCs w:val="22"/>
          <w:lang w:val="en-CA"/>
        </w:rPr>
        <w:t>d</w:t>
      </w:r>
      <w:r w:rsidR="00B97993" w:rsidRPr="0088092F">
        <w:rPr>
          <w:rFonts w:cs="Arial"/>
          <w:color w:val="000000"/>
          <w:szCs w:val="22"/>
          <w:lang w:val="en-CA"/>
        </w:rPr>
        <w:t xml:space="preserve"> in </w:t>
      </w:r>
      <w:r w:rsidRPr="0088092F">
        <w:rPr>
          <w:rFonts w:cs="Arial"/>
          <w:color w:val="000000"/>
          <w:szCs w:val="22"/>
          <w:lang w:val="en-CA"/>
        </w:rPr>
        <w:t xml:space="preserve">confinement </w:t>
      </w:r>
      <w:r w:rsidR="00B97993" w:rsidRPr="0088092F">
        <w:rPr>
          <w:rFonts w:cs="Arial"/>
          <w:color w:val="000000"/>
          <w:szCs w:val="22"/>
          <w:lang w:val="en-CA"/>
        </w:rPr>
        <w:t xml:space="preserve">on several occasions following disciplinary </w:t>
      </w:r>
      <w:r w:rsidRPr="0088092F">
        <w:rPr>
          <w:rFonts w:cs="Arial"/>
          <w:szCs w:val="22"/>
          <w:lang w:val="en-CA"/>
        </w:rPr>
        <w:t>breaches</w:t>
      </w:r>
      <w:r w:rsidR="00B97993" w:rsidRPr="0088092F">
        <w:rPr>
          <w:rFonts w:cs="Arial"/>
          <w:szCs w:val="22"/>
          <w:lang w:val="en-CA"/>
        </w:rPr>
        <w:t xml:space="preserve">, acts of self-harm, and </w:t>
      </w:r>
      <w:r w:rsidRPr="0088092F">
        <w:rPr>
          <w:rFonts w:cs="Arial"/>
          <w:color w:val="000000"/>
          <w:szCs w:val="22"/>
          <w:lang w:val="en-CA"/>
        </w:rPr>
        <w:t>suicida</w:t>
      </w:r>
      <w:r w:rsidR="00B97993" w:rsidRPr="0088092F">
        <w:rPr>
          <w:rFonts w:cs="Arial"/>
          <w:color w:val="000000"/>
          <w:szCs w:val="22"/>
          <w:lang w:val="en-CA"/>
        </w:rPr>
        <w:t>l remarks</w:t>
      </w:r>
      <w:r w:rsidRPr="0088092F">
        <w:rPr>
          <w:rFonts w:cs="Arial"/>
          <w:color w:val="000000"/>
          <w:szCs w:val="22"/>
          <w:lang w:val="en-CA"/>
        </w:rPr>
        <w:t>.</w:t>
      </w:r>
    </w:p>
    <w:p w14:paraId="3A31F448" w14:textId="65C53E47"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17" w:name="par123"/>
      <w:r w:rsidRPr="0088092F">
        <w:rPr>
          <w:rFonts w:cs="Arial"/>
          <w:color w:val="000000"/>
          <w:szCs w:val="22"/>
          <w:lang w:val="en-CA"/>
        </w:rPr>
        <w:t>123</w:t>
      </w:r>
      <w:bookmarkEnd w:id="17"/>
      <w:r w:rsidRPr="0088092F">
        <w:rPr>
          <w:rFonts w:cs="Arial"/>
          <w:color w:val="000000"/>
          <w:szCs w:val="22"/>
          <w:lang w:val="en-CA"/>
        </w:rPr>
        <w:t xml:space="preserve">]   </w:t>
      </w:r>
      <w:r w:rsidR="00FB2233" w:rsidRPr="0088092F">
        <w:rPr>
          <w:rFonts w:cs="Arial"/>
          <w:color w:val="000000"/>
          <w:szCs w:val="22"/>
          <w:lang w:val="en-CA"/>
        </w:rPr>
        <w:t xml:space="preserve">In </w:t>
      </w:r>
      <w:r w:rsidRPr="0088092F">
        <w:rPr>
          <w:rFonts w:cs="Arial"/>
          <w:szCs w:val="22"/>
          <w:lang w:val="en-CA"/>
        </w:rPr>
        <w:t>March</w:t>
      </w:r>
      <w:r w:rsidRPr="0088092F">
        <w:rPr>
          <w:rFonts w:cs="Arial"/>
          <w:color w:val="000000"/>
          <w:szCs w:val="22"/>
          <w:lang w:val="en-CA"/>
        </w:rPr>
        <w:t xml:space="preserve"> 2020, </w:t>
      </w:r>
      <w:r w:rsidR="00FB2233" w:rsidRPr="0088092F">
        <w:rPr>
          <w:rFonts w:cs="Arial"/>
          <w:color w:val="000000"/>
          <w:szCs w:val="22"/>
          <w:lang w:val="en-CA"/>
        </w:rPr>
        <w:t xml:space="preserve">the </w:t>
      </w:r>
      <w:r w:rsidRPr="0088092F">
        <w:rPr>
          <w:rFonts w:cs="Arial"/>
          <w:szCs w:val="22"/>
          <w:lang w:val="en-CA"/>
        </w:rPr>
        <w:t>applicant</w:t>
      </w:r>
      <w:r w:rsidR="00FB2233" w:rsidRPr="0088092F">
        <w:rPr>
          <w:rFonts w:cs="Arial"/>
          <w:szCs w:val="22"/>
          <w:lang w:val="en-CA"/>
        </w:rPr>
        <w:t xml:space="preserve"> asked for help in view of his deteriorating </w:t>
      </w:r>
      <w:r w:rsidRPr="0088092F">
        <w:rPr>
          <w:rFonts w:cs="Arial"/>
          <w:szCs w:val="22"/>
          <w:lang w:val="en-CA"/>
        </w:rPr>
        <w:t>psychological</w:t>
      </w:r>
      <w:r w:rsidR="00FB2233" w:rsidRPr="0088092F">
        <w:rPr>
          <w:rFonts w:cs="Arial"/>
          <w:szCs w:val="22"/>
          <w:lang w:val="en-CA"/>
        </w:rPr>
        <w:t xml:space="preserve"> state </w:t>
      </w:r>
      <w:r w:rsidRPr="0088092F">
        <w:rPr>
          <w:rFonts w:cs="Arial"/>
          <w:color w:val="000000"/>
          <w:szCs w:val="22"/>
          <w:lang w:val="en-CA"/>
        </w:rPr>
        <w:t>(</w:t>
      </w:r>
      <w:r w:rsidRPr="0088092F">
        <w:rPr>
          <w:rFonts w:cs="Arial"/>
          <w:szCs w:val="22"/>
          <w:lang w:val="en-CA"/>
        </w:rPr>
        <w:t>exhibit</w:t>
      </w:r>
      <w:r w:rsidRPr="0088092F">
        <w:rPr>
          <w:rFonts w:cs="Arial"/>
          <w:color w:val="000000"/>
          <w:szCs w:val="22"/>
          <w:lang w:val="en-CA"/>
        </w:rPr>
        <w:t xml:space="preserve"> R-3).</w:t>
      </w:r>
    </w:p>
    <w:p w14:paraId="29754B4B" w14:textId="7BD438B9"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18" w:name="par124"/>
      <w:r w:rsidRPr="0088092F">
        <w:rPr>
          <w:rFonts w:cs="Arial"/>
          <w:color w:val="000000"/>
          <w:szCs w:val="22"/>
          <w:lang w:val="en-CA"/>
        </w:rPr>
        <w:t>124</w:t>
      </w:r>
      <w:bookmarkEnd w:id="18"/>
      <w:r w:rsidRPr="0088092F">
        <w:rPr>
          <w:rFonts w:cs="Arial"/>
          <w:color w:val="000000"/>
          <w:szCs w:val="22"/>
          <w:lang w:val="en-CA"/>
        </w:rPr>
        <w:t xml:space="preserve">]   </w:t>
      </w:r>
      <w:r w:rsidR="00FB2233" w:rsidRPr="0088092F">
        <w:rPr>
          <w:rFonts w:cs="Arial"/>
          <w:color w:val="000000"/>
          <w:szCs w:val="22"/>
          <w:lang w:val="en-CA"/>
        </w:rPr>
        <w:t xml:space="preserve">In </w:t>
      </w:r>
      <w:r w:rsidRPr="0088092F">
        <w:rPr>
          <w:rFonts w:cs="Arial"/>
          <w:szCs w:val="22"/>
          <w:lang w:val="en-CA"/>
        </w:rPr>
        <w:t>August</w:t>
      </w:r>
      <w:r w:rsidRPr="0088092F">
        <w:rPr>
          <w:rFonts w:cs="Arial"/>
          <w:color w:val="000000"/>
          <w:szCs w:val="22"/>
          <w:lang w:val="en-CA"/>
        </w:rPr>
        <w:t xml:space="preserve"> 2020, </w:t>
      </w:r>
      <w:r w:rsidR="00FB2233" w:rsidRPr="0088092F">
        <w:rPr>
          <w:rFonts w:cs="Arial"/>
          <w:color w:val="000000"/>
          <w:szCs w:val="22"/>
          <w:lang w:val="en-CA"/>
        </w:rPr>
        <w:t>he asked about what was happening with his appointments with the [</w:t>
      </w:r>
      <w:r w:rsidR="00FB2233" w:rsidRPr="0088092F">
        <w:rPr>
          <w:rFonts w:cs="Arial"/>
          <w:smallCaps/>
          <w:color w:val="000000"/>
          <w:szCs w:val="22"/>
          <w:lang w:val="en-CA"/>
        </w:rPr>
        <w:t>translation</w:t>
      </w:r>
      <w:r w:rsidR="00FB2233" w:rsidRPr="0088092F">
        <w:rPr>
          <w:rFonts w:cs="Arial"/>
          <w:color w:val="000000"/>
          <w:szCs w:val="22"/>
          <w:lang w:val="en-CA"/>
        </w:rPr>
        <w:t xml:space="preserve">] “plastic surgeon” </w:t>
      </w:r>
      <w:r w:rsidRPr="0088092F">
        <w:rPr>
          <w:rFonts w:cs="Arial"/>
          <w:color w:val="000000"/>
          <w:szCs w:val="22"/>
          <w:lang w:val="en-CA"/>
        </w:rPr>
        <w:t>(</w:t>
      </w:r>
      <w:r w:rsidRPr="0088092F">
        <w:rPr>
          <w:rFonts w:cs="Arial"/>
          <w:szCs w:val="22"/>
          <w:lang w:val="en-CA"/>
        </w:rPr>
        <w:t>exhibit</w:t>
      </w:r>
      <w:r w:rsidRPr="0088092F">
        <w:rPr>
          <w:rFonts w:cs="Arial"/>
          <w:color w:val="000000"/>
          <w:szCs w:val="22"/>
          <w:lang w:val="en-CA"/>
        </w:rPr>
        <w:t xml:space="preserve"> R-4).</w:t>
      </w:r>
    </w:p>
    <w:p w14:paraId="13D64D9F" w14:textId="427EAFA7"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19" w:name="par125"/>
      <w:r w:rsidRPr="0088092F">
        <w:rPr>
          <w:rFonts w:cs="Arial"/>
          <w:color w:val="000000"/>
          <w:szCs w:val="22"/>
          <w:lang w:val="en-CA"/>
        </w:rPr>
        <w:t>125</w:t>
      </w:r>
      <w:bookmarkEnd w:id="19"/>
      <w:r w:rsidRPr="0088092F">
        <w:rPr>
          <w:rFonts w:cs="Arial"/>
          <w:color w:val="000000"/>
          <w:szCs w:val="22"/>
          <w:lang w:val="en-CA"/>
        </w:rPr>
        <w:t xml:space="preserve">]   </w:t>
      </w:r>
      <w:r w:rsidR="004213E2" w:rsidRPr="0088092F">
        <w:rPr>
          <w:rFonts w:cs="Arial"/>
          <w:color w:val="000000"/>
          <w:szCs w:val="22"/>
          <w:lang w:val="en-CA"/>
        </w:rPr>
        <w:t xml:space="preserve">The evidence also shows that the </w:t>
      </w:r>
      <w:r w:rsidRPr="0088092F">
        <w:rPr>
          <w:rFonts w:cs="Arial"/>
          <w:szCs w:val="22"/>
          <w:lang w:val="en-CA"/>
        </w:rPr>
        <w:t>applicant</w:t>
      </w:r>
      <w:r w:rsidR="004213E2" w:rsidRPr="0088092F">
        <w:rPr>
          <w:rFonts w:cs="Arial"/>
          <w:szCs w:val="22"/>
          <w:lang w:val="en-CA"/>
        </w:rPr>
        <w:t xml:space="preserve"> has seen a physician only twice during this </w:t>
      </w:r>
      <w:r w:rsidRPr="0088092F">
        <w:rPr>
          <w:rFonts w:cs="Arial"/>
          <w:szCs w:val="22"/>
          <w:lang w:val="en-CA"/>
        </w:rPr>
        <w:t>incarc</w:t>
      </w:r>
      <w:r w:rsidR="004213E2" w:rsidRPr="0088092F">
        <w:rPr>
          <w:rFonts w:cs="Arial"/>
          <w:szCs w:val="22"/>
          <w:lang w:val="en-CA"/>
        </w:rPr>
        <w:t>e</w:t>
      </w:r>
      <w:r w:rsidRPr="0088092F">
        <w:rPr>
          <w:rFonts w:cs="Arial"/>
          <w:szCs w:val="22"/>
          <w:lang w:val="en-CA"/>
        </w:rPr>
        <w:t>ration</w:t>
      </w:r>
      <w:r w:rsidR="004213E2" w:rsidRPr="0088092F">
        <w:rPr>
          <w:rFonts w:cs="Arial"/>
          <w:szCs w:val="22"/>
          <w:lang w:val="en-CA"/>
        </w:rPr>
        <w:t xml:space="preserve"> and the </w:t>
      </w:r>
      <w:r w:rsidR="004213E2" w:rsidRPr="0088092F">
        <w:rPr>
          <w:rFonts w:cs="Arial"/>
          <w:color w:val="000000"/>
          <w:szCs w:val="22"/>
          <w:lang w:val="en-CA"/>
        </w:rPr>
        <w:t>chaplain only once</w:t>
      </w:r>
      <w:r w:rsidRPr="0088092F">
        <w:rPr>
          <w:rFonts w:cs="Arial"/>
          <w:color w:val="000000"/>
          <w:szCs w:val="22"/>
          <w:lang w:val="en-CA"/>
        </w:rPr>
        <w:t>.</w:t>
      </w:r>
    </w:p>
    <w:p w14:paraId="1F6C8A48" w14:textId="6C6A1554"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0" w:name="par126"/>
      <w:r w:rsidRPr="0088092F">
        <w:rPr>
          <w:rFonts w:cs="Arial"/>
          <w:color w:val="000000"/>
          <w:szCs w:val="22"/>
          <w:lang w:val="en-CA"/>
        </w:rPr>
        <w:t>126</w:t>
      </w:r>
      <w:bookmarkEnd w:id="20"/>
      <w:r w:rsidRPr="0088092F">
        <w:rPr>
          <w:rFonts w:cs="Arial"/>
          <w:color w:val="000000"/>
          <w:szCs w:val="22"/>
          <w:lang w:val="en-CA"/>
        </w:rPr>
        <w:t xml:space="preserve">]   </w:t>
      </w:r>
      <w:r w:rsidR="004213E2" w:rsidRPr="0088092F">
        <w:rPr>
          <w:rFonts w:cs="Arial"/>
          <w:color w:val="000000"/>
          <w:szCs w:val="22"/>
          <w:lang w:val="en-CA"/>
        </w:rPr>
        <w:t xml:space="preserve">At the hearing, he explained that since </w:t>
      </w:r>
      <w:r w:rsidRPr="0088092F">
        <w:rPr>
          <w:rFonts w:cs="Arial"/>
          <w:szCs w:val="22"/>
          <w:lang w:val="en-CA"/>
        </w:rPr>
        <w:t>January</w:t>
      </w:r>
      <w:r w:rsidRPr="0088092F">
        <w:rPr>
          <w:rFonts w:cs="Arial"/>
          <w:color w:val="000000"/>
          <w:szCs w:val="22"/>
          <w:lang w:val="en-CA"/>
        </w:rPr>
        <w:t xml:space="preserve"> 2020, </w:t>
      </w:r>
      <w:r w:rsidR="004213E2" w:rsidRPr="0088092F">
        <w:rPr>
          <w:rFonts w:cs="Arial"/>
          <w:color w:val="000000"/>
          <w:szCs w:val="22"/>
          <w:lang w:val="en-CA"/>
        </w:rPr>
        <w:t>he has requested every type of help that could possibly be provided to him. He added that he needs medical ca</w:t>
      </w:r>
      <w:r w:rsidR="00E259C1" w:rsidRPr="0088092F">
        <w:rPr>
          <w:rFonts w:cs="Arial"/>
          <w:color w:val="000000"/>
          <w:szCs w:val="22"/>
          <w:lang w:val="en-CA"/>
        </w:rPr>
        <w:t>r</w:t>
      </w:r>
      <w:r w:rsidR="004213E2" w:rsidRPr="0088092F">
        <w:rPr>
          <w:rFonts w:cs="Arial"/>
          <w:color w:val="000000"/>
          <w:szCs w:val="22"/>
          <w:lang w:val="en-CA"/>
        </w:rPr>
        <w:t xml:space="preserve">e and that he is </w:t>
      </w:r>
      <w:r w:rsidRPr="0088092F">
        <w:rPr>
          <w:rFonts w:cs="Arial"/>
          <w:color w:val="000000"/>
          <w:szCs w:val="22"/>
          <w:lang w:val="en-CA"/>
        </w:rPr>
        <w:t>mental</w:t>
      </w:r>
      <w:r w:rsidR="00E259C1" w:rsidRPr="0088092F">
        <w:rPr>
          <w:rFonts w:cs="Arial"/>
          <w:color w:val="000000"/>
          <w:szCs w:val="22"/>
          <w:lang w:val="en-CA"/>
        </w:rPr>
        <w:t xml:space="preserve">ly </w:t>
      </w:r>
      <w:r w:rsidR="00EE4B0F">
        <w:rPr>
          <w:rFonts w:cs="Arial"/>
          <w:color w:val="000000"/>
          <w:szCs w:val="22"/>
          <w:lang w:val="en-CA"/>
        </w:rPr>
        <w:t>broken</w:t>
      </w:r>
      <w:r w:rsidR="00E259C1" w:rsidRPr="0088092F">
        <w:rPr>
          <w:rFonts w:cs="Arial"/>
          <w:color w:val="000000"/>
          <w:szCs w:val="22"/>
          <w:lang w:val="en-CA"/>
        </w:rPr>
        <w:t>. That is his main request. In short, he says he wants physical and mental health care</w:t>
      </w:r>
      <w:r w:rsidRPr="0088092F">
        <w:rPr>
          <w:rFonts w:cs="Arial"/>
          <w:color w:val="000000"/>
          <w:szCs w:val="22"/>
          <w:lang w:val="en-CA"/>
        </w:rPr>
        <w:t>.</w:t>
      </w:r>
    </w:p>
    <w:p w14:paraId="2201A481" w14:textId="0DEF2735"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1" w:name="par127"/>
      <w:r w:rsidRPr="0088092F">
        <w:rPr>
          <w:rFonts w:cs="Arial"/>
          <w:color w:val="000000"/>
          <w:szCs w:val="22"/>
          <w:lang w:val="en-CA"/>
        </w:rPr>
        <w:t>127</w:t>
      </w:r>
      <w:bookmarkEnd w:id="21"/>
      <w:r w:rsidRPr="0088092F">
        <w:rPr>
          <w:rFonts w:cs="Arial"/>
          <w:color w:val="000000"/>
          <w:szCs w:val="22"/>
          <w:lang w:val="en-CA"/>
        </w:rPr>
        <w:t>]    </w:t>
      </w:r>
      <w:r w:rsidR="008A3185">
        <w:rPr>
          <w:rFonts w:cs="Arial"/>
          <w:color w:val="000000"/>
          <w:szCs w:val="22"/>
          <w:lang w:val="en-CA"/>
        </w:rPr>
        <w:t>Section</w:t>
      </w:r>
      <w:r w:rsidR="008A3185" w:rsidRPr="0088092F">
        <w:rPr>
          <w:rStyle w:val="reflex2-link"/>
          <w:rFonts w:cs="Arial"/>
          <w:color w:val="000000"/>
          <w:szCs w:val="22"/>
          <w:lang w:val="en-CA"/>
        </w:rPr>
        <w:t xml:space="preserve"> </w:t>
      </w:r>
      <w:r w:rsidRPr="0088092F">
        <w:rPr>
          <w:rStyle w:val="reflex2-link"/>
          <w:rFonts w:cs="Arial"/>
          <w:color w:val="000000"/>
          <w:szCs w:val="22"/>
          <w:lang w:val="en-CA"/>
        </w:rPr>
        <w:t>13</w:t>
      </w:r>
      <w:r w:rsidRPr="0088092F">
        <w:rPr>
          <w:rFonts w:cs="Arial"/>
          <w:color w:val="000000"/>
          <w:szCs w:val="22"/>
          <w:lang w:val="en-CA"/>
        </w:rPr>
        <w:t> </w:t>
      </w:r>
      <w:r w:rsidR="00E259C1" w:rsidRPr="0088092F">
        <w:rPr>
          <w:rFonts w:cs="Arial"/>
          <w:color w:val="000000"/>
          <w:szCs w:val="22"/>
          <w:lang w:val="en-CA"/>
        </w:rPr>
        <w:t xml:space="preserve">of the </w:t>
      </w:r>
      <w:r w:rsidR="00F479A9" w:rsidRPr="0088092F">
        <w:rPr>
          <w:rFonts w:cs="Arial"/>
          <w:i/>
          <w:color w:val="000000"/>
          <w:szCs w:val="22"/>
          <w:lang w:val="en-CA"/>
        </w:rPr>
        <w:t>Regulation under the Act respecting the Québec correctional system</w:t>
      </w:r>
      <w:r w:rsidR="00F479A9" w:rsidRPr="0088092F">
        <w:rPr>
          <w:rFonts w:cs="Arial"/>
          <w:color w:val="000000"/>
          <w:szCs w:val="22"/>
          <w:lang w:val="en-CA"/>
        </w:rPr>
        <w:t xml:space="preserve"> provides that a health professional at the facility must submit a report to the facility director each time the health professional believes that the physical or mental health of an inmate has been or will be affected by the conditions of detention or by their extension.</w:t>
      </w:r>
    </w:p>
    <w:p w14:paraId="3410B31E" w14:textId="10E5D622"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2" w:name="par128"/>
      <w:r w:rsidRPr="0088092F">
        <w:rPr>
          <w:rFonts w:cs="Arial"/>
          <w:color w:val="000000"/>
          <w:szCs w:val="22"/>
          <w:lang w:val="en-CA"/>
        </w:rPr>
        <w:t>128</w:t>
      </w:r>
      <w:bookmarkEnd w:id="22"/>
      <w:r w:rsidRPr="0088092F">
        <w:rPr>
          <w:rFonts w:cs="Arial"/>
          <w:color w:val="000000"/>
          <w:szCs w:val="22"/>
          <w:lang w:val="en-CA"/>
        </w:rPr>
        <w:t>]     </w:t>
      </w:r>
      <w:r w:rsidR="006F3AF5" w:rsidRPr="006A7923">
        <w:rPr>
          <w:rFonts w:cs="Arial"/>
          <w:color w:val="000000"/>
          <w:szCs w:val="22"/>
          <w:u w:val="single"/>
          <w:lang w:val="en-CA"/>
        </w:rPr>
        <w:t>I</w:t>
      </w:r>
      <w:r w:rsidRPr="006A7923">
        <w:rPr>
          <w:rFonts w:cs="Arial"/>
          <w:szCs w:val="22"/>
          <w:u w:val="single"/>
          <w:lang w:val="en-CA"/>
        </w:rPr>
        <w:t>n</w:t>
      </w:r>
      <w:r w:rsidR="006F3AF5" w:rsidRPr="006A7923">
        <w:rPr>
          <w:rFonts w:cs="Arial"/>
          <w:szCs w:val="22"/>
          <w:u w:val="single"/>
          <w:lang w:val="en-CA"/>
        </w:rPr>
        <w:t xml:space="preserve"> </w:t>
      </w:r>
      <w:r w:rsidRPr="006A7923">
        <w:rPr>
          <w:rFonts w:cs="Arial"/>
          <w:szCs w:val="22"/>
          <w:u w:val="single"/>
          <w:lang w:val="en-CA"/>
        </w:rPr>
        <w:t>view</w:t>
      </w:r>
      <w:r w:rsidR="006F3AF5" w:rsidRPr="006A7923">
        <w:rPr>
          <w:rFonts w:cs="Arial"/>
          <w:szCs w:val="22"/>
          <w:u w:val="single"/>
          <w:lang w:val="en-CA"/>
        </w:rPr>
        <w:t xml:space="preserve"> </w:t>
      </w:r>
      <w:r w:rsidRPr="006A7923">
        <w:rPr>
          <w:rFonts w:cs="Arial"/>
          <w:szCs w:val="22"/>
          <w:u w:val="single"/>
          <w:lang w:val="en-CA"/>
        </w:rPr>
        <w:t>of</w:t>
      </w:r>
      <w:r w:rsidR="006F3AF5" w:rsidRPr="006A7923">
        <w:rPr>
          <w:rFonts w:cs="Arial"/>
          <w:szCs w:val="22"/>
          <w:u w:val="single"/>
          <w:lang w:val="en-CA"/>
        </w:rPr>
        <w:t xml:space="preserve"> the foregoing, it is surprising to note that for all practical purposes, the applicant’s</w:t>
      </w:r>
      <w:r w:rsidRPr="006A7923">
        <w:rPr>
          <w:rFonts w:cs="Arial"/>
          <w:color w:val="000000"/>
          <w:szCs w:val="22"/>
          <w:u w:val="single"/>
          <w:lang w:val="en-CA"/>
        </w:rPr>
        <w:t xml:space="preserve"> </w:t>
      </w:r>
      <w:r w:rsidR="006F3AF5" w:rsidRPr="006A7923">
        <w:rPr>
          <w:rFonts w:cs="Arial"/>
          <w:szCs w:val="22"/>
          <w:u w:val="single"/>
          <w:lang w:val="en-CA"/>
        </w:rPr>
        <w:t>calls for help seem to have remain</w:t>
      </w:r>
      <w:r w:rsidR="008A3185">
        <w:rPr>
          <w:rFonts w:cs="Arial"/>
          <w:szCs w:val="22"/>
          <w:u w:val="single"/>
          <w:lang w:val="en-CA"/>
        </w:rPr>
        <w:t>ed</w:t>
      </w:r>
      <w:r w:rsidR="006F3AF5" w:rsidRPr="006A7923">
        <w:rPr>
          <w:rFonts w:cs="Arial"/>
          <w:szCs w:val="22"/>
          <w:u w:val="single"/>
          <w:lang w:val="en-CA"/>
        </w:rPr>
        <w:t xml:space="preserve"> unanswered despite his conduct in de</w:t>
      </w:r>
      <w:r w:rsidRPr="006A7923">
        <w:rPr>
          <w:rFonts w:cs="Arial"/>
          <w:color w:val="000000"/>
          <w:szCs w:val="22"/>
          <w:u w:val="single"/>
          <w:lang w:val="en-CA"/>
        </w:rPr>
        <w:t>tention</w:t>
      </w:r>
      <w:r w:rsidR="006F3AF5" w:rsidRPr="006A7923">
        <w:rPr>
          <w:rFonts w:cs="Arial"/>
          <w:color w:val="000000"/>
          <w:szCs w:val="22"/>
          <w:lang w:val="en-CA"/>
        </w:rPr>
        <w:t>.</w:t>
      </w:r>
      <w:r w:rsidRPr="0088092F">
        <w:rPr>
          <w:rStyle w:val="Appelnotedebasdep"/>
          <w:rFonts w:cs="Arial"/>
          <w:color w:val="000000"/>
          <w:szCs w:val="22"/>
          <w:lang w:val="en-CA"/>
        </w:rPr>
        <w:footnoteReference w:id="20"/>
      </w:r>
    </w:p>
    <w:p w14:paraId="7FB45FF5" w14:textId="77777777" w:rsidR="00461B74" w:rsidRPr="0088092F" w:rsidRDefault="001F6648" w:rsidP="00461B74">
      <w:pPr>
        <w:pStyle w:val="Citationenretrait"/>
        <w:jc w:val="right"/>
        <w:rPr>
          <w:lang w:val="en-CA"/>
        </w:rPr>
      </w:pPr>
      <w:r w:rsidRPr="0088092F">
        <w:rPr>
          <w:rFonts w:cs="Arial"/>
          <w:color w:val="000000"/>
          <w:szCs w:val="22"/>
          <w:lang w:val="en-CA"/>
        </w:rPr>
        <w:t>[Emphasis added.]</w:t>
      </w:r>
    </w:p>
    <w:p w14:paraId="45D246F2" w14:textId="77777777" w:rsidR="00461B74" w:rsidRPr="0088092F" w:rsidRDefault="00461B74" w:rsidP="00461B74">
      <w:pPr>
        <w:pStyle w:val="Titre1"/>
        <w:spacing w:line="280" w:lineRule="exact"/>
        <w:rPr>
          <w:caps/>
          <w:lang w:val="en-CA"/>
        </w:rPr>
      </w:pPr>
      <w:bookmarkStart w:id="23" w:name="_Toc85547013"/>
      <w:r w:rsidRPr="0088092F">
        <w:rPr>
          <w:lang w:val="en-CA"/>
        </w:rPr>
        <w:lastRenderedPageBreak/>
        <w:t>IV -</w:t>
      </w:r>
      <w:r w:rsidRPr="0088092F">
        <w:rPr>
          <w:lang w:val="en-CA"/>
        </w:rPr>
        <w:tab/>
      </w:r>
      <w:bookmarkEnd w:id="23"/>
      <w:r w:rsidR="001F6648" w:rsidRPr="0088092F">
        <w:rPr>
          <w:lang w:val="en-CA"/>
        </w:rPr>
        <w:t>ASSESSMENT OF THE APPELLANT’S MENTAL HEALTH</w:t>
      </w:r>
    </w:p>
    <w:p w14:paraId="2EF87F04" w14:textId="367FB5F4" w:rsidR="00461B74" w:rsidRPr="0088092F" w:rsidRDefault="006E43EE" w:rsidP="00461B74">
      <w:pPr>
        <w:pStyle w:val="Paragraphe"/>
        <w:spacing w:line="280" w:lineRule="exact"/>
        <w:rPr>
          <w:lang w:val="en-CA"/>
        </w:rPr>
      </w:pPr>
      <w:r w:rsidRPr="0088092F">
        <w:rPr>
          <w:lang w:val="en-CA"/>
        </w:rPr>
        <w:t xml:space="preserve">The </w:t>
      </w:r>
      <w:r w:rsidR="00461B74" w:rsidRPr="0088092F">
        <w:rPr>
          <w:lang w:val="en-CA"/>
        </w:rPr>
        <w:t>appellant</w:t>
      </w:r>
      <w:r w:rsidRPr="0088092F">
        <w:rPr>
          <w:lang w:val="en-CA"/>
        </w:rPr>
        <w:t xml:space="preserve">’s challenge was supported by an assessment of his </w:t>
      </w:r>
      <w:r w:rsidR="00461B74" w:rsidRPr="0088092F">
        <w:rPr>
          <w:lang w:val="en-CA"/>
        </w:rPr>
        <w:t>mental</w:t>
      </w:r>
      <w:r w:rsidRPr="0088092F">
        <w:rPr>
          <w:lang w:val="en-CA"/>
        </w:rPr>
        <w:t xml:space="preserve"> </w:t>
      </w:r>
      <w:r w:rsidR="00461B74" w:rsidRPr="0088092F">
        <w:rPr>
          <w:lang w:val="en-CA"/>
        </w:rPr>
        <w:t xml:space="preserve">health </w:t>
      </w:r>
      <w:r w:rsidRPr="0088092F">
        <w:rPr>
          <w:lang w:val="en-CA"/>
        </w:rPr>
        <w:t xml:space="preserve">prepared by </w:t>
      </w:r>
      <w:r w:rsidR="00461B74" w:rsidRPr="0088092F">
        <w:rPr>
          <w:lang w:val="en-CA"/>
        </w:rPr>
        <w:t xml:space="preserve">psychologist Randolph Stephenson </w:t>
      </w:r>
      <w:r w:rsidRPr="0088092F">
        <w:rPr>
          <w:lang w:val="en-CA"/>
        </w:rPr>
        <w:t xml:space="preserve">regarding the effects of the appellant’s </w:t>
      </w:r>
      <w:r w:rsidR="000F37FB" w:rsidRPr="0088092F">
        <w:rPr>
          <w:rFonts w:cs="Arial"/>
          <w:color w:val="000000"/>
          <w:szCs w:val="22"/>
          <w:lang w:val="en-CA" w:eastAsia="fr-CA"/>
        </w:rPr>
        <w:t>segregation</w:t>
      </w:r>
      <w:r w:rsidR="00461B74" w:rsidRPr="0088092F">
        <w:rPr>
          <w:lang w:val="en-CA"/>
        </w:rPr>
        <w:t xml:space="preserve">.  </w:t>
      </w:r>
    </w:p>
    <w:p w14:paraId="0E2D92C6" w14:textId="67E0C577" w:rsidR="00461B74" w:rsidRPr="0088092F" w:rsidRDefault="0033030A" w:rsidP="00461B74">
      <w:pPr>
        <w:pStyle w:val="Paragraphe"/>
        <w:spacing w:line="280" w:lineRule="exact"/>
        <w:rPr>
          <w:lang w:val="en-CA"/>
        </w:rPr>
      </w:pPr>
      <w:r w:rsidRPr="0088092F">
        <w:rPr>
          <w:lang w:val="en-CA"/>
        </w:rPr>
        <w:t>The</w:t>
      </w:r>
      <w:r w:rsidR="00300DBF">
        <w:rPr>
          <w:lang w:val="en-CA"/>
        </w:rPr>
        <w:t>re was an objection to</w:t>
      </w:r>
      <w:r w:rsidRPr="0088092F">
        <w:rPr>
          <w:lang w:val="en-CA"/>
        </w:rPr>
        <w:t xml:space="preserve"> filing the report</w:t>
      </w:r>
      <w:r w:rsidR="00461B74" w:rsidRPr="0088092F">
        <w:rPr>
          <w:lang w:val="en-CA"/>
        </w:rPr>
        <w:t xml:space="preserve">, </w:t>
      </w:r>
      <w:r w:rsidRPr="0088092F">
        <w:rPr>
          <w:lang w:val="en-CA"/>
        </w:rPr>
        <w:t xml:space="preserve">but the </w:t>
      </w:r>
      <w:r w:rsidR="00461B74" w:rsidRPr="0088092F">
        <w:rPr>
          <w:lang w:val="en-CA"/>
        </w:rPr>
        <w:t>judge aut</w:t>
      </w:r>
      <w:r w:rsidRPr="0088092F">
        <w:rPr>
          <w:lang w:val="en-CA"/>
        </w:rPr>
        <w:t>horized it because, in his view, the report [</w:t>
      </w:r>
      <w:r w:rsidRPr="0088092F">
        <w:rPr>
          <w:smallCaps/>
          <w:lang w:val="en-CA"/>
        </w:rPr>
        <w:t>translation</w:t>
      </w:r>
      <w:r w:rsidRPr="0088092F">
        <w:rPr>
          <w:lang w:val="en-CA"/>
        </w:rPr>
        <w:t>] “may have some limited relevance”, [</w:t>
      </w:r>
      <w:r w:rsidRPr="0088092F">
        <w:rPr>
          <w:smallCaps/>
          <w:lang w:val="en-CA"/>
        </w:rPr>
        <w:t>translation</w:t>
      </w:r>
      <w:r w:rsidRPr="0088092F">
        <w:rPr>
          <w:lang w:val="en-CA"/>
        </w:rPr>
        <w:t>] “rather limited”, but [</w:t>
      </w:r>
      <w:r w:rsidRPr="0088092F">
        <w:rPr>
          <w:smallCaps/>
          <w:lang w:val="en-CA"/>
        </w:rPr>
        <w:t>translation</w:t>
      </w:r>
      <w:r w:rsidRPr="0088092F">
        <w:rPr>
          <w:lang w:val="en-CA"/>
        </w:rPr>
        <w:t>] “it is not completely irrelevant”.</w:t>
      </w:r>
      <w:r w:rsidR="00461B74" w:rsidRPr="0088092F">
        <w:rPr>
          <w:rStyle w:val="Appelnotedebasdep"/>
          <w:lang w:val="en-CA"/>
        </w:rPr>
        <w:footnoteReference w:id="21"/>
      </w:r>
    </w:p>
    <w:p w14:paraId="05647300" w14:textId="235DFE3F" w:rsidR="00461B74" w:rsidRPr="0088092F" w:rsidRDefault="00D80421" w:rsidP="00461B74">
      <w:pPr>
        <w:pStyle w:val="Paragraphe"/>
        <w:spacing w:line="280" w:lineRule="exact"/>
        <w:rPr>
          <w:lang w:val="en-CA"/>
        </w:rPr>
      </w:pPr>
      <w:r w:rsidRPr="0088092F">
        <w:rPr>
          <w:lang w:val="en-CA"/>
        </w:rPr>
        <w:t xml:space="preserve">A reading of the report reveals that it appears to have been prepared for a disciplinary hearing, but the </w:t>
      </w:r>
      <w:r w:rsidR="00461B74" w:rsidRPr="0088092F">
        <w:rPr>
          <w:lang w:val="en-CA"/>
        </w:rPr>
        <w:t xml:space="preserve">record </w:t>
      </w:r>
      <w:r w:rsidRPr="0088092F">
        <w:rPr>
          <w:lang w:val="en-CA"/>
        </w:rPr>
        <w:t>does not</w:t>
      </w:r>
      <w:r w:rsidR="002C5213">
        <w:rPr>
          <w:lang w:val="en-CA"/>
        </w:rPr>
        <w:t xml:space="preserve"> allow this to be determined with any certainty</w:t>
      </w:r>
      <w:r w:rsidR="00461B74" w:rsidRPr="0088092F">
        <w:rPr>
          <w:lang w:val="en-CA"/>
        </w:rPr>
        <w:t>.</w:t>
      </w:r>
    </w:p>
    <w:p w14:paraId="799C7BE5" w14:textId="5127A38F" w:rsidR="00461B74" w:rsidRPr="0088092F" w:rsidRDefault="00B30D04" w:rsidP="00461B74">
      <w:pPr>
        <w:pStyle w:val="Paragraphe"/>
        <w:spacing w:line="280" w:lineRule="exact"/>
        <w:rPr>
          <w:lang w:val="en-CA"/>
        </w:rPr>
      </w:pPr>
      <w:r w:rsidRPr="0088092F">
        <w:rPr>
          <w:lang w:val="en-CA"/>
        </w:rPr>
        <w:t xml:space="preserve">It is essential </w:t>
      </w:r>
      <w:r w:rsidR="006A7923">
        <w:rPr>
          <w:lang w:val="en-CA"/>
        </w:rPr>
        <w:t xml:space="preserve">for </w:t>
      </w:r>
      <w:r w:rsidRPr="0088092F">
        <w:rPr>
          <w:lang w:val="en-CA"/>
        </w:rPr>
        <w:t xml:space="preserve">certain </w:t>
      </w:r>
      <w:r w:rsidR="00461B74" w:rsidRPr="0088092F">
        <w:rPr>
          <w:lang w:val="en-CA"/>
        </w:rPr>
        <w:t xml:space="preserve">passages </w:t>
      </w:r>
      <w:r w:rsidRPr="0088092F">
        <w:rPr>
          <w:lang w:val="en-CA"/>
        </w:rPr>
        <w:t xml:space="preserve">of the report </w:t>
      </w:r>
      <w:r w:rsidR="006A7923">
        <w:rPr>
          <w:lang w:val="en-CA"/>
        </w:rPr>
        <w:t xml:space="preserve">to </w:t>
      </w:r>
      <w:r w:rsidRPr="0088092F">
        <w:rPr>
          <w:lang w:val="en-CA"/>
        </w:rPr>
        <w:t xml:space="preserve">be reproduced, as the </w:t>
      </w:r>
      <w:r w:rsidR="00461B74" w:rsidRPr="0088092F">
        <w:rPr>
          <w:lang w:val="en-CA"/>
        </w:rPr>
        <w:t xml:space="preserve">conclusions </w:t>
      </w:r>
      <w:r w:rsidRPr="0088092F">
        <w:rPr>
          <w:lang w:val="en-CA"/>
        </w:rPr>
        <w:t xml:space="preserve">set out therein required the judge to </w:t>
      </w:r>
      <w:r w:rsidR="00461B74" w:rsidRPr="0088092F">
        <w:rPr>
          <w:lang w:val="en-CA"/>
        </w:rPr>
        <w:t>examin</w:t>
      </w:r>
      <w:r w:rsidRPr="0088092F">
        <w:rPr>
          <w:lang w:val="en-CA"/>
        </w:rPr>
        <w:t xml:space="preserve">e the </w:t>
      </w:r>
      <w:r w:rsidR="00461B74" w:rsidRPr="0088092F">
        <w:rPr>
          <w:lang w:val="en-CA"/>
        </w:rPr>
        <w:t>appellant</w:t>
      </w:r>
      <w:r w:rsidRPr="0088092F">
        <w:rPr>
          <w:lang w:val="en-CA"/>
        </w:rPr>
        <w:t xml:space="preserve">’s challenge in a holistic manner due to the </w:t>
      </w:r>
      <w:r w:rsidR="00461B74" w:rsidRPr="0088092F">
        <w:rPr>
          <w:lang w:val="en-CA"/>
        </w:rPr>
        <w:t>cons</w:t>
      </w:r>
      <w:r w:rsidRPr="0088092F">
        <w:rPr>
          <w:lang w:val="en-CA"/>
        </w:rPr>
        <w:t>e</w:t>
      </w:r>
      <w:r w:rsidR="00461B74" w:rsidRPr="0088092F">
        <w:rPr>
          <w:lang w:val="en-CA"/>
        </w:rPr>
        <w:t xml:space="preserve">quences </w:t>
      </w:r>
      <w:r w:rsidRPr="0088092F">
        <w:rPr>
          <w:lang w:val="en-CA"/>
        </w:rPr>
        <w:t xml:space="preserve">that the periods of solitary confinement had on his </w:t>
      </w:r>
      <w:r w:rsidR="00461B74" w:rsidRPr="0088092F">
        <w:rPr>
          <w:lang w:val="en-CA"/>
        </w:rPr>
        <w:t>mental</w:t>
      </w:r>
      <w:r w:rsidRPr="0088092F">
        <w:rPr>
          <w:lang w:val="en-CA"/>
        </w:rPr>
        <w:t xml:space="preserve"> h</w:t>
      </w:r>
      <w:r w:rsidR="00461B74" w:rsidRPr="0088092F">
        <w:rPr>
          <w:lang w:val="en-CA"/>
        </w:rPr>
        <w:t>ealth.</w:t>
      </w:r>
    </w:p>
    <w:p w14:paraId="034A098A" w14:textId="61E2E5B6" w:rsidR="00461B74" w:rsidRPr="0088092F" w:rsidRDefault="00B30D04" w:rsidP="00461B74">
      <w:pPr>
        <w:pStyle w:val="Paragraphe"/>
        <w:spacing w:line="280" w:lineRule="exact"/>
        <w:rPr>
          <w:lang w:val="en-CA"/>
        </w:rPr>
      </w:pPr>
      <w:r w:rsidRPr="0088092F">
        <w:rPr>
          <w:lang w:val="en-CA"/>
        </w:rPr>
        <w:t xml:space="preserve">The </w:t>
      </w:r>
      <w:r w:rsidR="00461B74" w:rsidRPr="0088092F">
        <w:rPr>
          <w:lang w:val="en-CA"/>
        </w:rPr>
        <w:t>psychologist</w:t>
      </w:r>
      <w:r w:rsidRPr="0088092F">
        <w:rPr>
          <w:lang w:val="en-CA"/>
        </w:rPr>
        <w:t xml:space="preserve"> prov</w:t>
      </w:r>
      <w:r w:rsidR="00714C5A" w:rsidRPr="0088092F">
        <w:rPr>
          <w:lang w:val="en-CA"/>
        </w:rPr>
        <w:t>i</w:t>
      </w:r>
      <w:r w:rsidR="0056746A" w:rsidRPr="0088092F">
        <w:rPr>
          <w:lang w:val="en-CA"/>
        </w:rPr>
        <w:t>de</w:t>
      </w:r>
      <w:r w:rsidR="003F3B68">
        <w:rPr>
          <w:lang w:val="en-CA"/>
        </w:rPr>
        <w:t>d</w:t>
      </w:r>
      <w:r w:rsidR="0056746A" w:rsidRPr="0088092F">
        <w:rPr>
          <w:lang w:val="en-CA"/>
        </w:rPr>
        <w:t xml:space="preserve"> </w:t>
      </w:r>
      <w:r w:rsidRPr="0088092F">
        <w:rPr>
          <w:lang w:val="en-CA"/>
        </w:rPr>
        <w:t>a review of the relevant literature</w:t>
      </w:r>
      <w:r w:rsidR="00461B74" w:rsidRPr="0088092F">
        <w:rPr>
          <w:lang w:val="en-CA"/>
        </w:rPr>
        <w:t xml:space="preserve">.  </w:t>
      </w:r>
    </w:p>
    <w:p w14:paraId="4A5CA4A9" w14:textId="2BC84052" w:rsidR="00461B74" w:rsidRPr="0088092F" w:rsidRDefault="00B30D04" w:rsidP="00461B74">
      <w:pPr>
        <w:pStyle w:val="Paragraphe"/>
        <w:spacing w:line="280" w:lineRule="exact"/>
        <w:rPr>
          <w:lang w:val="en-CA"/>
        </w:rPr>
      </w:pPr>
      <w:r w:rsidRPr="0088092F">
        <w:rPr>
          <w:lang w:val="en-CA"/>
        </w:rPr>
        <w:t>In particular, he refer</w:t>
      </w:r>
      <w:r w:rsidR="0056746A" w:rsidRPr="0088092F">
        <w:rPr>
          <w:lang w:val="en-CA"/>
        </w:rPr>
        <w:t>s</w:t>
      </w:r>
      <w:r w:rsidRPr="0088092F">
        <w:rPr>
          <w:lang w:val="en-CA"/>
        </w:rPr>
        <w:t xml:space="preserve"> to the </w:t>
      </w:r>
      <w:r w:rsidR="00FF773B" w:rsidRPr="0088092F">
        <w:rPr>
          <w:lang w:val="en-CA"/>
        </w:rPr>
        <w:t>Interim report of the Special Rapporteur of the Human Rights Council on torture and other cruel, inhuman or degrading treatment or punishment</w:t>
      </w:r>
      <w:r w:rsidR="00461B74" w:rsidRPr="0088092F">
        <w:rPr>
          <w:lang w:val="en-CA"/>
        </w:rPr>
        <w:t xml:space="preserve"> (</w:t>
      </w:r>
      <w:r w:rsidR="00FF773B" w:rsidRPr="0088092F">
        <w:rPr>
          <w:lang w:val="en-CA"/>
        </w:rPr>
        <w:t>the “</w:t>
      </w:r>
      <w:r w:rsidR="00461B74" w:rsidRPr="0088092F">
        <w:rPr>
          <w:lang w:val="en-CA"/>
        </w:rPr>
        <w:t>M</w:t>
      </w:r>
      <w:r w:rsidR="002C5213">
        <w:rPr>
          <w:lang w:val="en-CA"/>
        </w:rPr>
        <w:t>é</w:t>
      </w:r>
      <w:r w:rsidR="00461B74" w:rsidRPr="0088092F">
        <w:rPr>
          <w:lang w:val="en-CA"/>
        </w:rPr>
        <w:t>ndez</w:t>
      </w:r>
      <w:r w:rsidR="00FF773B" w:rsidRPr="0088092F">
        <w:rPr>
          <w:lang w:val="en-CA"/>
        </w:rPr>
        <w:t xml:space="preserve"> </w:t>
      </w:r>
      <w:r w:rsidR="0056746A" w:rsidRPr="0088092F">
        <w:rPr>
          <w:lang w:val="en-CA"/>
        </w:rPr>
        <w:t>R</w:t>
      </w:r>
      <w:r w:rsidR="00FF773B" w:rsidRPr="0088092F">
        <w:rPr>
          <w:lang w:val="en-CA"/>
        </w:rPr>
        <w:t>eport”</w:t>
      </w:r>
      <w:r w:rsidR="00461B74" w:rsidRPr="0088092F">
        <w:rPr>
          <w:lang w:val="en-CA"/>
        </w:rPr>
        <w:t>)</w:t>
      </w:r>
      <w:r w:rsidR="00FF773B" w:rsidRPr="0088092F">
        <w:rPr>
          <w:lang w:val="en-CA"/>
        </w:rPr>
        <w:t>,</w:t>
      </w:r>
      <w:r w:rsidR="00461B74" w:rsidRPr="0088092F">
        <w:rPr>
          <w:rStyle w:val="Appelnotedebasdep"/>
          <w:lang w:val="en-CA"/>
        </w:rPr>
        <w:footnoteReference w:id="22"/>
      </w:r>
      <w:r w:rsidR="00461B74" w:rsidRPr="0088092F">
        <w:rPr>
          <w:lang w:val="en-CA"/>
        </w:rPr>
        <w:t xml:space="preserve"> </w:t>
      </w:r>
      <w:r w:rsidR="0056746A" w:rsidRPr="0088092F">
        <w:rPr>
          <w:lang w:val="en-CA"/>
        </w:rPr>
        <w:t>an influential report</w:t>
      </w:r>
      <w:r w:rsidR="00461B74" w:rsidRPr="0088092F">
        <w:rPr>
          <w:rStyle w:val="Appelnotedebasdep"/>
          <w:lang w:val="en-CA"/>
        </w:rPr>
        <w:footnoteReference w:id="23"/>
      </w:r>
      <w:r w:rsidR="00461B74" w:rsidRPr="0088092F">
        <w:rPr>
          <w:lang w:val="en-CA"/>
        </w:rPr>
        <w:t xml:space="preserve"> </w:t>
      </w:r>
      <w:r w:rsidR="0056746A" w:rsidRPr="0088092F">
        <w:rPr>
          <w:lang w:val="en-CA"/>
        </w:rPr>
        <w:t>concerning the issue of whether prolonged solitary confinement in itself constitutes cruel, inhumane, or degrading treatment or punishment</w:t>
      </w:r>
      <w:r w:rsidR="00461B74" w:rsidRPr="0088092F">
        <w:rPr>
          <w:lang w:val="en-CA"/>
        </w:rPr>
        <w:t>.</w:t>
      </w:r>
    </w:p>
    <w:p w14:paraId="5F25C3B5" w14:textId="5393E494" w:rsidR="00461B74" w:rsidRPr="0088092F" w:rsidRDefault="0056746A" w:rsidP="00461B74">
      <w:pPr>
        <w:pStyle w:val="Paragraphe"/>
        <w:keepNext/>
        <w:spacing w:line="280" w:lineRule="exact"/>
        <w:rPr>
          <w:lang w:val="en-CA"/>
        </w:rPr>
      </w:pPr>
      <w:r w:rsidRPr="0088092F">
        <w:rPr>
          <w:lang w:val="en-CA"/>
        </w:rPr>
        <w:t xml:space="preserve">The </w:t>
      </w:r>
      <w:r w:rsidR="00461B74" w:rsidRPr="0088092F">
        <w:rPr>
          <w:lang w:val="en-CA"/>
        </w:rPr>
        <w:t xml:space="preserve">psychologist </w:t>
      </w:r>
      <w:r w:rsidRPr="0088092F">
        <w:rPr>
          <w:lang w:val="en-CA"/>
        </w:rPr>
        <w:t>refer</w:t>
      </w:r>
      <w:r w:rsidR="003F3B68">
        <w:rPr>
          <w:lang w:val="en-CA"/>
        </w:rPr>
        <w:t>red</w:t>
      </w:r>
      <w:r w:rsidRPr="0088092F">
        <w:rPr>
          <w:lang w:val="en-CA"/>
        </w:rPr>
        <w:t xml:space="preserve"> to the following </w:t>
      </w:r>
      <w:r w:rsidR="00461B74" w:rsidRPr="0088092F">
        <w:rPr>
          <w:lang w:val="en-CA"/>
        </w:rPr>
        <w:t>paragraph</w:t>
      </w:r>
      <w:r w:rsidRPr="0088092F">
        <w:rPr>
          <w:lang w:val="en-CA"/>
        </w:rPr>
        <w:t xml:space="preserve"> of the </w:t>
      </w:r>
      <w:r w:rsidR="00461B74" w:rsidRPr="0088092F">
        <w:rPr>
          <w:lang w:val="en-CA"/>
        </w:rPr>
        <w:t>M</w:t>
      </w:r>
      <w:r w:rsidR="002C5213">
        <w:rPr>
          <w:lang w:val="en-CA"/>
        </w:rPr>
        <w:t>é</w:t>
      </w:r>
      <w:r w:rsidR="00461B74" w:rsidRPr="0088092F">
        <w:rPr>
          <w:lang w:val="en-CA"/>
        </w:rPr>
        <w:t>ndez </w:t>
      </w:r>
      <w:r w:rsidRPr="0088092F">
        <w:rPr>
          <w:lang w:val="en-CA"/>
        </w:rPr>
        <w:t>Report</w:t>
      </w:r>
      <w:r w:rsidR="00461B74" w:rsidRPr="0088092F">
        <w:rPr>
          <w:lang w:val="en-CA"/>
        </w:rPr>
        <w:t xml:space="preserve">: </w:t>
      </w:r>
    </w:p>
    <w:p w14:paraId="46D1DF34" w14:textId="77777777" w:rsidR="00FF773B" w:rsidRPr="0088092F" w:rsidRDefault="00FF773B" w:rsidP="00461B74">
      <w:pPr>
        <w:pStyle w:val="Citationenretrait"/>
        <w:keepNext/>
        <w:rPr>
          <w:lang w:val="en-CA"/>
        </w:rPr>
      </w:pPr>
      <w:r w:rsidRPr="0088092F">
        <w:rPr>
          <w:lang w:val="en-CA"/>
        </w:rPr>
        <w:t xml:space="preserve">Negative health effects can occur after only a few days in solitary confinement, and the health risks rise with each additional day spent in such conditions. Experts who have examined the impact of solitary confinement have found three common elements that are inherently present in solitary confinement — </w:t>
      </w:r>
      <w:r w:rsidR="00801700" w:rsidRPr="0088092F">
        <w:rPr>
          <w:lang w:val="en-CA"/>
        </w:rPr>
        <w:t xml:space="preserve">social isolation, minimal environmental stimulation and “minimal opportunity for social interaction”. Research further shows that solitary confinement appears to cause “psychotic disturbances,” a syndrome that has been described as “prison psychoses”. </w:t>
      </w:r>
      <w:r w:rsidR="00801700" w:rsidRPr="0088092F">
        <w:rPr>
          <w:lang w:val="en-CA"/>
        </w:rPr>
        <w:lastRenderedPageBreak/>
        <w:t>Symptoms can include anxiety, depression, anger, cognitive disturbances, perceptual distortions, paranoia and psychosis and self-harm … .</w:t>
      </w:r>
    </w:p>
    <w:p w14:paraId="7C6CAFAB" w14:textId="1C970AC0" w:rsidR="00461B74" w:rsidRPr="0088092F" w:rsidRDefault="00D63D6C" w:rsidP="00461B74">
      <w:pPr>
        <w:pStyle w:val="Paragraphe"/>
        <w:spacing w:line="280" w:lineRule="exact"/>
        <w:rPr>
          <w:lang w:val="en-CA"/>
        </w:rPr>
      </w:pPr>
      <w:r w:rsidRPr="0088092F">
        <w:rPr>
          <w:lang w:val="en-CA"/>
        </w:rPr>
        <w:t xml:space="preserve">The author summarized the facts and then set out his understanding of the </w:t>
      </w:r>
      <w:r w:rsidR="00E77255" w:rsidRPr="0088092F">
        <w:rPr>
          <w:lang w:val="en-CA"/>
        </w:rPr>
        <w:t xml:space="preserve">appellant’s </w:t>
      </w:r>
      <w:r w:rsidR="000F37FB" w:rsidRPr="0088092F">
        <w:rPr>
          <w:rFonts w:cs="Arial"/>
          <w:color w:val="000000"/>
          <w:szCs w:val="22"/>
          <w:lang w:val="en-CA" w:eastAsia="fr-CA"/>
        </w:rPr>
        <w:t>segregation</w:t>
      </w:r>
      <w:r w:rsidR="00E77255" w:rsidRPr="0088092F">
        <w:rPr>
          <w:lang w:val="en-CA"/>
        </w:rPr>
        <w:t xml:space="preserve"> </w:t>
      </w:r>
      <w:r w:rsidR="00461B74" w:rsidRPr="0088092F">
        <w:rPr>
          <w:lang w:val="en-CA"/>
        </w:rPr>
        <w:t>conditions:</w:t>
      </w:r>
    </w:p>
    <w:p w14:paraId="59B15BD0" w14:textId="79D6F055" w:rsidR="00E77255" w:rsidRPr="0088092F" w:rsidRDefault="00E77255" w:rsidP="00461B74">
      <w:pPr>
        <w:pStyle w:val="Citationenretrait"/>
        <w:rPr>
          <w:lang w:val="en-CA"/>
        </w:rPr>
      </w:pPr>
      <w:r w:rsidRPr="0088092F">
        <w:rPr>
          <w:lang w:val="en-CA"/>
        </w:rPr>
        <w:t>[</w:t>
      </w:r>
      <w:r w:rsidRPr="0088092F">
        <w:rPr>
          <w:smallCaps/>
          <w:lang w:val="en-CA"/>
        </w:rPr>
        <w:t>translation</w:t>
      </w:r>
      <w:r w:rsidRPr="0088092F">
        <w:rPr>
          <w:lang w:val="en-CA"/>
        </w:rPr>
        <w:t>]</w:t>
      </w:r>
    </w:p>
    <w:p w14:paraId="709C34E5" w14:textId="58DDD933" w:rsidR="00461B74" w:rsidRPr="0088092F" w:rsidRDefault="00461B74" w:rsidP="00461B74">
      <w:pPr>
        <w:pStyle w:val="Citationenretrait"/>
        <w:rPr>
          <w:b/>
          <w:lang w:val="en-CA"/>
        </w:rPr>
      </w:pPr>
      <w:r w:rsidRPr="0088092F">
        <w:rPr>
          <w:b/>
          <w:lang w:val="en-CA"/>
        </w:rPr>
        <w:t>C</w:t>
      </w:r>
      <w:r w:rsidR="00306E6C" w:rsidRPr="0088092F">
        <w:rPr>
          <w:b/>
          <w:lang w:val="en-CA"/>
        </w:rPr>
        <w:t>linical understanding</w:t>
      </w:r>
      <w:r w:rsidRPr="0088092F">
        <w:rPr>
          <w:b/>
          <w:lang w:val="en-CA"/>
        </w:rPr>
        <w:t xml:space="preserve"> </w:t>
      </w:r>
    </w:p>
    <w:p w14:paraId="33A6261C" w14:textId="305010B0" w:rsidR="00461B74" w:rsidRPr="0088092F" w:rsidRDefault="00A3627C" w:rsidP="00461B74">
      <w:pPr>
        <w:pStyle w:val="Citationenretrait"/>
        <w:rPr>
          <w:lang w:val="en-CA"/>
        </w:rPr>
      </w:pPr>
      <w:r w:rsidRPr="0088092F">
        <w:rPr>
          <w:lang w:val="en-CA"/>
        </w:rPr>
        <w:t>Mr. Turbide</w:t>
      </w:r>
      <w:r w:rsidR="00D7311B">
        <w:rPr>
          <w:lang w:val="en-CA"/>
        </w:rPr>
        <w:t>-</w:t>
      </w:r>
      <w:r w:rsidRPr="0088092F">
        <w:rPr>
          <w:lang w:val="en-CA"/>
        </w:rPr>
        <w:t>Labbé has</w:t>
      </w:r>
      <w:r w:rsidR="00306E6C" w:rsidRPr="0088092F">
        <w:rPr>
          <w:lang w:val="en-CA"/>
        </w:rPr>
        <w:t xml:space="preserve"> been subject to prolonged administrative </w:t>
      </w:r>
      <w:r w:rsidR="000F37FB" w:rsidRPr="0088092F">
        <w:rPr>
          <w:rFonts w:cs="Arial"/>
          <w:color w:val="000000"/>
          <w:szCs w:val="22"/>
          <w:lang w:val="en-CA" w:eastAsia="fr-CA"/>
        </w:rPr>
        <w:t>segregation</w:t>
      </w:r>
      <w:r w:rsidR="00306E6C" w:rsidRPr="0088092F">
        <w:rPr>
          <w:lang w:val="en-CA"/>
        </w:rPr>
        <w:t xml:space="preserve"> (or </w:t>
      </w:r>
      <w:r w:rsidR="00885F32">
        <w:rPr>
          <w:lang w:val="en-CA"/>
        </w:rPr>
        <w:t>an</w:t>
      </w:r>
      <w:r w:rsidR="00306E6C" w:rsidRPr="0088092F">
        <w:rPr>
          <w:lang w:val="en-CA"/>
        </w:rPr>
        <w:t xml:space="preserve">other form of </w:t>
      </w:r>
      <w:r w:rsidR="000F37FB" w:rsidRPr="0088092F">
        <w:rPr>
          <w:rFonts w:cs="Arial"/>
          <w:color w:val="000000"/>
          <w:szCs w:val="22"/>
          <w:lang w:val="en-CA" w:eastAsia="fr-CA"/>
        </w:rPr>
        <w:t>segregation</w:t>
      </w:r>
      <w:r w:rsidR="00306E6C" w:rsidRPr="0088092F">
        <w:rPr>
          <w:lang w:val="en-CA"/>
        </w:rPr>
        <w:t xml:space="preserve">) for approximately </w:t>
      </w:r>
      <w:r w:rsidR="00461B74" w:rsidRPr="0088092F">
        <w:rPr>
          <w:lang w:val="en-CA"/>
        </w:rPr>
        <w:t xml:space="preserve">14 months </w:t>
      </w:r>
      <w:r w:rsidR="00306E6C" w:rsidRPr="0088092F">
        <w:rPr>
          <w:lang w:val="en-CA"/>
        </w:rPr>
        <w:t>in various correctional facilities in Quebec, incl</w:t>
      </w:r>
      <w:r w:rsidRPr="0088092F">
        <w:rPr>
          <w:lang w:val="en-CA"/>
        </w:rPr>
        <w:t>u</w:t>
      </w:r>
      <w:r w:rsidR="00306E6C" w:rsidRPr="0088092F">
        <w:rPr>
          <w:lang w:val="en-CA"/>
        </w:rPr>
        <w:t xml:space="preserve">ding the </w:t>
      </w:r>
      <w:r w:rsidR="00461B74" w:rsidRPr="0088092F">
        <w:rPr>
          <w:lang w:val="en-CA"/>
        </w:rPr>
        <w:t>Québec</w:t>
      </w:r>
      <w:r w:rsidR="00C54598">
        <w:rPr>
          <w:lang w:val="en-CA"/>
        </w:rPr>
        <w:t xml:space="preserve"> City</w:t>
      </w:r>
      <w:r w:rsidR="00306E6C" w:rsidRPr="0088092F">
        <w:rPr>
          <w:lang w:val="en-CA"/>
        </w:rPr>
        <w:t xml:space="preserve"> correctional facility</w:t>
      </w:r>
      <w:r w:rsidR="00461B74" w:rsidRPr="0088092F">
        <w:rPr>
          <w:lang w:val="en-CA"/>
        </w:rPr>
        <w:t>,</w:t>
      </w:r>
      <w:r w:rsidR="00306E6C" w:rsidRPr="0088092F">
        <w:rPr>
          <w:lang w:val="en-CA"/>
        </w:rPr>
        <w:t xml:space="preserve"> the </w:t>
      </w:r>
      <w:r w:rsidR="00461B74" w:rsidRPr="0088092F">
        <w:rPr>
          <w:lang w:val="en-CA"/>
        </w:rPr>
        <w:t xml:space="preserve">Saint-Jérôme </w:t>
      </w:r>
      <w:r w:rsidR="00306E6C" w:rsidRPr="0088092F">
        <w:rPr>
          <w:lang w:val="en-CA"/>
        </w:rPr>
        <w:t xml:space="preserve">correctional facility, and the </w:t>
      </w:r>
      <w:r w:rsidR="00461B74" w:rsidRPr="0088092F">
        <w:rPr>
          <w:lang w:val="en-CA"/>
        </w:rPr>
        <w:t>Rivière-des-Prairies</w:t>
      </w:r>
      <w:r w:rsidR="00306E6C" w:rsidRPr="0088092F">
        <w:rPr>
          <w:lang w:val="en-CA"/>
        </w:rPr>
        <w:t xml:space="preserve"> correctional facility</w:t>
      </w:r>
      <w:r w:rsidR="00461B74" w:rsidRPr="0088092F">
        <w:rPr>
          <w:lang w:val="en-CA"/>
        </w:rPr>
        <w:t>.</w:t>
      </w:r>
      <w:r w:rsidR="00306E6C" w:rsidRPr="0088092F">
        <w:rPr>
          <w:lang w:val="en-CA"/>
        </w:rPr>
        <w:t xml:space="preserve"> During this period of </w:t>
      </w:r>
      <w:r w:rsidR="000F37FB" w:rsidRPr="0088092F">
        <w:rPr>
          <w:rFonts w:cs="Arial"/>
          <w:color w:val="000000"/>
          <w:szCs w:val="22"/>
          <w:lang w:val="en-CA" w:eastAsia="fr-CA"/>
        </w:rPr>
        <w:t>segregation</w:t>
      </w:r>
      <w:r w:rsidR="00306E6C" w:rsidRPr="0088092F">
        <w:rPr>
          <w:lang w:val="en-CA"/>
        </w:rPr>
        <w:t>, he ha</w:t>
      </w:r>
      <w:r w:rsidR="00885F32">
        <w:rPr>
          <w:lang w:val="en-CA"/>
        </w:rPr>
        <w:t>s</w:t>
      </w:r>
      <w:r w:rsidR="00306E6C" w:rsidRPr="0088092F">
        <w:rPr>
          <w:lang w:val="en-CA"/>
        </w:rPr>
        <w:t xml:space="preserve"> been deprived of social contact and various </w:t>
      </w:r>
      <w:r w:rsidR="00461B74" w:rsidRPr="0088092F">
        <w:rPr>
          <w:lang w:val="en-CA"/>
        </w:rPr>
        <w:t>stimulation</w:t>
      </w:r>
      <w:r w:rsidR="00306E6C" w:rsidRPr="0088092F">
        <w:rPr>
          <w:lang w:val="en-CA"/>
        </w:rPr>
        <w:t xml:space="preserve"> such as </w:t>
      </w:r>
      <w:r w:rsidR="007244D0">
        <w:rPr>
          <w:lang w:val="en-CA"/>
        </w:rPr>
        <w:t>natural</w:t>
      </w:r>
      <w:r w:rsidR="00306E6C" w:rsidRPr="0088092F">
        <w:rPr>
          <w:lang w:val="en-CA"/>
        </w:rPr>
        <w:t xml:space="preserve"> light. In his cell, he is exposed to continuous artific</w:t>
      </w:r>
      <w:r w:rsidRPr="0088092F">
        <w:rPr>
          <w:lang w:val="en-CA"/>
        </w:rPr>
        <w:t>i</w:t>
      </w:r>
      <w:r w:rsidR="00306E6C" w:rsidRPr="0088092F">
        <w:rPr>
          <w:lang w:val="en-CA"/>
        </w:rPr>
        <w:t>al light for a certain period</w:t>
      </w:r>
      <w:r w:rsidR="00461B74" w:rsidRPr="0088092F">
        <w:rPr>
          <w:lang w:val="en-CA"/>
        </w:rPr>
        <w:t xml:space="preserve">. </w:t>
      </w:r>
      <w:r w:rsidR="000044E6" w:rsidRPr="0088092F">
        <w:rPr>
          <w:lang w:val="en-CA"/>
        </w:rPr>
        <w:t xml:space="preserve">He is subject to restrictive security measures </w:t>
      </w:r>
      <w:r w:rsidR="00461B74" w:rsidRPr="0088092F">
        <w:rPr>
          <w:lang w:val="en-CA"/>
        </w:rPr>
        <w:t xml:space="preserve">(S5) </w:t>
      </w:r>
      <w:r w:rsidR="000044E6" w:rsidRPr="0088092F">
        <w:rPr>
          <w:lang w:val="en-CA"/>
        </w:rPr>
        <w:t>when he goes to take a shower twice a week. There were cold periods during which he did not have access to a mattress or blanket. He is forced to spend 23 of 24 h</w:t>
      </w:r>
      <w:r w:rsidR="00B316A7" w:rsidRPr="0088092F">
        <w:rPr>
          <w:lang w:val="en-CA"/>
        </w:rPr>
        <w:t>ours a day in his cell because the authorities want to protect him from other inmates</w:t>
      </w:r>
      <w:r w:rsidR="00461B74" w:rsidRPr="0088092F">
        <w:rPr>
          <w:lang w:val="en-CA"/>
        </w:rPr>
        <w:t>.</w:t>
      </w:r>
    </w:p>
    <w:p w14:paraId="0810CFD3" w14:textId="58C39454" w:rsidR="00461B74" w:rsidRPr="0088092F" w:rsidRDefault="00461B74" w:rsidP="00461B74">
      <w:pPr>
        <w:pStyle w:val="Citationenretrait"/>
        <w:rPr>
          <w:lang w:val="en-CA"/>
        </w:rPr>
      </w:pPr>
      <w:r w:rsidRPr="0088092F">
        <w:rPr>
          <w:lang w:val="en-CA"/>
        </w:rPr>
        <w:t>…</w:t>
      </w:r>
    </w:p>
    <w:p w14:paraId="0801885B" w14:textId="175821CA" w:rsidR="00461B74" w:rsidRPr="0088092F" w:rsidRDefault="00A3627C" w:rsidP="00461B74">
      <w:pPr>
        <w:pStyle w:val="Citationenretrait"/>
        <w:rPr>
          <w:lang w:val="en-CA"/>
        </w:rPr>
      </w:pPr>
      <w:r w:rsidRPr="0088092F">
        <w:rPr>
          <w:lang w:val="en-CA"/>
        </w:rPr>
        <w:t>Mr. Turbide</w:t>
      </w:r>
      <w:r w:rsidR="00D7311B">
        <w:rPr>
          <w:lang w:val="en-CA"/>
        </w:rPr>
        <w:t>-</w:t>
      </w:r>
      <w:r w:rsidRPr="0088092F">
        <w:rPr>
          <w:lang w:val="en-CA"/>
        </w:rPr>
        <w:t xml:space="preserve">Labbé displayed </w:t>
      </w:r>
      <w:r w:rsidR="00461B74" w:rsidRPr="0088092F">
        <w:rPr>
          <w:lang w:val="en-CA"/>
        </w:rPr>
        <w:t>cogniti</w:t>
      </w:r>
      <w:r w:rsidRPr="0088092F">
        <w:rPr>
          <w:lang w:val="en-CA"/>
        </w:rPr>
        <w:t xml:space="preserve">ve difficulties during the period of </w:t>
      </w:r>
      <w:r w:rsidR="000F37FB" w:rsidRPr="0088092F">
        <w:rPr>
          <w:rFonts w:cs="Arial"/>
          <w:color w:val="000000"/>
          <w:szCs w:val="22"/>
          <w:lang w:val="en-CA" w:eastAsia="fr-CA"/>
        </w:rPr>
        <w:t>segregation</w:t>
      </w:r>
      <w:r w:rsidRPr="0088092F">
        <w:rPr>
          <w:lang w:val="en-CA"/>
        </w:rPr>
        <w:t xml:space="preserve">, </w:t>
      </w:r>
      <w:r w:rsidR="00D7311B" w:rsidRPr="0088092F">
        <w:rPr>
          <w:lang w:val="en-CA"/>
        </w:rPr>
        <w:t>manifested</w:t>
      </w:r>
      <w:r w:rsidRPr="0088092F">
        <w:rPr>
          <w:lang w:val="en-CA"/>
        </w:rPr>
        <w:t xml:space="preserve"> by difficulty concentrating, memory problems, </w:t>
      </w:r>
      <w:r w:rsidR="00AC52DA" w:rsidRPr="0088092F">
        <w:rPr>
          <w:lang w:val="en-CA"/>
        </w:rPr>
        <w:t>a sometimes confused thought process, and temporal disorientation</w:t>
      </w:r>
      <w:r w:rsidR="00461B74" w:rsidRPr="0088092F">
        <w:rPr>
          <w:lang w:val="en-CA"/>
        </w:rPr>
        <w:t>.</w:t>
      </w:r>
    </w:p>
    <w:p w14:paraId="3DD8AF19" w14:textId="0CB1DAEC" w:rsidR="00461B74" w:rsidRPr="0088092F" w:rsidRDefault="00B923F8" w:rsidP="00461B74">
      <w:pPr>
        <w:pStyle w:val="Citationenretrait"/>
        <w:rPr>
          <w:lang w:val="en-CA"/>
        </w:rPr>
      </w:pPr>
      <w:r w:rsidRPr="0088092F">
        <w:rPr>
          <w:lang w:val="en-CA"/>
        </w:rPr>
        <w:t xml:space="preserve">He suffers from </w:t>
      </w:r>
      <w:r w:rsidR="00D7311B" w:rsidRPr="0088092F">
        <w:rPr>
          <w:lang w:val="en-CA"/>
        </w:rPr>
        <w:t>distortions</w:t>
      </w:r>
      <w:r w:rsidR="00461B74" w:rsidRPr="0088092F">
        <w:rPr>
          <w:lang w:val="en-CA"/>
        </w:rPr>
        <w:t xml:space="preserve"> </w:t>
      </w:r>
      <w:r w:rsidRPr="0088092F">
        <w:rPr>
          <w:lang w:val="en-CA"/>
        </w:rPr>
        <w:t xml:space="preserve">in </w:t>
      </w:r>
      <w:r w:rsidR="00461B74" w:rsidRPr="0088092F">
        <w:rPr>
          <w:lang w:val="en-CA"/>
        </w:rPr>
        <w:t>percepti</w:t>
      </w:r>
      <w:r w:rsidRPr="0088092F">
        <w:rPr>
          <w:lang w:val="en-CA"/>
        </w:rPr>
        <w:t xml:space="preserve">on, </w:t>
      </w:r>
      <w:r w:rsidR="00461B74" w:rsidRPr="0088092F">
        <w:rPr>
          <w:lang w:val="en-CA"/>
        </w:rPr>
        <w:t>manifest</w:t>
      </w:r>
      <w:r w:rsidRPr="0088092F">
        <w:rPr>
          <w:lang w:val="en-CA"/>
        </w:rPr>
        <w:t xml:space="preserve">ed by disorientation in time and </w:t>
      </w:r>
      <w:r w:rsidR="00D7311B" w:rsidRPr="0088092F">
        <w:rPr>
          <w:lang w:val="en-CA"/>
        </w:rPr>
        <w:t>space</w:t>
      </w:r>
      <w:r w:rsidRPr="0088092F">
        <w:rPr>
          <w:lang w:val="en-CA"/>
        </w:rPr>
        <w:t xml:space="preserve">, depersonalization or </w:t>
      </w:r>
      <w:r w:rsidR="00A57431" w:rsidRPr="0088092F">
        <w:rPr>
          <w:lang w:val="en-CA"/>
        </w:rPr>
        <w:t>derealization</w:t>
      </w:r>
      <w:r w:rsidR="00461B74" w:rsidRPr="0088092F">
        <w:rPr>
          <w:lang w:val="en-CA"/>
        </w:rPr>
        <w:t xml:space="preserve">, </w:t>
      </w:r>
      <w:r w:rsidR="00A57431" w:rsidRPr="0088092F">
        <w:rPr>
          <w:lang w:val="en-CA"/>
        </w:rPr>
        <w:t xml:space="preserve">and visual and auditory </w:t>
      </w:r>
      <w:r w:rsidR="00461B74" w:rsidRPr="0088092F">
        <w:rPr>
          <w:lang w:val="en-CA"/>
        </w:rPr>
        <w:t>hallucinations.</w:t>
      </w:r>
    </w:p>
    <w:p w14:paraId="3CC23A15" w14:textId="625AD01C" w:rsidR="00461B74" w:rsidRPr="0088092F" w:rsidRDefault="00A57431" w:rsidP="00461B74">
      <w:pPr>
        <w:pStyle w:val="Citationenretrait"/>
        <w:rPr>
          <w:lang w:val="en-CA"/>
        </w:rPr>
      </w:pPr>
      <w:r w:rsidRPr="0088092F">
        <w:rPr>
          <w:lang w:val="en-CA"/>
        </w:rPr>
        <w:t xml:space="preserve">During the </w:t>
      </w:r>
      <w:r w:rsidR="000F37FB" w:rsidRPr="0088092F">
        <w:rPr>
          <w:rFonts w:cs="Arial"/>
          <w:color w:val="000000"/>
          <w:szCs w:val="22"/>
          <w:lang w:val="en-CA" w:eastAsia="fr-CA"/>
        </w:rPr>
        <w:t>segregation</w:t>
      </w:r>
      <w:r w:rsidRPr="0088092F">
        <w:rPr>
          <w:lang w:val="en-CA"/>
        </w:rPr>
        <w:t xml:space="preserve"> period, Mr. Turbide</w:t>
      </w:r>
      <w:r w:rsidR="009B7667">
        <w:rPr>
          <w:lang w:val="en-CA"/>
        </w:rPr>
        <w:t>-</w:t>
      </w:r>
      <w:r w:rsidRPr="0088092F">
        <w:rPr>
          <w:lang w:val="en-CA"/>
        </w:rPr>
        <w:t>Labbé experience</w:t>
      </w:r>
      <w:r w:rsidR="000F37FB" w:rsidRPr="0088092F">
        <w:rPr>
          <w:lang w:val="en-CA"/>
        </w:rPr>
        <w:t>d</w:t>
      </w:r>
      <w:r w:rsidRPr="0088092F">
        <w:rPr>
          <w:lang w:val="en-CA"/>
        </w:rPr>
        <w:t xml:space="preserve"> e</w:t>
      </w:r>
      <w:r w:rsidR="00461B74" w:rsidRPr="0088092F">
        <w:rPr>
          <w:lang w:val="en-CA"/>
        </w:rPr>
        <w:t xml:space="preserve">pisodes </w:t>
      </w:r>
      <w:r w:rsidRPr="0088092F">
        <w:rPr>
          <w:lang w:val="en-CA"/>
        </w:rPr>
        <w:t xml:space="preserve">of </w:t>
      </w:r>
      <w:r w:rsidR="00461B74" w:rsidRPr="0088092F">
        <w:rPr>
          <w:lang w:val="en-CA"/>
        </w:rPr>
        <w:t>parano</w:t>
      </w:r>
      <w:r w:rsidRPr="0088092F">
        <w:rPr>
          <w:lang w:val="en-CA"/>
        </w:rPr>
        <w:t>i</w:t>
      </w:r>
      <w:r w:rsidR="00461B74" w:rsidRPr="0088092F">
        <w:rPr>
          <w:lang w:val="en-CA"/>
        </w:rPr>
        <w:t xml:space="preserve">a </w:t>
      </w:r>
      <w:r w:rsidRPr="0088092F">
        <w:rPr>
          <w:lang w:val="en-CA"/>
        </w:rPr>
        <w:t xml:space="preserve">and </w:t>
      </w:r>
      <w:r w:rsidR="00461B74" w:rsidRPr="0088092F">
        <w:rPr>
          <w:lang w:val="en-CA"/>
        </w:rPr>
        <w:t>psychos</w:t>
      </w:r>
      <w:r w:rsidRPr="0088092F">
        <w:rPr>
          <w:lang w:val="en-CA"/>
        </w:rPr>
        <w:t>is, manifested by recurring, persistent thoughts</w:t>
      </w:r>
      <w:r w:rsidR="00461B74" w:rsidRPr="0088092F">
        <w:rPr>
          <w:lang w:val="en-CA"/>
        </w:rPr>
        <w:t xml:space="preserve"> (rumination)</w:t>
      </w:r>
      <w:r w:rsidR="008C6BBF" w:rsidRPr="0088092F">
        <w:rPr>
          <w:lang w:val="en-CA"/>
        </w:rPr>
        <w:t>, often of a violent and vengeful nature directed at the correctional staff</w:t>
      </w:r>
      <w:r w:rsidR="00461B74" w:rsidRPr="0088092F">
        <w:rPr>
          <w:lang w:val="en-CA"/>
        </w:rPr>
        <w:t>)</w:t>
      </w:r>
      <w:r w:rsidR="008C6BBF" w:rsidRPr="0088092F">
        <w:rPr>
          <w:lang w:val="en-CA"/>
        </w:rPr>
        <w:t>,</w:t>
      </w:r>
      <w:r w:rsidR="00461B74" w:rsidRPr="0088092F">
        <w:rPr>
          <w:lang w:val="en-CA"/>
        </w:rPr>
        <w:t xml:space="preserve"> </w:t>
      </w:r>
      <w:r w:rsidR="008C6BBF" w:rsidRPr="0088092F">
        <w:rPr>
          <w:lang w:val="en-CA"/>
        </w:rPr>
        <w:t>and paranoid thoughts</w:t>
      </w:r>
      <w:r w:rsidR="00461B74" w:rsidRPr="0088092F">
        <w:rPr>
          <w:lang w:val="en-CA"/>
        </w:rPr>
        <w:t>.</w:t>
      </w:r>
    </w:p>
    <w:p w14:paraId="023B15F8" w14:textId="66A69332" w:rsidR="00461B74" w:rsidRPr="0088092F" w:rsidRDefault="00850B5E" w:rsidP="00461B74">
      <w:pPr>
        <w:pStyle w:val="Citationenretrait"/>
        <w:rPr>
          <w:lang w:val="en-CA"/>
        </w:rPr>
      </w:pPr>
      <w:r w:rsidRPr="0088092F">
        <w:rPr>
          <w:lang w:val="en-CA"/>
        </w:rPr>
        <w:t xml:space="preserve">We note that the scientific literature clearly describes the forms that psychological distress caused by confinement may take, particularly in the event of prolonged </w:t>
      </w:r>
      <w:r w:rsidR="000F37FB" w:rsidRPr="0088092F">
        <w:rPr>
          <w:rFonts w:cs="Arial"/>
          <w:color w:val="000000"/>
          <w:szCs w:val="22"/>
          <w:lang w:val="en-CA" w:eastAsia="fr-CA"/>
        </w:rPr>
        <w:t>segregation</w:t>
      </w:r>
      <w:r w:rsidR="00461B74" w:rsidRPr="0088092F">
        <w:rPr>
          <w:lang w:val="en-CA"/>
        </w:rPr>
        <w:t>.</w:t>
      </w:r>
    </w:p>
    <w:p w14:paraId="2FC67282" w14:textId="54E2EC0B" w:rsidR="00461B74" w:rsidRPr="0088092F" w:rsidRDefault="00D205F8" w:rsidP="00461B74">
      <w:pPr>
        <w:pStyle w:val="Citationenretrait"/>
        <w:rPr>
          <w:lang w:val="en-CA"/>
        </w:rPr>
      </w:pPr>
      <w:r w:rsidRPr="0088092F">
        <w:rPr>
          <w:lang w:val="en-CA"/>
        </w:rPr>
        <w:t xml:space="preserve">The behavioural manifestations of </w:t>
      </w:r>
      <w:r w:rsidR="00461B74" w:rsidRPr="0088092F">
        <w:rPr>
          <w:lang w:val="en-CA"/>
        </w:rPr>
        <w:t>psychological</w:t>
      </w:r>
      <w:r w:rsidRPr="0088092F">
        <w:rPr>
          <w:lang w:val="en-CA"/>
        </w:rPr>
        <w:t xml:space="preserve"> distress displayed by Mr. Turbide</w:t>
      </w:r>
      <w:r w:rsidR="009B7667">
        <w:rPr>
          <w:lang w:val="en-CA"/>
        </w:rPr>
        <w:t>-</w:t>
      </w:r>
      <w:r w:rsidRPr="0088092F">
        <w:rPr>
          <w:lang w:val="en-CA"/>
        </w:rPr>
        <w:t>Labbé during</w:t>
      </w:r>
      <w:r w:rsidR="00461B74" w:rsidRPr="0088092F">
        <w:rPr>
          <w:lang w:val="en-CA"/>
        </w:rPr>
        <w:t xml:space="preserve"> </w:t>
      </w:r>
      <w:r w:rsidRPr="0088092F">
        <w:rPr>
          <w:lang w:val="en-CA"/>
        </w:rPr>
        <w:t xml:space="preserve">the period of </w:t>
      </w:r>
      <w:r w:rsidR="000F37FB" w:rsidRPr="0088092F">
        <w:rPr>
          <w:rFonts w:cs="Arial"/>
          <w:color w:val="000000"/>
          <w:szCs w:val="22"/>
          <w:lang w:val="en-CA" w:eastAsia="fr-CA"/>
        </w:rPr>
        <w:t>segregation</w:t>
      </w:r>
      <w:r w:rsidRPr="0088092F">
        <w:rPr>
          <w:lang w:val="en-CA"/>
        </w:rPr>
        <w:t xml:space="preserve"> strongly resemble the behavioural manifestations of psychological distress</w:t>
      </w:r>
      <w:r w:rsidR="00461B74" w:rsidRPr="0088092F">
        <w:rPr>
          <w:lang w:val="en-CA"/>
        </w:rPr>
        <w:t xml:space="preserve"> </w:t>
      </w:r>
      <w:r w:rsidRPr="0088092F">
        <w:rPr>
          <w:lang w:val="en-CA"/>
        </w:rPr>
        <w:t xml:space="preserve">identified in the scientific literature concerning the impact of </w:t>
      </w:r>
      <w:r w:rsidR="000F37FB" w:rsidRPr="0088092F">
        <w:rPr>
          <w:rFonts w:cs="Arial"/>
          <w:color w:val="000000"/>
          <w:szCs w:val="22"/>
          <w:lang w:val="en-CA" w:eastAsia="fr-CA"/>
        </w:rPr>
        <w:t>segregation</w:t>
      </w:r>
      <w:r w:rsidRPr="0088092F">
        <w:rPr>
          <w:lang w:val="en-CA"/>
        </w:rPr>
        <w:t xml:space="preserve"> on inmates</w:t>
      </w:r>
      <w:r w:rsidR="00461B74" w:rsidRPr="0088092F">
        <w:rPr>
          <w:lang w:val="en-CA"/>
        </w:rPr>
        <w:t>.</w:t>
      </w:r>
    </w:p>
    <w:p w14:paraId="6B23AD88" w14:textId="0BB05B13" w:rsidR="00461B74" w:rsidRPr="0088092F" w:rsidRDefault="00964B36" w:rsidP="00461B74">
      <w:pPr>
        <w:pStyle w:val="Citationenretrait"/>
        <w:rPr>
          <w:lang w:val="en-CA"/>
        </w:rPr>
      </w:pPr>
      <w:r w:rsidRPr="0088092F">
        <w:rPr>
          <w:lang w:val="en-CA"/>
        </w:rPr>
        <w:lastRenderedPageBreak/>
        <w:t xml:space="preserve">It can be </w:t>
      </w:r>
      <w:r w:rsidR="00461B74" w:rsidRPr="0088092F">
        <w:rPr>
          <w:lang w:val="en-CA"/>
        </w:rPr>
        <w:t>conclu</w:t>
      </w:r>
      <w:r w:rsidRPr="0088092F">
        <w:rPr>
          <w:lang w:val="en-CA"/>
        </w:rPr>
        <w:t xml:space="preserve">ded that </w:t>
      </w:r>
      <w:r w:rsidR="000F37FB" w:rsidRPr="0088092F">
        <w:rPr>
          <w:rFonts w:cs="Arial"/>
          <w:color w:val="000000"/>
          <w:szCs w:val="22"/>
          <w:lang w:val="en-CA" w:eastAsia="fr-CA"/>
        </w:rPr>
        <w:t>segregation</w:t>
      </w:r>
      <w:r w:rsidRPr="0088092F">
        <w:rPr>
          <w:lang w:val="en-CA"/>
        </w:rPr>
        <w:t xml:space="preserve"> is the factor that triggers Mr. Turbide</w:t>
      </w:r>
      <w:r w:rsidR="009B7667">
        <w:rPr>
          <w:lang w:val="en-CA"/>
        </w:rPr>
        <w:t>-</w:t>
      </w:r>
      <w:r w:rsidRPr="0088092F">
        <w:rPr>
          <w:lang w:val="en-CA"/>
        </w:rPr>
        <w:t xml:space="preserve">Labbé’s behavioural manifestations of psychological distress when he is placed in </w:t>
      </w:r>
      <w:r w:rsidR="000F37FB" w:rsidRPr="0088092F">
        <w:rPr>
          <w:rFonts w:cs="Arial"/>
          <w:color w:val="000000"/>
          <w:szCs w:val="22"/>
          <w:lang w:val="en-CA" w:eastAsia="fr-CA"/>
        </w:rPr>
        <w:t>segregation</w:t>
      </w:r>
      <w:r w:rsidR="00461B74" w:rsidRPr="0088092F">
        <w:rPr>
          <w:lang w:val="en-CA"/>
        </w:rPr>
        <w:t>.</w:t>
      </w:r>
    </w:p>
    <w:p w14:paraId="52C5361D" w14:textId="0110BEFA" w:rsidR="00461B74" w:rsidRPr="0088092F" w:rsidRDefault="00BD062E" w:rsidP="00461B74">
      <w:pPr>
        <w:pStyle w:val="Citationenretrait"/>
        <w:rPr>
          <w:lang w:val="en-CA"/>
        </w:rPr>
      </w:pPr>
      <w:r w:rsidRPr="0088092F">
        <w:rPr>
          <w:lang w:val="en-CA"/>
        </w:rPr>
        <w:t xml:space="preserve">It can be concluded that the administrative </w:t>
      </w:r>
      <w:r w:rsidR="00461B74" w:rsidRPr="0088092F">
        <w:rPr>
          <w:lang w:val="en-CA"/>
        </w:rPr>
        <w:t xml:space="preserve">protection </w:t>
      </w:r>
      <w:r w:rsidRPr="0088092F">
        <w:rPr>
          <w:lang w:val="en-CA"/>
        </w:rPr>
        <w:t>measure imposed on Mr.</w:t>
      </w:r>
      <w:r w:rsidR="004710C5" w:rsidRPr="0088092F">
        <w:rPr>
          <w:lang w:val="en-CA"/>
        </w:rPr>
        <w:t> </w:t>
      </w:r>
      <w:r w:rsidRPr="0088092F">
        <w:rPr>
          <w:lang w:val="en-CA"/>
        </w:rPr>
        <w:t>Turbide</w:t>
      </w:r>
      <w:r w:rsidR="009B7667">
        <w:rPr>
          <w:lang w:val="en-CA"/>
        </w:rPr>
        <w:t>-</w:t>
      </w:r>
      <w:r w:rsidRPr="0088092F">
        <w:rPr>
          <w:lang w:val="en-CA"/>
        </w:rPr>
        <w:t xml:space="preserve">Labbé by the persons in charge of the correctional facility is directly responsible for his behavioural manifestations of psychological distress when he is placed in </w:t>
      </w:r>
      <w:r w:rsidR="000F37FB" w:rsidRPr="0088092F">
        <w:rPr>
          <w:rFonts w:cs="Arial"/>
          <w:color w:val="000000"/>
          <w:szCs w:val="22"/>
          <w:lang w:val="en-CA" w:eastAsia="fr-CA"/>
        </w:rPr>
        <w:t>segregation</w:t>
      </w:r>
      <w:r w:rsidR="00461B74" w:rsidRPr="0088092F">
        <w:rPr>
          <w:lang w:val="en-CA"/>
        </w:rPr>
        <w:t>.</w:t>
      </w:r>
    </w:p>
    <w:p w14:paraId="72B9CC2D" w14:textId="01D013A3" w:rsidR="00461B74" w:rsidRPr="0088092F" w:rsidRDefault="000C772A" w:rsidP="00461B74">
      <w:pPr>
        <w:pStyle w:val="Paragraphe"/>
        <w:spacing w:line="280" w:lineRule="exact"/>
        <w:rPr>
          <w:lang w:val="en-CA"/>
        </w:rPr>
      </w:pPr>
      <w:r w:rsidRPr="0088092F">
        <w:rPr>
          <w:lang w:val="en-CA"/>
        </w:rPr>
        <w:t xml:space="preserve">The author stated his </w:t>
      </w:r>
      <w:r w:rsidR="00461B74" w:rsidRPr="0088092F">
        <w:rPr>
          <w:lang w:val="en-CA"/>
        </w:rPr>
        <w:t xml:space="preserve">conclusion </w:t>
      </w:r>
      <w:r w:rsidRPr="0088092F">
        <w:rPr>
          <w:lang w:val="en-CA"/>
        </w:rPr>
        <w:t>and recommendations as follows</w:t>
      </w:r>
      <w:r w:rsidR="00461B74" w:rsidRPr="0088092F">
        <w:rPr>
          <w:lang w:val="en-CA"/>
        </w:rPr>
        <w:t>:</w:t>
      </w:r>
    </w:p>
    <w:p w14:paraId="3D9AFEDB" w14:textId="664E7ED6" w:rsidR="000C772A" w:rsidRPr="0088092F" w:rsidRDefault="000C772A" w:rsidP="00461B74">
      <w:pPr>
        <w:pStyle w:val="Citationenretrait"/>
        <w:rPr>
          <w:lang w:val="en-CA"/>
        </w:rPr>
      </w:pPr>
      <w:r w:rsidRPr="0088092F">
        <w:rPr>
          <w:lang w:val="en-CA"/>
        </w:rPr>
        <w:t>[</w:t>
      </w:r>
      <w:r w:rsidRPr="0088092F">
        <w:rPr>
          <w:smallCaps/>
          <w:lang w:val="en-CA"/>
        </w:rPr>
        <w:t>translation</w:t>
      </w:r>
      <w:r w:rsidRPr="0088092F">
        <w:rPr>
          <w:lang w:val="en-CA"/>
        </w:rPr>
        <w:t>]</w:t>
      </w:r>
    </w:p>
    <w:p w14:paraId="5CDACBCA" w14:textId="65BA7803" w:rsidR="00461B74" w:rsidRPr="0088092F" w:rsidRDefault="00461B74" w:rsidP="00461B74">
      <w:pPr>
        <w:pStyle w:val="Citationenretrait"/>
        <w:rPr>
          <w:b/>
          <w:lang w:val="en-CA"/>
        </w:rPr>
      </w:pPr>
      <w:r w:rsidRPr="0088092F">
        <w:rPr>
          <w:b/>
          <w:lang w:val="en-CA"/>
        </w:rPr>
        <w:t xml:space="preserve">Conclusion </w:t>
      </w:r>
    </w:p>
    <w:p w14:paraId="50C8DE85" w14:textId="5B59F34A" w:rsidR="00461B74" w:rsidRPr="0088092F" w:rsidRDefault="004710C5" w:rsidP="00461B74">
      <w:pPr>
        <w:pStyle w:val="Citationenretrait"/>
        <w:rPr>
          <w:lang w:val="en-CA"/>
        </w:rPr>
      </w:pPr>
      <w:r w:rsidRPr="0088092F">
        <w:rPr>
          <w:lang w:val="en-CA"/>
        </w:rPr>
        <w:t xml:space="preserve">Before us is a </w:t>
      </w:r>
      <w:r w:rsidR="00461B74" w:rsidRPr="0088092F">
        <w:rPr>
          <w:lang w:val="en-CA"/>
        </w:rPr>
        <w:t>person</w:t>
      </w:r>
      <w:r w:rsidRPr="0088092F">
        <w:rPr>
          <w:lang w:val="en-CA"/>
        </w:rPr>
        <w:t xml:space="preserve"> experiencing the </w:t>
      </w:r>
      <w:r w:rsidR="00461B74" w:rsidRPr="0088092F">
        <w:rPr>
          <w:lang w:val="en-CA"/>
        </w:rPr>
        <w:t>psychological</w:t>
      </w:r>
      <w:r w:rsidRPr="0088092F">
        <w:rPr>
          <w:lang w:val="en-CA"/>
        </w:rPr>
        <w:t xml:space="preserve"> consequences of</w:t>
      </w:r>
      <w:r w:rsidR="003A341B">
        <w:rPr>
          <w:lang w:val="en-CA"/>
        </w:rPr>
        <w:t xml:space="preserve"> being</w:t>
      </w:r>
      <w:r w:rsidRPr="0088092F">
        <w:rPr>
          <w:lang w:val="en-CA"/>
        </w:rPr>
        <w:t xml:space="preserve"> expos</w:t>
      </w:r>
      <w:r w:rsidR="003A341B">
        <w:rPr>
          <w:lang w:val="en-CA"/>
        </w:rPr>
        <w:t>ed</w:t>
      </w:r>
      <w:r w:rsidRPr="0088092F">
        <w:rPr>
          <w:lang w:val="en-CA"/>
        </w:rPr>
        <w:t xml:space="preserve"> to </w:t>
      </w:r>
      <w:r w:rsidR="000F37FB" w:rsidRPr="0088092F">
        <w:rPr>
          <w:rFonts w:cs="Arial"/>
          <w:color w:val="000000"/>
          <w:szCs w:val="22"/>
          <w:lang w:val="en-CA" w:eastAsia="fr-CA"/>
        </w:rPr>
        <w:t>segregation</w:t>
      </w:r>
      <w:r w:rsidRPr="0088092F">
        <w:rPr>
          <w:lang w:val="en-CA"/>
        </w:rPr>
        <w:t xml:space="preserve"> for over a year. The scientific literature clearly describes the </w:t>
      </w:r>
      <w:r w:rsidR="00461B74" w:rsidRPr="0088092F">
        <w:rPr>
          <w:lang w:val="en-CA"/>
        </w:rPr>
        <w:t>cons</w:t>
      </w:r>
      <w:r w:rsidRPr="0088092F">
        <w:rPr>
          <w:lang w:val="en-CA"/>
        </w:rPr>
        <w:t>e</w:t>
      </w:r>
      <w:r w:rsidR="00461B74" w:rsidRPr="0088092F">
        <w:rPr>
          <w:lang w:val="en-CA"/>
        </w:rPr>
        <w:t xml:space="preserve">quences </w:t>
      </w:r>
      <w:r w:rsidRPr="0088092F">
        <w:rPr>
          <w:lang w:val="en-CA"/>
        </w:rPr>
        <w:t xml:space="preserve">of </w:t>
      </w:r>
      <w:r w:rsidR="003A341B">
        <w:rPr>
          <w:lang w:val="en-CA"/>
        </w:rPr>
        <w:t xml:space="preserve">being </w:t>
      </w:r>
      <w:r w:rsidRPr="0088092F">
        <w:rPr>
          <w:lang w:val="en-CA"/>
        </w:rPr>
        <w:t>expos</w:t>
      </w:r>
      <w:r w:rsidR="003A341B">
        <w:rPr>
          <w:lang w:val="en-CA"/>
        </w:rPr>
        <w:t>ed</w:t>
      </w:r>
      <w:r w:rsidRPr="0088092F">
        <w:rPr>
          <w:lang w:val="en-CA"/>
        </w:rPr>
        <w:t xml:space="preserve"> to </w:t>
      </w:r>
      <w:r w:rsidR="000F37FB" w:rsidRPr="0088092F">
        <w:rPr>
          <w:rFonts w:cs="Arial"/>
          <w:color w:val="000000"/>
          <w:szCs w:val="22"/>
          <w:lang w:val="en-CA" w:eastAsia="fr-CA"/>
        </w:rPr>
        <w:t>segregation</w:t>
      </w:r>
      <w:r w:rsidR="00461B74" w:rsidRPr="0088092F">
        <w:rPr>
          <w:lang w:val="en-CA"/>
        </w:rPr>
        <w:t>.</w:t>
      </w:r>
    </w:p>
    <w:p w14:paraId="450D81DD" w14:textId="1AF6E5FB" w:rsidR="00461B74" w:rsidRPr="0088092F" w:rsidRDefault="004710C5" w:rsidP="00461B74">
      <w:pPr>
        <w:pStyle w:val="Citationenretrait"/>
        <w:rPr>
          <w:lang w:val="en-CA"/>
        </w:rPr>
      </w:pPr>
      <w:r w:rsidRPr="0088092F">
        <w:rPr>
          <w:lang w:val="en-CA"/>
        </w:rPr>
        <w:t>We conclude that the Mr. Turbide</w:t>
      </w:r>
      <w:r w:rsidR="009B7667">
        <w:rPr>
          <w:lang w:val="en-CA"/>
        </w:rPr>
        <w:t>-</w:t>
      </w:r>
      <w:r w:rsidRPr="0088092F">
        <w:rPr>
          <w:lang w:val="en-CA"/>
        </w:rPr>
        <w:t xml:space="preserve">Labbé’s </w:t>
      </w:r>
      <w:r w:rsidR="00461B74" w:rsidRPr="0088092F">
        <w:rPr>
          <w:lang w:val="en-CA"/>
        </w:rPr>
        <w:t xml:space="preserve">expression </w:t>
      </w:r>
      <w:r w:rsidRPr="0088092F">
        <w:rPr>
          <w:lang w:val="en-CA"/>
        </w:rPr>
        <w:t xml:space="preserve">of </w:t>
      </w:r>
      <w:r w:rsidR="00461B74" w:rsidRPr="0088092F">
        <w:rPr>
          <w:lang w:val="en-CA"/>
        </w:rPr>
        <w:t>psychological</w:t>
      </w:r>
      <w:r w:rsidRPr="0088092F">
        <w:rPr>
          <w:lang w:val="en-CA"/>
        </w:rPr>
        <w:t xml:space="preserve"> distress during the period of </w:t>
      </w:r>
      <w:r w:rsidR="000F37FB" w:rsidRPr="0088092F">
        <w:rPr>
          <w:rFonts w:cs="Arial"/>
          <w:color w:val="000000"/>
          <w:szCs w:val="22"/>
          <w:lang w:val="en-CA" w:eastAsia="fr-CA"/>
        </w:rPr>
        <w:t>segregation</w:t>
      </w:r>
      <w:r w:rsidRPr="0088092F">
        <w:rPr>
          <w:lang w:val="en-CA"/>
        </w:rPr>
        <w:t xml:space="preserve"> is one of the various </w:t>
      </w:r>
      <w:r w:rsidR="00461B74" w:rsidRPr="0088092F">
        <w:rPr>
          <w:lang w:val="en-CA"/>
        </w:rPr>
        <w:t>expressions</w:t>
      </w:r>
      <w:r w:rsidRPr="0088092F">
        <w:rPr>
          <w:lang w:val="en-CA"/>
        </w:rPr>
        <w:t xml:space="preserve"> of </w:t>
      </w:r>
      <w:r w:rsidR="00461B74" w:rsidRPr="0088092F">
        <w:rPr>
          <w:lang w:val="en-CA"/>
        </w:rPr>
        <w:t>psychological</w:t>
      </w:r>
      <w:r w:rsidRPr="0088092F">
        <w:rPr>
          <w:lang w:val="en-CA"/>
        </w:rPr>
        <w:t xml:space="preserve"> distress described in the scientific literature concerning the</w:t>
      </w:r>
      <w:r w:rsidR="00B142B0" w:rsidRPr="0088092F">
        <w:rPr>
          <w:lang w:val="en-CA"/>
        </w:rPr>
        <w:t xml:space="preserve"> psychological</w:t>
      </w:r>
      <w:r w:rsidRPr="0088092F">
        <w:rPr>
          <w:lang w:val="en-CA"/>
        </w:rPr>
        <w:t xml:space="preserve"> impact </w:t>
      </w:r>
      <w:r w:rsidR="00B142B0" w:rsidRPr="0088092F">
        <w:rPr>
          <w:lang w:val="en-CA"/>
        </w:rPr>
        <w:t xml:space="preserve">of being placed in </w:t>
      </w:r>
      <w:r w:rsidR="003A341B">
        <w:rPr>
          <w:lang w:val="en-CA"/>
        </w:rPr>
        <w:t>segregation</w:t>
      </w:r>
      <w:r w:rsidR="00461B74" w:rsidRPr="0088092F">
        <w:rPr>
          <w:lang w:val="en-CA"/>
        </w:rPr>
        <w:t>.</w:t>
      </w:r>
    </w:p>
    <w:p w14:paraId="323BC431" w14:textId="3248F552" w:rsidR="00461B74" w:rsidRPr="0088092F" w:rsidRDefault="00461B74" w:rsidP="00461B74">
      <w:pPr>
        <w:pStyle w:val="Citationenretrait"/>
        <w:rPr>
          <w:lang w:val="en-CA"/>
        </w:rPr>
      </w:pPr>
      <w:r w:rsidRPr="0088092F">
        <w:rPr>
          <w:lang w:val="en-CA"/>
        </w:rPr>
        <w:t>Final</w:t>
      </w:r>
      <w:r w:rsidR="00941C4C" w:rsidRPr="0088092F">
        <w:rPr>
          <w:lang w:val="en-CA"/>
        </w:rPr>
        <w:t xml:space="preserve">ly, we conclude that the </w:t>
      </w:r>
      <w:r w:rsidRPr="0088092F">
        <w:rPr>
          <w:lang w:val="en-CA"/>
        </w:rPr>
        <w:t xml:space="preserve">administrative </w:t>
      </w:r>
      <w:r w:rsidR="00941C4C" w:rsidRPr="0088092F">
        <w:rPr>
          <w:lang w:val="en-CA"/>
        </w:rPr>
        <w:t xml:space="preserve">protection measure </w:t>
      </w:r>
      <w:r w:rsidRPr="0088092F">
        <w:rPr>
          <w:lang w:val="en-CA"/>
        </w:rPr>
        <w:t>impos</w:t>
      </w:r>
      <w:r w:rsidR="00941C4C" w:rsidRPr="0088092F">
        <w:rPr>
          <w:lang w:val="en-CA"/>
        </w:rPr>
        <w:t>ed on Mr. Turbide</w:t>
      </w:r>
      <w:r w:rsidR="009B7667">
        <w:rPr>
          <w:lang w:val="en-CA"/>
        </w:rPr>
        <w:t>-</w:t>
      </w:r>
      <w:r w:rsidR="00941C4C" w:rsidRPr="0088092F">
        <w:rPr>
          <w:lang w:val="en-CA"/>
        </w:rPr>
        <w:t xml:space="preserve">Labbé by the persons in charge of the correctional facility is </w:t>
      </w:r>
      <w:r w:rsidR="007F3105" w:rsidRPr="0088092F">
        <w:rPr>
          <w:lang w:val="en-CA"/>
        </w:rPr>
        <w:t>directly responsible for Mr. Turbide</w:t>
      </w:r>
      <w:r w:rsidR="009B7667">
        <w:rPr>
          <w:lang w:val="en-CA"/>
        </w:rPr>
        <w:t>-</w:t>
      </w:r>
      <w:r w:rsidR="007F3105" w:rsidRPr="0088092F">
        <w:rPr>
          <w:lang w:val="en-CA"/>
        </w:rPr>
        <w:t xml:space="preserve">Labbé’s behavioural manifestations of psychological distress when he is placed in </w:t>
      </w:r>
      <w:r w:rsidR="000F37FB" w:rsidRPr="0088092F">
        <w:rPr>
          <w:rFonts w:cs="Arial"/>
          <w:color w:val="000000"/>
          <w:szCs w:val="22"/>
          <w:lang w:val="en-CA" w:eastAsia="fr-CA"/>
        </w:rPr>
        <w:t>segregation</w:t>
      </w:r>
      <w:r w:rsidRPr="0088092F">
        <w:rPr>
          <w:lang w:val="en-CA"/>
        </w:rPr>
        <w:t>.</w:t>
      </w:r>
    </w:p>
    <w:p w14:paraId="39E25B86" w14:textId="1DFFF9A1" w:rsidR="00461B74" w:rsidRPr="0088092F" w:rsidRDefault="00391F28" w:rsidP="00461B74">
      <w:pPr>
        <w:pStyle w:val="Citationenretrait"/>
        <w:rPr>
          <w:lang w:val="en-CA"/>
        </w:rPr>
      </w:pPr>
      <w:r w:rsidRPr="0088092F">
        <w:rPr>
          <w:lang w:val="en-CA"/>
        </w:rPr>
        <w:t>Accordingly, Mr. Turbide</w:t>
      </w:r>
      <w:r w:rsidR="009B7667">
        <w:rPr>
          <w:lang w:val="en-CA"/>
        </w:rPr>
        <w:t>-</w:t>
      </w:r>
      <w:r w:rsidRPr="0088092F">
        <w:rPr>
          <w:lang w:val="en-CA"/>
        </w:rPr>
        <w:t xml:space="preserve">Labbé could not have had the </w:t>
      </w:r>
      <w:r w:rsidR="00461B74" w:rsidRPr="0088092F">
        <w:rPr>
          <w:lang w:val="en-CA"/>
        </w:rPr>
        <w:t xml:space="preserve">intention </w:t>
      </w:r>
      <w:r w:rsidRPr="0088092F">
        <w:rPr>
          <w:lang w:val="en-CA"/>
        </w:rPr>
        <w:t xml:space="preserve">to </w:t>
      </w:r>
      <w:r w:rsidR="00461B74" w:rsidRPr="0088092F">
        <w:rPr>
          <w:lang w:val="en-CA"/>
        </w:rPr>
        <w:t>intimid</w:t>
      </w:r>
      <w:r w:rsidRPr="0088092F">
        <w:rPr>
          <w:lang w:val="en-CA"/>
        </w:rPr>
        <w:t>at</w:t>
      </w:r>
      <w:r w:rsidR="00461B74" w:rsidRPr="0088092F">
        <w:rPr>
          <w:lang w:val="en-CA"/>
        </w:rPr>
        <w:t>e</w:t>
      </w:r>
      <w:r w:rsidRPr="0088092F">
        <w:rPr>
          <w:lang w:val="en-CA"/>
        </w:rPr>
        <w:t xml:space="preserve"> or threate</w:t>
      </w:r>
      <w:r w:rsidR="00D92DBA">
        <w:rPr>
          <w:lang w:val="en-CA"/>
        </w:rPr>
        <w:t>n</w:t>
      </w:r>
      <w:r w:rsidRPr="0088092F">
        <w:rPr>
          <w:lang w:val="en-CA"/>
        </w:rPr>
        <w:t xml:space="preserve"> the team leader of the Québec correctional facility during the period from </w:t>
      </w:r>
      <w:r w:rsidR="00461B74" w:rsidRPr="0088092F">
        <w:rPr>
          <w:lang w:val="en-CA"/>
        </w:rPr>
        <w:t xml:space="preserve">2020-03-30 </w:t>
      </w:r>
      <w:r w:rsidRPr="0088092F">
        <w:rPr>
          <w:lang w:val="en-CA"/>
        </w:rPr>
        <w:t>to</w:t>
      </w:r>
      <w:r w:rsidR="00461B74" w:rsidRPr="0088092F">
        <w:rPr>
          <w:lang w:val="en-CA"/>
        </w:rPr>
        <w:t xml:space="preserve"> 2020-06-02 </w:t>
      </w:r>
      <w:r w:rsidRPr="0088092F">
        <w:rPr>
          <w:lang w:val="en-CA"/>
        </w:rPr>
        <w:t xml:space="preserve">or anyone else during the period of </w:t>
      </w:r>
      <w:r w:rsidR="000F37FB" w:rsidRPr="0088092F">
        <w:rPr>
          <w:rFonts w:cs="Arial"/>
          <w:color w:val="000000"/>
          <w:szCs w:val="22"/>
          <w:lang w:val="en-CA" w:eastAsia="fr-CA"/>
        </w:rPr>
        <w:t>segregation</w:t>
      </w:r>
      <w:r w:rsidR="00461B74" w:rsidRPr="0088092F">
        <w:rPr>
          <w:lang w:val="en-CA"/>
        </w:rPr>
        <w:t>.</w:t>
      </w:r>
    </w:p>
    <w:p w14:paraId="3BDE07B6" w14:textId="77777777" w:rsidR="00461B74" w:rsidRPr="0088092F" w:rsidRDefault="001F6648" w:rsidP="00461B74">
      <w:pPr>
        <w:pStyle w:val="Citationenretrait"/>
        <w:rPr>
          <w:b/>
          <w:lang w:val="en-CA"/>
        </w:rPr>
      </w:pPr>
      <w:r w:rsidRPr="0088092F">
        <w:rPr>
          <w:b/>
          <w:lang w:val="en-CA"/>
        </w:rPr>
        <w:t>Recommendations</w:t>
      </w:r>
    </w:p>
    <w:p w14:paraId="4FDA9766" w14:textId="51534B5E" w:rsidR="00461B74" w:rsidRPr="0088092F" w:rsidRDefault="003446B6" w:rsidP="00461B74">
      <w:pPr>
        <w:pStyle w:val="Citationenretrait"/>
        <w:rPr>
          <w:lang w:val="en-CA"/>
        </w:rPr>
      </w:pPr>
      <w:r w:rsidRPr="0088092F">
        <w:rPr>
          <w:lang w:val="en-CA"/>
        </w:rPr>
        <w:t xml:space="preserve">We strongly recommend that those in charge of the correctional facility and the correctional staff receive training on the impact of </w:t>
      </w:r>
      <w:r w:rsidR="000F37FB" w:rsidRPr="0088092F">
        <w:rPr>
          <w:rFonts w:cs="Arial"/>
          <w:color w:val="000000"/>
          <w:szCs w:val="22"/>
          <w:lang w:val="en-CA" w:eastAsia="fr-CA"/>
        </w:rPr>
        <w:t>segregation</w:t>
      </w:r>
      <w:r w:rsidRPr="0088092F">
        <w:rPr>
          <w:lang w:val="en-CA"/>
        </w:rPr>
        <w:t xml:space="preserve"> on the person </w:t>
      </w:r>
      <w:r w:rsidR="000F37FB" w:rsidRPr="0088092F">
        <w:rPr>
          <w:lang w:val="en-CA"/>
        </w:rPr>
        <w:t>segregat</w:t>
      </w:r>
      <w:r w:rsidRPr="0088092F">
        <w:rPr>
          <w:lang w:val="en-CA"/>
        </w:rPr>
        <w:t>ed</w:t>
      </w:r>
      <w:r w:rsidR="00461B74" w:rsidRPr="0088092F">
        <w:rPr>
          <w:lang w:val="en-CA"/>
        </w:rPr>
        <w:t>.</w:t>
      </w:r>
    </w:p>
    <w:p w14:paraId="0FEF0C6F" w14:textId="73FA1AB1" w:rsidR="00461B74" w:rsidRPr="0088092F" w:rsidRDefault="003446B6" w:rsidP="00461B74">
      <w:pPr>
        <w:pStyle w:val="Citationenretrait"/>
        <w:rPr>
          <w:lang w:val="en-CA"/>
        </w:rPr>
      </w:pPr>
      <w:r w:rsidRPr="0088092F">
        <w:rPr>
          <w:lang w:val="en-CA"/>
        </w:rPr>
        <w:t xml:space="preserve">We strongly recommend ceasing all </w:t>
      </w:r>
      <w:r w:rsidR="00461B74" w:rsidRPr="0088092F">
        <w:rPr>
          <w:lang w:val="en-CA"/>
        </w:rPr>
        <w:t>administrative</w:t>
      </w:r>
      <w:r w:rsidRPr="0088092F">
        <w:rPr>
          <w:lang w:val="en-CA"/>
        </w:rPr>
        <w:t xml:space="preserve"> protection measures imposed for the purpose of protecting an inmate because they entail d</w:t>
      </w:r>
      <w:r w:rsidR="00E46A83" w:rsidRPr="0088092F">
        <w:rPr>
          <w:lang w:val="en-CA"/>
        </w:rPr>
        <w:t>e</w:t>
      </w:r>
      <w:r w:rsidRPr="0088092F">
        <w:rPr>
          <w:lang w:val="en-CA"/>
        </w:rPr>
        <w:t>leterious</w:t>
      </w:r>
      <w:r w:rsidR="00E46A83" w:rsidRPr="0088092F">
        <w:rPr>
          <w:lang w:val="en-CA"/>
        </w:rPr>
        <w:t xml:space="preserve"> short and long</w:t>
      </w:r>
      <w:r w:rsidR="00D92DBA">
        <w:rPr>
          <w:lang w:val="en-CA"/>
        </w:rPr>
        <w:t>-</w:t>
      </w:r>
      <w:r w:rsidR="00E46A83" w:rsidRPr="0088092F">
        <w:rPr>
          <w:lang w:val="en-CA"/>
        </w:rPr>
        <w:t xml:space="preserve">term consequences on an individual’s </w:t>
      </w:r>
      <w:r w:rsidR="00461B74" w:rsidRPr="0088092F">
        <w:rPr>
          <w:lang w:val="en-CA"/>
        </w:rPr>
        <w:t>mental</w:t>
      </w:r>
      <w:r w:rsidR="00E46A83" w:rsidRPr="0088092F">
        <w:rPr>
          <w:lang w:val="en-CA"/>
        </w:rPr>
        <w:t xml:space="preserve"> </w:t>
      </w:r>
      <w:r w:rsidR="00461B74" w:rsidRPr="0088092F">
        <w:rPr>
          <w:lang w:val="en-CA"/>
        </w:rPr>
        <w:t>health</w:t>
      </w:r>
      <w:r w:rsidR="00E46A83" w:rsidRPr="0088092F">
        <w:rPr>
          <w:lang w:val="en-CA"/>
        </w:rPr>
        <w:t xml:space="preserve"> that are well identified in the scientific literature</w:t>
      </w:r>
      <w:r w:rsidR="00461B74" w:rsidRPr="0088092F">
        <w:rPr>
          <w:lang w:val="en-CA"/>
        </w:rPr>
        <w:t>.</w:t>
      </w:r>
    </w:p>
    <w:p w14:paraId="60BCB2C6" w14:textId="27B90BE4" w:rsidR="00461B74" w:rsidRPr="0088092F" w:rsidRDefault="003B5FB9" w:rsidP="00461B74">
      <w:pPr>
        <w:pStyle w:val="Citationenretrait"/>
        <w:rPr>
          <w:lang w:val="en-CA"/>
        </w:rPr>
      </w:pPr>
      <w:r w:rsidRPr="0088092F">
        <w:rPr>
          <w:lang w:val="en-CA"/>
        </w:rPr>
        <w:lastRenderedPageBreak/>
        <w:t xml:space="preserve">We recommend that those in charge of the correctional facility find other administrative protection </w:t>
      </w:r>
      <w:r w:rsidR="00461B74" w:rsidRPr="0088092F">
        <w:rPr>
          <w:lang w:val="en-CA"/>
        </w:rPr>
        <w:t>me</w:t>
      </w:r>
      <w:r w:rsidRPr="0088092F">
        <w:rPr>
          <w:lang w:val="en-CA"/>
        </w:rPr>
        <w:t>a</w:t>
      </w:r>
      <w:r w:rsidR="00461B74" w:rsidRPr="0088092F">
        <w:rPr>
          <w:lang w:val="en-CA"/>
        </w:rPr>
        <w:t>sure</w:t>
      </w:r>
      <w:r w:rsidRPr="0088092F">
        <w:rPr>
          <w:lang w:val="en-CA"/>
        </w:rPr>
        <w:t xml:space="preserve">s that do not entail deleterious </w:t>
      </w:r>
      <w:r w:rsidR="00461B74" w:rsidRPr="0088092F">
        <w:rPr>
          <w:lang w:val="en-CA"/>
        </w:rPr>
        <w:t>cons</w:t>
      </w:r>
      <w:r w:rsidRPr="0088092F">
        <w:rPr>
          <w:lang w:val="en-CA"/>
        </w:rPr>
        <w:t>e</w:t>
      </w:r>
      <w:r w:rsidR="00461B74" w:rsidRPr="0088092F">
        <w:rPr>
          <w:lang w:val="en-CA"/>
        </w:rPr>
        <w:t xml:space="preserve">quences </w:t>
      </w:r>
      <w:r w:rsidRPr="0088092F">
        <w:rPr>
          <w:lang w:val="en-CA"/>
        </w:rPr>
        <w:t xml:space="preserve">on the </w:t>
      </w:r>
      <w:r w:rsidR="00461B74" w:rsidRPr="0088092F">
        <w:rPr>
          <w:lang w:val="en-CA"/>
        </w:rPr>
        <w:t>mental</w:t>
      </w:r>
      <w:r w:rsidRPr="0088092F">
        <w:rPr>
          <w:lang w:val="en-CA"/>
        </w:rPr>
        <w:t xml:space="preserve"> </w:t>
      </w:r>
      <w:r w:rsidR="00461B74" w:rsidRPr="0088092F">
        <w:rPr>
          <w:lang w:val="en-CA"/>
        </w:rPr>
        <w:t>health</w:t>
      </w:r>
      <w:r w:rsidRPr="0088092F">
        <w:rPr>
          <w:lang w:val="en-CA"/>
        </w:rPr>
        <w:t xml:space="preserve"> of the individuals whom they claim they want to protect</w:t>
      </w:r>
      <w:r w:rsidR="00461B74" w:rsidRPr="0088092F">
        <w:rPr>
          <w:lang w:val="en-CA"/>
        </w:rPr>
        <w:t>.</w:t>
      </w:r>
    </w:p>
    <w:p w14:paraId="42233577" w14:textId="4FC4D902" w:rsidR="00461B74" w:rsidRPr="0088092F" w:rsidRDefault="00AB59DE" w:rsidP="00461B74">
      <w:pPr>
        <w:pStyle w:val="Citationenretrait"/>
        <w:rPr>
          <w:lang w:val="en-CA"/>
        </w:rPr>
      </w:pPr>
      <w:r w:rsidRPr="0088092F">
        <w:rPr>
          <w:lang w:val="en-CA"/>
        </w:rPr>
        <w:t>We recommend that a psychiatric assessment of Mr. Turbide</w:t>
      </w:r>
      <w:r w:rsidR="009B7667">
        <w:rPr>
          <w:lang w:val="en-CA"/>
        </w:rPr>
        <w:t>-</w:t>
      </w:r>
      <w:r w:rsidRPr="0088092F">
        <w:rPr>
          <w:lang w:val="en-CA"/>
        </w:rPr>
        <w:t xml:space="preserve">Labbé be conducted to determine the </w:t>
      </w:r>
      <w:r w:rsidR="00461B74" w:rsidRPr="0088092F">
        <w:rPr>
          <w:lang w:val="en-CA"/>
        </w:rPr>
        <w:t>psychological</w:t>
      </w:r>
      <w:r w:rsidRPr="0088092F">
        <w:rPr>
          <w:lang w:val="en-CA"/>
        </w:rPr>
        <w:t xml:space="preserve"> consequences of having been placed in prolonged </w:t>
      </w:r>
      <w:r w:rsidR="000F37FB" w:rsidRPr="0088092F">
        <w:rPr>
          <w:rFonts w:cs="Arial"/>
          <w:color w:val="000000"/>
          <w:szCs w:val="22"/>
          <w:lang w:val="en-CA" w:eastAsia="fr-CA"/>
        </w:rPr>
        <w:t>segregation</w:t>
      </w:r>
      <w:r w:rsidR="00461B74" w:rsidRPr="0088092F">
        <w:rPr>
          <w:lang w:val="en-CA"/>
        </w:rPr>
        <w:t>.</w:t>
      </w:r>
    </w:p>
    <w:p w14:paraId="5BC6E068" w14:textId="74F9DF2C" w:rsidR="00461B74" w:rsidRPr="0088092F" w:rsidRDefault="006E388A" w:rsidP="00461B74">
      <w:pPr>
        <w:pStyle w:val="Citationenretrait"/>
        <w:rPr>
          <w:lang w:val="en-CA"/>
        </w:rPr>
      </w:pPr>
      <w:r w:rsidRPr="0088092F">
        <w:rPr>
          <w:lang w:val="en-CA"/>
        </w:rPr>
        <w:t xml:space="preserve">We certify that the content of this report, which represents our clinical </w:t>
      </w:r>
      <w:r w:rsidR="00461B74" w:rsidRPr="0088092F">
        <w:rPr>
          <w:lang w:val="en-CA"/>
        </w:rPr>
        <w:t xml:space="preserve">opinion </w:t>
      </w:r>
      <w:r w:rsidRPr="0088092F">
        <w:rPr>
          <w:lang w:val="en-CA"/>
        </w:rPr>
        <w:t>supported by scienti</w:t>
      </w:r>
      <w:r w:rsidR="000F37FB" w:rsidRPr="0088092F">
        <w:rPr>
          <w:lang w:val="en-CA"/>
        </w:rPr>
        <w:t>fi</w:t>
      </w:r>
      <w:r w:rsidRPr="0088092F">
        <w:rPr>
          <w:lang w:val="en-CA"/>
        </w:rPr>
        <w:t>c literature, has not been influenced by a third party</w:t>
      </w:r>
      <w:r w:rsidR="00461B74" w:rsidRPr="0088092F">
        <w:rPr>
          <w:lang w:val="en-CA"/>
        </w:rPr>
        <w:t>.</w:t>
      </w:r>
    </w:p>
    <w:p w14:paraId="779BEF3D" w14:textId="77777777" w:rsidR="00461B74" w:rsidRPr="0088092F" w:rsidRDefault="00461B74" w:rsidP="00461B74">
      <w:pPr>
        <w:pStyle w:val="Paragraphe"/>
        <w:numPr>
          <w:ilvl w:val="0"/>
          <w:numId w:val="0"/>
        </w:numPr>
        <w:spacing w:line="280" w:lineRule="exact"/>
        <w:jc w:val="center"/>
        <w:rPr>
          <w:rFonts w:ascii="System" w:hAnsi="System" w:cs="System"/>
          <w:sz w:val="19"/>
          <w:szCs w:val="19"/>
          <w:lang w:val="en-CA"/>
        </w:rPr>
      </w:pPr>
      <w:r w:rsidRPr="0088092F">
        <w:rPr>
          <w:lang w:val="en-CA"/>
        </w:rPr>
        <w:t>***</w:t>
      </w:r>
    </w:p>
    <w:p w14:paraId="3435E1DC" w14:textId="7A8B293A" w:rsidR="00461B74" w:rsidRPr="0088092F" w:rsidRDefault="00461B74" w:rsidP="00461B74">
      <w:pPr>
        <w:pStyle w:val="Titre1"/>
        <w:spacing w:line="280" w:lineRule="exact"/>
        <w:rPr>
          <w:lang w:val="en-CA"/>
        </w:rPr>
      </w:pPr>
      <w:bookmarkStart w:id="24" w:name="_Toc85547014"/>
      <w:r w:rsidRPr="0088092F">
        <w:rPr>
          <w:lang w:val="en-CA"/>
        </w:rPr>
        <w:t>V -</w:t>
      </w:r>
      <w:r w:rsidRPr="0088092F">
        <w:rPr>
          <w:lang w:val="en-CA"/>
        </w:rPr>
        <w:tab/>
      </w:r>
      <w:bookmarkEnd w:id="24"/>
      <w:r w:rsidR="00595501" w:rsidRPr="0088092F">
        <w:rPr>
          <w:lang w:val="en-CA"/>
        </w:rPr>
        <w:t xml:space="preserve">TRIAL </w:t>
      </w:r>
      <w:r w:rsidR="001F6648" w:rsidRPr="0088092F">
        <w:rPr>
          <w:lang w:val="en-CA"/>
        </w:rPr>
        <w:t>JUDGMENT</w:t>
      </w:r>
    </w:p>
    <w:p w14:paraId="12268194" w14:textId="1C751E6A" w:rsidR="00461B74" w:rsidRPr="0088092F" w:rsidRDefault="009D7004" w:rsidP="00461B74">
      <w:pPr>
        <w:pStyle w:val="Paragraphe"/>
        <w:keepNext/>
        <w:spacing w:line="280" w:lineRule="exact"/>
        <w:rPr>
          <w:lang w:val="en-CA"/>
        </w:rPr>
      </w:pPr>
      <w:r w:rsidRPr="0088092F">
        <w:rPr>
          <w:lang w:val="en-CA"/>
        </w:rPr>
        <w:t>At the outset, the judge summarized the facts</w:t>
      </w:r>
      <w:r w:rsidR="00461B74" w:rsidRPr="0088092F">
        <w:rPr>
          <w:lang w:val="en-CA"/>
        </w:rPr>
        <w:t>:</w:t>
      </w:r>
    </w:p>
    <w:p w14:paraId="703F576D" w14:textId="77E3D35F" w:rsidR="009D1F2F" w:rsidRPr="0088092F" w:rsidRDefault="009D1F2F" w:rsidP="00461B74">
      <w:pPr>
        <w:pStyle w:val="Citationenretrait"/>
        <w:rPr>
          <w:lang w:val="en-CA"/>
        </w:rPr>
      </w:pPr>
      <w:r w:rsidRPr="0088092F">
        <w:rPr>
          <w:lang w:val="en-CA"/>
        </w:rPr>
        <w:t>[</w:t>
      </w:r>
      <w:r w:rsidRPr="0088092F">
        <w:rPr>
          <w:smallCaps/>
          <w:lang w:val="en-CA"/>
        </w:rPr>
        <w:t>translation</w:t>
      </w:r>
      <w:r w:rsidRPr="0088092F">
        <w:rPr>
          <w:lang w:val="en-CA"/>
        </w:rPr>
        <w:t>]</w:t>
      </w:r>
    </w:p>
    <w:p w14:paraId="6A45B745" w14:textId="540EF066" w:rsidR="00461B74" w:rsidRPr="0088092F" w:rsidRDefault="00461B74" w:rsidP="00461B74">
      <w:pPr>
        <w:pStyle w:val="Citationenretrait"/>
        <w:rPr>
          <w:lang w:val="en-CA"/>
        </w:rPr>
      </w:pPr>
      <w:r w:rsidRPr="0088092F">
        <w:rPr>
          <w:lang w:val="en-CA"/>
        </w:rPr>
        <w:t>[</w:t>
      </w:r>
      <w:bookmarkStart w:id="25" w:name="par2"/>
      <w:r w:rsidRPr="0088092F">
        <w:rPr>
          <w:lang w:val="en-CA"/>
        </w:rPr>
        <w:t>2</w:t>
      </w:r>
      <w:bookmarkEnd w:id="25"/>
      <w:r w:rsidRPr="0088092F">
        <w:rPr>
          <w:lang w:val="en-CA"/>
        </w:rPr>
        <w:t>]        </w:t>
      </w:r>
      <w:r w:rsidR="00841329" w:rsidRPr="0088092F">
        <w:rPr>
          <w:lang w:val="en-CA"/>
        </w:rPr>
        <w:t xml:space="preserve">The </w:t>
      </w:r>
      <w:r w:rsidRPr="0088092F">
        <w:rPr>
          <w:lang w:val="en-CA"/>
        </w:rPr>
        <w:t>evidence</w:t>
      </w:r>
      <w:r w:rsidR="00841329" w:rsidRPr="0088092F">
        <w:rPr>
          <w:lang w:val="en-CA"/>
        </w:rPr>
        <w:t xml:space="preserve"> is </w:t>
      </w:r>
      <w:r w:rsidRPr="0088092F">
        <w:rPr>
          <w:lang w:val="en-CA"/>
        </w:rPr>
        <w:t>ambigu</w:t>
      </w:r>
      <w:r w:rsidR="00841329" w:rsidRPr="0088092F">
        <w:rPr>
          <w:lang w:val="en-CA"/>
        </w:rPr>
        <w:t xml:space="preserve">ous as to the detention </w:t>
      </w:r>
      <w:r w:rsidRPr="0088092F">
        <w:rPr>
          <w:lang w:val="en-CA"/>
        </w:rPr>
        <w:t xml:space="preserve">conditions </w:t>
      </w:r>
      <w:r w:rsidR="00841329" w:rsidRPr="0088092F">
        <w:rPr>
          <w:lang w:val="en-CA"/>
        </w:rPr>
        <w:t xml:space="preserve">in effect when </w:t>
      </w:r>
      <w:r w:rsidRPr="0088092F">
        <w:rPr>
          <w:lang w:val="en-CA"/>
        </w:rPr>
        <w:t>M</w:t>
      </w:r>
      <w:r w:rsidR="00841329" w:rsidRPr="0088092F">
        <w:rPr>
          <w:lang w:val="en-CA"/>
        </w:rPr>
        <w:t>r</w:t>
      </w:r>
      <w:r w:rsidRPr="0088092F">
        <w:rPr>
          <w:lang w:val="en-CA"/>
        </w:rPr>
        <w:t xml:space="preserve">. Turbide-Labbé </w:t>
      </w:r>
      <w:r w:rsidR="00841329" w:rsidRPr="0088092F">
        <w:rPr>
          <w:lang w:val="en-CA"/>
        </w:rPr>
        <w:t xml:space="preserve">was at the </w:t>
      </w:r>
      <w:r w:rsidRPr="0088092F">
        <w:rPr>
          <w:lang w:val="en-CA"/>
        </w:rPr>
        <w:t>Rivière-des-Prairies</w:t>
      </w:r>
      <w:r w:rsidR="00841329" w:rsidRPr="0088092F">
        <w:rPr>
          <w:lang w:val="en-CA"/>
        </w:rPr>
        <w:t xml:space="preserve"> facility. He says that he had more residual freedom with respect to spending time outside his cell and access to a computer to consult the </w:t>
      </w:r>
      <w:r w:rsidRPr="0088092F">
        <w:rPr>
          <w:lang w:val="en-CA"/>
        </w:rPr>
        <w:t>evidence</w:t>
      </w:r>
      <w:r w:rsidR="00841329" w:rsidRPr="0088092F">
        <w:rPr>
          <w:lang w:val="en-CA"/>
        </w:rPr>
        <w:t xml:space="preserve"> in his cases</w:t>
      </w:r>
      <w:r w:rsidRPr="0088092F">
        <w:rPr>
          <w:lang w:val="en-CA"/>
        </w:rPr>
        <w:t>.</w:t>
      </w:r>
      <w:r w:rsidR="00841329" w:rsidRPr="0088092F">
        <w:rPr>
          <w:lang w:val="en-CA"/>
        </w:rPr>
        <w:t xml:space="preserve"> It also </w:t>
      </w:r>
      <w:r w:rsidR="009B7667" w:rsidRPr="0088092F">
        <w:rPr>
          <w:lang w:val="en-CA"/>
        </w:rPr>
        <w:t>appears</w:t>
      </w:r>
      <w:r w:rsidR="00841329" w:rsidRPr="0088092F">
        <w:rPr>
          <w:lang w:val="en-CA"/>
        </w:rPr>
        <w:t xml:space="preserve"> that his access to telephone </w:t>
      </w:r>
      <w:r w:rsidRPr="0088092F">
        <w:rPr>
          <w:lang w:val="en-CA"/>
        </w:rPr>
        <w:t xml:space="preserve">conversations </w:t>
      </w:r>
      <w:r w:rsidR="00841329" w:rsidRPr="0088092F">
        <w:rPr>
          <w:lang w:val="en-CA"/>
        </w:rPr>
        <w:t>was less complicated and less costly</w:t>
      </w:r>
      <w:r w:rsidRPr="0088092F">
        <w:rPr>
          <w:lang w:val="en-CA"/>
        </w:rPr>
        <w:t>.</w:t>
      </w:r>
      <w:r w:rsidR="00841329" w:rsidRPr="0088092F">
        <w:rPr>
          <w:lang w:val="en-CA"/>
        </w:rPr>
        <w:t xml:space="preserve"> However, he was transferred involuntarily further to behavioural problems that resulted in his confinement</w:t>
      </w:r>
      <w:r w:rsidRPr="0088092F">
        <w:rPr>
          <w:lang w:val="en-CA"/>
        </w:rPr>
        <w:t>.</w:t>
      </w:r>
    </w:p>
    <w:p w14:paraId="0F94CE3A" w14:textId="38303E91"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6" w:name="par3"/>
      <w:r w:rsidRPr="0088092F">
        <w:rPr>
          <w:rFonts w:cs="Arial"/>
          <w:color w:val="000000"/>
          <w:szCs w:val="22"/>
          <w:lang w:val="en-CA"/>
        </w:rPr>
        <w:t>3</w:t>
      </w:r>
      <w:bookmarkEnd w:id="26"/>
      <w:r w:rsidRPr="0088092F">
        <w:rPr>
          <w:rFonts w:cs="Arial"/>
          <w:color w:val="000000"/>
          <w:szCs w:val="22"/>
          <w:lang w:val="en-CA"/>
        </w:rPr>
        <w:t>]         </w:t>
      </w:r>
      <w:r w:rsidR="00424985" w:rsidRPr="0088092F">
        <w:rPr>
          <w:rFonts w:cs="Arial"/>
          <w:color w:val="000000"/>
          <w:szCs w:val="22"/>
          <w:lang w:val="en-CA"/>
        </w:rPr>
        <w:t xml:space="preserve">Security measures were imposed on </w:t>
      </w:r>
      <w:r w:rsidRPr="0088092F">
        <w:rPr>
          <w:rFonts w:cs="Arial"/>
          <w:color w:val="000000"/>
          <w:szCs w:val="22"/>
          <w:lang w:val="en-CA"/>
        </w:rPr>
        <w:t>M</w:t>
      </w:r>
      <w:r w:rsidR="00424985" w:rsidRPr="0088092F">
        <w:rPr>
          <w:rFonts w:cs="Arial"/>
          <w:color w:val="000000"/>
          <w:szCs w:val="22"/>
          <w:lang w:val="en-CA"/>
        </w:rPr>
        <w:t>r</w:t>
      </w:r>
      <w:r w:rsidRPr="0088092F">
        <w:rPr>
          <w:rFonts w:cs="Arial"/>
          <w:color w:val="000000"/>
          <w:szCs w:val="22"/>
          <w:lang w:val="en-CA"/>
        </w:rPr>
        <w:t xml:space="preserve">. Turbide-Labbé </w:t>
      </w:r>
      <w:r w:rsidR="00424985" w:rsidRPr="0088092F">
        <w:rPr>
          <w:rFonts w:cs="Arial"/>
          <w:color w:val="000000"/>
          <w:szCs w:val="22"/>
          <w:lang w:val="en-CA"/>
        </w:rPr>
        <w:t xml:space="preserve">upon his arrival and were updated periodically. He does not dispute the fact that these security measures were appropriate. According to the </w:t>
      </w:r>
      <w:r w:rsidRPr="0088092F">
        <w:rPr>
          <w:rFonts w:cs="Arial"/>
          <w:color w:val="000000"/>
          <w:szCs w:val="22"/>
          <w:lang w:val="en-CA"/>
        </w:rPr>
        <w:t xml:space="preserve">information </w:t>
      </w:r>
      <w:r w:rsidR="00424985" w:rsidRPr="0088092F">
        <w:rPr>
          <w:rFonts w:cs="Arial"/>
          <w:color w:val="000000"/>
          <w:szCs w:val="22"/>
          <w:lang w:val="en-CA"/>
        </w:rPr>
        <w:t xml:space="preserve">gathered by public security, </w:t>
      </w:r>
      <w:r w:rsidRPr="0088092F">
        <w:rPr>
          <w:rFonts w:cs="Arial"/>
          <w:color w:val="000000"/>
          <w:szCs w:val="22"/>
          <w:lang w:val="en-CA"/>
        </w:rPr>
        <w:t>M</w:t>
      </w:r>
      <w:r w:rsidR="00424985" w:rsidRPr="0088092F">
        <w:rPr>
          <w:rFonts w:cs="Arial"/>
          <w:color w:val="000000"/>
          <w:szCs w:val="22"/>
          <w:lang w:val="en-CA"/>
        </w:rPr>
        <w:t>r</w:t>
      </w:r>
      <w:r w:rsidRPr="0088092F">
        <w:rPr>
          <w:rFonts w:cs="Arial"/>
          <w:color w:val="000000"/>
          <w:szCs w:val="22"/>
          <w:lang w:val="en-CA"/>
        </w:rPr>
        <w:t xml:space="preserve">. Turbide-Labbé </w:t>
      </w:r>
      <w:r w:rsidR="00424985" w:rsidRPr="0088092F">
        <w:rPr>
          <w:rFonts w:cs="Arial"/>
          <w:color w:val="000000"/>
          <w:szCs w:val="22"/>
          <w:lang w:val="en-CA"/>
        </w:rPr>
        <w:t xml:space="preserve">continued to display problematic behaviour, which prevented the possibility of integrating him into the </w:t>
      </w:r>
      <w:r w:rsidR="00092F31">
        <w:rPr>
          <w:lang w:val="en-CA"/>
        </w:rPr>
        <w:t>general</w:t>
      </w:r>
      <w:r w:rsidR="00424985" w:rsidRPr="0088092F">
        <w:rPr>
          <w:rFonts w:cs="Arial"/>
          <w:color w:val="000000"/>
          <w:szCs w:val="22"/>
          <w:lang w:val="en-CA"/>
        </w:rPr>
        <w:t xml:space="preserve"> prison</w:t>
      </w:r>
      <w:r w:rsidRPr="0088092F">
        <w:rPr>
          <w:rFonts w:cs="Arial"/>
          <w:color w:val="000000"/>
          <w:szCs w:val="22"/>
          <w:lang w:val="en-CA"/>
        </w:rPr>
        <w:t xml:space="preserve"> population </w:t>
      </w:r>
      <w:r w:rsidR="00424985" w:rsidRPr="0088092F">
        <w:rPr>
          <w:rFonts w:cs="Arial"/>
          <w:color w:val="000000"/>
          <w:szCs w:val="22"/>
          <w:lang w:val="en-CA"/>
        </w:rPr>
        <w:t>following his quarantine. He repeated</w:t>
      </w:r>
      <w:r w:rsidR="00981DC2">
        <w:rPr>
          <w:rFonts w:cs="Arial"/>
          <w:color w:val="000000"/>
          <w:szCs w:val="22"/>
          <w:lang w:val="en-CA"/>
        </w:rPr>
        <w:t>ly</w:t>
      </w:r>
      <w:r w:rsidR="00424985" w:rsidRPr="0088092F">
        <w:rPr>
          <w:rFonts w:cs="Arial"/>
          <w:color w:val="000000"/>
          <w:szCs w:val="22"/>
          <w:lang w:val="en-CA"/>
        </w:rPr>
        <w:t xml:space="preserve"> </w:t>
      </w:r>
      <w:r w:rsidR="00981DC2">
        <w:rPr>
          <w:rFonts w:cs="Arial"/>
          <w:color w:val="000000"/>
          <w:szCs w:val="22"/>
          <w:lang w:val="en-CA"/>
        </w:rPr>
        <w:t>ransacked</w:t>
      </w:r>
      <w:r w:rsidR="00981DC2" w:rsidRPr="0088092F">
        <w:rPr>
          <w:rFonts w:cs="Arial"/>
          <w:color w:val="000000"/>
          <w:szCs w:val="22"/>
          <w:lang w:val="en-CA"/>
        </w:rPr>
        <w:t xml:space="preserve"> </w:t>
      </w:r>
      <w:r w:rsidR="00424985" w:rsidRPr="0088092F">
        <w:rPr>
          <w:rFonts w:cs="Arial"/>
          <w:color w:val="000000"/>
          <w:szCs w:val="22"/>
          <w:lang w:val="en-CA"/>
        </w:rPr>
        <w:t>his cell and regularly threate</w:t>
      </w:r>
      <w:r w:rsidR="005F0D81">
        <w:rPr>
          <w:rFonts w:cs="Arial"/>
          <w:color w:val="000000"/>
          <w:szCs w:val="22"/>
          <w:lang w:val="en-CA"/>
        </w:rPr>
        <w:t>ne</w:t>
      </w:r>
      <w:r w:rsidR="00424985" w:rsidRPr="0088092F">
        <w:rPr>
          <w:rFonts w:cs="Arial"/>
          <w:color w:val="000000"/>
          <w:szCs w:val="22"/>
          <w:lang w:val="en-CA"/>
        </w:rPr>
        <w:t>d to break everythin</w:t>
      </w:r>
      <w:r w:rsidR="006955C5" w:rsidRPr="0088092F">
        <w:rPr>
          <w:rFonts w:cs="Arial"/>
          <w:color w:val="000000"/>
          <w:szCs w:val="22"/>
          <w:lang w:val="en-CA"/>
        </w:rPr>
        <w:t>g</w:t>
      </w:r>
      <w:r w:rsidRPr="0088092F">
        <w:rPr>
          <w:rFonts w:cs="Arial"/>
          <w:color w:val="000000"/>
          <w:szCs w:val="22"/>
          <w:lang w:val="en-CA"/>
        </w:rPr>
        <w:t>.</w:t>
      </w:r>
    </w:p>
    <w:p w14:paraId="5AB839B8" w14:textId="45BE2DAF"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7" w:name="par4"/>
      <w:r w:rsidRPr="0088092F">
        <w:rPr>
          <w:lang w:val="en-CA"/>
        </w:rPr>
        <w:t>4</w:t>
      </w:r>
      <w:bookmarkEnd w:id="27"/>
      <w:r w:rsidRPr="0088092F">
        <w:rPr>
          <w:rFonts w:cs="Arial"/>
          <w:color w:val="000000"/>
          <w:szCs w:val="22"/>
          <w:lang w:val="en-CA"/>
        </w:rPr>
        <w:t>]         </w:t>
      </w:r>
      <w:r w:rsidR="006955C5" w:rsidRPr="0088092F">
        <w:rPr>
          <w:rFonts w:cs="Arial"/>
          <w:color w:val="000000"/>
          <w:szCs w:val="22"/>
          <w:lang w:val="en-CA"/>
        </w:rPr>
        <w:t xml:space="preserve">According to the unit manager, </w:t>
      </w:r>
      <w:r w:rsidRPr="0088092F">
        <w:rPr>
          <w:rFonts w:cs="Arial"/>
          <w:color w:val="000000"/>
          <w:szCs w:val="22"/>
          <w:lang w:val="en-CA"/>
        </w:rPr>
        <w:t>Martin Rocco-Tanguay, M</w:t>
      </w:r>
      <w:r w:rsidR="00B60AF9" w:rsidRPr="0088092F">
        <w:rPr>
          <w:rFonts w:cs="Arial"/>
          <w:color w:val="000000"/>
          <w:szCs w:val="22"/>
          <w:lang w:val="en-CA"/>
        </w:rPr>
        <w:t>r</w:t>
      </w:r>
      <w:r w:rsidRPr="0088092F">
        <w:rPr>
          <w:rFonts w:cs="Arial"/>
          <w:color w:val="000000"/>
          <w:szCs w:val="22"/>
          <w:lang w:val="en-CA"/>
        </w:rPr>
        <w:t>. Turbide-Labbé</w:t>
      </w:r>
      <w:r w:rsidR="00B60AF9" w:rsidRPr="0088092F">
        <w:rPr>
          <w:rFonts w:cs="Arial"/>
          <w:color w:val="000000"/>
          <w:szCs w:val="22"/>
          <w:lang w:val="en-CA"/>
        </w:rPr>
        <w:t xml:space="preserve">’s behaviour was </w:t>
      </w:r>
      <w:r w:rsidRPr="0088092F">
        <w:rPr>
          <w:rFonts w:cs="Arial"/>
          <w:color w:val="000000"/>
          <w:szCs w:val="22"/>
          <w:lang w:val="en-CA"/>
        </w:rPr>
        <w:t>probl</w:t>
      </w:r>
      <w:r w:rsidR="00B60AF9" w:rsidRPr="0088092F">
        <w:rPr>
          <w:rFonts w:cs="Arial"/>
          <w:color w:val="000000"/>
          <w:szCs w:val="22"/>
          <w:lang w:val="en-CA"/>
        </w:rPr>
        <w:t>e</w:t>
      </w:r>
      <w:r w:rsidRPr="0088092F">
        <w:rPr>
          <w:rFonts w:cs="Arial"/>
          <w:color w:val="000000"/>
          <w:szCs w:val="22"/>
          <w:lang w:val="en-CA"/>
        </w:rPr>
        <w:t>mati</w:t>
      </w:r>
      <w:r w:rsidR="00B60AF9" w:rsidRPr="0088092F">
        <w:rPr>
          <w:rFonts w:cs="Arial"/>
          <w:color w:val="000000"/>
          <w:szCs w:val="22"/>
          <w:lang w:val="en-CA"/>
        </w:rPr>
        <w:t xml:space="preserve">c as soon as he arrived in </w:t>
      </w:r>
      <w:r w:rsidRPr="0088092F">
        <w:rPr>
          <w:rFonts w:cs="Arial"/>
          <w:color w:val="000000"/>
          <w:szCs w:val="22"/>
          <w:lang w:val="en-CA"/>
        </w:rPr>
        <w:t xml:space="preserve">Sorel. </w:t>
      </w:r>
      <w:r w:rsidR="00B60AF9" w:rsidRPr="0088092F">
        <w:rPr>
          <w:rFonts w:cs="Arial"/>
          <w:color w:val="000000"/>
          <w:szCs w:val="22"/>
          <w:lang w:val="en-CA"/>
        </w:rPr>
        <w:t>He is not known for being abusive or for having assaulted staff members in the past, but he regularly threaten</w:t>
      </w:r>
      <w:r w:rsidR="00DC2EFD" w:rsidRPr="0088092F">
        <w:rPr>
          <w:rFonts w:cs="Arial"/>
          <w:color w:val="000000"/>
          <w:szCs w:val="22"/>
          <w:lang w:val="en-CA"/>
        </w:rPr>
        <w:t>s</w:t>
      </w:r>
      <w:r w:rsidR="00B60AF9" w:rsidRPr="0088092F">
        <w:rPr>
          <w:rFonts w:cs="Arial"/>
          <w:color w:val="000000"/>
          <w:szCs w:val="22"/>
          <w:lang w:val="en-CA"/>
        </w:rPr>
        <w:t xml:space="preserve"> to become disorganized</w:t>
      </w:r>
      <w:r w:rsidRPr="0088092F">
        <w:rPr>
          <w:rFonts w:cs="Arial"/>
          <w:color w:val="000000"/>
          <w:szCs w:val="22"/>
          <w:lang w:val="en-CA"/>
        </w:rPr>
        <w:t xml:space="preserve">, </w:t>
      </w:r>
      <w:r w:rsidR="00DC2EFD" w:rsidRPr="0088092F">
        <w:rPr>
          <w:rFonts w:cs="Arial"/>
          <w:color w:val="000000"/>
          <w:szCs w:val="22"/>
          <w:lang w:val="en-CA"/>
        </w:rPr>
        <w:t xml:space="preserve">makes a ruckus, and hides objects that are potentially </w:t>
      </w:r>
      <w:r w:rsidRPr="0088092F">
        <w:rPr>
          <w:rFonts w:cs="Arial"/>
          <w:color w:val="000000"/>
          <w:szCs w:val="22"/>
          <w:lang w:val="en-CA"/>
        </w:rPr>
        <w:t>danger</w:t>
      </w:r>
      <w:r w:rsidR="00DC2EFD" w:rsidRPr="0088092F">
        <w:rPr>
          <w:rFonts w:cs="Arial"/>
          <w:color w:val="000000"/>
          <w:szCs w:val="22"/>
          <w:lang w:val="en-CA"/>
        </w:rPr>
        <w:t xml:space="preserve">ous </w:t>
      </w:r>
      <w:r w:rsidR="005F0D81">
        <w:rPr>
          <w:rFonts w:cs="Arial"/>
          <w:color w:val="000000"/>
          <w:szCs w:val="22"/>
          <w:lang w:val="en-CA"/>
        </w:rPr>
        <w:t>to</w:t>
      </w:r>
      <w:r w:rsidR="00DC2EFD" w:rsidRPr="0088092F">
        <w:rPr>
          <w:rFonts w:cs="Arial"/>
          <w:color w:val="000000"/>
          <w:szCs w:val="22"/>
          <w:lang w:val="en-CA"/>
        </w:rPr>
        <w:t xml:space="preserve"> the security of staff and other inmates. He is constantly making requests that go beyond the normal scope of the facility. According to </w:t>
      </w:r>
      <w:r w:rsidRPr="0088092F">
        <w:rPr>
          <w:rFonts w:cs="Arial"/>
          <w:color w:val="000000"/>
          <w:szCs w:val="22"/>
          <w:lang w:val="en-CA"/>
        </w:rPr>
        <w:t>M</w:t>
      </w:r>
      <w:r w:rsidR="00DC2EFD" w:rsidRPr="0088092F">
        <w:rPr>
          <w:rFonts w:cs="Arial"/>
          <w:color w:val="000000"/>
          <w:szCs w:val="22"/>
          <w:lang w:val="en-CA"/>
        </w:rPr>
        <w:t>r</w:t>
      </w:r>
      <w:r w:rsidRPr="0088092F">
        <w:rPr>
          <w:rFonts w:cs="Arial"/>
          <w:color w:val="000000"/>
          <w:szCs w:val="22"/>
          <w:lang w:val="en-CA"/>
        </w:rPr>
        <w:t>. Rocco-Tanguay, M</w:t>
      </w:r>
      <w:r w:rsidR="00DC2EFD" w:rsidRPr="0088092F">
        <w:rPr>
          <w:rFonts w:cs="Arial"/>
          <w:color w:val="000000"/>
          <w:szCs w:val="22"/>
          <w:lang w:val="en-CA"/>
        </w:rPr>
        <w:t>r</w:t>
      </w:r>
      <w:r w:rsidRPr="0088092F">
        <w:rPr>
          <w:rFonts w:cs="Arial"/>
          <w:color w:val="000000"/>
          <w:szCs w:val="22"/>
          <w:lang w:val="en-CA"/>
        </w:rPr>
        <w:t xml:space="preserve">. Turbide-Labbé </w:t>
      </w:r>
      <w:r w:rsidR="00DC2EFD" w:rsidRPr="0088092F">
        <w:rPr>
          <w:rFonts w:cs="Arial"/>
          <w:color w:val="000000"/>
          <w:szCs w:val="22"/>
          <w:lang w:val="en-CA"/>
        </w:rPr>
        <w:t xml:space="preserve">receives preferential treatment in relation to the other </w:t>
      </w:r>
      <w:r w:rsidR="009B7667" w:rsidRPr="0088092F">
        <w:rPr>
          <w:rFonts w:cs="Arial"/>
          <w:color w:val="000000"/>
          <w:szCs w:val="22"/>
          <w:lang w:val="en-CA"/>
        </w:rPr>
        <w:t>inmates</w:t>
      </w:r>
      <w:r w:rsidR="00DC2EFD" w:rsidRPr="0088092F">
        <w:rPr>
          <w:rFonts w:cs="Arial"/>
          <w:color w:val="000000"/>
          <w:szCs w:val="22"/>
          <w:lang w:val="en-CA"/>
        </w:rPr>
        <w:t xml:space="preserve">, in particular special access to the telephone </w:t>
      </w:r>
      <w:r w:rsidRPr="0088092F">
        <w:rPr>
          <w:rFonts w:cs="Arial"/>
          <w:color w:val="000000"/>
          <w:szCs w:val="22"/>
          <w:lang w:val="en-CA"/>
        </w:rPr>
        <w:t>service</w:t>
      </w:r>
      <w:r w:rsidR="00DC2EFD" w:rsidRPr="0088092F">
        <w:rPr>
          <w:rFonts w:cs="Arial"/>
          <w:color w:val="000000"/>
          <w:szCs w:val="22"/>
          <w:lang w:val="en-CA"/>
        </w:rPr>
        <w:t xml:space="preserve">, from which </w:t>
      </w:r>
      <w:r w:rsidR="00DC2EFD" w:rsidRPr="0088092F">
        <w:rPr>
          <w:rFonts w:cs="Arial"/>
          <w:color w:val="000000"/>
          <w:szCs w:val="22"/>
          <w:lang w:val="en-CA"/>
        </w:rPr>
        <w:lastRenderedPageBreak/>
        <w:t xml:space="preserve">he benefitted for a certain period of time, before this privilege was </w:t>
      </w:r>
      <w:r w:rsidR="00CC6761">
        <w:rPr>
          <w:rFonts w:cs="Arial"/>
          <w:color w:val="000000"/>
          <w:szCs w:val="22"/>
          <w:lang w:val="en-CA"/>
        </w:rPr>
        <w:t>taken</w:t>
      </w:r>
      <w:r w:rsidR="00CC6761" w:rsidRPr="0088092F">
        <w:rPr>
          <w:rFonts w:cs="Arial"/>
          <w:color w:val="000000"/>
          <w:szCs w:val="22"/>
          <w:lang w:val="en-CA"/>
        </w:rPr>
        <w:t xml:space="preserve"> </w:t>
      </w:r>
      <w:r w:rsidR="00D44595">
        <w:rPr>
          <w:rFonts w:cs="Arial"/>
          <w:color w:val="000000"/>
          <w:szCs w:val="22"/>
          <w:lang w:val="en-CA"/>
        </w:rPr>
        <w:t xml:space="preserve">away </w:t>
      </w:r>
      <w:r w:rsidR="00DC2EFD" w:rsidRPr="0088092F">
        <w:rPr>
          <w:rFonts w:cs="Arial"/>
          <w:color w:val="000000"/>
          <w:szCs w:val="22"/>
          <w:lang w:val="en-CA"/>
        </w:rPr>
        <w:t>from him due to his behaviour</w:t>
      </w:r>
      <w:r w:rsidRPr="0088092F">
        <w:rPr>
          <w:rFonts w:cs="Arial"/>
          <w:color w:val="000000"/>
          <w:szCs w:val="22"/>
          <w:lang w:val="en-CA"/>
        </w:rPr>
        <w:t>.</w:t>
      </w:r>
    </w:p>
    <w:p w14:paraId="688B3FF4" w14:textId="43C93F4C"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8" w:name="par5"/>
      <w:r w:rsidRPr="0088092F">
        <w:rPr>
          <w:rFonts w:cs="Arial"/>
          <w:color w:val="000000"/>
          <w:szCs w:val="22"/>
          <w:lang w:val="en-CA"/>
        </w:rPr>
        <w:t>5</w:t>
      </w:r>
      <w:bookmarkEnd w:id="28"/>
      <w:r w:rsidRPr="0088092F">
        <w:rPr>
          <w:rFonts w:cs="Arial"/>
          <w:color w:val="000000"/>
          <w:szCs w:val="22"/>
          <w:lang w:val="en-CA"/>
        </w:rPr>
        <w:t>]         M</w:t>
      </w:r>
      <w:r w:rsidR="009B138F" w:rsidRPr="0088092F">
        <w:rPr>
          <w:rFonts w:cs="Arial"/>
          <w:color w:val="000000"/>
          <w:szCs w:val="22"/>
          <w:lang w:val="en-CA"/>
        </w:rPr>
        <w:t>r</w:t>
      </w:r>
      <w:r w:rsidRPr="0088092F">
        <w:rPr>
          <w:rFonts w:cs="Arial"/>
          <w:color w:val="000000"/>
          <w:szCs w:val="22"/>
          <w:lang w:val="en-CA"/>
        </w:rPr>
        <w:t xml:space="preserve">. Turbide-Labbé </w:t>
      </w:r>
      <w:r w:rsidR="009B138F" w:rsidRPr="0088092F">
        <w:rPr>
          <w:rFonts w:cs="Arial"/>
          <w:color w:val="000000"/>
          <w:szCs w:val="22"/>
          <w:lang w:val="en-CA"/>
        </w:rPr>
        <w:t xml:space="preserve">acknowledges that his behaviour is inappropriate and demanding, but he justifies it as being a call for help due to his </w:t>
      </w:r>
      <w:r w:rsidRPr="0088092F">
        <w:rPr>
          <w:rFonts w:cs="Arial"/>
          <w:szCs w:val="22"/>
          <w:lang w:val="en-CA"/>
        </w:rPr>
        <w:t>psychological</w:t>
      </w:r>
      <w:r w:rsidR="009B138F" w:rsidRPr="0088092F">
        <w:rPr>
          <w:rFonts w:cs="Arial"/>
          <w:szCs w:val="22"/>
          <w:lang w:val="en-CA"/>
        </w:rPr>
        <w:t xml:space="preserve"> distress</w:t>
      </w:r>
      <w:r w:rsidRPr="0088092F">
        <w:rPr>
          <w:rFonts w:cs="Arial"/>
          <w:color w:val="000000"/>
          <w:szCs w:val="22"/>
          <w:lang w:val="en-CA"/>
        </w:rPr>
        <w:t xml:space="preserve">. </w:t>
      </w:r>
      <w:r w:rsidR="009B138F" w:rsidRPr="0088092F">
        <w:rPr>
          <w:rFonts w:cs="Arial"/>
          <w:color w:val="000000"/>
          <w:szCs w:val="22"/>
          <w:lang w:val="en-CA"/>
        </w:rPr>
        <w:t xml:space="preserve">He primarily seeks better access to telephone </w:t>
      </w:r>
      <w:r w:rsidRPr="0088092F">
        <w:rPr>
          <w:rFonts w:cs="Arial"/>
          <w:color w:val="000000"/>
          <w:szCs w:val="22"/>
          <w:lang w:val="en-CA"/>
        </w:rPr>
        <w:t xml:space="preserve">services </w:t>
      </w:r>
      <w:r w:rsidR="009B138F" w:rsidRPr="0088092F">
        <w:rPr>
          <w:rFonts w:cs="Arial"/>
          <w:color w:val="000000"/>
          <w:szCs w:val="22"/>
          <w:lang w:val="en-CA"/>
        </w:rPr>
        <w:t>and significant human contact</w:t>
      </w:r>
      <w:r w:rsidRPr="0088092F">
        <w:rPr>
          <w:rFonts w:cs="Arial"/>
          <w:color w:val="000000"/>
          <w:szCs w:val="22"/>
          <w:lang w:val="en-CA"/>
        </w:rPr>
        <w:t>.</w:t>
      </w:r>
    </w:p>
    <w:p w14:paraId="41215400" w14:textId="616E0F69"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29" w:name="par6"/>
      <w:r w:rsidRPr="0088092F">
        <w:rPr>
          <w:rFonts w:cs="Arial"/>
          <w:color w:val="000000"/>
          <w:szCs w:val="22"/>
          <w:lang w:val="en-CA"/>
        </w:rPr>
        <w:t>6</w:t>
      </w:r>
      <w:bookmarkEnd w:id="29"/>
      <w:r w:rsidRPr="0088092F">
        <w:rPr>
          <w:rFonts w:cs="Arial"/>
          <w:color w:val="000000"/>
          <w:szCs w:val="22"/>
          <w:lang w:val="en-CA"/>
        </w:rPr>
        <w:t xml:space="preserve">]      </w:t>
      </w:r>
      <w:r w:rsidR="009B138F" w:rsidRPr="0088092F">
        <w:rPr>
          <w:rFonts w:cs="Arial"/>
          <w:color w:val="000000"/>
          <w:szCs w:val="22"/>
          <w:lang w:val="en-CA"/>
        </w:rPr>
        <w:t>Accor</w:t>
      </w:r>
      <w:r w:rsidR="000C5E1E" w:rsidRPr="0088092F">
        <w:rPr>
          <w:rFonts w:cs="Arial"/>
          <w:color w:val="000000"/>
          <w:szCs w:val="22"/>
          <w:lang w:val="en-CA"/>
        </w:rPr>
        <w:t>d</w:t>
      </w:r>
      <w:r w:rsidR="009B138F" w:rsidRPr="0088092F">
        <w:rPr>
          <w:rFonts w:cs="Arial"/>
          <w:color w:val="000000"/>
          <w:szCs w:val="22"/>
          <w:lang w:val="en-CA"/>
        </w:rPr>
        <w:t xml:space="preserve">ing to </w:t>
      </w:r>
      <w:r w:rsidRPr="0088092F">
        <w:rPr>
          <w:rFonts w:cs="Arial"/>
          <w:color w:val="000000"/>
          <w:szCs w:val="22"/>
          <w:lang w:val="en-CA"/>
        </w:rPr>
        <w:t xml:space="preserve">Jean-François Lapointe, </w:t>
      </w:r>
      <w:r w:rsidR="009B138F" w:rsidRPr="0088092F">
        <w:rPr>
          <w:rFonts w:cs="Arial"/>
          <w:color w:val="000000"/>
          <w:szCs w:val="22"/>
          <w:lang w:val="en-CA"/>
        </w:rPr>
        <w:t xml:space="preserve">deputy director of </w:t>
      </w:r>
      <w:r w:rsidRPr="0088092F">
        <w:rPr>
          <w:rFonts w:cs="Arial"/>
          <w:color w:val="000000"/>
          <w:szCs w:val="22"/>
          <w:lang w:val="en-CA"/>
        </w:rPr>
        <w:t>op</w:t>
      </w:r>
      <w:r w:rsidR="009B138F" w:rsidRPr="0088092F">
        <w:rPr>
          <w:rFonts w:cs="Arial"/>
          <w:color w:val="000000"/>
          <w:szCs w:val="22"/>
          <w:lang w:val="en-CA"/>
        </w:rPr>
        <w:t>e</w:t>
      </w:r>
      <w:r w:rsidRPr="0088092F">
        <w:rPr>
          <w:rFonts w:cs="Arial"/>
          <w:color w:val="000000"/>
          <w:szCs w:val="22"/>
          <w:lang w:val="en-CA"/>
        </w:rPr>
        <w:t>rations</w:t>
      </w:r>
      <w:r w:rsidR="009B138F" w:rsidRPr="0088092F">
        <w:rPr>
          <w:rFonts w:cs="Arial"/>
          <w:color w:val="000000"/>
          <w:szCs w:val="22"/>
          <w:lang w:val="en-CA"/>
        </w:rPr>
        <w:t xml:space="preserve"> at the </w:t>
      </w:r>
      <w:r w:rsidRPr="0088092F">
        <w:rPr>
          <w:rFonts w:cs="Arial"/>
          <w:color w:val="000000"/>
          <w:szCs w:val="22"/>
          <w:lang w:val="en-CA"/>
        </w:rPr>
        <w:t>Sorel</w:t>
      </w:r>
      <w:r w:rsidR="009B138F" w:rsidRPr="0088092F">
        <w:rPr>
          <w:rFonts w:cs="Arial"/>
          <w:color w:val="000000"/>
          <w:szCs w:val="22"/>
          <w:lang w:val="en-CA"/>
        </w:rPr>
        <w:t xml:space="preserve"> correctional facility</w:t>
      </w:r>
      <w:r w:rsidRPr="0088092F">
        <w:rPr>
          <w:rFonts w:cs="Arial"/>
          <w:color w:val="000000"/>
          <w:szCs w:val="22"/>
          <w:lang w:val="en-CA"/>
        </w:rPr>
        <w:t>, M</w:t>
      </w:r>
      <w:r w:rsidR="009B138F" w:rsidRPr="0088092F">
        <w:rPr>
          <w:rFonts w:cs="Arial"/>
          <w:color w:val="000000"/>
          <w:szCs w:val="22"/>
          <w:lang w:val="en-CA"/>
        </w:rPr>
        <w:t>r</w:t>
      </w:r>
      <w:r w:rsidRPr="0088092F">
        <w:rPr>
          <w:rFonts w:cs="Arial"/>
          <w:color w:val="000000"/>
          <w:szCs w:val="22"/>
          <w:lang w:val="en-CA"/>
        </w:rPr>
        <w:t xml:space="preserve">. Turbide-Labbé </w:t>
      </w:r>
      <w:r w:rsidR="009B138F" w:rsidRPr="0088092F">
        <w:rPr>
          <w:rFonts w:cs="Arial"/>
          <w:color w:val="000000"/>
          <w:szCs w:val="22"/>
          <w:lang w:val="en-CA"/>
        </w:rPr>
        <w:t xml:space="preserve">had a high </w:t>
      </w:r>
      <w:r w:rsidR="00194645" w:rsidRPr="0088092F">
        <w:rPr>
          <w:rFonts w:cs="Arial"/>
          <w:color w:val="000000"/>
          <w:szCs w:val="22"/>
          <w:lang w:val="en-CA"/>
        </w:rPr>
        <w:t xml:space="preserve">security, </w:t>
      </w:r>
      <w:r w:rsidR="00FB7E01" w:rsidRPr="0088092F">
        <w:rPr>
          <w:lang w:val="en-CA"/>
        </w:rPr>
        <w:t>restrictive classification</w:t>
      </w:r>
      <w:r w:rsidRPr="0088092F">
        <w:rPr>
          <w:rFonts w:cs="Arial"/>
          <w:color w:val="000000"/>
          <w:szCs w:val="22"/>
          <w:lang w:val="en-CA"/>
        </w:rPr>
        <w:t xml:space="preserve"> </w:t>
      </w:r>
      <w:r w:rsidR="00194645" w:rsidRPr="0088092F">
        <w:rPr>
          <w:rFonts w:cs="Arial"/>
          <w:color w:val="000000"/>
          <w:szCs w:val="22"/>
          <w:lang w:val="en-CA"/>
        </w:rPr>
        <w:t xml:space="preserve">at the </w:t>
      </w:r>
      <w:r w:rsidRPr="0088092F">
        <w:rPr>
          <w:rFonts w:cs="Arial"/>
          <w:color w:val="000000"/>
          <w:szCs w:val="22"/>
          <w:lang w:val="en-CA"/>
        </w:rPr>
        <w:t xml:space="preserve">Rivière-des-Prairies </w:t>
      </w:r>
      <w:r w:rsidR="00194645" w:rsidRPr="0088092F">
        <w:rPr>
          <w:rFonts w:cs="Arial"/>
          <w:color w:val="000000"/>
          <w:szCs w:val="22"/>
          <w:lang w:val="en-CA"/>
        </w:rPr>
        <w:t>correctional facility, such that he was permitted only two and a half hours per day outside of his cell</w:t>
      </w:r>
      <w:r w:rsidRPr="0088092F">
        <w:rPr>
          <w:rFonts w:cs="Arial"/>
          <w:color w:val="000000"/>
          <w:szCs w:val="22"/>
          <w:lang w:val="en-CA"/>
        </w:rPr>
        <w:t>.</w:t>
      </w:r>
      <w:r w:rsidR="00194645" w:rsidRPr="0088092F">
        <w:rPr>
          <w:rFonts w:cs="Arial"/>
          <w:color w:val="000000"/>
          <w:szCs w:val="22"/>
          <w:lang w:val="en-CA"/>
        </w:rPr>
        <w:t xml:space="preserve"> He was transferred to </w:t>
      </w:r>
      <w:r w:rsidRPr="0088092F">
        <w:rPr>
          <w:rFonts w:cs="Arial"/>
          <w:color w:val="000000"/>
          <w:szCs w:val="22"/>
          <w:lang w:val="en-CA"/>
        </w:rPr>
        <w:t xml:space="preserve">Sorel </w:t>
      </w:r>
      <w:r w:rsidR="00194645" w:rsidRPr="0088092F">
        <w:rPr>
          <w:rFonts w:cs="Arial"/>
          <w:color w:val="000000"/>
          <w:szCs w:val="22"/>
          <w:lang w:val="en-CA"/>
        </w:rPr>
        <w:t>so that he could have at least four hours a day ou</w:t>
      </w:r>
      <w:r w:rsidR="00A95BC9" w:rsidRPr="0088092F">
        <w:rPr>
          <w:rFonts w:cs="Arial"/>
          <w:color w:val="000000"/>
          <w:szCs w:val="22"/>
          <w:lang w:val="en-CA"/>
        </w:rPr>
        <w:t>t</w:t>
      </w:r>
      <w:r w:rsidR="00194645" w:rsidRPr="0088092F">
        <w:rPr>
          <w:rFonts w:cs="Arial"/>
          <w:color w:val="000000"/>
          <w:szCs w:val="22"/>
          <w:lang w:val="en-CA"/>
        </w:rPr>
        <w:t>side of his cell</w:t>
      </w:r>
      <w:r w:rsidRPr="0088092F">
        <w:rPr>
          <w:rFonts w:cs="Arial"/>
          <w:color w:val="000000"/>
          <w:szCs w:val="22"/>
          <w:lang w:val="en-CA"/>
        </w:rPr>
        <w:t>.</w:t>
      </w:r>
    </w:p>
    <w:p w14:paraId="36A04E1B" w14:textId="29B1EF9F"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30" w:name="par7"/>
      <w:r w:rsidRPr="0088092F">
        <w:rPr>
          <w:rFonts w:cs="Arial"/>
          <w:color w:val="000000"/>
          <w:szCs w:val="22"/>
          <w:lang w:val="en-CA"/>
        </w:rPr>
        <w:t>7</w:t>
      </w:r>
      <w:bookmarkEnd w:id="30"/>
      <w:r w:rsidRPr="0088092F">
        <w:rPr>
          <w:rFonts w:cs="Arial"/>
          <w:color w:val="000000"/>
          <w:szCs w:val="22"/>
          <w:lang w:val="en-CA"/>
        </w:rPr>
        <w:t>]         </w:t>
      </w:r>
      <w:r w:rsidR="00340A7A">
        <w:rPr>
          <w:rFonts w:cs="Arial"/>
          <w:color w:val="000000"/>
          <w:szCs w:val="22"/>
          <w:lang w:val="en-CA"/>
        </w:rPr>
        <w:t>A</w:t>
      </w:r>
      <w:r w:rsidR="00340A7A" w:rsidRPr="0088092F">
        <w:rPr>
          <w:rFonts w:cs="Arial"/>
          <w:color w:val="000000"/>
          <w:szCs w:val="22"/>
          <w:lang w:val="en-CA"/>
        </w:rPr>
        <w:t>long with the director, Mr. Carrière,</w:t>
      </w:r>
      <w:r w:rsidR="00340A7A">
        <w:rPr>
          <w:rFonts w:cs="Arial"/>
          <w:color w:val="000000"/>
          <w:szCs w:val="22"/>
          <w:lang w:val="en-CA"/>
        </w:rPr>
        <w:t xml:space="preserve"> </w:t>
      </w:r>
      <w:r w:rsidRPr="0088092F">
        <w:rPr>
          <w:rFonts w:cs="Arial"/>
          <w:color w:val="000000"/>
          <w:szCs w:val="22"/>
          <w:lang w:val="en-CA"/>
        </w:rPr>
        <w:t>M</w:t>
      </w:r>
      <w:r w:rsidR="00A95BC9" w:rsidRPr="0088092F">
        <w:rPr>
          <w:rFonts w:cs="Arial"/>
          <w:color w:val="000000"/>
          <w:szCs w:val="22"/>
          <w:lang w:val="en-CA"/>
        </w:rPr>
        <w:t>r</w:t>
      </w:r>
      <w:r w:rsidRPr="0088092F">
        <w:rPr>
          <w:rFonts w:cs="Arial"/>
          <w:color w:val="000000"/>
          <w:szCs w:val="22"/>
          <w:lang w:val="en-CA"/>
        </w:rPr>
        <w:t xml:space="preserve">. Lapointe </w:t>
      </w:r>
      <w:r w:rsidR="00340A7A">
        <w:rPr>
          <w:rFonts w:cs="Arial"/>
          <w:color w:val="000000"/>
          <w:szCs w:val="22"/>
          <w:lang w:val="en-CA"/>
        </w:rPr>
        <w:t>is</w:t>
      </w:r>
      <w:r w:rsidR="00A95BC9" w:rsidRPr="0088092F">
        <w:rPr>
          <w:rFonts w:cs="Arial"/>
          <w:color w:val="000000"/>
          <w:szCs w:val="22"/>
          <w:lang w:val="en-CA"/>
        </w:rPr>
        <w:t xml:space="preserve"> re</w:t>
      </w:r>
      <w:r w:rsidRPr="0088092F">
        <w:rPr>
          <w:rFonts w:cs="Arial"/>
          <w:color w:val="000000"/>
          <w:szCs w:val="22"/>
          <w:lang w:val="en-CA"/>
        </w:rPr>
        <w:t>s</w:t>
      </w:r>
      <w:r w:rsidR="00A95BC9" w:rsidRPr="0088092F">
        <w:rPr>
          <w:rFonts w:cs="Arial"/>
          <w:color w:val="000000"/>
          <w:szCs w:val="22"/>
          <w:lang w:val="en-CA"/>
        </w:rPr>
        <w:t xml:space="preserve">ponsible, for the classification committee, where all information </w:t>
      </w:r>
      <w:r w:rsidR="00340A7A">
        <w:rPr>
          <w:rFonts w:cs="Arial"/>
          <w:color w:val="000000"/>
          <w:szCs w:val="22"/>
          <w:lang w:val="en-CA"/>
        </w:rPr>
        <w:t>is</w:t>
      </w:r>
      <w:r w:rsidR="00340A7A" w:rsidRPr="0088092F">
        <w:rPr>
          <w:rFonts w:cs="Arial"/>
          <w:color w:val="000000"/>
          <w:szCs w:val="22"/>
          <w:lang w:val="en-CA"/>
        </w:rPr>
        <w:t xml:space="preserve"> </w:t>
      </w:r>
      <w:r w:rsidR="00A95BC9" w:rsidRPr="0088092F">
        <w:rPr>
          <w:rFonts w:cs="Arial"/>
          <w:color w:val="000000"/>
          <w:szCs w:val="22"/>
          <w:lang w:val="en-CA"/>
        </w:rPr>
        <w:t>gathered</w:t>
      </w:r>
      <w:r w:rsidRPr="0088092F">
        <w:rPr>
          <w:rFonts w:cs="Arial"/>
          <w:color w:val="000000"/>
          <w:szCs w:val="22"/>
          <w:lang w:val="en-CA"/>
        </w:rPr>
        <w:t xml:space="preserve">. </w:t>
      </w:r>
      <w:r w:rsidR="00A95BC9" w:rsidRPr="0088092F">
        <w:rPr>
          <w:rFonts w:cs="Arial"/>
          <w:color w:val="000000"/>
          <w:szCs w:val="22"/>
          <w:lang w:val="en-CA"/>
        </w:rPr>
        <w:t xml:space="preserve">After fourteen </w:t>
      </w:r>
      <w:r w:rsidRPr="0088092F">
        <w:rPr>
          <w:rFonts w:cs="Arial"/>
          <w:color w:val="000000"/>
          <w:szCs w:val="22"/>
          <w:lang w:val="en-CA"/>
        </w:rPr>
        <w:t xml:space="preserve">(14) </w:t>
      </w:r>
      <w:r w:rsidR="00A95BC9" w:rsidRPr="0088092F">
        <w:rPr>
          <w:rFonts w:cs="Arial"/>
          <w:color w:val="000000"/>
          <w:szCs w:val="22"/>
          <w:lang w:val="en-CA"/>
        </w:rPr>
        <w:t xml:space="preserve">days of confinement, the </w:t>
      </w:r>
      <w:r w:rsidRPr="0088092F">
        <w:rPr>
          <w:rFonts w:cs="Arial"/>
          <w:color w:val="000000"/>
          <w:szCs w:val="22"/>
          <w:lang w:val="en-CA"/>
        </w:rPr>
        <w:t xml:space="preserve">plan </w:t>
      </w:r>
      <w:r w:rsidR="003D494D" w:rsidRPr="0088092F">
        <w:rPr>
          <w:rFonts w:cs="Arial"/>
          <w:color w:val="000000"/>
          <w:szCs w:val="22"/>
          <w:lang w:val="en-CA"/>
        </w:rPr>
        <w:t xml:space="preserve">was to place </w:t>
      </w:r>
      <w:r w:rsidRPr="0088092F">
        <w:rPr>
          <w:rFonts w:cs="Arial"/>
          <w:color w:val="000000"/>
          <w:szCs w:val="22"/>
          <w:lang w:val="en-CA"/>
        </w:rPr>
        <w:t>M</w:t>
      </w:r>
      <w:r w:rsidR="003D494D" w:rsidRPr="0088092F">
        <w:rPr>
          <w:rFonts w:cs="Arial"/>
          <w:color w:val="000000"/>
          <w:szCs w:val="22"/>
          <w:lang w:val="en-CA"/>
        </w:rPr>
        <w:t>r</w:t>
      </w:r>
      <w:r w:rsidRPr="0088092F">
        <w:rPr>
          <w:rFonts w:cs="Arial"/>
          <w:color w:val="000000"/>
          <w:szCs w:val="22"/>
          <w:lang w:val="en-CA"/>
        </w:rPr>
        <w:t xml:space="preserve">. Turbide-Labbé </w:t>
      </w:r>
      <w:r w:rsidR="003D494D" w:rsidRPr="0088092F">
        <w:rPr>
          <w:rFonts w:cs="Arial"/>
          <w:color w:val="000000"/>
          <w:szCs w:val="22"/>
          <w:lang w:val="en-CA"/>
        </w:rPr>
        <w:t xml:space="preserve">in a </w:t>
      </w:r>
      <w:r w:rsidR="00C4357C">
        <w:rPr>
          <w:rFonts w:cs="Arial"/>
          <w:color w:val="000000"/>
          <w:szCs w:val="22"/>
          <w:lang w:val="en-CA"/>
        </w:rPr>
        <w:t>multi-level</w:t>
      </w:r>
      <w:r w:rsidR="0084637F">
        <w:rPr>
          <w:rFonts w:cs="Arial"/>
          <w:color w:val="000000"/>
          <w:szCs w:val="22"/>
          <w:lang w:val="en-CA"/>
        </w:rPr>
        <w:t xml:space="preserve"> </w:t>
      </w:r>
      <w:r w:rsidR="00D44595">
        <w:rPr>
          <w:rFonts w:cs="Arial"/>
          <w:color w:val="000000"/>
          <w:szCs w:val="22"/>
          <w:lang w:val="en-CA"/>
        </w:rPr>
        <w:t>area</w:t>
      </w:r>
      <w:r w:rsidR="000C5E1E" w:rsidRPr="0088092F">
        <w:rPr>
          <w:rFonts w:cs="Arial"/>
          <w:color w:val="000000"/>
          <w:szCs w:val="22"/>
          <w:lang w:val="en-CA"/>
        </w:rPr>
        <w:t xml:space="preserve"> and </w:t>
      </w:r>
      <w:r w:rsidRPr="0088092F">
        <w:rPr>
          <w:rFonts w:cs="Arial"/>
          <w:color w:val="000000"/>
          <w:szCs w:val="22"/>
          <w:lang w:val="en-CA"/>
        </w:rPr>
        <w:t>observe</w:t>
      </w:r>
      <w:r w:rsidR="000C5E1E" w:rsidRPr="0088092F">
        <w:rPr>
          <w:rFonts w:cs="Arial"/>
          <w:color w:val="000000"/>
          <w:szCs w:val="22"/>
          <w:lang w:val="en-CA"/>
        </w:rPr>
        <w:t xml:space="preserve"> his behaviour to possibly </w:t>
      </w:r>
      <w:r w:rsidR="00B54E7A" w:rsidRPr="0088092F">
        <w:rPr>
          <w:rFonts w:cs="Arial"/>
          <w:color w:val="000000"/>
          <w:szCs w:val="22"/>
          <w:lang w:val="en-CA"/>
        </w:rPr>
        <w:t xml:space="preserve">place him in a </w:t>
      </w:r>
      <w:r w:rsidR="0066202F">
        <w:rPr>
          <w:rFonts w:cs="Arial"/>
          <w:color w:val="000000"/>
          <w:szCs w:val="22"/>
          <w:lang w:val="en-CA"/>
        </w:rPr>
        <w:t>maximum</w:t>
      </w:r>
      <w:r w:rsidR="00340A7A">
        <w:rPr>
          <w:rFonts w:cs="Arial"/>
          <w:color w:val="000000"/>
          <w:szCs w:val="22"/>
          <w:lang w:val="en-CA"/>
        </w:rPr>
        <w:t xml:space="preserve"> security general</w:t>
      </w:r>
      <w:r w:rsidR="00D44595">
        <w:rPr>
          <w:rFonts w:cs="Arial"/>
          <w:color w:val="000000"/>
          <w:szCs w:val="22"/>
          <w:lang w:val="en-CA"/>
        </w:rPr>
        <w:t xml:space="preserve"> area</w:t>
      </w:r>
      <w:r w:rsidR="00B54E7A" w:rsidRPr="0088092F">
        <w:rPr>
          <w:rFonts w:cs="Arial"/>
          <w:color w:val="000000"/>
          <w:szCs w:val="22"/>
          <w:lang w:val="en-CA"/>
        </w:rPr>
        <w:t xml:space="preserve">, despite his many disciplinary </w:t>
      </w:r>
      <w:r w:rsidRPr="0088092F">
        <w:rPr>
          <w:rFonts w:cs="Arial"/>
          <w:szCs w:val="22"/>
          <w:lang w:val="en-CA"/>
        </w:rPr>
        <w:t>breaches</w:t>
      </w:r>
      <w:r w:rsidRPr="0088092F">
        <w:rPr>
          <w:rFonts w:cs="Arial"/>
          <w:color w:val="000000"/>
          <w:szCs w:val="22"/>
          <w:lang w:val="en-CA"/>
        </w:rPr>
        <w:t>.</w:t>
      </w:r>
      <w:r w:rsidR="00B54E7A" w:rsidRPr="0088092F">
        <w:rPr>
          <w:rFonts w:cs="Arial"/>
          <w:color w:val="000000"/>
          <w:szCs w:val="22"/>
          <w:lang w:val="en-CA"/>
        </w:rPr>
        <w:t xml:space="preserve"> He is curre</w:t>
      </w:r>
      <w:r w:rsidR="00C33D6D" w:rsidRPr="0088092F">
        <w:rPr>
          <w:rFonts w:cs="Arial"/>
          <w:color w:val="000000"/>
          <w:szCs w:val="22"/>
          <w:lang w:val="en-CA"/>
        </w:rPr>
        <w:t>n</w:t>
      </w:r>
      <w:r w:rsidR="00B54E7A" w:rsidRPr="0088092F">
        <w:rPr>
          <w:rFonts w:cs="Arial"/>
          <w:color w:val="000000"/>
          <w:szCs w:val="22"/>
          <w:lang w:val="en-CA"/>
        </w:rPr>
        <w:t xml:space="preserve">tly in a restrictive </w:t>
      </w:r>
      <w:r w:rsidR="00D44595">
        <w:rPr>
          <w:rFonts w:cs="Arial"/>
          <w:color w:val="000000"/>
          <w:szCs w:val="22"/>
          <w:lang w:val="en-CA"/>
        </w:rPr>
        <w:t>area</w:t>
      </w:r>
      <w:r w:rsidR="00B54E7A" w:rsidRPr="0088092F">
        <w:rPr>
          <w:rFonts w:cs="Arial"/>
          <w:color w:val="000000"/>
          <w:szCs w:val="22"/>
          <w:lang w:val="en-CA"/>
        </w:rPr>
        <w:t xml:space="preserve"> where he has no </w:t>
      </w:r>
      <w:r w:rsidRPr="0088092F">
        <w:rPr>
          <w:rFonts w:cs="Arial"/>
          <w:color w:val="000000"/>
          <w:szCs w:val="22"/>
          <w:lang w:val="en-CA"/>
        </w:rPr>
        <w:t xml:space="preserve">contact </w:t>
      </w:r>
      <w:r w:rsidR="00B54E7A" w:rsidRPr="0088092F">
        <w:rPr>
          <w:rFonts w:cs="Arial"/>
          <w:color w:val="000000"/>
          <w:szCs w:val="22"/>
          <w:lang w:val="en-CA"/>
        </w:rPr>
        <w:t>with the other inmates, but he is not deprived of his re</w:t>
      </w:r>
      <w:r w:rsidRPr="0088092F">
        <w:rPr>
          <w:rFonts w:cs="Arial"/>
          <w:color w:val="000000"/>
          <w:szCs w:val="22"/>
          <w:lang w:val="en-CA"/>
        </w:rPr>
        <w:t>sidu</w:t>
      </w:r>
      <w:r w:rsidR="00B54E7A" w:rsidRPr="0088092F">
        <w:rPr>
          <w:rFonts w:cs="Arial"/>
          <w:color w:val="000000"/>
          <w:szCs w:val="22"/>
          <w:lang w:val="en-CA"/>
        </w:rPr>
        <w:t>a</w:t>
      </w:r>
      <w:r w:rsidRPr="0088092F">
        <w:rPr>
          <w:rFonts w:cs="Arial"/>
          <w:color w:val="000000"/>
          <w:szCs w:val="22"/>
          <w:lang w:val="en-CA"/>
        </w:rPr>
        <w:t>l</w:t>
      </w:r>
      <w:r w:rsidR="00B54E7A" w:rsidRPr="0088092F">
        <w:rPr>
          <w:rFonts w:cs="Arial"/>
          <w:color w:val="000000"/>
          <w:szCs w:val="22"/>
          <w:lang w:val="en-CA"/>
        </w:rPr>
        <w:t xml:space="preserve"> liberty </w:t>
      </w:r>
      <w:r w:rsidR="00340A7A">
        <w:rPr>
          <w:rFonts w:cs="Arial"/>
          <w:color w:val="000000"/>
          <w:szCs w:val="22"/>
          <w:lang w:val="en-CA"/>
        </w:rPr>
        <w:t>like</w:t>
      </w:r>
      <w:r w:rsidR="00B54E7A" w:rsidRPr="0088092F">
        <w:rPr>
          <w:rFonts w:cs="Arial"/>
          <w:color w:val="000000"/>
          <w:szCs w:val="22"/>
          <w:lang w:val="en-CA"/>
        </w:rPr>
        <w:t xml:space="preserve"> inmates</w:t>
      </w:r>
      <w:r w:rsidR="00340A7A">
        <w:rPr>
          <w:rFonts w:cs="Arial"/>
          <w:color w:val="000000"/>
          <w:szCs w:val="22"/>
          <w:lang w:val="en-CA"/>
        </w:rPr>
        <w:t xml:space="preserve"> who are</w:t>
      </w:r>
      <w:r w:rsidR="00B54E7A" w:rsidRPr="0088092F">
        <w:rPr>
          <w:rFonts w:cs="Arial"/>
          <w:color w:val="000000"/>
          <w:szCs w:val="22"/>
          <w:lang w:val="en-CA"/>
        </w:rPr>
        <w:t xml:space="preserve"> in </w:t>
      </w:r>
      <w:r w:rsidRPr="0088092F">
        <w:rPr>
          <w:rFonts w:cs="Arial"/>
          <w:color w:val="000000"/>
          <w:szCs w:val="22"/>
          <w:lang w:val="en-CA"/>
        </w:rPr>
        <w:t>disciplinar</w:t>
      </w:r>
      <w:r w:rsidR="00EB0B48" w:rsidRPr="0088092F">
        <w:rPr>
          <w:rFonts w:cs="Arial"/>
          <w:color w:val="000000"/>
          <w:szCs w:val="22"/>
          <w:lang w:val="en-CA"/>
        </w:rPr>
        <w:t xml:space="preserve">y </w:t>
      </w:r>
      <w:r w:rsidR="000F37FB" w:rsidRPr="0088092F">
        <w:rPr>
          <w:rFonts w:cs="Arial"/>
          <w:color w:val="000000"/>
          <w:szCs w:val="22"/>
          <w:lang w:val="en-CA" w:eastAsia="fr-CA"/>
        </w:rPr>
        <w:t>segregation</w:t>
      </w:r>
      <w:r w:rsidR="00EB0B48" w:rsidRPr="0088092F">
        <w:rPr>
          <w:rFonts w:cs="Arial"/>
          <w:color w:val="000000"/>
          <w:szCs w:val="22"/>
          <w:lang w:val="en-CA"/>
        </w:rPr>
        <w:t xml:space="preserve">. He has regular access to medical follow-up care and to various </w:t>
      </w:r>
      <w:r w:rsidRPr="0088092F">
        <w:rPr>
          <w:rFonts w:cs="Arial"/>
          <w:szCs w:val="22"/>
          <w:lang w:val="en-CA"/>
        </w:rPr>
        <w:t>health</w:t>
      </w:r>
      <w:r w:rsidR="00EB0B48" w:rsidRPr="0088092F">
        <w:rPr>
          <w:rFonts w:cs="Arial"/>
          <w:szCs w:val="22"/>
          <w:lang w:val="en-CA"/>
        </w:rPr>
        <w:t xml:space="preserve"> </w:t>
      </w:r>
      <w:r w:rsidRPr="0088092F">
        <w:rPr>
          <w:rFonts w:cs="Arial"/>
          <w:szCs w:val="22"/>
          <w:lang w:val="en-CA"/>
        </w:rPr>
        <w:t>care</w:t>
      </w:r>
      <w:r w:rsidR="00EB0B48" w:rsidRPr="0088092F">
        <w:rPr>
          <w:rFonts w:cs="Arial"/>
          <w:szCs w:val="22"/>
          <w:lang w:val="en-CA"/>
        </w:rPr>
        <w:t xml:space="preserve"> </w:t>
      </w:r>
      <w:r w:rsidRPr="0088092F">
        <w:rPr>
          <w:rFonts w:cs="Arial"/>
          <w:szCs w:val="22"/>
          <w:lang w:val="en-CA"/>
        </w:rPr>
        <w:t>pr</w:t>
      </w:r>
      <w:r w:rsidR="00CB3692">
        <w:rPr>
          <w:rFonts w:cs="Arial"/>
          <w:szCs w:val="22"/>
          <w:lang w:val="en-CA"/>
        </w:rPr>
        <w:t>ofessionals</w:t>
      </w:r>
      <w:r w:rsidRPr="0088092F">
        <w:rPr>
          <w:rFonts w:cs="Arial"/>
          <w:color w:val="000000"/>
          <w:szCs w:val="22"/>
          <w:lang w:val="en-CA"/>
        </w:rPr>
        <w:t>.</w:t>
      </w:r>
      <w:r w:rsidR="00EB0B48" w:rsidRPr="0088092F">
        <w:rPr>
          <w:rFonts w:cs="Arial"/>
          <w:color w:val="000000"/>
          <w:szCs w:val="22"/>
          <w:lang w:val="en-CA"/>
        </w:rPr>
        <w:t xml:space="preserve"> He has daily access to a computer station during the week</w:t>
      </w:r>
      <w:r w:rsidR="00CB3692">
        <w:rPr>
          <w:rFonts w:cs="Arial"/>
          <w:color w:val="000000"/>
          <w:szCs w:val="22"/>
          <w:lang w:val="en-CA"/>
        </w:rPr>
        <w:t>,</w:t>
      </w:r>
      <w:r w:rsidR="00EB0B48" w:rsidRPr="0088092F">
        <w:rPr>
          <w:rFonts w:cs="Arial"/>
          <w:color w:val="000000"/>
          <w:szCs w:val="22"/>
          <w:lang w:val="en-CA"/>
        </w:rPr>
        <w:t xml:space="preserve"> in the mornings and afternoons. However, </w:t>
      </w:r>
      <w:r w:rsidR="00CB3692" w:rsidRPr="0088092F">
        <w:rPr>
          <w:rFonts w:cs="Arial"/>
          <w:color w:val="000000"/>
          <w:szCs w:val="22"/>
          <w:lang w:val="en-CA"/>
        </w:rPr>
        <w:t>in terms of activity</w:t>
      </w:r>
      <w:r w:rsidR="00CB3692">
        <w:rPr>
          <w:rFonts w:cs="Arial"/>
          <w:color w:val="000000"/>
          <w:szCs w:val="22"/>
          <w:lang w:val="en-CA"/>
        </w:rPr>
        <w:t>,</w:t>
      </w:r>
      <w:r w:rsidR="00CB3692" w:rsidRPr="0088092F">
        <w:rPr>
          <w:rFonts w:cs="Arial"/>
          <w:color w:val="000000"/>
          <w:szCs w:val="22"/>
          <w:lang w:val="en-CA"/>
        </w:rPr>
        <w:t xml:space="preserve"> </w:t>
      </w:r>
      <w:r w:rsidR="00EB0B48" w:rsidRPr="0088092F">
        <w:rPr>
          <w:rFonts w:cs="Arial"/>
          <w:color w:val="000000"/>
          <w:szCs w:val="22"/>
          <w:lang w:val="en-CA"/>
        </w:rPr>
        <w:t xml:space="preserve">he currently has only one hour per day </w:t>
      </w:r>
      <w:r w:rsidR="00B12CCC" w:rsidRPr="0088092F">
        <w:rPr>
          <w:rFonts w:cs="Arial"/>
          <w:color w:val="000000"/>
          <w:szCs w:val="22"/>
          <w:lang w:val="en-CA"/>
        </w:rPr>
        <w:t>outside of his cell</w:t>
      </w:r>
      <w:r w:rsidRPr="0088092F">
        <w:rPr>
          <w:rFonts w:cs="Arial"/>
          <w:color w:val="000000"/>
          <w:szCs w:val="22"/>
          <w:lang w:val="en-CA"/>
        </w:rPr>
        <w:t>.</w:t>
      </w:r>
    </w:p>
    <w:p w14:paraId="3EE12DF0" w14:textId="387CD049" w:rsidR="00461B74" w:rsidRPr="0088092F" w:rsidRDefault="00461B74" w:rsidP="00461B74">
      <w:pPr>
        <w:pStyle w:val="Citationenretrait"/>
        <w:rPr>
          <w:rFonts w:cs="Arial"/>
          <w:color w:val="000000"/>
          <w:szCs w:val="22"/>
          <w:lang w:val="en-CA"/>
        </w:rPr>
      </w:pPr>
      <w:r w:rsidRPr="0088092F">
        <w:rPr>
          <w:lang w:val="en-CA"/>
        </w:rPr>
        <w:t>[</w:t>
      </w:r>
      <w:bookmarkStart w:id="31" w:name="par8"/>
      <w:r w:rsidRPr="0088092F">
        <w:rPr>
          <w:rFonts w:cs="Arial"/>
          <w:color w:val="000000"/>
          <w:szCs w:val="22"/>
          <w:lang w:val="en-CA"/>
        </w:rPr>
        <w:t>8</w:t>
      </w:r>
      <w:bookmarkEnd w:id="31"/>
      <w:r w:rsidRPr="0088092F">
        <w:rPr>
          <w:rFonts w:cs="Arial"/>
          <w:color w:val="000000"/>
          <w:szCs w:val="22"/>
          <w:lang w:val="en-CA"/>
        </w:rPr>
        <w:t>]       </w:t>
      </w:r>
      <w:r w:rsidR="005D77D5" w:rsidRPr="0088092F">
        <w:rPr>
          <w:rFonts w:cs="Arial"/>
          <w:color w:val="000000"/>
          <w:szCs w:val="22"/>
          <w:lang w:val="en-CA"/>
        </w:rPr>
        <w:t xml:space="preserve">Upon arrival, </w:t>
      </w:r>
      <w:r w:rsidRPr="0088092F">
        <w:rPr>
          <w:rFonts w:cs="Arial"/>
          <w:color w:val="000000"/>
          <w:szCs w:val="22"/>
          <w:lang w:val="en-CA"/>
        </w:rPr>
        <w:t>M</w:t>
      </w:r>
      <w:r w:rsidR="005D77D5" w:rsidRPr="0088092F">
        <w:rPr>
          <w:rFonts w:cs="Arial"/>
          <w:color w:val="000000"/>
          <w:szCs w:val="22"/>
          <w:lang w:val="en-CA"/>
        </w:rPr>
        <w:t>r</w:t>
      </w:r>
      <w:r w:rsidRPr="0088092F">
        <w:rPr>
          <w:rFonts w:cs="Arial"/>
          <w:color w:val="000000"/>
          <w:szCs w:val="22"/>
          <w:lang w:val="en-CA"/>
        </w:rPr>
        <w:t>. Turbide-Labbé refus</w:t>
      </w:r>
      <w:r w:rsidR="005D77D5" w:rsidRPr="0088092F">
        <w:rPr>
          <w:rFonts w:cs="Arial"/>
          <w:color w:val="000000"/>
          <w:szCs w:val="22"/>
          <w:lang w:val="en-CA"/>
        </w:rPr>
        <w:t xml:space="preserve">ed to go to a </w:t>
      </w:r>
      <w:r w:rsidR="00F772BD">
        <w:rPr>
          <w:rFonts w:cs="Arial"/>
          <w:color w:val="000000"/>
          <w:szCs w:val="22"/>
          <w:lang w:val="en-CA"/>
        </w:rPr>
        <w:t>multi-level</w:t>
      </w:r>
      <w:r w:rsidR="0084637F">
        <w:rPr>
          <w:rFonts w:cs="Arial"/>
          <w:color w:val="000000"/>
          <w:szCs w:val="22"/>
          <w:lang w:val="en-CA"/>
        </w:rPr>
        <w:t xml:space="preserve"> </w:t>
      </w:r>
      <w:r w:rsidR="00D44595">
        <w:rPr>
          <w:rFonts w:cs="Arial"/>
          <w:color w:val="000000"/>
          <w:szCs w:val="22"/>
          <w:lang w:val="en-CA"/>
        </w:rPr>
        <w:t>area</w:t>
      </w:r>
      <w:r w:rsidR="00632D27">
        <w:rPr>
          <w:rFonts w:cs="Arial"/>
          <w:color w:val="000000"/>
          <w:szCs w:val="22"/>
          <w:lang w:val="en-CA"/>
        </w:rPr>
        <w:t>, preferring</w:t>
      </w:r>
      <w:r w:rsidR="005D77D5" w:rsidRPr="0088092F">
        <w:rPr>
          <w:rFonts w:cs="Arial"/>
          <w:color w:val="000000"/>
          <w:szCs w:val="22"/>
          <w:lang w:val="en-CA"/>
        </w:rPr>
        <w:t xml:space="preserve"> instead to remain in solitary </w:t>
      </w:r>
      <w:r w:rsidR="006A2E4A">
        <w:rPr>
          <w:rFonts w:cs="Arial"/>
          <w:color w:val="000000"/>
          <w:szCs w:val="22"/>
          <w:lang w:val="en-CA"/>
        </w:rPr>
        <w:t>confinement</w:t>
      </w:r>
      <w:r w:rsidR="005D77D5" w:rsidRPr="0088092F">
        <w:rPr>
          <w:rFonts w:cs="Arial"/>
          <w:color w:val="000000"/>
          <w:szCs w:val="22"/>
          <w:lang w:val="en-CA"/>
        </w:rPr>
        <w:t xml:space="preserve"> despite </w:t>
      </w:r>
      <w:r w:rsidR="009E3D97" w:rsidRPr="0088092F">
        <w:rPr>
          <w:rFonts w:cs="Arial"/>
          <w:color w:val="000000"/>
          <w:szCs w:val="22"/>
          <w:lang w:val="en-CA"/>
        </w:rPr>
        <w:t>having less residual liberty so that he could benefit from certain ad</w:t>
      </w:r>
      <w:r w:rsidRPr="0088092F">
        <w:rPr>
          <w:rFonts w:cs="Arial"/>
          <w:color w:val="000000"/>
          <w:szCs w:val="22"/>
          <w:lang w:val="en-CA"/>
        </w:rPr>
        <w:t>vantages,</w:t>
      </w:r>
      <w:r w:rsidR="009E3D97" w:rsidRPr="0088092F">
        <w:rPr>
          <w:rFonts w:cs="Arial"/>
          <w:color w:val="000000"/>
          <w:szCs w:val="22"/>
          <w:lang w:val="en-CA"/>
        </w:rPr>
        <w:t xml:space="preserve"> including greater access to telephone </w:t>
      </w:r>
      <w:r w:rsidRPr="0088092F">
        <w:rPr>
          <w:rFonts w:cs="Arial"/>
          <w:color w:val="000000"/>
          <w:szCs w:val="22"/>
          <w:lang w:val="en-CA"/>
        </w:rPr>
        <w:t xml:space="preserve">services. </w:t>
      </w:r>
      <w:r w:rsidR="009E3D97" w:rsidRPr="0088092F">
        <w:rPr>
          <w:rFonts w:cs="Arial"/>
          <w:color w:val="000000"/>
          <w:szCs w:val="22"/>
          <w:lang w:val="en-CA"/>
        </w:rPr>
        <w:t xml:space="preserve">He </w:t>
      </w:r>
      <w:r w:rsidRPr="0088092F">
        <w:rPr>
          <w:rFonts w:cs="Arial"/>
          <w:color w:val="000000"/>
          <w:szCs w:val="22"/>
          <w:lang w:val="en-CA"/>
        </w:rPr>
        <w:t>refus</w:t>
      </w:r>
      <w:r w:rsidR="009E3D97" w:rsidRPr="0088092F">
        <w:rPr>
          <w:rFonts w:cs="Arial"/>
          <w:color w:val="000000"/>
          <w:szCs w:val="22"/>
          <w:lang w:val="en-CA"/>
        </w:rPr>
        <w:t xml:space="preserve">ed a written offer dated </w:t>
      </w:r>
      <w:r w:rsidRPr="0088092F">
        <w:rPr>
          <w:rFonts w:cs="Arial"/>
          <w:szCs w:val="22"/>
          <w:lang w:val="en-CA"/>
        </w:rPr>
        <w:t>June</w:t>
      </w:r>
      <w:r w:rsidR="009E3D97" w:rsidRPr="0088092F">
        <w:rPr>
          <w:rFonts w:cs="Arial"/>
          <w:szCs w:val="22"/>
          <w:lang w:val="en-CA"/>
        </w:rPr>
        <w:t xml:space="preserve"> 18 pursuant to which his </w:t>
      </w:r>
      <w:r w:rsidRPr="0088092F">
        <w:rPr>
          <w:rFonts w:cs="Arial"/>
          <w:szCs w:val="22"/>
          <w:lang w:val="en-CA"/>
        </w:rPr>
        <w:t>telephone</w:t>
      </w:r>
      <w:r w:rsidR="009E3D97" w:rsidRPr="0088092F">
        <w:rPr>
          <w:rFonts w:cs="Arial"/>
          <w:szCs w:val="22"/>
          <w:lang w:val="en-CA"/>
        </w:rPr>
        <w:t xml:space="preserve"> access would be increased to four hours per day in addition to the other ad</w:t>
      </w:r>
      <w:r w:rsidRPr="0088092F">
        <w:rPr>
          <w:rFonts w:cs="Arial"/>
          <w:color w:val="000000"/>
          <w:szCs w:val="22"/>
          <w:lang w:val="en-CA"/>
        </w:rPr>
        <w:t xml:space="preserve">vantages </w:t>
      </w:r>
      <w:r w:rsidR="009E3D97" w:rsidRPr="0088092F">
        <w:rPr>
          <w:rFonts w:cs="Arial"/>
          <w:color w:val="000000"/>
          <w:szCs w:val="22"/>
          <w:lang w:val="en-CA"/>
        </w:rPr>
        <w:t xml:space="preserve">of the </w:t>
      </w:r>
      <w:r w:rsidR="00D44595">
        <w:rPr>
          <w:rFonts w:cs="Arial"/>
          <w:color w:val="000000"/>
          <w:szCs w:val="22"/>
          <w:lang w:val="en-CA"/>
        </w:rPr>
        <w:t>living area</w:t>
      </w:r>
      <w:r w:rsidR="009E3D97" w:rsidRPr="0088092F">
        <w:rPr>
          <w:rFonts w:cs="Arial"/>
          <w:color w:val="000000"/>
          <w:szCs w:val="22"/>
          <w:lang w:val="en-CA"/>
        </w:rPr>
        <w:t>. He presented a counter-offer on the same day, seeking</w:t>
      </w:r>
      <w:r w:rsidR="00057306" w:rsidRPr="0088092F">
        <w:rPr>
          <w:rFonts w:cs="Arial"/>
          <w:color w:val="000000"/>
          <w:szCs w:val="22"/>
          <w:lang w:val="en-CA"/>
        </w:rPr>
        <w:t xml:space="preserve"> toll-free telephone access throughout </w:t>
      </w:r>
      <w:r w:rsidRPr="0088092F">
        <w:rPr>
          <w:rFonts w:cs="Arial"/>
          <w:color w:val="000000"/>
          <w:szCs w:val="22"/>
          <w:lang w:val="en-CA"/>
        </w:rPr>
        <w:t>Qu</w:t>
      </w:r>
      <w:r w:rsidR="00057306" w:rsidRPr="0088092F">
        <w:rPr>
          <w:rFonts w:cs="Arial"/>
          <w:color w:val="000000"/>
          <w:szCs w:val="22"/>
          <w:lang w:val="en-CA"/>
        </w:rPr>
        <w:t>e</w:t>
      </w:r>
      <w:r w:rsidRPr="0088092F">
        <w:rPr>
          <w:rFonts w:cs="Arial"/>
          <w:color w:val="000000"/>
          <w:szCs w:val="22"/>
          <w:lang w:val="en-CA"/>
        </w:rPr>
        <w:t>bec,</w:t>
      </w:r>
      <w:r w:rsidR="00057306" w:rsidRPr="0088092F">
        <w:rPr>
          <w:rFonts w:cs="Arial"/>
          <w:color w:val="000000"/>
          <w:szCs w:val="22"/>
          <w:lang w:val="en-CA"/>
        </w:rPr>
        <w:t xml:space="preserve"> time outside of his cell from </w:t>
      </w:r>
      <w:r w:rsidRPr="0088092F">
        <w:rPr>
          <w:rFonts w:cs="Arial"/>
          <w:color w:val="000000"/>
          <w:szCs w:val="22"/>
          <w:lang w:val="en-CA"/>
        </w:rPr>
        <w:t>8</w:t>
      </w:r>
      <w:r w:rsidR="00057306" w:rsidRPr="0088092F">
        <w:rPr>
          <w:rFonts w:cs="Arial"/>
          <w:color w:val="000000"/>
          <w:szCs w:val="22"/>
          <w:lang w:val="en-CA"/>
        </w:rPr>
        <w:t>:00 a.m. to 10:</w:t>
      </w:r>
      <w:r w:rsidRPr="0088092F">
        <w:rPr>
          <w:rFonts w:cs="Arial"/>
          <w:color w:val="000000"/>
          <w:szCs w:val="22"/>
          <w:lang w:val="en-CA"/>
        </w:rPr>
        <w:t>30</w:t>
      </w:r>
      <w:r w:rsidR="00057306" w:rsidRPr="0088092F">
        <w:rPr>
          <w:rFonts w:cs="Arial"/>
          <w:color w:val="000000"/>
          <w:szCs w:val="22"/>
          <w:lang w:val="en-CA"/>
        </w:rPr>
        <w:t xml:space="preserve"> p.m., and access to the computer station in the morning, afternoon, and evening</w:t>
      </w:r>
      <w:r w:rsidRPr="0088092F">
        <w:rPr>
          <w:rFonts w:cs="Arial"/>
          <w:color w:val="000000"/>
          <w:szCs w:val="22"/>
          <w:lang w:val="en-CA"/>
        </w:rPr>
        <w:t xml:space="preserve">. </w:t>
      </w:r>
      <w:r w:rsidR="00057306" w:rsidRPr="0088092F">
        <w:rPr>
          <w:rFonts w:cs="Arial"/>
          <w:color w:val="000000"/>
          <w:szCs w:val="22"/>
          <w:lang w:val="en-CA"/>
        </w:rPr>
        <w:t>Public security was unable to grant his requests, mainly because they were not consistent</w:t>
      </w:r>
      <w:r w:rsidR="006A799D" w:rsidRPr="0088092F">
        <w:rPr>
          <w:rFonts w:cs="Arial"/>
          <w:color w:val="000000"/>
          <w:szCs w:val="22"/>
          <w:lang w:val="en-CA"/>
        </w:rPr>
        <w:t xml:space="preserve"> with a restrictive regime and because the </w:t>
      </w:r>
      <w:r w:rsidR="00D44595">
        <w:rPr>
          <w:rFonts w:cs="Arial"/>
          <w:color w:val="000000"/>
          <w:szCs w:val="22"/>
          <w:lang w:val="en-CA"/>
        </w:rPr>
        <w:t>area</w:t>
      </w:r>
      <w:r w:rsidR="006A799D" w:rsidRPr="0088092F">
        <w:rPr>
          <w:rFonts w:cs="Arial"/>
          <w:color w:val="000000"/>
          <w:szCs w:val="22"/>
          <w:lang w:val="en-CA"/>
        </w:rPr>
        <w:t xml:space="preserve"> to which he wanted to be assigned was intended for women</w:t>
      </w:r>
      <w:r w:rsidRPr="0088092F">
        <w:rPr>
          <w:rFonts w:cs="Arial"/>
          <w:color w:val="000000"/>
          <w:szCs w:val="22"/>
          <w:lang w:val="en-CA"/>
        </w:rPr>
        <w:t>.</w:t>
      </w:r>
    </w:p>
    <w:p w14:paraId="5FAC18A4" w14:textId="6B11560A"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32" w:name="par9"/>
      <w:r w:rsidRPr="0088092F">
        <w:rPr>
          <w:rFonts w:cs="Arial"/>
          <w:color w:val="000000"/>
          <w:szCs w:val="22"/>
          <w:lang w:val="en-CA"/>
        </w:rPr>
        <w:t>9</w:t>
      </w:r>
      <w:bookmarkEnd w:id="32"/>
      <w:r w:rsidRPr="0088092F">
        <w:rPr>
          <w:rFonts w:cs="Arial"/>
          <w:color w:val="000000"/>
          <w:szCs w:val="22"/>
          <w:lang w:val="en-CA"/>
        </w:rPr>
        <w:t>]         M</w:t>
      </w:r>
      <w:r w:rsidR="00FE5937" w:rsidRPr="0088092F">
        <w:rPr>
          <w:rFonts w:cs="Arial"/>
          <w:color w:val="000000"/>
          <w:szCs w:val="22"/>
          <w:lang w:val="en-CA"/>
        </w:rPr>
        <w:t>r</w:t>
      </w:r>
      <w:r w:rsidRPr="0088092F">
        <w:rPr>
          <w:rFonts w:cs="Arial"/>
          <w:color w:val="000000"/>
          <w:szCs w:val="22"/>
          <w:lang w:val="en-CA"/>
        </w:rPr>
        <w:t>. Turbide-Labbé refus</w:t>
      </w:r>
      <w:r w:rsidR="00A80A52" w:rsidRPr="0088092F">
        <w:rPr>
          <w:rFonts w:cs="Arial"/>
          <w:color w:val="000000"/>
          <w:szCs w:val="22"/>
          <w:lang w:val="en-CA"/>
        </w:rPr>
        <w:t xml:space="preserve">ed an identical offer on </w:t>
      </w:r>
      <w:r w:rsidRPr="0088092F">
        <w:rPr>
          <w:rFonts w:cs="Arial"/>
          <w:szCs w:val="22"/>
          <w:lang w:val="en-CA"/>
        </w:rPr>
        <w:t>June</w:t>
      </w:r>
      <w:r w:rsidR="00A80A52" w:rsidRPr="0088092F">
        <w:rPr>
          <w:rFonts w:cs="Arial"/>
          <w:szCs w:val="22"/>
          <w:lang w:val="en-CA"/>
        </w:rPr>
        <w:t xml:space="preserve"> 30</w:t>
      </w:r>
      <w:r w:rsidR="0036173D" w:rsidRPr="0088092F">
        <w:rPr>
          <w:rFonts w:cs="Arial"/>
          <w:szCs w:val="22"/>
          <w:lang w:val="en-CA"/>
        </w:rPr>
        <w:t>. T</w:t>
      </w:r>
      <w:r w:rsidR="00A80A52" w:rsidRPr="0088092F">
        <w:rPr>
          <w:rFonts w:cs="Arial"/>
          <w:szCs w:val="22"/>
          <w:lang w:val="en-CA"/>
        </w:rPr>
        <w:t xml:space="preserve">he same offer was reiterated on </w:t>
      </w:r>
      <w:r w:rsidRPr="0088092F">
        <w:rPr>
          <w:rFonts w:cs="Arial"/>
          <w:szCs w:val="22"/>
          <w:lang w:val="en-CA"/>
        </w:rPr>
        <w:t>July</w:t>
      </w:r>
      <w:r w:rsidR="00A80A52" w:rsidRPr="0088092F">
        <w:rPr>
          <w:rFonts w:cs="Arial"/>
          <w:szCs w:val="22"/>
          <w:lang w:val="en-CA"/>
        </w:rPr>
        <w:t xml:space="preserve"> 5 and remained unanswered</w:t>
      </w:r>
      <w:r w:rsidRPr="0088092F">
        <w:rPr>
          <w:rFonts w:cs="Arial"/>
          <w:color w:val="000000"/>
          <w:szCs w:val="22"/>
          <w:lang w:val="en-CA"/>
        </w:rPr>
        <w:t>. M</w:t>
      </w:r>
      <w:r w:rsidR="0036173D" w:rsidRPr="0088092F">
        <w:rPr>
          <w:rFonts w:cs="Arial"/>
          <w:color w:val="000000"/>
          <w:szCs w:val="22"/>
          <w:lang w:val="en-CA"/>
        </w:rPr>
        <w:t>r</w:t>
      </w:r>
      <w:r w:rsidRPr="0088092F">
        <w:rPr>
          <w:rFonts w:cs="Arial"/>
          <w:color w:val="000000"/>
          <w:szCs w:val="22"/>
          <w:lang w:val="en-CA"/>
        </w:rPr>
        <w:t>. Lapointe expl</w:t>
      </w:r>
      <w:r w:rsidR="0036173D" w:rsidRPr="0088092F">
        <w:rPr>
          <w:rFonts w:cs="Arial"/>
          <w:color w:val="000000"/>
          <w:szCs w:val="22"/>
          <w:lang w:val="en-CA"/>
        </w:rPr>
        <w:t xml:space="preserve">ained that they </w:t>
      </w:r>
      <w:r w:rsidR="0066202F">
        <w:rPr>
          <w:rFonts w:cs="Arial"/>
          <w:color w:val="000000"/>
          <w:szCs w:val="22"/>
          <w:lang w:val="en-CA"/>
        </w:rPr>
        <w:t>told</w:t>
      </w:r>
      <w:r w:rsidR="0066202F" w:rsidRPr="0088092F">
        <w:rPr>
          <w:rFonts w:cs="Arial"/>
          <w:color w:val="000000"/>
          <w:szCs w:val="22"/>
          <w:lang w:val="en-CA"/>
        </w:rPr>
        <w:t xml:space="preserve"> </w:t>
      </w:r>
      <w:r w:rsidRPr="0088092F">
        <w:rPr>
          <w:rFonts w:cs="Arial"/>
          <w:color w:val="000000"/>
          <w:szCs w:val="22"/>
          <w:lang w:val="en-CA"/>
        </w:rPr>
        <w:t>M</w:t>
      </w:r>
      <w:r w:rsidR="0036173D" w:rsidRPr="0088092F">
        <w:rPr>
          <w:rFonts w:cs="Arial"/>
          <w:color w:val="000000"/>
          <w:szCs w:val="22"/>
          <w:lang w:val="en-CA"/>
        </w:rPr>
        <w:t>r</w:t>
      </w:r>
      <w:r w:rsidRPr="0088092F">
        <w:rPr>
          <w:rFonts w:cs="Arial"/>
          <w:color w:val="000000"/>
          <w:szCs w:val="22"/>
          <w:lang w:val="en-CA"/>
        </w:rPr>
        <w:t xml:space="preserve">. Turbide-Labbé </w:t>
      </w:r>
      <w:r w:rsidR="0066202F">
        <w:rPr>
          <w:rFonts w:cs="Arial"/>
          <w:color w:val="000000"/>
          <w:szCs w:val="22"/>
          <w:lang w:val="en-CA"/>
        </w:rPr>
        <w:t xml:space="preserve">that if </w:t>
      </w:r>
      <w:r w:rsidR="0066202F" w:rsidRPr="0088092F">
        <w:rPr>
          <w:rFonts w:cs="Arial"/>
          <w:szCs w:val="22"/>
          <w:lang w:val="en-CA"/>
        </w:rPr>
        <w:t>he displayed good behaviour</w:t>
      </w:r>
      <w:r w:rsidR="0066202F">
        <w:rPr>
          <w:rFonts w:cs="Arial"/>
          <w:szCs w:val="22"/>
          <w:lang w:val="en-CA"/>
        </w:rPr>
        <w:t>, he could</w:t>
      </w:r>
      <w:r w:rsidR="0036173D" w:rsidRPr="0088092F">
        <w:rPr>
          <w:rFonts w:cs="Arial"/>
          <w:color w:val="000000"/>
          <w:szCs w:val="22"/>
          <w:lang w:val="en-CA"/>
        </w:rPr>
        <w:t xml:space="preserve"> be under </w:t>
      </w:r>
      <w:r w:rsidRPr="0088092F">
        <w:rPr>
          <w:rFonts w:cs="Arial"/>
          <w:szCs w:val="22"/>
          <w:lang w:val="en-CA"/>
        </w:rPr>
        <w:t>observation</w:t>
      </w:r>
      <w:r w:rsidR="0036173D" w:rsidRPr="0088092F">
        <w:rPr>
          <w:rFonts w:cs="Arial"/>
          <w:szCs w:val="22"/>
          <w:lang w:val="en-CA"/>
        </w:rPr>
        <w:t xml:space="preserve"> for only seven days instead of fourteen </w:t>
      </w:r>
      <w:r w:rsidR="00340418" w:rsidRPr="0088092F">
        <w:rPr>
          <w:rFonts w:cs="Arial"/>
          <w:szCs w:val="22"/>
          <w:lang w:val="en-CA"/>
        </w:rPr>
        <w:t xml:space="preserve">before integrating into a </w:t>
      </w:r>
      <w:r w:rsidR="0084637F">
        <w:rPr>
          <w:rFonts w:cs="Arial"/>
          <w:szCs w:val="22"/>
          <w:lang w:val="en-CA"/>
        </w:rPr>
        <w:t xml:space="preserve">maximum security </w:t>
      </w:r>
      <w:r w:rsidR="0066202F">
        <w:rPr>
          <w:rFonts w:cs="Arial"/>
          <w:szCs w:val="22"/>
          <w:lang w:val="en-CA"/>
        </w:rPr>
        <w:t xml:space="preserve">general </w:t>
      </w:r>
      <w:r w:rsidR="00641E3B">
        <w:rPr>
          <w:rFonts w:cs="Arial"/>
          <w:szCs w:val="22"/>
          <w:lang w:val="en-CA"/>
        </w:rPr>
        <w:t>area</w:t>
      </w:r>
      <w:r w:rsidRPr="0088092F">
        <w:rPr>
          <w:rFonts w:cs="Arial"/>
          <w:color w:val="000000"/>
          <w:szCs w:val="22"/>
          <w:lang w:val="en-CA"/>
        </w:rPr>
        <w:t>. M</w:t>
      </w:r>
      <w:r w:rsidR="002E5426" w:rsidRPr="0088092F">
        <w:rPr>
          <w:rFonts w:cs="Arial"/>
          <w:color w:val="000000"/>
          <w:szCs w:val="22"/>
          <w:lang w:val="en-CA"/>
        </w:rPr>
        <w:t>r.</w:t>
      </w:r>
      <w:r w:rsidRPr="0088092F">
        <w:rPr>
          <w:rFonts w:cs="Arial"/>
          <w:color w:val="000000"/>
          <w:szCs w:val="22"/>
          <w:lang w:val="en-CA"/>
        </w:rPr>
        <w:t xml:space="preserve"> Lapointe expl</w:t>
      </w:r>
      <w:r w:rsidR="002E5426" w:rsidRPr="0088092F">
        <w:rPr>
          <w:rFonts w:cs="Arial"/>
          <w:color w:val="000000"/>
          <w:szCs w:val="22"/>
          <w:lang w:val="en-CA"/>
        </w:rPr>
        <w:t xml:space="preserve">ained that he could not integrate </w:t>
      </w:r>
      <w:r w:rsidRPr="0088092F">
        <w:rPr>
          <w:rFonts w:cs="Arial"/>
          <w:color w:val="000000"/>
          <w:szCs w:val="22"/>
          <w:lang w:val="en-CA"/>
        </w:rPr>
        <w:lastRenderedPageBreak/>
        <w:t>M</w:t>
      </w:r>
      <w:r w:rsidR="002E5426" w:rsidRPr="0088092F">
        <w:rPr>
          <w:rFonts w:cs="Arial"/>
          <w:color w:val="000000"/>
          <w:szCs w:val="22"/>
          <w:lang w:val="en-CA"/>
        </w:rPr>
        <w:t>r</w:t>
      </w:r>
      <w:r w:rsidRPr="0088092F">
        <w:rPr>
          <w:rFonts w:cs="Arial"/>
          <w:color w:val="000000"/>
          <w:szCs w:val="22"/>
          <w:lang w:val="en-CA"/>
        </w:rPr>
        <w:t xml:space="preserve">. Turbide-Labbé </w:t>
      </w:r>
      <w:r w:rsidR="002E5426" w:rsidRPr="0088092F">
        <w:rPr>
          <w:rFonts w:cs="Arial"/>
          <w:color w:val="000000"/>
          <w:szCs w:val="22"/>
          <w:lang w:val="en-CA"/>
        </w:rPr>
        <w:t xml:space="preserve">directly into a </w:t>
      </w:r>
      <w:r w:rsidR="00092F31">
        <w:rPr>
          <w:lang w:val="en-CA"/>
        </w:rPr>
        <w:t>general</w:t>
      </w:r>
      <w:r w:rsidR="002E5426" w:rsidRPr="0088092F">
        <w:rPr>
          <w:rFonts w:cs="Arial"/>
          <w:color w:val="000000"/>
          <w:szCs w:val="22"/>
          <w:lang w:val="en-CA"/>
        </w:rPr>
        <w:t xml:space="preserve"> </w:t>
      </w:r>
      <w:r w:rsidR="00641E3B">
        <w:rPr>
          <w:rFonts w:cs="Arial"/>
          <w:color w:val="000000"/>
          <w:szCs w:val="22"/>
          <w:lang w:val="en-CA"/>
        </w:rPr>
        <w:t>area</w:t>
      </w:r>
      <w:r w:rsidR="002E5426" w:rsidRPr="0088092F">
        <w:rPr>
          <w:rFonts w:cs="Arial"/>
          <w:color w:val="000000"/>
          <w:szCs w:val="22"/>
          <w:lang w:val="en-CA"/>
        </w:rPr>
        <w:t xml:space="preserve"> in view of his behaviour and </w:t>
      </w:r>
      <w:r w:rsidR="00566E51" w:rsidRPr="0088092F">
        <w:rPr>
          <w:rFonts w:cs="Arial"/>
          <w:color w:val="000000"/>
          <w:szCs w:val="22"/>
          <w:lang w:val="en-CA"/>
        </w:rPr>
        <w:t>security requirements</w:t>
      </w:r>
      <w:r w:rsidRPr="0088092F">
        <w:rPr>
          <w:rFonts w:cs="Arial"/>
          <w:color w:val="000000"/>
          <w:szCs w:val="22"/>
          <w:lang w:val="en-CA"/>
        </w:rPr>
        <w:t>.</w:t>
      </w:r>
      <w:r w:rsidR="00566E51" w:rsidRPr="0088092F">
        <w:rPr>
          <w:rFonts w:cs="Arial"/>
          <w:color w:val="000000"/>
          <w:szCs w:val="22"/>
          <w:lang w:val="en-CA"/>
        </w:rPr>
        <w:t xml:space="preserve"> Note that the </w:t>
      </w:r>
      <w:r w:rsidR="00641E3B">
        <w:rPr>
          <w:rFonts w:cs="Arial"/>
          <w:color w:val="000000"/>
          <w:szCs w:val="22"/>
          <w:lang w:val="en-CA"/>
        </w:rPr>
        <w:t>area</w:t>
      </w:r>
      <w:r w:rsidR="00566E51" w:rsidRPr="0088092F">
        <w:rPr>
          <w:rFonts w:cs="Arial"/>
          <w:color w:val="000000"/>
          <w:szCs w:val="22"/>
          <w:lang w:val="en-CA"/>
        </w:rPr>
        <w:t xml:space="preserve"> to which they wanted to temporarily transfer him did not permit contact with the other inmates</w:t>
      </w:r>
      <w:r w:rsidRPr="0088092F">
        <w:rPr>
          <w:rFonts w:cs="Arial"/>
          <w:color w:val="000000"/>
          <w:szCs w:val="22"/>
          <w:lang w:val="en-CA"/>
        </w:rPr>
        <w:t>.</w:t>
      </w:r>
    </w:p>
    <w:p w14:paraId="683A3E37" w14:textId="48A908EC" w:rsidR="00461B74" w:rsidRPr="0088092F" w:rsidRDefault="00461B74" w:rsidP="00461B74">
      <w:pPr>
        <w:pStyle w:val="Citationenretrait"/>
        <w:rPr>
          <w:rFonts w:cs="Arial"/>
          <w:color w:val="000000"/>
          <w:szCs w:val="22"/>
          <w:lang w:val="en-CA"/>
        </w:rPr>
      </w:pPr>
      <w:r w:rsidRPr="0088092F">
        <w:rPr>
          <w:rFonts w:cs="Arial"/>
          <w:color w:val="000000"/>
          <w:szCs w:val="22"/>
          <w:lang w:val="en-CA"/>
        </w:rPr>
        <w:t>[</w:t>
      </w:r>
      <w:bookmarkStart w:id="33" w:name="par10"/>
      <w:r w:rsidRPr="0088092F">
        <w:rPr>
          <w:rFonts w:cs="Arial"/>
          <w:color w:val="000000"/>
          <w:szCs w:val="22"/>
          <w:lang w:val="en-CA"/>
        </w:rPr>
        <w:t>10</w:t>
      </w:r>
      <w:bookmarkEnd w:id="33"/>
      <w:r w:rsidRPr="0088092F">
        <w:rPr>
          <w:rFonts w:cs="Arial"/>
          <w:color w:val="000000"/>
          <w:szCs w:val="22"/>
          <w:lang w:val="en-CA"/>
        </w:rPr>
        <w:t>]      M</w:t>
      </w:r>
      <w:r w:rsidR="00323A10" w:rsidRPr="0088092F">
        <w:rPr>
          <w:rFonts w:cs="Arial"/>
          <w:color w:val="000000"/>
          <w:szCs w:val="22"/>
          <w:lang w:val="en-CA"/>
        </w:rPr>
        <w:t>r</w:t>
      </w:r>
      <w:r w:rsidRPr="0088092F">
        <w:rPr>
          <w:rFonts w:cs="Arial"/>
          <w:color w:val="000000"/>
          <w:szCs w:val="22"/>
          <w:lang w:val="en-CA"/>
        </w:rPr>
        <w:t xml:space="preserve">. Turbide-Labbé </w:t>
      </w:r>
      <w:r w:rsidRPr="0088092F">
        <w:rPr>
          <w:rFonts w:cs="Arial"/>
          <w:szCs w:val="22"/>
          <w:lang w:val="en-CA"/>
        </w:rPr>
        <w:t>filed</w:t>
      </w:r>
      <w:r w:rsidR="00323A10" w:rsidRPr="0088092F">
        <w:rPr>
          <w:rFonts w:cs="Arial"/>
          <w:szCs w:val="22"/>
          <w:lang w:val="en-CA"/>
        </w:rPr>
        <w:t xml:space="preserve"> a signed copy of the June 30 offer indicating that he</w:t>
      </w:r>
      <w:r w:rsidR="004740D5">
        <w:rPr>
          <w:rFonts w:cs="Arial"/>
          <w:szCs w:val="22"/>
          <w:lang w:val="en-CA"/>
        </w:rPr>
        <w:t xml:space="preserve"> had</w:t>
      </w:r>
      <w:r w:rsidR="00323A10" w:rsidRPr="0088092F">
        <w:rPr>
          <w:rFonts w:cs="Arial"/>
          <w:szCs w:val="22"/>
          <w:lang w:val="en-CA"/>
        </w:rPr>
        <w:t xml:space="preserve"> accepted it</w:t>
      </w:r>
      <w:r w:rsidRPr="0088092F">
        <w:rPr>
          <w:rFonts w:cs="Arial"/>
          <w:color w:val="000000"/>
          <w:szCs w:val="22"/>
          <w:lang w:val="en-CA"/>
        </w:rPr>
        <w:t xml:space="preserve">. </w:t>
      </w:r>
      <w:r w:rsidR="00323A10" w:rsidRPr="0088092F">
        <w:rPr>
          <w:rFonts w:cs="Arial"/>
          <w:color w:val="000000"/>
          <w:szCs w:val="22"/>
          <w:lang w:val="en-CA"/>
        </w:rPr>
        <w:t>It appears that this acceptance of the offer never reached the correctional facility</w:t>
      </w:r>
      <w:r w:rsidR="00691B6D">
        <w:rPr>
          <w:rFonts w:cs="Arial"/>
          <w:color w:val="000000"/>
          <w:szCs w:val="22"/>
          <w:lang w:val="en-CA"/>
        </w:rPr>
        <w:t xml:space="preserve"> authorities</w:t>
      </w:r>
      <w:r w:rsidRPr="0088092F">
        <w:rPr>
          <w:rFonts w:cs="Arial"/>
          <w:color w:val="000000"/>
          <w:szCs w:val="22"/>
          <w:lang w:val="en-CA"/>
        </w:rPr>
        <w:t>.</w:t>
      </w:r>
      <w:r w:rsidR="00323A10" w:rsidRPr="0088092F">
        <w:rPr>
          <w:rFonts w:cs="Arial"/>
          <w:color w:val="000000"/>
          <w:szCs w:val="22"/>
          <w:lang w:val="en-CA"/>
        </w:rPr>
        <w:t xml:space="preserve"> At the hearing, </w:t>
      </w:r>
      <w:r w:rsidRPr="0088092F">
        <w:rPr>
          <w:rFonts w:cs="Arial"/>
          <w:color w:val="000000"/>
          <w:szCs w:val="22"/>
          <w:lang w:val="en-CA"/>
        </w:rPr>
        <w:t>M</w:t>
      </w:r>
      <w:r w:rsidR="00323A10" w:rsidRPr="0088092F">
        <w:rPr>
          <w:rFonts w:cs="Arial"/>
          <w:color w:val="000000"/>
          <w:szCs w:val="22"/>
          <w:lang w:val="en-CA"/>
        </w:rPr>
        <w:t>r</w:t>
      </w:r>
      <w:r w:rsidRPr="0088092F">
        <w:rPr>
          <w:rFonts w:cs="Arial"/>
          <w:color w:val="000000"/>
          <w:szCs w:val="22"/>
          <w:lang w:val="en-CA"/>
        </w:rPr>
        <w:t xml:space="preserve">. Lapointe </w:t>
      </w:r>
      <w:r w:rsidR="00323A10" w:rsidRPr="0088092F">
        <w:rPr>
          <w:rFonts w:cs="Arial"/>
          <w:color w:val="000000"/>
          <w:szCs w:val="22"/>
          <w:lang w:val="en-CA"/>
        </w:rPr>
        <w:t xml:space="preserve">reiterated the transfer offer to </w:t>
      </w:r>
      <w:r w:rsidRPr="0088092F">
        <w:rPr>
          <w:rFonts w:cs="Arial"/>
          <w:color w:val="000000"/>
          <w:szCs w:val="22"/>
          <w:lang w:val="en-CA"/>
        </w:rPr>
        <w:t>M</w:t>
      </w:r>
      <w:r w:rsidR="00323A10" w:rsidRPr="0088092F">
        <w:rPr>
          <w:rFonts w:cs="Arial"/>
          <w:color w:val="000000"/>
          <w:szCs w:val="22"/>
          <w:lang w:val="en-CA"/>
        </w:rPr>
        <w:t>r</w:t>
      </w:r>
      <w:r w:rsidRPr="0088092F">
        <w:rPr>
          <w:rFonts w:cs="Arial"/>
          <w:color w:val="000000"/>
          <w:szCs w:val="22"/>
          <w:lang w:val="en-CA"/>
        </w:rPr>
        <w:t>.</w:t>
      </w:r>
      <w:r w:rsidR="00323A10" w:rsidRPr="0088092F">
        <w:rPr>
          <w:rFonts w:cs="Arial"/>
          <w:color w:val="000000"/>
          <w:szCs w:val="22"/>
          <w:lang w:val="en-CA"/>
        </w:rPr>
        <w:t> </w:t>
      </w:r>
      <w:r w:rsidRPr="0088092F">
        <w:rPr>
          <w:rFonts w:cs="Arial"/>
          <w:color w:val="000000"/>
          <w:szCs w:val="22"/>
          <w:lang w:val="en-CA"/>
        </w:rPr>
        <w:t>Turbide-Labbé</w:t>
      </w:r>
      <w:r w:rsidR="00323A10" w:rsidRPr="0088092F">
        <w:rPr>
          <w:rFonts w:cs="Arial"/>
          <w:color w:val="000000"/>
          <w:szCs w:val="22"/>
          <w:lang w:val="en-CA"/>
        </w:rPr>
        <w:t>, who accepted</w:t>
      </w:r>
      <w:r w:rsidR="00935851" w:rsidRPr="0088092F">
        <w:rPr>
          <w:rFonts w:cs="Arial"/>
          <w:color w:val="000000"/>
          <w:szCs w:val="22"/>
          <w:lang w:val="en-CA"/>
        </w:rPr>
        <w:t xml:space="preserve"> </w:t>
      </w:r>
      <w:r w:rsidR="00323A10" w:rsidRPr="0088092F">
        <w:rPr>
          <w:rFonts w:cs="Arial"/>
          <w:color w:val="000000"/>
          <w:szCs w:val="22"/>
          <w:lang w:val="en-CA"/>
        </w:rPr>
        <w:t xml:space="preserve">it, while maintaining that the </w:t>
      </w:r>
      <w:r w:rsidR="00AC1677" w:rsidRPr="0088092F">
        <w:rPr>
          <w:lang w:val="en-CA"/>
        </w:rPr>
        <w:t>detention conditions</w:t>
      </w:r>
      <w:r w:rsidR="00323A10" w:rsidRPr="0088092F">
        <w:rPr>
          <w:rFonts w:cs="Arial"/>
          <w:color w:val="000000"/>
          <w:szCs w:val="22"/>
          <w:lang w:val="en-CA"/>
        </w:rPr>
        <w:t xml:space="preserve"> in this </w:t>
      </w:r>
      <w:r w:rsidR="00F772BD">
        <w:rPr>
          <w:rFonts w:cs="Arial"/>
          <w:color w:val="000000"/>
          <w:szCs w:val="22"/>
          <w:lang w:val="en-CA"/>
        </w:rPr>
        <w:t>multi-level</w:t>
      </w:r>
      <w:r w:rsidR="0084637F">
        <w:rPr>
          <w:rFonts w:cs="Arial"/>
          <w:color w:val="000000"/>
          <w:szCs w:val="22"/>
          <w:lang w:val="en-CA"/>
        </w:rPr>
        <w:t xml:space="preserve"> </w:t>
      </w:r>
      <w:r w:rsidR="00641E3B">
        <w:rPr>
          <w:rFonts w:cs="Arial"/>
          <w:color w:val="000000"/>
          <w:szCs w:val="22"/>
          <w:lang w:val="en-CA"/>
        </w:rPr>
        <w:t>area</w:t>
      </w:r>
      <w:r w:rsidR="00323A10" w:rsidRPr="0088092F">
        <w:rPr>
          <w:rFonts w:cs="Arial"/>
          <w:color w:val="000000"/>
          <w:szCs w:val="22"/>
          <w:lang w:val="en-CA"/>
        </w:rPr>
        <w:t xml:space="preserve"> violate the </w:t>
      </w:r>
      <w:r w:rsidRPr="0088092F">
        <w:rPr>
          <w:rFonts w:cs="Arial"/>
          <w:i/>
          <w:szCs w:val="22"/>
          <w:lang w:val="en-CA"/>
        </w:rPr>
        <w:t>Charter</w:t>
      </w:r>
      <w:r w:rsidRPr="0088092F">
        <w:rPr>
          <w:rFonts w:cs="Arial"/>
          <w:color w:val="000000"/>
          <w:szCs w:val="22"/>
          <w:lang w:val="en-CA"/>
        </w:rPr>
        <w:t>.</w:t>
      </w:r>
    </w:p>
    <w:p w14:paraId="1D71C0BD" w14:textId="1315D20D" w:rsidR="00461B74" w:rsidRPr="0088092F" w:rsidRDefault="00323A10" w:rsidP="00461B74">
      <w:pPr>
        <w:pStyle w:val="Paragraphe"/>
        <w:spacing w:line="280" w:lineRule="exact"/>
        <w:rPr>
          <w:lang w:val="en-CA"/>
        </w:rPr>
      </w:pPr>
      <w:r w:rsidRPr="0088092F">
        <w:rPr>
          <w:lang w:val="en-CA"/>
        </w:rPr>
        <w:t xml:space="preserve">Next, the judge summarized the applicable </w:t>
      </w:r>
      <w:r w:rsidR="001A5AAB" w:rsidRPr="0088092F">
        <w:rPr>
          <w:lang w:val="en-CA"/>
        </w:rPr>
        <w:t>rules of law</w:t>
      </w:r>
      <w:r w:rsidR="00461B74" w:rsidRPr="0088092F">
        <w:rPr>
          <w:lang w:val="en-CA"/>
        </w:rPr>
        <w:t>:</w:t>
      </w:r>
    </w:p>
    <w:p w14:paraId="6CAD0805" w14:textId="5F21C7C8" w:rsidR="001A5AAB" w:rsidRPr="0088092F" w:rsidRDefault="001A5AAB" w:rsidP="00461B74">
      <w:pPr>
        <w:pStyle w:val="Citationenretrait"/>
        <w:rPr>
          <w:rFonts w:cs="Arial"/>
          <w:color w:val="000000"/>
          <w:szCs w:val="22"/>
          <w:lang w:val="en-CA" w:eastAsia="fr-CA"/>
        </w:rPr>
      </w:pPr>
      <w:r w:rsidRPr="0088092F">
        <w:rPr>
          <w:rFonts w:cs="Arial"/>
          <w:color w:val="000000"/>
          <w:szCs w:val="22"/>
          <w:lang w:val="en-CA" w:eastAsia="fr-CA"/>
        </w:rPr>
        <w:t>[</w:t>
      </w:r>
      <w:r w:rsidRPr="0088092F">
        <w:rPr>
          <w:rFonts w:cs="Arial"/>
          <w:smallCaps/>
          <w:color w:val="000000"/>
          <w:szCs w:val="22"/>
          <w:lang w:val="en-CA" w:eastAsia="fr-CA"/>
        </w:rPr>
        <w:t>translation</w:t>
      </w:r>
      <w:r w:rsidRPr="0088092F">
        <w:rPr>
          <w:rFonts w:cs="Arial"/>
          <w:color w:val="000000"/>
          <w:szCs w:val="22"/>
          <w:lang w:val="en-CA" w:eastAsia="fr-CA"/>
        </w:rPr>
        <w:t>]</w:t>
      </w:r>
      <w:r w:rsidR="002448D2" w:rsidRPr="0088092F">
        <w:rPr>
          <w:rFonts w:cs="Arial"/>
          <w:color w:val="000000"/>
          <w:szCs w:val="22"/>
          <w:lang w:val="en-CA" w:eastAsia="fr-CA"/>
        </w:rPr>
        <w:t xml:space="preserve"> </w:t>
      </w:r>
    </w:p>
    <w:p w14:paraId="2FFBD6B2" w14:textId="6F71A9F7"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4" w:name="par11"/>
      <w:r w:rsidRPr="0088092F">
        <w:rPr>
          <w:rFonts w:cs="Arial"/>
          <w:color w:val="000000"/>
          <w:szCs w:val="22"/>
          <w:lang w:val="en-CA" w:eastAsia="fr-CA"/>
        </w:rPr>
        <w:t>11</w:t>
      </w:r>
      <w:bookmarkEnd w:id="34"/>
      <w:r w:rsidRPr="0088092F">
        <w:rPr>
          <w:rFonts w:cs="Arial"/>
          <w:color w:val="000000"/>
          <w:szCs w:val="22"/>
          <w:lang w:val="en-CA" w:eastAsia="fr-CA"/>
        </w:rPr>
        <w:t>]</w:t>
      </w:r>
      <w:r w:rsidRPr="0088092F">
        <w:rPr>
          <w:rFonts w:ascii="Times New Roman" w:hAnsi="Times New Roman"/>
          <w:color w:val="000000"/>
          <w:szCs w:val="22"/>
          <w:lang w:val="en-CA" w:eastAsia="fr-CA"/>
        </w:rPr>
        <w:t>      </w:t>
      </w:r>
      <w:r w:rsidR="00664DAD" w:rsidRPr="0088092F">
        <w:rPr>
          <w:rFonts w:cs="Arial"/>
          <w:color w:val="000000"/>
          <w:szCs w:val="22"/>
          <w:lang w:val="en-CA" w:eastAsia="fr-CA"/>
        </w:rPr>
        <w:t>I</w:t>
      </w:r>
      <w:r w:rsidRPr="0088092F">
        <w:rPr>
          <w:rFonts w:cs="Arial"/>
          <w:color w:val="000000"/>
          <w:szCs w:val="22"/>
          <w:lang w:val="en-CA" w:eastAsia="fr-CA"/>
        </w:rPr>
        <w:t xml:space="preserve">n </w:t>
      </w:r>
      <w:r w:rsidR="00664DAD" w:rsidRPr="0088092F">
        <w:rPr>
          <w:rFonts w:cs="Arial"/>
          <w:color w:val="000000"/>
          <w:szCs w:val="22"/>
          <w:lang w:val="en-CA" w:eastAsia="fr-CA"/>
        </w:rPr>
        <w:t>cases involving inca</w:t>
      </w:r>
      <w:r w:rsidR="00FE1243" w:rsidRPr="0088092F">
        <w:rPr>
          <w:rFonts w:cs="Arial"/>
          <w:color w:val="000000"/>
          <w:szCs w:val="22"/>
          <w:lang w:val="en-CA" w:eastAsia="fr-CA"/>
        </w:rPr>
        <w:t xml:space="preserve">rceration where the initial detention is lawful, as is the </w:t>
      </w:r>
      <w:r w:rsidR="00935851" w:rsidRPr="0088092F">
        <w:rPr>
          <w:rFonts w:cs="Arial"/>
          <w:color w:val="000000"/>
          <w:szCs w:val="22"/>
          <w:lang w:val="en-CA" w:eastAsia="fr-CA"/>
        </w:rPr>
        <w:t>situation</w:t>
      </w:r>
      <w:r w:rsidR="00FE1243" w:rsidRPr="0088092F">
        <w:rPr>
          <w:rFonts w:cs="Arial"/>
          <w:color w:val="000000"/>
          <w:szCs w:val="22"/>
          <w:lang w:val="en-CA" w:eastAsia="fr-CA"/>
        </w:rPr>
        <w:t xml:space="preserve"> here, the </w:t>
      </w:r>
      <w:r w:rsidRPr="0088092F">
        <w:rPr>
          <w:rFonts w:cs="Arial"/>
          <w:szCs w:val="22"/>
          <w:lang w:val="en-CA" w:eastAsia="fr-CA"/>
        </w:rPr>
        <w:t>applicant</w:t>
      </w:r>
      <w:r w:rsidR="00FE1243" w:rsidRPr="0088092F">
        <w:rPr>
          <w:rFonts w:cs="Arial"/>
          <w:szCs w:val="22"/>
          <w:lang w:val="en-CA" w:eastAsia="fr-CA"/>
        </w:rPr>
        <w:t xml:space="preserve"> seeking the issuance of a</w:t>
      </w:r>
      <w:r w:rsidR="00935851" w:rsidRPr="0088092F">
        <w:rPr>
          <w:rFonts w:cs="Arial"/>
          <w:szCs w:val="22"/>
          <w:lang w:val="en-CA" w:eastAsia="fr-CA"/>
        </w:rPr>
        <w:t xml:space="preserve"> writ of </w:t>
      </w:r>
      <w:r w:rsidRPr="0088092F">
        <w:rPr>
          <w:rFonts w:cs="Arial"/>
          <w:i/>
          <w:iCs/>
          <w:color w:val="000000"/>
          <w:szCs w:val="22"/>
          <w:lang w:val="en-CA" w:eastAsia="fr-CA"/>
        </w:rPr>
        <w:t>habeas</w:t>
      </w:r>
      <w:r w:rsidRPr="0088092F">
        <w:rPr>
          <w:rFonts w:cs="Arial"/>
          <w:color w:val="000000"/>
          <w:szCs w:val="22"/>
          <w:lang w:val="en-CA" w:eastAsia="fr-CA"/>
        </w:rPr>
        <w:t> </w:t>
      </w:r>
      <w:r w:rsidRPr="0088092F">
        <w:rPr>
          <w:rFonts w:cs="Arial"/>
          <w:i/>
          <w:iCs/>
          <w:color w:val="000000"/>
          <w:szCs w:val="22"/>
          <w:lang w:val="en-CA" w:eastAsia="fr-CA"/>
        </w:rPr>
        <w:t>corpus</w:t>
      </w:r>
      <w:r w:rsidRPr="0088092F">
        <w:rPr>
          <w:rFonts w:cs="Arial"/>
          <w:color w:val="000000"/>
          <w:szCs w:val="22"/>
          <w:lang w:val="en-CA" w:eastAsia="fr-CA"/>
        </w:rPr>
        <w:t> </w:t>
      </w:r>
      <w:r w:rsidR="00935851" w:rsidRPr="0088092F">
        <w:rPr>
          <w:rFonts w:cs="Arial"/>
          <w:color w:val="000000"/>
          <w:szCs w:val="22"/>
          <w:lang w:val="en-CA" w:eastAsia="fr-CA"/>
        </w:rPr>
        <w:t>must establish a deprivation of his or her residual liberty</w:t>
      </w:r>
      <w:r w:rsidR="00BE415C" w:rsidRPr="0088092F">
        <w:rPr>
          <w:rFonts w:cs="Arial"/>
          <w:color w:val="000000"/>
          <w:szCs w:val="22"/>
          <w:lang w:val="en-CA" w:eastAsia="fr-CA"/>
        </w:rPr>
        <w:t xml:space="preserve"> and a doubt </w:t>
      </w:r>
      <w:r w:rsidR="00181AAD">
        <w:rPr>
          <w:rFonts w:cs="Arial"/>
          <w:color w:val="000000"/>
          <w:szCs w:val="22"/>
          <w:lang w:val="en-CA" w:eastAsia="fr-CA"/>
        </w:rPr>
        <w:t>as to the lawfulness of</w:t>
      </w:r>
      <w:r w:rsidR="00BE415C" w:rsidRPr="0088092F">
        <w:rPr>
          <w:rFonts w:cs="Arial"/>
          <w:color w:val="000000"/>
          <w:szCs w:val="22"/>
          <w:lang w:val="en-CA" w:eastAsia="fr-CA"/>
        </w:rPr>
        <w:t xml:space="preserve"> that de</w:t>
      </w:r>
      <w:r w:rsidRPr="0088092F">
        <w:rPr>
          <w:rFonts w:cs="Arial"/>
          <w:color w:val="000000"/>
          <w:szCs w:val="22"/>
          <w:lang w:val="en-CA" w:eastAsia="fr-CA"/>
        </w:rPr>
        <w:t xml:space="preserve">privation, </w:t>
      </w:r>
      <w:r w:rsidR="00BE415C" w:rsidRPr="0088092F">
        <w:rPr>
          <w:rFonts w:cs="Arial"/>
          <w:color w:val="000000"/>
          <w:szCs w:val="22"/>
          <w:lang w:val="en-CA" w:eastAsia="fr-CA"/>
        </w:rPr>
        <w:t>in which case public security must establish its effective lawfulness</w:t>
      </w:r>
      <w:r w:rsidRPr="0088092F">
        <w:rPr>
          <w:rFonts w:cs="Arial"/>
          <w:color w:val="000000"/>
          <w:szCs w:val="22"/>
          <w:lang w:val="en-CA" w:eastAsia="fr-CA"/>
        </w:rPr>
        <w:t>.</w:t>
      </w:r>
    </w:p>
    <w:p w14:paraId="6B6841CE" w14:textId="5E5019A5"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5" w:name="par12"/>
      <w:r w:rsidRPr="0088092F">
        <w:rPr>
          <w:rFonts w:cs="Arial"/>
          <w:color w:val="000000"/>
          <w:szCs w:val="22"/>
          <w:lang w:val="en-CA" w:eastAsia="fr-CA"/>
        </w:rPr>
        <w:t>12</w:t>
      </w:r>
      <w:bookmarkEnd w:id="35"/>
      <w:r w:rsidRPr="0088092F">
        <w:rPr>
          <w:rFonts w:cs="Arial"/>
          <w:color w:val="000000"/>
          <w:szCs w:val="22"/>
          <w:lang w:val="en-CA" w:eastAsia="fr-CA"/>
        </w:rPr>
        <w:t>]</w:t>
      </w:r>
      <w:r w:rsidRPr="0088092F">
        <w:rPr>
          <w:rFonts w:ascii="Times New Roman" w:hAnsi="Times New Roman"/>
          <w:color w:val="000000"/>
          <w:szCs w:val="22"/>
          <w:lang w:val="en-CA" w:eastAsia="fr-CA"/>
        </w:rPr>
        <w:t xml:space="preserve">   </w:t>
      </w:r>
      <w:r w:rsidR="001979EB" w:rsidRPr="0088092F">
        <w:rPr>
          <w:rFonts w:cs="Arial"/>
          <w:color w:val="000000"/>
          <w:szCs w:val="22"/>
          <w:lang w:val="en-CA" w:eastAsia="fr-CA"/>
        </w:rPr>
        <w:t xml:space="preserve">The review of administrative </w:t>
      </w:r>
      <w:r w:rsidRPr="0088092F">
        <w:rPr>
          <w:rFonts w:cs="Arial"/>
          <w:szCs w:val="22"/>
          <w:lang w:val="en-CA" w:eastAsia="fr-CA"/>
        </w:rPr>
        <w:t>decisions</w:t>
      </w:r>
      <w:r w:rsidR="001979EB" w:rsidRPr="0088092F">
        <w:rPr>
          <w:rFonts w:cs="Arial"/>
          <w:szCs w:val="22"/>
          <w:lang w:val="en-CA" w:eastAsia="fr-CA"/>
        </w:rPr>
        <w:t xml:space="preserve"> by courts</w:t>
      </w:r>
      <w:r w:rsidR="006301D2" w:rsidRPr="0088092F">
        <w:rPr>
          <w:rFonts w:cs="Arial"/>
          <w:szCs w:val="22"/>
          <w:lang w:val="en-CA" w:eastAsia="fr-CA"/>
        </w:rPr>
        <w:t xml:space="preserve"> of justice must be guided by </w:t>
      </w:r>
      <w:r w:rsidRPr="0088092F">
        <w:rPr>
          <w:rFonts w:cs="Arial"/>
          <w:szCs w:val="22"/>
          <w:lang w:val="en-CA" w:eastAsia="fr-CA"/>
        </w:rPr>
        <w:t>judicial</w:t>
      </w:r>
      <w:r w:rsidR="009266DF" w:rsidRPr="0088092F">
        <w:rPr>
          <w:rFonts w:cs="Arial"/>
          <w:szCs w:val="22"/>
          <w:lang w:val="en-CA" w:eastAsia="fr-CA"/>
        </w:rPr>
        <w:t xml:space="preserve"> restraint</w:t>
      </w:r>
      <w:r w:rsidRPr="0088092F">
        <w:rPr>
          <w:rFonts w:cs="Arial"/>
          <w:color w:val="000000"/>
          <w:szCs w:val="22"/>
          <w:lang w:val="en-CA" w:eastAsia="fr-CA"/>
        </w:rPr>
        <w:t xml:space="preserve"> </w:t>
      </w:r>
      <w:r w:rsidR="006301D2" w:rsidRPr="0088092F">
        <w:rPr>
          <w:rFonts w:cs="Arial"/>
          <w:color w:val="000000"/>
          <w:szCs w:val="22"/>
          <w:lang w:val="en-CA" w:eastAsia="fr-CA"/>
        </w:rPr>
        <w:t xml:space="preserve">and </w:t>
      </w:r>
      <w:r w:rsidRPr="0088092F">
        <w:rPr>
          <w:rFonts w:cs="Arial"/>
          <w:color w:val="000000"/>
          <w:szCs w:val="22"/>
          <w:lang w:val="en-CA" w:eastAsia="fr-CA"/>
        </w:rPr>
        <w:t xml:space="preserve">respect </w:t>
      </w:r>
      <w:r w:rsidR="006301D2" w:rsidRPr="0088092F">
        <w:rPr>
          <w:rFonts w:cs="Arial"/>
          <w:color w:val="000000"/>
          <w:szCs w:val="22"/>
          <w:lang w:val="en-CA" w:eastAsia="fr-CA"/>
        </w:rPr>
        <w:t xml:space="preserve">for the </w:t>
      </w:r>
      <w:r w:rsidRPr="0088092F">
        <w:rPr>
          <w:rFonts w:cs="Arial"/>
          <w:szCs w:val="22"/>
          <w:lang w:val="en-CA" w:eastAsia="fr-CA"/>
        </w:rPr>
        <w:t>jurisdiction</w:t>
      </w:r>
      <w:r w:rsidR="006301D2" w:rsidRPr="0088092F">
        <w:rPr>
          <w:rFonts w:cs="Arial"/>
          <w:szCs w:val="22"/>
          <w:lang w:val="en-CA" w:eastAsia="fr-CA"/>
        </w:rPr>
        <w:t xml:space="preserve"> of </w:t>
      </w:r>
      <w:r w:rsidRPr="0088092F">
        <w:rPr>
          <w:rFonts w:cs="Arial"/>
          <w:color w:val="000000"/>
          <w:szCs w:val="22"/>
          <w:lang w:val="en-CA" w:eastAsia="fr-CA"/>
        </w:rPr>
        <w:t>administrati</w:t>
      </w:r>
      <w:r w:rsidR="006301D2" w:rsidRPr="0088092F">
        <w:rPr>
          <w:rFonts w:cs="Arial"/>
          <w:color w:val="000000"/>
          <w:szCs w:val="22"/>
          <w:lang w:val="en-CA" w:eastAsia="fr-CA"/>
        </w:rPr>
        <w:t>ve decision-makers</w:t>
      </w:r>
      <w:r w:rsidRPr="0088092F">
        <w:rPr>
          <w:rFonts w:cs="Arial"/>
          <w:color w:val="000000"/>
          <w:szCs w:val="22"/>
          <w:lang w:val="en-CA" w:eastAsia="fr-CA"/>
        </w:rPr>
        <w:t>,</w:t>
      </w:r>
      <w:r w:rsidR="006301D2" w:rsidRPr="0088092F">
        <w:rPr>
          <w:rFonts w:cs="Arial"/>
          <w:color w:val="000000"/>
          <w:szCs w:val="22"/>
          <w:lang w:val="en-CA" w:eastAsia="fr-CA"/>
        </w:rPr>
        <w:t xml:space="preserve"> subject to the need for intervention to preserve the </w:t>
      </w:r>
      <w:r w:rsidR="00D33EAF" w:rsidRPr="0088092F">
        <w:rPr>
          <w:rFonts w:cs="Arial"/>
          <w:color w:val="000000"/>
          <w:szCs w:val="22"/>
          <w:lang w:val="en-CA" w:eastAsia="fr-CA"/>
        </w:rPr>
        <w:t xml:space="preserve">legitimacy, </w:t>
      </w:r>
      <w:r w:rsidRPr="0088092F">
        <w:rPr>
          <w:rFonts w:cs="Arial"/>
          <w:color w:val="000000"/>
          <w:szCs w:val="22"/>
          <w:lang w:val="en-CA" w:eastAsia="fr-CA"/>
        </w:rPr>
        <w:t>rationalit</w:t>
      </w:r>
      <w:r w:rsidR="00D33EAF" w:rsidRPr="0088092F">
        <w:rPr>
          <w:rFonts w:cs="Arial"/>
          <w:color w:val="000000"/>
          <w:szCs w:val="22"/>
          <w:lang w:val="en-CA" w:eastAsia="fr-CA"/>
        </w:rPr>
        <w:t xml:space="preserve">y, and fairness of the </w:t>
      </w:r>
      <w:r w:rsidRPr="0088092F">
        <w:rPr>
          <w:rFonts w:cs="Arial"/>
          <w:color w:val="000000"/>
          <w:szCs w:val="22"/>
          <w:lang w:val="en-CA" w:eastAsia="fr-CA"/>
        </w:rPr>
        <w:t>administrati</w:t>
      </w:r>
      <w:r w:rsidR="00D33EAF" w:rsidRPr="0088092F">
        <w:rPr>
          <w:rFonts w:cs="Arial"/>
          <w:color w:val="000000"/>
          <w:szCs w:val="22"/>
          <w:lang w:val="en-CA" w:eastAsia="fr-CA"/>
        </w:rPr>
        <w:t>ve process</w:t>
      </w:r>
      <w:r w:rsidRPr="0088092F">
        <w:rPr>
          <w:rFonts w:cs="Arial"/>
          <w:color w:val="000000"/>
          <w:szCs w:val="22"/>
          <w:lang w:val="en-CA" w:eastAsia="fr-CA"/>
        </w:rPr>
        <w:t>.</w:t>
      </w:r>
    </w:p>
    <w:p w14:paraId="19B15F32" w14:textId="7407AAD9"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6" w:name="par13"/>
      <w:r w:rsidRPr="0088092F">
        <w:rPr>
          <w:rFonts w:cs="Arial"/>
          <w:color w:val="000000"/>
          <w:szCs w:val="22"/>
          <w:lang w:val="en-CA" w:eastAsia="fr-CA"/>
        </w:rPr>
        <w:t>13</w:t>
      </w:r>
      <w:bookmarkEnd w:id="36"/>
      <w:r w:rsidRPr="0088092F">
        <w:rPr>
          <w:rFonts w:cs="Arial"/>
          <w:color w:val="000000"/>
          <w:szCs w:val="22"/>
          <w:lang w:val="en-CA" w:eastAsia="fr-CA"/>
        </w:rPr>
        <w:t>]</w:t>
      </w:r>
      <w:r w:rsidRPr="0088092F">
        <w:rPr>
          <w:rFonts w:ascii="Times New Roman" w:hAnsi="Times New Roman"/>
          <w:color w:val="000000"/>
          <w:szCs w:val="22"/>
          <w:lang w:val="en-CA" w:eastAsia="fr-CA"/>
        </w:rPr>
        <w:t>      </w:t>
      </w:r>
      <w:r w:rsidR="00D33EAF" w:rsidRPr="0088092F">
        <w:rPr>
          <w:rFonts w:cs="Arial"/>
          <w:color w:val="000000"/>
          <w:szCs w:val="22"/>
          <w:lang w:val="en-CA" w:eastAsia="fr-CA"/>
        </w:rPr>
        <w:t xml:space="preserve">The </w:t>
      </w:r>
      <w:r w:rsidRPr="0088092F">
        <w:rPr>
          <w:rFonts w:cs="Arial"/>
          <w:szCs w:val="22"/>
          <w:lang w:val="en-CA" w:eastAsia="fr-CA"/>
        </w:rPr>
        <w:t>decision</w:t>
      </w:r>
      <w:r w:rsidR="00D33EAF" w:rsidRPr="0088092F">
        <w:rPr>
          <w:rFonts w:cs="Arial"/>
          <w:szCs w:val="22"/>
          <w:lang w:val="en-CA" w:eastAsia="fr-CA"/>
        </w:rPr>
        <w:t xml:space="preserve"> to </w:t>
      </w:r>
      <w:r w:rsidRPr="0088092F">
        <w:rPr>
          <w:rFonts w:cs="Arial"/>
          <w:szCs w:val="22"/>
          <w:lang w:val="en-CA" w:eastAsia="fr-CA"/>
        </w:rPr>
        <w:t>assign</w:t>
      </w:r>
      <w:r w:rsidR="00D33EAF" w:rsidRPr="0088092F">
        <w:rPr>
          <w:rFonts w:cs="Arial"/>
          <w:szCs w:val="22"/>
          <w:lang w:val="en-CA" w:eastAsia="fr-CA"/>
        </w:rPr>
        <w:t xml:space="preserve"> a security classification to an inmate warrants deference because it is made by directors </w:t>
      </w:r>
      <w:r w:rsidR="00187C45" w:rsidRPr="0088092F">
        <w:rPr>
          <w:rFonts w:cs="Arial"/>
          <w:szCs w:val="22"/>
          <w:lang w:val="en-CA" w:eastAsia="fr-CA"/>
        </w:rPr>
        <w:t xml:space="preserve">who, more so than </w:t>
      </w:r>
      <w:r w:rsidR="00EC2882" w:rsidRPr="0088092F">
        <w:rPr>
          <w:rFonts w:cs="Arial"/>
          <w:szCs w:val="22"/>
          <w:lang w:val="en-CA" w:eastAsia="fr-CA"/>
        </w:rPr>
        <w:t xml:space="preserve">Superior Court </w:t>
      </w:r>
      <w:r w:rsidR="00187C45" w:rsidRPr="0088092F">
        <w:rPr>
          <w:rFonts w:cs="Arial"/>
          <w:szCs w:val="22"/>
          <w:lang w:val="en-CA" w:eastAsia="fr-CA"/>
        </w:rPr>
        <w:t>judges, have extensive knowledge of the subject and related practical experience</w:t>
      </w:r>
      <w:r w:rsidRPr="0088092F">
        <w:rPr>
          <w:rFonts w:cs="Arial"/>
          <w:color w:val="000000"/>
          <w:szCs w:val="22"/>
          <w:lang w:val="en-CA" w:eastAsia="fr-CA"/>
        </w:rPr>
        <w:t xml:space="preserve">. </w:t>
      </w:r>
      <w:r w:rsidR="00187C45" w:rsidRPr="0088092F">
        <w:rPr>
          <w:rFonts w:cs="Arial"/>
          <w:color w:val="000000"/>
          <w:szCs w:val="22"/>
          <w:lang w:val="en-CA" w:eastAsia="fr-CA"/>
        </w:rPr>
        <w:t xml:space="preserve">The same is true with respect to </w:t>
      </w:r>
      <w:r w:rsidRPr="0088092F">
        <w:rPr>
          <w:rFonts w:cs="Arial"/>
          <w:szCs w:val="22"/>
          <w:lang w:val="en-CA" w:eastAsia="fr-CA"/>
        </w:rPr>
        <w:t>decision</w:t>
      </w:r>
      <w:r w:rsidR="00641E3B">
        <w:rPr>
          <w:rFonts w:cs="Arial"/>
          <w:szCs w:val="22"/>
          <w:lang w:val="en-CA" w:eastAsia="fr-CA"/>
        </w:rPr>
        <w:t>s</w:t>
      </w:r>
      <w:r w:rsidR="00187C45" w:rsidRPr="0088092F">
        <w:rPr>
          <w:rFonts w:cs="Arial"/>
          <w:szCs w:val="22"/>
          <w:lang w:val="en-CA" w:eastAsia="fr-CA"/>
        </w:rPr>
        <w:t xml:space="preserve"> </w:t>
      </w:r>
      <w:r w:rsidRPr="0088092F">
        <w:rPr>
          <w:rFonts w:cs="Arial"/>
          <w:color w:val="000000"/>
          <w:szCs w:val="22"/>
          <w:lang w:val="en-CA" w:eastAsia="fr-CA"/>
        </w:rPr>
        <w:t>concern</w:t>
      </w:r>
      <w:r w:rsidR="00187C45" w:rsidRPr="0088092F">
        <w:rPr>
          <w:rFonts w:cs="Arial"/>
          <w:color w:val="000000"/>
          <w:szCs w:val="22"/>
          <w:lang w:val="en-CA" w:eastAsia="fr-CA"/>
        </w:rPr>
        <w:t xml:space="preserve">ing the </w:t>
      </w:r>
      <w:r w:rsidR="00641E3B">
        <w:rPr>
          <w:rFonts w:cs="Arial"/>
          <w:color w:val="000000"/>
          <w:szCs w:val="22"/>
          <w:lang w:val="en-CA" w:eastAsia="fr-CA"/>
        </w:rPr>
        <w:t>area</w:t>
      </w:r>
      <w:r w:rsidR="00187C45" w:rsidRPr="0088092F">
        <w:rPr>
          <w:rFonts w:cs="Arial"/>
          <w:color w:val="000000"/>
          <w:szCs w:val="22"/>
          <w:lang w:val="en-CA" w:eastAsia="fr-CA"/>
        </w:rPr>
        <w:t xml:space="preserve"> into which an inmate may safely integrate</w:t>
      </w:r>
      <w:r w:rsidRPr="0088092F">
        <w:rPr>
          <w:rFonts w:cs="Arial"/>
          <w:color w:val="000000"/>
          <w:szCs w:val="22"/>
          <w:lang w:val="en-CA" w:eastAsia="fr-CA"/>
        </w:rPr>
        <w:t>.</w:t>
      </w:r>
    </w:p>
    <w:p w14:paraId="449DAF3F" w14:textId="45D0078D"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7" w:name="par14"/>
      <w:r w:rsidRPr="0088092F">
        <w:rPr>
          <w:rFonts w:cs="Arial"/>
          <w:color w:val="000000"/>
          <w:szCs w:val="22"/>
          <w:lang w:val="en-CA" w:eastAsia="fr-CA"/>
        </w:rPr>
        <w:t>14</w:t>
      </w:r>
      <w:bookmarkEnd w:id="37"/>
      <w:r w:rsidRPr="0088092F">
        <w:rPr>
          <w:rFonts w:cs="Arial"/>
          <w:color w:val="000000"/>
          <w:szCs w:val="22"/>
          <w:lang w:val="en-CA" w:eastAsia="fr-CA"/>
        </w:rPr>
        <w:t>]</w:t>
      </w:r>
      <w:r w:rsidRPr="0088092F">
        <w:rPr>
          <w:rFonts w:ascii="Times New Roman" w:hAnsi="Times New Roman"/>
          <w:color w:val="000000"/>
          <w:szCs w:val="22"/>
          <w:lang w:val="en-CA" w:eastAsia="fr-CA"/>
        </w:rPr>
        <w:t>      </w:t>
      </w:r>
      <w:r w:rsidR="000333A6" w:rsidRPr="0088092F">
        <w:rPr>
          <w:rFonts w:cs="Arial"/>
          <w:color w:val="000000"/>
          <w:szCs w:val="22"/>
          <w:lang w:val="en-CA" w:eastAsia="fr-CA"/>
        </w:rPr>
        <w:t xml:space="preserve">To be lawful, the </w:t>
      </w:r>
      <w:r w:rsidRPr="0088092F">
        <w:rPr>
          <w:rFonts w:cs="Arial"/>
          <w:szCs w:val="22"/>
          <w:lang w:val="en-CA" w:eastAsia="fr-CA"/>
        </w:rPr>
        <w:t>decision</w:t>
      </w:r>
      <w:r w:rsidR="000333A6" w:rsidRPr="0088092F">
        <w:rPr>
          <w:rFonts w:cs="Arial"/>
          <w:szCs w:val="22"/>
          <w:lang w:val="en-CA" w:eastAsia="fr-CA"/>
        </w:rPr>
        <w:t xml:space="preserve"> must be re</w:t>
      </w:r>
      <w:r w:rsidRPr="0088092F">
        <w:rPr>
          <w:rFonts w:cs="Arial"/>
          <w:szCs w:val="22"/>
          <w:lang w:val="en-CA" w:eastAsia="fr-CA"/>
        </w:rPr>
        <w:t>asonable</w:t>
      </w:r>
      <w:r w:rsidRPr="0088092F">
        <w:rPr>
          <w:rFonts w:cs="Arial"/>
          <w:color w:val="000000"/>
          <w:szCs w:val="22"/>
          <w:lang w:val="en-CA" w:eastAsia="fr-CA"/>
        </w:rPr>
        <w:t>,</w:t>
      </w:r>
      <w:r w:rsidR="000333A6" w:rsidRPr="0088092F">
        <w:rPr>
          <w:rFonts w:cs="Arial"/>
          <w:color w:val="000000"/>
          <w:szCs w:val="22"/>
          <w:lang w:val="en-CA" w:eastAsia="fr-CA"/>
        </w:rPr>
        <w:t xml:space="preserve"> that is, based on </w:t>
      </w:r>
      <w:r w:rsidR="000333A6" w:rsidRPr="0088092F">
        <w:rPr>
          <w:rFonts w:cs="Arial"/>
          <w:szCs w:val="22"/>
          <w:lang w:val="en-CA" w:eastAsia="fr-CA"/>
        </w:rPr>
        <w:t>evidence</w:t>
      </w:r>
      <w:r w:rsidR="001B02D2" w:rsidRPr="0088092F">
        <w:rPr>
          <w:rFonts w:cs="Arial"/>
          <w:szCs w:val="22"/>
          <w:lang w:val="en-CA" w:eastAsia="fr-CA"/>
        </w:rPr>
        <w:t xml:space="preserve"> that is reliable and relevant and that supports the </w:t>
      </w:r>
      <w:r w:rsidRPr="0088092F">
        <w:rPr>
          <w:rFonts w:cs="Arial"/>
          <w:color w:val="000000"/>
          <w:szCs w:val="22"/>
          <w:lang w:val="en-CA" w:eastAsia="fr-CA"/>
        </w:rPr>
        <w:t xml:space="preserve">conclusion. </w:t>
      </w:r>
      <w:r w:rsidR="001B02D2" w:rsidRPr="0088092F">
        <w:rPr>
          <w:rFonts w:cs="Arial"/>
          <w:color w:val="000000"/>
          <w:szCs w:val="22"/>
          <w:lang w:val="en-CA" w:eastAsia="fr-CA"/>
        </w:rPr>
        <w:t xml:space="preserve">The authorities must explain </w:t>
      </w:r>
      <w:r w:rsidR="00EC2882">
        <w:rPr>
          <w:rFonts w:cs="Arial"/>
          <w:color w:val="000000"/>
          <w:szCs w:val="22"/>
          <w:lang w:val="en-CA" w:eastAsia="fr-CA"/>
        </w:rPr>
        <w:t>why the evidence is</w:t>
      </w:r>
      <w:r w:rsidR="00EC2882" w:rsidRPr="0088092F">
        <w:rPr>
          <w:rFonts w:cs="Arial"/>
          <w:color w:val="000000"/>
          <w:szCs w:val="22"/>
          <w:lang w:val="en-CA" w:eastAsia="fr-CA"/>
        </w:rPr>
        <w:t xml:space="preserve"> </w:t>
      </w:r>
      <w:r w:rsidR="001B02D2" w:rsidRPr="0088092F">
        <w:rPr>
          <w:rFonts w:cs="Arial"/>
          <w:color w:val="000000"/>
          <w:szCs w:val="22"/>
          <w:lang w:val="en-CA" w:eastAsia="fr-CA"/>
        </w:rPr>
        <w:t>credib</w:t>
      </w:r>
      <w:r w:rsidR="00EC2882">
        <w:rPr>
          <w:rFonts w:cs="Arial"/>
          <w:color w:val="000000"/>
          <w:szCs w:val="22"/>
          <w:lang w:val="en-CA" w:eastAsia="fr-CA"/>
        </w:rPr>
        <w:t>le</w:t>
      </w:r>
      <w:r w:rsidRPr="0088092F">
        <w:rPr>
          <w:rFonts w:cs="Arial"/>
          <w:color w:val="000000"/>
          <w:szCs w:val="22"/>
          <w:lang w:val="en-CA" w:eastAsia="fr-CA"/>
        </w:rPr>
        <w:t>.</w:t>
      </w:r>
      <w:r w:rsidR="001B02D2" w:rsidRPr="0088092F">
        <w:rPr>
          <w:rFonts w:cs="Arial"/>
          <w:color w:val="000000"/>
          <w:szCs w:val="22"/>
          <w:lang w:val="en-CA" w:eastAsia="fr-CA"/>
        </w:rPr>
        <w:t xml:space="preserve"> In this case, the </w:t>
      </w:r>
      <w:r w:rsidRPr="0088092F">
        <w:rPr>
          <w:rFonts w:cs="Arial"/>
          <w:szCs w:val="22"/>
          <w:lang w:val="en-CA" w:eastAsia="fr-CA"/>
        </w:rPr>
        <w:t>evidence</w:t>
      </w:r>
      <w:r w:rsidR="001B02D2" w:rsidRPr="0088092F">
        <w:rPr>
          <w:rFonts w:cs="Arial"/>
          <w:szCs w:val="22"/>
          <w:lang w:val="en-CA" w:eastAsia="fr-CA"/>
        </w:rPr>
        <w:t xml:space="preserve"> comes </w:t>
      </w:r>
      <w:r w:rsidR="00166F11" w:rsidRPr="0088092F">
        <w:rPr>
          <w:rFonts w:cs="Arial"/>
          <w:szCs w:val="22"/>
          <w:lang w:val="en-CA" w:eastAsia="fr-CA"/>
        </w:rPr>
        <w:t xml:space="preserve">in particular </w:t>
      </w:r>
      <w:r w:rsidR="001B02D2" w:rsidRPr="0088092F">
        <w:rPr>
          <w:rFonts w:cs="Arial"/>
          <w:szCs w:val="22"/>
          <w:lang w:val="en-CA" w:eastAsia="fr-CA"/>
        </w:rPr>
        <w:t>from the</w:t>
      </w:r>
      <w:r w:rsidR="00166F11" w:rsidRPr="0088092F">
        <w:rPr>
          <w:rFonts w:cs="Arial"/>
          <w:szCs w:val="22"/>
          <w:lang w:val="en-CA" w:eastAsia="fr-CA"/>
        </w:rPr>
        <w:t xml:space="preserve"> observations of the correctional officers. It is reliable and relevant </w:t>
      </w:r>
      <w:r w:rsidRPr="0088092F">
        <w:rPr>
          <w:rFonts w:cs="Arial"/>
          <w:szCs w:val="22"/>
          <w:lang w:val="en-CA" w:eastAsia="fr-CA"/>
        </w:rPr>
        <w:t>evidence</w:t>
      </w:r>
      <w:r w:rsidRPr="0088092F">
        <w:rPr>
          <w:rFonts w:cs="Arial"/>
          <w:color w:val="000000"/>
          <w:szCs w:val="22"/>
          <w:lang w:val="en-CA" w:eastAsia="fr-CA"/>
        </w:rPr>
        <w:t xml:space="preserve">. </w:t>
      </w:r>
      <w:r w:rsidR="00DC1611" w:rsidRPr="0088092F">
        <w:rPr>
          <w:rFonts w:cs="Arial"/>
          <w:color w:val="000000"/>
          <w:szCs w:val="22"/>
          <w:lang w:val="en-CA" w:eastAsia="fr-CA"/>
        </w:rPr>
        <w:t xml:space="preserve">It is also </w:t>
      </w:r>
      <w:r w:rsidRPr="0088092F">
        <w:rPr>
          <w:rFonts w:cs="Arial"/>
          <w:szCs w:val="22"/>
          <w:lang w:val="en-CA" w:eastAsia="fr-CA"/>
        </w:rPr>
        <w:t>credible</w:t>
      </w:r>
      <w:r w:rsidR="00DC1611" w:rsidRPr="0088092F">
        <w:rPr>
          <w:rFonts w:cs="Arial"/>
          <w:szCs w:val="22"/>
          <w:lang w:val="en-CA" w:eastAsia="fr-CA"/>
        </w:rPr>
        <w:t xml:space="preserve"> because it comes from public security employees</w:t>
      </w:r>
      <w:r w:rsidRPr="0088092F">
        <w:rPr>
          <w:rFonts w:cs="Arial"/>
          <w:color w:val="000000"/>
          <w:szCs w:val="22"/>
          <w:lang w:val="en-CA" w:eastAsia="fr-CA"/>
        </w:rPr>
        <w:t>.</w:t>
      </w:r>
    </w:p>
    <w:p w14:paraId="7058D28F" w14:textId="18C68E8D" w:rsidR="00461B74" w:rsidRPr="0088092F" w:rsidRDefault="00DC1611" w:rsidP="00461B74">
      <w:pPr>
        <w:pStyle w:val="Paragraphe"/>
        <w:spacing w:line="280" w:lineRule="exact"/>
        <w:rPr>
          <w:lang w:val="en-CA"/>
        </w:rPr>
      </w:pPr>
      <w:r w:rsidRPr="0088092F">
        <w:rPr>
          <w:lang w:val="en-CA"/>
        </w:rPr>
        <w:t xml:space="preserve">The judge then drew the following general </w:t>
      </w:r>
      <w:r w:rsidR="00461B74" w:rsidRPr="0088092F">
        <w:rPr>
          <w:lang w:val="en-CA"/>
        </w:rPr>
        <w:t>conclusions:</w:t>
      </w:r>
    </w:p>
    <w:p w14:paraId="145775DE" w14:textId="692CF174" w:rsidR="00DC1611" w:rsidRPr="0088092F" w:rsidRDefault="00DC1611" w:rsidP="00DC1611">
      <w:pPr>
        <w:pStyle w:val="Paragraphe"/>
        <w:numPr>
          <w:ilvl w:val="0"/>
          <w:numId w:val="0"/>
        </w:numPr>
        <w:spacing w:line="280" w:lineRule="exact"/>
        <w:ind w:left="720"/>
        <w:rPr>
          <w:lang w:val="en-CA"/>
        </w:rPr>
      </w:pPr>
      <w:r w:rsidRPr="0088092F">
        <w:rPr>
          <w:lang w:val="en-CA"/>
        </w:rPr>
        <w:t>[</w:t>
      </w:r>
      <w:r w:rsidRPr="0088092F">
        <w:rPr>
          <w:smallCaps/>
          <w:lang w:val="en-CA"/>
        </w:rPr>
        <w:t>translation</w:t>
      </w:r>
      <w:r w:rsidRPr="0088092F">
        <w:rPr>
          <w:lang w:val="en-CA"/>
        </w:rPr>
        <w:t>]</w:t>
      </w:r>
    </w:p>
    <w:p w14:paraId="1A92AD84" w14:textId="5F088AFA"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8" w:name="par15"/>
      <w:r w:rsidRPr="0088092F">
        <w:rPr>
          <w:rFonts w:cs="Arial"/>
          <w:color w:val="000000"/>
          <w:szCs w:val="22"/>
          <w:lang w:val="en-CA" w:eastAsia="fr-CA"/>
        </w:rPr>
        <w:t>15</w:t>
      </w:r>
      <w:bookmarkEnd w:id="38"/>
      <w:r w:rsidRPr="0088092F">
        <w:rPr>
          <w:rFonts w:cs="Arial"/>
          <w:color w:val="000000"/>
          <w:szCs w:val="22"/>
          <w:lang w:val="en-CA" w:eastAsia="fr-CA"/>
        </w:rPr>
        <w:t>]</w:t>
      </w:r>
      <w:r w:rsidRPr="0088092F">
        <w:rPr>
          <w:rFonts w:ascii="Times New Roman" w:hAnsi="Times New Roman"/>
          <w:color w:val="000000"/>
          <w:szCs w:val="22"/>
          <w:lang w:val="en-CA" w:eastAsia="fr-CA"/>
        </w:rPr>
        <w:t>     </w:t>
      </w:r>
      <w:r w:rsidR="00576E23" w:rsidRPr="0088092F">
        <w:rPr>
          <w:rFonts w:cs="Arial"/>
          <w:color w:val="000000"/>
          <w:szCs w:val="22"/>
          <w:lang w:val="en-CA" w:eastAsia="fr-CA"/>
        </w:rPr>
        <w:t xml:space="preserve">The </w:t>
      </w:r>
      <w:r w:rsidRPr="0088092F">
        <w:rPr>
          <w:rFonts w:cs="Arial"/>
          <w:szCs w:val="22"/>
          <w:lang w:val="en-CA" w:eastAsia="fr-CA"/>
        </w:rPr>
        <w:t>decision</w:t>
      </w:r>
      <w:r w:rsidR="00576E23" w:rsidRPr="0088092F">
        <w:rPr>
          <w:rFonts w:cs="Arial"/>
          <w:szCs w:val="22"/>
          <w:lang w:val="en-CA" w:eastAsia="fr-CA"/>
        </w:rPr>
        <w:t xml:space="preserve"> to offer </w:t>
      </w:r>
      <w:r w:rsidRPr="0088092F">
        <w:rPr>
          <w:rFonts w:cs="Arial"/>
          <w:color w:val="000000"/>
          <w:szCs w:val="22"/>
          <w:lang w:val="en-CA" w:eastAsia="fr-CA"/>
        </w:rPr>
        <w:t>M</w:t>
      </w:r>
      <w:r w:rsidR="00576E23" w:rsidRPr="0088092F">
        <w:rPr>
          <w:rFonts w:cs="Arial"/>
          <w:color w:val="000000"/>
          <w:szCs w:val="22"/>
          <w:lang w:val="en-CA" w:eastAsia="fr-CA"/>
        </w:rPr>
        <w:t>r</w:t>
      </w:r>
      <w:r w:rsidRPr="0088092F">
        <w:rPr>
          <w:rFonts w:cs="Arial"/>
          <w:color w:val="000000"/>
          <w:szCs w:val="22"/>
          <w:lang w:val="en-CA" w:eastAsia="fr-CA"/>
        </w:rPr>
        <w:t xml:space="preserve">. Turbide-Labbé </w:t>
      </w:r>
      <w:r w:rsidR="00576E23" w:rsidRPr="0088092F">
        <w:rPr>
          <w:rFonts w:cs="Arial"/>
          <w:color w:val="000000"/>
          <w:szCs w:val="22"/>
          <w:lang w:val="en-CA" w:eastAsia="fr-CA"/>
        </w:rPr>
        <w:t xml:space="preserve">the possibility of integrating </w:t>
      </w:r>
      <w:r w:rsidR="00C963C2">
        <w:rPr>
          <w:rFonts w:cs="Arial"/>
          <w:color w:val="000000"/>
          <w:szCs w:val="22"/>
          <w:lang w:val="en-CA" w:eastAsia="fr-CA"/>
        </w:rPr>
        <w:t xml:space="preserve">into </w:t>
      </w:r>
      <w:r w:rsidR="00576E23" w:rsidRPr="0088092F">
        <w:rPr>
          <w:rFonts w:cs="Arial"/>
          <w:color w:val="000000"/>
          <w:szCs w:val="22"/>
          <w:lang w:val="en-CA" w:eastAsia="fr-CA"/>
        </w:rPr>
        <w:t>a</w:t>
      </w:r>
      <w:r w:rsidR="000D079B">
        <w:rPr>
          <w:rFonts w:cs="Arial"/>
          <w:color w:val="000000"/>
          <w:szCs w:val="22"/>
          <w:lang w:val="en-CA" w:eastAsia="fr-CA"/>
        </w:rPr>
        <w:t>n</w:t>
      </w:r>
      <w:r w:rsidR="00576E23" w:rsidRPr="0088092F">
        <w:rPr>
          <w:rFonts w:cs="Arial"/>
          <w:color w:val="000000"/>
          <w:szCs w:val="22"/>
          <w:lang w:val="en-CA" w:eastAsia="fr-CA"/>
        </w:rPr>
        <w:t xml:space="preserve"> </w:t>
      </w:r>
      <w:r w:rsidR="00ED54A6">
        <w:rPr>
          <w:rFonts w:cs="Arial"/>
          <w:color w:val="000000"/>
          <w:szCs w:val="22"/>
          <w:lang w:val="en-CA" w:eastAsia="fr-CA"/>
        </w:rPr>
        <w:t>area</w:t>
      </w:r>
      <w:r w:rsidR="00576E23" w:rsidRPr="0088092F">
        <w:rPr>
          <w:rFonts w:cs="Arial"/>
          <w:color w:val="000000"/>
          <w:szCs w:val="22"/>
          <w:lang w:val="en-CA" w:eastAsia="fr-CA"/>
        </w:rPr>
        <w:t xml:space="preserve"> permitting an increase in his residual liberty, where he would be under </w:t>
      </w:r>
      <w:r w:rsidRPr="0088092F">
        <w:rPr>
          <w:rFonts w:cs="Arial"/>
          <w:szCs w:val="22"/>
          <w:lang w:val="en-CA" w:eastAsia="fr-CA"/>
        </w:rPr>
        <w:t>observation</w:t>
      </w:r>
      <w:r w:rsidR="00576E23" w:rsidRPr="0088092F">
        <w:rPr>
          <w:rFonts w:cs="Arial"/>
          <w:szCs w:val="22"/>
          <w:lang w:val="en-CA" w:eastAsia="fr-CA"/>
        </w:rPr>
        <w:t xml:space="preserve"> for a</w:t>
      </w:r>
      <w:r w:rsidR="006C5EAE" w:rsidRPr="0088092F">
        <w:rPr>
          <w:rFonts w:cs="Arial"/>
          <w:szCs w:val="22"/>
          <w:lang w:val="en-CA" w:eastAsia="fr-CA"/>
        </w:rPr>
        <w:t xml:space="preserve"> </w:t>
      </w:r>
      <w:r w:rsidRPr="0088092F">
        <w:rPr>
          <w:rFonts w:cs="Arial"/>
          <w:color w:val="000000"/>
          <w:szCs w:val="22"/>
          <w:lang w:val="en-CA" w:eastAsia="fr-CA"/>
        </w:rPr>
        <w:t xml:space="preserve">certain </w:t>
      </w:r>
      <w:r w:rsidR="006C5EAE" w:rsidRPr="0088092F">
        <w:rPr>
          <w:rFonts w:cs="Arial"/>
          <w:color w:val="000000"/>
          <w:szCs w:val="22"/>
          <w:lang w:val="en-CA" w:eastAsia="fr-CA"/>
        </w:rPr>
        <w:t xml:space="preserve">period before integrating into the </w:t>
      </w:r>
      <w:r w:rsidR="00E9623C">
        <w:rPr>
          <w:rFonts w:cs="Arial"/>
          <w:color w:val="000000"/>
          <w:szCs w:val="22"/>
          <w:lang w:val="en-CA" w:eastAsia="fr-CA"/>
        </w:rPr>
        <w:t>general</w:t>
      </w:r>
      <w:r w:rsidR="00E9623C" w:rsidRPr="0088092F">
        <w:rPr>
          <w:rFonts w:cs="Arial"/>
          <w:color w:val="000000"/>
          <w:szCs w:val="22"/>
          <w:lang w:val="en-CA" w:eastAsia="fr-CA"/>
        </w:rPr>
        <w:t xml:space="preserve"> </w:t>
      </w:r>
      <w:r w:rsidR="006C5EAE" w:rsidRPr="0088092F">
        <w:rPr>
          <w:rFonts w:cs="Arial"/>
          <w:color w:val="000000"/>
          <w:szCs w:val="22"/>
          <w:lang w:val="en-CA" w:eastAsia="fr-CA"/>
        </w:rPr>
        <w:t xml:space="preserve">prison </w:t>
      </w:r>
      <w:r w:rsidRPr="0088092F">
        <w:rPr>
          <w:rFonts w:cs="Arial"/>
          <w:color w:val="000000"/>
          <w:szCs w:val="22"/>
          <w:lang w:val="en-CA" w:eastAsia="fr-CA"/>
        </w:rPr>
        <w:lastRenderedPageBreak/>
        <w:t>population</w:t>
      </w:r>
      <w:r w:rsidR="006C5EAE" w:rsidRPr="0088092F">
        <w:rPr>
          <w:rFonts w:cs="Arial"/>
          <w:color w:val="000000"/>
          <w:szCs w:val="22"/>
          <w:lang w:val="en-CA" w:eastAsia="fr-CA"/>
        </w:rPr>
        <w:t xml:space="preserve"> is lawful, </w:t>
      </w:r>
      <w:r w:rsidRPr="0088092F">
        <w:rPr>
          <w:rFonts w:cs="Arial"/>
          <w:szCs w:val="22"/>
          <w:lang w:val="en-CA" w:eastAsia="fr-CA"/>
        </w:rPr>
        <w:t>reasonable</w:t>
      </w:r>
      <w:r w:rsidR="006C5EAE" w:rsidRPr="0088092F">
        <w:rPr>
          <w:rFonts w:cs="Arial"/>
          <w:szCs w:val="22"/>
          <w:lang w:val="en-CA" w:eastAsia="fr-CA"/>
        </w:rPr>
        <w:t>, and among the possible acceptable outcomes</w:t>
      </w:r>
      <w:r w:rsidRPr="0088092F">
        <w:rPr>
          <w:rFonts w:cs="Arial"/>
          <w:color w:val="000000"/>
          <w:szCs w:val="22"/>
          <w:lang w:val="en-CA" w:eastAsia="fr-CA"/>
        </w:rPr>
        <w:t xml:space="preserve">. </w:t>
      </w:r>
      <w:r w:rsidR="006C5EAE" w:rsidRPr="0088092F">
        <w:rPr>
          <w:rFonts w:cs="Arial"/>
          <w:color w:val="000000"/>
          <w:szCs w:val="22"/>
          <w:lang w:val="en-CA" w:eastAsia="fr-CA"/>
        </w:rPr>
        <w:t>T</w:t>
      </w:r>
      <w:r w:rsidRPr="0088092F">
        <w:rPr>
          <w:rFonts w:cs="Arial"/>
          <w:szCs w:val="22"/>
          <w:lang w:val="en-CA" w:eastAsia="fr-CA"/>
        </w:rPr>
        <w:t>he</w:t>
      </w:r>
      <w:r w:rsidR="006C5EAE" w:rsidRPr="0088092F">
        <w:rPr>
          <w:rFonts w:cs="Arial"/>
          <w:szCs w:val="22"/>
          <w:lang w:val="en-CA" w:eastAsia="fr-CA"/>
        </w:rPr>
        <w:t xml:space="preserve"> </w:t>
      </w:r>
      <w:r w:rsidRPr="0088092F">
        <w:rPr>
          <w:rFonts w:cs="Arial"/>
          <w:szCs w:val="22"/>
          <w:lang w:val="en-CA" w:eastAsia="fr-CA"/>
        </w:rPr>
        <w:t>Court</w:t>
      </w:r>
      <w:r w:rsidR="006C5EAE" w:rsidRPr="0088092F">
        <w:rPr>
          <w:rFonts w:cs="Arial"/>
          <w:szCs w:val="22"/>
          <w:lang w:val="en-CA" w:eastAsia="fr-CA"/>
        </w:rPr>
        <w:t xml:space="preserve"> must not </w:t>
      </w:r>
      <w:r w:rsidRPr="0088092F">
        <w:rPr>
          <w:rFonts w:cs="Arial"/>
          <w:color w:val="000000"/>
          <w:szCs w:val="22"/>
          <w:lang w:val="en-CA" w:eastAsia="fr-CA"/>
        </w:rPr>
        <w:t>micro</w:t>
      </w:r>
      <w:r w:rsidR="006C5EAE" w:rsidRPr="0088092F">
        <w:rPr>
          <w:rFonts w:cs="Arial"/>
          <w:color w:val="000000"/>
          <w:szCs w:val="22"/>
          <w:lang w:val="en-CA" w:eastAsia="fr-CA"/>
        </w:rPr>
        <w:t>manage</w:t>
      </w:r>
      <w:r w:rsidR="00DF367B" w:rsidRPr="0088092F">
        <w:rPr>
          <w:rFonts w:cs="Arial"/>
          <w:color w:val="000000"/>
          <w:szCs w:val="22"/>
          <w:lang w:val="en-CA" w:eastAsia="fr-CA"/>
        </w:rPr>
        <w:t xml:space="preserve"> correctional facilities, which are under the jurisdiction of public security. </w:t>
      </w:r>
      <w:r w:rsidRPr="0088092F">
        <w:rPr>
          <w:rFonts w:cs="Arial"/>
          <w:color w:val="000000"/>
          <w:szCs w:val="22"/>
          <w:lang w:val="en-CA" w:eastAsia="fr-CA"/>
        </w:rPr>
        <w:t>M</w:t>
      </w:r>
      <w:r w:rsidR="00DF367B" w:rsidRPr="0088092F">
        <w:rPr>
          <w:rFonts w:cs="Arial"/>
          <w:color w:val="000000"/>
          <w:szCs w:val="22"/>
          <w:lang w:val="en-CA" w:eastAsia="fr-CA"/>
        </w:rPr>
        <w:t>r</w:t>
      </w:r>
      <w:r w:rsidRPr="0088092F">
        <w:rPr>
          <w:rFonts w:cs="Arial"/>
          <w:color w:val="000000"/>
          <w:szCs w:val="22"/>
          <w:lang w:val="en-CA" w:eastAsia="fr-CA"/>
        </w:rPr>
        <w:t>. Turbide-Labbé</w:t>
      </w:r>
      <w:r w:rsidR="00DF367B" w:rsidRPr="0088092F">
        <w:rPr>
          <w:rFonts w:cs="Arial"/>
          <w:color w:val="000000"/>
          <w:szCs w:val="22"/>
          <w:lang w:val="en-CA" w:eastAsia="fr-CA"/>
        </w:rPr>
        <w:t>’s beha</w:t>
      </w:r>
      <w:r w:rsidR="002D6D15" w:rsidRPr="0088092F">
        <w:rPr>
          <w:rFonts w:cs="Arial"/>
          <w:color w:val="000000"/>
          <w:szCs w:val="22"/>
          <w:lang w:val="en-CA" w:eastAsia="fr-CA"/>
        </w:rPr>
        <w:t>viour requires numerous lengthy i</w:t>
      </w:r>
      <w:r w:rsidRPr="0088092F">
        <w:rPr>
          <w:rFonts w:cs="Arial"/>
          <w:color w:val="000000"/>
          <w:szCs w:val="22"/>
          <w:lang w:val="en-CA" w:eastAsia="fr-CA"/>
        </w:rPr>
        <w:t xml:space="preserve">nterventions </w:t>
      </w:r>
      <w:r w:rsidR="002D6D15" w:rsidRPr="0088092F">
        <w:rPr>
          <w:rFonts w:cs="Arial"/>
          <w:color w:val="000000"/>
          <w:szCs w:val="22"/>
          <w:lang w:val="en-CA" w:eastAsia="fr-CA"/>
        </w:rPr>
        <w:t xml:space="preserve">by correctional officers, which is inconsistent with placement in the </w:t>
      </w:r>
      <w:r w:rsidR="00EF0B48">
        <w:rPr>
          <w:rFonts w:cs="Arial"/>
          <w:color w:val="000000"/>
          <w:szCs w:val="22"/>
          <w:lang w:val="en-CA" w:eastAsia="fr-CA"/>
        </w:rPr>
        <w:t>general</w:t>
      </w:r>
      <w:r w:rsidR="00EF0B48" w:rsidRPr="0088092F">
        <w:rPr>
          <w:rFonts w:cs="Arial"/>
          <w:color w:val="000000"/>
          <w:szCs w:val="22"/>
          <w:lang w:val="en-CA" w:eastAsia="fr-CA"/>
        </w:rPr>
        <w:t xml:space="preserve"> </w:t>
      </w:r>
      <w:r w:rsidR="002D6D15" w:rsidRPr="0088092F">
        <w:rPr>
          <w:rFonts w:cs="Arial"/>
          <w:color w:val="000000"/>
          <w:szCs w:val="22"/>
          <w:lang w:val="en-CA" w:eastAsia="fr-CA"/>
        </w:rPr>
        <w:t>prison population</w:t>
      </w:r>
      <w:r w:rsidRPr="0088092F">
        <w:rPr>
          <w:rFonts w:cs="Arial"/>
          <w:color w:val="000000"/>
          <w:szCs w:val="22"/>
          <w:lang w:val="en-CA" w:eastAsia="fr-CA"/>
        </w:rPr>
        <w:t>.</w:t>
      </w:r>
    </w:p>
    <w:p w14:paraId="08175448" w14:textId="69486FA4"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39" w:name="par16"/>
      <w:r w:rsidRPr="0088092F">
        <w:rPr>
          <w:rFonts w:cs="Arial"/>
          <w:color w:val="000000"/>
          <w:szCs w:val="22"/>
          <w:lang w:val="en-CA" w:eastAsia="fr-CA"/>
        </w:rPr>
        <w:t>16</w:t>
      </w:r>
      <w:bookmarkEnd w:id="39"/>
      <w:r w:rsidRPr="0088092F">
        <w:rPr>
          <w:rFonts w:cs="Arial"/>
          <w:color w:val="000000"/>
          <w:szCs w:val="22"/>
          <w:lang w:val="en-CA" w:eastAsia="fr-CA"/>
        </w:rPr>
        <w:t>]</w:t>
      </w:r>
      <w:r w:rsidRPr="0088092F">
        <w:rPr>
          <w:rFonts w:ascii="Times New Roman" w:hAnsi="Times New Roman"/>
          <w:color w:val="000000"/>
          <w:szCs w:val="22"/>
          <w:lang w:val="en-CA" w:eastAsia="fr-CA"/>
        </w:rPr>
        <w:t>      </w:t>
      </w:r>
      <w:r w:rsidR="00236E90" w:rsidRPr="0088092F">
        <w:rPr>
          <w:rFonts w:cs="Arial"/>
          <w:color w:val="000000"/>
          <w:szCs w:val="22"/>
          <w:lang w:val="en-CA" w:eastAsia="fr-CA"/>
        </w:rPr>
        <w:t xml:space="preserve">Although he will not </w:t>
      </w:r>
      <w:r w:rsidR="00EF0B48">
        <w:rPr>
          <w:rFonts w:cs="Arial"/>
          <w:color w:val="000000"/>
          <w:szCs w:val="22"/>
          <w:lang w:val="en-CA" w:eastAsia="fr-CA"/>
        </w:rPr>
        <w:t xml:space="preserve">yet </w:t>
      </w:r>
      <w:r w:rsidR="00236E90" w:rsidRPr="0088092F">
        <w:rPr>
          <w:rFonts w:cs="Arial"/>
          <w:color w:val="000000"/>
          <w:szCs w:val="22"/>
          <w:lang w:val="en-CA" w:eastAsia="fr-CA"/>
        </w:rPr>
        <w:t xml:space="preserve">have access to significant human contact during this </w:t>
      </w:r>
      <w:r w:rsidRPr="0088092F">
        <w:rPr>
          <w:rFonts w:cs="Arial"/>
          <w:szCs w:val="22"/>
          <w:lang w:val="en-CA" w:eastAsia="fr-CA"/>
        </w:rPr>
        <w:t>observation</w:t>
      </w:r>
      <w:r w:rsidR="00236E90" w:rsidRPr="0088092F">
        <w:rPr>
          <w:rFonts w:cs="Arial"/>
          <w:szCs w:val="22"/>
          <w:lang w:val="en-CA" w:eastAsia="fr-CA"/>
        </w:rPr>
        <w:t xml:space="preserve"> period, it is </w:t>
      </w:r>
      <w:r w:rsidR="00EF0B48">
        <w:rPr>
          <w:rFonts w:cs="Arial"/>
          <w:szCs w:val="22"/>
          <w:lang w:val="en-CA" w:eastAsia="fr-CA"/>
        </w:rPr>
        <w:t>imperative for security reasons</w:t>
      </w:r>
      <w:r w:rsidRPr="0088092F">
        <w:rPr>
          <w:rFonts w:cs="Arial"/>
          <w:color w:val="000000"/>
          <w:szCs w:val="22"/>
          <w:lang w:val="en-CA" w:eastAsia="fr-CA"/>
        </w:rPr>
        <w:t>. M</w:t>
      </w:r>
      <w:r w:rsidR="00653D4B" w:rsidRPr="0088092F">
        <w:rPr>
          <w:rFonts w:cs="Arial"/>
          <w:color w:val="000000"/>
          <w:szCs w:val="22"/>
          <w:lang w:val="en-CA" w:eastAsia="fr-CA"/>
        </w:rPr>
        <w:t>r</w:t>
      </w:r>
      <w:r w:rsidRPr="0088092F">
        <w:rPr>
          <w:rFonts w:cs="Arial"/>
          <w:color w:val="000000"/>
          <w:szCs w:val="22"/>
          <w:lang w:val="en-CA" w:eastAsia="fr-CA"/>
        </w:rPr>
        <w:t>. Turbide-Labbé</w:t>
      </w:r>
      <w:r w:rsidR="00653D4B" w:rsidRPr="0088092F">
        <w:rPr>
          <w:rFonts w:cs="Arial"/>
          <w:color w:val="000000"/>
          <w:szCs w:val="22"/>
          <w:lang w:val="en-CA" w:eastAsia="fr-CA"/>
        </w:rPr>
        <w:t>’s</w:t>
      </w:r>
      <w:r w:rsidRPr="0088092F">
        <w:rPr>
          <w:rFonts w:cs="Arial"/>
          <w:color w:val="000000"/>
          <w:szCs w:val="22"/>
          <w:lang w:val="en-CA" w:eastAsia="fr-CA"/>
        </w:rPr>
        <w:t xml:space="preserve"> </w:t>
      </w:r>
      <w:r w:rsidR="00747370" w:rsidRPr="0088092F">
        <w:rPr>
          <w:rFonts w:cs="Arial"/>
          <w:color w:val="000000"/>
          <w:szCs w:val="22"/>
          <w:lang w:val="en-CA" w:eastAsia="fr-CA"/>
        </w:rPr>
        <w:t>segregation</w:t>
      </w:r>
      <w:r w:rsidR="00653D4B" w:rsidRPr="0088092F">
        <w:rPr>
          <w:rFonts w:cs="Arial"/>
          <w:color w:val="000000"/>
          <w:szCs w:val="22"/>
          <w:lang w:val="en-CA" w:eastAsia="fr-CA"/>
        </w:rPr>
        <w:t xml:space="preserve"> from the other inmates cannot last indefinitely, however, and public security will have </w:t>
      </w:r>
      <w:r w:rsidR="00666061" w:rsidRPr="0088092F">
        <w:rPr>
          <w:rFonts w:cs="Arial"/>
          <w:color w:val="000000"/>
          <w:szCs w:val="22"/>
          <w:lang w:val="en-CA" w:eastAsia="fr-CA"/>
        </w:rPr>
        <w:t xml:space="preserve">to find an </w:t>
      </w:r>
      <w:r w:rsidRPr="0088092F">
        <w:rPr>
          <w:rFonts w:cs="Arial"/>
          <w:color w:val="000000"/>
          <w:szCs w:val="22"/>
          <w:lang w:val="en-CA" w:eastAsia="fr-CA"/>
        </w:rPr>
        <w:t xml:space="preserve">alternative </w:t>
      </w:r>
      <w:r w:rsidR="00C963C2">
        <w:rPr>
          <w:rFonts w:cs="Arial"/>
          <w:color w:val="000000"/>
          <w:szCs w:val="22"/>
          <w:lang w:val="en-CA" w:eastAsia="fr-CA"/>
        </w:rPr>
        <w:t>t</w:t>
      </w:r>
      <w:r w:rsidR="00EF0B48">
        <w:rPr>
          <w:rFonts w:cs="Arial"/>
          <w:color w:val="000000"/>
          <w:szCs w:val="22"/>
          <w:lang w:val="en-CA" w:eastAsia="fr-CA"/>
        </w:rPr>
        <w:t>o</w:t>
      </w:r>
      <w:r w:rsidR="00C963C2">
        <w:rPr>
          <w:rFonts w:cs="Arial"/>
          <w:color w:val="000000"/>
          <w:szCs w:val="22"/>
          <w:lang w:val="en-CA" w:eastAsia="fr-CA"/>
        </w:rPr>
        <w:t xml:space="preserve"> </w:t>
      </w:r>
      <w:r w:rsidR="00666061" w:rsidRPr="0088092F">
        <w:rPr>
          <w:rFonts w:cs="Arial"/>
          <w:color w:val="000000"/>
          <w:szCs w:val="22"/>
          <w:lang w:val="en-CA" w:eastAsia="fr-CA"/>
        </w:rPr>
        <w:t xml:space="preserve">Mr. Turbide-Labbé’s </w:t>
      </w:r>
      <w:r w:rsidR="00747370" w:rsidRPr="0088092F">
        <w:rPr>
          <w:rFonts w:cs="Arial"/>
          <w:color w:val="000000"/>
          <w:szCs w:val="22"/>
          <w:lang w:val="en-CA" w:eastAsia="fr-CA"/>
        </w:rPr>
        <w:t>segregation</w:t>
      </w:r>
      <w:r w:rsidR="00666061" w:rsidRPr="0088092F">
        <w:rPr>
          <w:rFonts w:cs="Arial"/>
          <w:color w:val="000000"/>
          <w:szCs w:val="22"/>
          <w:lang w:val="en-CA" w:eastAsia="fr-CA"/>
        </w:rPr>
        <w:t xml:space="preserve"> or </w:t>
      </w:r>
      <w:r w:rsidR="00FB7E01" w:rsidRPr="0088092F">
        <w:rPr>
          <w:lang w:val="en-CA"/>
        </w:rPr>
        <w:t>restrictive classification</w:t>
      </w:r>
      <w:r w:rsidRPr="0088092F">
        <w:rPr>
          <w:rFonts w:cs="Arial"/>
          <w:color w:val="000000"/>
          <w:szCs w:val="22"/>
          <w:lang w:val="en-CA" w:eastAsia="fr-CA"/>
        </w:rPr>
        <w:t xml:space="preserve"> </w:t>
      </w:r>
      <w:r w:rsidR="00666061" w:rsidRPr="0088092F">
        <w:rPr>
          <w:rFonts w:cs="Arial"/>
          <w:color w:val="000000"/>
          <w:szCs w:val="22"/>
          <w:lang w:val="en-CA" w:eastAsia="fr-CA"/>
        </w:rPr>
        <w:t xml:space="preserve">within a </w:t>
      </w:r>
      <w:r w:rsidRPr="0088092F">
        <w:rPr>
          <w:rFonts w:cs="Arial"/>
          <w:szCs w:val="22"/>
          <w:lang w:val="en-CA" w:eastAsia="fr-CA"/>
        </w:rPr>
        <w:t>reasonable</w:t>
      </w:r>
      <w:r w:rsidR="00666061" w:rsidRPr="0088092F">
        <w:rPr>
          <w:rFonts w:cs="Arial"/>
          <w:szCs w:val="22"/>
          <w:lang w:val="en-CA" w:eastAsia="fr-CA"/>
        </w:rPr>
        <w:t xml:space="preserve"> </w:t>
      </w:r>
      <w:r w:rsidRPr="0088092F">
        <w:rPr>
          <w:rFonts w:cs="Arial"/>
          <w:szCs w:val="22"/>
          <w:lang w:val="en-CA" w:eastAsia="fr-CA"/>
        </w:rPr>
        <w:t>time</w:t>
      </w:r>
      <w:r w:rsidRPr="0088092F">
        <w:rPr>
          <w:rFonts w:cs="Arial"/>
          <w:color w:val="000000"/>
          <w:szCs w:val="22"/>
          <w:lang w:val="en-CA" w:eastAsia="fr-CA"/>
        </w:rPr>
        <w:t>.</w:t>
      </w:r>
    </w:p>
    <w:p w14:paraId="020911E5" w14:textId="30345A89"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40" w:name="par17"/>
      <w:r w:rsidRPr="0088092F">
        <w:rPr>
          <w:rFonts w:cs="Arial"/>
          <w:color w:val="000000"/>
          <w:szCs w:val="22"/>
          <w:lang w:val="en-CA" w:eastAsia="fr-CA"/>
        </w:rPr>
        <w:t>17</w:t>
      </w:r>
      <w:bookmarkEnd w:id="40"/>
      <w:r w:rsidRPr="0088092F">
        <w:rPr>
          <w:rFonts w:cs="Arial"/>
          <w:color w:val="000000"/>
          <w:szCs w:val="22"/>
          <w:lang w:val="en-CA" w:eastAsia="fr-CA"/>
        </w:rPr>
        <w:t>]</w:t>
      </w:r>
      <w:r w:rsidRPr="0088092F">
        <w:rPr>
          <w:rFonts w:ascii="Times New Roman" w:hAnsi="Times New Roman"/>
          <w:color w:val="000000"/>
          <w:szCs w:val="22"/>
          <w:lang w:val="en-CA" w:eastAsia="fr-CA"/>
        </w:rPr>
        <w:t>      </w:t>
      </w:r>
      <w:r w:rsidR="00E10999" w:rsidRPr="0088092F">
        <w:rPr>
          <w:rFonts w:cs="Arial"/>
          <w:szCs w:val="22"/>
          <w:lang w:val="en-CA" w:eastAsia="fr-CA"/>
        </w:rPr>
        <w:t xml:space="preserve">The </w:t>
      </w:r>
      <w:r w:rsidRPr="0088092F">
        <w:rPr>
          <w:rFonts w:cs="Arial"/>
          <w:szCs w:val="22"/>
          <w:lang w:val="en-CA" w:eastAsia="fr-CA"/>
        </w:rPr>
        <w:t>Court</w:t>
      </w:r>
      <w:r w:rsidRPr="0088092F">
        <w:rPr>
          <w:rFonts w:cs="Arial"/>
          <w:color w:val="000000"/>
          <w:szCs w:val="22"/>
          <w:lang w:val="en-CA" w:eastAsia="fr-CA"/>
        </w:rPr>
        <w:t xml:space="preserve"> </w:t>
      </w:r>
      <w:r w:rsidR="00214884" w:rsidRPr="0088092F">
        <w:rPr>
          <w:rFonts w:cs="Arial"/>
          <w:color w:val="000000"/>
          <w:szCs w:val="22"/>
          <w:lang w:val="en-CA" w:eastAsia="fr-CA"/>
        </w:rPr>
        <w:t xml:space="preserve">is </w:t>
      </w:r>
      <w:r w:rsidR="008B1F82" w:rsidRPr="0088092F">
        <w:rPr>
          <w:rFonts w:cs="Arial"/>
          <w:color w:val="000000"/>
          <w:szCs w:val="22"/>
          <w:lang w:val="en-CA" w:eastAsia="fr-CA"/>
        </w:rPr>
        <w:t xml:space="preserve">concerned </w:t>
      </w:r>
      <w:r w:rsidR="00EF0B48">
        <w:rPr>
          <w:rFonts w:cs="Arial"/>
          <w:color w:val="000000"/>
          <w:szCs w:val="22"/>
          <w:lang w:val="en-CA" w:eastAsia="fr-CA"/>
        </w:rPr>
        <w:t>about</w:t>
      </w:r>
      <w:r w:rsidR="00EF0B48" w:rsidRPr="0088092F">
        <w:rPr>
          <w:rFonts w:cs="Arial"/>
          <w:color w:val="000000"/>
          <w:szCs w:val="22"/>
          <w:lang w:val="en-CA" w:eastAsia="fr-CA"/>
        </w:rPr>
        <w:t xml:space="preserve"> </w:t>
      </w:r>
      <w:r w:rsidR="00B05194" w:rsidRPr="0088092F">
        <w:rPr>
          <w:rFonts w:cs="Arial"/>
          <w:color w:val="000000"/>
          <w:szCs w:val="22"/>
          <w:lang w:val="en-CA" w:eastAsia="fr-CA"/>
        </w:rPr>
        <w:t xml:space="preserve">the </w:t>
      </w:r>
      <w:r w:rsidRPr="0088092F">
        <w:rPr>
          <w:rFonts w:cs="Arial"/>
          <w:color w:val="000000"/>
          <w:szCs w:val="22"/>
          <w:lang w:val="en-CA" w:eastAsia="fr-CA"/>
        </w:rPr>
        <w:t>possibilit</w:t>
      </w:r>
      <w:r w:rsidR="00B05194" w:rsidRPr="0088092F">
        <w:rPr>
          <w:rFonts w:cs="Arial"/>
          <w:color w:val="000000"/>
          <w:szCs w:val="22"/>
          <w:lang w:val="en-CA" w:eastAsia="fr-CA"/>
        </w:rPr>
        <w:t xml:space="preserve">y that </w:t>
      </w:r>
      <w:r w:rsidRPr="0088092F">
        <w:rPr>
          <w:rFonts w:cs="Arial"/>
          <w:color w:val="000000"/>
          <w:szCs w:val="22"/>
          <w:lang w:val="en-CA" w:eastAsia="fr-CA"/>
        </w:rPr>
        <w:t>M</w:t>
      </w:r>
      <w:r w:rsidR="00B05194" w:rsidRPr="0088092F">
        <w:rPr>
          <w:rFonts w:cs="Arial"/>
          <w:color w:val="000000"/>
          <w:szCs w:val="22"/>
          <w:lang w:val="en-CA" w:eastAsia="fr-CA"/>
        </w:rPr>
        <w:t>r</w:t>
      </w:r>
      <w:r w:rsidRPr="0088092F">
        <w:rPr>
          <w:rFonts w:cs="Arial"/>
          <w:color w:val="000000"/>
          <w:szCs w:val="22"/>
          <w:lang w:val="en-CA" w:eastAsia="fr-CA"/>
        </w:rPr>
        <w:t xml:space="preserve">. Turbide-Labbé </w:t>
      </w:r>
      <w:r w:rsidR="00B05194" w:rsidRPr="0088092F">
        <w:rPr>
          <w:rFonts w:cs="Arial"/>
          <w:color w:val="000000"/>
          <w:szCs w:val="22"/>
          <w:lang w:val="en-CA" w:eastAsia="fr-CA"/>
        </w:rPr>
        <w:t xml:space="preserve">is in </w:t>
      </w:r>
      <w:r w:rsidRPr="0088092F">
        <w:rPr>
          <w:rFonts w:cs="Arial"/>
          <w:szCs w:val="22"/>
          <w:lang w:val="en-CA" w:eastAsia="fr-CA"/>
        </w:rPr>
        <w:t>psychological</w:t>
      </w:r>
      <w:r w:rsidR="00B05194" w:rsidRPr="0088092F">
        <w:rPr>
          <w:rFonts w:cs="Arial"/>
          <w:szCs w:val="22"/>
          <w:lang w:val="en-CA" w:eastAsia="fr-CA"/>
        </w:rPr>
        <w:t xml:space="preserve"> distress and requires medical care</w:t>
      </w:r>
      <w:r w:rsidRPr="0088092F">
        <w:rPr>
          <w:rFonts w:cs="Arial"/>
          <w:color w:val="000000"/>
          <w:szCs w:val="22"/>
          <w:lang w:val="en-CA" w:eastAsia="fr-CA"/>
        </w:rPr>
        <w:t xml:space="preserve">, </w:t>
      </w:r>
      <w:r w:rsidR="008B1F82" w:rsidRPr="0088092F">
        <w:rPr>
          <w:rFonts w:cs="Arial"/>
          <w:color w:val="000000"/>
          <w:szCs w:val="22"/>
          <w:lang w:val="en-CA" w:eastAsia="fr-CA"/>
        </w:rPr>
        <w:t xml:space="preserve">in view of the handwritten notes indicating difficulty functioning and </w:t>
      </w:r>
      <w:r w:rsidRPr="0088092F">
        <w:rPr>
          <w:rFonts w:cs="Arial"/>
          <w:color w:val="000000"/>
          <w:szCs w:val="22"/>
          <w:lang w:val="en-CA" w:eastAsia="fr-CA"/>
        </w:rPr>
        <w:t>violent</w:t>
      </w:r>
      <w:r w:rsidR="008B1F82" w:rsidRPr="0088092F">
        <w:rPr>
          <w:rFonts w:cs="Arial"/>
          <w:color w:val="000000"/>
          <w:szCs w:val="22"/>
          <w:lang w:val="en-CA" w:eastAsia="fr-CA"/>
        </w:rPr>
        <w:t xml:space="preserve"> thoughts</w:t>
      </w:r>
      <w:r w:rsidRPr="0088092F">
        <w:rPr>
          <w:rFonts w:cs="Arial"/>
          <w:color w:val="000000"/>
          <w:szCs w:val="22"/>
          <w:lang w:val="en-CA" w:eastAsia="fr-CA"/>
        </w:rPr>
        <w:t xml:space="preserve">. </w:t>
      </w:r>
      <w:r w:rsidR="008B1F82" w:rsidRPr="0088092F">
        <w:rPr>
          <w:rFonts w:cs="Arial"/>
          <w:color w:val="000000"/>
          <w:szCs w:val="22"/>
          <w:lang w:val="en-CA" w:eastAsia="fr-CA"/>
        </w:rPr>
        <w:t xml:space="preserve">A </w:t>
      </w:r>
      <w:r w:rsidRPr="0088092F">
        <w:rPr>
          <w:rFonts w:cs="Arial"/>
          <w:szCs w:val="22"/>
          <w:lang w:val="en-CA" w:eastAsia="fr-CA"/>
        </w:rPr>
        <w:t>psychological</w:t>
      </w:r>
      <w:r w:rsidR="008B1F82" w:rsidRPr="0088092F">
        <w:rPr>
          <w:rFonts w:cs="Arial"/>
          <w:szCs w:val="22"/>
          <w:lang w:val="en-CA" w:eastAsia="fr-CA"/>
        </w:rPr>
        <w:t xml:space="preserve"> report also refers to </w:t>
      </w:r>
      <w:r w:rsidRPr="0088092F">
        <w:rPr>
          <w:rFonts w:cs="Arial"/>
          <w:color w:val="000000"/>
          <w:szCs w:val="22"/>
          <w:lang w:val="en-CA" w:eastAsia="fr-CA"/>
        </w:rPr>
        <w:t>M</w:t>
      </w:r>
      <w:r w:rsidR="008B1F82" w:rsidRPr="0088092F">
        <w:rPr>
          <w:rFonts w:cs="Arial"/>
          <w:color w:val="000000"/>
          <w:szCs w:val="22"/>
          <w:lang w:val="en-CA" w:eastAsia="fr-CA"/>
        </w:rPr>
        <w:t>r</w:t>
      </w:r>
      <w:r w:rsidRPr="0088092F">
        <w:rPr>
          <w:rFonts w:cs="Arial"/>
          <w:color w:val="000000"/>
          <w:szCs w:val="22"/>
          <w:lang w:val="en-CA" w:eastAsia="fr-CA"/>
        </w:rPr>
        <w:t>. Turbide-Labbé</w:t>
      </w:r>
      <w:r w:rsidR="008B1F82" w:rsidRPr="0088092F">
        <w:rPr>
          <w:rFonts w:cs="Arial"/>
          <w:color w:val="000000"/>
          <w:szCs w:val="22"/>
          <w:lang w:val="en-CA" w:eastAsia="fr-CA"/>
        </w:rPr>
        <w:t>’s</w:t>
      </w:r>
      <w:r w:rsidR="008B1F82" w:rsidRPr="0088092F">
        <w:rPr>
          <w:rFonts w:cs="Arial"/>
          <w:szCs w:val="22"/>
          <w:lang w:val="en-CA" w:eastAsia="fr-CA"/>
        </w:rPr>
        <w:t xml:space="preserve"> psychological distress</w:t>
      </w:r>
      <w:r w:rsidRPr="0088092F">
        <w:rPr>
          <w:rFonts w:cs="Arial"/>
          <w:color w:val="000000"/>
          <w:szCs w:val="22"/>
          <w:lang w:val="en-CA" w:eastAsia="fr-CA"/>
        </w:rPr>
        <w:t>.</w:t>
      </w:r>
      <w:r w:rsidR="00ED0E2F" w:rsidRPr="0088092F">
        <w:rPr>
          <w:rFonts w:cs="Arial"/>
          <w:color w:val="000000"/>
          <w:szCs w:val="22"/>
          <w:lang w:val="en-CA" w:eastAsia="fr-CA"/>
        </w:rPr>
        <w:t xml:space="preserve"> However, he has </w:t>
      </w:r>
      <w:r w:rsidR="00E53F38">
        <w:rPr>
          <w:rFonts w:cs="Arial"/>
          <w:color w:val="000000"/>
          <w:szCs w:val="22"/>
          <w:lang w:val="en-CA" w:eastAsia="fr-CA"/>
        </w:rPr>
        <w:t>met with</w:t>
      </w:r>
      <w:r w:rsidR="00ED0E2F" w:rsidRPr="0088092F">
        <w:rPr>
          <w:rFonts w:cs="Arial"/>
          <w:color w:val="000000"/>
          <w:szCs w:val="22"/>
          <w:lang w:val="en-CA" w:eastAsia="fr-CA"/>
        </w:rPr>
        <w:t xml:space="preserve"> two different </w:t>
      </w:r>
      <w:r w:rsidRPr="0088092F">
        <w:rPr>
          <w:rFonts w:cs="Arial"/>
          <w:szCs w:val="22"/>
          <w:lang w:val="en-CA" w:eastAsia="fr-CA"/>
        </w:rPr>
        <w:t>psychiatrists</w:t>
      </w:r>
      <w:r w:rsidR="00ED0E2F" w:rsidRPr="0088092F">
        <w:rPr>
          <w:rFonts w:cs="Arial"/>
          <w:szCs w:val="22"/>
          <w:lang w:val="en-CA" w:eastAsia="fr-CA"/>
        </w:rPr>
        <w:t xml:space="preserve"> since his arrival at the </w:t>
      </w:r>
      <w:r w:rsidRPr="0088092F">
        <w:rPr>
          <w:rFonts w:cs="Arial"/>
          <w:color w:val="000000"/>
          <w:szCs w:val="22"/>
          <w:lang w:val="en-CA" w:eastAsia="fr-CA"/>
        </w:rPr>
        <w:t xml:space="preserve">Sorel </w:t>
      </w:r>
      <w:r w:rsidR="00ED0E2F" w:rsidRPr="0088092F">
        <w:rPr>
          <w:rFonts w:cs="Arial"/>
          <w:color w:val="000000"/>
          <w:szCs w:val="22"/>
          <w:lang w:val="en-CA" w:eastAsia="fr-CA"/>
        </w:rPr>
        <w:t>facility, and according to Mr. Lapointe, a third</w:t>
      </w:r>
      <w:r w:rsidR="00E53F38">
        <w:rPr>
          <w:rFonts w:cs="Arial"/>
          <w:color w:val="000000"/>
          <w:szCs w:val="22"/>
          <w:lang w:val="en-CA" w:eastAsia="fr-CA"/>
        </w:rPr>
        <w:t xml:space="preserve"> appointment</w:t>
      </w:r>
      <w:r w:rsidR="00ED0E2F" w:rsidRPr="0088092F">
        <w:rPr>
          <w:rFonts w:cs="Arial"/>
          <w:color w:val="000000"/>
          <w:szCs w:val="22"/>
          <w:lang w:val="en-CA" w:eastAsia="fr-CA"/>
        </w:rPr>
        <w:t xml:space="preserve"> is planned shortly</w:t>
      </w:r>
      <w:r w:rsidRPr="0088092F">
        <w:rPr>
          <w:rFonts w:cs="Arial"/>
          <w:color w:val="000000"/>
          <w:szCs w:val="22"/>
          <w:lang w:val="en-CA" w:eastAsia="fr-CA"/>
        </w:rPr>
        <w:t xml:space="preserve">. </w:t>
      </w:r>
      <w:r w:rsidR="00ED0E2F" w:rsidRPr="0088092F">
        <w:rPr>
          <w:rFonts w:cs="Arial"/>
          <w:color w:val="000000"/>
          <w:szCs w:val="22"/>
          <w:lang w:val="en-CA" w:eastAsia="fr-CA"/>
        </w:rPr>
        <w:t>T</w:t>
      </w:r>
      <w:r w:rsidRPr="0088092F">
        <w:rPr>
          <w:rFonts w:cs="Arial"/>
          <w:szCs w:val="22"/>
          <w:lang w:val="en-CA" w:eastAsia="fr-CA"/>
        </w:rPr>
        <w:t>he</w:t>
      </w:r>
      <w:r w:rsidR="00ED0E2F" w:rsidRPr="0088092F">
        <w:rPr>
          <w:rFonts w:cs="Arial"/>
          <w:szCs w:val="22"/>
          <w:lang w:val="en-CA" w:eastAsia="fr-CA"/>
        </w:rPr>
        <w:t xml:space="preserve"> </w:t>
      </w:r>
      <w:r w:rsidRPr="0088092F">
        <w:rPr>
          <w:rFonts w:cs="Arial"/>
          <w:szCs w:val="22"/>
          <w:lang w:val="en-CA" w:eastAsia="fr-CA"/>
        </w:rPr>
        <w:t>Court</w:t>
      </w:r>
      <w:r w:rsidR="00915D2D" w:rsidRPr="0088092F">
        <w:rPr>
          <w:rFonts w:cs="Arial"/>
          <w:szCs w:val="22"/>
          <w:lang w:val="en-CA" w:eastAsia="fr-CA"/>
        </w:rPr>
        <w:t xml:space="preserve"> </w:t>
      </w:r>
      <w:r w:rsidR="009B7667" w:rsidRPr="0088092F">
        <w:rPr>
          <w:rFonts w:cs="Arial"/>
          <w:szCs w:val="22"/>
          <w:lang w:val="en-CA" w:eastAsia="fr-CA"/>
        </w:rPr>
        <w:t>nevertheless</w:t>
      </w:r>
      <w:r w:rsidR="00915D2D" w:rsidRPr="0088092F">
        <w:rPr>
          <w:rFonts w:cs="Arial"/>
          <w:szCs w:val="22"/>
          <w:lang w:val="en-CA" w:eastAsia="fr-CA"/>
        </w:rPr>
        <w:t xml:space="preserve"> recommends that public security </w:t>
      </w:r>
      <w:r w:rsidR="00C963C2">
        <w:rPr>
          <w:rFonts w:cs="Arial"/>
          <w:szCs w:val="22"/>
          <w:lang w:val="en-CA" w:eastAsia="fr-CA"/>
        </w:rPr>
        <w:t>p</w:t>
      </w:r>
      <w:r w:rsidR="00915D2D" w:rsidRPr="0088092F">
        <w:rPr>
          <w:rFonts w:cs="Arial"/>
          <w:szCs w:val="22"/>
          <w:lang w:val="en-CA" w:eastAsia="fr-CA"/>
        </w:rPr>
        <w:t>ay particular a</w:t>
      </w:r>
      <w:r w:rsidRPr="0088092F">
        <w:rPr>
          <w:rFonts w:cs="Arial"/>
          <w:szCs w:val="22"/>
          <w:lang w:val="en-CA" w:eastAsia="fr-CA"/>
        </w:rPr>
        <w:t>ttention</w:t>
      </w:r>
      <w:r w:rsidR="00915D2D" w:rsidRPr="0088092F">
        <w:rPr>
          <w:rFonts w:cs="Arial"/>
          <w:szCs w:val="22"/>
          <w:lang w:val="en-CA" w:eastAsia="fr-CA"/>
        </w:rPr>
        <w:t xml:space="preserve"> to this aspect</w:t>
      </w:r>
      <w:r w:rsidRPr="0088092F">
        <w:rPr>
          <w:rFonts w:cs="Arial"/>
          <w:color w:val="000000"/>
          <w:szCs w:val="22"/>
          <w:lang w:val="en-CA" w:eastAsia="fr-CA"/>
        </w:rPr>
        <w:t>.</w:t>
      </w:r>
    </w:p>
    <w:p w14:paraId="31003976" w14:textId="606D63CA"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41" w:name="par18"/>
      <w:r w:rsidRPr="0088092F">
        <w:rPr>
          <w:rFonts w:cs="Arial"/>
          <w:color w:val="000000"/>
          <w:szCs w:val="22"/>
          <w:lang w:val="en-CA" w:eastAsia="fr-CA"/>
        </w:rPr>
        <w:t>18</w:t>
      </w:r>
      <w:bookmarkEnd w:id="41"/>
      <w:r w:rsidRPr="0088092F">
        <w:rPr>
          <w:rFonts w:cs="Arial"/>
          <w:color w:val="000000"/>
          <w:szCs w:val="22"/>
          <w:lang w:val="en-CA" w:eastAsia="fr-CA"/>
        </w:rPr>
        <w:t>]</w:t>
      </w:r>
      <w:r w:rsidRPr="0088092F">
        <w:rPr>
          <w:rFonts w:ascii="Times New Roman" w:hAnsi="Times New Roman"/>
          <w:color w:val="000000"/>
          <w:szCs w:val="22"/>
          <w:lang w:val="en-CA" w:eastAsia="fr-CA"/>
        </w:rPr>
        <w:t>      </w:t>
      </w:r>
      <w:r w:rsidRPr="0088092F">
        <w:rPr>
          <w:rFonts w:cs="Arial"/>
          <w:color w:val="000000"/>
          <w:szCs w:val="22"/>
          <w:lang w:val="en-CA" w:eastAsia="fr-CA"/>
        </w:rPr>
        <w:t>M</w:t>
      </w:r>
      <w:r w:rsidR="00AC1677" w:rsidRPr="0088092F">
        <w:rPr>
          <w:rFonts w:cs="Arial"/>
          <w:color w:val="000000"/>
          <w:szCs w:val="22"/>
          <w:lang w:val="en-CA" w:eastAsia="fr-CA"/>
        </w:rPr>
        <w:t>r</w:t>
      </w:r>
      <w:r w:rsidRPr="0088092F">
        <w:rPr>
          <w:rFonts w:cs="Arial"/>
          <w:color w:val="000000"/>
          <w:szCs w:val="22"/>
          <w:lang w:val="en-CA" w:eastAsia="fr-CA"/>
        </w:rPr>
        <w:t xml:space="preserve">. Turbide-Labbé </w:t>
      </w:r>
      <w:r w:rsidR="00AC1677" w:rsidRPr="0088092F">
        <w:rPr>
          <w:rFonts w:cs="Arial"/>
          <w:color w:val="000000"/>
          <w:szCs w:val="22"/>
          <w:lang w:val="en-CA" w:eastAsia="fr-CA"/>
        </w:rPr>
        <w:t xml:space="preserve">has not established that the temporary </w:t>
      </w:r>
      <w:r w:rsidR="00AC1677" w:rsidRPr="0088092F">
        <w:rPr>
          <w:lang w:val="en-CA"/>
        </w:rPr>
        <w:t>detention conditions</w:t>
      </w:r>
      <w:r w:rsidR="00AC1677" w:rsidRPr="0088092F">
        <w:rPr>
          <w:rFonts w:cs="Arial"/>
          <w:color w:val="000000"/>
          <w:szCs w:val="22"/>
          <w:lang w:val="en-CA" w:eastAsia="fr-CA"/>
        </w:rPr>
        <w:t xml:space="preserve"> he is subject to for a short </w:t>
      </w:r>
      <w:r w:rsidRPr="0088092F">
        <w:rPr>
          <w:rFonts w:cs="Arial"/>
          <w:szCs w:val="22"/>
          <w:lang w:val="en-CA" w:eastAsia="fr-CA"/>
        </w:rPr>
        <w:t>observation</w:t>
      </w:r>
      <w:r w:rsidR="00AC1677" w:rsidRPr="0088092F">
        <w:rPr>
          <w:rFonts w:cs="Arial"/>
          <w:szCs w:val="22"/>
          <w:lang w:val="en-CA" w:eastAsia="fr-CA"/>
        </w:rPr>
        <w:t xml:space="preserve"> </w:t>
      </w:r>
      <w:r w:rsidR="00AC1677" w:rsidRPr="0088092F">
        <w:rPr>
          <w:rFonts w:cs="Arial"/>
          <w:color w:val="000000"/>
          <w:szCs w:val="22"/>
          <w:lang w:val="en-CA" w:eastAsia="fr-CA"/>
        </w:rPr>
        <w:t xml:space="preserve">period </w:t>
      </w:r>
      <w:r w:rsidRPr="0088092F">
        <w:rPr>
          <w:rFonts w:cs="Arial"/>
          <w:color w:val="000000"/>
          <w:szCs w:val="22"/>
          <w:lang w:val="en-CA" w:eastAsia="fr-CA"/>
        </w:rPr>
        <w:t>constitu</w:t>
      </w:r>
      <w:r w:rsidR="00AC1677" w:rsidRPr="0088092F">
        <w:rPr>
          <w:rFonts w:cs="Arial"/>
          <w:color w:val="000000"/>
          <w:szCs w:val="22"/>
          <w:lang w:val="en-CA" w:eastAsia="fr-CA"/>
        </w:rPr>
        <w:t>t</w:t>
      </w:r>
      <w:r w:rsidRPr="0088092F">
        <w:rPr>
          <w:rFonts w:cs="Arial"/>
          <w:color w:val="000000"/>
          <w:szCs w:val="22"/>
          <w:lang w:val="en-CA" w:eastAsia="fr-CA"/>
        </w:rPr>
        <w:t>e</w:t>
      </w:r>
      <w:r w:rsidR="00AC1677" w:rsidRPr="0088092F">
        <w:rPr>
          <w:rFonts w:cs="Arial"/>
          <w:color w:val="000000"/>
          <w:szCs w:val="22"/>
          <w:lang w:val="en-CA" w:eastAsia="fr-CA"/>
        </w:rPr>
        <w:t xml:space="preserve"> cruel and unusual treatment</w:t>
      </w:r>
      <w:r w:rsidRPr="0088092F">
        <w:rPr>
          <w:rFonts w:cs="Arial"/>
          <w:color w:val="000000"/>
          <w:szCs w:val="22"/>
          <w:lang w:val="en-CA" w:eastAsia="fr-CA"/>
        </w:rPr>
        <w:t>.</w:t>
      </w:r>
      <w:r w:rsidR="00AC1677" w:rsidRPr="0088092F">
        <w:rPr>
          <w:rFonts w:cs="Arial"/>
          <w:color w:val="000000"/>
          <w:szCs w:val="22"/>
          <w:lang w:val="en-CA" w:eastAsia="fr-CA"/>
        </w:rPr>
        <w:t xml:space="preserve"> T</w:t>
      </w:r>
      <w:r w:rsidRPr="0088092F">
        <w:rPr>
          <w:rFonts w:cs="Arial"/>
          <w:szCs w:val="22"/>
          <w:lang w:val="en-CA" w:eastAsia="fr-CA"/>
        </w:rPr>
        <w:t>he</w:t>
      </w:r>
      <w:r w:rsidR="00AC1677" w:rsidRPr="0088092F">
        <w:rPr>
          <w:rFonts w:cs="Arial"/>
          <w:szCs w:val="22"/>
          <w:lang w:val="en-CA" w:eastAsia="fr-CA"/>
        </w:rPr>
        <w:t xml:space="preserve"> </w:t>
      </w:r>
      <w:r w:rsidRPr="0088092F">
        <w:rPr>
          <w:rFonts w:cs="Arial"/>
          <w:szCs w:val="22"/>
          <w:lang w:val="en-CA" w:eastAsia="fr-CA"/>
        </w:rPr>
        <w:t>Court</w:t>
      </w:r>
      <w:r w:rsidR="00AC1677" w:rsidRPr="0088092F">
        <w:rPr>
          <w:rFonts w:cs="Arial"/>
          <w:szCs w:val="22"/>
          <w:lang w:val="en-CA" w:eastAsia="fr-CA"/>
        </w:rPr>
        <w:t xml:space="preserve"> is well aware of the adverse effects of prolonged </w:t>
      </w:r>
      <w:r w:rsidR="00747370" w:rsidRPr="0088092F">
        <w:rPr>
          <w:rFonts w:cs="Arial"/>
          <w:color w:val="000000"/>
          <w:szCs w:val="22"/>
          <w:lang w:val="en-CA" w:eastAsia="fr-CA"/>
        </w:rPr>
        <w:t>segregation</w:t>
      </w:r>
      <w:r w:rsidR="00AC1677" w:rsidRPr="0088092F">
        <w:rPr>
          <w:rFonts w:cs="Arial"/>
          <w:szCs w:val="22"/>
          <w:lang w:val="en-CA" w:eastAsia="fr-CA"/>
        </w:rPr>
        <w:t xml:space="preserve"> in a correctional facility on mental health</w:t>
      </w:r>
      <w:r w:rsidRPr="0088092F">
        <w:rPr>
          <w:rFonts w:cs="Arial"/>
          <w:color w:val="000000"/>
          <w:szCs w:val="22"/>
          <w:lang w:val="en-CA" w:eastAsia="fr-CA"/>
        </w:rPr>
        <w:t xml:space="preserve">. </w:t>
      </w:r>
      <w:r w:rsidR="00AC1677" w:rsidRPr="0088092F">
        <w:rPr>
          <w:rFonts w:cs="Arial"/>
          <w:color w:val="000000"/>
          <w:szCs w:val="22"/>
          <w:lang w:val="en-CA" w:eastAsia="fr-CA"/>
        </w:rPr>
        <w:t>The fact remains that security requirements do not permit an inmate to be placed in</w:t>
      </w:r>
      <w:r w:rsidR="002334F3" w:rsidRPr="0088092F">
        <w:rPr>
          <w:rFonts w:cs="Arial"/>
          <w:color w:val="000000"/>
          <w:szCs w:val="22"/>
          <w:lang w:val="en-CA" w:eastAsia="fr-CA"/>
        </w:rPr>
        <w:t xml:space="preserve"> the </w:t>
      </w:r>
      <w:r w:rsidR="00E53F38">
        <w:rPr>
          <w:rFonts w:cs="Arial"/>
          <w:color w:val="000000"/>
          <w:szCs w:val="22"/>
          <w:lang w:val="en-CA" w:eastAsia="fr-CA"/>
        </w:rPr>
        <w:t>general</w:t>
      </w:r>
      <w:r w:rsidR="00E53F38" w:rsidRPr="0088092F">
        <w:rPr>
          <w:rFonts w:cs="Arial"/>
          <w:color w:val="000000"/>
          <w:szCs w:val="22"/>
          <w:lang w:val="en-CA" w:eastAsia="fr-CA"/>
        </w:rPr>
        <w:t xml:space="preserve"> </w:t>
      </w:r>
      <w:r w:rsidR="002334F3" w:rsidRPr="0088092F">
        <w:rPr>
          <w:rFonts w:cs="Arial"/>
          <w:color w:val="000000"/>
          <w:szCs w:val="22"/>
          <w:lang w:val="en-CA" w:eastAsia="fr-CA"/>
        </w:rPr>
        <w:t>prison po</w:t>
      </w:r>
      <w:r w:rsidRPr="0088092F">
        <w:rPr>
          <w:rFonts w:cs="Arial"/>
          <w:color w:val="000000"/>
          <w:szCs w:val="22"/>
          <w:lang w:val="en-CA" w:eastAsia="fr-CA"/>
        </w:rPr>
        <w:t xml:space="preserve">pulation </w:t>
      </w:r>
      <w:r w:rsidR="002334F3" w:rsidRPr="0088092F">
        <w:rPr>
          <w:rFonts w:cs="Arial"/>
          <w:color w:val="000000"/>
          <w:szCs w:val="22"/>
          <w:lang w:val="en-CA" w:eastAsia="fr-CA"/>
        </w:rPr>
        <w:t xml:space="preserve">when his or her </w:t>
      </w:r>
      <w:r w:rsidR="00C963C2">
        <w:rPr>
          <w:rFonts w:cs="Arial"/>
          <w:color w:val="000000"/>
          <w:szCs w:val="22"/>
          <w:lang w:val="en-CA" w:eastAsia="fr-CA"/>
        </w:rPr>
        <w:t>behaviour</w:t>
      </w:r>
      <w:r w:rsidR="002334F3" w:rsidRPr="0088092F">
        <w:rPr>
          <w:rFonts w:cs="Arial"/>
          <w:color w:val="000000"/>
          <w:szCs w:val="22"/>
          <w:lang w:val="en-CA" w:eastAsia="fr-CA"/>
        </w:rPr>
        <w:t xml:space="preserve"> pose</w:t>
      </w:r>
      <w:r w:rsidR="00875E5F" w:rsidRPr="0088092F">
        <w:rPr>
          <w:rFonts w:cs="Arial"/>
          <w:color w:val="000000"/>
          <w:szCs w:val="22"/>
          <w:lang w:val="en-CA" w:eastAsia="fr-CA"/>
        </w:rPr>
        <w:t>s a</w:t>
      </w:r>
      <w:r w:rsidR="002334F3" w:rsidRPr="0088092F">
        <w:rPr>
          <w:rFonts w:cs="Arial"/>
          <w:color w:val="000000"/>
          <w:szCs w:val="22"/>
          <w:lang w:val="en-CA" w:eastAsia="fr-CA"/>
        </w:rPr>
        <w:t xml:space="preserve"> risk for the security of the facility</w:t>
      </w:r>
      <w:r w:rsidRPr="0088092F">
        <w:rPr>
          <w:rFonts w:cs="Arial"/>
          <w:color w:val="000000"/>
          <w:szCs w:val="22"/>
          <w:lang w:val="en-CA" w:eastAsia="fr-CA"/>
        </w:rPr>
        <w:t xml:space="preserve">. </w:t>
      </w:r>
      <w:r w:rsidR="00875E5F" w:rsidRPr="0088092F">
        <w:rPr>
          <w:rFonts w:cs="Arial"/>
          <w:color w:val="000000"/>
          <w:szCs w:val="22"/>
          <w:lang w:val="en-CA" w:eastAsia="fr-CA"/>
        </w:rPr>
        <w:t xml:space="preserve">Public security must nevertheless apply </w:t>
      </w:r>
      <w:r w:rsidRPr="0088092F">
        <w:rPr>
          <w:rFonts w:cs="Arial"/>
          <w:color w:val="000000"/>
          <w:szCs w:val="22"/>
          <w:lang w:val="en-CA" w:eastAsia="fr-CA"/>
        </w:rPr>
        <w:t xml:space="preserve">alternatives </w:t>
      </w:r>
      <w:r w:rsidR="00875E5F" w:rsidRPr="0088092F">
        <w:rPr>
          <w:rFonts w:cs="Arial"/>
          <w:color w:val="000000"/>
          <w:szCs w:val="22"/>
          <w:lang w:val="en-CA" w:eastAsia="fr-CA"/>
        </w:rPr>
        <w:t xml:space="preserve">to prolonged </w:t>
      </w:r>
      <w:r w:rsidR="00747370" w:rsidRPr="0088092F">
        <w:rPr>
          <w:rFonts w:cs="Arial"/>
          <w:color w:val="000000"/>
          <w:szCs w:val="22"/>
          <w:lang w:val="en-CA" w:eastAsia="fr-CA"/>
        </w:rPr>
        <w:t>segregation</w:t>
      </w:r>
      <w:r w:rsidR="00875E5F" w:rsidRPr="0088092F">
        <w:rPr>
          <w:rFonts w:cs="Arial"/>
          <w:color w:val="000000"/>
          <w:szCs w:val="22"/>
          <w:lang w:val="en-CA" w:eastAsia="fr-CA"/>
        </w:rPr>
        <w:t xml:space="preserve"> withou</w:t>
      </w:r>
      <w:r w:rsidR="002F23F9" w:rsidRPr="0088092F">
        <w:rPr>
          <w:rFonts w:cs="Arial"/>
          <w:color w:val="000000"/>
          <w:szCs w:val="22"/>
          <w:lang w:val="en-CA" w:eastAsia="fr-CA"/>
        </w:rPr>
        <w:t>t</w:t>
      </w:r>
      <w:r w:rsidR="00875E5F" w:rsidRPr="0088092F">
        <w:rPr>
          <w:rFonts w:cs="Arial"/>
          <w:color w:val="000000"/>
          <w:szCs w:val="22"/>
          <w:lang w:val="en-CA" w:eastAsia="fr-CA"/>
        </w:rPr>
        <w:t xml:space="preserve"> significant human c</w:t>
      </w:r>
      <w:r w:rsidRPr="0088092F">
        <w:rPr>
          <w:rFonts w:cs="Arial"/>
          <w:color w:val="000000"/>
          <w:szCs w:val="22"/>
          <w:lang w:val="en-CA" w:eastAsia="fr-CA"/>
        </w:rPr>
        <w:t>ontact.</w:t>
      </w:r>
    </w:p>
    <w:p w14:paraId="70A93158" w14:textId="2AC9F002"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42" w:name="par19"/>
      <w:r w:rsidRPr="0088092F">
        <w:rPr>
          <w:rFonts w:cs="Arial"/>
          <w:color w:val="000000"/>
          <w:szCs w:val="22"/>
          <w:lang w:val="en-CA" w:eastAsia="fr-CA"/>
        </w:rPr>
        <w:t>19</w:t>
      </w:r>
      <w:bookmarkEnd w:id="42"/>
      <w:r w:rsidRPr="0088092F">
        <w:rPr>
          <w:rFonts w:cs="Arial"/>
          <w:color w:val="000000"/>
          <w:szCs w:val="22"/>
          <w:lang w:val="en-CA" w:eastAsia="fr-CA"/>
        </w:rPr>
        <w:t>]</w:t>
      </w:r>
      <w:r w:rsidRPr="0088092F">
        <w:rPr>
          <w:rFonts w:ascii="Times New Roman" w:hAnsi="Times New Roman"/>
          <w:color w:val="000000"/>
          <w:szCs w:val="22"/>
          <w:lang w:val="en-CA" w:eastAsia="fr-CA"/>
        </w:rPr>
        <w:t>      </w:t>
      </w:r>
      <w:r w:rsidRPr="0088092F">
        <w:rPr>
          <w:rFonts w:cs="Arial"/>
          <w:color w:val="000000"/>
          <w:szCs w:val="22"/>
          <w:lang w:val="en-CA" w:eastAsia="fr-CA"/>
        </w:rPr>
        <w:t>Essenti</w:t>
      </w:r>
      <w:r w:rsidR="002F23F9" w:rsidRPr="0088092F">
        <w:rPr>
          <w:rFonts w:cs="Arial"/>
          <w:color w:val="000000"/>
          <w:szCs w:val="22"/>
          <w:lang w:val="en-CA" w:eastAsia="fr-CA"/>
        </w:rPr>
        <w:t>ally</w:t>
      </w:r>
      <w:r w:rsidRPr="0088092F">
        <w:rPr>
          <w:rFonts w:cs="Arial"/>
          <w:color w:val="000000"/>
          <w:szCs w:val="22"/>
          <w:lang w:val="en-CA" w:eastAsia="fr-CA"/>
        </w:rPr>
        <w:t>, M</w:t>
      </w:r>
      <w:r w:rsidR="002F23F9" w:rsidRPr="0088092F">
        <w:rPr>
          <w:rFonts w:cs="Arial"/>
          <w:color w:val="000000"/>
          <w:szCs w:val="22"/>
          <w:lang w:val="en-CA" w:eastAsia="fr-CA"/>
        </w:rPr>
        <w:t>r</w:t>
      </w:r>
      <w:r w:rsidRPr="0088092F">
        <w:rPr>
          <w:rFonts w:cs="Arial"/>
          <w:color w:val="000000"/>
          <w:szCs w:val="22"/>
          <w:lang w:val="en-CA" w:eastAsia="fr-CA"/>
        </w:rPr>
        <w:t xml:space="preserve">. Turbide-Labbé </w:t>
      </w:r>
      <w:r w:rsidR="002F23F9" w:rsidRPr="0088092F">
        <w:rPr>
          <w:rFonts w:cs="Arial"/>
          <w:color w:val="000000"/>
          <w:szCs w:val="22"/>
          <w:lang w:val="en-CA" w:eastAsia="fr-CA"/>
        </w:rPr>
        <w:t xml:space="preserve">wants more </w:t>
      </w:r>
      <w:r w:rsidRPr="0088092F">
        <w:rPr>
          <w:rFonts w:cs="Arial"/>
          <w:color w:val="000000"/>
          <w:szCs w:val="22"/>
          <w:lang w:val="en-CA" w:eastAsia="fr-CA"/>
        </w:rPr>
        <w:t>flexibl</w:t>
      </w:r>
      <w:r w:rsidR="002F23F9" w:rsidRPr="0088092F">
        <w:rPr>
          <w:rFonts w:cs="Arial"/>
          <w:color w:val="000000"/>
          <w:szCs w:val="22"/>
          <w:lang w:val="en-CA" w:eastAsia="fr-CA"/>
        </w:rPr>
        <w:t xml:space="preserve">e telephone </w:t>
      </w:r>
      <w:r w:rsidRPr="0088092F">
        <w:rPr>
          <w:rFonts w:cs="Arial"/>
          <w:color w:val="000000"/>
          <w:szCs w:val="22"/>
          <w:lang w:val="en-CA" w:eastAsia="fr-CA"/>
        </w:rPr>
        <w:t xml:space="preserve">services </w:t>
      </w:r>
      <w:r w:rsidR="002F23F9" w:rsidRPr="0088092F">
        <w:rPr>
          <w:rFonts w:cs="Arial"/>
          <w:color w:val="000000"/>
          <w:szCs w:val="22"/>
          <w:lang w:val="en-CA" w:eastAsia="fr-CA"/>
        </w:rPr>
        <w:t>and significant human contact</w:t>
      </w:r>
      <w:r w:rsidRPr="0088092F">
        <w:rPr>
          <w:rFonts w:cs="Arial"/>
          <w:color w:val="000000"/>
          <w:szCs w:val="22"/>
          <w:lang w:val="en-CA" w:eastAsia="fr-CA"/>
        </w:rPr>
        <w:t xml:space="preserve">. </w:t>
      </w:r>
      <w:r w:rsidR="002F23F9" w:rsidRPr="0088092F">
        <w:rPr>
          <w:rFonts w:cs="Arial"/>
          <w:color w:val="000000"/>
          <w:szCs w:val="22"/>
          <w:lang w:val="en-CA" w:eastAsia="fr-CA"/>
        </w:rPr>
        <w:t>T</w:t>
      </w:r>
      <w:r w:rsidRPr="0088092F">
        <w:rPr>
          <w:rFonts w:cs="Arial"/>
          <w:szCs w:val="22"/>
          <w:lang w:val="en-CA" w:eastAsia="fr-CA"/>
        </w:rPr>
        <w:t>he</w:t>
      </w:r>
      <w:r w:rsidR="002F23F9" w:rsidRPr="0088092F">
        <w:rPr>
          <w:rFonts w:cs="Arial"/>
          <w:szCs w:val="22"/>
          <w:lang w:val="en-CA" w:eastAsia="fr-CA"/>
        </w:rPr>
        <w:t xml:space="preserve"> </w:t>
      </w:r>
      <w:r w:rsidRPr="0088092F">
        <w:rPr>
          <w:rFonts w:cs="Arial"/>
          <w:szCs w:val="22"/>
          <w:lang w:val="en-CA" w:eastAsia="fr-CA"/>
        </w:rPr>
        <w:t>Court</w:t>
      </w:r>
      <w:r w:rsidRPr="0088092F">
        <w:rPr>
          <w:rFonts w:cs="Arial"/>
          <w:color w:val="000000"/>
          <w:szCs w:val="22"/>
          <w:lang w:val="en-CA" w:eastAsia="fr-CA"/>
        </w:rPr>
        <w:t xml:space="preserve"> recomm</w:t>
      </w:r>
      <w:r w:rsidR="002F23F9" w:rsidRPr="0088092F">
        <w:rPr>
          <w:rFonts w:cs="Arial"/>
          <w:color w:val="000000"/>
          <w:szCs w:val="22"/>
          <w:lang w:val="en-CA" w:eastAsia="fr-CA"/>
        </w:rPr>
        <w:t>ends that public security take the necessary steps so that Mr. Turbide-Labbé may have realistic access to telephone communication that allows him to have significant contact with other persons</w:t>
      </w:r>
      <w:r w:rsidRPr="0088092F">
        <w:rPr>
          <w:rFonts w:cs="Arial"/>
          <w:color w:val="000000"/>
          <w:szCs w:val="22"/>
          <w:lang w:val="en-CA" w:eastAsia="fr-CA"/>
        </w:rPr>
        <w:t>.</w:t>
      </w:r>
    </w:p>
    <w:p w14:paraId="25D6E6C5" w14:textId="2A79C886" w:rsidR="00461B74" w:rsidRPr="0088092F" w:rsidRDefault="00461B74" w:rsidP="00461B74">
      <w:pPr>
        <w:pStyle w:val="Citationenretrait"/>
        <w:rPr>
          <w:rFonts w:cs="Arial"/>
          <w:color w:val="000000"/>
          <w:szCs w:val="22"/>
          <w:lang w:val="en-CA" w:eastAsia="fr-CA"/>
        </w:rPr>
      </w:pPr>
      <w:r w:rsidRPr="0088092F">
        <w:rPr>
          <w:rFonts w:cs="Arial"/>
          <w:color w:val="000000"/>
          <w:szCs w:val="22"/>
          <w:lang w:val="en-CA" w:eastAsia="fr-CA"/>
        </w:rPr>
        <w:t>[</w:t>
      </w:r>
      <w:bookmarkStart w:id="43" w:name="par20"/>
      <w:r w:rsidRPr="0088092F">
        <w:rPr>
          <w:rFonts w:cs="Arial"/>
          <w:color w:val="000000"/>
          <w:szCs w:val="22"/>
          <w:lang w:val="en-CA" w:eastAsia="fr-CA"/>
        </w:rPr>
        <w:t>20</w:t>
      </w:r>
      <w:bookmarkEnd w:id="43"/>
      <w:r w:rsidRPr="0088092F">
        <w:rPr>
          <w:rFonts w:cs="Arial"/>
          <w:color w:val="000000"/>
          <w:szCs w:val="22"/>
          <w:lang w:val="en-CA" w:eastAsia="fr-CA"/>
        </w:rPr>
        <w:t>]</w:t>
      </w:r>
      <w:r w:rsidRPr="0088092F">
        <w:rPr>
          <w:rFonts w:ascii="Times New Roman" w:hAnsi="Times New Roman"/>
          <w:color w:val="000000"/>
          <w:szCs w:val="22"/>
          <w:lang w:val="en-CA" w:eastAsia="fr-CA"/>
        </w:rPr>
        <w:t>     </w:t>
      </w:r>
      <w:r w:rsidR="009867F2" w:rsidRPr="0088092F">
        <w:rPr>
          <w:rFonts w:cs="Arial"/>
          <w:color w:val="000000"/>
          <w:szCs w:val="22"/>
          <w:lang w:val="en-CA" w:eastAsia="fr-CA"/>
        </w:rPr>
        <w:t xml:space="preserve">Ultimately, </w:t>
      </w:r>
      <w:r w:rsidRPr="0088092F">
        <w:rPr>
          <w:rFonts w:cs="Arial"/>
          <w:color w:val="000000"/>
          <w:szCs w:val="22"/>
          <w:lang w:val="en-CA" w:eastAsia="fr-CA"/>
        </w:rPr>
        <w:t>M</w:t>
      </w:r>
      <w:r w:rsidR="009867F2" w:rsidRPr="0088092F">
        <w:rPr>
          <w:rFonts w:cs="Arial"/>
          <w:color w:val="000000"/>
          <w:szCs w:val="22"/>
          <w:lang w:val="en-CA" w:eastAsia="fr-CA"/>
        </w:rPr>
        <w:t>r</w:t>
      </w:r>
      <w:r w:rsidRPr="0088092F">
        <w:rPr>
          <w:rFonts w:cs="Arial"/>
          <w:color w:val="000000"/>
          <w:szCs w:val="22"/>
          <w:lang w:val="en-CA" w:eastAsia="fr-CA"/>
        </w:rPr>
        <w:t xml:space="preserve">. Turbide-Labbé </w:t>
      </w:r>
      <w:r w:rsidR="009867F2" w:rsidRPr="0088092F">
        <w:rPr>
          <w:rFonts w:cs="Arial"/>
          <w:color w:val="000000"/>
          <w:szCs w:val="22"/>
          <w:lang w:val="en-CA" w:eastAsia="fr-CA"/>
        </w:rPr>
        <w:t xml:space="preserve">was lawfully detained by a </w:t>
      </w:r>
      <w:r w:rsidRPr="0088092F">
        <w:rPr>
          <w:rFonts w:cs="Arial"/>
          <w:szCs w:val="22"/>
          <w:lang w:val="en-CA" w:eastAsia="fr-CA"/>
        </w:rPr>
        <w:t>judge</w:t>
      </w:r>
      <w:r w:rsidRPr="0088092F">
        <w:rPr>
          <w:rFonts w:cs="Arial"/>
          <w:color w:val="000000"/>
          <w:szCs w:val="22"/>
          <w:lang w:val="en-CA" w:eastAsia="fr-CA"/>
        </w:rPr>
        <w:t>;</w:t>
      </w:r>
      <w:r w:rsidR="009867F2" w:rsidRPr="0088092F">
        <w:rPr>
          <w:rFonts w:cs="Arial"/>
          <w:color w:val="000000"/>
          <w:szCs w:val="22"/>
          <w:lang w:val="en-CA" w:eastAsia="fr-CA"/>
        </w:rPr>
        <w:t xml:space="preserve"> he has not suffered any unlawful reduction in residual liberty since his </w:t>
      </w:r>
      <w:r w:rsidRPr="0088092F">
        <w:rPr>
          <w:rFonts w:cs="Arial"/>
          <w:color w:val="000000"/>
          <w:szCs w:val="22"/>
          <w:lang w:val="en-CA" w:eastAsia="fr-CA"/>
        </w:rPr>
        <w:t>transfer</w:t>
      </w:r>
      <w:r w:rsidR="009867F2" w:rsidRPr="0088092F">
        <w:rPr>
          <w:rFonts w:cs="Arial"/>
          <w:color w:val="000000"/>
          <w:szCs w:val="22"/>
          <w:lang w:val="en-CA" w:eastAsia="fr-CA"/>
        </w:rPr>
        <w:t xml:space="preserve"> to</w:t>
      </w:r>
      <w:r w:rsidRPr="0088092F">
        <w:rPr>
          <w:rFonts w:cs="Arial"/>
          <w:color w:val="000000"/>
          <w:szCs w:val="22"/>
          <w:lang w:val="en-CA" w:eastAsia="fr-CA"/>
        </w:rPr>
        <w:t xml:space="preserve"> Sorel</w:t>
      </w:r>
      <w:r w:rsidR="009867F2" w:rsidRPr="0088092F">
        <w:rPr>
          <w:rFonts w:cs="Arial"/>
          <w:color w:val="000000"/>
          <w:szCs w:val="22"/>
          <w:lang w:val="en-CA" w:eastAsia="fr-CA"/>
        </w:rPr>
        <w:t>, and his current detention co</w:t>
      </w:r>
      <w:r w:rsidRPr="0088092F">
        <w:rPr>
          <w:rFonts w:cs="Arial"/>
          <w:color w:val="000000"/>
          <w:szCs w:val="22"/>
          <w:lang w:val="en-CA" w:eastAsia="fr-CA"/>
        </w:rPr>
        <w:t>nditions</w:t>
      </w:r>
      <w:r w:rsidR="009867F2" w:rsidRPr="0088092F">
        <w:rPr>
          <w:rFonts w:cs="Arial"/>
          <w:color w:val="000000"/>
          <w:szCs w:val="22"/>
          <w:lang w:val="en-CA" w:eastAsia="fr-CA"/>
        </w:rPr>
        <w:t xml:space="preserve"> do not constitute cruel and unusual treatment in view of his behaviour</w:t>
      </w:r>
      <w:r w:rsidRPr="0088092F">
        <w:rPr>
          <w:rFonts w:cs="Arial"/>
          <w:color w:val="000000"/>
          <w:szCs w:val="22"/>
          <w:lang w:val="en-CA" w:eastAsia="fr-CA"/>
        </w:rPr>
        <w:t>.</w:t>
      </w:r>
    </w:p>
    <w:p w14:paraId="405FD953" w14:textId="5EF5282B" w:rsidR="00461B74" w:rsidRPr="0088092F" w:rsidRDefault="00A73F6B" w:rsidP="00461B74">
      <w:pPr>
        <w:pStyle w:val="Paragraphe"/>
        <w:spacing w:line="280" w:lineRule="exact"/>
        <w:rPr>
          <w:szCs w:val="24"/>
          <w:lang w:val="en-CA"/>
        </w:rPr>
      </w:pPr>
      <w:bookmarkStart w:id="44" w:name="_Toc430945548"/>
      <w:bookmarkEnd w:id="44"/>
      <w:r w:rsidRPr="0088092F">
        <w:rPr>
          <w:szCs w:val="24"/>
          <w:lang w:val="en-CA"/>
        </w:rPr>
        <w:t xml:space="preserve">The </w:t>
      </w:r>
      <w:r w:rsidR="00461B74" w:rsidRPr="0088092F">
        <w:rPr>
          <w:szCs w:val="24"/>
          <w:lang w:val="en-CA"/>
        </w:rPr>
        <w:t xml:space="preserve">judge </w:t>
      </w:r>
      <w:r w:rsidRPr="0088092F">
        <w:rPr>
          <w:szCs w:val="24"/>
          <w:lang w:val="en-CA"/>
        </w:rPr>
        <w:t xml:space="preserve">granted in part the motion to issue a writ of </w:t>
      </w:r>
      <w:r w:rsidR="00461B74" w:rsidRPr="0088092F">
        <w:rPr>
          <w:rFonts w:cs="Arial"/>
          <w:i/>
          <w:iCs/>
          <w:color w:val="000000" w:themeColor="text1"/>
          <w:szCs w:val="24"/>
          <w:lang w:val="en-CA" w:eastAsia="fr-CA"/>
        </w:rPr>
        <w:t>habeas</w:t>
      </w:r>
      <w:r w:rsidR="00461B74" w:rsidRPr="0088092F">
        <w:rPr>
          <w:rFonts w:cs="Arial"/>
          <w:color w:val="000000" w:themeColor="text1"/>
          <w:szCs w:val="24"/>
          <w:lang w:val="en-CA" w:eastAsia="fr-CA"/>
        </w:rPr>
        <w:t> </w:t>
      </w:r>
      <w:r w:rsidR="00461B74" w:rsidRPr="0088092F">
        <w:rPr>
          <w:rFonts w:cs="Arial"/>
          <w:i/>
          <w:iCs/>
          <w:color w:val="000000" w:themeColor="text1"/>
          <w:szCs w:val="24"/>
          <w:lang w:val="en-CA" w:eastAsia="fr-CA"/>
        </w:rPr>
        <w:t>corpus</w:t>
      </w:r>
      <w:r w:rsidR="00461B74" w:rsidRPr="0088092F">
        <w:rPr>
          <w:rFonts w:cs="Arial"/>
          <w:color w:val="000000" w:themeColor="text1"/>
          <w:szCs w:val="24"/>
          <w:lang w:val="en-CA" w:eastAsia="fr-CA"/>
        </w:rPr>
        <w:t xml:space="preserve"> </w:t>
      </w:r>
      <w:r w:rsidR="00E26B94" w:rsidRPr="0088092F">
        <w:rPr>
          <w:rFonts w:cs="Arial"/>
          <w:color w:val="000000" w:themeColor="text1"/>
          <w:szCs w:val="24"/>
          <w:lang w:val="en-CA" w:eastAsia="fr-CA"/>
        </w:rPr>
        <w:t>and ordered public security to</w:t>
      </w:r>
      <w:r w:rsidR="00E26B94" w:rsidRPr="0088092F">
        <w:rPr>
          <w:iCs/>
          <w:lang w:val="en-CA"/>
        </w:rPr>
        <w:t xml:space="preserve"> implement an alternative, within a reasonable time, </w:t>
      </w:r>
      <w:r w:rsidR="00936C68" w:rsidRPr="0088092F">
        <w:rPr>
          <w:iCs/>
          <w:lang w:val="en-CA"/>
        </w:rPr>
        <w:t xml:space="preserve">at the </w:t>
      </w:r>
      <w:r w:rsidR="00E26B94" w:rsidRPr="0088092F">
        <w:rPr>
          <w:lang w:val="en-CA"/>
        </w:rPr>
        <w:t>Sorel</w:t>
      </w:r>
      <w:r w:rsidR="00936C68" w:rsidRPr="0088092F">
        <w:rPr>
          <w:lang w:val="en-CA"/>
        </w:rPr>
        <w:t xml:space="preserve"> facility</w:t>
      </w:r>
      <w:r w:rsidR="00E26B94" w:rsidRPr="0088092F">
        <w:rPr>
          <w:lang w:val="en-CA"/>
        </w:rPr>
        <w:t xml:space="preserve"> or elsewhere, to Mr. Turbide-Labbé’s detention conditions depriving him of meaningful human contact in person and by telephone</w:t>
      </w:r>
      <w:r w:rsidR="00461B74" w:rsidRPr="0088092F">
        <w:rPr>
          <w:rFonts w:cs="Arial"/>
          <w:color w:val="000000" w:themeColor="text1"/>
          <w:szCs w:val="24"/>
          <w:lang w:val="en-CA" w:eastAsia="fr-CA"/>
        </w:rPr>
        <w:t>.</w:t>
      </w:r>
    </w:p>
    <w:p w14:paraId="3821231D" w14:textId="77777777" w:rsidR="00461B74" w:rsidRPr="0088092F" w:rsidRDefault="00461B74" w:rsidP="00461B74">
      <w:pPr>
        <w:pStyle w:val="Titre1"/>
        <w:spacing w:line="280" w:lineRule="exact"/>
        <w:rPr>
          <w:lang w:val="en-CA"/>
        </w:rPr>
      </w:pPr>
      <w:bookmarkStart w:id="45" w:name="_Toc85547015"/>
      <w:r w:rsidRPr="0088092F">
        <w:rPr>
          <w:lang w:val="en-CA"/>
        </w:rPr>
        <w:lastRenderedPageBreak/>
        <w:t xml:space="preserve">V - </w:t>
      </w:r>
      <w:r w:rsidRPr="0088092F">
        <w:rPr>
          <w:lang w:val="en-CA"/>
        </w:rPr>
        <w:tab/>
      </w:r>
      <w:bookmarkEnd w:id="45"/>
      <w:r w:rsidR="001F6648" w:rsidRPr="0088092F">
        <w:rPr>
          <w:lang w:val="en-CA"/>
        </w:rPr>
        <w:t>ANALYSIS</w:t>
      </w:r>
    </w:p>
    <w:p w14:paraId="6A4CE0D5" w14:textId="4ABE34C8" w:rsidR="00461B74" w:rsidRPr="0088092F" w:rsidRDefault="00920ABB" w:rsidP="00461B74">
      <w:pPr>
        <w:pStyle w:val="Paragraphe"/>
        <w:spacing w:line="280" w:lineRule="exact"/>
        <w:rPr>
          <w:lang w:val="en-CA"/>
        </w:rPr>
      </w:pPr>
      <w:r w:rsidRPr="0088092F">
        <w:rPr>
          <w:lang w:val="en-CA"/>
        </w:rPr>
        <w:t xml:space="preserve">The </w:t>
      </w:r>
      <w:r w:rsidR="00461B74" w:rsidRPr="0088092F">
        <w:rPr>
          <w:lang w:val="en-CA"/>
        </w:rPr>
        <w:t xml:space="preserve">appellant </w:t>
      </w:r>
      <w:r w:rsidRPr="0088092F">
        <w:rPr>
          <w:lang w:val="en-CA"/>
        </w:rPr>
        <w:t xml:space="preserve">does not </w:t>
      </w:r>
      <w:r w:rsidR="00461B74" w:rsidRPr="0088092F">
        <w:rPr>
          <w:lang w:val="en-CA"/>
        </w:rPr>
        <w:t>contest</w:t>
      </w:r>
      <w:r w:rsidRPr="0088092F">
        <w:rPr>
          <w:lang w:val="en-CA"/>
        </w:rPr>
        <w:t xml:space="preserve"> the lawfulness of </w:t>
      </w:r>
      <w:r w:rsidR="00A12B4D" w:rsidRPr="0088092F">
        <w:rPr>
          <w:lang w:val="en-CA"/>
        </w:rPr>
        <w:t xml:space="preserve">his </w:t>
      </w:r>
      <w:r w:rsidR="00461B74" w:rsidRPr="0088092F">
        <w:rPr>
          <w:lang w:val="en-CA"/>
        </w:rPr>
        <w:t xml:space="preserve">placement </w:t>
      </w:r>
      <w:r w:rsidR="00A12B4D" w:rsidRPr="0088092F">
        <w:rPr>
          <w:lang w:val="en-CA"/>
        </w:rPr>
        <w:t xml:space="preserve">in solitary confinement, but rather the </w:t>
      </w:r>
      <w:r w:rsidR="00461B74" w:rsidRPr="0088092F">
        <w:rPr>
          <w:lang w:val="en-CA"/>
        </w:rPr>
        <w:t xml:space="preserve">conditions </w:t>
      </w:r>
      <w:r w:rsidR="00A12B4D" w:rsidRPr="0088092F">
        <w:rPr>
          <w:lang w:val="en-CA"/>
        </w:rPr>
        <w:t xml:space="preserve">surrounding it due to its effects on his </w:t>
      </w:r>
      <w:r w:rsidR="00461B74" w:rsidRPr="0088092F">
        <w:rPr>
          <w:lang w:val="en-CA"/>
        </w:rPr>
        <w:t>mental</w:t>
      </w:r>
      <w:r w:rsidR="00A12B4D" w:rsidRPr="0088092F">
        <w:rPr>
          <w:lang w:val="en-CA"/>
        </w:rPr>
        <w:t xml:space="preserve"> </w:t>
      </w:r>
      <w:r w:rsidR="00461B74" w:rsidRPr="0088092F">
        <w:rPr>
          <w:lang w:val="en-CA"/>
        </w:rPr>
        <w:t>health.</w:t>
      </w:r>
    </w:p>
    <w:p w14:paraId="225A284B" w14:textId="768902BA" w:rsidR="00461B74" w:rsidRPr="0088092F" w:rsidRDefault="00C312F9" w:rsidP="00461B74">
      <w:pPr>
        <w:pStyle w:val="Paragraphe"/>
        <w:spacing w:line="280" w:lineRule="exact"/>
        <w:rPr>
          <w:lang w:val="en-CA"/>
        </w:rPr>
      </w:pPr>
      <w:r w:rsidRPr="00BA5E10">
        <w:rPr>
          <w:lang w:val="en-CA"/>
        </w:rPr>
        <w:t xml:space="preserve">His </w:t>
      </w:r>
      <w:r w:rsidR="00404F92" w:rsidRPr="00BA5E10">
        <w:rPr>
          <w:lang w:val="en-CA"/>
        </w:rPr>
        <w:t>challenge</w:t>
      </w:r>
      <w:r w:rsidR="00461B74" w:rsidRPr="00BA5E10">
        <w:rPr>
          <w:lang w:val="en-CA"/>
        </w:rPr>
        <w:t xml:space="preserve"> </w:t>
      </w:r>
      <w:r w:rsidRPr="00BA5E10">
        <w:rPr>
          <w:lang w:val="en-CA"/>
        </w:rPr>
        <w:t xml:space="preserve">is based on the </w:t>
      </w:r>
      <w:r w:rsidR="00461B74" w:rsidRPr="00BA5E10">
        <w:rPr>
          <w:lang w:val="en-CA"/>
        </w:rPr>
        <w:t xml:space="preserve">decisions </w:t>
      </w:r>
      <w:r w:rsidRPr="00BA5E10">
        <w:rPr>
          <w:lang w:val="en-CA"/>
        </w:rPr>
        <w:t xml:space="preserve">of the Court of Appeal for Ontario and the Court of Appeal for </w:t>
      </w:r>
      <w:r w:rsidR="00461B74" w:rsidRPr="00BA5E10">
        <w:rPr>
          <w:lang w:val="en-CA"/>
        </w:rPr>
        <w:t>British</w:t>
      </w:r>
      <w:r w:rsidRPr="00BA5E10">
        <w:rPr>
          <w:lang w:val="en-CA"/>
        </w:rPr>
        <w:t xml:space="preserve"> </w:t>
      </w:r>
      <w:r w:rsidR="00461B74" w:rsidRPr="00BA5E10">
        <w:rPr>
          <w:lang w:val="en-CA"/>
        </w:rPr>
        <w:t>Columbia</w:t>
      </w:r>
      <w:r w:rsidRPr="00BA5E10">
        <w:rPr>
          <w:lang w:val="en-CA"/>
        </w:rPr>
        <w:t xml:space="preserve"> </w:t>
      </w:r>
      <w:r w:rsidR="000F681D">
        <w:rPr>
          <w:lang w:val="en-CA"/>
        </w:rPr>
        <w:t>that</w:t>
      </w:r>
      <w:r w:rsidRPr="00BA5E10">
        <w:rPr>
          <w:lang w:val="en-CA"/>
        </w:rPr>
        <w:t xml:space="preserve"> declared </w:t>
      </w:r>
      <w:r w:rsidR="00461B74" w:rsidRPr="00BA5E10">
        <w:rPr>
          <w:lang w:val="en-CA"/>
        </w:rPr>
        <w:t xml:space="preserve">sections 31 </w:t>
      </w:r>
      <w:r w:rsidR="00D7721F" w:rsidRPr="00BA5E10">
        <w:rPr>
          <w:lang w:val="en-CA"/>
        </w:rPr>
        <w:t xml:space="preserve">to </w:t>
      </w:r>
      <w:r w:rsidR="00461B74" w:rsidRPr="00BA5E10">
        <w:rPr>
          <w:lang w:val="en-CA"/>
        </w:rPr>
        <w:t xml:space="preserve">37 </w:t>
      </w:r>
      <w:r w:rsidR="00D7721F" w:rsidRPr="00BA5E10">
        <w:rPr>
          <w:lang w:val="en-CA"/>
        </w:rPr>
        <w:t xml:space="preserve">of the </w:t>
      </w:r>
      <w:r w:rsidR="00D7721F" w:rsidRPr="00BA5E10">
        <w:rPr>
          <w:i/>
          <w:lang w:val="en-CA"/>
        </w:rPr>
        <w:t>Corrections and Conditional Release Act</w:t>
      </w:r>
      <w:r w:rsidR="00461B74" w:rsidRPr="00BA5E10">
        <w:rPr>
          <w:rStyle w:val="Appelnotedebasdep"/>
          <w:lang w:val="en-CA"/>
        </w:rPr>
        <w:footnoteReference w:id="24"/>
      </w:r>
      <w:r w:rsidR="00D7721F" w:rsidRPr="00BA5E10">
        <w:rPr>
          <w:i/>
          <w:lang w:val="en-CA"/>
        </w:rPr>
        <w:t xml:space="preserve"> </w:t>
      </w:r>
      <w:r w:rsidR="00461B74" w:rsidRPr="00BA5E10">
        <w:rPr>
          <w:lang w:val="en-CA"/>
        </w:rPr>
        <w:t>(</w:t>
      </w:r>
      <w:r w:rsidR="00D7721F" w:rsidRPr="00BA5E10">
        <w:rPr>
          <w:lang w:val="en-CA"/>
        </w:rPr>
        <w:t>“</w:t>
      </w:r>
      <w:r w:rsidR="00D45771" w:rsidRPr="00BA5E10">
        <w:rPr>
          <w:i/>
          <w:iCs/>
          <w:lang w:val="en-CA"/>
        </w:rPr>
        <w:t>CCRA</w:t>
      </w:r>
      <w:r w:rsidR="00D7721F" w:rsidRPr="00BA5E10">
        <w:rPr>
          <w:iCs/>
          <w:lang w:val="en-CA"/>
        </w:rPr>
        <w:t>”</w:t>
      </w:r>
      <w:r w:rsidR="00461B74" w:rsidRPr="00BA5E10">
        <w:rPr>
          <w:lang w:val="en-CA"/>
        </w:rPr>
        <w:t>)</w:t>
      </w:r>
      <w:r w:rsidRPr="00BA5E10">
        <w:rPr>
          <w:lang w:val="en-CA"/>
        </w:rPr>
        <w:t xml:space="preserve"> </w:t>
      </w:r>
      <w:r w:rsidR="008727AC" w:rsidRPr="00BA5E10">
        <w:rPr>
          <w:lang w:val="en-CA"/>
        </w:rPr>
        <w:t>unconstitutional</w:t>
      </w:r>
      <w:r w:rsidR="00461B74" w:rsidRPr="0088092F">
        <w:rPr>
          <w:lang w:val="en-CA"/>
        </w:rPr>
        <w:t>.</w:t>
      </w:r>
    </w:p>
    <w:p w14:paraId="77C881B6" w14:textId="592376EC" w:rsidR="00461B74" w:rsidRPr="0088092F" w:rsidRDefault="00944FE7" w:rsidP="00461B74">
      <w:pPr>
        <w:pStyle w:val="Paragraphe"/>
        <w:spacing w:line="280" w:lineRule="exact"/>
        <w:rPr>
          <w:lang w:val="en-CA"/>
        </w:rPr>
      </w:pPr>
      <w:r w:rsidRPr="0088092F">
        <w:rPr>
          <w:lang w:val="en-CA"/>
        </w:rPr>
        <w:t xml:space="preserve">It is important to situate the appellant’s </w:t>
      </w:r>
      <w:r w:rsidR="00404F92" w:rsidRPr="0088092F">
        <w:rPr>
          <w:lang w:val="en-CA"/>
        </w:rPr>
        <w:t>challenge</w:t>
      </w:r>
      <w:r w:rsidR="00461B74" w:rsidRPr="0088092F">
        <w:rPr>
          <w:lang w:val="en-CA"/>
        </w:rPr>
        <w:t xml:space="preserve"> </w:t>
      </w:r>
      <w:r w:rsidRPr="0088092F">
        <w:rPr>
          <w:lang w:val="en-CA"/>
        </w:rPr>
        <w:t xml:space="preserve">in the </w:t>
      </w:r>
      <w:r w:rsidR="000F681D">
        <w:rPr>
          <w:lang w:val="en-CA"/>
        </w:rPr>
        <w:t>context where</w:t>
      </w:r>
      <w:r w:rsidRPr="0088092F">
        <w:rPr>
          <w:lang w:val="en-CA"/>
        </w:rPr>
        <w:t xml:space="preserve"> the </w:t>
      </w:r>
      <w:r w:rsidR="00A53FA6" w:rsidRPr="0088092F">
        <w:rPr>
          <w:lang w:val="en-CA"/>
        </w:rPr>
        <w:t xml:space="preserve">use of solitary confinement in </w:t>
      </w:r>
      <w:r w:rsidR="00461B74" w:rsidRPr="0088092F">
        <w:rPr>
          <w:lang w:val="en-CA"/>
        </w:rPr>
        <w:t>Canada</w:t>
      </w:r>
      <w:r w:rsidR="000F681D">
        <w:rPr>
          <w:lang w:val="en-CA"/>
        </w:rPr>
        <w:t xml:space="preserve"> is being called into question</w:t>
      </w:r>
      <w:r w:rsidR="00461B74" w:rsidRPr="0088092F">
        <w:rPr>
          <w:lang w:val="en-CA"/>
        </w:rPr>
        <w:t xml:space="preserve">.  </w:t>
      </w:r>
    </w:p>
    <w:p w14:paraId="6225135C" w14:textId="632694CB" w:rsidR="00461B74" w:rsidRPr="0088092F" w:rsidRDefault="00FD1C33" w:rsidP="00461B74">
      <w:pPr>
        <w:pStyle w:val="Paragraphe"/>
        <w:spacing w:line="280" w:lineRule="exact"/>
        <w:rPr>
          <w:lang w:val="en-CA"/>
        </w:rPr>
      </w:pPr>
      <w:r w:rsidRPr="0088092F">
        <w:rPr>
          <w:lang w:val="en-CA"/>
        </w:rPr>
        <w:t xml:space="preserve">Even if the </w:t>
      </w:r>
      <w:r w:rsidR="00461B74" w:rsidRPr="0088092F">
        <w:rPr>
          <w:lang w:val="en-CA"/>
        </w:rPr>
        <w:t>appellant</w:t>
      </w:r>
      <w:r w:rsidRPr="0088092F">
        <w:rPr>
          <w:lang w:val="en-CA"/>
        </w:rPr>
        <w:t xml:space="preserve"> gives his </w:t>
      </w:r>
      <w:r w:rsidR="00404F92" w:rsidRPr="0088092F">
        <w:rPr>
          <w:lang w:val="en-CA"/>
        </w:rPr>
        <w:t>challenge</w:t>
      </w:r>
      <w:r w:rsidRPr="0088092F">
        <w:rPr>
          <w:lang w:val="en-CA"/>
        </w:rPr>
        <w:t xml:space="preserve"> a very broad </w:t>
      </w:r>
      <w:r w:rsidR="00461B74" w:rsidRPr="0088092F">
        <w:rPr>
          <w:lang w:val="en-CA"/>
        </w:rPr>
        <w:t>interpretation</w:t>
      </w:r>
      <w:r w:rsidR="006B1D14" w:rsidRPr="0088092F">
        <w:rPr>
          <w:lang w:val="en-CA"/>
        </w:rPr>
        <w:t xml:space="preserve">, it is limited to his </w:t>
      </w:r>
      <w:r w:rsidR="00461B74" w:rsidRPr="0088092F">
        <w:rPr>
          <w:lang w:val="en-CA"/>
        </w:rPr>
        <w:t>situation</w:t>
      </w:r>
      <w:r w:rsidR="00B61501" w:rsidRPr="0088092F">
        <w:rPr>
          <w:lang w:val="en-CA"/>
        </w:rPr>
        <w:t xml:space="preserve"> and not applicable to the entire Quebec correctional system</w:t>
      </w:r>
      <w:r w:rsidR="00461B74" w:rsidRPr="0088092F">
        <w:rPr>
          <w:lang w:val="en-CA"/>
        </w:rPr>
        <w:t>.</w:t>
      </w:r>
    </w:p>
    <w:p w14:paraId="43648E28" w14:textId="3183B3FC" w:rsidR="00461B74" w:rsidRPr="0088092F" w:rsidRDefault="00D35CBD" w:rsidP="00461B74">
      <w:pPr>
        <w:pStyle w:val="Paragraphe"/>
        <w:spacing w:line="280" w:lineRule="exact"/>
        <w:rPr>
          <w:lang w:val="en-CA"/>
        </w:rPr>
      </w:pPr>
      <w:r>
        <w:rPr>
          <w:lang w:val="en-CA"/>
        </w:rPr>
        <w:t>Once</w:t>
      </w:r>
      <w:r w:rsidR="00284CC9" w:rsidRPr="0088092F">
        <w:rPr>
          <w:lang w:val="en-CA"/>
        </w:rPr>
        <w:t xml:space="preserve"> the </w:t>
      </w:r>
      <w:r w:rsidR="00461B74" w:rsidRPr="0088092F">
        <w:rPr>
          <w:lang w:val="en-CA"/>
        </w:rPr>
        <w:t>debate</w:t>
      </w:r>
      <w:r w:rsidR="00284CC9" w:rsidRPr="0088092F">
        <w:rPr>
          <w:lang w:val="en-CA"/>
        </w:rPr>
        <w:t xml:space="preserve"> has been </w:t>
      </w:r>
      <w:r w:rsidR="000F681D">
        <w:rPr>
          <w:lang w:val="en-CA"/>
        </w:rPr>
        <w:t>circumscribed</w:t>
      </w:r>
      <w:r w:rsidR="000F681D" w:rsidRPr="0088092F">
        <w:rPr>
          <w:lang w:val="en-CA"/>
        </w:rPr>
        <w:t xml:space="preserve"> </w:t>
      </w:r>
      <w:r w:rsidR="00284CC9" w:rsidRPr="0088092F">
        <w:rPr>
          <w:lang w:val="en-CA"/>
        </w:rPr>
        <w:t>in this way, it is easier to understand the appellant’s</w:t>
      </w:r>
      <w:r w:rsidR="00461B74" w:rsidRPr="0088092F">
        <w:rPr>
          <w:lang w:val="en-CA"/>
        </w:rPr>
        <w:t xml:space="preserve"> </w:t>
      </w:r>
      <w:r w:rsidR="00404F92" w:rsidRPr="0088092F">
        <w:rPr>
          <w:lang w:val="en-CA"/>
        </w:rPr>
        <w:t>challenge</w:t>
      </w:r>
      <w:r w:rsidR="00461B74" w:rsidRPr="0088092F">
        <w:rPr>
          <w:lang w:val="en-CA"/>
        </w:rPr>
        <w:t xml:space="preserve"> </w:t>
      </w:r>
      <w:r w:rsidR="00284CC9" w:rsidRPr="0088092F">
        <w:rPr>
          <w:lang w:val="en-CA"/>
        </w:rPr>
        <w:t xml:space="preserve">and to note that the </w:t>
      </w:r>
      <w:r w:rsidR="00461B74" w:rsidRPr="0088092F">
        <w:rPr>
          <w:lang w:val="en-CA"/>
        </w:rPr>
        <w:t>trial</w:t>
      </w:r>
      <w:r w:rsidR="00284CC9" w:rsidRPr="0088092F">
        <w:rPr>
          <w:lang w:val="en-CA"/>
        </w:rPr>
        <w:t xml:space="preserve"> </w:t>
      </w:r>
      <w:r w:rsidR="00461B74" w:rsidRPr="0088092F">
        <w:rPr>
          <w:lang w:val="en-CA"/>
        </w:rPr>
        <w:t>judge</w:t>
      </w:r>
      <w:r w:rsidR="00284CC9" w:rsidRPr="0088092F">
        <w:rPr>
          <w:lang w:val="en-CA"/>
        </w:rPr>
        <w:t xml:space="preserve"> did not completely decide it even though he was [</w:t>
      </w:r>
      <w:r w:rsidR="00284CC9" w:rsidRPr="0088092F">
        <w:rPr>
          <w:smallCaps/>
          <w:lang w:val="en-CA"/>
        </w:rPr>
        <w:t>translation</w:t>
      </w:r>
      <w:r w:rsidR="00284CC9" w:rsidRPr="0088092F">
        <w:rPr>
          <w:lang w:val="en-CA"/>
        </w:rPr>
        <w:t>] “</w:t>
      </w:r>
      <w:r w:rsidR="00B86D7F" w:rsidRPr="0088092F">
        <w:rPr>
          <w:lang w:val="en-CA"/>
        </w:rPr>
        <w:t xml:space="preserve">concerned </w:t>
      </w:r>
      <w:r w:rsidR="00EF0B48">
        <w:rPr>
          <w:lang w:val="en-CA"/>
        </w:rPr>
        <w:t>about</w:t>
      </w:r>
      <w:r w:rsidR="00EF0B48" w:rsidRPr="0088092F">
        <w:rPr>
          <w:lang w:val="en-CA"/>
        </w:rPr>
        <w:t xml:space="preserve"> </w:t>
      </w:r>
      <w:r w:rsidR="00B86D7F" w:rsidRPr="0088092F">
        <w:rPr>
          <w:lang w:val="en-CA"/>
        </w:rPr>
        <w:t>the possibility that Mr. Turbide-Labbé is in psychological distress and requires medical care”.</w:t>
      </w:r>
      <w:r w:rsidR="00461B74" w:rsidRPr="0088092F">
        <w:rPr>
          <w:rStyle w:val="Appelnotedebasdep"/>
          <w:lang w:val="en-CA"/>
        </w:rPr>
        <w:footnoteReference w:id="25"/>
      </w:r>
    </w:p>
    <w:p w14:paraId="03AE774A" w14:textId="1A456C7B" w:rsidR="00461B74" w:rsidRPr="0088092F" w:rsidRDefault="00B86D7F" w:rsidP="00461B74">
      <w:pPr>
        <w:pStyle w:val="Paragraphe"/>
        <w:spacing w:line="280" w:lineRule="exact"/>
        <w:rPr>
          <w:lang w:val="en-CA"/>
        </w:rPr>
      </w:pPr>
      <w:r w:rsidRPr="0088092F">
        <w:rPr>
          <w:lang w:val="en-CA"/>
        </w:rPr>
        <w:t xml:space="preserve">As I explained above, the difficulty of the exercise for the </w:t>
      </w:r>
      <w:r w:rsidR="00461B74" w:rsidRPr="0088092F">
        <w:rPr>
          <w:lang w:val="en-CA"/>
        </w:rPr>
        <w:t xml:space="preserve">judge </w:t>
      </w:r>
      <w:r w:rsidRPr="0088092F">
        <w:rPr>
          <w:lang w:val="en-CA"/>
        </w:rPr>
        <w:t xml:space="preserve">was increased in part by the </w:t>
      </w:r>
      <w:r w:rsidR="00461B74" w:rsidRPr="0088092F">
        <w:rPr>
          <w:lang w:val="en-CA"/>
        </w:rPr>
        <w:t xml:space="preserve">absence </w:t>
      </w:r>
      <w:r w:rsidRPr="0088092F">
        <w:rPr>
          <w:lang w:val="en-CA"/>
        </w:rPr>
        <w:t>of a legislative and regulatory</w:t>
      </w:r>
      <w:r w:rsidR="00023C7C" w:rsidRPr="0088092F">
        <w:rPr>
          <w:lang w:val="en-CA"/>
        </w:rPr>
        <w:t xml:space="preserve"> framework</w:t>
      </w:r>
      <w:r w:rsidRPr="0088092F">
        <w:rPr>
          <w:lang w:val="en-CA"/>
        </w:rPr>
        <w:t xml:space="preserve">, but also by the fact that the </w:t>
      </w:r>
      <w:r w:rsidR="00461B74" w:rsidRPr="0088092F">
        <w:rPr>
          <w:lang w:val="en-CA"/>
        </w:rPr>
        <w:t>appellant</w:t>
      </w:r>
      <w:r w:rsidRPr="0088092F">
        <w:rPr>
          <w:lang w:val="en-CA"/>
        </w:rPr>
        <w:t xml:space="preserve"> was not represented by counsel</w:t>
      </w:r>
      <w:r w:rsidR="009F0369" w:rsidRPr="0088092F">
        <w:rPr>
          <w:lang w:val="en-CA"/>
        </w:rPr>
        <w:t>,</w:t>
      </w:r>
      <w:r w:rsidR="00023C7C" w:rsidRPr="0088092F">
        <w:rPr>
          <w:lang w:val="en-CA"/>
        </w:rPr>
        <w:t xml:space="preserve"> </w:t>
      </w:r>
      <w:r w:rsidR="00B82A43" w:rsidRPr="0088092F">
        <w:rPr>
          <w:lang w:val="en-CA"/>
        </w:rPr>
        <w:t>although he</w:t>
      </w:r>
      <w:r w:rsidR="009F0369" w:rsidRPr="0088092F">
        <w:rPr>
          <w:lang w:val="en-CA"/>
        </w:rPr>
        <w:t xml:space="preserve"> </w:t>
      </w:r>
      <w:r w:rsidR="00B82A43" w:rsidRPr="0088092F">
        <w:rPr>
          <w:lang w:val="en-CA"/>
        </w:rPr>
        <w:t xml:space="preserve">did </w:t>
      </w:r>
      <w:r w:rsidR="009F0369" w:rsidRPr="0088092F">
        <w:rPr>
          <w:lang w:val="en-CA"/>
        </w:rPr>
        <w:t>present his arguments</w:t>
      </w:r>
      <w:r w:rsidR="00B82A43" w:rsidRPr="0088092F">
        <w:rPr>
          <w:lang w:val="en-CA"/>
        </w:rPr>
        <w:t xml:space="preserve"> with </w:t>
      </w:r>
      <w:r w:rsidR="009F0369" w:rsidRPr="0088092F">
        <w:rPr>
          <w:lang w:val="en-CA"/>
        </w:rPr>
        <w:t>skill.</w:t>
      </w:r>
      <w:r w:rsidR="00461B74" w:rsidRPr="0088092F">
        <w:rPr>
          <w:rStyle w:val="Appelnotedebasdep"/>
          <w:lang w:val="en-CA"/>
        </w:rPr>
        <w:footnoteReference w:id="26"/>
      </w:r>
      <w:r w:rsidR="00461B74" w:rsidRPr="0088092F">
        <w:rPr>
          <w:lang w:val="en-CA"/>
        </w:rPr>
        <w:t xml:space="preserve">  </w:t>
      </w:r>
    </w:p>
    <w:p w14:paraId="572314CB" w14:textId="3AAB1B8B" w:rsidR="00461B74" w:rsidRPr="0088092F" w:rsidRDefault="00870584" w:rsidP="00461B74">
      <w:pPr>
        <w:pStyle w:val="Paragraphe"/>
        <w:spacing w:line="280" w:lineRule="exact"/>
        <w:rPr>
          <w:lang w:val="en-CA"/>
        </w:rPr>
      </w:pPr>
      <w:r w:rsidRPr="0088092F">
        <w:rPr>
          <w:lang w:val="en-CA"/>
        </w:rPr>
        <w:t xml:space="preserve">It is also implicitly understood that the </w:t>
      </w:r>
      <w:r w:rsidR="00461B74" w:rsidRPr="0088092F">
        <w:rPr>
          <w:lang w:val="en-CA"/>
        </w:rPr>
        <w:t>respondent</w:t>
      </w:r>
      <w:r w:rsidRPr="0088092F">
        <w:rPr>
          <w:lang w:val="en-CA"/>
        </w:rPr>
        <w:t xml:space="preserve"> and the </w:t>
      </w:r>
      <w:r w:rsidR="00461B74" w:rsidRPr="0088092F">
        <w:rPr>
          <w:lang w:val="en-CA"/>
        </w:rPr>
        <w:t>impleaded</w:t>
      </w:r>
      <w:r w:rsidRPr="0088092F">
        <w:rPr>
          <w:lang w:val="en-CA"/>
        </w:rPr>
        <w:t xml:space="preserve"> </w:t>
      </w:r>
      <w:r w:rsidR="00461B74" w:rsidRPr="0088092F">
        <w:rPr>
          <w:lang w:val="en-CA"/>
        </w:rPr>
        <w:t>party</w:t>
      </w:r>
      <w:r w:rsidRPr="0088092F">
        <w:rPr>
          <w:lang w:val="en-CA"/>
        </w:rPr>
        <w:t xml:space="preserve"> are of the view that the </w:t>
      </w:r>
      <w:r w:rsidR="00461B74" w:rsidRPr="0088092F">
        <w:rPr>
          <w:lang w:val="en-CA"/>
        </w:rPr>
        <w:t>appellant</w:t>
      </w:r>
      <w:r w:rsidRPr="0088092F">
        <w:rPr>
          <w:lang w:val="en-CA"/>
        </w:rPr>
        <w:t xml:space="preserve"> is </w:t>
      </w:r>
      <w:r w:rsidR="00461B74" w:rsidRPr="0088092F">
        <w:rPr>
          <w:lang w:val="en-CA"/>
        </w:rPr>
        <w:t>manipul</w:t>
      </w:r>
      <w:r w:rsidRPr="0088092F">
        <w:rPr>
          <w:lang w:val="en-CA"/>
        </w:rPr>
        <w:t xml:space="preserve">ating the system and is the author of his own misfortune. The </w:t>
      </w:r>
      <w:r w:rsidR="00461B74" w:rsidRPr="0088092F">
        <w:rPr>
          <w:lang w:val="en-CA"/>
        </w:rPr>
        <w:t xml:space="preserve">appellant </w:t>
      </w:r>
      <w:r w:rsidRPr="0088092F">
        <w:rPr>
          <w:lang w:val="en-CA"/>
        </w:rPr>
        <w:t xml:space="preserve">is perhaps feigning his </w:t>
      </w:r>
      <w:r w:rsidR="00461B74" w:rsidRPr="0088092F">
        <w:rPr>
          <w:lang w:val="en-CA"/>
        </w:rPr>
        <w:t>mental</w:t>
      </w:r>
      <w:r w:rsidRPr="0088092F">
        <w:rPr>
          <w:lang w:val="en-CA"/>
        </w:rPr>
        <w:t xml:space="preserve"> </w:t>
      </w:r>
      <w:r w:rsidR="00461B74" w:rsidRPr="0088092F">
        <w:rPr>
          <w:lang w:val="en-CA"/>
        </w:rPr>
        <w:t>health</w:t>
      </w:r>
      <w:r w:rsidRPr="0088092F">
        <w:rPr>
          <w:lang w:val="en-CA"/>
        </w:rPr>
        <w:t xml:space="preserve"> problems and using </w:t>
      </w:r>
      <w:r w:rsidR="00461B74" w:rsidRPr="0088092F">
        <w:rPr>
          <w:i/>
          <w:iCs/>
          <w:lang w:val="en-CA"/>
        </w:rPr>
        <w:t xml:space="preserve">habeas corpus </w:t>
      </w:r>
      <w:r w:rsidRPr="0088092F">
        <w:rPr>
          <w:iCs/>
          <w:lang w:val="en-CA"/>
        </w:rPr>
        <w:t>to [</w:t>
      </w:r>
      <w:r w:rsidR="002F68FC" w:rsidRPr="0088092F">
        <w:rPr>
          <w:iCs/>
          <w:smallCaps/>
          <w:lang w:val="en-CA"/>
        </w:rPr>
        <w:t>translation</w:t>
      </w:r>
      <w:r w:rsidR="002F68FC" w:rsidRPr="0088092F">
        <w:rPr>
          <w:iCs/>
          <w:lang w:val="en-CA"/>
        </w:rPr>
        <w:t>] “</w:t>
      </w:r>
      <w:r w:rsidR="00E7145E" w:rsidRPr="0088092F">
        <w:rPr>
          <w:iCs/>
          <w:lang w:val="en-CA"/>
        </w:rPr>
        <w:t xml:space="preserve">shop around for detention conditions” according to the expression used by counsel for the </w:t>
      </w:r>
      <w:r w:rsidR="00461B74" w:rsidRPr="0088092F">
        <w:rPr>
          <w:lang w:val="en-CA"/>
        </w:rPr>
        <w:t>respondent</w:t>
      </w:r>
      <w:r w:rsidR="00E7145E" w:rsidRPr="0088092F">
        <w:rPr>
          <w:lang w:val="en-CA"/>
        </w:rPr>
        <w:t xml:space="preserve"> and the </w:t>
      </w:r>
      <w:r w:rsidR="00461B74" w:rsidRPr="0088092F">
        <w:rPr>
          <w:lang w:val="en-CA"/>
        </w:rPr>
        <w:t>impleaded</w:t>
      </w:r>
      <w:r w:rsidR="00E7145E" w:rsidRPr="0088092F">
        <w:rPr>
          <w:lang w:val="en-CA"/>
        </w:rPr>
        <w:t xml:space="preserve"> </w:t>
      </w:r>
      <w:r w:rsidR="00461B74" w:rsidRPr="0088092F">
        <w:rPr>
          <w:lang w:val="en-CA"/>
        </w:rPr>
        <w:t>party</w:t>
      </w:r>
      <w:r w:rsidR="00E7145E" w:rsidRPr="0088092F">
        <w:rPr>
          <w:lang w:val="en-CA"/>
        </w:rPr>
        <w:t xml:space="preserve"> before the </w:t>
      </w:r>
      <w:r w:rsidR="00461B74" w:rsidRPr="0088092F">
        <w:rPr>
          <w:lang w:val="en-CA"/>
        </w:rPr>
        <w:t>trial</w:t>
      </w:r>
      <w:r w:rsidR="00E7145E" w:rsidRPr="0088092F">
        <w:rPr>
          <w:lang w:val="en-CA"/>
        </w:rPr>
        <w:t xml:space="preserve"> </w:t>
      </w:r>
      <w:r w:rsidR="00461B74" w:rsidRPr="0088092F">
        <w:rPr>
          <w:lang w:val="en-CA"/>
        </w:rPr>
        <w:t xml:space="preserve">judge. </w:t>
      </w:r>
    </w:p>
    <w:p w14:paraId="77E19173" w14:textId="69225163" w:rsidR="00461B74" w:rsidRPr="0088092F" w:rsidRDefault="00684F9C" w:rsidP="00461B74">
      <w:pPr>
        <w:pStyle w:val="Paragraphe"/>
        <w:spacing w:line="280" w:lineRule="exact"/>
        <w:rPr>
          <w:lang w:val="en-CA"/>
        </w:rPr>
      </w:pPr>
      <w:r w:rsidRPr="0088092F">
        <w:rPr>
          <w:lang w:val="en-CA"/>
        </w:rPr>
        <w:t xml:space="preserve">It goes without saying that, if that </w:t>
      </w:r>
      <w:r w:rsidR="00D35CBD">
        <w:rPr>
          <w:lang w:val="en-CA"/>
        </w:rPr>
        <w:t xml:space="preserve">were </w:t>
      </w:r>
      <w:r w:rsidRPr="0088092F">
        <w:rPr>
          <w:lang w:val="en-CA"/>
        </w:rPr>
        <w:t xml:space="preserve">the case, the </w:t>
      </w:r>
      <w:r w:rsidR="00461B74" w:rsidRPr="0088092F">
        <w:rPr>
          <w:lang w:val="en-CA"/>
        </w:rPr>
        <w:t>appellant</w:t>
      </w:r>
      <w:r w:rsidRPr="0088092F">
        <w:rPr>
          <w:lang w:val="en-CA"/>
        </w:rPr>
        <w:t>’s proceeding should be dismissed</w:t>
      </w:r>
      <w:r w:rsidR="00461B74" w:rsidRPr="0088092F">
        <w:rPr>
          <w:lang w:val="en-CA"/>
        </w:rPr>
        <w:t xml:space="preserve">. </w:t>
      </w:r>
    </w:p>
    <w:p w14:paraId="2395E396" w14:textId="77777777" w:rsidR="00461B74" w:rsidRPr="0088092F" w:rsidRDefault="00461B74" w:rsidP="00461B74">
      <w:pPr>
        <w:pStyle w:val="Paragraphe"/>
        <w:numPr>
          <w:ilvl w:val="0"/>
          <w:numId w:val="0"/>
        </w:numPr>
        <w:spacing w:line="280" w:lineRule="exact"/>
        <w:jc w:val="center"/>
        <w:rPr>
          <w:lang w:val="en-CA"/>
        </w:rPr>
      </w:pPr>
      <w:r w:rsidRPr="0088092F">
        <w:rPr>
          <w:lang w:val="en-CA"/>
        </w:rPr>
        <w:t>***</w:t>
      </w:r>
    </w:p>
    <w:p w14:paraId="4848C03E" w14:textId="60EA02C1" w:rsidR="00461B74" w:rsidRPr="0088092F" w:rsidRDefault="002A0C10" w:rsidP="00461B74">
      <w:pPr>
        <w:pStyle w:val="Paragraphe"/>
        <w:spacing w:line="280" w:lineRule="exact"/>
        <w:rPr>
          <w:lang w:val="en-CA"/>
        </w:rPr>
      </w:pPr>
      <w:r w:rsidRPr="0088092F">
        <w:rPr>
          <w:lang w:val="en-CA"/>
        </w:rPr>
        <w:lastRenderedPageBreak/>
        <w:t xml:space="preserve">I will now address the mootness of the </w:t>
      </w:r>
      <w:r w:rsidR="00461B74" w:rsidRPr="0088092F">
        <w:rPr>
          <w:lang w:val="en-CA"/>
        </w:rPr>
        <w:t>appellant</w:t>
      </w:r>
      <w:r w:rsidRPr="0088092F">
        <w:rPr>
          <w:lang w:val="en-CA"/>
        </w:rPr>
        <w:t xml:space="preserve">’s appeal and then provide an overview of the </w:t>
      </w:r>
      <w:r w:rsidR="00461B74" w:rsidRPr="0088092F">
        <w:rPr>
          <w:lang w:val="en-CA"/>
        </w:rPr>
        <w:t>debate</w:t>
      </w:r>
      <w:r w:rsidRPr="0088092F">
        <w:rPr>
          <w:lang w:val="en-CA"/>
        </w:rPr>
        <w:t xml:space="preserve"> surrounding solitary confinement in </w:t>
      </w:r>
      <w:r w:rsidR="00461B74" w:rsidRPr="0088092F">
        <w:rPr>
          <w:lang w:val="en-CA"/>
        </w:rPr>
        <w:t xml:space="preserve">Canada, </w:t>
      </w:r>
      <w:r w:rsidRPr="0088092F">
        <w:rPr>
          <w:lang w:val="en-CA"/>
        </w:rPr>
        <w:t>a preliminary step that I find necessary to a proper understanding of the appellant’s</w:t>
      </w:r>
      <w:r w:rsidR="00461B74" w:rsidRPr="0088092F">
        <w:rPr>
          <w:lang w:val="en-CA"/>
        </w:rPr>
        <w:t xml:space="preserve"> </w:t>
      </w:r>
      <w:r w:rsidR="00404F92" w:rsidRPr="0088092F">
        <w:rPr>
          <w:lang w:val="en-CA"/>
        </w:rPr>
        <w:t>challenge</w:t>
      </w:r>
      <w:r w:rsidR="00461B74" w:rsidRPr="0088092F">
        <w:rPr>
          <w:lang w:val="en-CA"/>
        </w:rPr>
        <w:t>.</w:t>
      </w:r>
    </w:p>
    <w:p w14:paraId="2A03E0B1" w14:textId="4215BB2C" w:rsidR="00461B74" w:rsidRPr="0088092F" w:rsidRDefault="00461B74" w:rsidP="00461B74">
      <w:pPr>
        <w:pStyle w:val="Titre2"/>
        <w:rPr>
          <w:lang w:val="en-CA"/>
        </w:rPr>
      </w:pPr>
      <w:bookmarkStart w:id="46" w:name="_Toc85547016"/>
      <w:r w:rsidRPr="0088092F">
        <w:rPr>
          <w:lang w:val="en-CA"/>
        </w:rPr>
        <w:t>A -</w:t>
      </w:r>
      <w:r w:rsidRPr="0088092F">
        <w:rPr>
          <w:lang w:val="en-CA"/>
        </w:rPr>
        <w:tab/>
      </w:r>
      <w:bookmarkEnd w:id="46"/>
      <w:r w:rsidR="001F6648" w:rsidRPr="0088092F">
        <w:rPr>
          <w:lang w:val="en-CA"/>
        </w:rPr>
        <w:t xml:space="preserve">Mootness of the </w:t>
      </w:r>
      <w:r w:rsidR="009B7667" w:rsidRPr="0088092F">
        <w:rPr>
          <w:lang w:val="en-CA"/>
        </w:rPr>
        <w:t>appellant’s</w:t>
      </w:r>
      <w:r w:rsidR="001F6648" w:rsidRPr="0088092F">
        <w:rPr>
          <w:lang w:val="en-CA"/>
        </w:rPr>
        <w:t xml:space="preserve"> appeal</w:t>
      </w:r>
    </w:p>
    <w:p w14:paraId="71CFBBCB" w14:textId="40A7D25D" w:rsidR="00461B74" w:rsidRPr="0088092F" w:rsidRDefault="00974AA5" w:rsidP="00461B74">
      <w:pPr>
        <w:pStyle w:val="Paragraphe"/>
        <w:spacing w:line="280" w:lineRule="exact"/>
        <w:rPr>
          <w:lang w:val="en-CA"/>
        </w:rPr>
      </w:pPr>
      <w:r w:rsidRPr="0088092F">
        <w:rPr>
          <w:lang w:val="en-CA"/>
        </w:rPr>
        <w:t xml:space="preserve">The </w:t>
      </w:r>
      <w:r w:rsidR="00461B74" w:rsidRPr="0088092F">
        <w:rPr>
          <w:lang w:val="en-CA"/>
        </w:rPr>
        <w:t>respondent</w:t>
      </w:r>
      <w:r w:rsidRPr="0088092F">
        <w:rPr>
          <w:lang w:val="en-CA"/>
        </w:rPr>
        <w:t xml:space="preserve"> and the </w:t>
      </w:r>
      <w:r w:rsidR="00461B74" w:rsidRPr="0088092F">
        <w:rPr>
          <w:lang w:val="en-CA"/>
        </w:rPr>
        <w:t>impleaded</w:t>
      </w:r>
      <w:r w:rsidRPr="0088092F">
        <w:rPr>
          <w:lang w:val="en-CA"/>
        </w:rPr>
        <w:t xml:space="preserve"> </w:t>
      </w:r>
      <w:r w:rsidR="00461B74" w:rsidRPr="0088092F">
        <w:rPr>
          <w:lang w:val="en-CA"/>
        </w:rPr>
        <w:t>party</w:t>
      </w:r>
      <w:r w:rsidRPr="0088092F">
        <w:rPr>
          <w:lang w:val="en-CA"/>
        </w:rPr>
        <w:t xml:space="preserve"> submit that the </w:t>
      </w:r>
      <w:r w:rsidR="00461B74" w:rsidRPr="0088092F">
        <w:rPr>
          <w:lang w:val="en-CA"/>
        </w:rPr>
        <w:t>appeal</w:t>
      </w:r>
      <w:r w:rsidRPr="0088092F">
        <w:rPr>
          <w:lang w:val="en-CA"/>
        </w:rPr>
        <w:t xml:space="preserve"> is moot because, since July 19, 2021, the </w:t>
      </w:r>
      <w:r w:rsidR="00461B74" w:rsidRPr="0088092F">
        <w:rPr>
          <w:lang w:val="en-CA"/>
        </w:rPr>
        <w:t>appellant</w:t>
      </w:r>
      <w:r w:rsidRPr="0088092F">
        <w:rPr>
          <w:lang w:val="en-CA"/>
        </w:rPr>
        <w:t xml:space="preserve"> is no longer incarcerated at the </w:t>
      </w:r>
      <w:r w:rsidR="00461B74" w:rsidRPr="0088092F">
        <w:rPr>
          <w:lang w:val="en-CA"/>
        </w:rPr>
        <w:t>Sorel-Tracy</w:t>
      </w:r>
      <w:r w:rsidRPr="0088092F">
        <w:rPr>
          <w:lang w:val="en-CA"/>
        </w:rPr>
        <w:t xml:space="preserve"> correctional facility</w:t>
      </w:r>
      <w:r w:rsidR="00B128C2" w:rsidRPr="0088092F">
        <w:rPr>
          <w:lang w:val="en-CA"/>
        </w:rPr>
        <w:t xml:space="preserve"> (“STCF”), but rather at the Québec</w:t>
      </w:r>
      <w:r w:rsidR="00BF21AC">
        <w:rPr>
          <w:lang w:val="en-CA"/>
        </w:rPr>
        <w:t xml:space="preserve"> City</w:t>
      </w:r>
      <w:r w:rsidR="00B128C2" w:rsidRPr="0088092F">
        <w:rPr>
          <w:lang w:val="en-CA"/>
        </w:rPr>
        <w:t xml:space="preserve"> correctional facility (“QCF”)</w:t>
      </w:r>
      <w:r w:rsidR="00461B74" w:rsidRPr="0088092F">
        <w:rPr>
          <w:lang w:val="en-CA"/>
        </w:rPr>
        <w:t xml:space="preserve">. </w:t>
      </w:r>
    </w:p>
    <w:p w14:paraId="49643E40" w14:textId="15C9A708" w:rsidR="00461B74" w:rsidRPr="0088092F" w:rsidRDefault="00D063B4" w:rsidP="00461B74">
      <w:pPr>
        <w:pStyle w:val="Paragraphe"/>
        <w:spacing w:line="280" w:lineRule="exact"/>
        <w:rPr>
          <w:lang w:val="en-CA"/>
        </w:rPr>
      </w:pPr>
      <w:r w:rsidRPr="0088092F">
        <w:rPr>
          <w:lang w:val="en-CA"/>
        </w:rPr>
        <w:t xml:space="preserve">In support of this </w:t>
      </w:r>
      <w:r w:rsidR="00461B74" w:rsidRPr="0088092F">
        <w:rPr>
          <w:lang w:val="en-CA"/>
        </w:rPr>
        <w:t xml:space="preserve">argument, </w:t>
      </w:r>
      <w:r w:rsidRPr="0088092F">
        <w:rPr>
          <w:lang w:val="en-CA"/>
        </w:rPr>
        <w:t xml:space="preserve">they sought leave to adduce new </w:t>
      </w:r>
      <w:r w:rsidR="00461B74" w:rsidRPr="0088092F">
        <w:rPr>
          <w:lang w:val="en-CA"/>
        </w:rPr>
        <w:t>evidence</w:t>
      </w:r>
      <w:r w:rsidRPr="0088092F">
        <w:rPr>
          <w:lang w:val="en-CA"/>
        </w:rPr>
        <w:t xml:space="preserve"> because th</w:t>
      </w:r>
      <w:r w:rsidR="00C46ABA" w:rsidRPr="0088092F">
        <w:rPr>
          <w:lang w:val="en-CA"/>
        </w:rPr>
        <w:t>ey could not have [</w:t>
      </w:r>
      <w:r w:rsidR="00C46ABA" w:rsidRPr="0088092F">
        <w:rPr>
          <w:smallCaps/>
          <w:lang w:val="en-CA"/>
        </w:rPr>
        <w:t>translation</w:t>
      </w:r>
      <w:r w:rsidR="00C46ABA" w:rsidRPr="0088092F">
        <w:rPr>
          <w:lang w:val="en-CA"/>
        </w:rPr>
        <w:t xml:space="preserve">] “known that operational and security considerations would require </w:t>
      </w:r>
      <w:r w:rsidR="0062484A" w:rsidRPr="0088092F">
        <w:rPr>
          <w:lang w:val="en-CA"/>
        </w:rPr>
        <w:t>[</w:t>
      </w:r>
      <w:r w:rsidR="00C46ABA" w:rsidRPr="0088092F">
        <w:rPr>
          <w:lang w:val="en-CA"/>
        </w:rPr>
        <w:t xml:space="preserve">the </w:t>
      </w:r>
      <w:r w:rsidR="00461B74" w:rsidRPr="0088092F">
        <w:rPr>
          <w:lang w:val="en-CA"/>
        </w:rPr>
        <w:t>appellant</w:t>
      </w:r>
      <w:r w:rsidR="0062484A" w:rsidRPr="0088092F">
        <w:rPr>
          <w:lang w:val="en-CA"/>
        </w:rPr>
        <w:t>]</w:t>
      </w:r>
      <w:r w:rsidR="00C46ABA" w:rsidRPr="0088092F">
        <w:rPr>
          <w:lang w:val="en-CA"/>
        </w:rPr>
        <w:t xml:space="preserve"> to be moved to the QCF”</w:t>
      </w:r>
      <w:r w:rsidR="00461B74" w:rsidRPr="0088092F">
        <w:rPr>
          <w:lang w:val="en-CA"/>
        </w:rPr>
        <w:t>.</w:t>
      </w:r>
      <w:r w:rsidR="00C46ABA" w:rsidRPr="0088092F">
        <w:rPr>
          <w:lang w:val="en-CA"/>
        </w:rPr>
        <w:t xml:space="preserve"> That leave was granted</w:t>
      </w:r>
      <w:r w:rsidR="00461B74" w:rsidRPr="0088092F">
        <w:rPr>
          <w:lang w:val="en-CA"/>
        </w:rPr>
        <w:t>.</w:t>
      </w:r>
    </w:p>
    <w:p w14:paraId="25B4FF7C" w14:textId="063BAB07" w:rsidR="00461B74" w:rsidRPr="0088092F" w:rsidRDefault="00C46ABA" w:rsidP="00461B74">
      <w:pPr>
        <w:pStyle w:val="Paragraphe"/>
        <w:spacing w:line="280" w:lineRule="exact"/>
        <w:rPr>
          <w:lang w:val="en-CA"/>
        </w:rPr>
      </w:pPr>
      <w:r w:rsidRPr="0088092F">
        <w:rPr>
          <w:lang w:val="en-CA"/>
        </w:rPr>
        <w:t>Yet, surprisingly, the</w:t>
      </w:r>
      <w:r w:rsidR="00DE1606" w:rsidRPr="0088092F">
        <w:rPr>
          <w:lang w:val="en-CA"/>
        </w:rPr>
        <w:t xml:space="preserve"> very incomplete </w:t>
      </w:r>
      <w:r w:rsidR="00461B74" w:rsidRPr="0088092F">
        <w:rPr>
          <w:lang w:val="en-CA"/>
        </w:rPr>
        <w:t>affidavit</w:t>
      </w:r>
      <w:r w:rsidR="00DE1606" w:rsidRPr="0088092F">
        <w:rPr>
          <w:lang w:val="en-CA"/>
        </w:rPr>
        <w:t xml:space="preserve"> of the QCF services director provides none of these </w:t>
      </w:r>
      <w:r w:rsidR="00E10692">
        <w:rPr>
          <w:lang w:val="en-CA"/>
        </w:rPr>
        <w:t>consideration</w:t>
      </w:r>
      <w:r w:rsidR="00DE1606" w:rsidRPr="0088092F">
        <w:rPr>
          <w:lang w:val="en-CA"/>
        </w:rPr>
        <w:t xml:space="preserve">s. The complete lack of </w:t>
      </w:r>
      <w:r w:rsidR="00461B74" w:rsidRPr="0088092F">
        <w:rPr>
          <w:lang w:val="en-CA"/>
        </w:rPr>
        <w:t>information</w:t>
      </w:r>
      <w:r w:rsidR="00286829" w:rsidRPr="0088092F">
        <w:rPr>
          <w:lang w:val="en-CA"/>
        </w:rPr>
        <w:t xml:space="preserve"> on the </w:t>
      </w:r>
      <w:r w:rsidR="00461B74" w:rsidRPr="0088092F">
        <w:rPr>
          <w:lang w:val="en-CA"/>
        </w:rPr>
        <w:t>circumstances</w:t>
      </w:r>
      <w:r w:rsidR="00286829" w:rsidRPr="0088092F">
        <w:rPr>
          <w:lang w:val="en-CA"/>
        </w:rPr>
        <w:t xml:space="preserve"> surrounding the </w:t>
      </w:r>
      <w:r w:rsidR="00461B74" w:rsidRPr="0088092F">
        <w:rPr>
          <w:lang w:val="en-CA"/>
        </w:rPr>
        <w:t>appellant</w:t>
      </w:r>
      <w:r w:rsidR="00286829" w:rsidRPr="0088092F">
        <w:rPr>
          <w:lang w:val="en-CA"/>
        </w:rPr>
        <w:t xml:space="preserve">’s </w:t>
      </w:r>
      <w:r w:rsidR="00BF21AC">
        <w:rPr>
          <w:lang w:val="en-CA"/>
        </w:rPr>
        <w:t>transfer</w:t>
      </w:r>
      <w:r w:rsidR="00286829" w:rsidRPr="0088092F">
        <w:rPr>
          <w:lang w:val="en-CA"/>
        </w:rPr>
        <w:t xml:space="preserve">, other than the fact that he is no longer </w:t>
      </w:r>
      <w:r w:rsidR="00635C36">
        <w:rPr>
          <w:lang w:val="en-CA"/>
        </w:rPr>
        <w:t>detained</w:t>
      </w:r>
      <w:r w:rsidR="00635C36" w:rsidRPr="0088092F">
        <w:rPr>
          <w:lang w:val="en-CA"/>
        </w:rPr>
        <w:t xml:space="preserve"> </w:t>
      </w:r>
      <w:r w:rsidR="00286829" w:rsidRPr="0088092F">
        <w:rPr>
          <w:lang w:val="en-CA"/>
        </w:rPr>
        <w:t xml:space="preserve">in the </w:t>
      </w:r>
      <w:r w:rsidR="00461B74" w:rsidRPr="0088092F">
        <w:rPr>
          <w:lang w:val="en-CA"/>
        </w:rPr>
        <w:t>conditions</w:t>
      </w:r>
      <w:r w:rsidR="00286829" w:rsidRPr="0088092F">
        <w:rPr>
          <w:lang w:val="en-CA"/>
        </w:rPr>
        <w:t xml:space="preserve"> that gave rise to the </w:t>
      </w:r>
      <w:r w:rsidR="00461B74" w:rsidRPr="0088092F">
        <w:rPr>
          <w:lang w:val="en-CA"/>
        </w:rPr>
        <w:t>application</w:t>
      </w:r>
      <w:r w:rsidR="00286829" w:rsidRPr="0088092F">
        <w:rPr>
          <w:lang w:val="en-CA"/>
        </w:rPr>
        <w:t xml:space="preserve"> for </w:t>
      </w:r>
      <w:r w:rsidR="00461B74" w:rsidRPr="0088092F">
        <w:rPr>
          <w:i/>
          <w:lang w:val="en-CA"/>
        </w:rPr>
        <w:t>h</w:t>
      </w:r>
      <w:r w:rsidR="00461B74" w:rsidRPr="0088092F">
        <w:rPr>
          <w:i/>
          <w:iCs/>
          <w:lang w:val="en-CA"/>
        </w:rPr>
        <w:t xml:space="preserve">abeas corpus, </w:t>
      </w:r>
      <w:r w:rsidR="0062484A" w:rsidRPr="0088092F">
        <w:rPr>
          <w:iCs/>
          <w:lang w:val="en-CA"/>
        </w:rPr>
        <w:t>is puzzling</w:t>
      </w:r>
      <w:r w:rsidR="00461B74" w:rsidRPr="0088092F">
        <w:rPr>
          <w:lang w:val="en-CA"/>
        </w:rPr>
        <w:t>.</w:t>
      </w:r>
      <w:r w:rsidR="0062484A" w:rsidRPr="0088092F">
        <w:rPr>
          <w:lang w:val="en-CA"/>
        </w:rPr>
        <w:t xml:space="preserve"> The affidavit provides no </w:t>
      </w:r>
      <w:r w:rsidR="00461B74" w:rsidRPr="0088092F">
        <w:rPr>
          <w:lang w:val="en-CA"/>
        </w:rPr>
        <w:t xml:space="preserve">information </w:t>
      </w:r>
      <w:r w:rsidR="0062484A" w:rsidRPr="0088092F">
        <w:rPr>
          <w:lang w:val="en-CA"/>
        </w:rPr>
        <w:t xml:space="preserve">about the appellant’s </w:t>
      </w:r>
      <w:r w:rsidR="00461B74" w:rsidRPr="0088092F">
        <w:rPr>
          <w:lang w:val="en-CA"/>
        </w:rPr>
        <w:t>mental</w:t>
      </w:r>
      <w:r w:rsidR="0062484A" w:rsidRPr="0088092F">
        <w:rPr>
          <w:lang w:val="en-CA"/>
        </w:rPr>
        <w:t xml:space="preserve"> </w:t>
      </w:r>
      <w:r w:rsidR="00461B74" w:rsidRPr="0088092F">
        <w:rPr>
          <w:lang w:val="en-CA"/>
        </w:rPr>
        <w:t>health.</w:t>
      </w:r>
    </w:p>
    <w:p w14:paraId="2BB9F08B" w14:textId="49FE85F4" w:rsidR="00461B74" w:rsidRPr="0088092F" w:rsidRDefault="0062484A" w:rsidP="00461B74">
      <w:pPr>
        <w:pStyle w:val="Paragraphe"/>
        <w:spacing w:line="280" w:lineRule="exact"/>
        <w:rPr>
          <w:lang w:val="en-CA"/>
        </w:rPr>
      </w:pPr>
      <w:r w:rsidRPr="0088092F">
        <w:rPr>
          <w:lang w:val="en-CA"/>
        </w:rPr>
        <w:t>T</w:t>
      </w:r>
      <w:r w:rsidR="00461B74" w:rsidRPr="0088092F">
        <w:rPr>
          <w:lang w:val="en-CA"/>
        </w:rPr>
        <w:t>he</w:t>
      </w:r>
      <w:r w:rsidRPr="0088092F">
        <w:rPr>
          <w:lang w:val="en-CA"/>
        </w:rPr>
        <w:t xml:space="preserve"> </w:t>
      </w:r>
      <w:r w:rsidR="00461B74" w:rsidRPr="0088092F">
        <w:rPr>
          <w:lang w:val="en-CA"/>
        </w:rPr>
        <w:t>Supreme</w:t>
      </w:r>
      <w:r w:rsidRPr="0088092F">
        <w:rPr>
          <w:lang w:val="en-CA"/>
        </w:rPr>
        <w:t xml:space="preserve"> </w:t>
      </w:r>
      <w:r w:rsidR="00461B74" w:rsidRPr="0088092F">
        <w:rPr>
          <w:lang w:val="en-CA"/>
        </w:rPr>
        <w:t>Court</w:t>
      </w:r>
      <w:r w:rsidRPr="0088092F">
        <w:rPr>
          <w:lang w:val="en-CA"/>
        </w:rPr>
        <w:t xml:space="preserve"> has acknowledged that a judgment may be rendered despite the fact that the issue is moot</w:t>
      </w:r>
      <w:r w:rsidR="00461B74" w:rsidRPr="0088092F">
        <w:rPr>
          <w:lang w:val="en-CA"/>
        </w:rPr>
        <w:t xml:space="preserve">. </w:t>
      </w:r>
      <w:r w:rsidR="007041C6" w:rsidRPr="0088092F">
        <w:rPr>
          <w:lang w:val="en-CA"/>
        </w:rPr>
        <w:t xml:space="preserve">In </w:t>
      </w:r>
      <w:r w:rsidR="00461B74" w:rsidRPr="0088092F">
        <w:rPr>
          <w:i/>
          <w:iCs/>
          <w:lang w:val="en-CA"/>
        </w:rPr>
        <w:t>Mission</w:t>
      </w:r>
      <w:r w:rsidR="007041C6" w:rsidRPr="0088092F">
        <w:rPr>
          <w:i/>
          <w:iCs/>
          <w:lang w:val="en-CA"/>
        </w:rPr>
        <w:t xml:space="preserve"> Institution </w:t>
      </w:r>
      <w:r w:rsidR="00461B74" w:rsidRPr="0088092F">
        <w:rPr>
          <w:i/>
          <w:iCs/>
          <w:lang w:val="en-CA"/>
        </w:rPr>
        <w:t>v. Khela</w:t>
      </w:r>
      <w:r w:rsidR="00461B74" w:rsidRPr="0088092F">
        <w:rPr>
          <w:lang w:val="en-CA"/>
        </w:rPr>
        <w:t>, LeBel</w:t>
      </w:r>
      <w:r w:rsidR="007041C6" w:rsidRPr="0088092F">
        <w:rPr>
          <w:lang w:val="en-CA"/>
        </w:rPr>
        <w:t>, J. stated</w:t>
      </w:r>
      <w:r w:rsidR="00461B74" w:rsidRPr="0088092F">
        <w:rPr>
          <w:lang w:val="en-CA"/>
        </w:rPr>
        <w:t>:</w:t>
      </w:r>
    </w:p>
    <w:p w14:paraId="174DDCB1" w14:textId="77777777" w:rsidR="00461B74" w:rsidRPr="0088092F" w:rsidRDefault="00461B74" w:rsidP="00461B74">
      <w:pPr>
        <w:pStyle w:val="Citationenretrait"/>
        <w:rPr>
          <w:lang w:val="en-CA"/>
        </w:rPr>
      </w:pPr>
      <w:r w:rsidRPr="0088092F">
        <w:rPr>
          <w:lang w:val="en-CA"/>
        </w:rPr>
        <w:t>[14]</w:t>
      </w:r>
      <w:r w:rsidRPr="0088092F">
        <w:rPr>
          <w:lang w:val="en-CA"/>
        </w:rPr>
        <w:tab/>
      </w:r>
      <w:r w:rsidR="007041C6" w:rsidRPr="0088092F">
        <w:rPr>
          <w:color w:val="000000"/>
          <w:lang w:val="en-CA"/>
        </w:rPr>
        <w:t>Despite being moot, this appeal merits a decision in the circumstances of this case. The nature of </w:t>
      </w:r>
      <w:r w:rsidR="007041C6" w:rsidRPr="0088092F">
        <w:rPr>
          <w:i/>
          <w:iCs/>
          <w:color w:val="000000"/>
          <w:lang w:val="en-CA"/>
        </w:rPr>
        <w:t>habeas corpus</w:t>
      </w:r>
      <w:r w:rsidR="007041C6" w:rsidRPr="0088092F">
        <w:rPr>
          <w:color w:val="000000"/>
          <w:lang w:val="en-CA"/>
        </w:rPr>
        <w:t> applications involving the transfer and segregation of inmates is such that the factual circumstances of a given application can change quickly, before an appellate court can review the application judge’s decision. This means that such cases will often be moot before making it to the appellate level, and are therefore “capable of repetition, yet evasive of review” (</w:t>
      </w:r>
      <w:r w:rsidR="007041C6" w:rsidRPr="0088092F">
        <w:rPr>
          <w:i/>
          <w:iCs/>
          <w:color w:val="000000"/>
          <w:lang w:val="en-CA"/>
        </w:rPr>
        <w:t>Borowski v. Canada (Attorney General)</w:t>
      </w:r>
      <w:r w:rsidR="007041C6" w:rsidRPr="0088092F">
        <w:rPr>
          <w:color w:val="000000"/>
          <w:lang w:val="en-CA"/>
        </w:rPr>
        <w:t>, [1989] 1 S.C.R. 342, at p. 364). As was true in </w:t>
      </w:r>
      <w:r w:rsidR="007041C6" w:rsidRPr="0088092F">
        <w:rPr>
          <w:i/>
          <w:iCs/>
          <w:color w:val="000000"/>
          <w:lang w:val="en-CA"/>
        </w:rPr>
        <w:t>May v. Ferndale Institution</w:t>
      </w:r>
      <w:r w:rsidR="007041C6" w:rsidRPr="0088092F">
        <w:rPr>
          <w:color w:val="000000"/>
          <w:lang w:val="en-CA"/>
        </w:rPr>
        <w:t>, 2005 SCC 82, [2005] 3 S.C.R. 809, at para. 14, and </w:t>
      </w:r>
      <w:r w:rsidR="007041C6" w:rsidRPr="0088092F">
        <w:rPr>
          <w:i/>
          <w:iCs/>
          <w:color w:val="000000"/>
          <w:lang w:val="en-CA"/>
        </w:rPr>
        <w:t>Cardinal v. Director of Kent Institution</w:t>
      </w:r>
      <w:r w:rsidR="007041C6" w:rsidRPr="0088092F">
        <w:rPr>
          <w:color w:val="000000"/>
          <w:lang w:val="en-CA"/>
        </w:rPr>
        <w:t>,</w:t>
      </w:r>
      <w:r w:rsidR="007041C6" w:rsidRPr="0088092F">
        <w:rPr>
          <w:i/>
          <w:iCs/>
          <w:color w:val="000000"/>
          <w:lang w:val="en-CA"/>
        </w:rPr>
        <w:t> </w:t>
      </w:r>
      <w:r w:rsidR="007041C6" w:rsidRPr="0088092F">
        <w:rPr>
          <w:color w:val="000000"/>
          <w:lang w:val="en-CA"/>
        </w:rPr>
        <w:t>[1985] 2 S.C.R. 643, at p. 652, the points in issue here are sufficiently important, and they come before appellate courts as “live” issues so rarely, that the law needs to be clarified in the instant case.</w:t>
      </w:r>
      <w:r w:rsidRPr="0088092F">
        <w:rPr>
          <w:rStyle w:val="Appelnotedebasdep"/>
          <w:szCs w:val="22"/>
          <w:lang w:val="en-CA"/>
        </w:rPr>
        <w:footnoteReference w:id="27"/>
      </w:r>
    </w:p>
    <w:p w14:paraId="21181DC3" w14:textId="77777777" w:rsidR="00461B74" w:rsidRPr="0088092F" w:rsidRDefault="001F6648" w:rsidP="00461B74">
      <w:pPr>
        <w:pStyle w:val="Citationenretrait"/>
        <w:jc w:val="right"/>
        <w:rPr>
          <w:lang w:val="en-CA"/>
        </w:rPr>
      </w:pPr>
      <w:r w:rsidRPr="0088092F">
        <w:rPr>
          <w:lang w:val="en-CA"/>
        </w:rPr>
        <w:t>[Emphasis added.]</w:t>
      </w:r>
    </w:p>
    <w:p w14:paraId="353A82CE" w14:textId="146EB6EB" w:rsidR="00461B74" w:rsidRPr="0088092F" w:rsidRDefault="00E10692" w:rsidP="00461B74">
      <w:pPr>
        <w:pStyle w:val="Paragraphe"/>
        <w:spacing w:line="280" w:lineRule="exact"/>
        <w:rPr>
          <w:lang w:val="en-CA"/>
        </w:rPr>
      </w:pPr>
      <w:r>
        <w:rPr>
          <w:lang w:val="en-CA"/>
        </w:rPr>
        <w:lastRenderedPageBreak/>
        <w:t>T</w:t>
      </w:r>
      <w:r w:rsidR="00B40776" w:rsidRPr="0088092F">
        <w:rPr>
          <w:lang w:val="en-CA"/>
        </w:rPr>
        <w:t xml:space="preserve">he concerns expressed by the </w:t>
      </w:r>
      <w:r w:rsidR="00461B74" w:rsidRPr="0088092F">
        <w:rPr>
          <w:lang w:val="en-CA"/>
        </w:rPr>
        <w:t>trial</w:t>
      </w:r>
      <w:r w:rsidR="00B40776" w:rsidRPr="0088092F">
        <w:rPr>
          <w:lang w:val="en-CA"/>
        </w:rPr>
        <w:t xml:space="preserve"> </w:t>
      </w:r>
      <w:r w:rsidR="00461B74" w:rsidRPr="0088092F">
        <w:rPr>
          <w:lang w:val="en-CA"/>
        </w:rPr>
        <w:t>judge</w:t>
      </w:r>
      <w:r w:rsidR="00B40776" w:rsidRPr="0088092F">
        <w:rPr>
          <w:lang w:val="en-CA"/>
        </w:rPr>
        <w:t xml:space="preserve"> in regard to the appellant’s </w:t>
      </w:r>
      <w:r w:rsidR="00461B74" w:rsidRPr="0088092F">
        <w:rPr>
          <w:lang w:val="en-CA"/>
        </w:rPr>
        <w:t>mental</w:t>
      </w:r>
      <w:r w:rsidR="00B40776" w:rsidRPr="0088092F">
        <w:rPr>
          <w:lang w:val="en-CA"/>
        </w:rPr>
        <w:t xml:space="preserve"> </w:t>
      </w:r>
      <w:r w:rsidR="00461B74" w:rsidRPr="0088092F">
        <w:rPr>
          <w:lang w:val="en-CA"/>
        </w:rPr>
        <w:t xml:space="preserve">health </w:t>
      </w:r>
      <w:r w:rsidR="00B40776" w:rsidRPr="0088092F">
        <w:rPr>
          <w:lang w:val="en-CA"/>
        </w:rPr>
        <w:t>warrant a ruling by th</w:t>
      </w:r>
      <w:r w:rsidR="00635C36">
        <w:rPr>
          <w:lang w:val="en-CA"/>
        </w:rPr>
        <w:t>is</w:t>
      </w:r>
      <w:r w:rsidR="00B40776" w:rsidRPr="0088092F">
        <w:rPr>
          <w:lang w:val="en-CA"/>
        </w:rPr>
        <w:t xml:space="preserve"> Court on his </w:t>
      </w:r>
      <w:r w:rsidR="00404F92" w:rsidRPr="0088092F">
        <w:rPr>
          <w:lang w:val="en-CA"/>
        </w:rPr>
        <w:t xml:space="preserve">challenge, because of the recurrence of such issues for both the </w:t>
      </w:r>
      <w:r w:rsidR="00461B74" w:rsidRPr="0088092F">
        <w:rPr>
          <w:lang w:val="en-CA"/>
        </w:rPr>
        <w:t>appellant</w:t>
      </w:r>
      <w:r w:rsidR="00404F92" w:rsidRPr="0088092F">
        <w:rPr>
          <w:lang w:val="en-CA"/>
        </w:rPr>
        <w:t xml:space="preserve"> himself and for other inmates.</w:t>
      </w:r>
      <w:r w:rsidR="00461B74" w:rsidRPr="0088092F">
        <w:rPr>
          <w:rStyle w:val="Appelnotedebasdep"/>
          <w:lang w:val="en-CA"/>
        </w:rPr>
        <w:footnoteReference w:id="28"/>
      </w:r>
    </w:p>
    <w:p w14:paraId="20B8DED2" w14:textId="77777777" w:rsidR="00461B74" w:rsidRPr="0088092F" w:rsidRDefault="00595501" w:rsidP="00461B74">
      <w:pPr>
        <w:pStyle w:val="Paragraphe"/>
        <w:spacing w:line="280" w:lineRule="exact"/>
        <w:rPr>
          <w:lang w:val="en-CA"/>
        </w:rPr>
      </w:pPr>
      <w:r w:rsidRPr="0088092F">
        <w:rPr>
          <w:lang w:val="en-CA"/>
        </w:rPr>
        <w:t>Moreover, the appellant’s challenge to his detention conditions has all the attributes of an important issue that rarely appears before an appellate court since an inmate’s detention conditions can change rapidly.</w:t>
      </w:r>
      <w:r w:rsidR="00461B74" w:rsidRPr="0088092F">
        <w:rPr>
          <w:lang w:val="en-CA"/>
        </w:rPr>
        <w:t xml:space="preserve"> </w:t>
      </w:r>
    </w:p>
    <w:p w14:paraId="6F48EACA" w14:textId="3671DDE1" w:rsidR="00461B74" w:rsidRPr="0088092F" w:rsidRDefault="00404F92" w:rsidP="00461B74">
      <w:pPr>
        <w:pStyle w:val="Paragraphe"/>
        <w:spacing w:line="280" w:lineRule="exact"/>
        <w:rPr>
          <w:lang w:val="en-CA"/>
        </w:rPr>
      </w:pPr>
      <w:bookmarkStart w:id="47" w:name="_Hlk87007282"/>
      <w:r w:rsidRPr="0088092F">
        <w:rPr>
          <w:lang w:val="en-CA"/>
        </w:rPr>
        <w:t xml:space="preserve">In this regard, I note that the </w:t>
      </w:r>
      <w:r w:rsidR="00461B74" w:rsidRPr="0088092F">
        <w:rPr>
          <w:lang w:val="en-CA"/>
        </w:rPr>
        <w:t>appellant</w:t>
      </w:r>
      <w:r w:rsidRPr="0088092F">
        <w:rPr>
          <w:lang w:val="en-CA"/>
        </w:rPr>
        <w:t xml:space="preserve">’s appeal in this case is fundamentally different </w:t>
      </w:r>
      <w:r w:rsidR="007A58B1" w:rsidRPr="0088092F">
        <w:rPr>
          <w:lang w:val="en-CA"/>
        </w:rPr>
        <w:t>from</w:t>
      </w:r>
      <w:r w:rsidRPr="0088092F">
        <w:rPr>
          <w:lang w:val="en-CA"/>
        </w:rPr>
        <w:t xml:space="preserve"> the one that was dismissed for mootne</w:t>
      </w:r>
      <w:r w:rsidR="00163313" w:rsidRPr="0088092F">
        <w:rPr>
          <w:lang w:val="en-CA"/>
        </w:rPr>
        <w:t>s</w:t>
      </w:r>
      <w:r w:rsidRPr="0088092F">
        <w:rPr>
          <w:lang w:val="en-CA"/>
        </w:rPr>
        <w:t xml:space="preserve">s by another panel of the </w:t>
      </w:r>
      <w:r w:rsidR="00461B74" w:rsidRPr="0088092F">
        <w:rPr>
          <w:lang w:val="en-CA"/>
        </w:rPr>
        <w:t>Court</w:t>
      </w:r>
      <w:r w:rsidR="00461B74" w:rsidRPr="0088092F">
        <w:rPr>
          <w:rStyle w:val="Appelnotedebasdep"/>
          <w:lang w:val="en-CA"/>
        </w:rPr>
        <w:footnoteReference w:id="29"/>
      </w:r>
      <w:r w:rsidR="00163313" w:rsidRPr="0088092F">
        <w:rPr>
          <w:lang w:val="en-CA"/>
        </w:rPr>
        <w:t xml:space="preserve"> and that concerned a period of incarceration in solitary confinement that was even more distant in time</w:t>
      </w:r>
      <w:r w:rsidR="00461B74" w:rsidRPr="0088092F">
        <w:rPr>
          <w:lang w:val="en-CA"/>
        </w:rPr>
        <w:t>.</w:t>
      </w:r>
    </w:p>
    <w:p w14:paraId="5B6432AE" w14:textId="7242CCDC" w:rsidR="00461B74" w:rsidRPr="0088092F" w:rsidRDefault="00461B74" w:rsidP="00461B74">
      <w:pPr>
        <w:pStyle w:val="Titre2"/>
        <w:rPr>
          <w:lang w:val="en-CA"/>
        </w:rPr>
      </w:pPr>
      <w:bookmarkStart w:id="48" w:name="_Toc85547017"/>
      <w:bookmarkEnd w:id="47"/>
      <w:r w:rsidRPr="0088092F">
        <w:rPr>
          <w:lang w:val="en-CA"/>
        </w:rPr>
        <w:t>B -</w:t>
      </w:r>
      <w:r w:rsidRPr="0088092F">
        <w:rPr>
          <w:lang w:val="en-CA"/>
        </w:rPr>
        <w:tab/>
      </w:r>
      <w:r w:rsidR="00444FF6" w:rsidRPr="0088092F">
        <w:rPr>
          <w:lang w:val="en-CA"/>
        </w:rPr>
        <w:t xml:space="preserve">Questioning </w:t>
      </w:r>
      <w:r w:rsidR="00163313" w:rsidRPr="0088092F">
        <w:rPr>
          <w:lang w:val="en-CA"/>
        </w:rPr>
        <w:t xml:space="preserve">solitary confinement </w:t>
      </w:r>
      <w:bookmarkEnd w:id="48"/>
      <w:r w:rsidR="004B0940" w:rsidRPr="0088092F">
        <w:rPr>
          <w:lang w:val="en-CA"/>
        </w:rPr>
        <w:t>in Canada</w:t>
      </w:r>
    </w:p>
    <w:p w14:paraId="2DF91B3F" w14:textId="0E9BBD43" w:rsidR="00461B74" w:rsidRPr="0088092F" w:rsidRDefault="004B0940" w:rsidP="00461B74">
      <w:pPr>
        <w:pStyle w:val="Paragraphe"/>
        <w:spacing w:line="280" w:lineRule="exact"/>
        <w:rPr>
          <w:lang w:val="en-CA"/>
        </w:rPr>
      </w:pPr>
      <w:r w:rsidRPr="0088092F">
        <w:rPr>
          <w:lang w:val="en-CA"/>
        </w:rPr>
        <w:t xml:space="preserve">Since </w:t>
      </w:r>
      <w:r w:rsidR="00461B74" w:rsidRPr="0088092F">
        <w:rPr>
          <w:rStyle w:val="Aucun"/>
          <w:i/>
          <w:iCs/>
          <w:lang w:val="en-CA"/>
        </w:rPr>
        <w:t>McCann v. The</w:t>
      </w:r>
      <w:r w:rsidR="00D7721F" w:rsidRPr="0088092F">
        <w:rPr>
          <w:rStyle w:val="Aucun"/>
          <w:i/>
          <w:iCs/>
          <w:lang w:val="en-CA"/>
        </w:rPr>
        <w:t xml:space="preserve"> </w:t>
      </w:r>
      <w:r w:rsidR="00461B74" w:rsidRPr="0088092F">
        <w:rPr>
          <w:rStyle w:val="Aucun"/>
          <w:i/>
          <w:iCs/>
          <w:lang w:val="en-CA"/>
        </w:rPr>
        <w:t>Queen</w:t>
      </w:r>
      <w:r w:rsidR="00461B74" w:rsidRPr="0088092F">
        <w:rPr>
          <w:rStyle w:val="Appelnotedebasdep"/>
          <w:iCs/>
          <w:lang w:val="en-CA"/>
        </w:rPr>
        <w:footnoteReference w:id="30"/>
      </w:r>
      <w:r w:rsidR="00461B74" w:rsidRPr="0088092F">
        <w:rPr>
          <w:lang w:val="en-CA"/>
        </w:rPr>
        <w:t xml:space="preserve"> </w:t>
      </w:r>
      <w:r w:rsidRPr="0088092F">
        <w:rPr>
          <w:lang w:val="en-CA"/>
        </w:rPr>
        <w:t xml:space="preserve">and the </w:t>
      </w:r>
      <w:r w:rsidR="00461B74" w:rsidRPr="0088092F">
        <w:rPr>
          <w:lang w:val="en-CA"/>
        </w:rPr>
        <w:t xml:space="preserve">publication </w:t>
      </w:r>
      <w:r w:rsidRPr="0088092F">
        <w:rPr>
          <w:lang w:val="en-CA"/>
        </w:rPr>
        <w:t xml:space="preserve">of </w:t>
      </w:r>
      <w:r w:rsidR="00461B74" w:rsidRPr="0088092F">
        <w:rPr>
          <w:lang w:val="en-CA"/>
        </w:rPr>
        <w:t>Professor Michael Jackson</w:t>
      </w:r>
      <w:r w:rsidRPr="0088092F">
        <w:rPr>
          <w:lang w:val="en-CA"/>
        </w:rPr>
        <w:t xml:space="preserve">’s work titled </w:t>
      </w:r>
      <w:r w:rsidR="00461B74" w:rsidRPr="0088092F">
        <w:rPr>
          <w:i/>
          <w:iCs/>
          <w:lang w:val="en-CA"/>
        </w:rPr>
        <w:t>Prisoners of Isolation: Solitary Confinement in Canada</w:t>
      </w:r>
      <w:r w:rsidR="00461B74" w:rsidRPr="0088092F">
        <w:rPr>
          <w:rStyle w:val="Appelnotedebasdep"/>
          <w:lang w:val="en-CA"/>
        </w:rPr>
        <w:footnoteReference w:id="31"/>
      </w:r>
      <w:r w:rsidR="00461B74" w:rsidRPr="0088092F">
        <w:rPr>
          <w:lang w:val="en-CA"/>
        </w:rPr>
        <w:t xml:space="preserve"> </w:t>
      </w:r>
      <w:r w:rsidRPr="0088092F">
        <w:rPr>
          <w:lang w:val="en-CA"/>
        </w:rPr>
        <w:t>i</w:t>
      </w:r>
      <w:r w:rsidR="00461B74" w:rsidRPr="0088092F">
        <w:rPr>
          <w:lang w:val="en-CA"/>
        </w:rPr>
        <w:t xml:space="preserve">n 1983, </w:t>
      </w:r>
      <w:r w:rsidRPr="0088092F">
        <w:rPr>
          <w:lang w:val="en-CA"/>
        </w:rPr>
        <w:t xml:space="preserve">the use of solitary confinement </w:t>
      </w:r>
      <w:r w:rsidR="00DD0C80" w:rsidRPr="0088092F">
        <w:rPr>
          <w:lang w:val="en-CA"/>
        </w:rPr>
        <w:t xml:space="preserve">has been the subject of vigorous debate </w:t>
      </w:r>
      <w:r w:rsidRPr="0088092F">
        <w:rPr>
          <w:lang w:val="en-CA"/>
        </w:rPr>
        <w:t>in Canada</w:t>
      </w:r>
      <w:r w:rsidR="00461B74" w:rsidRPr="0088092F">
        <w:rPr>
          <w:lang w:val="en-CA"/>
        </w:rPr>
        <w:t>. </w:t>
      </w:r>
    </w:p>
    <w:p w14:paraId="48971827" w14:textId="76DDBAC3" w:rsidR="00461B74" w:rsidRPr="0088092F" w:rsidRDefault="00444FF6" w:rsidP="00461B74">
      <w:pPr>
        <w:pStyle w:val="Paragraphe"/>
        <w:spacing w:line="280" w:lineRule="exact"/>
        <w:rPr>
          <w:lang w:val="en-CA"/>
        </w:rPr>
      </w:pPr>
      <w:r w:rsidRPr="0088092F">
        <w:rPr>
          <w:lang w:val="en-CA"/>
        </w:rPr>
        <w:t>Indeed, “various reports and studies have raised concerns regarding the impact of solitary confinement on the inmates, and compliance and procedu</w:t>
      </w:r>
      <w:r w:rsidR="00CB6200" w:rsidRPr="0088092F">
        <w:rPr>
          <w:lang w:val="en-CA"/>
        </w:rPr>
        <w:t>r</w:t>
      </w:r>
      <w:r w:rsidRPr="0088092F">
        <w:rPr>
          <w:lang w:val="en-CA"/>
        </w:rPr>
        <w:t>al fairness issues”.</w:t>
      </w:r>
      <w:r w:rsidR="00461B74" w:rsidRPr="0088092F">
        <w:rPr>
          <w:rStyle w:val="Appelnotedebasdep"/>
          <w:lang w:val="en-CA"/>
        </w:rPr>
        <w:footnoteReference w:id="32"/>
      </w:r>
    </w:p>
    <w:p w14:paraId="678668F5" w14:textId="57F61FCF" w:rsidR="00461B74" w:rsidRPr="0088092F" w:rsidRDefault="00226CD5" w:rsidP="00461B74">
      <w:pPr>
        <w:pStyle w:val="Paragraphe"/>
        <w:spacing w:line="280" w:lineRule="exact"/>
        <w:rPr>
          <w:lang w:val="en-CA"/>
        </w:rPr>
      </w:pPr>
      <w:r w:rsidRPr="0088092F">
        <w:rPr>
          <w:lang w:val="en-CA"/>
        </w:rPr>
        <w:t xml:space="preserve">In </w:t>
      </w:r>
      <w:r w:rsidR="00461B74" w:rsidRPr="0088092F">
        <w:rPr>
          <w:lang w:val="en-CA"/>
        </w:rPr>
        <w:t xml:space="preserve">1996, </w:t>
      </w:r>
      <w:r w:rsidRPr="0088092F">
        <w:rPr>
          <w:lang w:val="en-CA"/>
        </w:rPr>
        <w:t xml:space="preserve">in the report of the </w:t>
      </w:r>
      <w:r w:rsidRPr="0088092F">
        <w:rPr>
          <w:i/>
          <w:lang w:val="en-CA"/>
        </w:rPr>
        <w:t>Commission of Inquiry into certain events at the Prison for Women in Kingston</w:t>
      </w:r>
      <w:r w:rsidR="00461B74" w:rsidRPr="0088092F">
        <w:rPr>
          <w:lang w:val="en-CA"/>
        </w:rPr>
        <w:t xml:space="preserve">, </w:t>
      </w:r>
      <w:r w:rsidRPr="0088092F">
        <w:rPr>
          <w:lang w:val="en-CA"/>
        </w:rPr>
        <w:t>C</w:t>
      </w:r>
      <w:r w:rsidR="00461B74" w:rsidRPr="0088092F">
        <w:rPr>
          <w:lang w:val="en-CA"/>
        </w:rPr>
        <w:t>ommissioner Louise Arbour (judge</w:t>
      </w:r>
      <w:r w:rsidRPr="0088092F">
        <w:rPr>
          <w:lang w:val="en-CA"/>
        </w:rPr>
        <w:t xml:space="preserve"> of the Court of Appeal for </w:t>
      </w:r>
      <w:r w:rsidR="00461B74" w:rsidRPr="0088092F">
        <w:rPr>
          <w:lang w:val="en-CA"/>
        </w:rPr>
        <w:t>Ontario</w:t>
      </w:r>
      <w:r w:rsidRPr="0088092F">
        <w:rPr>
          <w:lang w:val="en-CA"/>
        </w:rPr>
        <w:t xml:space="preserve"> at the time</w:t>
      </w:r>
      <w:r w:rsidR="00461B74" w:rsidRPr="0088092F">
        <w:rPr>
          <w:lang w:val="en-CA"/>
        </w:rPr>
        <w:t>)</w:t>
      </w:r>
      <w:r w:rsidRPr="0088092F">
        <w:rPr>
          <w:lang w:val="en-CA"/>
        </w:rPr>
        <w:t xml:space="preserve"> made several recommendations intended to provide a framework for solitary confinement because of its impact on inmates’ mental health.</w:t>
      </w:r>
      <w:r w:rsidR="00461B74" w:rsidRPr="0088092F">
        <w:rPr>
          <w:rStyle w:val="Appelnotedebasdep"/>
          <w:lang w:val="en-CA"/>
        </w:rPr>
        <w:footnoteReference w:id="33"/>
      </w:r>
      <w:r w:rsidR="00461B74" w:rsidRPr="0088092F">
        <w:rPr>
          <w:lang w:val="en-CA"/>
        </w:rPr>
        <w:t xml:space="preserve"> Arbour</w:t>
      </w:r>
      <w:r w:rsidRPr="0088092F">
        <w:rPr>
          <w:lang w:val="en-CA"/>
        </w:rPr>
        <w:t>, J.</w:t>
      </w:r>
      <w:r w:rsidR="00E10692">
        <w:rPr>
          <w:lang w:val="en-CA"/>
        </w:rPr>
        <w:t>A.</w:t>
      </w:r>
      <w:r w:rsidRPr="0088092F">
        <w:rPr>
          <w:lang w:val="en-CA"/>
        </w:rPr>
        <w:t xml:space="preserve"> </w:t>
      </w:r>
      <w:r w:rsidR="008C2877" w:rsidRPr="0088092F">
        <w:rPr>
          <w:lang w:val="en-CA"/>
        </w:rPr>
        <w:t>stated that “[t]he management of administrative segregation that I have observed is inconsistent with the </w:t>
      </w:r>
      <w:r w:rsidR="008C2877" w:rsidRPr="0088092F">
        <w:rPr>
          <w:i/>
          <w:iCs/>
          <w:lang w:val="en-CA"/>
        </w:rPr>
        <w:t>Charter</w:t>
      </w:r>
      <w:r w:rsidR="008C2877" w:rsidRPr="0088092F">
        <w:rPr>
          <w:lang w:val="en-CA"/>
        </w:rPr>
        <w:t> culture which permeates other branches of the administration of criminal justice”</w:t>
      </w:r>
      <w:r w:rsidR="00FB7808" w:rsidRPr="0088092F">
        <w:rPr>
          <w:lang w:val="en-CA"/>
        </w:rPr>
        <w:t>.</w:t>
      </w:r>
      <w:r w:rsidR="00461B74" w:rsidRPr="0088092F">
        <w:rPr>
          <w:rStyle w:val="Appelnotedebasdep"/>
          <w:lang w:val="en-CA"/>
        </w:rPr>
        <w:footnoteReference w:id="34"/>
      </w:r>
      <w:r w:rsidR="00CB6200" w:rsidRPr="0088092F">
        <w:rPr>
          <w:lang w:val="en-CA"/>
        </w:rPr>
        <w:t xml:space="preserve"> This report was the first in a long series</w:t>
      </w:r>
      <w:r w:rsidR="00461B74" w:rsidRPr="0088092F">
        <w:rPr>
          <w:lang w:val="en-CA"/>
        </w:rPr>
        <w:t>.</w:t>
      </w:r>
    </w:p>
    <w:p w14:paraId="2A756236" w14:textId="4E3AB30A" w:rsidR="00461B74" w:rsidRPr="0088092F" w:rsidRDefault="006309B0" w:rsidP="007D280E">
      <w:pPr>
        <w:pStyle w:val="Paragraphe"/>
        <w:tabs>
          <w:tab w:val="left" w:pos="5812"/>
        </w:tabs>
        <w:spacing w:line="280" w:lineRule="exact"/>
        <w:rPr>
          <w:lang w:val="en-CA"/>
        </w:rPr>
      </w:pPr>
      <w:r w:rsidRPr="0088092F">
        <w:rPr>
          <w:lang w:val="en-CA"/>
        </w:rPr>
        <w:lastRenderedPageBreak/>
        <w:t>Thus, extensive commentary</w:t>
      </w:r>
      <w:r w:rsidR="00461B74" w:rsidRPr="0088092F">
        <w:rPr>
          <w:rStyle w:val="Appelnotedebasdep"/>
          <w:lang w:val="en-CA"/>
        </w:rPr>
        <w:footnoteReference w:id="35"/>
      </w:r>
      <w:r w:rsidRPr="0088092F">
        <w:rPr>
          <w:lang w:val="en-CA"/>
        </w:rPr>
        <w:t xml:space="preserve"> and certain judgments of the Court of Appeal for </w:t>
      </w:r>
      <w:r w:rsidR="00461B74" w:rsidRPr="0088092F">
        <w:rPr>
          <w:lang w:val="en-CA"/>
        </w:rPr>
        <w:t>British</w:t>
      </w:r>
      <w:r w:rsidRPr="0088092F">
        <w:rPr>
          <w:lang w:val="en-CA"/>
        </w:rPr>
        <w:t xml:space="preserve"> </w:t>
      </w:r>
      <w:r w:rsidR="00461B74" w:rsidRPr="0088092F">
        <w:rPr>
          <w:lang w:val="en-CA"/>
        </w:rPr>
        <w:t>Columbia</w:t>
      </w:r>
      <w:r w:rsidR="00461B74" w:rsidRPr="0088092F">
        <w:rPr>
          <w:rStyle w:val="Appelnotedebasdep"/>
          <w:lang w:val="en-CA"/>
        </w:rPr>
        <w:footnoteReference w:id="36"/>
      </w:r>
      <w:r w:rsidRPr="0088092F">
        <w:rPr>
          <w:lang w:val="en-CA"/>
        </w:rPr>
        <w:t xml:space="preserve"> and of the Court of Appeal for </w:t>
      </w:r>
      <w:r w:rsidR="00461B74" w:rsidRPr="0088092F">
        <w:rPr>
          <w:lang w:val="en-CA"/>
        </w:rPr>
        <w:t>Ontario</w:t>
      </w:r>
      <w:r w:rsidR="00461B74" w:rsidRPr="0088092F">
        <w:rPr>
          <w:rStyle w:val="Appelnotedebasdep"/>
          <w:lang w:val="en-CA"/>
        </w:rPr>
        <w:footnoteReference w:id="37"/>
      </w:r>
      <w:r w:rsidR="00461B74" w:rsidRPr="0088092F">
        <w:rPr>
          <w:lang w:val="en-CA"/>
        </w:rPr>
        <w:t xml:space="preserve"> </w:t>
      </w:r>
      <w:r w:rsidR="00747370" w:rsidRPr="0088092F">
        <w:rPr>
          <w:lang w:val="en-CA"/>
        </w:rPr>
        <w:t xml:space="preserve">set out the history of the </w:t>
      </w:r>
      <w:r w:rsidR="00461B74" w:rsidRPr="0088092F">
        <w:rPr>
          <w:lang w:val="en-CA"/>
        </w:rPr>
        <w:t xml:space="preserve">debates </w:t>
      </w:r>
      <w:r w:rsidR="007D280E" w:rsidRPr="0088092F">
        <w:rPr>
          <w:lang w:val="en-CA"/>
        </w:rPr>
        <w:t>surrounding the challenge to solitary confinement, which I do not fin</w:t>
      </w:r>
      <w:r w:rsidR="00E10692">
        <w:rPr>
          <w:lang w:val="en-CA"/>
        </w:rPr>
        <w:t>d</w:t>
      </w:r>
      <w:r w:rsidR="007D280E" w:rsidRPr="0088092F">
        <w:rPr>
          <w:lang w:val="en-CA"/>
        </w:rPr>
        <w:t xml:space="preserve"> useful to examine in minute detail, other than to highlight certain </w:t>
      </w:r>
      <w:r w:rsidR="00461B74" w:rsidRPr="0088092F">
        <w:rPr>
          <w:lang w:val="en-CA"/>
        </w:rPr>
        <w:t>important</w:t>
      </w:r>
      <w:r w:rsidR="007D280E" w:rsidRPr="0088092F">
        <w:rPr>
          <w:lang w:val="en-CA"/>
        </w:rPr>
        <w:t xml:space="preserve"> parts</w:t>
      </w:r>
      <w:r w:rsidR="00461B74" w:rsidRPr="0088092F">
        <w:rPr>
          <w:lang w:val="en-CA"/>
        </w:rPr>
        <w:t>.</w:t>
      </w:r>
    </w:p>
    <w:p w14:paraId="744577F9" w14:textId="56E8F389" w:rsidR="00461B74" w:rsidRPr="0088092F" w:rsidRDefault="007D280E" w:rsidP="004849D6">
      <w:pPr>
        <w:pStyle w:val="Paragraphe"/>
        <w:tabs>
          <w:tab w:val="left" w:pos="4678"/>
        </w:tabs>
        <w:spacing w:line="280" w:lineRule="exact"/>
        <w:rPr>
          <w:lang w:val="en-CA"/>
        </w:rPr>
      </w:pPr>
      <w:r w:rsidRPr="0088092F">
        <w:rPr>
          <w:lang w:val="en-CA"/>
        </w:rPr>
        <w:t xml:space="preserve">In </w:t>
      </w:r>
      <w:r w:rsidR="00461B74" w:rsidRPr="0088092F">
        <w:rPr>
          <w:i/>
          <w:iCs/>
          <w:lang w:val="en-CA"/>
        </w:rPr>
        <w:t>Winters v. Legal Services Society</w:t>
      </w:r>
      <w:r w:rsidRPr="0088092F">
        <w:rPr>
          <w:iCs/>
          <w:lang w:val="en-CA"/>
        </w:rPr>
        <w:t>,</w:t>
      </w:r>
      <w:r w:rsidR="00461B74" w:rsidRPr="0088092F">
        <w:rPr>
          <w:rStyle w:val="Appelnotedebasdep"/>
          <w:lang w:val="en-CA"/>
        </w:rPr>
        <w:footnoteReference w:id="38"/>
      </w:r>
      <w:r w:rsidRPr="0088092F">
        <w:rPr>
          <w:iCs/>
          <w:lang w:val="en-CA"/>
        </w:rPr>
        <w:t xml:space="preserve"> </w:t>
      </w:r>
      <w:r w:rsidR="00461B74" w:rsidRPr="0088092F">
        <w:rPr>
          <w:lang w:val="en-CA"/>
        </w:rPr>
        <w:t>the</w:t>
      </w:r>
      <w:r w:rsidRPr="0088092F">
        <w:rPr>
          <w:lang w:val="en-CA"/>
        </w:rPr>
        <w:t xml:space="preserve"> </w:t>
      </w:r>
      <w:r w:rsidR="00461B74" w:rsidRPr="0088092F">
        <w:rPr>
          <w:lang w:val="en-CA"/>
        </w:rPr>
        <w:t>Supreme</w:t>
      </w:r>
      <w:r w:rsidRPr="0088092F">
        <w:rPr>
          <w:lang w:val="en-CA"/>
        </w:rPr>
        <w:t xml:space="preserve"> </w:t>
      </w:r>
      <w:r w:rsidR="00461B74" w:rsidRPr="0088092F">
        <w:rPr>
          <w:lang w:val="en-CA"/>
        </w:rPr>
        <w:t>Court</w:t>
      </w:r>
      <w:r w:rsidRPr="0088092F">
        <w:rPr>
          <w:lang w:val="en-CA"/>
        </w:rPr>
        <w:t xml:space="preserve"> addressed the issue of solitary confin</w:t>
      </w:r>
      <w:r w:rsidR="00BA0994" w:rsidRPr="0088092F">
        <w:rPr>
          <w:lang w:val="en-CA"/>
        </w:rPr>
        <w:t>e</w:t>
      </w:r>
      <w:r w:rsidRPr="0088092F">
        <w:rPr>
          <w:lang w:val="en-CA"/>
        </w:rPr>
        <w:t xml:space="preserve">ment, </w:t>
      </w:r>
      <w:r w:rsidR="00A61689">
        <w:rPr>
          <w:lang w:val="en-CA"/>
        </w:rPr>
        <w:t>despite</w:t>
      </w:r>
      <w:r w:rsidR="00A61689" w:rsidRPr="0088092F">
        <w:rPr>
          <w:lang w:val="en-CA"/>
        </w:rPr>
        <w:t xml:space="preserve"> </w:t>
      </w:r>
      <w:r w:rsidRPr="0088092F">
        <w:rPr>
          <w:lang w:val="en-CA"/>
        </w:rPr>
        <w:t>the issue of principle before it concern</w:t>
      </w:r>
      <w:r w:rsidR="00A61689">
        <w:rPr>
          <w:lang w:val="en-CA"/>
        </w:rPr>
        <w:t>ing</w:t>
      </w:r>
      <w:r w:rsidRPr="0088092F">
        <w:rPr>
          <w:lang w:val="en-CA"/>
        </w:rPr>
        <w:t xml:space="preserve"> the inmate’s right to legal </w:t>
      </w:r>
      <w:r w:rsidR="00461B74" w:rsidRPr="0088092F">
        <w:rPr>
          <w:lang w:val="en-CA"/>
        </w:rPr>
        <w:t xml:space="preserve">services </w:t>
      </w:r>
      <w:r w:rsidRPr="0088092F">
        <w:rPr>
          <w:lang w:val="en-CA"/>
        </w:rPr>
        <w:t xml:space="preserve">for a </w:t>
      </w:r>
      <w:r w:rsidR="004849D6" w:rsidRPr="0088092F">
        <w:rPr>
          <w:lang w:val="en-CA"/>
        </w:rPr>
        <w:t xml:space="preserve">prison </w:t>
      </w:r>
      <w:r w:rsidR="00461B74" w:rsidRPr="0088092F">
        <w:rPr>
          <w:lang w:val="en-CA"/>
        </w:rPr>
        <w:t>disciplinar</w:t>
      </w:r>
      <w:r w:rsidRPr="0088092F">
        <w:rPr>
          <w:lang w:val="en-CA"/>
        </w:rPr>
        <w:t xml:space="preserve">y hearing </w:t>
      </w:r>
      <w:r w:rsidR="00A61689">
        <w:rPr>
          <w:lang w:val="en-CA"/>
        </w:rPr>
        <w:t>that could lead to a term of</w:t>
      </w:r>
      <w:r w:rsidR="004849D6" w:rsidRPr="0088092F">
        <w:rPr>
          <w:lang w:val="en-CA"/>
        </w:rPr>
        <w:t xml:space="preserve"> solitary confinement.</w:t>
      </w:r>
      <w:r w:rsidR="00461B74" w:rsidRPr="0088092F">
        <w:rPr>
          <w:rStyle w:val="Appelnotedebasdep"/>
          <w:lang w:val="en-CA"/>
        </w:rPr>
        <w:footnoteReference w:id="39"/>
      </w:r>
    </w:p>
    <w:p w14:paraId="28187ACD" w14:textId="098862ED" w:rsidR="00461B74" w:rsidRPr="0088092F" w:rsidRDefault="00461B74" w:rsidP="00461B74">
      <w:pPr>
        <w:pStyle w:val="Paragraphe"/>
        <w:spacing w:line="280" w:lineRule="exact"/>
        <w:rPr>
          <w:lang w:val="en-CA"/>
        </w:rPr>
      </w:pPr>
      <w:r w:rsidRPr="0088092F">
        <w:rPr>
          <w:lang w:val="en-CA"/>
        </w:rPr>
        <w:t>Cory</w:t>
      </w:r>
      <w:r w:rsidR="004849D6" w:rsidRPr="0088092F">
        <w:rPr>
          <w:lang w:val="en-CA"/>
        </w:rPr>
        <w:t xml:space="preserve">, </w:t>
      </w:r>
      <w:r w:rsidRPr="0088092F">
        <w:rPr>
          <w:lang w:val="en-CA"/>
        </w:rPr>
        <w:t>J., dissenting,</w:t>
      </w:r>
      <w:r w:rsidR="004849D6" w:rsidRPr="0088092F">
        <w:rPr>
          <w:lang w:val="en-CA"/>
        </w:rPr>
        <w:t xml:space="preserve"> but with </w:t>
      </w:r>
      <w:r w:rsidRPr="0088092F">
        <w:rPr>
          <w:lang w:val="en-CA"/>
        </w:rPr>
        <w:t>Binnie,</w:t>
      </w:r>
      <w:r w:rsidR="004849D6" w:rsidRPr="0088092F">
        <w:rPr>
          <w:lang w:val="en-CA"/>
        </w:rPr>
        <w:t xml:space="preserve"> J. concurring on behalf of the</w:t>
      </w:r>
      <w:r w:rsidRPr="0088092F">
        <w:rPr>
          <w:lang w:val="en-CA"/>
        </w:rPr>
        <w:t xml:space="preserve"> majorit</w:t>
      </w:r>
      <w:r w:rsidR="004849D6" w:rsidRPr="0088092F">
        <w:rPr>
          <w:lang w:val="en-CA"/>
        </w:rPr>
        <w:t xml:space="preserve">y in this </w:t>
      </w:r>
      <w:r w:rsidRPr="0088092F">
        <w:rPr>
          <w:lang w:val="en-CA"/>
        </w:rPr>
        <w:t>respect</w:t>
      </w:r>
      <w:r w:rsidR="004849D6" w:rsidRPr="0088092F">
        <w:rPr>
          <w:lang w:val="en-CA"/>
        </w:rPr>
        <w:t>,</w:t>
      </w:r>
      <w:r w:rsidRPr="0088092F">
        <w:rPr>
          <w:rStyle w:val="Appelnotedebasdep"/>
          <w:lang w:val="en-CA"/>
        </w:rPr>
        <w:footnoteReference w:id="40"/>
      </w:r>
      <w:r w:rsidRPr="0088092F">
        <w:rPr>
          <w:lang w:val="en-CA"/>
        </w:rPr>
        <w:t xml:space="preserve"> </w:t>
      </w:r>
      <w:r w:rsidR="002E12C8" w:rsidRPr="0088092F">
        <w:rPr>
          <w:lang w:val="en-CA"/>
        </w:rPr>
        <w:t xml:space="preserve">provided an overview of the effects of solitary confinement and of the challenges </w:t>
      </w:r>
      <w:r w:rsidR="00BA0994" w:rsidRPr="0088092F">
        <w:rPr>
          <w:lang w:val="en-CA"/>
        </w:rPr>
        <w:t>to</w:t>
      </w:r>
      <w:r w:rsidR="002E12C8" w:rsidRPr="0088092F">
        <w:rPr>
          <w:lang w:val="en-CA"/>
        </w:rPr>
        <w:t xml:space="preserve"> it.</w:t>
      </w:r>
      <w:r w:rsidRPr="0088092F">
        <w:rPr>
          <w:rStyle w:val="Appelnotedebasdep"/>
          <w:lang w:val="en-CA"/>
        </w:rPr>
        <w:footnoteReference w:id="41"/>
      </w:r>
      <w:r w:rsidRPr="0088092F">
        <w:rPr>
          <w:lang w:val="en-CA"/>
        </w:rPr>
        <w:t xml:space="preserve"> </w:t>
      </w:r>
    </w:p>
    <w:p w14:paraId="4E2BE150" w14:textId="4A7B004C" w:rsidR="00461B74" w:rsidRPr="0088092F" w:rsidRDefault="002B5157" w:rsidP="00461B74">
      <w:pPr>
        <w:pStyle w:val="Paragraphe"/>
        <w:spacing w:line="280" w:lineRule="exact"/>
        <w:rPr>
          <w:lang w:val="en-CA"/>
        </w:rPr>
      </w:pPr>
      <w:r w:rsidRPr="0088092F">
        <w:rPr>
          <w:lang w:val="en-CA"/>
        </w:rPr>
        <w:t>He stated that “the substantial and deleterious effects of solitary confinement are well documented and have long been known”.</w:t>
      </w:r>
      <w:r w:rsidR="00461B74" w:rsidRPr="0088092F">
        <w:rPr>
          <w:rStyle w:val="Appelnotedebasdep"/>
          <w:lang w:val="en-CA"/>
        </w:rPr>
        <w:footnoteReference w:id="42"/>
      </w:r>
      <w:r w:rsidR="00461B74" w:rsidRPr="0088092F">
        <w:rPr>
          <w:lang w:val="en-CA"/>
        </w:rPr>
        <w:t xml:space="preserve"> </w:t>
      </w:r>
      <w:r w:rsidRPr="0088092F">
        <w:rPr>
          <w:lang w:val="en-CA"/>
        </w:rPr>
        <w:t>These “effects can be serious, debilitating and possibly permanent”</w:t>
      </w:r>
      <w:r w:rsidR="00BE4A73" w:rsidRPr="0088092F">
        <w:rPr>
          <w:lang w:val="en-CA"/>
        </w:rPr>
        <w:t>.</w:t>
      </w:r>
      <w:r w:rsidR="00461B74" w:rsidRPr="0088092F">
        <w:rPr>
          <w:rStyle w:val="Appelnotedebasdep"/>
          <w:lang w:val="en-CA"/>
        </w:rPr>
        <w:footnoteReference w:id="43"/>
      </w:r>
      <w:r w:rsidR="00BE4A73" w:rsidRPr="0088092F">
        <w:rPr>
          <w:lang w:val="en-CA"/>
        </w:rPr>
        <w:t xml:space="preserve"> He noted that solitary confinement is a “</w:t>
      </w:r>
      <w:r w:rsidR="00BA2CED" w:rsidRPr="0088092F">
        <w:rPr>
          <w:lang w:val="en-CA"/>
        </w:rPr>
        <w:t>further deprivation of a prisoner’s residual liberty interests”</w:t>
      </w:r>
      <w:r w:rsidR="00461B74" w:rsidRPr="0088092F">
        <w:rPr>
          <w:rStyle w:val="Appelnotedebasdep"/>
          <w:lang w:val="en-CA"/>
        </w:rPr>
        <w:footnoteReference w:id="44"/>
      </w:r>
      <w:r w:rsidR="00BA2CED" w:rsidRPr="0088092F">
        <w:rPr>
          <w:lang w:val="en-CA"/>
        </w:rPr>
        <w:t xml:space="preserve"> and constitutes “an additional and a severe restriction on a prisoner’s liberty”.</w:t>
      </w:r>
      <w:r w:rsidR="00461B74" w:rsidRPr="0088092F">
        <w:rPr>
          <w:rStyle w:val="Appelnotedebasdep"/>
          <w:lang w:val="en-CA"/>
        </w:rPr>
        <w:footnoteReference w:id="45"/>
      </w:r>
    </w:p>
    <w:p w14:paraId="046FA7E9" w14:textId="26CDC519" w:rsidR="00461B74" w:rsidRPr="0088092F" w:rsidRDefault="00E763AB" w:rsidP="00461B74">
      <w:pPr>
        <w:pStyle w:val="Paragraphe"/>
        <w:spacing w:line="280" w:lineRule="exact"/>
        <w:rPr>
          <w:lang w:val="en-CA"/>
        </w:rPr>
      </w:pPr>
      <w:r w:rsidRPr="0088092F">
        <w:rPr>
          <w:lang w:val="en-CA"/>
        </w:rPr>
        <w:t>T</w:t>
      </w:r>
      <w:r w:rsidR="00461B74" w:rsidRPr="0088092F">
        <w:rPr>
          <w:lang w:val="en-CA"/>
        </w:rPr>
        <w:t>hat</w:t>
      </w:r>
      <w:r w:rsidRPr="0088092F">
        <w:rPr>
          <w:lang w:val="en-CA"/>
        </w:rPr>
        <w:t xml:space="preserve"> </w:t>
      </w:r>
      <w:r w:rsidR="00461B74" w:rsidRPr="0088092F">
        <w:rPr>
          <w:lang w:val="en-CA"/>
        </w:rPr>
        <w:t>being</w:t>
      </w:r>
      <w:r w:rsidRPr="0088092F">
        <w:rPr>
          <w:lang w:val="en-CA"/>
        </w:rPr>
        <w:t xml:space="preserve"> </w:t>
      </w:r>
      <w:r w:rsidR="00461B74" w:rsidRPr="0088092F">
        <w:rPr>
          <w:lang w:val="en-CA"/>
        </w:rPr>
        <w:t>said, Cory</w:t>
      </w:r>
      <w:r w:rsidRPr="0088092F">
        <w:rPr>
          <w:lang w:val="en-CA"/>
        </w:rPr>
        <w:t xml:space="preserve">, </w:t>
      </w:r>
      <w:r w:rsidR="00461B74" w:rsidRPr="0088092F">
        <w:rPr>
          <w:lang w:val="en-CA"/>
        </w:rPr>
        <w:t xml:space="preserve">J. </w:t>
      </w:r>
      <w:r w:rsidRPr="0088092F">
        <w:rPr>
          <w:lang w:val="en-CA"/>
        </w:rPr>
        <w:t>acknowledged that solitary confinement “may well be required in order to protect other prisoners and custodians and to ensure an appropriate standard of discipline in the penitentiary”</w:t>
      </w:r>
      <w:r w:rsidR="00461B74" w:rsidRPr="0088092F">
        <w:rPr>
          <w:rStyle w:val="Appelnotedebasdep"/>
          <w:lang w:val="en-CA"/>
        </w:rPr>
        <w:footnoteReference w:id="46"/>
      </w:r>
      <w:r w:rsidRPr="0088092F">
        <w:rPr>
          <w:lang w:val="en-CA"/>
        </w:rPr>
        <w:t xml:space="preserve"> and </w:t>
      </w:r>
      <w:r w:rsidR="00553474" w:rsidRPr="0088092F">
        <w:rPr>
          <w:lang w:val="en-CA"/>
        </w:rPr>
        <w:t xml:space="preserve">that </w:t>
      </w:r>
      <w:r w:rsidRPr="0088092F">
        <w:rPr>
          <w:lang w:val="en-CA"/>
        </w:rPr>
        <w:t>“</w:t>
      </w:r>
      <w:r w:rsidR="00553474" w:rsidRPr="0088092F">
        <w:rPr>
          <w:lang w:val="en-CA"/>
        </w:rPr>
        <w:t>[m]</w:t>
      </w:r>
      <w:r w:rsidRPr="0088092F">
        <w:rPr>
          <w:lang w:val="en-CA"/>
        </w:rPr>
        <w:t>aintaining order in a medium or maximum security setting must at times be daunting</w:t>
      </w:r>
      <w:r w:rsidR="00553474" w:rsidRPr="0088092F">
        <w:rPr>
          <w:lang w:val="en-CA"/>
        </w:rPr>
        <w:t>”.</w:t>
      </w:r>
      <w:r w:rsidR="00461B74" w:rsidRPr="0088092F">
        <w:rPr>
          <w:rStyle w:val="Appelnotedebasdep"/>
          <w:lang w:val="en-CA"/>
        </w:rPr>
        <w:footnoteReference w:id="47"/>
      </w:r>
    </w:p>
    <w:p w14:paraId="4A89540F" w14:textId="1F9FCD69" w:rsidR="00461B74" w:rsidRPr="0088092F" w:rsidRDefault="00461B74" w:rsidP="00461B74">
      <w:pPr>
        <w:pStyle w:val="Titre2"/>
        <w:rPr>
          <w:lang w:val="en-CA"/>
        </w:rPr>
      </w:pPr>
      <w:bookmarkStart w:id="49" w:name="_Toc85547018"/>
      <w:r w:rsidRPr="0088092F">
        <w:rPr>
          <w:lang w:val="en-CA"/>
        </w:rPr>
        <w:lastRenderedPageBreak/>
        <w:t xml:space="preserve">C - </w:t>
      </w:r>
      <w:r w:rsidRPr="0088092F">
        <w:rPr>
          <w:lang w:val="en-CA"/>
        </w:rPr>
        <w:tab/>
      </w:r>
      <w:r w:rsidR="001F644C" w:rsidRPr="0088092F">
        <w:rPr>
          <w:lang w:val="en-CA"/>
        </w:rPr>
        <w:t>C</w:t>
      </w:r>
      <w:r w:rsidRPr="0088092F">
        <w:rPr>
          <w:lang w:val="en-CA"/>
        </w:rPr>
        <w:t>onstitutional</w:t>
      </w:r>
      <w:r w:rsidR="001F644C" w:rsidRPr="0088092F">
        <w:rPr>
          <w:lang w:val="en-CA"/>
        </w:rPr>
        <w:t xml:space="preserve"> </w:t>
      </w:r>
      <w:r w:rsidRPr="0088092F">
        <w:rPr>
          <w:lang w:val="en-CA"/>
        </w:rPr>
        <w:t>challenges</w:t>
      </w:r>
      <w:r w:rsidR="001F644C" w:rsidRPr="0088092F">
        <w:rPr>
          <w:lang w:val="en-CA"/>
        </w:rPr>
        <w:t xml:space="preserve"> to the </w:t>
      </w:r>
      <w:r w:rsidR="00D45771" w:rsidRPr="0088092F">
        <w:rPr>
          <w:i w:val="0"/>
          <w:lang w:val="en-CA"/>
        </w:rPr>
        <w:t>CCRA</w:t>
      </w:r>
      <w:bookmarkEnd w:id="49"/>
      <w:r w:rsidRPr="0088092F">
        <w:rPr>
          <w:lang w:val="en-CA"/>
        </w:rPr>
        <w:t xml:space="preserve"> </w:t>
      </w:r>
    </w:p>
    <w:p w14:paraId="116AA90E" w14:textId="3C74D358" w:rsidR="00461B74" w:rsidRPr="0088092F" w:rsidRDefault="001F644C" w:rsidP="00461B74">
      <w:pPr>
        <w:pStyle w:val="Paragraphe"/>
        <w:spacing w:line="280" w:lineRule="exact"/>
        <w:rPr>
          <w:lang w:val="en-CA"/>
        </w:rPr>
      </w:pPr>
      <w:r w:rsidRPr="0088092F">
        <w:rPr>
          <w:lang w:val="en-CA"/>
        </w:rPr>
        <w:t xml:space="preserve">In this case, the </w:t>
      </w:r>
      <w:r w:rsidR="00461B74" w:rsidRPr="0088092F">
        <w:rPr>
          <w:lang w:val="en-CA"/>
        </w:rPr>
        <w:t>appellant</w:t>
      </w:r>
      <w:r w:rsidRPr="0088092F">
        <w:rPr>
          <w:lang w:val="en-CA"/>
        </w:rPr>
        <w:t xml:space="preserve">’s challenge to his detention </w:t>
      </w:r>
      <w:r w:rsidR="00461B74" w:rsidRPr="0088092F">
        <w:rPr>
          <w:lang w:val="en-CA"/>
        </w:rPr>
        <w:t xml:space="preserve">conditions </w:t>
      </w:r>
      <w:r w:rsidRPr="0088092F">
        <w:rPr>
          <w:lang w:val="en-CA"/>
        </w:rPr>
        <w:t xml:space="preserve">espouse the reasoning adopted by the Courts of Appeal for </w:t>
      </w:r>
      <w:r w:rsidR="00461B74" w:rsidRPr="0088092F">
        <w:rPr>
          <w:lang w:val="en-CA"/>
        </w:rPr>
        <w:t xml:space="preserve">Ontario </w:t>
      </w:r>
      <w:r w:rsidRPr="0088092F">
        <w:rPr>
          <w:lang w:val="en-CA"/>
        </w:rPr>
        <w:t xml:space="preserve">and </w:t>
      </w:r>
      <w:r w:rsidR="00461B74" w:rsidRPr="0088092F">
        <w:rPr>
          <w:lang w:val="en-CA"/>
        </w:rPr>
        <w:t>British</w:t>
      </w:r>
      <w:r w:rsidRPr="0088092F">
        <w:rPr>
          <w:lang w:val="en-CA"/>
        </w:rPr>
        <w:t xml:space="preserve"> </w:t>
      </w:r>
      <w:r w:rsidR="00461B74" w:rsidRPr="0088092F">
        <w:rPr>
          <w:lang w:val="en-CA"/>
        </w:rPr>
        <w:t>Columbia</w:t>
      </w:r>
      <w:r w:rsidR="00146F22" w:rsidRPr="0088092F">
        <w:rPr>
          <w:lang w:val="en-CA"/>
        </w:rPr>
        <w:t xml:space="preserve">, which both found, </w:t>
      </w:r>
      <w:r w:rsidR="00E10692">
        <w:rPr>
          <w:lang w:val="en-CA"/>
        </w:rPr>
        <w:t>although</w:t>
      </w:r>
      <w:r w:rsidR="00146F22" w:rsidRPr="0088092F">
        <w:rPr>
          <w:lang w:val="en-CA"/>
        </w:rPr>
        <w:t xml:space="preserve"> on different </w:t>
      </w:r>
      <w:r w:rsidR="00461B74" w:rsidRPr="0088092F">
        <w:rPr>
          <w:lang w:val="en-CA"/>
        </w:rPr>
        <w:t>grounds,</w:t>
      </w:r>
      <w:r w:rsidR="00146F22" w:rsidRPr="0088092F">
        <w:rPr>
          <w:lang w:val="en-CA"/>
        </w:rPr>
        <w:t xml:space="preserve"> that </w:t>
      </w:r>
      <w:r w:rsidR="00461B74" w:rsidRPr="0088092F">
        <w:rPr>
          <w:lang w:val="en-CA"/>
        </w:rPr>
        <w:t xml:space="preserve">sections 31 </w:t>
      </w:r>
      <w:r w:rsidR="00146F22" w:rsidRPr="0088092F">
        <w:rPr>
          <w:lang w:val="en-CA"/>
        </w:rPr>
        <w:t>to</w:t>
      </w:r>
      <w:r w:rsidR="00461B74" w:rsidRPr="0088092F">
        <w:rPr>
          <w:lang w:val="en-CA"/>
        </w:rPr>
        <w:t xml:space="preserve"> 37 </w:t>
      </w:r>
      <w:r w:rsidR="00146F22" w:rsidRPr="0088092F">
        <w:rPr>
          <w:lang w:val="en-CA"/>
        </w:rPr>
        <w:t xml:space="preserve">of the </w:t>
      </w:r>
      <w:r w:rsidR="00D45771" w:rsidRPr="0088092F">
        <w:rPr>
          <w:i/>
          <w:iCs/>
          <w:lang w:val="en-CA"/>
        </w:rPr>
        <w:t>CCRA</w:t>
      </w:r>
      <w:r w:rsidR="00461B74" w:rsidRPr="0088092F">
        <w:rPr>
          <w:i/>
          <w:iCs/>
          <w:lang w:val="en-CA"/>
        </w:rPr>
        <w:t xml:space="preserve"> </w:t>
      </w:r>
      <w:r w:rsidR="00146F22" w:rsidRPr="0088092F">
        <w:rPr>
          <w:iCs/>
          <w:lang w:val="en-CA"/>
        </w:rPr>
        <w:t>were unconstitutional.</w:t>
      </w:r>
      <w:r w:rsidR="00461B74" w:rsidRPr="0088092F">
        <w:rPr>
          <w:rStyle w:val="Appelnotedebasdep"/>
          <w:lang w:val="en-CA"/>
        </w:rPr>
        <w:footnoteReference w:id="48"/>
      </w:r>
    </w:p>
    <w:p w14:paraId="43E43D40" w14:textId="5C30F518" w:rsidR="00461B74" w:rsidRPr="0088092F" w:rsidRDefault="00146F22" w:rsidP="00461B74">
      <w:pPr>
        <w:pStyle w:val="Paragraphe"/>
        <w:spacing w:line="280" w:lineRule="exact"/>
        <w:rPr>
          <w:lang w:val="en-CA"/>
        </w:rPr>
      </w:pPr>
      <w:r w:rsidRPr="0088092F">
        <w:rPr>
          <w:lang w:val="en-CA"/>
        </w:rPr>
        <w:t xml:space="preserve">He also invokes the report of the </w:t>
      </w:r>
      <w:r w:rsidR="00461B74" w:rsidRPr="0088092F">
        <w:rPr>
          <w:lang w:val="en-CA"/>
        </w:rPr>
        <w:t>psychologist</w:t>
      </w:r>
      <w:r w:rsidRPr="0088092F">
        <w:rPr>
          <w:lang w:val="en-CA"/>
        </w:rPr>
        <w:t xml:space="preserve">, who clearly found that solitary confinement had adverse effects on his </w:t>
      </w:r>
      <w:r w:rsidR="00461B74" w:rsidRPr="0088092F">
        <w:rPr>
          <w:lang w:val="en-CA"/>
        </w:rPr>
        <w:t>mental</w:t>
      </w:r>
      <w:r w:rsidRPr="0088092F">
        <w:rPr>
          <w:lang w:val="en-CA"/>
        </w:rPr>
        <w:t xml:space="preserve"> </w:t>
      </w:r>
      <w:r w:rsidR="00461B74" w:rsidRPr="0088092F">
        <w:rPr>
          <w:lang w:val="en-CA"/>
        </w:rPr>
        <w:t>health.</w:t>
      </w:r>
    </w:p>
    <w:p w14:paraId="260E9ED0" w14:textId="741A534B" w:rsidR="00461B74" w:rsidRPr="0088092F" w:rsidRDefault="00375640" w:rsidP="00461B74">
      <w:pPr>
        <w:pStyle w:val="Paragraphe"/>
        <w:spacing w:line="280" w:lineRule="exact"/>
        <w:rPr>
          <w:rFonts w:eastAsia="Arial" w:cs="Arial"/>
          <w:iCs/>
          <w:szCs w:val="24"/>
          <w:lang w:val="en-CA"/>
        </w:rPr>
      </w:pPr>
      <w:r w:rsidRPr="0088092F">
        <w:rPr>
          <w:lang w:val="en-CA"/>
        </w:rPr>
        <w:t xml:space="preserve">Before the </w:t>
      </w:r>
      <w:r w:rsidR="00461B74" w:rsidRPr="0088092F">
        <w:rPr>
          <w:lang w:val="en-CA"/>
        </w:rPr>
        <w:t>coming</w:t>
      </w:r>
      <w:r w:rsidRPr="0088092F">
        <w:rPr>
          <w:lang w:val="en-CA"/>
        </w:rPr>
        <w:t xml:space="preserve"> </w:t>
      </w:r>
      <w:r w:rsidR="00461B74" w:rsidRPr="0088092F">
        <w:rPr>
          <w:lang w:val="en-CA"/>
        </w:rPr>
        <w:t>into</w:t>
      </w:r>
      <w:r w:rsidRPr="0088092F">
        <w:rPr>
          <w:lang w:val="en-CA"/>
        </w:rPr>
        <w:t xml:space="preserve"> </w:t>
      </w:r>
      <w:r w:rsidR="00461B74" w:rsidRPr="0088092F">
        <w:rPr>
          <w:lang w:val="en-CA"/>
        </w:rPr>
        <w:t>force</w:t>
      </w:r>
      <w:r w:rsidRPr="0088092F">
        <w:rPr>
          <w:lang w:val="en-CA"/>
        </w:rPr>
        <w:t xml:space="preserve"> of the </w:t>
      </w:r>
      <w:r w:rsidR="00D7721F" w:rsidRPr="0088092F">
        <w:rPr>
          <w:i/>
          <w:lang w:val="en-CA"/>
        </w:rPr>
        <w:t>Act to amend the Corrections and Conditional Release Act and another Act</w:t>
      </w:r>
      <w:r w:rsidR="00461B74" w:rsidRPr="0088092F">
        <w:rPr>
          <w:rStyle w:val="Appelnotedebasdep"/>
          <w:iCs/>
          <w:lang w:val="en-CA"/>
        </w:rPr>
        <w:footnoteReference w:id="49"/>
      </w:r>
      <w:r w:rsidR="00D7721F" w:rsidRPr="0088092F">
        <w:rPr>
          <w:i/>
          <w:lang w:val="en-CA"/>
        </w:rPr>
        <w:t xml:space="preserve"> </w:t>
      </w:r>
      <w:r w:rsidR="00D7721F" w:rsidRPr="0088092F">
        <w:rPr>
          <w:lang w:val="en-CA"/>
        </w:rPr>
        <w:t>(“Bill C-83”)</w:t>
      </w:r>
      <w:r w:rsidR="00461B74" w:rsidRPr="0088092F">
        <w:rPr>
          <w:lang w:val="en-CA"/>
        </w:rPr>
        <w:t xml:space="preserve">, </w:t>
      </w:r>
      <w:r w:rsidR="00E10692">
        <w:rPr>
          <w:lang w:val="en-CA"/>
        </w:rPr>
        <w:t>the</w:t>
      </w:r>
      <w:r w:rsidR="00461B74" w:rsidRPr="0088092F">
        <w:rPr>
          <w:lang w:val="en-CA"/>
        </w:rPr>
        <w:t xml:space="preserve"> </w:t>
      </w:r>
      <w:r w:rsidR="00D45771" w:rsidRPr="0088092F">
        <w:rPr>
          <w:i/>
          <w:lang w:val="en-CA"/>
        </w:rPr>
        <w:t>CCRA</w:t>
      </w:r>
      <w:r w:rsidR="00461B74" w:rsidRPr="0088092F">
        <w:rPr>
          <w:lang w:val="en-CA"/>
        </w:rPr>
        <w:t xml:space="preserve"> </w:t>
      </w:r>
      <w:r w:rsidR="00A83F5C" w:rsidRPr="0088092F">
        <w:rPr>
          <w:lang w:val="en-CA"/>
        </w:rPr>
        <w:t>provided two mechanisms for ordering an inmate’s segregation</w:t>
      </w:r>
      <w:r w:rsidR="00461B74" w:rsidRPr="0088092F">
        <w:rPr>
          <w:lang w:val="en-CA"/>
        </w:rPr>
        <w:t xml:space="preserve">. </w:t>
      </w:r>
    </w:p>
    <w:p w14:paraId="19EF4DE2" w14:textId="748B83CA" w:rsidR="00461B74" w:rsidRPr="0088092F" w:rsidRDefault="00E34734" w:rsidP="00461B74">
      <w:pPr>
        <w:pStyle w:val="Paragraphe"/>
        <w:spacing w:line="280" w:lineRule="exact"/>
        <w:rPr>
          <w:lang w:val="en-CA"/>
        </w:rPr>
      </w:pPr>
      <w:r w:rsidRPr="0088092F">
        <w:rPr>
          <w:lang w:val="en-CA"/>
        </w:rPr>
        <w:t xml:space="preserve">First, under s. </w:t>
      </w:r>
      <w:r w:rsidR="00461B74" w:rsidRPr="0088092F">
        <w:rPr>
          <w:lang w:val="en-CA"/>
        </w:rPr>
        <w:t>44(1)</w:t>
      </w:r>
      <w:r w:rsidRPr="0088092F">
        <w:rPr>
          <w:lang w:val="en-CA"/>
        </w:rPr>
        <w:t>(</w:t>
      </w:r>
      <w:r w:rsidR="00461B74" w:rsidRPr="0088092F">
        <w:rPr>
          <w:iCs/>
          <w:lang w:val="en-CA"/>
        </w:rPr>
        <w:t>f</w:t>
      </w:r>
      <w:r w:rsidR="00461B74" w:rsidRPr="0088092F">
        <w:rPr>
          <w:lang w:val="en-CA"/>
        </w:rPr>
        <w:t xml:space="preserve">), </w:t>
      </w:r>
      <w:r w:rsidRPr="0088092F">
        <w:rPr>
          <w:lang w:val="en-CA"/>
        </w:rPr>
        <w:t xml:space="preserve">an inmate found guilty of a disciplinary offence was liable to a period of segregation for a maximum of </w:t>
      </w:r>
      <w:r w:rsidR="00461B74" w:rsidRPr="0088092F">
        <w:rPr>
          <w:lang w:val="en-CA"/>
        </w:rPr>
        <w:t xml:space="preserve">30 </w:t>
      </w:r>
      <w:r w:rsidRPr="0088092F">
        <w:rPr>
          <w:lang w:val="en-CA"/>
        </w:rPr>
        <w:t>days.</w:t>
      </w:r>
      <w:r w:rsidR="00461B74" w:rsidRPr="0088092F">
        <w:rPr>
          <w:rStyle w:val="Appelnotedebasdep"/>
          <w:lang w:val="en-CA"/>
        </w:rPr>
        <w:footnoteReference w:id="50"/>
      </w:r>
      <w:r w:rsidR="00453165" w:rsidRPr="0088092F">
        <w:rPr>
          <w:lang w:val="en-CA"/>
        </w:rPr>
        <w:t xml:space="preserve"> Second,</w:t>
      </w:r>
      <w:r w:rsidR="00461B74" w:rsidRPr="0088092F">
        <w:rPr>
          <w:iCs/>
          <w:lang w:val="en-CA"/>
        </w:rPr>
        <w:t xml:space="preserve"> </w:t>
      </w:r>
      <w:r w:rsidR="00453165" w:rsidRPr="0088092F">
        <w:rPr>
          <w:iCs/>
          <w:lang w:val="en-CA"/>
        </w:rPr>
        <w:t xml:space="preserve">pursuant </w:t>
      </w:r>
      <w:r w:rsidR="00301A15" w:rsidRPr="0088092F">
        <w:rPr>
          <w:iCs/>
          <w:lang w:val="en-CA"/>
        </w:rPr>
        <w:t xml:space="preserve">to </w:t>
      </w:r>
      <w:r w:rsidR="00461B74" w:rsidRPr="0088092F">
        <w:rPr>
          <w:iCs/>
          <w:lang w:val="en-CA"/>
        </w:rPr>
        <w:t>sections 31</w:t>
      </w:r>
      <w:r w:rsidR="00301A15" w:rsidRPr="0088092F">
        <w:rPr>
          <w:iCs/>
          <w:lang w:val="en-CA"/>
        </w:rPr>
        <w:t> to </w:t>
      </w:r>
      <w:r w:rsidR="00461B74" w:rsidRPr="0088092F">
        <w:rPr>
          <w:iCs/>
          <w:lang w:val="en-CA"/>
        </w:rPr>
        <w:t xml:space="preserve">37, </w:t>
      </w:r>
      <w:r w:rsidR="00301A15" w:rsidRPr="0088092F">
        <w:rPr>
          <w:iCs/>
          <w:lang w:val="en-CA"/>
        </w:rPr>
        <w:t xml:space="preserve">the </w:t>
      </w:r>
      <w:r w:rsidR="00D45771" w:rsidRPr="0088092F">
        <w:rPr>
          <w:i/>
          <w:iCs/>
          <w:lang w:val="en-CA"/>
        </w:rPr>
        <w:t>CCRA</w:t>
      </w:r>
      <w:r w:rsidR="00301A15" w:rsidRPr="0088092F">
        <w:rPr>
          <w:iCs/>
          <w:lang w:val="en-CA"/>
        </w:rPr>
        <w:t xml:space="preserve"> gave the </w:t>
      </w:r>
      <w:r w:rsidR="00DE3830" w:rsidRPr="0088092F">
        <w:rPr>
          <w:iCs/>
          <w:lang w:val="en-CA"/>
        </w:rPr>
        <w:t xml:space="preserve">institutional head of the </w:t>
      </w:r>
      <w:r w:rsidR="00461B74" w:rsidRPr="0088092F">
        <w:rPr>
          <w:lang w:val="en-CA"/>
        </w:rPr>
        <w:t>penitentiary</w:t>
      </w:r>
      <w:r w:rsidR="00461B74" w:rsidRPr="0088092F">
        <w:rPr>
          <w:rStyle w:val="Appelnotedebasdep"/>
          <w:lang w:val="en-CA"/>
        </w:rPr>
        <w:footnoteReference w:id="51"/>
      </w:r>
      <w:r w:rsidR="00DE3830" w:rsidRPr="0088092F">
        <w:rPr>
          <w:lang w:val="en-CA"/>
        </w:rPr>
        <w:t xml:space="preserve"> the power to order the administrative segregation of an inmate for the purpose of maintaining the security of the penitentiary or the safety of any person.</w:t>
      </w:r>
      <w:r w:rsidR="00461B74" w:rsidRPr="0088092F">
        <w:rPr>
          <w:rStyle w:val="Appelnotedebasdep"/>
          <w:lang w:val="en-CA"/>
        </w:rPr>
        <w:footnoteReference w:id="52"/>
      </w:r>
    </w:p>
    <w:p w14:paraId="0C8B930C" w14:textId="51881C48" w:rsidR="00461B74" w:rsidRPr="0088092F" w:rsidRDefault="009335AA" w:rsidP="00461B74">
      <w:pPr>
        <w:pStyle w:val="Paragraphe"/>
        <w:spacing w:line="280" w:lineRule="exact"/>
        <w:rPr>
          <w:lang w:val="en-CA"/>
        </w:rPr>
      </w:pPr>
      <w:r w:rsidRPr="0088092F">
        <w:rPr>
          <w:lang w:val="en-CA"/>
        </w:rPr>
        <w:t xml:space="preserve">The </w:t>
      </w:r>
      <w:r w:rsidR="00D45771" w:rsidRPr="0088092F">
        <w:rPr>
          <w:i/>
          <w:iCs/>
          <w:lang w:val="en-CA"/>
        </w:rPr>
        <w:t>CCRA</w:t>
      </w:r>
      <w:r w:rsidR="00461B74" w:rsidRPr="0088092F">
        <w:rPr>
          <w:i/>
          <w:iCs/>
          <w:lang w:val="en-CA"/>
        </w:rPr>
        <w:t xml:space="preserve"> </w:t>
      </w:r>
      <w:r w:rsidRPr="0088092F">
        <w:rPr>
          <w:iCs/>
          <w:lang w:val="en-CA"/>
        </w:rPr>
        <w:t xml:space="preserve">imposed the </w:t>
      </w:r>
      <w:r w:rsidR="00461B74" w:rsidRPr="0088092F">
        <w:rPr>
          <w:lang w:val="en-CA"/>
        </w:rPr>
        <w:t>obligation</w:t>
      </w:r>
      <w:r w:rsidRPr="0088092F">
        <w:rPr>
          <w:lang w:val="en-CA"/>
        </w:rPr>
        <w:t xml:space="preserve"> to conduct periodic reviews of </w:t>
      </w:r>
      <w:r w:rsidR="00A43E81" w:rsidRPr="0088092F">
        <w:rPr>
          <w:lang w:val="en-CA"/>
        </w:rPr>
        <w:t xml:space="preserve">the latter measure </w:t>
      </w:r>
      <w:r w:rsidR="008D545E">
        <w:rPr>
          <w:lang w:val="en-CA"/>
        </w:rPr>
        <w:t>by</w:t>
      </w:r>
      <w:r w:rsidR="008D545E" w:rsidRPr="0088092F">
        <w:rPr>
          <w:lang w:val="en-CA"/>
        </w:rPr>
        <w:t xml:space="preserve"> </w:t>
      </w:r>
      <w:r w:rsidR="00A43E81" w:rsidRPr="0088092F">
        <w:rPr>
          <w:lang w:val="en-CA"/>
        </w:rPr>
        <w:t xml:space="preserve">persons designated by the institutional head and to make a </w:t>
      </w:r>
      <w:r w:rsidR="009B7667" w:rsidRPr="0088092F">
        <w:rPr>
          <w:lang w:val="en-CA"/>
        </w:rPr>
        <w:t>recommendation</w:t>
      </w:r>
      <w:r w:rsidR="00A43E81" w:rsidRPr="0088092F">
        <w:rPr>
          <w:lang w:val="en-CA"/>
        </w:rPr>
        <w:t xml:space="preserve"> to the institutional head in this regard.</w:t>
      </w:r>
      <w:r w:rsidR="00461B74" w:rsidRPr="0088092F">
        <w:rPr>
          <w:rStyle w:val="Appelnotedebasdep"/>
          <w:lang w:val="en-CA"/>
        </w:rPr>
        <w:footnoteReference w:id="53"/>
      </w:r>
      <w:r w:rsidR="00461B74" w:rsidRPr="0088092F">
        <w:rPr>
          <w:lang w:val="en-CA"/>
        </w:rPr>
        <w:t xml:space="preserve"> </w:t>
      </w:r>
      <w:r w:rsidR="00A43E81" w:rsidRPr="0088092F">
        <w:rPr>
          <w:lang w:val="en-CA"/>
        </w:rPr>
        <w:t xml:space="preserve">At this stage, </w:t>
      </w:r>
      <w:r w:rsidR="000A7E44" w:rsidRPr="0088092F">
        <w:rPr>
          <w:lang w:val="en-CA"/>
        </w:rPr>
        <w:t xml:space="preserve">like for the initial </w:t>
      </w:r>
      <w:r w:rsidR="00461B74" w:rsidRPr="0088092F">
        <w:rPr>
          <w:lang w:val="en-CA"/>
        </w:rPr>
        <w:t xml:space="preserve">decision, </w:t>
      </w:r>
      <w:r w:rsidR="000A7E44" w:rsidRPr="0088092F">
        <w:rPr>
          <w:lang w:val="en-CA"/>
        </w:rPr>
        <w:t xml:space="preserve">the </w:t>
      </w:r>
      <w:r w:rsidR="008D545E" w:rsidRPr="0088092F">
        <w:rPr>
          <w:lang w:val="en-CA"/>
        </w:rPr>
        <w:t>penitentiary</w:t>
      </w:r>
      <w:r w:rsidR="008D545E">
        <w:rPr>
          <w:lang w:val="en-CA"/>
        </w:rPr>
        <w:t>’s</w:t>
      </w:r>
      <w:r w:rsidR="008D545E" w:rsidRPr="0088092F">
        <w:rPr>
          <w:lang w:val="en-CA"/>
        </w:rPr>
        <w:t xml:space="preserve"> </w:t>
      </w:r>
      <w:r w:rsidR="000A7E44" w:rsidRPr="0088092F">
        <w:rPr>
          <w:lang w:val="en-CA"/>
        </w:rPr>
        <w:t>security requirements and the inmate’s state of health had to be taken into consideration.</w:t>
      </w:r>
      <w:r w:rsidR="00461B74" w:rsidRPr="0088092F">
        <w:rPr>
          <w:rStyle w:val="Appelnotedebasdep"/>
          <w:lang w:val="en-CA"/>
        </w:rPr>
        <w:footnoteReference w:id="54"/>
      </w:r>
      <w:r w:rsidR="000A7E44" w:rsidRPr="0088092F">
        <w:rPr>
          <w:lang w:val="en-CA"/>
        </w:rPr>
        <w:t xml:space="preserve"> The inmate had to be released from segregation “</w:t>
      </w:r>
      <w:r w:rsidR="002B3B6E" w:rsidRPr="0088092F">
        <w:rPr>
          <w:lang w:val="en-CA"/>
        </w:rPr>
        <w:t xml:space="preserve">at the earliest </w:t>
      </w:r>
      <w:r w:rsidR="002B3B6E" w:rsidRPr="0088092F">
        <w:rPr>
          <w:lang w:val="en-CA"/>
        </w:rPr>
        <w:lastRenderedPageBreak/>
        <w:t>appropriate time”,</w:t>
      </w:r>
      <w:r w:rsidR="00461B74" w:rsidRPr="0088092F">
        <w:rPr>
          <w:rStyle w:val="Appelnotedebasdep"/>
          <w:lang w:val="en-CA"/>
        </w:rPr>
        <w:footnoteReference w:id="55"/>
      </w:r>
      <w:r w:rsidR="002B3B6E" w:rsidRPr="0088092F">
        <w:rPr>
          <w:lang w:val="en-CA"/>
        </w:rPr>
        <w:t xml:space="preserve"> but the </w:t>
      </w:r>
      <w:r w:rsidR="00D45771" w:rsidRPr="0088092F">
        <w:rPr>
          <w:i/>
          <w:lang w:val="en-CA"/>
        </w:rPr>
        <w:t>CCRA</w:t>
      </w:r>
      <w:r w:rsidR="00461B74" w:rsidRPr="0088092F">
        <w:rPr>
          <w:lang w:val="en-CA"/>
        </w:rPr>
        <w:t xml:space="preserve"> </w:t>
      </w:r>
      <w:r w:rsidR="002B3B6E" w:rsidRPr="0088092F">
        <w:rPr>
          <w:lang w:val="en-CA"/>
        </w:rPr>
        <w:t xml:space="preserve">did not prescribe </w:t>
      </w:r>
      <w:r w:rsidR="001E6319" w:rsidRPr="0088092F">
        <w:rPr>
          <w:lang w:val="en-CA"/>
        </w:rPr>
        <w:t xml:space="preserve">a </w:t>
      </w:r>
      <w:r w:rsidR="00461B74" w:rsidRPr="0088092F">
        <w:rPr>
          <w:lang w:val="en-CA"/>
        </w:rPr>
        <w:t>maxim</w:t>
      </w:r>
      <w:r w:rsidR="001E6319" w:rsidRPr="0088092F">
        <w:rPr>
          <w:lang w:val="en-CA"/>
        </w:rPr>
        <w:t xml:space="preserve">um </w:t>
      </w:r>
      <w:r w:rsidR="002B3B6E" w:rsidRPr="0088092F">
        <w:rPr>
          <w:lang w:val="en-CA"/>
        </w:rPr>
        <w:t>duration</w:t>
      </w:r>
      <w:r w:rsidR="001E6319" w:rsidRPr="0088092F">
        <w:rPr>
          <w:lang w:val="en-CA"/>
        </w:rPr>
        <w:t xml:space="preserve"> or specify the </w:t>
      </w:r>
      <w:r w:rsidR="006C06E9">
        <w:rPr>
          <w:lang w:val="en-CA"/>
        </w:rPr>
        <w:t>condition</w:t>
      </w:r>
      <w:r w:rsidR="001E6319" w:rsidRPr="0088092F">
        <w:rPr>
          <w:lang w:val="en-CA"/>
        </w:rPr>
        <w:t>s of solitary confinement.</w:t>
      </w:r>
      <w:r w:rsidR="00461B74" w:rsidRPr="0088092F">
        <w:rPr>
          <w:rStyle w:val="Appelnotedebasdep"/>
          <w:lang w:val="en-CA"/>
        </w:rPr>
        <w:footnoteReference w:id="56"/>
      </w:r>
      <w:r w:rsidR="00461B74" w:rsidRPr="0088092F">
        <w:rPr>
          <w:lang w:val="en-CA"/>
        </w:rPr>
        <w:t xml:space="preserve"> </w:t>
      </w:r>
    </w:p>
    <w:p w14:paraId="6194F2D2" w14:textId="09E2A235" w:rsidR="00461B74" w:rsidRPr="0088092F" w:rsidRDefault="0070223F" w:rsidP="00461B74">
      <w:pPr>
        <w:pStyle w:val="Paragraphe"/>
        <w:spacing w:line="280" w:lineRule="exact"/>
        <w:rPr>
          <w:lang w:val="en-CA"/>
        </w:rPr>
      </w:pPr>
      <w:r w:rsidRPr="0088092F">
        <w:rPr>
          <w:lang w:val="en-CA"/>
        </w:rPr>
        <w:t xml:space="preserve">In </w:t>
      </w:r>
      <w:r w:rsidR="00461B74" w:rsidRPr="0088092F">
        <w:rPr>
          <w:i/>
          <w:iCs/>
          <w:lang w:val="en-CA"/>
        </w:rPr>
        <w:t>Canadian Civil Liberties Association v. Canada</w:t>
      </w:r>
      <w:r w:rsidR="00461B74" w:rsidRPr="0088092F">
        <w:rPr>
          <w:lang w:val="en-CA"/>
        </w:rPr>
        <w:t xml:space="preserve"> </w:t>
      </w:r>
      <w:r w:rsidR="00E93ECA" w:rsidRPr="0088092F">
        <w:rPr>
          <w:lang w:val="en-CA"/>
        </w:rPr>
        <w:t>[</w:t>
      </w:r>
      <w:r w:rsidR="00461B74" w:rsidRPr="0088092F">
        <w:rPr>
          <w:i/>
          <w:lang w:val="en-CA"/>
        </w:rPr>
        <w:t>CCLA</w:t>
      </w:r>
      <w:r w:rsidR="00E93ECA" w:rsidRPr="0088092F">
        <w:rPr>
          <w:lang w:val="en-CA"/>
        </w:rPr>
        <w:t>]</w:t>
      </w:r>
      <w:r w:rsidR="00461B74" w:rsidRPr="0088092F">
        <w:rPr>
          <w:lang w:val="en-CA"/>
        </w:rPr>
        <w:t>,</w:t>
      </w:r>
      <w:r w:rsidRPr="0088092F">
        <w:rPr>
          <w:lang w:val="en-CA"/>
        </w:rPr>
        <w:t xml:space="preserve"> the Court of Appeal for </w:t>
      </w:r>
      <w:r w:rsidR="00461B74" w:rsidRPr="0088092F">
        <w:rPr>
          <w:lang w:val="en-CA"/>
        </w:rPr>
        <w:t xml:space="preserve">Ontario </w:t>
      </w:r>
      <w:r w:rsidR="00D750FE" w:rsidRPr="0088092F">
        <w:rPr>
          <w:lang w:val="en-CA"/>
        </w:rPr>
        <w:t xml:space="preserve">found that these </w:t>
      </w:r>
      <w:r w:rsidR="00461B74" w:rsidRPr="0088092F">
        <w:rPr>
          <w:lang w:val="en-CA"/>
        </w:rPr>
        <w:t>provisions</w:t>
      </w:r>
      <w:r w:rsidR="00D750FE" w:rsidRPr="0088092F">
        <w:rPr>
          <w:lang w:val="en-CA"/>
        </w:rPr>
        <w:t xml:space="preserve"> violate</w:t>
      </w:r>
      <w:r w:rsidR="008B557D">
        <w:rPr>
          <w:lang w:val="en-CA"/>
        </w:rPr>
        <w:t>d</w:t>
      </w:r>
      <w:r w:rsidR="00D750FE" w:rsidRPr="0088092F">
        <w:rPr>
          <w:lang w:val="en-CA"/>
        </w:rPr>
        <w:t xml:space="preserve"> </w:t>
      </w:r>
      <w:r w:rsidR="00461B74" w:rsidRPr="0088092F">
        <w:rPr>
          <w:lang w:val="en-CA"/>
        </w:rPr>
        <w:t xml:space="preserve">section 12 </w:t>
      </w:r>
      <w:r w:rsidR="00D750FE" w:rsidRPr="0088092F">
        <w:rPr>
          <w:lang w:val="en-CA"/>
        </w:rPr>
        <w:t xml:space="preserve">of the </w:t>
      </w:r>
      <w:r w:rsidR="00461B74" w:rsidRPr="0088092F">
        <w:rPr>
          <w:i/>
          <w:iCs/>
          <w:lang w:val="en-CA"/>
        </w:rPr>
        <w:t>Charter</w:t>
      </w:r>
      <w:r w:rsidR="00461B74" w:rsidRPr="0088092F">
        <w:rPr>
          <w:lang w:val="en-CA"/>
        </w:rPr>
        <w:t xml:space="preserve">. </w:t>
      </w:r>
      <w:r w:rsidR="00D750FE" w:rsidRPr="0088092F">
        <w:rPr>
          <w:lang w:val="en-CA"/>
        </w:rPr>
        <w:t xml:space="preserve">According to the </w:t>
      </w:r>
      <w:r w:rsidR="00461B74" w:rsidRPr="0088092F">
        <w:rPr>
          <w:lang w:val="en-CA"/>
        </w:rPr>
        <w:t xml:space="preserve">Court, </w:t>
      </w:r>
      <w:r w:rsidR="00D750FE" w:rsidRPr="0088092F">
        <w:rPr>
          <w:lang w:val="en-CA"/>
        </w:rPr>
        <w:t xml:space="preserve">any form </w:t>
      </w:r>
      <w:r w:rsidR="00B30D0A" w:rsidRPr="0088092F">
        <w:rPr>
          <w:lang w:val="en-CA"/>
        </w:rPr>
        <w:t>of confinement in excess of 15 days</w:t>
      </w:r>
      <w:r w:rsidR="00461B74" w:rsidRPr="0088092F">
        <w:rPr>
          <w:lang w:val="en-CA"/>
        </w:rPr>
        <w:t xml:space="preserve"> pose</w:t>
      </w:r>
      <w:r w:rsidR="00B30D0A" w:rsidRPr="0088092F">
        <w:rPr>
          <w:lang w:val="en-CA"/>
        </w:rPr>
        <w:t xml:space="preserve">s a significant risk to the </w:t>
      </w:r>
      <w:r w:rsidR="00461B74" w:rsidRPr="0088092F">
        <w:rPr>
          <w:lang w:val="en-CA"/>
        </w:rPr>
        <w:t>mental</w:t>
      </w:r>
      <w:r w:rsidR="00B30D0A" w:rsidRPr="0088092F">
        <w:rPr>
          <w:lang w:val="en-CA"/>
        </w:rPr>
        <w:t xml:space="preserve"> </w:t>
      </w:r>
      <w:r w:rsidR="00461B74" w:rsidRPr="0088092F">
        <w:rPr>
          <w:lang w:val="en-CA"/>
        </w:rPr>
        <w:t>health</w:t>
      </w:r>
      <w:r w:rsidR="00B30D0A" w:rsidRPr="0088092F">
        <w:rPr>
          <w:lang w:val="en-CA"/>
        </w:rPr>
        <w:t xml:space="preserve"> of inmates</w:t>
      </w:r>
      <w:r w:rsidR="00570ADB" w:rsidRPr="0088092F">
        <w:rPr>
          <w:lang w:val="en-CA"/>
        </w:rPr>
        <w:t>.</w:t>
      </w:r>
      <w:r w:rsidR="00461B74" w:rsidRPr="0088092F">
        <w:rPr>
          <w:rStyle w:val="Appelnotedebasdep"/>
          <w:lang w:val="en-CA"/>
        </w:rPr>
        <w:footnoteReference w:id="57"/>
      </w:r>
      <w:r w:rsidR="00570ADB" w:rsidRPr="0088092F">
        <w:rPr>
          <w:lang w:val="en-CA"/>
        </w:rPr>
        <w:t xml:space="preserve"> I</w:t>
      </w:r>
      <w:r w:rsidR="00461B74" w:rsidRPr="0088092F">
        <w:rPr>
          <w:lang w:val="en-CA"/>
        </w:rPr>
        <w:t>n</w:t>
      </w:r>
      <w:r w:rsidR="00570ADB" w:rsidRPr="0088092F">
        <w:rPr>
          <w:lang w:val="en-CA"/>
        </w:rPr>
        <w:t xml:space="preserve"> </w:t>
      </w:r>
      <w:r w:rsidR="00461B74" w:rsidRPr="0088092F">
        <w:rPr>
          <w:lang w:val="en-CA"/>
        </w:rPr>
        <w:t>addition,</w:t>
      </w:r>
      <w:r w:rsidR="00570ADB" w:rsidRPr="0088092F">
        <w:rPr>
          <w:lang w:val="en-CA"/>
        </w:rPr>
        <w:t xml:space="preserve"> the </w:t>
      </w:r>
      <w:r w:rsidR="00461B74" w:rsidRPr="0088092F">
        <w:rPr>
          <w:lang w:val="en-CA"/>
        </w:rPr>
        <w:t>Cour</w:t>
      </w:r>
      <w:r w:rsidR="00570ADB" w:rsidRPr="0088092F">
        <w:rPr>
          <w:lang w:val="en-CA"/>
        </w:rPr>
        <w:t xml:space="preserve">t of Appeal for </w:t>
      </w:r>
      <w:r w:rsidR="00461B74" w:rsidRPr="0088092F">
        <w:rPr>
          <w:lang w:val="en-CA"/>
        </w:rPr>
        <w:t xml:space="preserve">Ontario </w:t>
      </w:r>
      <w:r w:rsidR="00570ADB" w:rsidRPr="0088092F">
        <w:rPr>
          <w:lang w:val="en-CA"/>
        </w:rPr>
        <w:t xml:space="preserve">found that the </w:t>
      </w:r>
      <w:r w:rsidR="00461B74" w:rsidRPr="0088092F">
        <w:rPr>
          <w:lang w:val="en-CA"/>
        </w:rPr>
        <w:t>provisions</w:t>
      </w:r>
      <w:r w:rsidR="00570ADB" w:rsidRPr="0088092F">
        <w:rPr>
          <w:lang w:val="en-CA"/>
        </w:rPr>
        <w:t xml:space="preserve"> of the </w:t>
      </w:r>
      <w:r w:rsidR="00D45771" w:rsidRPr="0088092F">
        <w:rPr>
          <w:i/>
          <w:iCs/>
          <w:lang w:val="en-CA"/>
        </w:rPr>
        <w:t>CCRA</w:t>
      </w:r>
      <w:r w:rsidR="00461B74" w:rsidRPr="0088092F">
        <w:rPr>
          <w:lang w:val="en-CA"/>
        </w:rPr>
        <w:t xml:space="preserve"> </w:t>
      </w:r>
      <w:r w:rsidR="00570ADB" w:rsidRPr="0088092F">
        <w:rPr>
          <w:lang w:val="en-CA"/>
        </w:rPr>
        <w:t>requiring that risks to inmates’ mental health be considered were ineffective at preventing such risks.</w:t>
      </w:r>
      <w:r w:rsidR="00461B74" w:rsidRPr="0088092F">
        <w:rPr>
          <w:rStyle w:val="Appelnotedebasdep"/>
          <w:lang w:val="en-CA"/>
        </w:rPr>
        <w:footnoteReference w:id="58"/>
      </w:r>
    </w:p>
    <w:p w14:paraId="2A345CB9" w14:textId="6251F265" w:rsidR="00461B74" w:rsidRPr="0088092F" w:rsidRDefault="00570ADB" w:rsidP="00461B74">
      <w:pPr>
        <w:pStyle w:val="Paragraphe"/>
        <w:spacing w:line="280" w:lineRule="exact"/>
        <w:rPr>
          <w:lang w:val="en-CA"/>
        </w:rPr>
      </w:pPr>
      <w:r w:rsidRPr="0088092F">
        <w:rPr>
          <w:lang w:val="en-CA"/>
        </w:rPr>
        <w:t xml:space="preserve">Almost seven </w:t>
      </w:r>
      <w:r w:rsidR="00461B74" w:rsidRPr="0088092F">
        <w:rPr>
          <w:lang w:val="en-CA"/>
        </w:rPr>
        <w:t>months</w:t>
      </w:r>
      <w:r w:rsidRPr="0088092F">
        <w:rPr>
          <w:lang w:val="en-CA"/>
        </w:rPr>
        <w:t xml:space="preserve"> later, the Court of Appeal for </w:t>
      </w:r>
      <w:r w:rsidR="00461B74" w:rsidRPr="0088092F">
        <w:rPr>
          <w:lang w:val="en-CA"/>
        </w:rPr>
        <w:t>British</w:t>
      </w:r>
      <w:r w:rsidRPr="0088092F">
        <w:rPr>
          <w:lang w:val="en-CA"/>
        </w:rPr>
        <w:t xml:space="preserve"> </w:t>
      </w:r>
      <w:r w:rsidR="00461B74" w:rsidRPr="0088092F">
        <w:rPr>
          <w:lang w:val="en-CA"/>
        </w:rPr>
        <w:t>Columbia</w:t>
      </w:r>
      <w:r w:rsidR="00990D00" w:rsidRPr="0088092F">
        <w:rPr>
          <w:lang w:val="en-CA"/>
        </w:rPr>
        <w:t xml:space="preserve"> in </w:t>
      </w:r>
      <w:r w:rsidR="00461B74" w:rsidRPr="0088092F">
        <w:rPr>
          <w:i/>
          <w:iCs/>
          <w:lang w:val="en-CA"/>
        </w:rPr>
        <w:t>British Columbia Civil Liberties Association v. Canada (Attorney General)</w:t>
      </w:r>
      <w:r w:rsidR="00461B74" w:rsidRPr="0088092F">
        <w:rPr>
          <w:lang w:val="en-CA"/>
        </w:rPr>
        <w:t xml:space="preserve"> </w:t>
      </w:r>
      <w:r w:rsidR="00990D00" w:rsidRPr="0088092F">
        <w:rPr>
          <w:lang w:val="en-CA"/>
        </w:rPr>
        <w:t>[</w:t>
      </w:r>
      <w:r w:rsidR="00461B74" w:rsidRPr="0088092F">
        <w:rPr>
          <w:i/>
          <w:lang w:val="en-CA"/>
        </w:rPr>
        <w:t>BCCLA</w:t>
      </w:r>
      <w:r w:rsidR="00990D00" w:rsidRPr="0088092F">
        <w:rPr>
          <w:lang w:val="en-CA"/>
        </w:rPr>
        <w:t xml:space="preserve">] found that </w:t>
      </w:r>
      <w:r w:rsidR="00461B74" w:rsidRPr="0088092F">
        <w:rPr>
          <w:lang w:val="en-CA"/>
        </w:rPr>
        <w:t xml:space="preserve">sections 31 </w:t>
      </w:r>
      <w:r w:rsidR="00315FD0" w:rsidRPr="0088092F">
        <w:rPr>
          <w:lang w:val="en-CA"/>
        </w:rPr>
        <w:t xml:space="preserve">to </w:t>
      </w:r>
      <w:r w:rsidR="00461B74" w:rsidRPr="0088092F">
        <w:rPr>
          <w:lang w:val="en-CA"/>
        </w:rPr>
        <w:t xml:space="preserve">37 </w:t>
      </w:r>
      <w:r w:rsidR="00EE1E5A" w:rsidRPr="0088092F">
        <w:rPr>
          <w:lang w:val="en-CA"/>
        </w:rPr>
        <w:t xml:space="preserve">of the </w:t>
      </w:r>
      <w:r w:rsidR="00D45771" w:rsidRPr="0088092F">
        <w:rPr>
          <w:i/>
          <w:lang w:val="en-CA"/>
        </w:rPr>
        <w:t>CCRA</w:t>
      </w:r>
      <w:r w:rsidR="00461B74" w:rsidRPr="0088092F">
        <w:rPr>
          <w:lang w:val="en-CA"/>
        </w:rPr>
        <w:t xml:space="preserve"> </w:t>
      </w:r>
      <w:r w:rsidR="00EE1E5A" w:rsidRPr="0088092F">
        <w:rPr>
          <w:lang w:val="en-CA"/>
        </w:rPr>
        <w:t>infringed inmates’ security</w:t>
      </w:r>
      <w:r w:rsidR="00CE0226" w:rsidRPr="0088092F">
        <w:rPr>
          <w:lang w:val="en-CA"/>
        </w:rPr>
        <w:t xml:space="preserve"> and</w:t>
      </w:r>
      <w:r w:rsidR="00EE1E5A" w:rsidRPr="0088092F">
        <w:rPr>
          <w:lang w:val="en-CA"/>
        </w:rPr>
        <w:t xml:space="preserve"> did not comply with the </w:t>
      </w:r>
      <w:r w:rsidR="00461B74" w:rsidRPr="0088092F">
        <w:rPr>
          <w:lang w:val="en-CA"/>
        </w:rPr>
        <w:t>principles</w:t>
      </w:r>
      <w:r w:rsidR="00CE0226" w:rsidRPr="0088092F">
        <w:rPr>
          <w:lang w:val="en-CA"/>
        </w:rPr>
        <w:t xml:space="preserve"> </w:t>
      </w:r>
      <w:r w:rsidR="00461B74" w:rsidRPr="0088092F">
        <w:rPr>
          <w:lang w:val="en-CA"/>
        </w:rPr>
        <w:t>of</w:t>
      </w:r>
      <w:r w:rsidR="00CE0226" w:rsidRPr="0088092F">
        <w:rPr>
          <w:lang w:val="en-CA"/>
        </w:rPr>
        <w:t xml:space="preserve"> </w:t>
      </w:r>
      <w:r w:rsidR="00461B74" w:rsidRPr="0088092F">
        <w:rPr>
          <w:lang w:val="en-CA"/>
        </w:rPr>
        <w:t>fundamental</w:t>
      </w:r>
      <w:r w:rsidR="00CE0226" w:rsidRPr="0088092F">
        <w:rPr>
          <w:lang w:val="en-CA"/>
        </w:rPr>
        <w:t xml:space="preserve"> </w:t>
      </w:r>
      <w:r w:rsidR="00461B74" w:rsidRPr="0088092F">
        <w:rPr>
          <w:lang w:val="en-CA"/>
        </w:rPr>
        <w:t>justice</w:t>
      </w:r>
      <w:r w:rsidR="00CE0226" w:rsidRPr="0088092F">
        <w:rPr>
          <w:lang w:val="en-CA"/>
        </w:rPr>
        <w:t xml:space="preserve">, thereby violating </w:t>
      </w:r>
      <w:r w:rsidR="00461B74" w:rsidRPr="0088092F">
        <w:rPr>
          <w:lang w:val="en-CA"/>
        </w:rPr>
        <w:t xml:space="preserve">section 7 </w:t>
      </w:r>
      <w:r w:rsidR="00CE0226" w:rsidRPr="0088092F">
        <w:rPr>
          <w:lang w:val="en-CA"/>
        </w:rPr>
        <w:t xml:space="preserve">of the </w:t>
      </w:r>
      <w:r w:rsidR="00461B74" w:rsidRPr="0088092F">
        <w:rPr>
          <w:i/>
          <w:iCs/>
          <w:lang w:val="en-CA"/>
        </w:rPr>
        <w:t>Charter</w:t>
      </w:r>
      <w:r w:rsidR="00461B74" w:rsidRPr="0088092F">
        <w:rPr>
          <w:lang w:val="en-CA"/>
        </w:rPr>
        <w:t xml:space="preserve">. </w:t>
      </w:r>
    </w:p>
    <w:p w14:paraId="35D5F768" w14:textId="2D126A34" w:rsidR="00461B74" w:rsidRPr="0088092F" w:rsidRDefault="00181AD4" w:rsidP="00461B74">
      <w:pPr>
        <w:pStyle w:val="Paragraphe"/>
        <w:spacing w:line="280" w:lineRule="exact"/>
        <w:rPr>
          <w:lang w:val="en-CA"/>
        </w:rPr>
      </w:pPr>
      <w:r w:rsidRPr="0088092F">
        <w:rPr>
          <w:lang w:val="en-CA"/>
        </w:rPr>
        <w:t xml:space="preserve">In the Court of Appeal’s view, </w:t>
      </w:r>
      <w:r w:rsidR="00006DA3" w:rsidRPr="0088092F">
        <w:rPr>
          <w:lang w:val="en-CA"/>
        </w:rPr>
        <w:t xml:space="preserve">because of the absence of a cap on the duration of solitary confinement, </w:t>
      </w:r>
      <w:r w:rsidR="00C5703C" w:rsidRPr="0088092F">
        <w:rPr>
          <w:lang w:val="en-CA"/>
        </w:rPr>
        <w:t>the</w:t>
      </w:r>
      <w:r w:rsidR="00830685">
        <w:rPr>
          <w:lang w:val="en-CA"/>
        </w:rPr>
        <w:t xml:space="preserve"> scope of the</w:t>
      </w:r>
      <w:r w:rsidR="00C5703C" w:rsidRPr="0088092F">
        <w:rPr>
          <w:lang w:val="en-CA"/>
        </w:rPr>
        <w:t xml:space="preserve"> impugned provisions </w:t>
      </w:r>
      <w:r w:rsidR="00830685">
        <w:rPr>
          <w:lang w:val="en-CA"/>
        </w:rPr>
        <w:t>was</w:t>
      </w:r>
      <w:r w:rsidR="00830685" w:rsidRPr="0088092F">
        <w:rPr>
          <w:lang w:val="en-CA"/>
        </w:rPr>
        <w:t xml:space="preserve"> </w:t>
      </w:r>
      <w:r w:rsidR="00C5703C" w:rsidRPr="0088092F">
        <w:rPr>
          <w:lang w:val="en-CA"/>
        </w:rPr>
        <w:t xml:space="preserve">overbroad </w:t>
      </w:r>
      <w:r w:rsidR="00006DA3" w:rsidRPr="0088092F">
        <w:rPr>
          <w:lang w:val="en-CA"/>
        </w:rPr>
        <w:t>with respect to their objective of ensuring the security of correctional institutions.</w:t>
      </w:r>
      <w:r w:rsidR="00461B74" w:rsidRPr="0088092F">
        <w:rPr>
          <w:rStyle w:val="Appelnotedebasdep"/>
          <w:lang w:val="en-CA"/>
        </w:rPr>
        <w:footnoteReference w:id="59"/>
      </w:r>
      <w:r w:rsidR="00006DA3" w:rsidRPr="0088092F">
        <w:rPr>
          <w:lang w:val="en-CA"/>
        </w:rPr>
        <w:t xml:space="preserve"> The particularly harmful effects of indeterminate confinement were also grossly disproportionate to </w:t>
      </w:r>
      <w:r w:rsidR="00830685">
        <w:rPr>
          <w:lang w:val="en-CA"/>
        </w:rPr>
        <w:t>this</w:t>
      </w:r>
      <w:r w:rsidR="00830685" w:rsidRPr="0088092F">
        <w:rPr>
          <w:lang w:val="en-CA"/>
        </w:rPr>
        <w:t xml:space="preserve"> </w:t>
      </w:r>
      <w:r w:rsidR="00006DA3" w:rsidRPr="0088092F">
        <w:rPr>
          <w:lang w:val="en-CA"/>
        </w:rPr>
        <w:t>objective.</w:t>
      </w:r>
      <w:r w:rsidR="00461B74" w:rsidRPr="0088092F">
        <w:rPr>
          <w:rStyle w:val="Appelnotedebasdep"/>
          <w:lang w:val="en-CA"/>
        </w:rPr>
        <w:footnoteReference w:id="60"/>
      </w:r>
      <w:r w:rsidR="00006DA3" w:rsidRPr="0088092F">
        <w:rPr>
          <w:lang w:val="en-CA"/>
        </w:rPr>
        <w:t xml:space="preserve"> Last, the </w:t>
      </w:r>
      <w:r w:rsidR="000268A8" w:rsidRPr="0088092F">
        <w:rPr>
          <w:lang w:val="en-CA"/>
        </w:rPr>
        <w:t xml:space="preserve">lack of an independent review </w:t>
      </w:r>
      <w:r w:rsidR="00461B74" w:rsidRPr="0088092F">
        <w:rPr>
          <w:lang w:val="en-CA"/>
        </w:rPr>
        <w:t>m</w:t>
      </w:r>
      <w:r w:rsidR="000268A8" w:rsidRPr="0088092F">
        <w:rPr>
          <w:lang w:val="en-CA"/>
        </w:rPr>
        <w:t>e</w:t>
      </w:r>
      <w:r w:rsidR="00461B74" w:rsidRPr="0088092F">
        <w:rPr>
          <w:lang w:val="en-CA"/>
        </w:rPr>
        <w:t>c</w:t>
      </w:r>
      <w:r w:rsidR="000268A8" w:rsidRPr="0088092F">
        <w:rPr>
          <w:lang w:val="en-CA"/>
        </w:rPr>
        <w:t>h</w:t>
      </w:r>
      <w:r w:rsidR="00461B74" w:rsidRPr="0088092F">
        <w:rPr>
          <w:lang w:val="en-CA"/>
        </w:rPr>
        <w:t>anism</w:t>
      </w:r>
      <w:r w:rsidR="000268A8" w:rsidRPr="0088092F">
        <w:rPr>
          <w:lang w:val="en-CA"/>
        </w:rPr>
        <w:t xml:space="preserve"> regarding the </w:t>
      </w:r>
      <w:r w:rsidR="00461B74" w:rsidRPr="0088092F">
        <w:rPr>
          <w:lang w:val="en-CA"/>
        </w:rPr>
        <w:t>decision</w:t>
      </w:r>
      <w:r w:rsidR="000268A8" w:rsidRPr="0088092F">
        <w:rPr>
          <w:lang w:val="en-CA"/>
        </w:rPr>
        <w:t xml:space="preserve"> to place an inmate in segregation violated </w:t>
      </w:r>
      <w:r w:rsidR="00461B74" w:rsidRPr="0088092F">
        <w:rPr>
          <w:lang w:val="en-CA"/>
        </w:rPr>
        <w:t>procedural</w:t>
      </w:r>
      <w:r w:rsidR="000268A8" w:rsidRPr="0088092F">
        <w:rPr>
          <w:lang w:val="en-CA"/>
        </w:rPr>
        <w:t xml:space="preserve"> </w:t>
      </w:r>
      <w:r w:rsidR="00461B74" w:rsidRPr="0088092F">
        <w:rPr>
          <w:lang w:val="en-CA"/>
        </w:rPr>
        <w:t>fairness</w:t>
      </w:r>
      <w:r w:rsidR="000268A8" w:rsidRPr="0088092F">
        <w:rPr>
          <w:lang w:val="en-CA"/>
        </w:rPr>
        <w:t>.</w:t>
      </w:r>
      <w:r w:rsidR="00461B74" w:rsidRPr="0088092F">
        <w:rPr>
          <w:rStyle w:val="Appelnotedebasdep"/>
          <w:lang w:val="en-CA"/>
        </w:rPr>
        <w:footnoteReference w:id="61"/>
      </w:r>
      <w:r w:rsidR="00461B74" w:rsidRPr="0088092F">
        <w:rPr>
          <w:lang w:val="en-CA"/>
        </w:rPr>
        <w:t xml:space="preserve"> </w:t>
      </w:r>
    </w:p>
    <w:p w14:paraId="6C810E38" w14:textId="7653344A" w:rsidR="00461B74" w:rsidRPr="0088092F" w:rsidRDefault="000268A8" w:rsidP="00461B74">
      <w:pPr>
        <w:pStyle w:val="Paragraphe"/>
        <w:spacing w:line="280" w:lineRule="exact"/>
        <w:rPr>
          <w:lang w:val="en-CA"/>
        </w:rPr>
      </w:pPr>
      <w:r w:rsidRPr="0088092F">
        <w:rPr>
          <w:lang w:val="en-CA"/>
        </w:rPr>
        <w:t xml:space="preserve">Note that both these judgments took the </w:t>
      </w:r>
      <w:r w:rsidR="006834A6" w:rsidRPr="0088092F">
        <w:rPr>
          <w:iCs/>
          <w:lang w:val="en-CA"/>
        </w:rPr>
        <w:t>Nelson Mandela Rules</w:t>
      </w:r>
      <w:r w:rsidR="00461B74" w:rsidRPr="0088092F">
        <w:rPr>
          <w:lang w:val="en-CA"/>
        </w:rPr>
        <w:t xml:space="preserve"> </w:t>
      </w:r>
      <w:r w:rsidRPr="0088092F">
        <w:rPr>
          <w:lang w:val="en-CA"/>
        </w:rPr>
        <w:t xml:space="preserve">into account in their </w:t>
      </w:r>
      <w:r w:rsidR="00461B74" w:rsidRPr="0088092F">
        <w:rPr>
          <w:lang w:val="en-CA"/>
        </w:rPr>
        <w:t>constitution</w:t>
      </w:r>
      <w:r w:rsidRPr="0088092F">
        <w:rPr>
          <w:lang w:val="en-CA"/>
        </w:rPr>
        <w:t>a</w:t>
      </w:r>
      <w:r w:rsidR="00461B74" w:rsidRPr="0088092F">
        <w:rPr>
          <w:lang w:val="en-CA"/>
        </w:rPr>
        <w:t>l</w:t>
      </w:r>
      <w:r w:rsidRPr="0088092F">
        <w:rPr>
          <w:lang w:val="en-CA"/>
        </w:rPr>
        <w:t xml:space="preserve"> analysis.</w:t>
      </w:r>
      <w:r w:rsidR="00461B74" w:rsidRPr="0088092F">
        <w:rPr>
          <w:rStyle w:val="Appelnotedebasdep"/>
          <w:lang w:val="en-CA"/>
        </w:rPr>
        <w:footnoteReference w:id="62"/>
      </w:r>
      <w:r w:rsidR="00461B74" w:rsidRPr="0088092F">
        <w:rPr>
          <w:lang w:val="en-CA"/>
        </w:rPr>
        <w:t xml:space="preserve"> </w:t>
      </w:r>
    </w:p>
    <w:p w14:paraId="2E0B7873" w14:textId="0E9008F6" w:rsidR="00461B74" w:rsidRPr="0088092F" w:rsidRDefault="000268A8" w:rsidP="00461B74">
      <w:pPr>
        <w:pStyle w:val="Paragraphe"/>
        <w:spacing w:line="280" w:lineRule="exact"/>
        <w:rPr>
          <w:lang w:val="en-CA"/>
        </w:rPr>
      </w:pPr>
      <w:r w:rsidRPr="0088092F">
        <w:rPr>
          <w:lang w:val="en-CA"/>
        </w:rPr>
        <w:t xml:space="preserve">The </w:t>
      </w:r>
      <w:r w:rsidR="00461B74" w:rsidRPr="0088092F">
        <w:rPr>
          <w:lang w:val="en-CA"/>
        </w:rPr>
        <w:t>Attorney</w:t>
      </w:r>
      <w:r w:rsidRPr="0088092F">
        <w:rPr>
          <w:lang w:val="en-CA"/>
        </w:rPr>
        <w:t xml:space="preserve"> </w:t>
      </w:r>
      <w:r w:rsidR="00461B74" w:rsidRPr="0088092F">
        <w:rPr>
          <w:lang w:val="en-CA"/>
        </w:rPr>
        <w:t>General</w:t>
      </w:r>
      <w:r w:rsidRPr="0088092F">
        <w:rPr>
          <w:lang w:val="en-CA"/>
        </w:rPr>
        <w:t xml:space="preserve"> </w:t>
      </w:r>
      <w:r w:rsidR="00461B74" w:rsidRPr="0088092F">
        <w:rPr>
          <w:lang w:val="en-CA"/>
        </w:rPr>
        <w:t>of</w:t>
      </w:r>
      <w:r w:rsidRPr="0088092F">
        <w:rPr>
          <w:lang w:val="en-CA"/>
        </w:rPr>
        <w:t xml:space="preserve"> </w:t>
      </w:r>
      <w:r w:rsidR="00461B74" w:rsidRPr="0088092F">
        <w:rPr>
          <w:lang w:val="en-CA"/>
        </w:rPr>
        <w:t>Canada</w:t>
      </w:r>
      <w:r w:rsidRPr="0088092F">
        <w:rPr>
          <w:lang w:val="en-CA"/>
        </w:rPr>
        <w:t xml:space="preserve"> obtained leave to appeal </w:t>
      </w:r>
      <w:r w:rsidR="00A54138">
        <w:rPr>
          <w:lang w:val="en-CA"/>
        </w:rPr>
        <w:t xml:space="preserve">from </w:t>
      </w:r>
      <w:r w:rsidRPr="0088092F">
        <w:rPr>
          <w:lang w:val="en-CA"/>
        </w:rPr>
        <w:t xml:space="preserve">both these judgments before the </w:t>
      </w:r>
      <w:r w:rsidR="00461B74" w:rsidRPr="0088092F">
        <w:rPr>
          <w:lang w:val="en-CA"/>
        </w:rPr>
        <w:t>Supreme</w:t>
      </w:r>
      <w:r w:rsidRPr="0088092F">
        <w:rPr>
          <w:lang w:val="en-CA"/>
        </w:rPr>
        <w:t xml:space="preserve"> </w:t>
      </w:r>
      <w:r w:rsidR="00461B74" w:rsidRPr="0088092F">
        <w:rPr>
          <w:lang w:val="en-CA"/>
        </w:rPr>
        <w:t>Court</w:t>
      </w:r>
      <w:r w:rsidRPr="0088092F">
        <w:rPr>
          <w:lang w:val="en-CA"/>
        </w:rPr>
        <w:t xml:space="preserve"> </w:t>
      </w:r>
      <w:r w:rsidR="00461B74" w:rsidRPr="0088092F">
        <w:rPr>
          <w:lang w:val="en-CA"/>
        </w:rPr>
        <w:t>of</w:t>
      </w:r>
      <w:r w:rsidRPr="0088092F">
        <w:rPr>
          <w:lang w:val="en-CA"/>
        </w:rPr>
        <w:t xml:space="preserve"> </w:t>
      </w:r>
      <w:r w:rsidR="00461B74" w:rsidRPr="0088092F">
        <w:rPr>
          <w:lang w:val="en-CA"/>
        </w:rPr>
        <w:t>Canada</w:t>
      </w:r>
      <w:r w:rsidRPr="0088092F">
        <w:rPr>
          <w:lang w:val="en-CA"/>
        </w:rPr>
        <w:t xml:space="preserve"> but discontinued </w:t>
      </w:r>
      <w:r w:rsidR="008B557D">
        <w:rPr>
          <w:lang w:val="en-CA"/>
        </w:rPr>
        <w:t>the</w:t>
      </w:r>
      <w:r w:rsidRPr="0088092F">
        <w:rPr>
          <w:lang w:val="en-CA"/>
        </w:rPr>
        <w:t xml:space="preserve"> </w:t>
      </w:r>
      <w:r w:rsidR="00461B74" w:rsidRPr="0088092F">
        <w:rPr>
          <w:lang w:val="en-CA"/>
        </w:rPr>
        <w:t>appeals</w:t>
      </w:r>
      <w:r w:rsidRPr="0088092F">
        <w:rPr>
          <w:lang w:val="en-CA"/>
        </w:rPr>
        <w:t xml:space="preserve"> as a result of the enactment of Bill</w:t>
      </w:r>
      <w:r w:rsidR="00461B74" w:rsidRPr="0088092F">
        <w:rPr>
          <w:lang w:val="en-CA"/>
        </w:rPr>
        <w:t xml:space="preserve"> C-83</w:t>
      </w:r>
      <w:r w:rsidRPr="0088092F">
        <w:rPr>
          <w:lang w:val="en-CA"/>
        </w:rPr>
        <w:t xml:space="preserve">, amending the </w:t>
      </w:r>
      <w:r w:rsidR="00D45771" w:rsidRPr="0088092F">
        <w:rPr>
          <w:i/>
          <w:lang w:val="en-CA"/>
        </w:rPr>
        <w:t>CCRA</w:t>
      </w:r>
      <w:r w:rsidR="00461B74" w:rsidRPr="0088092F">
        <w:rPr>
          <w:lang w:val="en-CA"/>
        </w:rPr>
        <w:t xml:space="preserve"> </w:t>
      </w:r>
      <w:r w:rsidRPr="0088092F">
        <w:rPr>
          <w:lang w:val="en-CA"/>
        </w:rPr>
        <w:t xml:space="preserve">to replace the previous scheme of administrative segregation </w:t>
      </w:r>
      <w:r w:rsidR="00A54138">
        <w:rPr>
          <w:lang w:val="en-CA"/>
        </w:rPr>
        <w:t>under</w:t>
      </w:r>
      <w:r w:rsidRPr="0088092F">
        <w:rPr>
          <w:lang w:val="en-CA"/>
        </w:rPr>
        <w:t xml:space="preserve"> </w:t>
      </w:r>
      <w:r w:rsidR="00461B74" w:rsidRPr="0088092F">
        <w:rPr>
          <w:lang w:val="en-CA"/>
        </w:rPr>
        <w:t xml:space="preserve">sections 31 </w:t>
      </w:r>
      <w:r w:rsidRPr="0088092F">
        <w:rPr>
          <w:lang w:val="en-CA"/>
        </w:rPr>
        <w:t xml:space="preserve">to </w:t>
      </w:r>
      <w:r w:rsidR="00461B74" w:rsidRPr="0088092F">
        <w:rPr>
          <w:lang w:val="en-CA"/>
        </w:rPr>
        <w:t xml:space="preserve">37 </w:t>
      </w:r>
      <w:r w:rsidRPr="0088092F">
        <w:rPr>
          <w:lang w:val="en-CA"/>
        </w:rPr>
        <w:t xml:space="preserve">by the implementation of </w:t>
      </w:r>
      <w:r w:rsidR="004A06F4" w:rsidRPr="0088092F">
        <w:rPr>
          <w:lang w:val="en-CA"/>
        </w:rPr>
        <w:t xml:space="preserve">structured </w:t>
      </w:r>
      <w:r w:rsidR="00461B74" w:rsidRPr="0088092F">
        <w:rPr>
          <w:lang w:val="en-CA"/>
        </w:rPr>
        <w:t xml:space="preserve">intervention </w:t>
      </w:r>
      <w:r w:rsidR="004A06F4" w:rsidRPr="0088092F">
        <w:rPr>
          <w:lang w:val="en-CA"/>
        </w:rPr>
        <w:t>units</w:t>
      </w:r>
      <w:r w:rsidR="00461B74" w:rsidRPr="0088092F">
        <w:rPr>
          <w:rStyle w:val="Appelnotedebasdep"/>
          <w:lang w:val="en-CA"/>
        </w:rPr>
        <w:footnoteReference w:id="63"/>
      </w:r>
      <w:r w:rsidR="00461B74" w:rsidRPr="0088092F">
        <w:rPr>
          <w:lang w:val="en-CA"/>
        </w:rPr>
        <w:t xml:space="preserve"> (</w:t>
      </w:r>
      <w:r w:rsidR="004A06F4" w:rsidRPr="0088092F">
        <w:rPr>
          <w:lang w:val="en-CA"/>
        </w:rPr>
        <w:t>“</w:t>
      </w:r>
      <w:r w:rsidR="00A54138">
        <w:rPr>
          <w:lang w:val="en-CA"/>
        </w:rPr>
        <w:t>SIU</w:t>
      </w:r>
      <w:r w:rsidR="004A06F4" w:rsidRPr="0088092F">
        <w:rPr>
          <w:lang w:val="en-CA"/>
        </w:rPr>
        <w:t>”</w:t>
      </w:r>
      <w:r w:rsidR="00461B74" w:rsidRPr="0088092F">
        <w:rPr>
          <w:lang w:val="en-CA"/>
        </w:rPr>
        <w:t>).</w:t>
      </w:r>
    </w:p>
    <w:p w14:paraId="0918A23B" w14:textId="77777777" w:rsidR="00461B74" w:rsidRPr="0088092F" w:rsidRDefault="00461B74" w:rsidP="00461B74">
      <w:pPr>
        <w:pStyle w:val="Titre2"/>
        <w:rPr>
          <w:lang w:val="en-CA"/>
        </w:rPr>
      </w:pPr>
      <w:bookmarkStart w:id="50" w:name="_Toc85547019"/>
      <w:r w:rsidRPr="0088092F">
        <w:rPr>
          <w:lang w:val="en-CA"/>
        </w:rPr>
        <w:lastRenderedPageBreak/>
        <w:t>D -</w:t>
      </w:r>
      <w:r w:rsidRPr="0088092F">
        <w:rPr>
          <w:lang w:val="en-CA"/>
        </w:rPr>
        <w:tab/>
      </w:r>
      <w:r w:rsidR="00595501" w:rsidRPr="0088092F">
        <w:rPr>
          <w:lang w:val="en-CA"/>
        </w:rPr>
        <w:t>B</w:t>
      </w:r>
      <w:r w:rsidRPr="0088092F">
        <w:rPr>
          <w:lang w:val="en-CA"/>
        </w:rPr>
        <w:t>ill C-83</w:t>
      </w:r>
      <w:bookmarkEnd w:id="50"/>
    </w:p>
    <w:p w14:paraId="11146BBB" w14:textId="4B9D2F8C" w:rsidR="00461B74" w:rsidRPr="0088092F" w:rsidRDefault="00595501" w:rsidP="00461B74">
      <w:pPr>
        <w:pStyle w:val="Paragraphe"/>
        <w:spacing w:line="280" w:lineRule="exact"/>
        <w:rPr>
          <w:lang w:val="en-CA"/>
        </w:rPr>
      </w:pPr>
      <w:r w:rsidRPr="0088092F">
        <w:rPr>
          <w:lang w:val="en-CA"/>
        </w:rPr>
        <w:t xml:space="preserve">On </w:t>
      </w:r>
      <w:r w:rsidR="00461B74" w:rsidRPr="0088092F">
        <w:rPr>
          <w:lang w:val="en-CA"/>
        </w:rPr>
        <w:t>November</w:t>
      </w:r>
      <w:r w:rsidRPr="0088092F">
        <w:rPr>
          <w:lang w:val="en-CA"/>
        </w:rPr>
        <w:t xml:space="preserve"> 30,</w:t>
      </w:r>
      <w:r w:rsidR="00461B74" w:rsidRPr="0088092F">
        <w:rPr>
          <w:lang w:val="en-CA"/>
        </w:rPr>
        <w:t xml:space="preserve"> 2019, </w:t>
      </w:r>
      <w:r w:rsidRPr="0088092F">
        <w:rPr>
          <w:lang w:val="en-CA"/>
        </w:rPr>
        <w:t>B</w:t>
      </w:r>
      <w:r w:rsidR="00461B74" w:rsidRPr="0088092F">
        <w:rPr>
          <w:lang w:val="en-CA"/>
        </w:rPr>
        <w:t xml:space="preserve">ill C-83 </w:t>
      </w:r>
      <w:r w:rsidRPr="0088092F">
        <w:rPr>
          <w:lang w:val="en-CA"/>
        </w:rPr>
        <w:t>came into force</w:t>
      </w:r>
      <w:r w:rsidR="00461B74" w:rsidRPr="0088092F">
        <w:rPr>
          <w:lang w:val="en-CA"/>
        </w:rPr>
        <w:t xml:space="preserve">. </w:t>
      </w:r>
      <w:r w:rsidR="009A6F5F" w:rsidRPr="0088092F">
        <w:rPr>
          <w:lang w:val="en-CA"/>
        </w:rPr>
        <w:t xml:space="preserve">Its purpose was to protect the mental health of inmates, and it increased the role of </w:t>
      </w:r>
      <w:r w:rsidR="00461B74" w:rsidRPr="0088092F">
        <w:rPr>
          <w:lang w:val="en-CA"/>
        </w:rPr>
        <w:t>health</w:t>
      </w:r>
      <w:r w:rsidR="009A6F5F" w:rsidRPr="0088092F">
        <w:rPr>
          <w:lang w:val="en-CA"/>
        </w:rPr>
        <w:t xml:space="preserve"> </w:t>
      </w:r>
      <w:r w:rsidR="00461B74" w:rsidRPr="0088092F">
        <w:rPr>
          <w:lang w:val="en-CA"/>
        </w:rPr>
        <w:t>care</w:t>
      </w:r>
      <w:r w:rsidR="009A6F5F" w:rsidRPr="0088092F">
        <w:rPr>
          <w:lang w:val="en-CA"/>
        </w:rPr>
        <w:t xml:space="preserve"> professionals in this regard</w:t>
      </w:r>
      <w:r w:rsidR="00461B74" w:rsidRPr="0088092F">
        <w:rPr>
          <w:lang w:val="en-CA"/>
        </w:rPr>
        <w:t>.</w:t>
      </w:r>
    </w:p>
    <w:p w14:paraId="5775A48C" w14:textId="1D0ABF80" w:rsidR="00461B74" w:rsidRPr="0088092F" w:rsidRDefault="009A6F5F" w:rsidP="00461B74">
      <w:pPr>
        <w:pStyle w:val="Paragraphe"/>
        <w:spacing w:line="280" w:lineRule="exact"/>
        <w:rPr>
          <w:rFonts w:cs="Arial"/>
          <w:lang w:val="en-CA"/>
        </w:rPr>
      </w:pPr>
      <w:r w:rsidRPr="0088092F">
        <w:rPr>
          <w:lang w:val="en-CA"/>
        </w:rPr>
        <w:t>Disciplinary solitary confinement was abolished.</w:t>
      </w:r>
      <w:r w:rsidR="00461B74" w:rsidRPr="0088092F">
        <w:rPr>
          <w:rStyle w:val="Appelnotedebasdep"/>
          <w:lang w:val="en-CA"/>
        </w:rPr>
        <w:footnoteReference w:id="64"/>
      </w:r>
      <w:r w:rsidR="00461B74" w:rsidRPr="0088092F">
        <w:rPr>
          <w:lang w:val="en-CA"/>
        </w:rPr>
        <w:t xml:space="preserve"> </w:t>
      </w:r>
    </w:p>
    <w:p w14:paraId="573670DD" w14:textId="775FEC99" w:rsidR="00461B74" w:rsidRPr="0088092F" w:rsidRDefault="00595501" w:rsidP="00461B74">
      <w:pPr>
        <w:pStyle w:val="Paragraphe"/>
        <w:spacing w:line="280" w:lineRule="exact"/>
        <w:rPr>
          <w:rFonts w:cs="Arial"/>
          <w:lang w:val="en-CA"/>
        </w:rPr>
      </w:pPr>
      <w:r w:rsidRPr="0088092F">
        <w:rPr>
          <w:rFonts w:cs="Arial"/>
          <w:lang w:val="en-CA"/>
        </w:rPr>
        <w:t>The purpose of the new</w:t>
      </w:r>
      <w:r w:rsidR="00461B74" w:rsidRPr="0088092F">
        <w:rPr>
          <w:rFonts w:cs="Arial"/>
          <w:lang w:val="en-CA"/>
        </w:rPr>
        <w:t xml:space="preserve"> </w:t>
      </w:r>
      <w:r w:rsidR="009A6F5F" w:rsidRPr="0088092F">
        <w:rPr>
          <w:rFonts w:cs="Arial"/>
          <w:lang w:val="en-CA"/>
        </w:rPr>
        <w:t>system of structured intervention units</w:t>
      </w:r>
      <w:r w:rsidR="00461B74" w:rsidRPr="0088092F">
        <w:rPr>
          <w:rFonts w:cs="Arial"/>
          <w:lang w:val="en-CA"/>
        </w:rPr>
        <w:t xml:space="preserve"> (</w:t>
      </w:r>
      <w:r w:rsidR="009A6F5F" w:rsidRPr="0088092F">
        <w:rPr>
          <w:rFonts w:cs="Arial"/>
          <w:lang w:val="en-CA"/>
        </w:rPr>
        <w:t>“SI</w:t>
      </w:r>
      <w:r w:rsidR="00461B74" w:rsidRPr="0088092F">
        <w:rPr>
          <w:rFonts w:cs="Arial"/>
          <w:lang w:val="en-CA"/>
        </w:rPr>
        <w:t>U</w:t>
      </w:r>
      <w:r w:rsidR="009A6F5F" w:rsidRPr="0088092F">
        <w:rPr>
          <w:rFonts w:cs="Arial"/>
          <w:lang w:val="en-CA"/>
        </w:rPr>
        <w:t>”</w:t>
      </w:r>
      <w:r w:rsidR="00461B74" w:rsidRPr="0088092F">
        <w:rPr>
          <w:rFonts w:cs="Arial"/>
          <w:lang w:val="en-CA"/>
        </w:rPr>
        <w:t xml:space="preserve">) </w:t>
      </w:r>
      <w:r w:rsidRPr="0088092F">
        <w:rPr>
          <w:rFonts w:cs="Arial"/>
          <w:lang w:val="en-CA"/>
        </w:rPr>
        <w:t>is to</w:t>
      </w:r>
      <w:r w:rsidR="00461B74" w:rsidRPr="0088092F">
        <w:rPr>
          <w:rFonts w:cs="Arial"/>
          <w:lang w:val="en-CA"/>
        </w:rPr>
        <w:t xml:space="preserve">: </w:t>
      </w:r>
      <w:r w:rsidRPr="0088092F">
        <w:rPr>
          <w:rFonts w:cs="Arial"/>
          <w:lang w:val="en-CA"/>
        </w:rPr>
        <w:t>(</w:t>
      </w:r>
      <w:r w:rsidR="00461B74" w:rsidRPr="0088092F">
        <w:rPr>
          <w:rFonts w:cs="Arial"/>
          <w:lang w:val="en-CA"/>
        </w:rPr>
        <w:t>1) </w:t>
      </w:r>
      <w:r w:rsidRPr="0088092F">
        <w:rPr>
          <w:rFonts w:cs="Arial"/>
          <w:lang w:val="en-CA"/>
        </w:rPr>
        <w:t>provide an appropriate living environment for an inmate who cannot be maintained in the mainstream inmate population for security or other reasons; and</w:t>
      </w:r>
      <w:r w:rsidR="00461B74" w:rsidRPr="0088092F">
        <w:rPr>
          <w:rFonts w:cs="Arial"/>
          <w:lang w:val="en-CA"/>
        </w:rPr>
        <w:t xml:space="preserve"> </w:t>
      </w:r>
      <w:r w:rsidRPr="0088092F">
        <w:rPr>
          <w:rFonts w:cs="Arial"/>
          <w:lang w:val="en-CA"/>
        </w:rPr>
        <w:t>(</w:t>
      </w:r>
      <w:r w:rsidR="00461B74" w:rsidRPr="0088092F">
        <w:rPr>
          <w:rFonts w:cs="Arial"/>
          <w:lang w:val="en-CA"/>
        </w:rPr>
        <w:t>2) </w:t>
      </w:r>
      <w:r w:rsidRPr="0088092F">
        <w:rPr>
          <w:rFonts w:cs="Arial"/>
          <w:lang w:val="en-CA"/>
        </w:rPr>
        <w:t>provide the inmate with an opportunity for meaningful human contact and an opportunity to participate in programs and to have access to services that respond to the inmate’s specific needs and the risks posed by the inmate.</w:t>
      </w:r>
      <w:r w:rsidR="00461B74" w:rsidRPr="0088092F">
        <w:rPr>
          <w:rStyle w:val="Appelnotedebasdep"/>
          <w:rFonts w:cs="Arial"/>
          <w:lang w:val="en-CA"/>
        </w:rPr>
        <w:footnoteReference w:id="65"/>
      </w:r>
    </w:p>
    <w:p w14:paraId="5E94BE9A" w14:textId="3F3BAA44" w:rsidR="00461B74" w:rsidRPr="0088092F" w:rsidRDefault="00677C48" w:rsidP="00461B74">
      <w:pPr>
        <w:pStyle w:val="Paragraphe"/>
        <w:spacing w:line="280" w:lineRule="exact"/>
        <w:rPr>
          <w:lang w:val="en-CA"/>
        </w:rPr>
      </w:pPr>
      <w:r w:rsidRPr="0088092F">
        <w:rPr>
          <w:lang w:val="en-CA"/>
        </w:rPr>
        <w:t xml:space="preserve">The transfer to </w:t>
      </w:r>
      <w:r w:rsidR="00C77BBB">
        <w:rPr>
          <w:lang w:val="en-CA"/>
        </w:rPr>
        <w:t>an SIU</w:t>
      </w:r>
      <w:r w:rsidRPr="0088092F">
        <w:rPr>
          <w:lang w:val="en-CA"/>
        </w:rPr>
        <w:t xml:space="preserve"> is now justified by </w:t>
      </w:r>
      <w:r w:rsidR="00461B74" w:rsidRPr="0088092F">
        <w:rPr>
          <w:lang w:val="en-CA"/>
        </w:rPr>
        <w:t>grounds similar</w:t>
      </w:r>
      <w:r w:rsidRPr="0088092F">
        <w:rPr>
          <w:lang w:val="en-CA"/>
        </w:rPr>
        <w:t xml:space="preserve"> to those set out in the previous </w:t>
      </w:r>
      <w:r w:rsidR="00461B74" w:rsidRPr="0088092F">
        <w:rPr>
          <w:lang w:val="en-CA"/>
        </w:rPr>
        <w:t>legislation</w:t>
      </w:r>
      <w:r w:rsidRPr="0088092F">
        <w:rPr>
          <w:lang w:val="en-CA"/>
        </w:rPr>
        <w:t>,</w:t>
      </w:r>
      <w:r w:rsidR="00461B74" w:rsidRPr="0088092F">
        <w:rPr>
          <w:rStyle w:val="Appelnotedebasdep"/>
          <w:lang w:val="en-CA"/>
        </w:rPr>
        <w:footnoteReference w:id="66"/>
      </w:r>
      <w:r w:rsidR="00461B74" w:rsidRPr="0088092F">
        <w:rPr>
          <w:lang w:val="en-CA"/>
        </w:rPr>
        <w:t xml:space="preserve"> </w:t>
      </w:r>
      <w:r w:rsidRPr="0088092F">
        <w:rPr>
          <w:lang w:val="en-CA"/>
        </w:rPr>
        <w:t xml:space="preserve">and </w:t>
      </w:r>
      <w:r w:rsidR="006C06E9">
        <w:rPr>
          <w:lang w:val="en-CA"/>
        </w:rPr>
        <w:t>must end as soon</w:t>
      </w:r>
      <w:r w:rsidRPr="0088092F">
        <w:rPr>
          <w:lang w:val="en-CA"/>
        </w:rPr>
        <w:t xml:space="preserve"> as </w:t>
      </w:r>
      <w:r w:rsidR="00461B74" w:rsidRPr="0088092F">
        <w:rPr>
          <w:lang w:val="en-CA"/>
        </w:rPr>
        <w:t>possible</w:t>
      </w:r>
      <w:r w:rsidRPr="0088092F">
        <w:rPr>
          <w:lang w:val="en-CA"/>
        </w:rPr>
        <w:t>.</w:t>
      </w:r>
      <w:r w:rsidR="00461B74" w:rsidRPr="0088092F">
        <w:rPr>
          <w:rStyle w:val="Appelnotedebasdep"/>
          <w:lang w:val="en-CA"/>
        </w:rPr>
        <w:footnoteReference w:id="67"/>
      </w:r>
      <w:r w:rsidR="00461B74" w:rsidRPr="0088092F">
        <w:rPr>
          <w:lang w:val="en-CA"/>
        </w:rPr>
        <w:t xml:space="preserve"> </w:t>
      </w:r>
      <w:r w:rsidRPr="0088092F">
        <w:rPr>
          <w:lang w:val="en-CA"/>
        </w:rPr>
        <w:t xml:space="preserve">Transfer to </w:t>
      </w:r>
      <w:r w:rsidR="00C77BBB">
        <w:rPr>
          <w:lang w:val="en-CA"/>
        </w:rPr>
        <w:t>an SIU</w:t>
      </w:r>
      <w:r w:rsidRPr="0088092F">
        <w:rPr>
          <w:lang w:val="en-CA"/>
        </w:rPr>
        <w:t xml:space="preserve"> </w:t>
      </w:r>
      <w:r w:rsidR="00C31B7C" w:rsidRPr="0088092F">
        <w:rPr>
          <w:lang w:val="en-CA"/>
        </w:rPr>
        <w:t>is first ordered by the institutional head,</w:t>
      </w:r>
      <w:r w:rsidR="00461B74" w:rsidRPr="0088092F">
        <w:rPr>
          <w:rStyle w:val="Appelnotedebasdep"/>
          <w:lang w:val="en-CA"/>
        </w:rPr>
        <w:footnoteReference w:id="68"/>
      </w:r>
      <w:r w:rsidR="00C31B7C" w:rsidRPr="0088092F">
        <w:rPr>
          <w:lang w:val="en-CA"/>
        </w:rPr>
        <w:t xml:space="preserve"> who has an </w:t>
      </w:r>
      <w:r w:rsidR="00461B74" w:rsidRPr="0088092F">
        <w:rPr>
          <w:lang w:val="en-CA"/>
        </w:rPr>
        <w:t>obligation</w:t>
      </w:r>
      <w:r w:rsidR="00C31B7C" w:rsidRPr="0088092F">
        <w:rPr>
          <w:lang w:val="en-CA"/>
        </w:rPr>
        <w:t xml:space="preserve"> to review the </w:t>
      </w:r>
      <w:r w:rsidR="00461B74" w:rsidRPr="0088092F">
        <w:rPr>
          <w:lang w:val="en-CA"/>
        </w:rPr>
        <w:t>decision</w:t>
      </w:r>
      <w:r w:rsidR="00C31B7C" w:rsidRPr="0088092F">
        <w:rPr>
          <w:lang w:val="en-CA"/>
        </w:rPr>
        <w:t xml:space="preserve"> within five days,</w:t>
      </w:r>
      <w:r w:rsidR="00461B74" w:rsidRPr="0088092F">
        <w:rPr>
          <w:rStyle w:val="Appelnotedebasdep"/>
          <w:lang w:val="en-CA"/>
        </w:rPr>
        <w:footnoteReference w:id="69"/>
      </w:r>
      <w:r w:rsidR="00461B74" w:rsidRPr="0088092F">
        <w:rPr>
          <w:lang w:val="en-CA"/>
        </w:rPr>
        <w:t xml:space="preserve"> </w:t>
      </w:r>
      <w:r w:rsidR="00C31B7C" w:rsidRPr="0088092F">
        <w:rPr>
          <w:lang w:val="en-CA"/>
        </w:rPr>
        <w:t xml:space="preserve">and, </w:t>
      </w:r>
      <w:r w:rsidR="00461B74" w:rsidRPr="0088092F">
        <w:rPr>
          <w:lang w:val="en-CA"/>
        </w:rPr>
        <w:t xml:space="preserve">subsequently, </w:t>
      </w:r>
      <w:r w:rsidR="00C31B7C" w:rsidRPr="0088092F">
        <w:rPr>
          <w:lang w:val="en-CA"/>
        </w:rPr>
        <w:t>at least every thirty days,</w:t>
      </w:r>
      <w:r w:rsidR="00461B74" w:rsidRPr="0088092F">
        <w:rPr>
          <w:rStyle w:val="Appelnotedebasdep"/>
          <w:lang w:val="en-CA"/>
        </w:rPr>
        <w:footnoteReference w:id="70"/>
      </w:r>
      <w:r w:rsidR="00C31B7C" w:rsidRPr="0088092F">
        <w:rPr>
          <w:lang w:val="en-CA"/>
        </w:rPr>
        <w:t xml:space="preserve"> with the </w:t>
      </w:r>
      <w:r w:rsidR="00461B74" w:rsidRPr="0088092F">
        <w:rPr>
          <w:lang w:val="en-CA"/>
        </w:rPr>
        <w:t xml:space="preserve">assistance </w:t>
      </w:r>
      <w:r w:rsidR="00C31B7C" w:rsidRPr="0088092F">
        <w:rPr>
          <w:lang w:val="en-CA"/>
        </w:rPr>
        <w:t xml:space="preserve">of a structured intervention unit committee </w:t>
      </w:r>
      <w:r w:rsidR="00EE3C87" w:rsidRPr="0088092F">
        <w:rPr>
          <w:lang w:val="en-CA"/>
        </w:rPr>
        <w:t>made up of members appointed by the institutional head.</w:t>
      </w:r>
      <w:r w:rsidR="00461B74" w:rsidRPr="0088092F">
        <w:rPr>
          <w:rStyle w:val="Appelnotedebasdep"/>
          <w:lang w:val="en-CA"/>
        </w:rPr>
        <w:footnoteReference w:id="71"/>
      </w:r>
    </w:p>
    <w:p w14:paraId="0B60FE81" w14:textId="7281B166" w:rsidR="00461B74" w:rsidRPr="0088092F" w:rsidRDefault="001F0E5E" w:rsidP="00461B74">
      <w:pPr>
        <w:pStyle w:val="Paragraphe"/>
        <w:spacing w:line="280" w:lineRule="exact"/>
        <w:rPr>
          <w:lang w:val="en-CA"/>
        </w:rPr>
      </w:pPr>
      <w:r w:rsidRPr="0088092F">
        <w:rPr>
          <w:lang w:val="en-CA"/>
        </w:rPr>
        <w:t xml:space="preserve">However, s. </w:t>
      </w:r>
      <w:r w:rsidR="00461B74" w:rsidRPr="0088092F">
        <w:rPr>
          <w:lang w:val="en-CA"/>
        </w:rPr>
        <w:t xml:space="preserve">36 </w:t>
      </w:r>
      <w:r w:rsidRPr="0088092F">
        <w:rPr>
          <w:lang w:val="en-CA"/>
        </w:rPr>
        <w:t xml:space="preserve">of the </w:t>
      </w:r>
      <w:r w:rsidR="00D45771" w:rsidRPr="0088092F">
        <w:rPr>
          <w:i/>
          <w:iCs/>
          <w:lang w:val="en-CA"/>
        </w:rPr>
        <w:t>CCRA</w:t>
      </w:r>
      <w:r w:rsidR="00461B74" w:rsidRPr="0088092F">
        <w:rPr>
          <w:lang w:val="en-CA"/>
        </w:rPr>
        <w:t xml:space="preserve"> </w:t>
      </w:r>
      <w:r w:rsidRPr="0088092F">
        <w:rPr>
          <w:lang w:val="en-CA"/>
        </w:rPr>
        <w:t xml:space="preserve">now provides a stricter framework governing the minimum </w:t>
      </w:r>
      <w:r w:rsidR="00461B74" w:rsidRPr="0088092F">
        <w:rPr>
          <w:lang w:val="en-CA"/>
        </w:rPr>
        <w:t xml:space="preserve">conditions </w:t>
      </w:r>
      <w:r w:rsidRPr="0088092F">
        <w:rPr>
          <w:lang w:val="en-CA"/>
        </w:rPr>
        <w:t xml:space="preserve">of such </w:t>
      </w:r>
      <w:r w:rsidR="00461B74" w:rsidRPr="0088092F">
        <w:rPr>
          <w:lang w:val="en-CA"/>
        </w:rPr>
        <w:t>incarc</w:t>
      </w:r>
      <w:r w:rsidRPr="0088092F">
        <w:rPr>
          <w:lang w:val="en-CA"/>
        </w:rPr>
        <w:t>e</w:t>
      </w:r>
      <w:r w:rsidR="00461B74" w:rsidRPr="0088092F">
        <w:rPr>
          <w:lang w:val="en-CA"/>
        </w:rPr>
        <w:t>ration</w:t>
      </w:r>
      <w:r w:rsidRPr="0088092F">
        <w:rPr>
          <w:lang w:val="en-CA"/>
        </w:rPr>
        <w:t>. It provides the inmate with</w:t>
      </w:r>
      <w:r w:rsidR="00461B74" w:rsidRPr="0088092F">
        <w:rPr>
          <w:lang w:val="en-CA"/>
        </w:rPr>
        <w:t xml:space="preserve">: </w:t>
      </w:r>
      <w:r w:rsidRPr="0088092F">
        <w:rPr>
          <w:lang w:val="en-CA"/>
        </w:rPr>
        <w:t>(</w:t>
      </w:r>
      <w:r w:rsidR="00461B74" w:rsidRPr="0088092F">
        <w:rPr>
          <w:lang w:val="en-CA"/>
        </w:rPr>
        <w:t xml:space="preserve">1) </w:t>
      </w:r>
      <w:r w:rsidRPr="0088092F">
        <w:rPr>
          <w:lang w:val="en-CA"/>
        </w:rPr>
        <w:t xml:space="preserve">the </w:t>
      </w:r>
      <w:r w:rsidR="00461B74" w:rsidRPr="0088092F">
        <w:rPr>
          <w:lang w:val="en-CA"/>
        </w:rPr>
        <w:t>right</w:t>
      </w:r>
      <w:r w:rsidRPr="0088092F">
        <w:rPr>
          <w:lang w:val="en-CA"/>
        </w:rPr>
        <w:t xml:space="preserve"> to spend a minimum of four hours </w:t>
      </w:r>
      <w:r w:rsidR="009B7667" w:rsidRPr="0088092F">
        <w:rPr>
          <w:lang w:val="en-CA"/>
        </w:rPr>
        <w:t>outside</w:t>
      </w:r>
      <w:r w:rsidRPr="0088092F">
        <w:rPr>
          <w:lang w:val="en-CA"/>
        </w:rPr>
        <w:t xml:space="preserve"> of his or her cell, and </w:t>
      </w:r>
      <w:r w:rsidR="00514079" w:rsidRPr="0088092F">
        <w:rPr>
          <w:lang w:val="en-CA"/>
        </w:rPr>
        <w:t>(</w:t>
      </w:r>
      <w:r w:rsidR="00461B74" w:rsidRPr="0088092F">
        <w:rPr>
          <w:lang w:val="en-CA"/>
        </w:rPr>
        <w:t>2)</w:t>
      </w:r>
      <w:r w:rsidR="00514079" w:rsidRPr="0088092F">
        <w:rPr>
          <w:lang w:val="en-CA"/>
        </w:rPr>
        <w:t xml:space="preserve"> the opportunity to interact with others for a minimum of two hours</w:t>
      </w:r>
      <w:r w:rsidR="00461B74" w:rsidRPr="0088092F">
        <w:rPr>
          <w:lang w:val="en-CA"/>
        </w:rPr>
        <w:t xml:space="preserve">. </w:t>
      </w:r>
      <w:r w:rsidR="00514079" w:rsidRPr="0088092F">
        <w:rPr>
          <w:lang w:val="en-CA"/>
        </w:rPr>
        <w:t xml:space="preserve">The inmate may refuse </w:t>
      </w:r>
      <w:r w:rsidR="00336CFB" w:rsidRPr="0088092F">
        <w:rPr>
          <w:lang w:val="en-CA"/>
        </w:rPr>
        <w:t>these opportunities or may be denied them if the inmate does not comply with reasonable instructions to ensure the inmate’s safety or that of the other inmates</w:t>
      </w:r>
      <w:r w:rsidR="00461B74" w:rsidRPr="0088092F">
        <w:rPr>
          <w:lang w:val="en-CA"/>
        </w:rPr>
        <w:t>.</w:t>
      </w:r>
    </w:p>
    <w:p w14:paraId="23104533" w14:textId="6441911E" w:rsidR="00461B74" w:rsidRPr="0088092F" w:rsidRDefault="00A52522" w:rsidP="00461B74">
      <w:pPr>
        <w:pStyle w:val="Paragraphe"/>
        <w:spacing w:line="280" w:lineRule="exact"/>
        <w:rPr>
          <w:lang w:val="en-CA"/>
        </w:rPr>
      </w:pPr>
      <w:r w:rsidRPr="0088092F">
        <w:rPr>
          <w:lang w:val="en-CA"/>
        </w:rPr>
        <w:t xml:space="preserve">The </w:t>
      </w:r>
      <w:r w:rsidR="00461B74" w:rsidRPr="0088092F">
        <w:rPr>
          <w:lang w:val="en-CA"/>
        </w:rPr>
        <w:t>mental</w:t>
      </w:r>
      <w:r w:rsidRPr="0088092F">
        <w:rPr>
          <w:lang w:val="en-CA"/>
        </w:rPr>
        <w:t xml:space="preserve"> </w:t>
      </w:r>
      <w:r w:rsidR="00461B74" w:rsidRPr="0088092F">
        <w:rPr>
          <w:lang w:val="en-CA"/>
        </w:rPr>
        <w:t>health</w:t>
      </w:r>
      <w:r w:rsidRPr="0088092F">
        <w:rPr>
          <w:lang w:val="en-CA"/>
        </w:rPr>
        <w:t xml:space="preserve"> of inmate</w:t>
      </w:r>
      <w:r w:rsidR="00BF538C" w:rsidRPr="0088092F">
        <w:rPr>
          <w:lang w:val="en-CA"/>
        </w:rPr>
        <w:t>s</w:t>
      </w:r>
      <w:r w:rsidRPr="0088092F">
        <w:rPr>
          <w:lang w:val="en-CA"/>
        </w:rPr>
        <w:t xml:space="preserve"> placed in </w:t>
      </w:r>
      <w:r w:rsidR="00C77BBB">
        <w:rPr>
          <w:lang w:val="en-CA"/>
        </w:rPr>
        <w:t>an SIU</w:t>
      </w:r>
      <w:r w:rsidR="00BF538C" w:rsidRPr="0088092F">
        <w:rPr>
          <w:lang w:val="en-CA"/>
        </w:rPr>
        <w:t xml:space="preserve"> must be assessed, and a health care professional must visit the inmate once every day.</w:t>
      </w:r>
      <w:r w:rsidR="00461B74" w:rsidRPr="0088092F">
        <w:rPr>
          <w:rStyle w:val="Appelnotedebasdep"/>
          <w:lang w:val="en-CA"/>
        </w:rPr>
        <w:footnoteReference w:id="72"/>
      </w:r>
      <w:r w:rsidR="00461B74" w:rsidRPr="0088092F">
        <w:rPr>
          <w:lang w:val="en-CA"/>
        </w:rPr>
        <w:t xml:space="preserve">  </w:t>
      </w:r>
    </w:p>
    <w:p w14:paraId="423B810E" w14:textId="7C6B8CE4" w:rsidR="00461B74" w:rsidRPr="0088092F" w:rsidRDefault="00595501" w:rsidP="00461B74">
      <w:pPr>
        <w:pStyle w:val="Paragraphe"/>
        <w:spacing w:line="280" w:lineRule="exact"/>
        <w:rPr>
          <w:rFonts w:cs="Arial"/>
          <w:lang w:val="en-CA"/>
        </w:rPr>
      </w:pPr>
      <w:r w:rsidRPr="0088092F">
        <w:rPr>
          <w:rFonts w:cs="Arial"/>
          <w:lang w:val="en-CA"/>
        </w:rPr>
        <w:lastRenderedPageBreak/>
        <w:t xml:space="preserve">Moreover, if the confinement of an inmate in a structured intervention unit is having detrimental impacts on the inmate’s health, the inmate’s case </w:t>
      </w:r>
      <w:r w:rsidR="00BF538C" w:rsidRPr="0088092F">
        <w:rPr>
          <w:rFonts w:cs="Arial"/>
          <w:lang w:val="en-CA"/>
        </w:rPr>
        <w:t>can</w:t>
      </w:r>
      <w:r w:rsidRPr="0088092F">
        <w:rPr>
          <w:rFonts w:cs="Arial"/>
          <w:lang w:val="en-CA"/>
        </w:rPr>
        <w:t xml:space="preserve"> be referred to the portion of the </w:t>
      </w:r>
      <w:r w:rsidR="00BF538C" w:rsidRPr="0088092F">
        <w:rPr>
          <w:rFonts w:cs="Arial"/>
          <w:lang w:val="en-CA"/>
        </w:rPr>
        <w:t>s</w:t>
      </w:r>
      <w:r w:rsidRPr="0088092F">
        <w:rPr>
          <w:rFonts w:cs="Arial"/>
          <w:lang w:val="en-CA"/>
        </w:rPr>
        <w:t>ervice that administers health care.</w:t>
      </w:r>
      <w:r w:rsidR="00461B74" w:rsidRPr="0088092F">
        <w:rPr>
          <w:rStyle w:val="Appelnotedebasdep"/>
          <w:lang w:val="en-CA"/>
        </w:rPr>
        <w:footnoteReference w:id="73"/>
      </w:r>
      <w:r w:rsidR="00461B74" w:rsidRPr="0088092F">
        <w:rPr>
          <w:rFonts w:cs="Arial"/>
          <w:lang w:val="en-CA"/>
        </w:rPr>
        <w:t> </w:t>
      </w:r>
    </w:p>
    <w:p w14:paraId="7FD2D385" w14:textId="3E62FC1F" w:rsidR="00461B74" w:rsidRPr="0088092F" w:rsidRDefault="00B5387C" w:rsidP="00461B74">
      <w:pPr>
        <w:pStyle w:val="Paragraphe"/>
        <w:spacing w:line="280" w:lineRule="exact"/>
        <w:rPr>
          <w:lang w:val="en-CA"/>
        </w:rPr>
      </w:pPr>
      <w:r w:rsidRPr="0088092F">
        <w:rPr>
          <w:lang w:val="en-CA"/>
        </w:rPr>
        <w:t xml:space="preserve">The </w:t>
      </w:r>
      <w:r w:rsidR="00D45771" w:rsidRPr="0088092F">
        <w:rPr>
          <w:i/>
          <w:iCs/>
          <w:lang w:val="en-CA"/>
        </w:rPr>
        <w:t>CCRA</w:t>
      </w:r>
      <w:r w:rsidR="00461B74" w:rsidRPr="0088092F">
        <w:rPr>
          <w:lang w:val="en-CA"/>
        </w:rPr>
        <w:t xml:space="preserve"> </w:t>
      </w:r>
      <w:r w:rsidR="00BD6016" w:rsidRPr="0088092F">
        <w:rPr>
          <w:lang w:val="en-CA"/>
        </w:rPr>
        <w:t>provides a new review mecha</w:t>
      </w:r>
      <w:r w:rsidR="00461B74" w:rsidRPr="0088092F">
        <w:rPr>
          <w:lang w:val="en-CA"/>
        </w:rPr>
        <w:t>nism</w:t>
      </w:r>
      <w:r w:rsidR="00BD6016" w:rsidRPr="0088092F">
        <w:rPr>
          <w:lang w:val="en-CA"/>
        </w:rPr>
        <w:t xml:space="preserve"> of the decision to transfer an inmate to </w:t>
      </w:r>
      <w:r w:rsidR="00C77BBB">
        <w:rPr>
          <w:lang w:val="en-CA"/>
        </w:rPr>
        <w:t>an SIU</w:t>
      </w:r>
      <w:r w:rsidR="00BD6016" w:rsidRPr="0088092F">
        <w:rPr>
          <w:lang w:val="en-CA"/>
        </w:rPr>
        <w:t xml:space="preserve"> and of the detention </w:t>
      </w:r>
      <w:r w:rsidR="00461B74" w:rsidRPr="0088092F">
        <w:rPr>
          <w:lang w:val="en-CA"/>
        </w:rPr>
        <w:t xml:space="preserve">conditions </w:t>
      </w:r>
      <w:r w:rsidR="00BD6016" w:rsidRPr="0088092F">
        <w:rPr>
          <w:lang w:val="en-CA"/>
        </w:rPr>
        <w:t>that are maintained</w:t>
      </w:r>
      <w:r w:rsidR="000008EB" w:rsidRPr="0088092F">
        <w:rPr>
          <w:lang w:val="en-CA"/>
        </w:rPr>
        <w:t xml:space="preserve"> in the SIU</w:t>
      </w:r>
      <w:r w:rsidR="00BD6016" w:rsidRPr="0088092F">
        <w:rPr>
          <w:lang w:val="en-CA"/>
        </w:rPr>
        <w:t>, while further specifying the factors the decision-makers must take into account in this regard.</w:t>
      </w:r>
      <w:r w:rsidR="00461B74" w:rsidRPr="0088092F">
        <w:rPr>
          <w:rStyle w:val="Appelnotedebasdep"/>
          <w:lang w:val="en-CA"/>
        </w:rPr>
        <w:footnoteReference w:id="74"/>
      </w:r>
      <w:r w:rsidR="00461B74" w:rsidRPr="0088092F">
        <w:rPr>
          <w:lang w:val="en-CA"/>
        </w:rPr>
        <w:t xml:space="preserve"> </w:t>
      </w:r>
    </w:p>
    <w:p w14:paraId="56098290" w14:textId="0F62A0D7" w:rsidR="00461B74" w:rsidRPr="0088092F" w:rsidRDefault="00BD6016" w:rsidP="00461B74">
      <w:pPr>
        <w:pStyle w:val="Paragraphe"/>
        <w:spacing w:line="280" w:lineRule="exact"/>
        <w:rPr>
          <w:lang w:val="en-CA"/>
        </w:rPr>
      </w:pPr>
      <w:r w:rsidRPr="0088092F">
        <w:rPr>
          <w:lang w:val="en-CA"/>
        </w:rPr>
        <w:t xml:space="preserve">Thus, a health care </w:t>
      </w:r>
      <w:r w:rsidR="00461B74" w:rsidRPr="0088092F">
        <w:rPr>
          <w:lang w:val="en-CA"/>
        </w:rPr>
        <w:t>profession</w:t>
      </w:r>
      <w:r w:rsidRPr="0088092F">
        <w:rPr>
          <w:lang w:val="en-CA"/>
        </w:rPr>
        <w:t>a</w:t>
      </w:r>
      <w:r w:rsidR="00461B74" w:rsidRPr="0088092F">
        <w:rPr>
          <w:lang w:val="en-CA"/>
        </w:rPr>
        <w:t>l</w:t>
      </w:r>
      <w:r w:rsidRPr="0088092F">
        <w:rPr>
          <w:lang w:val="en-CA"/>
        </w:rPr>
        <w:t xml:space="preserve"> may, at any time, make a recommendation to the institutional head that the conditions of confinement in </w:t>
      </w:r>
      <w:r w:rsidR="00C77BBB">
        <w:rPr>
          <w:lang w:val="en-CA"/>
        </w:rPr>
        <w:t>an SIU</w:t>
      </w:r>
      <w:r w:rsidRPr="0088092F">
        <w:rPr>
          <w:lang w:val="en-CA"/>
        </w:rPr>
        <w:t xml:space="preserve"> be altered or that confinement in </w:t>
      </w:r>
      <w:r w:rsidR="00C77BBB">
        <w:rPr>
          <w:lang w:val="en-CA"/>
        </w:rPr>
        <w:t>an SIU</w:t>
      </w:r>
      <w:r w:rsidRPr="0088092F">
        <w:rPr>
          <w:lang w:val="en-CA"/>
        </w:rPr>
        <w:t xml:space="preserve"> cease</w:t>
      </w:r>
      <w:r w:rsidR="00461B74" w:rsidRPr="0088092F">
        <w:rPr>
          <w:rStyle w:val="Appelnotedebasdep"/>
          <w:lang w:val="en-CA"/>
        </w:rPr>
        <w:footnoteReference w:id="75"/>
      </w:r>
      <w:r w:rsidR="005E1D30" w:rsidRPr="0088092F">
        <w:rPr>
          <w:lang w:val="en-CA"/>
        </w:rPr>
        <w:t xml:space="preserve"> if the health care professional is of the view that confinement in </w:t>
      </w:r>
      <w:r w:rsidR="00C77BBB">
        <w:rPr>
          <w:lang w:val="en-CA"/>
        </w:rPr>
        <w:t>an SIU</w:t>
      </w:r>
      <w:r w:rsidR="005E1D30" w:rsidRPr="0088092F">
        <w:rPr>
          <w:lang w:val="en-CA"/>
        </w:rPr>
        <w:t xml:space="preserve"> or the conditions of such confinement pose a risk for the inmate’s health. The institutional head must the</w:t>
      </w:r>
      <w:r w:rsidR="000E6EB3">
        <w:rPr>
          <w:lang w:val="en-CA"/>
        </w:rPr>
        <w:t>n</w:t>
      </w:r>
      <w:r w:rsidR="005E1D30" w:rsidRPr="0088092F">
        <w:rPr>
          <w:lang w:val="en-CA"/>
        </w:rPr>
        <w:t xml:space="preserve"> reassess the </w:t>
      </w:r>
      <w:r w:rsidR="00461B74" w:rsidRPr="0088092F">
        <w:rPr>
          <w:lang w:val="en-CA"/>
        </w:rPr>
        <w:t xml:space="preserve">situation </w:t>
      </w:r>
      <w:r w:rsidR="005E1D30" w:rsidRPr="0088092F">
        <w:rPr>
          <w:lang w:val="en-CA"/>
        </w:rPr>
        <w:t>as soon as practicable.</w:t>
      </w:r>
      <w:r w:rsidR="00461B74" w:rsidRPr="0088092F">
        <w:rPr>
          <w:rStyle w:val="Appelnotedebasdep"/>
          <w:lang w:val="en-CA"/>
        </w:rPr>
        <w:footnoteReference w:id="76"/>
      </w:r>
      <w:r w:rsidR="00461B74" w:rsidRPr="0088092F">
        <w:rPr>
          <w:lang w:val="en-CA"/>
        </w:rPr>
        <w:t xml:space="preserve"> </w:t>
      </w:r>
    </w:p>
    <w:p w14:paraId="45E2A1DC" w14:textId="651EBA96" w:rsidR="00461B74" w:rsidRPr="0088092F" w:rsidRDefault="005B68BA" w:rsidP="00461B74">
      <w:pPr>
        <w:pStyle w:val="Paragraphe"/>
        <w:spacing w:line="280" w:lineRule="exact"/>
        <w:rPr>
          <w:lang w:val="en-CA"/>
        </w:rPr>
      </w:pPr>
      <w:r w:rsidRPr="0088092F">
        <w:rPr>
          <w:lang w:val="en-CA"/>
        </w:rPr>
        <w:t xml:space="preserve">Refusing to follow the recommendation of the </w:t>
      </w:r>
      <w:r w:rsidR="00461B74" w:rsidRPr="0088092F">
        <w:rPr>
          <w:lang w:val="en-CA"/>
        </w:rPr>
        <w:t>health</w:t>
      </w:r>
      <w:r w:rsidRPr="0088092F">
        <w:rPr>
          <w:lang w:val="en-CA"/>
        </w:rPr>
        <w:t xml:space="preserve"> </w:t>
      </w:r>
      <w:r w:rsidR="00461B74" w:rsidRPr="0088092F">
        <w:rPr>
          <w:lang w:val="en-CA"/>
        </w:rPr>
        <w:t>care</w:t>
      </w:r>
      <w:r w:rsidRPr="0088092F">
        <w:rPr>
          <w:lang w:val="en-CA"/>
        </w:rPr>
        <w:t xml:space="preserve"> professional gives rise to </w:t>
      </w:r>
      <w:r w:rsidR="000E6EB3">
        <w:rPr>
          <w:lang w:val="en-CA"/>
        </w:rPr>
        <w:t>a</w:t>
      </w:r>
      <w:r w:rsidR="000E6EB3" w:rsidRPr="0088092F">
        <w:rPr>
          <w:lang w:val="en-CA"/>
        </w:rPr>
        <w:t xml:space="preserve"> </w:t>
      </w:r>
      <w:r w:rsidRPr="0088092F">
        <w:rPr>
          <w:lang w:val="en-CA"/>
        </w:rPr>
        <w:t>reassessment of the inmate’s s</w:t>
      </w:r>
      <w:r w:rsidR="00461B74" w:rsidRPr="0088092F">
        <w:rPr>
          <w:lang w:val="en-CA"/>
        </w:rPr>
        <w:t xml:space="preserve">ituation </w:t>
      </w:r>
      <w:r w:rsidRPr="0088092F">
        <w:rPr>
          <w:lang w:val="en-CA"/>
        </w:rPr>
        <w:t>by a committee consisting of staff members who hold a position higher in rank than the institutional head,</w:t>
      </w:r>
      <w:r w:rsidR="00461B74" w:rsidRPr="0088092F">
        <w:rPr>
          <w:rStyle w:val="Appelnotedebasdep"/>
          <w:lang w:val="en-CA"/>
        </w:rPr>
        <w:footnoteReference w:id="77"/>
      </w:r>
      <w:r w:rsidRPr="0088092F">
        <w:rPr>
          <w:lang w:val="en-CA"/>
        </w:rPr>
        <w:t>and, finally, in the event that the alteration of the inmate’s situation is again refused, by an independent external decision-maker.</w:t>
      </w:r>
      <w:r w:rsidR="00461B74" w:rsidRPr="0088092F">
        <w:rPr>
          <w:rStyle w:val="Appelnotedebasdep"/>
          <w:lang w:val="en-CA"/>
        </w:rPr>
        <w:footnoteReference w:id="78"/>
      </w:r>
    </w:p>
    <w:p w14:paraId="22683CB5" w14:textId="16A2B33A" w:rsidR="00461B74" w:rsidRPr="0088092F" w:rsidRDefault="00461B74" w:rsidP="00461B74">
      <w:pPr>
        <w:pStyle w:val="Titre2"/>
        <w:ind w:left="709" w:hanging="709"/>
        <w:rPr>
          <w:lang w:val="en-CA"/>
        </w:rPr>
      </w:pPr>
      <w:bookmarkStart w:id="51" w:name="_Toc85547020"/>
      <w:r w:rsidRPr="0088092F">
        <w:rPr>
          <w:lang w:val="en-CA"/>
        </w:rPr>
        <w:t>E -</w:t>
      </w:r>
      <w:r w:rsidRPr="0088092F">
        <w:rPr>
          <w:lang w:val="en-CA"/>
        </w:rPr>
        <w:tab/>
      </w:r>
      <w:r w:rsidR="00595501" w:rsidRPr="0088092F">
        <w:rPr>
          <w:lang w:val="en-CA"/>
        </w:rPr>
        <w:t>Quebec correctional law</w:t>
      </w:r>
      <w:r w:rsidR="005B68BA" w:rsidRPr="0088092F">
        <w:rPr>
          <w:lang w:val="en-CA"/>
        </w:rPr>
        <w:t>:</w:t>
      </w:r>
      <w:r w:rsidRPr="0088092F">
        <w:rPr>
          <w:lang w:val="en-CA"/>
        </w:rPr>
        <w:t xml:space="preserve"> </w:t>
      </w:r>
      <w:r w:rsidR="005B68BA" w:rsidRPr="0088092F">
        <w:rPr>
          <w:lang w:val="en-CA"/>
        </w:rPr>
        <w:t xml:space="preserve">solitary confinement and the </w:t>
      </w:r>
      <w:r w:rsidRPr="0088092F">
        <w:rPr>
          <w:lang w:val="en-CA"/>
        </w:rPr>
        <w:t xml:space="preserve">protection </w:t>
      </w:r>
      <w:r w:rsidR="005B68BA" w:rsidRPr="0088092F">
        <w:rPr>
          <w:lang w:val="en-CA"/>
        </w:rPr>
        <w:t xml:space="preserve">of inmates’ </w:t>
      </w:r>
      <w:r w:rsidRPr="0088092F">
        <w:rPr>
          <w:lang w:val="en-CA"/>
        </w:rPr>
        <w:t>mental</w:t>
      </w:r>
      <w:r w:rsidR="005B68BA" w:rsidRPr="0088092F">
        <w:rPr>
          <w:lang w:val="en-CA"/>
        </w:rPr>
        <w:t xml:space="preserve"> </w:t>
      </w:r>
      <w:r w:rsidRPr="0088092F">
        <w:rPr>
          <w:lang w:val="en-CA"/>
        </w:rPr>
        <w:t>health</w:t>
      </w:r>
      <w:bookmarkEnd w:id="51"/>
    </w:p>
    <w:p w14:paraId="13ED9FAF" w14:textId="5F955C1D" w:rsidR="00461B74" w:rsidRPr="0088092F" w:rsidRDefault="00C63F88" w:rsidP="00461B74">
      <w:pPr>
        <w:pStyle w:val="Paragraphe"/>
        <w:spacing w:line="280" w:lineRule="exact"/>
        <w:rPr>
          <w:lang w:val="en-CA"/>
        </w:rPr>
      </w:pPr>
      <w:r>
        <w:rPr>
          <w:lang w:val="en-CA"/>
        </w:rPr>
        <w:t>Under</w:t>
      </w:r>
      <w:r w:rsidR="00CD697F" w:rsidRPr="0088092F">
        <w:rPr>
          <w:lang w:val="en-CA"/>
        </w:rPr>
        <w:t xml:space="preserve"> Quebec </w:t>
      </w:r>
      <w:r w:rsidR="00461B74" w:rsidRPr="0088092F">
        <w:rPr>
          <w:lang w:val="en-CA"/>
        </w:rPr>
        <w:t>correction</w:t>
      </w:r>
      <w:r w:rsidR="00CD697F" w:rsidRPr="0088092F">
        <w:rPr>
          <w:lang w:val="en-CA"/>
        </w:rPr>
        <w:t>a</w:t>
      </w:r>
      <w:r w:rsidR="00461B74" w:rsidRPr="0088092F">
        <w:rPr>
          <w:lang w:val="en-CA"/>
        </w:rPr>
        <w:t xml:space="preserve">l </w:t>
      </w:r>
      <w:r w:rsidR="00CD697F" w:rsidRPr="0088092F">
        <w:rPr>
          <w:lang w:val="en-CA"/>
        </w:rPr>
        <w:t>law, sol</w:t>
      </w:r>
      <w:r w:rsidR="00453A34" w:rsidRPr="0088092F">
        <w:rPr>
          <w:lang w:val="en-CA"/>
        </w:rPr>
        <w:t xml:space="preserve">itary confinement used </w:t>
      </w:r>
      <w:r w:rsidR="00114F80">
        <w:rPr>
          <w:lang w:val="en-CA"/>
        </w:rPr>
        <w:t xml:space="preserve">for </w:t>
      </w:r>
      <w:r w:rsidR="00453A34" w:rsidRPr="0088092F">
        <w:rPr>
          <w:lang w:val="en-CA"/>
        </w:rPr>
        <w:t xml:space="preserve">security concerns </w:t>
      </w:r>
      <w:r w:rsidR="00EE46C1">
        <w:rPr>
          <w:lang w:val="en-CA"/>
        </w:rPr>
        <w:t>is the result of</w:t>
      </w:r>
      <w:r w:rsidR="00453A34" w:rsidRPr="0088092F">
        <w:rPr>
          <w:lang w:val="en-CA"/>
        </w:rPr>
        <w:t xml:space="preserve"> the quasi absolute </w:t>
      </w:r>
      <w:r w:rsidR="00461B74" w:rsidRPr="0088092F">
        <w:rPr>
          <w:lang w:val="en-CA"/>
        </w:rPr>
        <w:t>discretion</w:t>
      </w:r>
      <w:r w:rsidR="00453A34" w:rsidRPr="0088092F">
        <w:rPr>
          <w:lang w:val="en-CA"/>
        </w:rPr>
        <w:t xml:space="preserve"> of the director of a correctional facility</w:t>
      </w:r>
      <w:r w:rsidR="00461B74" w:rsidRPr="0088092F">
        <w:rPr>
          <w:lang w:val="en-CA"/>
        </w:rPr>
        <w:t>.</w:t>
      </w:r>
    </w:p>
    <w:p w14:paraId="1E13AB55" w14:textId="2A90C5F8" w:rsidR="00461B74" w:rsidRPr="0088092F" w:rsidRDefault="00453A34" w:rsidP="00461B74">
      <w:pPr>
        <w:pStyle w:val="Paragraphe"/>
        <w:spacing w:line="280" w:lineRule="exact"/>
        <w:rPr>
          <w:lang w:val="en-CA"/>
        </w:rPr>
      </w:pPr>
      <w:r w:rsidRPr="0088092F">
        <w:rPr>
          <w:lang w:val="en-CA"/>
        </w:rPr>
        <w:t>T</w:t>
      </w:r>
      <w:r w:rsidR="00461B74" w:rsidRPr="0088092F">
        <w:rPr>
          <w:lang w:val="en-CA"/>
        </w:rPr>
        <w:t>hat</w:t>
      </w:r>
      <w:r w:rsidRPr="0088092F">
        <w:rPr>
          <w:lang w:val="en-CA"/>
        </w:rPr>
        <w:t xml:space="preserve"> </w:t>
      </w:r>
      <w:r w:rsidR="00461B74" w:rsidRPr="0088092F">
        <w:rPr>
          <w:lang w:val="en-CA"/>
        </w:rPr>
        <w:t>being</w:t>
      </w:r>
      <w:r w:rsidRPr="0088092F">
        <w:rPr>
          <w:lang w:val="en-CA"/>
        </w:rPr>
        <w:t xml:space="preserve"> </w:t>
      </w:r>
      <w:r w:rsidR="00461B74" w:rsidRPr="0088092F">
        <w:rPr>
          <w:lang w:val="en-CA"/>
        </w:rPr>
        <w:t>said,</w:t>
      </w:r>
      <w:r w:rsidRPr="0088092F">
        <w:rPr>
          <w:lang w:val="en-CA"/>
        </w:rPr>
        <w:t xml:space="preserve"> the correctional authorities must</w:t>
      </w:r>
      <w:r w:rsidR="00461B74" w:rsidRPr="0088092F">
        <w:rPr>
          <w:lang w:val="en-CA"/>
        </w:rPr>
        <w:t xml:space="preserve"> </w:t>
      </w:r>
      <w:r w:rsidRPr="0088092F">
        <w:rPr>
          <w:lang w:val="en-CA"/>
        </w:rPr>
        <w:t>ensure the health and well-being</w:t>
      </w:r>
      <w:r w:rsidR="00FD0364" w:rsidRPr="0088092F">
        <w:rPr>
          <w:lang w:val="en-CA"/>
        </w:rPr>
        <w:t xml:space="preserve"> of inmates, including accused persons.</w:t>
      </w:r>
      <w:r w:rsidR="00461B74" w:rsidRPr="0088092F">
        <w:rPr>
          <w:lang w:val="en-CA"/>
        </w:rPr>
        <w:t xml:space="preserve"> </w:t>
      </w:r>
    </w:p>
    <w:p w14:paraId="73A09C8A" w14:textId="22895B54" w:rsidR="00461B74" w:rsidRPr="0088092F" w:rsidRDefault="00FD0364" w:rsidP="00461B74">
      <w:pPr>
        <w:pStyle w:val="Paragraphe"/>
        <w:spacing w:line="280" w:lineRule="exact"/>
        <w:rPr>
          <w:lang w:val="en-CA"/>
        </w:rPr>
      </w:pPr>
      <w:r w:rsidRPr="0088092F">
        <w:rPr>
          <w:lang w:val="en-CA"/>
        </w:rPr>
        <w:t xml:space="preserve">The duty to ensure that offenders have access to </w:t>
      </w:r>
      <w:r w:rsidR="00461B74" w:rsidRPr="0088092F">
        <w:rPr>
          <w:lang w:val="en-CA"/>
        </w:rPr>
        <w:t>health</w:t>
      </w:r>
      <w:r w:rsidRPr="0088092F">
        <w:rPr>
          <w:lang w:val="en-CA"/>
        </w:rPr>
        <w:t xml:space="preserve"> care arises from both the </w:t>
      </w:r>
      <w:r w:rsidR="007142A7">
        <w:rPr>
          <w:lang w:val="en-CA"/>
        </w:rPr>
        <w:t>ordinary</w:t>
      </w:r>
      <w:r w:rsidR="007142A7" w:rsidRPr="0088092F">
        <w:rPr>
          <w:lang w:val="en-CA"/>
        </w:rPr>
        <w:t xml:space="preserve"> </w:t>
      </w:r>
      <w:r w:rsidRPr="0088092F">
        <w:rPr>
          <w:lang w:val="en-CA"/>
        </w:rPr>
        <w:t xml:space="preserve">law established by the </w:t>
      </w:r>
      <w:r w:rsidR="00461B74" w:rsidRPr="0088092F">
        <w:rPr>
          <w:i/>
          <w:iCs/>
          <w:lang w:val="en-CA"/>
        </w:rPr>
        <w:t>Civil</w:t>
      </w:r>
      <w:r w:rsidRPr="0088092F">
        <w:rPr>
          <w:i/>
          <w:iCs/>
          <w:lang w:val="en-CA"/>
        </w:rPr>
        <w:t xml:space="preserve"> </w:t>
      </w:r>
      <w:r w:rsidR="00461B74" w:rsidRPr="0088092F">
        <w:rPr>
          <w:i/>
          <w:iCs/>
          <w:lang w:val="en-CA"/>
        </w:rPr>
        <w:t>Code</w:t>
      </w:r>
      <w:r w:rsidR="00461B74" w:rsidRPr="0088092F">
        <w:rPr>
          <w:rStyle w:val="Appelnotedebasdep"/>
          <w:lang w:val="en-CA"/>
        </w:rPr>
        <w:footnoteReference w:id="79"/>
      </w:r>
      <w:r w:rsidR="00461B74" w:rsidRPr="0088092F">
        <w:rPr>
          <w:lang w:val="en-CA"/>
        </w:rPr>
        <w:t xml:space="preserve"> </w:t>
      </w:r>
      <w:r w:rsidRPr="0088092F">
        <w:rPr>
          <w:lang w:val="en-CA"/>
        </w:rPr>
        <w:t>and the power granted to the correctional facility director by the applicable statutes and regulations</w:t>
      </w:r>
      <w:r w:rsidR="00461B74" w:rsidRPr="0088092F">
        <w:rPr>
          <w:lang w:val="en-CA"/>
        </w:rPr>
        <w:t>.</w:t>
      </w:r>
    </w:p>
    <w:p w14:paraId="73A250F7" w14:textId="68C995C5" w:rsidR="00461B74" w:rsidRPr="0088092F" w:rsidRDefault="0038340B" w:rsidP="00461B74">
      <w:pPr>
        <w:pStyle w:val="Paragraphe"/>
        <w:spacing w:line="280" w:lineRule="exact"/>
        <w:rPr>
          <w:lang w:val="en-CA"/>
        </w:rPr>
      </w:pPr>
      <w:r>
        <w:rPr>
          <w:lang w:val="en-CA"/>
        </w:rPr>
        <w:lastRenderedPageBreak/>
        <w:t xml:space="preserve">Thus, </w:t>
      </w:r>
      <w:r w:rsidRPr="0088092F">
        <w:rPr>
          <w:lang w:val="en-CA"/>
        </w:rPr>
        <w:t xml:space="preserve">the correctional facility director is responsible for </w:t>
      </w:r>
      <w:r w:rsidR="00421063" w:rsidRPr="0088092F">
        <w:rPr>
          <w:lang w:val="en-CA"/>
        </w:rPr>
        <w:t xml:space="preserve">the </w:t>
      </w:r>
      <w:r w:rsidR="008A10F2" w:rsidRPr="0088092F">
        <w:rPr>
          <w:lang w:val="en-CA"/>
        </w:rPr>
        <w:t>health of every</w:t>
      </w:r>
      <w:r w:rsidR="00461B74" w:rsidRPr="0088092F">
        <w:rPr>
          <w:lang w:val="en-CA"/>
        </w:rPr>
        <w:t xml:space="preserve"> </w:t>
      </w:r>
      <w:r>
        <w:rPr>
          <w:lang w:val="en-CA"/>
        </w:rPr>
        <w:t xml:space="preserve">incarcerated </w:t>
      </w:r>
      <w:r w:rsidR="00FD3037">
        <w:rPr>
          <w:lang w:val="en-CA"/>
        </w:rPr>
        <w:t>person</w:t>
      </w:r>
      <w:r w:rsidR="00461B74" w:rsidRPr="0088092F">
        <w:rPr>
          <w:lang w:val="en-CA"/>
        </w:rPr>
        <w:t xml:space="preserve"> </w:t>
      </w:r>
      <w:r>
        <w:rPr>
          <w:lang w:val="en-CA"/>
        </w:rPr>
        <w:t>admitted</w:t>
      </w:r>
      <w:r w:rsidRPr="0088092F">
        <w:rPr>
          <w:lang w:val="en-CA"/>
        </w:rPr>
        <w:t xml:space="preserve"> </w:t>
      </w:r>
      <w:r w:rsidR="008A10F2" w:rsidRPr="0088092F">
        <w:rPr>
          <w:lang w:val="en-CA"/>
        </w:rPr>
        <w:t>under his or her custody.</w:t>
      </w:r>
      <w:r w:rsidR="00461B74" w:rsidRPr="0088092F">
        <w:rPr>
          <w:rStyle w:val="Appelnotedebasdep"/>
          <w:lang w:val="en-CA"/>
        </w:rPr>
        <w:footnoteReference w:id="80"/>
      </w:r>
      <w:r w:rsidR="00461B74" w:rsidRPr="0088092F">
        <w:rPr>
          <w:lang w:val="en-CA"/>
        </w:rPr>
        <w:t xml:space="preserve"> </w:t>
      </w:r>
      <w:r w:rsidR="00595501" w:rsidRPr="0088092F">
        <w:rPr>
          <w:lang w:val="en-CA"/>
        </w:rPr>
        <w:t xml:space="preserve">Pursuant to </w:t>
      </w:r>
      <w:r w:rsidR="00461B74" w:rsidRPr="0088092F">
        <w:rPr>
          <w:lang w:val="en-CA"/>
        </w:rPr>
        <w:t xml:space="preserve">article 1457 </w:t>
      </w:r>
      <w:r w:rsidR="00595501" w:rsidRPr="0088092F">
        <w:rPr>
          <w:lang w:val="en-CA"/>
        </w:rPr>
        <w:t>C.C.Q</w:t>
      </w:r>
      <w:r w:rsidR="00461B74" w:rsidRPr="0088092F">
        <w:rPr>
          <w:lang w:val="en-CA"/>
        </w:rPr>
        <w:t>,</w:t>
      </w:r>
      <w:r w:rsidR="00595501" w:rsidRPr="0088092F">
        <w:rPr>
          <w:lang w:val="en-CA"/>
        </w:rPr>
        <w:t xml:space="preserve"> </w:t>
      </w:r>
      <w:r w:rsidR="008A10F2" w:rsidRPr="0088092F">
        <w:rPr>
          <w:lang w:val="en-CA"/>
        </w:rPr>
        <w:t>t</w:t>
      </w:r>
      <w:r w:rsidR="00595501" w:rsidRPr="0088092F">
        <w:rPr>
          <w:lang w:val="en-CA"/>
        </w:rPr>
        <w:t xml:space="preserve">he </w:t>
      </w:r>
      <w:r w:rsidR="008A10F2" w:rsidRPr="0088092F">
        <w:rPr>
          <w:lang w:val="en-CA"/>
        </w:rPr>
        <w:t>directo</w:t>
      </w:r>
      <w:r w:rsidR="00595501" w:rsidRPr="0088092F">
        <w:rPr>
          <w:lang w:val="en-CA"/>
        </w:rPr>
        <w:t xml:space="preserve">r has a duty to abide by the rules of conduct incumbent on him or her, according to the </w:t>
      </w:r>
      <w:r w:rsidR="00461B74" w:rsidRPr="0088092F">
        <w:rPr>
          <w:lang w:val="en-CA"/>
        </w:rPr>
        <w:t>circumstances,</w:t>
      </w:r>
      <w:r w:rsidR="00595501" w:rsidRPr="0088092F">
        <w:rPr>
          <w:lang w:val="en-CA"/>
        </w:rPr>
        <w:t xml:space="preserve"> usage</w:t>
      </w:r>
      <w:r>
        <w:rPr>
          <w:lang w:val="en-CA"/>
        </w:rPr>
        <w:t>,</w:t>
      </w:r>
      <w:r w:rsidR="00595501" w:rsidRPr="0088092F">
        <w:rPr>
          <w:lang w:val="en-CA"/>
        </w:rPr>
        <w:t xml:space="preserve"> or law</w:t>
      </w:r>
      <w:r w:rsidR="00FD3037">
        <w:rPr>
          <w:lang w:val="en-CA"/>
        </w:rPr>
        <w:t>,</w:t>
      </w:r>
      <w:r w:rsidR="00595501" w:rsidRPr="0088092F">
        <w:rPr>
          <w:lang w:val="en-CA"/>
        </w:rPr>
        <w:t xml:space="preserve"> so as not to cause injury to another</w:t>
      </w:r>
      <w:r w:rsidR="00461B74" w:rsidRPr="0088092F">
        <w:rPr>
          <w:lang w:val="en-CA"/>
        </w:rPr>
        <w:t xml:space="preserve">. </w:t>
      </w:r>
      <w:r w:rsidR="008A10F2" w:rsidRPr="0088092F">
        <w:rPr>
          <w:lang w:val="en-CA"/>
        </w:rPr>
        <w:t xml:space="preserve">It goes without saying that this is an </w:t>
      </w:r>
      <w:r w:rsidR="00461B74" w:rsidRPr="0088092F">
        <w:rPr>
          <w:lang w:val="en-CA"/>
        </w:rPr>
        <w:t>obligation</w:t>
      </w:r>
      <w:r w:rsidR="008A10F2" w:rsidRPr="0088092F">
        <w:rPr>
          <w:lang w:val="en-CA"/>
        </w:rPr>
        <w:t xml:space="preserve"> of means</w:t>
      </w:r>
      <w:r w:rsidR="00461B74" w:rsidRPr="0088092F">
        <w:rPr>
          <w:lang w:val="en-CA"/>
        </w:rPr>
        <w:t>.</w:t>
      </w:r>
    </w:p>
    <w:p w14:paraId="3509173B" w14:textId="1F4A8D1A" w:rsidR="00461B74" w:rsidRPr="0088092F" w:rsidRDefault="008A10F2" w:rsidP="00461B74">
      <w:pPr>
        <w:pStyle w:val="Paragraphe"/>
        <w:spacing w:line="280" w:lineRule="exact"/>
        <w:rPr>
          <w:lang w:val="en-CA"/>
        </w:rPr>
      </w:pPr>
      <w:r w:rsidRPr="0088092F">
        <w:rPr>
          <w:lang w:val="en-CA"/>
        </w:rPr>
        <w:t>S</w:t>
      </w:r>
      <w:r w:rsidR="00461B74" w:rsidRPr="0088092F">
        <w:rPr>
          <w:lang w:val="en-CA"/>
        </w:rPr>
        <w:t xml:space="preserve">ection 13 </w:t>
      </w:r>
      <w:r w:rsidRPr="0088092F">
        <w:rPr>
          <w:lang w:val="en-CA"/>
        </w:rPr>
        <w:t xml:space="preserve">of the </w:t>
      </w:r>
      <w:r w:rsidR="00461B74" w:rsidRPr="0088092F">
        <w:rPr>
          <w:i/>
          <w:iCs/>
          <w:lang w:val="en-CA"/>
        </w:rPr>
        <w:t>R</w:t>
      </w:r>
      <w:r w:rsidR="002F2810" w:rsidRPr="0088092F">
        <w:rPr>
          <w:i/>
          <w:iCs/>
          <w:lang w:val="en-CA"/>
        </w:rPr>
        <w:t>AQCS</w:t>
      </w:r>
      <w:r w:rsidRPr="0088092F">
        <w:rPr>
          <w:lang w:val="en-CA"/>
        </w:rPr>
        <w:t xml:space="preserve"> provides that </w:t>
      </w:r>
      <w:r w:rsidR="00E628BF" w:rsidRPr="0088092F">
        <w:rPr>
          <w:lang w:val="en-CA"/>
        </w:rPr>
        <w:t xml:space="preserve">a </w:t>
      </w:r>
      <w:r w:rsidRPr="0088092F">
        <w:rPr>
          <w:lang w:val="en-CA"/>
        </w:rPr>
        <w:t>health professional at the facility must submit a report to the facility director each time the health professional believes that the physical or mental health of an inmate has been or will be affected by the conditions of detention or by their extension</w:t>
      </w:r>
      <w:r w:rsidR="00461B74" w:rsidRPr="0088092F">
        <w:rPr>
          <w:lang w:val="en-CA"/>
        </w:rPr>
        <w:t>.</w:t>
      </w:r>
    </w:p>
    <w:p w14:paraId="38CD03E2" w14:textId="775380F1" w:rsidR="00461B74" w:rsidRPr="0088092F" w:rsidRDefault="001A6531" w:rsidP="00461B74">
      <w:pPr>
        <w:pStyle w:val="Paragraphe"/>
        <w:spacing w:line="280" w:lineRule="exact"/>
        <w:rPr>
          <w:lang w:val="en-CA"/>
        </w:rPr>
      </w:pPr>
      <w:r w:rsidRPr="0088092F">
        <w:rPr>
          <w:lang w:val="en-CA"/>
        </w:rPr>
        <w:t xml:space="preserve">The </w:t>
      </w:r>
      <w:r w:rsidR="00461B74" w:rsidRPr="0088092F">
        <w:rPr>
          <w:lang w:val="en-CA"/>
        </w:rPr>
        <w:t>implementation</w:t>
      </w:r>
      <w:r w:rsidRPr="0088092F">
        <w:rPr>
          <w:lang w:val="en-CA"/>
        </w:rPr>
        <w:t xml:space="preserve"> of this </w:t>
      </w:r>
      <w:r w:rsidR="00461B74" w:rsidRPr="0088092F">
        <w:rPr>
          <w:lang w:val="en-CA"/>
        </w:rPr>
        <w:t>obligation</w:t>
      </w:r>
      <w:r w:rsidRPr="0088092F">
        <w:rPr>
          <w:lang w:val="en-CA"/>
        </w:rPr>
        <w:t xml:space="preserve"> and that arising from </w:t>
      </w:r>
      <w:r w:rsidR="00461B74" w:rsidRPr="0088092F">
        <w:rPr>
          <w:lang w:val="en-CA"/>
        </w:rPr>
        <w:t xml:space="preserve">article 1457 C.C.Q. </w:t>
      </w:r>
      <w:r w:rsidRPr="0088092F">
        <w:rPr>
          <w:lang w:val="en-CA"/>
        </w:rPr>
        <w:t xml:space="preserve">requires that correctional facility directors ensure that </w:t>
      </w:r>
      <w:r w:rsidR="00461B74" w:rsidRPr="0088092F">
        <w:rPr>
          <w:lang w:val="en-CA"/>
        </w:rPr>
        <w:t>health</w:t>
      </w:r>
      <w:r w:rsidR="0079241C" w:rsidRPr="0088092F">
        <w:rPr>
          <w:lang w:val="en-CA"/>
        </w:rPr>
        <w:t xml:space="preserve"> </w:t>
      </w:r>
      <w:r w:rsidR="00461B74" w:rsidRPr="0088092F">
        <w:rPr>
          <w:lang w:val="en-CA"/>
        </w:rPr>
        <w:t>care</w:t>
      </w:r>
      <w:r w:rsidR="0079241C" w:rsidRPr="0088092F">
        <w:rPr>
          <w:lang w:val="en-CA"/>
        </w:rPr>
        <w:t xml:space="preserve"> professionals verify and assess whether the physical or mental health of </w:t>
      </w:r>
      <w:r w:rsidR="003257C4" w:rsidRPr="0088092F">
        <w:rPr>
          <w:lang w:val="en-CA"/>
        </w:rPr>
        <w:t>offenders</w:t>
      </w:r>
      <w:r w:rsidR="0079241C" w:rsidRPr="0088092F">
        <w:rPr>
          <w:lang w:val="en-CA"/>
        </w:rPr>
        <w:t xml:space="preserve"> has been or will be affected by the </w:t>
      </w:r>
      <w:r w:rsidR="00461B74" w:rsidRPr="0088092F">
        <w:rPr>
          <w:lang w:val="en-CA"/>
        </w:rPr>
        <w:t xml:space="preserve">conditions </w:t>
      </w:r>
      <w:r w:rsidR="0079241C" w:rsidRPr="0088092F">
        <w:rPr>
          <w:lang w:val="en-CA"/>
        </w:rPr>
        <w:t>of detention or by their extension, including with respect to any form of solitary confinement</w:t>
      </w:r>
      <w:r w:rsidR="00461B74" w:rsidRPr="0088092F">
        <w:rPr>
          <w:lang w:val="en-CA"/>
        </w:rPr>
        <w:t>.</w:t>
      </w:r>
    </w:p>
    <w:p w14:paraId="2C1AB996" w14:textId="394C5289" w:rsidR="00461B74" w:rsidRPr="0088092F" w:rsidRDefault="00461B74" w:rsidP="00461B74">
      <w:pPr>
        <w:pStyle w:val="Titre2"/>
        <w:rPr>
          <w:lang w:val="en-CA"/>
        </w:rPr>
      </w:pPr>
      <w:bookmarkStart w:id="52" w:name="_Toc85547021"/>
      <w:r w:rsidRPr="0088092F">
        <w:rPr>
          <w:lang w:val="en-CA"/>
        </w:rPr>
        <w:t>F -</w:t>
      </w:r>
      <w:r w:rsidRPr="0088092F">
        <w:rPr>
          <w:lang w:val="en-CA"/>
        </w:rPr>
        <w:tab/>
      </w:r>
      <w:r w:rsidR="0079241C" w:rsidRPr="0088092F">
        <w:rPr>
          <w:lang w:val="en-CA"/>
        </w:rPr>
        <w:t>H</w:t>
      </w:r>
      <w:r w:rsidRPr="0088092F">
        <w:rPr>
          <w:lang w:val="en-CA"/>
        </w:rPr>
        <w:t xml:space="preserve">abeas corpus </w:t>
      </w:r>
      <w:r w:rsidR="0079241C" w:rsidRPr="0088092F">
        <w:rPr>
          <w:lang w:val="en-CA"/>
        </w:rPr>
        <w:t>and the challenge to solitary confinement</w:t>
      </w:r>
      <w:bookmarkEnd w:id="52"/>
    </w:p>
    <w:p w14:paraId="184E8A15" w14:textId="0931F0F1" w:rsidR="00461B74" w:rsidRPr="0088092F" w:rsidRDefault="0079241C" w:rsidP="00461B74">
      <w:pPr>
        <w:pStyle w:val="Paragraphe"/>
        <w:spacing w:line="280" w:lineRule="exact"/>
        <w:rPr>
          <w:lang w:val="en-CA"/>
        </w:rPr>
      </w:pPr>
      <w:r w:rsidRPr="0088092F">
        <w:rPr>
          <w:i/>
          <w:iCs/>
          <w:lang w:val="en-CA"/>
        </w:rPr>
        <w:t>H</w:t>
      </w:r>
      <w:r w:rsidR="00461B74" w:rsidRPr="0088092F">
        <w:rPr>
          <w:i/>
          <w:iCs/>
          <w:lang w:val="en-CA"/>
        </w:rPr>
        <w:t>abeas corpus</w:t>
      </w:r>
      <w:r w:rsidR="00461B74" w:rsidRPr="0088092F">
        <w:rPr>
          <w:lang w:val="en-CA"/>
        </w:rPr>
        <w:t xml:space="preserve"> </w:t>
      </w:r>
      <w:r w:rsidRPr="0088092F">
        <w:rPr>
          <w:lang w:val="en-CA"/>
        </w:rPr>
        <w:t>is not a “</w:t>
      </w:r>
      <w:r w:rsidRPr="0088092F">
        <w:rPr>
          <w:color w:val="000000"/>
          <w:lang w:val="en-CA"/>
        </w:rPr>
        <w:t>static, narrow, formalistic” remedy</w:t>
      </w:r>
      <w:r w:rsidR="005B0B8F" w:rsidRPr="0088092F">
        <w:rPr>
          <w:color w:val="000000"/>
          <w:lang w:val="en-CA"/>
        </w:rPr>
        <w:t>.</w:t>
      </w:r>
      <w:r w:rsidR="00461B74" w:rsidRPr="0088092F">
        <w:rPr>
          <w:rStyle w:val="Appelnotedebasdep"/>
          <w:lang w:val="en-CA"/>
        </w:rPr>
        <w:footnoteReference w:id="81"/>
      </w:r>
      <w:r w:rsidR="005B0B8F" w:rsidRPr="0088092F">
        <w:rPr>
          <w:color w:val="000000"/>
          <w:lang w:val="en-CA"/>
        </w:rPr>
        <w:t xml:space="preserve"> It remains “the strongest tool a prisoner has to ensure that the deprivation of his or her liberty is not unlawful”,</w:t>
      </w:r>
      <w:r w:rsidR="00461B74" w:rsidRPr="0088092F">
        <w:rPr>
          <w:rStyle w:val="Appelnotedebasdep"/>
          <w:lang w:val="en-CA"/>
        </w:rPr>
        <w:footnoteReference w:id="82"/>
      </w:r>
      <w:r w:rsidR="00461B74" w:rsidRPr="0088092F">
        <w:rPr>
          <w:lang w:val="en-CA"/>
        </w:rPr>
        <w:t xml:space="preserve"> </w:t>
      </w:r>
      <w:r w:rsidR="001C0E56" w:rsidRPr="0088092F">
        <w:rPr>
          <w:lang w:val="en-CA"/>
        </w:rPr>
        <w:t>which ensures “</w:t>
      </w:r>
      <w:r w:rsidR="001C0E56" w:rsidRPr="0088092F">
        <w:rPr>
          <w:color w:val="000000"/>
          <w:lang w:val="en-CA"/>
        </w:rPr>
        <w:t>that the rule of law continues to run within penitentiary walls”</w:t>
      </w:r>
      <w:r w:rsidR="00461B74" w:rsidRPr="0088092F">
        <w:rPr>
          <w:rStyle w:val="Appelnotedebasdep"/>
          <w:lang w:val="en-CA"/>
        </w:rPr>
        <w:footnoteReference w:id="83"/>
      </w:r>
      <w:r w:rsidR="00461B74" w:rsidRPr="0088092F">
        <w:rPr>
          <w:lang w:val="en-CA"/>
        </w:rPr>
        <w:t xml:space="preserve"> </w:t>
      </w:r>
      <w:r w:rsidR="001C0E56" w:rsidRPr="0088092F">
        <w:rPr>
          <w:lang w:val="en-CA"/>
        </w:rPr>
        <w:t>and “</w:t>
      </w:r>
      <w:r w:rsidR="001C0E56" w:rsidRPr="0088092F">
        <w:rPr>
          <w:color w:val="000000"/>
          <w:lang w:val="en-CA"/>
        </w:rPr>
        <w:t>that any deprivation of a prisoner’s liberty is justified”.</w:t>
      </w:r>
      <w:r w:rsidR="00461B74" w:rsidRPr="0088092F">
        <w:rPr>
          <w:rStyle w:val="Appelnotedebasdep"/>
          <w:lang w:val="en-CA"/>
        </w:rPr>
        <w:footnoteReference w:id="84"/>
      </w:r>
    </w:p>
    <w:p w14:paraId="18141243" w14:textId="75995324" w:rsidR="00461B74" w:rsidRPr="0088092F" w:rsidRDefault="007D4381" w:rsidP="00461B74">
      <w:pPr>
        <w:pStyle w:val="Paragraphe"/>
        <w:spacing w:line="280" w:lineRule="exact"/>
        <w:rPr>
          <w:lang w:val="en-CA"/>
        </w:rPr>
      </w:pPr>
      <w:r w:rsidRPr="0088092F">
        <w:rPr>
          <w:lang w:val="en-CA"/>
        </w:rPr>
        <w:t>In the c</w:t>
      </w:r>
      <w:r w:rsidR="00461B74" w:rsidRPr="0088092F">
        <w:rPr>
          <w:lang w:val="en-CA"/>
        </w:rPr>
        <w:t>ontext</w:t>
      </w:r>
      <w:r w:rsidRPr="0088092F">
        <w:rPr>
          <w:lang w:val="en-CA"/>
        </w:rPr>
        <w:t xml:space="preserve"> of prison law or correctional law, an inmate may use </w:t>
      </w:r>
      <w:r w:rsidR="00461B74" w:rsidRPr="0088092F">
        <w:rPr>
          <w:i/>
          <w:iCs/>
          <w:lang w:val="en-CA"/>
        </w:rPr>
        <w:t>habeas corpus</w:t>
      </w:r>
      <w:r w:rsidR="00461B74" w:rsidRPr="0088092F">
        <w:rPr>
          <w:lang w:val="en-CA"/>
        </w:rPr>
        <w:t xml:space="preserve"> </w:t>
      </w:r>
      <w:r w:rsidRPr="0088092F">
        <w:rPr>
          <w:lang w:val="en-CA"/>
        </w:rPr>
        <w:t>to challenge the unlawful deprivation of liberty resulting from three types of de</w:t>
      </w:r>
      <w:r w:rsidR="00461B74" w:rsidRPr="0088092F">
        <w:rPr>
          <w:lang w:val="en-CA"/>
        </w:rPr>
        <w:t>privation:</w:t>
      </w:r>
      <w:r w:rsidR="0016200E" w:rsidRPr="0088092F">
        <w:rPr>
          <w:lang w:val="en-CA"/>
        </w:rPr>
        <w:t xml:space="preserve"> (</w:t>
      </w:r>
      <w:r w:rsidR="00461B74" w:rsidRPr="0088092F">
        <w:rPr>
          <w:lang w:val="en-CA"/>
        </w:rPr>
        <w:t>1)</w:t>
      </w:r>
      <w:r w:rsidR="0016200E" w:rsidRPr="0088092F">
        <w:rPr>
          <w:lang w:val="en-CA"/>
        </w:rPr>
        <w:t xml:space="preserve"> the initial deprivation of </w:t>
      </w:r>
      <w:r w:rsidR="00461B74" w:rsidRPr="0088092F">
        <w:rPr>
          <w:lang w:val="en-CA"/>
        </w:rPr>
        <w:t>libert</w:t>
      </w:r>
      <w:r w:rsidR="0016200E" w:rsidRPr="0088092F">
        <w:rPr>
          <w:lang w:val="en-CA"/>
        </w:rPr>
        <w:t>y,</w:t>
      </w:r>
      <w:r w:rsidR="00461B74" w:rsidRPr="0088092F">
        <w:rPr>
          <w:lang w:val="en-CA"/>
        </w:rPr>
        <w:t xml:space="preserve"> </w:t>
      </w:r>
      <w:r w:rsidR="0016200E" w:rsidRPr="0088092F">
        <w:rPr>
          <w:lang w:val="en-CA"/>
        </w:rPr>
        <w:t>(</w:t>
      </w:r>
      <w:r w:rsidR="00461B74" w:rsidRPr="0088092F">
        <w:rPr>
          <w:lang w:val="en-CA"/>
        </w:rPr>
        <w:t>2)</w:t>
      </w:r>
      <w:r w:rsidR="0016200E" w:rsidRPr="0088092F">
        <w:rPr>
          <w:lang w:val="en-CA"/>
        </w:rPr>
        <w:t xml:space="preserve"> </w:t>
      </w:r>
      <w:r w:rsidR="0016200E" w:rsidRPr="0088092F">
        <w:rPr>
          <w:color w:val="000000"/>
          <w:lang w:val="en-CA"/>
        </w:rPr>
        <w:t xml:space="preserve">a </w:t>
      </w:r>
      <w:r w:rsidR="000500DE">
        <w:rPr>
          <w:color w:val="000000"/>
          <w:lang w:val="en-CA"/>
        </w:rPr>
        <w:t>substantial</w:t>
      </w:r>
      <w:r w:rsidR="000500DE" w:rsidRPr="0088092F">
        <w:rPr>
          <w:color w:val="000000"/>
          <w:lang w:val="en-CA"/>
        </w:rPr>
        <w:t xml:space="preserve"> </w:t>
      </w:r>
      <w:r w:rsidR="0016200E" w:rsidRPr="0088092F">
        <w:rPr>
          <w:color w:val="000000"/>
          <w:lang w:val="en-CA"/>
        </w:rPr>
        <w:t>change in the conditions of</w:t>
      </w:r>
      <w:r w:rsidR="00F028EF">
        <w:rPr>
          <w:color w:val="000000"/>
          <w:lang w:val="en-CA"/>
        </w:rPr>
        <w:t xml:space="preserve"> detention </w:t>
      </w:r>
      <w:r w:rsidR="000500DE">
        <w:rPr>
          <w:lang w:val="en-CA"/>
        </w:rPr>
        <w:t>amounting to</w:t>
      </w:r>
      <w:r w:rsidR="0016200E" w:rsidRPr="0088092F">
        <w:rPr>
          <w:lang w:val="en-CA"/>
        </w:rPr>
        <w:t xml:space="preserve"> a </w:t>
      </w:r>
      <w:r w:rsidR="000500DE">
        <w:rPr>
          <w:lang w:val="en-CA"/>
        </w:rPr>
        <w:t>further</w:t>
      </w:r>
      <w:r w:rsidR="000500DE" w:rsidRPr="0088092F">
        <w:rPr>
          <w:lang w:val="en-CA"/>
        </w:rPr>
        <w:t xml:space="preserve"> </w:t>
      </w:r>
      <w:r w:rsidR="00461B74" w:rsidRPr="0088092F">
        <w:rPr>
          <w:lang w:val="en-CA"/>
        </w:rPr>
        <w:t>deprivation</w:t>
      </w:r>
      <w:r w:rsidR="0016200E" w:rsidRPr="0088092F">
        <w:rPr>
          <w:lang w:val="en-CA"/>
        </w:rPr>
        <w:t xml:space="preserve"> </w:t>
      </w:r>
      <w:r w:rsidR="00461B74" w:rsidRPr="0088092F">
        <w:rPr>
          <w:lang w:val="en-CA"/>
        </w:rPr>
        <w:t>of</w:t>
      </w:r>
      <w:r w:rsidR="0016200E" w:rsidRPr="0088092F">
        <w:rPr>
          <w:lang w:val="en-CA"/>
        </w:rPr>
        <w:t xml:space="preserve"> </w:t>
      </w:r>
      <w:r w:rsidR="00461B74" w:rsidRPr="0088092F">
        <w:rPr>
          <w:lang w:val="en-CA"/>
        </w:rPr>
        <w:t>liberty</w:t>
      </w:r>
      <w:r w:rsidR="0016200E" w:rsidRPr="0088092F">
        <w:rPr>
          <w:lang w:val="en-CA"/>
        </w:rPr>
        <w:t>, and (</w:t>
      </w:r>
      <w:r w:rsidR="00461B74" w:rsidRPr="0088092F">
        <w:rPr>
          <w:lang w:val="en-CA"/>
        </w:rPr>
        <w:t>3)</w:t>
      </w:r>
      <w:r w:rsidR="0016200E" w:rsidRPr="0088092F">
        <w:rPr>
          <w:lang w:val="en-CA"/>
        </w:rPr>
        <w:t xml:space="preserve"> </w:t>
      </w:r>
      <w:r w:rsidR="000500DE">
        <w:rPr>
          <w:lang w:val="en-CA"/>
        </w:rPr>
        <w:t>a</w:t>
      </w:r>
      <w:r w:rsidR="000500DE" w:rsidRPr="0088092F">
        <w:rPr>
          <w:lang w:val="en-CA"/>
        </w:rPr>
        <w:t xml:space="preserve"> </w:t>
      </w:r>
      <w:r w:rsidR="00461B74" w:rsidRPr="0088092F">
        <w:rPr>
          <w:lang w:val="en-CA"/>
        </w:rPr>
        <w:t>continuation</w:t>
      </w:r>
      <w:r w:rsidR="0016200E" w:rsidRPr="0088092F">
        <w:rPr>
          <w:lang w:val="en-CA"/>
        </w:rPr>
        <w:t xml:space="preserve"> of the d</w:t>
      </w:r>
      <w:r w:rsidR="00461B74" w:rsidRPr="0088092F">
        <w:rPr>
          <w:lang w:val="en-CA"/>
        </w:rPr>
        <w:t>eprivation</w:t>
      </w:r>
      <w:r w:rsidR="0016200E" w:rsidRPr="0088092F">
        <w:rPr>
          <w:lang w:val="en-CA"/>
        </w:rPr>
        <w:t xml:space="preserve"> </w:t>
      </w:r>
      <w:r w:rsidR="00461B74" w:rsidRPr="0088092F">
        <w:rPr>
          <w:lang w:val="en-CA"/>
        </w:rPr>
        <w:t>of</w:t>
      </w:r>
      <w:r w:rsidR="0016200E" w:rsidRPr="0088092F">
        <w:rPr>
          <w:lang w:val="en-CA"/>
        </w:rPr>
        <w:t xml:space="preserve"> </w:t>
      </w:r>
      <w:r w:rsidR="00461B74" w:rsidRPr="0088092F">
        <w:rPr>
          <w:lang w:val="en-CA"/>
        </w:rPr>
        <w:t>liberty</w:t>
      </w:r>
      <w:r w:rsidR="0016200E" w:rsidRPr="0088092F">
        <w:rPr>
          <w:lang w:val="en-CA"/>
        </w:rPr>
        <w:t>.</w:t>
      </w:r>
      <w:r w:rsidR="00461B74" w:rsidRPr="0088092F">
        <w:rPr>
          <w:rStyle w:val="Appelnotedebasdep"/>
          <w:lang w:val="en-CA"/>
        </w:rPr>
        <w:footnoteReference w:id="85"/>
      </w:r>
    </w:p>
    <w:p w14:paraId="550D4485" w14:textId="7ECDAD75" w:rsidR="00461B74" w:rsidRPr="0088092F" w:rsidRDefault="0016200E" w:rsidP="00461B74">
      <w:pPr>
        <w:pStyle w:val="Paragraphe"/>
        <w:spacing w:line="280" w:lineRule="exact"/>
        <w:rPr>
          <w:lang w:val="en-CA"/>
        </w:rPr>
      </w:pPr>
      <w:r w:rsidRPr="0088092F">
        <w:rPr>
          <w:lang w:val="en-CA"/>
        </w:rPr>
        <w:t xml:space="preserve">Solitary confinement entails a </w:t>
      </w:r>
      <w:r w:rsidR="00F23093">
        <w:rPr>
          <w:lang w:val="en-CA"/>
        </w:rPr>
        <w:t>substantial</w:t>
      </w:r>
      <w:r w:rsidR="00F23093" w:rsidRPr="0088092F">
        <w:rPr>
          <w:lang w:val="en-CA"/>
        </w:rPr>
        <w:t xml:space="preserve"> </w:t>
      </w:r>
      <w:r w:rsidRPr="0088092F">
        <w:rPr>
          <w:lang w:val="en-CA"/>
        </w:rPr>
        <w:t xml:space="preserve">change in the </w:t>
      </w:r>
      <w:r w:rsidR="00461B74" w:rsidRPr="0088092F">
        <w:rPr>
          <w:lang w:val="en-CA"/>
        </w:rPr>
        <w:t xml:space="preserve">conditions </w:t>
      </w:r>
      <w:r w:rsidRPr="0088092F">
        <w:rPr>
          <w:lang w:val="en-CA"/>
        </w:rPr>
        <w:t xml:space="preserve">of </w:t>
      </w:r>
      <w:r w:rsidR="00461B74" w:rsidRPr="0088092F">
        <w:rPr>
          <w:lang w:val="en-CA"/>
        </w:rPr>
        <w:t>incarc</w:t>
      </w:r>
      <w:r w:rsidRPr="0088092F">
        <w:rPr>
          <w:lang w:val="en-CA"/>
        </w:rPr>
        <w:t>e</w:t>
      </w:r>
      <w:r w:rsidR="00461B74" w:rsidRPr="0088092F">
        <w:rPr>
          <w:lang w:val="en-CA"/>
        </w:rPr>
        <w:t>ration</w:t>
      </w:r>
      <w:r w:rsidRPr="0088092F">
        <w:rPr>
          <w:lang w:val="en-CA"/>
        </w:rPr>
        <w:t xml:space="preserve"> </w:t>
      </w:r>
      <w:r w:rsidR="004135AD">
        <w:rPr>
          <w:lang w:val="en-CA"/>
        </w:rPr>
        <w:t>amounting</w:t>
      </w:r>
      <w:r w:rsidRPr="0088092F">
        <w:rPr>
          <w:lang w:val="en-CA"/>
        </w:rPr>
        <w:t xml:space="preserve"> to a new </w:t>
      </w:r>
      <w:r w:rsidR="00461B74" w:rsidRPr="0088092F">
        <w:rPr>
          <w:lang w:val="en-CA"/>
        </w:rPr>
        <w:t>deprivation</w:t>
      </w:r>
      <w:r w:rsidRPr="0088092F">
        <w:rPr>
          <w:lang w:val="en-CA"/>
        </w:rPr>
        <w:t xml:space="preserve"> </w:t>
      </w:r>
      <w:r w:rsidR="00461B74" w:rsidRPr="0088092F">
        <w:rPr>
          <w:lang w:val="en-CA"/>
        </w:rPr>
        <w:t>of</w:t>
      </w:r>
      <w:r w:rsidRPr="0088092F">
        <w:rPr>
          <w:lang w:val="en-CA"/>
        </w:rPr>
        <w:t xml:space="preserve"> </w:t>
      </w:r>
      <w:r w:rsidR="00461B74" w:rsidRPr="0088092F">
        <w:rPr>
          <w:lang w:val="en-CA"/>
        </w:rPr>
        <w:t>liberty</w:t>
      </w:r>
      <w:r w:rsidRPr="0088092F">
        <w:rPr>
          <w:lang w:val="en-CA"/>
        </w:rPr>
        <w:t>.</w:t>
      </w:r>
      <w:r w:rsidR="00461B74" w:rsidRPr="0088092F">
        <w:rPr>
          <w:rStyle w:val="Appelnotedebasdep"/>
          <w:lang w:val="en-CA"/>
        </w:rPr>
        <w:footnoteReference w:id="86"/>
      </w:r>
      <w:r w:rsidRPr="0088092F">
        <w:rPr>
          <w:lang w:val="en-CA"/>
        </w:rPr>
        <w:t xml:space="preserve"> A</w:t>
      </w:r>
      <w:r w:rsidR="00461B74" w:rsidRPr="0088092F">
        <w:rPr>
          <w:lang w:val="en-CA"/>
        </w:rPr>
        <w:t>s</w:t>
      </w:r>
      <w:r w:rsidRPr="0088092F">
        <w:rPr>
          <w:lang w:val="en-CA"/>
        </w:rPr>
        <w:t xml:space="preserve"> </w:t>
      </w:r>
      <w:r w:rsidR="00461B74" w:rsidRPr="0088092F">
        <w:rPr>
          <w:lang w:val="en-CA"/>
        </w:rPr>
        <w:t xml:space="preserve">such, </w:t>
      </w:r>
      <w:r w:rsidR="00461B74" w:rsidRPr="0088092F">
        <w:rPr>
          <w:i/>
          <w:iCs/>
          <w:lang w:val="en-CA"/>
        </w:rPr>
        <w:t xml:space="preserve">habeas corpus </w:t>
      </w:r>
      <w:r w:rsidR="00DC3FB5" w:rsidRPr="0088092F">
        <w:rPr>
          <w:iCs/>
          <w:lang w:val="en-CA"/>
        </w:rPr>
        <w:t xml:space="preserve">applies to restrictions to the residual liberty of inmates </w:t>
      </w:r>
      <w:r w:rsidR="004135AD">
        <w:rPr>
          <w:iCs/>
          <w:lang w:val="en-CA"/>
        </w:rPr>
        <w:t>such as</w:t>
      </w:r>
      <w:r w:rsidR="004135AD" w:rsidRPr="0088092F">
        <w:rPr>
          <w:iCs/>
          <w:lang w:val="en-CA"/>
        </w:rPr>
        <w:t xml:space="preserve"> </w:t>
      </w:r>
      <w:r w:rsidR="00DC3FB5" w:rsidRPr="0088092F">
        <w:rPr>
          <w:iCs/>
          <w:lang w:val="en-CA"/>
        </w:rPr>
        <w:t>those resulting from solitary confinement</w:t>
      </w:r>
      <w:r w:rsidR="00DC3FB5" w:rsidRPr="0088092F">
        <w:rPr>
          <w:lang w:val="en-CA"/>
        </w:rPr>
        <w:t>.</w:t>
      </w:r>
      <w:r w:rsidR="00461B74" w:rsidRPr="0088092F">
        <w:rPr>
          <w:vertAlign w:val="superscript"/>
          <w:lang w:val="en-CA"/>
        </w:rPr>
        <w:footnoteReference w:id="87"/>
      </w:r>
      <w:r w:rsidR="00461B74" w:rsidRPr="0088092F">
        <w:rPr>
          <w:lang w:val="en-CA"/>
        </w:rPr>
        <w:t xml:space="preserve">  </w:t>
      </w:r>
    </w:p>
    <w:p w14:paraId="790A7449" w14:textId="28646EF2" w:rsidR="00461B74" w:rsidRPr="0088092F" w:rsidRDefault="003F428F" w:rsidP="00461B74">
      <w:pPr>
        <w:pStyle w:val="Paragraphe"/>
        <w:spacing w:line="280" w:lineRule="exact"/>
        <w:rPr>
          <w:lang w:val="en-CA"/>
        </w:rPr>
      </w:pPr>
      <w:r w:rsidRPr="0088092F">
        <w:rPr>
          <w:lang w:val="en-CA"/>
        </w:rPr>
        <w:lastRenderedPageBreak/>
        <w:t xml:space="preserve">Because </w:t>
      </w:r>
      <w:r w:rsidR="00461B74" w:rsidRPr="0088092F">
        <w:rPr>
          <w:i/>
          <w:iCs/>
          <w:lang w:val="en-CA"/>
        </w:rPr>
        <w:t xml:space="preserve">habeas corpus </w:t>
      </w:r>
      <w:r w:rsidRPr="0088092F">
        <w:rPr>
          <w:iCs/>
          <w:lang w:val="en-CA"/>
        </w:rPr>
        <w:t xml:space="preserve">may be </w:t>
      </w:r>
      <w:r w:rsidR="000D0EBC" w:rsidRPr="0088092F">
        <w:rPr>
          <w:iCs/>
          <w:lang w:val="en-CA"/>
        </w:rPr>
        <w:t>“</w:t>
      </w:r>
      <w:r w:rsidR="000D0EBC" w:rsidRPr="0088092F">
        <w:rPr>
          <w:color w:val="000000"/>
          <w:spacing w:val="-3"/>
          <w:lang w:val="en-CA"/>
        </w:rPr>
        <w:t>use[d] to release a person from a particular form of detention although the person will lawfully remain under some other restraint of liberty”,</w:t>
      </w:r>
      <w:r w:rsidR="00461B74" w:rsidRPr="0088092F">
        <w:rPr>
          <w:rStyle w:val="Appelnotedebasdep"/>
          <w:lang w:val="en-CA"/>
        </w:rPr>
        <w:footnoteReference w:id="88"/>
      </w:r>
      <w:r w:rsidR="000D0EBC" w:rsidRPr="0088092F">
        <w:rPr>
          <w:color w:val="000000"/>
          <w:spacing w:val="-3"/>
          <w:lang w:val="en-CA"/>
        </w:rPr>
        <w:t xml:space="preserve"> it permits challenges to </w:t>
      </w:r>
      <w:r w:rsidR="005629A1">
        <w:rPr>
          <w:color w:val="000000"/>
          <w:spacing w:val="-3"/>
          <w:lang w:val="en-CA"/>
        </w:rPr>
        <w:t>the</w:t>
      </w:r>
      <w:r w:rsidR="005629A1" w:rsidRPr="0088092F">
        <w:rPr>
          <w:color w:val="000000"/>
          <w:spacing w:val="-3"/>
          <w:lang w:val="en-CA"/>
        </w:rPr>
        <w:t xml:space="preserve"> </w:t>
      </w:r>
      <w:r w:rsidR="000D0EBC" w:rsidRPr="0088092F">
        <w:rPr>
          <w:color w:val="000000"/>
          <w:spacing w:val="-3"/>
          <w:lang w:val="en-CA"/>
        </w:rPr>
        <w:t xml:space="preserve">inmates’ solitary confinement </w:t>
      </w:r>
      <w:r w:rsidR="00461B74" w:rsidRPr="0088092F">
        <w:rPr>
          <w:lang w:val="en-CA"/>
        </w:rPr>
        <w:t xml:space="preserve">conditions </w:t>
      </w:r>
      <w:r w:rsidR="000D0EBC" w:rsidRPr="0088092F">
        <w:rPr>
          <w:lang w:val="en-CA"/>
        </w:rPr>
        <w:t xml:space="preserve">that infringe the </w:t>
      </w:r>
      <w:r w:rsidR="00461B74" w:rsidRPr="0088092F">
        <w:rPr>
          <w:lang w:val="en-CA"/>
        </w:rPr>
        <w:t>constitutional</w:t>
      </w:r>
      <w:r w:rsidR="000D0EBC" w:rsidRPr="0088092F">
        <w:rPr>
          <w:lang w:val="en-CA"/>
        </w:rPr>
        <w:t xml:space="preserve"> rights protected by </w:t>
      </w:r>
      <w:r w:rsidR="00461B74" w:rsidRPr="0088092F">
        <w:rPr>
          <w:lang w:val="en-CA"/>
        </w:rPr>
        <w:t xml:space="preserve">sections 7 </w:t>
      </w:r>
      <w:r w:rsidR="000D0EBC" w:rsidRPr="0088092F">
        <w:rPr>
          <w:lang w:val="en-CA"/>
        </w:rPr>
        <w:t xml:space="preserve">and </w:t>
      </w:r>
      <w:r w:rsidR="00461B74" w:rsidRPr="0088092F">
        <w:rPr>
          <w:lang w:val="en-CA"/>
        </w:rPr>
        <w:t xml:space="preserve">12 </w:t>
      </w:r>
      <w:r w:rsidR="000D0EBC" w:rsidRPr="0088092F">
        <w:rPr>
          <w:lang w:val="en-CA"/>
        </w:rPr>
        <w:t xml:space="preserve">of the </w:t>
      </w:r>
      <w:r w:rsidR="00461B74" w:rsidRPr="0088092F">
        <w:rPr>
          <w:i/>
          <w:iCs/>
          <w:lang w:val="en-CA"/>
        </w:rPr>
        <w:t>Charter,</w:t>
      </w:r>
      <w:r w:rsidR="00461B74" w:rsidRPr="0088092F">
        <w:rPr>
          <w:lang w:val="en-CA"/>
        </w:rPr>
        <w:t xml:space="preserve"> </w:t>
      </w:r>
      <w:r w:rsidR="000D0EBC" w:rsidRPr="0088092F">
        <w:rPr>
          <w:lang w:val="en-CA"/>
        </w:rPr>
        <w:t xml:space="preserve">even if the </w:t>
      </w:r>
      <w:r w:rsidR="005629A1">
        <w:rPr>
          <w:lang w:val="en-CA"/>
        </w:rPr>
        <w:t>proceeding</w:t>
      </w:r>
      <w:r w:rsidR="005629A1" w:rsidRPr="0088092F">
        <w:rPr>
          <w:lang w:val="en-CA"/>
        </w:rPr>
        <w:t xml:space="preserve"> </w:t>
      </w:r>
      <w:r w:rsidR="000D0EBC" w:rsidRPr="0088092F">
        <w:rPr>
          <w:lang w:val="en-CA"/>
        </w:rPr>
        <w:t>does not result in the inmate</w:t>
      </w:r>
      <w:r w:rsidR="005629A1">
        <w:rPr>
          <w:lang w:val="en-CA"/>
        </w:rPr>
        <w:t xml:space="preserve"> being</w:t>
      </w:r>
      <w:r w:rsidR="000D0EBC" w:rsidRPr="0088092F">
        <w:rPr>
          <w:lang w:val="en-CA"/>
        </w:rPr>
        <w:t xml:space="preserve"> transfer</w:t>
      </w:r>
      <w:r w:rsidR="005629A1">
        <w:rPr>
          <w:lang w:val="en-CA"/>
        </w:rPr>
        <w:t>red</w:t>
      </w:r>
      <w:r w:rsidR="000D0EBC" w:rsidRPr="0088092F">
        <w:rPr>
          <w:lang w:val="en-CA"/>
        </w:rPr>
        <w:t xml:space="preserve"> into the general </w:t>
      </w:r>
      <w:r w:rsidR="00461B74" w:rsidRPr="0088092F">
        <w:rPr>
          <w:lang w:val="en-CA"/>
        </w:rPr>
        <w:t>population</w:t>
      </w:r>
      <w:r w:rsidR="000D0EBC" w:rsidRPr="0088092F">
        <w:rPr>
          <w:lang w:val="en-CA"/>
        </w:rPr>
        <w:t xml:space="preserve">, but </w:t>
      </w:r>
      <w:r w:rsidR="005629A1">
        <w:rPr>
          <w:lang w:val="en-CA"/>
        </w:rPr>
        <w:t>instead</w:t>
      </w:r>
      <w:r w:rsidR="005629A1" w:rsidRPr="0088092F">
        <w:rPr>
          <w:lang w:val="en-CA"/>
        </w:rPr>
        <w:t xml:space="preserve"> </w:t>
      </w:r>
      <w:r w:rsidR="000D0EBC" w:rsidRPr="0088092F">
        <w:rPr>
          <w:lang w:val="en-CA"/>
        </w:rPr>
        <w:t xml:space="preserve">in the </w:t>
      </w:r>
      <w:r w:rsidR="00461B74" w:rsidRPr="0088092F">
        <w:rPr>
          <w:lang w:val="en-CA"/>
        </w:rPr>
        <w:t xml:space="preserve">modification </w:t>
      </w:r>
      <w:r w:rsidR="00496E16" w:rsidRPr="0088092F">
        <w:rPr>
          <w:lang w:val="en-CA"/>
        </w:rPr>
        <w:t xml:space="preserve">of the detention </w:t>
      </w:r>
      <w:r w:rsidR="00461B74" w:rsidRPr="0088092F">
        <w:rPr>
          <w:lang w:val="en-CA"/>
        </w:rPr>
        <w:t xml:space="preserve">conditions </w:t>
      </w:r>
      <w:r w:rsidR="00496E16" w:rsidRPr="0088092F">
        <w:rPr>
          <w:lang w:val="en-CA"/>
        </w:rPr>
        <w:t xml:space="preserve">of the inmate’s residual liberty in a manner </w:t>
      </w:r>
      <w:r w:rsidR="00461B74" w:rsidRPr="0088092F">
        <w:rPr>
          <w:lang w:val="en-CA"/>
        </w:rPr>
        <w:t xml:space="preserve">compatible </w:t>
      </w:r>
      <w:r w:rsidR="00496E16" w:rsidRPr="0088092F">
        <w:rPr>
          <w:lang w:val="en-CA"/>
        </w:rPr>
        <w:t xml:space="preserve">with the </w:t>
      </w:r>
      <w:r w:rsidR="00461B74" w:rsidRPr="0088092F">
        <w:rPr>
          <w:lang w:val="en-CA"/>
        </w:rPr>
        <w:t xml:space="preserve">protection </w:t>
      </w:r>
      <w:r w:rsidR="00496E16" w:rsidRPr="0088092F">
        <w:rPr>
          <w:lang w:val="en-CA"/>
        </w:rPr>
        <w:t xml:space="preserve">of the inmate’s </w:t>
      </w:r>
      <w:r w:rsidR="00461B74" w:rsidRPr="0088092F">
        <w:rPr>
          <w:lang w:val="en-CA"/>
        </w:rPr>
        <w:t>mental</w:t>
      </w:r>
      <w:r w:rsidR="00496E16" w:rsidRPr="0088092F">
        <w:rPr>
          <w:lang w:val="en-CA"/>
        </w:rPr>
        <w:t xml:space="preserve"> </w:t>
      </w:r>
      <w:r w:rsidR="00461B74" w:rsidRPr="0088092F">
        <w:rPr>
          <w:lang w:val="en-CA"/>
        </w:rPr>
        <w:t>health.</w:t>
      </w:r>
    </w:p>
    <w:p w14:paraId="211C09C9" w14:textId="5845F82B" w:rsidR="00461B74" w:rsidRPr="0088092F" w:rsidRDefault="003C5EC6" w:rsidP="00461B74">
      <w:pPr>
        <w:pStyle w:val="Paragraphe"/>
        <w:spacing w:line="280" w:lineRule="exact"/>
        <w:rPr>
          <w:lang w:val="en-CA"/>
        </w:rPr>
      </w:pPr>
      <w:r w:rsidRPr="0088092F">
        <w:rPr>
          <w:i/>
          <w:iCs/>
          <w:lang w:val="en-CA"/>
        </w:rPr>
        <w:t>H</w:t>
      </w:r>
      <w:r w:rsidR="00461B74" w:rsidRPr="0088092F">
        <w:rPr>
          <w:i/>
          <w:iCs/>
          <w:lang w:val="en-CA"/>
        </w:rPr>
        <w:t>abeas corpus</w:t>
      </w:r>
      <w:r w:rsidR="00461B74" w:rsidRPr="0088092F">
        <w:rPr>
          <w:lang w:val="en-CA"/>
        </w:rPr>
        <w:t xml:space="preserve"> perm</w:t>
      </w:r>
      <w:r w:rsidRPr="0088092F">
        <w:rPr>
          <w:lang w:val="en-CA"/>
        </w:rPr>
        <w:t xml:space="preserve">its challenges to distinct </w:t>
      </w:r>
      <w:r w:rsidR="00461B74" w:rsidRPr="0088092F">
        <w:rPr>
          <w:lang w:val="en-CA"/>
        </w:rPr>
        <w:t>form</w:t>
      </w:r>
      <w:r w:rsidR="00310CF0">
        <w:rPr>
          <w:lang w:val="en-CA"/>
        </w:rPr>
        <w:t>s</w:t>
      </w:r>
      <w:r w:rsidRPr="0088092F">
        <w:rPr>
          <w:lang w:val="en-CA"/>
        </w:rPr>
        <w:t xml:space="preserve"> of de</w:t>
      </w:r>
      <w:r w:rsidR="00461B74" w:rsidRPr="0088092F">
        <w:rPr>
          <w:lang w:val="en-CA"/>
        </w:rPr>
        <w:t xml:space="preserve">tention </w:t>
      </w:r>
      <w:r w:rsidRPr="0088092F">
        <w:rPr>
          <w:lang w:val="en-CA"/>
        </w:rPr>
        <w:t>such as solitary confinement</w:t>
      </w:r>
      <w:r w:rsidR="00461B74" w:rsidRPr="0088092F">
        <w:rPr>
          <w:lang w:val="en-CA"/>
        </w:rPr>
        <w:t xml:space="preserve">. </w:t>
      </w:r>
      <w:r w:rsidRPr="0088092F">
        <w:rPr>
          <w:lang w:val="en-CA"/>
        </w:rPr>
        <w:t xml:space="preserve">As </w:t>
      </w:r>
      <w:r w:rsidR="00461B74" w:rsidRPr="0088092F">
        <w:rPr>
          <w:lang w:val="en-CA"/>
        </w:rPr>
        <w:t>LeDain</w:t>
      </w:r>
      <w:r w:rsidR="000C7605" w:rsidRPr="0088092F">
        <w:rPr>
          <w:lang w:val="en-CA"/>
        </w:rPr>
        <w:t xml:space="preserve">, J. </w:t>
      </w:r>
      <w:r w:rsidRPr="0088092F">
        <w:rPr>
          <w:lang w:val="en-CA"/>
        </w:rPr>
        <w:t xml:space="preserve">explained </w:t>
      </w:r>
      <w:r w:rsidR="000C7605" w:rsidRPr="0088092F">
        <w:rPr>
          <w:lang w:val="en-CA"/>
        </w:rPr>
        <w:t xml:space="preserve">in </w:t>
      </w:r>
      <w:r w:rsidR="00461B74" w:rsidRPr="0088092F">
        <w:rPr>
          <w:i/>
          <w:iCs/>
          <w:lang w:val="en-CA"/>
        </w:rPr>
        <w:t>R. v. Miller</w:t>
      </w:r>
      <w:r w:rsidR="00461B74" w:rsidRPr="0088092F">
        <w:rPr>
          <w:lang w:val="en-CA"/>
        </w:rPr>
        <w:t>:</w:t>
      </w:r>
    </w:p>
    <w:p w14:paraId="4BB021D6" w14:textId="13346795" w:rsidR="00461B74" w:rsidRPr="0088092F" w:rsidRDefault="000C7605" w:rsidP="00461B74">
      <w:pPr>
        <w:pStyle w:val="Citationenretrait"/>
        <w:rPr>
          <w:lang w:val="en-CA"/>
        </w:rPr>
      </w:pPr>
      <w:r w:rsidRPr="0088092F">
        <w:rPr>
          <w:color w:val="000000"/>
          <w:spacing w:val="-3"/>
          <w:lang w:val="en-CA"/>
        </w:rPr>
        <w:t>I do not say that </w:t>
      </w:r>
      <w:r w:rsidRPr="0088092F">
        <w:rPr>
          <w:i/>
          <w:iCs/>
          <w:color w:val="000000"/>
          <w:spacing w:val="-3"/>
          <w:lang w:val="en-CA"/>
        </w:rPr>
        <w:t>habeas corpus</w:t>
      </w:r>
      <w:r w:rsidRPr="0088092F">
        <w:rPr>
          <w:color w:val="000000"/>
          <w:spacing w:val="-3"/>
          <w:lang w:val="en-CA"/>
        </w:rPr>
        <w:t> should lie to challenge any and all conditions of confinement in a penitentiary or prison, including the loss of any privilege enjoyed by the general inmate population. But it should lie in my opinion to challenge the validity of a distinct form of confinement or detention in which the actual physical constraint or deprivation of liberty, as distinct from the mere loss of certain privileges, is more restrictive or severe than the normal one in an institution.</w:t>
      </w:r>
      <w:r w:rsidR="00461B74" w:rsidRPr="0088092F">
        <w:rPr>
          <w:rStyle w:val="Appelnotedebasdep"/>
          <w:szCs w:val="22"/>
          <w:lang w:val="en-CA"/>
        </w:rPr>
        <w:footnoteReference w:id="89"/>
      </w:r>
    </w:p>
    <w:p w14:paraId="3F0EE2F6" w14:textId="49AF055E" w:rsidR="00461B74" w:rsidRPr="0088092F" w:rsidRDefault="003C5EC6" w:rsidP="00461B74">
      <w:pPr>
        <w:pStyle w:val="Paragraphe"/>
        <w:spacing w:line="280" w:lineRule="exact"/>
        <w:rPr>
          <w:lang w:val="en-CA"/>
        </w:rPr>
      </w:pPr>
      <w:r w:rsidRPr="0088092F">
        <w:rPr>
          <w:lang w:val="en-CA"/>
        </w:rPr>
        <w:t xml:space="preserve">The criteria surrounding the </w:t>
      </w:r>
      <w:r w:rsidR="00461B74" w:rsidRPr="0088092F">
        <w:rPr>
          <w:lang w:val="en-CA"/>
        </w:rPr>
        <w:t>exam</w:t>
      </w:r>
      <w:r w:rsidRPr="0088092F">
        <w:rPr>
          <w:lang w:val="en-CA"/>
        </w:rPr>
        <w:t>ination of the lawfulness of an inmate’s de</w:t>
      </w:r>
      <w:r w:rsidR="00461B74" w:rsidRPr="0088092F">
        <w:rPr>
          <w:lang w:val="en-CA"/>
        </w:rPr>
        <w:t xml:space="preserve">tention </w:t>
      </w:r>
      <w:r w:rsidRPr="0088092F">
        <w:rPr>
          <w:lang w:val="en-CA"/>
        </w:rPr>
        <w:t xml:space="preserve">in solitary confinement are described in </w:t>
      </w:r>
      <w:r w:rsidR="00461B74" w:rsidRPr="0088092F">
        <w:rPr>
          <w:i/>
          <w:iCs/>
          <w:lang w:val="en-CA"/>
        </w:rPr>
        <w:t>May v. Ferndale</w:t>
      </w:r>
      <w:r w:rsidR="000C7605" w:rsidRPr="0088092F">
        <w:rPr>
          <w:i/>
          <w:iCs/>
          <w:lang w:val="en-CA"/>
        </w:rPr>
        <w:t xml:space="preserve"> Institution</w:t>
      </w:r>
      <w:r w:rsidR="00461B74" w:rsidRPr="0088092F">
        <w:rPr>
          <w:lang w:val="en-CA"/>
        </w:rPr>
        <w:t>:</w:t>
      </w:r>
    </w:p>
    <w:p w14:paraId="3925D780" w14:textId="65400B9B" w:rsidR="00461B74" w:rsidRPr="0088092F" w:rsidRDefault="00461B74" w:rsidP="00461B74">
      <w:pPr>
        <w:pStyle w:val="Citationenretrait"/>
        <w:rPr>
          <w:lang w:val="en-CA"/>
        </w:rPr>
      </w:pPr>
      <w:r w:rsidRPr="0088092F">
        <w:rPr>
          <w:lang w:val="en-CA"/>
        </w:rPr>
        <w:t>[77]</w:t>
      </w:r>
      <w:r w:rsidRPr="0088092F">
        <w:rPr>
          <w:lang w:val="en-CA"/>
        </w:rPr>
        <w:tab/>
      </w:r>
      <w:r w:rsidR="000C7605" w:rsidRPr="0088092F">
        <w:rPr>
          <w:lang w:val="en-CA"/>
        </w:rPr>
        <w:t>A deprivation of liberty will only be lawful where it is within the jurisdiction of the decision-maker. Absent express provision to the contrary, administrative decisions must be made in accordance with the </w:t>
      </w:r>
      <w:r w:rsidR="000C7605" w:rsidRPr="0088092F">
        <w:rPr>
          <w:i/>
          <w:iCs/>
          <w:lang w:val="en-CA"/>
        </w:rPr>
        <w:t>Charter</w:t>
      </w:r>
      <w:r w:rsidR="000C7605" w:rsidRPr="0088092F">
        <w:rPr>
          <w:lang w:val="en-CA"/>
        </w:rPr>
        <w:t>. Administrative decisions that violate the</w:t>
      </w:r>
      <w:r w:rsidR="000C7605" w:rsidRPr="0088092F">
        <w:rPr>
          <w:i/>
          <w:iCs/>
          <w:lang w:val="en-CA"/>
        </w:rPr>
        <w:t> Charter </w:t>
      </w:r>
      <w:r w:rsidR="000C7605" w:rsidRPr="0088092F">
        <w:rPr>
          <w:lang w:val="en-CA"/>
        </w:rPr>
        <w:t>are null and void for lack of jurisdiction: </w:t>
      </w:r>
      <w:r w:rsidR="000C7605" w:rsidRPr="0088092F">
        <w:rPr>
          <w:i/>
          <w:iCs/>
          <w:lang w:val="en-CA"/>
        </w:rPr>
        <w:t>Slaight Communications Inc. v. Davidson</w:t>
      </w:r>
      <w:r w:rsidR="000C7605" w:rsidRPr="0088092F">
        <w:rPr>
          <w:lang w:val="en-CA"/>
        </w:rPr>
        <w:t>, [1989] 1 S.C.R. 1038, at p. 1078. Section 7 of the </w:t>
      </w:r>
      <w:r w:rsidR="000C7605" w:rsidRPr="0088092F">
        <w:rPr>
          <w:i/>
          <w:iCs/>
          <w:lang w:val="en-CA"/>
        </w:rPr>
        <w:t>Charter</w:t>
      </w:r>
      <w:r w:rsidR="000C7605" w:rsidRPr="0088092F">
        <w:rPr>
          <w:lang w:val="en-CA"/>
        </w:rPr>
        <w:t> provides that an individual’s liberty cannot be impinged upon except in accordance with the principles of fundamental justice. Administrative decisions must also be made in accordance with the common law duty of procedural fairness and requisite statutory duties. Transfer decisions engaging inmates’ liberty interest must therefore respect those requirements.</w:t>
      </w:r>
      <w:r w:rsidRPr="0088092F">
        <w:rPr>
          <w:rStyle w:val="Appelnotedebasdep"/>
          <w:szCs w:val="22"/>
          <w:lang w:val="en-CA"/>
        </w:rPr>
        <w:footnoteReference w:id="90"/>
      </w:r>
    </w:p>
    <w:p w14:paraId="7BC9250F" w14:textId="5BDC5C5D" w:rsidR="00461B74" w:rsidRPr="0088092F" w:rsidRDefault="007E5C3D" w:rsidP="00461B74">
      <w:pPr>
        <w:pStyle w:val="Paragraphe"/>
        <w:spacing w:line="280" w:lineRule="exact"/>
        <w:rPr>
          <w:lang w:val="en-CA"/>
        </w:rPr>
      </w:pPr>
      <w:r w:rsidRPr="0088092F">
        <w:rPr>
          <w:lang w:val="en-CA"/>
        </w:rPr>
        <w:t xml:space="preserve">Thus, the </w:t>
      </w:r>
      <w:r w:rsidR="00461B74" w:rsidRPr="0088092F">
        <w:rPr>
          <w:lang w:val="en-CA"/>
        </w:rPr>
        <w:t>decision-making</w:t>
      </w:r>
      <w:r w:rsidRPr="0088092F">
        <w:rPr>
          <w:lang w:val="en-CA"/>
        </w:rPr>
        <w:t xml:space="preserve"> </w:t>
      </w:r>
      <w:r w:rsidR="00461B74" w:rsidRPr="0088092F">
        <w:rPr>
          <w:lang w:val="en-CA"/>
        </w:rPr>
        <w:t>process</w:t>
      </w:r>
      <w:r w:rsidRPr="0088092F">
        <w:rPr>
          <w:lang w:val="en-CA"/>
        </w:rPr>
        <w:t xml:space="preserve"> surrounding solitary confinement</w:t>
      </w:r>
      <w:r w:rsidR="00562514" w:rsidRPr="0088092F">
        <w:rPr>
          <w:lang w:val="en-CA"/>
        </w:rPr>
        <w:t xml:space="preserve"> “</w:t>
      </w:r>
      <w:r w:rsidR="00562514" w:rsidRPr="0088092F">
        <w:rPr>
          <w:color w:val="000000"/>
          <w:lang w:val="en-CA"/>
        </w:rPr>
        <w:t xml:space="preserve">must be fair, and the decision to detain must be both reasonable and compliant with the </w:t>
      </w:r>
      <w:r w:rsidR="00562514" w:rsidRPr="0088092F">
        <w:rPr>
          <w:i/>
          <w:color w:val="000000"/>
          <w:lang w:val="en-CA"/>
        </w:rPr>
        <w:t>Charter</w:t>
      </w:r>
      <w:r w:rsidR="00562514" w:rsidRPr="0088092F">
        <w:rPr>
          <w:color w:val="000000"/>
          <w:lang w:val="en-CA"/>
        </w:rPr>
        <w:t>”</w:t>
      </w:r>
      <w:r w:rsidR="00562514" w:rsidRPr="0088092F">
        <w:rPr>
          <w:lang w:val="en-CA"/>
        </w:rPr>
        <w:t>.</w:t>
      </w:r>
      <w:r w:rsidR="00461B74" w:rsidRPr="0088092F">
        <w:rPr>
          <w:rStyle w:val="Appelnotedebasdep"/>
          <w:lang w:val="en-CA"/>
        </w:rPr>
        <w:footnoteReference w:id="91"/>
      </w:r>
      <w:r w:rsidR="00461B74" w:rsidRPr="0088092F">
        <w:rPr>
          <w:lang w:val="en-CA"/>
        </w:rPr>
        <w:t xml:space="preserve"> </w:t>
      </w:r>
    </w:p>
    <w:p w14:paraId="6E9FAF4D" w14:textId="3D408796" w:rsidR="00461B74" w:rsidRPr="0088092F" w:rsidRDefault="009C6836" w:rsidP="00461B74">
      <w:pPr>
        <w:pStyle w:val="Paragraphe"/>
        <w:spacing w:line="280" w:lineRule="exact"/>
        <w:rPr>
          <w:lang w:val="en-CA"/>
        </w:rPr>
      </w:pPr>
      <w:r w:rsidRPr="0088092F">
        <w:rPr>
          <w:lang w:val="en-CA"/>
        </w:rPr>
        <w:t>I</w:t>
      </w:r>
      <w:r w:rsidR="00461B74" w:rsidRPr="0088092F">
        <w:rPr>
          <w:lang w:val="en-CA"/>
        </w:rPr>
        <w:t>n</w:t>
      </w:r>
      <w:r w:rsidRPr="0088092F">
        <w:rPr>
          <w:lang w:val="en-CA"/>
        </w:rPr>
        <w:t xml:space="preserve"> </w:t>
      </w:r>
      <w:r w:rsidR="00461B74" w:rsidRPr="0088092F">
        <w:rPr>
          <w:lang w:val="en-CA"/>
        </w:rPr>
        <w:t>view</w:t>
      </w:r>
      <w:r w:rsidRPr="0088092F">
        <w:rPr>
          <w:lang w:val="en-CA"/>
        </w:rPr>
        <w:t xml:space="preserve"> </w:t>
      </w:r>
      <w:r w:rsidR="00461B74" w:rsidRPr="0088092F">
        <w:rPr>
          <w:lang w:val="en-CA"/>
        </w:rPr>
        <w:t>of</w:t>
      </w:r>
      <w:r w:rsidRPr="0088092F">
        <w:rPr>
          <w:lang w:val="en-CA"/>
        </w:rPr>
        <w:t xml:space="preserve"> the effects and </w:t>
      </w:r>
      <w:r w:rsidR="00461B74" w:rsidRPr="0088092F">
        <w:rPr>
          <w:lang w:val="en-CA"/>
        </w:rPr>
        <w:t>cons</w:t>
      </w:r>
      <w:r w:rsidRPr="0088092F">
        <w:rPr>
          <w:lang w:val="en-CA"/>
        </w:rPr>
        <w:t>e</w:t>
      </w:r>
      <w:r w:rsidR="00461B74" w:rsidRPr="0088092F">
        <w:rPr>
          <w:lang w:val="en-CA"/>
        </w:rPr>
        <w:t xml:space="preserve">quences </w:t>
      </w:r>
      <w:r w:rsidRPr="0088092F">
        <w:rPr>
          <w:lang w:val="en-CA"/>
        </w:rPr>
        <w:t>of solitary confinement, th</w:t>
      </w:r>
      <w:r w:rsidR="00D71B37" w:rsidRPr="0088092F">
        <w:rPr>
          <w:lang w:val="en-CA"/>
        </w:rPr>
        <w:t>e</w:t>
      </w:r>
      <w:r w:rsidRPr="0088092F">
        <w:rPr>
          <w:lang w:val="en-CA"/>
        </w:rPr>
        <w:t xml:space="preserve"> courts should not adopt </w:t>
      </w:r>
      <w:r w:rsidR="00D71B37" w:rsidRPr="0088092F">
        <w:rPr>
          <w:lang w:val="en-CA"/>
        </w:rPr>
        <w:t>an overly rigid or f</w:t>
      </w:r>
      <w:r w:rsidR="00461B74" w:rsidRPr="0088092F">
        <w:rPr>
          <w:lang w:val="en-CA"/>
        </w:rPr>
        <w:t>ormalist</w:t>
      </w:r>
      <w:r w:rsidR="00D71B37" w:rsidRPr="0088092F">
        <w:rPr>
          <w:lang w:val="en-CA"/>
        </w:rPr>
        <w:t xml:space="preserve">ic approach when </w:t>
      </w:r>
      <w:r w:rsidR="00461B74" w:rsidRPr="0088092F">
        <w:rPr>
          <w:lang w:val="en-CA"/>
        </w:rPr>
        <w:t>analy</w:t>
      </w:r>
      <w:r w:rsidR="00D71B37" w:rsidRPr="0088092F">
        <w:rPr>
          <w:lang w:val="en-CA"/>
        </w:rPr>
        <w:t xml:space="preserve">zing challenges based on the </w:t>
      </w:r>
      <w:r w:rsidR="00461B74" w:rsidRPr="0088092F">
        <w:rPr>
          <w:i/>
          <w:iCs/>
          <w:lang w:val="en-CA"/>
        </w:rPr>
        <w:lastRenderedPageBreak/>
        <w:t>Charter</w:t>
      </w:r>
      <w:r w:rsidR="00D71B37" w:rsidRPr="0088092F">
        <w:rPr>
          <w:iCs/>
          <w:lang w:val="en-CA"/>
        </w:rPr>
        <w:t>.</w:t>
      </w:r>
      <w:r w:rsidR="00461B74" w:rsidRPr="0088092F">
        <w:rPr>
          <w:rStyle w:val="Appelnotedebasdep"/>
          <w:lang w:val="en-CA"/>
        </w:rPr>
        <w:footnoteReference w:id="92"/>
      </w:r>
      <w:r w:rsidR="00461B74" w:rsidRPr="0088092F">
        <w:rPr>
          <w:lang w:val="en-CA"/>
        </w:rPr>
        <w:t xml:space="preserve"> </w:t>
      </w:r>
      <w:r w:rsidR="00D71B37" w:rsidRPr="0088092F">
        <w:rPr>
          <w:i/>
          <w:lang w:val="en-CA"/>
        </w:rPr>
        <w:t>H</w:t>
      </w:r>
      <w:r w:rsidR="00461B74" w:rsidRPr="0088092F">
        <w:rPr>
          <w:i/>
          <w:iCs/>
          <w:lang w:val="en-CA"/>
        </w:rPr>
        <w:t xml:space="preserve">abeas corpus </w:t>
      </w:r>
      <w:r w:rsidR="000C496F" w:rsidRPr="0088092F">
        <w:rPr>
          <w:iCs/>
          <w:lang w:val="en-CA"/>
        </w:rPr>
        <w:t xml:space="preserve">is the appropriate </w:t>
      </w:r>
      <w:r w:rsidR="00461B74" w:rsidRPr="0088092F">
        <w:rPr>
          <w:lang w:val="en-CA"/>
        </w:rPr>
        <w:t>remedy</w:t>
      </w:r>
      <w:r w:rsidR="000C496F" w:rsidRPr="0088092F">
        <w:rPr>
          <w:lang w:val="en-CA"/>
        </w:rPr>
        <w:t xml:space="preserve"> for challenging solitary confinement that causes </w:t>
      </w:r>
      <w:r w:rsidR="005E6F1B" w:rsidRPr="0088092F">
        <w:rPr>
          <w:lang w:val="en-CA"/>
        </w:rPr>
        <w:t>prejudice</w:t>
      </w:r>
      <w:r w:rsidR="000C496F" w:rsidRPr="0088092F">
        <w:rPr>
          <w:lang w:val="en-CA"/>
        </w:rPr>
        <w:t xml:space="preserve"> to an inmate’s </w:t>
      </w:r>
      <w:r w:rsidR="00461B74" w:rsidRPr="0088092F">
        <w:rPr>
          <w:lang w:val="en-CA"/>
        </w:rPr>
        <w:t>mental</w:t>
      </w:r>
      <w:r w:rsidR="000C496F" w:rsidRPr="0088092F">
        <w:rPr>
          <w:lang w:val="en-CA"/>
        </w:rPr>
        <w:t xml:space="preserve"> </w:t>
      </w:r>
      <w:r w:rsidR="00461B74" w:rsidRPr="0088092F">
        <w:rPr>
          <w:lang w:val="en-CA"/>
        </w:rPr>
        <w:t>health</w:t>
      </w:r>
      <w:r w:rsidR="000C496F" w:rsidRPr="0088092F">
        <w:rPr>
          <w:lang w:val="en-CA"/>
        </w:rPr>
        <w:t>.</w:t>
      </w:r>
      <w:r w:rsidR="00461B74" w:rsidRPr="0088092F">
        <w:rPr>
          <w:rStyle w:val="Appelnotedebasdep"/>
          <w:lang w:val="en-CA"/>
        </w:rPr>
        <w:footnoteReference w:id="93"/>
      </w:r>
      <w:r w:rsidR="00461B74" w:rsidRPr="0088092F">
        <w:rPr>
          <w:lang w:val="en-CA"/>
        </w:rPr>
        <w:t xml:space="preserve">  </w:t>
      </w:r>
    </w:p>
    <w:p w14:paraId="7F150ABD" w14:textId="0DAF5182" w:rsidR="00461B74" w:rsidRPr="0088092F" w:rsidRDefault="00D759C9" w:rsidP="00461B74">
      <w:pPr>
        <w:pStyle w:val="Paragraphe"/>
        <w:spacing w:line="280" w:lineRule="exact"/>
        <w:rPr>
          <w:lang w:val="en-CA"/>
        </w:rPr>
      </w:pPr>
      <w:r w:rsidRPr="0088092F">
        <w:rPr>
          <w:lang w:val="en-CA"/>
        </w:rPr>
        <w:t xml:space="preserve">The effects of solitary confinement manifest themselves in the short, medium, and long term. It should be noted that, contrary to certain statements found in the </w:t>
      </w:r>
      <w:r w:rsidR="00461B74" w:rsidRPr="0088092F">
        <w:rPr>
          <w:lang w:val="en-CA"/>
        </w:rPr>
        <w:t>case</w:t>
      </w:r>
      <w:r w:rsidRPr="0088092F">
        <w:rPr>
          <w:lang w:val="en-CA"/>
        </w:rPr>
        <w:t xml:space="preserve"> </w:t>
      </w:r>
      <w:r w:rsidR="00461B74" w:rsidRPr="0088092F">
        <w:rPr>
          <w:lang w:val="en-CA"/>
        </w:rPr>
        <w:t>law</w:t>
      </w:r>
      <w:r w:rsidRPr="0088092F">
        <w:rPr>
          <w:lang w:val="en-CA"/>
        </w:rPr>
        <w:t>,</w:t>
      </w:r>
      <w:r w:rsidR="00461B74" w:rsidRPr="0088092F">
        <w:rPr>
          <w:rStyle w:val="Appelnotedebasdep"/>
          <w:lang w:val="en-CA"/>
        </w:rPr>
        <w:footnoteReference w:id="94"/>
      </w:r>
      <w:r w:rsidRPr="0088092F">
        <w:rPr>
          <w:lang w:val="en-CA"/>
        </w:rPr>
        <w:t xml:space="preserve"> the scope of </w:t>
      </w:r>
      <w:r w:rsidR="00461B74" w:rsidRPr="0088092F">
        <w:rPr>
          <w:i/>
          <w:iCs/>
          <w:lang w:val="en-CA"/>
        </w:rPr>
        <w:t>habeas corpus</w:t>
      </w:r>
      <w:r w:rsidR="00461B74" w:rsidRPr="0088092F">
        <w:rPr>
          <w:lang w:val="en-CA"/>
        </w:rPr>
        <w:t xml:space="preserve"> </w:t>
      </w:r>
      <w:r w:rsidR="00885D00" w:rsidRPr="0088092F">
        <w:rPr>
          <w:lang w:val="en-CA"/>
        </w:rPr>
        <w:t xml:space="preserve">is not limited </w:t>
      </w:r>
      <w:r w:rsidR="005F049C" w:rsidRPr="0088092F">
        <w:rPr>
          <w:lang w:val="en-CA"/>
        </w:rPr>
        <w:t>by</w:t>
      </w:r>
      <w:r w:rsidR="00885D00" w:rsidRPr="0088092F">
        <w:rPr>
          <w:lang w:val="en-CA"/>
        </w:rPr>
        <w:t xml:space="preserve"> a rigid </w:t>
      </w:r>
      <w:r w:rsidR="005F049C" w:rsidRPr="0088092F">
        <w:rPr>
          <w:lang w:val="en-CA"/>
        </w:rPr>
        <w:t xml:space="preserve">view according to which the </w:t>
      </w:r>
      <w:r w:rsidR="00461B74" w:rsidRPr="0088092F">
        <w:rPr>
          <w:lang w:val="en-CA"/>
        </w:rPr>
        <w:t>remedy</w:t>
      </w:r>
      <w:r w:rsidR="005F049C" w:rsidRPr="0088092F">
        <w:rPr>
          <w:lang w:val="en-CA"/>
        </w:rPr>
        <w:t xml:space="preserve"> does not permit a challenge to an inmate’s current detention </w:t>
      </w:r>
      <w:r w:rsidR="00461B74" w:rsidRPr="0088092F">
        <w:rPr>
          <w:lang w:val="en-CA"/>
        </w:rPr>
        <w:t xml:space="preserve">conditions </w:t>
      </w:r>
      <w:r w:rsidR="005F049C" w:rsidRPr="0088092F">
        <w:rPr>
          <w:lang w:val="en-CA"/>
        </w:rPr>
        <w:t>even if they are based on previous</w:t>
      </w:r>
      <w:r w:rsidR="00D7563F">
        <w:rPr>
          <w:lang w:val="en-CA"/>
        </w:rPr>
        <w:t xml:space="preserve"> periods of</w:t>
      </w:r>
      <w:r w:rsidR="005F049C" w:rsidRPr="0088092F">
        <w:rPr>
          <w:lang w:val="en-CA"/>
        </w:rPr>
        <w:t xml:space="preserve"> solitary confinement</w:t>
      </w:r>
      <w:r w:rsidR="00461B74" w:rsidRPr="0088092F">
        <w:rPr>
          <w:lang w:val="en-CA"/>
        </w:rPr>
        <w:t>.</w:t>
      </w:r>
    </w:p>
    <w:p w14:paraId="6549F8E8" w14:textId="3CEA6BDF" w:rsidR="00461B74" w:rsidRPr="0088092F" w:rsidRDefault="00735A82" w:rsidP="00461B74">
      <w:pPr>
        <w:pStyle w:val="Paragraphe"/>
        <w:spacing w:line="280" w:lineRule="exact"/>
        <w:rPr>
          <w:lang w:val="en-CA"/>
        </w:rPr>
      </w:pPr>
      <w:r w:rsidRPr="0088092F">
        <w:rPr>
          <w:lang w:val="en-CA"/>
        </w:rPr>
        <w:t xml:space="preserve">The right to protection </w:t>
      </w:r>
      <w:r w:rsidR="00030C2D">
        <w:rPr>
          <w:lang w:val="en-CA"/>
        </w:rPr>
        <w:t>from</w:t>
      </w:r>
      <w:r w:rsidR="00030C2D" w:rsidRPr="0088092F">
        <w:rPr>
          <w:lang w:val="en-CA"/>
        </w:rPr>
        <w:t xml:space="preserve"> </w:t>
      </w:r>
      <w:r w:rsidRPr="0088092F">
        <w:rPr>
          <w:lang w:val="en-CA"/>
        </w:rPr>
        <w:t xml:space="preserve">state intervention </w:t>
      </w:r>
      <w:r w:rsidR="00030C2D">
        <w:rPr>
          <w:lang w:val="en-CA"/>
        </w:rPr>
        <w:t>causing</w:t>
      </w:r>
      <w:r w:rsidRPr="0088092F">
        <w:rPr>
          <w:lang w:val="en-CA"/>
        </w:rPr>
        <w:t xml:space="preserve"> </w:t>
      </w:r>
      <w:r w:rsidR="000C27C5" w:rsidRPr="0088092F">
        <w:rPr>
          <w:lang w:val="en-CA"/>
        </w:rPr>
        <w:t xml:space="preserve">serious </w:t>
      </w:r>
      <w:r w:rsidR="00461B74" w:rsidRPr="0088092F">
        <w:rPr>
          <w:lang w:val="en-CA"/>
        </w:rPr>
        <w:t>psychological</w:t>
      </w:r>
      <w:r w:rsidR="000C27C5" w:rsidRPr="0088092F">
        <w:rPr>
          <w:lang w:val="en-CA"/>
        </w:rPr>
        <w:t xml:space="preserve"> </w:t>
      </w:r>
      <w:r w:rsidR="00461B74" w:rsidRPr="0088092F">
        <w:rPr>
          <w:lang w:val="en-CA"/>
        </w:rPr>
        <w:t>s</w:t>
      </w:r>
      <w:r w:rsidR="000C27C5" w:rsidRPr="0088092F">
        <w:rPr>
          <w:lang w:val="en-CA"/>
        </w:rPr>
        <w:t xml:space="preserve">uffering would not </w:t>
      </w:r>
      <w:r w:rsidR="00C827A1">
        <w:rPr>
          <w:lang w:val="en-CA"/>
        </w:rPr>
        <w:t>be meaningful without</w:t>
      </w:r>
      <w:r w:rsidR="00FE3A08">
        <w:rPr>
          <w:lang w:val="en-CA"/>
        </w:rPr>
        <w:t xml:space="preserve"> access </w:t>
      </w:r>
      <w:r w:rsidR="000C27C5" w:rsidRPr="0088092F">
        <w:rPr>
          <w:lang w:val="en-CA"/>
        </w:rPr>
        <w:t xml:space="preserve">to a responsive and effective </w:t>
      </w:r>
      <w:r w:rsidR="00461B74" w:rsidRPr="0088092F">
        <w:rPr>
          <w:lang w:val="en-CA"/>
        </w:rPr>
        <w:t>remedy</w:t>
      </w:r>
      <w:r w:rsidR="000C27C5" w:rsidRPr="0088092F">
        <w:rPr>
          <w:lang w:val="en-CA"/>
        </w:rPr>
        <w:t>.</w:t>
      </w:r>
      <w:r w:rsidR="00461B74" w:rsidRPr="0088092F">
        <w:rPr>
          <w:rStyle w:val="Appelnotedebasdep"/>
          <w:lang w:val="en-CA"/>
        </w:rPr>
        <w:footnoteReference w:id="95"/>
      </w:r>
    </w:p>
    <w:p w14:paraId="61DECD0C" w14:textId="1292D3E6" w:rsidR="00461B74" w:rsidRPr="0088092F" w:rsidRDefault="005E6F1B" w:rsidP="00461B74">
      <w:pPr>
        <w:pStyle w:val="Paragraphe"/>
        <w:spacing w:line="280" w:lineRule="exact"/>
        <w:rPr>
          <w:lang w:val="en-CA"/>
        </w:rPr>
      </w:pPr>
      <w:r w:rsidRPr="0088092F">
        <w:rPr>
          <w:i/>
          <w:iCs/>
          <w:lang w:val="en-CA"/>
        </w:rPr>
        <w:t>H</w:t>
      </w:r>
      <w:r w:rsidR="00461B74" w:rsidRPr="0088092F">
        <w:rPr>
          <w:i/>
          <w:iCs/>
          <w:lang w:val="en-CA"/>
        </w:rPr>
        <w:t>abeas corpus</w:t>
      </w:r>
      <w:r w:rsidR="00461B74" w:rsidRPr="0088092F">
        <w:rPr>
          <w:lang w:val="en-CA"/>
        </w:rPr>
        <w:t xml:space="preserve"> </w:t>
      </w:r>
      <w:r w:rsidRPr="0088092F">
        <w:rPr>
          <w:lang w:val="en-CA"/>
        </w:rPr>
        <w:t xml:space="preserve">is the best means of deciding the issues arising from the </w:t>
      </w:r>
      <w:r w:rsidR="00461B74" w:rsidRPr="0088092F">
        <w:rPr>
          <w:lang w:val="en-CA"/>
        </w:rPr>
        <w:t>pr</w:t>
      </w:r>
      <w:r w:rsidRPr="0088092F">
        <w:rPr>
          <w:lang w:val="en-CA"/>
        </w:rPr>
        <w:t>e</w:t>
      </w:r>
      <w:r w:rsidR="00461B74" w:rsidRPr="0088092F">
        <w:rPr>
          <w:lang w:val="en-CA"/>
        </w:rPr>
        <w:t>judice</w:t>
      </w:r>
      <w:r w:rsidRPr="0088092F">
        <w:rPr>
          <w:lang w:val="en-CA"/>
        </w:rPr>
        <w:t xml:space="preserve"> to an inmate’s health resulting from his or her </w:t>
      </w:r>
      <w:r w:rsidR="00461B74" w:rsidRPr="0088092F">
        <w:rPr>
          <w:lang w:val="en-CA"/>
        </w:rPr>
        <w:t xml:space="preserve">placement </w:t>
      </w:r>
      <w:r w:rsidRPr="0088092F">
        <w:rPr>
          <w:lang w:val="en-CA"/>
        </w:rPr>
        <w:t>in solitary confinement</w:t>
      </w:r>
      <w:r w:rsidR="00461B74" w:rsidRPr="0088092F">
        <w:rPr>
          <w:lang w:val="en-CA"/>
        </w:rPr>
        <w:t xml:space="preserve">. </w:t>
      </w:r>
    </w:p>
    <w:p w14:paraId="3B6D2D5C" w14:textId="2BFAFC7B" w:rsidR="00461B74" w:rsidRPr="0088092F" w:rsidRDefault="00461B74" w:rsidP="00461B74">
      <w:pPr>
        <w:pStyle w:val="Titre1"/>
        <w:spacing w:line="280" w:lineRule="exact"/>
        <w:ind w:left="709" w:hanging="709"/>
        <w:rPr>
          <w:lang w:val="en-CA"/>
        </w:rPr>
      </w:pPr>
      <w:bookmarkStart w:id="53" w:name="_Toc85547022"/>
      <w:r w:rsidRPr="0088092F">
        <w:rPr>
          <w:lang w:val="en-CA"/>
        </w:rPr>
        <w:t>VI -</w:t>
      </w:r>
      <w:r w:rsidRPr="0088092F">
        <w:rPr>
          <w:lang w:val="en-CA"/>
        </w:rPr>
        <w:tab/>
      </w:r>
      <w:r w:rsidR="00A8203D" w:rsidRPr="0088092F">
        <w:rPr>
          <w:lang w:val="en-CA"/>
        </w:rPr>
        <w:t xml:space="preserve">THE SCOPE OF THE </w:t>
      </w:r>
      <w:r w:rsidRPr="0088092F">
        <w:rPr>
          <w:lang w:val="en-CA"/>
        </w:rPr>
        <w:t>APPEL</w:t>
      </w:r>
      <w:r w:rsidR="00A8203D" w:rsidRPr="0088092F">
        <w:rPr>
          <w:lang w:val="en-CA"/>
        </w:rPr>
        <w:t>L</w:t>
      </w:r>
      <w:r w:rsidRPr="0088092F">
        <w:rPr>
          <w:lang w:val="en-CA"/>
        </w:rPr>
        <w:t>ANT</w:t>
      </w:r>
      <w:r w:rsidR="00A8203D" w:rsidRPr="0088092F">
        <w:rPr>
          <w:lang w:val="en-CA"/>
        </w:rPr>
        <w:t>’S CHALLENGE TO HIS</w:t>
      </w:r>
      <w:r w:rsidR="006C15B3" w:rsidRPr="0088092F">
        <w:rPr>
          <w:lang w:val="en-CA"/>
        </w:rPr>
        <w:t xml:space="preserve"> DETENTION </w:t>
      </w:r>
      <w:r w:rsidRPr="0088092F">
        <w:rPr>
          <w:lang w:val="en-CA"/>
        </w:rPr>
        <w:t>CONDITIONS</w:t>
      </w:r>
      <w:bookmarkEnd w:id="53"/>
    </w:p>
    <w:p w14:paraId="667200C1" w14:textId="77777777" w:rsidR="00461B74" w:rsidRPr="0088092F" w:rsidRDefault="00595501" w:rsidP="00461B74">
      <w:pPr>
        <w:pStyle w:val="Paragraphe"/>
        <w:spacing w:line="280" w:lineRule="exact"/>
        <w:rPr>
          <w:lang w:val="en-CA"/>
        </w:rPr>
      </w:pPr>
      <w:r w:rsidRPr="002C089E">
        <w:rPr>
          <w:lang w:val="en-CA"/>
        </w:rPr>
        <w:t>Although the trial judge was sensitive to the effects of solitary confinement on the appellant’s mental health, he did not fully address the challenge</w:t>
      </w:r>
      <w:r w:rsidRPr="0088092F">
        <w:rPr>
          <w:lang w:val="en-CA"/>
        </w:rPr>
        <w:t>.</w:t>
      </w:r>
    </w:p>
    <w:p w14:paraId="3E93E041" w14:textId="5DB20CED" w:rsidR="00461B74" w:rsidRPr="0088092F" w:rsidRDefault="006C15B3" w:rsidP="00461B74">
      <w:pPr>
        <w:pStyle w:val="Paragraphe"/>
        <w:spacing w:line="280" w:lineRule="exact"/>
        <w:rPr>
          <w:lang w:val="en-CA"/>
        </w:rPr>
      </w:pPr>
      <w:r w:rsidRPr="0088092F">
        <w:rPr>
          <w:lang w:val="en-CA"/>
        </w:rPr>
        <w:t xml:space="preserve">Recall that in his </w:t>
      </w:r>
      <w:r w:rsidR="00461B74" w:rsidRPr="0088092F">
        <w:rPr>
          <w:lang w:val="en-CA"/>
        </w:rPr>
        <w:t>remarks</w:t>
      </w:r>
      <w:r w:rsidRPr="0088092F">
        <w:rPr>
          <w:lang w:val="en-CA"/>
        </w:rPr>
        <w:t xml:space="preserve"> before the </w:t>
      </w:r>
      <w:r w:rsidR="00461B74" w:rsidRPr="0088092F">
        <w:rPr>
          <w:lang w:val="en-CA"/>
        </w:rPr>
        <w:t xml:space="preserve">judge, </w:t>
      </w:r>
      <w:r w:rsidRPr="0088092F">
        <w:rPr>
          <w:lang w:val="en-CA"/>
        </w:rPr>
        <w:t xml:space="preserve">the </w:t>
      </w:r>
      <w:r w:rsidR="00461B74" w:rsidRPr="0088092F">
        <w:rPr>
          <w:lang w:val="en-CA"/>
        </w:rPr>
        <w:t>appellant</w:t>
      </w:r>
      <w:r w:rsidR="00F85ACD" w:rsidRPr="0088092F">
        <w:rPr>
          <w:lang w:val="en-CA"/>
        </w:rPr>
        <w:t xml:space="preserve"> relied </w:t>
      </w:r>
      <w:r w:rsidR="00060EE0" w:rsidRPr="0088092F">
        <w:rPr>
          <w:lang w:val="en-CA"/>
        </w:rPr>
        <w:t xml:space="preserve">specifically </w:t>
      </w:r>
      <w:r w:rsidR="00F85ACD" w:rsidRPr="0088092F">
        <w:rPr>
          <w:lang w:val="en-CA"/>
        </w:rPr>
        <w:t xml:space="preserve">on the judgment of the Court of Appeal for </w:t>
      </w:r>
      <w:r w:rsidR="00461B74" w:rsidRPr="0088092F">
        <w:rPr>
          <w:lang w:val="en-CA"/>
        </w:rPr>
        <w:t xml:space="preserve">Ontario </w:t>
      </w:r>
      <w:r w:rsidR="00F85ACD" w:rsidRPr="0088092F">
        <w:rPr>
          <w:lang w:val="en-CA"/>
        </w:rPr>
        <w:t xml:space="preserve">in </w:t>
      </w:r>
      <w:r w:rsidR="00461B74" w:rsidRPr="0088092F">
        <w:rPr>
          <w:i/>
          <w:iCs/>
          <w:lang w:val="en-CA"/>
        </w:rPr>
        <w:t>CCLA</w:t>
      </w:r>
      <w:r w:rsidR="00461B74" w:rsidRPr="0088092F">
        <w:rPr>
          <w:lang w:val="en-CA"/>
        </w:rPr>
        <w:t xml:space="preserve"> </w:t>
      </w:r>
      <w:r w:rsidR="00F85ACD" w:rsidRPr="0088092F">
        <w:rPr>
          <w:lang w:val="en-CA"/>
        </w:rPr>
        <w:t xml:space="preserve">and that of the Court of Appeal for </w:t>
      </w:r>
      <w:r w:rsidR="00461B74" w:rsidRPr="0088092F">
        <w:rPr>
          <w:lang w:val="en-CA"/>
        </w:rPr>
        <w:t>British</w:t>
      </w:r>
      <w:r w:rsidR="00F85ACD" w:rsidRPr="0088092F">
        <w:rPr>
          <w:lang w:val="en-CA"/>
        </w:rPr>
        <w:t xml:space="preserve"> </w:t>
      </w:r>
      <w:r w:rsidR="00461B74" w:rsidRPr="0088092F">
        <w:rPr>
          <w:lang w:val="en-CA"/>
        </w:rPr>
        <w:t>Columbia</w:t>
      </w:r>
      <w:r w:rsidR="00F85ACD" w:rsidRPr="0088092F">
        <w:rPr>
          <w:lang w:val="en-CA"/>
        </w:rPr>
        <w:t xml:space="preserve"> in </w:t>
      </w:r>
      <w:r w:rsidR="00461B74" w:rsidRPr="0088092F">
        <w:rPr>
          <w:i/>
          <w:iCs/>
          <w:lang w:val="en-CA"/>
        </w:rPr>
        <w:t>BCCLA,</w:t>
      </w:r>
      <w:r w:rsidR="00461B74" w:rsidRPr="0088092F">
        <w:rPr>
          <w:lang w:val="en-CA"/>
        </w:rPr>
        <w:t xml:space="preserve"> </w:t>
      </w:r>
      <w:r w:rsidR="00F85ACD" w:rsidRPr="0088092F">
        <w:rPr>
          <w:lang w:val="en-CA"/>
        </w:rPr>
        <w:t xml:space="preserve">as well as on the </w:t>
      </w:r>
      <w:r w:rsidR="006834A6" w:rsidRPr="0088092F">
        <w:rPr>
          <w:iCs/>
          <w:lang w:val="en-CA"/>
        </w:rPr>
        <w:t>Nelson Mandela Rules</w:t>
      </w:r>
      <w:r w:rsidR="00F85ACD" w:rsidRPr="0088092F">
        <w:rPr>
          <w:iCs/>
          <w:lang w:val="en-CA"/>
        </w:rPr>
        <w:t>.</w:t>
      </w:r>
      <w:r w:rsidR="00461B74" w:rsidRPr="0088092F">
        <w:rPr>
          <w:rStyle w:val="Appelnotedebasdep"/>
          <w:lang w:val="en-CA"/>
        </w:rPr>
        <w:footnoteReference w:id="96"/>
      </w:r>
    </w:p>
    <w:p w14:paraId="4A0EE5EB" w14:textId="6D8E62AF" w:rsidR="00461B74" w:rsidRPr="0088092F" w:rsidRDefault="00F85ACD" w:rsidP="00461B74">
      <w:pPr>
        <w:pStyle w:val="Paragraphe"/>
        <w:spacing w:line="280" w:lineRule="exact"/>
        <w:rPr>
          <w:lang w:val="en-CA"/>
        </w:rPr>
      </w:pPr>
      <w:r w:rsidRPr="0088092F">
        <w:rPr>
          <w:lang w:val="en-CA"/>
        </w:rPr>
        <w:t xml:space="preserve">The </w:t>
      </w:r>
      <w:r w:rsidR="006834A6" w:rsidRPr="0088092F">
        <w:rPr>
          <w:iCs/>
          <w:lang w:val="en-CA"/>
        </w:rPr>
        <w:t>Nelson Mandela Rules</w:t>
      </w:r>
      <w:r w:rsidR="00461B74" w:rsidRPr="0088092F">
        <w:rPr>
          <w:rStyle w:val="Appelnotedebasdep"/>
          <w:iCs/>
          <w:lang w:val="en-CA"/>
        </w:rPr>
        <w:footnoteReference w:id="97"/>
      </w:r>
      <w:r w:rsidR="00461B74" w:rsidRPr="0088092F">
        <w:rPr>
          <w:lang w:val="en-CA"/>
        </w:rPr>
        <w:t xml:space="preserve"> </w:t>
      </w:r>
      <w:r w:rsidR="00277F72" w:rsidRPr="0088092F">
        <w:rPr>
          <w:lang w:val="en-CA"/>
        </w:rPr>
        <w:t>define solitary confinement as the confinement of prisoners for 22 hours or more a day without meaningful human contact</w:t>
      </w:r>
      <w:r w:rsidR="00461B74" w:rsidRPr="0088092F">
        <w:rPr>
          <w:lang w:val="en-CA"/>
        </w:rPr>
        <w:t xml:space="preserve">. </w:t>
      </w:r>
    </w:p>
    <w:p w14:paraId="38974D13" w14:textId="4DDA770D" w:rsidR="00461B74" w:rsidRPr="0088092F" w:rsidRDefault="00277F72" w:rsidP="00461B74">
      <w:pPr>
        <w:pStyle w:val="Paragraphe"/>
        <w:spacing w:line="280" w:lineRule="exact"/>
        <w:rPr>
          <w:lang w:val="en-CA"/>
        </w:rPr>
      </w:pPr>
      <w:r w:rsidRPr="0088092F">
        <w:rPr>
          <w:lang w:val="en-CA"/>
        </w:rPr>
        <w:t>According to these rules, solitary confinement must be used only in exceptional cases as a last resort, for as short a time as possible</w:t>
      </w:r>
      <w:r w:rsidR="00461B74" w:rsidRPr="0088092F">
        <w:rPr>
          <w:lang w:val="en-CA"/>
        </w:rPr>
        <w:t xml:space="preserve">. </w:t>
      </w:r>
      <w:r w:rsidR="00FC1463" w:rsidRPr="0088092F">
        <w:rPr>
          <w:lang w:val="en-CA"/>
        </w:rPr>
        <w:t>Use of solitary confinement must be authorized by a competent authority, and it must be subject to independent review</w:t>
      </w:r>
      <w:r w:rsidR="00461B74" w:rsidRPr="0088092F">
        <w:rPr>
          <w:lang w:val="en-CA"/>
        </w:rPr>
        <w:t xml:space="preserve">. </w:t>
      </w:r>
      <w:r w:rsidR="00FC1463" w:rsidRPr="0088092F">
        <w:rPr>
          <w:lang w:val="en-CA"/>
        </w:rPr>
        <w:lastRenderedPageBreak/>
        <w:t>Solitary confinement should be prohibited in the case of prisoners with mental or physical disabilities when their conditions would be exacerbated by such measures</w:t>
      </w:r>
      <w:r w:rsidR="00461B74" w:rsidRPr="0088092F">
        <w:rPr>
          <w:lang w:val="en-CA"/>
        </w:rPr>
        <w:t xml:space="preserve">. </w:t>
      </w:r>
    </w:p>
    <w:p w14:paraId="1F74B08A" w14:textId="1894C31C" w:rsidR="00461B74" w:rsidRPr="0088092F" w:rsidRDefault="009F2DD8" w:rsidP="00461B74">
      <w:pPr>
        <w:pStyle w:val="Paragraphe"/>
        <w:spacing w:line="280" w:lineRule="exact"/>
        <w:rPr>
          <w:lang w:val="en-CA"/>
        </w:rPr>
      </w:pPr>
      <w:r w:rsidRPr="0088092F">
        <w:rPr>
          <w:lang w:val="en-CA"/>
        </w:rPr>
        <w:t>Solitary confinement for a time period in excess of 15 consecutive days is considered prolonged solitary confinement</w:t>
      </w:r>
      <w:r w:rsidR="00461B74" w:rsidRPr="0088092F">
        <w:rPr>
          <w:lang w:val="en-CA"/>
        </w:rPr>
        <w:t xml:space="preserve">. </w:t>
      </w:r>
      <w:r w:rsidR="000D0536" w:rsidRPr="0088092F">
        <w:rPr>
          <w:lang w:val="en-CA"/>
        </w:rPr>
        <w:t xml:space="preserve">Confinement of such </w:t>
      </w:r>
      <w:r w:rsidR="00461B74" w:rsidRPr="0088092F">
        <w:rPr>
          <w:lang w:val="en-CA"/>
        </w:rPr>
        <w:t>duration</w:t>
      </w:r>
      <w:r w:rsidR="000D0536" w:rsidRPr="0088092F">
        <w:rPr>
          <w:lang w:val="en-CA"/>
        </w:rPr>
        <w:t xml:space="preserve"> and indefinite solitary confinement are prohibited because they amount to cruel, inhuman, or degrading treatment</w:t>
      </w:r>
      <w:r w:rsidR="00461B74" w:rsidRPr="0088092F">
        <w:rPr>
          <w:lang w:val="en-CA"/>
        </w:rPr>
        <w:t xml:space="preserve">. </w:t>
      </w:r>
    </w:p>
    <w:p w14:paraId="5AA5616B" w14:textId="16CDAF55" w:rsidR="00461B74" w:rsidRPr="0088092F" w:rsidRDefault="00083FD9" w:rsidP="00461B74">
      <w:pPr>
        <w:pStyle w:val="Paragraphe"/>
        <w:spacing w:line="280" w:lineRule="exact"/>
        <w:rPr>
          <w:lang w:val="en-CA"/>
        </w:rPr>
      </w:pPr>
      <w:r w:rsidRPr="0088092F">
        <w:rPr>
          <w:lang w:val="en-CA"/>
        </w:rPr>
        <w:t xml:space="preserve">Health-care personnel must pay </w:t>
      </w:r>
      <w:r w:rsidR="00461B74" w:rsidRPr="0088092F">
        <w:rPr>
          <w:lang w:val="en-CA"/>
        </w:rPr>
        <w:t>attention</w:t>
      </w:r>
      <w:r w:rsidRPr="0088092F">
        <w:rPr>
          <w:lang w:val="en-CA"/>
        </w:rPr>
        <w:t xml:space="preserve"> to </w:t>
      </w:r>
      <w:r w:rsidR="001834F5" w:rsidRPr="0088092F">
        <w:rPr>
          <w:lang w:val="en-CA"/>
        </w:rPr>
        <w:t>prisoners</w:t>
      </w:r>
      <w:r w:rsidRPr="0088092F">
        <w:rPr>
          <w:lang w:val="en-CA"/>
        </w:rPr>
        <w:t xml:space="preserve">, in particular by providing medical assistance and treatment at the request of such </w:t>
      </w:r>
      <w:r w:rsidR="001834F5" w:rsidRPr="0088092F">
        <w:rPr>
          <w:lang w:val="en-CA"/>
        </w:rPr>
        <w:t>prisoners</w:t>
      </w:r>
      <w:r w:rsidR="00461B74" w:rsidRPr="0088092F">
        <w:rPr>
          <w:lang w:val="en-CA"/>
        </w:rPr>
        <w:t xml:space="preserve">. </w:t>
      </w:r>
    </w:p>
    <w:p w14:paraId="1597240F" w14:textId="5A42BE48" w:rsidR="00461B74" w:rsidRPr="0088092F" w:rsidRDefault="00083FD9" w:rsidP="00461B74">
      <w:pPr>
        <w:pStyle w:val="Paragraphe"/>
        <w:spacing w:line="280" w:lineRule="exact"/>
        <w:rPr>
          <w:lang w:val="en-CA"/>
        </w:rPr>
      </w:pPr>
      <w:r w:rsidRPr="0088092F">
        <w:rPr>
          <w:lang w:val="en-CA"/>
        </w:rPr>
        <w:t xml:space="preserve">Health-care personnel must report any adverse effect of disciplinary sanctions </w:t>
      </w:r>
      <w:r w:rsidR="001834F5" w:rsidRPr="0088092F">
        <w:rPr>
          <w:lang w:val="en-CA"/>
        </w:rPr>
        <w:t xml:space="preserve">on the health of a prisoner </w:t>
      </w:r>
      <w:r w:rsidRPr="0088092F">
        <w:rPr>
          <w:lang w:val="en-CA"/>
        </w:rPr>
        <w:t>to the prison direct</w:t>
      </w:r>
      <w:r w:rsidR="001834F5" w:rsidRPr="0088092F">
        <w:rPr>
          <w:lang w:val="en-CA"/>
        </w:rPr>
        <w:t>or</w:t>
      </w:r>
      <w:r w:rsidR="00CC2297" w:rsidRPr="0088092F">
        <w:rPr>
          <w:lang w:val="en-CA"/>
        </w:rPr>
        <w:t xml:space="preserve"> and advise the director if they consider it necessary to terminate or alter the </w:t>
      </w:r>
      <w:r w:rsidR="00461B74" w:rsidRPr="0088092F">
        <w:rPr>
          <w:lang w:val="en-CA"/>
        </w:rPr>
        <w:t>sanction</w:t>
      </w:r>
      <w:r w:rsidR="00CC2297" w:rsidRPr="0088092F">
        <w:rPr>
          <w:lang w:val="en-CA"/>
        </w:rPr>
        <w:t xml:space="preserve"> for medical reasons</w:t>
      </w:r>
      <w:r w:rsidR="00461B74" w:rsidRPr="0088092F">
        <w:rPr>
          <w:lang w:val="en-CA"/>
        </w:rPr>
        <w:t xml:space="preserve">. </w:t>
      </w:r>
    </w:p>
    <w:p w14:paraId="624F1349" w14:textId="7C9ECFDD" w:rsidR="00461B74" w:rsidRPr="0088092F" w:rsidRDefault="00461B74" w:rsidP="00461B74">
      <w:pPr>
        <w:pStyle w:val="Paragraphe"/>
        <w:spacing w:line="280" w:lineRule="exact"/>
        <w:rPr>
          <w:lang w:val="en-CA"/>
        </w:rPr>
      </w:pPr>
      <w:r w:rsidRPr="0088092F">
        <w:rPr>
          <w:lang w:val="en-CA"/>
        </w:rPr>
        <w:t>Final</w:t>
      </w:r>
      <w:r w:rsidR="00A20D9B" w:rsidRPr="0088092F">
        <w:rPr>
          <w:lang w:val="en-CA"/>
        </w:rPr>
        <w:t xml:space="preserve">ly, health-care personnel must have the </w:t>
      </w:r>
      <w:r w:rsidR="009E1492" w:rsidRPr="0088092F">
        <w:rPr>
          <w:lang w:val="en-CA"/>
        </w:rPr>
        <w:t>authority</w:t>
      </w:r>
      <w:r w:rsidR="00A20D9B" w:rsidRPr="0088092F">
        <w:rPr>
          <w:lang w:val="en-CA"/>
        </w:rPr>
        <w:t xml:space="preserve"> </w:t>
      </w:r>
      <w:r w:rsidR="009E1492" w:rsidRPr="0088092F">
        <w:rPr>
          <w:lang w:val="en-CA"/>
        </w:rPr>
        <w:t xml:space="preserve">to review and recommend changes to solitary confinement </w:t>
      </w:r>
      <w:r w:rsidRPr="0088092F">
        <w:rPr>
          <w:lang w:val="en-CA"/>
        </w:rPr>
        <w:t>me</w:t>
      </w:r>
      <w:r w:rsidR="004B2607" w:rsidRPr="0088092F">
        <w:rPr>
          <w:lang w:val="en-CA"/>
        </w:rPr>
        <w:t>a</w:t>
      </w:r>
      <w:r w:rsidRPr="0088092F">
        <w:rPr>
          <w:lang w:val="en-CA"/>
        </w:rPr>
        <w:t xml:space="preserve">sures </w:t>
      </w:r>
      <w:r w:rsidR="004B2607" w:rsidRPr="0088092F">
        <w:rPr>
          <w:lang w:val="en-CA"/>
        </w:rPr>
        <w:t>imposed</w:t>
      </w:r>
      <w:r w:rsidR="00E304DF" w:rsidRPr="0088092F">
        <w:rPr>
          <w:lang w:val="en-CA"/>
        </w:rPr>
        <w:t xml:space="preserve"> on a prisoner to ensure that it does not exacerbate </w:t>
      </w:r>
      <w:r w:rsidR="00060EE0">
        <w:rPr>
          <w:lang w:val="en-CA"/>
        </w:rPr>
        <w:t>that prisoner’s</w:t>
      </w:r>
      <w:r w:rsidR="00E304DF" w:rsidRPr="0088092F">
        <w:rPr>
          <w:lang w:val="en-CA"/>
        </w:rPr>
        <w:t xml:space="preserve"> health</w:t>
      </w:r>
      <w:r w:rsidRPr="0088092F">
        <w:rPr>
          <w:lang w:val="en-CA"/>
        </w:rPr>
        <w:t xml:space="preserve">. </w:t>
      </w:r>
    </w:p>
    <w:p w14:paraId="0EA3CE6F" w14:textId="30A51E3A" w:rsidR="00461B74" w:rsidRPr="0088092F" w:rsidRDefault="0065616F" w:rsidP="00461B74">
      <w:pPr>
        <w:pStyle w:val="Paragraphe"/>
        <w:spacing w:line="280" w:lineRule="exact"/>
        <w:rPr>
          <w:lang w:val="en-CA"/>
        </w:rPr>
      </w:pPr>
      <w:r w:rsidRPr="0088092F">
        <w:rPr>
          <w:lang w:val="en-CA"/>
        </w:rPr>
        <w:t xml:space="preserve">In light of the teachings drawn from </w:t>
      </w:r>
      <w:r w:rsidR="00461B74" w:rsidRPr="0088092F">
        <w:rPr>
          <w:i/>
          <w:lang w:val="en-CA"/>
        </w:rPr>
        <w:t xml:space="preserve">BCCLA </w:t>
      </w:r>
      <w:r w:rsidRPr="0088092F">
        <w:rPr>
          <w:lang w:val="en-CA"/>
        </w:rPr>
        <w:t>and</w:t>
      </w:r>
      <w:r w:rsidR="00461B74" w:rsidRPr="0088092F">
        <w:rPr>
          <w:lang w:val="en-CA"/>
        </w:rPr>
        <w:t xml:space="preserve"> </w:t>
      </w:r>
      <w:r w:rsidR="00461B74" w:rsidRPr="0088092F">
        <w:rPr>
          <w:i/>
          <w:lang w:val="en-CA"/>
        </w:rPr>
        <w:t>CCLA</w:t>
      </w:r>
      <w:r w:rsidR="00461B74" w:rsidRPr="0088092F">
        <w:rPr>
          <w:lang w:val="en-CA"/>
        </w:rPr>
        <w:t xml:space="preserve"> </w:t>
      </w:r>
      <w:r w:rsidRPr="0088092F">
        <w:rPr>
          <w:lang w:val="en-CA"/>
        </w:rPr>
        <w:t xml:space="preserve">and the subsequent legislative </w:t>
      </w:r>
      <w:r w:rsidR="00461B74" w:rsidRPr="0088092F">
        <w:rPr>
          <w:lang w:val="en-CA"/>
        </w:rPr>
        <w:t>amendments</w:t>
      </w:r>
      <w:r w:rsidRPr="0088092F">
        <w:rPr>
          <w:lang w:val="en-CA"/>
        </w:rPr>
        <w:t xml:space="preserve"> to the </w:t>
      </w:r>
      <w:r w:rsidR="00D45771" w:rsidRPr="0088092F">
        <w:rPr>
          <w:i/>
          <w:iCs/>
          <w:lang w:val="en-CA"/>
        </w:rPr>
        <w:t>CCRA</w:t>
      </w:r>
      <w:r w:rsidR="00461B74" w:rsidRPr="0088092F">
        <w:rPr>
          <w:lang w:val="en-CA"/>
        </w:rPr>
        <w:t xml:space="preserve">, </w:t>
      </w:r>
      <w:r w:rsidRPr="0088092F">
        <w:rPr>
          <w:lang w:val="en-CA"/>
        </w:rPr>
        <w:t xml:space="preserve">the </w:t>
      </w:r>
      <w:r w:rsidR="00461B74" w:rsidRPr="0088092F">
        <w:rPr>
          <w:lang w:val="en-CA"/>
        </w:rPr>
        <w:t>appellant invo</w:t>
      </w:r>
      <w:r w:rsidRPr="0088092F">
        <w:rPr>
          <w:lang w:val="en-CA"/>
        </w:rPr>
        <w:t xml:space="preserve">kes the procedural and substantive guarantees of the </w:t>
      </w:r>
      <w:r w:rsidR="006834A6" w:rsidRPr="0088092F">
        <w:rPr>
          <w:iCs/>
          <w:lang w:val="en-CA"/>
        </w:rPr>
        <w:t>Nelson Mandela Rules</w:t>
      </w:r>
      <w:r w:rsidR="00461B74" w:rsidRPr="0088092F">
        <w:rPr>
          <w:rStyle w:val="Appelnotedebasdep"/>
          <w:lang w:val="en-CA"/>
        </w:rPr>
        <w:footnoteReference w:id="98"/>
      </w:r>
      <w:r w:rsidR="00461B74" w:rsidRPr="0088092F">
        <w:rPr>
          <w:i/>
          <w:iCs/>
          <w:lang w:val="en-CA"/>
        </w:rPr>
        <w:t xml:space="preserve"> </w:t>
      </w:r>
      <w:r w:rsidRPr="0088092F">
        <w:rPr>
          <w:lang w:val="en-CA"/>
        </w:rPr>
        <w:t>t</w:t>
      </w:r>
      <w:r w:rsidR="00461B74" w:rsidRPr="0088092F">
        <w:rPr>
          <w:lang w:val="en-CA"/>
        </w:rPr>
        <w:t>o c</w:t>
      </w:r>
      <w:r w:rsidRPr="0088092F">
        <w:rPr>
          <w:lang w:val="en-CA"/>
        </w:rPr>
        <w:t xml:space="preserve">hallenge both the </w:t>
      </w:r>
      <w:r w:rsidR="00461B74" w:rsidRPr="0088092F">
        <w:rPr>
          <w:lang w:val="en-CA"/>
        </w:rPr>
        <w:t>decision-making</w:t>
      </w:r>
      <w:r w:rsidRPr="0088092F">
        <w:rPr>
          <w:lang w:val="en-CA"/>
        </w:rPr>
        <w:t xml:space="preserve"> </w:t>
      </w:r>
      <w:r w:rsidR="00461B74" w:rsidRPr="0088092F">
        <w:rPr>
          <w:lang w:val="en-CA"/>
        </w:rPr>
        <w:t>process</w:t>
      </w:r>
      <w:r w:rsidRPr="0088092F">
        <w:rPr>
          <w:lang w:val="en-CA"/>
        </w:rPr>
        <w:t xml:space="preserve"> and the </w:t>
      </w:r>
      <w:r w:rsidR="001001E5" w:rsidRPr="0088092F">
        <w:rPr>
          <w:lang w:val="en-CA"/>
        </w:rPr>
        <w:t xml:space="preserve">detention </w:t>
      </w:r>
      <w:r w:rsidR="00461B74" w:rsidRPr="0088092F">
        <w:rPr>
          <w:lang w:val="en-CA"/>
        </w:rPr>
        <w:t xml:space="preserve">conditions </w:t>
      </w:r>
      <w:r w:rsidR="001001E5" w:rsidRPr="0088092F">
        <w:rPr>
          <w:lang w:val="en-CA"/>
        </w:rPr>
        <w:t>he was subjected to</w:t>
      </w:r>
      <w:r w:rsidR="00461B74" w:rsidRPr="0088092F">
        <w:rPr>
          <w:lang w:val="en-CA"/>
        </w:rPr>
        <w:t xml:space="preserve">.   </w:t>
      </w:r>
    </w:p>
    <w:p w14:paraId="3D3335EA" w14:textId="4145AE7C" w:rsidR="00461B74" w:rsidRPr="0088092F" w:rsidRDefault="0077392E" w:rsidP="00461B74">
      <w:pPr>
        <w:pStyle w:val="Paragraphe"/>
        <w:spacing w:line="280" w:lineRule="exact"/>
        <w:rPr>
          <w:lang w:val="en-CA"/>
        </w:rPr>
      </w:pPr>
      <w:r w:rsidRPr="0088092F">
        <w:rPr>
          <w:lang w:val="en-CA"/>
        </w:rPr>
        <w:t xml:space="preserve">Relying on </w:t>
      </w:r>
      <w:r w:rsidR="00461B74" w:rsidRPr="0088092F">
        <w:rPr>
          <w:i/>
          <w:lang w:val="en-CA"/>
        </w:rPr>
        <w:t>BCCLA</w:t>
      </w:r>
      <w:r w:rsidR="00461B74" w:rsidRPr="0088092F">
        <w:rPr>
          <w:lang w:val="en-CA"/>
        </w:rPr>
        <w:t xml:space="preserve">, </w:t>
      </w:r>
      <w:r w:rsidRPr="0088092F">
        <w:rPr>
          <w:lang w:val="en-CA"/>
        </w:rPr>
        <w:t xml:space="preserve">he </w:t>
      </w:r>
      <w:r w:rsidR="00461B74" w:rsidRPr="0088092F">
        <w:rPr>
          <w:lang w:val="en-CA"/>
        </w:rPr>
        <w:t>submit</w:t>
      </w:r>
      <w:r w:rsidRPr="0088092F">
        <w:rPr>
          <w:lang w:val="en-CA"/>
        </w:rPr>
        <w:t xml:space="preserve">s that </w:t>
      </w:r>
      <w:r w:rsidR="00461B74" w:rsidRPr="0088092F">
        <w:rPr>
          <w:lang w:val="en-CA"/>
        </w:rPr>
        <w:t xml:space="preserve">section 7 </w:t>
      </w:r>
      <w:r w:rsidRPr="0088092F">
        <w:rPr>
          <w:lang w:val="en-CA"/>
        </w:rPr>
        <w:t xml:space="preserve">of the </w:t>
      </w:r>
      <w:r w:rsidR="00461B74" w:rsidRPr="0088092F">
        <w:rPr>
          <w:i/>
          <w:iCs/>
          <w:lang w:val="en-CA"/>
        </w:rPr>
        <w:t>Charter</w:t>
      </w:r>
      <w:r w:rsidRPr="0088092F">
        <w:rPr>
          <w:iCs/>
          <w:lang w:val="en-CA"/>
        </w:rPr>
        <w:t>, which</w:t>
      </w:r>
      <w:r w:rsidR="000E0D30" w:rsidRPr="0088092F">
        <w:rPr>
          <w:iCs/>
          <w:lang w:val="en-CA"/>
        </w:rPr>
        <w:t xml:space="preserve"> guarantees </w:t>
      </w:r>
      <w:r w:rsidR="00461B74" w:rsidRPr="0088092F">
        <w:rPr>
          <w:lang w:val="en-CA"/>
        </w:rPr>
        <w:t xml:space="preserve">protection </w:t>
      </w:r>
      <w:r w:rsidR="000E0D30" w:rsidRPr="0088092F">
        <w:rPr>
          <w:lang w:val="en-CA"/>
        </w:rPr>
        <w:t xml:space="preserve">against </w:t>
      </w:r>
      <w:r w:rsidRPr="0088092F">
        <w:rPr>
          <w:lang w:val="en-CA"/>
        </w:rPr>
        <w:t>“</w:t>
      </w:r>
      <w:r w:rsidRPr="0088092F">
        <w:rPr>
          <w:color w:val="000000"/>
          <w:lang w:val="en-CA"/>
        </w:rPr>
        <w:t>state interference with an individual’s physical or psychological integrity, including any state action that causes physical or serious psychological suffering</w:t>
      </w:r>
      <w:r w:rsidR="000E0D30" w:rsidRPr="0088092F">
        <w:rPr>
          <w:color w:val="000000"/>
          <w:lang w:val="en-CA"/>
        </w:rPr>
        <w:t>”,</w:t>
      </w:r>
      <w:r w:rsidR="00461B74" w:rsidRPr="0088092F">
        <w:rPr>
          <w:rStyle w:val="Appelnotedebasdep"/>
          <w:lang w:val="en-CA"/>
        </w:rPr>
        <w:footnoteReference w:id="99"/>
      </w:r>
      <w:r w:rsidR="000E0D30" w:rsidRPr="0088092F">
        <w:rPr>
          <w:color w:val="000000"/>
          <w:lang w:val="en-CA"/>
        </w:rPr>
        <w:t xml:space="preserve"> </w:t>
      </w:r>
      <w:r w:rsidR="00EA387B">
        <w:rPr>
          <w:color w:val="000000"/>
          <w:lang w:val="en-CA"/>
        </w:rPr>
        <w:t>applies to</w:t>
      </w:r>
      <w:r w:rsidR="00EA387B" w:rsidRPr="0088092F">
        <w:rPr>
          <w:color w:val="000000"/>
          <w:lang w:val="en-CA"/>
        </w:rPr>
        <w:t xml:space="preserve"> </w:t>
      </w:r>
      <w:r w:rsidR="000E0D30" w:rsidRPr="0088092F">
        <w:rPr>
          <w:color w:val="000000"/>
          <w:lang w:val="en-CA"/>
        </w:rPr>
        <w:t xml:space="preserve">solitary confinement. Moreover, the </w:t>
      </w:r>
      <w:r w:rsidR="006834A6" w:rsidRPr="0088092F">
        <w:rPr>
          <w:iCs/>
          <w:lang w:val="en-CA"/>
        </w:rPr>
        <w:t>Nelson Mandela Rules</w:t>
      </w:r>
      <w:r w:rsidR="00461B74" w:rsidRPr="0088092F">
        <w:rPr>
          <w:lang w:val="en-CA"/>
        </w:rPr>
        <w:t xml:space="preserve"> </w:t>
      </w:r>
      <w:r w:rsidR="000E0D30" w:rsidRPr="0088092F">
        <w:rPr>
          <w:lang w:val="en-CA"/>
        </w:rPr>
        <w:t xml:space="preserve">reflect an international </w:t>
      </w:r>
      <w:r w:rsidR="00461B74" w:rsidRPr="0088092F">
        <w:rPr>
          <w:lang w:val="en-CA"/>
        </w:rPr>
        <w:t>consensus</w:t>
      </w:r>
      <w:r w:rsidR="000E0D30" w:rsidRPr="0088092F">
        <w:rPr>
          <w:lang w:val="en-CA"/>
        </w:rPr>
        <w:t>,</w:t>
      </w:r>
      <w:r w:rsidR="00461B74" w:rsidRPr="0088092F">
        <w:rPr>
          <w:rStyle w:val="Appelnotedebasdep"/>
          <w:lang w:val="en-CA"/>
        </w:rPr>
        <w:footnoteReference w:id="100"/>
      </w:r>
      <w:r w:rsidR="00461B74" w:rsidRPr="0088092F">
        <w:rPr>
          <w:lang w:val="en-CA"/>
        </w:rPr>
        <w:t xml:space="preserve"> </w:t>
      </w:r>
      <w:r w:rsidR="000E0D30" w:rsidRPr="0088092F">
        <w:rPr>
          <w:lang w:val="en-CA"/>
        </w:rPr>
        <w:t xml:space="preserve">and their procedural and substantial requirements define the </w:t>
      </w:r>
      <w:r w:rsidR="00461B74" w:rsidRPr="0088092F">
        <w:rPr>
          <w:lang w:val="en-CA"/>
        </w:rPr>
        <w:t>conten</w:t>
      </w:r>
      <w:r w:rsidR="0078288B" w:rsidRPr="0088092F">
        <w:rPr>
          <w:lang w:val="en-CA"/>
        </w:rPr>
        <w:t xml:space="preserve">t of fundamental justice such that the </w:t>
      </w:r>
      <w:r w:rsidR="00461B74" w:rsidRPr="0088092F">
        <w:rPr>
          <w:lang w:val="en-CA"/>
        </w:rPr>
        <w:t>conditions</w:t>
      </w:r>
      <w:r w:rsidR="0078288B" w:rsidRPr="0088092F">
        <w:rPr>
          <w:lang w:val="en-CA"/>
        </w:rPr>
        <w:t xml:space="preserve"> of his solitary confinement </w:t>
      </w:r>
      <w:r w:rsidR="00284D53">
        <w:rPr>
          <w:lang w:val="en-CA"/>
        </w:rPr>
        <w:t>should</w:t>
      </w:r>
      <w:r w:rsidR="00284D53" w:rsidRPr="0088092F">
        <w:rPr>
          <w:lang w:val="en-CA"/>
        </w:rPr>
        <w:t xml:space="preserve"> </w:t>
      </w:r>
      <w:r w:rsidR="0078288B" w:rsidRPr="0088092F">
        <w:rPr>
          <w:lang w:val="en-CA"/>
        </w:rPr>
        <w:t>be reviewed</w:t>
      </w:r>
      <w:r w:rsidR="00461B74" w:rsidRPr="0088092F">
        <w:rPr>
          <w:lang w:val="en-CA"/>
        </w:rPr>
        <w:t>.</w:t>
      </w:r>
    </w:p>
    <w:p w14:paraId="70A837AF" w14:textId="5BB86BFE" w:rsidR="00461B74" w:rsidRPr="0088092F" w:rsidRDefault="00622BFD" w:rsidP="00461B74">
      <w:pPr>
        <w:pStyle w:val="Paragraphe"/>
        <w:spacing w:line="280" w:lineRule="exact"/>
        <w:rPr>
          <w:lang w:val="en-CA"/>
        </w:rPr>
      </w:pPr>
      <w:r w:rsidRPr="0088092F">
        <w:rPr>
          <w:lang w:val="en-CA"/>
        </w:rPr>
        <w:t xml:space="preserve">Moreover, according to the </w:t>
      </w:r>
      <w:r w:rsidR="00461B74" w:rsidRPr="0088092F">
        <w:rPr>
          <w:lang w:val="en-CA"/>
        </w:rPr>
        <w:t xml:space="preserve">appellant, section 12 </w:t>
      </w:r>
      <w:r w:rsidRPr="0088092F">
        <w:rPr>
          <w:lang w:val="en-CA"/>
        </w:rPr>
        <w:t xml:space="preserve">of the </w:t>
      </w:r>
      <w:r w:rsidR="00461B74" w:rsidRPr="0088092F">
        <w:rPr>
          <w:lang w:val="en-CA"/>
        </w:rPr>
        <w:t xml:space="preserve">de la </w:t>
      </w:r>
      <w:r w:rsidR="00461B74" w:rsidRPr="0088092F">
        <w:rPr>
          <w:i/>
          <w:lang w:val="en-CA"/>
        </w:rPr>
        <w:t>Charter</w:t>
      </w:r>
      <w:r w:rsidR="00461B74" w:rsidRPr="0088092F">
        <w:rPr>
          <w:lang w:val="en-CA"/>
        </w:rPr>
        <w:t xml:space="preserve"> </w:t>
      </w:r>
      <w:r w:rsidRPr="0088092F">
        <w:rPr>
          <w:lang w:val="en-CA"/>
        </w:rPr>
        <w:t>protect</w:t>
      </w:r>
      <w:r w:rsidR="0042195E" w:rsidRPr="0088092F">
        <w:rPr>
          <w:lang w:val="en-CA"/>
        </w:rPr>
        <w:t xml:space="preserve">s against the </w:t>
      </w:r>
      <w:r w:rsidR="00461B74" w:rsidRPr="0088092F">
        <w:rPr>
          <w:lang w:val="en-CA"/>
        </w:rPr>
        <w:t>psychological</w:t>
      </w:r>
      <w:r w:rsidR="0042195E" w:rsidRPr="0088092F">
        <w:rPr>
          <w:lang w:val="en-CA"/>
        </w:rPr>
        <w:t xml:space="preserve"> </w:t>
      </w:r>
      <w:r w:rsidR="00A15220" w:rsidRPr="0088092F">
        <w:rPr>
          <w:lang w:val="en-CA"/>
        </w:rPr>
        <w:t>harm</w:t>
      </w:r>
      <w:r w:rsidR="0042195E" w:rsidRPr="0088092F">
        <w:rPr>
          <w:lang w:val="en-CA"/>
        </w:rPr>
        <w:t xml:space="preserve"> </w:t>
      </w:r>
      <w:r w:rsidR="00461B74" w:rsidRPr="0088092F">
        <w:rPr>
          <w:lang w:val="en-CA"/>
        </w:rPr>
        <w:t>associ</w:t>
      </w:r>
      <w:r w:rsidR="0042195E" w:rsidRPr="0088092F">
        <w:rPr>
          <w:lang w:val="en-CA"/>
        </w:rPr>
        <w:t>ated with solit</w:t>
      </w:r>
      <w:r w:rsidR="00A15220" w:rsidRPr="0088092F">
        <w:rPr>
          <w:lang w:val="en-CA"/>
        </w:rPr>
        <w:t>ary confinement</w:t>
      </w:r>
      <w:r w:rsidR="008B0669">
        <w:rPr>
          <w:lang w:val="en-CA"/>
        </w:rPr>
        <w:t xml:space="preserve"> that is prejudicial to</w:t>
      </w:r>
      <w:r w:rsidR="00A15220" w:rsidRPr="0088092F">
        <w:rPr>
          <w:lang w:val="en-CA"/>
        </w:rPr>
        <w:t xml:space="preserve"> </w:t>
      </w:r>
      <w:r w:rsidR="00A15220" w:rsidRPr="0088092F">
        <w:rPr>
          <w:lang w:val="en-CA"/>
        </w:rPr>
        <w:lastRenderedPageBreak/>
        <w:t>his me</w:t>
      </w:r>
      <w:r w:rsidR="00461B74" w:rsidRPr="0088092F">
        <w:rPr>
          <w:lang w:val="en-CA"/>
        </w:rPr>
        <w:t>ntal</w:t>
      </w:r>
      <w:r w:rsidR="00A15220" w:rsidRPr="0088092F">
        <w:rPr>
          <w:lang w:val="en-CA"/>
        </w:rPr>
        <w:t xml:space="preserve"> </w:t>
      </w:r>
      <w:r w:rsidR="00461B74" w:rsidRPr="0088092F">
        <w:rPr>
          <w:lang w:val="en-CA"/>
        </w:rPr>
        <w:t>health</w:t>
      </w:r>
      <w:r w:rsidR="00A15220" w:rsidRPr="0088092F">
        <w:rPr>
          <w:lang w:val="en-CA"/>
        </w:rPr>
        <w:t>.</w:t>
      </w:r>
      <w:r w:rsidR="00461B74" w:rsidRPr="0088092F">
        <w:rPr>
          <w:rStyle w:val="Appelnotedebasdep"/>
          <w:lang w:val="en-CA"/>
        </w:rPr>
        <w:footnoteReference w:id="101"/>
      </w:r>
      <w:r w:rsidR="00A15220" w:rsidRPr="0088092F">
        <w:rPr>
          <w:lang w:val="en-CA"/>
        </w:rPr>
        <w:t xml:space="preserve"> In the </w:t>
      </w:r>
      <w:r w:rsidR="00461B74" w:rsidRPr="0088092F">
        <w:rPr>
          <w:lang w:val="en-CA"/>
        </w:rPr>
        <w:t xml:space="preserve">circumstances, </w:t>
      </w:r>
      <w:r w:rsidR="00A15220" w:rsidRPr="0088092F">
        <w:rPr>
          <w:lang w:val="en-CA"/>
        </w:rPr>
        <w:t xml:space="preserve">solitary confinement constitutes cruel and unusual treatment because it is </w:t>
      </w:r>
      <w:r w:rsidR="001E3D1A" w:rsidRPr="0088092F">
        <w:rPr>
          <w:lang w:val="en-CA"/>
        </w:rPr>
        <w:t xml:space="preserve">an outrage </w:t>
      </w:r>
      <w:r w:rsidR="00333BDD" w:rsidRPr="0088092F">
        <w:rPr>
          <w:lang w:val="en-CA"/>
        </w:rPr>
        <w:t>to our standards of decency</w:t>
      </w:r>
      <w:r w:rsidR="00461B74" w:rsidRPr="0088092F">
        <w:rPr>
          <w:rStyle w:val="Appelnotedebasdep"/>
          <w:lang w:val="en-CA"/>
        </w:rPr>
        <w:footnoteReference w:id="102"/>
      </w:r>
      <w:r w:rsidR="00461B74" w:rsidRPr="0088092F">
        <w:rPr>
          <w:lang w:val="en-CA"/>
        </w:rPr>
        <w:t xml:space="preserve"> </w:t>
      </w:r>
      <w:r w:rsidR="00333BDD" w:rsidRPr="0088092F">
        <w:rPr>
          <w:lang w:val="en-CA"/>
        </w:rPr>
        <w:t xml:space="preserve">due to its </w:t>
      </w:r>
      <w:r w:rsidR="00461B74" w:rsidRPr="0088092F">
        <w:rPr>
          <w:lang w:val="en-CA"/>
        </w:rPr>
        <w:t xml:space="preserve">nature </w:t>
      </w:r>
      <w:r w:rsidR="00333BDD" w:rsidRPr="0088092F">
        <w:rPr>
          <w:lang w:val="en-CA"/>
        </w:rPr>
        <w:t>and its effects on prisoners’ mental health</w:t>
      </w:r>
      <w:r w:rsidR="00461B74" w:rsidRPr="0088092F">
        <w:rPr>
          <w:lang w:val="en-CA"/>
        </w:rPr>
        <w:t>.</w:t>
      </w:r>
    </w:p>
    <w:p w14:paraId="006D2113" w14:textId="0BEE8645" w:rsidR="00461B74" w:rsidRPr="0088092F" w:rsidRDefault="00DC1E54" w:rsidP="00461B74">
      <w:pPr>
        <w:pStyle w:val="Paragraphe"/>
        <w:spacing w:line="280" w:lineRule="exact"/>
        <w:rPr>
          <w:lang w:val="en-CA"/>
        </w:rPr>
      </w:pPr>
      <w:r>
        <w:rPr>
          <w:lang w:val="en-CA"/>
        </w:rPr>
        <w:t>S</w:t>
      </w:r>
      <w:r w:rsidR="00637299" w:rsidRPr="0088092F">
        <w:rPr>
          <w:lang w:val="en-CA"/>
        </w:rPr>
        <w:t xml:space="preserve">imilarly to the situation in </w:t>
      </w:r>
      <w:r w:rsidR="00461B74" w:rsidRPr="0088092F">
        <w:rPr>
          <w:i/>
          <w:iCs/>
          <w:lang w:val="en-CA"/>
        </w:rPr>
        <w:t>Hamm v</w:t>
      </w:r>
      <w:r w:rsidR="00637299" w:rsidRPr="0088092F">
        <w:rPr>
          <w:i/>
          <w:iCs/>
          <w:lang w:val="en-CA"/>
        </w:rPr>
        <w:t>.</w:t>
      </w:r>
      <w:r w:rsidR="00461B74" w:rsidRPr="0088092F">
        <w:rPr>
          <w:i/>
          <w:iCs/>
          <w:lang w:val="en-CA"/>
        </w:rPr>
        <w:t xml:space="preserve"> Attorney General of Canada (Edmonton Institution)</w:t>
      </w:r>
      <w:r w:rsidR="00637299" w:rsidRPr="0088092F">
        <w:rPr>
          <w:iCs/>
          <w:lang w:val="en-CA"/>
        </w:rPr>
        <w:t>,</w:t>
      </w:r>
      <w:r w:rsidR="00461B74" w:rsidRPr="0088092F">
        <w:rPr>
          <w:rStyle w:val="Appelnotedebasdep"/>
          <w:lang w:val="en-CA"/>
        </w:rPr>
        <w:footnoteReference w:id="103"/>
      </w:r>
      <w:r w:rsidR="00637299" w:rsidRPr="0088092F">
        <w:rPr>
          <w:iCs/>
          <w:lang w:val="en-CA"/>
        </w:rPr>
        <w:t xml:space="preserve"> </w:t>
      </w:r>
      <w:r>
        <w:rPr>
          <w:lang w:val="en-CA"/>
        </w:rPr>
        <w:t>t</w:t>
      </w:r>
      <w:r w:rsidRPr="0088092F">
        <w:rPr>
          <w:lang w:val="en-CA"/>
        </w:rPr>
        <w:t xml:space="preserve">he appellant therefore invited the judge </w:t>
      </w:r>
      <w:r w:rsidR="00637299" w:rsidRPr="0088092F">
        <w:rPr>
          <w:iCs/>
          <w:lang w:val="en-CA"/>
        </w:rPr>
        <w:t xml:space="preserve">to rely on the </w:t>
      </w:r>
      <w:r w:rsidR="006834A6" w:rsidRPr="0088092F">
        <w:rPr>
          <w:iCs/>
          <w:lang w:val="en-CA"/>
        </w:rPr>
        <w:t>Nelson Mandela Rules</w:t>
      </w:r>
      <w:r w:rsidR="00461B74" w:rsidRPr="0088092F">
        <w:rPr>
          <w:lang w:val="en-CA"/>
        </w:rPr>
        <w:t xml:space="preserve">, </w:t>
      </w:r>
      <w:r w:rsidR="00637299" w:rsidRPr="0088092F">
        <w:rPr>
          <w:lang w:val="en-CA"/>
        </w:rPr>
        <w:t xml:space="preserve">a non-binding </w:t>
      </w:r>
      <w:r w:rsidR="00461B74" w:rsidRPr="0088092F">
        <w:rPr>
          <w:lang w:val="en-CA"/>
        </w:rPr>
        <w:t xml:space="preserve">source </w:t>
      </w:r>
      <w:r w:rsidR="00637299" w:rsidRPr="0088092F">
        <w:rPr>
          <w:lang w:val="en-CA"/>
        </w:rPr>
        <w:t xml:space="preserve">of </w:t>
      </w:r>
      <w:r w:rsidR="00461B74" w:rsidRPr="0088092F">
        <w:rPr>
          <w:lang w:val="en-CA"/>
        </w:rPr>
        <w:t>international</w:t>
      </w:r>
      <w:r w:rsidR="00637299" w:rsidRPr="0088092F">
        <w:rPr>
          <w:lang w:val="en-CA"/>
        </w:rPr>
        <w:t xml:space="preserve"> </w:t>
      </w:r>
      <w:r w:rsidR="00461B74" w:rsidRPr="0088092F">
        <w:rPr>
          <w:lang w:val="en-CA"/>
        </w:rPr>
        <w:t>law</w:t>
      </w:r>
      <w:r w:rsidR="009616D9" w:rsidRPr="0088092F">
        <w:rPr>
          <w:lang w:val="en-CA"/>
        </w:rPr>
        <w:t>, for assistance in de</w:t>
      </w:r>
      <w:r w:rsidR="00280588" w:rsidRPr="0088092F">
        <w:rPr>
          <w:lang w:val="en-CA"/>
        </w:rPr>
        <w:t>fining</w:t>
      </w:r>
      <w:r w:rsidR="009616D9" w:rsidRPr="0088092F">
        <w:rPr>
          <w:lang w:val="en-CA"/>
        </w:rPr>
        <w:t xml:space="preserve"> the scope and content of the </w:t>
      </w:r>
      <w:r w:rsidR="009616D9" w:rsidRPr="0088092F">
        <w:rPr>
          <w:i/>
          <w:lang w:val="en-CA"/>
        </w:rPr>
        <w:t xml:space="preserve">Charter </w:t>
      </w:r>
      <w:r w:rsidR="009616D9" w:rsidRPr="0088092F">
        <w:rPr>
          <w:lang w:val="en-CA"/>
        </w:rPr>
        <w:t>rights he invoked</w:t>
      </w:r>
      <w:r w:rsidR="00E63B3E">
        <w:rPr>
          <w:lang w:val="en-CA"/>
        </w:rPr>
        <w:t>.</w:t>
      </w:r>
      <w:r w:rsidR="00461B74" w:rsidRPr="0088092F">
        <w:rPr>
          <w:rStyle w:val="Appelnotedebasdep"/>
          <w:lang w:val="en-CA"/>
        </w:rPr>
        <w:footnoteReference w:id="104"/>
      </w:r>
      <w:r w:rsidR="009616D9" w:rsidRPr="0088092F">
        <w:rPr>
          <w:lang w:val="en-CA"/>
        </w:rPr>
        <w:t xml:space="preserve"> </w:t>
      </w:r>
      <w:r w:rsidR="00E63B3E">
        <w:rPr>
          <w:lang w:val="en-CA"/>
        </w:rPr>
        <w:t>This</w:t>
      </w:r>
      <w:r w:rsidR="009616D9" w:rsidRPr="0088092F">
        <w:rPr>
          <w:lang w:val="en-CA"/>
        </w:rPr>
        <w:t xml:space="preserve"> </w:t>
      </w:r>
      <w:r w:rsidR="00D7563F">
        <w:rPr>
          <w:lang w:val="en-CA"/>
        </w:rPr>
        <w:t>sh</w:t>
      </w:r>
      <w:r w:rsidR="009616D9" w:rsidRPr="0088092F">
        <w:rPr>
          <w:lang w:val="en-CA"/>
        </w:rPr>
        <w:t xml:space="preserve">ould have led the </w:t>
      </w:r>
      <w:r w:rsidR="00461B74" w:rsidRPr="0088092F">
        <w:rPr>
          <w:lang w:val="en-CA"/>
        </w:rPr>
        <w:t>Superior</w:t>
      </w:r>
      <w:r w:rsidR="009616D9" w:rsidRPr="0088092F">
        <w:rPr>
          <w:lang w:val="en-CA"/>
        </w:rPr>
        <w:t xml:space="preserve"> </w:t>
      </w:r>
      <w:r w:rsidR="00461B74" w:rsidRPr="0088092F">
        <w:rPr>
          <w:lang w:val="en-CA"/>
        </w:rPr>
        <w:t>Court</w:t>
      </w:r>
      <w:r w:rsidR="009616D9" w:rsidRPr="0088092F">
        <w:rPr>
          <w:lang w:val="en-CA"/>
        </w:rPr>
        <w:t xml:space="preserve"> to order that his detention </w:t>
      </w:r>
      <w:r w:rsidR="00461B74" w:rsidRPr="0088092F">
        <w:rPr>
          <w:lang w:val="en-CA"/>
        </w:rPr>
        <w:t xml:space="preserve">conditions </w:t>
      </w:r>
      <w:r w:rsidR="009616D9" w:rsidRPr="0088092F">
        <w:rPr>
          <w:lang w:val="en-CA"/>
        </w:rPr>
        <w:t xml:space="preserve">must comply with the requirements of the </w:t>
      </w:r>
      <w:r w:rsidR="006834A6" w:rsidRPr="0088092F">
        <w:rPr>
          <w:iCs/>
          <w:lang w:val="en-CA"/>
        </w:rPr>
        <w:t>Nelson Mandela Rules</w:t>
      </w:r>
      <w:r w:rsidR="00461B74" w:rsidRPr="0088092F">
        <w:rPr>
          <w:lang w:val="en-CA"/>
        </w:rPr>
        <w:t xml:space="preserve"> </w:t>
      </w:r>
      <w:r w:rsidR="009616D9" w:rsidRPr="0088092F">
        <w:rPr>
          <w:lang w:val="en-CA"/>
        </w:rPr>
        <w:t xml:space="preserve">and that they take into account the </w:t>
      </w:r>
      <w:r w:rsidR="00461B74" w:rsidRPr="0088092F">
        <w:rPr>
          <w:lang w:val="en-CA"/>
        </w:rPr>
        <w:t>psychological</w:t>
      </w:r>
      <w:r w:rsidR="009616D9" w:rsidRPr="0088092F">
        <w:rPr>
          <w:lang w:val="en-CA"/>
        </w:rPr>
        <w:t xml:space="preserve"> harm established by the report he filed, which harm </w:t>
      </w:r>
      <w:r w:rsidR="00280588" w:rsidRPr="0088092F">
        <w:rPr>
          <w:lang w:val="en-CA"/>
        </w:rPr>
        <w:t>resulted from many previous periods of solitary confinement as well as others that were more recent</w:t>
      </w:r>
      <w:r w:rsidR="00461B74" w:rsidRPr="0088092F">
        <w:rPr>
          <w:lang w:val="en-CA"/>
        </w:rPr>
        <w:t>.</w:t>
      </w:r>
    </w:p>
    <w:p w14:paraId="759A89F9" w14:textId="33E4DE14" w:rsidR="00461B74" w:rsidRPr="0088092F" w:rsidRDefault="0043148F" w:rsidP="00461B74">
      <w:pPr>
        <w:pStyle w:val="Paragraphe"/>
        <w:spacing w:line="280" w:lineRule="exact"/>
        <w:rPr>
          <w:lang w:val="en-CA"/>
        </w:rPr>
      </w:pPr>
      <w:r w:rsidRPr="0088092F">
        <w:rPr>
          <w:lang w:val="en-CA"/>
        </w:rPr>
        <w:t xml:space="preserve">The </w:t>
      </w:r>
      <w:r w:rsidR="00461B74" w:rsidRPr="0088092F">
        <w:rPr>
          <w:lang w:val="en-CA"/>
        </w:rPr>
        <w:t>judge</w:t>
      </w:r>
      <w:r w:rsidRPr="0088092F">
        <w:rPr>
          <w:lang w:val="en-CA"/>
        </w:rPr>
        <w:t xml:space="preserve"> was of the view that [</w:t>
      </w:r>
      <w:r w:rsidRPr="0088092F">
        <w:rPr>
          <w:smallCaps/>
          <w:lang w:val="en-CA"/>
        </w:rPr>
        <w:t>translation</w:t>
      </w:r>
      <w:r w:rsidRPr="0088092F">
        <w:rPr>
          <w:lang w:val="en-CA"/>
        </w:rPr>
        <w:t>] “</w:t>
      </w:r>
      <w:r w:rsidR="00026976">
        <w:rPr>
          <w:lang w:val="en-CA"/>
        </w:rPr>
        <w:t>[</w:t>
      </w:r>
      <w:r w:rsidR="00F20E37" w:rsidRPr="0088092F">
        <w:rPr>
          <w:rFonts w:cs="Arial"/>
          <w:color w:val="000000"/>
          <w:szCs w:val="22"/>
          <w:lang w:val="en-CA" w:eastAsia="fr-CA"/>
        </w:rPr>
        <w:t>t</w:t>
      </w:r>
      <w:r w:rsidR="00026976">
        <w:rPr>
          <w:rFonts w:cs="Arial"/>
          <w:color w:val="000000"/>
          <w:szCs w:val="22"/>
          <w:lang w:val="en-CA" w:eastAsia="fr-CA"/>
        </w:rPr>
        <w:t>]</w:t>
      </w:r>
      <w:r w:rsidR="00F20E37" w:rsidRPr="0088092F">
        <w:rPr>
          <w:rFonts w:cs="Arial"/>
          <w:color w:val="000000"/>
          <w:szCs w:val="22"/>
          <w:lang w:val="en-CA" w:eastAsia="fr-CA"/>
        </w:rPr>
        <w:t xml:space="preserve">he </w:t>
      </w:r>
      <w:r w:rsidR="00F20E37" w:rsidRPr="0088092F">
        <w:rPr>
          <w:rFonts w:cs="Arial"/>
          <w:szCs w:val="22"/>
          <w:lang w:val="en-CA" w:eastAsia="fr-CA"/>
        </w:rPr>
        <w:t xml:space="preserve">decision to offer </w:t>
      </w:r>
      <w:r w:rsidR="00F20E37" w:rsidRPr="0088092F">
        <w:rPr>
          <w:rFonts w:cs="Arial"/>
          <w:color w:val="000000"/>
          <w:szCs w:val="22"/>
          <w:lang w:val="en-CA" w:eastAsia="fr-CA"/>
        </w:rPr>
        <w:t xml:space="preserve">Mr. Turbide-Labbé the possibility of integrating </w:t>
      </w:r>
      <w:r w:rsidR="000D079B">
        <w:rPr>
          <w:rFonts w:cs="Arial"/>
          <w:color w:val="000000"/>
          <w:szCs w:val="22"/>
          <w:lang w:val="en-CA" w:eastAsia="fr-CA"/>
        </w:rPr>
        <w:t>into an area</w:t>
      </w:r>
      <w:r w:rsidR="00F20E37" w:rsidRPr="0088092F">
        <w:rPr>
          <w:rFonts w:cs="Arial"/>
          <w:color w:val="000000"/>
          <w:szCs w:val="22"/>
          <w:lang w:val="en-CA" w:eastAsia="fr-CA"/>
        </w:rPr>
        <w:t xml:space="preserve"> permitting an increase in his residual liberty, where he would be under </w:t>
      </w:r>
      <w:r w:rsidR="00F20E37" w:rsidRPr="0088092F">
        <w:rPr>
          <w:rFonts w:cs="Arial"/>
          <w:szCs w:val="22"/>
          <w:lang w:val="en-CA" w:eastAsia="fr-CA"/>
        </w:rPr>
        <w:t xml:space="preserve">observation for a </w:t>
      </w:r>
      <w:r w:rsidR="00F20E37" w:rsidRPr="0088092F">
        <w:rPr>
          <w:rFonts w:cs="Arial"/>
          <w:color w:val="000000"/>
          <w:szCs w:val="22"/>
          <w:lang w:val="en-CA" w:eastAsia="fr-CA"/>
        </w:rPr>
        <w:t xml:space="preserve">certain period before integrating into the </w:t>
      </w:r>
      <w:r w:rsidR="00E9623C">
        <w:rPr>
          <w:rFonts w:cs="Arial"/>
          <w:color w:val="000000"/>
          <w:szCs w:val="22"/>
          <w:lang w:val="en-CA" w:eastAsia="fr-CA"/>
        </w:rPr>
        <w:t>general</w:t>
      </w:r>
      <w:r w:rsidR="00E9623C" w:rsidRPr="0088092F">
        <w:rPr>
          <w:rFonts w:cs="Arial"/>
          <w:color w:val="000000"/>
          <w:szCs w:val="22"/>
          <w:lang w:val="en-CA" w:eastAsia="fr-CA"/>
        </w:rPr>
        <w:t xml:space="preserve"> </w:t>
      </w:r>
      <w:r w:rsidR="00F20E37" w:rsidRPr="0088092F">
        <w:rPr>
          <w:rFonts w:cs="Arial"/>
          <w:color w:val="000000"/>
          <w:szCs w:val="22"/>
          <w:lang w:val="en-CA" w:eastAsia="fr-CA"/>
        </w:rPr>
        <w:t xml:space="preserve">prison population is lawful, </w:t>
      </w:r>
      <w:r w:rsidR="00F20E37" w:rsidRPr="0088092F">
        <w:rPr>
          <w:rFonts w:cs="Arial"/>
          <w:szCs w:val="22"/>
          <w:lang w:val="en-CA" w:eastAsia="fr-CA"/>
        </w:rPr>
        <w:t>reasonable, and among the possible acceptable outcomes”.</w:t>
      </w:r>
      <w:r w:rsidR="00461B74" w:rsidRPr="0088092F">
        <w:rPr>
          <w:rStyle w:val="Appelnotedebasdep"/>
          <w:lang w:val="en-CA"/>
        </w:rPr>
        <w:footnoteReference w:id="105"/>
      </w:r>
    </w:p>
    <w:p w14:paraId="44AC1EE0" w14:textId="105CE51C" w:rsidR="00461B74" w:rsidRPr="0088092F" w:rsidRDefault="00F20E37" w:rsidP="00461B74">
      <w:pPr>
        <w:pStyle w:val="Paragraphe"/>
        <w:spacing w:line="280" w:lineRule="exact"/>
        <w:rPr>
          <w:lang w:val="en-CA"/>
        </w:rPr>
      </w:pPr>
      <w:r w:rsidRPr="0088092F">
        <w:rPr>
          <w:lang w:val="en-CA"/>
        </w:rPr>
        <w:t>The</w:t>
      </w:r>
      <w:r w:rsidR="00595501" w:rsidRPr="0088092F">
        <w:rPr>
          <w:lang w:val="en-CA"/>
        </w:rPr>
        <w:t xml:space="preserve"> offer made by correctional authorities is not a decision.</w:t>
      </w:r>
      <w:r w:rsidR="00461B74" w:rsidRPr="0088092F">
        <w:rPr>
          <w:lang w:val="en-CA"/>
        </w:rPr>
        <w:t xml:space="preserve"> </w:t>
      </w:r>
      <w:r w:rsidR="00595501" w:rsidRPr="0088092F">
        <w:rPr>
          <w:lang w:val="en-CA"/>
        </w:rPr>
        <w:t>It is up to the correctional authorities to decide an inmate’s detention conditions based on the constitutional, legislative, and regulatory requirements governing such decisions.</w:t>
      </w:r>
    </w:p>
    <w:p w14:paraId="1A2961B3" w14:textId="0DACD896" w:rsidR="00461B74" w:rsidRPr="0088092F" w:rsidRDefault="0047744F" w:rsidP="00461B74">
      <w:pPr>
        <w:pStyle w:val="Paragraphe"/>
        <w:spacing w:line="280" w:lineRule="exact"/>
        <w:rPr>
          <w:lang w:val="en-CA"/>
        </w:rPr>
      </w:pPr>
      <w:r w:rsidRPr="0088092F">
        <w:rPr>
          <w:lang w:val="en-CA"/>
        </w:rPr>
        <w:t>Of course, the fact that an offer to trans</w:t>
      </w:r>
      <w:r w:rsidR="001C775C" w:rsidRPr="0088092F">
        <w:rPr>
          <w:lang w:val="en-CA"/>
        </w:rPr>
        <w:t>f</w:t>
      </w:r>
      <w:r w:rsidRPr="0088092F">
        <w:rPr>
          <w:lang w:val="en-CA"/>
        </w:rPr>
        <w:t xml:space="preserve">er an inmate to better detention </w:t>
      </w:r>
      <w:r w:rsidR="00461B74" w:rsidRPr="0088092F">
        <w:rPr>
          <w:lang w:val="en-CA"/>
        </w:rPr>
        <w:t xml:space="preserve">conditions </w:t>
      </w:r>
      <w:r w:rsidR="001C775C" w:rsidRPr="0088092F">
        <w:rPr>
          <w:lang w:val="en-CA"/>
        </w:rPr>
        <w:t>is refused by an inmate is a fact</w:t>
      </w:r>
      <w:r w:rsidR="00CF74BF">
        <w:rPr>
          <w:lang w:val="en-CA"/>
        </w:rPr>
        <w:t>o</w:t>
      </w:r>
      <w:r w:rsidR="001C775C" w:rsidRPr="0088092F">
        <w:rPr>
          <w:lang w:val="en-CA"/>
        </w:rPr>
        <w:t xml:space="preserve">r that will inevitably be considered </w:t>
      </w:r>
      <w:r w:rsidR="00707863">
        <w:rPr>
          <w:lang w:val="en-CA"/>
        </w:rPr>
        <w:t>when analyzing</w:t>
      </w:r>
      <w:r w:rsidR="001C775C" w:rsidRPr="0088092F">
        <w:rPr>
          <w:lang w:val="en-CA"/>
        </w:rPr>
        <w:t xml:space="preserve"> the </w:t>
      </w:r>
      <w:r w:rsidR="00461B74" w:rsidRPr="0088092F">
        <w:rPr>
          <w:lang w:val="en-CA"/>
        </w:rPr>
        <w:t>reasonableness</w:t>
      </w:r>
      <w:r w:rsidR="001C775C" w:rsidRPr="0088092F">
        <w:rPr>
          <w:lang w:val="en-CA"/>
        </w:rPr>
        <w:t xml:space="preserve"> of the </w:t>
      </w:r>
      <w:r w:rsidR="00461B74" w:rsidRPr="0088092F">
        <w:rPr>
          <w:lang w:val="en-CA"/>
        </w:rPr>
        <w:t>decision</w:t>
      </w:r>
      <w:r w:rsidR="001C775C" w:rsidRPr="0088092F">
        <w:rPr>
          <w:lang w:val="en-CA"/>
        </w:rPr>
        <w:t xml:space="preserve"> made by the correctional authorities, but </w:t>
      </w:r>
      <w:r w:rsidR="0002389B" w:rsidRPr="0088092F">
        <w:rPr>
          <w:lang w:val="en-CA"/>
        </w:rPr>
        <w:t xml:space="preserve">the </w:t>
      </w:r>
      <w:r w:rsidR="001C775C" w:rsidRPr="0088092F">
        <w:rPr>
          <w:lang w:val="en-CA"/>
        </w:rPr>
        <w:t>offer does not</w:t>
      </w:r>
      <w:r w:rsidR="0002389B" w:rsidRPr="0088092F">
        <w:rPr>
          <w:lang w:val="en-CA"/>
        </w:rPr>
        <w:t xml:space="preserve"> stand in lieu of a </w:t>
      </w:r>
      <w:r w:rsidR="00461B74" w:rsidRPr="0088092F">
        <w:rPr>
          <w:lang w:val="en-CA"/>
        </w:rPr>
        <w:t>decision</w:t>
      </w:r>
      <w:r w:rsidR="0002389B" w:rsidRPr="0088092F">
        <w:rPr>
          <w:lang w:val="en-CA"/>
        </w:rPr>
        <w:t xml:space="preserve"> </w:t>
      </w:r>
      <w:r w:rsidR="00026976">
        <w:rPr>
          <w:lang w:val="en-CA"/>
        </w:rPr>
        <w:t xml:space="preserve">that is </w:t>
      </w:r>
      <w:r w:rsidR="0002389B" w:rsidRPr="0088092F">
        <w:rPr>
          <w:lang w:val="en-CA"/>
        </w:rPr>
        <w:t>subject to judicial review</w:t>
      </w:r>
      <w:r w:rsidR="00461B74" w:rsidRPr="0088092F">
        <w:rPr>
          <w:lang w:val="en-CA"/>
        </w:rPr>
        <w:t>.</w:t>
      </w:r>
    </w:p>
    <w:p w14:paraId="4095E033" w14:textId="7C35CC8A" w:rsidR="00461B74" w:rsidRPr="0088092F" w:rsidRDefault="00306CC6" w:rsidP="00461B74">
      <w:pPr>
        <w:pStyle w:val="Paragraphe"/>
        <w:spacing w:line="280" w:lineRule="exact"/>
        <w:rPr>
          <w:lang w:val="en-CA"/>
        </w:rPr>
      </w:pPr>
      <w:r w:rsidRPr="0088092F">
        <w:rPr>
          <w:lang w:val="en-CA"/>
        </w:rPr>
        <w:t xml:space="preserve">Moreover, the </w:t>
      </w:r>
      <w:r w:rsidR="00461B74" w:rsidRPr="0088092F">
        <w:rPr>
          <w:lang w:val="en-CA"/>
        </w:rPr>
        <w:t>judge</w:t>
      </w:r>
      <w:r w:rsidRPr="0088092F">
        <w:rPr>
          <w:lang w:val="en-CA"/>
        </w:rPr>
        <w:t xml:space="preserve"> found that the appellant’s detention conditions were no</w:t>
      </w:r>
      <w:r w:rsidR="00707863">
        <w:rPr>
          <w:lang w:val="en-CA"/>
        </w:rPr>
        <w:t>t</w:t>
      </w:r>
      <w:r w:rsidRPr="0088092F">
        <w:rPr>
          <w:lang w:val="en-CA"/>
        </w:rPr>
        <w:t xml:space="preserve"> cruel and unusual, without defining the </w:t>
      </w:r>
      <w:r w:rsidR="00461B74" w:rsidRPr="0088092F">
        <w:rPr>
          <w:lang w:val="en-CA"/>
        </w:rPr>
        <w:t>analytical</w:t>
      </w:r>
      <w:r w:rsidRPr="0088092F">
        <w:rPr>
          <w:lang w:val="en-CA"/>
        </w:rPr>
        <w:t xml:space="preserve"> </w:t>
      </w:r>
      <w:r w:rsidR="00461B74" w:rsidRPr="0088092F">
        <w:rPr>
          <w:lang w:val="en-CA"/>
        </w:rPr>
        <w:t>framework</w:t>
      </w:r>
      <w:r w:rsidRPr="0088092F">
        <w:rPr>
          <w:lang w:val="en-CA"/>
        </w:rPr>
        <w:t xml:space="preserve"> he </w:t>
      </w:r>
      <w:r w:rsidR="00707863">
        <w:rPr>
          <w:lang w:val="en-CA"/>
        </w:rPr>
        <w:t>applied</w:t>
      </w:r>
      <w:r w:rsidRPr="0088092F">
        <w:rPr>
          <w:lang w:val="en-CA"/>
        </w:rPr>
        <w:t xml:space="preserve">, such as the one used by the Courts of Appeal for </w:t>
      </w:r>
      <w:r w:rsidR="00461B74" w:rsidRPr="0088092F">
        <w:rPr>
          <w:lang w:val="en-CA"/>
        </w:rPr>
        <w:t>British</w:t>
      </w:r>
      <w:r w:rsidRPr="0088092F">
        <w:rPr>
          <w:lang w:val="en-CA"/>
        </w:rPr>
        <w:t xml:space="preserve"> </w:t>
      </w:r>
      <w:r w:rsidR="00461B74" w:rsidRPr="0088092F">
        <w:rPr>
          <w:lang w:val="en-CA"/>
        </w:rPr>
        <w:t>Columbia</w:t>
      </w:r>
      <w:r w:rsidRPr="0088092F">
        <w:rPr>
          <w:lang w:val="en-CA"/>
        </w:rPr>
        <w:t xml:space="preserve"> and </w:t>
      </w:r>
      <w:r w:rsidR="00461B74" w:rsidRPr="0088092F">
        <w:rPr>
          <w:lang w:val="en-CA"/>
        </w:rPr>
        <w:t>Ontario</w:t>
      </w:r>
      <w:r w:rsidRPr="0088092F">
        <w:rPr>
          <w:lang w:val="en-CA"/>
        </w:rPr>
        <w:t>, for example</w:t>
      </w:r>
      <w:r w:rsidR="00461B74" w:rsidRPr="0088092F">
        <w:rPr>
          <w:lang w:val="en-CA"/>
        </w:rPr>
        <w:t xml:space="preserve">. </w:t>
      </w:r>
      <w:r w:rsidR="003D6C0D" w:rsidRPr="0088092F">
        <w:rPr>
          <w:lang w:val="en-CA"/>
        </w:rPr>
        <w:t>And yet</w:t>
      </w:r>
      <w:r w:rsidR="00694B9A" w:rsidRPr="0088092F">
        <w:rPr>
          <w:lang w:val="en-CA"/>
        </w:rPr>
        <w:t xml:space="preserve">, he stated </w:t>
      </w:r>
      <w:r w:rsidR="00694B9A" w:rsidRPr="0088092F">
        <w:rPr>
          <w:lang w:val="en-CA"/>
        </w:rPr>
        <w:lastRenderedPageBreak/>
        <w:t>that [</w:t>
      </w:r>
      <w:r w:rsidR="00694B9A" w:rsidRPr="0088092F">
        <w:rPr>
          <w:smallCaps/>
          <w:lang w:val="en-CA"/>
        </w:rPr>
        <w:t>translation</w:t>
      </w:r>
      <w:r w:rsidR="00694B9A" w:rsidRPr="0088092F">
        <w:rPr>
          <w:lang w:val="en-CA"/>
        </w:rPr>
        <w:t>] “[p]</w:t>
      </w:r>
      <w:r w:rsidR="00694B9A" w:rsidRPr="0088092F">
        <w:rPr>
          <w:rFonts w:cs="Arial"/>
          <w:color w:val="000000"/>
          <w:szCs w:val="22"/>
          <w:lang w:val="en-CA" w:eastAsia="fr-CA"/>
        </w:rPr>
        <w:t>ublic security must nevertheless apply alternatives to prolonged segregation without significant human contact</w:t>
      </w:r>
      <w:r w:rsidR="00431377" w:rsidRPr="0088092F">
        <w:rPr>
          <w:rFonts w:cs="Arial"/>
          <w:color w:val="000000"/>
          <w:szCs w:val="22"/>
          <w:lang w:val="en-CA" w:eastAsia="fr-CA"/>
        </w:rPr>
        <w:t>”.</w:t>
      </w:r>
      <w:r w:rsidR="00461B74" w:rsidRPr="0088092F">
        <w:rPr>
          <w:rStyle w:val="Appelnotedebasdep"/>
          <w:lang w:val="en-CA"/>
        </w:rPr>
        <w:footnoteReference w:id="106"/>
      </w:r>
    </w:p>
    <w:p w14:paraId="50C6EC01" w14:textId="38902162" w:rsidR="00461B74" w:rsidRPr="0088092F" w:rsidRDefault="00431377" w:rsidP="00461B74">
      <w:pPr>
        <w:pStyle w:val="Paragraphe"/>
        <w:spacing w:line="280" w:lineRule="exact"/>
        <w:rPr>
          <w:lang w:val="en-CA"/>
        </w:rPr>
      </w:pPr>
      <w:r w:rsidRPr="0088092F">
        <w:rPr>
          <w:lang w:val="en-CA"/>
        </w:rPr>
        <w:t xml:space="preserve">The </w:t>
      </w:r>
      <w:r w:rsidR="00461B74" w:rsidRPr="0088092F">
        <w:rPr>
          <w:lang w:val="en-CA"/>
        </w:rPr>
        <w:t>judge</w:t>
      </w:r>
      <w:r w:rsidRPr="0088092F">
        <w:rPr>
          <w:lang w:val="en-CA"/>
        </w:rPr>
        <w:t xml:space="preserve"> seems to have partially addressed the </w:t>
      </w:r>
      <w:r w:rsidR="00461B74" w:rsidRPr="0088092F">
        <w:rPr>
          <w:lang w:val="en-CA"/>
        </w:rPr>
        <w:t>appellant</w:t>
      </w:r>
      <w:r w:rsidRPr="0088092F">
        <w:rPr>
          <w:lang w:val="en-CA"/>
        </w:rPr>
        <w:t xml:space="preserve">’s challenge as if he wanted to be transferred to the general </w:t>
      </w:r>
      <w:r w:rsidR="00461B74" w:rsidRPr="0088092F">
        <w:rPr>
          <w:lang w:val="en-CA"/>
        </w:rPr>
        <w:t>population</w:t>
      </w:r>
      <w:r w:rsidRPr="0088092F">
        <w:rPr>
          <w:lang w:val="en-CA"/>
        </w:rPr>
        <w:t>, whereas he</w:t>
      </w:r>
      <w:r w:rsidR="00611D26" w:rsidRPr="0088092F">
        <w:rPr>
          <w:lang w:val="en-CA"/>
        </w:rPr>
        <w:t xml:space="preserve"> rightly acknowledged that his behaviour warranted some form of confinement and he instead argued that his confinement must comply with the minimum requirements of the </w:t>
      </w:r>
      <w:r w:rsidR="006834A6" w:rsidRPr="0088092F">
        <w:rPr>
          <w:iCs/>
          <w:lang w:val="en-CA"/>
        </w:rPr>
        <w:t>Nelson Mandela Rules</w:t>
      </w:r>
      <w:r w:rsidR="00611D26" w:rsidRPr="0088092F">
        <w:rPr>
          <w:iCs/>
          <w:lang w:val="en-CA"/>
        </w:rPr>
        <w:t xml:space="preserve"> and that, in this regard, the deter</w:t>
      </w:r>
      <w:r w:rsidR="00461B74" w:rsidRPr="0088092F">
        <w:rPr>
          <w:lang w:val="en-CA"/>
        </w:rPr>
        <w:t xml:space="preserve">mination </w:t>
      </w:r>
      <w:r w:rsidR="00611D26" w:rsidRPr="0088092F">
        <w:rPr>
          <w:lang w:val="en-CA"/>
        </w:rPr>
        <w:t xml:space="preserve">of </w:t>
      </w:r>
      <w:r w:rsidR="00461B74" w:rsidRPr="0088092F">
        <w:rPr>
          <w:lang w:val="en-CA"/>
        </w:rPr>
        <w:t xml:space="preserve">restrictions </w:t>
      </w:r>
      <w:r w:rsidR="00611D26" w:rsidRPr="0088092F">
        <w:rPr>
          <w:lang w:val="en-CA"/>
        </w:rPr>
        <w:t xml:space="preserve">to his residual liberty must take into account the state of his </w:t>
      </w:r>
      <w:r w:rsidR="00461B74" w:rsidRPr="0088092F">
        <w:rPr>
          <w:lang w:val="en-CA"/>
        </w:rPr>
        <w:t>mental</w:t>
      </w:r>
      <w:r w:rsidR="00611D26" w:rsidRPr="0088092F">
        <w:rPr>
          <w:lang w:val="en-CA"/>
        </w:rPr>
        <w:t xml:space="preserve"> </w:t>
      </w:r>
      <w:r w:rsidR="00461B74" w:rsidRPr="0088092F">
        <w:rPr>
          <w:lang w:val="en-CA"/>
        </w:rPr>
        <w:t>health.</w:t>
      </w:r>
    </w:p>
    <w:p w14:paraId="7A58B648" w14:textId="0BBCD014" w:rsidR="00461B74" w:rsidRPr="0088092F" w:rsidRDefault="00461B74" w:rsidP="00461B74">
      <w:pPr>
        <w:pStyle w:val="Paragraphe"/>
        <w:spacing w:line="280" w:lineRule="exact"/>
        <w:rPr>
          <w:lang w:val="en-CA"/>
        </w:rPr>
      </w:pPr>
      <w:r w:rsidRPr="0088092F">
        <w:rPr>
          <w:lang w:val="en-CA"/>
        </w:rPr>
        <w:t>Final</w:t>
      </w:r>
      <w:r w:rsidR="00611D26" w:rsidRPr="0088092F">
        <w:rPr>
          <w:lang w:val="en-CA"/>
        </w:rPr>
        <w:t>ly, w</w:t>
      </w:r>
      <w:r w:rsidRPr="0088092F">
        <w:rPr>
          <w:lang w:val="en-CA"/>
        </w:rPr>
        <w:t>ith</w:t>
      </w:r>
      <w:r w:rsidR="00611D26" w:rsidRPr="0088092F">
        <w:rPr>
          <w:lang w:val="en-CA"/>
        </w:rPr>
        <w:t xml:space="preserve"> </w:t>
      </w:r>
      <w:r w:rsidRPr="0088092F">
        <w:rPr>
          <w:lang w:val="en-CA"/>
        </w:rPr>
        <w:t xml:space="preserve">respect, </w:t>
      </w:r>
      <w:r w:rsidR="00E26B94" w:rsidRPr="0088092F">
        <w:rPr>
          <w:rFonts w:cs="Arial"/>
          <w:szCs w:val="24"/>
          <w:lang w:val="en-CA"/>
        </w:rPr>
        <w:t>the judgment’s disposition is problematic</w:t>
      </w:r>
      <w:r w:rsidRPr="0088092F">
        <w:rPr>
          <w:lang w:val="en-CA"/>
        </w:rPr>
        <w:t xml:space="preserve">. </w:t>
      </w:r>
      <w:r w:rsidR="00E26B94" w:rsidRPr="0088092F">
        <w:rPr>
          <w:lang w:val="en-CA"/>
        </w:rPr>
        <w:t xml:space="preserve">The judge granted in part the application for </w:t>
      </w:r>
      <w:r w:rsidRPr="0088092F">
        <w:rPr>
          <w:i/>
          <w:iCs/>
          <w:lang w:val="en-CA"/>
        </w:rPr>
        <w:t>habeas corpus</w:t>
      </w:r>
      <w:r w:rsidRPr="0088092F">
        <w:rPr>
          <w:lang w:val="en-CA"/>
        </w:rPr>
        <w:t xml:space="preserve"> </w:t>
      </w:r>
      <w:r w:rsidR="00E26B94" w:rsidRPr="0088092F">
        <w:rPr>
          <w:lang w:val="en-CA"/>
        </w:rPr>
        <w:t>and ordered the M</w:t>
      </w:r>
      <w:r w:rsidRPr="0088092F">
        <w:rPr>
          <w:lang w:val="en-CA"/>
        </w:rPr>
        <w:t xml:space="preserve">inistère de la Sécurité publique </w:t>
      </w:r>
      <w:r w:rsidR="00E26B94" w:rsidRPr="0088092F">
        <w:rPr>
          <w:lang w:val="en-CA"/>
        </w:rPr>
        <w:t>to [</w:t>
      </w:r>
      <w:r w:rsidR="00E26B94" w:rsidRPr="0088092F">
        <w:rPr>
          <w:smallCaps/>
          <w:lang w:val="en-CA"/>
        </w:rPr>
        <w:t>translation</w:t>
      </w:r>
      <w:r w:rsidR="00E26B94" w:rsidRPr="0088092F">
        <w:rPr>
          <w:lang w:val="en-CA"/>
        </w:rPr>
        <w:t>] “</w:t>
      </w:r>
      <w:r w:rsidR="00936C68" w:rsidRPr="0088092F">
        <w:rPr>
          <w:iCs/>
          <w:lang w:val="en-CA"/>
        </w:rPr>
        <w:t xml:space="preserve">to implement an alternative, within a reasonable time, at the </w:t>
      </w:r>
      <w:r w:rsidR="00936C68" w:rsidRPr="0088092F">
        <w:rPr>
          <w:lang w:val="en-CA"/>
        </w:rPr>
        <w:t>Sorel facility or elsewhere, to Mr. Turbide-Labbé’s detention conditions depriving him of meaningful human contact in person and by telephone”</w:t>
      </w:r>
      <w:r w:rsidRPr="0088092F">
        <w:rPr>
          <w:lang w:val="en-CA"/>
        </w:rPr>
        <w:t>.</w:t>
      </w:r>
    </w:p>
    <w:p w14:paraId="3855D2C8" w14:textId="06F79E43" w:rsidR="00461B74" w:rsidRPr="0088092F" w:rsidRDefault="00595501" w:rsidP="00461B74">
      <w:pPr>
        <w:pStyle w:val="Paragraphe"/>
        <w:spacing w:line="280" w:lineRule="exact"/>
        <w:rPr>
          <w:lang w:val="en-CA"/>
        </w:rPr>
      </w:pPr>
      <w:r w:rsidRPr="0088092F">
        <w:rPr>
          <w:lang w:val="en-CA"/>
        </w:rPr>
        <w:t>A judgment must be capable of being executed.</w:t>
      </w:r>
      <w:r w:rsidR="00461B74" w:rsidRPr="0088092F">
        <w:rPr>
          <w:rStyle w:val="Appelnotedebasdep"/>
          <w:lang w:val="en-CA"/>
        </w:rPr>
        <w:footnoteReference w:id="107"/>
      </w:r>
      <w:r w:rsidRPr="0088092F">
        <w:rPr>
          <w:lang w:val="en-CA"/>
        </w:rPr>
        <w:t xml:space="preserve"> </w:t>
      </w:r>
      <w:r w:rsidR="00861A5F" w:rsidRPr="0088092F">
        <w:rPr>
          <w:lang w:val="en-CA"/>
        </w:rPr>
        <w:t>The disposition of a judgment “must state clearly and unequivocally what should and should not be done”.</w:t>
      </w:r>
      <w:r w:rsidR="00461B74" w:rsidRPr="0088092F">
        <w:rPr>
          <w:rStyle w:val="Appelnotedebasdep"/>
          <w:lang w:val="en-CA"/>
        </w:rPr>
        <w:footnoteReference w:id="108"/>
      </w:r>
      <w:r w:rsidR="00861A5F" w:rsidRPr="0088092F">
        <w:rPr>
          <w:lang w:val="en-CA"/>
        </w:rPr>
        <w:t xml:space="preserve"> This principle is all the more necessary in prison matters because the proceeding itself determines whether the detention is lawful and leads to the inmate’s release if </w:t>
      </w:r>
      <w:r w:rsidR="00026976">
        <w:rPr>
          <w:lang w:val="en-CA"/>
        </w:rPr>
        <w:t xml:space="preserve">it is </w:t>
      </w:r>
      <w:r w:rsidR="00861A5F" w:rsidRPr="0088092F">
        <w:rPr>
          <w:lang w:val="en-CA"/>
        </w:rPr>
        <w:t>unlawful.</w:t>
      </w:r>
      <w:r w:rsidR="00461B74" w:rsidRPr="0088092F">
        <w:rPr>
          <w:rStyle w:val="Appelnotedebasdep"/>
          <w:lang w:val="en-CA"/>
        </w:rPr>
        <w:footnoteReference w:id="109"/>
      </w:r>
      <w:r w:rsidR="00861A5F" w:rsidRPr="0088092F">
        <w:rPr>
          <w:lang w:val="en-CA"/>
        </w:rPr>
        <w:t xml:space="preserve"> </w:t>
      </w:r>
    </w:p>
    <w:p w14:paraId="4F84086A" w14:textId="4934AA2A" w:rsidR="00461B74" w:rsidRPr="0088092F" w:rsidRDefault="00861A5F" w:rsidP="00461B74">
      <w:pPr>
        <w:pStyle w:val="Paragraphe"/>
        <w:keepLines/>
        <w:spacing w:line="280" w:lineRule="exact"/>
        <w:rPr>
          <w:lang w:val="en-CA"/>
        </w:rPr>
      </w:pPr>
      <w:r w:rsidRPr="0088092F">
        <w:rPr>
          <w:lang w:val="en-CA"/>
        </w:rPr>
        <w:t xml:space="preserve">The judge’s order to implement an alternative detention measure without specifying any conditions raises </w:t>
      </w:r>
      <w:r w:rsidR="00A8203D" w:rsidRPr="0088092F">
        <w:rPr>
          <w:rFonts w:cs="Arial"/>
          <w:szCs w:val="24"/>
          <w:lang w:val="en-CA"/>
        </w:rPr>
        <w:t>actual enforcement issues</w:t>
      </w:r>
      <w:r w:rsidR="00A8203D" w:rsidRPr="0088092F">
        <w:rPr>
          <w:lang w:val="en-CA"/>
        </w:rPr>
        <w:t xml:space="preserve"> </w:t>
      </w:r>
      <w:r w:rsidRPr="0088092F">
        <w:rPr>
          <w:lang w:val="en-CA"/>
        </w:rPr>
        <w:t>for the correctional authorities and makes any future proceeding by the appellant to force compliance difficult.</w:t>
      </w:r>
    </w:p>
    <w:p w14:paraId="1743A878" w14:textId="43B722D2" w:rsidR="00461B74" w:rsidRPr="0088092F" w:rsidRDefault="007308CF" w:rsidP="00461B74">
      <w:pPr>
        <w:pStyle w:val="Paragraphe"/>
        <w:spacing w:line="280" w:lineRule="exact"/>
        <w:rPr>
          <w:lang w:val="en-CA"/>
        </w:rPr>
      </w:pPr>
      <w:r w:rsidRPr="0088092F">
        <w:rPr>
          <w:lang w:val="en-CA"/>
        </w:rPr>
        <w:t xml:space="preserve">I acknowledge without hesitation that the </w:t>
      </w:r>
      <w:r w:rsidR="00461B74" w:rsidRPr="0088092F">
        <w:rPr>
          <w:lang w:val="en-CA"/>
        </w:rPr>
        <w:t>appellant</w:t>
      </w:r>
      <w:r w:rsidRPr="0088092F">
        <w:rPr>
          <w:lang w:val="en-CA"/>
        </w:rPr>
        <w:t xml:space="preserve">’s </w:t>
      </w:r>
      <w:r w:rsidR="009B7667" w:rsidRPr="0088092F">
        <w:rPr>
          <w:lang w:val="en-CA"/>
        </w:rPr>
        <w:t>proceeding</w:t>
      </w:r>
      <w:r w:rsidRPr="0088092F">
        <w:rPr>
          <w:lang w:val="en-CA"/>
        </w:rPr>
        <w:t xml:space="preserve"> </w:t>
      </w:r>
      <w:r w:rsidR="00A1280D" w:rsidRPr="0088092F">
        <w:rPr>
          <w:lang w:val="en-CA"/>
        </w:rPr>
        <w:t xml:space="preserve">was set out in a manner that is difficult to comprehend for a </w:t>
      </w:r>
      <w:r w:rsidR="00461B74" w:rsidRPr="0088092F">
        <w:rPr>
          <w:lang w:val="en-CA"/>
        </w:rPr>
        <w:t>judge confront</w:t>
      </w:r>
      <w:r w:rsidR="00A1280D" w:rsidRPr="0088092F">
        <w:rPr>
          <w:lang w:val="en-CA"/>
        </w:rPr>
        <w:t xml:space="preserve">ed with a vague normative </w:t>
      </w:r>
      <w:r w:rsidR="00461B74" w:rsidRPr="0088092F">
        <w:rPr>
          <w:lang w:val="en-CA"/>
        </w:rPr>
        <w:t xml:space="preserve">environment </w:t>
      </w:r>
      <w:r w:rsidR="00A1280D" w:rsidRPr="0088092F">
        <w:rPr>
          <w:lang w:val="en-CA"/>
        </w:rPr>
        <w:t xml:space="preserve">in which the </w:t>
      </w:r>
      <w:r w:rsidR="00461B74" w:rsidRPr="0088092F">
        <w:rPr>
          <w:lang w:val="en-CA"/>
        </w:rPr>
        <w:t>discr</w:t>
      </w:r>
      <w:r w:rsidR="001731F4" w:rsidRPr="0088092F">
        <w:rPr>
          <w:lang w:val="en-CA"/>
        </w:rPr>
        <w:t>e</w:t>
      </w:r>
      <w:r w:rsidR="00461B74" w:rsidRPr="0088092F">
        <w:rPr>
          <w:lang w:val="en-CA"/>
        </w:rPr>
        <w:t xml:space="preserve">tion </w:t>
      </w:r>
      <w:r w:rsidR="00A1280D" w:rsidRPr="0088092F">
        <w:rPr>
          <w:lang w:val="en-CA"/>
        </w:rPr>
        <w:t>of the correctional facility director does not appear to be governed by any criteria.</w:t>
      </w:r>
      <w:r w:rsidR="00461B74" w:rsidRPr="0088092F">
        <w:rPr>
          <w:rStyle w:val="Appelnotedebasdep"/>
          <w:lang w:val="en-CA"/>
        </w:rPr>
        <w:footnoteReference w:id="110"/>
      </w:r>
      <w:r w:rsidR="00461B74" w:rsidRPr="0088092F">
        <w:rPr>
          <w:lang w:val="en-CA"/>
        </w:rPr>
        <w:t xml:space="preserve"> </w:t>
      </w:r>
    </w:p>
    <w:p w14:paraId="19A2D4E5" w14:textId="165E3167" w:rsidR="00461B74" w:rsidRPr="0088092F" w:rsidRDefault="008B7973" w:rsidP="00461B74">
      <w:pPr>
        <w:pStyle w:val="Paragraphe"/>
        <w:spacing w:line="280" w:lineRule="exact"/>
        <w:rPr>
          <w:lang w:val="en-CA"/>
        </w:rPr>
      </w:pPr>
      <w:r w:rsidRPr="0088092F">
        <w:rPr>
          <w:lang w:val="en-CA"/>
        </w:rPr>
        <w:lastRenderedPageBreak/>
        <w:t xml:space="preserve">The </w:t>
      </w:r>
      <w:r w:rsidR="00461B74" w:rsidRPr="0088092F">
        <w:rPr>
          <w:lang w:val="en-CA"/>
        </w:rPr>
        <w:t>judge</w:t>
      </w:r>
      <w:r w:rsidRPr="0088092F">
        <w:rPr>
          <w:lang w:val="en-CA"/>
        </w:rPr>
        <w:t xml:space="preserve"> was aware of the need to render an </w:t>
      </w:r>
      <w:r w:rsidR="00461B74" w:rsidRPr="0088092F">
        <w:rPr>
          <w:lang w:val="en-CA"/>
        </w:rPr>
        <w:t xml:space="preserve">order </w:t>
      </w:r>
      <w:r w:rsidRPr="0088092F">
        <w:rPr>
          <w:lang w:val="en-CA"/>
        </w:rPr>
        <w:t xml:space="preserve">that could be enforced, because he himself raised the possibility of providing a period of seven days before ordering the </w:t>
      </w:r>
      <w:r w:rsidR="00461B74" w:rsidRPr="0088092F">
        <w:rPr>
          <w:lang w:val="en-CA"/>
        </w:rPr>
        <w:t>appellant</w:t>
      </w:r>
      <w:r w:rsidRPr="0088092F">
        <w:rPr>
          <w:lang w:val="en-CA"/>
        </w:rPr>
        <w:t>’s transfer</w:t>
      </w:r>
      <w:r w:rsidR="00461B74" w:rsidRPr="0088092F">
        <w:rPr>
          <w:lang w:val="en-CA"/>
        </w:rPr>
        <w:t xml:space="preserve">. </w:t>
      </w:r>
    </w:p>
    <w:p w14:paraId="16CE0BBE" w14:textId="24167C0A" w:rsidR="00461B74" w:rsidRPr="0088092F" w:rsidRDefault="00DC5283" w:rsidP="00461B74">
      <w:pPr>
        <w:pStyle w:val="Paragraphe"/>
        <w:spacing w:line="280" w:lineRule="exact"/>
        <w:rPr>
          <w:lang w:val="en-CA"/>
        </w:rPr>
      </w:pPr>
      <w:r w:rsidRPr="0088092F">
        <w:rPr>
          <w:lang w:val="en-CA"/>
        </w:rPr>
        <w:t xml:space="preserve">Indeed, during a discussion with </w:t>
      </w:r>
      <w:r w:rsidR="00461B74" w:rsidRPr="0088092F">
        <w:rPr>
          <w:lang w:val="en-CA"/>
        </w:rPr>
        <w:t>counsel</w:t>
      </w:r>
      <w:r w:rsidRPr="0088092F">
        <w:rPr>
          <w:lang w:val="en-CA"/>
        </w:rPr>
        <w:t xml:space="preserve"> for the correctional authorities </w:t>
      </w:r>
      <w:r w:rsidR="006A7DE1" w:rsidRPr="0088092F">
        <w:rPr>
          <w:lang w:val="en-CA"/>
        </w:rPr>
        <w:t xml:space="preserve">he stated </w:t>
      </w:r>
      <w:r w:rsidRPr="0088092F">
        <w:rPr>
          <w:lang w:val="en-CA"/>
        </w:rPr>
        <w:t>that he was [</w:t>
      </w:r>
      <w:r w:rsidRPr="0088092F">
        <w:rPr>
          <w:smallCaps/>
          <w:lang w:val="en-CA"/>
        </w:rPr>
        <w:t>translation</w:t>
      </w:r>
      <w:r w:rsidRPr="0088092F">
        <w:rPr>
          <w:lang w:val="en-CA"/>
        </w:rPr>
        <w:t>] “seriously considering ordering that if it was</w:t>
      </w:r>
      <w:r w:rsidR="00026976">
        <w:rPr>
          <w:lang w:val="en-CA"/>
        </w:rPr>
        <w:t xml:space="preserve"> not</w:t>
      </w:r>
      <w:r w:rsidRPr="0088092F">
        <w:rPr>
          <w:lang w:val="en-CA"/>
        </w:rPr>
        <w:t xml:space="preserve"> done within seven days, he should be transferred. They cannot continue to detain him like that indefinitely; they cannot return him to </w:t>
      </w:r>
      <w:r w:rsidR="00461B74" w:rsidRPr="0088092F">
        <w:rPr>
          <w:lang w:val="en-CA"/>
        </w:rPr>
        <w:t xml:space="preserve">MS7, </w:t>
      </w:r>
      <w:r w:rsidR="008621F6" w:rsidRPr="0088092F">
        <w:rPr>
          <w:lang w:val="en-CA"/>
        </w:rPr>
        <w:t xml:space="preserve">treat him like a </w:t>
      </w:r>
      <w:r w:rsidR="00461B74" w:rsidRPr="0088092F">
        <w:rPr>
          <w:lang w:val="en-CA"/>
        </w:rPr>
        <w:t>yoyo,</w:t>
      </w:r>
      <w:r w:rsidR="008621F6" w:rsidRPr="0088092F">
        <w:rPr>
          <w:lang w:val="en-CA"/>
        </w:rPr>
        <w:t xml:space="preserve"> and then not </w:t>
      </w:r>
      <w:r w:rsidR="001D6C51" w:rsidRPr="0088092F">
        <w:rPr>
          <w:lang w:val="en-CA"/>
        </w:rPr>
        <w:t>transfer</w:t>
      </w:r>
      <w:r w:rsidR="008621F6" w:rsidRPr="0088092F">
        <w:rPr>
          <w:lang w:val="en-CA"/>
        </w:rPr>
        <w:t xml:space="preserve"> him</w:t>
      </w:r>
      <w:r w:rsidR="00461B74" w:rsidRPr="0088092F">
        <w:rPr>
          <w:lang w:val="en-CA"/>
        </w:rPr>
        <w:t xml:space="preserve"> </w:t>
      </w:r>
      <w:r w:rsidR="001D6C51" w:rsidRPr="0088092F">
        <w:rPr>
          <w:lang w:val="en-CA"/>
        </w:rPr>
        <w:t xml:space="preserve">to the </w:t>
      </w:r>
      <w:r w:rsidR="00092F31">
        <w:rPr>
          <w:lang w:val="en-CA"/>
        </w:rPr>
        <w:t>general</w:t>
      </w:r>
      <w:r w:rsidR="001D6C51" w:rsidRPr="0088092F">
        <w:rPr>
          <w:lang w:val="en-CA"/>
        </w:rPr>
        <w:t xml:space="preserve"> </w:t>
      </w:r>
      <w:r w:rsidR="00461B74" w:rsidRPr="0088092F">
        <w:rPr>
          <w:lang w:val="en-CA"/>
        </w:rPr>
        <w:t>population.</w:t>
      </w:r>
      <w:r w:rsidR="001D6C51" w:rsidRPr="0088092F">
        <w:rPr>
          <w:lang w:val="en-CA"/>
        </w:rPr>
        <w:t xml:space="preserve"> If they are unable to handle him, they should transfer him to a place where they will be able to handle him”.</w:t>
      </w:r>
      <w:r w:rsidR="00461B74" w:rsidRPr="0088092F">
        <w:rPr>
          <w:rStyle w:val="Appelnotedebasdep"/>
          <w:lang w:val="en-CA"/>
        </w:rPr>
        <w:footnoteReference w:id="111"/>
      </w:r>
    </w:p>
    <w:p w14:paraId="79A5347D" w14:textId="63C2D6B0" w:rsidR="00461B74" w:rsidRPr="0088092F" w:rsidRDefault="00861A5F" w:rsidP="00461B74">
      <w:pPr>
        <w:pStyle w:val="Paragraphe"/>
        <w:spacing w:line="280" w:lineRule="exact"/>
        <w:rPr>
          <w:lang w:val="en-CA"/>
        </w:rPr>
      </w:pPr>
      <w:r w:rsidRPr="0088092F">
        <w:rPr>
          <w:lang w:val="en-CA"/>
        </w:rPr>
        <w:t xml:space="preserve">The </w:t>
      </w:r>
      <w:r w:rsidR="006A7DE1">
        <w:rPr>
          <w:lang w:val="en-CA"/>
        </w:rPr>
        <w:t>scenario</w:t>
      </w:r>
      <w:r w:rsidRPr="0088092F">
        <w:rPr>
          <w:lang w:val="en-CA"/>
        </w:rPr>
        <w:t xml:space="preserve"> before the judge was not simple,</w:t>
      </w:r>
      <w:r w:rsidR="00461B74" w:rsidRPr="0088092F">
        <w:rPr>
          <w:rStyle w:val="Appelnotedebasdep"/>
          <w:lang w:val="en-CA"/>
        </w:rPr>
        <w:footnoteReference w:id="112"/>
      </w:r>
      <w:r w:rsidRPr="0088092F">
        <w:rPr>
          <w:lang w:val="en-CA"/>
        </w:rPr>
        <w:t xml:space="preserve"> but he should have taken into account the alleged cumulative effect of the various periods of solitary confinement on the appellant’s mental health and formulated a conclusion the correctional authorities could have </w:t>
      </w:r>
      <w:r w:rsidR="00C04296" w:rsidRPr="0088092F">
        <w:rPr>
          <w:lang w:val="en-CA"/>
        </w:rPr>
        <w:t>enforced</w:t>
      </w:r>
      <w:r w:rsidRPr="0088092F">
        <w:rPr>
          <w:lang w:val="en-CA"/>
        </w:rPr>
        <w:t>, which was not the case.</w:t>
      </w:r>
    </w:p>
    <w:p w14:paraId="51DB8FA7" w14:textId="648919B0" w:rsidR="00461B74" w:rsidRPr="0088092F" w:rsidRDefault="002538C1" w:rsidP="00461B74">
      <w:pPr>
        <w:pStyle w:val="Paragraphe"/>
        <w:spacing w:line="280" w:lineRule="exact"/>
        <w:rPr>
          <w:lang w:val="en-CA"/>
        </w:rPr>
      </w:pPr>
      <w:r w:rsidRPr="0088092F">
        <w:rPr>
          <w:lang w:val="en-CA"/>
        </w:rPr>
        <w:t xml:space="preserve">If the </w:t>
      </w:r>
      <w:r w:rsidR="00461B74" w:rsidRPr="0088092F">
        <w:rPr>
          <w:lang w:val="en-CA"/>
        </w:rPr>
        <w:t>appellant</w:t>
      </w:r>
      <w:r w:rsidRPr="0088092F">
        <w:rPr>
          <w:lang w:val="en-CA"/>
        </w:rPr>
        <w:t xml:space="preserve">’s appeal had not become </w:t>
      </w:r>
      <w:r w:rsidR="007647B6" w:rsidRPr="0088092F">
        <w:rPr>
          <w:lang w:val="en-CA"/>
        </w:rPr>
        <w:t>moot due to his transfer</w:t>
      </w:r>
      <w:r w:rsidR="00461B74" w:rsidRPr="0088092F">
        <w:rPr>
          <w:lang w:val="en-CA"/>
        </w:rPr>
        <w:t xml:space="preserve">, </w:t>
      </w:r>
      <w:r w:rsidR="00C04296" w:rsidRPr="0088092F">
        <w:rPr>
          <w:lang w:val="en-CA"/>
        </w:rPr>
        <w:t xml:space="preserve">I would have suggested holding a new hearing to rule on the lawfulness of the </w:t>
      </w:r>
      <w:r w:rsidR="00461B74" w:rsidRPr="0088092F">
        <w:rPr>
          <w:lang w:val="en-CA"/>
        </w:rPr>
        <w:t>appellant</w:t>
      </w:r>
      <w:r w:rsidR="00C04296" w:rsidRPr="0088092F">
        <w:rPr>
          <w:lang w:val="en-CA"/>
        </w:rPr>
        <w:t>’s detention in light of the foregoing analysis</w:t>
      </w:r>
      <w:r w:rsidR="00461B74" w:rsidRPr="0088092F">
        <w:rPr>
          <w:lang w:val="en-CA"/>
        </w:rPr>
        <w:t>.</w:t>
      </w:r>
    </w:p>
    <w:p w14:paraId="6F22D767" w14:textId="563B3B1E" w:rsidR="00461B74" w:rsidRPr="0088092F" w:rsidRDefault="00C04296" w:rsidP="00461B74">
      <w:pPr>
        <w:pStyle w:val="Paragraphe"/>
        <w:spacing w:line="280" w:lineRule="exact"/>
        <w:rPr>
          <w:lang w:val="en-CA"/>
        </w:rPr>
      </w:pPr>
      <w:r w:rsidRPr="0088092F">
        <w:rPr>
          <w:lang w:val="en-CA"/>
        </w:rPr>
        <w:t>T</w:t>
      </w:r>
      <w:r w:rsidR="00461B74" w:rsidRPr="0088092F">
        <w:rPr>
          <w:lang w:val="en-CA"/>
        </w:rPr>
        <w:t>hat</w:t>
      </w:r>
      <w:r w:rsidRPr="0088092F">
        <w:rPr>
          <w:lang w:val="en-CA"/>
        </w:rPr>
        <w:t xml:space="preserve"> </w:t>
      </w:r>
      <w:r w:rsidR="00461B74" w:rsidRPr="0088092F">
        <w:rPr>
          <w:lang w:val="en-CA"/>
        </w:rPr>
        <w:t>being</w:t>
      </w:r>
      <w:r w:rsidRPr="0088092F">
        <w:rPr>
          <w:lang w:val="en-CA"/>
        </w:rPr>
        <w:t xml:space="preserve"> </w:t>
      </w:r>
      <w:r w:rsidR="00461B74" w:rsidRPr="0088092F">
        <w:rPr>
          <w:lang w:val="en-CA"/>
        </w:rPr>
        <w:t xml:space="preserve">said, </w:t>
      </w:r>
      <w:r w:rsidRPr="0088092F">
        <w:rPr>
          <w:lang w:val="en-CA"/>
        </w:rPr>
        <w:t xml:space="preserve">in the </w:t>
      </w:r>
      <w:r w:rsidR="00461B74" w:rsidRPr="0088092F">
        <w:rPr>
          <w:lang w:val="en-CA"/>
        </w:rPr>
        <w:t>circumstances,</w:t>
      </w:r>
      <w:r w:rsidRPr="0088092F">
        <w:rPr>
          <w:lang w:val="en-CA"/>
        </w:rPr>
        <w:t xml:space="preserve"> I </w:t>
      </w:r>
      <w:r w:rsidR="00190ADA" w:rsidRPr="0088092F">
        <w:rPr>
          <w:lang w:val="en-CA"/>
        </w:rPr>
        <w:t xml:space="preserve">would </w:t>
      </w:r>
      <w:r w:rsidRPr="0088092F">
        <w:rPr>
          <w:lang w:val="en-CA"/>
        </w:rPr>
        <w:t xml:space="preserve">instead </w:t>
      </w:r>
      <w:r w:rsidR="00190ADA" w:rsidRPr="0088092F">
        <w:rPr>
          <w:lang w:val="en-CA"/>
        </w:rPr>
        <w:t>allow the a</w:t>
      </w:r>
      <w:r w:rsidR="00461B74" w:rsidRPr="0088092F">
        <w:rPr>
          <w:lang w:val="en-CA"/>
        </w:rPr>
        <w:t>ppellant</w:t>
      </w:r>
      <w:r w:rsidR="00190ADA" w:rsidRPr="0088092F">
        <w:rPr>
          <w:lang w:val="en-CA"/>
        </w:rPr>
        <w:t xml:space="preserve">’s appeal without </w:t>
      </w:r>
      <w:r w:rsidR="00461B74" w:rsidRPr="0088092F">
        <w:rPr>
          <w:lang w:val="en-CA"/>
        </w:rPr>
        <w:t>legal</w:t>
      </w:r>
      <w:r w:rsidR="00190ADA" w:rsidRPr="0088092F">
        <w:rPr>
          <w:lang w:val="en-CA"/>
        </w:rPr>
        <w:t xml:space="preserve"> </w:t>
      </w:r>
      <w:r w:rsidR="00461B74" w:rsidRPr="0088092F">
        <w:rPr>
          <w:lang w:val="en-CA"/>
        </w:rPr>
        <w:t xml:space="preserve">costs. </w:t>
      </w:r>
    </w:p>
    <w:p w14:paraId="26AE6D2D" w14:textId="16532295" w:rsidR="00461B74" w:rsidRPr="0088092F" w:rsidRDefault="00190ADA" w:rsidP="00461B74">
      <w:pPr>
        <w:pStyle w:val="Paragraphe"/>
        <w:keepLines/>
        <w:spacing w:line="280" w:lineRule="exact"/>
        <w:rPr>
          <w:lang w:val="en-CA"/>
        </w:rPr>
      </w:pPr>
      <w:r w:rsidRPr="0088092F">
        <w:rPr>
          <w:lang w:val="en-CA"/>
        </w:rPr>
        <w:t>I</w:t>
      </w:r>
      <w:r w:rsidR="00461B74" w:rsidRPr="0088092F">
        <w:rPr>
          <w:lang w:val="en-CA"/>
        </w:rPr>
        <w:t>n</w:t>
      </w:r>
      <w:r w:rsidRPr="0088092F">
        <w:rPr>
          <w:lang w:val="en-CA"/>
        </w:rPr>
        <w:t xml:space="preserve"> </w:t>
      </w:r>
      <w:r w:rsidR="00461B74" w:rsidRPr="0088092F">
        <w:rPr>
          <w:lang w:val="en-CA"/>
        </w:rPr>
        <w:t xml:space="preserve">addition, </w:t>
      </w:r>
      <w:r w:rsidRPr="0088092F">
        <w:rPr>
          <w:lang w:val="en-CA"/>
        </w:rPr>
        <w:t xml:space="preserve">in light of the teachings of the </w:t>
      </w:r>
      <w:r w:rsidR="00461B74" w:rsidRPr="0088092F">
        <w:rPr>
          <w:lang w:val="en-CA"/>
        </w:rPr>
        <w:t>Supreme</w:t>
      </w:r>
      <w:r w:rsidRPr="0088092F">
        <w:rPr>
          <w:lang w:val="en-CA"/>
        </w:rPr>
        <w:t xml:space="preserve"> </w:t>
      </w:r>
      <w:r w:rsidR="00461B74" w:rsidRPr="0088092F">
        <w:rPr>
          <w:lang w:val="en-CA"/>
        </w:rPr>
        <w:t>Court</w:t>
      </w:r>
      <w:r w:rsidRPr="0088092F">
        <w:rPr>
          <w:lang w:val="en-CA"/>
        </w:rPr>
        <w:t xml:space="preserve"> with respect to appeals that are moot,</w:t>
      </w:r>
      <w:r w:rsidR="00461B74" w:rsidRPr="0088092F">
        <w:rPr>
          <w:rStyle w:val="Appelnotedebasdep"/>
          <w:lang w:val="en-CA"/>
        </w:rPr>
        <w:footnoteReference w:id="113"/>
      </w:r>
      <w:r w:rsidRPr="0088092F">
        <w:rPr>
          <w:lang w:val="en-CA"/>
        </w:rPr>
        <w:t xml:space="preserve"> I do not propose to render any other order even though this disposition provides “</w:t>
      </w:r>
      <w:r w:rsidR="00713713" w:rsidRPr="0088092F">
        <w:rPr>
          <w:lang w:val="en-CA"/>
        </w:rPr>
        <w:t>no practical remedy”</w:t>
      </w:r>
      <w:r w:rsidR="00461B74" w:rsidRPr="0088092F">
        <w:rPr>
          <w:rStyle w:val="Appelnotedebasdep"/>
          <w:lang w:val="en-CA"/>
        </w:rPr>
        <w:footnoteReference w:id="114"/>
      </w:r>
      <w:r w:rsidR="00713713" w:rsidRPr="0088092F">
        <w:rPr>
          <w:lang w:val="en-CA"/>
        </w:rPr>
        <w:t xml:space="preserve"> for</w:t>
      </w:r>
      <w:r w:rsidRPr="0088092F">
        <w:rPr>
          <w:lang w:val="en-CA"/>
        </w:rPr>
        <w:t xml:space="preserve"> the appellant, other than</w:t>
      </w:r>
      <w:r w:rsidR="00461B74" w:rsidRPr="0088092F">
        <w:rPr>
          <w:lang w:val="en-CA"/>
        </w:rPr>
        <w:t xml:space="preserve"> </w:t>
      </w:r>
      <w:r w:rsidR="00713713" w:rsidRPr="0088092F">
        <w:rPr>
          <w:lang w:val="en-CA"/>
        </w:rPr>
        <w:t xml:space="preserve">to </w:t>
      </w:r>
      <w:r w:rsidR="005C6628" w:rsidRPr="0088092F">
        <w:rPr>
          <w:lang w:val="en-CA"/>
        </w:rPr>
        <w:t>assert</w:t>
      </w:r>
      <w:r w:rsidR="007B7A42" w:rsidRPr="0088092F">
        <w:rPr>
          <w:lang w:val="en-CA"/>
        </w:rPr>
        <w:t xml:space="preserve"> </w:t>
      </w:r>
      <w:r w:rsidR="005C6628" w:rsidRPr="0088092F">
        <w:rPr>
          <w:lang w:val="en-CA"/>
        </w:rPr>
        <w:t>the principles set out in this judgment to the correctional authorities for the purpose of determining his detention conditions</w:t>
      </w:r>
      <w:r w:rsidR="00461B74" w:rsidRPr="0088092F">
        <w:rPr>
          <w:lang w:val="en-CA"/>
        </w:rPr>
        <w:t>.</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856BB5" w:rsidRPr="00092F31" w14:paraId="4EC4F76C" w14:textId="77777777" w:rsidTr="00461B74">
        <w:trPr>
          <w:cantSplit/>
          <w:trHeight w:val="513"/>
        </w:trPr>
        <w:tc>
          <w:tcPr>
            <w:tcW w:w="9360" w:type="dxa"/>
            <w:gridSpan w:val="2"/>
          </w:tcPr>
          <w:p w14:paraId="0C9F1A69" w14:textId="77777777" w:rsidR="00461B74" w:rsidRPr="0088092F" w:rsidRDefault="00461B74" w:rsidP="00461B74">
            <w:pPr>
              <w:keepNext/>
              <w:rPr>
                <w:lang w:val="en-CA"/>
              </w:rPr>
            </w:pPr>
          </w:p>
        </w:tc>
      </w:tr>
      <w:tr w:rsidR="00856BB5" w:rsidRPr="00092F31" w14:paraId="5A1606B6" w14:textId="77777777" w:rsidTr="00461B74">
        <w:trPr>
          <w:cantSplit/>
          <w:trHeight w:val="277"/>
        </w:trPr>
        <w:tc>
          <w:tcPr>
            <w:tcW w:w="4735" w:type="dxa"/>
            <w:vMerge w:val="restart"/>
          </w:tcPr>
          <w:p w14:paraId="7554DCCC" w14:textId="77777777" w:rsidR="00461B74" w:rsidRPr="0088092F" w:rsidRDefault="00461B74" w:rsidP="00461B74">
            <w:pPr>
              <w:keepNext/>
              <w:rPr>
                <w:lang w:val="en-CA"/>
              </w:rPr>
            </w:pPr>
          </w:p>
        </w:tc>
        <w:tc>
          <w:tcPr>
            <w:tcW w:w="4625" w:type="dxa"/>
            <w:tcBorders>
              <w:bottom w:val="single" w:sz="8" w:space="0" w:color="auto"/>
            </w:tcBorders>
          </w:tcPr>
          <w:p w14:paraId="53A773E5" w14:textId="77777777" w:rsidR="00461B74" w:rsidRPr="0088092F" w:rsidRDefault="00461B74" w:rsidP="00461B74">
            <w:pPr>
              <w:keepNext/>
              <w:rPr>
                <w:lang w:val="en-CA"/>
              </w:rPr>
            </w:pPr>
          </w:p>
        </w:tc>
      </w:tr>
      <w:tr w:rsidR="00856BB5" w:rsidRPr="0088092F" w14:paraId="288FADB9" w14:textId="77777777" w:rsidTr="00461B74">
        <w:trPr>
          <w:cantSplit/>
          <w:trHeight w:val="276"/>
        </w:trPr>
        <w:tc>
          <w:tcPr>
            <w:tcW w:w="4735" w:type="dxa"/>
            <w:vMerge/>
          </w:tcPr>
          <w:p w14:paraId="1A0C4AE3" w14:textId="77777777" w:rsidR="00461B74" w:rsidRPr="0088092F" w:rsidRDefault="00461B74" w:rsidP="00461B74">
            <w:pPr>
              <w:keepNext/>
              <w:rPr>
                <w:lang w:val="en-CA"/>
              </w:rPr>
            </w:pPr>
          </w:p>
        </w:tc>
        <w:tc>
          <w:tcPr>
            <w:tcW w:w="4625" w:type="dxa"/>
          </w:tcPr>
          <w:p w14:paraId="64A1A6FA" w14:textId="77777777" w:rsidR="00461B74" w:rsidRPr="0088092F" w:rsidRDefault="00461B74" w:rsidP="0069233B">
            <w:pPr>
              <w:keepNext/>
              <w:rPr>
                <w:lang w:val="en-CA"/>
              </w:rPr>
            </w:pPr>
            <w:r w:rsidRPr="0088092F">
              <w:rPr>
                <w:lang w:val="en-CA"/>
              </w:rPr>
              <w:t>GUY COURNOYER, J.A.</w:t>
            </w:r>
          </w:p>
        </w:tc>
      </w:tr>
      <w:bookmarkEnd w:id="9"/>
    </w:tbl>
    <w:p w14:paraId="2B085113" w14:textId="77777777" w:rsidR="00461B74" w:rsidRPr="0088092F" w:rsidRDefault="00461B74" w:rsidP="00461B74">
      <w:pPr>
        <w:rPr>
          <w:lang w:val="en-CA"/>
        </w:rPr>
      </w:pPr>
    </w:p>
    <w:p w14:paraId="791B0896" w14:textId="77777777" w:rsidR="00461B74" w:rsidRPr="0088092F" w:rsidRDefault="00461B74" w:rsidP="00461B74">
      <w:pPr>
        <w:rPr>
          <w:lang w:val="en-CA"/>
        </w:rPr>
      </w:pPr>
    </w:p>
    <w:sectPr w:rsidR="00461B74" w:rsidRPr="0088092F" w:rsidSect="00461B74">
      <w:headerReference w:type="default" r:id="rId14"/>
      <w:pgSz w:w="12242" w:h="15842" w:code="1"/>
      <w:pgMar w:top="1440" w:right="1008" w:bottom="1702"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3EBD" w14:textId="77777777" w:rsidR="00D842CE" w:rsidRDefault="00D842CE">
      <w:pPr>
        <w:spacing w:line="240" w:lineRule="auto"/>
      </w:pPr>
      <w:r>
        <w:separator/>
      </w:r>
    </w:p>
  </w:endnote>
  <w:endnote w:type="continuationSeparator" w:id="0">
    <w:p w14:paraId="6C118C0E" w14:textId="77777777" w:rsidR="00D842CE" w:rsidRDefault="00D8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ED56" w14:textId="77777777" w:rsidR="00D842CE" w:rsidRDefault="00D842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71F1" w14:textId="77777777" w:rsidR="00D842CE" w:rsidRDefault="00D842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5E04" w14:textId="77777777" w:rsidR="00D842CE" w:rsidRDefault="00D842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1C35" w14:textId="77777777" w:rsidR="00D842CE" w:rsidRDefault="00D842CE">
      <w:r>
        <w:separator/>
      </w:r>
    </w:p>
  </w:footnote>
  <w:footnote w:type="continuationSeparator" w:id="0">
    <w:p w14:paraId="2DB3AD0A" w14:textId="77777777" w:rsidR="00D842CE" w:rsidRDefault="00D842CE">
      <w:r>
        <w:continuationSeparator/>
      </w:r>
    </w:p>
  </w:footnote>
  <w:footnote w:id="1">
    <w:p w14:paraId="41C0FDDC" w14:textId="547C0EE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United Nations. General Assembly. The United Nations Standard Minimum Rules for the Treatment of Prisoners (the Nelson Mandela Rules), U.N. Doc. A/RES/70/175, January 8, 2016.</w:t>
      </w:r>
    </w:p>
  </w:footnote>
  <w:footnote w:id="2">
    <w:p w14:paraId="23D7BA8A" w14:textId="5E6265A0"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Pr>
          <w:lang w:val="en-CA"/>
        </w:rPr>
        <w:t>S</w:t>
      </w:r>
      <w:r w:rsidRPr="009B7667">
        <w:rPr>
          <w:lang w:val="en-CA"/>
        </w:rPr>
        <w:t>.C. 1992, c. 20.</w:t>
      </w:r>
    </w:p>
  </w:footnote>
  <w:footnote w:id="3">
    <w:p w14:paraId="261BFCE7" w14:textId="534CE2B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Pr>
          <w:lang w:val="en-CA"/>
        </w:rPr>
        <w:t>The Court was</w:t>
      </w:r>
      <w:r w:rsidRPr="009B7667">
        <w:rPr>
          <w:lang w:val="en-CA"/>
        </w:rPr>
        <w:t xml:space="preserve"> informed during the hearing that the preparation of the transcript of the stenographer’s notes was ordered by the trial judge at the appellant’s request, and we received it during deliberations. </w:t>
      </w:r>
    </w:p>
  </w:footnote>
  <w:footnote w:id="4">
    <w:p w14:paraId="1AC1E94F" w14:textId="6AF6A4E2"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Regulation under the Act respecting the Québec correctional system </w:t>
      </w:r>
      <w:r w:rsidRPr="009B7667">
        <w:rPr>
          <w:lang w:val="en-CA"/>
        </w:rPr>
        <w:t>[</w:t>
      </w:r>
      <w:r w:rsidRPr="00BD289D">
        <w:rPr>
          <w:i/>
          <w:lang w:val="en-CA"/>
        </w:rPr>
        <w:t>RAQCS</w:t>
      </w:r>
      <w:r w:rsidRPr="009B7667">
        <w:rPr>
          <w:lang w:val="en-CA"/>
        </w:rPr>
        <w:t>], s. 31.</w:t>
      </w:r>
    </w:p>
  </w:footnote>
  <w:footnote w:id="5">
    <w:p w14:paraId="1C2048CE"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RAQSC, s. 74.</w:t>
      </w:r>
    </w:p>
  </w:footnote>
  <w:footnote w:id="6">
    <w:p w14:paraId="1D95B6CB"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p>
  </w:footnote>
  <w:footnote w:id="7">
    <w:p w14:paraId="139246D1" w14:textId="1D7608AF"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iCs/>
          <w:lang w:val="en-CA"/>
        </w:rPr>
        <w:t>May v. Ferndale Institution</w:t>
      </w:r>
      <w:r w:rsidRPr="009B7667">
        <w:rPr>
          <w:lang w:val="en-CA"/>
        </w:rPr>
        <w:t>, 2005 SCC 82, [2005] 3 S.C.R. 809 at para. 77. Section 193(3) provides that the Government may establish standards respecting the administration and internal management of correctional facilities and the surveillance and security measures that must be taken in correctional facilities. Section 194 provides that the Minister or the person designated by the Minister and the director, for the facility under his or her management, may, subject to the regulations, issue directives in this regard.</w:t>
      </w:r>
    </w:p>
  </w:footnote>
  <w:footnote w:id="8">
    <w:p w14:paraId="6DB374D3" w14:textId="3597EEC8"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Brief of the respondent and the impleaded party at para. 16.</w:t>
      </w:r>
    </w:p>
  </w:footnote>
  <w:footnote w:id="9">
    <w:p w14:paraId="1895A5A3" w14:textId="7586F92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the reference to these in </w:t>
      </w:r>
      <w:r w:rsidRPr="009B7667">
        <w:rPr>
          <w:i/>
          <w:lang w:val="en-CA"/>
        </w:rPr>
        <w:t>Diggs c. Procureur général du Québec</w:t>
      </w:r>
      <w:r w:rsidRPr="009B7667">
        <w:rPr>
          <w:lang w:val="en-CA"/>
        </w:rPr>
        <w:t xml:space="preserve">, 2021 QCCS 1253 at para. 17. In the federal correctional system, pursuant to section 98 of the </w:t>
      </w:r>
      <w:r w:rsidRPr="009B7667">
        <w:rPr>
          <w:i/>
          <w:lang w:val="en-CA"/>
        </w:rPr>
        <w:t>CCRA</w:t>
      </w:r>
      <w:r w:rsidRPr="009B7667">
        <w:rPr>
          <w:lang w:val="en-CA"/>
        </w:rPr>
        <w:t>, the Commissioner’s directives must be accessible to offenders, staff members, and the public.</w:t>
      </w:r>
    </w:p>
  </w:footnote>
  <w:footnote w:id="10">
    <w:p w14:paraId="40000FBE" w14:textId="27929830"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Pr>
          <w:lang w:val="en-CA"/>
        </w:rPr>
        <w:t xml:space="preserve">The Court </w:t>
      </w:r>
      <w:r w:rsidRPr="009B7667">
        <w:rPr>
          <w:lang w:val="en-CA"/>
        </w:rPr>
        <w:t>note</w:t>
      </w:r>
      <w:r>
        <w:rPr>
          <w:lang w:val="en-CA"/>
        </w:rPr>
        <w:t>s</w:t>
      </w:r>
      <w:r w:rsidRPr="009B7667">
        <w:rPr>
          <w:lang w:val="en-CA"/>
        </w:rPr>
        <w:t xml:space="preserve"> the duties of the correctional authorities in this regard, since they control that information: </w:t>
      </w:r>
      <w:r w:rsidRPr="009B7667">
        <w:rPr>
          <w:i/>
          <w:lang w:val="en-CA"/>
        </w:rPr>
        <w:t>Mission Institution v. Khela</w:t>
      </w:r>
      <w:r w:rsidRPr="009B7667">
        <w:rPr>
          <w:lang w:val="en-CA"/>
        </w:rPr>
        <w:t>, 2014 SCC 24, [2014] 1 S.C.R. 502 at para. 40.</w:t>
      </w:r>
    </w:p>
  </w:footnote>
  <w:footnote w:id="11">
    <w:p w14:paraId="5D68C855"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Cardinal v. Director of Kent Institution</w:t>
      </w:r>
      <w:r w:rsidRPr="009B7667">
        <w:rPr>
          <w:lang w:val="en-CA"/>
        </w:rPr>
        <w:t>, [1985] 2 S.C.R. 643 at 660.</w:t>
      </w:r>
    </w:p>
  </w:footnote>
  <w:footnote w:id="12">
    <w:p w14:paraId="17DA5CB1"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May v. Ferndale Institution</w:t>
      </w:r>
      <w:r w:rsidRPr="009B7667">
        <w:rPr>
          <w:lang w:val="en-CA"/>
        </w:rPr>
        <w:t>, [2005] 3 S.C.R. 809, 2005 SCC 82 at paras. 23–25</w:t>
      </w:r>
      <w:r w:rsidRPr="009B7667">
        <w:rPr>
          <w:i/>
          <w:lang w:val="en-CA"/>
        </w:rPr>
        <w:t>.</w:t>
      </w:r>
    </w:p>
  </w:footnote>
  <w:footnote w:id="13">
    <w:p w14:paraId="2F22B6C9"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Mission Institution v. Khela</w:t>
      </w:r>
      <w:r w:rsidRPr="009B7667">
        <w:rPr>
          <w:lang w:val="en-CA"/>
        </w:rPr>
        <w:t xml:space="preserve">, 2014 SCC 24, [2014] 1 S.C.R. 502 at para. 75; </w:t>
      </w:r>
      <w:r w:rsidRPr="009B7667">
        <w:rPr>
          <w:i/>
          <w:lang w:val="en-CA"/>
        </w:rPr>
        <w:t>Jackson c. Dulac</w:t>
      </w:r>
      <w:r w:rsidRPr="009B7667">
        <w:rPr>
          <w:lang w:val="en-CA"/>
        </w:rPr>
        <w:t>, 2021 QCCA 1536 at para. 37.</w:t>
      </w:r>
    </w:p>
  </w:footnote>
  <w:footnote w:id="14">
    <w:p w14:paraId="61CB179B"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Mission Institution v. Khela</w:t>
      </w:r>
      <w:r w:rsidRPr="009B7667">
        <w:rPr>
          <w:lang w:val="en-CA"/>
        </w:rPr>
        <w:t xml:space="preserve">, 2014 SCC 24, [2014] 1 S.C.R. 502 at para. 75. See also </w:t>
      </w:r>
      <w:r w:rsidRPr="009B7667">
        <w:rPr>
          <w:i/>
          <w:lang w:val="en-CA"/>
        </w:rPr>
        <w:t>Ewert c. Lalande</w:t>
      </w:r>
      <w:r w:rsidRPr="009B7667">
        <w:rPr>
          <w:lang w:val="en-CA"/>
        </w:rPr>
        <w:t>, 2020 QCCA 1141 at para. 56.</w:t>
      </w:r>
    </w:p>
  </w:footnote>
  <w:footnote w:id="15">
    <w:p w14:paraId="4755864D" w14:textId="77777777" w:rsidR="00D842CE" w:rsidRPr="00D7563F" w:rsidRDefault="00D842CE" w:rsidP="00461B74">
      <w:pPr>
        <w:pStyle w:val="Notedebasdepage"/>
      </w:pPr>
      <w:r w:rsidRPr="009B7667">
        <w:rPr>
          <w:rStyle w:val="Appelnotedebasdep"/>
          <w:lang w:val="en-CA"/>
        </w:rPr>
        <w:footnoteRef/>
      </w:r>
      <w:r w:rsidRPr="009B7667">
        <w:rPr>
          <w:lang w:val="en-CA"/>
        </w:rPr>
        <w:t xml:space="preserve"> </w:t>
      </w:r>
      <w:r w:rsidRPr="009B7667">
        <w:rPr>
          <w:lang w:val="en-CA"/>
        </w:rPr>
        <w:tab/>
      </w:r>
      <w:r w:rsidRPr="009B7667">
        <w:rPr>
          <w:i/>
          <w:lang w:val="en-CA"/>
        </w:rPr>
        <w:t>Canada (Minister of Citizenship and Immigration) v. Vavilov</w:t>
      </w:r>
      <w:r w:rsidRPr="009B7667">
        <w:rPr>
          <w:lang w:val="en-CA"/>
        </w:rPr>
        <w:t xml:space="preserve">, 2019 SCC 65 at para. 13; </w:t>
      </w:r>
      <w:r w:rsidRPr="009B7667">
        <w:rPr>
          <w:i/>
          <w:lang w:val="en-CA"/>
        </w:rPr>
        <w:t>British Columbia Civil Liberties Association v. Canada (Attorney General)</w:t>
      </w:r>
      <w:r w:rsidRPr="009B7667">
        <w:rPr>
          <w:lang w:val="en-CA"/>
        </w:rPr>
        <w:t xml:space="preserve">, 2019 BCCA 228 at para. </w:t>
      </w:r>
      <w:r w:rsidRPr="00D7563F">
        <w:t>190.</w:t>
      </w:r>
    </w:p>
  </w:footnote>
  <w:footnote w:id="16">
    <w:p w14:paraId="370E0E84" w14:textId="77777777" w:rsidR="00D842CE" w:rsidRPr="00D7563F" w:rsidRDefault="00D842CE" w:rsidP="00461B74">
      <w:pPr>
        <w:pStyle w:val="Notedebasdepage"/>
      </w:pPr>
      <w:r w:rsidRPr="009B7667">
        <w:rPr>
          <w:rStyle w:val="Appelnotedebasdep"/>
          <w:lang w:val="en-CA"/>
        </w:rPr>
        <w:footnoteRef/>
      </w:r>
      <w:r w:rsidRPr="00D7563F">
        <w:t xml:space="preserve"> </w:t>
      </w:r>
      <w:r w:rsidRPr="00D7563F">
        <w:tab/>
      </w:r>
      <w:r w:rsidRPr="00D7563F">
        <w:rPr>
          <w:i/>
        </w:rPr>
        <w:t>Diggs c. Procureur general du Québec</w:t>
      </w:r>
      <w:r w:rsidRPr="00D7563F">
        <w:t xml:space="preserve">, 2021 QCCS 2724; </w:t>
      </w:r>
      <w:r w:rsidRPr="00D7563F">
        <w:rPr>
          <w:i/>
        </w:rPr>
        <w:t>Campeau c. Procureur general du Canada</w:t>
      </w:r>
      <w:r w:rsidRPr="00D7563F">
        <w:t xml:space="preserve">, 2021 QCCS 843; </w:t>
      </w:r>
      <w:r w:rsidRPr="00D7563F">
        <w:rPr>
          <w:i/>
        </w:rPr>
        <w:t>Gallone c. Procureure générale du Québec</w:t>
      </w:r>
      <w:r w:rsidRPr="00D7563F">
        <w:t>, 2018 QCCS 4190.</w:t>
      </w:r>
    </w:p>
  </w:footnote>
  <w:footnote w:id="17">
    <w:p w14:paraId="314FAFED" w14:textId="77777777" w:rsidR="00D842CE" w:rsidRPr="009B7667" w:rsidRDefault="00D842CE" w:rsidP="00461B74">
      <w:pPr>
        <w:pStyle w:val="Notedebasdepage"/>
        <w:rPr>
          <w:rFonts w:cs="Arial"/>
          <w:lang w:val="en-CA"/>
        </w:rPr>
      </w:pPr>
      <w:r w:rsidRPr="009B7667">
        <w:rPr>
          <w:rStyle w:val="Appelnotedebasdep"/>
          <w:rFonts w:cs="Arial"/>
          <w:lang w:val="en-CA"/>
        </w:rPr>
        <w:footnoteRef/>
      </w:r>
      <w:r w:rsidRPr="00D7563F">
        <w:rPr>
          <w:rFonts w:cs="Arial"/>
        </w:rPr>
        <w:t xml:space="preserve"> </w:t>
      </w:r>
      <w:r w:rsidRPr="00D7563F">
        <w:rPr>
          <w:rFonts w:cs="Arial"/>
        </w:rPr>
        <w:tab/>
      </w:r>
      <w:r w:rsidRPr="00D7563F">
        <w:rPr>
          <w:rFonts w:cs="Arial"/>
          <w:i/>
        </w:rPr>
        <w:t>Turbide Labbé c. Massé</w:t>
      </w:r>
      <w:r w:rsidRPr="00D7563F">
        <w:rPr>
          <w:rFonts w:cs="Arial"/>
        </w:rPr>
        <w:t xml:space="preserve">, 2020 QCCS 4317 at para. </w:t>
      </w:r>
      <w:r w:rsidRPr="009B7667">
        <w:rPr>
          <w:rFonts w:cs="Arial"/>
          <w:lang w:val="en-CA"/>
        </w:rPr>
        <w:t xml:space="preserve">80. </w:t>
      </w:r>
    </w:p>
  </w:footnote>
  <w:footnote w:id="18">
    <w:p w14:paraId="591CE5FF" w14:textId="427B3835"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Further to a complaint sent by the appellant on June 17, 2021, pubic security answered as follows on June 23, 2021: [</w:t>
      </w:r>
      <w:r w:rsidRPr="009B7667">
        <w:rPr>
          <w:smallCaps/>
          <w:lang w:val="en-CA"/>
        </w:rPr>
        <w:t>translation</w:t>
      </w:r>
      <w:r w:rsidRPr="009B7667">
        <w:rPr>
          <w:lang w:val="en-CA"/>
        </w:rPr>
        <w:t xml:space="preserve">] “Mr. Turbide, your complaint is unfounded. The living </w:t>
      </w:r>
      <w:r w:rsidR="000D079B">
        <w:rPr>
          <w:lang w:val="en-CA"/>
        </w:rPr>
        <w:t xml:space="preserve">area </w:t>
      </w:r>
      <w:r w:rsidRPr="009B7667">
        <w:rPr>
          <w:lang w:val="en-CA"/>
        </w:rPr>
        <w:t xml:space="preserve">you have been assigned to, MS6, is a </w:t>
      </w:r>
      <w:r>
        <w:rPr>
          <w:lang w:val="en-CA"/>
        </w:rPr>
        <w:t xml:space="preserve">general </w:t>
      </w:r>
      <w:r w:rsidRPr="009B7667">
        <w:rPr>
          <w:lang w:val="en-CA"/>
        </w:rPr>
        <w:t xml:space="preserve">housing </w:t>
      </w:r>
      <w:r w:rsidR="000D079B">
        <w:rPr>
          <w:lang w:val="en-CA"/>
        </w:rPr>
        <w:t>area</w:t>
      </w:r>
      <w:r w:rsidRPr="009B7667">
        <w:rPr>
          <w:lang w:val="en-CA"/>
        </w:rPr>
        <w:t xml:space="preserve">, reserved for offenders </w:t>
      </w:r>
      <w:r>
        <w:rPr>
          <w:lang w:val="en-CA"/>
        </w:rPr>
        <w:t>with</w:t>
      </w:r>
      <w:r w:rsidRPr="009B7667">
        <w:rPr>
          <w:lang w:val="en-CA"/>
        </w:rPr>
        <w:t xml:space="preserve"> enhanced security needs, among other things. Contrary to your letter, it is not a segregation </w:t>
      </w:r>
      <w:r w:rsidR="000D079B">
        <w:rPr>
          <w:lang w:val="en-CA"/>
        </w:rPr>
        <w:t>area</w:t>
      </w:r>
      <w:r w:rsidRPr="009B7667">
        <w:rPr>
          <w:lang w:val="en-CA"/>
        </w:rPr>
        <w:t xml:space="preserve">”. </w:t>
      </w:r>
    </w:p>
  </w:footnote>
  <w:footnote w:id="19">
    <w:p w14:paraId="44B04BBE" w14:textId="77777777" w:rsidR="00D842CE" w:rsidRPr="00D7563F" w:rsidRDefault="00D842CE" w:rsidP="00461B74">
      <w:pPr>
        <w:pStyle w:val="Notedebasdepage"/>
        <w:rPr>
          <w:rFonts w:cs="Arial"/>
        </w:rPr>
      </w:pPr>
      <w:r w:rsidRPr="009B7667">
        <w:rPr>
          <w:rStyle w:val="Appelnotedebasdep"/>
          <w:rFonts w:cs="Arial"/>
          <w:lang w:val="en-CA"/>
        </w:rPr>
        <w:footnoteRef/>
      </w:r>
      <w:r w:rsidRPr="00D7563F">
        <w:rPr>
          <w:rFonts w:cs="Arial"/>
        </w:rPr>
        <w:t xml:space="preserve"> </w:t>
      </w:r>
      <w:r w:rsidRPr="00D7563F">
        <w:rPr>
          <w:rFonts w:cs="Arial"/>
        </w:rPr>
        <w:tab/>
      </w:r>
      <w:r w:rsidRPr="00D7563F">
        <w:rPr>
          <w:rFonts w:cs="Arial"/>
          <w:i/>
        </w:rPr>
        <w:t>Turbide-Labbé c. Ministère de la Sécurité publique</w:t>
      </w:r>
      <w:r w:rsidRPr="00D7563F">
        <w:rPr>
          <w:rFonts w:cs="Arial"/>
        </w:rPr>
        <w:t>, 2021 QCCS 3149 [Judgment under appeal].</w:t>
      </w:r>
    </w:p>
  </w:footnote>
  <w:footnote w:id="20">
    <w:p w14:paraId="3A568546"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Turbide Labbé c. Massé</w:t>
      </w:r>
      <w:r w:rsidRPr="009B7667">
        <w:rPr>
          <w:lang w:val="en-CA"/>
        </w:rPr>
        <w:t>, 2020 QCCS 4317; leave to appeal after expiry of the time limit refused, 2021 QCCA 1646.</w:t>
      </w:r>
    </w:p>
  </w:footnote>
  <w:footnote w:id="21">
    <w:p w14:paraId="2443B2B0" w14:textId="47418CBF"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The report was not filed under article 399 C.C.P., and the author of the report was not cross-examined.</w:t>
      </w:r>
    </w:p>
  </w:footnote>
  <w:footnote w:id="22">
    <w:p w14:paraId="542ABEC3"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United Nations. General Assembly. Interim report of the Special Rapporteur of the Human Rights Council on torture and other cruel, inhuman or degrading treatment or punishment, U.N. Doc. A/66/268, August 5, 2011, at para. 62.  In </w:t>
      </w:r>
      <w:r w:rsidRPr="009B7667">
        <w:rPr>
          <w:i/>
          <w:lang w:val="en-CA"/>
        </w:rPr>
        <w:t>Brazeau v. Canada</w:t>
      </w:r>
      <w:r w:rsidRPr="009B7667">
        <w:rPr>
          <w:lang w:val="en-CA"/>
        </w:rPr>
        <w:t xml:space="preserve"> (Attorney General), 2020 ONCA 184 at para. 78, the Court of Appeal for Ontario referred to this report and in particular to this excerpt.</w:t>
      </w:r>
    </w:p>
  </w:footnote>
  <w:footnote w:id="23">
    <w:p w14:paraId="06E51ADB"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w:t>
      </w:r>
      <w:r w:rsidRPr="009B7667">
        <w:rPr>
          <w:i/>
          <w:lang w:val="en-CA"/>
        </w:rPr>
        <w:t>Canadian Civil Liberties Association v. Canada</w:t>
      </w:r>
      <w:r w:rsidRPr="009B7667">
        <w:rPr>
          <w:lang w:val="en-CA"/>
        </w:rPr>
        <w:t xml:space="preserve">, 2019 ONCA 243 at paras. 26–28 and 74; </w:t>
      </w:r>
      <w:r w:rsidRPr="009B7667">
        <w:rPr>
          <w:i/>
          <w:lang w:val="en-CA"/>
        </w:rPr>
        <w:t>British Columbia Civil Liberties Association v. Canada (Attorney General)</w:t>
      </w:r>
      <w:r w:rsidRPr="009B7667">
        <w:rPr>
          <w:lang w:val="en-CA"/>
        </w:rPr>
        <w:t>, 2019 BCCA 228 at para. 74; Jennifer Pearce, “Making the Mandela Rules: Evidence, Expertise, and Politics in the Development of Soft Law International Prison Standards” (2018) 43 Queen’s L.J. 263 at 292.</w:t>
      </w:r>
    </w:p>
  </w:footnote>
  <w:footnote w:id="24">
    <w:p w14:paraId="1E43F922" w14:textId="77777777" w:rsidR="00D842CE" w:rsidRPr="00D7563F" w:rsidRDefault="00D842CE" w:rsidP="00461B74">
      <w:pPr>
        <w:pStyle w:val="Notedebasdepage"/>
      </w:pPr>
      <w:r w:rsidRPr="009B7667">
        <w:rPr>
          <w:rStyle w:val="Appelnotedebasdep"/>
          <w:lang w:val="en-CA"/>
        </w:rPr>
        <w:footnoteRef/>
      </w:r>
      <w:r w:rsidRPr="00D7563F">
        <w:t xml:space="preserve"> </w:t>
      </w:r>
      <w:r w:rsidRPr="00D7563F">
        <w:tab/>
        <w:t>S.C. 1992, c. 20.</w:t>
      </w:r>
    </w:p>
  </w:footnote>
  <w:footnote w:id="25">
    <w:p w14:paraId="30B96252" w14:textId="77777777" w:rsidR="00D842CE" w:rsidRPr="009B7667" w:rsidRDefault="00D842CE" w:rsidP="00461B74">
      <w:pPr>
        <w:pStyle w:val="Notedebasdepage"/>
        <w:rPr>
          <w:lang w:val="en-CA"/>
        </w:rPr>
      </w:pPr>
      <w:r w:rsidRPr="009B7667">
        <w:rPr>
          <w:rStyle w:val="Appelnotedebasdep"/>
          <w:lang w:val="en-CA"/>
        </w:rPr>
        <w:footnoteRef/>
      </w:r>
      <w:r w:rsidRPr="00D7563F">
        <w:t xml:space="preserve"> </w:t>
      </w:r>
      <w:r w:rsidRPr="00D7563F">
        <w:tab/>
      </w:r>
      <w:r w:rsidRPr="00D7563F">
        <w:rPr>
          <w:i/>
        </w:rPr>
        <w:t>Turbide-Labbé c. Ministère de la Sécurité publique,</w:t>
      </w:r>
      <w:r w:rsidRPr="00D7563F">
        <w:t xml:space="preserve"> 2021 QCCS 3149 at para. </w:t>
      </w:r>
      <w:r w:rsidRPr="009B7667">
        <w:rPr>
          <w:lang w:val="en-CA"/>
        </w:rPr>
        <w:t>17.</w:t>
      </w:r>
    </w:p>
  </w:footnote>
  <w:footnote w:id="26">
    <w:p w14:paraId="52FDBCE1"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Pratt v. Nova Scotia (Attorney General)</w:t>
      </w:r>
      <w:r w:rsidRPr="009B7667">
        <w:rPr>
          <w:lang w:val="en-CA"/>
        </w:rPr>
        <w:t>, 2020 NSCA 39 at paras. 56–57.</w:t>
      </w:r>
    </w:p>
  </w:footnote>
  <w:footnote w:id="27">
    <w:p w14:paraId="6B43DC73"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2014 SCC 24, [2014] 1 S.C.R. 502. See also </w:t>
      </w:r>
      <w:r w:rsidRPr="009B7667">
        <w:rPr>
          <w:i/>
          <w:lang w:val="en-CA"/>
        </w:rPr>
        <w:t>Mazzei v. British Columbia (Director of Adult Forensic Psychiatric Services)</w:t>
      </w:r>
      <w:r w:rsidRPr="009B7667">
        <w:rPr>
          <w:lang w:val="en-CA"/>
        </w:rPr>
        <w:t xml:space="preserve">, [2006] 1 S.C.R. 326, 2006 SCC 7 at para. 15; </w:t>
      </w:r>
      <w:r w:rsidRPr="009B7667">
        <w:rPr>
          <w:i/>
          <w:lang w:val="en-CA"/>
        </w:rPr>
        <w:t>R. v. Oland</w:t>
      </w:r>
      <w:r w:rsidRPr="009B7667">
        <w:rPr>
          <w:lang w:val="en-CA"/>
        </w:rPr>
        <w:t xml:space="preserve">, 2017 SCC 17, [2017] 1 S.C.R. 250 at paras. 17–18; </w:t>
      </w:r>
      <w:r w:rsidRPr="009B7667">
        <w:rPr>
          <w:i/>
          <w:lang w:val="en-CA"/>
        </w:rPr>
        <w:t>R v. Myers</w:t>
      </w:r>
      <w:r w:rsidRPr="009B7667">
        <w:rPr>
          <w:lang w:val="en-CA"/>
        </w:rPr>
        <w:t xml:space="preserve">, 2019 SCC 18, [2019] 2 S.C.R. 105 at paras. 13–14; </w:t>
      </w:r>
    </w:p>
  </w:footnote>
  <w:footnote w:id="28">
    <w:p w14:paraId="256D2A61" w14:textId="7367D6E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During the week following the hearing of his appeal, the appellant informed the Court that he was aware of the complexity and novelty of the issues raised by his appeal. He undertook not to present new challenges to his detention conditions un</w:t>
      </w:r>
      <w:r>
        <w:rPr>
          <w:lang w:val="en-CA"/>
        </w:rPr>
        <w:t>til</w:t>
      </w:r>
      <w:r w:rsidRPr="009B7667">
        <w:rPr>
          <w:lang w:val="en-CA"/>
        </w:rPr>
        <w:t xml:space="preserve"> the Court’s judgment was filed. </w:t>
      </w:r>
    </w:p>
  </w:footnote>
  <w:footnote w:id="29">
    <w:p w14:paraId="67FF95CA" w14:textId="5D12A0E3" w:rsidR="00D842CE" w:rsidRPr="00D7563F" w:rsidRDefault="00D842CE" w:rsidP="00461B74">
      <w:pPr>
        <w:pStyle w:val="Notedebasdepage"/>
      </w:pPr>
      <w:r w:rsidRPr="009B7667">
        <w:rPr>
          <w:rStyle w:val="Appelnotedebasdep"/>
          <w:lang w:val="en-CA"/>
        </w:rPr>
        <w:footnoteRef/>
      </w:r>
      <w:r w:rsidRPr="00D7563F">
        <w:t xml:space="preserve"> </w:t>
      </w:r>
      <w:r w:rsidRPr="00D7563F">
        <w:tab/>
      </w:r>
      <w:r w:rsidRPr="00D7563F">
        <w:rPr>
          <w:i/>
        </w:rPr>
        <w:t>Turbide Labbé c. Massé</w:t>
      </w:r>
      <w:r w:rsidRPr="00D7563F">
        <w:t>, 2021 QCCA 1646.</w:t>
      </w:r>
    </w:p>
  </w:footnote>
  <w:footnote w:id="30">
    <w:p w14:paraId="53225C52"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[1976] 1 F.C. 570.</w:t>
      </w:r>
    </w:p>
  </w:footnote>
  <w:footnote w:id="31">
    <w:p w14:paraId="683C8BE1" w14:textId="209A652F" w:rsidR="00D842CE" w:rsidRPr="009B7667" w:rsidRDefault="00D842CE" w:rsidP="00461B74">
      <w:pPr>
        <w:pStyle w:val="Notedebasdepage"/>
        <w:rPr>
          <w:i/>
          <w:lang w:val="en-CA"/>
        </w:rPr>
      </w:pPr>
      <w:r w:rsidRPr="009B7667">
        <w:rPr>
          <w:rStyle w:val="Appelnotedebasdep"/>
          <w:lang w:val="en-CA"/>
        </w:rPr>
        <w:footnoteRef/>
      </w:r>
      <w:r w:rsidRPr="009B7667">
        <w:rPr>
          <w:lang w:val="en-CA"/>
        </w:rPr>
        <w:t xml:space="preserve"> </w:t>
      </w:r>
      <w:r w:rsidRPr="009B7667">
        <w:rPr>
          <w:lang w:val="en-CA"/>
        </w:rPr>
        <w:tab/>
        <w:t xml:space="preserve">(Toronto: University of Toronto Press, 1983). In </w:t>
      </w:r>
      <w:r w:rsidRPr="009B7667">
        <w:rPr>
          <w:i/>
          <w:lang w:val="en-CA"/>
        </w:rPr>
        <w:t xml:space="preserve">May v. Ferndale Institution, </w:t>
      </w:r>
      <w:r w:rsidRPr="009B7667">
        <w:rPr>
          <w:lang w:val="en-CA"/>
        </w:rPr>
        <w:t xml:space="preserve">[2005] 3 S.C.R. 809, 2005 SCC 82 at para. 24, the Supreme Court referred to Professor Jackson’s work to explain the reasons justifying the abandonment of the hands-off policy that prevailed until </w:t>
      </w:r>
      <w:r w:rsidRPr="009B7667">
        <w:rPr>
          <w:i/>
          <w:lang w:val="en-CA"/>
        </w:rPr>
        <w:t xml:space="preserve">Martineau v. </w:t>
      </w:r>
      <w:r w:rsidR="00532283">
        <w:rPr>
          <w:i/>
          <w:lang w:val="en-CA"/>
        </w:rPr>
        <w:t xml:space="preserve">Matsqui </w:t>
      </w:r>
      <w:r w:rsidRPr="009B7667">
        <w:rPr>
          <w:i/>
          <w:lang w:val="en-CA"/>
        </w:rPr>
        <w:t>Disciplinary Bd.</w:t>
      </w:r>
      <w:r w:rsidRPr="009B7667">
        <w:rPr>
          <w:lang w:val="en-CA"/>
        </w:rPr>
        <w:t>, [1980] 1 S.C.R. 602, which sought to ensure respect for the rule of law within penitentiaries.</w:t>
      </w:r>
    </w:p>
  </w:footnote>
  <w:footnote w:id="32">
    <w:p w14:paraId="75CF2BA0" w14:textId="7FE3E725"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Lyne Casavant &amp; Maxime Charron-Tousignant, </w:t>
      </w:r>
      <w:r w:rsidRPr="009B7667">
        <w:rPr>
          <w:i/>
          <w:lang w:val="en-CA"/>
        </w:rPr>
        <w:t>Legislative Summary of Bill C-83: An Act to amend the Corrections and Conditional Release Act and another Act</w:t>
      </w:r>
      <w:r w:rsidRPr="009B7667">
        <w:rPr>
          <w:lang w:val="en-CA"/>
        </w:rPr>
        <w:t>, Publication No. 42-1-C83-E, Library of Parliament, 30 October 2018, revised 27 August 2019 at 4.</w:t>
      </w:r>
      <w:r w:rsidRPr="009B7667">
        <w:rPr>
          <w:lang w:val="en-CA"/>
        </w:rPr>
        <w:tab/>
      </w:r>
    </w:p>
  </w:footnote>
  <w:footnote w:id="33">
    <w:p w14:paraId="27C980C1" w14:textId="6E08A65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The Honourable Louise Arbour, </w:t>
      </w:r>
      <w:r w:rsidRPr="009B7667">
        <w:rPr>
          <w:i/>
          <w:lang w:val="en-CA"/>
        </w:rPr>
        <w:t>Commission of Inquiry into certain events at the Prison for Women in Kingston</w:t>
      </w:r>
      <w:r w:rsidRPr="009B7667">
        <w:rPr>
          <w:lang w:val="en-CA"/>
        </w:rPr>
        <w:t>, Public Works and Government Services Canada, 1996 at 185–192.</w:t>
      </w:r>
    </w:p>
  </w:footnote>
  <w:footnote w:id="34">
    <w:p w14:paraId="785D27AE" w14:textId="09EE1D8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191.</w:t>
      </w:r>
    </w:p>
  </w:footnote>
  <w:footnote w:id="35">
    <w:p w14:paraId="28C82790" w14:textId="09BA0574"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See Michael Jackson, “Reflections on 40 Years of Advocacy” (2015) 4 Can J Hum Rts</w:t>
      </w:r>
      <w:r w:rsidRPr="009B7667">
        <w:rPr>
          <w:i/>
          <w:lang w:val="en-CA"/>
        </w:rPr>
        <w:t xml:space="preserve"> </w:t>
      </w:r>
      <w:r w:rsidRPr="009B7667">
        <w:rPr>
          <w:lang w:val="en-CA"/>
        </w:rPr>
        <w:t>57; Lisa Coleen Kerr, “The Origins of Unlawful Prison Policies” (2015) 4 Can J Hum Rts 89; Debra Parkes, “Ending the Isolation: An Introduction to the Special Volume on Human Rights and Solitary Confinement” (2015) 4 Can J Hum Rts vii.</w:t>
      </w:r>
    </w:p>
  </w:footnote>
  <w:footnote w:id="36">
    <w:p w14:paraId="21A281C7" w14:textId="7351C0C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British Columbia Civil Liberties Association v. Canada (Attorney General)</w:t>
      </w:r>
      <w:r w:rsidRPr="009B7667">
        <w:rPr>
          <w:lang w:val="en-CA"/>
        </w:rPr>
        <w:t>, 2019 BCCA 228 at paras. 31–70.</w:t>
      </w:r>
    </w:p>
  </w:footnote>
  <w:footnote w:id="37">
    <w:p w14:paraId="72596730" w14:textId="14633902"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Brazeau v. Canada (Attorney General)</w:t>
      </w:r>
      <w:r w:rsidRPr="009B7667">
        <w:rPr>
          <w:lang w:val="en-CA"/>
        </w:rPr>
        <w:t xml:space="preserve">, 2020 ONCA 184 at paras. 71–100; </w:t>
      </w:r>
      <w:r w:rsidRPr="009B7667">
        <w:rPr>
          <w:i/>
          <w:lang w:val="en-CA"/>
        </w:rPr>
        <w:t xml:space="preserve">Canadian Civil Liberties Association v. Canada, </w:t>
      </w:r>
      <w:r w:rsidRPr="009B7667">
        <w:rPr>
          <w:lang w:val="en-CA"/>
        </w:rPr>
        <w:t>2019 ONCA 243 at paras. 22–29.</w:t>
      </w:r>
    </w:p>
  </w:footnote>
  <w:footnote w:id="38">
    <w:p w14:paraId="6AD8899B" w14:textId="558D37E4"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Winters v. Legal Services Society</w:t>
      </w:r>
      <w:r w:rsidRPr="009B7667">
        <w:rPr>
          <w:lang w:val="en-CA"/>
        </w:rPr>
        <w:t>, [1999] 3 S.C.R. 160.</w:t>
      </w:r>
    </w:p>
  </w:footnote>
  <w:footnote w:id="39">
    <w:p w14:paraId="1023F22D" w14:textId="01A8C77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The disagreement between Binnie and Cory, JJ. concerned the “discretion to determine when mandatory legal services under s. 3(2) ought to rise to the level of legal representation” (at para. 14).</w:t>
      </w:r>
    </w:p>
  </w:footnote>
  <w:footnote w:id="40">
    <w:p w14:paraId="4E0E6D5B" w14:textId="4A08175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Binnie, J. specifically stated that he agreed with Cory, J. on this issue: see paras. 1, 11, and 21–22.</w:t>
      </w:r>
    </w:p>
  </w:footnote>
  <w:footnote w:id="41">
    <w:p w14:paraId="1A862111" w14:textId="339CA758"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Winters v. Legal Services Society</w:t>
      </w:r>
      <w:r w:rsidRPr="009B7667">
        <w:rPr>
          <w:lang w:val="en-CA"/>
        </w:rPr>
        <w:t>, [1999] 3 S.C.R. 160 at paras. 63 to 67.</w:t>
      </w:r>
    </w:p>
  </w:footnote>
  <w:footnote w:id="42">
    <w:p w14:paraId="26AF36F5" w14:textId="212C2743"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para. 53.</w:t>
      </w:r>
    </w:p>
  </w:footnote>
  <w:footnote w:id="43">
    <w:p w14:paraId="2ADC2E2C" w14:textId="13588238"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 xml:space="preserve">at para. 67. </w:t>
      </w:r>
    </w:p>
  </w:footnote>
  <w:footnote w:id="44">
    <w:p w14:paraId="5BE4074E" w14:textId="56CA709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para. 65.</w:t>
      </w:r>
    </w:p>
  </w:footnote>
  <w:footnote w:id="45">
    <w:p w14:paraId="55F91373" w14:textId="7B48C68E" w:rsidR="00D842CE" w:rsidRPr="009B7667" w:rsidRDefault="00D842CE" w:rsidP="00461B74">
      <w:pPr>
        <w:pStyle w:val="Notedebasdepage"/>
        <w:rPr>
          <w:lang w:val="en-CA"/>
        </w:rPr>
      </w:pPr>
      <w:r w:rsidRPr="009B7667">
        <w:rPr>
          <w:rStyle w:val="Appelnotedebasdep"/>
          <w:lang w:val="en-CA"/>
        </w:rPr>
        <w:footnoteRef/>
      </w:r>
      <w:r w:rsidRPr="009B7667">
        <w:rPr>
          <w:lang w:val="en-CA"/>
        </w:rPr>
        <w:tab/>
      </w:r>
      <w:r w:rsidRPr="009B7667">
        <w:rPr>
          <w:i/>
          <w:lang w:val="en-CA"/>
        </w:rPr>
        <w:t xml:space="preserve">Ibid. </w:t>
      </w:r>
      <w:r w:rsidRPr="009B7667">
        <w:rPr>
          <w:lang w:val="en-CA"/>
        </w:rPr>
        <w:t>at para. 67.</w:t>
      </w:r>
    </w:p>
  </w:footnote>
  <w:footnote w:id="46">
    <w:p w14:paraId="4F6C13FE" w14:textId="2FEB6450" w:rsidR="00D842CE" w:rsidRPr="009B7667" w:rsidRDefault="00D842CE" w:rsidP="00461B74">
      <w:pPr>
        <w:pStyle w:val="Notedebasdepage"/>
        <w:rPr>
          <w:lang w:val="en-CA"/>
        </w:rPr>
      </w:pPr>
      <w:r w:rsidRPr="009B7667">
        <w:rPr>
          <w:rStyle w:val="Appelnotedebasdep"/>
          <w:lang w:val="en-CA"/>
        </w:rPr>
        <w:footnoteRef/>
      </w:r>
      <w:r w:rsidRPr="009B7667">
        <w:rPr>
          <w:lang w:val="en-CA"/>
        </w:rPr>
        <w:tab/>
      </w:r>
      <w:r w:rsidRPr="009B7667">
        <w:rPr>
          <w:i/>
          <w:lang w:val="en-CA"/>
        </w:rPr>
        <w:t xml:space="preserve">Ibid. </w:t>
      </w:r>
      <w:r w:rsidRPr="009B7667">
        <w:rPr>
          <w:lang w:val="en-CA"/>
        </w:rPr>
        <w:t>at para. 75.</w:t>
      </w:r>
    </w:p>
  </w:footnote>
  <w:footnote w:id="47">
    <w:p w14:paraId="0047E2BA"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p>
  </w:footnote>
  <w:footnote w:id="48">
    <w:p w14:paraId="60D198D0" w14:textId="3B22C85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Lisa Kerr, “The End Stage of Solitary Confinement”, (2019) 55 C.R. (7th) 382. The Attorney General of Canada obtained leave to appeal these two judgments before the Supreme Court of Canada, but ultimately discontinued </w:t>
      </w:r>
      <w:r>
        <w:rPr>
          <w:lang w:val="en-CA"/>
        </w:rPr>
        <w:t>the</w:t>
      </w:r>
      <w:r w:rsidRPr="009B7667">
        <w:rPr>
          <w:lang w:val="en-CA"/>
        </w:rPr>
        <w:t xml:space="preserve"> appeals.</w:t>
      </w:r>
    </w:p>
  </w:footnote>
  <w:footnote w:id="49">
    <w:p w14:paraId="5E082FA8" w14:textId="0F843BF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S.C. 2019, c. 27. See Lyne Casavant &amp; Maxime Charron-Tousignan</w:t>
      </w:r>
      <w:r>
        <w:rPr>
          <w:lang w:val="en-CA"/>
        </w:rPr>
        <w:t>t</w:t>
      </w:r>
      <w:r w:rsidRPr="009B7667">
        <w:rPr>
          <w:lang w:val="en-CA"/>
        </w:rPr>
        <w:t xml:space="preserve">, </w:t>
      </w:r>
      <w:r w:rsidRPr="009B7667">
        <w:rPr>
          <w:i/>
          <w:lang w:val="en-CA"/>
        </w:rPr>
        <w:t>Legislative Summary of Bill C-83: An Act to amend the Corrections and Conditional Release Act and another Act</w:t>
      </w:r>
      <w:r w:rsidRPr="009B7667">
        <w:rPr>
          <w:lang w:val="en-CA"/>
        </w:rPr>
        <w:t>, Publication No. 42-1-C83-E, Library of Parliament, 30 October 2018, revised 27 August 2019.</w:t>
      </w:r>
    </w:p>
  </w:footnote>
  <w:footnote w:id="50">
    <w:p w14:paraId="7B192209" w14:textId="6ECF8A9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Under s. 40(2) of the </w:t>
      </w:r>
      <w:r w:rsidRPr="009B7667">
        <w:rPr>
          <w:i/>
          <w:lang w:val="en-CA"/>
        </w:rPr>
        <w:t>Corrections and Conditional Release Regulations</w:t>
      </w:r>
      <w:r w:rsidRPr="009B7667">
        <w:rPr>
          <w:lang w:val="en-CA"/>
        </w:rPr>
        <w:t>, SOR/92-620, in force on 29 November 2019, [“</w:t>
      </w:r>
      <w:r w:rsidRPr="009B7667">
        <w:rPr>
          <w:i/>
          <w:lang w:val="en-CA"/>
        </w:rPr>
        <w:t>2019 Regulations</w:t>
      </w:r>
      <w:r w:rsidRPr="009B7667">
        <w:rPr>
          <w:lang w:val="en-CA"/>
        </w:rPr>
        <w:t>”], in the event of a decision imposing a sanction of disciplinary segregation on an inmate who is already serving such a sanction, the total period of segregation imposed by those sanctions could not exceed 45 days.</w:t>
      </w:r>
    </w:p>
  </w:footnote>
  <w:footnote w:id="51">
    <w:p w14:paraId="42064D42" w14:textId="1686E1DE"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Section 6(1)(</w:t>
      </w:r>
      <w:r w:rsidRPr="009B7667">
        <w:rPr>
          <w:iCs/>
          <w:lang w:val="en-CA"/>
        </w:rPr>
        <w:t>c)</w:t>
      </w:r>
      <w:r w:rsidRPr="009B7667">
        <w:rPr>
          <w:i/>
          <w:iCs/>
          <w:lang w:val="en-CA"/>
        </w:rPr>
        <w:t xml:space="preserve"> </w:t>
      </w:r>
      <w:r w:rsidRPr="009B7667">
        <w:rPr>
          <w:iCs/>
          <w:lang w:val="en-CA"/>
        </w:rPr>
        <w:t xml:space="preserve">of the </w:t>
      </w:r>
      <w:r w:rsidRPr="009B7667">
        <w:rPr>
          <w:i/>
          <w:iCs/>
          <w:lang w:val="en-CA"/>
        </w:rPr>
        <w:t xml:space="preserve">Regulations </w:t>
      </w:r>
      <w:r w:rsidRPr="009B7667">
        <w:rPr>
          <w:iCs/>
          <w:lang w:val="en-CA"/>
        </w:rPr>
        <w:t xml:space="preserve">permitted designated staff members to order the administrative segregation of inmates; however, s. </w:t>
      </w:r>
      <w:r w:rsidRPr="009B7667">
        <w:rPr>
          <w:lang w:val="en-CA"/>
        </w:rPr>
        <w:t>20 required the institutional head to review the order within one working day.</w:t>
      </w:r>
    </w:p>
  </w:footnote>
  <w:footnote w:id="52">
    <w:p w14:paraId="06CEAEE1" w14:textId="4DE451B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CCRA</w:t>
      </w:r>
      <w:r w:rsidRPr="009B7667">
        <w:rPr>
          <w:lang w:val="en-CA"/>
        </w:rPr>
        <w:t xml:space="preserve"> at para. 31(1).</w:t>
      </w:r>
    </w:p>
  </w:footnote>
  <w:footnote w:id="53">
    <w:p w14:paraId="42178F4E" w14:textId="6E852EE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CCRA</w:t>
      </w:r>
      <w:r w:rsidRPr="009B7667">
        <w:rPr>
          <w:lang w:val="en-CA"/>
        </w:rPr>
        <w:t xml:space="preserve"> at para. 33(1).</w:t>
      </w:r>
      <w:r w:rsidRPr="009B7667">
        <w:rPr>
          <w:i/>
          <w:lang w:val="en-CA"/>
        </w:rPr>
        <w:t xml:space="preserve"> </w:t>
      </w:r>
      <w:r w:rsidRPr="009B7667">
        <w:rPr>
          <w:lang w:val="en-CA"/>
        </w:rPr>
        <w:t xml:space="preserve">Under para. 21(2), a hearing had to be held within five days of the order, and, at least once every 30 days thereafter if the inmate remained in administrative segregation. </w:t>
      </w:r>
    </w:p>
  </w:footnote>
  <w:footnote w:id="54">
    <w:p w14:paraId="1CE18B90" w14:textId="06A9DD7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CCRA</w:t>
      </w:r>
      <w:r w:rsidRPr="009B7667">
        <w:rPr>
          <w:lang w:val="en-CA"/>
        </w:rPr>
        <w:t>, ss. 32 and 87.</w:t>
      </w:r>
    </w:p>
  </w:footnote>
  <w:footnote w:id="55">
    <w:p w14:paraId="13B3E031" w14:textId="18ED8CFA"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CCRA</w:t>
      </w:r>
      <w:r w:rsidRPr="009B7667">
        <w:rPr>
          <w:lang w:val="en-CA"/>
        </w:rPr>
        <w:t>, s. 31(2).</w:t>
      </w:r>
    </w:p>
  </w:footnote>
  <w:footnote w:id="56">
    <w:p w14:paraId="76AC7936" w14:textId="57E7A6B3"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CCRA</w:t>
      </w:r>
      <w:r w:rsidRPr="009B7667">
        <w:rPr>
          <w:lang w:val="en-CA"/>
        </w:rPr>
        <w:t>, s. 37.</w:t>
      </w:r>
    </w:p>
  </w:footnote>
  <w:footnote w:id="57">
    <w:p w14:paraId="51B2FC69" w14:textId="27CAB0F2"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Canadian Civil Liberties Association v. Canada</w:t>
      </w:r>
      <w:r w:rsidRPr="009B7667">
        <w:rPr>
          <w:lang w:val="en-CA"/>
        </w:rPr>
        <w:t>, 2019 ONCA 243 at paras. 72–77 and 88–99.</w:t>
      </w:r>
    </w:p>
  </w:footnote>
  <w:footnote w:id="58">
    <w:p w14:paraId="5A8A2248" w14:textId="441B4F6D"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paras. 78–81 and 102–119.</w:t>
      </w:r>
    </w:p>
  </w:footnote>
  <w:footnote w:id="59">
    <w:p w14:paraId="005211B5" w14:textId="111C407F"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British Columbia Civil Liberties Association v. Canada (Attorney General)</w:t>
      </w:r>
      <w:r w:rsidRPr="009B7667">
        <w:rPr>
          <w:lang w:val="en-CA"/>
        </w:rPr>
        <w:t>, 2019 BCCA 228 at paras. 154–165.</w:t>
      </w:r>
    </w:p>
  </w:footnote>
  <w:footnote w:id="60">
    <w:p w14:paraId="677DEF4B" w14:textId="356A634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paras. 166–172.</w:t>
      </w:r>
    </w:p>
  </w:footnote>
  <w:footnote w:id="61">
    <w:p w14:paraId="65520655" w14:textId="2F5B7895"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at paras. 173–198.</w:t>
      </w:r>
    </w:p>
  </w:footnote>
  <w:footnote w:id="62">
    <w:p w14:paraId="16C9DD4C" w14:textId="412C46A5"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r w:rsidRPr="009B7667">
        <w:rPr>
          <w:lang w:val="en-CA"/>
        </w:rPr>
        <w:t xml:space="preserve"> at paras. 75, 163, 167–168; </w:t>
      </w:r>
      <w:r w:rsidRPr="009B7667">
        <w:rPr>
          <w:i/>
          <w:lang w:val="en-CA"/>
        </w:rPr>
        <w:t>Canadian Civil Liberties Association v. Canada</w:t>
      </w:r>
      <w:r w:rsidRPr="009B7667">
        <w:rPr>
          <w:lang w:val="en-CA"/>
        </w:rPr>
        <w:t>, 2019 ONCA 243 at paras. 22–29.</w:t>
      </w:r>
    </w:p>
  </w:footnote>
  <w:footnote w:id="63">
    <w:p w14:paraId="593B6E18" w14:textId="57BFE0B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s. 10.</w:t>
      </w:r>
    </w:p>
  </w:footnote>
  <w:footnote w:id="64">
    <w:p w14:paraId="57FB857B" w14:textId="733ACF2D"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Act to amend the Corrections and Conditional Release Act and another Act, </w:t>
      </w:r>
      <w:r w:rsidRPr="009B7667">
        <w:rPr>
          <w:lang w:val="en-CA"/>
        </w:rPr>
        <w:t xml:space="preserve">s. 11.  </w:t>
      </w:r>
    </w:p>
  </w:footnote>
  <w:footnote w:id="65">
    <w:p w14:paraId="673C95B3" w14:textId="41FED7C4" w:rsidR="00D842CE" w:rsidRPr="00D7563F" w:rsidRDefault="00D842CE" w:rsidP="00461B74">
      <w:pPr>
        <w:pStyle w:val="Notedebasdepage"/>
      </w:pPr>
      <w:r w:rsidRPr="009B7667">
        <w:rPr>
          <w:rStyle w:val="Appelnotedebasdep"/>
          <w:lang w:val="en-CA"/>
        </w:rPr>
        <w:footnoteRef/>
      </w:r>
      <w:r w:rsidRPr="00D7563F">
        <w:t xml:space="preserve"> </w:t>
      </w:r>
      <w:r w:rsidRPr="00D7563F">
        <w:tab/>
      </w:r>
      <w:r w:rsidRPr="00D7563F">
        <w:rPr>
          <w:i/>
        </w:rPr>
        <w:t>CCRA</w:t>
      </w:r>
      <w:r w:rsidRPr="00D7563F">
        <w:t>, s. 32.</w:t>
      </w:r>
    </w:p>
  </w:footnote>
  <w:footnote w:id="66">
    <w:p w14:paraId="1A47E1F3" w14:textId="1E116BA2" w:rsidR="00D842CE" w:rsidRPr="00D7563F" w:rsidRDefault="00D842CE" w:rsidP="00461B74">
      <w:pPr>
        <w:pStyle w:val="Notedebasdepage"/>
      </w:pPr>
      <w:r w:rsidRPr="009B7667">
        <w:rPr>
          <w:rStyle w:val="Appelnotedebasdep"/>
          <w:lang w:val="en-CA"/>
        </w:rPr>
        <w:footnoteRef/>
      </w:r>
      <w:r w:rsidRPr="00D7563F">
        <w:t xml:space="preserve"> </w:t>
      </w:r>
      <w:r w:rsidRPr="00D7563F">
        <w:tab/>
      </w:r>
      <w:r w:rsidRPr="00D7563F">
        <w:rPr>
          <w:i/>
        </w:rPr>
        <w:t xml:space="preserve">CCRA, </w:t>
      </w:r>
      <w:r w:rsidRPr="00D7563F">
        <w:t>s. 34(1).</w:t>
      </w:r>
    </w:p>
  </w:footnote>
  <w:footnote w:id="67">
    <w:p w14:paraId="52B3ECA9" w14:textId="41E306FC" w:rsidR="00D842CE" w:rsidRPr="009B7667" w:rsidRDefault="00D842CE" w:rsidP="00461B74">
      <w:pPr>
        <w:pStyle w:val="Notedebasdepage"/>
        <w:rPr>
          <w:lang w:val="en-CA"/>
        </w:rPr>
      </w:pPr>
      <w:r w:rsidRPr="009B7667">
        <w:rPr>
          <w:rStyle w:val="Appelnotedebasdep"/>
          <w:lang w:val="en-CA"/>
        </w:rPr>
        <w:footnoteRef/>
      </w:r>
      <w:r w:rsidRPr="00D7563F">
        <w:t xml:space="preserve"> </w:t>
      </w:r>
      <w:r w:rsidRPr="00D7563F">
        <w:tab/>
      </w:r>
      <w:r w:rsidRPr="00D7563F">
        <w:rPr>
          <w:i/>
        </w:rPr>
        <w:t xml:space="preserve">CCRA, </w:t>
      </w:r>
      <w:r w:rsidRPr="00D7563F">
        <w:t xml:space="preserve">s. 33. </w:t>
      </w:r>
      <w:r w:rsidRPr="009B7667">
        <w:rPr>
          <w:lang w:val="en-CA"/>
        </w:rPr>
        <w:t xml:space="preserve">In this regard, s. 15.1(2.1) of the </w:t>
      </w:r>
      <w:r w:rsidRPr="009B7667">
        <w:rPr>
          <w:i/>
          <w:lang w:val="en-CA"/>
        </w:rPr>
        <w:t xml:space="preserve">CCRA </w:t>
      </w:r>
      <w:r w:rsidRPr="009B7667">
        <w:rPr>
          <w:lang w:val="en-CA"/>
        </w:rPr>
        <w:t xml:space="preserve">now provides that an inmate’s correctional plan must be updated if the inmate is transferred to </w:t>
      </w:r>
      <w:r>
        <w:rPr>
          <w:lang w:val="en-CA"/>
        </w:rPr>
        <w:t>an SIU</w:t>
      </w:r>
      <w:r w:rsidRPr="009B7667">
        <w:rPr>
          <w:lang w:val="en-CA"/>
        </w:rPr>
        <w:t xml:space="preserve">. </w:t>
      </w:r>
    </w:p>
  </w:footnote>
  <w:footnote w:id="68">
    <w:p w14:paraId="5B8AF0E0" w14:textId="2B58F7DC" w:rsidR="00D842CE" w:rsidRPr="009B7667" w:rsidRDefault="00D842CE" w:rsidP="00461B74">
      <w:pPr>
        <w:pStyle w:val="Notedebasdepage"/>
        <w:rPr>
          <w:i/>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CCRA, </w:t>
      </w:r>
      <w:r w:rsidRPr="009B7667">
        <w:rPr>
          <w:lang w:val="en-CA"/>
        </w:rPr>
        <w:t>s. 29.01(1). This provision confers the same power to a designated staff member.</w:t>
      </w:r>
    </w:p>
  </w:footnote>
  <w:footnote w:id="69">
    <w:p w14:paraId="7C47A746" w14:textId="05C639C7" w:rsidR="00D842CE" w:rsidRPr="00D7563F" w:rsidRDefault="00D842CE" w:rsidP="00461B74">
      <w:pPr>
        <w:pStyle w:val="Notedebasdepage"/>
      </w:pPr>
      <w:r w:rsidRPr="009B7667">
        <w:rPr>
          <w:rStyle w:val="Appelnotedebasdep"/>
          <w:lang w:val="en-CA"/>
        </w:rPr>
        <w:footnoteRef/>
      </w:r>
      <w:r w:rsidRPr="00D7563F">
        <w:t xml:space="preserve"> </w:t>
      </w:r>
      <w:r w:rsidRPr="00D7563F">
        <w:tab/>
      </w:r>
      <w:r w:rsidRPr="00D7563F">
        <w:rPr>
          <w:i/>
        </w:rPr>
        <w:t xml:space="preserve">CCRA, </w:t>
      </w:r>
      <w:r w:rsidRPr="00D7563F">
        <w:t>s. 29.01(2).</w:t>
      </w:r>
    </w:p>
  </w:footnote>
  <w:footnote w:id="70">
    <w:p w14:paraId="63E929D4" w14:textId="413C4B9B" w:rsidR="00D842CE" w:rsidRPr="009B7667" w:rsidRDefault="00D842CE" w:rsidP="00461B74">
      <w:pPr>
        <w:pStyle w:val="Notedebasdepage"/>
        <w:rPr>
          <w:lang w:val="en-CA"/>
        </w:rPr>
      </w:pPr>
      <w:r w:rsidRPr="009B7667">
        <w:rPr>
          <w:rStyle w:val="Appelnotedebasdep"/>
          <w:lang w:val="en-CA"/>
        </w:rPr>
        <w:footnoteRef/>
      </w:r>
      <w:r w:rsidRPr="00B869E2">
        <w:t xml:space="preserve"> </w:t>
      </w:r>
      <w:r w:rsidRPr="00B869E2">
        <w:tab/>
      </w:r>
      <w:r w:rsidRPr="00B869E2">
        <w:rPr>
          <w:i/>
          <w:iCs/>
        </w:rPr>
        <w:t>CCRA</w:t>
      </w:r>
      <w:r w:rsidRPr="00B869E2">
        <w:t xml:space="preserve">, s. 37.3(1)(b). </w:t>
      </w:r>
      <w:r w:rsidRPr="009B7667">
        <w:rPr>
          <w:lang w:val="en-CA"/>
        </w:rPr>
        <w:t xml:space="preserve">Section 37.4 of the </w:t>
      </w:r>
      <w:r w:rsidRPr="009B7667">
        <w:rPr>
          <w:i/>
          <w:lang w:val="en-CA"/>
        </w:rPr>
        <w:t xml:space="preserve">CCRA </w:t>
      </w:r>
      <w:r w:rsidRPr="009B7667">
        <w:rPr>
          <w:lang w:val="en-CA"/>
        </w:rPr>
        <w:t xml:space="preserve">introduced a novelty by specifying that the institutional head’s determination that an inmate should remain in </w:t>
      </w:r>
      <w:r>
        <w:rPr>
          <w:lang w:val="en-CA"/>
        </w:rPr>
        <w:t>an SIU</w:t>
      </w:r>
      <w:r w:rsidRPr="009B7667">
        <w:rPr>
          <w:lang w:val="en-CA"/>
        </w:rPr>
        <w:t xml:space="preserve"> must, in turn, be reviewed by the commissioner of the correctional institution with thirty days, again with the assistance of the structured intervention unit. Under s. 37.8, if the commissioner decide</w:t>
      </w:r>
      <w:r>
        <w:rPr>
          <w:lang w:val="en-CA"/>
        </w:rPr>
        <w:t>s</w:t>
      </w:r>
      <w:r w:rsidRPr="009B7667">
        <w:rPr>
          <w:lang w:val="en-CA"/>
        </w:rPr>
        <w:t xml:space="preserve"> to maintain the inmate in </w:t>
      </w:r>
      <w:r>
        <w:rPr>
          <w:lang w:val="en-CA"/>
        </w:rPr>
        <w:t>an SIU</w:t>
      </w:r>
      <w:r w:rsidRPr="009B7667">
        <w:rPr>
          <w:lang w:val="en-CA"/>
        </w:rPr>
        <w:t>, the commissioner’s decision must be reviewed once more by an external decision-maker.</w:t>
      </w:r>
    </w:p>
  </w:footnote>
  <w:footnote w:id="71">
    <w:p w14:paraId="02F69E88" w14:textId="3F9E7DD6"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2019 Regulations</w:t>
      </w:r>
      <w:r w:rsidRPr="009B7667">
        <w:rPr>
          <w:lang w:val="en-CA"/>
        </w:rPr>
        <w:t>, s. 20.</w:t>
      </w:r>
    </w:p>
  </w:footnote>
  <w:footnote w:id="72">
    <w:p w14:paraId="4A2C8C31" w14:textId="31535DB3"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Section 37.1(1).</w:t>
      </w:r>
    </w:p>
  </w:footnote>
  <w:footnote w:id="73">
    <w:p w14:paraId="2A0B03E7" w14:textId="285DF7A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Section 37.11 lists the applicable grounds: (1) the inmate refuses to interact with others; (2) the inmate engages in self-injurious behaviour; (3) the inmate shows signs of a drug overdose; and (4) the inmate shows signs of emotional distress or exhibits behaviour that suggests that they are in urgent need of mental health care.</w:t>
      </w:r>
    </w:p>
  </w:footnote>
  <w:footnote w:id="74">
    <w:p w14:paraId="03A18612" w14:textId="65C37D48"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iCs/>
          <w:lang w:val="en-CA"/>
        </w:rPr>
        <w:t>CCRA</w:t>
      </w:r>
      <w:r w:rsidRPr="009B7667">
        <w:rPr>
          <w:lang w:val="en-CA"/>
        </w:rPr>
        <w:t xml:space="preserve">, ss. 37.41, 37.82, and 87. See also paras. 22(1), 23(1), and 23.01(1) of the </w:t>
      </w:r>
      <w:r w:rsidRPr="009B7667">
        <w:rPr>
          <w:i/>
          <w:lang w:val="en-CA"/>
        </w:rPr>
        <w:t>2019 Regulations</w:t>
      </w:r>
      <w:r w:rsidRPr="009B7667">
        <w:rPr>
          <w:lang w:val="en-CA"/>
        </w:rPr>
        <w:t>.</w:t>
      </w:r>
    </w:p>
  </w:footnote>
  <w:footnote w:id="75">
    <w:p w14:paraId="66A10926" w14:textId="72905AFF"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iCs/>
          <w:lang w:val="en-CA"/>
        </w:rPr>
        <w:t>CCRA</w:t>
      </w:r>
      <w:r w:rsidRPr="009B7667">
        <w:rPr>
          <w:lang w:val="en-CA"/>
        </w:rPr>
        <w:t>, s. 37.2.</w:t>
      </w:r>
    </w:p>
  </w:footnote>
  <w:footnote w:id="76">
    <w:p w14:paraId="4AE8E1E0" w14:textId="3E4A434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CCRA, </w:t>
      </w:r>
      <w:r w:rsidRPr="009B7667">
        <w:rPr>
          <w:lang w:val="en-CA"/>
        </w:rPr>
        <w:t>ss. 37.3(1)(a) and 37.3(2).</w:t>
      </w:r>
    </w:p>
  </w:footnote>
  <w:footnote w:id="77">
    <w:p w14:paraId="632E3DDE" w14:textId="06B07C3D"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CCRA, </w:t>
      </w:r>
      <w:r w:rsidRPr="009B7667">
        <w:rPr>
          <w:lang w:val="en-CA"/>
        </w:rPr>
        <w:t>s. 37.31–37.32.</w:t>
      </w:r>
    </w:p>
  </w:footnote>
  <w:footnote w:id="78">
    <w:p w14:paraId="00085248" w14:textId="273B0D3D" w:rsidR="00D842CE" w:rsidRPr="009B7667" w:rsidRDefault="00D842CE" w:rsidP="00461B74">
      <w:pPr>
        <w:pStyle w:val="Notedebasdepage"/>
        <w:tabs>
          <w:tab w:val="left" w:pos="708"/>
          <w:tab w:val="left" w:pos="1416"/>
          <w:tab w:val="left" w:pos="5599"/>
        </w:tabs>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CCRA, </w:t>
      </w:r>
      <w:r w:rsidRPr="009B7667">
        <w:rPr>
          <w:lang w:val="en-CA"/>
        </w:rPr>
        <w:t xml:space="preserve">s. 37.81. See ss. 37.6 to 37.77 </w:t>
      </w:r>
      <w:r>
        <w:rPr>
          <w:lang w:val="en-CA"/>
        </w:rPr>
        <w:t xml:space="preserve">for the </w:t>
      </w:r>
      <w:r w:rsidRPr="00D7563F">
        <w:rPr>
          <w:lang w:val="en-CA"/>
        </w:rPr>
        <w:t>duties, functions</w:t>
      </w:r>
      <w:r w:rsidR="00532283">
        <w:rPr>
          <w:lang w:val="en-CA"/>
        </w:rPr>
        <w:t>,</w:t>
      </w:r>
      <w:r w:rsidRPr="009B7667">
        <w:rPr>
          <w:lang w:val="en-CA"/>
        </w:rPr>
        <w:t xml:space="preserve"> </w:t>
      </w:r>
      <w:r>
        <w:rPr>
          <w:lang w:val="en-CA"/>
        </w:rPr>
        <w:t>and conditions of appointment of these decision-makers</w:t>
      </w:r>
      <w:r w:rsidRPr="009B7667">
        <w:rPr>
          <w:lang w:val="en-CA"/>
        </w:rPr>
        <w:t>.</w:t>
      </w:r>
      <w:r w:rsidRPr="009B7667">
        <w:rPr>
          <w:lang w:val="en-CA"/>
        </w:rPr>
        <w:tab/>
      </w:r>
    </w:p>
  </w:footnote>
  <w:footnote w:id="79">
    <w:p w14:paraId="5A494575" w14:textId="08DB1E92" w:rsidR="00D842CE" w:rsidRPr="009B7667" w:rsidRDefault="00D842CE" w:rsidP="00461B74">
      <w:pPr>
        <w:pStyle w:val="Notedebasdepage"/>
        <w:rPr>
          <w:lang w:val="en-CA"/>
        </w:rPr>
      </w:pPr>
      <w:r w:rsidRPr="009B7667">
        <w:rPr>
          <w:rStyle w:val="Appelnotedebasdep"/>
          <w:lang w:val="en-CA"/>
        </w:rPr>
        <w:footnoteRef/>
      </w:r>
      <w:r w:rsidRPr="00D7563F">
        <w:t xml:space="preserve"> </w:t>
      </w:r>
      <w:r w:rsidRPr="00D7563F">
        <w:tab/>
      </w:r>
      <w:r w:rsidRPr="00D7563F">
        <w:rPr>
          <w:i/>
        </w:rPr>
        <w:t>Doré v. Verdun (</w:t>
      </w:r>
      <w:r>
        <w:rPr>
          <w:i/>
        </w:rPr>
        <w:t>City</w:t>
      </w:r>
      <w:r w:rsidRPr="00D7563F">
        <w:rPr>
          <w:i/>
        </w:rPr>
        <w:t>)</w:t>
      </w:r>
      <w:r w:rsidRPr="00D7563F">
        <w:t xml:space="preserve">, [1997] 2 S.C.R. 862 at paras. 15–16; </w:t>
      </w:r>
      <w:r w:rsidRPr="00D7563F">
        <w:rPr>
          <w:i/>
        </w:rPr>
        <w:t>Kosoian v. Société de transport de Montréal</w:t>
      </w:r>
      <w:r w:rsidRPr="00D7563F">
        <w:t xml:space="preserve">, 2019 SCC 59 at para. </w:t>
      </w:r>
      <w:r w:rsidRPr="009B7667">
        <w:rPr>
          <w:lang w:val="en-CA"/>
        </w:rPr>
        <w:t>119.</w:t>
      </w:r>
    </w:p>
  </w:footnote>
  <w:footnote w:id="80">
    <w:p w14:paraId="47FA8746" w14:textId="2B39635E"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AQCS</w:t>
      </w:r>
      <w:r w:rsidRPr="009B7667">
        <w:rPr>
          <w:lang w:val="en-CA"/>
        </w:rPr>
        <w:t>, s. 30.</w:t>
      </w:r>
    </w:p>
  </w:footnote>
  <w:footnote w:id="81">
    <w:p w14:paraId="712473E0" w14:textId="300A193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Canada (Public Safety and Emergency Preparedness) v. Chhina</w:t>
      </w:r>
      <w:r w:rsidRPr="009B7667">
        <w:rPr>
          <w:lang w:val="en-CA"/>
        </w:rPr>
        <w:t xml:space="preserve">, 2019 SCC 29, [2019] 2 S.C.R. 467 at para. 19. </w:t>
      </w:r>
    </w:p>
  </w:footnote>
  <w:footnote w:id="82">
    <w:p w14:paraId="1E7E4459" w14:textId="019B741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Mission Institution v. Khela</w:t>
      </w:r>
      <w:r w:rsidRPr="009B7667">
        <w:rPr>
          <w:lang w:val="en-CA"/>
        </w:rPr>
        <w:t>, 2014 SCC 24, [2014] 1 S.C.R. 502 at para. 29.</w:t>
      </w:r>
    </w:p>
  </w:footnote>
  <w:footnote w:id="83">
    <w:p w14:paraId="6D10DA6E"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p>
  </w:footnote>
  <w:footnote w:id="84">
    <w:p w14:paraId="3A988E78" w14:textId="77777777" w:rsidR="00D842CE" w:rsidRPr="009B7667" w:rsidRDefault="00D842CE" w:rsidP="00461B74">
      <w:pPr>
        <w:pStyle w:val="Notedebasdepage"/>
        <w:rPr>
          <w:i/>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p>
  </w:footnote>
  <w:footnote w:id="85">
    <w:p w14:paraId="099E69A3" w14:textId="15C2524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Dumas v. Leclerc Institute</w:t>
      </w:r>
      <w:r w:rsidRPr="009B7667">
        <w:rPr>
          <w:lang w:val="en-CA"/>
        </w:rPr>
        <w:t xml:space="preserve">, [1986] 2 S.C.R. 459 at 464; </w:t>
      </w:r>
      <w:r w:rsidRPr="009B7667">
        <w:rPr>
          <w:i/>
          <w:lang w:val="en-CA"/>
        </w:rPr>
        <w:t>Canada (Public Safety and Emergency Preparedness) v. Chhina</w:t>
      </w:r>
      <w:r w:rsidRPr="009B7667">
        <w:rPr>
          <w:lang w:val="en-CA"/>
        </w:rPr>
        <w:t>, 2019 SCC 29, [2019] 2 S.C.R. 467 at paras. 22–23.</w:t>
      </w:r>
    </w:p>
  </w:footnote>
  <w:footnote w:id="86">
    <w:p w14:paraId="1D47561A"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Ibid.</w:t>
      </w:r>
    </w:p>
  </w:footnote>
  <w:footnote w:id="87">
    <w:p w14:paraId="54BEECA6" w14:textId="337A537A"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 xml:space="preserve">Ibid. </w:t>
      </w:r>
      <w:r w:rsidRPr="009B7667">
        <w:rPr>
          <w:lang w:val="en-CA"/>
        </w:rPr>
        <w:t xml:space="preserve">at para. 34; </w:t>
      </w:r>
      <w:r w:rsidRPr="009B7667">
        <w:rPr>
          <w:i/>
          <w:lang w:val="en-CA"/>
        </w:rPr>
        <w:t>May v. Ferndale Institution</w:t>
      </w:r>
      <w:r w:rsidRPr="009B7667">
        <w:rPr>
          <w:lang w:val="en-CA"/>
        </w:rPr>
        <w:t xml:space="preserve">, [2005] 3 S.C.R. 809, 2005 SCC 82 at para. 76 </w:t>
      </w:r>
      <w:r w:rsidRPr="009B7667">
        <w:rPr>
          <w:i/>
          <w:lang w:val="en-CA"/>
        </w:rPr>
        <w:t>Ewert c. Lalande</w:t>
      </w:r>
      <w:r w:rsidRPr="009B7667">
        <w:rPr>
          <w:lang w:val="en-CA"/>
        </w:rPr>
        <w:t xml:space="preserve">, 2020 QCCA 1141 at para. 28; </w:t>
      </w:r>
      <w:r w:rsidRPr="009B7667">
        <w:rPr>
          <w:i/>
          <w:lang w:val="en-CA"/>
        </w:rPr>
        <w:t>Wilcox v. Alberta</w:t>
      </w:r>
      <w:r w:rsidRPr="009B7667">
        <w:rPr>
          <w:lang w:val="en-CA"/>
        </w:rPr>
        <w:t>, 2020 ABCA 104 at para</w:t>
      </w:r>
      <w:r>
        <w:rPr>
          <w:lang w:val="en-CA"/>
        </w:rPr>
        <w:t>s</w:t>
      </w:r>
      <w:r w:rsidRPr="009B7667">
        <w:rPr>
          <w:lang w:val="en-CA"/>
        </w:rPr>
        <w:t>. 34–36.</w:t>
      </w:r>
    </w:p>
  </w:footnote>
  <w:footnote w:id="88">
    <w:p w14:paraId="3B8987E7" w14:textId="3A8267A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Miller</w:t>
      </w:r>
      <w:r w:rsidRPr="009B7667">
        <w:rPr>
          <w:lang w:val="en-CA"/>
        </w:rPr>
        <w:t>, [1985] 2 S.C.R. 613 at 638.</w:t>
      </w:r>
    </w:p>
  </w:footnote>
  <w:footnote w:id="89">
    <w:p w14:paraId="262F7C77" w14:textId="69F59072"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Miller</w:t>
      </w:r>
      <w:r w:rsidRPr="009B7667">
        <w:rPr>
          <w:lang w:val="en-CA"/>
        </w:rPr>
        <w:t>, [1985] 2 S.C.R. 613 at 641.</w:t>
      </w:r>
    </w:p>
  </w:footnote>
  <w:footnote w:id="90">
    <w:p w14:paraId="06C6A904" w14:textId="69C8E553"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May v. Ferndale Institution</w:t>
      </w:r>
      <w:r w:rsidRPr="009B7667">
        <w:rPr>
          <w:lang w:val="en-CA"/>
        </w:rPr>
        <w:t>, [2005] 3 S.C.R. 809, 2005 SCC 82.</w:t>
      </w:r>
    </w:p>
  </w:footnote>
  <w:footnote w:id="91">
    <w:p w14:paraId="0E4EB262" w14:textId="6275D440"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Canada (Public Safety and Emergency Preparedness) v. Chhina</w:t>
      </w:r>
      <w:r w:rsidRPr="009B7667">
        <w:rPr>
          <w:lang w:val="en-CA"/>
        </w:rPr>
        <w:t>, 2019 SCC 29, [2019] 2 S.C.R. 467 at para. 17.</w:t>
      </w:r>
    </w:p>
  </w:footnote>
  <w:footnote w:id="92">
    <w:p w14:paraId="7C1E085A" w14:textId="2A26D156"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Sarson</w:t>
      </w:r>
      <w:r w:rsidRPr="009B7667">
        <w:rPr>
          <w:lang w:val="en-CA"/>
        </w:rPr>
        <w:t>, [1996] 2 S.C.R. 223 at para. 40;</w:t>
      </w:r>
      <w:r w:rsidRPr="009B7667">
        <w:rPr>
          <w:i/>
          <w:lang w:val="en-CA"/>
        </w:rPr>
        <w:t xml:space="preserve"> R. c. R.L.</w:t>
      </w:r>
      <w:r w:rsidRPr="009B7667">
        <w:rPr>
          <w:lang w:val="en-CA"/>
        </w:rPr>
        <w:t xml:space="preserve">, 2017 QCCA 933 at  para. 46. See also </w:t>
      </w:r>
      <w:r w:rsidRPr="009B7667">
        <w:rPr>
          <w:i/>
          <w:lang w:val="en-CA"/>
        </w:rPr>
        <w:t>Winters v. Legal Services Society</w:t>
      </w:r>
      <w:r w:rsidRPr="009B7667">
        <w:rPr>
          <w:lang w:val="en-CA"/>
        </w:rPr>
        <w:t>, [1999] 3 S.C.R. 160 at para. 67, Cory, J., dissenting</w:t>
      </w:r>
      <w:r w:rsidR="00297A22">
        <w:rPr>
          <w:lang w:val="en-CA"/>
        </w:rPr>
        <w:t>,</w:t>
      </w:r>
      <w:r w:rsidRPr="009B7667">
        <w:rPr>
          <w:lang w:val="en-CA"/>
        </w:rPr>
        <w:t xml:space="preserve"> </w:t>
      </w:r>
      <w:r>
        <w:rPr>
          <w:lang w:val="en-CA"/>
        </w:rPr>
        <w:t>but not on this issue</w:t>
      </w:r>
      <w:r w:rsidRPr="009B7667">
        <w:rPr>
          <w:lang w:val="en-CA"/>
        </w:rPr>
        <w:t>.</w:t>
      </w:r>
    </w:p>
  </w:footnote>
  <w:footnote w:id="93">
    <w:p w14:paraId="27337216" w14:textId="40A28F2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May v. Ferndale Institution</w:t>
      </w:r>
      <w:r w:rsidRPr="009B7667">
        <w:rPr>
          <w:lang w:val="en-CA"/>
        </w:rPr>
        <w:t xml:space="preserve">, 2005 SCC 82, [2005] 3 S.C.R. 809 at, para. 40; </w:t>
      </w:r>
      <w:r w:rsidRPr="009B7667">
        <w:rPr>
          <w:i/>
          <w:lang w:val="en-CA"/>
        </w:rPr>
        <w:t>Canada (Public Safety and Emergency Preparedness) v. Chhina</w:t>
      </w:r>
      <w:r w:rsidRPr="009B7667">
        <w:rPr>
          <w:lang w:val="en-CA"/>
        </w:rPr>
        <w:t>, 2019 SCC 29, [2019] 2 S.C.R. 467 at para</w:t>
      </w:r>
      <w:r>
        <w:rPr>
          <w:lang w:val="en-CA"/>
        </w:rPr>
        <w:t>s</w:t>
      </w:r>
      <w:r w:rsidRPr="009B7667">
        <w:rPr>
          <w:lang w:val="en-CA"/>
        </w:rPr>
        <w:t>. 2, 40, and 71.</w:t>
      </w:r>
    </w:p>
  </w:footnote>
  <w:footnote w:id="94">
    <w:p w14:paraId="7BAC8689" w14:textId="3F9496A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e.g., </w:t>
      </w:r>
      <w:r w:rsidRPr="009B7667">
        <w:rPr>
          <w:i/>
          <w:lang w:val="en-CA"/>
        </w:rPr>
        <w:t>Turbide Labbé c. Massé</w:t>
      </w:r>
      <w:r w:rsidRPr="009B7667">
        <w:rPr>
          <w:lang w:val="en-CA"/>
        </w:rPr>
        <w:t>, 2020 QCCS 4317 at para. 118; leave to appeal after expiry of the time limit refused, 2021 QCCA 1646.</w:t>
      </w:r>
    </w:p>
  </w:footnote>
  <w:footnote w:id="95">
    <w:p w14:paraId="24B24017" w14:textId="2DF2AC1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Doucet-Boudreau v. Nova Scotia (Minister of Education)</w:t>
      </w:r>
      <w:r w:rsidRPr="009B7667">
        <w:rPr>
          <w:lang w:val="en-CA"/>
        </w:rPr>
        <w:t>,</w:t>
      </w:r>
      <w:r w:rsidRPr="009B7667">
        <w:rPr>
          <w:i/>
          <w:lang w:val="en-CA"/>
        </w:rPr>
        <w:t xml:space="preserve"> </w:t>
      </w:r>
      <w:r w:rsidRPr="009B7667">
        <w:rPr>
          <w:lang w:val="en-CA"/>
        </w:rPr>
        <w:t xml:space="preserve">2003 SCC 62, [2003] 3 S.C.R. 3 at para. 25; </w:t>
      </w:r>
      <w:r w:rsidRPr="009B7667">
        <w:rPr>
          <w:i/>
          <w:lang w:val="en-CA"/>
        </w:rPr>
        <w:t>Henry v. British Columbia (Attorney General)</w:t>
      </w:r>
      <w:r w:rsidRPr="009B7667">
        <w:rPr>
          <w:lang w:val="en-CA"/>
        </w:rPr>
        <w:t xml:space="preserve">, 2015 SCC 24, [2015] 2 S.C.R. 214 at para. 65; </w:t>
      </w:r>
      <w:r w:rsidRPr="009B7667">
        <w:rPr>
          <w:i/>
          <w:lang w:val="en-CA"/>
        </w:rPr>
        <w:t>Nelles v. Ontario</w:t>
      </w:r>
      <w:r w:rsidRPr="009B7667">
        <w:rPr>
          <w:lang w:val="en-CA"/>
        </w:rPr>
        <w:t xml:space="preserve">, [1989] 2 S.C.R. 170 at 196; </w:t>
      </w:r>
      <w:r w:rsidRPr="009B7667">
        <w:rPr>
          <w:i/>
          <w:lang w:val="en-CA"/>
        </w:rPr>
        <w:t>Dagenais v. Canadian Broadcasting Corp.</w:t>
      </w:r>
      <w:r w:rsidRPr="009B7667">
        <w:rPr>
          <w:lang w:val="en-CA"/>
        </w:rPr>
        <w:t>, [1994] 3 S.C.R 835 at 867.</w:t>
      </w:r>
    </w:p>
  </w:footnote>
  <w:footnote w:id="96">
    <w:p w14:paraId="655171D1" w14:textId="39623D99"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Stenographer’s notes, 8 July 2021 at 47–48.</w:t>
      </w:r>
    </w:p>
  </w:footnote>
  <w:footnote w:id="97">
    <w:p w14:paraId="0088595D" w14:textId="4273BC00"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United Nations. General Assembly</w:t>
      </w:r>
      <w:r w:rsidRPr="009B7667">
        <w:rPr>
          <w:i/>
          <w:lang w:val="en-CA"/>
        </w:rPr>
        <w:t xml:space="preserve">. </w:t>
      </w:r>
      <w:r w:rsidRPr="009B7667">
        <w:rPr>
          <w:lang w:val="en-CA"/>
        </w:rPr>
        <w:t>The United Nations Standard Minimum Rules for the Treatment of Prisoners (the Nelson Mandela Rules), U.N. Doc. A/RES/70/175, January 8, 2016.</w:t>
      </w:r>
    </w:p>
  </w:footnote>
  <w:footnote w:id="98">
    <w:p w14:paraId="09D8F09F" w14:textId="691E84DD"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See Jennifer Pearce, “Making the Mandela Rules: Evidence, Expertise, and Politics in the Development of Soft Law International Prison Standards” (2018), 43 Queen’s L.J. 263 at 292; Adelina Iftene, “COVID-19 in Canadian Prisons: Policies, Practices and Concerns” in Colleen M. Flood </w:t>
      </w:r>
      <w:r w:rsidRPr="009B7667">
        <w:rPr>
          <w:i/>
          <w:lang w:val="en-CA"/>
        </w:rPr>
        <w:t>et al.</w:t>
      </w:r>
      <w:r w:rsidRPr="009B7667">
        <w:rPr>
          <w:lang w:val="en-CA"/>
        </w:rPr>
        <w:t xml:space="preserve">, eds., </w:t>
      </w:r>
      <w:r w:rsidRPr="009B7667">
        <w:rPr>
          <w:i/>
          <w:lang w:val="en-CA"/>
        </w:rPr>
        <w:t xml:space="preserve">Vulnerable: The Law, Policy and Ethics of COVID-19 </w:t>
      </w:r>
      <w:r w:rsidRPr="009B7667">
        <w:rPr>
          <w:lang w:val="en-CA"/>
        </w:rPr>
        <w:t>(Ottawa: University of Ottawa Press, 2020) 367 at 369.</w:t>
      </w:r>
    </w:p>
  </w:footnote>
  <w:footnote w:id="99">
    <w:p w14:paraId="6293C134" w14:textId="0846ABF1"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Carter v. Canada (Attorney General)</w:t>
      </w:r>
      <w:r w:rsidRPr="009B7667">
        <w:rPr>
          <w:lang w:val="en-CA"/>
        </w:rPr>
        <w:t xml:space="preserve">, 2015 SCC 5, [2015] 1 S.C.R. 331 at para. 64; Hamish Stewart, </w:t>
      </w:r>
      <w:r w:rsidRPr="009B7667">
        <w:rPr>
          <w:i/>
          <w:lang w:val="en-CA"/>
        </w:rPr>
        <w:t>Fundamental Justice: Section 7 of the Canadian Charter of Rights and Freedoms</w:t>
      </w:r>
      <w:r w:rsidRPr="009B7667">
        <w:rPr>
          <w:lang w:val="en-CA"/>
        </w:rPr>
        <w:t>, 2nd ed. (Toronto: Irwin Law, 2019) at 103–106.</w:t>
      </w:r>
    </w:p>
  </w:footnote>
  <w:footnote w:id="100">
    <w:p w14:paraId="5967CB22" w14:textId="03B0ACDE"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D.B.</w:t>
      </w:r>
      <w:r w:rsidRPr="009B7667">
        <w:rPr>
          <w:lang w:val="en-CA"/>
        </w:rPr>
        <w:t>, [2008] 2 S.C.R. 3, 2008 SCC 25 at para</w:t>
      </w:r>
      <w:r>
        <w:rPr>
          <w:lang w:val="en-CA"/>
        </w:rPr>
        <w:t>s</w:t>
      </w:r>
      <w:r w:rsidRPr="009B7667">
        <w:rPr>
          <w:lang w:val="en-CA"/>
        </w:rPr>
        <w:t xml:space="preserve">. 46, 61, and 67; </w:t>
      </w:r>
      <w:r w:rsidRPr="009B7667">
        <w:rPr>
          <w:i/>
          <w:lang w:val="en-CA"/>
        </w:rPr>
        <w:t xml:space="preserve">Canada (Prime Minister) v. Khadr, </w:t>
      </w:r>
      <w:r w:rsidRPr="009B7667">
        <w:rPr>
          <w:lang w:val="en-CA"/>
        </w:rPr>
        <w:t xml:space="preserve">2010 SCC 3, [2010] 1 S.C.R. 44 at para. 23; </w:t>
      </w:r>
      <w:r w:rsidRPr="009B7667">
        <w:rPr>
          <w:i/>
          <w:lang w:val="en-CA"/>
        </w:rPr>
        <w:t>Canada (Attorney General) </w:t>
      </w:r>
      <w:r w:rsidRPr="009B7667">
        <w:rPr>
          <w:i/>
          <w:iCs/>
          <w:lang w:val="en-CA"/>
        </w:rPr>
        <w:t>v.</w:t>
      </w:r>
      <w:r w:rsidRPr="009B7667">
        <w:rPr>
          <w:i/>
          <w:lang w:val="en-CA"/>
        </w:rPr>
        <w:t> Federation of Law Societies of Canada</w:t>
      </w:r>
      <w:r w:rsidRPr="009B7667">
        <w:rPr>
          <w:lang w:val="en-CA"/>
        </w:rPr>
        <w:t>, 2015 SCC 7, [2015] 1 S.C.R. 401 at para. 91.</w:t>
      </w:r>
    </w:p>
  </w:footnote>
  <w:footnote w:id="101">
    <w:p w14:paraId="7DE8B469" w14:textId="31265FEE"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Canadian Civil Liberties Association v. Canada</w:t>
      </w:r>
      <w:r w:rsidRPr="009B7667">
        <w:rPr>
          <w:lang w:val="en-CA"/>
        </w:rPr>
        <w:t>, 2019 ONCA 243 at paras. 4–6, 82–119, and 126. See Benjamin Berger and Lisa Kerr, “Methods and Severity: The Two Tracks of Section 12” (2020) 94 S.C.L.R. (2d) 235.</w:t>
      </w:r>
    </w:p>
  </w:footnote>
  <w:footnote w:id="102">
    <w:p w14:paraId="635E10E9" w14:textId="66370C0E"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Smith</w:t>
      </w:r>
      <w:r w:rsidRPr="009B7667">
        <w:rPr>
          <w:lang w:val="en-CA"/>
        </w:rPr>
        <w:t xml:space="preserve">, [1987] 1 S.C.R. 1045 at 1073–1074; Benjamin Berger &amp; Lisa Kerr, “Methods and Severity: The Two Tracks of Section 12” (2020), 94 S.C.L.R. (2d) 235; </w:t>
      </w:r>
      <w:r w:rsidRPr="009B7667">
        <w:rPr>
          <w:i/>
          <w:lang w:val="en-CA"/>
        </w:rPr>
        <w:t>Canadian Civil Liberties Association v. Canada</w:t>
      </w:r>
      <w:r w:rsidRPr="009B7667">
        <w:rPr>
          <w:lang w:val="en-CA"/>
        </w:rPr>
        <w:t xml:space="preserve">, 2019 ONCA 243 at para. 29; </w:t>
      </w:r>
      <w:r w:rsidRPr="009B7667">
        <w:rPr>
          <w:i/>
          <w:lang w:val="en-CA"/>
        </w:rPr>
        <w:t>R v. Prystay</w:t>
      </w:r>
      <w:r w:rsidRPr="009B7667">
        <w:rPr>
          <w:lang w:val="en-CA"/>
        </w:rPr>
        <w:t xml:space="preserve">, 2019 ABQB 8 at para. 128; </w:t>
      </w:r>
      <w:r w:rsidRPr="009B7667">
        <w:rPr>
          <w:i/>
          <w:lang w:val="en-CA"/>
        </w:rPr>
        <w:t>R. v. Sheppard</w:t>
      </w:r>
      <w:r w:rsidRPr="009B7667">
        <w:rPr>
          <w:lang w:val="en-CA"/>
        </w:rPr>
        <w:t>, 2020 ABCA 455 at para</w:t>
      </w:r>
      <w:r>
        <w:rPr>
          <w:lang w:val="en-CA"/>
        </w:rPr>
        <w:t>s</w:t>
      </w:r>
      <w:r w:rsidRPr="009B7667">
        <w:rPr>
          <w:lang w:val="en-CA"/>
        </w:rPr>
        <w:t>. 73–80.</w:t>
      </w:r>
    </w:p>
  </w:footnote>
  <w:footnote w:id="103">
    <w:p w14:paraId="2ABBA2B9" w14:textId="2564EB04"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2016 ABQB 440 at para</w:t>
      </w:r>
      <w:r>
        <w:rPr>
          <w:lang w:val="en-CA"/>
        </w:rPr>
        <w:t>s</w:t>
      </w:r>
      <w:r w:rsidRPr="009B7667">
        <w:rPr>
          <w:lang w:val="en-CA"/>
        </w:rPr>
        <w:t>. 94–95.</w:t>
      </w:r>
    </w:p>
  </w:footnote>
  <w:footnote w:id="104">
    <w:p w14:paraId="7B5E5225" w14:textId="055D41EA"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 xml:space="preserve">In this regard, see the remarks of the majority of the Court in </w:t>
      </w:r>
      <w:r w:rsidRPr="009B7667">
        <w:rPr>
          <w:i/>
          <w:lang w:val="en-CA"/>
        </w:rPr>
        <w:t>Québec (Attorney General) v. 9147-0732 Québec inc.</w:t>
      </w:r>
      <w:r w:rsidRPr="009B7667">
        <w:rPr>
          <w:lang w:val="en-CA"/>
        </w:rPr>
        <w:t>, 2020 SCC 32</w:t>
      </w:r>
      <w:r>
        <w:rPr>
          <w:lang w:val="en-CA"/>
        </w:rPr>
        <w:t>, with respect to the appropriate role of foreign and international sources</w:t>
      </w:r>
      <w:r w:rsidRPr="009B7667">
        <w:rPr>
          <w:lang w:val="en-CA"/>
        </w:rPr>
        <w:t xml:space="preserve"> </w:t>
      </w:r>
      <w:r>
        <w:rPr>
          <w:lang w:val="en-CA"/>
        </w:rPr>
        <w:t xml:space="preserve">in constitutional </w:t>
      </w:r>
      <w:r w:rsidRPr="009B7667">
        <w:rPr>
          <w:lang w:val="en-CA"/>
        </w:rPr>
        <w:t>interpretation.</w:t>
      </w:r>
    </w:p>
  </w:footnote>
  <w:footnote w:id="105">
    <w:p w14:paraId="6C824575" w14:textId="18751F14" w:rsidR="00D842CE" w:rsidRPr="009B7667" w:rsidRDefault="00D842CE" w:rsidP="00461B74">
      <w:pPr>
        <w:pStyle w:val="Notedebasdepage"/>
        <w:rPr>
          <w:lang w:val="en-CA"/>
        </w:rPr>
      </w:pPr>
      <w:r w:rsidRPr="009B7667">
        <w:rPr>
          <w:rStyle w:val="Appelnotedebasdep"/>
          <w:lang w:val="en-CA"/>
        </w:rPr>
        <w:footnoteRef/>
      </w:r>
      <w:r w:rsidRPr="009B7667">
        <w:rPr>
          <w:lang w:val="en-CA"/>
        </w:rPr>
        <w:tab/>
        <w:t xml:space="preserve">Judgment under appeal at para. 15. </w:t>
      </w:r>
    </w:p>
  </w:footnote>
  <w:footnote w:id="106">
    <w:p w14:paraId="5CAF889F" w14:textId="7EDFC636"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Judgment under appeal at para. 18.</w:t>
      </w:r>
    </w:p>
  </w:footnote>
  <w:footnote w:id="107">
    <w:p w14:paraId="551923FC" w14:textId="67094EF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Art. 328 C.C.P</w:t>
      </w:r>
      <w:r w:rsidRPr="009B7667">
        <w:rPr>
          <w:i/>
          <w:lang w:val="en-CA"/>
        </w:rPr>
        <w:t>.</w:t>
      </w:r>
      <w:r w:rsidRPr="009B7667">
        <w:rPr>
          <w:lang w:val="en-CA"/>
        </w:rPr>
        <w:t xml:space="preserve"> See </w:t>
      </w:r>
      <w:r w:rsidRPr="009B7667">
        <w:rPr>
          <w:i/>
          <w:lang w:val="en-CA"/>
        </w:rPr>
        <w:t>Vézina c. Brady</w:t>
      </w:r>
      <w:r w:rsidRPr="009B7667">
        <w:rPr>
          <w:lang w:val="en-CA"/>
        </w:rPr>
        <w:t xml:space="preserve">, 2006 QCCA 1069 at para. </w:t>
      </w:r>
      <w:r w:rsidRPr="00D7563F">
        <w:t xml:space="preserve">45; </w:t>
      </w:r>
      <w:r w:rsidRPr="00D7563F">
        <w:rPr>
          <w:i/>
        </w:rPr>
        <w:t>Prometic Sciences de la vie inc. c. Banque de Montréal</w:t>
      </w:r>
      <w:r w:rsidRPr="00D7563F">
        <w:t xml:space="preserve">, 2007 QCCA 1419 at para. 32; </w:t>
      </w:r>
      <w:r w:rsidRPr="00D7563F">
        <w:rPr>
          <w:i/>
        </w:rPr>
        <w:t>Sporting club du sanctuaire inc. c. 2320 4365 Québec</w:t>
      </w:r>
      <w:r w:rsidRPr="00D7563F">
        <w:t xml:space="preserve">, [1989] R.D.J. 596 (C.A.); </w:t>
      </w:r>
      <w:r w:rsidRPr="00D7563F">
        <w:rPr>
          <w:i/>
        </w:rPr>
        <w:t>Marcellin Ducharme inc. c. Moteurs Kawasaki Canadien inc.</w:t>
      </w:r>
      <w:r w:rsidRPr="00D7563F">
        <w:t xml:space="preserve">, EYB 2001-25270 (C.A.) at para. </w:t>
      </w:r>
      <w:r w:rsidRPr="009B7667">
        <w:rPr>
          <w:lang w:val="en-CA"/>
        </w:rPr>
        <w:t xml:space="preserve">23; </w:t>
      </w:r>
      <w:r w:rsidRPr="009B7667">
        <w:rPr>
          <w:i/>
          <w:lang w:val="en-CA"/>
        </w:rPr>
        <w:t>Zhang c. Chau</w:t>
      </w:r>
      <w:r w:rsidRPr="009B7667">
        <w:rPr>
          <w:lang w:val="en-CA"/>
        </w:rPr>
        <w:t>, (2003), 229 D.L.R. (4th) 298 (C.A. Que.).</w:t>
      </w:r>
    </w:p>
  </w:footnote>
  <w:footnote w:id="108">
    <w:p w14:paraId="40866DC9" w14:textId="77777777"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Carey v. Laiken</w:t>
      </w:r>
      <w:r w:rsidRPr="009B7667">
        <w:rPr>
          <w:lang w:val="en-CA"/>
        </w:rPr>
        <w:t>, 2015 SCC 17, [2015] 2 S.C.R. 79 at para. 33.</w:t>
      </w:r>
    </w:p>
  </w:footnote>
  <w:footnote w:id="109">
    <w:p w14:paraId="002E9FCD" w14:textId="07B056C0"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Art. 399 C.C.P</w:t>
      </w:r>
      <w:r w:rsidRPr="009B7667">
        <w:rPr>
          <w:i/>
          <w:lang w:val="en-CA"/>
        </w:rPr>
        <w:t>.</w:t>
      </w:r>
      <w:r w:rsidRPr="009B7667">
        <w:rPr>
          <w:lang w:val="en-CA"/>
        </w:rPr>
        <w:t xml:space="preserve">; </w:t>
      </w:r>
      <w:r w:rsidRPr="009B7667">
        <w:rPr>
          <w:i/>
          <w:lang w:val="en-CA"/>
        </w:rPr>
        <w:t>Mission Institution v. Khela</w:t>
      </w:r>
      <w:r w:rsidRPr="009B7667">
        <w:rPr>
          <w:lang w:val="en-CA"/>
        </w:rPr>
        <w:t xml:space="preserve">, 2014 SCC 24, [2014] 1 S.C.R. 502 at para. 39. However, there is nothing preventing the implementation of conditions governing an inmate’s residual liberty: </w:t>
      </w:r>
      <w:r w:rsidRPr="009B7667">
        <w:rPr>
          <w:i/>
          <w:lang w:val="en-CA"/>
        </w:rPr>
        <w:t>Ogiamien v. Ontario (Community Safety and Correctional Services)</w:t>
      </w:r>
      <w:r w:rsidRPr="009B7667">
        <w:rPr>
          <w:lang w:val="en-CA"/>
        </w:rPr>
        <w:t>, 2017 ONCA 839 at paras. 47–50.</w:t>
      </w:r>
    </w:p>
  </w:footnote>
  <w:footnote w:id="110">
    <w:p w14:paraId="17B51E8B" w14:textId="285B83FB"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R. v. Adams</w:t>
      </w:r>
      <w:r w:rsidRPr="009B7667">
        <w:rPr>
          <w:lang w:val="en-CA"/>
        </w:rPr>
        <w:t xml:space="preserve">, [1996] 3 S.C.R. 101 at para. 53; </w:t>
      </w:r>
      <w:r w:rsidRPr="009B7667">
        <w:rPr>
          <w:i/>
          <w:lang w:val="en-CA"/>
        </w:rPr>
        <w:t>May v. Ferndale Institution</w:t>
      </w:r>
      <w:r w:rsidRPr="009B7667">
        <w:rPr>
          <w:lang w:val="en-CA"/>
        </w:rPr>
        <w:t>, [2005] 3 S.C.R. 809, 2005 SCC 82 at para. 77.</w:t>
      </w:r>
    </w:p>
  </w:footnote>
  <w:footnote w:id="111">
    <w:p w14:paraId="1A616E47" w14:textId="7F744805"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Stenographer’s notes, 8 July 2021 at 106.</w:t>
      </w:r>
    </w:p>
  </w:footnote>
  <w:footnote w:id="112">
    <w:p w14:paraId="26D048FB" w14:textId="56A6921C"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t>The discussions between the judge and counsel for the respondent and for the impleaded party are revealing: stenographer’s notes, July 8, 2021, at 97 to 111.</w:t>
      </w:r>
    </w:p>
  </w:footnote>
  <w:footnote w:id="113">
    <w:p w14:paraId="1F8C9125" w14:textId="322C920D"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Mazzei v. British Columbia (Director of Adult Forensic Psychiatric Services)</w:t>
      </w:r>
      <w:r w:rsidRPr="009B7667">
        <w:rPr>
          <w:lang w:val="en-CA"/>
        </w:rPr>
        <w:t xml:space="preserve">, [2006] 1 S.C.R. 326, 2006 SCC 7 at para. 67; </w:t>
      </w:r>
      <w:r w:rsidRPr="009B7667">
        <w:rPr>
          <w:i/>
          <w:lang w:val="en-CA"/>
        </w:rPr>
        <w:t>R v. Myers</w:t>
      </w:r>
      <w:r w:rsidRPr="009B7667">
        <w:rPr>
          <w:lang w:val="en-CA"/>
        </w:rPr>
        <w:t>, 2019 SCC 18, [2019] 2 S.C.R. 105 at para. 68.</w:t>
      </w:r>
    </w:p>
  </w:footnote>
  <w:footnote w:id="114">
    <w:p w14:paraId="6EA8FAD3" w14:textId="5484CEB6" w:rsidR="00D842CE" w:rsidRPr="009B7667" w:rsidRDefault="00D842CE" w:rsidP="00461B74">
      <w:pPr>
        <w:pStyle w:val="Notedebasdepage"/>
        <w:rPr>
          <w:lang w:val="en-CA"/>
        </w:rPr>
      </w:pPr>
      <w:r w:rsidRPr="009B7667">
        <w:rPr>
          <w:rStyle w:val="Appelnotedebasdep"/>
          <w:lang w:val="en-CA"/>
        </w:rPr>
        <w:footnoteRef/>
      </w:r>
      <w:r w:rsidRPr="009B7667">
        <w:rPr>
          <w:lang w:val="en-CA"/>
        </w:rPr>
        <w:t xml:space="preserve"> </w:t>
      </w:r>
      <w:r w:rsidRPr="009B7667">
        <w:rPr>
          <w:lang w:val="en-CA"/>
        </w:rPr>
        <w:tab/>
      </w:r>
      <w:r w:rsidRPr="009B7667">
        <w:rPr>
          <w:i/>
          <w:lang w:val="en-CA"/>
        </w:rPr>
        <w:t>Mazzei</w:t>
      </w:r>
      <w:r w:rsidRPr="009B7667">
        <w:rPr>
          <w:lang w:val="en-CA"/>
        </w:rPr>
        <w:t xml:space="preserve">, </w:t>
      </w:r>
      <w:r w:rsidRPr="009B7667">
        <w:rPr>
          <w:i/>
          <w:lang w:val="en-CA"/>
        </w:rPr>
        <w:t xml:space="preserve">ibid. </w:t>
      </w:r>
      <w:r w:rsidRPr="009B7667">
        <w:rPr>
          <w:lang w:val="en-CA"/>
        </w:rPr>
        <w:t>at para.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645F" w14:textId="77777777" w:rsidR="00D842CE" w:rsidRDefault="00D842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AEBF" w14:textId="0166D6EE" w:rsidR="00D842CE" w:rsidRDefault="00D842CE" w:rsidP="00461B74">
    <w:pPr>
      <w:tabs>
        <w:tab w:val="center" w:pos="4709"/>
        <w:tab w:val="right" w:pos="9360"/>
      </w:tabs>
      <w:spacing w:line="360" w:lineRule="auto"/>
      <w:ind w:right="524"/>
    </w:pPr>
    <w:r>
      <w:t xml:space="preserve">500-09-029601-218 </w:t>
    </w:r>
    <w:r>
      <w:tab/>
    </w:r>
    <w:r>
      <w:tab/>
    </w:r>
    <w:r w:rsidRPr="0088092F">
      <w:t>PAGE :</w:t>
    </w:r>
    <w:r>
      <w:t xml:space="preserve"> </w:t>
    </w:r>
    <w:r>
      <w:fldChar w:fldCharType="begin"/>
    </w:r>
    <w:r>
      <w:instrText xml:space="preserve"> PAGE </w:instrText>
    </w:r>
    <w:r>
      <w:fldChar w:fldCharType="separate"/>
    </w:r>
    <w:r w:rsidR="00BA6B0B">
      <w:rPr>
        <w:noProof/>
      </w:rPr>
      <w:t>2</w:t>
    </w:r>
    <w:r>
      <w:fldChar w:fldCharType="end"/>
    </w:r>
  </w:p>
  <w:p w14:paraId="1D6D8CC3" w14:textId="77777777" w:rsidR="00D842CE" w:rsidRDefault="00D842CE" w:rsidP="00461B74">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F749" w14:textId="77777777" w:rsidR="00D842CE" w:rsidRDefault="00D842C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ADB6" w14:textId="4D182455" w:rsidR="00D842CE" w:rsidRDefault="00D842CE" w:rsidP="00461B74">
    <w:pPr>
      <w:tabs>
        <w:tab w:val="center" w:pos="4709"/>
        <w:tab w:val="right" w:pos="9360"/>
      </w:tabs>
      <w:spacing w:line="360" w:lineRule="auto"/>
      <w:ind w:right="524"/>
    </w:pPr>
    <w:bookmarkStart w:id="54" w:name="EntDossier"/>
    <w:r>
      <w:t>500-09-029601-218</w:t>
    </w:r>
    <w:bookmarkEnd w:id="54"/>
    <w:r>
      <w:t xml:space="preserve"> </w:t>
    </w:r>
    <w:r>
      <w:tab/>
    </w:r>
    <w:r>
      <w:tab/>
    </w:r>
    <w:r w:rsidRPr="0088092F">
      <w:t>PAGE:</w:t>
    </w:r>
    <w:r>
      <w:t xml:space="preserve"> </w:t>
    </w:r>
    <w:r>
      <w:fldChar w:fldCharType="begin"/>
    </w:r>
    <w:r>
      <w:instrText xml:space="preserve"> PAGE </w:instrText>
    </w:r>
    <w:r>
      <w:fldChar w:fldCharType="separate"/>
    </w:r>
    <w:r w:rsidR="00BA6B0B">
      <w:rPr>
        <w:noProof/>
      </w:rPr>
      <w:t>9</w:t>
    </w:r>
    <w:r>
      <w:fldChar w:fldCharType="end"/>
    </w:r>
  </w:p>
  <w:p w14:paraId="51E4DA76" w14:textId="77777777" w:rsidR="00D842CE" w:rsidRDefault="00D842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0B3C8202"/>
    <w:lvl w:ilvl="0">
      <w:start w:val="1"/>
      <w:numFmt w:val="decimal"/>
      <w:pStyle w:val="Paragraphe"/>
      <w:lvlText w:val="[%1]"/>
      <w:lvlJc w:val="left"/>
      <w:pPr>
        <w:tabs>
          <w:tab w:val="num" w:pos="720"/>
        </w:tabs>
        <w:ind w:left="0" w:firstLine="0"/>
      </w:pPr>
      <w:rPr>
        <w:rFonts w:hint="default"/>
        <w:lang w:val="en-CA"/>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675E13"/>
    <w:multiLevelType w:val="hybridMultilevel"/>
    <w:tmpl w:val="3D9C0720"/>
    <w:lvl w:ilvl="0" w:tplc="72CA4DB0">
      <w:numFmt w:val="bullet"/>
      <w:lvlText w:val="-"/>
      <w:lvlJc w:val="left"/>
      <w:pPr>
        <w:ind w:left="720" w:hanging="360"/>
      </w:pPr>
      <w:rPr>
        <w:rFonts w:ascii="Arial" w:eastAsia="Times New Roman" w:hAnsi="Arial" w:cs="Arial" w:hint="default"/>
      </w:rPr>
    </w:lvl>
    <w:lvl w:ilvl="1" w:tplc="B49076C4" w:tentative="1">
      <w:start w:val="1"/>
      <w:numFmt w:val="bullet"/>
      <w:lvlText w:val="o"/>
      <w:lvlJc w:val="left"/>
      <w:pPr>
        <w:ind w:left="1440" w:hanging="360"/>
      </w:pPr>
      <w:rPr>
        <w:rFonts w:ascii="Courier New" w:hAnsi="Courier New" w:cs="Courier New" w:hint="default"/>
      </w:rPr>
    </w:lvl>
    <w:lvl w:ilvl="2" w:tplc="CBE240B8" w:tentative="1">
      <w:start w:val="1"/>
      <w:numFmt w:val="bullet"/>
      <w:lvlText w:val=""/>
      <w:lvlJc w:val="left"/>
      <w:pPr>
        <w:ind w:left="2160" w:hanging="360"/>
      </w:pPr>
      <w:rPr>
        <w:rFonts w:ascii="Wingdings" w:hAnsi="Wingdings" w:hint="default"/>
      </w:rPr>
    </w:lvl>
    <w:lvl w:ilvl="3" w:tplc="3DD44466" w:tentative="1">
      <w:start w:val="1"/>
      <w:numFmt w:val="bullet"/>
      <w:lvlText w:val=""/>
      <w:lvlJc w:val="left"/>
      <w:pPr>
        <w:ind w:left="2880" w:hanging="360"/>
      </w:pPr>
      <w:rPr>
        <w:rFonts w:ascii="Symbol" w:hAnsi="Symbol" w:hint="default"/>
      </w:rPr>
    </w:lvl>
    <w:lvl w:ilvl="4" w:tplc="92FEBB56" w:tentative="1">
      <w:start w:val="1"/>
      <w:numFmt w:val="bullet"/>
      <w:lvlText w:val="o"/>
      <w:lvlJc w:val="left"/>
      <w:pPr>
        <w:ind w:left="3600" w:hanging="360"/>
      </w:pPr>
      <w:rPr>
        <w:rFonts w:ascii="Courier New" w:hAnsi="Courier New" w:cs="Courier New" w:hint="default"/>
      </w:rPr>
    </w:lvl>
    <w:lvl w:ilvl="5" w:tplc="457E7FF8" w:tentative="1">
      <w:start w:val="1"/>
      <w:numFmt w:val="bullet"/>
      <w:lvlText w:val=""/>
      <w:lvlJc w:val="left"/>
      <w:pPr>
        <w:ind w:left="4320" w:hanging="360"/>
      </w:pPr>
      <w:rPr>
        <w:rFonts w:ascii="Wingdings" w:hAnsi="Wingdings" w:hint="default"/>
      </w:rPr>
    </w:lvl>
    <w:lvl w:ilvl="6" w:tplc="EF9CB8A6" w:tentative="1">
      <w:start w:val="1"/>
      <w:numFmt w:val="bullet"/>
      <w:lvlText w:val=""/>
      <w:lvlJc w:val="left"/>
      <w:pPr>
        <w:ind w:left="5040" w:hanging="360"/>
      </w:pPr>
      <w:rPr>
        <w:rFonts w:ascii="Symbol" w:hAnsi="Symbol" w:hint="default"/>
      </w:rPr>
    </w:lvl>
    <w:lvl w:ilvl="7" w:tplc="40FC8E8C" w:tentative="1">
      <w:start w:val="1"/>
      <w:numFmt w:val="bullet"/>
      <w:lvlText w:val="o"/>
      <w:lvlJc w:val="left"/>
      <w:pPr>
        <w:ind w:left="5760" w:hanging="360"/>
      </w:pPr>
      <w:rPr>
        <w:rFonts w:ascii="Courier New" w:hAnsi="Courier New" w:cs="Courier New" w:hint="default"/>
      </w:rPr>
    </w:lvl>
    <w:lvl w:ilvl="8" w:tplc="34DA0866" w:tentative="1">
      <w:start w:val="1"/>
      <w:numFmt w:val="bullet"/>
      <w:lvlText w:val=""/>
      <w:lvlJc w:val="left"/>
      <w:pPr>
        <w:ind w:left="6480" w:hanging="360"/>
      </w:pPr>
      <w:rPr>
        <w:rFonts w:ascii="Wingdings" w:hAnsi="Wingdings" w:hint="default"/>
      </w:rPr>
    </w:lvl>
  </w:abstractNum>
  <w:abstractNum w:abstractNumId="12" w15:restartNumberingAfterBreak="0">
    <w:nsid w:val="37306C25"/>
    <w:multiLevelType w:val="multilevel"/>
    <w:tmpl w:val="2FDA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0B46B2D"/>
    <w:multiLevelType w:val="multilevel"/>
    <w:tmpl w:val="CBE2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num>
  <w:num w:numId="16">
    <w:abstractNumId w:val="14"/>
  </w:num>
  <w:num w:numId="17">
    <w:abstractNumId w:val="13"/>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U JUGE"/>
    <w:docVar w:name="MotifJuge3" w:val="MOTIFS DU JUGE"/>
    <w:docVar w:name="NomFamJuge1" w:val="HAMILTON"/>
    <w:docVar w:name="NomFamJuge2" w:val="MOORE"/>
    <w:docVar w:name="NomFamJuge3" w:val="COURNOYER"/>
    <w:docVar w:name="NomFamJuge4" w:val="MAILHOT"/>
    <w:docVar w:name="NomFamJuge5" w:val="BAUDOUIN"/>
    <w:docVar w:name="QteJuge1" w:val=", J.C.A."/>
    <w:docVar w:name="QteJuge2" w:val=", J.C.A."/>
    <w:docVar w:name="QteJuge3" w:val=", J.C.A."/>
    <w:docVar w:name="stPremiereFois" w:val="Non"/>
  </w:docVars>
  <w:rsids>
    <w:rsidRoot w:val="00856BB5"/>
    <w:rsid w:val="000008EB"/>
    <w:rsid w:val="000044E6"/>
    <w:rsid w:val="00006DA3"/>
    <w:rsid w:val="000230D8"/>
    <w:rsid w:val="0002389B"/>
    <w:rsid w:val="00023C7C"/>
    <w:rsid w:val="00024BA5"/>
    <w:rsid w:val="000268A8"/>
    <w:rsid w:val="00026976"/>
    <w:rsid w:val="00030C2D"/>
    <w:rsid w:val="000333A6"/>
    <w:rsid w:val="000500DE"/>
    <w:rsid w:val="00057306"/>
    <w:rsid w:val="00057BE5"/>
    <w:rsid w:val="00060EE0"/>
    <w:rsid w:val="00071740"/>
    <w:rsid w:val="00083FD9"/>
    <w:rsid w:val="000843BC"/>
    <w:rsid w:val="00086F48"/>
    <w:rsid w:val="00092F31"/>
    <w:rsid w:val="000A4E97"/>
    <w:rsid w:val="000A72FE"/>
    <w:rsid w:val="000A7E44"/>
    <w:rsid w:val="000B6B9A"/>
    <w:rsid w:val="000C27C5"/>
    <w:rsid w:val="000C496F"/>
    <w:rsid w:val="000C5D1C"/>
    <w:rsid w:val="000C5E1E"/>
    <w:rsid w:val="000C7605"/>
    <w:rsid w:val="000C772A"/>
    <w:rsid w:val="000D0536"/>
    <w:rsid w:val="000D079B"/>
    <w:rsid w:val="000D0EBC"/>
    <w:rsid w:val="000D511D"/>
    <w:rsid w:val="000E0D30"/>
    <w:rsid w:val="000E0DC1"/>
    <w:rsid w:val="000E2889"/>
    <w:rsid w:val="000E6EB3"/>
    <w:rsid w:val="000F01F3"/>
    <w:rsid w:val="000F2747"/>
    <w:rsid w:val="000F37FB"/>
    <w:rsid w:val="000F681D"/>
    <w:rsid w:val="001001E5"/>
    <w:rsid w:val="001005B2"/>
    <w:rsid w:val="00104278"/>
    <w:rsid w:val="00114F80"/>
    <w:rsid w:val="00131A1E"/>
    <w:rsid w:val="001324C1"/>
    <w:rsid w:val="001369BD"/>
    <w:rsid w:val="00146F22"/>
    <w:rsid w:val="00147D08"/>
    <w:rsid w:val="0016200E"/>
    <w:rsid w:val="00163313"/>
    <w:rsid w:val="00165D4A"/>
    <w:rsid w:val="00166F11"/>
    <w:rsid w:val="001731F4"/>
    <w:rsid w:val="00174B62"/>
    <w:rsid w:val="00181AAD"/>
    <w:rsid w:val="00181AD4"/>
    <w:rsid w:val="001834F5"/>
    <w:rsid w:val="001848DD"/>
    <w:rsid w:val="00187C45"/>
    <w:rsid w:val="00190ADA"/>
    <w:rsid w:val="00193E49"/>
    <w:rsid w:val="00194645"/>
    <w:rsid w:val="00195050"/>
    <w:rsid w:val="001979EB"/>
    <w:rsid w:val="001A5AAB"/>
    <w:rsid w:val="001A6531"/>
    <w:rsid w:val="001A7A9C"/>
    <w:rsid w:val="001B02D2"/>
    <w:rsid w:val="001B26EF"/>
    <w:rsid w:val="001B4F87"/>
    <w:rsid w:val="001C0E56"/>
    <w:rsid w:val="001C595E"/>
    <w:rsid w:val="001C775C"/>
    <w:rsid w:val="001D6C51"/>
    <w:rsid w:val="001E14C5"/>
    <w:rsid w:val="001E1D94"/>
    <w:rsid w:val="001E3D1A"/>
    <w:rsid w:val="001E6319"/>
    <w:rsid w:val="001F0E5E"/>
    <w:rsid w:val="001F644C"/>
    <w:rsid w:val="001F6648"/>
    <w:rsid w:val="00214884"/>
    <w:rsid w:val="00216925"/>
    <w:rsid w:val="00220381"/>
    <w:rsid w:val="00226CD5"/>
    <w:rsid w:val="00232F62"/>
    <w:rsid w:val="002334F3"/>
    <w:rsid w:val="00233EED"/>
    <w:rsid w:val="00236E90"/>
    <w:rsid w:val="002435DB"/>
    <w:rsid w:val="002448D2"/>
    <w:rsid w:val="002538C1"/>
    <w:rsid w:val="00260019"/>
    <w:rsid w:val="0027710D"/>
    <w:rsid w:val="00277D20"/>
    <w:rsid w:val="00277F72"/>
    <w:rsid w:val="00280588"/>
    <w:rsid w:val="00284CC9"/>
    <w:rsid w:val="00284D53"/>
    <w:rsid w:val="00286829"/>
    <w:rsid w:val="0029043C"/>
    <w:rsid w:val="002943A9"/>
    <w:rsid w:val="0029725C"/>
    <w:rsid w:val="00297A22"/>
    <w:rsid w:val="002A08A9"/>
    <w:rsid w:val="002A0C10"/>
    <w:rsid w:val="002A13FD"/>
    <w:rsid w:val="002A726B"/>
    <w:rsid w:val="002B3B6E"/>
    <w:rsid w:val="002B5157"/>
    <w:rsid w:val="002B53D5"/>
    <w:rsid w:val="002C05E8"/>
    <w:rsid w:val="002C089E"/>
    <w:rsid w:val="002C1085"/>
    <w:rsid w:val="002C5213"/>
    <w:rsid w:val="002C6A7E"/>
    <w:rsid w:val="002C6C5F"/>
    <w:rsid w:val="002D20AD"/>
    <w:rsid w:val="002D6D15"/>
    <w:rsid w:val="002E12C8"/>
    <w:rsid w:val="002E31F5"/>
    <w:rsid w:val="002E5426"/>
    <w:rsid w:val="002E5B1A"/>
    <w:rsid w:val="002E6515"/>
    <w:rsid w:val="002F23F9"/>
    <w:rsid w:val="002F2810"/>
    <w:rsid w:val="002F506A"/>
    <w:rsid w:val="002F5272"/>
    <w:rsid w:val="002F68FC"/>
    <w:rsid w:val="00300DBF"/>
    <w:rsid w:val="00301A15"/>
    <w:rsid w:val="00306CC6"/>
    <w:rsid w:val="00306E6C"/>
    <w:rsid w:val="00310CF0"/>
    <w:rsid w:val="00315FD0"/>
    <w:rsid w:val="00323A10"/>
    <w:rsid w:val="003257C4"/>
    <w:rsid w:val="0033030A"/>
    <w:rsid w:val="00330B1B"/>
    <w:rsid w:val="00333BDD"/>
    <w:rsid w:val="00335C5F"/>
    <w:rsid w:val="00336CFB"/>
    <w:rsid w:val="00340418"/>
    <w:rsid w:val="00340A7A"/>
    <w:rsid w:val="0034313B"/>
    <w:rsid w:val="003446B6"/>
    <w:rsid w:val="00350676"/>
    <w:rsid w:val="00355F3C"/>
    <w:rsid w:val="003604A2"/>
    <w:rsid w:val="003609EC"/>
    <w:rsid w:val="0036173D"/>
    <w:rsid w:val="00364304"/>
    <w:rsid w:val="00365813"/>
    <w:rsid w:val="003729B2"/>
    <w:rsid w:val="00375640"/>
    <w:rsid w:val="0038340B"/>
    <w:rsid w:val="00390B0C"/>
    <w:rsid w:val="00391F28"/>
    <w:rsid w:val="003A341B"/>
    <w:rsid w:val="003A3D35"/>
    <w:rsid w:val="003A66A6"/>
    <w:rsid w:val="003B5FB9"/>
    <w:rsid w:val="003C5EC6"/>
    <w:rsid w:val="003D2F7D"/>
    <w:rsid w:val="003D494D"/>
    <w:rsid w:val="003D6C0D"/>
    <w:rsid w:val="003F01C5"/>
    <w:rsid w:val="003F3B68"/>
    <w:rsid w:val="003F428F"/>
    <w:rsid w:val="003F7FAD"/>
    <w:rsid w:val="00403186"/>
    <w:rsid w:val="00404CFE"/>
    <w:rsid w:val="00404F92"/>
    <w:rsid w:val="004135AD"/>
    <w:rsid w:val="00414085"/>
    <w:rsid w:val="00421063"/>
    <w:rsid w:val="004213E2"/>
    <w:rsid w:val="004215DC"/>
    <w:rsid w:val="0042195E"/>
    <w:rsid w:val="00424985"/>
    <w:rsid w:val="00426E74"/>
    <w:rsid w:val="00427AE9"/>
    <w:rsid w:val="00431377"/>
    <w:rsid w:val="0043148F"/>
    <w:rsid w:val="00435370"/>
    <w:rsid w:val="004431B3"/>
    <w:rsid w:val="00444FF6"/>
    <w:rsid w:val="00453165"/>
    <w:rsid w:val="00453504"/>
    <w:rsid w:val="00453A34"/>
    <w:rsid w:val="00461B74"/>
    <w:rsid w:val="00461C16"/>
    <w:rsid w:val="00461DA5"/>
    <w:rsid w:val="00465D99"/>
    <w:rsid w:val="00467102"/>
    <w:rsid w:val="00467B91"/>
    <w:rsid w:val="00470348"/>
    <w:rsid w:val="004710C5"/>
    <w:rsid w:val="004740D5"/>
    <w:rsid w:val="0047744F"/>
    <w:rsid w:val="00477F8D"/>
    <w:rsid w:val="004849D6"/>
    <w:rsid w:val="00485994"/>
    <w:rsid w:val="00491653"/>
    <w:rsid w:val="004919D2"/>
    <w:rsid w:val="00496E16"/>
    <w:rsid w:val="004A062C"/>
    <w:rsid w:val="004A06F4"/>
    <w:rsid w:val="004A59F0"/>
    <w:rsid w:val="004B0940"/>
    <w:rsid w:val="004B2607"/>
    <w:rsid w:val="004B51A8"/>
    <w:rsid w:val="004C242C"/>
    <w:rsid w:val="004D5F7A"/>
    <w:rsid w:val="004F0D01"/>
    <w:rsid w:val="004F68EA"/>
    <w:rsid w:val="00503187"/>
    <w:rsid w:val="00503A07"/>
    <w:rsid w:val="00514079"/>
    <w:rsid w:val="00516863"/>
    <w:rsid w:val="00532283"/>
    <w:rsid w:val="00552513"/>
    <w:rsid w:val="00553474"/>
    <w:rsid w:val="00562514"/>
    <w:rsid w:val="005629A1"/>
    <w:rsid w:val="00566E51"/>
    <w:rsid w:val="0056746A"/>
    <w:rsid w:val="00570ADB"/>
    <w:rsid w:val="0057442B"/>
    <w:rsid w:val="00576E23"/>
    <w:rsid w:val="00585FFA"/>
    <w:rsid w:val="00586D42"/>
    <w:rsid w:val="00595501"/>
    <w:rsid w:val="00596776"/>
    <w:rsid w:val="005B0B8F"/>
    <w:rsid w:val="005B68BA"/>
    <w:rsid w:val="005C3AE3"/>
    <w:rsid w:val="005C6628"/>
    <w:rsid w:val="005D77D5"/>
    <w:rsid w:val="005E1D30"/>
    <w:rsid w:val="005E33D2"/>
    <w:rsid w:val="005E6F1B"/>
    <w:rsid w:val="005F049C"/>
    <w:rsid w:val="005F0D81"/>
    <w:rsid w:val="005F5294"/>
    <w:rsid w:val="005F5E68"/>
    <w:rsid w:val="005F7A6C"/>
    <w:rsid w:val="00604A6A"/>
    <w:rsid w:val="00607EA8"/>
    <w:rsid w:val="00611D26"/>
    <w:rsid w:val="006159A1"/>
    <w:rsid w:val="00622BFD"/>
    <w:rsid w:val="00623EA1"/>
    <w:rsid w:val="0062484A"/>
    <w:rsid w:val="006268D0"/>
    <w:rsid w:val="006301D2"/>
    <w:rsid w:val="006309B0"/>
    <w:rsid w:val="00632D27"/>
    <w:rsid w:val="0063505B"/>
    <w:rsid w:val="006355F8"/>
    <w:rsid w:val="00635C36"/>
    <w:rsid w:val="00637299"/>
    <w:rsid w:val="00641103"/>
    <w:rsid w:val="00641E3B"/>
    <w:rsid w:val="0064374E"/>
    <w:rsid w:val="0064420E"/>
    <w:rsid w:val="00653D4B"/>
    <w:rsid w:val="0065616F"/>
    <w:rsid w:val="0066202F"/>
    <w:rsid w:val="00664B5E"/>
    <w:rsid w:val="00664DAD"/>
    <w:rsid w:val="00666061"/>
    <w:rsid w:val="00677C48"/>
    <w:rsid w:val="0068190A"/>
    <w:rsid w:val="006834A6"/>
    <w:rsid w:val="00684F9C"/>
    <w:rsid w:val="00685C45"/>
    <w:rsid w:val="00691B6D"/>
    <w:rsid w:val="0069233B"/>
    <w:rsid w:val="00694B9A"/>
    <w:rsid w:val="006955C5"/>
    <w:rsid w:val="006A2E4A"/>
    <w:rsid w:val="006A39AF"/>
    <w:rsid w:val="006A3B2B"/>
    <w:rsid w:val="006A7923"/>
    <w:rsid w:val="006A799D"/>
    <w:rsid w:val="006A7DE1"/>
    <w:rsid w:val="006B1D14"/>
    <w:rsid w:val="006B573E"/>
    <w:rsid w:val="006B6877"/>
    <w:rsid w:val="006B7038"/>
    <w:rsid w:val="006C06E9"/>
    <w:rsid w:val="006C15B3"/>
    <w:rsid w:val="006C5EAE"/>
    <w:rsid w:val="006D4299"/>
    <w:rsid w:val="006E19A8"/>
    <w:rsid w:val="006E238F"/>
    <w:rsid w:val="006E388A"/>
    <w:rsid w:val="006E43EE"/>
    <w:rsid w:val="006F3AF5"/>
    <w:rsid w:val="0070223F"/>
    <w:rsid w:val="007041C6"/>
    <w:rsid w:val="00707863"/>
    <w:rsid w:val="00713713"/>
    <w:rsid w:val="007142A7"/>
    <w:rsid w:val="00714C5A"/>
    <w:rsid w:val="007159D8"/>
    <w:rsid w:val="00717277"/>
    <w:rsid w:val="00721589"/>
    <w:rsid w:val="007244D0"/>
    <w:rsid w:val="00725BAB"/>
    <w:rsid w:val="007308CF"/>
    <w:rsid w:val="00733E3A"/>
    <w:rsid w:val="00735A82"/>
    <w:rsid w:val="007366D2"/>
    <w:rsid w:val="00737EAE"/>
    <w:rsid w:val="007423C7"/>
    <w:rsid w:val="00747370"/>
    <w:rsid w:val="0075524D"/>
    <w:rsid w:val="007607D9"/>
    <w:rsid w:val="007647B6"/>
    <w:rsid w:val="00771978"/>
    <w:rsid w:val="0077392E"/>
    <w:rsid w:val="0078288B"/>
    <w:rsid w:val="0079241C"/>
    <w:rsid w:val="00796307"/>
    <w:rsid w:val="00796611"/>
    <w:rsid w:val="007A3D2E"/>
    <w:rsid w:val="007A58B1"/>
    <w:rsid w:val="007B1FB1"/>
    <w:rsid w:val="007B7A42"/>
    <w:rsid w:val="007D280E"/>
    <w:rsid w:val="007D4381"/>
    <w:rsid w:val="007D4C5C"/>
    <w:rsid w:val="007D77C7"/>
    <w:rsid w:val="007E5C3D"/>
    <w:rsid w:val="007F3105"/>
    <w:rsid w:val="008000A9"/>
    <w:rsid w:val="00801700"/>
    <w:rsid w:val="00802BD7"/>
    <w:rsid w:val="008213F2"/>
    <w:rsid w:val="00830685"/>
    <w:rsid w:val="0083296E"/>
    <w:rsid w:val="00840BC3"/>
    <w:rsid w:val="00841329"/>
    <w:rsid w:val="008417E8"/>
    <w:rsid w:val="0084637F"/>
    <w:rsid w:val="00850B5E"/>
    <w:rsid w:val="00850BD8"/>
    <w:rsid w:val="008541AD"/>
    <w:rsid w:val="00855404"/>
    <w:rsid w:val="008564BE"/>
    <w:rsid w:val="008564CB"/>
    <w:rsid w:val="00856BB5"/>
    <w:rsid w:val="00861A5F"/>
    <w:rsid w:val="008621F6"/>
    <w:rsid w:val="00865A6B"/>
    <w:rsid w:val="00870584"/>
    <w:rsid w:val="008727AC"/>
    <w:rsid w:val="00873300"/>
    <w:rsid w:val="00875E5F"/>
    <w:rsid w:val="00876F42"/>
    <w:rsid w:val="0088092F"/>
    <w:rsid w:val="00885A36"/>
    <w:rsid w:val="00885D00"/>
    <w:rsid w:val="00885F32"/>
    <w:rsid w:val="008A10F2"/>
    <w:rsid w:val="008A3185"/>
    <w:rsid w:val="008B0669"/>
    <w:rsid w:val="008B1F82"/>
    <w:rsid w:val="008B557D"/>
    <w:rsid w:val="008B7973"/>
    <w:rsid w:val="008C1910"/>
    <w:rsid w:val="008C1E7B"/>
    <w:rsid w:val="008C2877"/>
    <w:rsid w:val="008C6BBF"/>
    <w:rsid w:val="008D04E0"/>
    <w:rsid w:val="008D1868"/>
    <w:rsid w:val="008D545E"/>
    <w:rsid w:val="008D614F"/>
    <w:rsid w:val="008F1F1A"/>
    <w:rsid w:val="008F3317"/>
    <w:rsid w:val="008F3E1C"/>
    <w:rsid w:val="008F6E86"/>
    <w:rsid w:val="00915D2D"/>
    <w:rsid w:val="00920ABB"/>
    <w:rsid w:val="00924043"/>
    <w:rsid w:val="00924E4F"/>
    <w:rsid w:val="009266DF"/>
    <w:rsid w:val="009335AA"/>
    <w:rsid w:val="00935851"/>
    <w:rsid w:val="00936C68"/>
    <w:rsid w:val="00941C4C"/>
    <w:rsid w:val="00943AAF"/>
    <w:rsid w:val="0094403D"/>
    <w:rsid w:val="00944FE7"/>
    <w:rsid w:val="00950583"/>
    <w:rsid w:val="00954260"/>
    <w:rsid w:val="009567B7"/>
    <w:rsid w:val="009571AD"/>
    <w:rsid w:val="009616D9"/>
    <w:rsid w:val="00964B36"/>
    <w:rsid w:val="00966CF8"/>
    <w:rsid w:val="00973CDC"/>
    <w:rsid w:val="00974AA5"/>
    <w:rsid w:val="00976C77"/>
    <w:rsid w:val="00981DC2"/>
    <w:rsid w:val="009867F2"/>
    <w:rsid w:val="00987541"/>
    <w:rsid w:val="00990D00"/>
    <w:rsid w:val="009914C7"/>
    <w:rsid w:val="009A3852"/>
    <w:rsid w:val="009A6F5F"/>
    <w:rsid w:val="009B138F"/>
    <w:rsid w:val="009B156E"/>
    <w:rsid w:val="009B27C0"/>
    <w:rsid w:val="009B7667"/>
    <w:rsid w:val="009C5B2B"/>
    <w:rsid w:val="009C6836"/>
    <w:rsid w:val="009D03D4"/>
    <w:rsid w:val="009D1F2F"/>
    <w:rsid w:val="009D64DA"/>
    <w:rsid w:val="009D7004"/>
    <w:rsid w:val="009E0716"/>
    <w:rsid w:val="009E1492"/>
    <w:rsid w:val="009E2224"/>
    <w:rsid w:val="009E3D97"/>
    <w:rsid w:val="009E3E73"/>
    <w:rsid w:val="009F0369"/>
    <w:rsid w:val="009F2DD8"/>
    <w:rsid w:val="009F40E6"/>
    <w:rsid w:val="009F6BD4"/>
    <w:rsid w:val="00A10750"/>
    <w:rsid w:val="00A1280D"/>
    <w:rsid w:val="00A12B4D"/>
    <w:rsid w:val="00A15220"/>
    <w:rsid w:val="00A2022F"/>
    <w:rsid w:val="00A20D9B"/>
    <w:rsid w:val="00A3627C"/>
    <w:rsid w:val="00A419A9"/>
    <w:rsid w:val="00A42C97"/>
    <w:rsid w:val="00A43E81"/>
    <w:rsid w:val="00A52522"/>
    <w:rsid w:val="00A53FA6"/>
    <w:rsid w:val="00A54138"/>
    <w:rsid w:val="00A57431"/>
    <w:rsid w:val="00A61689"/>
    <w:rsid w:val="00A652E4"/>
    <w:rsid w:val="00A66952"/>
    <w:rsid w:val="00A6724F"/>
    <w:rsid w:val="00A705FF"/>
    <w:rsid w:val="00A73F6B"/>
    <w:rsid w:val="00A754FC"/>
    <w:rsid w:val="00A80A52"/>
    <w:rsid w:val="00A8203D"/>
    <w:rsid w:val="00A83F5C"/>
    <w:rsid w:val="00A85764"/>
    <w:rsid w:val="00A910B7"/>
    <w:rsid w:val="00A95BC9"/>
    <w:rsid w:val="00AA2D33"/>
    <w:rsid w:val="00AB55ED"/>
    <w:rsid w:val="00AB59DE"/>
    <w:rsid w:val="00AC1677"/>
    <w:rsid w:val="00AC1CC7"/>
    <w:rsid w:val="00AC52DA"/>
    <w:rsid w:val="00AF2D2B"/>
    <w:rsid w:val="00AF3F72"/>
    <w:rsid w:val="00B05194"/>
    <w:rsid w:val="00B069F2"/>
    <w:rsid w:val="00B07122"/>
    <w:rsid w:val="00B12661"/>
    <w:rsid w:val="00B128C2"/>
    <w:rsid w:val="00B12CCC"/>
    <w:rsid w:val="00B142B0"/>
    <w:rsid w:val="00B26271"/>
    <w:rsid w:val="00B30D04"/>
    <w:rsid w:val="00B30D0A"/>
    <w:rsid w:val="00B316A7"/>
    <w:rsid w:val="00B406D1"/>
    <w:rsid w:val="00B40776"/>
    <w:rsid w:val="00B5268A"/>
    <w:rsid w:val="00B5387C"/>
    <w:rsid w:val="00B54E7A"/>
    <w:rsid w:val="00B60AF9"/>
    <w:rsid w:val="00B61501"/>
    <w:rsid w:val="00B74BF1"/>
    <w:rsid w:val="00B778AA"/>
    <w:rsid w:val="00B801FE"/>
    <w:rsid w:val="00B82A43"/>
    <w:rsid w:val="00B869E2"/>
    <w:rsid w:val="00B86D7F"/>
    <w:rsid w:val="00B904FC"/>
    <w:rsid w:val="00B923F8"/>
    <w:rsid w:val="00B9602C"/>
    <w:rsid w:val="00B97993"/>
    <w:rsid w:val="00BA0343"/>
    <w:rsid w:val="00BA0994"/>
    <w:rsid w:val="00BA125B"/>
    <w:rsid w:val="00BA2CED"/>
    <w:rsid w:val="00BA5D7A"/>
    <w:rsid w:val="00BA5E10"/>
    <w:rsid w:val="00BA6B0B"/>
    <w:rsid w:val="00BD062E"/>
    <w:rsid w:val="00BD1E80"/>
    <w:rsid w:val="00BD289D"/>
    <w:rsid w:val="00BD429E"/>
    <w:rsid w:val="00BD6016"/>
    <w:rsid w:val="00BD6F18"/>
    <w:rsid w:val="00BE415C"/>
    <w:rsid w:val="00BE4A73"/>
    <w:rsid w:val="00BE55FC"/>
    <w:rsid w:val="00BF21AC"/>
    <w:rsid w:val="00BF4F00"/>
    <w:rsid w:val="00BF538C"/>
    <w:rsid w:val="00C0046B"/>
    <w:rsid w:val="00C04296"/>
    <w:rsid w:val="00C06B3C"/>
    <w:rsid w:val="00C14793"/>
    <w:rsid w:val="00C16779"/>
    <w:rsid w:val="00C312F9"/>
    <w:rsid w:val="00C31B7C"/>
    <w:rsid w:val="00C33D6D"/>
    <w:rsid w:val="00C4357C"/>
    <w:rsid w:val="00C46ABA"/>
    <w:rsid w:val="00C51B63"/>
    <w:rsid w:val="00C54598"/>
    <w:rsid w:val="00C5550B"/>
    <w:rsid w:val="00C55621"/>
    <w:rsid w:val="00C55BF7"/>
    <w:rsid w:val="00C56B1A"/>
    <w:rsid w:val="00C56DCE"/>
    <w:rsid w:val="00C5703C"/>
    <w:rsid w:val="00C574C5"/>
    <w:rsid w:val="00C63F88"/>
    <w:rsid w:val="00C71480"/>
    <w:rsid w:val="00C71508"/>
    <w:rsid w:val="00C777AA"/>
    <w:rsid w:val="00C77BBB"/>
    <w:rsid w:val="00C82313"/>
    <w:rsid w:val="00C827A1"/>
    <w:rsid w:val="00C82E5D"/>
    <w:rsid w:val="00C83564"/>
    <w:rsid w:val="00C84210"/>
    <w:rsid w:val="00C963C2"/>
    <w:rsid w:val="00C96830"/>
    <w:rsid w:val="00CA1283"/>
    <w:rsid w:val="00CA2CF6"/>
    <w:rsid w:val="00CA53BE"/>
    <w:rsid w:val="00CB3692"/>
    <w:rsid w:val="00CB5DC3"/>
    <w:rsid w:val="00CB6200"/>
    <w:rsid w:val="00CC0B1F"/>
    <w:rsid w:val="00CC2297"/>
    <w:rsid w:val="00CC6761"/>
    <w:rsid w:val="00CD697F"/>
    <w:rsid w:val="00CE0226"/>
    <w:rsid w:val="00CE6449"/>
    <w:rsid w:val="00CF2301"/>
    <w:rsid w:val="00CF74BF"/>
    <w:rsid w:val="00CF7825"/>
    <w:rsid w:val="00D02895"/>
    <w:rsid w:val="00D035F6"/>
    <w:rsid w:val="00D063B4"/>
    <w:rsid w:val="00D1458C"/>
    <w:rsid w:val="00D16656"/>
    <w:rsid w:val="00D205F8"/>
    <w:rsid w:val="00D239E8"/>
    <w:rsid w:val="00D32A2F"/>
    <w:rsid w:val="00D33EAF"/>
    <w:rsid w:val="00D35CBD"/>
    <w:rsid w:val="00D362CE"/>
    <w:rsid w:val="00D44595"/>
    <w:rsid w:val="00D45771"/>
    <w:rsid w:val="00D46941"/>
    <w:rsid w:val="00D63D6C"/>
    <w:rsid w:val="00D71B37"/>
    <w:rsid w:val="00D72EAA"/>
    <w:rsid w:val="00D7311B"/>
    <w:rsid w:val="00D750FE"/>
    <w:rsid w:val="00D75548"/>
    <w:rsid w:val="00D7563F"/>
    <w:rsid w:val="00D759C9"/>
    <w:rsid w:val="00D76941"/>
    <w:rsid w:val="00D7721F"/>
    <w:rsid w:val="00D80421"/>
    <w:rsid w:val="00D83FA2"/>
    <w:rsid w:val="00D842CE"/>
    <w:rsid w:val="00D92DBA"/>
    <w:rsid w:val="00D95491"/>
    <w:rsid w:val="00D97E85"/>
    <w:rsid w:val="00DB5C5F"/>
    <w:rsid w:val="00DC1611"/>
    <w:rsid w:val="00DC1E54"/>
    <w:rsid w:val="00DC2DB4"/>
    <w:rsid w:val="00DC2EFD"/>
    <w:rsid w:val="00DC3FB5"/>
    <w:rsid w:val="00DC5283"/>
    <w:rsid w:val="00DD0C80"/>
    <w:rsid w:val="00DE1606"/>
    <w:rsid w:val="00DE3830"/>
    <w:rsid w:val="00DE7ADB"/>
    <w:rsid w:val="00DF059F"/>
    <w:rsid w:val="00DF367B"/>
    <w:rsid w:val="00E00C8D"/>
    <w:rsid w:val="00E01B82"/>
    <w:rsid w:val="00E10692"/>
    <w:rsid w:val="00E10999"/>
    <w:rsid w:val="00E10C26"/>
    <w:rsid w:val="00E259C1"/>
    <w:rsid w:val="00E26B15"/>
    <w:rsid w:val="00E26B94"/>
    <w:rsid w:val="00E3012F"/>
    <w:rsid w:val="00E304DF"/>
    <w:rsid w:val="00E34047"/>
    <w:rsid w:val="00E34734"/>
    <w:rsid w:val="00E420E4"/>
    <w:rsid w:val="00E42EEF"/>
    <w:rsid w:val="00E444A5"/>
    <w:rsid w:val="00E46A83"/>
    <w:rsid w:val="00E47777"/>
    <w:rsid w:val="00E53F38"/>
    <w:rsid w:val="00E60EFC"/>
    <w:rsid w:val="00E628BF"/>
    <w:rsid w:val="00E63B3E"/>
    <w:rsid w:val="00E67F3F"/>
    <w:rsid w:val="00E7145E"/>
    <w:rsid w:val="00E763AB"/>
    <w:rsid w:val="00E77255"/>
    <w:rsid w:val="00E80412"/>
    <w:rsid w:val="00E93ECA"/>
    <w:rsid w:val="00E954BA"/>
    <w:rsid w:val="00E9623C"/>
    <w:rsid w:val="00EA06BF"/>
    <w:rsid w:val="00EA387B"/>
    <w:rsid w:val="00EA3FE0"/>
    <w:rsid w:val="00EB0B48"/>
    <w:rsid w:val="00EB393B"/>
    <w:rsid w:val="00EC2882"/>
    <w:rsid w:val="00EC7DD5"/>
    <w:rsid w:val="00ED0463"/>
    <w:rsid w:val="00ED0E2F"/>
    <w:rsid w:val="00ED2F24"/>
    <w:rsid w:val="00ED54A6"/>
    <w:rsid w:val="00ED564F"/>
    <w:rsid w:val="00EE1E5A"/>
    <w:rsid w:val="00EE2A26"/>
    <w:rsid w:val="00EE32E6"/>
    <w:rsid w:val="00EE3C87"/>
    <w:rsid w:val="00EE46C1"/>
    <w:rsid w:val="00EE4B0F"/>
    <w:rsid w:val="00EE5668"/>
    <w:rsid w:val="00EF0B48"/>
    <w:rsid w:val="00F014BB"/>
    <w:rsid w:val="00F01A38"/>
    <w:rsid w:val="00F028EF"/>
    <w:rsid w:val="00F04937"/>
    <w:rsid w:val="00F1062C"/>
    <w:rsid w:val="00F108BC"/>
    <w:rsid w:val="00F20E37"/>
    <w:rsid w:val="00F23093"/>
    <w:rsid w:val="00F344AC"/>
    <w:rsid w:val="00F376D6"/>
    <w:rsid w:val="00F479A9"/>
    <w:rsid w:val="00F50E71"/>
    <w:rsid w:val="00F51382"/>
    <w:rsid w:val="00F65023"/>
    <w:rsid w:val="00F6575F"/>
    <w:rsid w:val="00F75A3E"/>
    <w:rsid w:val="00F772BD"/>
    <w:rsid w:val="00F77F6F"/>
    <w:rsid w:val="00F81EA9"/>
    <w:rsid w:val="00F81F4D"/>
    <w:rsid w:val="00F85941"/>
    <w:rsid w:val="00F85ACD"/>
    <w:rsid w:val="00F87ADB"/>
    <w:rsid w:val="00F903E4"/>
    <w:rsid w:val="00F91E9F"/>
    <w:rsid w:val="00F94934"/>
    <w:rsid w:val="00FA1C56"/>
    <w:rsid w:val="00FA6819"/>
    <w:rsid w:val="00FB2233"/>
    <w:rsid w:val="00FB3285"/>
    <w:rsid w:val="00FB7808"/>
    <w:rsid w:val="00FB7E01"/>
    <w:rsid w:val="00FC1463"/>
    <w:rsid w:val="00FD0364"/>
    <w:rsid w:val="00FD1C33"/>
    <w:rsid w:val="00FD3037"/>
    <w:rsid w:val="00FE1243"/>
    <w:rsid w:val="00FE3A08"/>
    <w:rsid w:val="00FE5937"/>
    <w:rsid w:val="00FF6182"/>
    <w:rsid w:val="00FF77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63792"/>
  <w15:chartTrackingRefBased/>
  <w15:docId w15:val="{6251B405-A47F-469E-9BAB-81A2AA4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link w:val="Titre1Car"/>
    <w:qFormat/>
    <w:rsid w:val="00EA3CC3"/>
    <w:pPr>
      <w:keepNext/>
      <w:spacing w:before="240" w:after="60" w:line="500" w:lineRule="exact"/>
      <w:outlineLvl w:val="0"/>
    </w:pPr>
    <w:rPr>
      <w:b/>
      <w:kern w:val="28"/>
    </w:rPr>
  </w:style>
  <w:style w:type="paragraph" w:styleId="Titre2">
    <w:name w:val="heading 2"/>
    <w:basedOn w:val="Normal"/>
    <w:next w:val="Normal"/>
    <w:link w:val="Titre2Car"/>
    <w:qFormat/>
    <w:pPr>
      <w:keepNext/>
      <w:spacing w:before="240" w:after="60"/>
      <w:outlineLvl w:val="1"/>
    </w:pPr>
    <w:rPr>
      <w:b/>
      <w:i/>
    </w:rPr>
  </w:style>
  <w:style w:type="paragraph" w:styleId="Titre3">
    <w:name w:val="heading 3"/>
    <w:basedOn w:val="Normal"/>
    <w:next w:val="Normal"/>
    <w:link w:val="Titre3Car"/>
    <w:qFormat/>
    <w:pPr>
      <w:keepNext/>
      <w:spacing w:before="240" w:after="60"/>
      <w:outlineLvl w:val="2"/>
    </w:pPr>
  </w:style>
  <w:style w:type="paragraph" w:styleId="Titre4">
    <w:name w:val="heading 4"/>
    <w:basedOn w:val="Normal"/>
    <w:next w:val="Normal"/>
    <w:link w:val="Titre4Car"/>
    <w:qFormat/>
    <w:pPr>
      <w:keepNext/>
      <w:spacing w:before="240" w:after="60"/>
      <w:outlineLvl w:val="3"/>
    </w:pPr>
    <w:rPr>
      <w:b/>
    </w:rPr>
  </w:style>
  <w:style w:type="paragraph" w:styleId="Titre5">
    <w:name w:val="heading 5"/>
    <w:basedOn w:val="Normal"/>
    <w:next w:val="Normal"/>
    <w:link w:val="Titre5Car"/>
    <w:qFormat/>
    <w:pPr>
      <w:spacing w:before="240" w:after="60"/>
      <w:outlineLvl w:val="4"/>
    </w:pPr>
    <w:rPr>
      <w:sz w:val="22"/>
    </w:rPr>
  </w:style>
  <w:style w:type="paragraph" w:styleId="Titre6">
    <w:name w:val="heading 6"/>
    <w:basedOn w:val="Normal"/>
    <w:next w:val="Normal"/>
    <w:link w:val="Titre6Car"/>
    <w:qFormat/>
    <w:pPr>
      <w:spacing w:before="240" w:after="60"/>
      <w:outlineLvl w:val="5"/>
    </w:pPr>
    <w:rPr>
      <w:i/>
      <w:sz w:val="22"/>
    </w:rPr>
  </w:style>
  <w:style w:type="paragraph" w:styleId="Titre7">
    <w:name w:val="heading 7"/>
    <w:basedOn w:val="Normal"/>
    <w:next w:val="Normal"/>
    <w:link w:val="Titre7Car"/>
    <w:qFormat/>
    <w:pPr>
      <w:spacing w:before="240" w:after="60"/>
      <w:outlineLvl w:val="6"/>
    </w:pPr>
    <w:rPr>
      <w:sz w:val="20"/>
    </w:rPr>
  </w:style>
  <w:style w:type="paragraph" w:styleId="Titre8">
    <w:name w:val="heading 8"/>
    <w:basedOn w:val="Normal"/>
    <w:next w:val="Normal"/>
    <w:link w:val="Titre8Car"/>
    <w:qFormat/>
    <w:pPr>
      <w:spacing w:before="240" w:after="60"/>
      <w:outlineLvl w:val="7"/>
    </w:pPr>
    <w:rPr>
      <w:i/>
      <w:sz w:val="20"/>
    </w:rPr>
  </w:style>
  <w:style w:type="paragraph" w:styleId="Titre9">
    <w:name w:val="heading 9"/>
    <w:basedOn w:val="Normal"/>
    <w:next w:val="Normal"/>
    <w:link w:val="Titre9Car"/>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basedOn w:val="Normal"/>
    <w:link w:val="NotedebasdepageCar"/>
    <w:uiPriority w:val="99"/>
    <w:semiHidden/>
    <w:qFormat/>
    <w:pPr>
      <w:spacing w:line="240" w:lineRule="auto"/>
      <w:ind w:left="360" w:hanging="360"/>
      <w:jc w:val="both"/>
    </w:pPr>
    <w:rPr>
      <w:sz w:val="20"/>
    </w:rPr>
  </w:style>
  <w:style w:type="paragraph" w:styleId="Notedefin">
    <w:name w:val="endnote text"/>
    <w:basedOn w:val="Normal"/>
    <w:link w:val="NotedefinCar"/>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link w:val="En-tteCar"/>
    <w:semiHidden/>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link w:val="Corpsdetexte3Car"/>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Titre1Car">
    <w:name w:val="Titre 1 Car"/>
    <w:basedOn w:val="Policepardfaut"/>
    <w:link w:val="Titre1"/>
    <w:rsid w:val="00EA3CC3"/>
    <w:rPr>
      <w:rFonts w:ascii="Arial" w:hAnsi="Arial"/>
      <w:b/>
      <w:kern w:val="28"/>
      <w:sz w:val="24"/>
      <w:lang w:eastAsia="fr-FR"/>
    </w:rPr>
  </w:style>
  <w:style w:type="character" w:customStyle="1" w:styleId="Titre2Car">
    <w:name w:val="Titre 2 Car"/>
    <w:basedOn w:val="Policepardfaut"/>
    <w:link w:val="Titre2"/>
    <w:rsid w:val="006950A4"/>
    <w:rPr>
      <w:rFonts w:ascii="Arial" w:hAnsi="Arial"/>
      <w:b/>
      <w:i/>
      <w:sz w:val="24"/>
      <w:lang w:eastAsia="fr-FR"/>
    </w:rPr>
  </w:style>
  <w:style w:type="character" w:customStyle="1" w:styleId="Titre3Car">
    <w:name w:val="Titre 3 Car"/>
    <w:basedOn w:val="Policepardfaut"/>
    <w:link w:val="Titre3"/>
    <w:rsid w:val="006950A4"/>
    <w:rPr>
      <w:rFonts w:ascii="Arial" w:hAnsi="Arial"/>
      <w:sz w:val="24"/>
      <w:lang w:eastAsia="fr-FR"/>
    </w:rPr>
  </w:style>
  <w:style w:type="character" w:customStyle="1" w:styleId="Titre4Car">
    <w:name w:val="Titre 4 Car"/>
    <w:basedOn w:val="Policepardfaut"/>
    <w:link w:val="Titre4"/>
    <w:rsid w:val="006950A4"/>
    <w:rPr>
      <w:rFonts w:ascii="Arial" w:hAnsi="Arial"/>
      <w:b/>
      <w:sz w:val="24"/>
      <w:lang w:eastAsia="fr-FR"/>
    </w:rPr>
  </w:style>
  <w:style w:type="character" w:customStyle="1" w:styleId="Titre5Car">
    <w:name w:val="Titre 5 Car"/>
    <w:basedOn w:val="Policepardfaut"/>
    <w:link w:val="Titre5"/>
    <w:rsid w:val="006950A4"/>
    <w:rPr>
      <w:rFonts w:ascii="Arial" w:hAnsi="Arial"/>
      <w:sz w:val="22"/>
      <w:lang w:eastAsia="fr-FR"/>
    </w:rPr>
  </w:style>
  <w:style w:type="character" w:customStyle="1" w:styleId="Titre6Car">
    <w:name w:val="Titre 6 Car"/>
    <w:basedOn w:val="Policepardfaut"/>
    <w:link w:val="Titre6"/>
    <w:rsid w:val="006950A4"/>
    <w:rPr>
      <w:rFonts w:ascii="Arial" w:hAnsi="Arial"/>
      <w:i/>
      <w:sz w:val="22"/>
      <w:lang w:eastAsia="fr-FR"/>
    </w:rPr>
  </w:style>
  <w:style w:type="character" w:customStyle="1" w:styleId="Titre7Car">
    <w:name w:val="Titre 7 Car"/>
    <w:basedOn w:val="Policepardfaut"/>
    <w:link w:val="Titre7"/>
    <w:rsid w:val="006950A4"/>
    <w:rPr>
      <w:rFonts w:ascii="Arial" w:hAnsi="Arial"/>
      <w:lang w:eastAsia="fr-FR"/>
    </w:rPr>
  </w:style>
  <w:style w:type="character" w:customStyle="1" w:styleId="Titre8Car">
    <w:name w:val="Titre 8 Car"/>
    <w:basedOn w:val="Policepardfaut"/>
    <w:link w:val="Titre8"/>
    <w:rsid w:val="006950A4"/>
    <w:rPr>
      <w:rFonts w:ascii="Arial" w:hAnsi="Arial"/>
      <w:i/>
      <w:lang w:eastAsia="fr-FR"/>
    </w:rPr>
  </w:style>
  <w:style w:type="character" w:customStyle="1" w:styleId="Titre9Car">
    <w:name w:val="Titre 9 Car"/>
    <w:basedOn w:val="Policepardfaut"/>
    <w:link w:val="Titre9"/>
    <w:rsid w:val="006950A4"/>
    <w:rPr>
      <w:rFonts w:ascii="Arial" w:hAnsi="Arial"/>
      <w:b/>
      <w:i/>
      <w:sz w:val="18"/>
      <w:lang w:eastAsia="fr-FR"/>
    </w:rPr>
  </w:style>
  <w:style w:type="character" w:customStyle="1" w:styleId="CorpsdetexteCar">
    <w:name w:val="Corps de texte Car"/>
    <w:basedOn w:val="Policepardfaut"/>
    <w:link w:val="Corpsdetexte"/>
    <w:semiHidden/>
    <w:rsid w:val="006950A4"/>
    <w:rPr>
      <w:rFonts w:ascii="Arial" w:hAnsi="Arial"/>
      <w:sz w:val="24"/>
      <w:lang w:eastAsia="fr-FR"/>
    </w:rPr>
  </w:style>
  <w:style w:type="character" w:customStyle="1" w:styleId="NotedebasdepageCar">
    <w:name w:val="Note de bas de page Car"/>
    <w:basedOn w:val="Policepardfaut"/>
    <w:link w:val="Notedebasdepage"/>
    <w:uiPriority w:val="99"/>
    <w:semiHidden/>
    <w:rsid w:val="006950A4"/>
    <w:rPr>
      <w:rFonts w:ascii="Arial" w:hAnsi="Arial"/>
      <w:lang w:eastAsia="fr-FR"/>
    </w:rPr>
  </w:style>
  <w:style w:type="character" w:customStyle="1" w:styleId="NotedefinCar">
    <w:name w:val="Note de fin Car"/>
    <w:basedOn w:val="Policepardfaut"/>
    <w:link w:val="Notedefin"/>
    <w:semiHidden/>
    <w:rsid w:val="006950A4"/>
    <w:rPr>
      <w:rFonts w:ascii="Arial" w:hAnsi="Arial"/>
      <w:lang w:eastAsia="fr-FR"/>
    </w:rPr>
  </w:style>
  <w:style w:type="character" w:customStyle="1" w:styleId="En-tteCar">
    <w:name w:val="En-tête Car"/>
    <w:basedOn w:val="Policepardfaut"/>
    <w:link w:val="En-tte"/>
    <w:semiHidden/>
    <w:rsid w:val="006950A4"/>
    <w:rPr>
      <w:rFonts w:ascii="Arial" w:hAnsi="Arial"/>
      <w:sz w:val="24"/>
      <w:lang w:eastAsia="fr-FR"/>
    </w:rPr>
  </w:style>
  <w:style w:type="character" w:customStyle="1" w:styleId="PieddepageCar">
    <w:name w:val="Pied de page Car"/>
    <w:basedOn w:val="Policepardfaut"/>
    <w:link w:val="Pieddepage"/>
    <w:semiHidden/>
    <w:rsid w:val="006950A4"/>
    <w:rPr>
      <w:rFonts w:ascii="Arial" w:hAnsi="Arial"/>
      <w:sz w:val="24"/>
      <w:lang w:eastAsia="fr-FR"/>
    </w:rPr>
  </w:style>
  <w:style w:type="character" w:customStyle="1" w:styleId="Corpsdetexte3Car">
    <w:name w:val="Corps de texte 3 Car"/>
    <w:basedOn w:val="Policepardfaut"/>
    <w:link w:val="Corpsdetexte3"/>
    <w:semiHidden/>
    <w:rsid w:val="006950A4"/>
    <w:rPr>
      <w:rFonts w:ascii="Arial" w:hAnsi="Arial"/>
      <w:sz w:val="16"/>
      <w:lang w:eastAsia="fr-FR"/>
    </w:rPr>
  </w:style>
  <w:style w:type="character" w:styleId="Lienhypertexte">
    <w:name w:val="Hyperlink"/>
    <w:basedOn w:val="Policepardfaut"/>
    <w:uiPriority w:val="99"/>
    <w:unhideWhenUsed/>
    <w:rsid w:val="006950A4"/>
    <w:rPr>
      <w:color w:val="0563C1" w:themeColor="hyperlink"/>
      <w:u w:val="single"/>
    </w:rPr>
  </w:style>
  <w:style w:type="paragraph" w:customStyle="1" w:styleId="Corps">
    <w:name w:val="Corps"/>
    <w:rsid w:val="006950A4"/>
    <w:rPr>
      <w:rFonts w:ascii="Helvetica Neue" w:eastAsia="Arial Unicode MS" w:hAnsi="Helvetica Neue" w:cs="Arial Unicode MS"/>
      <w:color w:val="000000"/>
      <w:sz w:val="22"/>
      <w:szCs w:val="22"/>
      <w:lang w:val="fr-FR"/>
      <w14:textOutline w14:w="0" w14:cap="flat" w14:cmpd="sng" w14:algn="ctr">
        <w14:noFill/>
        <w14:prstDash w14:val="solid"/>
        <w14:bevel/>
      </w14:textOutline>
    </w:rPr>
  </w:style>
  <w:style w:type="paragraph" w:customStyle="1" w:styleId="Pardfaut">
    <w:name w:val="Par défaut"/>
    <w:rsid w:val="006950A4"/>
    <w:pPr>
      <w:spacing w:before="16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character" w:customStyle="1" w:styleId="Aucun">
    <w:name w:val="Aucun"/>
    <w:rsid w:val="006950A4"/>
    <w:rPr>
      <w:lang w:val="fr-FR"/>
    </w:rPr>
  </w:style>
  <w:style w:type="character" w:customStyle="1" w:styleId="Hyperlink0">
    <w:name w:val="Hyperlink.0"/>
    <w:basedOn w:val="Aucun"/>
    <w:rsid w:val="006950A4"/>
    <w:rPr>
      <w:outline w:val="0"/>
      <w:shadow w:val="0"/>
      <w:emboss w:val="0"/>
      <w:imprint w:val="0"/>
      <w:color w:val="000000"/>
      <w:shd w:val="clear" w:color="auto" w:fill="FEFFFE"/>
      <w:lang w:val="fr-FR"/>
    </w:rPr>
  </w:style>
  <w:style w:type="character" w:customStyle="1" w:styleId="Hyperlink1">
    <w:name w:val="Hyperlink.1"/>
    <w:basedOn w:val="Aucun"/>
    <w:rsid w:val="006950A4"/>
    <w:rPr>
      <w:outline w:val="0"/>
      <w:shadow w:val="0"/>
      <w:emboss w:val="0"/>
      <w:imprint w:val="0"/>
      <w:color w:val="000000"/>
      <w:shd w:val="clear" w:color="auto" w:fill="467085"/>
      <w:lang w:val="fr-FR"/>
    </w:rPr>
  </w:style>
  <w:style w:type="character" w:customStyle="1" w:styleId="Hyperlink2">
    <w:name w:val="Hyperlink.2"/>
    <w:basedOn w:val="Aucun"/>
    <w:rsid w:val="006950A4"/>
    <w:rPr>
      <w:outline w:val="0"/>
      <w:shadow w:val="0"/>
      <w:emboss w:val="0"/>
      <w:imprint w:val="0"/>
      <w:color w:val="000000"/>
      <w:lang w:val="fr-FR"/>
    </w:rPr>
  </w:style>
  <w:style w:type="character" w:customStyle="1" w:styleId="ParagrapheCar">
    <w:name w:val="Paragraphe Car"/>
    <w:link w:val="Paragraphe"/>
    <w:qFormat/>
    <w:locked/>
    <w:rsid w:val="006950A4"/>
    <w:rPr>
      <w:rFonts w:ascii="Arial" w:hAnsi="Arial"/>
      <w:kern w:val="28"/>
      <w:sz w:val="24"/>
      <w:lang w:eastAsia="fr-FR"/>
    </w:rPr>
  </w:style>
  <w:style w:type="paragraph" w:styleId="Paragraphedeliste">
    <w:name w:val="List Paragraph"/>
    <w:basedOn w:val="Normal"/>
    <w:uiPriority w:val="34"/>
    <w:qFormat/>
    <w:rsid w:val="006950A4"/>
    <w:pPr>
      <w:ind w:left="720"/>
      <w:contextualSpacing/>
    </w:pPr>
  </w:style>
  <w:style w:type="paragraph" w:customStyle="1" w:styleId="paranondepar-altn">
    <w:name w:val="paranondepar-altn"/>
    <w:basedOn w:val="Normal"/>
    <w:rsid w:val="006950A4"/>
    <w:pPr>
      <w:spacing w:before="100" w:beforeAutospacing="1" w:after="100" w:afterAutospacing="1" w:line="240" w:lineRule="auto"/>
    </w:pPr>
    <w:rPr>
      <w:rFonts w:ascii="Times New Roman" w:hAnsi="Times New Roman"/>
      <w:szCs w:val="24"/>
      <w:lang w:eastAsia="fr-CA"/>
    </w:rPr>
  </w:style>
  <w:style w:type="paragraph" w:customStyle="1" w:styleId="paragrdouble">
    <w:name w:val="paragrdouble"/>
    <w:basedOn w:val="Normal"/>
    <w:rsid w:val="006950A4"/>
    <w:pPr>
      <w:spacing w:before="100" w:beforeAutospacing="1" w:after="100" w:afterAutospacing="1" w:line="240" w:lineRule="auto"/>
    </w:pPr>
    <w:rPr>
      <w:rFonts w:ascii="Times New Roman" w:hAnsi="Times New Roman"/>
      <w:szCs w:val="24"/>
      <w:lang w:eastAsia="fr-CA"/>
    </w:rPr>
  </w:style>
  <w:style w:type="character" w:customStyle="1" w:styleId="reflex2-link">
    <w:name w:val="reflex2-link"/>
    <w:basedOn w:val="Policepardfaut"/>
    <w:rsid w:val="006950A4"/>
  </w:style>
  <w:style w:type="paragraph" w:styleId="Commentaire">
    <w:name w:val="annotation text"/>
    <w:basedOn w:val="Normal"/>
    <w:link w:val="CommentaireCar"/>
    <w:uiPriority w:val="99"/>
    <w:semiHidden/>
    <w:unhideWhenUsed/>
    <w:rsid w:val="006950A4"/>
    <w:pPr>
      <w:spacing w:line="240" w:lineRule="auto"/>
    </w:pPr>
    <w:rPr>
      <w:sz w:val="20"/>
    </w:rPr>
  </w:style>
  <w:style w:type="character" w:customStyle="1" w:styleId="CommentaireCar">
    <w:name w:val="Commentaire Car"/>
    <w:basedOn w:val="Policepardfaut"/>
    <w:link w:val="Commentaire"/>
    <w:uiPriority w:val="99"/>
    <w:semiHidden/>
    <w:rsid w:val="006950A4"/>
    <w:rPr>
      <w:rFonts w:ascii="Arial" w:hAnsi="Arial"/>
      <w:lang w:eastAsia="fr-FR"/>
    </w:rPr>
  </w:style>
  <w:style w:type="character" w:styleId="Marquedecommentaire">
    <w:name w:val="annotation reference"/>
    <w:basedOn w:val="Policepardfaut"/>
    <w:uiPriority w:val="99"/>
    <w:semiHidden/>
    <w:unhideWhenUsed/>
    <w:rsid w:val="006950A4"/>
    <w:rPr>
      <w:sz w:val="16"/>
      <w:szCs w:val="16"/>
    </w:rPr>
  </w:style>
  <w:style w:type="paragraph" w:styleId="Objetducommentaire">
    <w:name w:val="annotation subject"/>
    <w:basedOn w:val="Commentaire"/>
    <w:next w:val="Commentaire"/>
    <w:link w:val="ObjetducommentaireCar"/>
    <w:uiPriority w:val="99"/>
    <w:semiHidden/>
    <w:unhideWhenUsed/>
    <w:rsid w:val="006950A4"/>
    <w:rPr>
      <w:b/>
      <w:bCs/>
    </w:rPr>
  </w:style>
  <w:style w:type="character" w:customStyle="1" w:styleId="ObjetducommentaireCar">
    <w:name w:val="Objet du commentaire Car"/>
    <w:basedOn w:val="CommentaireCar"/>
    <w:link w:val="Objetducommentaire"/>
    <w:uiPriority w:val="99"/>
    <w:semiHidden/>
    <w:rsid w:val="006950A4"/>
    <w:rPr>
      <w:rFonts w:ascii="Arial" w:hAnsi="Arial"/>
      <w:b/>
      <w:bCs/>
      <w:lang w:eastAsia="fr-FR"/>
    </w:rPr>
  </w:style>
  <w:style w:type="paragraph" w:customStyle="1" w:styleId="section">
    <w:name w:val="section"/>
    <w:basedOn w:val="Normal"/>
    <w:rsid w:val="006950A4"/>
    <w:pPr>
      <w:spacing w:before="100" w:beforeAutospacing="1" w:after="100" w:afterAutospacing="1" w:line="240" w:lineRule="auto"/>
    </w:pPr>
    <w:rPr>
      <w:rFonts w:ascii="Times New Roman" w:hAnsi="Times New Roman"/>
      <w:szCs w:val="24"/>
      <w:lang w:eastAsia="fr-CA"/>
    </w:rPr>
  </w:style>
  <w:style w:type="paragraph" w:customStyle="1" w:styleId="paragraph">
    <w:name w:val="paragraph"/>
    <w:basedOn w:val="Normal"/>
    <w:rsid w:val="006950A4"/>
    <w:pPr>
      <w:spacing w:before="100" w:beforeAutospacing="1" w:after="100" w:afterAutospacing="1" w:line="240" w:lineRule="auto"/>
    </w:pPr>
    <w:rPr>
      <w:rFonts w:ascii="Times New Roman" w:hAnsi="Times New Roman"/>
      <w:szCs w:val="24"/>
      <w:lang w:eastAsia="fr-CA"/>
    </w:rPr>
  </w:style>
  <w:style w:type="character" w:customStyle="1" w:styleId="lawlabel">
    <w:name w:val="lawlabel"/>
    <w:basedOn w:val="Policepardfaut"/>
    <w:rsid w:val="006950A4"/>
  </w:style>
  <w:style w:type="paragraph" w:styleId="En-ttedetabledesmatires">
    <w:name w:val="TOC Heading"/>
    <w:basedOn w:val="Titre1"/>
    <w:next w:val="Normal"/>
    <w:uiPriority w:val="39"/>
    <w:unhideWhenUsed/>
    <w:qFormat/>
    <w:rsid w:val="006950A4"/>
    <w:pPr>
      <w:keepLines/>
      <w:spacing w:after="0" w:line="259" w:lineRule="auto"/>
      <w:ind w:left="709" w:hanging="709"/>
      <w:outlineLvl w:val="9"/>
    </w:pPr>
    <w:rPr>
      <w:rFonts w:asciiTheme="majorHAnsi" w:eastAsiaTheme="majorEastAsia" w:hAnsiTheme="majorHAnsi" w:cstheme="majorBidi"/>
      <w:b w:val="0"/>
      <w:color w:val="2E74B5" w:themeColor="accent1" w:themeShade="BF"/>
      <w:kern w:val="0"/>
      <w:sz w:val="32"/>
      <w:szCs w:val="32"/>
      <w:lang w:eastAsia="fr-CA"/>
    </w:rPr>
  </w:style>
  <w:style w:type="paragraph" w:styleId="TM1">
    <w:name w:val="toc 1"/>
    <w:basedOn w:val="Normal"/>
    <w:next w:val="Normal"/>
    <w:autoRedefine/>
    <w:uiPriority w:val="39"/>
    <w:unhideWhenUsed/>
    <w:rsid w:val="001A076A"/>
    <w:pPr>
      <w:tabs>
        <w:tab w:val="left" w:pos="709"/>
        <w:tab w:val="right" w:leader="dot" w:pos="9352"/>
      </w:tabs>
      <w:spacing w:before="240" w:after="120"/>
      <w:ind w:left="709" w:hanging="709"/>
    </w:pPr>
    <w:rPr>
      <w:b/>
      <w:noProof/>
    </w:rPr>
  </w:style>
  <w:style w:type="paragraph" w:styleId="TM2">
    <w:name w:val="toc 2"/>
    <w:basedOn w:val="Normal"/>
    <w:next w:val="Normal"/>
    <w:autoRedefine/>
    <w:uiPriority w:val="39"/>
    <w:unhideWhenUsed/>
    <w:rsid w:val="00EA3CC3"/>
    <w:pPr>
      <w:tabs>
        <w:tab w:val="left" w:pos="1134"/>
        <w:tab w:val="right" w:leader="dot" w:pos="9352"/>
      </w:tabs>
      <w:spacing w:after="100"/>
      <w:ind w:left="1134" w:hanging="425"/>
    </w:pPr>
    <w:rPr>
      <w:noProof/>
      <w:sz w:val="22"/>
      <w:szCs w:val="22"/>
    </w:rPr>
  </w:style>
  <w:style w:type="paragraph" w:customStyle="1" w:styleId="subsection">
    <w:name w:val="subsection"/>
    <w:basedOn w:val="Normal"/>
    <w:rsid w:val="006950A4"/>
    <w:pPr>
      <w:spacing w:before="100" w:beforeAutospacing="1" w:after="100" w:afterAutospacing="1" w:line="240" w:lineRule="auto"/>
    </w:pPr>
    <w:rPr>
      <w:rFonts w:ascii="Times New Roman" w:hAnsi="Times New Roman"/>
      <w:szCs w:val="24"/>
      <w:lang w:eastAsia="fr-CA"/>
    </w:rPr>
  </w:style>
  <w:style w:type="character" w:styleId="Lienhypertextesuivivisit">
    <w:name w:val="FollowedHyperlink"/>
    <w:basedOn w:val="Policepardfaut"/>
    <w:uiPriority w:val="99"/>
    <w:semiHidden/>
    <w:unhideWhenUsed/>
    <w:rsid w:val="00364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7575">
      <w:bodyDiv w:val="1"/>
      <w:marLeft w:val="0"/>
      <w:marRight w:val="0"/>
      <w:marTop w:val="0"/>
      <w:marBottom w:val="0"/>
      <w:divBdr>
        <w:top w:val="none" w:sz="0" w:space="0" w:color="auto"/>
        <w:left w:val="none" w:sz="0" w:space="0" w:color="auto"/>
        <w:bottom w:val="none" w:sz="0" w:space="0" w:color="auto"/>
        <w:right w:val="none" w:sz="0" w:space="0" w:color="auto"/>
      </w:divBdr>
    </w:div>
    <w:div w:id="967665488">
      <w:bodyDiv w:val="1"/>
      <w:marLeft w:val="0"/>
      <w:marRight w:val="0"/>
      <w:marTop w:val="0"/>
      <w:marBottom w:val="0"/>
      <w:divBdr>
        <w:top w:val="none" w:sz="0" w:space="0" w:color="auto"/>
        <w:left w:val="none" w:sz="0" w:space="0" w:color="auto"/>
        <w:bottom w:val="none" w:sz="0" w:space="0" w:color="auto"/>
        <w:right w:val="none" w:sz="0" w:space="0" w:color="auto"/>
      </w:divBdr>
    </w:div>
    <w:div w:id="1520585694">
      <w:bodyDiv w:val="1"/>
      <w:marLeft w:val="0"/>
      <w:marRight w:val="0"/>
      <w:marTop w:val="0"/>
      <w:marBottom w:val="0"/>
      <w:divBdr>
        <w:top w:val="none" w:sz="0" w:space="0" w:color="auto"/>
        <w:left w:val="none" w:sz="0" w:space="0" w:color="auto"/>
        <w:bottom w:val="none" w:sz="0" w:space="0" w:color="auto"/>
        <w:right w:val="none" w:sz="0" w:space="0" w:color="auto"/>
      </w:divBdr>
    </w:div>
    <w:div w:id="1595548742">
      <w:bodyDiv w:val="1"/>
      <w:marLeft w:val="0"/>
      <w:marRight w:val="0"/>
      <w:marTop w:val="0"/>
      <w:marBottom w:val="0"/>
      <w:divBdr>
        <w:top w:val="none" w:sz="0" w:space="0" w:color="auto"/>
        <w:left w:val="none" w:sz="0" w:space="0" w:color="auto"/>
        <w:bottom w:val="none" w:sz="0" w:space="0" w:color="auto"/>
        <w:right w:val="none" w:sz="0" w:space="0" w:color="auto"/>
      </w:divBdr>
    </w:div>
    <w:div w:id="1951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C223-0A11-4CCC-8990-91E34C37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10043</Words>
  <Characters>53832</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63748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Christine Gauguin</dc:creator>
  <cp:lastModifiedBy>trad-rev</cp:lastModifiedBy>
  <cp:revision>2</cp:revision>
  <cp:lastPrinted>2021-11-11T19:18:00Z</cp:lastPrinted>
  <dcterms:created xsi:type="dcterms:W3CDTF">2022-09-06T13:03:00Z</dcterms:created>
  <dcterms:modified xsi:type="dcterms:W3CDTF">2022-09-06T13:03:00Z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