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5C859" w14:textId="673514B0" w:rsidR="00D9147E" w:rsidRPr="006A5977" w:rsidRDefault="00D9147E">
      <w:pPr>
        <w:rPr>
          <w:b/>
          <w:lang w:val="en-CA"/>
        </w:rPr>
      </w:pPr>
      <w:r w:rsidRPr="006A5977">
        <w:rPr>
          <w:b/>
          <w:lang w:val="en-CA"/>
        </w:rPr>
        <w:t>Unofficial English translation of the Judgment of the Court</w:t>
      </w:r>
    </w:p>
    <w:p w14:paraId="154E5DF4" w14:textId="77777777" w:rsidR="00D9147E" w:rsidRPr="00D9147E" w:rsidRDefault="00D9147E">
      <w:pPr>
        <w:rPr>
          <w:lang w:val="en-CA"/>
        </w:rPr>
      </w:pP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6E6F6E" w14:paraId="017FFA96" w14:textId="77777777" w:rsidTr="00D9147E">
        <w:trPr>
          <w:trHeight w:val="248"/>
        </w:trPr>
        <w:tc>
          <w:tcPr>
            <w:tcW w:w="7372" w:type="dxa"/>
            <w:gridSpan w:val="5"/>
          </w:tcPr>
          <w:p w14:paraId="10A82FEF" w14:textId="77777777" w:rsidR="00D9147E" w:rsidRPr="00E44A1E" w:rsidRDefault="005F7CDE" w:rsidP="00D9147E">
            <w:pPr>
              <w:pStyle w:val="zSoquijdatRepertorie"/>
              <w:rPr>
                <w:rFonts w:cs="Arial"/>
              </w:rPr>
            </w:pPr>
            <w:r w:rsidRPr="00E44A1E">
              <w:rPr>
                <w:rFonts w:cs="Arial"/>
              </w:rPr>
              <w:t>Baril c. Woods</w:t>
            </w:r>
          </w:p>
        </w:tc>
        <w:tc>
          <w:tcPr>
            <w:tcW w:w="1988" w:type="dxa"/>
          </w:tcPr>
          <w:p w14:paraId="1F43A790" w14:textId="77777777" w:rsidR="00D9147E" w:rsidRPr="00E44A1E" w:rsidRDefault="005F7CDE" w:rsidP="00D9147E">
            <w:pPr>
              <w:pStyle w:val="zSoquijdatRefNeutre"/>
              <w:jc w:val="right"/>
              <w:rPr>
                <w:rFonts w:cs="Arial"/>
              </w:rPr>
            </w:pPr>
            <w:r w:rsidRPr="00E44A1E">
              <w:rPr>
                <w:rFonts w:cs="Arial"/>
              </w:rPr>
              <w:t>2022 QCCA 277</w:t>
            </w:r>
          </w:p>
        </w:tc>
      </w:tr>
      <w:tr w:rsidR="006E6F6E" w14:paraId="5CDA541B" w14:textId="77777777" w:rsidTr="00D9147E">
        <w:trPr>
          <w:trHeight w:val="247"/>
        </w:trPr>
        <w:tc>
          <w:tcPr>
            <w:tcW w:w="9360" w:type="dxa"/>
            <w:gridSpan w:val="6"/>
          </w:tcPr>
          <w:p w14:paraId="25BCF39B" w14:textId="77777777" w:rsidR="00D9147E" w:rsidRPr="00E44A1E" w:rsidRDefault="005F7CDE">
            <w:pPr>
              <w:pStyle w:val="zSoquijlblCour"/>
            </w:pPr>
            <w:r w:rsidRPr="00E44A1E">
              <w:t>COURT OF APPEAL</w:t>
            </w:r>
          </w:p>
        </w:tc>
      </w:tr>
      <w:tr w:rsidR="006E6F6E" w14:paraId="35C98619" w14:textId="77777777" w:rsidTr="00D9147E">
        <w:trPr>
          <w:trHeight w:val="540"/>
        </w:trPr>
        <w:tc>
          <w:tcPr>
            <w:tcW w:w="9360" w:type="dxa"/>
            <w:gridSpan w:val="6"/>
          </w:tcPr>
          <w:p w14:paraId="3ED96A23" w14:textId="77777777" w:rsidR="00D9147E" w:rsidRDefault="00D9147E">
            <w:pPr>
              <w:pStyle w:val="zSoquijdatDivision"/>
            </w:pPr>
            <w:bookmarkStart w:id="0" w:name="_GoBack"/>
            <w:bookmarkEnd w:id="0"/>
          </w:p>
        </w:tc>
      </w:tr>
      <w:tr w:rsidR="006E6F6E" w14:paraId="6514D037" w14:textId="77777777" w:rsidTr="00D9147E">
        <w:tc>
          <w:tcPr>
            <w:tcW w:w="9360" w:type="dxa"/>
            <w:gridSpan w:val="6"/>
          </w:tcPr>
          <w:p w14:paraId="0F2A4E91" w14:textId="77777777" w:rsidR="00D9147E" w:rsidRPr="00E44A1E" w:rsidRDefault="005F7CDE">
            <w:pPr>
              <w:pStyle w:val="zSoquijlblPays"/>
            </w:pPr>
            <w:r w:rsidRPr="00E44A1E">
              <w:t>CANADA</w:t>
            </w:r>
          </w:p>
        </w:tc>
      </w:tr>
      <w:tr w:rsidR="006E6F6E" w14:paraId="7E54F2E3" w14:textId="77777777" w:rsidTr="00D9147E">
        <w:tc>
          <w:tcPr>
            <w:tcW w:w="9360" w:type="dxa"/>
            <w:gridSpan w:val="6"/>
          </w:tcPr>
          <w:p w14:paraId="6A84A904" w14:textId="77777777" w:rsidR="00D9147E" w:rsidRPr="00E44A1E" w:rsidRDefault="005F7CDE">
            <w:pPr>
              <w:pStyle w:val="zSoquijlblProvince"/>
            </w:pPr>
            <w:r w:rsidRPr="00E44A1E">
              <w:t>PROVINCE OF QUEBEC</w:t>
            </w:r>
          </w:p>
        </w:tc>
      </w:tr>
      <w:tr w:rsidR="006E6F6E" w14:paraId="3CD022D0" w14:textId="77777777" w:rsidTr="008A0FA2">
        <w:tc>
          <w:tcPr>
            <w:tcW w:w="1701" w:type="dxa"/>
            <w:gridSpan w:val="3"/>
          </w:tcPr>
          <w:p w14:paraId="1BF6F903" w14:textId="77777777" w:rsidR="00D9147E" w:rsidRPr="00E44A1E" w:rsidRDefault="005F7CDE">
            <w:pPr>
              <w:pStyle w:val="zSoquijlblGreffe"/>
            </w:pPr>
            <w:r w:rsidRPr="00E44A1E">
              <w:t>REGISTRY OF</w:t>
            </w:r>
          </w:p>
          <w:p w14:paraId="6CBB9605" w14:textId="77777777" w:rsidR="00D9147E" w:rsidRDefault="00D9147E">
            <w:pPr>
              <w:pStyle w:val="zSoquijlblGreffe"/>
            </w:pPr>
          </w:p>
        </w:tc>
        <w:tc>
          <w:tcPr>
            <w:tcW w:w="7659" w:type="dxa"/>
            <w:gridSpan w:val="3"/>
          </w:tcPr>
          <w:p w14:paraId="737724EA" w14:textId="77777777" w:rsidR="00D9147E" w:rsidRPr="00E44A1E" w:rsidRDefault="005F7CDE">
            <w:pPr>
              <w:pStyle w:val="zSoquijdatGreffe"/>
            </w:pPr>
            <w:r w:rsidRPr="00E44A1E">
              <w:t>MONTREAL</w:t>
            </w:r>
          </w:p>
        </w:tc>
      </w:tr>
      <w:tr w:rsidR="006E6F6E" w14:paraId="5B8E890E" w14:textId="77777777" w:rsidTr="00D9147E">
        <w:tc>
          <w:tcPr>
            <w:tcW w:w="1030" w:type="dxa"/>
          </w:tcPr>
          <w:p w14:paraId="17D45E81" w14:textId="77777777" w:rsidR="00D9147E" w:rsidRPr="00E44A1E" w:rsidRDefault="005F7CDE">
            <w:pPr>
              <w:pStyle w:val="zSoquijlblNoDossier"/>
            </w:pPr>
            <w:r w:rsidRPr="00E44A1E">
              <w:t>No.:</w:t>
            </w:r>
          </w:p>
        </w:tc>
        <w:tc>
          <w:tcPr>
            <w:tcW w:w="8330" w:type="dxa"/>
            <w:gridSpan w:val="5"/>
          </w:tcPr>
          <w:p w14:paraId="493A45A4" w14:textId="77777777" w:rsidR="00D9147E" w:rsidRDefault="00D9147E">
            <w:pPr>
              <w:pStyle w:val="zSoquijdatNoDossier"/>
            </w:pPr>
            <w:bookmarkStart w:id="1" w:name="NoDossier"/>
            <w:r>
              <w:t>500-09-700039-217</w:t>
            </w:r>
            <w:bookmarkEnd w:id="1"/>
          </w:p>
        </w:tc>
      </w:tr>
      <w:tr w:rsidR="006E6F6E" w14:paraId="7FEE8A5B" w14:textId="77777777" w:rsidTr="00D9147E">
        <w:tc>
          <w:tcPr>
            <w:tcW w:w="9360" w:type="dxa"/>
            <w:gridSpan w:val="6"/>
          </w:tcPr>
          <w:p w14:paraId="062CCE2F" w14:textId="77777777" w:rsidR="00D9147E" w:rsidRDefault="00D9147E" w:rsidP="00D9147E">
            <w:pPr>
              <w:pStyle w:val="zSoquijdatNoDossierAnt"/>
            </w:pPr>
            <w:r>
              <w:t>(500-11-057716-199)</w:t>
            </w:r>
          </w:p>
        </w:tc>
      </w:tr>
      <w:tr w:rsidR="006E6F6E" w14:paraId="6C9E0799" w14:textId="77777777" w:rsidTr="00D9147E">
        <w:tc>
          <w:tcPr>
            <w:tcW w:w="9360" w:type="dxa"/>
            <w:gridSpan w:val="6"/>
          </w:tcPr>
          <w:p w14:paraId="7D3EC87B" w14:textId="77777777" w:rsidR="00D9147E" w:rsidRDefault="00D9147E"/>
        </w:tc>
      </w:tr>
      <w:tr w:rsidR="006E6F6E" w14:paraId="45B7666E" w14:textId="77777777" w:rsidTr="00D9147E">
        <w:tc>
          <w:tcPr>
            <w:tcW w:w="1030" w:type="dxa"/>
          </w:tcPr>
          <w:p w14:paraId="05966E99" w14:textId="77777777" w:rsidR="00D9147E" w:rsidRPr="00E44A1E" w:rsidRDefault="005F7CDE">
            <w:pPr>
              <w:pStyle w:val="zSoquijlblDateJugement"/>
            </w:pPr>
            <w:r w:rsidRPr="00E44A1E">
              <w:t>DATE:</w:t>
            </w:r>
          </w:p>
        </w:tc>
        <w:tc>
          <w:tcPr>
            <w:tcW w:w="8330" w:type="dxa"/>
            <w:gridSpan w:val="5"/>
          </w:tcPr>
          <w:p w14:paraId="771D9A5A" w14:textId="5A133045" w:rsidR="00D9147E" w:rsidRPr="00E44A1E" w:rsidRDefault="005F7CDE" w:rsidP="00D9147E">
            <w:pPr>
              <w:pStyle w:val="zSoquijdatDateJugement"/>
            </w:pPr>
            <w:proofErr w:type="spellStart"/>
            <w:r w:rsidRPr="00E44A1E">
              <w:t>February</w:t>
            </w:r>
            <w:proofErr w:type="spellEnd"/>
            <w:r w:rsidRPr="00E44A1E">
              <w:t xml:space="preserve"> 23, 2022</w:t>
            </w:r>
          </w:p>
        </w:tc>
      </w:tr>
      <w:tr w:rsidR="006E6F6E" w14:paraId="0E456F8F" w14:textId="77777777" w:rsidTr="00D9147E">
        <w:tc>
          <w:tcPr>
            <w:tcW w:w="9360" w:type="dxa"/>
            <w:gridSpan w:val="6"/>
            <w:tcBorders>
              <w:bottom w:val="single" w:sz="8" w:space="0" w:color="auto"/>
            </w:tcBorders>
          </w:tcPr>
          <w:p w14:paraId="27E16DFE" w14:textId="77777777" w:rsidR="00D9147E" w:rsidRDefault="00D9147E"/>
        </w:tc>
      </w:tr>
      <w:tr w:rsidR="006E6F6E" w14:paraId="520DF22E" w14:textId="77777777" w:rsidTr="00D9147E">
        <w:tc>
          <w:tcPr>
            <w:tcW w:w="9360" w:type="dxa"/>
            <w:gridSpan w:val="6"/>
            <w:tcBorders>
              <w:top w:val="single" w:sz="8" w:space="0" w:color="auto"/>
            </w:tcBorders>
          </w:tcPr>
          <w:p w14:paraId="18D582F7" w14:textId="77777777" w:rsidR="00D9147E" w:rsidRDefault="00D9147E"/>
        </w:tc>
      </w:tr>
      <w:tr w:rsidR="006E6F6E" w14:paraId="565A08D5" w14:textId="77777777" w:rsidTr="00D9147E">
        <w:tc>
          <w:tcPr>
            <w:tcW w:w="1620" w:type="dxa"/>
            <w:gridSpan w:val="2"/>
          </w:tcPr>
          <w:p w14:paraId="7C10AE3E" w14:textId="77777777" w:rsidR="00D9147E" w:rsidRPr="00E44A1E" w:rsidRDefault="005F7CDE" w:rsidP="00D9147E">
            <w:pPr>
              <w:pStyle w:val="zSoquijlblJuge"/>
              <w:ind w:right="-142"/>
            </w:pPr>
            <w:r w:rsidRPr="00E44A1E">
              <w:t>CORAM:</w:t>
            </w:r>
          </w:p>
        </w:tc>
        <w:tc>
          <w:tcPr>
            <w:tcW w:w="2350" w:type="dxa"/>
            <w:gridSpan w:val="2"/>
          </w:tcPr>
          <w:p w14:paraId="26F97111" w14:textId="77777777" w:rsidR="00D9147E" w:rsidRPr="00E44A1E" w:rsidRDefault="005F7CDE">
            <w:pPr>
              <w:pStyle w:val="zSoquijdatQteJuge"/>
            </w:pPr>
            <w:r w:rsidRPr="00E44A1E">
              <w:t>THE HONOURABLE</w:t>
            </w:r>
          </w:p>
        </w:tc>
        <w:tc>
          <w:tcPr>
            <w:tcW w:w="5390" w:type="dxa"/>
            <w:gridSpan w:val="2"/>
          </w:tcPr>
          <w:p w14:paraId="4A736C6C" w14:textId="77777777" w:rsidR="00D9147E" w:rsidRPr="00E44A1E" w:rsidRDefault="005F7CDE">
            <w:pPr>
              <w:pStyle w:val="zSoquijdatJuge"/>
            </w:pPr>
            <w:r w:rsidRPr="00E44A1E">
              <w:t>JACQUES J. LEVESQUE, J.A.</w:t>
            </w:r>
          </w:p>
          <w:p w14:paraId="49133D81" w14:textId="77777777" w:rsidR="00D9147E" w:rsidRPr="00E44A1E" w:rsidRDefault="005F7CDE">
            <w:pPr>
              <w:pStyle w:val="zSoquijdatJuge"/>
              <w:rPr>
                <w:lang w:val="en-CA"/>
              </w:rPr>
            </w:pPr>
            <w:r w:rsidRPr="00E44A1E">
              <w:rPr>
                <w:lang w:val="en-CA"/>
              </w:rPr>
              <w:t>BENOÎT MOORE, J.A.</w:t>
            </w:r>
          </w:p>
          <w:p w14:paraId="022B68A4" w14:textId="77777777" w:rsidR="00D9147E" w:rsidRPr="00E44A1E" w:rsidRDefault="005F7CDE" w:rsidP="00D9147E">
            <w:pPr>
              <w:pStyle w:val="zSoquijdatJuge"/>
              <w:rPr>
                <w:lang w:val="de-DE"/>
              </w:rPr>
            </w:pPr>
            <w:bookmarkStart w:id="2" w:name="_Hlt520513784"/>
            <w:bookmarkEnd w:id="2"/>
            <w:r w:rsidRPr="00E44A1E">
              <w:t>FRÉDÉRIC BACHAND, J.A.</w:t>
            </w:r>
          </w:p>
        </w:tc>
      </w:tr>
      <w:tr w:rsidR="006E6F6E" w14:paraId="604576F1" w14:textId="77777777" w:rsidTr="00D9147E">
        <w:tc>
          <w:tcPr>
            <w:tcW w:w="9360" w:type="dxa"/>
            <w:gridSpan w:val="6"/>
            <w:tcBorders>
              <w:bottom w:val="single" w:sz="8" w:space="0" w:color="auto"/>
            </w:tcBorders>
          </w:tcPr>
          <w:p w14:paraId="5711C87E" w14:textId="77777777" w:rsidR="00D9147E" w:rsidRDefault="00D9147E">
            <w:pPr>
              <w:rPr>
                <w:lang w:val="de-DE"/>
              </w:rPr>
            </w:pPr>
          </w:p>
        </w:tc>
      </w:tr>
      <w:tr w:rsidR="006E6F6E" w14:paraId="2CF463F0" w14:textId="77777777" w:rsidTr="00D9147E">
        <w:tc>
          <w:tcPr>
            <w:tcW w:w="9360" w:type="dxa"/>
            <w:gridSpan w:val="6"/>
          </w:tcPr>
          <w:p w14:paraId="63F0EE57" w14:textId="77777777" w:rsidR="00D9147E" w:rsidRDefault="00D9147E">
            <w:pPr>
              <w:pStyle w:val="zSoquijlblTitrePartie"/>
              <w:rPr>
                <w:lang w:val="de-DE"/>
              </w:rPr>
            </w:pPr>
          </w:p>
        </w:tc>
      </w:tr>
      <w:tr w:rsidR="006E6F6E" w14:paraId="195EDE10" w14:textId="77777777" w:rsidTr="00D9147E">
        <w:tc>
          <w:tcPr>
            <w:tcW w:w="9360" w:type="dxa"/>
            <w:gridSpan w:val="6"/>
          </w:tcPr>
          <w:p w14:paraId="36AAA9FB" w14:textId="77777777" w:rsidR="00D9147E" w:rsidRPr="00E44A1E" w:rsidRDefault="005F7CDE">
            <w:pPr>
              <w:pStyle w:val="zSoquijdatNomPartieDem"/>
            </w:pPr>
            <w:r w:rsidRPr="00E44A1E">
              <w:t>MICHEL BARIL</w:t>
            </w:r>
          </w:p>
          <w:p w14:paraId="4C47DA13" w14:textId="77777777" w:rsidR="00D9147E" w:rsidRPr="00E44A1E" w:rsidRDefault="005F7CDE">
            <w:pPr>
              <w:pStyle w:val="zSoquijdatNomPartieDem"/>
            </w:pPr>
            <w:r w:rsidRPr="00E44A1E">
              <w:t>FRANÇOIS BIRON</w:t>
            </w:r>
          </w:p>
          <w:p w14:paraId="7B85E736" w14:textId="77777777" w:rsidR="00D9147E" w:rsidRPr="00E44A1E" w:rsidRDefault="005F7CDE">
            <w:pPr>
              <w:pStyle w:val="zSoquijdatNomPartieDem"/>
            </w:pPr>
            <w:r w:rsidRPr="00E44A1E">
              <w:t>GUY BOURASSA</w:t>
            </w:r>
          </w:p>
          <w:p w14:paraId="5B03FA6D" w14:textId="77777777" w:rsidR="00D9147E" w:rsidRPr="00E44A1E" w:rsidRDefault="005F7CDE">
            <w:pPr>
              <w:pStyle w:val="zSoquijdatNomPartieDem"/>
            </w:pPr>
            <w:r w:rsidRPr="00E44A1E">
              <w:t>PAUL-HENRI COUTURE</w:t>
            </w:r>
          </w:p>
          <w:p w14:paraId="42AB1285" w14:textId="77777777" w:rsidR="00D9147E" w:rsidRPr="00E44A1E" w:rsidRDefault="005F7CDE">
            <w:pPr>
              <w:pStyle w:val="zSoquijdatNomPartieDem"/>
            </w:pPr>
            <w:r w:rsidRPr="00E44A1E">
              <w:t>MARC DAGENAIS</w:t>
            </w:r>
          </w:p>
          <w:p w14:paraId="37F259E0" w14:textId="77777777" w:rsidR="00D9147E" w:rsidRPr="00E44A1E" w:rsidRDefault="005F7CDE">
            <w:pPr>
              <w:pStyle w:val="zSoquijdatNomPartieDem"/>
            </w:pPr>
            <w:r w:rsidRPr="00E44A1E">
              <w:t>PATRICK GODIN</w:t>
            </w:r>
          </w:p>
          <w:p w14:paraId="676EACE1" w14:textId="77777777" w:rsidR="00D9147E" w:rsidRPr="00E44A1E" w:rsidRDefault="005F7CDE">
            <w:pPr>
              <w:pStyle w:val="zSoquijdatNomPartieDem"/>
            </w:pPr>
            <w:r w:rsidRPr="00E44A1E">
              <w:t>VANESSA LAPLANTE</w:t>
            </w:r>
          </w:p>
          <w:p w14:paraId="1BEB3105" w14:textId="77777777" w:rsidR="00D9147E" w:rsidRPr="00E44A1E" w:rsidRDefault="005F7CDE">
            <w:pPr>
              <w:pStyle w:val="zSoquijdatNomPartieDem"/>
            </w:pPr>
            <w:r w:rsidRPr="00E44A1E">
              <w:t>RENÉ LESSARD</w:t>
            </w:r>
          </w:p>
          <w:p w14:paraId="28C45B45" w14:textId="77777777" w:rsidR="00D9147E" w:rsidRPr="00E44A1E" w:rsidRDefault="005F7CDE">
            <w:pPr>
              <w:pStyle w:val="zSoquijdatNomPartieDem"/>
            </w:pPr>
            <w:r w:rsidRPr="00E44A1E">
              <w:t>JACQUES MALETTE</w:t>
            </w:r>
          </w:p>
          <w:p w14:paraId="0FEE205D" w14:textId="77777777" w:rsidR="00D9147E" w:rsidRPr="00E44A1E" w:rsidRDefault="005F7CDE">
            <w:pPr>
              <w:pStyle w:val="zSoquijdatNomPartieDem"/>
            </w:pPr>
            <w:r w:rsidRPr="00E44A1E">
              <w:t>STEVE NADEAU</w:t>
            </w:r>
          </w:p>
          <w:p w14:paraId="3D5C4F66" w14:textId="77777777" w:rsidR="00D9147E" w:rsidRPr="00E44A1E" w:rsidRDefault="005F7CDE">
            <w:pPr>
              <w:pStyle w:val="zSoquijdatNomPartieDem"/>
            </w:pPr>
            <w:r w:rsidRPr="00E44A1E">
              <w:t>LUC SÉGUIN</w:t>
            </w:r>
          </w:p>
        </w:tc>
      </w:tr>
      <w:tr w:rsidR="006E6F6E" w14:paraId="480AA4C2" w14:textId="77777777" w:rsidTr="00D9147E">
        <w:tc>
          <w:tcPr>
            <w:tcW w:w="9360" w:type="dxa"/>
            <w:gridSpan w:val="6"/>
          </w:tcPr>
          <w:p w14:paraId="6779D5C4" w14:textId="77777777" w:rsidR="00D9147E" w:rsidRPr="00E44A1E" w:rsidRDefault="005F7CDE">
            <w:pPr>
              <w:pStyle w:val="zSoquijdatQtePartieDem"/>
              <w:rPr>
                <w:lang w:val="de-DE"/>
              </w:rPr>
            </w:pPr>
            <w:r w:rsidRPr="00E44A1E">
              <w:t xml:space="preserve">APPELLANTS – </w:t>
            </w:r>
            <w:proofErr w:type="spellStart"/>
            <w:r w:rsidRPr="00E44A1E">
              <w:t>Applicants</w:t>
            </w:r>
            <w:proofErr w:type="spellEnd"/>
          </w:p>
        </w:tc>
      </w:tr>
      <w:tr w:rsidR="006E6F6E" w14:paraId="786BC4DF" w14:textId="77777777" w:rsidTr="00D9147E">
        <w:tc>
          <w:tcPr>
            <w:tcW w:w="9360" w:type="dxa"/>
            <w:gridSpan w:val="6"/>
          </w:tcPr>
          <w:p w14:paraId="5B5F772C" w14:textId="77777777" w:rsidR="00D9147E" w:rsidRPr="00E44A1E" w:rsidRDefault="005F7CDE">
            <w:pPr>
              <w:pStyle w:val="zSoquijlblLienParties"/>
              <w:rPr>
                <w:lang w:val="en-CA"/>
              </w:rPr>
            </w:pPr>
            <w:r w:rsidRPr="00E44A1E">
              <w:rPr>
                <w:lang w:val="en-CA"/>
              </w:rPr>
              <w:t>v.</w:t>
            </w:r>
          </w:p>
        </w:tc>
      </w:tr>
      <w:tr w:rsidR="006E6F6E" w14:paraId="37AECC85" w14:textId="77777777" w:rsidTr="00D9147E">
        <w:tc>
          <w:tcPr>
            <w:tcW w:w="9360" w:type="dxa"/>
            <w:gridSpan w:val="6"/>
          </w:tcPr>
          <w:p w14:paraId="596CA2CF" w14:textId="77777777" w:rsidR="00D9147E" w:rsidRDefault="00D9147E">
            <w:pPr>
              <w:rPr>
                <w:lang w:val="en-CA"/>
              </w:rPr>
            </w:pPr>
          </w:p>
        </w:tc>
      </w:tr>
      <w:tr w:rsidR="006E6F6E" w:rsidRPr="005F7CDE" w14:paraId="4C99C34C" w14:textId="77777777" w:rsidTr="00D9147E">
        <w:tc>
          <w:tcPr>
            <w:tcW w:w="9360" w:type="dxa"/>
            <w:gridSpan w:val="6"/>
          </w:tcPr>
          <w:p w14:paraId="47E8E4AE" w14:textId="77777777" w:rsidR="00D9147E" w:rsidRPr="00E44A1E" w:rsidRDefault="005F7CDE">
            <w:pPr>
              <w:pStyle w:val="zSoquijdatNomPartieDef"/>
              <w:rPr>
                <w:lang w:val="en-CA"/>
              </w:rPr>
            </w:pPr>
            <w:r w:rsidRPr="00E44A1E">
              <w:rPr>
                <w:lang w:val="en-CA"/>
              </w:rPr>
              <w:t>WOODS LLP</w:t>
            </w:r>
          </w:p>
        </w:tc>
      </w:tr>
      <w:tr w:rsidR="006E6F6E" w14:paraId="340721CD" w14:textId="77777777" w:rsidTr="00D9147E">
        <w:tc>
          <w:tcPr>
            <w:tcW w:w="9360" w:type="dxa"/>
            <w:gridSpan w:val="6"/>
          </w:tcPr>
          <w:p w14:paraId="41E61D84" w14:textId="77777777" w:rsidR="00D9147E" w:rsidRPr="00E44A1E" w:rsidRDefault="005F7CDE">
            <w:pPr>
              <w:pStyle w:val="zSoquijdatQtePartieDef"/>
              <w:rPr>
                <w:lang w:val="en-CA"/>
              </w:rPr>
            </w:pPr>
            <w:r w:rsidRPr="00E44A1E">
              <w:t xml:space="preserve">RESPONDENT – </w:t>
            </w:r>
            <w:proofErr w:type="spellStart"/>
            <w:r w:rsidRPr="00E44A1E">
              <w:t>Respondent</w:t>
            </w:r>
            <w:proofErr w:type="spellEnd"/>
          </w:p>
        </w:tc>
      </w:tr>
      <w:tr w:rsidR="006E6F6E" w14:paraId="2D806262" w14:textId="77777777" w:rsidTr="00D9147E">
        <w:tc>
          <w:tcPr>
            <w:tcW w:w="9360" w:type="dxa"/>
            <w:gridSpan w:val="6"/>
          </w:tcPr>
          <w:p w14:paraId="10A88EF1" w14:textId="77777777" w:rsidR="00D9147E" w:rsidRPr="00E44A1E" w:rsidRDefault="005F7CDE" w:rsidP="00D9147E">
            <w:pPr>
              <w:pStyle w:val="zSoquijdatQtePartieDef"/>
              <w:ind w:left="0"/>
            </w:pPr>
            <w:r w:rsidRPr="00E44A1E">
              <w:t>and</w:t>
            </w:r>
          </w:p>
        </w:tc>
      </w:tr>
      <w:tr w:rsidR="006E6F6E" w14:paraId="183E52A4" w14:textId="77777777" w:rsidTr="00D9147E">
        <w:tc>
          <w:tcPr>
            <w:tcW w:w="9360" w:type="dxa"/>
            <w:gridSpan w:val="6"/>
          </w:tcPr>
          <w:p w14:paraId="314B113C" w14:textId="77777777" w:rsidR="00D9147E" w:rsidRPr="00E44A1E" w:rsidRDefault="005F7CDE" w:rsidP="00D9147E">
            <w:pPr>
              <w:pStyle w:val="zSoquijdatQtePartieDef"/>
              <w:ind w:left="0"/>
              <w:rPr>
                <w:b/>
                <w:lang w:val="en-CA"/>
              </w:rPr>
            </w:pPr>
            <w:r w:rsidRPr="00E44A1E">
              <w:rPr>
                <w:b/>
                <w:lang w:val="en-CA"/>
              </w:rPr>
              <w:t>BRIAN SHENKER, personally and in his capacity as trustee</w:t>
            </w:r>
          </w:p>
          <w:p w14:paraId="27E0F727" w14:textId="77777777" w:rsidR="00D9147E" w:rsidRPr="00E44A1E" w:rsidRDefault="005F7CDE" w:rsidP="00D9147E">
            <w:pPr>
              <w:pStyle w:val="zSoquijdatQtePartieDef"/>
              <w:ind w:left="0"/>
              <w:rPr>
                <w:b/>
                <w:lang w:val="en-CA"/>
              </w:rPr>
            </w:pPr>
            <w:r w:rsidRPr="00E44A1E">
              <w:rPr>
                <w:b/>
                <w:lang w:val="en-CA"/>
              </w:rPr>
              <w:t>of The Freedom 57 Trust</w:t>
            </w:r>
          </w:p>
          <w:p w14:paraId="7C764A29" w14:textId="77777777" w:rsidR="00D9147E" w:rsidRPr="00AA160A" w:rsidRDefault="005F7CDE" w:rsidP="00D9147E">
            <w:pPr>
              <w:pStyle w:val="zSoquijdatQtePartieDef"/>
              <w:ind w:left="0"/>
              <w:rPr>
                <w:b/>
                <w:lang w:val="en-CA"/>
              </w:rPr>
            </w:pPr>
            <w:r>
              <w:rPr>
                <w:b/>
                <w:lang w:val="en-CA"/>
              </w:rPr>
              <w:t>THE SHENKER FAMILY FOUNDATION</w:t>
            </w:r>
          </w:p>
          <w:p w14:paraId="61081389" w14:textId="77777777" w:rsidR="00D9147E" w:rsidRDefault="005F7CDE" w:rsidP="00D9147E">
            <w:pPr>
              <w:pStyle w:val="zSoquijdatQtePartieDef"/>
              <w:ind w:left="0"/>
              <w:rPr>
                <w:b/>
                <w:lang w:val="en-CA"/>
              </w:rPr>
            </w:pPr>
            <w:r>
              <w:rPr>
                <w:b/>
                <w:lang w:val="en-CA"/>
              </w:rPr>
              <w:t>SAM SKYE COMMUNITY FOUNDATION</w:t>
            </w:r>
          </w:p>
          <w:p w14:paraId="0DE2465D" w14:textId="77777777" w:rsidR="00D9147E" w:rsidRDefault="005F7CDE" w:rsidP="00D9147E">
            <w:pPr>
              <w:pStyle w:val="zSoquijdatQtePartieDef"/>
              <w:ind w:left="0"/>
              <w:rPr>
                <w:b/>
                <w:lang w:val="en-CA"/>
              </w:rPr>
            </w:pPr>
            <w:r>
              <w:rPr>
                <w:b/>
                <w:lang w:val="en-CA"/>
              </w:rPr>
              <w:t>RANDEE FAGEN</w:t>
            </w:r>
          </w:p>
          <w:p w14:paraId="3CB21E39" w14:textId="77777777" w:rsidR="00D9147E" w:rsidRPr="00E44A1E" w:rsidRDefault="005F7CDE" w:rsidP="00D9147E">
            <w:pPr>
              <w:pStyle w:val="zSoquijdatQtePartieDef"/>
              <w:ind w:left="0"/>
              <w:rPr>
                <w:b/>
                <w:lang w:val="en-CA"/>
              </w:rPr>
            </w:pPr>
            <w:r w:rsidRPr="00E44A1E">
              <w:rPr>
                <w:b/>
                <w:lang w:val="en-CA"/>
              </w:rPr>
              <w:t>NATHAN GLAICH</w:t>
            </w:r>
          </w:p>
        </w:tc>
      </w:tr>
      <w:tr w:rsidR="006E6F6E" w14:paraId="3BEF1CFD" w14:textId="77777777" w:rsidTr="00D9147E">
        <w:tc>
          <w:tcPr>
            <w:tcW w:w="9360" w:type="dxa"/>
            <w:gridSpan w:val="6"/>
          </w:tcPr>
          <w:p w14:paraId="29F52091" w14:textId="77777777" w:rsidR="00D9147E" w:rsidRPr="00E44A1E" w:rsidRDefault="005F7CDE">
            <w:pPr>
              <w:pStyle w:val="zSoquijdatQtePartieDef"/>
              <w:rPr>
                <w:lang w:val="en-CA"/>
              </w:rPr>
            </w:pPr>
            <w:r w:rsidRPr="00E44A1E">
              <w:rPr>
                <w:lang w:val="en-CA"/>
              </w:rPr>
              <w:lastRenderedPageBreak/>
              <w:t>RESPONDENTS – Plaintiffs/Respondents</w:t>
            </w:r>
          </w:p>
        </w:tc>
      </w:tr>
      <w:tr w:rsidR="006E6F6E" w14:paraId="7E885AD8" w14:textId="77777777" w:rsidTr="00D9147E">
        <w:tc>
          <w:tcPr>
            <w:tcW w:w="9360" w:type="dxa"/>
            <w:gridSpan w:val="6"/>
          </w:tcPr>
          <w:p w14:paraId="5F37E63B" w14:textId="77777777" w:rsidR="00D9147E" w:rsidRPr="00E44A1E" w:rsidRDefault="005F7CDE" w:rsidP="00D9147E">
            <w:pPr>
              <w:pStyle w:val="zSoquijdatQtePartieDef"/>
              <w:ind w:left="0"/>
              <w:rPr>
                <w:lang w:val="en-CA"/>
              </w:rPr>
            </w:pPr>
            <w:r w:rsidRPr="00E44A1E">
              <w:rPr>
                <w:lang w:val="en-CA"/>
              </w:rPr>
              <w:t>and</w:t>
            </w:r>
          </w:p>
        </w:tc>
      </w:tr>
      <w:tr w:rsidR="006E6F6E" w:rsidRPr="006A5977" w14:paraId="6CB03253" w14:textId="77777777" w:rsidTr="00D9147E">
        <w:tc>
          <w:tcPr>
            <w:tcW w:w="9360" w:type="dxa"/>
            <w:gridSpan w:val="6"/>
          </w:tcPr>
          <w:p w14:paraId="50120282" w14:textId="77777777" w:rsidR="00D9147E" w:rsidRDefault="005F7CDE" w:rsidP="00D9147E">
            <w:pPr>
              <w:pStyle w:val="zSoquijdatQtePartieDef"/>
              <w:ind w:left="0"/>
              <w:rPr>
                <w:b/>
                <w:lang w:val="en-CA"/>
              </w:rPr>
            </w:pPr>
            <w:r>
              <w:rPr>
                <w:b/>
                <w:lang w:val="en-CA"/>
              </w:rPr>
              <w:t>NMX RESIDUAL ASSETS INC.</w:t>
            </w:r>
          </w:p>
          <w:p w14:paraId="5DF720BF" w14:textId="77777777" w:rsidR="00D9147E" w:rsidRPr="00AA160A" w:rsidRDefault="005F7CDE" w:rsidP="00D9147E">
            <w:pPr>
              <w:pStyle w:val="zSoquijdatQtePartieDef"/>
              <w:ind w:left="0"/>
              <w:rPr>
                <w:b/>
                <w:lang w:val="en-CA"/>
              </w:rPr>
            </w:pPr>
            <w:r>
              <w:rPr>
                <w:b/>
                <w:lang w:val="en-CA"/>
              </w:rPr>
              <w:t>NMX RESIDUAL LIABILITIES INC.</w:t>
            </w:r>
          </w:p>
        </w:tc>
      </w:tr>
      <w:tr w:rsidR="006E6F6E" w14:paraId="7122BEDB" w14:textId="77777777" w:rsidTr="00D9147E">
        <w:tc>
          <w:tcPr>
            <w:tcW w:w="9360" w:type="dxa"/>
            <w:gridSpan w:val="6"/>
          </w:tcPr>
          <w:p w14:paraId="3E878C6B" w14:textId="77777777" w:rsidR="00D9147E" w:rsidRPr="00E44A1E" w:rsidRDefault="005F7CDE">
            <w:pPr>
              <w:pStyle w:val="zSoquijdatQtePartieDef"/>
              <w:rPr>
                <w:lang w:val="en-CA"/>
              </w:rPr>
            </w:pPr>
            <w:r w:rsidRPr="00E44A1E">
              <w:rPr>
                <w:lang w:val="en-CA"/>
              </w:rPr>
              <w:t>IMPLEADED PARTIES – Debtors</w:t>
            </w:r>
          </w:p>
        </w:tc>
      </w:tr>
      <w:tr w:rsidR="006E6F6E" w14:paraId="053F7B8F" w14:textId="77777777" w:rsidTr="00D9147E">
        <w:tc>
          <w:tcPr>
            <w:tcW w:w="9360" w:type="dxa"/>
            <w:gridSpan w:val="6"/>
          </w:tcPr>
          <w:p w14:paraId="5D00DD87" w14:textId="77777777" w:rsidR="00D9147E" w:rsidRPr="00E44A1E" w:rsidRDefault="005F7CDE" w:rsidP="00D9147E">
            <w:pPr>
              <w:pStyle w:val="zSoquijdatQtePartieDef"/>
              <w:ind w:left="0"/>
              <w:rPr>
                <w:lang w:val="en-CA"/>
              </w:rPr>
            </w:pPr>
            <w:r w:rsidRPr="00E44A1E">
              <w:rPr>
                <w:lang w:val="en-CA"/>
              </w:rPr>
              <w:t>and</w:t>
            </w:r>
          </w:p>
        </w:tc>
      </w:tr>
      <w:tr w:rsidR="006E6F6E" w14:paraId="476EEA06" w14:textId="77777777" w:rsidTr="00D9147E">
        <w:tc>
          <w:tcPr>
            <w:tcW w:w="9360" w:type="dxa"/>
            <w:gridSpan w:val="6"/>
          </w:tcPr>
          <w:p w14:paraId="6F73C58F" w14:textId="77777777" w:rsidR="00D9147E" w:rsidRPr="00E44A1E" w:rsidRDefault="005F7CDE" w:rsidP="00D9147E">
            <w:pPr>
              <w:pStyle w:val="zSoquijdatQtePartieDef"/>
              <w:ind w:left="0"/>
              <w:rPr>
                <w:b/>
                <w:lang w:val="en-CA"/>
              </w:rPr>
            </w:pPr>
            <w:r w:rsidRPr="00E44A1E">
              <w:rPr>
                <w:b/>
                <w:lang w:val="en-CA"/>
              </w:rPr>
              <w:t>PRICEWATERHOUSECOOPERS INC.</w:t>
            </w:r>
          </w:p>
        </w:tc>
      </w:tr>
      <w:tr w:rsidR="006E6F6E" w14:paraId="05E5E834" w14:textId="77777777" w:rsidTr="00D9147E">
        <w:tc>
          <w:tcPr>
            <w:tcW w:w="9360" w:type="dxa"/>
            <w:gridSpan w:val="6"/>
          </w:tcPr>
          <w:p w14:paraId="0514B163" w14:textId="77777777" w:rsidR="00D9147E" w:rsidRPr="00E44A1E" w:rsidRDefault="005F7CDE">
            <w:pPr>
              <w:pStyle w:val="zSoquijdatQtePartieDef"/>
              <w:rPr>
                <w:lang w:val="en-CA"/>
              </w:rPr>
            </w:pPr>
            <w:r w:rsidRPr="00E44A1E">
              <w:rPr>
                <w:lang w:val="en-CA"/>
              </w:rPr>
              <w:t>IMPLEADED PARTY – comptroller</w:t>
            </w:r>
          </w:p>
        </w:tc>
      </w:tr>
      <w:tr w:rsidR="006E6F6E" w14:paraId="711A60AE" w14:textId="77777777" w:rsidTr="00D9147E">
        <w:tc>
          <w:tcPr>
            <w:tcW w:w="9360" w:type="dxa"/>
            <w:gridSpan w:val="6"/>
          </w:tcPr>
          <w:p w14:paraId="6009C012" w14:textId="77777777" w:rsidR="00D9147E" w:rsidRDefault="00D9147E">
            <w:pPr>
              <w:rPr>
                <w:lang w:val="en-CA"/>
              </w:rPr>
            </w:pPr>
          </w:p>
        </w:tc>
      </w:tr>
      <w:tr w:rsidR="006E6F6E" w14:paraId="2BC73A7B" w14:textId="77777777" w:rsidTr="00D9147E">
        <w:tc>
          <w:tcPr>
            <w:tcW w:w="9360" w:type="dxa"/>
            <w:gridSpan w:val="6"/>
            <w:tcBorders>
              <w:top w:val="single" w:sz="8" w:space="0" w:color="auto"/>
            </w:tcBorders>
          </w:tcPr>
          <w:p w14:paraId="1BFBF3DE" w14:textId="77777777" w:rsidR="00D9147E" w:rsidRDefault="00D9147E">
            <w:pPr>
              <w:rPr>
                <w:lang w:val="en-CA"/>
              </w:rPr>
            </w:pPr>
            <w:bookmarkStart w:id="3" w:name="Arret"/>
          </w:p>
        </w:tc>
      </w:tr>
      <w:tr w:rsidR="006E6F6E" w14:paraId="52B217C7" w14:textId="77777777" w:rsidTr="00D9147E">
        <w:tc>
          <w:tcPr>
            <w:tcW w:w="9360" w:type="dxa"/>
            <w:gridSpan w:val="6"/>
          </w:tcPr>
          <w:p w14:paraId="151B4851" w14:textId="77777777" w:rsidR="00D9147E" w:rsidRPr="00E44A1E" w:rsidRDefault="005F7CDE">
            <w:pPr>
              <w:pStyle w:val="zSoquijlblTypeDocument"/>
            </w:pPr>
            <w:r w:rsidRPr="00E44A1E">
              <w:t>JUDGMENT</w:t>
            </w:r>
          </w:p>
        </w:tc>
      </w:tr>
      <w:tr w:rsidR="006E6F6E" w14:paraId="61708EF2" w14:textId="77777777" w:rsidTr="00D9147E">
        <w:tc>
          <w:tcPr>
            <w:tcW w:w="9360" w:type="dxa"/>
            <w:gridSpan w:val="6"/>
            <w:tcBorders>
              <w:bottom w:val="single" w:sz="8" w:space="0" w:color="auto"/>
            </w:tcBorders>
          </w:tcPr>
          <w:p w14:paraId="15470AA8" w14:textId="77777777" w:rsidR="00D9147E" w:rsidRDefault="00D9147E"/>
        </w:tc>
      </w:tr>
      <w:tr w:rsidR="006E6F6E" w14:paraId="522BA8CB" w14:textId="77777777" w:rsidTr="00D9147E">
        <w:tc>
          <w:tcPr>
            <w:tcW w:w="9360" w:type="dxa"/>
            <w:gridSpan w:val="6"/>
            <w:tcBorders>
              <w:top w:val="single" w:sz="8" w:space="0" w:color="auto"/>
            </w:tcBorders>
          </w:tcPr>
          <w:p w14:paraId="3628B16E" w14:textId="77777777" w:rsidR="00D9147E" w:rsidRDefault="00D9147E"/>
        </w:tc>
      </w:tr>
    </w:tbl>
    <w:p w14:paraId="6FF759CC" w14:textId="4754D01C" w:rsidR="00D9147E" w:rsidRPr="005F7CDE" w:rsidRDefault="005F7CDE" w:rsidP="00D9147E">
      <w:pPr>
        <w:pStyle w:val="Paragraphe"/>
        <w:numPr>
          <w:ilvl w:val="0"/>
          <w:numId w:val="1"/>
        </w:numPr>
        <w:tabs>
          <w:tab w:val="clear" w:pos="360"/>
        </w:tabs>
        <w:spacing w:line="240" w:lineRule="auto"/>
        <w:rPr>
          <w:lang w:val="en-CA"/>
        </w:rPr>
      </w:pPr>
      <w:r w:rsidRPr="00E44A1E">
        <w:rPr>
          <w:lang w:val="en-CA"/>
        </w:rPr>
        <w:t>The appellants appeal from a judgment of the Superior Court, District of Montreal (the Honourable Michel A. Pinsonnault),</w:t>
      </w:r>
      <w:r w:rsidR="00D9147E" w:rsidDel="008A7B68">
        <w:rPr>
          <w:rStyle w:val="Appelnotedebasdep"/>
        </w:rPr>
        <w:footnoteReference w:id="1"/>
      </w:r>
      <w:r w:rsidR="00E465A9" w:rsidRPr="00E465A9">
        <w:rPr>
          <w:lang w:val="en-CA"/>
        </w:rPr>
        <w:t>,</w:t>
      </w:r>
      <w:r w:rsidR="00E465A9" w:rsidRPr="00E465A9">
        <w:rPr>
          <w:vertAlign w:val="superscript"/>
          <w:lang w:val="en-CA"/>
        </w:rPr>
        <w:t xml:space="preserve"> </w:t>
      </w:r>
      <w:r w:rsidR="00E465A9" w:rsidRPr="00E465A9">
        <w:rPr>
          <w:lang w:val="en-CA"/>
        </w:rPr>
        <w:t xml:space="preserve">rendered on June 8, 2021, which dismissed their application for </w:t>
      </w:r>
      <w:r w:rsidR="00B97BC2">
        <w:rPr>
          <w:lang w:val="en-CA"/>
        </w:rPr>
        <w:t xml:space="preserve">a declaration of </w:t>
      </w:r>
      <w:r w:rsidR="00E465A9" w:rsidRPr="00E465A9">
        <w:rPr>
          <w:lang w:val="en-CA"/>
        </w:rPr>
        <w:t>disqualification of the Woods law firm representing the respondents</w:t>
      </w:r>
      <w:r w:rsidR="0076279D">
        <w:rPr>
          <w:lang w:val="en-CA"/>
        </w:rPr>
        <w:t>.</w:t>
      </w:r>
    </w:p>
    <w:p w14:paraId="7F3CD015" w14:textId="4F2F9875" w:rsidR="00D9147E" w:rsidRPr="005F7CDE" w:rsidRDefault="005F7CDE" w:rsidP="00D9147E">
      <w:pPr>
        <w:pStyle w:val="Paragraphe"/>
        <w:numPr>
          <w:ilvl w:val="0"/>
          <w:numId w:val="1"/>
        </w:numPr>
        <w:tabs>
          <w:tab w:val="clear" w:pos="360"/>
        </w:tabs>
        <w:spacing w:line="240" w:lineRule="auto"/>
        <w:rPr>
          <w:lang w:val="en-CA"/>
        </w:rPr>
      </w:pPr>
      <w:r w:rsidRPr="005F7CDE">
        <w:rPr>
          <w:lang w:val="en-CA"/>
        </w:rPr>
        <w:t>Th</w:t>
      </w:r>
      <w:r w:rsidR="008A7B68">
        <w:rPr>
          <w:lang w:val="en-CA"/>
        </w:rPr>
        <w:t>e</w:t>
      </w:r>
      <w:r w:rsidRPr="005F7CDE">
        <w:rPr>
          <w:lang w:val="en-CA"/>
        </w:rPr>
        <w:t xml:space="preserve"> appeal raises the issue of </w:t>
      </w:r>
      <w:r w:rsidR="009F2C1B" w:rsidRPr="005F7CDE">
        <w:rPr>
          <w:lang w:val="en-CA"/>
        </w:rPr>
        <w:t>whether</w:t>
      </w:r>
      <w:r w:rsidRPr="005F7CDE">
        <w:rPr>
          <w:lang w:val="en-CA"/>
        </w:rPr>
        <w:t xml:space="preserve"> a </w:t>
      </w:r>
      <w:r w:rsidR="008A7B68">
        <w:rPr>
          <w:lang w:val="en-CA"/>
        </w:rPr>
        <w:t>law</w:t>
      </w:r>
      <w:r w:rsidR="008A7B68" w:rsidRPr="005F7CDE">
        <w:rPr>
          <w:lang w:val="en-CA"/>
        </w:rPr>
        <w:t xml:space="preserve"> </w:t>
      </w:r>
      <w:r w:rsidRPr="005F7CDE">
        <w:rPr>
          <w:lang w:val="en-CA"/>
        </w:rPr>
        <w:t xml:space="preserve">firm (the respondent Woods) </w:t>
      </w:r>
      <w:r w:rsidR="0027188F">
        <w:rPr>
          <w:lang w:val="en-CA"/>
        </w:rPr>
        <w:t>that</w:t>
      </w:r>
      <w:r w:rsidRPr="005F7CDE">
        <w:rPr>
          <w:lang w:val="en-CA"/>
        </w:rPr>
        <w:t xml:space="preserve"> obtained information during a pre-trial examination in a </w:t>
      </w:r>
      <w:r w:rsidR="0076279D">
        <w:rPr>
          <w:lang w:val="en-CA"/>
        </w:rPr>
        <w:t>case</w:t>
      </w:r>
      <w:r w:rsidR="0076279D" w:rsidRPr="005F7CDE">
        <w:rPr>
          <w:lang w:val="en-CA"/>
        </w:rPr>
        <w:t xml:space="preserve"> </w:t>
      </w:r>
      <w:r w:rsidRPr="005F7CDE">
        <w:rPr>
          <w:lang w:val="en-CA"/>
        </w:rPr>
        <w:t>th</w:t>
      </w:r>
      <w:r w:rsidR="0027188F">
        <w:rPr>
          <w:lang w:val="en-CA"/>
        </w:rPr>
        <w:t>at was settled (Nordic dispute)</w:t>
      </w:r>
      <w:r w:rsidRPr="005F7CDE">
        <w:rPr>
          <w:lang w:val="en-CA"/>
        </w:rPr>
        <w:t xml:space="preserve"> must be disqualified from </w:t>
      </w:r>
      <w:r w:rsidR="009F2C1B" w:rsidRPr="005F7CDE">
        <w:rPr>
          <w:lang w:val="en-CA"/>
        </w:rPr>
        <w:t>representing</w:t>
      </w:r>
      <w:r w:rsidRPr="005F7CDE">
        <w:rPr>
          <w:lang w:val="en-CA"/>
        </w:rPr>
        <w:t xml:space="preserve"> new clients (the respondents) in a second dispute (</w:t>
      </w:r>
      <w:proofErr w:type="spellStart"/>
      <w:r w:rsidRPr="005F7CDE">
        <w:rPr>
          <w:lang w:val="en-CA"/>
        </w:rPr>
        <w:t>Shenker</w:t>
      </w:r>
      <w:proofErr w:type="spellEnd"/>
      <w:r w:rsidRPr="005F7CDE">
        <w:rPr>
          <w:lang w:val="en-CA"/>
        </w:rPr>
        <w:t xml:space="preserve"> dispute) </w:t>
      </w:r>
      <w:r w:rsidR="006D5DFB">
        <w:rPr>
          <w:lang w:val="en-CA"/>
        </w:rPr>
        <w:t xml:space="preserve">that </w:t>
      </w:r>
      <w:r w:rsidRPr="005F7CDE">
        <w:rPr>
          <w:lang w:val="en-CA"/>
        </w:rPr>
        <w:t>involv</w:t>
      </w:r>
      <w:r w:rsidR="006D5DFB">
        <w:rPr>
          <w:lang w:val="en-CA"/>
        </w:rPr>
        <w:t>es</w:t>
      </w:r>
      <w:r w:rsidRPr="005F7CDE">
        <w:rPr>
          <w:lang w:val="en-CA"/>
        </w:rPr>
        <w:t xml:space="preserve"> the former directors and officers (appellant</w:t>
      </w:r>
      <w:r w:rsidR="0027188F">
        <w:rPr>
          <w:lang w:val="en-CA"/>
        </w:rPr>
        <w:t>s) of the corporation concerned</w:t>
      </w:r>
      <w:r w:rsidRPr="005F7CDE">
        <w:rPr>
          <w:lang w:val="en-CA"/>
        </w:rPr>
        <w:t xml:space="preserve"> in the first dispute (</w:t>
      </w:r>
      <w:proofErr w:type="spellStart"/>
      <w:r w:rsidRPr="005F7CDE">
        <w:rPr>
          <w:lang w:val="en-CA"/>
        </w:rPr>
        <w:t>Nemaska</w:t>
      </w:r>
      <w:proofErr w:type="spellEnd"/>
      <w:r w:rsidRPr="005F7CDE">
        <w:rPr>
          <w:lang w:val="en-CA"/>
        </w:rPr>
        <w:t>)</w:t>
      </w:r>
      <w:r w:rsidR="0027188F">
        <w:rPr>
          <w:lang w:val="en-CA"/>
        </w:rPr>
        <w:t xml:space="preserve"> and </w:t>
      </w:r>
      <w:r w:rsidR="006D5DFB">
        <w:rPr>
          <w:lang w:val="en-CA"/>
        </w:rPr>
        <w:t xml:space="preserve">features </w:t>
      </w:r>
      <w:r w:rsidR="0027188F">
        <w:rPr>
          <w:lang w:val="en-CA"/>
        </w:rPr>
        <w:t>related elements</w:t>
      </w:r>
      <w:r w:rsidRPr="005F7CDE">
        <w:rPr>
          <w:lang w:val="en-CA"/>
        </w:rPr>
        <w:t>.</w:t>
      </w:r>
    </w:p>
    <w:p w14:paraId="5B07A1E6" w14:textId="04D54F0F" w:rsidR="00D9147E" w:rsidRPr="005F7CDE" w:rsidRDefault="005F7CDE" w:rsidP="00D9147E">
      <w:pPr>
        <w:pStyle w:val="Paragraphe"/>
        <w:numPr>
          <w:ilvl w:val="0"/>
          <w:numId w:val="1"/>
        </w:numPr>
        <w:tabs>
          <w:tab w:val="clear" w:pos="360"/>
        </w:tabs>
        <w:spacing w:line="240" w:lineRule="auto"/>
        <w:rPr>
          <w:lang w:val="en-CA"/>
        </w:rPr>
      </w:pPr>
      <w:r w:rsidRPr="00E44A1E">
        <w:rPr>
          <w:lang w:val="en-CA"/>
        </w:rPr>
        <w:t>The appellants argue that this must be the case.</w:t>
      </w:r>
      <w:r w:rsidR="00D9147E" w:rsidRPr="005F7CDE">
        <w:rPr>
          <w:lang w:val="en-CA"/>
        </w:rPr>
        <w:t xml:space="preserve"> </w:t>
      </w:r>
      <w:bookmarkStart w:id="4" w:name="_Ref93316435"/>
      <w:r w:rsidRPr="005F7CDE">
        <w:rPr>
          <w:lang w:val="en-CA"/>
        </w:rPr>
        <w:t>It is their view that the implied rule of confidentiality (</w:t>
      </w:r>
      <w:r w:rsidR="006D5DFB">
        <w:rPr>
          <w:lang w:val="en-CA"/>
        </w:rPr>
        <w:t>“</w:t>
      </w:r>
      <w:r w:rsidRPr="005F7CDE">
        <w:rPr>
          <w:lang w:val="en-CA"/>
        </w:rPr>
        <w:t xml:space="preserve">IRC”), as </w:t>
      </w:r>
      <w:r w:rsidR="006D5DFB">
        <w:rPr>
          <w:lang w:val="en-CA"/>
        </w:rPr>
        <w:t>defined</w:t>
      </w:r>
      <w:r w:rsidR="006D5DFB" w:rsidRPr="005F7CDE">
        <w:rPr>
          <w:lang w:val="en-CA"/>
        </w:rPr>
        <w:t xml:space="preserve"> </w:t>
      </w:r>
      <w:r w:rsidRPr="005F7CDE">
        <w:rPr>
          <w:lang w:val="en-CA"/>
        </w:rPr>
        <w:t xml:space="preserve">in </w:t>
      </w:r>
      <w:r w:rsidRPr="005F7CDE">
        <w:rPr>
          <w:i/>
          <w:lang w:val="en-CA"/>
        </w:rPr>
        <w:t xml:space="preserve">Lac </w:t>
      </w:r>
      <w:proofErr w:type="spellStart"/>
      <w:r w:rsidRPr="005F7CDE">
        <w:rPr>
          <w:i/>
          <w:lang w:val="en-CA"/>
        </w:rPr>
        <w:t>d’amiante</w:t>
      </w:r>
      <w:proofErr w:type="spellEnd"/>
      <w:r w:rsidRPr="005F7CDE">
        <w:rPr>
          <w:i/>
          <w:lang w:val="en-CA"/>
        </w:rPr>
        <w:t xml:space="preserve"> </w:t>
      </w:r>
      <w:r w:rsidRPr="005F7CDE">
        <w:rPr>
          <w:lang w:val="en-CA"/>
        </w:rPr>
        <w:t xml:space="preserve">and </w:t>
      </w:r>
      <w:proofErr w:type="spellStart"/>
      <w:r w:rsidRPr="005F7CDE">
        <w:rPr>
          <w:i/>
          <w:lang w:val="en-CA"/>
        </w:rPr>
        <w:t>Juman</w:t>
      </w:r>
      <w:proofErr w:type="spellEnd"/>
      <w:r w:rsidRPr="005F7CDE">
        <w:rPr>
          <w:lang w:val="en-CA"/>
        </w:rPr>
        <w:t>,</w:t>
      </w:r>
      <w:r w:rsidR="00D9147E">
        <w:rPr>
          <w:rStyle w:val="Appelnotedebasdep"/>
        </w:rPr>
        <w:footnoteReference w:id="2"/>
      </w:r>
      <w:bookmarkEnd w:id="4"/>
      <w:r w:rsidR="0027188F">
        <w:rPr>
          <w:lang w:val="en-CA"/>
        </w:rPr>
        <w:t xml:space="preserve"> makes it impossible for</w:t>
      </w:r>
      <w:r w:rsidRPr="005F7CDE">
        <w:rPr>
          <w:lang w:val="en-CA"/>
        </w:rPr>
        <w:t xml:space="preserve"> lawyer</w:t>
      </w:r>
      <w:r w:rsidR="0027188F">
        <w:rPr>
          <w:lang w:val="en-CA"/>
        </w:rPr>
        <w:t xml:space="preserve">s </w:t>
      </w:r>
      <w:r w:rsidRPr="005F7CDE">
        <w:rPr>
          <w:lang w:val="en-CA"/>
        </w:rPr>
        <w:t xml:space="preserve">subject to it to </w:t>
      </w:r>
      <w:r w:rsidR="0027188F" w:rsidRPr="005F7CDE">
        <w:rPr>
          <w:lang w:val="en-CA"/>
        </w:rPr>
        <w:t>compartmentalize</w:t>
      </w:r>
      <w:r w:rsidRPr="005F7CDE">
        <w:rPr>
          <w:lang w:val="en-CA"/>
        </w:rPr>
        <w:t xml:space="preserve"> </w:t>
      </w:r>
      <w:r w:rsidR="0027188F">
        <w:rPr>
          <w:lang w:val="en-CA"/>
        </w:rPr>
        <w:t>their</w:t>
      </w:r>
      <w:r w:rsidRPr="005F7CDE">
        <w:rPr>
          <w:lang w:val="en-CA"/>
        </w:rPr>
        <w:t xml:space="preserve"> mind</w:t>
      </w:r>
      <w:r w:rsidR="0027188F">
        <w:rPr>
          <w:lang w:val="en-CA"/>
        </w:rPr>
        <w:t>s</w:t>
      </w:r>
      <w:r w:rsidRPr="005F7CDE">
        <w:rPr>
          <w:lang w:val="en-CA"/>
        </w:rPr>
        <w:t xml:space="preserve"> in such a way as to ignore what </w:t>
      </w:r>
      <w:r w:rsidR="0027188F">
        <w:rPr>
          <w:lang w:val="en-CA"/>
        </w:rPr>
        <w:t>they know</w:t>
      </w:r>
      <w:r w:rsidRPr="005F7CDE">
        <w:rPr>
          <w:lang w:val="en-CA"/>
        </w:rPr>
        <w:t>.</w:t>
      </w:r>
      <w:r w:rsidR="00D9147E" w:rsidRPr="005F7CDE">
        <w:rPr>
          <w:lang w:val="en-CA"/>
        </w:rPr>
        <w:t xml:space="preserve"> </w:t>
      </w:r>
      <w:r w:rsidRPr="00E44A1E">
        <w:rPr>
          <w:lang w:val="en-CA"/>
        </w:rPr>
        <w:t xml:space="preserve">A reasonably informed person would therefore conclude that the risk of </w:t>
      </w:r>
      <w:r w:rsidR="00434ACE">
        <w:rPr>
          <w:lang w:val="en-CA"/>
        </w:rPr>
        <w:t>disclosing or using</w:t>
      </w:r>
      <w:r w:rsidRPr="00E44A1E">
        <w:rPr>
          <w:lang w:val="en-CA"/>
        </w:rPr>
        <w:t xml:space="preserve"> information covered by</w:t>
      </w:r>
      <w:r w:rsidR="00434ACE">
        <w:rPr>
          <w:lang w:val="en-CA"/>
        </w:rPr>
        <w:t xml:space="preserve"> the</w:t>
      </w:r>
      <w:r w:rsidRPr="00E44A1E">
        <w:rPr>
          <w:lang w:val="en-CA"/>
        </w:rPr>
        <w:t xml:space="preserve"> IRC, even involuntar</w:t>
      </w:r>
      <w:r w:rsidR="00434ACE">
        <w:rPr>
          <w:lang w:val="en-CA"/>
        </w:rPr>
        <w:t>il</w:t>
      </w:r>
      <w:r w:rsidRPr="00E44A1E">
        <w:rPr>
          <w:lang w:val="en-CA"/>
        </w:rPr>
        <w:t>y or unconscious</w:t>
      </w:r>
      <w:r w:rsidR="00434ACE">
        <w:rPr>
          <w:lang w:val="en-CA"/>
        </w:rPr>
        <w:t>ly</w:t>
      </w:r>
      <w:r w:rsidRPr="00E44A1E">
        <w:rPr>
          <w:lang w:val="en-CA"/>
        </w:rPr>
        <w:t>, compromises the integrity of the judicial process and the administration of justice.</w:t>
      </w:r>
    </w:p>
    <w:p w14:paraId="4EDAE087" w14:textId="388FEB78" w:rsidR="00D9147E" w:rsidRPr="005F7CDE" w:rsidRDefault="005F7CDE" w:rsidP="00D9147E">
      <w:pPr>
        <w:pStyle w:val="Paragraphe"/>
        <w:numPr>
          <w:ilvl w:val="0"/>
          <w:numId w:val="1"/>
        </w:numPr>
        <w:tabs>
          <w:tab w:val="clear" w:pos="360"/>
        </w:tabs>
        <w:spacing w:line="240" w:lineRule="auto"/>
        <w:rPr>
          <w:lang w:val="en-CA"/>
        </w:rPr>
      </w:pPr>
      <w:r w:rsidRPr="005F7CDE">
        <w:rPr>
          <w:lang w:val="en-CA"/>
        </w:rPr>
        <w:t xml:space="preserve">The respondent Woods, for its part, argues that there must be compelling reasons to disqualify a </w:t>
      </w:r>
      <w:r w:rsidR="008A7B68">
        <w:rPr>
          <w:lang w:val="en-CA"/>
        </w:rPr>
        <w:t>law</w:t>
      </w:r>
      <w:r w:rsidR="008A7B68" w:rsidRPr="005F7CDE">
        <w:rPr>
          <w:lang w:val="en-CA"/>
        </w:rPr>
        <w:t xml:space="preserve"> </w:t>
      </w:r>
      <w:r w:rsidRPr="005F7CDE">
        <w:rPr>
          <w:lang w:val="en-CA"/>
        </w:rPr>
        <w:t xml:space="preserve">firm </w:t>
      </w:r>
      <w:r w:rsidR="00434ACE" w:rsidRPr="005F7CDE">
        <w:rPr>
          <w:lang w:val="en-CA"/>
        </w:rPr>
        <w:t>and</w:t>
      </w:r>
      <w:r w:rsidRPr="005F7CDE">
        <w:rPr>
          <w:lang w:val="en-CA"/>
        </w:rPr>
        <w:t xml:space="preserve"> that</w:t>
      </w:r>
      <w:r w:rsidR="00D62FD1">
        <w:rPr>
          <w:lang w:val="en-CA"/>
        </w:rPr>
        <w:t>,</w:t>
      </w:r>
      <w:r w:rsidRPr="005F7CDE">
        <w:rPr>
          <w:lang w:val="en-CA"/>
        </w:rPr>
        <w:t xml:space="preserve"> absent such evidence, and subject to solicitor-client privilege, </w:t>
      </w:r>
      <w:r w:rsidR="00D62FD1">
        <w:rPr>
          <w:lang w:val="en-CA"/>
        </w:rPr>
        <w:t xml:space="preserve">the </w:t>
      </w:r>
      <w:r w:rsidRPr="005F7CDE">
        <w:rPr>
          <w:lang w:val="en-CA"/>
        </w:rPr>
        <w:t xml:space="preserve">presumption </w:t>
      </w:r>
      <w:r w:rsidR="00D62FD1">
        <w:rPr>
          <w:lang w:val="en-CA"/>
        </w:rPr>
        <w:t xml:space="preserve">should be </w:t>
      </w:r>
      <w:r w:rsidRPr="005F7CDE">
        <w:rPr>
          <w:lang w:val="en-CA"/>
        </w:rPr>
        <w:t xml:space="preserve">that lawyers will </w:t>
      </w:r>
      <w:r w:rsidR="00D62FD1">
        <w:rPr>
          <w:lang w:val="en-CA"/>
        </w:rPr>
        <w:t>comply with</w:t>
      </w:r>
      <w:r w:rsidR="00D62FD1" w:rsidRPr="005F7CDE">
        <w:rPr>
          <w:lang w:val="en-CA"/>
        </w:rPr>
        <w:t xml:space="preserve"> </w:t>
      </w:r>
      <w:r w:rsidRPr="005F7CDE">
        <w:rPr>
          <w:lang w:val="en-CA"/>
        </w:rPr>
        <w:t>their legal and ethical obligations.</w:t>
      </w:r>
      <w:r w:rsidR="00D9147E" w:rsidRPr="005F7CDE">
        <w:rPr>
          <w:lang w:val="en-CA"/>
        </w:rPr>
        <w:t xml:space="preserve"> </w:t>
      </w:r>
      <w:r w:rsidRPr="005F7CDE">
        <w:rPr>
          <w:lang w:val="en-CA"/>
        </w:rPr>
        <w:t xml:space="preserve">Because the judge applied the correct legal framework, the Court must show deference </w:t>
      </w:r>
      <w:r w:rsidR="00C51474">
        <w:rPr>
          <w:lang w:val="en-CA"/>
        </w:rPr>
        <w:t>to</w:t>
      </w:r>
      <w:r w:rsidR="00C51474" w:rsidRPr="005F7CDE">
        <w:rPr>
          <w:lang w:val="en-CA"/>
        </w:rPr>
        <w:t xml:space="preserve"> </w:t>
      </w:r>
      <w:r w:rsidRPr="005F7CDE">
        <w:rPr>
          <w:lang w:val="en-CA"/>
        </w:rPr>
        <w:t>his assessment.</w:t>
      </w:r>
    </w:p>
    <w:p w14:paraId="3DE46B11" w14:textId="239D99E9" w:rsidR="00D9147E" w:rsidRPr="005F7CDE" w:rsidRDefault="005F7CDE" w:rsidP="00D9147E">
      <w:pPr>
        <w:pStyle w:val="Paragraphe"/>
        <w:numPr>
          <w:ilvl w:val="0"/>
          <w:numId w:val="1"/>
        </w:numPr>
        <w:tabs>
          <w:tab w:val="clear" w:pos="360"/>
        </w:tabs>
        <w:spacing w:line="240" w:lineRule="auto"/>
        <w:rPr>
          <w:lang w:val="en-CA"/>
        </w:rPr>
      </w:pPr>
      <w:r w:rsidRPr="00E44A1E">
        <w:rPr>
          <w:lang w:val="en-CA"/>
        </w:rPr>
        <w:lastRenderedPageBreak/>
        <w:t>The facts are simple and essentially uncontested.</w:t>
      </w:r>
      <w:r w:rsidR="00D9147E" w:rsidRPr="005F7CDE">
        <w:rPr>
          <w:lang w:val="en-CA"/>
        </w:rPr>
        <w:t xml:space="preserve"> </w:t>
      </w:r>
      <w:r w:rsidRPr="005F7CDE">
        <w:rPr>
          <w:lang w:val="en-CA"/>
        </w:rPr>
        <w:t xml:space="preserve">The appellants are former directors and officers of </w:t>
      </w:r>
      <w:proofErr w:type="spellStart"/>
      <w:r w:rsidRPr="005F7CDE">
        <w:rPr>
          <w:lang w:val="en-CA"/>
        </w:rPr>
        <w:t>Nemaska</w:t>
      </w:r>
      <w:proofErr w:type="spellEnd"/>
      <w:r w:rsidRPr="005F7CDE">
        <w:rPr>
          <w:lang w:val="en-CA"/>
        </w:rPr>
        <w:t xml:space="preserve"> L</w:t>
      </w:r>
      <w:r w:rsidR="00063919">
        <w:rPr>
          <w:lang w:val="en-CA"/>
        </w:rPr>
        <w:t>i</w:t>
      </w:r>
      <w:r w:rsidRPr="005F7CDE">
        <w:rPr>
          <w:lang w:val="en-CA"/>
        </w:rPr>
        <w:t>thium Inc.</w:t>
      </w:r>
      <w:r w:rsidR="00D9147E" w:rsidRPr="005F7CDE">
        <w:rPr>
          <w:lang w:val="en-CA"/>
        </w:rPr>
        <w:t xml:space="preserve"> </w:t>
      </w:r>
      <w:bookmarkStart w:id="5" w:name="_Ref93319501"/>
      <w:r w:rsidRPr="00E44A1E">
        <w:rPr>
          <w:lang w:val="en-CA"/>
        </w:rPr>
        <w:t>(”</w:t>
      </w:r>
      <w:proofErr w:type="spellStart"/>
      <w:r w:rsidRPr="00E44A1E">
        <w:rPr>
          <w:lang w:val="en-CA"/>
        </w:rPr>
        <w:t>Nemaska</w:t>
      </w:r>
      <w:proofErr w:type="spellEnd"/>
      <w:r w:rsidRPr="00E44A1E">
        <w:rPr>
          <w:lang w:val="en-CA"/>
        </w:rPr>
        <w:t xml:space="preserve">”), which </w:t>
      </w:r>
      <w:r w:rsidR="00434ACE">
        <w:rPr>
          <w:lang w:val="en-CA"/>
        </w:rPr>
        <w:t>commenced</w:t>
      </w:r>
      <w:r w:rsidRPr="00E44A1E">
        <w:rPr>
          <w:lang w:val="en-CA"/>
        </w:rPr>
        <w:t xml:space="preserve"> arrangement proceedings under the </w:t>
      </w:r>
      <w:r w:rsidRPr="00434ACE">
        <w:rPr>
          <w:i/>
          <w:lang w:val="en-CA"/>
        </w:rPr>
        <w:t>Canada Business Corporations Act</w:t>
      </w:r>
      <w:r w:rsidRPr="00E44A1E">
        <w:rPr>
          <w:lang w:val="en-CA"/>
        </w:rPr>
        <w:t>.</w:t>
      </w:r>
      <w:r w:rsidR="00D9147E" w:rsidRPr="00E44A1E">
        <w:rPr>
          <w:rStyle w:val="Appelnotedebasdep"/>
          <w:iCs/>
        </w:rPr>
        <w:footnoteReference w:id="3"/>
      </w:r>
      <w:bookmarkEnd w:id="5"/>
    </w:p>
    <w:p w14:paraId="7EEC44B6" w14:textId="09A65B75" w:rsidR="00D9147E" w:rsidRPr="005F7CDE" w:rsidRDefault="005F7CDE" w:rsidP="00D9147E">
      <w:pPr>
        <w:pStyle w:val="Paragraphe"/>
        <w:numPr>
          <w:ilvl w:val="0"/>
          <w:numId w:val="1"/>
        </w:numPr>
        <w:tabs>
          <w:tab w:val="clear" w:pos="360"/>
        </w:tabs>
        <w:spacing w:line="240" w:lineRule="auto"/>
        <w:rPr>
          <w:lang w:val="en-CA"/>
        </w:rPr>
      </w:pPr>
      <w:r w:rsidRPr="005F7CDE">
        <w:rPr>
          <w:lang w:val="en-CA"/>
        </w:rPr>
        <w:t xml:space="preserve">In those proceedings, the respondents, a group of </w:t>
      </w:r>
      <w:proofErr w:type="spellStart"/>
      <w:r w:rsidRPr="005F7CDE">
        <w:rPr>
          <w:lang w:val="en-CA"/>
        </w:rPr>
        <w:t>Nemaska</w:t>
      </w:r>
      <w:proofErr w:type="spellEnd"/>
      <w:r w:rsidRPr="005F7CDE">
        <w:rPr>
          <w:lang w:val="en-CA"/>
        </w:rPr>
        <w:t xml:space="preserve"> shareholders (</w:t>
      </w:r>
      <w:r w:rsidR="00265545">
        <w:rPr>
          <w:lang w:val="en-CA"/>
        </w:rPr>
        <w:t>“</w:t>
      </w:r>
      <w:proofErr w:type="spellStart"/>
      <w:r w:rsidRPr="005F7CDE">
        <w:rPr>
          <w:lang w:val="en-CA"/>
        </w:rPr>
        <w:t>Shenker</w:t>
      </w:r>
      <w:proofErr w:type="spellEnd"/>
      <w:r w:rsidRPr="005F7CDE">
        <w:rPr>
          <w:lang w:val="en-CA"/>
        </w:rPr>
        <w:t xml:space="preserve"> group”)</w:t>
      </w:r>
      <w:r w:rsidR="00434ACE">
        <w:rPr>
          <w:lang w:val="en-CA"/>
        </w:rPr>
        <w:t xml:space="preserve"> </w:t>
      </w:r>
      <w:r w:rsidRPr="005F7CDE">
        <w:rPr>
          <w:lang w:val="en-CA"/>
        </w:rPr>
        <w:t xml:space="preserve">represented by the respondent Woods, claim </w:t>
      </w:r>
      <w:r w:rsidR="00434ACE" w:rsidRPr="005F7CDE">
        <w:rPr>
          <w:lang w:val="en-CA"/>
        </w:rPr>
        <w:t>damages and</w:t>
      </w:r>
      <w:r w:rsidRPr="005F7CDE">
        <w:rPr>
          <w:lang w:val="en-CA"/>
        </w:rPr>
        <w:t xml:space="preserve"> interest </w:t>
      </w:r>
      <w:r w:rsidR="00265545">
        <w:rPr>
          <w:lang w:val="en-CA"/>
        </w:rPr>
        <w:t xml:space="preserve">from the appellants </w:t>
      </w:r>
      <w:r w:rsidRPr="005F7CDE">
        <w:rPr>
          <w:lang w:val="en-CA"/>
        </w:rPr>
        <w:t>arising f</w:t>
      </w:r>
      <w:r w:rsidR="00434ACE">
        <w:rPr>
          <w:lang w:val="en-CA"/>
        </w:rPr>
        <w:t>r</w:t>
      </w:r>
      <w:r w:rsidRPr="005F7CDE">
        <w:rPr>
          <w:lang w:val="en-CA"/>
        </w:rPr>
        <w:t xml:space="preserve">om the loss of their investment in </w:t>
      </w:r>
      <w:proofErr w:type="spellStart"/>
      <w:r w:rsidRPr="005F7CDE">
        <w:rPr>
          <w:lang w:val="en-CA"/>
        </w:rPr>
        <w:t>Nemaska</w:t>
      </w:r>
      <w:proofErr w:type="spellEnd"/>
      <w:r w:rsidRPr="005F7CDE">
        <w:rPr>
          <w:lang w:val="en-CA"/>
        </w:rPr>
        <w:t xml:space="preserve"> (</w:t>
      </w:r>
      <w:r w:rsidR="00265545">
        <w:rPr>
          <w:lang w:val="en-CA"/>
        </w:rPr>
        <w:t>“</w:t>
      </w:r>
      <w:proofErr w:type="spellStart"/>
      <w:r w:rsidRPr="005F7CDE">
        <w:rPr>
          <w:lang w:val="en-CA"/>
        </w:rPr>
        <w:t>Shenker</w:t>
      </w:r>
      <w:proofErr w:type="spellEnd"/>
      <w:r w:rsidRPr="005F7CDE">
        <w:rPr>
          <w:lang w:val="en-CA"/>
        </w:rPr>
        <w:t xml:space="preserve"> dispute”).</w:t>
      </w:r>
    </w:p>
    <w:p w14:paraId="4914FCA4" w14:textId="113DCC27" w:rsidR="00D9147E" w:rsidRPr="005F7CDE" w:rsidRDefault="005F7CDE" w:rsidP="00D9147E">
      <w:pPr>
        <w:pStyle w:val="Paragraphe"/>
        <w:numPr>
          <w:ilvl w:val="0"/>
          <w:numId w:val="1"/>
        </w:numPr>
        <w:tabs>
          <w:tab w:val="clear" w:pos="360"/>
        </w:tabs>
        <w:spacing w:line="240" w:lineRule="auto"/>
        <w:rPr>
          <w:lang w:val="en-CA"/>
        </w:rPr>
      </w:pPr>
      <w:r w:rsidRPr="005F7CDE">
        <w:rPr>
          <w:bCs/>
          <w:lang w:val="en-CA"/>
        </w:rPr>
        <w:t xml:space="preserve">It </w:t>
      </w:r>
      <w:r w:rsidR="00063919">
        <w:rPr>
          <w:bCs/>
          <w:lang w:val="en-CA"/>
        </w:rPr>
        <w:t>so happens</w:t>
      </w:r>
      <w:r w:rsidR="00063919" w:rsidRPr="005F7CDE">
        <w:rPr>
          <w:bCs/>
          <w:lang w:val="en-CA"/>
        </w:rPr>
        <w:t xml:space="preserve"> </w:t>
      </w:r>
      <w:r w:rsidRPr="005F7CDE">
        <w:rPr>
          <w:bCs/>
          <w:lang w:val="en-CA"/>
        </w:rPr>
        <w:t>that</w:t>
      </w:r>
      <w:r w:rsidR="004B18B0">
        <w:rPr>
          <w:bCs/>
          <w:lang w:val="en-CA"/>
        </w:rPr>
        <w:t xml:space="preserve"> </w:t>
      </w:r>
      <w:r w:rsidRPr="005F7CDE">
        <w:rPr>
          <w:bCs/>
          <w:lang w:val="en-CA"/>
        </w:rPr>
        <w:t xml:space="preserve">the respondent Woods </w:t>
      </w:r>
      <w:r w:rsidR="00063919">
        <w:rPr>
          <w:bCs/>
          <w:lang w:val="en-CA"/>
        </w:rPr>
        <w:t xml:space="preserve">had </w:t>
      </w:r>
      <w:r w:rsidRPr="005F7CDE">
        <w:rPr>
          <w:bCs/>
          <w:lang w:val="en-CA"/>
        </w:rPr>
        <w:t xml:space="preserve">previously represented Nordic Trustee AS (”Nordic”) in a dispute </w:t>
      </w:r>
      <w:r w:rsidR="00063919">
        <w:rPr>
          <w:bCs/>
          <w:lang w:val="en-CA"/>
        </w:rPr>
        <w:t>with</w:t>
      </w:r>
      <w:r w:rsidRPr="005F7CDE">
        <w:rPr>
          <w:bCs/>
          <w:lang w:val="en-CA"/>
        </w:rPr>
        <w:t xml:space="preserve"> </w:t>
      </w:r>
      <w:proofErr w:type="spellStart"/>
      <w:r w:rsidRPr="005F7CDE">
        <w:rPr>
          <w:bCs/>
          <w:lang w:val="en-CA"/>
        </w:rPr>
        <w:t>Nemaska</w:t>
      </w:r>
      <w:proofErr w:type="spellEnd"/>
      <w:r w:rsidRPr="005F7CDE">
        <w:rPr>
          <w:bCs/>
          <w:lang w:val="en-CA"/>
        </w:rPr>
        <w:t xml:space="preserve"> (</w:t>
      </w:r>
      <w:r w:rsidR="00063919">
        <w:rPr>
          <w:bCs/>
          <w:lang w:val="en-CA"/>
        </w:rPr>
        <w:t>“</w:t>
      </w:r>
      <w:r w:rsidRPr="005F7CDE">
        <w:rPr>
          <w:bCs/>
          <w:lang w:val="en-CA"/>
        </w:rPr>
        <w:t>Nordic dispute”).</w:t>
      </w:r>
      <w:r w:rsidR="00D9147E" w:rsidRPr="005F7CDE">
        <w:rPr>
          <w:lang w:val="en-CA"/>
        </w:rPr>
        <w:t xml:space="preserve"> </w:t>
      </w:r>
      <w:r w:rsidRPr="005F7CDE">
        <w:rPr>
          <w:lang w:val="en-CA"/>
        </w:rPr>
        <w:t xml:space="preserve">In that </w:t>
      </w:r>
      <w:r w:rsidR="00063919">
        <w:rPr>
          <w:lang w:val="en-CA"/>
        </w:rPr>
        <w:t>case</w:t>
      </w:r>
      <w:r w:rsidRPr="005F7CDE">
        <w:rPr>
          <w:lang w:val="en-CA"/>
        </w:rPr>
        <w:t xml:space="preserve">, Woods obtained information during the pre-trial examination </w:t>
      </w:r>
      <w:r w:rsidR="004B18B0">
        <w:rPr>
          <w:lang w:val="en-CA"/>
        </w:rPr>
        <w:t>of the appellant Guy Bo</w:t>
      </w:r>
      <w:r w:rsidRPr="005F7CDE">
        <w:rPr>
          <w:lang w:val="en-CA"/>
        </w:rPr>
        <w:t xml:space="preserve">urassa, </w:t>
      </w:r>
      <w:proofErr w:type="spellStart"/>
      <w:r w:rsidRPr="005F7CDE">
        <w:rPr>
          <w:lang w:val="en-CA"/>
        </w:rPr>
        <w:t>Nemaska’s</w:t>
      </w:r>
      <w:proofErr w:type="spellEnd"/>
      <w:r w:rsidRPr="005F7CDE">
        <w:rPr>
          <w:lang w:val="en-CA"/>
        </w:rPr>
        <w:t xml:space="preserve"> </w:t>
      </w:r>
      <w:r w:rsidR="00063919">
        <w:rPr>
          <w:lang w:val="en-CA"/>
        </w:rPr>
        <w:t>c</w:t>
      </w:r>
      <w:r w:rsidRPr="005F7CDE">
        <w:rPr>
          <w:lang w:val="en-CA"/>
        </w:rPr>
        <w:t>hief executive officer.</w:t>
      </w:r>
      <w:r w:rsidR="00D9147E" w:rsidRPr="005F7CDE">
        <w:rPr>
          <w:lang w:val="en-CA"/>
        </w:rPr>
        <w:t xml:space="preserve"> </w:t>
      </w:r>
      <w:r w:rsidRPr="005F7CDE">
        <w:rPr>
          <w:lang w:val="en-CA"/>
        </w:rPr>
        <w:t xml:space="preserve">That </w:t>
      </w:r>
      <w:r w:rsidR="00063919">
        <w:rPr>
          <w:lang w:val="en-CA"/>
        </w:rPr>
        <w:t>case</w:t>
      </w:r>
      <w:r w:rsidR="00063919" w:rsidRPr="005F7CDE">
        <w:rPr>
          <w:lang w:val="en-CA"/>
        </w:rPr>
        <w:t xml:space="preserve"> </w:t>
      </w:r>
      <w:r w:rsidRPr="005F7CDE">
        <w:rPr>
          <w:lang w:val="en-CA"/>
        </w:rPr>
        <w:t>was settled out of court</w:t>
      </w:r>
      <w:r w:rsidR="00D9147E">
        <w:rPr>
          <w:rStyle w:val="Appelnotedebasdep"/>
        </w:rPr>
        <w:footnoteReference w:id="4"/>
      </w:r>
      <w:r w:rsidRPr="005F7CDE">
        <w:rPr>
          <w:lang w:val="en-CA"/>
        </w:rPr>
        <w:t xml:space="preserve"> </w:t>
      </w:r>
      <w:r w:rsidR="00536C57">
        <w:rPr>
          <w:lang w:val="en-CA"/>
        </w:rPr>
        <w:t>with</w:t>
      </w:r>
      <w:r w:rsidRPr="005F7CDE">
        <w:rPr>
          <w:lang w:val="en-CA"/>
        </w:rPr>
        <w:t xml:space="preserve"> approv</w:t>
      </w:r>
      <w:r w:rsidR="00536C57">
        <w:rPr>
          <w:lang w:val="en-CA"/>
        </w:rPr>
        <w:t xml:space="preserve">al </w:t>
      </w:r>
      <w:r w:rsidRPr="005F7CDE">
        <w:rPr>
          <w:lang w:val="en-CA"/>
        </w:rPr>
        <w:t xml:space="preserve">by the Honourable Louis J. </w:t>
      </w:r>
      <w:proofErr w:type="spellStart"/>
      <w:r w:rsidRPr="005F7CDE">
        <w:rPr>
          <w:lang w:val="en-CA"/>
        </w:rPr>
        <w:t>Gouin</w:t>
      </w:r>
      <w:proofErr w:type="spellEnd"/>
      <w:r w:rsidRPr="005F7CDE">
        <w:rPr>
          <w:lang w:val="en-CA"/>
        </w:rPr>
        <w:t xml:space="preserve"> on February 13,</w:t>
      </w:r>
      <w:r w:rsidR="004B18B0">
        <w:rPr>
          <w:lang w:val="en-CA"/>
        </w:rPr>
        <w:t xml:space="preserve"> </w:t>
      </w:r>
      <w:r w:rsidRPr="005F7CDE">
        <w:rPr>
          <w:lang w:val="en-CA"/>
        </w:rPr>
        <w:t>2020.</w:t>
      </w:r>
      <w:r w:rsidR="00D9147E">
        <w:rPr>
          <w:rStyle w:val="Appelnotedebasdep"/>
        </w:rPr>
        <w:footnoteReference w:id="5"/>
      </w:r>
      <w:r w:rsidR="00D9147E" w:rsidRPr="005F7CDE">
        <w:rPr>
          <w:lang w:val="en-CA"/>
        </w:rPr>
        <w:t xml:space="preserve"> </w:t>
      </w:r>
      <w:r w:rsidR="0076279D">
        <w:rPr>
          <w:lang w:val="en-CA"/>
        </w:rPr>
        <w:t>At the same time</w:t>
      </w:r>
      <w:r w:rsidRPr="005F7CDE">
        <w:rPr>
          <w:lang w:val="en-CA"/>
        </w:rPr>
        <w:t xml:space="preserve">, the judge ordered that any exhibits disclosed in the Nordic dispute and any related pleadings be withdrawn from the </w:t>
      </w:r>
      <w:r w:rsidR="00536C57">
        <w:rPr>
          <w:lang w:val="en-CA"/>
        </w:rPr>
        <w:t>record</w:t>
      </w:r>
      <w:r w:rsidR="006A5977">
        <w:rPr>
          <w:lang w:val="en-CA"/>
        </w:rPr>
        <w:t>.</w:t>
      </w:r>
    </w:p>
    <w:p w14:paraId="452D099A" w14:textId="465C7C62" w:rsidR="00D9147E" w:rsidRPr="00483982" w:rsidRDefault="005F7CDE" w:rsidP="00D9147E">
      <w:pPr>
        <w:pStyle w:val="Paragraphe"/>
        <w:numPr>
          <w:ilvl w:val="0"/>
          <w:numId w:val="1"/>
        </w:numPr>
        <w:tabs>
          <w:tab w:val="clear" w:pos="360"/>
        </w:tabs>
        <w:spacing w:line="240" w:lineRule="auto"/>
        <w:rPr>
          <w:lang w:val="en-CA"/>
        </w:rPr>
      </w:pPr>
      <w:r w:rsidRPr="005F7CDE">
        <w:rPr>
          <w:lang w:val="en-CA"/>
        </w:rPr>
        <w:t xml:space="preserve">On January 27, 2021, the appellants filed an </w:t>
      </w:r>
      <w:r w:rsidR="00466894" w:rsidRPr="005F7CDE">
        <w:rPr>
          <w:lang w:val="en-CA"/>
        </w:rPr>
        <w:t>application</w:t>
      </w:r>
      <w:r w:rsidRPr="005F7CDE">
        <w:rPr>
          <w:lang w:val="en-CA"/>
        </w:rPr>
        <w:t xml:space="preserve"> to disqualify Woods.</w:t>
      </w:r>
      <w:r w:rsidR="00D9147E" w:rsidRPr="005F7CDE">
        <w:rPr>
          <w:lang w:val="en-CA"/>
        </w:rPr>
        <w:t xml:space="preserve"> </w:t>
      </w:r>
      <w:r w:rsidRPr="005F7CDE">
        <w:rPr>
          <w:lang w:val="en-CA"/>
        </w:rPr>
        <w:t>The parties agree that the Nordi</w:t>
      </w:r>
      <w:r w:rsidR="00466894">
        <w:rPr>
          <w:lang w:val="en-CA"/>
        </w:rPr>
        <w:t>c</w:t>
      </w:r>
      <w:r w:rsidRPr="005F7CDE">
        <w:rPr>
          <w:lang w:val="en-CA"/>
        </w:rPr>
        <w:t xml:space="preserve"> and </w:t>
      </w:r>
      <w:proofErr w:type="spellStart"/>
      <w:r w:rsidRPr="005F7CDE">
        <w:rPr>
          <w:lang w:val="en-CA"/>
        </w:rPr>
        <w:t>Shenker</w:t>
      </w:r>
      <w:proofErr w:type="spellEnd"/>
      <w:r w:rsidRPr="005F7CDE">
        <w:rPr>
          <w:lang w:val="en-CA"/>
        </w:rPr>
        <w:t xml:space="preserve"> disputes are </w:t>
      </w:r>
      <w:r w:rsidR="00466894">
        <w:rPr>
          <w:lang w:val="en-CA"/>
        </w:rPr>
        <w:t>related</w:t>
      </w:r>
      <w:r w:rsidR="00536C57">
        <w:rPr>
          <w:lang w:val="en-CA"/>
        </w:rPr>
        <w:t>,</w:t>
      </w:r>
      <w:r w:rsidRPr="005F7CDE">
        <w:rPr>
          <w:lang w:val="en-CA"/>
        </w:rPr>
        <w:t xml:space="preserve"> and </w:t>
      </w:r>
      <w:r w:rsidR="00536C57">
        <w:rPr>
          <w:lang w:val="en-CA"/>
        </w:rPr>
        <w:t xml:space="preserve">both </w:t>
      </w:r>
      <w:r w:rsidRPr="005F7CDE">
        <w:rPr>
          <w:lang w:val="en-CA"/>
        </w:rPr>
        <w:t xml:space="preserve">raise allegations of misrepresentations by </w:t>
      </w:r>
      <w:proofErr w:type="spellStart"/>
      <w:r w:rsidRPr="005F7CDE">
        <w:rPr>
          <w:lang w:val="en-CA"/>
        </w:rPr>
        <w:t>Nemaska</w:t>
      </w:r>
      <w:proofErr w:type="spellEnd"/>
      <w:r w:rsidRPr="005F7CDE">
        <w:rPr>
          <w:lang w:val="en-CA"/>
        </w:rPr>
        <w:t xml:space="preserve"> and its former officers.</w:t>
      </w:r>
      <w:r w:rsidR="00D9147E" w:rsidRPr="005F7CDE">
        <w:rPr>
          <w:lang w:val="en-CA"/>
        </w:rPr>
        <w:t xml:space="preserve"> </w:t>
      </w:r>
      <w:r w:rsidR="00483982" w:rsidRPr="00483982">
        <w:rPr>
          <w:lang w:val="en-CA"/>
        </w:rPr>
        <w:t xml:space="preserve">Similarly, Woods admits that it has information </w:t>
      </w:r>
      <w:r w:rsidR="00466894" w:rsidRPr="00483982">
        <w:rPr>
          <w:lang w:val="en-CA"/>
        </w:rPr>
        <w:t>relevant</w:t>
      </w:r>
      <w:r w:rsidR="00483982" w:rsidRPr="00483982">
        <w:rPr>
          <w:lang w:val="en-CA"/>
        </w:rPr>
        <w:t xml:space="preserve"> to the </w:t>
      </w:r>
      <w:proofErr w:type="spellStart"/>
      <w:r w:rsidR="00483982" w:rsidRPr="00483982">
        <w:rPr>
          <w:lang w:val="en-CA"/>
        </w:rPr>
        <w:t>Shenker</w:t>
      </w:r>
      <w:proofErr w:type="spellEnd"/>
      <w:r w:rsidR="00483982" w:rsidRPr="00483982">
        <w:rPr>
          <w:lang w:val="en-CA"/>
        </w:rPr>
        <w:t xml:space="preserve"> dispute </w:t>
      </w:r>
      <w:r w:rsidR="00466894">
        <w:rPr>
          <w:lang w:val="en-CA"/>
        </w:rPr>
        <w:t xml:space="preserve">that </w:t>
      </w:r>
      <w:r w:rsidR="005A27F9">
        <w:rPr>
          <w:lang w:val="en-CA"/>
        </w:rPr>
        <w:t xml:space="preserve">it </w:t>
      </w:r>
      <w:r w:rsidR="00483982" w:rsidRPr="00483982">
        <w:rPr>
          <w:lang w:val="en-CA"/>
        </w:rPr>
        <w:t>obtained in the Nordic dispute</w:t>
      </w:r>
      <w:r w:rsidR="005A27F9">
        <w:rPr>
          <w:lang w:val="en-CA"/>
        </w:rPr>
        <w:t xml:space="preserve">, which </w:t>
      </w:r>
      <w:r w:rsidR="00483982" w:rsidRPr="00483982">
        <w:rPr>
          <w:lang w:val="en-CA"/>
        </w:rPr>
        <w:t xml:space="preserve">is subject to both the IRC and </w:t>
      </w:r>
      <w:r w:rsidR="00466894" w:rsidRPr="00483982">
        <w:rPr>
          <w:lang w:val="en-CA"/>
        </w:rPr>
        <w:t xml:space="preserve">undertakings </w:t>
      </w:r>
      <w:r w:rsidR="00466894">
        <w:rPr>
          <w:lang w:val="en-CA"/>
        </w:rPr>
        <w:t xml:space="preserve">of </w:t>
      </w:r>
      <w:r w:rsidR="00483982" w:rsidRPr="00483982">
        <w:rPr>
          <w:lang w:val="en-CA"/>
        </w:rPr>
        <w:t xml:space="preserve">confidentiality </w:t>
      </w:r>
      <w:r w:rsidR="005A27F9">
        <w:rPr>
          <w:lang w:val="en-CA"/>
        </w:rPr>
        <w:t xml:space="preserve">of which </w:t>
      </w:r>
      <w:r w:rsidR="00483982" w:rsidRPr="00483982">
        <w:rPr>
          <w:lang w:val="en-CA"/>
        </w:rPr>
        <w:t xml:space="preserve">the Court took </w:t>
      </w:r>
      <w:r w:rsidR="00466894">
        <w:rPr>
          <w:lang w:val="en-CA"/>
        </w:rPr>
        <w:t xml:space="preserve">act </w:t>
      </w:r>
      <w:r w:rsidR="00483982" w:rsidRPr="00483982">
        <w:rPr>
          <w:lang w:val="en-CA"/>
        </w:rPr>
        <w:t>in a case management order:</w:t>
      </w:r>
      <w:r w:rsidR="00D9147E">
        <w:rPr>
          <w:vertAlign w:val="superscript"/>
        </w:rPr>
        <w:footnoteReference w:id="6"/>
      </w:r>
    </w:p>
    <w:p w14:paraId="6BD6339B" w14:textId="6AFFE413" w:rsidR="00D9147E" w:rsidRPr="008048F0" w:rsidRDefault="00483982" w:rsidP="00D9147E">
      <w:pPr>
        <w:spacing w:after="120" w:line="240" w:lineRule="auto"/>
        <w:ind w:left="720" w:right="720"/>
        <w:jc w:val="both"/>
        <w:rPr>
          <w:kern w:val="28"/>
          <w:sz w:val="22"/>
          <w:szCs w:val="22"/>
          <w:lang w:val="en-CA" w:eastAsia="fr-CA"/>
        </w:rPr>
      </w:pPr>
      <w:r w:rsidRPr="00483982">
        <w:rPr>
          <w:b/>
          <w:bCs/>
          <w:kern w:val="28"/>
          <w:sz w:val="22"/>
          <w:szCs w:val="22"/>
          <w:lang w:val="en-CA" w:eastAsia="fr-CA"/>
        </w:rPr>
        <w:t xml:space="preserve">TAKES ACT </w:t>
      </w:r>
      <w:r w:rsidRPr="00483982">
        <w:rPr>
          <w:bCs/>
          <w:kern w:val="28"/>
          <w:sz w:val="22"/>
          <w:szCs w:val="22"/>
          <w:lang w:val="en-CA" w:eastAsia="fr-CA"/>
        </w:rPr>
        <w:t xml:space="preserve">of Nordic's undertaking to keep confidential all information received from </w:t>
      </w:r>
      <w:proofErr w:type="spellStart"/>
      <w:r w:rsidRPr="00483982">
        <w:rPr>
          <w:bCs/>
          <w:kern w:val="28"/>
          <w:sz w:val="22"/>
          <w:szCs w:val="22"/>
          <w:lang w:val="en-CA" w:eastAsia="fr-CA"/>
        </w:rPr>
        <w:t>Nemaska</w:t>
      </w:r>
      <w:proofErr w:type="spellEnd"/>
      <w:r w:rsidRPr="00483982">
        <w:rPr>
          <w:bCs/>
          <w:kern w:val="28"/>
          <w:sz w:val="22"/>
          <w:szCs w:val="22"/>
          <w:lang w:val="en-CA" w:eastAsia="fr-CA"/>
        </w:rPr>
        <w:t xml:space="preserve"> until further instructions from the Court and to take the necessary steps to have the members of the Bondholders </w:t>
      </w:r>
      <w:r w:rsidRPr="00483982">
        <w:rPr>
          <w:bCs/>
          <w:i/>
          <w:kern w:val="28"/>
          <w:sz w:val="22"/>
          <w:szCs w:val="22"/>
          <w:lang w:val="en-CA" w:eastAsia="fr-CA"/>
        </w:rPr>
        <w:t xml:space="preserve">Ad Hoc </w:t>
      </w:r>
      <w:r w:rsidRPr="00483982">
        <w:rPr>
          <w:bCs/>
          <w:kern w:val="28"/>
          <w:sz w:val="22"/>
          <w:szCs w:val="22"/>
          <w:lang w:val="en-CA" w:eastAsia="fr-CA"/>
        </w:rPr>
        <w:t xml:space="preserve">Committee to return to </w:t>
      </w:r>
      <w:proofErr w:type="spellStart"/>
      <w:r w:rsidRPr="00483982">
        <w:rPr>
          <w:bCs/>
          <w:kern w:val="28"/>
          <w:sz w:val="22"/>
          <w:szCs w:val="22"/>
          <w:lang w:val="en-CA" w:eastAsia="fr-CA"/>
        </w:rPr>
        <w:t>Nemaska</w:t>
      </w:r>
      <w:proofErr w:type="spellEnd"/>
      <w:r w:rsidRPr="00483982">
        <w:rPr>
          <w:bCs/>
          <w:kern w:val="28"/>
          <w:sz w:val="22"/>
          <w:szCs w:val="22"/>
          <w:lang w:val="en-CA" w:eastAsia="fr-CA"/>
        </w:rPr>
        <w:t xml:space="preserve"> Exhibit R-2 of the Contestation.</w:t>
      </w:r>
    </w:p>
    <w:p w14:paraId="1386B946" w14:textId="4269A123" w:rsidR="00D9147E" w:rsidRPr="00483982" w:rsidRDefault="00483982" w:rsidP="00D9147E">
      <w:pPr>
        <w:pStyle w:val="Paragraphe"/>
        <w:numPr>
          <w:ilvl w:val="0"/>
          <w:numId w:val="1"/>
        </w:numPr>
        <w:tabs>
          <w:tab w:val="clear" w:pos="360"/>
        </w:tabs>
        <w:spacing w:line="240" w:lineRule="auto"/>
        <w:rPr>
          <w:lang w:val="en-CA"/>
        </w:rPr>
      </w:pPr>
      <w:r w:rsidRPr="00E44A1E">
        <w:rPr>
          <w:lang w:val="en-CA"/>
        </w:rPr>
        <w:t xml:space="preserve">Mtre Bogdan </w:t>
      </w:r>
      <w:proofErr w:type="spellStart"/>
      <w:r w:rsidRPr="00E44A1E">
        <w:rPr>
          <w:lang w:val="en-CA"/>
        </w:rPr>
        <w:t>Catanu</w:t>
      </w:r>
      <w:proofErr w:type="spellEnd"/>
      <w:r w:rsidRPr="00E44A1E">
        <w:rPr>
          <w:lang w:val="en-CA"/>
        </w:rPr>
        <w:t xml:space="preserve"> and Mtre Neil Peden, </w:t>
      </w:r>
      <w:r w:rsidR="006F1AAF">
        <w:rPr>
          <w:lang w:val="en-CA"/>
        </w:rPr>
        <w:t>who work for</w:t>
      </w:r>
      <w:r w:rsidRPr="00E44A1E">
        <w:rPr>
          <w:lang w:val="en-CA"/>
        </w:rPr>
        <w:t xml:space="preserve"> the respondent Woods, are representing the respondents.</w:t>
      </w:r>
      <w:r w:rsidR="00D9147E" w:rsidRPr="00483982">
        <w:rPr>
          <w:lang w:val="en-CA"/>
        </w:rPr>
        <w:t xml:space="preserve"> </w:t>
      </w:r>
      <w:r w:rsidRPr="00483982">
        <w:rPr>
          <w:lang w:val="en-CA"/>
        </w:rPr>
        <w:t xml:space="preserve">In the </w:t>
      </w:r>
      <w:r w:rsidR="005A27F9">
        <w:rPr>
          <w:lang w:val="en-CA"/>
        </w:rPr>
        <w:t>affidavits</w:t>
      </w:r>
      <w:r w:rsidRPr="00483982">
        <w:rPr>
          <w:lang w:val="en-CA"/>
        </w:rPr>
        <w:t xml:space="preserve"> filed in response to the application fo</w:t>
      </w:r>
      <w:r w:rsidR="006F1AAF">
        <w:rPr>
          <w:lang w:val="en-CA"/>
        </w:rPr>
        <w:t>r disqualification, they claim</w:t>
      </w:r>
      <w:r w:rsidRPr="00483982">
        <w:rPr>
          <w:lang w:val="en-CA"/>
        </w:rPr>
        <w:t xml:space="preserve"> that they did not use the information in question to prepare the ori</w:t>
      </w:r>
      <w:r w:rsidR="006F1AAF">
        <w:rPr>
          <w:lang w:val="en-CA"/>
        </w:rPr>
        <w:t>ginating application</w:t>
      </w:r>
      <w:r w:rsidR="0076279D">
        <w:rPr>
          <w:lang w:val="en-CA"/>
        </w:rPr>
        <w:t>,</w:t>
      </w:r>
      <w:r w:rsidR="006F1AAF">
        <w:rPr>
          <w:lang w:val="en-CA"/>
        </w:rPr>
        <w:t xml:space="preserve"> and </w:t>
      </w:r>
      <w:r w:rsidR="009A323C">
        <w:rPr>
          <w:lang w:val="en-CA"/>
        </w:rPr>
        <w:t xml:space="preserve">they describe </w:t>
      </w:r>
      <w:r w:rsidRPr="00483982">
        <w:rPr>
          <w:lang w:val="en-CA"/>
        </w:rPr>
        <w:t xml:space="preserve">the measures taken by the respondent Woods to </w:t>
      </w:r>
      <w:r w:rsidR="009A323C">
        <w:rPr>
          <w:lang w:val="en-CA"/>
        </w:rPr>
        <w:t xml:space="preserve">comply with </w:t>
      </w:r>
      <w:r w:rsidRPr="00483982">
        <w:rPr>
          <w:lang w:val="en-CA"/>
        </w:rPr>
        <w:t>its legal and ethical duty of confidentiality.</w:t>
      </w:r>
      <w:r w:rsidR="00D9147E" w:rsidRPr="00483982">
        <w:rPr>
          <w:lang w:val="en-CA"/>
        </w:rPr>
        <w:t xml:space="preserve"> </w:t>
      </w:r>
      <w:r w:rsidR="006F1AAF">
        <w:rPr>
          <w:lang w:val="en-CA"/>
        </w:rPr>
        <w:t>Thus,</w:t>
      </w:r>
      <w:r w:rsidR="006F1AAF" w:rsidRPr="00483982">
        <w:rPr>
          <w:lang w:val="en-CA"/>
        </w:rPr>
        <w:t xml:space="preserve"> in their mandate letter with the respondents</w:t>
      </w:r>
      <w:r w:rsidR="006F1AAF">
        <w:rPr>
          <w:lang w:val="en-CA"/>
        </w:rPr>
        <w:t>, t</w:t>
      </w:r>
      <w:r w:rsidRPr="00483982">
        <w:rPr>
          <w:lang w:val="en-CA"/>
        </w:rPr>
        <w:t>hey</w:t>
      </w:r>
      <w:r w:rsidR="006F1AAF">
        <w:rPr>
          <w:lang w:val="en-CA"/>
        </w:rPr>
        <w:t xml:space="preserve"> </w:t>
      </w:r>
      <w:r w:rsidRPr="00483982">
        <w:rPr>
          <w:lang w:val="en-CA"/>
        </w:rPr>
        <w:t xml:space="preserve">included a statement </w:t>
      </w:r>
      <w:r>
        <w:rPr>
          <w:lang w:val="en-CA"/>
        </w:rPr>
        <w:t>th</w:t>
      </w:r>
      <w:r w:rsidRPr="00483982">
        <w:rPr>
          <w:lang w:val="en-CA"/>
        </w:rPr>
        <w:t xml:space="preserve">at the firm had received information in a previous dispute and </w:t>
      </w:r>
      <w:r w:rsidR="008015DC">
        <w:rPr>
          <w:lang w:val="en-CA"/>
        </w:rPr>
        <w:t xml:space="preserve">that they </w:t>
      </w:r>
      <w:r w:rsidRPr="00483982">
        <w:rPr>
          <w:lang w:val="en-CA"/>
        </w:rPr>
        <w:t xml:space="preserve">reserved the right to use </w:t>
      </w:r>
      <w:r w:rsidR="006F1AAF">
        <w:rPr>
          <w:lang w:val="en-CA"/>
        </w:rPr>
        <w:t>it</w:t>
      </w:r>
      <w:r w:rsidRPr="00483982">
        <w:rPr>
          <w:lang w:val="en-CA"/>
        </w:rPr>
        <w:t xml:space="preserve"> or disclose </w:t>
      </w:r>
      <w:r w:rsidR="006F1AAF">
        <w:rPr>
          <w:lang w:val="en-CA"/>
        </w:rPr>
        <w:t>it</w:t>
      </w:r>
      <w:r w:rsidRPr="00483982">
        <w:rPr>
          <w:lang w:val="en-CA"/>
        </w:rPr>
        <w:t xml:space="preserve"> only in compliance with their legal and ethical duty of confidentiality.</w:t>
      </w:r>
    </w:p>
    <w:p w14:paraId="327E5E90" w14:textId="77777777" w:rsidR="00D9147E" w:rsidRDefault="00D9147E" w:rsidP="00D9147E">
      <w:pPr>
        <w:pStyle w:val="Paragraphe"/>
        <w:numPr>
          <w:ilvl w:val="0"/>
          <w:numId w:val="0"/>
        </w:numPr>
        <w:spacing w:line="240" w:lineRule="auto"/>
        <w:jc w:val="center"/>
      </w:pPr>
      <w:r>
        <w:t>****</w:t>
      </w:r>
    </w:p>
    <w:p w14:paraId="34FE93A1" w14:textId="6EFA42C2" w:rsidR="00D9147E" w:rsidRPr="00483982" w:rsidRDefault="00483982" w:rsidP="00D9147E">
      <w:pPr>
        <w:pStyle w:val="Paragraphe"/>
        <w:numPr>
          <w:ilvl w:val="0"/>
          <w:numId w:val="1"/>
        </w:numPr>
        <w:spacing w:line="240" w:lineRule="auto"/>
        <w:rPr>
          <w:lang w:val="en-CA"/>
        </w:rPr>
      </w:pPr>
      <w:r w:rsidRPr="00E44A1E">
        <w:rPr>
          <w:lang w:val="en-CA"/>
        </w:rPr>
        <w:lastRenderedPageBreak/>
        <w:t xml:space="preserve">The judge dismissed the </w:t>
      </w:r>
      <w:r w:rsidR="006F1AAF" w:rsidRPr="00E44A1E">
        <w:rPr>
          <w:lang w:val="en-CA"/>
        </w:rPr>
        <w:t>application</w:t>
      </w:r>
      <w:r w:rsidRPr="00E44A1E">
        <w:rPr>
          <w:lang w:val="en-CA"/>
        </w:rPr>
        <w:t xml:space="preserve"> for disqualification.</w:t>
      </w:r>
      <w:r w:rsidR="00D9147E" w:rsidRPr="00483982">
        <w:rPr>
          <w:lang w:val="en-CA"/>
        </w:rPr>
        <w:t xml:space="preserve"> </w:t>
      </w:r>
      <w:bookmarkStart w:id="6" w:name="_Ref94507554"/>
      <w:r w:rsidRPr="00483982">
        <w:rPr>
          <w:lang w:val="en-CA"/>
        </w:rPr>
        <w:t xml:space="preserve">While he recognized the importance of the IRC, he set aside the appellants’ argument that the principles established in </w:t>
      </w:r>
      <w:r w:rsidRPr="00483982">
        <w:rPr>
          <w:i/>
          <w:lang w:val="en-CA"/>
        </w:rPr>
        <w:t>MacDonald Estate</w:t>
      </w:r>
      <w:r w:rsidR="00D9147E">
        <w:rPr>
          <w:rStyle w:val="Appelnotedebasdep"/>
        </w:rPr>
        <w:footnoteReference w:id="7"/>
      </w:r>
      <w:bookmarkEnd w:id="6"/>
      <w:r w:rsidRPr="00483982">
        <w:rPr>
          <w:i/>
          <w:lang w:val="en-CA"/>
        </w:rPr>
        <w:t xml:space="preserve"> </w:t>
      </w:r>
      <w:r w:rsidRPr="00483982">
        <w:rPr>
          <w:lang w:val="en-CA"/>
        </w:rPr>
        <w:t xml:space="preserve">in matters of conflicts of interest and solicitor-client privilege should apply to </w:t>
      </w:r>
      <w:r w:rsidR="005C42F0">
        <w:rPr>
          <w:lang w:val="en-CA"/>
        </w:rPr>
        <w:t>those rules</w:t>
      </w:r>
      <w:r w:rsidRPr="00483982">
        <w:rPr>
          <w:lang w:val="en-CA"/>
        </w:rPr>
        <w:t>.</w:t>
      </w:r>
      <w:r w:rsidR="00D9147E" w:rsidRPr="00483982">
        <w:rPr>
          <w:lang w:val="en-CA"/>
        </w:rPr>
        <w:t xml:space="preserve"> </w:t>
      </w:r>
      <w:r w:rsidRPr="00483982">
        <w:rPr>
          <w:lang w:val="en-CA"/>
        </w:rPr>
        <w:t xml:space="preserve">In his view, the appellants’ theory would mean that a lawyer could not represent the same party twice </w:t>
      </w:r>
      <w:r w:rsidR="006F1AAF">
        <w:rPr>
          <w:lang w:val="en-CA"/>
        </w:rPr>
        <w:t>if</w:t>
      </w:r>
      <w:r w:rsidRPr="00483982">
        <w:rPr>
          <w:lang w:val="en-CA"/>
        </w:rPr>
        <w:t xml:space="preserve"> the files ha</w:t>
      </w:r>
      <w:r w:rsidR="006F1AAF">
        <w:rPr>
          <w:lang w:val="en-CA"/>
        </w:rPr>
        <w:t>d</w:t>
      </w:r>
      <w:r w:rsidRPr="00483982">
        <w:rPr>
          <w:lang w:val="en-CA"/>
        </w:rPr>
        <w:t xml:space="preserve"> </w:t>
      </w:r>
      <w:r w:rsidR="006F1AAF">
        <w:rPr>
          <w:lang w:val="en-CA"/>
        </w:rPr>
        <w:t xml:space="preserve">any </w:t>
      </w:r>
      <w:r w:rsidRPr="00483982">
        <w:rPr>
          <w:lang w:val="en-CA"/>
        </w:rPr>
        <w:t>related elements.</w:t>
      </w:r>
      <w:r w:rsidR="00D9147E" w:rsidRPr="00483982">
        <w:rPr>
          <w:lang w:val="en-CA"/>
        </w:rPr>
        <w:t xml:space="preserve"> </w:t>
      </w:r>
      <w:r w:rsidRPr="00483982">
        <w:rPr>
          <w:lang w:val="en-CA"/>
        </w:rPr>
        <w:t xml:space="preserve">It was his view that this is neither the state of the law </w:t>
      </w:r>
      <w:r w:rsidR="006F1AAF">
        <w:rPr>
          <w:lang w:val="en-CA"/>
        </w:rPr>
        <w:t>n</w:t>
      </w:r>
      <w:r w:rsidRPr="00483982">
        <w:rPr>
          <w:lang w:val="en-CA"/>
        </w:rPr>
        <w:t xml:space="preserve">or </w:t>
      </w:r>
      <w:r w:rsidR="006F1AAF">
        <w:rPr>
          <w:lang w:val="en-CA"/>
        </w:rPr>
        <w:t xml:space="preserve">that </w:t>
      </w:r>
      <w:r w:rsidRPr="00483982">
        <w:rPr>
          <w:lang w:val="en-CA"/>
        </w:rPr>
        <w:t xml:space="preserve">of </w:t>
      </w:r>
      <w:r w:rsidR="006F1AAF">
        <w:rPr>
          <w:lang w:val="en-CA"/>
        </w:rPr>
        <w:t xml:space="preserve">its </w:t>
      </w:r>
      <w:r w:rsidRPr="00483982">
        <w:rPr>
          <w:lang w:val="en-CA"/>
        </w:rPr>
        <w:t>practise.</w:t>
      </w:r>
    </w:p>
    <w:p w14:paraId="25724EBF" w14:textId="25259FD8" w:rsidR="00D9147E" w:rsidRPr="00483982" w:rsidRDefault="00483982" w:rsidP="00D9147E">
      <w:pPr>
        <w:pStyle w:val="Paragraphe"/>
        <w:numPr>
          <w:ilvl w:val="0"/>
          <w:numId w:val="1"/>
        </w:numPr>
        <w:spacing w:line="240" w:lineRule="auto"/>
        <w:rPr>
          <w:lang w:val="en-CA"/>
        </w:rPr>
      </w:pPr>
      <w:r w:rsidRPr="00483982">
        <w:rPr>
          <w:lang w:val="en-CA"/>
        </w:rPr>
        <w:t xml:space="preserve">The judge noted that the information in question included </w:t>
      </w:r>
      <w:r w:rsidR="00987D90">
        <w:rPr>
          <w:lang w:val="en-CA"/>
        </w:rPr>
        <w:t>nothing</w:t>
      </w:r>
      <w:r w:rsidRPr="00483982">
        <w:rPr>
          <w:lang w:val="en-CA"/>
        </w:rPr>
        <w:t xml:space="preserve"> covered by solicitor-client privilege </w:t>
      </w:r>
      <w:r w:rsidR="00D54320">
        <w:rPr>
          <w:lang w:val="en-CA"/>
        </w:rPr>
        <w:t xml:space="preserve">or </w:t>
      </w:r>
      <w:r w:rsidRPr="00483982">
        <w:rPr>
          <w:lang w:val="en-CA"/>
        </w:rPr>
        <w:t xml:space="preserve">settlement or litigation privilege. Its </w:t>
      </w:r>
      <w:r w:rsidR="00D54320" w:rsidRPr="00483982">
        <w:rPr>
          <w:lang w:val="en-CA"/>
        </w:rPr>
        <w:t>disclosure</w:t>
      </w:r>
      <w:r w:rsidRPr="00483982">
        <w:rPr>
          <w:lang w:val="en-CA"/>
        </w:rPr>
        <w:t xml:space="preserve"> in a pre-trial examination does not </w:t>
      </w:r>
      <w:r w:rsidR="00987D90">
        <w:rPr>
          <w:lang w:val="en-CA"/>
        </w:rPr>
        <w:t xml:space="preserve">confer on </w:t>
      </w:r>
      <w:r w:rsidR="00D54320">
        <w:rPr>
          <w:lang w:val="en-CA"/>
        </w:rPr>
        <w:t>it</w:t>
      </w:r>
      <w:r w:rsidRPr="00483982">
        <w:rPr>
          <w:lang w:val="en-CA"/>
        </w:rPr>
        <w:t xml:space="preserve"> an</w:t>
      </w:r>
      <w:r w:rsidR="00987D90">
        <w:rPr>
          <w:lang w:val="en-CA"/>
        </w:rPr>
        <w:t>y</w:t>
      </w:r>
      <w:r w:rsidRPr="00483982">
        <w:rPr>
          <w:lang w:val="en-CA"/>
        </w:rPr>
        <w:t xml:space="preserve"> additional privilege and does not </w:t>
      </w:r>
      <w:r w:rsidR="00D54320" w:rsidRPr="00483982">
        <w:rPr>
          <w:lang w:val="en-CA"/>
        </w:rPr>
        <w:t>entail</w:t>
      </w:r>
      <w:r w:rsidRPr="00483982">
        <w:rPr>
          <w:lang w:val="en-CA"/>
        </w:rPr>
        <w:t xml:space="preserve"> </w:t>
      </w:r>
      <w:r w:rsidR="00D54320">
        <w:rPr>
          <w:lang w:val="en-CA"/>
        </w:rPr>
        <w:t>its</w:t>
      </w:r>
      <w:r w:rsidRPr="00483982">
        <w:rPr>
          <w:lang w:val="en-CA"/>
        </w:rPr>
        <w:t xml:space="preserve"> protection under solicitor-client privilege in any other subsequent case, even </w:t>
      </w:r>
      <w:r w:rsidR="00987D90">
        <w:rPr>
          <w:lang w:val="en-CA"/>
        </w:rPr>
        <w:t xml:space="preserve">one </w:t>
      </w:r>
      <w:r w:rsidRPr="00483982">
        <w:rPr>
          <w:lang w:val="en-CA"/>
        </w:rPr>
        <w:t xml:space="preserve">that is related. </w:t>
      </w:r>
      <w:r w:rsidR="00D9147E" w:rsidRPr="00483982">
        <w:rPr>
          <w:lang w:val="en-CA"/>
        </w:rPr>
        <w:t xml:space="preserve"> </w:t>
      </w:r>
    </w:p>
    <w:p w14:paraId="2D43C543" w14:textId="737EA766" w:rsidR="00D9147E" w:rsidRPr="00483982" w:rsidRDefault="00F7672E" w:rsidP="00D9147E">
      <w:pPr>
        <w:pStyle w:val="Paragraphe"/>
        <w:numPr>
          <w:ilvl w:val="0"/>
          <w:numId w:val="1"/>
        </w:numPr>
        <w:spacing w:line="240" w:lineRule="auto"/>
        <w:rPr>
          <w:lang w:val="en-CA"/>
        </w:rPr>
      </w:pPr>
      <w:r>
        <w:rPr>
          <w:lang w:val="en-CA"/>
        </w:rPr>
        <w:t>I</w:t>
      </w:r>
      <w:r w:rsidR="00483982" w:rsidRPr="00483982">
        <w:rPr>
          <w:lang w:val="en-CA"/>
        </w:rPr>
        <w:t xml:space="preserve">t is therefore possible for </w:t>
      </w:r>
      <w:r w:rsidR="00D54320" w:rsidRPr="00483982">
        <w:rPr>
          <w:lang w:val="en-CA"/>
        </w:rPr>
        <w:t>the</w:t>
      </w:r>
      <w:r w:rsidR="00483982" w:rsidRPr="00483982">
        <w:rPr>
          <w:lang w:val="en-CA"/>
        </w:rPr>
        <w:t xml:space="preserve"> same information</w:t>
      </w:r>
      <w:r>
        <w:rPr>
          <w:lang w:val="en-CA"/>
        </w:rPr>
        <w:t>, subject to its relevance,</w:t>
      </w:r>
      <w:r w:rsidR="00483982" w:rsidRPr="00483982">
        <w:rPr>
          <w:lang w:val="en-CA"/>
        </w:rPr>
        <w:t xml:space="preserve"> to be disclosed in </w:t>
      </w:r>
      <w:r w:rsidR="00D54320" w:rsidRPr="00483982">
        <w:rPr>
          <w:lang w:val="en-CA"/>
        </w:rPr>
        <w:t>the</w:t>
      </w:r>
      <w:r w:rsidR="00483982" w:rsidRPr="00483982">
        <w:rPr>
          <w:lang w:val="en-CA"/>
        </w:rPr>
        <w:t xml:space="preserve"> context of </w:t>
      </w:r>
      <w:r w:rsidR="00D54320" w:rsidRPr="00483982">
        <w:rPr>
          <w:lang w:val="en-CA"/>
        </w:rPr>
        <w:t>the</w:t>
      </w:r>
      <w:r w:rsidR="00483982" w:rsidRPr="00483982">
        <w:rPr>
          <w:lang w:val="en-CA"/>
        </w:rPr>
        <w:t xml:space="preserve"> </w:t>
      </w:r>
      <w:proofErr w:type="spellStart"/>
      <w:r w:rsidR="00483982" w:rsidRPr="00483982">
        <w:rPr>
          <w:lang w:val="en-CA"/>
        </w:rPr>
        <w:t>Shenker</w:t>
      </w:r>
      <w:proofErr w:type="spellEnd"/>
      <w:r w:rsidR="00483982" w:rsidRPr="00483982">
        <w:rPr>
          <w:lang w:val="en-CA"/>
        </w:rPr>
        <w:t xml:space="preserve"> dispute.</w:t>
      </w:r>
      <w:r w:rsidR="00D9147E" w:rsidRPr="00483982">
        <w:rPr>
          <w:lang w:val="en-CA"/>
        </w:rPr>
        <w:t xml:space="preserve"> </w:t>
      </w:r>
      <w:r w:rsidR="00483982" w:rsidRPr="00483982">
        <w:rPr>
          <w:lang w:val="en-CA"/>
        </w:rPr>
        <w:t>Admittedly, Woods is still subject to the IRC, the confidentiality orders rendered</w:t>
      </w:r>
      <w:r w:rsidR="00D54320">
        <w:rPr>
          <w:lang w:val="en-CA"/>
        </w:rPr>
        <w:t>,</w:t>
      </w:r>
      <w:r w:rsidR="00483982" w:rsidRPr="00483982">
        <w:rPr>
          <w:lang w:val="en-CA"/>
        </w:rPr>
        <w:t xml:space="preserve"> and the undertakings of confidentiality </w:t>
      </w:r>
      <w:r>
        <w:rPr>
          <w:lang w:val="en-CA"/>
        </w:rPr>
        <w:t xml:space="preserve">made </w:t>
      </w:r>
      <w:r w:rsidR="00483982" w:rsidRPr="00483982">
        <w:rPr>
          <w:lang w:val="en-CA"/>
        </w:rPr>
        <w:t>in the Nordic dispute.</w:t>
      </w:r>
      <w:r w:rsidR="00D9147E" w:rsidRPr="00483982">
        <w:rPr>
          <w:lang w:val="en-CA"/>
        </w:rPr>
        <w:t xml:space="preserve"> </w:t>
      </w:r>
      <w:r w:rsidR="00483982" w:rsidRPr="00483982">
        <w:rPr>
          <w:lang w:val="en-CA"/>
        </w:rPr>
        <w:t>However, the mere</w:t>
      </w:r>
      <w:r w:rsidR="00D54320">
        <w:rPr>
          <w:lang w:val="en-CA"/>
        </w:rPr>
        <w:t xml:space="preserve"> fact that the two files are related</w:t>
      </w:r>
      <w:r w:rsidR="00483982" w:rsidRPr="00483982">
        <w:rPr>
          <w:lang w:val="en-CA"/>
        </w:rPr>
        <w:t xml:space="preserve"> does not result in disqualification based on a risk or suspicion that the information may be used. Nor does it create a </w:t>
      </w:r>
      <w:r w:rsidR="00D54320">
        <w:rPr>
          <w:lang w:val="en-CA"/>
        </w:rPr>
        <w:t>p</w:t>
      </w:r>
      <w:r w:rsidR="00483982" w:rsidRPr="00483982">
        <w:rPr>
          <w:lang w:val="en-CA"/>
        </w:rPr>
        <w:t>resumption that the information will be disclosed in violation of the undertakings of confidentiality.</w:t>
      </w:r>
      <w:r w:rsidR="00D9147E" w:rsidRPr="00483982">
        <w:rPr>
          <w:lang w:val="en-CA"/>
        </w:rPr>
        <w:t xml:space="preserve"> </w:t>
      </w:r>
      <w:r w:rsidR="00483982" w:rsidRPr="00E44A1E">
        <w:rPr>
          <w:lang w:val="en-CA"/>
        </w:rPr>
        <w:t xml:space="preserve">In this case, the </w:t>
      </w:r>
      <w:r>
        <w:rPr>
          <w:lang w:val="en-CA"/>
        </w:rPr>
        <w:t>affidavits provide</w:t>
      </w:r>
      <w:r w:rsidR="00483982" w:rsidRPr="00E44A1E">
        <w:rPr>
          <w:lang w:val="en-CA"/>
        </w:rPr>
        <w:t xml:space="preserve"> sufficient guarant</w:t>
      </w:r>
      <w:r>
        <w:rPr>
          <w:lang w:val="en-CA"/>
        </w:rPr>
        <w:t>e</w:t>
      </w:r>
      <w:r w:rsidR="00483982" w:rsidRPr="00E44A1E">
        <w:rPr>
          <w:lang w:val="en-CA"/>
        </w:rPr>
        <w:t>es that the obligations arising from the Nordic dispute will be respected.</w:t>
      </w:r>
    </w:p>
    <w:p w14:paraId="1BF366F2" w14:textId="02B4BF73" w:rsidR="00D9147E" w:rsidRPr="00483982" w:rsidRDefault="00483982" w:rsidP="00D9147E">
      <w:pPr>
        <w:pStyle w:val="Paragraphe"/>
        <w:numPr>
          <w:ilvl w:val="0"/>
          <w:numId w:val="1"/>
        </w:numPr>
        <w:spacing w:line="240" w:lineRule="auto"/>
        <w:rPr>
          <w:lang w:val="en-CA"/>
        </w:rPr>
      </w:pPr>
      <w:r w:rsidRPr="00483982">
        <w:rPr>
          <w:lang w:val="en-CA"/>
        </w:rPr>
        <w:t xml:space="preserve">The judge added that </w:t>
      </w:r>
      <w:r w:rsidR="00D54320">
        <w:rPr>
          <w:lang w:val="en-CA"/>
        </w:rPr>
        <w:t xml:space="preserve">even </w:t>
      </w:r>
      <w:r w:rsidRPr="00483982">
        <w:rPr>
          <w:lang w:val="en-CA"/>
        </w:rPr>
        <w:t xml:space="preserve">if it had been proved that the </w:t>
      </w:r>
      <w:proofErr w:type="spellStart"/>
      <w:r w:rsidRPr="00483982">
        <w:rPr>
          <w:lang w:val="en-CA"/>
        </w:rPr>
        <w:t>Shenker</w:t>
      </w:r>
      <w:proofErr w:type="spellEnd"/>
      <w:r w:rsidRPr="00483982">
        <w:rPr>
          <w:lang w:val="en-CA"/>
        </w:rPr>
        <w:t xml:space="preserve"> group used or disclosed the information protected </w:t>
      </w:r>
      <w:r w:rsidR="00974105">
        <w:rPr>
          <w:lang w:val="en-CA"/>
        </w:rPr>
        <w:t>by</w:t>
      </w:r>
      <w:r w:rsidR="00974105" w:rsidRPr="00483982">
        <w:rPr>
          <w:lang w:val="en-CA"/>
        </w:rPr>
        <w:t xml:space="preserve"> </w:t>
      </w:r>
      <w:r w:rsidRPr="00483982">
        <w:rPr>
          <w:lang w:val="en-CA"/>
        </w:rPr>
        <w:t xml:space="preserve">the undertakings of confidentiality and the IRC, </w:t>
      </w:r>
      <w:r w:rsidR="00BC3BF0">
        <w:rPr>
          <w:lang w:val="en-CA"/>
        </w:rPr>
        <w:t>a</w:t>
      </w:r>
      <w:r w:rsidRPr="00483982">
        <w:rPr>
          <w:lang w:val="en-CA"/>
        </w:rPr>
        <w:t xml:space="preserve"> declaration of disqualification would not necessarily </w:t>
      </w:r>
      <w:r w:rsidR="00974105">
        <w:rPr>
          <w:lang w:val="en-CA"/>
        </w:rPr>
        <w:t xml:space="preserve">have </w:t>
      </w:r>
      <w:r w:rsidRPr="00483982">
        <w:rPr>
          <w:lang w:val="en-CA"/>
        </w:rPr>
        <w:t>been the appropriate remedy.</w:t>
      </w:r>
      <w:r w:rsidR="00D9147E" w:rsidRPr="00483982">
        <w:rPr>
          <w:lang w:val="en-CA"/>
        </w:rPr>
        <w:t xml:space="preserve"> </w:t>
      </w:r>
      <w:r w:rsidRPr="00483982">
        <w:rPr>
          <w:lang w:val="en-CA"/>
        </w:rPr>
        <w:t xml:space="preserve">Recalling every litigant’s right to choose his or her counsel, the judge stated that disqualification can be ordered only when the integrity of the </w:t>
      </w:r>
      <w:r w:rsidR="00BC3BF0">
        <w:rPr>
          <w:lang w:val="en-CA"/>
        </w:rPr>
        <w:t>judicial</w:t>
      </w:r>
      <w:r w:rsidRPr="00483982">
        <w:rPr>
          <w:lang w:val="en-CA"/>
        </w:rPr>
        <w:t xml:space="preserve"> system </w:t>
      </w:r>
      <w:r w:rsidR="00974105">
        <w:rPr>
          <w:lang w:val="en-CA"/>
        </w:rPr>
        <w:t>so requires.</w:t>
      </w:r>
    </w:p>
    <w:p w14:paraId="63C10FF4" w14:textId="77777777" w:rsidR="00D9147E" w:rsidRDefault="00D9147E" w:rsidP="00D9147E">
      <w:pPr>
        <w:pStyle w:val="Paragraphe"/>
        <w:numPr>
          <w:ilvl w:val="0"/>
          <w:numId w:val="0"/>
        </w:numPr>
        <w:spacing w:line="240" w:lineRule="auto"/>
        <w:jc w:val="center"/>
      </w:pPr>
      <w:r>
        <w:t>****</w:t>
      </w:r>
    </w:p>
    <w:p w14:paraId="008DECC5" w14:textId="6754D418" w:rsidR="00D9147E" w:rsidRPr="00483982" w:rsidRDefault="00483982" w:rsidP="00D9147E">
      <w:pPr>
        <w:pStyle w:val="Paragraphe"/>
        <w:numPr>
          <w:ilvl w:val="0"/>
          <w:numId w:val="1"/>
        </w:numPr>
        <w:spacing w:line="240" w:lineRule="auto"/>
        <w:rPr>
          <w:lang w:val="en-CA"/>
        </w:rPr>
      </w:pPr>
      <w:r w:rsidRPr="00483982">
        <w:rPr>
          <w:lang w:val="en-CA"/>
        </w:rPr>
        <w:t xml:space="preserve">Before </w:t>
      </w:r>
      <w:r w:rsidR="00BC3BF0" w:rsidRPr="00483982">
        <w:rPr>
          <w:lang w:val="en-CA"/>
        </w:rPr>
        <w:t>the</w:t>
      </w:r>
      <w:r w:rsidRPr="00483982">
        <w:rPr>
          <w:lang w:val="en-CA"/>
        </w:rPr>
        <w:t xml:space="preserve"> Court, the appellants argue that the </w:t>
      </w:r>
      <w:r w:rsidR="00BC3BF0" w:rsidRPr="00483982">
        <w:rPr>
          <w:lang w:val="en-CA"/>
        </w:rPr>
        <w:t>judge</w:t>
      </w:r>
      <w:r w:rsidRPr="00483982">
        <w:rPr>
          <w:lang w:val="en-CA"/>
        </w:rPr>
        <w:t xml:space="preserve"> applied the wrong l</w:t>
      </w:r>
      <w:r w:rsidR="00BC3BF0">
        <w:rPr>
          <w:lang w:val="en-CA"/>
        </w:rPr>
        <w:t>e</w:t>
      </w:r>
      <w:r w:rsidRPr="00483982">
        <w:rPr>
          <w:lang w:val="en-CA"/>
        </w:rPr>
        <w:t xml:space="preserve">gal framework, ignored the contextual nature of </w:t>
      </w:r>
      <w:r w:rsidR="00BC3BF0" w:rsidRPr="00483982">
        <w:rPr>
          <w:lang w:val="en-CA"/>
        </w:rPr>
        <w:t>the</w:t>
      </w:r>
      <w:r w:rsidRPr="00483982">
        <w:rPr>
          <w:lang w:val="en-CA"/>
        </w:rPr>
        <w:t xml:space="preserve"> analysis that would </w:t>
      </w:r>
      <w:r w:rsidR="00974105">
        <w:rPr>
          <w:lang w:val="en-CA"/>
        </w:rPr>
        <w:t>have led</w:t>
      </w:r>
      <w:r w:rsidR="00974105" w:rsidRPr="00483982">
        <w:rPr>
          <w:lang w:val="en-CA"/>
        </w:rPr>
        <w:t xml:space="preserve"> </w:t>
      </w:r>
      <w:r w:rsidRPr="00483982">
        <w:rPr>
          <w:lang w:val="en-CA"/>
        </w:rPr>
        <w:t>to a declaration of disqualification, erre</w:t>
      </w:r>
      <w:r w:rsidR="00BC3BF0">
        <w:rPr>
          <w:lang w:val="en-CA"/>
        </w:rPr>
        <w:t>d by limiting the reasons for disqualification</w:t>
      </w:r>
      <w:r w:rsidRPr="00483982">
        <w:rPr>
          <w:lang w:val="en-CA"/>
        </w:rPr>
        <w:t xml:space="preserve"> to only </w:t>
      </w:r>
      <w:r w:rsidR="00974105">
        <w:rPr>
          <w:lang w:val="en-CA"/>
        </w:rPr>
        <w:t>the</w:t>
      </w:r>
      <w:r w:rsidR="00974105" w:rsidRPr="00483982">
        <w:rPr>
          <w:lang w:val="en-CA"/>
        </w:rPr>
        <w:t xml:space="preserve"> </w:t>
      </w:r>
      <w:r w:rsidRPr="00483982">
        <w:rPr>
          <w:lang w:val="en-CA"/>
        </w:rPr>
        <w:t xml:space="preserve">cases set out in article 193 of the </w:t>
      </w:r>
      <w:r w:rsidRPr="00BC3BF0">
        <w:rPr>
          <w:i/>
          <w:lang w:val="en-CA"/>
        </w:rPr>
        <w:t xml:space="preserve">Code of Civil </w:t>
      </w:r>
      <w:r w:rsidR="00BC3BF0" w:rsidRPr="00BC3BF0">
        <w:rPr>
          <w:i/>
          <w:lang w:val="en-CA"/>
        </w:rPr>
        <w:t>Procedure</w:t>
      </w:r>
      <w:r w:rsidR="00BC3BF0">
        <w:rPr>
          <w:lang w:val="en-CA"/>
        </w:rPr>
        <w:t>,</w:t>
      </w:r>
      <w:r w:rsidRPr="00483982">
        <w:rPr>
          <w:lang w:val="en-CA"/>
        </w:rPr>
        <w:t xml:space="preserve"> and failed to analyze the main question, </w:t>
      </w:r>
      <w:r w:rsidR="009B6000">
        <w:rPr>
          <w:lang w:val="en-CA"/>
        </w:rPr>
        <w:t xml:space="preserve">which </w:t>
      </w:r>
      <w:r w:rsidRPr="00483982">
        <w:rPr>
          <w:lang w:val="en-CA"/>
        </w:rPr>
        <w:t>is whether</w:t>
      </w:r>
      <w:r w:rsidR="00974105">
        <w:rPr>
          <w:lang w:val="en-CA"/>
        </w:rPr>
        <w:t>,</w:t>
      </w:r>
      <w:r w:rsidRPr="00483982">
        <w:rPr>
          <w:lang w:val="en-CA"/>
        </w:rPr>
        <w:t xml:space="preserve"> in the eyes of a reasonably informed </w:t>
      </w:r>
      <w:r w:rsidR="00974105">
        <w:rPr>
          <w:lang w:val="en-CA"/>
        </w:rPr>
        <w:t>member of the public</w:t>
      </w:r>
      <w:r w:rsidRPr="00483982">
        <w:rPr>
          <w:lang w:val="en-CA"/>
        </w:rPr>
        <w:t xml:space="preserve">, maintaining the Woods firm </w:t>
      </w:r>
      <w:r w:rsidR="009B6000">
        <w:rPr>
          <w:lang w:val="en-CA"/>
        </w:rPr>
        <w:t xml:space="preserve">as the representative </w:t>
      </w:r>
      <w:r w:rsidRPr="00483982">
        <w:rPr>
          <w:lang w:val="en-CA"/>
        </w:rPr>
        <w:t>would bring the integrity of the judicial process and the administration of justice into disrepute.</w:t>
      </w:r>
    </w:p>
    <w:p w14:paraId="5FC0EEF9" w14:textId="7124DC10" w:rsidR="00D9147E" w:rsidRPr="00E44A1E" w:rsidRDefault="00483982" w:rsidP="00D9147E">
      <w:pPr>
        <w:pStyle w:val="Paragraphe"/>
        <w:numPr>
          <w:ilvl w:val="0"/>
          <w:numId w:val="1"/>
        </w:numPr>
        <w:spacing w:line="240" w:lineRule="auto"/>
        <w:rPr>
          <w:lang w:val="en-CA"/>
        </w:rPr>
      </w:pPr>
      <w:r w:rsidRPr="00E44A1E">
        <w:rPr>
          <w:lang w:val="en-CA"/>
        </w:rPr>
        <w:t>For the reasons below, the appeal must be dismissed.</w:t>
      </w:r>
      <w:r w:rsidR="00D9147E" w:rsidRPr="00E44A1E">
        <w:rPr>
          <w:lang w:val="en-CA"/>
        </w:rPr>
        <w:t xml:space="preserve"> </w:t>
      </w:r>
    </w:p>
    <w:p w14:paraId="079CA326" w14:textId="322F0FD8" w:rsidR="00D9147E" w:rsidRPr="00F7295D" w:rsidRDefault="00483982" w:rsidP="00D9147E">
      <w:pPr>
        <w:pStyle w:val="Paragraphe"/>
        <w:numPr>
          <w:ilvl w:val="0"/>
          <w:numId w:val="1"/>
        </w:numPr>
        <w:spacing w:line="240" w:lineRule="auto"/>
        <w:rPr>
          <w:lang w:val="en-CA"/>
        </w:rPr>
      </w:pPr>
      <w:bookmarkStart w:id="7" w:name="_Ref93318623"/>
      <w:r w:rsidRPr="00F7295D">
        <w:rPr>
          <w:lang w:val="en-CA"/>
        </w:rPr>
        <w:t xml:space="preserve">First, it </w:t>
      </w:r>
      <w:r w:rsidR="00BC3BF0" w:rsidRPr="00F7295D">
        <w:rPr>
          <w:lang w:val="en-CA"/>
        </w:rPr>
        <w:t>should</w:t>
      </w:r>
      <w:r w:rsidRPr="00F7295D">
        <w:rPr>
          <w:lang w:val="en-CA"/>
        </w:rPr>
        <w:t xml:space="preserve"> be recalled that</w:t>
      </w:r>
      <w:r w:rsidR="00646AB7">
        <w:rPr>
          <w:lang w:val="en-CA"/>
        </w:rPr>
        <w:t>, in</w:t>
      </w:r>
      <w:r w:rsidRPr="00F7295D">
        <w:rPr>
          <w:lang w:val="en-CA"/>
        </w:rPr>
        <w:t xml:space="preserve"> disqualification</w:t>
      </w:r>
      <w:r w:rsidR="00646AB7">
        <w:rPr>
          <w:lang w:val="en-CA"/>
        </w:rPr>
        <w:t xml:space="preserve"> matters</w:t>
      </w:r>
      <w:r w:rsidRPr="00F7295D">
        <w:rPr>
          <w:lang w:val="en-CA"/>
        </w:rPr>
        <w:t xml:space="preserve">, the standard of </w:t>
      </w:r>
      <w:r w:rsidR="00646AB7">
        <w:rPr>
          <w:lang w:val="en-CA"/>
        </w:rPr>
        <w:t>review</w:t>
      </w:r>
      <w:r w:rsidR="00646AB7" w:rsidRPr="00F7295D">
        <w:rPr>
          <w:lang w:val="en-CA"/>
        </w:rPr>
        <w:t xml:space="preserve"> </w:t>
      </w:r>
      <w:r w:rsidRPr="00F7295D">
        <w:rPr>
          <w:lang w:val="en-CA"/>
        </w:rPr>
        <w:t>on appeal is stringent, and this Court will intervene only whe</w:t>
      </w:r>
      <w:r w:rsidR="00BC3BF0" w:rsidRPr="00F7295D">
        <w:rPr>
          <w:lang w:val="en-CA"/>
        </w:rPr>
        <w:t>re</w:t>
      </w:r>
      <w:r w:rsidRPr="00F7295D">
        <w:rPr>
          <w:lang w:val="en-CA"/>
        </w:rPr>
        <w:t xml:space="preserve"> the trial judge exercised </w:t>
      </w:r>
      <w:r w:rsidRPr="00F7295D">
        <w:rPr>
          <w:lang w:val="en-CA"/>
        </w:rPr>
        <w:lastRenderedPageBreak/>
        <w:t xml:space="preserve">his or her discretion abusively, unreasonably, or </w:t>
      </w:r>
      <w:r w:rsidR="0011168C" w:rsidRPr="00F7295D">
        <w:rPr>
          <w:lang w:val="en-CA"/>
        </w:rPr>
        <w:t>in a non-judicial manner</w:t>
      </w:r>
      <w:r w:rsidRPr="00F7295D">
        <w:rPr>
          <w:lang w:val="en-CA"/>
        </w:rPr>
        <w:t>.</w:t>
      </w:r>
      <w:r w:rsidR="00D9147E" w:rsidRPr="00F7295D">
        <w:rPr>
          <w:rStyle w:val="Appelnotedebasdep"/>
        </w:rPr>
        <w:footnoteReference w:id="8"/>
      </w:r>
      <w:bookmarkEnd w:id="7"/>
      <w:r w:rsidR="00D9147E" w:rsidRPr="00F7295D">
        <w:rPr>
          <w:lang w:val="en-CA"/>
        </w:rPr>
        <w:t xml:space="preserve"> </w:t>
      </w:r>
      <w:r w:rsidR="0011168C" w:rsidRPr="00F7295D">
        <w:rPr>
          <w:lang w:val="en-CA"/>
        </w:rPr>
        <w:t>With</w:t>
      </w:r>
      <w:r w:rsidRPr="00F7295D">
        <w:rPr>
          <w:lang w:val="en-CA"/>
        </w:rPr>
        <w:t xml:space="preserve"> their grounds of appeal, </w:t>
      </w:r>
      <w:r w:rsidR="0011168C" w:rsidRPr="00F7295D">
        <w:rPr>
          <w:lang w:val="en-CA"/>
        </w:rPr>
        <w:t xml:space="preserve">however, </w:t>
      </w:r>
      <w:r w:rsidRPr="00F7295D">
        <w:rPr>
          <w:lang w:val="en-CA"/>
        </w:rPr>
        <w:t xml:space="preserve">the appellants </w:t>
      </w:r>
      <w:r w:rsidR="00646AB7">
        <w:rPr>
          <w:lang w:val="en-CA"/>
        </w:rPr>
        <w:t xml:space="preserve">are </w:t>
      </w:r>
      <w:r w:rsidRPr="00F7295D">
        <w:rPr>
          <w:lang w:val="en-CA"/>
        </w:rPr>
        <w:t>attempt</w:t>
      </w:r>
      <w:r w:rsidR="00646AB7">
        <w:rPr>
          <w:lang w:val="en-CA"/>
        </w:rPr>
        <w:t>ing</w:t>
      </w:r>
      <w:r w:rsidR="0011168C" w:rsidRPr="00F7295D">
        <w:rPr>
          <w:lang w:val="en-CA"/>
        </w:rPr>
        <w:t xml:space="preserve"> </w:t>
      </w:r>
      <w:r w:rsidRPr="00F7295D">
        <w:rPr>
          <w:lang w:val="en-CA"/>
        </w:rPr>
        <w:t xml:space="preserve">to </w:t>
      </w:r>
      <w:r w:rsidR="00646AB7">
        <w:rPr>
          <w:lang w:val="en-CA"/>
        </w:rPr>
        <w:t xml:space="preserve">orient </w:t>
      </w:r>
      <w:r w:rsidRPr="00F7295D">
        <w:rPr>
          <w:lang w:val="en-CA"/>
        </w:rPr>
        <w:t xml:space="preserve">this case </w:t>
      </w:r>
      <w:r w:rsidR="00646AB7">
        <w:rPr>
          <w:lang w:val="en-CA"/>
        </w:rPr>
        <w:t xml:space="preserve">towards </w:t>
      </w:r>
      <w:r w:rsidRPr="00F7295D">
        <w:rPr>
          <w:lang w:val="en-CA"/>
        </w:rPr>
        <w:t>a question of law to minimize</w:t>
      </w:r>
      <w:r w:rsidR="00646AB7">
        <w:rPr>
          <w:lang w:val="en-CA"/>
        </w:rPr>
        <w:t xml:space="preserve"> or</w:t>
      </w:r>
      <w:r w:rsidRPr="00F7295D">
        <w:rPr>
          <w:lang w:val="en-CA"/>
        </w:rPr>
        <w:t xml:space="preserve"> even set aside, this deference.</w:t>
      </w:r>
      <w:r w:rsidR="00D9147E" w:rsidRPr="00F7295D">
        <w:rPr>
          <w:lang w:val="en-CA"/>
        </w:rPr>
        <w:t xml:space="preserve"> </w:t>
      </w:r>
      <w:r w:rsidR="0011168C" w:rsidRPr="00F7295D">
        <w:rPr>
          <w:lang w:val="en-CA"/>
        </w:rPr>
        <w:t>They are wrong</w:t>
      </w:r>
      <w:r w:rsidRPr="00F7295D">
        <w:rPr>
          <w:lang w:val="en-CA"/>
        </w:rPr>
        <w:t>.</w:t>
      </w:r>
      <w:r w:rsidR="00D9147E" w:rsidRPr="00F7295D">
        <w:rPr>
          <w:lang w:val="en-CA"/>
        </w:rPr>
        <w:t xml:space="preserve"> </w:t>
      </w:r>
      <w:r w:rsidRPr="00F7295D">
        <w:rPr>
          <w:lang w:val="en-CA"/>
        </w:rPr>
        <w:t>While it is true, as we will see, that the judge erred in law, this error is not determinative and does not vitiate the reasonableness of his assessment.</w:t>
      </w:r>
      <w:r w:rsidR="00D9147E" w:rsidRPr="00F7295D">
        <w:rPr>
          <w:lang w:val="en-CA"/>
        </w:rPr>
        <w:t xml:space="preserve"> </w:t>
      </w:r>
      <w:r w:rsidRPr="00F7295D">
        <w:rPr>
          <w:lang w:val="en-CA"/>
        </w:rPr>
        <w:t>This is why.</w:t>
      </w:r>
    </w:p>
    <w:p w14:paraId="1F2B9BD5" w14:textId="122E6579" w:rsidR="00D9147E" w:rsidRPr="00483982" w:rsidRDefault="001F3A4B" w:rsidP="00D9147E">
      <w:pPr>
        <w:pStyle w:val="Paragraphe"/>
        <w:numPr>
          <w:ilvl w:val="0"/>
          <w:numId w:val="1"/>
        </w:numPr>
        <w:tabs>
          <w:tab w:val="clear" w:pos="360"/>
        </w:tabs>
        <w:spacing w:line="240" w:lineRule="auto"/>
        <w:rPr>
          <w:lang w:val="en-CA"/>
        </w:rPr>
      </w:pPr>
      <w:r>
        <w:rPr>
          <w:lang w:val="en-CA"/>
        </w:rPr>
        <w:t>I</w:t>
      </w:r>
      <w:r w:rsidR="00483982" w:rsidRPr="00483982">
        <w:rPr>
          <w:lang w:val="en-CA"/>
        </w:rPr>
        <w:t xml:space="preserve">n </w:t>
      </w:r>
      <w:r w:rsidR="00483982" w:rsidRPr="0011168C">
        <w:rPr>
          <w:i/>
          <w:lang w:val="en-CA"/>
        </w:rPr>
        <w:t xml:space="preserve">Lac </w:t>
      </w:r>
      <w:proofErr w:type="spellStart"/>
      <w:r w:rsidR="00483982" w:rsidRPr="0011168C">
        <w:rPr>
          <w:i/>
          <w:lang w:val="en-CA"/>
        </w:rPr>
        <w:t>d’Amiante</w:t>
      </w:r>
      <w:proofErr w:type="spellEnd"/>
      <w:r w:rsidR="00483982" w:rsidRPr="00483982">
        <w:rPr>
          <w:lang w:val="en-CA"/>
        </w:rPr>
        <w:t xml:space="preserve">, </w:t>
      </w:r>
      <w:r>
        <w:rPr>
          <w:lang w:val="en-CA"/>
        </w:rPr>
        <w:t xml:space="preserve">the Supreme Court </w:t>
      </w:r>
      <w:r w:rsidR="00483982" w:rsidRPr="00483982">
        <w:rPr>
          <w:lang w:val="en-CA"/>
        </w:rPr>
        <w:t>confirmed the existence of the IRC in Quebec civil law.</w:t>
      </w:r>
      <w:r w:rsidR="00D9147E" w:rsidRPr="00483982">
        <w:rPr>
          <w:lang w:val="en-CA"/>
        </w:rPr>
        <w:t xml:space="preserve"> </w:t>
      </w:r>
      <w:r>
        <w:rPr>
          <w:lang w:val="en-CA"/>
        </w:rPr>
        <w:t>The rule</w:t>
      </w:r>
      <w:r w:rsidRPr="00483982">
        <w:rPr>
          <w:lang w:val="en-CA"/>
        </w:rPr>
        <w:t xml:space="preserve"> </w:t>
      </w:r>
      <w:r w:rsidR="00483982" w:rsidRPr="00483982">
        <w:rPr>
          <w:lang w:val="en-CA"/>
        </w:rPr>
        <w:t>covers the information obtained in pre-trial examinations and documents</w:t>
      </w:r>
      <w:r w:rsidR="0011168C">
        <w:rPr>
          <w:lang w:val="en-CA"/>
        </w:rPr>
        <w:t xml:space="preserve"> produced in that co</w:t>
      </w:r>
      <w:r w:rsidR="00483982" w:rsidRPr="00483982">
        <w:rPr>
          <w:lang w:val="en-CA"/>
        </w:rPr>
        <w:t>ntext.</w:t>
      </w:r>
      <w:r w:rsidR="00D9147E">
        <w:rPr>
          <w:vertAlign w:val="superscript"/>
        </w:rPr>
        <w:footnoteReference w:id="9"/>
      </w:r>
      <w:r w:rsidR="00D9147E" w:rsidRPr="00483982">
        <w:rPr>
          <w:lang w:val="en-CA"/>
        </w:rPr>
        <w:t xml:space="preserve"> </w:t>
      </w:r>
      <w:r w:rsidR="00CF5E6F">
        <w:rPr>
          <w:lang w:val="en-CA"/>
        </w:rPr>
        <w:t>It</w:t>
      </w:r>
      <w:r w:rsidR="00483982" w:rsidRPr="00483982">
        <w:rPr>
          <w:lang w:val="en-CA"/>
        </w:rPr>
        <w:t xml:space="preserve"> imposes:</w:t>
      </w:r>
      <w:r w:rsidR="00D9147E">
        <w:rPr>
          <w:vertAlign w:val="superscript"/>
        </w:rPr>
        <w:footnoteReference w:id="10"/>
      </w:r>
    </w:p>
    <w:p w14:paraId="6706089A" w14:textId="6C706785" w:rsidR="00D9147E" w:rsidRPr="00483982" w:rsidRDefault="00483982" w:rsidP="00D9147E">
      <w:pPr>
        <w:spacing w:after="120" w:line="240" w:lineRule="auto"/>
        <w:ind w:left="720" w:right="720"/>
        <w:jc w:val="both"/>
        <w:rPr>
          <w:kern w:val="28"/>
          <w:sz w:val="22"/>
          <w:szCs w:val="22"/>
          <w:lang w:val="en-CA"/>
        </w:rPr>
      </w:pPr>
      <w:r w:rsidRPr="00483982">
        <w:rPr>
          <w:kern w:val="28"/>
          <w:sz w:val="22"/>
          <w:szCs w:val="22"/>
          <w:lang w:val="en-CA"/>
        </w:rPr>
        <w:t>... on the parties to civil litigation an undertaking to the court not to use the documents or answers for any purpose other than securing justice in the civil proceedings in which the answers were compelled (whether or not such documents or answers were in their origin confidential or incriminatory in nature).</w:t>
      </w:r>
    </w:p>
    <w:p w14:paraId="6D84EE0F" w14:textId="7D54168D" w:rsidR="00D9147E" w:rsidRPr="00483982" w:rsidRDefault="00483982" w:rsidP="00D9147E">
      <w:pPr>
        <w:pStyle w:val="Paragraphe"/>
        <w:numPr>
          <w:ilvl w:val="0"/>
          <w:numId w:val="1"/>
        </w:numPr>
        <w:spacing w:line="240" w:lineRule="auto"/>
        <w:rPr>
          <w:lang w:val="en-CA"/>
        </w:rPr>
      </w:pPr>
      <w:r w:rsidRPr="00483982">
        <w:rPr>
          <w:lang w:val="en-CA"/>
        </w:rPr>
        <w:t>The IRC is imposed in “recognition of the examinee’s privacy interest, and the public interest in the efficient conduct of civil litigation”</w:t>
      </w:r>
      <w:r w:rsidR="00D9147E">
        <w:rPr>
          <w:vertAlign w:val="superscript"/>
        </w:rPr>
        <w:footnoteReference w:id="11"/>
      </w:r>
      <w:r w:rsidRPr="00483982">
        <w:rPr>
          <w:lang w:val="en-CA"/>
        </w:rPr>
        <w:t xml:space="preserve"> </w:t>
      </w:r>
      <w:r w:rsidR="003F1157">
        <w:rPr>
          <w:lang w:val="en-CA"/>
        </w:rPr>
        <w:t>while also</w:t>
      </w:r>
      <w:r w:rsidR="003C155E">
        <w:rPr>
          <w:lang w:val="en-CA"/>
        </w:rPr>
        <w:t xml:space="preserve"> </w:t>
      </w:r>
      <w:r w:rsidRPr="00483982">
        <w:rPr>
          <w:lang w:val="en-CA"/>
        </w:rPr>
        <w:t xml:space="preserve">favouring </w:t>
      </w:r>
      <w:r w:rsidR="006F172B">
        <w:rPr>
          <w:lang w:val="en-CA"/>
        </w:rPr>
        <w:t xml:space="preserve">complete </w:t>
      </w:r>
      <w:r w:rsidRPr="00483982">
        <w:rPr>
          <w:lang w:val="en-CA"/>
        </w:rPr>
        <w:t>disclosure of the information available during the pre-trial examination.</w:t>
      </w:r>
      <w:r w:rsidR="00D9147E">
        <w:rPr>
          <w:vertAlign w:val="superscript"/>
        </w:rPr>
        <w:footnoteReference w:id="12"/>
      </w:r>
      <w:r w:rsidR="00D9147E" w:rsidRPr="00483982">
        <w:rPr>
          <w:lang w:val="en-CA"/>
        </w:rPr>
        <w:t xml:space="preserve"> </w:t>
      </w:r>
      <w:r w:rsidRPr="00483982">
        <w:rPr>
          <w:lang w:val="en-CA"/>
        </w:rPr>
        <w:t xml:space="preserve">During the dispute, it applies to the party that obtains the information and </w:t>
      </w:r>
      <w:r w:rsidR="007E0355">
        <w:rPr>
          <w:lang w:val="en-CA"/>
        </w:rPr>
        <w:t xml:space="preserve">to </w:t>
      </w:r>
      <w:r w:rsidRPr="00483982">
        <w:rPr>
          <w:lang w:val="en-CA"/>
        </w:rPr>
        <w:t>those who represent t</w:t>
      </w:r>
      <w:r w:rsidR="00342B25">
        <w:rPr>
          <w:lang w:val="en-CA"/>
        </w:rPr>
        <w:t>hat party</w:t>
      </w:r>
      <w:r w:rsidR="007E0355">
        <w:rPr>
          <w:lang w:val="en-CA"/>
        </w:rPr>
        <w:t>,</w:t>
      </w:r>
      <w:r w:rsidR="00342B25">
        <w:rPr>
          <w:lang w:val="en-CA"/>
        </w:rPr>
        <w:t xml:space="preserve"> and </w:t>
      </w:r>
      <w:r w:rsidR="007E0355">
        <w:rPr>
          <w:lang w:val="en-CA"/>
        </w:rPr>
        <w:t xml:space="preserve">it </w:t>
      </w:r>
      <w:r w:rsidR="00342B25">
        <w:rPr>
          <w:lang w:val="en-CA"/>
        </w:rPr>
        <w:t>survives beyond the dispute</w:t>
      </w:r>
      <w:r w:rsidRPr="00483982">
        <w:rPr>
          <w:lang w:val="en-CA"/>
        </w:rPr>
        <w:t xml:space="preserve"> if the party does not enter it into evidence or if the trial never takes place, </w:t>
      </w:r>
      <w:r w:rsidR="007E0355">
        <w:rPr>
          <w:lang w:val="en-CA"/>
        </w:rPr>
        <w:t xml:space="preserve">such as </w:t>
      </w:r>
      <w:r w:rsidRPr="00483982">
        <w:rPr>
          <w:lang w:val="en-CA"/>
        </w:rPr>
        <w:t>whe</w:t>
      </w:r>
      <w:r w:rsidR="00342B25">
        <w:rPr>
          <w:lang w:val="en-CA"/>
        </w:rPr>
        <w:t>re</w:t>
      </w:r>
      <w:r w:rsidRPr="00483982">
        <w:rPr>
          <w:lang w:val="en-CA"/>
        </w:rPr>
        <w:t xml:space="preserve"> a settlement is reached</w:t>
      </w:r>
      <w:r w:rsidR="00342B25">
        <w:rPr>
          <w:lang w:val="en-CA"/>
        </w:rPr>
        <w:t>,</w:t>
      </w:r>
      <w:r w:rsidRPr="00483982">
        <w:rPr>
          <w:lang w:val="en-CA"/>
        </w:rPr>
        <w:t xml:space="preserve"> as in this case.</w:t>
      </w:r>
      <w:r w:rsidR="00D9147E">
        <w:rPr>
          <w:vertAlign w:val="superscript"/>
        </w:rPr>
        <w:footnoteReference w:id="13"/>
      </w:r>
      <w:r w:rsidR="00D9147E" w:rsidRPr="00483982">
        <w:rPr>
          <w:lang w:val="en-CA"/>
        </w:rPr>
        <w:t xml:space="preserve"> </w:t>
      </w:r>
      <w:r w:rsidRPr="00483982">
        <w:rPr>
          <w:lang w:val="en-CA"/>
        </w:rPr>
        <w:t>It is therefore undeniable in this case</w:t>
      </w:r>
      <w:r w:rsidR="00E465A9">
        <w:rPr>
          <w:lang w:val="en-CA"/>
        </w:rPr>
        <w:t xml:space="preserve"> that</w:t>
      </w:r>
      <w:r w:rsidRPr="00483982">
        <w:rPr>
          <w:lang w:val="en-CA"/>
        </w:rPr>
        <w:t xml:space="preserve"> the respondent Woods remains subject to the IRC with respect to the information received during the examination of Guy Bourassa in the Nordic case.</w:t>
      </w:r>
      <w:r w:rsidR="00D9147E" w:rsidRPr="00483982">
        <w:rPr>
          <w:lang w:val="en-CA"/>
        </w:rPr>
        <w:t xml:space="preserve"> </w:t>
      </w:r>
      <w:r w:rsidR="00E465A9">
        <w:rPr>
          <w:lang w:val="en-CA"/>
        </w:rPr>
        <w:t>Therefore, without</w:t>
      </w:r>
      <w:r w:rsidRPr="00483982">
        <w:rPr>
          <w:lang w:val="en-CA"/>
        </w:rPr>
        <w:t xml:space="preserve"> judicial authorization, Woods cannot disclos</w:t>
      </w:r>
      <w:r w:rsidR="00E465A9">
        <w:rPr>
          <w:lang w:val="en-CA"/>
        </w:rPr>
        <w:t>e</w:t>
      </w:r>
      <w:r w:rsidRPr="00483982">
        <w:rPr>
          <w:lang w:val="en-CA"/>
        </w:rPr>
        <w:t xml:space="preserve"> </w:t>
      </w:r>
      <w:r w:rsidR="00342B25">
        <w:rPr>
          <w:lang w:val="en-CA"/>
        </w:rPr>
        <w:t>any or all</w:t>
      </w:r>
      <w:r w:rsidRPr="00483982">
        <w:rPr>
          <w:lang w:val="en-CA"/>
        </w:rPr>
        <w:t xml:space="preserve"> of this information to any</w:t>
      </w:r>
      <w:r w:rsidR="00F03845">
        <w:rPr>
          <w:lang w:val="en-CA"/>
        </w:rPr>
        <w:t>one</w:t>
      </w:r>
      <w:r w:rsidRPr="00483982">
        <w:rPr>
          <w:lang w:val="en-CA"/>
        </w:rPr>
        <w:t>, including its other clients.</w:t>
      </w:r>
      <w:r w:rsidR="00D9147E" w:rsidRPr="00483982">
        <w:rPr>
          <w:lang w:val="en-CA"/>
        </w:rPr>
        <w:t xml:space="preserve"> </w:t>
      </w:r>
      <w:r w:rsidRPr="00483982">
        <w:rPr>
          <w:lang w:val="en-CA"/>
        </w:rPr>
        <w:t>It also cannot use it for its own benefit or for that of its other clients.</w:t>
      </w:r>
      <w:r w:rsidR="00D9147E" w:rsidRPr="00483982">
        <w:rPr>
          <w:lang w:val="en-CA"/>
        </w:rPr>
        <w:t xml:space="preserve"> </w:t>
      </w:r>
      <w:r w:rsidR="00F03845">
        <w:rPr>
          <w:lang w:val="en-CA"/>
        </w:rPr>
        <w:t>But w</w:t>
      </w:r>
      <w:r w:rsidRPr="00E44A1E">
        <w:rPr>
          <w:lang w:val="en-CA"/>
        </w:rPr>
        <w:t xml:space="preserve">hat is the impact of the IRC on its </w:t>
      </w:r>
      <w:r w:rsidR="00F03845">
        <w:rPr>
          <w:lang w:val="en-CA"/>
        </w:rPr>
        <w:t>capacity</w:t>
      </w:r>
      <w:r w:rsidR="00F03845" w:rsidRPr="00E44A1E">
        <w:rPr>
          <w:lang w:val="en-CA"/>
        </w:rPr>
        <w:t xml:space="preserve"> </w:t>
      </w:r>
      <w:r w:rsidRPr="00E44A1E">
        <w:rPr>
          <w:lang w:val="en-CA"/>
        </w:rPr>
        <w:t>to act on behalf of another party in a subsequent related file?</w:t>
      </w:r>
    </w:p>
    <w:p w14:paraId="640AD16A" w14:textId="3EE623B5" w:rsidR="00D9147E" w:rsidRPr="006A5977" w:rsidRDefault="00483982" w:rsidP="00D9147E">
      <w:pPr>
        <w:pStyle w:val="Paragraphe"/>
        <w:numPr>
          <w:ilvl w:val="0"/>
          <w:numId w:val="1"/>
        </w:numPr>
        <w:spacing w:line="240" w:lineRule="auto"/>
        <w:rPr>
          <w:lang w:val="en-CA"/>
        </w:rPr>
      </w:pPr>
      <w:r w:rsidRPr="00483982">
        <w:rPr>
          <w:lang w:val="en-CA"/>
        </w:rPr>
        <w:t xml:space="preserve">In </w:t>
      </w:r>
      <w:r w:rsidRPr="00483982">
        <w:rPr>
          <w:i/>
          <w:lang w:val="en-CA"/>
        </w:rPr>
        <w:t xml:space="preserve">Lac </w:t>
      </w:r>
      <w:proofErr w:type="spellStart"/>
      <w:r w:rsidRPr="00483982">
        <w:rPr>
          <w:i/>
          <w:lang w:val="en-CA"/>
        </w:rPr>
        <w:t>d’Amiante</w:t>
      </w:r>
      <w:proofErr w:type="spellEnd"/>
      <w:r w:rsidRPr="00483982">
        <w:rPr>
          <w:lang w:val="en-CA"/>
        </w:rPr>
        <w:t>,</w:t>
      </w:r>
      <w:r w:rsidR="00D9147E">
        <w:rPr>
          <w:rStyle w:val="Appelnotedebasdep"/>
        </w:rPr>
        <w:footnoteReference w:id="14"/>
      </w:r>
      <w:r w:rsidRPr="00483982">
        <w:rPr>
          <w:lang w:val="en-CA"/>
        </w:rPr>
        <w:t xml:space="preserve"> as in </w:t>
      </w:r>
      <w:proofErr w:type="spellStart"/>
      <w:r w:rsidRPr="00483982">
        <w:rPr>
          <w:i/>
          <w:lang w:val="en-CA"/>
        </w:rPr>
        <w:t>Juman</w:t>
      </w:r>
      <w:proofErr w:type="spellEnd"/>
      <w:r w:rsidRPr="00483982">
        <w:rPr>
          <w:lang w:val="en-CA"/>
        </w:rPr>
        <w:t xml:space="preserve">, the Supreme Court </w:t>
      </w:r>
      <w:r w:rsidR="00CC44B7">
        <w:rPr>
          <w:lang w:val="en-CA"/>
        </w:rPr>
        <w:t>distinguishes</w:t>
      </w:r>
      <w:r w:rsidRPr="00483982">
        <w:rPr>
          <w:lang w:val="en-CA"/>
        </w:rPr>
        <w:t xml:space="preserve"> between information subject to the IRC and that fall</w:t>
      </w:r>
      <w:r w:rsidR="00CC44B7">
        <w:rPr>
          <w:lang w:val="en-CA"/>
        </w:rPr>
        <w:t>ing</w:t>
      </w:r>
      <w:r w:rsidRPr="00483982">
        <w:rPr>
          <w:lang w:val="en-CA"/>
        </w:rPr>
        <w:t xml:space="preserve"> under solicitor-client or another privilege</w:t>
      </w:r>
      <w:r w:rsidR="00CC44B7">
        <w:rPr>
          <w:lang w:val="en-CA"/>
        </w:rPr>
        <w:t>. It</w:t>
      </w:r>
      <w:r w:rsidRPr="00483982">
        <w:rPr>
          <w:lang w:val="en-CA"/>
        </w:rPr>
        <w:t xml:space="preserve"> add</w:t>
      </w:r>
      <w:r w:rsidR="00342B25">
        <w:rPr>
          <w:lang w:val="en-CA"/>
        </w:rPr>
        <w:t>s</w:t>
      </w:r>
      <w:r w:rsidRPr="00483982">
        <w:rPr>
          <w:lang w:val="en-CA"/>
        </w:rPr>
        <w:t xml:space="preserve"> that </w:t>
      </w:r>
      <w:r w:rsidR="00CC44B7">
        <w:rPr>
          <w:lang w:val="en-CA"/>
        </w:rPr>
        <w:t xml:space="preserve">the IRC </w:t>
      </w:r>
      <w:r w:rsidRPr="00483982">
        <w:rPr>
          <w:lang w:val="en-CA"/>
        </w:rPr>
        <w:t xml:space="preserve">does not transform the nature of the information by making it privileged or </w:t>
      </w:r>
      <w:r w:rsidR="00ED2235">
        <w:rPr>
          <w:lang w:val="en-CA"/>
        </w:rPr>
        <w:t>exempt from seizure</w:t>
      </w:r>
      <w:r w:rsidR="00CC44B7">
        <w:rPr>
          <w:lang w:val="en-CA"/>
        </w:rPr>
        <w:t xml:space="preserve"> on that basis alone</w:t>
      </w:r>
      <w:r w:rsidRPr="00483982">
        <w:rPr>
          <w:lang w:val="en-CA"/>
        </w:rPr>
        <w:t>.</w:t>
      </w:r>
      <w:r w:rsidR="00D9147E">
        <w:rPr>
          <w:rStyle w:val="Appelnotedebasdep"/>
        </w:rPr>
        <w:footnoteReference w:id="15"/>
      </w:r>
      <w:r w:rsidR="00D9147E" w:rsidRPr="00483982">
        <w:rPr>
          <w:lang w:val="en-CA"/>
        </w:rPr>
        <w:t xml:space="preserve"> </w:t>
      </w:r>
      <w:r w:rsidRPr="006A5977">
        <w:rPr>
          <w:lang w:val="en-CA"/>
        </w:rPr>
        <w:t xml:space="preserve">This distinction is </w:t>
      </w:r>
      <w:r w:rsidR="009749C6" w:rsidRPr="006A5977">
        <w:rPr>
          <w:lang w:val="en-CA"/>
        </w:rPr>
        <w:t>crucial</w:t>
      </w:r>
      <w:r w:rsidRPr="006A5977">
        <w:rPr>
          <w:lang w:val="en-CA"/>
        </w:rPr>
        <w:t xml:space="preserve"> on at least two fronts.</w:t>
      </w:r>
    </w:p>
    <w:p w14:paraId="0E10B1F8" w14:textId="62DB4BDA" w:rsidR="00D9147E" w:rsidRPr="009749C6" w:rsidRDefault="009749C6" w:rsidP="00D9147E">
      <w:pPr>
        <w:pStyle w:val="Paragraphe"/>
        <w:numPr>
          <w:ilvl w:val="0"/>
          <w:numId w:val="1"/>
        </w:numPr>
        <w:spacing w:line="240" w:lineRule="auto"/>
        <w:rPr>
          <w:lang w:val="en-CA"/>
        </w:rPr>
      </w:pPr>
      <w:r w:rsidRPr="009749C6">
        <w:rPr>
          <w:lang w:val="en-CA"/>
        </w:rPr>
        <w:t xml:space="preserve">First, it </w:t>
      </w:r>
      <w:r w:rsidR="00137889">
        <w:rPr>
          <w:lang w:val="en-CA"/>
        </w:rPr>
        <w:t>states</w:t>
      </w:r>
      <w:r w:rsidR="00137889" w:rsidRPr="009749C6">
        <w:rPr>
          <w:lang w:val="en-CA"/>
        </w:rPr>
        <w:t xml:space="preserve"> </w:t>
      </w:r>
      <w:r w:rsidRPr="009749C6">
        <w:rPr>
          <w:lang w:val="en-CA"/>
        </w:rPr>
        <w:t xml:space="preserve">that the purpose of the IRC is not </w:t>
      </w:r>
      <w:r w:rsidR="00C07126">
        <w:rPr>
          <w:lang w:val="en-CA"/>
        </w:rPr>
        <w:t xml:space="preserve">the same </w:t>
      </w:r>
      <w:r w:rsidRPr="009749C6">
        <w:rPr>
          <w:lang w:val="en-CA"/>
        </w:rPr>
        <w:t xml:space="preserve">that of privileged information, </w:t>
      </w:r>
      <w:r w:rsidR="00ED2235">
        <w:rPr>
          <w:lang w:val="en-CA"/>
        </w:rPr>
        <w:t xml:space="preserve">in particular because solicitor-client privilege is preserved. </w:t>
      </w:r>
      <w:r w:rsidR="008D1EC7">
        <w:rPr>
          <w:lang w:val="en-CA"/>
        </w:rPr>
        <w:t xml:space="preserve">According to the </w:t>
      </w:r>
      <w:r w:rsidR="008D1EC7">
        <w:rPr>
          <w:lang w:val="en-CA"/>
        </w:rPr>
        <w:lastRenderedPageBreak/>
        <w:t>former</w:t>
      </w:r>
      <w:r w:rsidRPr="009749C6">
        <w:rPr>
          <w:lang w:val="en-CA"/>
        </w:rPr>
        <w:t xml:space="preserve">, the rule </w:t>
      </w:r>
      <w:r w:rsidR="008D1EC7">
        <w:rPr>
          <w:lang w:val="en-CA"/>
        </w:rPr>
        <w:t>seeks</w:t>
      </w:r>
      <w:r w:rsidR="008D1EC7" w:rsidRPr="009749C6">
        <w:rPr>
          <w:lang w:val="en-CA"/>
        </w:rPr>
        <w:t xml:space="preserve"> </w:t>
      </w:r>
      <w:r w:rsidRPr="009749C6">
        <w:rPr>
          <w:lang w:val="en-CA"/>
        </w:rPr>
        <w:t xml:space="preserve">to </w:t>
      </w:r>
      <w:r w:rsidR="00CE5A94">
        <w:rPr>
          <w:lang w:val="en-CA"/>
        </w:rPr>
        <w:t>reconcile</w:t>
      </w:r>
      <w:r w:rsidRPr="009749C6">
        <w:rPr>
          <w:lang w:val="en-CA"/>
        </w:rPr>
        <w:t xml:space="preserve"> the scope of the renunciation of privacy involved in a legal action </w:t>
      </w:r>
      <w:r w:rsidR="00ED2235" w:rsidRPr="009749C6">
        <w:rPr>
          <w:lang w:val="en-CA"/>
        </w:rPr>
        <w:t>and</w:t>
      </w:r>
      <w:r w:rsidRPr="009749C6">
        <w:rPr>
          <w:lang w:val="en-CA"/>
        </w:rPr>
        <w:t xml:space="preserve"> arising from the open court principle</w:t>
      </w:r>
      <w:r w:rsidR="008D1EC7">
        <w:rPr>
          <w:lang w:val="en-CA"/>
        </w:rPr>
        <w:t>, which requires the</w:t>
      </w:r>
      <w:r w:rsidRPr="009749C6">
        <w:rPr>
          <w:lang w:val="en-CA"/>
        </w:rPr>
        <w:t xml:space="preserve"> just and full disclosure of information, thereby facilitati</w:t>
      </w:r>
      <w:r w:rsidR="00ED2235">
        <w:rPr>
          <w:lang w:val="en-CA"/>
        </w:rPr>
        <w:t>ng</w:t>
      </w:r>
      <w:r w:rsidRPr="009749C6">
        <w:rPr>
          <w:lang w:val="en-CA"/>
        </w:rPr>
        <w:t xml:space="preserve"> the search for truth.</w:t>
      </w:r>
      <w:r w:rsidR="00D9147E" w:rsidRPr="009749C6">
        <w:rPr>
          <w:lang w:val="en-CA"/>
        </w:rPr>
        <w:t xml:space="preserve"> </w:t>
      </w:r>
      <w:r w:rsidRPr="009749C6">
        <w:rPr>
          <w:lang w:val="en-CA"/>
        </w:rPr>
        <w:t>Confidentiality support</w:t>
      </w:r>
      <w:r w:rsidR="008D1EC7">
        <w:rPr>
          <w:lang w:val="en-CA"/>
        </w:rPr>
        <w:t>s</w:t>
      </w:r>
      <w:r w:rsidRPr="009749C6">
        <w:rPr>
          <w:lang w:val="en-CA"/>
        </w:rPr>
        <w:t xml:space="preserve"> the proper administration of justice.</w:t>
      </w:r>
      <w:r w:rsidR="00D9147E" w:rsidRPr="009749C6">
        <w:rPr>
          <w:lang w:val="en-CA"/>
        </w:rPr>
        <w:t xml:space="preserve"> </w:t>
      </w:r>
      <w:r w:rsidR="008D1EC7">
        <w:rPr>
          <w:lang w:val="en-CA"/>
        </w:rPr>
        <w:t>According to the latter</w:t>
      </w:r>
      <w:r w:rsidRPr="009749C6">
        <w:rPr>
          <w:lang w:val="en-CA"/>
        </w:rPr>
        <w:t xml:space="preserve">, </w:t>
      </w:r>
      <w:r w:rsidR="008D1EC7">
        <w:rPr>
          <w:lang w:val="en-CA"/>
        </w:rPr>
        <w:t>the purpose is to pro</w:t>
      </w:r>
      <w:r w:rsidR="005F4695">
        <w:rPr>
          <w:lang w:val="en-CA"/>
        </w:rPr>
        <w:t xml:space="preserve">vide </w:t>
      </w:r>
      <w:r w:rsidR="00ED2235" w:rsidRPr="009749C6">
        <w:rPr>
          <w:lang w:val="en-CA"/>
        </w:rPr>
        <w:t>absolute</w:t>
      </w:r>
      <w:r w:rsidR="00ED2235">
        <w:rPr>
          <w:lang w:val="en-CA"/>
        </w:rPr>
        <w:t xml:space="preserve"> – or quasi-absolute– </w:t>
      </w:r>
      <w:r w:rsidR="005F4695">
        <w:rPr>
          <w:lang w:val="en-CA"/>
        </w:rPr>
        <w:t xml:space="preserve">protection of a </w:t>
      </w:r>
      <w:r w:rsidRPr="009749C6">
        <w:rPr>
          <w:lang w:val="en-CA"/>
        </w:rPr>
        <w:t>secret</w:t>
      </w:r>
      <w:r w:rsidR="005F4695">
        <w:rPr>
          <w:lang w:val="en-CA"/>
        </w:rPr>
        <w:t xml:space="preserve"> </w:t>
      </w:r>
      <w:r w:rsidR="005F4695" w:rsidRPr="006A5977">
        <w:rPr>
          <w:i/>
          <w:lang w:val="en-CA"/>
        </w:rPr>
        <w:t>in se</w:t>
      </w:r>
      <w:r w:rsidRPr="009749C6">
        <w:rPr>
          <w:lang w:val="en-CA"/>
        </w:rPr>
        <w:t xml:space="preserve">, a right enshrined in s. 9 of the </w:t>
      </w:r>
      <w:r w:rsidRPr="00ED2235">
        <w:rPr>
          <w:i/>
          <w:lang w:val="en-CA"/>
        </w:rPr>
        <w:t>Charter of human rights and freedoms</w:t>
      </w:r>
      <w:r w:rsidRPr="009749C6">
        <w:rPr>
          <w:lang w:val="en-CA"/>
        </w:rPr>
        <w:t>.</w:t>
      </w:r>
      <w:r w:rsidR="00D9147E">
        <w:rPr>
          <w:rStyle w:val="Appelnotedebasdep"/>
        </w:rPr>
        <w:footnoteReference w:id="16"/>
      </w:r>
    </w:p>
    <w:p w14:paraId="31881E22" w14:textId="0C675FD4" w:rsidR="00D9147E" w:rsidRPr="009749C6" w:rsidRDefault="005F4695" w:rsidP="00D9147E">
      <w:pPr>
        <w:pStyle w:val="Paragraphe"/>
        <w:numPr>
          <w:ilvl w:val="0"/>
          <w:numId w:val="1"/>
        </w:numPr>
        <w:spacing w:line="240" w:lineRule="auto"/>
        <w:rPr>
          <w:lang w:val="en-CA"/>
        </w:rPr>
      </w:pPr>
      <w:r>
        <w:rPr>
          <w:lang w:val="en-CA"/>
        </w:rPr>
        <w:t>Next</w:t>
      </w:r>
      <w:r w:rsidR="009749C6" w:rsidRPr="009749C6">
        <w:rPr>
          <w:lang w:val="en-CA"/>
        </w:rPr>
        <w:t xml:space="preserve">, </w:t>
      </w:r>
      <w:r w:rsidR="0076279D">
        <w:rPr>
          <w:lang w:val="en-CA"/>
        </w:rPr>
        <w:t xml:space="preserve">as the trial judge determined, </w:t>
      </w:r>
      <w:r w:rsidR="009749C6" w:rsidRPr="009749C6">
        <w:rPr>
          <w:lang w:val="en-CA"/>
        </w:rPr>
        <w:t xml:space="preserve">and this is </w:t>
      </w:r>
      <w:r>
        <w:rPr>
          <w:lang w:val="en-CA"/>
        </w:rPr>
        <w:t>a</w:t>
      </w:r>
      <w:r w:rsidRPr="009749C6">
        <w:rPr>
          <w:lang w:val="en-CA"/>
        </w:rPr>
        <w:t xml:space="preserve"> </w:t>
      </w:r>
      <w:r w:rsidR="009749C6" w:rsidRPr="009749C6">
        <w:rPr>
          <w:lang w:val="en-CA"/>
        </w:rPr>
        <w:t xml:space="preserve">corollary of the last point, </w:t>
      </w:r>
      <w:r w:rsidR="007203CA" w:rsidRPr="009749C6">
        <w:rPr>
          <w:lang w:val="en-CA"/>
        </w:rPr>
        <w:t>contrary to solicitor-client privilege</w:t>
      </w:r>
      <w:r w:rsidR="007203CA">
        <w:rPr>
          <w:lang w:val="en-CA"/>
        </w:rPr>
        <w:t>,</w:t>
      </w:r>
      <w:r w:rsidR="007203CA" w:rsidRPr="009749C6">
        <w:rPr>
          <w:lang w:val="en-CA"/>
        </w:rPr>
        <w:t xml:space="preserve"> </w:t>
      </w:r>
      <w:r w:rsidR="009749C6" w:rsidRPr="009749C6">
        <w:rPr>
          <w:lang w:val="en-CA"/>
        </w:rPr>
        <w:t>nothing prevent</w:t>
      </w:r>
      <w:r>
        <w:rPr>
          <w:lang w:val="en-CA"/>
        </w:rPr>
        <w:t>s</w:t>
      </w:r>
      <w:r w:rsidR="007203CA" w:rsidRPr="007203CA">
        <w:rPr>
          <w:lang w:val="en-CA"/>
        </w:rPr>
        <w:t xml:space="preserve"> </w:t>
      </w:r>
      <w:r w:rsidR="007203CA" w:rsidRPr="009749C6">
        <w:rPr>
          <w:lang w:val="en-CA"/>
        </w:rPr>
        <w:t>information subject to the IRC</w:t>
      </w:r>
      <w:r w:rsidR="007A613E">
        <w:rPr>
          <w:lang w:val="en-CA"/>
        </w:rPr>
        <w:t xml:space="preserve"> from</w:t>
      </w:r>
      <w:r w:rsidR="009749C6" w:rsidRPr="009749C6">
        <w:rPr>
          <w:lang w:val="en-CA"/>
        </w:rPr>
        <w:t xml:space="preserve"> once again </w:t>
      </w:r>
      <w:r w:rsidR="007A613E">
        <w:rPr>
          <w:lang w:val="en-CA"/>
        </w:rPr>
        <w:t xml:space="preserve">being </w:t>
      </w:r>
      <w:r w:rsidR="009749C6" w:rsidRPr="009749C6">
        <w:rPr>
          <w:lang w:val="en-CA"/>
        </w:rPr>
        <w:t>disclosed in a subsequent dispute the same way it was in the initial dispute, that is, in a pre-trial examination.</w:t>
      </w:r>
      <w:r w:rsidR="00D9147E" w:rsidRPr="009749C6">
        <w:rPr>
          <w:lang w:val="en-CA"/>
        </w:rPr>
        <w:t xml:space="preserve"> </w:t>
      </w:r>
      <w:r w:rsidR="003A31C3">
        <w:rPr>
          <w:lang w:val="en-CA"/>
        </w:rPr>
        <w:t>Therefore</w:t>
      </w:r>
      <w:r w:rsidR="009749C6" w:rsidRPr="009749C6">
        <w:rPr>
          <w:lang w:val="en-CA"/>
        </w:rPr>
        <w:t>, the fact that lawyer</w:t>
      </w:r>
      <w:r w:rsidR="007A613E">
        <w:rPr>
          <w:lang w:val="en-CA"/>
        </w:rPr>
        <w:t>s</w:t>
      </w:r>
      <w:r w:rsidR="009749C6" w:rsidRPr="009749C6">
        <w:rPr>
          <w:lang w:val="en-CA"/>
        </w:rPr>
        <w:t xml:space="preserve"> previously received information and</w:t>
      </w:r>
      <w:r w:rsidR="00CD4AEC">
        <w:rPr>
          <w:lang w:val="en-CA"/>
        </w:rPr>
        <w:t>,</w:t>
      </w:r>
      <w:r w:rsidR="009749C6" w:rsidRPr="009749C6">
        <w:rPr>
          <w:lang w:val="en-CA"/>
        </w:rPr>
        <w:t xml:space="preserve"> </w:t>
      </w:r>
      <w:r w:rsidR="003A31C3">
        <w:rPr>
          <w:lang w:val="en-CA"/>
        </w:rPr>
        <w:t xml:space="preserve">as per </w:t>
      </w:r>
      <w:r w:rsidR="00CD4AEC" w:rsidRPr="009749C6">
        <w:rPr>
          <w:lang w:val="en-CA"/>
        </w:rPr>
        <w:t xml:space="preserve">the principle in </w:t>
      </w:r>
      <w:r w:rsidR="00CD4AEC" w:rsidRPr="007A613E">
        <w:rPr>
          <w:i/>
          <w:lang w:val="en-CA"/>
        </w:rPr>
        <w:t>MacDonald Estate</w:t>
      </w:r>
      <w:r w:rsidR="00CD4AEC">
        <w:rPr>
          <w:lang w:val="en-CA"/>
        </w:rPr>
        <w:t>,</w:t>
      </w:r>
      <w:r w:rsidR="00CD4AEC" w:rsidRPr="009749C6">
        <w:rPr>
          <w:lang w:val="en-CA"/>
        </w:rPr>
        <w:t xml:space="preserve"> </w:t>
      </w:r>
      <w:r w:rsidR="009749C6" w:rsidRPr="009749C6">
        <w:rPr>
          <w:lang w:val="en-CA"/>
        </w:rPr>
        <w:t xml:space="preserve">cannot </w:t>
      </w:r>
      <w:r w:rsidR="007A613E" w:rsidRPr="009749C6">
        <w:rPr>
          <w:lang w:val="en-CA"/>
        </w:rPr>
        <w:t>compartmentalize</w:t>
      </w:r>
      <w:r w:rsidR="009749C6" w:rsidRPr="009749C6">
        <w:rPr>
          <w:lang w:val="en-CA"/>
        </w:rPr>
        <w:t xml:space="preserve"> their mind</w:t>
      </w:r>
      <w:r w:rsidR="00002DA8">
        <w:rPr>
          <w:lang w:val="en-CA"/>
        </w:rPr>
        <w:t>s</w:t>
      </w:r>
      <w:r w:rsidR="009749C6" w:rsidRPr="009749C6">
        <w:rPr>
          <w:lang w:val="en-CA"/>
        </w:rPr>
        <w:t xml:space="preserve"> so as to forget it has less of an impact than </w:t>
      </w:r>
      <w:r w:rsidR="003A31C3">
        <w:rPr>
          <w:lang w:val="en-CA"/>
        </w:rPr>
        <w:t xml:space="preserve">does </w:t>
      </w:r>
      <w:r w:rsidR="009749C6" w:rsidRPr="009749C6">
        <w:rPr>
          <w:lang w:val="en-CA"/>
        </w:rPr>
        <w:t>privileged information</w:t>
      </w:r>
      <w:r w:rsidR="003A31C3">
        <w:rPr>
          <w:lang w:val="en-CA"/>
        </w:rPr>
        <w:t>, which</w:t>
      </w:r>
      <w:r w:rsidR="009749C6" w:rsidRPr="009749C6">
        <w:rPr>
          <w:lang w:val="en-CA"/>
        </w:rPr>
        <w:t xml:space="preserve"> they cannot </w:t>
      </w:r>
      <w:r w:rsidR="007A613E" w:rsidRPr="009749C6">
        <w:rPr>
          <w:lang w:val="en-CA"/>
        </w:rPr>
        <w:t xml:space="preserve">legally </w:t>
      </w:r>
      <w:r w:rsidR="009749C6" w:rsidRPr="009749C6">
        <w:rPr>
          <w:lang w:val="en-CA"/>
        </w:rPr>
        <w:t>obtain again.</w:t>
      </w:r>
      <w:r w:rsidR="00D9147E" w:rsidRPr="009749C6">
        <w:rPr>
          <w:lang w:val="en-CA"/>
        </w:rPr>
        <w:t xml:space="preserve"> </w:t>
      </w:r>
      <w:r w:rsidR="009749C6" w:rsidRPr="009749C6">
        <w:rPr>
          <w:lang w:val="en-CA"/>
        </w:rPr>
        <w:t xml:space="preserve">Simply put, there is no point </w:t>
      </w:r>
      <w:r w:rsidR="003A31C3">
        <w:rPr>
          <w:lang w:val="en-CA"/>
        </w:rPr>
        <w:t xml:space="preserve">for </w:t>
      </w:r>
      <w:r w:rsidR="009749C6" w:rsidRPr="009749C6">
        <w:rPr>
          <w:lang w:val="en-CA"/>
        </w:rPr>
        <w:t xml:space="preserve">lawyers subject to the IRC </w:t>
      </w:r>
      <w:r w:rsidR="003A31C3">
        <w:rPr>
          <w:lang w:val="en-CA"/>
        </w:rPr>
        <w:t xml:space="preserve">to </w:t>
      </w:r>
      <w:r w:rsidR="009749C6" w:rsidRPr="009749C6">
        <w:rPr>
          <w:lang w:val="en-CA"/>
        </w:rPr>
        <w:t>remember the information</w:t>
      </w:r>
      <w:r w:rsidR="003A31C3">
        <w:rPr>
          <w:lang w:val="en-CA"/>
        </w:rPr>
        <w:t xml:space="preserve">; </w:t>
      </w:r>
      <w:r w:rsidR="009749C6" w:rsidRPr="009749C6">
        <w:rPr>
          <w:lang w:val="en-CA"/>
        </w:rPr>
        <w:t xml:space="preserve">they </w:t>
      </w:r>
      <w:r w:rsidR="003A31C3">
        <w:rPr>
          <w:lang w:val="en-CA"/>
        </w:rPr>
        <w:t xml:space="preserve">simply </w:t>
      </w:r>
      <w:r w:rsidR="009749C6" w:rsidRPr="009749C6">
        <w:rPr>
          <w:lang w:val="en-CA"/>
        </w:rPr>
        <w:t xml:space="preserve">need </w:t>
      </w:r>
      <w:r w:rsidR="003A31C3">
        <w:rPr>
          <w:lang w:val="en-CA"/>
        </w:rPr>
        <w:t xml:space="preserve">to repeat </w:t>
      </w:r>
      <w:r w:rsidR="009749C6" w:rsidRPr="009749C6">
        <w:rPr>
          <w:lang w:val="en-CA"/>
        </w:rPr>
        <w:t>or recall the questions they asked in the first dispute to obtain it.</w:t>
      </w:r>
    </w:p>
    <w:p w14:paraId="4DF8CA2E" w14:textId="11BD4C6B" w:rsidR="00D9147E" w:rsidRPr="009749C6" w:rsidRDefault="003A31C3" w:rsidP="00D9147E">
      <w:pPr>
        <w:pStyle w:val="Paragraphe"/>
        <w:numPr>
          <w:ilvl w:val="0"/>
          <w:numId w:val="1"/>
        </w:numPr>
        <w:spacing w:line="240" w:lineRule="auto"/>
        <w:rPr>
          <w:lang w:val="en-CA"/>
        </w:rPr>
      </w:pPr>
      <w:r>
        <w:rPr>
          <w:lang w:val="en-CA"/>
        </w:rPr>
        <w:t>However, t</w:t>
      </w:r>
      <w:r w:rsidR="009749C6" w:rsidRPr="009749C6">
        <w:rPr>
          <w:lang w:val="en-CA"/>
        </w:rPr>
        <w:t xml:space="preserve">his distinction between privileged </w:t>
      </w:r>
      <w:r w:rsidR="007A613E" w:rsidRPr="009749C6">
        <w:rPr>
          <w:lang w:val="en-CA"/>
        </w:rPr>
        <w:t>information</w:t>
      </w:r>
      <w:r w:rsidR="009749C6" w:rsidRPr="009749C6">
        <w:rPr>
          <w:lang w:val="en-CA"/>
        </w:rPr>
        <w:t xml:space="preserve"> on the one hand, and </w:t>
      </w:r>
      <w:r w:rsidR="007A613E">
        <w:rPr>
          <w:lang w:val="en-CA"/>
        </w:rPr>
        <w:t>information</w:t>
      </w:r>
      <w:r w:rsidR="009749C6" w:rsidRPr="009749C6">
        <w:rPr>
          <w:lang w:val="en-CA"/>
        </w:rPr>
        <w:t xml:space="preserve"> covered by the IRC on the other, as important as it may be, does not mean that the case at hand </w:t>
      </w:r>
      <w:r w:rsidR="007A613E">
        <w:rPr>
          <w:lang w:val="en-CA"/>
        </w:rPr>
        <w:t>raise</w:t>
      </w:r>
      <w:r w:rsidR="006E28BE">
        <w:rPr>
          <w:lang w:val="en-CA"/>
        </w:rPr>
        <w:t>s no</w:t>
      </w:r>
      <w:r w:rsidR="009749C6" w:rsidRPr="009749C6">
        <w:rPr>
          <w:lang w:val="en-CA"/>
        </w:rPr>
        <w:t xml:space="preserve"> </w:t>
      </w:r>
      <w:r w:rsidR="007A613E">
        <w:rPr>
          <w:lang w:val="en-CA"/>
        </w:rPr>
        <w:t>challenges</w:t>
      </w:r>
      <w:r w:rsidR="009749C6" w:rsidRPr="009749C6">
        <w:rPr>
          <w:lang w:val="en-CA"/>
        </w:rPr>
        <w:t xml:space="preserve"> or </w:t>
      </w:r>
      <w:r w:rsidR="006E28BE">
        <w:rPr>
          <w:lang w:val="en-CA"/>
        </w:rPr>
        <w:t xml:space="preserve">delicate issues </w:t>
      </w:r>
      <w:r w:rsidR="009749C6" w:rsidRPr="009749C6">
        <w:rPr>
          <w:lang w:val="en-CA"/>
        </w:rPr>
        <w:t>for the respondent Woods.</w:t>
      </w:r>
      <w:r w:rsidR="00D9147E" w:rsidRPr="009749C6">
        <w:rPr>
          <w:lang w:val="en-CA"/>
        </w:rPr>
        <w:t xml:space="preserve"> </w:t>
      </w:r>
      <w:r w:rsidR="009749C6" w:rsidRPr="00E44A1E">
        <w:rPr>
          <w:lang w:val="en-CA"/>
        </w:rPr>
        <w:t>The Supreme Court is clear.</w:t>
      </w:r>
      <w:r w:rsidR="00D9147E" w:rsidRPr="009749C6">
        <w:rPr>
          <w:lang w:val="en-CA"/>
        </w:rPr>
        <w:t xml:space="preserve"> </w:t>
      </w:r>
      <w:r w:rsidR="009749C6" w:rsidRPr="009749C6">
        <w:rPr>
          <w:lang w:val="en-CA"/>
        </w:rPr>
        <w:t>The IRC applies not only to the party, but also to those who represent it</w:t>
      </w:r>
      <w:r w:rsidR="006E28BE">
        <w:rPr>
          <w:lang w:val="en-CA"/>
        </w:rPr>
        <w:t>,</w:t>
      </w:r>
      <w:r w:rsidR="00D9147E">
        <w:rPr>
          <w:rStyle w:val="Appelnotedebasdep"/>
        </w:rPr>
        <w:footnoteReference w:id="17"/>
      </w:r>
      <w:r w:rsidR="009749C6" w:rsidRPr="009749C6">
        <w:rPr>
          <w:lang w:val="en-CA"/>
        </w:rPr>
        <w:t xml:space="preserve"> and </w:t>
      </w:r>
      <w:r w:rsidR="006E28BE">
        <w:rPr>
          <w:lang w:val="en-CA"/>
        </w:rPr>
        <w:t xml:space="preserve">it </w:t>
      </w:r>
      <w:r w:rsidR="009749C6" w:rsidRPr="009749C6">
        <w:rPr>
          <w:lang w:val="en-CA"/>
        </w:rPr>
        <w:t xml:space="preserve">prevents </w:t>
      </w:r>
      <w:r w:rsidR="006E28BE">
        <w:rPr>
          <w:lang w:val="en-CA"/>
        </w:rPr>
        <w:t>the latter</w:t>
      </w:r>
      <w:r w:rsidR="006E28BE" w:rsidRPr="009749C6">
        <w:rPr>
          <w:lang w:val="en-CA"/>
        </w:rPr>
        <w:t xml:space="preserve"> </w:t>
      </w:r>
      <w:r w:rsidR="009749C6" w:rsidRPr="009749C6">
        <w:rPr>
          <w:lang w:val="en-CA"/>
        </w:rPr>
        <w:t xml:space="preserve">from </w:t>
      </w:r>
      <w:r w:rsidR="00CF0D78" w:rsidRPr="009749C6">
        <w:rPr>
          <w:lang w:val="en-CA"/>
        </w:rPr>
        <w:t>disclosing</w:t>
      </w:r>
      <w:r w:rsidR="009749C6" w:rsidRPr="009749C6">
        <w:rPr>
          <w:lang w:val="en-CA"/>
        </w:rPr>
        <w:t xml:space="preserve"> or using the information received for purposes other than the dispute for which it was gathered,</w:t>
      </w:r>
      <w:r w:rsidR="00D9147E">
        <w:rPr>
          <w:rStyle w:val="Appelnotedebasdep"/>
        </w:rPr>
        <w:footnoteReference w:id="18"/>
      </w:r>
      <w:r w:rsidR="009749C6" w:rsidRPr="009749C6">
        <w:rPr>
          <w:lang w:val="en-CA"/>
        </w:rPr>
        <w:t xml:space="preserve"> subject to the </w:t>
      </w:r>
      <w:r w:rsidR="00CF0D78">
        <w:rPr>
          <w:lang w:val="en-CA"/>
        </w:rPr>
        <w:t>C</w:t>
      </w:r>
      <w:r w:rsidR="009749C6" w:rsidRPr="009749C6">
        <w:rPr>
          <w:lang w:val="en-CA"/>
        </w:rPr>
        <w:t>ourt’s authorization, which was not sought in this case.</w:t>
      </w:r>
      <w:r w:rsidR="00D9147E" w:rsidRPr="009749C6">
        <w:rPr>
          <w:lang w:val="en-CA"/>
        </w:rPr>
        <w:t xml:space="preserve"> </w:t>
      </w:r>
      <w:r w:rsidR="009749C6" w:rsidRPr="009749C6">
        <w:rPr>
          <w:lang w:val="en-CA"/>
        </w:rPr>
        <w:t xml:space="preserve">On this last point, the appellants </w:t>
      </w:r>
      <w:r w:rsidR="00CF0D78" w:rsidRPr="009749C6">
        <w:rPr>
          <w:lang w:val="en-CA"/>
        </w:rPr>
        <w:t xml:space="preserve">quite rightly </w:t>
      </w:r>
      <w:r w:rsidR="00CF0D78">
        <w:rPr>
          <w:lang w:val="en-CA"/>
        </w:rPr>
        <w:t>argue</w:t>
      </w:r>
      <w:r w:rsidR="009749C6" w:rsidRPr="009749C6">
        <w:rPr>
          <w:lang w:val="en-CA"/>
        </w:rPr>
        <w:t xml:space="preserve"> that the respondent</w:t>
      </w:r>
      <w:r w:rsidR="00440E6D">
        <w:rPr>
          <w:lang w:val="en-CA"/>
        </w:rPr>
        <w:t xml:space="preserve"> partie</w:t>
      </w:r>
      <w:r w:rsidR="009749C6" w:rsidRPr="009749C6">
        <w:rPr>
          <w:lang w:val="en-CA"/>
        </w:rPr>
        <w:t xml:space="preserve">s </w:t>
      </w:r>
      <w:r w:rsidR="006E28BE">
        <w:rPr>
          <w:lang w:val="en-CA"/>
        </w:rPr>
        <w:t xml:space="preserve">are the </w:t>
      </w:r>
      <w:r w:rsidR="00440E6D">
        <w:rPr>
          <w:lang w:val="en-CA"/>
        </w:rPr>
        <w:t xml:space="preserve">ones </w:t>
      </w:r>
      <w:r w:rsidR="00CF0D78">
        <w:rPr>
          <w:lang w:val="en-CA"/>
        </w:rPr>
        <w:t xml:space="preserve">who </w:t>
      </w:r>
      <w:r w:rsidR="00440E6D">
        <w:rPr>
          <w:lang w:val="en-CA"/>
        </w:rPr>
        <w:t>may</w:t>
      </w:r>
      <w:r w:rsidR="006E28BE" w:rsidRPr="009749C6">
        <w:rPr>
          <w:lang w:val="en-CA"/>
        </w:rPr>
        <w:t xml:space="preserve"> </w:t>
      </w:r>
      <w:r w:rsidR="009749C6" w:rsidRPr="009749C6">
        <w:rPr>
          <w:lang w:val="en-CA"/>
        </w:rPr>
        <w:t xml:space="preserve">make that request, not the respondent Woods, </w:t>
      </w:r>
      <w:r w:rsidR="006E28BE">
        <w:rPr>
          <w:lang w:val="en-CA"/>
        </w:rPr>
        <w:t>as it</w:t>
      </w:r>
      <w:r w:rsidR="009749C6" w:rsidRPr="009749C6">
        <w:rPr>
          <w:lang w:val="en-CA"/>
        </w:rPr>
        <w:t xml:space="preserve"> is not a party to the dispute.</w:t>
      </w:r>
      <w:r w:rsidR="00D9147E" w:rsidRPr="009749C6">
        <w:rPr>
          <w:lang w:val="en-CA"/>
        </w:rPr>
        <w:t xml:space="preserve"> </w:t>
      </w:r>
      <w:r w:rsidR="00440E6D">
        <w:rPr>
          <w:lang w:val="en-CA"/>
        </w:rPr>
        <w:t>Indeed, it</w:t>
      </w:r>
      <w:r w:rsidR="009749C6" w:rsidRPr="009749C6">
        <w:rPr>
          <w:lang w:val="en-CA"/>
        </w:rPr>
        <w:t xml:space="preserve"> is difficult to ima</w:t>
      </w:r>
      <w:r w:rsidR="00CF0D78">
        <w:rPr>
          <w:lang w:val="en-CA"/>
        </w:rPr>
        <w:t>gi</w:t>
      </w:r>
      <w:r w:rsidR="009749C6" w:rsidRPr="009749C6">
        <w:rPr>
          <w:lang w:val="en-CA"/>
        </w:rPr>
        <w:t>ne that such an application could be made without the respondent Woods having first violated its obligations.</w:t>
      </w:r>
      <w:r w:rsidR="00D9147E">
        <w:rPr>
          <w:rStyle w:val="Appelnotedebasdep"/>
        </w:rPr>
        <w:footnoteReference w:id="19"/>
      </w:r>
    </w:p>
    <w:p w14:paraId="5C7119A8" w14:textId="32403C32" w:rsidR="00D9147E" w:rsidRPr="009749C6" w:rsidRDefault="00CF0D78" w:rsidP="00D9147E">
      <w:pPr>
        <w:pStyle w:val="Paragraphe"/>
        <w:numPr>
          <w:ilvl w:val="0"/>
          <w:numId w:val="1"/>
        </w:numPr>
        <w:spacing w:line="240" w:lineRule="auto"/>
        <w:rPr>
          <w:lang w:val="en-CA"/>
        </w:rPr>
      </w:pPr>
      <w:r>
        <w:rPr>
          <w:lang w:val="en-CA"/>
        </w:rPr>
        <w:t>It also cannot be denied tha</w:t>
      </w:r>
      <w:r w:rsidR="009749C6" w:rsidRPr="009749C6">
        <w:rPr>
          <w:lang w:val="en-CA"/>
        </w:rPr>
        <w:t>t</w:t>
      </w:r>
      <w:r>
        <w:rPr>
          <w:lang w:val="en-CA"/>
        </w:rPr>
        <w:t xml:space="preserve">, </w:t>
      </w:r>
      <w:r w:rsidR="009749C6" w:rsidRPr="009749C6">
        <w:rPr>
          <w:lang w:val="en-CA"/>
        </w:rPr>
        <w:t xml:space="preserve">in this case, the </w:t>
      </w:r>
      <w:r>
        <w:rPr>
          <w:lang w:val="en-CA"/>
        </w:rPr>
        <w:t xml:space="preserve">issues in </w:t>
      </w:r>
      <w:r w:rsidR="009B0F7B">
        <w:rPr>
          <w:lang w:val="en-CA"/>
        </w:rPr>
        <w:t xml:space="preserve">the two </w:t>
      </w:r>
      <w:r>
        <w:rPr>
          <w:lang w:val="en-CA"/>
        </w:rPr>
        <w:t>disputes are related</w:t>
      </w:r>
      <w:r w:rsidR="009749C6" w:rsidRPr="009749C6">
        <w:rPr>
          <w:lang w:val="en-CA"/>
        </w:rPr>
        <w:t xml:space="preserve">, </w:t>
      </w:r>
      <w:r w:rsidR="009B0F7B">
        <w:rPr>
          <w:lang w:val="en-CA"/>
        </w:rPr>
        <w:t xml:space="preserve">that </w:t>
      </w:r>
      <w:r w:rsidR="009749C6" w:rsidRPr="009749C6">
        <w:rPr>
          <w:lang w:val="en-CA"/>
        </w:rPr>
        <w:t xml:space="preserve">the information covered by the IRC </w:t>
      </w:r>
      <w:r>
        <w:rPr>
          <w:lang w:val="en-CA"/>
        </w:rPr>
        <w:t>is relevant to</w:t>
      </w:r>
      <w:r w:rsidR="009749C6" w:rsidRPr="009749C6">
        <w:rPr>
          <w:lang w:val="en-CA"/>
        </w:rPr>
        <w:t xml:space="preserve"> the </w:t>
      </w:r>
      <w:proofErr w:type="spellStart"/>
      <w:r w:rsidR="009749C6" w:rsidRPr="009749C6">
        <w:rPr>
          <w:lang w:val="en-CA"/>
        </w:rPr>
        <w:t>Shenker</w:t>
      </w:r>
      <w:proofErr w:type="spellEnd"/>
      <w:r w:rsidR="009749C6" w:rsidRPr="009749C6">
        <w:rPr>
          <w:lang w:val="en-CA"/>
        </w:rPr>
        <w:t xml:space="preserve"> </w:t>
      </w:r>
      <w:r w:rsidR="009B0F7B">
        <w:rPr>
          <w:lang w:val="en-CA"/>
        </w:rPr>
        <w:t>case</w:t>
      </w:r>
      <w:r w:rsidR="009749C6" w:rsidRPr="009749C6">
        <w:rPr>
          <w:lang w:val="en-CA"/>
        </w:rPr>
        <w:t xml:space="preserve">, and </w:t>
      </w:r>
      <w:r w:rsidR="009B0F7B">
        <w:rPr>
          <w:lang w:val="en-CA"/>
        </w:rPr>
        <w:t xml:space="preserve">that </w:t>
      </w:r>
      <w:r w:rsidR="009749C6" w:rsidRPr="009749C6">
        <w:rPr>
          <w:lang w:val="en-CA"/>
        </w:rPr>
        <w:t>its significan</w:t>
      </w:r>
      <w:r>
        <w:rPr>
          <w:lang w:val="en-CA"/>
        </w:rPr>
        <w:t>ce is</w:t>
      </w:r>
      <w:r w:rsidR="009749C6" w:rsidRPr="009749C6">
        <w:rPr>
          <w:lang w:val="en-CA"/>
        </w:rPr>
        <w:t xml:space="preserve"> such as to create a fear that it might be disclosed or used.</w:t>
      </w:r>
      <w:r w:rsidR="00D9147E" w:rsidRPr="009749C6">
        <w:rPr>
          <w:lang w:val="en-CA"/>
        </w:rPr>
        <w:t xml:space="preserve"> </w:t>
      </w:r>
      <w:r w:rsidR="009749C6" w:rsidRPr="009749C6">
        <w:rPr>
          <w:lang w:val="en-CA"/>
        </w:rPr>
        <w:t xml:space="preserve">The only issue is </w:t>
      </w:r>
      <w:r w:rsidRPr="009749C6">
        <w:rPr>
          <w:lang w:val="en-CA"/>
        </w:rPr>
        <w:t xml:space="preserve">whether, in these circumstances, </w:t>
      </w:r>
      <w:r>
        <w:rPr>
          <w:lang w:val="en-CA"/>
        </w:rPr>
        <w:t>this</w:t>
      </w:r>
      <w:r w:rsidR="009749C6" w:rsidRPr="009749C6">
        <w:rPr>
          <w:lang w:val="en-CA"/>
        </w:rPr>
        <w:t xml:space="preserve"> must lead</w:t>
      </w:r>
      <w:r>
        <w:rPr>
          <w:lang w:val="en-CA"/>
        </w:rPr>
        <w:t xml:space="preserve"> </w:t>
      </w:r>
      <w:r w:rsidR="009749C6" w:rsidRPr="009749C6">
        <w:rPr>
          <w:lang w:val="en-CA"/>
        </w:rPr>
        <w:t xml:space="preserve">to </w:t>
      </w:r>
      <w:r w:rsidRPr="009749C6">
        <w:rPr>
          <w:lang w:val="en-CA"/>
        </w:rPr>
        <w:t xml:space="preserve">the </w:t>
      </w:r>
      <w:r w:rsidR="009B0F7B">
        <w:rPr>
          <w:lang w:val="en-CA"/>
        </w:rPr>
        <w:t xml:space="preserve">disqualification of the </w:t>
      </w:r>
      <w:r w:rsidRPr="009749C6">
        <w:rPr>
          <w:lang w:val="en-CA"/>
        </w:rPr>
        <w:t>respondent Woods</w:t>
      </w:r>
      <w:r w:rsidR="009749C6" w:rsidRPr="009749C6">
        <w:rPr>
          <w:lang w:val="en-CA"/>
        </w:rPr>
        <w:t>.</w:t>
      </w:r>
    </w:p>
    <w:p w14:paraId="79F21ECA" w14:textId="2657088F" w:rsidR="00D9147E" w:rsidRPr="009749C6" w:rsidRDefault="009749C6" w:rsidP="00D9147E">
      <w:pPr>
        <w:pStyle w:val="Paragraphe"/>
        <w:numPr>
          <w:ilvl w:val="0"/>
          <w:numId w:val="1"/>
        </w:numPr>
        <w:spacing w:line="240" w:lineRule="auto"/>
        <w:rPr>
          <w:lang w:val="en-CA"/>
        </w:rPr>
      </w:pPr>
      <w:r w:rsidRPr="00E44A1E">
        <w:rPr>
          <w:lang w:val="en-CA"/>
        </w:rPr>
        <w:t xml:space="preserve">The legitimacy of the judicial </w:t>
      </w:r>
      <w:r w:rsidR="00CF0D78" w:rsidRPr="00E44A1E">
        <w:rPr>
          <w:lang w:val="en-CA"/>
        </w:rPr>
        <w:t>institution</w:t>
      </w:r>
      <w:r w:rsidRPr="00E44A1E">
        <w:rPr>
          <w:lang w:val="en-CA"/>
        </w:rPr>
        <w:t xml:space="preserve">, </w:t>
      </w:r>
      <w:r w:rsidR="009B0F7B">
        <w:rPr>
          <w:lang w:val="en-CA"/>
        </w:rPr>
        <w:t>like</w:t>
      </w:r>
      <w:r w:rsidRPr="00E44A1E">
        <w:rPr>
          <w:lang w:val="en-CA"/>
        </w:rPr>
        <w:t xml:space="preserve"> any other</w:t>
      </w:r>
      <w:r w:rsidR="00CF0D78">
        <w:rPr>
          <w:lang w:val="en-CA"/>
        </w:rPr>
        <w:t xml:space="preserve"> </w:t>
      </w:r>
      <w:r w:rsidRPr="00E44A1E">
        <w:rPr>
          <w:lang w:val="en-CA"/>
        </w:rPr>
        <w:t>institution, relies on the</w:t>
      </w:r>
      <w:r w:rsidR="00CF0D78">
        <w:rPr>
          <w:lang w:val="en-CA"/>
        </w:rPr>
        <w:t xml:space="preserve"> </w:t>
      </w:r>
      <w:r w:rsidRPr="00E44A1E">
        <w:rPr>
          <w:lang w:val="en-CA"/>
        </w:rPr>
        <w:t>trust placed in it by litigants.</w:t>
      </w:r>
      <w:r w:rsidR="00D9147E" w:rsidRPr="009749C6">
        <w:rPr>
          <w:lang w:val="en-CA"/>
        </w:rPr>
        <w:t xml:space="preserve"> </w:t>
      </w:r>
      <w:r w:rsidRPr="009749C6">
        <w:rPr>
          <w:lang w:val="en-CA"/>
        </w:rPr>
        <w:t xml:space="preserve">In this sense, preserving the strict standards that surround the legal profession and the integrity of the legal </w:t>
      </w:r>
      <w:r w:rsidR="00CF0D78" w:rsidRPr="009749C6">
        <w:rPr>
          <w:lang w:val="en-CA"/>
        </w:rPr>
        <w:t>system</w:t>
      </w:r>
      <w:r w:rsidRPr="009749C6">
        <w:rPr>
          <w:lang w:val="en-CA"/>
        </w:rPr>
        <w:t xml:space="preserve"> as a whole exceeds mere </w:t>
      </w:r>
      <w:r w:rsidR="00CF0D78" w:rsidRPr="009749C6">
        <w:rPr>
          <w:lang w:val="en-CA"/>
        </w:rPr>
        <w:t>compl</w:t>
      </w:r>
      <w:r w:rsidR="00CF0D78">
        <w:rPr>
          <w:lang w:val="en-CA"/>
        </w:rPr>
        <w:t>iance</w:t>
      </w:r>
      <w:r w:rsidRPr="009749C6">
        <w:rPr>
          <w:lang w:val="en-CA"/>
        </w:rPr>
        <w:t xml:space="preserve"> with specific standards.</w:t>
      </w:r>
      <w:r w:rsidR="00D9147E" w:rsidRPr="009749C6">
        <w:rPr>
          <w:lang w:val="en-CA"/>
        </w:rPr>
        <w:t xml:space="preserve"> </w:t>
      </w:r>
      <w:r w:rsidRPr="00E44A1E">
        <w:rPr>
          <w:lang w:val="en-CA"/>
        </w:rPr>
        <w:t xml:space="preserve">As soon as a given situation compromises the integrity of the judicial process and the administration of justice in the eyes of a reasonably informed </w:t>
      </w:r>
      <w:r w:rsidRPr="00E44A1E">
        <w:rPr>
          <w:lang w:val="en-CA"/>
        </w:rPr>
        <w:lastRenderedPageBreak/>
        <w:t xml:space="preserve">person, a declaration of disqualification may be required notwithstanding the fact that the ground is not </w:t>
      </w:r>
      <w:r w:rsidR="0087069F">
        <w:rPr>
          <w:lang w:val="en-CA"/>
        </w:rPr>
        <w:t>listed</w:t>
      </w:r>
      <w:r w:rsidRPr="00E44A1E">
        <w:rPr>
          <w:lang w:val="en-CA"/>
        </w:rPr>
        <w:t xml:space="preserve"> in article 193 C.C.P.</w:t>
      </w:r>
      <w:r w:rsidR="00D9147E" w:rsidRPr="00E44A1E">
        <w:rPr>
          <w:rStyle w:val="Appelnotedebasdep"/>
        </w:rPr>
        <w:footnoteReference w:id="20"/>
      </w:r>
    </w:p>
    <w:p w14:paraId="589426A4" w14:textId="3EE137E4" w:rsidR="00D9147E" w:rsidRPr="009749C6" w:rsidRDefault="009749C6" w:rsidP="00D9147E">
      <w:pPr>
        <w:pStyle w:val="Paragraphe"/>
        <w:numPr>
          <w:ilvl w:val="0"/>
          <w:numId w:val="1"/>
        </w:numPr>
        <w:spacing w:line="240" w:lineRule="auto"/>
        <w:rPr>
          <w:lang w:val="en-CA"/>
        </w:rPr>
      </w:pPr>
      <w:r w:rsidRPr="009749C6">
        <w:rPr>
          <w:lang w:val="en-CA"/>
        </w:rPr>
        <w:t xml:space="preserve">The appellants are therefore correct to argue that the judge erred when he stated </w:t>
      </w:r>
      <w:r w:rsidRPr="006A5977">
        <w:rPr>
          <w:lang w:val="en-CA"/>
        </w:rPr>
        <w:t>in</w:t>
      </w:r>
      <w:r w:rsidRPr="003677F5">
        <w:rPr>
          <w:i/>
          <w:lang w:val="en-CA"/>
        </w:rPr>
        <w:t xml:space="preserve"> obiter</w:t>
      </w:r>
      <w:r w:rsidRPr="009749C6">
        <w:rPr>
          <w:lang w:val="en-CA"/>
        </w:rPr>
        <w:t xml:space="preserve"> that the case law does not consider disqualification </w:t>
      </w:r>
      <w:r w:rsidR="0087069F">
        <w:rPr>
          <w:lang w:val="en-CA"/>
        </w:rPr>
        <w:t xml:space="preserve">to be a </w:t>
      </w:r>
      <w:r w:rsidRPr="009749C6">
        <w:rPr>
          <w:lang w:val="en-CA"/>
        </w:rPr>
        <w:t xml:space="preserve">sanction </w:t>
      </w:r>
      <w:r w:rsidR="00A95720">
        <w:rPr>
          <w:lang w:val="en-CA"/>
        </w:rPr>
        <w:t>for</w:t>
      </w:r>
      <w:r w:rsidRPr="009749C6">
        <w:rPr>
          <w:lang w:val="en-CA"/>
        </w:rPr>
        <w:t xml:space="preserve"> a violation</w:t>
      </w:r>
      <w:r w:rsidR="003677F5" w:rsidRPr="003677F5">
        <w:rPr>
          <w:lang w:val="en-CA"/>
        </w:rPr>
        <w:t xml:space="preserve"> </w:t>
      </w:r>
      <w:r w:rsidR="003677F5" w:rsidRPr="009749C6">
        <w:rPr>
          <w:lang w:val="en-CA"/>
        </w:rPr>
        <w:t>of the IRC</w:t>
      </w:r>
      <w:r w:rsidRPr="009749C6">
        <w:rPr>
          <w:lang w:val="en-CA"/>
        </w:rPr>
        <w:t>, even a real</w:t>
      </w:r>
      <w:r w:rsidR="003677F5">
        <w:rPr>
          <w:lang w:val="en-CA"/>
        </w:rPr>
        <w:t xml:space="preserve"> </w:t>
      </w:r>
      <w:r w:rsidRPr="009749C6">
        <w:rPr>
          <w:lang w:val="en-CA"/>
        </w:rPr>
        <w:t>one. While it is true that the S</w:t>
      </w:r>
      <w:r w:rsidR="00A95720">
        <w:rPr>
          <w:lang w:val="en-CA"/>
        </w:rPr>
        <w:t>u</w:t>
      </w:r>
      <w:r w:rsidRPr="009749C6">
        <w:rPr>
          <w:lang w:val="en-CA"/>
        </w:rPr>
        <w:t xml:space="preserve">preme </w:t>
      </w:r>
      <w:r w:rsidR="00A95720" w:rsidRPr="009749C6">
        <w:rPr>
          <w:lang w:val="en-CA"/>
        </w:rPr>
        <w:t>Court</w:t>
      </w:r>
      <w:r w:rsidRPr="009749C6">
        <w:rPr>
          <w:lang w:val="en-CA"/>
        </w:rPr>
        <w:t xml:space="preserve"> does not </w:t>
      </w:r>
      <w:r w:rsidR="00A95720">
        <w:rPr>
          <w:lang w:val="en-CA"/>
        </w:rPr>
        <w:t xml:space="preserve">refer to </w:t>
      </w:r>
      <w:r w:rsidR="00A95720" w:rsidRPr="009749C6">
        <w:rPr>
          <w:lang w:val="en-CA"/>
        </w:rPr>
        <w:t xml:space="preserve">disqualification </w:t>
      </w:r>
      <w:r w:rsidR="00A95720">
        <w:rPr>
          <w:lang w:val="en-CA"/>
        </w:rPr>
        <w:t>in</w:t>
      </w:r>
      <w:r w:rsidRPr="009749C6">
        <w:rPr>
          <w:lang w:val="en-CA"/>
        </w:rPr>
        <w:t xml:space="preserve"> </w:t>
      </w:r>
      <w:r w:rsidRPr="00A95720">
        <w:rPr>
          <w:i/>
          <w:lang w:val="en-CA"/>
        </w:rPr>
        <w:t xml:space="preserve">Lac </w:t>
      </w:r>
      <w:proofErr w:type="spellStart"/>
      <w:r w:rsidRPr="00A95720">
        <w:rPr>
          <w:i/>
          <w:lang w:val="en-CA"/>
        </w:rPr>
        <w:t>d’</w:t>
      </w:r>
      <w:r w:rsidR="00A95720">
        <w:rPr>
          <w:i/>
          <w:lang w:val="en-CA"/>
        </w:rPr>
        <w:t>A</w:t>
      </w:r>
      <w:r w:rsidRPr="00A95720">
        <w:rPr>
          <w:i/>
          <w:lang w:val="en-CA"/>
        </w:rPr>
        <w:t>miante</w:t>
      </w:r>
      <w:proofErr w:type="spellEnd"/>
      <w:r w:rsidRPr="009749C6">
        <w:rPr>
          <w:lang w:val="en-CA"/>
        </w:rPr>
        <w:t xml:space="preserve"> and </w:t>
      </w:r>
      <w:proofErr w:type="spellStart"/>
      <w:r w:rsidRPr="00A95720">
        <w:rPr>
          <w:i/>
          <w:lang w:val="en-CA"/>
        </w:rPr>
        <w:t>Juman</w:t>
      </w:r>
      <w:proofErr w:type="spellEnd"/>
      <w:r w:rsidRPr="009749C6">
        <w:rPr>
          <w:lang w:val="en-CA"/>
        </w:rPr>
        <w:t xml:space="preserve"> </w:t>
      </w:r>
      <w:r w:rsidR="00A95720">
        <w:rPr>
          <w:lang w:val="en-CA"/>
        </w:rPr>
        <w:t xml:space="preserve">when </w:t>
      </w:r>
      <w:r w:rsidR="00B97BC2">
        <w:rPr>
          <w:lang w:val="en-CA"/>
        </w:rPr>
        <w:t xml:space="preserve">it </w:t>
      </w:r>
      <w:r w:rsidR="00A95720">
        <w:rPr>
          <w:lang w:val="en-CA"/>
        </w:rPr>
        <w:t>discuss</w:t>
      </w:r>
      <w:r w:rsidR="00B97BC2">
        <w:rPr>
          <w:lang w:val="en-CA"/>
        </w:rPr>
        <w:t>es</w:t>
      </w:r>
      <w:r w:rsidRPr="009749C6">
        <w:rPr>
          <w:lang w:val="en-CA"/>
        </w:rPr>
        <w:t xml:space="preserve"> sanctions </w:t>
      </w:r>
      <w:r w:rsidR="00A95720">
        <w:rPr>
          <w:lang w:val="en-CA"/>
        </w:rPr>
        <w:t>for</w:t>
      </w:r>
      <w:r w:rsidRPr="009749C6">
        <w:rPr>
          <w:lang w:val="en-CA"/>
        </w:rPr>
        <w:t xml:space="preserve"> violating the IRC, </w:t>
      </w:r>
      <w:r w:rsidR="00A95720">
        <w:rPr>
          <w:lang w:val="en-CA"/>
        </w:rPr>
        <w:t>it also does not</w:t>
      </w:r>
      <w:r w:rsidRPr="009749C6">
        <w:rPr>
          <w:lang w:val="en-CA"/>
        </w:rPr>
        <w:t xml:space="preserve"> </w:t>
      </w:r>
      <w:r w:rsidR="00B97BC2">
        <w:rPr>
          <w:lang w:val="en-CA"/>
        </w:rPr>
        <w:t>reject it</w:t>
      </w:r>
      <w:r w:rsidRPr="009749C6">
        <w:rPr>
          <w:lang w:val="en-CA"/>
        </w:rPr>
        <w:t>, especially since these judgments do not conc</w:t>
      </w:r>
      <w:r w:rsidR="00A95720">
        <w:rPr>
          <w:lang w:val="en-CA"/>
        </w:rPr>
        <w:t>er</w:t>
      </w:r>
      <w:r w:rsidRPr="009749C6">
        <w:rPr>
          <w:lang w:val="en-CA"/>
        </w:rPr>
        <w:t>n the use of information by a lawyer.</w:t>
      </w:r>
      <w:r w:rsidR="00D9147E" w:rsidRPr="009749C6">
        <w:rPr>
          <w:lang w:val="en-CA"/>
        </w:rPr>
        <w:t xml:space="preserve"> </w:t>
      </w:r>
      <w:r w:rsidR="00B97BC2">
        <w:rPr>
          <w:lang w:val="en-CA"/>
        </w:rPr>
        <w:t>D</w:t>
      </w:r>
      <w:r w:rsidRPr="00E44A1E">
        <w:rPr>
          <w:lang w:val="en-CA"/>
        </w:rPr>
        <w:t>isqualification was not therefore at issue.</w:t>
      </w:r>
      <w:r w:rsidR="00D9147E" w:rsidRPr="009749C6">
        <w:rPr>
          <w:lang w:val="en-CA"/>
        </w:rPr>
        <w:t xml:space="preserve"> </w:t>
      </w:r>
      <w:r w:rsidRPr="009749C6">
        <w:rPr>
          <w:lang w:val="en-CA"/>
        </w:rPr>
        <w:t xml:space="preserve">These judgments did not allow an absolute principle to be established, </w:t>
      </w:r>
      <w:r w:rsidR="00830B73">
        <w:rPr>
          <w:lang w:val="en-CA"/>
        </w:rPr>
        <w:t>and this</w:t>
      </w:r>
      <w:r w:rsidR="00830B73" w:rsidRPr="009749C6">
        <w:rPr>
          <w:lang w:val="en-CA"/>
        </w:rPr>
        <w:t xml:space="preserve"> </w:t>
      </w:r>
      <w:r w:rsidRPr="009749C6">
        <w:rPr>
          <w:lang w:val="en-CA"/>
        </w:rPr>
        <w:t xml:space="preserve">is consistent with the fact that </w:t>
      </w:r>
      <w:r w:rsidR="00830B73">
        <w:rPr>
          <w:lang w:val="en-CA"/>
        </w:rPr>
        <w:t>a</w:t>
      </w:r>
      <w:r w:rsidR="00830B73" w:rsidRPr="009749C6">
        <w:rPr>
          <w:lang w:val="en-CA"/>
        </w:rPr>
        <w:t xml:space="preserve"> </w:t>
      </w:r>
      <w:r w:rsidRPr="009749C6">
        <w:rPr>
          <w:lang w:val="en-CA"/>
        </w:rPr>
        <w:t>declaration of disqualification</w:t>
      </w:r>
      <w:r w:rsidR="00830B73">
        <w:rPr>
          <w:lang w:val="en-CA"/>
        </w:rPr>
        <w:t xml:space="preserve"> is </w:t>
      </w:r>
      <w:r w:rsidRPr="009749C6">
        <w:rPr>
          <w:lang w:val="en-CA"/>
        </w:rPr>
        <w:t xml:space="preserve">in essence </w:t>
      </w:r>
      <w:r w:rsidR="00EB7EC7">
        <w:rPr>
          <w:lang w:val="en-CA"/>
        </w:rPr>
        <w:t>made</w:t>
      </w:r>
      <w:r w:rsidR="00830B73">
        <w:rPr>
          <w:lang w:val="en-CA"/>
        </w:rPr>
        <w:t xml:space="preserve"> on </w:t>
      </w:r>
      <w:r w:rsidRPr="009749C6">
        <w:rPr>
          <w:lang w:val="en-CA"/>
        </w:rPr>
        <w:t xml:space="preserve">a </w:t>
      </w:r>
      <w:r w:rsidR="004F0FD7" w:rsidRPr="009749C6">
        <w:rPr>
          <w:lang w:val="en-CA"/>
        </w:rPr>
        <w:t>case-by-case</w:t>
      </w:r>
      <w:r w:rsidR="00830B73">
        <w:rPr>
          <w:lang w:val="en-CA"/>
        </w:rPr>
        <w:t xml:space="preserve"> basis</w:t>
      </w:r>
      <w:r w:rsidRPr="009749C6">
        <w:rPr>
          <w:lang w:val="en-CA"/>
        </w:rPr>
        <w:t>.</w:t>
      </w:r>
      <w:r w:rsidR="00D9147E" w:rsidRPr="009749C6">
        <w:rPr>
          <w:lang w:val="en-CA"/>
        </w:rPr>
        <w:t xml:space="preserve"> </w:t>
      </w:r>
      <w:r w:rsidR="00A95720">
        <w:rPr>
          <w:lang w:val="en-CA"/>
        </w:rPr>
        <w:t>T</w:t>
      </w:r>
      <w:r w:rsidRPr="009749C6">
        <w:rPr>
          <w:lang w:val="en-CA"/>
        </w:rPr>
        <w:t>here is no automati</w:t>
      </w:r>
      <w:r w:rsidR="00A95720">
        <w:rPr>
          <w:lang w:val="en-CA"/>
        </w:rPr>
        <w:t xml:space="preserve">c </w:t>
      </w:r>
      <w:r w:rsidR="00830B73">
        <w:rPr>
          <w:lang w:val="en-CA"/>
        </w:rPr>
        <w:t xml:space="preserve">application </w:t>
      </w:r>
      <w:r w:rsidR="00A95720">
        <w:rPr>
          <w:lang w:val="en-CA"/>
        </w:rPr>
        <w:t xml:space="preserve">in </w:t>
      </w:r>
      <w:r w:rsidR="00830B73">
        <w:rPr>
          <w:lang w:val="en-CA"/>
        </w:rPr>
        <w:t xml:space="preserve">such cases, </w:t>
      </w:r>
      <w:r w:rsidRPr="009749C6">
        <w:rPr>
          <w:lang w:val="en-CA"/>
        </w:rPr>
        <w:t xml:space="preserve">and </w:t>
      </w:r>
      <w:r w:rsidR="00A10729">
        <w:rPr>
          <w:lang w:val="en-CA"/>
        </w:rPr>
        <w:t>decision</w:t>
      </w:r>
      <w:r w:rsidR="009F54FF">
        <w:rPr>
          <w:lang w:val="en-CA"/>
        </w:rPr>
        <w:t>s</w:t>
      </w:r>
      <w:r w:rsidR="00A10729" w:rsidRPr="009749C6">
        <w:rPr>
          <w:lang w:val="en-CA"/>
        </w:rPr>
        <w:t xml:space="preserve"> </w:t>
      </w:r>
      <w:r w:rsidR="004F0FD7">
        <w:rPr>
          <w:lang w:val="en-CA"/>
        </w:rPr>
        <w:t>turn</w:t>
      </w:r>
      <w:r w:rsidRPr="009749C6">
        <w:rPr>
          <w:lang w:val="en-CA"/>
        </w:rPr>
        <w:t xml:space="preserve"> on the circumstances of each case.</w:t>
      </w:r>
      <w:r w:rsidR="00D9147E">
        <w:rPr>
          <w:rStyle w:val="Appelnotedebasdep"/>
        </w:rPr>
        <w:footnoteReference w:id="21"/>
      </w:r>
    </w:p>
    <w:p w14:paraId="469B33C6" w14:textId="6B74CBB3" w:rsidR="00D9147E" w:rsidRPr="009749C6" w:rsidRDefault="009749C6" w:rsidP="00D9147E">
      <w:pPr>
        <w:pStyle w:val="Paragraphe"/>
        <w:numPr>
          <w:ilvl w:val="0"/>
          <w:numId w:val="1"/>
        </w:numPr>
        <w:spacing w:line="240" w:lineRule="auto"/>
        <w:rPr>
          <w:lang w:val="en-CA"/>
        </w:rPr>
      </w:pPr>
      <w:r w:rsidRPr="009749C6">
        <w:rPr>
          <w:lang w:val="en-CA"/>
        </w:rPr>
        <w:t>It is therefore possible for a lawyer</w:t>
      </w:r>
      <w:r w:rsidR="009F54FF">
        <w:rPr>
          <w:lang w:val="en-CA"/>
        </w:rPr>
        <w:t xml:space="preserve">  –</w:t>
      </w:r>
      <w:r w:rsidRPr="009749C6">
        <w:rPr>
          <w:lang w:val="en-CA"/>
        </w:rPr>
        <w:t xml:space="preserve"> for example one who has been convicted of contempt of court for disclosing information covered by the IRC</w:t>
      </w:r>
      <w:r w:rsidR="009F54FF">
        <w:rPr>
          <w:lang w:val="en-CA"/>
        </w:rPr>
        <w:t xml:space="preserve"> –</w:t>
      </w:r>
      <w:r w:rsidRPr="009749C6">
        <w:rPr>
          <w:lang w:val="en-CA"/>
        </w:rPr>
        <w:t xml:space="preserve"> to be disqualified in a specific case.</w:t>
      </w:r>
      <w:r w:rsidR="00D9147E" w:rsidRPr="009749C6">
        <w:rPr>
          <w:lang w:val="en-CA"/>
        </w:rPr>
        <w:t xml:space="preserve"> </w:t>
      </w:r>
      <w:r w:rsidRPr="00E44A1E">
        <w:rPr>
          <w:lang w:val="en-CA"/>
        </w:rPr>
        <w:t xml:space="preserve">But </w:t>
      </w:r>
      <w:r w:rsidR="0052231E">
        <w:rPr>
          <w:lang w:val="en-CA"/>
        </w:rPr>
        <w:t>such a sanction would be justified</w:t>
      </w:r>
      <w:r w:rsidRPr="00E44A1E">
        <w:rPr>
          <w:lang w:val="en-CA"/>
        </w:rPr>
        <w:t xml:space="preserve"> only because of the lawyer’s actual actions – in other words, a sufficiently serious violation of the IRC – or, exceptionally, a specific risk </w:t>
      </w:r>
      <w:r w:rsidR="0052231E">
        <w:rPr>
          <w:lang w:val="en-CA"/>
        </w:rPr>
        <w:t>of violation</w:t>
      </w:r>
      <w:r w:rsidRPr="00E44A1E">
        <w:rPr>
          <w:lang w:val="en-CA"/>
        </w:rPr>
        <w:t xml:space="preserve"> </w:t>
      </w:r>
      <w:r w:rsidR="0052231E">
        <w:rPr>
          <w:lang w:val="en-CA"/>
        </w:rPr>
        <w:t xml:space="preserve">that would </w:t>
      </w:r>
      <w:r w:rsidRPr="00E44A1E">
        <w:rPr>
          <w:lang w:val="en-CA"/>
        </w:rPr>
        <w:t>justif</w:t>
      </w:r>
      <w:r w:rsidR="0052231E">
        <w:rPr>
          <w:lang w:val="en-CA"/>
        </w:rPr>
        <w:t>y</w:t>
      </w:r>
      <w:r w:rsidRPr="00E44A1E">
        <w:rPr>
          <w:lang w:val="en-CA"/>
        </w:rPr>
        <w:t xml:space="preserve"> the extreme sanction </w:t>
      </w:r>
      <w:r w:rsidR="00C05F22">
        <w:rPr>
          <w:lang w:val="en-CA"/>
        </w:rPr>
        <w:t>of</w:t>
      </w:r>
      <w:r w:rsidRPr="00E44A1E">
        <w:rPr>
          <w:lang w:val="en-CA"/>
        </w:rPr>
        <w:t xml:space="preserve"> a declaration of </w:t>
      </w:r>
      <w:r w:rsidR="00FE453A" w:rsidRPr="00E44A1E">
        <w:rPr>
          <w:lang w:val="en-CA"/>
        </w:rPr>
        <w:t>disqualification</w:t>
      </w:r>
      <w:r w:rsidRPr="00E44A1E">
        <w:rPr>
          <w:lang w:val="en-CA"/>
        </w:rPr>
        <w:t>.</w:t>
      </w:r>
      <w:r w:rsidR="00D9147E" w:rsidRPr="009749C6">
        <w:rPr>
          <w:lang w:val="en-CA"/>
        </w:rPr>
        <w:t xml:space="preserve"> </w:t>
      </w:r>
      <w:r w:rsidRPr="00E44A1E">
        <w:rPr>
          <w:lang w:val="en-CA"/>
        </w:rPr>
        <w:t xml:space="preserve">A mere hypothetical and generic apprehension of </w:t>
      </w:r>
      <w:r w:rsidRPr="00E44A1E">
        <w:rPr>
          <w:i/>
          <w:lang w:val="en-CA"/>
        </w:rPr>
        <w:t xml:space="preserve">some type of </w:t>
      </w:r>
      <w:r w:rsidRPr="00E44A1E">
        <w:rPr>
          <w:lang w:val="en-CA"/>
        </w:rPr>
        <w:t>involuntary, even unconscious, use of the information covered by the IRC is not sufficient to justify this measure.</w:t>
      </w:r>
      <w:r w:rsidR="00D9147E" w:rsidRPr="009749C6">
        <w:rPr>
          <w:lang w:val="en-CA"/>
        </w:rPr>
        <w:t xml:space="preserve"> </w:t>
      </w:r>
      <w:r w:rsidRPr="009749C6">
        <w:rPr>
          <w:lang w:val="en-CA"/>
        </w:rPr>
        <w:t xml:space="preserve">It </w:t>
      </w:r>
      <w:r w:rsidR="009F54FF">
        <w:rPr>
          <w:lang w:val="en-CA"/>
        </w:rPr>
        <w:t xml:space="preserve">must </w:t>
      </w:r>
      <w:r w:rsidRPr="009749C6">
        <w:rPr>
          <w:lang w:val="en-CA"/>
        </w:rPr>
        <w:t>be a risk of use that would constitute a sufficiently serious and prejudicial violation of the IRC.</w:t>
      </w:r>
    </w:p>
    <w:p w14:paraId="5C5B0209" w14:textId="5D215531" w:rsidR="00D9147E" w:rsidRPr="009749C6" w:rsidRDefault="009749C6" w:rsidP="00D9147E">
      <w:pPr>
        <w:pStyle w:val="Paragraphe"/>
        <w:numPr>
          <w:ilvl w:val="0"/>
          <w:numId w:val="1"/>
        </w:numPr>
        <w:spacing w:line="240" w:lineRule="auto"/>
        <w:rPr>
          <w:lang w:val="en-CA"/>
        </w:rPr>
      </w:pPr>
      <w:r w:rsidRPr="009749C6">
        <w:rPr>
          <w:lang w:val="en-CA"/>
        </w:rPr>
        <w:t xml:space="preserve">It is up to the party seeking the declaration of disqualification to prove </w:t>
      </w:r>
      <w:r w:rsidR="00B32B8E">
        <w:rPr>
          <w:lang w:val="en-CA"/>
        </w:rPr>
        <w:t>the</w:t>
      </w:r>
      <w:r w:rsidR="00B32B8E" w:rsidRPr="009749C6">
        <w:rPr>
          <w:lang w:val="en-CA"/>
        </w:rPr>
        <w:t xml:space="preserve"> </w:t>
      </w:r>
      <w:r w:rsidRPr="009749C6">
        <w:rPr>
          <w:lang w:val="en-CA"/>
        </w:rPr>
        <w:t xml:space="preserve">need </w:t>
      </w:r>
      <w:r w:rsidR="00B32B8E">
        <w:rPr>
          <w:lang w:val="en-CA"/>
        </w:rPr>
        <w:t xml:space="preserve">for it </w:t>
      </w:r>
      <w:r w:rsidRPr="009749C6">
        <w:rPr>
          <w:lang w:val="en-CA"/>
        </w:rPr>
        <w:t xml:space="preserve">by establishing that the </w:t>
      </w:r>
      <w:r w:rsidR="00AE29D1">
        <w:rPr>
          <w:lang w:val="en-CA"/>
        </w:rPr>
        <w:t>prospect</w:t>
      </w:r>
      <w:r w:rsidRPr="009749C6">
        <w:rPr>
          <w:lang w:val="en-CA"/>
        </w:rPr>
        <w:t xml:space="preserve"> of other sanctions, such as a conviction for contempt, would be insufficient to preserve the integrity of the </w:t>
      </w:r>
      <w:r w:rsidR="00B32B8E">
        <w:rPr>
          <w:lang w:val="en-CA"/>
        </w:rPr>
        <w:t>judicial</w:t>
      </w:r>
      <w:r w:rsidR="00B32B8E" w:rsidRPr="009749C6">
        <w:rPr>
          <w:lang w:val="en-CA"/>
        </w:rPr>
        <w:t xml:space="preserve"> </w:t>
      </w:r>
      <w:r w:rsidRPr="009749C6">
        <w:rPr>
          <w:lang w:val="en-CA"/>
        </w:rPr>
        <w:t>system in the eyes of a reasonably informed person.</w:t>
      </w:r>
      <w:r w:rsidR="00D9147E" w:rsidRPr="009749C6">
        <w:rPr>
          <w:lang w:val="en-CA"/>
        </w:rPr>
        <w:t xml:space="preserve"> </w:t>
      </w:r>
      <w:r w:rsidRPr="009749C6">
        <w:rPr>
          <w:lang w:val="en-CA"/>
        </w:rPr>
        <w:t xml:space="preserve">On this point, fears that the information will be used </w:t>
      </w:r>
      <w:r w:rsidR="00B32B8E">
        <w:rPr>
          <w:lang w:val="en-CA"/>
        </w:rPr>
        <w:t xml:space="preserve">must be quantified and characterized while </w:t>
      </w:r>
      <w:r w:rsidRPr="009749C6">
        <w:rPr>
          <w:lang w:val="en-CA"/>
        </w:rPr>
        <w:t xml:space="preserve">taking </w:t>
      </w:r>
      <w:r w:rsidR="00B32B8E">
        <w:rPr>
          <w:lang w:val="en-CA"/>
        </w:rPr>
        <w:t xml:space="preserve">sufficient </w:t>
      </w:r>
      <w:r w:rsidRPr="009749C6">
        <w:rPr>
          <w:lang w:val="en-CA"/>
        </w:rPr>
        <w:t xml:space="preserve">account </w:t>
      </w:r>
      <w:r w:rsidR="00B32B8E">
        <w:rPr>
          <w:lang w:val="en-CA"/>
        </w:rPr>
        <w:t xml:space="preserve">of </w:t>
      </w:r>
      <w:r w:rsidRPr="009749C6">
        <w:rPr>
          <w:lang w:val="en-CA"/>
        </w:rPr>
        <w:t>the presumption of integrity and independence of lawyers and the fact that they are supposed to respect their ethical obligations.</w:t>
      </w:r>
      <w:r w:rsidR="00D9147E">
        <w:rPr>
          <w:rStyle w:val="Appelnotedebasdep"/>
        </w:rPr>
        <w:footnoteReference w:id="22"/>
      </w:r>
      <w:r w:rsidR="00D9147E" w:rsidRPr="009749C6">
        <w:rPr>
          <w:lang w:val="en-CA"/>
        </w:rPr>
        <w:t xml:space="preserve"> </w:t>
      </w:r>
      <w:r w:rsidRPr="009749C6">
        <w:rPr>
          <w:lang w:val="en-CA"/>
        </w:rPr>
        <w:t xml:space="preserve">While there is a certain risk, it is not </w:t>
      </w:r>
      <w:r w:rsidR="00327008">
        <w:rPr>
          <w:lang w:val="en-CA"/>
        </w:rPr>
        <w:t xml:space="preserve">serious </w:t>
      </w:r>
      <w:r w:rsidRPr="009749C6">
        <w:rPr>
          <w:lang w:val="en-CA"/>
        </w:rPr>
        <w:t xml:space="preserve">enough to extend the presumption established in </w:t>
      </w:r>
      <w:r w:rsidRPr="009749C6">
        <w:rPr>
          <w:i/>
          <w:lang w:val="en-CA"/>
        </w:rPr>
        <w:t>MacDonald Estate</w:t>
      </w:r>
      <w:r w:rsidRPr="009749C6">
        <w:rPr>
          <w:lang w:val="en-CA"/>
        </w:rPr>
        <w:t xml:space="preserve">, as our Court did in </w:t>
      </w:r>
      <w:proofErr w:type="spellStart"/>
      <w:r w:rsidR="00AE29D1" w:rsidRPr="00AE29D1">
        <w:rPr>
          <w:i/>
          <w:lang w:val="en-CA"/>
        </w:rPr>
        <w:t>M</w:t>
      </w:r>
      <w:r w:rsidR="00AE29D1">
        <w:rPr>
          <w:i/>
          <w:lang w:val="en-CA"/>
        </w:rPr>
        <w:t>é</w:t>
      </w:r>
      <w:r w:rsidRPr="009749C6">
        <w:rPr>
          <w:i/>
          <w:lang w:val="en-CA"/>
        </w:rPr>
        <w:t>tro</w:t>
      </w:r>
      <w:proofErr w:type="spellEnd"/>
      <w:r w:rsidRPr="009749C6">
        <w:rPr>
          <w:lang w:val="en-CA"/>
        </w:rPr>
        <w:t>,</w:t>
      </w:r>
      <w:r w:rsidR="00D9147E">
        <w:rPr>
          <w:rStyle w:val="Appelnotedebasdep"/>
        </w:rPr>
        <w:footnoteReference w:id="23"/>
      </w:r>
      <w:r w:rsidRPr="009749C6">
        <w:rPr>
          <w:lang w:val="en-CA"/>
        </w:rPr>
        <w:t xml:space="preserve"> </w:t>
      </w:r>
      <w:r w:rsidR="00327008">
        <w:rPr>
          <w:lang w:val="en-CA"/>
        </w:rPr>
        <w:t xml:space="preserve">invoked by </w:t>
      </w:r>
      <w:r w:rsidRPr="009749C6">
        <w:rPr>
          <w:lang w:val="en-CA"/>
        </w:rPr>
        <w:t>the appellants</w:t>
      </w:r>
      <w:r w:rsidR="006A5977">
        <w:rPr>
          <w:lang w:val="en-CA"/>
        </w:rPr>
        <w:t>.</w:t>
      </w:r>
    </w:p>
    <w:p w14:paraId="2A6A0802" w14:textId="6A3C64DF" w:rsidR="00D9147E" w:rsidRPr="006A5977" w:rsidRDefault="00AE29D1" w:rsidP="00D9147E">
      <w:pPr>
        <w:pStyle w:val="Paragraphe"/>
        <w:numPr>
          <w:ilvl w:val="0"/>
          <w:numId w:val="1"/>
        </w:numPr>
        <w:spacing w:line="240" w:lineRule="auto"/>
        <w:rPr>
          <w:lang w:val="en-CA"/>
        </w:rPr>
      </w:pPr>
      <w:r>
        <w:rPr>
          <w:lang w:val="en-CA"/>
        </w:rPr>
        <w:t xml:space="preserve">In that case, </w:t>
      </w:r>
      <w:proofErr w:type="spellStart"/>
      <w:r>
        <w:rPr>
          <w:lang w:val="en-CA"/>
        </w:rPr>
        <w:t>Mé</w:t>
      </w:r>
      <w:r w:rsidR="009749C6" w:rsidRPr="009749C6">
        <w:rPr>
          <w:lang w:val="en-CA"/>
        </w:rPr>
        <w:t>tro</w:t>
      </w:r>
      <w:proofErr w:type="spellEnd"/>
      <w:r w:rsidR="009749C6" w:rsidRPr="009749C6">
        <w:rPr>
          <w:lang w:val="en-CA"/>
        </w:rPr>
        <w:t xml:space="preserve"> </w:t>
      </w:r>
      <w:r w:rsidR="00327008">
        <w:rPr>
          <w:lang w:val="en-CA"/>
        </w:rPr>
        <w:t>sought the disqualification of</w:t>
      </w:r>
      <w:r w:rsidR="009749C6" w:rsidRPr="009749C6">
        <w:rPr>
          <w:lang w:val="en-CA"/>
        </w:rPr>
        <w:t xml:space="preserve"> the </w:t>
      </w:r>
      <w:r w:rsidR="008A7B68">
        <w:rPr>
          <w:lang w:val="en-CA"/>
        </w:rPr>
        <w:t>law</w:t>
      </w:r>
      <w:r w:rsidR="008A7B68" w:rsidRPr="009749C6">
        <w:rPr>
          <w:lang w:val="en-CA"/>
        </w:rPr>
        <w:t xml:space="preserve"> </w:t>
      </w:r>
      <w:r w:rsidR="009749C6" w:rsidRPr="009749C6">
        <w:rPr>
          <w:lang w:val="en-CA"/>
        </w:rPr>
        <w:t xml:space="preserve">firm representing the group of merchants it was in </w:t>
      </w:r>
      <w:r>
        <w:rPr>
          <w:lang w:val="en-CA"/>
        </w:rPr>
        <w:t xml:space="preserve">a </w:t>
      </w:r>
      <w:r w:rsidR="009749C6" w:rsidRPr="009749C6">
        <w:rPr>
          <w:lang w:val="en-CA"/>
        </w:rPr>
        <w:t xml:space="preserve">dispute </w:t>
      </w:r>
      <w:r w:rsidR="004303AA">
        <w:rPr>
          <w:lang w:val="en-CA"/>
        </w:rPr>
        <w:t xml:space="preserve">with, </w:t>
      </w:r>
      <w:r w:rsidR="009749C6" w:rsidRPr="009749C6">
        <w:rPr>
          <w:lang w:val="en-CA"/>
        </w:rPr>
        <w:t xml:space="preserve">on the ground that it </w:t>
      </w:r>
      <w:r w:rsidR="004303AA">
        <w:rPr>
          <w:lang w:val="en-CA"/>
        </w:rPr>
        <w:t>had</w:t>
      </w:r>
      <w:r w:rsidR="004303AA" w:rsidRPr="009749C6">
        <w:rPr>
          <w:lang w:val="en-CA"/>
        </w:rPr>
        <w:t xml:space="preserve"> </w:t>
      </w:r>
      <w:r w:rsidRPr="009749C6">
        <w:rPr>
          <w:lang w:val="en-CA"/>
        </w:rPr>
        <w:t>represented</w:t>
      </w:r>
      <w:r w:rsidR="009749C6" w:rsidRPr="009749C6">
        <w:rPr>
          <w:lang w:val="en-CA"/>
        </w:rPr>
        <w:t xml:space="preserve"> the broker that had managed several</w:t>
      </w:r>
      <w:r>
        <w:rPr>
          <w:lang w:val="en-CA"/>
        </w:rPr>
        <w:t xml:space="preserve"> </w:t>
      </w:r>
      <w:r w:rsidR="004303AA">
        <w:rPr>
          <w:lang w:val="en-CA"/>
        </w:rPr>
        <w:t xml:space="preserve">of </w:t>
      </w:r>
      <w:r>
        <w:rPr>
          <w:lang w:val="en-CA"/>
        </w:rPr>
        <w:t>its</w:t>
      </w:r>
      <w:r w:rsidR="009749C6" w:rsidRPr="009749C6">
        <w:rPr>
          <w:lang w:val="en-CA"/>
        </w:rPr>
        <w:t xml:space="preserve"> public </w:t>
      </w:r>
      <w:r w:rsidRPr="009749C6">
        <w:rPr>
          <w:lang w:val="en-CA"/>
        </w:rPr>
        <w:t>offerings</w:t>
      </w:r>
      <w:r>
        <w:rPr>
          <w:lang w:val="en-CA"/>
        </w:rPr>
        <w:t xml:space="preserve">. </w:t>
      </w:r>
      <w:r w:rsidR="00F7077D" w:rsidRPr="00E44A1E">
        <w:rPr>
          <w:lang w:val="en-CA"/>
        </w:rPr>
        <w:t xml:space="preserve">This Court recognized that the principles established in </w:t>
      </w:r>
      <w:r w:rsidR="00F7077D" w:rsidRPr="00E44A1E">
        <w:rPr>
          <w:i/>
          <w:lang w:val="en-CA"/>
        </w:rPr>
        <w:t xml:space="preserve">MacDonald Estate </w:t>
      </w:r>
      <w:r w:rsidR="00F7077D" w:rsidRPr="00E44A1E">
        <w:rPr>
          <w:lang w:val="en-CA"/>
        </w:rPr>
        <w:t>should apply in [</w:t>
      </w:r>
      <w:r w:rsidR="00F7077D" w:rsidRPr="00AE29D1">
        <w:rPr>
          <w:smallCaps/>
          <w:lang w:val="en-CA"/>
        </w:rPr>
        <w:t>translation</w:t>
      </w:r>
      <w:r w:rsidR="00F7077D" w:rsidRPr="00E44A1E">
        <w:rPr>
          <w:lang w:val="en-CA"/>
        </w:rPr>
        <w:t xml:space="preserve">] “an exceptional </w:t>
      </w:r>
      <w:r w:rsidR="00F7077D" w:rsidRPr="00E44A1E">
        <w:rPr>
          <w:lang w:val="en-CA"/>
        </w:rPr>
        <w:lastRenderedPageBreak/>
        <w:t xml:space="preserve">relationship, </w:t>
      </w:r>
      <w:r w:rsidR="004303AA">
        <w:rPr>
          <w:lang w:val="en-CA"/>
        </w:rPr>
        <w:t>one</w:t>
      </w:r>
      <w:r w:rsidR="004303AA" w:rsidRPr="00E44A1E">
        <w:rPr>
          <w:lang w:val="en-CA"/>
        </w:rPr>
        <w:t xml:space="preserve"> </w:t>
      </w:r>
      <w:r w:rsidR="00F7077D" w:rsidRPr="00E44A1E">
        <w:rPr>
          <w:lang w:val="en-CA"/>
        </w:rPr>
        <w:t>which should be analogized to the solicitor-client relationship”.</w:t>
      </w:r>
      <w:r w:rsidR="00D9147E" w:rsidRPr="00E44A1E">
        <w:rPr>
          <w:rStyle w:val="Appelnotedebasdep"/>
        </w:rPr>
        <w:footnoteReference w:id="24"/>
      </w:r>
      <w:r w:rsidR="00D9147E" w:rsidRPr="00F7077D">
        <w:rPr>
          <w:lang w:val="en-CA"/>
        </w:rPr>
        <w:t xml:space="preserve"> </w:t>
      </w:r>
      <w:r w:rsidR="00F7077D" w:rsidRPr="006A5977">
        <w:rPr>
          <w:lang w:val="en-CA"/>
        </w:rPr>
        <w:t>The Court wrote:</w:t>
      </w:r>
    </w:p>
    <w:p w14:paraId="2B603560" w14:textId="11D6626D" w:rsidR="000F3FD5" w:rsidRDefault="000F3FD5" w:rsidP="00D9147E">
      <w:pPr>
        <w:pStyle w:val="Citationenretrait"/>
        <w:spacing w:line="240" w:lineRule="auto"/>
        <w:rPr>
          <w:lang w:val="en-CA"/>
        </w:rPr>
      </w:pPr>
      <w:r>
        <w:rPr>
          <w:lang w:val="en-CA"/>
        </w:rPr>
        <w:t>[</w:t>
      </w:r>
      <w:r w:rsidRPr="000F3FD5">
        <w:rPr>
          <w:smallCaps/>
          <w:lang w:val="en-CA"/>
        </w:rPr>
        <w:t>translation</w:t>
      </w:r>
      <w:r>
        <w:rPr>
          <w:lang w:val="en-CA"/>
        </w:rPr>
        <w:t>]</w:t>
      </w:r>
    </w:p>
    <w:p w14:paraId="40C20E6A" w14:textId="1E0365F6" w:rsidR="00D9147E" w:rsidRPr="00F7077D" w:rsidRDefault="00D9147E" w:rsidP="00D9147E">
      <w:pPr>
        <w:pStyle w:val="Citationenretrait"/>
        <w:spacing w:line="240" w:lineRule="auto"/>
        <w:rPr>
          <w:lang w:val="en-CA"/>
        </w:rPr>
      </w:pPr>
      <w:r w:rsidRPr="00F7077D">
        <w:rPr>
          <w:lang w:val="en-CA"/>
        </w:rPr>
        <w:t>[69]</w:t>
      </w:r>
      <w:r w:rsidRPr="00F7077D">
        <w:rPr>
          <w:lang w:val="en-CA"/>
        </w:rPr>
        <w:tab/>
      </w:r>
      <w:r w:rsidR="004303AA">
        <w:rPr>
          <w:lang w:val="en-CA"/>
        </w:rPr>
        <w:t>To not</w:t>
      </w:r>
      <w:r w:rsidR="00F7077D" w:rsidRPr="00E44A1E">
        <w:rPr>
          <w:lang w:val="en-CA"/>
        </w:rPr>
        <w:t xml:space="preserve"> recognize </w:t>
      </w:r>
      <w:r w:rsidR="004303AA">
        <w:rPr>
          <w:lang w:val="en-CA"/>
        </w:rPr>
        <w:t xml:space="preserve">in this case </w:t>
      </w:r>
      <w:r w:rsidR="00F7077D" w:rsidRPr="00E44A1E">
        <w:rPr>
          <w:lang w:val="en-CA"/>
        </w:rPr>
        <w:t>a relationship comparable to the one between a solicitor and client would, in my view, run the risk of affecting the openness and generosity of these crucial exchanges between issuer and underwriter. It would encourage the issuer to be reserved and prudent and to refrain from disclosing anything unless it appears absolutely indispensable to do so. Ultimately, this would be to the detriment of the public purchasers of securities.</w:t>
      </w:r>
    </w:p>
    <w:p w14:paraId="6FAFE29B" w14:textId="03B5189E" w:rsidR="00D9147E" w:rsidRPr="00A6694B" w:rsidRDefault="00D43138" w:rsidP="00D9147E">
      <w:pPr>
        <w:pStyle w:val="Paragraphe"/>
        <w:numPr>
          <w:ilvl w:val="0"/>
          <w:numId w:val="1"/>
        </w:numPr>
        <w:spacing w:line="240" w:lineRule="auto"/>
        <w:rPr>
          <w:lang w:val="en-CA"/>
        </w:rPr>
      </w:pPr>
      <w:r>
        <w:rPr>
          <w:lang w:val="en-CA"/>
        </w:rPr>
        <w:t>During the preparation of</w:t>
      </w:r>
      <w:r w:rsidR="00A6694B" w:rsidRPr="00A6694B">
        <w:rPr>
          <w:lang w:val="en-CA"/>
        </w:rPr>
        <w:t xml:space="preserve"> the prospectus, </w:t>
      </w:r>
      <w:proofErr w:type="spellStart"/>
      <w:r>
        <w:rPr>
          <w:lang w:val="en-CA"/>
        </w:rPr>
        <w:t>Métro</w:t>
      </w:r>
      <w:proofErr w:type="spellEnd"/>
      <w:r>
        <w:rPr>
          <w:lang w:val="en-CA"/>
        </w:rPr>
        <w:t xml:space="preserve"> </w:t>
      </w:r>
      <w:r w:rsidR="00AC32D7">
        <w:rPr>
          <w:lang w:val="en-CA"/>
        </w:rPr>
        <w:t>disclos</w:t>
      </w:r>
      <w:r>
        <w:rPr>
          <w:lang w:val="en-CA"/>
        </w:rPr>
        <w:t>ed</w:t>
      </w:r>
      <w:r w:rsidR="00AC32D7">
        <w:rPr>
          <w:lang w:val="en-CA"/>
        </w:rPr>
        <w:t xml:space="preserve"> information </w:t>
      </w:r>
      <w:r w:rsidR="00A6694B" w:rsidRPr="00A6694B">
        <w:rPr>
          <w:lang w:val="en-CA"/>
        </w:rPr>
        <w:t>to the broker and its attorneys beyond what was to be included in the prospectus</w:t>
      </w:r>
      <w:r>
        <w:rPr>
          <w:lang w:val="en-CA"/>
        </w:rPr>
        <w:t xml:space="preserve"> that</w:t>
      </w:r>
      <w:r w:rsidR="00A6694B" w:rsidRPr="00A6694B">
        <w:rPr>
          <w:lang w:val="en-CA"/>
        </w:rPr>
        <w:t xml:space="preserve"> concerned, </w:t>
      </w:r>
      <w:r>
        <w:rPr>
          <w:lang w:val="en-CA"/>
        </w:rPr>
        <w:t>among other things</w:t>
      </w:r>
      <w:r w:rsidR="00A6694B" w:rsidRPr="00A6694B">
        <w:rPr>
          <w:lang w:val="en-CA"/>
        </w:rPr>
        <w:t>, its future prospects</w:t>
      </w:r>
      <w:r>
        <w:rPr>
          <w:lang w:val="en-CA"/>
        </w:rPr>
        <w:t xml:space="preserve"> and its acquisition</w:t>
      </w:r>
      <w:r w:rsidR="00A6694B" w:rsidRPr="00A6694B">
        <w:rPr>
          <w:lang w:val="en-CA"/>
        </w:rPr>
        <w:t xml:space="preserve"> strategies or plans.</w:t>
      </w:r>
      <w:r w:rsidR="00D9147E" w:rsidRPr="00A6694B">
        <w:rPr>
          <w:lang w:val="en-CA"/>
        </w:rPr>
        <w:t xml:space="preserve"> </w:t>
      </w:r>
      <w:r w:rsidR="00A6694B" w:rsidRPr="00E44A1E">
        <w:rPr>
          <w:lang w:val="en-CA"/>
        </w:rPr>
        <w:t xml:space="preserve">But mostly, the broker’s lawyers were </w:t>
      </w:r>
      <w:r w:rsidR="00AC32D7">
        <w:rPr>
          <w:lang w:val="en-CA"/>
        </w:rPr>
        <w:t>working</w:t>
      </w:r>
      <w:r w:rsidR="00A6694B" w:rsidRPr="00E44A1E">
        <w:rPr>
          <w:lang w:val="en-CA"/>
        </w:rPr>
        <w:t xml:space="preserve"> as a team with </w:t>
      </w:r>
      <w:proofErr w:type="spellStart"/>
      <w:r w:rsidR="00A6694B" w:rsidRPr="00E44A1E">
        <w:rPr>
          <w:lang w:val="en-CA"/>
        </w:rPr>
        <w:t>M</w:t>
      </w:r>
      <w:r w:rsidR="00AC32D7">
        <w:rPr>
          <w:lang w:val="en-CA"/>
        </w:rPr>
        <w:t>é</w:t>
      </w:r>
      <w:r w:rsidR="00A6694B" w:rsidRPr="00E44A1E">
        <w:rPr>
          <w:lang w:val="en-CA"/>
        </w:rPr>
        <w:t>tro</w:t>
      </w:r>
      <w:proofErr w:type="spellEnd"/>
      <w:r>
        <w:rPr>
          <w:lang w:val="en-CA"/>
        </w:rPr>
        <w:t>,</w:t>
      </w:r>
      <w:r w:rsidR="00A6694B" w:rsidRPr="00E44A1E">
        <w:rPr>
          <w:lang w:val="en-CA"/>
        </w:rPr>
        <w:t xml:space="preserve"> thereby </w:t>
      </w:r>
      <w:r>
        <w:rPr>
          <w:lang w:val="en-CA"/>
        </w:rPr>
        <w:t>establishing</w:t>
      </w:r>
      <w:r w:rsidRPr="00E44A1E">
        <w:rPr>
          <w:lang w:val="en-CA"/>
        </w:rPr>
        <w:t xml:space="preserve"> </w:t>
      </w:r>
      <w:r w:rsidR="00A6694B" w:rsidRPr="00E44A1E">
        <w:rPr>
          <w:lang w:val="en-CA"/>
        </w:rPr>
        <w:t xml:space="preserve">a relationship of trust that was </w:t>
      </w:r>
      <w:r>
        <w:rPr>
          <w:lang w:val="en-CA"/>
        </w:rPr>
        <w:t>highly</w:t>
      </w:r>
      <w:r w:rsidRPr="00E44A1E">
        <w:rPr>
          <w:lang w:val="en-CA"/>
        </w:rPr>
        <w:t xml:space="preserve"> </w:t>
      </w:r>
      <w:r w:rsidR="00A6694B" w:rsidRPr="00E44A1E">
        <w:rPr>
          <w:lang w:val="en-CA"/>
        </w:rPr>
        <w:t>analogous to the solicitor-client relationship.</w:t>
      </w:r>
      <w:r w:rsidR="00D9147E" w:rsidRPr="00A6694B">
        <w:rPr>
          <w:lang w:val="en-CA"/>
        </w:rPr>
        <w:t xml:space="preserve"> </w:t>
      </w:r>
      <w:r w:rsidR="00E24AC0">
        <w:rPr>
          <w:lang w:val="en-CA"/>
        </w:rPr>
        <w:t xml:space="preserve">The situation was </w:t>
      </w:r>
      <w:r w:rsidR="00A6694B" w:rsidRPr="00A6694B">
        <w:rPr>
          <w:lang w:val="en-CA"/>
        </w:rPr>
        <w:t xml:space="preserve">the same in </w:t>
      </w:r>
      <w:proofErr w:type="spellStart"/>
      <w:r w:rsidR="00A6694B" w:rsidRPr="00A6694B">
        <w:rPr>
          <w:i/>
          <w:lang w:val="en-CA"/>
        </w:rPr>
        <w:t>Heafey</w:t>
      </w:r>
      <w:proofErr w:type="spellEnd"/>
      <w:r w:rsidR="00A6694B" w:rsidRPr="00A6694B">
        <w:rPr>
          <w:lang w:val="en-CA"/>
        </w:rPr>
        <w:t>,</w:t>
      </w:r>
      <w:r w:rsidR="00D9147E">
        <w:rPr>
          <w:rStyle w:val="Appelnotedebasdep"/>
        </w:rPr>
        <w:footnoteReference w:id="25"/>
      </w:r>
      <w:r w:rsidR="00A6694B" w:rsidRPr="00A6694B">
        <w:rPr>
          <w:lang w:val="en-CA"/>
        </w:rPr>
        <w:t xml:space="preserve"> on which the appellants also rely.</w:t>
      </w:r>
    </w:p>
    <w:p w14:paraId="499535F1" w14:textId="0F8CB07E" w:rsidR="00D9147E" w:rsidRPr="00A6694B" w:rsidRDefault="00A6694B" w:rsidP="00D9147E">
      <w:pPr>
        <w:pStyle w:val="Paragraphe"/>
        <w:numPr>
          <w:ilvl w:val="0"/>
          <w:numId w:val="1"/>
        </w:numPr>
        <w:spacing w:line="240" w:lineRule="auto"/>
        <w:rPr>
          <w:lang w:val="en-CA"/>
        </w:rPr>
      </w:pPr>
      <w:r w:rsidRPr="00E44A1E">
        <w:rPr>
          <w:lang w:val="en-CA"/>
        </w:rPr>
        <w:t>Th</w:t>
      </w:r>
      <w:r w:rsidR="002C731B">
        <w:rPr>
          <w:lang w:val="en-CA"/>
        </w:rPr>
        <w:t>e</w:t>
      </w:r>
      <w:r w:rsidRPr="00E44A1E">
        <w:rPr>
          <w:lang w:val="en-CA"/>
        </w:rPr>
        <w:t xml:space="preserve"> similarity with the solicitor-client relationship does not exist in this case.</w:t>
      </w:r>
      <w:r w:rsidR="00D9147E" w:rsidRPr="00A6694B">
        <w:rPr>
          <w:lang w:val="en-CA"/>
        </w:rPr>
        <w:t xml:space="preserve"> </w:t>
      </w:r>
      <w:r w:rsidRPr="00A6694B">
        <w:rPr>
          <w:lang w:val="en-CA"/>
        </w:rPr>
        <w:t xml:space="preserve">The information was </w:t>
      </w:r>
      <w:r w:rsidR="0046081D">
        <w:rPr>
          <w:lang w:val="en-CA"/>
        </w:rPr>
        <w:t>disclosed</w:t>
      </w:r>
      <w:r w:rsidRPr="00A6694B">
        <w:rPr>
          <w:lang w:val="en-CA"/>
        </w:rPr>
        <w:t xml:space="preserve"> to the respondent Woods</w:t>
      </w:r>
      <w:r w:rsidR="002C731B">
        <w:rPr>
          <w:lang w:val="en-CA"/>
        </w:rPr>
        <w:t xml:space="preserve"> </w:t>
      </w:r>
      <w:r w:rsidR="0046081D">
        <w:rPr>
          <w:lang w:val="en-CA"/>
        </w:rPr>
        <w:t>during</w:t>
      </w:r>
      <w:r w:rsidRPr="00A6694B">
        <w:rPr>
          <w:lang w:val="en-CA"/>
        </w:rPr>
        <w:t xml:space="preserve"> a process – a pre-trial examination</w:t>
      </w:r>
      <w:r w:rsidR="002C731B">
        <w:rPr>
          <w:lang w:val="en-CA"/>
        </w:rPr>
        <w:t xml:space="preserve"> </w:t>
      </w:r>
      <w:r w:rsidRPr="00A6694B">
        <w:rPr>
          <w:lang w:val="en-CA"/>
        </w:rPr>
        <w:t>– that it could recreate, not</w:t>
      </w:r>
      <w:r w:rsidR="002C731B">
        <w:rPr>
          <w:lang w:val="en-CA"/>
        </w:rPr>
        <w:t xml:space="preserve"> in a situation of trust resulting from the nature of the collaboration</w:t>
      </w:r>
      <w:r w:rsidRPr="00A6694B">
        <w:rPr>
          <w:lang w:val="en-CA"/>
        </w:rPr>
        <w:t xml:space="preserve">, as was the case in </w:t>
      </w:r>
      <w:proofErr w:type="spellStart"/>
      <w:r w:rsidRPr="00A6694B">
        <w:rPr>
          <w:i/>
          <w:lang w:val="en-CA"/>
        </w:rPr>
        <w:t>M</w:t>
      </w:r>
      <w:r w:rsidR="0046081D">
        <w:rPr>
          <w:i/>
          <w:lang w:val="en-CA"/>
        </w:rPr>
        <w:t>é</w:t>
      </w:r>
      <w:r w:rsidRPr="00A6694B">
        <w:rPr>
          <w:i/>
          <w:lang w:val="en-CA"/>
        </w:rPr>
        <w:t>tro</w:t>
      </w:r>
      <w:proofErr w:type="spellEnd"/>
      <w:r w:rsidRPr="00A6694B">
        <w:rPr>
          <w:i/>
          <w:lang w:val="en-CA"/>
        </w:rPr>
        <w:t xml:space="preserve"> </w:t>
      </w:r>
      <w:r w:rsidR="002C731B">
        <w:rPr>
          <w:lang w:val="en-CA"/>
        </w:rPr>
        <w:t xml:space="preserve">and </w:t>
      </w:r>
      <w:proofErr w:type="spellStart"/>
      <w:r w:rsidRPr="00A6694B">
        <w:rPr>
          <w:i/>
          <w:lang w:val="en-CA"/>
        </w:rPr>
        <w:t>Heafey</w:t>
      </w:r>
      <w:proofErr w:type="spellEnd"/>
      <w:r w:rsidRPr="00A6694B">
        <w:rPr>
          <w:lang w:val="en-CA"/>
        </w:rPr>
        <w:t>.</w:t>
      </w:r>
      <w:r w:rsidR="00D9147E" w:rsidRPr="00A6694B">
        <w:rPr>
          <w:lang w:val="en-CA"/>
        </w:rPr>
        <w:t xml:space="preserve"> </w:t>
      </w:r>
      <w:r w:rsidR="00847E47">
        <w:rPr>
          <w:lang w:val="en-CA"/>
        </w:rPr>
        <w:t>Determining</w:t>
      </w:r>
      <w:r w:rsidRPr="00E44A1E">
        <w:rPr>
          <w:lang w:val="en-CA"/>
        </w:rPr>
        <w:t xml:space="preserve"> that mere</w:t>
      </w:r>
      <w:r w:rsidR="0046081D">
        <w:rPr>
          <w:lang w:val="en-CA"/>
        </w:rPr>
        <w:t>ly</w:t>
      </w:r>
      <w:r w:rsidRPr="00E44A1E">
        <w:rPr>
          <w:lang w:val="en-CA"/>
        </w:rPr>
        <w:t xml:space="preserve"> </w:t>
      </w:r>
      <w:r w:rsidR="0046081D">
        <w:rPr>
          <w:lang w:val="en-CA"/>
        </w:rPr>
        <w:t>taking part</w:t>
      </w:r>
      <w:r w:rsidRPr="00E44A1E">
        <w:rPr>
          <w:lang w:val="en-CA"/>
        </w:rPr>
        <w:t xml:space="preserve"> in an examination in a case that has been settled is [</w:t>
      </w:r>
      <w:r w:rsidRPr="0046081D">
        <w:rPr>
          <w:smallCaps/>
          <w:lang w:val="en-CA"/>
        </w:rPr>
        <w:t>translation</w:t>
      </w:r>
      <w:r w:rsidRPr="00E44A1E">
        <w:rPr>
          <w:lang w:val="en-CA"/>
        </w:rPr>
        <w:t xml:space="preserve">] “an exceptional relationship” that must be </w:t>
      </w:r>
      <w:r w:rsidR="00847E47">
        <w:rPr>
          <w:lang w:val="en-CA"/>
        </w:rPr>
        <w:t>equated with</w:t>
      </w:r>
      <w:r w:rsidRPr="00E44A1E">
        <w:rPr>
          <w:lang w:val="en-CA"/>
        </w:rPr>
        <w:t xml:space="preserve"> the solicitor-client relationship </w:t>
      </w:r>
      <w:r w:rsidR="0046081D">
        <w:rPr>
          <w:lang w:val="en-CA"/>
        </w:rPr>
        <w:t xml:space="preserve">would </w:t>
      </w:r>
      <w:r w:rsidRPr="00E44A1E">
        <w:rPr>
          <w:lang w:val="en-CA"/>
        </w:rPr>
        <w:t>go beyond what is necessary to protect the integrity of the judicial process and the administration of justice.</w:t>
      </w:r>
    </w:p>
    <w:p w14:paraId="7C432C19" w14:textId="42FCE47C" w:rsidR="00D9147E" w:rsidRPr="00A6694B" w:rsidRDefault="00A6694B" w:rsidP="00D9147E">
      <w:pPr>
        <w:pStyle w:val="Paragraphe"/>
        <w:numPr>
          <w:ilvl w:val="0"/>
          <w:numId w:val="1"/>
        </w:numPr>
        <w:spacing w:line="240" w:lineRule="auto"/>
        <w:rPr>
          <w:lang w:val="en-CA"/>
        </w:rPr>
      </w:pPr>
      <w:r w:rsidRPr="00A6694B">
        <w:rPr>
          <w:lang w:val="en-CA"/>
        </w:rPr>
        <w:t xml:space="preserve">Similarly, </w:t>
      </w:r>
      <w:r w:rsidR="00847E47">
        <w:rPr>
          <w:lang w:val="en-CA"/>
        </w:rPr>
        <w:t>finding</w:t>
      </w:r>
      <w:r w:rsidRPr="00A6694B">
        <w:rPr>
          <w:lang w:val="en-CA"/>
        </w:rPr>
        <w:t xml:space="preserve"> that mere part</w:t>
      </w:r>
      <w:r w:rsidR="00BD3F57">
        <w:rPr>
          <w:lang w:val="en-CA"/>
        </w:rPr>
        <w:t>icipation</w:t>
      </w:r>
      <w:r w:rsidRPr="00A6694B">
        <w:rPr>
          <w:lang w:val="en-CA"/>
        </w:rPr>
        <w:t xml:space="preserve"> in a pre-trial examination </w:t>
      </w:r>
      <w:r w:rsidR="00BD3F57">
        <w:rPr>
          <w:lang w:val="en-CA"/>
        </w:rPr>
        <w:t xml:space="preserve">bars </w:t>
      </w:r>
      <w:r w:rsidRPr="00A6694B">
        <w:rPr>
          <w:lang w:val="en-CA"/>
        </w:rPr>
        <w:t xml:space="preserve">lawyers from accepting future cases that are </w:t>
      </w:r>
      <w:r w:rsidR="006A5977">
        <w:rPr>
          <w:lang w:val="en-CA"/>
        </w:rPr>
        <w:t>in some degree</w:t>
      </w:r>
      <w:r w:rsidRPr="00A6694B">
        <w:rPr>
          <w:lang w:val="en-CA"/>
        </w:rPr>
        <w:t xml:space="preserve"> related would </w:t>
      </w:r>
      <w:r w:rsidR="00BD3F57">
        <w:rPr>
          <w:lang w:val="en-CA"/>
        </w:rPr>
        <w:t xml:space="preserve">have </w:t>
      </w:r>
      <w:r w:rsidRPr="00A6694B">
        <w:rPr>
          <w:lang w:val="en-CA"/>
        </w:rPr>
        <w:t xml:space="preserve">an undue impact on the practise of law, especially for specialized lawyers, </w:t>
      </w:r>
      <w:r w:rsidR="00BD3F57">
        <w:rPr>
          <w:lang w:val="en-CA"/>
        </w:rPr>
        <w:t xml:space="preserve">constitute </w:t>
      </w:r>
      <w:r w:rsidRPr="00A6694B">
        <w:rPr>
          <w:lang w:val="en-CA"/>
        </w:rPr>
        <w:t>a significant violation of the right of litigants to choose their counsel</w:t>
      </w:r>
      <w:r w:rsidR="00BD3F57">
        <w:rPr>
          <w:lang w:val="en-CA"/>
        </w:rPr>
        <w:t>,</w:t>
      </w:r>
      <w:r w:rsidRPr="00A6694B">
        <w:rPr>
          <w:lang w:val="en-CA"/>
        </w:rPr>
        <w:t xml:space="preserve"> an</w:t>
      </w:r>
      <w:r w:rsidR="0046081D">
        <w:rPr>
          <w:lang w:val="en-CA"/>
        </w:rPr>
        <w:t>d provok</w:t>
      </w:r>
      <w:r w:rsidR="00BD3F57">
        <w:rPr>
          <w:lang w:val="en-CA"/>
        </w:rPr>
        <w:t>e</w:t>
      </w:r>
      <w:r w:rsidRPr="00A6694B">
        <w:rPr>
          <w:lang w:val="en-CA"/>
        </w:rPr>
        <w:t xml:space="preserve"> a multitude of incidental debates that would </w:t>
      </w:r>
      <w:r w:rsidR="00BD3F57">
        <w:rPr>
          <w:lang w:val="en-CA"/>
        </w:rPr>
        <w:t xml:space="preserve">pointlessly delay </w:t>
      </w:r>
      <w:r w:rsidRPr="00A6694B">
        <w:rPr>
          <w:lang w:val="en-CA"/>
        </w:rPr>
        <w:t xml:space="preserve"> the progress of </w:t>
      </w:r>
      <w:r w:rsidR="0046081D" w:rsidRPr="00A6694B">
        <w:rPr>
          <w:lang w:val="en-CA"/>
        </w:rPr>
        <w:t>disputes</w:t>
      </w:r>
      <w:r w:rsidRPr="00A6694B">
        <w:rPr>
          <w:lang w:val="en-CA"/>
        </w:rPr>
        <w:t>.</w:t>
      </w:r>
    </w:p>
    <w:p w14:paraId="37FFBB36" w14:textId="1FDA43E4" w:rsidR="00D9147E" w:rsidRPr="00A6694B" w:rsidRDefault="0046081D" w:rsidP="00D9147E">
      <w:pPr>
        <w:pStyle w:val="Paragraphe"/>
        <w:numPr>
          <w:ilvl w:val="0"/>
          <w:numId w:val="1"/>
        </w:numPr>
        <w:spacing w:line="240" w:lineRule="auto"/>
        <w:rPr>
          <w:lang w:val="en-CA"/>
        </w:rPr>
      </w:pPr>
      <w:r w:rsidRPr="00A6694B">
        <w:rPr>
          <w:lang w:val="en-CA"/>
        </w:rPr>
        <w:t>Contrary</w:t>
      </w:r>
      <w:r w:rsidR="00A6694B" w:rsidRPr="00A6694B">
        <w:rPr>
          <w:lang w:val="en-CA"/>
        </w:rPr>
        <w:t xml:space="preserve"> to </w:t>
      </w:r>
      <w:r w:rsidRPr="00A6694B">
        <w:rPr>
          <w:lang w:val="en-CA"/>
        </w:rPr>
        <w:t>what</w:t>
      </w:r>
      <w:r w:rsidR="00A6694B" w:rsidRPr="00A6694B">
        <w:rPr>
          <w:lang w:val="en-CA"/>
        </w:rPr>
        <w:t xml:space="preserve"> the appellants argue, these are considerations that the </w:t>
      </w:r>
      <w:r w:rsidRPr="00A6694B">
        <w:rPr>
          <w:lang w:val="en-CA"/>
        </w:rPr>
        <w:t>judge</w:t>
      </w:r>
      <w:r w:rsidR="00A6694B" w:rsidRPr="00A6694B">
        <w:rPr>
          <w:lang w:val="en-CA"/>
        </w:rPr>
        <w:t xml:space="preserve"> could take into account.</w:t>
      </w:r>
      <w:r w:rsidR="00D9147E" w:rsidRPr="00A6694B">
        <w:rPr>
          <w:lang w:val="en-CA"/>
        </w:rPr>
        <w:t xml:space="preserve"> </w:t>
      </w:r>
      <w:r w:rsidR="00A6694B" w:rsidRPr="00A6694B">
        <w:rPr>
          <w:lang w:val="en-CA"/>
        </w:rPr>
        <w:t xml:space="preserve">Not only are they relevant to </w:t>
      </w:r>
      <w:r w:rsidRPr="00A6694B">
        <w:rPr>
          <w:lang w:val="en-CA"/>
        </w:rPr>
        <w:t>the</w:t>
      </w:r>
      <w:r w:rsidR="00A6694B" w:rsidRPr="00A6694B">
        <w:rPr>
          <w:lang w:val="en-CA"/>
        </w:rPr>
        <w:t xml:space="preserve"> decision, but </w:t>
      </w:r>
      <w:r>
        <w:rPr>
          <w:lang w:val="en-CA"/>
        </w:rPr>
        <w:t>they are</w:t>
      </w:r>
      <w:r w:rsidR="00A6694B" w:rsidRPr="00A6694B">
        <w:rPr>
          <w:lang w:val="en-CA"/>
        </w:rPr>
        <w:t xml:space="preserve"> not out of the ordinary</w:t>
      </w:r>
      <w:r w:rsidR="00C3607A">
        <w:rPr>
          <w:lang w:val="en-CA"/>
        </w:rPr>
        <w:t>.</w:t>
      </w:r>
      <w:r w:rsidR="00A6694B" w:rsidRPr="00A6694B">
        <w:rPr>
          <w:lang w:val="en-CA"/>
        </w:rPr>
        <w:t xml:space="preserve"> </w:t>
      </w:r>
      <w:r w:rsidR="00C3607A">
        <w:rPr>
          <w:lang w:val="en-CA"/>
        </w:rPr>
        <w:t>I</w:t>
      </w:r>
      <w:r w:rsidR="00C3607A" w:rsidRPr="00A6694B">
        <w:rPr>
          <w:lang w:val="en-CA"/>
        </w:rPr>
        <w:t xml:space="preserve">n </w:t>
      </w:r>
      <w:r w:rsidR="00C3607A" w:rsidRPr="00C3607A">
        <w:rPr>
          <w:i/>
          <w:lang w:val="en-CA"/>
        </w:rPr>
        <w:t>MacDonald Estate</w:t>
      </w:r>
      <w:r w:rsidR="00C3607A">
        <w:rPr>
          <w:lang w:val="en-CA"/>
        </w:rPr>
        <w:t>, t</w:t>
      </w:r>
      <w:r w:rsidR="00A6694B" w:rsidRPr="00A6694B">
        <w:rPr>
          <w:lang w:val="en-CA"/>
        </w:rPr>
        <w:t xml:space="preserve">he Supreme Court included the reasonable and desirable mobility </w:t>
      </w:r>
      <w:r w:rsidR="00D80D43">
        <w:rPr>
          <w:lang w:val="en-CA"/>
        </w:rPr>
        <w:t>in</w:t>
      </w:r>
      <w:r w:rsidR="00D80D43" w:rsidRPr="00A6694B">
        <w:rPr>
          <w:lang w:val="en-CA"/>
        </w:rPr>
        <w:t xml:space="preserve"> </w:t>
      </w:r>
      <w:r w:rsidR="00A6694B" w:rsidRPr="00A6694B">
        <w:rPr>
          <w:lang w:val="en-CA"/>
        </w:rPr>
        <w:t xml:space="preserve">the legal </w:t>
      </w:r>
      <w:r w:rsidR="00D80D43">
        <w:rPr>
          <w:lang w:val="en-CA"/>
        </w:rPr>
        <w:t>profession</w:t>
      </w:r>
      <w:r w:rsidR="00D80D43" w:rsidRPr="00A6694B">
        <w:rPr>
          <w:lang w:val="en-CA"/>
        </w:rPr>
        <w:t xml:space="preserve"> </w:t>
      </w:r>
      <w:r w:rsidR="00D80D43">
        <w:rPr>
          <w:lang w:val="en-CA"/>
        </w:rPr>
        <w:t>among</w:t>
      </w:r>
      <w:r w:rsidR="00D80D43" w:rsidRPr="00A6694B">
        <w:rPr>
          <w:lang w:val="en-CA"/>
        </w:rPr>
        <w:t xml:space="preserve"> </w:t>
      </w:r>
      <w:r w:rsidR="00A6694B" w:rsidRPr="00A6694B">
        <w:rPr>
          <w:lang w:val="en-CA"/>
        </w:rPr>
        <w:t>the three founding principles to consider in the context of a conflict of interest.</w:t>
      </w:r>
      <w:r w:rsidR="00D9147E">
        <w:rPr>
          <w:rStyle w:val="Appelnotedebasdep"/>
        </w:rPr>
        <w:footnoteReference w:id="26"/>
      </w:r>
    </w:p>
    <w:p w14:paraId="68BDD178" w14:textId="38B673F3" w:rsidR="00D9147E" w:rsidRPr="00A6694B" w:rsidRDefault="00A6694B" w:rsidP="00D9147E">
      <w:pPr>
        <w:pStyle w:val="Paragraphe"/>
        <w:numPr>
          <w:ilvl w:val="0"/>
          <w:numId w:val="1"/>
        </w:numPr>
        <w:spacing w:line="240" w:lineRule="auto"/>
        <w:rPr>
          <w:lang w:val="en-CA"/>
        </w:rPr>
      </w:pPr>
      <w:r w:rsidRPr="00A6694B">
        <w:rPr>
          <w:lang w:val="en-CA"/>
        </w:rPr>
        <w:lastRenderedPageBreak/>
        <w:t xml:space="preserve">In this sense, the remarks of the Federal Court in </w:t>
      </w:r>
      <w:r w:rsidRPr="00A6694B">
        <w:rPr>
          <w:i/>
          <w:lang w:val="en-CA"/>
        </w:rPr>
        <w:t>Merck</w:t>
      </w:r>
      <w:r w:rsidRPr="00A6694B">
        <w:rPr>
          <w:lang w:val="en-CA"/>
        </w:rPr>
        <w:t>,</w:t>
      </w:r>
      <w:r w:rsidR="00D9147E">
        <w:rPr>
          <w:rStyle w:val="Appelnotedebasdep"/>
        </w:rPr>
        <w:footnoteReference w:id="27"/>
      </w:r>
      <w:r w:rsidRPr="00A6694B">
        <w:rPr>
          <w:lang w:val="en-CA"/>
        </w:rPr>
        <w:t xml:space="preserve"> </w:t>
      </w:r>
      <w:r w:rsidR="001850B6">
        <w:rPr>
          <w:lang w:val="en-CA"/>
        </w:rPr>
        <w:t>although</w:t>
      </w:r>
      <w:r w:rsidRPr="00A6694B">
        <w:rPr>
          <w:lang w:val="en-CA"/>
        </w:rPr>
        <w:t xml:space="preserve"> they predate </w:t>
      </w:r>
      <w:r w:rsidRPr="00C3607A">
        <w:rPr>
          <w:i/>
          <w:lang w:val="en-CA"/>
        </w:rPr>
        <w:t xml:space="preserve">Lac </w:t>
      </w:r>
      <w:proofErr w:type="spellStart"/>
      <w:r w:rsidRPr="00C3607A">
        <w:rPr>
          <w:i/>
          <w:lang w:val="en-CA"/>
        </w:rPr>
        <w:t>d’Amiante</w:t>
      </w:r>
      <w:proofErr w:type="spellEnd"/>
      <w:r w:rsidRPr="00A6694B">
        <w:rPr>
          <w:lang w:val="en-CA"/>
        </w:rPr>
        <w:t>, remain relevant:</w:t>
      </w:r>
    </w:p>
    <w:p w14:paraId="5519D40A" w14:textId="0430ACB1" w:rsidR="00D9147E" w:rsidRPr="00A6694B" w:rsidRDefault="00A6694B" w:rsidP="00D9147E">
      <w:pPr>
        <w:pStyle w:val="Citationenretrait"/>
        <w:spacing w:line="240" w:lineRule="auto"/>
        <w:rPr>
          <w:lang w:val="en-CA" w:eastAsia="fr-CA"/>
        </w:rPr>
      </w:pPr>
      <w:r w:rsidRPr="00A6694B">
        <w:rPr>
          <w:lang w:val="en-CA" w:eastAsia="fr-CA"/>
        </w:rPr>
        <w:t>In</w:t>
      </w:r>
      <w:r w:rsidR="00C3607A">
        <w:rPr>
          <w:lang w:val="en-CA" w:eastAsia="fr-CA"/>
        </w:rPr>
        <w:t xml:space="preserve"> my view the imp</w:t>
      </w:r>
      <w:r w:rsidRPr="00A6694B">
        <w:rPr>
          <w:lang w:val="en-CA" w:eastAsia="fr-CA"/>
        </w:rPr>
        <w:t>lied undertaking would be most impractical if it resulted in an inability to remove from a case any solicitor who was bound by an implied undertaking.</w:t>
      </w:r>
      <w:r w:rsidR="00D9147E" w:rsidRPr="00A6694B">
        <w:rPr>
          <w:lang w:val="en-CA" w:eastAsia="fr-CA"/>
        </w:rPr>
        <w:t xml:space="preserve"> </w:t>
      </w:r>
      <w:r w:rsidRPr="00A6694B">
        <w:rPr>
          <w:lang w:val="en-CA" w:eastAsia="fr-CA"/>
        </w:rPr>
        <w:t>The implied undertaking is not of suffi­cient public interest when balanced against the right of a party to choose his own solicitors and the public interest in the efficient administration of justice to require the Court to disqualify any solicitor who might wrongly deploy information subject to the undertaking.</w:t>
      </w:r>
      <w:r w:rsidR="00D9147E" w:rsidRPr="00A6694B">
        <w:rPr>
          <w:lang w:val="en-CA" w:eastAsia="fr-CA"/>
        </w:rPr>
        <w:t xml:space="preserve"> </w:t>
      </w:r>
      <w:r w:rsidRPr="00A6694B">
        <w:rPr>
          <w:lang w:val="en-CA" w:eastAsia="fr-CA"/>
        </w:rPr>
        <w:t xml:space="preserve">If a solicitor fails to observe the under­taking the remedy is to cite him for contempt, not to remove him. </w:t>
      </w:r>
    </w:p>
    <w:p w14:paraId="5AE86F9A" w14:textId="32884613" w:rsidR="00D9147E" w:rsidRPr="00A6694B" w:rsidRDefault="00A6694B" w:rsidP="00D9147E">
      <w:pPr>
        <w:pStyle w:val="Citationenretrait"/>
        <w:spacing w:line="240" w:lineRule="auto"/>
        <w:rPr>
          <w:lang w:val="en-CA" w:eastAsia="fr-CA"/>
        </w:rPr>
      </w:pPr>
      <w:r w:rsidRPr="00A6694B">
        <w:rPr>
          <w:lang w:val="en-CA" w:eastAsia="fr-CA"/>
        </w:rPr>
        <w:t>A lawyer who takes cases regularly must have acquired a great deal of information subject to implied undertakings. In these days of specialized education and long work hours for junior lawyers, it is possible that a significant percentage of a lawyer's general knowledge will have been acquired in his practice of law, there having been little other oppor­tunity for him to acquire the same.</w:t>
      </w:r>
      <w:r w:rsidR="00D9147E" w:rsidRPr="00A6694B">
        <w:rPr>
          <w:lang w:val="en-CA" w:eastAsia="fr-CA"/>
        </w:rPr>
        <w:t xml:space="preserve"> </w:t>
      </w:r>
      <w:r w:rsidRPr="00A6694B">
        <w:rPr>
          <w:lang w:val="en-CA" w:eastAsia="fr-CA"/>
        </w:rPr>
        <w:t>It is equally possi­ble that a large portion of that general knowledge will be subject to implied undertakings.</w:t>
      </w:r>
      <w:r w:rsidR="00D9147E" w:rsidRPr="00A6694B">
        <w:rPr>
          <w:lang w:val="en-CA" w:eastAsia="fr-CA"/>
        </w:rPr>
        <w:t xml:space="preserve"> </w:t>
      </w:r>
      <w:r w:rsidRPr="00A6694B">
        <w:rPr>
          <w:lang w:val="en-CA" w:eastAsia="fr-CA"/>
        </w:rPr>
        <w:t>If the defendants' submissions are correct, few lawyers who have been called for any length of time will be able to take part in litigation.</w:t>
      </w:r>
      <w:r w:rsidR="00D9147E" w:rsidRPr="00A6694B">
        <w:rPr>
          <w:lang w:val="en-CA" w:eastAsia="fr-CA"/>
        </w:rPr>
        <w:t xml:space="preserve"> </w:t>
      </w:r>
      <w:r w:rsidRPr="00A6694B">
        <w:rPr>
          <w:lang w:val="en-CA" w:eastAsia="fr-CA"/>
        </w:rPr>
        <w:t>It is to be remembered that the undertak­ing is to the Court and is not limited to deploying information in cases involving one or more of the same parties.</w:t>
      </w:r>
    </w:p>
    <w:p w14:paraId="220E5D56" w14:textId="77777777" w:rsidR="00D9147E" w:rsidRDefault="00D9147E" w:rsidP="00D9147E">
      <w:pPr>
        <w:pStyle w:val="Citationenretrait"/>
        <w:spacing w:line="240" w:lineRule="auto"/>
        <w:jc w:val="center"/>
      </w:pPr>
      <w:r>
        <w:rPr>
          <w:lang w:eastAsia="fr-CA"/>
        </w:rPr>
        <w:t>****</w:t>
      </w:r>
    </w:p>
    <w:p w14:paraId="1C1F5F6C" w14:textId="6A950B5D" w:rsidR="00D9147E" w:rsidRPr="00E44A1E" w:rsidRDefault="00BD3695" w:rsidP="00D9147E">
      <w:pPr>
        <w:pStyle w:val="Paragraphe"/>
        <w:numPr>
          <w:ilvl w:val="0"/>
          <w:numId w:val="1"/>
        </w:numPr>
        <w:spacing w:line="240" w:lineRule="auto"/>
        <w:rPr>
          <w:lang w:val="en-CA"/>
        </w:rPr>
      </w:pPr>
      <w:r w:rsidRPr="00E44A1E">
        <w:rPr>
          <w:lang w:val="en-CA"/>
        </w:rPr>
        <w:t xml:space="preserve">Now that these principles have been </w:t>
      </w:r>
      <w:r w:rsidR="00C3607A" w:rsidRPr="00E44A1E">
        <w:rPr>
          <w:lang w:val="en-CA"/>
        </w:rPr>
        <w:t>established</w:t>
      </w:r>
      <w:r w:rsidRPr="00E44A1E">
        <w:rPr>
          <w:lang w:val="en-CA"/>
        </w:rPr>
        <w:t>, how do they apply to this case?</w:t>
      </w:r>
    </w:p>
    <w:p w14:paraId="7A9C6808" w14:textId="797A509D" w:rsidR="00D9147E" w:rsidRPr="00BD3695" w:rsidRDefault="00BD3695" w:rsidP="00D9147E">
      <w:pPr>
        <w:pStyle w:val="Paragraphe"/>
        <w:numPr>
          <w:ilvl w:val="0"/>
          <w:numId w:val="1"/>
        </w:numPr>
        <w:spacing w:line="240" w:lineRule="auto"/>
        <w:rPr>
          <w:lang w:val="en-CA"/>
        </w:rPr>
      </w:pPr>
      <w:r w:rsidRPr="00E44A1E">
        <w:rPr>
          <w:lang w:val="en-CA"/>
        </w:rPr>
        <w:t xml:space="preserve">The appellants, </w:t>
      </w:r>
      <w:r w:rsidR="00C3607A" w:rsidRPr="00E44A1E">
        <w:rPr>
          <w:lang w:val="en-CA"/>
        </w:rPr>
        <w:t>without</w:t>
      </w:r>
      <w:r w:rsidRPr="00E44A1E">
        <w:rPr>
          <w:lang w:val="en-CA"/>
        </w:rPr>
        <w:t xml:space="preserve"> stating it outright, suggest the existence in this case of an actual violation of the IRC based on </w:t>
      </w:r>
      <w:r w:rsidR="00C3607A" w:rsidRPr="00E44A1E">
        <w:rPr>
          <w:lang w:val="en-CA"/>
        </w:rPr>
        <w:t>the</w:t>
      </w:r>
      <w:r w:rsidRPr="00E44A1E">
        <w:rPr>
          <w:lang w:val="en-CA"/>
        </w:rPr>
        <w:t xml:space="preserve"> </w:t>
      </w:r>
      <w:r w:rsidR="00C3607A" w:rsidRPr="00E44A1E">
        <w:rPr>
          <w:lang w:val="en-CA"/>
        </w:rPr>
        <w:t>resemblance</w:t>
      </w:r>
      <w:r w:rsidRPr="00E44A1E">
        <w:rPr>
          <w:lang w:val="en-CA"/>
        </w:rPr>
        <w:t xml:space="preserve"> between the originating </w:t>
      </w:r>
      <w:r w:rsidR="00C3607A" w:rsidRPr="00E44A1E">
        <w:rPr>
          <w:lang w:val="en-CA"/>
        </w:rPr>
        <w:t>applications</w:t>
      </w:r>
      <w:r w:rsidRPr="00E44A1E">
        <w:rPr>
          <w:lang w:val="en-CA"/>
        </w:rPr>
        <w:t xml:space="preserve"> in the Nordic and </w:t>
      </w:r>
      <w:proofErr w:type="spellStart"/>
      <w:r w:rsidRPr="00E44A1E">
        <w:rPr>
          <w:lang w:val="en-CA"/>
        </w:rPr>
        <w:t>Shenker</w:t>
      </w:r>
      <w:proofErr w:type="spellEnd"/>
      <w:r w:rsidRPr="00E44A1E">
        <w:rPr>
          <w:lang w:val="en-CA"/>
        </w:rPr>
        <w:t xml:space="preserve"> </w:t>
      </w:r>
      <w:r w:rsidR="009B0F7B">
        <w:rPr>
          <w:lang w:val="en-CA"/>
        </w:rPr>
        <w:t>cases</w:t>
      </w:r>
      <w:r w:rsidRPr="00E44A1E">
        <w:rPr>
          <w:lang w:val="en-CA"/>
        </w:rPr>
        <w:t>.</w:t>
      </w:r>
      <w:r w:rsidR="00825C22">
        <w:rPr>
          <w:lang w:val="en-CA"/>
        </w:rPr>
        <w:t xml:space="preserve"> On this basis, in their view the </w:t>
      </w:r>
      <w:r w:rsidRPr="00BD3695">
        <w:rPr>
          <w:lang w:val="en-CA"/>
        </w:rPr>
        <w:t xml:space="preserve">case is located at one </w:t>
      </w:r>
      <w:r w:rsidR="00825C22">
        <w:rPr>
          <w:lang w:val="en-CA"/>
        </w:rPr>
        <w:t>end</w:t>
      </w:r>
      <w:r w:rsidR="00825C22" w:rsidRPr="00BD3695">
        <w:rPr>
          <w:lang w:val="en-CA"/>
        </w:rPr>
        <w:t xml:space="preserve"> </w:t>
      </w:r>
      <w:r w:rsidRPr="00BD3695">
        <w:rPr>
          <w:lang w:val="en-CA"/>
        </w:rPr>
        <w:t>of the spectrum of violation of the integrity of the judicial process and administration of justice.</w:t>
      </w:r>
      <w:r w:rsidR="00D9147E" w:rsidRPr="00BD3695">
        <w:rPr>
          <w:lang w:val="en-CA"/>
        </w:rPr>
        <w:t xml:space="preserve"> </w:t>
      </w:r>
      <w:r w:rsidRPr="00E44A1E">
        <w:rPr>
          <w:lang w:val="en-CA"/>
        </w:rPr>
        <w:t>However, the originating applications are not covered by the IRC, and the appellants did not demonstrate that they contained information obtained through the examination.</w:t>
      </w:r>
      <w:r w:rsidR="00D9147E" w:rsidRPr="00BD3695">
        <w:rPr>
          <w:lang w:val="en-CA"/>
        </w:rPr>
        <w:t xml:space="preserve"> </w:t>
      </w:r>
      <w:r w:rsidRPr="00BD3695">
        <w:rPr>
          <w:lang w:val="en-CA"/>
        </w:rPr>
        <w:t xml:space="preserve">Obviously, the pleadings were withdrawn from the Nordic </w:t>
      </w:r>
      <w:r w:rsidR="009B0F7B">
        <w:rPr>
          <w:lang w:val="en-CA"/>
        </w:rPr>
        <w:t>case</w:t>
      </w:r>
      <w:r w:rsidR="009B0F7B" w:rsidRPr="00BD3695">
        <w:rPr>
          <w:lang w:val="en-CA"/>
        </w:rPr>
        <w:t xml:space="preserve"> </w:t>
      </w:r>
      <w:r w:rsidRPr="00BD3695">
        <w:rPr>
          <w:lang w:val="en-CA"/>
        </w:rPr>
        <w:t xml:space="preserve">pursuant to an order of the Superior Court, the merits of which </w:t>
      </w:r>
      <w:r w:rsidR="00C3607A">
        <w:rPr>
          <w:lang w:val="en-CA"/>
        </w:rPr>
        <w:t>are</w:t>
      </w:r>
      <w:r w:rsidRPr="00BD3695">
        <w:rPr>
          <w:lang w:val="en-CA"/>
        </w:rPr>
        <w:t xml:space="preserve"> not before us, but </w:t>
      </w:r>
      <w:r w:rsidR="002D5EB7">
        <w:rPr>
          <w:lang w:val="en-CA"/>
        </w:rPr>
        <w:t>that is all</w:t>
      </w:r>
      <w:r w:rsidRPr="00BD3695">
        <w:rPr>
          <w:lang w:val="en-CA"/>
        </w:rPr>
        <w:t>.</w:t>
      </w:r>
      <w:r w:rsidR="00D9147E" w:rsidRPr="00BD3695">
        <w:rPr>
          <w:lang w:val="en-CA"/>
        </w:rPr>
        <w:t xml:space="preserve"> </w:t>
      </w:r>
      <w:r w:rsidRPr="00BD3695">
        <w:rPr>
          <w:lang w:val="en-CA"/>
        </w:rPr>
        <w:t>The resemblance between the originating applications therefore does nothing more than illustrate that the two files are related, which is not contested, rather than</w:t>
      </w:r>
      <w:r w:rsidR="00C3607A">
        <w:rPr>
          <w:lang w:val="en-CA"/>
        </w:rPr>
        <w:t xml:space="preserve"> establish</w:t>
      </w:r>
      <w:r w:rsidRPr="00BD3695">
        <w:rPr>
          <w:lang w:val="en-CA"/>
        </w:rPr>
        <w:t xml:space="preserve"> a violation of the IRC by </w:t>
      </w:r>
      <w:r w:rsidR="00C3607A" w:rsidRPr="00BD3695">
        <w:rPr>
          <w:lang w:val="en-CA"/>
        </w:rPr>
        <w:t>the</w:t>
      </w:r>
      <w:r w:rsidRPr="00BD3695">
        <w:rPr>
          <w:lang w:val="en-CA"/>
        </w:rPr>
        <w:t xml:space="preserve"> </w:t>
      </w:r>
      <w:r w:rsidR="00C3607A" w:rsidRPr="00BD3695">
        <w:rPr>
          <w:lang w:val="en-CA"/>
        </w:rPr>
        <w:t>respondent</w:t>
      </w:r>
      <w:r w:rsidRPr="00BD3695">
        <w:rPr>
          <w:lang w:val="en-CA"/>
        </w:rPr>
        <w:t xml:space="preserve"> Woods.</w:t>
      </w:r>
      <w:r w:rsidR="00D9147E" w:rsidRPr="00BD3695">
        <w:rPr>
          <w:lang w:val="en-CA"/>
        </w:rPr>
        <w:t xml:space="preserve"> </w:t>
      </w:r>
      <w:r w:rsidR="00C3607A" w:rsidRPr="00E44A1E">
        <w:rPr>
          <w:lang w:val="en-CA"/>
        </w:rPr>
        <w:t>The</w:t>
      </w:r>
      <w:r w:rsidRPr="00E44A1E">
        <w:rPr>
          <w:lang w:val="en-CA"/>
        </w:rPr>
        <w:t xml:space="preserve"> judge was right to conclude that the evidence did not establish an actual violation of the IRC</w:t>
      </w:r>
      <w:r w:rsidR="00C3607A" w:rsidRPr="00C3607A">
        <w:rPr>
          <w:lang w:val="en-CA"/>
        </w:rPr>
        <w:t xml:space="preserve"> </w:t>
      </w:r>
      <w:r w:rsidR="00C3607A" w:rsidRPr="00E44A1E">
        <w:rPr>
          <w:lang w:val="en-CA"/>
        </w:rPr>
        <w:t>in this case</w:t>
      </w:r>
      <w:r w:rsidRPr="00E44A1E">
        <w:rPr>
          <w:lang w:val="en-CA"/>
        </w:rPr>
        <w:t>.</w:t>
      </w:r>
    </w:p>
    <w:p w14:paraId="5D4FE4C7" w14:textId="2BACFC05" w:rsidR="00D9147E" w:rsidRPr="00536DE7" w:rsidRDefault="00BD3695" w:rsidP="00D9147E">
      <w:pPr>
        <w:pStyle w:val="Paragraphe"/>
        <w:numPr>
          <w:ilvl w:val="0"/>
          <w:numId w:val="1"/>
        </w:numPr>
        <w:spacing w:line="240" w:lineRule="auto"/>
        <w:rPr>
          <w:lang w:val="en-CA"/>
        </w:rPr>
      </w:pPr>
      <w:r w:rsidRPr="00E44A1E">
        <w:rPr>
          <w:lang w:val="en-CA"/>
        </w:rPr>
        <w:t xml:space="preserve">As for the risk of future use, the appellants </w:t>
      </w:r>
      <w:r w:rsidR="002D5EB7">
        <w:rPr>
          <w:lang w:val="en-CA"/>
        </w:rPr>
        <w:t xml:space="preserve">justify it by </w:t>
      </w:r>
      <w:r w:rsidRPr="00E44A1E">
        <w:rPr>
          <w:lang w:val="en-CA"/>
        </w:rPr>
        <w:t xml:space="preserve">again </w:t>
      </w:r>
      <w:r w:rsidR="002D5EB7">
        <w:rPr>
          <w:lang w:val="en-CA"/>
        </w:rPr>
        <w:t xml:space="preserve">invoking </w:t>
      </w:r>
      <w:r w:rsidRPr="00E44A1E">
        <w:rPr>
          <w:lang w:val="en-CA"/>
        </w:rPr>
        <w:t xml:space="preserve">essentially the fact that the </w:t>
      </w:r>
      <w:r w:rsidR="006A5977">
        <w:rPr>
          <w:lang w:val="en-CA"/>
        </w:rPr>
        <w:t>cases</w:t>
      </w:r>
      <w:r w:rsidRPr="00E44A1E">
        <w:rPr>
          <w:lang w:val="en-CA"/>
        </w:rPr>
        <w:t xml:space="preserve"> are related.</w:t>
      </w:r>
      <w:r w:rsidR="00D9147E" w:rsidRPr="00BD3695">
        <w:rPr>
          <w:lang w:val="en-CA"/>
        </w:rPr>
        <w:t xml:space="preserve"> </w:t>
      </w:r>
      <w:r w:rsidR="002D5EB7">
        <w:rPr>
          <w:lang w:val="en-CA"/>
        </w:rPr>
        <w:t xml:space="preserve">Under </w:t>
      </w:r>
      <w:r w:rsidR="00536DE7" w:rsidRPr="00E44A1E">
        <w:rPr>
          <w:lang w:val="en-CA"/>
        </w:rPr>
        <w:t xml:space="preserve">the principles set out above, however, that </w:t>
      </w:r>
      <w:r w:rsidR="00536DE7" w:rsidRPr="00E44A1E">
        <w:rPr>
          <w:lang w:val="en-CA"/>
        </w:rPr>
        <w:lastRenderedPageBreak/>
        <w:t>relationship alone is not sufficient to establish a specific and particularized fear in this case.</w:t>
      </w:r>
      <w:r w:rsidR="00D9147E" w:rsidRPr="00536DE7">
        <w:rPr>
          <w:lang w:val="en-CA"/>
        </w:rPr>
        <w:t xml:space="preserve"> </w:t>
      </w:r>
      <w:r w:rsidR="00536DE7" w:rsidRPr="00536DE7">
        <w:rPr>
          <w:lang w:val="en-CA"/>
        </w:rPr>
        <w:t xml:space="preserve">It is worth adding that the respondent Woods implemented concrete means to ensure </w:t>
      </w:r>
      <w:r w:rsidR="002D5EB7">
        <w:rPr>
          <w:lang w:val="en-CA"/>
        </w:rPr>
        <w:t xml:space="preserve">compliance with </w:t>
      </w:r>
      <w:r w:rsidR="00536DE7" w:rsidRPr="00536DE7">
        <w:rPr>
          <w:lang w:val="en-CA"/>
        </w:rPr>
        <w:t>their undertakings</w:t>
      </w:r>
      <w:r w:rsidR="002D5EB7">
        <w:rPr>
          <w:lang w:val="en-CA"/>
        </w:rPr>
        <w:t>,</w:t>
      </w:r>
      <w:r w:rsidR="00536DE7" w:rsidRPr="00536DE7">
        <w:rPr>
          <w:lang w:val="en-CA"/>
        </w:rPr>
        <w:t xml:space="preserve"> and that the appellants failed to convincingly explain how </w:t>
      </w:r>
      <w:r w:rsidR="002D5EB7">
        <w:rPr>
          <w:lang w:val="en-CA"/>
        </w:rPr>
        <w:t>the</w:t>
      </w:r>
      <w:r w:rsidR="002D5EB7" w:rsidRPr="00536DE7">
        <w:rPr>
          <w:lang w:val="en-CA"/>
        </w:rPr>
        <w:t xml:space="preserve"> </w:t>
      </w:r>
      <w:r w:rsidR="00536DE7" w:rsidRPr="00536DE7">
        <w:rPr>
          <w:lang w:val="en-CA"/>
        </w:rPr>
        <w:t xml:space="preserve">violation of the IRC </w:t>
      </w:r>
      <w:r w:rsidR="002D5EB7">
        <w:rPr>
          <w:lang w:val="en-CA"/>
        </w:rPr>
        <w:t xml:space="preserve">that they fear </w:t>
      </w:r>
      <w:r w:rsidR="00536DE7" w:rsidRPr="00536DE7">
        <w:rPr>
          <w:lang w:val="en-CA"/>
        </w:rPr>
        <w:t>would be likely to cause them sufficiently serious harm to justify the extreme measure of disqualification.</w:t>
      </w:r>
      <w:r w:rsidR="00D9147E" w:rsidRPr="00536DE7">
        <w:rPr>
          <w:lang w:val="en-CA"/>
        </w:rPr>
        <w:t xml:space="preserve"> </w:t>
      </w:r>
      <w:r w:rsidR="002D5EB7">
        <w:rPr>
          <w:lang w:val="en-CA"/>
        </w:rPr>
        <w:t>Therefore, a</w:t>
      </w:r>
      <w:r w:rsidR="00536DE7" w:rsidRPr="00E44A1E">
        <w:rPr>
          <w:lang w:val="en-CA"/>
        </w:rPr>
        <w:t xml:space="preserve">ll of these circumstances allowed the judge to conclude that the integrity of the judicial process and the administration of justice were not </w:t>
      </w:r>
      <w:r w:rsidR="002D5EB7">
        <w:rPr>
          <w:lang w:val="en-CA"/>
        </w:rPr>
        <w:t>undermined</w:t>
      </w:r>
      <w:r w:rsidR="002D5EB7" w:rsidRPr="00E44A1E">
        <w:rPr>
          <w:lang w:val="en-CA"/>
        </w:rPr>
        <w:t xml:space="preserve"> </w:t>
      </w:r>
      <w:r w:rsidR="00536DE7" w:rsidRPr="00E44A1E">
        <w:rPr>
          <w:lang w:val="en-CA"/>
        </w:rPr>
        <w:t>in the eyes of a reasonably informed person.</w:t>
      </w:r>
      <w:r w:rsidR="00D9147E" w:rsidRPr="00536DE7">
        <w:rPr>
          <w:lang w:val="en-CA"/>
        </w:rPr>
        <w:t xml:space="preserve"> </w:t>
      </w:r>
      <w:r w:rsidR="00536DE7" w:rsidRPr="00536DE7">
        <w:rPr>
          <w:lang w:val="en-CA"/>
        </w:rPr>
        <w:t xml:space="preserve">There is nothing to justify not showing deference </w:t>
      </w:r>
      <w:r w:rsidR="002D5EB7">
        <w:rPr>
          <w:lang w:val="en-CA"/>
        </w:rPr>
        <w:t>to</w:t>
      </w:r>
      <w:r w:rsidR="002D5EB7" w:rsidRPr="00536DE7">
        <w:rPr>
          <w:lang w:val="en-CA"/>
        </w:rPr>
        <w:t xml:space="preserve"> </w:t>
      </w:r>
      <w:r w:rsidR="00536DE7" w:rsidRPr="00536DE7">
        <w:rPr>
          <w:lang w:val="en-CA"/>
        </w:rPr>
        <w:t>this assessment.</w:t>
      </w:r>
    </w:p>
    <w:p w14:paraId="5D089975" w14:textId="23D51FFE" w:rsidR="00D9147E" w:rsidRPr="00536DE7" w:rsidRDefault="00536DE7" w:rsidP="00D9147E">
      <w:pPr>
        <w:pStyle w:val="Paragraphe"/>
        <w:numPr>
          <w:ilvl w:val="0"/>
          <w:numId w:val="1"/>
        </w:numPr>
        <w:spacing w:line="240" w:lineRule="auto"/>
        <w:rPr>
          <w:lang w:val="en-CA"/>
        </w:rPr>
      </w:pPr>
      <w:r w:rsidRPr="00536DE7">
        <w:rPr>
          <w:lang w:val="en-CA"/>
        </w:rPr>
        <w:t xml:space="preserve">The appellants also ask the Court to put under seal various schedules filed in support of the </w:t>
      </w:r>
      <w:r w:rsidR="00C3607A">
        <w:rPr>
          <w:lang w:val="en-CA"/>
        </w:rPr>
        <w:t>application for leave to appeal</w:t>
      </w:r>
      <w:r w:rsidRPr="00536DE7">
        <w:rPr>
          <w:lang w:val="en-CA"/>
        </w:rPr>
        <w:t xml:space="preserve"> </w:t>
      </w:r>
      <w:r w:rsidR="00C3607A">
        <w:rPr>
          <w:lang w:val="en-CA"/>
        </w:rPr>
        <w:t>that</w:t>
      </w:r>
      <w:r w:rsidRPr="00536DE7">
        <w:rPr>
          <w:lang w:val="en-CA"/>
        </w:rPr>
        <w:t xml:space="preserve"> contain information subject to the IRC.</w:t>
      </w:r>
      <w:r w:rsidR="00D9147E" w:rsidRPr="00536DE7">
        <w:rPr>
          <w:lang w:val="en-CA"/>
        </w:rPr>
        <w:t xml:space="preserve"> </w:t>
      </w:r>
      <w:r w:rsidRPr="00E44A1E">
        <w:rPr>
          <w:lang w:val="en-CA"/>
        </w:rPr>
        <w:t>The Court will grant this request for precisely that reason.</w:t>
      </w:r>
    </w:p>
    <w:p w14:paraId="2DF3FE50" w14:textId="10C34DA7" w:rsidR="00D9147E" w:rsidRPr="00E44A1E" w:rsidRDefault="00536DE7" w:rsidP="00D9147E">
      <w:pPr>
        <w:pStyle w:val="Paragraphe"/>
        <w:numPr>
          <w:ilvl w:val="0"/>
          <w:numId w:val="0"/>
        </w:numPr>
        <w:spacing w:line="240" w:lineRule="auto"/>
        <w:rPr>
          <w:b/>
          <w:lang w:val="en-CA"/>
        </w:rPr>
      </w:pPr>
      <w:r w:rsidRPr="00E44A1E">
        <w:rPr>
          <w:b/>
          <w:lang w:val="en-CA"/>
        </w:rPr>
        <w:t>FOR THESE REASONS, THE COURT:</w:t>
      </w:r>
    </w:p>
    <w:p w14:paraId="0470109E" w14:textId="2FF584E4" w:rsidR="00D9147E" w:rsidRPr="00E44A1E" w:rsidRDefault="00536DE7" w:rsidP="00D9147E">
      <w:pPr>
        <w:pStyle w:val="Paragraphe"/>
        <w:numPr>
          <w:ilvl w:val="0"/>
          <w:numId w:val="1"/>
        </w:numPr>
        <w:tabs>
          <w:tab w:val="clear" w:pos="360"/>
        </w:tabs>
        <w:spacing w:line="240" w:lineRule="auto"/>
      </w:pPr>
      <w:r w:rsidRPr="00E44A1E">
        <w:rPr>
          <w:b/>
        </w:rPr>
        <w:t xml:space="preserve">DISMISSES </w:t>
      </w:r>
      <w:r w:rsidRPr="00C3607A">
        <w:t xml:space="preserve">the </w:t>
      </w:r>
      <w:proofErr w:type="spellStart"/>
      <w:r w:rsidRPr="00C3607A">
        <w:t>appeal</w:t>
      </w:r>
      <w:proofErr w:type="spellEnd"/>
      <w:r w:rsidRPr="00C3607A">
        <w:t>;</w:t>
      </w:r>
    </w:p>
    <w:p w14:paraId="5A3A30CC" w14:textId="2A05F592" w:rsidR="00D9147E" w:rsidRPr="00536DE7" w:rsidRDefault="00536DE7" w:rsidP="00D9147E">
      <w:pPr>
        <w:pStyle w:val="Paragraphe"/>
        <w:numPr>
          <w:ilvl w:val="0"/>
          <w:numId w:val="1"/>
        </w:numPr>
        <w:tabs>
          <w:tab w:val="clear" w:pos="360"/>
        </w:tabs>
        <w:spacing w:line="240" w:lineRule="auto"/>
        <w:rPr>
          <w:lang w:val="en-CA"/>
        </w:rPr>
      </w:pPr>
      <w:r w:rsidRPr="00536DE7">
        <w:rPr>
          <w:rFonts w:ascii="Arial-BoldMT" w:hAnsi="Arial-BoldMT" w:cs="Arial-BoldMT"/>
          <w:b/>
          <w:bCs/>
          <w:lang w:val="en-CA" w:eastAsia="fr-CA"/>
        </w:rPr>
        <w:t xml:space="preserve">ORDERS </w:t>
      </w:r>
      <w:r w:rsidRPr="00C3607A">
        <w:rPr>
          <w:rFonts w:ascii="Arial-BoldMT" w:hAnsi="Arial-BoldMT" w:cs="Arial-BoldMT"/>
          <w:bCs/>
          <w:lang w:val="en-CA" w:eastAsia="fr-CA"/>
        </w:rPr>
        <w:t>that</w:t>
      </w:r>
      <w:r w:rsidR="00C3607A" w:rsidRPr="00C3607A">
        <w:rPr>
          <w:rFonts w:ascii="Arial-BoldMT" w:hAnsi="Arial-BoldMT" w:cs="Arial-BoldMT"/>
          <w:bCs/>
          <w:lang w:val="en-CA" w:eastAsia="fr-CA"/>
        </w:rPr>
        <w:t xml:space="preserve"> </w:t>
      </w:r>
      <w:r w:rsidRPr="00C3607A">
        <w:rPr>
          <w:rFonts w:ascii="Arial-BoldMT" w:hAnsi="Arial-BoldMT" w:cs="Arial-BoldMT"/>
          <w:bCs/>
          <w:lang w:val="en-CA" w:eastAsia="fr-CA"/>
        </w:rPr>
        <w:t xml:space="preserve">schedules 15 to 18, </w:t>
      </w:r>
      <w:r w:rsidR="004D1B4A">
        <w:rPr>
          <w:rFonts w:ascii="Arial-BoldMT" w:hAnsi="Arial-BoldMT" w:cs="Arial-BoldMT"/>
          <w:bCs/>
          <w:lang w:val="en-CA" w:eastAsia="fr-CA"/>
        </w:rPr>
        <w:t xml:space="preserve">20, </w:t>
      </w:r>
      <w:r w:rsidRPr="00C3607A">
        <w:rPr>
          <w:rFonts w:ascii="Arial-BoldMT" w:hAnsi="Arial-BoldMT" w:cs="Arial-BoldMT"/>
          <w:bCs/>
          <w:lang w:val="en-CA" w:eastAsia="fr-CA"/>
        </w:rPr>
        <w:t>and 22 to 30 in support of the application for leave to appeal be filed under seal;</w:t>
      </w:r>
    </w:p>
    <w:p w14:paraId="056EF32E" w14:textId="544BB54A" w:rsidR="00D9147E" w:rsidRPr="00E44A1E" w:rsidRDefault="00536DE7" w:rsidP="00D9147E">
      <w:pPr>
        <w:pStyle w:val="Paragraphe"/>
        <w:numPr>
          <w:ilvl w:val="0"/>
          <w:numId w:val="1"/>
        </w:numPr>
        <w:tabs>
          <w:tab w:val="clear" w:pos="360"/>
        </w:tabs>
        <w:spacing w:line="240" w:lineRule="auto"/>
        <w:rPr>
          <w:lang w:val="en-CA"/>
        </w:rPr>
      </w:pPr>
      <w:r w:rsidRPr="00E44A1E">
        <w:rPr>
          <w:rFonts w:ascii="Arial-BoldMT" w:hAnsi="Arial-BoldMT" w:cs="Arial-BoldMT"/>
          <w:b/>
          <w:bCs/>
          <w:lang w:val="en-CA" w:eastAsia="fr-CA"/>
        </w:rPr>
        <w:t xml:space="preserve">THE WHOLE </w:t>
      </w:r>
      <w:r w:rsidRPr="00C3607A">
        <w:rPr>
          <w:rFonts w:ascii="Arial-BoldMT" w:hAnsi="Arial-BoldMT" w:cs="Arial-BoldMT"/>
          <w:bCs/>
          <w:lang w:val="en-CA" w:eastAsia="fr-CA"/>
        </w:rPr>
        <w:t>with legal costs.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6E6F6E" w:rsidRPr="006A5977" w14:paraId="54D2DFC5" w14:textId="77777777" w:rsidTr="00D9147E">
        <w:trPr>
          <w:trHeight w:val="576"/>
        </w:trPr>
        <w:tc>
          <w:tcPr>
            <w:tcW w:w="9362" w:type="dxa"/>
            <w:gridSpan w:val="3"/>
            <w:tcBorders>
              <w:top w:val="nil"/>
              <w:bottom w:val="nil"/>
            </w:tcBorders>
          </w:tcPr>
          <w:p w14:paraId="0C73E2DD" w14:textId="77777777" w:rsidR="00D9147E" w:rsidRPr="00536DE7" w:rsidRDefault="00D9147E">
            <w:pPr>
              <w:keepNext/>
              <w:rPr>
                <w:lang w:val="en-CA"/>
              </w:rPr>
            </w:pPr>
          </w:p>
        </w:tc>
      </w:tr>
      <w:tr w:rsidR="006E6F6E" w:rsidRPr="006A5977" w14:paraId="2C830DF8" w14:textId="77777777" w:rsidTr="00D9147E">
        <w:trPr>
          <w:trHeight w:val="283"/>
        </w:trPr>
        <w:tc>
          <w:tcPr>
            <w:tcW w:w="4682" w:type="dxa"/>
            <w:gridSpan w:val="2"/>
            <w:tcBorders>
              <w:top w:val="nil"/>
              <w:bottom w:val="nil"/>
            </w:tcBorders>
          </w:tcPr>
          <w:p w14:paraId="38DF7E34" w14:textId="77777777" w:rsidR="00D9147E" w:rsidRPr="00536DE7" w:rsidRDefault="00D9147E">
            <w:pPr>
              <w:keepNext/>
              <w:rPr>
                <w:lang w:val="en-CA"/>
              </w:rPr>
            </w:pPr>
          </w:p>
        </w:tc>
        <w:tc>
          <w:tcPr>
            <w:tcW w:w="4680" w:type="dxa"/>
            <w:tcBorders>
              <w:top w:val="nil"/>
              <w:bottom w:val="single" w:sz="8" w:space="0" w:color="auto"/>
            </w:tcBorders>
          </w:tcPr>
          <w:p w14:paraId="70F97178" w14:textId="77777777" w:rsidR="00D9147E" w:rsidRPr="00536DE7" w:rsidRDefault="00D9147E">
            <w:pPr>
              <w:keepNext/>
              <w:rPr>
                <w:lang w:val="en-CA"/>
              </w:rPr>
            </w:pPr>
          </w:p>
        </w:tc>
      </w:tr>
      <w:tr w:rsidR="006E6F6E" w14:paraId="47516593" w14:textId="77777777" w:rsidTr="00D9147E">
        <w:trPr>
          <w:trHeight w:val="283"/>
        </w:trPr>
        <w:tc>
          <w:tcPr>
            <w:tcW w:w="4682" w:type="dxa"/>
            <w:gridSpan w:val="2"/>
            <w:tcBorders>
              <w:top w:val="nil"/>
            </w:tcBorders>
          </w:tcPr>
          <w:p w14:paraId="3ABBA2DC" w14:textId="77777777" w:rsidR="00D9147E" w:rsidRPr="00536DE7" w:rsidRDefault="00D9147E">
            <w:pPr>
              <w:keepNext/>
              <w:rPr>
                <w:lang w:val="en-CA"/>
              </w:rPr>
            </w:pPr>
          </w:p>
        </w:tc>
        <w:tc>
          <w:tcPr>
            <w:tcW w:w="4680" w:type="dxa"/>
            <w:tcBorders>
              <w:top w:val="single" w:sz="8" w:space="0" w:color="auto"/>
            </w:tcBorders>
          </w:tcPr>
          <w:p w14:paraId="4B639B80" w14:textId="77777777" w:rsidR="00D9147E" w:rsidRPr="00E44A1E" w:rsidRDefault="005F7CDE">
            <w:r w:rsidRPr="00E44A1E">
              <w:t>JACQUES J. LEVESQUE, J.A.</w:t>
            </w:r>
          </w:p>
        </w:tc>
      </w:tr>
      <w:tr w:rsidR="006E6F6E" w14:paraId="4A586ED3" w14:textId="77777777" w:rsidTr="00D9147E">
        <w:trPr>
          <w:trHeight w:val="283"/>
        </w:trPr>
        <w:tc>
          <w:tcPr>
            <w:tcW w:w="4682" w:type="dxa"/>
            <w:gridSpan w:val="2"/>
            <w:tcBorders>
              <w:top w:val="nil"/>
            </w:tcBorders>
          </w:tcPr>
          <w:p w14:paraId="18B29DB5" w14:textId="77777777" w:rsidR="00D9147E" w:rsidRDefault="00D9147E">
            <w:pPr>
              <w:keepNext/>
            </w:pPr>
            <w:bookmarkStart w:id="8" w:name="Signature2"/>
          </w:p>
        </w:tc>
        <w:tc>
          <w:tcPr>
            <w:tcW w:w="4680" w:type="dxa"/>
            <w:tcBorders>
              <w:top w:val="nil"/>
            </w:tcBorders>
          </w:tcPr>
          <w:p w14:paraId="1758F269" w14:textId="77777777" w:rsidR="00D9147E" w:rsidRDefault="00D9147E">
            <w:pPr>
              <w:keepNext/>
            </w:pPr>
          </w:p>
        </w:tc>
      </w:tr>
      <w:tr w:rsidR="006E6F6E" w14:paraId="4754DD17" w14:textId="77777777" w:rsidTr="00D9147E">
        <w:trPr>
          <w:trHeight w:val="283"/>
        </w:trPr>
        <w:tc>
          <w:tcPr>
            <w:tcW w:w="4682" w:type="dxa"/>
            <w:gridSpan w:val="2"/>
            <w:tcBorders>
              <w:top w:val="nil"/>
              <w:bottom w:val="nil"/>
            </w:tcBorders>
          </w:tcPr>
          <w:p w14:paraId="3DA075D6" w14:textId="77777777" w:rsidR="00D9147E" w:rsidRDefault="00D9147E">
            <w:pPr>
              <w:keepNext/>
            </w:pPr>
          </w:p>
        </w:tc>
        <w:tc>
          <w:tcPr>
            <w:tcW w:w="4680" w:type="dxa"/>
            <w:tcBorders>
              <w:top w:val="nil"/>
              <w:bottom w:val="single" w:sz="8" w:space="0" w:color="auto"/>
            </w:tcBorders>
          </w:tcPr>
          <w:p w14:paraId="4FD55CC5" w14:textId="77777777" w:rsidR="00D9147E" w:rsidRDefault="00D9147E">
            <w:pPr>
              <w:keepNext/>
            </w:pPr>
          </w:p>
        </w:tc>
      </w:tr>
      <w:tr w:rsidR="006E6F6E" w14:paraId="0AD0647D" w14:textId="77777777" w:rsidTr="00D9147E">
        <w:trPr>
          <w:trHeight w:val="283"/>
        </w:trPr>
        <w:tc>
          <w:tcPr>
            <w:tcW w:w="4682" w:type="dxa"/>
            <w:gridSpan w:val="2"/>
            <w:tcBorders>
              <w:top w:val="nil"/>
            </w:tcBorders>
          </w:tcPr>
          <w:p w14:paraId="1DB287EF" w14:textId="77777777" w:rsidR="00D9147E" w:rsidRDefault="00D9147E">
            <w:pPr>
              <w:keepNext/>
            </w:pPr>
          </w:p>
        </w:tc>
        <w:tc>
          <w:tcPr>
            <w:tcW w:w="4680" w:type="dxa"/>
            <w:tcBorders>
              <w:top w:val="single" w:sz="8" w:space="0" w:color="auto"/>
            </w:tcBorders>
          </w:tcPr>
          <w:p w14:paraId="6515A7BA" w14:textId="77777777" w:rsidR="00D9147E" w:rsidRPr="00E44A1E" w:rsidRDefault="005F7CDE">
            <w:pPr>
              <w:keepNext/>
              <w:rPr>
                <w:lang w:val="en-CA"/>
              </w:rPr>
            </w:pPr>
            <w:r w:rsidRPr="00E44A1E">
              <w:rPr>
                <w:lang w:val="en-CA"/>
              </w:rPr>
              <w:t>BENOÎT MOORE, J.A.</w:t>
            </w:r>
          </w:p>
        </w:tc>
      </w:tr>
      <w:tr w:rsidR="006E6F6E" w14:paraId="0C888A02" w14:textId="77777777" w:rsidTr="00D9147E">
        <w:trPr>
          <w:trHeight w:val="283"/>
        </w:trPr>
        <w:tc>
          <w:tcPr>
            <w:tcW w:w="4682" w:type="dxa"/>
            <w:gridSpan w:val="2"/>
            <w:tcBorders>
              <w:top w:val="nil"/>
            </w:tcBorders>
          </w:tcPr>
          <w:p w14:paraId="77ABC1AF" w14:textId="77777777" w:rsidR="00D9147E" w:rsidRPr="00AA160A" w:rsidRDefault="00D9147E">
            <w:pPr>
              <w:keepNext/>
              <w:rPr>
                <w:lang w:val="en-CA"/>
              </w:rPr>
            </w:pPr>
            <w:bookmarkStart w:id="9" w:name="Signature3"/>
            <w:bookmarkEnd w:id="8"/>
          </w:p>
        </w:tc>
        <w:tc>
          <w:tcPr>
            <w:tcW w:w="4680" w:type="dxa"/>
            <w:tcBorders>
              <w:top w:val="nil"/>
            </w:tcBorders>
          </w:tcPr>
          <w:p w14:paraId="13325235" w14:textId="77777777" w:rsidR="00D9147E" w:rsidRPr="00AA160A" w:rsidRDefault="00D9147E">
            <w:pPr>
              <w:keepNext/>
              <w:rPr>
                <w:lang w:val="en-CA"/>
              </w:rPr>
            </w:pPr>
          </w:p>
        </w:tc>
      </w:tr>
      <w:tr w:rsidR="006E6F6E" w14:paraId="63FC8722" w14:textId="77777777" w:rsidTr="00D9147E">
        <w:trPr>
          <w:trHeight w:val="283"/>
        </w:trPr>
        <w:tc>
          <w:tcPr>
            <w:tcW w:w="4682" w:type="dxa"/>
            <w:gridSpan w:val="2"/>
            <w:tcBorders>
              <w:top w:val="nil"/>
              <w:bottom w:val="nil"/>
            </w:tcBorders>
          </w:tcPr>
          <w:p w14:paraId="6D231E87" w14:textId="77777777" w:rsidR="00D9147E" w:rsidRPr="00AA160A" w:rsidRDefault="00D9147E">
            <w:pPr>
              <w:keepNext/>
              <w:rPr>
                <w:lang w:val="en-CA"/>
              </w:rPr>
            </w:pPr>
          </w:p>
        </w:tc>
        <w:tc>
          <w:tcPr>
            <w:tcW w:w="4680" w:type="dxa"/>
            <w:tcBorders>
              <w:top w:val="nil"/>
              <w:bottom w:val="single" w:sz="8" w:space="0" w:color="auto"/>
            </w:tcBorders>
          </w:tcPr>
          <w:p w14:paraId="77571CE5" w14:textId="77777777" w:rsidR="00D9147E" w:rsidRPr="00AA160A" w:rsidRDefault="00D9147E">
            <w:pPr>
              <w:keepNext/>
              <w:rPr>
                <w:lang w:val="en-CA"/>
              </w:rPr>
            </w:pPr>
          </w:p>
        </w:tc>
      </w:tr>
      <w:tr w:rsidR="006E6F6E" w14:paraId="3D58BAD3" w14:textId="77777777" w:rsidTr="00D9147E">
        <w:trPr>
          <w:trHeight w:val="283"/>
        </w:trPr>
        <w:tc>
          <w:tcPr>
            <w:tcW w:w="4682" w:type="dxa"/>
            <w:gridSpan w:val="2"/>
            <w:tcBorders>
              <w:top w:val="nil"/>
            </w:tcBorders>
          </w:tcPr>
          <w:p w14:paraId="69D90CA0" w14:textId="77777777" w:rsidR="00D9147E" w:rsidRPr="00AA160A" w:rsidRDefault="00D9147E">
            <w:pPr>
              <w:keepNext/>
              <w:rPr>
                <w:lang w:val="en-CA"/>
              </w:rPr>
            </w:pPr>
          </w:p>
        </w:tc>
        <w:tc>
          <w:tcPr>
            <w:tcW w:w="4680" w:type="dxa"/>
            <w:tcBorders>
              <w:top w:val="single" w:sz="8" w:space="0" w:color="auto"/>
            </w:tcBorders>
          </w:tcPr>
          <w:p w14:paraId="46C637D5" w14:textId="77777777" w:rsidR="00D9147E" w:rsidRPr="00E44A1E" w:rsidRDefault="005F7CDE">
            <w:pPr>
              <w:keepNext/>
            </w:pPr>
            <w:r w:rsidRPr="00E44A1E">
              <w:t>FRÉDÉRIC BACHAND, J.A.</w:t>
            </w:r>
          </w:p>
        </w:tc>
      </w:tr>
      <w:bookmarkEnd w:id="9"/>
      <w:tr w:rsidR="006E6F6E" w14:paraId="046708B8" w14:textId="77777777" w:rsidTr="00D9147E">
        <w:tc>
          <w:tcPr>
            <w:tcW w:w="9362" w:type="dxa"/>
            <w:gridSpan w:val="3"/>
            <w:tcBorders>
              <w:bottom w:val="nil"/>
            </w:tcBorders>
          </w:tcPr>
          <w:p w14:paraId="1003FF55" w14:textId="77777777" w:rsidR="00D9147E" w:rsidRPr="00AA160A" w:rsidRDefault="00D9147E" w:rsidP="00D9147E"/>
        </w:tc>
      </w:tr>
      <w:tr w:rsidR="006E6F6E" w14:paraId="24F0228A" w14:textId="77777777" w:rsidTr="00D9147E">
        <w:tc>
          <w:tcPr>
            <w:tcW w:w="9362" w:type="dxa"/>
            <w:gridSpan w:val="3"/>
            <w:tcBorders>
              <w:top w:val="nil"/>
            </w:tcBorders>
          </w:tcPr>
          <w:p w14:paraId="7FC62E17" w14:textId="61F14C02" w:rsidR="00D9147E" w:rsidRPr="00E44A1E" w:rsidRDefault="00536DE7" w:rsidP="00D9147E">
            <w:pPr>
              <w:pStyle w:val="zSoquijdatNomProcureurDem"/>
            </w:pPr>
            <w:r w:rsidRPr="00E44A1E">
              <w:t>Mtre Miguel Bourbonnais</w:t>
            </w:r>
          </w:p>
          <w:p w14:paraId="70E331D9" w14:textId="25B8127C" w:rsidR="00D9147E" w:rsidRPr="00E44A1E" w:rsidRDefault="00536DE7" w:rsidP="00D9147E">
            <w:pPr>
              <w:pStyle w:val="zSoquijdatNomProcureurDem"/>
            </w:pPr>
            <w:r w:rsidRPr="00E44A1E">
              <w:t>Mtre Jean-Philippe Mathieu</w:t>
            </w:r>
          </w:p>
          <w:p w14:paraId="56FC37A9" w14:textId="34FD7DF1" w:rsidR="00D9147E" w:rsidRPr="00E44A1E" w:rsidRDefault="00536DE7" w:rsidP="00D9147E">
            <w:pPr>
              <w:pStyle w:val="zSoquijdatNomProcureurDem"/>
            </w:pPr>
            <w:r w:rsidRPr="00E44A1E">
              <w:t xml:space="preserve">Mtre Daphné </w:t>
            </w:r>
            <w:proofErr w:type="spellStart"/>
            <w:r w:rsidRPr="00E44A1E">
              <w:t>Anastassiadis</w:t>
            </w:r>
            <w:proofErr w:type="spellEnd"/>
          </w:p>
        </w:tc>
      </w:tr>
      <w:tr w:rsidR="006E6F6E" w14:paraId="17F5004C" w14:textId="77777777" w:rsidTr="00D9147E">
        <w:tc>
          <w:tcPr>
            <w:tcW w:w="9362" w:type="dxa"/>
            <w:gridSpan w:val="3"/>
          </w:tcPr>
          <w:p w14:paraId="2B69E14D" w14:textId="6E022E7F" w:rsidR="00D9147E" w:rsidRPr="00E44A1E" w:rsidRDefault="00536DE7" w:rsidP="00D9147E">
            <w:pPr>
              <w:pStyle w:val="zSoquijdatCabinetProcureurDem"/>
              <w:rPr>
                <w:lang w:val="en-CA"/>
              </w:rPr>
            </w:pPr>
            <w:proofErr w:type="spellStart"/>
            <w:r w:rsidRPr="00E44A1E">
              <w:t>McCARTHY</w:t>
            </w:r>
            <w:proofErr w:type="spellEnd"/>
            <w:r w:rsidRPr="00E44A1E">
              <w:t xml:space="preserve"> TÉTRAULT</w:t>
            </w:r>
          </w:p>
        </w:tc>
      </w:tr>
      <w:tr w:rsidR="006E6F6E" w14:paraId="36555BA4" w14:textId="77777777" w:rsidTr="00D9147E">
        <w:tc>
          <w:tcPr>
            <w:tcW w:w="9362" w:type="dxa"/>
            <w:gridSpan w:val="3"/>
          </w:tcPr>
          <w:p w14:paraId="2D19155D" w14:textId="58C4E8C3" w:rsidR="00D9147E" w:rsidRPr="00E44A1E" w:rsidRDefault="00536DE7" w:rsidP="00D9147E">
            <w:pPr>
              <w:pStyle w:val="zSoquijlblProcureurDem"/>
              <w:rPr>
                <w:lang w:val="en-CA"/>
              </w:rPr>
            </w:pPr>
            <w:r w:rsidRPr="00E44A1E">
              <w:t xml:space="preserve">For the </w:t>
            </w:r>
            <w:proofErr w:type="spellStart"/>
            <w:r w:rsidRPr="00E44A1E">
              <w:t>appellants</w:t>
            </w:r>
            <w:proofErr w:type="spellEnd"/>
          </w:p>
        </w:tc>
      </w:tr>
      <w:tr w:rsidR="006E6F6E" w14:paraId="14FAAA5F" w14:textId="77777777" w:rsidTr="00D9147E">
        <w:tc>
          <w:tcPr>
            <w:tcW w:w="9362" w:type="dxa"/>
            <w:gridSpan w:val="3"/>
          </w:tcPr>
          <w:p w14:paraId="03A967AB" w14:textId="77777777" w:rsidR="00D9147E" w:rsidRDefault="00D9147E" w:rsidP="00D9147E">
            <w:pPr>
              <w:rPr>
                <w:lang w:val="en-CA"/>
              </w:rPr>
            </w:pPr>
          </w:p>
        </w:tc>
      </w:tr>
      <w:tr w:rsidR="006E6F6E" w14:paraId="504E7986" w14:textId="77777777" w:rsidTr="00D9147E">
        <w:tc>
          <w:tcPr>
            <w:tcW w:w="9362" w:type="dxa"/>
            <w:gridSpan w:val="3"/>
          </w:tcPr>
          <w:p w14:paraId="6F66A82B" w14:textId="72437276" w:rsidR="00D9147E" w:rsidRPr="00E44A1E" w:rsidRDefault="00536DE7" w:rsidP="00D9147E">
            <w:pPr>
              <w:pStyle w:val="zSoquijdatNomProcureurDef"/>
              <w:rPr>
                <w:lang w:val="en-CA"/>
              </w:rPr>
            </w:pPr>
            <w:r w:rsidRPr="00E44A1E">
              <w:t xml:space="preserve">Mtre Audrey </w:t>
            </w:r>
            <w:proofErr w:type="spellStart"/>
            <w:r w:rsidRPr="00E44A1E">
              <w:t>Boctor</w:t>
            </w:r>
            <w:proofErr w:type="spellEnd"/>
          </w:p>
        </w:tc>
      </w:tr>
      <w:tr w:rsidR="006E6F6E" w14:paraId="1DB932DA" w14:textId="77777777" w:rsidTr="00D9147E">
        <w:tc>
          <w:tcPr>
            <w:tcW w:w="9362" w:type="dxa"/>
            <w:gridSpan w:val="3"/>
          </w:tcPr>
          <w:p w14:paraId="6D98E5EA" w14:textId="23D74173" w:rsidR="00D9147E" w:rsidRPr="00E44A1E" w:rsidRDefault="00536DE7" w:rsidP="00D9147E">
            <w:pPr>
              <w:pStyle w:val="zSoquijdatCabinetProcureurDef"/>
              <w:rPr>
                <w:lang w:val="en-CA"/>
              </w:rPr>
            </w:pPr>
            <w:r w:rsidRPr="00E44A1E">
              <w:t>IMK</w:t>
            </w:r>
          </w:p>
        </w:tc>
      </w:tr>
      <w:tr w:rsidR="006E6F6E" w14:paraId="18185B6E" w14:textId="77777777" w:rsidTr="00D9147E">
        <w:tc>
          <w:tcPr>
            <w:tcW w:w="9362" w:type="dxa"/>
            <w:gridSpan w:val="3"/>
          </w:tcPr>
          <w:p w14:paraId="64E09DF3" w14:textId="6D7A68EB" w:rsidR="00D9147E" w:rsidRDefault="00536DE7" w:rsidP="00D9147E">
            <w:pPr>
              <w:pStyle w:val="zSoquijlblProcureurDef"/>
              <w:rPr>
                <w:lang w:val="en-CA"/>
              </w:rPr>
            </w:pPr>
            <w:r>
              <w:t xml:space="preserve">For the </w:t>
            </w:r>
            <w:proofErr w:type="spellStart"/>
            <w:r>
              <w:t>respondent</w:t>
            </w:r>
            <w:proofErr w:type="spellEnd"/>
            <w:r>
              <w:t xml:space="preserve"> Woods</w:t>
            </w:r>
          </w:p>
        </w:tc>
      </w:tr>
      <w:tr w:rsidR="006E6F6E" w14:paraId="17C3408C" w14:textId="77777777" w:rsidTr="00D9147E">
        <w:tc>
          <w:tcPr>
            <w:tcW w:w="9362" w:type="dxa"/>
            <w:gridSpan w:val="3"/>
          </w:tcPr>
          <w:p w14:paraId="797850DE" w14:textId="77777777" w:rsidR="00D9147E" w:rsidRDefault="00D9147E" w:rsidP="00D9147E">
            <w:pPr>
              <w:pStyle w:val="zSoquijlblProcureurDef"/>
            </w:pPr>
          </w:p>
        </w:tc>
      </w:tr>
      <w:tr w:rsidR="006E6F6E" w14:paraId="112D4CE9" w14:textId="77777777" w:rsidTr="00D9147E">
        <w:tc>
          <w:tcPr>
            <w:tcW w:w="1997" w:type="dxa"/>
          </w:tcPr>
          <w:p w14:paraId="389003EA" w14:textId="4192F3FF" w:rsidR="00D9147E" w:rsidRPr="00E44A1E" w:rsidRDefault="00536DE7" w:rsidP="00D9147E">
            <w:pPr>
              <w:pStyle w:val="zSoquijlblDateAudience"/>
            </w:pPr>
            <w:r w:rsidRPr="00E44A1E">
              <w:t xml:space="preserve">Date of </w:t>
            </w:r>
            <w:proofErr w:type="spellStart"/>
            <w:r w:rsidRPr="00E44A1E">
              <w:t>hearing</w:t>
            </w:r>
            <w:proofErr w:type="spellEnd"/>
            <w:r w:rsidRPr="00E44A1E">
              <w:t>:</w:t>
            </w:r>
          </w:p>
        </w:tc>
        <w:tc>
          <w:tcPr>
            <w:tcW w:w="7365" w:type="dxa"/>
            <w:gridSpan w:val="2"/>
          </w:tcPr>
          <w:p w14:paraId="07F305AC" w14:textId="61BAD9D2" w:rsidR="00D9147E" w:rsidRPr="00E44A1E" w:rsidRDefault="00536DE7" w:rsidP="00D9147E">
            <w:pPr>
              <w:pStyle w:val="zSoquijdatDateAudience"/>
            </w:pPr>
            <w:proofErr w:type="spellStart"/>
            <w:r w:rsidRPr="00E44A1E">
              <w:t>January</w:t>
            </w:r>
            <w:proofErr w:type="spellEnd"/>
            <w:r w:rsidRPr="00E44A1E">
              <w:t xml:space="preserve"> 27, 2022</w:t>
            </w:r>
          </w:p>
        </w:tc>
      </w:tr>
      <w:bookmarkEnd w:id="3"/>
    </w:tbl>
    <w:p w14:paraId="11EC4DAE" w14:textId="77777777" w:rsidR="00D9147E" w:rsidRDefault="00D9147E" w:rsidP="00D9147E"/>
    <w:sectPr w:rsidR="00D9147E" w:rsidSect="00D9147E">
      <w:headerReference w:type="even" r:id="rId8"/>
      <w:headerReference w:type="default" r:id="rId9"/>
      <w:footerReference w:type="even" r:id="rId10"/>
      <w:footerReference w:type="default" r:id="rId11"/>
      <w:headerReference w:type="first" r:id="rId12"/>
      <w:footerReference w:type="first" r:id="rId13"/>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E5B85" w14:textId="77777777" w:rsidR="008D1EC7" w:rsidRDefault="008D1EC7">
      <w:pPr>
        <w:spacing w:line="240" w:lineRule="auto"/>
      </w:pPr>
      <w:r>
        <w:separator/>
      </w:r>
    </w:p>
  </w:endnote>
  <w:endnote w:type="continuationSeparator" w:id="0">
    <w:p w14:paraId="464A37C4" w14:textId="77777777" w:rsidR="008D1EC7" w:rsidRDefault="008D1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2876" w14:textId="77777777" w:rsidR="008D1EC7" w:rsidRDefault="008D1E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92F1" w14:textId="77777777" w:rsidR="008D1EC7" w:rsidRDefault="008D1E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4642" w14:textId="77777777" w:rsidR="008D1EC7" w:rsidRDefault="008D1E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2C327" w14:textId="77777777" w:rsidR="008D1EC7" w:rsidRDefault="008D1EC7">
      <w:r>
        <w:separator/>
      </w:r>
    </w:p>
  </w:footnote>
  <w:footnote w:type="continuationSeparator" w:id="0">
    <w:p w14:paraId="14744D28" w14:textId="77777777" w:rsidR="008D1EC7" w:rsidRDefault="008D1EC7">
      <w:r>
        <w:continuationSeparator/>
      </w:r>
    </w:p>
  </w:footnote>
  <w:footnote w:id="1">
    <w:p w14:paraId="4D444936" w14:textId="0BFDFB19" w:rsidR="008D1EC7" w:rsidRPr="003111F8" w:rsidRDefault="008D1EC7" w:rsidP="00D9147E">
      <w:pPr>
        <w:pStyle w:val="Notedebasdepage"/>
      </w:pPr>
      <w:r>
        <w:rPr>
          <w:rStyle w:val="Appelnotedebasdep"/>
        </w:rPr>
        <w:footnoteRef/>
      </w:r>
      <w:r>
        <w:t xml:space="preserve"> </w:t>
      </w:r>
      <w:r>
        <w:tab/>
      </w:r>
      <w:r w:rsidRPr="00536DE7">
        <w:rPr>
          <w:i/>
        </w:rPr>
        <w:t xml:space="preserve">Arrangement relatif à NMX </w:t>
      </w:r>
      <w:proofErr w:type="spellStart"/>
      <w:r w:rsidRPr="00536DE7">
        <w:rPr>
          <w:i/>
        </w:rPr>
        <w:t>Residual</w:t>
      </w:r>
      <w:proofErr w:type="spellEnd"/>
      <w:r w:rsidRPr="00536DE7">
        <w:rPr>
          <w:i/>
        </w:rPr>
        <w:t xml:space="preserve"> </w:t>
      </w:r>
      <w:proofErr w:type="spellStart"/>
      <w:r w:rsidRPr="00536DE7">
        <w:rPr>
          <w:i/>
        </w:rPr>
        <w:t>Assets</w:t>
      </w:r>
      <w:proofErr w:type="spellEnd"/>
      <w:r w:rsidRPr="00536DE7">
        <w:rPr>
          <w:i/>
        </w:rPr>
        <w:t xml:space="preserve"> Inc.</w:t>
      </w:r>
      <w:r w:rsidRPr="00536DE7">
        <w:t>, 2021 QCCS 2308 [</w:t>
      </w:r>
      <w:proofErr w:type="spellStart"/>
      <w:r w:rsidRPr="00536DE7">
        <w:t>judgment</w:t>
      </w:r>
      <w:proofErr w:type="spellEnd"/>
      <w:r w:rsidRPr="00536DE7">
        <w:t xml:space="preserve"> </w:t>
      </w:r>
      <w:r w:rsidRPr="00434ACE">
        <w:rPr>
          <w:i/>
        </w:rPr>
        <w:t>a quo</w:t>
      </w:r>
      <w:r w:rsidRPr="00536DE7">
        <w:t>].</w:t>
      </w:r>
    </w:p>
  </w:footnote>
  <w:footnote w:id="2">
    <w:p w14:paraId="4FB96C44" w14:textId="26B796D1" w:rsidR="008D1EC7" w:rsidRPr="003111F8" w:rsidRDefault="008D1EC7" w:rsidP="00D9147E">
      <w:pPr>
        <w:pStyle w:val="Notedebasdepage"/>
      </w:pPr>
      <w:r>
        <w:rPr>
          <w:rStyle w:val="Appelnotedebasdep"/>
        </w:rPr>
        <w:footnoteRef/>
      </w:r>
      <w:r>
        <w:t xml:space="preserve"> </w:t>
      </w:r>
      <w:r>
        <w:tab/>
      </w:r>
      <w:r w:rsidRPr="00E44A1E">
        <w:rPr>
          <w:i/>
        </w:rPr>
        <w:t>Lac d'Amiante du Québec Ltée v. 2858-0702 Québec Inc</w:t>
      </w:r>
      <w:r>
        <w:t xml:space="preserve">., 2001 SCC 51; </w:t>
      </w:r>
      <w:proofErr w:type="spellStart"/>
      <w:r w:rsidRPr="00E44A1E">
        <w:rPr>
          <w:i/>
        </w:rPr>
        <w:t>Juman</w:t>
      </w:r>
      <w:proofErr w:type="spellEnd"/>
      <w:r w:rsidRPr="00E44A1E">
        <w:rPr>
          <w:i/>
        </w:rPr>
        <w:t xml:space="preserve"> v. Doucette</w:t>
      </w:r>
      <w:r w:rsidRPr="00E44A1E">
        <w:t>, 2008 SCC 8.</w:t>
      </w:r>
    </w:p>
  </w:footnote>
  <w:footnote w:id="3">
    <w:p w14:paraId="177B49C4" w14:textId="57517408" w:rsidR="008D1EC7" w:rsidRPr="00536DE7" w:rsidRDefault="008D1EC7" w:rsidP="00D9147E">
      <w:pPr>
        <w:pStyle w:val="Notedebasdepage"/>
        <w:rPr>
          <w:lang w:val="en-CA"/>
        </w:rPr>
      </w:pPr>
      <w:r>
        <w:rPr>
          <w:rStyle w:val="Appelnotedebasdep"/>
        </w:rPr>
        <w:footnoteRef/>
      </w:r>
      <w:r w:rsidRPr="00536DE7">
        <w:rPr>
          <w:lang w:val="en-CA"/>
        </w:rPr>
        <w:t xml:space="preserve"> </w:t>
      </w:r>
      <w:r w:rsidRPr="00536DE7">
        <w:rPr>
          <w:lang w:val="en-CA"/>
        </w:rPr>
        <w:tab/>
      </w:r>
      <w:r w:rsidRPr="00E44A1E">
        <w:rPr>
          <w:lang w:val="en-CA"/>
        </w:rPr>
        <w:t>R.S.C. (1985), c.</w:t>
      </w:r>
      <w:r w:rsidRPr="00536DE7">
        <w:rPr>
          <w:lang w:val="en-CA"/>
        </w:rPr>
        <w:t xml:space="preserve"> </w:t>
      </w:r>
      <w:r w:rsidRPr="00E44A1E">
        <w:rPr>
          <w:lang w:val="en-CA"/>
        </w:rPr>
        <w:t>C-44.</w:t>
      </w:r>
    </w:p>
  </w:footnote>
  <w:footnote w:id="4">
    <w:p w14:paraId="6FC9AE9B" w14:textId="3AD7A544" w:rsidR="008D1EC7" w:rsidRPr="00536DE7" w:rsidRDefault="008D1EC7">
      <w:pPr>
        <w:pStyle w:val="Notedebasdepage"/>
        <w:rPr>
          <w:lang w:val="en-CA"/>
        </w:rPr>
      </w:pPr>
      <w:r>
        <w:rPr>
          <w:rStyle w:val="Appelnotedebasdep"/>
        </w:rPr>
        <w:footnoteRef/>
      </w:r>
      <w:r w:rsidRPr="00536DE7">
        <w:rPr>
          <w:lang w:val="en-CA"/>
        </w:rPr>
        <w:t xml:space="preserve"> </w:t>
      </w:r>
      <w:r w:rsidRPr="00536DE7">
        <w:rPr>
          <w:lang w:val="en-CA"/>
        </w:rPr>
        <w:tab/>
        <w:t xml:space="preserve">It is appropriate to add that the appellants do not rely on Woods’ awareness of the content of </w:t>
      </w:r>
      <w:r>
        <w:rPr>
          <w:lang w:val="en-CA"/>
        </w:rPr>
        <w:t>the</w:t>
      </w:r>
      <w:r w:rsidRPr="00536DE7">
        <w:rPr>
          <w:lang w:val="en-CA"/>
        </w:rPr>
        <w:t xml:space="preserve"> settlement. Their application for disqualification is based only on the information acquired by Woods during </w:t>
      </w:r>
      <w:r>
        <w:rPr>
          <w:lang w:val="en-CA"/>
        </w:rPr>
        <w:t xml:space="preserve">Mr. Bourassa’s </w:t>
      </w:r>
      <w:r w:rsidRPr="00536DE7">
        <w:rPr>
          <w:lang w:val="en-CA"/>
        </w:rPr>
        <w:t>pre-trial examination.</w:t>
      </w:r>
    </w:p>
  </w:footnote>
  <w:footnote w:id="5">
    <w:p w14:paraId="273C5850" w14:textId="0DB6FA1F" w:rsidR="008D1EC7" w:rsidRPr="008B79AF" w:rsidRDefault="008D1EC7" w:rsidP="00D9147E">
      <w:pPr>
        <w:pStyle w:val="Notedebasdepage"/>
        <w:rPr>
          <w:lang w:val="en-CA"/>
        </w:rPr>
      </w:pPr>
      <w:r>
        <w:rPr>
          <w:rStyle w:val="Appelnotedebasdep"/>
        </w:rPr>
        <w:footnoteRef/>
      </w:r>
      <w:r w:rsidRPr="008B79AF">
        <w:rPr>
          <w:lang w:val="en-CA"/>
        </w:rPr>
        <w:t xml:space="preserve"> </w:t>
      </w:r>
      <w:r w:rsidRPr="008B79AF">
        <w:rPr>
          <w:lang w:val="en-CA"/>
        </w:rPr>
        <w:tab/>
        <w:t>A.</w:t>
      </w:r>
      <w:r w:rsidR="006A5977">
        <w:rPr>
          <w:lang w:val="en-CA"/>
        </w:rPr>
        <w:t>S.</w:t>
      </w:r>
      <w:r w:rsidRPr="008B79AF">
        <w:rPr>
          <w:lang w:val="en-CA"/>
        </w:rPr>
        <w:t xml:space="preserve"> at 178 to 196.</w:t>
      </w:r>
    </w:p>
  </w:footnote>
  <w:footnote w:id="6">
    <w:p w14:paraId="5114AD09" w14:textId="455B10AA" w:rsidR="008D1EC7" w:rsidRPr="008B79AF" w:rsidRDefault="008D1EC7" w:rsidP="00D9147E">
      <w:pPr>
        <w:pStyle w:val="Notedebasdepage"/>
        <w:rPr>
          <w:lang w:val="en-CA"/>
        </w:rPr>
      </w:pPr>
      <w:r>
        <w:rPr>
          <w:rStyle w:val="Appelnotedebasdep"/>
        </w:rPr>
        <w:footnoteRef/>
      </w:r>
      <w:r w:rsidRPr="00536DE7">
        <w:rPr>
          <w:lang w:val="en-CA"/>
        </w:rPr>
        <w:t xml:space="preserve"> </w:t>
      </w:r>
      <w:r w:rsidRPr="00536DE7">
        <w:rPr>
          <w:lang w:val="en-CA"/>
        </w:rPr>
        <w:tab/>
      </w:r>
      <w:r w:rsidRPr="00E44A1E">
        <w:rPr>
          <w:lang w:val="en-CA"/>
        </w:rPr>
        <w:t>Case management order, November 27, 2019, A.</w:t>
      </w:r>
      <w:r w:rsidR="006A5977">
        <w:rPr>
          <w:lang w:val="en-CA"/>
        </w:rPr>
        <w:t>S.</w:t>
      </w:r>
      <w:r w:rsidRPr="00E44A1E">
        <w:rPr>
          <w:lang w:val="en-CA"/>
        </w:rPr>
        <w:t xml:space="preserve"> at 135; R.</w:t>
      </w:r>
      <w:r w:rsidR="006A5977">
        <w:rPr>
          <w:lang w:val="en-CA"/>
        </w:rPr>
        <w:t>S.</w:t>
      </w:r>
      <w:r w:rsidRPr="00E44A1E">
        <w:rPr>
          <w:lang w:val="en-CA"/>
        </w:rPr>
        <w:t xml:space="preserve"> at para.</w:t>
      </w:r>
      <w:r w:rsidRPr="00536DE7">
        <w:rPr>
          <w:lang w:val="en-CA"/>
        </w:rPr>
        <w:t xml:space="preserve"> </w:t>
      </w:r>
      <w:r w:rsidRPr="008B79AF">
        <w:rPr>
          <w:lang w:val="en-CA"/>
        </w:rPr>
        <w:t>7.</w:t>
      </w:r>
    </w:p>
  </w:footnote>
  <w:footnote w:id="7">
    <w:p w14:paraId="213F000C" w14:textId="0D900E41" w:rsidR="008D1EC7" w:rsidRPr="00536DE7" w:rsidRDefault="008D1EC7" w:rsidP="00D9147E">
      <w:pPr>
        <w:pStyle w:val="Notedebasdepage"/>
        <w:rPr>
          <w:lang w:val="en-CA"/>
        </w:rPr>
      </w:pPr>
      <w:r>
        <w:rPr>
          <w:rStyle w:val="Appelnotedebasdep"/>
        </w:rPr>
        <w:footnoteRef/>
      </w:r>
      <w:r w:rsidRPr="00536DE7">
        <w:rPr>
          <w:lang w:val="en-CA"/>
        </w:rPr>
        <w:t xml:space="preserve"> </w:t>
      </w:r>
      <w:r w:rsidRPr="00536DE7">
        <w:rPr>
          <w:lang w:val="en-CA"/>
        </w:rPr>
        <w:tab/>
      </w:r>
      <w:r w:rsidRPr="00E44A1E">
        <w:rPr>
          <w:i/>
          <w:lang w:val="en-CA"/>
        </w:rPr>
        <w:t>MacDonald Estate v. Martin</w:t>
      </w:r>
      <w:r w:rsidRPr="00E44A1E">
        <w:rPr>
          <w:lang w:val="en-CA"/>
        </w:rPr>
        <w:t xml:space="preserve">, [1990] 3 S.C.R. </w:t>
      </w:r>
      <w:r w:rsidRPr="00536DE7">
        <w:rPr>
          <w:lang w:val="en-CA"/>
        </w:rPr>
        <w:t>1235.</w:t>
      </w:r>
    </w:p>
  </w:footnote>
  <w:footnote w:id="8">
    <w:p w14:paraId="08F194AB" w14:textId="2B7369A6" w:rsidR="008D1EC7" w:rsidRPr="00536DE7" w:rsidRDefault="008D1EC7" w:rsidP="00D9147E">
      <w:pPr>
        <w:pStyle w:val="Notedebasdepage"/>
        <w:rPr>
          <w:lang w:val="en-CA"/>
        </w:rPr>
      </w:pPr>
      <w:r>
        <w:rPr>
          <w:rStyle w:val="Appelnotedebasdep"/>
        </w:rPr>
        <w:footnoteRef/>
      </w:r>
      <w:r w:rsidRPr="008B79AF">
        <w:rPr>
          <w:lang w:val="en-CA"/>
        </w:rPr>
        <w:t xml:space="preserve"> </w:t>
      </w:r>
      <w:r w:rsidRPr="008B79AF">
        <w:rPr>
          <w:lang w:val="en-CA"/>
        </w:rPr>
        <w:tab/>
      </w:r>
      <w:r w:rsidRPr="008B79AF">
        <w:rPr>
          <w:i/>
          <w:lang w:val="en-CA"/>
        </w:rPr>
        <w:t>Dussault</w:t>
      </w:r>
      <w:r w:rsidRPr="008B79AF">
        <w:rPr>
          <w:lang w:val="en-CA"/>
        </w:rPr>
        <w:t xml:space="preserve"> </w:t>
      </w:r>
      <w:r w:rsidRPr="008B79AF">
        <w:rPr>
          <w:i/>
          <w:lang w:val="en-CA"/>
        </w:rPr>
        <w:t>c.</w:t>
      </w:r>
      <w:r w:rsidRPr="008B79AF">
        <w:rPr>
          <w:lang w:val="en-CA"/>
        </w:rPr>
        <w:t xml:space="preserve"> </w:t>
      </w:r>
      <w:r w:rsidRPr="008B79AF">
        <w:rPr>
          <w:i/>
          <w:lang w:val="en-CA"/>
        </w:rPr>
        <w:t>9007-5433 Québec inc.</w:t>
      </w:r>
      <w:r w:rsidRPr="008B79AF">
        <w:rPr>
          <w:lang w:val="en-CA"/>
        </w:rPr>
        <w:t xml:space="preserve">, 2020 QCCA 853 at para. </w:t>
      </w:r>
      <w:r w:rsidRPr="00E44A1E">
        <w:rPr>
          <w:lang w:val="en-CA"/>
        </w:rPr>
        <w:t xml:space="preserve">17; </w:t>
      </w:r>
      <w:proofErr w:type="spellStart"/>
      <w:r w:rsidRPr="00E44A1E">
        <w:rPr>
          <w:i/>
          <w:lang w:val="en-CA"/>
        </w:rPr>
        <w:t>Heafey</w:t>
      </w:r>
      <w:proofErr w:type="spellEnd"/>
      <w:r w:rsidRPr="00E44A1E">
        <w:rPr>
          <w:lang w:val="en-CA"/>
        </w:rPr>
        <w:t xml:space="preserve"> </w:t>
      </w:r>
      <w:r w:rsidRPr="00E44A1E">
        <w:rPr>
          <w:i/>
          <w:lang w:val="en-CA"/>
        </w:rPr>
        <w:t>c.</w:t>
      </w:r>
      <w:r w:rsidRPr="00E44A1E">
        <w:rPr>
          <w:lang w:val="en-CA"/>
        </w:rPr>
        <w:t xml:space="preserve"> </w:t>
      </w:r>
      <w:proofErr w:type="spellStart"/>
      <w:r w:rsidRPr="00E44A1E">
        <w:rPr>
          <w:i/>
          <w:lang w:val="en-CA"/>
        </w:rPr>
        <w:t>Dormani</w:t>
      </w:r>
      <w:proofErr w:type="spellEnd"/>
      <w:r w:rsidRPr="00E44A1E">
        <w:rPr>
          <w:lang w:val="en-CA"/>
        </w:rPr>
        <w:t>, 2018 QCCA 421 at para.</w:t>
      </w:r>
      <w:r w:rsidRPr="00536DE7">
        <w:rPr>
          <w:lang w:val="en-CA"/>
        </w:rPr>
        <w:t xml:space="preserve"> 24.</w:t>
      </w:r>
    </w:p>
  </w:footnote>
  <w:footnote w:id="9">
    <w:p w14:paraId="36E12276" w14:textId="5ACBB00E" w:rsidR="008D1EC7" w:rsidRPr="00536DE7" w:rsidRDefault="008D1EC7" w:rsidP="00D9147E">
      <w:pPr>
        <w:pStyle w:val="Notedebasdepage"/>
        <w:rPr>
          <w:lang w:val="en-CA"/>
        </w:rPr>
      </w:pPr>
      <w:r>
        <w:rPr>
          <w:rStyle w:val="Appelnotedebasdep"/>
        </w:rPr>
        <w:footnoteRef/>
      </w:r>
      <w:r w:rsidRPr="006A5977">
        <w:t xml:space="preserve"> </w:t>
      </w:r>
      <w:r w:rsidRPr="006A5977">
        <w:tab/>
      </w:r>
      <w:r w:rsidRPr="006A5977">
        <w:rPr>
          <w:i/>
        </w:rPr>
        <w:t>Lac d'Amiante</w:t>
      </w:r>
      <w:r w:rsidRPr="006A5977">
        <w:t>,</w:t>
      </w:r>
      <w:r w:rsidRPr="006A5977">
        <w:rPr>
          <w:i/>
        </w:rPr>
        <w:t xml:space="preserve"> supra </w:t>
      </w:r>
      <w:r w:rsidRPr="006A5977">
        <w:t xml:space="preserve">note </w:t>
      </w:r>
      <w:r>
        <w:fldChar w:fldCharType="begin"/>
      </w:r>
      <w:r w:rsidRPr="006A5977">
        <w:instrText xml:space="preserve"> NOTEREF _Ref93316435 \h </w:instrText>
      </w:r>
      <w:r>
        <w:fldChar w:fldCharType="separate"/>
      </w:r>
      <w:r w:rsidRPr="006A5977">
        <w:t>2</w:t>
      </w:r>
      <w:r>
        <w:fldChar w:fldCharType="end"/>
      </w:r>
      <w:r w:rsidRPr="006A5977">
        <w:t xml:space="preserve"> at paras. </w:t>
      </w:r>
      <w:r w:rsidRPr="00536DE7">
        <w:rPr>
          <w:lang w:val="en-CA"/>
        </w:rPr>
        <w:t xml:space="preserve">53 and 79. </w:t>
      </w:r>
    </w:p>
  </w:footnote>
  <w:footnote w:id="10">
    <w:p w14:paraId="75F3E780" w14:textId="75D7B0FD" w:rsidR="008D1EC7" w:rsidRPr="008B79AF" w:rsidRDefault="008D1EC7" w:rsidP="00D9147E">
      <w:pPr>
        <w:pStyle w:val="Notedebasdepage"/>
        <w:rPr>
          <w:lang w:val="en-CA"/>
        </w:rPr>
      </w:pPr>
      <w:r w:rsidRPr="00491AF7">
        <w:rPr>
          <w:rStyle w:val="Appelnotedebasdep"/>
        </w:rPr>
        <w:footnoteRef/>
      </w:r>
      <w:r w:rsidRPr="00536DE7">
        <w:rPr>
          <w:lang w:val="en-CA"/>
        </w:rPr>
        <w:t xml:space="preserve"> </w:t>
      </w:r>
      <w:r w:rsidRPr="00536DE7">
        <w:rPr>
          <w:lang w:val="en-CA"/>
        </w:rPr>
        <w:tab/>
      </w:r>
      <w:proofErr w:type="spellStart"/>
      <w:r w:rsidRPr="00E44A1E">
        <w:rPr>
          <w:i/>
          <w:lang w:val="en-CA"/>
        </w:rPr>
        <w:t>Juman</w:t>
      </w:r>
      <w:proofErr w:type="spellEnd"/>
      <w:r w:rsidRPr="006A5977">
        <w:rPr>
          <w:lang w:val="en-CA"/>
        </w:rPr>
        <w:t xml:space="preserve">, </w:t>
      </w:r>
      <w:r w:rsidRPr="00E44A1E">
        <w:rPr>
          <w:i/>
          <w:lang w:val="en-CA"/>
        </w:rPr>
        <w:t xml:space="preserve">supra </w:t>
      </w:r>
      <w:r w:rsidRPr="00E44A1E">
        <w:rPr>
          <w:lang w:val="en-CA"/>
        </w:rPr>
        <w:t>note</w:t>
      </w:r>
      <w:r w:rsidRPr="00536DE7">
        <w:rPr>
          <w:lang w:val="en-CA"/>
        </w:rPr>
        <w:t xml:space="preserve"> </w:t>
      </w:r>
      <w:r>
        <w:fldChar w:fldCharType="begin"/>
      </w:r>
      <w:r w:rsidRPr="00536DE7">
        <w:rPr>
          <w:lang w:val="en-CA"/>
        </w:rPr>
        <w:instrText xml:space="preserve"> NOTEREF _Ref93316435 \h </w:instrText>
      </w:r>
      <w:r>
        <w:fldChar w:fldCharType="separate"/>
      </w:r>
      <w:r w:rsidRPr="00536DE7">
        <w:rPr>
          <w:lang w:val="en-CA"/>
        </w:rPr>
        <w:t>2</w:t>
      </w:r>
      <w:r>
        <w:fldChar w:fldCharType="end"/>
      </w:r>
      <w:r w:rsidRPr="00342B25">
        <w:rPr>
          <w:lang w:val="en-CA"/>
        </w:rPr>
        <w:t xml:space="preserve"> </w:t>
      </w:r>
      <w:r w:rsidRPr="00E44A1E">
        <w:rPr>
          <w:lang w:val="en-CA"/>
        </w:rPr>
        <w:t>at para.</w:t>
      </w:r>
      <w:r w:rsidRPr="00536DE7">
        <w:rPr>
          <w:lang w:val="en-CA"/>
        </w:rPr>
        <w:t xml:space="preserve"> </w:t>
      </w:r>
      <w:r w:rsidRPr="008B79AF">
        <w:rPr>
          <w:lang w:val="en-CA"/>
        </w:rPr>
        <w:t>27.</w:t>
      </w:r>
    </w:p>
  </w:footnote>
  <w:footnote w:id="11">
    <w:p w14:paraId="29050327" w14:textId="7D6E0F47" w:rsidR="008D1EC7" w:rsidRPr="00491AF7" w:rsidRDefault="008D1EC7" w:rsidP="00D9147E">
      <w:pPr>
        <w:pStyle w:val="Notedebasdepage"/>
      </w:pPr>
      <w:r w:rsidRPr="00491AF7">
        <w:rPr>
          <w:rStyle w:val="Appelnotedebasdep"/>
        </w:rPr>
        <w:footnoteRef/>
      </w:r>
      <w:r w:rsidRPr="00536DE7">
        <w:rPr>
          <w:lang w:val="en-CA"/>
        </w:rPr>
        <w:t xml:space="preserve"> </w:t>
      </w:r>
      <w:r w:rsidRPr="00536DE7">
        <w:rPr>
          <w:lang w:val="en-CA"/>
        </w:rPr>
        <w:tab/>
      </w:r>
      <w:proofErr w:type="spellStart"/>
      <w:r w:rsidRPr="00E44A1E">
        <w:rPr>
          <w:i/>
          <w:lang w:val="en-CA"/>
        </w:rPr>
        <w:t>Juman</w:t>
      </w:r>
      <w:proofErr w:type="spellEnd"/>
      <w:r w:rsidRPr="006A5977">
        <w:rPr>
          <w:lang w:val="en-CA"/>
        </w:rPr>
        <w:t>,</w:t>
      </w:r>
      <w:r w:rsidRPr="00E44A1E">
        <w:rPr>
          <w:i/>
          <w:lang w:val="en-CA"/>
        </w:rPr>
        <w:t xml:space="preserve"> supra </w:t>
      </w:r>
      <w:r w:rsidRPr="00E44A1E">
        <w:rPr>
          <w:lang w:val="en-CA"/>
        </w:rPr>
        <w:t>note</w:t>
      </w:r>
      <w:r w:rsidRPr="00536DE7">
        <w:rPr>
          <w:lang w:val="en-CA"/>
        </w:rPr>
        <w:t xml:space="preserve"> </w:t>
      </w:r>
      <w:r>
        <w:fldChar w:fldCharType="begin"/>
      </w:r>
      <w:r w:rsidRPr="00536DE7">
        <w:rPr>
          <w:lang w:val="en-CA"/>
        </w:rPr>
        <w:instrText xml:space="preserve"> NOTEREF _Ref93316435 \h </w:instrText>
      </w:r>
      <w:r>
        <w:fldChar w:fldCharType="separate"/>
      </w:r>
      <w:r w:rsidRPr="00536DE7">
        <w:rPr>
          <w:lang w:val="en-CA"/>
        </w:rPr>
        <w:t>2</w:t>
      </w:r>
      <w:r>
        <w:fldChar w:fldCharType="end"/>
      </w:r>
      <w:r w:rsidRPr="00342B25">
        <w:rPr>
          <w:lang w:val="en-CA"/>
        </w:rPr>
        <w:t xml:space="preserve"> </w:t>
      </w:r>
      <w:r w:rsidRPr="00E44A1E">
        <w:rPr>
          <w:lang w:val="en-CA"/>
        </w:rPr>
        <w:t>at para.</w:t>
      </w:r>
      <w:r w:rsidRPr="00536DE7">
        <w:rPr>
          <w:lang w:val="en-CA"/>
        </w:rPr>
        <w:t xml:space="preserve"> </w:t>
      </w:r>
      <w:r w:rsidRPr="00491AF7">
        <w:t>30.</w:t>
      </w:r>
    </w:p>
  </w:footnote>
  <w:footnote w:id="12">
    <w:p w14:paraId="4056A724" w14:textId="1A3EA6D2" w:rsidR="008D1EC7" w:rsidRPr="00491AF7" w:rsidRDefault="008D1EC7" w:rsidP="00D9147E">
      <w:pPr>
        <w:pStyle w:val="Notedebasdepage"/>
      </w:pPr>
      <w:r w:rsidRPr="00491AF7">
        <w:rPr>
          <w:rStyle w:val="Appelnotedebasdep"/>
        </w:rPr>
        <w:footnoteRef/>
      </w:r>
      <w:r w:rsidRPr="00491AF7">
        <w:t xml:space="preserve"> </w:t>
      </w:r>
      <w:r w:rsidRPr="00491AF7">
        <w:tab/>
      </w:r>
      <w:r w:rsidRPr="00E44A1E">
        <w:rPr>
          <w:i/>
        </w:rPr>
        <w:t>Lac d'Amiante</w:t>
      </w:r>
      <w:r w:rsidRPr="006A5977">
        <w:t>,</w:t>
      </w:r>
      <w:r w:rsidRPr="00E44A1E">
        <w:rPr>
          <w:i/>
        </w:rPr>
        <w:t xml:space="preserve"> supra </w:t>
      </w:r>
      <w:r w:rsidRPr="00E44A1E">
        <w:t>note</w:t>
      </w:r>
      <w:r>
        <w:t xml:space="preserve"> </w:t>
      </w:r>
      <w:r>
        <w:fldChar w:fldCharType="begin"/>
      </w:r>
      <w:r>
        <w:instrText xml:space="preserve"> NOTEREF _Ref93316435 \h </w:instrText>
      </w:r>
      <w:r>
        <w:fldChar w:fldCharType="separate"/>
      </w:r>
      <w:r>
        <w:t>2</w:t>
      </w:r>
      <w:r>
        <w:fldChar w:fldCharType="end"/>
      </w:r>
      <w:r>
        <w:t xml:space="preserve"> </w:t>
      </w:r>
      <w:r w:rsidRPr="00E44A1E">
        <w:t>at para</w:t>
      </w:r>
      <w:r>
        <w:t>s</w:t>
      </w:r>
      <w:r w:rsidRPr="00E44A1E">
        <w:t>.</w:t>
      </w:r>
      <w:r w:rsidRPr="00491AF7">
        <w:t xml:space="preserve"> 64</w:t>
      </w:r>
      <w:r>
        <w:t>–</w:t>
      </w:r>
      <w:r w:rsidRPr="00491AF7">
        <w:t>65, 76.</w:t>
      </w:r>
    </w:p>
  </w:footnote>
  <w:footnote w:id="13">
    <w:p w14:paraId="5756DDDA" w14:textId="09F3561F" w:rsidR="008D1EC7" w:rsidRDefault="008D1EC7" w:rsidP="00D9147E">
      <w:pPr>
        <w:pStyle w:val="Notedebasdepage"/>
      </w:pPr>
      <w:r w:rsidRPr="00491AF7">
        <w:rPr>
          <w:rStyle w:val="Appelnotedebasdep"/>
        </w:rPr>
        <w:footnoteRef/>
      </w:r>
      <w:r w:rsidRPr="008B79AF">
        <w:t xml:space="preserve"> </w:t>
      </w:r>
      <w:r w:rsidRPr="008B79AF">
        <w:tab/>
      </w:r>
      <w:proofErr w:type="spellStart"/>
      <w:r w:rsidRPr="008B79AF">
        <w:rPr>
          <w:i/>
        </w:rPr>
        <w:t>Juman</w:t>
      </w:r>
      <w:proofErr w:type="spellEnd"/>
      <w:r w:rsidRPr="006A5977">
        <w:t>,</w:t>
      </w:r>
      <w:r w:rsidRPr="008B79AF">
        <w:rPr>
          <w:i/>
        </w:rPr>
        <w:t xml:space="preserve"> supra </w:t>
      </w:r>
      <w:r w:rsidRPr="008B79AF">
        <w:t xml:space="preserve">note </w:t>
      </w:r>
      <w:r>
        <w:fldChar w:fldCharType="begin"/>
      </w:r>
      <w:r w:rsidRPr="008B79AF">
        <w:instrText xml:space="preserve"> NOTEREF _Ref93316435 \h </w:instrText>
      </w:r>
      <w:r>
        <w:fldChar w:fldCharType="separate"/>
      </w:r>
      <w:r w:rsidRPr="008B79AF">
        <w:t>2</w:t>
      </w:r>
      <w:r>
        <w:fldChar w:fldCharType="end"/>
      </w:r>
      <w:r>
        <w:t xml:space="preserve"> </w:t>
      </w:r>
      <w:r w:rsidRPr="008B79AF">
        <w:t xml:space="preserve">at paras. </w:t>
      </w:r>
      <w:r w:rsidRPr="00E44A1E">
        <w:t xml:space="preserve">25, 51; </w:t>
      </w:r>
      <w:r w:rsidRPr="00E44A1E">
        <w:rPr>
          <w:i/>
        </w:rPr>
        <w:t xml:space="preserve">Lac d'Amiante, supra </w:t>
      </w:r>
      <w:r w:rsidRPr="00E44A1E">
        <w:t>note</w:t>
      </w:r>
      <w:r>
        <w:t xml:space="preserve"> </w:t>
      </w:r>
      <w:r>
        <w:fldChar w:fldCharType="begin"/>
      </w:r>
      <w:r>
        <w:instrText xml:space="preserve"> NOTEREF _Ref93316435 \h </w:instrText>
      </w:r>
      <w:r>
        <w:fldChar w:fldCharType="separate"/>
      </w:r>
      <w:r>
        <w:t>2</w:t>
      </w:r>
      <w:r>
        <w:fldChar w:fldCharType="end"/>
      </w:r>
      <w:r>
        <w:t xml:space="preserve"> </w:t>
      </w:r>
      <w:r w:rsidRPr="00E44A1E">
        <w:t>at para.</w:t>
      </w:r>
      <w:r>
        <w:t xml:space="preserve"> 74.</w:t>
      </w:r>
    </w:p>
  </w:footnote>
  <w:footnote w:id="14">
    <w:p w14:paraId="3A89E2DD" w14:textId="144946F4" w:rsidR="008D1EC7" w:rsidRPr="00D65180" w:rsidRDefault="008D1EC7" w:rsidP="00D9147E">
      <w:pPr>
        <w:pStyle w:val="Notedebasdepage"/>
      </w:pPr>
      <w:r>
        <w:rPr>
          <w:rStyle w:val="Appelnotedebasdep"/>
        </w:rPr>
        <w:footnoteRef/>
      </w:r>
      <w:r>
        <w:t xml:space="preserve"> </w:t>
      </w:r>
      <w:r>
        <w:tab/>
      </w:r>
      <w:r w:rsidRPr="00E44A1E">
        <w:rPr>
          <w:i/>
        </w:rPr>
        <w:t>Lac d’amiante</w:t>
      </w:r>
      <w:r w:rsidRPr="006A5977">
        <w:t>,</w:t>
      </w:r>
      <w:r w:rsidRPr="00E44A1E">
        <w:rPr>
          <w:i/>
        </w:rPr>
        <w:t xml:space="preserve"> supra </w:t>
      </w:r>
      <w:r w:rsidRPr="00E44A1E">
        <w:t>note</w:t>
      </w:r>
      <w:r>
        <w:t xml:space="preserve"> </w:t>
      </w:r>
      <w:r>
        <w:fldChar w:fldCharType="begin"/>
      </w:r>
      <w:r>
        <w:instrText xml:space="preserve"> NOTEREF _Ref93316435 \h </w:instrText>
      </w:r>
      <w:r>
        <w:fldChar w:fldCharType="separate"/>
      </w:r>
      <w:r>
        <w:t>2</w:t>
      </w:r>
      <w:r>
        <w:fldChar w:fldCharType="end"/>
      </w:r>
      <w:r>
        <w:t xml:space="preserve"> </w:t>
      </w:r>
      <w:r w:rsidRPr="00E44A1E">
        <w:t>at para.</w:t>
      </w:r>
      <w:r>
        <w:t xml:space="preserve"> 60.</w:t>
      </w:r>
    </w:p>
  </w:footnote>
  <w:footnote w:id="15">
    <w:p w14:paraId="56D11CFD" w14:textId="08B2B892" w:rsidR="008D1EC7" w:rsidRPr="008B79AF" w:rsidRDefault="008D1EC7" w:rsidP="00D9147E">
      <w:pPr>
        <w:pStyle w:val="Notedebasdepage"/>
        <w:rPr>
          <w:lang w:val="en-CA"/>
        </w:rPr>
      </w:pPr>
      <w:r>
        <w:rPr>
          <w:rStyle w:val="Appelnotedebasdep"/>
        </w:rPr>
        <w:footnoteRef/>
      </w:r>
      <w:r w:rsidRPr="008B79AF">
        <w:t xml:space="preserve"> </w:t>
      </w:r>
      <w:r w:rsidRPr="008B79AF">
        <w:tab/>
      </w:r>
      <w:proofErr w:type="spellStart"/>
      <w:r w:rsidRPr="008B79AF">
        <w:rPr>
          <w:i/>
        </w:rPr>
        <w:t>Juman</w:t>
      </w:r>
      <w:proofErr w:type="spellEnd"/>
      <w:r w:rsidRPr="006A5977">
        <w:t>,</w:t>
      </w:r>
      <w:r w:rsidRPr="008B79AF">
        <w:rPr>
          <w:i/>
        </w:rPr>
        <w:t xml:space="preserve"> supra </w:t>
      </w:r>
      <w:r w:rsidRPr="008B79AF">
        <w:t xml:space="preserve">note </w:t>
      </w:r>
      <w:r>
        <w:fldChar w:fldCharType="begin"/>
      </w:r>
      <w:r w:rsidRPr="008B79AF">
        <w:instrText xml:space="preserve"> NOTEREF _Ref93316435 \h </w:instrText>
      </w:r>
      <w:r>
        <w:fldChar w:fldCharType="separate"/>
      </w:r>
      <w:r w:rsidRPr="008B79AF">
        <w:t>2</w:t>
      </w:r>
      <w:r>
        <w:fldChar w:fldCharType="end"/>
      </w:r>
      <w:r w:rsidRPr="008B79AF">
        <w:t xml:space="preserve"> at para. </w:t>
      </w:r>
      <w:r w:rsidRPr="00ED2235">
        <w:rPr>
          <w:lang w:val="en-CA"/>
        </w:rPr>
        <w:t xml:space="preserve">56, see also para. </w:t>
      </w:r>
      <w:r w:rsidRPr="008B79AF">
        <w:rPr>
          <w:lang w:val="en-CA"/>
        </w:rPr>
        <w:t>27.</w:t>
      </w:r>
    </w:p>
  </w:footnote>
  <w:footnote w:id="16">
    <w:p w14:paraId="2F51F48C" w14:textId="752FD4E1" w:rsidR="008D1EC7" w:rsidRPr="008B79AF" w:rsidRDefault="008D1EC7">
      <w:pPr>
        <w:pStyle w:val="Notedebasdepage"/>
        <w:rPr>
          <w:lang w:val="en-CA"/>
        </w:rPr>
      </w:pPr>
      <w:r>
        <w:rPr>
          <w:rStyle w:val="Appelnotedebasdep"/>
        </w:rPr>
        <w:footnoteRef/>
      </w:r>
      <w:r w:rsidRPr="008B79AF">
        <w:rPr>
          <w:lang w:val="en-CA"/>
        </w:rPr>
        <w:t xml:space="preserve"> </w:t>
      </w:r>
      <w:r w:rsidRPr="008B79AF">
        <w:rPr>
          <w:lang w:val="en-CA"/>
        </w:rPr>
        <w:tab/>
        <w:t>CQLR, c. C-12.</w:t>
      </w:r>
    </w:p>
  </w:footnote>
  <w:footnote w:id="17">
    <w:p w14:paraId="761F6224" w14:textId="1C468DFD" w:rsidR="008D1EC7" w:rsidRPr="008B79AF" w:rsidRDefault="008D1EC7" w:rsidP="00D9147E">
      <w:pPr>
        <w:pStyle w:val="Notedebasdepage"/>
        <w:rPr>
          <w:lang w:val="en-CA"/>
        </w:rPr>
      </w:pPr>
      <w:r>
        <w:rPr>
          <w:rStyle w:val="Appelnotedebasdep"/>
        </w:rPr>
        <w:footnoteRef/>
      </w:r>
      <w:r w:rsidRPr="008B79AF">
        <w:rPr>
          <w:lang w:val="en-CA"/>
        </w:rPr>
        <w:t xml:space="preserve"> </w:t>
      </w:r>
      <w:r w:rsidRPr="008B79AF">
        <w:rPr>
          <w:lang w:val="en-CA"/>
        </w:rPr>
        <w:tab/>
      </w:r>
      <w:r w:rsidRPr="008B79AF">
        <w:rPr>
          <w:i/>
          <w:lang w:val="en-CA"/>
        </w:rPr>
        <w:t xml:space="preserve">Lac </w:t>
      </w:r>
      <w:proofErr w:type="spellStart"/>
      <w:r w:rsidRPr="008B79AF">
        <w:rPr>
          <w:i/>
          <w:lang w:val="en-CA"/>
        </w:rPr>
        <w:t>d’amiante</w:t>
      </w:r>
      <w:proofErr w:type="spellEnd"/>
      <w:r w:rsidRPr="006A5977">
        <w:rPr>
          <w:lang w:val="en-CA"/>
        </w:rPr>
        <w:t>,</w:t>
      </w:r>
      <w:r w:rsidRPr="008B79AF">
        <w:rPr>
          <w:i/>
          <w:lang w:val="en-CA"/>
        </w:rPr>
        <w:t xml:space="preserve"> supra </w:t>
      </w:r>
      <w:r w:rsidRPr="008B79AF">
        <w:rPr>
          <w:lang w:val="en-CA"/>
        </w:rPr>
        <w:t xml:space="preserve">note </w:t>
      </w:r>
      <w:r>
        <w:fldChar w:fldCharType="begin"/>
      </w:r>
      <w:r w:rsidRPr="008B79AF">
        <w:rPr>
          <w:lang w:val="en-CA"/>
        </w:rPr>
        <w:instrText xml:space="preserve"> NOTEREF _Ref93316435 \h </w:instrText>
      </w:r>
      <w:r>
        <w:fldChar w:fldCharType="separate"/>
      </w:r>
      <w:r w:rsidRPr="008B79AF">
        <w:rPr>
          <w:lang w:val="en-CA"/>
        </w:rPr>
        <w:t>2</w:t>
      </w:r>
      <w:r>
        <w:fldChar w:fldCharType="end"/>
      </w:r>
      <w:r w:rsidRPr="008B79AF">
        <w:rPr>
          <w:lang w:val="en-CA"/>
        </w:rPr>
        <w:t xml:space="preserve"> at para. 75.</w:t>
      </w:r>
    </w:p>
  </w:footnote>
  <w:footnote w:id="18">
    <w:p w14:paraId="2D0503A1" w14:textId="6AB7B54F" w:rsidR="008D1EC7" w:rsidRPr="008B79AF" w:rsidRDefault="008D1EC7" w:rsidP="00D9147E">
      <w:pPr>
        <w:pStyle w:val="Notedebasdepage"/>
        <w:rPr>
          <w:lang w:val="en-CA"/>
        </w:rPr>
      </w:pPr>
      <w:r>
        <w:rPr>
          <w:rStyle w:val="Appelnotedebasdep"/>
        </w:rPr>
        <w:footnoteRef/>
      </w:r>
      <w:r w:rsidRPr="00536DE7">
        <w:rPr>
          <w:lang w:val="en-CA"/>
        </w:rPr>
        <w:t xml:space="preserve"> </w:t>
      </w:r>
      <w:r w:rsidRPr="00536DE7">
        <w:rPr>
          <w:lang w:val="en-CA"/>
        </w:rPr>
        <w:tab/>
      </w:r>
      <w:proofErr w:type="spellStart"/>
      <w:r w:rsidRPr="00E44A1E">
        <w:rPr>
          <w:i/>
          <w:lang w:val="en-CA"/>
        </w:rPr>
        <w:t>Juman</w:t>
      </w:r>
      <w:proofErr w:type="spellEnd"/>
      <w:r w:rsidRPr="006A5977">
        <w:rPr>
          <w:lang w:val="en-CA"/>
        </w:rPr>
        <w:t>,</w:t>
      </w:r>
      <w:r w:rsidRPr="00E44A1E">
        <w:rPr>
          <w:i/>
          <w:lang w:val="en-CA"/>
        </w:rPr>
        <w:t xml:space="preserve"> supra </w:t>
      </w:r>
      <w:r w:rsidRPr="00E44A1E">
        <w:rPr>
          <w:lang w:val="en-CA"/>
        </w:rPr>
        <w:t>note</w:t>
      </w:r>
      <w:r w:rsidRPr="00536DE7">
        <w:rPr>
          <w:lang w:val="en-CA"/>
        </w:rPr>
        <w:t xml:space="preserve"> </w:t>
      </w:r>
      <w:r>
        <w:fldChar w:fldCharType="begin"/>
      </w:r>
      <w:r w:rsidRPr="00536DE7">
        <w:rPr>
          <w:lang w:val="en-CA"/>
        </w:rPr>
        <w:instrText xml:space="preserve"> NOTEREF _Ref93316435 \h </w:instrText>
      </w:r>
      <w:r>
        <w:fldChar w:fldCharType="separate"/>
      </w:r>
      <w:r w:rsidRPr="00536DE7">
        <w:rPr>
          <w:lang w:val="en-CA"/>
        </w:rPr>
        <w:t>2</w:t>
      </w:r>
      <w:r>
        <w:fldChar w:fldCharType="end"/>
      </w:r>
      <w:r w:rsidRPr="00CF0D78">
        <w:rPr>
          <w:lang w:val="en-CA"/>
        </w:rPr>
        <w:t xml:space="preserve"> </w:t>
      </w:r>
      <w:r w:rsidRPr="00E44A1E">
        <w:rPr>
          <w:lang w:val="en-CA"/>
        </w:rPr>
        <w:t>at para.</w:t>
      </w:r>
      <w:r w:rsidRPr="00536DE7">
        <w:rPr>
          <w:lang w:val="en-CA"/>
        </w:rPr>
        <w:t xml:space="preserve"> </w:t>
      </w:r>
      <w:r w:rsidRPr="008B79AF">
        <w:rPr>
          <w:lang w:val="en-CA"/>
        </w:rPr>
        <w:t>1.</w:t>
      </w:r>
    </w:p>
  </w:footnote>
  <w:footnote w:id="19">
    <w:p w14:paraId="3468F767" w14:textId="55904A6E" w:rsidR="008D1EC7" w:rsidRPr="007445C4" w:rsidRDefault="008D1EC7" w:rsidP="00D9147E">
      <w:pPr>
        <w:pStyle w:val="Notedebasdepage"/>
        <w:rPr>
          <w:lang w:val="en-CA"/>
        </w:rPr>
      </w:pPr>
      <w:r>
        <w:rPr>
          <w:rStyle w:val="Appelnotedebasdep"/>
        </w:rPr>
        <w:footnoteRef/>
      </w:r>
      <w:r w:rsidRPr="00536DE7">
        <w:rPr>
          <w:lang w:val="en-CA"/>
        </w:rPr>
        <w:t xml:space="preserve"> </w:t>
      </w:r>
      <w:r w:rsidRPr="00536DE7">
        <w:rPr>
          <w:lang w:val="en-CA"/>
        </w:rPr>
        <w:tab/>
      </w:r>
      <w:proofErr w:type="spellStart"/>
      <w:r w:rsidRPr="00E44A1E">
        <w:rPr>
          <w:i/>
          <w:lang w:val="en-CA"/>
        </w:rPr>
        <w:t>Juman</w:t>
      </w:r>
      <w:proofErr w:type="spellEnd"/>
      <w:r w:rsidRPr="006A5977">
        <w:rPr>
          <w:lang w:val="en-CA"/>
        </w:rPr>
        <w:t>,</w:t>
      </w:r>
      <w:r w:rsidRPr="00E44A1E">
        <w:rPr>
          <w:i/>
          <w:lang w:val="en-CA"/>
        </w:rPr>
        <w:t xml:space="preserve"> supra </w:t>
      </w:r>
      <w:r w:rsidRPr="00E44A1E">
        <w:rPr>
          <w:lang w:val="en-CA"/>
        </w:rPr>
        <w:t>note</w:t>
      </w:r>
      <w:r w:rsidRPr="00536DE7">
        <w:rPr>
          <w:lang w:val="en-CA"/>
        </w:rPr>
        <w:t xml:space="preserve"> </w:t>
      </w:r>
      <w:r>
        <w:fldChar w:fldCharType="begin"/>
      </w:r>
      <w:r w:rsidRPr="00536DE7">
        <w:rPr>
          <w:lang w:val="en-CA"/>
        </w:rPr>
        <w:instrText xml:space="preserve"> NOTEREF _Ref93316435 \h </w:instrText>
      </w:r>
      <w:r>
        <w:fldChar w:fldCharType="separate"/>
      </w:r>
      <w:r w:rsidRPr="00536DE7">
        <w:rPr>
          <w:lang w:val="en-CA"/>
        </w:rPr>
        <w:t>2</w:t>
      </w:r>
      <w:r>
        <w:fldChar w:fldCharType="end"/>
      </w:r>
      <w:r w:rsidRPr="00CF0D78">
        <w:rPr>
          <w:lang w:val="en-CA"/>
        </w:rPr>
        <w:t xml:space="preserve"> </w:t>
      </w:r>
      <w:r w:rsidRPr="00E44A1E">
        <w:rPr>
          <w:lang w:val="en-CA"/>
        </w:rPr>
        <w:t>at para.</w:t>
      </w:r>
      <w:r w:rsidRPr="00536DE7">
        <w:rPr>
          <w:lang w:val="en-CA"/>
        </w:rPr>
        <w:t xml:space="preserve"> </w:t>
      </w:r>
      <w:r w:rsidRPr="007445C4">
        <w:rPr>
          <w:lang w:val="en-CA"/>
        </w:rPr>
        <w:t>53.</w:t>
      </w:r>
    </w:p>
  </w:footnote>
  <w:footnote w:id="20">
    <w:p w14:paraId="39E801EF" w14:textId="4F238B56" w:rsidR="008D1EC7" w:rsidRPr="00B75303" w:rsidRDefault="008D1EC7" w:rsidP="00D9147E">
      <w:pPr>
        <w:pStyle w:val="Notedebasdepage"/>
        <w:rPr>
          <w:lang w:val="en-CA"/>
        </w:rPr>
      </w:pPr>
      <w:r>
        <w:rPr>
          <w:rStyle w:val="Appelnotedebasdep"/>
        </w:rPr>
        <w:footnoteRef/>
      </w:r>
      <w:r w:rsidRPr="00B75303">
        <w:rPr>
          <w:lang w:val="en-CA"/>
        </w:rPr>
        <w:t xml:space="preserve"> </w:t>
      </w:r>
      <w:r w:rsidRPr="00B75303">
        <w:rPr>
          <w:lang w:val="en-CA"/>
        </w:rPr>
        <w:tab/>
      </w:r>
      <w:r w:rsidRPr="00E44A1E">
        <w:rPr>
          <w:i/>
          <w:lang w:val="en-CA"/>
        </w:rPr>
        <w:t>Dussault</w:t>
      </w:r>
      <w:r w:rsidRPr="006A5977">
        <w:rPr>
          <w:lang w:val="en-CA"/>
        </w:rPr>
        <w:t>,</w:t>
      </w:r>
      <w:r w:rsidRPr="00E44A1E">
        <w:rPr>
          <w:i/>
          <w:lang w:val="en-CA"/>
        </w:rPr>
        <w:t xml:space="preserve"> supra </w:t>
      </w:r>
      <w:r w:rsidRPr="00E44A1E">
        <w:rPr>
          <w:lang w:val="en-CA"/>
        </w:rPr>
        <w:t>note</w:t>
      </w:r>
      <w:r w:rsidRPr="00B75303">
        <w:rPr>
          <w:lang w:val="en-CA"/>
        </w:rPr>
        <w:t xml:space="preserve"> </w:t>
      </w:r>
      <w:r>
        <w:fldChar w:fldCharType="begin"/>
      </w:r>
      <w:r w:rsidRPr="00B75303">
        <w:rPr>
          <w:lang w:val="en-CA"/>
        </w:rPr>
        <w:instrText xml:space="preserve"> NOTEREF _Ref93318623 \h </w:instrText>
      </w:r>
      <w:r>
        <w:fldChar w:fldCharType="separate"/>
      </w:r>
      <w:r>
        <w:rPr>
          <w:lang w:val="en-CA"/>
        </w:rPr>
        <w:t>8</w:t>
      </w:r>
      <w:r>
        <w:fldChar w:fldCharType="end"/>
      </w:r>
      <w:r w:rsidRPr="004F0FD7">
        <w:rPr>
          <w:lang w:val="en-CA"/>
        </w:rPr>
        <w:t xml:space="preserve"> </w:t>
      </w:r>
      <w:r w:rsidRPr="00E44A1E">
        <w:rPr>
          <w:lang w:val="en-CA"/>
        </w:rPr>
        <w:t>at para</w:t>
      </w:r>
      <w:r>
        <w:rPr>
          <w:lang w:val="en-CA"/>
        </w:rPr>
        <w:t>s</w:t>
      </w:r>
      <w:r w:rsidRPr="00E44A1E">
        <w:rPr>
          <w:lang w:val="en-CA"/>
        </w:rPr>
        <w:t>.</w:t>
      </w:r>
      <w:r w:rsidRPr="00B75303">
        <w:rPr>
          <w:lang w:val="en-CA"/>
        </w:rPr>
        <w:t xml:space="preserve"> </w:t>
      </w:r>
      <w:r w:rsidRPr="00E44A1E">
        <w:rPr>
          <w:lang w:val="en-CA"/>
        </w:rPr>
        <w:t>21</w:t>
      </w:r>
      <w:r>
        <w:rPr>
          <w:lang w:val="en-CA"/>
        </w:rPr>
        <w:t>–</w:t>
      </w:r>
      <w:r w:rsidRPr="00E44A1E">
        <w:rPr>
          <w:lang w:val="en-CA"/>
        </w:rPr>
        <w:t xml:space="preserve">23; </w:t>
      </w:r>
      <w:proofErr w:type="spellStart"/>
      <w:r w:rsidRPr="00E44A1E">
        <w:rPr>
          <w:i/>
          <w:lang w:val="en-CA"/>
        </w:rPr>
        <w:t>Heafey</w:t>
      </w:r>
      <w:proofErr w:type="spellEnd"/>
      <w:r w:rsidRPr="006A5977">
        <w:rPr>
          <w:lang w:val="en-CA"/>
        </w:rPr>
        <w:t>,</w:t>
      </w:r>
      <w:r w:rsidRPr="00E44A1E">
        <w:rPr>
          <w:i/>
          <w:lang w:val="en-CA"/>
        </w:rPr>
        <w:t xml:space="preserve"> supra</w:t>
      </w:r>
      <w:r w:rsidRPr="00E44A1E">
        <w:rPr>
          <w:lang w:val="en-CA"/>
        </w:rPr>
        <w:t xml:space="preserve"> note</w:t>
      </w:r>
      <w:r w:rsidRPr="00B75303">
        <w:rPr>
          <w:lang w:val="en-CA"/>
        </w:rPr>
        <w:t xml:space="preserve"> </w:t>
      </w:r>
      <w:r>
        <w:fldChar w:fldCharType="begin"/>
      </w:r>
      <w:r w:rsidRPr="00B75303">
        <w:rPr>
          <w:lang w:val="en-CA"/>
        </w:rPr>
        <w:instrText xml:space="preserve"> NOTEREF _Ref93318623 \h </w:instrText>
      </w:r>
      <w:r>
        <w:fldChar w:fldCharType="separate"/>
      </w:r>
      <w:r>
        <w:rPr>
          <w:lang w:val="en-CA"/>
        </w:rPr>
        <w:t>8</w:t>
      </w:r>
      <w:r>
        <w:fldChar w:fldCharType="end"/>
      </w:r>
      <w:r w:rsidRPr="00B75303">
        <w:rPr>
          <w:lang w:val="en-CA"/>
        </w:rPr>
        <w:t>.</w:t>
      </w:r>
    </w:p>
  </w:footnote>
  <w:footnote w:id="21">
    <w:p w14:paraId="149F0DA9" w14:textId="2B4997B7" w:rsidR="008D1EC7" w:rsidRPr="00ED2EA0" w:rsidRDefault="008D1EC7" w:rsidP="00D9147E">
      <w:pPr>
        <w:pStyle w:val="Notedebasdepage"/>
        <w:rPr>
          <w:lang w:val="en-CA"/>
        </w:rPr>
      </w:pPr>
      <w:r>
        <w:rPr>
          <w:rStyle w:val="Appelnotedebasdep"/>
        </w:rPr>
        <w:footnoteRef/>
      </w:r>
      <w:r w:rsidRPr="00FB1BC4">
        <w:rPr>
          <w:lang w:val="en-CA"/>
        </w:rPr>
        <w:t xml:space="preserve"> </w:t>
      </w:r>
      <w:r w:rsidRPr="00FB1BC4">
        <w:rPr>
          <w:lang w:val="en-CA"/>
        </w:rPr>
        <w:tab/>
      </w:r>
      <w:r w:rsidRPr="00E44A1E">
        <w:rPr>
          <w:i/>
          <w:lang w:val="en-CA"/>
        </w:rPr>
        <w:t>Dussault</w:t>
      </w:r>
      <w:r w:rsidRPr="006A5977">
        <w:rPr>
          <w:lang w:val="en-CA"/>
        </w:rPr>
        <w:t>,</w:t>
      </w:r>
      <w:r w:rsidRPr="00E44A1E">
        <w:rPr>
          <w:i/>
          <w:lang w:val="en-CA"/>
        </w:rPr>
        <w:t xml:space="preserve"> supra </w:t>
      </w:r>
      <w:r w:rsidRPr="00E44A1E">
        <w:rPr>
          <w:lang w:val="en-CA"/>
        </w:rPr>
        <w:t>note</w:t>
      </w:r>
      <w:r w:rsidRPr="00FB1BC4">
        <w:rPr>
          <w:lang w:val="en-CA"/>
        </w:rPr>
        <w:t xml:space="preserve"> </w:t>
      </w:r>
      <w:r>
        <w:fldChar w:fldCharType="begin"/>
      </w:r>
      <w:r w:rsidRPr="00FB1BC4">
        <w:rPr>
          <w:lang w:val="en-CA"/>
        </w:rPr>
        <w:instrText xml:space="preserve"> NOTEREF _Ref93318623 \h </w:instrText>
      </w:r>
      <w:r>
        <w:fldChar w:fldCharType="separate"/>
      </w:r>
      <w:r>
        <w:rPr>
          <w:lang w:val="en-CA"/>
        </w:rPr>
        <w:t>8</w:t>
      </w:r>
      <w:r>
        <w:fldChar w:fldCharType="end"/>
      </w:r>
      <w:r w:rsidRPr="004F0FD7">
        <w:rPr>
          <w:lang w:val="en-CA"/>
        </w:rPr>
        <w:t xml:space="preserve"> </w:t>
      </w:r>
      <w:r w:rsidRPr="00E44A1E">
        <w:rPr>
          <w:lang w:val="en-CA"/>
        </w:rPr>
        <w:t>at para.</w:t>
      </w:r>
      <w:r>
        <w:rPr>
          <w:lang w:val="en-CA"/>
        </w:rPr>
        <w:t xml:space="preserve"> 16.</w:t>
      </w:r>
    </w:p>
  </w:footnote>
  <w:footnote w:id="22">
    <w:p w14:paraId="34DBCC16" w14:textId="172AFA38" w:rsidR="008D1EC7" w:rsidRPr="00536DE7" w:rsidRDefault="008D1EC7" w:rsidP="00D9147E">
      <w:pPr>
        <w:pStyle w:val="Notedebasdepage"/>
      </w:pPr>
      <w:r>
        <w:rPr>
          <w:rStyle w:val="Appelnotedebasdep"/>
        </w:rPr>
        <w:footnoteRef/>
      </w:r>
      <w:r w:rsidRPr="005C3F9F">
        <w:rPr>
          <w:lang w:val="en-CA"/>
        </w:rPr>
        <w:t xml:space="preserve"> </w:t>
      </w:r>
      <w:r w:rsidRPr="005C3F9F">
        <w:rPr>
          <w:lang w:val="en-CA"/>
        </w:rPr>
        <w:tab/>
      </w:r>
      <w:proofErr w:type="spellStart"/>
      <w:r w:rsidRPr="00E44A1E">
        <w:rPr>
          <w:i/>
          <w:lang w:val="en-CA"/>
        </w:rPr>
        <w:t>Kazandjian</w:t>
      </w:r>
      <w:proofErr w:type="spellEnd"/>
      <w:r w:rsidRPr="00E44A1E">
        <w:rPr>
          <w:lang w:val="en-CA"/>
        </w:rPr>
        <w:t xml:space="preserve"> </w:t>
      </w:r>
      <w:r w:rsidRPr="00E44A1E">
        <w:rPr>
          <w:i/>
          <w:lang w:val="en-CA"/>
        </w:rPr>
        <w:t>c.</w:t>
      </w:r>
      <w:r w:rsidRPr="00E44A1E">
        <w:rPr>
          <w:lang w:val="en-CA"/>
        </w:rPr>
        <w:t xml:space="preserve"> </w:t>
      </w:r>
      <w:r w:rsidRPr="00E44A1E">
        <w:rPr>
          <w:i/>
          <w:lang w:val="en-CA"/>
        </w:rPr>
        <w:t>Burger King Restaurants of Canada Inc.</w:t>
      </w:r>
      <w:r w:rsidRPr="00E44A1E">
        <w:rPr>
          <w:lang w:val="en-CA"/>
        </w:rPr>
        <w:t>, 2015 QCCA 646 at para.</w:t>
      </w:r>
      <w:r>
        <w:rPr>
          <w:lang w:val="en-CA"/>
        </w:rPr>
        <w:t xml:space="preserve"> </w:t>
      </w:r>
      <w:r w:rsidRPr="00536DE7">
        <w:t xml:space="preserve">9; </w:t>
      </w:r>
      <w:proofErr w:type="spellStart"/>
      <w:r w:rsidRPr="00536DE7">
        <w:rPr>
          <w:i/>
        </w:rPr>
        <w:t>Iredale</w:t>
      </w:r>
      <w:proofErr w:type="spellEnd"/>
      <w:r w:rsidRPr="00536DE7">
        <w:t xml:space="preserve"> </w:t>
      </w:r>
      <w:r w:rsidRPr="00536DE7">
        <w:rPr>
          <w:i/>
        </w:rPr>
        <w:t>c.</w:t>
      </w:r>
      <w:r w:rsidRPr="00536DE7">
        <w:t xml:space="preserve"> </w:t>
      </w:r>
      <w:proofErr w:type="spellStart"/>
      <w:r w:rsidRPr="00536DE7">
        <w:rPr>
          <w:i/>
        </w:rPr>
        <w:t>Stroll</w:t>
      </w:r>
      <w:proofErr w:type="spellEnd"/>
      <w:r w:rsidRPr="00536DE7">
        <w:t>, 2007 QCCA 1779.</w:t>
      </w:r>
    </w:p>
  </w:footnote>
  <w:footnote w:id="23">
    <w:p w14:paraId="6F312A9A" w14:textId="3B5B7A7F" w:rsidR="008D1EC7" w:rsidRPr="00ED2EA0" w:rsidRDefault="008D1EC7">
      <w:pPr>
        <w:pStyle w:val="Notedebasdepage"/>
      </w:pPr>
      <w:r>
        <w:rPr>
          <w:rStyle w:val="Appelnotedebasdep"/>
        </w:rPr>
        <w:footnoteRef/>
      </w:r>
      <w:r>
        <w:t xml:space="preserve"> </w:t>
      </w:r>
      <w:r>
        <w:tab/>
      </w:r>
      <w:r w:rsidRPr="00E44A1E">
        <w:rPr>
          <w:i/>
        </w:rPr>
        <w:t>Métro inc.</w:t>
      </w:r>
      <w:r w:rsidRPr="00E44A1E">
        <w:t xml:space="preserve"> </w:t>
      </w:r>
      <w:r w:rsidRPr="00E44A1E">
        <w:rPr>
          <w:i/>
        </w:rPr>
        <w:t>c.</w:t>
      </w:r>
      <w:r w:rsidRPr="00E44A1E">
        <w:t xml:space="preserve"> </w:t>
      </w:r>
      <w:r w:rsidRPr="00E44A1E">
        <w:rPr>
          <w:i/>
        </w:rPr>
        <w:t>Regroupement des marchands actionnaires inc.</w:t>
      </w:r>
      <w:r w:rsidRPr="00E44A1E">
        <w:t>, [2004] R.J.Q.</w:t>
      </w:r>
      <w:r>
        <w:t xml:space="preserve"> </w:t>
      </w:r>
      <w:r w:rsidRPr="00E44A1E">
        <w:t>2665 (C.A.).</w:t>
      </w:r>
    </w:p>
  </w:footnote>
  <w:footnote w:id="24">
    <w:p w14:paraId="4C3C4224" w14:textId="74438F37" w:rsidR="008D1EC7" w:rsidRPr="007445C4" w:rsidRDefault="008D1EC7">
      <w:pPr>
        <w:pStyle w:val="Notedebasdepage"/>
        <w:rPr>
          <w:lang w:val="en-CA"/>
        </w:rPr>
      </w:pPr>
      <w:r>
        <w:rPr>
          <w:rStyle w:val="Appelnotedebasdep"/>
        </w:rPr>
        <w:footnoteRef/>
      </w:r>
      <w:r w:rsidRPr="007445C4">
        <w:rPr>
          <w:lang w:val="en-CA"/>
        </w:rPr>
        <w:t xml:space="preserve"> </w:t>
      </w:r>
      <w:r w:rsidRPr="007445C4">
        <w:rPr>
          <w:lang w:val="en-CA"/>
        </w:rPr>
        <w:tab/>
      </w:r>
      <w:r w:rsidRPr="00E44A1E">
        <w:rPr>
          <w:i/>
          <w:lang w:val="en-CA"/>
        </w:rPr>
        <w:t>Ibid</w:t>
      </w:r>
      <w:r w:rsidR="00D43138">
        <w:rPr>
          <w:i/>
          <w:lang w:val="en-CA"/>
        </w:rPr>
        <w:t>.</w:t>
      </w:r>
      <w:r w:rsidRPr="00E44A1E">
        <w:rPr>
          <w:i/>
          <w:lang w:val="en-CA"/>
        </w:rPr>
        <w:t xml:space="preserve"> </w:t>
      </w:r>
      <w:r w:rsidRPr="00E44A1E">
        <w:rPr>
          <w:lang w:val="en-CA"/>
        </w:rPr>
        <w:t>at para.</w:t>
      </w:r>
      <w:r w:rsidRPr="007445C4">
        <w:rPr>
          <w:lang w:val="en-CA"/>
        </w:rPr>
        <w:t xml:space="preserve"> 54.</w:t>
      </w:r>
    </w:p>
  </w:footnote>
  <w:footnote w:id="25">
    <w:p w14:paraId="3EC24402" w14:textId="71716117" w:rsidR="008D1EC7" w:rsidRPr="003413E0" w:rsidRDefault="008D1EC7">
      <w:pPr>
        <w:pStyle w:val="Notedebasdepage"/>
        <w:rPr>
          <w:lang w:val="en-CA"/>
        </w:rPr>
      </w:pPr>
      <w:r>
        <w:rPr>
          <w:rStyle w:val="Appelnotedebasdep"/>
        </w:rPr>
        <w:footnoteRef/>
      </w:r>
      <w:r w:rsidRPr="003413E0">
        <w:rPr>
          <w:lang w:val="en-CA"/>
        </w:rPr>
        <w:t xml:space="preserve"> </w:t>
      </w:r>
      <w:r w:rsidRPr="003413E0">
        <w:rPr>
          <w:lang w:val="en-CA"/>
        </w:rPr>
        <w:tab/>
      </w:r>
      <w:proofErr w:type="spellStart"/>
      <w:r w:rsidRPr="00E44A1E">
        <w:rPr>
          <w:i/>
          <w:lang w:val="en-CA"/>
        </w:rPr>
        <w:t>Heafey</w:t>
      </w:r>
      <w:proofErr w:type="spellEnd"/>
      <w:r w:rsidRPr="006A5977">
        <w:rPr>
          <w:lang w:val="en-CA"/>
        </w:rPr>
        <w:t>,</w:t>
      </w:r>
      <w:r w:rsidRPr="00E44A1E">
        <w:rPr>
          <w:i/>
          <w:lang w:val="en-CA"/>
        </w:rPr>
        <w:t xml:space="preserve"> supra </w:t>
      </w:r>
      <w:r w:rsidRPr="00E44A1E">
        <w:rPr>
          <w:lang w:val="en-CA"/>
        </w:rPr>
        <w:t>note</w:t>
      </w:r>
      <w:r w:rsidRPr="003413E0">
        <w:rPr>
          <w:lang w:val="en-CA"/>
        </w:rPr>
        <w:t xml:space="preserve"> </w:t>
      </w:r>
      <w:r>
        <w:fldChar w:fldCharType="begin"/>
      </w:r>
      <w:r w:rsidRPr="003413E0">
        <w:rPr>
          <w:lang w:val="en-CA"/>
        </w:rPr>
        <w:instrText xml:space="preserve"> NOTEREF _Ref93318623 \h </w:instrText>
      </w:r>
      <w:r>
        <w:fldChar w:fldCharType="separate"/>
      </w:r>
      <w:r>
        <w:rPr>
          <w:lang w:val="en-CA"/>
        </w:rPr>
        <w:t>8</w:t>
      </w:r>
      <w:r>
        <w:fldChar w:fldCharType="end"/>
      </w:r>
      <w:r w:rsidRPr="003413E0">
        <w:rPr>
          <w:lang w:val="en-CA"/>
        </w:rPr>
        <w:t>.</w:t>
      </w:r>
    </w:p>
  </w:footnote>
  <w:footnote w:id="26">
    <w:p w14:paraId="3DB7CDE7" w14:textId="182E53C5" w:rsidR="008D1EC7" w:rsidRPr="00ED2EA0" w:rsidRDefault="008D1EC7">
      <w:pPr>
        <w:pStyle w:val="Notedebasdepage"/>
        <w:rPr>
          <w:lang w:val="en-CA"/>
        </w:rPr>
      </w:pPr>
      <w:r>
        <w:rPr>
          <w:rStyle w:val="Appelnotedebasdep"/>
        </w:rPr>
        <w:footnoteRef/>
      </w:r>
      <w:r w:rsidRPr="005F7CDE">
        <w:rPr>
          <w:lang w:val="en-CA"/>
        </w:rPr>
        <w:t xml:space="preserve"> </w:t>
      </w:r>
      <w:r w:rsidRPr="005F7CDE">
        <w:rPr>
          <w:lang w:val="en-CA"/>
        </w:rPr>
        <w:tab/>
      </w:r>
      <w:r w:rsidRPr="00E44A1E">
        <w:rPr>
          <w:i/>
          <w:lang w:val="en-CA"/>
        </w:rPr>
        <w:t>MacDonald</w:t>
      </w:r>
      <w:r w:rsidRPr="006A5977">
        <w:rPr>
          <w:lang w:val="en-CA"/>
        </w:rPr>
        <w:t>,</w:t>
      </w:r>
      <w:r w:rsidRPr="00E44A1E">
        <w:rPr>
          <w:i/>
          <w:lang w:val="en-CA"/>
        </w:rPr>
        <w:t xml:space="preserve"> supra </w:t>
      </w:r>
      <w:r w:rsidRPr="00E44A1E">
        <w:rPr>
          <w:lang w:val="en-CA"/>
        </w:rPr>
        <w:t>note</w:t>
      </w:r>
      <w:r w:rsidRPr="005F7CDE">
        <w:rPr>
          <w:lang w:val="en-CA"/>
        </w:rPr>
        <w:t xml:space="preserve"> </w:t>
      </w:r>
      <w:r>
        <w:rPr>
          <w:lang w:val="en-CA"/>
        </w:rPr>
        <w:fldChar w:fldCharType="begin"/>
      </w:r>
      <w:r w:rsidRPr="005F7CDE">
        <w:rPr>
          <w:lang w:val="en-CA"/>
        </w:rPr>
        <w:instrText xml:space="preserve"> NOTEREF _Ref94507554 \h </w:instrText>
      </w:r>
      <w:r>
        <w:rPr>
          <w:lang w:val="en-CA"/>
        </w:rPr>
      </w:r>
      <w:r>
        <w:rPr>
          <w:lang w:val="en-CA"/>
        </w:rPr>
        <w:fldChar w:fldCharType="separate"/>
      </w:r>
      <w:r w:rsidRPr="005F7CDE">
        <w:rPr>
          <w:lang w:val="en-CA"/>
        </w:rPr>
        <w:t>7</w:t>
      </w:r>
      <w:r>
        <w:rPr>
          <w:lang w:val="en-CA"/>
        </w:rPr>
        <w:fldChar w:fldCharType="end"/>
      </w:r>
      <w:r>
        <w:rPr>
          <w:lang w:val="en-CA"/>
        </w:rPr>
        <w:t xml:space="preserve"> </w:t>
      </w:r>
      <w:r w:rsidRPr="00E44A1E">
        <w:rPr>
          <w:lang w:val="en-CA"/>
        </w:rPr>
        <w:t>at 1243.</w:t>
      </w:r>
      <w:r w:rsidRPr="005F7CDE">
        <w:rPr>
          <w:lang w:val="en-CA"/>
        </w:rPr>
        <w:t xml:space="preserve"> </w:t>
      </w:r>
      <w:r w:rsidRPr="00E44A1E">
        <w:rPr>
          <w:lang w:val="en-CA"/>
        </w:rPr>
        <w:t xml:space="preserve">See also </w:t>
      </w:r>
      <w:r w:rsidRPr="00E44A1E">
        <w:rPr>
          <w:i/>
          <w:lang w:val="en-CA"/>
        </w:rPr>
        <w:t>Ormiston v. Matrix Financial Corp</w:t>
      </w:r>
      <w:r w:rsidRPr="00E44A1E">
        <w:rPr>
          <w:lang w:val="en-CA"/>
        </w:rPr>
        <w:t>., 2002 SKQB 264 (</w:t>
      </w:r>
      <w:proofErr w:type="spellStart"/>
      <w:r w:rsidRPr="00E44A1E">
        <w:rPr>
          <w:lang w:val="en-CA"/>
        </w:rPr>
        <w:t>CanLII</w:t>
      </w:r>
      <w:proofErr w:type="spellEnd"/>
      <w:r w:rsidRPr="00E44A1E">
        <w:rPr>
          <w:lang w:val="en-CA"/>
        </w:rPr>
        <w:t>) at para.</w:t>
      </w:r>
      <w:r w:rsidRPr="005F7CDE">
        <w:rPr>
          <w:lang w:val="en-CA"/>
        </w:rPr>
        <w:t xml:space="preserve"> </w:t>
      </w:r>
      <w:r w:rsidRPr="00ED2EA0">
        <w:rPr>
          <w:lang w:val="en-CA"/>
        </w:rPr>
        <w:t>11.</w:t>
      </w:r>
    </w:p>
  </w:footnote>
  <w:footnote w:id="27">
    <w:p w14:paraId="4F62F434" w14:textId="5F62843D" w:rsidR="008D1EC7" w:rsidRPr="008B59C3" w:rsidRDefault="008D1EC7" w:rsidP="00D9147E">
      <w:pPr>
        <w:pStyle w:val="Notedebasdepage"/>
        <w:rPr>
          <w:lang w:val="en-CA"/>
        </w:rPr>
      </w:pPr>
      <w:r>
        <w:rPr>
          <w:rStyle w:val="Appelnotedebasdep"/>
        </w:rPr>
        <w:footnoteRef/>
      </w:r>
      <w:r w:rsidRPr="008B59C3">
        <w:rPr>
          <w:lang w:val="en-CA"/>
        </w:rPr>
        <w:t xml:space="preserve"> </w:t>
      </w:r>
      <w:r w:rsidRPr="008B59C3">
        <w:rPr>
          <w:lang w:val="en-CA"/>
        </w:rPr>
        <w:tab/>
      </w:r>
      <w:r w:rsidRPr="00536DE7">
        <w:rPr>
          <w:i/>
          <w:lang w:val="en-CA"/>
        </w:rPr>
        <w:t>Merck &amp; Co.</w:t>
      </w:r>
      <w:r w:rsidRPr="00536DE7">
        <w:rPr>
          <w:lang w:val="en-CA"/>
        </w:rPr>
        <w:t xml:space="preserve"> </w:t>
      </w:r>
      <w:r w:rsidRPr="00536DE7">
        <w:rPr>
          <w:i/>
          <w:lang w:val="en-CA"/>
        </w:rPr>
        <w:t>v.</w:t>
      </w:r>
      <w:r w:rsidRPr="00536DE7">
        <w:rPr>
          <w:lang w:val="en-CA"/>
        </w:rPr>
        <w:t xml:space="preserve"> </w:t>
      </w:r>
      <w:proofErr w:type="spellStart"/>
      <w:r w:rsidRPr="00536DE7">
        <w:rPr>
          <w:i/>
          <w:lang w:val="en-CA"/>
        </w:rPr>
        <w:t>Interpharm</w:t>
      </w:r>
      <w:proofErr w:type="spellEnd"/>
      <w:r w:rsidRPr="00536DE7">
        <w:rPr>
          <w:i/>
          <w:lang w:val="en-CA"/>
        </w:rPr>
        <w:t xml:space="preserve"> Inc.</w:t>
      </w:r>
      <w:r w:rsidRPr="00536DE7">
        <w:rPr>
          <w:lang w:val="en-CA"/>
        </w:rPr>
        <w:t>, [1992] 3 F.C.</w:t>
      </w:r>
      <w:r>
        <w:rPr>
          <w:lang w:val="en-CA"/>
        </w:rPr>
        <w:t xml:space="preserve"> 774 at 777–778 (F.C.). </w:t>
      </w:r>
      <w:r w:rsidR="001850B6">
        <w:rPr>
          <w:lang w:val="en-CA"/>
        </w:rPr>
        <w:t>T</w:t>
      </w:r>
      <w:r w:rsidRPr="0067337C">
        <w:rPr>
          <w:lang w:val="en-CA"/>
        </w:rPr>
        <w:t xml:space="preserve">his excerpt </w:t>
      </w:r>
      <w:r w:rsidR="00EA3DF8">
        <w:rPr>
          <w:lang w:val="en-CA"/>
        </w:rPr>
        <w:t xml:space="preserve">in particular </w:t>
      </w:r>
      <w:r w:rsidRPr="0067337C">
        <w:rPr>
          <w:lang w:val="en-CA"/>
        </w:rPr>
        <w:t xml:space="preserve">was cited with approval by the Court of Appeal of England and Wales in </w:t>
      </w:r>
      <w:r w:rsidRPr="0067337C">
        <w:rPr>
          <w:i/>
          <w:lang w:val="en-CA"/>
        </w:rPr>
        <w:t>British Sky Broadcasting Group plc v. Virgin Media Communications Limited</w:t>
      </w:r>
      <w:r w:rsidRPr="0067337C">
        <w:rPr>
          <w:lang w:val="en-CA"/>
        </w:rPr>
        <w:t xml:space="preserve">, [2008] EWCA </w:t>
      </w:r>
      <w:proofErr w:type="spellStart"/>
      <w:r w:rsidRPr="0067337C">
        <w:rPr>
          <w:lang w:val="en-CA"/>
        </w:rPr>
        <w:t>Civ</w:t>
      </w:r>
      <w:proofErr w:type="spellEnd"/>
      <w:r w:rsidRPr="0067337C">
        <w:rPr>
          <w:lang w:val="en-CA"/>
        </w:rPr>
        <w:t xml:space="preserve"> 612 at para.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D94C" w14:textId="77777777" w:rsidR="008D1EC7" w:rsidRDefault="008D1E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3758" w14:textId="13CF6A4F" w:rsidR="008D1EC7" w:rsidRDefault="008D1EC7" w:rsidP="00D9147E">
    <w:pPr>
      <w:tabs>
        <w:tab w:val="center" w:pos="4709"/>
        <w:tab w:val="right" w:pos="9360"/>
      </w:tabs>
      <w:spacing w:line="360" w:lineRule="auto"/>
      <w:ind w:right="524"/>
    </w:pPr>
    <w:bookmarkStart w:id="10" w:name="EntDossier"/>
    <w:r>
      <w:t>500-09-700039-217</w:t>
    </w:r>
    <w:bookmarkEnd w:id="10"/>
    <w:r>
      <w:t xml:space="preserve"> </w:t>
    </w:r>
    <w:r>
      <w:tab/>
    </w:r>
    <w:r>
      <w:tab/>
    </w:r>
    <w:r w:rsidRPr="00E44A1E">
      <w:t>PAGE:</w:t>
    </w:r>
    <w:r>
      <w:t xml:space="preserve"> </w:t>
    </w:r>
    <w:r>
      <w:fldChar w:fldCharType="begin"/>
    </w:r>
    <w:r>
      <w:instrText xml:space="preserve"> PAGE </w:instrText>
    </w:r>
    <w:r>
      <w:fldChar w:fldCharType="separate"/>
    </w:r>
    <w:r w:rsidR="00120D94">
      <w:rPr>
        <w:noProof/>
      </w:rPr>
      <w:t>11</w:t>
    </w:r>
    <w:r>
      <w:fldChar w:fldCharType="end"/>
    </w:r>
  </w:p>
  <w:p w14:paraId="1CDC03E9" w14:textId="77777777" w:rsidR="008D1EC7" w:rsidRDefault="008D1EC7" w:rsidP="00D9147E">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2A05" w14:textId="77777777" w:rsidR="008D1EC7" w:rsidRDefault="008D1E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1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U JUGE"/>
    <w:docVar w:name="MotifJuge2" w:val="MOTIFS DU JUGE"/>
    <w:docVar w:name="MotifJuge3" w:val="MOTIFS DU JUGE"/>
    <w:docVar w:name="NomFamJuge1" w:val="LEVESQUE"/>
    <w:docVar w:name="NomFamJuge2" w:val="MOORE"/>
    <w:docVar w:name="NomFamJuge3" w:val="BACHAND"/>
    <w:docVar w:name="NomFamJuge4" w:val="MAILHOT"/>
    <w:docVar w:name="NomFamJuge5" w:val="BAUDOUIN"/>
    <w:docVar w:name="QteJuge1" w:val=", J.C.A."/>
    <w:docVar w:name="QteJuge2" w:val=", J.C.A."/>
    <w:docVar w:name="QteJuge3" w:val=", J.C.A."/>
    <w:docVar w:name="stPremiereFois" w:val="Non"/>
  </w:docVars>
  <w:rsids>
    <w:rsidRoot w:val="006E6F6E"/>
    <w:rsid w:val="00002DA8"/>
    <w:rsid w:val="00063919"/>
    <w:rsid w:val="000F3FD5"/>
    <w:rsid w:val="0011168C"/>
    <w:rsid w:val="00120D94"/>
    <w:rsid w:val="00137889"/>
    <w:rsid w:val="001850B6"/>
    <w:rsid w:val="001876E4"/>
    <w:rsid w:val="001F3A4B"/>
    <w:rsid w:val="00230AC0"/>
    <w:rsid w:val="00265545"/>
    <w:rsid w:val="0027188F"/>
    <w:rsid w:val="002763BE"/>
    <w:rsid w:val="002C731B"/>
    <w:rsid w:val="002D5EB7"/>
    <w:rsid w:val="00327008"/>
    <w:rsid w:val="00342B25"/>
    <w:rsid w:val="003677F5"/>
    <w:rsid w:val="003A31C3"/>
    <w:rsid w:val="003C155E"/>
    <w:rsid w:val="003F1157"/>
    <w:rsid w:val="003F5E16"/>
    <w:rsid w:val="004255A2"/>
    <w:rsid w:val="004303AA"/>
    <w:rsid w:val="00434ACE"/>
    <w:rsid w:val="00440E6D"/>
    <w:rsid w:val="0046081D"/>
    <w:rsid w:val="00466894"/>
    <w:rsid w:val="00483982"/>
    <w:rsid w:val="004B18B0"/>
    <w:rsid w:val="004D1B4A"/>
    <w:rsid w:val="004F0FD7"/>
    <w:rsid w:val="0052231E"/>
    <w:rsid w:val="00536C57"/>
    <w:rsid w:val="00536DE7"/>
    <w:rsid w:val="005A27F9"/>
    <w:rsid w:val="005C42F0"/>
    <w:rsid w:val="005F4695"/>
    <w:rsid w:val="005F7CDE"/>
    <w:rsid w:val="0062717D"/>
    <w:rsid w:val="00646AB7"/>
    <w:rsid w:val="0067337C"/>
    <w:rsid w:val="006A5977"/>
    <w:rsid w:val="006D5DFB"/>
    <w:rsid w:val="006E28BE"/>
    <w:rsid w:val="006E6F6E"/>
    <w:rsid w:val="006F172B"/>
    <w:rsid w:val="006F1AAF"/>
    <w:rsid w:val="007203CA"/>
    <w:rsid w:val="00744971"/>
    <w:rsid w:val="0076279D"/>
    <w:rsid w:val="007A613E"/>
    <w:rsid w:val="007E0355"/>
    <w:rsid w:val="008015DC"/>
    <w:rsid w:val="00825C22"/>
    <w:rsid w:val="00830B73"/>
    <w:rsid w:val="00847E47"/>
    <w:rsid w:val="0087069F"/>
    <w:rsid w:val="008736D6"/>
    <w:rsid w:val="008A0FA2"/>
    <w:rsid w:val="008A7B68"/>
    <w:rsid w:val="008B79AF"/>
    <w:rsid w:val="008D1EC7"/>
    <w:rsid w:val="00974105"/>
    <w:rsid w:val="009749C6"/>
    <w:rsid w:val="00987D90"/>
    <w:rsid w:val="009922E8"/>
    <w:rsid w:val="009A323C"/>
    <w:rsid w:val="009B0F7B"/>
    <w:rsid w:val="009B6000"/>
    <w:rsid w:val="009C7D70"/>
    <w:rsid w:val="009F2C1B"/>
    <w:rsid w:val="009F54FF"/>
    <w:rsid w:val="00A10729"/>
    <w:rsid w:val="00A6694B"/>
    <w:rsid w:val="00A81FC5"/>
    <w:rsid w:val="00A92B7B"/>
    <w:rsid w:val="00A95720"/>
    <w:rsid w:val="00AC32D7"/>
    <w:rsid w:val="00AE29D1"/>
    <w:rsid w:val="00AF709C"/>
    <w:rsid w:val="00B32B8E"/>
    <w:rsid w:val="00B97BC2"/>
    <w:rsid w:val="00BA608E"/>
    <w:rsid w:val="00BC3BF0"/>
    <w:rsid w:val="00BD3695"/>
    <w:rsid w:val="00BD3F57"/>
    <w:rsid w:val="00C05F22"/>
    <w:rsid w:val="00C07126"/>
    <w:rsid w:val="00C3607A"/>
    <w:rsid w:val="00C46205"/>
    <w:rsid w:val="00C51474"/>
    <w:rsid w:val="00CC44B7"/>
    <w:rsid w:val="00CD4AEC"/>
    <w:rsid w:val="00CE5A94"/>
    <w:rsid w:val="00CF0D78"/>
    <w:rsid w:val="00CF5E6F"/>
    <w:rsid w:val="00D43138"/>
    <w:rsid w:val="00D54320"/>
    <w:rsid w:val="00D62FD1"/>
    <w:rsid w:val="00D80D43"/>
    <w:rsid w:val="00D87449"/>
    <w:rsid w:val="00D9147E"/>
    <w:rsid w:val="00DB6756"/>
    <w:rsid w:val="00E24AC0"/>
    <w:rsid w:val="00E44A1E"/>
    <w:rsid w:val="00E465A9"/>
    <w:rsid w:val="00EA3DF8"/>
    <w:rsid w:val="00EA3F21"/>
    <w:rsid w:val="00EB7EC7"/>
    <w:rsid w:val="00EC59E1"/>
    <w:rsid w:val="00ED2235"/>
    <w:rsid w:val="00F03845"/>
    <w:rsid w:val="00F7077D"/>
    <w:rsid w:val="00F7295D"/>
    <w:rsid w:val="00F7672E"/>
    <w:rsid w:val="00FB21AA"/>
    <w:rsid w:val="00FE45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273BF"/>
  <w15:chartTrackingRefBased/>
  <w15:docId w15:val="{F6349C1C-B7D3-48CC-9E47-18F65F81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link w:val="CitationenretraitCar"/>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Char,Char Char,Char Char Char,Char Char Char Char Char,FA Fu,Footnote Text Char Char Char Char,Footnote Text Char Char Char Char Char,Footnote ak,Footnote reference,Footnote text,Footnotes,Nota de rodapé,fn,ft,ft Char Ch,ft2"/>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aliases w:val="Char Car,Char Char Car,Char Char Char Car,Char Char Char Char Char Car,FA Fu Car,Footnote Text Char Char Char Char Car,Footnote Text Char Char Char Char Char Car,Footnote ak Car,Footnote reference Car,Footnote text Car,fn Car"/>
    <w:basedOn w:val="Policepardfaut"/>
    <w:link w:val="Notedebasdepage"/>
    <w:rsid w:val="00A92A80"/>
    <w:rPr>
      <w:rFonts w:ascii="Arial" w:hAnsi="Arial"/>
      <w:lang w:eastAsia="fr-FR"/>
    </w:rPr>
  </w:style>
  <w:style w:type="character" w:customStyle="1" w:styleId="ParagrapheCar">
    <w:name w:val="Paragraphe Car"/>
    <w:link w:val="Paragraphe"/>
    <w:qFormat/>
    <w:rsid w:val="00A92A80"/>
    <w:rPr>
      <w:rFonts w:ascii="Arial" w:hAnsi="Arial"/>
      <w:kern w:val="28"/>
      <w:sz w:val="24"/>
      <w:lang w:eastAsia="fr-FR"/>
    </w:rPr>
  </w:style>
  <w:style w:type="character" w:customStyle="1" w:styleId="CitationenretraitCar">
    <w:name w:val="Citation en retrait Car"/>
    <w:link w:val="Citationenretrait"/>
    <w:rsid w:val="00A92A80"/>
    <w:rPr>
      <w:rFonts w:ascii="Arial" w:hAnsi="Arial"/>
      <w:kern w:val="24"/>
      <w:sz w:val="22"/>
      <w:lang w:eastAsia="fr-FR"/>
    </w:rPr>
  </w:style>
  <w:style w:type="paragraph" w:styleId="Paragraphedeliste">
    <w:name w:val="List Paragraph"/>
    <w:basedOn w:val="Normal"/>
    <w:uiPriority w:val="34"/>
    <w:qFormat/>
    <w:rsid w:val="007445C4"/>
    <w:pPr>
      <w:ind w:left="720"/>
      <w:contextualSpacing/>
    </w:pPr>
  </w:style>
  <w:style w:type="character" w:styleId="Marquedecommentaire">
    <w:name w:val="annotation reference"/>
    <w:basedOn w:val="Policepardfaut"/>
    <w:uiPriority w:val="99"/>
    <w:semiHidden/>
    <w:unhideWhenUsed/>
    <w:rsid w:val="005F7CDE"/>
    <w:rPr>
      <w:sz w:val="16"/>
      <w:szCs w:val="16"/>
    </w:rPr>
  </w:style>
  <w:style w:type="paragraph" w:styleId="Commentaire">
    <w:name w:val="annotation text"/>
    <w:basedOn w:val="Normal"/>
    <w:link w:val="CommentaireCar"/>
    <w:uiPriority w:val="99"/>
    <w:semiHidden/>
    <w:unhideWhenUsed/>
    <w:rsid w:val="005F7CDE"/>
    <w:pPr>
      <w:spacing w:line="240" w:lineRule="auto"/>
    </w:pPr>
    <w:rPr>
      <w:sz w:val="20"/>
    </w:rPr>
  </w:style>
  <w:style w:type="character" w:customStyle="1" w:styleId="CommentaireCar">
    <w:name w:val="Commentaire Car"/>
    <w:basedOn w:val="Policepardfaut"/>
    <w:link w:val="Commentaire"/>
    <w:uiPriority w:val="99"/>
    <w:semiHidden/>
    <w:rsid w:val="005F7CDE"/>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5F7CDE"/>
    <w:rPr>
      <w:b/>
      <w:bCs/>
    </w:rPr>
  </w:style>
  <w:style w:type="character" w:customStyle="1" w:styleId="ObjetducommentaireCar">
    <w:name w:val="Objet du commentaire Car"/>
    <w:basedOn w:val="CommentaireCar"/>
    <w:link w:val="Objetducommentaire"/>
    <w:uiPriority w:val="99"/>
    <w:semiHidden/>
    <w:rsid w:val="005F7CDE"/>
    <w:rPr>
      <w:rFonts w:ascii="Arial" w:hAnsi="Arial"/>
      <w:b/>
      <w:bCs/>
      <w:lang w:eastAsia="fr-FR"/>
    </w:rPr>
  </w:style>
  <w:style w:type="character" w:styleId="Lienhypertexte">
    <w:name w:val="Hyperlink"/>
    <w:basedOn w:val="Policepardfaut"/>
    <w:uiPriority w:val="99"/>
    <w:unhideWhenUsed/>
    <w:rsid w:val="005F7CDE"/>
    <w:rPr>
      <w:color w:val="0000FF"/>
      <w:u w:val="single"/>
    </w:rPr>
  </w:style>
  <w:style w:type="character" w:styleId="Lienhypertextesuivivisit">
    <w:name w:val="FollowedHyperlink"/>
    <w:basedOn w:val="Policepardfaut"/>
    <w:uiPriority w:val="99"/>
    <w:semiHidden/>
    <w:unhideWhenUsed/>
    <w:rsid w:val="00D62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C394-6C25-4D34-B4AE-D3724398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3683</Words>
  <Characters>19146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Nathalie Hevey</dc:creator>
  <cp:lastModifiedBy>trad-rev</cp:lastModifiedBy>
  <cp:revision>2</cp:revision>
  <cp:lastPrinted>2022-02-23T19:34:00Z</cp:lastPrinted>
  <dcterms:created xsi:type="dcterms:W3CDTF">2022-09-14T18:48:00Z</dcterms:created>
  <dcterms:modified xsi:type="dcterms:W3CDTF">2022-09-14T18:48:00Z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