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D4AA7" w14:textId="47DAE5B9" w:rsidR="00885C08" w:rsidRPr="00CC1739" w:rsidRDefault="00885C08">
      <w:pPr>
        <w:rPr>
          <w:lang w:val="en-CA"/>
        </w:rPr>
      </w:pPr>
      <w:bookmarkStart w:id="0" w:name="_GoBack"/>
      <w:bookmarkEnd w:id="0"/>
      <w:r w:rsidRPr="00CC1739">
        <w:rPr>
          <w:lang w:val="en-CA"/>
        </w:rPr>
        <w:t xml:space="preserve">Unofficial </w:t>
      </w:r>
      <w:r>
        <w:rPr>
          <w:lang w:val="en-CA"/>
        </w:rPr>
        <w:t xml:space="preserve">English </w:t>
      </w:r>
      <w:r w:rsidRPr="00CC1739">
        <w:rPr>
          <w:lang w:val="en-CA"/>
        </w:rPr>
        <w:t>Translation of t</w:t>
      </w:r>
      <w:r w:rsidR="006C5446">
        <w:rPr>
          <w:lang w:val="en-CA"/>
        </w:rPr>
        <w:t>he Judg</w:t>
      </w:r>
      <w:r>
        <w:rPr>
          <w:lang w:val="en-CA"/>
        </w:rPr>
        <w:t>ment of the Court</w:t>
      </w:r>
    </w:p>
    <w:tbl>
      <w:tblPr>
        <w:tblW w:w="9360" w:type="dxa"/>
        <w:tblLayout w:type="fixed"/>
        <w:tblCellMar>
          <w:left w:w="0" w:type="dxa"/>
          <w:right w:w="0" w:type="dxa"/>
        </w:tblCellMar>
        <w:tblLook w:val="0000" w:firstRow="0" w:lastRow="0" w:firstColumn="0" w:lastColumn="0" w:noHBand="0" w:noVBand="0"/>
      </w:tblPr>
      <w:tblGrid>
        <w:gridCol w:w="1030"/>
        <w:gridCol w:w="590"/>
        <w:gridCol w:w="81"/>
        <w:gridCol w:w="2269"/>
        <w:gridCol w:w="3402"/>
        <w:gridCol w:w="1988"/>
      </w:tblGrid>
      <w:tr w:rsidR="00650C2C" w:rsidRPr="00CC1739" w14:paraId="00B0DB8E" w14:textId="77777777" w:rsidTr="00350689">
        <w:trPr>
          <w:trHeight w:val="248"/>
        </w:trPr>
        <w:tc>
          <w:tcPr>
            <w:tcW w:w="7372" w:type="dxa"/>
            <w:gridSpan w:val="5"/>
          </w:tcPr>
          <w:p w14:paraId="658FFC8A" w14:textId="3A6E7E9C" w:rsidR="00350689" w:rsidRPr="00A2357D" w:rsidRDefault="00A2357D">
            <w:pPr>
              <w:pStyle w:val="zSoquijdatRepertorie"/>
            </w:pPr>
            <w:bookmarkStart w:id="1" w:name="lt_pId001"/>
            <w:bookmarkStart w:id="2" w:name="lt_pId002"/>
            <w:bookmarkStart w:id="3" w:name="lt_pId003"/>
            <w:bookmarkStart w:id="4" w:name="lt_pId004"/>
            <w:bookmarkStart w:id="5" w:name="lt_pId005"/>
            <w:bookmarkStart w:id="6" w:name="lt_pId006"/>
            <w:bookmarkStart w:id="7" w:name="lt_pId007"/>
            <w:bookmarkStart w:id="8" w:name="lt_pId010"/>
            <w:bookmarkStart w:id="9" w:name="lt_pId011"/>
            <w:bookmarkStart w:id="10" w:name="lt_pId012"/>
            <w:bookmarkStart w:id="11" w:name="lt_pId013"/>
            <w:bookmarkStart w:id="12" w:name="lt_pId014"/>
            <w:bookmarkStart w:id="13" w:name="lt_pId015"/>
            <w:bookmarkStart w:id="14" w:name="lt_pId016"/>
            <w:bookmarkStart w:id="15" w:name="lt_pId017"/>
            <w:bookmarkStart w:id="16" w:name="lt_pId018"/>
            <w:bookmarkStart w:id="17" w:name="lt_pId019"/>
            <w:bookmarkStart w:id="18" w:name="lt_pId020"/>
            <w:bookmarkStart w:id="19" w:name="lt_pId021"/>
            <w:bookmarkStart w:id="20" w:name="lt_pId022"/>
            <w:bookmarkStart w:id="21" w:name="lt_pId023"/>
            <w:bookmarkStart w:id="22" w:name="lt_pId024"/>
            <w:bookmarkStart w:id="23" w:name="lt_pId025"/>
            <w:bookmarkStart w:id="24" w:name="lt_pId026"/>
            <w:bookmarkStart w:id="25" w:name="lt_pId027"/>
            <w:bookmarkStart w:id="26" w:name="lt_pId028"/>
            <w:bookmarkStart w:id="27" w:name="lt_pId029"/>
            <w:bookmarkStart w:id="28" w:name="lt_pId030"/>
            <w:bookmarkStart w:id="29" w:name="lt_pId031"/>
            <w:bookmarkStart w:id="30" w:name="lt_pId032"/>
            <w:bookmarkStart w:id="31" w:name="lt_pId033"/>
            <w:bookmarkStart w:id="32" w:name="lt_pId034"/>
            <w:bookmarkStart w:id="33" w:name="lt_pId035"/>
            <w:bookmarkStart w:id="34" w:name="lt_pId036"/>
            <w:bookmarkStart w:id="35" w:name="lt_pId037"/>
            <w:bookmarkStart w:id="36" w:name="lt_pId038"/>
            <w:bookmarkStart w:id="37" w:name="lt_pId039"/>
            <w:bookmarkStart w:id="38" w:name="lt_pId040"/>
            <w:bookmarkStart w:id="39" w:name="lt_pId041"/>
            <w:bookmarkStart w:id="40" w:name="lt_pId043"/>
            <w:bookmarkStart w:id="41" w:name="lt_pId045"/>
            <w:bookmarkStart w:id="42" w:name="lt_pId046"/>
            <w:bookmarkStart w:id="43" w:name="lt_pId047"/>
            <w:bookmarkStart w:id="44" w:name="lt_pId048"/>
            <w:bookmarkStart w:id="45" w:name="lt_pId049"/>
            <w:bookmarkStart w:id="46" w:name="lt_pId050"/>
            <w:bookmarkStart w:id="47" w:name="lt_pId051"/>
            <w:bookmarkStart w:id="48" w:name="lt_pId052"/>
            <w:bookmarkStart w:id="49" w:name="lt_pId053"/>
            <w:bookmarkStart w:id="50" w:name="lt_pId054"/>
            <w:bookmarkStart w:id="51" w:name="lt_pId055"/>
            <w:bookmarkStart w:id="52" w:name="lt_pId056"/>
            <w:bookmarkStart w:id="53" w:name="lt_pId057"/>
            <w:bookmarkStart w:id="54" w:name="lt_pId058"/>
            <w:bookmarkStart w:id="55" w:name="lt_pId059"/>
            <w:bookmarkStart w:id="56" w:name="lt_pId060"/>
            <w:bookmarkStart w:id="57" w:name="lt_pId061"/>
            <w:bookmarkStart w:id="58" w:name="lt_pId062"/>
            <w:bookmarkStart w:id="59" w:name="lt_pId063"/>
            <w:bookmarkStart w:id="60" w:name="lt_pId064"/>
            <w:bookmarkStart w:id="61" w:name="lt_pId065"/>
            <w:bookmarkStart w:id="62" w:name="lt_pId066"/>
            <w:bookmarkStart w:id="63" w:name="lt_pId067"/>
            <w:bookmarkStart w:id="64" w:name="lt_pId068"/>
            <w:bookmarkStart w:id="65" w:name="lt_pId069"/>
            <w:bookmarkStart w:id="66" w:name="lt_pId070"/>
            <w:bookmarkStart w:id="67" w:name="lt_pId071"/>
            <w:bookmarkStart w:id="68" w:name="lt_pId072"/>
            <w:bookmarkStart w:id="69" w:name="lt_pId073"/>
            <w:bookmarkStart w:id="70" w:name="lt_pId074"/>
            <w:bookmarkStart w:id="71" w:name="lt_pId075"/>
            <w:bookmarkStart w:id="72" w:name="lt_pId076"/>
            <w:bookmarkStart w:id="73" w:name="lt_pId077"/>
            <w:bookmarkStart w:id="74" w:name="lt_pId078"/>
            <w:bookmarkStart w:id="75" w:name="lt_pId079"/>
            <w:bookmarkStart w:id="76" w:name="lt_pId080"/>
            <w:bookmarkStart w:id="77" w:name="lt_pId081"/>
            <w:bookmarkStart w:id="78" w:name="lt_pId082"/>
            <w:bookmarkStart w:id="79" w:name="lt_pId083"/>
            <w:bookmarkStart w:id="80" w:name="lt_pId084"/>
            <w:bookmarkStart w:id="81" w:name="lt_pId085"/>
            <w:bookmarkStart w:id="82" w:name="lt_pId086"/>
            <w:bookmarkStart w:id="83" w:name="lt_pId087"/>
            <w:bookmarkStart w:id="84" w:name="lt_pId088"/>
            <w:bookmarkStart w:id="85" w:name="lt_pId089"/>
            <w:bookmarkStart w:id="86" w:name="lt_pId090"/>
            <w:bookmarkStart w:id="87" w:name="lt_pId091"/>
            <w:bookmarkStart w:id="88" w:name="lt_pId092"/>
            <w:bookmarkStart w:id="89" w:name="lt_pId093"/>
            <w:bookmarkStart w:id="90" w:name="lt_pId094"/>
            <w:bookmarkStart w:id="91" w:name="lt_pId095"/>
            <w:bookmarkStart w:id="92" w:name="lt_pId096"/>
            <w:bookmarkStart w:id="93" w:name="lt_pId097"/>
            <w:bookmarkStart w:id="94" w:name="lt_pId098"/>
            <w:bookmarkStart w:id="95" w:name="lt_pId099"/>
            <w:bookmarkStart w:id="96" w:name="lt_pId100"/>
            <w:bookmarkStart w:id="97" w:name="lt_pId101"/>
            <w:bookmarkStart w:id="98" w:name="lt_pId102"/>
            <w:bookmarkStart w:id="99" w:name="lt_pId103"/>
            <w:bookmarkStart w:id="100" w:name="lt_pId104"/>
            <w:bookmarkStart w:id="101" w:name="lt_pId105"/>
            <w:bookmarkStart w:id="102" w:name="lt_pId106"/>
            <w:bookmarkStart w:id="103" w:name="lt_pId107"/>
            <w:bookmarkStart w:id="104" w:name="lt_pId108"/>
            <w:bookmarkStart w:id="105" w:name="lt_pId109"/>
            <w:bookmarkStart w:id="106" w:name="lt_pId110"/>
            <w:bookmarkStart w:id="107" w:name="lt_pId111"/>
            <w:bookmarkStart w:id="108" w:name="lt_pId112"/>
            <w:bookmarkStart w:id="109" w:name="lt_pId113"/>
            <w:bookmarkStart w:id="110" w:name="lt_pId114"/>
            <w:bookmarkStart w:id="111" w:name="lt_pId115"/>
            <w:bookmarkStart w:id="112" w:name="lt_pId116"/>
            <w:bookmarkStart w:id="113" w:name="lt_pId117"/>
            <w:bookmarkStart w:id="114" w:name="lt_pId118"/>
            <w:bookmarkStart w:id="115" w:name="lt_pId119"/>
            <w:bookmarkStart w:id="116" w:name="lt_pId120"/>
            <w:bookmarkStart w:id="117" w:name="lt_pId121"/>
            <w:bookmarkStart w:id="118" w:name="lt_pId122"/>
            <w:bookmarkStart w:id="119" w:name="lt_pId123"/>
            <w:bookmarkStart w:id="120" w:name="lt_pId124"/>
            <w:bookmarkStart w:id="121" w:name="lt_pId125"/>
            <w:bookmarkStart w:id="122" w:name="lt_pId126"/>
            <w:bookmarkStart w:id="123" w:name="lt_pId127"/>
            <w:bookmarkStart w:id="124" w:name="lt_pId128"/>
            <w:bookmarkStart w:id="125" w:name="lt_pId129"/>
            <w:bookmarkStart w:id="126" w:name="lt_pId130"/>
            <w:bookmarkStart w:id="127" w:name="lt_pId131"/>
            <w:bookmarkStart w:id="128" w:name="lt_pId132"/>
            <w:bookmarkStart w:id="129" w:name="lt_pId133"/>
            <w:bookmarkStart w:id="130" w:name="lt_pId134"/>
            <w:bookmarkStart w:id="131" w:name="lt_pId135"/>
            <w:bookmarkStart w:id="132" w:name="lt_pId136"/>
            <w:bookmarkStart w:id="133" w:name="lt_pId137"/>
            <w:bookmarkStart w:id="134" w:name="lt_pId138"/>
            <w:bookmarkStart w:id="135" w:name="lt_pId139"/>
            <w:bookmarkStart w:id="136" w:name="lt_pId140"/>
            <w:bookmarkStart w:id="137" w:name="lt_pId141"/>
            <w:bookmarkStart w:id="138" w:name="lt_pId142"/>
            <w:bookmarkStart w:id="139" w:name="lt_pId143"/>
            <w:bookmarkStart w:id="140" w:name="lt_pId144"/>
            <w:bookmarkStart w:id="141" w:name="lt_pId145"/>
            <w:bookmarkStart w:id="142" w:name="lt_pId146"/>
            <w:bookmarkStart w:id="143" w:name="lt_pId147"/>
            <w:bookmarkStart w:id="144" w:name="lt_pId148"/>
            <w:bookmarkStart w:id="145" w:name="lt_pId149"/>
            <w:bookmarkStart w:id="146" w:name="lt_pId150"/>
            <w:bookmarkStart w:id="147" w:name="lt_pId151"/>
            <w:bookmarkStart w:id="148" w:name="lt_pId152"/>
            <w:bookmarkStart w:id="149" w:name="lt_pId153"/>
            <w:bookmarkStart w:id="150" w:name="lt_pId154"/>
            <w:bookmarkStart w:id="151" w:name="lt_pId155"/>
            <w:bookmarkStart w:id="152" w:name="lt_pId156"/>
            <w:bookmarkStart w:id="153" w:name="lt_pId157"/>
            <w:bookmarkStart w:id="154" w:name="lt_pId158"/>
            <w:bookmarkStart w:id="155" w:name="lt_pId159"/>
            <w:bookmarkStart w:id="156" w:name="lt_pId160"/>
            <w:bookmarkStart w:id="157" w:name="lt_pId161"/>
            <w:bookmarkStart w:id="158" w:name="lt_pId162"/>
            <w:bookmarkStart w:id="159" w:name="lt_pId163"/>
            <w:bookmarkStart w:id="160" w:name="lt_pId164"/>
            <w:bookmarkStart w:id="161" w:name="lt_pId165"/>
            <w:bookmarkStart w:id="162" w:name="lt_pId166"/>
            <w:bookmarkStart w:id="163" w:name="lt_pId167"/>
            <w:bookmarkStart w:id="164" w:name="lt_pId168"/>
            <w:bookmarkStart w:id="165" w:name="lt_pId169"/>
            <w:bookmarkStart w:id="166" w:name="lt_pId170"/>
            <w:bookmarkStart w:id="167" w:name="lt_pId171"/>
            <w:bookmarkStart w:id="168" w:name="lt_pId172"/>
            <w:bookmarkStart w:id="169" w:name="lt_pId173"/>
            <w:bookmarkStart w:id="170" w:name="lt_pId174"/>
            <w:bookmarkStart w:id="171" w:name="lt_pId175"/>
            <w:bookmarkStart w:id="172" w:name="lt_pId176"/>
            <w:bookmarkStart w:id="173" w:name="lt_pId177"/>
            <w:bookmarkStart w:id="174" w:name="lt_pId178"/>
            <w:bookmarkStart w:id="175" w:name="lt_pId179"/>
            <w:bookmarkStart w:id="176" w:name="lt_pId180"/>
            <w:bookmarkStart w:id="177" w:name="lt_pId181"/>
            <w:bookmarkStart w:id="178" w:name="lt_pId182"/>
            <w:bookmarkStart w:id="179" w:name="lt_pId183"/>
            <w:bookmarkStart w:id="180" w:name="lt_pId184"/>
            <w:bookmarkStart w:id="181" w:name="lt_pId185"/>
            <w:bookmarkStart w:id="182" w:name="lt_pId186"/>
            <w:bookmarkStart w:id="183" w:name="lt_pId187"/>
            <w:bookmarkStart w:id="184" w:name="lt_pId188"/>
            <w:bookmarkStart w:id="185" w:name="lt_pId189"/>
            <w:bookmarkStart w:id="186" w:name="lt_pId190"/>
            <w:bookmarkStart w:id="187" w:name="lt_pId191"/>
            <w:bookmarkStart w:id="188" w:name="lt_pId192"/>
            <w:bookmarkStart w:id="189" w:name="lt_pId193"/>
            <w:bookmarkStart w:id="190" w:name="lt_pId194"/>
            <w:bookmarkStart w:id="191" w:name="lt_pId195"/>
            <w:bookmarkStart w:id="192" w:name="lt_pId196"/>
            <w:bookmarkStart w:id="193" w:name="lt_pId197"/>
            <w:bookmarkStart w:id="194" w:name="lt_pId198"/>
            <w:bookmarkStart w:id="195" w:name="lt_pId199"/>
            <w:bookmarkStart w:id="196" w:name="lt_pId200"/>
            <w:bookmarkStart w:id="197" w:name="lt_pId201"/>
            <w:bookmarkStart w:id="198" w:name="lt_pId202"/>
            <w:bookmarkStart w:id="199" w:name="lt_pId203"/>
            <w:bookmarkStart w:id="200" w:name="lt_pId204"/>
            <w:bookmarkStart w:id="201" w:name="lt_pId205"/>
            <w:bookmarkStart w:id="202" w:name="lt_pId206"/>
            <w:bookmarkStart w:id="203" w:name="lt_pId20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Pr>
                <w:rFonts w:cs="Arial"/>
              </w:rPr>
              <w:t>G.C. c. Compagnie d'assurance vie RBC</w:t>
            </w:r>
          </w:p>
        </w:tc>
        <w:tc>
          <w:tcPr>
            <w:tcW w:w="1988" w:type="dxa"/>
          </w:tcPr>
          <w:p w14:paraId="5FD81BD6" w14:textId="27DC1718" w:rsidR="00350689" w:rsidRPr="00A2357D" w:rsidRDefault="00A2357D" w:rsidP="00A2357D">
            <w:pPr>
              <w:pStyle w:val="zSoquijdatRefNeutre"/>
              <w:jc w:val="right"/>
            </w:pPr>
            <w:r>
              <w:rPr>
                <w:rFonts w:cs="Arial"/>
              </w:rPr>
              <w:t>2022 QCCA 1141</w:t>
            </w:r>
          </w:p>
        </w:tc>
      </w:tr>
      <w:tr w:rsidR="00650C2C" w14:paraId="01880CC2" w14:textId="77777777" w:rsidTr="00350689">
        <w:trPr>
          <w:trHeight w:val="247"/>
        </w:trPr>
        <w:tc>
          <w:tcPr>
            <w:tcW w:w="9360" w:type="dxa"/>
            <w:gridSpan w:val="6"/>
          </w:tcPr>
          <w:p w14:paraId="1BE37EE6" w14:textId="434DDA65" w:rsidR="00350689" w:rsidRPr="007C493C" w:rsidRDefault="00F7473D" w:rsidP="0093247F">
            <w:pPr>
              <w:pStyle w:val="zSoquijlblCour"/>
            </w:pPr>
            <w:r w:rsidRPr="007C493C">
              <w:t>COUR</w:t>
            </w:r>
            <w:r w:rsidR="0093247F" w:rsidRPr="007C493C">
              <w:t>T OF APPEAL</w:t>
            </w:r>
          </w:p>
        </w:tc>
      </w:tr>
      <w:tr w:rsidR="00650C2C" w14:paraId="46F9FBDA" w14:textId="77777777" w:rsidTr="00350689">
        <w:trPr>
          <w:trHeight w:val="540"/>
        </w:trPr>
        <w:tc>
          <w:tcPr>
            <w:tcW w:w="9360" w:type="dxa"/>
            <w:gridSpan w:val="6"/>
          </w:tcPr>
          <w:p w14:paraId="5B5E2D3A" w14:textId="77777777" w:rsidR="00350689" w:rsidRDefault="00350689">
            <w:pPr>
              <w:pStyle w:val="zSoquijdatDivision"/>
            </w:pPr>
          </w:p>
        </w:tc>
      </w:tr>
      <w:tr w:rsidR="00650C2C" w14:paraId="47BCE808" w14:textId="77777777" w:rsidTr="00350689">
        <w:tc>
          <w:tcPr>
            <w:tcW w:w="9360" w:type="dxa"/>
            <w:gridSpan w:val="6"/>
          </w:tcPr>
          <w:p w14:paraId="7F3FA57F" w14:textId="77777777" w:rsidR="00350689" w:rsidRPr="007C493C" w:rsidRDefault="00F7473D">
            <w:pPr>
              <w:pStyle w:val="zSoquijlblPays"/>
            </w:pPr>
            <w:r w:rsidRPr="007C493C">
              <w:t>CANADA</w:t>
            </w:r>
          </w:p>
        </w:tc>
      </w:tr>
      <w:tr w:rsidR="00650C2C" w14:paraId="66A90070" w14:textId="77777777" w:rsidTr="00350689">
        <w:tc>
          <w:tcPr>
            <w:tcW w:w="9360" w:type="dxa"/>
            <w:gridSpan w:val="6"/>
          </w:tcPr>
          <w:p w14:paraId="351E4E27" w14:textId="4C6FC489" w:rsidR="00350689" w:rsidRPr="007C493C" w:rsidRDefault="00F7473D" w:rsidP="0093247F">
            <w:pPr>
              <w:pStyle w:val="zSoquijlblProvince"/>
            </w:pPr>
            <w:r w:rsidRPr="007C493C">
              <w:t>PROVINCE</w:t>
            </w:r>
            <w:r w:rsidR="0093247F" w:rsidRPr="007C493C">
              <w:t xml:space="preserve"> OF QUEBEC</w:t>
            </w:r>
          </w:p>
        </w:tc>
      </w:tr>
      <w:tr w:rsidR="00650C2C" w14:paraId="0657AE11" w14:textId="77777777" w:rsidTr="00621AF8">
        <w:tc>
          <w:tcPr>
            <w:tcW w:w="1701" w:type="dxa"/>
            <w:gridSpan w:val="3"/>
          </w:tcPr>
          <w:p w14:paraId="7C82B375" w14:textId="199B1B35" w:rsidR="00350689" w:rsidRPr="007C493C" w:rsidRDefault="00621AF8">
            <w:pPr>
              <w:pStyle w:val="zSoquijlblGreffe"/>
            </w:pPr>
            <w:r w:rsidRPr="007C493C">
              <w:t xml:space="preserve">REGISTRY OF </w:t>
            </w:r>
          </w:p>
          <w:p w14:paraId="3D2B897D" w14:textId="77777777" w:rsidR="00350689" w:rsidRDefault="00350689">
            <w:pPr>
              <w:pStyle w:val="zSoquijlblGreffe"/>
            </w:pPr>
          </w:p>
        </w:tc>
        <w:tc>
          <w:tcPr>
            <w:tcW w:w="7659" w:type="dxa"/>
            <w:gridSpan w:val="3"/>
          </w:tcPr>
          <w:p w14:paraId="4A464F29" w14:textId="1462EB51" w:rsidR="00350689" w:rsidRPr="007C493C" w:rsidRDefault="00F7473D" w:rsidP="00621AF8">
            <w:pPr>
              <w:pStyle w:val="zSoquijdatGreffe"/>
            </w:pPr>
            <w:bookmarkStart w:id="204" w:name="NomGreffe"/>
            <w:r w:rsidRPr="007C493C">
              <w:t>MONTR</w:t>
            </w:r>
            <w:r w:rsidR="00906C38">
              <w:t>E</w:t>
            </w:r>
            <w:r w:rsidRPr="007C493C">
              <w:t>AL</w:t>
            </w:r>
            <w:bookmarkEnd w:id="204"/>
          </w:p>
        </w:tc>
      </w:tr>
      <w:tr w:rsidR="00650C2C" w14:paraId="25173A57" w14:textId="77777777" w:rsidTr="00350689">
        <w:tc>
          <w:tcPr>
            <w:tcW w:w="1030" w:type="dxa"/>
          </w:tcPr>
          <w:p w14:paraId="6CBD714E" w14:textId="1C31CA41" w:rsidR="00350689" w:rsidRPr="007C493C" w:rsidRDefault="00A215F9" w:rsidP="00A215F9">
            <w:pPr>
              <w:pStyle w:val="zSoquijlblNoDossier"/>
            </w:pPr>
            <w:r w:rsidRPr="007C493C">
              <w:t>No.</w:t>
            </w:r>
            <w:r w:rsidR="00F7473D" w:rsidRPr="007C493C">
              <w:t>:</w:t>
            </w:r>
          </w:p>
        </w:tc>
        <w:tc>
          <w:tcPr>
            <w:tcW w:w="8330" w:type="dxa"/>
            <w:gridSpan w:val="5"/>
          </w:tcPr>
          <w:p w14:paraId="3AB0A0D7" w14:textId="77777777" w:rsidR="00350689" w:rsidRDefault="00F7473D">
            <w:pPr>
              <w:pStyle w:val="zSoquijdatNoDossier"/>
            </w:pPr>
            <w:bookmarkStart w:id="205" w:name="NoDossier"/>
            <w:r>
              <w:t>500-09-029409-216</w:t>
            </w:r>
            <w:bookmarkEnd w:id="205"/>
          </w:p>
        </w:tc>
      </w:tr>
      <w:tr w:rsidR="00650C2C" w14:paraId="5146C1A3" w14:textId="77777777" w:rsidTr="00350689">
        <w:tc>
          <w:tcPr>
            <w:tcW w:w="9360" w:type="dxa"/>
            <w:gridSpan w:val="6"/>
          </w:tcPr>
          <w:p w14:paraId="0725D41B" w14:textId="77777777" w:rsidR="00350689" w:rsidRDefault="00F7473D" w:rsidP="00350689">
            <w:pPr>
              <w:pStyle w:val="zSoquijdatNoDossierAnt"/>
            </w:pPr>
            <w:r>
              <w:t>(460-17-002441-178)</w:t>
            </w:r>
          </w:p>
        </w:tc>
      </w:tr>
      <w:tr w:rsidR="00650C2C" w14:paraId="0AFAAC99" w14:textId="77777777" w:rsidTr="00350689">
        <w:tc>
          <w:tcPr>
            <w:tcW w:w="9360" w:type="dxa"/>
            <w:gridSpan w:val="6"/>
          </w:tcPr>
          <w:p w14:paraId="227F5C0A" w14:textId="77777777" w:rsidR="00350689" w:rsidRDefault="00350689"/>
        </w:tc>
      </w:tr>
      <w:tr w:rsidR="00650C2C" w14:paraId="1F1C9BA6" w14:textId="77777777" w:rsidTr="00350689">
        <w:tc>
          <w:tcPr>
            <w:tcW w:w="1030" w:type="dxa"/>
          </w:tcPr>
          <w:p w14:paraId="4DBC2F91" w14:textId="544FD555" w:rsidR="00350689" w:rsidRPr="007C493C" w:rsidRDefault="00F7473D" w:rsidP="00A215F9">
            <w:pPr>
              <w:pStyle w:val="zSoquijlblDateJugement"/>
            </w:pPr>
            <w:r w:rsidRPr="007C493C">
              <w:t>D</w:t>
            </w:r>
            <w:r w:rsidR="00A215F9" w:rsidRPr="007C493C">
              <w:t>ate</w:t>
            </w:r>
            <w:r w:rsidRPr="007C493C">
              <w:t>:</w:t>
            </w:r>
          </w:p>
        </w:tc>
        <w:tc>
          <w:tcPr>
            <w:tcW w:w="8330" w:type="dxa"/>
            <w:gridSpan w:val="5"/>
          </w:tcPr>
          <w:p w14:paraId="47799A2D" w14:textId="7E68BE31" w:rsidR="00350689" w:rsidRPr="007C493C" w:rsidRDefault="00F7473D" w:rsidP="00A215F9">
            <w:pPr>
              <w:pStyle w:val="zSoquijdatDateJugement"/>
            </w:pPr>
            <w:r>
              <w:fldChar w:fldCharType="begin"/>
            </w:r>
            <w:r>
              <w:instrText xml:space="preserve"> QUOTE " " </w:instrText>
            </w:r>
            <w:r>
              <w:fldChar w:fldCharType="separate"/>
            </w:r>
            <w:r>
              <w:t xml:space="preserve"> </w:t>
            </w:r>
            <w:r>
              <w:fldChar w:fldCharType="end"/>
            </w:r>
            <w:r w:rsidRPr="007C493C">
              <w:t>August</w:t>
            </w:r>
            <w:r w:rsidR="00A215F9" w:rsidRPr="007C493C">
              <w:t xml:space="preserve"> 23,</w:t>
            </w:r>
            <w:r w:rsidRPr="007C493C">
              <w:t xml:space="preserve"> 2022</w:t>
            </w:r>
          </w:p>
        </w:tc>
      </w:tr>
      <w:tr w:rsidR="00650C2C" w14:paraId="3D28DD16" w14:textId="77777777" w:rsidTr="00350689">
        <w:tc>
          <w:tcPr>
            <w:tcW w:w="9360" w:type="dxa"/>
            <w:gridSpan w:val="6"/>
            <w:tcBorders>
              <w:bottom w:val="single" w:sz="8" w:space="0" w:color="auto"/>
            </w:tcBorders>
          </w:tcPr>
          <w:p w14:paraId="278BE6FA" w14:textId="77777777" w:rsidR="00350689" w:rsidRDefault="00350689"/>
        </w:tc>
      </w:tr>
      <w:tr w:rsidR="00650C2C" w14:paraId="689E74DC" w14:textId="77777777" w:rsidTr="00350689">
        <w:tc>
          <w:tcPr>
            <w:tcW w:w="9360" w:type="dxa"/>
            <w:gridSpan w:val="6"/>
            <w:tcBorders>
              <w:top w:val="single" w:sz="8" w:space="0" w:color="auto"/>
            </w:tcBorders>
          </w:tcPr>
          <w:p w14:paraId="63B66DC8" w14:textId="77777777" w:rsidR="00350689" w:rsidRDefault="00350689"/>
        </w:tc>
      </w:tr>
      <w:tr w:rsidR="00650C2C" w14:paraId="2F05F4D9" w14:textId="77777777" w:rsidTr="00350689">
        <w:tc>
          <w:tcPr>
            <w:tcW w:w="1620" w:type="dxa"/>
            <w:gridSpan w:val="2"/>
          </w:tcPr>
          <w:p w14:paraId="21F608A5" w14:textId="5D006D0A" w:rsidR="00350689" w:rsidRPr="007C493C" w:rsidRDefault="00885C08" w:rsidP="00885C08">
            <w:pPr>
              <w:pStyle w:val="zSoquijlblJuge"/>
              <w:ind w:right="-142"/>
            </w:pPr>
            <w:bookmarkStart w:id="206" w:name="FORMATION"/>
            <w:r>
              <w:t>C</w:t>
            </w:r>
            <w:r w:rsidR="00A215F9" w:rsidRPr="007C493C">
              <w:t>OR</w:t>
            </w:r>
            <w:r>
              <w:t>A</w:t>
            </w:r>
            <w:r w:rsidR="00A215F9" w:rsidRPr="007C493C">
              <w:t>M</w:t>
            </w:r>
            <w:r w:rsidR="00F7473D" w:rsidRPr="007C493C">
              <w:t>:</w:t>
            </w:r>
            <w:bookmarkEnd w:id="206"/>
          </w:p>
        </w:tc>
        <w:tc>
          <w:tcPr>
            <w:tcW w:w="2350" w:type="dxa"/>
            <w:gridSpan w:val="2"/>
          </w:tcPr>
          <w:p w14:paraId="76B66AEB" w14:textId="29CDE18F" w:rsidR="00350689" w:rsidRDefault="00A215F9">
            <w:pPr>
              <w:pStyle w:val="zSoquijdatQteJuge"/>
            </w:pPr>
            <w:r>
              <w:t>THE HONORABLE</w:t>
            </w:r>
          </w:p>
        </w:tc>
        <w:tc>
          <w:tcPr>
            <w:tcW w:w="5390" w:type="dxa"/>
            <w:gridSpan w:val="2"/>
          </w:tcPr>
          <w:p w14:paraId="4F30B66D" w14:textId="0FBD63DE" w:rsidR="00350689" w:rsidRPr="007C493C" w:rsidRDefault="00F7473D">
            <w:pPr>
              <w:pStyle w:val="zSoquijdatJuge"/>
            </w:pPr>
            <w:bookmarkStart w:id="207" w:name="NomJuge1"/>
            <w:r w:rsidRPr="007C493C">
              <w:t xml:space="preserve">MARK SCHRAGER, </w:t>
            </w:r>
            <w:r w:rsidR="00A215F9" w:rsidRPr="007C493C">
              <w:t>J.A</w:t>
            </w:r>
            <w:r w:rsidRPr="007C493C">
              <w:t>.</w:t>
            </w:r>
            <w:bookmarkEnd w:id="207"/>
          </w:p>
          <w:p w14:paraId="1AD35395" w14:textId="2ADFFDEB" w:rsidR="00350689" w:rsidRPr="007C493C" w:rsidRDefault="00F7473D">
            <w:pPr>
              <w:pStyle w:val="zSoquijdatJuge"/>
            </w:pPr>
            <w:bookmarkStart w:id="208" w:name="NomJuge2"/>
            <w:r w:rsidRPr="007C493C">
              <w:t>MARIE-JOSÉE HOGUE, J.A.</w:t>
            </w:r>
            <w:bookmarkEnd w:id="208"/>
          </w:p>
          <w:p w14:paraId="383A48C1" w14:textId="1EA33C2B" w:rsidR="00350689" w:rsidRPr="007C493C" w:rsidRDefault="00F7473D" w:rsidP="00A215F9">
            <w:pPr>
              <w:pStyle w:val="zSoquijdatJuge"/>
              <w:rPr>
                <w:lang w:val="de-DE"/>
              </w:rPr>
            </w:pPr>
            <w:bookmarkStart w:id="209" w:name="_Hlt520513784"/>
            <w:bookmarkStart w:id="210" w:name="NomJuge3"/>
            <w:bookmarkEnd w:id="209"/>
            <w:r w:rsidRPr="007C493C">
              <w:t>STÉPHANE SANSFAÇON,</w:t>
            </w:r>
            <w:r w:rsidR="00885C08">
              <w:t xml:space="preserve"> </w:t>
            </w:r>
            <w:r w:rsidRPr="007C493C">
              <w:t>J.A.</w:t>
            </w:r>
            <w:bookmarkEnd w:id="210"/>
          </w:p>
        </w:tc>
      </w:tr>
      <w:tr w:rsidR="00650C2C" w14:paraId="10839365" w14:textId="77777777" w:rsidTr="00350689">
        <w:tc>
          <w:tcPr>
            <w:tcW w:w="9360" w:type="dxa"/>
            <w:gridSpan w:val="6"/>
            <w:tcBorders>
              <w:bottom w:val="single" w:sz="8" w:space="0" w:color="auto"/>
            </w:tcBorders>
          </w:tcPr>
          <w:p w14:paraId="128EEF6B" w14:textId="77777777" w:rsidR="00350689" w:rsidRDefault="00350689">
            <w:pPr>
              <w:rPr>
                <w:lang w:val="de-DE"/>
              </w:rPr>
            </w:pPr>
          </w:p>
        </w:tc>
      </w:tr>
      <w:tr w:rsidR="00650C2C" w14:paraId="613624D9" w14:textId="77777777" w:rsidTr="00350689">
        <w:tc>
          <w:tcPr>
            <w:tcW w:w="9360" w:type="dxa"/>
            <w:gridSpan w:val="6"/>
          </w:tcPr>
          <w:p w14:paraId="22BA5406" w14:textId="77777777" w:rsidR="00350689" w:rsidRDefault="00350689">
            <w:pPr>
              <w:pStyle w:val="zSoquijlblTitrePartie"/>
              <w:rPr>
                <w:lang w:val="de-DE"/>
              </w:rPr>
            </w:pPr>
          </w:p>
        </w:tc>
      </w:tr>
      <w:tr w:rsidR="00650C2C" w14:paraId="5FF69348" w14:textId="77777777" w:rsidTr="00350689">
        <w:tc>
          <w:tcPr>
            <w:tcW w:w="9360" w:type="dxa"/>
            <w:gridSpan w:val="6"/>
          </w:tcPr>
          <w:p w14:paraId="75307B49" w14:textId="55D48427" w:rsidR="00350689" w:rsidRDefault="00F7473D" w:rsidP="00350689">
            <w:pPr>
              <w:pStyle w:val="zSoquijdatNomPartieDem"/>
              <w:rPr>
                <w:lang w:val="de-DE"/>
              </w:rPr>
            </w:pPr>
            <w:r>
              <w:t>G.C.</w:t>
            </w:r>
          </w:p>
        </w:tc>
      </w:tr>
      <w:tr w:rsidR="00650C2C" w14:paraId="08C4C027" w14:textId="77777777" w:rsidTr="00350689">
        <w:tc>
          <w:tcPr>
            <w:tcW w:w="9360" w:type="dxa"/>
            <w:gridSpan w:val="6"/>
          </w:tcPr>
          <w:p w14:paraId="117D236D" w14:textId="398DBFB8" w:rsidR="00350689" w:rsidRPr="007C493C" w:rsidRDefault="00F7473D" w:rsidP="00885C08">
            <w:pPr>
              <w:pStyle w:val="zSoquijdatQtePartieDem"/>
              <w:rPr>
                <w:lang w:val="de-DE"/>
              </w:rPr>
            </w:pPr>
            <w:r w:rsidRPr="007C493C">
              <w:t>APPEL</w:t>
            </w:r>
            <w:r w:rsidR="00885C08">
              <w:t>L</w:t>
            </w:r>
            <w:r w:rsidRPr="007C493C">
              <w:t xml:space="preserve">ANT – </w:t>
            </w:r>
            <w:r w:rsidR="00885C08">
              <w:t>plaintiff</w:t>
            </w:r>
          </w:p>
        </w:tc>
      </w:tr>
      <w:tr w:rsidR="00650C2C" w14:paraId="08AC6C15" w14:textId="77777777" w:rsidTr="00350689">
        <w:tc>
          <w:tcPr>
            <w:tcW w:w="9360" w:type="dxa"/>
            <w:gridSpan w:val="6"/>
          </w:tcPr>
          <w:p w14:paraId="3071613F" w14:textId="77777777" w:rsidR="00350689" w:rsidRDefault="00350689">
            <w:pPr>
              <w:pStyle w:val="zSoquijdatQtePartieDem"/>
            </w:pPr>
          </w:p>
        </w:tc>
      </w:tr>
      <w:tr w:rsidR="00650C2C" w14:paraId="1590CCAF" w14:textId="77777777" w:rsidTr="00350689">
        <w:tc>
          <w:tcPr>
            <w:tcW w:w="9360" w:type="dxa"/>
            <w:gridSpan w:val="6"/>
          </w:tcPr>
          <w:p w14:paraId="7F0C4A71" w14:textId="00DA715A" w:rsidR="00350689" w:rsidRPr="007C493C" w:rsidRDefault="00F7473D" w:rsidP="007A06F0">
            <w:pPr>
              <w:pStyle w:val="zSoquijlblLienParties"/>
            </w:pPr>
            <w:r w:rsidRPr="007C493C">
              <w:t>v.</w:t>
            </w:r>
          </w:p>
        </w:tc>
      </w:tr>
      <w:tr w:rsidR="00650C2C" w14:paraId="4CC35A52" w14:textId="77777777" w:rsidTr="00350689">
        <w:tc>
          <w:tcPr>
            <w:tcW w:w="9360" w:type="dxa"/>
            <w:gridSpan w:val="6"/>
          </w:tcPr>
          <w:p w14:paraId="6F092452" w14:textId="77777777" w:rsidR="00350689" w:rsidRPr="00A215F9" w:rsidRDefault="00350689"/>
        </w:tc>
      </w:tr>
      <w:tr w:rsidR="00650C2C" w14:paraId="52AB5A67" w14:textId="77777777" w:rsidTr="00350689">
        <w:tc>
          <w:tcPr>
            <w:tcW w:w="9360" w:type="dxa"/>
            <w:gridSpan w:val="6"/>
          </w:tcPr>
          <w:p w14:paraId="7D6CD16E" w14:textId="48697B12" w:rsidR="00350689" w:rsidRPr="007C493C" w:rsidRDefault="007A06F0" w:rsidP="007A06F0">
            <w:pPr>
              <w:pStyle w:val="zSoquijdatNomPartieDef"/>
            </w:pPr>
            <w:r w:rsidRPr="007C493C">
              <w:t>RBC LIFE INSURANCE COMPANY</w:t>
            </w:r>
          </w:p>
        </w:tc>
      </w:tr>
      <w:tr w:rsidR="00650C2C" w14:paraId="373A6422" w14:textId="77777777" w:rsidTr="00350689">
        <w:tc>
          <w:tcPr>
            <w:tcW w:w="9360" w:type="dxa"/>
            <w:gridSpan w:val="6"/>
          </w:tcPr>
          <w:p w14:paraId="12B7FB8F" w14:textId="7A88540E" w:rsidR="00350689" w:rsidRPr="007C493C" w:rsidRDefault="007A06F0" w:rsidP="007A06F0">
            <w:pPr>
              <w:pStyle w:val="zSoquijdatQtePartieDef"/>
              <w:rPr>
                <w:lang w:val="en-CA"/>
              </w:rPr>
            </w:pPr>
            <w:r w:rsidRPr="007C493C">
              <w:t xml:space="preserve">RESPONDENT </w:t>
            </w:r>
            <w:r w:rsidR="00F7473D" w:rsidRPr="007C493C">
              <w:t>– defendant</w:t>
            </w:r>
          </w:p>
        </w:tc>
      </w:tr>
      <w:tr w:rsidR="00650C2C" w14:paraId="6F55B410" w14:textId="77777777" w:rsidTr="00350689">
        <w:tc>
          <w:tcPr>
            <w:tcW w:w="9360" w:type="dxa"/>
            <w:gridSpan w:val="6"/>
          </w:tcPr>
          <w:p w14:paraId="46EC390E" w14:textId="77777777" w:rsidR="00350689" w:rsidRDefault="00350689">
            <w:pPr>
              <w:pStyle w:val="zSoquijdatQtePartieDef"/>
            </w:pPr>
          </w:p>
        </w:tc>
      </w:tr>
      <w:tr w:rsidR="00650C2C" w14:paraId="2CA7F4B4" w14:textId="77777777" w:rsidTr="00350689">
        <w:tc>
          <w:tcPr>
            <w:tcW w:w="9360" w:type="dxa"/>
            <w:gridSpan w:val="6"/>
          </w:tcPr>
          <w:p w14:paraId="56203541" w14:textId="77777777" w:rsidR="00350689" w:rsidRDefault="00350689">
            <w:pPr>
              <w:rPr>
                <w:lang w:val="en-CA"/>
              </w:rPr>
            </w:pPr>
          </w:p>
        </w:tc>
      </w:tr>
      <w:tr w:rsidR="00650C2C" w14:paraId="78A914BB" w14:textId="77777777" w:rsidTr="00350689">
        <w:tc>
          <w:tcPr>
            <w:tcW w:w="9360" w:type="dxa"/>
            <w:gridSpan w:val="6"/>
            <w:tcBorders>
              <w:top w:val="single" w:sz="8" w:space="0" w:color="auto"/>
            </w:tcBorders>
          </w:tcPr>
          <w:p w14:paraId="42635B0F" w14:textId="77777777" w:rsidR="00350689" w:rsidRDefault="00350689">
            <w:pPr>
              <w:rPr>
                <w:lang w:val="en-CA"/>
              </w:rPr>
            </w:pPr>
            <w:bookmarkStart w:id="211" w:name="Arret"/>
          </w:p>
        </w:tc>
      </w:tr>
      <w:tr w:rsidR="00650C2C" w14:paraId="08CFDB97" w14:textId="77777777" w:rsidTr="00350689">
        <w:tc>
          <w:tcPr>
            <w:tcW w:w="9360" w:type="dxa"/>
            <w:gridSpan w:val="6"/>
          </w:tcPr>
          <w:p w14:paraId="098D3250" w14:textId="287105D3" w:rsidR="00350689" w:rsidRDefault="007A06F0" w:rsidP="007A06F0">
            <w:pPr>
              <w:pStyle w:val="zSoquijlblTypeDocument"/>
            </w:pPr>
            <w:r>
              <w:t>JUDGMENT</w:t>
            </w:r>
          </w:p>
        </w:tc>
      </w:tr>
      <w:tr w:rsidR="00650C2C" w14:paraId="7C2ECFB1" w14:textId="77777777" w:rsidTr="00350689">
        <w:tc>
          <w:tcPr>
            <w:tcW w:w="9360" w:type="dxa"/>
            <w:gridSpan w:val="6"/>
            <w:tcBorders>
              <w:bottom w:val="single" w:sz="8" w:space="0" w:color="auto"/>
            </w:tcBorders>
          </w:tcPr>
          <w:p w14:paraId="2927EFFF" w14:textId="77777777" w:rsidR="00350689" w:rsidRDefault="00350689"/>
        </w:tc>
      </w:tr>
      <w:tr w:rsidR="00650C2C" w14:paraId="55FF06AD" w14:textId="77777777" w:rsidTr="00350689">
        <w:tc>
          <w:tcPr>
            <w:tcW w:w="9360" w:type="dxa"/>
            <w:gridSpan w:val="6"/>
            <w:tcBorders>
              <w:top w:val="single" w:sz="8" w:space="0" w:color="auto"/>
            </w:tcBorders>
          </w:tcPr>
          <w:p w14:paraId="2AE2B323" w14:textId="77777777" w:rsidR="00350689" w:rsidRDefault="00350689"/>
        </w:tc>
      </w:tr>
    </w:tbl>
    <w:p w14:paraId="1642BC2E" w14:textId="77777777" w:rsidR="00350689" w:rsidRDefault="00350689" w:rsidP="00350689">
      <w:pPr>
        <w:tabs>
          <w:tab w:val="left" w:pos="630"/>
        </w:tabs>
        <w:spacing w:line="240" w:lineRule="auto"/>
        <w:jc w:val="both"/>
        <w:rPr>
          <w:rFonts w:cs="Arial"/>
          <w:b/>
          <w:szCs w:val="24"/>
          <w:u w:val="single"/>
        </w:rPr>
      </w:pPr>
    </w:p>
    <w:p w14:paraId="68DD36A8" w14:textId="6F4D8EE9" w:rsidR="00350689" w:rsidRPr="007A06F0" w:rsidRDefault="007A06F0" w:rsidP="00350689">
      <w:pPr>
        <w:tabs>
          <w:tab w:val="left" w:pos="630"/>
        </w:tabs>
        <w:spacing w:line="240" w:lineRule="auto"/>
        <w:jc w:val="both"/>
        <w:rPr>
          <w:rFonts w:asciiTheme="minorHAnsi" w:hAnsiTheme="minorHAnsi" w:cstheme="minorHAnsi"/>
          <w:b/>
          <w:szCs w:val="24"/>
          <w:lang w:val="en-CA"/>
        </w:rPr>
      </w:pPr>
      <w:r w:rsidRPr="007A06F0">
        <w:rPr>
          <w:rFonts w:asciiTheme="minorHAnsi" w:hAnsiTheme="minorHAnsi" w:cstheme="minorHAnsi"/>
          <w:b/>
          <w:szCs w:val="24"/>
          <w:u w:val="single"/>
          <w:lang w:val="en-CA"/>
        </w:rPr>
        <w:t>WARNING</w:t>
      </w:r>
      <w:r w:rsidR="00F7473D" w:rsidRPr="007A06F0">
        <w:rPr>
          <w:rFonts w:asciiTheme="minorHAnsi" w:hAnsiTheme="minorHAnsi" w:cstheme="minorHAnsi"/>
          <w:b/>
          <w:szCs w:val="24"/>
          <w:lang w:val="en-CA"/>
        </w:rPr>
        <w:t xml:space="preserve">: </w:t>
      </w:r>
      <w:r w:rsidR="005E57DA">
        <w:rPr>
          <w:rFonts w:asciiTheme="minorHAnsi" w:hAnsiTheme="minorHAnsi" w:cstheme="minorHAnsi"/>
          <w:b/>
          <w:szCs w:val="24"/>
          <w:lang w:val="en-CA"/>
        </w:rPr>
        <w:t>An</w:t>
      </w:r>
      <w:r w:rsidR="00F7473D" w:rsidRPr="007A06F0">
        <w:rPr>
          <w:rFonts w:asciiTheme="minorHAnsi" w:hAnsiTheme="minorHAnsi" w:cstheme="minorHAnsi"/>
          <w:b/>
          <w:szCs w:val="24"/>
          <w:lang w:val="en-CA"/>
        </w:rPr>
        <w:t xml:space="preserve"> </w:t>
      </w:r>
      <w:r w:rsidR="00F7473D" w:rsidRPr="007C493C">
        <w:rPr>
          <w:rFonts w:asciiTheme="minorHAnsi" w:hAnsiTheme="minorHAnsi" w:cstheme="minorHAnsi"/>
          <w:b/>
          <w:szCs w:val="24"/>
          <w:lang w:val="en-CA"/>
        </w:rPr>
        <w:t>order</w:t>
      </w:r>
      <w:r w:rsidRPr="007C493C">
        <w:rPr>
          <w:rFonts w:asciiTheme="minorHAnsi" w:hAnsiTheme="minorHAnsi" w:cstheme="minorHAnsi"/>
          <w:b/>
          <w:szCs w:val="24"/>
          <w:lang w:val="en-CA"/>
        </w:rPr>
        <w:t xml:space="preserve"> under article </w:t>
      </w:r>
      <w:r w:rsidR="00F7473D" w:rsidRPr="007A06F0">
        <w:rPr>
          <w:rFonts w:asciiTheme="minorHAnsi" w:hAnsiTheme="minorHAnsi" w:cstheme="minorHAnsi"/>
          <w:b/>
          <w:szCs w:val="24"/>
          <w:lang w:val="en-CA"/>
        </w:rPr>
        <w:t>12</w:t>
      </w:r>
      <w:r w:rsidRPr="007A06F0">
        <w:rPr>
          <w:rFonts w:asciiTheme="minorHAnsi" w:hAnsiTheme="minorHAnsi" w:cstheme="minorHAnsi"/>
          <w:b/>
          <w:szCs w:val="24"/>
          <w:lang w:val="en-CA"/>
        </w:rPr>
        <w:t xml:space="preserve"> </w:t>
      </w:r>
      <w:r w:rsidR="00F7473D" w:rsidRPr="00E84F65">
        <w:rPr>
          <w:rFonts w:asciiTheme="minorHAnsi" w:hAnsiTheme="minorHAnsi" w:cstheme="minorHAnsi"/>
          <w:b/>
          <w:szCs w:val="24"/>
          <w:lang w:val="en-CA"/>
        </w:rPr>
        <w:t>C.C</w:t>
      </w:r>
      <w:r w:rsidRPr="00E84F65">
        <w:rPr>
          <w:rFonts w:asciiTheme="minorHAnsi" w:hAnsiTheme="minorHAnsi" w:cstheme="minorHAnsi"/>
          <w:b/>
          <w:szCs w:val="24"/>
          <w:lang w:val="en-CA"/>
        </w:rPr>
        <w:t>.P.</w:t>
      </w:r>
      <w:r w:rsidR="00F7473D" w:rsidRPr="007A06F0">
        <w:rPr>
          <w:rFonts w:asciiTheme="minorHAnsi" w:hAnsiTheme="minorHAnsi" w:cstheme="minorHAnsi"/>
          <w:b/>
          <w:i/>
          <w:szCs w:val="24"/>
          <w:lang w:val="en-CA"/>
        </w:rPr>
        <w:t xml:space="preserve"> </w:t>
      </w:r>
      <w:r w:rsidRPr="007A06F0">
        <w:rPr>
          <w:rFonts w:asciiTheme="minorHAnsi" w:hAnsiTheme="minorHAnsi" w:cstheme="minorHAnsi"/>
          <w:b/>
          <w:szCs w:val="24"/>
          <w:lang w:val="en-CA"/>
        </w:rPr>
        <w:t xml:space="preserve">is </w:t>
      </w:r>
      <w:r w:rsidR="00E84F65">
        <w:rPr>
          <w:rFonts w:asciiTheme="minorHAnsi" w:hAnsiTheme="minorHAnsi" w:cstheme="minorHAnsi"/>
          <w:b/>
          <w:szCs w:val="24"/>
          <w:lang w:val="en-CA"/>
        </w:rPr>
        <w:t>issued</w:t>
      </w:r>
      <w:r w:rsidRPr="007A06F0">
        <w:rPr>
          <w:rFonts w:asciiTheme="minorHAnsi" w:hAnsiTheme="minorHAnsi" w:cstheme="minorHAnsi"/>
          <w:b/>
          <w:szCs w:val="24"/>
          <w:lang w:val="en-CA"/>
        </w:rPr>
        <w:t xml:space="preserve"> to </w:t>
      </w:r>
      <w:r w:rsidR="00E84F65">
        <w:rPr>
          <w:rFonts w:asciiTheme="minorHAnsi" w:hAnsiTheme="minorHAnsi" w:cstheme="minorHAnsi"/>
          <w:b/>
          <w:szCs w:val="24"/>
          <w:lang w:val="en-CA"/>
        </w:rPr>
        <w:t>protect</w:t>
      </w:r>
      <w:r w:rsidRPr="007A06F0">
        <w:rPr>
          <w:rFonts w:asciiTheme="minorHAnsi" w:hAnsiTheme="minorHAnsi" w:cstheme="minorHAnsi"/>
          <w:b/>
          <w:szCs w:val="24"/>
          <w:lang w:val="en-CA"/>
        </w:rPr>
        <w:t xml:space="preserve"> the</w:t>
      </w:r>
      <w:r w:rsidR="00E71CA0">
        <w:rPr>
          <w:rFonts w:asciiTheme="minorHAnsi" w:hAnsiTheme="minorHAnsi" w:cstheme="minorHAnsi"/>
          <w:b/>
          <w:szCs w:val="24"/>
          <w:lang w:val="en-CA"/>
        </w:rPr>
        <w:t xml:space="preserve"> appellant’s</w:t>
      </w:r>
      <w:r w:rsidRPr="007A06F0">
        <w:rPr>
          <w:rFonts w:asciiTheme="minorHAnsi" w:hAnsiTheme="minorHAnsi" w:cstheme="minorHAnsi"/>
          <w:b/>
          <w:szCs w:val="24"/>
          <w:lang w:val="en-CA"/>
        </w:rPr>
        <w:t xml:space="preserve"> anonymity and to prohibit </w:t>
      </w:r>
      <w:r>
        <w:rPr>
          <w:rFonts w:asciiTheme="minorHAnsi" w:hAnsiTheme="minorHAnsi" w:cstheme="minorHAnsi"/>
          <w:b/>
          <w:szCs w:val="24"/>
          <w:lang w:val="en-CA"/>
        </w:rPr>
        <w:t xml:space="preserve">his </w:t>
      </w:r>
      <w:r w:rsidRPr="007A06F0">
        <w:rPr>
          <w:rFonts w:asciiTheme="minorHAnsi" w:hAnsiTheme="minorHAnsi" w:cstheme="minorHAnsi"/>
          <w:b/>
          <w:szCs w:val="24"/>
          <w:lang w:val="en-CA"/>
        </w:rPr>
        <w:t>identification other than by his initials.</w:t>
      </w:r>
    </w:p>
    <w:p w14:paraId="5E9D43F8" w14:textId="55ADE075" w:rsidR="00350689" w:rsidRPr="007A06F0" w:rsidRDefault="00350689" w:rsidP="00350689">
      <w:pPr>
        <w:tabs>
          <w:tab w:val="left" w:pos="630"/>
        </w:tabs>
        <w:spacing w:line="240" w:lineRule="auto"/>
        <w:jc w:val="both"/>
        <w:rPr>
          <w:rFonts w:cs="Arial"/>
          <w:b/>
          <w:szCs w:val="24"/>
          <w:lang w:val="en-CA"/>
        </w:rPr>
      </w:pPr>
    </w:p>
    <w:p w14:paraId="336FDE90" w14:textId="22C8D837" w:rsidR="00350689" w:rsidRPr="004172BE" w:rsidRDefault="005E57DA" w:rsidP="00350689">
      <w:pPr>
        <w:pStyle w:val="Paragraphe"/>
        <w:spacing w:line="240" w:lineRule="auto"/>
        <w:rPr>
          <w:lang w:val="en-CA"/>
        </w:rPr>
      </w:pPr>
      <w:r w:rsidRPr="005E57DA">
        <w:rPr>
          <w:lang w:val="en-CA"/>
        </w:rPr>
        <w:t xml:space="preserve">The </w:t>
      </w:r>
      <w:r w:rsidRPr="007C493C">
        <w:rPr>
          <w:lang w:val="en-CA"/>
        </w:rPr>
        <w:t xml:space="preserve">appellant appeals from a judgment </w:t>
      </w:r>
      <w:r w:rsidR="00687906">
        <w:rPr>
          <w:lang w:val="en-CA"/>
        </w:rPr>
        <w:t>of</w:t>
      </w:r>
      <w:r w:rsidRPr="007C493C">
        <w:rPr>
          <w:lang w:val="en-CA"/>
        </w:rPr>
        <w:t xml:space="preserve"> the Superior Court,</w:t>
      </w:r>
      <w:r w:rsidR="00F7473D" w:rsidRPr="005E57DA">
        <w:rPr>
          <w:lang w:val="en-CA"/>
        </w:rPr>
        <w:t xml:space="preserve"> </w:t>
      </w:r>
      <w:r w:rsidRPr="005E57DA">
        <w:rPr>
          <w:lang w:val="en-CA"/>
        </w:rPr>
        <w:t>D</w:t>
      </w:r>
      <w:r w:rsidR="00F7473D" w:rsidRPr="005E57DA">
        <w:rPr>
          <w:lang w:val="en-CA"/>
        </w:rPr>
        <w:t xml:space="preserve">istrict </w:t>
      </w:r>
      <w:r>
        <w:rPr>
          <w:lang w:val="en-CA"/>
        </w:rPr>
        <w:t xml:space="preserve">of </w:t>
      </w:r>
      <w:r w:rsidR="00F7473D" w:rsidRPr="005E57DA">
        <w:rPr>
          <w:lang w:val="en-CA"/>
        </w:rPr>
        <w:t xml:space="preserve">Bedford, </w:t>
      </w:r>
      <w:r w:rsidR="00687906">
        <w:rPr>
          <w:lang w:val="en-CA"/>
        </w:rPr>
        <w:t xml:space="preserve">rendered </w:t>
      </w:r>
      <w:r>
        <w:rPr>
          <w:lang w:val="en-CA"/>
        </w:rPr>
        <w:t xml:space="preserve">on February </w:t>
      </w:r>
      <w:r w:rsidR="00F7473D" w:rsidRPr="005E57DA">
        <w:rPr>
          <w:lang w:val="en-CA"/>
        </w:rPr>
        <w:t>9</w:t>
      </w:r>
      <w:r>
        <w:rPr>
          <w:lang w:val="en-CA"/>
        </w:rPr>
        <w:t xml:space="preserve">, </w:t>
      </w:r>
      <w:r w:rsidR="00F7473D" w:rsidRPr="005E57DA">
        <w:rPr>
          <w:lang w:val="en-CA"/>
        </w:rPr>
        <w:t>2021 (</w:t>
      </w:r>
      <w:r>
        <w:rPr>
          <w:lang w:val="en-CA"/>
        </w:rPr>
        <w:t xml:space="preserve">the Honourable </w:t>
      </w:r>
      <w:r w:rsidR="00F7473D" w:rsidRPr="005E57DA">
        <w:rPr>
          <w:lang w:val="en-CA"/>
        </w:rPr>
        <w:t xml:space="preserve">Claude Villeneuve), </w:t>
      </w:r>
      <w:r w:rsidR="00687906">
        <w:rPr>
          <w:lang w:val="en-CA"/>
        </w:rPr>
        <w:t>granting</w:t>
      </w:r>
      <w:r>
        <w:rPr>
          <w:lang w:val="en-CA"/>
        </w:rPr>
        <w:t xml:space="preserve"> in part his amended </w:t>
      </w:r>
      <w:r w:rsidR="00F7473D" w:rsidRPr="007C493C">
        <w:rPr>
          <w:lang w:val="en-CA"/>
        </w:rPr>
        <w:t>originating application</w:t>
      </w:r>
      <w:r w:rsidR="00F7473D" w:rsidRPr="005E57DA">
        <w:rPr>
          <w:lang w:val="en-CA"/>
        </w:rPr>
        <w:t xml:space="preserve">. </w:t>
      </w:r>
      <w:r w:rsidRPr="005E57DA">
        <w:rPr>
          <w:lang w:val="en-CA"/>
        </w:rPr>
        <w:t xml:space="preserve">The judgment declared that he was not totally disabled within the meaning of </w:t>
      </w:r>
      <w:r w:rsidR="00885C08">
        <w:rPr>
          <w:lang w:val="en-CA"/>
        </w:rPr>
        <w:t xml:space="preserve">his </w:t>
      </w:r>
      <w:r>
        <w:rPr>
          <w:lang w:val="en-CA"/>
        </w:rPr>
        <w:t xml:space="preserve">insurance policy with the respondent, except for the period between April 13, 2014, and April 11, 2015. </w:t>
      </w:r>
      <w:r w:rsidR="00687906">
        <w:rPr>
          <w:lang w:val="en-CA"/>
        </w:rPr>
        <w:t>It</w:t>
      </w:r>
      <w:r w:rsidR="00DE2D22">
        <w:rPr>
          <w:lang w:val="en-CA"/>
        </w:rPr>
        <w:t xml:space="preserve"> found that </w:t>
      </w:r>
      <w:r w:rsidRPr="005E57DA">
        <w:rPr>
          <w:lang w:val="en-CA"/>
        </w:rPr>
        <w:t xml:space="preserve">no amount </w:t>
      </w:r>
      <w:r w:rsidR="00DE2D22">
        <w:rPr>
          <w:lang w:val="en-CA"/>
        </w:rPr>
        <w:t>was</w:t>
      </w:r>
      <w:r w:rsidRPr="005E57DA">
        <w:rPr>
          <w:lang w:val="en-CA"/>
        </w:rPr>
        <w:t xml:space="preserve"> owing to him for the period </w:t>
      </w:r>
      <w:r w:rsidR="00885C08">
        <w:rPr>
          <w:lang w:val="en-CA"/>
        </w:rPr>
        <w:t xml:space="preserve">prior </w:t>
      </w:r>
      <w:r w:rsidRPr="005E57DA">
        <w:rPr>
          <w:lang w:val="en-CA"/>
        </w:rPr>
        <w:t xml:space="preserve">to February 11, 2015, </w:t>
      </w:r>
      <w:r w:rsidR="00DE2D22">
        <w:rPr>
          <w:lang w:val="en-CA"/>
        </w:rPr>
        <w:t xml:space="preserve">and </w:t>
      </w:r>
      <w:r w:rsidR="00E71CA0">
        <w:rPr>
          <w:lang w:val="en-CA"/>
        </w:rPr>
        <w:t xml:space="preserve">accordingly </w:t>
      </w:r>
      <w:r w:rsidRPr="005E57DA">
        <w:rPr>
          <w:lang w:val="en-CA"/>
        </w:rPr>
        <w:t xml:space="preserve">declared that he </w:t>
      </w:r>
      <w:r>
        <w:rPr>
          <w:lang w:val="en-CA"/>
        </w:rPr>
        <w:t xml:space="preserve">was </w:t>
      </w:r>
      <w:r w:rsidRPr="005E57DA">
        <w:rPr>
          <w:lang w:val="en-CA"/>
        </w:rPr>
        <w:t xml:space="preserve">entitled to </w:t>
      </w:r>
      <w:r>
        <w:rPr>
          <w:lang w:val="en-CA"/>
        </w:rPr>
        <w:t xml:space="preserve">total </w:t>
      </w:r>
      <w:r w:rsidRPr="005E57DA">
        <w:rPr>
          <w:lang w:val="en-CA"/>
        </w:rPr>
        <w:t>disability insurance benefits</w:t>
      </w:r>
      <w:r>
        <w:rPr>
          <w:lang w:val="en-CA"/>
        </w:rPr>
        <w:t xml:space="preserve"> only for the period between </w:t>
      </w:r>
      <w:r w:rsidR="00F7473D" w:rsidRPr="007C493C">
        <w:rPr>
          <w:lang w:val="en-CA"/>
        </w:rPr>
        <w:t>February</w:t>
      </w:r>
      <w:r w:rsidRPr="007C493C">
        <w:rPr>
          <w:lang w:val="en-CA"/>
        </w:rPr>
        <w:t xml:space="preserve"> </w:t>
      </w:r>
      <w:r w:rsidR="00A35BFD" w:rsidRPr="007C493C">
        <w:rPr>
          <w:lang w:val="en-CA"/>
        </w:rPr>
        <w:t xml:space="preserve">11 </w:t>
      </w:r>
      <w:r w:rsidR="00E71CA0">
        <w:rPr>
          <w:lang w:val="en-CA"/>
        </w:rPr>
        <w:t>and</w:t>
      </w:r>
      <w:r w:rsidRPr="007C493C">
        <w:rPr>
          <w:lang w:val="en-CA"/>
        </w:rPr>
        <w:t xml:space="preserve"> April 11,</w:t>
      </w:r>
      <w:r w:rsidR="00F7473D" w:rsidRPr="005E57DA">
        <w:rPr>
          <w:lang w:val="en-CA"/>
        </w:rPr>
        <w:t xml:space="preserve"> 2015</w:t>
      </w:r>
      <w:r>
        <w:rPr>
          <w:lang w:val="en-CA"/>
        </w:rPr>
        <w:t>,</w:t>
      </w:r>
      <w:r w:rsidR="00F7473D" w:rsidRPr="005E57DA">
        <w:rPr>
          <w:lang w:val="en-CA"/>
        </w:rPr>
        <w:t xml:space="preserve"> </w:t>
      </w:r>
      <w:r w:rsidR="004172BE">
        <w:rPr>
          <w:lang w:val="en-CA"/>
        </w:rPr>
        <w:t xml:space="preserve">and to residual </w:t>
      </w:r>
      <w:r w:rsidR="0041670C">
        <w:rPr>
          <w:lang w:val="en-CA"/>
        </w:rPr>
        <w:t>disability</w:t>
      </w:r>
      <w:r w:rsidR="004172BE">
        <w:rPr>
          <w:lang w:val="en-CA"/>
        </w:rPr>
        <w:t xml:space="preserve"> benefits </w:t>
      </w:r>
      <w:r w:rsidR="00885C08">
        <w:rPr>
          <w:lang w:val="en-CA"/>
        </w:rPr>
        <w:t xml:space="preserve">only </w:t>
      </w:r>
      <w:r w:rsidR="004172BE">
        <w:rPr>
          <w:lang w:val="en-CA"/>
        </w:rPr>
        <w:t xml:space="preserve">for the period between </w:t>
      </w:r>
      <w:r w:rsidR="00F7473D" w:rsidRPr="007C493C">
        <w:rPr>
          <w:lang w:val="en-CA"/>
        </w:rPr>
        <w:t>April</w:t>
      </w:r>
      <w:r w:rsidR="004172BE" w:rsidRPr="007C493C">
        <w:rPr>
          <w:lang w:val="en-CA"/>
        </w:rPr>
        <w:t xml:space="preserve"> 11,</w:t>
      </w:r>
      <w:r w:rsidR="00F7473D" w:rsidRPr="005E57DA">
        <w:rPr>
          <w:lang w:val="en-CA"/>
        </w:rPr>
        <w:t xml:space="preserve"> 2015</w:t>
      </w:r>
      <w:r w:rsidR="004172BE">
        <w:rPr>
          <w:lang w:val="en-CA"/>
        </w:rPr>
        <w:t xml:space="preserve">, </w:t>
      </w:r>
      <w:r w:rsidR="00E71CA0">
        <w:rPr>
          <w:lang w:val="en-CA"/>
        </w:rPr>
        <w:t xml:space="preserve">and </w:t>
      </w:r>
      <w:r w:rsidR="004172BE">
        <w:rPr>
          <w:lang w:val="en-CA"/>
        </w:rPr>
        <w:lastRenderedPageBreak/>
        <w:t xml:space="preserve">February </w:t>
      </w:r>
      <w:r w:rsidR="00F7473D" w:rsidRPr="005E57DA">
        <w:rPr>
          <w:lang w:val="en-CA"/>
        </w:rPr>
        <w:t>11</w:t>
      </w:r>
      <w:r w:rsidR="004172BE">
        <w:rPr>
          <w:lang w:val="en-CA"/>
        </w:rPr>
        <w:t>,</w:t>
      </w:r>
      <w:r w:rsidR="00F7473D" w:rsidRPr="005E57DA">
        <w:rPr>
          <w:lang w:val="en-CA"/>
        </w:rPr>
        <w:t xml:space="preserve"> 2016. </w:t>
      </w:r>
      <w:r w:rsidR="004172BE" w:rsidRPr="004172BE">
        <w:rPr>
          <w:lang w:val="en-CA"/>
        </w:rPr>
        <w:t xml:space="preserve">The judge therefore condemned the respondent to pay </w:t>
      </w:r>
      <w:r w:rsidR="00E71CA0">
        <w:rPr>
          <w:lang w:val="en-CA"/>
        </w:rPr>
        <w:t>the appellant</w:t>
      </w:r>
      <w:r w:rsidR="004172BE" w:rsidRPr="004172BE">
        <w:rPr>
          <w:lang w:val="en-CA"/>
        </w:rPr>
        <w:t xml:space="preserve"> $49,247 in </w:t>
      </w:r>
      <w:r w:rsidR="00E71CA0">
        <w:rPr>
          <w:lang w:val="en-CA"/>
        </w:rPr>
        <w:t xml:space="preserve">disability </w:t>
      </w:r>
      <w:r w:rsidR="004172BE" w:rsidRPr="004172BE">
        <w:rPr>
          <w:lang w:val="en-CA"/>
        </w:rPr>
        <w:t xml:space="preserve">benefits and </w:t>
      </w:r>
      <w:r w:rsidR="004172BE">
        <w:rPr>
          <w:lang w:val="en-CA"/>
        </w:rPr>
        <w:t>$</w:t>
      </w:r>
      <w:r w:rsidR="00F7473D" w:rsidRPr="004172BE">
        <w:rPr>
          <w:lang w:val="en-CA"/>
        </w:rPr>
        <w:t>3</w:t>
      </w:r>
      <w:r w:rsidR="004172BE">
        <w:rPr>
          <w:lang w:val="en-CA"/>
        </w:rPr>
        <w:t>,</w:t>
      </w:r>
      <w:r w:rsidR="00F7473D" w:rsidRPr="004172BE">
        <w:rPr>
          <w:lang w:val="en-CA"/>
        </w:rPr>
        <w:t>053</w:t>
      </w:r>
      <w:r w:rsidR="004172BE">
        <w:rPr>
          <w:lang w:val="en-CA"/>
        </w:rPr>
        <w:t>.</w:t>
      </w:r>
      <w:r w:rsidR="00F7473D" w:rsidRPr="004172BE">
        <w:rPr>
          <w:lang w:val="en-CA"/>
        </w:rPr>
        <w:t>44 </w:t>
      </w:r>
      <w:r w:rsidR="00E71CA0">
        <w:rPr>
          <w:lang w:val="en-CA"/>
        </w:rPr>
        <w:t xml:space="preserve">to reimburse the </w:t>
      </w:r>
      <w:r w:rsidR="004172BE">
        <w:rPr>
          <w:lang w:val="en-CA"/>
        </w:rPr>
        <w:t xml:space="preserve">insurance premiums </w:t>
      </w:r>
      <w:r w:rsidR="00E71CA0">
        <w:rPr>
          <w:lang w:val="en-CA"/>
        </w:rPr>
        <w:t xml:space="preserve">he </w:t>
      </w:r>
      <w:r w:rsidR="004172BE">
        <w:rPr>
          <w:lang w:val="en-CA"/>
        </w:rPr>
        <w:t>paid between February 1, 2015, and February 28, 2016, with interest, the additional indemnity, and legal costs;</w:t>
      </w:r>
    </w:p>
    <w:p w14:paraId="155AC606" w14:textId="0C499C67" w:rsidR="00350689" w:rsidRPr="007A06F0" w:rsidRDefault="007A06F0" w:rsidP="00350689">
      <w:pPr>
        <w:pStyle w:val="Paragraphe"/>
        <w:spacing w:line="240" w:lineRule="auto"/>
        <w:rPr>
          <w:lang w:val="en-CA"/>
        </w:rPr>
      </w:pPr>
      <w:r w:rsidRPr="007C493C">
        <w:rPr>
          <w:lang w:val="en-CA"/>
        </w:rPr>
        <w:t>For the reasons of</w:t>
      </w:r>
      <w:r w:rsidR="00F7473D" w:rsidRPr="007C493C">
        <w:rPr>
          <w:lang w:val="en-CA"/>
        </w:rPr>
        <w:t xml:space="preserve"> Hogue</w:t>
      </w:r>
      <w:r w:rsidRPr="007C493C">
        <w:rPr>
          <w:lang w:val="en-CA"/>
        </w:rPr>
        <w:t xml:space="preserve"> J.A.</w:t>
      </w:r>
      <w:r w:rsidR="00F7473D" w:rsidRPr="007C493C">
        <w:rPr>
          <w:lang w:val="en-CA"/>
        </w:rPr>
        <w:t xml:space="preserve">, </w:t>
      </w:r>
      <w:r w:rsidRPr="007C493C">
        <w:rPr>
          <w:lang w:val="en-CA"/>
        </w:rPr>
        <w:t xml:space="preserve">with which </w:t>
      </w:r>
      <w:r w:rsidR="00F7473D" w:rsidRPr="007C493C">
        <w:rPr>
          <w:lang w:val="en-CA"/>
        </w:rPr>
        <w:t xml:space="preserve">Schrager </w:t>
      </w:r>
      <w:r w:rsidRPr="007C493C">
        <w:rPr>
          <w:lang w:val="en-CA"/>
        </w:rPr>
        <w:t>and Sansfaçon JJ.A. agree,</w:t>
      </w:r>
      <w:r>
        <w:rPr>
          <w:lang w:val="en-CA"/>
        </w:rPr>
        <w:t xml:space="preserve"> </w:t>
      </w:r>
      <w:r w:rsidRPr="007A06F0">
        <w:rPr>
          <w:b/>
          <w:lang w:val="en-CA"/>
        </w:rPr>
        <w:t>THE COURT:</w:t>
      </w:r>
    </w:p>
    <w:p w14:paraId="19971998" w14:textId="18F7F7FD" w:rsidR="00350689" w:rsidRPr="007A06F0" w:rsidRDefault="00455CEC" w:rsidP="00350689">
      <w:pPr>
        <w:pStyle w:val="Paragraphe"/>
        <w:spacing w:line="240" w:lineRule="auto"/>
        <w:rPr>
          <w:lang w:val="en-CA"/>
        </w:rPr>
      </w:pPr>
      <w:r>
        <w:rPr>
          <w:b/>
          <w:lang w:val="en-CA"/>
        </w:rPr>
        <w:t>RENDERS</w:t>
      </w:r>
      <w:r w:rsidR="00F7473D" w:rsidRPr="007A06F0">
        <w:rPr>
          <w:b/>
          <w:lang w:val="en-CA"/>
        </w:rPr>
        <w:t xml:space="preserve"> </w:t>
      </w:r>
      <w:r w:rsidR="007A06F0" w:rsidRPr="007A06F0">
        <w:rPr>
          <w:lang w:val="en-CA"/>
        </w:rPr>
        <w:t xml:space="preserve">an </w:t>
      </w:r>
      <w:r w:rsidR="00F7473D" w:rsidRPr="007C493C">
        <w:rPr>
          <w:lang w:val="en-CA"/>
        </w:rPr>
        <w:t>order</w:t>
      </w:r>
      <w:r w:rsidR="007A06F0" w:rsidRPr="007C493C">
        <w:rPr>
          <w:lang w:val="en-CA"/>
        </w:rPr>
        <w:t xml:space="preserve"> under </w:t>
      </w:r>
      <w:r w:rsidR="00F7473D" w:rsidRPr="007C493C">
        <w:rPr>
          <w:lang w:val="en-CA"/>
        </w:rPr>
        <w:t xml:space="preserve">article </w:t>
      </w:r>
      <w:r w:rsidR="00F7473D" w:rsidRPr="007A06F0">
        <w:rPr>
          <w:lang w:val="en-CA"/>
        </w:rPr>
        <w:t xml:space="preserve">12 </w:t>
      </w:r>
      <w:r w:rsidR="007A06F0" w:rsidRPr="007A06F0">
        <w:rPr>
          <w:lang w:val="en-CA"/>
        </w:rPr>
        <w:t xml:space="preserve">of the </w:t>
      </w:r>
      <w:r w:rsidR="00F7473D" w:rsidRPr="007C493C">
        <w:rPr>
          <w:i/>
          <w:iCs/>
          <w:lang w:val="en-CA"/>
        </w:rPr>
        <w:t xml:space="preserve">Code of Civil </w:t>
      </w:r>
      <w:r w:rsidR="007A06F0" w:rsidRPr="007C493C">
        <w:rPr>
          <w:i/>
          <w:iCs/>
          <w:lang w:val="en-CA"/>
        </w:rPr>
        <w:t xml:space="preserve">Procedure </w:t>
      </w:r>
      <w:r w:rsidR="007A06F0" w:rsidRPr="007C493C">
        <w:rPr>
          <w:iCs/>
          <w:lang w:val="en-CA"/>
        </w:rPr>
        <w:t xml:space="preserve">to </w:t>
      </w:r>
      <w:r w:rsidR="00E71CA0">
        <w:rPr>
          <w:iCs/>
          <w:lang w:val="en-CA"/>
        </w:rPr>
        <w:t>protect</w:t>
      </w:r>
      <w:r w:rsidR="007A06F0" w:rsidRPr="007C493C">
        <w:rPr>
          <w:iCs/>
          <w:lang w:val="en-CA"/>
        </w:rPr>
        <w:t xml:space="preserve"> </w:t>
      </w:r>
      <w:r w:rsidR="0041670C" w:rsidRPr="007C493C">
        <w:rPr>
          <w:iCs/>
          <w:lang w:val="en-CA"/>
        </w:rPr>
        <w:t>the</w:t>
      </w:r>
      <w:r w:rsidR="007A06F0" w:rsidRPr="007C493C">
        <w:rPr>
          <w:iCs/>
          <w:lang w:val="en-CA"/>
        </w:rPr>
        <w:t xml:space="preserve"> </w:t>
      </w:r>
      <w:r w:rsidR="00E71CA0">
        <w:rPr>
          <w:iCs/>
          <w:lang w:val="en-CA"/>
        </w:rPr>
        <w:t xml:space="preserve">appellant’s </w:t>
      </w:r>
      <w:r w:rsidR="0041670C" w:rsidRPr="007C493C">
        <w:rPr>
          <w:iCs/>
          <w:lang w:val="en-CA"/>
        </w:rPr>
        <w:t>anonymity</w:t>
      </w:r>
      <w:r w:rsidR="007A06F0" w:rsidRPr="007C493C">
        <w:rPr>
          <w:iCs/>
          <w:lang w:val="en-CA"/>
        </w:rPr>
        <w:t xml:space="preserve"> and to prohibit his identification other than by his initials</w:t>
      </w:r>
      <w:r w:rsidR="00F7473D" w:rsidRPr="007A06F0">
        <w:rPr>
          <w:lang w:val="en-CA"/>
        </w:rPr>
        <w:t>;</w:t>
      </w:r>
    </w:p>
    <w:p w14:paraId="2248966C" w14:textId="3A327612" w:rsidR="00350689" w:rsidRPr="007A06F0" w:rsidRDefault="007A06F0" w:rsidP="00350689">
      <w:pPr>
        <w:pStyle w:val="Paragraphe"/>
        <w:spacing w:line="240" w:lineRule="auto"/>
        <w:rPr>
          <w:lang w:val="en-CA"/>
        </w:rPr>
      </w:pPr>
      <w:r w:rsidRPr="007C493C">
        <w:rPr>
          <w:b/>
          <w:lang w:val="en-CA"/>
        </w:rPr>
        <w:t>DISMISSES</w:t>
      </w:r>
      <w:r w:rsidR="00F7473D" w:rsidRPr="007C493C">
        <w:rPr>
          <w:b/>
          <w:lang w:val="en-CA"/>
        </w:rPr>
        <w:t xml:space="preserve"> </w:t>
      </w:r>
      <w:r w:rsidRPr="007C493C">
        <w:rPr>
          <w:lang w:val="en-CA"/>
        </w:rPr>
        <w:t xml:space="preserve">the </w:t>
      </w:r>
      <w:r w:rsidR="00F7473D" w:rsidRPr="007C493C">
        <w:rPr>
          <w:lang w:val="en-CA"/>
        </w:rPr>
        <w:t xml:space="preserve">appeal, </w:t>
      </w:r>
      <w:r w:rsidRPr="007C493C">
        <w:rPr>
          <w:lang w:val="en-CA"/>
        </w:rPr>
        <w:t xml:space="preserve">with </w:t>
      </w:r>
      <w:r w:rsidR="00F7473D" w:rsidRPr="007C493C">
        <w:rPr>
          <w:lang w:val="en-CA"/>
        </w:rPr>
        <w:t>legal costs.</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97"/>
        <w:gridCol w:w="2685"/>
        <w:gridCol w:w="4680"/>
      </w:tblGrid>
      <w:tr w:rsidR="00650C2C" w:rsidRPr="00A2357D" w14:paraId="37E1C60E" w14:textId="77777777" w:rsidTr="00350689">
        <w:trPr>
          <w:trHeight w:val="576"/>
        </w:trPr>
        <w:tc>
          <w:tcPr>
            <w:tcW w:w="9362" w:type="dxa"/>
            <w:gridSpan w:val="3"/>
            <w:tcBorders>
              <w:top w:val="nil"/>
              <w:bottom w:val="nil"/>
            </w:tcBorders>
          </w:tcPr>
          <w:p w14:paraId="0310D5AB" w14:textId="77777777" w:rsidR="00350689" w:rsidRPr="007A06F0" w:rsidRDefault="00350689" w:rsidP="00350689">
            <w:pPr>
              <w:keepNext/>
              <w:spacing w:line="240" w:lineRule="auto"/>
              <w:rPr>
                <w:lang w:val="en-CA"/>
              </w:rPr>
            </w:pPr>
          </w:p>
        </w:tc>
      </w:tr>
      <w:tr w:rsidR="00650C2C" w:rsidRPr="00A2357D" w14:paraId="4CAFC234" w14:textId="77777777" w:rsidTr="00350689">
        <w:trPr>
          <w:trHeight w:val="283"/>
        </w:trPr>
        <w:tc>
          <w:tcPr>
            <w:tcW w:w="4682" w:type="dxa"/>
            <w:gridSpan w:val="2"/>
            <w:tcBorders>
              <w:top w:val="nil"/>
              <w:bottom w:val="nil"/>
            </w:tcBorders>
          </w:tcPr>
          <w:p w14:paraId="6B77E51F" w14:textId="77777777" w:rsidR="00350689" w:rsidRPr="007A06F0" w:rsidRDefault="00350689">
            <w:pPr>
              <w:keepNext/>
              <w:rPr>
                <w:lang w:val="en-CA"/>
              </w:rPr>
            </w:pPr>
          </w:p>
        </w:tc>
        <w:tc>
          <w:tcPr>
            <w:tcW w:w="4680" w:type="dxa"/>
            <w:tcBorders>
              <w:top w:val="nil"/>
              <w:bottom w:val="single" w:sz="8" w:space="0" w:color="auto"/>
            </w:tcBorders>
          </w:tcPr>
          <w:p w14:paraId="719DC587" w14:textId="77777777" w:rsidR="00350689" w:rsidRPr="007A06F0" w:rsidRDefault="00350689">
            <w:pPr>
              <w:keepNext/>
              <w:rPr>
                <w:lang w:val="en-CA"/>
              </w:rPr>
            </w:pPr>
          </w:p>
        </w:tc>
      </w:tr>
      <w:tr w:rsidR="00650C2C" w:rsidRPr="0093247F" w14:paraId="2D6EDF8D" w14:textId="77777777" w:rsidTr="00350689">
        <w:trPr>
          <w:trHeight w:val="283"/>
        </w:trPr>
        <w:tc>
          <w:tcPr>
            <w:tcW w:w="4682" w:type="dxa"/>
            <w:gridSpan w:val="2"/>
            <w:tcBorders>
              <w:top w:val="nil"/>
            </w:tcBorders>
          </w:tcPr>
          <w:p w14:paraId="0DBA2FF7" w14:textId="77777777" w:rsidR="00350689" w:rsidRPr="007A06F0" w:rsidRDefault="00350689">
            <w:pPr>
              <w:keepNext/>
              <w:rPr>
                <w:lang w:val="en-CA"/>
              </w:rPr>
            </w:pPr>
          </w:p>
        </w:tc>
        <w:tc>
          <w:tcPr>
            <w:tcW w:w="4680" w:type="dxa"/>
            <w:tcBorders>
              <w:top w:val="single" w:sz="8" w:space="0" w:color="auto"/>
            </w:tcBorders>
          </w:tcPr>
          <w:p w14:paraId="3ACEDFDC" w14:textId="777E90F6" w:rsidR="00350689" w:rsidRPr="007C493C" w:rsidRDefault="00F7473D" w:rsidP="007A06F0">
            <w:pPr>
              <w:rPr>
                <w:lang w:val="en-CA"/>
              </w:rPr>
            </w:pPr>
            <w:r w:rsidRPr="007C493C">
              <w:fldChar w:fldCharType="begin"/>
            </w:r>
            <w:r w:rsidRPr="005B4E20">
              <w:rPr>
                <w:lang w:val="en-CA"/>
              </w:rPr>
              <w:instrText xml:space="preserve"> REF NomJuge1 </w:instrText>
            </w:r>
            <w:r w:rsidRPr="007C493C">
              <w:fldChar w:fldCharType="separate"/>
            </w:r>
            <w:r w:rsidRPr="007C493C">
              <w:rPr>
                <w:lang w:val="en-CA"/>
              </w:rPr>
              <w:t>MARK SCHRAGER, J.A.</w:t>
            </w:r>
            <w:r w:rsidRPr="007C493C">
              <w:fldChar w:fldCharType="end"/>
            </w:r>
          </w:p>
        </w:tc>
      </w:tr>
      <w:tr w:rsidR="00650C2C" w:rsidRPr="0093247F" w14:paraId="2B35D89C" w14:textId="77777777" w:rsidTr="00350689">
        <w:trPr>
          <w:trHeight w:val="283"/>
        </w:trPr>
        <w:tc>
          <w:tcPr>
            <w:tcW w:w="4682" w:type="dxa"/>
            <w:gridSpan w:val="2"/>
            <w:tcBorders>
              <w:top w:val="nil"/>
            </w:tcBorders>
          </w:tcPr>
          <w:p w14:paraId="1182FBE4" w14:textId="77777777" w:rsidR="00350689" w:rsidRPr="005B4E20" w:rsidRDefault="00350689">
            <w:pPr>
              <w:keepNext/>
              <w:rPr>
                <w:lang w:val="en-CA"/>
              </w:rPr>
            </w:pPr>
            <w:bookmarkStart w:id="212" w:name="Signature2"/>
          </w:p>
        </w:tc>
        <w:tc>
          <w:tcPr>
            <w:tcW w:w="4680" w:type="dxa"/>
            <w:tcBorders>
              <w:top w:val="nil"/>
            </w:tcBorders>
          </w:tcPr>
          <w:p w14:paraId="6906213C" w14:textId="77777777" w:rsidR="00350689" w:rsidRPr="005B4E20" w:rsidRDefault="00350689">
            <w:pPr>
              <w:keepNext/>
              <w:rPr>
                <w:lang w:val="en-CA"/>
              </w:rPr>
            </w:pPr>
          </w:p>
        </w:tc>
      </w:tr>
      <w:tr w:rsidR="00650C2C" w:rsidRPr="0093247F" w14:paraId="517F5588" w14:textId="77777777" w:rsidTr="00350689">
        <w:trPr>
          <w:trHeight w:val="283"/>
        </w:trPr>
        <w:tc>
          <w:tcPr>
            <w:tcW w:w="4682" w:type="dxa"/>
            <w:gridSpan w:val="2"/>
            <w:tcBorders>
              <w:top w:val="nil"/>
              <w:bottom w:val="nil"/>
            </w:tcBorders>
          </w:tcPr>
          <w:p w14:paraId="4BC39C08" w14:textId="77777777" w:rsidR="00350689" w:rsidRPr="005B4E20" w:rsidRDefault="00350689">
            <w:pPr>
              <w:keepNext/>
              <w:rPr>
                <w:lang w:val="en-CA"/>
              </w:rPr>
            </w:pPr>
          </w:p>
        </w:tc>
        <w:tc>
          <w:tcPr>
            <w:tcW w:w="4680" w:type="dxa"/>
            <w:tcBorders>
              <w:top w:val="nil"/>
              <w:bottom w:val="single" w:sz="8" w:space="0" w:color="auto"/>
            </w:tcBorders>
          </w:tcPr>
          <w:p w14:paraId="2A45C410" w14:textId="77777777" w:rsidR="00350689" w:rsidRPr="005B4E20" w:rsidRDefault="00350689">
            <w:pPr>
              <w:keepNext/>
              <w:rPr>
                <w:lang w:val="en-CA"/>
              </w:rPr>
            </w:pPr>
          </w:p>
        </w:tc>
      </w:tr>
      <w:tr w:rsidR="00650C2C" w14:paraId="78D40459" w14:textId="77777777" w:rsidTr="00350689">
        <w:trPr>
          <w:trHeight w:val="283"/>
        </w:trPr>
        <w:tc>
          <w:tcPr>
            <w:tcW w:w="4682" w:type="dxa"/>
            <w:gridSpan w:val="2"/>
            <w:tcBorders>
              <w:top w:val="nil"/>
            </w:tcBorders>
          </w:tcPr>
          <w:p w14:paraId="1D011355" w14:textId="77777777" w:rsidR="00350689" w:rsidRPr="005B4E20" w:rsidRDefault="00350689">
            <w:pPr>
              <w:keepNext/>
              <w:rPr>
                <w:lang w:val="en-CA"/>
              </w:rPr>
            </w:pPr>
          </w:p>
        </w:tc>
        <w:tc>
          <w:tcPr>
            <w:tcW w:w="4680" w:type="dxa"/>
            <w:tcBorders>
              <w:top w:val="single" w:sz="8" w:space="0" w:color="auto"/>
            </w:tcBorders>
          </w:tcPr>
          <w:p w14:paraId="4D4F5DF3" w14:textId="22DC9015" w:rsidR="00350689" w:rsidRPr="007C493C" w:rsidRDefault="001A3231" w:rsidP="007A06F0">
            <w:pPr>
              <w:keepNext/>
            </w:pPr>
            <w:r w:rsidRPr="007C493C">
              <w:fldChar w:fldCharType="begin"/>
            </w:r>
            <w:r>
              <w:instrText xml:space="preserve"> REF NomJuge2 </w:instrText>
            </w:r>
            <w:r w:rsidRPr="007C493C">
              <w:fldChar w:fldCharType="separate"/>
            </w:r>
            <w:r w:rsidR="00F7473D" w:rsidRPr="007C493C">
              <w:t>MARIE-JOSÉE HOGUE,</w:t>
            </w:r>
            <w:r w:rsidR="007A06F0" w:rsidRPr="007C493C">
              <w:t xml:space="preserve"> J.A</w:t>
            </w:r>
            <w:r w:rsidR="00F7473D" w:rsidRPr="007C493C">
              <w:t>.</w:t>
            </w:r>
            <w:r w:rsidRPr="007C493C">
              <w:fldChar w:fldCharType="end"/>
            </w:r>
          </w:p>
        </w:tc>
      </w:tr>
      <w:tr w:rsidR="00650C2C" w14:paraId="126D2569" w14:textId="77777777" w:rsidTr="00350689">
        <w:trPr>
          <w:trHeight w:val="283"/>
        </w:trPr>
        <w:tc>
          <w:tcPr>
            <w:tcW w:w="4682" w:type="dxa"/>
            <w:gridSpan w:val="2"/>
            <w:tcBorders>
              <w:top w:val="nil"/>
            </w:tcBorders>
          </w:tcPr>
          <w:p w14:paraId="78B7B8B3" w14:textId="77777777" w:rsidR="00350689" w:rsidRDefault="00350689">
            <w:pPr>
              <w:keepNext/>
            </w:pPr>
            <w:bookmarkStart w:id="213" w:name="Signature3"/>
            <w:bookmarkEnd w:id="212"/>
          </w:p>
        </w:tc>
        <w:tc>
          <w:tcPr>
            <w:tcW w:w="4680" w:type="dxa"/>
            <w:tcBorders>
              <w:top w:val="nil"/>
            </w:tcBorders>
          </w:tcPr>
          <w:p w14:paraId="3B359A4C" w14:textId="77777777" w:rsidR="00350689" w:rsidRDefault="00350689">
            <w:pPr>
              <w:keepNext/>
            </w:pPr>
          </w:p>
        </w:tc>
      </w:tr>
      <w:tr w:rsidR="00650C2C" w14:paraId="453805AD" w14:textId="77777777" w:rsidTr="00350689">
        <w:trPr>
          <w:trHeight w:val="283"/>
        </w:trPr>
        <w:tc>
          <w:tcPr>
            <w:tcW w:w="4682" w:type="dxa"/>
            <w:gridSpan w:val="2"/>
            <w:tcBorders>
              <w:top w:val="nil"/>
              <w:bottom w:val="nil"/>
            </w:tcBorders>
          </w:tcPr>
          <w:p w14:paraId="0040F1C8" w14:textId="77777777" w:rsidR="00350689" w:rsidRDefault="00350689">
            <w:pPr>
              <w:keepNext/>
            </w:pPr>
          </w:p>
        </w:tc>
        <w:tc>
          <w:tcPr>
            <w:tcW w:w="4680" w:type="dxa"/>
            <w:tcBorders>
              <w:top w:val="nil"/>
              <w:bottom w:val="single" w:sz="8" w:space="0" w:color="auto"/>
            </w:tcBorders>
          </w:tcPr>
          <w:p w14:paraId="568847D1" w14:textId="77777777" w:rsidR="00350689" w:rsidRDefault="00350689">
            <w:pPr>
              <w:keepNext/>
            </w:pPr>
          </w:p>
        </w:tc>
      </w:tr>
      <w:tr w:rsidR="00650C2C" w14:paraId="41BBF0C9" w14:textId="77777777" w:rsidTr="00350689">
        <w:trPr>
          <w:trHeight w:val="283"/>
        </w:trPr>
        <w:tc>
          <w:tcPr>
            <w:tcW w:w="4682" w:type="dxa"/>
            <w:gridSpan w:val="2"/>
            <w:tcBorders>
              <w:top w:val="nil"/>
            </w:tcBorders>
          </w:tcPr>
          <w:p w14:paraId="113EA387" w14:textId="77777777" w:rsidR="00350689" w:rsidRDefault="00350689">
            <w:pPr>
              <w:keepNext/>
            </w:pPr>
          </w:p>
        </w:tc>
        <w:tc>
          <w:tcPr>
            <w:tcW w:w="4680" w:type="dxa"/>
            <w:tcBorders>
              <w:top w:val="single" w:sz="8" w:space="0" w:color="auto"/>
            </w:tcBorders>
          </w:tcPr>
          <w:p w14:paraId="2B14382D" w14:textId="2D27467D" w:rsidR="00350689" w:rsidRPr="007C493C" w:rsidRDefault="001A3231" w:rsidP="007A06F0">
            <w:pPr>
              <w:keepNext/>
            </w:pPr>
            <w:r w:rsidRPr="007C493C">
              <w:fldChar w:fldCharType="begin"/>
            </w:r>
            <w:r>
              <w:instrText xml:space="preserve"> REF NomJuge3 </w:instrText>
            </w:r>
            <w:r w:rsidRPr="007C493C">
              <w:fldChar w:fldCharType="separate"/>
            </w:r>
            <w:r w:rsidR="00F7473D" w:rsidRPr="007C493C">
              <w:t>STÉPHANE SANSFAÇON,</w:t>
            </w:r>
            <w:r w:rsidR="007A06F0" w:rsidRPr="007C493C">
              <w:t xml:space="preserve"> </w:t>
            </w:r>
            <w:r w:rsidR="00F7473D" w:rsidRPr="007C493C">
              <w:t>J.A.</w:t>
            </w:r>
            <w:r w:rsidRPr="007C493C">
              <w:fldChar w:fldCharType="end"/>
            </w:r>
          </w:p>
        </w:tc>
      </w:tr>
      <w:bookmarkEnd w:id="213"/>
      <w:tr w:rsidR="00650C2C" w14:paraId="48BAE1B0" w14:textId="77777777" w:rsidTr="00350689">
        <w:tc>
          <w:tcPr>
            <w:tcW w:w="9362" w:type="dxa"/>
            <w:gridSpan w:val="3"/>
            <w:tcBorders>
              <w:bottom w:val="nil"/>
            </w:tcBorders>
          </w:tcPr>
          <w:p w14:paraId="62113213" w14:textId="77777777" w:rsidR="00350689" w:rsidRPr="005B4E20" w:rsidRDefault="00350689" w:rsidP="00350689"/>
        </w:tc>
      </w:tr>
      <w:tr w:rsidR="00650C2C" w14:paraId="3B6D70D6" w14:textId="77777777" w:rsidTr="00350689">
        <w:tc>
          <w:tcPr>
            <w:tcW w:w="9362" w:type="dxa"/>
            <w:gridSpan w:val="3"/>
            <w:tcBorders>
              <w:top w:val="nil"/>
            </w:tcBorders>
          </w:tcPr>
          <w:p w14:paraId="4470EE29" w14:textId="587C152F" w:rsidR="00350689" w:rsidRPr="007C493C" w:rsidRDefault="00F7473D" w:rsidP="007A06F0">
            <w:pPr>
              <w:pStyle w:val="zSoquijdatNomProcureurDem"/>
              <w:rPr>
                <w:lang w:val="en-CA"/>
              </w:rPr>
            </w:pPr>
            <w:r w:rsidRPr="007C493C">
              <w:t>Mtre Jacqueline Bissonnette</w:t>
            </w:r>
          </w:p>
        </w:tc>
      </w:tr>
      <w:tr w:rsidR="00650C2C" w14:paraId="2BEA7E2C" w14:textId="77777777" w:rsidTr="00350689">
        <w:tc>
          <w:tcPr>
            <w:tcW w:w="9362" w:type="dxa"/>
            <w:gridSpan w:val="3"/>
          </w:tcPr>
          <w:p w14:paraId="708EA8B1" w14:textId="0B3B9EA4" w:rsidR="00350689" w:rsidRPr="007C493C" w:rsidRDefault="00F7473D" w:rsidP="007A06F0">
            <w:pPr>
              <w:pStyle w:val="zSoquijdatCabinetProcureurDem"/>
              <w:rPr>
                <w:lang w:val="en-CA"/>
              </w:rPr>
            </w:pPr>
            <w:r w:rsidRPr="007C493C">
              <w:t xml:space="preserve">POUDRIER BRADET, AVOCATS </w:t>
            </w:r>
          </w:p>
        </w:tc>
      </w:tr>
      <w:tr w:rsidR="00650C2C" w14:paraId="6B7F60DD" w14:textId="77777777" w:rsidTr="00350689">
        <w:tc>
          <w:tcPr>
            <w:tcW w:w="9362" w:type="dxa"/>
            <w:gridSpan w:val="3"/>
          </w:tcPr>
          <w:p w14:paraId="5DF718CD" w14:textId="09DA229A" w:rsidR="00350689" w:rsidRPr="007C493C" w:rsidRDefault="007A06F0" w:rsidP="007A06F0">
            <w:pPr>
              <w:pStyle w:val="zSoquijlblProcureurDem"/>
              <w:rPr>
                <w:lang w:val="en-CA"/>
              </w:rPr>
            </w:pPr>
            <w:r w:rsidRPr="007C493C">
              <w:t xml:space="preserve">For the </w:t>
            </w:r>
            <w:r w:rsidR="00F7473D" w:rsidRPr="007C493C">
              <w:t>appellant</w:t>
            </w:r>
          </w:p>
        </w:tc>
      </w:tr>
      <w:tr w:rsidR="00650C2C" w14:paraId="611D76D9" w14:textId="77777777" w:rsidTr="00350689">
        <w:tc>
          <w:tcPr>
            <w:tcW w:w="9362" w:type="dxa"/>
            <w:gridSpan w:val="3"/>
          </w:tcPr>
          <w:p w14:paraId="10B3E9CF" w14:textId="77777777" w:rsidR="00350689" w:rsidRDefault="00350689" w:rsidP="00350689">
            <w:pPr>
              <w:rPr>
                <w:lang w:val="en-CA"/>
              </w:rPr>
            </w:pPr>
          </w:p>
        </w:tc>
      </w:tr>
      <w:tr w:rsidR="00650C2C" w14:paraId="4589CDF8" w14:textId="77777777" w:rsidTr="00350689">
        <w:tc>
          <w:tcPr>
            <w:tcW w:w="9362" w:type="dxa"/>
            <w:gridSpan w:val="3"/>
          </w:tcPr>
          <w:p w14:paraId="42655C11" w14:textId="5A3450B4" w:rsidR="00350689" w:rsidRPr="007C493C" w:rsidRDefault="00F7473D" w:rsidP="007A06F0">
            <w:pPr>
              <w:pStyle w:val="zSoquijdatNomProcureurDef"/>
              <w:rPr>
                <w:lang w:val="en-CA"/>
              </w:rPr>
            </w:pPr>
            <w:r w:rsidRPr="007C493C">
              <w:t>Mtre René Vallerand</w:t>
            </w:r>
          </w:p>
        </w:tc>
      </w:tr>
      <w:tr w:rsidR="00650C2C" w14:paraId="31390FEB" w14:textId="77777777" w:rsidTr="00350689">
        <w:tc>
          <w:tcPr>
            <w:tcW w:w="9362" w:type="dxa"/>
            <w:gridSpan w:val="3"/>
          </w:tcPr>
          <w:p w14:paraId="52AF7C1C" w14:textId="77777777" w:rsidR="00350689" w:rsidRPr="007C493C" w:rsidRDefault="00F7473D" w:rsidP="00350689">
            <w:pPr>
              <w:pStyle w:val="zSoquijdatCabinetProcureurDef"/>
              <w:rPr>
                <w:lang w:val="en-CA"/>
              </w:rPr>
            </w:pPr>
            <w:r w:rsidRPr="007C493C">
              <w:t>DONATI MAISONNEUVE</w:t>
            </w:r>
          </w:p>
        </w:tc>
      </w:tr>
      <w:tr w:rsidR="00650C2C" w14:paraId="15EAF20A" w14:textId="77777777" w:rsidTr="00350689">
        <w:tc>
          <w:tcPr>
            <w:tcW w:w="9362" w:type="dxa"/>
            <w:gridSpan w:val="3"/>
          </w:tcPr>
          <w:p w14:paraId="75248ABA" w14:textId="581C8581" w:rsidR="00350689" w:rsidRPr="007C493C" w:rsidRDefault="007A06F0" w:rsidP="007A06F0">
            <w:pPr>
              <w:pStyle w:val="zSoquijlblProcureurDef"/>
              <w:rPr>
                <w:lang w:val="en-CA"/>
              </w:rPr>
            </w:pPr>
            <w:r w:rsidRPr="007C493C">
              <w:t xml:space="preserve">For the </w:t>
            </w:r>
            <w:r w:rsidR="00F7473D" w:rsidRPr="007C493C">
              <w:t>respondent</w:t>
            </w:r>
          </w:p>
        </w:tc>
      </w:tr>
      <w:tr w:rsidR="00650C2C" w14:paraId="46A2222B" w14:textId="77777777" w:rsidTr="00350689">
        <w:tc>
          <w:tcPr>
            <w:tcW w:w="9362" w:type="dxa"/>
            <w:gridSpan w:val="3"/>
          </w:tcPr>
          <w:p w14:paraId="715435D5" w14:textId="77777777" w:rsidR="00350689" w:rsidRDefault="00350689" w:rsidP="00350689">
            <w:pPr>
              <w:rPr>
                <w:lang w:val="en-CA"/>
              </w:rPr>
            </w:pPr>
          </w:p>
        </w:tc>
      </w:tr>
      <w:tr w:rsidR="00650C2C" w14:paraId="5A8BF653" w14:textId="77777777" w:rsidTr="00350689">
        <w:tc>
          <w:tcPr>
            <w:tcW w:w="1997" w:type="dxa"/>
          </w:tcPr>
          <w:p w14:paraId="550593C7" w14:textId="33D9F3A5" w:rsidR="00350689" w:rsidRPr="007C493C" w:rsidRDefault="007A06F0" w:rsidP="007A06F0">
            <w:pPr>
              <w:pStyle w:val="zSoquijlblDateAudience"/>
            </w:pPr>
            <w:r w:rsidRPr="007C493C">
              <w:t>Date of hearing</w:t>
            </w:r>
            <w:r w:rsidR="00F7473D" w:rsidRPr="007C493C">
              <w:t>:</w:t>
            </w:r>
          </w:p>
        </w:tc>
        <w:tc>
          <w:tcPr>
            <w:tcW w:w="7365" w:type="dxa"/>
            <w:gridSpan w:val="2"/>
          </w:tcPr>
          <w:p w14:paraId="5203100F" w14:textId="0637CF5D" w:rsidR="00350689" w:rsidRPr="007C493C" w:rsidRDefault="007A06F0" w:rsidP="00350689">
            <w:pPr>
              <w:pStyle w:val="zSoquijdatDateAudience"/>
            </w:pPr>
            <w:r w:rsidRPr="007C493C">
              <w:t xml:space="preserve">February 9, </w:t>
            </w:r>
            <w:r w:rsidR="00F7473D" w:rsidRPr="007C493C">
              <w:t>2022</w:t>
            </w:r>
          </w:p>
        </w:tc>
      </w:tr>
    </w:tbl>
    <w:p w14:paraId="56D5A7CA" w14:textId="77777777" w:rsidR="00350689" w:rsidRDefault="00350689" w:rsidP="00350689">
      <w:pPr>
        <w:sectPr w:rsidR="00350689" w:rsidSect="00350689">
          <w:headerReference w:type="default" r:id="rId8"/>
          <w:footnotePr>
            <w:numRestart w:val="eachSect"/>
          </w:footnotePr>
          <w:pgSz w:w="12242" w:h="15842" w:code="1"/>
          <w:pgMar w:top="1440" w:right="1008" w:bottom="1440" w:left="1872" w:header="1440" w:footer="792" w:gutter="0"/>
          <w:cols w:space="720"/>
          <w:formProt w:val="0"/>
          <w:titlePg/>
          <w:docGrid w:linePitch="326"/>
        </w:sectPr>
      </w:pPr>
      <w:bookmarkStart w:id="214" w:name="Opinion"/>
      <w:bookmarkEnd w:id="211"/>
    </w:p>
    <w:tbl>
      <w:tblPr>
        <w:tblW w:w="0" w:type="auto"/>
        <w:tblLayout w:type="fixed"/>
        <w:tblCellMar>
          <w:left w:w="0" w:type="dxa"/>
          <w:right w:w="0" w:type="dxa"/>
        </w:tblCellMar>
        <w:tblLook w:val="0000" w:firstRow="0" w:lastRow="0" w:firstColumn="0" w:lastColumn="0" w:noHBand="0" w:noVBand="0"/>
      </w:tblPr>
      <w:tblGrid>
        <w:gridCol w:w="9360"/>
      </w:tblGrid>
      <w:tr w:rsidR="00650C2C" w14:paraId="2EF46AF8" w14:textId="77777777" w:rsidTr="00350689">
        <w:tc>
          <w:tcPr>
            <w:tcW w:w="9360" w:type="dxa"/>
            <w:tcBorders>
              <w:bottom w:val="single" w:sz="8" w:space="0" w:color="auto"/>
            </w:tcBorders>
          </w:tcPr>
          <w:p w14:paraId="62BE05E1" w14:textId="77777777" w:rsidR="00350689" w:rsidRDefault="00350689" w:rsidP="00350689">
            <w:pPr>
              <w:spacing w:line="240" w:lineRule="auto"/>
            </w:pPr>
          </w:p>
        </w:tc>
      </w:tr>
      <w:tr w:rsidR="00650C2C" w14:paraId="4FB78AD5" w14:textId="77777777" w:rsidTr="00350689">
        <w:tc>
          <w:tcPr>
            <w:tcW w:w="9360" w:type="dxa"/>
            <w:tcBorders>
              <w:top w:val="single" w:sz="8" w:space="0" w:color="auto"/>
            </w:tcBorders>
          </w:tcPr>
          <w:p w14:paraId="71B88AF3" w14:textId="77777777" w:rsidR="00350689" w:rsidRDefault="00350689" w:rsidP="00350689">
            <w:pPr>
              <w:spacing w:line="240" w:lineRule="auto"/>
            </w:pPr>
          </w:p>
        </w:tc>
      </w:tr>
      <w:bookmarkStart w:id="215" w:name="MotifJuge2"/>
      <w:tr w:rsidR="00650C2C" w:rsidRPr="00A2357D" w14:paraId="2C636EBA" w14:textId="77777777" w:rsidTr="00350689">
        <w:tc>
          <w:tcPr>
            <w:tcW w:w="9360" w:type="dxa"/>
          </w:tcPr>
          <w:p w14:paraId="4F55DF46" w14:textId="21EE5884" w:rsidR="00350689" w:rsidRPr="00061ABA" w:rsidRDefault="00F7473D" w:rsidP="004172BE">
            <w:pPr>
              <w:pStyle w:val="zSoquijlblOpinionJuge"/>
              <w:spacing w:line="240" w:lineRule="auto"/>
              <w:rPr>
                <w:lang w:val="en-CA"/>
              </w:rPr>
            </w:pPr>
            <w:r>
              <w:fldChar w:fldCharType="begin"/>
            </w:r>
            <w:r w:rsidRPr="00061ABA">
              <w:rPr>
                <w:lang w:val="en-CA"/>
              </w:rPr>
              <w:instrText xml:space="preserve"> DOCVARIABLE MotifJuge2 </w:instrText>
            </w:r>
            <w:r>
              <w:fldChar w:fldCharType="separate"/>
            </w:r>
            <w:r w:rsidR="00061ABA" w:rsidRPr="00061ABA">
              <w:rPr>
                <w:lang w:val="en-CA"/>
              </w:rPr>
              <w:t xml:space="preserve">REASONS OF </w:t>
            </w:r>
            <w:r>
              <w:fldChar w:fldCharType="end"/>
            </w:r>
            <w:bookmarkEnd w:id="215"/>
            <w:r>
              <w:fldChar w:fldCharType="begin"/>
            </w:r>
            <w:r w:rsidRPr="00061ABA">
              <w:rPr>
                <w:lang w:val="en-CA"/>
              </w:rPr>
              <w:instrText xml:space="preserve"> DOCVARIABLE NomFamJuge2 </w:instrText>
            </w:r>
            <w:r>
              <w:fldChar w:fldCharType="separate"/>
            </w:r>
            <w:r w:rsidRPr="00061ABA">
              <w:rPr>
                <w:lang w:val="en-CA"/>
              </w:rPr>
              <w:t>HOGUE</w:t>
            </w:r>
            <w:r>
              <w:fldChar w:fldCharType="end"/>
            </w:r>
            <w:r w:rsidR="00F22AB9" w:rsidRPr="00F22AB9">
              <w:rPr>
                <w:lang w:val="en-CA"/>
              </w:rPr>
              <w:t>,</w:t>
            </w:r>
            <w:r w:rsidR="00061ABA" w:rsidRPr="00061ABA">
              <w:rPr>
                <w:lang w:val="en-CA"/>
              </w:rPr>
              <w:t xml:space="preserve"> </w:t>
            </w:r>
            <w:r w:rsidR="004172BE">
              <w:rPr>
                <w:lang w:val="en-CA"/>
              </w:rPr>
              <w:t>J.A</w:t>
            </w:r>
            <w:r w:rsidR="00061ABA">
              <w:rPr>
                <w:lang w:val="en-CA"/>
              </w:rPr>
              <w:t>.</w:t>
            </w:r>
          </w:p>
        </w:tc>
      </w:tr>
      <w:tr w:rsidR="00650C2C" w:rsidRPr="00A2357D" w14:paraId="550D4A33" w14:textId="77777777" w:rsidTr="00350689">
        <w:tc>
          <w:tcPr>
            <w:tcW w:w="9360" w:type="dxa"/>
            <w:tcBorders>
              <w:bottom w:val="single" w:sz="8" w:space="0" w:color="auto"/>
            </w:tcBorders>
          </w:tcPr>
          <w:p w14:paraId="7D9B976E" w14:textId="77777777" w:rsidR="00350689" w:rsidRPr="00061ABA" w:rsidRDefault="00350689" w:rsidP="00350689">
            <w:pPr>
              <w:spacing w:line="240" w:lineRule="auto"/>
              <w:rPr>
                <w:lang w:val="en-CA"/>
              </w:rPr>
            </w:pPr>
          </w:p>
        </w:tc>
      </w:tr>
      <w:tr w:rsidR="00650C2C" w:rsidRPr="00A2357D" w14:paraId="4B6E2F82" w14:textId="77777777" w:rsidTr="00350689">
        <w:trPr>
          <w:trHeight w:val="275"/>
        </w:trPr>
        <w:tc>
          <w:tcPr>
            <w:tcW w:w="9360" w:type="dxa"/>
            <w:tcBorders>
              <w:top w:val="single" w:sz="8" w:space="0" w:color="auto"/>
            </w:tcBorders>
          </w:tcPr>
          <w:p w14:paraId="79E46E73" w14:textId="77777777" w:rsidR="00350689" w:rsidRPr="00061ABA" w:rsidRDefault="00350689" w:rsidP="00350689">
            <w:pPr>
              <w:pStyle w:val="Paragraphe"/>
              <w:numPr>
                <w:ilvl w:val="0"/>
                <w:numId w:val="0"/>
              </w:numPr>
              <w:spacing w:before="0" w:after="0" w:line="240" w:lineRule="auto"/>
              <w:rPr>
                <w:lang w:val="en-CA"/>
              </w:rPr>
            </w:pPr>
          </w:p>
        </w:tc>
      </w:tr>
    </w:tbl>
    <w:p w14:paraId="1ADA23F3" w14:textId="29187566" w:rsidR="00E60034" w:rsidRDefault="00E60034" w:rsidP="00E60034">
      <w:pPr>
        <w:pStyle w:val="Paragraphe"/>
        <w:spacing w:before="140" w:after="140" w:line="240" w:lineRule="auto"/>
        <w:rPr>
          <w:lang w:val="en-CA"/>
        </w:rPr>
      </w:pPr>
      <w:r w:rsidRPr="00EC2807">
        <w:rPr>
          <w:lang w:val="en-CA"/>
        </w:rPr>
        <w:t>The</w:t>
      </w:r>
      <w:r w:rsidRPr="00E60034">
        <w:rPr>
          <w:lang w:val="en-CA"/>
        </w:rPr>
        <w:t xml:space="preserve"> appellant appeals from a judgment rendered by the </w:t>
      </w:r>
      <w:r w:rsidR="00F7473D" w:rsidRPr="007C493C">
        <w:rPr>
          <w:lang w:val="en-CA"/>
        </w:rPr>
        <w:t>Superior Court</w:t>
      </w:r>
      <w:r w:rsidRPr="007C493C">
        <w:rPr>
          <w:lang w:val="en-CA"/>
        </w:rPr>
        <w:t xml:space="preserve">, District of </w:t>
      </w:r>
      <w:r w:rsidR="00F7473D" w:rsidRPr="00E60034">
        <w:rPr>
          <w:lang w:val="en-CA"/>
        </w:rPr>
        <w:t xml:space="preserve">Bedford, </w:t>
      </w:r>
      <w:r w:rsidRPr="00E60034">
        <w:rPr>
          <w:lang w:val="en-CA"/>
        </w:rPr>
        <w:t xml:space="preserve">on </w:t>
      </w:r>
      <w:r w:rsidR="00F7473D" w:rsidRPr="007C493C">
        <w:rPr>
          <w:lang w:val="en-CA"/>
        </w:rPr>
        <w:t>February</w:t>
      </w:r>
      <w:r w:rsidRPr="007C493C">
        <w:rPr>
          <w:lang w:val="en-CA"/>
        </w:rPr>
        <w:t xml:space="preserve"> 9,</w:t>
      </w:r>
      <w:r w:rsidR="00F7473D" w:rsidRPr="00E60034">
        <w:rPr>
          <w:lang w:val="en-CA"/>
        </w:rPr>
        <w:t xml:space="preserve"> 2021 (</w:t>
      </w:r>
      <w:r w:rsidRPr="00E60034">
        <w:rPr>
          <w:lang w:val="en-CA"/>
        </w:rPr>
        <w:t>the H</w:t>
      </w:r>
      <w:r w:rsidR="00F7473D" w:rsidRPr="007C493C">
        <w:rPr>
          <w:lang w:val="en-CA"/>
        </w:rPr>
        <w:t>onourable</w:t>
      </w:r>
      <w:r w:rsidR="00F7473D" w:rsidRPr="00E60034">
        <w:rPr>
          <w:lang w:val="en-CA"/>
        </w:rPr>
        <w:t xml:space="preserve"> Claude Villeneuve)</w:t>
      </w:r>
      <w:r w:rsidRPr="00E60034">
        <w:rPr>
          <w:lang w:val="en-CA"/>
        </w:rPr>
        <w:t>,</w:t>
      </w:r>
      <w:r w:rsidR="00F7473D">
        <w:rPr>
          <w:rStyle w:val="Appelnotedebasdep"/>
        </w:rPr>
        <w:footnoteReference w:id="1"/>
      </w:r>
      <w:r w:rsidRPr="00E60034">
        <w:rPr>
          <w:lang w:val="en-CA"/>
        </w:rPr>
        <w:t xml:space="preserve"> </w:t>
      </w:r>
      <w:r w:rsidR="00885C08">
        <w:rPr>
          <w:lang w:val="en-CA"/>
        </w:rPr>
        <w:t>grant</w:t>
      </w:r>
      <w:r w:rsidR="00885C08" w:rsidRPr="00E60034">
        <w:rPr>
          <w:lang w:val="en-CA"/>
        </w:rPr>
        <w:t xml:space="preserve">ing </w:t>
      </w:r>
      <w:r w:rsidRPr="00E60034">
        <w:rPr>
          <w:lang w:val="en-CA"/>
        </w:rPr>
        <w:t xml:space="preserve">in part his </w:t>
      </w:r>
      <w:r>
        <w:rPr>
          <w:lang w:val="en-CA"/>
        </w:rPr>
        <w:t xml:space="preserve">amended </w:t>
      </w:r>
      <w:r w:rsidR="00F7473D" w:rsidRPr="007C493C">
        <w:rPr>
          <w:lang w:val="en-CA"/>
        </w:rPr>
        <w:t>originating application</w:t>
      </w:r>
      <w:r w:rsidR="00F7473D" w:rsidRPr="00E60034">
        <w:rPr>
          <w:lang w:val="en-CA"/>
        </w:rPr>
        <w:t xml:space="preserve"> </w:t>
      </w:r>
      <w:r>
        <w:rPr>
          <w:lang w:val="en-CA"/>
        </w:rPr>
        <w:t xml:space="preserve">and declaring that he was not totally disabled within the meaning of </w:t>
      </w:r>
      <w:r w:rsidR="00885C08">
        <w:rPr>
          <w:lang w:val="en-CA"/>
        </w:rPr>
        <w:t>his</w:t>
      </w:r>
      <w:r>
        <w:rPr>
          <w:lang w:val="en-CA"/>
        </w:rPr>
        <w:t xml:space="preserve"> insurance policy with the respondent.</w:t>
      </w:r>
    </w:p>
    <w:p w14:paraId="5FE818FB" w14:textId="30E95964" w:rsidR="0052134C" w:rsidRDefault="0052134C" w:rsidP="0052134C">
      <w:pPr>
        <w:pStyle w:val="Paragraphe"/>
        <w:spacing w:before="140" w:after="140" w:line="240" w:lineRule="auto"/>
        <w:rPr>
          <w:lang w:val="en-CA"/>
        </w:rPr>
      </w:pPr>
      <w:r w:rsidRPr="0052134C">
        <w:rPr>
          <w:lang w:val="en-CA"/>
        </w:rPr>
        <w:t>First,</w:t>
      </w:r>
      <w:r w:rsidR="00270D69">
        <w:rPr>
          <w:lang w:val="en-CA"/>
        </w:rPr>
        <w:t xml:space="preserve"> I note t</w:t>
      </w:r>
      <w:r w:rsidRPr="0052134C">
        <w:rPr>
          <w:lang w:val="en-CA"/>
        </w:rPr>
        <w:t xml:space="preserve">hat this appeal was heard on the same day and by the same panel as the appeal in file </w:t>
      </w:r>
      <w:r w:rsidR="00F7473D" w:rsidRPr="0052134C">
        <w:rPr>
          <w:lang w:val="en-CA"/>
        </w:rPr>
        <w:t>500-09-029299-211,</w:t>
      </w:r>
      <w:r>
        <w:rPr>
          <w:lang w:val="en-CA"/>
        </w:rPr>
        <w:t xml:space="preserve"> </w:t>
      </w:r>
      <w:r w:rsidR="00270D69">
        <w:rPr>
          <w:lang w:val="en-CA"/>
        </w:rPr>
        <w:t xml:space="preserve">on which </w:t>
      </w:r>
      <w:r>
        <w:rPr>
          <w:lang w:val="en-CA"/>
        </w:rPr>
        <w:t xml:space="preserve">judgment is also </w:t>
      </w:r>
      <w:r w:rsidR="005510E1">
        <w:rPr>
          <w:lang w:val="en-CA"/>
        </w:rPr>
        <w:t>rendered</w:t>
      </w:r>
      <w:r>
        <w:rPr>
          <w:lang w:val="en-CA"/>
        </w:rPr>
        <w:t xml:space="preserve"> today, and that the wording of the disability insurance poli</w:t>
      </w:r>
      <w:r w:rsidR="0041670C">
        <w:rPr>
          <w:lang w:val="en-CA"/>
        </w:rPr>
        <w:t xml:space="preserve">cies and </w:t>
      </w:r>
      <w:r w:rsidR="005510E1">
        <w:rPr>
          <w:lang w:val="en-CA"/>
        </w:rPr>
        <w:t xml:space="preserve">of </w:t>
      </w:r>
      <w:r w:rsidR="0041670C">
        <w:rPr>
          <w:lang w:val="en-CA"/>
        </w:rPr>
        <w:t xml:space="preserve">the rider </w:t>
      </w:r>
      <w:r w:rsidR="005510E1">
        <w:rPr>
          <w:lang w:val="en-CA"/>
        </w:rPr>
        <w:t xml:space="preserve">in question in the two cases </w:t>
      </w:r>
      <w:r>
        <w:rPr>
          <w:lang w:val="en-CA"/>
        </w:rPr>
        <w:t xml:space="preserve">is identical </w:t>
      </w:r>
      <w:r w:rsidR="005510E1">
        <w:rPr>
          <w:lang w:val="en-CA"/>
        </w:rPr>
        <w:t xml:space="preserve">and </w:t>
      </w:r>
      <w:r>
        <w:rPr>
          <w:lang w:val="en-CA"/>
        </w:rPr>
        <w:t xml:space="preserve">the issues </w:t>
      </w:r>
      <w:r w:rsidR="00E3030F">
        <w:rPr>
          <w:lang w:val="en-CA"/>
        </w:rPr>
        <w:t>raise</w:t>
      </w:r>
      <w:r w:rsidR="00885C08">
        <w:rPr>
          <w:lang w:val="en-CA"/>
        </w:rPr>
        <w:t>d</w:t>
      </w:r>
      <w:r w:rsidR="00E3030F">
        <w:rPr>
          <w:lang w:val="en-CA"/>
        </w:rPr>
        <w:t xml:space="preserve"> </w:t>
      </w:r>
      <w:r>
        <w:rPr>
          <w:lang w:val="en-CA"/>
        </w:rPr>
        <w:t xml:space="preserve">are similar. Accordingly, the </w:t>
      </w:r>
      <w:r w:rsidR="005510E1">
        <w:rPr>
          <w:lang w:val="en-CA"/>
        </w:rPr>
        <w:t xml:space="preserve">contract is interpreted the same way </w:t>
      </w:r>
      <w:r>
        <w:rPr>
          <w:lang w:val="en-CA"/>
        </w:rPr>
        <w:t>in both cases</w:t>
      </w:r>
      <w:r w:rsidR="0041670C">
        <w:rPr>
          <w:lang w:val="en-CA"/>
        </w:rPr>
        <w:t>,</w:t>
      </w:r>
      <w:r w:rsidR="00F22AB9">
        <w:rPr>
          <w:lang w:val="en-CA"/>
        </w:rPr>
        <w:t xml:space="preserve"> and I will </w:t>
      </w:r>
      <w:r w:rsidR="005510E1">
        <w:rPr>
          <w:lang w:val="en-CA"/>
        </w:rPr>
        <w:t xml:space="preserve">therefore </w:t>
      </w:r>
      <w:r w:rsidR="00F22AB9">
        <w:rPr>
          <w:lang w:val="en-CA"/>
        </w:rPr>
        <w:t xml:space="preserve">rely in one judgment </w:t>
      </w:r>
      <w:r>
        <w:rPr>
          <w:lang w:val="en-CA"/>
        </w:rPr>
        <w:t xml:space="preserve">on </w:t>
      </w:r>
      <w:r w:rsidR="00F22AB9">
        <w:rPr>
          <w:lang w:val="en-CA"/>
        </w:rPr>
        <w:t xml:space="preserve">certain </w:t>
      </w:r>
      <w:r>
        <w:rPr>
          <w:lang w:val="en-CA"/>
        </w:rPr>
        <w:t xml:space="preserve">reasons </w:t>
      </w:r>
      <w:r w:rsidR="005510E1">
        <w:rPr>
          <w:lang w:val="en-CA"/>
        </w:rPr>
        <w:t xml:space="preserve">set out </w:t>
      </w:r>
      <w:r w:rsidR="00F22AB9">
        <w:rPr>
          <w:lang w:val="en-CA"/>
        </w:rPr>
        <w:t xml:space="preserve">in </w:t>
      </w:r>
      <w:r>
        <w:rPr>
          <w:lang w:val="en-CA"/>
        </w:rPr>
        <w:t xml:space="preserve">the other. Readers are invited to </w:t>
      </w:r>
      <w:r w:rsidR="005510E1">
        <w:rPr>
          <w:lang w:val="en-CA"/>
        </w:rPr>
        <w:t>consult</w:t>
      </w:r>
      <w:r>
        <w:rPr>
          <w:lang w:val="en-CA"/>
        </w:rPr>
        <w:t xml:space="preserve"> the reasons for each </w:t>
      </w:r>
      <w:r w:rsidR="00270D69">
        <w:rPr>
          <w:lang w:val="en-CA"/>
        </w:rPr>
        <w:t>of these judgments because</w:t>
      </w:r>
      <w:r w:rsidR="00CC1739">
        <w:rPr>
          <w:lang w:val="en-CA"/>
        </w:rPr>
        <w:t xml:space="preserve"> to some extent, they complement each other.</w:t>
      </w:r>
      <w:r w:rsidR="00270D69">
        <w:rPr>
          <w:lang w:val="en-CA"/>
        </w:rPr>
        <w:t xml:space="preserve"> </w:t>
      </w:r>
    </w:p>
    <w:p w14:paraId="5D216046" w14:textId="2AD102FF" w:rsidR="00350689" w:rsidRPr="0052134C" w:rsidRDefault="00F7473D" w:rsidP="0052134C">
      <w:pPr>
        <w:pStyle w:val="Paragraphe"/>
        <w:spacing w:before="140" w:after="140" w:line="240" w:lineRule="auto"/>
        <w:rPr>
          <w:lang w:val="en-CA"/>
        </w:rPr>
      </w:pPr>
      <w:r w:rsidRPr="0052134C">
        <w:rPr>
          <w:lang w:val="en-CA"/>
        </w:rPr>
        <w:t xml:space="preserve"> </w:t>
      </w:r>
      <w:r w:rsidR="002E536C">
        <w:rPr>
          <w:lang w:val="en-CA"/>
        </w:rPr>
        <w:t xml:space="preserve">Because the </w:t>
      </w:r>
      <w:r w:rsidR="002E536C" w:rsidRPr="002E536C">
        <w:rPr>
          <w:lang w:val="en-CA"/>
        </w:rPr>
        <w:t xml:space="preserve">facts of each case are different and the </w:t>
      </w:r>
      <w:r w:rsidR="002E536C">
        <w:rPr>
          <w:lang w:val="en-CA"/>
        </w:rPr>
        <w:t xml:space="preserve">law must be applied to the facts, I will begin </w:t>
      </w:r>
      <w:r w:rsidR="00270D69">
        <w:rPr>
          <w:lang w:val="en-CA"/>
        </w:rPr>
        <w:t>by outlining</w:t>
      </w:r>
      <w:r w:rsidR="002E536C">
        <w:rPr>
          <w:lang w:val="en-CA"/>
        </w:rPr>
        <w:t xml:space="preserve"> those</w:t>
      </w:r>
      <w:r w:rsidR="00CC1739">
        <w:rPr>
          <w:lang w:val="en-CA"/>
        </w:rPr>
        <w:t xml:space="preserve"> of this matter</w:t>
      </w:r>
      <w:r w:rsidR="002E536C">
        <w:rPr>
          <w:lang w:val="en-CA"/>
        </w:rPr>
        <w:t xml:space="preserve">. </w:t>
      </w:r>
    </w:p>
    <w:p w14:paraId="4BF7CA98" w14:textId="677497D1" w:rsidR="00350689" w:rsidRPr="007C493C" w:rsidRDefault="00061ABA" w:rsidP="00350689">
      <w:pPr>
        <w:pStyle w:val="Titre4"/>
        <w:spacing w:before="140" w:after="140" w:line="240" w:lineRule="auto"/>
      </w:pPr>
      <w:r w:rsidRPr="007C493C">
        <w:t>THE FACTS</w:t>
      </w:r>
    </w:p>
    <w:p w14:paraId="7F4585C7" w14:textId="4205D7CD" w:rsidR="002E536C" w:rsidRPr="002E536C" w:rsidRDefault="002E536C" w:rsidP="00350689">
      <w:pPr>
        <w:pStyle w:val="Paragraphe"/>
        <w:spacing w:before="140" w:after="140" w:line="240" w:lineRule="auto"/>
        <w:rPr>
          <w:lang w:val="en-CA"/>
        </w:rPr>
      </w:pPr>
      <w:r w:rsidRPr="002E536C">
        <w:rPr>
          <w:lang w:val="en-CA"/>
        </w:rPr>
        <w:t>In</w:t>
      </w:r>
      <w:r w:rsidR="00F7473D" w:rsidRPr="002E536C">
        <w:rPr>
          <w:lang w:val="en-CA"/>
        </w:rPr>
        <w:t xml:space="preserve"> 1998, </w:t>
      </w:r>
      <w:r w:rsidRPr="002E536C">
        <w:rPr>
          <w:lang w:val="en-CA"/>
        </w:rPr>
        <w:t xml:space="preserve">the </w:t>
      </w:r>
      <w:r w:rsidR="00F7473D" w:rsidRPr="007C493C">
        <w:rPr>
          <w:lang w:val="en-CA"/>
        </w:rPr>
        <w:t>appellant</w:t>
      </w:r>
      <w:r w:rsidR="00F7473D" w:rsidRPr="002E536C">
        <w:rPr>
          <w:lang w:val="en-CA"/>
        </w:rPr>
        <w:t xml:space="preserve">, </w:t>
      </w:r>
      <w:r w:rsidRPr="002E536C">
        <w:rPr>
          <w:lang w:val="en-CA"/>
        </w:rPr>
        <w:t xml:space="preserve">who was </w:t>
      </w:r>
      <w:r w:rsidR="00F42294" w:rsidRPr="002E536C">
        <w:rPr>
          <w:lang w:val="en-CA"/>
        </w:rPr>
        <w:t>beginning</w:t>
      </w:r>
      <w:r w:rsidRPr="002E536C">
        <w:rPr>
          <w:lang w:val="en-CA"/>
        </w:rPr>
        <w:t xml:space="preserve"> his career in medicine, </w:t>
      </w:r>
      <w:r w:rsidR="00885C08">
        <w:rPr>
          <w:lang w:val="en-CA"/>
        </w:rPr>
        <w:t xml:space="preserve">purchased </w:t>
      </w:r>
      <w:r w:rsidRPr="002E536C">
        <w:rPr>
          <w:lang w:val="en-CA"/>
        </w:rPr>
        <w:t xml:space="preserve">a disability insurance policy </w:t>
      </w:r>
      <w:r w:rsidR="00F22AB9">
        <w:rPr>
          <w:lang w:val="en-CA"/>
        </w:rPr>
        <w:t>with</w:t>
      </w:r>
      <w:r w:rsidRPr="002E536C">
        <w:rPr>
          <w:lang w:val="en-CA"/>
        </w:rPr>
        <w:t xml:space="preserve"> a rider </w:t>
      </w:r>
      <w:r w:rsidR="00E3030F">
        <w:rPr>
          <w:lang w:val="en-CA"/>
        </w:rPr>
        <w:t>amending</w:t>
      </w:r>
      <w:r w:rsidRPr="002E536C">
        <w:rPr>
          <w:lang w:val="en-CA"/>
        </w:rPr>
        <w:t xml:space="preserve"> the policy’s definition of total disability. I </w:t>
      </w:r>
      <w:r w:rsidR="00F22AB9">
        <w:rPr>
          <w:lang w:val="en-CA"/>
        </w:rPr>
        <w:t xml:space="preserve">will </w:t>
      </w:r>
      <w:r w:rsidRPr="002E536C">
        <w:rPr>
          <w:lang w:val="en-CA"/>
        </w:rPr>
        <w:t>return to t</w:t>
      </w:r>
      <w:r>
        <w:rPr>
          <w:lang w:val="en-CA"/>
        </w:rPr>
        <w:t>his definition</w:t>
      </w:r>
      <w:r w:rsidR="00F22AB9">
        <w:rPr>
          <w:lang w:val="en-CA"/>
        </w:rPr>
        <w:t xml:space="preserve"> in more detail</w:t>
      </w:r>
      <w:r>
        <w:rPr>
          <w:lang w:val="en-CA"/>
        </w:rPr>
        <w:t xml:space="preserve">, but essentially, under the rider, the appellant </w:t>
      </w:r>
      <w:r w:rsidR="00F22AB9">
        <w:rPr>
          <w:lang w:val="en-CA"/>
        </w:rPr>
        <w:t xml:space="preserve">is </w:t>
      </w:r>
      <w:r>
        <w:rPr>
          <w:lang w:val="en-CA"/>
        </w:rPr>
        <w:t xml:space="preserve">considered totally disabled if he is no longer able to </w:t>
      </w:r>
      <w:r w:rsidR="00885C08">
        <w:rPr>
          <w:lang w:val="en-CA"/>
        </w:rPr>
        <w:t xml:space="preserve">perform </w:t>
      </w:r>
      <w:r>
        <w:rPr>
          <w:lang w:val="en-CA"/>
        </w:rPr>
        <w:t xml:space="preserve">the important duties of his occupation, even if he is working and earning an income. </w:t>
      </w:r>
      <w:r w:rsidR="00A2357D">
        <w:rPr>
          <w:lang w:val="en-CA"/>
        </w:rPr>
        <w:t>His broker</w:t>
      </w:r>
      <w:r w:rsidR="00885C08">
        <w:rPr>
          <w:lang w:val="en-CA"/>
        </w:rPr>
        <w:t xml:space="preserve"> </w:t>
      </w:r>
      <w:r w:rsidR="00F42294">
        <w:rPr>
          <w:lang w:val="en-CA"/>
        </w:rPr>
        <w:t xml:space="preserve">told him that </w:t>
      </w:r>
      <w:r w:rsidR="00A2357D">
        <w:rPr>
          <w:lang w:val="en-CA"/>
        </w:rPr>
        <w:t>the</w:t>
      </w:r>
      <w:r w:rsidR="00F42294">
        <w:rPr>
          <w:lang w:val="en-CA"/>
        </w:rPr>
        <w:t xml:space="preserve"> rider would allow him to </w:t>
      </w:r>
      <w:r w:rsidR="00885C08">
        <w:rPr>
          <w:lang w:val="en-CA"/>
        </w:rPr>
        <w:t xml:space="preserve">receive </w:t>
      </w:r>
      <w:r w:rsidR="00F42294">
        <w:rPr>
          <w:lang w:val="en-CA"/>
        </w:rPr>
        <w:t>disability benefits [</w:t>
      </w:r>
      <w:r w:rsidR="00F42294" w:rsidRPr="00F42294">
        <w:rPr>
          <w:smallCaps/>
          <w:lang w:val="en-CA"/>
        </w:rPr>
        <w:t>translation</w:t>
      </w:r>
      <w:r w:rsidR="00F42294">
        <w:rPr>
          <w:lang w:val="en-CA"/>
        </w:rPr>
        <w:t xml:space="preserve">] “if he is no longer a </w:t>
      </w:r>
      <w:r w:rsidR="000758AC">
        <w:rPr>
          <w:lang w:val="en-CA"/>
        </w:rPr>
        <w:t>physician</w:t>
      </w:r>
      <w:r w:rsidR="00F42294">
        <w:rPr>
          <w:lang w:val="en-CA"/>
        </w:rPr>
        <w:t>, even if he is earning a good income in another field”.</w:t>
      </w:r>
    </w:p>
    <w:p w14:paraId="2814AF66" w14:textId="21166437" w:rsidR="00EA508C" w:rsidRPr="00EA508C" w:rsidRDefault="00EA508C" w:rsidP="00350689">
      <w:pPr>
        <w:pStyle w:val="Paragraphe"/>
        <w:spacing w:before="140" w:after="140" w:line="240" w:lineRule="auto"/>
        <w:rPr>
          <w:lang w:val="en-CA"/>
        </w:rPr>
      </w:pPr>
      <w:r w:rsidRPr="00EA508C">
        <w:rPr>
          <w:lang w:val="en-CA"/>
        </w:rPr>
        <w:t xml:space="preserve">He began </w:t>
      </w:r>
      <w:r>
        <w:rPr>
          <w:lang w:val="en-CA"/>
        </w:rPr>
        <w:t xml:space="preserve">working as a family </w:t>
      </w:r>
      <w:r w:rsidR="000758AC">
        <w:rPr>
          <w:lang w:val="en-CA"/>
        </w:rPr>
        <w:t>physician</w:t>
      </w:r>
      <w:r>
        <w:rPr>
          <w:lang w:val="en-CA"/>
        </w:rPr>
        <w:t xml:space="preserve"> in the Granby region. He consulted in a clinic and was on duty in the emergency room </w:t>
      </w:r>
      <w:r w:rsidR="00885C08">
        <w:rPr>
          <w:lang w:val="en-CA"/>
        </w:rPr>
        <w:t xml:space="preserve">in a </w:t>
      </w:r>
      <w:r>
        <w:rPr>
          <w:lang w:val="en-CA"/>
        </w:rPr>
        <w:t xml:space="preserve">regional hospital. In 2006, he </w:t>
      </w:r>
      <w:r w:rsidR="00885C08">
        <w:rPr>
          <w:lang w:val="en-CA"/>
        </w:rPr>
        <w:t>expanded</w:t>
      </w:r>
      <w:r>
        <w:rPr>
          <w:lang w:val="en-CA"/>
        </w:rPr>
        <w:t xml:space="preserve"> his practice, travelling to the </w:t>
      </w:r>
      <w:r w:rsidR="00F22AB9">
        <w:rPr>
          <w:lang w:val="en-CA"/>
        </w:rPr>
        <w:t>F</w:t>
      </w:r>
      <w:r>
        <w:rPr>
          <w:lang w:val="en-CA"/>
        </w:rPr>
        <w:t xml:space="preserve">ar </w:t>
      </w:r>
      <w:r w:rsidR="00F22AB9">
        <w:rPr>
          <w:lang w:val="en-CA"/>
        </w:rPr>
        <w:t>N</w:t>
      </w:r>
      <w:r>
        <w:rPr>
          <w:lang w:val="en-CA"/>
        </w:rPr>
        <w:t xml:space="preserve">orth in Quebec every six weeks for </w:t>
      </w:r>
      <w:r w:rsidR="00072782">
        <w:rPr>
          <w:lang w:val="en-CA"/>
        </w:rPr>
        <w:t>a</w:t>
      </w:r>
      <w:r w:rsidR="00F22AB9">
        <w:rPr>
          <w:lang w:val="en-CA"/>
        </w:rPr>
        <w:t xml:space="preserve"> </w:t>
      </w:r>
      <w:r>
        <w:rPr>
          <w:lang w:val="en-CA"/>
        </w:rPr>
        <w:t>week at a time. He was on a call li</w:t>
      </w:r>
      <w:r w:rsidR="00072782">
        <w:rPr>
          <w:lang w:val="en-CA"/>
        </w:rPr>
        <w:t xml:space="preserve">st and did stints at hospitals </w:t>
      </w:r>
      <w:r w:rsidR="00885C08">
        <w:rPr>
          <w:lang w:val="en-CA"/>
        </w:rPr>
        <w:t xml:space="preserve">primarily </w:t>
      </w:r>
      <w:r>
        <w:rPr>
          <w:lang w:val="en-CA"/>
        </w:rPr>
        <w:t>in Kuujjuaq and Chisasibi. He says that he likes this part of Quebec because of the Nations that live there</w:t>
      </w:r>
      <w:r w:rsidR="00F22AB9">
        <w:rPr>
          <w:lang w:val="en-CA"/>
        </w:rPr>
        <w:t>,</w:t>
      </w:r>
      <w:r>
        <w:rPr>
          <w:lang w:val="en-CA"/>
        </w:rPr>
        <w:t xml:space="preserve"> and he sympathizes with the issues they </w:t>
      </w:r>
      <w:r w:rsidR="00885C08">
        <w:rPr>
          <w:lang w:val="en-CA"/>
        </w:rPr>
        <w:t xml:space="preserve">are </w:t>
      </w:r>
      <w:r>
        <w:rPr>
          <w:lang w:val="en-CA"/>
        </w:rPr>
        <w:t>fac</w:t>
      </w:r>
      <w:r w:rsidR="00885C08">
        <w:rPr>
          <w:lang w:val="en-CA"/>
        </w:rPr>
        <w:t>ing</w:t>
      </w:r>
      <w:r>
        <w:rPr>
          <w:lang w:val="en-CA"/>
        </w:rPr>
        <w:t>.</w:t>
      </w:r>
    </w:p>
    <w:p w14:paraId="06FB38C3" w14:textId="66603838" w:rsidR="00A01F1F" w:rsidRPr="00A01F1F" w:rsidRDefault="00A01F1F" w:rsidP="00350689">
      <w:pPr>
        <w:pStyle w:val="Paragraphe"/>
        <w:spacing w:before="140" w:after="140" w:line="240" w:lineRule="auto"/>
        <w:rPr>
          <w:lang w:val="en-CA"/>
        </w:rPr>
      </w:pPr>
      <w:r w:rsidRPr="00A01F1F">
        <w:rPr>
          <w:lang w:val="en-CA"/>
        </w:rPr>
        <w:t xml:space="preserve">During these stints, he was responsible for emergency in </w:t>
      </w:r>
      <w:r>
        <w:rPr>
          <w:lang w:val="en-CA"/>
        </w:rPr>
        <w:t>K</w:t>
      </w:r>
      <w:r w:rsidR="004D08CA">
        <w:rPr>
          <w:lang w:val="en-CA"/>
        </w:rPr>
        <w:t>uujj</w:t>
      </w:r>
      <w:r>
        <w:rPr>
          <w:lang w:val="en-CA"/>
        </w:rPr>
        <w:t xml:space="preserve">uaq or Chisasibi. </w:t>
      </w:r>
      <w:r w:rsidR="00072782">
        <w:rPr>
          <w:lang w:val="en-CA"/>
        </w:rPr>
        <w:t>Because</w:t>
      </w:r>
      <w:r>
        <w:rPr>
          <w:lang w:val="en-CA"/>
        </w:rPr>
        <w:t xml:space="preserve"> he was the only </w:t>
      </w:r>
      <w:r w:rsidR="000758AC">
        <w:rPr>
          <w:lang w:val="en-CA"/>
        </w:rPr>
        <w:t>physician</w:t>
      </w:r>
      <w:r>
        <w:rPr>
          <w:lang w:val="en-CA"/>
        </w:rPr>
        <w:t xml:space="preserve"> there, he manage</w:t>
      </w:r>
      <w:r w:rsidR="00072782">
        <w:rPr>
          <w:lang w:val="en-CA"/>
        </w:rPr>
        <w:t>d</w:t>
      </w:r>
      <w:r>
        <w:rPr>
          <w:lang w:val="en-CA"/>
        </w:rPr>
        <w:t xml:space="preserve"> an unpredictable workload. He </w:t>
      </w:r>
      <w:r w:rsidR="00F22AB9">
        <w:rPr>
          <w:lang w:val="en-CA"/>
        </w:rPr>
        <w:t>was</w:t>
      </w:r>
      <w:r>
        <w:rPr>
          <w:lang w:val="en-CA"/>
        </w:rPr>
        <w:t xml:space="preserve"> also </w:t>
      </w:r>
      <w:r w:rsidR="00885C08">
        <w:rPr>
          <w:lang w:val="en-CA"/>
        </w:rPr>
        <w:t xml:space="preserve">occasionally </w:t>
      </w:r>
      <w:r>
        <w:rPr>
          <w:lang w:val="en-CA"/>
        </w:rPr>
        <w:t xml:space="preserve">asked to </w:t>
      </w:r>
      <w:r w:rsidR="00072782">
        <w:rPr>
          <w:lang w:val="en-CA"/>
        </w:rPr>
        <w:t xml:space="preserve">fly </w:t>
      </w:r>
      <w:r w:rsidR="00885C08">
        <w:rPr>
          <w:lang w:val="en-CA"/>
        </w:rPr>
        <w:t xml:space="preserve">long distances to reach </w:t>
      </w:r>
      <w:r>
        <w:rPr>
          <w:lang w:val="en-CA"/>
        </w:rPr>
        <w:t xml:space="preserve">isolated communities. His </w:t>
      </w:r>
      <w:r>
        <w:rPr>
          <w:lang w:val="en-CA"/>
        </w:rPr>
        <w:lastRenderedPageBreak/>
        <w:t xml:space="preserve">clinical work </w:t>
      </w:r>
      <w:r w:rsidR="00F22AB9">
        <w:rPr>
          <w:lang w:val="en-CA"/>
        </w:rPr>
        <w:t xml:space="preserve">varied </w:t>
      </w:r>
      <w:r>
        <w:rPr>
          <w:lang w:val="en-CA"/>
        </w:rPr>
        <w:t>from one village to another. In Kuuj</w:t>
      </w:r>
      <w:r w:rsidR="004D08CA">
        <w:rPr>
          <w:lang w:val="en-CA"/>
        </w:rPr>
        <w:t>j</w:t>
      </w:r>
      <w:r>
        <w:rPr>
          <w:lang w:val="en-CA"/>
        </w:rPr>
        <w:t xml:space="preserve">uaq, </w:t>
      </w:r>
      <w:r w:rsidR="004D08CA">
        <w:rPr>
          <w:lang w:val="en-CA"/>
        </w:rPr>
        <w:t xml:space="preserve">he had to coordinate an emergency room, consult, perform surgery when necessary, and do follow-up. He was supported by a team of nurses, who </w:t>
      </w:r>
      <w:r w:rsidR="00F22AB9">
        <w:rPr>
          <w:lang w:val="en-CA"/>
        </w:rPr>
        <w:t xml:space="preserve">were responsible for </w:t>
      </w:r>
      <w:r w:rsidR="004D08CA">
        <w:rPr>
          <w:lang w:val="en-CA"/>
        </w:rPr>
        <w:t>almost all the first-line care and helped him great</w:t>
      </w:r>
      <w:r w:rsidR="00885C08">
        <w:rPr>
          <w:lang w:val="en-CA"/>
        </w:rPr>
        <w:t>ly</w:t>
      </w:r>
      <w:r w:rsidR="004D08CA">
        <w:rPr>
          <w:lang w:val="en-CA"/>
        </w:rPr>
        <w:t xml:space="preserve"> in his work. At the time, he earned most of his income there. </w:t>
      </w:r>
    </w:p>
    <w:p w14:paraId="40B89A8C" w14:textId="1927FA31" w:rsidR="00350689" w:rsidRPr="004D08CA" w:rsidRDefault="00236D18" w:rsidP="00350689">
      <w:pPr>
        <w:pStyle w:val="Paragraphe"/>
        <w:spacing w:before="140" w:after="140" w:line="240" w:lineRule="auto"/>
        <w:rPr>
          <w:lang w:val="en-CA"/>
        </w:rPr>
      </w:pPr>
      <w:r>
        <w:rPr>
          <w:lang w:val="en-CA"/>
        </w:rPr>
        <w:t>H</w:t>
      </w:r>
      <w:r w:rsidR="004D08CA" w:rsidRPr="004D08CA">
        <w:rPr>
          <w:lang w:val="en-CA"/>
        </w:rPr>
        <w:t>e becam</w:t>
      </w:r>
      <w:r>
        <w:rPr>
          <w:lang w:val="en-CA"/>
        </w:rPr>
        <w:t>e interested in sports medicine around 2008,</w:t>
      </w:r>
      <w:r w:rsidR="00F22AB9">
        <w:rPr>
          <w:lang w:val="en-CA"/>
        </w:rPr>
        <w:t xml:space="preserve"> </w:t>
      </w:r>
      <w:r w:rsidR="00885C08">
        <w:rPr>
          <w:lang w:val="en-CA"/>
        </w:rPr>
        <w:t xml:space="preserve">a field in which </w:t>
      </w:r>
      <w:r w:rsidR="00F22AB9">
        <w:rPr>
          <w:lang w:val="en-CA"/>
        </w:rPr>
        <w:t>he ha</w:t>
      </w:r>
      <w:r w:rsidR="00885C08">
        <w:rPr>
          <w:lang w:val="en-CA"/>
        </w:rPr>
        <w:t>d</w:t>
      </w:r>
      <w:r w:rsidR="00F22AB9">
        <w:rPr>
          <w:lang w:val="en-CA"/>
        </w:rPr>
        <w:t xml:space="preserve"> </w:t>
      </w:r>
      <w:r w:rsidR="00885C08">
        <w:rPr>
          <w:lang w:val="en-CA"/>
        </w:rPr>
        <w:t xml:space="preserve">been </w:t>
      </w:r>
      <w:r w:rsidR="00F22AB9">
        <w:rPr>
          <w:lang w:val="en-CA"/>
        </w:rPr>
        <w:t>cultivat</w:t>
      </w:r>
      <w:r w:rsidR="00885C08">
        <w:rPr>
          <w:lang w:val="en-CA"/>
        </w:rPr>
        <w:t>ing</w:t>
      </w:r>
      <w:r w:rsidR="00F22AB9">
        <w:rPr>
          <w:lang w:val="en-CA"/>
        </w:rPr>
        <w:t xml:space="preserve"> </w:t>
      </w:r>
      <w:r w:rsidR="00885C08">
        <w:rPr>
          <w:lang w:val="en-CA"/>
        </w:rPr>
        <w:t xml:space="preserve">considerable </w:t>
      </w:r>
      <w:r w:rsidR="00F22AB9">
        <w:rPr>
          <w:lang w:val="en-CA"/>
        </w:rPr>
        <w:t xml:space="preserve">interest for </w:t>
      </w:r>
      <w:r w:rsidR="0088282D">
        <w:rPr>
          <w:lang w:val="en-CA"/>
        </w:rPr>
        <w:t xml:space="preserve">a number of years. He nevertheless continued to work as a family </w:t>
      </w:r>
      <w:r w:rsidR="000758AC">
        <w:rPr>
          <w:lang w:val="en-CA"/>
        </w:rPr>
        <w:t>physician</w:t>
      </w:r>
      <w:r w:rsidR="0088282D">
        <w:rPr>
          <w:lang w:val="en-CA"/>
        </w:rPr>
        <w:t xml:space="preserve"> in Granby and in the </w:t>
      </w:r>
      <w:r w:rsidR="00F22AB9">
        <w:rPr>
          <w:lang w:val="en-CA"/>
        </w:rPr>
        <w:t>F</w:t>
      </w:r>
      <w:r w:rsidR="0088282D">
        <w:rPr>
          <w:lang w:val="en-CA"/>
        </w:rPr>
        <w:t xml:space="preserve">ar </w:t>
      </w:r>
      <w:r w:rsidR="00F22AB9">
        <w:rPr>
          <w:lang w:val="en-CA"/>
        </w:rPr>
        <w:t>N</w:t>
      </w:r>
      <w:r w:rsidR="0088282D">
        <w:rPr>
          <w:lang w:val="en-CA"/>
        </w:rPr>
        <w:t>orth.</w:t>
      </w:r>
    </w:p>
    <w:p w14:paraId="7A261661" w14:textId="7A00D1F8" w:rsidR="0088282D" w:rsidRPr="0088282D" w:rsidRDefault="0088282D" w:rsidP="00350689">
      <w:pPr>
        <w:pStyle w:val="Paragraphe"/>
        <w:spacing w:before="140" w:after="140" w:line="240" w:lineRule="auto"/>
        <w:rPr>
          <w:lang w:val="en-CA"/>
        </w:rPr>
      </w:pPr>
      <w:r w:rsidRPr="0088282D">
        <w:rPr>
          <w:lang w:val="en-CA"/>
        </w:rPr>
        <w:t xml:space="preserve">In March 2009, he obtained a diploma in sports medicine from the </w:t>
      </w:r>
      <w:r>
        <w:rPr>
          <w:lang w:val="en-CA"/>
        </w:rPr>
        <w:t>Canadian Academy of Sport and Exercise Medicine.</w:t>
      </w:r>
    </w:p>
    <w:p w14:paraId="43EA886F" w14:textId="740D9794" w:rsidR="0088282D" w:rsidRPr="0088282D" w:rsidRDefault="0088282D" w:rsidP="00350689">
      <w:pPr>
        <w:pStyle w:val="Paragraphe"/>
        <w:spacing w:before="140" w:after="140" w:line="240" w:lineRule="auto"/>
        <w:rPr>
          <w:lang w:val="en-CA"/>
        </w:rPr>
      </w:pPr>
      <w:r w:rsidRPr="0088282D">
        <w:rPr>
          <w:lang w:val="en-CA"/>
        </w:rPr>
        <w:t xml:space="preserve">In June 2009, he </w:t>
      </w:r>
      <w:r w:rsidR="00885C08">
        <w:rPr>
          <w:lang w:val="en-CA"/>
        </w:rPr>
        <w:t xml:space="preserve">became </w:t>
      </w:r>
      <w:r w:rsidRPr="0088282D">
        <w:rPr>
          <w:lang w:val="en-CA"/>
        </w:rPr>
        <w:t>severe</w:t>
      </w:r>
      <w:r w:rsidR="00885C08">
        <w:rPr>
          <w:lang w:val="en-CA"/>
        </w:rPr>
        <w:t>ly</w:t>
      </w:r>
      <w:r w:rsidRPr="0088282D">
        <w:rPr>
          <w:lang w:val="en-CA"/>
        </w:rPr>
        <w:t xml:space="preserve"> depress</w:t>
      </w:r>
      <w:r w:rsidR="00885C08">
        <w:rPr>
          <w:lang w:val="en-CA"/>
        </w:rPr>
        <w:t>ed</w:t>
      </w:r>
      <w:r w:rsidRPr="0088282D">
        <w:rPr>
          <w:lang w:val="en-CA"/>
        </w:rPr>
        <w:t xml:space="preserve"> and stopped working. </w:t>
      </w:r>
      <w:r>
        <w:rPr>
          <w:lang w:val="en-CA"/>
        </w:rPr>
        <w:t xml:space="preserve">He decided </w:t>
      </w:r>
      <w:r w:rsidR="00F22AB9">
        <w:rPr>
          <w:lang w:val="en-CA"/>
        </w:rPr>
        <w:t xml:space="preserve">at that point </w:t>
      </w:r>
      <w:r>
        <w:rPr>
          <w:lang w:val="en-CA"/>
        </w:rPr>
        <w:t xml:space="preserve">to </w:t>
      </w:r>
      <w:r w:rsidR="00885C08">
        <w:rPr>
          <w:lang w:val="en-CA"/>
        </w:rPr>
        <w:t>leave</w:t>
      </w:r>
      <w:r>
        <w:rPr>
          <w:lang w:val="en-CA"/>
        </w:rPr>
        <w:t xml:space="preserve"> the public sector and resigned from the family medicine</w:t>
      </w:r>
      <w:r w:rsidR="00F22AB9">
        <w:rPr>
          <w:lang w:val="en-CA"/>
        </w:rPr>
        <w:t xml:space="preserve"> group where he had been practis</w:t>
      </w:r>
      <w:r>
        <w:rPr>
          <w:lang w:val="en-CA"/>
        </w:rPr>
        <w:t xml:space="preserve">ing and from the hospital in Granby. He nevertheless hoped to continue working in the </w:t>
      </w:r>
      <w:r w:rsidR="00C3395D">
        <w:rPr>
          <w:lang w:val="en-CA"/>
        </w:rPr>
        <w:t>F</w:t>
      </w:r>
      <w:r>
        <w:rPr>
          <w:lang w:val="en-CA"/>
        </w:rPr>
        <w:t xml:space="preserve">ar </w:t>
      </w:r>
      <w:r w:rsidR="00C3395D">
        <w:rPr>
          <w:lang w:val="en-CA"/>
        </w:rPr>
        <w:t>N</w:t>
      </w:r>
      <w:r>
        <w:rPr>
          <w:lang w:val="en-CA"/>
        </w:rPr>
        <w:t>orth, which he in fact did, starting in November 2009.</w:t>
      </w:r>
    </w:p>
    <w:p w14:paraId="0A538459" w14:textId="00C844A9" w:rsidR="00350689" w:rsidRPr="00236D18" w:rsidRDefault="0088282D" w:rsidP="00350689">
      <w:pPr>
        <w:pStyle w:val="Paragraphe"/>
        <w:spacing w:before="140" w:after="140" w:line="240" w:lineRule="auto"/>
        <w:rPr>
          <w:lang w:val="en-CA"/>
        </w:rPr>
      </w:pPr>
      <w:r w:rsidRPr="00236D18">
        <w:rPr>
          <w:lang w:val="en-CA"/>
        </w:rPr>
        <w:t xml:space="preserve">Because he was on medical leave, he applied for total </w:t>
      </w:r>
      <w:r w:rsidR="00EC2807" w:rsidRPr="00236D18">
        <w:rPr>
          <w:lang w:val="en-CA"/>
        </w:rPr>
        <w:t>disability</w:t>
      </w:r>
      <w:r w:rsidRPr="00236D18">
        <w:rPr>
          <w:lang w:val="en-CA"/>
        </w:rPr>
        <w:t xml:space="preserve"> benefits from the respondent. The respondent paid him these benefits for the period </w:t>
      </w:r>
      <w:r w:rsidR="00236D18">
        <w:rPr>
          <w:lang w:val="en-CA"/>
        </w:rPr>
        <w:t>starting in</w:t>
      </w:r>
      <w:r w:rsidRPr="00236D18">
        <w:rPr>
          <w:lang w:val="en-CA"/>
        </w:rPr>
        <w:t xml:space="preserve"> June 2009 until he returned to work in 2010.</w:t>
      </w:r>
    </w:p>
    <w:p w14:paraId="59AE58AF" w14:textId="7B99220D" w:rsidR="0088282D" w:rsidRPr="0088282D" w:rsidRDefault="0088282D" w:rsidP="00350689">
      <w:pPr>
        <w:pStyle w:val="Paragraphe"/>
        <w:spacing w:before="140" w:after="140" w:line="240" w:lineRule="auto"/>
        <w:rPr>
          <w:lang w:val="en-CA"/>
        </w:rPr>
      </w:pPr>
      <w:r>
        <w:rPr>
          <w:lang w:val="en-CA"/>
        </w:rPr>
        <w:t xml:space="preserve">During </w:t>
      </w:r>
      <w:r w:rsidR="00F7473D">
        <w:rPr>
          <w:lang w:val="en-CA"/>
        </w:rPr>
        <w:t>this</w:t>
      </w:r>
      <w:r>
        <w:rPr>
          <w:lang w:val="en-CA"/>
        </w:rPr>
        <w:t xml:space="preserve"> period, the </w:t>
      </w:r>
      <w:r w:rsidR="000304FA">
        <w:rPr>
          <w:lang w:val="en-CA"/>
        </w:rPr>
        <w:t xml:space="preserve">demand in </w:t>
      </w:r>
      <w:r w:rsidR="00EC2807">
        <w:rPr>
          <w:lang w:val="en-CA"/>
        </w:rPr>
        <w:t>Kuujjuaq</w:t>
      </w:r>
      <w:r w:rsidR="000304FA">
        <w:rPr>
          <w:lang w:val="en-CA"/>
        </w:rPr>
        <w:t xml:space="preserve"> was decreasing and the appellant was </w:t>
      </w:r>
      <w:r w:rsidR="00D52609">
        <w:rPr>
          <w:lang w:val="en-CA"/>
        </w:rPr>
        <w:t xml:space="preserve">called on to work in </w:t>
      </w:r>
      <w:r w:rsidR="000304FA">
        <w:rPr>
          <w:lang w:val="en-CA"/>
        </w:rPr>
        <w:t>Chisasibi</w:t>
      </w:r>
      <w:r w:rsidR="00236D18">
        <w:rPr>
          <w:lang w:val="en-CA"/>
        </w:rPr>
        <w:t xml:space="preserve"> more frequently</w:t>
      </w:r>
      <w:r w:rsidR="000304FA">
        <w:rPr>
          <w:lang w:val="en-CA"/>
        </w:rPr>
        <w:t>. The volume of work was much higher there than in Kuujjuaq</w:t>
      </w:r>
      <w:r w:rsidR="00236D18">
        <w:rPr>
          <w:lang w:val="en-CA"/>
        </w:rPr>
        <w:t>,</w:t>
      </w:r>
      <w:r w:rsidR="000304FA">
        <w:rPr>
          <w:lang w:val="en-CA"/>
        </w:rPr>
        <w:t xml:space="preserve"> and he received less support. He did 24-hour shifts</w:t>
      </w:r>
      <w:r w:rsidR="0062075E">
        <w:rPr>
          <w:lang w:val="en-CA"/>
        </w:rPr>
        <w:t xml:space="preserve"> during which he</w:t>
      </w:r>
      <w:r w:rsidR="00236D18">
        <w:rPr>
          <w:lang w:val="en-CA"/>
        </w:rPr>
        <w:t xml:space="preserve"> perform</w:t>
      </w:r>
      <w:r w:rsidR="0062075E">
        <w:rPr>
          <w:lang w:val="en-CA"/>
        </w:rPr>
        <w:t>ed</w:t>
      </w:r>
      <w:r w:rsidR="00236D18">
        <w:rPr>
          <w:lang w:val="en-CA"/>
        </w:rPr>
        <w:t xml:space="preserve"> </w:t>
      </w:r>
      <w:r w:rsidR="000304FA">
        <w:rPr>
          <w:lang w:val="en-CA"/>
        </w:rPr>
        <w:t xml:space="preserve">several surgeries and </w:t>
      </w:r>
      <w:r w:rsidR="00236D18">
        <w:rPr>
          <w:lang w:val="en-CA"/>
        </w:rPr>
        <w:t xml:space="preserve">met </w:t>
      </w:r>
      <w:r w:rsidR="000304FA">
        <w:rPr>
          <w:lang w:val="en-CA"/>
        </w:rPr>
        <w:t>with a large number of patients.</w:t>
      </w:r>
    </w:p>
    <w:p w14:paraId="460CAEE0" w14:textId="102B87E8" w:rsidR="000304FA" w:rsidRPr="000304FA" w:rsidRDefault="000304FA" w:rsidP="00350689">
      <w:pPr>
        <w:pStyle w:val="Paragraphe"/>
        <w:spacing w:before="140" w:after="140" w:line="240" w:lineRule="auto"/>
        <w:rPr>
          <w:lang w:val="en-CA"/>
        </w:rPr>
      </w:pPr>
      <w:r w:rsidRPr="000304FA">
        <w:rPr>
          <w:lang w:val="en-CA"/>
        </w:rPr>
        <w:t xml:space="preserve">In 2011, because he was still interested </w:t>
      </w:r>
      <w:r w:rsidR="00236D18">
        <w:rPr>
          <w:lang w:val="en-CA"/>
        </w:rPr>
        <w:t xml:space="preserve">in sports medicine </w:t>
      </w:r>
      <w:r w:rsidRPr="000304FA">
        <w:rPr>
          <w:lang w:val="en-CA"/>
        </w:rPr>
        <w:t xml:space="preserve">and </w:t>
      </w:r>
      <w:r w:rsidR="00236D18">
        <w:rPr>
          <w:lang w:val="en-CA"/>
        </w:rPr>
        <w:t xml:space="preserve">wanted to </w:t>
      </w:r>
      <w:r w:rsidR="0062075E">
        <w:rPr>
          <w:lang w:val="en-CA"/>
        </w:rPr>
        <w:t xml:space="preserve">eventually </w:t>
      </w:r>
      <w:r w:rsidRPr="000304FA">
        <w:rPr>
          <w:lang w:val="en-CA"/>
        </w:rPr>
        <w:t xml:space="preserve">start and run his own </w:t>
      </w:r>
      <w:r>
        <w:rPr>
          <w:lang w:val="en-CA"/>
        </w:rPr>
        <w:t xml:space="preserve">clinic, he </w:t>
      </w:r>
      <w:r w:rsidR="00236D18">
        <w:rPr>
          <w:lang w:val="en-CA"/>
        </w:rPr>
        <w:t xml:space="preserve">updated </w:t>
      </w:r>
      <w:r>
        <w:rPr>
          <w:lang w:val="en-CA"/>
        </w:rPr>
        <w:t>his skills in musculoskeletal ultrasound.</w:t>
      </w:r>
    </w:p>
    <w:p w14:paraId="03364F69" w14:textId="35C36AD4" w:rsidR="000304FA" w:rsidRPr="000304FA" w:rsidRDefault="0062075E" w:rsidP="00350689">
      <w:pPr>
        <w:pStyle w:val="Paragraphe"/>
        <w:spacing w:before="140" w:after="140" w:line="240" w:lineRule="auto"/>
        <w:rPr>
          <w:lang w:val="en-CA"/>
        </w:rPr>
      </w:pPr>
      <w:r>
        <w:rPr>
          <w:lang w:val="en-CA"/>
        </w:rPr>
        <w:t>I</w:t>
      </w:r>
      <w:r w:rsidR="00236D18">
        <w:rPr>
          <w:lang w:val="en-CA"/>
        </w:rPr>
        <w:t xml:space="preserve">n </w:t>
      </w:r>
      <w:r w:rsidR="000304FA" w:rsidRPr="000304FA">
        <w:rPr>
          <w:lang w:val="en-CA"/>
        </w:rPr>
        <w:t xml:space="preserve">June 2013, he </w:t>
      </w:r>
      <w:r>
        <w:rPr>
          <w:lang w:val="en-CA"/>
        </w:rPr>
        <w:t xml:space="preserve">finally </w:t>
      </w:r>
      <w:r w:rsidR="000304FA" w:rsidRPr="000304FA">
        <w:rPr>
          <w:lang w:val="en-CA"/>
        </w:rPr>
        <w:t xml:space="preserve">rented an office in </w:t>
      </w:r>
      <w:r w:rsidR="000304FA">
        <w:rPr>
          <w:lang w:val="en-CA"/>
        </w:rPr>
        <w:t>Granby and set up his sports medicine clinic. He performed consultations, analyzed imaging results, and followed up with patients.</w:t>
      </w:r>
    </w:p>
    <w:p w14:paraId="6786366E" w14:textId="6019B92F" w:rsidR="00350689" w:rsidRPr="000304FA" w:rsidRDefault="000304FA" w:rsidP="000304FA">
      <w:pPr>
        <w:pStyle w:val="Paragraphe"/>
        <w:spacing w:before="140" w:after="140" w:line="240" w:lineRule="auto"/>
        <w:rPr>
          <w:lang w:val="en-CA"/>
        </w:rPr>
      </w:pPr>
      <w:r w:rsidRPr="000304FA">
        <w:rPr>
          <w:lang w:val="en-CA"/>
        </w:rPr>
        <w:t xml:space="preserve">Although this part of his </w:t>
      </w:r>
      <w:r>
        <w:rPr>
          <w:lang w:val="en-CA"/>
        </w:rPr>
        <w:t xml:space="preserve">practice </w:t>
      </w:r>
      <w:r w:rsidR="00F7473D">
        <w:rPr>
          <w:lang w:val="en-CA"/>
        </w:rPr>
        <w:t xml:space="preserve">was </w:t>
      </w:r>
      <w:r w:rsidR="005E1A0C">
        <w:rPr>
          <w:lang w:val="en-CA"/>
        </w:rPr>
        <w:t>growing, he continued to practis</w:t>
      </w:r>
      <w:r w:rsidR="00F7473D">
        <w:rPr>
          <w:lang w:val="en-CA"/>
        </w:rPr>
        <w:t xml:space="preserve">e in the </w:t>
      </w:r>
      <w:r w:rsidR="005E1A0C">
        <w:rPr>
          <w:lang w:val="en-CA"/>
        </w:rPr>
        <w:t>F</w:t>
      </w:r>
      <w:r w:rsidR="00F7473D">
        <w:rPr>
          <w:lang w:val="en-CA"/>
        </w:rPr>
        <w:t xml:space="preserve">ar </w:t>
      </w:r>
      <w:r w:rsidR="005E1A0C">
        <w:rPr>
          <w:lang w:val="en-CA"/>
        </w:rPr>
        <w:t>N</w:t>
      </w:r>
      <w:r w:rsidR="00F7473D">
        <w:rPr>
          <w:lang w:val="en-CA"/>
        </w:rPr>
        <w:t xml:space="preserve">orth, but the number of days he spent there decreased. </w:t>
      </w:r>
      <w:r w:rsidR="005E1A0C">
        <w:rPr>
          <w:lang w:val="en-CA"/>
        </w:rPr>
        <w:t xml:space="preserve">Because of </w:t>
      </w:r>
      <w:r w:rsidR="00F7473D">
        <w:rPr>
          <w:lang w:val="en-CA"/>
        </w:rPr>
        <w:t>the events described below, he worked there for the last time during the week of March 11, 2014.</w:t>
      </w:r>
    </w:p>
    <w:p w14:paraId="79EEB747" w14:textId="58FCEB4F" w:rsidR="00350689" w:rsidRPr="00EC2807" w:rsidRDefault="00066D57" w:rsidP="00350689">
      <w:pPr>
        <w:pStyle w:val="Paragraphe"/>
        <w:spacing w:before="140" w:after="140" w:line="240" w:lineRule="auto"/>
        <w:rPr>
          <w:lang w:val="en-CA"/>
        </w:rPr>
      </w:pPr>
      <w:r>
        <w:rPr>
          <w:lang w:val="en-CA"/>
        </w:rPr>
        <w:t>On April 13, 2014, t</w:t>
      </w:r>
      <w:r w:rsidR="00EC2807" w:rsidRPr="00EC2807">
        <w:rPr>
          <w:lang w:val="en-CA"/>
        </w:rPr>
        <w:t xml:space="preserve">he appellant </w:t>
      </w:r>
      <w:r w:rsidR="0062075E">
        <w:rPr>
          <w:lang w:val="en-CA"/>
        </w:rPr>
        <w:t>went into</w:t>
      </w:r>
      <w:r w:rsidR="0062075E" w:rsidRPr="00EC2807">
        <w:rPr>
          <w:lang w:val="en-CA"/>
        </w:rPr>
        <w:t xml:space="preserve"> </w:t>
      </w:r>
      <w:r w:rsidR="00EC2807" w:rsidRPr="00EC2807">
        <w:rPr>
          <w:lang w:val="en-CA"/>
        </w:rPr>
        <w:t>cardiac arrest</w:t>
      </w:r>
      <w:r w:rsidR="00EC2807">
        <w:rPr>
          <w:lang w:val="en-CA"/>
        </w:rPr>
        <w:t>.</w:t>
      </w:r>
      <w:r w:rsidR="00EC2807" w:rsidRPr="00EC2807">
        <w:rPr>
          <w:lang w:val="en-CA"/>
        </w:rPr>
        <w:t xml:space="preserve"> After experiencing cerebral anoxia, he </w:t>
      </w:r>
      <w:r w:rsidR="00EC2807">
        <w:rPr>
          <w:lang w:val="en-CA"/>
        </w:rPr>
        <w:t xml:space="preserve">was placed in an artificial </w:t>
      </w:r>
      <w:r w:rsidR="00EC2807" w:rsidRPr="00EC2807">
        <w:rPr>
          <w:lang w:val="en-CA"/>
        </w:rPr>
        <w:t xml:space="preserve">coma </w:t>
      </w:r>
      <w:r w:rsidR="00EC2807">
        <w:rPr>
          <w:lang w:val="en-CA"/>
        </w:rPr>
        <w:t xml:space="preserve">and awoke two days later. </w:t>
      </w:r>
      <w:r w:rsidR="00061ABA" w:rsidRPr="007C493C">
        <w:rPr>
          <w:lang w:val="en-CA"/>
        </w:rPr>
        <w:t>He remained at the hospital for his convalescence</w:t>
      </w:r>
      <w:r w:rsidR="00F7473D" w:rsidRPr="007C493C">
        <w:rPr>
          <w:lang w:val="en-CA"/>
        </w:rPr>
        <w:t>.</w:t>
      </w:r>
      <w:r w:rsidR="00F7473D" w:rsidRPr="00EC2807">
        <w:rPr>
          <w:lang w:val="en-CA"/>
        </w:rPr>
        <w:t xml:space="preserve"> </w:t>
      </w:r>
    </w:p>
    <w:p w14:paraId="55FA0BF6" w14:textId="08DD18AA" w:rsidR="00350689" w:rsidRPr="00EC2807" w:rsidRDefault="00066D57" w:rsidP="00350689">
      <w:pPr>
        <w:pStyle w:val="Paragraphe"/>
        <w:spacing w:before="140" w:after="140" w:line="240" w:lineRule="auto"/>
        <w:rPr>
          <w:lang w:val="en-CA"/>
        </w:rPr>
      </w:pPr>
      <w:r>
        <w:rPr>
          <w:lang w:val="en-CA"/>
        </w:rPr>
        <w:t>Fortunately</w:t>
      </w:r>
      <w:r w:rsidR="00EC2807" w:rsidRPr="00EC2807">
        <w:rPr>
          <w:lang w:val="en-CA"/>
        </w:rPr>
        <w:t>, he recovered fully from his heart problem. However, he claim</w:t>
      </w:r>
      <w:r w:rsidR="0062075E">
        <w:rPr>
          <w:lang w:val="en-CA"/>
        </w:rPr>
        <w:t>s</w:t>
      </w:r>
      <w:r>
        <w:rPr>
          <w:lang w:val="en-CA"/>
        </w:rPr>
        <w:t xml:space="preserve"> </w:t>
      </w:r>
      <w:r w:rsidR="0062075E">
        <w:rPr>
          <w:lang w:val="en-CA"/>
        </w:rPr>
        <w:t xml:space="preserve">he was left with </w:t>
      </w:r>
      <w:r w:rsidR="00EC2807" w:rsidRPr="00EC2807">
        <w:rPr>
          <w:lang w:val="en-CA"/>
        </w:rPr>
        <w:t>residual cognitive issues and fa</w:t>
      </w:r>
      <w:r w:rsidR="00EC2807">
        <w:rPr>
          <w:lang w:val="en-CA"/>
        </w:rPr>
        <w:t xml:space="preserve">tigue despite </w:t>
      </w:r>
      <w:r>
        <w:rPr>
          <w:lang w:val="en-CA"/>
        </w:rPr>
        <w:t xml:space="preserve">his </w:t>
      </w:r>
      <w:r w:rsidR="00EC2807">
        <w:rPr>
          <w:lang w:val="en-CA"/>
        </w:rPr>
        <w:t xml:space="preserve">cognitive rehabilitation </w:t>
      </w:r>
      <w:r>
        <w:rPr>
          <w:lang w:val="en-CA"/>
        </w:rPr>
        <w:t>therapy</w:t>
      </w:r>
      <w:r w:rsidR="00EC2807">
        <w:rPr>
          <w:lang w:val="en-CA"/>
        </w:rPr>
        <w:t xml:space="preserve">. </w:t>
      </w:r>
    </w:p>
    <w:p w14:paraId="59B6A5B1" w14:textId="0A021F77" w:rsidR="00F3613E" w:rsidRPr="00F3613E" w:rsidRDefault="00F3613E" w:rsidP="00350689">
      <w:pPr>
        <w:pStyle w:val="Paragraphe"/>
        <w:spacing w:before="140" w:after="140" w:line="240" w:lineRule="auto"/>
        <w:rPr>
          <w:lang w:val="en-CA"/>
        </w:rPr>
      </w:pPr>
      <w:r>
        <w:rPr>
          <w:lang w:val="en-CA"/>
        </w:rPr>
        <w:lastRenderedPageBreak/>
        <w:t xml:space="preserve">Accordingly, on </w:t>
      </w:r>
      <w:r w:rsidRPr="00F3613E">
        <w:rPr>
          <w:lang w:val="en-CA"/>
        </w:rPr>
        <w:t xml:space="preserve">June 18, 2014, he </w:t>
      </w:r>
      <w:r w:rsidR="00066D57">
        <w:rPr>
          <w:lang w:val="en-CA"/>
        </w:rPr>
        <w:t xml:space="preserve">filed </w:t>
      </w:r>
      <w:r w:rsidRPr="00F3613E">
        <w:rPr>
          <w:lang w:val="en-CA"/>
        </w:rPr>
        <w:t>a new</w:t>
      </w:r>
      <w:r>
        <w:rPr>
          <w:lang w:val="en-CA"/>
        </w:rPr>
        <w:t xml:space="preserve"> application for total disability benefits, stating that his last day of work was April 11, 2014, and that the date of his return to work was as yet undetermined, </w:t>
      </w:r>
      <w:r w:rsidR="00682993">
        <w:rPr>
          <w:lang w:val="en-CA"/>
        </w:rPr>
        <w:t xml:space="preserve">as were </w:t>
      </w:r>
      <w:r w:rsidR="009367A7">
        <w:rPr>
          <w:lang w:val="en-CA"/>
        </w:rPr>
        <w:t>any</w:t>
      </w:r>
      <w:r w:rsidR="00682993">
        <w:rPr>
          <w:lang w:val="en-CA"/>
        </w:rPr>
        <w:t xml:space="preserve"> changes that </w:t>
      </w:r>
      <w:r w:rsidR="00303A83">
        <w:rPr>
          <w:lang w:val="en-CA"/>
        </w:rPr>
        <w:t>may</w:t>
      </w:r>
      <w:r w:rsidR="009367A7">
        <w:rPr>
          <w:lang w:val="en-CA"/>
        </w:rPr>
        <w:t xml:space="preserve"> </w:t>
      </w:r>
      <w:r w:rsidR="00682993">
        <w:rPr>
          <w:lang w:val="en-CA"/>
        </w:rPr>
        <w:t xml:space="preserve">have to be made to his tasks. He described his </w:t>
      </w:r>
      <w:r w:rsidR="0062075E">
        <w:rPr>
          <w:lang w:val="en-CA"/>
        </w:rPr>
        <w:t xml:space="preserve">occupation </w:t>
      </w:r>
      <w:r w:rsidR="00682993">
        <w:rPr>
          <w:lang w:val="en-CA"/>
        </w:rPr>
        <w:t>as [</w:t>
      </w:r>
      <w:r w:rsidR="00682993" w:rsidRPr="00682993">
        <w:rPr>
          <w:smallCaps/>
          <w:lang w:val="en-CA"/>
        </w:rPr>
        <w:t>translation</w:t>
      </w:r>
      <w:r w:rsidR="00682993">
        <w:rPr>
          <w:lang w:val="en-CA"/>
        </w:rPr>
        <w:t>] “general medicine primarily in sports medicine” and stated that his main tasks were [</w:t>
      </w:r>
      <w:r w:rsidR="00682993" w:rsidRPr="00682993">
        <w:rPr>
          <w:smallCaps/>
          <w:lang w:val="en-CA"/>
        </w:rPr>
        <w:t>translation</w:t>
      </w:r>
      <w:r w:rsidR="00682993">
        <w:rPr>
          <w:lang w:val="en-CA"/>
        </w:rPr>
        <w:t>] “medical assessments, ultrasounds”.</w:t>
      </w:r>
    </w:p>
    <w:p w14:paraId="317FF5BB" w14:textId="56056FCE" w:rsidR="00350689" w:rsidRPr="004804D8" w:rsidRDefault="009367A7" w:rsidP="00350689">
      <w:pPr>
        <w:pStyle w:val="Paragraphe"/>
        <w:spacing w:before="140" w:after="140" w:line="240" w:lineRule="auto"/>
        <w:rPr>
          <w:lang w:val="en-CA"/>
        </w:rPr>
      </w:pPr>
      <w:r w:rsidRPr="009367A7">
        <w:rPr>
          <w:lang w:val="en-CA"/>
        </w:rPr>
        <w:t xml:space="preserve">Over the summer of 2014, the parties had discussions and agreed on </w:t>
      </w:r>
      <w:r w:rsidR="0062075E">
        <w:rPr>
          <w:lang w:val="en-CA"/>
        </w:rPr>
        <w:t xml:space="preserve">future </w:t>
      </w:r>
      <w:r>
        <w:rPr>
          <w:lang w:val="en-CA"/>
        </w:rPr>
        <w:t>compensation</w:t>
      </w:r>
      <w:r w:rsidR="00CD26B8">
        <w:rPr>
          <w:lang w:val="en-CA"/>
        </w:rPr>
        <w:t xml:space="preserve"> terms</w:t>
      </w:r>
      <w:r>
        <w:rPr>
          <w:lang w:val="en-CA"/>
        </w:rPr>
        <w:t xml:space="preserve">. </w:t>
      </w:r>
    </w:p>
    <w:p w14:paraId="5398D4C6" w14:textId="186632CD" w:rsidR="00F4227D" w:rsidRPr="00F4227D" w:rsidRDefault="009367A7" w:rsidP="00350689">
      <w:pPr>
        <w:pStyle w:val="Paragraphe"/>
        <w:spacing w:before="140" w:after="140" w:line="240" w:lineRule="auto"/>
        <w:rPr>
          <w:lang w:val="en-CA"/>
        </w:rPr>
      </w:pPr>
      <w:r w:rsidRPr="00F4227D">
        <w:rPr>
          <w:lang w:val="en-CA"/>
        </w:rPr>
        <w:t>On Septem</w:t>
      </w:r>
      <w:r w:rsidR="00F12287">
        <w:rPr>
          <w:lang w:val="en-CA"/>
        </w:rPr>
        <w:t>b</w:t>
      </w:r>
      <w:r w:rsidRPr="00F4227D">
        <w:rPr>
          <w:lang w:val="en-CA"/>
        </w:rPr>
        <w:t>er 15,</w:t>
      </w:r>
      <w:r w:rsidR="00F7473D" w:rsidRPr="00F4227D">
        <w:rPr>
          <w:lang w:val="en-CA"/>
        </w:rPr>
        <w:t xml:space="preserve"> 2014, </w:t>
      </w:r>
      <w:r w:rsidR="00F4227D" w:rsidRPr="00F4227D">
        <w:rPr>
          <w:lang w:val="en-CA"/>
        </w:rPr>
        <w:t xml:space="preserve">the </w:t>
      </w:r>
      <w:r w:rsidR="00F7473D" w:rsidRPr="007C493C">
        <w:rPr>
          <w:lang w:val="en-CA"/>
        </w:rPr>
        <w:t>respondent</w:t>
      </w:r>
      <w:r w:rsidR="00F4227D" w:rsidRPr="007C493C">
        <w:rPr>
          <w:lang w:val="en-CA"/>
        </w:rPr>
        <w:t xml:space="preserve"> sent a letter to the appellant </w:t>
      </w:r>
      <w:r w:rsidR="00F12287" w:rsidRPr="007C493C">
        <w:rPr>
          <w:lang w:val="en-CA"/>
        </w:rPr>
        <w:t>reiterating</w:t>
      </w:r>
      <w:r w:rsidR="00F4227D" w:rsidRPr="007C493C">
        <w:rPr>
          <w:lang w:val="en-CA"/>
        </w:rPr>
        <w:t xml:space="preserve"> the terms of an alleged agreement between them on the payment of disability benefits</w:t>
      </w:r>
      <w:r w:rsidR="00C012C7">
        <w:rPr>
          <w:lang w:val="en-CA"/>
        </w:rPr>
        <w:t xml:space="preserve"> (“AP&amp;C agreement”)</w:t>
      </w:r>
      <w:r w:rsidR="00F4227D" w:rsidRPr="007C493C">
        <w:rPr>
          <w:lang w:val="en-CA"/>
        </w:rPr>
        <w:t xml:space="preserve">. </w:t>
      </w:r>
      <w:r w:rsidR="00A025D3" w:rsidRPr="007C493C">
        <w:rPr>
          <w:lang w:val="en-CA"/>
        </w:rPr>
        <w:t>It said that it agreed to pay total disability benefits until December</w:t>
      </w:r>
      <w:r w:rsidR="00C012C7">
        <w:rPr>
          <w:lang w:val="en-CA"/>
        </w:rPr>
        <w:t> </w:t>
      </w:r>
      <w:r w:rsidR="00A025D3" w:rsidRPr="007C493C">
        <w:rPr>
          <w:lang w:val="en-CA"/>
        </w:rPr>
        <w:t>11, 2014, and partial disability benefits until February 11, 2015 [</w:t>
      </w:r>
      <w:r w:rsidR="00A025D3" w:rsidRPr="007C493C">
        <w:rPr>
          <w:smallCaps/>
          <w:lang w:val="en-CA"/>
        </w:rPr>
        <w:t>translation</w:t>
      </w:r>
      <w:r w:rsidR="00A025D3" w:rsidRPr="007C493C">
        <w:rPr>
          <w:lang w:val="en-CA"/>
        </w:rPr>
        <w:t xml:space="preserve">] “in </w:t>
      </w:r>
      <w:r w:rsidR="00C012C7">
        <w:rPr>
          <w:lang w:val="en-CA"/>
        </w:rPr>
        <w:t>settlement</w:t>
      </w:r>
      <w:r w:rsidR="00C012C7" w:rsidRPr="007C493C">
        <w:rPr>
          <w:lang w:val="en-CA"/>
        </w:rPr>
        <w:t xml:space="preserve"> </w:t>
      </w:r>
      <w:r w:rsidR="00A025D3" w:rsidRPr="007C493C">
        <w:rPr>
          <w:lang w:val="en-CA"/>
        </w:rPr>
        <w:t xml:space="preserve">of the benefits due between September 12 and February 11, 2015”. Accordingly, the appellant would receive $30,800. The respondent added that it was closing the claim but could re-open it if the appellant did not return to work full time after February 11, 2015. </w:t>
      </w:r>
    </w:p>
    <w:p w14:paraId="3ECB659F" w14:textId="1B371B03" w:rsidR="00A025D3" w:rsidRPr="00C40229" w:rsidRDefault="00C40229" w:rsidP="00350689">
      <w:pPr>
        <w:pStyle w:val="Paragraphe"/>
        <w:spacing w:before="140" w:after="140" w:line="240" w:lineRule="auto"/>
        <w:rPr>
          <w:lang w:val="en-CA"/>
        </w:rPr>
      </w:pPr>
      <w:r w:rsidRPr="00C40229">
        <w:rPr>
          <w:lang w:val="en-CA"/>
        </w:rPr>
        <w:t>On October 7, 2014</w:t>
      </w:r>
      <w:r w:rsidR="00CD26B8">
        <w:rPr>
          <w:lang w:val="en-CA"/>
        </w:rPr>
        <w:t>,</w:t>
      </w:r>
      <w:r w:rsidRPr="00C40229">
        <w:rPr>
          <w:lang w:val="en-CA"/>
        </w:rPr>
        <w:t xml:space="preserve"> Dr. Christian B</w:t>
      </w:r>
      <w:r w:rsidR="00CD26B8">
        <w:rPr>
          <w:lang w:val="en-CA"/>
        </w:rPr>
        <w:t>octi prepared a first report</w:t>
      </w:r>
      <w:r>
        <w:rPr>
          <w:lang w:val="en-CA"/>
        </w:rPr>
        <w:t xml:space="preserve"> in which he </w:t>
      </w:r>
      <w:r w:rsidR="004176CD">
        <w:rPr>
          <w:lang w:val="en-CA"/>
        </w:rPr>
        <w:t xml:space="preserve">concluded </w:t>
      </w:r>
      <w:r>
        <w:rPr>
          <w:lang w:val="en-CA"/>
        </w:rPr>
        <w:t>that the appellant was suffering from a persistent and significant amnesic syndrome in episodic verbal memory and</w:t>
      </w:r>
      <w:r w:rsidR="00CD26B8">
        <w:rPr>
          <w:lang w:val="en-CA"/>
        </w:rPr>
        <w:t xml:space="preserve"> a</w:t>
      </w:r>
      <w:r>
        <w:rPr>
          <w:lang w:val="en-CA"/>
        </w:rPr>
        <w:t xml:space="preserve"> brain injury. Dr. Bocti was of the opinion that the appellant could not work with hospitalized or emergency patients, but that he could return to practice in an </w:t>
      </w:r>
      <w:r w:rsidR="00C012C7">
        <w:rPr>
          <w:lang w:val="en-CA"/>
        </w:rPr>
        <w:t xml:space="preserve">outpatient </w:t>
      </w:r>
      <w:r>
        <w:rPr>
          <w:lang w:val="en-CA"/>
        </w:rPr>
        <w:t>clinic. He added that he would begin cognitive rehabilitation therapy with a neuropsychologist, after which his condition would be re-evaluated.</w:t>
      </w:r>
    </w:p>
    <w:p w14:paraId="2380934C" w14:textId="43B36C90" w:rsidR="00C40229" w:rsidRPr="001B3B0E" w:rsidRDefault="00C40229" w:rsidP="00350689">
      <w:pPr>
        <w:pStyle w:val="Paragraphe"/>
        <w:spacing w:before="140" w:after="140" w:line="240" w:lineRule="auto"/>
        <w:rPr>
          <w:lang w:val="en-CA"/>
        </w:rPr>
      </w:pPr>
      <w:r w:rsidRPr="001B3B0E">
        <w:rPr>
          <w:lang w:val="en-CA"/>
        </w:rPr>
        <w:t xml:space="preserve">On October 14, 2014, the appellant began </w:t>
      </w:r>
      <w:r w:rsidR="001B3B0E" w:rsidRPr="001B3B0E">
        <w:rPr>
          <w:lang w:val="en-CA"/>
        </w:rPr>
        <w:t xml:space="preserve">gradually resuming his professional activities at his sports medicine clinic. </w:t>
      </w:r>
      <w:r w:rsidR="001B3B0E">
        <w:rPr>
          <w:lang w:val="en-CA"/>
        </w:rPr>
        <w:t>He informed the respondent.</w:t>
      </w:r>
    </w:p>
    <w:p w14:paraId="35E440F4" w14:textId="0FB49EDB" w:rsidR="001B3B0E" w:rsidRPr="001B3B0E" w:rsidRDefault="001B3B0E" w:rsidP="00350689">
      <w:pPr>
        <w:pStyle w:val="Paragraphe"/>
        <w:spacing w:before="140" w:after="140" w:line="240" w:lineRule="auto"/>
        <w:rPr>
          <w:lang w:val="en-CA"/>
        </w:rPr>
      </w:pPr>
      <w:r w:rsidRPr="001B3B0E">
        <w:rPr>
          <w:lang w:val="en-CA"/>
        </w:rPr>
        <w:t xml:space="preserve">On October 16, 2014, neuropsychologist Julie Duval prepared a first report in which she </w:t>
      </w:r>
      <w:r>
        <w:rPr>
          <w:lang w:val="en-CA"/>
        </w:rPr>
        <w:t xml:space="preserve">concluded that he suffered from isolated cognitive impairment of his episodic verbal memory. She </w:t>
      </w:r>
      <w:r w:rsidR="00CD26B8">
        <w:rPr>
          <w:lang w:val="en-CA"/>
        </w:rPr>
        <w:t>envisaged</w:t>
      </w:r>
      <w:r>
        <w:rPr>
          <w:lang w:val="en-CA"/>
        </w:rPr>
        <w:t xml:space="preserve"> three months of cognitive rehabilitation followed by a re-evaluation. She was also of the opinion that he could resume his </w:t>
      </w:r>
      <w:r w:rsidR="00C012C7">
        <w:rPr>
          <w:lang w:val="en-CA"/>
        </w:rPr>
        <w:t xml:space="preserve">outpatient </w:t>
      </w:r>
      <w:r>
        <w:rPr>
          <w:lang w:val="en-CA"/>
        </w:rPr>
        <w:t xml:space="preserve">clinic work in the meantime.  </w:t>
      </w:r>
    </w:p>
    <w:p w14:paraId="1596CD52" w14:textId="2A997946" w:rsidR="001B3B0E" w:rsidRPr="001B3B0E" w:rsidRDefault="001B3B0E" w:rsidP="00350689">
      <w:pPr>
        <w:pStyle w:val="Paragraphe"/>
        <w:spacing w:before="140" w:after="140" w:line="240" w:lineRule="auto"/>
        <w:rPr>
          <w:lang w:val="en-CA"/>
        </w:rPr>
      </w:pPr>
      <w:r w:rsidRPr="001B3B0E">
        <w:rPr>
          <w:lang w:val="en-CA"/>
        </w:rPr>
        <w:t xml:space="preserve">On February 25, 2015, Dr. Bocti prepared a second report in which he concluded that there was no doubt that </w:t>
      </w:r>
      <w:r>
        <w:rPr>
          <w:lang w:val="en-CA"/>
        </w:rPr>
        <w:t>[</w:t>
      </w:r>
      <w:r w:rsidRPr="00C91F80">
        <w:rPr>
          <w:smallCaps/>
          <w:lang w:val="en-CA"/>
        </w:rPr>
        <w:t>translation</w:t>
      </w:r>
      <w:r>
        <w:rPr>
          <w:lang w:val="en-CA"/>
        </w:rPr>
        <w:t xml:space="preserve">] “the </w:t>
      </w:r>
      <w:r w:rsidR="004176CD">
        <w:rPr>
          <w:rFonts w:cs="Arial"/>
          <w:lang w:val="en-CA"/>
        </w:rPr>
        <w:t>[</w:t>
      </w:r>
      <w:r>
        <w:rPr>
          <w:lang w:val="en-CA"/>
        </w:rPr>
        <w:t>appellant’s</w:t>
      </w:r>
      <w:r w:rsidR="004176CD">
        <w:rPr>
          <w:rFonts w:cs="Arial"/>
          <w:lang w:val="en-CA"/>
        </w:rPr>
        <w:t>]</w:t>
      </w:r>
      <w:r>
        <w:rPr>
          <w:lang w:val="en-CA"/>
        </w:rPr>
        <w:t xml:space="preserve"> </w:t>
      </w:r>
      <w:r w:rsidR="00C91F80">
        <w:rPr>
          <w:lang w:val="en-CA"/>
        </w:rPr>
        <w:t>current cognitive profile represents a significant deterioration from his pre-morbid level”</w:t>
      </w:r>
      <w:r w:rsidR="003301B0">
        <w:rPr>
          <w:lang w:val="en-CA"/>
        </w:rPr>
        <w:t xml:space="preserve">, but that his rehabilitation was </w:t>
      </w:r>
      <w:r w:rsidR="00D52609">
        <w:rPr>
          <w:lang w:val="en-CA"/>
        </w:rPr>
        <w:t>continuing</w:t>
      </w:r>
      <w:r w:rsidR="003301B0">
        <w:rPr>
          <w:lang w:val="en-CA"/>
        </w:rPr>
        <w:t xml:space="preserve"> and he would be re-evaluated in March or April. He </w:t>
      </w:r>
      <w:r w:rsidR="004176CD">
        <w:rPr>
          <w:lang w:val="en-CA"/>
        </w:rPr>
        <w:t xml:space="preserve">was </w:t>
      </w:r>
      <w:r w:rsidR="003301B0">
        <w:rPr>
          <w:lang w:val="en-CA"/>
        </w:rPr>
        <w:t xml:space="preserve">allowed </w:t>
      </w:r>
      <w:r w:rsidR="004176CD">
        <w:rPr>
          <w:lang w:val="en-CA"/>
        </w:rPr>
        <w:t xml:space="preserve">to </w:t>
      </w:r>
      <w:r w:rsidR="003301B0">
        <w:rPr>
          <w:lang w:val="en-CA"/>
        </w:rPr>
        <w:t xml:space="preserve">resume work </w:t>
      </w:r>
      <w:r w:rsidR="00CD26B8">
        <w:rPr>
          <w:lang w:val="en-CA"/>
        </w:rPr>
        <w:t>part time</w:t>
      </w:r>
      <w:r w:rsidR="003301B0">
        <w:rPr>
          <w:lang w:val="en-CA"/>
        </w:rPr>
        <w:t xml:space="preserve">, </w:t>
      </w:r>
      <w:r w:rsidR="00CD26B8">
        <w:rPr>
          <w:lang w:val="en-CA"/>
        </w:rPr>
        <w:t xml:space="preserve">in other words, </w:t>
      </w:r>
      <w:r w:rsidR="003301B0">
        <w:rPr>
          <w:lang w:val="en-CA"/>
        </w:rPr>
        <w:t xml:space="preserve">without doing on-call shifts. </w:t>
      </w:r>
      <w:r w:rsidR="00CD26B8">
        <w:rPr>
          <w:lang w:val="en-CA"/>
        </w:rPr>
        <w:t xml:space="preserve">However, on </w:t>
      </w:r>
      <w:r w:rsidR="003301B0">
        <w:rPr>
          <w:lang w:val="en-CA"/>
        </w:rPr>
        <w:t xml:space="preserve">April 22, 2015, after certain examinations were performed, </w:t>
      </w:r>
      <w:r w:rsidR="00CD26B8">
        <w:rPr>
          <w:lang w:val="en-CA"/>
        </w:rPr>
        <w:t>Dr. Bocti</w:t>
      </w:r>
      <w:r w:rsidR="003301B0">
        <w:rPr>
          <w:lang w:val="en-CA"/>
        </w:rPr>
        <w:t xml:space="preserve"> stated that </w:t>
      </w:r>
      <w:r w:rsidR="00CD26B8">
        <w:rPr>
          <w:lang w:val="en-CA"/>
        </w:rPr>
        <w:t>he could return to work full time</w:t>
      </w:r>
      <w:r w:rsidR="003301B0">
        <w:rPr>
          <w:lang w:val="en-CA"/>
        </w:rPr>
        <w:t>.</w:t>
      </w:r>
    </w:p>
    <w:p w14:paraId="6F0C9702" w14:textId="2617FF0A" w:rsidR="00350689" w:rsidRPr="003301B0" w:rsidRDefault="003301B0" w:rsidP="00350689">
      <w:pPr>
        <w:pStyle w:val="Paragraphe"/>
        <w:spacing w:before="140" w:after="140" w:line="240" w:lineRule="auto"/>
        <w:rPr>
          <w:lang w:val="en-CA"/>
        </w:rPr>
      </w:pPr>
      <w:r w:rsidRPr="003301B0">
        <w:rPr>
          <w:lang w:val="en-CA"/>
        </w:rPr>
        <w:lastRenderedPageBreak/>
        <w:t xml:space="preserve">In May 2015, Dr. Bocti wrote in the appellant’s medical record that he </w:t>
      </w:r>
      <w:r>
        <w:rPr>
          <w:lang w:val="en-CA"/>
        </w:rPr>
        <w:t>[</w:t>
      </w:r>
      <w:r w:rsidRPr="003301B0">
        <w:rPr>
          <w:smallCaps/>
          <w:lang w:val="en-CA"/>
        </w:rPr>
        <w:t>translation</w:t>
      </w:r>
      <w:r>
        <w:rPr>
          <w:lang w:val="en-CA"/>
        </w:rPr>
        <w:t>] “recommended permanent partial disability (% of income from emergency up North)”.</w:t>
      </w:r>
    </w:p>
    <w:p w14:paraId="3BCD6C09" w14:textId="65B6EF20" w:rsidR="003301B0" w:rsidRPr="003301B0" w:rsidRDefault="003301B0" w:rsidP="00350689">
      <w:pPr>
        <w:pStyle w:val="Paragraphe"/>
        <w:spacing w:before="140" w:after="140" w:line="240" w:lineRule="auto"/>
        <w:rPr>
          <w:lang w:val="en-CA"/>
        </w:rPr>
      </w:pPr>
      <w:r w:rsidRPr="003301B0">
        <w:rPr>
          <w:lang w:val="en-CA"/>
        </w:rPr>
        <w:t xml:space="preserve">The appellant, for his part, informed the respondent that he could not </w:t>
      </w:r>
      <w:r w:rsidR="004176CD">
        <w:rPr>
          <w:lang w:val="en-CA"/>
        </w:rPr>
        <w:t xml:space="preserve">return </w:t>
      </w:r>
      <w:r>
        <w:rPr>
          <w:lang w:val="en-CA"/>
        </w:rPr>
        <w:t xml:space="preserve">to </w:t>
      </w:r>
      <w:r w:rsidRPr="003301B0">
        <w:rPr>
          <w:lang w:val="en-CA"/>
        </w:rPr>
        <w:t xml:space="preserve">work full time because he was </w:t>
      </w:r>
      <w:r w:rsidR="004176CD">
        <w:rPr>
          <w:lang w:val="en-CA"/>
        </w:rPr>
        <w:t>un</w:t>
      </w:r>
      <w:r w:rsidRPr="003301B0">
        <w:rPr>
          <w:lang w:val="en-CA"/>
        </w:rPr>
        <w:t xml:space="preserve">able to </w:t>
      </w:r>
      <w:r>
        <w:rPr>
          <w:lang w:val="en-CA"/>
        </w:rPr>
        <w:t xml:space="preserve">resume his practice </w:t>
      </w:r>
      <w:r w:rsidR="00F74075">
        <w:rPr>
          <w:lang w:val="en-CA"/>
        </w:rPr>
        <w:t>in the Far</w:t>
      </w:r>
      <w:r>
        <w:rPr>
          <w:lang w:val="en-CA"/>
        </w:rPr>
        <w:t xml:space="preserve"> North.</w:t>
      </w:r>
    </w:p>
    <w:p w14:paraId="0B23E462" w14:textId="03B6EC93" w:rsidR="00350689" w:rsidRPr="003301B0" w:rsidRDefault="003301B0" w:rsidP="00350689">
      <w:pPr>
        <w:pStyle w:val="Paragraphe"/>
        <w:spacing w:before="140" w:after="140" w:line="240" w:lineRule="auto"/>
        <w:rPr>
          <w:lang w:val="en-CA"/>
        </w:rPr>
      </w:pPr>
      <w:r w:rsidRPr="003301B0">
        <w:rPr>
          <w:lang w:val="en-CA"/>
        </w:rPr>
        <w:t xml:space="preserve">On May 30, 2015, neuropsychologist Duval prepared a second report in which she stated that the </w:t>
      </w:r>
      <w:r>
        <w:rPr>
          <w:lang w:val="en-CA"/>
        </w:rPr>
        <w:t>appellant show</w:t>
      </w:r>
      <w:r w:rsidR="004176CD">
        <w:rPr>
          <w:lang w:val="en-CA"/>
        </w:rPr>
        <w:t>ed</w:t>
      </w:r>
      <w:r>
        <w:rPr>
          <w:lang w:val="en-CA"/>
        </w:rPr>
        <w:t xml:space="preserve"> significant improvement. She associated this</w:t>
      </w:r>
      <w:r w:rsidR="008A45AF">
        <w:rPr>
          <w:lang w:val="en-CA"/>
        </w:rPr>
        <w:t xml:space="preserve"> with</w:t>
      </w:r>
      <w:r>
        <w:rPr>
          <w:lang w:val="en-CA"/>
        </w:rPr>
        <w:t xml:space="preserve"> learning and the use of compensatory aids, i.e., strategies learned in rehabilitation.</w:t>
      </w:r>
    </w:p>
    <w:p w14:paraId="606D97C7" w14:textId="2C623031" w:rsidR="003301B0" w:rsidRPr="003301B0" w:rsidRDefault="003301B0" w:rsidP="00350689">
      <w:pPr>
        <w:pStyle w:val="Paragraphe"/>
        <w:spacing w:before="140" w:after="140" w:line="240" w:lineRule="auto"/>
        <w:rPr>
          <w:lang w:val="en-CA"/>
        </w:rPr>
      </w:pPr>
      <w:r w:rsidRPr="003301B0">
        <w:rPr>
          <w:lang w:val="en-CA"/>
        </w:rPr>
        <w:t>Although the X-ray examinations did not</w:t>
      </w:r>
      <w:r w:rsidR="00E949BE">
        <w:rPr>
          <w:lang w:val="en-CA"/>
        </w:rPr>
        <w:t xml:space="preserve"> provide objective evidence of the injury, Dr. Bocti and Ms. Duval both believe</w:t>
      </w:r>
      <w:r w:rsidR="008A45AF">
        <w:rPr>
          <w:lang w:val="en-CA"/>
        </w:rPr>
        <w:t>d</w:t>
      </w:r>
      <w:r w:rsidR="00E949BE">
        <w:rPr>
          <w:lang w:val="en-CA"/>
        </w:rPr>
        <w:t xml:space="preserve"> that the appellant </w:t>
      </w:r>
      <w:r w:rsidR="008A45AF">
        <w:rPr>
          <w:lang w:val="en-CA"/>
        </w:rPr>
        <w:t>could</w:t>
      </w:r>
      <w:r w:rsidR="00E949BE">
        <w:rPr>
          <w:lang w:val="en-CA"/>
        </w:rPr>
        <w:t xml:space="preserve"> no longer practice on-call or emergency medicine but that he </w:t>
      </w:r>
      <w:r w:rsidR="008A45AF">
        <w:rPr>
          <w:lang w:val="en-CA"/>
        </w:rPr>
        <w:t>was still</w:t>
      </w:r>
      <w:r w:rsidR="00E949BE">
        <w:rPr>
          <w:lang w:val="en-CA"/>
        </w:rPr>
        <w:t xml:space="preserve"> able to work in an </w:t>
      </w:r>
      <w:r w:rsidR="004176CD">
        <w:rPr>
          <w:lang w:val="en-CA"/>
        </w:rPr>
        <w:t xml:space="preserve">outpatient </w:t>
      </w:r>
      <w:r w:rsidR="00E949BE">
        <w:rPr>
          <w:lang w:val="en-CA"/>
        </w:rPr>
        <w:t xml:space="preserve">clinic. </w:t>
      </w:r>
    </w:p>
    <w:p w14:paraId="17EA7E61" w14:textId="26BF1FC1" w:rsidR="00CC20AB" w:rsidRDefault="00CC20AB" w:rsidP="00350689">
      <w:pPr>
        <w:pStyle w:val="Paragraphe"/>
        <w:spacing w:before="140" w:after="140" w:line="240" w:lineRule="auto"/>
        <w:rPr>
          <w:lang w:val="en-CA"/>
        </w:rPr>
      </w:pPr>
      <w:r w:rsidRPr="00CC20AB">
        <w:rPr>
          <w:lang w:val="en-CA"/>
        </w:rPr>
        <w:t>Discussion</w:t>
      </w:r>
      <w:r>
        <w:rPr>
          <w:lang w:val="en-CA"/>
        </w:rPr>
        <w:t xml:space="preserve">s between the parties </w:t>
      </w:r>
      <w:r w:rsidR="004176CD">
        <w:rPr>
          <w:lang w:val="en-CA"/>
        </w:rPr>
        <w:t xml:space="preserve">ensued </w:t>
      </w:r>
      <w:r>
        <w:rPr>
          <w:lang w:val="en-CA"/>
        </w:rPr>
        <w:t>to determine whether the appellant was indeed eligible to receive benefits</w:t>
      </w:r>
      <w:r w:rsidR="004176CD">
        <w:rPr>
          <w:lang w:val="en-CA"/>
        </w:rPr>
        <w:t xml:space="preserve"> again</w:t>
      </w:r>
      <w:r>
        <w:rPr>
          <w:lang w:val="en-CA"/>
        </w:rPr>
        <w:t>.</w:t>
      </w:r>
    </w:p>
    <w:p w14:paraId="76959E99" w14:textId="3202C712" w:rsidR="00CC20AB" w:rsidRDefault="00CC20AB" w:rsidP="00350689">
      <w:pPr>
        <w:pStyle w:val="Paragraphe"/>
        <w:spacing w:before="140" w:after="140" w:line="240" w:lineRule="auto"/>
        <w:rPr>
          <w:lang w:val="en-CA"/>
        </w:rPr>
      </w:pPr>
      <w:r>
        <w:rPr>
          <w:lang w:val="en-CA"/>
        </w:rPr>
        <w:t xml:space="preserve">On August 29, 2015, the appellant withdrew his name from the list of physicians available to work in the Far North. </w:t>
      </w:r>
    </w:p>
    <w:p w14:paraId="1B7752C4" w14:textId="698F2C0E" w:rsidR="00A90ECD" w:rsidRPr="00CC20AB" w:rsidRDefault="00A90ECD" w:rsidP="00350689">
      <w:pPr>
        <w:pStyle w:val="Paragraphe"/>
        <w:spacing w:before="140" w:after="140" w:line="240" w:lineRule="auto"/>
        <w:rPr>
          <w:lang w:val="en-CA"/>
        </w:rPr>
      </w:pPr>
      <w:r>
        <w:rPr>
          <w:lang w:val="en-CA"/>
        </w:rPr>
        <w:t xml:space="preserve">On December 4, 2015, given the delay in processing his file, the respondent agreed to pay him three months of </w:t>
      </w:r>
      <w:r w:rsidR="00673F79">
        <w:rPr>
          <w:lang w:val="en-CA"/>
        </w:rPr>
        <w:t>partial disability benefits.</w:t>
      </w:r>
    </w:p>
    <w:p w14:paraId="14B110EA" w14:textId="19396190" w:rsidR="00673F79" w:rsidRPr="00DE6738" w:rsidRDefault="00DE6738" w:rsidP="00350689">
      <w:pPr>
        <w:pStyle w:val="Paragraphe"/>
        <w:spacing w:before="140" w:after="140" w:line="240" w:lineRule="auto"/>
        <w:rPr>
          <w:lang w:val="en-CA"/>
        </w:rPr>
      </w:pPr>
      <w:r w:rsidRPr="00DE6738">
        <w:rPr>
          <w:lang w:val="en-CA"/>
        </w:rPr>
        <w:t xml:space="preserve">On January 7, 2016, the respondent told him that it considered that there was </w:t>
      </w:r>
      <w:r>
        <w:rPr>
          <w:lang w:val="en-CA"/>
        </w:rPr>
        <w:t>[</w:t>
      </w:r>
      <w:r w:rsidRPr="00DE6738">
        <w:rPr>
          <w:smallCaps/>
          <w:lang w:val="en-CA"/>
        </w:rPr>
        <w:t>translation</w:t>
      </w:r>
      <w:r>
        <w:rPr>
          <w:lang w:val="en-CA"/>
        </w:rPr>
        <w:t>] “no objective medical evidence</w:t>
      </w:r>
      <w:r w:rsidR="00824155">
        <w:rPr>
          <w:lang w:val="en-CA"/>
        </w:rPr>
        <w:t xml:space="preserve"> supporting a persistent partial disability that would prevent him from resuming work full time after February 11, 2015”.</w:t>
      </w:r>
    </w:p>
    <w:p w14:paraId="4F303FDB" w14:textId="0242B36E" w:rsidR="00824155" w:rsidRPr="00824155" w:rsidRDefault="00061ABA" w:rsidP="00350689">
      <w:pPr>
        <w:pStyle w:val="Paragraphe"/>
        <w:spacing w:before="140" w:after="140" w:line="240" w:lineRule="auto"/>
        <w:rPr>
          <w:lang w:val="en-CA"/>
        </w:rPr>
      </w:pPr>
      <w:r w:rsidRPr="007C493C">
        <w:rPr>
          <w:lang w:val="en-CA"/>
        </w:rPr>
        <w:t xml:space="preserve">On January </w:t>
      </w:r>
      <w:r w:rsidR="00F7473D" w:rsidRPr="007C493C">
        <w:rPr>
          <w:lang w:val="en-CA"/>
        </w:rPr>
        <w:t>26</w:t>
      </w:r>
      <w:r w:rsidRPr="007C493C">
        <w:rPr>
          <w:lang w:val="en-CA"/>
        </w:rPr>
        <w:t>,</w:t>
      </w:r>
      <w:r w:rsidR="00F7473D" w:rsidRPr="007C493C">
        <w:rPr>
          <w:lang w:val="en-CA"/>
        </w:rPr>
        <w:t xml:space="preserve"> 2016, </w:t>
      </w:r>
      <w:r w:rsidRPr="007C493C">
        <w:rPr>
          <w:lang w:val="en-CA"/>
        </w:rPr>
        <w:t>the appellant contested this decision</w:t>
      </w:r>
      <w:r w:rsidR="00F7473D" w:rsidRPr="007C493C">
        <w:rPr>
          <w:lang w:val="en-CA"/>
        </w:rPr>
        <w:t>.</w:t>
      </w:r>
      <w:r w:rsidR="00F7473D" w:rsidRPr="00061ABA">
        <w:rPr>
          <w:lang w:val="en-CA"/>
        </w:rPr>
        <w:t xml:space="preserve"> </w:t>
      </w:r>
      <w:r w:rsidR="00824155">
        <w:rPr>
          <w:lang w:val="en-CA"/>
        </w:rPr>
        <w:t>He told the respondent that he was still unable to resume his duties as a physician in the Far North of Quebec and reminded it that hi</w:t>
      </w:r>
      <w:r w:rsidR="002D3ABE">
        <w:rPr>
          <w:lang w:val="en-CA"/>
        </w:rPr>
        <w:t>s treatment team had determined</w:t>
      </w:r>
      <w:r w:rsidR="004176CD">
        <w:rPr>
          <w:lang w:val="en-CA"/>
        </w:rPr>
        <w:t>,</w:t>
      </w:r>
      <w:r w:rsidR="00824155">
        <w:rPr>
          <w:lang w:val="en-CA"/>
        </w:rPr>
        <w:t xml:space="preserve"> after several months of rehabilitation</w:t>
      </w:r>
      <w:r w:rsidR="004176CD">
        <w:rPr>
          <w:lang w:val="en-CA"/>
        </w:rPr>
        <w:t>,</w:t>
      </w:r>
      <w:r w:rsidR="00824155">
        <w:rPr>
          <w:lang w:val="en-CA"/>
        </w:rPr>
        <w:t xml:space="preserve"> that he could not resume his practice as a general practitioner </w:t>
      </w:r>
      <w:r w:rsidR="00164EBD">
        <w:rPr>
          <w:lang w:val="en-CA"/>
        </w:rPr>
        <w:t xml:space="preserve">involving </w:t>
      </w:r>
      <w:r w:rsidR="007C1EB6">
        <w:rPr>
          <w:lang w:val="en-CA"/>
        </w:rPr>
        <w:t>intensive</w:t>
      </w:r>
      <w:r w:rsidR="00164EBD">
        <w:rPr>
          <w:lang w:val="en-CA"/>
        </w:rPr>
        <w:t xml:space="preserve"> work</w:t>
      </w:r>
      <w:r w:rsidR="002D3ABE">
        <w:rPr>
          <w:lang w:val="en-CA"/>
        </w:rPr>
        <w:t xml:space="preserve">, </w:t>
      </w:r>
      <w:r w:rsidR="00164EBD">
        <w:rPr>
          <w:lang w:val="en-CA"/>
        </w:rPr>
        <w:t xml:space="preserve">for example </w:t>
      </w:r>
      <w:r w:rsidR="002D3ABE">
        <w:rPr>
          <w:lang w:val="en-CA"/>
        </w:rPr>
        <w:t xml:space="preserve">in an </w:t>
      </w:r>
      <w:r w:rsidR="00164EBD">
        <w:rPr>
          <w:lang w:val="en-CA"/>
        </w:rPr>
        <w:t>emergency room or a hospital</w:t>
      </w:r>
      <w:r w:rsidR="002D3ABE">
        <w:rPr>
          <w:lang w:val="en-CA"/>
        </w:rPr>
        <w:t xml:space="preserve">. </w:t>
      </w:r>
    </w:p>
    <w:p w14:paraId="4516C93F" w14:textId="74EF4308" w:rsidR="002D3ABE" w:rsidRPr="002D3ABE" w:rsidRDefault="002D3ABE" w:rsidP="00350689">
      <w:pPr>
        <w:pStyle w:val="Paragraphe"/>
        <w:spacing w:before="140" w:after="140" w:line="240" w:lineRule="auto"/>
        <w:rPr>
          <w:lang w:val="en-CA"/>
        </w:rPr>
      </w:pPr>
      <w:r w:rsidRPr="002D3ABE">
        <w:rPr>
          <w:lang w:val="en-CA"/>
        </w:rPr>
        <w:t xml:space="preserve">On April 5, 2016, the </w:t>
      </w:r>
      <w:r w:rsidR="00164EBD">
        <w:rPr>
          <w:lang w:val="en-CA"/>
        </w:rPr>
        <w:t xml:space="preserve">respondent </w:t>
      </w:r>
      <w:r w:rsidR="007C1EB6">
        <w:rPr>
          <w:lang w:val="en-CA"/>
        </w:rPr>
        <w:t>denied</w:t>
      </w:r>
      <w:r w:rsidR="00164EBD">
        <w:rPr>
          <w:lang w:val="en-CA"/>
        </w:rPr>
        <w:t xml:space="preserve"> his appeal. On</w:t>
      </w:r>
      <w:r w:rsidRPr="002D3ABE">
        <w:rPr>
          <w:lang w:val="en-CA"/>
        </w:rPr>
        <w:t xml:space="preserve"> </w:t>
      </w:r>
      <w:r>
        <w:rPr>
          <w:lang w:val="en-CA"/>
        </w:rPr>
        <w:t xml:space="preserve">January 19, 2017, </w:t>
      </w:r>
      <w:r w:rsidR="00164EBD">
        <w:rPr>
          <w:lang w:val="en-CA"/>
        </w:rPr>
        <w:t xml:space="preserve">the appellant was again unsuccessful </w:t>
      </w:r>
      <w:r>
        <w:rPr>
          <w:lang w:val="en-CA"/>
        </w:rPr>
        <w:t>in a new internal appeal process.</w:t>
      </w:r>
    </w:p>
    <w:p w14:paraId="3FF4DBEC" w14:textId="65B7A9C6" w:rsidR="002D3ABE" w:rsidRPr="002D3ABE" w:rsidRDefault="002D3ABE" w:rsidP="00350689">
      <w:pPr>
        <w:pStyle w:val="Paragraphe"/>
        <w:spacing w:before="140" w:after="140" w:line="240" w:lineRule="auto"/>
        <w:rPr>
          <w:lang w:val="en-CA"/>
        </w:rPr>
      </w:pPr>
      <w:r w:rsidRPr="002D3ABE">
        <w:rPr>
          <w:lang w:val="en-CA"/>
        </w:rPr>
        <w:t>On March 23, 2017, he brought judicial proceedings to be declared totally dis</w:t>
      </w:r>
      <w:r w:rsidR="00A13B9A">
        <w:rPr>
          <w:lang w:val="en-CA"/>
        </w:rPr>
        <w:t>abled and to receive disability benefits accordingly. He claimed the difference between the partial disability benefits received between Dece</w:t>
      </w:r>
      <w:r w:rsidR="000922F8">
        <w:rPr>
          <w:lang w:val="en-CA"/>
        </w:rPr>
        <w:t>mber 12, 2014, and May 11, 2015, and</w:t>
      </w:r>
      <w:r w:rsidR="00A13B9A">
        <w:rPr>
          <w:lang w:val="en-CA"/>
        </w:rPr>
        <w:t xml:space="preserve"> the total disability benefits he </w:t>
      </w:r>
      <w:r w:rsidR="001B50EE">
        <w:rPr>
          <w:lang w:val="en-CA"/>
        </w:rPr>
        <w:t>claims he is</w:t>
      </w:r>
      <w:r w:rsidR="00A13B9A">
        <w:rPr>
          <w:lang w:val="en-CA"/>
        </w:rPr>
        <w:t xml:space="preserve"> entitled to. He eventually added alternative conclusions to his application, seeking residual disability insurance benefits and the reimbursement of premiums paid between February 2015 and February 2016.</w:t>
      </w:r>
    </w:p>
    <w:p w14:paraId="43E1BF64" w14:textId="647401BB" w:rsidR="00A13B9A" w:rsidRPr="00A13B9A" w:rsidRDefault="00A13B9A" w:rsidP="00350689">
      <w:pPr>
        <w:pStyle w:val="Paragraphe"/>
        <w:spacing w:before="140" w:after="140" w:line="240" w:lineRule="auto"/>
        <w:rPr>
          <w:lang w:val="en-CA"/>
        </w:rPr>
      </w:pPr>
      <w:r w:rsidRPr="00A13B9A">
        <w:rPr>
          <w:lang w:val="en-CA"/>
        </w:rPr>
        <w:lastRenderedPageBreak/>
        <w:t>In</w:t>
      </w:r>
      <w:r w:rsidR="006C1E3A">
        <w:rPr>
          <w:lang w:val="en-CA"/>
        </w:rPr>
        <w:t xml:space="preserve"> the circumstances</w:t>
      </w:r>
      <w:r>
        <w:rPr>
          <w:lang w:val="en-CA"/>
        </w:rPr>
        <w:t xml:space="preserve">, the respondent asked Dr. Claude Paquette to examine the appellant and his medical record and to </w:t>
      </w:r>
      <w:r w:rsidR="004176CD">
        <w:rPr>
          <w:lang w:val="en-CA"/>
        </w:rPr>
        <w:t xml:space="preserve">issue </w:t>
      </w:r>
      <w:r>
        <w:rPr>
          <w:lang w:val="en-CA"/>
        </w:rPr>
        <w:t xml:space="preserve">an opinion on his capacity to </w:t>
      </w:r>
      <w:r w:rsidR="00407513">
        <w:rPr>
          <w:lang w:val="en-CA"/>
        </w:rPr>
        <w:t xml:space="preserve">perform his </w:t>
      </w:r>
      <w:r w:rsidR="00873C47">
        <w:rPr>
          <w:lang w:val="en-CA"/>
        </w:rPr>
        <w:t>occupation</w:t>
      </w:r>
      <w:r w:rsidR="00407513">
        <w:rPr>
          <w:lang w:val="en-CA"/>
        </w:rPr>
        <w:t>.</w:t>
      </w:r>
      <w:r w:rsidR="006C1E3A">
        <w:rPr>
          <w:lang w:val="en-CA"/>
        </w:rPr>
        <w:t xml:space="preserve"> </w:t>
      </w:r>
    </w:p>
    <w:p w14:paraId="6E42C06D" w14:textId="2D8347C8" w:rsidR="006C1E3A" w:rsidRPr="006C1E3A" w:rsidRDefault="00873C47" w:rsidP="00350689">
      <w:pPr>
        <w:pStyle w:val="Paragraphe"/>
        <w:spacing w:before="140" w:after="140" w:line="240" w:lineRule="auto"/>
        <w:rPr>
          <w:lang w:val="en-CA"/>
        </w:rPr>
      </w:pPr>
      <w:r>
        <w:rPr>
          <w:lang w:val="en-CA"/>
        </w:rPr>
        <w:t xml:space="preserve">Dr. Paquette carried out the requested </w:t>
      </w:r>
      <w:r w:rsidR="000922F8">
        <w:rPr>
          <w:lang w:val="en-CA"/>
        </w:rPr>
        <w:t xml:space="preserve">examinations </w:t>
      </w:r>
      <w:r>
        <w:rPr>
          <w:lang w:val="en-CA"/>
        </w:rPr>
        <w:t xml:space="preserve">and </w:t>
      </w:r>
      <w:r w:rsidR="004176CD">
        <w:rPr>
          <w:lang w:val="en-CA"/>
        </w:rPr>
        <w:t xml:space="preserve">concluded </w:t>
      </w:r>
      <w:r>
        <w:rPr>
          <w:lang w:val="en-CA"/>
        </w:rPr>
        <w:t xml:space="preserve">that the appellant had no residual cognitive impairment further to his </w:t>
      </w:r>
      <w:r w:rsidR="004176CD">
        <w:rPr>
          <w:lang w:val="en-CA"/>
        </w:rPr>
        <w:t xml:space="preserve">anoxia </w:t>
      </w:r>
      <w:r>
        <w:rPr>
          <w:lang w:val="en-CA"/>
        </w:rPr>
        <w:t xml:space="preserve">episode. She found that the appellant’s functioning had been normal since at least April 2015. Her report was </w:t>
      </w:r>
      <w:r w:rsidR="004176CD">
        <w:rPr>
          <w:lang w:val="en-CA"/>
        </w:rPr>
        <w:t xml:space="preserve">filed </w:t>
      </w:r>
      <w:r>
        <w:rPr>
          <w:lang w:val="en-CA"/>
        </w:rPr>
        <w:t xml:space="preserve">in the record and she testified at the trial that took place from October 5 to 9 and on October 30, 2020. </w:t>
      </w:r>
    </w:p>
    <w:p w14:paraId="4FC5B381" w14:textId="5CAD9A6C" w:rsidR="00350689" w:rsidRPr="007C493C" w:rsidRDefault="005E57DA" w:rsidP="00350689">
      <w:pPr>
        <w:pStyle w:val="Titre4"/>
      </w:pPr>
      <w:r w:rsidRPr="007C493C">
        <w:t>THE JUDGMENT</w:t>
      </w:r>
      <w:r w:rsidR="005B635C">
        <w:t xml:space="preserve"> </w:t>
      </w:r>
    </w:p>
    <w:p w14:paraId="00D3C930" w14:textId="190451D8" w:rsidR="00C75F6B" w:rsidRPr="00C75F6B" w:rsidRDefault="00C75F6B" w:rsidP="00350689">
      <w:pPr>
        <w:pStyle w:val="Paragraphe"/>
        <w:spacing w:before="140" w:after="140" w:line="240" w:lineRule="auto"/>
        <w:rPr>
          <w:lang w:val="en-CA"/>
        </w:rPr>
      </w:pPr>
      <w:r w:rsidRPr="00C75F6B">
        <w:rPr>
          <w:lang w:val="en-CA"/>
        </w:rPr>
        <w:t xml:space="preserve">Judgment was rendered on February </w:t>
      </w:r>
      <w:r w:rsidR="008B524D">
        <w:rPr>
          <w:lang w:val="en-CA"/>
        </w:rPr>
        <w:t xml:space="preserve">9, </w:t>
      </w:r>
      <w:r w:rsidRPr="00C75F6B">
        <w:rPr>
          <w:lang w:val="en-CA"/>
        </w:rPr>
        <w:t xml:space="preserve">2021, granting in part the </w:t>
      </w:r>
      <w:r>
        <w:rPr>
          <w:lang w:val="en-CA"/>
        </w:rPr>
        <w:t xml:space="preserve">appellant’s application but refusing to recognize his total disability beyond April 11, 2015, finding instead that he was entitled </w:t>
      </w:r>
      <w:r w:rsidR="008B524D">
        <w:rPr>
          <w:lang w:val="en-CA"/>
        </w:rPr>
        <w:t xml:space="preserve">to residual disability benefits </w:t>
      </w:r>
      <w:r>
        <w:rPr>
          <w:lang w:val="en-CA"/>
        </w:rPr>
        <w:t>from that date until February</w:t>
      </w:r>
      <w:r w:rsidR="000F1ECA">
        <w:rPr>
          <w:lang w:val="en-CA"/>
        </w:rPr>
        <w:t> </w:t>
      </w:r>
      <w:r>
        <w:rPr>
          <w:lang w:val="en-CA"/>
        </w:rPr>
        <w:t>11,</w:t>
      </w:r>
      <w:r w:rsidR="008B524D">
        <w:rPr>
          <w:lang w:val="en-CA"/>
        </w:rPr>
        <w:t> </w:t>
      </w:r>
      <w:r>
        <w:rPr>
          <w:lang w:val="en-CA"/>
        </w:rPr>
        <w:t>201</w:t>
      </w:r>
      <w:r w:rsidR="008B524D">
        <w:rPr>
          <w:lang w:val="en-CA"/>
        </w:rPr>
        <w:t>6</w:t>
      </w:r>
      <w:r>
        <w:rPr>
          <w:lang w:val="en-CA"/>
        </w:rPr>
        <w:t>, given his loss of income.</w:t>
      </w:r>
    </w:p>
    <w:p w14:paraId="0093616E" w14:textId="5E9FFE96" w:rsidR="00350689" w:rsidRPr="00C75F6B" w:rsidRDefault="001A3231" w:rsidP="00350689">
      <w:pPr>
        <w:pStyle w:val="Paragraphe"/>
        <w:spacing w:before="140" w:after="140" w:line="240" w:lineRule="auto"/>
        <w:rPr>
          <w:lang w:val="en-CA"/>
        </w:rPr>
      </w:pPr>
      <w:r>
        <w:rPr>
          <w:lang w:val="en-CA"/>
        </w:rPr>
        <w:t xml:space="preserve">Because the </w:t>
      </w:r>
      <w:r w:rsidR="00C75F6B" w:rsidRPr="00C75F6B">
        <w:rPr>
          <w:lang w:val="en-CA"/>
        </w:rPr>
        <w:t xml:space="preserve">respondent </w:t>
      </w:r>
      <w:r>
        <w:rPr>
          <w:lang w:val="en-CA"/>
        </w:rPr>
        <w:t xml:space="preserve">argued </w:t>
      </w:r>
      <w:r w:rsidR="00C75F6B" w:rsidRPr="00C75F6B">
        <w:rPr>
          <w:lang w:val="en-CA"/>
        </w:rPr>
        <w:t>that the A</w:t>
      </w:r>
      <w:r w:rsidR="00C75F6B">
        <w:rPr>
          <w:lang w:val="en-CA"/>
        </w:rPr>
        <w:t xml:space="preserve">P&amp;C agreement prevents the appellant from claiming anything in addition to what </w:t>
      </w:r>
      <w:r w:rsidR="008B524D">
        <w:rPr>
          <w:lang w:val="en-CA"/>
        </w:rPr>
        <w:t xml:space="preserve">had been </w:t>
      </w:r>
      <w:r w:rsidR="00C75F6B">
        <w:rPr>
          <w:lang w:val="en-CA"/>
        </w:rPr>
        <w:t>agreed</w:t>
      </w:r>
      <w:r>
        <w:rPr>
          <w:lang w:val="en-CA"/>
        </w:rPr>
        <w:t>, the trial judge began with an analysis of that agreement</w:t>
      </w:r>
      <w:r w:rsidR="005B635C">
        <w:rPr>
          <w:lang w:val="en-CA"/>
        </w:rPr>
        <w:t xml:space="preserve">. The judge refused to find that the appellant had renounced any claim of benefits beyond </w:t>
      </w:r>
      <w:r>
        <w:rPr>
          <w:lang w:val="en-CA"/>
        </w:rPr>
        <w:t>February 11, 2015</w:t>
      </w:r>
      <w:r w:rsidR="008B524D">
        <w:rPr>
          <w:lang w:val="en-CA"/>
        </w:rPr>
        <w:t>,</w:t>
      </w:r>
      <w:r w:rsidR="005B635C">
        <w:rPr>
          <w:lang w:val="en-CA"/>
        </w:rPr>
        <w:t xml:space="preserve"> in the agreement</w:t>
      </w:r>
      <w:r>
        <w:rPr>
          <w:lang w:val="en-CA"/>
        </w:rPr>
        <w:t xml:space="preserve">, but, finding that </w:t>
      </w:r>
      <w:r w:rsidR="005B635C">
        <w:rPr>
          <w:lang w:val="en-CA"/>
        </w:rPr>
        <w:t xml:space="preserve">it </w:t>
      </w:r>
      <w:r>
        <w:rPr>
          <w:lang w:val="en-CA"/>
        </w:rPr>
        <w:t xml:space="preserve">constituted a transaction, he </w:t>
      </w:r>
      <w:r w:rsidR="005B635C">
        <w:rPr>
          <w:lang w:val="en-CA"/>
        </w:rPr>
        <w:t>determined</w:t>
      </w:r>
      <w:r>
        <w:rPr>
          <w:lang w:val="en-CA"/>
        </w:rPr>
        <w:t xml:space="preserve"> </w:t>
      </w:r>
      <w:r w:rsidR="002E69D7">
        <w:rPr>
          <w:lang w:val="en-CA"/>
        </w:rPr>
        <w:t>that the</w:t>
      </w:r>
      <w:r>
        <w:rPr>
          <w:lang w:val="en-CA"/>
        </w:rPr>
        <w:t xml:space="preserve"> appel</w:t>
      </w:r>
      <w:r w:rsidR="002E69D7">
        <w:rPr>
          <w:lang w:val="en-CA"/>
        </w:rPr>
        <w:t xml:space="preserve">lant could not obtain more </w:t>
      </w:r>
      <w:r w:rsidR="008B524D">
        <w:rPr>
          <w:lang w:val="en-CA"/>
        </w:rPr>
        <w:t xml:space="preserve">than what had been agreed </w:t>
      </w:r>
      <w:r w:rsidR="002E69D7">
        <w:rPr>
          <w:lang w:val="en-CA"/>
        </w:rPr>
        <w:t>for the period between September 12, 2014, and February 11, 2015,</w:t>
      </w:r>
      <w:r>
        <w:rPr>
          <w:lang w:val="en-CA"/>
        </w:rPr>
        <w:t>.</w:t>
      </w:r>
    </w:p>
    <w:p w14:paraId="67760F62" w14:textId="03D3EC04" w:rsidR="00125910" w:rsidRPr="00125910" w:rsidRDefault="00125910" w:rsidP="00350689">
      <w:pPr>
        <w:pStyle w:val="Paragraphe"/>
        <w:spacing w:before="140" w:after="140" w:line="240" w:lineRule="auto"/>
        <w:rPr>
          <w:lang w:val="en-CA"/>
        </w:rPr>
      </w:pPr>
      <w:r w:rsidRPr="00125910">
        <w:rPr>
          <w:lang w:val="en-CA"/>
        </w:rPr>
        <w:t xml:space="preserve">Then, after dealing with the burden of proof applicable in disability insurance claims, the judge considered </w:t>
      </w:r>
      <w:r w:rsidR="00DF414E">
        <w:rPr>
          <w:lang w:val="en-CA"/>
        </w:rPr>
        <w:t>how</w:t>
      </w:r>
      <w:r w:rsidRPr="00125910">
        <w:rPr>
          <w:lang w:val="en-CA"/>
        </w:rPr>
        <w:t xml:space="preserve"> </w:t>
      </w:r>
      <w:r>
        <w:rPr>
          <w:lang w:val="en-CA"/>
        </w:rPr>
        <w:t>the insurance policy defined the notion</w:t>
      </w:r>
      <w:r w:rsidR="008B524D">
        <w:rPr>
          <w:lang w:val="en-CA"/>
        </w:rPr>
        <w:t>s</w:t>
      </w:r>
      <w:r>
        <w:rPr>
          <w:lang w:val="en-CA"/>
        </w:rPr>
        <w:t xml:space="preserve"> of occupation</w:t>
      </w:r>
      <w:r w:rsidR="008B524D">
        <w:rPr>
          <w:lang w:val="en-CA"/>
        </w:rPr>
        <w:t>,</w:t>
      </w:r>
      <w:r>
        <w:rPr>
          <w:lang w:val="en-CA"/>
        </w:rPr>
        <w:t xml:space="preserve"> total disability, partial disability, and residual disability. Focusing his analysis on the appellant’s situation, he </w:t>
      </w:r>
      <w:r w:rsidR="00436ED6">
        <w:rPr>
          <w:lang w:val="en-CA"/>
        </w:rPr>
        <w:t>found</w:t>
      </w:r>
      <w:r>
        <w:rPr>
          <w:lang w:val="en-CA"/>
        </w:rPr>
        <w:t xml:space="preserve"> </w:t>
      </w:r>
      <w:r w:rsidR="00436ED6">
        <w:rPr>
          <w:lang w:val="en-CA"/>
        </w:rPr>
        <w:t>t</w:t>
      </w:r>
      <w:r>
        <w:rPr>
          <w:lang w:val="en-CA"/>
        </w:rPr>
        <w:t xml:space="preserve">hat </w:t>
      </w:r>
      <w:r w:rsidR="00436ED6">
        <w:rPr>
          <w:lang w:val="en-CA"/>
        </w:rPr>
        <w:t xml:space="preserve">his occupation was that of </w:t>
      </w:r>
      <w:r w:rsidR="008B524D">
        <w:rPr>
          <w:rFonts w:cs="Arial"/>
          <w:lang w:val="en-CA"/>
        </w:rPr>
        <w:t>[</w:t>
      </w:r>
      <w:r w:rsidR="008B524D">
        <w:rPr>
          <w:rFonts w:cs="Arial"/>
          <w:smallCaps/>
          <w:lang w:val="en-CA"/>
        </w:rPr>
        <w:t>translation</w:t>
      </w:r>
      <w:r w:rsidR="008B524D">
        <w:rPr>
          <w:rFonts w:cs="Arial"/>
          <w:lang w:val="en-CA"/>
        </w:rPr>
        <w:t>]</w:t>
      </w:r>
      <w:r w:rsidR="008B524D">
        <w:rPr>
          <w:lang w:val="en-CA"/>
        </w:rPr>
        <w:t xml:space="preserve"> </w:t>
      </w:r>
      <w:r w:rsidR="00436ED6">
        <w:rPr>
          <w:lang w:val="en-CA"/>
        </w:rPr>
        <w:t xml:space="preserve">“family </w:t>
      </w:r>
      <w:r w:rsidR="000758AC">
        <w:rPr>
          <w:lang w:val="en-CA"/>
        </w:rPr>
        <w:t>physician</w:t>
      </w:r>
      <w:r w:rsidR="00436ED6">
        <w:rPr>
          <w:lang w:val="en-CA"/>
        </w:rPr>
        <w:t xml:space="preserve">/general practitioner”, an occupation that includes duties that he performed both at his sports clinic and in the Far North, and that total disability must be analyzed in the sense of a </w:t>
      </w:r>
      <w:r w:rsidR="00DF414E">
        <w:rPr>
          <w:lang w:val="en-CA"/>
        </w:rPr>
        <w:t>[</w:t>
      </w:r>
      <w:r w:rsidR="00DF414E" w:rsidRPr="00DF414E">
        <w:rPr>
          <w:smallCaps/>
          <w:lang w:val="en-CA"/>
        </w:rPr>
        <w:t>translation</w:t>
      </w:r>
      <w:r w:rsidR="00DF414E">
        <w:rPr>
          <w:lang w:val="en-CA"/>
        </w:rPr>
        <w:t xml:space="preserve">] </w:t>
      </w:r>
      <w:r w:rsidR="00436ED6">
        <w:rPr>
          <w:lang w:val="en-CA"/>
        </w:rPr>
        <w:t xml:space="preserve">“substantial” </w:t>
      </w:r>
      <w:r w:rsidR="00DF414E">
        <w:rPr>
          <w:lang w:val="en-CA"/>
        </w:rPr>
        <w:t>inability</w:t>
      </w:r>
      <w:r w:rsidR="00436ED6">
        <w:rPr>
          <w:lang w:val="en-CA"/>
        </w:rPr>
        <w:t xml:space="preserve"> to perform the important and regular duties of this occupation.</w:t>
      </w:r>
    </w:p>
    <w:p w14:paraId="591B8FE7" w14:textId="2875FE16" w:rsidR="00436ED6" w:rsidRDefault="00436ED6" w:rsidP="00350689">
      <w:pPr>
        <w:pStyle w:val="Paragraphe"/>
        <w:spacing w:before="140" w:after="140" w:line="240" w:lineRule="auto"/>
        <w:rPr>
          <w:lang w:val="en-CA"/>
        </w:rPr>
      </w:pPr>
      <w:r w:rsidRPr="00436ED6">
        <w:rPr>
          <w:lang w:val="en-CA"/>
        </w:rPr>
        <w:t xml:space="preserve">He </w:t>
      </w:r>
      <w:r w:rsidR="008B524D">
        <w:rPr>
          <w:lang w:val="en-CA"/>
        </w:rPr>
        <w:t>further</w:t>
      </w:r>
      <w:r w:rsidR="008B524D" w:rsidRPr="00436ED6">
        <w:rPr>
          <w:lang w:val="en-CA"/>
        </w:rPr>
        <w:t xml:space="preserve"> </w:t>
      </w:r>
      <w:r w:rsidRPr="00436ED6">
        <w:rPr>
          <w:lang w:val="en-CA"/>
        </w:rPr>
        <w:t>added that the fact that</w:t>
      </w:r>
      <w:r w:rsidR="00A026A6">
        <w:rPr>
          <w:lang w:val="en-CA"/>
        </w:rPr>
        <w:t xml:space="preserve"> the appellant’s activities in the Far North were the most lucrative ones is not relevant to determining whether he is totally disabled, and note</w:t>
      </w:r>
      <w:r w:rsidR="0044296E">
        <w:rPr>
          <w:lang w:val="en-CA"/>
        </w:rPr>
        <w:t>d</w:t>
      </w:r>
      <w:r w:rsidR="00A026A6">
        <w:rPr>
          <w:lang w:val="en-CA"/>
        </w:rPr>
        <w:t xml:space="preserve"> that he is able to perform the important duties of his sports medicine</w:t>
      </w:r>
      <w:r w:rsidR="008B524D">
        <w:rPr>
          <w:lang w:val="en-CA"/>
        </w:rPr>
        <w:t xml:space="preserve"> practice</w:t>
      </w:r>
      <w:r w:rsidR="00A026A6">
        <w:rPr>
          <w:lang w:val="en-CA"/>
        </w:rPr>
        <w:t>, which, he wrote, oc</w:t>
      </w:r>
      <w:r w:rsidR="0044296E">
        <w:rPr>
          <w:lang w:val="en-CA"/>
        </w:rPr>
        <w:t xml:space="preserve">cupied most of his time </w:t>
      </w:r>
      <w:r w:rsidR="008B524D">
        <w:rPr>
          <w:lang w:val="en-CA"/>
        </w:rPr>
        <w:t xml:space="preserve">when he became disabled </w:t>
      </w:r>
      <w:r w:rsidR="0044296E">
        <w:rPr>
          <w:lang w:val="en-CA"/>
        </w:rPr>
        <w:t>in 2014</w:t>
      </w:r>
      <w:r w:rsidR="00A026A6">
        <w:rPr>
          <w:lang w:val="en-CA"/>
        </w:rPr>
        <w:t xml:space="preserve">. That being the case, </w:t>
      </w:r>
      <w:r w:rsidR="008B524D">
        <w:rPr>
          <w:lang w:val="en-CA"/>
        </w:rPr>
        <w:t xml:space="preserve">he concluded, </w:t>
      </w:r>
      <w:r w:rsidR="00A026A6">
        <w:rPr>
          <w:lang w:val="en-CA"/>
        </w:rPr>
        <w:t xml:space="preserve">in light of the definition of total disability in the insurance policy, </w:t>
      </w:r>
      <w:r w:rsidR="008B524D">
        <w:rPr>
          <w:lang w:val="en-CA"/>
        </w:rPr>
        <w:t xml:space="preserve">that </w:t>
      </w:r>
      <w:r w:rsidR="00A026A6">
        <w:rPr>
          <w:lang w:val="en-CA"/>
        </w:rPr>
        <w:t>the appellant is not totally disabled because he is not unable to perform the important duties of his occupation.</w:t>
      </w:r>
    </w:p>
    <w:p w14:paraId="646034F9" w14:textId="1EDFA5DC" w:rsidR="00350689" w:rsidRPr="007C493C" w:rsidRDefault="00F7473D" w:rsidP="00350689">
      <w:pPr>
        <w:pStyle w:val="Titre4"/>
      </w:pPr>
      <w:r w:rsidRPr="007C493C">
        <w:lastRenderedPageBreak/>
        <w:t xml:space="preserve">POSITION </w:t>
      </w:r>
      <w:r w:rsidR="005E57DA" w:rsidRPr="007C493C">
        <w:t>OF THE APPELLANT</w:t>
      </w:r>
    </w:p>
    <w:p w14:paraId="1198F0B7" w14:textId="0ECB6DE5" w:rsidR="00A026A6" w:rsidRPr="00A026A6" w:rsidRDefault="00A026A6" w:rsidP="00350689">
      <w:pPr>
        <w:pStyle w:val="Paragraphe"/>
        <w:spacing w:before="140" w:after="140" w:line="240" w:lineRule="auto"/>
        <w:rPr>
          <w:lang w:val="en-CA"/>
        </w:rPr>
      </w:pPr>
      <w:r w:rsidRPr="00A026A6">
        <w:rPr>
          <w:lang w:val="en-CA"/>
        </w:rPr>
        <w:t xml:space="preserve">Before the Court, the appellant </w:t>
      </w:r>
      <w:r>
        <w:rPr>
          <w:lang w:val="en-CA"/>
        </w:rPr>
        <w:t xml:space="preserve">attacks </w:t>
      </w:r>
      <w:r w:rsidRPr="00A026A6">
        <w:rPr>
          <w:lang w:val="en-CA"/>
        </w:rPr>
        <w:t xml:space="preserve">only the conclusion that </w:t>
      </w:r>
      <w:r>
        <w:rPr>
          <w:lang w:val="en-CA"/>
        </w:rPr>
        <w:t xml:space="preserve">the AP&amp;C agreement prevents him from </w:t>
      </w:r>
      <w:r w:rsidR="00624100">
        <w:rPr>
          <w:lang w:val="en-CA"/>
        </w:rPr>
        <w:t xml:space="preserve">claiming an amount greater than what he received for </w:t>
      </w:r>
      <w:r w:rsidR="0044296E">
        <w:rPr>
          <w:lang w:val="en-CA"/>
        </w:rPr>
        <w:t>t</w:t>
      </w:r>
      <w:r w:rsidR="00624100">
        <w:rPr>
          <w:lang w:val="en-CA"/>
        </w:rPr>
        <w:t xml:space="preserve">he period between September 2014 </w:t>
      </w:r>
      <w:r w:rsidR="0044296E">
        <w:rPr>
          <w:lang w:val="en-CA"/>
        </w:rPr>
        <w:t xml:space="preserve">and </w:t>
      </w:r>
      <w:r w:rsidR="00624100">
        <w:rPr>
          <w:lang w:val="en-CA"/>
        </w:rPr>
        <w:t>February 2015</w:t>
      </w:r>
      <w:r w:rsidR="0044296E">
        <w:rPr>
          <w:lang w:val="en-CA"/>
        </w:rPr>
        <w:t>,</w:t>
      </w:r>
      <w:r w:rsidR="00624100">
        <w:rPr>
          <w:lang w:val="en-CA"/>
        </w:rPr>
        <w:t xml:space="preserve"> and the conclusion that he is not totally disabled within the meaning of the insurance policy. </w:t>
      </w:r>
    </w:p>
    <w:p w14:paraId="1832403A" w14:textId="4A166851" w:rsidR="00350689" w:rsidRPr="00624100" w:rsidRDefault="00624100" w:rsidP="00350689">
      <w:pPr>
        <w:pStyle w:val="Paragraphe"/>
        <w:spacing w:before="140" w:after="140" w:line="240" w:lineRule="auto"/>
        <w:rPr>
          <w:lang w:val="en-CA"/>
        </w:rPr>
      </w:pPr>
      <w:r>
        <w:rPr>
          <w:lang w:val="en-CA"/>
        </w:rPr>
        <w:t xml:space="preserve">More specifically, he </w:t>
      </w:r>
      <w:r w:rsidR="007C1EB6">
        <w:rPr>
          <w:lang w:val="en-CA"/>
        </w:rPr>
        <w:t>contests the judge’s conclusion</w:t>
      </w:r>
      <w:r>
        <w:rPr>
          <w:lang w:val="en-CA"/>
        </w:rPr>
        <w:t xml:space="preserve"> that the AP&amp;C agreement constituted a peremptory exception to his application for total disability benefits for the period concerned and </w:t>
      </w:r>
      <w:r w:rsidR="007C1EB6">
        <w:rPr>
          <w:lang w:val="en-CA"/>
        </w:rPr>
        <w:t xml:space="preserve">alleges that he committed </w:t>
      </w:r>
      <w:r>
        <w:rPr>
          <w:lang w:val="en-CA"/>
        </w:rPr>
        <w:t>palpable errors in the analysis of his occupation and the assessment of Dr. Paquette’s testimony.</w:t>
      </w:r>
    </w:p>
    <w:p w14:paraId="79508B0F" w14:textId="6A9721ED" w:rsidR="00350689" w:rsidRPr="00624100" w:rsidRDefault="00624100" w:rsidP="00350689">
      <w:pPr>
        <w:pStyle w:val="Paragraphe"/>
        <w:spacing w:before="140" w:after="140" w:line="240" w:lineRule="auto"/>
        <w:rPr>
          <w:lang w:val="en-CA"/>
        </w:rPr>
      </w:pPr>
      <w:r w:rsidRPr="007C493C">
        <w:rPr>
          <w:lang w:val="en-CA"/>
        </w:rPr>
        <w:t>The Court will now consider</w:t>
      </w:r>
      <w:r w:rsidRPr="00624100">
        <w:rPr>
          <w:lang w:val="en-CA"/>
        </w:rPr>
        <w:t>.</w:t>
      </w:r>
    </w:p>
    <w:p w14:paraId="0A4EECE2" w14:textId="52573480" w:rsidR="00350689" w:rsidRPr="007C493C" w:rsidRDefault="00F7473D" w:rsidP="00350689">
      <w:pPr>
        <w:pStyle w:val="Titre4"/>
      </w:pPr>
      <w:r w:rsidRPr="007C493C">
        <w:t>DISCUSSION</w:t>
      </w:r>
    </w:p>
    <w:p w14:paraId="21F3C4A6" w14:textId="1C55D82E" w:rsidR="00350689" w:rsidRPr="00B2070A" w:rsidRDefault="00B2070A" w:rsidP="00B2070A">
      <w:pPr>
        <w:pStyle w:val="Paragraphe"/>
        <w:spacing w:before="140" w:after="140" w:line="240" w:lineRule="auto"/>
        <w:rPr>
          <w:lang w:val="en-CA"/>
        </w:rPr>
      </w:pPr>
      <w:r w:rsidRPr="00B2070A">
        <w:rPr>
          <w:lang w:val="en-CA"/>
        </w:rPr>
        <w:t>First, I note that the AP</w:t>
      </w:r>
      <w:r>
        <w:rPr>
          <w:lang w:val="en-CA"/>
        </w:rPr>
        <w:t xml:space="preserve">&amp;C agreement is a contractual agreement between the parties and therefore, according to the applicable standard, the Court may intervene in the judge’s interpretation </w:t>
      </w:r>
      <w:r w:rsidR="006D4C46">
        <w:rPr>
          <w:lang w:val="en-CA"/>
        </w:rPr>
        <w:t xml:space="preserve">of it </w:t>
      </w:r>
      <w:r>
        <w:rPr>
          <w:lang w:val="en-CA"/>
        </w:rPr>
        <w:t xml:space="preserve">only </w:t>
      </w:r>
      <w:r w:rsidR="00310612">
        <w:rPr>
          <w:lang w:val="en-CA"/>
        </w:rPr>
        <w:t>where it is</w:t>
      </w:r>
      <w:r w:rsidR="006D4C46">
        <w:rPr>
          <w:lang w:val="en-CA"/>
        </w:rPr>
        <w:t xml:space="preserve"> </w:t>
      </w:r>
      <w:r>
        <w:rPr>
          <w:lang w:val="en-CA"/>
        </w:rPr>
        <w:t>established that he committed a palpable and overriding error.</w:t>
      </w:r>
      <w:r w:rsidR="00F7473D">
        <w:rPr>
          <w:rStyle w:val="Appelnotedebasdep"/>
        </w:rPr>
        <w:footnoteReference w:id="2"/>
      </w:r>
      <w:r w:rsidR="00F7473D" w:rsidRPr="00B2070A">
        <w:rPr>
          <w:lang w:val="en-CA"/>
        </w:rPr>
        <w:t xml:space="preserve"> </w:t>
      </w:r>
    </w:p>
    <w:p w14:paraId="4E544BDE" w14:textId="787784CD" w:rsidR="00850A42" w:rsidRPr="00850A42" w:rsidRDefault="00850A42" w:rsidP="00350689">
      <w:pPr>
        <w:pStyle w:val="Paragraphe"/>
        <w:spacing w:before="140" w:after="140" w:line="240" w:lineRule="auto"/>
        <w:rPr>
          <w:lang w:val="en-CA"/>
        </w:rPr>
      </w:pPr>
      <w:r w:rsidRPr="00850A42">
        <w:rPr>
          <w:lang w:val="en-CA"/>
        </w:rPr>
        <w:t xml:space="preserve">In this regard, the appellant </w:t>
      </w:r>
      <w:r w:rsidR="00310612">
        <w:rPr>
          <w:lang w:val="en-CA"/>
        </w:rPr>
        <w:t xml:space="preserve">more specifically </w:t>
      </w:r>
      <w:r w:rsidR="00965351">
        <w:rPr>
          <w:lang w:val="en-CA"/>
        </w:rPr>
        <w:t>faults</w:t>
      </w:r>
      <w:r w:rsidRPr="00850A42">
        <w:rPr>
          <w:lang w:val="en-CA"/>
        </w:rPr>
        <w:t xml:space="preserve"> the judge for failing to take into consideration the testimony </w:t>
      </w:r>
      <w:r>
        <w:rPr>
          <w:lang w:val="en-CA"/>
        </w:rPr>
        <w:t xml:space="preserve">of the respondent’s representative </w:t>
      </w:r>
      <w:r w:rsidR="00965351">
        <w:rPr>
          <w:lang w:val="en-CA"/>
        </w:rPr>
        <w:t>whereby</w:t>
      </w:r>
      <w:r>
        <w:rPr>
          <w:lang w:val="en-CA"/>
        </w:rPr>
        <w:t xml:space="preserve"> the agreement could be revised </w:t>
      </w:r>
      <w:r w:rsidR="009F75C2">
        <w:rPr>
          <w:lang w:val="en-CA"/>
        </w:rPr>
        <w:t>depending</w:t>
      </w:r>
      <w:r>
        <w:rPr>
          <w:lang w:val="en-CA"/>
        </w:rPr>
        <w:t xml:space="preserve"> on </w:t>
      </w:r>
      <w:r w:rsidR="00965351">
        <w:rPr>
          <w:lang w:val="en-CA"/>
        </w:rPr>
        <w:t xml:space="preserve">how his </w:t>
      </w:r>
      <w:r>
        <w:rPr>
          <w:lang w:val="en-CA"/>
        </w:rPr>
        <w:t>medical condition</w:t>
      </w:r>
      <w:r w:rsidR="00965351">
        <w:rPr>
          <w:lang w:val="en-CA"/>
        </w:rPr>
        <w:t xml:space="preserve"> evolved</w:t>
      </w:r>
      <w:r>
        <w:rPr>
          <w:lang w:val="en-CA"/>
        </w:rPr>
        <w:t xml:space="preserve">. He refers to </w:t>
      </w:r>
      <w:r w:rsidR="009F75C2">
        <w:rPr>
          <w:lang w:val="en-CA"/>
        </w:rPr>
        <w:t>an excerpt</w:t>
      </w:r>
      <w:r w:rsidR="00965351">
        <w:rPr>
          <w:lang w:val="en-CA"/>
        </w:rPr>
        <w:t xml:space="preserve"> that in his view </w:t>
      </w:r>
      <w:r w:rsidR="009F75C2">
        <w:rPr>
          <w:lang w:val="en-CA"/>
        </w:rPr>
        <w:t>shows that the parties did not intend to definitively settle the issue of the benefits payable until February 2015.</w:t>
      </w:r>
    </w:p>
    <w:p w14:paraId="34CDE803" w14:textId="5FFD27B4" w:rsidR="009F75C2" w:rsidRPr="009F75C2" w:rsidRDefault="009F75C2" w:rsidP="00350689">
      <w:pPr>
        <w:pStyle w:val="Paragraphe"/>
        <w:spacing w:before="140" w:after="140" w:line="240" w:lineRule="auto"/>
        <w:rPr>
          <w:lang w:val="en-CA"/>
        </w:rPr>
      </w:pPr>
      <w:r w:rsidRPr="009F75C2">
        <w:rPr>
          <w:lang w:val="en-CA"/>
        </w:rPr>
        <w:t>With respect, I find that he has not identified a</w:t>
      </w:r>
      <w:r w:rsidR="00310612">
        <w:rPr>
          <w:lang w:val="en-CA"/>
        </w:rPr>
        <w:t>ny</w:t>
      </w:r>
      <w:r w:rsidRPr="009F75C2">
        <w:rPr>
          <w:lang w:val="en-CA"/>
        </w:rPr>
        <w:t xml:space="preserve"> palpable and overriding </w:t>
      </w:r>
      <w:r>
        <w:rPr>
          <w:lang w:val="en-CA"/>
        </w:rPr>
        <w:t xml:space="preserve">error </w:t>
      </w:r>
      <w:r w:rsidR="00140CCD">
        <w:rPr>
          <w:lang w:val="en-CA"/>
        </w:rPr>
        <w:t>by the</w:t>
      </w:r>
      <w:r>
        <w:rPr>
          <w:lang w:val="en-CA"/>
        </w:rPr>
        <w:t xml:space="preserve"> judge, who found on the basis of the evidence that the parties had settled the issue</w:t>
      </w:r>
      <w:r w:rsidR="00140CCD">
        <w:rPr>
          <w:lang w:val="en-CA"/>
        </w:rPr>
        <w:t>,</w:t>
      </w:r>
      <w:r>
        <w:rPr>
          <w:lang w:val="en-CA"/>
        </w:rPr>
        <w:t xml:space="preserve"> and </w:t>
      </w:r>
      <w:r w:rsidR="00140CCD">
        <w:rPr>
          <w:lang w:val="en-CA"/>
        </w:rPr>
        <w:t xml:space="preserve">that </w:t>
      </w:r>
      <w:r w:rsidR="001D4D2C">
        <w:rPr>
          <w:lang w:val="en-CA"/>
        </w:rPr>
        <w:t>the testimony</w:t>
      </w:r>
      <w:r>
        <w:rPr>
          <w:lang w:val="en-CA"/>
        </w:rPr>
        <w:t xml:space="preserve"> to which the appellant refers in no way justifies finding that he committed a palpable error in so doing.  </w:t>
      </w:r>
    </w:p>
    <w:p w14:paraId="5AA6E6F9" w14:textId="16DFF61A" w:rsidR="00350689" w:rsidRPr="007C493C" w:rsidRDefault="005E57DA" w:rsidP="00350689">
      <w:pPr>
        <w:pStyle w:val="Paragraphe"/>
        <w:spacing w:before="140" w:after="140" w:line="240" w:lineRule="auto"/>
        <w:rPr>
          <w:lang w:val="en-CA"/>
        </w:rPr>
      </w:pPr>
      <w:r w:rsidRPr="007C493C">
        <w:rPr>
          <w:lang w:val="en-CA"/>
        </w:rPr>
        <w:t>I therefore find that this ground should be rejected</w:t>
      </w:r>
      <w:r w:rsidR="00F7473D" w:rsidRPr="007C493C">
        <w:rPr>
          <w:lang w:val="en-CA"/>
        </w:rPr>
        <w:t>.</w:t>
      </w:r>
    </w:p>
    <w:p w14:paraId="4FF7C3C2" w14:textId="4DFBFAD7" w:rsidR="00350689" w:rsidRPr="0093710E" w:rsidRDefault="0093710E" w:rsidP="00350689">
      <w:pPr>
        <w:pStyle w:val="Paragraphe"/>
        <w:spacing w:before="140" w:after="140" w:line="240" w:lineRule="auto"/>
        <w:rPr>
          <w:lang w:val="en-CA"/>
        </w:rPr>
      </w:pPr>
      <w:r w:rsidRPr="007C493C">
        <w:rPr>
          <w:lang w:val="en-CA"/>
        </w:rPr>
        <w:t>T</w:t>
      </w:r>
      <w:r w:rsidR="00F7473D" w:rsidRPr="007C493C">
        <w:rPr>
          <w:lang w:val="en-CA"/>
        </w:rPr>
        <w:t>hat being said</w:t>
      </w:r>
      <w:r w:rsidR="00F7473D" w:rsidRPr="0093710E">
        <w:rPr>
          <w:lang w:val="en-CA"/>
        </w:rPr>
        <w:t xml:space="preserve">, </w:t>
      </w:r>
      <w:r w:rsidRPr="0093710E">
        <w:rPr>
          <w:lang w:val="en-CA"/>
        </w:rPr>
        <w:t>I will now move on to the main</w:t>
      </w:r>
      <w:r>
        <w:rPr>
          <w:lang w:val="en-CA"/>
        </w:rPr>
        <w:t xml:space="preserve"> ground</w:t>
      </w:r>
      <w:r w:rsidRPr="0093710E">
        <w:rPr>
          <w:lang w:val="en-CA"/>
        </w:rPr>
        <w:t xml:space="preserve"> that the judge erred in refusing to recognize the appellant as totally disabled within the</w:t>
      </w:r>
      <w:r>
        <w:rPr>
          <w:lang w:val="en-CA"/>
        </w:rPr>
        <w:t xml:space="preserve"> meaning of the insurance polic</w:t>
      </w:r>
      <w:r w:rsidRPr="0093710E">
        <w:rPr>
          <w:lang w:val="en-CA"/>
        </w:rPr>
        <w:t xml:space="preserve">y </w:t>
      </w:r>
      <w:r>
        <w:rPr>
          <w:lang w:val="en-CA"/>
        </w:rPr>
        <w:t>(as amended by the rider</w:t>
      </w:r>
      <w:r w:rsidR="00F7473D" w:rsidRPr="0093710E">
        <w:rPr>
          <w:lang w:val="en-CA"/>
        </w:rPr>
        <w:t>).</w:t>
      </w:r>
    </w:p>
    <w:p w14:paraId="6F1DD97E" w14:textId="5445F225" w:rsidR="00350689" w:rsidRPr="00E32C89" w:rsidRDefault="001D4D2C" w:rsidP="00E32C89">
      <w:pPr>
        <w:pStyle w:val="Paragraphe"/>
        <w:spacing w:before="140" w:after="140" w:line="240" w:lineRule="auto"/>
        <w:rPr>
          <w:lang w:val="en-CA"/>
        </w:rPr>
      </w:pPr>
      <w:r w:rsidRPr="00EE7143">
        <w:rPr>
          <w:lang w:val="en-CA"/>
        </w:rPr>
        <w:t>As I wrot</w:t>
      </w:r>
      <w:r w:rsidR="00EE7143" w:rsidRPr="00EE7143">
        <w:rPr>
          <w:lang w:val="en-CA"/>
        </w:rPr>
        <w:t>e</w:t>
      </w:r>
      <w:r w:rsidRPr="00EE7143">
        <w:rPr>
          <w:lang w:val="en-CA"/>
        </w:rPr>
        <w:t xml:space="preserve"> in the judgment also rendered today in file</w:t>
      </w:r>
      <w:r w:rsidR="00F7473D" w:rsidRPr="00EE7143">
        <w:rPr>
          <w:lang w:val="en-CA"/>
        </w:rPr>
        <w:t xml:space="preserve"> 500-09-029299-211, </w:t>
      </w:r>
      <w:r w:rsidR="00EE7143" w:rsidRPr="00EE7143">
        <w:rPr>
          <w:lang w:val="en-CA"/>
        </w:rPr>
        <w:t xml:space="preserve">because </w:t>
      </w:r>
      <w:r w:rsidRPr="00EE7143">
        <w:rPr>
          <w:lang w:val="en-CA"/>
        </w:rPr>
        <w:t xml:space="preserve">the insurance policy </w:t>
      </w:r>
      <w:r w:rsidR="00EE7143" w:rsidRPr="00EE7143">
        <w:rPr>
          <w:lang w:val="en-CA"/>
        </w:rPr>
        <w:t xml:space="preserve">is </w:t>
      </w:r>
      <w:r w:rsidRPr="00EE7143">
        <w:rPr>
          <w:lang w:val="en-CA"/>
        </w:rPr>
        <w:t xml:space="preserve">a </w:t>
      </w:r>
      <w:r w:rsidR="00EE7143" w:rsidRPr="00EE7143">
        <w:rPr>
          <w:lang w:val="en-CA"/>
        </w:rPr>
        <w:t>standard form contract</w:t>
      </w:r>
      <w:r w:rsidR="00B22666">
        <w:rPr>
          <w:lang w:val="en-CA"/>
        </w:rPr>
        <w:t>,</w:t>
      </w:r>
      <w:r w:rsidR="00EE7143" w:rsidRPr="00EE7143">
        <w:rPr>
          <w:lang w:val="en-CA"/>
        </w:rPr>
        <w:t xml:space="preserve"> its </w:t>
      </w:r>
      <w:r w:rsidR="00140CCD" w:rsidRPr="00EE7143">
        <w:rPr>
          <w:lang w:val="en-CA"/>
        </w:rPr>
        <w:t>interpretation</w:t>
      </w:r>
      <w:r w:rsidR="00EE7143" w:rsidRPr="00EE7143">
        <w:rPr>
          <w:lang w:val="en-CA"/>
        </w:rPr>
        <w:t xml:space="preserve"> </w:t>
      </w:r>
      <w:r w:rsidR="00B22666">
        <w:rPr>
          <w:lang w:val="en-CA"/>
        </w:rPr>
        <w:t>is of</w:t>
      </w:r>
      <w:r w:rsidR="00EE7143" w:rsidRPr="00EE7143">
        <w:rPr>
          <w:lang w:val="en-CA"/>
        </w:rPr>
        <w:t xml:space="preserve"> precedential value</w:t>
      </w:r>
      <w:r w:rsidR="00B22666">
        <w:rPr>
          <w:lang w:val="en-CA"/>
        </w:rPr>
        <w:t>,</w:t>
      </w:r>
      <w:r w:rsidR="00EE7143" w:rsidRPr="00EE7143">
        <w:rPr>
          <w:lang w:val="en-CA"/>
        </w:rPr>
        <w:t xml:space="preserve"> and there is no meaningful </w:t>
      </w:r>
      <w:r w:rsidR="00EE7143">
        <w:rPr>
          <w:lang w:val="en-CA"/>
        </w:rPr>
        <w:t xml:space="preserve">factual matrix specific to the particular parties to assist the </w:t>
      </w:r>
      <w:r w:rsidR="00EE7143">
        <w:rPr>
          <w:lang w:val="en-CA"/>
        </w:rPr>
        <w:lastRenderedPageBreak/>
        <w:t>interpretation process</w:t>
      </w:r>
      <w:r w:rsidR="00E32C89">
        <w:rPr>
          <w:lang w:val="en-CA"/>
        </w:rPr>
        <w:t>, the applicable standard of review of the judge’s interpretation of the notion of total disability is that of correctness.</w:t>
      </w:r>
      <w:r w:rsidR="00F7473D">
        <w:rPr>
          <w:rStyle w:val="Appelnotedebasdep"/>
        </w:rPr>
        <w:footnoteReference w:id="3"/>
      </w:r>
      <w:r w:rsidR="00F7473D" w:rsidRPr="00E32C89">
        <w:rPr>
          <w:lang w:val="en-CA"/>
        </w:rPr>
        <w:t xml:space="preserve"> </w:t>
      </w:r>
    </w:p>
    <w:p w14:paraId="367C9ED6" w14:textId="49BADBDB" w:rsidR="00E32C89" w:rsidRPr="00E32C89" w:rsidRDefault="00E32C89" w:rsidP="00350689">
      <w:pPr>
        <w:pStyle w:val="Paragraphe"/>
        <w:spacing w:before="140" w:after="140" w:line="240" w:lineRule="auto"/>
        <w:rPr>
          <w:lang w:val="en-CA"/>
        </w:rPr>
      </w:pPr>
      <w:r w:rsidRPr="00E32C89">
        <w:rPr>
          <w:lang w:val="en-CA"/>
        </w:rPr>
        <w:t>The disability insurance policy, as amended by the rider, defines the notion of occupation and the different types of disability</w:t>
      </w:r>
      <w:r>
        <w:rPr>
          <w:lang w:val="en-CA"/>
        </w:rPr>
        <w:t>:</w:t>
      </w:r>
    </w:p>
    <w:p w14:paraId="5D3F2442" w14:textId="4FD46D3C" w:rsidR="00350689" w:rsidRPr="00E32C89" w:rsidRDefault="00F7473D" w:rsidP="00350689">
      <w:pPr>
        <w:pStyle w:val="Citationenretrait"/>
        <w:spacing w:line="240" w:lineRule="auto"/>
        <w:rPr>
          <w:lang w:val="en-CA" w:eastAsia="en-US"/>
        </w:rPr>
      </w:pPr>
      <w:r w:rsidRPr="00E32C89">
        <w:rPr>
          <w:lang w:val="en-CA"/>
        </w:rPr>
        <w:t xml:space="preserve">1.18 </w:t>
      </w:r>
      <w:r w:rsidR="00E32C89" w:rsidRPr="00E32C89">
        <w:rPr>
          <w:b/>
          <w:lang w:val="en-CA"/>
        </w:rPr>
        <w:t>“Your Occupation”</w:t>
      </w:r>
      <w:r w:rsidR="00E32C89" w:rsidRPr="00E32C89">
        <w:rPr>
          <w:lang w:val="en-CA"/>
        </w:rPr>
        <w:t xml:space="preserve"> means the occupation or occupations in which You are regularly engaged at the time You become Disabled</w:t>
      </w:r>
      <w:r w:rsidRPr="00E32C89">
        <w:rPr>
          <w:lang w:val="en-CA"/>
        </w:rPr>
        <w:t>.</w:t>
      </w:r>
    </w:p>
    <w:p w14:paraId="5A5ECFF1" w14:textId="2DB392ED" w:rsidR="00350689" w:rsidRPr="00E32C89" w:rsidRDefault="00F7473D" w:rsidP="00350689">
      <w:pPr>
        <w:pStyle w:val="Citationenretrait"/>
        <w:spacing w:line="240" w:lineRule="auto"/>
        <w:rPr>
          <w:lang w:val="en-CA"/>
        </w:rPr>
      </w:pPr>
      <w:r w:rsidRPr="00E32C89">
        <w:rPr>
          <w:lang w:val="en-CA"/>
        </w:rPr>
        <w:t>1.19 </w:t>
      </w:r>
      <w:r w:rsidR="00E32C89" w:rsidRPr="00244B9B">
        <w:rPr>
          <w:b/>
          <w:lang w:val="en-CA"/>
        </w:rPr>
        <w:t>“Total Disability”</w:t>
      </w:r>
      <w:r w:rsidR="00E32C89" w:rsidRPr="00E32C89">
        <w:rPr>
          <w:lang w:val="en-CA"/>
        </w:rPr>
        <w:t xml:space="preserve"> means that:</w:t>
      </w:r>
    </w:p>
    <w:p w14:paraId="025C33D6" w14:textId="43547B31" w:rsidR="00350689" w:rsidRPr="00E32C89" w:rsidRDefault="00F7473D" w:rsidP="00350689">
      <w:pPr>
        <w:pStyle w:val="Citationenretrait"/>
        <w:spacing w:line="240" w:lineRule="auto"/>
        <w:ind w:left="1440"/>
        <w:rPr>
          <w:lang w:val="en-CA"/>
        </w:rPr>
      </w:pPr>
      <w:r w:rsidRPr="00E32C89">
        <w:rPr>
          <w:lang w:val="en-CA"/>
        </w:rPr>
        <w:t xml:space="preserve">a. </w:t>
      </w:r>
      <w:r w:rsidR="00E32C89" w:rsidRPr="00E32C89">
        <w:rPr>
          <w:lang w:val="en-CA"/>
        </w:rPr>
        <w:t>Due directly to Injury or Sickness You are unable to perform the important duties of Your Occupatio</w:t>
      </w:r>
      <w:r w:rsidR="00E32C89">
        <w:rPr>
          <w:lang w:val="en-CA"/>
        </w:rPr>
        <w:t>n</w:t>
      </w:r>
    </w:p>
    <w:p w14:paraId="263D3FB5" w14:textId="4F98A55C" w:rsidR="00350689" w:rsidRPr="004076BF" w:rsidRDefault="00F7473D" w:rsidP="00350689">
      <w:pPr>
        <w:pStyle w:val="Citationenretrait"/>
        <w:spacing w:line="240" w:lineRule="auto"/>
        <w:ind w:left="1440"/>
        <w:rPr>
          <w:lang w:val="en-CA"/>
        </w:rPr>
      </w:pPr>
      <w:r w:rsidRPr="004076BF">
        <w:rPr>
          <w:lang w:val="en-CA"/>
        </w:rPr>
        <w:t xml:space="preserve">b. </w:t>
      </w:r>
      <w:r w:rsidR="004076BF" w:rsidRPr="004076BF">
        <w:rPr>
          <w:lang w:val="en-CA"/>
        </w:rPr>
        <w:t>You are receiving Physician's Care. We may waive this requirement from time to time if We receive written proof acceptable to Us that further Physician's Care would be of no benefit to You.</w:t>
      </w:r>
    </w:p>
    <w:p w14:paraId="5F9AD904" w14:textId="77777777" w:rsidR="004076BF" w:rsidRPr="005B519F" w:rsidRDefault="00F7473D" w:rsidP="00350689">
      <w:pPr>
        <w:pStyle w:val="Citationenretrait"/>
        <w:spacing w:line="240" w:lineRule="auto"/>
        <w:rPr>
          <w:lang w:val="en-CA"/>
        </w:rPr>
      </w:pPr>
      <w:r w:rsidRPr="005B519F">
        <w:rPr>
          <w:lang w:val="en-CA"/>
        </w:rPr>
        <w:t xml:space="preserve">1.20 </w:t>
      </w:r>
      <w:r w:rsidR="004076BF" w:rsidRPr="00244B9B">
        <w:rPr>
          <w:b/>
          <w:lang w:val="en-CA"/>
        </w:rPr>
        <w:t>“Partial Disability”</w:t>
      </w:r>
      <w:r w:rsidR="004076BF" w:rsidRPr="005B519F">
        <w:rPr>
          <w:lang w:val="en-CA"/>
        </w:rPr>
        <w:t xml:space="preserve"> means that:</w:t>
      </w:r>
    </w:p>
    <w:p w14:paraId="2313C01B" w14:textId="6562CE8F" w:rsidR="00350689" w:rsidRPr="005B519F" w:rsidRDefault="00F7473D" w:rsidP="005B519F">
      <w:pPr>
        <w:pStyle w:val="Citationenretrait"/>
        <w:spacing w:line="240" w:lineRule="auto"/>
        <w:ind w:firstLine="720"/>
        <w:rPr>
          <w:lang w:val="en-CA"/>
        </w:rPr>
      </w:pPr>
      <w:r w:rsidRPr="005B519F">
        <w:rPr>
          <w:lang w:val="en-CA"/>
        </w:rPr>
        <w:t xml:space="preserve">a. </w:t>
      </w:r>
      <w:r w:rsidR="005B519F" w:rsidRPr="005B519F">
        <w:rPr>
          <w:lang w:val="en-CA"/>
        </w:rPr>
        <w:t>You are not Totally Disabled</w:t>
      </w:r>
      <w:r w:rsidRPr="005B519F">
        <w:rPr>
          <w:lang w:val="en-CA"/>
        </w:rPr>
        <w:t>;</w:t>
      </w:r>
      <w:r w:rsidR="005B519F" w:rsidRPr="005B519F">
        <w:rPr>
          <w:lang w:val="en-CA"/>
        </w:rPr>
        <w:t xml:space="preserve"> and</w:t>
      </w:r>
    </w:p>
    <w:p w14:paraId="47BD9F21" w14:textId="567E1A76" w:rsidR="00350689" w:rsidRPr="007C493C" w:rsidRDefault="00F7473D" w:rsidP="00350689">
      <w:pPr>
        <w:pStyle w:val="Citationenretrait"/>
        <w:spacing w:line="240" w:lineRule="auto"/>
        <w:ind w:firstLine="720"/>
        <w:rPr>
          <w:lang w:val="en-CA"/>
        </w:rPr>
      </w:pPr>
      <w:r w:rsidRPr="007C493C">
        <w:rPr>
          <w:lang w:val="en-CA"/>
        </w:rPr>
        <w:t xml:space="preserve">b. </w:t>
      </w:r>
      <w:r w:rsidR="005B519F" w:rsidRPr="007C493C">
        <w:rPr>
          <w:lang w:val="en-CA"/>
        </w:rPr>
        <w:t>You are engaged in Your occupation or any gainful occupation; and</w:t>
      </w:r>
    </w:p>
    <w:p w14:paraId="3B7DCA2E" w14:textId="6C03E9B4" w:rsidR="005B519F" w:rsidRPr="007C493C" w:rsidRDefault="005B519F" w:rsidP="005B519F">
      <w:pPr>
        <w:pStyle w:val="Citationenretrait"/>
        <w:spacing w:line="240" w:lineRule="auto"/>
        <w:ind w:left="1440"/>
        <w:rPr>
          <w:lang w:val="en-CA"/>
        </w:rPr>
      </w:pPr>
      <w:r w:rsidRPr="007C493C">
        <w:rPr>
          <w:lang w:val="en-CA"/>
        </w:rPr>
        <w:t xml:space="preserve">c. Due directly to continuing Injury or Sickness, You are unable to perform either: </w:t>
      </w:r>
    </w:p>
    <w:p w14:paraId="63C20EB7" w14:textId="77777777" w:rsidR="005B519F" w:rsidRPr="007C493C" w:rsidRDefault="005B519F" w:rsidP="00244B9B">
      <w:pPr>
        <w:pStyle w:val="Citationenretrait"/>
        <w:spacing w:line="240" w:lineRule="auto"/>
        <w:ind w:left="1440" w:firstLine="720"/>
        <w:rPr>
          <w:lang w:val="en-CA"/>
        </w:rPr>
      </w:pPr>
      <w:r w:rsidRPr="007C493C">
        <w:rPr>
          <w:lang w:val="en-CA"/>
        </w:rPr>
        <w:t xml:space="preserve">i. one or more important duties of Your Occupation; or </w:t>
      </w:r>
    </w:p>
    <w:p w14:paraId="26BB71AD" w14:textId="77777777" w:rsidR="005B519F" w:rsidRPr="007C493C" w:rsidRDefault="005B519F" w:rsidP="00244B9B">
      <w:pPr>
        <w:pStyle w:val="Citationenretrait"/>
        <w:spacing w:before="0" w:after="0" w:line="240" w:lineRule="auto"/>
        <w:ind w:left="1440" w:firstLine="720"/>
        <w:rPr>
          <w:lang w:val="en-CA"/>
        </w:rPr>
      </w:pPr>
      <w:r w:rsidRPr="007C493C">
        <w:rPr>
          <w:lang w:val="en-CA"/>
        </w:rPr>
        <w:t xml:space="preserve">ii. the important duties of Your Occupation at least </w:t>
      </w:r>
    </w:p>
    <w:p w14:paraId="0004C29B" w14:textId="77777777" w:rsidR="005B519F" w:rsidRPr="007C493C" w:rsidRDefault="005B519F" w:rsidP="00244B9B">
      <w:pPr>
        <w:pStyle w:val="Citationenretrait"/>
        <w:spacing w:before="0" w:after="0" w:line="240" w:lineRule="auto"/>
        <w:ind w:left="1440" w:firstLine="720"/>
        <w:rPr>
          <w:lang w:val="en-CA"/>
        </w:rPr>
      </w:pPr>
      <w:r w:rsidRPr="007C493C">
        <w:rPr>
          <w:lang w:val="en-CA"/>
        </w:rPr>
        <w:t xml:space="preserve">one-half of the time normally required; and </w:t>
      </w:r>
    </w:p>
    <w:p w14:paraId="56E5241E" w14:textId="3AC48472" w:rsidR="00350689" w:rsidRPr="005B519F" w:rsidRDefault="00F7473D" w:rsidP="00350689">
      <w:pPr>
        <w:pStyle w:val="Citationenretrait"/>
        <w:spacing w:line="240" w:lineRule="auto"/>
        <w:ind w:left="1440"/>
        <w:rPr>
          <w:lang w:val="en-CA"/>
        </w:rPr>
      </w:pPr>
      <w:r w:rsidRPr="007C493C">
        <w:rPr>
          <w:lang w:val="en-CA"/>
        </w:rPr>
        <w:t xml:space="preserve">d. </w:t>
      </w:r>
      <w:r w:rsidR="005B519F" w:rsidRPr="005B519F">
        <w:rPr>
          <w:lang w:val="en-CA"/>
        </w:rPr>
        <w:t>You are receiving Physician's Care. We may waive this requirement from time to time if We receive written proof acceptable to Us that further Physician's Care would be of no benefit to Y</w:t>
      </w:r>
      <w:r w:rsidR="005B519F">
        <w:rPr>
          <w:lang w:val="en-CA"/>
        </w:rPr>
        <w:t>ou</w:t>
      </w:r>
      <w:r w:rsidRPr="007C493C">
        <w:rPr>
          <w:lang w:val="en-CA"/>
        </w:rPr>
        <w:t>.</w:t>
      </w:r>
    </w:p>
    <w:p w14:paraId="2FA77AD3" w14:textId="2A097995" w:rsidR="00350689" w:rsidRPr="005B519F" w:rsidRDefault="00F7473D" w:rsidP="00350689">
      <w:pPr>
        <w:pStyle w:val="Citationenretrait"/>
        <w:spacing w:line="240" w:lineRule="auto"/>
        <w:rPr>
          <w:lang w:val="en-CA"/>
        </w:rPr>
      </w:pPr>
      <w:r w:rsidRPr="005B519F">
        <w:rPr>
          <w:lang w:val="en-CA"/>
        </w:rPr>
        <w:t xml:space="preserve">1.21 </w:t>
      </w:r>
      <w:r w:rsidR="005B519F" w:rsidRPr="005B519F">
        <w:rPr>
          <w:b/>
          <w:lang w:val="en-CA"/>
        </w:rPr>
        <w:t>“Residual Disability”</w:t>
      </w:r>
      <w:r w:rsidR="005B519F" w:rsidRPr="005B519F">
        <w:rPr>
          <w:lang w:val="en-CA"/>
        </w:rPr>
        <w:t xml:space="preserve"> means that:</w:t>
      </w:r>
    </w:p>
    <w:p w14:paraId="471FC805" w14:textId="6C67D63F" w:rsidR="00350689" w:rsidRPr="007C493C" w:rsidRDefault="00F7473D" w:rsidP="00350689">
      <w:pPr>
        <w:pStyle w:val="Citationenretrait"/>
        <w:spacing w:line="240" w:lineRule="auto"/>
        <w:ind w:firstLine="720"/>
        <w:rPr>
          <w:lang w:val="en-CA"/>
        </w:rPr>
      </w:pPr>
      <w:r w:rsidRPr="007C493C">
        <w:rPr>
          <w:lang w:val="en-CA"/>
        </w:rPr>
        <w:t xml:space="preserve">a. </w:t>
      </w:r>
      <w:r w:rsidR="005B519F" w:rsidRPr="007C493C">
        <w:rPr>
          <w:lang w:val="en-CA"/>
        </w:rPr>
        <w:t>You are not Totally Disabled</w:t>
      </w:r>
      <w:r w:rsidRPr="007C493C">
        <w:rPr>
          <w:lang w:val="en-CA"/>
        </w:rPr>
        <w:t>;</w:t>
      </w:r>
    </w:p>
    <w:p w14:paraId="294939B7" w14:textId="3E6CBD32" w:rsidR="00350689" w:rsidRPr="005B519F" w:rsidRDefault="00F7473D" w:rsidP="00350689">
      <w:pPr>
        <w:pStyle w:val="Citationenretrait"/>
        <w:spacing w:line="240" w:lineRule="auto"/>
        <w:ind w:firstLine="720"/>
        <w:rPr>
          <w:lang w:val="en-CA"/>
        </w:rPr>
      </w:pPr>
      <w:r w:rsidRPr="007C493C">
        <w:rPr>
          <w:lang w:val="en-CA"/>
        </w:rPr>
        <w:t xml:space="preserve">b. </w:t>
      </w:r>
      <w:r w:rsidR="005B519F" w:rsidRPr="005B519F">
        <w:rPr>
          <w:lang w:val="en-CA"/>
        </w:rPr>
        <w:t>You are engaged in Your occupation or any gainful occupation; and</w:t>
      </w:r>
    </w:p>
    <w:p w14:paraId="7937E969" w14:textId="48D7DB37" w:rsidR="00350689" w:rsidRPr="005B519F" w:rsidRDefault="00F7473D" w:rsidP="005B519F">
      <w:pPr>
        <w:pStyle w:val="Citationenretrait"/>
        <w:spacing w:line="240" w:lineRule="auto"/>
        <w:ind w:left="1440"/>
        <w:rPr>
          <w:lang w:val="en-CA"/>
        </w:rPr>
      </w:pPr>
      <w:r w:rsidRPr="007C493C">
        <w:rPr>
          <w:lang w:val="en-CA"/>
        </w:rPr>
        <w:t>c</w:t>
      </w:r>
      <w:r w:rsidR="00355998">
        <w:rPr>
          <w:lang w:val="en-CA"/>
        </w:rPr>
        <w:t>.</w:t>
      </w:r>
      <w:r w:rsidRPr="007C493C">
        <w:rPr>
          <w:lang w:val="en-CA"/>
        </w:rPr>
        <w:t xml:space="preserve"> </w:t>
      </w:r>
      <w:r w:rsidR="005B519F" w:rsidRPr="007C493C">
        <w:rPr>
          <w:lang w:val="en-CA"/>
        </w:rPr>
        <w:t>Due directly to Injury or Sickness, You are unable to earn</w:t>
      </w:r>
      <w:r w:rsidR="0077043E">
        <w:rPr>
          <w:lang w:val="en-CA"/>
        </w:rPr>
        <w:t xml:space="preserve"> </w:t>
      </w:r>
      <w:r w:rsidR="005B519F" w:rsidRPr="007C493C">
        <w:rPr>
          <w:lang w:val="en-CA"/>
        </w:rPr>
        <w:t>more than 80% of Your Prior Earnings; and</w:t>
      </w:r>
    </w:p>
    <w:p w14:paraId="7102495E" w14:textId="7914DEF7" w:rsidR="00350689" w:rsidRPr="009F1019" w:rsidRDefault="00F7473D" w:rsidP="00350689">
      <w:pPr>
        <w:pStyle w:val="Citationenretrait"/>
        <w:spacing w:line="240" w:lineRule="auto"/>
        <w:ind w:left="1440"/>
        <w:rPr>
          <w:lang w:val="en-CA"/>
        </w:rPr>
      </w:pPr>
      <w:r w:rsidRPr="007C493C">
        <w:rPr>
          <w:lang w:val="en-CA"/>
        </w:rPr>
        <w:lastRenderedPageBreak/>
        <w:t xml:space="preserve">d. </w:t>
      </w:r>
      <w:r w:rsidR="009F1019" w:rsidRPr="009F1019">
        <w:rPr>
          <w:lang w:val="en-CA"/>
        </w:rPr>
        <w:t>You are receiving Physician's Care. We may waive this requirement from time to time if We receive written proof acceptable to Us that further Physician's Care would be of no benefit to You</w:t>
      </w:r>
      <w:r w:rsidRPr="007C493C">
        <w:rPr>
          <w:lang w:val="en-CA"/>
        </w:rPr>
        <w:t>.</w:t>
      </w:r>
    </w:p>
    <w:p w14:paraId="7FC58E76" w14:textId="48807904" w:rsidR="00350689" w:rsidRPr="009F1019" w:rsidRDefault="009F1019" w:rsidP="00350689">
      <w:pPr>
        <w:pStyle w:val="Paragraphe"/>
        <w:spacing w:line="240" w:lineRule="auto"/>
        <w:rPr>
          <w:lang w:val="en-CA"/>
        </w:rPr>
      </w:pPr>
      <w:r w:rsidRPr="009F1019">
        <w:rPr>
          <w:lang w:val="en-CA"/>
        </w:rPr>
        <w:t xml:space="preserve">This insurance policy, it should be recalled, is subject to the same rules of </w:t>
      </w:r>
      <w:r w:rsidR="0077043E">
        <w:rPr>
          <w:lang w:val="en-CA"/>
        </w:rPr>
        <w:t>interpretation</w:t>
      </w:r>
      <w:r w:rsidR="0077043E" w:rsidRPr="009F1019">
        <w:rPr>
          <w:lang w:val="en-CA"/>
        </w:rPr>
        <w:t xml:space="preserve"> </w:t>
      </w:r>
      <w:r w:rsidRPr="009F1019">
        <w:rPr>
          <w:lang w:val="en-CA"/>
        </w:rPr>
        <w:t>as any other contract and consequently must always be read i</w:t>
      </w:r>
      <w:r>
        <w:rPr>
          <w:lang w:val="en-CA"/>
        </w:rPr>
        <w:t xml:space="preserve">n light of its </w:t>
      </w:r>
      <w:r w:rsidR="0077043E">
        <w:rPr>
          <w:lang w:val="en-CA"/>
        </w:rPr>
        <w:t xml:space="preserve">language </w:t>
      </w:r>
      <w:r>
        <w:rPr>
          <w:lang w:val="en-CA"/>
        </w:rPr>
        <w:t>as a whole</w:t>
      </w:r>
      <w:r w:rsidR="00F7473D" w:rsidRPr="009F1019">
        <w:rPr>
          <w:lang w:val="en-CA"/>
        </w:rPr>
        <w:t>:</w:t>
      </w:r>
    </w:p>
    <w:p w14:paraId="58F733AF" w14:textId="7F7C8769" w:rsidR="00350689" w:rsidRPr="001D7DB5" w:rsidRDefault="00F7473D" w:rsidP="00350689">
      <w:pPr>
        <w:pStyle w:val="Citationenretrait"/>
        <w:spacing w:line="240" w:lineRule="auto"/>
        <w:rPr>
          <w:lang w:val="en-CA"/>
        </w:rPr>
      </w:pPr>
      <w:r w:rsidRPr="001D7DB5">
        <w:rPr>
          <w:lang w:val="en-CA"/>
        </w:rPr>
        <w:t xml:space="preserve">[21] </w:t>
      </w:r>
      <w:r w:rsidR="001D7DB5" w:rsidRPr="001D7DB5">
        <w:rPr>
          <w:lang w:val="en-CA"/>
        </w:rPr>
        <w:t>Principles of insurance policy interpretation have been canvassed by this Court many times and I do not intend to give a comprehensive review here (see, e.g., </w:t>
      </w:r>
      <w:r w:rsidR="001D7DB5" w:rsidRPr="001D7DB5">
        <w:rPr>
          <w:i/>
          <w:iCs/>
          <w:lang w:val="en-CA"/>
        </w:rPr>
        <w:t>Co</w:t>
      </w:r>
      <w:r w:rsidR="001D7DB5" w:rsidRPr="001D7DB5">
        <w:rPr>
          <w:i/>
          <w:iCs/>
          <w:lang w:val="en-CA"/>
        </w:rPr>
        <w:noBreakHyphen/>
        <w:t>operators Life Insurance Co. v. Gibbens</w:t>
      </w:r>
      <w:r w:rsidR="001D7DB5" w:rsidRPr="001D7DB5">
        <w:rPr>
          <w:lang w:val="en-CA"/>
        </w:rPr>
        <w:t>,</w:t>
      </w:r>
      <w:r w:rsidR="001D7DB5" w:rsidRPr="001D7DB5">
        <w:rPr>
          <w:i/>
          <w:iCs/>
          <w:lang w:val="en-CA"/>
        </w:rPr>
        <w:t> </w:t>
      </w:r>
      <w:r w:rsidR="001D7DB5" w:rsidRPr="001D7DB5">
        <w:rPr>
          <w:lang w:val="en-CA"/>
        </w:rPr>
        <w:t>2009 SCC 59, [2009] 3 S.C.R. 605, at paras. 20-28; </w:t>
      </w:r>
      <w:r w:rsidR="001D7DB5" w:rsidRPr="001D7DB5">
        <w:rPr>
          <w:i/>
          <w:iCs/>
          <w:lang w:val="en-CA"/>
        </w:rPr>
        <w:t>Jesuit Fathers</w:t>
      </w:r>
      <w:r w:rsidR="001D7DB5" w:rsidRPr="001D7DB5">
        <w:rPr>
          <w:lang w:val="en-CA"/>
        </w:rPr>
        <w:t>, at paras. 27-30; </w:t>
      </w:r>
      <w:r w:rsidR="001D7DB5" w:rsidRPr="001D7DB5">
        <w:rPr>
          <w:i/>
          <w:iCs/>
          <w:lang w:val="en-CA"/>
        </w:rPr>
        <w:t>Scalera</w:t>
      </w:r>
      <w:r w:rsidR="001D7DB5" w:rsidRPr="001D7DB5">
        <w:rPr>
          <w:lang w:val="en-CA"/>
        </w:rPr>
        <w:t>, at paras. 67-71; </w:t>
      </w:r>
      <w:r w:rsidR="001D7DB5" w:rsidRPr="001D7DB5">
        <w:rPr>
          <w:i/>
          <w:iCs/>
          <w:lang w:val="en-CA"/>
        </w:rPr>
        <w:t>Brissette Estate v. Westbury Life Insurance Co.</w:t>
      </w:r>
      <w:r w:rsidR="001D7DB5">
        <w:rPr>
          <w:lang w:val="en-CA"/>
        </w:rPr>
        <w:t>,</w:t>
      </w:r>
      <w:r w:rsidR="001D7DB5" w:rsidRPr="001D7DB5">
        <w:rPr>
          <w:lang w:val="en-CA"/>
        </w:rPr>
        <w:t xml:space="preserve"> [1992] 3 S.C.R. 87, at pp. 92-93; </w:t>
      </w:r>
      <w:r w:rsidR="001D7DB5" w:rsidRPr="001D7DB5">
        <w:rPr>
          <w:i/>
          <w:iCs/>
          <w:lang w:val="en-CA"/>
        </w:rPr>
        <w:t>Consolidated</w:t>
      </w:r>
      <w:r w:rsidR="001D7DB5" w:rsidRPr="001D7DB5">
        <w:rPr>
          <w:i/>
          <w:iCs/>
          <w:lang w:val="en-CA"/>
        </w:rPr>
        <w:noBreakHyphen/>
        <w:t>Bathurst Export Ltd. v. Mutual Boiler and Machinery Insurance Co.</w:t>
      </w:r>
      <w:r w:rsidR="001D7DB5" w:rsidRPr="001D7DB5">
        <w:rPr>
          <w:lang w:val="en-CA"/>
        </w:rPr>
        <w:t>, [1980] 1 S.C.R. 888, at pp. 899-902).  However, a brief review of the relevant principles may be a useful introduction to the interpretation of the CGL policies that follow.</w:t>
      </w:r>
    </w:p>
    <w:p w14:paraId="1E86B34B" w14:textId="22CF5793" w:rsidR="00350689" w:rsidRPr="001D7DB5" w:rsidRDefault="00F7473D" w:rsidP="00350689">
      <w:pPr>
        <w:pStyle w:val="Citationenretrait"/>
        <w:spacing w:line="240" w:lineRule="auto"/>
        <w:rPr>
          <w:lang w:val="en-CA"/>
        </w:rPr>
      </w:pPr>
      <w:r w:rsidRPr="001D7DB5">
        <w:rPr>
          <w:lang w:val="en-CA"/>
        </w:rPr>
        <w:t xml:space="preserve">[22] </w:t>
      </w:r>
      <w:r w:rsidR="001D7DB5" w:rsidRPr="001D7DB5">
        <w:rPr>
          <w:lang w:val="en-CA"/>
        </w:rPr>
        <w:t xml:space="preserve">The primary interpretive principle is that when the language of the policy is </w:t>
      </w:r>
      <w:r w:rsidR="001D7DB5" w:rsidRPr="00E26582">
        <w:rPr>
          <w:b/>
          <w:lang w:val="en-CA"/>
        </w:rPr>
        <w:t>unambiguous</w:t>
      </w:r>
      <w:r w:rsidR="001D7DB5" w:rsidRPr="001D7DB5">
        <w:rPr>
          <w:lang w:val="en-CA"/>
        </w:rPr>
        <w:t xml:space="preserve">, the court should give effect to clear language, </w:t>
      </w:r>
      <w:r w:rsidR="001D7DB5" w:rsidRPr="00E26582">
        <w:rPr>
          <w:b/>
          <w:lang w:val="en-CA"/>
        </w:rPr>
        <w:t>reading the contract as a whole</w:t>
      </w:r>
      <w:r w:rsidR="001D7DB5" w:rsidRPr="001D7DB5">
        <w:rPr>
          <w:lang w:val="en-CA"/>
        </w:rPr>
        <w:t xml:space="preserve"> (</w:t>
      </w:r>
      <w:r w:rsidR="001D7DB5" w:rsidRPr="001D7DB5">
        <w:rPr>
          <w:i/>
          <w:iCs/>
          <w:lang w:val="en-CA"/>
        </w:rPr>
        <w:t>Scalera</w:t>
      </w:r>
      <w:r w:rsidR="001D7DB5" w:rsidRPr="001D7DB5">
        <w:rPr>
          <w:lang w:val="en-CA"/>
        </w:rPr>
        <w:t>, at para. 71)</w:t>
      </w:r>
      <w:r w:rsidRPr="001D7DB5">
        <w:rPr>
          <w:lang w:val="en-CA"/>
        </w:rPr>
        <w:t>.</w:t>
      </w:r>
      <w:r w:rsidRPr="001D7DB5">
        <w:rPr>
          <w:rStyle w:val="Appelnotedebasdep"/>
        </w:rPr>
        <w:footnoteReference w:id="4"/>
      </w:r>
    </w:p>
    <w:p w14:paraId="3098FB3F" w14:textId="745A8B97" w:rsidR="00350689" w:rsidRPr="007C493C" w:rsidRDefault="00F7473D" w:rsidP="00350689">
      <w:pPr>
        <w:pStyle w:val="Citationenretrait"/>
        <w:spacing w:line="240" w:lineRule="auto"/>
        <w:jc w:val="right"/>
      </w:pPr>
      <w:r w:rsidRPr="007C493C">
        <w:t>[Emphas</w:t>
      </w:r>
      <w:r w:rsidR="001D7DB5" w:rsidRPr="007C493C">
        <w:t>is added</w:t>
      </w:r>
      <w:r w:rsidRPr="007C493C">
        <w:t>]</w:t>
      </w:r>
    </w:p>
    <w:p w14:paraId="77EB5FCC" w14:textId="39FDA0AE" w:rsidR="00350689" w:rsidRPr="0026441E" w:rsidRDefault="0026441E" w:rsidP="00350689">
      <w:pPr>
        <w:pStyle w:val="Paragraphe"/>
        <w:spacing w:before="140" w:after="140" w:line="240" w:lineRule="auto"/>
        <w:rPr>
          <w:lang w:val="en-CA"/>
        </w:rPr>
      </w:pPr>
      <w:r w:rsidRPr="0026441E">
        <w:rPr>
          <w:lang w:val="en-CA"/>
        </w:rPr>
        <w:t xml:space="preserve">It is also well established that the words must be given their </w:t>
      </w:r>
      <w:r w:rsidR="00E26582">
        <w:rPr>
          <w:lang w:val="en-CA"/>
        </w:rPr>
        <w:t>ordinary</w:t>
      </w:r>
      <w:r w:rsidRPr="0026441E">
        <w:rPr>
          <w:lang w:val="en-CA"/>
        </w:rPr>
        <w:t xml:space="preserve"> meaning</w:t>
      </w:r>
      <w:r w:rsidR="00E26582">
        <w:rPr>
          <w:lang w:val="en-CA"/>
        </w:rPr>
        <w:t>.</w:t>
      </w:r>
      <w:r w:rsidR="00F7473D">
        <w:rPr>
          <w:rStyle w:val="Appelnotedebasdep"/>
        </w:rPr>
        <w:footnoteReference w:id="5"/>
      </w:r>
    </w:p>
    <w:p w14:paraId="2E3B46C4" w14:textId="075C27B7" w:rsidR="00733DAB" w:rsidRPr="00733DAB" w:rsidRDefault="00733DAB" w:rsidP="00350689">
      <w:pPr>
        <w:pStyle w:val="Paragraphe"/>
        <w:spacing w:before="140" w:after="140" w:line="240" w:lineRule="auto"/>
        <w:rPr>
          <w:lang w:val="en-CA"/>
        </w:rPr>
      </w:pPr>
      <w:r w:rsidRPr="007C493C">
        <w:rPr>
          <w:lang w:val="en-CA"/>
        </w:rPr>
        <w:t>I</w:t>
      </w:r>
      <w:r w:rsidR="00F7473D" w:rsidRPr="007C493C">
        <w:rPr>
          <w:lang w:val="en-CA"/>
        </w:rPr>
        <w:t xml:space="preserve">n </w:t>
      </w:r>
      <w:r w:rsidRPr="007C493C">
        <w:rPr>
          <w:lang w:val="en-CA"/>
        </w:rPr>
        <w:t xml:space="preserve">this </w:t>
      </w:r>
      <w:r w:rsidR="00F7473D" w:rsidRPr="007C493C">
        <w:rPr>
          <w:lang w:val="en-CA"/>
        </w:rPr>
        <w:t>case</w:t>
      </w:r>
      <w:r w:rsidRPr="007C493C">
        <w:rPr>
          <w:lang w:val="en-CA"/>
        </w:rPr>
        <w:t xml:space="preserve">, the judge noted that the definition of total disability requires that the appellant be unable to perform the important duties of his </w:t>
      </w:r>
      <w:r w:rsidR="00E26582" w:rsidRPr="007C493C">
        <w:rPr>
          <w:lang w:val="en-CA"/>
        </w:rPr>
        <w:t>occupation</w:t>
      </w:r>
      <w:r w:rsidRPr="007C493C">
        <w:rPr>
          <w:lang w:val="en-CA"/>
        </w:rPr>
        <w:t xml:space="preserve">, but that it does not prevent him from earning income through another </w:t>
      </w:r>
      <w:r w:rsidR="00244B9B">
        <w:rPr>
          <w:lang w:val="en-CA"/>
        </w:rPr>
        <w:t>occupation</w:t>
      </w:r>
      <w:r w:rsidRPr="007C493C">
        <w:rPr>
          <w:lang w:val="en-CA"/>
        </w:rPr>
        <w:t>. He added that the inability to perform the important duties of his occupation does not mean that he is unable to perform one or several important duties of the occupation; in his view, that</w:t>
      </w:r>
      <w:r w:rsidR="00893FEB">
        <w:rPr>
          <w:lang w:val="en-CA"/>
        </w:rPr>
        <w:t xml:space="preserve"> would correspond</w:t>
      </w:r>
      <w:r w:rsidRPr="007C493C">
        <w:rPr>
          <w:lang w:val="en-CA"/>
        </w:rPr>
        <w:t xml:space="preserve"> to the definition of partial or residual disability. </w:t>
      </w:r>
    </w:p>
    <w:p w14:paraId="7C12B37A" w14:textId="002AFCC4" w:rsidR="00AE3877" w:rsidRPr="00AE3877" w:rsidRDefault="00AE3877" w:rsidP="00350689">
      <w:pPr>
        <w:pStyle w:val="Paragraphe"/>
        <w:spacing w:before="140" w:after="140" w:line="240" w:lineRule="auto"/>
        <w:rPr>
          <w:lang w:val="en-CA"/>
        </w:rPr>
      </w:pPr>
      <w:r w:rsidRPr="00AE3877">
        <w:rPr>
          <w:lang w:val="en-CA"/>
        </w:rPr>
        <w:t xml:space="preserve">The appellant, however, argues that he can no longer perform the important duties of the occupation he </w:t>
      </w:r>
      <w:r w:rsidR="0077043E">
        <w:rPr>
          <w:lang w:val="en-CA"/>
        </w:rPr>
        <w:t>performed</w:t>
      </w:r>
      <w:r w:rsidR="0077043E" w:rsidRPr="00AE3877">
        <w:rPr>
          <w:lang w:val="en-CA"/>
        </w:rPr>
        <w:t xml:space="preserve"> </w:t>
      </w:r>
      <w:r w:rsidRPr="00AE3877">
        <w:rPr>
          <w:lang w:val="en-CA"/>
        </w:rPr>
        <w:t xml:space="preserve">in the </w:t>
      </w:r>
      <w:r>
        <w:rPr>
          <w:lang w:val="en-CA"/>
        </w:rPr>
        <w:t xml:space="preserve">Far North and that the judge should </w:t>
      </w:r>
      <w:r w:rsidR="00CF0B87">
        <w:rPr>
          <w:lang w:val="en-CA"/>
        </w:rPr>
        <w:t>have based his analysis on</w:t>
      </w:r>
      <w:r>
        <w:rPr>
          <w:lang w:val="en-CA"/>
        </w:rPr>
        <w:t xml:space="preserve"> </w:t>
      </w:r>
      <w:r w:rsidR="0077043E">
        <w:rPr>
          <w:lang w:val="en-CA"/>
        </w:rPr>
        <w:t xml:space="preserve">this fact </w:t>
      </w:r>
      <w:r>
        <w:rPr>
          <w:lang w:val="en-CA"/>
        </w:rPr>
        <w:t>because</w:t>
      </w:r>
      <w:r w:rsidR="00CF0B87">
        <w:rPr>
          <w:lang w:val="en-CA"/>
        </w:rPr>
        <w:t>,</w:t>
      </w:r>
      <w:r>
        <w:rPr>
          <w:lang w:val="en-CA"/>
        </w:rPr>
        <w:t xml:space="preserve"> at the time he became disabled, his practice in the Far North was the source of most of his income.</w:t>
      </w:r>
    </w:p>
    <w:p w14:paraId="690EB1A9" w14:textId="6A44CBD5" w:rsidR="00AE3877" w:rsidRPr="00AE3877" w:rsidRDefault="00CF0B87" w:rsidP="00350689">
      <w:pPr>
        <w:pStyle w:val="Paragraphe"/>
        <w:spacing w:before="140" w:after="140" w:line="240" w:lineRule="auto"/>
        <w:rPr>
          <w:lang w:val="en-CA"/>
        </w:rPr>
      </w:pPr>
      <w:r>
        <w:rPr>
          <w:lang w:val="en-CA"/>
        </w:rPr>
        <w:lastRenderedPageBreak/>
        <w:t xml:space="preserve">Clearly, the </w:t>
      </w:r>
      <w:r w:rsidR="00AE3877" w:rsidRPr="00AE3877">
        <w:rPr>
          <w:lang w:val="en-CA"/>
        </w:rPr>
        <w:t>trial judge understood his submis</w:t>
      </w:r>
      <w:r w:rsidR="00AE3877">
        <w:rPr>
          <w:lang w:val="en-CA"/>
        </w:rPr>
        <w:t xml:space="preserve">sion but did not accept it. According to </w:t>
      </w:r>
      <w:r w:rsidR="0077043E">
        <w:rPr>
          <w:lang w:val="en-CA"/>
        </w:rPr>
        <w:t>the judge</w:t>
      </w:r>
      <w:r w:rsidR="00AE3877">
        <w:rPr>
          <w:lang w:val="en-CA"/>
        </w:rPr>
        <w:t xml:space="preserve">, the fact that the work </w:t>
      </w:r>
      <w:r w:rsidR="0077043E">
        <w:rPr>
          <w:lang w:val="en-CA"/>
        </w:rPr>
        <w:t xml:space="preserve">performed by </w:t>
      </w:r>
      <w:r>
        <w:rPr>
          <w:lang w:val="en-CA"/>
        </w:rPr>
        <w:t xml:space="preserve">the </w:t>
      </w:r>
      <w:r w:rsidR="00AE3877">
        <w:rPr>
          <w:lang w:val="en-CA"/>
        </w:rPr>
        <w:t xml:space="preserve">appellant in the Far North is different from what he did in Granby does not mean that </w:t>
      </w:r>
      <w:r>
        <w:rPr>
          <w:lang w:val="en-CA"/>
        </w:rPr>
        <w:t>he</w:t>
      </w:r>
      <w:r w:rsidR="00AE3877">
        <w:rPr>
          <w:lang w:val="en-CA"/>
        </w:rPr>
        <w:t xml:space="preserve"> has two occupations within the meaning of the policy. In his view, the appellant performs his occupation in two different locations</w:t>
      </w:r>
      <w:r w:rsidR="005549C9">
        <w:rPr>
          <w:lang w:val="en-CA"/>
        </w:rPr>
        <w:t xml:space="preserve"> </w:t>
      </w:r>
      <w:r w:rsidR="00C45B9E">
        <w:rPr>
          <w:lang w:val="en-CA"/>
        </w:rPr>
        <w:t>w</w:t>
      </w:r>
      <w:r w:rsidR="005549C9">
        <w:rPr>
          <w:lang w:val="en-CA"/>
        </w:rPr>
        <w:t>hich</w:t>
      </w:r>
      <w:r w:rsidR="00C45B9E">
        <w:rPr>
          <w:lang w:val="en-CA"/>
        </w:rPr>
        <w:t xml:space="preserve"> admittedly </w:t>
      </w:r>
      <w:r w:rsidR="005549C9">
        <w:rPr>
          <w:lang w:val="en-CA"/>
        </w:rPr>
        <w:t xml:space="preserve">make different demands on him, but that does not change their nature. He also </w:t>
      </w:r>
      <w:r w:rsidR="00C45B9E">
        <w:rPr>
          <w:lang w:val="en-CA"/>
        </w:rPr>
        <w:t>concluded from</w:t>
      </w:r>
      <w:r w:rsidR="005549C9">
        <w:rPr>
          <w:lang w:val="en-CA"/>
        </w:rPr>
        <w:t xml:space="preserve"> the evidence that the appellant himself stated on a few occasions that he practi</w:t>
      </w:r>
      <w:r w:rsidR="0077043E">
        <w:rPr>
          <w:lang w:val="en-CA"/>
        </w:rPr>
        <w:t>s</w:t>
      </w:r>
      <w:r w:rsidR="005549C9">
        <w:rPr>
          <w:lang w:val="en-CA"/>
        </w:rPr>
        <w:t>ed [</w:t>
      </w:r>
      <w:r w:rsidR="005549C9" w:rsidRPr="00CF0B87">
        <w:rPr>
          <w:smallCaps/>
          <w:lang w:val="en-CA"/>
        </w:rPr>
        <w:t>translation</w:t>
      </w:r>
      <w:r w:rsidR="005549C9">
        <w:rPr>
          <w:lang w:val="en-CA"/>
        </w:rPr>
        <w:t>] “general medicine primarily in sports medicine”.</w:t>
      </w:r>
    </w:p>
    <w:p w14:paraId="7A59F5E1" w14:textId="330F98FB" w:rsidR="005549C9" w:rsidRPr="005549C9" w:rsidRDefault="005549C9" w:rsidP="00350689">
      <w:pPr>
        <w:pStyle w:val="Paragraphe"/>
        <w:spacing w:before="140" w:after="140" w:line="240" w:lineRule="auto"/>
        <w:rPr>
          <w:lang w:val="en-CA"/>
        </w:rPr>
      </w:pPr>
      <w:r w:rsidRPr="005549C9">
        <w:rPr>
          <w:lang w:val="en-CA"/>
        </w:rPr>
        <w:t xml:space="preserve">In my view, there is no reason </w:t>
      </w:r>
      <w:r w:rsidR="00C45B9E">
        <w:rPr>
          <w:lang w:val="en-CA"/>
        </w:rPr>
        <w:t>for</w:t>
      </w:r>
      <w:r w:rsidRPr="005549C9">
        <w:rPr>
          <w:lang w:val="en-CA"/>
        </w:rPr>
        <w:t xml:space="preserve"> the </w:t>
      </w:r>
      <w:r>
        <w:rPr>
          <w:lang w:val="en-CA"/>
        </w:rPr>
        <w:t>Court to intervene in this respect. The judge’s conclusion is free of error.</w:t>
      </w:r>
    </w:p>
    <w:p w14:paraId="72B8C477" w14:textId="7CA18519" w:rsidR="005549C9" w:rsidRPr="005549C9" w:rsidRDefault="005549C9" w:rsidP="00350689">
      <w:pPr>
        <w:pStyle w:val="Paragraphe"/>
        <w:spacing w:before="140" w:after="140" w:line="240" w:lineRule="auto"/>
        <w:rPr>
          <w:lang w:val="en-CA"/>
        </w:rPr>
      </w:pPr>
      <w:r w:rsidRPr="005549C9">
        <w:rPr>
          <w:lang w:val="en-CA"/>
        </w:rPr>
        <w:t>That</w:t>
      </w:r>
      <w:r>
        <w:rPr>
          <w:lang w:val="en-CA"/>
        </w:rPr>
        <w:t xml:space="preserve"> being said, </w:t>
      </w:r>
      <w:r w:rsidR="0077043E">
        <w:rPr>
          <w:lang w:val="en-CA"/>
        </w:rPr>
        <w:t xml:space="preserve">did the judge correctly </w:t>
      </w:r>
      <w:r>
        <w:rPr>
          <w:lang w:val="en-CA"/>
        </w:rPr>
        <w:t xml:space="preserve">conclude that the appellant is </w:t>
      </w:r>
      <w:r w:rsidR="00244B9B">
        <w:rPr>
          <w:lang w:val="en-CA"/>
        </w:rPr>
        <w:t xml:space="preserve">able </w:t>
      </w:r>
      <w:r>
        <w:rPr>
          <w:lang w:val="en-CA"/>
        </w:rPr>
        <w:t>to perform the important duties of his occupation? In my opinion, yes.</w:t>
      </w:r>
    </w:p>
    <w:p w14:paraId="462650F0" w14:textId="3F8E6525" w:rsidR="00350689" w:rsidRPr="00350689" w:rsidRDefault="00350689" w:rsidP="00350689">
      <w:pPr>
        <w:pStyle w:val="Paragraphe"/>
        <w:spacing w:before="140" w:after="140" w:line="240" w:lineRule="auto"/>
        <w:rPr>
          <w:lang w:val="en-CA"/>
        </w:rPr>
      </w:pPr>
      <w:r w:rsidRPr="00350689">
        <w:rPr>
          <w:lang w:val="en-CA"/>
        </w:rPr>
        <w:t xml:space="preserve">As I wrote in the judgment rendered in file </w:t>
      </w:r>
      <w:r w:rsidR="00F7473D" w:rsidRPr="00350689">
        <w:rPr>
          <w:lang w:val="en-CA"/>
        </w:rPr>
        <w:t xml:space="preserve">500-09-029299-211, </w:t>
      </w:r>
      <w:r>
        <w:rPr>
          <w:lang w:val="en-CA"/>
        </w:rPr>
        <w:t>it is my view that a simple reading of the relevant definitions of the insurance policy</w:t>
      </w:r>
      <w:r w:rsidR="004D0599">
        <w:rPr>
          <w:lang w:val="en-CA"/>
        </w:rPr>
        <w:t>, giving the words their ordinary meaning,</w:t>
      </w:r>
      <w:r>
        <w:rPr>
          <w:lang w:val="en-CA"/>
        </w:rPr>
        <w:t xml:space="preserve"> supports the conclusion that</w:t>
      </w:r>
      <w:r w:rsidR="004D0599">
        <w:rPr>
          <w:lang w:val="en-CA"/>
        </w:rPr>
        <w:t xml:space="preserve"> the insured must be unable to perform all </w:t>
      </w:r>
      <w:r w:rsidR="0077043E">
        <w:rPr>
          <w:lang w:val="en-CA"/>
        </w:rPr>
        <w:t xml:space="preserve">of </w:t>
      </w:r>
      <w:r w:rsidR="004D0599">
        <w:rPr>
          <w:lang w:val="en-CA"/>
        </w:rPr>
        <w:t xml:space="preserve">the important duties of his occupation to be declared totally disabled, since it is </w:t>
      </w:r>
      <w:r w:rsidR="004D0599" w:rsidRPr="004D0599">
        <w:rPr>
          <w:b/>
          <w:lang w:val="en-CA"/>
        </w:rPr>
        <w:t>the</w:t>
      </w:r>
      <w:r w:rsidR="004D0599">
        <w:rPr>
          <w:lang w:val="en-CA"/>
        </w:rPr>
        <w:t xml:space="preserve"> duties of his </w:t>
      </w:r>
      <w:r w:rsidR="00C45B9E">
        <w:rPr>
          <w:lang w:val="en-CA"/>
        </w:rPr>
        <w:t>occupation</w:t>
      </w:r>
      <w:r w:rsidR="004D0599">
        <w:rPr>
          <w:lang w:val="en-CA"/>
        </w:rPr>
        <w:t xml:space="preserve"> – not </w:t>
      </w:r>
      <w:r w:rsidR="004D0599" w:rsidRPr="004D0599">
        <w:rPr>
          <w:b/>
          <w:lang w:val="en-CA"/>
        </w:rPr>
        <w:t>several</w:t>
      </w:r>
      <w:r w:rsidR="004D0599">
        <w:rPr>
          <w:lang w:val="en-CA"/>
        </w:rPr>
        <w:t xml:space="preserve">, </w:t>
      </w:r>
      <w:r w:rsidR="004D0599" w:rsidRPr="004D0599">
        <w:rPr>
          <w:b/>
          <w:lang w:val="en-CA"/>
        </w:rPr>
        <w:t>certain</w:t>
      </w:r>
      <w:r w:rsidR="004D0599">
        <w:rPr>
          <w:lang w:val="en-CA"/>
        </w:rPr>
        <w:t xml:space="preserve">, </w:t>
      </w:r>
      <w:r w:rsidR="004D0599" w:rsidRPr="004D0599">
        <w:rPr>
          <w:b/>
          <w:lang w:val="en-CA"/>
        </w:rPr>
        <w:t>most</w:t>
      </w:r>
      <w:r w:rsidR="004D0599">
        <w:rPr>
          <w:lang w:val="en-CA"/>
        </w:rPr>
        <w:t xml:space="preserve"> or even </w:t>
      </w:r>
      <w:r w:rsidR="004D0599" w:rsidRPr="004D0599">
        <w:rPr>
          <w:b/>
          <w:lang w:val="en-CA"/>
        </w:rPr>
        <w:t>some</w:t>
      </w:r>
      <w:r w:rsidR="004D0599">
        <w:rPr>
          <w:lang w:val="en-CA"/>
        </w:rPr>
        <w:t xml:space="preserve"> of them – that he must be unable to perform. I find that, by using the expression </w:t>
      </w:r>
      <w:r w:rsidR="00C45B9E">
        <w:rPr>
          <w:lang w:val="en-CA"/>
        </w:rPr>
        <w:t>“</w:t>
      </w:r>
      <w:r w:rsidR="004D0599" w:rsidRPr="00C45B9E">
        <w:rPr>
          <w:b/>
          <w:lang w:val="en-CA"/>
        </w:rPr>
        <w:t>the</w:t>
      </w:r>
      <w:r w:rsidR="004D0599">
        <w:rPr>
          <w:lang w:val="en-CA"/>
        </w:rPr>
        <w:t xml:space="preserve"> duties</w:t>
      </w:r>
      <w:r w:rsidR="00C45B9E">
        <w:rPr>
          <w:lang w:val="en-CA"/>
        </w:rPr>
        <w:t>”</w:t>
      </w:r>
      <w:r w:rsidR="004D0599">
        <w:rPr>
          <w:lang w:val="en-CA"/>
        </w:rPr>
        <w:t xml:space="preserve">, the insurance policy clearly expresses the idea that the insured must be unable to perform all </w:t>
      </w:r>
      <w:r w:rsidR="0077043E">
        <w:rPr>
          <w:lang w:val="en-CA"/>
        </w:rPr>
        <w:t xml:space="preserve">of </w:t>
      </w:r>
      <w:r w:rsidR="004D0599">
        <w:rPr>
          <w:lang w:val="en-CA"/>
        </w:rPr>
        <w:t>the important duties of his occupation, not</w:t>
      </w:r>
      <w:r w:rsidR="003A6D47">
        <w:rPr>
          <w:lang w:val="en-CA"/>
        </w:rPr>
        <w:t xml:space="preserve"> only</w:t>
      </w:r>
      <w:r w:rsidR="004D0599">
        <w:rPr>
          <w:lang w:val="en-CA"/>
        </w:rPr>
        <w:t xml:space="preserve"> some of them.</w:t>
      </w:r>
    </w:p>
    <w:p w14:paraId="7D7E70D6" w14:textId="38603C57" w:rsidR="00A675FB" w:rsidRPr="00A675FB" w:rsidRDefault="00A675FB" w:rsidP="00350689">
      <w:pPr>
        <w:pStyle w:val="Paragraphe"/>
        <w:spacing w:before="140" w:after="140" w:line="240" w:lineRule="auto"/>
        <w:rPr>
          <w:lang w:val="en-CA"/>
        </w:rPr>
      </w:pPr>
      <w:r w:rsidRPr="00A675FB">
        <w:rPr>
          <w:lang w:val="en-CA"/>
        </w:rPr>
        <w:t xml:space="preserve">The inability to perform all of the important duties of an occupation is, in my view, incompatible with </w:t>
      </w:r>
      <w:r w:rsidR="00C635E9">
        <w:rPr>
          <w:lang w:val="en-CA"/>
        </w:rPr>
        <w:t>practi</w:t>
      </w:r>
      <w:r w:rsidR="0077043E">
        <w:rPr>
          <w:lang w:val="en-CA"/>
        </w:rPr>
        <w:t>s</w:t>
      </w:r>
      <w:r w:rsidR="00C635E9">
        <w:rPr>
          <w:lang w:val="en-CA"/>
        </w:rPr>
        <w:t>ing it</w:t>
      </w:r>
      <w:r w:rsidR="00437FCD">
        <w:rPr>
          <w:lang w:val="en-CA"/>
        </w:rPr>
        <w:t>.</w:t>
      </w:r>
    </w:p>
    <w:p w14:paraId="56C06CF7" w14:textId="2816D91A" w:rsidR="00437FCD" w:rsidRPr="00437FCD" w:rsidRDefault="00437FCD" w:rsidP="00350689">
      <w:pPr>
        <w:pStyle w:val="Paragraphe"/>
        <w:spacing w:before="140" w:after="140" w:line="240" w:lineRule="auto"/>
        <w:rPr>
          <w:lang w:val="en-CA"/>
        </w:rPr>
      </w:pPr>
      <w:r w:rsidRPr="00437FCD">
        <w:rPr>
          <w:lang w:val="en-CA"/>
        </w:rPr>
        <w:t xml:space="preserve">It is true that </w:t>
      </w:r>
      <w:r>
        <w:rPr>
          <w:lang w:val="en-CA"/>
        </w:rPr>
        <w:t>the</w:t>
      </w:r>
      <w:r w:rsidRPr="00437FCD">
        <w:rPr>
          <w:lang w:val="en-CA"/>
        </w:rPr>
        <w:t xml:space="preserve"> appellant </w:t>
      </w:r>
      <w:r>
        <w:rPr>
          <w:lang w:val="en-CA"/>
        </w:rPr>
        <w:t xml:space="preserve">can no longer perform the occupation of family </w:t>
      </w:r>
      <w:r w:rsidR="000758AC">
        <w:rPr>
          <w:lang w:val="en-CA"/>
        </w:rPr>
        <w:t xml:space="preserve">physician </w:t>
      </w:r>
      <w:r>
        <w:rPr>
          <w:lang w:val="en-CA"/>
        </w:rPr>
        <w:t xml:space="preserve">in the Far North, given his limitations and the demands of that environment, but he is still able to perform it elsewhere, in particular in Granby, which he in fact does at his sports medicine clinic. </w:t>
      </w:r>
      <w:r w:rsidR="00C635E9">
        <w:rPr>
          <w:lang w:val="en-CA"/>
        </w:rPr>
        <w:t>In</w:t>
      </w:r>
      <w:r>
        <w:rPr>
          <w:lang w:val="en-CA"/>
        </w:rPr>
        <w:t xml:space="preserve"> </w:t>
      </w:r>
      <w:r w:rsidR="0077043E">
        <w:rPr>
          <w:lang w:val="en-CA"/>
        </w:rPr>
        <w:t>these circumstances</w:t>
      </w:r>
      <w:r>
        <w:rPr>
          <w:lang w:val="en-CA"/>
        </w:rPr>
        <w:t xml:space="preserve">, it cannot be said that he can no longer perform the important duties of </w:t>
      </w:r>
      <w:r w:rsidR="0077043E">
        <w:rPr>
          <w:lang w:val="en-CA"/>
        </w:rPr>
        <w:t>the</w:t>
      </w:r>
      <w:r>
        <w:rPr>
          <w:lang w:val="en-CA"/>
        </w:rPr>
        <w:t xml:space="preserve"> occupation of family </w:t>
      </w:r>
      <w:r w:rsidR="000758AC">
        <w:rPr>
          <w:lang w:val="en-CA"/>
        </w:rPr>
        <w:t>physician</w:t>
      </w:r>
      <w:r>
        <w:rPr>
          <w:lang w:val="en-CA"/>
        </w:rPr>
        <w:t xml:space="preserve">, and the trial judge did not err in </w:t>
      </w:r>
      <w:r w:rsidR="00507793">
        <w:rPr>
          <w:lang w:val="en-CA"/>
        </w:rPr>
        <w:t>making this finding</w:t>
      </w:r>
      <w:r>
        <w:rPr>
          <w:lang w:val="en-CA"/>
        </w:rPr>
        <w:t>.</w:t>
      </w:r>
    </w:p>
    <w:p w14:paraId="6921539C" w14:textId="29ED2355" w:rsidR="00437FCD" w:rsidRPr="00437FCD" w:rsidRDefault="00437FCD" w:rsidP="00350689">
      <w:pPr>
        <w:pStyle w:val="Paragraphe"/>
        <w:spacing w:before="140" w:after="140" w:line="240" w:lineRule="auto"/>
        <w:rPr>
          <w:lang w:val="en-CA"/>
        </w:rPr>
      </w:pPr>
      <w:r w:rsidRPr="00437FCD">
        <w:rPr>
          <w:lang w:val="en-CA"/>
        </w:rPr>
        <w:t>Like the trial judge, I</w:t>
      </w:r>
      <w:r>
        <w:rPr>
          <w:lang w:val="en-CA"/>
        </w:rPr>
        <w:t xml:space="preserve"> find that, </w:t>
      </w:r>
      <w:r w:rsidRPr="00437FCD">
        <w:rPr>
          <w:lang w:val="en-CA"/>
        </w:rPr>
        <w:t>if his inability to perform this occupation in the F</w:t>
      </w:r>
      <w:r>
        <w:rPr>
          <w:lang w:val="en-CA"/>
        </w:rPr>
        <w:t xml:space="preserve">ar North has caused him to lose income, </w:t>
      </w:r>
      <w:r w:rsidR="0077043E">
        <w:rPr>
          <w:lang w:val="en-CA"/>
        </w:rPr>
        <w:t xml:space="preserve">he is entitled to </w:t>
      </w:r>
      <w:r w:rsidR="007C0EA6">
        <w:rPr>
          <w:lang w:val="en-CA"/>
        </w:rPr>
        <w:t>disability benefits for partial or residual disability, as the case may be.</w:t>
      </w:r>
    </w:p>
    <w:p w14:paraId="5519CA47" w14:textId="472D789A" w:rsidR="00350689" w:rsidRPr="00EF1144" w:rsidRDefault="007C0EA6" w:rsidP="00EF1144">
      <w:pPr>
        <w:pStyle w:val="Paragraphe"/>
        <w:spacing w:before="140" w:after="140" w:line="240" w:lineRule="auto"/>
        <w:rPr>
          <w:lang w:val="en-CA"/>
        </w:rPr>
      </w:pPr>
      <w:r w:rsidRPr="007C0EA6">
        <w:rPr>
          <w:lang w:val="en-CA"/>
        </w:rPr>
        <w:t>The appel</w:t>
      </w:r>
      <w:r>
        <w:rPr>
          <w:lang w:val="en-CA"/>
        </w:rPr>
        <w:t>lant invokes case law that he believes supports his interpretation of the notion of total disability. With respect, in my view the judgments they identify do not ha</w:t>
      </w:r>
      <w:r w:rsidR="00EF1144">
        <w:rPr>
          <w:lang w:val="en-CA"/>
        </w:rPr>
        <w:t>v</w:t>
      </w:r>
      <w:r>
        <w:rPr>
          <w:lang w:val="en-CA"/>
        </w:rPr>
        <w:t xml:space="preserve">e the </w:t>
      </w:r>
      <w:r w:rsidR="00EF1144">
        <w:rPr>
          <w:lang w:val="en-CA"/>
        </w:rPr>
        <w:t>significance</w:t>
      </w:r>
      <w:r>
        <w:rPr>
          <w:lang w:val="en-CA"/>
        </w:rPr>
        <w:t xml:space="preserve"> he ascribes to them.</w:t>
      </w:r>
      <w:r w:rsidR="00EF1144">
        <w:rPr>
          <w:lang w:val="en-CA"/>
        </w:rPr>
        <w:t xml:space="preserve"> I explain why in detail in the judgment rendered in file </w:t>
      </w:r>
      <w:r w:rsidR="00F7473D" w:rsidRPr="00EF1144">
        <w:rPr>
          <w:lang w:val="en-CA"/>
        </w:rPr>
        <w:t>500-09-029299-211.</w:t>
      </w:r>
    </w:p>
    <w:p w14:paraId="437FACAC" w14:textId="35DA672C" w:rsidR="00EF1144" w:rsidRPr="00EF1144" w:rsidRDefault="00EF1144" w:rsidP="00350689">
      <w:pPr>
        <w:pStyle w:val="Paragraphe"/>
        <w:spacing w:before="140" w:after="140" w:line="240" w:lineRule="auto"/>
        <w:rPr>
          <w:lang w:val="en-CA"/>
        </w:rPr>
      </w:pPr>
      <w:r w:rsidRPr="00EF1144">
        <w:rPr>
          <w:lang w:val="en-CA"/>
        </w:rPr>
        <w:lastRenderedPageBreak/>
        <w:t>Finally, I note that the appellant’</w:t>
      </w:r>
      <w:r>
        <w:rPr>
          <w:lang w:val="en-CA"/>
        </w:rPr>
        <w:t xml:space="preserve">s allegation in relation to Dr. Paquette’s testimony is pointless. Whether </w:t>
      </w:r>
      <w:r w:rsidR="00507793">
        <w:rPr>
          <w:lang w:val="en-CA"/>
        </w:rPr>
        <w:t>or not her</w:t>
      </w:r>
      <w:r>
        <w:rPr>
          <w:lang w:val="en-CA"/>
        </w:rPr>
        <w:t xml:space="preserve"> testimony or </w:t>
      </w:r>
      <w:r w:rsidR="00507793">
        <w:rPr>
          <w:lang w:val="en-CA"/>
        </w:rPr>
        <w:t>that</w:t>
      </w:r>
      <w:r w:rsidR="0077043E">
        <w:rPr>
          <w:lang w:val="en-CA"/>
        </w:rPr>
        <w:t xml:space="preserve"> of</w:t>
      </w:r>
      <w:r w:rsidR="00507793">
        <w:rPr>
          <w:lang w:val="en-CA"/>
        </w:rPr>
        <w:t xml:space="preserve"> </w:t>
      </w:r>
      <w:r>
        <w:rPr>
          <w:lang w:val="en-CA"/>
        </w:rPr>
        <w:t xml:space="preserve">Dr. Bocti and neuropsychologist Duval is accepted </w:t>
      </w:r>
      <w:r w:rsidR="0077043E">
        <w:rPr>
          <w:lang w:val="en-CA"/>
        </w:rPr>
        <w:t xml:space="preserve">does not </w:t>
      </w:r>
      <w:r>
        <w:rPr>
          <w:lang w:val="en-CA"/>
        </w:rPr>
        <w:t xml:space="preserve">change the fact that he is able to perform his occupation of family </w:t>
      </w:r>
      <w:r w:rsidR="000758AC">
        <w:rPr>
          <w:lang w:val="en-CA"/>
        </w:rPr>
        <w:t>physician</w:t>
      </w:r>
      <w:r>
        <w:rPr>
          <w:lang w:val="en-CA"/>
        </w:rPr>
        <w:t xml:space="preserve">. Moreover, he admits that </w:t>
      </w:r>
      <w:r w:rsidR="0077043E">
        <w:rPr>
          <w:lang w:val="en-CA"/>
        </w:rPr>
        <w:t xml:space="preserve">since February 11, 2016, </w:t>
      </w:r>
      <w:r>
        <w:rPr>
          <w:lang w:val="en-CA"/>
        </w:rPr>
        <w:t xml:space="preserve">the income he has </w:t>
      </w:r>
      <w:r w:rsidR="0077043E">
        <w:rPr>
          <w:lang w:val="en-CA"/>
        </w:rPr>
        <w:t xml:space="preserve">been </w:t>
      </w:r>
      <w:r>
        <w:rPr>
          <w:lang w:val="en-CA"/>
        </w:rPr>
        <w:t>earn</w:t>
      </w:r>
      <w:r w:rsidR="0077043E">
        <w:rPr>
          <w:lang w:val="en-CA"/>
        </w:rPr>
        <w:t>ing</w:t>
      </w:r>
      <w:r>
        <w:rPr>
          <w:lang w:val="en-CA"/>
        </w:rPr>
        <w:t xml:space="preserve"> by exercising his occupation </w:t>
      </w:r>
      <w:r w:rsidR="007C493C">
        <w:rPr>
          <w:lang w:val="en-CA"/>
        </w:rPr>
        <w:t>represents at least 80% of what he was earning at the time of his cardiac arrest in April 2014.</w:t>
      </w:r>
    </w:p>
    <w:p w14:paraId="7926DB3B" w14:textId="3E2CCBDA" w:rsidR="007C493C" w:rsidRPr="007C493C" w:rsidRDefault="007C493C" w:rsidP="00350689">
      <w:pPr>
        <w:pStyle w:val="Paragraphe"/>
        <w:spacing w:before="140" w:after="140" w:line="240" w:lineRule="auto"/>
        <w:rPr>
          <w:lang w:val="en-CA"/>
        </w:rPr>
      </w:pPr>
      <w:r w:rsidRPr="007C493C">
        <w:rPr>
          <w:lang w:val="en-CA"/>
        </w:rPr>
        <w:t xml:space="preserve">I see no error in how the judge interpreted and then applied the notions of occupation and </w:t>
      </w:r>
      <w:r>
        <w:rPr>
          <w:lang w:val="en-CA"/>
        </w:rPr>
        <w:t xml:space="preserve">total disability, and I recommend that the Court dismiss the appeal, with legal costs. </w:t>
      </w:r>
    </w:p>
    <w:tbl>
      <w:tblPr>
        <w:tblW w:w="0" w:type="auto"/>
        <w:tblLayout w:type="fixed"/>
        <w:tblCellMar>
          <w:left w:w="0" w:type="dxa"/>
          <w:right w:w="0" w:type="dxa"/>
        </w:tblCellMar>
        <w:tblLook w:val="0000" w:firstRow="0" w:lastRow="0" w:firstColumn="0" w:lastColumn="0" w:noHBand="0" w:noVBand="0"/>
      </w:tblPr>
      <w:tblGrid>
        <w:gridCol w:w="4735"/>
        <w:gridCol w:w="4625"/>
      </w:tblGrid>
      <w:tr w:rsidR="00650C2C" w:rsidRPr="00A2357D" w14:paraId="09016282" w14:textId="77777777" w:rsidTr="00350689">
        <w:trPr>
          <w:cantSplit/>
          <w:trHeight w:val="513"/>
        </w:trPr>
        <w:tc>
          <w:tcPr>
            <w:tcW w:w="9360" w:type="dxa"/>
            <w:gridSpan w:val="2"/>
          </w:tcPr>
          <w:p w14:paraId="33C433BB" w14:textId="77777777" w:rsidR="00350689" w:rsidRPr="00906C38" w:rsidRDefault="00350689" w:rsidP="00350689">
            <w:pPr>
              <w:rPr>
                <w:lang w:val="en-CA"/>
              </w:rPr>
            </w:pPr>
          </w:p>
        </w:tc>
      </w:tr>
      <w:tr w:rsidR="00650C2C" w:rsidRPr="00A2357D" w14:paraId="1B240E59" w14:textId="77777777" w:rsidTr="00350689">
        <w:trPr>
          <w:cantSplit/>
          <w:trHeight w:val="277"/>
        </w:trPr>
        <w:tc>
          <w:tcPr>
            <w:tcW w:w="4735" w:type="dxa"/>
            <w:vMerge w:val="restart"/>
          </w:tcPr>
          <w:p w14:paraId="152CC9FB" w14:textId="77777777" w:rsidR="00350689" w:rsidRPr="00906C38" w:rsidRDefault="00350689" w:rsidP="00350689">
            <w:pPr>
              <w:rPr>
                <w:lang w:val="en-CA"/>
              </w:rPr>
            </w:pPr>
          </w:p>
        </w:tc>
        <w:tc>
          <w:tcPr>
            <w:tcW w:w="4625" w:type="dxa"/>
            <w:tcBorders>
              <w:bottom w:val="single" w:sz="8" w:space="0" w:color="auto"/>
            </w:tcBorders>
          </w:tcPr>
          <w:p w14:paraId="724D50DC" w14:textId="77777777" w:rsidR="00350689" w:rsidRPr="00906C38" w:rsidRDefault="00350689" w:rsidP="00350689">
            <w:pPr>
              <w:rPr>
                <w:lang w:val="en-CA"/>
              </w:rPr>
            </w:pPr>
          </w:p>
        </w:tc>
      </w:tr>
      <w:tr w:rsidR="00650C2C" w14:paraId="24E538D7" w14:textId="77777777" w:rsidTr="00350689">
        <w:trPr>
          <w:cantSplit/>
          <w:trHeight w:val="276"/>
        </w:trPr>
        <w:tc>
          <w:tcPr>
            <w:tcW w:w="4735" w:type="dxa"/>
            <w:vMerge/>
          </w:tcPr>
          <w:p w14:paraId="51471AB6" w14:textId="77777777" w:rsidR="00350689" w:rsidRPr="00906C38" w:rsidRDefault="00350689" w:rsidP="00350689">
            <w:pPr>
              <w:rPr>
                <w:lang w:val="en-CA"/>
              </w:rPr>
            </w:pPr>
          </w:p>
        </w:tc>
        <w:tc>
          <w:tcPr>
            <w:tcW w:w="4625" w:type="dxa"/>
          </w:tcPr>
          <w:p w14:paraId="2FD8A2AB" w14:textId="29B448C6" w:rsidR="00350689" w:rsidRPr="007C493C" w:rsidRDefault="001A3231" w:rsidP="005E57DA">
            <w:r w:rsidRPr="007C493C">
              <w:fldChar w:fldCharType="begin"/>
            </w:r>
            <w:r>
              <w:instrText xml:space="preserve"> REF NomJuge2 </w:instrText>
            </w:r>
            <w:r w:rsidRPr="007C493C">
              <w:fldChar w:fldCharType="separate"/>
            </w:r>
            <w:r w:rsidR="00F7473D" w:rsidRPr="007C493C">
              <w:t>MARIE-JOSÉE HOGUE,</w:t>
            </w:r>
            <w:r w:rsidR="005E57DA" w:rsidRPr="007C493C">
              <w:t xml:space="preserve"> J.A</w:t>
            </w:r>
            <w:r w:rsidR="00F7473D" w:rsidRPr="007C493C">
              <w:t>.</w:t>
            </w:r>
            <w:r w:rsidRPr="007C493C">
              <w:fldChar w:fldCharType="end"/>
            </w:r>
          </w:p>
        </w:tc>
      </w:tr>
      <w:bookmarkEnd w:id="214"/>
    </w:tbl>
    <w:p w14:paraId="4675B70D" w14:textId="77777777" w:rsidR="00350689" w:rsidRDefault="00350689" w:rsidP="00350689"/>
    <w:sectPr w:rsidR="00350689" w:rsidSect="00350689">
      <w:headerReference w:type="even" r:id="rId9"/>
      <w:headerReference w:type="default" r:id="rId10"/>
      <w:footerReference w:type="even" r:id="rId11"/>
      <w:footerReference w:type="default" r:id="rId12"/>
      <w:headerReference w:type="first" r:id="rId13"/>
      <w:footerReference w:type="first" r:id="rId14"/>
      <w:pgSz w:w="12242" w:h="15842" w:code="1"/>
      <w:pgMar w:top="1440" w:right="1008" w:bottom="1440" w:left="1872" w:header="1440" w:footer="79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C7175" w14:textId="77777777" w:rsidR="003D339F" w:rsidRDefault="003D339F">
      <w:pPr>
        <w:spacing w:line="240" w:lineRule="auto"/>
      </w:pPr>
      <w:r>
        <w:separator/>
      </w:r>
    </w:p>
  </w:endnote>
  <w:endnote w:type="continuationSeparator" w:id="0">
    <w:p w14:paraId="44175BCD" w14:textId="77777777" w:rsidR="003D339F" w:rsidRDefault="003D33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11D30" w14:textId="77777777" w:rsidR="00350689" w:rsidRDefault="0035068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83BA5" w14:textId="77777777" w:rsidR="00350689" w:rsidRDefault="0035068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70BC1" w14:textId="77777777" w:rsidR="00350689" w:rsidRDefault="003506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BF9FF" w14:textId="77777777" w:rsidR="003D339F" w:rsidRDefault="003D339F">
      <w:r>
        <w:separator/>
      </w:r>
    </w:p>
  </w:footnote>
  <w:footnote w:type="continuationSeparator" w:id="0">
    <w:p w14:paraId="01008D23" w14:textId="77777777" w:rsidR="003D339F" w:rsidRDefault="003D339F">
      <w:r>
        <w:continuationSeparator/>
      </w:r>
    </w:p>
  </w:footnote>
  <w:footnote w:id="1">
    <w:p w14:paraId="709A8616" w14:textId="7952CD47" w:rsidR="00350689" w:rsidRPr="007C62D0" w:rsidRDefault="00350689" w:rsidP="00350689">
      <w:pPr>
        <w:pStyle w:val="Notedebasdepage"/>
      </w:pPr>
      <w:r>
        <w:rPr>
          <w:rStyle w:val="Appelnotedebasdep"/>
        </w:rPr>
        <w:footnoteRef/>
      </w:r>
      <w:r>
        <w:t xml:space="preserve"> </w:t>
      </w:r>
      <w:r>
        <w:tab/>
      </w:r>
      <w:r>
        <w:rPr>
          <w:i/>
        </w:rPr>
        <w:t>G.C.</w:t>
      </w:r>
      <w:r>
        <w:t xml:space="preserve"> </w:t>
      </w:r>
      <w:r w:rsidRPr="007C493C">
        <w:rPr>
          <w:i/>
        </w:rPr>
        <w:t>c</w:t>
      </w:r>
      <w:r>
        <w:rPr>
          <w:i/>
        </w:rPr>
        <w:t>.</w:t>
      </w:r>
      <w:r>
        <w:t xml:space="preserve"> </w:t>
      </w:r>
      <w:r>
        <w:rPr>
          <w:i/>
        </w:rPr>
        <w:t>Compagnie d'assurance-vie RBC</w:t>
      </w:r>
      <w:r>
        <w:t>, 2021 QCCS 322 [</w:t>
      </w:r>
      <w:r w:rsidRPr="007C493C">
        <w:t>judgment under appeal]</w:t>
      </w:r>
      <w:r>
        <w:t>.</w:t>
      </w:r>
    </w:p>
  </w:footnote>
  <w:footnote w:id="2">
    <w:p w14:paraId="08C244DC" w14:textId="0458B394" w:rsidR="00350689" w:rsidRDefault="00350689" w:rsidP="00350689">
      <w:pPr>
        <w:pStyle w:val="Notedebasdepage"/>
      </w:pPr>
      <w:r>
        <w:rPr>
          <w:rStyle w:val="Appelnotedebasdep"/>
        </w:rPr>
        <w:footnoteRef/>
      </w:r>
      <w:r>
        <w:t xml:space="preserve"> </w:t>
      </w:r>
      <w:r>
        <w:tab/>
      </w:r>
      <w:r w:rsidRPr="007C493C">
        <w:rPr>
          <w:i/>
        </w:rPr>
        <w:t>Uniprix inc. v. Gestion Gosselin et Bérubé inc</w:t>
      </w:r>
      <w:r w:rsidRPr="007C493C">
        <w:t>., 2017 SCC 43.</w:t>
      </w:r>
    </w:p>
  </w:footnote>
  <w:footnote w:id="3">
    <w:p w14:paraId="1FD85A9B" w14:textId="6227BD21" w:rsidR="00350689" w:rsidRPr="00355998" w:rsidRDefault="00350689" w:rsidP="00350689">
      <w:pPr>
        <w:pStyle w:val="Notedebasdepage"/>
        <w:rPr>
          <w:lang w:val="en-CA"/>
        </w:rPr>
      </w:pPr>
      <w:r>
        <w:rPr>
          <w:rStyle w:val="Appelnotedebasdep"/>
        </w:rPr>
        <w:footnoteRef/>
      </w:r>
      <w:r w:rsidRPr="00B22666">
        <w:rPr>
          <w:lang w:val="en-CA"/>
        </w:rPr>
        <w:t xml:space="preserve"> </w:t>
      </w:r>
      <w:r w:rsidRPr="00B22666">
        <w:rPr>
          <w:lang w:val="en-CA"/>
        </w:rPr>
        <w:tab/>
      </w:r>
      <w:r w:rsidRPr="00B22666">
        <w:rPr>
          <w:i/>
          <w:lang w:val="en-CA"/>
        </w:rPr>
        <w:t>Ledcor Construction Ltd. v. Northbridge</w:t>
      </w:r>
      <w:r w:rsidR="00B22666" w:rsidRPr="00B22666">
        <w:rPr>
          <w:i/>
          <w:lang w:val="en-CA"/>
        </w:rPr>
        <w:t xml:space="preserve"> Indemnity Insurance</w:t>
      </w:r>
      <w:r w:rsidR="00B22666" w:rsidRPr="00B22666">
        <w:rPr>
          <w:lang w:val="en-CA"/>
        </w:rPr>
        <w:t xml:space="preserve">, [2016] 2 S.C.R. </w:t>
      </w:r>
      <w:r w:rsidRPr="00B22666">
        <w:rPr>
          <w:lang w:val="en-CA"/>
        </w:rPr>
        <w:t>23</w:t>
      </w:r>
      <w:r w:rsidR="00B22666" w:rsidRPr="00B22666">
        <w:rPr>
          <w:lang w:val="en-CA"/>
        </w:rPr>
        <w:t xml:space="preserve"> at paras</w:t>
      </w:r>
      <w:r w:rsidRPr="00B22666">
        <w:rPr>
          <w:lang w:val="en-CA"/>
        </w:rPr>
        <w:t xml:space="preserve">. </w:t>
      </w:r>
      <w:r w:rsidRPr="007C493C">
        <w:t xml:space="preserve">46 </w:t>
      </w:r>
      <w:r w:rsidR="00B22666">
        <w:t xml:space="preserve">and </w:t>
      </w:r>
      <w:r w:rsidRPr="007C493C">
        <w:t xml:space="preserve">47; </w:t>
      </w:r>
      <w:r w:rsidR="00B22666">
        <w:rPr>
          <w:i/>
        </w:rPr>
        <w:t>Compagnie d’assurances</w:t>
      </w:r>
      <w:r w:rsidRPr="007C493C">
        <w:rPr>
          <w:i/>
        </w:rPr>
        <w:t xml:space="preserve"> générales Co-Operators </w:t>
      </w:r>
      <w:r w:rsidR="00B22666">
        <w:rPr>
          <w:i/>
        </w:rPr>
        <w:t>c</w:t>
      </w:r>
      <w:r w:rsidRPr="007C493C">
        <w:rPr>
          <w:i/>
        </w:rPr>
        <w:t>. Coop fédérée</w:t>
      </w:r>
      <w:r w:rsidR="00B22666">
        <w:t>, 2019 QCCA 1678 at paras</w:t>
      </w:r>
      <w:r w:rsidRPr="007C493C">
        <w:t>.</w:t>
      </w:r>
      <w:r>
        <w:t xml:space="preserve"> </w:t>
      </w:r>
      <w:r w:rsidRPr="00355998">
        <w:rPr>
          <w:lang w:val="en-CA"/>
        </w:rPr>
        <w:t xml:space="preserve">123 </w:t>
      </w:r>
      <w:r w:rsidR="00B22666" w:rsidRPr="00355998">
        <w:rPr>
          <w:lang w:val="en-CA"/>
        </w:rPr>
        <w:t xml:space="preserve">and </w:t>
      </w:r>
      <w:r w:rsidRPr="00355998">
        <w:rPr>
          <w:lang w:val="en-CA"/>
        </w:rPr>
        <w:t>140 (</w:t>
      </w:r>
      <w:r w:rsidR="00355998" w:rsidRPr="00355998">
        <w:rPr>
          <w:lang w:val="en-CA"/>
        </w:rPr>
        <w:t>rev’d by S</w:t>
      </w:r>
      <w:r w:rsidR="00355998">
        <w:rPr>
          <w:lang w:val="en-CA"/>
        </w:rPr>
        <w:t>.</w:t>
      </w:r>
      <w:r w:rsidR="00355998" w:rsidRPr="00355998">
        <w:rPr>
          <w:lang w:val="en-CA"/>
        </w:rPr>
        <w:t>C</w:t>
      </w:r>
      <w:r w:rsidR="00355998">
        <w:rPr>
          <w:lang w:val="en-CA"/>
        </w:rPr>
        <w:t>.</w:t>
      </w:r>
      <w:r w:rsidR="00355998" w:rsidRPr="00355998">
        <w:rPr>
          <w:lang w:val="en-CA"/>
        </w:rPr>
        <w:t>C</w:t>
      </w:r>
      <w:r w:rsidR="00355998">
        <w:rPr>
          <w:lang w:val="en-CA"/>
        </w:rPr>
        <w:t>.</w:t>
      </w:r>
      <w:r w:rsidR="00355998" w:rsidRPr="00355998">
        <w:rPr>
          <w:lang w:val="en-CA"/>
        </w:rPr>
        <w:t xml:space="preserve"> but </w:t>
      </w:r>
      <w:r w:rsidR="00355998">
        <w:rPr>
          <w:lang w:val="en-CA"/>
        </w:rPr>
        <w:t>for other reasons)</w:t>
      </w:r>
    </w:p>
  </w:footnote>
  <w:footnote w:id="4">
    <w:p w14:paraId="4A18A601" w14:textId="0D7B0B1D" w:rsidR="00350689" w:rsidRPr="0093247F" w:rsidRDefault="00350689" w:rsidP="00350689">
      <w:pPr>
        <w:pStyle w:val="Notedebasdepage"/>
        <w:rPr>
          <w:lang w:val="en-CA"/>
        </w:rPr>
      </w:pPr>
      <w:r>
        <w:rPr>
          <w:rStyle w:val="Appelnotedebasdep"/>
        </w:rPr>
        <w:footnoteRef/>
      </w:r>
      <w:r w:rsidRPr="0026441E">
        <w:rPr>
          <w:lang w:val="en-CA"/>
        </w:rPr>
        <w:t xml:space="preserve"> </w:t>
      </w:r>
      <w:r w:rsidRPr="0026441E">
        <w:rPr>
          <w:lang w:val="en-CA"/>
        </w:rPr>
        <w:tab/>
      </w:r>
      <w:r w:rsidRPr="0026441E">
        <w:rPr>
          <w:i/>
          <w:lang w:val="en-CA"/>
        </w:rPr>
        <w:t>Progressive Homes Ltd. v. Lombard General Insurance Co. of Canada</w:t>
      </w:r>
      <w:r w:rsidRPr="0026441E">
        <w:rPr>
          <w:lang w:val="en-CA"/>
        </w:rPr>
        <w:t>, 2010 SCC 33</w:t>
      </w:r>
      <w:r>
        <w:rPr>
          <w:i/>
          <w:lang w:val="en-CA"/>
        </w:rPr>
        <w:t xml:space="preserve"> </w:t>
      </w:r>
      <w:r>
        <w:rPr>
          <w:lang w:val="en-CA"/>
        </w:rPr>
        <w:t>at para</w:t>
      </w:r>
      <w:r w:rsidRPr="0026441E">
        <w:rPr>
          <w:lang w:val="en-CA"/>
        </w:rPr>
        <w:t>.</w:t>
      </w:r>
      <w:r>
        <w:rPr>
          <w:lang w:val="en-CA"/>
        </w:rPr>
        <w:t xml:space="preserve"> </w:t>
      </w:r>
      <w:r w:rsidRPr="0026441E">
        <w:rPr>
          <w:lang w:val="en-CA"/>
        </w:rPr>
        <w:t xml:space="preserve">22; </w:t>
      </w:r>
      <w:r w:rsidRPr="0026441E">
        <w:rPr>
          <w:i/>
          <w:lang w:val="en-CA"/>
        </w:rPr>
        <w:t xml:space="preserve">Non-Marine Underwriters, Lloyd’s of London </w:t>
      </w:r>
      <w:r w:rsidRPr="007C493C">
        <w:rPr>
          <w:i/>
          <w:lang w:val="en-CA"/>
        </w:rPr>
        <w:t>v</w:t>
      </w:r>
      <w:r w:rsidRPr="0026441E">
        <w:rPr>
          <w:i/>
          <w:lang w:val="en-CA"/>
        </w:rPr>
        <w:t xml:space="preserve">. </w:t>
      </w:r>
      <w:r w:rsidRPr="0093247F">
        <w:rPr>
          <w:i/>
          <w:lang w:val="en-CA"/>
        </w:rPr>
        <w:t>Scalera</w:t>
      </w:r>
      <w:r w:rsidRPr="0093247F">
        <w:rPr>
          <w:lang w:val="en-CA"/>
        </w:rPr>
        <w:t>, [2000] 1</w:t>
      </w:r>
      <w:r>
        <w:rPr>
          <w:lang w:val="en-CA"/>
        </w:rPr>
        <w:t xml:space="preserve"> </w:t>
      </w:r>
      <w:r w:rsidRPr="007C493C">
        <w:rPr>
          <w:lang w:val="en-CA"/>
        </w:rPr>
        <w:t>S.C.R</w:t>
      </w:r>
      <w:r w:rsidRPr="0093247F">
        <w:rPr>
          <w:lang w:val="en-CA"/>
        </w:rPr>
        <w:t>. 551</w:t>
      </w:r>
      <w:r>
        <w:rPr>
          <w:lang w:val="en-CA"/>
        </w:rPr>
        <w:t xml:space="preserve"> at para</w:t>
      </w:r>
      <w:r w:rsidRPr="0093247F">
        <w:rPr>
          <w:lang w:val="en-CA"/>
        </w:rPr>
        <w:t>.</w:t>
      </w:r>
      <w:r>
        <w:rPr>
          <w:lang w:val="en-CA"/>
        </w:rPr>
        <w:t xml:space="preserve"> </w:t>
      </w:r>
      <w:r w:rsidRPr="0093247F">
        <w:rPr>
          <w:lang w:val="en-CA"/>
        </w:rPr>
        <w:t>71.</w:t>
      </w:r>
    </w:p>
  </w:footnote>
  <w:footnote w:id="5">
    <w:p w14:paraId="2EA548F5" w14:textId="18953365" w:rsidR="00350689" w:rsidRPr="0093247F" w:rsidRDefault="00350689" w:rsidP="00350689">
      <w:pPr>
        <w:pStyle w:val="Notedebasdepage"/>
      </w:pPr>
      <w:r>
        <w:rPr>
          <w:rStyle w:val="Appelnotedebasdep"/>
        </w:rPr>
        <w:footnoteRef/>
      </w:r>
      <w:r w:rsidRPr="00B35571">
        <w:rPr>
          <w:lang w:val="en-CA"/>
        </w:rPr>
        <w:t xml:space="preserve"> </w:t>
      </w:r>
      <w:r w:rsidRPr="00B35571">
        <w:rPr>
          <w:lang w:val="en-CA"/>
        </w:rPr>
        <w:tab/>
      </w:r>
      <w:r w:rsidRPr="007C493C">
        <w:rPr>
          <w:i/>
          <w:lang w:val="en-CA"/>
        </w:rPr>
        <w:t xml:space="preserve">Boiler Inspection and Insurance Co. of Canada c. </w:t>
      </w:r>
      <w:r w:rsidRPr="007C493C">
        <w:rPr>
          <w:i/>
        </w:rPr>
        <w:t>Office municipal d’habitation de Montréal</w:t>
      </w:r>
      <w:r w:rsidRPr="007C493C">
        <w:t>, [1989] R.R.A.</w:t>
      </w:r>
      <w:r w:rsidRPr="0093247F">
        <w:t xml:space="preserve"> </w:t>
      </w:r>
      <w:r w:rsidRPr="007C493C">
        <w:t>636 (C.A.).</w:t>
      </w:r>
    </w:p>
    <w:p w14:paraId="6202762E" w14:textId="77777777" w:rsidR="00350689" w:rsidRPr="0093247F" w:rsidRDefault="00350689" w:rsidP="00350689">
      <w:pPr>
        <w:pStyle w:val="Notedebasdepage"/>
      </w:pPr>
    </w:p>
    <w:p w14:paraId="137CAEB0" w14:textId="77777777" w:rsidR="00350689" w:rsidRPr="0093247F" w:rsidRDefault="00350689" w:rsidP="00350689">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E746C" w14:textId="06D25B5B" w:rsidR="00350689" w:rsidRDefault="00350689" w:rsidP="00350689">
    <w:pPr>
      <w:tabs>
        <w:tab w:val="center" w:pos="4709"/>
        <w:tab w:val="right" w:pos="9360"/>
      </w:tabs>
      <w:spacing w:line="360" w:lineRule="auto"/>
      <w:ind w:right="524"/>
    </w:pPr>
    <w:r>
      <w:t xml:space="preserve">500-09-029409-216 </w:t>
    </w:r>
    <w:r>
      <w:tab/>
    </w:r>
    <w:r>
      <w:tab/>
    </w:r>
    <w:r w:rsidRPr="007C493C">
      <w:t>PAGE :</w:t>
    </w:r>
    <w:r>
      <w:t xml:space="preserve"> </w:t>
    </w:r>
    <w:r>
      <w:fldChar w:fldCharType="begin"/>
    </w:r>
    <w:r>
      <w:instrText xml:space="preserve"> PAGE </w:instrText>
    </w:r>
    <w:r>
      <w:fldChar w:fldCharType="separate"/>
    </w:r>
    <w:r w:rsidR="009720AA">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BF2C" w14:textId="77777777" w:rsidR="00350689" w:rsidRDefault="0035068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85935" w14:textId="6D06C5F6" w:rsidR="00350689" w:rsidRDefault="00350689" w:rsidP="00350689">
    <w:pPr>
      <w:tabs>
        <w:tab w:val="center" w:pos="4709"/>
        <w:tab w:val="right" w:pos="9360"/>
      </w:tabs>
      <w:spacing w:line="360" w:lineRule="auto"/>
      <w:ind w:right="524"/>
    </w:pPr>
    <w:bookmarkStart w:id="216" w:name="EntDossier"/>
    <w:r>
      <w:t>500-09-029409-216</w:t>
    </w:r>
    <w:bookmarkEnd w:id="216"/>
    <w:r>
      <w:t xml:space="preserve"> </w:t>
    </w:r>
    <w:r>
      <w:tab/>
    </w:r>
    <w:r>
      <w:tab/>
    </w:r>
    <w:r w:rsidR="007C493C" w:rsidRPr="007C493C">
      <w:t>PAGE</w:t>
    </w:r>
    <w:r w:rsidRPr="007C493C">
      <w:t>:</w:t>
    </w:r>
    <w:r>
      <w:t xml:space="preserve"> </w:t>
    </w:r>
    <w:r>
      <w:fldChar w:fldCharType="begin"/>
    </w:r>
    <w:r>
      <w:instrText xml:space="preserve"> PAGE </w:instrText>
    </w:r>
    <w:r>
      <w:fldChar w:fldCharType="separate"/>
    </w:r>
    <w:r w:rsidR="009720AA">
      <w:rPr>
        <w:noProof/>
      </w:rPr>
      <w:t>12</w:t>
    </w:r>
    <w:r>
      <w:fldChar w:fldCharType="end"/>
    </w:r>
  </w:p>
  <w:p w14:paraId="5AE32257" w14:textId="77777777" w:rsidR="00350689" w:rsidRDefault="00350689" w:rsidP="00350689">
    <w:pPr>
      <w:tabs>
        <w:tab w:val="center" w:pos="4709"/>
        <w:tab w:val="right" w:pos="9360"/>
      </w:tabs>
      <w:spacing w:line="360" w:lineRule="auto"/>
      <w:ind w:right="52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DA4AF" w14:textId="1A252BF6" w:rsidR="00350689" w:rsidRDefault="00350689" w:rsidP="00350689">
    <w:pPr>
      <w:tabs>
        <w:tab w:val="center" w:pos="4709"/>
        <w:tab w:val="right" w:pos="9360"/>
      </w:tabs>
      <w:spacing w:line="360" w:lineRule="auto"/>
      <w:ind w:right="524"/>
    </w:pPr>
    <w:r>
      <w:t xml:space="preserve">500-09-029409-216 </w:t>
    </w:r>
    <w:r>
      <w:tab/>
    </w:r>
    <w:r>
      <w:tab/>
    </w:r>
    <w:r w:rsidRPr="007C493C">
      <w:t>PAGE:</w:t>
    </w:r>
    <w:r>
      <w:t xml:space="preserve"> </w:t>
    </w:r>
    <w:r>
      <w:fldChar w:fldCharType="begin"/>
    </w:r>
    <w:r>
      <w:instrText xml:space="preserve"> PAGE </w:instrText>
    </w:r>
    <w:r>
      <w:fldChar w:fldCharType="separate"/>
    </w:r>
    <w:r w:rsidR="009720AA">
      <w:rPr>
        <w:noProof/>
      </w:rPr>
      <w:t>3</w:t>
    </w:r>
    <w:r>
      <w:fldChar w:fldCharType="end"/>
    </w:r>
  </w:p>
  <w:p w14:paraId="26B759E9" w14:textId="77777777" w:rsidR="00350689" w:rsidRPr="00BC4AF1" w:rsidRDefault="00350689" w:rsidP="003506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BB52DE"/>
    <w:multiLevelType w:val="multilevel"/>
    <w:tmpl w:val="79E601F0"/>
    <w:lvl w:ilvl="0">
      <w:start w:val="1"/>
      <w:numFmt w:val="decimal"/>
      <w:pStyle w:val="Paragraphe"/>
      <w:lvlText w:val="[%1]"/>
      <w:lvlJc w:val="left"/>
      <w:pPr>
        <w:tabs>
          <w:tab w:val="num" w:pos="720"/>
        </w:tabs>
        <w:ind w:left="0" w:firstLine="0"/>
      </w:pPr>
      <w:rPr>
        <w:rFonts w:hint="default"/>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2"/>
  </w:num>
  <w:num w:numId="2">
    <w:abstractNumId w:val="12"/>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2"/>
  </w:num>
  <w:num w:numId="16">
    <w:abstractNumId w:val="12"/>
  </w:num>
  <w:num w:numId="17">
    <w:abstractNumId w:val="11"/>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NBChoix" w:val="3"/>
    <w:docVar w:name="MotifJuge1" w:val="MOTIFS DU JUGE"/>
    <w:docVar w:name="MotifJuge2" w:val="MOTIFS DE LA JUGE"/>
    <w:docVar w:name="MotifJuge3" w:val="MOTIFS DU JUGE"/>
    <w:docVar w:name="NomFamJuge1" w:val="SCHRAGER"/>
    <w:docVar w:name="NomFamJuge2" w:val="HOGUE"/>
    <w:docVar w:name="NomFamJuge3" w:val="SANSFAÇON"/>
    <w:docVar w:name="NomFamJuge4" w:val="MAILHOT"/>
    <w:docVar w:name="NomFamJuge5" w:val="BAUDOUIN"/>
    <w:docVar w:name="QteJuge1" w:val=", J.C.A."/>
    <w:docVar w:name="QteJuge2" w:val=", J.C.A."/>
    <w:docVar w:name="QteJuge3" w:val=", J.C.A."/>
    <w:docVar w:name="stPremiereFois" w:val="Non"/>
  </w:docVars>
  <w:rsids>
    <w:rsidRoot w:val="00650C2C"/>
    <w:rsid w:val="000304FA"/>
    <w:rsid w:val="00061ABA"/>
    <w:rsid w:val="00066D57"/>
    <w:rsid w:val="00072782"/>
    <w:rsid w:val="000758AC"/>
    <w:rsid w:val="000922F8"/>
    <w:rsid w:val="000B19C8"/>
    <w:rsid w:val="000F1ECA"/>
    <w:rsid w:val="00125910"/>
    <w:rsid w:val="00140CCD"/>
    <w:rsid w:val="00155088"/>
    <w:rsid w:val="00164EBD"/>
    <w:rsid w:val="001A3231"/>
    <w:rsid w:val="001B3B0E"/>
    <w:rsid w:val="001B50EE"/>
    <w:rsid w:val="001D4D2C"/>
    <w:rsid w:val="001D7DB5"/>
    <w:rsid w:val="00236D18"/>
    <w:rsid w:val="00244B9B"/>
    <w:rsid w:val="0026441E"/>
    <w:rsid w:val="00270D69"/>
    <w:rsid w:val="002D3ABE"/>
    <w:rsid w:val="002E536C"/>
    <w:rsid w:val="002E69D7"/>
    <w:rsid w:val="00303A83"/>
    <w:rsid w:val="00310612"/>
    <w:rsid w:val="003127B9"/>
    <w:rsid w:val="003301B0"/>
    <w:rsid w:val="00350689"/>
    <w:rsid w:val="00355998"/>
    <w:rsid w:val="003A6D47"/>
    <w:rsid w:val="003D339F"/>
    <w:rsid w:val="00407513"/>
    <w:rsid w:val="004076BF"/>
    <w:rsid w:val="0041670C"/>
    <w:rsid w:val="004172BE"/>
    <w:rsid w:val="004176CD"/>
    <w:rsid w:val="00435882"/>
    <w:rsid w:val="00436ED6"/>
    <w:rsid w:val="00437FCD"/>
    <w:rsid w:val="0044296E"/>
    <w:rsid w:val="00455CEC"/>
    <w:rsid w:val="00466112"/>
    <w:rsid w:val="004804D8"/>
    <w:rsid w:val="004D0599"/>
    <w:rsid w:val="004D08CA"/>
    <w:rsid w:val="00507793"/>
    <w:rsid w:val="0052134C"/>
    <w:rsid w:val="005510E1"/>
    <w:rsid w:val="005549C9"/>
    <w:rsid w:val="005B519F"/>
    <w:rsid w:val="005B635C"/>
    <w:rsid w:val="005E1A0C"/>
    <w:rsid w:val="005E57DA"/>
    <w:rsid w:val="005E5AAA"/>
    <w:rsid w:val="0062075E"/>
    <w:rsid w:val="00621AF8"/>
    <w:rsid w:val="00624100"/>
    <w:rsid w:val="00650C2C"/>
    <w:rsid w:val="00673F79"/>
    <w:rsid w:val="00682993"/>
    <w:rsid w:val="00687906"/>
    <w:rsid w:val="006C1E3A"/>
    <w:rsid w:val="006C5446"/>
    <w:rsid w:val="006D4C46"/>
    <w:rsid w:val="00720185"/>
    <w:rsid w:val="00733DAB"/>
    <w:rsid w:val="0077043E"/>
    <w:rsid w:val="007A06F0"/>
    <w:rsid w:val="007C0EA6"/>
    <w:rsid w:val="007C1EB6"/>
    <w:rsid w:val="007C493C"/>
    <w:rsid w:val="00824155"/>
    <w:rsid w:val="00850A42"/>
    <w:rsid w:val="00873C47"/>
    <w:rsid w:val="0088282D"/>
    <w:rsid w:val="00883DF3"/>
    <w:rsid w:val="00885C08"/>
    <w:rsid w:val="00893FEB"/>
    <w:rsid w:val="008A45AF"/>
    <w:rsid w:val="008B524D"/>
    <w:rsid w:val="00906C38"/>
    <w:rsid w:val="0093247F"/>
    <w:rsid w:val="009367A7"/>
    <w:rsid w:val="0093710E"/>
    <w:rsid w:val="00950D07"/>
    <w:rsid w:val="00965351"/>
    <w:rsid w:val="009720AA"/>
    <w:rsid w:val="009938CE"/>
    <w:rsid w:val="009F1019"/>
    <w:rsid w:val="009F75C2"/>
    <w:rsid w:val="00A01F1F"/>
    <w:rsid w:val="00A025D3"/>
    <w:rsid w:val="00A026A6"/>
    <w:rsid w:val="00A13B9A"/>
    <w:rsid w:val="00A215F9"/>
    <w:rsid w:val="00A2357D"/>
    <w:rsid w:val="00A35BFD"/>
    <w:rsid w:val="00A675FB"/>
    <w:rsid w:val="00A90ECD"/>
    <w:rsid w:val="00AE3877"/>
    <w:rsid w:val="00B2070A"/>
    <w:rsid w:val="00B220DB"/>
    <w:rsid w:val="00B22666"/>
    <w:rsid w:val="00B31FC2"/>
    <w:rsid w:val="00B9492E"/>
    <w:rsid w:val="00BA290D"/>
    <w:rsid w:val="00BF60FB"/>
    <w:rsid w:val="00C012C7"/>
    <w:rsid w:val="00C3395D"/>
    <w:rsid w:val="00C34B62"/>
    <w:rsid w:val="00C40229"/>
    <w:rsid w:val="00C45B9E"/>
    <w:rsid w:val="00C635E9"/>
    <w:rsid w:val="00C75F6B"/>
    <w:rsid w:val="00C910F0"/>
    <w:rsid w:val="00C91F80"/>
    <w:rsid w:val="00CC1739"/>
    <w:rsid w:val="00CC20AB"/>
    <w:rsid w:val="00CD26B8"/>
    <w:rsid w:val="00CF0B87"/>
    <w:rsid w:val="00D1152F"/>
    <w:rsid w:val="00D52609"/>
    <w:rsid w:val="00DE2D22"/>
    <w:rsid w:val="00DE6738"/>
    <w:rsid w:val="00DF414E"/>
    <w:rsid w:val="00E26582"/>
    <w:rsid w:val="00E3030F"/>
    <w:rsid w:val="00E32C89"/>
    <w:rsid w:val="00E60034"/>
    <w:rsid w:val="00E71CA0"/>
    <w:rsid w:val="00E84F65"/>
    <w:rsid w:val="00E949BE"/>
    <w:rsid w:val="00EA508C"/>
    <w:rsid w:val="00EC2807"/>
    <w:rsid w:val="00EE7143"/>
    <w:rsid w:val="00EF1144"/>
    <w:rsid w:val="00F12287"/>
    <w:rsid w:val="00F22AB9"/>
    <w:rsid w:val="00F3613E"/>
    <w:rsid w:val="00F4227D"/>
    <w:rsid w:val="00F42294"/>
    <w:rsid w:val="00F74075"/>
    <w:rsid w:val="00F7473D"/>
    <w:rsid w:val="00FC71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501D"/>
  <w15:chartTrackingRefBased/>
  <w15:docId w15:val="{1BEFCD7C-B227-4750-B21C-78A7DDCF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ascii="Arial" w:hAnsi="Arial"/>
      <w:sz w:val="24"/>
      <w:lang w:eastAsia="fr-FR"/>
    </w:rPr>
  </w:style>
  <w:style w:type="paragraph" w:styleId="Titre1">
    <w:name w:val="heading 1"/>
    <w:basedOn w:val="Normal"/>
    <w:next w:val="Normal"/>
    <w:qFormat/>
    <w:pPr>
      <w:keepNext/>
      <w:spacing w:before="240" w:after="60" w:line="500" w:lineRule="exact"/>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pPr>
      <w:numPr>
        <w:numId w:val="18"/>
      </w:num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aliases w:val="Char,Char Char,Char Char Char,Char Char Char Char Char,FA Fu,Footnote Text Char Char Char Char,Footnote Text Char Char Char Char Char,Footnote ak,Footnote reference,Footnote text,Footnotes,Nota de rodapé,fn,ft,ft Char Ch,ft2"/>
    <w:basedOn w:val="Normal"/>
    <w:link w:val="NotedebasdepageCar"/>
    <w:qFormat/>
    <w:pPr>
      <w:spacing w:line="240" w:lineRule="auto"/>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qFormat/>
    <w:pPr>
      <w:widowControl w:val="0"/>
      <w:numPr>
        <w:ilvl w:val="1"/>
        <w:numId w:val="18"/>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audroiteanglais">
    <w:name w:val="Tableau droite anglais"/>
    <w:basedOn w:val="Tableaugauchefranais"/>
    <w:pPr>
      <w:ind w:left="144" w:right="720"/>
      <w:jc w:val="both"/>
    </w:pPr>
    <w:rPr>
      <w:lang w:val="en-CA"/>
    </w:rPr>
  </w:style>
  <w:style w:type="paragraph" w:customStyle="1" w:styleId="Tableaugauchefranais">
    <w:name w:val="Tableau gauche français"/>
    <w:basedOn w:val="Normal"/>
    <w:pPr>
      <w:ind w:left="720" w:right="144"/>
    </w:pPr>
    <w:rPr>
      <w:sz w:val="22"/>
    </w:rPr>
  </w:style>
  <w:style w:type="character" w:styleId="Appelnotedebasdep">
    <w:name w:val="footnote reference"/>
    <w:aliases w:val="Char Char6 Char Char Char Char Char Char Char Char Char Char Char Char,Char6 Char Char Char Char Char Char Char Char Char Char Char Char Char,Footnote,Ref,de nota al pie,fr"/>
    <w:uiPriority w:val="99"/>
    <w:qFormat/>
    <w:rPr>
      <w:noProof w:val="0"/>
      <w:vertAlign w:val="superscript"/>
      <w:lang w:val="fr-CA"/>
    </w:rPr>
  </w:style>
  <w:style w:type="paragraph" w:styleId="Corpsdetexte3">
    <w:name w:val="Body Text 3"/>
    <w:basedOn w:val="Normal"/>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character" w:customStyle="1" w:styleId="ParagrapheCar">
    <w:name w:val="Paragraphe Car"/>
    <w:link w:val="Paragraphe"/>
    <w:qFormat/>
    <w:locked/>
    <w:rsid w:val="005A468B"/>
    <w:rPr>
      <w:rFonts w:ascii="Arial" w:hAnsi="Arial"/>
      <w:kern w:val="28"/>
      <w:sz w:val="24"/>
      <w:lang w:eastAsia="fr-FR"/>
    </w:rPr>
  </w:style>
  <w:style w:type="character" w:customStyle="1" w:styleId="NotedebasdepageCar">
    <w:name w:val="Note de bas de page Car"/>
    <w:aliases w:val="Char Car,Char Char Car,Char Char Char Car,Char Char Char Char Char Car,FA Fu Car,Footnote Text Char Char Char Char Car,Footnote Text Char Char Char Char Char Car,Footnote ak Car,Footnote reference Car,Footnote text Car,fn Car"/>
    <w:link w:val="Notedebasdepage"/>
    <w:rsid w:val="00AE6598"/>
    <w:rPr>
      <w:rFonts w:ascii="Arial" w:hAnsi="Arial"/>
      <w:lang w:eastAsia="fr-FR"/>
    </w:rPr>
  </w:style>
  <w:style w:type="character" w:styleId="Marquedecommentaire">
    <w:name w:val="annotation reference"/>
    <w:basedOn w:val="Policepardfaut"/>
    <w:uiPriority w:val="99"/>
    <w:semiHidden/>
    <w:unhideWhenUsed/>
    <w:rsid w:val="0088282D"/>
    <w:rPr>
      <w:sz w:val="16"/>
      <w:szCs w:val="16"/>
    </w:rPr>
  </w:style>
  <w:style w:type="paragraph" w:styleId="Commentaire">
    <w:name w:val="annotation text"/>
    <w:basedOn w:val="Normal"/>
    <w:link w:val="CommentaireCar"/>
    <w:uiPriority w:val="99"/>
    <w:semiHidden/>
    <w:unhideWhenUsed/>
    <w:rsid w:val="0088282D"/>
    <w:pPr>
      <w:spacing w:line="240" w:lineRule="auto"/>
    </w:pPr>
    <w:rPr>
      <w:sz w:val="20"/>
    </w:rPr>
  </w:style>
  <w:style w:type="character" w:customStyle="1" w:styleId="CommentaireCar">
    <w:name w:val="Commentaire Car"/>
    <w:basedOn w:val="Policepardfaut"/>
    <w:link w:val="Commentaire"/>
    <w:uiPriority w:val="99"/>
    <w:semiHidden/>
    <w:rsid w:val="0088282D"/>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88282D"/>
    <w:rPr>
      <w:b/>
      <w:bCs/>
    </w:rPr>
  </w:style>
  <w:style w:type="character" w:customStyle="1" w:styleId="ObjetducommentaireCar">
    <w:name w:val="Objet du commentaire Car"/>
    <w:basedOn w:val="CommentaireCar"/>
    <w:link w:val="Objetducommentaire"/>
    <w:uiPriority w:val="99"/>
    <w:semiHidden/>
    <w:rsid w:val="0088282D"/>
    <w:rPr>
      <w:rFonts w:ascii="Arial" w:hAnsi="Arial"/>
      <w:b/>
      <w:bCs/>
      <w:lang w:eastAsia="fr-FR"/>
    </w:rPr>
  </w:style>
  <w:style w:type="character" w:styleId="Lienhypertexte">
    <w:name w:val="Hyperlink"/>
    <w:basedOn w:val="Policepardfaut"/>
    <w:uiPriority w:val="99"/>
    <w:unhideWhenUsed/>
    <w:rsid w:val="008828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F21E-1997-4DC8-BB36-0FC5A0C3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3738</Words>
  <Characters>20559</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Gabarit de jugement pour la cour d'appel</vt:lpstr>
    </vt:vector>
  </TitlesOfParts>
  <Manager>Patrice Tardif</Manager>
  <Company>MJQ</Company>
  <LinksUpToDate>false</LinksUpToDate>
  <CharactersWithSpaces>24249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jugement pour la cour d'appel</dc:title>
  <dc:creator>Florence Benoit</dc:creator>
  <cp:lastModifiedBy>Gauthier, François</cp:lastModifiedBy>
  <cp:revision>2</cp:revision>
  <cp:lastPrinted>2022-08-23T13:37:00Z</cp:lastPrinted>
  <dcterms:created xsi:type="dcterms:W3CDTF">2022-11-23T13:06:00Z</dcterms:created>
  <dcterms:modified xsi:type="dcterms:W3CDTF">2022-11-23T13:06:00Z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Cour">
    <vt:lpwstr>CA</vt:lpwstr>
  </property>
  <property fmtid="{D5CDD505-2E9C-101B-9397-08002B2CF9AE}" pid="3" name="Soquij_DateModification">
    <vt:lpwstr>04-26-2001</vt:lpwstr>
  </property>
  <property fmtid="{D5CDD505-2E9C-101B-9397-08002B2CF9AE}" pid="4" name="Soquij_Langue">
    <vt:lpwstr>Fra</vt:lpwstr>
  </property>
  <property fmtid="{D5CDD505-2E9C-101B-9397-08002B2CF9AE}" pid="5" name="Soquij_Modele">
    <vt:lpwstr>Edj</vt:lpwstr>
  </property>
  <property fmtid="{D5CDD505-2E9C-101B-9397-08002B2CF9AE}" pid="6" name="Soquij_ModifiePar">
    <vt:lpwstr>renste</vt:lpwstr>
  </property>
  <property fmtid="{D5CDD505-2E9C-101B-9397-08002B2CF9AE}" pid="7" name="Soquij_Version">
    <vt:lpwstr>1.6</vt:lpwstr>
  </property>
</Properties>
</file>