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5B" w:rsidRPr="002A07D1" w:rsidRDefault="00C5395D">
      <w:pPr>
        <w:rPr>
          <w:bCs/>
        </w:rPr>
      </w:pPr>
      <w:bookmarkStart w:id="0" w:name="_GoBack"/>
      <w:bookmarkEnd w:id="0"/>
      <w:r w:rsidRPr="002A07D1">
        <w:rPr>
          <w:bCs/>
        </w:rPr>
        <w:t>Unofficial English Translation of the Judgment of the Court</w:t>
      </w:r>
    </w:p>
    <w:tbl>
      <w:tblPr>
        <w:tblW w:w="9505" w:type="dxa"/>
        <w:tblLayout w:type="fixed"/>
        <w:tblCellMar>
          <w:left w:w="70" w:type="dxa"/>
          <w:right w:w="70" w:type="dxa"/>
        </w:tblCellMar>
        <w:tblLook w:val="0000" w:firstRow="0" w:lastRow="0" w:firstColumn="0" w:lastColumn="0" w:noHBand="0" w:noVBand="0"/>
      </w:tblPr>
      <w:tblGrid>
        <w:gridCol w:w="1035"/>
        <w:gridCol w:w="58"/>
        <w:gridCol w:w="11"/>
        <w:gridCol w:w="667"/>
        <w:gridCol w:w="1653"/>
        <w:gridCol w:w="3663"/>
        <w:gridCol w:w="2418"/>
      </w:tblGrid>
      <w:tr w:rsidR="0065285B" w:rsidRPr="00436B41">
        <w:tblPrEx>
          <w:tblCellMar>
            <w:top w:w="0" w:type="dxa"/>
            <w:bottom w:w="0" w:type="dxa"/>
          </w:tblCellMar>
        </w:tblPrEx>
        <w:trPr>
          <w:trHeight w:val="360"/>
        </w:trPr>
        <w:tc>
          <w:tcPr>
            <w:tcW w:w="7087" w:type="dxa"/>
            <w:gridSpan w:val="6"/>
          </w:tcPr>
          <w:p w:rsidR="0065285B" w:rsidRPr="00436B41" w:rsidRDefault="00436B41">
            <w:pPr>
              <w:pStyle w:val="zSoquijdatRepertorie"/>
              <w:rPr>
                <w:lang w:val="fr-CA"/>
              </w:rPr>
            </w:pPr>
            <w:r w:rsidRPr="00436B41">
              <w:rPr>
                <w:rFonts w:cs="Arial"/>
                <w:lang w:val="fr-CA"/>
              </w:rPr>
              <w:t>Daniel c. Ville de Mont-Saint-Hilaire</w:t>
            </w:r>
          </w:p>
        </w:tc>
        <w:tc>
          <w:tcPr>
            <w:tcW w:w="2418" w:type="dxa"/>
          </w:tcPr>
          <w:p w:rsidR="0065285B" w:rsidRPr="00436B41" w:rsidRDefault="00436B41" w:rsidP="00436B41">
            <w:pPr>
              <w:pStyle w:val="zSoquijdatRefNeutre"/>
              <w:jc w:val="right"/>
              <w:rPr>
                <w:lang w:val="fr-CA"/>
              </w:rPr>
            </w:pPr>
            <w:r w:rsidRPr="004A4E7E">
              <w:rPr>
                <w:rFonts w:cs="Arial"/>
              </w:rPr>
              <w:t>2022 QCCA 1251</w:t>
            </w:r>
          </w:p>
        </w:tc>
      </w:tr>
      <w:tr w:rsidR="0065285B">
        <w:tblPrEx>
          <w:tblCellMar>
            <w:top w:w="0" w:type="dxa"/>
            <w:bottom w:w="0" w:type="dxa"/>
          </w:tblCellMar>
        </w:tblPrEx>
        <w:trPr>
          <w:trHeight w:val="900"/>
        </w:trPr>
        <w:tc>
          <w:tcPr>
            <w:tcW w:w="9505" w:type="dxa"/>
            <w:gridSpan w:val="7"/>
            <w:vAlign w:val="bottom"/>
          </w:tcPr>
          <w:p w:rsidR="0065285B" w:rsidRDefault="0065285B">
            <w:pPr>
              <w:pStyle w:val="zSoquijlblCour"/>
            </w:pPr>
            <w:r>
              <w:t>COURT OF APPEAL</w:t>
            </w:r>
          </w:p>
        </w:tc>
      </w:tr>
      <w:tr w:rsidR="0065285B">
        <w:tblPrEx>
          <w:tblCellMar>
            <w:top w:w="0" w:type="dxa"/>
            <w:bottom w:w="0" w:type="dxa"/>
          </w:tblCellMar>
        </w:tblPrEx>
        <w:trPr>
          <w:trHeight w:val="540"/>
        </w:trPr>
        <w:tc>
          <w:tcPr>
            <w:tcW w:w="9505" w:type="dxa"/>
            <w:gridSpan w:val="7"/>
          </w:tcPr>
          <w:p w:rsidR="0065285B" w:rsidRDefault="0065285B">
            <w:pPr>
              <w:pStyle w:val="zSoquijdatDivision"/>
            </w:pPr>
          </w:p>
        </w:tc>
      </w:tr>
      <w:tr w:rsidR="0065285B">
        <w:tblPrEx>
          <w:tblCellMar>
            <w:top w:w="0" w:type="dxa"/>
            <w:bottom w:w="0" w:type="dxa"/>
          </w:tblCellMar>
        </w:tblPrEx>
        <w:tc>
          <w:tcPr>
            <w:tcW w:w="9505" w:type="dxa"/>
            <w:gridSpan w:val="7"/>
          </w:tcPr>
          <w:p w:rsidR="0065285B" w:rsidRDefault="0065285B">
            <w:pPr>
              <w:pStyle w:val="zSoquijlblPays"/>
            </w:pPr>
            <w:r>
              <w:t>CANADA</w:t>
            </w:r>
          </w:p>
        </w:tc>
      </w:tr>
      <w:tr w:rsidR="0065285B">
        <w:tblPrEx>
          <w:tblCellMar>
            <w:top w:w="0" w:type="dxa"/>
            <w:bottom w:w="0" w:type="dxa"/>
          </w:tblCellMar>
        </w:tblPrEx>
        <w:tc>
          <w:tcPr>
            <w:tcW w:w="9505" w:type="dxa"/>
            <w:gridSpan w:val="7"/>
          </w:tcPr>
          <w:p w:rsidR="0065285B" w:rsidRDefault="0065285B">
            <w:pPr>
              <w:pStyle w:val="zSoquijlblProvince"/>
            </w:pPr>
            <w:r>
              <w:t>PROVINCE OF QUEBEC</w:t>
            </w:r>
          </w:p>
        </w:tc>
      </w:tr>
      <w:tr w:rsidR="0065285B" w:rsidTr="007E2ED2">
        <w:tblPrEx>
          <w:tblCellMar>
            <w:top w:w="0" w:type="dxa"/>
            <w:left w:w="0" w:type="dxa"/>
            <w:bottom w:w="0" w:type="dxa"/>
            <w:right w:w="0" w:type="dxa"/>
          </w:tblCellMar>
        </w:tblPrEx>
        <w:trPr>
          <w:cantSplit/>
        </w:trPr>
        <w:tc>
          <w:tcPr>
            <w:tcW w:w="1771" w:type="dxa"/>
            <w:gridSpan w:val="4"/>
          </w:tcPr>
          <w:p w:rsidR="0065285B" w:rsidRDefault="0065285B" w:rsidP="007E2ED2">
            <w:pPr>
              <w:pStyle w:val="zSoquijdatGreffe"/>
            </w:pPr>
            <w:r>
              <w:fldChar w:fldCharType="begin"/>
            </w:r>
            <w:r>
              <w:instrText xml:space="preserve"> SET Greffe \* MERGEFORMAT </w:instrText>
            </w:r>
            <w:r>
              <w:fldChar w:fldCharType="begin"/>
            </w:r>
            <w:r>
              <w:instrText xml:space="preserve"> FILLIN Greffe \* MERGEFORMAT </w:instrText>
            </w:r>
            <w:r>
              <w:fldChar w:fldCharType="end"/>
            </w:r>
            <w:r>
              <w:fldChar w:fldCharType="separate"/>
            </w:r>
            <w:bookmarkStart w:id="1" w:name="Greffe"/>
            <w:bookmarkEnd w:id="1"/>
            <w:r>
              <w:rPr>
                <w:noProof/>
              </w:rPr>
              <w:t xml:space="preserve"> </w:t>
            </w:r>
            <w:r>
              <w:fldChar w:fldCharType="end"/>
            </w:r>
            <w:r>
              <w:fldChar w:fldCharType="begin"/>
            </w:r>
            <w:r>
              <w:instrText xml:space="preserve"> Greffe </w:instrText>
            </w:r>
            <w:r>
              <w:fldChar w:fldCharType="end"/>
            </w:r>
            <w:r>
              <w:t xml:space="preserve"> REGISTRY</w:t>
            </w:r>
            <w:r w:rsidR="007E2ED2">
              <w:t xml:space="preserve"> OF </w:t>
            </w:r>
          </w:p>
        </w:tc>
        <w:tc>
          <w:tcPr>
            <w:tcW w:w="7734" w:type="dxa"/>
            <w:gridSpan w:val="3"/>
          </w:tcPr>
          <w:p w:rsidR="0065285B" w:rsidRDefault="007E2ED2">
            <w:pPr>
              <w:pStyle w:val="zSoquijlblGreffe"/>
            </w:pPr>
            <w:r>
              <w:t>MONTREAL</w:t>
            </w:r>
          </w:p>
        </w:tc>
      </w:tr>
      <w:tr w:rsidR="0065285B">
        <w:tblPrEx>
          <w:tblCellMar>
            <w:top w:w="0" w:type="dxa"/>
            <w:bottom w:w="0" w:type="dxa"/>
          </w:tblCellMar>
        </w:tblPrEx>
        <w:trPr>
          <w:trHeight w:val="540"/>
        </w:trPr>
        <w:tc>
          <w:tcPr>
            <w:tcW w:w="9505" w:type="dxa"/>
            <w:gridSpan w:val="7"/>
          </w:tcPr>
          <w:p w:rsidR="0065285B" w:rsidRDefault="0065285B">
            <w:pPr>
              <w:pStyle w:val="zSoquijlblNomChambre"/>
            </w:pPr>
          </w:p>
        </w:tc>
      </w:tr>
      <w:tr w:rsidR="0065285B">
        <w:tblPrEx>
          <w:tblCellMar>
            <w:top w:w="0" w:type="dxa"/>
            <w:bottom w:w="0" w:type="dxa"/>
          </w:tblCellMar>
        </w:tblPrEx>
        <w:tc>
          <w:tcPr>
            <w:tcW w:w="1104" w:type="dxa"/>
            <w:gridSpan w:val="3"/>
          </w:tcPr>
          <w:p w:rsidR="0065285B" w:rsidRDefault="0065285B">
            <w:pPr>
              <w:pStyle w:val="zSoquijlblNoDossier"/>
            </w:pPr>
            <w:r>
              <w:t>No</w:t>
            </w:r>
            <w:r w:rsidR="00A171B1">
              <w:t>s.</w:t>
            </w:r>
            <w:r>
              <w:t>:</w:t>
            </w:r>
          </w:p>
        </w:tc>
        <w:tc>
          <w:tcPr>
            <w:tcW w:w="8401" w:type="dxa"/>
            <w:gridSpan w:val="4"/>
          </w:tcPr>
          <w:p w:rsidR="0065285B" w:rsidRDefault="00A171B1">
            <w:pPr>
              <w:pStyle w:val="zSoquijdatNoDossier"/>
            </w:pPr>
            <w:r>
              <w:t>500-09-030045-223, 500-09-030080-220</w:t>
            </w:r>
          </w:p>
          <w:p w:rsidR="00A171B1" w:rsidRDefault="00A171B1">
            <w:pPr>
              <w:pStyle w:val="zSoquijdatNoDossier"/>
            </w:pPr>
            <w:r>
              <w:t>(75</w:t>
            </w:r>
            <w:r w:rsidR="00C56F64">
              <w:t>0</w:t>
            </w:r>
            <w:r>
              <w:t>-17-003691-205) (500-17-113751-203)</w:t>
            </w:r>
          </w:p>
        </w:tc>
      </w:tr>
      <w:tr w:rsidR="0065285B">
        <w:tblPrEx>
          <w:tblCellMar>
            <w:top w:w="0" w:type="dxa"/>
            <w:left w:w="0" w:type="dxa"/>
            <w:bottom w:w="0" w:type="dxa"/>
            <w:right w:w="0" w:type="dxa"/>
          </w:tblCellMar>
        </w:tblPrEx>
        <w:trPr>
          <w:cantSplit/>
        </w:trPr>
        <w:tc>
          <w:tcPr>
            <w:tcW w:w="1104" w:type="dxa"/>
            <w:gridSpan w:val="3"/>
          </w:tcPr>
          <w:p w:rsidR="0065285B" w:rsidRDefault="0065285B">
            <w:pPr>
              <w:pStyle w:val="zSoquijlblGreffe"/>
            </w:pPr>
          </w:p>
        </w:tc>
        <w:tc>
          <w:tcPr>
            <w:tcW w:w="8401" w:type="dxa"/>
            <w:gridSpan w:val="4"/>
          </w:tcPr>
          <w:p w:rsidR="0065285B" w:rsidRDefault="0065285B">
            <w:pPr>
              <w:pStyle w:val="zSoquijdatNoDossierAnt"/>
            </w:pPr>
          </w:p>
        </w:tc>
      </w:tr>
      <w:tr w:rsidR="0065285B">
        <w:tblPrEx>
          <w:tblCellMar>
            <w:top w:w="0" w:type="dxa"/>
            <w:bottom w:w="0" w:type="dxa"/>
          </w:tblCellMar>
        </w:tblPrEx>
        <w:tc>
          <w:tcPr>
            <w:tcW w:w="1035" w:type="dxa"/>
          </w:tcPr>
          <w:p w:rsidR="0065285B" w:rsidRDefault="0065285B">
            <w:pPr>
              <w:pStyle w:val="zSoquijlblDateJugement"/>
            </w:pPr>
            <w:r>
              <w:t>DATE:</w:t>
            </w:r>
          </w:p>
        </w:tc>
        <w:tc>
          <w:tcPr>
            <w:tcW w:w="8470" w:type="dxa"/>
            <w:gridSpan w:val="6"/>
          </w:tcPr>
          <w:p w:rsidR="0065285B" w:rsidRDefault="00D874A8">
            <w:pPr>
              <w:pStyle w:val="zSoquijdatDateJugement"/>
            </w:pPr>
            <w:r>
              <w:t>September 9, 2022</w:t>
            </w:r>
          </w:p>
        </w:tc>
      </w:tr>
      <w:tr w:rsidR="0065285B">
        <w:tblPrEx>
          <w:tblCellMar>
            <w:top w:w="0" w:type="dxa"/>
            <w:bottom w:w="0" w:type="dxa"/>
          </w:tblCellMar>
        </w:tblPrEx>
        <w:tc>
          <w:tcPr>
            <w:tcW w:w="9505" w:type="dxa"/>
            <w:gridSpan w:val="7"/>
          </w:tcPr>
          <w:p w:rsidR="0065285B" w:rsidRDefault="0065285B">
            <w:pPr>
              <w:ind w:left="14" w:right="-67"/>
            </w:pPr>
            <w:r>
              <w:t>______________________________________________________________________</w:t>
            </w:r>
          </w:p>
        </w:tc>
      </w:tr>
      <w:tr w:rsidR="0065285B">
        <w:tblPrEx>
          <w:tblCellMar>
            <w:top w:w="0" w:type="dxa"/>
            <w:bottom w:w="0" w:type="dxa"/>
          </w:tblCellMar>
        </w:tblPrEx>
        <w:tc>
          <w:tcPr>
            <w:tcW w:w="9505" w:type="dxa"/>
            <w:gridSpan w:val="7"/>
          </w:tcPr>
          <w:p w:rsidR="0065285B" w:rsidRDefault="0065285B"/>
        </w:tc>
      </w:tr>
      <w:tr w:rsidR="0065285B">
        <w:tblPrEx>
          <w:tblCellMar>
            <w:top w:w="0" w:type="dxa"/>
            <w:left w:w="0" w:type="dxa"/>
            <w:bottom w:w="0" w:type="dxa"/>
            <w:right w:w="0" w:type="dxa"/>
          </w:tblCellMar>
        </w:tblPrEx>
        <w:tc>
          <w:tcPr>
            <w:tcW w:w="1093" w:type="dxa"/>
            <w:gridSpan w:val="2"/>
          </w:tcPr>
          <w:p w:rsidR="0065285B" w:rsidRDefault="0065285B">
            <w:pPr>
              <w:pStyle w:val="zSoquijlblJuge"/>
            </w:pPr>
            <w:r>
              <w:t>CORAM:</w:t>
            </w:r>
          </w:p>
        </w:tc>
        <w:tc>
          <w:tcPr>
            <w:tcW w:w="2331" w:type="dxa"/>
            <w:gridSpan w:val="3"/>
          </w:tcPr>
          <w:p w:rsidR="0065285B" w:rsidRDefault="0065285B">
            <w:pPr>
              <w:pStyle w:val="zSoquijdatQteJuge"/>
            </w:pPr>
            <w:r>
              <w:t>THE HONOURABLE</w:t>
            </w:r>
          </w:p>
        </w:tc>
        <w:tc>
          <w:tcPr>
            <w:tcW w:w="6081" w:type="dxa"/>
            <w:gridSpan w:val="2"/>
          </w:tcPr>
          <w:p w:rsidR="0065285B" w:rsidRDefault="00D874A8">
            <w:pPr>
              <w:pStyle w:val="zSoquijdatJuge"/>
            </w:pPr>
            <w:r>
              <w:t>GUY GAGNON, J.A.</w:t>
            </w:r>
          </w:p>
          <w:p w:rsidR="00D874A8" w:rsidRDefault="00D874A8">
            <w:pPr>
              <w:pStyle w:val="zSoquijdatJuge"/>
            </w:pPr>
            <w:r>
              <w:t>PATRICK HEALY, J.A.</w:t>
            </w:r>
          </w:p>
          <w:p w:rsidR="00D874A8" w:rsidRDefault="00D874A8">
            <w:pPr>
              <w:pStyle w:val="zSoquijdatJuge"/>
            </w:pPr>
            <w:r>
              <w:t>FRÉDÉRIC BACHAND, J.A.</w:t>
            </w:r>
          </w:p>
        </w:tc>
      </w:tr>
      <w:tr w:rsidR="0065285B">
        <w:tblPrEx>
          <w:tblCellMar>
            <w:top w:w="0" w:type="dxa"/>
            <w:bottom w:w="0" w:type="dxa"/>
          </w:tblCellMar>
        </w:tblPrEx>
        <w:tc>
          <w:tcPr>
            <w:tcW w:w="9505" w:type="dxa"/>
            <w:gridSpan w:val="7"/>
          </w:tcPr>
          <w:p w:rsidR="0065285B" w:rsidRDefault="0065285B">
            <w:pPr>
              <w:ind w:left="14" w:right="-67"/>
            </w:pPr>
            <w:r>
              <w:t>______________________________________________________________________</w:t>
            </w:r>
          </w:p>
        </w:tc>
      </w:tr>
      <w:tr w:rsidR="0065285B">
        <w:tblPrEx>
          <w:tblCellMar>
            <w:top w:w="0" w:type="dxa"/>
            <w:bottom w:w="0" w:type="dxa"/>
          </w:tblCellMar>
        </w:tblPrEx>
        <w:tc>
          <w:tcPr>
            <w:tcW w:w="9505" w:type="dxa"/>
            <w:gridSpan w:val="7"/>
          </w:tcPr>
          <w:p w:rsidR="0065285B" w:rsidRDefault="0065285B">
            <w:pPr>
              <w:pStyle w:val="zSoquijlblTitrePartie"/>
            </w:pPr>
          </w:p>
        </w:tc>
      </w:tr>
      <w:tr w:rsidR="0065285B" w:rsidRPr="00D874A8">
        <w:tblPrEx>
          <w:tblCellMar>
            <w:top w:w="0" w:type="dxa"/>
            <w:bottom w:w="0" w:type="dxa"/>
          </w:tblCellMar>
        </w:tblPrEx>
        <w:tc>
          <w:tcPr>
            <w:tcW w:w="9505" w:type="dxa"/>
            <w:gridSpan w:val="7"/>
          </w:tcPr>
          <w:p w:rsidR="0065285B" w:rsidRDefault="00D874A8">
            <w:pPr>
              <w:rPr>
                <w:lang w:val="fr-CA"/>
              </w:rPr>
            </w:pPr>
            <w:r w:rsidRPr="00D874A8">
              <w:rPr>
                <w:lang w:val="fr-CA"/>
              </w:rPr>
              <w:t>No. 5</w:t>
            </w:r>
            <w:r>
              <w:rPr>
                <w:lang w:val="fr-CA"/>
              </w:rPr>
              <w:t>00-09-030045-223 (750-17-003691-205)</w:t>
            </w:r>
          </w:p>
          <w:p w:rsidR="00D874A8" w:rsidRPr="00D874A8" w:rsidRDefault="00D874A8">
            <w:pPr>
              <w:rPr>
                <w:lang w:val="fr-CA"/>
              </w:rPr>
            </w:pPr>
          </w:p>
        </w:tc>
      </w:tr>
      <w:tr w:rsidR="0065285B" w:rsidRPr="00D874A8">
        <w:tblPrEx>
          <w:tblCellMar>
            <w:top w:w="0" w:type="dxa"/>
            <w:bottom w:w="0" w:type="dxa"/>
          </w:tblCellMar>
        </w:tblPrEx>
        <w:tc>
          <w:tcPr>
            <w:tcW w:w="9505" w:type="dxa"/>
            <w:gridSpan w:val="7"/>
          </w:tcPr>
          <w:p w:rsidR="0065285B" w:rsidRPr="00D874A8" w:rsidRDefault="00D874A8">
            <w:pPr>
              <w:pStyle w:val="zSoquijdatNomPartieDem"/>
              <w:rPr>
                <w:lang w:val="fr-CA"/>
              </w:rPr>
            </w:pPr>
            <w:r>
              <w:t>RAMZI DANIEL</w:t>
            </w:r>
          </w:p>
        </w:tc>
      </w:tr>
      <w:tr w:rsidR="0065285B" w:rsidRPr="00D874A8">
        <w:tblPrEx>
          <w:tblCellMar>
            <w:top w:w="0" w:type="dxa"/>
            <w:bottom w:w="0" w:type="dxa"/>
          </w:tblCellMar>
        </w:tblPrEx>
        <w:tc>
          <w:tcPr>
            <w:tcW w:w="9505" w:type="dxa"/>
            <w:gridSpan w:val="7"/>
          </w:tcPr>
          <w:p w:rsidR="0065285B" w:rsidRPr="00D874A8" w:rsidRDefault="00D874A8">
            <w:pPr>
              <w:pStyle w:val="zSoquijdatQtePartieDem"/>
              <w:rPr>
                <w:lang w:val="fr-CA"/>
              </w:rPr>
            </w:pPr>
            <w:r>
              <w:t>APPELLANT – plaintiff</w:t>
            </w:r>
          </w:p>
        </w:tc>
      </w:tr>
      <w:tr w:rsidR="0065285B" w:rsidRPr="00D874A8">
        <w:tblPrEx>
          <w:tblCellMar>
            <w:top w:w="0" w:type="dxa"/>
            <w:bottom w:w="0" w:type="dxa"/>
          </w:tblCellMar>
        </w:tblPrEx>
        <w:tc>
          <w:tcPr>
            <w:tcW w:w="9505" w:type="dxa"/>
            <w:gridSpan w:val="7"/>
          </w:tcPr>
          <w:p w:rsidR="0065285B" w:rsidRPr="00D874A8" w:rsidRDefault="0065285B">
            <w:pPr>
              <w:pStyle w:val="zSoquijlblLienParties"/>
              <w:rPr>
                <w:lang w:val="fr-CA"/>
              </w:rPr>
            </w:pPr>
            <w:r w:rsidRPr="00D874A8">
              <w:rPr>
                <w:lang w:val="fr-CA"/>
              </w:rPr>
              <w:t>v.</w:t>
            </w:r>
          </w:p>
        </w:tc>
      </w:tr>
      <w:tr w:rsidR="0065285B">
        <w:tblPrEx>
          <w:tblCellMar>
            <w:top w:w="0" w:type="dxa"/>
            <w:bottom w:w="0" w:type="dxa"/>
          </w:tblCellMar>
        </w:tblPrEx>
        <w:tc>
          <w:tcPr>
            <w:tcW w:w="9505" w:type="dxa"/>
            <w:gridSpan w:val="7"/>
          </w:tcPr>
          <w:p w:rsidR="00D874A8" w:rsidRPr="00D874A8" w:rsidRDefault="00D874A8" w:rsidP="00D874A8">
            <w:pPr>
              <w:pStyle w:val="zSoquijdatNomPartieDef"/>
              <w:rPr>
                <w:lang w:val="fr-CA"/>
              </w:rPr>
            </w:pPr>
            <w:r w:rsidRPr="00D874A8">
              <w:rPr>
                <w:lang w:val="fr-CA"/>
              </w:rPr>
              <w:t>VILLE DE MONT-SAINT-HILAIRE</w:t>
            </w:r>
          </w:p>
          <w:p w:rsidR="00D874A8" w:rsidRPr="004F3D08" w:rsidRDefault="00D874A8" w:rsidP="00D874A8">
            <w:pPr>
              <w:pStyle w:val="zSoquijdatNomPartieDef"/>
            </w:pPr>
            <w:r w:rsidRPr="004F3D08">
              <w:t>WSP CANADA INC.</w:t>
            </w:r>
            <w:r w:rsidRPr="007C5570">
              <w:rPr>
                <w:noProof/>
                <w:lang w:eastAsia="fr-CA"/>
              </w:rPr>
              <w:t xml:space="preserve"> </w:t>
            </w:r>
          </w:p>
          <w:p w:rsidR="00D874A8" w:rsidRPr="004F3D08" w:rsidRDefault="00D874A8" w:rsidP="00D874A8">
            <w:pPr>
              <w:spacing w:after="5" w:line="250" w:lineRule="auto"/>
            </w:pPr>
            <w:r w:rsidRPr="004F3D08">
              <w:rPr>
                <w:b/>
              </w:rPr>
              <w:t>P. TALBOT INC.</w:t>
            </w:r>
            <w:r w:rsidRPr="004F3D08">
              <w:t xml:space="preserve"> </w:t>
            </w:r>
          </w:p>
          <w:p w:rsidR="0065285B" w:rsidRDefault="00D874A8" w:rsidP="00D874A8">
            <w:pPr>
              <w:pStyle w:val="zSoquijdatNomPartieDef"/>
            </w:pPr>
            <w:r w:rsidRPr="004F3D08">
              <w:t>ATTORNEY GENERAL OF QUEBEC</w:t>
            </w:r>
          </w:p>
        </w:tc>
      </w:tr>
      <w:tr w:rsidR="0065285B">
        <w:tblPrEx>
          <w:tblCellMar>
            <w:top w:w="0" w:type="dxa"/>
            <w:bottom w:w="0" w:type="dxa"/>
          </w:tblCellMar>
        </w:tblPrEx>
        <w:tc>
          <w:tcPr>
            <w:tcW w:w="9505" w:type="dxa"/>
            <w:gridSpan w:val="7"/>
          </w:tcPr>
          <w:p w:rsidR="0065285B" w:rsidRDefault="00D874A8">
            <w:pPr>
              <w:pStyle w:val="zSoquijdatQtePartieDef"/>
            </w:pPr>
            <w:r>
              <w:t>RESPONDENTS – defendants</w:t>
            </w:r>
          </w:p>
          <w:p w:rsidR="00D874A8" w:rsidRDefault="00D874A8" w:rsidP="00D874A8">
            <w:pPr>
              <w:pStyle w:val="zSoquijdatQtePartieDef"/>
              <w:ind w:left="0"/>
            </w:pPr>
          </w:p>
        </w:tc>
      </w:tr>
      <w:tr w:rsidR="0065285B" w:rsidTr="005655F9">
        <w:tblPrEx>
          <w:tblCellMar>
            <w:top w:w="0" w:type="dxa"/>
            <w:bottom w:w="0" w:type="dxa"/>
          </w:tblCellMar>
        </w:tblPrEx>
        <w:tc>
          <w:tcPr>
            <w:tcW w:w="9505" w:type="dxa"/>
            <w:gridSpan w:val="7"/>
          </w:tcPr>
          <w:p w:rsidR="0065285B" w:rsidRDefault="00D874A8">
            <w:pPr>
              <w:ind w:left="14" w:right="-95"/>
            </w:pPr>
            <w:r>
              <w:t>and</w:t>
            </w:r>
          </w:p>
          <w:p w:rsidR="00D874A8" w:rsidRDefault="00D874A8" w:rsidP="00D874A8">
            <w:pPr>
              <w:ind w:right="-95"/>
            </w:pPr>
            <w:r w:rsidRPr="004F3D08">
              <w:rPr>
                <w:b/>
              </w:rPr>
              <w:t>REGISTRAR OF THE REGISTRATION DIVISION OF ROUVILLE</w:t>
            </w:r>
          </w:p>
        </w:tc>
      </w:tr>
      <w:tr w:rsidR="0065285B" w:rsidTr="005655F9">
        <w:tblPrEx>
          <w:tblCellMar>
            <w:top w:w="0" w:type="dxa"/>
            <w:bottom w:w="0" w:type="dxa"/>
          </w:tblCellMar>
        </w:tblPrEx>
        <w:tc>
          <w:tcPr>
            <w:tcW w:w="9505" w:type="dxa"/>
            <w:gridSpan w:val="7"/>
            <w:tcBorders>
              <w:bottom w:val="single" w:sz="4" w:space="0" w:color="auto"/>
            </w:tcBorders>
          </w:tcPr>
          <w:p w:rsidR="0065285B" w:rsidRDefault="00D874A8" w:rsidP="00D874A8">
            <w:pPr>
              <w:pStyle w:val="zSoquijdatQtePartieDef"/>
            </w:pPr>
            <w:r>
              <w:t>IMPLEADED PARTY – impleaded party</w:t>
            </w:r>
          </w:p>
          <w:p w:rsidR="00D874A8" w:rsidRDefault="00D874A8" w:rsidP="00D874A8">
            <w:pPr>
              <w:pStyle w:val="zSoquijdatQtePartieDef"/>
              <w:ind w:left="0"/>
            </w:pPr>
          </w:p>
        </w:tc>
      </w:tr>
      <w:tr w:rsidR="005655F9" w:rsidTr="005655F9">
        <w:tblPrEx>
          <w:tblCellMar>
            <w:top w:w="0" w:type="dxa"/>
            <w:bottom w:w="0" w:type="dxa"/>
          </w:tblCellMar>
        </w:tblPrEx>
        <w:tc>
          <w:tcPr>
            <w:tcW w:w="9505" w:type="dxa"/>
            <w:gridSpan w:val="7"/>
            <w:tcBorders>
              <w:top w:val="single" w:sz="4" w:space="0" w:color="auto"/>
            </w:tcBorders>
          </w:tcPr>
          <w:p w:rsidR="005655F9" w:rsidRDefault="005655F9" w:rsidP="005655F9">
            <w:pPr>
              <w:rPr>
                <w:lang w:val="fr-CA"/>
              </w:rPr>
            </w:pPr>
          </w:p>
          <w:p w:rsidR="005655F9" w:rsidRDefault="005655F9" w:rsidP="005655F9">
            <w:pPr>
              <w:rPr>
                <w:lang w:val="fr-CA"/>
              </w:rPr>
            </w:pPr>
            <w:r w:rsidRPr="00D874A8">
              <w:rPr>
                <w:lang w:val="fr-CA"/>
              </w:rPr>
              <w:t>No. 5</w:t>
            </w:r>
            <w:r>
              <w:rPr>
                <w:lang w:val="fr-CA"/>
              </w:rPr>
              <w:t>00-09-030080-220 (500-17-113751-203)</w:t>
            </w:r>
          </w:p>
          <w:p w:rsidR="005655F9" w:rsidRPr="00D874A8" w:rsidRDefault="005655F9" w:rsidP="005655F9">
            <w:pPr>
              <w:rPr>
                <w:lang w:val="fr-CA"/>
              </w:rPr>
            </w:pPr>
          </w:p>
        </w:tc>
      </w:tr>
      <w:tr w:rsidR="005655F9">
        <w:tblPrEx>
          <w:tblCellMar>
            <w:top w:w="0" w:type="dxa"/>
            <w:bottom w:w="0" w:type="dxa"/>
          </w:tblCellMar>
        </w:tblPrEx>
        <w:tc>
          <w:tcPr>
            <w:tcW w:w="9505" w:type="dxa"/>
            <w:gridSpan w:val="7"/>
          </w:tcPr>
          <w:p w:rsidR="005655F9" w:rsidRPr="00D874A8" w:rsidRDefault="005655F9" w:rsidP="005655F9">
            <w:pPr>
              <w:pStyle w:val="zSoquijdatNomPartieDem"/>
              <w:rPr>
                <w:lang w:val="fr-CA"/>
              </w:rPr>
            </w:pPr>
            <w:r>
              <w:t>RAMZI DANIEL</w:t>
            </w:r>
          </w:p>
        </w:tc>
      </w:tr>
      <w:tr w:rsidR="005655F9">
        <w:tblPrEx>
          <w:tblCellMar>
            <w:top w:w="0" w:type="dxa"/>
            <w:bottom w:w="0" w:type="dxa"/>
          </w:tblCellMar>
        </w:tblPrEx>
        <w:tc>
          <w:tcPr>
            <w:tcW w:w="9505" w:type="dxa"/>
            <w:gridSpan w:val="7"/>
          </w:tcPr>
          <w:p w:rsidR="005655F9" w:rsidRPr="00D874A8" w:rsidRDefault="005D196D" w:rsidP="005655F9">
            <w:pPr>
              <w:pStyle w:val="zSoquijdatQtePartieDem"/>
              <w:rPr>
                <w:lang w:val="fr-CA"/>
              </w:rPr>
            </w:pPr>
            <w:r>
              <w:t xml:space="preserve">APPLICANT </w:t>
            </w:r>
            <w:r w:rsidR="005655F9">
              <w:t>– plaintiff</w:t>
            </w:r>
          </w:p>
        </w:tc>
      </w:tr>
      <w:tr w:rsidR="005655F9">
        <w:tblPrEx>
          <w:tblCellMar>
            <w:top w:w="0" w:type="dxa"/>
            <w:bottom w:w="0" w:type="dxa"/>
          </w:tblCellMar>
        </w:tblPrEx>
        <w:tc>
          <w:tcPr>
            <w:tcW w:w="9505" w:type="dxa"/>
            <w:gridSpan w:val="7"/>
          </w:tcPr>
          <w:p w:rsidR="005655F9" w:rsidRPr="00D874A8" w:rsidRDefault="005655F9" w:rsidP="005655F9">
            <w:pPr>
              <w:pStyle w:val="zSoquijlblLienParties"/>
              <w:rPr>
                <w:lang w:val="fr-CA"/>
              </w:rPr>
            </w:pPr>
            <w:r w:rsidRPr="00D874A8">
              <w:rPr>
                <w:lang w:val="fr-CA"/>
              </w:rPr>
              <w:t>v.</w:t>
            </w:r>
          </w:p>
        </w:tc>
      </w:tr>
      <w:tr w:rsidR="005655F9">
        <w:tblPrEx>
          <w:tblCellMar>
            <w:top w:w="0" w:type="dxa"/>
            <w:bottom w:w="0" w:type="dxa"/>
          </w:tblCellMar>
        </w:tblPrEx>
        <w:tc>
          <w:tcPr>
            <w:tcW w:w="9505" w:type="dxa"/>
            <w:gridSpan w:val="7"/>
          </w:tcPr>
          <w:p w:rsidR="005655F9" w:rsidRDefault="005655F9" w:rsidP="005655F9">
            <w:pPr>
              <w:pStyle w:val="zSoquijdatNomPartieDef"/>
            </w:pPr>
            <w:r w:rsidRPr="00D874A8">
              <w:rPr>
                <w:lang w:val="fr-CA"/>
              </w:rPr>
              <w:t>VILLE DE MONT-SAINT-HILAIRE</w:t>
            </w:r>
          </w:p>
        </w:tc>
      </w:tr>
      <w:tr w:rsidR="005D196D">
        <w:tblPrEx>
          <w:tblCellMar>
            <w:top w:w="0" w:type="dxa"/>
            <w:bottom w:w="0" w:type="dxa"/>
          </w:tblCellMar>
        </w:tblPrEx>
        <w:tc>
          <w:tcPr>
            <w:tcW w:w="9505" w:type="dxa"/>
            <w:gridSpan w:val="7"/>
          </w:tcPr>
          <w:p w:rsidR="005D196D" w:rsidRPr="00F649B2" w:rsidRDefault="00F649B2" w:rsidP="005D196D">
            <w:pPr>
              <w:pStyle w:val="zSoquijdatNomPartieDef"/>
              <w:ind w:left="709"/>
              <w:rPr>
                <w:b w:val="0"/>
                <w:lang w:val="fr-CA"/>
              </w:rPr>
            </w:pPr>
            <w:r>
              <w:rPr>
                <w:b w:val="0"/>
                <w:lang w:val="fr-CA"/>
              </w:rPr>
              <w:t>RESPONDENT-i</w:t>
            </w:r>
            <w:r w:rsidR="005D196D" w:rsidRPr="00F649B2">
              <w:rPr>
                <w:b w:val="0"/>
                <w:lang w:val="fr-CA"/>
              </w:rPr>
              <w:t>mpleaded party</w:t>
            </w:r>
          </w:p>
        </w:tc>
      </w:tr>
      <w:tr w:rsidR="005655F9" w:rsidRPr="00F649B2">
        <w:tblPrEx>
          <w:tblCellMar>
            <w:top w:w="0" w:type="dxa"/>
            <w:bottom w:w="0" w:type="dxa"/>
          </w:tblCellMar>
        </w:tblPrEx>
        <w:tc>
          <w:tcPr>
            <w:tcW w:w="9505" w:type="dxa"/>
            <w:gridSpan w:val="7"/>
          </w:tcPr>
          <w:p w:rsidR="005655F9" w:rsidRPr="00F649B2" w:rsidRDefault="005655F9" w:rsidP="005655F9">
            <w:pPr>
              <w:ind w:left="14" w:right="-95"/>
              <w:rPr>
                <w:lang w:val="fr-CA"/>
              </w:rPr>
            </w:pPr>
            <w:r w:rsidRPr="00F649B2">
              <w:rPr>
                <w:lang w:val="fr-CA"/>
              </w:rPr>
              <w:lastRenderedPageBreak/>
              <w:t>and</w:t>
            </w:r>
          </w:p>
          <w:p w:rsidR="005655F9" w:rsidRPr="00F649B2" w:rsidRDefault="005655F9" w:rsidP="005655F9">
            <w:pPr>
              <w:ind w:right="-95"/>
              <w:rPr>
                <w:lang w:val="fr-CA"/>
              </w:rPr>
            </w:pPr>
            <w:r w:rsidRPr="00F649B2">
              <w:rPr>
                <w:b/>
                <w:lang w:val="fr-CA"/>
              </w:rPr>
              <w:t>TRIBUNAL ADMINISTRATIF DU QUÉBEC</w:t>
            </w:r>
          </w:p>
        </w:tc>
      </w:tr>
      <w:tr w:rsidR="005655F9">
        <w:tblPrEx>
          <w:tblCellMar>
            <w:top w:w="0" w:type="dxa"/>
            <w:bottom w:w="0" w:type="dxa"/>
          </w:tblCellMar>
        </w:tblPrEx>
        <w:tc>
          <w:tcPr>
            <w:tcW w:w="9505" w:type="dxa"/>
            <w:gridSpan w:val="7"/>
          </w:tcPr>
          <w:p w:rsidR="005655F9" w:rsidRDefault="005655F9" w:rsidP="005655F9">
            <w:pPr>
              <w:pStyle w:val="zSoquijdatQtePartieDef"/>
            </w:pPr>
            <w:r>
              <w:t>IMPLEADED PARTY – defendant</w:t>
            </w:r>
          </w:p>
          <w:p w:rsidR="005655F9" w:rsidRDefault="005655F9" w:rsidP="005655F9">
            <w:pPr>
              <w:pStyle w:val="zSoquijdatQtePartieDef"/>
              <w:ind w:left="0"/>
            </w:pPr>
          </w:p>
        </w:tc>
      </w:tr>
      <w:tr w:rsidR="005655F9" w:rsidTr="006D5B34">
        <w:tblPrEx>
          <w:tblCellMar>
            <w:top w:w="0" w:type="dxa"/>
            <w:bottom w:w="0" w:type="dxa"/>
          </w:tblCellMar>
        </w:tblPrEx>
        <w:tc>
          <w:tcPr>
            <w:tcW w:w="9505" w:type="dxa"/>
            <w:gridSpan w:val="7"/>
          </w:tcPr>
          <w:p w:rsidR="005655F9" w:rsidRDefault="005655F9" w:rsidP="005655F9">
            <w:pPr>
              <w:ind w:left="14" w:right="-70"/>
            </w:pPr>
            <w:r>
              <w:t>______________________________________________________________________</w:t>
            </w:r>
          </w:p>
        </w:tc>
      </w:tr>
      <w:tr w:rsidR="005655F9" w:rsidTr="006D5B34">
        <w:tblPrEx>
          <w:tblCellMar>
            <w:top w:w="0" w:type="dxa"/>
            <w:bottom w:w="0" w:type="dxa"/>
          </w:tblCellMar>
        </w:tblPrEx>
        <w:tc>
          <w:tcPr>
            <w:tcW w:w="9505" w:type="dxa"/>
            <w:gridSpan w:val="7"/>
            <w:tcBorders>
              <w:bottom w:val="single" w:sz="4" w:space="0" w:color="auto"/>
            </w:tcBorders>
          </w:tcPr>
          <w:p w:rsidR="005655F9" w:rsidRDefault="006D5B34" w:rsidP="006D5B34">
            <w:pPr>
              <w:spacing w:before="240" w:after="240"/>
              <w:jc w:val="center"/>
            </w:pPr>
            <w:r>
              <w:t>JUDGMENT</w:t>
            </w:r>
          </w:p>
        </w:tc>
      </w:tr>
    </w:tbl>
    <w:p w:rsidR="0065285B" w:rsidRDefault="009F4A21">
      <w:pPr>
        <w:pStyle w:val="Paragraphe"/>
      </w:pPr>
      <w:r>
        <w:t>The Court has before it several appl</w:t>
      </w:r>
      <w:r w:rsidR="00545F96">
        <w:t>ications in two files arising f</w:t>
      </w:r>
      <w:r>
        <w:t>r</w:t>
      </w:r>
      <w:r w:rsidR="00545F96">
        <w:t>o</w:t>
      </w:r>
      <w:r>
        <w:t xml:space="preserve">m a single dispute </w:t>
      </w:r>
      <w:r w:rsidR="00545F96">
        <w:t>with</w:t>
      </w:r>
      <w:r>
        <w:t xml:space="preserve"> </w:t>
      </w:r>
      <w:r w:rsidR="00545F96">
        <w:t>multiple</w:t>
      </w:r>
      <w:r>
        <w:t xml:space="preserve"> legal ramifications.</w:t>
      </w:r>
    </w:p>
    <w:p w:rsidR="009F4A21" w:rsidRDefault="009F4A21">
      <w:pPr>
        <w:pStyle w:val="Paragraphe"/>
      </w:pPr>
      <w:r>
        <w:t>This dispute concerns land that belonge</w:t>
      </w:r>
      <w:r w:rsidR="00545F96">
        <w:t>d to Mr. Daniel</w:t>
      </w:r>
      <w:r>
        <w:t xml:space="preserve"> before it was expropriated by Ville de Mont-St-Hilaire</w:t>
      </w:r>
      <w:r w:rsidR="008D639A">
        <w:t xml:space="preserve"> (Ville)</w:t>
      </w:r>
      <w:r>
        <w:t xml:space="preserve"> in 2007. That gave rise to an administrative </w:t>
      </w:r>
      <w:r w:rsidR="005D196D">
        <w:t xml:space="preserve">proceeding </w:t>
      </w:r>
      <w:r>
        <w:t xml:space="preserve">that has been before the Tribunal administrative du Québec (“TAQ”) for about 15 years, and three civil actions, two of which ended prematurely due to Mr. Daniel’s failure to </w:t>
      </w:r>
      <w:r w:rsidR="005D196D">
        <w:t xml:space="preserve">set </w:t>
      </w:r>
      <w:r>
        <w:t xml:space="preserve">the case </w:t>
      </w:r>
      <w:r w:rsidR="005D196D">
        <w:t xml:space="preserve">down </w:t>
      </w:r>
      <w:r>
        <w:t xml:space="preserve">for trial </w:t>
      </w:r>
      <w:r w:rsidR="00AD1024">
        <w:t xml:space="preserve">and judgment </w:t>
      </w:r>
      <w:r w:rsidR="005D196D">
        <w:t xml:space="preserve">within </w:t>
      </w:r>
      <w:r w:rsidR="00246F3D">
        <w:t>the time limit</w:t>
      </w:r>
      <w:r>
        <w:t xml:space="preserve"> set out </w:t>
      </w:r>
      <w:r w:rsidR="00361F39">
        <w:t>in</w:t>
      </w:r>
      <w:r>
        <w:t xml:space="preserve"> art. 173 C.C.P.</w:t>
      </w:r>
      <w:r>
        <w:rPr>
          <w:rStyle w:val="Appelnotedebasdep"/>
        </w:rPr>
        <w:footnoteReference w:id="1"/>
      </w:r>
    </w:p>
    <w:p w:rsidR="00246F3D" w:rsidRPr="00246F3D" w:rsidRDefault="00246F3D" w:rsidP="00246F3D">
      <w:pPr>
        <w:pStyle w:val="Paragraphe"/>
        <w:numPr>
          <w:ilvl w:val="0"/>
          <w:numId w:val="0"/>
        </w:numPr>
        <w:jc w:val="center"/>
        <w:rPr>
          <w:b/>
          <w:u w:val="single"/>
        </w:rPr>
      </w:pPr>
      <w:r w:rsidRPr="00246F3D">
        <w:rPr>
          <w:b/>
          <w:u w:val="single"/>
        </w:rPr>
        <w:t>File No. 500-09-030080-220</w:t>
      </w:r>
    </w:p>
    <w:p w:rsidR="00246F3D" w:rsidRDefault="007B7920">
      <w:pPr>
        <w:pStyle w:val="Paragraphe"/>
      </w:pPr>
      <w:r>
        <w:t xml:space="preserve">In the first file – the administrative file – the Court must first hear </w:t>
      </w:r>
      <w:r w:rsidR="007E3186">
        <w:t xml:space="preserve">Mr. Daniel’s </w:t>
      </w:r>
      <w:r>
        <w:t xml:space="preserve">application </w:t>
      </w:r>
      <w:r w:rsidR="007E3186">
        <w:t xml:space="preserve">for </w:t>
      </w:r>
      <w:r>
        <w:t>leave to appeal</w:t>
      </w:r>
      <w:r>
        <w:rPr>
          <w:rStyle w:val="Appelnotedebasdep"/>
        </w:rPr>
        <w:footnoteReference w:id="2"/>
      </w:r>
      <w:r>
        <w:t xml:space="preserve"> after the expiry of the time limit</w:t>
      </w:r>
      <w:r>
        <w:rPr>
          <w:rStyle w:val="Appelnotedebasdep"/>
        </w:rPr>
        <w:footnoteReference w:id="3"/>
      </w:r>
      <w:r>
        <w:t xml:space="preserve"> from a judgment rendered from the bench by the Superior Court (the Honourable Gregory Moore), dismissing </w:t>
      </w:r>
      <w:r w:rsidR="007E3186">
        <w:t xml:space="preserve">and declaring abusive </w:t>
      </w:r>
      <w:r>
        <w:t xml:space="preserve">his application for judicial review </w:t>
      </w:r>
      <w:r w:rsidR="007E3186">
        <w:t xml:space="preserve">of </w:t>
      </w:r>
      <w:r>
        <w:t>a TAQ decision rendered in August 2020</w:t>
      </w:r>
      <w:r w:rsidR="00B84838">
        <w:t>.</w:t>
      </w:r>
      <w:r>
        <w:rPr>
          <w:rStyle w:val="Appelnotedebasdep"/>
        </w:rPr>
        <w:footnoteReference w:id="4"/>
      </w:r>
      <w:r w:rsidR="008D639A">
        <w:t xml:space="preserve"> That judgment dismissed an application for revocation of management decisions made earlier by the TAQ and an application to stay the expropriation procedure under</w:t>
      </w:r>
      <w:r w:rsidR="00361F39">
        <w:t xml:space="preserve"> </w:t>
      </w:r>
      <w:r w:rsidR="008D639A">
        <w:t xml:space="preserve">way at the time. In its judgment, the Superior Court also condemned Mr. Daniel to pay the Ville the amount of $2,000 to reimburse </w:t>
      </w:r>
      <w:r w:rsidR="00361F39">
        <w:t xml:space="preserve">the </w:t>
      </w:r>
      <w:r w:rsidR="00545F96">
        <w:t>professional</w:t>
      </w:r>
      <w:r w:rsidR="008D639A">
        <w:t xml:space="preserve"> fees</w:t>
      </w:r>
      <w:r w:rsidR="007E3186">
        <w:t xml:space="preserve"> </w:t>
      </w:r>
      <w:r w:rsidR="00361F39">
        <w:t xml:space="preserve">it had </w:t>
      </w:r>
      <w:r w:rsidR="008D639A">
        <w:t>incurred.</w:t>
      </w:r>
    </w:p>
    <w:p w:rsidR="008D639A" w:rsidRDefault="0053296E">
      <w:pPr>
        <w:pStyle w:val="Paragraphe"/>
      </w:pPr>
      <w:r>
        <w:t xml:space="preserve">The Court </w:t>
      </w:r>
      <w:r w:rsidR="007E3186">
        <w:t xml:space="preserve">must </w:t>
      </w:r>
      <w:r>
        <w:t xml:space="preserve">also </w:t>
      </w:r>
      <w:r w:rsidR="007E3186">
        <w:t xml:space="preserve">hear </w:t>
      </w:r>
      <w:r>
        <w:t>an application for a declaration of abuse and for damages brought by the Ville</w:t>
      </w:r>
      <w:r w:rsidR="00361F39">
        <w:t>.</w:t>
      </w:r>
      <w:r>
        <w:rPr>
          <w:rStyle w:val="Appelnotedebasdep"/>
        </w:rPr>
        <w:footnoteReference w:id="5"/>
      </w:r>
      <w:r>
        <w:t xml:space="preserve"> </w:t>
      </w:r>
      <w:r w:rsidR="00361F39">
        <w:t xml:space="preserve">It </w:t>
      </w:r>
      <w:r>
        <w:t>argues that Mr. Daniel’s appellate pleading is abusive</w:t>
      </w:r>
      <w:r w:rsidR="00361F39">
        <w:t xml:space="preserve"> and would like </w:t>
      </w:r>
      <w:r>
        <w:t xml:space="preserve">the Court to order him to reimburse the </w:t>
      </w:r>
      <w:r w:rsidR="00545F96">
        <w:t>professional</w:t>
      </w:r>
      <w:r>
        <w:t xml:space="preserve"> fees (</w:t>
      </w:r>
      <w:r w:rsidR="00545F96">
        <w:t>disbursements</w:t>
      </w:r>
      <w:r>
        <w:t xml:space="preserve"> included) </w:t>
      </w:r>
      <w:r w:rsidR="00361F39">
        <w:t xml:space="preserve">it has </w:t>
      </w:r>
      <w:r>
        <w:t>incurred to contest it.</w:t>
      </w:r>
    </w:p>
    <w:p w:rsidR="00E5617E" w:rsidRPr="0076047E" w:rsidRDefault="00E5617E" w:rsidP="00361F39">
      <w:pPr>
        <w:pStyle w:val="Paragraphe"/>
        <w:keepNext/>
        <w:numPr>
          <w:ilvl w:val="0"/>
          <w:numId w:val="15"/>
        </w:numPr>
        <w:rPr>
          <w:b/>
          <w:i/>
        </w:rPr>
      </w:pPr>
      <w:r w:rsidRPr="0076047E">
        <w:rPr>
          <w:b/>
          <w:i/>
        </w:rPr>
        <w:lastRenderedPageBreak/>
        <w:t>Application for leave to appeal after the expiry of the time limit</w:t>
      </w:r>
    </w:p>
    <w:p w:rsidR="0027344B" w:rsidRDefault="00E5617E" w:rsidP="00361F39">
      <w:pPr>
        <w:pStyle w:val="Paragraphe"/>
        <w:keepNext/>
      </w:pPr>
      <w:r>
        <w:t xml:space="preserve">Mr. Daniel’s </w:t>
      </w:r>
      <w:r w:rsidR="007E3186">
        <w:t>application is</w:t>
      </w:r>
      <w:r>
        <w:t xml:space="preserve"> clearly late</w:t>
      </w:r>
      <w:r w:rsidR="00361F39">
        <w:t>.</w:t>
      </w:r>
      <w:r>
        <w:t xml:space="preserve"> </w:t>
      </w:r>
      <w:r w:rsidR="00361F39">
        <w:t>T</w:t>
      </w:r>
      <w:r>
        <w:t>he Superior Court judgment was rendered from the bench on December 3, 2021, and the appeal was filed on June</w:t>
      </w:r>
      <w:r w:rsidR="00361F39">
        <w:t> </w:t>
      </w:r>
      <w:r>
        <w:t>2,</w:t>
      </w:r>
      <w:r w:rsidR="00361F39">
        <w:t> </w:t>
      </w:r>
      <w:r>
        <w:t xml:space="preserve">2022, well beyond the 30-day time limit set out </w:t>
      </w:r>
      <w:r w:rsidR="00361F39">
        <w:t>in</w:t>
      </w:r>
      <w:r>
        <w:t xml:space="preserve"> </w:t>
      </w:r>
      <w:r w:rsidR="009279D3">
        <w:t xml:space="preserve">the first paragraph of </w:t>
      </w:r>
      <w:r>
        <w:t>art. 360 C.C.P.</w:t>
      </w:r>
    </w:p>
    <w:p w:rsidR="00E5617E" w:rsidRDefault="00E5617E">
      <w:pPr>
        <w:pStyle w:val="Paragraphe"/>
      </w:pPr>
      <w:r>
        <w:t>In addition, Mr. Daniel is unable to show that it was impossible</w:t>
      </w:r>
      <w:r w:rsidR="007963FF">
        <w:t xml:space="preserve"> in fact</w:t>
      </w:r>
      <w:r>
        <w:t xml:space="preserve"> for him to act </w:t>
      </w:r>
      <w:r w:rsidR="007963FF">
        <w:t>earlier</w:t>
      </w:r>
      <w:r w:rsidR="009F6C05">
        <w:t>,</w:t>
      </w:r>
      <w:r w:rsidR="007963FF">
        <w:t xml:space="preserve"> within the meaning of </w:t>
      </w:r>
      <w:r w:rsidR="009279D3">
        <w:t xml:space="preserve">the second paragraph of </w:t>
      </w:r>
      <w:r w:rsidR="007963FF">
        <w:t>art. 363 C.C</w:t>
      </w:r>
      <w:r w:rsidR="00243D4F">
        <w:t>.</w:t>
      </w:r>
      <w:r w:rsidR="007963FF">
        <w:t>P. According to his own admission, he had a copy of the Superior Court judgment as early as January</w:t>
      </w:r>
      <w:r w:rsidR="009F6C05">
        <w:t> </w:t>
      </w:r>
      <w:r w:rsidR="007963FF">
        <w:t xml:space="preserve">21, 2022, and his arguments relating </w:t>
      </w:r>
      <w:r w:rsidR="007E3186">
        <w:t xml:space="preserve">to </w:t>
      </w:r>
      <w:r w:rsidR="007963FF">
        <w:t>his diligence between that date and June 2, 2022</w:t>
      </w:r>
      <w:r w:rsidR="00243D4F">
        <w:t>,</w:t>
      </w:r>
      <w:r w:rsidR="007963FF">
        <w:t xml:space="preserve"> are without merit. Even supposing that the </w:t>
      </w:r>
      <w:r w:rsidR="00243D4F">
        <w:t>lawyer</w:t>
      </w:r>
      <w:r w:rsidR="007963FF">
        <w:t xml:space="preserve"> he claims to have mandated is responsible for the fact that his appe</w:t>
      </w:r>
      <w:r w:rsidR="007E3186">
        <w:t>a</w:t>
      </w:r>
      <w:r w:rsidR="007963FF">
        <w:t xml:space="preserve">l still </w:t>
      </w:r>
      <w:r w:rsidR="007E3186">
        <w:t xml:space="preserve">had </w:t>
      </w:r>
      <w:r w:rsidR="007963FF">
        <w:t xml:space="preserve">not </w:t>
      </w:r>
      <w:r w:rsidR="007E3186">
        <w:t xml:space="preserve">been </w:t>
      </w:r>
      <w:r w:rsidR="007963FF">
        <w:t xml:space="preserve">filed with the </w:t>
      </w:r>
      <w:r w:rsidR="005E1B85">
        <w:t>c</w:t>
      </w:r>
      <w:r w:rsidR="007963FF">
        <w:t>ourt office by late February 2022, it remains that the subsequent delay of over three months is due to his</w:t>
      </w:r>
      <w:r w:rsidR="00243D4F">
        <w:t xml:space="preserve"> own</w:t>
      </w:r>
      <w:r w:rsidR="007963FF">
        <w:t xml:space="preserve"> lack of diligence.</w:t>
      </w:r>
    </w:p>
    <w:p w:rsidR="007963FF" w:rsidRDefault="007963FF">
      <w:pPr>
        <w:pStyle w:val="Paragraphe"/>
      </w:pPr>
      <w:r>
        <w:t>This is enough to dismiss his application for leave to appeal after the expiry of the time limit.</w:t>
      </w:r>
    </w:p>
    <w:p w:rsidR="007963FF" w:rsidRPr="005E1B85" w:rsidRDefault="007963FF" w:rsidP="007963FF">
      <w:pPr>
        <w:pStyle w:val="Paragraphe"/>
        <w:numPr>
          <w:ilvl w:val="0"/>
          <w:numId w:val="15"/>
        </w:numPr>
        <w:rPr>
          <w:b/>
          <w:i/>
        </w:rPr>
      </w:pPr>
      <w:r w:rsidRPr="005E1B85">
        <w:rPr>
          <w:b/>
          <w:i/>
        </w:rPr>
        <w:t xml:space="preserve">Application for a declaration of abuse and </w:t>
      </w:r>
      <w:r w:rsidR="00243D4F" w:rsidRPr="005E1B85">
        <w:rPr>
          <w:b/>
          <w:i/>
        </w:rPr>
        <w:t>for</w:t>
      </w:r>
      <w:r w:rsidRPr="005E1B85">
        <w:rPr>
          <w:b/>
          <w:i/>
        </w:rPr>
        <w:t xml:space="preserve"> damages</w:t>
      </w:r>
    </w:p>
    <w:p w:rsidR="007963FF" w:rsidRDefault="00243D4F">
      <w:pPr>
        <w:pStyle w:val="Paragraphe"/>
      </w:pPr>
      <w:r>
        <w:t>T</w:t>
      </w:r>
      <w:r w:rsidR="00777827">
        <w:t>he Ville is</w:t>
      </w:r>
      <w:r>
        <w:t xml:space="preserve"> also</w:t>
      </w:r>
      <w:r w:rsidR="00777827">
        <w:t xml:space="preserve"> right </w:t>
      </w:r>
      <w:r w:rsidR="009F6C05">
        <w:t>in arguing</w:t>
      </w:r>
      <w:r w:rsidR="00777827">
        <w:t xml:space="preserve"> that Mr. </w:t>
      </w:r>
      <w:r>
        <w:t>Daniel’s</w:t>
      </w:r>
      <w:r w:rsidR="00777827">
        <w:t xml:space="preserve"> application is an abuse of procedure.</w:t>
      </w:r>
    </w:p>
    <w:p w:rsidR="00777827" w:rsidRDefault="00777827">
      <w:pPr>
        <w:pStyle w:val="Paragraphe"/>
      </w:pPr>
      <w:r>
        <w:t xml:space="preserve">On the merits, Mr. Daniel </w:t>
      </w:r>
      <w:r w:rsidR="00243D4F">
        <w:t>continues to contest</w:t>
      </w:r>
      <w:r>
        <w:t xml:space="preserve"> </w:t>
      </w:r>
      <w:r w:rsidR="007E3186">
        <w:t xml:space="preserve">the </w:t>
      </w:r>
      <w:r>
        <w:t>TAQ management decisions concerning issu</w:t>
      </w:r>
      <w:r w:rsidR="00243D4F">
        <w:t xml:space="preserve">es that </w:t>
      </w:r>
      <w:r w:rsidR="009F6C05">
        <w:t xml:space="preserve">have </w:t>
      </w:r>
      <w:r w:rsidR="007E3186">
        <w:t xml:space="preserve">for the most part </w:t>
      </w:r>
      <w:r w:rsidR="00243D4F">
        <w:t>become moot</w:t>
      </w:r>
      <w:r w:rsidR="009F6C05">
        <w:t>, yet presents no argument likely</w:t>
      </w:r>
      <w:r>
        <w:t xml:space="preserve"> to raise </w:t>
      </w:r>
      <w:r w:rsidR="009F6C05">
        <w:t xml:space="preserve">any </w:t>
      </w:r>
      <w:r>
        <w:t>issue</w:t>
      </w:r>
      <w:r w:rsidR="009F6C05">
        <w:t>s</w:t>
      </w:r>
      <w:r>
        <w:t xml:space="preserve"> worthy of this Court’s attention.</w:t>
      </w:r>
      <w:r>
        <w:rPr>
          <w:rStyle w:val="Appelnotedebasdep"/>
        </w:rPr>
        <w:footnoteReference w:id="6"/>
      </w:r>
    </w:p>
    <w:p w:rsidR="000A69A7" w:rsidRDefault="00777827" w:rsidP="000A69A7">
      <w:pPr>
        <w:pStyle w:val="Paragraphe"/>
      </w:pPr>
      <w:r>
        <w:t xml:space="preserve">As for the </w:t>
      </w:r>
      <w:r w:rsidR="009F6C05">
        <w:t xml:space="preserve">alleged </w:t>
      </w:r>
      <w:r>
        <w:t xml:space="preserve">breaches of procedural </w:t>
      </w:r>
      <w:r w:rsidR="009F6C05">
        <w:t>fairness</w:t>
      </w:r>
      <w:r>
        <w:t xml:space="preserve"> durin</w:t>
      </w:r>
      <w:r w:rsidR="0036046F">
        <w:t>g the hearing before the Superior Court, Mr. Daniel</w:t>
      </w:r>
      <w:r w:rsidR="000A69A7">
        <w:t>’</w:t>
      </w:r>
      <w:r w:rsidR="0036046F">
        <w:t xml:space="preserve">s </w:t>
      </w:r>
      <w:r w:rsidR="000A69A7">
        <w:t>arguments</w:t>
      </w:r>
      <w:r w:rsidR="0036046F">
        <w:t xml:space="preserve"> are not serious. The judge was clearly right to refuse to grant the verbal application </w:t>
      </w:r>
      <w:r w:rsidR="00D41710">
        <w:t>for</w:t>
      </w:r>
      <w:r w:rsidR="0036046F">
        <w:t xml:space="preserve"> recusation presented at the outset of the hearing, </w:t>
      </w:r>
      <w:r w:rsidR="009F6C05">
        <w:t>as it</w:t>
      </w:r>
      <w:r w:rsidR="0036046F">
        <w:t xml:space="preserve"> was based on nothing more than vague allegations that Mr. Daniel had consulted lawyers working in the firm where the judge practi</w:t>
      </w:r>
      <w:r w:rsidR="00D41710">
        <w:t>s</w:t>
      </w:r>
      <w:r w:rsidR="0036046F">
        <w:t xml:space="preserve">ed before </w:t>
      </w:r>
      <w:r w:rsidR="00D41710">
        <w:t>being appointed</w:t>
      </w:r>
      <w:r w:rsidR="005E1B85">
        <w:t xml:space="preserve"> to the judiciary</w:t>
      </w:r>
      <w:r w:rsidR="0036046F">
        <w:t xml:space="preserve">. In addition, the judge clearly did not violate the </w:t>
      </w:r>
      <w:r w:rsidR="0036046F" w:rsidRPr="000A69A7">
        <w:rPr>
          <w:i/>
        </w:rPr>
        <w:t>audi alteram partem</w:t>
      </w:r>
      <w:r w:rsidR="0036046F">
        <w:t xml:space="preserve"> rule by continuing the hearing without Mr. Daniel. </w:t>
      </w:r>
      <w:r w:rsidR="00016BD2">
        <w:t>Rather, t</w:t>
      </w:r>
      <w:r w:rsidR="0036046F">
        <w:t xml:space="preserve">he </w:t>
      </w:r>
      <w:r w:rsidR="000A69A7">
        <w:t>minutes</w:t>
      </w:r>
      <w:r w:rsidR="0036046F">
        <w:t xml:space="preserve"> </w:t>
      </w:r>
      <w:r w:rsidR="000A69A7">
        <w:t>o</w:t>
      </w:r>
      <w:r w:rsidR="0036046F">
        <w:t xml:space="preserve">f the hearing show that Mr. Daniel voluntarily chose to stop taking part in the hearing after the judge dismissed his request to suspend </w:t>
      </w:r>
      <w:r w:rsidR="00D41710">
        <w:t xml:space="preserve">it </w:t>
      </w:r>
      <w:r w:rsidR="0036046F">
        <w:t xml:space="preserve">and continue it at a later date. His </w:t>
      </w:r>
      <w:r w:rsidR="000A69A7">
        <w:t>arguments</w:t>
      </w:r>
      <w:r w:rsidR="0036046F">
        <w:t xml:space="preserve"> that it was impossible for him to take part in the hearing in the afternoon do not withstand scrutiny. In short, everything seems to indicate that Mr.</w:t>
      </w:r>
      <w:r w:rsidR="000A69A7">
        <w:t xml:space="preserve"> D</w:t>
      </w:r>
      <w:r w:rsidR="0036046F">
        <w:t>anie</w:t>
      </w:r>
      <w:r w:rsidR="000A69A7">
        <w:t>l</w:t>
      </w:r>
      <w:r w:rsidR="00D41710">
        <w:t xml:space="preserve">’s </w:t>
      </w:r>
      <w:r w:rsidR="00016BD2">
        <w:t xml:space="preserve">purpose in </w:t>
      </w:r>
      <w:r w:rsidR="00D41710">
        <w:t>appeal</w:t>
      </w:r>
      <w:r w:rsidR="00016BD2">
        <w:t>ing was</w:t>
      </w:r>
      <w:r w:rsidR="0036046F">
        <w:t xml:space="preserve"> to continue the abuse of procedure noted in first instance.</w:t>
      </w:r>
      <w:r w:rsidR="0036046F">
        <w:rPr>
          <w:rStyle w:val="Appelnotedebasdep"/>
        </w:rPr>
        <w:footnoteReference w:id="7"/>
      </w:r>
    </w:p>
    <w:p w:rsidR="000A69A7" w:rsidRDefault="009C3DBA" w:rsidP="000A69A7">
      <w:pPr>
        <w:pStyle w:val="Paragraphe"/>
      </w:pPr>
      <w:r>
        <w:lastRenderedPageBreak/>
        <w:t xml:space="preserve">Because, ultimately, </w:t>
      </w:r>
      <w:r w:rsidR="000A69A7">
        <w:t xml:space="preserve">the Ville’s application for reimbursement of its </w:t>
      </w:r>
      <w:r w:rsidR="00231C41">
        <w:t>professional</w:t>
      </w:r>
      <w:r w:rsidR="000A69A7">
        <w:t xml:space="preserve"> fees </w:t>
      </w:r>
      <w:r w:rsidR="00016BD2">
        <w:t>is what is under appeal</w:t>
      </w:r>
      <w:r w:rsidR="000A69A7">
        <w:t>,</w:t>
      </w:r>
      <w:r w:rsidR="00231C41">
        <w:rPr>
          <w:rStyle w:val="Appelnotedebasdep"/>
        </w:rPr>
        <w:footnoteReference w:id="8"/>
      </w:r>
      <w:r w:rsidR="000A69A7">
        <w:t xml:space="preserve"> the Court finds that </w:t>
      </w:r>
      <w:r w:rsidR="00016BD2">
        <w:t>the application</w:t>
      </w:r>
      <w:r w:rsidR="000A69A7">
        <w:t xml:space="preserve"> is well founded </w:t>
      </w:r>
      <w:r>
        <w:t xml:space="preserve">in principle </w:t>
      </w:r>
      <w:r w:rsidR="000A69A7">
        <w:t xml:space="preserve">because </w:t>
      </w:r>
      <w:r w:rsidR="00016BD2">
        <w:t>the Ville</w:t>
      </w:r>
      <w:r>
        <w:t xml:space="preserve"> </w:t>
      </w:r>
      <w:r w:rsidR="00016BD2">
        <w:t>i</w:t>
      </w:r>
      <w:r>
        <w:t>ncur</w:t>
      </w:r>
      <w:r w:rsidR="00016BD2">
        <w:t>red</w:t>
      </w:r>
      <w:r>
        <w:t xml:space="preserve"> these costs as a result of </w:t>
      </w:r>
      <w:r w:rsidR="00016BD2">
        <w:t xml:space="preserve">the fault of </w:t>
      </w:r>
      <w:r w:rsidR="000A69A7">
        <w:t>Mr. Daniel, w</w:t>
      </w:r>
      <w:r>
        <w:t xml:space="preserve">ho abused the appellate process and </w:t>
      </w:r>
      <w:r w:rsidR="00231C41">
        <w:t>is therefore civilly liable.</w:t>
      </w:r>
      <w:r w:rsidR="00231C41">
        <w:rPr>
          <w:rStyle w:val="Appelnotedebasdep"/>
        </w:rPr>
        <w:footnoteReference w:id="9"/>
      </w:r>
    </w:p>
    <w:p w:rsidR="00231C41" w:rsidRDefault="006F08FA" w:rsidP="000A69A7">
      <w:pPr>
        <w:pStyle w:val="Paragraphe"/>
      </w:pPr>
      <w:r>
        <w:t xml:space="preserve">However, due to the summary nature of the evidence adduced in support of this claim, it is </w:t>
      </w:r>
      <w:r w:rsidR="00DF0CC0">
        <w:t>preferable</w:t>
      </w:r>
      <w:r>
        <w:t xml:space="preserve"> to let the Superior Court determine the amount Mr. Daniel will have to pay. The Ville indicated at the appellate hearing that it was not opposed to the question being </w:t>
      </w:r>
      <w:r w:rsidR="00DF0CC0">
        <w:t>decided</w:t>
      </w:r>
      <w:r>
        <w:t xml:space="preserve"> in this manner.</w:t>
      </w:r>
    </w:p>
    <w:p w:rsidR="006F08FA" w:rsidRPr="006F08FA" w:rsidRDefault="006F08FA" w:rsidP="006F08FA">
      <w:pPr>
        <w:pStyle w:val="Paragraphe"/>
        <w:numPr>
          <w:ilvl w:val="0"/>
          <w:numId w:val="0"/>
        </w:numPr>
        <w:jc w:val="center"/>
        <w:rPr>
          <w:b/>
          <w:u w:val="single"/>
        </w:rPr>
      </w:pPr>
      <w:r w:rsidRPr="006F08FA">
        <w:rPr>
          <w:b/>
          <w:u w:val="single"/>
        </w:rPr>
        <w:t>File No. 500-09-030045-223</w:t>
      </w:r>
    </w:p>
    <w:p w:rsidR="006F08FA" w:rsidRDefault="000050B7" w:rsidP="000A69A7">
      <w:pPr>
        <w:pStyle w:val="Paragraphe"/>
      </w:pPr>
      <w:r>
        <w:t xml:space="preserve">The second file – the civil file – concerns an appeal that Mr. Daniel </w:t>
      </w:r>
      <w:r w:rsidR="00016BD2">
        <w:t>has brought</w:t>
      </w:r>
      <w:r>
        <w:t xml:space="preserve"> against a judgment of the Superior Court, District of Saint-Hyacinthe (the Honourable Gary D.D. Morrison),</w:t>
      </w:r>
      <w:r w:rsidR="00AF505B">
        <w:rPr>
          <w:rStyle w:val="Appelnotedebasdep"/>
        </w:rPr>
        <w:footnoteReference w:id="10"/>
      </w:r>
      <w:r>
        <w:t xml:space="preserve"> </w:t>
      </w:r>
      <w:r w:rsidR="00016BD2">
        <w:t xml:space="preserve">which </w:t>
      </w:r>
      <w:r>
        <w:t>summarily dismiss</w:t>
      </w:r>
      <w:r w:rsidR="00016BD2">
        <w:t>ed</w:t>
      </w:r>
      <w:r>
        <w:t xml:space="preserve"> his claims </w:t>
      </w:r>
      <w:r w:rsidR="00016BD2">
        <w:t>for being</w:t>
      </w:r>
      <w:r>
        <w:t xml:space="preserve"> clearly late (</w:t>
      </w:r>
      <w:r w:rsidR="007B0486">
        <w:t>proceedings</w:t>
      </w:r>
      <w:r>
        <w:t xml:space="preserve"> akin to </w:t>
      </w:r>
      <w:r w:rsidR="00C37871">
        <w:t>application</w:t>
      </w:r>
      <w:r w:rsidR="007B0486">
        <w:t>s</w:t>
      </w:r>
      <w:r w:rsidR="00C37871">
        <w:t xml:space="preserve"> for</w:t>
      </w:r>
      <w:r>
        <w:t xml:space="preserve"> judicial review) and prescribed (claims for compensatory and punitive damages totalling nearly $40,000,000).</w:t>
      </w:r>
    </w:p>
    <w:p w:rsidR="000050B7" w:rsidRDefault="000050B7" w:rsidP="000A69A7">
      <w:pPr>
        <w:pStyle w:val="Paragraphe"/>
      </w:pPr>
      <w:r>
        <w:t xml:space="preserve">The trial judge also noted that Mr. Daniel had acted abusively, in particular </w:t>
      </w:r>
      <w:r w:rsidR="007B0486">
        <w:t xml:space="preserve">by exercising his </w:t>
      </w:r>
      <w:r>
        <w:t xml:space="preserve">right to sue </w:t>
      </w:r>
      <w:r w:rsidR="007B0486">
        <w:t xml:space="preserve">in an excessive manner </w:t>
      </w:r>
      <w:r>
        <w:t xml:space="preserve">and </w:t>
      </w:r>
      <w:r w:rsidR="00606F86">
        <w:t xml:space="preserve">doing so </w:t>
      </w:r>
      <w:r>
        <w:t>with the intent of causing prejudice to the respondents.</w:t>
      </w:r>
    </w:p>
    <w:p w:rsidR="00606F86" w:rsidRDefault="00606F86" w:rsidP="000A69A7">
      <w:pPr>
        <w:pStyle w:val="Paragraphe"/>
      </w:pPr>
      <w:r>
        <w:t xml:space="preserve">Furthermore, the judge declared Mr. Daniel to be a quarrelsome litigant </w:t>
      </w:r>
      <w:r w:rsidR="007B0486">
        <w:t>and prohibited</w:t>
      </w:r>
      <w:r>
        <w:t xml:space="preserve"> him from instituting before the Superior Court, the Court of Québec, or the TAQ </w:t>
      </w:r>
      <w:r w:rsidR="00C37871">
        <w:t xml:space="preserve">– except with </w:t>
      </w:r>
      <w:r>
        <w:t>prior authori</w:t>
      </w:r>
      <w:r w:rsidR="00C37871">
        <w:t>z</w:t>
      </w:r>
      <w:r>
        <w:t xml:space="preserve">ation of the </w:t>
      </w:r>
      <w:r w:rsidR="006F7E44">
        <w:t>C</w:t>
      </w:r>
      <w:r>
        <w:t xml:space="preserve">hief </w:t>
      </w:r>
      <w:r w:rsidR="006F7E44">
        <w:t>J</w:t>
      </w:r>
      <w:r>
        <w:t>ustice or president of the tribunal in question</w:t>
      </w:r>
      <w:r w:rsidR="00C37871">
        <w:t xml:space="preserve"> –</w:t>
      </w:r>
      <w:r>
        <w:t xml:space="preserve"> any </w:t>
      </w:r>
      <w:r w:rsidR="00C37871">
        <w:t xml:space="preserve">proceeding </w:t>
      </w:r>
      <w:r>
        <w:t xml:space="preserve">(i) </w:t>
      </w:r>
      <w:r w:rsidR="00C37871">
        <w:t xml:space="preserve">against </w:t>
      </w:r>
      <w:r>
        <w:t>a judge, administrative judge, or municipal officer</w:t>
      </w:r>
      <w:r w:rsidR="00F2770E">
        <w:t>,</w:t>
      </w:r>
      <w:r>
        <w:t xml:space="preserve"> or (ii) relating to</w:t>
      </w:r>
      <w:r w:rsidR="00DF0CC0">
        <w:t xml:space="preserve"> </w:t>
      </w:r>
      <w:r>
        <w:t>th</w:t>
      </w:r>
      <w:r w:rsidR="00DF0CC0">
        <w:t>e</w:t>
      </w:r>
      <w:r>
        <w:t xml:space="preserve"> </w:t>
      </w:r>
      <w:r w:rsidR="00C37871">
        <w:t xml:space="preserve">2007 </w:t>
      </w:r>
      <w:r>
        <w:t xml:space="preserve">expropriations or the </w:t>
      </w:r>
      <w:r w:rsidR="005E1B85">
        <w:t>immovables</w:t>
      </w:r>
      <w:r w:rsidR="00C37871">
        <w:t xml:space="preserve"> owned by</w:t>
      </w:r>
      <w:r>
        <w:t xml:space="preserve"> Mr. Daniel and located in Mont-Saint-Hilaire.</w:t>
      </w:r>
    </w:p>
    <w:p w:rsidR="00AA1FA3" w:rsidRDefault="00AA1FA3" w:rsidP="000A69A7">
      <w:pPr>
        <w:pStyle w:val="Paragraphe"/>
      </w:pPr>
      <w:r>
        <w:t xml:space="preserve">It is appropriate to point out that, </w:t>
      </w:r>
      <w:r w:rsidR="00C37871">
        <w:t>in</w:t>
      </w:r>
      <w:r>
        <w:t xml:space="preserve"> justifying his conclusions </w:t>
      </w:r>
      <w:r w:rsidR="00F2770E">
        <w:t>on</w:t>
      </w:r>
      <w:r>
        <w:t xml:space="preserve"> the declaration of </w:t>
      </w:r>
      <w:r w:rsidR="00AF505B">
        <w:t>quarrelsomeness – which were reached after an unimpeachable presentation of the applicable principles and a detailed analysis of the proceedings involving Mr. Daniel over many years – the judge emphasized the following elements</w:t>
      </w:r>
      <w:r w:rsidR="00C37871">
        <w:t xml:space="preserve"> in particular</w:t>
      </w:r>
      <w:r w:rsidR="00AF505B">
        <w:t>:</w:t>
      </w:r>
    </w:p>
    <w:p w:rsidR="00AF505B" w:rsidRDefault="00AF505B" w:rsidP="00AF505B">
      <w:pPr>
        <w:pStyle w:val="Paragraphe"/>
        <w:numPr>
          <w:ilvl w:val="0"/>
          <w:numId w:val="16"/>
        </w:numPr>
      </w:pPr>
      <w:r>
        <w:t>Mr. Daniel has a tendency to attack, insult, and sue anyone who refuses to comply with his demands;</w:t>
      </w:r>
    </w:p>
    <w:p w:rsidR="00AF505B" w:rsidRDefault="00AF505B" w:rsidP="00AF505B">
      <w:pPr>
        <w:pStyle w:val="Paragraphe"/>
        <w:numPr>
          <w:ilvl w:val="0"/>
          <w:numId w:val="16"/>
        </w:numPr>
      </w:pPr>
      <w:r>
        <w:t xml:space="preserve">He will not hesitate to accuse judges who reject his arguments of being corrupt and in league with his </w:t>
      </w:r>
      <w:r w:rsidR="00DF0CC0">
        <w:t>adversaries</w:t>
      </w:r>
      <w:r>
        <w:t>;</w:t>
      </w:r>
    </w:p>
    <w:p w:rsidR="00AF505B" w:rsidRDefault="00AF505B" w:rsidP="00AF505B">
      <w:pPr>
        <w:pStyle w:val="Paragraphe"/>
        <w:numPr>
          <w:ilvl w:val="0"/>
          <w:numId w:val="16"/>
        </w:numPr>
      </w:pPr>
      <w:r>
        <w:t xml:space="preserve">He also will not hesitate to seek the recusation of judges </w:t>
      </w:r>
      <w:r w:rsidR="00DF0CC0">
        <w:t>on</w:t>
      </w:r>
      <w:r>
        <w:t xml:space="preserve"> clearly </w:t>
      </w:r>
      <w:r w:rsidR="00C37871">
        <w:t>un</w:t>
      </w:r>
      <w:r>
        <w:t>founded grounds;</w:t>
      </w:r>
    </w:p>
    <w:p w:rsidR="00AF505B" w:rsidRDefault="00AF505B" w:rsidP="00AF505B">
      <w:pPr>
        <w:pStyle w:val="Paragraphe"/>
        <w:numPr>
          <w:ilvl w:val="0"/>
          <w:numId w:val="16"/>
        </w:numPr>
      </w:pPr>
      <w:r>
        <w:lastRenderedPageBreak/>
        <w:t xml:space="preserve">He tries to control the </w:t>
      </w:r>
      <w:r w:rsidR="00C64A6C">
        <w:t>judicial</w:t>
      </w:r>
      <w:r>
        <w:t xml:space="preserve"> process through </w:t>
      </w:r>
      <w:r w:rsidR="00F2770E">
        <w:t>multiple</w:t>
      </w:r>
      <w:r>
        <w:t xml:space="preserve"> abusive applications and by refusing to provide an email address and </w:t>
      </w:r>
      <w:r w:rsidR="00806131">
        <w:t>insisting</w:t>
      </w:r>
      <w:r w:rsidR="00DF0CC0">
        <w:t xml:space="preserve"> that any communication f</w:t>
      </w:r>
      <w:r>
        <w:t>r</w:t>
      </w:r>
      <w:r w:rsidR="00DF0CC0">
        <w:t>o</w:t>
      </w:r>
      <w:r>
        <w:t xml:space="preserve">m the court office or his </w:t>
      </w:r>
      <w:r w:rsidR="00806131">
        <w:t>adversaries</w:t>
      </w:r>
      <w:r>
        <w:t xml:space="preserve"> be sent by regular mail;</w:t>
      </w:r>
    </w:p>
    <w:p w:rsidR="00AF505B" w:rsidRDefault="00AF505B" w:rsidP="00AF505B">
      <w:pPr>
        <w:pStyle w:val="Paragraphe"/>
        <w:numPr>
          <w:ilvl w:val="0"/>
          <w:numId w:val="16"/>
        </w:numPr>
      </w:pPr>
      <w:r>
        <w:t>He cons</w:t>
      </w:r>
      <w:r w:rsidR="00DF0CC0">
        <w:t>is</w:t>
      </w:r>
      <w:r>
        <w:t>t</w:t>
      </w:r>
      <w:r w:rsidR="00DF0CC0">
        <w:t>e</w:t>
      </w:r>
      <w:r>
        <w:t xml:space="preserve">ntly </w:t>
      </w:r>
      <w:r w:rsidR="00C37871">
        <w:t>and unres</w:t>
      </w:r>
      <w:r w:rsidR="009F7EC2">
        <w:t>erved</w:t>
      </w:r>
      <w:r w:rsidR="00C37871">
        <w:t xml:space="preserve">ly </w:t>
      </w:r>
      <w:r>
        <w:t>adopts</w:t>
      </w:r>
      <w:r w:rsidR="00806131">
        <w:t xml:space="preserve"> unreasonable behaviour intended to </w:t>
      </w:r>
      <w:r w:rsidR="009F7EC2">
        <w:t xml:space="preserve">delay and </w:t>
      </w:r>
      <w:r w:rsidR="00806131">
        <w:t>obstruct;</w:t>
      </w:r>
    </w:p>
    <w:p w:rsidR="00806131" w:rsidRDefault="00806131" w:rsidP="00AF505B">
      <w:pPr>
        <w:pStyle w:val="Paragraphe"/>
        <w:numPr>
          <w:ilvl w:val="0"/>
          <w:numId w:val="16"/>
        </w:numPr>
      </w:pPr>
      <w:r>
        <w:t>He tries to implead Superior Court judges as co-defendants in some of his pleadings;</w:t>
      </w:r>
    </w:p>
    <w:p w:rsidR="00806131" w:rsidRDefault="00DF0CC0" w:rsidP="00AF505B">
      <w:pPr>
        <w:pStyle w:val="Paragraphe"/>
        <w:numPr>
          <w:ilvl w:val="0"/>
          <w:numId w:val="16"/>
        </w:numPr>
      </w:pPr>
      <w:r>
        <w:t xml:space="preserve">He </w:t>
      </w:r>
      <w:r w:rsidR="001E2BF6">
        <w:t xml:space="preserve">has </w:t>
      </w:r>
      <w:r>
        <w:t>even</w:t>
      </w:r>
      <w:r w:rsidR="00806131">
        <w:t xml:space="preserve"> </w:t>
      </w:r>
      <w:r w:rsidR="001E2BF6">
        <w:t xml:space="preserve">gone </w:t>
      </w:r>
      <w:r w:rsidR="00806131">
        <w:t>so far as to demand that his case not be heard by a Quebec judge and instead be entrusted to one not residing in Quebec;</w:t>
      </w:r>
    </w:p>
    <w:p w:rsidR="00806131" w:rsidRDefault="00806131" w:rsidP="00AF505B">
      <w:pPr>
        <w:pStyle w:val="Paragraphe"/>
        <w:numPr>
          <w:ilvl w:val="0"/>
          <w:numId w:val="16"/>
        </w:numPr>
      </w:pPr>
      <w:r>
        <w:t xml:space="preserve">Over the years, he </w:t>
      </w:r>
      <w:r w:rsidR="00C37871">
        <w:t xml:space="preserve">has </w:t>
      </w:r>
      <w:r>
        <w:t xml:space="preserve">essentially used the </w:t>
      </w:r>
      <w:r w:rsidR="001E2BF6">
        <w:t>judicial</w:t>
      </w:r>
      <w:r>
        <w:t xml:space="preserve"> process as a tool to exact vengeance </w:t>
      </w:r>
      <w:r w:rsidR="00DF0CC0">
        <w:t>on</w:t>
      </w:r>
      <w:r>
        <w:t xml:space="preserve"> a plethora of protagonists he holds responsible for the </w:t>
      </w:r>
      <w:r w:rsidR="00C37871">
        <w:t xml:space="preserve">2007 </w:t>
      </w:r>
      <w:r>
        <w:t>expropriations.</w:t>
      </w:r>
    </w:p>
    <w:p w:rsidR="00606F86" w:rsidRDefault="00446A58" w:rsidP="000A69A7">
      <w:pPr>
        <w:pStyle w:val="Paragraphe"/>
      </w:pPr>
      <w:r>
        <w:t>Finally, the judge condemned Mr. Daniel to reimburse th</w:t>
      </w:r>
      <w:r w:rsidR="00DF0CC0">
        <w:t>ree of the respondents for the</w:t>
      </w:r>
      <w:r w:rsidR="007D2A8C">
        <w:t>ir</w:t>
      </w:r>
      <w:r>
        <w:t xml:space="preserve"> professional fees (</w:t>
      </w:r>
      <w:r w:rsidR="00545F96">
        <w:t>disbursements</w:t>
      </w:r>
      <w:r>
        <w:t xml:space="preserve"> included) incurred to defend themselves in the civil case.</w:t>
      </w:r>
    </w:p>
    <w:p w:rsidR="00446A58" w:rsidRPr="005A7E84" w:rsidRDefault="00446A58" w:rsidP="00446A58">
      <w:pPr>
        <w:pStyle w:val="Paragraphe"/>
        <w:numPr>
          <w:ilvl w:val="0"/>
          <w:numId w:val="15"/>
        </w:numPr>
        <w:rPr>
          <w:b/>
          <w:i/>
        </w:rPr>
      </w:pPr>
      <w:r w:rsidRPr="005A7E84">
        <w:rPr>
          <w:b/>
          <w:i/>
        </w:rPr>
        <w:t>Applications to dismiss the appeal</w:t>
      </w:r>
    </w:p>
    <w:p w:rsidR="00446A58" w:rsidRDefault="004E6E5E" w:rsidP="000A69A7">
      <w:pPr>
        <w:pStyle w:val="Paragraphe"/>
      </w:pPr>
      <w:r>
        <w:t>The Court will first hear the four applications in which each of the respondents seeks the summary dismissal of the appeal brought by Mr. Daniel.</w:t>
      </w:r>
      <w:r>
        <w:rPr>
          <w:rStyle w:val="Appelnotedebasdep"/>
        </w:rPr>
        <w:footnoteReference w:id="11"/>
      </w:r>
      <w:r>
        <w:t xml:space="preserve"> The respondents are of the view that this appeal was improperly initiated because Mr. Daniel failed to seek leave to appeal. They are also of the view that the appeal has no reasonable chance of success.</w:t>
      </w:r>
    </w:p>
    <w:p w:rsidR="004E6E5E" w:rsidRDefault="004E6E5E" w:rsidP="000A69A7">
      <w:pPr>
        <w:pStyle w:val="Paragraphe"/>
      </w:pPr>
      <w:r>
        <w:t xml:space="preserve">The respondents </w:t>
      </w:r>
      <w:r w:rsidR="005A7E84">
        <w:t>correctly</w:t>
      </w:r>
      <w:r>
        <w:t xml:space="preserve"> argue that a judgment dismissing a judicial application because of its abusive nature </w:t>
      </w:r>
      <w:r w:rsidR="00C37871">
        <w:t>may</w:t>
      </w:r>
      <w:r>
        <w:t xml:space="preserve"> be appealed only with leave.</w:t>
      </w:r>
      <w:r>
        <w:rPr>
          <w:rStyle w:val="Appelnotedebasdep"/>
        </w:rPr>
        <w:footnoteReference w:id="12"/>
      </w:r>
    </w:p>
    <w:p w:rsidR="006F08FA" w:rsidRDefault="003E07C1" w:rsidP="000A69A7">
      <w:pPr>
        <w:pStyle w:val="Paragraphe"/>
      </w:pPr>
      <w:r>
        <w:t>I</w:t>
      </w:r>
      <w:r w:rsidR="00C926D3">
        <w:t>t</w:t>
      </w:r>
      <w:r>
        <w:t xml:space="preserve"> is not </w:t>
      </w:r>
      <w:r w:rsidR="007D7538">
        <w:t>clear</w:t>
      </w:r>
      <w:r w:rsidR="009E3331">
        <w:t xml:space="preserve">, however, that this also </w:t>
      </w:r>
      <w:r w:rsidR="007D7538">
        <w:t xml:space="preserve">applies </w:t>
      </w:r>
      <w:r w:rsidR="009E3331">
        <w:t xml:space="preserve">to the portion of the </w:t>
      </w:r>
      <w:r w:rsidR="005A7E84">
        <w:t>j</w:t>
      </w:r>
      <w:r w:rsidR="009E3331">
        <w:t xml:space="preserve">udgment </w:t>
      </w:r>
      <w:r w:rsidR="005A7E84">
        <w:t xml:space="preserve">in first instance </w:t>
      </w:r>
      <w:r w:rsidR="009E3331">
        <w:t xml:space="preserve">declaring Mr. Daniel to be a quarrelsome litigant because the </w:t>
      </w:r>
      <w:r w:rsidR="001E2BF6">
        <w:t xml:space="preserve">prohibition against </w:t>
      </w:r>
      <w:r w:rsidR="009E3331">
        <w:t>instituting proceeding</w:t>
      </w:r>
      <w:r w:rsidR="001E2BF6">
        <w:t>s</w:t>
      </w:r>
      <w:r w:rsidR="009E3331">
        <w:t xml:space="preserve"> against a judge, administrative judge or municipal officer is not limited to disputes arising from the </w:t>
      </w:r>
      <w:r w:rsidR="007D7538">
        <w:t xml:space="preserve">2007 </w:t>
      </w:r>
      <w:r w:rsidR="009E3331">
        <w:t>expropriations.</w:t>
      </w:r>
      <w:r w:rsidR="009E3331">
        <w:rPr>
          <w:rStyle w:val="Appelnotedebasdep"/>
        </w:rPr>
        <w:footnoteReference w:id="13"/>
      </w:r>
    </w:p>
    <w:p w:rsidR="009E3331" w:rsidRDefault="007D7538" w:rsidP="000A69A7">
      <w:pPr>
        <w:pStyle w:val="Paragraphe"/>
      </w:pPr>
      <w:r>
        <w:t>In any event</w:t>
      </w:r>
      <w:r w:rsidR="009E3331">
        <w:t xml:space="preserve">, it is not necessary to decide this </w:t>
      </w:r>
      <w:r w:rsidR="00215B93">
        <w:t>issue</w:t>
      </w:r>
      <w:r w:rsidR="009E3331">
        <w:t>,</w:t>
      </w:r>
      <w:r w:rsidR="004D6634">
        <w:rPr>
          <w:rStyle w:val="Appelnotedebasdep"/>
        </w:rPr>
        <w:footnoteReference w:id="14"/>
      </w:r>
      <w:r w:rsidR="009E3331">
        <w:t xml:space="preserve"> the Court being of the view that the judge’s </w:t>
      </w:r>
      <w:r>
        <w:t xml:space="preserve">findings </w:t>
      </w:r>
      <w:r w:rsidR="00892A47">
        <w:t xml:space="preserve">that Mr. Daniel’s proceeding was </w:t>
      </w:r>
      <w:r w:rsidR="009E3331">
        <w:t xml:space="preserve">clearly </w:t>
      </w:r>
      <w:r>
        <w:t>un</w:t>
      </w:r>
      <w:r w:rsidR="009E3331">
        <w:t xml:space="preserve">founded and </w:t>
      </w:r>
      <w:r w:rsidR="009E3331">
        <w:lastRenderedPageBreak/>
        <w:t>abusive</w:t>
      </w:r>
      <w:r w:rsidR="00892A47">
        <w:t xml:space="preserve"> and that a</w:t>
      </w:r>
      <w:r w:rsidR="009E3331">
        <w:t xml:space="preserve"> declaration of quarrelsome</w:t>
      </w:r>
      <w:r>
        <w:t>ness</w:t>
      </w:r>
      <w:r w:rsidR="009E3331">
        <w:t xml:space="preserve"> </w:t>
      </w:r>
      <w:r w:rsidR="00892A47">
        <w:t xml:space="preserve">was appropriate </w:t>
      </w:r>
      <w:r w:rsidR="00215B93">
        <w:t xml:space="preserve">do not appear to have </w:t>
      </w:r>
      <w:r w:rsidR="00892A47">
        <w:t xml:space="preserve">any </w:t>
      </w:r>
      <w:r w:rsidR="00215B93">
        <w:t>weakness</w:t>
      </w:r>
      <w:r w:rsidR="00892A47">
        <w:t>es</w:t>
      </w:r>
      <w:r w:rsidR="00215B93">
        <w:t xml:space="preserve"> </w:t>
      </w:r>
      <w:r w:rsidR="00892A47">
        <w:t xml:space="preserve">that might suggest </w:t>
      </w:r>
      <w:r w:rsidR="00215B93">
        <w:t>that Mr.</w:t>
      </w:r>
      <w:r w:rsidR="00892A47">
        <w:t> </w:t>
      </w:r>
      <w:r w:rsidR="00215B93">
        <w:t xml:space="preserve">Daniel has a reasonable chance of proving that </w:t>
      </w:r>
      <w:r w:rsidR="00892A47">
        <w:t xml:space="preserve">they </w:t>
      </w:r>
      <w:r w:rsidR="00215B93">
        <w:t>are vitiated by one or more reviewable errors.</w:t>
      </w:r>
      <w:r w:rsidR="00215B93">
        <w:rPr>
          <w:rStyle w:val="Appelnotedebasdep"/>
        </w:rPr>
        <w:footnoteReference w:id="15"/>
      </w:r>
    </w:p>
    <w:p w:rsidR="00215B93" w:rsidRPr="005A7E84" w:rsidRDefault="00215B93" w:rsidP="00215B93">
      <w:pPr>
        <w:pStyle w:val="Paragraphe"/>
        <w:numPr>
          <w:ilvl w:val="0"/>
          <w:numId w:val="15"/>
        </w:numPr>
        <w:rPr>
          <w:b/>
          <w:i/>
        </w:rPr>
      </w:pPr>
      <w:r w:rsidRPr="005A7E84">
        <w:rPr>
          <w:b/>
          <w:i/>
        </w:rPr>
        <w:t xml:space="preserve">The applications for a declaration of abuse, </w:t>
      </w:r>
      <w:r w:rsidR="00892A47">
        <w:rPr>
          <w:b/>
          <w:i/>
        </w:rPr>
        <w:t xml:space="preserve">a </w:t>
      </w:r>
      <w:r w:rsidRPr="005A7E84">
        <w:rPr>
          <w:b/>
          <w:i/>
        </w:rPr>
        <w:t>declaration of quarrelsome</w:t>
      </w:r>
      <w:r w:rsidR="007D7538">
        <w:rPr>
          <w:b/>
          <w:i/>
        </w:rPr>
        <w:t>ness</w:t>
      </w:r>
      <w:r w:rsidR="00892A47">
        <w:rPr>
          <w:b/>
          <w:i/>
        </w:rPr>
        <w:t>,</w:t>
      </w:r>
      <w:r w:rsidRPr="005A7E84">
        <w:rPr>
          <w:b/>
          <w:i/>
        </w:rPr>
        <w:t xml:space="preserve"> and damages</w:t>
      </w:r>
    </w:p>
    <w:p w:rsidR="00215B93" w:rsidRDefault="00F45F5D" w:rsidP="000A69A7">
      <w:pPr>
        <w:pStyle w:val="Paragraphe"/>
      </w:pPr>
      <w:r>
        <w:t>T</w:t>
      </w:r>
      <w:r w:rsidR="004D6634">
        <w:t xml:space="preserve">he Court </w:t>
      </w:r>
      <w:r w:rsidR="007D7538">
        <w:t xml:space="preserve">is also hearing </w:t>
      </w:r>
      <w:r w:rsidR="004D6634">
        <w:t>two applications presented by the Ville and the respondent P. Talbot inc. for a declaration of abuse, a declaration of quarrelsome</w:t>
      </w:r>
      <w:r w:rsidR="007D7538">
        <w:t>ness</w:t>
      </w:r>
      <w:r w:rsidR="004D6634">
        <w:t>, and the reimbursement of</w:t>
      </w:r>
      <w:r w:rsidR="00B27075">
        <w:t xml:space="preserve"> the</w:t>
      </w:r>
      <w:r w:rsidR="007D2A8C">
        <w:t>ir</w:t>
      </w:r>
      <w:r w:rsidR="004D6634">
        <w:t xml:space="preserve"> professional fees (</w:t>
      </w:r>
      <w:r w:rsidR="00545F96">
        <w:t>disbursements</w:t>
      </w:r>
      <w:r w:rsidR="004D6634">
        <w:t xml:space="preserve"> included) incurred on appeal.</w:t>
      </w:r>
      <w:r w:rsidR="004D6634">
        <w:rPr>
          <w:rStyle w:val="Appelnotedebasdep"/>
        </w:rPr>
        <w:footnoteReference w:id="16"/>
      </w:r>
      <w:r w:rsidR="004D6634">
        <w:t xml:space="preserve"> To decide them properly, it is appropriate to begin the analysis </w:t>
      </w:r>
      <w:r w:rsidR="00892A47">
        <w:t xml:space="preserve">with a </w:t>
      </w:r>
      <w:r w:rsidR="004D6634">
        <w:t xml:space="preserve">brief </w:t>
      </w:r>
      <w:r w:rsidR="00892A47">
        <w:t xml:space="preserve">outline </w:t>
      </w:r>
      <w:r w:rsidR="004D6634">
        <w:t>of the appe</w:t>
      </w:r>
      <w:r w:rsidR="007D7538">
        <w:t>als</w:t>
      </w:r>
      <w:r w:rsidR="004D6634">
        <w:t xml:space="preserve"> that Mr. Daniel has </w:t>
      </w:r>
      <w:r w:rsidR="003B43D2">
        <w:t>instituted</w:t>
      </w:r>
      <w:r w:rsidR="004D6634">
        <w:t xml:space="preserve"> over the last two years</w:t>
      </w:r>
      <w:r w:rsidR="003B43D2">
        <w:t>, on</w:t>
      </w:r>
      <w:r w:rsidR="004D6634">
        <w:t xml:space="preserve"> which the Ville and P. Talbot inc. have focused in their applications.</w:t>
      </w:r>
    </w:p>
    <w:p w:rsidR="00AF1F38" w:rsidRDefault="007E305D" w:rsidP="000A69A7">
      <w:pPr>
        <w:pStyle w:val="Paragraphe"/>
      </w:pPr>
      <w:r>
        <w:t xml:space="preserve">Mr. Daniel </w:t>
      </w:r>
      <w:r w:rsidR="00892A47">
        <w:t>came before</w:t>
      </w:r>
      <w:r>
        <w:t xml:space="preserve"> the Court on four other occasions during this period. The four appeals were from </w:t>
      </w:r>
      <w:r w:rsidR="00AF1F38">
        <w:t>judgments</w:t>
      </w:r>
      <w:r>
        <w:t xml:space="preserve"> rendered in the civil case, and a reading of the </w:t>
      </w:r>
      <w:r w:rsidR="00AF1F38">
        <w:t>ledger reveals that he appealed from practically every interlocutory order rendered against him:</w:t>
      </w:r>
    </w:p>
    <w:p w:rsidR="00AF1F38" w:rsidRDefault="00AF1F38" w:rsidP="00AF1F38">
      <w:pPr>
        <w:pStyle w:val="Paragraphe"/>
        <w:numPr>
          <w:ilvl w:val="0"/>
          <w:numId w:val="17"/>
        </w:numPr>
      </w:pPr>
      <w:r>
        <w:t>The first appeal (</w:t>
      </w:r>
      <w:r w:rsidR="007D7538">
        <w:t>N</w:t>
      </w:r>
      <w:r>
        <w:t>o. 500-09-029211-208) question</w:t>
      </w:r>
      <w:r w:rsidR="007D7538">
        <w:t>ed</w:t>
      </w:r>
      <w:r>
        <w:t xml:space="preserve"> four orders dismissing multiple </w:t>
      </w:r>
      <w:r w:rsidR="003B43D2">
        <w:t>procedural applications (recusation</w:t>
      </w:r>
      <w:r>
        <w:t xml:space="preserve"> of a Superior Court judge</w:t>
      </w:r>
      <w:r w:rsidR="00DE19E8">
        <w:t>, revocation of an earlier judgment, application for disclosure of documents, application to suspend the administrative file);</w:t>
      </w:r>
    </w:p>
    <w:p w:rsidR="00DE19E8" w:rsidRDefault="00DE19E8" w:rsidP="00AF1F38">
      <w:pPr>
        <w:pStyle w:val="Paragraphe"/>
        <w:numPr>
          <w:ilvl w:val="0"/>
          <w:numId w:val="17"/>
        </w:numPr>
      </w:pPr>
      <w:r>
        <w:t>The second appeal (</w:t>
      </w:r>
      <w:r w:rsidR="007D7538">
        <w:t>N</w:t>
      </w:r>
      <w:r>
        <w:t>o. 500-09-029346-210) impugned mere management measures fixing hearing dates;</w:t>
      </w:r>
    </w:p>
    <w:p w:rsidR="00DE19E8" w:rsidRDefault="00DB74E6" w:rsidP="00AF1F38">
      <w:pPr>
        <w:pStyle w:val="Paragraphe"/>
        <w:numPr>
          <w:ilvl w:val="0"/>
          <w:numId w:val="17"/>
        </w:numPr>
      </w:pPr>
      <w:r>
        <w:t>T</w:t>
      </w:r>
      <w:r w:rsidR="00DE19E8">
        <w:t>he third appeal (</w:t>
      </w:r>
      <w:r w:rsidR="007D7538">
        <w:t>N</w:t>
      </w:r>
      <w:r w:rsidR="00DE19E8">
        <w:t>o. 500-09-029443-215)</w:t>
      </w:r>
      <w:r>
        <w:t xml:space="preserve"> concerned</w:t>
      </w:r>
      <w:r w:rsidR="00DE19E8">
        <w:t xml:space="preserve"> an order by the </w:t>
      </w:r>
      <w:r w:rsidR="006F7E44">
        <w:t>C</w:t>
      </w:r>
      <w:r w:rsidR="00DE19E8">
        <w:t xml:space="preserve">hief </w:t>
      </w:r>
      <w:r w:rsidR="006F7E44">
        <w:t>J</w:t>
      </w:r>
      <w:r w:rsidR="00DE19E8">
        <w:t>ustice appointing Gary D.D</w:t>
      </w:r>
      <w:r w:rsidR="003B43D2">
        <w:t>.</w:t>
      </w:r>
      <w:r w:rsidR="00DE19E8">
        <w:t xml:space="preserve"> Morrison J. as the case </w:t>
      </w:r>
      <w:r w:rsidR="003B43D2">
        <w:t>management</w:t>
      </w:r>
      <w:r w:rsidR="00DE19E8">
        <w:t xml:space="preserve"> judge and</w:t>
      </w:r>
      <w:r>
        <w:t>, notably,</w:t>
      </w:r>
      <w:r w:rsidR="00DE19E8">
        <w:t xml:space="preserve"> Mr. Daniel identified three Superior Court judges who had previously been involved in the case as respondents in his application for leave to appeal;</w:t>
      </w:r>
    </w:p>
    <w:p w:rsidR="00DE19E8" w:rsidRDefault="00DE19E8" w:rsidP="00AF1F38">
      <w:pPr>
        <w:pStyle w:val="Paragraphe"/>
        <w:numPr>
          <w:ilvl w:val="0"/>
          <w:numId w:val="17"/>
        </w:numPr>
      </w:pPr>
      <w:r>
        <w:t>Finally, the fourth appeal (</w:t>
      </w:r>
      <w:r w:rsidR="007D7538">
        <w:t>N</w:t>
      </w:r>
      <w:r>
        <w:t xml:space="preserve">o. 500-09-700047-210) was from a judgment by Morrison J. dismissing an application </w:t>
      </w:r>
      <w:r w:rsidR="005A7E84">
        <w:t>for</w:t>
      </w:r>
      <w:r>
        <w:t xml:space="preserve"> recusation and to postpone the hearing on the merits</w:t>
      </w:r>
      <w:r w:rsidR="003B43D2">
        <w:t>.</w:t>
      </w:r>
      <w:r>
        <w:t xml:space="preserve"> </w:t>
      </w:r>
      <w:r w:rsidR="003B43D2">
        <w:t>A</w:t>
      </w:r>
      <w:r>
        <w:t xml:space="preserve">gain, Mr. Daniel identified certain Superior Court judges as respondents in his application for leave to appeal. </w:t>
      </w:r>
    </w:p>
    <w:p w:rsidR="00AF1F38" w:rsidRDefault="007825C1" w:rsidP="000A69A7">
      <w:pPr>
        <w:pStyle w:val="Paragraphe"/>
      </w:pPr>
      <w:r>
        <w:t>None of Mr. Daniel’s applications for leave to appeal were granted.</w:t>
      </w:r>
    </w:p>
    <w:p w:rsidR="007825C1" w:rsidRDefault="007825C1" w:rsidP="000A69A7">
      <w:pPr>
        <w:pStyle w:val="Paragraphe"/>
      </w:pPr>
      <w:r>
        <w:lastRenderedPageBreak/>
        <w:t>In the first appeal, our colleague Bich J.A</w:t>
      </w:r>
      <w:r w:rsidR="00771424">
        <w:t xml:space="preserve">. </w:t>
      </w:r>
      <w:r w:rsidR="00543AF2">
        <w:t>found</w:t>
      </w:r>
      <w:r w:rsidR="00771424">
        <w:t xml:space="preserve"> that the grounds of appeal were clearly </w:t>
      </w:r>
      <w:r w:rsidR="00E76B17">
        <w:t>unfounded</w:t>
      </w:r>
      <w:r w:rsidR="00D91F1E">
        <w:t>, noting</w:t>
      </w:r>
      <w:r w:rsidR="00771424">
        <w:t xml:space="preserve"> that Mr. Daniel was </w:t>
      </w:r>
      <w:r w:rsidR="00D91F1E">
        <w:t xml:space="preserve">brought multiple </w:t>
      </w:r>
      <w:r w:rsidR="00771424">
        <w:t xml:space="preserve">pointless incidental applications and that </w:t>
      </w:r>
      <w:r w:rsidR="001D5C66">
        <w:t>there was no room for guerrilla warfare in the judicial system</w:t>
      </w:r>
      <w:r w:rsidR="00771424">
        <w:t>.</w:t>
      </w:r>
      <w:r w:rsidR="00771424">
        <w:rPr>
          <w:rStyle w:val="Appelnotedebasdep"/>
        </w:rPr>
        <w:footnoteReference w:id="17"/>
      </w:r>
      <w:r w:rsidR="00771424">
        <w:t xml:space="preserve"> Unhappy with this judgment, Mr. Daniel tried to appeal to the Supreme Court</w:t>
      </w:r>
      <w:r w:rsidR="00E76B17">
        <w:t xml:space="preserve"> of Canada</w:t>
      </w:r>
      <w:r w:rsidR="00771424">
        <w:t>, but failed.</w:t>
      </w:r>
      <w:r w:rsidR="00543AF2">
        <w:rPr>
          <w:rStyle w:val="Appelnotedebasdep"/>
        </w:rPr>
        <w:footnoteReference w:id="18"/>
      </w:r>
    </w:p>
    <w:p w:rsidR="00543AF2" w:rsidRDefault="00543AF2" w:rsidP="000A69A7">
      <w:pPr>
        <w:pStyle w:val="Paragraphe"/>
      </w:pPr>
      <w:r>
        <w:t xml:space="preserve">In the second appeal, our colleague Cournoyer J.A. found that Mr. Daniel’s </w:t>
      </w:r>
      <w:r w:rsidR="00E76B17">
        <w:t xml:space="preserve">appeal </w:t>
      </w:r>
      <w:r>
        <w:t xml:space="preserve">was </w:t>
      </w:r>
      <w:r w:rsidR="00E76B17">
        <w:t xml:space="preserve">completely </w:t>
      </w:r>
      <w:r>
        <w:t xml:space="preserve">illogical and contrary to the principle of proportionality, then repeated the remarks of Bich J.A. that Mr. Daniel should refrain from </w:t>
      </w:r>
      <w:r w:rsidR="00E76B17">
        <w:t xml:space="preserve">engaging in </w:t>
      </w:r>
      <w:r>
        <w:t>guer</w:t>
      </w:r>
      <w:r w:rsidR="001D5C66">
        <w:t>r</w:t>
      </w:r>
      <w:r>
        <w:t>illa warfare against the respondents.</w:t>
      </w:r>
      <w:r>
        <w:rPr>
          <w:rStyle w:val="Appelnotedebasdep"/>
        </w:rPr>
        <w:footnoteReference w:id="19"/>
      </w:r>
      <w:r>
        <w:t xml:space="preserve"> </w:t>
      </w:r>
      <w:r w:rsidR="00D91F1E">
        <w:t>Here a</w:t>
      </w:r>
      <w:r>
        <w:t xml:space="preserve">gain, Mr. Daniel’s attempt to appeal to the Supreme Court </w:t>
      </w:r>
      <w:r w:rsidR="00E76B17">
        <w:t xml:space="preserve">of Canada </w:t>
      </w:r>
      <w:r>
        <w:t>failed.</w:t>
      </w:r>
      <w:r>
        <w:rPr>
          <w:rStyle w:val="Appelnotedebasdep"/>
        </w:rPr>
        <w:footnoteReference w:id="20"/>
      </w:r>
    </w:p>
    <w:p w:rsidR="00543AF2" w:rsidRDefault="000F5567" w:rsidP="000A69A7">
      <w:pPr>
        <w:pStyle w:val="Paragraphe"/>
      </w:pPr>
      <w:r>
        <w:t xml:space="preserve">The other two appeals were also </w:t>
      </w:r>
      <w:r w:rsidR="00F50493">
        <w:t xml:space="preserve">decided by </w:t>
      </w:r>
      <w:r w:rsidR="00A0161C">
        <w:t>judgments</w:t>
      </w:r>
      <w:r w:rsidR="00F50493">
        <w:t xml:space="preserve"> dismissing Mr. Daniel’s applications for leave to appeal</w:t>
      </w:r>
      <w:r w:rsidR="00D91F1E">
        <w:t xml:space="preserve"> and highlighting</w:t>
      </w:r>
      <w:r w:rsidR="00F50493">
        <w:t xml:space="preserve"> that the grounds he </w:t>
      </w:r>
      <w:r w:rsidR="00D91F1E">
        <w:t>wished</w:t>
      </w:r>
      <w:r w:rsidR="00F50493">
        <w:t xml:space="preserve"> to raise were destined to fail.</w:t>
      </w:r>
      <w:r w:rsidR="00F50493">
        <w:rPr>
          <w:rStyle w:val="Appelnotedebasdep"/>
        </w:rPr>
        <w:footnoteReference w:id="21"/>
      </w:r>
    </w:p>
    <w:p w:rsidR="00215B93" w:rsidRDefault="00FE17E2" w:rsidP="000A69A7">
      <w:pPr>
        <w:pStyle w:val="Paragraphe"/>
      </w:pPr>
      <w:r>
        <w:t xml:space="preserve">The appeal from the administrative file </w:t>
      </w:r>
      <w:r w:rsidR="00D91F1E">
        <w:t xml:space="preserve">discussed </w:t>
      </w:r>
      <w:r w:rsidR="00E76B17">
        <w:t xml:space="preserve">in </w:t>
      </w:r>
      <w:r>
        <w:t>the first part of this judgment</w:t>
      </w:r>
      <w:r w:rsidR="00D91F1E">
        <w:t xml:space="preserve">, </w:t>
      </w:r>
      <w:r>
        <w:t>which, as was pointed out, constitutes abuse of procedure</w:t>
      </w:r>
      <w:r w:rsidR="00D91F1E">
        <w:t>,</w:t>
      </w:r>
      <w:r>
        <w:t xml:space="preserve"> can be added to this </w:t>
      </w:r>
      <w:r w:rsidR="00D91F1E">
        <w:t>outline</w:t>
      </w:r>
      <w:r>
        <w:t>.</w:t>
      </w:r>
    </w:p>
    <w:p w:rsidR="00B569D7" w:rsidRDefault="00D91F1E" w:rsidP="000A69A7">
      <w:pPr>
        <w:pStyle w:val="Paragraphe"/>
      </w:pPr>
      <w:r>
        <w:t>It should also be emphasized</w:t>
      </w:r>
      <w:r w:rsidR="00FE17E2">
        <w:t xml:space="preserve"> that, before the Court, Mr. Daniel continued to </w:t>
      </w:r>
      <w:r w:rsidR="00666EC3">
        <w:t xml:space="preserve">resort to </w:t>
      </w:r>
      <w:r w:rsidR="00FE17E2">
        <w:t xml:space="preserve">several </w:t>
      </w:r>
      <w:r w:rsidR="00A0161C">
        <w:t xml:space="preserve">of the </w:t>
      </w:r>
      <w:r w:rsidR="00FE17E2">
        <w:t xml:space="preserve">procedural tactics </w:t>
      </w:r>
      <w:r w:rsidR="00666EC3">
        <w:t xml:space="preserve">that </w:t>
      </w:r>
      <w:r w:rsidR="00FE17E2">
        <w:t xml:space="preserve">Morrison J. relied </w:t>
      </w:r>
      <w:r w:rsidR="00666EC3">
        <w:t xml:space="preserve">on when declaring him </w:t>
      </w:r>
      <w:r w:rsidR="00FE17E2">
        <w:t xml:space="preserve">a quarrelsome litigant. For example, Mr. Daniel refused to provide an email address </w:t>
      </w:r>
      <w:r w:rsidR="00666EC3">
        <w:t xml:space="preserve">and insisted that all </w:t>
      </w:r>
      <w:r w:rsidR="00FE17E2">
        <w:t xml:space="preserve">communication from the </w:t>
      </w:r>
      <w:r w:rsidR="00FF632D">
        <w:t>c</w:t>
      </w:r>
      <w:r w:rsidR="00FE17E2">
        <w:t>ourt office or from the opposing parties be sent by regular mail. The members of the bench were able to observe first</w:t>
      </w:r>
      <w:r w:rsidR="009F7EC2">
        <w:t>-</w:t>
      </w:r>
      <w:r w:rsidR="00FE17E2">
        <w:t xml:space="preserve">hand </w:t>
      </w:r>
      <w:r w:rsidR="00645C4E">
        <w:t xml:space="preserve">the detrimental effect </w:t>
      </w:r>
      <w:r w:rsidR="00FE17E2">
        <w:t xml:space="preserve">that his obstinacy </w:t>
      </w:r>
      <w:r w:rsidR="00645C4E">
        <w:t xml:space="preserve">has on </w:t>
      </w:r>
      <w:r w:rsidR="00FE17E2">
        <w:t>the order</w:t>
      </w:r>
      <w:r w:rsidR="00793F46">
        <w:t>ly</w:t>
      </w:r>
      <w:r w:rsidR="00FE17E2">
        <w:t xml:space="preserve"> conduct of proceedings in which he is involved. Mr. Danie</w:t>
      </w:r>
      <w:r w:rsidR="00666EC3">
        <w:t xml:space="preserve">l’s conduct was also frequently </w:t>
      </w:r>
      <w:r w:rsidR="009F7EC2">
        <w:t xml:space="preserve">intended to delay </w:t>
      </w:r>
      <w:r w:rsidR="00666EC3">
        <w:t xml:space="preserve">and </w:t>
      </w:r>
      <w:r w:rsidR="00793F46">
        <w:t>violat</w:t>
      </w:r>
      <w:r w:rsidR="009F7EC2">
        <w:t>ed</w:t>
      </w:r>
      <w:r w:rsidR="00FE17E2">
        <w:t xml:space="preserve"> the applicable rules</w:t>
      </w:r>
      <w:r w:rsidR="00666EC3">
        <w:t xml:space="preserve"> and the</w:t>
      </w:r>
      <w:r w:rsidR="00FE17E2">
        <w:t xml:space="preserve"> orders</w:t>
      </w:r>
      <w:r w:rsidR="00666EC3">
        <w:t xml:space="preserve"> </w:t>
      </w:r>
      <w:r w:rsidR="00FE17E2">
        <w:t xml:space="preserve">and directives </w:t>
      </w:r>
      <w:r w:rsidR="00666EC3">
        <w:t xml:space="preserve">from </w:t>
      </w:r>
      <w:r w:rsidR="00FE17E2">
        <w:t xml:space="preserve">the Court and the court office. </w:t>
      </w:r>
      <w:r w:rsidR="00E76B17">
        <w:t>H</w:t>
      </w:r>
      <w:r w:rsidR="00B569D7">
        <w:t xml:space="preserve">e </w:t>
      </w:r>
      <w:r w:rsidR="00E76B17">
        <w:t xml:space="preserve">also </w:t>
      </w:r>
      <w:r w:rsidR="00666EC3">
        <w:t xml:space="preserve">had no qualms about </w:t>
      </w:r>
      <w:r w:rsidR="00793F46">
        <w:t>ask</w:t>
      </w:r>
      <w:r w:rsidR="00666EC3">
        <w:t>ing</w:t>
      </w:r>
      <w:r w:rsidR="00B569D7">
        <w:t xml:space="preserve"> for certain judges </w:t>
      </w:r>
      <w:r w:rsidR="00793F46">
        <w:t>of</w:t>
      </w:r>
      <w:r w:rsidR="00B569D7">
        <w:t xml:space="preserve"> the Court to recuse themselves, </w:t>
      </w:r>
      <w:r w:rsidR="00666EC3">
        <w:t xml:space="preserve">raising </w:t>
      </w:r>
      <w:r w:rsidR="00B569D7">
        <w:t xml:space="preserve">frivolous grounds without ever complying with the procedure </w:t>
      </w:r>
      <w:r w:rsidR="00666EC3">
        <w:t xml:space="preserve">that applies </w:t>
      </w:r>
      <w:r w:rsidR="00B569D7">
        <w:t>in such a context.</w:t>
      </w:r>
    </w:p>
    <w:p w:rsidR="00B569D7" w:rsidRDefault="00B569D7" w:rsidP="000A69A7">
      <w:pPr>
        <w:pStyle w:val="Paragraphe"/>
      </w:pPr>
      <w:r>
        <w:t xml:space="preserve">In the circumstances, the Court </w:t>
      </w:r>
      <w:r w:rsidR="00666EC3">
        <w:t>has no hesitation in characterizing</w:t>
      </w:r>
      <w:r>
        <w:t xml:space="preserve"> Mr. Daniel’s appeal from the judgment of Morrison J.</w:t>
      </w:r>
      <w:r w:rsidR="00666EC3">
        <w:t xml:space="preserve"> as abusive.</w:t>
      </w:r>
      <w:r>
        <w:t xml:space="preserve"> </w:t>
      </w:r>
      <w:r w:rsidR="00645C4E">
        <w:t xml:space="preserve">Viewed from the broader </w:t>
      </w:r>
      <w:r>
        <w:t xml:space="preserve">context of the dispute arising from the </w:t>
      </w:r>
      <w:r w:rsidR="009F7EC2">
        <w:t xml:space="preserve">2007 </w:t>
      </w:r>
      <w:r>
        <w:t xml:space="preserve">expropriations, it </w:t>
      </w:r>
      <w:r w:rsidR="00645C4E">
        <w:t xml:space="preserve">is </w:t>
      </w:r>
      <w:r>
        <w:t xml:space="preserve">apparent that this proceeding is </w:t>
      </w:r>
      <w:r w:rsidR="00645C4E">
        <w:t xml:space="preserve">nothing but another in the countless attempts by </w:t>
      </w:r>
      <w:r>
        <w:t xml:space="preserve">Mr. Daniel to use the </w:t>
      </w:r>
      <w:r w:rsidR="00C64A6C">
        <w:t>judicial</w:t>
      </w:r>
      <w:r>
        <w:t xml:space="preserve"> process </w:t>
      </w:r>
      <w:r>
        <w:lastRenderedPageBreak/>
        <w:t>not only excessively and unreasonably, but also to exact vengeance on the respondents and cause them prejudice. A declaration of abuse is clearly appropriate.</w:t>
      </w:r>
    </w:p>
    <w:p w:rsidR="00B569D7" w:rsidRDefault="00B569D7" w:rsidP="000A69A7">
      <w:pPr>
        <w:pStyle w:val="Paragraphe"/>
      </w:pPr>
      <w:r>
        <w:t>What of the applications for a declaration of quarrelsome</w:t>
      </w:r>
      <w:r w:rsidR="009F7EC2">
        <w:t>ness</w:t>
      </w:r>
      <w:r>
        <w:t>?</w:t>
      </w:r>
    </w:p>
    <w:p w:rsidR="00B569D7" w:rsidRDefault="00AA2C70" w:rsidP="000A69A7">
      <w:pPr>
        <w:pStyle w:val="Paragraphe"/>
      </w:pPr>
      <w:r>
        <w:t xml:space="preserve">In </w:t>
      </w:r>
      <w:r w:rsidRPr="00AA2C70">
        <w:rPr>
          <w:i/>
        </w:rPr>
        <w:t>Milette</w:t>
      </w:r>
      <w:r>
        <w:t>,</w:t>
      </w:r>
      <w:r>
        <w:rPr>
          <w:rStyle w:val="Appelnotedebasdep"/>
        </w:rPr>
        <w:footnoteReference w:id="22"/>
      </w:r>
      <w:r>
        <w:t xml:space="preserve"> the Court </w:t>
      </w:r>
      <w:r w:rsidR="00397027">
        <w:t>cited</w:t>
      </w:r>
      <w:r>
        <w:t xml:space="preserve"> with approval the following excerpt from a judgment by Clément Gascon J., then of the Superior Court, in which he </w:t>
      </w:r>
      <w:r w:rsidR="009F7EC2">
        <w:t xml:space="preserve">discussed </w:t>
      </w:r>
      <w:r>
        <w:t xml:space="preserve">the most relevant </w:t>
      </w:r>
      <w:r w:rsidR="00397027">
        <w:t>indicia</w:t>
      </w:r>
      <w:r>
        <w:t xml:space="preserve"> of quarrelsome conduct, re</w:t>
      </w:r>
      <w:r w:rsidR="001029F4">
        <w:t>l</w:t>
      </w:r>
      <w:r>
        <w:t>ying in large part on an article written by our colleague Morissette J.A.:</w:t>
      </w:r>
      <w:r>
        <w:rPr>
          <w:rStyle w:val="Appelnotedebasdep"/>
        </w:rPr>
        <w:footnoteReference w:id="23"/>
      </w:r>
      <w:r>
        <w:t xml:space="preserve"> </w:t>
      </w:r>
    </w:p>
    <w:p w:rsidR="00F86C1B" w:rsidRDefault="00F86C1B" w:rsidP="00F86C1B">
      <w:pPr>
        <w:pStyle w:val="Paragraphe"/>
        <w:numPr>
          <w:ilvl w:val="0"/>
          <w:numId w:val="0"/>
        </w:numPr>
        <w:ind w:left="734" w:right="573"/>
        <w:rPr>
          <w:sz w:val="22"/>
          <w:szCs w:val="22"/>
        </w:rPr>
      </w:pPr>
      <w:r>
        <w:rPr>
          <w:sz w:val="22"/>
          <w:szCs w:val="22"/>
        </w:rPr>
        <w:t>[</w:t>
      </w:r>
      <w:r w:rsidRPr="00F86C1B">
        <w:rPr>
          <w:smallCaps/>
          <w:sz w:val="22"/>
          <w:szCs w:val="22"/>
        </w:rPr>
        <w:t>translation</w:t>
      </w:r>
      <w:r>
        <w:rPr>
          <w:sz w:val="22"/>
          <w:szCs w:val="22"/>
        </w:rPr>
        <w:t>]</w:t>
      </w:r>
    </w:p>
    <w:p w:rsidR="00AA2C70" w:rsidRPr="00F86C1B" w:rsidRDefault="00AA2C70" w:rsidP="00F86C1B">
      <w:pPr>
        <w:pStyle w:val="Paragraphe"/>
        <w:numPr>
          <w:ilvl w:val="0"/>
          <w:numId w:val="0"/>
        </w:numPr>
        <w:ind w:left="734" w:right="573"/>
        <w:rPr>
          <w:sz w:val="22"/>
          <w:szCs w:val="22"/>
        </w:rPr>
      </w:pPr>
      <w:r w:rsidRPr="00F86C1B">
        <w:rPr>
          <w:sz w:val="22"/>
          <w:szCs w:val="22"/>
        </w:rPr>
        <w:t xml:space="preserve">[82] These </w:t>
      </w:r>
      <w:r w:rsidR="00397027">
        <w:rPr>
          <w:sz w:val="22"/>
          <w:szCs w:val="22"/>
        </w:rPr>
        <w:t>indicia</w:t>
      </w:r>
      <w:r w:rsidR="00644CA2">
        <w:rPr>
          <w:sz w:val="22"/>
          <w:szCs w:val="22"/>
        </w:rPr>
        <w:t xml:space="preserve"> c</w:t>
      </w:r>
      <w:r w:rsidRPr="00F86C1B">
        <w:rPr>
          <w:sz w:val="22"/>
          <w:szCs w:val="22"/>
        </w:rPr>
        <w:t>an essentially be summed up as follows:</w:t>
      </w:r>
    </w:p>
    <w:p w:rsidR="00AA2C70" w:rsidRPr="00F86C1B" w:rsidRDefault="001029F4" w:rsidP="00F86C1B">
      <w:pPr>
        <w:pStyle w:val="Paragraphe"/>
        <w:numPr>
          <w:ilvl w:val="0"/>
          <w:numId w:val="18"/>
        </w:numPr>
        <w:ind w:right="573"/>
        <w:rPr>
          <w:sz w:val="22"/>
          <w:szCs w:val="22"/>
        </w:rPr>
      </w:pPr>
      <w:r>
        <w:rPr>
          <w:sz w:val="22"/>
          <w:szCs w:val="22"/>
        </w:rPr>
        <w:t>Q</w:t>
      </w:r>
      <w:r w:rsidR="00CA175C" w:rsidRPr="00F86C1B">
        <w:rPr>
          <w:sz w:val="22"/>
          <w:szCs w:val="22"/>
        </w:rPr>
        <w:t>uarrelsome litigant</w:t>
      </w:r>
      <w:r>
        <w:rPr>
          <w:sz w:val="22"/>
          <w:szCs w:val="22"/>
        </w:rPr>
        <w:t>s are</w:t>
      </w:r>
      <w:r w:rsidR="00CA175C" w:rsidRPr="00F86C1B">
        <w:rPr>
          <w:sz w:val="22"/>
          <w:szCs w:val="22"/>
        </w:rPr>
        <w:t xml:space="preserve"> opinionated and narcissistic;</w:t>
      </w:r>
    </w:p>
    <w:p w:rsidR="00CA175C" w:rsidRPr="00F86C1B" w:rsidRDefault="001029F4" w:rsidP="00F86C1B">
      <w:pPr>
        <w:pStyle w:val="Paragraphe"/>
        <w:numPr>
          <w:ilvl w:val="0"/>
          <w:numId w:val="18"/>
        </w:numPr>
        <w:ind w:right="573"/>
        <w:rPr>
          <w:sz w:val="22"/>
          <w:szCs w:val="22"/>
        </w:rPr>
      </w:pPr>
      <w:r>
        <w:rPr>
          <w:sz w:val="22"/>
          <w:szCs w:val="22"/>
        </w:rPr>
        <w:t>They</w:t>
      </w:r>
      <w:r w:rsidR="00CA175C" w:rsidRPr="00F86C1B">
        <w:rPr>
          <w:sz w:val="22"/>
          <w:szCs w:val="22"/>
        </w:rPr>
        <w:t xml:space="preserve"> generally act as the plaintiff rather than the defendant;</w:t>
      </w:r>
    </w:p>
    <w:p w:rsidR="004909DC" w:rsidRPr="00F86C1B" w:rsidRDefault="001029F4" w:rsidP="00F86C1B">
      <w:pPr>
        <w:pStyle w:val="Paragraphe"/>
        <w:numPr>
          <w:ilvl w:val="0"/>
          <w:numId w:val="18"/>
        </w:numPr>
        <w:ind w:right="573"/>
        <w:rPr>
          <w:sz w:val="22"/>
          <w:szCs w:val="22"/>
        </w:rPr>
      </w:pPr>
      <w:r>
        <w:rPr>
          <w:sz w:val="22"/>
          <w:szCs w:val="22"/>
        </w:rPr>
        <w:t>They multiply</w:t>
      </w:r>
      <w:r w:rsidR="00CA175C" w:rsidRPr="00F86C1B">
        <w:rPr>
          <w:sz w:val="22"/>
          <w:szCs w:val="22"/>
        </w:rPr>
        <w:t xml:space="preserve"> vexatious proceedings, including </w:t>
      </w:r>
      <w:r w:rsidR="00397027">
        <w:rPr>
          <w:sz w:val="22"/>
          <w:szCs w:val="22"/>
        </w:rPr>
        <w:t xml:space="preserve">ones </w:t>
      </w:r>
      <w:r w:rsidR="00CA175C" w:rsidRPr="00F86C1B">
        <w:rPr>
          <w:sz w:val="22"/>
          <w:szCs w:val="22"/>
        </w:rPr>
        <w:t xml:space="preserve">against </w:t>
      </w:r>
      <w:r w:rsidR="004909DC" w:rsidRPr="00F86C1B">
        <w:rPr>
          <w:sz w:val="22"/>
          <w:szCs w:val="22"/>
        </w:rPr>
        <w:t xml:space="preserve">officers of the court. It is not </w:t>
      </w:r>
      <w:r w:rsidR="00397027">
        <w:rPr>
          <w:sz w:val="22"/>
          <w:szCs w:val="22"/>
        </w:rPr>
        <w:t xml:space="preserve">uncommon </w:t>
      </w:r>
      <w:r w:rsidR="004909DC" w:rsidRPr="00F86C1B">
        <w:rPr>
          <w:sz w:val="22"/>
          <w:szCs w:val="22"/>
        </w:rPr>
        <w:t xml:space="preserve">for </w:t>
      </w:r>
      <w:r>
        <w:rPr>
          <w:sz w:val="22"/>
          <w:szCs w:val="22"/>
        </w:rPr>
        <w:t>their</w:t>
      </w:r>
      <w:r w:rsidR="004909DC" w:rsidRPr="00F86C1B">
        <w:rPr>
          <w:sz w:val="22"/>
          <w:szCs w:val="22"/>
        </w:rPr>
        <w:t xml:space="preserve"> proceedings and complaints to be directed </w:t>
      </w:r>
      <w:r w:rsidR="009F7EC2">
        <w:rPr>
          <w:sz w:val="22"/>
          <w:szCs w:val="22"/>
        </w:rPr>
        <w:t xml:space="preserve">against </w:t>
      </w:r>
      <w:r w:rsidR="004909DC" w:rsidRPr="00F86C1B">
        <w:rPr>
          <w:sz w:val="22"/>
          <w:szCs w:val="22"/>
        </w:rPr>
        <w:t xml:space="preserve">lawyers, court employees, or even judges, </w:t>
      </w:r>
      <w:r w:rsidR="00397027">
        <w:rPr>
          <w:sz w:val="22"/>
          <w:szCs w:val="22"/>
        </w:rPr>
        <w:t xml:space="preserve">and to raise </w:t>
      </w:r>
      <w:r w:rsidR="004909DC" w:rsidRPr="00F86C1B">
        <w:rPr>
          <w:sz w:val="22"/>
          <w:szCs w:val="22"/>
        </w:rPr>
        <w:t xml:space="preserve">allegations of </w:t>
      </w:r>
      <w:r w:rsidR="009F7EC2">
        <w:rPr>
          <w:sz w:val="22"/>
          <w:szCs w:val="22"/>
        </w:rPr>
        <w:t>bias</w:t>
      </w:r>
      <w:r w:rsidR="009F7EC2" w:rsidRPr="00F86C1B">
        <w:rPr>
          <w:sz w:val="22"/>
          <w:szCs w:val="22"/>
        </w:rPr>
        <w:t xml:space="preserve"> </w:t>
      </w:r>
      <w:r w:rsidR="004909DC" w:rsidRPr="00F86C1B">
        <w:rPr>
          <w:sz w:val="22"/>
          <w:szCs w:val="22"/>
        </w:rPr>
        <w:t>and ethics complaints;</w:t>
      </w:r>
    </w:p>
    <w:p w:rsidR="004909DC" w:rsidRPr="00F86C1B" w:rsidRDefault="001029F4" w:rsidP="00F86C1B">
      <w:pPr>
        <w:pStyle w:val="Paragraphe"/>
        <w:numPr>
          <w:ilvl w:val="0"/>
          <w:numId w:val="18"/>
        </w:numPr>
        <w:ind w:right="573"/>
        <w:rPr>
          <w:sz w:val="22"/>
          <w:szCs w:val="22"/>
        </w:rPr>
      </w:pPr>
      <w:r>
        <w:rPr>
          <w:sz w:val="22"/>
          <w:szCs w:val="22"/>
        </w:rPr>
        <w:t>They</w:t>
      </w:r>
      <w:r w:rsidR="004909DC" w:rsidRPr="00F86C1B">
        <w:rPr>
          <w:sz w:val="22"/>
          <w:szCs w:val="22"/>
        </w:rPr>
        <w:t xml:space="preserve"> </w:t>
      </w:r>
      <w:r>
        <w:rPr>
          <w:sz w:val="22"/>
          <w:szCs w:val="22"/>
        </w:rPr>
        <w:t xml:space="preserve">frequently </w:t>
      </w:r>
      <w:r w:rsidR="004909DC" w:rsidRPr="00F86C1B">
        <w:rPr>
          <w:sz w:val="22"/>
          <w:szCs w:val="22"/>
        </w:rPr>
        <w:t xml:space="preserve">reiterate the same questions in successive and </w:t>
      </w:r>
      <w:r>
        <w:rPr>
          <w:sz w:val="22"/>
          <w:szCs w:val="22"/>
        </w:rPr>
        <w:t>ever-</w:t>
      </w:r>
      <w:r w:rsidR="004909DC" w:rsidRPr="00F86C1B">
        <w:rPr>
          <w:sz w:val="22"/>
          <w:szCs w:val="22"/>
        </w:rPr>
        <w:t xml:space="preserve">expanding </w:t>
      </w:r>
      <w:r w:rsidR="009F7EC2">
        <w:rPr>
          <w:sz w:val="22"/>
          <w:szCs w:val="22"/>
        </w:rPr>
        <w:t>proceedings,</w:t>
      </w:r>
      <w:r w:rsidR="004909DC" w:rsidRPr="00F86C1B">
        <w:rPr>
          <w:sz w:val="22"/>
          <w:szCs w:val="22"/>
        </w:rPr>
        <w:t xml:space="preserve"> </w:t>
      </w:r>
      <w:r w:rsidR="009F7EC2">
        <w:rPr>
          <w:sz w:val="22"/>
          <w:szCs w:val="22"/>
        </w:rPr>
        <w:t xml:space="preserve">often </w:t>
      </w:r>
      <w:r w:rsidR="004909DC" w:rsidRPr="00F86C1B">
        <w:rPr>
          <w:sz w:val="22"/>
          <w:szCs w:val="22"/>
        </w:rPr>
        <w:t>seeking the same result despite the repeated failure of earlier pleadings;</w:t>
      </w:r>
    </w:p>
    <w:p w:rsidR="004909DC" w:rsidRPr="00F86C1B" w:rsidRDefault="004909DC" w:rsidP="00F86C1B">
      <w:pPr>
        <w:pStyle w:val="Paragraphe"/>
        <w:numPr>
          <w:ilvl w:val="0"/>
          <w:numId w:val="18"/>
        </w:numPr>
        <w:ind w:right="573"/>
        <w:rPr>
          <w:sz w:val="22"/>
          <w:szCs w:val="22"/>
        </w:rPr>
      </w:pPr>
      <w:r w:rsidRPr="00F86C1B">
        <w:rPr>
          <w:sz w:val="22"/>
          <w:szCs w:val="22"/>
        </w:rPr>
        <w:t xml:space="preserve">The legal </w:t>
      </w:r>
      <w:r w:rsidR="00F86C1B" w:rsidRPr="00F86C1B">
        <w:rPr>
          <w:sz w:val="22"/>
          <w:szCs w:val="22"/>
        </w:rPr>
        <w:t>arguments</w:t>
      </w:r>
      <w:r w:rsidRPr="00F86C1B">
        <w:rPr>
          <w:sz w:val="22"/>
          <w:szCs w:val="22"/>
        </w:rPr>
        <w:t xml:space="preserve"> set forth are marked by both their inventiveness and their incongruity. The</w:t>
      </w:r>
      <w:r w:rsidR="001029F4">
        <w:rPr>
          <w:sz w:val="22"/>
          <w:szCs w:val="22"/>
        </w:rPr>
        <w:t>y</w:t>
      </w:r>
      <w:r w:rsidRPr="00F86C1B">
        <w:rPr>
          <w:sz w:val="22"/>
          <w:szCs w:val="22"/>
        </w:rPr>
        <w:t xml:space="preserve"> are legal in form, certainly, but at the very limit</w:t>
      </w:r>
      <w:r w:rsidR="00397027">
        <w:rPr>
          <w:sz w:val="22"/>
          <w:szCs w:val="22"/>
        </w:rPr>
        <w:t>s</w:t>
      </w:r>
      <w:r w:rsidRPr="00F86C1B">
        <w:rPr>
          <w:sz w:val="22"/>
          <w:szCs w:val="22"/>
        </w:rPr>
        <w:t xml:space="preserve"> of rationality;</w:t>
      </w:r>
    </w:p>
    <w:p w:rsidR="004909DC" w:rsidRPr="00F86C1B" w:rsidRDefault="004909DC" w:rsidP="00F86C1B">
      <w:pPr>
        <w:pStyle w:val="Paragraphe"/>
        <w:numPr>
          <w:ilvl w:val="0"/>
          <w:numId w:val="18"/>
        </w:numPr>
        <w:ind w:right="573"/>
        <w:rPr>
          <w:sz w:val="22"/>
          <w:szCs w:val="22"/>
        </w:rPr>
      </w:pPr>
      <w:r w:rsidRPr="00F86C1B">
        <w:rPr>
          <w:sz w:val="22"/>
          <w:szCs w:val="22"/>
        </w:rPr>
        <w:t xml:space="preserve">The repeated failures </w:t>
      </w:r>
      <w:r w:rsidR="001029F4">
        <w:rPr>
          <w:sz w:val="22"/>
          <w:szCs w:val="22"/>
        </w:rPr>
        <w:t xml:space="preserve">of the </w:t>
      </w:r>
      <w:r w:rsidR="009F7EC2">
        <w:rPr>
          <w:sz w:val="22"/>
          <w:szCs w:val="22"/>
        </w:rPr>
        <w:t xml:space="preserve">proceedings </w:t>
      </w:r>
      <w:r w:rsidR="00397027">
        <w:rPr>
          <w:sz w:val="22"/>
          <w:szCs w:val="22"/>
        </w:rPr>
        <w:t xml:space="preserve">they bring sooner or later </w:t>
      </w:r>
      <w:r w:rsidR="00BF7520">
        <w:rPr>
          <w:sz w:val="22"/>
          <w:szCs w:val="22"/>
        </w:rPr>
        <w:t xml:space="preserve">result </w:t>
      </w:r>
      <w:r w:rsidRPr="00F86C1B">
        <w:rPr>
          <w:sz w:val="22"/>
          <w:szCs w:val="22"/>
        </w:rPr>
        <w:t xml:space="preserve">in </w:t>
      </w:r>
      <w:r w:rsidR="001029F4">
        <w:rPr>
          <w:sz w:val="22"/>
          <w:szCs w:val="22"/>
        </w:rPr>
        <w:t>their</w:t>
      </w:r>
      <w:r w:rsidRPr="00F86C1B">
        <w:rPr>
          <w:sz w:val="22"/>
          <w:szCs w:val="22"/>
        </w:rPr>
        <w:t xml:space="preserve"> inability to pay the </w:t>
      </w:r>
      <w:r w:rsidR="00397027">
        <w:rPr>
          <w:sz w:val="22"/>
          <w:szCs w:val="22"/>
        </w:rPr>
        <w:t>related</w:t>
      </w:r>
      <w:r w:rsidRPr="00F86C1B">
        <w:rPr>
          <w:sz w:val="22"/>
          <w:szCs w:val="22"/>
        </w:rPr>
        <w:t xml:space="preserve"> </w:t>
      </w:r>
      <w:r w:rsidR="009F7EC2">
        <w:rPr>
          <w:sz w:val="22"/>
          <w:szCs w:val="22"/>
        </w:rPr>
        <w:t xml:space="preserve">expenses </w:t>
      </w:r>
      <w:r w:rsidRPr="00F86C1B">
        <w:rPr>
          <w:sz w:val="22"/>
          <w:szCs w:val="22"/>
        </w:rPr>
        <w:t xml:space="preserve">and legal </w:t>
      </w:r>
      <w:r w:rsidR="009F7EC2">
        <w:rPr>
          <w:sz w:val="22"/>
          <w:szCs w:val="22"/>
        </w:rPr>
        <w:t>costs</w:t>
      </w:r>
      <w:r w:rsidRPr="00F86C1B">
        <w:rPr>
          <w:sz w:val="22"/>
          <w:szCs w:val="22"/>
        </w:rPr>
        <w:t>;</w:t>
      </w:r>
    </w:p>
    <w:p w:rsidR="004909DC" w:rsidRPr="00F86C1B" w:rsidRDefault="004909DC" w:rsidP="00F86C1B">
      <w:pPr>
        <w:pStyle w:val="Paragraphe"/>
        <w:numPr>
          <w:ilvl w:val="0"/>
          <w:numId w:val="18"/>
        </w:numPr>
        <w:ind w:right="573"/>
        <w:rPr>
          <w:sz w:val="22"/>
          <w:szCs w:val="22"/>
        </w:rPr>
      </w:pPr>
      <w:r w:rsidRPr="00F86C1B">
        <w:rPr>
          <w:sz w:val="22"/>
          <w:szCs w:val="22"/>
        </w:rPr>
        <w:t xml:space="preserve">Most if not all </w:t>
      </w:r>
      <w:r w:rsidR="00BF7520">
        <w:rPr>
          <w:sz w:val="22"/>
          <w:szCs w:val="22"/>
        </w:rPr>
        <w:t xml:space="preserve">adverse judgments </w:t>
      </w:r>
      <w:r w:rsidRPr="00F86C1B">
        <w:rPr>
          <w:sz w:val="22"/>
          <w:szCs w:val="22"/>
        </w:rPr>
        <w:t xml:space="preserve">are appealed or </w:t>
      </w:r>
      <w:r w:rsidR="00BF7520">
        <w:rPr>
          <w:sz w:val="22"/>
          <w:szCs w:val="22"/>
        </w:rPr>
        <w:t xml:space="preserve">are </w:t>
      </w:r>
      <w:r w:rsidRPr="00F86C1B">
        <w:rPr>
          <w:sz w:val="22"/>
          <w:szCs w:val="22"/>
        </w:rPr>
        <w:t>the subject of applications for judicial review or revocation;</w:t>
      </w:r>
    </w:p>
    <w:p w:rsidR="004909DC" w:rsidRPr="00F86C1B" w:rsidRDefault="001029F4" w:rsidP="00F86C1B">
      <w:pPr>
        <w:pStyle w:val="Paragraphe"/>
        <w:numPr>
          <w:ilvl w:val="0"/>
          <w:numId w:val="18"/>
        </w:numPr>
        <w:ind w:right="573"/>
        <w:rPr>
          <w:sz w:val="22"/>
          <w:szCs w:val="22"/>
        </w:rPr>
      </w:pPr>
      <w:r>
        <w:rPr>
          <w:sz w:val="22"/>
          <w:szCs w:val="22"/>
        </w:rPr>
        <w:t>They</w:t>
      </w:r>
      <w:r w:rsidR="004909DC" w:rsidRPr="00F86C1B">
        <w:rPr>
          <w:sz w:val="22"/>
          <w:szCs w:val="22"/>
        </w:rPr>
        <w:t xml:space="preserve"> </w:t>
      </w:r>
      <w:r w:rsidR="00BF7520">
        <w:rPr>
          <w:sz w:val="22"/>
          <w:szCs w:val="22"/>
        </w:rPr>
        <w:t>are self-</w:t>
      </w:r>
      <w:r w:rsidR="004909DC" w:rsidRPr="00F86C1B">
        <w:rPr>
          <w:sz w:val="22"/>
          <w:szCs w:val="22"/>
        </w:rPr>
        <w:t>represent</w:t>
      </w:r>
      <w:r w:rsidR="00BF7520">
        <w:rPr>
          <w:sz w:val="22"/>
          <w:szCs w:val="22"/>
        </w:rPr>
        <w:t>ed</w:t>
      </w:r>
      <w:r w:rsidR="004909DC" w:rsidRPr="00F86C1B">
        <w:rPr>
          <w:sz w:val="22"/>
          <w:szCs w:val="22"/>
        </w:rPr>
        <w:t>;</w:t>
      </w:r>
    </w:p>
    <w:p w:rsidR="005F3B61" w:rsidRPr="00F86C1B" w:rsidRDefault="001029F4" w:rsidP="00F86C1B">
      <w:pPr>
        <w:pStyle w:val="Paragraphe"/>
        <w:numPr>
          <w:ilvl w:val="0"/>
          <w:numId w:val="18"/>
        </w:numPr>
        <w:ind w:right="573"/>
        <w:rPr>
          <w:sz w:val="22"/>
          <w:szCs w:val="22"/>
        </w:rPr>
      </w:pPr>
      <w:r>
        <w:rPr>
          <w:sz w:val="22"/>
          <w:szCs w:val="22"/>
        </w:rPr>
        <w:t>Their</w:t>
      </w:r>
      <w:r w:rsidR="004909DC" w:rsidRPr="00F86C1B">
        <w:rPr>
          <w:sz w:val="22"/>
          <w:szCs w:val="22"/>
        </w:rPr>
        <w:t xml:space="preserve"> pleadings are often riddled with insults and attacks</w:t>
      </w:r>
      <w:r w:rsidR="005F3B61" w:rsidRPr="00F86C1B">
        <w:rPr>
          <w:sz w:val="22"/>
          <w:szCs w:val="22"/>
        </w:rPr>
        <w:t>.</w:t>
      </w:r>
    </w:p>
    <w:p w:rsidR="00CA175C" w:rsidRPr="00F86C1B" w:rsidRDefault="005F3B61" w:rsidP="00F86C1B">
      <w:pPr>
        <w:pStyle w:val="Paragraphe"/>
        <w:numPr>
          <w:ilvl w:val="0"/>
          <w:numId w:val="0"/>
        </w:numPr>
        <w:ind w:left="734" w:right="573"/>
        <w:rPr>
          <w:sz w:val="22"/>
          <w:szCs w:val="22"/>
        </w:rPr>
      </w:pPr>
      <w:r w:rsidRPr="00F86C1B">
        <w:rPr>
          <w:sz w:val="22"/>
          <w:szCs w:val="22"/>
        </w:rPr>
        <w:lastRenderedPageBreak/>
        <w:t xml:space="preserve">[83] For its part, the Court </w:t>
      </w:r>
      <w:r w:rsidR="00BF7520">
        <w:rPr>
          <w:sz w:val="22"/>
          <w:szCs w:val="22"/>
        </w:rPr>
        <w:t>wishes to</w:t>
      </w:r>
      <w:r w:rsidRPr="00F86C1B">
        <w:rPr>
          <w:sz w:val="22"/>
          <w:szCs w:val="22"/>
        </w:rPr>
        <w:t xml:space="preserve"> </w:t>
      </w:r>
      <w:r w:rsidR="00BF7520">
        <w:rPr>
          <w:sz w:val="22"/>
          <w:szCs w:val="22"/>
        </w:rPr>
        <w:t xml:space="preserve">extend this list with </w:t>
      </w:r>
      <w:r w:rsidRPr="00F86C1B">
        <w:rPr>
          <w:sz w:val="22"/>
          <w:szCs w:val="22"/>
        </w:rPr>
        <w:t xml:space="preserve">two more </w:t>
      </w:r>
      <w:r w:rsidR="009F7EC2">
        <w:rPr>
          <w:sz w:val="22"/>
          <w:szCs w:val="22"/>
        </w:rPr>
        <w:t>rather</w:t>
      </w:r>
      <w:r w:rsidR="009F7EC2" w:rsidRPr="00F86C1B">
        <w:rPr>
          <w:sz w:val="22"/>
          <w:szCs w:val="22"/>
        </w:rPr>
        <w:t xml:space="preserve"> </w:t>
      </w:r>
      <w:r w:rsidRPr="00F86C1B">
        <w:rPr>
          <w:sz w:val="22"/>
          <w:szCs w:val="22"/>
        </w:rPr>
        <w:t xml:space="preserve">common traits in </w:t>
      </w:r>
      <w:r w:rsidR="00BF7520">
        <w:rPr>
          <w:sz w:val="22"/>
          <w:szCs w:val="22"/>
        </w:rPr>
        <w:t>such</w:t>
      </w:r>
      <w:r w:rsidRPr="00F86C1B">
        <w:rPr>
          <w:sz w:val="22"/>
          <w:szCs w:val="22"/>
        </w:rPr>
        <w:t xml:space="preserve"> matters:</w:t>
      </w:r>
    </w:p>
    <w:p w:rsidR="005F3B61" w:rsidRPr="00F86C1B" w:rsidRDefault="005F3B61" w:rsidP="00F86C1B">
      <w:pPr>
        <w:pStyle w:val="Paragraphe"/>
        <w:numPr>
          <w:ilvl w:val="0"/>
          <w:numId w:val="0"/>
        </w:numPr>
        <w:ind w:left="1466" w:right="573"/>
        <w:rPr>
          <w:sz w:val="22"/>
          <w:szCs w:val="22"/>
        </w:rPr>
      </w:pPr>
      <w:r w:rsidRPr="00F86C1B">
        <w:rPr>
          <w:sz w:val="22"/>
          <w:szCs w:val="22"/>
        </w:rPr>
        <w:t xml:space="preserve">(a) </w:t>
      </w:r>
      <w:r w:rsidR="001029F4">
        <w:rPr>
          <w:sz w:val="22"/>
          <w:szCs w:val="22"/>
        </w:rPr>
        <w:t>They s</w:t>
      </w:r>
      <w:r w:rsidRPr="00F86C1B">
        <w:rPr>
          <w:sz w:val="22"/>
          <w:szCs w:val="22"/>
        </w:rPr>
        <w:t xml:space="preserve">eek </w:t>
      </w:r>
      <w:r w:rsidR="009F7EC2">
        <w:rPr>
          <w:sz w:val="22"/>
          <w:szCs w:val="22"/>
        </w:rPr>
        <w:t>disproportionate</w:t>
      </w:r>
      <w:r w:rsidR="009F7EC2" w:rsidRPr="00F86C1B">
        <w:rPr>
          <w:sz w:val="22"/>
          <w:szCs w:val="22"/>
        </w:rPr>
        <w:t xml:space="preserve"> </w:t>
      </w:r>
      <w:r w:rsidRPr="00F86C1B">
        <w:rPr>
          <w:sz w:val="22"/>
          <w:szCs w:val="22"/>
        </w:rPr>
        <w:t>monetary condemnations in relation to the actual prejudice alleged</w:t>
      </w:r>
      <w:r w:rsidR="00BF7520">
        <w:rPr>
          <w:sz w:val="22"/>
          <w:szCs w:val="22"/>
        </w:rPr>
        <w:t>,</w:t>
      </w:r>
      <w:r w:rsidRPr="00F86C1B">
        <w:rPr>
          <w:sz w:val="22"/>
          <w:szCs w:val="22"/>
        </w:rPr>
        <w:t xml:space="preserve"> and</w:t>
      </w:r>
      <w:r w:rsidR="001029F4">
        <w:rPr>
          <w:sz w:val="22"/>
          <w:szCs w:val="22"/>
        </w:rPr>
        <w:t xml:space="preserve"> </w:t>
      </w:r>
      <w:r w:rsidR="00BF7520">
        <w:rPr>
          <w:sz w:val="22"/>
          <w:szCs w:val="22"/>
        </w:rPr>
        <w:t xml:space="preserve">they </w:t>
      </w:r>
      <w:r w:rsidR="001029F4">
        <w:rPr>
          <w:sz w:val="22"/>
          <w:szCs w:val="22"/>
        </w:rPr>
        <w:t>add</w:t>
      </w:r>
      <w:r w:rsidRPr="00F86C1B">
        <w:rPr>
          <w:sz w:val="22"/>
          <w:szCs w:val="22"/>
        </w:rPr>
        <w:t xml:space="preserve"> atypical conclusions that have nothing to do with the actual issue </w:t>
      </w:r>
      <w:r w:rsidR="004E7710">
        <w:rPr>
          <w:sz w:val="22"/>
          <w:szCs w:val="22"/>
        </w:rPr>
        <w:t>in</w:t>
      </w:r>
      <w:r w:rsidRPr="00F86C1B">
        <w:rPr>
          <w:sz w:val="22"/>
          <w:szCs w:val="22"/>
        </w:rPr>
        <w:t xml:space="preserve"> dispute;</w:t>
      </w:r>
    </w:p>
    <w:p w:rsidR="005F3B61" w:rsidRPr="00F86C1B" w:rsidRDefault="005F3B61" w:rsidP="00F86C1B">
      <w:pPr>
        <w:pStyle w:val="Paragraphe"/>
        <w:numPr>
          <w:ilvl w:val="0"/>
          <w:numId w:val="0"/>
        </w:numPr>
        <w:ind w:left="1466" w:right="573"/>
        <w:rPr>
          <w:sz w:val="22"/>
          <w:szCs w:val="22"/>
        </w:rPr>
      </w:pPr>
      <w:r w:rsidRPr="00F86C1B">
        <w:rPr>
          <w:sz w:val="22"/>
          <w:szCs w:val="22"/>
        </w:rPr>
        <w:t xml:space="preserve">(b) </w:t>
      </w:r>
      <w:r w:rsidR="00BF7520">
        <w:rPr>
          <w:sz w:val="22"/>
          <w:szCs w:val="22"/>
        </w:rPr>
        <w:t xml:space="preserve">They are unable and refuse to </w:t>
      </w:r>
      <w:r w:rsidRPr="00F86C1B">
        <w:rPr>
          <w:sz w:val="22"/>
          <w:szCs w:val="22"/>
        </w:rPr>
        <w:t>respect the authority of the courts</w:t>
      </w:r>
      <w:r w:rsidR="00F86C1B" w:rsidRPr="00F86C1B">
        <w:rPr>
          <w:sz w:val="22"/>
          <w:szCs w:val="22"/>
        </w:rPr>
        <w:t>,</w:t>
      </w:r>
      <w:r w:rsidRPr="00F86C1B">
        <w:rPr>
          <w:sz w:val="22"/>
          <w:szCs w:val="22"/>
        </w:rPr>
        <w:t xml:space="preserve"> </w:t>
      </w:r>
      <w:r w:rsidR="00F86C1B" w:rsidRPr="00F86C1B">
        <w:rPr>
          <w:sz w:val="22"/>
          <w:szCs w:val="22"/>
        </w:rPr>
        <w:t>to which, however,</w:t>
      </w:r>
      <w:r w:rsidRPr="00F86C1B">
        <w:rPr>
          <w:sz w:val="22"/>
          <w:szCs w:val="22"/>
        </w:rPr>
        <w:t xml:space="preserve"> the</w:t>
      </w:r>
      <w:r w:rsidR="00D92E0F">
        <w:rPr>
          <w:sz w:val="22"/>
          <w:szCs w:val="22"/>
        </w:rPr>
        <w:t>y</w:t>
      </w:r>
      <w:r w:rsidRPr="00F86C1B">
        <w:rPr>
          <w:sz w:val="22"/>
          <w:szCs w:val="22"/>
        </w:rPr>
        <w:t xml:space="preserve"> </w:t>
      </w:r>
      <w:r w:rsidR="00D92E0F">
        <w:rPr>
          <w:sz w:val="22"/>
          <w:szCs w:val="22"/>
        </w:rPr>
        <w:t>claim</w:t>
      </w:r>
      <w:r w:rsidRPr="00F86C1B">
        <w:rPr>
          <w:sz w:val="22"/>
          <w:szCs w:val="22"/>
        </w:rPr>
        <w:t xml:space="preserve"> </w:t>
      </w:r>
      <w:r w:rsidR="00F86C1B" w:rsidRPr="00F86C1B">
        <w:rPr>
          <w:sz w:val="22"/>
          <w:szCs w:val="22"/>
        </w:rPr>
        <w:t xml:space="preserve">the right to </w:t>
      </w:r>
      <w:r w:rsidR="00D92E0F">
        <w:rPr>
          <w:sz w:val="22"/>
          <w:szCs w:val="22"/>
        </w:rPr>
        <w:t xml:space="preserve">have </w:t>
      </w:r>
      <w:r w:rsidRPr="00F86C1B">
        <w:rPr>
          <w:sz w:val="22"/>
          <w:szCs w:val="22"/>
        </w:rPr>
        <w:t>access</w:t>
      </w:r>
      <w:r w:rsidR="00F86C1B" w:rsidRPr="00F86C1B">
        <w:rPr>
          <w:sz w:val="22"/>
          <w:szCs w:val="22"/>
        </w:rPr>
        <w:t xml:space="preserve"> and </w:t>
      </w:r>
      <w:r w:rsidR="00D92E0F">
        <w:rPr>
          <w:sz w:val="22"/>
          <w:szCs w:val="22"/>
        </w:rPr>
        <w:t xml:space="preserve">to </w:t>
      </w:r>
      <w:r w:rsidR="00F86C1B" w:rsidRPr="00F86C1B">
        <w:rPr>
          <w:sz w:val="22"/>
          <w:szCs w:val="22"/>
        </w:rPr>
        <w:t>use.</w:t>
      </w:r>
    </w:p>
    <w:p w:rsidR="00F86C1B" w:rsidRPr="00F86C1B" w:rsidRDefault="00F86C1B" w:rsidP="00F86C1B">
      <w:pPr>
        <w:pStyle w:val="Paragraphe"/>
        <w:numPr>
          <w:ilvl w:val="0"/>
          <w:numId w:val="0"/>
        </w:numPr>
        <w:ind w:left="732" w:right="573"/>
        <w:rPr>
          <w:sz w:val="22"/>
          <w:szCs w:val="22"/>
        </w:rPr>
      </w:pPr>
      <w:r w:rsidRPr="00F86C1B">
        <w:rPr>
          <w:sz w:val="22"/>
          <w:szCs w:val="22"/>
        </w:rPr>
        <w:t xml:space="preserve">[84] That said, </w:t>
      </w:r>
      <w:r w:rsidR="004E7710">
        <w:rPr>
          <w:sz w:val="22"/>
          <w:szCs w:val="22"/>
        </w:rPr>
        <w:t xml:space="preserve">not all these characteristics need be present </w:t>
      </w:r>
      <w:r w:rsidRPr="00F86C1B">
        <w:rPr>
          <w:sz w:val="22"/>
          <w:szCs w:val="22"/>
        </w:rPr>
        <w:t>to conclude that conduct is quarrelsome, excessive</w:t>
      </w:r>
      <w:r w:rsidR="00BF7520">
        <w:rPr>
          <w:sz w:val="22"/>
          <w:szCs w:val="22"/>
        </w:rPr>
        <w:t>,</w:t>
      </w:r>
      <w:r w:rsidRPr="00F86C1B">
        <w:rPr>
          <w:sz w:val="22"/>
          <w:szCs w:val="22"/>
        </w:rPr>
        <w:t xml:space="preserve"> and unreasonable. Each case must turn on its </w:t>
      </w:r>
      <w:r w:rsidR="00BF7520">
        <w:rPr>
          <w:sz w:val="22"/>
          <w:szCs w:val="22"/>
        </w:rPr>
        <w:t xml:space="preserve">own </w:t>
      </w:r>
      <w:r w:rsidRPr="00F86C1B">
        <w:rPr>
          <w:sz w:val="22"/>
          <w:szCs w:val="22"/>
        </w:rPr>
        <w:t>facts. It is the overall analysis that counts.</w:t>
      </w:r>
    </w:p>
    <w:p w:rsidR="00AA2C70" w:rsidRDefault="00170AB3" w:rsidP="000A69A7">
      <w:pPr>
        <w:pStyle w:val="Paragraphe"/>
      </w:pPr>
      <w:r>
        <w:t>Applying this analytical framework</w:t>
      </w:r>
      <w:r w:rsidR="0018413B">
        <w:t xml:space="preserve"> to the circumstances in which Mr</w:t>
      </w:r>
      <w:r>
        <w:t xml:space="preserve">. Daniel </w:t>
      </w:r>
      <w:r w:rsidR="00BF7520">
        <w:t xml:space="preserve">has </w:t>
      </w:r>
      <w:r>
        <w:t xml:space="preserve">addressed the Court </w:t>
      </w:r>
      <w:r w:rsidR="00BF7520">
        <w:t xml:space="preserve">over </w:t>
      </w:r>
      <w:r>
        <w:t xml:space="preserve">these past two years leads to the conclusion that he </w:t>
      </w:r>
      <w:r w:rsidR="00BF7520">
        <w:t xml:space="preserve">merits the designation of </w:t>
      </w:r>
      <w:r>
        <w:t xml:space="preserve">quarrelsome litigant. Acting alone and as </w:t>
      </w:r>
      <w:r w:rsidR="00BF7520">
        <w:t xml:space="preserve">a </w:t>
      </w:r>
      <w:r>
        <w:t xml:space="preserve">plaintiff, Mr. Daniel </w:t>
      </w:r>
      <w:r w:rsidR="004E7710">
        <w:t xml:space="preserve">has </w:t>
      </w:r>
      <w:r w:rsidR="006712B9">
        <w:t xml:space="preserve">been persistently obstinate and relentless, contesting </w:t>
      </w:r>
      <w:r>
        <w:t xml:space="preserve">practically every order rendered against him, and he </w:t>
      </w:r>
      <w:r w:rsidR="006712B9">
        <w:t xml:space="preserve">has </w:t>
      </w:r>
      <w:r>
        <w:t>show</w:t>
      </w:r>
      <w:r w:rsidR="006712B9">
        <w:t>n</w:t>
      </w:r>
      <w:r>
        <w:t xml:space="preserve"> a similar attitude in his dealings with the </w:t>
      </w:r>
      <w:r w:rsidR="007913FA">
        <w:t>c</w:t>
      </w:r>
      <w:r>
        <w:t xml:space="preserve">ourt office. </w:t>
      </w:r>
      <w:r w:rsidR="00154030">
        <w:t>He</w:t>
      </w:r>
      <w:r w:rsidR="006712B9">
        <w:t xml:space="preserve"> has</w:t>
      </w:r>
      <w:r w:rsidR="00154030">
        <w:t xml:space="preserve"> multiplied proceedings </w:t>
      </w:r>
      <w:r w:rsidR="006712B9">
        <w:t xml:space="preserve">that were </w:t>
      </w:r>
      <w:r w:rsidR="00154030">
        <w:t>doomed to fail</w:t>
      </w:r>
      <w:r w:rsidR="006712B9">
        <w:t>,</w:t>
      </w:r>
      <w:r w:rsidR="00154030">
        <w:t xml:space="preserve"> and </w:t>
      </w:r>
      <w:r w:rsidR="006712B9">
        <w:t xml:space="preserve">he has </w:t>
      </w:r>
      <w:r w:rsidR="00154030">
        <w:t>had no hesitation in directing some of them against judges. He tends not to comply with the applicable procedure</w:t>
      </w:r>
      <w:r w:rsidR="007913FA">
        <w:t xml:space="preserve"> or the authority of the courts</w:t>
      </w:r>
      <w:r w:rsidR="006712B9">
        <w:t>,</w:t>
      </w:r>
      <w:r w:rsidR="007913FA">
        <w:t xml:space="preserve"> and </w:t>
      </w:r>
      <w:r w:rsidR="006712B9">
        <w:t xml:space="preserve">he </w:t>
      </w:r>
      <w:r w:rsidR="007913FA">
        <w:t xml:space="preserve">seeks </w:t>
      </w:r>
      <w:r w:rsidR="006712B9">
        <w:t xml:space="preserve">to </w:t>
      </w:r>
      <w:r w:rsidR="007913FA">
        <w:t xml:space="preserve">use the </w:t>
      </w:r>
      <w:r w:rsidR="00C64A6C">
        <w:t>judicial</w:t>
      </w:r>
      <w:r w:rsidR="007913FA">
        <w:t xml:space="preserve"> process</w:t>
      </w:r>
      <w:r w:rsidR="00154030">
        <w:t xml:space="preserve"> – including appeal</w:t>
      </w:r>
      <w:r w:rsidR="007913FA">
        <w:t>s</w:t>
      </w:r>
      <w:r w:rsidR="00154030">
        <w:t xml:space="preserve"> – to wage ongoing guerilla warfare against the institutions he holds responsible for the injustice he feels he has suffered since 2007. Moreover, most of his appeals </w:t>
      </w:r>
      <w:r w:rsidR="006712B9">
        <w:t xml:space="preserve">have </w:t>
      </w:r>
      <w:r w:rsidR="00154030">
        <w:t xml:space="preserve">concerned a case </w:t>
      </w:r>
      <w:r w:rsidR="006712B9">
        <w:t xml:space="preserve">in which </w:t>
      </w:r>
      <w:r w:rsidR="00154030">
        <w:t xml:space="preserve">he claims amounts from the respondents that are </w:t>
      </w:r>
      <w:r w:rsidR="006712B9">
        <w:t xml:space="preserve">entirely </w:t>
      </w:r>
      <w:r w:rsidR="00154030">
        <w:t xml:space="preserve">disproportionate to his alleged prejudice or even – with respect to the punitive damages – </w:t>
      </w:r>
      <w:r w:rsidR="006712B9">
        <w:t>to</w:t>
      </w:r>
      <w:r w:rsidR="00154030">
        <w:t xml:space="preserve"> the seriousness of the</w:t>
      </w:r>
      <w:r w:rsidR="007913FA">
        <w:t xml:space="preserve"> faults </w:t>
      </w:r>
      <w:r w:rsidR="006712B9">
        <w:t xml:space="preserve">he </w:t>
      </w:r>
      <w:r w:rsidR="007913FA">
        <w:t>allege</w:t>
      </w:r>
      <w:r w:rsidR="006712B9">
        <w:t>s</w:t>
      </w:r>
      <w:r w:rsidR="007913FA">
        <w:t xml:space="preserve"> against the</w:t>
      </w:r>
      <w:r w:rsidR="00154030">
        <w:t xml:space="preserve"> respondents. </w:t>
      </w:r>
      <w:r w:rsidR="006712B9">
        <w:t>Ultimately</w:t>
      </w:r>
      <w:r w:rsidR="00154030">
        <w:t xml:space="preserve">, </w:t>
      </w:r>
      <w:r w:rsidR="00616B9C">
        <w:t xml:space="preserve">it may be assumed </w:t>
      </w:r>
      <w:r w:rsidR="00154030">
        <w:t xml:space="preserve">that Mr. Daniel’s repeated failures will sooner or later result in his inability to pay the legal costs and professional fees he </w:t>
      </w:r>
      <w:r w:rsidR="006712B9">
        <w:t xml:space="preserve">has been </w:t>
      </w:r>
      <w:r w:rsidR="00154030">
        <w:t>condemned to pay.</w:t>
      </w:r>
    </w:p>
    <w:p w:rsidR="00FE17E2" w:rsidRDefault="001424C9" w:rsidP="000A69A7">
      <w:pPr>
        <w:pStyle w:val="Paragraphe"/>
      </w:pPr>
      <w:r>
        <w:t xml:space="preserve">In the circumstances, an order is justified </w:t>
      </w:r>
      <w:r w:rsidR="006712B9">
        <w:t xml:space="preserve">to prohibit </w:t>
      </w:r>
      <w:r>
        <w:t>Mr. Daniel from filing any pleading</w:t>
      </w:r>
      <w:r w:rsidR="006712B9">
        <w:t>s</w:t>
      </w:r>
      <w:r>
        <w:t xml:space="preserve"> (including an application for leave to appeal and a notice of appeal) before the Court against the respondents, their representatives</w:t>
      </w:r>
      <w:r w:rsidR="004E7710">
        <w:t>,</w:t>
      </w:r>
      <w:r>
        <w:t xml:space="preserve"> and their lawyers</w:t>
      </w:r>
      <w:r w:rsidR="006712B9">
        <w:t>,</w:t>
      </w:r>
      <w:r>
        <w:t xml:space="preserve"> as well as the judges who </w:t>
      </w:r>
      <w:r w:rsidR="006712B9">
        <w:t xml:space="preserve">have </w:t>
      </w:r>
      <w:r>
        <w:t xml:space="preserve">rendered judgments in this case, </w:t>
      </w:r>
      <w:r w:rsidR="004E7710">
        <w:t xml:space="preserve">except with the prior </w:t>
      </w:r>
      <w:r w:rsidR="006F7E44">
        <w:t>written authorization of the C</w:t>
      </w:r>
      <w:r>
        <w:t xml:space="preserve">hief </w:t>
      </w:r>
      <w:r w:rsidR="006F7E44">
        <w:t>J</w:t>
      </w:r>
      <w:r>
        <w:t xml:space="preserve">ustice or any other judge </w:t>
      </w:r>
      <w:r w:rsidR="0018413B">
        <w:t>she may designate</w:t>
      </w:r>
      <w:r>
        <w:t>.</w:t>
      </w:r>
    </w:p>
    <w:p w:rsidR="001424C9" w:rsidRDefault="004E7710" w:rsidP="000A69A7">
      <w:pPr>
        <w:pStyle w:val="Paragraphe"/>
      </w:pPr>
      <w:r>
        <w:t>Last</w:t>
      </w:r>
      <w:r w:rsidR="001424C9">
        <w:t xml:space="preserve">, the Court </w:t>
      </w:r>
      <w:r w:rsidR="00081C61">
        <w:t xml:space="preserve">finds </w:t>
      </w:r>
      <w:r w:rsidR="001424C9">
        <w:t>that the applications of the Ville and P. Talbot inc. for the reimbursement of the fees incurred in this appeal are well founded.</w:t>
      </w:r>
      <w:r w:rsidR="001424C9">
        <w:rPr>
          <w:rStyle w:val="Appelnotedebasdep"/>
        </w:rPr>
        <w:footnoteReference w:id="24"/>
      </w:r>
      <w:r w:rsidR="00E06A84">
        <w:t xml:space="preserve"> As with the first appeal, it is preferable to refer the case back to the Superior Court to determine the </w:t>
      </w:r>
      <w:r>
        <w:t xml:space="preserve">precise </w:t>
      </w:r>
      <w:r w:rsidR="00E06A84">
        <w:t>amount that Mr. Daniel will have to pay. Th</w:t>
      </w:r>
      <w:r w:rsidR="00E05888">
        <w:t>is is also how th</w:t>
      </w:r>
      <w:r w:rsidR="00E06A84">
        <w:t xml:space="preserve">e Ville and P. Talbot inc. </w:t>
      </w:r>
      <w:r>
        <w:t xml:space="preserve">ask </w:t>
      </w:r>
      <w:r w:rsidR="00E06A84">
        <w:t>the</w:t>
      </w:r>
      <w:r w:rsidR="0018413B">
        <w:t xml:space="preserve"> Court </w:t>
      </w:r>
      <w:r>
        <w:t xml:space="preserve">to </w:t>
      </w:r>
      <w:r w:rsidR="0018413B">
        <w:t xml:space="preserve">proceed </w:t>
      </w:r>
      <w:r w:rsidR="00E05888">
        <w:t xml:space="preserve">in </w:t>
      </w:r>
      <w:r w:rsidR="00E06A84">
        <w:t>their applications.</w:t>
      </w:r>
    </w:p>
    <w:p w:rsidR="00E06A84" w:rsidRDefault="00E06A84" w:rsidP="00081C61">
      <w:pPr>
        <w:pStyle w:val="Paragraphe"/>
        <w:keepNext/>
        <w:numPr>
          <w:ilvl w:val="0"/>
          <w:numId w:val="0"/>
        </w:numPr>
        <w:rPr>
          <w:b/>
        </w:rPr>
      </w:pPr>
      <w:r w:rsidRPr="00E06A84">
        <w:rPr>
          <w:b/>
        </w:rPr>
        <w:lastRenderedPageBreak/>
        <w:t>FOR THESE REASONS, THE COURT:</w:t>
      </w:r>
    </w:p>
    <w:p w:rsidR="00E06A84" w:rsidRPr="00EF7697" w:rsidRDefault="00E06A84" w:rsidP="00081C61">
      <w:pPr>
        <w:pStyle w:val="Paragraphe"/>
        <w:keepNext/>
        <w:numPr>
          <w:ilvl w:val="0"/>
          <w:numId w:val="0"/>
        </w:numPr>
        <w:jc w:val="center"/>
        <w:rPr>
          <w:i/>
          <w:u w:val="single"/>
        </w:rPr>
      </w:pPr>
      <w:r w:rsidRPr="00EF7697">
        <w:rPr>
          <w:i/>
          <w:u w:val="single"/>
        </w:rPr>
        <w:t xml:space="preserve">File No. 500-09-030080-220 </w:t>
      </w:r>
    </w:p>
    <w:p w:rsidR="00E06A84" w:rsidRDefault="002169F6" w:rsidP="00081C61">
      <w:pPr>
        <w:pStyle w:val="Paragraphe"/>
        <w:keepNext/>
      </w:pPr>
      <w:r w:rsidRPr="0018413B">
        <w:rPr>
          <w:b/>
        </w:rPr>
        <w:t>DISMISSES</w:t>
      </w:r>
      <w:r>
        <w:t xml:space="preserve"> the application for leave to appeal after the expiry of the time limit presented by Mr. Ramzi Daniel;</w:t>
      </w:r>
    </w:p>
    <w:p w:rsidR="002169F6" w:rsidRDefault="002169F6" w:rsidP="00081C61">
      <w:pPr>
        <w:pStyle w:val="Paragraphe"/>
        <w:keepNext/>
      </w:pPr>
      <w:r w:rsidRPr="0018413B">
        <w:rPr>
          <w:b/>
        </w:rPr>
        <w:t>GRANTS</w:t>
      </w:r>
      <w:r>
        <w:t xml:space="preserve"> </w:t>
      </w:r>
      <w:r w:rsidR="0018413B">
        <w:t xml:space="preserve">in part </w:t>
      </w:r>
      <w:r>
        <w:t>the application for a declaration of abuse and awards damages to Ville de Mont-Saint-Hilaire;</w:t>
      </w:r>
    </w:p>
    <w:p w:rsidR="002169F6" w:rsidRDefault="002169F6" w:rsidP="000A69A7">
      <w:pPr>
        <w:pStyle w:val="Paragraphe"/>
      </w:pPr>
      <w:r w:rsidRPr="0018413B">
        <w:rPr>
          <w:b/>
        </w:rPr>
        <w:t>DECLARES</w:t>
      </w:r>
      <w:r>
        <w:t xml:space="preserve"> </w:t>
      </w:r>
      <w:r w:rsidR="00E05888">
        <w:t xml:space="preserve">that </w:t>
      </w:r>
      <w:r>
        <w:t xml:space="preserve">the </w:t>
      </w:r>
      <w:r w:rsidR="0018413B">
        <w:t>application</w:t>
      </w:r>
      <w:r>
        <w:t xml:space="preserve"> for leave to appeal after the expiry of the time limit presented by Mr. Ramzi Daniel </w:t>
      </w:r>
      <w:r w:rsidR="00E05888">
        <w:t xml:space="preserve">is </w:t>
      </w:r>
      <w:r>
        <w:t>abusive;</w:t>
      </w:r>
    </w:p>
    <w:p w:rsidR="002169F6" w:rsidRDefault="002169F6" w:rsidP="000A69A7">
      <w:pPr>
        <w:pStyle w:val="Paragraphe"/>
      </w:pPr>
      <w:r w:rsidRPr="0018413B">
        <w:rPr>
          <w:b/>
        </w:rPr>
        <w:t>CO</w:t>
      </w:r>
      <w:r w:rsidR="0018413B" w:rsidRPr="0018413B">
        <w:rPr>
          <w:b/>
        </w:rPr>
        <w:t>N</w:t>
      </w:r>
      <w:r w:rsidRPr="0018413B">
        <w:rPr>
          <w:b/>
        </w:rPr>
        <w:t>DEMNS</w:t>
      </w:r>
      <w:r>
        <w:t xml:space="preserve"> Mr. Ramzi </w:t>
      </w:r>
      <w:r w:rsidR="0018413B">
        <w:t>Daniel</w:t>
      </w:r>
      <w:r>
        <w:t xml:space="preserve"> to pay Ville de Mont-Saint-Hilaire an amount corresponding to </w:t>
      </w:r>
      <w:r w:rsidR="004E7710">
        <w:t xml:space="preserve">its </w:t>
      </w:r>
      <w:r>
        <w:t>professional fees (</w:t>
      </w:r>
      <w:r w:rsidR="00545F96">
        <w:t>disbursements</w:t>
      </w:r>
      <w:r>
        <w:t xml:space="preserve"> included) reasonably incurred for this appeal and </w:t>
      </w:r>
      <w:r w:rsidRPr="00EC5EC8">
        <w:rPr>
          <w:b/>
        </w:rPr>
        <w:t>REFERS</w:t>
      </w:r>
      <w:r w:rsidR="00EC5EC8">
        <w:t xml:space="preserve"> the case back to</w:t>
      </w:r>
      <w:r>
        <w:t xml:space="preserve"> the Superior Court </w:t>
      </w:r>
      <w:r w:rsidR="004F52ED">
        <w:t>so that it may</w:t>
      </w:r>
      <w:r>
        <w:t xml:space="preserve"> specify, </w:t>
      </w:r>
      <w:r w:rsidR="00E05888">
        <w:t xml:space="preserve">after hearing evidence </w:t>
      </w:r>
      <w:r>
        <w:t>and debate, the amount that Mr. Ramzi Daniel will have to pay;</w:t>
      </w:r>
    </w:p>
    <w:p w:rsidR="002169F6" w:rsidRDefault="002169F6" w:rsidP="000A69A7">
      <w:pPr>
        <w:pStyle w:val="Paragraphe"/>
      </w:pPr>
      <w:r w:rsidRPr="00EC5EC8">
        <w:rPr>
          <w:b/>
        </w:rPr>
        <w:t>THE WHOLE</w:t>
      </w:r>
      <w:r>
        <w:t xml:space="preserve"> with legal costs in favour of Ville de Mont-Saint-Hilaire;</w:t>
      </w:r>
    </w:p>
    <w:p w:rsidR="005C5CEA" w:rsidRPr="00EF7697" w:rsidRDefault="005C5CEA" w:rsidP="005C5CEA">
      <w:pPr>
        <w:pStyle w:val="Paragraphe"/>
        <w:numPr>
          <w:ilvl w:val="0"/>
          <w:numId w:val="0"/>
        </w:numPr>
        <w:jc w:val="center"/>
        <w:rPr>
          <w:i/>
          <w:u w:val="single"/>
        </w:rPr>
      </w:pPr>
      <w:r w:rsidRPr="00EF7697">
        <w:rPr>
          <w:i/>
          <w:u w:val="single"/>
        </w:rPr>
        <w:t>File No. 500-09-030045-223</w:t>
      </w:r>
    </w:p>
    <w:p w:rsidR="002169F6" w:rsidRDefault="005C5CEA" w:rsidP="000A69A7">
      <w:pPr>
        <w:pStyle w:val="Paragraphe"/>
      </w:pPr>
      <w:r w:rsidRPr="00EC5EC8">
        <w:rPr>
          <w:b/>
        </w:rPr>
        <w:t>GRANTS</w:t>
      </w:r>
      <w:r>
        <w:t xml:space="preserve"> the applications to dismiss the appeal presented by the respondents Ville de Mont-Saint-Hilaire, WSP Canada</w:t>
      </w:r>
      <w:r w:rsidR="00EC5EC8">
        <w:t xml:space="preserve"> </w:t>
      </w:r>
      <w:r>
        <w:t>inc., P. Talbot inc.</w:t>
      </w:r>
      <w:r w:rsidR="009279D3">
        <w:t>,</w:t>
      </w:r>
      <w:r>
        <w:t xml:space="preserve"> and the Attorney General of Quebec;</w:t>
      </w:r>
    </w:p>
    <w:p w:rsidR="005C5CEA" w:rsidRDefault="005C5CEA" w:rsidP="000A69A7">
      <w:pPr>
        <w:pStyle w:val="Paragraphe"/>
      </w:pPr>
      <w:r w:rsidRPr="00EC5EC8">
        <w:rPr>
          <w:b/>
        </w:rPr>
        <w:t>DISMISSES</w:t>
      </w:r>
      <w:r>
        <w:t xml:space="preserve"> the appeal;</w:t>
      </w:r>
    </w:p>
    <w:p w:rsidR="005C5CEA" w:rsidRDefault="005C5CEA" w:rsidP="000A69A7">
      <w:pPr>
        <w:pStyle w:val="Paragraphe"/>
      </w:pPr>
      <w:r w:rsidRPr="00EC5EC8">
        <w:rPr>
          <w:b/>
        </w:rPr>
        <w:t>GRANTS</w:t>
      </w:r>
      <w:r>
        <w:t xml:space="preserve"> the applications for a declaration of abuse, </w:t>
      </w:r>
      <w:r w:rsidR="004F52ED">
        <w:t xml:space="preserve">for </w:t>
      </w:r>
      <w:r w:rsidR="00616B9C">
        <w:t xml:space="preserve">a </w:t>
      </w:r>
      <w:r>
        <w:t>declaration of quarrelsome</w:t>
      </w:r>
      <w:r w:rsidR="00616B9C">
        <w:t>ness</w:t>
      </w:r>
      <w:r>
        <w:t xml:space="preserve">, and </w:t>
      </w:r>
      <w:r w:rsidR="00616B9C">
        <w:t xml:space="preserve">for </w:t>
      </w:r>
      <w:r>
        <w:t>damages by the respondents Ville de Mont-Saint-Hilaire and P. Talbot inc.;</w:t>
      </w:r>
    </w:p>
    <w:p w:rsidR="005C5CEA" w:rsidRDefault="005C5CEA" w:rsidP="000A69A7">
      <w:pPr>
        <w:pStyle w:val="Paragraphe"/>
      </w:pPr>
      <w:r w:rsidRPr="00EC5EC8">
        <w:rPr>
          <w:b/>
        </w:rPr>
        <w:t>DECLARES</w:t>
      </w:r>
      <w:r w:rsidR="004F52ED">
        <w:rPr>
          <w:b/>
        </w:rPr>
        <w:t xml:space="preserve"> </w:t>
      </w:r>
      <w:r w:rsidR="004F52ED">
        <w:rPr>
          <w:bCs/>
        </w:rPr>
        <w:t>that</w:t>
      </w:r>
      <w:r>
        <w:t xml:space="preserve"> the appeal brought by Mr. Ramzi </w:t>
      </w:r>
      <w:r w:rsidR="00EC5EC8">
        <w:t>Daniel</w:t>
      </w:r>
      <w:r>
        <w:t xml:space="preserve"> </w:t>
      </w:r>
      <w:r w:rsidR="004F52ED">
        <w:t xml:space="preserve">is </w:t>
      </w:r>
      <w:r>
        <w:t>abusive;</w:t>
      </w:r>
    </w:p>
    <w:p w:rsidR="005C5CEA" w:rsidRDefault="005C5CEA" w:rsidP="000A69A7">
      <w:pPr>
        <w:pStyle w:val="Paragraphe"/>
      </w:pPr>
      <w:r w:rsidRPr="00EC5EC8">
        <w:rPr>
          <w:b/>
        </w:rPr>
        <w:t>CONDEMNS</w:t>
      </w:r>
      <w:r>
        <w:t xml:space="preserve"> Mr. Ramzi Daniel to pay the respondents Ville de Mont</w:t>
      </w:r>
      <w:r w:rsidR="004F52ED">
        <w:noBreakHyphen/>
      </w:r>
      <w:r>
        <w:t>Saint</w:t>
      </w:r>
      <w:r w:rsidR="004F52ED">
        <w:noBreakHyphen/>
      </w:r>
      <w:r>
        <w:t>Hilaire and P. Talbot inc. an amount corresponding to the</w:t>
      </w:r>
      <w:r w:rsidR="00616B9C">
        <w:t>ir</w:t>
      </w:r>
      <w:r>
        <w:t xml:space="preserve"> professional fees (</w:t>
      </w:r>
      <w:r w:rsidR="00545F96">
        <w:t>disbursements</w:t>
      </w:r>
      <w:r>
        <w:t xml:space="preserve"> included) reasonably incurred for this appeal and </w:t>
      </w:r>
      <w:r w:rsidRPr="00EC5EC8">
        <w:rPr>
          <w:b/>
        </w:rPr>
        <w:t>REFERS</w:t>
      </w:r>
      <w:r>
        <w:t xml:space="preserve"> the case back to the Superior Court </w:t>
      </w:r>
      <w:r w:rsidR="004F52ED">
        <w:t xml:space="preserve">so that it may </w:t>
      </w:r>
      <w:r>
        <w:t xml:space="preserve">specify, after </w:t>
      </w:r>
      <w:r w:rsidR="004F52ED">
        <w:t xml:space="preserve">hearing evidence </w:t>
      </w:r>
      <w:r>
        <w:t xml:space="preserve">and debate, the amount that Mr. Ramzi Daniel will have to </w:t>
      </w:r>
      <w:r w:rsidR="00DA0C60">
        <w:t>pay;</w:t>
      </w:r>
    </w:p>
    <w:p w:rsidR="00DA0C60" w:rsidRDefault="00DA0C60" w:rsidP="000A69A7">
      <w:pPr>
        <w:pStyle w:val="Paragraphe"/>
      </w:pPr>
      <w:r w:rsidRPr="00EC5EC8">
        <w:rPr>
          <w:b/>
        </w:rPr>
        <w:t>DECLARES</w:t>
      </w:r>
      <w:r>
        <w:t xml:space="preserve"> that Mr. Ramzi </w:t>
      </w:r>
      <w:r w:rsidR="00EC5EC8">
        <w:t>Daniel</w:t>
      </w:r>
      <w:r>
        <w:t xml:space="preserve"> is a litigant subject to authorization </w:t>
      </w:r>
      <w:r w:rsidR="004F52ED">
        <w:t xml:space="preserve">in </w:t>
      </w:r>
      <w:r>
        <w:t>any file</w:t>
      </w:r>
      <w:r w:rsidR="00EC5EC8">
        <w:t xml:space="preserve">, current or future, </w:t>
      </w:r>
      <w:r>
        <w:t xml:space="preserve">before the Court </w:t>
      </w:r>
      <w:r w:rsidR="00EC5EC8">
        <w:t>of A</w:t>
      </w:r>
      <w:r>
        <w:t>ppeal</w:t>
      </w:r>
      <w:r w:rsidR="00EC5EC8">
        <w:t xml:space="preserve"> that </w:t>
      </w:r>
      <w:r>
        <w:t>involv</w:t>
      </w:r>
      <w:r w:rsidR="00EC5EC8">
        <w:t>es</w:t>
      </w:r>
      <w:r>
        <w:t xml:space="preserve"> the respondents, their </w:t>
      </w:r>
      <w:r w:rsidR="00EC5EC8">
        <w:t>representatives</w:t>
      </w:r>
      <w:r w:rsidR="004F52ED">
        <w:t>,</w:t>
      </w:r>
      <w:r>
        <w:t xml:space="preserve"> and their lawyers, as well as the judges who </w:t>
      </w:r>
      <w:r w:rsidR="004F52ED">
        <w:t xml:space="preserve">have </w:t>
      </w:r>
      <w:r>
        <w:t>rendered judgment in this case;</w:t>
      </w:r>
    </w:p>
    <w:p w:rsidR="00DA0C60" w:rsidRDefault="00DA0C60" w:rsidP="000A69A7">
      <w:pPr>
        <w:pStyle w:val="Paragraphe"/>
      </w:pPr>
      <w:r w:rsidRPr="00EC5EC8">
        <w:rPr>
          <w:b/>
        </w:rPr>
        <w:lastRenderedPageBreak/>
        <w:t>PROHIBITS</w:t>
      </w:r>
      <w:r>
        <w:t xml:space="preserve"> Mr. Ramzi Daniel from filing any pleading</w:t>
      </w:r>
      <w:r w:rsidR="004F52ED">
        <w:t>s</w:t>
      </w:r>
      <w:r>
        <w:t xml:space="preserve"> (including an application for leave to appeal and a notice of appeal) before the Court of Appeal </w:t>
      </w:r>
      <w:r w:rsidR="00EC5EC8">
        <w:t>of</w:t>
      </w:r>
      <w:r>
        <w:t xml:space="preserve"> Quebec against the respondents, their representatives, and their lawyers</w:t>
      </w:r>
      <w:r w:rsidR="004F52ED">
        <w:t>,</w:t>
      </w:r>
      <w:r>
        <w:t xml:space="preserve"> as well as the judges who </w:t>
      </w:r>
      <w:r w:rsidR="004F52ED">
        <w:t xml:space="preserve">have </w:t>
      </w:r>
      <w:r>
        <w:t xml:space="preserve">rendered judgment in this case, </w:t>
      </w:r>
      <w:r w:rsidR="00616B9C">
        <w:t xml:space="preserve">except with </w:t>
      </w:r>
      <w:r w:rsidR="004F52ED">
        <w:t xml:space="preserve">the </w:t>
      </w:r>
      <w:r w:rsidR="00616B9C">
        <w:t xml:space="preserve">prior </w:t>
      </w:r>
      <w:r>
        <w:t xml:space="preserve">written authorization </w:t>
      </w:r>
      <w:r w:rsidR="00EC5EC8">
        <w:t>of the C</w:t>
      </w:r>
      <w:r w:rsidR="006F7E44">
        <w:t>hief J</w:t>
      </w:r>
      <w:r>
        <w:t>ustice or any other judge she designate;</w:t>
      </w:r>
    </w:p>
    <w:p w:rsidR="00DA0C60" w:rsidRDefault="00DA0C60" w:rsidP="000A69A7">
      <w:pPr>
        <w:pStyle w:val="Paragraphe"/>
      </w:pPr>
      <w:r w:rsidRPr="00EC5EC8">
        <w:rPr>
          <w:b/>
        </w:rPr>
        <w:t>ORDERS</w:t>
      </w:r>
      <w:r>
        <w:t xml:space="preserve"> the </w:t>
      </w:r>
      <w:r w:rsidR="00CE5EA3">
        <w:t xml:space="preserve">office of the </w:t>
      </w:r>
      <w:r>
        <w:t xml:space="preserve">Court of Appeal to refuse to file </w:t>
      </w:r>
      <w:r w:rsidR="00616B9C">
        <w:t xml:space="preserve">and to return </w:t>
      </w:r>
      <w:r>
        <w:t xml:space="preserve">any proceeding </w:t>
      </w:r>
      <w:r w:rsidR="00EC5EC8">
        <w:t>instituted</w:t>
      </w:r>
      <w:r>
        <w:t xml:space="preserve"> by Mr. Ramzi </w:t>
      </w:r>
      <w:r w:rsidR="00EC5EC8">
        <w:t>Daniel</w:t>
      </w:r>
      <w:r>
        <w:t xml:space="preserve"> </w:t>
      </w:r>
      <w:r w:rsidR="00EC5EC8">
        <w:t>against</w:t>
      </w:r>
      <w:r>
        <w:t xml:space="preserve"> the respondents, their </w:t>
      </w:r>
      <w:r w:rsidR="00EC5EC8">
        <w:t>representatives</w:t>
      </w:r>
      <w:r>
        <w:t xml:space="preserve">, and their lawyers, as well as the </w:t>
      </w:r>
      <w:r w:rsidR="00EC5EC8">
        <w:t>judges</w:t>
      </w:r>
      <w:r>
        <w:t xml:space="preserve"> who </w:t>
      </w:r>
      <w:r w:rsidR="004F52ED">
        <w:t xml:space="preserve">have </w:t>
      </w:r>
      <w:r>
        <w:t xml:space="preserve">rendered judgment in this case, that </w:t>
      </w:r>
      <w:r w:rsidR="00616B9C">
        <w:t>w</w:t>
      </w:r>
      <w:r>
        <w:t xml:space="preserve">as not </w:t>
      </w:r>
      <w:r w:rsidR="00EC5EC8">
        <w:t xml:space="preserve">first </w:t>
      </w:r>
      <w:r w:rsidR="006F7E44">
        <w:t>authorized by the Chief J</w:t>
      </w:r>
      <w:r>
        <w:t>ustice or any judge she may designate for this purpose;</w:t>
      </w:r>
    </w:p>
    <w:p w:rsidR="008412CF" w:rsidRDefault="00DA0C60" w:rsidP="000A69A7">
      <w:pPr>
        <w:pStyle w:val="Paragraphe"/>
      </w:pPr>
      <w:r w:rsidRPr="00EC5EC8">
        <w:rPr>
          <w:b/>
        </w:rPr>
        <w:t>ORDERS</w:t>
      </w:r>
      <w:r>
        <w:t xml:space="preserve"> </w:t>
      </w:r>
      <w:r w:rsidR="00EC5EC8">
        <w:t>Mr</w:t>
      </w:r>
      <w:r>
        <w:t xml:space="preserve">. Ramzi Daniel to provide his personal contact information on the </w:t>
      </w:r>
      <w:r w:rsidR="00EC5EC8">
        <w:t>pleadings</w:t>
      </w:r>
      <w:r>
        <w:t xml:space="preserve"> file</w:t>
      </w:r>
      <w:r w:rsidR="00616B9C">
        <w:t>d</w:t>
      </w:r>
      <w:r>
        <w:t xml:space="preserve"> with the Court of Appeal, including a valid email address, in accordance with the </w:t>
      </w:r>
      <w:r w:rsidR="008412CF" w:rsidRPr="00EC5EC8">
        <w:rPr>
          <w:i/>
        </w:rPr>
        <w:t>Civil Practice Regulation</w:t>
      </w:r>
      <w:r w:rsidR="008412CF">
        <w:t xml:space="preserve"> of this Court;</w:t>
      </w:r>
    </w:p>
    <w:p w:rsidR="00E06A84" w:rsidRDefault="008412CF" w:rsidP="008412CF">
      <w:pPr>
        <w:pStyle w:val="Paragraphe"/>
      </w:pPr>
      <w:r w:rsidRPr="00EC5EC8">
        <w:rPr>
          <w:b/>
        </w:rPr>
        <w:t>THE WHOLE</w:t>
      </w:r>
      <w:r>
        <w:t>, with legal costs.</w:t>
      </w:r>
      <w:r w:rsidR="00DA0C60">
        <w:t xml:space="preserve"> </w:t>
      </w:r>
    </w:p>
    <w:tbl>
      <w:tblPr>
        <w:tblW w:w="9505" w:type="dxa"/>
        <w:tblLayout w:type="fixed"/>
        <w:tblCellMar>
          <w:left w:w="70" w:type="dxa"/>
          <w:right w:w="70" w:type="dxa"/>
        </w:tblCellMar>
        <w:tblLook w:val="0000" w:firstRow="0" w:lastRow="0" w:firstColumn="0" w:lastColumn="0" w:noHBand="0" w:noVBand="0"/>
      </w:tblPr>
      <w:tblGrid>
        <w:gridCol w:w="2068"/>
        <w:gridCol w:w="2799"/>
        <w:gridCol w:w="4638"/>
      </w:tblGrid>
      <w:tr w:rsidR="0065285B" w:rsidTr="008412CF">
        <w:tblPrEx>
          <w:tblCellMar>
            <w:top w:w="0" w:type="dxa"/>
            <w:bottom w:w="0" w:type="dxa"/>
          </w:tblCellMar>
        </w:tblPrEx>
        <w:trPr>
          <w:trHeight w:val="576"/>
        </w:trPr>
        <w:tc>
          <w:tcPr>
            <w:tcW w:w="9505" w:type="dxa"/>
            <w:gridSpan w:val="3"/>
          </w:tcPr>
          <w:p w:rsidR="0065285B" w:rsidRDefault="0065285B">
            <w:pPr>
              <w:keepNext/>
              <w:keepLines/>
            </w:pPr>
          </w:p>
        </w:tc>
      </w:tr>
      <w:tr w:rsidR="0065285B" w:rsidTr="008412CF">
        <w:tblPrEx>
          <w:tblCellMar>
            <w:top w:w="0" w:type="dxa"/>
            <w:left w:w="0" w:type="dxa"/>
            <w:bottom w:w="0" w:type="dxa"/>
            <w:right w:w="0" w:type="dxa"/>
          </w:tblCellMar>
        </w:tblPrEx>
        <w:trPr>
          <w:cantSplit/>
        </w:trPr>
        <w:tc>
          <w:tcPr>
            <w:tcW w:w="4867" w:type="dxa"/>
            <w:gridSpan w:val="2"/>
          </w:tcPr>
          <w:p w:rsidR="0065285B" w:rsidRDefault="0065285B"/>
        </w:tc>
        <w:tc>
          <w:tcPr>
            <w:tcW w:w="4638" w:type="dxa"/>
          </w:tcPr>
          <w:p w:rsidR="0065285B" w:rsidRDefault="0065285B">
            <w:pPr>
              <w:pStyle w:val="zSoquijdatSignature3Juge"/>
            </w:pPr>
            <w:r w:rsidRPr="008412CF">
              <w:rPr>
                <w:u w:val="single"/>
              </w:rPr>
              <w:t>_</w:t>
            </w:r>
            <w:r w:rsidR="00EC5EC8">
              <w:rPr>
                <w:u w:val="single"/>
              </w:rPr>
              <w:t>(</w:t>
            </w:r>
            <w:r w:rsidR="008412CF" w:rsidRPr="008412CF">
              <w:rPr>
                <w:u w:val="single"/>
              </w:rPr>
              <w:t xml:space="preserve">signed) </w:t>
            </w:r>
            <w:r w:rsidR="008412CF" w:rsidRPr="00EC5EC8">
              <w:rPr>
                <w:sz w:val="20"/>
                <w:u w:val="single"/>
              </w:rPr>
              <w:t>with the express authorization of Gagnon J.A.</w:t>
            </w:r>
            <w:r w:rsidRPr="007B7920">
              <w:t>______</w:t>
            </w:r>
            <w:r w:rsidRPr="00EC5EC8">
              <w:rPr>
                <w:u w:val="single"/>
              </w:rPr>
              <w:t>_</w:t>
            </w:r>
            <w:r w:rsidR="00EC5EC8" w:rsidRPr="00EC5EC8">
              <w:rPr>
                <w:u w:val="single"/>
              </w:rPr>
              <w:t xml:space="preserve">                              </w:t>
            </w:r>
            <w:r>
              <w:t>_</w:t>
            </w:r>
          </w:p>
          <w:p w:rsidR="0065285B" w:rsidRPr="008412CF" w:rsidRDefault="008412CF">
            <w:pPr>
              <w:pStyle w:val="zSoquijdatSignature3Juge"/>
              <w:rPr>
                <w:lang w:val="fr-CA"/>
              </w:rPr>
            </w:pPr>
            <w:r w:rsidRPr="008412CF">
              <w:rPr>
                <w:lang w:val="fr-CA"/>
              </w:rPr>
              <w:t>GUY GAGNON, J.A.</w:t>
            </w:r>
            <w:r w:rsidR="0065285B">
              <w:fldChar w:fldCharType="begin"/>
            </w:r>
            <w:r w:rsidR="0065285B" w:rsidRPr="008412CF">
              <w:rPr>
                <w:lang w:val="fr-CA"/>
              </w:rPr>
              <w:instrText xml:space="preserve"> NomJuge1</w:instrText>
            </w:r>
            <w:r w:rsidR="0065285B">
              <w:fldChar w:fldCharType="separate"/>
            </w:r>
            <w:r w:rsidR="0065285B">
              <w:fldChar w:fldCharType="end"/>
            </w:r>
          </w:p>
          <w:p w:rsidR="0065285B" w:rsidRPr="008412CF" w:rsidRDefault="0065285B">
            <w:pPr>
              <w:pStyle w:val="zSoquijdatSignature3Juge"/>
              <w:rPr>
                <w:u w:val="single"/>
                <w:lang w:val="fr-CA"/>
              </w:rPr>
            </w:pPr>
            <w:r w:rsidRPr="008412CF">
              <w:rPr>
                <w:u w:val="single"/>
                <w:lang w:val="fr-CA"/>
              </w:rPr>
              <w:t>_____</w:t>
            </w:r>
            <w:r w:rsidR="008412CF" w:rsidRPr="008412CF">
              <w:rPr>
                <w:u w:val="single"/>
                <w:lang w:val="fr-CA"/>
              </w:rPr>
              <w:t>(signed)</w:t>
            </w:r>
            <w:r w:rsidRPr="008412CF">
              <w:rPr>
                <w:u w:val="single"/>
                <w:lang w:val="fr-CA"/>
              </w:rPr>
              <w:t>_______________________</w:t>
            </w:r>
          </w:p>
          <w:p w:rsidR="0065285B" w:rsidRPr="008412CF" w:rsidRDefault="008412CF">
            <w:pPr>
              <w:pStyle w:val="zSoquijdatSignature3Juge"/>
            </w:pPr>
            <w:r w:rsidRPr="008412CF">
              <w:t>PATRICK HEALY, J.A.</w:t>
            </w:r>
          </w:p>
          <w:p w:rsidR="0065285B" w:rsidRPr="008412CF" w:rsidRDefault="0065285B">
            <w:pPr>
              <w:pStyle w:val="zSoquijdatSignature3Juge"/>
              <w:rPr>
                <w:u w:val="single"/>
              </w:rPr>
            </w:pPr>
            <w:r w:rsidRPr="008412CF">
              <w:rPr>
                <w:u w:val="single"/>
              </w:rPr>
              <w:t>________</w:t>
            </w:r>
            <w:r w:rsidR="008412CF" w:rsidRPr="008412CF">
              <w:rPr>
                <w:u w:val="single"/>
              </w:rPr>
              <w:t xml:space="preserve">(signed) </w:t>
            </w:r>
            <w:r w:rsidRPr="008412CF">
              <w:rPr>
                <w:u w:val="single"/>
              </w:rPr>
              <w:t>___________________</w:t>
            </w:r>
          </w:p>
          <w:p w:rsidR="0065285B" w:rsidRDefault="008412CF">
            <w:pPr>
              <w:pStyle w:val="zSoquijdatSignature3Juge"/>
            </w:pPr>
            <w:r>
              <w:t>FRÉDÉRIC BACHAND, J.A.</w:t>
            </w:r>
          </w:p>
        </w:tc>
      </w:tr>
      <w:tr w:rsidR="0065285B" w:rsidTr="008412CF">
        <w:tblPrEx>
          <w:tblCellMar>
            <w:top w:w="0" w:type="dxa"/>
            <w:bottom w:w="0" w:type="dxa"/>
          </w:tblCellMar>
        </w:tblPrEx>
        <w:tc>
          <w:tcPr>
            <w:tcW w:w="9505" w:type="dxa"/>
            <w:gridSpan w:val="3"/>
          </w:tcPr>
          <w:p w:rsidR="0065285B" w:rsidRDefault="0065285B"/>
        </w:tc>
      </w:tr>
      <w:tr w:rsidR="0065285B" w:rsidTr="008412CF">
        <w:tblPrEx>
          <w:tblCellMar>
            <w:top w:w="0" w:type="dxa"/>
            <w:bottom w:w="0" w:type="dxa"/>
          </w:tblCellMar>
        </w:tblPrEx>
        <w:trPr>
          <w:cantSplit/>
        </w:trPr>
        <w:tc>
          <w:tcPr>
            <w:tcW w:w="9505" w:type="dxa"/>
            <w:gridSpan w:val="3"/>
          </w:tcPr>
          <w:p w:rsidR="0065285B" w:rsidRDefault="008412CF" w:rsidP="008412CF">
            <w:pPr>
              <w:pStyle w:val="zSoquijdatNomProcureurDem"/>
            </w:pPr>
            <w:r>
              <w:t>Ramzi Daniel</w:t>
            </w:r>
          </w:p>
          <w:p w:rsidR="008412CF" w:rsidRDefault="008412CF" w:rsidP="008412CF">
            <w:pPr>
              <w:pStyle w:val="zSoquijdatNomProcureurDem"/>
            </w:pPr>
            <w:r>
              <w:t>Representing himself</w:t>
            </w:r>
          </w:p>
        </w:tc>
      </w:tr>
      <w:tr w:rsidR="004F52ED" w:rsidRPr="008412CF" w:rsidTr="008412CF">
        <w:tblPrEx>
          <w:tblCellMar>
            <w:top w:w="0" w:type="dxa"/>
            <w:bottom w:w="0" w:type="dxa"/>
          </w:tblCellMar>
        </w:tblPrEx>
        <w:trPr>
          <w:cantSplit/>
        </w:trPr>
        <w:tc>
          <w:tcPr>
            <w:tcW w:w="9505" w:type="dxa"/>
            <w:gridSpan w:val="3"/>
          </w:tcPr>
          <w:p w:rsidR="004F52ED" w:rsidRDefault="004F52ED">
            <w:pPr>
              <w:pStyle w:val="zSoquijdatCabinetProcureurDem"/>
            </w:pPr>
          </w:p>
        </w:tc>
      </w:tr>
      <w:tr w:rsidR="0065285B" w:rsidRPr="008412CF" w:rsidTr="008412CF">
        <w:tblPrEx>
          <w:tblCellMar>
            <w:top w:w="0" w:type="dxa"/>
            <w:bottom w:w="0" w:type="dxa"/>
          </w:tblCellMar>
        </w:tblPrEx>
        <w:trPr>
          <w:cantSplit/>
        </w:trPr>
        <w:tc>
          <w:tcPr>
            <w:tcW w:w="9505" w:type="dxa"/>
            <w:gridSpan w:val="3"/>
          </w:tcPr>
          <w:p w:rsidR="0065285B" w:rsidRDefault="008412CF">
            <w:pPr>
              <w:pStyle w:val="zSoquijdatCabinetProcureurDem"/>
            </w:pPr>
            <w:r>
              <w:t>Mtre Steve Cadrin</w:t>
            </w:r>
          </w:p>
          <w:p w:rsidR="008412CF" w:rsidRDefault="008412CF">
            <w:pPr>
              <w:pStyle w:val="zSoquijdatCabinetProcureurDem"/>
            </w:pPr>
            <w:r>
              <w:t>M</w:t>
            </w:r>
            <w:r w:rsidR="005D196D">
              <w:t>t</w:t>
            </w:r>
            <w:r>
              <w:t>re Caroline Charron</w:t>
            </w:r>
          </w:p>
          <w:p w:rsidR="008412CF" w:rsidRDefault="008412CF">
            <w:pPr>
              <w:pStyle w:val="zSoquijdatCabinetProcureurDem"/>
            </w:pPr>
            <w:r>
              <w:t>DHC AVOCATS</w:t>
            </w:r>
          </w:p>
          <w:p w:rsidR="008412CF" w:rsidRPr="008412CF" w:rsidRDefault="008412CF">
            <w:pPr>
              <w:pStyle w:val="zSoquijdatCabinetProcureurDem"/>
              <w:rPr>
                <w:lang w:val="fr-CA"/>
              </w:rPr>
            </w:pPr>
            <w:r w:rsidRPr="008412CF">
              <w:rPr>
                <w:lang w:val="fr-CA"/>
              </w:rPr>
              <w:t>Mtre Jean-Pierre Baldassare</w:t>
            </w:r>
          </w:p>
          <w:p w:rsidR="008412CF" w:rsidRDefault="008412CF">
            <w:pPr>
              <w:pStyle w:val="zSoquijdatCabinetProcureurDem"/>
              <w:rPr>
                <w:lang w:val="fr-CA"/>
              </w:rPr>
            </w:pPr>
            <w:r w:rsidRPr="008412CF">
              <w:rPr>
                <w:lang w:val="fr-CA"/>
              </w:rPr>
              <w:t>B</w:t>
            </w:r>
            <w:r>
              <w:rPr>
                <w:lang w:val="fr-CA"/>
              </w:rPr>
              <w:t>ÉLANGER, SAUVÉ</w:t>
            </w:r>
          </w:p>
          <w:p w:rsidR="008412CF" w:rsidRPr="008412CF" w:rsidRDefault="008412CF">
            <w:pPr>
              <w:pStyle w:val="zSoquijdatCabinetProcureurDem"/>
              <w:rPr>
                <w:lang w:val="fr-CA"/>
              </w:rPr>
            </w:pPr>
            <w:r>
              <w:rPr>
                <w:lang w:val="fr-CA"/>
              </w:rPr>
              <w:t>For Ville de Mont-Saint-Hilaire</w:t>
            </w:r>
          </w:p>
        </w:tc>
      </w:tr>
      <w:tr w:rsidR="0065285B" w:rsidRPr="008412CF" w:rsidTr="008412CF">
        <w:tblPrEx>
          <w:tblCellMar>
            <w:top w:w="0" w:type="dxa"/>
            <w:bottom w:w="0" w:type="dxa"/>
          </w:tblCellMar>
        </w:tblPrEx>
        <w:trPr>
          <w:cantSplit/>
        </w:trPr>
        <w:tc>
          <w:tcPr>
            <w:tcW w:w="9505" w:type="dxa"/>
            <w:gridSpan w:val="3"/>
          </w:tcPr>
          <w:p w:rsidR="0065285B" w:rsidRPr="008412CF" w:rsidRDefault="0065285B">
            <w:pPr>
              <w:rPr>
                <w:lang w:val="fr-CA"/>
              </w:rPr>
            </w:pPr>
          </w:p>
        </w:tc>
      </w:tr>
      <w:tr w:rsidR="0065285B" w:rsidTr="008412CF">
        <w:tblPrEx>
          <w:tblCellMar>
            <w:top w:w="0" w:type="dxa"/>
            <w:bottom w:w="0" w:type="dxa"/>
          </w:tblCellMar>
        </w:tblPrEx>
        <w:trPr>
          <w:cantSplit/>
        </w:trPr>
        <w:tc>
          <w:tcPr>
            <w:tcW w:w="9505" w:type="dxa"/>
            <w:gridSpan w:val="3"/>
          </w:tcPr>
          <w:p w:rsidR="0065285B" w:rsidRDefault="008412CF">
            <w:pPr>
              <w:pStyle w:val="zSoquijdatNomProcureurDef"/>
            </w:pPr>
            <w:r>
              <w:t>Mtre Émilie St-Pierre</w:t>
            </w:r>
          </w:p>
          <w:p w:rsidR="008412CF" w:rsidRDefault="008412CF">
            <w:pPr>
              <w:pStyle w:val="zSoquijdatNomProcureurDef"/>
            </w:pPr>
            <w:r>
              <w:t>WOODS</w:t>
            </w:r>
          </w:p>
          <w:p w:rsidR="008412CF" w:rsidRDefault="008412CF">
            <w:pPr>
              <w:pStyle w:val="zSoquijdatNomProcureurDef"/>
            </w:pPr>
            <w:r>
              <w:t>For WSP Canada inc.</w:t>
            </w:r>
          </w:p>
          <w:p w:rsidR="008412CF" w:rsidRDefault="008412CF">
            <w:pPr>
              <w:pStyle w:val="zSoquijdatNomProcureurDef"/>
            </w:pPr>
          </w:p>
        </w:tc>
      </w:tr>
      <w:tr w:rsidR="0065285B" w:rsidRPr="00ED6F5A" w:rsidTr="008412CF">
        <w:tblPrEx>
          <w:tblCellMar>
            <w:top w:w="0" w:type="dxa"/>
            <w:bottom w:w="0" w:type="dxa"/>
          </w:tblCellMar>
        </w:tblPrEx>
        <w:trPr>
          <w:cantSplit/>
        </w:trPr>
        <w:tc>
          <w:tcPr>
            <w:tcW w:w="9505" w:type="dxa"/>
            <w:gridSpan w:val="3"/>
          </w:tcPr>
          <w:p w:rsidR="0065285B" w:rsidRPr="00ED6F5A" w:rsidRDefault="00ED6F5A">
            <w:pPr>
              <w:pStyle w:val="zSoquijdatCabinetProcureurDef"/>
              <w:rPr>
                <w:lang w:val="fr-CA"/>
              </w:rPr>
            </w:pPr>
            <w:r w:rsidRPr="00ED6F5A">
              <w:rPr>
                <w:lang w:val="fr-CA"/>
              </w:rPr>
              <w:t>Mtre Jean-Pierre Boileau</w:t>
            </w:r>
          </w:p>
          <w:p w:rsidR="00ED6F5A" w:rsidRPr="00ED6F5A" w:rsidRDefault="00ED6F5A">
            <w:pPr>
              <w:pStyle w:val="zSoquijdatCabinetProcureurDef"/>
              <w:rPr>
                <w:lang w:val="fr-CA"/>
              </w:rPr>
            </w:pPr>
            <w:r w:rsidRPr="00ED6F5A">
              <w:rPr>
                <w:lang w:val="fr-CA"/>
              </w:rPr>
              <w:t>SYLVESTRE AVOCATS</w:t>
            </w:r>
          </w:p>
        </w:tc>
      </w:tr>
      <w:tr w:rsidR="0065285B" w:rsidTr="008412CF">
        <w:tblPrEx>
          <w:tblCellMar>
            <w:top w:w="0" w:type="dxa"/>
            <w:bottom w:w="0" w:type="dxa"/>
          </w:tblCellMar>
        </w:tblPrEx>
        <w:trPr>
          <w:cantSplit/>
        </w:trPr>
        <w:tc>
          <w:tcPr>
            <w:tcW w:w="9505" w:type="dxa"/>
            <w:gridSpan w:val="3"/>
          </w:tcPr>
          <w:p w:rsidR="00ED6F5A" w:rsidRDefault="00ED6F5A">
            <w:pPr>
              <w:pStyle w:val="zSoquijlblProcureurDef"/>
            </w:pPr>
            <w:r>
              <w:t>For P. Talbot inc.</w:t>
            </w:r>
          </w:p>
        </w:tc>
      </w:tr>
      <w:tr w:rsidR="005D196D" w:rsidTr="008412CF">
        <w:tblPrEx>
          <w:tblCellMar>
            <w:top w:w="0" w:type="dxa"/>
            <w:bottom w:w="0" w:type="dxa"/>
          </w:tblCellMar>
        </w:tblPrEx>
        <w:trPr>
          <w:cantSplit/>
        </w:trPr>
        <w:tc>
          <w:tcPr>
            <w:tcW w:w="9505" w:type="dxa"/>
            <w:gridSpan w:val="3"/>
          </w:tcPr>
          <w:p w:rsidR="005D196D" w:rsidRDefault="005D196D">
            <w:pPr>
              <w:pStyle w:val="zSoquijlblProcureurDef"/>
            </w:pPr>
          </w:p>
        </w:tc>
      </w:tr>
      <w:tr w:rsidR="0065285B" w:rsidTr="008412CF">
        <w:tblPrEx>
          <w:tblCellMar>
            <w:top w:w="0" w:type="dxa"/>
            <w:bottom w:w="0" w:type="dxa"/>
          </w:tblCellMar>
        </w:tblPrEx>
        <w:tc>
          <w:tcPr>
            <w:tcW w:w="9505" w:type="dxa"/>
            <w:gridSpan w:val="3"/>
          </w:tcPr>
          <w:p w:rsidR="0065285B" w:rsidRDefault="00ED6F5A">
            <w:r>
              <w:t>Mtre Stéphanie Garon</w:t>
            </w:r>
          </w:p>
          <w:p w:rsidR="00ED6F5A" w:rsidRDefault="00ED6F5A">
            <w:r>
              <w:t>BERNARD, ROY (JUSTICE-QUÉBEC)</w:t>
            </w:r>
          </w:p>
          <w:p w:rsidR="00ED6F5A" w:rsidRDefault="00ED6F5A">
            <w:r>
              <w:t>For the Attorney General of Quebec</w:t>
            </w:r>
          </w:p>
          <w:p w:rsidR="00ED6F5A" w:rsidRDefault="00ED6F5A"/>
        </w:tc>
      </w:tr>
      <w:tr w:rsidR="0065285B" w:rsidTr="008412CF">
        <w:tblPrEx>
          <w:tblCellMar>
            <w:top w:w="0" w:type="dxa"/>
            <w:bottom w:w="0" w:type="dxa"/>
          </w:tblCellMar>
        </w:tblPrEx>
        <w:tc>
          <w:tcPr>
            <w:tcW w:w="2068" w:type="dxa"/>
          </w:tcPr>
          <w:p w:rsidR="0065285B" w:rsidRDefault="0065285B">
            <w:pPr>
              <w:pStyle w:val="zSoquijlblDateAudience"/>
            </w:pPr>
            <w:r>
              <w:t>Date of hearing:</w:t>
            </w:r>
          </w:p>
        </w:tc>
        <w:tc>
          <w:tcPr>
            <w:tcW w:w="7437" w:type="dxa"/>
            <w:gridSpan w:val="2"/>
          </w:tcPr>
          <w:p w:rsidR="0065285B" w:rsidRDefault="00ED6F5A">
            <w:pPr>
              <w:pStyle w:val="zSoquijdatDateAudience"/>
            </w:pPr>
            <w:r>
              <w:t>August 29, 2022</w:t>
            </w:r>
          </w:p>
        </w:tc>
      </w:tr>
    </w:tbl>
    <w:p w:rsidR="0065285B" w:rsidRDefault="0065285B" w:rsidP="00EF7697">
      <w:pPr>
        <w:tabs>
          <w:tab w:val="left" w:pos="720"/>
        </w:tabs>
        <w:sectPr w:rsidR="0065285B">
          <w:headerReference w:type="default" r:id="rId12"/>
          <w:footnotePr>
            <w:numRestart w:val="eachSect"/>
          </w:footnotePr>
          <w:pgSz w:w="12242" w:h="15842" w:code="1"/>
          <w:pgMar w:top="1440" w:right="1008" w:bottom="1440" w:left="1872" w:header="1440" w:footer="792" w:gutter="0"/>
          <w:pgNumType w:start="1"/>
          <w:cols w:space="720"/>
          <w:titlePg/>
        </w:sectPr>
      </w:pPr>
    </w:p>
    <w:p w:rsidR="0065285B" w:rsidRDefault="0065285B" w:rsidP="00140F7C"/>
    <w:sectPr w:rsidR="0065285B">
      <w:headerReference w:type="default" r:id="rId13"/>
      <w:footnotePr>
        <w:numRestart w:val="eachSect"/>
      </w:footnotePr>
      <w:pgSz w:w="12242" w:h="15842" w:code="1"/>
      <w:pgMar w:top="1440" w:right="1008" w:bottom="1440" w:left="1872" w:header="144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AD" w:rsidRDefault="006F11AD">
      <w:r>
        <w:separator/>
      </w:r>
    </w:p>
  </w:endnote>
  <w:endnote w:type="continuationSeparator" w:id="0">
    <w:p w:rsidR="006F11AD" w:rsidRDefault="006F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AD" w:rsidRDefault="006F11AD">
      <w:r>
        <w:separator/>
      </w:r>
    </w:p>
  </w:footnote>
  <w:footnote w:type="continuationSeparator" w:id="0">
    <w:p w:rsidR="006F11AD" w:rsidRDefault="006F11AD">
      <w:r>
        <w:continuationSeparator/>
      </w:r>
    </w:p>
  </w:footnote>
  <w:footnote w:id="1">
    <w:p w:rsidR="002169F6" w:rsidRPr="009F4A21" w:rsidRDefault="002169F6" w:rsidP="005D196D">
      <w:pPr>
        <w:pStyle w:val="Notedebasdepage"/>
        <w:ind w:left="142" w:hanging="142"/>
      </w:pPr>
      <w:r>
        <w:rPr>
          <w:rStyle w:val="Appelnotedebasdep"/>
        </w:rPr>
        <w:footnoteRef/>
      </w:r>
      <w:r>
        <w:t xml:space="preserve"> </w:t>
      </w:r>
      <w:r w:rsidRPr="009F4A21">
        <w:t xml:space="preserve">His applications to be relieved of the failure to </w:t>
      </w:r>
      <w:r w:rsidR="007E3186">
        <w:t>set down</w:t>
      </w:r>
      <w:r w:rsidR="007E3186" w:rsidRPr="009F4A21">
        <w:t xml:space="preserve"> </w:t>
      </w:r>
      <w:r w:rsidRPr="009F4A21">
        <w:t xml:space="preserve">the case for trial and judgment </w:t>
      </w:r>
      <w:r w:rsidR="005D196D">
        <w:t xml:space="preserve">within </w:t>
      </w:r>
      <w:r w:rsidR="00974B36">
        <w:t xml:space="preserve">the time limit </w:t>
      </w:r>
      <w:r>
        <w:t xml:space="preserve">were dismissed: </w:t>
      </w:r>
      <w:r w:rsidRPr="00974B36">
        <w:rPr>
          <w:i/>
        </w:rPr>
        <w:t>Daniel c. Ville de Mont-Saint-Hilaire</w:t>
      </w:r>
      <w:r>
        <w:t>, 2017 QCCA 926. Leave to appeal to the S</w:t>
      </w:r>
      <w:r w:rsidR="00974B36">
        <w:t>CC</w:t>
      </w:r>
      <w:r>
        <w:t xml:space="preserve"> refused</w:t>
      </w:r>
      <w:r w:rsidR="00974B36">
        <w:t>,</w:t>
      </w:r>
      <w:r>
        <w:t xml:space="preserve"> </w:t>
      </w:r>
      <w:r w:rsidR="007E3186">
        <w:t>N</w:t>
      </w:r>
      <w:r>
        <w:t xml:space="preserve">o. 37749; </w:t>
      </w:r>
      <w:r w:rsidRPr="00974B36">
        <w:rPr>
          <w:i/>
        </w:rPr>
        <w:t>Daniel c.</w:t>
      </w:r>
      <w:r w:rsidR="00974B36" w:rsidRPr="00974B36">
        <w:rPr>
          <w:i/>
        </w:rPr>
        <w:t xml:space="preserve"> </w:t>
      </w:r>
      <w:r w:rsidRPr="00974B36">
        <w:rPr>
          <w:i/>
        </w:rPr>
        <w:t>Ville de Mont Saint-</w:t>
      </w:r>
      <w:r w:rsidR="00974B36" w:rsidRPr="00974B36">
        <w:rPr>
          <w:i/>
        </w:rPr>
        <w:t>Hilaire</w:t>
      </w:r>
      <w:r>
        <w:t xml:space="preserve">, 2019 QCCS 4884. </w:t>
      </w:r>
      <w:r w:rsidRPr="009F4A21">
        <w:t xml:space="preserve"> </w:t>
      </w:r>
    </w:p>
  </w:footnote>
  <w:footnote w:id="2">
    <w:p w:rsidR="002169F6" w:rsidRPr="007B7920" w:rsidRDefault="002169F6">
      <w:pPr>
        <w:pStyle w:val="Notedebasdepage"/>
      </w:pPr>
      <w:r>
        <w:rPr>
          <w:rStyle w:val="Appelnotedebasdep"/>
        </w:rPr>
        <w:footnoteRef/>
      </w:r>
      <w:r>
        <w:t xml:space="preserve"> Subparagraphs (3) and (5) of </w:t>
      </w:r>
      <w:r w:rsidR="007E3186">
        <w:t xml:space="preserve">the second paragraph of </w:t>
      </w:r>
      <w:r w:rsidRPr="007B7920">
        <w:t>art</w:t>
      </w:r>
      <w:r w:rsidR="007E3186">
        <w:t>.</w:t>
      </w:r>
      <w:r w:rsidRPr="007B7920">
        <w:t xml:space="preserve"> 30 C.</w:t>
      </w:r>
      <w:r>
        <w:t>C.P.</w:t>
      </w:r>
    </w:p>
  </w:footnote>
  <w:footnote w:id="3">
    <w:p w:rsidR="002169F6" w:rsidRPr="00EF7697" w:rsidRDefault="002169F6">
      <w:pPr>
        <w:pStyle w:val="Notedebasdepage"/>
      </w:pPr>
      <w:r>
        <w:rPr>
          <w:rStyle w:val="Appelnotedebasdep"/>
        </w:rPr>
        <w:footnoteRef/>
      </w:r>
      <w:r>
        <w:t xml:space="preserve"> </w:t>
      </w:r>
      <w:r w:rsidRPr="00EF7697">
        <w:t>Art</w:t>
      </w:r>
      <w:r w:rsidR="007E3186" w:rsidRPr="00EF7697">
        <w:t>.</w:t>
      </w:r>
      <w:r w:rsidRPr="00EF7697">
        <w:t xml:space="preserve"> 363 C.C.P.</w:t>
      </w:r>
    </w:p>
  </w:footnote>
  <w:footnote w:id="4">
    <w:p w:rsidR="002169F6" w:rsidRPr="007B7920" w:rsidRDefault="002169F6">
      <w:pPr>
        <w:pStyle w:val="Notedebasdepage"/>
        <w:rPr>
          <w:lang w:val="fr-CA"/>
        </w:rPr>
      </w:pPr>
      <w:r>
        <w:rPr>
          <w:rStyle w:val="Appelnotedebasdep"/>
        </w:rPr>
        <w:footnoteRef/>
      </w:r>
      <w:r w:rsidRPr="007B7920">
        <w:rPr>
          <w:lang w:val="fr-CA"/>
        </w:rPr>
        <w:t xml:space="preserve"> </w:t>
      </w:r>
      <w:r w:rsidR="00974B36" w:rsidRPr="00974B36">
        <w:rPr>
          <w:i/>
          <w:lang w:val="fr-CA"/>
        </w:rPr>
        <w:t>Mont-Saint-Hilaire</w:t>
      </w:r>
      <w:r w:rsidRPr="00974B36">
        <w:rPr>
          <w:i/>
          <w:lang w:val="fr-CA"/>
        </w:rPr>
        <w:t xml:space="preserve"> (Ville) c. Ramzi Daniel</w:t>
      </w:r>
      <w:r>
        <w:rPr>
          <w:lang w:val="fr-CA"/>
        </w:rPr>
        <w:t>, 2020 CanLII 63695 (QC TAQ).</w:t>
      </w:r>
    </w:p>
  </w:footnote>
  <w:footnote w:id="5">
    <w:p w:rsidR="002169F6" w:rsidRPr="0053296E" w:rsidRDefault="002169F6">
      <w:pPr>
        <w:pStyle w:val="Notedebasdepage"/>
      </w:pPr>
      <w:r>
        <w:rPr>
          <w:rStyle w:val="Appelnotedebasdep"/>
        </w:rPr>
        <w:footnoteRef/>
      </w:r>
      <w:r>
        <w:t xml:space="preserve"> </w:t>
      </w:r>
      <w:r w:rsidRPr="0053296E">
        <w:t>This application is based on art</w:t>
      </w:r>
      <w:r w:rsidR="007E3186">
        <w:t>.</w:t>
      </w:r>
      <w:r w:rsidRPr="0053296E">
        <w:t xml:space="preserve"> 51 </w:t>
      </w:r>
      <w:r>
        <w:t xml:space="preserve">C.C.P. </w:t>
      </w:r>
      <w:r w:rsidRPr="0053296E">
        <w:rPr>
          <w:i/>
        </w:rPr>
        <w:t>et seq</w:t>
      </w:r>
      <w:r>
        <w:t>.</w:t>
      </w:r>
    </w:p>
  </w:footnote>
  <w:footnote w:id="6">
    <w:p w:rsidR="002169F6" w:rsidRPr="00EF7697" w:rsidRDefault="002169F6">
      <w:pPr>
        <w:pStyle w:val="Notedebasdepage"/>
      </w:pPr>
      <w:r>
        <w:rPr>
          <w:rStyle w:val="Appelnotedebasdep"/>
        </w:rPr>
        <w:footnoteRef/>
      </w:r>
      <w:r>
        <w:t xml:space="preserve"> </w:t>
      </w:r>
      <w:r w:rsidR="007E3186">
        <w:t>Third paragraph of a</w:t>
      </w:r>
      <w:r w:rsidRPr="00EF7697">
        <w:t>rt. 30 C.C.P.</w:t>
      </w:r>
    </w:p>
  </w:footnote>
  <w:footnote w:id="7">
    <w:p w:rsidR="002169F6" w:rsidRPr="000A69A7" w:rsidRDefault="002169F6" w:rsidP="005D196D">
      <w:pPr>
        <w:pStyle w:val="Notedebasdepage"/>
        <w:ind w:left="142" w:hanging="142"/>
      </w:pPr>
      <w:r>
        <w:rPr>
          <w:rStyle w:val="Appelnotedebasdep"/>
        </w:rPr>
        <w:footnoteRef/>
      </w:r>
      <w:r w:rsidRPr="000A69A7">
        <w:rPr>
          <w:lang w:val="fr-CA"/>
        </w:rPr>
        <w:t xml:space="preserve"> </w:t>
      </w:r>
      <w:r w:rsidRPr="000A69A7">
        <w:rPr>
          <w:i/>
          <w:lang w:val="fr-CA"/>
        </w:rPr>
        <w:t>Beauregard c. Boulanger (Succession de Boulanger)</w:t>
      </w:r>
      <w:r>
        <w:rPr>
          <w:lang w:val="fr-CA"/>
        </w:rPr>
        <w:t xml:space="preserve">, 2021 QCCA 728 at para. </w:t>
      </w:r>
      <w:r w:rsidRPr="000A69A7">
        <w:t>31 ([</w:t>
      </w:r>
      <w:r w:rsidRPr="000A69A7">
        <w:rPr>
          <w:smallCaps/>
        </w:rPr>
        <w:t>translation</w:t>
      </w:r>
      <w:r w:rsidRPr="000A69A7">
        <w:t xml:space="preserve">] </w:t>
      </w:r>
      <w:r>
        <w:t>“where</w:t>
      </w:r>
      <w:r w:rsidRPr="000A69A7">
        <w:t xml:space="preserve"> the</w:t>
      </w:r>
      <w:r>
        <w:t xml:space="preserve">re is </w:t>
      </w:r>
      <w:r w:rsidRPr="000A69A7">
        <w:t xml:space="preserve">abuse, leave is required because it is important to prevent </w:t>
      </w:r>
      <w:r w:rsidR="00D41710">
        <w:t>the abuse</w:t>
      </w:r>
      <w:r w:rsidRPr="000A69A7">
        <w:t xml:space="preserve"> from </w:t>
      </w:r>
      <w:r>
        <w:t>continuing</w:t>
      </w:r>
      <w:r w:rsidRPr="000A69A7">
        <w:t xml:space="preserve"> on appeal</w:t>
      </w:r>
      <w:r>
        <w:t>”).</w:t>
      </w:r>
    </w:p>
  </w:footnote>
  <w:footnote w:id="8">
    <w:p w:rsidR="002169F6" w:rsidRPr="00EF7697" w:rsidRDefault="002169F6">
      <w:pPr>
        <w:pStyle w:val="Notedebasdepage"/>
      </w:pPr>
      <w:r>
        <w:rPr>
          <w:rStyle w:val="Appelnotedebasdep"/>
        </w:rPr>
        <w:footnoteRef/>
      </w:r>
      <w:r>
        <w:t xml:space="preserve"> </w:t>
      </w:r>
      <w:r w:rsidRPr="00EF7697">
        <w:t>Art. 54 C.C.P.</w:t>
      </w:r>
    </w:p>
  </w:footnote>
  <w:footnote w:id="9">
    <w:p w:rsidR="002169F6" w:rsidRPr="00231C41" w:rsidRDefault="002169F6">
      <w:pPr>
        <w:pStyle w:val="Notedebasdepage"/>
      </w:pPr>
      <w:r>
        <w:rPr>
          <w:rStyle w:val="Appelnotedebasdep"/>
        </w:rPr>
        <w:footnoteRef/>
      </w:r>
      <w:r>
        <w:t xml:space="preserve"> </w:t>
      </w:r>
      <w:r w:rsidRPr="00231C41">
        <w:rPr>
          <w:i/>
        </w:rPr>
        <w:t xml:space="preserve">2741-8854 Québec inc. </w:t>
      </w:r>
      <w:r>
        <w:rPr>
          <w:i/>
        </w:rPr>
        <w:t>c</w:t>
      </w:r>
      <w:r w:rsidRPr="00231C41">
        <w:rPr>
          <w:i/>
        </w:rPr>
        <w:t>. Restaurant King Ouest inc</w:t>
      </w:r>
      <w:r>
        <w:t>., 2018 QCCA 1807.</w:t>
      </w:r>
    </w:p>
  </w:footnote>
  <w:footnote w:id="10">
    <w:p w:rsidR="002169F6" w:rsidRPr="00AF505B" w:rsidRDefault="002169F6">
      <w:pPr>
        <w:pStyle w:val="Notedebasdepage"/>
        <w:rPr>
          <w:lang w:val="fr-CA"/>
        </w:rPr>
      </w:pPr>
      <w:r>
        <w:rPr>
          <w:rStyle w:val="Appelnotedebasdep"/>
        </w:rPr>
        <w:footnoteRef/>
      </w:r>
      <w:r w:rsidRPr="00AF505B">
        <w:rPr>
          <w:lang w:val="fr-CA"/>
        </w:rPr>
        <w:t xml:space="preserve"> </w:t>
      </w:r>
      <w:r w:rsidRPr="00AF505B">
        <w:rPr>
          <w:i/>
          <w:lang w:val="fr-CA"/>
        </w:rPr>
        <w:t xml:space="preserve">Daniel </w:t>
      </w:r>
      <w:r w:rsidR="001E0806">
        <w:rPr>
          <w:i/>
          <w:lang w:val="fr-CA"/>
        </w:rPr>
        <w:t>c</w:t>
      </w:r>
      <w:r w:rsidRPr="00AF505B">
        <w:rPr>
          <w:i/>
          <w:lang w:val="fr-CA"/>
        </w:rPr>
        <w:t>. Ville de Mont-Saint-Hilaire</w:t>
      </w:r>
      <w:r>
        <w:rPr>
          <w:lang w:val="fr-CA"/>
        </w:rPr>
        <w:t>, 2022 QCCS 1165.</w:t>
      </w:r>
    </w:p>
  </w:footnote>
  <w:footnote w:id="11">
    <w:p w:rsidR="002169F6" w:rsidRPr="004E6E5E" w:rsidRDefault="002169F6">
      <w:pPr>
        <w:pStyle w:val="Notedebasdepage"/>
      </w:pPr>
      <w:r>
        <w:rPr>
          <w:rStyle w:val="Appelnotedebasdep"/>
        </w:rPr>
        <w:footnoteRef/>
      </w:r>
      <w:r>
        <w:t xml:space="preserve"> </w:t>
      </w:r>
      <w:r w:rsidRPr="004E6E5E">
        <w:t xml:space="preserve">These applications are based on </w:t>
      </w:r>
      <w:r w:rsidR="009279D3">
        <w:t xml:space="preserve">the first paragraph of </w:t>
      </w:r>
      <w:r w:rsidRPr="004E6E5E">
        <w:t xml:space="preserve">art. </w:t>
      </w:r>
      <w:r>
        <w:t>365 C.C.P.</w:t>
      </w:r>
    </w:p>
  </w:footnote>
  <w:footnote w:id="12">
    <w:p w:rsidR="002169F6" w:rsidRPr="007E3186" w:rsidRDefault="002169F6">
      <w:pPr>
        <w:pStyle w:val="Notedebasdepage"/>
      </w:pPr>
      <w:r>
        <w:rPr>
          <w:rStyle w:val="Appelnotedebasdep"/>
        </w:rPr>
        <w:footnoteRef/>
      </w:r>
      <w:r w:rsidRPr="007E3186">
        <w:t xml:space="preserve"> </w:t>
      </w:r>
      <w:r w:rsidR="007E3186" w:rsidRPr="000943AB">
        <w:t>Subparagraph (2) of the second paragraph of a</w:t>
      </w:r>
      <w:r w:rsidRPr="007E3186">
        <w:t xml:space="preserve">rt 30 C.C.P. </w:t>
      </w:r>
    </w:p>
  </w:footnote>
  <w:footnote w:id="13">
    <w:p w:rsidR="002169F6" w:rsidRPr="009E3331" w:rsidRDefault="002169F6" w:rsidP="005D196D">
      <w:pPr>
        <w:pStyle w:val="Notedebasdepage"/>
        <w:ind w:left="142" w:hanging="142"/>
        <w:rPr>
          <w:lang w:val="fr-CA"/>
        </w:rPr>
      </w:pPr>
      <w:r>
        <w:rPr>
          <w:rStyle w:val="Appelnotedebasdep"/>
        </w:rPr>
        <w:footnoteRef/>
      </w:r>
      <w:r>
        <w:t xml:space="preserve"> </w:t>
      </w:r>
      <w:r w:rsidRPr="009E3331">
        <w:t xml:space="preserve">On this question, see </w:t>
      </w:r>
      <w:r>
        <w:t>in particular</w:t>
      </w:r>
      <w:r w:rsidRPr="009E3331">
        <w:t>:</w:t>
      </w:r>
      <w:r>
        <w:t xml:space="preserve"> </w:t>
      </w:r>
      <w:r w:rsidRPr="006A0149">
        <w:rPr>
          <w:i/>
        </w:rPr>
        <w:t>Émond c. Plante</w:t>
      </w:r>
      <w:r>
        <w:t xml:space="preserve">, 2017 QCCA 831 (judge alone) at paras. 5–6; </w:t>
      </w:r>
      <w:r w:rsidRPr="006A0149">
        <w:rPr>
          <w:i/>
        </w:rPr>
        <w:t>Le Gris c. Saywell</w:t>
      </w:r>
      <w:r>
        <w:t xml:space="preserve">, 2018 QCCA 1355 (judge alone) at para. </w:t>
      </w:r>
      <w:r w:rsidRPr="009E3331">
        <w:rPr>
          <w:lang w:val="fr-CA"/>
        </w:rPr>
        <w:t xml:space="preserve">7; </w:t>
      </w:r>
      <w:r w:rsidRPr="006A0149">
        <w:rPr>
          <w:i/>
          <w:lang w:val="fr-CA"/>
        </w:rPr>
        <w:t>Nwabue c. McGill University</w:t>
      </w:r>
      <w:r w:rsidRPr="009E3331">
        <w:rPr>
          <w:lang w:val="fr-CA"/>
        </w:rPr>
        <w:t xml:space="preserve">, 2019 QCCA 744 at paras. 33–37; </w:t>
      </w:r>
      <w:r w:rsidRPr="003B43D2">
        <w:rPr>
          <w:i/>
          <w:lang w:val="fr-CA"/>
        </w:rPr>
        <w:t xml:space="preserve">Amzallag c. Ville de </w:t>
      </w:r>
      <w:r w:rsidR="003B43D2">
        <w:rPr>
          <w:i/>
          <w:lang w:val="fr-CA"/>
        </w:rPr>
        <w:t>S</w:t>
      </w:r>
      <w:r w:rsidRPr="003B43D2">
        <w:rPr>
          <w:i/>
          <w:lang w:val="fr-CA"/>
        </w:rPr>
        <w:t>ainte-Agathe-des-Monts</w:t>
      </w:r>
      <w:r>
        <w:rPr>
          <w:lang w:val="fr-CA"/>
        </w:rPr>
        <w:t xml:space="preserve">, 2020 QCCA 1214 (judge alone) at para. 10; </w:t>
      </w:r>
      <w:r w:rsidRPr="003B43D2">
        <w:rPr>
          <w:i/>
          <w:lang w:val="fr-CA"/>
        </w:rPr>
        <w:t>Procureur général du Québec c. Beaulieu</w:t>
      </w:r>
      <w:r>
        <w:rPr>
          <w:lang w:val="fr-CA"/>
        </w:rPr>
        <w:t>, 2021 QCCA 1305 at para. 52, note 24.</w:t>
      </w:r>
    </w:p>
  </w:footnote>
  <w:footnote w:id="14">
    <w:p w:rsidR="002169F6" w:rsidRPr="004D6634" w:rsidRDefault="002169F6">
      <w:pPr>
        <w:pStyle w:val="Notedebasdepage"/>
      </w:pPr>
      <w:r>
        <w:rPr>
          <w:rStyle w:val="Appelnotedebasdep"/>
        </w:rPr>
        <w:footnoteRef/>
      </w:r>
      <w:r>
        <w:t xml:space="preserve"> </w:t>
      </w:r>
      <w:r w:rsidRPr="004D6634">
        <w:t xml:space="preserve">See </w:t>
      </w:r>
      <w:r w:rsidRPr="003B43D2">
        <w:rPr>
          <w:i/>
        </w:rPr>
        <w:t>Mitchell c. Ville de Lévis</w:t>
      </w:r>
      <w:r w:rsidRPr="004D6634">
        <w:t>, 2019 QCCA 410 at para. 4.</w:t>
      </w:r>
    </w:p>
  </w:footnote>
  <w:footnote w:id="15">
    <w:p w:rsidR="002169F6" w:rsidRPr="00426B04" w:rsidRDefault="002169F6" w:rsidP="007E3186">
      <w:pPr>
        <w:pStyle w:val="Notedebasdepage"/>
        <w:ind w:left="142" w:hanging="142"/>
        <w:rPr>
          <w:lang w:val="fr-CA"/>
        </w:rPr>
      </w:pPr>
      <w:r>
        <w:rPr>
          <w:rStyle w:val="Appelnotedebasdep"/>
        </w:rPr>
        <w:footnoteRef/>
      </w:r>
      <w:r w:rsidRPr="004D6634">
        <w:t xml:space="preserve"> It should be added that the </w:t>
      </w:r>
      <w:r>
        <w:t>Court must show deference towar</w:t>
      </w:r>
      <w:r w:rsidR="003B43D2">
        <w:t>d</w:t>
      </w:r>
      <w:r>
        <w:t xml:space="preserve"> a declaration of quarrelsome litigant made in first instance: </w:t>
      </w:r>
      <w:r w:rsidRPr="003B43D2">
        <w:rPr>
          <w:i/>
        </w:rPr>
        <w:t>Droit de la famille — 083038</w:t>
      </w:r>
      <w:r>
        <w:t xml:space="preserve">, 2008 QCCA 2274 at para. </w:t>
      </w:r>
      <w:r w:rsidRPr="00426B04">
        <w:rPr>
          <w:lang w:val="fr-CA"/>
        </w:rPr>
        <w:t xml:space="preserve">23; </w:t>
      </w:r>
      <w:r w:rsidRPr="003B43D2">
        <w:rPr>
          <w:i/>
          <w:lang w:val="fr-CA"/>
        </w:rPr>
        <w:t>Fortin c. Ville de Lévis</w:t>
      </w:r>
      <w:r w:rsidRPr="00426B04">
        <w:rPr>
          <w:lang w:val="fr-CA"/>
        </w:rPr>
        <w:t xml:space="preserve">, 2018 QCCA 255 at para. </w:t>
      </w:r>
      <w:r w:rsidRPr="00426B04">
        <w:t xml:space="preserve">8; </w:t>
      </w:r>
      <w:r w:rsidRPr="003B43D2">
        <w:rPr>
          <w:i/>
        </w:rPr>
        <w:t>Milette c. R.</w:t>
      </w:r>
      <w:r w:rsidRPr="00426B04">
        <w:t xml:space="preserve">, 2018 QCCA 736 at para. 17; </w:t>
      </w:r>
      <w:r w:rsidRPr="003B43D2">
        <w:rPr>
          <w:i/>
        </w:rPr>
        <w:t>P.E. c. G.V.</w:t>
      </w:r>
      <w:r w:rsidRPr="00426B04">
        <w:t xml:space="preserve">, 2021 QCCA 445 at para. 7; </w:t>
      </w:r>
      <w:r w:rsidR="00DB74E6">
        <w:t>d</w:t>
      </w:r>
      <w:r w:rsidRPr="00426B04">
        <w:t xml:space="preserve">eference is also required </w:t>
      </w:r>
      <w:r w:rsidR="00DB74E6">
        <w:t xml:space="preserve">in respect of </w:t>
      </w:r>
      <w:r w:rsidRPr="00426B04">
        <w:t xml:space="preserve">a </w:t>
      </w:r>
      <w:r w:rsidR="00DB74E6">
        <w:t xml:space="preserve">finding </w:t>
      </w:r>
      <w:r w:rsidRPr="00426B04">
        <w:t>of abuse of procedure</w:t>
      </w:r>
      <w:r>
        <w:t xml:space="preserve">: </w:t>
      </w:r>
      <w:r w:rsidRPr="003B43D2">
        <w:rPr>
          <w:i/>
        </w:rPr>
        <w:t>Piti c. Grégoire</w:t>
      </w:r>
      <w:r>
        <w:t xml:space="preserve">, 2018 QCCA 1879 at para. </w:t>
      </w:r>
      <w:r w:rsidRPr="00426B04">
        <w:rPr>
          <w:lang w:val="fr-CA"/>
        </w:rPr>
        <w:t xml:space="preserve">88; </w:t>
      </w:r>
      <w:r w:rsidRPr="003B43D2">
        <w:rPr>
          <w:i/>
          <w:lang w:val="fr-CA"/>
        </w:rPr>
        <w:t>Syndicat de la copropriété de l’Île Bellevue Phase I c. Propriétés Belcourt inc.</w:t>
      </w:r>
      <w:r>
        <w:rPr>
          <w:lang w:val="fr-CA"/>
        </w:rPr>
        <w:t xml:space="preserve">, 2021 QCCA 92 at para. 31; </w:t>
      </w:r>
      <w:r w:rsidRPr="003B43D2">
        <w:rPr>
          <w:i/>
          <w:lang w:val="fr-CA"/>
        </w:rPr>
        <w:t>Ouellet c. Ste-Marie</w:t>
      </w:r>
      <w:r>
        <w:rPr>
          <w:lang w:val="fr-CA"/>
        </w:rPr>
        <w:t>, 2022 QCCA 495 at para. 16.</w:t>
      </w:r>
    </w:p>
  </w:footnote>
  <w:footnote w:id="16">
    <w:p w:rsidR="002169F6" w:rsidRPr="00426B04" w:rsidRDefault="002169F6" w:rsidP="007D7538">
      <w:pPr>
        <w:pStyle w:val="Notedebasdepage"/>
        <w:ind w:left="142" w:hanging="142"/>
      </w:pPr>
      <w:r>
        <w:rPr>
          <w:rStyle w:val="Appelnotedebasdep"/>
        </w:rPr>
        <w:footnoteRef/>
      </w:r>
      <w:r w:rsidRPr="00EF7697">
        <w:t xml:space="preserve"> Arts. 51 </w:t>
      </w:r>
      <w:r w:rsidRPr="00EF7697">
        <w:rPr>
          <w:i/>
        </w:rPr>
        <w:t>et seq</w:t>
      </w:r>
      <w:r w:rsidRPr="00EF7697">
        <w:t xml:space="preserve">. </w:t>
      </w:r>
      <w:r w:rsidRPr="00426B04">
        <w:t xml:space="preserve">C.C.P. and s. 13 of the </w:t>
      </w:r>
      <w:r w:rsidRPr="003B43D2">
        <w:rPr>
          <w:i/>
        </w:rPr>
        <w:t>Civil</w:t>
      </w:r>
      <w:r w:rsidR="003B43D2">
        <w:rPr>
          <w:i/>
        </w:rPr>
        <w:t xml:space="preserve"> Practice Regulation (Court of a</w:t>
      </w:r>
      <w:r w:rsidRPr="003B43D2">
        <w:rPr>
          <w:i/>
        </w:rPr>
        <w:t>ppeal)</w:t>
      </w:r>
      <w:r>
        <w:t>, CQLR c. C-25.01, r. 10.</w:t>
      </w:r>
    </w:p>
  </w:footnote>
  <w:footnote w:id="17">
    <w:p w:rsidR="002169F6" w:rsidRPr="00771424" w:rsidRDefault="002169F6" w:rsidP="00BA08BE">
      <w:pPr>
        <w:pStyle w:val="Notedebasdepage"/>
        <w:ind w:left="142" w:hanging="142"/>
      </w:pPr>
      <w:r>
        <w:rPr>
          <w:rStyle w:val="Appelnotedebasdep"/>
        </w:rPr>
        <w:footnoteRef/>
      </w:r>
      <w:r w:rsidRPr="00771424">
        <w:t xml:space="preserve"> </w:t>
      </w:r>
      <w:r w:rsidRPr="00793F46">
        <w:rPr>
          <w:i/>
        </w:rPr>
        <w:t>Daniel c. Ville de Mont-Saint-Hilaire</w:t>
      </w:r>
      <w:r w:rsidRPr="00771424">
        <w:t xml:space="preserve">, 2021 QCCA 20 (judge alone) at para. 23. It should be noted that in 2015, our colleague </w:t>
      </w:r>
      <w:r>
        <w:t>Savard J.</w:t>
      </w:r>
      <w:r w:rsidR="00E76B17">
        <w:t>A.</w:t>
      </w:r>
      <w:r>
        <w:t xml:space="preserve">, then a puisne judge, made a similar observation when analyzing Mr. Daniel’s </w:t>
      </w:r>
      <w:r w:rsidR="00E76B17">
        <w:t xml:space="preserve">conduct </w:t>
      </w:r>
      <w:r>
        <w:t xml:space="preserve">in the context of appeals from the first civil action he brought following the 2007 expropriations: </w:t>
      </w:r>
      <w:r w:rsidRPr="00793F46">
        <w:rPr>
          <w:i/>
        </w:rPr>
        <w:t>Daniel c. Québec (Procureure générale) (Ministère du Développement durable, de l’Environnement, de la Faune et des Parcs)</w:t>
      </w:r>
      <w:r>
        <w:t xml:space="preserve"> 2015 QCCA 97 (judge alone) at para. 13 (</w:t>
      </w:r>
      <w:r w:rsidR="00793F46">
        <w:t>[</w:t>
      </w:r>
      <w:r w:rsidR="00793F46" w:rsidRPr="00793F46">
        <w:rPr>
          <w:smallCaps/>
        </w:rPr>
        <w:t>translation</w:t>
      </w:r>
      <w:r w:rsidR="00793F46">
        <w:t xml:space="preserve">] </w:t>
      </w:r>
      <w:r>
        <w:t>“[c]learly … the objective of the appellant’s actions is to obstruct</w:t>
      </w:r>
      <w:r w:rsidR="00E76B17">
        <w:t xml:space="preserve"> </w:t>
      </w:r>
      <w:r>
        <w:t xml:space="preserve">to delay the </w:t>
      </w:r>
      <w:r w:rsidR="00E76B17">
        <w:t xml:space="preserve">orderly conduct </w:t>
      </w:r>
      <w:r>
        <w:t xml:space="preserve">of the appeal”).  </w:t>
      </w:r>
    </w:p>
  </w:footnote>
  <w:footnote w:id="18">
    <w:p w:rsidR="002169F6" w:rsidRPr="00543AF2" w:rsidRDefault="002169F6">
      <w:pPr>
        <w:pStyle w:val="Notedebasdepage"/>
        <w:rPr>
          <w:lang w:val="fr-CA"/>
        </w:rPr>
      </w:pPr>
      <w:r>
        <w:rPr>
          <w:rStyle w:val="Appelnotedebasdep"/>
        </w:rPr>
        <w:footnoteRef/>
      </w:r>
      <w:r w:rsidRPr="00543AF2">
        <w:rPr>
          <w:lang w:val="fr-CA"/>
        </w:rPr>
        <w:t xml:space="preserve"> </w:t>
      </w:r>
      <w:r w:rsidRPr="00793F46">
        <w:rPr>
          <w:i/>
          <w:lang w:val="fr-CA"/>
        </w:rPr>
        <w:t xml:space="preserve">Ramzi Daniel </w:t>
      </w:r>
      <w:r w:rsidR="00BA08BE">
        <w:rPr>
          <w:i/>
          <w:lang w:val="fr-CA"/>
        </w:rPr>
        <w:t>v</w:t>
      </w:r>
      <w:r w:rsidRPr="00793F46">
        <w:rPr>
          <w:i/>
          <w:lang w:val="fr-CA"/>
        </w:rPr>
        <w:t>. Ville de Mont-Saint-Hilaire, et al.</w:t>
      </w:r>
      <w:r>
        <w:rPr>
          <w:lang w:val="fr-CA"/>
        </w:rPr>
        <w:t>, 2022 CanLII 21666 (SCC).</w:t>
      </w:r>
    </w:p>
  </w:footnote>
  <w:footnote w:id="19">
    <w:p w:rsidR="002169F6" w:rsidRPr="00543AF2" w:rsidRDefault="002169F6">
      <w:pPr>
        <w:pStyle w:val="Notedebasdepage"/>
        <w:rPr>
          <w:lang w:val="fr-CA"/>
        </w:rPr>
      </w:pPr>
      <w:r>
        <w:rPr>
          <w:rStyle w:val="Appelnotedebasdep"/>
        </w:rPr>
        <w:footnoteRef/>
      </w:r>
      <w:r w:rsidRPr="00543AF2">
        <w:rPr>
          <w:lang w:val="fr-CA"/>
        </w:rPr>
        <w:t xml:space="preserve"> </w:t>
      </w:r>
      <w:r w:rsidRPr="00793F46">
        <w:rPr>
          <w:i/>
          <w:lang w:val="fr-CA"/>
        </w:rPr>
        <w:t>Daniel c. Ville de Mont-Saint-Hilaire</w:t>
      </w:r>
      <w:r>
        <w:rPr>
          <w:lang w:val="fr-CA"/>
        </w:rPr>
        <w:t>, 2021 QCCA 515 (judge alone).</w:t>
      </w:r>
    </w:p>
  </w:footnote>
  <w:footnote w:id="20">
    <w:p w:rsidR="002169F6" w:rsidRPr="00543AF2" w:rsidRDefault="002169F6">
      <w:pPr>
        <w:pStyle w:val="Notedebasdepage"/>
        <w:rPr>
          <w:lang w:val="fr-CA"/>
        </w:rPr>
      </w:pPr>
      <w:r>
        <w:rPr>
          <w:rStyle w:val="Appelnotedebasdep"/>
        </w:rPr>
        <w:footnoteRef/>
      </w:r>
      <w:r w:rsidRPr="00543AF2">
        <w:rPr>
          <w:lang w:val="fr-CA"/>
        </w:rPr>
        <w:t xml:space="preserve"> </w:t>
      </w:r>
      <w:r w:rsidRPr="00793F46">
        <w:rPr>
          <w:i/>
          <w:lang w:val="fr-CA"/>
        </w:rPr>
        <w:t xml:space="preserve">Ramzi Daniel </w:t>
      </w:r>
      <w:r w:rsidR="00BA08BE">
        <w:rPr>
          <w:i/>
          <w:lang w:val="fr-CA"/>
        </w:rPr>
        <w:t>v</w:t>
      </w:r>
      <w:r w:rsidRPr="00793F46">
        <w:rPr>
          <w:i/>
          <w:lang w:val="fr-CA"/>
        </w:rPr>
        <w:t>. Ville de Mont-Saint-Hilaire, et al.,</w:t>
      </w:r>
      <w:r>
        <w:rPr>
          <w:lang w:val="fr-CA"/>
        </w:rPr>
        <w:t xml:space="preserve"> 2022 CanLII 21662 (SCC).</w:t>
      </w:r>
    </w:p>
  </w:footnote>
  <w:footnote w:id="21">
    <w:p w:rsidR="002169F6" w:rsidRPr="00793F46" w:rsidRDefault="002169F6">
      <w:pPr>
        <w:pStyle w:val="Notedebasdepage"/>
        <w:rPr>
          <w:lang w:val="fr-CA"/>
        </w:rPr>
      </w:pPr>
      <w:r>
        <w:rPr>
          <w:rStyle w:val="Appelnotedebasdep"/>
        </w:rPr>
        <w:footnoteRef/>
      </w:r>
      <w:r w:rsidRPr="00793F46">
        <w:rPr>
          <w:lang w:val="fr-CA"/>
        </w:rPr>
        <w:t xml:space="preserve"> </w:t>
      </w:r>
      <w:r w:rsidRPr="00EF7697">
        <w:rPr>
          <w:i/>
          <w:lang w:val="fr-CA"/>
        </w:rPr>
        <w:t>Daniel c. Ville de Mont-Saint-Hilaire</w:t>
      </w:r>
      <w:r w:rsidRPr="00793F46">
        <w:rPr>
          <w:lang w:val="fr-CA"/>
        </w:rPr>
        <w:t>, 2021 QCCA 627 (judge alone)</w:t>
      </w:r>
    </w:p>
  </w:footnote>
  <w:footnote w:id="22">
    <w:p w:rsidR="002169F6" w:rsidRPr="00AA2C70" w:rsidRDefault="002169F6" w:rsidP="009279D3">
      <w:pPr>
        <w:pStyle w:val="Notedebasdepage"/>
        <w:ind w:left="142" w:hanging="142"/>
        <w:rPr>
          <w:lang w:val="fr-CA"/>
        </w:rPr>
      </w:pPr>
      <w:r>
        <w:rPr>
          <w:rStyle w:val="Appelnotedebasdep"/>
        </w:rPr>
        <w:footnoteRef/>
      </w:r>
      <w:r>
        <w:t xml:space="preserve"> </w:t>
      </w:r>
      <w:r w:rsidRPr="001029F4">
        <w:rPr>
          <w:i/>
        </w:rPr>
        <w:t>Milette c. R</w:t>
      </w:r>
      <w:r w:rsidRPr="00AA2C70">
        <w:t xml:space="preserve">., 2018 QCCA 736, leave for </w:t>
      </w:r>
      <w:r w:rsidR="001029F4">
        <w:t>authorization to appeal to SCC</w:t>
      </w:r>
      <w:r>
        <w:t xml:space="preserve"> refused</w:t>
      </w:r>
      <w:r w:rsidR="001029F4">
        <w:t>,</w:t>
      </w:r>
      <w:r>
        <w:t xml:space="preserve"> </w:t>
      </w:r>
      <w:r w:rsidR="009F7EC2">
        <w:t>N</w:t>
      </w:r>
      <w:r>
        <w:t xml:space="preserve">o. 37831 at para. </w:t>
      </w:r>
      <w:r w:rsidRPr="00AA2C70">
        <w:rPr>
          <w:lang w:val="fr-CA"/>
        </w:rPr>
        <w:t xml:space="preserve">19. See also </w:t>
      </w:r>
      <w:r w:rsidRPr="001029F4">
        <w:rPr>
          <w:i/>
          <w:lang w:val="fr-CA"/>
        </w:rPr>
        <w:t>L.A</w:t>
      </w:r>
      <w:r w:rsidR="001029F4" w:rsidRPr="001029F4">
        <w:rPr>
          <w:i/>
          <w:lang w:val="fr-CA"/>
        </w:rPr>
        <w:t>.</w:t>
      </w:r>
      <w:r w:rsidRPr="001029F4">
        <w:rPr>
          <w:i/>
          <w:lang w:val="fr-CA"/>
        </w:rPr>
        <w:t xml:space="preserve"> c. Centre intégré de santé et de services sociaux de Laval</w:t>
      </w:r>
      <w:r>
        <w:rPr>
          <w:lang w:val="fr-CA"/>
        </w:rPr>
        <w:t>, 2022 QCCA 979 at para. 38.</w:t>
      </w:r>
    </w:p>
  </w:footnote>
  <w:footnote w:id="23">
    <w:p w:rsidR="002169F6" w:rsidRPr="009F7EC2" w:rsidRDefault="002169F6" w:rsidP="009279D3">
      <w:pPr>
        <w:pStyle w:val="Notedebasdepage"/>
        <w:ind w:left="142" w:hanging="142"/>
        <w:rPr>
          <w:lang w:val="fr-CA"/>
        </w:rPr>
      </w:pPr>
      <w:r>
        <w:rPr>
          <w:rStyle w:val="Appelnotedebasdep"/>
        </w:rPr>
        <w:footnoteRef/>
      </w:r>
      <w:r w:rsidRPr="009F7EC2">
        <w:t xml:space="preserve"> </w:t>
      </w:r>
      <w:r w:rsidRPr="009F7EC2">
        <w:rPr>
          <w:i/>
        </w:rPr>
        <w:t>Pogan c. Barreau duy Québec (FARPBQ)</w:t>
      </w:r>
      <w:r w:rsidRPr="009F7EC2">
        <w:t xml:space="preserve">, 2010 QCCS 1458, leave to appeal </w:t>
      </w:r>
      <w:r w:rsidR="00EF7697">
        <w:t>dismissed</w:t>
      </w:r>
      <w:r w:rsidR="009F7EC2" w:rsidRPr="00154030">
        <w:t xml:space="preserve"> </w:t>
      </w:r>
      <w:r w:rsidRPr="00154030">
        <w:t xml:space="preserve">(2010 QCCA 621 and 2010 QCCA 1084). </w:t>
      </w:r>
      <w:r w:rsidRPr="00154030">
        <w:rPr>
          <w:lang w:val="fr-CA"/>
        </w:rPr>
        <w:t>The article in question is</w:t>
      </w:r>
      <w:r w:rsidR="001029F4" w:rsidRPr="00154030">
        <w:rPr>
          <w:lang w:val="fr-CA"/>
        </w:rPr>
        <w:t>: Yves-</w:t>
      </w:r>
      <w:r w:rsidR="009F7EC2" w:rsidRPr="00154030">
        <w:rPr>
          <w:lang w:val="fr-CA"/>
        </w:rPr>
        <w:t>M</w:t>
      </w:r>
      <w:r w:rsidR="001029F4" w:rsidRPr="00154030">
        <w:rPr>
          <w:lang w:val="fr-CA"/>
        </w:rPr>
        <w:t xml:space="preserve">arie Morissette, </w:t>
      </w:r>
      <w:r w:rsidR="009F7EC2" w:rsidRPr="000943AB">
        <w:rPr>
          <w:lang w:val="fr-CA"/>
        </w:rPr>
        <w:t>“</w:t>
      </w:r>
      <w:r w:rsidRPr="000943AB">
        <w:rPr>
          <w:lang w:val="fr-CA"/>
        </w:rPr>
        <w:t>Abus de droit, quérulence et parties non représentées</w:t>
      </w:r>
      <w:r w:rsidR="009F7EC2" w:rsidRPr="000943AB">
        <w:rPr>
          <w:lang w:val="fr-CA"/>
        </w:rPr>
        <w:t>”</w:t>
      </w:r>
      <w:r w:rsidRPr="009F7EC2">
        <w:rPr>
          <w:lang w:val="fr-CA"/>
        </w:rPr>
        <w:t xml:space="preserve">, (2003) 49 McGill </w:t>
      </w:r>
      <w:r w:rsidR="00BA08BE" w:rsidRPr="009F7EC2">
        <w:rPr>
          <w:lang w:val="fr-CA"/>
        </w:rPr>
        <w:t xml:space="preserve">L.J. </w:t>
      </w:r>
      <w:r w:rsidRPr="009F7EC2">
        <w:rPr>
          <w:lang w:val="fr-CA"/>
        </w:rPr>
        <w:t>23, the most relevant excerpt</w:t>
      </w:r>
      <w:r w:rsidR="009F7EC2">
        <w:rPr>
          <w:lang w:val="fr-CA"/>
        </w:rPr>
        <w:t>s</w:t>
      </w:r>
      <w:r w:rsidRPr="009F7EC2">
        <w:rPr>
          <w:lang w:val="fr-CA"/>
        </w:rPr>
        <w:t xml:space="preserve"> being</w:t>
      </w:r>
      <w:r w:rsidR="001029F4" w:rsidRPr="009F7EC2">
        <w:rPr>
          <w:lang w:val="fr-CA"/>
        </w:rPr>
        <w:t xml:space="preserve"> found</w:t>
      </w:r>
      <w:r w:rsidRPr="009F7EC2">
        <w:rPr>
          <w:lang w:val="fr-CA"/>
        </w:rPr>
        <w:t xml:space="preserve"> </w:t>
      </w:r>
      <w:r w:rsidR="001029F4" w:rsidRPr="009F7EC2">
        <w:rPr>
          <w:lang w:val="fr-CA"/>
        </w:rPr>
        <w:t>on</w:t>
      </w:r>
      <w:r w:rsidRPr="009F7EC2">
        <w:rPr>
          <w:lang w:val="fr-CA"/>
        </w:rPr>
        <w:t xml:space="preserve"> pages 30 and 31.</w:t>
      </w:r>
    </w:p>
  </w:footnote>
  <w:footnote w:id="24">
    <w:p w:rsidR="002169F6" w:rsidRPr="001424C9" w:rsidRDefault="002169F6">
      <w:pPr>
        <w:pStyle w:val="Notedebasdepage"/>
      </w:pPr>
      <w:r>
        <w:rPr>
          <w:rStyle w:val="Appelnotedebasdep"/>
        </w:rPr>
        <w:footnoteRef/>
      </w:r>
      <w:r w:rsidRPr="000943AB">
        <w:t xml:space="preserve"> Art</w:t>
      </w:r>
      <w:r w:rsidR="007E3186" w:rsidRPr="000943AB">
        <w:t>.</w:t>
      </w:r>
      <w:r w:rsidRPr="000943AB">
        <w:t xml:space="preserve"> 54 C.C.P.; </w:t>
      </w:r>
      <w:r w:rsidRPr="000943AB">
        <w:rPr>
          <w:i/>
        </w:rPr>
        <w:t xml:space="preserve">2741-8854 Québec inc. </w:t>
      </w:r>
      <w:r w:rsidR="0018413B" w:rsidRPr="000943AB">
        <w:rPr>
          <w:i/>
        </w:rPr>
        <w:t>c</w:t>
      </w:r>
      <w:r w:rsidRPr="0018413B">
        <w:rPr>
          <w:i/>
        </w:rPr>
        <w:t>. Restaurant King Ouest inc</w:t>
      </w:r>
      <w:r w:rsidRPr="001424C9">
        <w:t xml:space="preserve">., 2018 </w:t>
      </w:r>
      <w:r>
        <w:t>QCCA 1807.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F6" w:rsidRDefault="002169F6">
    <w:pPr>
      <w:tabs>
        <w:tab w:val="center" w:pos="4709"/>
        <w:tab w:val="right" w:pos="9360"/>
      </w:tabs>
      <w:ind w:right="524"/>
      <w:rPr>
        <w:lang w:val="fr-CA"/>
      </w:rPr>
    </w:pPr>
    <w:r>
      <w:t>500-09-030045-223, 500-09-030080-220</w:t>
    </w:r>
    <w:r>
      <w:rPr>
        <w:lang w:val="fr-FR"/>
      </w:rPr>
      <w:tab/>
    </w:r>
    <w:r>
      <w:rPr>
        <w:lang w:val="fr-FR"/>
      </w:rPr>
      <w:tab/>
    </w:r>
    <w:r>
      <w:t xml:space="preserve">PAGE: </w:t>
    </w:r>
    <w:r>
      <w:fldChar w:fldCharType="begin"/>
    </w:r>
    <w:r>
      <w:rPr>
        <w:lang w:val="fr-CA"/>
      </w:rPr>
      <w:instrText xml:space="preserve"> PAGE </w:instrText>
    </w:r>
    <w:r>
      <w:fldChar w:fldCharType="separate"/>
    </w:r>
    <w:r w:rsidR="00D63275">
      <w:rPr>
        <w:noProof/>
        <w:lang w:val="fr-CA"/>
      </w:rPr>
      <w:t>2</w:t>
    </w:r>
    <w:r>
      <w:fldChar w:fldCharType="end"/>
    </w:r>
  </w:p>
  <w:p w:rsidR="002169F6" w:rsidRDefault="002169F6">
    <w:pPr>
      <w:tabs>
        <w:tab w:val="center" w:pos="4709"/>
        <w:tab w:val="right" w:pos="9090"/>
      </w:tabs>
      <w:ind w:right="524"/>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6D" w:rsidRDefault="005D196D">
    <w:pPr>
      <w:tabs>
        <w:tab w:val="center" w:pos="4709"/>
        <w:tab w:val="right" w:pos="9090"/>
      </w:tabs>
      <w:ind w:right="52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3C1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A8E3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0069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BCE1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88B4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4EC2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7632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2D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66D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DA50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31955"/>
    <w:multiLevelType w:val="hybridMultilevel"/>
    <w:tmpl w:val="23F276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110F6"/>
    <w:multiLevelType w:val="hybridMultilevel"/>
    <w:tmpl w:val="8FB6B448"/>
    <w:lvl w:ilvl="0" w:tplc="2FEA8938">
      <w:numFmt w:val="bullet"/>
      <w:lvlText w:val="-"/>
      <w:lvlJc w:val="left"/>
      <w:pPr>
        <w:ind w:left="1094" w:hanging="360"/>
      </w:pPr>
      <w:rPr>
        <w:rFonts w:ascii="Arial" w:eastAsia="Times New Roman" w:hAnsi="Arial" w:cs="Arial" w:hint="default"/>
      </w:rPr>
    </w:lvl>
    <w:lvl w:ilvl="1" w:tplc="0C0C0003" w:tentative="1">
      <w:start w:val="1"/>
      <w:numFmt w:val="bullet"/>
      <w:lvlText w:val="o"/>
      <w:lvlJc w:val="left"/>
      <w:pPr>
        <w:ind w:left="1814" w:hanging="360"/>
      </w:pPr>
      <w:rPr>
        <w:rFonts w:ascii="Courier New" w:hAnsi="Courier New" w:cs="Courier New" w:hint="default"/>
      </w:rPr>
    </w:lvl>
    <w:lvl w:ilvl="2" w:tplc="0C0C0005" w:tentative="1">
      <w:start w:val="1"/>
      <w:numFmt w:val="bullet"/>
      <w:lvlText w:val=""/>
      <w:lvlJc w:val="left"/>
      <w:pPr>
        <w:ind w:left="2534" w:hanging="360"/>
      </w:pPr>
      <w:rPr>
        <w:rFonts w:ascii="Wingdings" w:hAnsi="Wingdings" w:hint="default"/>
      </w:rPr>
    </w:lvl>
    <w:lvl w:ilvl="3" w:tplc="0C0C0001" w:tentative="1">
      <w:start w:val="1"/>
      <w:numFmt w:val="bullet"/>
      <w:lvlText w:val=""/>
      <w:lvlJc w:val="left"/>
      <w:pPr>
        <w:ind w:left="3254" w:hanging="360"/>
      </w:pPr>
      <w:rPr>
        <w:rFonts w:ascii="Symbol" w:hAnsi="Symbol" w:hint="default"/>
      </w:rPr>
    </w:lvl>
    <w:lvl w:ilvl="4" w:tplc="0C0C0003" w:tentative="1">
      <w:start w:val="1"/>
      <w:numFmt w:val="bullet"/>
      <w:lvlText w:val="o"/>
      <w:lvlJc w:val="left"/>
      <w:pPr>
        <w:ind w:left="3974" w:hanging="360"/>
      </w:pPr>
      <w:rPr>
        <w:rFonts w:ascii="Courier New" w:hAnsi="Courier New" w:cs="Courier New" w:hint="default"/>
      </w:rPr>
    </w:lvl>
    <w:lvl w:ilvl="5" w:tplc="0C0C0005" w:tentative="1">
      <w:start w:val="1"/>
      <w:numFmt w:val="bullet"/>
      <w:lvlText w:val=""/>
      <w:lvlJc w:val="left"/>
      <w:pPr>
        <w:ind w:left="4694" w:hanging="360"/>
      </w:pPr>
      <w:rPr>
        <w:rFonts w:ascii="Wingdings" w:hAnsi="Wingdings" w:hint="default"/>
      </w:rPr>
    </w:lvl>
    <w:lvl w:ilvl="6" w:tplc="0C0C0001" w:tentative="1">
      <w:start w:val="1"/>
      <w:numFmt w:val="bullet"/>
      <w:lvlText w:val=""/>
      <w:lvlJc w:val="left"/>
      <w:pPr>
        <w:ind w:left="5414" w:hanging="360"/>
      </w:pPr>
      <w:rPr>
        <w:rFonts w:ascii="Symbol" w:hAnsi="Symbol" w:hint="default"/>
      </w:rPr>
    </w:lvl>
    <w:lvl w:ilvl="7" w:tplc="0C0C0003" w:tentative="1">
      <w:start w:val="1"/>
      <w:numFmt w:val="bullet"/>
      <w:lvlText w:val="o"/>
      <w:lvlJc w:val="left"/>
      <w:pPr>
        <w:ind w:left="6134" w:hanging="360"/>
      </w:pPr>
      <w:rPr>
        <w:rFonts w:ascii="Courier New" w:hAnsi="Courier New" w:cs="Courier New" w:hint="default"/>
      </w:rPr>
    </w:lvl>
    <w:lvl w:ilvl="8" w:tplc="0C0C0005" w:tentative="1">
      <w:start w:val="1"/>
      <w:numFmt w:val="bullet"/>
      <w:lvlText w:val=""/>
      <w:lvlJc w:val="left"/>
      <w:pPr>
        <w:ind w:left="6854" w:hanging="360"/>
      </w:pPr>
      <w:rPr>
        <w:rFonts w:ascii="Wingdings" w:hAnsi="Wingdings" w:hint="default"/>
      </w:rPr>
    </w:lvl>
  </w:abstractNum>
  <w:abstractNum w:abstractNumId="12" w15:restartNumberingAfterBreak="0">
    <w:nsid w:val="574131BB"/>
    <w:multiLevelType w:val="hybridMultilevel"/>
    <w:tmpl w:val="418E40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CB66AD5"/>
    <w:multiLevelType w:val="hybridMultilevel"/>
    <w:tmpl w:val="E6806722"/>
    <w:lvl w:ilvl="0" w:tplc="2F20563E">
      <w:numFmt w:val="bullet"/>
      <w:lvlText w:val="-"/>
      <w:lvlJc w:val="left"/>
      <w:pPr>
        <w:ind w:left="1094" w:hanging="360"/>
      </w:pPr>
      <w:rPr>
        <w:rFonts w:ascii="Arial" w:eastAsia="Times New Roman" w:hAnsi="Arial" w:cs="Arial" w:hint="default"/>
      </w:rPr>
    </w:lvl>
    <w:lvl w:ilvl="1" w:tplc="0C0C0003" w:tentative="1">
      <w:start w:val="1"/>
      <w:numFmt w:val="bullet"/>
      <w:lvlText w:val="o"/>
      <w:lvlJc w:val="left"/>
      <w:pPr>
        <w:ind w:left="1814" w:hanging="360"/>
      </w:pPr>
      <w:rPr>
        <w:rFonts w:ascii="Courier New" w:hAnsi="Courier New" w:cs="Courier New" w:hint="default"/>
      </w:rPr>
    </w:lvl>
    <w:lvl w:ilvl="2" w:tplc="0C0C0005" w:tentative="1">
      <w:start w:val="1"/>
      <w:numFmt w:val="bullet"/>
      <w:lvlText w:val=""/>
      <w:lvlJc w:val="left"/>
      <w:pPr>
        <w:ind w:left="2534" w:hanging="360"/>
      </w:pPr>
      <w:rPr>
        <w:rFonts w:ascii="Wingdings" w:hAnsi="Wingdings" w:hint="default"/>
      </w:rPr>
    </w:lvl>
    <w:lvl w:ilvl="3" w:tplc="0C0C0001" w:tentative="1">
      <w:start w:val="1"/>
      <w:numFmt w:val="bullet"/>
      <w:lvlText w:val=""/>
      <w:lvlJc w:val="left"/>
      <w:pPr>
        <w:ind w:left="3254" w:hanging="360"/>
      </w:pPr>
      <w:rPr>
        <w:rFonts w:ascii="Symbol" w:hAnsi="Symbol" w:hint="default"/>
      </w:rPr>
    </w:lvl>
    <w:lvl w:ilvl="4" w:tplc="0C0C0003" w:tentative="1">
      <w:start w:val="1"/>
      <w:numFmt w:val="bullet"/>
      <w:lvlText w:val="o"/>
      <w:lvlJc w:val="left"/>
      <w:pPr>
        <w:ind w:left="3974" w:hanging="360"/>
      </w:pPr>
      <w:rPr>
        <w:rFonts w:ascii="Courier New" w:hAnsi="Courier New" w:cs="Courier New" w:hint="default"/>
      </w:rPr>
    </w:lvl>
    <w:lvl w:ilvl="5" w:tplc="0C0C0005" w:tentative="1">
      <w:start w:val="1"/>
      <w:numFmt w:val="bullet"/>
      <w:lvlText w:val=""/>
      <w:lvlJc w:val="left"/>
      <w:pPr>
        <w:ind w:left="4694" w:hanging="360"/>
      </w:pPr>
      <w:rPr>
        <w:rFonts w:ascii="Wingdings" w:hAnsi="Wingdings" w:hint="default"/>
      </w:rPr>
    </w:lvl>
    <w:lvl w:ilvl="6" w:tplc="0C0C0001" w:tentative="1">
      <w:start w:val="1"/>
      <w:numFmt w:val="bullet"/>
      <w:lvlText w:val=""/>
      <w:lvlJc w:val="left"/>
      <w:pPr>
        <w:ind w:left="5414" w:hanging="360"/>
      </w:pPr>
      <w:rPr>
        <w:rFonts w:ascii="Symbol" w:hAnsi="Symbol" w:hint="default"/>
      </w:rPr>
    </w:lvl>
    <w:lvl w:ilvl="7" w:tplc="0C0C0003" w:tentative="1">
      <w:start w:val="1"/>
      <w:numFmt w:val="bullet"/>
      <w:lvlText w:val="o"/>
      <w:lvlJc w:val="left"/>
      <w:pPr>
        <w:ind w:left="6134" w:hanging="360"/>
      </w:pPr>
      <w:rPr>
        <w:rFonts w:ascii="Courier New" w:hAnsi="Courier New" w:cs="Courier New" w:hint="default"/>
      </w:rPr>
    </w:lvl>
    <w:lvl w:ilvl="8" w:tplc="0C0C0005" w:tentative="1">
      <w:start w:val="1"/>
      <w:numFmt w:val="bullet"/>
      <w:lvlText w:val=""/>
      <w:lvlJc w:val="left"/>
      <w:pPr>
        <w:ind w:left="6854" w:hanging="360"/>
      </w:pPr>
      <w:rPr>
        <w:rFonts w:ascii="Wingdings" w:hAnsi="Wingdings" w:hint="default"/>
      </w:rPr>
    </w:lvl>
  </w:abstractNum>
  <w:abstractNum w:abstractNumId="14"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3A32291"/>
    <w:multiLevelType w:val="hybridMultilevel"/>
    <w:tmpl w:val="A934A03A"/>
    <w:lvl w:ilvl="0" w:tplc="0C0C000F">
      <w:start w:val="1"/>
      <w:numFmt w:val="decimal"/>
      <w:lvlText w:val="%1."/>
      <w:lvlJc w:val="left"/>
      <w:pPr>
        <w:ind w:left="1454" w:hanging="360"/>
      </w:pPr>
    </w:lvl>
    <w:lvl w:ilvl="1" w:tplc="0C0C0019" w:tentative="1">
      <w:start w:val="1"/>
      <w:numFmt w:val="lowerLetter"/>
      <w:lvlText w:val="%2."/>
      <w:lvlJc w:val="left"/>
      <w:pPr>
        <w:ind w:left="2174" w:hanging="360"/>
      </w:pPr>
    </w:lvl>
    <w:lvl w:ilvl="2" w:tplc="0C0C001B" w:tentative="1">
      <w:start w:val="1"/>
      <w:numFmt w:val="lowerRoman"/>
      <w:lvlText w:val="%3."/>
      <w:lvlJc w:val="right"/>
      <w:pPr>
        <w:ind w:left="2894" w:hanging="180"/>
      </w:pPr>
    </w:lvl>
    <w:lvl w:ilvl="3" w:tplc="0C0C000F" w:tentative="1">
      <w:start w:val="1"/>
      <w:numFmt w:val="decimal"/>
      <w:lvlText w:val="%4."/>
      <w:lvlJc w:val="left"/>
      <w:pPr>
        <w:ind w:left="3614" w:hanging="360"/>
      </w:pPr>
    </w:lvl>
    <w:lvl w:ilvl="4" w:tplc="0C0C0019" w:tentative="1">
      <w:start w:val="1"/>
      <w:numFmt w:val="lowerLetter"/>
      <w:lvlText w:val="%5."/>
      <w:lvlJc w:val="left"/>
      <w:pPr>
        <w:ind w:left="4334" w:hanging="360"/>
      </w:pPr>
    </w:lvl>
    <w:lvl w:ilvl="5" w:tplc="0C0C001B" w:tentative="1">
      <w:start w:val="1"/>
      <w:numFmt w:val="lowerRoman"/>
      <w:lvlText w:val="%6."/>
      <w:lvlJc w:val="right"/>
      <w:pPr>
        <w:ind w:left="5054" w:hanging="180"/>
      </w:pPr>
    </w:lvl>
    <w:lvl w:ilvl="6" w:tplc="0C0C000F" w:tentative="1">
      <w:start w:val="1"/>
      <w:numFmt w:val="decimal"/>
      <w:lvlText w:val="%7."/>
      <w:lvlJc w:val="left"/>
      <w:pPr>
        <w:ind w:left="5774" w:hanging="360"/>
      </w:pPr>
    </w:lvl>
    <w:lvl w:ilvl="7" w:tplc="0C0C0019" w:tentative="1">
      <w:start w:val="1"/>
      <w:numFmt w:val="lowerLetter"/>
      <w:lvlText w:val="%8."/>
      <w:lvlJc w:val="left"/>
      <w:pPr>
        <w:ind w:left="6494" w:hanging="360"/>
      </w:pPr>
    </w:lvl>
    <w:lvl w:ilvl="8" w:tplc="0C0C001B" w:tentative="1">
      <w:start w:val="1"/>
      <w:numFmt w:val="lowerRoman"/>
      <w:lvlText w:val="%9."/>
      <w:lvlJc w:val="right"/>
      <w:pPr>
        <w:ind w:left="7214" w:hanging="180"/>
      </w:pPr>
    </w:lvl>
  </w:abstractNum>
  <w:num w:numId="1">
    <w:abstractNumId w:val="14"/>
  </w:num>
  <w:num w:numId="2">
    <w:abstractNumId w:val="1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 w:numId="16">
    <w:abstractNumId w:val="12"/>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F87"/>
    <w:rsid w:val="000031A6"/>
    <w:rsid w:val="000050B7"/>
    <w:rsid w:val="00016BD2"/>
    <w:rsid w:val="0007755B"/>
    <w:rsid w:val="00081C61"/>
    <w:rsid w:val="000943AB"/>
    <w:rsid w:val="000A52A8"/>
    <w:rsid w:val="000A69A7"/>
    <w:rsid w:val="000F5567"/>
    <w:rsid w:val="001029F4"/>
    <w:rsid w:val="00140F7C"/>
    <w:rsid w:val="001424C9"/>
    <w:rsid w:val="00154030"/>
    <w:rsid w:val="00170AB3"/>
    <w:rsid w:val="0018413B"/>
    <w:rsid w:val="001D5C66"/>
    <w:rsid w:val="001E0806"/>
    <w:rsid w:val="001E2BF6"/>
    <w:rsid w:val="00215B93"/>
    <w:rsid w:val="002169F6"/>
    <w:rsid w:val="00231C41"/>
    <w:rsid w:val="00236CD3"/>
    <w:rsid w:val="002438CB"/>
    <w:rsid w:val="00243D4F"/>
    <w:rsid w:val="00246F3D"/>
    <w:rsid w:val="0027344B"/>
    <w:rsid w:val="00275A40"/>
    <w:rsid w:val="002A07D1"/>
    <w:rsid w:val="00320793"/>
    <w:rsid w:val="0036046F"/>
    <w:rsid w:val="00361F39"/>
    <w:rsid w:val="00395384"/>
    <w:rsid w:val="00397027"/>
    <w:rsid w:val="003B43D2"/>
    <w:rsid w:val="003E07C1"/>
    <w:rsid w:val="003E3A67"/>
    <w:rsid w:val="003F40D8"/>
    <w:rsid w:val="00426B04"/>
    <w:rsid w:val="00436B41"/>
    <w:rsid w:val="00446A58"/>
    <w:rsid w:val="00447CDB"/>
    <w:rsid w:val="0047754B"/>
    <w:rsid w:val="004909DC"/>
    <w:rsid w:val="00493C77"/>
    <w:rsid w:val="004D6634"/>
    <w:rsid w:val="004E3F87"/>
    <w:rsid w:val="004E6E5E"/>
    <w:rsid w:val="004E7710"/>
    <w:rsid w:val="004F52ED"/>
    <w:rsid w:val="005060F5"/>
    <w:rsid w:val="0053296E"/>
    <w:rsid w:val="00543AF2"/>
    <w:rsid w:val="00545F96"/>
    <w:rsid w:val="005655F9"/>
    <w:rsid w:val="005A7E84"/>
    <w:rsid w:val="005C5CEA"/>
    <w:rsid w:val="005D196D"/>
    <w:rsid w:val="005E1B85"/>
    <w:rsid w:val="005F3B61"/>
    <w:rsid w:val="00606F86"/>
    <w:rsid w:val="00616B9C"/>
    <w:rsid w:val="00644CA2"/>
    <w:rsid w:val="00645C4E"/>
    <w:rsid w:val="0065285B"/>
    <w:rsid w:val="00666EC3"/>
    <w:rsid w:val="006712B9"/>
    <w:rsid w:val="006967A9"/>
    <w:rsid w:val="006A0149"/>
    <w:rsid w:val="006D5B34"/>
    <w:rsid w:val="006F08FA"/>
    <w:rsid w:val="006F11AD"/>
    <w:rsid w:val="006F7E44"/>
    <w:rsid w:val="0076047E"/>
    <w:rsid w:val="00771424"/>
    <w:rsid w:val="00777827"/>
    <w:rsid w:val="007825C1"/>
    <w:rsid w:val="007913FA"/>
    <w:rsid w:val="00793F46"/>
    <w:rsid w:val="007963FF"/>
    <w:rsid w:val="007B0486"/>
    <w:rsid w:val="007B7920"/>
    <w:rsid w:val="007D2A8C"/>
    <w:rsid w:val="007D7538"/>
    <w:rsid w:val="007E2ED2"/>
    <w:rsid w:val="007E305D"/>
    <w:rsid w:val="007E3186"/>
    <w:rsid w:val="00806131"/>
    <w:rsid w:val="008412CF"/>
    <w:rsid w:val="00845B87"/>
    <w:rsid w:val="00892A47"/>
    <w:rsid w:val="008D639A"/>
    <w:rsid w:val="009279D3"/>
    <w:rsid w:val="00974B36"/>
    <w:rsid w:val="009A02C4"/>
    <w:rsid w:val="009C3DBA"/>
    <w:rsid w:val="009E3331"/>
    <w:rsid w:val="009F4A21"/>
    <w:rsid w:val="009F6C05"/>
    <w:rsid w:val="009F7EC2"/>
    <w:rsid w:val="00A0161C"/>
    <w:rsid w:val="00A171B1"/>
    <w:rsid w:val="00A44980"/>
    <w:rsid w:val="00A82963"/>
    <w:rsid w:val="00AA1FA3"/>
    <w:rsid w:val="00AA2C70"/>
    <w:rsid w:val="00AD1024"/>
    <w:rsid w:val="00AD4D0E"/>
    <w:rsid w:val="00AF1F38"/>
    <w:rsid w:val="00AF505B"/>
    <w:rsid w:val="00B27075"/>
    <w:rsid w:val="00B31FAC"/>
    <w:rsid w:val="00B45D6A"/>
    <w:rsid w:val="00B569D7"/>
    <w:rsid w:val="00B84838"/>
    <w:rsid w:val="00BA08BE"/>
    <w:rsid w:val="00BF7520"/>
    <w:rsid w:val="00C37871"/>
    <w:rsid w:val="00C5395D"/>
    <w:rsid w:val="00C56F64"/>
    <w:rsid w:val="00C64A6C"/>
    <w:rsid w:val="00C72C4F"/>
    <w:rsid w:val="00C83B08"/>
    <w:rsid w:val="00C926D3"/>
    <w:rsid w:val="00C96CB5"/>
    <w:rsid w:val="00CA175C"/>
    <w:rsid w:val="00CD0B85"/>
    <w:rsid w:val="00CE5EA3"/>
    <w:rsid w:val="00D41710"/>
    <w:rsid w:val="00D63275"/>
    <w:rsid w:val="00D874A8"/>
    <w:rsid w:val="00D91F1E"/>
    <w:rsid w:val="00D92E0F"/>
    <w:rsid w:val="00DA0C60"/>
    <w:rsid w:val="00DB74E6"/>
    <w:rsid w:val="00DD59F3"/>
    <w:rsid w:val="00DE19E8"/>
    <w:rsid w:val="00DF0CC0"/>
    <w:rsid w:val="00E05888"/>
    <w:rsid w:val="00E06A84"/>
    <w:rsid w:val="00E20780"/>
    <w:rsid w:val="00E51993"/>
    <w:rsid w:val="00E5617E"/>
    <w:rsid w:val="00E76B17"/>
    <w:rsid w:val="00E90A7C"/>
    <w:rsid w:val="00E90E9A"/>
    <w:rsid w:val="00EB2C2B"/>
    <w:rsid w:val="00EC5EC8"/>
    <w:rsid w:val="00ED6F5A"/>
    <w:rsid w:val="00EF7697"/>
    <w:rsid w:val="00F2770E"/>
    <w:rsid w:val="00F45F5D"/>
    <w:rsid w:val="00F50493"/>
    <w:rsid w:val="00F649B2"/>
    <w:rsid w:val="00F86C1B"/>
    <w:rsid w:val="00FA7C2B"/>
    <w:rsid w:val="00FE17E2"/>
    <w:rsid w:val="00FF63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C496B8-8EF6-4612-B8CE-4B06B798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CA" w:eastAsia="fr-FR"/>
    </w:rPr>
  </w:style>
  <w:style w:type="paragraph" w:styleId="Titre1">
    <w:name w:val="heading 1"/>
    <w:basedOn w:val="Normal"/>
    <w:next w:val="Paragraphe"/>
    <w:qFormat/>
    <w:pPr>
      <w:keepNext/>
      <w:spacing w:before="240" w:after="60"/>
      <w:outlineLvl w:val="0"/>
    </w:pPr>
    <w:rPr>
      <w:b/>
      <w:kern w:val="28"/>
      <w:sz w:val="28"/>
    </w:rPr>
  </w:style>
  <w:style w:type="paragraph" w:styleId="Titre2">
    <w:name w:val="heading 2"/>
    <w:basedOn w:val="Normal"/>
    <w:next w:val="Paragraphe"/>
    <w:qFormat/>
    <w:pPr>
      <w:keepNext/>
      <w:spacing w:before="240" w:after="60"/>
      <w:outlineLvl w:val="1"/>
    </w:pPr>
    <w:rPr>
      <w:b/>
      <w:i/>
    </w:rPr>
  </w:style>
  <w:style w:type="paragraph" w:styleId="Titre3">
    <w:name w:val="heading 3"/>
    <w:basedOn w:val="Normal"/>
    <w:next w:val="Paragraphe"/>
    <w:qFormat/>
    <w:pPr>
      <w:keepNext/>
      <w:spacing w:before="240" w:after="60"/>
      <w:outlineLvl w:val="2"/>
    </w:pPr>
  </w:style>
  <w:style w:type="paragraph" w:styleId="Titre4">
    <w:name w:val="heading 4"/>
    <w:basedOn w:val="Normal"/>
    <w:next w:val="Paragraphe"/>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semiHidden/>
    <w:rPr>
      <w:lang w:val="en-CA"/>
    </w:rPr>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2"/>
      </w:numPr>
      <w:tabs>
        <w:tab w:val="clear" w:pos="360"/>
      </w:tabs>
      <w:spacing w:before="120" w:after="120"/>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en-CA"/>
    </w:rPr>
  </w:style>
  <w:style w:type="paragraph" w:styleId="Corpsdetexte">
    <w:name w:val="Body Text"/>
    <w:basedOn w:val="Normal"/>
    <w:semiHidden/>
    <w:pPr>
      <w:spacing w:after="120"/>
    </w:pPr>
  </w:style>
  <w:style w:type="paragraph" w:styleId="Notedebasdepage">
    <w:name w:val="footnote text"/>
    <w:basedOn w:val="Normal"/>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en-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3"/>
      </w:numPr>
      <w:tabs>
        <w:tab w:val="clear" w:pos="792"/>
      </w:tabs>
      <w:spacing w:after="120"/>
      <w:ind w:left="1468" w:hanging="734"/>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Appelnotedebasdep">
    <w:name w:val="footnote reference"/>
    <w:uiPriority w:val="99"/>
    <w:semiHidden/>
    <w:unhideWhenUsed/>
    <w:rsid w:val="009F4A21"/>
    <w:rPr>
      <w:vertAlign w:val="superscript"/>
      <w:lang w:val="en-CA"/>
    </w:rPr>
  </w:style>
  <w:style w:type="character" w:styleId="Marquedecommentaire">
    <w:name w:val="annotation reference"/>
    <w:uiPriority w:val="99"/>
    <w:semiHidden/>
    <w:unhideWhenUsed/>
    <w:rsid w:val="00606F86"/>
    <w:rPr>
      <w:sz w:val="16"/>
      <w:szCs w:val="16"/>
      <w:lang w:val="en-CA"/>
    </w:rPr>
  </w:style>
  <w:style w:type="paragraph" w:styleId="Commentaire">
    <w:name w:val="annotation text"/>
    <w:basedOn w:val="Normal"/>
    <w:link w:val="CommentaireCar"/>
    <w:uiPriority w:val="99"/>
    <w:semiHidden/>
    <w:unhideWhenUsed/>
    <w:rsid w:val="00606F86"/>
    <w:rPr>
      <w:sz w:val="20"/>
    </w:rPr>
  </w:style>
  <w:style w:type="character" w:customStyle="1" w:styleId="CommentaireCar">
    <w:name w:val="Commentaire Car"/>
    <w:link w:val="Commentaire"/>
    <w:uiPriority w:val="99"/>
    <w:semiHidden/>
    <w:rsid w:val="00606F86"/>
    <w:rPr>
      <w:rFonts w:ascii="Arial" w:hAnsi="Arial"/>
      <w:lang w:val="en-CA" w:eastAsia="fr-FR"/>
    </w:rPr>
  </w:style>
  <w:style w:type="paragraph" w:styleId="Objetducommentaire">
    <w:name w:val="annotation subject"/>
    <w:basedOn w:val="Commentaire"/>
    <w:next w:val="Commentaire"/>
    <w:link w:val="ObjetducommentaireCar"/>
    <w:uiPriority w:val="99"/>
    <w:semiHidden/>
    <w:unhideWhenUsed/>
    <w:rsid w:val="00606F86"/>
    <w:rPr>
      <w:b/>
      <w:bCs/>
    </w:rPr>
  </w:style>
  <w:style w:type="character" w:customStyle="1" w:styleId="ObjetducommentaireCar">
    <w:name w:val="Objet du commentaire Car"/>
    <w:link w:val="Objetducommentaire"/>
    <w:uiPriority w:val="99"/>
    <w:semiHidden/>
    <w:rsid w:val="00606F86"/>
    <w:rPr>
      <w:rFonts w:ascii="Arial" w:hAnsi="Arial"/>
      <w:b/>
      <w:bCs/>
      <w:lang w:val="en-CA" w:eastAsia="fr-FR"/>
    </w:rPr>
  </w:style>
  <w:style w:type="paragraph" w:styleId="Textedebulles">
    <w:name w:val="Balloon Text"/>
    <w:basedOn w:val="Normal"/>
    <w:link w:val="TextedebullesCar"/>
    <w:uiPriority w:val="99"/>
    <w:semiHidden/>
    <w:unhideWhenUsed/>
    <w:rsid w:val="00606F86"/>
    <w:rPr>
      <w:rFonts w:ascii="Segoe UI" w:hAnsi="Segoe UI" w:cs="Segoe UI"/>
      <w:sz w:val="18"/>
      <w:szCs w:val="18"/>
    </w:rPr>
  </w:style>
  <w:style w:type="character" w:customStyle="1" w:styleId="TextedebullesCar">
    <w:name w:val="Texte de bulles Car"/>
    <w:link w:val="Textedebulles"/>
    <w:uiPriority w:val="99"/>
    <w:semiHidden/>
    <w:rsid w:val="00606F86"/>
    <w:rPr>
      <w:rFonts w:ascii="Segoe UI" w:hAnsi="Segoe UI" w:cs="Segoe UI"/>
      <w:sz w:val="18"/>
      <w:szCs w:val="18"/>
      <w:lang w:val="en-CA" w:eastAsia="fr-FR"/>
    </w:rPr>
  </w:style>
  <w:style w:type="character" w:styleId="Appeldenotedefin">
    <w:name w:val="endnote reference"/>
    <w:uiPriority w:val="99"/>
    <w:semiHidden/>
    <w:unhideWhenUsed/>
    <w:rsid w:val="00215B93"/>
    <w:rPr>
      <w:vertAlign w:val="superscript"/>
      <w:lang w:val="en-CA"/>
    </w:rPr>
  </w:style>
  <w:style w:type="character" w:styleId="Lienhypertexte">
    <w:name w:val="Hyperlink"/>
    <w:uiPriority w:val="99"/>
    <w:unhideWhenUsed/>
    <w:rsid w:val="003B43D2"/>
    <w:rPr>
      <w:color w:val="0000FF"/>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Gabarit\EDJ\CA123A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11EAFA4FBC245A00D05777CBF892F" ma:contentTypeVersion="2" ma:contentTypeDescription="Crée un document." ma:contentTypeScope="" ma:versionID="d94e728d3c20457ce77d89d1e83e92eb">
  <xsd:schema xmlns:xsd="http://www.w3.org/2001/XMLSchema" xmlns:xs="http://www.w3.org/2001/XMLSchema" xmlns:p="http://schemas.microsoft.com/office/2006/metadata/properties" targetNamespace="http://schemas.microsoft.com/office/2006/metadata/properties" ma:root="true" ma:fieldsID="232f7d3df9a0b481a8e7d49f213dd0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DC4F-885B-4257-ACB4-40914D207C80}">
  <ds:schemaRefs>
    <ds:schemaRef ds:uri="http://schemas.microsoft.com/sharepoint/v3/contenttype/forms"/>
  </ds:schemaRefs>
</ds:datastoreItem>
</file>

<file path=customXml/itemProps2.xml><?xml version="1.0" encoding="utf-8"?>
<ds:datastoreItem xmlns:ds="http://schemas.openxmlformats.org/officeDocument/2006/customXml" ds:itemID="{C064BB9F-4EAB-4B3B-A5B7-087E0AD0D17B}">
  <ds:schemaRefs>
    <ds:schemaRef ds:uri="http://schemas.microsoft.com/office/2006/metadata/longProperties"/>
  </ds:schemaRefs>
</ds:datastoreItem>
</file>

<file path=customXml/itemProps3.xml><?xml version="1.0" encoding="utf-8"?>
<ds:datastoreItem xmlns:ds="http://schemas.openxmlformats.org/officeDocument/2006/customXml" ds:itemID="{EF3A30B1-B7CF-41C8-B4D2-F0B235814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5469EE-AC2F-446C-BBBC-CDBD6007C5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32641-DC01-4F2D-9D25-FF8A3045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CA123Ang.dot</Template>
  <TotalTime>0</TotalTime>
  <Pages>13</Pages>
  <Words>3353</Words>
  <Characters>18447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Gabarit EDJ</vt:lpstr>
    </vt:vector>
  </TitlesOfParts>
  <Manager>Stéphane Renauld</Manager>
  <Company>SOQUIJ</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EDJ</dc:title>
  <dc:subject/>
  <dc:creator>royver</dc:creator>
  <cp:keywords/>
  <cp:lastModifiedBy>Gauthier, François</cp:lastModifiedBy>
  <cp:revision>2</cp:revision>
  <cp:lastPrinted>2002-01-24T18:05:00Z</cp:lastPrinted>
  <dcterms:created xsi:type="dcterms:W3CDTF">2022-11-23T13:06:00Z</dcterms:created>
  <dcterms:modified xsi:type="dcterms:W3CDTF">2022-11-23T13:06:00Z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DateModification">
    <vt:lpwstr>01/24/2002</vt:lpwstr>
  </property>
  <property fmtid="{D5CDD505-2E9C-101B-9397-08002B2CF9AE}" pid="3" name="Soquij_Version">
    <vt:lpwstr>1.6</vt:lpwstr>
  </property>
  <property fmtid="{D5CDD505-2E9C-101B-9397-08002B2CF9AE}" pid="4" name="Soquij_ModifiePar">
    <vt:lpwstr>renste</vt:lpwstr>
  </property>
  <property fmtid="{D5CDD505-2E9C-101B-9397-08002B2CF9AE}" pid="5" name="Soquij_Modele">
    <vt:lpwstr>edj</vt:lpwstr>
  </property>
  <property fmtid="{D5CDD505-2E9C-101B-9397-08002B2CF9AE}" pid="6" name="Soquij_Cour">
    <vt:lpwstr>CA</vt:lpwstr>
  </property>
  <property fmtid="{D5CDD505-2E9C-101B-9397-08002B2CF9AE}" pid="7" name="Soquij_Langue">
    <vt:lpwstr>Ang</vt:lpwstr>
  </property>
  <property fmtid="{D5CDD505-2E9C-101B-9397-08002B2CF9AE}" pid="8" name="display_urn:schemas-microsoft-com:office:office#Editor">
    <vt:lpwstr>Roy, Vera</vt:lpwstr>
  </property>
  <property fmtid="{D5CDD505-2E9C-101B-9397-08002B2CF9AE}" pid="9" name="display_urn:schemas-microsoft-com:office:office#Author">
    <vt:lpwstr>Roy, Vera</vt:lpwstr>
  </property>
</Properties>
</file>