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D1F9A" w14:textId="3B297005" w:rsidR="00B25D39" w:rsidRPr="002E7C7B" w:rsidRDefault="001A2696">
      <w:pPr>
        <w:rPr>
          <w:b/>
          <w:bCs/>
          <w:lang w:val="en-CA"/>
        </w:rPr>
      </w:pPr>
      <w:bookmarkStart w:id="0" w:name="_GoBack"/>
      <w:bookmarkEnd w:id="0"/>
      <w:r w:rsidRPr="002E7C7B">
        <w:rPr>
          <w:b/>
          <w:bCs/>
          <w:lang w:val="en-CA"/>
        </w:rPr>
        <w:t>Unofficial English Translation of the Judgment of the Court</w:t>
      </w: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B21D95" w:rsidRPr="003F141B" w14:paraId="66D51545" w14:textId="77777777" w:rsidTr="009130CA">
        <w:trPr>
          <w:trHeight w:val="248"/>
        </w:trPr>
        <w:tc>
          <w:tcPr>
            <w:tcW w:w="7372" w:type="dxa"/>
            <w:gridSpan w:val="5"/>
          </w:tcPr>
          <w:p w14:paraId="3C859617" w14:textId="78F40610" w:rsidR="00B21D95" w:rsidRPr="003F141B" w:rsidRDefault="00B21D95" w:rsidP="00B21D95">
            <w:pPr>
              <w:pStyle w:val="zSoquijdatRepertorie"/>
              <w:rPr>
                <w:lang w:val="en-CA"/>
              </w:rPr>
            </w:pPr>
            <w:r>
              <w:rPr>
                <w:rFonts w:cs="Arial"/>
              </w:rPr>
              <w:t>R. c. Blackburn-Laroche</w:t>
            </w:r>
          </w:p>
        </w:tc>
        <w:tc>
          <w:tcPr>
            <w:tcW w:w="1988" w:type="dxa"/>
          </w:tcPr>
          <w:p w14:paraId="6BDBB5A9" w14:textId="449986AD" w:rsidR="00B21D95" w:rsidRPr="003F141B" w:rsidRDefault="00B21D95" w:rsidP="00B21D95">
            <w:pPr>
              <w:pStyle w:val="zSoquijdatRefNeutre"/>
              <w:jc w:val="right"/>
              <w:rPr>
                <w:lang w:val="en-CA"/>
              </w:rPr>
            </w:pPr>
            <w:r w:rsidRPr="005E5C38">
              <w:rPr>
                <w:rFonts w:cs="Arial"/>
              </w:rPr>
              <w:t>2021 QCCA 59</w:t>
            </w:r>
          </w:p>
        </w:tc>
      </w:tr>
      <w:tr w:rsidR="00966AF8" w:rsidRPr="003F141B" w14:paraId="1EF76705" w14:textId="77777777" w:rsidTr="009130CA">
        <w:trPr>
          <w:trHeight w:val="247"/>
        </w:trPr>
        <w:tc>
          <w:tcPr>
            <w:tcW w:w="9360" w:type="dxa"/>
            <w:gridSpan w:val="6"/>
          </w:tcPr>
          <w:p w14:paraId="179DE218" w14:textId="77777777" w:rsidR="009130CA" w:rsidRPr="003F141B" w:rsidRDefault="00B25D39">
            <w:pPr>
              <w:pStyle w:val="zSoquijlblCour"/>
              <w:rPr>
                <w:lang w:val="en-CA"/>
              </w:rPr>
            </w:pPr>
            <w:r w:rsidRPr="003F141B">
              <w:rPr>
                <w:lang w:val="en-CA"/>
              </w:rPr>
              <w:t>COURT OF APPEAL</w:t>
            </w:r>
          </w:p>
        </w:tc>
      </w:tr>
      <w:tr w:rsidR="00966AF8" w:rsidRPr="003F141B" w14:paraId="42DB40EE" w14:textId="77777777" w:rsidTr="009130CA">
        <w:trPr>
          <w:trHeight w:val="540"/>
        </w:trPr>
        <w:tc>
          <w:tcPr>
            <w:tcW w:w="9360" w:type="dxa"/>
            <w:gridSpan w:val="6"/>
          </w:tcPr>
          <w:p w14:paraId="1437FC6B" w14:textId="77777777" w:rsidR="009130CA" w:rsidRPr="003F141B" w:rsidRDefault="009130CA">
            <w:pPr>
              <w:pStyle w:val="zSoquijdatDivision"/>
              <w:rPr>
                <w:lang w:val="en-CA"/>
              </w:rPr>
            </w:pPr>
          </w:p>
        </w:tc>
      </w:tr>
      <w:tr w:rsidR="00966AF8" w:rsidRPr="003F141B" w14:paraId="4A961C94" w14:textId="77777777" w:rsidTr="009130CA">
        <w:tc>
          <w:tcPr>
            <w:tcW w:w="9360" w:type="dxa"/>
            <w:gridSpan w:val="6"/>
          </w:tcPr>
          <w:p w14:paraId="7056BCCE" w14:textId="77777777" w:rsidR="009130CA" w:rsidRPr="003F141B" w:rsidRDefault="00B25D39">
            <w:pPr>
              <w:pStyle w:val="zSoquijlblPays"/>
              <w:rPr>
                <w:lang w:val="en-CA"/>
              </w:rPr>
            </w:pPr>
            <w:r w:rsidRPr="003F141B">
              <w:rPr>
                <w:lang w:val="en-CA"/>
              </w:rPr>
              <w:t>CANADA</w:t>
            </w:r>
          </w:p>
        </w:tc>
      </w:tr>
      <w:tr w:rsidR="00966AF8" w:rsidRPr="003F141B" w14:paraId="6EE8A491" w14:textId="77777777" w:rsidTr="009130CA">
        <w:tc>
          <w:tcPr>
            <w:tcW w:w="9360" w:type="dxa"/>
            <w:gridSpan w:val="6"/>
          </w:tcPr>
          <w:p w14:paraId="7BD32969" w14:textId="77777777" w:rsidR="009130CA" w:rsidRPr="003F141B" w:rsidRDefault="00B25D39">
            <w:pPr>
              <w:pStyle w:val="zSoquijlblProvince"/>
              <w:rPr>
                <w:lang w:val="en-CA"/>
              </w:rPr>
            </w:pPr>
            <w:r w:rsidRPr="003F141B">
              <w:rPr>
                <w:lang w:val="en-CA"/>
              </w:rPr>
              <w:t>PROVINCE OF QUEBEC</w:t>
            </w:r>
          </w:p>
        </w:tc>
      </w:tr>
      <w:tr w:rsidR="00966AF8" w:rsidRPr="003F141B" w14:paraId="06B0EE65" w14:textId="77777777" w:rsidTr="00647765">
        <w:tc>
          <w:tcPr>
            <w:tcW w:w="1701" w:type="dxa"/>
            <w:gridSpan w:val="3"/>
          </w:tcPr>
          <w:p w14:paraId="6DFE3F97" w14:textId="77777777" w:rsidR="009130CA" w:rsidRPr="003F141B" w:rsidRDefault="00B25D39">
            <w:pPr>
              <w:pStyle w:val="zSoquijlblGreffe"/>
              <w:rPr>
                <w:lang w:val="en-CA"/>
              </w:rPr>
            </w:pPr>
            <w:r w:rsidRPr="003F141B">
              <w:rPr>
                <w:lang w:val="en-CA"/>
              </w:rPr>
              <w:t>REGISTRY OF</w:t>
            </w:r>
          </w:p>
          <w:p w14:paraId="4DDA79DE" w14:textId="77777777" w:rsidR="009130CA" w:rsidRPr="003F141B" w:rsidRDefault="009130CA">
            <w:pPr>
              <w:pStyle w:val="zSoquijlblGreffe"/>
              <w:rPr>
                <w:lang w:val="en-CA"/>
              </w:rPr>
            </w:pPr>
          </w:p>
        </w:tc>
        <w:tc>
          <w:tcPr>
            <w:tcW w:w="7659" w:type="dxa"/>
            <w:gridSpan w:val="3"/>
          </w:tcPr>
          <w:p w14:paraId="518216C9" w14:textId="77777777" w:rsidR="009130CA" w:rsidRPr="003F141B" w:rsidRDefault="00B25D39">
            <w:pPr>
              <w:pStyle w:val="zSoquijdatGreffe"/>
              <w:rPr>
                <w:lang w:val="en-CA"/>
              </w:rPr>
            </w:pPr>
            <w:r w:rsidRPr="003F141B">
              <w:rPr>
                <w:lang w:val="en-CA"/>
              </w:rPr>
              <w:t>QUEBEC</w:t>
            </w:r>
          </w:p>
        </w:tc>
      </w:tr>
      <w:tr w:rsidR="00966AF8" w:rsidRPr="003F141B" w14:paraId="0B2286FD" w14:textId="77777777" w:rsidTr="009130CA">
        <w:tc>
          <w:tcPr>
            <w:tcW w:w="1030" w:type="dxa"/>
          </w:tcPr>
          <w:p w14:paraId="4CB65635" w14:textId="0D8D0AA7" w:rsidR="009130CA" w:rsidRPr="003F141B" w:rsidRDefault="00B25D39">
            <w:pPr>
              <w:pStyle w:val="zSoquijlblNoDossier"/>
              <w:rPr>
                <w:lang w:val="en-CA"/>
              </w:rPr>
            </w:pPr>
            <w:r w:rsidRPr="003F141B">
              <w:rPr>
                <w:lang w:val="en-CA"/>
              </w:rPr>
              <w:t>No.:</w:t>
            </w:r>
          </w:p>
        </w:tc>
        <w:tc>
          <w:tcPr>
            <w:tcW w:w="8330" w:type="dxa"/>
            <w:gridSpan w:val="5"/>
          </w:tcPr>
          <w:p w14:paraId="0A160DF8" w14:textId="77777777" w:rsidR="009130CA" w:rsidRPr="003F141B" w:rsidRDefault="005003D8">
            <w:pPr>
              <w:pStyle w:val="zSoquijdatNoDossier"/>
              <w:rPr>
                <w:lang w:val="en-CA"/>
              </w:rPr>
            </w:pPr>
            <w:bookmarkStart w:id="1" w:name="NoDossier"/>
            <w:r w:rsidRPr="003F141B">
              <w:rPr>
                <w:lang w:val="en-CA"/>
              </w:rPr>
              <w:t>200-10-003711-194</w:t>
            </w:r>
            <w:bookmarkEnd w:id="1"/>
          </w:p>
        </w:tc>
      </w:tr>
      <w:tr w:rsidR="00966AF8" w:rsidRPr="003F141B" w14:paraId="34DE8640" w14:textId="77777777" w:rsidTr="009130CA">
        <w:tc>
          <w:tcPr>
            <w:tcW w:w="9360" w:type="dxa"/>
            <w:gridSpan w:val="6"/>
          </w:tcPr>
          <w:p w14:paraId="46A14B9C" w14:textId="77777777" w:rsidR="009130CA" w:rsidRPr="003F141B" w:rsidRDefault="005003D8" w:rsidP="009130CA">
            <w:pPr>
              <w:pStyle w:val="zSoquijdatNoDossierAnt"/>
              <w:rPr>
                <w:lang w:val="en-CA"/>
              </w:rPr>
            </w:pPr>
            <w:r w:rsidRPr="003F141B">
              <w:rPr>
                <w:lang w:val="en-CA"/>
              </w:rPr>
              <w:t>(150-01-059340-191)</w:t>
            </w:r>
          </w:p>
        </w:tc>
      </w:tr>
      <w:tr w:rsidR="00966AF8" w:rsidRPr="003F141B" w14:paraId="0AB6FD25" w14:textId="77777777" w:rsidTr="009130CA">
        <w:tc>
          <w:tcPr>
            <w:tcW w:w="9360" w:type="dxa"/>
            <w:gridSpan w:val="6"/>
          </w:tcPr>
          <w:p w14:paraId="57D11246" w14:textId="77777777" w:rsidR="009130CA" w:rsidRPr="003F141B" w:rsidRDefault="009130CA">
            <w:pPr>
              <w:rPr>
                <w:lang w:val="en-CA"/>
              </w:rPr>
            </w:pPr>
          </w:p>
        </w:tc>
      </w:tr>
      <w:tr w:rsidR="00966AF8" w:rsidRPr="003F141B" w14:paraId="1E811561" w14:textId="77777777" w:rsidTr="009130CA">
        <w:tc>
          <w:tcPr>
            <w:tcW w:w="1030" w:type="dxa"/>
          </w:tcPr>
          <w:p w14:paraId="291A35A1" w14:textId="77777777" w:rsidR="009130CA" w:rsidRPr="003F141B" w:rsidRDefault="00B25D39">
            <w:pPr>
              <w:pStyle w:val="zSoquijlblDateJugement"/>
              <w:rPr>
                <w:lang w:val="en-CA"/>
              </w:rPr>
            </w:pPr>
            <w:r w:rsidRPr="003F141B">
              <w:rPr>
                <w:lang w:val="en-CA"/>
              </w:rPr>
              <w:t>DATE:</w:t>
            </w:r>
          </w:p>
        </w:tc>
        <w:tc>
          <w:tcPr>
            <w:tcW w:w="8330" w:type="dxa"/>
            <w:gridSpan w:val="5"/>
          </w:tcPr>
          <w:p w14:paraId="6D883C60" w14:textId="77777777" w:rsidR="009130CA" w:rsidRPr="003F141B" w:rsidRDefault="00B25D39">
            <w:pPr>
              <w:pStyle w:val="zSoquijdatDateJugement"/>
              <w:rPr>
                <w:lang w:val="en-CA"/>
              </w:rPr>
            </w:pPr>
            <w:r w:rsidRPr="003F141B">
              <w:rPr>
                <w:lang w:val="en-CA"/>
              </w:rPr>
              <w:t>January 15, 2021</w:t>
            </w:r>
          </w:p>
        </w:tc>
      </w:tr>
      <w:tr w:rsidR="00966AF8" w:rsidRPr="003F141B" w14:paraId="6C986714" w14:textId="77777777" w:rsidTr="009130CA">
        <w:tc>
          <w:tcPr>
            <w:tcW w:w="9360" w:type="dxa"/>
            <w:gridSpan w:val="6"/>
            <w:tcBorders>
              <w:bottom w:val="single" w:sz="8" w:space="0" w:color="auto"/>
            </w:tcBorders>
          </w:tcPr>
          <w:p w14:paraId="591DF04C" w14:textId="77777777" w:rsidR="009130CA" w:rsidRPr="003F141B" w:rsidRDefault="009130CA">
            <w:pPr>
              <w:rPr>
                <w:lang w:val="en-CA"/>
              </w:rPr>
            </w:pPr>
          </w:p>
        </w:tc>
      </w:tr>
      <w:tr w:rsidR="00966AF8" w:rsidRPr="003F141B" w14:paraId="6CBC3A88" w14:textId="77777777" w:rsidTr="009130CA">
        <w:tc>
          <w:tcPr>
            <w:tcW w:w="9360" w:type="dxa"/>
            <w:gridSpan w:val="6"/>
            <w:tcBorders>
              <w:top w:val="single" w:sz="8" w:space="0" w:color="auto"/>
            </w:tcBorders>
          </w:tcPr>
          <w:p w14:paraId="2DB75171" w14:textId="77777777" w:rsidR="009130CA" w:rsidRPr="003F141B" w:rsidRDefault="009130CA">
            <w:pPr>
              <w:rPr>
                <w:lang w:val="en-CA"/>
              </w:rPr>
            </w:pPr>
          </w:p>
        </w:tc>
      </w:tr>
      <w:tr w:rsidR="00966AF8" w:rsidRPr="003F141B" w14:paraId="34781517" w14:textId="77777777" w:rsidTr="009130CA">
        <w:tc>
          <w:tcPr>
            <w:tcW w:w="1620" w:type="dxa"/>
            <w:gridSpan w:val="2"/>
          </w:tcPr>
          <w:p w14:paraId="0C1E757C" w14:textId="77777777" w:rsidR="009130CA" w:rsidRPr="003F141B" w:rsidRDefault="00B25D39" w:rsidP="009130CA">
            <w:pPr>
              <w:pStyle w:val="zSoquijlblJuge"/>
              <w:ind w:right="-142"/>
              <w:rPr>
                <w:lang w:val="en-CA"/>
              </w:rPr>
            </w:pPr>
            <w:r w:rsidRPr="003F141B">
              <w:rPr>
                <w:lang w:val="en-CA"/>
              </w:rPr>
              <w:t>CORAM:</w:t>
            </w:r>
          </w:p>
        </w:tc>
        <w:tc>
          <w:tcPr>
            <w:tcW w:w="2350" w:type="dxa"/>
            <w:gridSpan w:val="2"/>
          </w:tcPr>
          <w:p w14:paraId="078DD61D" w14:textId="77777777" w:rsidR="009130CA" w:rsidRPr="003F141B" w:rsidRDefault="00B25D39">
            <w:pPr>
              <w:pStyle w:val="zSoquijdatQteJuge"/>
              <w:rPr>
                <w:lang w:val="en-CA"/>
              </w:rPr>
            </w:pPr>
            <w:r w:rsidRPr="003F141B">
              <w:rPr>
                <w:lang w:val="en-CA"/>
              </w:rPr>
              <w:t>THE HONOURABLE</w:t>
            </w:r>
          </w:p>
        </w:tc>
        <w:tc>
          <w:tcPr>
            <w:tcW w:w="5390" w:type="dxa"/>
            <w:gridSpan w:val="2"/>
          </w:tcPr>
          <w:p w14:paraId="675BD59F" w14:textId="77777777" w:rsidR="009130CA" w:rsidRPr="003F141B" w:rsidRDefault="00B25D39">
            <w:pPr>
              <w:pStyle w:val="zSoquijdatJuge"/>
              <w:rPr>
                <w:lang w:val="en-CA"/>
              </w:rPr>
            </w:pPr>
            <w:r w:rsidRPr="003F141B">
              <w:rPr>
                <w:lang w:val="en-CA"/>
              </w:rPr>
              <w:t>SUZANNE GAGNÉ, J.A.</w:t>
            </w:r>
          </w:p>
          <w:p w14:paraId="491F32B7" w14:textId="77777777" w:rsidR="009130CA" w:rsidRPr="003F141B" w:rsidRDefault="00B25D39">
            <w:pPr>
              <w:pStyle w:val="zSoquijdatJuge"/>
              <w:rPr>
                <w:lang w:val="en-CA"/>
              </w:rPr>
            </w:pPr>
            <w:r w:rsidRPr="003F141B">
              <w:rPr>
                <w:lang w:val="en-CA"/>
              </w:rPr>
              <w:t>GENEVIÈVE COTNAM, J.A.</w:t>
            </w:r>
          </w:p>
          <w:p w14:paraId="4CE97D48" w14:textId="77777777" w:rsidR="009130CA" w:rsidRPr="003F141B" w:rsidRDefault="00B25D39" w:rsidP="009130CA">
            <w:pPr>
              <w:pStyle w:val="zSoquijdatJuge"/>
              <w:rPr>
                <w:lang w:val="en-CA"/>
              </w:rPr>
            </w:pPr>
            <w:bookmarkStart w:id="2" w:name="_Hlt520513784"/>
            <w:bookmarkEnd w:id="2"/>
            <w:r w:rsidRPr="003F141B">
              <w:rPr>
                <w:lang w:val="en-CA"/>
              </w:rPr>
              <w:t>MICHEL BEAUPRÉ, J.A.</w:t>
            </w:r>
          </w:p>
        </w:tc>
      </w:tr>
      <w:tr w:rsidR="00966AF8" w:rsidRPr="003F141B" w14:paraId="5CA4B047" w14:textId="77777777" w:rsidTr="009130CA">
        <w:tc>
          <w:tcPr>
            <w:tcW w:w="9360" w:type="dxa"/>
            <w:gridSpan w:val="6"/>
            <w:tcBorders>
              <w:bottom w:val="single" w:sz="8" w:space="0" w:color="auto"/>
            </w:tcBorders>
          </w:tcPr>
          <w:p w14:paraId="7DCDD657" w14:textId="77777777" w:rsidR="009130CA" w:rsidRPr="003F141B" w:rsidRDefault="009130CA">
            <w:pPr>
              <w:rPr>
                <w:lang w:val="en-CA"/>
              </w:rPr>
            </w:pPr>
          </w:p>
        </w:tc>
      </w:tr>
      <w:tr w:rsidR="00966AF8" w:rsidRPr="003F141B" w14:paraId="16CF3F9B" w14:textId="77777777" w:rsidTr="009130CA">
        <w:tc>
          <w:tcPr>
            <w:tcW w:w="9360" w:type="dxa"/>
            <w:gridSpan w:val="6"/>
          </w:tcPr>
          <w:p w14:paraId="350B8A8E" w14:textId="77777777" w:rsidR="009130CA" w:rsidRPr="003F141B" w:rsidRDefault="009130CA">
            <w:pPr>
              <w:pStyle w:val="zSoquijlblTitrePartie"/>
              <w:rPr>
                <w:lang w:val="en-CA"/>
              </w:rPr>
            </w:pPr>
          </w:p>
        </w:tc>
      </w:tr>
      <w:tr w:rsidR="00966AF8" w:rsidRPr="003F141B" w14:paraId="3AA3DE08" w14:textId="77777777" w:rsidTr="009130CA">
        <w:tc>
          <w:tcPr>
            <w:tcW w:w="9360" w:type="dxa"/>
            <w:gridSpan w:val="6"/>
          </w:tcPr>
          <w:p w14:paraId="27C7E4DE" w14:textId="77777777" w:rsidR="009130CA" w:rsidRPr="003F141B" w:rsidRDefault="00B25D39">
            <w:pPr>
              <w:pStyle w:val="zSoquijdatNomPartieDem"/>
              <w:rPr>
                <w:lang w:val="en-CA"/>
              </w:rPr>
            </w:pPr>
            <w:r w:rsidRPr="003F141B">
              <w:rPr>
                <w:lang w:val="en-CA"/>
              </w:rPr>
              <w:t>HER MAJESTY THE QUEEN</w:t>
            </w:r>
          </w:p>
        </w:tc>
      </w:tr>
      <w:tr w:rsidR="00966AF8" w:rsidRPr="003F141B" w14:paraId="2DC04DDE" w14:textId="77777777" w:rsidTr="009130CA">
        <w:tc>
          <w:tcPr>
            <w:tcW w:w="9360" w:type="dxa"/>
            <w:gridSpan w:val="6"/>
          </w:tcPr>
          <w:p w14:paraId="3B89BA63" w14:textId="76DE509A" w:rsidR="009130CA" w:rsidRPr="003F141B" w:rsidRDefault="00B25D39">
            <w:pPr>
              <w:pStyle w:val="zSoquijdatQtePartieDem"/>
              <w:rPr>
                <w:lang w:val="en-CA"/>
              </w:rPr>
            </w:pPr>
            <w:r w:rsidRPr="003F141B">
              <w:rPr>
                <w:lang w:val="en-CA"/>
              </w:rPr>
              <w:t>APPELLANT – Prosecut</w:t>
            </w:r>
            <w:r w:rsidR="00483AE3">
              <w:rPr>
                <w:lang w:val="en-CA"/>
              </w:rPr>
              <w:t>or</w:t>
            </w:r>
          </w:p>
        </w:tc>
      </w:tr>
      <w:tr w:rsidR="00966AF8" w:rsidRPr="003F141B" w14:paraId="2B57E604" w14:textId="77777777" w:rsidTr="009130CA">
        <w:tc>
          <w:tcPr>
            <w:tcW w:w="9360" w:type="dxa"/>
            <w:gridSpan w:val="6"/>
          </w:tcPr>
          <w:p w14:paraId="457818B0" w14:textId="77777777" w:rsidR="009130CA" w:rsidRPr="003F141B" w:rsidRDefault="00B25D39">
            <w:pPr>
              <w:pStyle w:val="zSoquijlblLienParties"/>
              <w:rPr>
                <w:lang w:val="en-CA"/>
              </w:rPr>
            </w:pPr>
            <w:r w:rsidRPr="003F141B">
              <w:rPr>
                <w:lang w:val="en-CA"/>
              </w:rPr>
              <w:t>v.</w:t>
            </w:r>
          </w:p>
        </w:tc>
      </w:tr>
      <w:tr w:rsidR="00966AF8" w:rsidRPr="003F141B" w14:paraId="70AB5C48" w14:textId="77777777" w:rsidTr="009130CA">
        <w:tc>
          <w:tcPr>
            <w:tcW w:w="9360" w:type="dxa"/>
            <w:gridSpan w:val="6"/>
          </w:tcPr>
          <w:p w14:paraId="661FE544" w14:textId="77777777" w:rsidR="009130CA" w:rsidRPr="003F141B" w:rsidRDefault="009130CA">
            <w:pPr>
              <w:rPr>
                <w:lang w:val="en-CA"/>
              </w:rPr>
            </w:pPr>
          </w:p>
        </w:tc>
      </w:tr>
      <w:tr w:rsidR="00966AF8" w:rsidRPr="003F141B" w14:paraId="1923AE4F" w14:textId="77777777" w:rsidTr="009130CA">
        <w:tc>
          <w:tcPr>
            <w:tcW w:w="9360" w:type="dxa"/>
            <w:gridSpan w:val="6"/>
          </w:tcPr>
          <w:p w14:paraId="79003CA6" w14:textId="77777777" w:rsidR="009130CA" w:rsidRPr="003F141B" w:rsidRDefault="005003D8">
            <w:pPr>
              <w:pStyle w:val="zSoquijdatNomPartieDef"/>
              <w:rPr>
                <w:lang w:val="en-CA"/>
              </w:rPr>
            </w:pPr>
            <w:r w:rsidRPr="003F141B">
              <w:rPr>
                <w:lang w:val="en-CA"/>
              </w:rPr>
              <w:t>JONATHAN BLACKBURN-LAROCHE</w:t>
            </w:r>
          </w:p>
        </w:tc>
      </w:tr>
      <w:tr w:rsidR="00966AF8" w:rsidRPr="003F141B" w14:paraId="7ECDC630" w14:textId="77777777" w:rsidTr="009130CA">
        <w:tc>
          <w:tcPr>
            <w:tcW w:w="9360" w:type="dxa"/>
            <w:gridSpan w:val="6"/>
          </w:tcPr>
          <w:p w14:paraId="08E2C5E0" w14:textId="77777777" w:rsidR="009130CA" w:rsidRPr="003F141B" w:rsidRDefault="00B25D39">
            <w:pPr>
              <w:pStyle w:val="zSoquijdatQtePartieDef"/>
              <w:rPr>
                <w:lang w:val="en-CA"/>
              </w:rPr>
            </w:pPr>
            <w:r w:rsidRPr="003F141B">
              <w:rPr>
                <w:lang w:val="en-CA"/>
              </w:rPr>
              <w:t>RESPONDENT – Accused</w:t>
            </w:r>
          </w:p>
        </w:tc>
      </w:tr>
      <w:tr w:rsidR="00966AF8" w:rsidRPr="003F141B" w14:paraId="247CF3F7" w14:textId="77777777" w:rsidTr="009130CA">
        <w:tc>
          <w:tcPr>
            <w:tcW w:w="9360" w:type="dxa"/>
            <w:gridSpan w:val="6"/>
          </w:tcPr>
          <w:p w14:paraId="373918E6" w14:textId="77777777" w:rsidR="009130CA" w:rsidRPr="003F141B" w:rsidRDefault="009130CA">
            <w:pPr>
              <w:rPr>
                <w:lang w:val="en-CA"/>
              </w:rPr>
            </w:pPr>
          </w:p>
        </w:tc>
      </w:tr>
      <w:tr w:rsidR="00966AF8" w:rsidRPr="003F141B" w14:paraId="14A13173" w14:textId="77777777" w:rsidTr="009130CA">
        <w:tc>
          <w:tcPr>
            <w:tcW w:w="9360" w:type="dxa"/>
            <w:gridSpan w:val="6"/>
            <w:tcBorders>
              <w:top w:val="single" w:sz="8" w:space="0" w:color="auto"/>
            </w:tcBorders>
          </w:tcPr>
          <w:p w14:paraId="68A81E59" w14:textId="77777777" w:rsidR="009130CA" w:rsidRPr="003F141B" w:rsidRDefault="009130CA">
            <w:pPr>
              <w:rPr>
                <w:lang w:val="en-CA"/>
              </w:rPr>
            </w:pPr>
            <w:bookmarkStart w:id="3" w:name="Arret"/>
          </w:p>
        </w:tc>
      </w:tr>
      <w:tr w:rsidR="00966AF8" w:rsidRPr="003F141B" w14:paraId="28A001A0" w14:textId="77777777" w:rsidTr="009130CA">
        <w:tc>
          <w:tcPr>
            <w:tcW w:w="9360" w:type="dxa"/>
            <w:gridSpan w:val="6"/>
          </w:tcPr>
          <w:p w14:paraId="06F2B896" w14:textId="77777777" w:rsidR="009130CA" w:rsidRPr="003F141B" w:rsidRDefault="00B25D39">
            <w:pPr>
              <w:pStyle w:val="zSoquijlblTypeDocument"/>
              <w:rPr>
                <w:lang w:val="en-CA"/>
              </w:rPr>
            </w:pPr>
            <w:r w:rsidRPr="003F141B">
              <w:rPr>
                <w:lang w:val="en-CA"/>
              </w:rPr>
              <w:t>JUDGMENT</w:t>
            </w:r>
          </w:p>
        </w:tc>
      </w:tr>
      <w:tr w:rsidR="00966AF8" w:rsidRPr="003F141B" w14:paraId="2FF556EF" w14:textId="77777777" w:rsidTr="009130CA">
        <w:tc>
          <w:tcPr>
            <w:tcW w:w="9360" w:type="dxa"/>
            <w:gridSpan w:val="6"/>
            <w:tcBorders>
              <w:bottom w:val="single" w:sz="8" w:space="0" w:color="auto"/>
            </w:tcBorders>
          </w:tcPr>
          <w:p w14:paraId="1D6B1445" w14:textId="77777777" w:rsidR="009130CA" w:rsidRPr="003F141B" w:rsidRDefault="009130CA">
            <w:pPr>
              <w:rPr>
                <w:lang w:val="en-CA"/>
              </w:rPr>
            </w:pPr>
          </w:p>
        </w:tc>
      </w:tr>
      <w:tr w:rsidR="00966AF8" w:rsidRPr="003F141B" w14:paraId="27EF2AC4" w14:textId="77777777" w:rsidTr="009130CA">
        <w:tc>
          <w:tcPr>
            <w:tcW w:w="9360" w:type="dxa"/>
            <w:gridSpan w:val="6"/>
            <w:tcBorders>
              <w:top w:val="single" w:sz="8" w:space="0" w:color="auto"/>
            </w:tcBorders>
          </w:tcPr>
          <w:p w14:paraId="7214EDAE" w14:textId="77777777" w:rsidR="009130CA" w:rsidRPr="003F141B" w:rsidRDefault="009130CA">
            <w:pPr>
              <w:rPr>
                <w:lang w:val="en-CA"/>
              </w:rPr>
            </w:pPr>
          </w:p>
        </w:tc>
      </w:tr>
    </w:tbl>
    <w:p w14:paraId="1D48731A" w14:textId="3DD06D31" w:rsidR="009130CA" w:rsidRPr="003F141B" w:rsidRDefault="00B25D39" w:rsidP="009130CA">
      <w:pPr>
        <w:pStyle w:val="Paragraphe"/>
        <w:spacing w:line="240" w:lineRule="auto"/>
        <w:rPr>
          <w:lang w:val="en-CA"/>
        </w:rPr>
      </w:pPr>
      <w:r w:rsidRPr="003F141B">
        <w:rPr>
          <w:lang w:val="en-CA"/>
        </w:rPr>
        <w:t xml:space="preserve">The appellant appeals </w:t>
      </w:r>
      <w:r w:rsidR="00692261" w:rsidRPr="003F141B">
        <w:rPr>
          <w:lang w:val="en-CA"/>
        </w:rPr>
        <w:t>against</w:t>
      </w:r>
      <w:r w:rsidRPr="003F141B">
        <w:rPr>
          <w:lang w:val="en-CA"/>
        </w:rPr>
        <w:t xml:space="preserve"> a judgment </w:t>
      </w:r>
      <w:r w:rsidR="00692261" w:rsidRPr="003F141B">
        <w:rPr>
          <w:lang w:val="en-CA"/>
        </w:rPr>
        <w:t>of the Court of Qu</w:t>
      </w:r>
      <w:r w:rsidR="00F31C0A">
        <w:rPr>
          <w:lang w:val="en-CA"/>
        </w:rPr>
        <w:t>é</w:t>
      </w:r>
      <w:r w:rsidR="00692261" w:rsidRPr="003F141B">
        <w:rPr>
          <w:lang w:val="en-CA"/>
        </w:rPr>
        <w:t>bec, Criminal and Penal Division, District of Chicoutimi (the Honourable Sonia Rouleau)</w:t>
      </w:r>
      <w:r w:rsidR="00DB0BA2" w:rsidRPr="003F141B">
        <w:rPr>
          <w:lang w:val="en-CA"/>
        </w:rPr>
        <w:t>,</w:t>
      </w:r>
      <w:r w:rsidR="00692261" w:rsidRPr="003F141B">
        <w:rPr>
          <w:lang w:val="en-CA"/>
        </w:rPr>
        <w:t xml:space="preserve"> </w:t>
      </w:r>
      <w:r w:rsidRPr="003F141B">
        <w:rPr>
          <w:lang w:val="en-CA"/>
        </w:rPr>
        <w:t xml:space="preserve">rendered on October 1, 2019, acquitting the respondent of the charge of driving with a blood alcohol concentration </w:t>
      </w:r>
      <w:r w:rsidR="00A20A27">
        <w:rPr>
          <w:lang w:val="en-CA"/>
        </w:rPr>
        <w:t xml:space="preserve">exceeding </w:t>
      </w:r>
      <w:r w:rsidRPr="003F141B">
        <w:rPr>
          <w:lang w:val="en-CA"/>
        </w:rPr>
        <w:t>the legal limit.</w:t>
      </w:r>
      <w:r w:rsidR="005003D8" w:rsidRPr="003F141B">
        <w:rPr>
          <w:rStyle w:val="Appelnotedebasdep"/>
          <w:lang w:val="en-CA"/>
        </w:rPr>
        <w:footnoteReference w:id="1"/>
      </w:r>
      <w:r w:rsidRPr="003F141B">
        <w:rPr>
          <w:lang w:val="en-CA"/>
        </w:rPr>
        <w:t xml:space="preserve"> </w:t>
      </w:r>
    </w:p>
    <w:p w14:paraId="7F74745F" w14:textId="5EA3B848" w:rsidR="009130CA" w:rsidRPr="003F141B" w:rsidRDefault="00B25D39" w:rsidP="009130CA">
      <w:pPr>
        <w:pStyle w:val="Paragraphe"/>
        <w:spacing w:line="240" w:lineRule="auto"/>
        <w:rPr>
          <w:lang w:val="en-CA"/>
        </w:rPr>
      </w:pPr>
      <w:r w:rsidRPr="003F141B">
        <w:rPr>
          <w:lang w:val="en-CA"/>
        </w:rPr>
        <w:t xml:space="preserve">For the reasons of Gagné, J.A., with which Cotnam, J.A., </w:t>
      </w:r>
      <w:r w:rsidR="00692261" w:rsidRPr="003F141B">
        <w:rPr>
          <w:lang w:val="en-CA"/>
        </w:rPr>
        <w:t>concurs</w:t>
      </w:r>
      <w:r w:rsidRPr="003F141B">
        <w:rPr>
          <w:lang w:val="en-CA"/>
        </w:rPr>
        <w:t xml:space="preserve">, </w:t>
      </w:r>
      <w:r w:rsidRPr="003F141B">
        <w:rPr>
          <w:b/>
          <w:lang w:val="en-CA"/>
        </w:rPr>
        <w:t>THE COURT</w:t>
      </w:r>
      <w:r w:rsidRPr="003F141B">
        <w:rPr>
          <w:lang w:val="en-CA"/>
        </w:rPr>
        <w:t>:</w:t>
      </w:r>
    </w:p>
    <w:p w14:paraId="31A16F1A" w14:textId="77777777" w:rsidR="009130CA" w:rsidRPr="003F141B" w:rsidRDefault="00B25D39" w:rsidP="009130CA">
      <w:pPr>
        <w:pStyle w:val="Paragraphe"/>
        <w:spacing w:line="240" w:lineRule="auto"/>
        <w:rPr>
          <w:lang w:val="en-CA"/>
        </w:rPr>
      </w:pPr>
      <w:r w:rsidRPr="003F141B">
        <w:rPr>
          <w:b/>
          <w:lang w:val="en-CA"/>
        </w:rPr>
        <w:t xml:space="preserve">DISMISSES </w:t>
      </w:r>
      <w:r w:rsidRPr="003F141B">
        <w:rPr>
          <w:lang w:val="en-CA"/>
        </w:rPr>
        <w:t>the appeal</w:t>
      </w:r>
      <w:r w:rsidRPr="003F141B">
        <w:rPr>
          <w:b/>
          <w:lang w:val="en-CA"/>
        </w:rPr>
        <w:t>;</w:t>
      </w:r>
    </w:p>
    <w:p w14:paraId="19300566" w14:textId="77777777" w:rsidR="009130CA" w:rsidRPr="003F141B" w:rsidRDefault="00B25D39" w:rsidP="009130CA">
      <w:pPr>
        <w:pStyle w:val="Paragraphe"/>
        <w:spacing w:line="240" w:lineRule="auto"/>
        <w:rPr>
          <w:lang w:val="en-CA"/>
        </w:rPr>
      </w:pPr>
      <w:r w:rsidRPr="003F141B">
        <w:rPr>
          <w:lang w:val="en-CA"/>
        </w:rPr>
        <w:t>Beaupre, J.A., dissenting, would have allowed the appeal on the following questions of law:</w:t>
      </w:r>
    </w:p>
    <w:p w14:paraId="624BE26F" w14:textId="3B412DFF" w:rsidR="009130CA" w:rsidRPr="003F141B" w:rsidRDefault="00B25D39" w:rsidP="009130CA">
      <w:pPr>
        <w:pStyle w:val="Paragraphe"/>
        <w:numPr>
          <w:ilvl w:val="0"/>
          <w:numId w:val="19"/>
        </w:numPr>
        <w:spacing w:line="240" w:lineRule="auto"/>
        <w:rPr>
          <w:lang w:val="en-CA"/>
        </w:rPr>
      </w:pPr>
      <w:r w:rsidRPr="003F141B">
        <w:rPr>
          <w:lang w:val="en-CA"/>
        </w:rPr>
        <w:lastRenderedPageBreak/>
        <w:t>the judge erred in law in finding a violation of the respondent</w:t>
      </w:r>
      <w:r w:rsidR="003061CC">
        <w:rPr>
          <w:lang w:val="en-CA"/>
        </w:rPr>
        <w:t>’</w:t>
      </w:r>
      <w:r w:rsidRPr="003F141B">
        <w:rPr>
          <w:lang w:val="en-CA"/>
        </w:rPr>
        <w:t xml:space="preserve">s s. 10(b) </w:t>
      </w:r>
      <w:r w:rsidRPr="003F141B">
        <w:rPr>
          <w:i/>
          <w:lang w:val="en-CA"/>
        </w:rPr>
        <w:t>Charter</w:t>
      </w:r>
      <w:r w:rsidR="00F17328" w:rsidRPr="003F141B">
        <w:rPr>
          <w:lang w:val="en-CA"/>
        </w:rPr>
        <w:t xml:space="preserve"> right</w:t>
      </w:r>
      <w:r w:rsidRPr="003F141B">
        <w:rPr>
          <w:lang w:val="en-CA"/>
        </w:rPr>
        <w:t>;</w:t>
      </w:r>
    </w:p>
    <w:p w14:paraId="143AA800" w14:textId="27BA9DDC" w:rsidR="009130CA" w:rsidRPr="003F141B" w:rsidRDefault="00B25D39" w:rsidP="009130CA">
      <w:pPr>
        <w:pStyle w:val="Paragraphe"/>
        <w:numPr>
          <w:ilvl w:val="0"/>
          <w:numId w:val="19"/>
        </w:numPr>
        <w:spacing w:line="240" w:lineRule="auto"/>
        <w:rPr>
          <w:lang w:val="en-CA"/>
        </w:rPr>
      </w:pPr>
      <w:r w:rsidRPr="003F141B">
        <w:rPr>
          <w:lang w:val="en-CA"/>
        </w:rPr>
        <w:t xml:space="preserve">the judge erred in law in </w:t>
      </w:r>
      <w:r w:rsidR="00DB0BA2" w:rsidRPr="003F141B">
        <w:rPr>
          <w:lang w:val="en-CA"/>
        </w:rPr>
        <w:t xml:space="preserve">her </w:t>
      </w:r>
      <w:r w:rsidRPr="003F141B">
        <w:rPr>
          <w:lang w:val="en-CA"/>
        </w:rPr>
        <w:t xml:space="preserve">application of the criteria in </w:t>
      </w:r>
      <w:r w:rsidRPr="003F141B">
        <w:rPr>
          <w:i/>
          <w:lang w:val="en-CA"/>
        </w:rPr>
        <w:t>Grant</w:t>
      </w:r>
      <w:r w:rsidRPr="003F141B">
        <w:rPr>
          <w:lang w:val="en-CA"/>
        </w:rPr>
        <w:t xml:space="preserve"> and </w:t>
      </w:r>
      <w:r w:rsidR="00BA12EB">
        <w:rPr>
          <w:lang w:val="en-CA"/>
        </w:rPr>
        <w:t xml:space="preserve">in </w:t>
      </w:r>
      <w:r w:rsidRPr="003F141B">
        <w:rPr>
          <w:lang w:val="en-CA"/>
        </w:rPr>
        <w:t>accordingly excluding the results of the blood alcohol test from the evidence.</w:t>
      </w:r>
      <w:r w:rsidR="005003D8" w:rsidRPr="003F141B">
        <w:rPr>
          <w:lang w:val="en-CA"/>
        </w:rPr>
        <w:t xml:space="preserve"> </w:t>
      </w:r>
    </w:p>
    <w:p w14:paraId="294BBC27" w14:textId="7FF9D1E7" w:rsidR="009130CA" w:rsidRPr="003F141B" w:rsidRDefault="00692261" w:rsidP="009130CA">
      <w:pPr>
        <w:pStyle w:val="Paragraphe"/>
        <w:spacing w:line="240" w:lineRule="auto"/>
        <w:rPr>
          <w:lang w:val="en-CA"/>
        </w:rPr>
      </w:pPr>
      <w:r w:rsidRPr="003F141B">
        <w:rPr>
          <w:lang w:val="en-CA"/>
        </w:rPr>
        <w:t>Furthermore</w:t>
      </w:r>
      <w:r w:rsidR="00B25D39" w:rsidRPr="003F141B">
        <w:rPr>
          <w:lang w:val="en-CA"/>
        </w:rPr>
        <w:t xml:space="preserve">, for the reasons set out more </w:t>
      </w:r>
      <w:r w:rsidR="00DB0BA2" w:rsidRPr="003F141B">
        <w:rPr>
          <w:lang w:val="en-CA"/>
        </w:rPr>
        <w:t>specifically in</w:t>
      </w:r>
      <w:r w:rsidR="00B25D39" w:rsidRPr="003F141B">
        <w:rPr>
          <w:lang w:val="en-CA"/>
        </w:rPr>
        <w:t xml:space="preserve"> paragraph [140] of his opinion, Beaupré</w:t>
      </w:r>
      <w:r w:rsidR="00FF3126" w:rsidRPr="003F141B">
        <w:rPr>
          <w:lang w:val="en-CA"/>
        </w:rPr>
        <w:t>,</w:t>
      </w:r>
      <w:r w:rsidR="00B25D39" w:rsidRPr="003F141B">
        <w:rPr>
          <w:lang w:val="en-CA"/>
        </w:rPr>
        <w:t xml:space="preserve"> J.A. would have found the respondent guilty of the charge </w:t>
      </w:r>
      <w:r w:rsidR="00FF3126" w:rsidRPr="003F141B">
        <w:rPr>
          <w:lang w:val="en-CA"/>
        </w:rPr>
        <w:t>against him</w:t>
      </w:r>
      <w:r w:rsidR="00B25D39" w:rsidRPr="003F141B">
        <w:rPr>
          <w:lang w:val="en-CA"/>
        </w:rPr>
        <w:t xml:space="preserve"> and </w:t>
      </w:r>
      <w:r w:rsidR="00FF3126" w:rsidRPr="003F141B">
        <w:rPr>
          <w:lang w:val="en-CA"/>
        </w:rPr>
        <w:t xml:space="preserve">referred </w:t>
      </w:r>
      <w:r w:rsidR="00B25D39" w:rsidRPr="003F141B">
        <w:rPr>
          <w:lang w:val="en-CA"/>
        </w:rPr>
        <w:t xml:space="preserve">the case </w:t>
      </w:r>
      <w:r w:rsidR="00FF3126" w:rsidRPr="003F141B">
        <w:rPr>
          <w:lang w:val="en-CA"/>
        </w:rPr>
        <w:t xml:space="preserve">back </w:t>
      </w:r>
      <w:r w:rsidR="00B25D39" w:rsidRPr="003F141B">
        <w:rPr>
          <w:lang w:val="en-CA"/>
        </w:rPr>
        <w:t>to the Court of Qu</w:t>
      </w:r>
      <w:r w:rsidR="00372092">
        <w:rPr>
          <w:lang w:val="en-CA"/>
        </w:rPr>
        <w:t>é</w:t>
      </w:r>
      <w:r w:rsidR="00B25D39" w:rsidRPr="003F141B">
        <w:rPr>
          <w:lang w:val="en-CA"/>
        </w:rPr>
        <w:t>bec for sentencing.</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966AF8" w:rsidRPr="003F141B" w14:paraId="4E338AAE" w14:textId="77777777" w:rsidTr="009130CA">
        <w:trPr>
          <w:trHeight w:val="576"/>
        </w:trPr>
        <w:tc>
          <w:tcPr>
            <w:tcW w:w="9362" w:type="dxa"/>
            <w:gridSpan w:val="3"/>
            <w:tcBorders>
              <w:top w:val="nil"/>
              <w:bottom w:val="nil"/>
            </w:tcBorders>
          </w:tcPr>
          <w:p w14:paraId="597DE7D4" w14:textId="77777777" w:rsidR="009130CA" w:rsidRPr="003F141B" w:rsidRDefault="009130CA">
            <w:pPr>
              <w:keepNext/>
              <w:rPr>
                <w:lang w:val="en-CA"/>
              </w:rPr>
            </w:pPr>
          </w:p>
        </w:tc>
      </w:tr>
      <w:tr w:rsidR="00966AF8" w:rsidRPr="003F141B" w14:paraId="28AA771C" w14:textId="77777777" w:rsidTr="009130CA">
        <w:trPr>
          <w:trHeight w:val="283"/>
        </w:trPr>
        <w:tc>
          <w:tcPr>
            <w:tcW w:w="4682" w:type="dxa"/>
            <w:gridSpan w:val="2"/>
            <w:tcBorders>
              <w:top w:val="nil"/>
              <w:bottom w:val="nil"/>
            </w:tcBorders>
          </w:tcPr>
          <w:p w14:paraId="2A5C06CF" w14:textId="77777777" w:rsidR="009130CA" w:rsidRPr="003F141B" w:rsidRDefault="009130CA">
            <w:pPr>
              <w:keepNext/>
              <w:rPr>
                <w:lang w:val="en-CA"/>
              </w:rPr>
            </w:pPr>
          </w:p>
        </w:tc>
        <w:tc>
          <w:tcPr>
            <w:tcW w:w="4680" w:type="dxa"/>
            <w:tcBorders>
              <w:top w:val="nil"/>
              <w:bottom w:val="single" w:sz="8" w:space="0" w:color="auto"/>
            </w:tcBorders>
          </w:tcPr>
          <w:p w14:paraId="277E059F" w14:textId="77777777" w:rsidR="009130CA" w:rsidRPr="003F141B" w:rsidRDefault="009130CA">
            <w:pPr>
              <w:keepNext/>
              <w:rPr>
                <w:lang w:val="en-CA"/>
              </w:rPr>
            </w:pPr>
          </w:p>
        </w:tc>
      </w:tr>
      <w:tr w:rsidR="00966AF8" w:rsidRPr="003F141B" w14:paraId="1B88B055" w14:textId="77777777" w:rsidTr="009130CA">
        <w:trPr>
          <w:trHeight w:val="283"/>
        </w:trPr>
        <w:tc>
          <w:tcPr>
            <w:tcW w:w="4682" w:type="dxa"/>
            <w:gridSpan w:val="2"/>
            <w:tcBorders>
              <w:top w:val="nil"/>
            </w:tcBorders>
          </w:tcPr>
          <w:p w14:paraId="2EA8388D" w14:textId="77777777" w:rsidR="009130CA" w:rsidRPr="003F141B" w:rsidRDefault="009130CA">
            <w:pPr>
              <w:keepNext/>
              <w:rPr>
                <w:lang w:val="en-CA"/>
              </w:rPr>
            </w:pPr>
          </w:p>
        </w:tc>
        <w:tc>
          <w:tcPr>
            <w:tcW w:w="4680" w:type="dxa"/>
            <w:tcBorders>
              <w:top w:val="single" w:sz="8" w:space="0" w:color="auto"/>
            </w:tcBorders>
          </w:tcPr>
          <w:p w14:paraId="068E48BA" w14:textId="2DF69AB5" w:rsidR="009130CA" w:rsidRPr="003F141B" w:rsidRDefault="00F56C3E">
            <w:pPr>
              <w:rPr>
                <w:lang w:val="en-CA"/>
              </w:rPr>
            </w:pPr>
            <w:r w:rsidRPr="00F56C3E">
              <w:rPr>
                <w:lang w:val="en-CA"/>
              </w:rPr>
              <w:t>SUZANNE GAGNÉ, J.A.</w:t>
            </w:r>
          </w:p>
        </w:tc>
      </w:tr>
      <w:tr w:rsidR="00966AF8" w:rsidRPr="003F141B" w14:paraId="153D75D8" w14:textId="77777777" w:rsidTr="009130CA">
        <w:trPr>
          <w:trHeight w:val="283"/>
        </w:trPr>
        <w:tc>
          <w:tcPr>
            <w:tcW w:w="4682" w:type="dxa"/>
            <w:gridSpan w:val="2"/>
            <w:tcBorders>
              <w:top w:val="nil"/>
            </w:tcBorders>
          </w:tcPr>
          <w:p w14:paraId="65E17F86" w14:textId="77777777" w:rsidR="009130CA" w:rsidRPr="003F141B" w:rsidRDefault="009130CA">
            <w:pPr>
              <w:keepNext/>
              <w:rPr>
                <w:lang w:val="en-CA"/>
              </w:rPr>
            </w:pPr>
            <w:bookmarkStart w:id="4" w:name="Signature2"/>
          </w:p>
        </w:tc>
        <w:tc>
          <w:tcPr>
            <w:tcW w:w="4680" w:type="dxa"/>
            <w:tcBorders>
              <w:top w:val="nil"/>
            </w:tcBorders>
          </w:tcPr>
          <w:p w14:paraId="16E61EEF" w14:textId="77777777" w:rsidR="009130CA" w:rsidRPr="003F141B" w:rsidRDefault="009130CA">
            <w:pPr>
              <w:keepNext/>
              <w:rPr>
                <w:lang w:val="en-CA"/>
              </w:rPr>
            </w:pPr>
          </w:p>
        </w:tc>
      </w:tr>
      <w:tr w:rsidR="00966AF8" w:rsidRPr="003F141B" w14:paraId="70CBB667" w14:textId="77777777" w:rsidTr="009130CA">
        <w:trPr>
          <w:trHeight w:val="283"/>
        </w:trPr>
        <w:tc>
          <w:tcPr>
            <w:tcW w:w="4682" w:type="dxa"/>
            <w:gridSpan w:val="2"/>
            <w:tcBorders>
              <w:top w:val="nil"/>
              <w:bottom w:val="nil"/>
            </w:tcBorders>
          </w:tcPr>
          <w:p w14:paraId="71DE89BA" w14:textId="77777777" w:rsidR="009130CA" w:rsidRPr="003F141B" w:rsidRDefault="009130CA">
            <w:pPr>
              <w:keepNext/>
              <w:rPr>
                <w:lang w:val="en-CA"/>
              </w:rPr>
            </w:pPr>
          </w:p>
        </w:tc>
        <w:tc>
          <w:tcPr>
            <w:tcW w:w="4680" w:type="dxa"/>
            <w:tcBorders>
              <w:top w:val="nil"/>
              <w:bottom w:val="single" w:sz="8" w:space="0" w:color="auto"/>
            </w:tcBorders>
          </w:tcPr>
          <w:p w14:paraId="01568F7F" w14:textId="77777777" w:rsidR="009130CA" w:rsidRPr="003F141B" w:rsidRDefault="009130CA">
            <w:pPr>
              <w:keepNext/>
              <w:rPr>
                <w:lang w:val="en-CA"/>
              </w:rPr>
            </w:pPr>
          </w:p>
        </w:tc>
      </w:tr>
      <w:tr w:rsidR="00966AF8" w:rsidRPr="003F141B" w14:paraId="4AB48DD6" w14:textId="77777777" w:rsidTr="009130CA">
        <w:trPr>
          <w:trHeight w:val="283"/>
        </w:trPr>
        <w:tc>
          <w:tcPr>
            <w:tcW w:w="4682" w:type="dxa"/>
            <w:gridSpan w:val="2"/>
            <w:tcBorders>
              <w:top w:val="nil"/>
            </w:tcBorders>
          </w:tcPr>
          <w:p w14:paraId="52218142" w14:textId="77777777" w:rsidR="009130CA" w:rsidRPr="003F141B" w:rsidRDefault="009130CA">
            <w:pPr>
              <w:keepNext/>
              <w:rPr>
                <w:lang w:val="en-CA"/>
              </w:rPr>
            </w:pPr>
          </w:p>
        </w:tc>
        <w:tc>
          <w:tcPr>
            <w:tcW w:w="4680" w:type="dxa"/>
            <w:tcBorders>
              <w:top w:val="single" w:sz="8" w:space="0" w:color="auto"/>
            </w:tcBorders>
          </w:tcPr>
          <w:p w14:paraId="6A689F4F" w14:textId="6899DB1B" w:rsidR="009130CA" w:rsidRPr="003F141B" w:rsidRDefault="00F56C3E">
            <w:pPr>
              <w:keepNext/>
              <w:rPr>
                <w:lang w:val="en-CA"/>
              </w:rPr>
            </w:pPr>
            <w:r w:rsidRPr="00F56C3E">
              <w:rPr>
                <w:lang w:val="en-CA"/>
              </w:rPr>
              <w:t>GENEVIÈVE COTNAM, J.A.</w:t>
            </w:r>
          </w:p>
        </w:tc>
      </w:tr>
      <w:tr w:rsidR="00966AF8" w:rsidRPr="003F141B" w14:paraId="7E574477" w14:textId="77777777" w:rsidTr="009130CA">
        <w:trPr>
          <w:trHeight w:val="283"/>
        </w:trPr>
        <w:tc>
          <w:tcPr>
            <w:tcW w:w="4682" w:type="dxa"/>
            <w:gridSpan w:val="2"/>
            <w:tcBorders>
              <w:top w:val="nil"/>
            </w:tcBorders>
          </w:tcPr>
          <w:p w14:paraId="0BB2396A" w14:textId="77777777" w:rsidR="009130CA" w:rsidRPr="003F141B" w:rsidRDefault="009130CA">
            <w:pPr>
              <w:keepNext/>
              <w:rPr>
                <w:lang w:val="en-CA"/>
              </w:rPr>
            </w:pPr>
            <w:bookmarkStart w:id="5" w:name="Signature3"/>
            <w:bookmarkEnd w:id="4"/>
          </w:p>
        </w:tc>
        <w:tc>
          <w:tcPr>
            <w:tcW w:w="4680" w:type="dxa"/>
            <w:tcBorders>
              <w:top w:val="nil"/>
            </w:tcBorders>
          </w:tcPr>
          <w:p w14:paraId="4F5155D9" w14:textId="77777777" w:rsidR="009130CA" w:rsidRPr="003F141B" w:rsidRDefault="009130CA">
            <w:pPr>
              <w:keepNext/>
              <w:rPr>
                <w:lang w:val="en-CA"/>
              </w:rPr>
            </w:pPr>
          </w:p>
        </w:tc>
      </w:tr>
      <w:tr w:rsidR="00966AF8" w:rsidRPr="003F141B" w14:paraId="557DA6C0" w14:textId="77777777" w:rsidTr="009130CA">
        <w:trPr>
          <w:trHeight w:val="283"/>
        </w:trPr>
        <w:tc>
          <w:tcPr>
            <w:tcW w:w="4682" w:type="dxa"/>
            <w:gridSpan w:val="2"/>
            <w:tcBorders>
              <w:top w:val="nil"/>
              <w:bottom w:val="nil"/>
            </w:tcBorders>
          </w:tcPr>
          <w:p w14:paraId="74EA72E0" w14:textId="77777777" w:rsidR="009130CA" w:rsidRPr="003F141B" w:rsidRDefault="009130CA">
            <w:pPr>
              <w:keepNext/>
              <w:rPr>
                <w:lang w:val="en-CA"/>
              </w:rPr>
            </w:pPr>
          </w:p>
        </w:tc>
        <w:tc>
          <w:tcPr>
            <w:tcW w:w="4680" w:type="dxa"/>
            <w:tcBorders>
              <w:top w:val="nil"/>
              <w:bottom w:val="single" w:sz="8" w:space="0" w:color="auto"/>
            </w:tcBorders>
          </w:tcPr>
          <w:p w14:paraId="61460012" w14:textId="77777777" w:rsidR="009130CA" w:rsidRPr="003F141B" w:rsidRDefault="009130CA">
            <w:pPr>
              <w:keepNext/>
              <w:rPr>
                <w:lang w:val="en-CA"/>
              </w:rPr>
            </w:pPr>
          </w:p>
        </w:tc>
      </w:tr>
      <w:tr w:rsidR="00966AF8" w:rsidRPr="003F141B" w14:paraId="602E08DE" w14:textId="77777777" w:rsidTr="009130CA">
        <w:trPr>
          <w:trHeight w:val="283"/>
        </w:trPr>
        <w:tc>
          <w:tcPr>
            <w:tcW w:w="4682" w:type="dxa"/>
            <w:gridSpan w:val="2"/>
            <w:tcBorders>
              <w:top w:val="nil"/>
            </w:tcBorders>
          </w:tcPr>
          <w:p w14:paraId="50730963" w14:textId="77777777" w:rsidR="009130CA" w:rsidRPr="003F141B" w:rsidRDefault="009130CA">
            <w:pPr>
              <w:keepNext/>
              <w:rPr>
                <w:lang w:val="en-CA"/>
              </w:rPr>
            </w:pPr>
          </w:p>
        </w:tc>
        <w:tc>
          <w:tcPr>
            <w:tcW w:w="4680" w:type="dxa"/>
            <w:tcBorders>
              <w:top w:val="single" w:sz="8" w:space="0" w:color="auto"/>
            </w:tcBorders>
          </w:tcPr>
          <w:p w14:paraId="683BFB8C" w14:textId="71779457" w:rsidR="009130CA" w:rsidRPr="003F141B" w:rsidRDefault="00F56C3E">
            <w:pPr>
              <w:keepNext/>
              <w:rPr>
                <w:lang w:val="en-CA"/>
              </w:rPr>
            </w:pPr>
            <w:r w:rsidRPr="00F56C3E">
              <w:rPr>
                <w:lang w:val="en-CA"/>
              </w:rPr>
              <w:t>MICHEL BEAUPRÉ, J.A.</w:t>
            </w:r>
          </w:p>
        </w:tc>
      </w:tr>
      <w:bookmarkEnd w:id="5"/>
      <w:tr w:rsidR="00966AF8" w:rsidRPr="003F141B" w14:paraId="4D3825DF" w14:textId="77777777" w:rsidTr="009130CA">
        <w:tc>
          <w:tcPr>
            <w:tcW w:w="9362" w:type="dxa"/>
            <w:gridSpan w:val="3"/>
          </w:tcPr>
          <w:p w14:paraId="611712C6" w14:textId="77777777" w:rsidR="009130CA" w:rsidRPr="003F141B" w:rsidRDefault="009130CA" w:rsidP="009130CA">
            <w:pPr>
              <w:rPr>
                <w:lang w:val="en-CA"/>
              </w:rPr>
            </w:pPr>
          </w:p>
        </w:tc>
      </w:tr>
      <w:tr w:rsidR="00966AF8" w:rsidRPr="003F141B" w14:paraId="0A9C654C" w14:textId="77777777" w:rsidTr="009130CA">
        <w:tc>
          <w:tcPr>
            <w:tcW w:w="9362" w:type="dxa"/>
            <w:gridSpan w:val="3"/>
          </w:tcPr>
          <w:p w14:paraId="7E11C415" w14:textId="77777777" w:rsidR="009130CA" w:rsidRPr="003F141B" w:rsidRDefault="00B25D39" w:rsidP="009130CA">
            <w:pPr>
              <w:pStyle w:val="zSoquijdatNomProcureurDem"/>
              <w:rPr>
                <w:lang w:val="en-CA"/>
              </w:rPr>
            </w:pPr>
            <w:proofErr w:type="spellStart"/>
            <w:r w:rsidRPr="003F141B">
              <w:rPr>
                <w:lang w:val="en-CA"/>
              </w:rPr>
              <w:t>Mtre</w:t>
            </w:r>
            <w:proofErr w:type="spellEnd"/>
            <w:r w:rsidRPr="003F141B">
              <w:rPr>
                <w:lang w:val="en-CA"/>
              </w:rPr>
              <w:t xml:space="preserve"> Sébastien </w:t>
            </w:r>
            <w:proofErr w:type="spellStart"/>
            <w:r w:rsidRPr="003F141B">
              <w:rPr>
                <w:lang w:val="en-CA"/>
              </w:rPr>
              <w:t>Vallée</w:t>
            </w:r>
            <w:proofErr w:type="spellEnd"/>
          </w:p>
        </w:tc>
      </w:tr>
      <w:tr w:rsidR="00966AF8" w:rsidRPr="003F141B" w14:paraId="2FE99F63" w14:textId="77777777" w:rsidTr="009130CA">
        <w:tc>
          <w:tcPr>
            <w:tcW w:w="9362" w:type="dxa"/>
            <w:gridSpan w:val="3"/>
          </w:tcPr>
          <w:p w14:paraId="2CE6DE44" w14:textId="77777777" w:rsidR="009130CA" w:rsidRPr="003F141B" w:rsidRDefault="00B25D39" w:rsidP="009130CA">
            <w:pPr>
              <w:pStyle w:val="zSoquijdatCabinetProcureurDem"/>
              <w:rPr>
                <w:lang w:val="en-CA"/>
              </w:rPr>
            </w:pPr>
            <w:r w:rsidRPr="003F141B">
              <w:rPr>
                <w:lang w:val="en-CA"/>
              </w:rPr>
              <w:t>Director of Criminal and Penal Prosecutions</w:t>
            </w:r>
          </w:p>
        </w:tc>
      </w:tr>
      <w:tr w:rsidR="00966AF8" w:rsidRPr="003F141B" w14:paraId="455F100C" w14:textId="77777777" w:rsidTr="009130CA">
        <w:tc>
          <w:tcPr>
            <w:tcW w:w="9362" w:type="dxa"/>
            <w:gridSpan w:val="3"/>
          </w:tcPr>
          <w:p w14:paraId="309453C9" w14:textId="19313C31" w:rsidR="009130CA" w:rsidRPr="003F141B" w:rsidRDefault="00692261" w:rsidP="009130CA">
            <w:pPr>
              <w:pStyle w:val="zSoquijlblProcureurDem"/>
              <w:rPr>
                <w:lang w:val="en-CA"/>
              </w:rPr>
            </w:pPr>
            <w:r w:rsidRPr="003F141B">
              <w:rPr>
                <w:lang w:val="en-CA"/>
              </w:rPr>
              <w:t>For the a</w:t>
            </w:r>
            <w:r w:rsidR="00B25D39" w:rsidRPr="003F141B">
              <w:rPr>
                <w:lang w:val="en-CA"/>
              </w:rPr>
              <w:t>ppellant</w:t>
            </w:r>
          </w:p>
        </w:tc>
      </w:tr>
      <w:tr w:rsidR="00966AF8" w:rsidRPr="003F141B" w14:paraId="3524B5AE" w14:textId="77777777" w:rsidTr="009130CA">
        <w:tc>
          <w:tcPr>
            <w:tcW w:w="9362" w:type="dxa"/>
            <w:gridSpan w:val="3"/>
          </w:tcPr>
          <w:p w14:paraId="6AF787E1" w14:textId="77777777" w:rsidR="009130CA" w:rsidRPr="003F141B" w:rsidRDefault="009130CA" w:rsidP="009130CA">
            <w:pPr>
              <w:rPr>
                <w:lang w:val="en-CA"/>
              </w:rPr>
            </w:pPr>
          </w:p>
        </w:tc>
      </w:tr>
      <w:tr w:rsidR="00966AF8" w:rsidRPr="003F141B" w14:paraId="1BC31231" w14:textId="77777777" w:rsidTr="009130CA">
        <w:tc>
          <w:tcPr>
            <w:tcW w:w="9362" w:type="dxa"/>
            <w:gridSpan w:val="3"/>
          </w:tcPr>
          <w:p w14:paraId="5C5AA043" w14:textId="77777777" w:rsidR="009130CA" w:rsidRPr="003F141B" w:rsidRDefault="00B25D39" w:rsidP="009130CA">
            <w:pPr>
              <w:pStyle w:val="zSoquijdatNomProcureurDef"/>
              <w:rPr>
                <w:lang w:val="en-CA"/>
              </w:rPr>
            </w:pPr>
            <w:proofErr w:type="spellStart"/>
            <w:r w:rsidRPr="003F141B">
              <w:rPr>
                <w:lang w:val="en-CA"/>
              </w:rPr>
              <w:t>Mtre</w:t>
            </w:r>
            <w:proofErr w:type="spellEnd"/>
            <w:r w:rsidRPr="003F141B">
              <w:rPr>
                <w:lang w:val="en-CA"/>
              </w:rPr>
              <w:t xml:space="preserve"> Julien </w:t>
            </w:r>
            <w:proofErr w:type="spellStart"/>
            <w:r w:rsidRPr="003F141B">
              <w:rPr>
                <w:lang w:val="en-CA"/>
              </w:rPr>
              <w:t>Boulianne</w:t>
            </w:r>
            <w:proofErr w:type="spellEnd"/>
          </w:p>
        </w:tc>
      </w:tr>
      <w:tr w:rsidR="00966AF8" w:rsidRPr="003F141B" w14:paraId="2DCA248C" w14:textId="77777777" w:rsidTr="009130CA">
        <w:tc>
          <w:tcPr>
            <w:tcW w:w="9362" w:type="dxa"/>
            <w:gridSpan w:val="3"/>
          </w:tcPr>
          <w:p w14:paraId="259DB233" w14:textId="77777777" w:rsidR="009130CA" w:rsidRPr="003F141B" w:rsidRDefault="005003D8" w:rsidP="009130CA">
            <w:pPr>
              <w:pStyle w:val="zSoquijdatCabinetProcureurDef"/>
              <w:rPr>
                <w:lang w:val="en-CA"/>
              </w:rPr>
            </w:pPr>
            <w:proofErr w:type="spellStart"/>
            <w:r w:rsidRPr="003F141B">
              <w:rPr>
                <w:lang w:val="en-CA"/>
              </w:rPr>
              <w:t>Cantin</w:t>
            </w:r>
            <w:proofErr w:type="spellEnd"/>
            <w:r w:rsidRPr="003F141B">
              <w:rPr>
                <w:lang w:val="en-CA"/>
              </w:rPr>
              <w:t xml:space="preserve">, </w:t>
            </w:r>
            <w:proofErr w:type="spellStart"/>
            <w:r w:rsidRPr="003F141B">
              <w:rPr>
                <w:lang w:val="en-CA"/>
              </w:rPr>
              <w:t>Boulianne</w:t>
            </w:r>
            <w:proofErr w:type="spellEnd"/>
          </w:p>
        </w:tc>
      </w:tr>
      <w:tr w:rsidR="00966AF8" w:rsidRPr="003F141B" w14:paraId="05768C42" w14:textId="77777777" w:rsidTr="009130CA">
        <w:tc>
          <w:tcPr>
            <w:tcW w:w="9362" w:type="dxa"/>
            <w:gridSpan w:val="3"/>
          </w:tcPr>
          <w:p w14:paraId="3EE8D66B" w14:textId="77777777" w:rsidR="009130CA" w:rsidRPr="003F141B" w:rsidRDefault="00B25D39" w:rsidP="009130CA">
            <w:pPr>
              <w:pStyle w:val="zSoquijlblProcureurDef"/>
              <w:rPr>
                <w:lang w:val="en-CA"/>
              </w:rPr>
            </w:pPr>
            <w:r w:rsidRPr="003F141B">
              <w:rPr>
                <w:lang w:val="en-CA"/>
              </w:rPr>
              <w:t>For the respondent</w:t>
            </w:r>
          </w:p>
        </w:tc>
      </w:tr>
      <w:tr w:rsidR="00966AF8" w:rsidRPr="003F141B" w14:paraId="11522DA0" w14:textId="77777777" w:rsidTr="009130CA">
        <w:tc>
          <w:tcPr>
            <w:tcW w:w="9362" w:type="dxa"/>
            <w:gridSpan w:val="3"/>
          </w:tcPr>
          <w:p w14:paraId="2FEF7B19" w14:textId="77777777" w:rsidR="009130CA" w:rsidRPr="003F141B" w:rsidRDefault="009130CA" w:rsidP="009130CA">
            <w:pPr>
              <w:rPr>
                <w:lang w:val="en-CA"/>
              </w:rPr>
            </w:pPr>
          </w:p>
        </w:tc>
      </w:tr>
      <w:tr w:rsidR="00966AF8" w:rsidRPr="003F141B" w14:paraId="46DB0C0A" w14:textId="77777777" w:rsidTr="009130CA">
        <w:tc>
          <w:tcPr>
            <w:tcW w:w="1997" w:type="dxa"/>
          </w:tcPr>
          <w:p w14:paraId="18AD07CD" w14:textId="77777777" w:rsidR="009130CA" w:rsidRPr="003F141B" w:rsidRDefault="00B25D39" w:rsidP="009130CA">
            <w:pPr>
              <w:pStyle w:val="zSoquijlblDateAudience"/>
              <w:rPr>
                <w:lang w:val="en-CA"/>
              </w:rPr>
            </w:pPr>
            <w:r w:rsidRPr="003F141B">
              <w:rPr>
                <w:lang w:val="en-CA"/>
              </w:rPr>
              <w:t>Date of hearing:</w:t>
            </w:r>
          </w:p>
        </w:tc>
        <w:tc>
          <w:tcPr>
            <w:tcW w:w="7365" w:type="dxa"/>
            <w:gridSpan w:val="2"/>
          </w:tcPr>
          <w:p w14:paraId="4111118C" w14:textId="77777777" w:rsidR="009130CA" w:rsidRPr="003F141B" w:rsidRDefault="00B25D39" w:rsidP="009130CA">
            <w:pPr>
              <w:pStyle w:val="zSoquijdatDateAudience"/>
              <w:rPr>
                <w:lang w:val="en-CA"/>
              </w:rPr>
            </w:pPr>
            <w:r w:rsidRPr="003F141B">
              <w:rPr>
                <w:lang w:val="en-CA"/>
              </w:rPr>
              <w:t>August 5, 2020</w:t>
            </w:r>
          </w:p>
        </w:tc>
      </w:tr>
    </w:tbl>
    <w:p w14:paraId="5C69AFDA" w14:textId="77777777" w:rsidR="009130CA" w:rsidRPr="003F141B" w:rsidRDefault="009130CA" w:rsidP="009130CA">
      <w:pPr>
        <w:rPr>
          <w:lang w:val="en-CA"/>
        </w:rPr>
        <w:sectPr w:rsidR="009130CA" w:rsidRPr="003F141B" w:rsidSect="009130C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1440" w:right="1008" w:bottom="1440" w:left="1872" w:header="1440" w:footer="792" w:gutter="0"/>
          <w:cols w:space="720"/>
          <w:formProt w:val="0"/>
          <w:titlePg/>
          <w:docGrid w:linePitch="326"/>
        </w:sectPr>
      </w:pPr>
      <w:bookmarkStart w:id="6" w:name="Opinion"/>
      <w:bookmarkEnd w:id="3"/>
    </w:p>
    <w:tbl>
      <w:tblPr>
        <w:tblW w:w="0" w:type="auto"/>
        <w:tblLayout w:type="fixed"/>
        <w:tblCellMar>
          <w:left w:w="0" w:type="dxa"/>
          <w:right w:w="0" w:type="dxa"/>
        </w:tblCellMar>
        <w:tblLook w:val="0000" w:firstRow="0" w:lastRow="0" w:firstColumn="0" w:lastColumn="0" w:noHBand="0" w:noVBand="0"/>
      </w:tblPr>
      <w:tblGrid>
        <w:gridCol w:w="9360"/>
      </w:tblGrid>
      <w:tr w:rsidR="00966AF8" w:rsidRPr="003F141B" w14:paraId="0163CFC3" w14:textId="77777777" w:rsidTr="009130CA">
        <w:tc>
          <w:tcPr>
            <w:tcW w:w="9360" w:type="dxa"/>
            <w:tcBorders>
              <w:bottom w:val="single" w:sz="8" w:space="0" w:color="auto"/>
            </w:tcBorders>
          </w:tcPr>
          <w:p w14:paraId="5D8C1E54" w14:textId="77777777" w:rsidR="009130CA" w:rsidRPr="003F141B" w:rsidRDefault="009130CA" w:rsidP="009130CA">
            <w:pPr>
              <w:rPr>
                <w:lang w:val="en-CA"/>
              </w:rPr>
            </w:pPr>
          </w:p>
          <w:p w14:paraId="63745813" w14:textId="77777777" w:rsidR="009130CA" w:rsidRPr="003F141B" w:rsidRDefault="009130CA" w:rsidP="009130CA">
            <w:pPr>
              <w:rPr>
                <w:lang w:val="en-CA"/>
              </w:rPr>
            </w:pPr>
          </w:p>
        </w:tc>
      </w:tr>
      <w:tr w:rsidR="00966AF8" w:rsidRPr="003F141B" w14:paraId="67C6380A" w14:textId="77777777" w:rsidTr="009130CA">
        <w:tc>
          <w:tcPr>
            <w:tcW w:w="9360" w:type="dxa"/>
            <w:tcBorders>
              <w:top w:val="single" w:sz="8" w:space="0" w:color="auto"/>
            </w:tcBorders>
          </w:tcPr>
          <w:p w14:paraId="6D260CCE" w14:textId="77777777" w:rsidR="009130CA" w:rsidRPr="003F141B" w:rsidRDefault="009130CA" w:rsidP="009130CA">
            <w:pPr>
              <w:rPr>
                <w:lang w:val="en-CA"/>
              </w:rPr>
            </w:pPr>
          </w:p>
        </w:tc>
      </w:tr>
      <w:tr w:rsidR="00966AF8" w:rsidRPr="003F141B" w14:paraId="2F424A0E" w14:textId="77777777" w:rsidTr="009130CA">
        <w:tc>
          <w:tcPr>
            <w:tcW w:w="9360" w:type="dxa"/>
          </w:tcPr>
          <w:p w14:paraId="3A60D118" w14:textId="7ECDCD9D" w:rsidR="009130CA" w:rsidRPr="003F141B" w:rsidRDefault="00B25D39" w:rsidP="009130CA">
            <w:pPr>
              <w:pStyle w:val="zSoquijlblOpinionJuge"/>
              <w:rPr>
                <w:lang w:val="en-CA"/>
              </w:rPr>
            </w:pPr>
            <w:r w:rsidRPr="003F141B">
              <w:rPr>
                <w:lang w:val="en-CA"/>
              </w:rPr>
              <w:t>REASONS OF</w:t>
            </w:r>
            <w:r w:rsidR="005003D8" w:rsidRPr="003F141B">
              <w:rPr>
                <w:lang w:val="en-CA"/>
              </w:rPr>
              <w:t xml:space="preserve"> </w:t>
            </w:r>
            <w:r w:rsidR="005003D8" w:rsidRPr="003F141B">
              <w:rPr>
                <w:lang w:val="en-CA"/>
              </w:rPr>
              <w:fldChar w:fldCharType="begin"/>
            </w:r>
            <w:r w:rsidR="005003D8" w:rsidRPr="003F141B">
              <w:rPr>
                <w:lang w:val="en-CA"/>
              </w:rPr>
              <w:instrText xml:space="preserve"> DOCVARIABLE NomFamJuge3 </w:instrText>
            </w:r>
            <w:r w:rsidR="005003D8" w:rsidRPr="003F141B">
              <w:rPr>
                <w:lang w:val="en-CA"/>
              </w:rPr>
              <w:fldChar w:fldCharType="separate"/>
            </w:r>
            <w:r w:rsidR="005003D8" w:rsidRPr="003F141B">
              <w:rPr>
                <w:lang w:val="en-CA"/>
              </w:rPr>
              <w:t>BEAUPRÉ</w:t>
            </w:r>
            <w:r w:rsidR="005003D8" w:rsidRPr="003F141B">
              <w:rPr>
                <w:lang w:val="en-CA"/>
              </w:rPr>
              <w:fldChar w:fldCharType="end"/>
            </w:r>
            <w:r w:rsidR="00692261" w:rsidRPr="003F141B">
              <w:rPr>
                <w:lang w:val="en-CA"/>
              </w:rPr>
              <w:t>,</w:t>
            </w:r>
            <w:r w:rsidRPr="003F141B">
              <w:rPr>
                <w:lang w:val="en-CA"/>
              </w:rPr>
              <w:t xml:space="preserve"> J.A.</w:t>
            </w:r>
          </w:p>
        </w:tc>
      </w:tr>
      <w:tr w:rsidR="00966AF8" w:rsidRPr="003F141B" w14:paraId="673E7087" w14:textId="77777777" w:rsidTr="009130CA">
        <w:tc>
          <w:tcPr>
            <w:tcW w:w="9360" w:type="dxa"/>
            <w:tcBorders>
              <w:bottom w:val="single" w:sz="8" w:space="0" w:color="auto"/>
            </w:tcBorders>
          </w:tcPr>
          <w:p w14:paraId="1D1FC7BD" w14:textId="77777777" w:rsidR="009130CA" w:rsidRPr="003F141B" w:rsidRDefault="009130CA" w:rsidP="009130CA">
            <w:pPr>
              <w:rPr>
                <w:lang w:val="en-CA"/>
              </w:rPr>
            </w:pPr>
          </w:p>
        </w:tc>
      </w:tr>
      <w:tr w:rsidR="00966AF8" w:rsidRPr="003F141B" w14:paraId="1D05688B" w14:textId="77777777" w:rsidTr="009130CA">
        <w:tc>
          <w:tcPr>
            <w:tcW w:w="9360" w:type="dxa"/>
            <w:tcBorders>
              <w:top w:val="single" w:sz="8" w:space="0" w:color="auto"/>
            </w:tcBorders>
          </w:tcPr>
          <w:p w14:paraId="616FE733" w14:textId="77777777" w:rsidR="009130CA" w:rsidRPr="003F141B" w:rsidRDefault="009130CA" w:rsidP="009130CA">
            <w:pPr>
              <w:rPr>
                <w:lang w:val="en-CA"/>
              </w:rPr>
            </w:pPr>
          </w:p>
        </w:tc>
      </w:tr>
    </w:tbl>
    <w:p w14:paraId="73886E3D" w14:textId="19F0A90A" w:rsidR="009130CA" w:rsidRPr="003F141B" w:rsidRDefault="00692261" w:rsidP="009130CA">
      <w:pPr>
        <w:pStyle w:val="Paragraphe"/>
        <w:spacing w:line="240" w:lineRule="auto"/>
        <w:rPr>
          <w:lang w:val="en-CA"/>
        </w:rPr>
      </w:pPr>
      <w:r w:rsidRPr="003F141B">
        <w:rPr>
          <w:lang w:val="en-CA"/>
        </w:rPr>
        <w:t>The appellant appeals against</w:t>
      </w:r>
      <w:r w:rsidR="00B25D39" w:rsidRPr="003F141B">
        <w:rPr>
          <w:lang w:val="en-CA"/>
        </w:rPr>
        <w:t xml:space="preserve"> a judgment </w:t>
      </w:r>
      <w:r w:rsidRPr="003F141B">
        <w:rPr>
          <w:lang w:val="en-CA"/>
        </w:rPr>
        <w:t>of the Court of Qu</w:t>
      </w:r>
      <w:r w:rsidR="00C35309">
        <w:rPr>
          <w:lang w:val="en-CA"/>
        </w:rPr>
        <w:t>é</w:t>
      </w:r>
      <w:r w:rsidRPr="003F141B">
        <w:rPr>
          <w:lang w:val="en-CA"/>
        </w:rPr>
        <w:t>bec, Criminal and Penal Division, District of Chicoutimi (the Honourable Sonia Rouleau)</w:t>
      </w:r>
      <w:r w:rsidR="00FF3126" w:rsidRPr="003F141B">
        <w:rPr>
          <w:lang w:val="en-CA"/>
        </w:rPr>
        <w:t>,</w:t>
      </w:r>
      <w:r w:rsidRPr="003F141B">
        <w:rPr>
          <w:lang w:val="en-CA"/>
        </w:rPr>
        <w:t xml:space="preserve"> </w:t>
      </w:r>
      <w:r w:rsidR="00B25D39" w:rsidRPr="003F141B">
        <w:rPr>
          <w:lang w:val="en-CA"/>
        </w:rPr>
        <w:t>rendered from the bench on October 1, 2019</w:t>
      </w:r>
      <w:r w:rsidRPr="003F141B">
        <w:rPr>
          <w:lang w:val="en-CA"/>
        </w:rPr>
        <w:t>.</w:t>
      </w:r>
      <w:r w:rsidR="005003D8" w:rsidRPr="003F141B">
        <w:rPr>
          <w:rStyle w:val="Appelnotedebasdep"/>
          <w:lang w:val="en-CA"/>
        </w:rPr>
        <w:footnoteReference w:id="2"/>
      </w:r>
      <w:r w:rsidR="00B25D39" w:rsidRPr="003F141B">
        <w:rPr>
          <w:lang w:val="en-CA"/>
        </w:rPr>
        <w:t xml:space="preserve"> </w:t>
      </w:r>
    </w:p>
    <w:p w14:paraId="53FA20E1" w14:textId="2F9714E4" w:rsidR="009130CA" w:rsidRPr="003F141B" w:rsidRDefault="00FF3126" w:rsidP="009130CA">
      <w:pPr>
        <w:pStyle w:val="Paragraphe"/>
        <w:spacing w:line="240" w:lineRule="auto"/>
        <w:rPr>
          <w:lang w:val="en-CA"/>
        </w:rPr>
      </w:pPr>
      <w:r w:rsidRPr="003F141B">
        <w:rPr>
          <w:lang w:val="en-CA"/>
        </w:rPr>
        <w:t>The judge began by finding</w:t>
      </w:r>
      <w:r w:rsidR="00B25D39" w:rsidRPr="003F141B">
        <w:rPr>
          <w:lang w:val="en-CA"/>
        </w:rPr>
        <w:t xml:space="preserve"> that, when </w:t>
      </w:r>
      <w:r w:rsidRPr="003F141B">
        <w:rPr>
          <w:lang w:val="en-CA"/>
        </w:rPr>
        <w:t xml:space="preserve">the respondent </w:t>
      </w:r>
      <w:r w:rsidR="00B25D39" w:rsidRPr="003F141B">
        <w:rPr>
          <w:lang w:val="en-CA"/>
        </w:rPr>
        <w:t>was arrested for impaired driving, obstruction</w:t>
      </w:r>
      <w:r w:rsidRPr="003F141B">
        <w:rPr>
          <w:lang w:val="en-CA"/>
        </w:rPr>
        <w:t>,</w:t>
      </w:r>
      <w:r w:rsidR="00B25D39" w:rsidRPr="003F141B">
        <w:rPr>
          <w:lang w:val="en-CA"/>
        </w:rPr>
        <w:t xml:space="preserve"> and breach of conditions, the police officers violated </w:t>
      </w:r>
      <w:r w:rsidRPr="003F141B">
        <w:rPr>
          <w:lang w:val="en-CA"/>
        </w:rPr>
        <w:t xml:space="preserve">his </w:t>
      </w:r>
      <w:r w:rsidR="00B25D39" w:rsidRPr="003F141B">
        <w:rPr>
          <w:lang w:val="en-CA"/>
        </w:rPr>
        <w:t xml:space="preserve">right to </w:t>
      </w:r>
      <w:r w:rsidR="002F2E8E" w:rsidRPr="003F141B">
        <w:rPr>
          <w:lang w:val="en-CA"/>
        </w:rPr>
        <w:t xml:space="preserve">retain and instruct </w:t>
      </w:r>
      <w:r w:rsidR="00B25D39" w:rsidRPr="003F141B">
        <w:rPr>
          <w:lang w:val="en-CA"/>
        </w:rPr>
        <w:t xml:space="preserve">counsel of his choice </w:t>
      </w:r>
      <w:r w:rsidR="005C5246" w:rsidRPr="003F141B">
        <w:rPr>
          <w:lang w:val="en-CA"/>
        </w:rPr>
        <w:t>under</w:t>
      </w:r>
      <w:r w:rsidR="00B25D39" w:rsidRPr="003F141B">
        <w:rPr>
          <w:lang w:val="en-CA"/>
        </w:rPr>
        <w:t xml:space="preserve"> s. 10(b) of the </w:t>
      </w:r>
      <w:r w:rsidR="00B25D39" w:rsidRPr="003F141B">
        <w:rPr>
          <w:i/>
          <w:lang w:val="en-CA"/>
        </w:rPr>
        <w:t>Canadian Charter of Rights and Freedoms</w:t>
      </w:r>
      <w:r w:rsidR="00B25D39" w:rsidRPr="003F141B">
        <w:rPr>
          <w:rStyle w:val="Appelnotedebasdep"/>
          <w:lang w:val="en-CA"/>
        </w:rPr>
        <w:footnoteReference w:id="3"/>
      </w:r>
      <w:r w:rsidR="00B25D39" w:rsidRPr="003F141B">
        <w:rPr>
          <w:i/>
          <w:lang w:val="en-CA"/>
        </w:rPr>
        <w:t xml:space="preserve"> </w:t>
      </w:r>
      <w:r w:rsidR="00B25D39" w:rsidRPr="003F141B">
        <w:rPr>
          <w:lang w:val="en-CA"/>
        </w:rPr>
        <w:t xml:space="preserve">(the </w:t>
      </w:r>
      <w:r w:rsidR="00081775">
        <w:rPr>
          <w:lang w:val="en-CA"/>
        </w:rPr>
        <w:t>“</w:t>
      </w:r>
      <w:r w:rsidR="00B25D39" w:rsidRPr="003F141B">
        <w:rPr>
          <w:i/>
          <w:lang w:val="en-CA"/>
        </w:rPr>
        <w:t>Charter</w:t>
      </w:r>
      <w:r w:rsidR="00081775">
        <w:rPr>
          <w:lang w:val="en-CA"/>
        </w:rPr>
        <w:t>”</w:t>
      </w:r>
      <w:r w:rsidR="00B25D39" w:rsidRPr="003F141B">
        <w:rPr>
          <w:lang w:val="en-CA"/>
        </w:rPr>
        <w:t>).</w:t>
      </w:r>
      <w:r w:rsidR="00B25D39" w:rsidRPr="003F141B">
        <w:rPr>
          <w:i/>
          <w:lang w:val="en-CA"/>
        </w:rPr>
        <w:t xml:space="preserve"> </w:t>
      </w:r>
    </w:p>
    <w:p w14:paraId="3DCC485B" w14:textId="56C05433" w:rsidR="009130CA" w:rsidRPr="003F141B" w:rsidRDefault="00B25D39" w:rsidP="009130CA">
      <w:pPr>
        <w:pStyle w:val="Paragraphe"/>
        <w:spacing w:line="240" w:lineRule="auto"/>
        <w:rPr>
          <w:lang w:val="en-CA"/>
        </w:rPr>
      </w:pPr>
      <w:bookmarkStart w:id="7" w:name="_Ref49937786"/>
      <w:r w:rsidRPr="003F141B">
        <w:rPr>
          <w:lang w:val="en-CA"/>
        </w:rPr>
        <w:t xml:space="preserve">The judge then proceeded to consider the criteria in </w:t>
      </w:r>
      <w:r w:rsidRPr="003F141B">
        <w:rPr>
          <w:i/>
          <w:lang w:val="en-CA"/>
        </w:rPr>
        <w:t>Grant</w:t>
      </w:r>
      <w:r w:rsidRPr="003F141B">
        <w:rPr>
          <w:lang w:val="en-CA"/>
        </w:rPr>
        <w:t xml:space="preserve">, </w:t>
      </w:r>
      <w:r w:rsidR="00FF3126" w:rsidRPr="003F141B">
        <w:rPr>
          <w:lang w:val="en-CA"/>
        </w:rPr>
        <w:t xml:space="preserve">allowed </w:t>
      </w:r>
      <w:r w:rsidRPr="003F141B">
        <w:rPr>
          <w:lang w:val="en-CA"/>
        </w:rPr>
        <w:t>the respondent</w:t>
      </w:r>
      <w:r w:rsidR="003061CC">
        <w:rPr>
          <w:lang w:val="en-CA"/>
        </w:rPr>
        <w:t>’</w:t>
      </w:r>
      <w:r w:rsidRPr="003F141B">
        <w:rPr>
          <w:lang w:val="en-CA"/>
        </w:rPr>
        <w:t xml:space="preserve">s </w:t>
      </w:r>
      <w:r w:rsidR="00FF3126" w:rsidRPr="003F141B">
        <w:rPr>
          <w:lang w:val="en-CA"/>
        </w:rPr>
        <w:t xml:space="preserve">application </w:t>
      </w:r>
      <w:r w:rsidRPr="003F141B">
        <w:rPr>
          <w:lang w:val="en-CA"/>
        </w:rPr>
        <w:t xml:space="preserve">under s. 24(2) of the </w:t>
      </w:r>
      <w:r w:rsidRPr="003F141B">
        <w:rPr>
          <w:i/>
          <w:lang w:val="en-CA"/>
        </w:rPr>
        <w:t>Charter</w:t>
      </w:r>
      <w:r w:rsidR="00FF3126" w:rsidRPr="003F141B">
        <w:rPr>
          <w:lang w:val="en-CA"/>
        </w:rPr>
        <w:t>,</w:t>
      </w:r>
      <w:r w:rsidRPr="003F141B">
        <w:rPr>
          <w:lang w:val="en-CA"/>
        </w:rPr>
        <w:t xml:space="preserve"> and excluded </w:t>
      </w:r>
      <w:r w:rsidR="002F2E8E" w:rsidRPr="003F141B">
        <w:rPr>
          <w:lang w:val="en-CA"/>
        </w:rPr>
        <w:t xml:space="preserve">from the evidence </w:t>
      </w:r>
      <w:r w:rsidRPr="003F141B">
        <w:rPr>
          <w:lang w:val="en-CA"/>
        </w:rPr>
        <w:t>the results of the breath sample</w:t>
      </w:r>
      <w:r w:rsidR="00135D27" w:rsidRPr="003F141B">
        <w:rPr>
          <w:lang w:val="en-CA"/>
        </w:rPr>
        <w:t xml:space="preserve"> test</w:t>
      </w:r>
      <w:r w:rsidRPr="003F141B">
        <w:rPr>
          <w:lang w:val="en-CA"/>
        </w:rPr>
        <w:t xml:space="preserve"> taken with a breathalyzer.</w:t>
      </w:r>
      <w:r w:rsidR="005003D8" w:rsidRPr="003F141B">
        <w:rPr>
          <w:rStyle w:val="Appelnotedebasdep"/>
          <w:lang w:val="en-CA"/>
        </w:rPr>
        <w:footnoteReference w:id="4"/>
      </w:r>
      <w:bookmarkEnd w:id="7"/>
      <w:r w:rsidRPr="003F141B">
        <w:rPr>
          <w:i/>
          <w:lang w:val="en-CA"/>
        </w:rPr>
        <w:t xml:space="preserve"> </w:t>
      </w:r>
    </w:p>
    <w:p w14:paraId="6100A51F" w14:textId="2C939B33" w:rsidR="009130CA" w:rsidRPr="003F141B" w:rsidRDefault="00B25D39" w:rsidP="009130CA">
      <w:pPr>
        <w:pStyle w:val="Paragraphe"/>
        <w:spacing w:line="240" w:lineRule="auto"/>
        <w:rPr>
          <w:lang w:val="en-CA"/>
        </w:rPr>
      </w:pPr>
      <w:r w:rsidRPr="003F141B">
        <w:rPr>
          <w:lang w:val="en-CA"/>
        </w:rPr>
        <w:t xml:space="preserve">Then, in the absence of any other </w:t>
      </w:r>
      <w:r w:rsidR="00FF3126" w:rsidRPr="003F141B">
        <w:rPr>
          <w:lang w:val="en-CA"/>
        </w:rPr>
        <w:t xml:space="preserve">supporting </w:t>
      </w:r>
      <w:r w:rsidRPr="003F141B">
        <w:rPr>
          <w:lang w:val="en-CA"/>
        </w:rPr>
        <w:t xml:space="preserve">evidence, she acquitted the respondent of the charge of operating a motor vehicle </w:t>
      </w:r>
      <w:r w:rsidR="002B3C8C" w:rsidRPr="003F141B">
        <w:rPr>
          <w:lang w:val="en-CA"/>
        </w:rPr>
        <w:t xml:space="preserve">with a blood alcohol level </w:t>
      </w:r>
      <w:r w:rsidR="00BA6EFF">
        <w:rPr>
          <w:lang w:val="en-CA"/>
        </w:rPr>
        <w:t xml:space="preserve">exceeding </w:t>
      </w:r>
      <w:r w:rsidRPr="003F141B">
        <w:rPr>
          <w:lang w:val="en-CA"/>
        </w:rPr>
        <w:t>80 mg of alcohol in 100 ml of blood.</w:t>
      </w:r>
      <w:r w:rsidR="005003D8" w:rsidRPr="003F141B">
        <w:rPr>
          <w:rStyle w:val="Appelnotedebasdep"/>
          <w:lang w:val="en-CA"/>
        </w:rPr>
        <w:footnoteReference w:id="5"/>
      </w:r>
      <w:r w:rsidRPr="003F141B">
        <w:rPr>
          <w:lang w:val="en-CA"/>
        </w:rPr>
        <w:t xml:space="preserve"> </w:t>
      </w:r>
    </w:p>
    <w:p w14:paraId="70CB7CD6" w14:textId="4446764F" w:rsidR="009130CA" w:rsidRPr="003F141B" w:rsidRDefault="00B25D39" w:rsidP="009130CA">
      <w:pPr>
        <w:pStyle w:val="Paragraphe"/>
        <w:spacing w:line="240" w:lineRule="auto"/>
        <w:rPr>
          <w:lang w:val="en-CA"/>
        </w:rPr>
      </w:pPr>
      <w:r w:rsidRPr="003F141B">
        <w:rPr>
          <w:lang w:val="en-CA"/>
        </w:rPr>
        <w:t>The appellant raises two grounds of appeal.</w:t>
      </w:r>
      <w:r w:rsidR="005003D8" w:rsidRPr="003F141B">
        <w:rPr>
          <w:lang w:val="en-CA"/>
        </w:rPr>
        <w:t xml:space="preserve"> </w:t>
      </w:r>
      <w:r w:rsidR="00951CDF" w:rsidRPr="003F141B">
        <w:rPr>
          <w:lang w:val="en-CA"/>
        </w:rPr>
        <w:t>It</w:t>
      </w:r>
      <w:r w:rsidRPr="003F141B">
        <w:rPr>
          <w:lang w:val="en-CA"/>
        </w:rPr>
        <w:t xml:space="preserve"> submits that the judge erred in law </w:t>
      </w:r>
      <w:r w:rsidR="002B3C8C" w:rsidRPr="003F141B">
        <w:rPr>
          <w:lang w:val="en-CA"/>
        </w:rPr>
        <w:t xml:space="preserve">in finding </w:t>
      </w:r>
      <w:r w:rsidRPr="003F141B">
        <w:rPr>
          <w:lang w:val="en-CA"/>
        </w:rPr>
        <w:t>(</w:t>
      </w:r>
      <w:proofErr w:type="spellStart"/>
      <w:r w:rsidRPr="003F141B">
        <w:rPr>
          <w:lang w:val="en-CA"/>
        </w:rPr>
        <w:t>i</w:t>
      </w:r>
      <w:proofErr w:type="spellEnd"/>
      <w:r w:rsidRPr="003F141B">
        <w:rPr>
          <w:lang w:val="en-CA"/>
        </w:rPr>
        <w:t>) that the police officers infringed the respondent</w:t>
      </w:r>
      <w:r w:rsidR="003061CC">
        <w:rPr>
          <w:lang w:val="en-CA"/>
        </w:rPr>
        <w:t>’</w:t>
      </w:r>
      <w:r w:rsidRPr="003F141B">
        <w:rPr>
          <w:lang w:val="en-CA"/>
        </w:rPr>
        <w:t xml:space="preserve">s </w:t>
      </w:r>
      <w:r w:rsidR="002B3C8C" w:rsidRPr="003F141B">
        <w:rPr>
          <w:lang w:val="en-CA"/>
        </w:rPr>
        <w:t xml:space="preserve">s. 10(b) </w:t>
      </w:r>
      <w:r w:rsidR="002B3C8C" w:rsidRPr="003F141B">
        <w:rPr>
          <w:i/>
          <w:lang w:val="en-CA"/>
        </w:rPr>
        <w:t>Charter</w:t>
      </w:r>
      <w:r w:rsidR="002B3C8C" w:rsidRPr="003F141B">
        <w:rPr>
          <w:lang w:val="en-CA"/>
        </w:rPr>
        <w:t xml:space="preserve"> </w:t>
      </w:r>
      <w:r w:rsidRPr="003F141B">
        <w:rPr>
          <w:lang w:val="en-CA"/>
        </w:rPr>
        <w:t>right</w:t>
      </w:r>
      <w:r w:rsidR="009F6ECE" w:rsidRPr="003F141B">
        <w:rPr>
          <w:lang w:val="en-CA"/>
        </w:rPr>
        <w:t>,</w:t>
      </w:r>
      <w:r w:rsidRPr="003F141B">
        <w:rPr>
          <w:lang w:val="en-CA"/>
        </w:rPr>
        <w:t xml:space="preserve"> and (ii) that the application of the criteria in </w:t>
      </w:r>
      <w:r w:rsidRPr="003F141B">
        <w:rPr>
          <w:i/>
          <w:lang w:val="en-CA"/>
        </w:rPr>
        <w:t>Grant</w:t>
      </w:r>
      <w:r w:rsidRPr="003F141B">
        <w:rPr>
          <w:lang w:val="en-CA"/>
        </w:rPr>
        <w:t xml:space="preserve"> justified the exclusion of the blood alcohol test </w:t>
      </w:r>
      <w:r w:rsidR="002B3C8C" w:rsidRPr="003F141B">
        <w:rPr>
          <w:lang w:val="en-CA"/>
        </w:rPr>
        <w:t xml:space="preserve">results </w:t>
      </w:r>
      <w:r w:rsidRPr="003F141B">
        <w:rPr>
          <w:lang w:val="en-CA"/>
        </w:rPr>
        <w:t>from the evidence.</w:t>
      </w:r>
    </w:p>
    <w:p w14:paraId="49811122" w14:textId="7D9BDD1D" w:rsidR="009130CA" w:rsidRPr="003F141B" w:rsidRDefault="00B25D39" w:rsidP="009130CA">
      <w:pPr>
        <w:pStyle w:val="Paragraphe"/>
        <w:spacing w:line="240" w:lineRule="auto"/>
        <w:rPr>
          <w:lang w:val="en-CA"/>
        </w:rPr>
      </w:pPr>
      <w:r w:rsidRPr="003F141B">
        <w:rPr>
          <w:lang w:val="en-CA"/>
        </w:rPr>
        <w:t xml:space="preserve">Unlike my colleagues, </w:t>
      </w:r>
      <w:r w:rsidR="00951CDF" w:rsidRPr="003F141B">
        <w:rPr>
          <w:lang w:val="en-CA"/>
        </w:rPr>
        <w:t xml:space="preserve">I am of the </w:t>
      </w:r>
      <w:r w:rsidR="009F6ECE" w:rsidRPr="003F141B">
        <w:rPr>
          <w:lang w:val="en-CA"/>
        </w:rPr>
        <w:t xml:space="preserve">view </w:t>
      </w:r>
      <w:r w:rsidR="00951CDF" w:rsidRPr="003F141B">
        <w:rPr>
          <w:lang w:val="en-CA"/>
        </w:rPr>
        <w:t xml:space="preserve">that </w:t>
      </w:r>
      <w:r w:rsidR="009F6ECE" w:rsidRPr="003F141B">
        <w:rPr>
          <w:lang w:val="en-CA"/>
        </w:rPr>
        <w:t xml:space="preserve">these grounds are well </w:t>
      </w:r>
      <w:r w:rsidRPr="003F141B">
        <w:rPr>
          <w:lang w:val="en-CA"/>
        </w:rPr>
        <w:t xml:space="preserve">founded and the appeal </w:t>
      </w:r>
      <w:proofErr w:type="gramStart"/>
      <w:r w:rsidRPr="003F141B">
        <w:rPr>
          <w:lang w:val="en-CA"/>
        </w:rPr>
        <w:t>should be allowed</w:t>
      </w:r>
      <w:proofErr w:type="gramEnd"/>
      <w:r w:rsidRPr="003F141B">
        <w:rPr>
          <w:lang w:val="en-CA"/>
        </w:rPr>
        <w:t>.</w:t>
      </w:r>
    </w:p>
    <w:p w14:paraId="777B14B3" w14:textId="3734915F" w:rsidR="009130CA" w:rsidRPr="003F141B" w:rsidRDefault="00B25D39" w:rsidP="009130CA">
      <w:pPr>
        <w:pStyle w:val="Paragraphe"/>
        <w:spacing w:line="240" w:lineRule="auto"/>
        <w:rPr>
          <w:lang w:val="en-CA"/>
        </w:rPr>
      </w:pPr>
      <w:r w:rsidRPr="003F141B">
        <w:rPr>
          <w:lang w:val="en-CA"/>
        </w:rPr>
        <w:t xml:space="preserve">A review of the evidence adduced at the </w:t>
      </w:r>
      <w:proofErr w:type="spellStart"/>
      <w:r w:rsidR="002C578D" w:rsidRPr="003F141B">
        <w:rPr>
          <w:i/>
          <w:lang w:val="en-CA"/>
        </w:rPr>
        <w:t>voir</w:t>
      </w:r>
      <w:proofErr w:type="spellEnd"/>
      <w:r w:rsidR="002C578D" w:rsidRPr="003F141B">
        <w:rPr>
          <w:i/>
          <w:lang w:val="en-CA"/>
        </w:rPr>
        <w:t xml:space="preserve"> dire</w:t>
      </w:r>
      <w:r w:rsidRPr="003F141B">
        <w:rPr>
          <w:lang w:val="en-CA"/>
        </w:rPr>
        <w:t xml:space="preserve"> will be useful to an understanding of the conclusions I propose.</w:t>
      </w:r>
      <w:r w:rsidR="005003D8" w:rsidRPr="003F141B">
        <w:rPr>
          <w:lang w:val="en-CA"/>
        </w:rPr>
        <w:t xml:space="preserve"> </w:t>
      </w:r>
      <w:r w:rsidRPr="003F141B">
        <w:rPr>
          <w:lang w:val="en-CA"/>
        </w:rPr>
        <w:t>In matters where police officers are faulted for infring</w:t>
      </w:r>
      <w:r w:rsidR="00C913B1" w:rsidRPr="003F141B">
        <w:rPr>
          <w:lang w:val="en-CA"/>
        </w:rPr>
        <w:t>ing</w:t>
      </w:r>
      <w:r w:rsidRPr="003F141B">
        <w:rPr>
          <w:lang w:val="en-CA"/>
        </w:rPr>
        <w:t xml:space="preserve"> </w:t>
      </w:r>
      <w:proofErr w:type="gramStart"/>
      <w:r w:rsidR="009027E5" w:rsidRPr="003F141B">
        <w:rPr>
          <w:lang w:val="en-CA"/>
        </w:rPr>
        <w:t>a</w:t>
      </w:r>
      <w:proofErr w:type="gramEnd"/>
      <w:r w:rsidRPr="003F141B">
        <w:rPr>
          <w:lang w:val="en-CA"/>
        </w:rPr>
        <w:t xml:space="preserve"> s. 10(b) </w:t>
      </w:r>
      <w:r w:rsidRPr="003F141B">
        <w:rPr>
          <w:i/>
          <w:lang w:val="en-CA"/>
        </w:rPr>
        <w:t>Charter</w:t>
      </w:r>
      <w:r w:rsidRPr="003F141B">
        <w:rPr>
          <w:lang w:val="en-CA"/>
        </w:rPr>
        <w:t xml:space="preserve"> </w:t>
      </w:r>
      <w:r w:rsidR="009F6ECE" w:rsidRPr="003F141B">
        <w:rPr>
          <w:lang w:val="en-CA"/>
        </w:rPr>
        <w:t xml:space="preserve">right </w:t>
      </w:r>
      <w:r w:rsidRPr="003F141B">
        <w:rPr>
          <w:lang w:val="en-CA"/>
        </w:rPr>
        <w:t>and where the person arrested or detained had a</w:t>
      </w:r>
      <w:r w:rsidR="009027E5" w:rsidRPr="003F141B">
        <w:rPr>
          <w:lang w:val="en-CA"/>
        </w:rPr>
        <w:t>n</w:t>
      </w:r>
      <w:r w:rsidRPr="003F141B">
        <w:rPr>
          <w:lang w:val="en-CA"/>
        </w:rPr>
        <w:t xml:space="preserve"> </w:t>
      </w:r>
      <w:r w:rsidR="00AF6F91" w:rsidRPr="003F141B">
        <w:rPr>
          <w:lang w:val="en-CA"/>
        </w:rPr>
        <w:t xml:space="preserve">obligation of </w:t>
      </w:r>
      <w:r w:rsidR="00AF6F91" w:rsidRPr="003F141B">
        <w:rPr>
          <w:lang w:val="en-CA"/>
        </w:rPr>
        <w:lastRenderedPageBreak/>
        <w:t>diligence</w:t>
      </w:r>
      <w:r w:rsidRPr="003F141B">
        <w:rPr>
          <w:lang w:val="en-CA"/>
        </w:rPr>
        <w:t xml:space="preserve">, an examination of all of the circumstances is essential to </w:t>
      </w:r>
      <w:r w:rsidR="002A547F" w:rsidRPr="003F141B">
        <w:rPr>
          <w:lang w:val="en-CA"/>
        </w:rPr>
        <w:t xml:space="preserve">assessing </w:t>
      </w:r>
      <w:r w:rsidR="00C913B1" w:rsidRPr="003F141B">
        <w:rPr>
          <w:lang w:val="en-CA"/>
        </w:rPr>
        <w:t>the</w:t>
      </w:r>
      <w:r w:rsidRPr="003F141B">
        <w:rPr>
          <w:lang w:val="en-CA"/>
        </w:rPr>
        <w:t xml:space="preserve"> conduct</w:t>
      </w:r>
      <w:r w:rsidR="00C913B1" w:rsidRPr="003F141B">
        <w:rPr>
          <w:lang w:val="en-CA"/>
        </w:rPr>
        <w:t xml:space="preserve"> of everyone involved</w:t>
      </w:r>
      <w:r w:rsidRPr="003F141B">
        <w:rPr>
          <w:rStyle w:val="Appelnotedebasdep"/>
          <w:lang w:val="en-CA"/>
        </w:rPr>
        <w:footnoteReference w:id="6"/>
      </w:r>
      <w:r w:rsidRPr="003F141B">
        <w:rPr>
          <w:lang w:val="en-CA"/>
        </w:rPr>
        <w:t xml:space="preserve"> and to </w:t>
      </w:r>
      <w:r w:rsidR="002A547F" w:rsidRPr="003F141B">
        <w:rPr>
          <w:lang w:val="en-CA"/>
        </w:rPr>
        <w:t xml:space="preserve">analyzing </w:t>
      </w:r>
      <w:r w:rsidRPr="003F141B">
        <w:rPr>
          <w:lang w:val="en-CA"/>
        </w:rPr>
        <w:t xml:space="preserve">their rights and obligations.  </w:t>
      </w:r>
    </w:p>
    <w:p w14:paraId="47D5FE94" w14:textId="176CA52A" w:rsidR="009130CA" w:rsidRPr="003F141B" w:rsidRDefault="009027E5" w:rsidP="009130CA">
      <w:pPr>
        <w:pStyle w:val="Paragraphe"/>
        <w:spacing w:line="240" w:lineRule="auto"/>
        <w:rPr>
          <w:lang w:val="en-CA"/>
        </w:rPr>
      </w:pPr>
      <w:r w:rsidRPr="003F141B">
        <w:rPr>
          <w:lang w:val="en-CA"/>
        </w:rPr>
        <w:t xml:space="preserve">Incidentally, </w:t>
      </w:r>
      <w:r w:rsidR="00B25D39" w:rsidRPr="003F141B">
        <w:rPr>
          <w:lang w:val="en-CA"/>
        </w:rPr>
        <w:t xml:space="preserve">it is important to note at the outset that only the police officers testified at the </w:t>
      </w:r>
      <w:proofErr w:type="spellStart"/>
      <w:r w:rsidR="002C578D" w:rsidRPr="003F141B">
        <w:rPr>
          <w:i/>
          <w:lang w:val="en-CA"/>
        </w:rPr>
        <w:t>voir</w:t>
      </w:r>
      <w:proofErr w:type="spellEnd"/>
      <w:r w:rsidR="002C578D" w:rsidRPr="003F141B">
        <w:rPr>
          <w:i/>
          <w:lang w:val="en-CA"/>
        </w:rPr>
        <w:t xml:space="preserve"> dire</w:t>
      </w:r>
      <w:r w:rsidR="00B25D39" w:rsidRPr="003F141B">
        <w:rPr>
          <w:lang w:val="en-CA"/>
        </w:rPr>
        <w:t>.</w:t>
      </w:r>
      <w:r w:rsidR="005003D8" w:rsidRPr="003F141B">
        <w:rPr>
          <w:lang w:val="en-CA"/>
        </w:rPr>
        <w:t xml:space="preserve"> </w:t>
      </w:r>
      <w:r w:rsidR="00B25D39" w:rsidRPr="003F141B">
        <w:rPr>
          <w:lang w:val="en-CA"/>
        </w:rPr>
        <w:t>Despite some grey areas, the testimony of each police officer was corroborated by the other and was uncontradicted.</w:t>
      </w:r>
      <w:r w:rsidR="002A547F" w:rsidRPr="003F141B">
        <w:rPr>
          <w:lang w:val="en-CA"/>
        </w:rPr>
        <w:t xml:space="preserve"> T</w:t>
      </w:r>
      <w:r w:rsidR="00B25D39" w:rsidRPr="003F141B">
        <w:rPr>
          <w:lang w:val="en-CA"/>
        </w:rPr>
        <w:t xml:space="preserve">he respondent, who </w:t>
      </w:r>
      <w:r w:rsidR="00FB1A90">
        <w:rPr>
          <w:lang w:val="en-CA"/>
        </w:rPr>
        <w:t>bore</w:t>
      </w:r>
      <w:r w:rsidR="00FB1A90" w:rsidRPr="003F141B">
        <w:rPr>
          <w:lang w:val="en-CA"/>
        </w:rPr>
        <w:t xml:space="preserve"> </w:t>
      </w:r>
      <w:r w:rsidR="00B25D39" w:rsidRPr="003F141B">
        <w:rPr>
          <w:lang w:val="en-CA"/>
        </w:rPr>
        <w:t>the burden of proof,</w:t>
      </w:r>
      <w:r w:rsidR="00B25D39" w:rsidRPr="003F141B">
        <w:rPr>
          <w:rStyle w:val="Appelnotedebasdep"/>
          <w:lang w:val="en-CA"/>
        </w:rPr>
        <w:footnoteReference w:id="7"/>
      </w:r>
      <w:r w:rsidR="00B25D39" w:rsidRPr="003F141B">
        <w:rPr>
          <w:lang w:val="en-CA"/>
        </w:rPr>
        <w:t xml:space="preserve"> did not testify in support of his </w:t>
      </w:r>
      <w:r w:rsidR="002A547F" w:rsidRPr="003F141B">
        <w:rPr>
          <w:lang w:val="en-CA"/>
        </w:rPr>
        <w:t>application</w:t>
      </w:r>
      <w:r w:rsidR="00B25D39" w:rsidRPr="003F141B">
        <w:rPr>
          <w:lang w:val="en-CA"/>
        </w:rPr>
        <w:t>, call any witness</w:t>
      </w:r>
      <w:r w:rsidR="002A547F" w:rsidRPr="003F141B">
        <w:rPr>
          <w:lang w:val="en-CA"/>
        </w:rPr>
        <w:t>es</w:t>
      </w:r>
      <w:r w:rsidR="00B25D39" w:rsidRPr="003F141B">
        <w:rPr>
          <w:lang w:val="en-CA"/>
        </w:rPr>
        <w:t xml:space="preserve"> to testify either orally or by </w:t>
      </w:r>
      <w:r w:rsidR="00FB1A90">
        <w:rPr>
          <w:lang w:val="en-CA"/>
        </w:rPr>
        <w:t>affidavit</w:t>
      </w:r>
      <w:r w:rsidR="00B25D39" w:rsidRPr="003F141B">
        <w:rPr>
          <w:lang w:val="en-CA"/>
        </w:rPr>
        <w:t xml:space="preserve">, </w:t>
      </w:r>
      <w:r w:rsidR="002A547F" w:rsidRPr="003F141B">
        <w:rPr>
          <w:lang w:val="en-CA"/>
        </w:rPr>
        <w:t>or</w:t>
      </w:r>
      <w:r w:rsidR="00B25D39" w:rsidRPr="003F141B">
        <w:rPr>
          <w:lang w:val="en-CA"/>
        </w:rPr>
        <w:t xml:space="preserve"> adduce any documentary evidence concerning certain disputed yet crucial facts. </w:t>
      </w:r>
      <w:r w:rsidR="005003D8" w:rsidRPr="003F141B">
        <w:rPr>
          <w:lang w:val="en-CA"/>
        </w:rPr>
        <w:t xml:space="preserve"> </w:t>
      </w:r>
      <w:r w:rsidR="00B25D39" w:rsidRPr="003F141B">
        <w:rPr>
          <w:lang w:val="en-CA"/>
        </w:rPr>
        <w:t>I will come back to this in detail below.</w:t>
      </w:r>
    </w:p>
    <w:p w14:paraId="77944ECD" w14:textId="77777777" w:rsidR="009130CA" w:rsidRPr="003F141B" w:rsidRDefault="00B25D39" w:rsidP="009130CA">
      <w:pPr>
        <w:pStyle w:val="Paragraphe"/>
        <w:keepNext/>
        <w:numPr>
          <w:ilvl w:val="0"/>
          <w:numId w:val="21"/>
        </w:numPr>
        <w:spacing w:line="240" w:lineRule="auto"/>
        <w:ind w:left="792"/>
        <w:rPr>
          <w:lang w:val="en-CA"/>
        </w:rPr>
      </w:pPr>
      <w:r w:rsidRPr="003F141B">
        <w:rPr>
          <w:b/>
          <w:lang w:val="en-CA"/>
        </w:rPr>
        <w:t>The evidence</w:t>
      </w:r>
    </w:p>
    <w:p w14:paraId="0FA002EA" w14:textId="78E1A575" w:rsidR="009130CA" w:rsidRPr="003F141B" w:rsidRDefault="00CB5485" w:rsidP="009130CA">
      <w:pPr>
        <w:pStyle w:val="Paragraphe"/>
        <w:spacing w:line="240" w:lineRule="auto"/>
        <w:rPr>
          <w:lang w:val="en-CA"/>
        </w:rPr>
      </w:pPr>
      <w:r w:rsidRPr="003F141B">
        <w:rPr>
          <w:lang w:val="en-CA"/>
        </w:rPr>
        <w:t>On June 12, 2019, at about 10</w:t>
      </w:r>
      <w:r w:rsidR="00B25D39" w:rsidRPr="003F141B">
        <w:rPr>
          <w:lang w:val="en-CA"/>
        </w:rPr>
        <w:t xml:space="preserve">:30 p.m., while they were on patrol in Saguenay, </w:t>
      </w:r>
      <w:r w:rsidR="00147B22">
        <w:rPr>
          <w:lang w:val="en-CA"/>
        </w:rPr>
        <w:t>police o</w:t>
      </w:r>
      <w:r w:rsidR="00B25D39" w:rsidRPr="003F141B">
        <w:rPr>
          <w:lang w:val="en-CA"/>
        </w:rPr>
        <w:t xml:space="preserve">fficers </w:t>
      </w:r>
      <w:proofErr w:type="spellStart"/>
      <w:r w:rsidR="00B25D39" w:rsidRPr="003F141B">
        <w:rPr>
          <w:lang w:val="en-CA"/>
        </w:rPr>
        <w:t>Naess</w:t>
      </w:r>
      <w:proofErr w:type="spellEnd"/>
      <w:r w:rsidR="00B25D39" w:rsidRPr="003F141B">
        <w:rPr>
          <w:lang w:val="en-CA"/>
        </w:rPr>
        <w:t xml:space="preserve"> and </w:t>
      </w:r>
      <w:proofErr w:type="spellStart"/>
      <w:r w:rsidR="00B25D39" w:rsidRPr="003F141B">
        <w:rPr>
          <w:lang w:val="en-CA"/>
        </w:rPr>
        <w:t>Larouche</w:t>
      </w:r>
      <w:proofErr w:type="spellEnd"/>
      <w:r w:rsidR="00B25D39" w:rsidRPr="003F141B">
        <w:rPr>
          <w:lang w:val="en-CA"/>
        </w:rPr>
        <w:t xml:space="preserve"> noticed a vehicle </w:t>
      </w:r>
      <w:r w:rsidR="008F1D66" w:rsidRPr="003F141B">
        <w:rPr>
          <w:lang w:val="en-CA"/>
        </w:rPr>
        <w:t xml:space="preserve">moving </w:t>
      </w:r>
      <w:r w:rsidR="00B25D39" w:rsidRPr="003F141B">
        <w:rPr>
          <w:lang w:val="en-CA"/>
        </w:rPr>
        <w:t>at high speed in the opposite direction.</w:t>
      </w:r>
      <w:r w:rsidR="005003D8" w:rsidRPr="003F141B">
        <w:rPr>
          <w:lang w:val="en-CA"/>
        </w:rPr>
        <w:t xml:space="preserve"> </w:t>
      </w:r>
      <w:r w:rsidR="00B25D39" w:rsidRPr="003F141B">
        <w:rPr>
          <w:lang w:val="en-CA"/>
        </w:rPr>
        <w:t xml:space="preserve">The </w:t>
      </w:r>
      <w:r w:rsidR="008F1D66" w:rsidRPr="003F141B">
        <w:rPr>
          <w:lang w:val="en-CA"/>
        </w:rPr>
        <w:t>D</w:t>
      </w:r>
      <w:r w:rsidR="00B25D39" w:rsidRPr="003F141B">
        <w:rPr>
          <w:lang w:val="en-CA"/>
        </w:rPr>
        <w:t xml:space="preserve">oppler </w:t>
      </w:r>
      <w:r w:rsidR="008F1D66" w:rsidRPr="003F141B">
        <w:rPr>
          <w:lang w:val="en-CA"/>
        </w:rPr>
        <w:t xml:space="preserve">radar </w:t>
      </w:r>
      <w:r w:rsidR="00B25D39" w:rsidRPr="003F141B">
        <w:rPr>
          <w:lang w:val="en-CA"/>
        </w:rPr>
        <w:t xml:space="preserve">confirmed that it was </w:t>
      </w:r>
      <w:r w:rsidR="008F1D66" w:rsidRPr="003F141B">
        <w:rPr>
          <w:lang w:val="en-CA"/>
        </w:rPr>
        <w:t xml:space="preserve">moving </w:t>
      </w:r>
      <w:r w:rsidR="00C43A9E" w:rsidRPr="003F141B">
        <w:rPr>
          <w:lang w:val="en-CA"/>
        </w:rPr>
        <w:t xml:space="preserve">at 89 km/hr, </w:t>
      </w:r>
      <w:r w:rsidR="00C4098E">
        <w:rPr>
          <w:lang w:val="en-CA"/>
        </w:rPr>
        <w:t xml:space="preserve">although </w:t>
      </w:r>
      <w:r w:rsidR="00C43A9E" w:rsidRPr="003F141B">
        <w:rPr>
          <w:lang w:val="en-CA"/>
        </w:rPr>
        <w:t xml:space="preserve">the </w:t>
      </w:r>
      <w:r w:rsidR="00B25D39" w:rsidRPr="003F141B">
        <w:rPr>
          <w:lang w:val="en-CA"/>
        </w:rPr>
        <w:t>speed limit in that area was 50 km/h.</w:t>
      </w:r>
    </w:p>
    <w:p w14:paraId="089C88FA" w14:textId="4EC6A503" w:rsidR="009130CA" w:rsidRPr="003F141B" w:rsidRDefault="00B25D39" w:rsidP="009130CA">
      <w:pPr>
        <w:pStyle w:val="Paragraphe"/>
        <w:spacing w:line="240" w:lineRule="auto"/>
        <w:rPr>
          <w:lang w:val="en-CA"/>
        </w:rPr>
      </w:pPr>
      <w:r w:rsidRPr="003F141B">
        <w:rPr>
          <w:lang w:val="en-CA"/>
        </w:rPr>
        <w:t>They turned on their flashing lights and made a U-turn to stop him.</w:t>
      </w:r>
      <w:r w:rsidR="005003D8" w:rsidRPr="003F141B">
        <w:rPr>
          <w:lang w:val="en-CA"/>
        </w:rPr>
        <w:t xml:space="preserve"> </w:t>
      </w:r>
      <w:r w:rsidRPr="003F141B">
        <w:rPr>
          <w:lang w:val="en-CA"/>
        </w:rPr>
        <w:t xml:space="preserve">It is </w:t>
      </w:r>
      <w:r w:rsidR="008F1D66" w:rsidRPr="003F141B">
        <w:rPr>
          <w:lang w:val="en-CA"/>
        </w:rPr>
        <w:t xml:space="preserve">not disputed </w:t>
      </w:r>
      <w:r w:rsidRPr="003F141B">
        <w:rPr>
          <w:lang w:val="en-CA"/>
        </w:rPr>
        <w:t>that the respondent was driving the vehicle.</w:t>
      </w:r>
    </w:p>
    <w:p w14:paraId="783F9A9C" w14:textId="11920C82" w:rsidR="009130CA" w:rsidRPr="003F141B" w:rsidRDefault="00B25D39" w:rsidP="009130CA">
      <w:pPr>
        <w:pStyle w:val="Paragraphe"/>
        <w:spacing w:line="240" w:lineRule="auto"/>
        <w:rPr>
          <w:lang w:val="en-CA"/>
        </w:rPr>
      </w:pPr>
      <w:r w:rsidRPr="003F141B">
        <w:rPr>
          <w:lang w:val="en-CA"/>
        </w:rPr>
        <w:t>The respondent did not stop</w:t>
      </w:r>
      <w:r w:rsidR="008F1D66" w:rsidRPr="003F141B">
        <w:rPr>
          <w:lang w:val="en-CA"/>
        </w:rPr>
        <w:t xml:space="preserve">. He </w:t>
      </w:r>
      <w:r w:rsidRPr="003F141B">
        <w:rPr>
          <w:lang w:val="en-CA"/>
        </w:rPr>
        <w:t>turned left onto a street</w:t>
      </w:r>
      <w:r w:rsidR="008F1D66" w:rsidRPr="003F141B">
        <w:rPr>
          <w:lang w:val="en-CA"/>
        </w:rPr>
        <w:t xml:space="preserve"> and</w:t>
      </w:r>
      <w:r w:rsidRPr="003F141B">
        <w:rPr>
          <w:lang w:val="en-CA"/>
        </w:rPr>
        <w:t xml:space="preserve"> then into the parking lot of a daycare centre</w:t>
      </w:r>
      <w:r w:rsidR="008F1D66" w:rsidRPr="003F141B">
        <w:rPr>
          <w:lang w:val="en-CA"/>
        </w:rPr>
        <w:t>,</w:t>
      </w:r>
      <w:r w:rsidRPr="003F141B">
        <w:rPr>
          <w:lang w:val="en-CA"/>
        </w:rPr>
        <w:t xml:space="preserve"> where he </w:t>
      </w:r>
      <w:r w:rsidR="00CB5485" w:rsidRPr="003F141B">
        <w:rPr>
          <w:lang w:val="en-CA"/>
        </w:rPr>
        <w:t>stopped</w:t>
      </w:r>
      <w:r w:rsidRPr="003F141B">
        <w:rPr>
          <w:lang w:val="en-CA"/>
        </w:rPr>
        <w:t xml:space="preserve"> his vehicle.</w:t>
      </w:r>
      <w:r w:rsidR="005003D8" w:rsidRPr="003F141B">
        <w:rPr>
          <w:lang w:val="en-CA"/>
        </w:rPr>
        <w:t xml:space="preserve"> </w:t>
      </w:r>
      <w:r w:rsidRPr="003F141B">
        <w:rPr>
          <w:lang w:val="en-CA"/>
        </w:rPr>
        <w:t xml:space="preserve">The police officers saw him get out then run </w:t>
      </w:r>
      <w:r w:rsidR="00CB5485" w:rsidRPr="003F141B">
        <w:rPr>
          <w:lang w:val="en-CA"/>
        </w:rPr>
        <w:t xml:space="preserve">into </w:t>
      </w:r>
      <w:r w:rsidRPr="003F141B">
        <w:rPr>
          <w:lang w:val="en-CA"/>
        </w:rPr>
        <w:t>an adj</w:t>
      </w:r>
      <w:r w:rsidR="00CB5485" w:rsidRPr="003F141B">
        <w:rPr>
          <w:lang w:val="en-CA"/>
        </w:rPr>
        <w:t>acent</w:t>
      </w:r>
      <w:r w:rsidRPr="003F141B">
        <w:rPr>
          <w:lang w:val="en-CA"/>
        </w:rPr>
        <w:t xml:space="preserve"> wooded area. The police officers went to the edge of the area.</w:t>
      </w:r>
      <w:r w:rsidR="005003D8" w:rsidRPr="003F141B">
        <w:rPr>
          <w:lang w:val="en-CA"/>
        </w:rPr>
        <w:t xml:space="preserve"> </w:t>
      </w:r>
      <w:r w:rsidRPr="003F141B">
        <w:rPr>
          <w:lang w:val="en-CA"/>
        </w:rPr>
        <w:t>The</w:t>
      </w:r>
      <w:r w:rsidR="000916A8">
        <w:rPr>
          <w:lang w:val="en-CA"/>
        </w:rPr>
        <w:t>y</w:t>
      </w:r>
      <w:r w:rsidRPr="003F141B">
        <w:rPr>
          <w:lang w:val="en-CA"/>
        </w:rPr>
        <w:t xml:space="preserve"> were unable to establish visual contact </w:t>
      </w:r>
      <w:r w:rsidR="008F1D66" w:rsidRPr="003F141B">
        <w:rPr>
          <w:lang w:val="en-CA"/>
        </w:rPr>
        <w:t xml:space="preserve">and </w:t>
      </w:r>
      <w:r w:rsidRPr="003F141B">
        <w:rPr>
          <w:lang w:val="en-CA"/>
        </w:rPr>
        <w:t xml:space="preserve">repeatedly asked the respondent to come out of the wooded area, </w:t>
      </w:r>
      <w:r w:rsidR="008F1D66" w:rsidRPr="003F141B">
        <w:rPr>
          <w:lang w:val="en-CA"/>
        </w:rPr>
        <w:t xml:space="preserve">but </w:t>
      </w:r>
      <w:r w:rsidRPr="003F141B">
        <w:rPr>
          <w:lang w:val="en-CA"/>
        </w:rPr>
        <w:t>to no avail.</w:t>
      </w:r>
      <w:r w:rsidR="005003D8" w:rsidRPr="003F141B">
        <w:rPr>
          <w:lang w:val="en-CA"/>
        </w:rPr>
        <w:t xml:space="preserve"> </w:t>
      </w:r>
      <w:r w:rsidRPr="003F141B">
        <w:rPr>
          <w:lang w:val="en-CA"/>
        </w:rPr>
        <w:t>Using a flashlight, one of them located him lying on the ground.</w:t>
      </w:r>
      <w:r w:rsidR="005003D8" w:rsidRPr="003F141B">
        <w:rPr>
          <w:lang w:val="en-CA"/>
        </w:rPr>
        <w:t xml:space="preserve"> </w:t>
      </w:r>
      <w:r w:rsidR="008F1D66" w:rsidRPr="003F141B">
        <w:rPr>
          <w:lang w:val="en-CA"/>
        </w:rPr>
        <w:t xml:space="preserve">The respondent, exposed in the flashlight beam, finally </w:t>
      </w:r>
      <w:r w:rsidR="000916A8">
        <w:rPr>
          <w:lang w:val="en-CA"/>
        </w:rPr>
        <w:t>complied</w:t>
      </w:r>
      <w:r w:rsidRPr="003F141B">
        <w:rPr>
          <w:lang w:val="en-CA"/>
        </w:rPr>
        <w:t>.</w:t>
      </w:r>
    </w:p>
    <w:p w14:paraId="3B1B50ED" w14:textId="2AF69FC2" w:rsidR="009130CA" w:rsidRPr="003F141B" w:rsidRDefault="00B25D39" w:rsidP="009130CA">
      <w:pPr>
        <w:pStyle w:val="Paragraphe"/>
        <w:spacing w:line="240" w:lineRule="auto"/>
        <w:rPr>
          <w:lang w:val="en-CA"/>
        </w:rPr>
      </w:pPr>
      <w:r w:rsidRPr="003F141B">
        <w:rPr>
          <w:lang w:val="en-CA"/>
        </w:rPr>
        <w:t>When asked why he</w:t>
      </w:r>
      <w:r w:rsidR="008F1D66" w:rsidRPr="003F141B">
        <w:rPr>
          <w:lang w:val="en-CA"/>
        </w:rPr>
        <w:t xml:space="preserve"> had</w:t>
      </w:r>
      <w:r w:rsidRPr="003F141B">
        <w:rPr>
          <w:lang w:val="en-CA"/>
        </w:rPr>
        <w:t xml:space="preserve"> attempted to flee, the respondent answered </w:t>
      </w:r>
      <w:r w:rsidR="00CB5485" w:rsidRPr="003F141B">
        <w:rPr>
          <w:lang w:val="en-CA"/>
        </w:rPr>
        <w:t>with a confused look and slurr</w:t>
      </w:r>
      <w:r w:rsidR="008F1D66" w:rsidRPr="003F141B">
        <w:rPr>
          <w:lang w:val="en-CA"/>
        </w:rPr>
        <w:t>ed words</w:t>
      </w:r>
      <w:r w:rsidR="00CB5485" w:rsidRPr="003F141B">
        <w:rPr>
          <w:lang w:val="en-CA"/>
        </w:rPr>
        <w:t xml:space="preserve"> </w:t>
      </w:r>
      <w:r w:rsidRPr="003F141B">
        <w:rPr>
          <w:lang w:val="en-CA"/>
        </w:rPr>
        <w:t xml:space="preserve">that he </w:t>
      </w:r>
      <w:r w:rsidR="008F1D66" w:rsidRPr="003F141B">
        <w:rPr>
          <w:lang w:val="en-CA"/>
        </w:rPr>
        <w:t xml:space="preserve">had </w:t>
      </w:r>
      <w:r w:rsidRPr="003F141B">
        <w:rPr>
          <w:lang w:val="en-CA"/>
        </w:rPr>
        <w:t>panicked because he did not have a driver</w:t>
      </w:r>
      <w:r w:rsidR="003061CC">
        <w:rPr>
          <w:lang w:val="en-CA"/>
        </w:rPr>
        <w:t>’</w:t>
      </w:r>
      <w:r w:rsidRPr="003F141B">
        <w:rPr>
          <w:lang w:val="en-CA"/>
        </w:rPr>
        <w:t xml:space="preserve">s licence. </w:t>
      </w:r>
      <w:r w:rsidR="005003D8" w:rsidRPr="003F141B">
        <w:rPr>
          <w:lang w:val="en-CA"/>
        </w:rPr>
        <w:t xml:space="preserve"> </w:t>
      </w:r>
      <w:r w:rsidR="008F1D66" w:rsidRPr="003F141B">
        <w:rPr>
          <w:lang w:val="en-CA"/>
        </w:rPr>
        <w:t>He</w:t>
      </w:r>
      <w:r w:rsidRPr="003F141B">
        <w:rPr>
          <w:lang w:val="en-CA"/>
        </w:rPr>
        <w:t xml:space="preserve"> stated that he had not </w:t>
      </w:r>
      <w:r w:rsidR="00C04ABF">
        <w:rPr>
          <w:lang w:val="en-CA"/>
        </w:rPr>
        <w:t xml:space="preserve">consumed alcohol </w:t>
      </w:r>
      <w:r w:rsidRPr="003F141B">
        <w:rPr>
          <w:lang w:val="en-CA"/>
        </w:rPr>
        <w:t>that evening.</w:t>
      </w:r>
    </w:p>
    <w:p w14:paraId="21FC707D" w14:textId="7384F608" w:rsidR="009130CA" w:rsidRPr="003F141B" w:rsidRDefault="00B25D39" w:rsidP="009130CA">
      <w:pPr>
        <w:pStyle w:val="Paragraphe"/>
        <w:spacing w:line="240" w:lineRule="auto"/>
        <w:rPr>
          <w:lang w:val="en-CA"/>
        </w:rPr>
      </w:pPr>
      <w:r w:rsidRPr="003F141B">
        <w:rPr>
          <w:lang w:val="en-CA"/>
        </w:rPr>
        <w:t>In these circumstances, at 10:35 p.m., the police officers decided to use the approved al</w:t>
      </w:r>
      <w:r w:rsidR="00CB5485" w:rsidRPr="003F141B">
        <w:rPr>
          <w:lang w:val="en-CA"/>
        </w:rPr>
        <w:t>cohol screening device (</w:t>
      </w:r>
      <w:r w:rsidR="00081775">
        <w:rPr>
          <w:lang w:val="en-CA"/>
        </w:rPr>
        <w:t>“</w:t>
      </w:r>
      <w:r w:rsidR="00CB5485" w:rsidRPr="003F141B">
        <w:rPr>
          <w:lang w:val="en-CA"/>
        </w:rPr>
        <w:t>ASD</w:t>
      </w:r>
      <w:r w:rsidR="00081775">
        <w:rPr>
          <w:lang w:val="en-CA"/>
        </w:rPr>
        <w:t>”</w:t>
      </w:r>
      <w:r w:rsidR="00CB5485" w:rsidRPr="003F141B">
        <w:rPr>
          <w:lang w:val="en-CA"/>
        </w:rPr>
        <w:t>).</w:t>
      </w:r>
      <w:r w:rsidR="005003D8" w:rsidRPr="003F141B">
        <w:rPr>
          <w:rStyle w:val="Appelnotedebasdep"/>
          <w:lang w:val="en-CA"/>
        </w:rPr>
        <w:footnoteReference w:id="8"/>
      </w:r>
      <w:r w:rsidRPr="003F141B">
        <w:rPr>
          <w:lang w:val="en-CA"/>
        </w:rPr>
        <w:t xml:space="preserve"> </w:t>
      </w:r>
      <w:r w:rsidR="005003D8" w:rsidRPr="003F141B">
        <w:rPr>
          <w:lang w:val="en-CA"/>
        </w:rPr>
        <w:t xml:space="preserve"> </w:t>
      </w:r>
      <w:r w:rsidRPr="003F141B">
        <w:rPr>
          <w:lang w:val="en-CA"/>
        </w:rPr>
        <w:t xml:space="preserve">Before blowing into the device, the accused spontaneously corrected his first statement and </w:t>
      </w:r>
      <w:r w:rsidR="00663E70" w:rsidRPr="003F141B">
        <w:rPr>
          <w:lang w:val="en-CA"/>
        </w:rPr>
        <w:t xml:space="preserve">stated </w:t>
      </w:r>
      <w:r w:rsidRPr="003F141B">
        <w:rPr>
          <w:lang w:val="en-CA"/>
        </w:rPr>
        <w:t xml:space="preserve">that he had </w:t>
      </w:r>
      <w:r w:rsidR="00663E70" w:rsidRPr="003F141B">
        <w:rPr>
          <w:lang w:val="en-CA"/>
        </w:rPr>
        <w:t xml:space="preserve">drunk </w:t>
      </w:r>
      <w:r w:rsidRPr="003F141B">
        <w:rPr>
          <w:lang w:val="en-CA"/>
        </w:rPr>
        <w:t xml:space="preserve">one glass of wine that evening, about </w:t>
      </w:r>
      <w:r w:rsidR="00663E70" w:rsidRPr="003F141B">
        <w:rPr>
          <w:lang w:val="en-CA"/>
        </w:rPr>
        <w:t xml:space="preserve">an </w:t>
      </w:r>
      <w:r w:rsidRPr="003F141B">
        <w:rPr>
          <w:lang w:val="en-CA"/>
        </w:rPr>
        <w:t>hour earlier.</w:t>
      </w:r>
      <w:r w:rsidR="005003D8" w:rsidRPr="003F141B">
        <w:rPr>
          <w:lang w:val="en-CA"/>
        </w:rPr>
        <w:t xml:space="preserve"> </w:t>
      </w:r>
      <w:r w:rsidRPr="003F141B">
        <w:rPr>
          <w:lang w:val="en-CA"/>
        </w:rPr>
        <w:t xml:space="preserve">He then blew into the ASD and the second result </w:t>
      </w:r>
      <w:proofErr w:type="gramStart"/>
      <w:r w:rsidRPr="003F141B">
        <w:rPr>
          <w:lang w:val="en-CA"/>
        </w:rPr>
        <w:t>indicated</w:t>
      </w:r>
      <w:proofErr w:type="gramEnd"/>
      <w:r w:rsidRPr="003F141B">
        <w:rPr>
          <w:lang w:val="en-CA"/>
        </w:rPr>
        <w:t xml:space="preserve"> </w:t>
      </w:r>
      <w:r w:rsidR="00081775">
        <w:rPr>
          <w:lang w:val="en-CA"/>
        </w:rPr>
        <w:t>“</w:t>
      </w:r>
      <w:r w:rsidRPr="003F141B">
        <w:rPr>
          <w:lang w:val="en-CA"/>
        </w:rPr>
        <w:t>fail</w:t>
      </w:r>
      <w:r w:rsidR="00081775">
        <w:rPr>
          <w:lang w:val="en-CA"/>
        </w:rPr>
        <w:t>”</w:t>
      </w:r>
      <w:r w:rsidRPr="003F141B">
        <w:rPr>
          <w:lang w:val="en-CA"/>
        </w:rPr>
        <w:t>.</w:t>
      </w:r>
    </w:p>
    <w:p w14:paraId="6C741D76" w14:textId="7342B383" w:rsidR="009130CA" w:rsidRPr="003F141B" w:rsidRDefault="00B25D39" w:rsidP="009130CA">
      <w:pPr>
        <w:pStyle w:val="Paragraphe"/>
        <w:spacing w:line="240" w:lineRule="auto"/>
        <w:rPr>
          <w:lang w:val="en-CA"/>
        </w:rPr>
      </w:pPr>
      <w:r w:rsidRPr="003F141B">
        <w:rPr>
          <w:lang w:val="en-CA"/>
        </w:rPr>
        <w:t xml:space="preserve">At 10:41 p.m., </w:t>
      </w:r>
      <w:r w:rsidR="00CB5B57" w:rsidRPr="003F141B">
        <w:rPr>
          <w:lang w:val="en-CA"/>
        </w:rPr>
        <w:t>O</w:t>
      </w:r>
      <w:r w:rsidRPr="003F141B">
        <w:rPr>
          <w:lang w:val="en-CA"/>
        </w:rPr>
        <w:t xml:space="preserve">fficer </w:t>
      </w:r>
      <w:proofErr w:type="spellStart"/>
      <w:r w:rsidRPr="003F141B">
        <w:rPr>
          <w:lang w:val="en-CA"/>
        </w:rPr>
        <w:t>Larouche</w:t>
      </w:r>
      <w:proofErr w:type="spellEnd"/>
      <w:r w:rsidRPr="003F141B">
        <w:rPr>
          <w:lang w:val="en-CA"/>
        </w:rPr>
        <w:t xml:space="preserve"> arrested the respondent for impaired driving.</w:t>
      </w:r>
      <w:r w:rsidR="005003D8" w:rsidRPr="003F141B">
        <w:rPr>
          <w:lang w:val="en-CA"/>
        </w:rPr>
        <w:t xml:space="preserve"> </w:t>
      </w:r>
      <w:r w:rsidRPr="003F141B">
        <w:rPr>
          <w:lang w:val="en-CA"/>
        </w:rPr>
        <w:t xml:space="preserve">She also ordered him to accompany them to the police station for </w:t>
      </w:r>
      <w:r w:rsidR="00CB5485" w:rsidRPr="003F141B">
        <w:rPr>
          <w:lang w:val="en-CA"/>
        </w:rPr>
        <w:t xml:space="preserve">an </w:t>
      </w:r>
      <w:r w:rsidRPr="003F141B">
        <w:rPr>
          <w:lang w:val="en-CA"/>
        </w:rPr>
        <w:t xml:space="preserve">analysis of his breath samples </w:t>
      </w:r>
      <w:r w:rsidR="00CB5485" w:rsidRPr="003F141B">
        <w:rPr>
          <w:lang w:val="en-CA"/>
        </w:rPr>
        <w:t>with</w:t>
      </w:r>
      <w:r w:rsidRPr="003F141B">
        <w:rPr>
          <w:lang w:val="en-CA"/>
        </w:rPr>
        <w:t xml:space="preserve"> an approved breathalyzer</w:t>
      </w:r>
      <w:r w:rsidRPr="003F141B">
        <w:rPr>
          <w:rStyle w:val="Appelnotedebasdep"/>
          <w:lang w:val="en-CA"/>
        </w:rPr>
        <w:footnoteReference w:id="9"/>
      </w:r>
      <w:r w:rsidRPr="003F141B">
        <w:rPr>
          <w:lang w:val="en-CA"/>
        </w:rPr>
        <w:t xml:space="preserve"> and informed him of his rights. </w:t>
      </w:r>
      <w:r w:rsidR="005003D8" w:rsidRPr="003F141B">
        <w:rPr>
          <w:lang w:val="en-CA"/>
        </w:rPr>
        <w:t xml:space="preserve"> </w:t>
      </w:r>
      <w:r w:rsidRPr="003F141B">
        <w:rPr>
          <w:lang w:val="en-CA"/>
        </w:rPr>
        <w:t xml:space="preserve">He answered </w:t>
      </w:r>
      <w:r w:rsidRPr="003F141B">
        <w:rPr>
          <w:lang w:val="en-CA"/>
        </w:rPr>
        <w:lastRenderedPageBreak/>
        <w:t xml:space="preserve">that he understood and </w:t>
      </w:r>
      <w:r w:rsidR="00663E70" w:rsidRPr="003F141B">
        <w:rPr>
          <w:lang w:val="en-CA"/>
        </w:rPr>
        <w:t xml:space="preserve">that he </w:t>
      </w:r>
      <w:r w:rsidRPr="003F141B">
        <w:rPr>
          <w:lang w:val="en-CA"/>
        </w:rPr>
        <w:t>did not wish to speak to a lawyer.</w:t>
      </w:r>
      <w:r w:rsidR="005003D8" w:rsidRPr="003F141B">
        <w:rPr>
          <w:lang w:val="en-CA"/>
        </w:rPr>
        <w:t xml:space="preserve"> </w:t>
      </w:r>
      <w:r w:rsidRPr="003F141B">
        <w:rPr>
          <w:lang w:val="en-CA"/>
        </w:rPr>
        <w:t xml:space="preserve">A cursory </w:t>
      </w:r>
      <w:r w:rsidR="00CB5485" w:rsidRPr="003F141B">
        <w:rPr>
          <w:lang w:val="en-CA"/>
        </w:rPr>
        <w:t>search</w:t>
      </w:r>
      <w:r w:rsidRPr="003F141B">
        <w:rPr>
          <w:lang w:val="en-CA"/>
        </w:rPr>
        <w:t xml:space="preserve"> of his vehicle before they left </w:t>
      </w:r>
      <w:r w:rsidR="00CB5485" w:rsidRPr="003F141B">
        <w:rPr>
          <w:lang w:val="en-CA"/>
        </w:rPr>
        <w:t>yielded</w:t>
      </w:r>
      <w:r w:rsidRPr="003F141B">
        <w:rPr>
          <w:lang w:val="en-CA"/>
        </w:rPr>
        <w:t xml:space="preserve"> the cork from a wine bottle.</w:t>
      </w:r>
    </w:p>
    <w:p w14:paraId="3D9B1E98" w14:textId="525BA8B9" w:rsidR="009130CA" w:rsidRPr="003F141B" w:rsidRDefault="00B25D39" w:rsidP="009130CA">
      <w:pPr>
        <w:pStyle w:val="Paragraphe"/>
        <w:spacing w:line="240" w:lineRule="auto"/>
        <w:rPr>
          <w:lang w:val="en-CA"/>
        </w:rPr>
      </w:pPr>
      <w:r w:rsidRPr="003F141B">
        <w:rPr>
          <w:lang w:val="en-CA"/>
        </w:rPr>
        <w:t xml:space="preserve">The parties left the </w:t>
      </w:r>
      <w:r w:rsidR="00CB5485" w:rsidRPr="003F141B">
        <w:rPr>
          <w:lang w:val="en-CA"/>
        </w:rPr>
        <w:t>scene</w:t>
      </w:r>
      <w:r w:rsidRPr="003F141B">
        <w:rPr>
          <w:lang w:val="en-CA"/>
        </w:rPr>
        <w:t xml:space="preserve"> at about 11:03 p.m. and </w:t>
      </w:r>
      <w:r w:rsidR="00663E70" w:rsidRPr="003F141B">
        <w:rPr>
          <w:lang w:val="en-CA"/>
        </w:rPr>
        <w:t>arri</w:t>
      </w:r>
      <w:r w:rsidR="00CB5B57" w:rsidRPr="003F141B">
        <w:rPr>
          <w:lang w:val="en-CA"/>
        </w:rPr>
        <w:t>v</w:t>
      </w:r>
      <w:r w:rsidR="00663E70" w:rsidRPr="003F141B">
        <w:rPr>
          <w:lang w:val="en-CA"/>
        </w:rPr>
        <w:t>ed at</w:t>
      </w:r>
      <w:r w:rsidRPr="003F141B">
        <w:rPr>
          <w:lang w:val="en-CA"/>
        </w:rPr>
        <w:t xml:space="preserve"> the station at 11:16</w:t>
      </w:r>
      <w:r w:rsidR="00D07E91">
        <w:rPr>
          <w:lang w:val="en-CA"/>
        </w:rPr>
        <w:t> </w:t>
      </w:r>
      <w:r w:rsidRPr="003F141B">
        <w:rPr>
          <w:lang w:val="en-CA"/>
        </w:rPr>
        <w:t>p.m.</w:t>
      </w:r>
    </w:p>
    <w:p w14:paraId="02F18843" w14:textId="2164937B" w:rsidR="009130CA" w:rsidRPr="003F141B" w:rsidRDefault="00663E70" w:rsidP="009130CA">
      <w:pPr>
        <w:pStyle w:val="Paragraphe"/>
        <w:spacing w:line="240" w:lineRule="auto"/>
        <w:rPr>
          <w:lang w:val="en-CA"/>
        </w:rPr>
      </w:pPr>
      <w:r w:rsidRPr="003F141B">
        <w:rPr>
          <w:lang w:val="en-CA"/>
        </w:rPr>
        <w:t xml:space="preserve">At </w:t>
      </w:r>
      <w:r w:rsidR="00E94B56">
        <w:rPr>
          <w:lang w:val="en-CA"/>
        </w:rPr>
        <w:t xml:space="preserve">about </w:t>
      </w:r>
      <w:r w:rsidRPr="003F141B">
        <w:rPr>
          <w:lang w:val="en-CA"/>
        </w:rPr>
        <w:t>11:30 p.m., a</w:t>
      </w:r>
      <w:r w:rsidR="00B25D39" w:rsidRPr="003F141B">
        <w:rPr>
          <w:lang w:val="en-CA"/>
        </w:rPr>
        <w:t>fter the usual procedures upon arriv</w:t>
      </w:r>
      <w:r w:rsidR="00CB5485" w:rsidRPr="003F141B">
        <w:rPr>
          <w:lang w:val="en-CA"/>
        </w:rPr>
        <w:t>al</w:t>
      </w:r>
      <w:r w:rsidR="00B25D39" w:rsidRPr="003F141B">
        <w:rPr>
          <w:lang w:val="en-CA"/>
        </w:rPr>
        <w:t xml:space="preserve">, the officers </w:t>
      </w:r>
      <w:r w:rsidR="003154D7">
        <w:rPr>
          <w:lang w:val="en-CA"/>
        </w:rPr>
        <w:t xml:space="preserve">once again </w:t>
      </w:r>
      <w:r w:rsidR="00B25D39" w:rsidRPr="003F141B">
        <w:rPr>
          <w:lang w:val="en-CA"/>
        </w:rPr>
        <w:t xml:space="preserve">asked the respondent if he still </w:t>
      </w:r>
      <w:r w:rsidR="00CB5485" w:rsidRPr="003F141B">
        <w:rPr>
          <w:lang w:val="en-CA"/>
        </w:rPr>
        <w:t>did not wish</w:t>
      </w:r>
      <w:r w:rsidR="00B25D39" w:rsidRPr="003F141B">
        <w:rPr>
          <w:lang w:val="en-CA"/>
        </w:rPr>
        <w:t xml:space="preserve"> to </w:t>
      </w:r>
      <w:r w:rsidR="00CB5485" w:rsidRPr="003F141B">
        <w:rPr>
          <w:lang w:val="en-CA"/>
        </w:rPr>
        <w:t>contact</w:t>
      </w:r>
      <w:r w:rsidR="00B25D39" w:rsidRPr="003F141B">
        <w:rPr>
          <w:lang w:val="en-CA"/>
        </w:rPr>
        <w:t xml:space="preserve"> a lawyer.</w:t>
      </w:r>
      <w:r w:rsidR="005003D8" w:rsidRPr="003F141B">
        <w:rPr>
          <w:lang w:val="en-CA"/>
        </w:rPr>
        <w:t xml:space="preserve"> </w:t>
      </w:r>
      <w:r w:rsidR="00B25D39" w:rsidRPr="003F141B">
        <w:rPr>
          <w:lang w:val="en-CA"/>
        </w:rPr>
        <w:t>This time, he answered that he did</w:t>
      </w:r>
      <w:r w:rsidR="00AB2017" w:rsidRPr="003F141B">
        <w:rPr>
          <w:lang w:val="en-CA"/>
        </w:rPr>
        <w:t>, adding</w:t>
      </w:r>
      <w:r w:rsidR="00B25D39" w:rsidRPr="003F141B">
        <w:rPr>
          <w:lang w:val="en-CA"/>
        </w:rPr>
        <w:t xml:space="preserve"> that he wanted to speak to </w:t>
      </w:r>
      <w:proofErr w:type="spellStart"/>
      <w:r w:rsidR="00B25D39" w:rsidRPr="003F141B">
        <w:rPr>
          <w:lang w:val="en-CA"/>
        </w:rPr>
        <w:t>Mtre</w:t>
      </w:r>
      <w:proofErr w:type="spellEnd"/>
      <w:r w:rsidR="00B25D39" w:rsidRPr="003F141B">
        <w:rPr>
          <w:lang w:val="en-CA"/>
        </w:rPr>
        <w:t xml:space="preserve"> </w:t>
      </w:r>
      <w:proofErr w:type="spellStart"/>
      <w:r w:rsidR="00B25D39" w:rsidRPr="003F141B">
        <w:rPr>
          <w:lang w:val="en-CA"/>
        </w:rPr>
        <w:t>Boulianne</w:t>
      </w:r>
      <w:proofErr w:type="spellEnd"/>
      <w:r w:rsidR="00B25D39" w:rsidRPr="003F141B">
        <w:rPr>
          <w:lang w:val="en-CA"/>
        </w:rPr>
        <w:t xml:space="preserve"> or </w:t>
      </w:r>
      <w:proofErr w:type="spellStart"/>
      <w:r w:rsidR="00B25D39" w:rsidRPr="003F141B">
        <w:rPr>
          <w:lang w:val="en-CA"/>
        </w:rPr>
        <w:t>Mtre</w:t>
      </w:r>
      <w:proofErr w:type="spellEnd"/>
      <w:r w:rsidR="00B25D39" w:rsidRPr="003F141B">
        <w:rPr>
          <w:lang w:val="en-CA"/>
        </w:rPr>
        <w:t xml:space="preserve"> </w:t>
      </w:r>
      <w:proofErr w:type="spellStart"/>
      <w:r w:rsidR="00B25D39" w:rsidRPr="003F141B">
        <w:rPr>
          <w:lang w:val="en-CA"/>
        </w:rPr>
        <w:t>Cantin</w:t>
      </w:r>
      <w:proofErr w:type="spellEnd"/>
      <w:r w:rsidR="00B25D39" w:rsidRPr="003F141B">
        <w:rPr>
          <w:lang w:val="en-CA"/>
        </w:rPr>
        <w:t>, who practi</w:t>
      </w:r>
      <w:r w:rsidR="005A2381">
        <w:rPr>
          <w:lang w:val="en-CA"/>
        </w:rPr>
        <w:t>s</w:t>
      </w:r>
      <w:r w:rsidR="00B25D39" w:rsidRPr="003F141B">
        <w:rPr>
          <w:lang w:val="en-CA"/>
        </w:rPr>
        <w:t>e in the same firm.</w:t>
      </w:r>
    </w:p>
    <w:p w14:paraId="07051A0E" w14:textId="2A7A9A18" w:rsidR="009130CA" w:rsidRPr="003F141B" w:rsidRDefault="00B25D39" w:rsidP="009130CA">
      <w:pPr>
        <w:pStyle w:val="Paragraphe"/>
        <w:spacing w:line="240" w:lineRule="auto"/>
        <w:rPr>
          <w:lang w:val="en-CA"/>
        </w:rPr>
      </w:pPr>
      <w:r w:rsidRPr="003F141B">
        <w:rPr>
          <w:lang w:val="en-CA"/>
        </w:rPr>
        <w:t>At about the same time, the station</w:t>
      </w:r>
      <w:r w:rsidR="003061CC">
        <w:rPr>
          <w:lang w:val="en-CA"/>
        </w:rPr>
        <w:t>’</w:t>
      </w:r>
      <w:r w:rsidRPr="003F141B">
        <w:rPr>
          <w:lang w:val="en-CA"/>
        </w:rPr>
        <w:t xml:space="preserve">s dispatcher informed his colleagues that the respondent was subject to a condition to abstain from </w:t>
      </w:r>
      <w:r w:rsidR="005A2381">
        <w:rPr>
          <w:lang w:val="en-CA"/>
        </w:rPr>
        <w:t xml:space="preserve">consuming alcohol </w:t>
      </w:r>
      <w:r w:rsidR="00EC0E82" w:rsidRPr="003F141B">
        <w:rPr>
          <w:lang w:val="en-CA"/>
        </w:rPr>
        <w:t>in relation</w:t>
      </w:r>
      <w:r w:rsidRPr="003F141B">
        <w:rPr>
          <w:lang w:val="en-CA"/>
        </w:rPr>
        <w:t xml:space="preserve"> to a previous offence.</w:t>
      </w:r>
      <w:r w:rsidR="005003D8" w:rsidRPr="003F141B">
        <w:rPr>
          <w:lang w:val="en-CA"/>
        </w:rPr>
        <w:t xml:space="preserve"> </w:t>
      </w:r>
      <w:r w:rsidR="007B083D" w:rsidRPr="003F141B">
        <w:rPr>
          <w:lang w:val="en-CA"/>
        </w:rPr>
        <w:t xml:space="preserve">The respondent </w:t>
      </w:r>
      <w:r w:rsidRPr="003F141B">
        <w:rPr>
          <w:lang w:val="en-CA"/>
        </w:rPr>
        <w:t>was arrested for breach of conditions</w:t>
      </w:r>
      <w:r w:rsidR="007B083D" w:rsidRPr="003F141B">
        <w:rPr>
          <w:lang w:val="en-CA"/>
        </w:rPr>
        <w:t>,</w:t>
      </w:r>
      <w:r w:rsidRPr="003F141B">
        <w:rPr>
          <w:lang w:val="en-CA"/>
        </w:rPr>
        <w:t xml:space="preserve"> and </w:t>
      </w:r>
      <w:r w:rsidR="00CB5B57" w:rsidRPr="003F141B">
        <w:rPr>
          <w:lang w:val="en-CA"/>
        </w:rPr>
        <w:t>O</w:t>
      </w:r>
      <w:r w:rsidRPr="003F141B">
        <w:rPr>
          <w:lang w:val="en-CA"/>
        </w:rPr>
        <w:t xml:space="preserve">fficer </w:t>
      </w:r>
      <w:proofErr w:type="spellStart"/>
      <w:r w:rsidRPr="003F141B">
        <w:rPr>
          <w:lang w:val="en-CA"/>
        </w:rPr>
        <w:t>Larouche</w:t>
      </w:r>
      <w:proofErr w:type="spellEnd"/>
      <w:r w:rsidRPr="003F141B">
        <w:rPr>
          <w:lang w:val="en-CA"/>
        </w:rPr>
        <w:t xml:space="preserve"> </w:t>
      </w:r>
      <w:r w:rsidR="009555F9">
        <w:rPr>
          <w:lang w:val="en-CA"/>
        </w:rPr>
        <w:t xml:space="preserve">therefore </w:t>
      </w:r>
      <w:r w:rsidRPr="003F141B">
        <w:rPr>
          <w:lang w:val="en-CA"/>
        </w:rPr>
        <w:t>read him his rights</w:t>
      </w:r>
      <w:r w:rsidR="007B083D" w:rsidRPr="003F141B">
        <w:rPr>
          <w:lang w:val="en-CA"/>
        </w:rPr>
        <w:t xml:space="preserve"> again</w:t>
      </w:r>
      <w:r w:rsidRPr="003F141B">
        <w:rPr>
          <w:lang w:val="en-CA"/>
        </w:rPr>
        <w:t xml:space="preserve">, including his right to </w:t>
      </w:r>
      <w:r w:rsidR="00EC0E82" w:rsidRPr="003F141B">
        <w:rPr>
          <w:lang w:val="en-CA"/>
        </w:rPr>
        <w:t xml:space="preserve">retain and instruct </w:t>
      </w:r>
      <w:r w:rsidRPr="003F141B">
        <w:rPr>
          <w:lang w:val="en-CA"/>
        </w:rPr>
        <w:t>counsel.</w:t>
      </w:r>
      <w:r w:rsidR="005003D8" w:rsidRPr="003F141B">
        <w:rPr>
          <w:lang w:val="en-CA"/>
        </w:rPr>
        <w:t xml:space="preserve"> </w:t>
      </w:r>
      <w:r w:rsidRPr="003F141B">
        <w:rPr>
          <w:lang w:val="en-CA"/>
        </w:rPr>
        <w:t xml:space="preserve">The respondent stated that </w:t>
      </w:r>
      <w:r w:rsidR="00EC0E82" w:rsidRPr="003F141B">
        <w:rPr>
          <w:lang w:val="en-CA"/>
        </w:rPr>
        <w:t>he understood</w:t>
      </w:r>
      <w:r w:rsidRPr="003F141B">
        <w:rPr>
          <w:lang w:val="en-CA"/>
        </w:rPr>
        <w:t xml:space="preserve"> and </w:t>
      </w:r>
      <w:r w:rsidR="00460CFA" w:rsidRPr="003F141B">
        <w:rPr>
          <w:lang w:val="en-CA"/>
        </w:rPr>
        <w:t>repeated</w:t>
      </w:r>
      <w:r w:rsidR="007B083D" w:rsidRPr="003F141B">
        <w:rPr>
          <w:lang w:val="en-CA"/>
        </w:rPr>
        <w:t xml:space="preserve"> </w:t>
      </w:r>
      <w:r w:rsidRPr="003F141B">
        <w:rPr>
          <w:lang w:val="en-CA"/>
        </w:rPr>
        <w:t xml:space="preserve">that he wanted to speak to </w:t>
      </w:r>
      <w:proofErr w:type="spellStart"/>
      <w:r w:rsidRPr="003F141B">
        <w:rPr>
          <w:lang w:val="en-CA"/>
        </w:rPr>
        <w:t>Mtre</w:t>
      </w:r>
      <w:proofErr w:type="spellEnd"/>
      <w:r w:rsidRPr="003F141B">
        <w:rPr>
          <w:lang w:val="en-CA"/>
        </w:rPr>
        <w:t xml:space="preserve"> </w:t>
      </w:r>
      <w:proofErr w:type="spellStart"/>
      <w:r w:rsidRPr="003F141B">
        <w:rPr>
          <w:lang w:val="en-CA"/>
        </w:rPr>
        <w:t>Boulianne</w:t>
      </w:r>
      <w:proofErr w:type="spellEnd"/>
      <w:r w:rsidRPr="003F141B">
        <w:rPr>
          <w:lang w:val="en-CA"/>
        </w:rPr>
        <w:t xml:space="preserve"> or </w:t>
      </w:r>
      <w:proofErr w:type="spellStart"/>
      <w:r w:rsidRPr="003F141B">
        <w:rPr>
          <w:lang w:val="en-CA"/>
        </w:rPr>
        <w:t>Mtre</w:t>
      </w:r>
      <w:proofErr w:type="spellEnd"/>
      <w:r w:rsidRPr="003F141B">
        <w:rPr>
          <w:lang w:val="en-CA"/>
        </w:rPr>
        <w:t xml:space="preserve"> </w:t>
      </w:r>
      <w:proofErr w:type="spellStart"/>
      <w:r w:rsidRPr="003F141B">
        <w:rPr>
          <w:lang w:val="en-CA"/>
        </w:rPr>
        <w:t>Cantin</w:t>
      </w:r>
      <w:proofErr w:type="spellEnd"/>
      <w:r w:rsidRPr="003F141B">
        <w:rPr>
          <w:lang w:val="en-CA"/>
        </w:rPr>
        <w:t>.</w:t>
      </w:r>
    </w:p>
    <w:p w14:paraId="69C548E7" w14:textId="7A62B24E" w:rsidR="009130CA" w:rsidRPr="003F141B" w:rsidRDefault="00B25D39" w:rsidP="009130CA">
      <w:pPr>
        <w:pStyle w:val="Paragraphe"/>
        <w:spacing w:line="240" w:lineRule="auto"/>
        <w:rPr>
          <w:lang w:val="en-CA"/>
        </w:rPr>
      </w:pPr>
      <w:r w:rsidRPr="003F141B">
        <w:rPr>
          <w:lang w:val="en-CA"/>
        </w:rPr>
        <w:t>The office</w:t>
      </w:r>
      <w:r w:rsidR="00EC0E82" w:rsidRPr="003F141B">
        <w:rPr>
          <w:lang w:val="en-CA"/>
        </w:rPr>
        <w:t>rs led him to</w:t>
      </w:r>
      <w:r w:rsidRPr="003F141B">
        <w:rPr>
          <w:lang w:val="en-CA"/>
        </w:rPr>
        <w:t xml:space="preserve"> a room where he could have a private telephone conversation and immediately took steps to </w:t>
      </w:r>
      <w:r w:rsidR="00C054DA">
        <w:rPr>
          <w:lang w:val="en-CA"/>
        </w:rPr>
        <w:t xml:space="preserve">try to </w:t>
      </w:r>
      <w:r w:rsidRPr="003F141B">
        <w:rPr>
          <w:lang w:val="en-CA"/>
        </w:rPr>
        <w:t>contact one of the lawyers</w:t>
      </w:r>
      <w:r w:rsidR="00EC0E82" w:rsidRPr="003F141B">
        <w:rPr>
          <w:lang w:val="en-CA"/>
        </w:rPr>
        <w:t xml:space="preserve"> identified</w:t>
      </w:r>
      <w:r w:rsidRPr="003F141B">
        <w:rPr>
          <w:lang w:val="en-CA"/>
        </w:rPr>
        <w:t>.</w:t>
      </w:r>
    </w:p>
    <w:p w14:paraId="508AB121" w14:textId="44E57F46" w:rsidR="009130CA" w:rsidRPr="003F141B" w:rsidRDefault="00B25D39" w:rsidP="009130CA">
      <w:pPr>
        <w:pStyle w:val="Paragraphe"/>
        <w:spacing w:line="240" w:lineRule="auto"/>
        <w:rPr>
          <w:lang w:val="en-CA"/>
        </w:rPr>
      </w:pPr>
      <w:r w:rsidRPr="003F141B">
        <w:rPr>
          <w:lang w:val="en-CA"/>
        </w:rPr>
        <w:t xml:space="preserve">To that end, </w:t>
      </w:r>
      <w:r w:rsidR="00CB5B57" w:rsidRPr="003F141B">
        <w:rPr>
          <w:lang w:val="en-CA"/>
        </w:rPr>
        <w:t>O</w:t>
      </w:r>
      <w:r w:rsidRPr="003F141B">
        <w:rPr>
          <w:lang w:val="en-CA"/>
        </w:rPr>
        <w:t xml:space="preserve">fficer </w:t>
      </w:r>
      <w:proofErr w:type="spellStart"/>
      <w:r w:rsidRPr="003F141B">
        <w:rPr>
          <w:lang w:val="en-CA"/>
        </w:rPr>
        <w:t>Naess</w:t>
      </w:r>
      <w:proofErr w:type="spellEnd"/>
      <w:r w:rsidRPr="003F141B">
        <w:rPr>
          <w:lang w:val="en-CA"/>
        </w:rPr>
        <w:t xml:space="preserve"> </w:t>
      </w:r>
      <w:r w:rsidR="00FF712E" w:rsidRPr="003F141B">
        <w:rPr>
          <w:lang w:val="en-CA"/>
        </w:rPr>
        <w:t xml:space="preserve">used </w:t>
      </w:r>
      <w:r w:rsidR="00A47853" w:rsidRPr="003F141B">
        <w:rPr>
          <w:lang w:val="en-CA"/>
        </w:rPr>
        <w:t>a</w:t>
      </w:r>
      <w:r w:rsidR="00FF712E" w:rsidRPr="003F141B">
        <w:rPr>
          <w:lang w:val="en-CA"/>
        </w:rPr>
        <w:t xml:space="preserve"> portable device to search </w:t>
      </w:r>
      <w:r w:rsidRPr="003F141B">
        <w:rPr>
          <w:lang w:val="en-CA"/>
        </w:rPr>
        <w:t xml:space="preserve">the internet and found the website for </w:t>
      </w:r>
      <w:proofErr w:type="spellStart"/>
      <w:r w:rsidRPr="003F141B">
        <w:rPr>
          <w:lang w:val="en-CA"/>
        </w:rPr>
        <w:t>Mtre</w:t>
      </w:r>
      <w:proofErr w:type="spellEnd"/>
      <w:r w:rsidRPr="003F141B">
        <w:rPr>
          <w:lang w:val="en-CA"/>
        </w:rPr>
        <w:t xml:space="preserve"> </w:t>
      </w:r>
      <w:proofErr w:type="spellStart"/>
      <w:r w:rsidRPr="003F141B">
        <w:rPr>
          <w:lang w:val="en-CA"/>
        </w:rPr>
        <w:t>Boulian</w:t>
      </w:r>
      <w:r w:rsidR="00EC0E82" w:rsidRPr="003F141B">
        <w:rPr>
          <w:lang w:val="en-CA"/>
        </w:rPr>
        <w:t>ne</w:t>
      </w:r>
      <w:proofErr w:type="spellEnd"/>
      <w:r w:rsidR="00EC0E82" w:rsidRPr="003F141B">
        <w:rPr>
          <w:lang w:val="en-CA"/>
        </w:rPr>
        <w:t xml:space="preserve"> and </w:t>
      </w:r>
      <w:proofErr w:type="spellStart"/>
      <w:r w:rsidR="000E1DB7" w:rsidRPr="003F141B">
        <w:rPr>
          <w:lang w:val="en-CA"/>
        </w:rPr>
        <w:t>Mtre</w:t>
      </w:r>
      <w:proofErr w:type="spellEnd"/>
      <w:r w:rsidR="000E1DB7" w:rsidRPr="003F141B">
        <w:rPr>
          <w:lang w:val="en-CA"/>
        </w:rPr>
        <w:t xml:space="preserve"> </w:t>
      </w:r>
      <w:proofErr w:type="spellStart"/>
      <w:r w:rsidR="00EC0E82" w:rsidRPr="003F141B">
        <w:rPr>
          <w:lang w:val="en-CA"/>
        </w:rPr>
        <w:t>Cantin</w:t>
      </w:r>
      <w:r w:rsidR="003061CC">
        <w:rPr>
          <w:lang w:val="en-CA"/>
        </w:rPr>
        <w:t>’</w:t>
      </w:r>
      <w:r w:rsidR="00FF712E" w:rsidRPr="003F141B">
        <w:rPr>
          <w:lang w:val="en-CA"/>
        </w:rPr>
        <w:t>s</w:t>
      </w:r>
      <w:proofErr w:type="spellEnd"/>
      <w:r w:rsidR="00FF712E" w:rsidRPr="003F141B">
        <w:rPr>
          <w:lang w:val="en-CA"/>
        </w:rPr>
        <w:t xml:space="preserve"> law firm</w:t>
      </w:r>
      <w:r w:rsidRPr="003F141B">
        <w:rPr>
          <w:lang w:val="en-CA"/>
        </w:rPr>
        <w:t>.</w:t>
      </w:r>
      <w:r w:rsidR="005003D8" w:rsidRPr="003F141B">
        <w:rPr>
          <w:lang w:val="en-CA"/>
        </w:rPr>
        <w:t xml:space="preserve"> </w:t>
      </w:r>
    </w:p>
    <w:p w14:paraId="73BA2D21" w14:textId="30BA62E3" w:rsidR="009130CA" w:rsidRPr="003F141B" w:rsidRDefault="00B25D39" w:rsidP="009130CA">
      <w:pPr>
        <w:pStyle w:val="Paragraphe"/>
        <w:spacing w:line="240" w:lineRule="auto"/>
        <w:rPr>
          <w:lang w:val="en-CA"/>
        </w:rPr>
      </w:pPr>
      <w:r w:rsidRPr="003F141B">
        <w:rPr>
          <w:lang w:val="en-CA"/>
        </w:rPr>
        <w:t xml:space="preserve">At 11:37 p.m., he tried to reach </w:t>
      </w:r>
      <w:proofErr w:type="spellStart"/>
      <w:r w:rsidRPr="003F141B">
        <w:rPr>
          <w:lang w:val="en-CA"/>
        </w:rPr>
        <w:t>Mtre</w:t>
      </w:r>
      <w:proofErr w:type="spellEnd"/>
      <w:r w:rsidRPr="003F141B">
        <w:rPr>
          <w:lang w:val="en-CA"/>
        </w:rPr>
        <w:t xml:space="preserve"> </w:t>
      </w:r>
      <w:proofErr w:type="spellStart"/>
      <w:r w:rsidRPr="003F141B">
        <w:rPr>
          <w:lang w:val="en-CA"/>
        </w:rPr>
        <w:t>Bo</w:t>
      </w:r>
      <w:r w:rsidR="000E1DB7" w:rsidRPr="003F141B">
        <w:rPr>
          <w:lang w:val="en-CA"/>
        </w:rPr>
        <w:t>ulianne</w:t>
      </w:r>
      <w:proofErr w:type="spellEnd"/>
      <w:r w:rsidR="000E1DB7" w:rsidRPr="003F141B">
        <w:rPr>
          <w:lang w:val="en-CA"/>
        </w:rPr>
        <w:t xml:space="preserve"> </w:t>
      </w:r>
      <w:r w:rsidR="00FF712E" w:rsidRPr="003F141B">
        <w:rPr>
          <w:lang w:val="en-CA"/>
        </w:rPr>
        <w:t xml:space="preserve">first, </w:t>
      </w:r>
      <w:r w:rsidR="000E1DB7" w:rsidRPr="003F141B">
        <w:rPr>
          <w:lang w:val="en-CA"/>
        </w:rPr>
        <w:t>using the personal cell</w:t>
      </w:r>
      <w:r w:rsidRPr="003F141B">
        <w:rPr>
          <w:lang w:val="en-CA"/>
        </w:rPr>
        <w:t>phone number indicated on the website, to no avail.</w:t>
      </w:r>
      <w:r w:rsidR="005003D8" w:rsidRPr="003F141B">
        <w:rPr>
          <w:lang w:val="en-CA"/>
        </w:rPr>
        <w:t xml:space="preserve"> </w:t>
      </w:r>
      <w:r w:rsidRPr="003F141B">
        <w:rPr>
          <w:lang w:val="en-CA"/>
        </w:rPr>
        <w:t>There was no answer and he hung up.</w:t>
      </w:r>
      <w:r w:rsidR="005003D8" w:rsidRPr="003F141B">
        <w:rPr>
          <w:lang w:val="en-CA"/>
        </w:rPr>
        <w:t xml:space="preserve"> </w:t>
      </w:r>
      <w:r w:rsidRPr="003F141B">
        <w:rPr>
          <w:lang w:val="en-CA"/>
        </w:rPr>
        <w:t xml:space="preserve">At </w:t>
      </w:r>
      <w:r w:rsidR="000E1DB7" w:rsidRPr="003F141B">
        <w:rPr>
          <w:lang w:val="en-CA"/>
        </w:rPr>
        <w:t>11</w:t>
      </w:r>
      <w:r w:rsidRPr="003F141B">
        <w:rPr>
          <w:lang w:val="en-CA"/>
        </w:rPr>
        <w:t xml:space="preserve">:39 </w:t>
      </w:r>
      <w:r w:rsidR="000E1DB7" w:rsidRPr="003F141B">
        <w:rPr>
          <w:lang w:val="en-CA"/>
        </w:rPr>
        <w:t>p.m.</w:t>
      </w:r>
      <w:r w:rsidRPr="003F141B">
        <w:rPr>
          <w:lang w:val="en-CA"/>
        </w:rPr>
        <w:t>, he dia</w:t>
      </w:r>
      <w:r w:rsidR="00C35B59" w:rsidRPr="003F141B">
        <w:rPr>
          <w:lang w:val="en-CA"/>
        </w:rPr>
        <w:t>l</w:t>
      </w:r>
      <w:r w:rsidRPr="003F141B">
        <w:rPr>
          <w:lang w:val="en-CA"/>
        </w:rPr>
        <w:t xml:space="preserve">led the number for the </w:t>
      </w:r>
      <w:r w:rsidR="00773EC8">
        <w:rPr>
          <w:lang w:val="en-CA"/>
        </w:rPr>
        <w:t>firm</w:t>
      </w:r>
      <w:r w:rsidR="003061CC">
        <w:rPr>
          <w:lang w:val="en-CA"/>
        </w:rPr>
        <w:t>’</w:t>
      </w:r>
      <w:r w:rsidR="00773EC8">
        <w:rPr>
          <w:lang w:val="en-CA"/>
        </w:rPr>
        <w:t xml:space="preserve">s </w:t>
      </w:r>
      <w:r w:rsidRPr="003F141B">
        <w:rPr>
          <w:lang w:val="en-CA"/>
        </w:rPr>
        <w:t xml:space="preserve">24-hour telephone line, </w:t>
      </w:r>
      <w:r w:rsidR="00DE49B9" w:rsidRPr="003F141B">
        <w:rPr>
          <w:lang w:val="en-CA"/>
        </w:rPr>
        <w:t>once again un</w:t>
      </w:r>
      <w:r w:rsidRPr="003F141B">
        <w:rPr>
          <w:lang w:val="en-CA"/>
        </w:rPr>
        <w:t>success</w:t>
      </w:r>
      <w:r w:rsidR="00DE49B9" w:rsidRPr="003F141B">
        <w:rPr>
          <w:lang w:val="en-CA"/>
        </w:rPr>
        <w:t>fully</w:t>
      </w:r>
      <w:r w:rsidRPr="003F141B">
        <w:rPr>
          <w:lang w:val="en-CA"/>
        </w:rPr>
        <w:t>.</w:t>
      </w:r>
      <w:r w:rsidR="005003D8" w:rsidRPr="003F141B">
        <w:rPr>
          <w:lang w:val="en-CA"/>
        </w:rPr>
        <w:t xml:space="preserve"> </w:t>
      </w:r>
      <w:r w:rsidRPr="003F141B">
        <w:rPr>
          <w:lang w:val="en-CA"/>
        </w:rPr>
        <w:t xml:space="preserve">At the </w:t>
      </w:r>
      <w:proofErr w:type="spellStart"/>
      <w:r w:rsidR="002C578D" w:rsidRPr="003F141B">
        <w:rPr>
          <w:i/>
          <w:lang w:val="en-CA"/>
        </w:rPr>
        <w:t>voir</w:t>
      </w:r>
      <w:proofErr w:type="spellEnd"/>
      <w:r w:rsidR="002C578D" w:rsidRPr="003F141B">
        <w:rPr>
          <w:i/>
          <w:lang w:val="en-CA"/>
        </w:rPr>
        <w:t xml:space="preserve"> dire</w:t>
      </w:r>
      <w:r w:rsidRPr="003F141B">
        <w:rPr>
          <w:lang w:val="en-CA"/>
        </w:rPr>
        <w:t xml:space="preserve">, he testified </w:t>
      </w:r>
      <w:r w:rsidR="00B93BD3" w:rsidRPr="003F141B">
        <w:rPr>
          <w:lang w:val="en-CA"/>
        </w:rPr>
        <w:t xml:space="preserve">about </w:t>
      </w:r>
      <w:r w:rsidRPr="003F141B">
        <w:rPr>
          <w:lang w:val="en-CA"/>
        </w:rPr>
        <w:t>what happened next</w:t>
      </w:r>
      <w:r w:rsidR="00B93BD3" w:rsidRPr="003F141B">
        <w:rPr>
          <w:lang w:val="en-CA"/>
        </w:rPr>
        <w:t xml:space="preserve"> as follows</w:t>
      </w:r>
      <w:r w:rsidRPr="003F141B">
        <w:rPr>
          <w:lang w:val="en-CA"/>
        </w:rPr>
        <w:t>:</w:t>
      </w:r>
    </w:p>
    <w:p w14:paraId="48941524" w14:textId="2F8A4DDA" w:rsidR="00B93BD3" w:rsidRPr="003F141B" w:rsidRDefault="00B93BD3" w:rsidP="009130CA">
      <w:pPr>
        <w:pStyle w:val="Citationenretrait"/>
        <w:spacing w:line="240" w:lineRule="auto"/>
        <w:rPr>
          <w:lang w:val="en-CA"/>
        </w:rPr>
      </w:pPr>
      <w:r w:rsidRPr="003F141B">
        <w:rPr>
          <w:lang w:val="en-CA"/>
        </w:rPr>
        <w:t>[</w:t>
      </w:r>
      <w:r w:rsidRPr="003F141B">
        <w:rPr>
          <w:smallCaps/>
          <w:lang w:val="en-CA"/>
        </w:rPr>
        <w:t>translation</w:t>
      </w:r>
      <w:r w:rsidRPr="003F141B">
        <w:rPr>
          <w:lang w:val="en-CA"/>
        </w:rPr>
        <w:t>]</w:t>
      </w:r>
    </w:p>
    <w:p w14:paraId="48624BA4" w14:textId="7CBC1658" w:rsidR="009130CA" w:rsidRPr="003F141B" w:rsidRDefault="00B25D39"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 xml:space="preserve">What did you do when you </w:t>
      </w:r>
      <w:r w:rsidR="00704995" w:rsidRPr="003F141B">
        <w:rPr>
          <w:lang w:val="en-CA"/>
        </w:rPr>
        <w:t>realized</w:t>
      </w:r>
      <w:r w:rsidR="00DE49B9" w:rsidRPr="003F141B">
        <w:rPr>
          <w:lang w:val="en-CA"/>
        </w:rPr>
        <w:t xml:space="preserve"> </w:t>
      </w:r>
      <w:r w:rsidRPr="003F141B">
        <w:rPr>
          <w:lang w:val="en-CA"/>
        </w:rPr>
        <w:t xml:space="preserve">that there was no answer </w:t>
      </w:r>
      <w:r w:rsidR="00704995" w:rsidRPr="003F141B">
        <w:rPr>
          <w:lang w:val="en-CA"/>
        </w:rPr>
        <w:t xml:space="preserve">at </w:t>
      </w:r>
      <w:r w:rsidRPr="003F141B">
        <w:rPr>
          <w:lang w:val="en-CA"/>
        </w:rPr>
        <w:t>either of the two (2) numbers?</w:t>
      </w:r>
    </w:p>
    <w:p w14:paraId="7DFCA7C5" w14:textId="695CCA2C" w:rsidR="009130CA" w:rsidRPr="003F141B" w:rsidRDefault="00B25D39" w:rsidP="009130CA">
      <w:pPr>
        <w:pStyle w:val="Citationenretrait"/>
        <w:spacing w:line="240" w:lineRule="auto"/>
        <w:rPr>
          <w:lang w:val="en-CA"/>
        </w:rPr>
      </w:pPr>
      <w:r w:rsidRPr="003F141B">
        <w:rPr>
          <w:lang w:val="en-CA"/>
        </w:rPr>
        <w:t>A.</w:t>
      </w:r>
      <w:r w:rsidR="005003D8" w:rsidRPr="003F141B">
        <w:rPr>
          <w:lang w:val="en-CA"/>
        </w:rPr>
        <w:t xml:space="preserve"> </w:t>
      </w:r>
      <w:r w:rsidR="00DB2D91">
        <w:rPr>
          <w:lang w:val="en-CA"/>
        </w:rPr>
        <w:t xml:space="preserve">Exactly what I did, </w:t>
      </w:r>
      <w:r w:rsidRPr="003F141B">
        <w:rPr>
          <w:lang w:val="en-CA"/>
        </w:rPr>
        <w:t xml:space="preserve">I </w:t>
      </w:r>
      <w:r w:rsidR="00704995" w:rsidRPr="003F141B">
        <w:rPr>
          <w:lang w:val="en-CA"/>
        </w:rPr>
        <w:t>can</w:t>
      </w:r>
      <w:r w:rsidR="003061CC">
        <w:rPr>
          <w:lang w:val="en-CA"/>
        </w:rPr>
        <w:t>’</w:t>
      </w:r>
      <w:r w:rsidR="00704995" w:rsidRPr="003F141B">
        <w:rPr>
          <w:lang w:val="en-CA"/>
        </w:rPr>
        <w:t xml:space="preserve">t </w:t>
      </w:r>
      <w:r w:rsidRPr="003F141B">
        <w:rPr>
          <w:lang w:val="en-CA"/>
        </w:rPr>
        <w:t>remember exactly what I did in that</w:t>
      </w:r>
      <w:r w:rsidR="00DB2D91">
        <w:rPr>
          <w:lang w:val="en-CA"/>
        </w:rPr>
        <w:t>, in that</w:t>
      </w:r>
      <w:r w:rsidRPr="003F141B">
        <w:rPr>
          <w:lang w:val="en-CA"/>
        </w:rPr>
        <w:t xml:space="preserve"> situation.</w:t>
      </w:r>
    </w:p>
    <w:p w14:paraId="60BD1E8F" w14:textId="77777777" w:rsidR="009130CA" w:rsidRPr="003F141B" w:rsidRDefault="005003D8" w:rsidP="009130CA">
      <w:pPr>
        <w:pStyle w:val="Citationenretrait"/>
        <w:spacing w:line="240" w:lineRule="auto"/>
        <w:rPr>
          <w:lang w:val="en-CA"/>
        </w:rPr>
      </w:pPr>
      <w:r w:rsidRPr="003F141B">
        <w:rPr>
          <w:lang w:val="en-CA"/>
        </w:rPr>
        <w:t xml:space="preserve">Q. </w:t>
      </w:r>
      <w:r w:rsidR="00B25D39" w:rsidRPr="003F141B">
        <w:rPr>
          <w:u w:val="single"/>
          <w:lang w:val="en-CA"/>
        </w:rPr>
        <w:t>Was there a usual procedure...</w:t>
      </w:r>
    </w:p>
    <w:p w14:paraId="524A46AA" w14:textId="77777777" w:rsidR="009130CA" w:rsidRPr="003F141B" w:rsidRDefault="00B25D39" w:rsidP="009130CA">
      <w:pPr>
        <w:pStyle w:val="Citationenretrait"/>
        <w:spacing w:line="240" w:lineRule="auto"/>
        <w:rPr>
          <w:lang w:val="en-CA"/>
        </w:rPr>
      </w:pPr>
      <w:r w:rsidRPr="003F141B">
        <w:rPr>
          <w:lang w:val="en-CA"/>
        </w:rPr>
        <w:t>A.</w:t>
      </w:r>
      <w:r w:rsidR="005003D8" w:rsidRPr="003F141B">
        <w:rPr>
          <w:lang w:val="en-CA"/>
        </w:rPr>
        <w:t xml:space="preserve"> </w:t>
      </w:r>
      <w:r w:rsidRPr="003F141B">
        <w:rPr>
          <w:u w:val="single"/>
          <w:lang w:val="en-CA"/>
        </w:rPr>
        <w:t>Yes</w:t>
      </w:r>
      <w:r w:rsidRPr="003F141B">
        <w:rPr>
          <w:lang w:val="en-CA"/>
        </w:rPr>
        <w:t>.</w:t>
      </w:r>
    </w:p>
    <w:p w14:paraId="0685C51F" w14:textId="34BC480A" w:rsidR="009130CA" w:rsidRPr="003F141B" w:rsidRDefault="00B25D39" w:rsidP="009130CA">
      <w:pPr>
        <w:pStyle w:val="Citationenretrait"/>
        <w:spacing w:line="240" w:lineRule="auto"/>
        <w:rPr>
          <w:lang w:val="en-CA"/>
        </w:rPr>
      </w:pPr>
      <w:r w:rsidRPr="003F141B">
        <w:rPr>
          <w:lang w:val="en-CA"/>
        </w:rPr>
        <w:t>Q.</w:t>
      </w:r>
      <w:r w:rsidR="005003D8" w:rsidRPr="003F141B">
        <w:rPr>
          <w:lang w:val="en-CA"/>
        </w:rPr>
        <w:t xml:space="preserve"> </w:t>
      </w:r>
      <w:r w:rsidR="000E1DB7" w:rsidRPr="003F141B">
        <w:rPr>
          <w:lang w:val="en-CA"/>
        </w:rPr>
        <w:t>In general</w:t>
      </w:r>
      <w:r w:rsidRPr="003F141B">
        <w:rPr>
          <w:lang w:val="en-CA"/>
        </w:rPr>
        <w:t>?</w:t>
      </w:r>
    </w:p>
    <w:p w14:paraId="54E7F62D" w14:textId="240DFE5B" w:rsidR="009130CA" w:rsidRPr="003F141B" w:rsidRDefault="00B25D39" w:rsidP="009130CA">
      <w:pPr>
        <w:pStyle w:val="Citationenretrait"/>
        <w:spacing w:line="240" w:lineRule="auto"/>
        <w:rPr>
          <w:lang w:val="en-CA"/>
        </w:rPr>
      </w:pPr>
      <w:r w:rsidRPr="003F141B">
        <w:rPr>
          <w:lang w:val="en-CA"/>
        </w:rPr>
        <w:t>A.</w:t>
      </w:r>
      <w:r w:rsidR="005003D8" w:rsidRPr="003F141B">
        <w:rPr>
          <w:lang w:val="en-CA"/>
        </w:rPr>
        <w:t xml:space="preserve"> </w:t>
      </w:r>
      <w:r w:rsidRPr="003F141B">
        <w:rPr>
          <w:lang w:val="en-CA"/>
        </w:rPr>
        <w:t xml:space="preserve">Yes, the procedure, when we </w:t>
      </w:r>
      <w:r w:rsidR="00704995" w:rsidRPr="003F141B">
        <w:rPr>
          <w:lang w:val="en-CA"/>
        </w:rPr>
        <w:t>can</w:t>
      </w:r>
      <w:r w:rsidR="003061CC">
        <w:rPr>
          <w:lang w:val="en-CA"/>
        </w:rPr>
        <w:t>’</w:t>
      </w:r>
      <w:r w:rsidR="00704995" w:rsidRPr="003F141B">
        <w:rPr>
          <w:lang w:val="en-CA"/>
        </w:rPr>
        <w:t>t</w:t>
      </w:r>
      <w:r w:rsidRPr="003F141B">
        <w:rPr>
          <w:lang w:val="en-CA"/>
        </w:rPr>
        <w:t xml:space="preserve">, when I </w:t>
      </w:r>
      <w:r w:rsidR="00704995" w:rsidRPr="003F141B">
        <w:rPr>
          <w:lang w:val="en-CA"/>
        </w:rPr>
        <w:t>can</w:t>
      </w:r>
      <w:r w:rsidR="003061CC">
        <w:rPr>
          <w:lang w:val="en-CA"/>
        </w:rPr>
        <w:t>’</w:t>
      </w:r>
      <w:r w:rsidR="00704995" w:rsidRPr="003F141B">
        <w:rPr>
          <w:lang w:val="en-CA"/>
        </w:rPr>
        <w:t xml:space="preserve">t </w:t>
      </w:r>
      <w:r w:rsidRPr="003F141B">
        <w:rPr>
          <w:lang w:val="en-CA"/>
        </w:rPr>
        <w:t xml:space="preserve">reach the </w:t>
      </w:r>
      <w:r w:rsidR="006C7418">
        <w:rPr>
          <w:lang w:val="en-CA"/>
        </w:rPr>
        <w:t xml:space="preserve">lawyer, the </w:t>
      </w:r>
      <w:r w:rsidRPr="003F141B">
        <w:rPr>
          <w:lang w:val="en-CA"/>
        </w:rPr>
        <w:t>accused</w:t>
      </w:r>
      <w:r w:rsidR="003061CC">
        <w:rPr>
          <w:lang w:val="en-CA"/>
        </w:rPr>
        <w:t>’</w:t>
      </w:r>
      <w:r w:rsidRPr="003F141B">
        <w:rPr>
          <w:lang w:val="en-CA"/>
        </w:rPr>
        <w:t>s lawyer or if the accused doesn</w:t>
      </w:r>
      <w:r w:rsidR="003061CC">
        <w:rPr>
          <w:lang w:val="en-CA"/>
        </w:rPr>
        <w:t>’</w:t>
      </w:r>
      <w:r w:rsidRPr="003F141B">
        <w:rPr>
          <w:lang w:val="en-CA"/>
        </w:rPr>
        <w:t>t know who</w:t>
      </w:r>
      <w:r w:rsidR="00B334E5" w:rsidRPr="003F141B">
        <w:rPr>
          <w:lang w:val="en-CA"/>
        </w:rPr>
        <w:t>m</w:t>
      </w:r>
      <w:r w:rsidRPr="003F141B">
        <w:rPr>
          <w:lang w:val="en-CA"/>
        </w:rPr>
        <w:t xml:space="preserve"> </w:t>
      </w:r>
      <w:r w:rsidR="000E1DB7" w:rsidRPr="003F141B">
        <w:rPr>
          <w:lang w:val="en-CA"/>
        </w:rPr>
        <w:t>to</w:t>
      </w:r>
      <w:r w:rsidRPr="003F141B">
        <w:rPr>
          <w:lang w:val="en-CA"/>
        </w:rPr>
        <w:t xml:space="preserve"> contact, we give him, we give him</w:t>
      </w:r>
      <w:r w:rsidR="006C7418">
        <w:rPr>
          <w:lang w:val="en-CA"/>
        </w:rPr>
        <w:t>, we give him</w:t>
      </w:r>
      <w:r w:rsidRPr="003F141B">
        <w:rPr>
          <w:lang w:val="en-CA"/>
        </w:rPr>
        <w:t xml:space="preserve"> the </w:t>
      </w:r>
      <w:r w:rsidR="00125175" w:rsidRPr="003F141B">
        <w:rPr>
          <w:lang w:val="en-CA"/>
        </w:rPr>
        <w:t>telephone directory open to</w:t>
      </w:r>
      <w:r w:rsidRPr="003F141B">
        <w:rPr>
          <w:lang w:val="en-CA"/>
        </w:rPr>
        <w:t xml:space="preserve"> the page with the lawyers on it and we tell him that </w:t>
      </w:r>
      <w:r w:rsidR="00704995" w:rsidRPr="003F141B">
        <w:rPr>
          <w:lang w:val="en-CA"/>
        </w:rPr>
        <w:t>he</w:t>
      </w:r>
      <w:r w:rsidR="003061CC">
        <w:rPr>
          <w:lang w:val="en-CA"/>
        </w:rPr>
        <w:t>’</w:t>
      </w:r>
      <w:r w:rsidR="00704995" w:rsidRPr="003F141B">
        <w:rPr>
          <w:lang w:val="en-CA"/>
        </w:rPr>
        <w:t>s</w:t>
      </w:r>
      <w:r w:rsidRPr="003F141B">
        <w:rPr>
          <w:lang w:val="en-CA"/>
        </w:rPr>
        <w:t xml:space="preserve"> free to call any lawyer he wants, </w:t>
      </w:r>
      <w:r w:rsidR="00704995" w:rsidRPr="003F141B">
        <w:rPr>
          <w:lang w:val="en-CA"/>
        </w:rPr>
        <w:t xml:space="preserve">and </w:t>
      </w:r>
      <w:r w:rsidRPr="003F141B">
        <w:rPr>
          <w:lang w:val="en-CA"/>
        </w:rPr>
        <w:t xml:space="preserve">in the telephone room, there is also a </w:t>
      </w:r>
      <w:r w:rsidR="000E1DB7" w:rsidRPr="003F141B">
        <w:rPr>
          <w:lang w:val="en-CA"/>
        </w:rPr>
        <w:t xml:space="preserve">legal aid </w:t>
      </w:r>
      <w:r w:rsidRPr="003F141B">
        <w:rPr>
          <w:lang w:val="en-CA"/>
        </w:rPr>
        <w:t>poster on the wall with a photo of each</w:t>
      </w:r>
      <w:r w:rsidR="00233CFC">
        <w:rPr>
          <w:lang w:val="en-CA"/>
        </w:rPr>
        <w:t>, of each</w:t>
      </w:r>
      <w:r w:rsidRPr="003F141B">
        <w:rPr>
          <w:lang w:val="en-CA"/>
        </w:rPr>
        <w:t xml:space="preserve"> of the </w:t>
      </w:r>
      <w:r w:rsidRPr="003F141B">
        <w:rPr>
          <w:lang w:val="en-CA"/>
        </w:rPr>
        <w:lastRenderedPageBreak/>
        <w:t xml:space="preserve">lawyers </w:t>
      </w:r>
      <w:r w:rsidRPr="003F141B">
        <w:rPr>
          <w:u w:val="single"/>
          <w:lang w:val="en-CA"/>
        </w:rPr>
        <w:t>and that</w:t>
      </w:r>
      <w:r w:rsidR="003061CC">
        <w:rPr>
          <w:u w:val="single"/>
          <w:lang w:val="en-CA"/>
        </w:rPr>
        <w:t>’</w:t>
      </w:r>
      <w:r w:rsidRPr="003F141B">
        <w:rPr>
          <w:u w:val="single"/>
          <w:lang w:val="en-CA"/>
        </w:rPr>
        <w:t>s when</w:t>
      </w:r>
      <w:r w:rsidR="00233CFC">
        <w:rPr>
          <w:u w:val="single"/>
          <w:lang w:val="en-CA"/>
        </w:rPr>
        <w:t>, when</w:t>
      </w:r>
      <w:r w:rsidRPr="003F141B">
        <w:rPr>
          <w:u w:val="single"/>
          <w:lang w:val="en-CA"/>
        </w:rPr>
        <w:t xml:space="preserve"> Jonathan pointed to the one he wanted, that he wanted to speak to Maître Gagnon</w:t>
      </w:r>
      <w:r w:rsidRPr="003F141B">
        <w:rPr>
          <w:lang w:val="en-CA"/>
        </w:rPr>
        <w:t>.</w:t>
      </w:r>
    </w:p>
    <w:p w14:paraId="61DBF3DD" w14:textId="77777777" w:rsidR="009130CA" w:rsidRPr="003F141B" w:rsidRDefault="00B25D39" w:rsidP="009130CA">
      <w:pPr>
        <w:pStyle w:val="Paragraphe"/>
        <w:spacing w:line="240" w:lineRule="auto"/>
        <w:rPr>
          <w:lang w:val="en-CA"/>
        </w:rPr>
      </w:pPr>
      <w:r w:rsidRPr="003F141B">
        <w:rPr>
          <w:lang w:val="en-CA"/>
        </w:rPr>
        <w:t xml:space="preserve">Then, when cross-examined on his attempt to reach </w:t>
      </w:r>
      <w:proofErr w:type="spellStart"/>
      <w:r w:rsidRPr="003F141B">
        <w:rPr>
          <w:lang w:val="en-CA"/>
        </w:rPr>
        <w:t>Mtre</w:t>
      </w:r>
      <w:proofErr w:type="spellEnd"/>
      <w:r w:rsidRPr="003F141B">
        <w:rPr>
          <w:lang w:val="en-CA"/>
        </w:rPr>
        <w:t xml:space="preserve"> </w:t>
      </w:r>
      <w:proofErr w:type="spellStart"/>
      <w:r w:rsidRPr="003F141B">
        <w:rPr>
          <w:lang w:val="en-CA"/>
        </w:rPr>
        <w:t>Boulianne</w:t>
      </w:r>
      <w:proofErr w:type="spellEnd"/>
      <w:r w:rsidRPr="003F141B">
        <w:rPr>
          <w:lang w:val="en-CA"/>
        </w:rPr>
        <w:t>, he added:</w:t>
      </w:r>
    </w:p>
    <w:p w14:paraId="63C91903" w14:textId="098C8CAE" w:rsidR="00704995" w:rsidRPr="003F141B" w:rsidRDefault="00704995" w:rsidP="009130CA">
      <w:pPr>
        <w:pStyle w:val="Citationenretrait"/>
        <w:spacing w:line="240" w:lineRule="auto"/>
        <w:rPr>
          <w:lang w:val="en-CA"/>
        </w:rPr>
      </w:pPr>
      <w:r w:rsidRPr="003F141B">
        <w:rPr>
          <w:lang w:val="en-CA"/>
        </w:rPr>
        <w:t>[</w:t>
      </w:r>
      <w:r w:rsidRPr="003F141B">
        <w:rPr>
          <w:smallCaps/>
          <w:lang w:val="en-CA"/>
        </w:rPr>
        <w:t>translation</w:t>
      </w:r>
      <w:r w:rsidRPr="003F141B">
        <w:rPr>
          <w:lang w:val="en-CA"/>
        </w:rPr>
        <w:t>]</w:t>
      </w:r>
    </w:p>
    <w:p w14:paraId="4E27451E" w14:textId="111CACD3" w:rsidR="009130CA" w:rsidRPr="003F141B" w:rsidRDefault="00B25D39"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So at eleven thirty-seven (11:37 p.m.), you dialled my telephone number, what did you do when there was no answer?</w:t>
      </w:r>
    </w:p>
    <w:p w14:paraId="539375F3" w14:textId="77777777" w:rsidR="009130CA" w:rsidRPr="003F141B" w:rsidRDefault="00B25D39" w:rsidP="009130CA">
      <w:pPr>
        <w:pStyle w:val="Citationenretrait"/>
        <w:spacing w:line="240" w:lineRule="auto"/>
        <w:rPr>
          <w:lang w:val="en-CA"/>
        </w:rPr>
      </w:pPr>
      <w:r w:rsidRPr="003F141B">
        <w:rPr>
          <w:lang w:val="en-CA"/>
        </w:rPr>
        <w:t>A.</w:t>
      </w:r>
      <w:r w:rsidR="005003D8" w:rsidRPr="003F141B">
        <w:rPr>
          <w:lang w:val="en-CA"/>
        </w:rPr>
        <w:t xml:space="preserve"> </w:t>
      </w:r>
      <w:r w:rsidRPr="003F141B">
        <w:rPr>
          <w:lang w:val="en-CA"/>
        </w:rPr>
        <w:t>I hung up.</w:t>
      </w:r>
    </w:p>
    <w:p w14:paraId="5B20D440" w14:textId="77777777" w:rsidR="009130CA" w:rsidRPr="003F141B" w:rsidRDefault="00B25D39"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You hung up?</w:t>
      </w:r>
    </w:p>
    <w:p w14:paraId="157B8773" w14:textId="77777777" w:rsidR="009130CA" w:rsidRPr="003F141B" w:rsidRDefault="00B25D39" w:rsidP="009130CA">
      <w:pPr>
        <w:pStyle w:val="Citationenretrait"/>
        <w:spacing w:line="240" w:lineRule="auto"/>
        <w:rPr>
          <w:lang w:val="en-CA"/>
        </w:rPr>
      </w:pPr>
      <w:r w:rsidRPr="003F141B">
        <w:rPr>
          <w:lang w:val="en-CA"/>
        </w:rPr>
        <w:t>A.</w:t>
      </w:r>
      <w:r w:rsidR="005003D8" w:rsidRPr="003F141B">
        <w:rPr>
          <w:lang w:val="en-CA"/>
        </w:rPr>
        <w:t xml:space="preserve"> </w:t>
      </w:r>
      <w:r w:rsidRPr="003F141B">
        <w:rPr>
          <w:lang w:val="en-CA"/>
        </w:rPr>
        <w:t>Yes.</w:t>
      </w:r>
    </w:p>
    <w:p w14:paraId="3F080558" w14:textId="144D34B4" w:rsidR="009130CA" w:rsidRPr="003F141B" w:rsidRDefault="00B25D39" w:rsidP="009130CA">
      <w:pPr>
        <w:pStyle w:val="Citationenretrait"/>
        <w:spacing w:line="240" w:lineRule="auto"/>
        <w:rPr>
          <w:lang w:val="en-CA"/>
        </w:rPr>
      </w:pPr>
      <w:r w:rsidRPr="003F141B">
        <w:rPr>
          <w:lang w:val="en-CA"/>
        </w:rPr>
        <w:t>Q.</w:t>
      </w:r>
      <w:r w:rsidR="000E1DB7" w:rsidRPr="003F141B">
        <w:rPr>
          <w:lang w:val="en-CA"/>
        </w:rPr>
        <w:t xml:space="preserve"> Okay.</w:t>
      </w:r>
      <w:r w:rsidR="005003D8" w:rsidRPr="003F141B">
        <w:rPr>
          <w:lang w:val="en-CA"/>
        </w:rPr>
        <w:t xml:space="preserve"> </w:t>
      </w:r>
      <w:proofErr w:type="gramStart"/>
      <w:r w:rsidR="009E02EC" w:rsidRPr="003F141B">
        <w:rPr>
          <w:lang w:val="en-CA"/>
        </w:rPr>
        <w:t>So</w:t>
      </w:r>
      <w:proofErr w:type="gramEnd"/>
      <w:r w:rsidRPr="003F141B">
        <w:rPr>
          <w:lang w:val="en-CA"/>
        </w:rPr>
        <w:t xml:space="preserve"> I understand that you </w:t>
      </w:r>
      <w:r w:rsidR="009E02EC" w:rsidRPr="003F141B">
        <w:rPr>
          <w:lang w:val="en-CA"/>
        </w:rPr>
        <w:t>didn</w:t>
      </w:r>
      <w:r w:rsidR="003061CC">
        <w:rPr>
          <w:lang w:val="en-CA"/>
        </w:rPr>
        <w:t>’</w:t>
      </w:r>
      <w:r w:rsidR="009E02EC" w:rsidRPr="003F141B">
        <w:rPr>
          <w:lang w:val="en-CA"/>
        </w:rPr>
        <w:t>t</w:t>
      </w:r>
      <w:r w:rsidRPr="003F141B">
        <w:rPr>
          <w:lang w:val="en-CA"/>
        </w:rPr>
        <w:t xml:space="preserve"> leave a </w:t>
      </w:r>
      <w:r w:rsidR="009130CA" w:rsidRPr="003F141B">
        <w:rPr>
          <w:lang w:val="en-CA"/>
        </w:rPr>
        <w:t>message.</w:t>
      </w:r>
    </w:p>
    <w:p w14:paraId="31C1CE25" w14:textId="77777777" w:rsidR="009130CA" w:rsidRPr="003F141B" w:rsidRDefault="00B25D39" w:rsidP="009130CA">
      <w:pPr>
        <w:pStyle w:val="Citationenretrait"/>
        <w:spacing w:line="240" w:lineRule="auto"/>
        <w:rPr>
          <w:lang w:val="en-CA"/>
        </w:rPr>
      </w:pPr>
      <w:r w:rsidRPr="003F141B">
        <w:rPr>
          <w:lang w:val="en-CA"/>
        </w:rPr>
        <w:t>A.</w:t>
      </w:r>
      <w:r w:rsidR="005003D8" w:rsidRPr="003F141B">
        <w:rPr>
          <w:lang w:val="en-CA"/>
        </w:rPr>
        <w:t xml:space="preserve"> </w:t>
      </w:r>
      <w:r w:rsidRPr="003F141B">
        <w:rPr>
          <w:lang w:val="en-CA"/>
        </w:rPr>
        <w:t>No.</w:t>
      </w:r>
    </w:p>
    <w:p w14:paraId="730E3EB9" w14:textId="77777777" w:rsidR="009130CA" w:rsidRPr="003F141B" w:rsidRDefault="00B25D39"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Why?</w:t>
      </w:r>
    </w:p>
    <w:p w14:paraId="048944E2" w14:textId="16D3F553" w:rsidR="009130CA" w:rsidRPr="003F141B" w:rsidRDefault="00B25D39" w:rsidP="009130CA">
      <w:pPr>
        <w:pStyle w:val="Citationenretrait"/>
        <w:spacing w:line="240" w:lineRule="auto"/>
        <w:rPr>
          <w:lang w:val="en-CA"/>
        </w:rPr>
      </w:pPr>
      <w:r w:rsidRPr="003F141B">
        <w:rPr>
          <w:lang w:val="en-CA"/>
        </w:rPr>
        <w:t>A.</w:t>
      </w:r>
      <w:r w:rsidR="005003D8" w:rsidRPr="003F141B">
        <w:rPr>
          <w:lang w:val="en-CA"/>
        </w:rPr>
        <w:t xml:space="preserve"> </w:t>
      </w:r>
      <w:r w:rsidRPr="003F141B">
        <w:rPr>
          <w:lang w:val="en-CA"/>
        </w:rPr>
        <w:t xml:space="preserve">I </w:t>
      </w:r>
      <w:proofErr w:type="gramStart"/>
      <w:r w:rsidRPr="003F141B">
        <w:rPr>
          <w:lang w:val="en-CA"/>
        </w:rPr>
        <w:t>can</w:t>
      </w:r>
      <w:r w:rsidR="003061CC">
        <w:rPr>
          <w:lang w:val="en-CA"/>
        </w:rPr>
        <w:t>’</w:t>
      </w:r>
      <w:r w:rsidRPr="003F141B">
        <w:rPr>
          <w:lang w:val="en-CA"/>
        </w:rPr>
        <w:t>t</w:t>
      </w:r>
      <w:proofErr w:type="gramEnd"/>
      <w:r w:rsidRPr="003F141B">
        <w:rPr>
          <w:lang w:val="en-CA"/>
        </w:rPr>
        <w:t xml:space="preserve"> remember if, if there was </w:t>
      </w:r>
      <w:r w:rsidR="000E1DB7" w:rsidRPr="003F141B">
        <w:rPr>
          <w:lang w:val="en-CA"/>
        </w:rPr>
        <w:t>voicemail</w:t>
      </w:r>
      <w:r w:rsidR="009130CA" w:rsidRPr="003F141B">
        <w:rPr>
          <w:lang w:val="en-CA"/>
        </w:rPr>
        <w:t xml:space="preserve"> or</w:t>
      </w:r>
      <w:r w:rsidRPr="003F141B">
        <w:rPr>
          <w:lang w:val="en-CA"/>
        </w:rPr>
        <w:t xml:space="preserve"> not.</w:t>
      </w:r>
    </w:p>
    <w:p w14:paraId="21244761" w14:textId="4917EA63" w:rsidR="009130CA" w:rsidRPr="003F141B" w:rsidRDefault="00B25D39" w:rsidP="009130CA">
      <w:pPr>
        <w:pStyle w:val="Citationenretrait"/>
        <w:spacing w:line="240" w:lineRule="auto"/>
        <w:rPr>
          <w:lang w:val="en-CA"/>
        </w:rPr>
      </w:pPr>
      <w:r w:rsidRPr="003F141B">
        <w:rPr>
          <w:lang w:val="en-CA"/>
        </w:rPr>
        <w:t>Q.</w:t>
      </w:r>
      <w:r w:rsidR="005003D8" w:rsidRPr="003F141B">
        <w:rPr>
          <w:lang w:val="en-CA"/>
        </w:rPr>
        <w:t xml:space="preserve"> </w:t>
      </w:r>
      <w:r w:rsidRPr="003F141B">
        <w:rPr>
          <w:u w:val="single"/>
          <w:lang w:val="en-CA"/>
        </w:rPr>
        <w:t>What if I suggest to you</w:t>
      </w:r>
      <w:r w:rsidRPr="003F141B">
        <w:rPr>
          <w:lang w:val="en-CA"/>
        </w:rPr>
        <w:t xml:space="preserve"> that there was </w:t>
      </w:r>
      <w:r w:rsidR="000E1DB7" w:rsidRPr="003F141B">
        <w:rPr>
          <w:lang w:val="en-CA"/>
        </w:rPr>
        <w:t>voicemail</w:t>
      </w:r>
      <w:r w:rsidRPr="003F141B">
        <w:rPr>
          <w:lang w:val="en-CA"/>
        </w:rPr>
        <w:t>?</w:t>
      </w:r>
    </w:p>
    <w:p w14:paraId="07D30D56" w14:textId="41FEFDAA" w:rsidR="009130CA" w:rsidRPr="003F141B" w:rsidRDefault="00B25D39" w:rsidP="009130CA">
      <w:pPr>
        <w:pStyle w:val="Citationenretrait"/>
        <w:spacing w:line="240" w:lineRule="auto"/>
        <w:rPr>
          <w:lang w:val="en-CA"/>
        </w:rPr>
      </w:pPr>
      <w:r w:rsidRPr="003F141B">
        <w:rPr>
          <w:lang w:val="en-CA"/>
        </w:rPr>
        <w:t>A.</w:t>
      </w:r>
      <w:r w:rsidR="005003D8" w:rsidRPr="003F141B">
        <w:rPr>
          <w:lang w:val="en-CA"/>
        </w:rPr>
        <w:t xml:space="preserve"> </w:t>
      </w:r>
      <w:r w:rsidRPr="002E7C7B">
        <w:rPr>
          <w:u w:val="single"/>
          <w:lang w:val="en-CA"/>
        </w:rPr>
        <w:t xml:space="preserve">I </w:t>
      </w:r>
      <w:r w:rsidR="009E02EC" w:rsidRPr="002E7C7B">
        <w:rPr>
          <w:u w:val="single"/>
          <w:lang w:val="en-CA"/>
        </w:rPr>
        <w:t>can</w:t>
      </w:r>
      <w:r w:rsidR="003061CC">
        <w:rPr>
          <w:u w:val="single"/>
          <w:lang w:val="en-CA"/>
        </w:rPr>
        <w:t>’</w:t>
      </w:r>
      <w:r w:rsidR="009E02EC" w:rsidRPr="002E7C7B">
        <w:rPr>
          <w:u w:val="single"/>
          <w:lang w:val="en-CA"/>
        </w:rPr>
        <w:t>t</w:t>
      </w:r>
      <w:r w:rsidRPr="002E7C7B">
        <w:rPr>
          <w:u w:val="single"/>
          <w:lang w:val="en-CA"/>
        </w:rPr>
        <w:t>, I can</w:t>
      </w:r>
      <w:r w:rsidR="003061CC">
        <w:rPr>
          <w:u w:val="single"/>
          <w:lang w:val="en-CA"/>
        </w:rPr>
        <w:t>’</w:t>
      </w:r>
      <w:r w:rsidRPr="002E7C7B">
        <w:rPr>
          <w:u w:val="single"/>
          <w:lang w:val="en-CA"/>
        </w:rPr>
        <w:t>t tell you</w:t>
      </w:r>
      <w:r w:rsidRPr="003F141B">
        <w:rPr>
          <w:lang w:val="en-CA"/>
        </w:rPr>
        <w:t>, I don</w:t>
      </w:r>
      <w:r w:rsidR="003061CC">
        <w:rPr>
          <w:lang w:val="en-CA"/>
        </w:rPr>
        <w:t>’</w:t>
      </w:r>
      <w:r w:rsidRPr="003F141B">
        <w:rPr>
          <w:lang w:val="en-CA"/>
        </w:rPr>
        <w:t>t, I don</w:t>
      </w:r>
      <w:r w:rsidR="003061CC">
        <w:rPr>
          <w:lang w:val="en-CA"/>
        </w:rPr>
        <w:t>’</w:t>
      </w:r>
      <w:r w:rsidRPr="003F141B">
        <w:rPr>
          <w:lang w:val="en-CA"/>
        </w:rPr>
        <w:t>t remember for sure.</w:t>
      </w:r>
    </w:p>
    <w:p w14:paraId="46B35F74" w14:textId="47E3BF3A" w:rsidR="009130CA" w:rsidRPr="003F141B" w:rsidRDefault="0085478A" w:rsidP="009130CA">
      <w:pPr>
        <w:pStyle w:val="Citationenretrait"/>
        <w:spacing w:line="240" w:lineRule="auto"/>
        <w:rPr>
          <w:lang w:val="en-CA"/>
        </w:rPr>
      </w:pPr>
      <w:r>
        <w:t>[…]</w:t>
      </w:r>
    </w:p>
    <w:p w14:paraId="6A61BC5B" w14:textId="072BE991" w:rsidR="009130CA" w:rsidRPr="003F141B" w:rsidRDefault="00B25D39"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 xml:space="preserve">You write down what number you dial, you write down </w:t>
      </w:r>
      <w:r w:rsidR="009E02EC" w:rsidRPr="003F141B">
        <w:rPr>
          <w:lang w:val="en-CA"/>
        </w:rPr>
        <w:t xml:space="preserve">that </w:t>
      </w:r>
      <w:r w:rsidRPr="003F141B">
        <w:rPr>
          <w:lang w:val="en-CA"/>
        </w:rPr>
        <w:t>there</w:t>
      </w:r>
      <w:r w:rsidR="003061CC">
        <w:rPr>
          <w:lang w:val="en-CA"/>
        </w:rPr>
        <w:t>’</w:t>
      </w:r>
      <w:r w:rsidRPr="003F141B">
        <w:rPr>
          <w:lang w:val="en-CA"/>
        </w:rPr>
        <w:t xml:space="preserve">s no answer, if there had been no </w:t>
      </w:r>
      <w:r w:rsidR="000E1DB7" w:rsidRPr="003F141B">
        <w:rPr>
          <w:lang w:val="en-CA"/>
        </w:rPr>
        <w:t>voicemail</w:t>
      </w:r>
      <w:r w:rsidRPr="003F141B">
        <w:rPr>
          <w:lang w:val="en-CA"/>
        </w:rPr>
        <w:t xml:space="preserve"> or </w:t>
      </w:r>
      <w:r w:rsidR="002152BE">
        <w:rPr>
          <w:lang w:val="en-CA"/>
        </w:rPr>
        <w:t xml:space="preserve">the </w:t>
      </w:r>
      <w:r w:rsidR="000E1DB7" w:rsidRPr="003F141B">
        <w:rPr>
          <w:lang w:val="en-CA"/>
        </w:rPr>
        <w:t>voicemail</w:t>
      </w:r>
      <w:r w:rsidR="002152BE">
        <w:rPr>
          <w:lang w:val="en-CA"/>
        </w:rPr>
        <w:t xml:space="preserve"> was full</w:t>
      </w:r>
      <w:r w:rsidRPr="003F141B">
        <w:rPr>
          <w:lang w:val="en-CA"/>
        </w:rPr>
        <w:t xml:space="preserve">, you </w:t>
      </w:r>
      <w:r w:rsidR="009E02EC" w:rsidRPr="003F141B">
        <w:rPr>
          <w:lang w:val="en-CA"/>
        </w:rPr>
        <w:t xml:space="preserve">certainly </w:t>
      </w:r>
      <w:r w:rsidRPr="003F141B">
        <w:rPr>
          <w:lang w:val="en-CA"/>
        </w:rPr>
        <w:t>would have written that down?</w:t>
      </w:r>
    </w:p>
    <w:p w14:paraId="4283D962" w14:textId="1C4D8AC3" w:rsidR="009130CA" w:rsidRPr="003F141B" w:rsidRDefault="00B25D39" w:rsidP="009130CA">
      <w:pPr>
        <w:pStyle w:val="Citationenretrait"/>
        <w:spacing w:line="240" w:lineRule="auto"/>
        <w:rPr>
          <w:lang w:val="en-CA"/>
        </w:rPr>
      </w:pPr>
      <w:r w:rsidRPr="003F141B">
        <w:rPr>
          <w:lang w:val="en-CA"/>
        </w:rPr>
        <w:t>A.</w:t>
      </w:r>
      <w:r w:rsidR="005003D8" w:rsidRPr="003F141B">
        <w:rPr>
          <w:lang w:val="en-CA"/>
        </w:rPr>
        <w:t xml:space="preserve"> </w:t>
      </w:r>
      <w:r w:rsidRPr="003F141B">
        <w:rPr>
          <w:lang w:val="en-CA"/>
        </w:rPr>
        <w:t>Again, I can</w:t>
      </w:r>
      <w:r w:rsidR="003061CC">
        <w:rPr>
          <w:lang w:val="en-CA"/>
        </w:rPr>
        <w:t>’</w:t>
      </w:r>
      <w:r w:rsidRPr="003F141B">
        <w:rPr>
          <w:lang w:val="en-CA"/>
        </w:rPr>
        <w:t>t, I can</w:t>
      </w:r>
      <w:r w:rsidR="003061CC">
        <w:rPr>
          <w:lang w:val="en-CA"/>
        </w:rPr>
        <w:t>’</w:t>
      </w:r>
      <w:r w:rsidRPr="003F141B">
        <w:rPr>
          <w:lang w:val="en-CA"/>
        </w:rPr>
        <w:t>t tell you for sure</w:t>
      </w:r>
      <w:r w:rsidR="009E02EC" w:rsidRPr="003F141B">
        <w:rPr>
          <w:lang w:val="en-CA"/>
        </w:rPr>
        <w:t>,</w:t>
      </w:r>
      <w:r w:rsidRPr="003F141B">
        <w:rPr>
          <w:lang w:val="en-CA"/>
        </w:rPr>
        <w:t xml:space="preserve"> Maître.</w:t>
      </w:r>
    </w:p>
    <w:p w14:paraId="573754C6" w14:textId="18238E93" w:rsidR="009130CA" w:rsidRPr="003F141B" w:rsidRDefault="00B25D39"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 xml:space="preserve">Do you </w:t>
      </w:r>
      <w:r w:rsidR="009E02EC" w:rsidRPr="003F141B">
        <w:rPr>
          <w:lang w:val="en-CA"/>
        </w:rPr>
        <w:t xml:space="preserve">sometimes </w:t>
      </w:r>
      <w:r w:rsidRPr="003F141B">
        <w:rPr>
          <w:lang w:val="en-CA"/>
        </w:rPr>
        <w:t>leave message</w:t>
      </w:r>
      <w:r w:rsidR="009E02EC" w:rsidRPr="003F141B">
        <w:rPr>
          <w:lang w:val="en-CA"/>
        </w:rPr>
        <w:t>s</w:t>
      </w:r>
      <w:r w:rsidRPr="003F141B">
        <w:rPr>
          <w:lang w:val="en-CA"/>
        </w:rPr>
        <w:t>?</w:t>
      </w:r>
    </w:p>
    <w:p w14:paraId="00BC1769" w14:textId="14587FF2" w:rsidR="009130CA" w:rsidRPr="003F141B" w:rsidRDefault="00B25D39" w:rsidP="009130CA">
      <w:pPr>
        <w:pStyle w:val="Citationenretrait"/>
        <w:spacing w:line="240" w:lineRule="auto"/>
        <w:rPr>
          <w:lang w:val="en-CA"/>
        </w:rPr>
      </w:pPr>
      <w:r w:rsidRPr="003F141B">
        <w:rPr>
          <w:lang w:val="en-CA"/>
        </w:rPr>
        <w:t>A.</w:t>
      </w:r>
      <w:r w:rsidR="005003D8" w:rsidRPr="003F141B">
        <w:rPr>
          <w:lang w:val="en-CA"/>
        </w:rPr>
        <w:t xml:space="preserve"> </w:t>
      </w:r>
      <w:r w:rsidRPr="003F141B">
        <w:rPr>
          <w:lang w:val="en-CA"/>
        </w:rPr>
        <w:t>It hasn</w:t>
      </w:r>
      <w:r w:rsidR="003061CC">
        <w:rPr>
          <w:lang w:val="en-CA"/>
        </w:rPr>
        <w:t>’</w:t>
      </w:r>
      <w:r w:rsidRPr="003F141B">
        <w:rPr>
          <w:lang w:val="en-CA"/>
        </w:rPr>
        <w:t>t happened, it hasn</w:t>
      </w:r>
      <w:r w:rsidR="003061CC">
        <w:rPr>
          <w:lang w:val="en-CA"/>
        </w:rPr>
        <w:t>’</w:t>
      </w:r>
      <w:r w:rsidRPr="003F141B">
        <w:rPr>
          <w:lang w:val="en-CA"/>
        </w:rPr>
        <w:t>t happened often, that I call and there</w:t>
      </w:r>
      <w:r w:rsidR="003061CC">
        <w:rPr>
          <w:lang w:val="en-CA"/>
        </w:rPr>
        <w:t>’</w:t>
      </w:r>
      <w:r w:rsidR="007204E5" w:rsidRPr="003F141B">
        <w:rPr>
          <w:lang w:val="en-CA"/>
        </w:rPr>
        <w:t>s</w:t>
      </w:r>
      <w:r w:rsidRPr="003F141B">
        <w:rPr>
          <w:lang w:val="en-CA"/>
        </w:rPr>
        <w:t xml:space="preserve"> no answer.</w:t>
      </w:r>
    </w:p>
    <w:p w14:paraId="4ADAC4B3" w14:textId="51C854BF" w:rsidR="009130CA" w:rsidRPr="003F141B" w:rsidRDefault="00B25D39"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But if there</w:t>
      </w:r>
      <w:r w:rsidR="003061CC">
        <w:rPr>
          <w:lang w:val="en-CA"/>
        </w:rPr>
        <w:t>’</w:t>
      </w:r>
      <w:r w:rsidR="007204E5" w:rsidRPr="003F141B">
        <w:rPr>
          <w:lang w:val="en-CA"/>
        </w:rPr>
        <w:t>s</w:t>
      </w:r>
      <w:r w:rsidRPr="003F141B">
        <w:rPr>
          <w:lang w:val="en-CA"/>
        </w:rPr>
        <w:t xml:space="preserve"> no answer, do you leave a message?</w:t>
      </w:r>
    </w:p>
    <w:p w14:paraId="45B8F1A7" w14:textId="177F734B" w:rsidR="009130CA" w:rsidRPr="003F141B" w:rsidRDefault="00B25D39" w:rsidP="009130CA">
      <w:pPr>
        <w:pStyle w:val="Citationenretrait"/>
        <w:spacing w:line="240" w:lineRule="auto"/>
        <w:rPr>
          <w:lang w:val="en-CA"/>
        </w:rPr>
      </w:pPr>
      <w:r w:rsidRPr="003F141B">
        <w:rPr>
          <w:lang w:val="en-CA"/>
        </w:rPr>
        <w:t>A.</w:t>
      </w:r>
      <w:r w:rsidR="005003D8" w:rsidRPr="003F141B">
        <w:rPr>
          <w:lang w:val="en-CA"/>
        </w:rPr>
        <w:t xml:space="preserve"> </w:t>
      </w:r>
      <w:r w:rsidR="00016C41" w:rsidRPr="003F141B">
        <w:rPr>
          <w:lang w:val="en-CA"/>
        </w:rPr>
        <w:t>Usually</w:t>
      </w:r>
      <w:r w:rsidRPr="003F141B">
        <w:rPr>
          <w:lang w:val="en-CA"/>
        </w:rPr>
        <w:t>, yes.</w:t>
      </w:r>
    </w:p>
    <w:p w14:paraId="631B64D0" w14:textId="3AAC1CD1" w:rsidR="009130CA" w:rsidRPr="003F141B" w:rsidRDefault="00E36BE4" w:rsidP="009130CA">
      <w:pPr>
        <w:pStyle w:val="Citationenretrait"/>
        <w:spacing w:line="240" w:lineRule="auto"/>
        <w:rPr>
          <w:lang w:val="en-CA"/>
        </w:rPr>
      </w:pPr>
      <w:r>
        <w:t>[…]</w:t>
      </w:r>
    </w:p>
    <w:p w14:paraId="2CF774E7" w14:textId="6D1C2131" w:rsidR="009130CA" w:rsidRPr="003F141B" w:rsidRDefault="00B25D39"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So why didn</w:t>
      </w:r>
      <w:r w:rsidR="003061CC">
        <w:rPr>
          <w:lang w:val="en-CA"/>
        </w:rPr>
        <w:t>’</w:t>
      </w:r>
      <w:r w:rsidRPr="003F141B">
        <w:rPr>
          <w:lang w:val="en-CA"/>
        </w:rPr>
        <w:t>t you leave one that evening</w:t>
      </w:r>
      <w:r w:rsidR="007204E5" w:rsidRPr="003F141B">
        <w:rPr>
          <w:lang w:val="en-CA"/>
        </w:rPr>
        <w:t>,</w:t>
      </w:r>
      <w:r w:rsidRPr="003F141B">
        <w:rPr>
          <w:lang w:val="en-CA"/>
        </w:rPr>
        <w:t xml:space="preserve"> Mr. </w:t>
      </w:r>
      <w:proofErr w:type="spellStart"/>
      <w:r w:rsidRPr="003F141B">
        <w:rPr>
          <w:lang w:val="en-CA"/>
        </w:rPr>
        <w:t>Naess</w:t>
      </w:r>
      <w:proofErr w:type="spellEnd"/>
      <w:r w:rsidRPr="003F141B">
        <w:rPr>
          <w:lang w:val="en-CA"/>
        </w:rPr>
        <w:t>?</w:t>
      </w:r>
    </w:p>
    <w:p w14:paraId="2C4C86A1" w14:textId="02EB9099" w:rsidR="009130CA" w:rsidRPr="003F141B" w:rsidRDefault="00B25D39" w:rsidP="009130CA">
      <w:pPr>
        <w:pStyle w:val="Citationenretrait"/>
        <w:spacing w:line="240" w:lineRule="auto"/>
        <w:rPr>
          <w:lang w:val="en-CA"/>
        </w:rPr>
      </w:pPr>
      <w:r w:rsidRPr="003F141B">
        <w:rPr>
          <w:lang w:val="en-CA"/>
        </w:rPr>
        <w:t>A.</w:t>
      </w:r>
      <w:r w:rsidR="005003D8" w:rsidRPr="003F141B">
        <w:rPr>
          <w:lang w:val="en-CA"/>
        </w:rPr>
        <w:t xml:space="preserve"> </w:t>
      </w:r>
      <w:r w:rsidRPr="003F141B">
        <w:rPr>
          <w:lang w:val="en-CA"/>
        </w:rPr>
        <w:t>That evening, I can</w:t>
      </w:r>
      <w:r w:rsidR="003061CC">
        <w:rPr>
          <w:lang w:val="en-CA"/>
        </w:rPr>
        <w:t>’</w:t>
      </w:r>
      <w:r w:rsidRPr="003F141B">
        <w:rPr>
          <w:lang w:val="en-CA"/>
        </w:rPr>
        <w:t>t remember for sure if there was no, if there was</w:t>
      </w:r>
      <w:r w:rsidR="009130CA" w:rsidRPr="003F141B">
        <w:rPr>
          <w:lang w:val="en-CA"/>
        </w:rPr>
        <w:t xml:space="preserve"> </w:t>
      </w:r>
      <w:r w:rsidR="000E1DB7" w:rsidRPr="003F141B">
        <w:rPr>
          <w:lang w:val="en-CA"/>
        </w:rPr>
        <w:t>voicemail</w:t>
      </w:r>
      <w:r w:rsidRPr="003F141B">
        <w:rPr>
          <w:lang w:val="en-CA"/>
        </w:rPr>
        <w:t xml:space="preserve"> or not.</w:t>
      </w:r>
    </w:p>
    <w:p w14:paraId="0ED5979F" w14:textId="77DA6027" w:rsidR="009130CA" w:rsidRPr="003F141B" w:rsidRDefault="009A4E59" w:rsidP="009130CA">
      <w:pPr>
        <w:pStyle w:val="Citationenretrait"/>
        <w:spacing w:line="240" w:lineRule="auto"/>
        <w:rPr>
          <w:lang w:val="en-CA"/>
        </w:rPr>
      </w:pPr>
      <w:r>
        <w:lastRenderedPageBreak/>
        <w:t>[…]</w:t>
      </w:r>
    </w:p>
    <w:p w14:paraId="33266D07" w14:textId="74CD4910" w:rsidR="009130CA" w:rsidRPr="003F141B" w:rsidRDefault="00B25D39"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 xml:space="preserve">So then, </w:t>
      </w:r>
      <w:r w:rsidR="00741B74" w:rsidRPr="003F141B">
        <w:rPr>
          <w:lang w:val="en-CA"/>
        </w:rPr>
        <w:t>what did you say to him</w:t>
      </w:r>
      <w:r w:rsidRPr="003F141B">
        <w:rPr>
          <w:lang w:val="en-CA"/>
        </w:rPr>
        <w:t>, what happened between eleven thirty-</w:t>
      </w:r>
      <w:r w:rsidR="00741B74" w:rsidRPr="003F141B">
        <w:rPr>
          <w:lang w:val="en-CA"/>
        </w:rPr>
        <w:t>seven (11</w:t>
      </w:r>
      <w:r w:rsidRPr="003F141B">
        <w:rPr>
          <w:lang w:val="en-CA"/>
        </w:rPr>
        <w:t xml:space="preserve">:37 p.m.) and </w:t>
      </w:r>
      <w:r w:rsidR="00F5262F" w:rsidRPr="003F141B">
        <w:rPr>
          <w:lang w:val="en-CA"/>
        </w:rPr>
        <w:t>eleven thirty-nine (11</w:t>
      </w:r>
      <w:r w:rsidRPr="003F141B">
        <w:rPr>
          <w:lang w:val="en-CA"/>
        </w:rPr>
        <w:t>:39 p.m.), what did you say to Mr. Blackburn-Laroche?</w:t>
      </w:r>
    </w:p>
    <w:p w14:paraId="64317D35" w14:textId="63FFAB92" w:rsidR="009130CA" w:rsidRPr="003F141B" w:rsidRDefault="00B25D39" w:rsidP="009130CA">
      <w:pPr>
        <w:pStyle w:val="Citationenretrait"/>
        <w:spacing w:line="240" w:lineRule="auto"/>
        <w:rPr>
          <w:lang w:val="en-CA"/>
        </w:rPr>
      </w:pPr>
      <w:proofErr w:type="gramStart"/>
      <w:r w:rsidRPr="003F141B">
        <w:rPr>
          <w:lang w:val="en-CA"/>
        </w:rPr>
        <w:t>A.</w:t>
      </w:r>
      <w:r w:rsidR="005003D8" w:rsidRPr="003F141B">
        <w:rPr>
          <w:lang w:val="en-CA"/>
        </w:rPr>
        <w:t xml:space="preserve"> </w:t>
      </w:r>
      <w:r w:rsidR="00F5262F" w:rsidRPr="003F141B">
        <w:rPr>
          <w:u w:val="single"/>
          <w:lang w:val="en-CA"/>
        </w:rPr>
        <w:t>Just</w:t>
      </w:r>
      <w:proofErr w:type="gramEnd"/>
      <w:r w:rsidRPr="003F141B">
        <w:rPr>
          <w:u w:val="single"/>
          <w:lang w:val="en-CA"/>
        </w:rPr>
        <w:t xml:space="preserve"> what it says in the report here, we, I informed him that there was no answer, so I went onto </w:t>
      </w:r>
      <w:proofErr w:type="spellStart"/>
      <w:r w:rsidRPr="003F141B">
        <w:rPr>
          <w:u w:val="single"/>
          <w:lang w:val="en-CA"/>
        </w:rPr>
        <w:t>Cantin</w:t>
      </w:r>
      <w:proofErr w:type="spellEnd"/>
      <w:r w:rsidRPr="003F141B">
        <w:rPr>
          <w:u w:val="single"/>
          <w:lang w:val="en-CA"/>
        </w:rPr>
        <w:t xml:space="preserve"> and </w:t>
      </w:r>
      <w:proofErr w:type="spellStart"/>
      <w:r w:rsidRPr="003F141B">
        <w:rPr>
          <w:u w:val="single"/>
          <w:lang w:val="en-CA"/>
        </w:rPr>
        <w:t>Boulianne</w:t>
      </w:r>
      <w:r w:rsidR="003061CC">
        <w:rPr>
          <w:u w:val="single"/>
          <w:lang w:val="en-CA"/>
        </w:rPr>
        <w:t>’</w:t>
      </w:r>
      <w:r w:rsidR="007204E5" w:rsidRPr="003F141B">
        <w:rPr>
          <w:u w:val="single"/>
          <w:lang w:val="en-CA"/>
        </w:rPr>
        <w:t>s</w:t>
      </w:r>
      <w:proofErr w:type="spellEnd"/>
      <w:r w:rsidR="007204E5" w:rsidRPr="003F141B">
        <w:rPr>
          <w:u w:val="single"/>
          <w:lang w:val="en-CA"/>
        </w:rPr>
        <w:t xml:space="preserve"> website</w:t>
      </w:r>
      <w:r w:rsidRPr="003F141B">
        <w:rPr>
          <w:u w:val="single"/>
          <w:lang w:val="en-CA"/>
        </w:rPr>
        <w:t xml:space="preserve"> and I tried to call the twenty-four-hour line (24h)</w:t>
      </w:r>
      <w:r w:rsidRPr="003F141B">
        <w:rPr>
          <w:lang w:val="en-CA"/>
        </w:rPr>
        <w:t>...</w:t>
      </w:r>
    </w:p>
    <w:p w14:paraId="599D4806" w14:textId="77777777" w:rsidR="009130CA" w:rsidRPr="003F141B" w:rsidRDefault="00B25D39"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Okay</w:t>
      </w:r>
    </w:p>
    <w:p w14:paraId="01E0EBFE" w14:textId="09DED4C5" w:rsidR="009130CA" w:rsidRPr="003F141B" w:rsidRDefault="00B25D39" w:rsidP="009130CA">
      <w:pPr>
        <w:pStyle w:val="Citationenretrait"/>
        <w:spacing w:line="240" w:lineRule="auto"/>
        <w:rPr>
          <w:lang w:val="en-CA"/>
        </w:rPr>
      </w:pPr>
      <w:r w:rsidRPr="003F141B">
        <w:rPr>
          <w:lang w:val="en-CA"/>
        </w:rPr>
        <w:t>A.</w:t>
      </w:r>
      <w:r w:rsidR="005003D8" w:rsidRPr="003F141B">
        <w:rPr>
          <w:lang w:val="en-CA"/>
        </w:rPr>
        <w:t xml:space="preserve"> </w:t>
      </w:r>
      <w:r w:rsidRPr="003F141B">
        <w:rPr>
          <w:u w:val="single"/>
          <w:lang w:val="en-CA"/>
        </w:rPr>
        <w:t xml:space="preserve">Again, </w:t>
      </w:r>
      <w:r w:rsidR="00E16EF5">
        <w:rPr>
          <w:u w:val="single"/>
          <w:lang w:val="en-CA"/>
        </w:rPr>
        <w:t xml:space="preserve">again </w:t>
      </w:r>
      <w:r w:rsidRPr="003F141B">
        <w:rPr>
          <w:u w:val="single"/>
          <w:lang w:val="en-CA"/>
        </w:rPr>
        <w:t>there was no answer</w:t>
      </w:r>
      <w:r w:rsidRPr="003F141B">
        <w:rPr>
          <w:lang w:val="en-CA"/>
        </w:rPr>
        <w:t>.</w:t>
      </w:r>
    </w:p>
    <w:p w14:paraId="2CCA32A3" w14:textId="31197DAB" w:rsidR="009130CA" w:rsidRPr="003F141B" w:rsidRDefault="00B25D39" w:rsidP="009130CA">
      <w:pPr>
        <w:pStyle w:val="Citationenretrait"/>
        <w:spacing w:line="240" w:lineRule="auto"/>
        <w:rPr>
          <w:lang w:val="en-CA"/>
        </w:rPr>
      </w:pPr>
      <w:r w:rsidRPr="003F141B">
        <w:rPr>
          <w:lang w:val="en-CA"/>
        </w:rPr>
        <w:t>Q.</w:t>
      </w:r>
      <w:r w:rsidR="005003D8" w:rsidRPr="003F141B">
        <w:rPr>
          <w:lang w:val="en-CA"/>
        </w:rPr>
        <w:t xml:space="preserve"> </w:t>
      </w:r>
      <w:r w:rsidR="00E16EF5" w:rsidRPr="002E7C7B">
        <w:rPr>
          <w:u w:val="single"/>
        </w:rPr>
        <w:t>[…]</w:t>
      </w:r>
      <w:r w:rsidRPr="0080676D">
        <w:rPr>
          <w:u w:val="single"/>
          <w:lang w:val="en-CA"/>
        </w:rPr>
        <w:t>, My cell</w:t>
      </w:r>
      <w:r w:rsidR="006E246B" w:rsidRPr="0080676D">
        <w:rPr>
          <w:u w:val="single"/>
          <w:lang w:val="en-CA"/>
        </w:rPr>
        <w:t>phone</w:t>
      </w:r>
      <w:r w:rsidRPr="0080676D">
        <w:rPr>
          <w:u w:val="single"/>
          <w:lang w:val="en-CA"/>
        </w:rPr>
        <w:t xml:space="preserve"> number, </w:t>
      </w:r>
      <w:r w:rsidR="00E16EF5" w:rsidRPr="002E7C7B">
        <w:rPr>
          <w:u w:val="single"/>
        </w:rPr>
        <w:t>[…]</w:t>
      </w:r>
      <w:r w:rsidRPr="003F141B">
        <w:rPr>
          <w:u w:val="single"/>
          <w:lang w:val="en-CA"/>
        </w:rPr>
        <w:t xml:space="preserve"> where did you find it?</w:t>
      </w:r>
    </w:p>
    <w:p w14:paraId="64055601" w14:textId="77777777" w:rsidR="009130CA" w:rsidRPr="003F141B" w:rsidRDefault="00B25D39" w:rsidP="009130CA">
      <w:pPr>
        <w:pStyle w:val="Citationenretrait"/>
        <w:spacing w:line="240" w:lineRule="auto"/>
        <w:rPr>
          <w:lang w:val="en-CA"/>
        </w:rPr>
      </w:pPr>
      <w:r w:rsidRPr="003F141B">
        <w:rPr>
          <w:lang w:val="en-CA"/>
        </w:rPr>
        <w:t>A.</w:t>
      </w:r>
      <w:r w:rsidR="005003D8" w:rsidRPr="003F141B">
        <w:rPr>
          <w:lang w:val="en-CA"/>
        </w:rPr>
        <w:t xml:space="preserve"> </w:t>
      </w:r>
      <w:r w:rsidRPr="003F141B">
        <w:rPr>
          <w:u w:val="single"/>
          <w:lang w:val="en-CA"/>
        </w:rPr>
        <w:t>On your website</w:t>
      </w:r>
      <w:r w:rsidRPr="003F141B">
        <w:rPr>
          <w:lang w:val="en-CA"/>
        </w:rPr>
        <w:t>.</w:t>
      </w:r>
    </w:p>
    <w:p w14:paraId="3BC15D73" w14:textId="5050DED2" w:rsidR="009130CA" w:rsidRPr="003F141B" w:rsidRDefault="00B25D39" w:rsidP="009130CA">
      <w:pPr>
        <w:pStyle w:val="Citationenretrait"/>
        <w:spacing w:line="240" w:lineRule="auto"/>
        <w:rPr>
          <w:lang w:val="en-CA"/>
        </w:rPr>
      </w:pPr>
      <w:r w:rsidRPr="003F141B">
        <w:rPr>
          <w:lang w:val="en-CA"/>
        </w:rPr>
        <w:t>Q.</w:t>
      </w:r>
      <w:r w:rsidR="005003D8" w:rsidRPr="003F141B">
        <w:rPr>
          <w:lang w:val="en-CA"/>
        </w:rPr>
        <w:t xml:space="preserve"> </w:t>
      </w:r>
      <w:r w:rsidR="006B2BA4">
        <w:t>[…]</w:t>
      </w:r>
      <w:proofErr w:type="gramStart"/>
      <w:r w:rsidRPr="003F141B">
        <w:rPr>
          <w:lang w:val="en-CA"/>
        </w:rPr>
        <w:t>,you</w:t>
      </w:r>
      <w:proofErr w:type="gramEnd"/>
      <w:r w:rsidRPr="003F141B">
        <w:rPr>
          <w:lang w:val="en-CA"/>
        </w:rPr>
        <w:t xml:space="preserve"> calle</w:t>
      </w:r>
      <w:r w:rsidR="006E246B" w:rsidRPr="003F141B">
        <w:rPr>
          <w:lang w:val="en-CA"/>
        </w:rPr>
        <w:t>d</w:t>
      </w:r>
      <w:r w:rsidRPr="003F141B">
        <w:rPr>
          <w:lang w:val="en-CA"/>
        </w:rPr>
        <w:t xml:space="preserve"> the office phone line, what </w:t>
      </w:r>
      <w:r w:rsidR="007204E5" w:rsidRPr="003F141B">
        <w:rPr>
          <w:lang w:val="en-CA"/>
        </w:rPr>
        <w:t xml:space="preserve">did it say </w:t>
      </w:r>
      <w:r w:rsidR="006B2BA4">
        <w:rPr>
          <w:lang w:val="en-CA"/>
        </w:rPr>
        <w:t xml:space="preserve">then </w:t>
      </w:r>
      <w:r w:rsidRPr="003F141B">
        <w:rPr>
          <w:lang w:val="en-CA"/>
        </w:rPr>
        <w:t xml:space="preserve">when you called the office </w:t>
      </w:r>
      <w:r w:rsidR="006E246B" w:rsidRPr="003F141B">
        <w:rPr>
          <w:lang w:val="en-CA"/>
        </w:rPr>
        <w:t>phone line</w:t>
      </w:r>
      <w:r w:rsidRPr="003F141B">
        <w:rPr>
          <w:lang w:val="en-CA"/>
        </w:rPr>
        <w:t>?</w:t>
      </w:r>
    </w:p>
    <w:p w14:paraId="042ACCA3" w14:textId="769E9A6C" w:rsidR="009130CA" w:rsidRPr="003F141B" w:rsidRDefault="00B25D39" w:rsidP="009130CA">
      <w:pPr>
        <w:pStyle w:val="Citationenretrait"/>
        <w:spacing w:line="240" w:lineRule="auto"/>
        <w:rPr>
          <w:lang w:val="en-CA"/>
        </w:rPr>
      </w:pPr>
      <w:r w:rsidRPr="003F141B">
        <w:rPr>
          <w:lang w:val="en-CA"/>
        </w:rPr>
        <w:t>A.</w:t>
      </w:r>
      <w:r w:rsidR="005003D8" w:rsidRPr="003F141B">
        <w:rPr>
          <w:lang w:val="en-CA"/>
        </w:rPr>
        <w:t xml:space="preserve"> </w:t>
      </w:r>
      <w:r w:rsidRPr="003F141B">
        <w:rPr>
          <w:lang w:val="en-CA"/>
        </w:rPr>
        <w:t>I don</w:t>
      </w:r>
      <w:r w:rsidR="003061CC">
        <w:rPr>
          <w:lang w:val="en-CA"/>
        </w:rPr>
        <w:t>’</w:t>
      </w:r>
      <w:r w:rsidRPr="003F141B">
        <w:rPr>
          <w:lang w:val="en-CA"/>
        </w:rPr>
        <w:t>t remember</w:t>
      </w:r>
      <w:r w:rsidR="006E246B" w:rsidRPr="003F141B">
        <w:rPr>
          <w:lang w:val="en-CA"/>
        </w:rPr>
        <w:t xml:space="preserve">, </w:t>
      </w:r>
      <w:r w:rsidRPr="003F141B">
        <w:rPr>
          <w:u w:val="single"/>
          <w:lang w:val="en-CA"/>
        </w:rPr>
        <w:t>what I remember, is that</w:t>
      </w:r>
      <w:r w:rsidR="007204E5" w:rsidRPr="003F141B">
        <w:rPr>
          <w:u w:val="single"/>
          <w:lang w:val="en-CA"/>
        </w:rPr>
        <w:t xml:space="preserve"> it</w:t>
      </w:r>
      <w:r w:rsidRPr="003F141B">
        <w:rPr>
          <w:u w:val="single"/>
          <w:lang w:val="en-CA"/>
        </w:rPr>
        <w:t>, it rang, there was no answer and then I hung up</w:t>
      </w:r>
      <w:r w:rsidRPr="003F141B">
        <w:rPr>
          <w:lang w:val="en-CA"/>
        </w:rPr>
        <w:t>.</w:t>
      </w:r>
    </w:p>
    <w:p w14:paraId="78F9441B" w14:textId="77CB2405" w:rsidR="009130CA" w:rsidRPr="003F141B" w:rsidRDefault="00B25D39"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Okay.</w:t>
      </w:r>
      <w:r w:rsidR="005003D8" w:rsidRPr="003F141B">
        <w:rPr>
          <w:lang w:val="en-CA"/>
        </w:rPr>
        <w:t xml:space="preserve"> </w:t>
      </w:r>
      <w:r w:rsidRPr="003F141B">
        <w:rPr>
          <w:u w:val="single"/>
          <w:lang w:val="en-CA"/>
        </w:rPr>
        <w:t>What if I suggest to you</w:t>
      </w:r>
      <w:r w:rsidRPr="003F141B">
        <w:rPr>
          <w:lang w:val="en-CA"/>
        </w:rPr>
        <w:t xml:space="preserve"> that there is </w:t>
      </w:r>
      <w:r w:rsidR="009130CA" w:rsidRPr="003F141B">
        <w:rPr>
          <w:lang w:val="en-CA"/>
        </w:rPr>
        <w:t xml:space="preserve">a </w:t>
      </w:r>
      <w:r w:rsidR="000E1DB7" w:rsidRPr="003F141B">
        <w:rPr>
          <w:lang w:val="en-CA"/>
        </w:rPr>
        <w:t>voicemail</w:t>
      </w:r>
      <w:r w:rsidRPr="003F141B">
        <w:rPr>
          <w:lang w:val="en-CA"/>
        </w:rPr>
        <w:t xml:space="preserve"> that indicates the emergency telephone numbers on the office</w:t>
      </w:r>
      <w:r w:rsidR="003061CC">
        <w:rPr>
          <w:lang w:val="en-CA"/>
        </w:rPr>
        <w:t>’</w:t>
      </w:r>
      <w:r w:rsidRPr="003F141B">
        <w:rPr>
          <w:lang w:val="en-CA"/>
        </w:rPr>
        <w:t xml:space="preserve">s </w:t>
      </w:r>
      <w:r w:rsidR="006E246B" w:rsidRPr="003F141B">
        <w:rPr>
          <w:lang w:val="en-CA"/>
        </w:rPr>
        <w:t>voicemail?</w:t>
      </w:r>
    </w:p>
    <w:p w14:paraId="0DB6B72C" w14:textId="4CA7C178" w:rsidR="009130CA" w:rsidRPr="003F141B" w:rsidRDefault="00B25D39" w:rsidP="009130CA">
      <w:pPr>
        <w:pStyle w:val="Citationenretrait"/>
        <w:spacing w:line="240" w:lineRule="auto"/>
        <w:rPr>
          <w:lang w:val="en-CA"/>
        </w:rPr>
      </w:pPr>
      <w:r w:rsidRPr="003F141B">
        <w:rPr>
          <w:lang w:val="en-CA"/>
        </w:rPr>
        <w:t>A.</w:t>
      </w:r>
      <w:r w:rsidR="005003D8" w:rsidRPr="003F141B">
        <w:rPr>
          <w:lang w:val="en-CA"/>
        </w:rPr>
        <w:t xml:space="preserve"> </w:t>
      </w:r>
      <w:r w:rsidRPr="003F141B">
        <w:rPr>
          <w:u w:val="single"/>
          <w:lang w:val="en-CA"/>
        </w:rPr>
        <w:t>I can</w:t>
      </w:r>
      <w:r w:rsidR="003061CC">
        <w:rPr>
          <w:u w:val="single"/>
          <w:lang w:val="en-CA"/>
        </w:rPr>
        <w:t>’</w:t>
      </w:r>
      <w:r w:rsidRPr="003F141B">
        <w:rPr>
          <w:u w:val="single"/>
          <w:lang w:val="en-CA"/>
        </w:rPr>
        <w:t>t remember, I don</w:t>
      </w:r>
      <w:r w:rsidR="003061CC">
        <w:rPr>
          <w:u w:val="single"/>
          <w:lang w:val="en-CA"/>
        </w:rPr>
        <w:t>’</w:t>
      </w:r>
      <w:r w:rsidRPr="003F141B">
        <w:rPr>
          <w:u w:val="single"/>
          <w:lang w:val="en-CA"/>
        </w:rPr>
        <w:t>t remember</w:t>
      </w:r>
      <w:r w:rsidRPr="003F141B">
        <w:rPr>
          <w:lang w:val="en-CA"/>
        </w:rPr>
        <w:t>.</w:t>
      </w:r>
    </w:p>
    <w:p w14:paraId="359DD419" w14:textId="3D9709AF" w:rsidR="009130CA" w:rsidRPr="003F141B" w:rsidRDefault="00A25724" w:rsidP="009130CA">
      <w:pPr>
        <w:pStyle w:val="Citationenretrait"/>
        <w:spacing w:line="240" w:lineRule="auto"/>
        <w:rPr>
          <w:lang w:val="en-CA"/>
        </w:rPr>
      </w:pPr>
      <w:r>
        <w:t>[…]</w:t>
      </w:r>
    </w:p>
    <w:p w14:paraId="02DE9701" w14:textId="120B3386" w:rsidR="009130CA" w:rsidRPr="003F141B" w:rsidRDefault="00B25D39"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So you</w:t>
      </w:r>
      <w:r w:rsidR="003061CC">
        <w:rPr>
          <w:lang w:val="en-CA"/>
        </w:rPr>
        <w:t>’</w:t>
      </w:r>
      <w:r w:rsidRPr="003F141B">
        <w:rPr>
          <w:lang w:val="en-CA"/>
        </w:rPr>
        <w:t xml:space="preserve">re the one who told him that his lawyers, that there </w:t>
      </w:r>
      <w:r w:rsidR="007204E5" w:rsidRPr="003F141B">
        <w:rPr>
          <w:lang w:val="en-CA"/>
        </w:rPr>
        <w:t xml:space="preserve">was </w:t>
      </w:r>
      <w:r w:rsidRPr="003F141B">
        <w:rPr>
          <w:lang w:val="en-CA"/>
        </w:rPr>
        <w:t>no answer, is that right?</w:t>
      </w:r>
    </w:p>
    <w:p w14:paraId="3053C5A0" w14:textId="77777777" w:rsidR="009130CA" w:rsidRPr="003F141B" w:rsidRDefault="00B25D39" w:rsidP="009130CA">
      <w:pPr>
        <w:pStyle w:val="Citationenretrait"/>
        <w:spacing w:line="240" w:lineRule="auto"/>
        <w:rPr>
          <w:lang w:val="en-CA"/>
        </w:rPr>
      </w:pPr>
      <w:r w:rsidRPr="003F141B">
        <w:rPr>
          <w:lang w:val="en-CA"/>
        </w:rPr>
        <w:t>A.</w:t>
      </w:r>
      <w:r w:rsidR="005003D8" w:rsidRPr="003F141B">
        <w:rPr>
          <w:lang w:val="en-CA"/>
        </w:rPr>
        <w:t xml:space="preserve"> </w:t>
      </w:r>
      <w:r w:rsidRPr="003F141B">
        <w:rPr>
          <w:u w:val="single"/>
          <w:lang w:val="en-CA"/>
        </w:rPr>
        <w:t>Yes.</w:t>
      </w:r>
    </w:p>
    <w:p w14:paraId="18D150D0" w14:textId="665B6081" w:rsidR="009130CA" w:rsidRPr="003F141B" w:rsidRDefault="00AF4C6C" w:rsidP="009130CA">
      <w:pPr>
        <w:pStyle w:val="Citationenretrait"/>
        <w:spacing w:line="240" w:lineRule="auto"/>
        <w:rPr>
          <w:lang w:val="en-CA"/>
        </w:rPr>
      </w:pPr>
      <w:r>
        <w:t>[…]</w:t>
      </w:r>
    </w:p>
    <w:p w14:paraId="31160332" w14:textId="5A921E36" w:rsidR="009130CA" w:rsidRPr="003F141B" w:rsidRDefault="00B25D39" w:rsidP="009130CA">
      <w:pPr>
        <w:pStyle w:val="Citationenretrait"/>
        <w:spacing w:line="240" w:lineRule="auto"/>
        <w:rPr>
          <w:lang w:val="en-CA"/>
        </w:rPr>
      </w:pPr>
      <w:r w:rsidRPr="003F141B">
        <w:rPr>
          <w:lang w:val="en-CA"/>
        </w:rPr>
        <w:t>Q.</w:t>
      </w:r>
      <w:r w:rsidR="005003D8" w:rsidRPr="003F141B">
        <w:rPr>
          <w:lang w:val="en-CA"/>
        </w:rPr>
        <w:t xml:space="preserve"> </w:t>
      </w:r>
      <w:r w:rsidR="00AF4C6C">
        <w:t>[…]</w:t>
      </w:r>
      <w:r w:rsidRPr="003F141B">
        <w:rPr>
          <w:lang w:val="en-CA"/>
        </w:rPr>
        <w:t xml:space="preserve">, When did you call </w:t>
      </w:r>
      <w:proofErr w:type="spellStart"/>
      <w:r w:rsidRPr="003F141B">
        <w:rPr>
          <w:lang w:val="en-CA"/>
        </w:rPr>
        <w:t>Mtre</w:t>
      </w:r>
      <w:proofErr w:type="spellEnd"/>
      <w:r w:rsidRPr="003F141B">
        <w:rPr>
          <w:lang w:val="en-CA"/>
        </w:rPr>
        <w:t xml:space="preserve"> </w:t>
      </w:r>
      <w:proofErr w:type="spellStart"/>
      <w:r w:rsidRPr="003F141B">
        <w:rPr>
          <w:lang w:val="en-CA"/>
        </w:rPr>
        <w:t>Cantin</w:t>
      </w:r>
      <w:r w:rsidR="003061CC">
        <w:rPr>
          <w:lang w:val="en-CA"/>
        </w:rPr>
        <w:t>’</w:t>
      </w:r>
      <w:r w:rsidRPr="003F141B">
        <w:rPr>
          <w:lang w:val="en-CA"/>
        </w:rPr>
        <w:t>s</w:t>
      </w:r>
      <w:proofErr w:type="spellEnd"/>
      <w:r w:rsidRPr="003F141B">
        <w:rPr>
          <w:lang w:val="en-CA"/>
        </w:rPr>
        <w:t xml:space="preserve"> cell</w:t>
      </w:r>
      <w:r w:rsidR="006E246B" w:rsidRPr="003F141B">
        <w:rPr>
          <w:lang w:val="en-CA"/>
        </w:rPr>
        <w:t>phone</w:t>
      </w:r>
      <w:r w:rsidRPr="003F141B">
        <w:rPr>
          <w:lang w:val="en-CA"/>
        </w:rPr>
        <w:t xml:space="preserve"> number?</w:t>
      </w:r>
    </w:p>
    <w:p w14:paraId="34856184" w14:textId="6F94FF16" w:rsidR="009130CA" w:rsidRPr="003F141B" w:rsidRDefault="005003D8" w:rsidP="009130CA">
      <w:pPr>
        <w:pStyle w:val="Citationenretrait"/>
        <w:spacing w:line="240" w:lineRule="auto"/>
        <w:rPr>
          <w:lang w:val="en-CA"/>
        </w:rPr>
      </w:pPr>
      <w:r w:rsidRPr="003F141B">
        <w:rPr>
          <w:lang w:val="en-CA"/>
        </w:rPr>
        <w:t xml:space="preserve">R. </w:t>
      </w:r>
      <w:r w:rsidR="00A438B0" w:rsidRPr="002E7C7B">
        <w:rPr>
          <w:u w:val="single"/>
          <w:lang w:val="en-CA"/>
        </w:rPr>
        <w:t xml:space="preserve">His cellphone, I, </w:t>
      </w:r>
      <w:r w:rsidR="00B25D39" w:rsidRPr="003F141B">
        <w:rPr>
          <w:u w:val="single"/>
          <w:lang w:val="en-CA"/>
        </w:rPr>
        <w:t>I didn</w:t>
      </w:r>
      <w:r w:rsidR="003061CC">
        <w:rPr>
          <w:u w:val="single"/>
          <w:lang w:val="en-CA"/>
        </w:rPr>
        <w:t>’</w:t>
      </w:r>
      <w:r w:rsidR="00B25D39" w:rsidRPr="003F141B">
        <w:rPr>
          <w:u w:val="single"/>
          <w:lang w:val="en-CA"/>
        </w:rPr>
        <w:t xml:space="preserve">t call </w:t>
      </w:r>
      <w:r w:rsidR="00A438B0">
        <w:rPr>
          <w:u w:val="single"/>
          <w:lang w:val="en-CA"/>
        </w:rPr>
        <w:t>it</w:t>
      </w:r>
      <w:r w:rsidRPr="003F141B">
        <w:rPr>
          <w:lang w:val="en-CA"/>
        </w:rPr>
        <w:t>.</w:t>
      </w:r>
    </w:p>
    <w:p w14:paraId="7BFAE24F" w14:textId="13243DCB" w:rsidR="009130CA" w:rsidRPr="003F141B" w:rsidRDefault="005003D8" w:rsidP="009130CA">
      <w:pPr>
        <w:pStyle w:val="Citationenretrait"/>
        <w:spacing w:line="240" w:lineRule="auto"/>
        <w:rPr>
          <w:lang w:val="en-CA"/>
        </w:rPr>
      </w:pPr>
      <w:r w:rsidRPr="003F141B">
        <w:rPr>
          <w:lang w:val="en-CA"/>
        </w:rPr>
        <w:t xml:space="preserve">Q. </w:t>
      </w:r>
      <w:r w:rsidR="00125175" w:rsidRPr="003F141B">
        <w:rPr>
          <w:lang w:val="en-CA"/>
        </w:rPr>
        <w:t>You didn</w:t>
      </w:r>
      <w:r w:rsidR="003061CC">
        <w:rPr>
          <w:lang w:val="en-CA"/>
        </w:rPr>
        <w:t>’</w:t>
      </w:r>
      <w:r w:rsidR="00125175" w:rsidRPr="003F141B">
        <w:rPr>
          <w:lang w:val="en-CA"/>
        </w:rPr>
        <w:t xml:space="preserve">t call it, so you have an individual who says to you, I want to speak to </w:t>
      </w:r>
      <w:proofErr w:type="spellStart"/>
      <w:r w:rsidR="00125175" w:rsidRPr="003F141B">
        <w:rPr>
          <w:lang w:val="en-CA"/>
        </w:rPr>
        <w:t>Mtre</w:t>
      </w:r>
      <w:proofErr w:type="spellEnd"/>
      <w:r w:rsidR="00125175" w:rsidRPr="003F141B">
        <w:rPr>
          <w:lang w:val="en-CA"/>
        </w:rPr>
        <w:t xml:space="preserve"> </w:t>
      </w:r>
      <w:proofErr w:type="spellStart"/>
      <w:r w:rsidR="00125175" w:rsidRPr="003F141B">
        <w:rPr>
          <w:lang w:val="en-CA"/>
        </w:rPr>
        <w:t>Boulianne</w:t>
      </w:r>
      <w:proofErr w:type="spellEnd"/>
      <w:r w:rsidR="00125175" w:rsidRPr="003F141B">
        <w:rPr>
          <w:lang w:val="en-CA"/>
        </w:rPr>
        <w:t xml:space="preserve"> or </w:t>
      </w:r>
      <w:proofErr w:type="spellStart"/>
      <w:r w:rsidR="00125175" w:rsidRPr="003F141B">
        <w:rPr>
          <w:lang w:val="en-CA"/>
        </w:rPr>
        <w:t>Mtre</w:t>
      </w:r>
      <w:proofErr w:type="spellEnd"/>
      <w:r w:rsidR="00125175" w:rsidRPr="003F141B">
        <w:rPr>
          <w:lang w:val="en-CA"/>
        </w:rPr>
        <w:t xml:space="preserve"> </w:t>
      </w:r>
      <w:proofErr w:type="spellStart"/>
      <w:r w:rsidR="00125175" w:rsidRPr="003F141B">
        <w:rPr>
          <w:lang w:val="en-CA"/>
        </w:rPr>
        <w:t>Cantin</w:t>
      </w:r>
      <w:proofErr w:type="spellEnd"/>
      <w:r w:rsidR="00125175" w:rsidRPr="003F141B">
        <w:rPr>
          <w:lang w:val="en-CA"/>
        </w:rPr>
        <w:t xml:space="preserve">, you call </w:t>
      </w:r>
      <w:proofErr w:type="spellStart"/>
      <w:r w:rsidR="00125175" w:rsidRPr="003F141B">
        <w:rPr>
          <w:lang w:val="en-CA"/>
        </w:rPr>
        <w:t>Mtre</w:t>
      </w:r>
      <w:proofErr w:type="spellEnd"/>
      <w:r w:rsidR="00125175" w:rsidRPr="003F141B">
        <w:rPr>
          <w:lang w:val="en-CA"/>
        </w:rPr>
        <w:t xml:space="preserve"> Boulianne, you call the office, you </w:t>
      </w:r>
      <w:r w:rsidR="006E246B" w:rsidRPr="003F141B">
        <w:rPr>
          <w:lang w:val="en-CA"/>
        </w:rPr>
        <w:t>don</w:t>
      </w:r>
      <w:r w:rsidR="003061CC">
        <w:rPr>
          <w:lang w:val="en-CA"/>
        </w:rPr>
        <w:t>’</w:t>
      </w:r>
      <w:r w:rsidR="006E246B" w:rsidRPr="003F141B">
        <w:rPr>
          <w:lang w:val="en-CA"/>
        </w:rPr>
        <w:t>t</w:t>
      </w:r>
      <w:r w:rsidR="00125175" w:rsidRPr="003F141B">
        <w:rPr>
          <w:lang w:val="en-CA"/>
        </w:rPr>
        <w:t xml:space="preserve"> leave a message, all of that takes less than two (2) minutes, you don</w:t>
      </w:r>
      <w:r w:rsidR="003061CC">
        <w:rPr>
          <w:lang w:val="en-CA"/>
        </w:rPr>
        <w:t>’</w:t>
      </w:r>
      <w:r w:rsidR="00125175" w:rsidRPr="003F141B">
        <w:rPr>
          <w:lang w:val="en-CA"/>
        </w:rPr>
        <w:t xml:space="preserve">t call </w:t>
      </w:r>
      <w:proofErr w:type="spellStart"/>
      <w:r w:rsidR="00125175" w:rsidRPr="003F141B">
        <w:rPr>
          <w:lang w:val="en-CA"/>
        </w:rPr>
        <w:t>Mtre</w:t>
      </w:r>
      <w:proofErr w:type="spellEnd"/>
      <w:r w:rsidR="00125175" w:rsidRPr="003F141B">
        <w:rPr>
          <w:lang w:val="en-CA"/>
        </w:rPr>
        <w:t xml:space="preserve"> </w:t>
      </w:r>
      <w:proofErr w:type="spellStart"/>
      <w:r w:rsidR="00125175" w:rsidRPr="003F141B">
        <w:rPr>
          <w:lang w:val="en-CA"/>
        </w:rPr>
        <w:t>Cantin</w:t>
      </w:r>
      <w:proofErr w:type="spellEnd"/>
      <w:r w:rsidR="007204E5" w:rsidRPr="003F141B">
        <w:rPr>
          <w:lang w:val="en-CA"/>
        </w:rPr>
        <w:t>,</w:t>
      </w:r>
      <w:r w:rsidR="00125175" w:rsidRPr="003F141B">
        <w:rPr>
          <w:lang w:val="en-CA"/>
        </w:rPr>
        <w:t xml:space="preserve"> then you give him the telephone directory and point to the posters, pick another one, that</w:t>
      </w:r>
      <w:r w:rsidR="003061CC">
        <w:rPr>
          <w:lang w:val="en-CA"/>
        </w:rPr>
        <w:t>’</w:t>
      </w:r>
      <w:r w:rsidR="00125175" w:rsidRPr="003F141B">
        <w:rPr>
          <w:lang w:val="en-CA"/>
        </w:rPr>
        <w:t>s what happened in those two (2) minutes?</w:t>
      </w:r>
    </w:p>
    <w:p w14:paraId="62C8FD56" w14:textId="420AE11C" w:rsidR="009130CA" w:rsidRPr="003F141B" w:rsidRDefault="00125175" w:rsidP="009130CA">
      <w:pPr>
        <w:pStyle w:val="Citationenretrait"/>
        <w:spacing w:line="240" w:lineRule="auto"/>
        <w:rPr>
          <w:lang w:val="en-CA"/>
        </w:rPr>
      </w:pPr>
      <w:r w:rsidRPr="003F141B">
        <w:rPr>
          <w:lang w:val="en-CA"/>
        </w:rPr>
        <w:lastRenderedPageBreak/>
        <w:t>A.</w:t>
      </w:r>
      <w:r w:rsidR="005003D8" w:rsidRPr="003F141B">
        <w:rPr>
          <w:lang w:val="en-CA"/>
        </w:rPr>
        <w:t xml:space="preserve"> </w:t>
      </w:r>
      <w:r w:rsidRPr="003F141B">
        <w:rPr>
          <w:lang w:val="en-CA"/>
        </w:rPr>
        <w:t xml:space="preserve">Usually, if a line, it </w:t>
      </w:r>
      <w:proofErr w:type="gramStart"/>
      <w:r w:rsidRPr="003F141B">
        <w:rPr>
          <w:lang w:val="en-CA"/>
        </w:rPr>
        <w:t>doesn</w:t>
      </w:r>
      <w:r w:rsidR="003061CC">
        <w:rPr>
          <w:lang w:val="en-CA"/>
        </w:rPr>
        <w:t>’</w:t>
      </w:r>
      <w:r w:rsidRPr="003F141B">
        <w:rPr>
          <w:lang w:val="en-CA"/>
        </w:rPr>
        <w:t>t</w:t>
      </w:r>
      <w:proofErr w:type="gramEnd"/>
      <w:r w:rsidRPr="003F141B">
        <w:rPr>
          <w:lang w:val="en-CA"/>
        </w:rPr>
        <w:t xml:space="preserve"> ring for more than thirty (30) seconds, then for sure, in that time period I had time to call both, to call the lawyers </w:t>
      </w:r>
      <w:r w:rsidR="006E246B" w:rsidRPr="003F141B">
        <w:rPr>
          <w:lang w:val="en-CA"/>
        </w:rPr>
        <w:t>two (</w:t>
      </w:r>
      <w:r w:rsidRPr="003F141B">
        <w:rPr>
          <w:lang w:val="en-CA"/>
        </w:rPr>
        <w:t xml:space="preserve">2) times, </w:t>
      </w:r>
      <w:r w:rsidRPr="003F141B">
        <w:rPr>
          <w:u w:val="single"/>
          <w:lang w:val="en-CA"/>
        </w:rPr>
        <w:t>I didn</w:t>
      </w:r>
      <w:r w:rsidR="003061CC">
        <w:rPr>
          <w:u w:val="single"/>
          <w:lang w:val="en-CA"/>
        </w:rPr>
        <w:t>’</w:t>
      </w:r>
      <w:r w:rsidRPr="003F141B">
        <w:rPr>
          <w:u w:val="single"/>
          <w:lang w:val="en-CA"/>
        </w:rPr>
        <w:t xml:space="preserve">t get any answer on either of the </w:t>
      </w:r>
      <w:r w:rsidR="006E246B" w:rsidRPr="003F141B">
        <w:rPr>
          <w:u w:val="single"/>
          <w:lang w:val="en-CA"/>
        </w:rPr>
        <w:t>two (</w:t>
      </w:r>
      <w:r w:rsidRPr="003F141B">
        <w:rPr>
          <w:u w:val="single"/>
          <w:lang w:val="en-CA"/>
        </w:rPr>
        <w:t>2) lines</w:t>
      </w:r>
      <w:r w:rsidRPr="003F141B">
        <w:rPr>
          <w:lang w:val="en-CA"/>
        </w:rPr>
        <w:t>...</w:t>
      </w:r>
    </w:p>
    <w:p w14:paraId="53ABCA32" w14:textId="77777777" w:rsidR="009130CA" w:rsidRPr="003F141B" w:rsidRDefault="005003D8" w:rsidP="009130CA">
      <w:pPr>
        <w:pStyle w:val="Citationenretrait"/>
        <w:spacing w:line="240" w:lineRule="auto"/>
        <w:rPr>
          <w:lang w:val="en-CA"/>
        </w:rPr>
      </w:pPr>
      <w:r w:rsidRPr="003F141B">
        <w:rPr>
          <w:lang w:val="en-CA"/>
        </w:rPr>
        <w:t xml:space="preserve">Q. </w:t>
      </w:r>
      <w:r w:rsidR="00125175" w:rsidRPr="003F141B">
        <w:rPr>
          <w:lang w:val="en-CA"/>
        </w:rPr>
        <w:t>Oh, oh, oh!</w:t>
      </w:r>
    </w:p>
    <w:p w14:paraId="0078C6F8" w14:textId="366ABB3A" w:rsidR="009130CA" w:rsidRPr="003F141B" w:rsidRDefault="006B5E04" w:rsidP="009130CA">
      <w:pPr>
        <w:pStyle w:val="Citationenretrait"/>
        <w:spacing w:line="240" w:lineRule="auto"/>
        <w:rPr>
          <w:lang w:val="en-CA"/>
        </w:rPr>
      </w:pPr>
      <w:r>
        <w:t>[…]</w:t>
      </w:r>
    </w:p>
    <w:p w14:paraId="3475D3AA" w14:textId="739BB54D" w:rsidR="009130CA" w:rsidRPr="003F141B" w:rsidRDefault="00125175"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 xml:space="preserve">Constitutional law, when you give rights, you surely had some training at the station, they told you, oh, </w:t>
      </w:r>
      <w:r w:rsidR="00D04BD2" w:rsidRPr="003F141B">
        <w:rPr>
          <w:lang w:val="en-CA"/>
        </w:rPr>
        <w:t xml:space="preserve">what </w:t>
      </w:r>
      <w:r w:rsidRPr="003F141B">
        <w:rPr>
          <w:lang w:val="en-CA"/>
        </w:rPr>
        <w:t>the right to a lawyer include</w:t>
      </w:r>
      <w:r w:rsidR="00D04BD2" w:rsidRPr="003F141B">
        <w:rPr>
          <w:lang w:val="en-CA"/>
        </w:rPr>
        <w:t>s</w:t>
      </w:r>
      <w:r w:rsidRPr="003F141B">
        <w:rPr>
          <w:lang w:val="en-CA"/>
        </w:rPr>
        <w:t>, what</w:t>
      </w:r>
      <w:r w:rsidR="008D445A">
        <w:rPr>
          <w:lang w:val="en-CA"/>
        </w:rPr>
        <w:t>, what</w:t>
      </w:r>
      <w:r w:rsidRPr="003F141B">
        <w:rPr>
          <w:lang w:val="en-CA"/>
        </w:rPr>
        <w:t xml:space="preserve"> your obligation as a police officer</w:t>
      </w:r>
      <w:r w:rsidR="00D04BD2" w:rsidRPr="003F141B">
        <w:rPr>
          <w:lang w:val="en-CA"/>
        </w:rPr>
        <w:t xml:space="preserve"> is</w:t>
      </w:r>
      <w:r w:rsidRPr="003F141B">
        <w:rPr>
          <w:lang w:val="en-CA"/>
        </w:rPr>
        <w:t>?</w:t>
      </w:r>
    </w:p>
    <w:p w14:paraId="2745E3BF" w14:textId="2BB47B59" w:rsidR="009130CA" w:rsidRPr="003F141B" w:rsidRDefault="00125175" w:rsidP="009130CA">
      <w:pPr>
        <w:pStyle w:val="Citationenretrait"/>
        <w:spacing w:line="240" w:lineRule="auto"/>
        <w:rPr>
          <w:lang w:val="en-CA"/>
        </w:rPr>
      </w:pPr>
      <w:r w:rsidRPr="003F141B">
        <w:rPr>
          <w:lang w:val="en-CA"/>
        </w:rPr>
        <w:t>A.</w:t>
      </w:r>
      <w:r w:rsidR="005003D8" w:rsidRPr="003F141B">
        <w:rPr>
          <w:lang w:val="en-CA"/>
        </w:rPr>
        <w:t xml:space="preserve"> </w:t>
      </w:r>
      <w:r w:rsidRPr="003F141B">
        <w:rPr>
          <w:lang w:val="en-CA"/>
        </w:rPr>
        <w:t xml:space="preserve">That we must </w:t>
      </w:r>
      <w:proofErr w:type="gramStart"/>
      <w:r w:rsidRPr="003F141B">
        <w:rPr>
          <w:lang w:val="en-CA"/>
        </w:rPr>
        <w:t>make an attempt</w:t>
      </w:r>
      <w:proofErr w:type="gramEnd"/>
      <w:r w:rsidRPr="003F141B">
        <w:rPr>
          <w:lang w:val="en-CA"/>
        </w:rPr>
        <w:t xml:space="preserve"> to reach the</w:t>
      </w:r>
      <w:r w:rsidR="008D445A">
        <w:rPr>
          <w:lang w:val="en-CA"/>
        </w:rPr>
        <w:t>, the</w:t>
      </w:r>
      <w:r w:rsidRPr="003F141B">
        <w:rPr>
          <w:lang w:val="en-CA"/>
        </w:rPr>
        <w:t xml:space="preserve"> </w:t>
      </w:r>
      <w:r w:rsidR="006E246B" w:rsidRPr="003F141B">
        <w:rPr>
          <w:lang w:val="en-CA"/>
        </w:rPr>
        <w:t>suspect</w:t>
      </w:r>
      <w:r w:rsidR="003061CC">
        <w:rPr>
          <w:lang w:val="en-CA"/>
        </w:rPr>
        <w:t>’</w:t>
      </w:r>
      <w:r w:rsidR="006E246B" w:rsidRPr="003F141B">
        <w:rPr>
          <w:lang w:val="en-CA"/>
        </w:rPr>
        <w:t xml:space="preserve">s </w:t>
      </w:r>
      <w:r w:rsidRPr="003F141B">
        <w:rPr>
          <w:lang w:val="en-CA"/>
        </w:rPr>
        <w:t>counsel of choice</w:t>
      </w:r>
      <w:r w:rsidR="00D04BD2" w:rsidRPr="003F141B">
        <w:rPr>
          <w:lang w:val="en-CA"/>
        </w:rPr>
        <w:t xml:space="preserve">, and </w:t>
      </w:r>
      <w:r w:rsidRPr="003F141B">
        <w:rPr>
          <w:lang w:val="en-CA"/>
        </w:rPr>
        <w:t>once that</w:t>
      </w:r>
      <w:r w:rsidR="003061CC">
        <w:rPr>
          <w:lang w:val="en-CA"/>
        </w:rPr>
        <w:t>’</w:t>
      </w:r>
      <w:r w:rsidR="00D04BD2" w:rsidRPr="003F141B">
        <w:rPr>
          <w:lang w:val="en-CA"/>
        </w:rPr>
        <w:t>s</w:t>
      </w:r>
      <w:r w:rsidRPr="003F141B">
        <w:rPr>
          <w:lang w:val="en-CA"/>
        </w:rPr>
        <w:t xml:space="preserve"> done, the suspect has the right to have a private telephone conversation with his lawyer and must be satisfied with his conversation.</w:t>
      </w:r>
    </w:p>
    <w:p w14:paraId="3F3EE433" w14:textId="45ECDB5A" w:rsidR="009130CA" w:rsidRPr="003F141B" w:rsidRDefault="00125175"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Okay, so for you, the right to counsel is an attempt to reach his counsel of choice?</w:t>
      </w:r>
    </w:p>
    <w:p w14:paraId="6AC5577F" w14:textId="2C21BDC8" w:rsidR="009130CA" w:rsidRPr="003F141B" w:rsidRDefault="00125175" w:rsidP="009130CA">
      <w:pPr>
        <w:pStyle w:val="Citationenretrait"/>
        <w:spacing w:line="240" w:lineRule="auto"/>
        <w:rPr>
          <w:lang w:val="en-CA"/>
        </w:rPr>
      </w:pPr>
      <w:r w:rsidRPr="003F141B">
        <w:rPr>
          <w:lang w:val="en-CA"/>
        </w:rPr>
        <w:t>A.</w:t>
      </w:r>
      <w:r w:rsidR="005003D8" w:rsidRPr="003F141B">
        <w:rPr>
          <w:lang w:val="en-CA"/>
        </w:rPr>
        <w:t xml:space="preserve"> </w:t>
      </w:r>
      <w:r w:rsidR="00D04BD2" w:rsidRPr="003F141B">
        <w:rPr>
          <w:u w:val="single"/>
          <w:lang w:val="en-CA"/>
        </w:rPr>
        <w:t xml:space="preserve">As </w:t>
      </w:r>
      <w:r w:rsidRPr="003F141B">
        <w:rPr>
          <w:u w:val="single"/>
          <w:lang w:val="en-CA"/>
        </w:rPr>
        <w:t>I said, there was no answer when I called.</w:t>
      </w:r>
    </w:p>
    <w:p w14:paraId="2FBA98ED" w14:textId="2AA7D341" w:rsidR="009130CA" w:rsidRPr="003F141B" w:rsidRDefault="006C5AEF" w:rsidP="009130CA">
      <w:pPr>
        <w:pStyle w:val="Citationenretrait"/>
        <w:spacing w:line="240" w:lineRule="auto"/>
        <w:rPr>
          <w:lang w:val="en-CA"/>
        </w:rPr>
      </w:pPr>
      <w:r>
        <w:t>[…]</w:t>
      </w:r>
    </w:p>
    <w:p w14:paraId="24898441" w14:textId="03602A00" w:rsidR="009130CA" w:rsidRPr="003F141B" w:rsidRDefault="00125175"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 xml:space="preserve">Do you find it reasonable that </w:t>
      </w:r>
      <w:r w:rsidR="00444CAD">
        <w:rPr>
          <w:lang w:val="en-CA"/>
        </w:rPr>
        <w:t xml:space="preserve">when </w:t>
      </w:r>
      <w:r w:rsidRPr="003F141B">
        <w:rPr>
          <w:lang w:val="en-CA"/>
        </w:rPr>
        <w:t xml:space="preserve">someone says I want to speak to </w:t>
      </w:r>
      <w:proofErr w:type="spellStart"/>
      <w:r w:rsidRPr="003F141B">
        <w:rPr>
          <w:lang w:val="en-CA"/>
        </w:rPr>
        <w:t>Mtre</w:t>
      </w:r>
      <w:proofErr w:type="spellEnd"/>
      <w:r w:rsidRPr="003F141B">
        <w:rPr>
          <w:lang w:val="en-CA"/>
        </w:rPr>
        <w:t xml:space="preserve"> </w:t>
      </w:r>
      <w:proofErr w:type="spellStart"/>
      <w:r w:rsidRPr="003F141B">
        <w:rPr>
          <w:lang w:val="en-CA"/>
        </w:rPr>
        <w:t>Boulianne</w:t>
      </w:r>
      <w:proofErr w:type="spellEnd"/>
      <w:r w:rsidRPr="003F141B">
        <w:rPr>
          <w:lang w:val="en-CA"/>
        </w:rPr>
        <w:t xml:space="preserve">, to </w:t>
      </w:r>
      <w:proofErr w:type="spellStart"/>
      <w:r w:rsidRPr="003F141B">
        <w:rPr>
          <w:lang w:val="en-CA"/>
        </w:rPr>
        <w:t>Mtre</w:t>
      </w:r>
      <w:proofErr w:type="spellEnd"/>
      <w:r w:rsidRPr="003F141B">
        <w:rPr>
          <w:lang w:val="en-CA"/>
        </w:rPr>
        <w:t xml:space="preserve"> </w:t>
      </w:r>
      <w:proofErr w:type="spellStart"/>
      <w:r w:rsidRPr="003F141B">
        <w:rPr>
          <w:lang w:val="en-CA"/>
        </w:rPr>
        <w:t>Cantin</w:t>
      </w:r>
      <w:proofErr w:type="spellEnd"/>
      <w:r w:rsidRPr="003F141B">
        <w:rPr>
          <w:lang w:val="en-CA"/>
        </w:rPr>
        <w:t xml:space="preserve">, to make two (2) attempts in two (2) minutes, zero attempts concerning </w:t>
      </w:r>
      <w:proofErr w:type="spellStart"/>
      <w:r w:rsidRPr="003F141B">
        <w:rPr>
          <w:lang w:val="en-CA"/>
        </w:rPr>
        <w:t>Mtre</w:t>
      </w:r>
      <w:proofErr w:type="spellEnd"/>
      <w:r w:rsidRPr="003F141B">
        <w:rPr>
          <w:lang w:val="en-CA"/>
        </w:rPr>
        <w:t xml:space="preserve"> </w:t>
      </w:r>
      <w:proofErr w:type="spellStart"/>
      <w:r w:rsidRPr="003F141B">
        <w:rPr>
          <w:lang w:val="en-CA"/>
        </w:rPr>
        <w:t>Cantin</w:t>
      </w:r>
      <w:proofErr w:type="spellEnd"/>
      <w:r w:rsidRPr="003F141B">
        <w:rPr>
          <w:lang w:val="en-CA"/>
        </w:rPr>
        <w:t>, not to leave a message, how do you expect a lawyer to call you back if you don</w:t>
      </w:r>
      <w:r w:rsidR="003061CC">
        <w:rPr>
          <w:lang w:val="en-CA"/>
        </w:rPr>
        <w:t>’</w:t>
      </w:r>
      <w:r w:rsidRPr="003F141B">
        <w:rPr>
          <w:lang w:val="en-CA"/>
        </w:rPr>
        <w:t>t leave a message?</w:t>
      </w:r>
    </w:p>
    <w:p w14:paraId="4AA38861" w14:textId="71C7EEFD" w:rsidR="009130CA" w:rsidRPr="003F141B" w:rsidRDefault="00125175" w:rsidP="009130CA">
      <w:pPr>
        <w:pStyle w:val="Citationenretrait"/>
        <w:spacing w:line="240" w:lineRule="auto"/>
        <w:rPr>
          <w:lang w:val="en-CA"/>
        </w:rPr>
      </w:pPr>
      <w:r w:rsidRPr="003F141B">
        <w:rPr>
          <w:lang w:val="en-CA"/>
        </w:rPr>
        <w:t>A.</w:t>
      </w:r>
      <w:r w:rsidR="005003D8" w:rsidRPr="003F141B">
        <w:rPr>
          <w:lang w:val="en-CA"/>
        </w:rPr>
        <w:t xml:space="preserve"> </w:t>
      </w:r>
      <w:r w:rsidRPr="003F141B">
        <w:rPr>
          <w:lang w:val="en-CA"/>
        </w:rPr>
        <w:t xml:space="preserve">Again, </w:t>
      </w:r>
      <w:r w:rsidR="00522C49" w:rsidRPr="003F141B">
        <w:rPr>
          <w:lang w:val="en-CA"/>
        </w:rPr>
        <w:t>as</w:t>
      </w:r>
      <w:r w:rsidRPr="003F141B">
        <w:rPr>
          <w:lang w:val="en-CA"/>
        </w:rPr>
        <w:t xml:space="preserve"> I told you before, I don</w:t>
      </w:r>
      <w:r w:rsidR="003061CC">
        <w:rPr>
          <w:lang w:val="en-CA"/>
        </w:rPr>
        <w:t>’</w:t>
      </w:r>
      <w:r w:rsidRPr="003F141B">
        <w:rPr>
          <w:lang w:val="en-CA"/>
        </w:rPr>
        <w:t>t, I can</w:t>
      </w:r>
      <w:r w:rsidR="003061CC">
        <w:rPr>
          <w:lang w:val="en-CA"/>
        </w:rPr>
        <w:t>’</w:t>
      </w:r>
      <w:r w:rsidRPr="003F141B">
        <w:rPr>
          <w:lang w:val="en-CA"/>
        </w:rPr>
        <w:t xml:space="preserve">t remember exactly if there was </w:t>
      </w:r>
      <w:r w:rsidR="000E1DB7" w:rsidRPr="003F141B">
        <w:rPr>
          <w:lang w:val="en-CA"/>
        </w:rPr>
        <w:t>voicemail</w:t>
      </w:r>
      <w:r w:rsidRPr="003F141B">
        <w:rPr>
          <w:lang w:val="en-CA"/>
        </w:rPr>
        <w:t xml:space="preserve"> or not.</w:t>
      </w:r>
    </w:p>
    <w:p w14:paraId="7EB3D81C" w14:textId="77777777" w:rsidR="009130CA" w:rsidRPr="003F141B" w:rsidRDefault="00125175"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Shall we try?</w:t>
      </w:r>
    </w:p>
    <w:p w14:paraId="5476B96F" w14:textId="77777777" w:rsidR="009130CA" w:rsidRPr="003F141B" w:rsidRDefault="00125175" w:rsidP="009130CA">
      <w:pPr>
        <w:pStyle w:val="Citationenretrait"/>
        <w:spacing w:line="240" w:lineRule="auto"/>
        <w:rPr>
          <w:lang w:val="en-CA"/>
        </w:rPr>
      </w:pPr>
      <w:r w:rsidRPr="003F141B">
        <w:rPr>
          <w:lang w:val="en-CA"/>
        </w:rPr>
        <w:t>A.</w:t>
      </w:r>
      <w:r w:rsidR="005003D8" w:rsidRPr="003F141B">
        <w:rPr>
          <w:lang w:val="en-CA"/>
        </w:rPr>
        <w:t xml:space="preserve"> </w:t>
      </w:r>
      <w:r w:rsidRPr="003F141B">
        <w:rPr>
          <w:lang w:val="en-CA"/>
        </w:rPr>
        <w:t>But that, that was in July, so...</w:t>
      </w:r>
    </w:p>
    <w:p w14:paraId="69B4BC8D" w14:textId="77777777" w:rsidR="009130CA" w:rsidRPr="003F141B" w:rsidRDefault="00125175"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But shall we ...</w:t>
      </w:r>
    </w:p>
    <w:p w14:paraId="55B25645" w14:textId="77777777" w:rsidR="009130CA" w:rsidRPr="003F141B" w:rsidRDefault="00125175" w:rsidP="009130CA">
      <w:pPr>
        <w:pStyle w:val="Citationenretrait"/>
        <w:spacing w:line="240" w:lineRule="auto"/>
        <w:rPr>
          <w:lang w:val="en-CA"/>
        </w:rPr>
      </w:pPr>
      <w:r w:rsidRPr="003F141B">
        <w:rPr>
          <w:lang w:val="en-CA"/>
        </w:rPr>
        <w:t>A.</w:t>
      </w:r>
      <w:r w:rsidR="005003D8" w:rsidRPr="003F141B">
        <w:rPr>
          <w:lang w:val="en-CA"/>
        </w:rPr>
        <w:t xml:space="preserve"> </w:t>
      </w:r>
      <w:r w:rsidRPr="003F141B">
        <w:rPr>
          <w:u w:val="single"/>
          <w:lang w:val="en-CA"/>
        </w:rPr>
        <w:t>We can if you like</w:t>
      </w:r>
      <w:r w:rsidRPr="003F141B">
        <w:rPr>
          <w:lang w:val="en-CA"/>
        </w:rPr>
        <w:t>.</w:t>
      </w:r>
    </w:p>
    <w:p w14:paraId="35A4883B" w14:textId="4DF64DCD" w:rsidR="009130CA" w:rsidRPr="003F141B" w:rsidRDefault="00125175" w:rsidP="009130CA">
      <w:pPr>
        <w:pStyle w:val="Citationenretrait"/>
        <w:spacing w:line="240" w:lineRule="auto"/>
        <w:rPr>
          <w:lang w:val="en-CA"/>
        </w:rPr>
      </w:pPr>
      <w:r w:rsidRPr="003F141B">
        <w:rPr>
          <w:lang w:val="en-CA"/>
        </w:rPr>
        <w:t>Q.</w:t>
      </w:r>
      <w:r w:rsidR="005003D8" w:rsidRPr="003F141B">
        <w:rPr>
          <w:lang w:val="en-CA"/>
        </w:rPr>
        <w:t xml:space="preserve"> </w:t>
      </w:r>
      <w:r w:rsidR="00D04BD2" w:rsidRPr="003F141B">
        <w:rPr>
          <w:lang w:val="en-CA"/>
        </w:rPr>
        <w:t>Your</w:t>
      </w:r>
      <w:r w:rsidRPr="003F141B">
        <w:rPr>
          <w:lang w:val="en-CA"/>
        </w:rPr>
        <w:t xml:space="preserve"> Honour, </w:t>
      </w:r>
      <w:r w:rsidR="00D04BD2" w:rsidRPr="003F141B">
        <w:rPr>
          <w:lang w:val="en-CA"/>
        </w:rPr>
        <w:t xml:space="preserve">would you like us to dial </w:t>
      </w:r>
      <w:r w:rsidR="00F96523">
        <w:rPr>
          <w:lang w:val="en-CA"/>
        </w:rPr>
        <w:t xml:space="preserve">my </w:t>
      </w:r>
      <w:r w:rsidR="00D04BD2" w:rsidRPr="003F141B">
        <w:rPr>
          <w:lang w:val="en-CA"/>
        </w:rPr>
        <w:t>telephone number</w:t>
      </w:r>
      <w:r w:rsidRPr="003F141B">
        <w:rPr>
          <w:lang w:val="en-CA"/>
        </w:rPr>
        <w:t>?</w:t>
      </w:r>
    </w:p>
    <w:p w14:paraId="040B203F" w14:textId="77777777" w:rsidR="009130CA" w:rsidRPr="003F141B" w:rsidRDefault="00125175" w:rsidP="009130CA">
      <w:pPr>
        <w:pStyle w:val="Citationenretrait"/>
        <w:spacing w:line="240" w:lineRule="auto"/>
        <w:rPr>
          <w:lang w:val="en-CA"/>
        </w:rPr>
      </w:pPr>
      <w:proofErr w:type="spellStart"/>
      <w:r w:rsidRPr="003F141B">
        <w:rPr>
          <w:lang w:val="en-CA"/>
        </w:rPr>
        <w:t>Mtre</w:t>
      </w:r>
      <w:proofErr w:type="spellEnd"/>
      <w:r w:rsidRPr="003F141B">
        <w:rPr>
          <w:lang w:val="en-CA"/>
        </w:rPr>
        <w:t xml:space="preserve"> MARIE-PHILIPPE CHARRON, CROWN PROSECUTOR:</w:t>
      </w:r>
    </w:p>
    <w:p w14:paraId="39E0B813" w14:textId="44655E61" w:rsidR="009130CA" w:rsidRPr="003F141B" w:rsidRDefault="00125175" w:rsidP="009130CA">
      <w:pPr>
        <w:pStyle w:val="Citationenretrait"/>
        <w:spacing w:line="240" w:lineRule="auto"/>
        <w:rPr>
          <w:lang w:val="en-CA"/>
        </w:rPr>
      </w:pPr>
      <w:r w:rsidRPr="003F141B">
        <w:rPr>
          <w:u w:val="single"/>
          <w:lang w:val="en-CA"/>
        </w:rPr>
        <w:t xml:space="preserve">Objection </w:t>
      </w:r>
      <w:r w:rsidR="00D04BD2" w:rsidRPr="003F141B">
        <w:rPr>
          <w:u w:val="single"/>
          <w:lang w:val="en-CA"/>
        </w:rPr>
        <w:t>Y</w:t>
      </w:r>
      <w:r w:rsidRPr="003F141B">
        <w:rPr>
          <w:u w:val="single"/>
          <w:lang w:val="en-CA"/>
        </w:rPr>
        <w:t>our Honour, that does</w:t>
      </w:r>
      <w:r w:rsidR="00D04BD2" w:rsidRPr="003F141B">
        <w:rPr>
          <w:u w:val="single"/>
          <w:lang w:val="en-CA"/>
        </w:rPr>
        <w:t>n</w:t>
      </w:r>
      <w:r w:rsidR="003061CC">
        <w:rPr>
          <w:u w:val="single"/>
          <w:lang w:val="en-CA"/>
        </w:rPr>
        <w:t>’</w:t>
      </w:r>
      <w:r w:rsidR="00D04BD2" w:rsidRPr="003F141B">
        <w:rPr>
          <w:u w:val="single"/>
          <w:lang w:val="en-CA"/>
        </w:rPr>
        <w:t>t</w:t>
      </w:r>
      <w:r w:rsidRPr="003F141B">
        <w:rPr>
          <w:u w:val="single"/>
          <w:lang w:val="en-CA"/>
        </w:rPr>
        <w:t xml:space="preserve"> mean, </w:t>
      </w:r>
      <w:r w:rsidR="00D04BD2" w:rsidRPr="003F141B">
        <w:rPr>
          <w:u w:val="single"/>
          <w:lang w:val="en-CA"/>
        </w:rPr>
        <w:t>just</w:t>
      </w:r>
      <w:r w:rsidRPr="003F141B">
        <w:rPr>
          <w:u w:val="single"/>
          <w:lang w:val="en-CA"/>
        </w:rPr>
        <w:t xml:space="preserve"> because there is </w:t>
      </w:r>
      <w:r w:rsidR="000E1DB7" w:rsidRPr="003F141B">
        <w:rPr>
          <w:u w:val="single"/>
          <w:lang w:val="en-CA"/>
        </w:rPr>
        <w:t>voicemail</w:t>
      </w:r>
      <w:r w:rsidRPr="003F141B">
        <w:rPr>
          <w:u w:val="single"/>
          <w:lang w:val="en-CA"/>
        </w:rPr>
        <w:t xml:space="preserve"> now </w:t>
      </w:r>
      <w:r w:rsidR="00D04BD2" w:rsidRPr="003F141B">
        <w:rPr>
          <w:u w:val="single"/>
          <w:lang w:val="en-CA"/>
        </w:rPr>
        <w:t>doesn</w:t>
      </w:r>
      <w:r w:rsidR="003061CC">
        <w:rPr>
          <w:u w:val="single"/>
          <w:lang w:val="en-CA"/>
        </w:rPr>
        <w:t>’</w:t>
      </w:r>
      <w:r w:rsidR="00D04BD2" w:rsidRPr="003F141B">
        <w:rPr>
          <w:u w:val="single"/>
          <w:lang w:val="en-CA"/>
        </w:rPr>
        <w:t xml:space="preserve">t mean </w:t>
      </w:r>
      <w:r w:rsidRPr="003F141B">
        <w:rPr>
          <w:u w:val="single"/>
          <w:lang w:val="en-CA"/>
        </w:rPr>
        <w:t>that</w:t>
      </w:r>
      <w:r w:rsidRPr="003F141B">
        <w:rPr>
          <w:lang w:val="en-CA"/>
        </w:rPr>
        <w:t xml:space="preserve"> ...</w:t>
      </w:r>
    </w:p>
    <w:p w14:paraId="7D028AAA" w14:textId="77777777" w:rsidR="009130CA" w:rsidRPr="003F141B" w:rsidRDefault="00125175" w:rsidP="00A3031E">
      <w:pPr>
        <w:pStyle w:val="Citationenretrait"/>
        <w:keepNext/>
        <w:keepLines/>
        <w:spacing w:line="240" w:lineRule="auto"/>
        <w:rPr>
          <w:lang w:val="en-CA"/>
        </w:rPr>
      </w:pPr>
      <w:r w:rsidRPr="003F141B">
        <w:rPr>
          <w:lang w:val="en-CA"/>
        </w:rPr>
        <w:lastRenderedPageBreak/>
        <w:t>THE COURT:</w:t>
      </w:r>
    </w:p>
    <w:p w14:paraId="658E8CD3" w14:textId="77777777" w:rsidR="009130CA" w:rsidRPr="003F141B" w:rsidRDefault="00125175" w:rsidP="00A3031E">
      <w:pPr>
        <w:pStyle w:val="Citationenretrait"/>
        <w:keepNext/>
        <w:keepLines/>
        <w:spacing w:line="240" w:lineRule="auto"/>
        <w:rPr>
          <w:lang w:val="en-CA"/>
        </w:rPr>
      </w:pPr>
      <w:r w:rsidRPr="003F141B">
        <w:rPr>
          <w:u w:val="single"/>
          <w:lang w:val="en-CA"/>
        </w:rPr>
        <w:t>Exactly</w:t>
      </w:r>
      <w:r w:rsidRPr="003F141B">
        <w:rPr>
          <w:lang w:val="en-CA"/>
        </w:rPr>
        <w:t>.</w:t>
      </w:r>
    </w:p>
    <w:p w14:paraId="28BD583D" w14:textId="7D138C82" w:rsidR="009130CA" w:rsidRPr="003F141B" w:rsidRDefault="00487B19" w:rsidP="00A3031E">
      <w:pPr>
        <w:pStyle w:val="Citationenretrait"/>
        <w:keepNext/>
        <w:keepLines/>
        <w:spacing w:line="240" w:lineRule="auto"/>
        <w:rPr>
          <w:lang w:val="en-CA"/>
        </w:rPr>
      </w:pPr>
      <w:r>
        <w:t>[…]</w:t>
      </w:r>
    </w:p>
    <w:p w14:paraId="02EEF0FC" w14:textId="5D1D9D16" w:rsidR="009130CA" w:rsidRPr="003F141B" w:rsidRDefault="00125175" w:rsidP="00A3031E">
      <w:pPr>
        <w:pStyle w:val="Citationenretrait"/>
        <w:keepNext/>
        <w:keepLines/>
        <w:tabs>
          <w:tab w:val="left" w:pos="6804"/>
        </w:tabs>
        <w:spacing w:line="240" w:lineRule="auto"/>
        <w:rPr>
          <w:lang w:val="en-CA"/>
        </w:rPr>
      </w:pPr>
      <w:r w:rsidRPr="003F141B">
        <w:rPr>
          <w:lang w:val="en-CA"/>
        </w:rPr>
        <w:tab/>
      </w:r>
      <w:r w:rsidRPr="003F141B">
        <w:rPr>
          <w:lang w:val="en-CA"/>
        </w:rPr>
        <w:tab/>
      </w:r>
      <w:r w:rsidRPr="003F141B">
        <w:rPr>
          <w:lang w:val="en-CA"/>
        </w:rPr>
        <w:tab/>
      </w:r>
      <w:r w:rsidRPr="003F141B">
        <w:rPr>
          <w:lang w:val="en-CA"/>
        </w:rPr>
        <w:tab/>
      </w:r>
      <w:r w:rsidRPr="003F141B">
        <w:rPr>
          <w:lang w:val="en-CA"/>
        </w:rPr>
        <w:tab/>
        <w:t>[Emphasis added]</w:t>
      </w:r>
    </w:p>
    <w:p w14:paraId="239F9857" w14:textId="336656C5" w:rsidR="009130CA" w:rsidRPr="003F141B" w:rsidRDefault="00125175" w:rsidP="009130CA">
      <w:pPr>
        <w:pStyle w:val="Paragraphe"/>
        <w:spacing w:line="240" w:lineRule="auto"/>
        <w:rPr>
          <w:lang w:val="en-CA"/>
        </w:rPr>
      </w:pPr>
      <w:r w:rsidRPr="003F141B">
        <w:rPr>
          <w:lang w:val="en-CA"/>
        </w:rPr>
        <w:t xml:space="preserve">The cross-examination of </w:t>
      </w:r>
      <w:r w:rsidR="00A47853" w:rsidRPr="003F141B">
        <w:rPr>
          <w:lang w:val="en-CA"/>
        </w:rPr>
        <w:t>O</w:t>
      </w:r>
      <w:r w:rsidRPr="003F141B">
        <w:rPr>
          <w:lang w:val="en-CA"/>
        </w:rPr>
        <w:t xml:space="preserve">fficer </w:t>
      </w:r>
      <w:proofErr w:type="spellStart"/>
      <w:r w:rsidRPr="003F141B">
        <w:rPr>
          <w:lang w:val="en-CA"/>
        </w:rPr>
        <w:t>Naess</w:t>
      </w:r>
      <w:proofErr w:type="spellEnd"/>
      <w:r w:rsidRPr="003F141B">
        <w:rPr>
          <w:lang w:val="en-CA"/>
        </w:rPr>
        <w:t xml:space="preserve"> continued with</w:t>
      </w:r>
      <w:r w:rsidR="00522C49" w:rsidRPr="003F141B">
        <w:rPr>
          <w:lang w:val="en-CA"/>
        </w:rPr>
        <w:t xml:space="preserve"> another</w:t>
      </w:r>
      <w:r w:rsidRPr="003F141B">
        <w:rPr>
          <w:lang w:val="en-CA"/>
        </w:rPr>
        <w:t xml:space="preserve"> question from counsel for the respondent</w:t>
      </w:r>
      <w:r w:rsidR="00D04BD2" w:rsidRPr="003F141B">
        <w:rPr>
          <w:lang w:val="en-CA"/>
        </w:rPr>
        <w:t>, who</w:t>
      </w:r>
      <w:r w:rsidRPr="003F141B">
        <w:rPr>
          <w:lang w:val="en-CA"/>
        </w:rPr>
        <w:t xml:space="preserve"> suggest</w:t>
      </w:r>
      <w:r w:rsidR="00D04BD2" w:rsidRPr="003F141B">
        <w:rPr>
          <w:lang w:val="en-CA"/>
        </w:rPr>
        <w:t>ed</w:t>
      </w:r>
      <w:r w:rsidRPr="003F141B">
        <w:rPr>
          <w:lang w:val="en-CA"/>
        </w:rPr>
        <w:t xml:space="preserve"> an unproven disputed fact, and </w:t>
      </w:r>
      <w:r w:rsidR="004F6235">
        <w:rPr>
          <w:lang w:val="en-CA"/>
        </w:rPr>
        <w:t xml:space="preserve">with </w:t>
      </w:r>
      <w:r w:rsidRPr="003F141B">
        <w:rPr>
          <w:lang w:val="en-CA"/>
        </w:rPr>
        <w:t>an intervention by the judge to correct h</w:t>
      </w:r>
      <w:r w:rsidR="00522C49" w:rsidRPr="003F141B">
        <w:rPr>
          <w:lang w:val="en-CA"/>
        </w:rPr>
        <w:t>is</w:t>
      </w:r>
      <w:r w:rsidRPr="003F141B">
        <w:rPr>
          <w:lang w:val="en-CA"/>
        </w:rPr>
        <w:t xml:space="preserve"> rewording of the police officer</w:t>
      </w:r>
      <w:r w:rsidR="003061CC">
        <w:rPr>
          <w:lang w:val="en-CA"/>
        </w:rPr>
        <w:t>’</w:t>
      </w:r>
      <w:r w:rsidRPr="003F141B">
        <w:rPr>
          <w:lang w:val="en-CA"/>
        </w:rPr>
        <w:t xml:space="preserve">s testimony and to inform him of what she </w:t>
      </w:r>
      <w:r w:rsidR="00D77032" w:rsidRPr="003F141B">
        <w:rPr>
          <w:lang w:val="en-CA"/>
        </w:rPr>
        <w:t xml:space="preserve">accepted </w:t>
      </w:r>
      <w:r w:rsidRPr="003F141B">
        <w:rPr>
          <w:lang w:val="en-CA"/>
        </w:rPr>
        <w:t>from the evidence adduced up until th</w:t>
      </w:r>
      <w:r w:rsidR="009D26C9" w:rsidRPr="003F141B">
        <w:rPr>
          <w:lang w:val="en-CA"/>
        </w:rPr>
        <w:t>at point</w:t>
      </w:r>
      <w:r w:rsidRPr="003F141B">
        <w:rPr>
          <w:lang w:val="en-CA"/>
        </w:rPr>
        <w:t>:</w:t>
      </w:r>
    </w:p>
    <w:p w14:paraId="55231C8A" w14:textId="74A41649" w:rsidR="00D77032" w:rsidRPr="003F141B" w:rsidRDefault="00D77032" w:rsidP="009130CA">
      <w:pPr>
        <w:pStyle w:val="Citationenretrait"/>
        <w:spacing w:line="240" w:lineRule="auto"/>
        <w:rPr>
          <w:lang w:val="en-CA"/>
        </w:rPr>
      </w:pPr>
      <w:r w:rsidRPr="003F141B">
        <w:rPr>
          <w:lang w:val="en-CA"/>
        </w:rPr>
        <w:t>[</w:t>
      </w:r>
      <w:r w:rsidRPr="003F141B">
        <w:rPr>
          <w:smallCaps/>
          <w:lang w:val="en-CA"/>
        </w:rPr>
        <w:t>translation</w:t>
      </w:r>
      <w:r w:rsidRPr="003F141B">
        <w:rPr>
          <w:lang w:val="en-CA"/>
        </w:rPr>
        <w:t>]</w:t>
      </w:r>
    </w:p>
    <w:p w14:paraId="3CA3FC34" w14:textId="7DEB512C" w:rsidR="009130CA" w:rsidRPr="003F141B" w:rsidRDefault="00125175"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Okay.</w:t>
      </w:r>
      <w:r w:rsidR="005003D8" w:rsidRPr="003F141B">
        <w:rPr>
          <w:lang w:val="en-CA"/>
        </w:rPr>
        <w:t xml:space="preserve"> </w:t>
      </w:r>
      <w:r w:rsidR="005C4CCC" w:rsidRPr="003F141B">
        <w:rPr>
          <w:lang w:val="en-CA"/>
        </w:rPr>
        <w:t>So, on my cell</w:t>
      </w:r>
      <w:r w:rsidRPr="003F141B">
        <w:rPr>
          <w:lang w:val="en-CA"/>
        </w:rPr>
        <w:t xml:space="preserve">phone that night and on the office telephone </w:t>
      </w:r>
      <w:r w:rsidR="005C4CCC" w:rsidRPr="003F141B">
        <w:rPr>
          <w:lang w:val="en-CA"/>
        </w:rPr>
        <w:t xml:space="preserve">line, </w:t>
      </w:r>
      <w:r w:rsidR="005C4CCC" w:rsidRPr="003F141B">
        <w:rPr>
          <w:u w:val="single"/>
          <w:lang w:val="en-CA"/>
        </w:rPr>
        <w:t>which have had voicemail since day one of my practice of twelve (12) years</w:t>
      </w:r>
      <w:r w:rsidR="005C4CCC" w:rsidRPr="003F141B">
        <w:rPr>
          <w:lang w:val="en-CA"/>
        </w:rPr>
        <w:t>, that evening, there was no longer voicemail</w:t>
      </w:r>
      <w:r w:rsidR="00D77032" w:rsidRPr="003F141B">
        <w:rPr>
          <w:lang w:val="en-CA"/>
        </w:rPr>
        <w:t>,</w:t>
      </w:r>
      <w:r w:rsidR="005C4CCC" w:rsidRPr="003F141B">
        <w:rPr>
          <w:lang w:val="en-CA"/>
        </w:rPr>
        <w:t xml:space="preserve"> otherwise</w:t>
      </w:r>
      <w:r w:rsidRPr="003F141B">
        <w:rPr>
          <w:lang w:val="en-CA"/>
        </w:rPr>
        <w:t xml:space="preserve"> you would have written it down?</w:t>
      </w:r>
    </w:p>
    <w:p w14:paraId="7A0F2304" w14:textId="5707E9BA" w:rsidR="009130CA" w:rsidRPr="003F141B" w:rsidRDefault="00125175" w:rsidP="009130CA">
      <w:pPr>
        <w:pStyle w:val="Citationenretrait"/>
        <w:spacing w:line="240" w:lineRule="auto"/>
        <w:rPr>
          <w:lang w:val="en-CA"/>
        </w:rPr>
      </w:pPr>
      <w:r w:rsidRPr="003F141B">
        <w:rPr>
          <w:lang w:val="en-CA"/>
        </w:rPr>
        <w:t>A.</w:t>
      </w:r>
      <w:r w:rsidR="005003D8" w:rsidRPr="003F141B">
        <w:rPr>
          <w:lang w:val="en-CA"/>
        </w:rPr>
        <w:t xml:space="preserve"> </w:t>
      </w:r>
      <w:r w:rsidR="00D77032" w:rsidRPr="003F141B">
        <w:rPr>
          <w:lang w:val="en-CA"/>
        </w:rPr>
        <w:t xml:space="preserve">As </w:t>
      </w:r>
      <w:r w:rsidRPr="003F141B">
        <w:rPr>
          <w:lang w:val="en-CA"/>
        </w:rPr>
        <w:t>I said, I don</w:t>
      </w:r>
      <w:r w:rsidR="003061CC">
        <w:rPr>
          <w:lang w:val="en-CA"/>
        </w:rPr>
        <w:t>’</w:t>
      </w:r>
      <w:r w:rsidRPr="003F141B">
        <w:rPr>
          <w:lang w:val="en-CA"/>
        </w:rPr>
        <w:t>t remember.</w:t>
      </w:r>
    </w:p>
    <w:p w14:paraId="31BF3F46" w14:textId="7F933CE9" w:rsidR="009130CA" w:rsidRPr="003F141B" w:rsidRDefault="00125175" w:rsidP="009130CA">
      <w:pPr>
        <w:pStyle w:val="Citationenretrait"/>
        <w:spacing w:line="240" w:lineRule="auto"/>
        <w:rPr>
          <w:lang w:val="en-CA"/>
        </w:rPr>
      </w:pPr>
      <w:r w:rsidRPr="003F141B">
        <w:rPr>
          <w:lang w:val="en-CA"/>
        </w:rPr>
        <w:t>Q.</w:t>
      </w:r>
      <w:r w:rsidR="005003D8" w:rsidRPr="003F141B">
        <w:rPr>
          <w:lang w:val="en-CA"/>
        </w:rPr>
        <w:t xml:space="preserve"> </w:t>
      </w:r>
      <w:r w:rsidRPr="003F141B">
        <w:rPr>
          <w:lang w:val="en-CA"/>
        </w:rPr>
        <w:t>Right, you don</w:t>
      </w:r>
      <w:r w:rsidR="003061CC">
        <w:rPr>
          <w:lang w:val="en-CA"/>
        </w:rPr>
        <w:t>’</w:t>
      </w:r>
      <w:r w:rsidRPr="003F141B">
        <w:rPr>
          <w:lang w:val="en-CA"/>
        </w:rPr>
        <w:t xml:space="preserve">t remember, I asked you four (4) times just now, you </w:t>
      </w:r>
      <w:r w:rsidR="005C4CCC" w:rsidRPr="003F141B">
        <w:rPr>
          <w:lang w:val="en-CA"/>
        </w:rPr>
        <w:t>answered</w:t>
      </w:r>
      <w:r w:rsidRPr="003F141B">
        <w:rPr>
          <w:lang w:val="en-CA"/>
        </w:rPr>
        <w:t xml:space="preserve"> four (4) times that you don</w:t>
      </w:r>
      <w:r w:rsidR="003061CC">
        <w:rPr>
          <w:lang w:val="en-CA"/>
        </w:rPr>
        <w:t>’</w:t>
      </w:r>
      <w:r w:rsidRPr="003F141B">
        <w:rPr>
          <w:lang w:val="en-CA"/>
        </w:rPr>
        <w:t>t remember</w:t>
      </w:r>
      <w:r w:rsidR="005C4CCC" w:rsidRPr="003F141B">
        <w:rPr>
          <w:lang w:val="en-CA"/>
        </w:rPr>
        <w:t>,</w:t>
      </w:r>
      <w:r w:rsidRPr="003F141B">
        <w:rPr>
          <w:lang w:val="en-CA"/>
        </w:rPr>
        <w:t xml:space="preserve"> </w:t>
      </w:r>
      <w:r w:rsidRPr="003F141B">
        <w:rPr>
          <w:u w:val="single"/>
          <w:lang w:val="en-CA"/>
        </w:rPr>
        <w:t>and now finally you remember</w:t>
      </w:r>
      <w:r w:rsidRPr="003F141B">
        <w:rPr>
          <w:lang w:val="en-CA"/>
        </w:rPr>
        <w:t xml:space="preserve">, be careful, just now, I asked you, was there </w:t>
      </w:r>
      <w:r w:rsidR="000E1DB7" w:rsidRPr="003F141B">
        <w:rPr>
          <w:lang w:val="en-CA"/>
        </w:rPr>
        <w:t>voicemail</w:t>
      </w:r>
      <w:r w:rsidRPr="003F141B">
        <w:rPr>
          <w:lang w:val="en-CA"/>
        </w:rPr>
        <w:t>, I don</w:t>
      </w:r>
      <w:r w:rsidR="003061CC">
        <w:rPr>
          <w:lang w:val="en-CA"/>
        </w:rPr>
        <w:t>’</w:t>
      </w:r>
      <w:r w:rsidRPr="003F141B">
        <w:rPr>
          <w:lang w:val="en-CA"/>
        </w:rPr>
        <w:t xml:space="preserve">t remember if there was </w:t>
      </w:r>
      <w:r w:rsidR="000E1DB7" w:rsidRPr="003F141B">
        <w:rPr>
          <w:lang w:val="en-CA"/>
        </w:rPr>
        <w:t>voicemail</w:t>
      </w:r>
      <w:r w:rsidRPr="003F141B">
        <w:rPr>
          <w:lang w:val="en-CA"/>
        </w:rPr>
        <w:t xml:space="preserve">, </w:t>
      </w:r>
      <w:r w:rsidRPr="003F141B">
        <w:rPr>
          <w:u w:val="single"/>
          <w:lang w:val="en-CA"/>
        </w:rPr>
        <w:t>now you</w:t>
      </w:r>
      <w:r w:rsidR="003061CC">
        <w:rPr>
          <w:u w:val="single"/>
          <w:lang w:val="en-CA"/>
        </w:rPr>
        <w:t>’</w:t>
      </w:r>
      <w:r w:rsidRPr="003F141B">
        <w:rPr>
          <w:u w:val="single"/>
          <w:lang w:val="en-CA"/>
        </w:rPr>
        <w:t>re changing your answer</w:t>
      </w:r>
      <w:r w:rsidRPr="003F141B">
        <w:rPr>
          <w:lang w:val="en-CA"/>
        </w:rPr>
        <w:t xml:space="preserve"> to say if there was </w:t>
      </w:r>
      <w:r w:rsidR="000E1DB7" w:rsidRPr="003F141B">
        <w:rPr>
          <w:lang w:val="en-CA"/>
        </w:rPr>
        <w:t>voicemail</w:t>
      </w:r>
      <w:r w:rsidRPr="003F141B">
        <w:rPr>
          <w:lang w:val="en-CA"/>
        </w:rPr>
        <w:t>, I would have written it down, one minute, is it ...</w:t>
      </w:r>
    </w:p>
    <w:p w14:paraId="10EB2CC9" w14:textId="77777777" w:rsidR="009130CA" w:rsidRPr="003F141B" w:rsidRDefault="00125175" w:rsidP="009130CA">
      <w:pPr>
        <w:pStyle w:val="Citationenretrait"/>
        <w:spacing w:line="240" w:lineRule="auto"/>
        <w:rPr>
          <w:lang w:val="en-CA"/>
        </w:rPr>
      </w:pPr>
      <w:r w:rsidRPr="003F141B">
        <w:rPr>
          <w:lang w:val="en-CA"/>
        </w:rPr>
        <w:t>THE COURT:</w:t>
      </w:r>
    </w:p>
    <w:p w14:paraId="2921D205" w14:textId="54203739" w:rsidR="009130CA" w:rsidRPr="003F141B" w:rsidRDefault="00125175" w:rsidP="009130CA">
      <w:pPr>
        <w:pStyle w:val="Citationenretrait"/>
        <w:spacing w:line="240" w:lineRule="auto"/>
        <w:rPr>
          <w:lang w:val="en-CA"/>
        </w:rPr>
      </w:pPr>
      <w:r w:rsidRPr="003F141B">
        <w:rPr>
          <w:u w:val="single"/>
          <w:lang w:val="en-CA"/>
        </w:rPr>
        <w:t>That</w:t>
      </w:r>
      <w:r w:rsidR="003061CC">
        <w:rPr>
          <w:u w:val="single"/>
          <w:lang w:val="en-CA"/>
        </w:rPr>
        <w:t>’</w:t>
      </w:r>
      <w:r w:rsidRPr="003F141B">
        <w:rPr>
          <w:u w:val="single"/>
          <w:lang w:val="en-CA"/>
        </w:rPr>
        <w:t>s not what I understood</w:t>
      </w:r>
      <w:r w:rsidR="00D77032" w:rsidRPr="003F141B">
        <w:rPr>
          <w:u w:val="single"/>
          <w:lang w:val="en-CA"/>
        </w:rPr>
        <w:t>,</w:t>
      </w:r>
      <w:r w:rsidRPr="003F141B">
        <w:rPr>
          <w:u w:val="single"/>
          <w:lang w:val="en-CA"/>
        </w:rPr>
        <w:t xml:space="preserve"> however</w:t>
      </w:r>
      <w:r w:rsidRPr="003F141B">
        <w:rPr>
          <w:lang w:val="en-CA"/>
        </w:rPr>
        <w:t>.</w:t>
      </w:r>
    </w:p>
    <w:p w14:paraId="1182C9BC" w14:textId="77777777" w:rsidR="009130CA" w:rsidRPr="003F141B" w:rsidRDefault="00125175" w:rsidP="009130CA">
      <w:pPr>
        <w:pStyle w:val="Citationenretrait"/>
        <w:spacing w:line="240" w:lineRule="auto"/>
        <w:rPr>
          <w:lang w:val="en-CA"/>
        </w:rPr>
      </w:pPr>
      <w:proofErr w:type="spellStart"/>
      <w:r w:rsidRPr="003F141B">
        <w:rPr>
          <w:lang w:val="en-CA"/>
        </w:rPr>
        <w:t>Mtre</w:t>
      </w:r>
      <w:proofErr w:type="spellEnd"/>
      <w:r w:rsidRPr="003F141B">
        <w:rPr>
          <w:lang w:val="en-CA"/>
        </w:rPr>
        <w:t xml:space="preserve"> JULIEN BOULIANNE, COUNSEL FOR THE RESPONDENT:</w:t>
      </w:r>
    </w:p>
    <w:p w14:paraId="6181E273" w14:textId="77777777" w:rsidR="009130CA" w:rsidRPr="003F141B" w:rsidRDefault="00125175" w:rsidP="009130CA">
      <w:pPr>
        <w:pStyle w:val="Citationenretrait"/>
        <w:spacing w:line="240" w:lineRule="auto"/>
        <w:rPr>
          <w:lang w:val="en-CA"/>
        </w:rPr>
      </w:pPr>
      <w:r w:rsidRPr="003F141B">
        <w:rPr>
          <w:lang w:val="en-CA"/>
        </w:rPr>
        <w:t>Sorry?</w:t>
      </w:r>
    </w:p>
    <w:p w14:paraId="4ED9359C" w14:textId="77777777" w:rsidR="009130CA" w:rsidRPr="003F141B" w:rsidRDefault="00125175" w:rsidP="009130CA">
      <w:pPr>
        <w:pStyle w:val="Citationenretrait"/>
        <w:spacing w:line="240" w:lineRule="auto"/>
        <w:rPr>
          <w:lang w:val="en-CA"/>
        </w:rPr>
      </w:pPr>
      <w:r w:rsidRPr="003F141B">
        <w:rPr>
          <w:lang w:val="en-CA"/>
        </w:rPr>
        <w:t>THE COURT:</w:t>
      </w:r>
    </w:p>
    <w:p w14:paraId="79646464" w14:textId="2656A48C" w:rsidR="00EC27E8" w:rsidRDefault="00125175" w:rsidP="00EC27E8">
      <w:pPr>
        <w:pStyle w:val="Citationenretrait"/>
        <w:spacing w:line="240" w:lineRule="auto"/>
      </w:pPr>
      <w:r w:rsidRPr="003F141B">
        <w:rPr>
          <w:lang w:val="en-CA"/>
        </w:rPr>
        <w:t>What I understood is I don</w:t>
      </w:r>
      <w:r w:rsidR="003061CC">
        <w:rPr>
          <w:lang w:val="en-CA"/>
        </w:rPr>
        <w:t>’</w:t>
      </w:r>
      <w:r w:rsidRPr="003F141B">
        <w:rPr>
          <w:lang w:val="en-CA"/>
        </w:rPr>
        <w:t xml:space="preserve">t remember </w:t>
      </w:r>
      <w:r w:rsidRPr="002E7C7B">
        <w:rPr>
          <w:u w:val="single"/>
          <w:lang w:val="en-CA"/>
        </w:rPr>
        <w:t>and the rest</w:t>
      </w:r>
      <w:r w:rsidR="00D77032" w:rsidRPr="002E7C7B">
        <w:rPr>
          <w:u w:val="single"/>
          <w:lang w:val="en-CA"/>
        </w:rPr>
        <w:t xml:space="preserve"> </w:t>
      </w:r>
      <w:r w:rsidRPr="002E7C7B">
        <w:rPr>
          <w:u w:val="single"/>
          <w:lang w:val="en-CA"/>
        </w:rPr>
        <w:t>is hypothetical, you understand</w:t>
      </w:r>
      <w:r w:rsidRPr="003F141B">
        <w:rPr>
          <w:lang w:val="en-CA"/>
        </w:rPr>
        <w:t xml:space="preserve">, </w:t>
      </w:r>
      <w:r w:rsidR="009924F8">
        <w:rPr>
          <w:rFonts w:cs="Arial"/>
        </w:rPr>
        <w:t>[</w:t>
      </w:r>
      <w:r w:rsidR="009924F8">
        <w:t>…</w:t>
      </w:r>
      <w:r w:rsidR="009924F8">
        <w:rPr>
          <w:rFonts w:cs="Arial"/>
        </w:rPr>
        <w:t>]</w:t>
      </w:r>
      <w:r w:rsidRPr="003F141B">
        <w:rPr>
          <w:u w:val="single"/>
          <w:lang w:val="en-CA"/>
        </w:rPr>
        <w:t xml:space="preserve"> I </w:t>
      </w:r>
      <w:r w:rsidR="00D77032" w:rsidRPr="003F141B">
        <w:rPr>
          <w:u w:val="single"/>
          <w:lang w:val="en-CA"/>
        </w:rPr>
        <w:t>can</w:t>
      </w:r>
      <w:r w:rsidR="003061CC">
        <w:rPr>
          <w:u w:val="single"/>
          <w:lang w:val="en-CA"/>
        </w:rPr>
        <w:t>’</w:t>
      </w:r>
      <w:r w:rsidR="00D77032" w:rsidRPr="003F141B">
        <w:rPr>
          <w:u w:val="single"/>
          <w:lang w:val="en-CA"/>
        </w:rPr>
        <w:t xml:space="preserve">t </w:t>
      </w:r>
      <w:r w:rsidRPr="003F141B">
        <w:rPr>
          <w:u w:val="single"/>
          <w:lang w:val="en-CA"/>
        </w:rPr>
        <w:t xml:space="preserve">conclude anything from a hypothesis, </w:t>
      </w:r>
      <w:r w:rsidR="009924F8">
        <w:rPr>
          <w:rFonts w:cs="Arial"/>
        </w:rPr>
        <w:t>[</w:t>
      </w:r>
      <w:r w:rsidR="009924F8">
        <w:t>…</w:t>
      </w:r>
      <w:r w:rsidR="009924F8">
        <w:rPr>
          <w:rFonts w:cs="Arial"/>
        </w:rPr>
        <w:t>]</w:t>
      </w:r>
      <w:r w:rsidR="00D77032" w:rsidRPr="003F141B">
        <w:rPr>
          <w:u w:val="single"/>
          <w:lang w:val="en-CA"/>
        </w:rPr>
        <w:t xml:space="preserve"> it</w:t>
      </w:r>
      <w:r w:rsidR="003061CC">
        <w:rPr>
          <w:u w:val="single"/>
          <w:lang w:val="en-CA"/>
        </w:rPr>
        <w:t>’</w:t>
      </w:r>
      <w:r w:rsidR="00D77032" w:rsidRPr="003F141B">
        <w:rPr>
          <w:u w:val="single"/>
          <w:lang w:val="en-CA"/>
        </w:rPr>
        <w:t>s hypothetical</w:t>
      </w:r>
      <w:r w:rsidR="00D77032" w:rsidRPr="003F141B">
        <w:rPr>
          <w:lang w:val="en-CA"/>
        </w:rPr>
        <w:t xml:space="preserve">, </w:t>
      </w:r>
      <w:r w:rsidRPr="003F141B">
        <w:rPr>
          <w:lang w:val="en-CA"/>
        </w:rPr>
        <w:t xml:space="preserve">I mean, he </w:t>
      </w:r>
      <w:r w:rsidR="00D77032" w:rsidRPr="003F141B">
        <w:rPr>
          <w:lang w:val="en-CA"/>
        </w:rPr>
        <w:t>doesn</w:t>
      </w:r>
      <w:r w:rsidR="003061CC">
        <w:rPr>
          <w:lang w:val="en-CA"/>
        </w:rPr>
        <w:t>’</w:t>
      </w:r>
      <w:r w:rsidR="00D77032" w:rsidRPr="003F141B">
        <w:rPr>
          <w:lang w:val="en-CA"/>
        </w:rPr>
        <w:t xml:space="preserve">t </w:t>
      </w:r>
      <w:r w:rsidRPr="003F141B">
        <w:rPr>
          <w:lang w:val="en-CA"/>
        </w:rPr>
        <w:t xml:space="preserve">remember, </w:t>
      </w:r>
      <w:r w:rsidRPr="003F141B">
        <w:rPr>
          <w:u w:val="single"/>
          <w:lang w:val="en-CA"/>
        </w:rPr>
        <w:t xml:space="preserve">so </w:t>
      </w:r>
      <w:r w:rsidR="00D77032" w:rsidRPr="003F141B">
        <w:rPr>
          <w:u w:val="single"/>
          <w:lang w:val="en-CA"/>
        </w:rPr>
        <w:t>it</w:t>
      </w:r>
      <w:r w:rsidR="003061CC">
        <w:rPr>
          <w:u w:val="single"/>
          <w:lang w:val="en-CA"/>
        </w:rPr>
        <w:t>’</w:t>
      </w:r>
      <w:r w:rsidR="00D77032" w:rsidRPr="003F141B">
        <w:rPr>
          <w:u w:val="single"/>
          <w:lang w:val="en-CA"/>
        </w:rPr>
        <w:t xml:space="preserve">s very </w:t>
      </w:r>
      <w:r w:rsidRPr="003F141B">
        <w:rPr>
          <w:u w:val="single"/>
          <w:lang w:val="en-CA"/>
        </w:rPr>
        <w:t>difficult to draw a conclusion from that</w:t>
      </w:r>
      <w:r w:rsidRPr="002E7C7B">
        <w:rPr>
          <w:lang w:val="en-CA"/>
        </w:rPr>
        <w:t xml:space="preserve"> ...</w:t>
      </w:r>
    </w:p>
    <w:p w14:paraId="7DEA87B9" w14:textId="1B6C38C8" w:rsidR="009130CA" w:rsidRPr="003F141B" w:rsidRDefault="00EC27E8" w:rsidP="00EC27E8">
      <w:pPr>
        <w:pStyle w:val="Citationenretrait"/>
        <w:spacing w:line="240" w:lineRule="auto"/>
        <w:rPr>
          <w:lang w:val="en-CA"/>
        </w:rPr>
      </w:pPr>
      <w:r>
        <w:t>[…]</w:t>
      </w:r>
    </w:p>
    <w:p w14:paraId="2965AD2F" w14:textId="64F356DD" w:rsidR="009130CA" w:rsidRPr="003F141B" w:rsidRDefault="005003D8" w:rsidP="00125175">
      <w:pPr>
        <w:pStyle w:val="Citationenretrait"/>
        <w:spacing w:line="240" w:lineRule="auto"/>
        <w:ind w:left="0"/>
        <w:rPr>
          <w:lang w:val="en-CA"/>
        </w:rPr>
      </w:pP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00125175" w:rsidRPr="003F141B">
        <w:rPr>
          <w:lang w:val="en-CA"/>
        </w:rPr>
        <w:t>[Emphasis added]</w:t>
      </w:r>
    </w:p>
    <w:p w14:paraId="3CB1A9FC" w14:textId="17508ED7" w:rsidR="009130CA" w:rsidRPr="003F141B" w:rsidRDefault="00125175" w:rsidP="009130CA">
      <w:pPr>
        <w:pStyle w:val="Paragraphe"/>
        <w:spacing w:line="240" w:lineRule="auto"/>
        <w:rPr>
          <w:lang w:val="en-CA"/>
        </w:rPr>
      </w:pPr>
      <w:r w:rsidRPr="003F141B">
        <w:rPr>
          <w:lang w:val="en-CA"/>
        </w:rPr>
        <w:t xml:space="preserve">Therefore, no evidence whatsoever established that </w:t>
      </w:r>
      <w:proofErr w:type="spellStart"/>
      <w:r w:rsidRPr="003F141B">
        <w:rPr>
          <w:lang w:val="en-CA"/>
        </w:rPr>
        <w:t>Mtre</w:t>
      </w:r>
      <w:proofErr w:type="spellEnd"/>
      <w:r w:rsidRPr="003F141B">
        <w:rPr>
          <w:lang w:val="en-CA"/>
        </w:rPr>
        <w:t xml:space="preserve"> </w:t>
      </w:r>
      <w:proofErr w:type="spellStart"/>
      <w:r w:rsidRPr="003F141B">
        <w:rPr>
          <w:lang w:val="en-CA"/>
        </w:rPr>
        <w:t>Boulianne</w:t>
      </w:r>
      <w:r w:rsidR="003061CC">
        <w:rPr>
          <w:lang w:val="en-CA"/>
        </w:rPr>
        <w:t>’</w:t>
      </w:r>
      <w:r w:rsidR="00FD2F35" w:rsidRPr="003F141B">
        <w:rPr>
          <w:lang w:val="en-CA"/>
        </w:rPr>
        <w:t>s</w:t>
      </w:r>
      <w:proofErr w:type="spellEnd"/>
      <w:r w:rsidRPr="003F141B">
        <w:rPr>
          <w:lang w:val="en-CA"/>
        </w:rPr>
        <w:t xml:space="preserve"> </w:t>
      </w:r>
      <w:r w:rsidR="00FD2F35" w:rsidRPr="003F141B">
        <w:rPr>
          <w:lang w:val="en-CA"/>
        </w:rPr>
        <w:t xml:space="preserve">cellphone </w:t>
      </w:r>
      <w:r w:rsidRPr="003F141B">
        <w:rPr>
          <w:lang w:val="en-CA"/>
        </w:rPr>
        <w:t xml:space="preserve">or </w:t>
      </w:r>
      <w:r w:rsidR="00FD2F35" w:rsidRPr="003F141B">
        <w:rPr>
          <w:lang w:val="en-CA"/>
        </w:rPr>
        <w:t>the</w:t>
      </w:r>
      <w:r w:rsidRPr="003F141B">
        <w:rPr>
          <w:lang w:val="en-CA"/>
        </w:rPr>
        <w:t xml:space="preserve"> </w:t>
      </w:r>
      <w:r w:rsidR="001167F3" w:rsidRPr="003F141B">
        <w:rPr>
          <w:lang w:val="en-CA"/>
        </w:rPr>
        <w:t>firm</w:t>
      </w:r>
      <w:r w:rsidR="003061CC">
        <w:rPr>
          <w:lang w:val="en-CA"/>
        </w:rPr>
        <w:t>’</w:t>
      </w:r>
      <w:r w:rsidR="001167F3" w:rsidRPr="003F141B">
        <w:rPr>
          <w:lang w:val="en-CA"/>
        </w:rPr>
        <w:t xml:space="preserve">s </w:t>
      </w:r>
      <w:r w:rsidRPr="003F141B">
        <w:rPr>
          <w:lang w:val="en-CA"/>
        </w:rPr>
        <w:t xml:space="preserve">24-hour line had </w:t>
      </w:r>
      <w:r w:rsidR="00CC55BA" w:rsidRPr="003F141B">
        <w:rPr>
          <w:lang w:val="en-CA"/>
        </w:rPr>
        <w:t>operating</w:t>
      </w:r>
      <w:r w:rsidRPr="003F141B">
        <w:rPr>
          <w:lang w:val="en-CA"/>
        </w:rPr>
        <w:t xml:space="preserve"> </w:t>
      </w:r>
      <w:r w:rsidR="000E1DB7" w:rsidRPr="003F141B">
        <w:rPr>
          <w:lang w:val="en-CA"/>
        </w:rPr>
        <w:t>voicemail</w:t>
      </w:r>
      <w:r w:rsidRPr="003F141B">
        <w:rPr>
          <w:lang w:val="en-CA"/>
        </w:rPr>
        <w:t xml:space="preserve"> </w:t>
      </w:r>
      <w:r w:rsidR="001167F3" w:rsidRPr="003F141B">
        <w:rPr>
          <w:lang w:val="en-CA"/>
        </w:rPr>
        <w:t>that</w:t>
      </w:r>
      <w:r w:rsidRPr="003F141B">
        <w:rPr>
          <w:lang w:val="en-CA"/>
        </w:rPr>
        <w:t xml:space="preserve"> evening in June 2019 </w:t>
      </w:r>
      <w:r w:rsidR="002B79FF">
        <w:rPr>
          <w:lang w:val="en-CA"/>
        </w:rPr>
        <w:t xml:space="preserve">at </w:t>
      </w:r>
      <w:r w:rsidRPr="003F141B">
        <w:rPr>
          <w:lang w:val="en-CA"/>
        </w:rPr>
        <w:t xml:space="preserve">around </w:t>
      </w:r>
      <w:r w:rsidRPr="003F141B">
        <w:rPr>
          <w:lang w:val="en-CA"/>
        </w:rPr>
        <w:lastRenderedPageBreak/>
        <w:t>11:37</w:t>
      </w:r>
      <w:r w:rsidR="002B79FF">
        <w:rPr>
          <w:lang w:val="en-CA"/>
        </w:rPr>
        <w:t> </w:t>
      </w:r>
      <w:r w:rsidRPr="003F141B">
        <w:rPr>
          <w:lang w:val="en-CA"/>
        </w:rPr>
        <w:t xml:space="preserve">p.m. </w:t>
      </w:r>
      <w:r w:rsidR="002B79FF">
        <w:rPr>
          <w:lang w:val="en-CA"/>
        </w:rPr>
        <w:t>to</w:t>
      </w:r>
      <w:r w:rsidRPr="003F141B">
        <w:rPr>
          <w:lang w:val="en-CA"/>
        </w:rPr>
        <w:t xml:space="preserve"> 11:39 p.m., and </w:t>
      </w:r>
      <w:r w:rsidR="00CC55BA" w:rsidRPr="003F141B">
        <w:rPr>
          <w:lang w:val="en-CA"/>
        </w:rPr>
        <w:t xml:space="preserve">those </w:t>
      </w:r>
      <w:r w:rsidRPr="003F141B">
        <w:rPr>
          <w:lang w:val="en-CA"/>
        </w:rPr>
        <w:t>possibilities</w:t>
      </w:r>
      <w:r w:rsidR="00CC55BA" w:rsidRPr="003F141B">
        <w:rPr>
          <w:lang w:val="en-CA"/>
        </w:rPr>
        <w:t xml:space="preserve"> were</w:t>
      </w:r>
      <w:r w:rsidRPr="003F141B">
        <w:rPr>
          <w:lang w:val="en-CA"/>
        </w:rPr>
        <w:t xml:space="preserve"> merely suggested by counsel for the respondent</w:t>
      </w:r>
      <w:r w:rsidR="00CC55BA" w:rsidRPr="003F141B">
        <w:rPr>
          <w:lang w:val="en-CA"/>
        </w:rPr>
        <w:t xml:space="preserve"> and </w:t>
      </w:r>
      <w:r w:rsidRPr="003F141B">
        <w:rPr>
          <w:lang w:val="en-CA"/>
        </w:rPr>
        <w:t>remained hypothetical.</w:t>
      </w:r>
    </w:p>
    <w:p w14:paraId="06D2EE16" w14:textId="612F22FC" w:rsidR="009130CA" w:rsidRPr="003F141B" w:rsidRDefault="009732D0" w:rsidP="009130CA">
      <w:pPr>
        <w:pStyle w:val="Paragraphe"/>
        <w:spacing w:line="240" w:lineRule="auto"/>
        <w:rPr>
          <w:lang w:val="en-CA"/>
        </w:rPr>
      </w:pPr>
      <w:r>
        <w:rPr>
          <w:lang w:val="en-CA"/>
        </w:rPr>
        <w:t xml:space="preserve">As for </w:t>
      </w:r>
      <w:r w:rsidR="00CB5B57" w:rsidRPr="003F141B">
        <w:rPr>
          <w:lang w:val="en-CA"/>
        </w:rPr>
        <w:t>O</w:t>
      </w:r>
      <w:r w:rsidR="00125175" w:rsidRPr="003F141B">
        <w:rPr>
          <w:lang w:val="en-CA"/>
        </w:rPr>
        <w:t xml:space="preserve">fficer </w:t>
      </w:r>
      <w:proofErr w:type="spellStart"/>
      <w:r w:rsidR="00125175" w:rsidRPr="003F141B">
        <w:rPr>
          <w:lang w:val="en-CA"/>
        </w:rPr>
        <w:t>Larouche</w:t>
      </w:r>
      <w:proofErr w:type="spellEnd"/>
      <w:r>
        <w:rPr>
          <w:lang w:val="en-CA"/>
        </w:rPr>
        <w:t>, d</w:t>
      </w:r>
      <w:r w:rsidRPr="003F141B">
        <w:rPr>
          <w:lang w:val="en-CA"/>
        </w:rPr>
        <w:t xml:space="preserve">uring cross-examination, </w:t>
      </w:r>
      <w:r>
        <w:rPr>
          <w:lang w:val="en-CA"/>
        </w:rPr>
        <w:t>she</w:t>
      </w:r>
      <w:r w:rsidR="00125175" w:rsidRPr="003F141B">
        <w:rPr>
          <w:lang w:val="en-CA"/>
        </w:rPr>
        <w:t xml:space="preserve"> </w:t>
      </w:r>
      <w:r>
        <w:rPr>
          <w:lang w:val="en-CA"/>
        </w:rPr>
        <w:t xml:space="preserve">provided the following </w:t>
      </w:r>
      <w:r w:rsidR="00125175" w:rsidRPr="003F141B">
        <w:rPr>
          <w:lang w:val="en-CA"/>
        </w:rPr>
        <w:t>answer</w:t>
      </w:r>
      <w:r>
        <w:rPr>
          <w:lang w:val="en-CA"/>
        </w:rPr>
        <w:t>s to</w:t>
      </w:r>
      <w:r w:rsidR="00125175" w:rsidRPr="003F141B">
        <w:rPr>
          <w:lang w:val="en-CA"/>
        </w:rPr>
        <w:t xml:space="preserve"> counsel for the respondent</w:t>
      </w:r>
      <w:r w:rsidR="003061CC">
        <w:rPr>
          <w:lang w:val="en-CA"/>
        </w:rPr>
        <w:t>’</w:t>
      </w:r>
      <w:r w:rsidR="001167F3" w:rsidRPr="003F141B">
        <w:rPr>
          <w:lang w:val="en-CA"/>
        </w:rPr>
        <w:t>s questions</w:t>
      </w:r>
      <w:r w:rsidR="00125175" w:rsidRPr="003F141B">
        <w:rPr>
          <w:lang w:val="en-CA"/>
        </w:rPr>
        <w:t xml:space="preserve"> concerning the attempts to reach </w:t>
      </w:r>
      <w:proofErr w:type="spellStart"/>
      <w:r w:rsidR="00125175" w:rsidRPr="003F141B">
        <w:rPr>
          <w:lang w:val="en-CA"/>
        </w:rPr>
        <w:t>Mtre</w:t>
      </w:r>
      <w:proofErr w:type="spellEnd"/>
      <w:r w:rsidR="00125175" w:rsidRPr="003F141B">
        <w:rPr>
          <w:lang w:val="en-CA"/>
        </w:rPr>
        <w:t xml:space="preserve"> </w:t>
      </w:r>
      <w:proofErr w:type="spellStart"/>
      <w:r w:rsidR="00125175" w:rsidRPr="003F141B">
        <w:rPr>
          <w:lang w:val="en-CA"/>
        </w:rPr>
        <w:t>Cantin</w:t>
      </w:r>
      <w:proofErr w:type="spellEnd"/>
      <w:r w:rsidR="00125175" w:rsidRPr="003F141B">
        <w:rPr>
          <w:lang w:val="en-CA"/>
        </w:rPr>
        <w:t>.</w:t>
      </w:r>
      <w:r w:rsidR="005003D8" w:rsidRPr="003F141B">
        <w:rPr>
          <w:lang w:val="en-CA"/>
        </w:rPr>
        <w:t xml:space="preserve"> </w:t>
      </w:r>
      <w:r w:rsidR="001167F3" w:rsidRPr="003F141B">
        <w:rPr>
          <w:lang w:val="en-CA"/>
        </w:rPr>
        <w:t>Again, t</w:t>
      </w:r>
      <w:r w:rsidR="00125175" w:rsidRPr="003F141B">
        <w:rPr>
          <w:lang w:val="en-CA"/>
        </w:rPr>
        <w:t xml:space="preserve">wo of these questions </w:t>
      </w:r>
      <w:r w:rsidR="001167F3" w:rsidRPr="003F141B">
        <w:rPr>
          <w:lang w:val="en-CA"/>
        </w:rPr>
        <w:t>included a</w:t>
      </w:r>
      <w:r w:rsidR="00125175" w:rsidRPr="003F141B">
        <w:rPr>
          <w:lang w:val="en-CA"/>
        </w:rPr>
        <w:t xml:space="preserve"> statement of a significant unproven fact.</w:t>
      </w:r>
    </w:p>
    <w:p w14:paraId="4B3A3771" w14:textId="049520E8" w:rsidR="00CC55BA" w:rsidRPr="003F141B" w:rsidRDefault="00CC55BA" w:rsidP="009130CA">
      <w:pPr>
        <w:pStyle w:val="Citationenretrait"/>
        <w:spacing w:line="240" w:lineRule="auto"/>
        <w:rPr>
          <w:lang w:val="en-CA"/>
        </w:rPr>
      </w:pPr>
      <w:r w:rsidRPr="003F141B">
        <w:rPr>
          <w:lang w:val="en-CA"/>
        </w:rPr>
        <w:t>[</w:t>
      </w:r>
      <w:r w:rsidRPr="003F141B">
        <w:rPr>
          <w:smallCaps/>
          <w:lang w:val="en-CA"/>
        </w:rPr>
        <w:t>translation</w:t>
      </w:r>
      <w:r w:rsidRPr="003F141B">
        <w:rPr>
          <w:lang w:val="en-CA"/>
        </w:rPr>
        <w:t>]</w:t>
      </w:r>
    </w:p>
    <w:p w14:paraId="650464AF" w14:textId="6D8966D0" w:rsidR="009130CA" w:rsidRPr="003F141B" w:rsidRDefault="00125175" w:rsidP="009130CA">
      <w:pPr>
        <w:pStyle w:val="Citationenretrait"/>
        <w:spacing w:line="240" w:lineRule="auto"/>
        <w:rPr>
          <w:lang w:val="en-CA"/>
        </w:rPr>
      </w:pPr>
      <w:r w:rsidRPr="003F141B">
        <w:rPr>
          <w:lang w:val="en-CA"/>
        </w:rPr>
        <w:t>Q.</w:t>
      </w:r>
      <w:r w:rsidR="005003D8" w:rsidRPr="003F141B">
        <w:rPr>
          <w:lang w:val="en-CA"/>
        </w:rPr>
        <w:tab/>
      </w:r>
      <w:r w:rsidRPr="003F141B">
        <w:rPr>
          <w:lang w:val="en-CA"/>
        </w:rPr>
        <w:t xml:space="preserve">How many times did you attempt to call </w:t>
      </w:r>
      <w:proofErr w:type="spellStart"/>
      <w:r w:rsidRPr="003F141B">
        <w:rPr>
          <w:lang w:val="en-CA"/>
        </w:rPr>
        <w:t>Mtre</w:t>
      </w:r>
      <w:proofErr w:type="spellEnd"/>
      <w:r w:rsidRPr="003F141B">
        <w:rPr>
          <w:lang w:val="en-CA"/>
        </w:rPr>
        <w:t xml:space="preserve"> </w:t>
      </w:r>
      <w:proofErr w:type="spellStart"/>
      <w:r w:rsidRPr="003F141B">
        <w:rPr>
          <w:lang w:val="en-CA"/>
        </w:rPr>
        <w:t>Cantin</w:t>
      </w:r>
      <w:proofErr w:type="spellEnd"/>
      <w:r w:rsidRPr="003F141B">
        <w:rPr>
          <w:lang w:val="en-CA"/>
        </w:rPr>
        <w:t>?</w:t>
      </w:r>
    </w:p>
    <w:p w14:paraId="74976B3B" w14:textId="77777777" w:rsidR="009130CA" w:rsidRPr="003F141B" w:rsidRDefault="00125175" w:rsidP="009130CA">
      <w:pPr>
        <w:pStyle w:val="Citationenretrait"/>
        <w:spacing w:line="240" w:lineRule="auto"/>
        <w:rPr>
          <w:lang w:val="en-CA"/>
        </w:rPr>
      </w:pPr>
      <w:r w:rsidRPr="003F141B">
        <w:rPr>
          <w:lang w:val="en-CA"/>
        </w:rPr>
        <w:t>A.</w:t>
      </w:r>
      <w:r w:rsidR="005003D8" w:rsidRPr="003F141B">
        <w:rPr>
          <w:lang w:val="en-CA"/>
        </w:rPr>
        <w:tab/>
      </w:r>
      <w:r w:rsidRPr="003F141B">
        <w:rPr>
          <w:lang w:val="en-CA"/>
        </w:rPr>
        <w:t>We tried once on the twenty-four-hour line (24h).</w:t>
      </w:r>
    </w:p>
    <w:p w14:paraId="6FF9B895" w14:textId="74FD1BDB" w:rsidR="009130CA" w:rsidRPr="003F141B" w:rsidRDefault="00125175" w:rsidP="009130CA">
      <w:pPr>
        <w:pStyle w:val="Citationenretrait"/>
        <w:spacing w:line="240" w:lineRule="auto"/>
        <w:rPr>
          <w:lang w:val="en-CA"/>
        </w:rPr>
      </w:pPr>
      <w:r w:rsidRPr="003F141B">
        <w:rPr>
          <w:lang w:val="en-CA"/>
        </w:rPr>
        <w:t>Q.</w:t>
      </w:r>
      <w:r w:rsidR="005003D8" w:rsidRPr="003F141B">
        <w:rPr>
          <w:lang w:val="en-CA"/>
        </w:rPr>
        <w:tab/>
      </w:r>
      <w:r w:rsidRPr="003F141B">
        <w:rPr>
          <w:lang w:val="en-CA"/>
        </w:rPr>
        <w:t xml:space="preserve">Yes but </w:t>
      </w:r>
      <w:proofErr w:type="spellStart"/>
      <w:r w:rsidRPr="003F141B">
        <w:rPr>
          <w:lang w:val="en-CA"/>
        </w:rPr>
        <w:t>Mtre</w:t>
      </w:r>
      <w:proofErr w:type="spellEnd"/>
      <w:r w:rsidRPr="003F141B">
        <w:rPr>
          <w:lang w:val="en-CA"/>
        </w:rPr>
        <w:t xml:space="preserve"> </w:t>
      </w:r>
      <w:proofErr w:type="spellStart"/>
      <w:r w:rsidRPr="003F141B">
        <w:rPr>
          <w:lang w:val="en-CA"/>
        </w:rPr>
        <w:t>Cantin</w:t>
      </w:r>
      <w:proofErr w:type="spellEnd"/>
      <w:r w:rsidRPr="003F141B">
        <w:rPr>
          <w:lang w:val="en-CA"/>
        </w:rPr>
        <w:t xml:space="preserve"> </w:t>
      </w:r>
      <w:r w:rsidR="00686A25" w:rsidRPr="003F141B">
        <w:rPr>
          <w:u w:val="single"/>
          <w:lang w:val="en-CA"/>
        </w:rPr>
        <w:t>on his cell</w:t>
      </w:r>
      <w:r w:rsidRPr="003F141B">
        <w:rPr>
          <w:u w:val="single"/>
          <w:lang w:val="en-CA"/>
        </w:rPr>
        <w:t>phone number</w:t>
      </w:r>
      <w:r w:rsidR="00686A25" w:rsidRPr="003F141B">
        <w:rPr>
          <w:u w:val="single"/>
          <w:lang w:val="en-CA"/>
        </w:rPr>
        <w:t>,</w:t>
      </w:r>
      <w:r w:rsidRPr="003F141B">
        <w:rPr>
          <w:u w:val="single"/>
          <w:lang w:val="en-CA"/>
        </w:rPr>
        <w:t xml:space="preserve"> which is on the same website, which is on </w:t>
      </w:r>
      <w:r w:rsidR="000E1DB7" w:rsidRPr="003F141B">
        <w:rPr>
          <w:u w:val="single"/>
          <w:lang w:val="en-CA"/>
        </w:rPr>
        <w:t>voicemail</w:t>
      </w:r>
      <w:r w:rsidRPr="003F141B">
        <w:rPr>
          <w:u w:val="single"/>
          <w:lang w:val="en-CA"/>
        </w:rPr>
        <w:t xml:space="preserve"> of the twenty-four hour line (24h),</w:t>
      </w:r>
      <w:r w:rsidRPr="003F141B">
        <w:rPr>
          <w:lang w:val="en-CA"/>
        </w:rPr>
        <w:t xml:space="preserve"> how many times did you call him?</w:t>
      </w:r>
    </w:p>
    <w:p w14:paraId="5A2B1999" w14:textId="7F4CD94B" w:rsidR="009130CA" w:rsidRPr="003F141B" w:rsidRDefault="00125175" w:rsidP="009130CA">
      <w:pPr>
        <w:pStyle w:val="Citationenretrait"/>
        <w:spacing w:line="240" w:lineRule="auto"/>
        <w:rPr>
          <w:lang w:val="en-CA"/>
        </w:rPr>
      </w:pPr>
      <w:r w:rsidRPr="003F141B">
        <w:rPr>
          <w:lang w:val="en-CA"/>
        </w:rPr>
        <w:t>A.</w:t>
      </w:r>
      <w:r w:rsidR="005003D8" w:rsidRPr="003F141B">
        <w:rPr>
          <w:lang w:val="en-CA"/>
        </w:rPr>
        <w:tab/>
      </w:r>
      <w:r w:rsidRPr="003F141B">
        <w:rPr>
          <w:lang w:val="en-CA"/>
        </w:rPr>
        <w:t>We didn</w:t>
      </w:r>
      <w:r w:rsidR="003061CC">
        <w:rPr>
          <w:lang w:val="en-CA"/>
        </w:rPr>
        <w:t>’</w:t>
      </w:r>
      <w:r w:rsidRPr="003F141B">
        <w:rPr>
          <w:lang w:val="en-CA"/>
        </w:rPr>
        <w:t>t try that one.</w:t>
      </w:r>
    </w:p>
    <w:p w14:paraId="4281EAF5" w14:textId="7B243D63" w:rsidR="009130CA" w:rsidRPr="003F141B" w:rsidRDefault="00125175" w:rsidP="009130CA">
      <w:pPr>
        <w:pStyle w:val="Citationenretrait"/>
        <w:spacing w:line="240" w:lineRule="auto"/>
        <w:rPr>
          <w:lang w:val="en-CA"/>
        </w:rPr>
      </w:pPr>
      <w:r w:rsidRPr="003F141B">
        <w:rPr>
          <w:lang w:val="en-CA"/>
        </w:rPr>
        <w:t>Q.</w:t>
      </w:r>
      <w:r w:rsidR="005003D8" w:rsidRPr="003F141B">
        <w:rPr>
          <w:lang w:val="en-CA"/>
        </w:rPr>
        <w:tab/>
      </w:r>
      <w:r w:rsidRPr="003F141B">
        <w:rPr>
          <w:lang w:val="en-CA"/>
        </w:rPr>
        <w:t>You didn</w:t>
      </w:r>
      <w:r w:rsidR="003061CC">
        <w:rPr>
          <w:lang w:val="en-CA"/>
        </w:rPr>
        <w:t>’</w:t>
      </w:r>
      <w:r w:rsidRPr="003F141B">
        <w:rPr>
          <w:lang w:val="en-CA"/>
        </w:rPr>
        <w:t>t attempt to cal</w:t>
      </w:r>
      <w:r w:rsidR="00686A25" w:rsidRPr="003F141B">
        <w:rPr>
          <w:lang w:val="en-CA"/>
        </w:rPr>
        <w:t>l the lawyer that Mr. Blackburn-</w:t>
      </w:r>
      <w:r w:rsidRPr="003F141B">
        <w:rPr>
          <w:lang w:val="en-CA"/>
        </w:rPr>
        <w:t>Laroche told you he wanted to call?</w:t>
      </w:r>
    </w:p>
    <w:p w14:paraId="0D1F93D2" w14:textId="3854011E" w:rsidR="009130CA" w:rsidRPr="003F141B" w:rsidRDefault="00125175" w:rsidP="009130CA">
      <w:pPr>
        <w:pStyle w:val="Citationenretrait"/>
        <w:spacing w:line="240" w:lineRule="auto"/>
        <w:rPr>
          <w:lang w:val="en-CA"/>
        </w:rPr>
      </w:pPr>
      <w:r w:rsidRPr="003F141B">
        <w:rPr>
          <w:lang w:val="en-CA"/>
        </w:rPr>
        <w:t>A.</w:t>
      </w:r>
      <w:r w:rsidR="005003D8" w:rsidRPr="003F141B">
        <w:rPr>
          <w:lang w:val="en-CA"/>
        </w:rPr>
        <w:tab/>
      </w:r>
      <w:r w:rsidRPr="003F141B">
        <w:rPr>
          <w:lang w:val="en-CA"/>
        </w:rPr>
        <w:t>Listen, it wasn</w:t>
      </w:r>
      <w:r w:rsidR="003061CC">
        <w:rPr>
          <w:lang w:val="en-CA"/>
        </w:rPr>
        <w:t>’</w:t>
      </w:r>
      <w:r w:rsidRPr="003F141B">
        <w:rPr>
          <w:lang w:val="en-CA"/>
        </w:rPr>
        <w:t xml:space="preserve">t, </w:t>
      </w:r>
      <w:r w:rsidRPr="003F141B">
        <w:rPr>
          <w:u w:val="single"/>
          <w:lang w:val="en-CA"/>
        </w:rPr>
        <w:t>it wasn</w:t>
      </w:r>
      <w:r w:rsidR="003061CC">
        <w:rPr>
          <w:u w:val="single"/>
          <w:lang w:val="en-CA"/>
        </w:rPr>
        <w:t>’</w:t>
      </w:r>
      <w:r w:rsidRPr="003F141B">
        <w:rPr>
          <w:u w:val="single"/>
          <w:lang w:val="en-CA"/>
        </w:rPr>
        <w:t>t because we didn</w:t>
      </w:r>
      <w:r w:rsidR="003061CC">
        <w:rPr>
          <w:u w:val="single"/>
          <w:lang w:val="en-CA"/>
        </w:rPr>
        <w:t>’</w:t>
      </w:r>
      <w:r w:rsidRPr="003F141B">
        <w:rPr>
          <w:u w:val="single"/>
          <w:lang w:val="en-CA"/>
        </w:rPr>
        <w:t xml:space="preserve">t want </w:t>
      </w:r>
      <w:r w:rsidR="000C5BFA">
        <w:rPr>
          <w:u w:val="single"/>
          <w:lang w:val="en-CA"/>
        </w:rPr>
        <w:t>t</w:t>
      </w:r>
      <w:r w:rsidRPr="003F141B">
        <w:rPr>
          <w:u w:val="single"/>
          <w:lang w:val="en-CA"/>
        </w:rPr>
        <w:t xml:space="preserve">o, we looked on the website, those were the telephone numbers we </w:t>
      </w:r>
      <w:r w:rsidR="00686A25" w:rsidRPr="003F141B">
        <w:rPr>
          <w:u w:val="single"/>
          <w:lang w:val="en-CA"/>
        </w:rPr>
        <w:t>found</w:t>
      </w:r>
      <w:r w:rsidRPr="003F141B">
        <w:rPr>
          <w:u w:val="single"/>
          <w:lang w:val="en-CA"/>
        </w:rPr>
        <w:t xml:space="preserve">, and we used the telephone numbers that we </w:t>
      </w:r>
      <w:r w:rsidR="00686A25" w:rsidRPr="003F141B">
        <w:rPr>
          <w:u w:val="single"/>
          <w:lang w:val="en-CA"/>
        </w:rPr>
        <w:t>found</w:t>
      </w:r>
      <w:r w:rsidRPr="003F141B">
        <w:rPr>
          <w:u w:val="single"/>
          <w:lang w:val="en-CA"/>
        </w:rPr>
        <w:t xml:space="preserve"> </w:t>
      </w:r>
      <w:r w:rsidR="00CC55BA" w:rsidRPr="003F141B">
        <w:rPr>
          <w:u w:val="single"/>
          <w:lang w:val="en-CA"/>
        </w:rPr>
        <w:t>as best we could</w:t>
      </w:r>
      <w:r w:rsidRPr="003F141B">
        <w:rPr>
          <w:lang w:val="en-CA"/>
        </w:rPr>
        <w:t>.</w:t>
      </w:r>
    </w:p>
    <w:p w14:paraId="0F769876" w14:textId="09BBA302" w:rsidR="009130CA" w:rsidRPr="003F141B" w:rsidRDefault="000C5BFA" w:rsidP="009130CA">
      <w:pPr>
        <w:pStyle w:val="Citationenretrait"/>
        <w:spacing w:line="240" w:lineRule="auto"/>
        <w:rPr>
          <w:lang w:val="en-CA"/>
        </w:rPr>
      </w:pPr>
      <w:r w:rsidRPr="00D86FFF">
        <w:t>[…]</w:t>
      </w:r>
    </w:p>
    <w:p w14:paraId="53C3B10C" w14:textId="7242D657" w:rsidR="009130CA" w:rsidRPr="003F141B" w:rsidRDefault="00125175" w:rsidP="009130CA">
      <w:pPr>
        <w:pStyle w:val="Citationenretrait"/>
        <w:spacing w:line="240" w:lineRule="auto"/>
        <w:rPr>
          <w:lang w:val="en-CA"/>
        </w:rPr>
      </w:pPr>
      <w:r w:rsidRPr="003F141B">
        <w:rPr>
          <w:lang w:val="en-CA"/>
        </w:rPr>
        <w:t>Q.</w:t>
      </w:r>
      <w:r w:rsidR="005003D8" w:rsidRPr="003F141B">
        <w:rPr>
          <w:lang w:val="en-CA"/>
        </w:rPr>
        <w:tab/>
      </w:r>
      <w:r w:rsidRPr="003F141B">
        <w:rPr>
          <w:lang w:val="en-CA"/>
        </w:rPr>
        <w:t xml:space="preserve">Because </w:t>
      </w:r>
      <w:r w:rsidRPr="003F141B">
        <w:rPr>
          <w:u w:val="single"/>
          <w:lang w:val="en-CA"/>
        </w:rPr>
        <w:t>if I suggest to you</w:t>
      </w:r>
      <w:r w:rsidRPr="003F141B">
        <w:rPr>
          <w:lang w:val="en-CA"/>
        </w:rPr>
        <w:t xml:space="preserve"> that </w:t>
      </w:r>
      <w:r w:rsidR="00442298" w:rsidRPr="003F141B">
        <w:rPr>
          <w:lang w:val="en-CA"/>
        </w:rPr>
        <w:t xml:space="preserve">if they have my number </w:t>
      </w:r>
      <w:r w:rsidRPr="003F141B">
        <w:rPr>
          <w:lang w:val="en-CA"/>
        </w:rPr>
        <w:t xml:space="preserve">on the website, they have </w:t>
      </w:r>
      <w:proofErr w:type="spellStart"/>
      <w:r w:rsidRPr="003F141B">
        <w:rPr>
          <w:lang w:val="en-CA"/>
        </w:rPr>
        <w:t>Mtre</w:t>
      </w:r>
      <w:proofErr w:type="spellEnd"/>
      <w:r w:rsidRPr="003F141B">
        <w:rPr>
          <w:lang w:val="en-CA"/>
        </w:rPr>
        <w:t xml:space="preserve"> </w:t>
      </w:r>
      <w:proofErr w:type="spellStart"/>
      <w:r w:rsidRPr="003F141B">
        <w:rPr>
          <w:lang w:val="en-CA"/>
        </w:rPr>
        <w:t>Cantin</w:t>
      </w:r>
      <w:r w:rsidR="003061CC">
        <w:rPr>
          <w:lang w:val="en-CA"/>
        </w:rPr>
        <w:t>’</w:t>
      </w:r>
      <w:r w:rsidRPr="003F141B">
        <w:rPr>
          <w:lang w:val="en-CA"/>
        </w:rPr>
        <w:t>s</w:t>
      </w:r>
      <w:proofErr w:type="spellEnd"/>
      <w:r w:rsidRPr="003F141B">
        <w:rPr>
          <w:lang w:val="en-CA"/>
        </w:rPr>
        <w:t xml:space="preserve"> number?</w:t>
      </w:r>
    </w:p>
    <w:p w14:paraId="156BEC75" w14:textId="05C26B21" w:rsidR="009130CA" w:rsidRPr="003F141B" w:rsidRDefault="00125175" w:rsidP="009130CA">
      <w:pPr>
        <w:pStyle w:val="Citationenretrait"/>
        <w:spacing w:line="240" w:lineRule="auto"/>
        <w:rPr>
          <w:lang w:val="en-CA"/>
        </w:rPr>
      </w:pPr>
      <w:r w:rsidRPr="003F141B">
        <w:rPr>
          <w:lang w:val="en-CA"/>
        </w:rPr>
        <w:t>A.</w:t>
      </w:r>
      <w:r w:rsidR="005003D8" w:rsidRPr="003F141B">
        <w:rPr>
          <w:lang w:val="en-CA"/>
        </w:rPr>
        <w:tab/>
      </w:r>
      <w:r w:rsidRPr="003F141B">
        <w:rPr>
          <w:u w:val="single"/>
          <w:lang w:val="en-CA"/>
        </w:rPr>
        <w:t>It</w:t>
      </w:r>
      <w:r w:rsidR="003061CC">
        <w:rPr>
          <w:u w:val="single"/>
          <w:lang w:val="en-CA"/>
        </w:rPr>
        <w:t>’</w:t>
      </w:r>
      <w:r w:rsidRPr="003F141B">
        <w:rPr>
          <w:u w:val="single"/>
          <w:lang w:val="en-CA"/>
        </w:rPr>
        <w:t>s possible, I</w:t>
      </w:r>
      <w:r w:rsidR="003061CC">
        <w:rPr>
          <w:u w:val="single"/>
          <w:lang w:val="en-CA"/>
        </w:rPr>
        <w:t>’</w:t>
      </w:r>
      <w:r w:rsidRPr="003F141B">
        <w:rPr>
          <w:u w:val="single"/>
          <w:lang w:val="en-CA"/>
        </w:rPr>
        <w:t xml:space="preserve">m not saying </w:t>
      </w:r>
      <w:r w:rsidR="00686A25" w:rsidRPr="003F141B">
        <w:rPr>
          <w:u w:val="single"/>
          <w:lang w:val="en-CA"/>
        </w:rPr>
        <w:t>otherwise</w:t>
      </w:r>
      <w:r w:rsidRPr="003F141B">
        <w:rPr>
          <w:lang w:val="en-CA"/>
        </w:rPr>
        <w:t>.</w:t>
      </w:r>
    </w:p>
    <w:p w14:paraId="685B08D6" w14:textId="7E6945A9" w:rsidR="009130CA" w:rsidRPr="003F141B" w:rsidRDefault="00125175" w:rsidP="009130CA">
      <w:pPr>
        <w:pStyle w:val="Citationenretrait"/>
        <w:spacing w:line="240" w:lineRule="auto"/>
        <w:rPr>
          <w:u w:val="single"/>
          <w:lang w:val="en-CA"/>
        </w:rPr>
      </w:pP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t>[Emphasis added]</w:t>
      </w:r>
    </w:p>
    <w:p w14:paraId="076EECC3" w14:textId="1B141DAD" w:rsidR="009130CA" w:rsidRPr="003F141B" w:rsidRDefault="00125175" w:rsidP="009130CA">
      <w:pPr>
        <w:pStyle w:val="Paragraphe"/>
        <w:spacing w:line="240" w:lineRule="auto"/>
        <w:rPr>
          <w:lang w:val="en-CA"/>
        </w:rPr>
      </w:pPr>
      <w:r w:rsidRPr="003F141B">
        <w:rPr>
          <w:lang w:val="en-CA"/>
        </w:rPr>
        <w:t xml:space="preserve">After </w:t>
      </w:r>
      <w:r w:rsidR="00352914">
        <w:rPr>
          <w:lang w:val="en-CA"/>
        </w:rPr>
        <w:t xml:space="preserve">her </w:t>
      </w:r>
      <w:r w:rsidRPr="003F141B">
        <w:rPr>
          <w:lang w:val="en-CA"/>
        </w:rPr>
        <w:t>colleague</w:t>
      </w:r>
      <w:r w:rsidR="003061CC">
        <w:rPr>
          <w:lang w:val="en-CA"/>
        </w:rPr>
        <w:t>’</w:t>
      </w:r>
      <w:r w:rsidRPr="003F141B">
        <w:rPr>
          <w:lang w:val="en-CA"/>
        </w:rPr>
        <w:t>s fruitless ef</w:t>
      </w:r>
      <w:r w:rsidR="00686A25" w:rsidRPr="003F141B">
        <w:rPr>
          <w:lang w:val="en-CA"/>
        </w:rPr>
        <w:t>forts, and in accordance with w</w:t>
      </w:r>
      <w:r w:rsidRPr="003F141B">
        <w:rPr>
          <w:lang w:val="en-CA"/>
        </w:rPr>
        <w:t>hat she describe</w:t>
      </w:r>
      <w:r w:rsidR="002C02D5" w:rsidRPr="003F141B">
        <w:rPr>
          <w:lang w:val="en-CA"/>
        </w:rPr>
        <w:t>d</w:t>
      </w:r>
      <w:r w:rsidRPr="003F141B">
        <w:rPr>
          <w:lang w:val="en-CA"/>
        </w:rPr>
        <w:t xml:space="preserve"> as the usual procedure, </w:t>
      </w:r>
      <w:r w:rsidR="00CB5B57" w:rsidRPr="003F141B">
        <w:rPr>
          <w:lang w:val="en-CA"/>
        </w:rPr>
        <w:t>O</w:t>
      </w:r>
      <w:r w:rsidRPr="003F141B">
        <w:rPr>
          <w:lang w:val="en-CA"/>
        </w:rPr>
        <w:t xml:space="preserve">fficer </w:t>
      </w:r>
      <w:proofErr w:type="spellStart"/>
      <w:r w:rsidRPr="003F141B">
        <w:rPr>
          <w:lang w:val="en-CA"/>
        </w:rPr>
        <w:t>Larouche</w:t>
      </w:r>
      <w:proofErr w:type="spellEnd"/>
      <w:r w:rsidRPr="003F141B">
        <w:rPr>
          <w:lang w:val="en-CA"/>
        </w:rPr>
        <w:t xml:space="preserve"> informed the respondent that </w:t>
      </w:r>
      <w:proofErr w:type="spellStart"/>
      <w:r w:rsidRPr="003F141B">
        <w:rPr>
          <w:lang w:val="en-CA"/>
        </w:rPr>
        <w:t>Mtre</w:t>
      </w:r>
      <w:proofErr w:type="spellEnd"/>
      <w:r w:rsidRPr="003F141B">
        <w:rPr>
          <w:lang w:val="en-CA"/>
        </w:rPr>
        <w:t xml:space="preserve"> </w:t>
      </w:r>
      <w:proofErr w:type="spellStart"/>
      <w:r w:rsidRPr="003F141B">
        <w:rPr>
          <w:lang w:val="en-CA"/>
        </w:rPr>
        <w:t>Boulianne</w:t>
      </w:r>
      <w:proofErr w:type="spellEnd"/>
      <w:r w:rsidRPr="003F141B">
        <w:rPr>
          <w:lang w:val="en-CA"/>
        </w:rPr>
        <w:t xml:space="preserve"> and </w:t>
      </w:r>
      <w:proofErr w:type="spellStart"/>
      <w:r w:rsidR="00686A25" w:rsidRPr="003F141B">
        <w:rPr>
          <w:lang w:val="en-CA"/>
        </w:rPr>
        <w:t>Mtre</w:t>
      </w:r>
      <w:proofErr w:type="spellEnd"/>
      <w:r w:rsidR="00686A25" w:rsidRPr="003F141B">
        <w:rPr>
          <w:lang w:val="en-CA"/>
        </w:rPr>
        <w:t xml:space="preserve"> </w:t>
      </w:r>
      <w:proofErr w:type="spellStart"/>
      <w:r w:rsidRPr="003F141B">
        <w:rPr>
          <w:lang w:val="en-CA"/>
        </w:rPr>
        <w:t>Cantin</w:t>
      </w:r>
      <w:proofErr w:type="spellEnd"/>
      <w:r w:rsidRPr="003F141B">
        <w:rPr>
          <w:lang w:val="en-CA"/>
        </w:rPr>
        <w:t xml:space="preserve"> could not be reached </w:t>
      </w:r>
      <w:r w:rsidR="002C02D5" w:rsidRPr="003F141B">
        <w:rPr>
          <w:rFonts w:cs="Arial"/>
          <w:lang w:val="en-CA"/>
        </w:rPr>
        <w:t>[</w:t>
      </w:r>
      <w:r w:rsidRPr="003F141B">
        <w:rPr>
          <w:smallCaps/>
          <w:lang w:val="en-CA"/>
        </w:rPr>
        <w:t>translation</w:t>
      </w:r>
      <w:r w:rsidR="002C02D5" w:rsidRPr="003F141B">
        <w:rPr>
          <w:rFonts w:cs="Arial"/>
          <w:smallCaps/>
          <w:lang w:val="en-CA"/>
        </w:rPr>
        <w:t>]</w:t>
      </w:r>
      <w:r w:rsidRPr="003F141B">
        <w:rPr>
          <w:lang w:val="en-CA"/>
        </w:rPr>
        <w:t xml:space="preserve"> </w:t>
      </w:r>
      <w:r w:rsidR="00081775">
        <w:rPr>
          <w:lang w:val="en-CA"/>
        </w:rPr>
        <w:t>“</w:t>
      </w:r>
      <w:r w:rsidR="007E3B5B" w:rsidRPr="003F141B">
        <w:rPr>
          <w:u w:val="single"/>
          <w:lang w:val="en-CA"/>
        </w:rPr>
        <w:t>for the time being</w:t>
      </w:r>
      <w:r w:rsidR="00081775">
        <w:rPr>
          <w:lang w:val="en-CA"/>
        </w:rPr>
        <w:t>”</w:t>
      </w:r>
      <w:r w:rsidR="002C02D5" w:rsidRPr="003F141B">
        <w:rPr>
          <w:lang w:val="en-CA"/>
        </w:rPr>
        <w:t>,</w:t>
      </w:r>
      <w:r w:rsidRPr="003F141B">
        <w:rPr>
          <w:lang w:val="en-CA"/>
        </w:rPr>
        <w:t xml:space="preserve"> and that he could also consult the telephone directory to find another lawyer or use legal aid</w:t>
      </w:r>
      <w:r w:rsidR="00233CF7" w:rsidRPr="003F141B">
        <w:rPr>
          <w:lang w:val="en-CA"/>
        </w:rPr>
        <w:t xml:space="preserve"> services</w:t>
      </w:r>
      <w:r w:rsidRPr="003F141B">
        <w:rPr>
          <w:lang w:val="en-CA"/>
        </w:rPr>
        <w:t xml:space="preserve">, </w:t>
      </w:r>
      <w:r w:rsidR="002C02D5" w:rsidRPr="003F141B">
        <w:rPr>
          <w:lang w:val="en-CA"/>
        </w:rPr>
        <w:t xml:space="preserve">which had </w:t>
      </w:r>
      <w:r w:rsidRPr="003F141B">
        <w:rPr>
          <w:lang w:val="en-CA"/>
        </w:rPr>
        <w:t xml:space="preserve">a poster on one of the walls in the room </w:t>
      </w:r>
      <w:r w:rsidR="002C02D5" w:rsidRPr="003F141B">
        <w:rPr>
          <w:lang w:val="en-CA"/>
        </w:rPr>
        <w:t>he was in</w:t>
      </w:r>
      <w:r w:rsidRPr="003F141B">
        <w:rPr>
          <w:lang w:val="en-CA"/>
        </w:rPr>
        <w:t>.</w:t>
      </w:r>
      <w:r w:rsidR="005003D8" w:rsidRPr="003F141B">
        <w:rPr>
          <w:lang w:val="en-CA"/>
        </w:rPr>
        <w:t xml:space="preserve"> </w:t>
      </w:r>
      <w:r w:rsidR="00233CF7" w:rsidRPr="003F141B">
        <w:rPr>
          <w:lang w:val="en-CA"/>
        </w:rPr>
        <w:t xml:space="preserve">The </w:t>
      </w:r>
      <w:r w:rsidRPr="003F141B">
        <w:rPr>
          <w:lang w:val="en-CA"/>
        </w:rPr>
        <w:t xml:space="preserve">poster also </w:t>
      </w:r>
      <w:r w:rsidR="006229F5" w:rsidRPr="003F141B">
        <w:rPr>
          <w:lang w:val="en-CA"/>
        </w:rPr>
        <w:t xml:space="preserve">featured </w:t>
      </w:r>
      <w:r w:rsidRPr="003F141B">
        <w:rPr>
          <w:lang w:val="en-CA"/>
        </w:rPr>
        <w:t>a 24-hour telephone number and the photographs of five lawyers.</w:t>
      </w:r>
      <w:r w:rsidR="005003D8" w:rsidRPr="003F141B">
        <w:rPr>
          <w:lang w:val="en-CA"/>
        </w:rPr>
        <w:t xml:space="preserve"> </w:t>
      </w:r>
      <w:r w:rsidRPr="003F141B">
        <w:rPr>
          <w:lang w:val="en-CA"/>
        </w:rPr>
        <w:t>The appellant answered yes</w:t>
      </w:r>
      <w:r w:rsidR="006229F5" w:rsidRPr="003F141B">
        <w:rPr>
          <w:lang w:val="en-CA"/>
        </w:rPr>
        <w:t xml:space="preserve">. Moreover, </w:t>
      </w:r>
      <w:r w:rsidRPr="003F141B">
        <w:rPr>
          <w:lang w:val="en-CA"/>
        </w:rPr>
        <w:t xml:space="preserve">as both police </w:t>
      </w:r>
      <w:r w:rsidR="002C02D5" w:rsidRPr="003F141B">
        <w:rPr>
          <w:lang w:val="en-CA"/>
        </w:rPr>
        <w:t>officers</w:t>
      </w:r>
      <w:r w:rsidR="006229F5" w:rsidRPr="003F141B">
        <w:rPr>
          <w:lang w:val="en-CA"/>
        </w:rPr>
        <w:t xml:space="preserve"> confirmed</w:t>
      </w:r>
      <w:r w:rsidRPr="003F141B">
        <w:rPr>
          <w:lang w:val="en-CA"/>
        </w:rPr>
        <w:t xml:space="preserve">, </w:t>
      </w:r>
      <w:r w:rsidR="006229F5" w:rsidRPr="003F141B">
        <w:rPr>
          <w:lang w:val="en-CA"/>
        </w:rPr>
        <w:t xml:space="preserve">he </w:t>
      </w:r>
      <w:r w:rsidRPr="003F141B">
        <w:rPr>
          <w:lang w:val="en-CA"/>
        </w:rPr>
        <w:t xml:space="preserve">pointed </w:t>
      </w:r>
      <w:r w:rsidR="006229F5" w:rsidRPr="003F141B">
        <w:rPr>
          <w:lang w:val="en-CA"/>
        </w:rPr>
        <w:t xml:space="preserve">specifically </w:t>
      </w:r>
      <w:r w:rsidRPr="003F141B">
        <w:rPr>
          <w:lang w:val="en-CA"/>
        </w:rPr>
        <w:t xml:space="preserve">to </w:t>
      </w:r>
      <w:proofErr w:type="spellStart"/>
      <w:r w:rsidRPr="003F141B">
        <w:rPr>
          <w:lang w:val="en-CA"/>
        </w:rPr>
        <w:t>Mtre</w:t>
      </w:r>
      <w:proofErr w:type="spellEnd"/>
      <w:r w:rsidRPr="003F141B">
        <w:rPr>
          <w:lang w:val="en-CA"/>
        </w:rPr>
        <w:t xml:space="preserve"> Gagnon on the poster.</w:t>
      </w:r>
    </w:p>
    <w:p w14:paraId="457DA159" w14:textId="1AEF9E44" w:rsidR="009130CA" w:rsidRPr="003F141B" w:rsidRDefault="00125175" w:rsidP="009130CA">
      <w:pPr>
        <w:pStyle w:val="Paragraphe"/>
        <w:spacing w:line="240" w:lineRule="auto"/>
        <w:rPr>
          <w:lang w:val="en-CA"/>
        </w:rPr>
      </w:pPr>
      <w:r w:rsidRPr="003F141B">
        <w:rPr>
          <w:lang w:val="en-CA"/>
        </w:rPr>
        <w:t>At 11:40 p.m.</w:t>
      </w:r>
      <w:r w:rsidR="00EF03D2" w:rsidRPr="003F141B">
        <w:rPr>
          <w:lang w:val="en-CA"/>
        </w:rPr>
        <w:t>,</w:t>
      </w:r>
      <w:r w:rsidRPr="003F141B">
        <w:rPr>
          <w:lang w:val="en-CA"/>
        </w:rPr>
        <w:t xml:space="preserve"> </w:t>
      </w:r>
      <w:r w:rsidR="00CB5B57" w:rsidRPr="003F141B">
        <w:rPr>
          <w:lang w:val="en-CA"/>
        </w:rPr>
        <w:t>O</w:t>
      </w:r>
      <w:r w:rsidRPr="003F141B">
        <w:rPr>
          <w:lang w:val="en-CA"/>
        </w:rPr>
        <w:t xml:space="preserve">fficer </w:t>
      </w:r>
      <w:proofErr w:type="spellStart"/>
      <w:r w:rsidRPr="003F141B">
        <w:rPr>
          <w:lang w:val="en-CA"/>
        </w:rPr>
        <w:t>Larouche</w:t>
      </w:r>
      <w:proofErr w:type="spellEnd"/>
      <w:r w:rsidRPr="003F141B">
        <w:rPr>
          <w:lang w:val="en-CA"/>
        </w:rPr>
        <w:t xml:space="preserve"> dialled the number on the poster and reached </w:t>
      </w:r>
      <w:proofErr w:type="spellStart"/>
      <w:r w:rsidRPr="003F141B">
        <w:rPr>
          <w:lang w:val="en-CA"/>
        </w:rPr>
        <w:t>Mtre</w:t>
      </w:r>
      <w:proofErr w:type="spellEnd"/>
      <w:r w:rsidRPr="003F141B">
        <w:rPr>
          <w:lang w:val="en-CA"/>
        </w:rPr>
        <w:t xml:space="preserve"> Gagnon.</w:t>
      </w:r>
      <w:r w:rsidR="005003D8" w:rsidRPr="003F141B">
        <w:rPr>
          <w:lang w:val="en-CA"/>
        </w:rPr>
        <w:t xml:space="preserve"> </w:t>
      </w:r>
      <w:r w:rsidRPr="003F141B">
        <w:rPr>
          <w:lang w:val="en-CA"/>
        </w:rPr>
        <w:t>The c</w:t>
      </w:r>
      <w:r w:rsidR="00EF03D2" w:rsidRPr="003F141B">
        <w:rPr>
          <w:lang w:val="en-CA"/>
        </w:rPr>
        <w:t>all</w:t>
      </w:r>
      <w:r w:rsidRPr="003F141B">
        <w:rPr>
          <w:lang w:val="en-CA"/>
        </w:rPr>
        <w:t xml:space="preserve"> was immediately transferred to the respondent</w:t>
      </w:r>
      <w:r w:rsidR="00442298" w:rsidRPr="003F141B">
        <w:rPr>
          <w:lang w:val="en-CA"/>
        </w:rPr>
        <w:t>,</w:t>
      </w:r>
      <w:r w:rsidRPr="003F141B">
        <w:rPr>
          <w:lang w:val="en-CA"/>
        </w:rPr>
        <w:t xml:space="preserve"> and his conversation with </w:t>
      </w:r>
      <w:proofErr w:type="spellStart"/>
      <w:r w:rsidRPr="003F141B">
        <w:rPr>
          <w:lang w:val="en-CA"/>
        </w:rPr>
        <w:t>Mtre</w:t>
      </w:r>
      <w:proofErr w:type="spellEnd"/>
      <w:r w:rsidRPr="003F141B">
        <w:rPr>
          <w:lang w:val="en-CA"/>
        </w:rPr>
        <w:t xml:space="preserve"> Gagnon lasted about eight minutes.</w:t>
      </w:r>
      <w:r w:rsidR="005003D8" w:rsidRPr="003F141B">
        <w:rPr>
          <w:lang w:val="en-CA"/>
        </w:rPr>
        <w:t xml:space="preserve"> </w:t>
      </w:r>
    </w:p>
    <w:p w14:paraId="7FA3A91F" w14:textId="7B0B015D" w:rsidR="009130CA" w:rsidRPr="003F141B" w:rsidRDefault="00125175" w:rsidP="009130CA">
      <w:pPr>
        <w:pStyle w:val="Paragraphe"/>
        <w:spacing w:line="240" w:lineRule="auto"/>
        <w:rPr>
          <w:lang w:val="en-CA"/>
        </w:rPr>
      </w:pPr>
      <w:r w:rsidRPr="003F141B">
        <w:rPr>
          <w:lang w:val="en-CA"/>
        </w:rPr>
        <w:lastRenderedPageBreak/>
        <w:t>The respondent then knocked on the door to indicate to the police officers that he had finished his conversation with the lawyer.</w:t>
      </w:r>
      <w:r w:rsidR="005003D8" w:rsidRPr="003F141B">
        <w:rPr>
          <w:lang w:val="en-CA"/>
        </w:rPr>
        <w:t xml:space="preserve"> </w:t>
      </w:r>
      <w:r w:rsidRPr="003F141B">
        <w:rPr>
          <w:lang w:val="en-CA"/>
        </w:rPr>
        <w:t xml:space="preserve">He did not express any dissatisfaction </w:t>
      </w:r>
      <w:r w:rsidR="003F24BF" w:rsidRPr="003F141B">
        <w:rPr>
          <w:lang w:val="en-CA"/>
        </w:rPr>
        <w:t xml:space="preserve">about their </w:t>
      </w:r>
      <w:r w:rsidRPr="003F141B">
        <w:rPr>
          <w:lang w:val="en-CA"/>
        </w:rPr>
        <w:t xml:space="preserve">exchange or the quality of the advice </w:t>
      </w:r>
      <w:r w:rsidR="003F24BF" w:rsidRPr="003F141B">
        <w:rPr>
          <w:lang w:val="en-CA"/>
        </w:rPr>
        <w:t xml:space="preserve">he had </w:t>
      </w:r>
      <w:r w:rsidRPr="003F141B">
        <w:rPr>
          <w:lang w:val="en-CA"/>
        </w:rPr>
        <w:t xml:space="preserve">received from </w:t>
      </w:r>
      <w:proofErr w:type="spellStart"/>
      <w:r w:rsidRPr="003F141B">
        <w:rPr>
          <w:lang w:val="en-CA"/>
        </w:rPr>
        <w:t>Mtre</w:t>
      </w:r>
      <w:proofErr w:type="spellEnd"/>
      <w:r w:rsidRPr="003F141B">
        <w:rPr>
          <w:lang w:val="en-CA"/>
        </w:rPr>
        <w:t xml:space="preserve"> Gagnon</w:t>
      </w:r>
      <w:r w:rsidR="00274E87">
        <w:rPr>
          <w:lang w:val="en-CA"/>
        </w:rPr>
        <w:t>, nor did</w:t>
      </w:r>
      <w:r w:rsidR="003F24BF" w:rsidRPr="003F141B">
        <w:rPr>
          <w:lang w:val="en-CA"/>
        </w:rPr>
        <w:t xml:space="preserve"> </w:t>
      </w:r>
      <w:r w:rsidR="00274E87">
        <w:rPr>
          <w:lang w:val="en-CA"/>
        </w:rPr>
        <w:t>h</w:t>
      </w:r>
      <w:r w:rsidRPr="003F141B">
        <w:rPr>
          <w:lang w:val="en-CA"/>
        </w:rPr>
        <w:t>e ask the police officer</w:t>
      </w:r>
      <w:r w:rsidR="00EF03D2" w:rsidRPr="003F141B">
        <w:rPr>
          <w:lang w:val="en-CA"/>
        </w:rPr>
        <w:t>s</w:t>
      </w:r>
      <w:r w:rsidRPr="003F141B">
        <w:rPr>
          <w:lang w:val="en-CA"/>
        </w:rPr>
        <w:t xml:space="preserve"> to try to reach </w:t>
      </w:r>
      <w:proofErr w:type="spellStart"/>
      <w:r w:rsidRPr="003F141B">
        <w:rPr>
          <w:lang w:val="en-CA"/>
        </w:rPr>
        <w:t>Mtre</w:t>
      </w:r>
      <w:proofErr w:type="spellEnd"/>
      <w:r w:rsidRPr="003F141B">
        <w:rPr>
          <w:lang w:val="en-CA"/>
        </w:rPr>
        <w:t xml:space="preserve"> </w:t>
      </w:r>
      <w:proofErr w:type="spellStart"/>
      <w:r w:rsidRPr="003F141B">
        <w:rPr>
          <w:lang w:val="en-CA"/>
        </w:rPr>
        <w:t>Boulianne</w:t>
      </w:r>
      <w:proofErr w:type="spellEnd"/>
      <w:r w:rsidRPr="003F141B">
        <w:rPr>
          <w:lang w:val="en-CA"/>
        </w:rPr>
        <w:t xml:space="preserve"> or </w:t>
      </w:r>
      <w:proofErr w:type="spellStart"/>
      <w:r w:rsidRPr="003F141B">
        <w:rPr>
          <w:lang w:val="en-CA"/>
        </w:rPr>
        <w:t>Mtre</w:t>
      </w:r>
      <w:proofErr w:type="spellEnd"/>
      <w:r w:rsidRPr="003F141B">
        <w:rPr>
          <w:lang w:val="en-CA"/>
        </w:rPr>
        <w:t xml:space="preserve"> </w:t>
      </w:r>
      <w:proofErr w:type="spellStart"/>
      <w:r w:rsidRPr="003F141B">
        <w:rPr>
          <w:lang w:val="en-CA"/>
        </w:rPr>
        <w:t>Cantin</w:t>
      </w:r>
      <w:proofErr w:type="spellEnd"/>
      <w:r w:rsidR="003F24BF" w:rsidRPr="003F141B">
        <w:rPr>
          <w:lang w:val="en-CA"/>
        </w:rPr>
        <w:t xml:space="preserve"> again or</w:t>
      </w:r>
      <w:r w:rsidRPr="003F141B">
        <w:rPr>
          <w:lang w:val="en-CA"/>
        </w:rPr>
        <w:t xml:space="preserve"> object to providing a breath sample.</w:t>
      </w:r>
      <w:r w:rsidR="005003D8" w:rsidRPr="003F141B">
        <w:rPr>
          <w:lang w:val="en-CA"/>
        </w:rPr>
        <w:t xml:space="preserve"> </w:t>
      </w:r>
    </w:p>
    <w:p w14:paraId="449C09A4" w14:textId="18DE0D4D" w:rsidR="009130CA" w:rsidRPr="003F141B" w:rsidRDefault="00125175" w:rsidP="009130CA">
      <w:pPr>
        <w:pStyle w:val="Paragraphe"/>
        <w:spacing w:line="240" w:lineRule="auto"/>
        <w:rPr>
          <w:lang w:val="en-CA"/>
        </w:rPr>
      </w:pPr>
      <w:r w:rsidRPr="003F141B">
        <w:rPr>
          <w:lang w:val="en-CA"/>
        </w:rPr>
        <w:t>At 11:56 p.m., about one hour and fifteen minutes after the respondent</w:t>
      </w:r>
      <w:r w:rsidR="003061CC">
        <w:rPr>
          <w:lang w:val="en-CA"/>
        </w:rPr>
        <w:t>’</w:t>
      </w:r>
      <w:r w:rsidRPr="003F141B">
        <w:rPr>
          <w:lang w:val="en-CA"/>
        </w:rPr>
        <w:t>s arrest, a first breath sample was taken.</w:t>
      </w:r>
      <w:r w:rsidR="005003D8" w:rsidRPr="003F141B">
        <w:rPr>
          <w:lang w:val="en-CA"/>
        </w:rPr>
        <w:t xml:space="preserve"> </w:t>
      </w:r>
      <w:r w:rsidRPr="003F141B">
        <w:rPr>
          <w:lang w:val="en-CA"/>
        </w:rPr>
        <w:t xml:space="preserve">The result indicated a blood </w:t>
      </w:r>
      <w:r w:rsidR="00EF03D2" w:rsidRPr="003F141B">
        <w:rPr>
          <w:lang w:val="en-CA"/>
        </w:rPr>
        <w:t>alcohol</w:t>
      </w:r>
      <w:r w:rsidRPr="003F141B">
        <w:rPr>
          <w:lang w:val="en-CA"/>
        </w:rPr>
        <w:t xml:space="preserve"> level of 110 mg of alcohol in 100 mL of blood.</w:t>
      </w:r>
      <w:r w:rsidR="005003D8" w:rsidRPr="003F141B">
        <w:rPr>
          <w:lang w:val="en-CA"/>
        </w:rPr>
        <w:t xml:space="preserve"> </w:t>
      </w:r>
    </w:p>
    <w:p w14:paraId="312AAA53" w14:textId="6C1BAB92" w:rsidR="009130CA" w:rsidRPr="003F141B" w:rsidRDefault="00A44C97" w:rsidP="009130CA">
      <w:pPr>
        <w:pStyle w:val="Paragraphe"/>
        <w:spacing w:line="240" w:lineRule="auto"/>
        <w:rPr>
          <w:lang w:val="en-CA"/>
        </w:rPr>
      </w:pPr>
      <w:r>
        <w:rPr>
          <w:lang w:val="en-CA"/>
        </w:rPr>
        <w:t xml:space="preserve">As of </w:t>
      </w:r>
      <w:r w:rsidR="00125175" w:rsidRPr="003F141B">
        <w:rPr>
          <w:lang w:val="en-CA"/>
        </w:rPr>
        <w:t xml:space="preserve">around 11:57 p.m., during </w:t>
      </w:r>
      <w:r w:rsidR="00EF03D2" w:rsidRPr="003F141B">
        <w:rPr>
          <w:lang w:val="en-CA"/>
        </w:rPr>
        <w:t xml:space="preserve">the </w:t>
      </w:r>
      <w:r w:rsidR="003F24BF" w:rsidRPr="003F141B">
        <w:rPr>
          <w:lang w:val="en-CA"/>
        </w:rPr>
        <w:t xml:space="preserve">waiting period </w:t>
      </w:r>
      <w:r w:rsidR="00125175" w:rsidRPr="003F141B">
        <w:rPr>
          <w:lang w:val="en-CA"/>
        </w:rPr>
        <w:t xml:space="preserve">required before a second sample </w:t>
      </w:r>
      <w:r>
        <w:rPr>
          <w:lang w:val="en-CA"/>
        </w:rPr>
        <w:t xml:space="preserve">could </w:t>
      </w:r>
      <w:r w:rsidR="00EF03D2" w:rsidRPr="003F141B">
        <w:rPr>
          <w:lang w:val="en-CA"/>
        </w:rPr>
        <w:t>be</w:t>
      </w:r>
      <w:r w:rsidR="00125175" w:rsidRPr="003F141B">
        <w:rPr>
          <w:lang w:val="en-CA"/>
        </w:rPr>
        <w:t xml:space="preserve"> taken, the police officers </w:t>
      </w:r>
      <w:r w:rsidR="00A744B9" w:rsidRPr="003F141B">
        <w:rPr>
          <w:lang w:val="en-CA"/>
        </w:rPr>
        <w:t>and the</w:t>
      </w:r>
      <w:r w:rsidR="00125175" w:rsidRPr="003F141B">
        <w:rPr>
          <w:lang w:val="en-CA"/>
        </w:rPr>
        <w:t xml:space="preserve"> respondent</w:t>
      </w:r>
      <w:r w:rsidR="00A744B9" w:rsidRPr="003F141B">
        <w:rPr>
          <w:lang w:val="en-CA"/>
        </w:rPr>
        <w:t xml:space="preserve"> reviewed his</w:t>
      </w:r>
      <w:r w:rsidR="00125175" w:rsidRPr="003F141B">
        <w:rPr>
          <w:lang w:val="en-CA"/>
        </w:rPr>
        <w:t xml:space="preserve"> consumption scenario that evening using the form provided to that end, which in principle he had to sign once completed.</w:t>
      </w:r>
    </w:p>
    <w:p w14:paraId="4CD51282" w14:textId="067C6F28" w:rsidR="009130CA" w:rsidRPr="003F141B" w:rsidRDefault="00125175" w:rsidP="009130CA">
      <w:pPr>
        <w:pStyle w:val="Paragraphe"/>
        <w:spacing w:line="240" w:lineRule="auto"/>
        <w:rPr>
          <w:lang w:val="en-CA"/>
        </w:rPr>
      </w:pPr>
      <w:r w:rsidRPr="003F141B">
        <w:rPr>
          <w:lang w:val="en-CA"/>
        </w:rPr>
        <w:t xml:space="preserve">The respondent, however, </w:t>
      </w:r>
      <w:r w:rsidR="001F0760" w:rsidRPr="003F141B">
        <w:rPr>
          <w:lang w:val="en-CA"/>
        </w:rPr>
        <w:t>was uncooperative</w:t>
      </w:r>
      <w:r w:rsidRPr="003F141B">
        <w:rPr>
          <w:lang w:val="en-CA"/>
        </w:rPr>
        <w:t xml:space="preserve"> in </w:t>
      </w:r>
      <w:r w:rsidR="001F0760" w:rsidRPr="003F141B">
        <w:rPr>
          <w:lang w:val="en-CA"/>
        </w:rPr>
        <w:t>completing</w:t>
      </w:r>
      <w:r w:rsidRPr="003F141B">
        <w:rPr>
          <w:lang w:val="en-CA"/>
        </w:rPr>
        <w:t xml:space="preserve"> the form.</w:t>
      </w:r>
      <w:r w:rsidR="005003D8" w:rsidRPr="003F141B">
        <w:rPr>
          <w:lang w:val="en-CA"/>
        </w:rPr>
        <w:t xml:space="preserve"> </w:t>
      </w:r>
      <w:r w:rsidRPr="003F141B">
        <w:rPr>
          <w:lang w:val="en-CA"/>
        </w:rPr>
        <w:t xml:space="preserve">He did not answer all of the questions on it, </w:t>
      </w:r>
      <w:r w:rsidR="001F0760" w:rsidRPr="003F141B">
        <w:rPr>
          <w:lang w:val="en-CA"/>
        </w:rPr>
        <w:t>including</w:t>
      </w:r>
      <w:r w:rsidRPr="003F141B">
        <w:rPr>
          <w:lang w:val="en-CA"/>
        </w:rPr>
        <w:t xml:space="preserve"> the time of his last drink and the exact quantity he </w:t>
      </w:r>
      <w:r w:rsidR="00553205">
        <w:rPr>
          <w:lang w:val="en-CA"/>
        </w:rPr>
        <w:t xml:space="preserve">had </w:t>
      </w:r>
      <w:r w:rsidRPr="003F141B">
        <w:rPr>
          <w:lang w:val="en-CA"/>
        </w:rPr>
        <w:t>dr</w:t>
      </w:r>
      <w:r w:rsidR="00553205">
        <w:rPr>
          <w:lang w:val="en-CA"/>
        </w:rPr>
        <w:t>u</w:t>
      </w:r>
      <w:r w:rsidRPr="003F141B">
        <w:rPr>
          <w:lang w:val="en-CA"/>
        </w:rPr>
        <w:t xml:space="preserve">nk, and </w:t>
      </w:r>
      <w:r w:rsidR="00553205">
        <w:rPr>
          <w:lang w:val="en-CA"/>
        </w:rPr>
        <w:t xml:space="preserve">he </w:t>
      </w:r>
      <w:r w:rsidRPr="003F141B">
        <w:rPr>
          <w:lang w:val="en-CA"/>
        </w:rPr>
        <w:t>refused to sign it.</w:t>
      </w:r>
      <w:r w:rsidR="005003D8" w:rsidRPr="003F141B">
        <w:rPr>
          <w:lang w:val="en-CA"/>
        </w:rPr>
        <w:t xml:space="preserve"> </w:t>
      </w:r>
    </w:p>
    <w:p w14:paraId="2533F5B2" w14:textId="0A4E8F48" w:rsidR="009130CA" w:rsidRPr="003F141B" w:rsidRDefault="00125175" w:rsidP="009130CA">
      <w:pPr>
        <w:pStyle w:val="Paragraphe"/>
        <w:spacing w:line="240" w:lineRule="auto"/>
        <w:rPr>
          <w:lang w:val="en-CA"/>
        </w:rPr>
      </w:pPr>
      <w:r w:rsidRPr="003F141B">
        <w:rPr>
          <w:lang w:val="en-CA"/>
        </w:rPr>
        <w:t xml:space="preserve">Then, </w:t>
      </w:r>
      <w:r w:rsidR="001F0760" w:rsidRPr="003F141B">
        <w:rPr>
          <w:lang w:val="en-CA"/>
        </w:rPr>
        <w:t xml:space="preserve">at 12:15 a.m., </w:t>
      </w:r>
      <w:r w:rsidRPr="003F141B">
        <w:rPr>
          <w:lang w:val="en-CA"/>
        </w:rPr>
        <w:t>a second breath sample was taken.</w:t>
      </w:r>
      <w:r w:rsidR="005003D8" w:rsidRPr="003F141B">
        <w:rPr>
          <w:lang w:val="en-CA"/>
        </w:rPr>
        <w:t xml:space="preserve"> </w:t>
      </w:r>
      <w:r w:rsidRPr="003F141B">
        <w:rPr>
          <w:lang w:val="en-CA"/>
        </w:rPr>
        <w:t xml:space="preserve">The result indicated the </w:t>
      </w:r>
      <w:r w:rsidR="001F0760" w:rsidRPr="003F141B">
        <w:rPr>
          <w:lang w:val="en-CA"/>
        </w:rPr>
        <w:t>same level</w:t>
      </w:r>
      <w:r w:rsidRPr="003F141B">
        <w:rPr>
          <w:lang w:val="en-CA"/>
        </w:rPr>
        <w:t xml:space="preserve"> of 110 mg of alcohol in 100 mL of blood.</w:t>
      </w:r>
      <w:r w:rsidR="005003D8" w:rsidRPr="003F141B">
        <w:rPr>
          <w:lang w:val="en-CA"/>
        </w:rPr>
        <w:t xml:space="preserve"> </w:t>
      </w:r>
    </w:p>
    <w:p w14:paraId="556579CA" w14:textId="396937B8" w:rsidR="009130CA" w:rsidRPr="003F141B" w:rsidRDefault="00125175" w:rsidP="009130CA">
      <w:pPr>
        <w:pStyle w:val="Paragraphe"/>
        <w:spacing w:line="240" w:lineRule="auto"/>
        <w:rPr>
          <w:lang w:val="en-CA"/>
        </w:rPr>
      </w:pPr>
      <w:r w:rsidRPr="003F141B">
        <w:rPr>
          <w:lang w:val="en-CA"/>
        </w:rPr>
        <w:t>A copy of the analyst and certified technician</w:t>
      </w:r>
      <w:r w:rsidR="003061CC">
        <w:rPr>
          <w:lang w:val="en-CA"/>
        </w:rPr>
        <w:t>’</w:t>
      </w:r>
      <w:r w:rsidR="001F0760" w:rsidRPr="003F141B">
        <w:rPr>
          <w:lang w:val="en-CA"/>
        </w:rPr>
        <w:t>s certificate</w:t>
      </w:r>
      <w:r w:rsidRPr="003F141B">
        <w:rPr>
          <w:lang w:val="en-CA"/>
        </w:rPr>
        <w:t xml:space="preserve"> was given to the respondent and</w:t>
      </w:r>
      <w:r w:rsidR="001F0760" w:rsidRPr="003F141B">
        <w:rPr>
          <w:lang w:val="en-CA"/>
        </w:rPr>
        <w:t>,</w:t>
      </w:r>
      <w:r w:rsidRPr="003F141B">
        <w:rPr>
          <w:lang w:val="en-CA"/>
        </w:rPr>
        <w:t xml:space="preserve"> at around 12:47 a.m.</w:t>
      </w:r>
      <w:r w:rsidR="001F0760" w:rsidRPr="003F141B">
        <w:rPr>
          <w:lang w:val="en-CA"/>
        </w:rPr>
        <w:t>,</w:t>
      </w:r>
      <w:r w:rsidRPr="003F141B">
        <w:rPr>
          <w:lang w:val="en-CA"/>
        </w:rPr>
        <w:t xml:space="preserve"> he was taken to the cells at the station to await his appearance in court.</w:t>
      </w:r>
    </w:p>
    <w:p w14:paraId="30FE2934" w14:textId="32375989" w:rsidR="009130CA" w:rsidRPr="003F141B" w:rsidRDefault="00125175" w:rsidP="009130CA">
      <w:pPr>
        <w:pStyle w:val="Paragraphe"/>
        <w:spacing w:line="240" w:lineRule="auto"/>
        <w:rPr>
          <w:lang w:val="en-CA"/>
        </w:rPr>
      </w:pPr>
      <w:r w:rsidRPr="003F141B">
        <w:rPr>
          <w:lang w:val="en-CA"/>
        </w:rPr>
        <w:t xml:space="preserve">On October 1, 2019, at the beginning of his trial for impaired driving, obstruction, and operating a motor </w:t>
      </w:r>
      <w:r w:rsidR="00C71BEE" w:rsidRPr="003F141B">
        <w:rPr>
          <w:lang w:val="en-CA"/>
        </w:rPr>
        <w:t>vehicle</w:t>
      </w:r>
      <w:r w:rsidRPr="003F141B">
        <w:rPr>
          <w:lang w:val="en-CA"/>
        </w:rPr>
        <w:t xml:space="preserve"> with a blood </w:t>
      </w:r>
      <w:r w:rsidR="00C71BEE" w:rsidRPr="003F141B">
        <w:rPr>
          <w:lang w:val="en-CA"/>
        </w:rPr>
        <w:t>alcohol</w:t>
      </w:r>
      <w:r w:rsidRPr="003F141B">
        <w:rPr>
          <w:lang w:val="en-CA"/>
        </w:rPr>
        <w:t xml:space="preserve"> level </w:t>
      </w:r>
      <w:r w:rsidR="00A20A27">
        <w:rPr>
          <w:lang w:val="en-CA"/>
        </w:rPr>
        <w:t xml:space="preserve">exceeding </w:t>
      </w:r>
      <w:r w:rsidRPr="003F141B">
        <w:rPr>
          <w:lang w:val="en-CA"/>
        </w:rPr>
        <w:t xml:space="preserve">the legal limit, the respondent presented the </w:t>
      </w:r>
      <w:r w:rsidR="00156FEB" w:rsidRPr="003F141B">
        <w:rPr>
          <w:lang w:val="en-CA"/>
        </w:rPr>
        <w:t xml:space="preserve">application </w:t>
      </w:r>
      <w:r w:rsidR="00C71BEE" w:rsidRPr="003F141B">
        <w:rPr>
          <w:lang w:val="en-CA"/>
        </w:rPr>
        <w:t xml:space="preserve">at issue </w:t>
      </w:r>
      <w:r w:rsidR="00CF6EDB" w:rsidRPr="003F141B">
        <w:rPr>
          <w:lang w:val="en-CA"/>
        </w:rPr>
        <w:t>here</w:t>
      </w:r>
      <w:r w:rsidRPr="003F141B">
        <w:rPr>
          <w:lang w:val="en-CA"/>
        </w:rPr>
        <w:t xml:space="preserve"> to have the results of the breathalyzer tests excluded from the evidence.</w:t>
      </w:r>
      <w:r w:rsidR="00156FEB" w:rsidRPr="003F141B">
        <w:rPr>
          <w:lang w:val="en-CA"/>
        </w:rPr>
        <w:t xml:space="preserve"> H</w:t>
      </w:r>
      <w:r w:rsidRPr="003F141B">
        <w:rPr>
          <w:lang w:val="en-CA"/>
        </w:rPr>
        <w:t>is lawyer confirm</w:t>
      </w:r>
      <w:r w:rsidR="002E6C3D">
        <w:rPr>
          <w:lang w:val="en-CA"/>
        </w:rPr>
        <w:t>ed</w:t>
      </w:r>
      <w:r w:rsidRPr="003F141B">
        <w:rPr>
          <w:lang w:val="en-CA"/>
        </w:rPr>
        <w:t xml:space="preserve"> that these results </w:t>
      </w:r>
      <w:r w:rsidR="002E6C3D">
        <w:rPr>
          <w:lang w:val="en-CA"/>
        </w:rPr>
        <w:t xml:space="preserve">were </w:t>
      </w:r>
      <w:r w:rsidRPr="003F141B">
        <w:rPr>
          <w:lang w:val="en-CA"/>
        </w:rPr>
        <w:t>not contested.</w:t>
      </w:r>
    </w:p>
    <w:p w14:paraId="217F7C2B" w14:textId="276A0FA2" w:rsidR="009130CA" w:rsidRPr="003F141B" w:rsidRDefault="00125175" w:rsidP="009130CA">
      <w:pPr>
        <w:pStyle w:val="Paragraphe"/>
        <w:spacing w:line="240" w:lineRule="auto"/>
        <w:rPr>
          <w:lang w:val="en-CA"/>
        </w:rPr>
      </w:pPr>
      <w:r w:rsidRPr="003F141B">
        <w:rPr>
          <w:lang w:val="en-CA"/>
        </w:rPr>
        <w:t xml:space="preserve">Other than the foregoing concerning the evidence adduced at the </w:t>
      </w:r>
      <w:proofErr w:type="spellStart"/>
      <w:r w:rsidR="002C578D" w:rsidRPr="003F141B">
        <w:rPr>
          <w:i/>
          <w:lang w:val="en-CA"/>
        </w:rPr>
        <w:t>voir</w:t>
      </w:r>
      <w:proofErr w:type="spellEnd"/>
      <w:r w:rsidR="002C578D" w:rsidRPr="003F141B">
        <w:rPr>
          <w:i/>
          <w:lang w:val="en-CA"/>
        </w:rPr>
        <w:t xml:space="preserve"> dire</w:t>
      </w:r>
      <w:r w:rsidRPr="003F141B">
        <w:rPr>
          <w:lang w:val="en-CA"/>
        </w:rPr>
        <w:t>, a reading of the transcript of the hearing reveals that</w:t>
      </w:r>
      <w:r w:rsidR="00156FEB" w:rsidRPr="003F141B">
        <w:rPr>
          <w:lang w:val="en-CA"/>
        </w:rPr>
        <w:t>,</w:t>
      </w:r>
      <w:r w:rsidRPr="003F141B">
        <w:rPr>
          <w:lang w:val="en-CA"/>
        </w:rPr>
        <w:t xml:space="preserve"> after he cross-examined the police officers, counsel for the respondent </w:t>
      </w:r>
      <w:r w:rsidR="00156FEB" w:rsidRPr="003F141B">
        <w:rPr>
          <w:lang w:val="en-CA"/>
        </w:rPr>
        <w:t xml:space="preserve">told </w:t>
      </w:r>
      <w:r w:rsidRPr="003F141B">
        <w:rPr>
          <w:lang w:val="en-CA"/>
        </w:rPr>
        <w:t>the judge that the respondent would testi</w:t>
      </w:r>
      <w:r w:rsidR="00C71BEE" w:rsidRPr="003F141B">
        <w:rPr>
          <w:lang w:val="en-CA"/>
        </w:rPr>
        <w:t xml:space="preserve">fy in support of his </w:t>
      </w:r>
      <w:r w:rsidR="00CF63A0">
        <w:rPr>
          <w:lang w:val="en-CA"/>
        </w:rPr>
        <w:t>application</w:t>
      </w:r>
      <w:r w:rsidR="00C71BEE" w:rsidRPr="003F141B">
        <w:rPr>
          <w:lang w:val="en-CA"/>
        </w:rPr>
        <w:t xml:space="preserve">, </w:t>
      </w:r>
      <w:r w:rsidRPr="003F141B">
        <w:rPr>
          <w:rFonts w:cs="Arial"/>
          <w:lang w:val="en-CA"/>
        </w:rPr>
        <w:t>[</w:t>
      </w:r>
      <w:r w:rsidRPr="003F141B">
        <w:rPr>
          <w:smallCaps/>
          <w:lang w:val="en-CA"/>
        </w:rPr>
        <w:t>translation</w:t>
      </w:r>
      <w:r w:rsidRPr="003F141B">
        <w:rPr>
          <w:rFonts w:cs="Arial"/>
          <w:smallCaps/>
          <w:lang w:val="en-CA"/>
        </w:rPr>
        <w:t>]</w:t>
      </w:r>
      <w:r w:rsidRPr="003F141B">
        <w:rPr>
          <w:lang w:val="en-CA"/>
        </w:rPr>
        <w:t xml:space="preserve"> </w:t>
      </w:r>
      <w:r w:rsidR="00081775">
        <w:rPr>
          <w:lang w:val="en-CA"/>
        </w:rPr>
        <w:t>“</w:t>
      </w:r>
      <w:r w:rsidR="0002585A">
        <w:rPr>
          <w:rFonts w:cs="Arial"/>
        </w:rPr>
        <w:t>[</w:t>
      </w:r>
      <w:r w:rsidR="0002585A" w:rsidRPr="007249A1">
        <w:t>…</w:t>
      </w:r>
      <w:r w:rsidR="0002585A">
        <w:rPr>
          <w:rFonts w:cs="Arial"/>
        </w:rPr>
        <w:t xml:space="preserve">] </w:t>
      </w:r>
      <w:r w:rsidRPr="003F141B">
        <w:rPr>
          <w:lang w:val="en-CA"/>
        </w:rPr>
        <w:t xml:space="preserve">on the part </w:t>
      </w:r>
      <w:r w:rsidR="0002585A">
        <w:rPr>
          <w:rFonts w:cs="Arial"/>
        </w:rPr>
        <w:t>[</w:t>
      </w:r>
      <w:r w:rsidR="0002585A" w:rsidRPr="007249A1">
        <w:t>…</w:t>
      </w:r>
      <w:r w:rsidR="0002585A">
        <w:rPr>
          <w:rFonts w:cs="Arial"/>
        </w:rPr>
        <w:t>]</w:t>
      </w:r>
      <w:r w:rsidRPr="003F141B">
        <w:rPr>
          <w:lang w:val="en-CA"/>
        </w:rPr>
        <w:t xml:space="preserve"> </w:t>
      </w:r>
      <w:r w:rsidR="0002585A">
        <w:rPr>
          <w:lang w:val="en-CA"/>
        </w:rPr>
        <w:t xml:space="preserve">regarding </w:t>
      </w:r>
      <w:r w:rsidRPr="003F141B">
        <w:rPr>
          <w:lang w:val="en-CA"/>
        </w:rPr>
        <w:t>the crunch</w:t>
      </w:r>
      <w:r w:rsidR="00081775">
        <w:rPr>
          <w:lang w:val="en-CA"/>
        </w:rPr>
        <w:t>”</w:t>
      </w:r>
      <w:r w:rsidRPr="003F141B">
        <w:rPr>
          <w:lang w:val="en-CA"/>
        </w:rPr>
        <w:t>, in the words of the lawyer.</w:t>
      </w:r>
      <w:r w:rsidR="005003D8" w:rsidRPr="003F141B">
        <w:rPr>
          <w:lang w:val="en-CA"/>
        </w:rPr>
        <w:t xml:space="preserve"> </w:t>
      </w:r>
      <w:r w:rsidRPr="003F141B">
        <w:rPr>
          <w:lang w:val="en-CA"/>
        </w:rPr>
        <w:t xml:space="preserve">The respondent did not testify, however, and the </w:t>
      </w:r>
      <w:r w:rsidR="00081775">
        <w:rPr>
          <w:lang w:val="en-CA"/>
        </w:rPr>
        <w:t>“</w:t>
      </w:r>
      <w:r w:rsidRPr="003F141B">
        <w:rPr>
          <w:lang w:val="en-CA"/>
        </w:rPr>
        <w:t>hypotheses</w:t>
      </w:r>
      <w:r w:rsidR="00081775">
        <w:rPr>
          <w:lang w:val="en-CA"/>
        </w:rPr>
        <w:t>”</w:t>
      </w:r>
      <w:r w:rsidRPr="003F141B">
        <w:rPr>
          <w:lang w:val="en-CA"/>
        </w:rPr>
        <w:t xml:space="preserve"> </w:t>
      </w:r>
      <w:r w:rsidR="00E42A47" w:rsidRPr="003F141B">
        <w:rPr>
          <w:lang w:val="en-CA"/>
        </w:rPr>
        <w:t xml:space="preserve">raised </w:t>
      </w:r>
      <w:r w:rsidRPr="003F141B">
        <w:rPr>
          <w:lang w:val="en-CA"/>
        </w:rPr>
        <w:t>by the judge remained hypotheses</w:t>
      </w:r>
      <w:r w:rsidR="00E42A47" w:rsidRPr="003F141B">
        <w:rPr>
          <w:lang w:val="en-CA"/>
        </w:rPr>
        <w:t>,</w:t>
      </w:r>
      <w:r w:rsidRPr="003F141B">
        <w:rPr>
          <w:lang w:val="en-CA"/>
        </w:rPr>
        <w:t xml:space="preserve"> and the </w:t>
      </w:r>
      <w:r w:rsidR="00E42A47" w:rsidRPr="003F141B">
        <w:rPr>
          <w:lang w:val="en-CA"/>
        </w:rPr>
        <w:t>police officers</w:t>
      </w:r>
      <w:r w:rsidR="003061CC">
        <w:rPr>
          <w:lang w:val="en-CA"/>
        </w:rPr>
        <w:t>’</w:t>
      </w:r>
      <w:r w:rsidR="00E42A47" w:rsidRPr="003F141B">
        <w:rPr>
          <w:lang w:val="en-CA"/>
        </w:rPr>
        <w:t xml:space="preserve"> </w:t>
      </w:r>
      <w:r w:rsidRPr="003F141B">
        <w:rPr>
          <w:lang w:val="en-CA"/>
        </w:rPr>
        <w:t>version remained uncontradicted.</w:t>
      </w:r>
    </w:p>
    <w:p w14:paraId="32CB5404" w14:textId="77777777" w:rsidR="009130CA" w:rsidRPr="003F141B" w:rsidRDefault="00125175" w:rsidP="00A3031E">
      <w:pPr>
        <w:pStyle w:val="Paragraphe"/>
        <w:keepNext/>
        <w:keepLines/>
        <w:numPr>
          <w:ilvl w:val="0"/>
          <w:numId w:val="21"/>
        </w:numPr>
        <w:spacing w:line="240" w:lineRule="auto"/>
        <w:ind w:left="792"/>
        <w:rPr>
          <w:lang w:val="en-CA"/>
        </w:rPr>
      </w:pPr>
      <w:r w:rsidRPr="003F141B">
        <w:rPr>
          <w:b/>
          <w:lang w:val="en-CA"/>
        </w:rPr>
        <w:lastRenderedPageBreak/>
        <w:t>The judgment under appeal</w:t>
      </w:r>
    </w:p>
    <w:p w14:paraId="3D62E17D" w14:textId="117C2826" w:rsidR="009130CA" w:rsidRPr="003F141B" w:rsidRDefault="00125175" w:rsidP="00A3031E">
      <w:pPr>
        <w:pStyle w:val="Paragraphe"/>
        <w:keepNext/>
        <w:keepLines/>
        <w:spacing w:line="240" w:lineRule="auto"/>
        <w:rPr>
          <w:lang w:val="en-CA"/>
        </w:rPr>
      </w:pPr>
      <w:r w:rsidRPr="003F141B">
        <w:rPr>
          <w:lang w:val="en-CA"/>
        </w:rPr>
        <w:t>After reviewing the evidence, the judge ask</w:t>
      </w:r>
      <w:r w:rsidR="00E42A47" w:rsidRPr="003F141B">
        <w:rPr>
          <w:lang w:val="en-CA"/>
        </w:rPr>
        <w:t>ed</w:t>
      </w:r>
      <w:r w:rsidRPr="003F141B">
        <w:rPr>
          <w:lang w:val="en-CA"/>
        </w:rPr>
        <w:t xml:space="preserve"> the following question:</w:t>
      </w:r>
    </w:p>
    <w:p w14:paraId="21D0B77D" w14:textId="58680878" w:rsidR="00E42A47" w:rsidRPr="003F141B" w:rsidRDefault="00E42A47" w:rsidP="00A3031E">
      <w:pPr>
        <w:pStyle w:val="Citationenretrait"/>
        <w:keepNext/>
        <w:keepLines/>
        <w:spacing w:line="240" w:lineRule="auto"/>
        <w:rPr>
          <w:lang w:val="en-CA"/>
        </w:rPr>
      </w:pPr>
      <w:r w:rsidRPr="003F141B">
        <w:rPr>
          <w:lang w:val="en-CA"/>
        </w:rPr>
        <w:t>[</w:t>
      </w:r>
      <w:r w:rsidRPr="003F141B">
        <w:rPr>
          <w:smallCaps/>
          <w:lang w:val="en-CA"/>
        </w:rPr>
        <w:t>translation</w:t>
      </w:r>
      <w:r w:rsidRPr="003F141B">
        <w:rPr>
          <w:lang w:val="en-CA"/>
        </w:rPr>
        <w:t>]</w:t>
      </w:r>
    </w:p>
    <w:p w14:paraId="15714F8E" w14:textId="0536C92F" w:rsidR="009130CA" w:rsidRPr="003F141B" w:rsidRDefault="00125175" w:rsidP="00040983">
      <w:pPr>
        <w:pStyle w:val="Citationenretrait"/>
        <w:keepNext/>
        <w:spacing w:line="240" w:lineRule="auto"/>
        <w:rPr>
          <w:lang w:val="en-CA"/>
        </w:rPr>
      </w:pPr>
      <w:r w:rsidRPr="003F141B">
        <w:rPr>
          <w:lang w:val="en-CA"/>
        </w:rPr>
        <w:t xml:space="preserve">Now, </w:t>
      </w:r>
      <w:proofErr w:type="gramStart"/>
      <w:r w:rsidR="00D11FE4" w:rsidRPr="003F141B">
        <w:rPr>
          <w:lang w:val="en-CA"/>
        </w:rPr>
        <w:t>was</w:t>
      </w:r>
      <w:r w:rsidRPr="003F141B">
        <w:rPr>
          <w:lang w:val="en-CA"/>
        </w:rPr>
        <w:t xml:space="preserve"> Mr. Blackburn-Laroche actually </w:t>
      </w:r>
      <w:r w:rsidR="00664630" w:rsidRPr="003F141B">
        <w:rPr>
          <w:lang w:val="en-CA"/>
        </w:rPr>
        <w:t>afforded</w:t>
      </w:r>
      <w:proofErr w:type="gramEnd"/>
      <w:r w:rsidRPr="003F141B">
        <w:rPr>
          <w:lang w:val="en-CA"/>
        </w:rPr>
        <w:t xml:space="preserve"> the right to counsel of his choice </w:t>
      </w:r>
      <w:r w:rsidR="00664630" w:rsidRPr="003F141B">
        <w:rPr>
          <w:lang w:val="en-CA"/>
        </w:rPr>
        <w:t>in accordance with</w:t>
      </w:r>
      <w:r w:rsidRPr="003F141B">
        <w:rPr>
          <w:lang w:val="en-CA"/>
        </w:rPr>
        <w:t xml:space="preserve"> </w:t>
      </w:r>
      <w:r w:rsidR="00147C72" w:rsidRPr="003F141B">
        <w:rPr>
          <w:lang w:val="en-CA"/>
        </w:rPr>
        <w:t>s.</w:t>
      </w:r>
      <w:r w:rsidRPr="003F141B">
        <w:rPr>
          <w:lang w:val="en-CA"/>
        </w:rPr>
        <w:t xml:space="preserve"> 10(b)</w:t>
      </w:r>
      <w:r w:rsidR="00664630" w:rsidRPr="003F141B">
        <w:rPr>
          <w:lang w:val="en-CA"/>
        </w:rPr>
        <w:t xml:space="preserve"> of the </w:t>
      </w:r>
      <w:r w:rsidR="00664630" w:rsidRPr="003F141B">
        <w:rPr>
          <w:i/>
          <w:lang w:val="en-CA"/>
        </w:rPr>
        <w:t>Charter</w:t>
      </w:r>
      <w:r w:rsidRPr="003F141B">
        <w:rPr>
          <w:lang w:val="en-CA"/>
        </w:rPr>
        <w:t>?</w:t>
      </w:r>
      <w:r w:rsidR="005003D8" w:rsidRPr="003F141B">
        <w:rPr>
          <w:rStyle w:val="Appelnotedebasdep"/>
          <w:lang w:val="en-CA"/>
        </w:rPr>
        <w:footnoteReference w:id="10"/>
      </w:r>
    </w:p>
    <w:p w14:paraId="3705B794" w14:textId="2AE670A0" w:rsidR="009130CA" w:rsidRPr="003F141B" w:rsidRDefault="00125175" w:rsidP="009130CA">
      <w:pPr>
        <w:pStyle w:val="Paragraphe"/>
        <w:spacing w:line="240" w:lineRule="auto"/>
        <w:rPr>
          <w:lang w:val="en-CA"/>
        </w:rPr>
      </w:pPr>
      <w:r w:rsidRPr="003F141B">
        <w:rPr>
          <w:lang w:val="en-CA"/>
        </w:rPr>
        <w:t xml:space="preserve">The </w:t>
      </w:r>
      <w:r w:rsidR="00370D15">
        <w:rPr>
          <w:lang w:val="en-CA"/>
        </w:rPr>
        <w:t xml:space="preserve">essence </w:t>
      </w:r>
      <w:r w:rsidRPr="003F141B">
        <w:rPr>
          <w:lang w:val="en-CA"/>
        </w:rPr>
        <w:t xml:space="preserve">of her conclusions on this question and on the exclusion of evidence under </w:t>
      </w:r>
      <w:r w:rsidR="00147C72" w:rsidRPr="003F141B">
        <w:rPr>
          <w:lang w:val="en-CA"/>
        </w:rPr>
        <w:t>s.</w:t>
      </w:r>
      <w:r w:rsidRPr="003F141B">
        <w:rPr>
          <w:lang w:val="en-CA"/>
        </w:rPr>
        <w:t xml:space="preserve"> 24(2) are found in the following excerpts </w:t>
      </w:r>
      <w:r w:rsidR="00664630" w:rsidRPr="003F141B">
        <w:rPr>
          <w:lang w:val="en-CA"/>
        </w:rPr>
        <w:t>of</w:t>
      </w:r>
      <w:r w:rsidRPr="003F141B">
        <w:rPr>
          <w:lang w:val="en-CA"/>
        </w:rPr>
        <w:t xml:space="preserve"> her judgment, which </w:t>
      </w:r>
      <w:r w:rsidR="00E42A47" w:rsidRPr="003F141B">
        <w:rPr>
          <w:lang w:val="en-CA"/>
        </w:rPr>
        <w:t>are worth reproducing</w:t>
      </w:r>
      <w:r w:rsidRPr="003F141B">
        <w:rPr>
          <w:lang w:val="en-CA"/>
        </w:rPr>
        <w:t xml:space="preserve"> in full.</w:t>
      </w:r>
      <w:r w:rsidR="005003D8" w:rsidRPr="003F141B">
        <w:rPr>
          <w:lang w:val="en-CA"/>
        </w:rPr>
        <w:t xml:space="preserve"> </w:t>
      </w:r>
      <w:r w:rsidRPr="003F141B">
        <w:rPr>
          <w:lang w:val="en-CA"/>
        </w:rPr>
        <w:t xml:space="preserve">I will </w:t>
      </w:r>
      <w:r w:rsidR="00E42A47" w:rsidRPr="003F141B">
        <w:rPr>
          <w:lang w:val="en-CA"/>
        </w:rPr>
        <w:t xml:space="preserve">present </w:t>
      </w:r>
      <w:r w:rsidRPr="003F141B">
        <w:rPr>
          <w:lang w:val="en-CA"/>
        </w:rPr>
        <w:t>them under my own headings</w:t>
      </w:r>
      <w:r w:rsidR="00664630" w:rsidRPr="003F141B">
        <w:rPr>
          <w:lang w:val="en-CA"/>
        </w:rPr>
        <w:t>,</w:t>
      </w:r>
      <w:r w:rsidRPr="003F141B">
        <w:rPr>
          <w:lang w:val="en-CA"/>
        </w:rPr>
        <w:t xml:space="preserve"> </w:t>
      </w:r>
      <w:r w:rsidR="00664630" w:rsidRPr="003F141B">
        <w:rPr>
          <w:lang w:val="en-CA"/>
        </w:rPr>
        <w:t xml:space="preserve">however, </w:t>
      </w:r>
      <w:r w:rsidRPr="003F141B">
        <w:rPr>
          <w:lang w:val="en-CA"/>
        </w:rPr>
        <w:t>to better distinguish them for the purposes of the analysis that will follow:</w:t>
      </w:r>
    </w:p>
    <w:p w14:paraId="71607D0F" w14:textId="657B7B7F" w:rsidR="009130CA" w:rsidRPr="003F141B" w:rsidRDefault="000E1A69" w:rsidP="009130CA">
      <w:pPr>
        <w:pStyle w:val="Paragraphe"/>
        <w:keepNext/>
        <w:numPr>
          <w:ilvl w:val="0"/>
          <w:numId w:val="20"/>
        </w:numPr>
        <w:spacing w:line="240" w:lineRule="auto"/>
        <w:rPr>
          <w:b/>
          <w:lang w:val="en-CA"/>
        </w:rPr>
      </w:pPr>
      <w:r>
        <w:rPr>
          <w:b/>
          <w:lang w:val="en-CA"/>
        </w:rPr>
        <w:t>V</w:t>
      </w:r>
      <w:r w:rsidR="00125175" w:rsidRPr="003F141B">
        <w:rPr>
          <w:b/>
          <w:lang w:val="en-CA"/>
        </w:rPr>
        <w:t xml:space="preserve">iolation of the </w:t>
      </w:r>
      <w:r w:rsidR="00147C72" w:rsidRPr="003F141B">
        <w:rPr>
          <w:b/>
          <w:lang w:val="en-CA"/>
        </w:rPr>
        <w:t>s.</w:t>
      </w:r>
      <w:r w:rsidR="00125175" w:rsidRPr="003F141B">
        <w:rPr>
          <w:b/>
          <w:lang w:val="en-CA"/>
        </w:rPr>
        <w:t xml:space="preserve"> 10(b) </w:t>
      </w:r>
      <w:r w:rsidR="00125175" w:rsidRPr="003F141B">
        <w:rPr>
          <w:b/>
          <w:i/>
          <w:lang w:val="en-CA"/>
        </w:rPr>
        <w:t>Charter</w:t>
      </w:r>
      <w:r w:rsidR="00125175" w:rsidRPr="003F141B">
        <w:rPr>
          <w:b/>
          <w:lang w:val="en-CA"/>
        </w:rPr>
        <w:t xml:space="preserve"> right</w:t>
      </w:r>
    </w:p>
    <w:p w14:paraId="14092B34" w14:textId="745FC68C" w:rsidR="00B33432" w:rsidRPr="003F141B" w:rsidRDefault="00B33432" w:rsidP="009130CA">
      <w:pPr>
        <w:pStyle w:val="Citationenretrait"/>
        <w:spacing w:line="240" w:lineRule="auto"/>
        <w:rPr>
          <w:lang w:val="en-CA"/>
        </w:rPr>
      </w:pPr>
      <w:r w:rsidRPr="003F141B">
        <w:rPr>
          <w:lang w:val="en-CA"/>
        </w:rPr>
        <w:t>[</w:t>
      </w:r>
      <w:r w:rsidRPr="003F141B">
        <w:rPr>
          <w:smallCaps/>
          <w:lang w:val="en-CA"/>
        </w:rPr>
        <w:t>translation</w:t>
      </w:r>
      <w:r w:rsidRPr="003F141B">
        <w:rPr>
          <w:lang w:val="en-CA"/>
        </w:rPr>
        <w:t>]</w:t>
      </w:r>
    </w:p>
    <w:p w14:paraId="1DAA8F8E" w14:textId="7F45C9E9" w:rsidR="009130CA" w:rsidRPr="003F141B" w:rsidRDefault="00125175" w:rsidP="009130CA">
      <w:pPr>
        <w:pStyle w:val="Citationenretrait"/>
        <w:spacing w:line="240" w:lineRule="auto"/>
        <w:rPr>
          <w:lang w:val="en-CA"/>
        </w:rPr>
      </w:pPr>
      <w:bookmarkStart w:id="8" w:name="_Hlk120779232"/>
      <w:bookmarkStart w:id="9" w:name="_Hlk121294241"/>
      <w:r w:rsidRPr="003F141B">
        <w:rPr>
          <w:lang w:val="en-CA"/>
        </w:rPr>
        <w:t xml:space="preserve">So, here is the situation </w:t>
      </w:r>
      <w:r w:rsidR="00877C0C">
        <w:rPr>
          <w:rFonts w:cs="Arial"/>
        </w:rPr>
        <w:t>[</w:t>
      </w:r>
      <w:r w:rsidR="00877C0C">
        <w:t>…</w:t>
      </w:r>
      <w:r w:rsidR="00877C0C">
        <w:rPr>
          <w:rFonts w:cs="Arial"/>
        </w:rPr>
        <w:t>]</w:t>
      </w:r>
      <w:r w:rsidRPr="003F141B">
        <w:rPr>
          <w:lang w:val="en-CA"/>
        </w:rPr>
        <w:t xml:space="preserve">, </w:t>
      </w:r>
      <w:r w:rsidRPr="003F141B">
        <w:rPr>
          <w:u w:val="single"/>
          <w:lang w:val="en-CA"/>
        </w:rPr>
        <w:t xml:space="preserve">can we </w:t>
      </w:r>
      <w:r w:rsidR="00CB70D8" w:rsidRPr="003F141B">
        <w:rPr>
          <w:u w:val="single"/>
          <w:lang w:val="en-CA"/>
        </w:rPr>
        <w:t xml:space="preserve">say </w:t>
      </w:r>
      <w:r w:rsidRPr="003F141B">
        <w:rPr>
          <w:u w:val="single"/>
          <w:lang w:val="en-CA"/>
        </w:rPr>
        <w:t>today</w:t>
      </w:r>
      <w:r w:rsidR="00664630" w:rsidRPr="003F141B">
        <w:rPr>
          <w:u w:val="single"/>
          <w:lang w:val="en-CA"/>
        </w:rPr>
        <w:t>,</w:t>
      </w:r>
      <w:r w:rsidRPr="003F141B">
        <w:rPr>
          <w:u w:val="single"/>
          <w:lang w:val="en-CA"/>
        </w:rPr>
        <w:t xml:space="preserve"> with the evidence we have</w:t>
      </w:r>
      <w:r w:rsidR="00664630" w:rsidRPr="003F141B">
        <w:rPr>
          <w:u w:val="single"/>
          <w:lang w:val="en-CA"/>
        </w:rPr>
        <w:t>,</w:t>
      </w:r>
      <w:r w:rsidRPr="003F141B">
        <w:rPr>
          <w:u w:val="single"/>
          <w:lang w:val="en-CA"/>
        </w:rPr>
        <w:t xml:space="preserve"> that the lawyers chosen by Mr. Blackburn-Laroche were not available?</w:t>
      </w:r>
      <w:r w:rsidR="005003D8" w:rsidRPr="003F141B">
        <w:rPr>
          <w:u w:val="single"/>
          <w:lang w:val="en-CA"/>
        </w:rPr>
        <w:t xml:space="preserve"> </w:t>
      </w:r>
      <w:r w:rsidRPr="003F141B">
        <w:rPr>
          <w:u w:val="single"/>
          <w:lang w:val="en-CA"/>
        </w:rPr>
        <w:t xml:space="preserve">This is the </w:t>
      </w:r>
      <w:r w:rsidR="00744583">
        <w:rPr>
          <w:u w:val="single"/>
          <w:lang w:val="en-CA"/>
        </w:rPr>
        <w:t>crux of the matter</w:t>
      </w:r>
      <w:r w:rsidRPr="003F141B">
        <w:rPr>
          <w:lang w:val="en-CA"/>
        </w:rPr>
        <w:t>, because all of the evidence boils down to saying that we do not know if those lawyers were available because either no message was left for them, or no attempt was made</w:t>
      </w:r>
      <w:r w:rsidR="009061C9">
        <w:rPr>
          <w:lang w:val="en-CA"/>
        </w:rPr>
        <w:t xml:space="preserve"> to,</w:t>
      </w:r>
      <w:r w:rsidRPr="003F141B">
        <w:rPr>
          <w:lang w:val="en-CA"/>
        </w:rPr>
        <w:t xml:space="preserve"> to reach </w:t>
      </w:r>
      <w:proofErr w:type="spellStart"/>
      <w:r w:rsidRPr="003F141B">
        <w:rPr>
          <w:lang w:val="en-CA"/>
        </w:rPr>
        <w:t>Mtre</w:t>
      </w:r>
      <w:proofErr w:type="spellEnd"/>
      <w:r w:rsidRPr="003F141B">
        <w:rPr>
          <w:lang w:val="en-CA"/>
        </w:rPr>
        <w:t xml:space="preserve"> </w:t>
      </w:r>
      <w:proofErr w:type="spellStart"/>
      <w:r w:rsidRPr="003F141B">
        <w:rPr>
          <w:lang w:val="en-CA"/>
        </w:rPr>
        <w:t>Cantin</w:t>
      </w:r>
      <w:proofErr w:type="spellEnd"/>
      <w:r w:rsidR="00664630" w:rsidRPr="003F141B">
        <w:rPr>
          <w:lang w:val="en-CA"/>
        </w:rPr>
        <w:t>,</w:t>
      </w:r>
      <w:r w:rsidRPr="003F141B">
        <w:rPr>
          <w:lang w:val="en-CA"/>
        </w:rPr>
        <w:t xml:space="preserve"> or no additional attempt</w:t>
      </w:r>
      <w:r w:rsidR="00CB70D8" w:rsidRPr="003F141B">
        <w:rPr>
          <w:lang w:val="en-CA"/>
        </w:rPr>
        <w:t>s were made</w:t>
      </w:r>
      <w:r w:rsidRPr="003F141B">
        <w:rPr>
          <w:lang w:val="en-CA"/>
        </w:rPr>
        <w:t xml:space="preserve"> to try to reach those lawyers</w:t>
      </w:r>
      <w:r w:rsidR="00CB70D8" w:rsidRPr="003F141B">
        <w:rPr>
          <w:lang w:val="en-CA"/>
        </w:rPr>
        <w:t>,</w:t>
      </w:r>
      <w:r w:rsidRPr="003F141B">
        <w:rPr>
          <w:lang w:val="en-CA"/>
        </w:rPr>
        <w:t xml:space="preserve"> even though there were thirty-four (34) minutes until the maximum time limit and the right to counsel of choice</w:t>
      </w:r>
      <w:r w:rsidR="00DC3976" w:rsidRPr="003F141B">
        <w:rPr>
          <w:lang w:val="en-CA"/>
        </w:rPr>
        <w:t xml:space="preserve"> is</w:t>
      </w:r>
      <w:r w:rsidRPr="003F141B">
        <w:rPr>
          <w:lang w:val="en-CA"/>
        </w:rPr>
        <w:t xml:space="preserve"> important, and there</w:t>
      </w:r>
      <w:r w:rsidR="003061CC">
        <w:rPr>
          <w:lang w:val="en-CA"/>
        </w:rPr>
        <w:t>’</w:t>
      </w:r>
      <w:r w:rsidRPr="003F141B">
        <w:rPr>
          <w:lang w:val="en-CA"/>
        </w:rPr>
        <w:t xml:space="preserve">s a reason </w:t>
      </w:r>
      <w:r w:rsidR="001250F6" w:rsidRPr="003F141B">
        <w:rPr>
          <w:lang w:val="en-CA"/>
        </w:rPr>
        <w:t>it</w:t>
      </w:r>
      <w:r w:rsidR="003061CC">
        <w:rPr>
          <w:lang w:val="en-CA"/>
        </w:rPr>
        <w:t>’</w:t>
      </w:r>
      <w:r w:rsidR="001250F6" w:rsidRPr="003F141B">
        <w:rPr>
          <w:lang w:val="en-CA"/>
        </w:rPr>
        <w:t>s</w:t>
      </w:r>
      <w:r w:rsidRPr="003F141B">
        <w:rPr>
          <w:lang w:val="en-CA"/>
        </w:rPr>
        <w:t xml:space="preserve"> in the </w:t>
      </w:r>
      <w:r w:rsidRPr="003F141B">
        <w:rPr>
          <w:i/>
          <w:lang w:val="en-CA"/>
        </w:rPr>
        <w:t>Charter</w:t>
      </w:r>
      <w:r w:rsidR="001250F6" w:rsidRPr="003F141B">
        <w:rPr>
          <w:lang w:val="en-CA"/>
        </w:rPr>
        <w:t>,</w:t>
      </w:r>
      <w:r w:rsidRPr="003F141B">
        <w:rPr>
          <w:lang w:val="en-CA"/>
        </w:rPr>
        <w:t xml:space="preserve"> and </w:t>
      </w:r>
      <w:r w:rsidRPr="003F141B">
        <w:rPr>
          <w:u w:val="single"/>
          <w:lang w:val="en-CA"/>
        </w:rPr>
        <w:t>if we discuss the accused</w:t>
      </w:r>
      <w:r w:rsidR="003061CC">
        <w:rPr>
          <w:u w:val="single"/>
          <w:lang w:val="en-CA"/>
        </w:rPr>
        <w:t>’</w:t>
      </w:r>
      <w:r w:rsidRPr="003F141B">
        <w:rPr>
          <w:u w:val="single"/>
          <w:lang w:val="en-CA"/>
        </w:rPr>
        <w:t xml:space="preserve">s diligence, the accused is detained, </w:t>
      </w:r>
      <w:r w:rsidR="009061C9">
        <w:rPr>
          <w:u w:val="single"/>
          <w:lang w:val="en-CA"/>
        </w:rPr>
        <w:t xml:space="preserve">so </w:t>
      </w:r>
      <w:r w:rsidRPr="003F141B">
        <w:rPr>
          <w:u w:val="single"/>
          <w:lang w:val="en-CA"/>
        </w:rPr>
        <w:t>his diligence</w:t>
      </w:r>
      <w:r w:rsidR="009061C9">
        <w:rPr>
          <w:u w:val="single"/>
          <w:lang w:val="en-CA"/>
        </w:rPr>
        <w:t>, where does it</w:t>
      </w:r>
      <w:r w:rsidRPr="003F141B">
        <w:rPr>
          <w:u w:val="single"/>
          <w:lang w:val="en-CA"/>
        </w:rPr>
        <w:t xml:space="preserve"> end</w:t>
      </w:r>
      <w:r w:rsidR="009061C9">
        <w:rPr>
          <w:u w:val="single"/>
          <w:lang w:val="en-CA"/>
        </w:rPr>
        <w:t>,</w:t>
      </w:r>
      <w:r w:rsidRPr="003F141B">
        <w:rPr>
          <w:u w:val="single"/>
          <w:lang w:val="en-CA"/>
        </w:rPr>
        <w:t xml:space="preserve"> where does it start</w:t>
      </w:r>
      <w:r w:rsidRPr="003F141B">
        <w:rPr>
          <w:lang w:val="en-CA"/>
        </w:rPr>
        <w:t>?</w:t>
      </w:r>
      <w:r w:rsidR="005003D8" w:rsidRPr="003F141B">
        <w:rPr>
          <w:lang w:val="en-CA"/>
        </w:rPr>
        <w:t xml:space="preserve"> </w:t>
      </w:r>
      <w:r w:rsidRPr="003F141B">
        <w:rPr>
          <w:lang w:val="en-CA"/>
        </w:rPr>
        <w:t>He is subject to what the police officers do.</w:t>
      </w:r>
    </w:p>
    <w:p w14:paraId="3351EBAA" w14:textId="335FE55C" w:rsidR="009130CA" w:rsidRPr="003F141B" w:rsidRDefault="00AB4A83" w:rsidP="009130CA">
      <w:pPr>
        <w:pStyle w:val="Citationenretrait"/>
        <w:spacing w:line="240" w:lineRule="auto"/>
        <w:rPr>
          <w:lang w:val="en-CA"/>
        </w:rPr>
      </w:pPr>
      <w:r>
        <w:t>[…]</w:t>
      </w:r>
    </w:p>
    <w:bookmarkEnd w:id="8"/>
    <w:p w14:paraId="68CAB19F" w14:textId="0BF13AFF" w:rsidR="009130CA" w:rsidRPr="003F141B" w:rsidRDefault="00950702" w:rsidP="009130CA">
      <w:pPr>
        <w:pStyle w:val="Citationenretrait"/>
        <w:spacing w:line="240" w:lineRule="auto"/>
        <w:rPr>
          <w:lang w:val="en-CA"/>
        </w:rPr>
      </w:pPr>
      <w:r>
        <w:t>[…]</w:t>
      </w:r>
      <w:r w:rsidR="00125175" w:rsidRPr="003F141B">
        <w:rPr>
          <w:lang w:val="en-CA"/>
        </w:rPr>
        <w:t xml:space="preserve"> </w:t>
      </w:r>
      <w:r w:rsidR="00125175" w:rsidRPr="003F141B">
        <w:rPr>
          <w:u w:val="single"/>
          <w:lang w:val="en-CA"/>
        </w:rPr>
        <w:t xml:space="preserve">and </w:t>
      </w:r>
      <w:r w:rsidR="001250F6" w:rsidRPr="003F141B">
        <w:rPr>
          <w:u w:val="single"/>
          <w:lang w:val="en-CA"/>
        </w:rPr>
        <w:t>I</w:t>
      </w:r>
      <w:r w:rsidR="003061CC">
        <w:rPr>
          <w:u w:val="single"/>
          <w:lang w:val="en-CA"/>
        </w:rPr>
        <w:t>’</w:t>
      </w:r>
      <w:r w:rsidR="001250F6" w:rsidRPr="003F141B">
        <w:rPr>
          <w:u w:val="single"/>
          <w:lang w:val="en-CA"/>
        </w:rPr>
        <w:t>m</w:t>
      </w:r>
      <w:r w:rsidR="00125175" w:rsidRPr="003F141B">
        <w:rPr>
          <w:u w:val="single"/>
          <w:lang w:val="en-CA"/>
        </w:rPr>
        <w:t xml:space="preserve"> not saying that the police officers were in bad faith</w:t>
      </w:r>
      <w:r w:rsidR="00125175" w:rsidRPr="003F141B">
        <w:rPr>
          <w:lang w:val="en-CA"/>
        </w:rPr>
        <w:t xml:space="preserve">, what </w:t>
      </w:r>
      <w:r w:rsidR="001250F6" w:rsidRPr="003F141B">
        <w:rPr>
          <w:lang w:val="en-CA"/>
        </w:rPr>
        <w:t>I</w:t>
      </w:r>
      <w:r w:rsidR="003061CC">
        <w:rPr>
          <w:lang w:val="en-CA"/>
        </w:rPr>
        <w:t>’</w:t>
      </w:r>
      <w:r w:rsidR="001250F6" w:rsidRPr="003F141B">
        <w:rPr>
          <w:lang w:val="en-CA"/>
        </w:rPr>
        <w:t>m</w:t>
      </w:r>
      <w:r w:rsidR="00125175" w:rsidRPr="003F141B">
        <w:rPr>
          <w:lang w:val="en-CA"/>
        </w:rPr>
        <w:t xml:space="preserve"> saying </w:t>
      </w:r>
      <w:r w:rsidR="00DC3976" w:rsidRPr="003F141B">
        <w:rPr>
          <w:lang w:val="en-CA"/>
        </w:rPr>
        <w:t xml:space="preserve">is that the police officers acted </w:t>
      </w:r>
      <w:r>
        <w:rPr>
          <w:lang w:val="en-CA"/>
        </w:rPr>
        <w:t xml:space="preserve">much </w:t>
      </w:r>
      <w:r w:rsidR="001250F6" w:rsidRPr="003F141B">
        <w:rPr>
          <w:lang w:val="en-CA"/>
        </w:rPr>
        <w:t xml:space="preserve">more </w:t>
      </w:r>
      <w:r w:rsidR="00DC3976" w:rsidRPr="003F141B">
        <w:rPr>
          <w:lang w:val="en-CA"/>
        </w:rPr>
        <w:t>out of habit</w:t>
      </w:r>
      <w:r w:rsidR="00125175" w:rsidRPr="003F141B">
        <w:rPr>
          <w:lang w:val="en-CA"/>
        </w:rPr>
        <w:t xml:space="preserve">, they </w:t>
      </w:r>
      <w:r w:rsidR="001250F6" w:rsidRPr="003F141B">
        <w:rPr>
          <w:lang w:val="en-CA"/>
        </w:rPr>
        <w:t xml:space="preserve">told </w:t>
      </w:r>
      <w:r w:rsidR="00125175" w:rsidRPr="003F141B">
        <w:rPr>
          <w:lang w:val="en-CA"/>
        </w:rPr>
        <w:t xml:space="preserve">themselves that he has the right to counsel of choice, he is saying he wants </w:t>
      </w:r>
      <w:proofErr w:type="spellStart"/>
      <w:r w:rsidR="00125175" w:rsidRPr="003F141B">
        <w:rPr>
          <w:lang w:val="en-CA"/>
        </w:rPr>
        <w:t>Mtre</w:t>
      </w:r>
      <w:proofErr w:type="spellEnd"/>
      <w:r w:rsidR="00125175" w:rsidRPr="003F141B">
        <w:rPr>
          <w:lang w:val="en-CA"/>
        </w:rPr>
        <w:t xml:space="preserve"> </w:t>
      </w:r>
      <w:proofErr w:type="spellStart"/>
      <w:r w:rsidR="00125175" w:rsidRPr="003F141B">
        <w:rPr>
          <w:lang w:val="en-CA"/>
        </w:rPr>
        <w:t>Cantin</w:t>
      </w:r>
      <w:proofErr w:type="spellEnd"/>
      <w:r w:rsidR="00125175" w:rsidRPr="003F141B">
        <w:rPr>
          <w:lang w:val="en-CA"/>
        </w:rPr>
        <w:t xml:space="preserve">, </w:t>
      </w:r>
      <w:proofErr w:type="spellStart"/>
      <w:r w:rsidR="00125175" w:rsidRPr="003F141B">
        <w:rPr>
          <w:lang w:val="en-CA"/>
        </w:rPr>
        <w:t>Mtre</w:t>
      </w:r>
      <w:proofErr w:type="spellEnd"/>
      <w:r w:rsidR="00125175" w:rsidRPr="003F141B">
        <w:rPr>
          <w:lang w:val="en-CA"/>
        </w:rPr>
        <w:t xml:space="preserve"> </w:t>
      </w:r>
      <w:proofErr w:type="spellStart"/>
      <w:r w:rsidR="00125175" w:rsidRPr="003F141B">
        <w:rPr>
          <w:lang w:val="en-CA"/>
        </w:rPr>
        <w:t>Boulianne</w:t>
      </w:r>
      <w:proofErr w:type="spellEnd"/>
      <w:r w:rsidR="00125175" w:rsidRPr="003F141B">
        <w:rPr>
          <w:lang w:val="en-CA"/>
        </w:rPr>
        <w:t xml:space="preserve">, </w:t>
      </w:r>
      <w:r w:rsidR="00125175" w:rsidRPr="003F141B">
        <w:rPr>
          <w:u w:val="single"/>
          <w:lang w:val="en-CA"/>
        </w:rPr>
        <w:t xml:space="preserve">we call </w:t>
      </w:r>
      <w:proofErr w:type="spellStart"/>
      <w:r w:rsidR="00125175" w:rsidRPr="003F141B">
        <w:rPr>
          <w:u w:val="single"/>
          <w:lang w:val="en-CA"/>
        </w:rPr>
        <w:t>Mtre</w:t>
      </w:r>
      <w:proofErr w:type="spellEnd"/>
      <w:r w:rsidR="00125175" w:rsidRPr="003F141B">
        <w:rPr>
          <w:u w:val="single"/>
          <w:lang w:val="en-CA"/>
        </w:rPr>
        <w:t xml:space="preserve"> </w:t>
      </w:r>
      <w:proofErr w:type="spellStart"/>
      <w:r w:rsidR="00125175" w:rsidRPr="003F141B">
        <w:rPr>
          <w:u w:val="single"/>
          <w:lang w:val="en-CA"/>
        </w:rPr>
        <w:t>Boulianne</w:t>
      </w:r>
      <w:proofErr w:type="spellEnd"/>
      <w:r w:rsidR="00125175" w:rsidRPr="003F141B">
        <w:rPr>
          <w:u w:val="single"/>
          <w:lang w:val="en-CA"/>
        </w:rPr>
        <w:t xml:space="preserve">, </w:t>
      </w:r>
      <w:r w:rsidR="001250F6" w:rsidRPr="003F141B">
        <w:rPr>
          <w:u w:val="single"/>
          <w:lang w:val="en-CA"/>
        </w:rPr>
        <w:t>can</w:t>
      </w:r>
      <w:r w:rsidR="003061CC">
        <w:rPr>
          <w:u w:val="single"/>
          <w:lang w:val="en-CA"/>
        </w:rPr>
        <w:t>’</w:t>
      </w:r>
      <w:r w:rsidR="001250F6" w:rsidRPr="003F141B">
        <w:rPr>
          <w:u w:val="single"/>
          <w:lang w:val="en-CA"/>
        </w:rPr>
        <w:t xml:space="preserve">t </w:t>
      </w:r>
      <w:r w:rsidR="00125175" w:rsidRPr="003F141B">
        <w:rPr>
          <w:u w:val="single"/>
          <w:lang w:val="en-CA"/>
        </w:rPr>
        <w:t xml:space="preserve">reach him, we </w:t>
      </w:r>
      <w:r w:rsidR="001250F6" w:rsidRPr="003F141B">
        <w:rPr>
          <w:u w:val="single"/>
          <w:lang w:val="en-CA"/>
        </w:rPr>
        <w:t>don</w:t>
      </w:r>
      <w:r w:rsidR="003061CC">
        <w:rPr>
          <w:u w:val="single"/>
          <w:lang w:val="en-CA"/>
        </w:rPr>
        <w:t>’</w:t>
      </w:r>
      <w:r w:rsidR="001250F6" w:rsidRPr="003F141B">
        <w:rPr>
          <w:u w:val="single"/>
          <w:lang w:val="en-CA"/>
        </w:rPr>
        <w:t xml:space="preserve">t </w:t>
      </w:r>
      <w:r w:rsidR="00125175" w:rsidRPr="003F141B">
        <w:rPr>
          <w:u w:val="single"/>
          <w:lang w:val="en-CA"/>
        </w:rPr>
        <w:t xml:space="preserve">call </w:t>
      </w:r>
      <w:proofErr w:type="spellStart"/>
      <w:r w:rsidR="00125175" w:rsidRPr="003F141B">
        <w:rPr>
          <w:u w:val="single"/>
          <w:lang w:val="en-CA"/>
        </w:rPr>
        <w:t>Mtre</w:t>
      </w:r>
      <w:proofErr w:type="spellEnd"/>
      <w:r w:rsidR="00125175" w:rsidRPr="003F141B">
        <w:rPr>
          <w:u w:val="single"/>
          <w:lang w:val="en-CA"/>
        </w:rPr>
        <w:t xml:space="preserve"> </w:t>
      </w:r>
      <w:proofErr w:type="spellStart"/>
      <w:r w:rsidR="00125175" w:rsidRPr="003F141B">
        <w:rPr>
          <w:u w:val="single"/>
          <w:lang w:val="en-CA"/>
        </w:rPr>
        <w:t>Cantin</w:t>
      </w:r>
      <w:proofErr w:type="spellEnd"/>
      <w:r w:rsidR="00125175" w:rsidRPr="003F141B">
        <w:rPr>
          <w:u w:val="single"/>
          <w:lang w:val="en-CA"/>
        </w:rPr>
        <w:t xml:space="preserve"> because we called the general emergency number</w:t>
      </w:r>
      <w:r w:rsidR="00125175" w:rsidRPr="003F141B">
        <w:rPr>
          <w:lang w:val="en-CA"/>
        </w:rPr>
        <w:t>, so that</w:t>
      </w:r>
      <w:r w:rsidR="003061CC">
        <w:rPr>
          <w:lang w:val="en-CA"/>
        </w:rPr>
        <w:t>’</w:t>
      </w:r>
      <w:r w:rsidR="001250F6" w:rsidRPr="003F141B">
        <w:rPr>
          <w:lang w:val="en-CA"/>
        </w:rPr>
        <w:t>s</w:t>
      </w:r>
      <w:r w:rsidR="00125175" w:rsidRPr="003F141B">
        <w:rPr>
          <w:lang w:val="en-CA"/>
        </w:rPr>
        <w:t xml:space="preserve"> enough, it</w:t>
      </w:r>
      <w:r w:rsidR="003061CC">
        <w:rPr>
          <w:lang w:val="en-CA"/>
        </w:rPr>
        <w:t>’</w:t>
      </w:r>
      <w:r w:rsidR="001250F6" w:rsidRPr="003F141B">
        <w:rPr>
          <w:lang w:val="en-CA"/>
        </w:rPr>
        <w:t>s</w:t>
      </w:r>
      <w:r w:rsidR="00125175" w:rsidRPr="003F141B">
        <w:rPr>
          <w:lang w:val="en-CA"/>
        </w:rPr>
        <w:t xml:space="preserve"> been two (2) minutes, </w:t>
      </w:r>
      <w:r w:rsidR="00125175" w:rsidRPr="003F141B">
        <w:rPr>
          <w:u w:val="single"/>
          <w:lang w:val="en-CA"/>
        </w:rPr>
        <w:t xml:space="preserve">we </w:t>
      </w:r>
      <w:r w:rsidR="001250F6" w:rsidRPr="003F141B">
        <w:rPr>
          <w:u w:val="single"/>
          <w:lang w:val="en-CA"/>
        </w:rPr>
        <w:t xml:space="preserve">made no </w:t>
      </w:r>
      <w:r w:rsidR="00125175" w:rsidRPr="003F141B">
        <w:rPr>
          <w:u w:val="single"/>
          <w:lang w:val="en-CA"/>
        </w:rPr>
        <w:t xml:space="preserve">further </w:t>
      </w:r>
      <w:r w:rsidR="00593F6B" w:rsidRPr="003F141B">
        <w:rPr>
          <w:u w:val="single"/>
          <w:lang w:val="en-CA"/>
        </w:rPr>
        <w:t>attempts</w:t>
      </w:r>
      <w:r w:rsidR="001250F6" w:rsidRPr="003F141B">
        <w:rPr>
          <w:u w:val="single"/>
          <w:lang w:val="en-CA"/>
        </w:rPr>
        <w:t>,</w:t>
      </w:r>
      <w:r w:rsidR="00593F6B" w:rsidRPr="003F141B">
        <w:rPr>
          <w:u w:val="single"/>
          <w:lang w:val="en-CA"/>
        </w:rPr>
        <w:t xml:space="preserve"> </w:t>
      </w:r>
      <w:r>
        <w:rPr>
          <w:u w:val="single"/>
          <w:lang w:val="en-CA"/>
        </w:rPr>
        <w:t>we didn</w:t>
      </w:r>
      <w:r w:rsidR="003061CC">
        <w:rPr>
          <w:u w:val="single"/>
          <w:lang w:val="en-CA"/>
        </w:rPr>
        <w:t>’</w:t>
      </w:r>
      <w:r>
        <w:rPr>
          <w:u w:val="single"/>
          <w:lang w:val="en-CA"/>
        </w:rPr>
        <w:t xml:space="preserve">t look into it more </w:t>
      </w:r>
      <w:r w:rsidR="00125175" w:rsidRPr="003F141B">
        <w:rPr>
          <w:u w:val="single"/>
          <w:lang w:val="en-CA"/>
        </w:rPr>
        <w:t>and we immediately offered him a different lawyer</w:t>
      </w:r>
      <w:r w:rsidR="00125175" w:rsidRPr="003F141B">
        <w:rPr>
          <w:lang w:val="en-CA"/>
        </w:rPr>
        <w:t xml:space="preserve"> </w:t>
      </w:r>
      <w:r w:rsidR="00B942C4" w:rsidRPr="003F141B">
        <w:rPr>
          <w:lang w:val="en-CA"/>
        </w:rPr>
        <w:t>and</w:t>
      </w:r>
      <w:r w:rsidR="00125175" w:rsidRPr="003F141B">
        <w:rPr>
          <w:lang w:val="en-CA"/>
        </w:rPr>
        <w:t xml:space="preserve"> because he accepted a different lawyer </w:t>
      </w:r>
      <w:r w:rsidR="001250F6" w:rsidRPr="003F141B">
        <w:rPr>
          <w:lang w:val="en-CA"/>
        </w:rPr>
        <w:t xml:space="preserve">in a </w:t>
      </w:r>
      <w:r w:rsidR="00125175" w:rsidRPr="003F141B">
        <w:rPr>
          <w:lang w:val="en-CA"/>
        </w:rPr>
        <w:t>situation</w:t>
      </w:r>
      <w:r>
        <w:rPr>
          <w:lang w:val="en-CA"/>
        </w:rPr>
        <w:t xml:space="preserve"> where</w:t>
      </w:r>
      <w:r w:rsidR="00B942C4" w:rsidRPr="003F141B">
        <w:rPr>
          <w:lang w:val="en-CA"/>
        </w:rPr>
        <w:t>,</w:t>
      </w:r>
      <w:r w:rsidR="001250F6" w:rsidRPr="003F141B">
        <w:rPr>
          <w:lang w:val="en-CA"/>
        </w:rPr>
        <w:t xml:space="preserve"> where</w:t>
      </w:r>
      <w:r w:rsidR="00B942C4" w:rsidRPr="003F141B">
        <w:rPr>
          <w:lang w:val="en-CA"/>
        </w:rPr>
        <w:t xml:space="preserve"> he was in</w:t>
      </w:r>
      <w:r w:rsidR="00125175" w:rsidRPr="003F141B">
        <w:rPr>
          <w:lang w:val="en-CA"/>
        </w:rPr>
        <w:t xml:space="preserve"> a precarious situation, I </w:t>
      </w:r>
      <w:r w:rsidR="00593F6B" w:rsidRPr="003F141B">
        <w:rPr>
          <w:lang w:val="en-CA"/>
        </w:rPr>
        <w:t>repeat</w:t>
      </w:r>
      <w:r w:rsidR="00125175" w:rsidRPr="003F141B">
        <w:rPr>
          <w:lang w:val="en-CA"/>
        </w:rPr>
        <w:t xml:space="preserve">, he was arrested for impaired driving, </w:t>
      </w:r>
      <w:r w:rsidR="00D77E93">
        <w:rPr>
          <w:lang w:val="en-CA"/>
        </w:rPr>
        <w:t xml:space="preserve">he was arrested for </w:t>
      </w:r>
      <w:r w:rsidR="00125175" w:rsidRPr="003F141B">
        <w:rPr>
          <w:lang w:val="en-CA"/>
        </w:rPr>
        <w:t>obstruction</w:t>
      </w:r>
      <w:r w:rsidR="001250F6" w:rsidRPr="003F141B">
        <w:rPr>
          <w:lang w:val="en-CA"/>
        </w:rPr>
        <w:t>,</w:t>
      </w:r>
      <w:r w:rsidR="00125175" w:rsidRPr="003F141B">
        <w:rPr>
          <w:lang w:val="en-CA"/>
        </w:rPr>
        <w:t xml:space="preserve"> and </w:t>
      </w:r>
      <w:r w:rsidR="00D77E93">
        <w:rPr>
          <w:lang w:val="en-CA"/>
        </w:rPr>
        <w:t xml:space="preserve">he was arrested for </w:t>
      </w:r>
      <w:r w:rsidR="00125175" w:rsidRPr="003F141B">
        <w:rPr>
          <w:lang w:val="en-CA"/>
        </w:rPr>
        <w:t xml:space="preserve">breach of </w:t>
      </w:r>
      <w:r w:rsidR="00DC3976" w:rsidRPr="003F141B">
        <w:rPr>
          <w:lang w:val="en-CA"/>
        </w:rPr>
        <w:t xml:space="preserve">an </w:t>
      </w:r>
      <w:r w:rsidR="00125175" w:rsidRPr="003F141B">
        <w:rPr>
          <w:lang w:val="en-CA"/>
        </w:rPr>
        <w:t>undertaking, he was detained</w:t>
      </w:r>
      <w:r w:rsidR="001250F6" w:rsidRPr="003F141B">
        <w:rPr>
          <w:lang w:val="en-CA"/>
        </w:rPr>
        <w:t>,</w:t>
      </w:r>
      <w:r w:rsidR="00125175" w:rsidRPr="003F141B">
        <w:rPr>
          <w:lang w:val="en-CA"/>
        </w:rPr>
        <w:t xml:space="preserve"> </w:t>
      </w:r>
      <w:r w:rsidR="00125175" w:rsidRPr="003F141B">
        <w:rPr>
          <w:u w:val="single"/>
          <w:lang w:val="en-CA"/>
        </w:rPr>
        <w:t xml:space="preserve">and because of that, because he </w:t>
      </w:r>
      <w:r w:rsidR="001250F6" w:rsidRPr="003F141B">
        <w:rPr>
          <w:u w:val="single"/>
          <w:lang w:val="en-CA"/>
        </w:rPr>
        <w:t xml:space="preserve">agreed </w:t>
      </w:r>
      <w:r w:rsidR="00125175" w:rsidRPr="003F141B">
        <w:rPr>
          <w:u w:val="single"/>
          <w:lang w:val="en-CA"/>
        </w:rPr>
        <w:t xml:space="preserve">to call a legal aid lawyer, his right to counsel </w:t>
      </w:r>
      <w:r w:rsidR="00D77E93">
        <w:rPr>
          <w:u w:val="single"/>
          <w:lang w:val="en-CA"/>
        </w:rPr>
        <w:t xml:space="preserve">was </w:t>
      </w:r>
      <w:r w:rsidR="008A11BE">
        <w:rPr>
          <w:u w:val="single"/>
          <w:lang w:val="en-CA"/>
        </w:rPr>
        <w:t xml:space="preserve">supposedly </w:t>
      </w:r>
      <w:r w:rsidR="00125175" w:rsidRPr="003F141B">
        <w:rPr>
          <w:u w:val="single"/>
          <w:lang w:val="en-CA"/>
        </w:rPr>
        <w:t>respected?</w:t>
      </w:r>
      <w:r w:rsidR="005003D8" w:rsidRPr="003F141B">
        <w:rPr>
          <w:lang w:val="en-CA"/>
        </w:rPr>
        <w:t xml:space="preserve"> </w:t>
      </w:r>
      <w:r w:rsidR="002A11A8">
        <w:rPr>
          <w:lang w:val="en-CA"/>
        </w:rPr>
        <w:t>I, I cannot, i</w:t>
      </w:r>
      <w:r w:rsidR="00125175" w:rsidRPr="003F141B">
        <w:rPr>
          <w:lang w:val="en-CA"/>
        </w:rPr>
        <w:t>n this situation, I cannot accept the prosecution</w:t>
      </w:r>
      <w:r w:rsidR="003061CC">
        <w:rPr>
          <w:lang w:val="en-CA"/>
        </w:rPr>
        <w:t>’</w:t>
      </w:r>
      <w:r w:rsidR="00125175" w:rsidRPr="003F141B">
        <w:rPr>
          <w:lang w:val="en-CA"/>
        </w:rPr>
        <w:t>s theory</w:t>
      </w:r>
      <w:bookmarkStart w:id="10" w:name="_Hlk120779511"/>
      <w:r w:rsidR="0035088E" w:rsidRPr="003F141B">
        <w:rPr>
          <w:lang w:val="en-CA"/>
        </w:rPr>
        <w:t>.</w:t>
      </w:r>
      <w:r w:rsidR="00125175" w:rsidRPr="003F141B">
        <w:rPr>
          <w:lang w:val="en-CA"/>
        </w:rPr>
        <w:t xml:space="preserve"> </w:t>
      </w:r>
      <w:r w:rsidR="00125175" w:rsidRPr="003F141B">
        <w:rPr>
          <w:u w:val="single"/>
          <w:lang w:val="en-CA"/>
        </w:rPr>
        <w:t xml:space="preserve">I </w:t>
      </w:r>
      <w:r w:rsidR="0035088E" w:rsidRPr="003F141B">
        <w:rPr>
          <w:u w:val="single"/>
          <w:lang w:val="en-CA"/>
        </w:rPr>
        <w:t xml:space="preserve">find </w:t>
      </w:r>
      <w:r w:rsidR="00125175" w:rsidRPr="003F141B">
        <w:rPr>
          <w:u w:val="single"/>
          <w:lang w:val="en-CA"/>
        </w:rPr>
        <w:t xml:space="preserve">that indeed, once the lawyers, we </w:t>
      </w:r>
      <w:r w:rsidR="0035088E" w:rsidRPr="003F141B">
        <w:rPr>
          <w:u w:val="single"/>
          <w:lang w:val="en-CA"/>
        </w:rPr>
        <w:t>can</w:t>
      </w:r>
      <w:r w:rsidR="003061CC">
        <w:rPr>
          <w:u w:val="single"/>
          <w:lang w:val="en-CA"/>
        </w:rPr>
        <w:t>’</w:t>
      </w:r>
      <w:r w:rsidR="0035088E" w:rsidRPr="003F141B">
        <w:rPr>
          <w:u w:val="single"/>
          <w:lang w:val="en-CA"/>
        </w:rPr>
        <w:t xml:space="preserve">t </w:t>
      </w:r>
      <w:r w:rsidR="00125175" w:rsidRPr="003F141B">
        <w:rPr>
          <w:u w:val="single"/>
          <w:lang w:val="en-CA"/>
        </w:rPr>
        <w:t xml:space="preserve">conclude that they </w:t>
      </w:r>
      <w:r w:rsidR="00734A94" w:rsidRPr="003F141B">
        <w:rPr>
          <w:u w:val="single"/>
          <w:lang w:val="en-CA"/>
        </w:rPr>
        <w:t>weren</w:t>
      </w:r>
      <w:r w:rsidR="003061CC">
        <w:rPr>
          <w:u w:val="single"/>
          <w:lang w:val="en-CA"/>
        </w:rPr>
        <w:t>’</w:t>
      </w:r>
      <w:r w:rsidR="00734A94" w:rsidRPr="003F141B">
        <w:rPr>
          <w:u w:val="single"/>
          <w:lang w:val="en-CA"/>
        </w:rPr>
        <w:t>t</w:t>
      </w:r>
      <w:r w:rsidR="00125175" w:rsidRPr="003F141B">
        <w:rPr>
          <w:u w:val="single"/>
          <w:lang w:val="en-CA"/>
        </w:rPr>
        <w:t xml:space="preserve"> available</w:t>
      </w:r>
      <w:r w:rsidR="00125175" w:rsidRPr="003F141B">
        <w:rPr>
          <w:lang w:val="en-CA"/>
        </w:rPr>
        <w:t xml:space="preserve">, and that is what I cannot do today, </w:t>
      </w:r>
      <w:r w:rsidR="00125175" w:rsidRPr="003F141B">
        <w:rPr>
          <w:u w:val="single"/>
          <w:lang w:val="en-CA"/>
        </w:rPr>
        <w:t>I cannot conclude that because the search was not exhaustive enough, not significant enough, the required efforts were not made</w:t>
      </w:r>
      <w:r w:rsidR="0035088E" w:rsidRPr="003F141B">
        <w:rPr>
          <w:u w:val="single"/>
          <w:lang w:val="en-CA"/>
        </w:rPr>
        <w:t>,</w:t>
      </w:r>
      <w:r w:rsidR="00125175" w:rsidRPr="003F141B">
        <w:rPr>
          <w:u w:val="single"/>
          <w:lang w:val="en-CA"/>
        </w:rPr>
        <w:t xml:space="preserve"> and from that moment on, I </w:t>
      </w:r>
      <w:r w:rsidR="0035088E" w:rsidRPr="003F141B">
        <w:rPr>
          <w:u w:val="single"/>
          <w:lang w:val="en-CA"/>
        </w:rPr>
        <w:t xml:space="preserve">find </w:t>
      </w:r>
      <w:r w:rsidR="00125175" w:rsidRPr="003F141B">
        <w:rPr>
          <w:u w:val="single"/>
          <w:lang w:val="en-CA"/>
        </w:rPr>
        <w:t xml:space="preserve">that indeed the accused </w:t>
      </w:r>
      <w:r w:rsidR="0035088E" w:rsidRPr="003F141B">
        <w:rPr>
          <w:u w:val="single"/>
          <w:lang w:val="en-CA"/>
        </w:rPr>
        <w:t>was not given</w:t>
      </w:r>
      <w:r w:rsidR="00125175" w:rsidRPr="003F141B">
        <w:rPr>
          <w:u w:val="single"/>
          <w:lang w:val="en-CA"/>
        </w:rPr>
        <w:t xml:space="preserve"> the right to </w:t>
      </w:r>
      <w:r w:rsidR="00125175" w:rsidRPr="003F141B">
        <w:rPr>
          <w:u w:val="single"/>
          <w:lang w:val="en-CA"/>
        </w:rPr>
        <w:lastRenderedPageBreak/>
        <w:t>counsel of his choice and that the police officers</w:t>
      </w:r>
      <w:r w:rsidR="003061CC">
        <w:rPr>
          <w:u w:val="single"/>
          <w:lang w:val="en-CA"/>
        </w:rPr>
        <w:t>’</w:t>
      </w:r>
      <w:r w:rsidR="00125175" w:rsidRPr="003F141B">
        <w:rPr>
          <w:u w:val="single"/>
          <w:lang w:val="en-CA"/>
        </w:rPr>
        <w:t xml:space="preserve"> efforts, </w:t>
      </w:r>
      <w:r w:rsidR="0035088E" w:rsidRPr="003F141B">
        <w:rPr>
          <w:u w:val="single"/>
          <w:lang w:val="en-CA"/>
        </w:rPr>
        <w:t xml:space="preserve">although </w:t>
      </w:r>
      <w:r w:rsidR="00125175" w:rsidRPr="003F141B">
        <w:rPr>
          <w:u w:val="single"/>
          <w:lang w:val="en-CA"/>
        </w:rPr>
        <w:t>probably in good faith, were clearly insufficient to meet the c</w:t>
      </w:r>
      <w:r w:rsidR="00D47E76" w:rsidRPr="003F141B">
        <w:rPr>
          <w:u w:val="single"/>
          <w:lang w:val="en-CA"/>
        </w:rPr>
        <w:t xml:space="preserve">riteria of </w:t>
      </w:r>
      <w:r w:rsidR="00147C72" w:rsidRPr="003F141B">
        <w:rPr>
          <w:u w:val="single"/>
          <w:lang w:val="en-CA"/>
        </w:rPr>
        <w:t>s</w:t>
      </w:r>
      <w:r w:rsidR="0035088E" w:rsidRPr="003F141B">
        <w:rPr>
          <w:u w:val="single"/>
          <w:lang w:val="en-CA"/>
        </w:rPr>
        <w:t>ection</w:t>
      </w:r>
      <w:r w:rsidR="00D47E76" w:rsidRPr="003F141B">
        <w:rPr>
          <w:u w:val="single"/>
          <w:lang w:val="en-CA"/>
        </w:rPr>
        <w:t xml:space="preserve"> ten b (10(b))</w:t>
      </w:r>
      <w:r w:rsidR="00125175" w:rsidRPr="003F141B">
        <w:rPr>
          <w:u w:val="single"/>
          <w:lang w:val="en-CA"/>
        </w:rPr>
        <w:t>, and as a result, I con</w:t>
      </w:r>
      <w:r w:rsidR="00D47E76" w:rsidRPr="003F141B">
        <w:rPr>
          <w:u w:val="single"/>
          <w:lang w:val="en-CA"/>
        </w:rPr>
        <w:t>sider that</w:t>
      </w:r>
      <w:r w:rsidR="002A11A8">
        <w:rPr>
          <w:u w:val="single"/>
          <w:lang w:val="en-CA"/>
        </w:rPr>
        <w:t>, in effect,</w:t>
      </w:r>
      <w:r w:rsidR="00D47E76" w:rsidRPr="003F141B">
        <w:rPr>
          <w:u w:val="single"/>
          <w:lang w:val="en-CA"/>
        </w:rPr>
        <w:t xml:space="preserve"> </w:t>
      </w:r>
      <w:r w:rsidR="0035088E" w:rsidRPr="003F141B">
        <w:rPr>
          <w:u w:val="single"/>
          <w:lang w:val="en-CA"/>
        </w:rPr>
        <w:t>section</w:t>
      </w:r>
      <w:r w:rsidR="00D47E76" w:rsidRPr="003F141B">
        <w:rPr>
          <w:u w:val="single"/>
          <w:lang w:val="en-CA"/>
        </w:rPr>
        <w:t xml:space="preserve"> ten b (10(b))</w:t>
      </w:r>
      <w:r w:rsidR="00125175" w:rsidRPr="003F141B">
        <w:rPr>
          <w:u w:val="single"/>
          <w:lang w:val="en-CA"/>
        </w:rPr>
        <w:t xml:space="preserve"> was infringed</w:t>
      </w:r>
      <w:r w:rsidR="00125175" w:rsidRPr="003F141B">
        <w:rPr>
          <w:lang w:val="en-CA"/>
        </w:rPr>
        <w:t>.</w:t>
      </w:r>
    </w:p>
    <w:bookmarkEnd w:id="10"/>
    <w:p w14:paraId="430D0AEF" w14:textId="4070EF3A" w:rsidR="009130CA" w:rsidRPr="003F141B" w:rsidRDefault="00125175" w:rsidP="009130CA">
      <w:pPr>
        <w:pStyle w:val="Citationenretrait"/>
        <w:spacing w:line="240" w:lineRule="auto"/>
        <w:rPr>
          <w:lang w:val="en-CA"/>
        </w:rPr>
      </w:pP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t>[Emphasis added]</w:t>
      </w:r>
    </w:p>
    <w:bookmarkEnd w:id="9"/>
    <w:p w14:paraId="66695B6C" w14:textId="3D5C7705" w:rsidR="009130CA" w:rsidRPr="003F141B" w:rsidRDefault="00147C72" w:rsidP="001B2F37">
      <w:pPr>
        <w:pStyle w:val="Paragraphe"/>
        <w:keepNext/>
        <w:numPr>
          <w:ilvl w:val="0"/>
          <w:numId w:val="20"/>
        </w:numPr>
        <w:spacing w:line="240" w:lineRule="auto"/>
        <w:ind w:left="1418" w:hanging="568"/>
        <w:rPr>
          <w:b/>
          <w:lang w:val="en-CA"/>
        </w:rPr>
      </w:pPr>
      <w:r w:rsidRPr="003F141B">
        <w:rPr>
          <w:b/>
          <w:lang w:val="en-CA"/>
        </w:rPr>
        <w:t>S</w:t>
      </w:r>
      <w:r w:rsidR="0035088E" w:rsidRPr="003F141B">
        <w:rPr>
          <w:b/>
          <w:lang w:val="en-CA"/>
        </w:rPr>
        <w:t>ection</w:t>
      </w:r>
      <w:r w:rsidR="00125175" w:rsidRPr="003F141B">
        <w:rPr>
          <w:b/>
          <w:lang w:val="en-CA"/>
        </w:rPr>
        <w:t xml:space="preserve"> 24(2):</w:t>
      </w:r>
      <w:r w:rsidR="005003D8" w:rsidRPr="003F141B">
        <w:rPr>
          <w:b/>
          <w:lang w:val="en-CA"/>
        </w:rPr>
        <w:t xml:space="preserve"> </w:t>
      </w:r>
      <w:r w:rsidR="00125175" w:rsidRPr="003F141B">
        <w:rPr>
          <w:b/>
          <w:lang w:val="en-CA"/>
        </w:rPr>
        <w:t>the s</w:t>
      </w:r>
      <w:r w:rsidR="00E1340A" w:rsidRPr="003F141B">
        <w:rPr>
          <w:b/>
          <w:lang w:val="en-CA"/>
        </w:rPr>
        <w:t>ignificance</w:t>
      </w:r>
      <w:r w:rsidR="00125175" w:rsidRPr="003F141B">
        <w:rPr>
          <w:b/>
          <w:lang w:val="en-CA"/>
        </w:rPr>
        <w:t xml:space="preserve"> of the </w:t>
      </w:r>
      <w:r w:rsidR="00125175" w:rsidRPr="003F141B">
        <w:rPr>
          <w:b/>
          <w:i/>
          <w:lang w:val="en-CA"/>
        </w:rPr>
        <w:t>Charter</w:t>
      </w:r>
      <w:r w:rsidR="00125175" w:rsidRPr="003F141B">
        <w:rPr>
          <w:b/>
          <w:lang w:val="en-CA"/>
        </w:rPr>
        <w:t>-infringing state conduct</w:t>
      </w:r>
    </w:p>
    <w:p w14:paraId="5FF45DEC" w14:textId="3DF9C243" w:rsidR="0035088E" w:rsidRPr="003F141B" w:rsidRDefault="0035088E" w:rsidP="009130CA">
      <w:pPr>
        <w:pStyle w:val="Citationenretrait"/>
        <w:spacing w:line="240" w:lineRule="auto"/>
        <w:rPr>
          <w:lang w:val="en-CA"/>
        </w:rPr>
      </w:pPr>
      <w:r w:rsidRPr="003F141B">
        <w:rPr>
          <w:lang w:val="en-CA"/>
        </w:rPr>
        <w:t>[</w:t>
      </w:r>
      <w:r w:rsidRPr="003F141B">
        <w:rPr>
          <w:smallCaps/>
          <w:lang w:val="en-CA"/>
        </w:rPr>
        <w:t>translation</w:t>
      </w:r>
      <w:r w:rsidRPr="003F141B">
        <w:rPr>
          <w:lang w:val="en-CA"/>
        </w:rPr>
        <w:t>]</w:t>
      </w:r>
    </w:p>
    <w:p w14:paraId="72E52DF3" w14:textId="131BB3F3" w:rsidR="009130CA" w:rsidRPr="003F141B" w:rsidRDefault="00125175" w:rsidP="009130CA">
      <w:pPr>
        <w:pStyle w:val="Citationenretrait"/>
        <w:spacing w:line="240" w:lineRule="auto"/>
        <w:rPr>
          <w:lang w:val="en-CA"/>
        </w:rPr>
      </w:pPr>
      <w:bookmarkStart w:id="11" w:name="_Hlk121298034"/>
      <w:r w:rsidRPr="003F141B">
        <w:rPr>
          <w:lang w:val="en-CA"/>
        </w:rPr>
        <w:t>I repeat, the accused was detained, he was subject to the authority of the police officers, he could not have done the search himself.</w:t>
      </w:r>
      <w:r w:rsidR="005003D8" w:rsidRPr="003F141B">
        <w:rPr>
          <w:lang w:val="en-CA"/>
        </w:rPr>
        <w:t xml:space="preserve"> </w:t>
      </w:r>
      <w:r w:rsidRPr="003F141B">
        <w:rPr>
          <w:lang w:val="en-CA"/>
        </w:rPr>
        <w:t xml:space="preserve">Should he have raised his hand and said, no wait, you </w:t>
      </w:r>
      <w:r w:rsidR="00684E24" w:rsidRPr="003F141B">
        <w:rPr>
          <w:lang w:val="en-CA"/>
        </w:rPr>
        <w:t>haven</w:t>
      </w:r>
      <w:r w:rsidR="003061CC">
        <w:rPr>
          <w:lang w:val="en-CA"/>
        </w:rPr>
        <w:t>’</w:t>
      </w:r>
      <w:r w:rsidR="00684E24" w:rsidRPr="003F141B">
        <w:rPr>
          <w:lang w:val="en-CA"/>
        </w:rPr>
        <w:t>t</w:t>
      </w:r>
      <w:r w:rsidRPr="003F141B">
        <w:rPr>
          <w:lang w:val="en-CA"/>
        </w:rPr>
        <w:t xml:space="preserve"> </w:t>
      </w:r>
      <w:r w:rsidR="00770AFE">
        <w:rPr>
          <w:lang w:val="en-CA"/>
        </w:rPr>
        <w:t xml:space="preserve">searched </w:t>
      </w:r>
      <w:r w:rsidR="00684E24" w:rsidRPr="003F141B">
        <w:rPr>
          <w:lang w:val="en-CA"/>
        </w:rPr>
        <w:t>enough</w:t>
      </w:r>
      <w:r w:rsidRPr="003F141B">
        <w:rPr>
          <w:lang w:val="en-CA"/>
        </w:rPr>
        <w:t xml:space="preserve">, </w:t>
      </w:r>
      <w:r w:rsidRPr="003F141B">
        <w:rPr>
          <w:u w:val="single"/>
          <w:lang w:val="en-CA"/>
        </w:rPr>
        <w:t xml:space="preserve">I </w:t>
      </w:r>
      <w:r w:rsidR="00684E24" w:rsidRPr="003F141B">
        <w:rPr>
          <w:u w:val="single"/>
          <w:lang w:val="en-CA"/>
        </w:rPr>
        <w:t>don</w:t>
      </w:r>
      <w:r w:rsidR="003061CC">
        <w:rPr>
          <w:u w:val="single"/>
          <w:lang w:val="en-CA"/>
        </w:rPr>
        <w:t>’</w:t>
      </w:r>
      <w:r w:rsidR="00684E24" w:rsidRPr="003F141B">
        <w:rPr>
          <w:u w:val="single"/>
          <w:lang w:val="en-CA"/>
        </w:rPr>
        <w:t xml:space="preserve">t </w:t>
      </w:r>
      <w:r w:rsidRPr="003F141B">
        <w:rPr>
          <w:u w:val="single"/>
          <w:lang w:val="en-CA"/>
        </w:rPr>
        <w:t xml:space="preserve">believe </w:t>
      </w:r>
      <w:r w:rsidR="00684E24" w:rsidRPr="003F141B">
        <w:rPr>
          <w:u w:val="single"/>
          <w:lang w:val="en-CA"/>
        </w:rPr>
        <w:t xml:space="preserve">that this is </w:t>
      </w:r>
      <w:r w:rsidRPr="003F141B">
        <w:rPr>
          <w:u w:val="single"/>
          <w:lang w:val="en-CA"/>
        </w:rPr>
        <w:t>t</w:t>
      </w:r>
      <w:r w:rsidR="00E1340A" w:rsidRPr="003F141B">
        <w:rPr>
          <w:u w:val="single"/>
          <w:lang w:val="en-CA"/>
        </w:rPr>
        <w:t>he accused</w:t>
      </w:r>
      <w:r w:rsidR="003061CC">
        <w:rPr>
          <w:u w:val="single"/>
          <w:lang w:val="en-CA"/>
        </w:rPr>
        <w:t>’</w:t>
      </w:r>
      <w:r w:rsidR="00684E24" w:rsidRPr="003F141B">
        <w:rPr>
          <w:u w:val="single"/>
          <w:lang w:val="en-CA"/>
        </w:rPr>
        <w:t xml:space="preserve">s </w:t>
      </w:r>
      <w:r w:rsidR="00E1340A" w:rsidRPr="003F141B">
        <w:rPr>
          <w:u w:val="single"/>
          <w:lang w:val="en-CA"/>
        </w:rPr>
        <w:t>obligation</w:t>
      </w:r>
      <w:r w:rsidRPr="003F141B">
        <w:rPr>
          <w:u w:val="single"/>
          <w:lang w:val="en-CA"/>
        </w:rPr>
        <w:t xml:space="preserve"> even if he has the burden of proof</w:t>
      </w:r>
      <w:r w:rsidRPr="003F141B">
        <w:rPr>
          <w:lang w:val="en-CA"/>
        </w:rPr>
        <w:t xml:space="preserve">, on the contrary, I think that the police officers must respect the </w:t>
      </w:r>
      <w:r w:rsidRPr="003F141B">
        <w:rPr>
          <w:i/>
          <w:lang w:val="en-CA"/>
        </w:rPr>
        <w:t>Charter</w:t>
      </w:r>
      <w:r w:rsidRPr="003F141B">
        <w:rPr>
          <w:lang w:val="en-CA"/>
        </w:rPr>
        <w:t xml:space="preserve"> and their </w:t>
      </w:r>
      <w:r w:rsidRPr="003F141B">
        <w:rPr>
          <w:u w:val="single"/>
          <w:lang w:val="en-CA"/>
        </w:rPr>
        <w:t>obligation</w:t>
      </w:r>
      <w:r w:rsidRPr="003F141B">
        <w:rPr>
          <w:lang w:val="en-CA"/>
        </w:rPr>
        <w:t xml:space="preserve"> is to ensure that the accused had access to his counsel of choice </w:t>
      </w:r>
      <w:r w:rsidRPr="003F141B">
        <w:rPr>
          <w:u w:val="single"/>
          <w:lang w:val="en-CA"/>
        </w:rPr>
        <w:t xml:space="preserve">and only </w:t>
      </w:r>
      <w:r w:rsidR="00684E24" w:rsidRPr="003F141B">
        <w:rPr>
          <w:u w:val="single"/>
          <w:lang w:val="en-CA"/>
        </w:rPr>
        <w:t xml:space="preserve">when </w:t>
      </w:r>
      <w:r w:rsidRPr="003F141B">
        <w:rPr>
          <w:u w:val="single"/>
          <w:lang w:val="en-CA"/>
        </w:rPr>
        <w:t xml:space="preserve">that </w:t>
      </w:r>
      <w:r w:rsidR="00684E24" w:rsidRPr="003F141B">
        <w:rPr>
          <w:u w:val="single"/>
          <w:lang w:val="en-CA"/>
        </w:rPr>
        <w:t>isn</w:t>
      </w:r>
      <w:r w:rsidR="003061CC">
        <w:rPr>
          <w:u w:val="single"/>
          <w:lang w:val="en-CA"/>
        </w:rPr>
        <w:t>’</w:t>
      </w:r>
      <w:r w:rsidR="00684E24" w:rsidRPr="003F141B">
        <w:rPr>
          <w:u w:val="single"/>
          <w:lang w:val="en-CA"/>
        </w:rPr>
        <w:t xml:space="preserve">t </w:t>
      </w:r>
      <w:r w:rsidRPr="003F141B">
        <w:rPr>
          <w:u w:val="single"/>
          <w:lang w:val="en-CA"/>
        </w:rPr>
        <w:t xml:space="preserve">possible will </w:t>
      </w:r>
      <w:r w:rsidR="00684E24" w:rsidRPr="003F141B">
        <w:rPr>
          <w:u w:val="single"/>
          <w:lang w:val="en-CA"/>
        </w:rPr>
        <w:t xml:space="preserve">he </w:t>
      </w:r>
      <w:r w:rsidRPr="003F141B">
        <w:rPr>
          <w:u w:val="single"/>
          <w:lang w:val="en-CA"/>
        </w:rPr>
        <w:t>be allowed to contact another one</w:t>
      </w:r>
      <w:r w:rsidRPr="003F141B">
        <w:rPr>
          <w:lang w:val="en-CA"/>
        </w:rPr>
        <w:t>, another lawyer</w:t>
      </w:r>
      <w:r w:rsidR="00684E24" w:rsidRPr="003F141B">
        <w:rPr>
          <w:lang w:val="en-CA"/>
        </w:rPr>
        <w:t>,</w:t>
      </w:r>
      <w:r w:rsidRPr="003F141B">
        <w:rPr>
          <w:lang w:val="en-CA"/>
        </w:rPr>
        <w:t xml:space="preserve"> and as I was saying, I </w:t>
      </w:r>
      <w:r w:rsidR="00E03D9F">
        <w:rPr>
          <w:lang w:val="en-CA"/>
        </w:rPr>
        <w:t xml:space="preserve">cannot get past </w:t>
      </w:r>
      <w:r w:rsidRPr="003F141B">
        <w:rPr>
          <w:lang w:val="en-CA"/>
        </w:rPr>
        <w:t>the first step</w:t>
      </w:r>
      <w:r w:rsidR="00684E24" w:rsidRPr="003F141B">
        <w:rPr>
          <w:lang w:val="en-CA"/>
        </w:rPr>
        <w:t>,</w:t>
      </w:r>
      <w:r w:rsidRPr="003F141B">
        <w:rPr>
          <w:lang w:val="en-CA"/>
        </w:rPr>
        <w:t xml:space="preserve"> and accordingly </w:t>
      </w:r>
      <w:r w:rsidRPr="003F141B">
        <w:rPr>
          <w:u w:val="single"/>
          <w:lang w:val="en-CA"/>
        </w:rPr>
        <w:t xml:space="preserve">I </w:t>
      </w:r>
      <w:r w:rsidR="00684E24" w:rsidRPr="003F141B">
        <w:rPr>
          <w:u w:val="single"/>
          <w:lang w:val="en-CA"/>
        </w:rPr>
        <w:t xml:space="preserve">find </w:t>
      </w:r>
      <w:r w:rsidRPr="003F141B">
        <w:rPr>
          <w:u w:val="single"/>
          <w:lang w:val="en-CA"/>
        </w:rPr>
        <w:t>that in this case especially</w:t>
      </w:r>
      <w:r w:rsidR="00684E24" w:rsidRPr="003F141B">
        <w:rPr>
          <w:u w:val="single"/>
          <w:lang w:val="en-CA"/>
        </w:rPr>
        <w:t>,</w:t>
      </w:r>
      <w:r w:rsidRPr="003F141B">
        <w:rPr>
          <w:u w:val="single"/>
          <w:lang w:val="en-CA"/>
        </w:rPr>
        <w:t xml:space="preserve"> that the seriousness of the police officers</w:t>
      </w:r>
      <w:r w:rsidR="003061CC">
        <w:rPr>
          <w:u w:val="single"/>
          <w:lang w:val="en-CA"/>
        </w:rPr>
        <w:t>’</w:t>
      </w:r>
      <w:r w:rsidRPr="003F141B">
        <w:rPr>
          <w:u w:val="single"/>
          <w:lang w:val="en-CA"/>
        </w:rPr>
        <w:t xml:space="preserve"> </w:t>
      </w:r>
      <w:r w:rsidRPr="003F141B">
        <w:rPr>
          <w:i/>
          <w:u w:val="single"/>
          <w:lang w:val="en-CA"/>
        </w:rPr>
        <w:t>Charter</w:t>
      </w:r>
      <w:r w:rsidRPr="003F141B">
        <w:rPr>
          <w:u w:val="single"/>
          <w:lang w:val="en-CA"/>
        </w:rPr>
        <w:t>-infringing state conduct is</w:t>
      </w:r>
      <w:r w:rsidR="00684E24" w:rsidRPr="003F141B">
        <w:rPr>
          <w:u w:val="single"/>
          <w:lang w:val="en-CA"/>
        </w:rPr>
        <w:t xml:space="preserve"> indeed</w:t>
      </w:r>
      <w:r w:rsidRPr="003F141B">
        <w:rPr>
          <w:lang w:val="en-CA"/>
        </w:rPr>
        <w:t xml:space="preserve"> </w:t>
      </w:r>
      <w:r w:rsidRPr="003F141B">
        <w:rPr>
          <w:b/>
          <w:lang w:val="en-CA"/>
        </w:rPr>
        <w:t>significant</w:t>
      </w:r>
      <w:r w:rsidRPr="003F141B">
        <w:rPr>
          <w:lang w:val="en-CA"/>
        </w:rPr>
        <w:t>.</w:t>
      </w:r>
    </w:p>
    <w:bookmarkEnd w:id="11"/>
    <w:p w14:paraId="6EDF1493" w14:textId="147C6570" w:rsidR="00E1340A" w:rsidRPr="003F141B" w:rsidRDefault="005003D8" w:rsidP="00125175">
      <w:pPr>
        <w:pStyle w:val="Citationenretrait"/>
        <w:spacing w:line="240" w:lineRule="auto"/>
        <w:rPr>
          <w:lang w:val="en-CA"/>
        </w:rPr>
      </w:pPr>
      <w:r w:rsidRPr="003F141B">
        <w:rPr>
          <w:lang w:val="en-CA"/>
        </w:rPr>
        <w:tab/>
      </w:r>
      <w:r w:rsidRPr="003F141B">
        <w:rPr>
          <w:lang w:val="en-CA"/>
        </w:rPr>
        <w:tab/>
      </w:r>
      <w:r w:rsidRPr="003F141B">
        <w:rPr>
          <w:lang w:val="en-CA"/>
        </w:rPr>
        <w:tab/>
      </w:r>
      <w:r w:rsidR="00125175" w:rsidRPr="003F141B">
        <w:rPr>
          <w:lang w:val="en-CA"/>
        </w:rPr>
        <w:t xml:space="preserve">                             [</w:t>
      </w:r>
      <w:r w:rsidR="00000482">
        <w:rPr>
          <w:lang w:val="en-CA"/>
        </w:rPr>
        <w:t xml:space="preserve">Underlining added; boldface </w:t>
      </w:r>
      <w:r w:rsidR="00125175" w:rsidRPr="003F141B">
        <w:rPr>
          <w:lang w:val="en-CA"/>
        </w:rPr>
        <w:t>added]</w:t>
      </w:r>
      <w:r w:rsidRPr="003F141B">
        <w:rPr>
          <w:lang w:val="en-CA"/>
        </w:rPr>
        <w:t xml:space="preserve"> </w:t>
      </w:r>
      <w:r w:rsidR="00125175" w:rsidRPr="003F141B">
        <w:rPr>
          <w:lang w:val="en-CA"/>
        </w:rPr>
        <w:t xml:space="preserve"> </w:t>
      </w:r>
      <w:r w:rsidR="00E1340A" w:rsidRPr="003F141B">
        <w:rPr>
          <w:lang w:val="en-CA"/>
        </w:rPr>
        <w:t xml:space="preserve"> </w:t>
      </w:r>
    </w:p>
    <w:p w14:paraId="5D20BCCF" w14:textId="180FF7FA" w:rsidR="009130CA" w:rsidRPr="003F141B" w:rsidRDefault="00510137" w:rsidP="001B2F37">
      <w:pPr>
        <w:pStyle w:val="Citationenretrait"/>
        <w:numPr>
          <w:ilvl w:val="0"/>
          <w:numId w:val="20"/>
        </w:numPr>
        <w:tabs>
          <w:tab w:val="left" w:pos="1418"/>
          <w:tab w:val="left" w:pos="1701"/>
        </w:tabs>
        <w:spacing w:line="240" w:lineRule="auto"/>
        <w:rPr>
          <w:b/>
          <w:lang w:val="en-CA"/>
        </w:rPr>
      </w:pPr>
      <w:r>
        <w:rPr>
          <w:b/>
          <w:lang w:val="en-CA"/>
        </w:rPr>
        <w:t>I</w:t>
      </w:r>
      <w:r w:rsidR="00125175" w:rsidRPr="003F141B">
        <w:rPr>
          <w:b/>
          <w:lang w:val="en-CA"/>
        </w:rPr>
        <w:t>mpact of the police officers</w:t>
      </w:r>
      <w:r w:rsidR="003061CC">
        <w:rPr>
          <w:b/>
          <w:lang w:val="en-CA"/>
        </w:rPr>
        <w:t>’</w:t>
      </w:r>
      <w:r w:rsidR="00125175" w:rsidRPr="003F141B">
        <w:rPr>
          <w:b/>
          <w:lang w:val="en-CA"/>
        </w:rPr>
        <w:t xml:space="preserve"> conduct on the respondent</w:t>
      </w:r>
      <w:r w:rsidR="003061CC">
        <w:rPr>
          <w:b/>
          <w:lang w:val="en-CA"/>
        </w:rPr>
        <w:t>’</w:t>
      </w:r>
      <w:r w:rsidR="00125175" w:rsidRPr="003F141B">
        <w:rPr>
          <w:b/>
          <w:lang w:val="en-CA"/>
        </w:rPr>
        <w:t>s rights</w:t>
      </w:r>
    </w:p>
    <w:p w14:paraId="13794F74" w14:textId="58106B1E" w:rsidR="00684E24" w:rsidRPr="003F141B" w:rsidRDefault="00684E24" w:rsidP="001B2F37">
      <w:pPr>
        <w:pStyle w:val="Citationenretrait"/>
        <w:spacing w:line="240" w:lineRule="auto"/>
        <w:ind w:left="850"/>
        <w:rPr>
          <w:lang w:val="en-CA"/>
        </w:rPr>
      </w:pPr>
      <w:r w:rsidRPr="003F141B">
        <w:rPr>
          <w:lang w:val="en-CA"/>
        </w:rPr>
        <w:t>[</w:t>
      </w:r>
      <w:r w:rsidRPr="003F141B">
        <w:rPr>
          <w:smallCaps/>
          <w:lang w:val="en-CA"/>
        </w:rPr>
        <w:t>translation</w:t>
      </w:r>
      <w:r w:rsidRPr="003F141B">
        <w:rPr>
          <w:lang w:val="en-CA"/>
        </w:rPr>
        <w:t>]</w:t>
      </w:r>
    </w:p>
    <w:p w14:paraId="2F125057" w14:textId="6B8A989A" w:rsidR="001B2F37" w:rsidRPr="003F141B" w:rsidRDefault="001B2F37" w:rsidP="001B2F37">
      <w:pPr>
        <w:pStyle w:val="Citationenretrait"/>
        <w:spacing w:line="240" w:lineRule="auto"/>
        <w:ind w:left="850"/>
        <w:rPr>
          <w:lang w:val="en-CA"/>
        </w:rPr>
      </w:pPr>
      <w:r w:rsidRPr="003F141B">
        <w:rPr>
          <w:lang w:val="en-CA"/>
        </w:rPr>
        <w:t>The impact of the infringement of the accused</w:t>
      </w:r>
      <w:r w:rsidR="003061CC">
        <w:rPr>
          <w:lang w:val="en-CA"/>
        </w:rPr>
        <w:t>’</w:t>
      </w:r>
      <w:r w:rsidRPr="003F141B">
        <w:rPr>
          <w:lang w:val="en-CA"/>
        </w:rPr>
        <w:t xml:space="preserve">s rights, </w:t>
      </w:r>
      <w:r w:rsidRPr="003F141B">
        <w:rPr>
          <w:u w:val="single"/>
          <w:lang w:val="en-CA"/>
        </w:rPr>
        <w:t xml:space="preserve">clearly, we </w:t>
      </w:r>
      <w:r w:rsidR="00684E24" w:rsidRPr="003F141B">
        <w:rPr>
          <w:u w:val="single"/>
          <w:lang w:val="en-CA"/>
        </w:rPr>
        <w:t>can</w:t>
      </w:r>
      <w:r w:rsidR="003061CC">
        <w:rPr>
          <w:u w:val="single"/>
          <w:lang w:val="en-CA"/>
        </w:rPr>
        <w:t>’</w:t>
      </w:r>
      <w:r w:rsidR="00684E24" w:rsidRPr="003F141B">
        <w:rPr>
          <w:u w:val="single"/>
          <w:lang w:val="en-CA"/>
        </w:rPr>
        <w:t xml:space="preserve">t </w:t>
      </w:r>
      <w:r w:rsidRPr="003F141B">
        <w:rPr>
          <w:u w:val="single"/>
          <w:lang w:val="en-CA"/>
        </w:rPr>
        <w:t>read the accused</w:t>
      </w:r>
      <w:r w:rsidR="003061CC">
        <w:rPr>
          <w:u w:val="single"/>
          <w:lang w:val="en-CA"/>
        </w:rPr>
        <w:t>’</w:t>
      </w:r>
      <w:r w:rsidRPr="003F141B">
        <w:rPr>
          <w:u w:val="single"/>
          <w:lang w:val="en-CA"/>
        </w:rPr>
        <w:t xml:space="preserve">s </w:t>
      </w:r>
      <w:r w:rsidR="009B2560" w:rsidRPr="003F141B">
        <w:rPr>
          <w:u w:val="single"/>
          <w:lang w:val="en-CA"/>
        </w:rPr>
        <w:t>mind</w:t>
      </w:r>
      <w:r w:rsidRPr="003F141B">
        <w:rPr>
          <w:u w:val="single"/>
          <w:lang w:val="en-CA"/>
        </w:rPr>
        <w:t xml:space="preserve">, he </w:t>
      </w:r>
      <w:r w:rsidR="00684E24" w:rsidRPr="003F141B">
        <w:rPr>
          <w:u w:val="single"/>
          <w:lang w:val="en-CA"/>
        </w:rPr>
        <w:t>didn</w:t>
      </w:r>
      <w:r w:rsidR="003061CC">
        <w:rPr>
          <w:u w:val="single"/>
          <w:lang w:val="en-CA"/>
        </w:rPr>
        <w:t>’</w:t>
      </w:r>
      <w:r w:rsidR="00684E24" w:rsidRPr="003F141B">
        <w:rPr>
          <w:u w:val="single"/>
          <w:lang w:val="en-CA"/>
        </w:rPr>
        <w:t>t</w:t>
      </w:r>
      <w:r w:rsidRPr="003F141B">
        <w:rPr>
          <w:u w:val="single"/>
          <w:lang w:val="en-CA"/>
        </w:rPr>
        <w:t xml:space="preserve"> testify</w:t>
      </w:r>
      <w:r w:rsidRPr="003F141B">
        <w:rPr>
          <w:lang w:val="en-CA"/>
        </w:rPr>
        <w:t xml:space="preserve">, but the fact remains that visibly, he asked for those two lawyers because he knew them, </w:t>
      </w:r>
      <w:r w:rsidRPr="003F141B">
        <w:rPr>
          <w:u w:val="single"/>
          <w:lang w:val="en-CA"/>
        </w:rPr>
        <w:t>so if he knew them, there was a certain relationship of trust</w:t>
      </w:r>
      <w:r w:rsidRPr="003F141B">
        <w:rPr>
          <w:lang w:val="en-CA"/>
        </w:rPr>
        <w:t xml:space="preserve">. From the moment when, </w:t>
      </w:r>
      <w:r w:rsidRPr="003F141B">
        <w:rPr>
          <w:u w:val="single"/>
          <w:lang w:val="en-CA"/>
        </w:rPr>
        <w:t xml:space="preserve">even if you tell me the infringing conduct is minimal because </w:t>
      </w:r>
      <w:r w:rsidR="00684E24" w:rsidRPr="003F141B">
        <w:rPr>
          <w:u w:val="single"/>
          <w:lang w:val="en-CA"/>
        </w:rPr>
        <w:t>we know they have an obligation to</w:t>
      </w:r>
      <w:r w:rsidR="005A37BF">
        <w:rPr>
          <w:u w:val="single"/>
          <w:lang w:val="en-CA"/>
        </w:rPr>
        <w:t>, to, to</w:t>
      </w:r>
      <w:r w:rsidR="00684E24" w:rsidRPr="003F141B">
        <w:rPr>
          <w:u w:val="single"/>
          <w:lang w:val="en-CA"/>
        </w:rPr>
        <w:t xml:space="preserve"> provide </w:t>
      </w:r>
      <w:r w:rsidRPr="003F141B">
        <w:rPr>
          <w:u w:val="single"/>
          <w:lang w:val="en-CA"/>
        </w:rPr>
        <w:t xml:space="preserve">the breath samples, </w:t>
      </w:r>
      <w:r w:rsidR="00684E24" w:rsidRPr="003F141B">
        <w:rPr>
          <w:u w:val="single"/>
          <w:lang w:val="en-CA"/>
        </w:rPr>
        <w:t xml:space="preserve">the fact </w:t>
      </w:r>
      <w:r w:rsidRPr="003F141B">
        <w:rPr>
          <w:u w:val="single"/>
          <w:lang w:val="en-CA"/>
        </w:rPr>
        <w:t xml:space="preserve">nevertheless </w:t>
      </w:r>
      <w:r w:rsidR="00684E24" w:rsidRPr="003F141B">
        <w:rPr>
          <w:u w:val="single"/>
          <w:lang w:val="en-CA"/>
        </w:rPr>
        <w:t xml:space="preserve">remains </w:t>
      </w:r>
      <w:r w:rsidRPr="003F141B">
        <w:rPr>
          <w:u w:val="single"/>
          <w:lang w:val="en-CA"/>
        </w:rPr>
        <w:t xml:space="preserve">that we never know what advice a lawyer </w:t>
      </w:r>
      <w:r w:rsidR="00684E24" w:rsidRPr="003F141B">
        <w:rPr>
          <w:u w:val="single"/>
          <w:lang w:val="en-CA"/>
        </w:rPr>
        <w:t xml:space="preserve">might </w:t>
      </w:r>
      <w:r w:rsidRPr="003F141B">
        <w:rPr>
          <w:u w:val="single"/>
          <w:lang w:val="en-CA"/>
        </w:rPr>
        <w:t xml:space="preserve">give </w:t>
      </w:r>
      <w:r w:rsidR="00684E24" w:rsidRPr="003F141B">
        <w:rPr>
          <w:u w:val="single"/>
          <w:lang w:val="en-CA"/>
        </w:rPr>
        <w:t xml:space="preserve">a </w:t>
      </w:r>
      <w:r w:rsidRPr="003F141B">
        <w:rPr>
          <w:u w:val="single"/>
          <w:lang w:val="en-CA"/>
        </w:rPr>
        <w:t xml:space="preserve">client </w:t>
      </w:r>
      <w:r w:rsidRPr="003F141B">
        <w:rPr>
          <w:lang w:val="en-CA"/>
        </w:rPr>
        <w:t xml:space="preserve">in the case of an arrest </w:t>
      </w:r>
      <w:r w:rsidR="005A37BF">
        <w:rPr>
          <w:lang w:val="en-CA"/>
        </w:rPr>
        <w:t>for such matters</w:t>
      </w:r>
      <w:r w:rsidRPr="003F141B">
        <w:rPr>
          <w:lang w:val="en-CA"/>
        </w:rPr>
        <w:t xml:space="preserve">, be it for impaired driving, in this case there is obstruction and also breach of an undertaking </w:t>
      </w:r>
      <w:r w:rsidR="005A37BF">
        <w:rPr>
          <w:rFonts w:cs="Arial"/>
        </w:rPr>
        <w:t>[</w:t>
      </w:r>
      <w:r w:rsidR="005A37BF">
        <w:t>…</w:t>
      </w:r>
      <w:r w:rsidR="005A37BF">
        <w:rPr>
          <w:rFonts w:cs="Arial"/>
        </w:rPr>
        <w:t>]</w:t>
      </w:r>
      <w:r w:rsidRPr="003F141B">
        <w:rPr>
          <w:lang w:val="en-CA"/>
        </w:rPr>
        <w:t xml:space="preserve"> </w:t>
      </w:r>
      <w:r w:rsidRPr="003F141B">
        <w:rPr>
          <w:u w:val="single"/>
          <w:lang w:val="en-CA"/>
        </w:rPr>
        <w:t>but that was not explained to the accused, his choices were not explained to him</w:t>
      </w:r>
      <w:r w:rsidRPr="003F141B">
        <w:rPr>
          <w:lang w:val="en-CA"/>
        </w:rPr>
        <w:t xml:space="preserve">, it was taken for granted that the lawyers were not available. </w:t>
      </w:r>
      <w:r w:rsidRPr="003F141B">
        <w:rPr>
          <w:u w:val="single"/>
          <w:lang w:val="en-CA"/>
        </w:rPr>
        <w:t xml:space="preserve">That was not the case, however, so I </w:t>
      </w:r>
      <w:r w:rsidR="00BE16E6" w:rsidRPr="003F141B">
        <w:rPr>
          <w:u w:val="single"/>
          <w:lang w:val="en-CA"/>
        </w:rPr>
        <w:t xml:space="preserve">find </w:t>
      </w:r>
      <w:r w:rsidRPr="003F141B">
        <w:rPr>
          <w:u w:val="single"/>
          <w:lang w:val="en-CA"/>
        </w:rPr>
        <w:t>that the impact of the infringement on the accused</w:t>
      </w:r>
      <w:r w:rsidR="003061CC">
        <w:rPr>
          <w:u w:val="single"/>
          <w:lang w:val="en-CA"/>
        </w:rPr>
        <w:t>’</w:t>
      </w:r>
      <w:r w:rsidRPr="003F141B">
        <w:rPr>
          <w:u w:val="single"/>
          <w:lang w:val="en-CA"/>
        </w:rPr>
        <w:t xml:space="preserve">s rights was </w:t>
      </w:r>
      <w:r w:rsidRPr="003F141B">
        <w:rPr>
          <w:b/>
          <w:lang w:val="en-CA"/>
        </w:rPr>
        <w:t>significant</w:t>
      </w:r>
      <w:r w:rsidRPr="003F141B">
        <w:rPr>
          <w:lang w:val="en-CA"/>
        </w:rPr>
        <w:t xml:space="preserve">.    </w:t>
      </w:r>
    </w:p>
    <w:p w14:paraId="0DAAD1B7" w14:textId="7475434C" w:rsidR="001B2F37" w:rsidRPr="003F141B" w:rsidRDefault="001B2F37" w:rsidP="001B2F37">
      <w:pPr>
        <w:pStyle w:val="Citationenretrait"/>
        <w:spacing w:line="240" w:lineRule="auto"/>
        <w:ind w:left="850"/>
        <w:rPr>
          <w:lang w:val="en-CA"/>
        </w:rPr>
      </w:pPr>
      <w:r w:rsidRPr="003F141B">
        <w:rPr>
          <w:lang w:val="en-CA"/>
        </w:rPr>
        <w:t xml:space="preserve">                                                                  [</w:t>
      </w:r>
      <w:r w:rsidR="006B0E86">
        <w:rPr>
          <w:lang w:val="en-CA"/>
        </w:rPr>
        <w:t xml:space="preserve">Underlining </w:t>
      </w:r>
      <w:r w:rsidRPr="003F141B">
        <w:rPr>
          <w:lang w:val="en-CA"/>
        </w:rPr>
        <w:t>added</w:t>
      </w:r>
      <w:r w:rsidR="006B0E86">
        <w:rPr>
          <w:lang w:val="en-CA"/>
        </w:rPr>
        <w:t>; boldface added</w:t>
      </w:r>
      <w:r w:rsidRPr="003F141B">
        <w:rPr>
          <w:lang w:val="en-CA"/>
        </w:rPr>
        <w:t xml:space="preserve">]    </w:t>
      </w:r>
    </w:p>
    <w:p w14:paraId="0E2FC6EC" w14:textId="51A3AEAC" w:rsidR="009130CA" w:rsidRPr="003F141B" w:rsidRDefault="001B2F37" w:rsidP="001B2F37">
      <w:pPr>
        <w:pStyle w:val="Citationenretrait"/>
        <w:numPr>
          <w:ilvl w:val="0"/>
          <w:numId w:val="20"/>
        </w:numPr>
        <w:tabs>
          <w:tab w:val="left" w:pos="1418"/>
          <w:tab w:val="left" w:pos="1701"/>
        </w:tabs>
        <w:spacing w:line="240" w:lineRule="auto"/>
        <w:ind w:left="1570"/>
        <w:rPr>
          <w:b/>
          <w:lang w:val="en-CA"/>
        </w:rPr>
      </w:pPr>
      <w:r w:rsidRPr="003F141B">
        <w:rPr>
          <w:b/>
          <w:lang w:val="en-CA"/>
        </w:rPr>
        <w:t>Public interest in an adjudication on the m</w:t>
      </w:r>
      <w:r w:rsidR="00125175" w:rsidRPr="003F141B">
        <w:rPr>
          <w:b/>
          <w:lang w:val="en-CA"/>
        </w:rPr>
        <w:t>erits</w:t>
      </w:r>
    </w:p>
    <w:p w14:paraId="302519F6" w14:textId="6CBCA1C7" w:rsidR="00BE16E6" w:rsidRPr="003F141B" w:rsidRDefault="00BE16E6" w:rsidP="009130CA">
      <w:pPr>
        <w:pStyle w:val="Citationenretrait"/>
        <w:spacing w:line="240" w:lineRule="auto"/>
        <w:rPr>
          <w:lang w:val="en-CA"/>
        </w:rPr>
      </w:pPr>
      <w:r w:rsidRPr="003F141B">
        <w:rPr>
          <w:lang w:val="en-CA"/>
        </w:rPr>
        <w:t>[</w:t>
      </w:r>
      <w:r w:rsidRPr="003F141B">
        <w:rPr>
          <w:smallCaps/>
          <w:lang w:val="en-CA"/>
        </w:rPr>
        <w:t>translation</w:t>
      </w:r>
      <w:r w:rsidRPr="003F141B">
        <w:rPr>
          <w:lang w:val="en-CA"/>
        </w:rPr>
        <w:t>]</w:t>
      </w:r>
    </w:p>
    <w:p w14:paraId="59EF16BD" w14:textId="69BE0AB4" w:rsidR="009130CA" w:rsidRPr="003F141B" w:rsidRDefault="00B746AB" w:rsidP="009130CA">
      <w:pPr>
        <w:pStyle w:val="Citationenretrait"/>
        <w:spacing w:line="240" w:lineRule="auto"/>
        <w:rPr>
          <w:lang w:val="en-CA"/>
        </w:rPr>
      </w:pPr>
      <w:r>
        <w:rPr>
          <w:lang w:val="en-CA"/>
        </w:rPr>
        <w:t>Regarding t</w:t>
      </w:r>
      <w:r w:rsidR="00125175" w:rsidRPr="003F141B">
        <w:rPr>
          <w:lang w:val="en-CA"/>
        </w:rPr>
        <w:t xml:space="preserve">he interest in an adjudication on the merits, </w:t>
      </w:r>
      <w:r>
        <w:rPr>
          <w:rFonts w:cs="Arial"/>
        </w:rPr>
        <w:t>[</w:t>
      </w:r>
      <w:r>
        <w:t>…</w:t>
      </w:r>
      <w:r>
        <w:rPr>
          <w:rFonts w:cs="Arial"/>
        </w:rPr>
        <w:t xml:space="preserve">] </w:t>
      </w:r>
      <w:r w:rsidR="00125175" w:rsidRPr="003F141B">
        <w:rPr>
          <w:u w:val="single"/>
          <w:lang w:val="en-CA"/>
        </w:rPr>
        <w:t>impaired driving is a social evil</w:t>
      </w:r>
      <w:r w:rsidR="00125175" w:rsidRPr="003F141B">
        <w:rPr>
          <w:lang w:val="en-CA"/>
        </w:rPr>
        <w:t xml:space="preserve">, </w:t>
      </w:r>
      <w:r w:rsidR="00B17F57">
        <w:rPr>
          <w:rFonts w:cs="Arial"/>
        </w:rPr>
        <w:t>[</w:t>
      </w:r>
      <w:r w:rsidR="00B17F57">
        <w:t>…</w:t>
      </w:r>
      <w:r w:rsidR="00B17F57">
        <w:rPr>
          <w:rFonts w:cs="Arial"/>
        </w:rPr>
        <w:t xml:space="preserve">] </w:t>
      </w:r>
      <w:r w:rsidR="00125175" w:rsidRPr="003F141B">
        <w:rPr>
          <w:u w:val="single"/>
          <w:lang w:val="en-CA"/>
        </w:rPr>
        <w:t>society finds this type of offence repugnant</w:t>
      </w:r>
      <w:r w:rsidR="00BE16E6" w:rsidRPr="003F141B">
        <w:rPr>
          <w:lang w:val="en-CA"/>
        </w:rPr>
        <w:t>,</w:t>
      </w:r>
      <w:r w:rsidR="00125175" w:rsidRPr="003F141B">
        <w:rPr>
          <w:lang w:val="en-CA"/>
        </w:rPr>
        <w:t xml:space="preserve"> and it is clear that we want the perpetrators of this kind of offence to </w:t>
      </w:r>
      <w:proofErr w:type="gramStart"/>
      <w:r w:rsidR="00125175" w:rsidRPr="003F141B">
        <w:rPr>
          <w:lang w:val="en-CA"/>
        </w:rPr>
        <w:t>be punished</w:t>
      </w:r>
      <w:proofErr w:type="gramEnd"/>
      <w:r w:rsidR="00BE16E6" w:rsidRPr="003F141B">
        <w:rPr>
          <w:lang w:val="en-CA"/>
        </w:rPr>
        <w:t>,</w:t>
      </w:r>
      <w:r w:rsidR="00125175" w:rsidRPr="003F141B">
        <w:rPr>
          <w:lang w:val="en-CA"/>
        </w:rPr>
        <w:t xml:space="preserve"> </w:t>
      </w:r>
      <w:r w:rsidR="00125175" w:rsidRPr="003F141B">
        <w:rPr>
          <w:u w:val="single"/>
          <w:lang w:val="en-CA"/>
        </w:rPr>
        <w:t>and I think that there is clearly an interest in an adjudication on the merits, that is for sure</w:t>
      </w:r>
      <w:r w:rsidR="00125175" w:rsidRPr="003F141B">
        <w:rPr>
          <w:lang w:val="en-CA"/>
        </w:rPr>
        <w:t>.</w:t>
      </w:r>
    </w:p>
    <w:p w14:paraId="365FDE73" w14:textId="77777777" w:rsidR="001B2F37" w:rsidRPr="003F141B" w:rsidRDefault="001B2F37" w:rsidP="009130CA">
      <w:pPr>
        <w:pStyle w:val="Citationenretrait"/>
        <w:spacing w:line="240" w:lineRule="auto"/>
        <w:rPr>
          <w:lang w:val="en-CA"/>
        </w:rPr>
      </w:pPr>
    </w:p>
    <w:p w14:paraId="444823AE" w14:textId="2D7E35A2" w:rsidR="009130CA" w:rsidRPr="003F141B" w:rsidRDefault="001B2F37" w:rsidP="009130CA">
      <w:pPr>
        <w:pStyle w:val="Paragraphe"/>
        <w:numPr>
          <w:ilvl w:val="0"/>
          <w:numId w:val="20"/>
        </w:numPr>
        <w:spacing w:line="240" w:lineRule="auto"/>
        <w:rPr>
          <w:b/>
          <w:szCs w:val="24"/>
          <w:lang w:val="en-CA"/>
        </w:rPr>
      </w:pPr>
      <w:r w:rsidRPr="003F141B">
        <w:rPr>
          <w:b/>
          <w:szCs w:val="24"/>
          <w:lang w:val="en-CA"/>
        </w:rPr>
        <w:t>T</w:t>
      </w:r>
      <w:r w:rsidR="00125175" w:rsidRPr="003F141B">
        <w:rPr>
          <w:b/>
          <w:szCs w:val="24"/>
          <w:lang w:val="en-CA"/>
        </w:rPr>
        <w:t xml:space="preserve">he </w:t>
      </w:r>
      <w:r w:rsidRPr="003F141B">
        <w:rPr>
          <w:b/>
          <w:szCs w:val="24"/>
          <w:lang w:val="en-CA"/>
        </w:rPr>
        <w:t xml:space="preserve">balancing </w:t>
      </w:r>
      <w:r w:rsidR="00541FF5" w:rsidRPr="003F141B">
        <w:rPr>
          <w:b/>
          <w:szCs w:val="24"/>
          <w:lang w:val="en-CA"/>
        </w:rPr>
        <w:t>exercise</w:t>
      </w:r>
      <w:r w:rsidR="00125175" w:rsidRPr="003F141B">
        <w:rPr>
          <w:b/>
          <w:szCs w:val="24"/>
          <w:lang w:val="en-CA"/>
        </w:rPr>
        <w:t>:</w:t>
      </w:r>
      <w:r w:rsidR="005003D8" w:rsidRPr="003F141B">
        <w:rPr>
          <w:b/>
          <w:szCs w:val="24"/>
          <w:lang w:val="en-CA"/>
        </w:rPr>
        <w:t xml:space="preserve"> </w:t>
      </w:r>
      <w:r w:rsidR="00125175" w:rsidRPr="003F141B">
        <w:rPr>
          <w:b/>
          <w:szCs w:val="24"/>
          <w:lang w:val="en-CA"/>
        </w:rPr>
        <w:t>exclusion of the evidence</w:t>
      </w:r>
    </w:p>
    <w:p w14:paraId="641836B7" w14:textId="77777777" w:rsidR="008F3046" w:rsidRDefault="008F3046" w:rsidP="009130CA">
      <w:pPr>
        <w:pStyle w:val="Citationenretrait"/>
        <w:spacing w:line="240" w:lineRule="auto"/>
        <w:rPr>
          <w:lang w:val="en-CA"/>
        </w:rPr>
      </w:pPr>
      <w:r w:rsidRPr="003F141B">
        <w:rPr>
          <w:lang w:val="en-CA"/>
        </w:rPr>
        <w:t>[</w:t>
      </w:r>
      <w:r w:rsidRPr="003F141B">
        <w:rPr>
          <w:smallCaps/>
          <w:lang w:val="en-CA"/>
        </w:rPr>
        <w:t>translation</w:t>
      </w:r>
      <w:r w:rsidRPr="003F141B">
        <w:rPr>
          <w:lang w:val="en-CA"/>
        </w:rPr>
        <w:t>]</w:t>
      </w:r>
    </w:p>
    <w:p w14:paraId="1E8DADF1" w14:textId="2E6E07F7" w:rsidR="009130CA" w:rsidRPr="003F141B" w:rsidRDefault="00125175" w:rsidP="009130CA">
      <w:pPr>
        <w:pStyle w:val="Citationenretrait"/>
        <w:spacing w:line="240" w:lineRule="auto"/>
        <w:rPr>
          <w:lang w:val="en-CA"/>
        </w:rPr>
      </w:pPr>
      <w:r w:rsidRPr="003F141B">
        <w:rPr>
          <w:lang w:val="en-CA"/>
        </w:rPr>
        <w:t>Now all of this evidence must be weighed</w:t>
      </w:r>
      <w:r w:rsidR="001B696D" w:rsidRPr="003F141B">
        <w:rPr>
          <w:lang w:val="en-CA"/>
        </w:rPr>
        <w:t>,</w:t>
      </w:r>
      <w:r w:rsidRPr="003F141B">
        <w:rPr>
          <w:lang w:val="en-CA"/>
        </w:rPr>
        <w:t xml:space="preserve"> and we must ask ourselves if indeed what </w:t>
      </w:r>
      <w:r w:rsidR="009B7B97">
        <w:rPr>
          <w:lang w:val="en-CA"/>
        </w:rPr>
        <w:t>prevails</w:t>
      </w:r>
      <w:r w:rsidRPr="003F141B">
        <w:rPr>
          <w:lang w:val="en-CA"/>
        </w:rPr>
        <w:t xml:space="preserve">, </w:t>
      </w:r>
      <w:r w:rsidRPr="003F141B">
        <w:rPr>
          <w:u w:val="single"/>
          <w:lang w:val="en-CA"/>
        </w:rPr>
        <w:t xml:space="preserve">and although I am convinced that the matter ought to, </w:t>
      </w:r>
      <w:r w:rsidR="009B7B97">
        <w:rPr>
          <w:u w:val="single"/>
          <w:lang w:val="en-CA"/>
        </w:rPr>
        <w:t xml:space="preserve">should </w:t>
      </w:r>
      <w:r w:rsidRPr="003F141B">
        <w:rPr>
          <w:u w:val="single"/>
          <w:lang w:val="en-CA"/>
        </w:rPr>
        <w:t>be, decided on the merits</w:t>
      </w:r>
      <w:r w:rsidRPr="003F141B">
        <w:rPr>
          <w:lang w:val="en-CA"/>
        </w:rPr>
        <w:t xml:space="preserve">, the fact remains that the manner, </w:t>
      </w:r>
      <w:r w:rsidRPr="003F141B">
        <w:rPr>
          <w:u w:val="single"/>
          <w:lang w:val="en-CA"/>
        </w:rPr>
        <w:t>the manner the police officers acted this time appears to me wholly unacceptable</w:t>
      </w:r>
      <w:r w:rsidRPr="003F141B">
        <w:rPr>
          <w:lang w:val="en-CA"/>
        </w:rPr>
        <w:t xml:space="preserve">, notwithstanding, </w:t>
      </w:r>
      <w:r w:rsidRPr="002E7C7B">
        <w:rPr>
          <w:u w:val="single"/>
          <w:lang w:val="en-CA"/>
        </w:rPr>
        <w:t>notwithstanding good faith</w:t>
      </w:r>
      <w:r w:rsidRPr="003F141B">
        <w:rPr>
          <w:lang w:val="en-CA"/>
        </w:rPr>
        <w:t xml:space="preserve"> or </w:t>
      </w:r>
      <w:r w:rsidR="001B696D" w:rsidRPr="003F141B">
        <w:rPr>
          <w:lang w:val="en-CA"/>
        </w:rPr>
        <w:t>anything else</w:t>
      </w:r>
      <w:r w:rsidRPr="003F141B">
        <w:rPr>
          <w:lang w:val="en-CA"/>
        </w:rPr>
        <w:t xml:space="preserve">, the fact remains that they made </w:t>
      </w:r>
      <w:r w:rsidRPr="003F141B">
        <w:rPr>
          <w:u w:val="single"/>
          <w:lang w:val="en-CA"/>
        </w:rPr>
        <w:t>no reasonable effort to respect the accused</w:t>
      </w:r>
      <w:r w:rsidR="003061CC">
        <w:rPr>
          <w:u w:val="single"/>
          <w:lang w:val="en-CA"/>
        </w:rPr>
        <w:t>’</w:t>
      </w:r>
      <w:r w:rsidRPr="003F141B">
        <w:rPr>
          <w:u w:val="single"/>
          <w:lang w:val="en-CA"/>
        </w:rPr>
        <w:t>s rights.</w:t>
      </w:r>
      <w:r w:rsidR="005003D8" w:rsidRPr="003F141B">
        <w:rPr>
          <w:lang w:val="en-CA"/>
        </w:rPr>
        <w:t xml:space="preserve"> </w:t>
      </w:r>
      <w:r w:rsidRPr="003F141B">
        <w:rPr>
          <w:u w:val="single"/>
          <w:lang w:val="en-CA"/>
        </w:rPr>
        <w:t xml:space="preserve">I therefore </w:t>
      </w:r>
      <w:r w:rsidR="001B696D" w:rsidRPr="003F141B">
        <w:rPr>
          <w:u w:val="single"/>
          <w:lang w:val="en-CA"/>
        </w:rPr>
        <w:t xml:space="preserve">find </w:t>
      </w:r>
      <w:r w:rsidRPr="003F141B">
        <w:rPr>
          <w:u w:val="single"/>
          <w:lang w:val="en-CA"/>
        </w:rPr>
        <w:t xml:space="preserve">that it is indeed appropriate to set aside the evidence obtained </w:t>
      </w:r>
      <w:r w:rsidR="001B696D" w:rsidRPr="003F141B">
        <w:rPr>
          <w:u w:val="single"/>
          <w:lang w:val="en-CA"/>
        </w:rPr>
        <w:t xml:space="preserve">after </w:t>
      </w:r>
      <w:r w:rsidRPr="003F141B">
        <w:rPr>
          <w:u w:val="single"/>
          <w:lang w:val="en-CA"/>
        </w:rPr>
        <w:t>the right to counsel</w:t>
      </w:r>
      <w:r w:rsidR="004F1586">
        <w:rPr>
          <w:u w:val="single"/>
          <w:lang w:val="en-CA"/>
        </w:rPr>
        <w:t xml:space="preserve"> [sic]</w:t>
      </w:r>
      <w:r w:rsidRPr="003F141B">
        <w:rPr>
          <w:u w:val="single"/>
          <w:lang w:val="en-CA"/>
        </w:rPr>
        <w:t>.</w:t>
      </w:r>
    </w:p>
    <w:p w14:paraId="3C56C753" w14:textId="4E345A55" w:rsidR="009130CA" w:rsidRPr="003F141B" w:rsidRDefault="00125175" w:rsidP="009130CA">
      <w:pPr>
        <w:pStyle w:val="Citationenretrait"/>
        <w:spacing w:line="240" w:lineRule="auto"/>
        <w:rPr>
          <w:lang w:val="en-CA"/>
        </w:rPr>
      </w:pP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t>[Emphasis added]</w:t>
      </w:r>
    </w:p>
    <w:p w14:paraId="68298DA5" w14:textId="77777777" w:rsidR="009130CA" w:rsidRPr="003F141B" w:rsidRDefault="00125175" w:rsidP="009130CA">
      <w:pPr>
        <w:pStyle w:val="Paragraphe"/>
        <w:keepNext/>
        <w:numPr>
          <w:ilvl w:val="0"/>
          <w:numId w:val="21"/>
        </w:numPr>
        <w:spacing w:line="240" w:lineRule="auto"/>
        <w:ind w:left="792"/>
        <w:rPr>
          <w:b/>
          <w:lang w:val="en-CA"/>
        </w:rPr>
      </w:pPr>
      <w:r w:rsidRPr="003F141B">
        <w:rPr>
          <w:b/>
          <w:lang w:val="en-CA"/>
        </w:rPr>
        <w:t>Analysis</w:t>
      </w:r>
      <w:r w:rsidR="005003D8" w:rsidRPr="003F141B">
        <w:rPr>
          <w:b/>
          <w:lang w:val="en-CA"/>
        </w:rPr>
        <w:t xml:space="preserve"> </w:t>
      </w:r>
    </w:p>
    <w:p w14:paraId="1D2BF29F" w14:textId="140BE515" w:rsidR="009130CA" w:rsidRPr="003F141B" w:rsidRDefault="005003D8" w:rsidP="009130CA">
      <w:pPr>
        <w:pStyle w:val="Paragraphe"/>
        <w:numPr>
          <w:ilvl w:val="0"/>
          <w:numId w:val="0"/>
        </w:numPr>
        <w:spacing w:line="240" w:lineRule="auto"/>
        <w:ind w:left="720"/>
        <w:rPr>
          <w:b/>
          <w:lang w:val="en-CA"/>
        </w:rPr>
      </w:pPr>
      <w:r w:rsidRPr="003F141B">
        <w:rPr>
          <w:b/>
          <w:lang w:val="en-CA"/>
        </w:rPr>
        <w:t xml:space="preserve">3.1 </w:t>
      </w:r>
      <w:r w:rsidR="00125175" w:rsidRPr="003F141B">
        <w:rPr>
          <w:b/>
          <w:lang w:val="en-CA"/>
        </w:rPr>
        <w:t>Did the judge err in law in finding that the police officers infringed the respondent</w:t>
      </w:r>
      <w:r w:rsidR="003061CC">
        <w:rPr>
          <w:b/>
          <w:lang w:val="en-CA"/>
        </w:rPr>
        <w:t>’</w:t>
      </w:r>
      <w:r w:rsidR="00125175" w:rsidRPr="003F141B">
        <w:rPr>
          <w:b/>
          <w:lang w:val="en-CA"/>
        </w:rPr>
        <w:t xml:space="preserve">s </w:t>
      </w:r>
      <w:r w:rsidR="005C2BF1" w:rsidRPr="003F141B">
        <w:rPr>
          <w:b/>
          <w:lang w:val="en-CA"/>
        </w:rPr>
        <w:t xml:space="preserve">s. 10(b) </w:t>
      </w:r>
      <w:r w:rsidR="00125175" w:rsidRPr="003F141B">
        <w:rPr>
          <w:b/>
          <w:i/>
          <w:lang w:val="en-CA"/>
        </w:rPr>
        <w:t>Charter</w:t>
      </w:r>
      <w:r w:rsidR="005C2BF1" w:rsidRPr="003F141B">
        <w:rPr>
          <w:b/>
          <w:lang w:val="en-CA"/>
        </w:rPr>
        <w:t xml:space="preserve"> right</w:t>
      </w:r>
      <w:r w:rsidR="00125175" w:rsidRPr="003F141B">
        <w:rPr>
          <w:b/>
          <w:lang w:val="en-CA"/>
        </w:rPr>
        <w:t>?</w:t>
      </w:r>
    </w:p>
    <w:p w14:paraId="3A078505" w14:textId="0EB5BEF5" w:rsidR="009130CA" w:rsidRPr="003F141B" w:rsidRDefault="005003D8" w:rsidP="009130CA">
      <w:pPr>
        <w:pStyle w:val="Paragraphe"/>
        <w:keepNext/>
        <w:numPr>
          <w:ilvl w:val="0"/>
          <w:numId w:val="0"/>
        </w:numPr>
        <w:spacing w:line="240" w:lineRule="auto"/>
        <w:rPr>
          <w:b/>
          <w:lang w:val="en-CA"/>
        </w:rPr>
      </w:pPr>
      <w:r w:rsidRPr="003F141B">
        <w:rPr>
          <w:lang w:val="en-CA"/>
        </w:rPr>
        <w:tab/>
      </w:r>
      <w:r w:rsidRPr="003F141B">
        <w:rPr>
          <w:lang w:val="en-CA"/>
        </w:rPr>
        <w:tab/>
      </w:r>
      <w:r w:rsidRPr="003F141B">
        <w:rPr>
          <w:b/>
          <w:lang w:val="en-CA"/>
        </w:rPr>
        <w:t xml:space="preserve">3.1.1 </w:t>
      </w:r>
      <w:r w:rsidR="006A473B" w:rsidRPr="003F141B">
        <w:rPr>
          <w:b/>
          <w:lang w:val="en-CA"/>
        </w:rPr>
        <w:t>The s</w:t>
      </w:r>
      <w:r w:rsidR="00125175" w:rsidRPr="003F141B">
        <w:rPr>
          <w:b/>
          <w:lang w:val="en-CA"/>
        </w:rPr>
        <w:t>tandard of review</w:t>
      </w:r>
    </w:p>
    <w:p w14:paraId="4D86E0B1" w14:textId="0946EFE1" w:rsidR="009130CA" w:rsidRPr="003F141B" w:rsidRDefault="00125175" w:rsidP="009130CA">
      <w:pPr>
        <w:pStyle w:val="Paragraphe"/>
        <w:spacing w:line="240" w:lineRule="auto"/>
        <w:rPr>
          <w:lang w:val="en-CA"/>
        </w:rPr>
      </w:pPr>
      <w:r w:rsidRPr="003F141B">
        <w:rPr>
          <w:lang w:val="en-CA"/>
        </w:rPr>
        <w:t>In its brief, the appellant suggests that the judge</w:t>
      </w:r>
      <w:r w:rsidR="003061CC">
        <w:rPr>
          <w:lang w:val="en-CA"/>
        </w:rPr>
        <w:t>’</w:t>
      </w:r>
      <w:r w:rsidRPr="003F141B">
        <w:rPr>
          <w:lang w:val="en-CA"/>
        </w:rPr>
        <w:t>s finding that the police officers infringed the respondent</w:t>
      </w:r>
      <w:r w:rsidR="003061CC">
        <w:rPr>
          <w:lang w:val="en-CA"/>
        </w:rPr>
        <w:t>’</w:t>
      </w:r>
      <w:r w:rsidRPr="003F141B">
        <w:rPr>
          <w:lang w:val="en-CA"/>
        </w:rPr>
        <w:t xml:space="preserve">s </w:t>
      </w:r>
      <w:r w:rsidRPr="003F141B">
        <w:rPr>
          <w:i/>
          <w:lang w:val="en-CA"/>
        </w:rPr>
        <w:t>Charter</w:t>
      </w:r>
      <w:r w:rsidRPr="003F141B">
        <w:rPr>
          <w:lang w:val="en-CA"/>
        </w:rPr>
        <w:t xml:space="preserve"> </w:t>
      </w:r>
      <w:r w:rsidR="007E7358" w:rsidRPr="003F141B">
        <w:rPr>
          <w:lang w:val="en-CA"/>
        </w:rPr>
        <w:t>right to</w:t>
      </w:r>
      <w:r w:rsidRPr="003F141B">
        <w:rPr>
          <w:lang w:val="en-CA"/>
        </w:rPr>
        <w:t xml:space="preserve"> </w:t>
      </w:r>
      <w:r w:rsidR="006A473B" w:rsidRPr="003F141B">
        <w:rPr>
          <w:lang w:val="en-CA"/>
        </w:rPr>
        <w:t xml:space="preserve">retain and instruct </w:t>
      </w:r>
      <w:r w:rsidRPr="003F141B">
        <w:rPr>
          <w:lang w:val="en-CA"/>
        </w:rPr>
        <w:t>counsel of his choice is subject to a standard of correctness.</w:t>
      </w:r>
      <w:r w:rsidR="005003D8" w:rsidRPr="003F141B">
        <w:rPr>
          <w:lang w:val="en-CA"/>
        </w:rPr>
        <w:t xml:space="preserve"> </w:t>
      </w:r>
      <w:r w:rsidRPr="003F141B">
        <w:rPr>
          <w:lang w:val="en-CA"/>
        </w:rPr>
        <w:t>In his brief, the respondent argues that the judge</w:t>
      </w:r>
      <w:r w:rsidR="003061CC">
        <w:rPr>
          <w:lang w:val="en-CA"/>
        </w:rPr>
        <w:t>’</w:t>
      </w:r>
      <w:r w:rsidRPr="003F141B">
        <w:rPr>
          <w:lang w:val="en-CA"/>
        </w:rPr>
        <w:t>s factual findings are owed deference.</w:t>
      </w:r>
    </w:p>
    <w:p w14:paraId="4A66B1E7" w14:textId="6354EA45" w:rsidR="009130CA" w:rsidRPr="003F141B" w:rsidRDefault="006A473B" w:rsidP="009130CA">
      <w:pPr>
        <w:pStyle w:val="Paragraphe"/>
        <w:spacing w:line="240" w:lineRule="auto"/>
        <w:rPr>
          <w:lang w:val="en-CA"/>
        </w:rPr>
      </w:pPr>
      <w:r w:rsidRPr="003F141B">
        <w:rPr>
          <w:lang w:val="en-CA"/>
        </w:rPr>
        <w:t>These statements</w:t>
      </w:r>
      <w:r w:rsidR="00125175" w:rsidRPr="003F141B">
        <w:rPr>
          <w:lang w:val="en-CA"/>
        </w:rPr>
        <w:t xml:space="preserve"> are not </w:t>
      </w:r>
      <w:r w:rsidR="001914BD" w:rsidRPr="003F141B">
        <w:rPr>
          <w:lang w:val="en-CA"/>
        </w:rPr>
        <w:t>entirely</w:t>
      </w:r>
      <w:r w:rsidR="00125175" w:rsidRPr="003F141B">
        <w:rPr>
          <w:lang w:val="en-CA"/>
        </w:rPr>
        <w:t xml:space="preserve"> inco</w:t>
      </w:r>
      <w:r w:rsidRPr="003F141B">
        <w:rPr>
          <w:lang w:val="en-CA"/>
        </w:rPr>
        <w:t>mpatible</w:t>
      </w:r>
      <w:r w:rsidR="00125175" w:rsidRPr="003F141B">
        <w:rPr>
          <w:lang w:val="en-CA"/>
        </w:rPr>
        <w:t>.</w:t>
      </w:r>
    </w:p>
    <w:p w14:paraId="60C3CF52" w14:textId="74D9DA47" w:rsidR="009130CA" w:rsidRPr="003F141B" w:rsidRDefault="001914BD" w:rsidP="009130CA">
      <w:pPr>
        <w:pStyle w:val="Paragraphe"/>
        <w:spacing w:line="240" w:lineRule="auto"/>
        <w:rPr>
          <w:lang w:val="en-CA"/>
        </w:rPr>
      </w:pPr>
      <w:r w:rsidRPr="003F141B">
        <w:rPr>
          <w:lang w:val="en-CA"/>
        </w:rPr>
        <w:t>Determining</w:t>
      </w:r>
      <w:r w:rsidR="00125175" w:rsidRPr="003F141B">
        <w:rPr>
          <w:lang w:val="en-CA"/>
        </w:rPr>
        <w:t xml:space="preserve"> whether the </w:t>
      </w:r>
      <w:r w:rsidR="00230429" w:rsidRPr="002E7C7B">
        <w:rPr>
          <w:i/>
          <w:iCs/>
          <w:lang w:val="en-CA"/>
        </w:rPr>
        <w:t>Charter</w:t>
      </w:r>
      <w:r w:rsidR="00230429">
        <w:rPr>
          <w:lang w:val="en-CA"/>
        </w:rPr>
        <w:t xml:space="preserve"> </w:t>
      </w:r>
      <w:r w:rsidR="00125175" w:rsidRPr="003F141B">
        <w:rPr>
          <w:lang w:val="en-CA"/>
        </w:rPr>
        <w:t>right of a</w:t>
      </w:r>
      <w:r w:rsidRPr="003F141B">
        <w:rPr>
          <w:lang w:val="en-CA"/>
        </w:rPr>
        <w:t>n arrested or detained</w:t>
      </w:r>
      <w:r w:rsidR="00125175" w:rsidRPr="003F141B">
        <w:rPr>
          <w:lang w:val="en-CA"/>
        </w:rPr>
        <w:t xml:space="preserve"> person to </w:t>
      </w:r>
      <w:r w:rsidRPr="003F141B">
        <w:rPr>
          <w:lang w:val="en-CA"/>
        </w:rPr>
        <w:t>retain and instruct</w:t>
      </w:r>
      <w:r w:rsidR="00125175" w:rsidRPr="003F141B">
        <w:rPr>
          <w:lang w:val="en-CA"/>
        </w:rPr>
        <w:t xml:space="preserve"> counsel </w:t>
      </w:r>
      <w:r w:rsidRPr="003F141B">
        <w:rPr>
          <w:lang w:val="en-CA"/>
        </w:rPr>
        <w:t>of</w:t>
      </w:r>
      <w:r w:rsidR="000A6A7B" w:rsidRPr="003F141B">
        <w:rPr>
          <w:lang w:val="en-CA"/>
        </w:rPr>
        <w:t xml:space="preserve"> choice </w:t>
      </w:r>
      <w:r w:rsidR="00230429">
        <w:rPr>
          <w:lang w:val="en-CA"/>
        </w:rPr>
        <w:t xml:space="preserve">has been infringed </w:t>
      </w:r>
      <w:r w:rsidR="000A6A7B" w:rsidRPr="003F141B">
        <w:rPr>
          <w:lang w:val="en-CA"/>
        </w:rPr>
        <w:t xml:space="preserve">is a </w:t>
      </w:r>
      <w:r w:rsidR="006E47FA" w:rsidRPr="003F141B">
        <w:rPr>
          <w:lang w:val="en-CA"/>
        </w:rPr>
        <w:t xml:space="preserve">question </w:t>
      </w:r>
      <w:r w:rsidR="000A6A7B" w:rsidRPr="003F141B">
        <w:rPr>
          <w:lang w:val="en-CA"/>
        </w:rPr>
        <w:t xml:space="preserve">of law </w:t>
      </w:r>
      <w:r w:rsidR="00125175" w:rsidRPr="003F141B">
        <w:rPr>
          <w:lang w:val="en-CA"/>
        </w:rPr>
        <w:t xml:space="preserve">that is reviewable </w:t>
      </w:r>
      <w:r w:rsidR="006E47FA" w:rsidRPr="003F141B">
        <w:rPr>
          <w:lang w:val="en-CA"/>
        </w:rPr>
        <w:t xml:space="preserve">according to a </w:t>
      </w:r>
      <w:r w:rsidR="00125175" w:rsidRPr="003F141B">
        <w:rPr>
          <w:lang w:val="en-CA"/>
        </w:rPr>
        <w:t>standard</w:t>
      </w:r>
      <w:r w:rsidR="006E47FA" w:rsidRPr="003F141B">
        <w:rPr>
          <w:lang w:val="en-CA"/>
        </w:rPr>
        <w:t xml:space="preserve"> of correctness</w:t>
      </w:r>
      <w:r w:rsidR="00125175" w:rsidRPr="003F141B">
        <w:rPr>
          <w:lang w:val="en-CA"/>
        </w:rPr>
        <w:t>.</w:t>
      </w:r>
      <w:r w:rsidR="006A473B" w:rsidRPr="003F141B">
        <w:rPr>
          <w:rStyle w:val="Appelnotedebasdep"/>
          <w:lang w:val="en-CA"/>
        </w:rPr>
        <w:footnoteReference w:id="11"/>
      </w:r>
      <w:r w:rsidR="00125175" w:rsidRPr="003F141B">
        <w:rPr>
          <w:lang w:val="en-CA"/>
        </w:rPr>
        <w:t xml:space="preserve"> The analysis is nevertheless </w:t>
      </w:r>
      <w:r w:rsidR="000A6A7B" w:rsidRPr="003F141B">
        <w:rPr>
          <w:lang w:val="en-CA"/>
        </w:rPr>
        <w:t>inextricably linked to</w:t>
      </w:r>
      <w:r w:rsidR="00125175" w:rsidRPr="003F141B">
        <w:rPr>
          <w:lang w:val="en-CA"/>
        </w:rPr>
        <w:t xml:space="preserve"> the circumstances of the </w:t>
      </w:r>
      <w:r w:rsidR="006E47FA" w:rsidRPr="003F141B">
        <w:rPr>
          <w:lang w:val="en-CA"/>
        </w:rPr>
        <w:t>case</w:t>
      </w:r>
      <w:r w:rsidR="00125175" w:rsidRPr="003F141B">
        <w:rPr>
          <w:lang w:val="en-CA"/>
        </w:rPr>
        <w:t>,</w:t>
      </w:r>
      <w:r w:rsidR="00125175" w:rsidRPr="003F141B">
        <w:rPr>
          <w:rStyle w:val="Appelnotedebasdep"/>
          <w:lang w:val="en-CA"/>
        </w:rPr>
        <w:footnoteReference w:id="12"/>
      </w:r>
      <w:r w:rsidR="00125175" w:rsidRPr="003F141B">
        <w:rPr>
          <w:lang w:val="en-CA"/>
        </w:rPr>
        <w:t xml:space="preserve"> subject to the limits imposed by the Crown</w:t>
      </w:r>
      <w:r w:rsidR="003061CC">
        <w:rPr>
          <w:lang w:val="en-CA"/>
        </w:rPr>
        <w:t>’</w:t>
      </w:r>
      <w:r w:rsidR="00125175" w:rsidRPr="003F141B">
        <w:rPr>
          <w:lang w:val="en-CA"/>
        </w:rPr>
        <w:t xml:space="preserve">s right of appeal </w:t>
      </w:r>
      <w:r w:rsidR="001048C3">
        <w:rPr>
          <w:lang w:val="en-CA"/>
        </w:rPr>
        <w:t xml:space="preserve">on </w:t>
      </w:r>
      <w:r w:rsidR="00125175" w:rsidRPr="003F141B">
        <w:rPr>
          <w:lang w:val="en-CA"/>
        </w:rPr>
        <w:t xml:space="preserve">the re-examination of the </w:t>
      </w:r>
      <w:r w:rsidR="006E47FA" w:rsidRPr="003F141B">
        <w:rPr>
          <w:lang w:val="en-CA"/>
        </w:rPr>
        <w:t>trial judge</w:t>
      </w:r>
      <w:r w:rsidR="003061CC">
        <w:rPr>
          <w:lang w:val="en-CA"/>
        </w:rPr>
        <w:t>’</w:t>
      </w:r>
      <w:r w:rsidR="006E47FA" w:rsidRPr="003F141B">
        <w:rPr>
          <w:lang w:val="en-CA"/>
        </w:rPr>
        <w:t xml:space="preserve">s </w:t>
      </w:r>
      <w:r w:rsidR="00125175" w:rsidRPr="003F141B">
        <w:rPr>
          <w:lang w:val="en-CA"/>
        </w:rPr>
        <w:t xml:space="preserve">factual findings. </w:t>
      </w:r>
      <w:r w:rsidR="005003D8" w:rsidRPr="003F141B">
        <w:rPr>
          <w:lang w:val="en-CA"/>
        </w:rPr>
        <w:t xml:space="preserve"> </w:t>
      </w:r>
      <w:r w:rsidR="00125175" w:rsidRPr="003F141B">
        <w:rPr>
          <w:lang w:val="en-CA"/>
        </w:rPr>
        <w:t>I will come back to this later.</w:t>
      </w:r>
    </w:p>
    <w:p w14:paraId="52F565EA" w14:textId="63A27223" w:rsidR="009130CA" w:rsidRPr="003F141B" w:rsidRDefault="005003D8" w:rsidP="009130CA">
      <w:pPr>
        <w:pStyle w:val="Paragraphe"/>
        <w:keepNext/>
        <w:numPr>
          <w:ilvl w:val="0"/>
          <w:numId w:val="0"/>
        </w:numPr>
        <w:spacing w:line="240" w:lineRule="auto"/>
        <w:ind w:left="720" w:firstLine="720"/>
        <w:rPr>
          <w:b/>
          <w:lang w:val="en-CA"/>
        </w:rPr>
      </w:pPr>
      <w:r w:rsidRPr="003F141B">
        <w:rPr>
          <w:b/>
          <w:lang w:val="en-CA"/>
        </w:rPr>
        <w:t xml:space="preserve">3.1.2 </w:t>
      </w:r>
      <w:r w:rsidR="00125175" w:rsidRPr="003F141B">
        <w:rPr>
          <w:b/>
          <w:lang w:val="en-CA"/>
        </w:rPr>
        <w:t xml:space="preserve">The </w:t>
      </w:r>
      <w:r w:rsidR="007E7358" w:rsidRPr="003F141B">
        <w:rPr>
          <w:b/>
          <w:lang w:val="en-CA"/>
        </w:rPr>
        <w:t>right to</w:t>
      </w:r>
      <w:r w:rsidR="00125175" w:rsidRPr="003F141B">
        <w:rPr>
          <w:b/>
          <w:lang w:val="en-CA"/>
        </w:rPr>
        <w:t xml:space="preserve"> </w:t>
      </w:r>
      <w:r w:rsidR="00147C72" w:rsidRPr="003F141B">
        <w:rPr>
          <w:b/>
          <w:lang w:val="en-CA"/>
        </w:rPr>
        <w:t xml:space="preserve">retain and instruct </w:t>
      </w:r>
      <w:r w:rsidR="00125175" w:rsidRPr="003F141B">
        <w:rPr>
          <w:b/>
          <w:lang w:val="en-CA"/>
        </w:rPr>
        <w:t>counsel of choice:</w:t>
      </w:r>
      <w:r w:rsidRPr="003F141B">
        <w:rPr>
          <w:b/>
          <w:lang w:val="en-CA"/>
        </w:rPr>
        <w:t xml:space="preserve"> </w:t>
      </w:r>
      <w:r w:rsidR="0052562A" w:rsidRPr="003F141B">
        <w:rPr>
          <w:b/>
          <w:lang w:val="en-CA"/>
        </w:rPr>
        <w:t xml:space="preserve">some </w:t>
      </w:r>
      <w:r w:rsidR="00125175" w:rsidRPr="003F141B">
        <w:rPr>
          <w:b/>
          <w:lang w:val="en-CA"/>
        </w:rPr>
        <w:t>principles</w:t>
      </w:r>
    </w:p>
    <w:p w14:paraId="2B5395C7" w14:textId="6497CFED" w:rsidR="009130CA" w:rsidRPr="003F141B" w:rsidRDefault="00147C72" w:rsidP="009130CA">
      <w:pPr>
        <w:pStyle w:val="Paragraphe"/>
        <w:spacing w:line="240" w:lineRule="auto"/>
        <w:rPr>
          <w:lang w:val="en-CA"/>
        </w:rPr>
      </w:pPr>
      <w:r w:rsidRPr="003F141B">
        <w:rPr>
          <w:lang w:val="en-CA"/>
        </w:rPr>
        <w:t>S</w:t>
      </w:r>
      <w:r w:rsidR="0052562A" w:rsidRPr="003F141B">
        <w:rPr>
          <w:lang w:val="en-CA"/>
        </w:rPr>
        <w:t>ection</w:t>
      </w:r>
      <w:r w:rsidR="00125175" w:rsidRPr="003F141B">
        <w:rPr>
          <w:lang w:val="en-CA"/>
        </w:rPr>
        <w:t xml:space="preserve"> 10(b) of the </w:t>
      </w:r>
      <w:r w:rsidR="00125175" w:rsidRPr="003F141B">
        <w:rPr>
          <w:i/>
          <w:lang w:val="en-CA"/>
        </w:rPr>
        <w:t>Charter</w:t>
      </w:r>
      <w:r w:rsidR="00125175" w:rsidRPr="003F141B">
        <w:rPr>
          <w:lang w:val="en-CA"/>
        </w:rPr>
        <w:t xml:space="preserve"> expressly provides that</w:t>
      </w:r>
      <w:r w:rsidR="0052562A" w:rsidRPr="003F141B">
        <w:rPr>
          <w:lang w:val="en-CA"/>
        </w:rPr>
        <w:t>,</w:t>
      </w:r>
      <w:r w:rsidR="00125175" w:rsidRPr="003F141B">
        <w:rPr>
          <w:lang w:val="en-CA"/>
        </w:rPr>
        <w:t xml:space="preserve"> </w:t>
      </w:r>
      <w:r w:rsidR="0067015A" w:rsidRPr="003F141B">
        <w:rPr>
          <w:lang w:val="en-CA"/>
        </w:rPr>
        <w:t>upon arrest or detention</w:t>
      </w:r>
      <w:r w:rsidR="0052562A" w:rsidRPr="003F141B">
        <w:rPr>
          <w:lang w:val="en-CA"/>
        </w:rPr>
        <w:t>,</w:t>
      </w:r>
      <w:r w:rsidR="0067015A" w:rsidRPr="003F141B">
        <w:rPr>
          <w:lang w:val="en-CA"/>
        </w:rPr>
        <w:t xml:space="preserve"> </w:t>
      </w:r>
      <w:r w:rsidR="00125175" w:rsidRPr="003F141B">
        <w:rPr>
          <w:lang w:val="en-CA"/>
        </w:rPr>
        <w:t xml:space="preserve">everyone has the right </w:t>
      </w:r>
      <w:r w:rsidR="00081775">
        <w:rPr>
          <w:lang w:val="en-CA"/>
        </w:rPr>
        <w:t>“</w:t>
      </w:r>
      <w:r w:rsidR="00125175" w:rsidRPr="003F141B">
        <w:rPr>
          <w:lang w:val="en-CA"/>
        </w:rPr>
        <w:t xml:space="preserve">to retain and instruct counsel without delay and to be informed of </w:t>
      </w:r>
      <w:r w:rsidR="00125175" w:rsidRPr="003F141B">
        <w:rPr>
          <w:lang w:val="en-CA"/>
        </w:rPr>
        <w:lastRenderedPageBreak/>
        <w:t>that right</w:t>
      </w:r>
      <w:r w:rsidR="00081775">
        <w:rPr>
          <w:lang w:val="en-CA"/>
        </w:rPr>
        <w:t>”</w:t>
      </w:r>
      <w:r w:rsidR="0042372F">
        <w:rPr>
          <w:lang w:val="en-CA"/>
        </w:rPr>
        <w:t>.</w:t>
      </w:r>
      <w:r w:rsidR="005003D8" w:rsidRPr="003F141B">
        <w:rPr>
          <w:lang w:val="en-CA"/>
        </w:rPr>
        <w:t xml:space="preserve"> </w:t>
      </w:r>
      <w:r w:rsidR="00125175" w:rsidRPr="003F141B">
        <w:rPr>
          <w:lang w:val="en-CA"/>
        </w:rPr>
        <w:t xml:space="preserve">Furthermore, the person </w:t>
      </w:r>
      <w:r w:rsidR="0052562A" w:rsidRPr="003F141B">
        <w:rPr>
          <w:lang w:val="en-CA"/>
        </w:rPr>
        <w:t xml:space="preserve">may </w:t>
      </w:r>
      <w:r w:rsidR="00125175" w:rsidRPr="003F141B">
        <w:rPr>
          <w:lang w:val="en-CA"/>
        </w:rPr>
        <w:t>express the choice to communicate with a specific lawyer;</w:t>
      </w:r>
      <w:r w:rsidR="005003D8" w:rsidRPr="003F141B">
        <w:rPr>
          <w:lang w:val="en-CA"/>
        </w:rPr>
        <w:t xml:space="preserve"> </w:t>
      </w:r>
      <w:r w:rsidR="00125175" w:rsidRPr="003F141B">
        <w:rPr>
          <w:lang w:val="en-CA"/>
        </w:rPr>
        <w:t xml:space="preserve">that is one </w:t>
      </w:r>
      <w:r w:rsidR="0067015A" w:rsidRPr="003F141B">
        <w:rPr>
          <w:lang w:val="en-CA"/>
        </w:rPr>
        <w:t xml:space="preserve">facet </w:t>
      </w:r>
      <w:r w:rsidR="00125175" w:rsidRPr="003F141B">
        <w:rPr>
          <w:lang w:val="en-CA"/>
        </w:rPr>
        <w:t>of the guaranteed right.</w:t>
      </w:r>
      <w:r w:rsidR="005003D8" w:rsidRPr="003F141B">
        <w:rPr>
          <w:rStyle w:val="Appelnotedebasdep"/>
          <w:lang w:val="en-CA"/>
        </w:rPr>
        <w:footnoteReference w:id="13"/>
      </w:r>
      <w:r w:rsidR="00125175" w:rsidRPr="003F141B">
        <w:rPr>
          <w:lang w:val="en-CA"/>
        </w:rPr>
        <w:t xml:space="preserve"> </w:t>
      </w:r>
    </w:p>
    <w:p w14:paraId="40A5CFFB" w14:textId="2F1093EF" w:rsidR="009130CA" w:rsidRPr="003F141B" w:rsidRDefault="00125175" w:rsidP="009130CA">
      <w:pPr>
        <w:pStyle w:val="Paragraphe"/>
        <w:spacing w:line="240" w:lineRule="auto"/>
        <w:rPr>
          <w:lang w:val="en-CA"/>
        </w:rPr>
      </w:pPr>
      <w:r w:rsidRPr="003F141B">
        <w:rPr>
          <w:lang w:val="en-CA"/>
        </w:rPr>
        <w:t>As McLachlin</w:t>
      </w:r>
      <w:r w:rsidR="0052562A" w:rsidRPr="003F141B">
        <w:rPr>
          <w:lang w:val="en-CA"/>
        </w:rPr>
        <w:t>,</w:t>
      </w:r>
      <w:r w:rsidR="0067015A" w:rsidRPr="003F141B">
        <w:rPr>
          <w:lang w:val="en-CA"/>
        </w:rPr>
        <w:t xml:space="preserve"> C.J.</w:t>
      </w:r>
      <w:r w:rsidRPr="003F141B">
        <w:rPr>
          <w:lang w:val="en-CA"/>
        </w:rPr>
        <w:t xml:space="preserve"> and Charron</w:t>
      </w:r>
      <w:r w:rsidR="0052562A" w:rsidRPr="003F141B">
        <w:rPr>
          <w:lang w:val="en-CA"/>
        </w:rPr>
        <w:t>,</w:t>
      </w:r>
      <w:r w:rsidRPr="003F141B">
        <w:rPr>
          <w:lang w:val="en-CA"/>
        </w:rPr>
        <w:t xml:space="preserve"> J. noted in </w:t>
      </w:r>
      <w:r w:rsidRPr="003F141B">
        <w:rPr>
          <w:i/>
          <w:lang w:val="en-CA"/>
        </w:rPr>
        <w:t xml:space="preserve">McCrimmon </w:t>
      </w:r>
      <w:r w:rsidRPr="003F141B">
        <w:rPr>
          <w:lang w:val="en-CA"/>
        </w:rPr>
        <w:t xml:space="preserve">and </w:t>
      </w:r>
      <w:r w:rsidRPr="003F141B">
        <w:rPr>
          <w:i/>
          <w:lang w:val="en-CA"/>
        </w:rPr>
        <w:t>Willier</w:t>
      </w:r>
      <w:r w:rsidRPr="003F141B">
        <w:rPr>
          <w:lang w:val="en-CA"/>
        </w:rPr>
        <w:t xml:space="preserve">, that right is intended to </w:t>
      </w:r>
      <w:r w:rsidR="00081775">
        <w:rPr>
          <w:lang w:val="en-CA"/>
        </w:rPr>
        <w:t>“</w:t>
      </w:r>
      <w:r w:rsidRPr="003F141B">
        <w:rPr>
          <w:lang w:val="en-CA"/>
        </w:rPr>
        <w:t>provide detainees with immediate legal advice on his or her rights under the law, mainly regarding the right to remain silent</w:t>
      </w:r>
      <w:r w:rsidR="00081775">
        <w:rPr>
          <w:lang w:val="en-CA"/>
        </w:rPr>
        <w:t>”</w:t>
      </w:r>
      <w:r w:rsidR="002905F8">
        <w:rPr>
          <w:lang w:val="en-CA"/>
        </w:rPr>
        <w:t>.</w:t>
      </w:r>
      <w:r w:rsidR="005003D8" w:rsidRPr="003F141B">
        <w:rPr>
          <w:rStyle w:val="Appelnotedebasdep"/>
          <w:lang w:val="en-CA"/>
        </w:rPr>
        <w:footnoteReference w:id="14"/>
      </w:r>
      <w:r w:rsidRPr="003F141B">
        <w:rPr>
          <w:lang w:val="en-CA"/>
        </w:rPr>
        <w:t xml:space="preserve"> </w:t>
      </w:r>
      <w:r w:rsidR="005003D8" w:rsidRPr="003F141B">
        <w:rPr>
          <w:lang w:val="en-CA"/>
        </w:rPr>
        <w:t xml:space="preserve"> </w:t>
      </w:r>
      <w:r w:rsidRPr="003F141B">
        <w:rPr>
          <w:lang w:val="en-CA"/>
        </w:rPr>
        <w:t xml:space="preserve">In </w:t>
      </w:r>
      <w:r w:rsidRPr="003F141B">
        <w:rPr>
          <w:i/>
          <w:lang w:val="en-CA"/>
        </w:rPr>
        <w:t>McCrimmon</w:t>
      </w:r>
      <w:r w:rsidRPr="003F141B">
        <w:rPr>
          <w:lang w:val="en-CA"/>
        </w:rPr>
        <w:t>, they added:</w:t>
      </w:r>
    </w:p>
    <w:p w14:paraId="34289E1C" w14:textId="7ED483EF" w:rsidR="00125175" w:rsidRPr="003F141B" w:rsidRDefault="00125175" w:rsidP="009130CA">
      <w:pPr>
        <w:pStyle w:val="Citationenretrait"/>
        <w:spacing w:line="240" w:lineRule="auto"/>
        <w:rPr>
          <w:lang w:val="en-CA"/>
        </w:rPr>
      </w:pPr>
      <w:r w:rsidRPr="003F141B">
        <w:rPr>
          <w:lang w:val="en-CA"/>
        </w:rPr>
        <w:t xml:space="preserve">[17] As explained in </w:t>
      </w:r>
      <w:r w:rsidRPr="003F141B">
        <w:rPr>
          <w:i/>
          <w:lang w:val="en-CA"/>
        </w:rPr>
        <w:t>Willier</w:t>
      </w:r>
      <w:r w:rsidRPr="003F141B">
        <w:rPr>
          <w:lang w:val="en-CA"/>
        </w:rPr>
        <w:t xml:space="preserve">, the right to choose counsel is one facet of the guarantee under s. 10(b) of the </w:t>
      </w:r>
      <w:r w:rsidRPr="003F141B">
        <w:rPr>
          <w:i/>
          <w:lang w:val="en-CA"/>
        </w:rPr>
        <w:t>Charter</w:t>
      </w:r>
      <w:r w:rsidRPr="003F141B">
        <w:rPr>
          <w:lang w:val="en-CA"/>
        </w:rPr>
        <w:t xml:space="preserve">.  Where the detainee opts to exercise the right to counsel by speaking with a specific lawyer, s. 10(b) entitles him or her to a reasonable opportunity to contact chosen counsel. </w:t>
      </w:r>
      <w:r w:rsidRPr="003F141B">
        <w:rPr>
          <w:u w:val="single"/>
          <w:lang w:val="en-CA"/>
        </w:rPr>
        <w:t xml:space="preserve">If the chosen lawyer is not </w:t>
      </w:r>
      <w:r w:rsidRPr="003F141B">
        <w:rPr>
          <w:b/>
          <w:lang w:val="en-CA"/>
        </w:rPr>
        <w:t>immediately</w:t>
      </w:r>
      <w:r w:rsidRPr="003F141B">
        <w:rPr>
          <w:lang w:val="en-CA"/>
        </w:rPr>
        <w:t xml:space="preserve"> </w:t>
      </w:r>
      <w:r w:rsidRPr="003F141B">
        <w:rPr>
          <w:u w:val="single"/>
          <w:lang w:val="en-CA"/>
        </w:rPr>
        <w:t>available, the detainee has the right to refuse to contact another counsel and wait a reasonable amount of time for counsel of choice to become available</w:t>
      </w:r>
      <w:r w:rsidRPr="003F141B">
        <w:rPr>
          <w:lang w:val="en-CA"/>
        </w:rPr>
        <w:t>.</w:t>
      </w:r>
      <w:r w:rsidR="005003D8" w:rsidRPr="003F141B">
        <w:rPr>
          <w:lang w:val="en-CA"/>
        </w:rPr>
        <w:t xml:space="preserve"> </w:t>
      </w:r>
      <w:r w:rsidR="00910ADC" w:rsidRPr="002A506D">
        <w:rPr>
          <w:rFonts w:cs="Arial"/>
          <w:lang w:val="fr-FR"/>
        </w:rPr>
        <w:t>[…]</w:t>
      </w:r>
    </w:p>
    <w:p w14:paraId="15466E6B" w14:textId="12E814F1" w:rsidR="009130CA" w:rsidRPr="003F141B" w:rsidRDefault="00125175" w:rsidP="009130CA">
      <w:pPr>
        <w:pStyle w:val="Citationenretrait"/>
        <w:spacing w:line="240" w:lineRule="auto"/>
        <w:rPr>
          <w:lang w:val="en-CA"/>
        </w:rPr>
      </w:pPr>
      <w:r w:rsidRPr="003F141B">
        <w:rPr>
          <w:lang w:val="en-CA"/>
        </w:rPr>
        <w:t>[18</w:t>
      </w:r>
      <w:r w:rsidR="00147C72" w:rsidRPr="003F141B">
        <w:rPr>
          <w:lang w:val="en-CA"/>
        </w:rPr>
        <w:t>]</w:t>
      </w:r>
      <w:r w:rsidR="0036724A" w:rsidRPr="003F141B">
        <w:rPr>
          <w:lang w:val="en-CA"/>
        </w:rPr>
        <w:t xml:space="preserve"> </w:t>
      </w:r>
      <w:r w:rsidR="00910ADC" w:rsidRPr="002A506D">
        <w:rPr>
          <w:rFonts w:cs="Arial"/>
          <w:lang w:val="fr-FR"/>
        </w:rPr>
        <w:t>[…]</w:t>
      </w:r>
      <w:r w:rsidR="00147C72" w:rsidRPr="003F141B">
        <w:rPr>
          <w:lang w:val="en-CA"/>
        </w:rPr>
        <w:t xml:space="preserve"> </w:t>
      </w:r>
      <w:r w:rsidRPr="003F141B">
        <w:rPr>
          <w:lang w:val="en-CA"/>
        </w:rPr>
        <w:t xml:space="preserve">It is also because of this </w:t>
      </w:r>
      <w:r w:rsidRPr="003F141B">
        <w:rPr>
          <w:b/>
          <w:lang w:val="en-CA"/>
        </w:rPr>
        <w:t>immediate</w:t>
      </w:r>
      <w:r w:rsidRPr="003F141B">
        <w:rPr>
          <w:lang w:val="en-CA"/>
        </w:rPr>
        <w:t xml:space="preserve"> need to consult </w:t>
      </w:r>
      <w:r w:rsidRPr="003F141B">
        <w:rPr>
          <w:u w:val="single"/>
          <w:lang w:val="en-CA"/>
        </w:rPr>
        <w:t>counsel that information about the existence and availability of duty counsel and Legal Aid plans</w:t>
      </w:r>
      <w:r w:rsidRPr="003F141B">
        <w:rPr>
          <w:b/>
          <w:lang w:val="en-CA"/>
        </w:rPr>
        <w:t xml:space="preserve"> must</w:t>
      </w:r>
      <w:r w:rsidRPr="003F141B">
        <w:rPr>
          <w:lang w:val="en-CA"/>
        </w:rPr>
        <w:t xml:space="preserve"> </w:t>
      </w:r>
      <w:r w:rsidRPr="003F141B">
        <w:rPr>
          <w:u w:val="single"/>
          <w:lang w:val="en-CA"/>
        </w:rPr>
        <w:t>be part of the</w:t>
      </w:r>
      <w:r w:rsidRPr="003F141B">
        <w:rPr>
          <w:lang w:val="en-CA"/>
        </w:rPr>
        <w:t xml:space="preserve"> standard s. 10(b) </w:t>
      </w:r>
      <w:r w:rsidRPr="003F141B">
        <w:rPr>
          <w:u w:val="single"/>
          <w:lang w:val="en-CA"/>
        </w:rPr>
        <w:t>caution</w:t>
      </w:r>
      <w:r w:rsidRPr="003F141B">
        <w:rPr>
          <w:lang w:val="en-CA"/>
        </w:rPr>
        <w:t xml:space="preserve"> upon arrest or detention [</w:t>
      </w:r>
      <w:r w:rsidR="005958F3">
        <w:rPr>
          <w:lang w:val="en-CA"/>
        </w:rPr>
        <w:t>references</w:t>
      </w:r>
      <w:r w:rsidR="005958F3" w:rsidRPr="003F141B">
        <w:rPr>
          <w:lang w:val="en-CA"/>
        </w:rPr>
        <w:t xml:space="preserve"> </w:t>
      </w:r>
      <w:r w:rsidRPr="003F141B">
        <w:rPr>
          <w:lang w:val="en-CA"/>
        </w:rPr>
        <w:t>omitted].</w:t>
      </w:r>
      <w:bookmarkStart w:id="12" w:name="_Ref49938280"/>
      <w:r w:rsidR="00910ADC" w:rsidRPr="00910ADC">
        <w:rPr>
          <w:rFonts w:cs="Arial"/>
          <w:lang w:val="fr-FR"/>
        </w:rPr>
        <w:t xml:space="preserve"> </w:t>
      </w:r>
      <w:r w:rsidR="00910ADC" w:rsidRPr="002A506D">
        <w:rPr>
          <w:rFonts w:cs="Arial"/>
          <w:lang w:val="fr-FR"/>
        </w:rPr>
        <w:t>[…]</w:t>
      </w:r>
      <w:r w:rsidR="005003D8" w:rsidRPr="003F141B">
        <w:rPr>
          <w:rStyle w:val="Appelnotedebasdep"/>
          <w:lang w:val="en-CA"/>
        </w:rPr>
        <w:footnoteReference w:id="15"/>
      </w:r>
      <w:bookmarkEnd w:id="12"/>
      <w:r w:rsidR="005003D8" w:rsidRPr="003F141B">
        <w:rPr>
          <w:lang w:val="en-CA"/>
        </w:rPr>
        <w:t> </w:t>
      </w:r>
    </w:p>
    <w:p w14:paraId="4A06B4F8" w14:textId="564CD965" w:rsidR="009130CA" w:rsidRPr="003F141B" w:rsidRDefault="00125175" w:rsidP="00125175">
      <w:pPr>
        <w:pStyle w:val="Citationenretrait"/>
        <w:spacing w:line="240" w:lineRule="auto"/>
        <w:rPr>
          <w:lang w:val="en-CA"/>
        </w:rPr>
      </w:pPr>
      <w:r w:rsidRPr="003F141B">
        <w:rPr>
          <w:lang w:val="en-CA"/>
        </w:rPr>
        <w:t xml:space="preserve"> </w:t>
      </w:r>
      <w:r w:rsidR="005003D8" w:rsidRPr="003F141B">
        <w:rPr>
          <w:lang w:val="en-CA"/>
        </w:rPr>
        <w:tab/>
      </w:r>
      <w:r w:rsidR="005003D8" w:rsidRPr="003F141B">
        <w:rPr>
          <w:lang w:val="en-CA"/>
        </w:rPr>
        <w:tab/>
      </w:r>
      <w:r w:rsidR="005003D8" w:rsidRPr="003F141B">
        <w:rPr>
          <w:lang w:val="en-CA"/>
        </w:rPr>
        <w:tab/>
      </w:r>
      <w:r w:rsidRPr="003F141B">
        <w:rPr>
          <w:lang w:val="en-CA"/>
        </w:rPr>
        <w:t xml:space="preserve">                             [</w:t>
      </w:r>
      <w:r w:rsidR="0059037B">
        <w:rPr>
          <w:lang w:val="en-CA"/>
        </w:rPr>
        <w:t>Underlining added; boldface added</w:t>
      </w:r>
      <w:r w:rsidRPr="003F141B">
        <w:rPr>
          <w:lang w:val="en-CA"/>
        </w:rPr>
        <w:t>]</w:t>
      </w:r>
      <w:r w:rsidR="005003D8" w:rsidRPr="003F141B">
        <w:rPr>
          <w:lang w:val="en-CA"/>
        </w:rPr>
        <w:t xml:space="preserve"> </w:t>
      </w:r>
    </w:p>
    <w:p w14:paraId="7E596D79" w14:textId="5D3CD786" w:rsidR="009130CA" w:rsidRPr="003F141B" w:rsidRDefault="00125175" w:rsidP="009130CA">
      <w:pPr>
        <w:pStyle w:val="Paragraphe"/>
        <w:spacing w:line="240" w:lineRule="auto"/>
        <w:rPr>
          <w:lang w:val="en-CA"/>
        </w:rPr>
      </w:pPr>
      <w:r w:rsidRPr="003F141B">
        <w:rPr>
          <w:lang w:val="en-CA"/>
        </w:rPr>
        <w:t>As the Supreme Court also noted</w:t>
      </w:r>
      <w:r w:rsidR="0036724A" w:rsidRPr="003F141B">
        <w:rPr>
          <w:lang w:val="en-CA"/>
        </w:rPr>
        <w:t xml:space="preserve"> </w:t>
      </w:r>
      <w:r w:rsidRPr="003F141B">
        <w:rPr>
          <w:lang w:val="en-CA"/>
        </w:rPr>
        <w:t xml:space="preserve">in </w:t>
      </w:r>
      <w:r w:rsidRPr="003F141B">
        <w:rPr>
          <w:i/>
          <w:lang w:val="en-CA"/>
        </w:rPr>
        <w:t>Sinclair</w:t>
      </w:r>
      <w:r w:rsidRPr="003F141B">
        <w:rPr>
          <w:lang w:val="en-CA"/>
        </w:rPr>
        <w:t xml:space="preserve">, 25 years of case law have established that </w:t>
      </w:r>
      <w:r w:rsidR="00147C72" w:rsidRPr="003F141B">
        <w:rPr>
          <w:lang w:val="en-CA"/>
        </w:rPr>
        <w:t>s.</w:t>
      </w:r>
      <w:r w:rsidRPr="003F141B">
        <w:rPr>
          <w:lang w:val="en-CA"/>
        </w:rPr>
        <w:t xml:space="preserve"> 10(b) of the </w:t>
      </w:r>
      <w:r w:rsidRPr="003F141B">
        <w:rPr>
          <w:i/>
          <w:lang w:val="en-CA"/>
        </w:rPr>
        <w:t xml:space="preserve">Charter </w:t>
      </w:r>
      <w:r w:rsidRPr="003F141B">
        <w:rPr>
          <w:lang w:val="en-CA"/>
        </w:rPr>
        <w:t xml:space="preserve">essentially provides </w:t>
      </w:r>
      <w:r w:rsidR="00081775">
        <w:rPr>
          <w:lang w:val="en-CA"/>
        </w:rPr>
        <w:t>“</w:t>
      </w:r>
      <w:r w:rsidRPr="003F141B">
        <w:rPr>
          <w:lang w:val="en-CA"/>
        </w:rPr>
        <w:t xml:space="preserve">the right to consult counsel to obtain information and advice </w:t>
      </w:r>
      <w:r w:rsidRPr="003F141B">
        <w:rPr>
          <w:u w:val="single"/>
          <w:lang w:val="en-CA"/>
        </w:rPr>
        <w:t>immediately upon detention</w:t>
      </w:r>
      <w:r w:rsidR="00081775">
        <w:rPr>
          <w:lang w:val="en-CA"/>
        </w:rPr>
        <w:t>”</w:t>
      </w:r>
      <w:r w:rsidR="00685627">
        <w:rPr>
          <w:lang w:val="en-CA"/>
        </w:rPr>
        <w:t>.</w:t>
      </w:r>
      <w:r w:rsidR="005003D8" w:rsidRPr="003F141B">
        <w:rPr>
          <w:rStyle w:val="Appelnotedebasdep"/>
          <w:lang w:val="en-CA"/>
        </w:rPr>
        <w:footnoteReference w:id="16"/>
      </w:r>
    </w:p>
    <w:p w14:paraId="47C9C3ED" w14:textId="33ED9364" w:rsidR="009130CA" w:rsidRPr="003F141B" w:rsidRDefault="00125175" w:rsidP="009130CA">
      <w:pPr>
        <w:pStyle w:val="Paragraphe"/>
        <w:spacing w:line="240" w:lineRule="auto"/>
        <w:rPr>
          <w:lang w:val="en-CA"/>
        </w:rPr>
      </w:pPr>
      <w:r w:rsidRPr="003F141B">
        <w:rPr>
          <w:lang w:val="en-CA"/>
        </w:rPr>
        <w:t xml:space="preserve">That said, the police obligations flowing from </w:t>
      </w:r>
      <w:r w:rsidR="00147C72" w:rsidRPr="003F141B">
        <w:rPr>
          <w:lang w:val="en-CA"/>
        </w:rPr>
        <w:t>s.</w:t>
      </w:r>
      <w:r w:rsidRPr="003F141B">
        <w:rPr>
          <w:lang w:val="en-CA"/>
        </w:rPr>
        <w:t xml:space="preserve"> 10(b) include not only</w:t>
      </w:r>
      <w:r w:rsidR="00147C72" w:rsidRPr="003F141B">
        <w:rPr>
          <w:lang w:val="en-CA"/>
        </w:rPr>
        <w:t xml:space="preserve"> this </w:t>
      </w:r>
      <w:r w:rsidR="00081775">
        <w:rPr>
          <w:lang w:val="en-CA"/>
        </w:rPr>
        <w:t>“</w:t>
      </w:r>
      <w:r w:rsidR="00147C72" w:rsidRPr="003F141B">
        <w:rPr>
          <w:lang w:val="en-CA"/>
        </w:rPr>
        <w:t>informational component</w:t>
      </w:r>
      <w:r w:rsidR="00081775">
        <w:rPr>
          <w:lang w:val="en-CA"/>
        </w:rPr>
        <w:t>”</w:t>
      </w:r>
      <w:r w:rsidR="005003D8" w:rsidRPr="003F141B">
        <w:rPr>
          <w:rStyle w:val="Appelnotedebasdep"/>
          <w:lang w:val="en-CA"/>
        </w:rPr>
        <w:footnoteReference w:id="17"/>
      </w:r>
      <w:r w:rsidR="0036724A" w:rsidRPr="003F141B">
        <w:rPr>
          <w:lang w:val="en-CA"/>
        </w:rPr>
        <w:t xml:space="preserve"> </w:t>
      </w:r>
      <w:r w:rsidRPr="003F141B">
        <w:rPr>
          <w:rFonts w:cs="Arial"/>
          <w:color w:val="000000"/>
          <w:szCs w:val="24"/>
          <w:lang w:val="en-CA" w:eastAsia="fr-CA"/>
        </w:rPr>
        <w:t xml:space="preserve">but also, if the person indicates a desire to exercise his or her right, the </w:t>
      </w:r>
      <w:r w:rsidR="00081775">
        <w:rPr>
          <w:rFonts w:cs="Arial"/>
          <w:color w:val="000000"/>
          <w:szCs w:val="24"/>
          <w:lang w:val="en-CA" w:eastAsia="fr-CA"/>
        </w:rPr>
        <w:t>“</w:t>
      </w:r>
      <w:r w:rsidRPr="003F141B">
        <w:rPr>
          <w:rFonts w:cs="Arial"/>
          <w:color w:val="000000"/>
          <w:szCs w:val="24"/>
          <w:lang w:val="en-CA" w:eastAsia="fr-CA"/>
        </w:rPr>
        <w:t>implementational component</w:t>
      </w:r>
      <w:r w:rsidR="00081775">
        <w:rPr>
          <w:rFonts w:cs="Arial"/>
          <w:color w:val="000000"/>
          <w:szCs w:val="24"/>
          <w:lang w:val="en-CA" w:eastAsia="fr-CA"/>
        </w:rPr>
        <w:t>”</w:t>
      </w:r>
      <w:r w:rsidRPr="003F141B">
        <w:rPr>
          <w:rFonts w:cs="Arial"/>
          <w:color w:val="000000"/>
          <w:szCs w:val="24"/>
          <w:lang w:val="en-CA" w:eastAsia="fr-CA"/>
        </w:rPr>
        <w:t>.</w:t>
      </w:r>
      <w:r w:rsidR="005003D8" w:rsidRPr="003F141B">
        <w:rPr>
          <w:rStyle w:val="Appelnotedebasdep"/>
          <w:lang w:val="en-CA"/>
        </w:rPr>
        <w:footnoteReference w:id="18"/>
      </w:r>
      <w:r w:rsidRPr="003F141B">
        <w:rPr>
          <w:rFonts w:cs="Arial"/>
          <w:color w:val="000000"/>
          <w:szCs w:val="24"/>
          <w:lang w:val="en-CA" w:eastAsia="fr-CA"/>
        </w:rPr>
        <w:t xml:space="preserve"> </w:t>
      </w:r>
      <w:r w:rsidRPr="003F141B">
        <w:rPr>
          <w:lang w:val="en-CA"/>
        </w:rPr>
        <w:t xml:space="preserve">Failure to comply with either of these components results in </w:t>
      </w:r>
      <w:r w:rsidR="00147C72" w:rsidRPr="003F141B">
        <w:rPr>
          <w:lang w:val="en-CA"/>
        </w:rPr>
        <w:t>the infringement</w:t>
      </w:r>
      <w:r w:rsidRPr="003F141B">
        <w:rPr>
          <w:lang w:val="en-CA"/>
        </w:rPr>
        <w:t xml:space="preserve"> of the guaranteed right.</w:t>
      </w:r>
      <w:r w:rsidR="005003D8" w:rsidRPr="003F141B">
        <w:rPr>
          <w:rStyle w:val="Appelnotedebasdep"/>
          <w:lang w:val="en-CA"/>
        </w:rPr>
        <w:footnoteReference w:id="19"/>
      </w:r>
      <w:r w:rsidRPr="003F141B">
        <w:rPr>
          <w:lang w:val="en-CA"/>
        </w:rPr>
        <w:t xml:space="preserve"> </w:t>
      </w:r>
    </w:p>
    <w:p w14:paraId="226E3670" w14:textId="022515BC" w:rsidR="009130CA" w:rsidRPr="003F141B" w:rsidRDefault="00125175" w:rsidP="009130CA">
      <w:pPr>
        <w:pStyle w:val="Paragraphe"/>
        <w:spacing w:line="240" w:lineRule="auto"/>
        <w:rPr>
          <w:lang w:val="en-CA"/>
        </w:rPr>
      </w:pPr>
      <w:r w:rsidRPr="003F141B">
        <w:rPr>
          <w:lang w:val="en-CA"/>
        </w:rPr>
        <w:t xml:space="preserve">This </w:t>
      </w:r>
      <w:r w:rsidR="00081775">
        <w:rPr>
          <w:lang w:val="en-CA"/>
        </w:rPr>
        <w:t>“</w:t>
      </w:r>
      <w:r w:rsidRPr="003F141B">
        <w:rPr>
          <w:lang w:val="en-CA"/>
        </w:rPr>
        <w:t>implementational</w:t>
      </w:r>
      <w:r w:rsidR="00081775">
        <w:rPr>
          <w:lang w:val="en-CA"/>
        </w:rPr>
        <w:t>”</w:t>
      </w:r>
      <w:r w:rsidRPr="003F141B">
        <w:rPr>
          <w:lang w:val="en-CA"/>
        </w:rPr>
        <w:t xml:space="preserve"> component requires police officers to give the arrested or detained person </w:t>
      </w:r>
      <w:r w:rsidR="00CD3FBE" w:rsidRPr="003F141B">
        <w:rPr>
          <w:lang w:val="en-CA"/>
        </w:rPr>
        <w:t xml:space="preserve">a </w:t>
      </w:r>
      <w:r w:rsidRPr="003F141B">
        <w:rPr>
          <w:lang w:val="en-CA"/>
        </w:rPr>
        <w:t xml:space="preserve">reasonable </w:t>
      </w:r>
      <w:r w:rsidR="001F7650">
        <w:rPr>
          <w:lang w:val="en-CA"/>
        </w:rPr>
        <w:t xml:space="preserve">opportunity </w:t>
      </w:r>
      <w:r w:rsidRPr="003F141B">
        <w:rPr>
          <w:lang w:val="en-CA"/>
        </w:rPr>
        <w:t>to exercise the right, except in cases of urgency or danger</w:t>
      </w:r>
      <w:r w:rsidR="00685627">
        <w:rPr>
          <w:lang w:val="en-CA"/>
        </w:rPr>
        <w:t xml:space="preserve">, </w:t>
      </w:r>
      <w:r w:rsidR="00685627" w:rsidRPr="00C32685">
        <w:rPr>
          <w:lang w:val="en-CA"/>
        </w:rPr>
        <w:t xml:space="preserve">and to refrain from trying to </w:t>
      </w:r>
      <w:r w:rsidR="00FB291F">
        <w:rPr>
          <w:lang w:val="en-CA"/>
        </w:rPr>
        <w:t xml:space="preserve">elicit </w:t>
      </w:r>
      <w:r w:rsidR="001F7650" w:rsidRPr="002E7C7B">
        <w:rPr>
          <w:lang w:val="en-CA"/>
        </w:rPr>
        <w:t>evidence until the person has had that opportunity, except, again, in cases of urgency or danger</w:t>
      </w:r>
      <w:r w:rsidRPr="003F141B">
        <w:rPr>
          <w:lang w:val="en-CA"/>
        </w:rPr>
        <w:t>.</w:t>
      </w:r>
      <w:r w:rsidR="005003D8" w:rsidRPr="003F141B">
        <w:rPr>
          <w:rStyle w:val="Appelnotedebasdep"/>
          <w:lang w:val="en-CA"/>
        </w:rPr>
        <w:footnoteReference w:id="20"/>
      </w:r>
      <w:r w:rsidRPr="003F141B">
        <w:rPr>
          <w:lang w:val="en-CA"/>
        </w:rPr>
        <w:t xml:space="preserve"> </w:t>
      </w:r>
    </w:p>
    <w:p w14:paraId="49E527B5" w14:textId="7EC17201" w:rsidR="007D1340" w:rsidRPr="003F141B" w:rsidRDefault="00147C72" w:rsidP="009130CA">
      <w:pPr>
        <w:pStyle w:val="Paragraphe"/>
        <w:spacing w:line="240" w:lineRule="auto"/>
        <w:rPr>
          <w:lang w:val="en-CA"/>
        </w:rPr>
      </w:pPr>
      <w:r w:rsidRPr="003F141B">
        <w:rPr>
          <w:lang w:val="en-CA"/>
        </w:rPr>
        <w:t>Section</w:t>
      </w:r>
      <w:r w:rsidR="007D1340" w:rsidRPr="003F141B">
        <w:rPr>
          <w:lang w:val="en-CA"/>
        </w:rPr>
        <w:t xml:space="preserve"> 10(b), however, does not recognize an absolute and unlimited </w:t>
      </w:r>
      <w:r w:rsidR="007E7358" w:rsidRPr="003F141B">
        <w:rPr>
          <w:lang w:val="en-CA"/>
        </w:rPr>
        <w:t>right to</w:t>
      </w:r>
      <w:r w:rsidR="007D1340" w:rsidRPr="003F141B">
        <w:rPr>
          <w:lang w:val="en-CA"/>
        </w:rPr>
        <w:t xml:space="preserve"> </w:t>
      </w:r>
      <w:r w:rsidRPr="003F141B">
        <w:rPr>
          <w:lang w:val="en-CA"/>
        </w:rPr>
        <w:t>retain and instruct counsel</w:t>
      </w:r>
      <w:r w:rsidR="007D1340" w:rsidRPr="003F141B">
        <w:rPr>
          <w:lang w:val="en-CA"/>
        </w:rPr>
        <w:t>, including the right to counsel of choice</w:t>
      </w:r>
      <w:r w:rsidR="00EC1627" w:rsidRPr="003F141B">
        <w:rPr>
          <w:lang w:val="en-CA"/>
        </w:rPr>
        <w:t>, and furthermore</w:t>
      </w:r>
      <w:r w:rsidR="007D1340" w:rsidRPr="003F141B">
        <w:rPr>
          <w:lang w:val="en-CA"/>
        </w:rPr>
        <w:t>, diligence must also accompany the arrested or detained person</w:t>
      </w:r>
      <w:r w:rsidR="003061CC">
        <w:rPr>
          <w:lang w:val="en-CA"/>
        </w:rPr>
        <w:t>’</w:t>
      </w:r>
      <w:r w:rsidR="007D1340" w:rsidRPr="003F141B">
        <w:rPr>
          <w:lang w:val="en-CA"/>
        </w:rPr>
        <w:t xml:space="preserve">s exercise of his or her </w:t>
      </w:r>
      <w:r w:rsidR="007D1340" w:rsidRPr="003F141B">
        <w:rPr>
          <w:lang w:val="en-CA"/>
        </w:rPr>
        <w:lastRenderedPageBreak/>
        <w:t>right.</w:t>
      </w:r>
      <w:r w:rsidR="005003D8" w:rsidRPr="003F141B">
        <w:rPr>
          <w:rStyle w:val="Appelnotedebasdep"/>
          <w:lang w:val="en-CA" w:eastAsia="fr-CA"/>
        </w:rPr>
        <w:footnoteReference w:id="21"/>
      </w:r>
      <w:r w:rsidR="007D1340" w:rsidRPr="003F141B">
        <w:rPr>
          <w:lang w:val="en-CA" w:eastAsia="fr-CA"/>
        </w:rPr>
        <w:t xml:space="preserve"> As a corollary, the obligations of the police are not absolute</w:t>
      </w:r>
      <w:r w:rsidR="004A09E0" w:rsidRPr="003F141B">
        <w:rPr>
          <w:lang w:val="en-CA" w:eastAsia="fr-CA"/>
        </w:rPr>
        <w:t>,</w:t>
      </w:r>
      <w:r w:rsidR="007D1340" w:rsidRPr="003F141B">
        <w:rPr>
          <w:rStyle w:val="Appelnotedebasdep"/>
          <w:lang w:val="en-CA" w:eastAsia="fr-CA"/>
        </w:rPr>
        <w:footnoteReference w:id="22"/>
      </w:r>
      <w:r w:rsidR="00CD3FBE" w:rsidRPr="003F141B">
        <w:rPr>
          <w:lang w:val="en-CA" w:eastAsia="fr-CA"/>
        </w:rPr>
        <w:t xml:space="preserve"> </w:t>
      </w:r>
      <w:r w:rsidR="007D1340" w:rsidRPr="003F141B">
        <w:rPr>
          <w:lang w:val="en-CA" w:eastAsia="fr-CA"/>
        </w:rPr>
        <w:t>and the guaranteed rights must be exercised in a way that is reconcilable with the needs of society.</w:t>
      </w:r>
      <w:r w:rsidR="005003D8" w:rsidRPr="003F141B">
        <w:rPr>
          <w:rStyle w:val="Appelnotedebasdep"/>
          <w:lang w:val="en-CA"/>
        </w:rPr>
        <w:footnoteReference w:id="23"/>
      </w:r>
    </w:p>
    <w:p w14:paraId="21C1887B" w14:textId="2EC380BA" w:rsidR="007D1340" w:rsidRPr="003F141B" w:rsidRDefault="007D1340" w:rsidP="009130CA">
      <w:pPr>
        <w:pStyle w:val="Paragraphe"/>
        <w:spacing w:line="240" w:lineRule="auto"/>
        <w:rPr>
          <w:lang w:val="en-CA"/>
        </w:rPr>
      </w:pPr>
      <w:r w:rsidRPr="003F141B">
        <w:rPr>
          <w:lang w:val="en-CA"/>
        </w:rPr>
        <w:t xml:space="preserve">In </w:t>
      </w:r>
      <w:proofErr w:type="spellStart"/>
      <w:r w:rsidRPr="003F141B">
        <w:rPr>
          <w:i/>
          <w:lang w:val="en-CA"/>
        </w:rPr>
        <w:t>Keror</w:t>
      </w:r>
      <w:proofErr w:type="spellEnd"/>
      <w:r w:rsidRPr="003F141B">
        <w:rPr>
          <w:lang w:val="en-CA"/>
        </w:rPr>
        <w:t>,</w:t>
      </w:r>
      <w:r w:rsidRPr="003F141B">
        <w:rPr>
          <w:rStyle w:val="Appelnotedebasdep"/>
          <w:lang w:val="en-CA"/>
        </w:rPr>
        <w:footnoteReference w:id="24"/>
      </w:r>
      <w:r w:rsidRPr="003F141B">
        <w:rPr>
          <w:lang w:val="en-CA"/>
        </w:rPr>
        <w:t xml:space="preserve"> the Court of Appeal </w:t>
      </w:r>
      <w:r w:rsidR="00EC1627" w:rsidRPr="003F141B">
        <w:rPr>
          <w:lang w:val="en-CA"/>
        </w:rPr>
        <w:t xml:space="preserve">of Alberta </w:t>
      </w:r>
      <w:r w:rsidRPr="003F141B">
        <w:rPr>
          <w:lang w:val="en-CA"/>
        </w:rPr>
        <w:t xml:space="preserve">applied these principles: </w:t>
      </w:r>
      <w:r w:rsidRPr="003F141B">
        <w:rPr>
          <w:lang w:val="en-CA" w:eastAsia="fr-CA"/>
        </w:rPr>
        <w:t xml:space="preserve"> </w:t>
      </w:r>
    </w:p>
    <w:p w14:paraId="3F76086B" w14:textId="4700A37B" w:rsidR="009130CA" w:rsidRPr="003F141B" w:rsidRDefault="007D1340" w:rsidP="007D1340">
      <w:pPr>
        <w:pStyle w:val="Paragraphe"/>
        <w:numPr>
          <w:ilvl w:val="0"/>
          <w:numId w:val="0"/>
        </w:numPr>
        <w:spacing w:line="240" w:lineRule="auto"/>
        <w:ind w:left="709" w:right="715" w:firstLine="11"/>
        <w:rPr>
          <w:sz w:val="22"/>
          <w:szCs w:val="22"/>
          <w:lang w:val="en-CA"/>
        </w:rPr>
      </w:pPr>
      <w:r w:rsidRPr="003F141B">
        <w:rPr>
          <w:sz w:val="22"/>
          <w:szCs w:val="22"/>
          <w:lang w:val="en-CA"/>
        </w:rPr>
        <w:t xml:space="preserve">[42] </w:t>
      </w:r>
      <w:r w:rsidR="005003D8" w:rsidRPr="003F141B">
        <w:rPr>
          <w:sz w:val="22"/>
          <w:szCs w:val="22"/>
          <w:u w:val="single"/>
          <w:lang w:val="en-CA"/>
        </w:rPr>
        <w:t>The police do not violate a detainee</w:t>
      </w:r>
      <w:r w:rsidR="003061CC">
        <w:rPr>
          <w:sz w:val="22"/>
          <w:szCs w:val="22"/>
          <w:u w:val="single"/>
          <w:lang w:val="en-CA"/>
        </w:rPr>
        <w:t>’</w:t>
      </w:r>
      <w:r w:rsidR="005003D8" w:rsidRPr="003F141B">
        <w:rPr>
          <w:sz w:val="22"/>
          <w:szCs w:val="22"/>
          <w:u w:val="single"/>
          <w:lang w:val="en-CA"/>
        </w:rPr>
        <w:t xml:space="preserve">s right to counsel of choice when his preferred counsel is unavailable and the detainee </w:t>
      </w:r>
      <w:r w:rsidR="005003D8" w:rsidRPr="003F141B">
        <w:rPr>
          <w:b/>
          <w:sz w:val="22"/>
          <w:szCs w:val="22"/>
          <w:lang w:val="en-CA"/>
        </w:rPr>
        <w:t xml:space="preserve">voluntarily </w:t>
      </w:r>
      <w:r w:rsidR="005003D8" w:rsidRPr="003F141B">
        <w:rPr>
          <w:sz w:val="22"/>
          <w:szCs w:val="22"/>
          <w:u w:val="single"/>
          <w:lang w:val="en-CA"/>
        </w:rPr>
        <w:t>chooses to call a different lawyer.</w:t>
      </w:r>
      <w:r w:rsidR="005003D8" w:rsidRPr="003F141B">
        <w:rPr>
          <w:sz w:val="22"/>
          <w:szCs w:val="22"/>
          <w:lang w:val="en-CA"/>
        </w:rPr>
        <w:t xml:space="preserve"> </w:t>
      </w:r>
      <w:r w:rsidR="00310814">
        <w:rPr>
          <w:rFonts w:cs="Arial"/>
          <w:lang w:val="en"/>
        </w:rPr>
        <w:t>[</w:t>
      </w:r>
      <w:r w:rsidR="00310814" w:rsidRPr="0050431B">
        <w:rPr>
          <w:lang w:val="en"/>
        </w:rPr>
        <w:t>…</w:t>
      </w:r>
      <w:r w:rsidR="00310814">
        <w:rPr>
          <w:rFonts w:cs="Arial"/>
          <w:lang w:val="en"/>
        </w:rPr>
        <w:t>]</w:t>
      </w:r>
      <w:r w:rsidR="005003D8" w:rsidRPr="003F141B">
        <w:rPr>
          <w:sz w:val="22"/>
          <w:szCs w:val="22"/>
          <w:lang w:val="en-CA"/>
        </w:rPr>
        <w:t xml:space="preserve">, the appellant was </w:t>
      </w:r>
      <w:r w:rsidR="00081775">
        <w:rPr>
          <w:sz w:val="22"/>
          <w:szCs w:val="22"/>
          <w:lang w:val="en-CA"/>
        </w:rPr>
        <w:t>“</w:t>
      </w:r>
      <w:r w:rsidR="005003D8" w:rsidRPr="003F141B">
        <w:rPr>
          <w:sz w:val="22"/>
          <w:szCs w:val="22"/>
          <w:lang w:val="en-CA"/>
        </w:rPr>
        <w:t>properly presented with another route by which to obtain legal advice,</w:t>
      </w:r>
      <w:r w:rsidR="00081775">
        <w:rPr>
          <w:sz w:val="22"/>
          <w:szCs w:val="22"/>
          <w:lang w:val="en-CA"/>
        </w:rPr>
        <w:t>”</w:t>
      </w:r>
      <w:r w:rsidR="005003D8" w:rsidRPr="003F141B">
        <w:rPr>
          <w:sz w:val="22"/>
          <w:szCs w:val="22"/>
          <w:lang w:val="en-CA"/>
        </w:rPr>
        <w:t xml:space="preserve"> and he </w:t>
      </w:r>
      <w:r w:rsidR="005003D8" w:rsidRPr="003F141B">
        <w:rPr>
          <w:b/>
          <w:sz w:val="22"/>
          <w:szCs w:val="22"/>
          <w:lang w:val="en-CA"/>
        </w:rPr>
        <w:t>freely</w:t>
      </w:r>
      <w:r w:rsidR="005003D8" w:rsidRPr="003F141B">
        <w:rPr>
          <w:sz w:val="22"/>
          <w:szCs w:val="22"/>
          <w:lang w:val="en-CA"/>
        </w:rPr>
        <w:t xml:space="preserve"> chose to</w:t>
      </w:r>
      <w:r w:rsidRPr="003F141B">
        <w:rPr>
          <w:sz w:val="22"/>
          <w:szCs w:val="22"/>
          <w:lang w:val="en-CA"/>
        </w:rPr>
        <w:t xml:space="preserve"> speak with a different lawyer</w:t>
      </w:r>
      <w:r w:rsidR="00310814">
        <w:rPr>
          <w:sz w:val="22"/>
          <w:szCs w:val="22"/>
          <w:lang w:val="en-CA"/>
        </w:rPr>
        <w:t> </w:t>
      </w:r>
      <w:r w:rsidR="00310814">
        <w:rPr>
          <w:rFonts w:cs="Arial"/>
          <w:lang w:val="en"/>
        </w:rPr>
        <w:t>[</w:t>
      </w:r>
      <w:r w:rsidR="00310814" w:rsidRPr="0050431B">
        <w:rPr>
          <w:lang w:val="en"/>
        </w:rPr>
        <w:t>…</w:t>
      </w:r>
      <w:r w:rsidR="00310814">
        <w:rPr>
          <w:rFonts w:cs="Arial"/>
          <w:lang w:val="en"/>
        </w:rPr>
        <w:t>]</w:t>
      </w:r>
      <w:r w:rsidR="005003D8" w:rsidRPr="003F141B">
        <w:rPr>
          <w:sz w:val="22"/>
          <w:szCs w:val="22"/>
          <w:lang w:val="en-CA"/>
        </w:rPr>
        <w:t>.</w:t>
      </w:r>
    </w:p>
    <w:p w14:paraId="2E2DC9E3" w14:textId="7E8C7B40" w:rsidR="009130CA" w:rsidRPr="003F141B" w:rsidRDefault="005003D8" w:rsidP="009130CA">
      <w:pPr>
        <w:pStyle w:val="Citationenretrait"/>
        <w:spacing w:line="240" w:lineRule="auto"/>
        <w:rPr>
          <w:szCs w:val="22"/>
          <w:lang w:val="en-CA"/>
        </w:rPr>
      </w:pPr>
      <w:r w:rsidRPr="003F141B">
        <w:rPr>
          <w:szCs w:val="22"/>
          <w:lang w:val="en-CA"/>
        </w:rPr>
        <w:t>[</w:t>
      </w:r>
      <w:bookmarkStart w:id="13" w:name="par43"/>
      <w:r w:rsidRPr="003F141B">
        <w:rPr>
          <w:szCs w:val="22"/>
          <w:lang w:val="en-CA"/>
        </w:rPr>
        <w:t>43</w:t>
      </w:r>
      <w:bookmarkEnd w:id="13"/>
      <w:r w:rsidRPr="003F141B">
        <w:rPr>
          <w:szCs w:val="22"/>
          <w:lang w:val="en-CA"/>
        </w:rPr>
        <w:t xml:space="preserve">] Having </w:t>
      </w:r>
      <w:r w:rsidRPr="003F141B">
        <w:rPr>
          <w:b/>
          <w:szCs w:val="22"/>
          <w:lang w:val="en-CA"/>
        </w:rPr>
        <w:t>freely</w:t>
      </w:r>
      <w:r w:rsidRPr="003F141B">
        <w:rPr>
          <w:szCs w:val="22"/>
          <w:lang w:val="en-CA"/>
        </w:rPr>
        <w:t xml:space="preserve"> pursued the option of speaking with a different lawyer, </w:t>
      </w:r>
      <w:r w:rsidR="00081775">
        <w:rPr>
          <w:szCs w:val="22"/>
          <w:lang w:val="en-CA"/>
        </w:rPr>
        <w:t>“</w:t>
      </w:r>
      <w:r w:rsidRPr="003F141B">
        <w:rPr>
          <w:b/>
          <w:szCs w:val="22"/>
          <w:lang w:val="en-CA"/>
        </w:rPr>
        <w:t>unless</w:t>
      </w:r>
      <w:r w:rsidRPr="003F141B">
        <w:rPr>
          <w:szCs w:val="22"/>
          <w:u w:val="single"/>
          <w:lang w:val="en-CA"/>
        </w:rPr>
        <w:t xml:space="preserve"> a detainee indicates, diligently and reasonably, that the advice he or she received is inadequate, the police may assume that the detainee is satisfied with the exercised right to counsel</w:t>
      </w:r>
      <w:r w:rsidRPr="003F141B">
        <w:rPr>
          <w:szCs w:val="22"/>
          <w:lang w:val="en-CA"/>
        </w:rPr>
        <w:t xml:space="preserve"> and are entitled to commen</w:t>
      </w:r>
      <w:r w:rsidR="007D1340" w:rsidRPr="003F141B">
        <w:rPr>
          <w:szCs w:val="22"/>
          <w:lang w:val="en-CA"/>
        </w:rPr>
        <w:t>ce an investigative interview</w:t>
      </w:r>
      <w:r w:rsidR="00081775">
        <w:rPr>
          <w:szCs w:val="22"/>
          <w:lang w:val="en-CA"/>
        </w:rPr>
        <w:t>”</w:t>
      </w:r>
      <w:r w:rsidR="007D1340" w:rsidRPr="003F141B">
        <w:rPr>
          <w:szCs w:val="22"/>
          <w:lang w:val="en-CA"/>
        </w:rPr>
        <w:t xml:space="preserve"> </w:t>
      </w:r>
      <w:r w:rsidR="004A2D38">
        <w:rPr>
          <w:rFonts w:cs="Arial"/>
          <w:lang w:val="en"/>
        </w:rPr>
        <w:t>[</w:t>
      </w:r>
      <w:r w:rsidR="004A2D38" w:rsidRPr="0050431B">
        <w:rPr>
          <w:lang w:val="en"/>
        </w:rPr>
        <w:t>…</w:t>
      </w:r>
      <w:r w:rsidR="004A2D38">
        <w:rPr>
          <w:rFonts w:cs="Arial"/>
          <w:lang w:val="en"/>
        </w:rPr>
        <w:t>]</w:t>
      </w:r>
      <w:r w:rsidRPr="003F141B">
        <w:rPr>
          <w:szCs w:val="22"/>
          <w:lang w:val="en-CA"/>
        </w:rPr>
        <w:t>.</w:t>
      </w:r>
    </w:p>
    <w:p w14:paraId="2DA6DB37" w14:textId="21970765" w:rsidR="009130CA" w:rsidRPr="003F141B" w:rsidRDefault="005003D8" w:rsidP="009130CA">
      <w:pPr>
        <w:pStyle w:val="Citationenretrait"/>
        <w:spacing w:line="240" w:lineRule="auto"/>
        <w:rPr>
          <w:lang w:val="en-CA"/>
        </w:rPr>
      </w:pPr>
      <w:r w:rsidRPr="003F141B">
        <w:rPr>
          <w:lang w:val="en-CA"/>
        </w:rPr>
        <w:tab/>
      </w:r>
      <w:r w:rsidRPr="003F141B">
        <w:rPr>
          <w:lang w:val="en-CA"/>
        </w:rPr>
        <w:tab/>
      </w:r>
      <w:r w:rsidRPr="003F141B">
        <w:rPr>
          <w:lang w:val="en-CA"/>
        </w:rPr>
        <w:tab/>
      </w:r>
      <w:r w:rsidR="007D1340" w:rsidRPr="003F141B">
        <w:rPr>
          <w:lang w:val="en-CA"/>
        </w:rPr>
        <w:t xml:space="preserve">                             [</w:t>
      </w:r>
      <w:r w:rsidR="004A2D38">
        <w:rPr>
          <w:lang w:val="en-CA"/>
        </w:rPr>
        <w:t>Underlining added; boldface added</w:t>
      </w:r>
      <w:r w:rsidR="007D1340" w:rsidRPr="003F141B">
        <w:rPr>
          <w:lang w:val="en-CA"/>
        </w:rPr>
        <w:t>]</w:t>
      </w:r>
      <w:r w:rsidRPr="003F141B">
        <w:rPr>
          <w:lang w:val="en-CA"/>
        </w:rPr>
        <w:t xml:space="preserve"> </w:t>
      </w:r>
    </w:p>
    <w:p w14:paraId="753486F9" w14:textId="3090AAD3" w:rsidR="009130CA" w:rsidRPr="003F141B" w:rsidRDefault="007D1340" w:rsidP="009130CA">
      <w:pPr>
        <w:pStyle w:val="Paragraphe"/>
        <w:spacing w:line="240" w:lineRule="auto"/>
        <w:rPr>
          <w:lang w:val="en-CA"/>
        </w:rPr>
      </w:pPr>
      <w:r w:rsidRPr="003F141B">
        <w:rPr>
          <w:lang w:val="en-CA"/>
        </w:rPr>
        <w:t xml:space="preserve">In </w:t>
      </w:r>
      <w:proofErr w:type="spellStart"/>
      <w:r w:rsidRPr="003F141B">
        <w:rPr>
          <w:i/>
          <w:lang w:val="en-CA"/>
        </w:rPr>
        <w:t>Traité</w:t>
      </w:r>
      <w:proofErr w:type="spellEnd"/>
      <w:r w:rsidRPr="003F141B">
        <w:rPr>
          <w:i/>
          <w:lang w:val="en-CA"/>
        </w:rPr>
        <w:t xml:space="preserve"> </w:t>
      </w:r>
      <w:proofErr w:type="spellStart"/>
      <w:r w:rsidRPr="003F141B">
        <w:rPr>
          <w:i/>
          <w:lang w:val="en-CA"/>
        </w:rPr>
        <w:t>général</w:t>
      </w:r>
      <w:proofErr w:type="spellEnd"/>
      <w:r w:rsidRPr="003F141B">
        <w:rPr>
          <w:i/>
          <w:lang w:val="en-CA"/>
        </w:rPr>
        <w:t xml:space="preserve"> de </w:t>
      </w:r>
      <w:proofErr w:type="spellStart"/>
      <w:r w:rsidRPr="003F141B">
        <w:rPr>
          <w:i/>
          <w:lang w:val="en-CA"/>
        </w:rPr>
        <w:t>preuve</w:t>
      </w:r>
      <w:proofErr w:type="spellEnd"/>
      <w:r w:rsidRPr="003F141B">
        <w:rPr>
          <w:i/>
          <w:lang w:val="en-CA"/>
        </w:rPr>
        <w:t xml:space="preserve"> et de </w:t>
      </w:r>
      <w:proofErr w:type="spellStart"/>
      <w:r w:rsidRPr="003F141B">
        <w:rPr>
          <w:i/>
          <w:lang w:val="en-CA"/>
        </w:rPr>
        <w:t>procédure</w:t>
      </w:r>
      <w:proofErr w:type="spellEnd"/>
      <w:r w:rsidRPr="003F141B">
        <w:rPr>
          <w:i/>
          <w:lang w:val="en-CA"/>
        </w:rPr>
        <w:t xml:space="preserve"> </w:t>
      </w:r>
      <w:proofErr w:type="spellStart"/>
      <w:r w:rsidRPr="003F141B">
        <w:rPr>
          <w:i/>
          <w:lang w:val="en-CA"/>
        </w:rPr>
        <w:t>pénales</w:t>
      </w:r>
      <w:proofErr w:type="spellEnd"/>
      <w:r w:rsidRPr="003F141B">
        <w:rPr>
          <w:lang w:val="en-CA"/>
        </w:rPr>
        <w:t xml:space="preserve">, </w:t>
      </w:r>
      <w:r w:rsidR="00E473BA" w:rsidRPr="003F141B">
        <w:rPr>
          <w:lang w:val="en-CA"/>
        </w:rPr>
        <w:t xml:space="preserve">Justice </w:t>
      </w:r>
      <w:proofErr w:type="spellStart"/>
      <w:r w:rsidRPr="003F141B">
        <w:rPr>
          <w:lang w:val="en-CA"/>
        </w:rPr>
        <w:t>Vauclair</w:t>
      </w:r>
      <w:proofErr w:type="spellEnd"/>
      <w:r w:rsidRPr="003F141B">
        <w:rPr>
          <w:lang w:val="en-CA"/>
        </w:rPr>
        <w:t xml:space="preserve"> and author </w:t>
      </w:r>
      <w:r w:rsidR="005201DE">
        <w:rPr>
          <w:lang w:val="en-CA"/>
        </w:rPr>
        <w:t xml:space="preserve">Tristan </w:t>
      </w:r>
      <w:r w:rsidRPr="003F141B">
        <w:rPr>
          <w:lang w:val="en-CA"/>
        </w:rPr>
        <w:t xml:space="preserve">Desjardins </w:t>
      </w:r>
      <w:r w:rsidR="00147C72" w:rsidRPr="003F141B">
        <w:rPr>
          <w:lang w:val="en-CA"/>
        </w:rPr>
        <w:t>concur</w:t>
      </w:r>
      <w:r w:rsidRPr="003F141B">
        <w:rPr>
          <w:lang w:val="en-CA"/>
        </w:rPr>
        <w:t>:</w:t>
      </w:r>
    </w:p>
    <w:p w14:paraId="2A2D911C" w14:textId="7BBF7844" w:rsidR="007D1340" w:rsidRPr="003F141B" w:rsidRDefault="00B41E10" w:rsidP="007D1340">
      <w:pPr>
        <w:pStyle w:val="Paragraphe"/>
        <w:numPr>
          <w:ilvl w:val="0"/>
          <w:numId w:val="0"/>
        </w:numPr>
        <w:spacing w:line="240" w:lineRule="auto"/>
        <w:ind w:left="720"/>
        <w:rPr>
          <w:lang w:val="en-CA"/>
        </w:rPr>
      </w:pPr>
      <w:r w:rsidRPr="003F141B">
        <w:rPr>
          <w:rFonts w:cs="Arial"/>
          <w:smallCaps/>
          <w:lang w:val="en-CA"/>
        </w:rPr>
        <w:t xml:space="preserve"> </w:t>
      </w:r>
      <w:r w:rsidR="007D1340" w:rsidRPr="003F141B">
        <w:rPr>
          <w:rFonts w:cs="Arial"/>
          <w:smallCaps/>
          <w:lang w:val="en-CA"/>
        </w:rPr>
        <w:t>[</w:t>
      </w:r>
      <w:r w:rsidR="007D1340" w:rsidRPr="003F141B">
        <w:rPr>
          <w:smallCaps/>
          <w:lang w:val="en-CA"/>
        </w:rPr>
        <w:t>translation</w:t>
      </w:r>
      <w:r w:rsidR="007D1340" w:rsidRPr="003F141B">
        <w:rPr>
          <w:rFonts w:cs="Arial"/>
          <w:smallCaps/>
          <w:lang w:val="en-CA"/>
        </w:rPr>
        <w:t>]</w:t>
      </w:r>
    </w:p>
    <w:p w14:paraId="7B2AEEEC" w14:textId="5C1D59F9" w:rsidR="009130CA" w:rsidRPr="003F141B" w:rsidRDefault="00B41E10" w:rsidP="009130CA">
      <w:pPr>
        <w:pStyle w:val="Citationenretrait"/>
        <w:spacing w:line="240" w:lineRule="auto"/>
        <w:rPr>
          <w:lang w:val="en-CA"/>
        </w:rPr>
      </w:pPr>
      <w:r w:rsidRPr="003F141B">
        <w:rPr>
          <w:lang w:val="en-CA"/>
        </w:rPr>
        <w:t xml:space="preserve">Furthermore, police officers must not </w:t>
      </w:r>
      <w:r w:rsidRPr="003F141B">
        <w:rPr>
          <w:u w:val="single"/>
          <w:lang w:val="en-CA"/>
        </w:rPr>
        <w:t>pressure</w:t>
      </w:r>
      <w:r w:rsidRPr="003F141B">
        <w:rPr>
          <w:lang w:val="en-CA"/>
        </w:rPr>
        <w:t xml:space="preserve"> the detainee to end the waiting </w:t>
      </w:r>
      <w:r w:rsidR="00147C72" w:rsidRPr="003F141B">
        <w:rPr>
          <w:lang w:val="en-CA"/>
        </w:rPr>
        <w:t xml:space="preserve">period </w:t>
      </w:r>
      <w:r w:rsidRPr="003F141B">
        <w:rPr>
          <w:lang w:val="en-CA"/>
        </w:rPr>
        <w:t xml:space="preserve">and </w:t>
      </w:r>
      <w:r w:rsidRPr="003F141B">
        <w:rPr>
          <w:u w:val="single"/>
          <w:lang w:val="en-CA"/>
        </w:rPr>
        <w:t>force</w:t>
      </w:r>
      <w:r w:rsidRPr="003F141B">
        <w:rPr>
          <w:lang w:val="en-CA"/>
        </w:rPr>
        <w:t xml:space="preserve"> an alternate consultation.</w:t>
      </w:r>
      <w:r w:rsidR="005003D8" w:rsidRPr="003F141B">
        <w:rPr>
          <w:lang w:val="en-CA"/>
        </w:rPr>
        <w:t xml:space="preserve"> </w:t>
      </w:r>
      <w:r w:rsidRPr="003F141B">
        <w:rPr>
          <w:lang w:val="en-CA"/>
        </w:rPr>
        <w:t xml:space="preserve">If the detainee communicates with a different lawyer, </w:t>
      </w:r>
      <w:r w:rsidRPr="003F141B">
        <w:rPr>
          <w:u w:val="single"/>
          <w:lang w:val="en-CA"/>
        </w:rPr>
        <w:t>such as duty counsel, who is not his or her counsel of choice</w:t>
      </w:r>
      <w:r w:rsidRPr="003F141B">
        <w:rPr>
          <w:lang w:val="en-CA"/>
        </w:rPr>
        <w:t>, the police officer may assume that the assistance was useful unless the detainee indicates, diligently and reasonably, that the advice received was inadequate.</w:t>
      </w:r>
      <w:r w:rsidR="005003D8" w:rsidRPr="003F141B">
        <w:rPr>
          <w:rStyle w:val="Appelnotedebasdep"/>
          <w:lang w:val="en-CA"/>
        </w:rPr>
        <w:footnoteReference w:id="25"/>
      </w:r>
    </w:p>
    <w:p w14:paraId="391CC64D" w14:textId="38F6407D" w:rsidR="009130CA" w:rsidRPr="003F141B" w:rsidRDefault="005003D8" w:rsidP="009130CA">
      <w:pPr>
        <w:pStyle w:val="Citationenretrait"/>
        <w:spacing w:line="240" w:lineRule="auto"/>
        <w:jc w:val="right"/>
        <w:rPr>
          <w:lang w:val="en-CA"/>
        </w:rPr>
      </w:pPr>
      <w:r w:rsidRPr="003F141B">
        <w:rPr>
          <w:lang w:val="en-CA"/>
        </w:rPr>
        <w:t xml:space="preserve"> </w:t>
      </w:r>
      <w:r w:rsidR="00B41E10" w:rsidRPr="003F141B">
        <w:rPr>
          <w:lang w:val="en-CA"/>
        </w:rPr>
        <w:t xml:space="preserve">                             [Emphasis added</w:t>
      </w:r>
      <w:r w:rsidR="00A27341">
        <w:rPr>
          <w:lang w:val="en-CA"/>
        </w:rPr>
        <w:t>;</w:t>
      </w:r>
      <w:r w:rsidR="00E473BA" w:rsidRPr="003F141B">
        <w:rPr>
          <w:lang w:val="en-CA"/>
        </w:rPr>
        <w:t xml:space="preserve"> r</w:t>
      </w:r>
      <w:r w:rsidR="00B41E10" w:rsidRPr="003F141B">
        <w:rPr>
          <w:lang w:val="en-CA"/>
        </w:rPr>
        <w:t>eferences omitted</w:t>
      </w:r>
      <w:r w:rsidR="00E473BA" w:rsidRPr="003F141B">
        <w:rPr>
          <w:lang w:val="en-CA"/>
        </w:rPr>
        <w:t>.</w:t>
      </w:r>
      <w:r w:rsidR="00B41E10" w:rsidRPr="003F141B">
        <w:rPr>
          <w:lang w:val="en-CA"/>
        </w:rPr>
        <w:t>]</w:t>
      </w:r>
    </w:p>
    <w:p w14:paraId="30EC32B5" w14:textId="72A40A08" w:rsidR="00B41E10" w:rsidRPr="003F141B" w:rsidRDefault="00B41E10" w:rsidP="00B41E10">
      <w:pPr>
        <w:pStyle w:val="Paragraphe"/>
        <w:spacing w:line="240" w:lineRule="auto"/>
        <w:rPr>
          <w:lang w:val="en-CA"/>
        </w:rPr>
      </w:pPr>
      <w:r w:rsidRPr="003F141B">
        <w:rPr>
          <w:lang w:val="en-CA"/>
        </w:rPr>
        <w:t xml:space="preserve">In short, as the Court of Appeal of Alberta </w:t>
      </w:r>
      <w:r w:rsidR="00A27341">
        <w:rPr>
          <w:lang w:val="en-CA"/>
        </w:rPr>
        <w:t xml:space="preserve">also </w:t>
      </w:r>
      <w:r w:rsidRPr="003F141B">
        <w:rPr>
          <w:lang w:val="en-CA"/>
        </w:rPr>
        <w:t xml:space="preserve">noted in </w:t>
      </w:r>
      <w:proofErr w:type="spellStart"/>
      <w:r w:rsidRPr="003F141B">
        <w:rPr>
          <w:i/>
          <w:lang w:val="en-CA"/>
        </w:rPr>
        <w:t>Keror</w:t>
      </w:r>
      <w:proofErr w:type="spellEnd"/>
      <w:r w:rsidRPr="003F141B">
        <w:rPr>
          <w:lang w:val="en-CA"/>
        </w:rPr>
        <w:t>,</w:t>
      </w:r>
      <w:r w:rsidRPr="003F141B">
        <w:rPr>
          <w:rStyle w:val="Appelnotedebasdep"/>
          <w:lang w:val="en-CA"/>
        </w:rPr>
        <w:footnoteReference w:id="26"/>
      </w:r>
      <w:r w:rsidRPr="003F141B">
        <w:rPr>
          <w:lang w:val="en-CA"/>
        </w:rPr>
        <w:t xml:space="preserve"> a case similar to the one at bar, </w:t>
      </w:r>
      <w:r w:rsidR="00914806" w:rsidRPr="003F141B">
        <w:rPr>
          <w:lang w:val="en-CA"/>
        </w:rPr>
        <w:t xml:space="preserve">where it echoed the </w:t>
      </w:r>
      <w:r w:rsidRPr="003F141B">
        <w:rPr>
          <w:lang w:val="en-CA"/>
        </w:rPr>
        <w:t>remarks of McLachlin</w:t>
      </w:r>
      <w:r w:rsidR="00914806" w:rsidRPr="003F141B">
        <w:rPr>
          <w:lang w:val="en-CA"/>
        </w:rPr>
        <w:t>,</w:t>
      </w:r>
      <w:r w:rsidRPr="003F141B">
        <w:rPr>
          <w:lang w:val="en-CA"/>
        </w:rPr>
        <w:t xml:space="preserve"> C.J. and Charron</w:t>
      </w:r>
      <w:r w:rsidR="00914806" w:rsidRPr="003F141B">
        <w:rPr>
          <w:lang w:val="en-CA"/>
        </w:rPr>
        <w:t>,</w:t>
      </w:r>
      <w:r w:rsidRPr="003F141B">
        <w:rPr>
          <w:lang w:val="en-CA"/>
        </w:rPr>
        <w:t xml:space="preserve"> J. </w:t>
      </w:r>
      <w:r w:rsidR="00A27341">
        <w:rPr>
          <w:lang w:val="en-CA"/>
        </w:rPr>
        <w:t xml:space="preserve">to the same effect </w:t>
      </w:r>
      <w:r w:rsidRPr="003F141B">
        <w:rPr>
          <w:lang w:val="en-CA"/>
        </w:rPr>
        <w:t xml:space="preserve">in </w:t>
      </w:r>
      <w:r w:rsidRPr="003F141B">
        <w:rPr>
          <w:i/>
          <w:lang w:val="en-CA"/>
        </w:rPr>
        <w:t>McCrimmon</w:t>
      </w:r>
      <w:r w:rsidRPr="003F141B">
        <w:rPr>
          <w:rStyle w:val="Appelnotedebasdep"/>
          <w:lang w:val="en-CA"/>
        </w:rPr>
        <w:footnoteReference w:id="27"/>
      </w:r>
      <w:r w:rsidRPr="003F141B">
        <w:rPr>
          <w:lang w:val="en-CA"/>
        </w:rPr>
        <w:t xml:space="preserve">and </w:t>
      </w:r>
      <w:r w:rsidRPr="003F141B">
        <w:rPr>
          <w:i/>
          <w:lang w:val="en-CA"/>
        </w:rPr>
        <w:t>Willier</w:t>
      </w:r>
      <w:r w:rsidRPr="003F141B">
        <w:rPr>
          <w:lang w:val="en-CA"/>
        </w:rPr>
        <w:t xml:space="preserve">: </w:t>
      </w:r>
      <w:r w:rsidR="005003D8" w:rsidRPr="003F141B">
        <w:rPr>
          <w:rStyle w:val="Appelnotedebasdep"/>
          <w:lang w:val="en-CA"/>
        </w:rPr>
        <w:footnoteReference w:id="28"/>
      </w:r>
      <w:r w:rsidRPr="003F141B">
        <w:rPr>
          <w:lang w:val="en-CA"/>
        </w:rPr>
        <w:t xml:space="preserve"> </w:t>
      </w:r>
    </w:p>
    <w:p w14:paraId="5FF2BC14" w14:textId="685A970E" w:rsidR="009130CA" w:rsidRPr="003F141B" w:rsidRDefault="00B41E10" w:rsidP="009130CA">
      <w:pPr>
        <w:pStyle w:val="Citationenretrait"/>
        <w:spacing w:line="240" w:lineRule="auto"/>
        <w:rPr>
          <w:lang w:val="en-CA"/>
        </w:rPr>
      </w:pPr>
      <w:r w:rsidRPr="003F141B">
        <w:rPr>
          <w:lang w:val="en-CA"/>
        </w:rPr>
        <w:lastRenderedPageBreak/>
        <w:t xml:space="preserve">[45] </w:t>
      </w:r>
      <w:r w:rsidR="0093671F">
        <w:rPr>
          <w:rFonts w:cs="Arial"/>
          <w:lang w:val="en"/>
        </w:rPr>
        <w:t>[</w:t>
      </w:r>
      <w:r w:rsidR="0093671F">
        <w:rPr>
          <w:lang w:val="en"/>
        </w:rPr>
        <w:t>…</w:t>
      </w:r>
      <w:r w:rsidR="0093671F">
        <w:rPr>
          <w:rFonts w:cs="Arial"/>
          <w:lang w:val="en"/>
        </w:rPr>
        <w:t>]</w:t>
      </w:r>
      <w:r w:rsidRPr="003F141B">
        <w:rPr>
          <w:lang w:val="en-CA"/>
        </w:rPr>
        <w:t xml:space="preserve"> </w:t>
      </w:r>
      <w:r w:rsidRPr="002E7C7B">
        <w:rPr>
          <w:u w:val="single"/>
          <w:lang w:val="en-CA"/>
        </w:rPr>
        <w:t>A police officer</w:t>
      </w:r>
      <w:r w:rsidR="003061CC">
        <w:rPr>
          <w:u w:val="single"/>
          <w:lang w:val="en-CA"/>
        </w:rPr>
        <w:t>’</w:t>
      </w:r>
      <w:r w:rsidRPr="002E7C7B">
        <w:rPr>
          <w:u w:val="single"/>
          <w:lang w:val="en-CA"/>
        </w:rPr>
        <w:t>s duties under s 10(b) depend upon what the detainee says and does, and what the officer should reasonably infer from the surrounding circumstances:</w:t>
      </w:r>
      <w:r w:rsidRPr="003F141B">
        <w:rPr>
          <w:lang w:val="en-CA"/>
        </w:rPr>
        <w:t xml:space="preserve"> </w:t>
      </w:r>
      <w:r w:rsidR="005003D8" w:rsidRPr="003F141B">
        <w:rPr>
          <w:lang w:val="en-CA"/>
        </w:rPr>
        <w:t>[</w:t>
      </w:r>
      <w:r w:rsidR="0093671F">
        <w:rPr>
          <w:lang w:val="en-CA"/>
        </w:rPr>
        <w:t xml:space="preserve">references </w:t>
      </w:r>
      <w:r w:rsidRPr="003F141B">
        <w:rPr>
          <w:lang w:val="en-CA"/>
        </w:rPr>
        <w:t>omitted</w:t>
      </w:r>
      <w:r w:rsidR="005003D8" w:rsidRPr="003F141B">
        <w:rPr>
          <w:lang w:val="en-CA"/>
        </w:rPr>
        <w:t xml:space="preserve">]. The appellant said and did nothing to suggest he was dissatisfied </w:t>
      </w:r>
      <w:r w:rsidR="005003D8" w:rsidRPr="003F141B">
        <w:rPr>
          <w:u w:val="single"/>
          <w:lang w:val="en-CA"/>
        </w:rPr>
        <w:t>after speaking with duty counsel</w:t>
      </w:r>
      <w:r w:rsidR="005003D8" w:rsidRPr="003F141B">
        <w:rPr>
          <w:lang w:val="en-CA"/>
        </w:rPr>
        <w:t>.</w:t>
      </w:r>
      <w:r w:rsidR="0093671F" w:rsidRPr="0093671F">
        <w:rPr>
          <w:rFonts w:cs="Arial"/>
          <w:lang w:val="en"/>
        </w:rPr>
        <w:t xml:space="preserve"> </w:t>
      </w:r>
      <w:r w:rsidR="0093671F">
        <w:rPr>
          <w:rFonts w:cs="Arial"/>
          <w:lang w:val="en"/>
        </w:rPr>
        <w:t>[</w:t>
      </w:r>
      <w:r w:rsidR="0093671F">
        <w:rPr>
          <w:lang w:val="en"/>
        </w:rPr>
        <w:t>…</w:t>
      </w:r>
      <w:r w:rsidR="0093671F">
        <w:rPr>
          <w:rFonts w:cs="Arial"/>
          <w:lang w:val="en"/>
        </w:rPr>
        <w:t>]</w:t>
      </w:r>
    </w:p>
    <w:p w14:paraId="7E264445" w14:textId="7661E048" w:rsidR="009130CA" w:rsidRPr="003F141B" w:rsidRDefault="0093671F" w:rsidP="009130CA">
      <w:pPr>
        <w:pStyle w:val="Citationenretrait"/>
        <w:spacing w:line="240" w:lineRule="auto"/>
        <w:rPr>
          <w:lang w:val="en-CA"/>
        </w:rPr>
      </w:pPr>
      <w:r>
        <w:rPr>
          <w:rFonts w:cs="Arial"/>
          <w:lang w:val="en"/>
        </w:rPr>
        <w:t>[</w:t>
      </w:r>
      <w:r>
        <w:rPr>
          <w:lang w:val="en"/>
        </w:rPr>
        <w:t>…</w:t>
      </w:r>
      <w:r>
        <w:rPr>
          <w:rFonts w:cs="Arial"/>
          <w:lang w:val="en"/>
        </w:rPr>
        <w:t>]</w:t>
      </w:r>
    </w:p>
    <w:p w14:paraId="1D1618AF" w14:textId="4BDD8C3E" w:rsidR="009130CA" w:rsidRPr="003F141B" w:rsidRDefault="00B41E10" w:rsidP="009130CA">
      <w:pPr>
        <w:pStyle w:val="Citationenretrait"/>
        <w:spacing w:line="240" w:lineRule="auto"/>
        <w:rPr>
          <w:lang w:val="en-CA"/>
        </w:rPr>
      </w:pPr>
      <w:r w:rsidRPr="003F141B">
        <w:rPr>
          <w:lang w:val="en-CA"/>
        </w:rPr>
        <w:t xml:space="preserve">[47] </w:t>
      </w:r>
      <w:r w:rsidR="0093671F">
        <w:rPr>
          <w:rFonts w:cs="Arial"/>
          <w:lang w:val="en"/>
        </w:rPr>
        <w:t>[</w:t>
      </w:r>
      <w:r w:rsidR="0093671F">
        <w:rPr>
          <w:lang w:val="en"/>
        </w:rPr>
        <w:t>…</w:t>
      </w:r>
      <w:r w:rsidR="0093671F">
        <w:rPr>
          <w:rFonts w:cs="Arial"/>
          <w:lang w:val="en"/>
        </w:rPr>
        <w:t>]</w:t>
      </w:r>
      <w:r w:rsidR="005003D8" w:rsidRPr="003F141B">
        <w:rPr>
          <w:lang w:val="en-CA"/>
        </w:rPr>
        <w:t xml:space="preserve"> </w:t>
      </w:r>
      <w:r w:rsidR="005003D8" w:rsidRPr="003F141B">
        <w:rPr>
          <w:u w:val="single"/>
          <w:lang w:val="en-CA"/>
        </w:rPr>
        <w:t xml:space="preserve">In the absence of any evidence that duty counsel provided inadequate advice, we presume that duty counsel properly advised the appellant about his legal rights and </w:t>
      </w:r>
      <w:r w:rsidR="005003D8" w:rsidRPr="003F141B">
        <w:rPr>
          <w:lang w:val="en-CA"/>
        </w:rPr>
        <w:t>obligations</w:t>
      </w:r>
      <w:r w:rsidRPr="003F141B">
        <w:rPr>
          <w:lang w:val="en-CA"/>
        </w:rPr>
        <w:t xml:space="preserve"> </w:t>
      </w:r>
      <w:r w:rsidR="005003D8" w:rsidRPr="003F141B">
        <w:rPr>
          <w:lang w:val="en-CA"/>
        </w:rPr>
        <w:t xml:space="preserve">and in particular, adequately advised him about how he should exercise his right to remain silent. The appellant expressed his satisfaction with that opportunity to speak with counsel. </w:t>
      </w:r>
      <w:r w:rsidR="005003D8" w:rsidRPr="003F141B">
        <w:rPr>
          <w:u w:val="single"/>
          <w:lang w:val="en-CA"/>
        </w:rPr>
        <w:t xml:space="preserve">As a result, the police were free to interview the </w:t>
      </w:r>
      <w:r w:rsidRPr="002E7C7B">
        <w:rPr>
          <w:u w:val="single"/>
          <w:lang w:val="en-CA"/>
        </w:rPr>
        <w:t>appe</w:t>
      </w:r>
      <w:r w:rsidR="00914806" w:rsidRPr="002E7C7B">
        <w:rPr>
          <w:u w:val="single"/>
          <w:lang w:val="en-CA"/>
        </w:rPr>
        <w:t>l</w:t>
      </w:r>
      <w:r w:rsidRPr="002E7C7B">
        <w:rPr>
          <w:u w:val="single"/>
          <w:lang w:val="en-CA"/>
        </w:rPr>
        <w:t>lant</w:t>
      </w:r>
      <w:r w:rsidR="0093671F" w:rsidRPr="002E7C7B">
        <w:rPr>
          <w:u w:val="single"/>
          <w:lang w:val="en-CA"/>
        </w:rPr>
        <w:t xml:space="preserve"> </w:t>
      </w:r>
      <w:r w:rsidR="0093671F" w:rsidRPr="002E7C7B">
        <w:rPr>
          <w:rFonts w:cs="Arial"/>
          <w:u w:val="single"/>
          <w:lang w:val="en"/>
        </w:rPr>
        <w:t>[</w:t>
      </w:r>
      <w:r w:rsidR="0093671F" w:rsidRPr="002E7C7B">
        <w:rPr>
          <w:u w:val="single"/>
          <w:lang w:val="en"/>
        </w:rPr>
        <w:t>…</w:t>
      </w:r>
      <w:r w:rsidR="0093671F" w:rsidRPr="002E7C7B">
        <w:rPr>
          <w:rFonts w:cs="Arial"/>
          <w:u w:val="single"/>
          <w:lang w:val="en"/>
        </w:rPr>
        <w:t>]</w:t>
      </w:r>
      <w:r w:rsidRPr="003F141B">
        <w:rPr>
          <w:lang w:val="en-CA"/>
        </w:rPr>
        <w:t xml:space="preserve"> </w:t>
      </w:r>
      <w:r w:rsidR="005003D8" w:rsidRPr="003F141B">
        <w:rPr>
          <w:u w:val="single"/>
          <w:lang w:val="en-CA"/>
        </w:rPr>
        <w:t>without waiting for Mr. Chow to become available to speak with the appellant</w:t>
      </w:r>
      <w:r w:rsidR="005003D8" w:rsidRPr="003F141B">
        <w:rPr>
          <w:lang w:val="en-CA"/>
        </w:rPr>
        <w:t>.</w:t>
      </w:r>
    </w:p>
    <w:p w14:paraId="73BDB0BC" w14:textId="0D5A0AC8" w:rsidR="009130CA" w:rsidRPr="003F141B" w:rsidRDefault="00B41E10" w:rsidP="009130CA">
      <w:pPr>
        <w:pStyle w:val="Citationenretrait"/>
        <w:spacing w:line="240" w:lineRule="auto"/>
        <w:rPr>
          <w:lang w:val="en-CA"/>
        </w:rPr>
      </w:pP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t>[Emphasis added]</w:t>
      </w:r>
    </w:p>
    <w:p w14:paraId="4F322138" w14:textId="77777777" w:rsidR="009130CA" w:rsidRPr="003F141B" w:rsidRDefault="005003D8" w:rsidP="009130CA">
      <w:pPr>
        <w:pStyle w:val="Paragraphe"/>
        <w:keepNext/>
        <w:numPr>
          <w:ilvl w:val="0"/>
          <w:numId w:val="0"/>
        </w:numPr>
        <w:spacing w:line="240" w:lineRule="auto"/>
        <w:ind w:left="720" w:firstLine="720"/>
        <w:rPr>
          <w:b/>
          <w:lang w:val="en-CA"/>
        </w:rPr>
      </w:pPr>
      <w:r w:rsidRPr="003F141B">
        <w:rPr>
          <w:b/>
          <w:lang w:val="en-CA"/>
        </w:rPr>
        <w:t>3.1.3 Application</w:t>
      </w:r>
    </w:p>
    <w:p w14:paraId="5131442C" w14:textId="7343C388" w:rsidR="009130CA" w:rsidRPr="003F141B" w:rsidRDefault="00B41E10" w:rsidP="009130CA">
      <w:pPr>
        <w:pStyle w:val="Paragraphe"/>
        <w:spacing w:line="240" w:lineRule="auto"/>
        <w:rPr>
          <w:lang w:val="en-CA"/>
        </w:rPr>
      </w:pPr>
      <w:r w:rsidRPr="003F141B">
        <w:rPr>
          <w:lang w:val="en-CA"/>
        </w:rPr>
        <w:t xml:space="preserve">The respondent </w:t>
      </w:r>
      <w:r w:rsidR="0017516F" w:rsidRPr="003F141B">
        <w:rPr>
          <w:lang w:val="en-CA"/>
        </w:rPr>
        <w:t xml:space="preserve">has </w:t>
      </w:r>
      <w:r w:rsidRPr="003F141B">
        <w:rPr>
          <w:lang w:val="en-CA"/>
        </w:rPr>
        <w:t>admitted that the police officers fulfilled the informational component of their obligations.</w:t>
      </w:r>
      <w:r w:rsidR="005003D8" w:rsidRPr="003F141B">
        <w:rPr>
          <w:lang w:val="en-CA"/>
        </w:rPr>
        <w:t xml:space="preserve"> </w:t>
      </w:r>
      <w:r w:rsidRPr="003F141B">
        <w:rPr>
          <w:lang w:val="en-CA"/>
        </w:rPr>
        <w:t>The appeal, therefore, concerns only the judge</w:t>
      </w:r>
      <w:r w:rsidR="003061CC">
        <w:rPr>
          <w:lang w:val="en-CA"/>
        </w:rPr>
        <w:t>’</w:t>
      </w:r>
      <w:r w:rsidRPr="003F141B">
        <w:rPr>
          <w:lang w:val="en-CA"/>
        </w:rPr>
        <w:t>s finding that the police officers breached the implementational component of their obligations and thereby infringed the respondent</w:t>
      </w:r>
      <w:r w:rsidR="003061CC">
        <w:rPr>
          <w:lang w:val="en-CA"/>
        </w:rPr>
        <w:t>’</w:t>
      </w:r>
      <w:r w:rsidRPr="003F141B">
        <w:rPr>
          <w:lang w:val="en-CA"/>
        </w:rPr>
        <w:t xml:space="preserve">s </w:t>
      </w:r>
      <w:r w:rsidR="00147C72" w:rsidRPr="003F141B">
        <w:rPr>
          <w:lang w:val="en-CA"/>
        </w:rPr>
        <w:t>s.</w:t>
      </w:r>
      <w:r w:rsidRPr="003F141B">
        <w:rPr>
          <w:lang w:val="en-CA"/>
        </w:rPr>
        <w:t xml:space="preserve"> 10(b)</w:t>
      </w:r>
      <w:r w:rsidR="00AB1014" w:rsidRPr="003F141B">
        <w:rPr>
          <w:lang w:val="en-CA"/>
        </w:rPr>
        <w:t xml:space="preserve"> right</w:t>
      </w:r>
      <w:r w:rsidRPr="003F141B">
        <w:rPr>
          <w:lang w:val="en-CA"/>
        </w:rPr>
        <w:t>.</w:t>
      </w:r>
    </w:p>
    <w:p w14:paraId="6A113C3A" w14:textId="089C7B5C" w:rsidR="009130CA" w:rsidRPr="003F141B" w:rsidRDefault="00B41E10" w:rsidP="009130CA">
      <w:pPr>
        <w:pStyle w:val="Paragraphe"/>
        <w:spacing w:line="240" w:lineRule="auto"/>
        <w:rPr>
          <w:lang w:val="en-CA"/>
        </w:rPr>
      </w:pPr>
      <w:r w:rsidRPr="003F141B">
        <w:rPr>
          <w:lang w:val="en-CA"/>
        </w:rPr>
        <w:t xml:space="preserve">With </w:t>
      </w:r>
      <w:r w:rsidR="009575CC" w:rsidRPr="003F141B">
        <w:rPr>
          <w:lang w:val="en-CA"/>
        </w:rPr>
        <w:t xml:space="preserve">the greatest </w:t>
      </w:r>
      <w:r w:rsidRPr="003F141B">
        <w:rPr>
          <w:lang w:val="en-CA"/>
        </w:rPr>
        <w:t>respect, in my view the judge</w:t>
      </w:r>
      <w:r w:rsidR="003061CC">
        <w:rPr>
          <w:lang w:val="en-CA"/>
        </w:rPr>
        <w:t>’</w:t>
      </w:r>
      <w:r w:rsidRPr="003F141B">
        <w:rPr>
          <w:lang w:val="en-CA"/>
        </w:rPr>
        <w:t>s essential findings on these issues are tainted by errors of law.</w:t>
      </w:r>
      <w:r w:rsidR="005003D8" w:rsidRPr="003F141B">
        <w:rPr>
          <w:lang w:val="en-CA"/>
        </w:rPr>
        <w:t xml:space="preserve"> </w:t>
      </w:r>
      <w:r w:rsidRPr="003F141B">
        <w:rPr>
          <w:lang w:val="en-CA"/>
        </w:rPr>
        <w:t xml:space="preserve">One </w:t>
      </w:r>
      <w:r w:rsidR="009575CC" w:rsidRPr="003F141B">
        <w:rPr>
          <w:lang w:val="en-CA"/>
        </w:rPr>
        <w:t xml:space="preserve">of these errors </w:t>
      </w:r>
      <w:r w:rsidRPr="003F141B">
        <w:rPr>
          <w:lang w:val="en-CA"/>
        </w:rPr>
        <w:t xml:space="preserve">stems from a determinative finding of fact in her decision that </w:t>
      </w:r>
      <w:proofErr w:type="gramStart"/>
      <w:r w:rsidRPr="003F141B">
        <w:rPr>
          <w:lang w:val="en-CA"/>
        </w:rPr>
        <w:t>was not based</w:t>
      </w:r>
      <w:proofErr w:type="gramEnd"/>
      <w:r w:rsidRPr="003F141B">
        <w:rPr>
          <w:lang w:val="en-CA"/>
        </w:rPr>
        <w:t xml:space="preserve"> on any evidence</w:t>
      </w:r>
      <w:r w:rsidR="00797E10" w:rsidRPr="003F141B">
        <w:rPr>
          <w:lang w:val="en-CA"/>
        </w:rPr>
        <w:t xml:space="preserve"> at all</w:t>
      </w:r>
      <w:r w:rsidRPr="003F141B">
        <w:rPr>
          <w:lang w:val="en-CA"/>
        </w:rPr>
        <w:t xml:space="preserve">, or </w:t>
      </w:r>
      <w:r w:rsidR="00797E10" w:rsidRPr="003F141B">
        <w:rPr>
          <w:lang w:val="en-CA"/>
        </w:rPr>
        <w:t xml:space="preserve">that </w:t>
      </w:r>
      <w:r w:rsidRPr="003F141B">
        <w:rPr>
          <w:lang w:val="en-CA"/>
        </w:rPr>
        <w:t xml:space="preserve">was based on an incomplete assessment of all of the evidence, </w:t>
      </w:r>
      <w:r w:rsidR="00241F7B" w:rsidRPr="003F141B">
        <w:rPr>
          <w:lang w:val="en-CA"/>
        </w:rPr>
        <w:t>even on</w:t>
      </w:r>
      <w:r w:rsidRPr="003F141B">
        <w:rPr>
          <w:lang w:val="en-CA"/>
        </w:rPr>
        <w:t xml:space="preserve"> conjecture.</w:t>
      </w:r>
      <w:r w:rsidR="005003D8" w:rsidRPr="003F141B">
        <w:rPr>
          <w:lang w:val="en-CA"/>
        </w:rPr>
        <w:t xml:space="preserve"> </w:t>
      </w:r>
      <w:r w:rsidRPr="003F141B">
        <w:rPr>
          <w:lang w:val="en-CA"/>
        </w:rPr>
        <w:t>Other</w:t>
      </w:r>
      <w:r w:rsidR="00797E10" w:rsidRPr="003F141B">
        <w:rPr>
          <w:lang w:val="en-CA"/>
        </w:rPr>
        <w:t xml:space="preserve"> error</w:t>
      </w:r>
      <w:r w:rsidRPr="003F141B">
        <w:rPr>
          <w:lang w:val="en-CA"/>
        </w:rPr>
        <w:t>s, which are interrelated, concern her findings on the extent of the police officers</w:t>
      </w:r>
      <w:r w:rsidR="003061CC">
        <w:rPr>
          <w:lang w:val="en-CA"/>
        </w:rPr>
        <w:t>’</w:t>
      </w:r>
      <w:r w:rsidRPr="003F141B">
        <w:rPr>
          <w:lang w:val="en-CA"/>
        </w:rPr>
        <w:t xml:space="preserve"> obligations in the circumstances on the one hand, and </w:t>
      </w:r>
      <w:r w:rsidR="00797E10" w:rsidRPr="003F141B">
        <w:rPr>
          <w:lang w:val="en-CA"/>
        </w:rPr>
        <w:t xml:space="preserve">on </w:t>
      </w:r>
      <w:r w:rsidRPr="003F141B">
        <w:rPr>
          <w:lang w:val="en-CA"/>
        </w:rPr>
        <w:t>the parameters of the respondent</w:t>
      </w:r>
      <w:r w:rsidR="003061CC">
        <w:rPr>
          <w:lang w:val="en-CA"/>
        </w:rPr>
        <w:t>’</w:t>
      </w:r>
      <w:r w:rsidRPr="003F141B">
        <w:rPr>
          <w:lang w:val="en-CA"/>
        </w:rPr>
        <w:t>s obligation of diligence on the other.</w:t>
      </w:r>
      <w:r w:rsidR="005003D8" w:rsidRPr="003F141B">
        <w:rPr>
          <w:rStyle w:val="Appelnotedebasdep"/>
          <w:lang w:val="en-CA"/>
        </w:rPr>
        <w:footnoteReference w:id="29"/>
      </w:r>
      <w:r w:rsidRPr="003F141B">
        <w:rPr>
          <w:lang w:val="en-CA"/>
        </w:rPr>
        <w:t xml:space="preserve"> </w:t>
      </w:r>
      <w:r w:rsidR="005003D8" w:rsidRPr="003F141B">
        <w:rPr>
          <w:lang w:val="en-CA"/>
        </w:rPr>
        <w:t xml:space="preserve"> </w:t>
      </w:r>
    </w:p>
    <w:p w14:paraId="32405AA8" w14:textId="525C4F7B" w:rsidR="009130CA" w:rsidRPr="003F141B" w:rsidRDefault="00B77E10" w:rsidP="009130CA">
      <w:pPr>
        <w:pStyle w:val="Paragraphe"/>
        <w:keepNext/>
        <w:numPr>
          <w:ilvl w:val="0"/>
          <w:numId w:val="24"/>
        </w:numPr>
        <w:spacing w:line="240" w:lineRule="auto"/>
        <w:rPr>
          <w:b/>
          <w:lang w:val="en-CA"/>
        </w:rPr>
      </w:pPr>
      <w:r>
        <w:rPr>
          <w:b/>
          <w:lang w:val="en-CA"/>
        </w:rPr>
        <w:t>E</w:t>
      </w:r>
      <w:r w:rsidR="00105DCD" w:rsidRPr="003F141B">
        <w:rPr>
          <w:b/>
          <w:lang w:val="en-CA"/>
        </w:rPr>
        <w:t>rror of law stemming from shortfalls in the assessment of all of the evidence on a determinative element</w:t>
      </w:r>
      <w:r w:rsidR="005003D8" w:rsidRPr="003F141B">
        <w:rPr>
          <w:b/>
          <w:lang w:val="en-CA"/>
        </w:rPr>
        <w:t xml:space="preserve"> </w:t>
      </w:r>
    </w:p>
    <w:p w14:paraId="5BA33842" w14:textId="690D4E01" w:rsidR="00BB4BDF" w:rsidRPr="003F141B" w:rsidRDefault="00105DCD" w:rsidP="00105DCD">
      <w:pPr>
        <w:pStyle w:val="Paragraphe"/>
        <w:spacing w:line="240" w:lineRule="auto"/>
        <w:rPr>
          <w:lang w:val="en-CA"/>
        </w:rPr>
      </w:pPr>
      <w:r w:rsidRPr="003F141B">
        <w:rPr>
          <w:lang w:val="en-CA"/>
        </w:rPr>
        <w:t xml:space="preserve">In </w:t>
      </w:r>
      <w:r w:rsidRPr="003F141B">
        <w:rPr>
          <w:i/>
          <w:lang w:val="en-CA"/>
        </w:rPr>
        <w:t>Mian</w:t>
      </w:r>
      <w:r w:rsidRPr="003F141B">
        <w:rPr>
          <w:lang w:val="en-CA"/>
        </w:rPr>
        <w:t>,</w:t>
      </w:r>
      <w:r w:rsidRPr="003F141B">
        <w:rPr>
          <w:rStyle w:val="Appelnotedebasdep"/>
          <w:lang w:val="en-CA"/>
        </w:rPr>
        <w:footnoteReference w:id="30"/>
      </w:r>
      <w:r w:rsidRPr="003F141B">
        <w:rPr>
          <w:lang w:val="en-CA"/>
        </w:rPr>
        <w:t xml:space="preserve"> </w:t>
      </w:r>
      <w:r w:rsidR="00147C72" w:rsidRPr="003F141B">
        <w:rPr>
          <w:lang w:val="en-CA"/>
        </w:rPr>
        <w:t>Rothstein</w:t>
      </w:r>
      <w:r w:rsidR="004461B7">
        <w:rPr>
          <w:lang w:val="en-CA"/>
        </w:rPr>
        <w:t>,</w:t>
      </w:r>
      <w:r w:rsidR="00147C72" w:rsidRPr="003F141B">
        <w:rPr>
          <w:lang w:val="en-CA"/>
        </w:rPr>
        <w:t xml:space="preserve"> J., </w:t>
      </w:r>
      <w:r w:rsidRPr="003F141B">
        <w:rPr>
          <w:lang w:val="en-CA"/>
        </w:rPr>
        <w:t xml:space="preserve">speaking for a unanimous court, noted that </w:t>
      </w:r>
      <w:r w:rsidR="00081775">
        <w:rPr>
          <w:lang w:val="en-CA"/>
        </w:rPr>
        <w:t>“</w:t>
      </w:r>
      <w:r w:rsidRPr="003F141B">
        <w:rPr>
          <w:lang w:val="en-CA"/>
        </w:rPr>
        <w:t>the trial judge</w:t>
      </w:r>
      <w:r w:rsidR="003061CC">
        <w:rPr>
          <w:lang w:val="en-CA"/>
        </w:rPr>
        <w:t>’</w:t>
      </w:r>
      <w:r w:rsidRPr="003F141B">
        <w:rPr>
          <w:lang w:val="en-CA"/>
        </w:rPr>
        <w:t>s alleged shortcomings in assessing the evidence</w:t>
      </w:r>
      <w:r w:rsidR="00081775">
        <w:rPr>
          <w:lang w:val="en-CA"/>
        </w:rPr>
        <w:t>”</w:t>
      </w:r>
      <w:r w:rsidRPr="003F141B">
        <w:rPr>
          <w:lang w:val="en-CA"/>
        </w:rPr>
        <w:t xml:space="preserve"> can give rise to an error of law.</w:t>
      </w:r>
      <w:r w:rsidR="005003D8" w:rsidRPr="003F141B">
        <w:rPr>
          <w:rStyle w:val="Appelnotedebasdep"/>
          <w:lang w:val="en-CA"/>
        </w:rPr>
        <w:footnoteReference w:id="31"/>
      </w:r>
    </w:p>
    <w:p w14:paraId="391A7D59" w14:textId="003BC104" w:rsidR="009130CA" w:rsidRPr="003F141B" w:rsidRDefault="00105DCD" w:rsidP="00105DCD">
      <w:pPr>
        <w:pStyle w:val="Paragraphe"/>
        <w:spacing w:line="240" w:lineRule="auto"/>
        <w:rPr>
          <w:lang w:val="en-CA"/>
        </w:rPr>
      </w:pPr>
      <w:r w:rsidRPr="003F141B">
        <w:rPr>
          <w:lang w:val="en-CA"/>
        </w:rPr>
        <w:t>For example, it is well established that a finding of fact that is not supported by the evidence constitutes such an error,</w:t>
      </w:r>
      <w:r w:rsidRPr="003F141B">
        <w:rPr>
          <w:rStyle w:val="Appelnotedebasdep"/>
          <w:lang w:val="en-CA"/>
        </w:rPr>
        <w:footnoteReference w:id="32"/>
      </w:r>
      <w:r w:rsidRPr="003F141B">
        <w:rPr>
          <w:lang w:val="en-CA"/>
        </w:rPr>
        <w:t xml:space="preserve"> </w:t>
      </w:r>
      <w:r w:rsidR="00551131" w:rsidRPr="003F141B">
        <w:rPr>
          <w:lang w:val="en-CA"/>
        </w:rPr>
        <w:t>especially</w:t>
      </w:r>
      <w:r w:rsidRPr="003F141B">
        <w:rPr>
          <w:lang w:val="en-CA"/>
        </w:rPr>
        <w:t xml:space="preserve"> when it is </w:t>
      </w:r>
      <w:r w:rsidR="00081775">
        <w:rPr>
          <w:lang w:val="en-CA"/>
        </w:rPr>
        <w:t>“</w:t>
      </w:r>
      <w:r w:rsidRPr="003F141B">
        <w:rPr>
          <w:lang w:val="en-CA"/>
        </w:rPr>
        <w:t>at the root of the trial judge</w:t>
      </w:r>
      <w:r w:rsidR="003061CC">
        <w:rPr>
          <w:lang w:val="en-CA"/>
        </w:rPr>
        <w:t>’</w:t>
      </w:r>
      <w:r w:rsidRPr="003F141B">
        <w:rPr>
          <w:lang w:val="en-CA"/>
        </w:rPr>
        <w:t>s decision.</w:t>
      </w:r>
      <w:r w:rsidR="00081775">
        <w:rPr>
          <w:lang w:val="en-CA"/>
        </w:rPr>
        <w:t>”</w:t>
      </w:r>
      <w:r w:rsidRPr="003F141B">
        <w:rPr>
          <w:rStyle w:val="Appelnotedebasdep"/>
          <w:lang w:val="en-CA"/>
        </w:rPr>
        <w:footnoteReference w:id="33"/>
      </w:r>
      <w:r w:rsidRPr="003F141B">
        <w:rPr>
          <w:lang w:val="en-CA"/>
        </w:rPr>
        <w:t xml:space="preserve"> </w:t>
      </w:r>
      <w:r w:rsidR="000B331D" w:rsidRPr="003F141B">
        <w:rPr>
          <w:lang w:val="en-CA"/>
        </w:rPr>
        <w:t xml:space="preserve">The incorrect legal effect that the judge confers on one of his or her findings </w:t>
      </w:r>
      <w:r w:rsidR="000B331D" w:rsidRPr="003F141B">
        <w:rPr>
          <w:lang w:val="en-CA"/>
        </w:rPr>
        <w:lastRenderedPageBreak/>
        <w:t>of fact</w:t>
      </w:r>
      <w:r w:rsidR="00DF7614" w:rsidRPr="003F141B">
        <w:rPr>
          <w:lang w:val="en-CA"/>
        </w:rPr>
        <w:t xml:space="preserve"> also constitutes an error of law</w:t>
      </w:r>
      <w:r w:rsidR="000B331D" w:rsidRPr="003F141B">
        <w:rPr>
          <w:lang w:val="en-CA"/>
        </w:rPr>
        <w:t>,</w:t>
      </w:r>
      <w:r w:rsidR="005003D8" w:rsidRPr="003F141B">
        <w:rPr>
          <w:rStyle w:val="Appelnotedebasdep"/>
          <w:lang w:val="en-CA"/>
        </w:rPr>
        <w:footnoteReference w:id="34"/>
      </w:r>
      <w:r w:rsidR="005003D8" w:rsidRPr="003F141B">
        <w:rPr>
          <w:lang w:val="en-CA"/>
        </w:rPr>
        <w:t xml:space="preserve"> </w:t>
      </w:r>
      <w:r w:rsidR="000B331D" w:rsidRPr="003F141B">
        <w:rPr>
          <w:lang w:val="en-CA"/>
        </w:rPr>
        <w:t xml:space="preserve">as </w:t>
      </w:r>
      <w:r w:rsidR="00F4066E" w:rsidRPr="003F141B">
        <w:rPr>
          <w:lang w:val="en-CA"/>
        </w:rPr>
        <w:t xml:space="preserve">does </w:t>
      </w:r>
      <w:r w:rsidR="000B331D" w:rsidRPr="003F141B">
        <w:rPr>
          <w:lang w:val="en-CA"/>
        </w:rPr>
        <w:t>the</w:t>
      </w:r>
      <w:r w:rsidR="00F0308D" w:rsidRPr="003F141B">
        <w:rPr>
          <w:lang w:val="en-CA"/>
        </w:rPr>
        <w:t xml:space="preserve"> failure to consider</w:t>
      </w:r>
      <w:r w:rsidR="000B331D" w:rsidRPr="003F141B">
        <w:rPr>
          <w:lang w:val="en-CA"/>
        </w:rPr>
        <w:t xml:space="preserve"> all of the evidence </w:t>
      </w:r>
      <w:r w:rsidR="00F0308D" w:rsidRPr="003F141B">
        <w:rPr>
          <w:lang w:val="en-CA"/>
        </w:rPr>
        <w:t xml:space="preserve">in relation </w:t>
      </w:r>
      <w:r w:rsidR="000B331D" w:rsidRPr="003F141B">
        <w:rPr>
          <w:lang w:val="en-CA"/>
        </w:rPr>
        <w:t xml:space="preserve">to the </w:t>
      </w:r>
      <w:r w:rsidR="00F4066E" w:rsidRPr="003F141B">
        <w:rPr>
          <w:lang w:val="en-CA"/>
        </w:rPr>
        <w:t>ultimate issue to be decided.</w:t>
      </w:r>
      <w:r w:rsidR="005003D8" w:rsidRPr="003F141B">
        <w:rPr>
          <w:rStyle w:val="Appelnotedebasdep"/>
          <w:lang w:val="en-CA"/>
        </w:rPr>
        <w:footnoteReference w:id="35"/>
      </w:r>
      <w:r w:rsidR="00551131" w:rsidRPr="003F141B">
        <w:rPr>
          <w:lang w:val="en-CA"/>
        </w:rPr>
        <w:t xml:space="preserve"> </w:t>
      </w:r>
      <w:r w:rsidR="00F4066E" w:rsidRPr="003F141B">
        <w:rPr>
          <w:lang w:val="en-CA"/>
        </w:rPr>
        <w:t>As Cromwell</w:t>
      </w:r>
      <w:r w:rsidR="004461B7">
        <w:rPr>
          <w:lang w:val="en-CA"/>
        </w:rPr>
        <w:t>,</w:t>
      </w:r>
      <w:r w:rsidR="00F4066E" w:rsidRPr="003F141B">
        <w:rPr>
          <w:lang w:val="en-CA"/>
        </w:rPr>
        <w:t xml:space="preserve"> J. noted </w:t>
      </w:r>
      <w:r w:rsidR="00241F7B" w:rsidRPr="003F141B">
        <w:rPr>
          <w:lang w:val="en-CA"/>
        </w:rPr>
        <w:t xml:space="preserve">in </w:t>
      </w:r>
      <w:r w:rsidR="00241F7B" w:rsidRPr="00241F7B">
        <w:rPr>
          <w:i/>
          <w:lang w:val="en-CA"/>
        </w:rPr>
        <w:t>R</w:t>
      </w:r>
      <w:r w:rsidR="005003D8" w:rsidRPr="00241F7B">
        <w:rPr>
          <w:i/>
          <w:lang w:val="en-CA"/>
        </w:rPr>
        <w:t>.</w:t>
      </w:r>
      <w:r w:rsidR="005003D8" w:rsidRPr="003F141B">
        <w:rPr>
          <w:i/>
          <w:lang w:val="en-CA"/>
        </w:rPr>
        <w:t xml:space="preserve"> </w:t>
      </w:r>
      <w:r w:rsidR="00F4066E" w:rsidRPr="003F141B">
        <w:rPr>
          <w:i/>
          <w:lang w:val="en-CA"/>
        </w:rPr>
        <w:t>v.</w:t>
      </w:r>
      <w:r w:rsidR="005003D8" w:rsidRPr="003F141B">
        <w:rPr>
          <w:i/>
          <w:lang w:val="en-CA"/>
        </w:rPr>
        <w:t xml:space="preserve"> J.M.H.</w:t>
      </w:r>
      <w:r w:rsidR="005003D8" w:rsidRPr="003F141B">
        <w:rPr>
          <w:lang w:val="en-CA"/>
        </w:rPr>
        <w:t xml:space="preserve">, </w:t>
      </w:r>
      <w:r w:rsidR="00F4066E" w:rsidRPr="003F141B">
        <w:rPr>
          <w:lang w:val="en-CA"/>
        </w:rPr>
        <w:t>such situations</w:t>
      </w:r>
      <w:r w:rsidR="005003D8" w:rsidRPr="003F141B">
        <w:rPr>
          <w:lang w:val="en-CA"/>
        </w:rPr>
        <w:t xml:space="preserve">, </w:t>
      </w:r>
      <w:r w:rsidR="00F4066E" w:rsidRPr="003F141B">
        <w:rPr>
          <w:lang w:val="en-CA"/>
        </w:rPr>
        <w:t>as well as the fourth that he also identifies in that decision, but that is not relevant to this case, may not constitute an exhaustive list.</w:t>
      </w:r>
      <w:r w:rsidR="005003D8" w:rsidRPr="003F141B">
        <w:rPr>
          <w:rStyle w:val="Appelnotedebasdep"/>
          <w:lang w:val="en-CA"/>
        </w:rPr>
        <w:footnoteReference w:id="36"/>
      </w:r>
    </w:p>
    <w:p w14:paraId="0C5A7002" w14:textId="5C4E719A" w:rsidR="004B7565" w:rsidRPr="003F141B" w:rsidRDefault="00F4066E" w:rsidP="004B7565">
      <w:pPr>
        <w:pStyle w:val="Paragraphe"/>
        <w:spacing w:line="240" w:lineRule="auto"/>
        <w:rPr>
          <w:lang w:val="en-CA"/>
        </w:rPr>
      </w:pPr>
      <w:r w:rsidRPr="003F141B">
        <w:rPr>
          <w:lang w:val="en-CA"/>
        </w:rPr>
        <w:t xml:space="preserve">That said, as the following excerpts from her reasons illustrate, in this case the judge accepted </w:t>
      </w:r>
      <w:r w:rsidR="00F0308D" w:rsidRPr="003F141B">
        <w:rPr>
          <w:lang w:val="en-CA"/>
        </w:rPr>
        <w:t xml:space="preserve">– or inferred – </w:t>
      </w:r>
      <w:r w:rsidRPr="003F141B">
        <w:rPr>
          <w:lang w:val="en-CA"/>
        </w:rPr>
        <w:t xml:space="preserve">from the evidence, that lawyers </w:t>
      </w:r>
      <w:proofErr w:type="spellStart"/>
      <w:r w:rsidRPr="003F141B">
        <w:rPr>
          <w:lang w:val="en-CA"/>
        </w:rPr>
        <w:t>Boulianne</w:t>
      </w:r>
      <w:proofErr w:type="spellEnd"/>
      <w:r w:rsidRPr="003F141B">
        <w:rPr>
          <w:lang w:val="en-CA"/>
        </w:rPr>
        <w:t xml:space="preserve"> and </w:t>
      </w:r>
      <w:proofErr w:type="spellStart"/>
      <w:r w:rsidRPr="003F141B">
        <w:rPr>
          <w:lang w:val="en-CA"/>
        </w:rPr>
        <w:t>Cantin</w:t>
      </w:r>
      <w:proofErr w:type="spellEnd"/>
      <w:r w:rsidRPr="003F141B">
        <w:rPr>
          <w:lang w:val="en-CA"/>
        </w:rPr>
        <w:t xml:space="preserve"> were </w:t>
      </w:r>
      <w:r w:rsidR="00B36F09">
        <w:rPr>
          <w:lang w:val="en-CA"/>
        </w:rPr>
        <w:t xml:space="preserve">definitely </w:t>
      </w:r>
      <w:r w:rsidRPr="003F141B">
        <w:rPr>
          <w:lang w:val="en-CA"/>
        </w:rPr>
        <w:t>available to provide legal assistance to the respondent</w:t>
      </w:r>
      <w:r w:rsidR="003B4F40" w:rsidRPr="003F141B">
        <w:rPr>
          <w:lang w:val="en-CA"/>
        </w:rPr>
        <w:t xml:space="preserve">, or </w:t>
      </w:r>
      <w:r w:rsidR="004B7565" w:rsidRPr="003F141B">
        <w:rPr>
          <w:lang w:val="en-CA"/>
        </w:rPr>
        <w:t xml:space="preserve">that the police officers </w:t>
      </w:r>
      <w:r w:rsidR="000476BE">
        <w:rPr>
          <w:lang w:val="en-CA"/>
        </w:rPr>
        <w:t xml:space="preserve">unduly </w:t>
      </w:r>
      <w:r w:rsidR="004B7565" w:rsidRPr="003F141B">
        <w:rPr>
          <w:rFonts w:cs="Arial"/>
          <w:lang w:val="en-CA"/>
        </w:rPr>
        <w:t>[</w:t>
      </w:r>
      <w:r w:rsidR="004B7565" w:rsidRPr="003F141B">
        <w:rPr>
          <w:smallCaps/>
          <w:lang w:val="en-CA"/>
        </w:rPr>
        <w:t>translation</w:t>
      </w:r>
      <w:r w:rsidR="004B7565" w:rsidRPr="003F141B">
        <w:rPr>
          <w:rFonts w:cs="Arial"/>
          <w:lang w:val="en-CA"/>
        </w:rPr>
        <w:t>]</w:t>
      </w:r>
      <w:r w:rsidR="004B7565" w:rsidRPr="003F141B">
        <w:rPr>
          <w:lang w:val="en-CA"/>
        </w:rPr>
        <w:t xml:space="preserve"> </w:t>
      </w:r>
      <w:r w:rsidR="00081775">
        <w:rPr>
          <w:lang w:val="en-CA"/>
        </w:rPr>
        <w:t>“</w:t>
      </w:r>
      <w:r w:rsidR="004B7565" w:rsidRPr="003F141B">
        <w:rPr>
          <w:lang w:val="en-CA"/>
        </w:rPr>
        <w:t>took for granted that the lawyers were not available</w:t>
      </w:r>
      <w:r w:rsidR="00081775">
        <w:rPr>
          <w:lang w:val="en-CA"/>
        </w:rPr>
        <w:t>”</w:t>
      </w:r>
      <w:r w:rsidR="004B7565" w:rsidRPr="003F141B">
        <w:rPr>
          <w:lang w:val="en-CA"/>
        </w:rPr>
        <w:t>:</w:t>
      </w:r>
    </w:p>
    <w:p w14:paraId="14DDACEA" w14:textId="314D2A4F" w:rsidR="004B7565" w:rsidRPr="003F141B" w:rsidRDefault="006F6CE1" w:rsidP="004B7565">
      <w:pPr>
        <w:pStyle w:val="Paragraphe"/>
        <w:numPr>
          <w:ilvl w:val="0"/>
          <w:numId w:val="0"/>
        </w:numPr>
        <w:spacing w:line="240" w:lineRule="auto"/>
        <w:ind w:left="720"/>
        <w:rPr>
          <w:lang w:val="en-CA"/>
        </w:rPr>
      </w:pPr>
      <w:r w:rsidRPr="003F141B">
        <w:rPr>
          <w:rFonts w:cs="Arial"/>
          <w:lang w:val="en-CA"/>
        </w:rPr>
        <w:t>[</w:t>
      </w:r>
      <w:r w:rsidR="004B7565" w:rsidRPr="003F141B">
        <w:rPr>
          <w:smallCaps/>
          <w:lang w:val="en-CA"/>
        </w:rPr>
        <w:t>translation</w:t>
      </w:r>
      <w:r w:rsidRPr="003F141B">
        <w:rPr>
          <w:rFonts w:cs="Arial"/>
          <w:lang w:val="en-CA"/>
        </w:rPr>
        <w:t>]</w:t>
      </w:r>
    </w:p>
    <w:p w14:paraId="0216980A" w14:textId="0D71CC59" w:rsidR="009130CA" w:rsidRPr="007609CF" w:rsidRDefault="00F125E7" w:rsidP="007609CF">
      <w:pPr>
        <w:pStyle w:val="Citationenretrait"/>
        <w:numPr>
          <w:ilvl w:val="0"/>
          <w:numId w:val="27"/>
        </w:numPr>
        <w:rPr>
          <w:lang w:val="en-CA"/>
        </w:rPr>
      </w:pPr>
      <w:r w:rsidRPr="007609CF">
        <w:rPr>
          <w:lang w:val="en-CA"/>
        </w:rPr>
        <w:t xml:space="preserve">So, here is the situation </w:t>
      </w:r>
      <w:r w:rsidR="00664956" w:rsidRPr="007609CF">
        <w:rPr>
          <w:rFonts w:cs="Arial"/>
        </w:rPr>
        <w:t>[</w:t>
      </w:r>
      <w:r w:rsidR="00664956">
        <w:t>...</w:t>
      </w:r>
      <w:r w:rsidR="00664956" w:rsidRPr="007609CF">
        <w:rPr>
          <w:rFonts w:cs="Arial"/>
        </w:rPr>
        <w:t>]</w:t>
      </w:r>
      <w:r w:rsidRPr="007609CF">
        <w:rPr>
          <w:lang w:val="en-CA"/>
        </w:rPr>
        <w:t xml:space="preserve">, </w:t>
      </w:r>
      <w:r w:rsidRPr="002E7C7B">
        <w:rPr>
          <w:lang w:val="en-CA"/>
        </w:rPr>
        <w:t xml:space="preserve">can we say today, with the evidence we have, that the lawyers chosen by Mr. Blackburn-Laroche were not available? This is the </w:t>
      </w:r>
      <w:r w:rsidR="00744583" w:rsidRPr="002E7C7B">
        <w:rPr>
          <w:lang w:val="en-CA"/>
        </w:rPr>
        <w:t>crux of the matter</w:t>
      </w:r>
      <w:r w:rsidR="007759B6" w:rsidRPr="002E7C7B">
        <w:rPr>
          <w:lang w:val="en-CA"/>
        </w:rPr>
        <w:t xml:space="preserve">, </w:t>
      </w:r>
      <w:r w:rsidR="007759B6" w:rsidRPr="007609CF">
        <w:rPr>
          <w:rFonts w:cs="Arial"/>
        </w:rPr>
        <w:t>[</w:t>
      </w:r>
      <w:r w:rsidR="007759B6" w:rsidRPr="007609CF">
        <w:t>…</w:t>
      </w:r>
      <w:r w:rsidR="007759B6" w:rsidRPr="007609CF">
        <w:rPr>
          <w:rFonts w:cs="Arial"/>
        </w:rPr>
        <w:t>]</w:t>
      </w:r>
      <w:proofErr w:type="gramStart"/>
      <w:r w:rsidRPr="007609CF">
        <w:rPr>
          <w:u w:val="single"/>
          <w:lang w:val="en-CA"/>
        </w:rPr>
        <w:t>;</w:t>
      </w:r>
      <w:proofErr w:type="gramEnd"/>
    </w:p>
    <w:p w14:paraId="62C84B43" w14:textId="7A270E9E" w:rsidR="00F125E7" w:rsidRPr="003F141B" w:rsidRDefault="000A0D47" w:rsidP="009130CA">
      <w:pPr>
        <w:pStyle w:val="Citationenretrait"/>
        <w:numPr>
          <w:ilvl w:val="0"/>
          <w:numId w:val="27"/>
        </w:numPr>
        <w:rPr>
          <w:lang w:val="en-CA"/>
        </w:rPr>
      </w:pPr>
      <w:r w:rsidRPr="007609CF">
        <w:rPr>
          <w:rFonts w:cs="Arial"/>
        </w:rPr>
        <w:t>[</w:t>
      </w:r>
      <w:r w:rsidRPr="007609CF">
        <w:t>…</w:t>
      </w:r>
      <w:r w:rsidRPr="007609CF">
        <w:rPr>
          <w:rFonts w:cs="Arial"/>
        </w:rPr>
        <w:t xml:space="preserve">] </w:t>
      </w:r>
      <w:r w:rsidR="00F125E7" w:rsidRPr="002E7C7B">
        <w:rPr>
          <w:lang w:val="en-CA"/>
        </w:rPr>
        <w:t xml:space="preserve">I find that indeed, once the lawyers, </w:t>
      </w:r>
      <w:r w:rsidR="00F125E7" w:rsidRPr="003F141B">
        <w:rPr>
          <w:u w:val="single"/>
          <w:lang w:val="en-CA"/>
        </w:rPr>
        <w:t>we can</w:t>
      </w:r>
      <w:r w:rsidR="003061CC">
        <w:rPr>
          <w:u w:val="single"/>
          <w:lang w:val="en-CA"/>
        </w:rPr>
        <w:t>’</w:t>
      </w:r>
      <w:r w:rsidR="00F125E7" w:rsidRPr="003F141B">
        <w:rPr>
          <w:u w:val="single"/>
          <w:lang w:val="en-CA"/>
        </w:rPr>
        <w:t xml:space="preserve">t </w:t>
      </w:r>
      <w:r w:rsidR="00734A94" w:rsidRPr="003F141B">
        <w:rPr>
          <w:u w:val="single"/>
          <w:lang w:val="en-CA"/>
        </w:rPr>
        <w:t>conclude that they were</w:t>
      </w:r>
      <w:r w:rsidR="00F125E7" w:rsidRPr="003F141B">
        <w:rPr>
          <w:u w:val="single"/>
          <w:lang w:val="en-CA"/>
        </w:rPr>
        <w:t>n</w:t>
      </w:r>
      <w:r w:rsidR="003061CC">
        <w:rPr>
          <w:u w:val="single"/>
          <w:lang w:val="en-CA"/>
        </w:rPr>
        <w:t>’</w:t>
      </w:r>
      <w:r w:rsidR="00F125E7" w:rsidRPr="003F141B">
        <w:rPr>
          <w:u w:val="single"/>
          <w:lang w:val="en-CA"/>
        </w:rPr>
        <w:t>t available</w:t>
      </w:r>
      <w:r w:rsidR="00F125E7" w:rsidRPr="003F141B">
        <w:rPr>
          <w:lang w:val="en-CA"/>
        </w:rPr>
        <w:t>, and that is what I cannot do today</w:t>
      </w:r>
      <w:r>
        <w:rPr>
          <w:lang w:val="en-CA"/>
        </w:rPr>
        <w:t xml:space="preserve">, </w:t>
      </w:r>
      <w:r>
        <w:rPr>
          <w:rFonts w:cs="Arial"/>
        </w:rPr>
        <w:t>[</w:t>
      </w:r>
      <w:r>
        <w:t>…</w:t>
      </w:r>
      <w:r>
        <w:rPr>
          <w:rFonts w:cs="Arial"/>
        </w:rPr>
        <w:t>]</w:t>
      </w:r>
      <w:r w:rsidR="00734A94" w:rsidRPr="003F141B">
        <w:rPr>
          <w:lang w:val="en-CA"/>
        </w:rPr>
        <w:t>;</w:t>
      </w:r>
    </w:p>
    <w:p w14:paraId="37D35CB9" w14:textId="61B93CCF" w:rsidR="009130CA" w:rsidRPr="003F141B" w:rsidRDefault="00341590" w:rsidP="009130CA">
      <w:pPr>
        <w:pStyle w:val="Citationenretrait"/>
        <w:numPr>
          <w:ilvl w:val="0"/>
          <w:numId w:val="27"/>
        </w:numPr>
        <w:rPr>
          <w:lang w:val="en-CA"/>
        </w:rPr>
      </w:pPr>
      <w:r>
        <w:rPr>
          <w:rFonts w:cs="Arial"/>
        </w:rPr>
        <w:t>[</w:t>
      </w:r>
      <w:r>
        <w:t>…</w:t>
      </w:r>
      <w:r>
        <w:rPr>
          <w:rFonts w:cs="Arial"/>
        </w:rPr>
        <w:t xml:space="preserve">] </w:t>
      </w:r>
      <w:r w:rsidR="00734A94" w:rsidRPr="003F141B">
        <w:rPr>
          <w:lang w:val="en-CA"/>
        </w:rPr>
        <w:t xml:space="preserve">it was taken for granted that the lawyers were not available. </w:t>
      </w:r>
      <w:r w:rsidR="00734A94" w:rsidRPr="003F141B">
        <w:rPr>
          <w:u w:val="single"/>
          <w:lang w:val="en-CA"/>
        </w:rPr>
        <w:t>That was not the case, however</w:t>
      </w:r>
      <w:r>
        <w:rPr>
          <w:u w:val="single"/>
          <w:lang w:val="en-CA"/>
        </w:rPr>
        <w:t xml:space="preserve">. </w:t>
      </w:r>
      <w:r>
        <w:rPr>
          <w:rFonts w:cs="Arial"/>
        </w:rPr>
        <w:t>[</w:t>
      </w:r>
      <w:r>
        <w:t>…</w:t>
      </w:r>
      <w:r>
        <w:rPr>
          <w:rFonts w:cs="Arial"/>
        </w:rPr>
        <w:t>]</w:t>
      </w:r>
      <w:r w:rsidR="00734A94" w:rsidRPr="003F141B">
        <w:rPr>
          <w:u w:val="single"/>
          <w:lang w:val="en-CA"/>
        </w:rPr>
        <w:t>.</w:t>
      </w:r>
      <w:r w:rsidR="00734A94" w:rsidRPr="003F141B">
        <w:rPr>
          <w:vertAlign w:val="superscript"/>
          <w:lang w:val="en-CA"/>
        </w:rPr>
        <w:t xml:space="preserve"> </w:t>
      </w:r>
      <w:r w:rsidR="005003D8" w:rsidRPr="003F141B">
        <w:rPr>
          <w:rStyle w:val="Appelnotedebasdep"/>
          <w:lang w:val="en-CA"/>
        </w:rPr>
        <w:footnoteReference w:id="37"/>
      </w:r>
    </w:p>
    <w:p w14:paraId="4298FBAD" w14:textId="1A5EC02C" w:rsidR="009130CA" w:rsidRPr="003F141B" w:rsidRDefault="005003D8" w:rsidP="006F6CE1">
      <w:pPr>
        <w:pStyle w:val="Paragraphe"/>
        <w:numPr>
          <w:ilvl w:val="0"/>
          <w:numId w:val="0"/>
        </w:numPr>
        <w:spacing w:line="240" w:lineRule="auto"/>
        <w:ind w:left="7200"/>
        <w:rPr>
          <w:lang w:val="en-CA"/>
        </w:rPr>
      </w:pPr>
      <w:r w:rsidRPr="003F141B">
        <w:rPr>
          <w:lang w:val="en-CA"/>
        </w:rPr>
        <w:t>[</w:t>
      </w:r>
      <w:r w:rsidR="006F6CE1" w:rsidRPr="003F141B">
        <w:rPr>
          <w:lang w:val="en-CA"/>
        </w:rPr>
        <w:t>Emphasis added</w:t>
      </w:r>
      <w:r w:rsidRPr="003F141B">
        <w:rPr>
          <w:lang w:val="en-CA"/>
        </w:rPr>
        <w:t>]</w:t>
      </w:r>
    </w:p>
    <w:p w14:paraId="01FBFDDC" w14:textId="08C0C78C" w:rsidR="009130CA" w:rsidRPr="003F141B" w:rsidRDefault="00C5611D" w:rsidP="009130CA">
      <w:pPr>
        <w:pStyle w:val="Paragraphe"/>
        <w:spacing w:line="240" w:lineRule="auto"/>
        <w:rPr>
          <w:lang w:val="en-CA"/>
        </w:rPr>
      </w:pPr>
      <w:r w:rsidRPr="003F141B">
        <w:rPr>
          <w:lang w:val="en-CA"/>
        </w:rPr>
        <w:t>The appellant is correct to suggest that these findings or inferences are not supported by the evidence. Furthermore, these errors of law are determinative because, according to the judge, for the purposes of her analysis of whether the police officers violated the respondent</w:t>
      </w:r>
      <w:r w:rsidR="003061CC">
        <w:rPr>
          <w:lang w:val="en-CA"/>
        </w:rPr>
        <w:t>’</w:t>
      </w:r>
      <w:r w:rsidRPr="003F141B">
        <w:rPr>
          <w:lang w:val="en-CA"/>
        </w:rPr>
        <w:t xml:space="preserve">s </w:t>
      </w:r>
      <w:r w:rsidR="00147C72" w:rsidRPr="003F141B">
        <w:rPr>
          <w:lang w:val="en-CA"/>
        </w:rPr>
        <w:t>s.</w:t>
      </w:r>
      <w:r w:rsidRPr="003F141B">
        <w:rPr>
          <w:lang w:val="en-CA"/>
        </w:rPr>
        <w:t xml:space="preserve"> 10(b) </w:t>
      </w:r>
      <w:r w:rsidRPr="003F141B">
        <w:rPr>
          <w:i/>
          <w:lang w:val="en-CA"/>
        </w:rPr>
        <w:t>Charter</w:t>
      </w:r>
      <w:r w:rsidR="00147C72" w:rsidRPr="003F141B">
        <w:rPr>
          <w:lang w:val="en-CA"/>
        </w:rPr>
        <w:t xml:space="preserve"> right</w:t>
      </w:r>
      <w:r w:rsidRPr="003F141B">
        <w:rPr>
          <w:lang w:val="en-CA"/>
        </w:rPr>
        <w:t xml:space="preserve">, </w:t>
      </w:r>
      <w:r w:rsidR="00081775">
        <w:rPr>
          <w:lang w:val="en-CA"/>
        </w:rPr>
        <w:t>“</w:t>
      </w:r>
      <w:r w:rsidR="00463945" w:rsidRPr="003F141B">
        <w:rPr>
          <w:lang w:val="en-CA"/>
        </w:rPr>
        <w:t xml:space="preserve">this is the </w:t>
      </w:r>
      <w:r w:rsidR="00023C2D">
        <w:rPr>
          <w:lang w:val="en-CA"/>
        </w:rPr>
        <w:t>crux of the matter</w:t>
      </w:r>
      <w:r w:rsidR="00081775">
        <w:rPr>
          <w:lang w:val="en-CA"/>
        </w:rPr>
        <w:t>”</w:t>
      </w:r>
      <w:r w:rsidR="00023C2D">
        <w:rPr>
          <w:lang w:val="en-CA"/>
        </w:rPr>
        <w:t>.</w:t>
      </w:r>
      <w:r w:rsidR="005003D8" w:rsidRPr="003F141B">
        <w:rPr>
          <w:lang w:val="en-CA"/>
        </w:rPr>
        <w:t xml:space="preserve"> </w:t>
      </w:r>
    </w:p>
    <w:p w14:paraId="3B468483" w14:textId="66B3E8B3" w:rsidR="009130CA" w:rsidRPr="003F141B" w:rsidRDefault="00C5611D" w:rsidP="009130CA">
      <w:pPr>
        <w:pStyle w:val="Paragraphe"/>
        <w:spacing w:line="240" w:lineRule="auto"/>
        <w:rPr>
          <w:lang w:val="en-CA"/>
        </w:rPr>
      </w:pPr>
      <w:r w:rsidRPr="003F141B">
        <w:rPr>
          <w:lang w:val="en-CA"/>
        </w:rPr>
        <w:t xml:space="preserve">First, however, </w:t>
      </w:r>
      <w:r w:rsidR="00147C72" w:rsidRPr="003F141B">
        <w:rPr>
          <w:lang w:val="en-CA"/>
        </w:rPr>
        <w:t>other than</w:t>
      </w:r>
      <w:r w:rsidRPr="003F141B">
        <w:rPr>
          <w:lang w:val="en-CA"/>
        </w:rPr>
        <w:t xml:space="preserve"> the mere suggestions in the questions put to the police officers during their cross-</w:t>
      </w:r>
      <w:r w:rsidR="00147C72" w:rsidRPr="003F141B">
        <w:rPr>
          <w:lang w:val="en-CA"/>
        </w:rPr>
        <w:t>examination, no</w:t>
      </w:r>
      <w:r w:rsidRPr="003F141B">
        <w:rPr>
          <w:lang w:val="en-CA"/>
        </w:rPr>
        <w:t xml:space="preserve"> evidence whatsoever allowed the judge to conclude that lawyers </w:t>
      </w:r>
      <w:proofErr w:type="spellStart"/>
      <w:r w:rsidRPr="003F141B">
        <w:rPr>
          <w:lang w:val="en-CA"/>
        </w:rPr>
        <w:t>Boulianne</w:t>
      </w:r>
      <w:proofErr w:type="spellEnd"/>
      <w:r w:rsidRPr="003F141B">
        <w:rPr>
          <w:lang w:val="en-CA"/>
        </w:rPr>
        <w:t xml:space="preserve"> and </w:t>
      </w:r>
      <w:proofErr w:type="spellStart"/>
      <w:r w:rsidRPr="003F141B">
        <w:rPr>
          <w:lang w:val="en-CA"/>
        </w:rPr>
        <w:t>Cantin</w:t>
      </w:r>
      <w:proofErr w:type="spellEnd"/>
      <w:r w:rsidRPr="003F141B">
        <w:rPr>
          <w:lang w:val="en-CA"/>
        </w:rPr>
        <w:t xml:space="preserve"> were available on the evening of June 2019 as of 11:37 p.m. to </w:t>
      </w:r>
      <w:proofErr w:type="gramStart"/>
      <w:r w:rsidRPr="003F141B">
        <w:rPr>
          <w:lang w:val="en-CA"/>
        </w:rPr>
        <w:t>provide assistance to</w:t>
      </w:r>
      <w:proofErr w:type="gramEnd"/>
      <w:r w:rsidRPr="003F141B">
        <w:rPr>
          <w:lang w:val="en-CA"/>
        </w:rPr>
        <w:t xml:space="preserve"> the respondent.</w:t>
      </w:r>
      <w:r w:rsidR="005003D8" w:rsidRPr="003F141B">
        <w:rPr>
          <w:lang w:val="en-CA"/>
        </w:rPr>
        <w:t xml:space="preserve"> </w:t>
      </w:r>
      <w:r w:rsidRPr="003F141B">
        <w:rPr>
          <w:lang w:val="en-CA"/>
        </w:rPr>
        <w:t xml:space="preserve">Incidentally, if that had been the case, the respondent, who </w:t>
      </w:r>
      <w:r w:rsidR="003E4679" w:rsidRPr="003F141B">
        <w:rPr>
          <w:lang w:val="en-CA"/>
        </w:rPr>
        <w:t xml:space="preserve">bore </w:t>
      </w:r>
      <w:r w:rsidRPr="003F141B">
        <w:rPr>
          <w:lang w:val="en-CA"/>
        </w:rPr>
        <w:t>the burden of proof, could have adduced evidence to establish it.</w:t>
      </w:r>
      <w:r w:rsidR="005003D8" w:rsidRPr="003F141B">
        <w:rPr>
          <w:lang w:val="en-CA"/>
        </w:rPr>
        <w:t xml:space="preserve"> </w:t>
      </w:r>
    </w:p>
    <w:p w14:paraId="1B567A26" w14:textId="1EF306A0" w:rsidR="009130CA" w:rsidRPr="003F141B" w:rsidRDefault="00C5611D" w:rsidP="009130CA">
      <w:pPr>
        <w:pStyle w:val="Paragraphe"/>
        <w:spacing w:line="240" w:lineRule="auto"/>
        <w:rPr>
          <w:lang w:val="en-CA"/>
        </w:rPr>
      </w:pPr>
      <w:r w:rsidRPr="003F141B">
        <w:rPr>
          <w:lang w:val="en-CA"/>
        </w:rPr>
        <w:t xml:space="preserve">In my view, the judge committed a second reviewable error in finding from the evidence that </w:t>
      </w:r>
      <w:r w:rsidRPr="003F141B">
        <w:rPr>
          <w:rFonts w:cs="Arial"/>
          <w:lang w:val="en-CA"/>
        </w:rPr>
        <w:t>[</w:t>
      </w:r>
      <w:r w:rsidRPr="003F141B">
        <w:rPr>
          <w:smallCaps/>
          <w:lang w:val="en-CA"/>
        </w:rPr>
        <w:t>translation</w:t>
      </w:r>
      <w:r w:rsidRPr="003F141B">
        <w:rPr>
          <w:rFonts w:cs="Arial"/>
          <w:smallCaps/>
          <w:lang w:val="en-CA"/>
        </w:rPr>
        <w:t>]</w:t>
      </w:r>
      <w:r w:rsidRPr="003F141B">
        <w:rPr>
          <w:lang w:val="en-CA"/>
        </w:rPr>
        <w:t xml:space="preserve"> </w:t>
      </w:r>
      <w:r w:rsidR="00081775">
        <w:rPr>
          <w:lang w:val="en-CA"/>
        </w:rPr>
        <w:t>“</w:t>
      </w:r>
      <w:r w:rsidR="00561B6D" w:rsidRPr="003F141B">
        <w:rPr>
          <w:lang w:val="en-CA"/>
        </w:rPr>
        <w:t xml:space="preserve">it was taken </w:t>
      </w:r>
      <w:r w:rsidRPr="003F141B">
        <w:rPr>
          <w:lang w:val="en-CA"/>
        </w:rPr>
        <w:t>for granted</w:t>
      </w:r>
      <w:r w:rsidR="00081775">
        <w:rPr>
          <w:lang w:val="en-CA"/>
        </w:rPr>
        <w:t>”</w:t>
      </w:r>
      <w:r w:rsidRPr="003F141B">
        <w:rPr>
          <w:lang w:val="en-CA"/>
        </w:rPr>
        <w:t xml:space="preserve"> </w:t>
      </w:r>
      <w:r w:rsidR="00561B6D" w:rsidRPr="003F141B">
        <w:rPr>
          <w:lang w:val="en-CA"/>
        </w:rPr>
        <w:t xml:space="preserve">by the police officers </w:t>
      </w:r>
      <w:r w:rsidRPr="003F141B">
        <w:rPr>
          <w:lang w:val="en-CA"/>
        </w:rPr>
        <w:t xml:space="preserve">that lawyers </w:t>
      </w:r>
      <w:proofErr w:type="spellStart"/>
      <w:r w:rsidRPr="003F141B">
        <w:rPr>
          <w:lang w:val="en-CA"/>
        </w:rPr>
        <w:t>Boulianne</w:t>
      </w:r>
      <w:proofErr w:type="spellEnd"/>
      <w:r w:rsidRPr="003F141B">
        <w:rPr>
          <w:lang w:val="en-CA"/>
        </w:rPr>
        <w:t xml:space="preserve"> and </w:t>
      </w:r>
      <w:proofErr w:type="spellStart"/>
      <w:r w:rsidRPr="003F141B">
        <w:rPr>
          <w:lang w:val="en-CA"/>
        </w:rPr>
        <w:t>Cantin</w:t>
      </w:r>
      <w:proofErr w:type="spellEnd"/>
      <w:r w:rsidRPr="003F141B">
        <w:rPr>
          <w:lang w:val="en-CA"/>
        </w:rPr>
        <w:t xml:space="preserve"> were not available.</w:t>
      </w:r>
      <w:r w:rsidR="005003D8" w:rsidRPr="003F141B">
        <w:rPr>
          <w:lang w:val="en-CA"/>
        </w:rPr>
        <w:t xml:space="preserve"> </w:t>
      </w:r>
    </w:p>
    <w:p w14:paraId="5F98C524" w14:textId="22E0AC23" w:rsidR="009130CA" w:rsidRPr="003F141B" w:rsidRDefault="00C5611D" w:rsidP="009130CA">
      <w:pPr>
        <w:pStyle w:val="Paragraphe"/>
        <w:spacing w:line="240" w:lineRule="auto"/>
        <w:rPr>
          <w:lang w:val="en-CA"/>
        </w:rPr>
      </w:pPr>
      <w:r w:rsidRPr="003F141B">
        <w:rPr>
          <w:lang w:val="en-CA"/>
        </w:rPr>
        <w:t>Indeed, the only uncontradicted</w:t>
      </w:r>
      <w:r w:rsidR="007E3B5B" w:rsidRPr="003F141B">
        <w:rPr>
          <w:lang w:val="en-CA"/>
        </w:rPr>
        <w:t>,</w:t>
      </w:r>
      <w:r w:rsidRPr="003F141B">
        <w:rPr>
          <w:lang w:val="en-CA"/>
        </w:rPr>
        <w:t xml:space="preserve"> </w:t>
      </w:r>
      <w:r w:rsidR="009A6325">
        <w:rPr>
          <w:lang w:val="en-CA"/>
        </w:rPr>
        <w:t xml:space="preserve">actual </w:t>
      </w:r>
      <w:r w:rsidRPr="003F141B">
        <w:rPr>
          <w:lang w:val="en-CA"/>
        </w:rPr>
        <w:t>evidence on this matter</w:t>
      </w:r>
      <w:r w:rsidR="00CB5B57" w:rsidRPr="003F141B">
        <w:rPr>
          <w:lang w:val="en-CA"/>
        </w:rPr>
        <w:t xml:space="preserve"> </w:t>
      </w:r>
      <w:r w:rsidR="009A6325">
        <w:rPr>
          <w:lang w:val="en-CA"/>
        </w:rPr>
        <w:t xml:space="preserve">instead </w:t>
      </w:r>
      <w:r w:rsidRPr="003F141B">
        <w:rPr>
          <w:lang w:val="en-CA"/>
        </w:rPr>
        <w:t>establishe</w:t>
      </w:r>
      <w:r w:rsidR="009A6325">
        <w:rPr>
          <w:lang w:val="en-CA"/>
        </w:rPr>
        <w:t>d</w:t>
      </w:r>
      <w:r w:rsidRPr="003F141B">
        <w:rPr>
          <w:lang w:val="en-CA"/>
        </w:rPr>
        <w:t xml:space="preserve"> </w:t>
      </w:r>
      <w:r w:rsidR="00DA2E7D" w:rsidRPr="003F141B">
        <w:rPr>
          <w:lang w:val="en-CA"/>
        </w:rPr>
        <w:t>that</w:t>
      </w:r>
      <w:r w:rsidR="00CB5B57" w:rsidRPr="003F141B">
        <w:rPr>
          <w:lang w:val="en-CA"/>
        </w:rPr>
        <w:t>,</w:t>
      </w:r>
      <w:r w:rsidRPr="003F141B">
        <w:rPr>
          <w:lang w:val="en-CA"/>
        </w:rPr>
        <w:t xml:space="preserve"> after </w:t>
      </w:r>
      <w:r w:rsidR="009A6325">
        <w:rPr>
          <w:lang w:val="en-CA"/>
        </w:rPr>
        <w:t xml:space="preserve">her </w:t>
      </w:r>
      <w:r w:rsidRPr="003F141B">
        <w:rPr>
          <w:lang w:val="en-CA"/>
        </w:rPr>
        <w:t>colleague</w:t>
      </w:r>
      <w:r w:rsidR="003061CC">
        <w:rPr>
          <w:lang w:val="en-CA"/>
        </w:rPr>
        <w:t>’</w:t>
      </w:r>
      <w:r w:rsidR="00DA2E7D" w:rsidRPr="003F141B">
        <w:rPr>
          <w:lang w:val="en-CA"/>
        </w:rPr>
        <w:t>s unsuccessful attempts</w:t>
      </w:r>
      <w:r w:rsidRPr="003F141B">
        <w:rPr>
          <w:lang w:val="en-CA"/>
        </w:rPr>
        <w:t xml:space="preserve">, </w:t>
      </w:r>
      <w:r w:rsidR="00CB5B57" w:rsidRPr="003F141B">
        <w:rPr>
          <w:lang w:val="en-CA"/>
        </w:rPr>
        <w:t>O</w:t>
      </w:r>
      <w:r w:rsidRPr="003F141B">
        <w:rPr>
          <w:lang w:val="en-CA"/>
        </w:rPr>
        <w:t xml:space="preserve">fficer </w:t>
      </w:r>
      <w:proofErr w:type="spellStart"/>
      <w:r w:rsidRPr="003F141B">
        <w:rPr>
          <w:lang w:val="en-CA"/>
        </w:rPr>
        <w:t>Larouche</w:t>
      </w:r>
      <w:proofErr w:type="spellEnd"/>
      <w:r w:rsidRPr="003F141B">
        <w:rPr>
          <w:lang w:val="en-CA"/>
        </w:rPr>
        <w:t xml:space="preserve"> informed the </w:t>
      </w:r>
      <w:r w:rsidRPr="003F141B">
        <w:rPr>
          <w:lang w:val="en-CA"/>
        </w:rPr>
        <w:lastRenderedPageBreak/>
        <w:t xml:space="preserve">respondent that the lawyers he had </w:t>
      </w:r>
      <w:r w:rsidR="007119B1" w:rsidRPr="003F141B">
        <w:rPr>
          <w:lang w:val="en-CA"/>
        </w:rPr>
        <w:t>identified</w:t>
      </w:r>
      <w:r w:rsidRPr="003F141B">
        <w:rPr>
          <w:lang w:val="en-CA"/>
        </w:rPr>
        <w:t xml:space="preserve"> were not available </w:t>
      </w:r>
      <w:r w:rsidRPr="003F141B">
        <w:rPr>
          <w:rFonts w:cs="Arial"/>
          <w:lang w:val="en-CA"/>
        </w:rPr>
        <w:t>[</w:t>
      </w:r>
      <w:r w:rsidRPr="003F141B">
        <w:rPr>
          <w:smallCaps/>
          <w:lang w:val="en-CA"/>
        </w:rPr>
        <w:t>translation</w:t>
      </w:r>
      <w:r w:rsidRPr="003F141B">
        <w:rPr>
          <w:rFonts w:cs="Arial"/>
          <w:smallCaps/>
          <w:lang w:val="en-CA"/>
        </w:rPr>
        <w:t>]</w:t>
      </w:r>
      <w:r w:rsidRPr="003F141B">
        <w:rPr>
          <w:lang w:val="en-CA"/>
        </w:rPr>
        <w:t xml:space="preserve"> </w:t>
      </w:r>
      <w:r w:rsidR="00081775">
        <w:rPr>
          <w:lang w:val="en-CA"/>
        </w:rPr>
        <w:t>“</w:t>
      </w:r>
      <w:r w:rsidRPr="003F141B">
        <w:rPr>
          <w:lang w:val="en-CA"/>
        </w:rPr>
        <w:t>for the time being</w:t>
      </w:r>
      <w:r w:rsidR="00081775">
        <w:rPr>
          <w:lang w:val="en-CA"/>
        </w:rPr>
        <w:t>”</w:t>
      </w:r>
      <w:r w:rsidRPr="003F141B">
        <w:rPr>
          <w:lang w:val="en-CA"/>
        </w:rPr>
        <w:t>.</w:t>
      </w:r>
      <w:r w:rsidR="005003D8" w:rsidRPr="003F141B">
        <w:rPr>
          <w:lang w:val="en-CA"/>
        </w:rPr>
        <w:t xml:space="preserve"> </w:t>
      </w:r>
      <w:r w:rsidRPr="003F141B">
        <w:rPr>
          <w:lang w:val="en-CA"/>
        </w:rPr>
        <w:t xml:space="preserve">Again, it would not have been complicated for the respondent to </w:t>
      </w:r>
      <w:r w:rsidR="00CB5B57" w:rsidRPr="003F141B">
        <w:rPr>
          <w:lang w:val="en-CA"/>
        </w:rPr>
        <w:t xml:space="preserve">adduce </w:t>
      </w:r>
      <w:r w:rsidRPr="003F141B">
        <w:rPr>
          <w:lang w:val="en-CA"/>
        </w:rPr>
        <w:t>evidence to contradict the officer</w:t>
      </w:r>
      <w:r w:rsidR="003061CC">
        <w:rPr>
          <w:lang w:val="en-CA"/>
        </w:rPr>
        <w:t>’</w:t>
      </w:r>
      <w:r w:rsidRPr="003F141B">
        <w:rPr>
          <w:lang w:val="en-CA"/>
        </w:rPr>
        <w:t>s version had it been false or inaccurate.</w:t>
      </w:r>
    </w:p>
    <w:p w14:paraId="02CFDEE8" w14:textId="553CEAC2" w:rsidR="009130CA" w:rsidRPr="003F141B" w:rsidRDefault="00C5611D" w:rsidP="009130CA">
      <w:pPr>
        <w:pStyle w:val="Paragraphe"/>
        <w:spacing w:line="240" w:lineRule="auto"/>
        <w:rPr>
          <w:lang w:val="en-CA"/>
        </w:rPr>
      </w:pPr>
      <w:r w:rsidRPr="003F141B">
        <w:rPr>
          <w:lang w:val="en-CA"/>
        </w:rPr>
        <w:t>In short, the uncontradicted testimony of the police officers, whose good faith and credibility the judge</w:t>
      </w:r>
      <w:r w:rsidR="007E3B5B" w:rsidRPr="003F141B">
        <w:rPr>
          <w:lang w:val="en-CA"/>
        </w:rPr>
        <w:t xml:space="preserve"> did not question</w:t>
      </w:r>
      <w:r w:rsidRPr="003F141B">
        <w:rPr>
          <w:lang w:val="en-CA"/>
        </w:rPr>
        <w:t>, established that</w:t>
      </w:r>
      <w:r w:rsidR="007E3B5B" w:rsidRPr="003F141B">
        <w:rPr>
          <w:lang w:val="en-CA"/>
        </w:rPr>
        <w:t>,</w:t>
      </w:r>
      <w:r w:rsidRPr="003F141B">
        <w:rPr>
          <w:lang w:val="en-CA"/>
        </w:rPr>
        <w:t xml:space="preserve"> after finding the website for the lawyers</w:t>
      </w:r>
      <w:r w:rsidR="003061CC">
        <w:rPr>
          <w:lang w:val="en-CA"/>
        </w:rPr>
        <w:t>’</w:t>
      </w:r>
      <w:r w:rsidRPr="003F141B">
        <w:rPr>
          <w:lang w:val="en-CA"/>
        </w:rPr>
        <w:t xml:space="preserve"> firm, </w:t>
      </w:r>
      <w:r w:rsidR="00CB5B57" w:rsidRPr="003F141B">
        <w:rPr>
          <w:lang w:val="en-CA"/>
        </w:rPr>
        <w:t>O</w:t>
      </w:r>
      <w:r w:rsidRPr="003F141B">
        <w:rPr>
          <w:lang w:val="en-CA"/>
        </w:rPr>
        <w:t xml:space="preserve">fficer </w:t>
      </w:r>
      <w:proofErr w:type="spellStart"/>
      <w:r w:rsidR="007E3B5B" w:rsidRPr="003F141B">
        <w:rPr>
          <w:lang w:val="en-CA"/>
        </w:rPr>
        <w:t>Naess</w:t>
      </w:r>
      <w:proofErr w:type="spellEnd"/>
      <w:r w:rsidR="007E3B5B" w:rsidRPr="003F141B">
        <w:rPr>
          <w:lang w:val="en-CA"/>
        </w:rPr>
        <w:t xml:space="preserve"> dialled the personal cell</w:t>
      </w:r>
      <w:r w:rsidRPr="003F141B">
        <w:rPr>
          <w:lang w:val="en-CA"/>
        </w:rPr>
        <w:t xml:space="preserve">phone number of </w:t>
      </w:r>
      <w:proofErr w:type="spellStart"/>
      <w:r w:rsidRPr="003F141B">
        <w:rPr>
          <w:lang w:val="en-CA"/>
        </w:rPr>
        <w:t>Mtre</w:t>
      </w:r>
      <w:proofErr w:type="spellEnd"/>
      <w:r w:rsidRPr="003F141B">
        <w:rPr>
          <w:lang w:val="en-CA"/>
        </w:rPr>
        <w:t xml:space="preserve"> </w:t>
      </w:r>
      <w:proofErr w:type="spellStart"/>
      <w:r w:rsidRPr="003F141B">
        <w:rPr>
          <w:lang w:val="en-CA"/>
        </w:rPr>
        <w:t>Boulianne</w:t>
      </w:r>
      <w:proofErr w:type="spellEnd"/>
      <w:r w:rsidRPr="003F141B">
        <w:rPr>
          <w:lang w:val="en-CA"/>
        </w:rPr>
        <w:t xml:space="preserve"> that appeared </w:t>
      </w:r>
      <w:r w:rsidR="007E3B5B" w:rsidRPr="003F141B">
        <w:rPr>
          <w:lang w:val="en-CA"/>
        </w:rPr>
        <w:t>there</w:t>
      </w:r>
      <w:r w:rsidRPr="003F141B">
        <w:rPr>
          <w:lang w:val="en-CA"/>
        </w:rPr>
        <w:t xml:space="preserve"> </w:t>
      </w:r>
      <w:r w:rsidR="00A47853" w:rsidRPr="003F141B">
        <w:rPr>
          <w:lang w:val="en-CA"/>
        </w:rPr>
        <w:t xml:space="preserve">and </w:t>
      </w:r>
      <w:r w:rsidRPr="003F141B">
        <w:rPr>
          <w:lang w:val="en-CA"/>
        </w:rPr>
        <w:t xml:space="preserve">then the 24-hour number that also appeared </w:t>
      </w:r>
      <w:r w:rsidR="007E3B5B" w:rsidRPr="003F141B">
        <w:rPr>
          <w:lang w:val="en-CA"/>
        </w:rPr>
        <w:t>there</w:t>
      </w:r>
      <w:r w:rsidRPr="003F141B">
        <w:rPr>
          <w:lang w:val="en-CA"/>
        </w:rPr>
        <w:t xml:space="preserve">, but </w:t>
      </w:r>
      <w:r w:rsidR="00A47853" w:rsidRPr="003F141B">
        <w:rPr>
          <w:lang w:val="en-CA"/>
        </w:rPr>
        <w:t>was unsuccessful in both cases</w:t>
      </w:r>
      <w:r w:rsidRPr="003F141B">
        <w:rPr>
          <w:lang w:val="en-CA"/>
        </w:rPr>
        <w:t>.</w:t>
      </w:r>
      <w:r w:rsidR="005003D8" w:rsidRPr="003F141B">
        <w:rPr>
          <w:lang w:val="en-CA"/>
        </w:rPr>
        <w:t xml:space="preserve"> </w:t>
      </w:r>
      <w:r w:rsidRPr="003F141B">
        <w:rPr>
          <w:lang w:val="en-CA"/>
        </w:rPr>
        <w:t>Ac</w:t>
      </w:r>
      <w:r w:rsidR="009C692A" w:rsidRPr="003F141B">
        <w:rPr>
          <w:lang w:val="en-CA"/>
        </w:rPr>
        <w:t xml:space="preserve">cording to </w:t>
      </w:r>
      <w:r w:rsidR="00A47853" w:rsidRPr="003F141B">
        <w:rPr>
          <w:lang w:val="en-CA"/>
        </w:rPr>
        <w:t>O</w:t>
      </w:r>
      <w:r w:rsidR="009C692A" w:rsidRPr="003F141B">
        <w:rPr>
          <w:lang w:val="en-CA"/>
        </w:rPr>
        <w:t xml:space="preserve">fficer </w:t>
      </w:r>
      <w:proofErr w:type="spellStart"/>
      <w:r w:rsidR="009C692A" w:rsidRPr="003F141B">
        <w:rPr>
          <w:lang w:val="en-CA"/>
        </w:rPr>
        <w:t>Larouche</w:t>
      </w:r>
      <w:proofErr w:type="spellEnd"/>
      <w:r w:rsidR="009C692A" w:rsidRPr="003F141B">
        <w:rPr>
          <w:lang w:val="en-CA"/>
        </w:rPr>
        <w:t>, th</w:t>
      </w:r>
      <w:r w:rsidR="00BD7C4F" w:rsidRPr="003F141B">
        <w:rPr>
          <w:lang w:val="en-CA"/>
        </w:rPr>
        <w:t>o</w:t>
      </w:r>
      <w:r w:rsidRPr="003F141B">
        <w:rPr>
          <w:lang w:val="en-CA"/>
        </w:rPr>
        <w:t xml:space="preserve">se are the numbers she and her colleague </w:t>
      </w:r>
      <w:r w:rsidR="00B14135" w:rsidRPr="003F141B">
        <w:rPr>
          <w:lang w:val="en-CA"/>
        </w:rPr>
        <w:t xml:space="preserve">were able to find on the </w:t>
      </w:r>
      <w:r w:rsidR="00BD7C4F" w:rsidRPr="003F141B">
        <w:rPr>
          <w:lang w:val="en-CA"/>
        </w:rPr>
        <w:t xml:space="preserve">website for the </w:t>
      </w:r>
      <w:r w:rsidR="009C692A" w:rsidRPr="003F141B">
        <w:rPr>
          <w:lang w:val="en-CA"/>
        </w:rPr>
        <w:t>lawyers</w:t>
      </w:r>
      <w:r w:rsidR="003061CC">
        <w:rPr>
          <w:lang w:val="en-CA"/>
        </w:rPr>
        <w:t>’</w:t>
      </w:r>
      <w:r w:rsidR="00B14135" w:rsidRPr="003F141B">
        <w:rPr>
          <w:lang w:val="en-CA"/>
        </w:rPr>
        <w:t xml:space="preserve"> firm</w:t>
      </w:r>
      <w:r w:rsidRPr="003F141B">
        <w:rPr>
          <w:lang w:val="en-CA"/>
        </w:rPr>
        <w:t>.</w:t>
      </w:r>
      <w:r w:rsidR="005003D8" w:rsidRPr="003F141B">
        <w:rPr>
          <w:lang w:val="en-CA"/>
        </w:rPr>
        <w:t xml:space="preserve"> </w:t>
      </w:r>
      <w:r w:rsidRPr="003F141B">
        <w:rPr>
          <w:lang w:val="en-CA"/>
        </w:rPr>
        <w:t xml:space="preserve">These were the circumstances in which she informed the respondent that the lawyers were not available </w:t>
      </w:r>
      <w:r w:rsidR="00B14135" w:rsidRPr="003F141B">
        <w:rPr>
          <w:rFonts w:cs="Arial"/>
          <w:lang w:val="en-CA"/>
        </w:rPr>
        <w:t>[</w:t>
      </w:r>
      <w:r w:rsidRPr="003F141B">
        <w:rPr>
          <w:smallCaps/>
          <w:lang w:val="en-CA"/>
        </w:rPr>
        <w:t>translation</w:t>
      </w:r>
      <w:r w:rsidR="00B14135" w:rsidRPr="003F141B">
        <w:rPr>
          <w:rFonts w:cs="Arial"/>
          <w:smallCaps/>
          <w:lang w:val="en-CA"/>
        </w:rPr>
        <w:t>]</w:t>
      </w:r>
      <w:r w:rsidRPr="003F141B">
        <w:rPr>
          <w:lang w:val="en-CA"/>
        </w:rPr>
        <w:t xml:space="preserve"> </w:t>
      </w:r>
      <w:r w:rsidR="00081775">
        <w:rPr>
          <w:lang w:val="en-CA"/>
        </w:rPr>
        <w:t>“</w:t>
      </w:r>
      <w:r w:rsidRPr="003F141B">
        <w:rPr>
          <w:lang w:val="en-CA"/>
        </w:rPr>
        <w:t>for the time being</w:t>
      </w:r>
      <w:r w:rsidR="00081775">
        <w:rPr>
          <w:lang w:val="en-CA"/>
        </w:rPr>
        <w:t>”</w:t>
      </w:r>
      <w:r w:rsidRPr="003F141B">
        <w:rPr>
          <w:lang w:val="en-CA"/>
        </w:rPr>
        <w:t xml:space="preserve"> and that he could also seek the assistance of a legal aid lawyer if he wished.</w:t>
      </w:r>
      <w:r w:rsidR="005003D8" w:rsidRPr="003F141B">
        <w:rPr>
          <w:lang w:val="en-CA"/>
        </w:rPr>
        <w:t xml:space="preserve"> </w:t>
      </w:r>
    </w:p>
    <w:p w14:paraId="7BA7222D" w14:textId="341CEB5A" w:rsidR="009130CA" w:rsidRPr="003F141B" w:rsidRDefault="00C5611D" w:rsidP="009130CA">
      <w:pPr>
        <w:pStyle w:val="Paragraphe"/>
        <w:spacing w:line="240" w:lineRule="auto"/>
        <w:rPr>
          <w:lang w:val="en-CA"/>
        </w:rPr>
      </w:pPr>
      <w:r w:rsidRPr="003F141B">
        <w:rPr>
          <w:lang w:val="en-CA"/>
        </w:rPr>
        <w:t xml:space="preserve">It is important to </w:t>
      </w:r>
      <w:r w:rsidR="009C692A" w:rsidRPr="003F141B">
        <w:rPr>
          <w:lang w:val="en-CA"/>
        </w:rPr>
        <w:t>reiterate</w:t>
      </w:r>
      <w:r w:rsidRPr="003F141B">
        <w:rPr>
          <w:lang w:val="en-CA"/>
        </w:rPr>
        <w:t xml:space="preserve"> here that</w:t>
      </w:r>
      <w:r w:rsidR="00BD7C4F" w:rsidRPr="003F141B">
        <w:rPr>
          <w:lang w:val="en-CA"/>
        </w:rPr>
        <w:t xml:space="preserve"> </w:t>
      </w:r>
      <w:r w:rsidR="00F20300">
        <w:rPr>
          <w:lang w:val="en-CA"/>
        </w:rPr>
        <w:t xml:space="preserve">it was in response </w:t>
      </w:r>
      <w:r w:rsidR="00B14135" w:rsidRPr="003F141B">
        <w:rPr>
          <w:lang w:val="en-CA"/>
        </w:rPr>
        <w:t xml:space="preserve">to </w:t>
      </w:r>
      <w:r w:rsidRPr="003F141B">
        <w:rPr>
          <w:lang w:val="en-CA"/>
        </w:rPr>
        <w:t xml:space="preserve">the suggestions </w:t>
      </w:r>
      <w:r w:rsidR="00F20300">
        <w:rPr>
          <w:lang w:val="en-CA"/>
        </w:rPr>
        <w:t xml:space="preserve">of </w:t>
      </w:r>
      <w:r w:rsidRPr="003F141B">
        <w:rPr>
          <w:lang w:val="en-CA"/>
        </w:rPr>
        <w:t>the respondent</w:t>
      </w:r>
      <w:r w:rsidR="003061CC">
        <w:rPr>
          <w:lang w:val="en-CA"/>
        </w:rPr>
        <w:t>’</w:t>
      </w:r>
      <w:r w:rsidRPr="003F141B">
        <w:rPr>
          <w:lang w:val="en-CA"/>
        </w:rPr>
        <w:t xml:space="preserve">s lawyer during </w:t>
      </w:r>
      <w:r w:rsidR="00CB5B57" w:rsidRPr="003F141B">
        <w:rPr>
          <w:lang w:val="en-CA"/>
        </w:rPr>
        <w:t>O</w:t>
      </w:r>
      <w:r w:rsidRPr="003F141B">
        <w:rPr>
          <w:lang w:val="en-CA"/>
        </w:rPr>
        <w:t xml:space="preserve">fficer </w:t>
      </w:r>
      <w:proofErr w:type="spellStart"/>
      <w:r w:rsidRPr="003F141B">
        <w:rPr>
          <w:lang w:val="en-CA"/>
        </w:rPr>
        <w:t>Naess</w:t>
      </w:r>
      <w:r w:rsidR="003061CC">
        <w:rPr>
          <w:lang w:val="en-CA"/>
        </w:rPr>
        <w:t>’</w:t>
      </w:r>
      <w:r w:rsidR="00BD7C4F" w:rsidRPr="003F141B">
        <w:rPr>
          <w:lang w:val="en-CA"/>
        </w:rPr>
        <w:t>s</w:t>
      </w:r>
      <w:proofErr w:type="spellEnd"/>
      <w:r w:rsidR="00B14135" w:rsidRPr="003F141B">
        <w:rPr>
          <w:lang w:val="en-CA"/>
        </w:rPr>
        <w:t xml:space="preserve"> cross-examination</w:t>
      </w:r>
      <w:r w:rsidRPr="003F141B">
        <w:rPr>
          <w:lang w:val="en-CA"/>
        </w:rPr>
        <w:t xml:space="preserve">, </w:t>
      </w:r>
      <w:r w:rsidR="00F20300">
        <w:rPr>
          <w:lang w:val="en-CA"/>
        </w:rPr>
        <w:t xml:space="preserve">and </w:t>
      </w:r>
      <w:r w:rsidRPr="003F141B">
        <w:rPr>
          <w:lang w:val="en-CA"/>
        </w:rPr>
        <w:t xml:space="preserve">after </w:t>
      </w:r>
      <w:r w:rsidR="00BD77CB" w:rsidRPr="003F141B">
        <w:rPr>
          <w:lang w:val="en-CA"/>
        </w:rPr>
        <w:t xml:space="preserve">having sustained </w:t>
      </w:r>
      <w:r w:rsidRPr="003F141B">
        <w:rPr>
          <w:lang w:val="en-CA"/>
        </w:rPr>
        <w:t xml:space="preserve">an objection by </w:t>
      </w:r>
      <w:r w:rsidR="00BD7C4F" w:rsidRPr="003F141B">
        <w:rPr>
          <w:lang w:val="en-CA"/>
        </w:rPr>
        <w:t xml:space="preserve">counsel for the </w:t>
      </w:r>
      <w:r w:rsidRPr="003F141B">
        <w:rPr>
          <w:lang w:val="en-CA"/>
        </w:rPr>
        <w:t xml:space="preserve">appellant </w:t>
      </w:r>
      <w:r w:rsidR="00F20300">
        <w:rPr>
          <w:lang w:val="en-CA"/>
        </w:rPr>
        <w:t>in that regard</w:t>
      </w:r>
      <w:r w:rsidRPr="003F141B">
        <w:rPr>
          <w:lang w:val="en-CA"/>
        </w:rPr>
        <w:t xml:space="preserve">, </w:t>
      </w:r>
      <w:r w:rsidR="00F20300">
        <w:rPr>
          <w:lang w:val="en-CA"/>
        </w:rPr>
        <w:t xml:space="preserve">that the judge </w:t>
      </w:r>
      <w:r w:rsidRPr="003F141B">
        <w:rPr>
          <w:lang w:val="en-CA"/>
        </w:rPr>
        <w:t xml:space="preserve">clearly informed </w:t>
      </w:r>
      <w:r w:rsidR="00BD7C4F" w:rsidRPr="003F141B">
        <w:rPr>
          <w:lang w:val="en-CA"/>
        </w:rPr>
        <w:t xml:space="preserve">counsel for </w:t>
      </w:r>
      <w:r w:rsidRPr="003F141B">
        <w:rPr>
          <w:lang w:val="en-CA"/>
        </w:rPr>
        <w:t>the respondent that</w:t>
      </w:r>
      <w:r w:rsidR="00BD7C4F" w:rsidRPr="003F141B">
        <w:rPr>
          <w:lang w:val="en-CA"/>
        </w:rPr>
        <w:t>,</w:t>
      </w:r>
      <w:r w:rsidRPr="003F141B">
        <w:rPr>
          <w:lang w:val="en-CA"/>
        </w:rPr>
        <w:t xml:space="preserve"> given the inconclusive results of his line of questioning up to that point, the existence of operational </w:t>
      </w:r>
      <w:r w:rsidR="000E1DB7" w:rsidRPr="003F141B">
        <w:rPr>
          <w:lang w:val="en-CA"/>
        </w:rPr>
        <w:t>voicemail</w:t>
      </w:r>
      <w:r w:rsidRPr="003F141B">
        <w:rPr>
          <w:lang w:val="en-CA"/>
        </w:rPr>
        <w:t xml:space="preserve"> </w:t>
      </w:r>
      <w:r w:rsidR="00B14135" w:rsidRPr="003F141B">
        <w:rPr>
          <w:lang w:val="en-CA"/>
        </w:rPr>
        <w:t>on his cell</w:t>
      </w:r>
      <w:r w:rsidRPr="003F141B">
        <w:rPr>
          <w:lang w:val="en-CA"/>
        </w:rPr>
        <w:t>phone line or on the firm</w:t>
      </w:r>
      <w:r w:rsidR="003061CC">
        <w:rPr>
          <w:lang w:val="en-CA"/>
        </w:rPr>
        <w:t>’</w:t>
      </w:r>
      <w:r w:rsidRPr="003F141B">
        <w:rPr>
          <w:lang w:val="en-CA"/>
        </w:rPr>
        <w:t xml:space="preserve">s 24-hour line that evening was </w:t>
      </w:r>
      <w:r w:rsidRPr="003F141B">
        <w:rPr>
          <w:rFonts w:cs="Arial"/>
          <w:lang w:val="en-CA"/>
        </w:rPr>
        <w:t>[</w:t>
      </w:r>
      <w:r w:rsidRPr="003F141B">
        <w:rPr>
          <w:smallCaps/>
          <w:lang w:val="en-CA"/>
        </w:rPr>
        <w:t>translation</w:t>
      </w:r>
      <w:r w:rsidRPr="003F141B">
        <w:rPr>
          <w:rFonts w:cs="Arial"/>
          <w:smallCaps/>
          <w:lang w:val="en-CA"/>
        </w:rPr>
        <w:t>]</w:t>
      </w:r>
      <w:r w:rsidRPr="003F141B">
        <w:rPr>
          <w:lang w:val="en-CA"/>
        </w:rPr>
        <w:t xml:space="preserve"> </w:t>
      </w:r>
      <w:r w:rsidR="00081775">
        <w:rPr>
          <w:lang w:val="en-CA"/>
        </w:rPr>
        <w:t>“</w:t>
      </w:r>
      <w:r w:rsidR="00B14135" w:rsidRPr="003F141B">
        <w:rPr>
          <w:lang w:val="en-CA"/>
        </w:rPr>
        <w:t>speculation</w:t>
      </w:r>
      <w:r w:rsidR="00081775">
        <w:rPr>
          <w:lang w:val="en-CA"/>
        </w:rPr>
        <w:t>”</w:t>
      </w:r>
      <w:r w:rsidRPr="003F141B">
        <w:rPr>
          <w:lang w:val="en-CA"/>
        </w:rPr>
        <w:t>.</w:t>
      </w:r>
      <w:r w:rsidR="005003D8" w:rsidRPr="003F141B">
        <w:rPr>
          <w:lang w:val="en-CA"/>
        </w:rPr>
        <w:t xml:space="preserve"> </w:t>
      </w:r>
    </w:p>
    <w:p w14:paraId="55D70585" w14:textId="661ECA72" w:rsidR="009130CA" w:rsidRPr="003F141B" w:rsidRDefault="00C5611D" w:rsidP="009130CA">
      <w:pPr>
        <w:pStyle w:val="Paragraphe"/>
        <w:spacing w:line="240" w:lineRule="auto"/>
        <w:rPr>
          <w:lang w:val="en-CA"/>
        </w:rPr>
      </w:pPr>
      <w:r w:rsidRPr="003F141B">
        <w:rPr>
          <w:lang w:val="en-CA"/>
        </w:rPr>
        <w:t xml:space="preserve">The respondent, who </w:t>
      </w:r>
      <w:r w:rsidR="00BD77CB" w:rsidRPr="003F141B">
        <w:rPr>
          <w:lang w:val="en-CA"/>
        </w:rPr>
        <w:t xml:space="preserve">bore </w:t>
      </w:r>
      <w:r w:rsidRPr="003F141B">
        <w:rPr>
          <w:lang w:val="en-CA"/>
        </w:rPr>
        <w:t xml:space="preserve">the burden of proof </w:t>
      </w:r>
      <w:r w:rsidR="00BD77CB" w:rsidRPr="003F141B">
        <w:rPr>
          <w:lang w:val="en-CA"/>
        </w:rPr>
        <w:t xml:space="preserve">on </w:t>
      </w:r>
      <w:r w:rsidRPr="003F141B">
        <w:rPr>
          <w:lang w:val="en-CA"/>
        </w:rPr>
        <w:t xml:space="preserve">his </w:t>
      </w:r>
      <w:r w:rsidR="00BD77CB" w:rsidRPr="003F141B">
        <w:rPr>
          <w:lang w:val="en-CA"/>
        </w:rPr>
        <w:t xml:space="preserve">application </w:t>
      </w:r>
      <w:r w:rsidRPr="003F141B">
        <w:rPr>
          <w:lang w:val="en-CA"/>
        </w:rPr>
        <w:t xml:space="preserve">to exclude evidence, </w:t>
      </w:r>
      <w:r w:rsidR="00BD77CB" w:rsidRPr="003F141B">
        <w:rPr>
          <w:lang w:val="en-CA"/>
        </w:rPr>
        <w:t xml:space="preserve">decided </w:t>
      </w:r>
      <w:r w:rsidRPr="003F141B">
        <w:rPr>
          <w:lang w:val="en-CA"/>
        </w:rPr>
        <w:t xml:space="preserve">not to </w:t>
      </w:r>
      <w:r w:rsidR="00BD77CB" w:rsidRPr="003F141B">
        <w:rPr>
          <w:lang w:val="en-CA"/>
        </w:rPr>
        <w:t xml:space="preserve">subsequently adduce </w:t>
      </w:r>
      <w:r w:rsidRPr="003F141B">
        <w:rPr>
          <w:lang w:val="en-CA"/>
        </w:rPr>
        <w:t xml:space="preserve">evidence to confirm this hypothesis, for example </w:t>
      </w:r>
      <w:r w:rsidR="00BD77CB" w:rsidRPr="003F141B">
        <w:rPr>
          <w:lang w:val="en-CA"/>
        </w:rPr>
        <w:t xml:space="preserve">through </w:t>
      </w:r>
      <w:r w:rsidRPr="003F141B">
        <w:rPr>
          <w:lang w:val="en-CA"/>
        </w:rPr>
        <w:t xml:space="preserve">oral or written testimony </w:t>
      </w:r>
      <w:r w:rsidR="00BD77CB" w:rsidRPr="003F141B">
        <w:rPr>
          <w:lang w:val="en-CA"/>
        </w:rPr>
        <w:t xml:space="preserve">from </w:t>
      </w:r>
      <w:proofErr w:type="spellStart"/>
      <w:r w:rsidRPr="003F141B">
        <w:rPr>
          <w:lang w:val="en-CA"/>
        </w:rPr>
        <w:t>Mtre</w:t>
      </w:r>
      <w:proofErr w:type="spellEnd"/>
      <w:r w:rsidRPr="003F141B">
        <w:rPr>
          <w:lang w:val="en-CA"/>
        </w:rPr>
        <w:t xml:space="preserve"> </w:t>
      </w:r>
      <w:proofErr w:type="spellStart"/>
      <w:r w:rsidRPr="003F141B">
        <w:rPr>
          <w:lang w:val="en-CA"/>
        </w:rPr>
        <w:t>Boulianne</w:t>
      </w:r>
      <w:proofErr w:type="spellEnd"/>
      <w:r w:rsidRPr="003F141B">
        <w:rPr>
          <w:lang w:val="en-CA"/>
        </w:rPr>
        <w:t xml:space="preserve"> or a staff member of </w:t>
      </w:r>
      <w:r w:rsidR="00082351">
        <w:rPr>
          <w:lang w:val="en-CA"/>
        </w:rPr>
        <w:t xml:space="preserve">his </w:t>
      </w:r>
      <w:r w:rsidRPr="003F141B">
        <w:rPr>
          <w:lang w:val="en-CA"/>
        </w:rPr>
        <w:t>firm.</w:t>
      </w:r>
      <w:r w:rsidR="005003D8" w:rsidRPr="003F141B">
        <w:rPr>
          <w:lang w:val="en-CA"/>
        </w:rPr>
        <w:t xml:space="preserve"> </w:t>
      </w:r>
      <w:r w:rsidR="00BD77CB" w:rsidRPr="003F141B">
        <w:rPr>
          <w:lang w:val="en-CA"/>
        </w:rPr>
        <w:t>These</w:t>
      </w:r>
      <w:r w:rsidRPr="003F141B">
        <w:rPr>
          <w:lang w:val="en-CA"/>
        </w:rPr>
        <w:t xml:space="preserve"> persons could also have </w:t>
      </w:r>
      <w:r w:rsidR="006A5A7D" w:rsidRPr="003F141B">
        <w:rPr>
          <w:lang w:val="en-CA"/>
        </w:rPr>
        <w:t xml:space="preserve">been </w:t>
      </w:r>
      <w:r w:rsidR="00BD77CB" w:rsidRPr="003F141B">
        <w:rPr>
          <w:lang w:val="en-CA"/>
        </w:rPr>
        <w:t xml:space="preserve">called to testify </w:t>
      </w:r>
      <w:r w:rsidRPr="003F141B">
        <w:rPr>
          <w:lang w:val="en-CA"/>
        </w:rPr>
        <w:t>to contradict the police officers</w:t>
      </w:r>
      <w:r w:rsidR="003061CC">
        <w:rPr>
          <w:lang w:val="en-CA"/>
        </w:rPr>
        <w:t>’</w:t>
      </w:r>
      <w:r w:rsidRPr="003F141B">
        <w:rPr>
          <w:lang w:val="en-CA"/>
        </w:rPr>
        <w:t xml:space="preserve"> </w:t>
      </w:r>
      <w:r w:rsidR="006A5A7D" w:rsidRPr="003F141B">
        <w:rPr>
          <w:lang w:val="en-CA"/>
        </w:rPr>
        <w:t xml:space="preserve">testimony </w:t>
      </w:r>
      <w:r w:rsidRPr="003F141B">
        <w:rPr>
          <w:lang w:val="en-CA"/>
        </w:rPr>
        <w:t xml:space="preserve">and, if </w:t>
      </w:r>
      <w:r w:rsidR="006A5A7D" w:rsidRPr="003F141B">
        <w:rPr>
          <w:lang w:val="en-CA"/>
        </w:rPr>
        <w:t>possible</w:t>
      </w:r>
      <w:r w:rsidRPr="003F141B">
        <w:rPr>
          <w:lang w:val="en-CA"/>
        </w:rPr>
        <w:t xml:space="preserve">, </w:t>
      </w:r>
      <w:r w:rsidR="00BD77CB" w:rsidRPr="003F141B">
        <w:rPr>
          <w:lang w:val="en-CA"/>
        </w:rPr>
        <w:t xml:space="preserve">establish </w:t>
      </w:r>
      <w:r w:rsidRPr="003F141B">
        <w:rPr>
          <w:lang w:val="en-CA"/>
        </w:rPr>
        <w:t>that</w:t>
      </w:r>
      <w:r w:rsidR="00BD77CB" w:rsidRPr="003F141B">
        <w:rPr>
          <w:lang w:val="en-CA"/>
        </w:rPr>
        <w:t>,</w:t>
      </w:r>
      <w:r w:rsidRPr="003F141B">
        <w:rPr>
          <w:lang w:val="en-CA"/>
        </w:rPr>
        <w:t xml:space="preserve"> at the time of the events, a personal telephone number to reach </w:t>
      </w:r>
      <w:proofErr w:type="spellStart"/>
      <w:r w:rsidRPr="003F141B">
        <w:rPr>
          <w:lang w:val="en-CA"/>
        </w:rPr>
        <w:t>Mtre</w:t>
      </w:r>
      <w:proofErr w:type="spellEnd"/>
      <w:r w:rsidRPr="003F141B">
        <w:rPr>
          <w:lang w:val="en-CA"/>
        </w:rPr>
        <w:t xml:space="preserve"> </w:t>
      </w:r>
      <w:proofErr w:type="spellStart"/>
      <w:r w:rsidRPr="003F141B">
        <w:rPr>
          <w:lang w:val="en-CA"/>
        </w:rPr>
        <w:t>Cantin</w:t>
      </w:r>
      <w:proofErr w:type="spellEnd"/>
      <w:r w:rsidRPr="003F141B">
        <w:rPr>
          <w:lang w:val="en-CA"/>
        </w:rPr>
        <w:t xml:space="preserve"> directly also appeared on the firm</w:t>
      </w:r>
      <w:r w:rsidR="003061CC">
        <w:rPr>
          <w:lang w:val="en-CA"/>
        </w:rPr>
        <w:t>’</w:t>
      </w:r>
      <w:r w:rsidRPr="003F141B">
        <w:rPr>
          <w:lang w:val="en-CA"/>
        </w:rPr>
        <w:t>s website.</w:t>
      </w:r>
      <w:r w:rsidR="005003D8" w:rsidRPr="003F141B">
        <w:rPr>
          <w:lang w:val="en-CA"/>
        </w:rPr>
        <w:t xml:space="preserve"> </w:t>
      </w:r>
      <w:r w:rsidRPr="003F141B">
        <w:rPr>
          <w:lang w:val="en-CA"/>
        </w:rPr>
        <w:t xml:space="preserve">In </w:t>
      </w:r>
      <w:r w:rsidR="006A5A7D" w:rsidRPr="003F141B">
        <w:rPr>
          <w:lang w:val="en-CA"/>
        </w:rPr>
        <w:t xml:space="preserve">these </w:t>
      </w:r>
      <w:r w:rsidRPr="003F141B">
        <w:rPr>
          <w:lang w:val="en-CA"/>
        </w:rPr>
        <w:t xml:space="preserve">matters, the applicant may present his or her evidence by any means, including testimony or </w:t>
      </w:r>
      <w:r w:rsidR="00082351">
        <w:rPr>
          <w:lang w:val="en-CA"/>
        </w:rPr>
        <w:t>affidavits</w:t>
      </w:r>
      <w:r w:rsidRPr="003F141B">
        <w:rPr>
          <w:lang w:val="en-CA"/>
        </w:rPr>
        <w:t>, in which case the witnesses or affiants can nevertheless be cross</w:t>
      </w:r>
      <w:r w:rsidR="00082351">
        <w:rPr>
          <w:lang w:val="en-CA"/>
        </w:rPr>
        <w:noBreakHyphen/>
      </w:r>
      <w:r w:rsidRPr="003F141B">
        <w:rPr>
          <w:lang w:val="en-CA"/>
        </w:rPr>
        <w:t>examined.</w:t>
      </w:r>
      <w:r w:rsidR="005003D8" w:rsidRPr="003F141B">
        <w:rPr>
          <w:rStyle w:val="Appelnotedebasdep"/>
          <w:lang w:val="en-CA"/>
        </w:rPr>
        <w:footnoteReference w:id="38"/>
      </w:r>
      <w:r w:rsidRPr="003F141B">
        <w:rPr>
          <w:lang w:val="en-CA"/>
        </w:rPr>
        <w:t xml:space="preserve"> </w:t>
      </w:r>
    </w:p>
    <w:p w14:paraId="34FBA2BF" w14:textId="08BE79C2" w:rsidR="009130CA" w:rsidRPr="003F141B" w:rsidRDefault="00C5611D" w:rsidP="009130CA">
      <w:pPr>
        <w:pStyle w:val="Paragraphe"/>
        <w:spacing w:line="240" w:lineRule="auto"/>
        <w:rPr>
          <w:lang w:val="en-CA"/>
        </w:rPr>
      </w:pPr>
      <w:r w:rsidRPr="003F141B">
        <w:rPr>
          <w:lang w:val="en-CA"/>
        </w:rPr>
        <w:t xml:space="preserve">The existence on that </w:t>
      </w:r>
      <w:r w:rsidR="00BD77CB" w:rsidRPr="003F141B">
        <w:rPr>
          <w:lang w:val="en-CA"/>
        </w:rPr>
        <w:t xml:space="preserve">June </w:t>
      </w:r>
      <w:r w:rsidRPr="003F141B">
        <w:rPr>
          <w:lang w:val="en-CA"/>
        </w:rPr>
        <w:t xml:space="preserve">evening </w:t>
      </w:r>
      <w:r w:rsidR="00BD77CB" w:rsidRPr="003F141B">
        <w:rPr>
          <w:lang w:val="en-CA"/>
        </w:rPr>
        <w:t xml:space="preserve">around </w:t>
      </w:r>
      <w:r w:rsidRPr="003F141B">
        <w:rPr>
          <w:lang w:val="en-CA"/>
        </w:rPr>
        <w:t xml:space="preserve">11:37 p.m. of operational and functional </w:t>
      </w:r>
      <w:r w:rsidR="000E1DB7" w:rsidRPr="003F141B">
        <w:rPr>
          <w:lang w:val="en-CA"/>
        </w:rPr>
        <w:t>voicemail</w:t>
      </w:r>
      <w:r w:rsidRPr="003F141B">
        <w:rPr>
          <w:lang w:val="en-CA"/>
        </w:rPr>
        <w:t xml:space="preserve"> </w:t>
      </w:r>
      <w:r w:rsidR="006A5A7D" w:rsidRPr="003F141B">
        <w:rPr>
          <w:lang w:val="en-CA"/>
        </w:rPr>
        <w:t xml:space="preserve">on </w:t>
      </w:r>
      <w:proofErr w:type="spellStart"/>
      <w:r w:rsidR="006A5A7D" w:rsidRPr="003F141B">
        <w:rPr>
          <w:lang w:val="en-CA"/>
        </w:rPr>
        <w:t>Mtre</w:t>
      </w:r>
      <w:proofErr w:type="spellEnd"/>
      <w:r w:rsidR="006A5A7D" w:rsidRPr="003F141B">
        <w:rPr>
          <w:lang w:val="en-CA"/>
        </w:rPr>
        <w:t xml:space="preserve"> </w:t>
      </w:r>
      <w:proofErr w:type="spellStart"/>
      <w:r w:rsidR="006A5A7D" w:rsidRPr="003F141B">
        <w:rPr>
          <w:lang w:val="en-CA"/>
        </w:rPr>
        <w:t>Boulianne</w:t>
      </w:r>
      <w:r w:rsidR="003061CC">
        <w:rPr>
          <w:lang w:val="en-CA"/>
        </w:rPr>
        <w:t>’</w:t>
      </w:r>
      <w:r w:rsidR="006A5A7D" w:rsidRPr="003F141B">
        <w:rPr>
          <w:lang w:val="en-CA"/>
        </w:rPr>
        <w:t>s</w:t>
      </w:r>
      <w:proofErr w:type="spellEnd"/>
      <w:r w:rsidR="006A5A7D" w:rsidRPr="003F141B">
        <w:rPr>
          <w:lang w:val="en-CA"/>
        </w:rPr>
        <w:t xml:space="preserve"> cell</w:t>
      </w:r>
      <w:r w:rsidRPr="003F141B">
        <w:rPr>
          <w:lang w:val="en-CA"/>
        </w:rPr>
        <w:t xml:space="preserve">phone and on the </w:t>
      </w:r>
      <w:r w:rsidR="006A5A7D" w:rsidRPr="003F141B">
        <w:rPr>
          <w:lang w:val="en-CA"/>
        </w:rPr>
        <w:t>firm</w:t>
      </w:r>
      <w:r w:rsidR="003061CC">
        <w:rPr>
          <w:lang w:val="en-CA"/>
        </w:rPr>
        <w:t>’</w:t>
      </w:r>
      <w:r w:rsidR="006A5A7D" w:rsidRPr="003F141B">
        <w:rPr>
          <w:lang w:val="en-CA"/>
        </w:rPr>
        <w:t xml:space="preserve">s </w:t>
      </w:r>
      <w:r w:rsidRPr="003F141B">
        <w:rPr>
          <w:lang w:val="en-CA"/>
        </w:rPr>
        <w:t>24-hour</w:t>
      </w:r>
      <w:r w:rsidR="00C32F18" w:rsidRPr="003F141B">
        <w:rPr>
          <w:lang w:val="en-CA"/>
        </w:rPr>
        <w:t xml:space="preserve"> line</w:t>
      </w:r>
      <w:r w:rsidR="0003476A">
        <w:rPr>
          <w:lang w:val="en-CA"/>
        </w:rPr>
        <w:t>,</w:t>
      </w:r>
      <w:r w:rsidR="00C32F18" w:rsidRPr="003F141B">
        <w:rPr>
          <w:lang w:val="en-CA"/>
        </w:rPr>
        <w:t xml:space="preserve"> </w:t>
      </w:r>
      <w:r w:rsidR="0003476A">
        <w:rPr>
          <w:lang w:val="en-CA"/>
        </w:rPr>
        <w:t xml:space="preserve">or </w:t>
      </w:r>
      <w:r w:rsidR="009C692A" w:rsidRPr="003F141B">
        <w:rPr>
          <w:lang w:val="en-CA"/>
        </w:rPr>
        <w:t xml:space="preserve">the fact that </w:t>
      </w:r>
      <w:proofErr w:type="spellStart"/>
      <w:r w:rsidR="00C32F18" w:rsidRPr="003F141B">
        <w:rPr>
          <w:lang w:val="en-CA"/>
        </w:rPr>
        <w:t>Mtre</w:t>
      </w:r>
      <w:proofErr w:type="spellEnd"/>
      <w:r w:rsidR="00C32F18" w:rsidRPr="003F141B">
        <w:rPr>
          <w:lang w:val="en-CA"/>
        </w:rPr>
        <w:t xml:space="preserve"> </w:t>
      </w:r>
      <w:proofErr w:type="spellStart"/>
      <w:r w:rsidR="00C32F18" w:rsidRPr="003F141B">
        <w:rPr>
          <w:lang w:val="en-CA"/>
        </w:rPr>
        <w:t>Cantin</w:t>
      </w:r>
      <w:r w:rsidR="003061CC">
        <w:rPr>
          <w:lang w:val="en-CA"/>
        </w:rPr>
        <w:t>’</w:t>
      </w:r>
      <w:r w:rsidR="00C32F18" w:rsidRPr="003F141B">
        <w:rPr>
          <w:lang w:val="en-CA"/>
        </w:rPr>
        <w:t>s</w:t>
      </w:r>
      <w:proofErr w:type="spellEnd"/>
      <w:r w:rsidR="00C32F18" w:rsidRPr="003F141B">
        <w:rPr>
          <w:lang w:val="en-CA"/>
        </w:rPr>
        <w:t xml:space="preserve"> </w:t>
      </w:r>
      <w:r w:rsidR="009C692A" w:rsidRPr="003F141B">
        <w:rPr>
          <w:lang w:val="en-CA"/>
        </w:rPr>
        <w:t>personal cell</w:t>
      </w:r>
      <w:r w:rsidRPr="003F141B">
        <w:rPr>
          <w:lang w:val="en-CA"/>
        </w:rPr>
        <w:t xml:space="preserve">phone number was also </w:t>
      </w:r>
      <w:r w:rsidR="00C32F18" w:rsidRPr="003F141B">
        <w:rPr>
          <w:lang w:val="en-CA"/>
        </w:rPr>
        <w:t xml:space="preserve">listed </w:t>
      </w:r>
      <w:r w:rsidRPr="003F141B">
        <w:rPr>
          <w:lang w:val="en-CA"/>
        </w:rPr>
        <w:t>on the website</w:t>
      </w:r>
      <w:r w:rsidR="0003476A">
        <w:rPr>
          <w:lang w:val="en-CA"/>
        </w:rPr>
        <w:t>,</w:t>
      </w:r>
      <w:r w:rsidRPr="003F141B">
        <w:rPr>
          <w:lang w:val="en-CA"/>
        </w:rPr>
        <w:t xml:space="preserve"> are important consideration</w:t>
      </w:r>
      <w:r w:rsidR="00C32F18" w:rsidRPr="003F141B">
        <w:rPr>
          <w:lang w:val="en-CA"/>
        </w:rPr>
        <w:t>s</w:t>
      </w:r>
      <w:r w:rsidRPr="003F141B">
        <w:rPr>
          <w:lang w:val="en-CA"/>
        </w:rPr>
        <w:t xml:space="preserve"> in this type of dispute</w:t>
      </w:r>
      <w:r w:rsidR="00C32F18" w:rsidRPr="003F141B">
        <w:rPr>
          <w:lang w:val="en-CA"/>
        </w:rPr>
        <w:t>,</w:t>
      </w:r>
      <w:r w:rsidRPr="003F141B">
        <w:rPr>
          <w:lang w:val="en-CA"/>
        </w:rPr>
        <w:t xml:space="preserve"> where the steps taken by police officers to enable the exercise of the right to couns</w:t>
      </w:r>
      <w:r w:rsidR="006D46C0" w:rsidRPr="003F141B">
        <w:rPr>
          <w:lang w:val="en-CA"/>
        </w:rPr>
        <w:t>el are examined.</w:t>
      </w:r>
      <w:r w:rsidR="005003D8" w:rsidRPr="003F141B">
        <w:rPr>
          <w:rStyle w:val="Appelnotedebasdep"/>
          <w:lang w:val="en-CA" w:eastAsia="fr-CA"/>
        </w:rPr>
        <w:footnoteReference w:id="39"/>
      </w:r>
      <w:r w:rsidRPr="003F141B">
        <w:rPr>
          <w:lang w:val="en-CA"/>
        </w:rPr>
        <w:t xml:space="preserve"> </w:t>
      </w:r>
    </w:p>
    <w:p w14:paraId="349F54A7" w14:textId="0E51C6B8" w:rsidR="009130CA" w:rsidRPr="003F141B" w:rsidRDefault="0003476A" w:rsidP="009130CA">
      <w:pPr>
        <w:pStyle w:val="Paragraphe"/>
        <w:spacing w:line="240" w:lineRule="auto"/>
        <w:rPr>
          <w:lang w:val="en-CA"/>
        </w:rPr>
      </w:pPr>
      <w:r>
        <w:rPr>
          <w:lang w:val="en-CA"/>
        </w:rPr>
        <w:t xml:space="preserve">Admittedly, </w:t>
      </w:r>
      <w:r w:rsidR="00C5611D" w:rsidRPr="003F141B">
        <w:rPr>
          <w:lang w:val="en-CA"/>
        </w:rPr>
        <w:t>the form of more than one of the questions put to the police offic</w:t>
      </w:r>
      <w:r w:rsidR="006D46C0" w:rsidRPr="003F141B">
        <w:rPr>
          <w:lang w:val="en-CA"/>
        </w:rPr>
        <w:t xml:space="preserve">ers by </w:t>
      </w:r>
      <w:r w:rsidR="00C32F18" w:rsidRPr="003F141B">
        <w:rPr>
          <w:lang w:val="en-CA"/>
        </w:rPr>
        <w:t xml:space="preserve">counsel for </w:t>
      </w:r>
      <w:r w:rsidR="006D46C0" w:rsidRPr="003F141B">
        <w:rPr>
          <w:lang w:val="en-CA"/>
        </w:rPr>
        <w:t>the respondent o</w:t>
      </w:r>
      <w:r w:rsidR="00C5611D" w:rsidRPr="003F141B">
        <w:rPr>
          <w:lang w:val="en-CA"/>
        </w:rPr>
        <w:t xml:space="preserve">n cross-examination and the type of exchanges that followed </w:t>
      </w:r>
      <w:r w:rsidR="00C32F18" w:rsidRPr="003F141B">
        <w:rPr>
          <w:lang w:val="en-CA"/>
        </w:rPr>
        <w:t xml:space="preserve">may </w:t>
      </w:r>
      <w:r w:rsidR="00C5611D" w:rsidRPr="003F141B">
        <w:rPr>
          <w:lang w:val="en-CA"/>
        </w:rPr>
        <w:t>have complicated the judge</w:t>
      </w:r>
      <w:r w:rsidR="003061CC">
        <w:rPr>
          <w:lang w:val="en-CA"/>
        </w:rPr>
        <w:t>’</w:t>
      </w:r>
      <w:r w:rsidR="00C5611D" w:rsidRPr="003F141B">
        <w:rPr>
          <w:lang w:val="en-CA"/>
        </w:rPr>
        <w:t>s task with respect to the findings of fact sh</w:t>
      </w:r>
      <w:r w:rsidR="006D46C0" w:rsidRPr="003F141B">
        <w:rPr>
          <w:lang w:val="en-CA"/>
        </w:rPr>
        <w:t>e</w:t>
      </w:r>
      <w:r w:rsidR="00C5611D" w:rsidRPr="003F141B">
        <w:rPr>
          <w:lang w:val="en-CA"/>
        </w:rPr>
        <w:t xml:space="preserve"> could </w:t>
      </w:r>
      <w:r w:rsidR="006D46C0" w:rsidRPr="003F141B">
        <w:rPr>
          <w:lang w:val="en-CA"/>
        </w:rPr>
        <w:t>draw</w:t>
      </w:r>
      <w:r w:rsidR="00C5611D" w:rsidRPr="003F141B">
        <w:rPr>
          <w:lang w:val="en-CA"/>
        </w:rPr>
        <w:t xml:space="preserve"> from them.</w:t>
      </w:r>
    </w:p>
    <w:p w14:paraId="5F7F4749" w14:textId="72414001" w:rsidR="009130CA" w:rsidRPr="003F141B" w:rsidRDefault="00C5611D" w:rsidP="009130CA">
      <w:pPr>
        <w:pStyle w:val="Paragraphe"/>
        <w:spacing w:line="240" w:lineRule="auto"/>
        <w:rPr>
          <w:lang w:val="en-CA"/>
        </w:rPr>
      </w:pPr>
      <w:r w:rsidRPr="003F141B">
        <w:rPr>
          <w:lang w:val="en-CA"/>
        </w:rPr>
        <w:lastRenderedPageBreak/>
        <w:t>Indeed, these questions, the transcript</w:t>
      </w:r>
      <w:r w:rsidR="002B1196" w:rsidRPr="003F141B">
        <w:rPr>
          <w:lang w:val="en-CA"/>
        </w:rPr>
        <w:t xml:space="preserve"> of which </w:t>
      </w:r>
      <w:r w:rsidR="00C32F18" w:rsidRPr="003F141B">
        <w:rPr>
          <w:lang w:val="en-CA"/>
        </w:rPr>
        <w:t xml:space="preserve">are </w:t>
      </w:r>
      <w:r w:rsidR="002B1196" w:rsidRPr="003F141B">
        <w:rPr>
          <w:lang w:val="en-CA"/>
        </w:rPr>
        <w:t>reproduced</w:t>
      </w:r>
      <w:r w:rsidRPr="003F141B">
        <w:rPr>
          <w:lang w:val="en-CA"/>
        </w:rPr>
        <w:t xml:space="preserve"> above, </w:t>
      </w:r>
      <w:r w:rsidR="00C32F18" w:rsidRPr="003F141B">
        <w:rPr>
          <w:lang w:val="en-CA"/>
        </w:rPr>
        <w:t xml:space="preserve">incorrectly </w:t>
      </w:r>
      <w:r w:rsidRPr="003F141B">
        <w:rPr>
          <w:lang w:val="en-CA"/>
        </w:rPr>
        <w:t xml:space="preserve">implied and suggested that evidence of certain facts in dispute </w:t>
      </w:r>
      <w:r w:rsidR="00C32F18" w:rsidRPr="003F141B">
        <w:rPr>
          <w:lang w:val="en-CA"/>
        </w:rPr>
        <w:t>should be taken as proved</w:t>
      </w:r>
      <w:r w:rsidR="00E42509" w:rsidRPr="003F141B">
        <w:rPr>
          <w:lang w:val="en-CA"/>
        </w:rPr>
        <w:t>, namely,</w:t>
      </w:r>
      <w:r w:rsidRPr="003F141B">
        <w:rPr>
          <w:lang w:val="en-CA"/>
        </w:rPr>
        <w:t xml:space="preserve"> the </w:t>
      </w:r>
      <w:r w:rsidR="00C32F18" w:rsidRPr="003F141B">
        <w:rPr>
          <w:lang w:val="en-CA"/>
        </w:rPr>
        <w:t xml:space="preserve">existence </w:t>
      </w:r>
      <w:r w:rsidRPr="003F141B">
        <w:rPr>
          <w:lang w:val="en-CA"/>
        </w:rPr>
        <w:t xml:space="preserve">of operational </w:t>
      </w:r>
      <w:r w:rsidR="00E42509" w:rsidRPr="003F141B">
        <w:rPr>
          <w:lang w:val="en-CA"/>
        </w:rPr>
        <w:t xml:space="preserve">and functional </w:t>
      </w:r>
      <w:r w:rsidR="000E1DB7" w:rsidRPr="003F141B">
        <w:rPr>
          <w:lang w:val="en-CA"/>
        </w:rPr>
        <w:t>voicemail</w:t>
      </w:r>
      <w:r w:rsidRPr="003F141B">
        <w:rPr>
          <w:lang w:val="en-CA"/>
        </w:rPr>
        <w:t xml:space="preserve"> on </w:t>
      </w:r>
      <w:proofErr w:type="spellStart"/>
      <w:r w:rsidRPr="003F141B">
        <w:rPr>
          <w:lang w:val="en-CA"/>
        </w:rPr>
        <w:t>Mtre</w:t>
      </w:r>
      <w:proofErr w:type="spellEnd"/>
      <w:r w:rsidRPr="003F141B">
        <w:rPr>
          <w:lang w:val="en-CA"/>
        </w:rPr>
        <w:t xml:space="preserve"> </w:t>
      </w:r>
      <w:proofErr w:type="spellStart"/>
      <w:r w:rsidRPr="003F141B">
        <w:rPr>
          <w:lang w:val="en-CA"/>
        </w:rPr>
        <w:t>Boulianne</w:t>
      </w:r>
      <w:r w:rsidR="003061CC">
        <w:rPr>
          <w:lang w:val="en-CA"/>
        </w:rPr>
        <w:t>’</w:t>
      </w:r>
      <w:r w:rsidR="002B1196" w:rsidRPr="003F141B">
        <w:rPr>
          <w:lang w:val="en-CA"/>
        </w:rPr>
        <w:t>s</w:t>
      </w:r>
      <w:proofErr w:type="spellEnd"/>
      <w:r w:rsidR="002B1196" w:rsidRPr="003F141B">
        <w:rPr>
          <w:lang w:val="en-CA"/>
        </w:rPr>
        <w:t xml:space="preserve"> cellphone </w:t>
      </w:r>
      <w:r w:rsidRPr="003F141B">
        <w:rPr>
          <w:lang w:val="en-CA"/>
        </w:rPr>
        <w:t xml:space="preserve">and </w:t>
      </w:r>
      <w:r w:rsidR="00894D60" w:rsidRPr="003F141B">
        <w:rPr>
          <w:lang w:val="en-CA"/>
        </w:rPr>
        <w:t xml:space="preserve">a reference to a personal cellphone number for </w:t>
      </w:r>
      <w:proofErr w:type="spellStart"/>
      <w:r w:rsidR="00894D60" w:rsidRPr="003F141B">
        <w:rPr>
          <w:lang w:val="en-CA"/>
        </w:rPr>
        <w:t>Mtre</w:t>
      </w:r>
      <w:proofErr w:type="spellEnd"/>
      <w:r w:rsidR="00894D60" w:rsidRPr="003F141B">
        <w:rPr>
          <w:lang w:val="en-CA"/>
        </w:rPr>
        <w:t xml:space="preserve"> </w:t>
      </w:r>
      <w:proofErr w:type="spellStart"/>
      <w:r w:rsidR="00894D60" w:rsidRPr="003F141B">
        <w:rPr>
          <w:lang w:val="en-CA"/>
        </w:rPr>
        <w:t>Cantin</w:t>
      </w:r>
      <w:proofErr w:type="spellEnd"/>
      <w:r w:rsidR="00894D60" w:rsidRPr="003F141B">
        <w:rPr>
          <w:lang w:val="en-CA"/>
        </w:rPr>
        <w:t xml:space="preserve"> </w:t>
      </w:r>
      <w:r w:rsidRPr="003F141B">
        <w:rPr>
          <w:lang w:val="en-CA"/>
        </w:rPr>
        <w:t xml:space="preserve">on </w:t>
      </w:r>
      <w:r w:rsidR="00E42509" w:rsidRPr="003F141B">
        <w:rPr>
          <w:lang w:val="en-CA"/>
        </w:rPr>
        <w:t>the law firm</w:t>
      </w:r>
      <w:r w:rsidR="003061CC">
        <w:rPr>
          <w:lang w:val="en-CA"/>
        </w:rPr>
        <w:t>’</w:t>
      </w:r>
      <w:r w:rsidR="00E42509" w:rsidRPr="003F141B">
        <w:rPr>
          <w:lang w:val="en-CA"/>
        </w:rPr>
        <w:t>s website or i</w:t>
      </w:r>
      <w:r w:rsidRPr="003F141B">
        <w:rPr>
          <w:lang w:val="en-CA"/>
        </w:rPr>
        <w:t xml:space="preserve">n the </w:t>
      </w:r>
      <w:r w:rsidR="000E1DB7" w:rsidRPr="003F141B">
        <w:rPr>
          <w:lang w:val="en-CA"/>
        </w:rPr>
        <w:t>voicemail</w:t>
      </w:r>
      <w:r w:rsidR="00C32F18" w:rsidRPr="003F141B">
        <w:rPr>
          <w:lang w:val="en-CA"/>
        </w:rPr>
        <w:t xml:space="preserve"> message </w:t>
      </w:r>
      <w:r w:rsidR="00E42509" w:rsidRPr="003F141B">
        <w:rPr>
          <w:lang w:val="en-CA"/>
        </w:rPr>
        <w:t>in operation on the 24-hour phone line</w:t>
      </w:r>
      <w:r w:rsidR="00C32F18" w:rsidRPr="003F141B">
        <w:rPr>
          <w:lang w:val="en-CA"/>
        </w:rPr>
        <w:t xml:space="preserve"> that evening</w:t>
      </w:r>
      <w:r w:rsidR="00E42509" w:rsidRPr="003F141B">
        <w:rPr>
          <w:lang w:val="en-CA"/>
        </w:rPr>
        <w:t>.</w:t>
      </w:r>
      <w:r w:rsidR="005003D8" w:rsidRPr="003F141B">
        <w:rPr>
          <w:rStyle w:val="Appelnotedebasdep"/>
          <w:lang w:val="en-CA"/>
        </w:rPr>
        <w:footnoteReference w:id="40"/>
      </w:r>
      <w:r w:rsidRPr="003F141B">
        <w:rPr>
          <w:lang w:val="en-CA"/>
        </w:rPr>
        <w:t xml:space="preserve"> The evidence, however, </w:t>
      </w:r>
      <w:r w:rsidR="009213AA">
        <w:rPr>
          <w:lang w:val="en-CA"/>
        </w:rPr>
        <w:t>wa</w:t>
      </w:r>
      <w:r w:rsidRPr="003F141B">
        <w:rPr>
          <w:lang w:val="en-CA"/>
        </w:rPr>
        <w:t xml:space="preserve">s silent on these matters, and </w:t>
      </w:r>
      <w:r w:rsidR="00894D60" w:rsidRPr="003F141B">
        <w:rPr>
          <w:lang w:val="en-CA"/>
        </w:rPr>
        <w:t xml:space="preserve">it </w:t>
      </w:r>
      <w:r w:rsidRPr="003F141B">
        <w:rPr>
          <w:lang w:val="en-CA"/>
        </w:rPr>
        <w:t>remained so thereafter.</w:t>
      </w:r>
    </w:p>
    <w:p w14:paraId="30DE9356" w14:textId="6808AC4B" w:rsidR="009130CA" w:rsidRPr="003F141B" w:rsidRDefault="00925271" w:rsidP="009130CA">
      <w:pPr>
        <w:pStyle w:val="Paragraphe"/>
        <w:spacing w:line="240" w:lineRule="auto"/>
        <w:rPr>
          <w:lang w:val="en-CA"/>
        </w:rPr>
      </w:pPr>
      <w:r>
        <w:rPr>
          <w:lang w:val="en-CA"/>
        </w:rPr>
        <w:t>L</w:t>
      </w:r>
      <w:r w:rsidR="00894D60" w:rsidRPr="003F141B">
        <w:rPr>
          <w:lang w:val="en-CA"/>
        </w:rPr>
        <w:t>awyer</w:t>
      </w:r>
      <w:r>
        <w:rPr>
          <w:lang w:val="en-CA"/>
        </w:rPr>
        <w:t>s</w:t>
      </w:r>
      <w:r w:rsidR="00894D60" w:rsidRPr="003F141B">
        <w:rPr>
          <w:lang w:val="en-CA"/>
        </w:rPr>
        <w:t xml:space="preserve"> cannot use wording in the questions </w:t>
      </w:r>
      <w:r>
        <w:rPr>
          <w:lang w:val="en-CA"/>
        </w:rPr>
        <w:t xml:space="preserve">they </w:t>
      </w:r>
      <w:r w:rsidR="00894D60" w:rsidRPr="003F141B">
        <w:rPr>
          <w:lang w:val="en-CA"/>
        </w:rPr>
        <w:t xml:space="preserve">ask on cross-examination to offer </w:t>
      </w:r>
      <w:r>
        <w:rPr>
          <w:lang w:val="en-CA"/>
        </w:rPr>
        <w:t xml:space="preserve">their </w:t>
      </w:r>
      <w:r w:rsidR="00894D60" w:rsidRPr="003F141B">
        <w:rPr>
          <w:lang w:val="en-CA"/>
        </w:rPr>
        <w:t xml:space="preserve">own testimony on </w:t>
      </w:r>
      <w:r w:rsidR="00C5611D" w:rsidRPr="003F141B">
        <w:rPr>
          <w:lang w:val="en-CA"/>
        </w:rPr>
        <w:t>a disputed fact not otherwise established by the evidence.</w:t>
      </w:r>
      <w:r w:rsidR="005003D8" w:rsidRPr="003F141B">
        <w:rPr>
          <w:lang w:val="en-CA"/>
        </w:rPr>
        <w:t xml:space="preserve"> </w:t>
      </w:r>
      <w:r w:rsidR="00C5611D" w:rsidRPr="003F141B">
        <w:rPr>
          <w:lang w:val="en-CA"/>
        </w:rPr>
        <w:t xml:space="preserve">Nor can </w:t>
      </w:r>
      <w:r>
        <w:rPr>
          <w:lang w:val="en-CA"/>
        </w:rPr>
        <w:t xml:space="preserve">they slip in </w:t>
      </w:r>
      <w:r w:rsidR="00894D60" w:rsidRPr="003F141B">
        <w:rPr>
          <w:lang w:val="en-CA"/>
        </w:rPr>
        <w:t xml:space="preserve">such a fact by making </w:t>
      </w:r>
      <w:r w:rsidR="00C5611D" w:rsidRPr="003F141B">
        <w:rPr>
          <w:lang w:val="en-CA"/>
        </w:rPr>
        <w:t xml:space="preserve">a mere suggestion to </w:t>
      </w:r>
      <w:r w:rsidR="007573B9" w:rsidRPr="003F141B">
        <w:rPr>
          <w:lang w:val="en-CA"/>
        </w:rPr>
        <w:t xml:space="preserve">a </w:t>
      </w:r>
      <w:r w:rsidR="00C5611D" w:rsidRPr="003F141B">
        <w:rPr>
          <w:lang w:val="en-CA"/>
        </w:rPr>
        <w:t xml:space="preserve">witness, </w:t>
      </w:r>
      <w:r w:rsidR="007573B9" w:rsidRPr="003F141B">
        <w:rPr>
          <w:lang w:val="en-CA"/>
        </w:rPr>
        <w:t xml:space="preserve">thereby in reality </w:t>
      </w:r>
      <w:r w:rsidR="00971F6F" w:rsidRPr="003F141B">
        <w:rPr>
          <w:lang w:val="en-CA"/>
        </w:rPr>
        <w:t xml:space="preserve">leaving a void </w:t>
      </w:r>
      <w:r w:rsidR="007573B9" w:rsidRPr="003F141B">
        <w:rPr>
          <w:lang w:val="en-CA"/>
        </w:rPr>
        <w:t xml:space="preserve">where that </w:t>
      </w:r>
      <w:r>
        <w:rPr>
          <w:lang w:val="en-CA"/>
        </w:rPr>
        <w:t xml:space="preserve">key </w:t>
      </w:r>
      <w:r w:rsidR="00C5611D" w:rsidRPr="003F141B">
        <w:rPr>
          <w:lang w:val="en-CA"/>
        </w:rPr>
        <w:t>evidence</w:t>
      </w:r>
      <w:r w:rsidR="007573B9" w:rsidRPr="003F141B">
        <w:rPr>
          <w:lang w:val="en-CA"/>
        </w:rPr>
        <w:t xml:space="preserve"> should be</w:t>
      </w:r>
      <w:r w:rsidR="00C5611D" w:rsidRPr="003F141B">
        <w:rPr>
          <w:lang w:val="en-CA"/>
        </w:rPr>
        <w:t>,</w:t>
      </w:r>
      <w:r w:rsidR="007573B9" w:rsidRPr="003F141B">
        <w:rPr>
          <w:lang w:val="en-CA"/>
        </w:rPr>
        <w:t xml:space="preserve"> and</w:t>
      </w:r>
      <w:r w:rsidR="00894D60" w:rsidRPr="003F141B">
        <w:rPr>
          <w:lang w:val="en-CA"/>
        </w:rPr>
        <w:t xml:space="preserve"> </w:t>
      </w:r>
      <w:r w:rsidR="007573B9" w:rsidRPr="003F141B">
        <w:rPr>
          <w:lang w:val="en-CA"/>
        </w:rPr>
        <w:t xml:space="preserve">yet later during submissions, </w:t>
      </w:r>
      <w:r w:rsidR="00C5611D" w:rsidRPr="003F141B">
        <w:rPr>
          <w:lang w:val="en-CA"/>
        </w:rPr>
        <w:t xml:space="preserve">present </w:t>
      </w:r>
      <w:r w:rsidR="00894D60" w:rsidRPr="003F141B">
        <w:rPr>
          <w:lang w:val="en-CA"/>
        </w:rPr>
        <w:t xml:space="preserve">that fact </w:t>
      </w:r>
      <w:r w:rsidR="00C5611D" w:rsidRPr="003F141B">
        <w:rPr>
          <w:lang w:val="en-CA"/>
        </w:rPr>
        <w:t>as established.</w:t>
      </w:r>
      <w:r w:rsidR="005003D8" w:rsidRPr="003F141B">
        <w:rPr>
          <w:lang w:val="en-CA"/>
        </w:rPr>
        <w:t xml:space="preserve"> </w:t>
      </w:r>
      <w:r w:rsidR="006B14AF">
        <w:rPr>
          <w:lang w:val="en-CA"/>
        </w:rPr>
        <w:t xml:space="preserve">Admittedly, </w:t>
      </w:r>
      <w:r w:rsidR="00C5611D" w:rsidRPr="003F141B">
        <w:rPr>
          <w:lang w:val="en-CA"/>
        </w:rPr>
        <w:t xml:space="preserve">this type of omission and </w:t>
      </w:r>
      <w:r w:rsidR="00971F6F" w:rsidRPr="003F141B">
        <w:rPr>
          <w:lang w:val="en-CA"/>
        </w:rPr>
        <w:t>course of action</w:t>
      </w:r>
      <w:r w:rsidR="00C5611D" w:rsidRPr="003F141B">
        <w:rPr>
          <w:lang w:val="en-CA"/>
        </w:rPr>
        <w:t xml:space="preserve"> can be purely </w:t>
      </w:r>
      <w:r w:rsidR="00971F6F" w:rsidRPr="003F141B">
        <w:rPr>
          <w:lang w:val="en-CA"/>
        </w:rPr>
        <w:t>unintentional</w:t>
      </w:r>
      <w:r w:rsidR="00C5611D" w:rsidRPr="003F141B">
        <w:rPr>
          <w:lang w:val="en-CA"/>
        </w:rPr>
        <w:t xml:space="preserve">, </w:t>
      </w:r>
      <w:r w:rsidR="007573B9" w:rsidRPr="003F141B">
        <w:rPr>
          <w:lang w:val="en-CA"/>
        </w:rPr>
        <w:t xml:space="preserve">done </w:t>
      </w:r>
      <w:r w:rsidR="00C5611D" w:rsidRPr="003F141B">
        <w:rPr>
          <w:lang w:val="en-CA"/>
        </w:rPr>
        <w:t>in good faith</w:t>
      </w:r>
      <w:r w:rsidR="007573B9" w:rsidRPr="003F141B">
        <w:rPr>
          <w:lang w:val="en-CA"/>
        </w:rPr>
        <w:t>,</w:t>
      </w:r>
      <w:r w:rsidR="00C5611D" w:rsidRPr="003F141B">
        <w:rPr>
          <w:lang w:val="en-CA"/>
        </w:rPr>
        <w:t xml:space="preserve"> and explained by the fast-paced reality of the courtroom.</w:t>
      </w:r>
    </w:p>
    <w:p w14:paraId="65C71F95" w14:textId="3D211284" w:rsidR="009130CA" w:rsidRPr="003F141B" w:rsidRDefault="00C5611D" w:rsidP="009130CA">
      <w:pPr>
        <w:pStyle w:val="Paragraphe"/>
        <w:spacing w:line="240" w:lineRule="auto"/>
        <w:rPr>
          <w:lang w:val="en-CA"/>
        </w:rPr>
      </w:pPr>
      <w:r w:rsidRPr="003F141B">
        <w:rPr>
          <w:lang w:val="en-CA"/>
        </w:rPr>
        <w:t xml:space="preserve">The remarks of </w:t>
      </w:r>
      <w:proofErr w:type="spellStart"/>
      <w:r w:rsidRPr="003F141B">
        <w:rPr>
          <w:lang w:val="en-CA"/>
        </w:rPr>
        <w:t>Hurtubise</w:t>
      </w:r>
      <w:proofErr w:type="spellEnd"/>
      <w:r w:rsidR="00241F7B">
        <w:rPr>
          <w:lang w:val="en-CA"/>
        </w:rPr>
        <w:t>,</w:t>
      </w:r>
      <w:r w:rsidRPr="003F141B">
        <w:rPr>
          <w:lang w:val="en-CA"/>
        </w:rPr>
        <w:t xml:space="preserve"> J. in </w:t>
      </w:r>
      <w:r w:rsidRPr="003F141B">
        <w:rPr>
          <w:i/>
          <w:lang w:val="en-CA"/>
        </w:rPr>
        <w:t>MIUF-27</w:t>
      </w:r>
      <w:r w:rsidRPr="003F141B">
        <w:rPr>
          <w:rStyle w:val="Appelnotedebasdep"/>
          <w:lang w:val="en-CA"/>
        </w:rPr>
        <w:footnoteReference w:id="41"/>
      </w:r>
      <w:r w:rsidRPr="003F141B">
        <w:rPr>
          <w:i/>
          <w:lang w:val="en-CA"/>
        </w:rPr>
        <w:t xml:space="preserve"> </w:t>
      </w:r>
      <w:r w:rsidRPr="003F141B">
        <w:rPr>
          <w:lang w:val="en-CA"/>
        </w:rPr>
        <w:t xml:space="preserve">adequately reflect the limits </w:t>
      </w:r>
      <w:r w:rsidR="00971F6F" w:rsidRPr="003F141B">
        <w:rPr>
          <w:lang w:val="en-CA"/>
        </w:rPr>
        <w:t xml:space="preserve">that </w:t>
      </w:r>
      <w:r w:rsidRPr="003F141B">
        <w:rPr>
          <w:lang w:val="en-CA"/>
        </w:rPr>
        <w:t xml:space="preserve">the law of evidence imposes in these matters and are applicable </w:t>
      </w:r>
      <w:r w:rsidR="00455058">
        <w:rPr>
          <w:lang w:val="en-CA"/>
        </w:rPr>
        <w:t xml:space="preserve">to the </w:t>
      </w:r>
      <w:r w:rsidRPr="003F141B">
        <w:rPr>
          <w:lang w:val="en-CA"/>
        </w:rPr>
        <w:t>case</w:t>
      </w:r>
      <w:r w:rsidR="00455058">
        <w:rPr>
          <w:lang w:val="en-CA"/>
        </w:rPr>
        <w:t xml:space="preserve"> at bar</w:t>
      </w:r>
      <w:r w:rsidRPr="003F141B">
        <w:rPr>
          <w:lang w:val="en-CA"/>
        </w:rPr>
        <w:t>:</w:t>
      </w:r>
      <w:r w:rsidRPr="003F141B">
        <w:rPr>
          <w:i/>
          <w:lang w:val="en-CA"/>
        </w:rPr>
        <w:t xml:space="preserve"> </w:t>
      </w:r>
    </w:p>
    <w:p w14:paraId="6FB8F52F" w14:textId="6A218430" w:rsidR="007573B9" w:rsidRPr="003F141B" w:rsidRDefault="007573B9" w:rsidP="009130CA">
      <w:pPr>
        <w:pStyle w:val="Citationenretrait"/>
        <w:spacing w:line="240" w:lineRule="auto"/>
        <w:rPr>
          <w:lang w:val="en-CA"/>
        </w:rPr>
      </w:pPr>
      <w:r w:rsidRPr="003F141B">
        <w:rPr>
          <w:lang w:val="en-CA"/>
        </w:rPr>
        <w:t>[</w:t>
      </w:r>
      <w:r w:rsidRPr="003F141B">
        <w:rPr>
          <w:smallCaps/>
          <w:lang w:val="en-CA"/>
        </w:rPr>
        <w:t>translation</w:t>
      </w:r>
      <w:r w:rsidRPr="003F141B">
        <w:rPr>
          <w:lang w:val="en-CA"/>
        </w:rPr>
        <w:t>]</w:t>
      </w:r>
    </w:p>
    <w:p w14:paraId="04BB003E" w14:textId="74294E97" w:rsidR="00C5611D" w:rsidRPr="003F141B" w:rsidRDefault="00C5611D" w:rsidP="009130CA">
      <w:pPr>
        <w:pStyle w:val="Citationenretrait"/>
        <w:spacing w:line="240" w:lineRule="auto"/>
        <w:rPr>
          <w:lang w:val="en-CA"/>
        </w:rPr>
      </w:pPr>
      <w:r w:rsidRPr="003F141B">
        <w:rPr>
          <w:lang w:val="en-CA"/>
        </w:rPr>
        <w:t xml:space="preserve">[1] [Counsel]: </w:t>
      </w:r>
    </w:p>
    <w:p w14:paraId="40FD90EC" w14:textId="38D02BB8" w:rsidR="009130CA" w:rsidRPr="003F141B" w:rsidRDefault="007573B9" w:rsidP="009130CA">
      <w:pPr>
        <w:pStyle w:val="Citationenretrait"/>
        <w:spacing w:line="240" w:lineRule="auto"/>
        <w:rPr>
          <w:rFonts w:ascii="Times New Roman" w:hAnsi="Times New Roman"/>
          <w:lang w:val="en-CA" w:eastAsia="fr-CA"/>
        </w:rPr>
      </w:pPr>
      <w:r w:rsidRPr="003F141B" w:rsidDel="007573B9">
        <w:rPr>
          <w:rFonts w:cs="Arial"/>
          <w:smallCaps/>
          <w:lang w:val="en-CA"/>
        </w:rPr>
        <w:t xml:space="preserve"> </w:t>
      </w:r>
      <w:r w:rsidR="00C5611D" w:rsidRPr="003F141B">
        <w:rPr>
          <w:lang w:val="en-CA"/>
        </w:rPr>
        <w:t xml:space="preserve">[2] In this context I am perfectly entitled to say to him: </w:t>
      </w:r>
      <w:r w:rsidR="00081775">
        <w:rPr>
          <w:lang w:val="en-CA"/>
        </w:rPr>
        <w:t>“</w:t>
      </w:r>
      <w:r w:rsidR="00C5611D" w:rsidRPr="002E7C7B">
        <w:rPr>
          <w:u w:val="single"/>
          <w:lang w:val="en-CA"/>
        </w:rPr>
        <w:t>I suggest to you</w:t>
      </w:r>
      <w:r w:rsidR="00C5611D" w:rsidRPr="003F141B">
        <w:rPr>
          <w:lang w:val="en-CA"/>
        </w:rPr>
        <w:t xml:space="preserve"> that in reality the EPA stipulates that we use </w:t>
      </w:r>
      <w:r w:rsidR="00AE5164" w:rsidRPr="003F141B">
        <w:rPr>
          <w:lang w:val="en-CA"/>
        </w:rPr>
        <w:t xml:space="preserve">the </w:t>
      </w:r>
      <w:r w:rsidR="00C5611D" w:rsidRPr="003F141B">
        <w:rPr>
          <w:lang w:val="en-CA"/>
        </w:rPr>
        <w:t>linear threshold etc.</w:t>
      </w:r>
      <w:r w:rsidR="00081775">
        <w:rPr>
          <w:lang w:val="en-CA"/>
        </w:rPr>
        <w:t>”</w:t>
      </w:r>
      <w:r w:rsidR="00C5611D" w:rsidRPr="003F141B">
        <w:rPr>
          <w:lang w:val="en-CA"/>
        </w:rPr>
        <w:t xml:space="preserve"> Either he knows or he does not. If he does not, </w:t>
      </w:r>
      <w:r w:rsidR="007A4D50" w:rsidRPr="003F141B">
        <w:rPr>
          <w:lang w:val="en-CA"/>
        </w:rPr>
        <w:t>Y</w:t>
      </w:r>
      <w:r w:rsidR="00C5611D" w:rsidRPr="003F141B">
        <w:rPr>
          <w:lang w:val="en-CA"/>
        </w:rPr>
        <w:t>our Honour, I think it will give you a clear indication of the weight to give to his testimony. And if he knows it, so much the better, there is no problem. That</w:t>
      </w:r>
      <w:r w:rsidR="003061CC">
        <w:rPr>
          <w:lang w:val="en-CA"/>
        </w:rPr>
        <w:t>’</w:t>
      </w:r>
      <w:r w:rsidR="00C5611D" w:rsidRPr="003F141B">
        <w:rPr>
          <w:lang w:val="en-CA"/>
        </w:rPr>
        <w:t>s all.</w:t>
      </w:r>
    </w:p>
    <w:p w14:paraId="5AAD8BD8" w14:textId="1AB01220" w:rsidR="009130CA" w:rsidRPr="003F141B" w:rsidRDefault="00C5611D" w:rsidP="009130CA">
      <w:pPr>
        <w:pStyle w:val="Citationenretrait"/>
        <w:spacing w:line="240" w:lineRule="auto"/>
        <w:rPr>
          <w:lang w:val="en-CA"/>
        </w:rPr>
      </w:pPr>
      <w:r w:rsidRPr="003F141B">
        <w:rPr>
          <w:lang w:val="en-CA"/>
        </w:rPr>
        <w:t>[3] The Court:</w:t>
      </w:r>
    </w:p>
    <w:p w14:paraId="51D9B8D9" w14:textId="2D795E5D" w:rsidR="00C5611D" w:rsidRPr="003F141B" w:rsidRDefault="00C5611D" w:rsidP="00C5611D">
      <w:pPr>
        <w:pStyle w:val="Citationenretrait"/>
        <w:spacing w:line="240" w:lineRule="auto"/>
        <w:rPr>
          <w:lang w:val="en-CA"/>
        </w:rPr>
      </w:pPr>
      <w:r w:rsidRPr="003F141B">
        <w:rPr>
          <w:lang w:val="en-CA"/>
        </w:rPr>
        <w:t xml:space="preserve">[4] </w:t>
      </w:r>
      <w:r w:rsidRPr="003F141B">
        <w:rPr>
          <w:u w:val="single"/>
          <w:lang w:val="en-CA"/>
        </w:rPr>
        <w:t>You see, the difficulty there is that there are other ways of verifying what you have just submitted to me without, I think, any legal difficulties</w:t>
      </w:r>
      <w:r w:rsidRPr="003F141B">
        <w:rPr>
          <w:lang w:val="en-CA"/>
        </w:rPr>
        <w:t>.</w:t>
      </w:r>
      <w:r w:rsidR="005003D8" w:rsidRPr="003F141B">
        <w:rPr>
          <w:lang w:val="en-CA"/>
        </w:rPr>
        <w:t xml:space="preserve"> </w:t>
      </w:r>
      <w:r w:rsidRPr="003F141B">
        <w:rPr>
          <w:lang w:val="en-CA"/>
        </w:rPr>
        <w:t xml:space="preserve">In reality, </w:t>
      </w:r>
      <w:r w:rsidRPr="003F141B">
        <w:rPr>
          <w:u w:val="single"/>
          <w:lang w:val="en-CA"/>
        </w:rPr>
        <w:t>even if</w:t>
      </w:r>
      <w:r w:rsidR="007A4D50" w:rsidRPr="003F141B">
        <w:rPr>
          <w:u w:val="single"/>
          <w:lang w:val="en-CA"/>
        </w:rPr>
        <w:t>, hypothetically,</w:t>
      </w:r>
      <w:r w:rsidRPr="003F141B">
        <w:rPr>
          <w:u w:val="single"/>
          <w:lang w:val="en-CA"/>
        </w:rPr>
        <w:t xml:space="preserve"> the witness did not know, I </w:t>
      </w:r>
      <w:proofErr w:type="gramStart"/>
      <w:r w:rsidRPr="003F141B">
        <w:rPr>
          <w:u w:val="single"/>
          <w:lang w:val="en-CA"/>
        </w:rPr>
        <w:t>don</w:t>
      </w:r>
      <w:r w:rsidR="003061CC">
        <w:rPr>
          <w:u w:val="single"/>
          <w:lang w:val="en-CA"/>
        </w:rPr>
        <w:t>’</w:t>
      </w:r>
      <w:r w:rsidRPr="003F141B">
        <w:rPr>
          <w:u w:val="single"/>
          <w:lang w:val="en-CA"/>
        </w:rPr>
        <w:t>t</w:t>
      </w:r>
      <w:proofErr w:type="gramEnd"/>
      <w:r w:rsidRPr="003F141B">
        <w:rPr>
          <w:u w:val="single"/>
          <w:lang w:val="en-CA"/>
        </w:rPr>
        <w:t xml:space="preserve"> want to prejudge his answer, nor can I take your statement as a proven fact because you are not a witness in this case and because you did not deem it appropriate to have a lay witness adduce it into evidence</w:t>
      </w:r>
      <w:r w:rsidR="007A4D50" w:rsidRPr="003F141B">
        <w:rPr>
          <w:u w:val="single"/>
          <w:lang w:val="en-CA"/>
        </w:rPr>
        <w:t xml:space="preserve"> beforehand</w:t>
      </w:r>
      <w:r w:rsidRPr="003F141B">
        <w:rPr>
          <w:lang w:val="en-CA"/>
        </w:rPr>
        <w:t xml:space="preserve">. </w:t>
      </w:r>
      <w:r w:rsidR="00AE5164" w:rsidRPr="003F141B">
        <w:rPr>
          <w:lang w:val="en-CA"/>
        </w:rPr>
        <w:t>I</w:t>
      </w:r>
      <w:r w:rsidRPr="003F141B">
        <w:rPr>
          <w:lang w:val="en-CA"/>
        </w:rPr>
        <w:t>t</w:t>
      </w:r>
      <w:r w:rsidR="003061CC">
        <w:rPr>
          <w:lang w:val="en-CA"/>
        </w:rPr>
        <w:t>’</w:t>
      </w:r>
      <w:r w:rsidRPr="003F141B">
        <w:rPr>
          <w:lang w:val="en-CA"/>
        </w:rPr>
        <w:t>s as simple as that.</w:t>
      </w:r>
    </w:p>
    <w:p w14:paraId="38861A0F" w14:textId="2425E510" w:rsidR="009130CA" w:rsidRPr="003F141B" w:rsidRDefault="00C5611D" w:rsidP="00C5611D">
      <w:pPr>
        <w:pStyle w:val="Citationenretrait"/>
        <w:spacing w:line="240" w:lineRule="auto"/>
        <w:ind w:left="3600" w:firstLine="720"/>
        <w:rPr>
          <w:lang w:val="en-CA"/>
        </w:rPr>
      </w:pPr>
      <w:r w:rsidRPr="003F141B">
        <w:rPr>
          <w:lang w:val="en-CA"/>
        </w:rPr>
        <w:t xml:space="preserve">  </w:t>
      </w:r>
      <w:r w:rsidRPr="003F141B">
        <w:rPr>
          <w:lang w:val="en-CA"/>
        </w:rPr>
        <w:tab/>
      </w:r>
      <w:r w:rsidRPr="003F141B">
        <w:rPr>
          <w:lang w:val="en-CA"/>
        </w:rPr>
        <w:tab/>
      </w:r>
      <w:r w:rsidRPr="003F141B">
        <w:rPr>
          <w:lang w:val="en-CA"/>
        </w:rPr>
        <w:tab/>
        <w:t xml:space="preserve">     [Emphasis added]</w:t>
      </w:r>
    </w:p>
    <w:p w14:paraId="0BA29508" w14:textId="5DF7BD22" w:rsidR="009130CA" w:rsidRPr="003F141B" w:rsidRDefault="00C5611D" w:rsidP="009130CA">
      <w:pPr>
        <w:pStyle w:val="Paragraphe"/>
        <w:spacing w:line="240" w:lineRule="auto"/>
        <w:rPr>
          <w:lang w:val="en-CA"/>
        </w:rPr>
      </w:pPr>
      <w:r w:rsidRPr="003F141B">
        <w:rPr>
          <w:lang w:val="en-CA"/>
        </w:rPr>
        <w:t xml:space="preserve">This issue of substantive evidence, </w:t>
      </w:r>
      <w:r w:rsidR="008E540C" w:rsidRPr="003F141B">
        <w:rPr>
          <w:lang w:val="en-CA"/>
        </w:rPr>
        <w:t xml:space="preserve">which </w:t>
      </w:r>
      <w:r w:rsidRPr="003F141B">
        <w:rPr>
          <w:lang w:val="en-CA"/>
        </w:rPr>
        <w:t xml:space="preserve">is relevant both in civil and criminal law, was not modified by the rule established a few years later by the Supreme Court in </w:t>
      </w:r>
      <w:proofErr w:type="spellStart"/>
      <w:r w:rsidRPr="003F141B">
        <w:rPr>
          <w:i/>
          <w:lang w:val="en-CA"/>
        </w:rPr>
        <w:t>Lyttle</w:t>
      </w:r>
      <w:proofErr w:type="spellEnd"/>
      <w:r w:rsidR="00AE5164" w:rsidRPr="003F141B">
        <w:rPr>
          <w:rStyle w:val="Appelnotedebasdep"/>
          <w:lang w:val="en-CA"/>
        </w:rPr>
        <w:footnoteReference w:id="42"/>
      </w:r>
      <w:r w:rsidR="00AE5164" w:rsidRPr="003F141B">
        <w:rPr>
          <w:lang w:val="en-CA"/>
        </w:rPr>
        <w:t xml:space="preserve"> </w:t>
      </w:r>
      <w:r w:rsidRPr="003F141B">
        <w:rPr>
          <w:lang w:val="en-CA"/>
        </w:rPr>
        <w:lastRenderedPageBreak/>
        <w:t xml:space="preserve">concerning the </w:t>
      </w:r>
      <w:r w:rsidRPr="003F141B">
        <w:rPr>
          <w:u w:val="single"/>
          <w:lang w:val="en-CA"/>
        </w:rPr>
        <w:t>admissibility</w:t>
      </w:r>
      <w:r w:rsidRPr="003F141B">
        <w:rPr>
          <w:lang w:val="en-CA"/>
        </w:rPr>
        <w:t xml:space="preserve"> of </w:t>
      </w:r>
      <w:r w:rsidR="008E540C" w:rsidRPr="003F141B">
        <w:rPr>
          <w:lang w:val="en-CA"/>
        </w:rPr>
        <w:t xml:space="preserve">questions by counsel for the </w:t>
      </w:r>
      <w:r w:rsidR="00AE5164" w:rsidRPr="003F141B">
        <w:rPr>
          <w:lang w:val="en-CA"/>
        </w:rPr>
        <w:t>accused</w:t>
      </w:r>
      <w:r w:rsidRPr="003F141B">
        <w:rPr>
          <w:lang w:val="en-CA"/>
        </w:rPr>
        <w:t xml:space="preserve"> </w:t>
      </w:r>
      <w:r w:rsidR="008E540C" w:rsidRPr="003F141B">
        <w:rPr>
          <w:lang w:val="en-CA"/>
        </w:rPr>
        <w:t>during cross</w:t>
      </w:r>
      <w:r w:rsidR="00D92A27">
        <w:rPr>
          <w:lang w:val="en-CA"/>
        </w:rPr>
        <w:noBreakHyphen/>
      </w:r>
      <w:r w:rsidR="008E540C" w:rsidRPr="003F141B">
        <w:rPr>
          <w:lang w:val="en-CA"/>
        </w:rPr>
        <w:t xml:space="preserve">examination </w:t>
      </w:r>
      <w:r w:rsidR="00714F50" w:rsidRPr="003F141B">
        <w:rPr>
          <w:lang w:val="en-CA"/>
        </w:rPr>
        <w:t>about</w:t>
      </w:r>
      <w:r w:rsidRPr="003F141B">
        <w:rPr>
          <w:lang w:val="en-CA"/>
        </w:rPr>
        <w:t xml:space="preserve"> unproven facts.</w:t>
      </w:r>
      <w:r w:rsidR="005003D8" w:rsidRPr="003F141B">
        <w:rPr>
          <w:lang w:val="en-CA"/>
        </w:rPr>
        <w:t xml:space="preserve"> </w:t>
      </w:r>
    </w:p>
    <w:p w14:paraId="773C16BD" w14:textId="39EB9918" w:rsidR="009130CA" w:rsidRPr="003F141B" w:rsidRDefault="00C5611D" w:rsidP="009130CA">
      <w:pPr>
        <w:pStyle w:val="Paragraphe"/>
        <w:spacing w:line="240" w:lineRule="auto"/>
        <w:rPr>
          <w:lang w:val="en-CA"/>
        </w:rPr>
      </w:pPr>
      <w:r w:rsidRPr="003F141B">
        <w:rPr>
          <w:lang w:val="en-CA"/>
        </w:rPr>
        <w:t xml:space="preserve">In that case, the Supreme Court found that the trial judge had erred in law </w:t>
      </w:r>
      <w:r w:rsidR="00AE5164" w:rsidRPr="003F141B">
        <w:rPr>
          <w:lang w:val="en-CA"/>
        </w:rPr>
        <w:t xml:space="preserve">in </w:t>
      </w:r>
      <w:r w:rsidR="00AE5164" w:rsidRPr="003F141B">
        <w:rPr>
          <w:u w:val="single"/>
          <w:lang w:val="en-CA"/>
        </w:rPr>
        <w:t>preventing</w:t>
      </w:r>
      <w:r w:rsidR="00AE5164" w:rsidRPr="003F141B">
        <w:rPr>
          <w:lang w:val="en-CA"/>
        </w:rPr>
        <w:t xml:space="preserve"> the lawyer</w:t>
      </w:r>
      <w:r w:rsidRPr="003F141B">
        <w:rPr>
          <w:lang w:val="en-CA"/>
        </w:rPr>
        <w:t xml:space="preserve"> from asking a question on cross-examination without first proving </w:t>
      </w:r>
      <w:r w:rsidR="008E540C" w:rsidRPr="003F141B">
        <w:rPr>
          <w:lang w:val="en-CA"/>
        </w:rPr>
        <w:t xml:space="preserve">the facts it included </w:t>
      </w:r>
      <w:r w:rsidRPr="003F141B">
        <w:rPr>
          <w:lang w:val="en-CA"/>
        </w:rPr>
        <w:t>by another means.</w:t>
      </w:r>
      <w:r w:rsidR="005003D8" w:rsidRPr="003F141B">
        <w:rPr>
          <w:lang w:val="en-CA"/>
        </w:rPr>
        <w:t xml:space="preserve"> </w:t>
      </w:r>
      <w:r w:rsidRPr="003F141B">
        <w:rPr>
          <w:lang w:val="en-CA"/>
        </w:rPr>
        <w:t xml:space="preserve">The Court found that the judge must </w:t>
      </w:r>
      <w:r w:rsidR="00671D4D" w:rsidRPr="003F141B">
        <w:rPr>
          <w:lang w:val="en-CA"/>
        </w:rPr>
        <w:t xml:space="preserve">give </w:t>
      </w:r>
      <w:r w:rsidRPr="003F141B">
        <w:rPr>
          <w:lang w:val="en-CA"/>
        </w:rPr>
        <w:t xml:space="preserve">counsel </w:t>
      </w:r>
      <w:r w:rsidR="00230896">
        <w:rPr>
          <w:lang w:val="en-CA"/>
        </w:rPr>
        <w:t xml:space="preserve">full </w:t>
      </w:r>
      <w:r w:rsidR="00671D4D" w:rsidRPr="003F141B">
        <w:rPr>
          <w:lang w:val="en-CA"/>
        </w:rPr>
        <w:t xml:space="preserve">latitude </w:t>
      </w:r>
      <w:r w:rsidRPr="003F141B">
        <w:rPr>
          <w:lang w:val="en-CA"/>
        </w:rPr>
        <w:t xml:space="preserve">and allow the question, </w:t>
      </w:r>
      <w:r w:rsidR="00671D4D" w:rsidRPr="003F141B">
        <w:rPr>
          <w:lang w:val="en-CA"/>
        </w:rPr>
        <w:t xml:space="preserve">as long as counsel </w:t>
      </w:r>
      <w:r w:rsidR="009D11A8">
        <w:rPr>
          <w:lang w:val="en-CA"/>
        </w:rPr>
        <w:t xml:space="preserve">is acting in </w:t>
      </w:r>
      <w:r w:rsidR="00671D4D" w:rsidRPr="003F141B">
        <w:rPr>
          <w:lang w:val="en-CA"/>
        </w:rPr>
        <w:t>good faith</w:t>
      </w:r>
      <w:r w:rsidRPr="003F141B">
        <w:rPr>
          <w:lang w:val="en-CA"/>
        </w:rPr>
        <w:t>.</w:t>
      </w:r>
      <w:r w:rsidR="005003D8" w:rsidRPr="003F141B">
        <w:rPr>
          <w:lang w:val="en-CA"/>
        </w:rPr>
        <w:t xml:space="preserve"> </w:t>
      </w:r>
      <w:r w:rsidRPr="003F141B">
        <w:rPr>
          <w:lang w:val="en-CA"/>
        </w:rPr>
        <w:t xml:space="preserve">That, however, is the extent of the </w:t>
      </w:r>
      <w:r w:rsidR="00671D4D" w:rsidRPr="003F141B">
        <w:rPr>
          <w:lang w:val="en-CA"/>
        </w:rPr>
        <w:t xml:space="preserve">guidance </w:t>
      </w:r>
      <w:proofErr w:type="spellStart"/>
      <w:r w:rsidRPr="003F141B">
        <w:rPr>
          <w:i/>
          <w:lang w:val="en-CA"/>
        </w:rPr>
        <w:t>Lyttle</w:t>
      </w:r>
      <w:proofErr w:type="spellEnd"/>
      <w:r w:rsidR="00671D4D" w:rsidRPr="003F141B">
        <w:rPr>
          <w:lang w:val="en-CA"/>
        </w:rPr>
        <w:t xml:space="preserve"> can provide</w:t>
      </w:r>
      <w:r w:rsidRPr="003F141B">
        <w:rPr>
          <w:lang w:val="en-CA"/>
        </w:rPr>
        <w:t>.</w:t>
      </w:r>
      <w:r w:rsidR="005003D8" w:rsidRPr="003F141B">
        <w:rPr>
          <w:lang w:val="en-CA"/>
        </w:rPr>
        <w:t xml:space="preserve"> </w:t>
      </w:r>
      <w:r w:rsidRPr="003F141B">
        <w:rPr>
          <w:lang w:val="en-CA"/>
        </w:rPr>
        <w:t xml:space="preserve">That </w:t>
      </w:r>
      <w:r w:rsidR="00671D4D" w:rsidRPr="003F141B">
        <w:rPr>
          <w:lang w:val="en-CA"/>
        </w:rPr>
        <w:t xml:space="preserve">it is permissible to ask </w:t>
      </w:r>
      <w:r w:rsidRPr="003F141B">
        <w:rPr>
          <w:lang w:val="en-CA"/>
        </w:rPr>
        <w:t xml:space="preserve">such a question, </w:t>
      </w:r>
      <w:r w:rsidR="00671D4D" w:rsidRPr="003F141B">
        <w:rPr>
          <w:lang w:val="en-CA"/>
        </w:rPr>
        <w:t xml:space="preserve">as is </w:t>
      </w:r>
      <w:r w:rsidRPr="003F141B">
        <w:rPr>
          <w:lang w:val="en-CA"/>
        </w:rPr>
        <w:t xml:space="preserve">the case </w:t>
      </w:r>
      <w:r w:rsidR="00671D4D" w:rsidRPr="003F141B">
        <w:rPr>
          <w:lang w:val="en-CA"/>
        </w:rPr>
        <w:t>here</w:t>
      </w:r>
      <w:r w:rsidRPr="003F141B">
        <w:rPr>
          <w:lang w:val="en-CA"/>
        </w:rPr>
        <w:t xml:space="preserve">, does not mean that the </w:t>
      </w:r>
      <w:r w:rsidR="00741B6C" w:rsidRPr="003F141B">
        <w:rPr>
          <w:lang w:val="en-CA"/>
        </w:rPr>
        <w:t xml:space="preserve">facts </w:t>
      </w:r>
      <w:r w:rsidR="00671D4D" w:rsidRPr="003F141B">
        <w:rPr>
          <w:lang w:val="en-CA"/>
        </w:rPr>
        <w:t>it contains are proved</w:t>
      </w:r>
      <w:r w:rsidR="00F430E9">
        <w:rPr>
          <w:lang w:val="en-CA"/>
        </w:rPr>
        <w:t xml:space="preserve">, unless </w:t>
      </w:r>
      <w:r w:rsidR="00671D4D" w:rsidRPr="003F141B">
        <w:rPr>
          <w:lang w:val="en-CA"/>
        </w:rPr>
        <w:t xml:space="preserve">they are </w:t>
      </w:r>
      <w:r w:rsidRPr="003F141B">
        <w:rPr>
          <w:lang w:val="en-CA"/>
        </w:rPr>
        <w:t xml:space="preserve">admitted by </w:t>
      </w:r>
      <w:r w:rsidR="00671D4D" w:rsidRPr="003F141B">
        <w:rPr>
          <w:lang w:val="en-CA"/>
        </w:rPr>
        <w:t xml:space="preserve">the </w:t>
      </w:r>
      <w:r w:rsidR="00741B6C" w:rsidRPr="003F141B">
        <w:rPr>
          <w:lang w:val="en-CA"/>
        </w:rPr>
        <w:t>cross-examined witness</w:t>
      </w:r>
      <w:r w:rsidRPr="003F141B">
        <w:rPr>
          <w:lang w:val="en-CA"/>
        </w:rPr>
        <w:t xml:space="preserve"> or otherwise established.</w:t>
      </w:r>
      <w:r w:rsidR="005003D8" w:rsidRPr="003F141B">
        <w:rPr>
          <w:lang w:val="en-CA"/>
        </w:rPr>
        <w:t xml:space="preserve"> </w:t>
      </w:r>
      <w:r w:rsidRPr="003F141B">
        <w:rPr>
          <w:lang w:val="en-CA"/>
        </w:rPr>
        <w:t>The distinction is elementary, but crucial.</w:t>
      </w:r>
    </w:p>
    <w:p w14:paraId="360FE9A9" w14:textId="1E5CF760" w:rsidR="00C5611D" w:rsidRPr="003F141B" w:rsidRDefault="00C5611D" w:rsidP="009130CA">
      <w:pPr>
        <w:pStyle w:val="Paragraphe"/>
        <w:spacing w:line="240" w:lineRule="auto"/>
        <w:rPr>
          <w:lang w:val="en-CA"/>
        </w:rPr>
      </w:pPr>
      <w:r w:rsidRPr="003F141B">
        <w:rPr>
          <w:lang w:val="en-CA"/>
        </w:rPr>
        <w:t xml:space="preserve">For example, in </w:t>
      </w:r>
      <w:r w:rsidRPr="003F141B">
        <w:rPr>
          <w:i/>
          <w:lang w:val="en-CA"/>
        </w:rPr>
        <w:t>R. v. Dixon</w:t>
      </w:r>
      <w:r w:rsidRPr="003F141B">
        <w:rPr>
          <w:lang w:val="en-CA"/>
        </w:rPr>
        <w:t>,</w:t>
      </w:r>
      <w:r w:rsidRPr="003F141B">
        <w:rPr>
          <w:rStyle w:val="Appelnotedebasdep"/>
          <w:lang w:val="en-CA"/>
        </w:rPr>
        <w:footnoteReference w:id="43"/>
      </w:r>
      <w:r w:rsidRPr="003F141B">
        <w:rPr>
          <w:lang w:val="en-CA"/>
        </w:rPr>
        <w:t xml:space="preserve"> the Court of Appeal for British Columbia allowed an appeal and ordered a new trial </w:t>
      </w:r>
      <w:r w:rsidR="009A610C" w:rsidRPr="003F141B">
        <w:rPr>
          <w:lang w:val="en-CA"/>
        </w:rPr>
        <w:t>because</w:t>
      </w:r>
      <w:r w:rsidRPr="003F141B">
        <w:rPr>
          <w:lang w:val="en-CA"/>
        </w:rPr>
        <w:t xml:space="preserve"> t</w:t>
      </w:r>
      <w:r w:rsidR="00CA0598" w:rsidRPr="003F141B">
        <w:rPr>
          <w:lang w:val="en-CA"/>
        </w:rPr>
        <w:t>he judge had not warned</w:t>
      </w:r>
      <w:r w:rsidRPr="003F141B">
        <w:rPr>
          <w:lang w:val="en-CA"/>
        </w:rPr>
        <w:t xml:space="preserve"> the jury that</w:t>
      </w:r>
      <w:r w:rsidR="009A610C" w:rsidRPr="003F141B">
        <w:rPr>
          <w:lang w:val="en-CA"/>
        </w:rPr>
        <w:t xml:space="preserve"> it could not take as proven facts that</w:t>
      </w:r>
      <w:r w:rsidRPr="003F141B">
        <w:rPr>
          <w:lang w:val="en-CA"/>
        </w:rPr>
        <w:t xml:space="preserve">, although </w:t>
      </w:r>
      <w:r w:rsidR="000B6217">
        <w:rPr>
          <w:lang w:val="en-CA"/>
        </w:rPr>
        <w:t xml:space="preserve">suggested in questions that were </w:t>
      </w:r>
      <w:r w:rsidRPr="003F141B">
        <w:rPr>
          <w:lang w:val="en-CA"/>
        </w:rPr>
        <w:t xml:space="preserve">otherwise admissible, were simply suggested in the questions asked by the lawyer </w:t>
      </w:r>
      <w:r w:rsidR="00ED17A7" w:rsidRPr="003F141B">
        <w:rPr>
          <w:lang w:val="en-CA"/>
        </w:rPr>
        <w:t>on cross-examination</w:t>
      </w:r>
      <w:r w:rsidR="009A610C" w:rsidRPr="003F141B">
        <w:rPr>
          <w:lang w:val="en-CA"/>
        </w:rPr>
        <w:t xml:space="preserve">, </w:t>
      </w:r>
      <w:r w:rsidR="000B6217">
        <w:rPr>
          <w:lang w:val="en-CA"/>
        </w:rPr>
        <w:t xml:space="preserve">but </w:t>
      </w:r>
      <w:r w:rsidR="009A610C" w:rsidRPr="003F141B">
        <w:rPr>
          <w:lang w:val="en-CA"/>
        </w:rPr>
        <w:t xml:space="preserve">were </w:t>
      </w:r>
      <w:r w:rsidRPr="003F141B">
        <w:rPr>
          <w:lang w:val="en-CA"/>
        </w:rPr>
        <w:t>not admitted by the witness</w:t>
      </w:r>
      <w:r w:rsidR="009A610C" w:rsidRPr="003F141B">
        <w:rPr>
          <w:lang w:val="en-CA"/>
        </w:rPr>
        <w:t>,</w:t>
      </w:r>
      <w:r w:rsidRPr="003F141B">
        <w:rPr>
          <w:lang w:val="en-CA"/>
        </w:rPr>
        <w:t xml:space="preserve"> and </w:t>
      </w:r>
      <w:r w:rsidR="00741B6C" w:rsidRPr="003F141B">
        <w:rPr>
          <w:lang w:val="en-CA"/>
        </w:rPr>
        <w:t xml:space="preserve">were </w:t>
      </w:r>
      <w:r w:rsidRPr="003F141B">
        <w:rPr>
          <w:lang w:val="en-CA"/>
        </w:rPr>
        <w:t>not otherwise supported by the evidence.</w:t>
      </w:r>
      <w:r w:rsidR="005003D8" w:rsidRPr="003F141B">
        <w:rPr>
          <w:rStyle w:val="Appelnotedebasdep"/>
          <w:lang w:val="en-CA"/>
        </w:rPr>
        <w:footnoteReference w:id="44"/>
      </w:r>
    </w:p>
    <w:p w14:paraId="1E737A8F" w14:textId="425F6DAC" w:rsidR="001633E3" w:rsidRPr="003F141B" w:rsidRDefault="00C5611D" w:rsidP="009130CA">
      <w:pPr>
        <w:pStyle w:val="Paragraphe"/>
        <w:spacing w:line="240" w:lineRule="auto"/>
        <w:rPr>
          <w:lang w:val="en-CA"/>
        </w:rPr>
      </w:pPr>
      <w:r w:rsidRPr="003F141B">
        <w:rPr>
          <w:lang w:val="en-CA"/>
        </w:rPr>
        <w:t>Last</w:t>
      </w:r>
      <w:r w:rsidR="00367549">
        <w:rPr>
          <w:lang w:val="en-CA"/>
        </w:rPr>
        <w:t>ly</w:t>
      </w:r>
      <w:r w:rsidRPr="003F141B">
        <w:rPr>
          <w:lang w:val="en-CA"/>
        </w:rPr>
        <w:t>, it is equally important to note that in the absence of any evidence on these matters</w:t>
      </w:r>
      <w:r w:rsidR="00DA7DFB" w:rsidRPr="003F141B">
        <w:rPr>
          <w:lang w:val="en-CA"/>
        </w:rPr>
        <w:t xml:space="preserve"> the judge could not take judicial notice that </w:t>
      </w:r>
      <w:r w:rsidRPr="003F141B">
        <w:rPr>
          <w:lang w:val="en-CA"/>
        </w:rPr>
        <w:t>(</w:t>
      </w:r>
      <w:proofErr w:type="spellStart"/>
      <w:r w:rsidRPr="003F141B">
        <w:rPr>
          <w:b/>
          <w:lang w:val="en-CA"/>
        </w:rPr>
        <w:t>i</w:t>
      </w:r>
      <w:proofErr w:type="spellEnd"/>
      <w:r w:rsidRPr="003F141B">
        <w:rPr>
          <w:lang w:val="en-CA"/>
        </w:rPr>
        <w:t xml:space="preserve">) </w:t>
      </w:r>
      <w:proofErr w:type="spellStart"/>
      <w:r w:rsidRPr="003F141B">
        <w:rPr>
          <w:lang w:val="en-CA"/>
        </w:rPr>
        <w:t>Mtre</w:t>
      </w:r>
      <w:proofErr w:type="spellEnd"/>
      <w:r w:rsidRPr="003F141B">
        <w:rPr>
          <w:lang w:val="en-CA"/>
        </w:rPr>
        <w:t xml:space="preserve"> </w:t>
      </w:r>
      <w:proofErr w:type="spellStart"/>
      <w:r w:rsidRPr="003F141B">
        <w:rPr>
          <w:lang w:val="en-CA"/>
        </w:rPr>
        <w:t>Boulianne</w:t>
      </w:r>
      <w:r w:rsidR="003061CC">
        <w:rPr>
          <w:lang w:val="en-CA"/>
        </w:rPr>
        <w:t>’</w:t>
      </w:r>
      <w:r w:rsidRPr="003F141B">
        <w:rPr>
          <w:lang w:val="en-CA"/>
        </w:rPr>
        <w:t>s</w:t>
      </w:r>
      <w:proofErr w:type="spellEnd"/>
      <w:r w:rsidRPr="003F141B">
        <w:rPr>
          <w:lang w:val="en-CA"/>
        </w:rPr>
        <w:t xml:space="preserve"> cellular device had </w:t>
      </w:r>
      <w:r w:rsidR="00367549">
        <w:rPr>
          <w:lang w:val="en-CA"/>
        </w:rPr>
        <w:t xml:space="preserve">voicemail that had been </w:t>
      </w:r>
      <w:r w:rsidRPr="003F141B">
        <w:rPr>
          <w:lang w:val="en-CA"/>
        </w:rPr>
        <w:t>activated an</w:t>
      </w:r>
      <w:r w:rsidR="00741B6C" w:rsidRPr="003F141B">
        <w:rPr>
          <w:lang w:val="en-CA"/>
        </w:rPr>
        <w:t>d</w:t>
      </w:r>
      <w:r w:rsidRPr="003F141B">
        <w:rPr>
          <w:lang w:val="en-CA"/>
        </w:rPr>
        <w:t xml:space="preserve"> </w:t>
      </w:r>
      <w:r w:rsidR="00367549">
        <w:rPr>
          <w:lang w:val="en-CA"/>
        </w:rPr>
        <w:t xml:space="preserve">was </w:t>
      </w:r>
      <w:r w:rsidRPr="003F141B">
        <w:rPr>
          <w:lang w:val="en-CA"/>
        </w:rPr>
        <w:t>operational that evening, (</w:t>
      </w:r>
      <w:r w:rsidRPr="003F141B">
        <w:rPr>
          <w:b/>
          <w:lang w:val="en-CA"/>
        </w:rPr>
        <w:t>ii</w:t>
      </w:r>
      <w:r w:rsidRPr="003F141B">
        <w:rPr>
          <w:lang w:val="en-CA"/>
        </w:rPr>
        <w:t>) the firm</w:t>
      </w:r>
      <w:r w:rsidR="003061CC">
        <w:rPr>
          <w:lang w:val="en-CA"/>
        </w:rPr>
        <w:t>’</w:t>
      </w:r>
      <w:r w:rsidRPr="003F141B">
        <w:rPr>
          <w:lang w:val="en-CA"/>
        </w:rPr>
        <w:t>s 24</w:t>
      </w:r>
      <w:r w:rsidR="00367549">
        <w:rPr>
          <w:lang w:val="en-CA"/>
        </w:rPr>
        <w:noBreakHyphen/>
      </w:r>
      <w:r w:rsidRPr="003F141B">
        <w:rPr>
          <w:lang w:val="en-CA"/>
        </w:rPr>
        <w:t xml:space="preserve">hour line had </w:t>
      </w:r>
      <w:r w:rsidR="000E1DB7" w:rsidRPr="003F141B">
        <w:rPr>
          <w:lang w:val="en-CA"/>
        </w:rPr>
        <w:t>voicemail</w:t>
      </w:r>
      <w:r w:rsidR="00DA7DFB" w:rsidRPr="003F141B">
        <w:rPr>
          <w:lang w:val="en-CA"/>
        </w:rPr>
        <w:t>,</w:t>
      </w:r>
      <w:r w:rsidR="00ED17A7" w:rsidRPr="003F141B">
        <w:rPr>
          <w:lang w:val="en-CA"/>
        </w:rPr>
        <w:t xml:space="preserve"> </w:t>
      </w:r>
      <w:r w:rsidRPr="003F141B">
        <w:rPr>
          <w:lang w:val="en-CA"/>
        </w:rPr>
        <w:t>and (</w:t>
      </w:r>
      <w:r w:rsidRPr="003F141B">
        <w:rPr>
          <w:b/>
          <w:lang w:val="en-CA"/>
        </w:rPr>
        <w:t>iii</w:t>
      </w:r>
      <w:r w:rsidR="00ED17A7" w:rsidRPr="003F141B">
        <w:rPr>
          <w:lang w:val="en-CA"/>
        </w:rPr>
        <w:t>) a personal cell</w:t>
      </w:r>
      <w:r w:rsidRPr="003F141B">
        <w:rPr>
          <w:lang w:val="en-CA"/>
        </w:rPr>
        <w:t xml:space="preserve">phone number </w:t>
      </w:r>
      <w:r w:rsidR="00CA0598" w:rsidRPr="003F141B">
        <w:rPr>
          <w:lang w:val="en-CA"/>
        </w:rPr>
        <w:t>to reach</w:t>
      </w:r>
      <w:r w:rsidRPr="003F141B">
        <w:rPr>
          <w:lang w:val="en-CA"/>
        </w:rPr>
        <w:t xml:space="preserve"> </w:t>
      </w:r>
      <w:proofErr w:type="spellStart"/>
      <w:r w:rsidRPr="003F141B">
        <w:rPr>
          <w:lang w:val="en-CA"/>
        </w:rPr>
        <w:t>Mtre</w:t>
      </w:r>
      <w:proofErr w:type="spellEnd"/>
      <w:r w:rsidRPr="003F141B">
        <w:rPr>
          <w:lang w:val="en-CA"/>
        </w:rPr>
        <w:t xml:space="preserve"> </w:t>
      </w:r>
      <w:proofErr w:type="spellStart"/>
      <w:r w:rsidRPr="003F141B">
        <w:rPr>
          <w:lang w:val="en-CA"/>
        </w:rPr>
        <w:t>Cantin</w:t>
      </w:r>
      <w:proofErr w:type="spellEnd"/>
      <w:r w:rsidRPr="003F141B">
        <w:rPr>
          <w:lang w:val="en-CA"/>
        </w:rPr>
        <w:t xml:space="preserve"> directly appeared on the law firm</w:t>
      </w:r>
      <w:r w:rsidR="003061CC">
        <w:rPr>
          <w:lang w:val="en-CA"/>
        </w:rPr>
        <w:t>’</w:t>
      </w:r>
      <w:r w:rsidRPr="003F141B">
        <w:rPr>
          <w:lang w:val="en-CA"/>
        </w:rPr>
        <w:t>s website</w:t>
      </w:r>
      <w:r w:rsidR="00ED17A7" w:rsidRPr="003F141B">
        <w:rPr>
          <w:lang w:val="en-CA"/>
        </w:rPr>
        <w:t>,</w:t>
      </w:r>
      <w:r w:rsidRPr="003F141B">
        <w:rPr>
          <w:lang w:val="en-CA"/>
        </w:rPr>
        <w:t xml:space="preserve"> </w:t>
      </w:r>
      <w:r w:rsidR="00DA7DFB" w:rsidRPr="003F141B">
        <w:rPr>
          <w:lang w:val="en-CA"/>
        </w:rPr>
        <w:t xml:space="preserve">because they </w:t>
      </w:r>
      <w:r w:rsidRPr="003F141B">
        <w:rPr>
          <w:lang w:val="en-CA"/>
        </w:rPr>
        <w:t>did not constitute generally known facts.</w:t>
      </w:r>
      <w:r w:rsidR="005003D8" w:rsidRPr="003F141B">
        <w:rPr>
          <w:lang w:val="en-CA"/>
        </w:rPr>
        <w:t xml:space="preserve"> </w:t>
      </w:r>
      <w:r w:rsidRPr="003F141B">
        <w:rPr>
          <w:lang w:val="en-CA"/>
        </w:rPr>
        <w:t>The threshold for judicial notice is strict</w:t>
      </w:r>
      <w:r w:rsidR="00DA7DFB" w:rsidRPr="003F141B">
        <w:rPr>
          <w:lang w:val="en-CA"/>
        </w:rPr>
        <w:t>,</w:t>
      </w:r>
      <w:r w:rsidRPr="003F141B">
        <w:rPr>
          <w:rStyle w:val="Appelnotedebasdep"/>
          <w:lang w:val="en-CA"/>
        </w:rPr>
        <w:footnoteReference w:id="45"/>
      </w:r>
      <w:r w:rsidRPr="003F141B">
        <w:rPr>
          <w:lang w:val="en-CA"/>
        </w:rPr>
        <w:t xml:space="preserve"> and </w:t>
      </w:r>
      <w:r w:rsidR="00DA7DFB" w:rsidRPr="003F141B">
        <w:rPr>
          <w:lang w:val="en-CA"/>
        </w:rPr>
        <w:t xml:space="preserve"> accordingly</w:t>
      </w:r>
      <w:r w:rsidRPr="003F141B">
        <w:rPr>
          <w:lang w:val="en-CA"/>
        </w:rPr>
        <w:t xml:space="preserve">, a judge cannot take notice on his or her own of a fact concerning a specific event or of a disputed fact </w:t>
      </w:r>
      <w:r w:rsidR="00DA7DFB" w:rsidRPr="003F141B">
        <w:rPr>
          <w:lang w:val="en-CA"/>
        </w:rPr>
        <w:t xml:space="preserve">that generates </w:t>
      </w:r>
      <w:r w:rsidR="003558B7" w:rsidRPr="003F141B">
        <w:rPr>
          <w:lang w:val="en-CA"/>
        </w:rPr>
        <w:t>the</w:t>
      </w:r>
      <w:r w:rsidRPr="003F141B">
        <w:rPr>
          <w:lang w:val="en-CA"/>
        </w:rPr>
        <w:t xml:space="preserve"> right claimed by a party or that </w:t>
      </w:r>
      <w:r w:rsidR="003558B7" w:rsidRPr="003F141B">
        <w:rPr>
          <w:lang w:val="en-CA"/>
        </w:rPr>
        <w:t xml:space="preserve">is </w:t>
      </w:r>
      <w:r w:rsidRPr="003F141B">
        <w:rPr>
          <w:lang w:val="en-CA"/>
        </w:rPr>
        <w:t xml:space="preserve">close to </w:t>
      </w:r>
      <w:r w:rsidR="00CA0598" w:rsidRPr="003F141B">
        <w:rPr>
          <w:lang w:val="en-CA"/>
        </w:rPr>
        <w:t>the centre of it</w:t>
      </w:r>
      <w:r w:rsidRPr="003F141B">
        <w:rPr>
          <w:lang w:val="en-CA"/>
        </w:rPr>
        <w:t>.</w:t>
      </w:r>
      <w:r w:rsidR="005003D8" w:rsidRPr="003F141B">
        <w:rPr>
          <w:rStyle w:val="Appelnotedebasdep"/>
          <w:lang w:val="en-CA"/>
        </w:rPr>
        <w:footnoteReference w:id="46"/>
      </w:r>
      <w:r w:rsidRPr="003F141B">
        <w:rPr>
          <w:lang w:val="en-CA"/>
        </w:rPr>
        <w:t xml:space="preserve"> The judge </w:t>
      </w:r>
      <w:r w:rsidR="00DA7DFB" w:rsidRPr="003F141B">
        <w:rPr>
          <w:lang w:val="en-CA"/>
        </w:rPr>
        <w:t>may</w:t>
      </w:r>
      <w:r w:rsidR="003558B7" w:rsidRPr="003F141B">
        <w:rPr>
          <w:lang w:val="en-CA"/>
        </w:rPr>
        <w:t xml:space="preserve"> </w:t>
      </w:r>
      <w:r w:rsidRPr="003F141B">
        <w:rPr>
          <w:lang w:val="en-CA"/>
        </w:rPr>
        <w:t xml:space="preserve">take judicial notice </w:t>
      </w:r>
      <w:r w:rsidR="00DA7DFB" w:rsidRPr="003F141B">
        <w:rPr>
          <w:lang w:val="en-CA"/>
        </w:rPr>
        <w:t xml:space="preserve">only </w:t>
      </w:r>
      <w:r w:rsidRPr="003F141B">
        <w:rPr>
          <w:lang w:val="en-CA"/>
        </w:rPr>
        <w:t>of a fact that is so certain that any contrary evidence would be futile and considered inadmissible</w:t>
      </w:r>
      <w:r w:rsidR="00A25AEF" w:rsidRPr="003F141B">
        <w:rPr>
          <w:lang w:val="en-CA"/>
        </w:rPr>
        <w:t>.</w:t>
      </w:r>
      <w:r w:rsidR="00A25AEF" w:rsidRPr="003F141B">
        <w:rPr>
          <w:rStyle w:val="Appelnotedebasdep"/>
          <w:lang w:val="en-CA"/>
        </w:rPr>
        <w:footnoteReference w:id="47"/>
      </w:r>
      <w:r w:rsidRPr="003F141B">
        <w:rPr>
          <w:lang w:val="en-CA"/>
        </w:rPr>
        <w:t xml:space="preserve"> </w:t>
      </w:r>
    </w:p>
    <w:p w14:paraId="620309F3" w14:textId="443AC6E3" w:rsidR="009130CA" w:rsidRPr="003F141B" w:rsidRDefault="00C5611D" w:rsidP="009130CA">
      <w:pPr>
        <w:pStyle w:val="Paragraphe"/>
        <w:spacing w:line="240" w:lineRule="auto"/>
        <w:rPr>
          <w:lang w:val="en-CA"/>
        </w:rPr>
      </w:pPr>
      <w:r w:rsidRPr="003F141B">
        <w:rPr>
          <w:lang w:val="en-CA"/>
        </w:rPr>
        <w:t xml:space="preserve"> </w:t>
      </w:r>
      <w:r w:rsidR="001633E3" w:rsidRPr="003F141B">
        <w:rPr>
          <w:lang w:val="en-CA"/>
        </w:rPr>
        <w:t>T</w:t>
      </w:r>
      <w:r w:rsidRPr="003F141B">
        <w:rPr>
          <w:lang w:val="en-CA"/>
        </w:rPr>
        <w:t xml:space="preserve">he above-mentioned facts, </w:t>
      </w:r>
      <w:r w:rsidR="00151F7F">
        <w:rPr>
          <w:lang w:val="en-CA"/>
        </w:rPr>
        <w:t xml:space="preserve">however, </w:t>
      </w:r>
      <w:r w:rsidRPr="003F141B">
        <w:rPr>
          <w:lang w:val="en-CA"/>
        </w:rPr>
        <w:t>which were at the heart of the dispute before the judge, do not meet this onerous burden.</w:t>
      </w:r>
    </w:p>
    <w:p w14:paraId="29A1A464" w14:textId="1538EE7E" w:rsidR="009130CA" w:rsidRPr="003F141B" w:rsidRDefault="00174B08" w:rsidP="009130CA">
      <w:pPr>
        <w:pStyle w:val="Paragraphe"/>
        <w:keepNext/>
        <w:numPr>
          <w:ilvl w:val="0"/>
          <w:numId w:val="24"/>
        </w:numPr>
        <w:spacing w:line="240" w:lineRule="auto"/>
        <w:rPr>
          <w:b/>
          <w:lang w:val="en-CA"/>
        </w:rPr>
      </w:pPr>
      <w:r>
        <w:rPr>
          <w:b/>
          <w:lang w:val="en-CA"/>
        </w:rPr>
        <w:t>E</w:t>
      </w:r>
      <w:r w:rsidR="00C5611D" w:rsidRPr="003F141B">
        <w:rPr>
          <w:b/>
          <w:lang w:val="en-CA"/>
        </w:rPr>
        <w:t>rror of law concerning the extent of the police officers</w:t>
      </w:r>
      <w:r w:rsidR="003061CC">
        <w:rPr>
          <w:b/>
          <w:lang w:val="en-CA"/>
        </w:rPr>
        <w:t>’</w:t>
      </w:r>
      <w:r w:rsidR="00C5611D" w:rsidRPr="003F141B">
        <w:rPr>
          <w:b/>
          <w:lang w:val="en-CA"/>
        </w:rPr>
        <w:t xml:space="preserve"> obligation in the circumstances on the one hand, and the parameters of the respondent</w:t>
      </w:r>
      <w:r w:rsidR="003061CC">
        <w:rPr>
          <w:b/>
          <w:lang w:val="en-CA"/>
        </w:rPr>
        <w:t>’</w:t>
      </w:r>
      <w:r w:rsidR="00C5611D" w:rsidRPr="003F141B">
        <w:rPr>
          <w:b/>
          <w:lang w:val="en-CA"/>
        </w:rPr>
        <w:t>s obligation of diligence on the other</w:t>
      </w:r>
      <w:r w:rsidR="005003D8" w:rsidRPr="003F141B">
        <w:rPr>
          <w:b/>
          <w:lang w:val="en-CA"/>
        </w:rPr>
        <w:t xml:space="preserve"> </w:t>
      </w:r>
    </w:p>
    <w:p w14:paraId="392C667F" w14:textId="4422240D" w:rsidR="009130CA" w:rsidRPr="003F141B" w:rsidRDefault="008F1409" w:rsidP="009130CA">
      <w:pPr>
        <w:pStyle w:val="Paragraphe"/>
        <w:spacing w:line="240" w:lineRule="auto"/>
        <w:rPr>
          <w:lang w:val="en-CA"/>
        </w:rPr>
      </w:pPr>
      <w:r w:rsidRPr="003F141B">
        <w:rPr>
          <w:lang w:val="en-CA"/>
        </w:rPr>
        <w:t xml:space="preserve">With </w:t>
      </w:r>
      <w:r w:rsidR="00FF40B7">
        <w:rPr>
          <w:lang w:val="en-CA"/>
        </w:rPr>
        <w:t xml:space="preserve">all due </w:t>
      </w:r>
      <w:r w:rsidRPr="003F141B">
        <w:rPr>
          <w:lang w:val="en-CA"/>
        </w:rPr>
        <w:t>respect, once</w:t>
      </w:r>
      <w:r w:rsidR="00C5611D" w:rsidRPr="003F141B">
        <w:rPr>
          <w:lang w:val="en-CA"/>
        </w:rPr>
        <w:t xml:space="preserve"> </w:t>
      </w:r>
      <w:r w:rsidR="00FF40B7">
        <w:rPr>
          <w:lang w:val="en-CA"/>
        </w:rPr>
        <w:t>the judge</w:t>
      </w:r>
      <w:r w:rsidR="003061CC">
        <w:rPr>
          <w:lang w:val="en-CA"/>
        </w:rPr>
        <w:t>’</w:t>
      </w:r>
      <w:r w:rsidR="00FF40B7">
        <w:rPr>
          <w:lang w:val="en-CA"/>
        </w:rPr>
        <w:t xml:space="preserve">s </w:t>
      </w:r>
      <w:r w:rsidR="00C5611D" w:rsidRPr="003F141B">
        <w:rPr>
          <w:lang w:val="en-CA"/>
        </w:rPr>
        <w:t>above-mentioned findings of fact are removed</w:t>
      </w:r>
      <w:r w:rsidR="005909B8" w:rsidRPr="003F141B">
        <w:rPr>
          <w:lang w:val="en-CA"/>
        </w:rPr>
        <w:t xml:space="preserve"> because of </w:t>
      </w:r>
      <w:r w:rsidR="00C5611D" w:rsidRPr="003F141B">
        <w:rPr>
          <w:lang w:val="en-CA"/>
        </w:rPr>
        <w:t xml:space="preserve">their lack of an evidentiary underpinning, and </w:t>
      </w:r>
      <w:r w:rsidR="005909B8" w:rsidRPr="003F141B">
        <w:rPr>
          <w:lang w:val="en-CA"/>
        </w:rPr>
        <w:t xml:space="preserve">once </w:t>
      </w:r>
      <w:r w:rsidR="00C5611D" w:rsidRPr="003F141B">
        <w:rPr>
          <w:lang w:val="en-CA"/>
        </w:rPr>
        <w:t xml:space="preserve">the duly proven </w:t>
      </w:r>
      <w:r w:rsidR="002B4BEB" w:rsidRPr="003F141B">
        <w:rPr>
          <w:lang w:val="en-CA"/>
        </w:rPr>
        <w:lastRenderedPageBreak/>
        <w:t>facts</w:t>
      </w:r>
      <w:r w:rsidR="005909B8" w:rsidRPr="003F141B">
        <w:rPr>
          <w:lang w:val="en-CA"/>
        </w:rPr>
        <w:t xml:space="preserve"> are considered</w:t>
      </w:r>
      <w:r w:rsidR="002B4BEB" w:rsidRPr="003F141B">
        <w:rPr>
          <w:lang w:val="en-CA"/>
        </w:rPr>
        <w:t xml:space="preserve">, </w:t>
      </w:r>
      <w:r w:rsidR="00C5611D" w:rsidRPr="003F141B">
        <w:rPr>
          <w:lang w:val="en-CA"/>
        </w:rPr>
        <w:t>the judge</w:t>
      </w:r>
      <w:r w:rsidR="003061CC">
        <w:rPr>
          <w:lang w:val="en-CA"/>
        </w:rPr>
        <w:t>’</w:t>
      </w:r>
      <w:r w:rsidR="00C5611D" w:rsidRPr="003F141B">
        <w:rPr>
          <w:lang w:val="en-CA"/>
        </w:rPr>
        <w:t>s finding that the police officers infringed the respondent</w:t>
      </w:r>
      <w:r w:rsidR="003061CC">
        <w:rPr>
          <w:lang w:val="en-CA"/>
        </w:rPr>
        <w:t>’</w:t>
      </w:r>
      <w:r w:rsidR="00C5611D" w:rsidRPr="003F141B">
        <w:rPr>
          <w:lang w:val="en-CA"/>
        </w:rPr>
        <w:t xml:space="preserve">s right to </w:t>
      </w:r>
      <w:r w:rsidR="00CE7751" w:rsidRPr="003F141B">
        <w:rPr>
          <w:lang w:val="en-CA"/>
        </w:rPr>
        <w:t>retain and instruct</w:t>
      </w:r>
      <w:r w:rsidR="00C5611D" w:rsidRPr="003F141B">
        <w:rPr>
          <w:lang w:val="en-CA"/>
        </w:rPr>
        <w:t xml:space="preserve"> </w:t>
      </w:r>
      <w:r w:rsidR="00CE7751" w:rsidRPr="003F141B">
        <w:rPr>
          <w:lang w:val="en-CA"/>
        </w:rPr>
        <w:t xml:space="preserve">his </w:t>
      </w:r>
      <w:r w:rsidR="00C5611D" w:rsidRPr="003F141B">
        <w:rPr>
          <w:lang w:val="en-CA"/>
        </w:rPr>
        <w:t>counsel of choice appears to me incorrect in law.</w:t>
      </w:r>
    </w:p>
    <w:p w14:paraId="7764EBA0" w14:textId="6CCDDD1D" w:rsidR="009130CA" w:rsidRPr="003F141B" w:rsidRDefault="008F1409" w:rsidP="009130CA">
      <w:pPr>
        <w:pStyle w:val="Paragraphe"/>
        <w:spacing w:line="240" w:lineRule="auto"/>
        <w:rPr>
          <w:lang w:val="en-CA"/>
        </w:rPr>
      </w:pPr>
      <w:r w:rsidRPr="003F141B">
        <w:rPr>
          <w:lang w:val="en-CA"/>
        </w:rPr>
        <w:t xml:space="preserve">First, </w:t>
      </w:r>
      <w:r w:rsidR="00994E7B">
        <w:rPr>
          <w:lang w:val="en-CA"/>
        </w:rPr>
        <w:t xml:space="preserve">in a sense </w:t>
      </w:r>
      <w:r w:rsidRPr="003F141B">
        <w:rPr>
          <w:lang w:val="en-CA"/>
        </w:rPr>
        <w:t xml:space="preserve">that finding </w:t>
      </w:r>
      <w:r w:rsidR="00994E7B">
        <w:rPr>
          <w:lang w:val="en-CA"/>
        </w:rPr>
        <w:t xml:space="preserve">has the effect of </w:t>
      </w:r>
      <w:r w:rsidR="005909B8" w:rsidRPr="003F141B">
        <w:rPr>
          <w:lang w:val="en-CA"/>
        </w:rPr>
        <w:t>impos</w:t>
      </w:r>
      <w:r w:rsidR="00994E7B">
        <w:rPr>
          <w:lang w:val="en-CA"/>
        </w:rPr>
        <w:t>ing</w:t>
      </w:r>
      <w:r w:rsidRPr="003F141B">
        <w:rPr>
          <w:lang w:val="en-CA"/>
        </w:rPr>
        <w:t xml:space="preserve"> on the police officers an obligation of result </w:t>
      </w:r>
      <w:r w:rsidR="00CE7751" w:rsidRPr="003F141B">
        <w:rPr>
          <w:lang w:val="en-CA"/>
        </w:rPr>
        <w:t xml:space="preserve">by </w:t>
      </w:r>
      <w:r w:rsidR="00BE3DF2">
        <w:rPr>
          <w:lang w:val="en-CA"/>
        </w:rPr>
        <w:t xml:space="preserve">effectively </w:t>
      </w:r>
      <w:r w:rsidR="00CE7751" w:rsidRPr="003F141B">
        <w:rPr>
          <w:lang w:val="en-CA"/>
        </w:rPr>
        <w:t>ruling</w:t>
      </w:r>
      <w:r w:rsidRPr="003F141B">
        <w:rPr>
          <w:lang w:val="en-CA"/>
        </w:rPr>
        <w:t xml:space="preserve"> that only if it </w:t>
      </w:r>
      <w:r w:rsidR="00780138" w:rsidRPr="003F141B">
        <w:rPr>
          <w:lang w:val="en-CA"/>
        </w:rPr>
        <w:t xml:space="preserve">had been </w:t>
      </w:r>
      <w:r w:rsidR="001472BF">
        <w:rPr>
          <w:lang w:val="en-CA"/>
        </w:rPr>
        <w:t>[</w:t>
      </w:r>
      <w:r w:rsidR="001472BF" w:rsidRPr="002E7C7B">
        <w:rPr>
          <w:smallCaps/>
          <w:lang w:val="en-CA"/>
        </w:rPr>
        <w:t>translation</w:t>
      </w:r>
      <w:r w:rsidR="001472BF">
        <w:rPr>
          <w:lang w:val="en-CA"/>
        </w:rPr>
        <w:t xml:space="preserve">] </w:t>
      </w:r>
      <w:r w:rsidR="00081775">
        <w:rPr>
          <w:lang w:val="en-CA"/>
        </w:rPr>
        <w:t>“</w:t>
      </w:r>
      <w:r w:rsidR="005003D8" w:rsidRPr="003F141B">
        <w:rPr>
          <w:lang w:val="en-CA"/>
        </w:rPr>
        <w:t>impos</w:t>
      </w:r>
      <w:r w:rsidRPr="003F141B">
        <w:rPr>
          <w:lang w:val="en-CA"/>
        </w:rPr>
        <w:t>sible</w:t>
      </w:r>
      <w:r w:rsidR="00081775">
        <w:rPr>
          <w:lang w:val="en-CA"/>
        </w:rPr>
        <w:t>”</w:t>
      </w:r>
      <w:r w:rsidR="005003D8" w:rsidRPr="003F141B">
        <w:rPr>
          <w:rStyle w:val="Appelnotedebasdep"/>
          <w:lang w:val="en-CA"/>
        </w:rPr>
        <w:footnoteReference w:id="48"/>
      </w:r>
      <w:r w:rsidR="005003D8" w:rsidRPr="003F141B">
        <w:rPr>
          <w:lang w:val="en-CA"/>
        </w:rPr>
        <w:t xml:space="preserve"> </w:t>
      </w:r>
      <w:r w:rsidR="00CE7751" w:rsidRPr="003F141B">
        <w:rPr>
          <w:lang w:val="en-CA"/>
        </w:rPr>
        <w:t xml:space="preserve">for them </w:t>
      </w:r>
      <w:r w:rsidRPr="003F141B">
        <w:rPr>
          <w:lang w:val="en-CA"/>
        </w:rPr>
        <w:t xml:space="preserve">to reach one of the lawyers </w:t>
      </w:r>
      <w:r w:rsidR="007119B1" w:rsidRPr="003F141B">
        <w:rPr>
          <w:lang w:val="en-CA"/>
        </w:rPr>
        <w:t>identified</w:t>
      </w:r>
      <w:r w:rsidRPr="003F141B">
        <w:rPr>
          <w:lang w:val="en-CA"/>
        </w:rPr>
        <w:t xml:space="preserve"> by the respondent would </w:t>
      </w:r>
      <w:r w:rsidR="00780138" w:rsidRPr="003F141B">
        <w:rPr>
          <w:lang w:val="en-CA"/>
        </w:rPr>
        <w:t xml:space="preserve">he </w:t>
      </w:r>
      <w:r w:rsidRPr="003F141B">
        <w:rPr>
          <w:lang w:val="en-CA"/>
        </w:rPr>
        <w:t xml:space="preserve">have </w:t>
      </w:r>
      <w:r w:rsidR="00CE7751" w:rsidRPr="003F141B">
        <w:rPr>
          <w:lang w:val="en-CA"/>
        </w:rPr>
        <w:t>been</w:t>
      </w:r>
      <w:r w:rsidRPr="003F141B">
        <w:rPr>
          <w:lang w:val="en-CA"/>
        </w:rPr>
        <w:t xml:space="preserve"> </w:t>
      </w:r>
      <w:r w:rsidRPr="003F141B">
        <w:rPr>
          <w:rFonts w:cs="Arial"/>
          <w:lang w:val="en-CA"/>
        </w:rPr>
        <w:t>[</w:t>
      </w:r>
      <w:r w:rsidRPr="003F141B">
        <w:rPr>
          <w:smallCaps/>
          <w:lang w:val="en-CA"/>
        </w:rPr>
        <w:t>translation</w:t>
      </w:r>
      <w:r w:rsidRPr="003F141B">
        <w:rPr>
          <w:rFonts w:cs="Arial"/>
          <w:smallCaps/>
          <w:lang w:val="en-CA"/>
        </w:rPr>
        <w:t>]</w:t>
      </w:r>
      <w:r w:rsidRPr="003F141B">
        <w:rPr>
          <w:lang w:val="en-CA"/>
        </w:rPr>
        <w:t xml:space="preserve"> </w:t>
      </w:r>
      <w:r w:rsidR="00081775">
        <w:rPr>
          <w:lang w:val="en-CA"/>
        </w:rPr>
        <w:t>“</w:t>
      </w:r>
      <w:r w:rsidR="00CE7751" w:rsidRPr="003F141B">
        <w:rPr>
          <w:lang w:val="en-CA"/>
        </w:rPr>
        <w:t xml:space="preserve">entitled </w:t>
      </w:r>
      <w:r w:rsidRPr="003F141B">
        <w:rPr>
          <w:lang w:val="en-CA"/>
        </w:rPr>
        <w:t>to contact another lawyer</w:t>
      </w:r>
      <w:r w:rsidR="00081775">
        <w:rPr>
          <w:lang w:val="en-CA"/>
        </w:rPr>
        <w:t>”</w:t>
      </w:r>
      <w:r w:rsidRPr="003F141B">
        <w:rPr>
          <w:lang w:val="en-CA"/>
        </w:rPr>
        <w:t>.</w:t>
      </w:r>
      <w:r w:rsidR="005003D8" w:rsidRPr="003F141B">
        <w:rPr>
          <w:rStyle w:val="Appelnotedebasdep"/>
          <w:lang w:val="en-CA"/>
        </w:rPr>
        <w:footnoteReference w:id="49"/>
      </w:r>
    </w:p>
    <w:p w14:paraId="75B062FD" w14:textId="0110F78D" w:rsidR="009130CA" w:rsidRPr="003F141B" w:rsidRDefault="00B942C4" w:rsidP="009130CA">
      <w:pPr>
        <w:pStyle w:val="Paragraphe"/>
        <w:spacing w:line="240" w:lineRule="auto"/>
        <w:rPr>
          <w:lang w:val="en-CA"/>
        </w:rPr>
      </w:pPr>
      <w:r w:rsidRPr="003F141B">
        <w:rPr>
          <w:lang w:val="en-CA"/>
        </w:rPr>
        <w:t>This principle as stated also appears incorrect in law</w:t>
      </w:r>
      <w:r w:rsidR="00780138" w:rsidRPr="003F141B">
        <w:rPr>
          <w:lang w:val="en-CA"/>
        </w:rPr>
        <w:t>,</w:t>
      </w:r>
      <w:r w:rsidRPr="003F141B">
        <w:rPr>
          <w:lang w:val="en-CA"/>
        </w:rPr>
        <w:t xml:space="preserve"> as it implies that it is only in the case of such an impossibility that the choice of the detained or arrested person to seek the assistance of a legal aid lawyer c</w:t>
      </w:r>
      <w:r w:rsidR="007545CA" w:rsidRPr="003F141B">
        <w:rPr>
          <w:lang w:val="en-CA"/>
        </w:rPr>
        <w:t>an</w:t>
      </w:r>
      <w:r w:rsidRPr="003F141B">
        <w:rPr>
          <w:lang w:val="en-CA"/>
        </w:rPr>
        <w:t xml:space="preserve"> meet the requirements of </w:t>
      </w:r>
      <w:r w:rsidR="00147C72" w:rsidRPr="003F141B">
        <w:rPr>
          <w:lang w:val="en-CA"/>
        </w:rPr>
        <w:t>s.</w:t>
      </w:r>
      <w:r w:rsidRPr="003F141B">
        <w:rPr>
          <w:lang w:val="en-CA"/>
        </w:rPr>
        <w:t xml:space="preserve"> 10(b) of the </w:t>
      </w:r>
      <w:r w:rsidR="005003D8" w:rsidRPr="003F141B">
        <w:rPr>
          <w:i/>
          <w:lang w:val="en-CA"/>
        </w:rPr>
        <w:t>Charter</w:t>
      </w:r>
      <w:r w:rsidRPr="003F141B">
        <w:rPr>
          <w:lang w:val="en-CA"/>
        </w:rPr>
        <w:t>.</w:t>
      </w:r>
      <w:r w:rsidR="005003D8" w:rsidRPr="003F141B">
        <w:rPr>
          <w:lang w:val="en-CA"/>
        </w:rPr>
        <w:t xml:space="preserve"> </w:t>
      </w:r>
      <w:r w:rsidRPr="003F141B">
        <w:rPr>
          <w:lang w:val="en-CA"/>
        </w:rPr>
        <w:t>This is in fact what the judge concluded when she stated:</w:t>
      </w:r>
      <w:r w:rsidR="005003D8" w:rsidRPr="003F141B">
        <w:rPr>
          <w:lang w:val="en-CA"/>
        </w:rPr>
        <w:t xml:space="preserve"> </w:t>
      </w:r>
    </w:p>
    <w:p w14:paraId="25049150" w14:textId="408D582D" w:rsidR="00B942C4" w:rsidRPr="003F141B" w:rsidRDefault="00B942C4" w:rsidP="009130CA">
      <w:pPr>
        <w:pStyle w:val="Citationenretrait"/>
        <w:spacing w:line="240" w:lineRule="auto"/>
        <w:rPr>
          <w:lang w:val="en-CA"/>
        </w:rPr>
      </w:pPr>
      <w:r w:rsidRPr="003F141B">
        <w:rPr>
          <w:rFonts w:cs="Arial"/>
          <w:smallCaps/>
          <w:lang w:val="en-CA"/>
        </w:rPr>
        <w:t>[</w:t>
      </w:r>
      <w:r w:rsidRPr="003F141B">
        <w:rPr>
          <w:smallCaps/>
          <w:lang w:val="en-CA"/>
        </w:rPr>
        <w:t>translation</w:t>
      </w:r>
      <w:r w:rsidRPr="003F141B">
        <w:rPr>
          <w:rFonts w:cs="Arial"/>
          <w:smallCaps/>
          <w:lang w:val="en-CA"/>
        </w:rPr>
        <w:t>]</w:t>
      </w:r>
    </w:p>
    <w:p w14:paraId="0AD28C82" w14:textId="7DB37E3F" w:rsidR="009130CA" w:rsidRPr="003F141B" w:rsidRDefault="00E1485C" w:rsidP="009130CA">
      <w:pPr>
        <w:pStyle w:val="Citationenretrait"/>
        <w:spacing w:line="240" w:lineRule="auto"/>
        <w:rPr>
          <w:lang w:val="en-CA"/>
        </w:rPr>
      </w:pPr>
      <w:r>
        <w:rPr>
          <w:rFonts w:cs="Arial"/>
        </w:rPr>
        <w:t>[</w:t>
      </w:r>
      <w:r>
        <w:t>…</w:t>
      </w:r>
      <w:r>
        <w:rPr>
          <w:rFonts w:cs="Arial"/>
        </w:rPr>
        <w:t xml:space="preserve">] </w:t>
      </w:r>
      <w:r w:rsidR="005F7CEE" w:rsidRPr="003F141B">
        <w:rPr>
          <w:lang w:val="en-CA"/>
        </w:rPr>
        <w:t>it</w:t>
      </w:r>
      <w:r w:rsidR="003061CC">
        <w:rPr>
          <w:lang w:val="en-CA"/>
        </w:rPr>
        <w:t>’</w:t>
      </w:r>
      <w:r>
        <w:rPr>
          <w:lang w:val="en-CA"/>
        </w:rPr>
        <w:t>s</w:t>
      </w:r>
      <w:r w:rsidR="005F7CEE" w:rsidRPr="003F141B">
        <w:rPr>
          <w:lang w:val="en-CA"/>
        </w:rPr>
        <w:t xml:space="preserve"> been two (2) minutes, </w:t>
      </w:r>
      <w:r w:rsidR="00780138" w:rsidRPr="003F141B">
        <w:rPr>
          <w:lang w:val="en-CA"/>
        </w:rPr>
        <w:t xml:space="preserve">we </w:t>
      </w:r>
      <w:r>
        <w:rPr>
          <w:lang w:val="en-CA"/>
        </w:rPr>
        <w:t>made no further attemp</w:t>
      </w:r>
      <w:r w:rsidR="00FE1706">
        <w:rPr>
          <w:lang w:val="en-CA"/>
        </w:rPr>
        <w:t>t</w:t>
      </w:r>
      <w:r>
        <w:rPr>
          <w:lang w:val="en-CA"/>
        </w:rPr>
        <w:t>s</w:t>
      </w:r>
      <w:r w:rsidR="005F7CEE" w:rsidRPr="003F141B">
        <w:rPr>
          <w:lang w:val="en-CA"/>
        </w:rPr>
        <w:t xml:space="preserve">, we </w:t>
      </w:r>
      <w:r w:rsidR="00780138" w:rsidRPr="003F141B">
        <w:rPr>
          <w:lang w:val="en-CA"/>
        </w:rPr>
        <w:t>didn</w:t>
      </w:r>
      <w:r w:rsidR="003061CC">
        <w:rPr>
          <w:lang w:val="en-CA"/>
        </w:rPr>
        <w:t>’</w:t>
      </w:r>
      <w:r w:rsidR="00780138" w:rsidRPr="003F141B">
        <w:rPr>
          <w:lang w:val="en-CA"/>
        </w:rPr>
        <w:t xml:space="preserve">t </w:t>
      </w:r>
      <w:r>
        <w:rPr>
          <w:lang w:val="en-CA"/>
        </w:rPr>
        <w:t>look into it more</w:t>
      </w:r>
      <w:r w:rsidR="005F7CEE" w:rsidRPr="003F141B">
        <w:rPr>
          <w:lang w:val="en-CA"/>
        </w:rPr>
        <w:t xml:space="preserve"> and </w:t>
      </w:r>
      <w:r>
        <w:rPr>
          <w:lang w:val="en-CA"/>
        </w:rPr>
        <w:t xml:space="preserve">we </w:t>
      </w:r>
      <w:r w:rsidR="005F7CEE" w:rsidRPr="003F141B">
        <w:rPr>
          <w:u w:val="single"/>
          <w:lang w:val="en-CA"/>
        </w:rPr>
        <w:t>immediately</w:t>
      </w:r>
      <w:r w:rsidR="005F7CEE" w:rsidRPr="003F141B">
        <w:rPr>
          <w:lang w:val="en-CA"/>
        </w:rPr>
        <w:t xml:space="preserve"> offered </w:t>
      </w:r>
      <w:r>
        <w:rPr>
          <w:lang w:val="en-CA"/>
        </w:rPr>
        <w:t xml:space="preserve">him </w:t>
      </w:r>
      <w:r w:rsidR="005F7CEE" w:rsidRPr="003F141B">
        <w:rPr>
          <w:lang w:val="en-CA"/>
        </w:rPr>
        <w:t xml:space="preserve">a different lawyer </w:t>
      </w:r>
      <w:r>
        <w:rPr>
          <w:rFonts w:cs="Arial"/>
        </w:rPr>
        <w:t>[</w:t>
      </w:r>
      <w:r>
        <w:t>…</w:t>
      </w:r>
      <w:r>
        <w:rPr>
          <w:rFonts w:cs="Arial"/>
        </w:rPr>
        <w:t>]</w:t>
      </w:r>
      <w:r w:rsidR="005F7CEE" w:rsidRPr="003F141B">
        <w:rPr>
          <w:lang w:val="en-CA"/>
        </w:rPr>
        <w:t xml:space="preserve"> and </w:t>
      </w:r>
      <w:r w:rsidR="002D4645" w:rsidRPr="003F141B">
        <w:rPr>
          <w:lang w:val="en-CA"/>
        </w:rPr>
        <w:t>because of that</w:t>
      </w:r>
      <w:r w:rsidR="005003D8" w:rsidRPr="003F141B">
        <w:rPr>
          <w:rStyle w:val="CitationenretraitCar"/>
          <w:lang w:val="en-CA"/>
        </w:rPr>
        <w:t xml:space="preserve">, </w:t>
      </w:r>
      <w:r w:rsidR="002D4645" w:rsidRPr="003F141B">
        <w:rPr>
          <w:rStyle w:val="CitationenretraitCar"/>
          <w:u w:val="single"/>
          <w:lang w:val="en-CA"/>
        </w:rPr>
        <w:t xml:space="preserve">because he </w:t>
      </w:r>
      <w:r w:rsidR="00780138" w:rsidRPr="003F141B">
        <w:rPr>
          <w:rStyle w:val="CitationenretraitCar"/>
          <w:u w:val="single"/>
          <w:lang w:val="en-CA"/>
        </w:rPr>
        <w:t xml:space="preserve">agreed to call </w:t>
      </w:r>
      <w:r w:rsidR="002D4645" w:rsidRPr="003F141B">
        <w:rPr>
          <w:rStyle w:val="CitationenretraitCar"/>
          <w:u w:val="single"/>
          <w:lang w:val="en-CA"/>
        </w:rPr>
        <w:t>a legal aid lawyer</w:t>
      </w:r>
      <w:r w:rsidR="00B37B84" w:rsidRPr="003F141B">
        <w:rPr>
          <w:rStyle w:val="CitationenretraitCar"/>
          <w:u w:val="single"/>
          <w:lang w:val="en-CA"/>
        </w:rPr>
        <w:t>,</w:t>
      </w:r>
      <w:r w:rsidR="002D4645" w:rsidRPr="003F141B">
        <w:rPr>
          <w:rStyle w:val="CitationenretraitCar"/>
          <w:u w:val="single"/>
          <w:lang w:val="en-CA"/>
        </w:rPr>
        <w:t xml:space="preserve"> his right to counsel was </w:t>
      </w:r>
      <w:r>
        <w:rPr>
          <w:rStyle w:val="CitationenretraitCar"/>
          <w:u w:val="single"/>
          <w:lang w:val="en-CA"/>
        </w:rPr>
        <w:t xml:space="preserve">supposedly </w:t>
      </w:r>
      <w:r w:rsidR="002D4645" w:rsidRPr="003F141B">
        <w:rPr>
          <w:rStyle w:val="CitationenretraitCar"/>
          <w:u w:val="single"/>
          <w:lang w:val="en-CA"/>
        </w:rPr>
        <w:t xml:space="preserve">respected? </w:t>
      </w:r>
      <w:r w:rsidR="00780138" w:rsidRPr="003F141B">
        <w:rPr>
          <w:rStyle w:val="CitationenretraitCar"/>
          <w:u w:val="single"/>
          <w:lang w:val="en-CA"/>
        </w:rPr>
        <w:t xml:space="preserve">His right to counsel of his choice was </w:t>
      </w:r>
      <w:proofErr w:type="gramStart"/>
      <w:r w:rsidR="00780138" w:rsidRPr="003F141B">
        <w:rPr>
          <w:rStyle w:val="CitationenretraitCar"/>
          <w:u w:val="single"/>
          <w:lang w:val="en-CA"/>
        </w:rPr>
        <w:t>respected?</w:t>
      </w:r>
      <w:proofErr w:type="gramEnd"/>
      <w:r w:rsidR="00780138" w:rsidRPr="003F141B">
        <w:rPr>
          <w:rStyle w:val="CitationenretraitCar"/>
          <w:u w:val="single"/>
          <w:lang w:val="en-CA"/>
        </w:rPr>
        <w:t xml:space="preserve"> </w:t>
      </w:r>
      <w:r w:rsidR="009652A8">
        <w:rPr>
          <w:rStyle w:val="CitationenretraitCar"/>
          <w:u w:val="single"/>
          <w:lang w:val="en-CA"/>
        </w:rPr>
        <w:t>I, I cannot, i</w:t>
      </w:r>
      <w:r w:rsidR="002D4645" w:rsidRPr="003F141B">
        <w:rPr>
          <w:rStyle w:val="CitationenretraitCar"/>
          <w:u w:val="single"/>
          <w:lang w:val="en-CA"/>
        </w:rPr>
        <w:t xml:space="preserve">n </w:t>
      </w:r>
      <w:r w:rsidR="009652A8">
        <w:rPr>
          <w:rStyle w:val="CitationenretraitCar"/>
          <w:u w:val="single"/>
          <w:lang w:val="en-CA"/>
        </w:rPr>
        <w:t xml:space="preserve">this </w:t>
      </w:r>
      <w:r w:rsidR="002D4645" w:rsidRPr="003F141B">
        <w:rPr>
          <w:rStyle w:val="CitationenretraitCar"/>
          <w:u w:val="single"/>
          <w:lang w:val="en-CA"/>
        </w:rPr>
        <w:t>situation</w:t>
      </w:r>
      <w:r w:rsidR="009652A8">
        <w:rPr>
          <w:rStyle w:val="CitationenretraitCar"/>
          <w:u w:val="single"/>
          <w:lang w:val="en-CA"/>
        </w:rPr>
        <w:t>,</w:t>
      </w:r>
      <w:r w:rsidR="002D4645" w:rsidRPr="003F141B">
        <w:rPr>
          <w:rStyle w:val="CitationenretraitCar"/>
          <w:u w:val="single"/>
          <w:lang w:val="en-CA"/>
        </w:rPr>
        <w:t xml:space="preserve"> I cannot accept the prosecution</w:t>
      </w:r>
      <w:r w:rsidR="003061CC">
        <w:rPr>
          <w:rStyle w:val="CitationenretraitCar"/>
          <w:u w:val="single"/>
          <w:lang w:val="en-CA"/>
        </w:rPr>
        <w:t>’</w:t>
      </w:r>
      <w:r w:rsidR="002D4645" w:rsidRPr="003F141B">
        <w:rPr>
          <w:rStyle w:val="CitationenretraitCar"/>
          <w:u w:val="single"/>
          <w:lang w:val="en-CA"/>
        </w:rPr>
        <w:t>s theo</w:t>
      </w:r>
      <w:r w:rsidR="007545CA" w:rsidRPr="003F141B">
        <w:rPr>
          <w:rStyle w:val="CitationenretraitCar"/>
          <w:u w:val="single"/>
          <w:lang w:val="en-CA"/>
        </w:rPr>
        <w:t>ry</w:t>
      </w:r>
      <w:r w:rsidR="007545CA" w:rsidRPr="003F141B">
        <w:rPr>
          <w:lang w:val="en-CA"/>
        </w:rPr>
        <w:t xml:space="preserve">, </w:t>
      </w:r>
      <w:r w:rsidR="009652A8">
        <w:rPr>
          <w:rFonts w:cs="Arial"/>
        </w:rPr>
        <w:t>[</w:t>
      </w:r>
      <w:r w:rsidR="009652A8">
        <w:t>…</w:t>
      </w:r>
      <w:r w:rsidR="009652A8">
        <w:rPr>
          <w:rFonts w:cs="Arial"/>
        </w:rPr>
        <w:t>]</w:t>
      </w:r>
      <w:r w:rsidR="007545CA" w:rsidRPr="003F141B">
        <w:rPr>
          <w:lang w:val="en-CA"/>
        </w:rPr>
        <w:t>.</w:t>
      </w:r>
    </w:p>
    <w:p w14:paraId="4A650FCC" w14:textId="0C2F0866" w:rsidR="009130CA" w:rsidRPr="003F141B" w:rsidRDefault="002D4645" w:rsidP="009130CA">
      <w:pPr>
        <w:pStyle w:val="Citationenretrait"/>
        <w:spacing w:line="240" w:lineRule="auto"/>
        <w:jc w:val="right"/>
        <w:rPr>
          <w:lang w:val="en-CA"/>
        </w:rPr>
      </w:pPr>
      <w:r w:rsidRPr="003F141B">
        <w:rPr>
          <w:rFonts w:cs="Arial"/>
          <w:lang w:val="en-CA"/>
        </w:rPr>
        <w:t>[</w:t>
      </w:r>
      <w:r w:rsidR="007545CA" w:rsidRPr="003F141B">
        <w:rPr>
          <w:rFonts w:cs="Arial"/>
          <w:lang w:val="en-CA"/>
        </w:rPr>
        <w:t>Emphasis</w:t>
      </w:r>
      <w:r w:rsidRPr="003F141B">
        <w:rPr>
          <w:rFonts w:cs="Arial"/>
          <w:lang w:val="en-CA"/>
        </w:rPr>
        <w:t xml:space="preserve"> added</w:t>
      </w:r>
      <w:r w:rsidR="005003D8" w:rsidRPr="003F141B">
        <w:rPr>
          <w:rFonts w:cs="Arial"/>
          <w:lang w:val="en-CA"/>
        </w:rPr>
        <w:t>]</w:t>
      </w:r>
    </w:p>
    <w:p w14:paraId="221BE445" w14:textId="26FEADBF" w:rsidR="009130CA" w:rsidRPr="003F141B" w:rsidRDefault="002E2524" w:rsidP="009130CA">
      <w:pPr>
        <w:pStyle w:val="Paragraphe"/>
        <w:spacing w:line="240" w:lineRule="auto"/>
        <w:rPr>
          <w:lang w:val="en-CA"/>
        </w:rPr>
      </w:pPr>
      <w:r w:rsidRPr="003F141B">
        <w:rPr>
          <w:lang w:val="en-CA"/>
        </w:rPr>
        <w:t xml:space="preserve">While </w:t>
      </w:r>
      <w:r w:rsidR="00147C72" w:rsidRPr="003F141B">
        <w:rPr>
          <w:lang w:val="en-CA"/>
        </w:rPr>
        <w:t>s.</w:t>
      </w:r>
      <w:r w:rsidR="005003D8" w:rsidRPr="003F141B">
        <w:rPr>
          <w:lang w:val="en-CA"/>
        </w:rPr>
        <w:t xml:space="preserve"> 10</w:t>
      </w:r>
      <w:r w:rsidR="002D4645" w:rsidRPr="003F141B">
        <w:rPr>
          <w:lang w:val="en-CA"/>
        </w:rPr>
        <w:t>(b)</w:t>
      </w:r>
      <w:r w:rsidR="005003D8" w:rsidRPr="003F141B">
        <w:rPr>
          <w:lang w:val="en-CA"/>
        </w:rPr>
        <w:t xml:space="preserve"> </w:t>
      </w:r>
      <w:r w:rsidR="002D4645" w:rsidRPr="003F141B">
        <w:rPr>
          <w:lang w:val="en-CA"/>
        </w:rPr>
        <w:t>includes the detained or arrested person</w:t>
      </w:r>
      <w:r w:rsidR="003061CC">
        <w:rPr>
          <w:lang w:val="en-CA"/>
        </w:rPr>
        <w:t>’</w:t>
      </w:r>
      <w:r w:rsidR="002D4645" w:rsidRPr="003F141B">
        <w:rPr>
          <w:lang w:val="en-CA"/>
        </w:rPr>
        <w:t xml:space="preserve">s right to </w:t>
      </w:r>
      <w:r w:rsidR="00B37B84" w:rsidRPr="003F141B">
        <w:rPr>
          <w:lang w:val="en-CA"/>
        </w:rPr>
        <w:t>retain and instruct</w:t>
      </w:r>
      <w:r w:rsidR="002D4645" w:rsidRPr="003F141B">
        <w:rPr>
          <w:lang w:val="en-CA"/>
        </w:rPr>
        <w:t xml:space="preserve"> his or her </w:t>
      </w:r>
      <w:r w:rsidR="00B37B84" w:rsidRPr="003F141B">
        <w:rPr>
          <w:lang w:val="en-CA"/>
        </w:rPr>
        <w:t xml:space="preserve">counsel of </w:t>
      </w:r>
      <w:r w:rsidR="002D4645" w:rsidRPr="003F141B">
        <w:rPr>
          <w:lang w:val="en-CA"/>
        </w:rPr>
        <w:t>choice</w:t>
      </w:r>
      <w:r w:rsidR="00A62206" w:rsidRPr="003F141B">
        <w:rPr>
          <w:lang w:val="en-CA"/>
        </w:rPr>
        <w:t xml:space="preserve"> </w:t>
      </w:r>
      <w:r w:rsidR="00081775">
        <w:rPr>
          <w:lang w:val="en-CA"/>
        </w:rPr>
        <w:t>“</w:t>
      </w:r>
      <w:r w:rsidR="00A62206" w:rsidRPr="003F141B">
        <w:rPr>
          <w:lang w:val="en-CA"/>
        </w:rPr>
        <w:t>without delay</w:t>
      </w:r>
      <w:r w:rsidR="00081775">
        <w:rPr>
          <w:lang w:val="en-CA"/>
        </w:rPr>
        <w:t>”</w:t>
      </w:r>
      <w:r w:rsidR="00A62206" w:rsidRPr="003F141B">
        <w:rPr>
          <w:lang w:val="en-CA"/>
        </w:rPr>
        <w:t>,</w:t>
      </w:r>
      <w:r w:rsidR="002D4645" w:rsidRPr="003F141B">
        <w:rPr>
          <w:lang w:val="en-CA"/>
        </w:rPr>
        <w:t xml:space="preserve"> the Supreme Court </w:t>
      </w:r>
      <w:r w:rsidRPr="003F141B">
        <w:rPr>
          <w:lang w:val="en-CA"/>
        </w:rPr>
        <w:t xml:space="preserve">has </w:t>
      </w:r>
      <w:r w:rsidR="002D4645" w:rsidRPr="003F141B">
        <w:rPr>
          <w:lang w:val="en-CA"/>
        </w:rPr>
        <w:t xml:space="preserve">confirmed that police officers also have the </w:t>
      </w:r>
      <w:r w:rsidR="00B37B84" w:rsidRPr="003F141B">
        <w:rPr>
          <w:lang w:val="en-CA"/>
        </w:rPr>
        <w:t>obligation</w:t>
      </w:r>
      <w:r w:rsidR="002D4645" w:rsidRPr="003F141B">
        <w:rPr>
          <w:lang w:val="en-CA"/>
        </w:rPr>
        <w:t xml:space="preserve"> to inform the person</w:t>
      </w:r>
      <w:r w:rsidR="00600317">
        <w:rPr>
          <w:lang w:val="en-CA"/>
        </w:rPr>
        <w:t>, also</w:t>
      </w:r>
      <w:r w:rsidR="002D4645" w:rsidRPr="003F141B">
        <w:rPr>
          <w:lang w:val="en-CA"/>
        </w:rPr>
        <w:t xml:space="preserve"> </w:t>
      </w:r>
      <w:r w:rsidR="00081775">
        <w:rPr>
          <w:lang w:val="en-CA"/>
        </w:rPr>
        <w:t>“</w:t>
      </w:r>
      <w:r w:rsidR="002D4645" w:rsidRPr="003F141B">
        <w:rPr>
          <w:lang w:val="en-CA"/>
        </w:rPr>
        <w:t>without delay</w:t>
      </w:r>
      <w:r w:rsidR="00081775">
        <w:rPr>
          <w:lang w:val="en-CA"/>
        </w:rPr>
        <w:t>”</w:t>
      </w:r>
      <w:r w:rsidR="00600317">
        <w:rPr>
          <w:lang w:val="en-CA"/>
        </w:rPr>
        <w:t>,</w:t>
      </w:r>
      <w:r w:rsidR="002D4645" w:rsidRPr="003F141B">
        <w:rPr>
          <w:lang w:val="en-CA"/>
        </w:rPr>
        <w:t xml:space="preserve"> of the availability of legal aid services.</w:t>
      </w:r>
      <w:r w:rsidR="005003D8" w:rsidRPr="003F141B">
        <w:rPr>
          <w:rStyle w:val="Appelnotedebasdep"/>
          <w:lang w:val="en-CA"/>
        </w:rPr>
        <w:footnoteReference w:id="50"/>
      </w:r>
      <w:r w:rsidR="006D5701" w:rsidRPr="003F141B">
        <w:rPr>
          <w:lang w:val="en-CA"/>
        </w:rPr>
        <w:t xml:space="preserve"> In </w:t>
      </w:r>
      <w:proofErr w:type="spellStart"/>
      <w:r w:rsidR="005003D8" w:rsidRPr="003F141B">
        <w:rPr>
          <w:i/>
          <w:lang w:val="en-CA"/>
        </w:rPr>
        <w:t>Suberu</w:t>
      </w:r>
      <w:proofErr w:type="spellEnd"/>
      <w:r w:rsidR="006D5701" w:rsidRPr="003F141B">
        <w:rPr>
          <w:lang w:val="en-CA"/>
        </w:rPr>
        <w:t>,</w:t>
      </w:r>
      <w:r w:rsidR="005003D8" w:rsidRPr="003F141B">
        <w:rPr>
          <w:rStyle w:val="Appelnotedebasdep"/>
          <w:lang w:val="en-CA"/>
        </w:rPr>
        <w:footnoteReference w:id="51"/>
      </w:r>
      <w:r w:rsidR="006D5701" w:rsidRPr="003F141B">
        <w:rPr>
          <w:i/>
          <w:lang w:val="en-CA"/>
        </w:rPr>
        <w:t xml:space="preserve"> </w:t>
      </w:r>
      <w:r w:rsidR="006D5701" w:rsidRPr="003F141B">
        <w:rPr>
          <w:lang w:val="en-CA"/>
        </w:rPr>
        <w:t xml:space="preserve">the Court added that the expression </w:t>
      </w:r>
      <w:r w:rsidR="00081775">
        <w:rPr>
          <w:lang w:val="en-CA"/>
        </w:rPr>
        <w:t>“</w:t>
      </w:r>
      <w:r w:rsidR="006D5701" w:rsidRPr="003F141B">
        <w:rPr>
          <w:lang w:val="en-CA"/>
        </w:rPr>
        <w:t>without delay</w:t>
      </w:r>
      <w:r w:rsidR="00081775">
        <w:rPr>
          <w:lang w:val="en-CA"/>
        </w:rPr>
        <w:t>”</w:t>
      </w:r>
      <w:r w:rsidR="006D5701" w:rsidRPr="003F141B">
        <w:rPr>
          <w:lang w:val="en-CA"/>
        </w:rPr>
        <w:t xml:space="preserve"> in </w:t>
      </w:r>
      <w:r w:rsidR="00147C72" w:rsidRPr="003F141B">
        <w:rPr>
          <w:lang w:val="en-CA"/>
        </w:rPr>
        <w:t>s.</w:t>
      </w:r>
      <w:r w:rsidR="006D5701" w:rsidRPr="003F141B">
        <w:rPr>
          <w:lang w:val="en-CA"/>
        </w:rPr>
        <w:t xml:space="preserve"> 10(b) means </w:t>
      </w:r>
      <w:r w:rsidR="00081775">
        <w:rPr>
          <w:lang w:val="en-CA"/>
        </w:rPr>
        <w:t>“</w:t>
      </w:r>
      <w:r w:rsidR="006D5701" w:rsidRPr="003F141B">
        <w:rPr>
          <w:lang w:val="en-CA"/>
        </w:rPr>
        <w:t>immediately</w:t>
      </w:r>
      <w:r w:rsidR="00081775">
        <w:rPr>
          <w:lang w:val="en-CA"/>
        </w:rPr>
        <w:t>”</w:t>
      </w:r>
      <w:r w:rsidR="006D5701" w:rsidRPr="003F141B">
        <w:rPr>
          <w:lang w:val="en-CA"/>
        </w:rPr>
        <w:t>.</w:t>
      </w:r>
      <w:r w:rsidR="005003D8" w:rsidRPr="003F141B">
        <w:rPr>
          <w:rStyle w:val="Appelnotedebasdep"/>
          <w:lang w:val="en-CA"/>
        </w:rPr>
        <w:footnoteReference w:id="52"/>
      </w:r>
      <w:r w:rsidRPr="003F141B">
        <w:rPr>
          <w:lang w:val="en-CA"/>
        </w:rPr>
        <w:t xml:space="preserve"> </w:t>
      </w:r>
      <w:r w:rsidR="006D5701" w:rsidRPr="003F141B">
        <w:rPr>
          <w:lang w:val="en-CA"/>
        </w:rPr>
        <w:t>The Court provided the following explanation:</w:t>
      </w:r>
    </w:p>
    <w:p w14:paraId="2310F8C5" w14:textId="1296F5D5" w:rsidR="009130CA" w:rsidRPr="003F141B" w:rsidRDefault="005003D8" w:rsidP="009130CA">
      <w:pPr>
        <w:pStyle w:val="Citationenretrait"/>
        <w:spacing w:line="240" w:lineRule="auto"/>
        <w:rPr>
          <w:lang w:val="en-CA"/>
        </w:rPr>
      </w:pPr>
      <w:r w:rsidRPr="003F141B">
        <w:rPr>
          <w:lang w:val="en-CA"/>
        </w:rPr>
        <w:t xml:space="preserve">[42] </w:t>
      </w:r>
      <w:r w:rsidR="006D5701" w:rsidRPr="003F141B">
        <w:rPr>
          <w:lang w:val="en-CA"/>
        </w:rPr>
        <w:t xml:space="preserve">To allow for a delay between the outset of a detention and the engagement of the police duties under s. 10(b) </w:t>
      </w:r>
      <w:r w:rsidR="006D5701" w:rsidRPr="003F141B">
        <w:rPr>
          <w:u w:val="single"/>
          <w:lang w:val="en-CA"/>
        </w:rPr>
        <w:t>creates an ill</w:t>
      </w:r>
      <w:r w:rsidR="006D5701" w:rsidRPr="003F141B">
        <w:rPr>
          <w:u w:val="single"/>
          <w:lang w:val="en-CA"/>
        </w:rPr>
        <w:noBreakHyphen/>
        <w:t>defined and unworkable test of the application of the s. 10(b) right.</w:t>
      </w:r>
      <w:r w:rsidR="006D5701" w:rsidRPr="003F141B">
        <w:rPr>
          <w:lang w:val="en-CA"/>
        </w:rPr>
        <w:t xml:space="preserve">  The right to counsel requires a stable and predictable definition.  What constitutes a permissible delay is abstract and difficult to quantify, </w:t>
      </w:r>
      <w:r w:rsidR="006D5701" w:rsidRPr="003F141B">
        <w:rPr>
          <w:u w:val="single"/>
          <w:lang w:val="en-CA"/>
        </w:rPr>
        <w:t>whereas the concept of immediacy leaves little room for misunderstanding</w:t>
      </w:r>
      <w:r w:rsidR="00123C42" w:rsidRPr="003F141B">
        <w:rPr>
          <w:lang w:val="en-CA"/>
        </w:rPr>
        <w:t>.</w:t>
      </w:r>
      <w:r w:rsidR="00BB6614" w:rsidRPr="00BB6614">
        <w:rPr>
          <w:rFonts w:cs="Arial"/>
        </w:rPr>
        <w:t xml:space="preserve"> </w:t>
      </w:r>
      <w:r w:rsidR="00BB6614">
        <w:rPr>
          <w:rFonts w:cs="Arial"/>
        </w:rPr>
        <w:t>[…]</w:t>
      </w:r>
    </w:p>
    <w:p w14:paraId="5D245EE7" w14:textId="35BCADBC" w:rsidR="009130CA" w:rsidRPr="003F141B" w:rsidRDefault="00123C42" w:rsidP="009130CA">
      <w:pPr>
        <w:pStyle w:val="Citationenretrait"/>
        <w:spacing w:line="240" w:lineRule="auto"/>
        <w:rPr>
          <w:lang w:val="en-CA"/>
        </w:rPr>
      </w:pP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005003D8" w:rsidRPr="003F141B">
        <w:rPr>
          <w:lang w:val="en-CA"/>
        </w:rPr>
        <w:t>[</w:t>
      </w:r>
      <w:r w:rsidR="00A06677" w:rsidRPr="003F141B">
        <w:rPr>
          <w:lang w:val="en-CA"/>
        </w:rPr>
        <w:t>Emphasis</w:t>
      </w:r>
      <w:r w:rsidRPr="003F141B">
        <w:rPr>
          <w:lang w:val="en-CA"/>
        </w:rPr>
        <w:t xml:space="preserve"> added</w:t>
      </w:r>
      <w:r w:rsidR="005003D8" w:rsidRPr="003F141B">
        <w:rPr>
          <w:lang w:val="en-CA"/>
        </w:rPr>
        <w:t>]</w:t>
      </w:r>
    </w:p>
    <w:p w14:paraId="5759ACBE" w14:textId="2A60FA25" w:rsidR="009130CA" w:rsidRPr="003F141B" w:rsidRDefault="00A62206" w:rsidP="009130CA">
      <w:pPr>
        <w:pStyle w:val="Paragraphe"/>
        <w:spacing w:line="240" w:lineRule="auto"/>
        <w:rPr>
          <w:lang w:val="en-CA"/>
        </w:rPr>
      </w:pPr>
      <w:proofErr w:type="gramStart"/>
      <w:r w:rsidRPr="003F141B">
        <w:rPr>
          <w:lang w:val="en-CA"/>
        </w:rPr>
        <w:t xml:space="preserve">Thus, </w:t>
      </w:r>
      <w:r w:rsidR="002E2524" w:rsidRPr="003F141B">
        <w:rPr>
          <w:lang w:val="en-CA"/>
        </w:rPr>
        <w:t>inasmuch as</w:t>
      </w:r>
      <w:r w:rsidRPr="003F141B">
        <w:rPr>
          <w:lang w:val="en-CA"/>
        </w:rPr>
        <w:t xml:space="preserve"> the applicable law requires that police officers who arrest or detain a person be aware of the duties incumbent upon them, the judge could not fault </w:t>
      </w:r>
      <w:r w:rsidR="00CB5B57" w:rsidRPr="003F141B">
        <w:rPr>
          <w:lang w:val="en-CA"/>
        </w:rPr>
        <w:t>O</w:t>
      </w:r>
      <w:r w:rsidRPr="003F141B">
        <w:rPr>
          <w:lang w:val="en-CA"/>
        </w:rPr>
        <w:t xml:space="preserve">fficer </w:t>
      </w:r>
      <w:proofErr w:type="spellStart"/>
      <w:r w:rsidRPr="003F141B">
        <w:rPr>
          <w:lang w:val="en-CA"/>
        </w:rPr>
        <w:t>Larouche</w:t>
      </w:r>
      <w:proofErr w:type="spellEnd"/>
      <w:r w:rsidRPr="003F141B">
        <w:rPr>
          <w:lang w:val="en-CA"/>
        </w:rPr>
        <w:t xml:space="preserve"> </w:t>
      </w:r>
      <w:r w:rsidR="009F3692" w:rsidRPr="003F141B">
        <w:rPr>
          <w:lang w:val="en-CA"/>
        </w:rPr>
        <w:t xml:space="preserve">for </w:t>
      </w:r>
      <w:r w:rsidRPr="003F141B">
        <w:rPr>
          <w:lang w:val="en-CA"/>
        </w:rPr>
        <w:t>infring</w:t>
      </w:r>
      <w:r w:rsidR="007545CA" w:rsidRPr="003F141B">
        <w:rPr>
          <w:lang w:val="en-CA"/>
        </w:rPr>
        <w:t>ing</w:t>
      </w:r>
      <w:r w:rsidR="009F3692" w:rsidRPr="003F141B">
        <w:rPr>
          <w:lang w:val="en-CA"/>
        </w:rPr>
        <w:t xml:space="preserve"> </w:t>
      </w:r>
      <w:r w:rsidRPr="003F141B">
        <w:rPr>
          <w:lang w:val="en-CA"/>
        </w:rPr>
        <w:t>the respondent</w:t>
      </w:r>
      <w:r w:rsidR="003061CC">
        <w:rPr>
          <w:lang w:val="en-CA"/>
        </w:rPr>
        <w:t>’</w:t>
      </w:r>
      <w:r w:rsidRPr="003F141B">
        <w:rPr>
          <w:lang w:val="en-CA"/>
        </w:rPr>
        <w:t xml:space="preserve">s </w:t>
      </w:r>
      <w:r w:rsidR="00147C72" w:rsidRPr="003F141B">
        <w:rPr>
          <w:lang w:val="en-CA"/>
        </w:rPr>
        <w:t>s.</w:t>
      </w:r>
      <w:r w:rsidRPr="003F141B">
        <w:rPr>
          <w:lang w:val="en-CA"/>
        </w:rPr>
        <w:t xml:space="preserve"> 10(b) </w:t>
      </w:r>
      <w:r w:rsidR="00830C84" w:rsidRPr="003F141B">
        <w:rPr>
          <w:i/>
          <w:lang w:val="en-CA"/>
        </w:rPr>
        <w:t xml:space="preserve">Charter </w:t>
      </w:r>
      <w:r w:rsidR="00830C84" w:rsidRPr="003F141B">
        <w:rPr>
          <w:lang w:val="en-CA"/>
        </w:rPr>
        <w:t xml:space="preserve">right </w:t>
      </w:r>
      <w:r w:rsidRPr="003F141B">
        <w:rPr>
          <w:lang w:val="en-CA"/>
        </w:rPr>
        <w:t>by informing him</w:t>
      </w:r>
      <w:r w:rsidR="002E2524" w:rsidRPr="003F141B">
        <w:rPr>
          <w:lang w:val="en-CA"/>
        </w:rPr>
        <w:t xml:space="preserve"> </w:t>
      </w:r>
      <w:r w:rsidR="00081775">
        <w:rPr>
          <w:lang w:val="en-CA"/>
        </w:rPr>
        <w:lastRenderedPageBreak/>
        <w:t>“</w:t>
      </w:r>
      <w:r w:rsidR="002E2524" w:rsidRPr="003F141B">
        <w:rPr>
          <w:lang w:val="en-CA"/>
        </w:rPr>
        <w:t>without delay</w:t>
      </w:r>
      <w:r w:rsidR="00081775">
        <w:rPr>
          <w:lang w:val="en-CA"/>
        </w:rPr>
        <w:t>”</w:t>
      </w:r>
      <w:r w:rsidR="002E2524" w:rsidRPr="003F141B">
        <w:rPr>
          <w:lang w:val="en-CA"/>
        </w:rPr>
        <w:t xml:space="preserve"> of the availability of legal aid services</w:t>
      </w:r>
      <w:r w:rsidRPr="003F141B">
        <w:rPr>
          <w:lang w:val="en-CA"/>
        </w:rPr>
        <w:t>, in accordance with the teachings of the Supreme Cou</w:t>
      </w:r>
      <w:r w:rsidR="009F3692" w:rsidRPr="003F141B">
        <w:rPr>
          <w:lang w:val="en-CA"/>
        </w:rPr>
        <w:t xml:space="preserve">rt, </w:t>
      </w:r>
      <w:r w:rsidRPr="003F141B">
        <w:rPr>
          <w:lang w:val="en-CA"/>
        </w:rPr>
        <w:t xml:space="preserve">after it turned out that the lawyers he initially </w:t>
      </w:r>
      <w:r w:rsidR="007119B1" w:rsidRPr="003F141B">
        <w:rPr>
          <w:lang w:val="en-CA"/>
        </w:rPr>
        <w:t>identified</w:t>
      </w:r>
      <w:r w:rsidRPr="003F141B">
        <w:rPr>
          <w:lang w:val="en-CA"/>
        </w:rPr>
        <w:t xml:space="preserve"> were not </w:t>
      </w:r>
      <w:r w:rsidR="00081775">
        <w:rPr>
          <w:lang w:val="en-CA"/>
        </w:rPr>
        <w:t>“</w:t>
      </w:r>
      <w:r w:rsidRPr="003F141B">
        <w:rPr>
          <w:lang w:val="en-CA"/>
        </w:rPr>
        <w:t>immediately</w:t>
      </w:r>
      <w:r w:rsidR="00081775">
        <w:rPr>
          <w:lang w:val="en-CA"/>
        </w:rPr>
        <w:t>”</w:t>
      </w:r>
      <w:r w:rsidRPr="003F141B">
        <w:rPr>
          <w:lang w:val="en-CA"/>
        </w:rPr>
        <w:t xml:space="preserve"> available.</w:t>
      </w:r>
      <w:proofErr w:type="gramEnd"/>
      <w:r w:rsidRPr="003F141B">
        <w:rPr>
          <w:lang w:val="en-CA"/>
        </w:rPr>
        <w:t xml:space="preserve"> Indeed,</w:t>
      </w:r>
      <w:r w:rsidR="005003D8" w:rsidRPr="003F141B">
        <w:rPr>
          <w:lang w:val="en-CA"/>
        </w:rPr>
        <w:t xml:space="preserve"> </w:t>
      </w:r>
      <w:r w:rsidR="005003D8" w:rsidRPr="003F141B">
        <w:rPr>
          <w:i/>
          <w:lang w:val="en-CA"/>
        </w:rPr>
        <w:t>Willier</w:t>
      </w:r>
      <w:r w:rsidR="005003D8" w:rsidRPr="003F141B">
        <w:rPr>
          <w:lang w:val="en-CA"/>
        </w:rPr>
        <w:t xml:space="preserve"> </w:t>
      </w:r>
      <w:r w:rsidR="002E2524" w:rsidRPr="003F141B">
        <w:rPr>
          <w:lang w:val="en-CA"/>
        </w:rPr>
        <w:t xml:space="preserve">and </w:t>
      </w:r>
      <w:r w:rsidR="005003D8" w:rsidRPr="003F141B">
        <w:rPr>
          <w:i/>
          <w:lang w:val="en-CA"/>
        </w:rPr>
        <w:t xml:space="preserve">McCrimmon </w:t>
      </w:r>
      <w:r w:rsidR="00830C84" w:rsidRPr="003F141B">
        <w:rPr>
          <w:lang w:val="en-CA"/>
        </w:rPr>
        <w:t>unambiguously</w:t>
      </w:r>
      <w:r w:rsidR="009F3692" w:rsidRPr="003F141B">
        <w:rPr>
          <w:lang w:val="en-CA"/>
        </w:rPr>
        <w:t xml:space="preserve"> teach that police officers have </w:t>
      </w:r>
      <w:r w:rsidR="002E2524" w:rsidRPr="003F141B">
        <w:rPr>
          <w:lang w:val="en-CA"/>
        </w:rPr>
        <w:t xml:space="preserve">an </w:t>
      </w:r>
      <w:r w:rsidR="00830C84" w:rsidRPr="003F141B">
        <w:rPr>
          <w:u w:val="single"/>
          <w:lang w:val="en-CA"/>
        </w:rPr>
        <w:t>obligation</w:t>
      </w:r>
      <w:r w:rsidR="00830C84" w:rsidRPr="003F141B">
        <w:rPr>
          <w:lang w:val="en-CA"/>
        </w:rPr>
        <w:t xml:space="preserve"> </w:t>
      </w:r>
      <w:r w:rsidR="009F3692" w:rsidRPr="003F141B">
        <w:rPr>
          <w:lang w:val="en-CA"/>
        </w:rPr>
        <w:t xml:space="preserve">to inform </w:t>
      </w:r>
      <w:r w:rsidR="002E2524" w:rsidRPr="003F141B">
        <w:rPr>
          <w:lang w:val="en-CA"/>
        </w:rPr>
        <w:t xml:space="preserve">an </w:t>
      </w:r>
      <w:r w:rsidR="009F3692" w:rsidRPr="003F141B">
        <w:rPr>
          <w:lang w:val="en-CA"/>
        </w:rPr>
        <w:t xml:space="preserve">arrested </w:t>
      </w:r>
      <w:r w:rsidR="005003D8" w:rsidRPr="003F141B">
        <w:rPr>
          <w:lang w:val="en-CA"/>
        </w:rPr>
        <w:t>person</w:t>
      </w:r>
      <w:r w:rsidR="006C57A2" w:rsidRPr="003F141B">
        <w:rPr>
          <w:lang w:val="en-CA"/>
        </w:rPr>
        <w:t xml:space="preserve"> </w:t>
      </w:r>
      <w:r w:rsidR="009F3692" w:rsidRPr="003F141B">
        <w:rPr>
          <w:lang w:val="en-CA"/>
        </w:rPr>
        <w:t xml:space="preserve">of his or her </w:t>
      </w:r>
      <w:r w:rsidR="00830C84" w:rsidRPr="003F141B">
        <w:rPr>
          <w:lang w:val="en-CA"/>
        </w:rPr>
        <w:t>right to</w:t>
      </w:r>
      <w:r w:rsidR="009F3692" w:rsidRPr="003F141B">
        <w:rPr>
          <w:lang w:val="en-CA"/>
        </w:rPr>
        <w:t xml:space="preserve"> </w:t>
      </w:r>
      <w:r w:rsidR="00830C84" w:rsidRPr="003F141B">
        <w:rPr>
          <w:lang w:val="en-CA"/>
        </w:rPr>
        <w:t>retain and instruct</w:t>
      </w:r>
      <w:r w:rsidR="009F3692" w:rsidRPr="003F141B">
        <w:rPr>
          <w:lang w:val="en-CA"/>
        </w:rPr>
        <w:t xml:space="preserve"> counsel </w:t>
      </w:r>
      <w:r w:rsidR="00081775">
        <w:rPr>
          <w:lang w:val="en-CA"/>
        </w:rPr>
        <w:t>“</w:t>
      </w:r>
      <w:r w:rsidR="00830C84" w:rsidRPr="003F141B">
        <w:rPr>
          <w:lang w:val="en-CA"/>
        </w:rPr>
        <w:t>without delay</w:t>
      </w:r>
      <w:r w:rsidR="00081775">
        <w:rPr>
          <w:lang w:val="en-CA"/>
        </w:rPr>
        <w:t>”</w:t>
      </w:r>
      <w:r w:rsidR="00830C84" w:rsidRPr="003F141B">
        <w:rPr>
          <w:lang w:val="en-CA"/>
        </w:rPr>
        <w:t xml:space="preserve"> </w:t>
      </w:r>
      <w:r w:rsidR="009F3692" w:rsidRPr="003F141B">
        <w:rPr>
          <w:u w:val="single"/>
          <w:lang w:val="en-CA"/>
        </w:rPr>
        <w:t>and</w:t>
      </w:r>
      <w:r w:rsidR="009F3692" w:rsidRPr="003F141B">
        <w:rPr>
          <w:lang w:val="en-CA"/>
        </w:rPr>
        <w:t xml:space="preserve"> of the existence of legal aid and duty counsel.</w:t>
      </w:r>
      <w:r w:rsidR="005003D8" w:rsidRPr="003F141B">
        <w:rPr>
          <w:rStyle w:val="Appelnotedebasdep"/>
          <w:lang w:val="en-CA"/>
        </w:rPr>
        <w:footnoteReference w:id="53"/>
      </w:r>
      <w:r w:rsidR="005003D8" w:rsidRPr="003F141B">
        <w:rPr>
          <w:lang w:val="en-CA"/>
        </w:rPr>
        <w:t xml:space="preserve"> </w:t>
      </w:r>
      <w:r w:rsidR="006C57A2" w:rsidRPr="003F141B">
        <w:rPr>
          <w:lang w:val="en-CA"/>
        </w:rPr>
        <w:t xml:space="preserve">According to </w:t>
      </w:r>
      <w:r w:rsidR="008D556E" w:rsidRPr="003F141B">
        <w:rPr>
          <w:lang w:val="en-CA"/>
        </w:rPr>
        <w:t xml:space="preserve">Justice </w:t>
      </w:r>
      <w:r w:rsidR="006C57A2" w:rsidRPr="003F141B">
        <w:rPr>
          <w:lang w:val="en-CA"/>
        </w:rPr>
        <w:t>Vauclair</w:t>
      </w:r>
      <w:r w:rsidR="008D556E" w:rsidRPr="003F141B">
        <w:rPr>
          <w:lang w:val="en-CA"/>
        </w:rPr>
        <w:t xml:space="preserve"> </w:t>
      </w:r>
      <w:r w:rsidR="006C57A2" w:rsidRPr="003F141B">
        <w:rPr>
          <w:lang w:val="en-CA"/>
        </w:rPr>
        <w:t xml:space="preserve">and </w:t>
      </w:r>
      <w:r w:rsidR="0016448B">
        <w:rPr>
          <w:lang w:val="en-CA"/>
        </w:rPr>
        <w:t xml:space="preserve">author Tristan </w:t>
      </w:r>
      <w:r w:rsidR="006C57A2" w:rsidRPr="003F141B">
        <w:rPr>
          <w:lang w:val="en-CA"/>
        </w:rPr>
        <w:t xml:space="preserve">Desjardins, the </w:t>
      </w:r>
      <w:r w:rsidR="008D556E" w:rsidRPr="003F141B">
        <w:rPr>
          <w:lang w:val="en-CA"/>
        </w:rPr>
        <w:t xml:space="preserve">detainee </w:t>
      </w:r>
      <w:r w:rsidR="006C57A2" w:rsidRPr="003F141B">
        <w:rPr>
          <w:lang w:val="en-CA"/>
        </w:rPr>
        <w:t xml:space="preserve">must </w:t>
      </w:r>
      <w:r w:rsidR="006C57A2" w:rsidRPr="003F141B">
        <w:rPr>
          <w:rFonts w:cs="Arial"/>
          <w:lang w:val="en-CA"/>
        </w:rPr>
        <w:t>[</w:t>
      </w:r>
      <w:r w:rsidR="006C57A2" w:rsidRPr="003F141B">
        <w:rPr>
          <w:smallCaps/>
          <w:lang w:val="en-CA"/>
        </w:rPr>
        <w:t>translation</w:t>
      </w:r>
      <w:r w:rsidR="006C57A2" w:rsidRPr="003F141B">
        <w:rPr>
          <w:rFonts w:cs="Arial"/>
          <w:smallCaps/>
          <w:lang w:val="en-CA"/>
        </w:rPr>
        <w:t>]</w:t>
      </w:r>
      <w:r w:rsidR="006C57A2" w:rsidRPr="003F141B">
        <w:rPr>
          <w:lang w:val="en-CA"/>
        </w:rPr>
        <w:t xml:space="preserve"> </w:t>
      </w:r>
      <w:r w:rsidR="00081775">
        <w:rPr>
          <w:lang w:val="en-CA"/>
        </w:rPr>
        <w:t>“</w:t>
      </w:r>
      <w:r w:rsidR="006C57A2" w:rsidRPr="003F141B">
        <w:rPr>
          <w:lang w:val="en-CA"/>
        </w:rPr>
        <w:t>be informed without delay of all of the available services</w:t>
      </w:r>
      <w:r w:rsidR="00081775">
        <w:rPr>
          <w:lang w:val="en-CA"/>
        </w:rPr>
        <w:t>”</w:t>
      </w:r>
      <w:r w:rsidR="006C57A2" w:rsidRPr="003F141B">
        <w:rPr>
          <w:lang w:val="en-CA"/>
        </w:rPr>
        <w:t>.</w:t>
      </w:r>
      <w:r w:rsidR="005003D8" w:rsidRPr="003F141B">
        <w:rPr>
          <w:rStyle w:val="Appelnotedebasdep"/>
          <w:lang w:val="en-CA"/>
        </w:rPr>
        <w:footnoteReference w:id="54"/>
      </w:r>
    </w:p>
    <w:p w14:paraId="2644D349" w14:textId="420E5808" w:rsidR="009130CA" w:rsidRPr="003F141B" w:rsidRDefault="00A06677" w:rsidP="009130CA">
      <w:pPr>
        <w:pStyle w:val="Paragraphe"/>
        <w:spacing w:line="240" w:lineRule="auto"/>
        <w:rPr>
          <w:lang w:val="en-CA"/>
        </w:rPr>
      </w:pPr>
      <w:r w:rsidRPr="003F141B">
        <w:rPr>
          <w:lang w:val="en-CA"/>
        </w:rPr>
        <w:t>I am also of the view that the judge erred in unduly diluting the respondent</w:t>
      </w:r>
      <w:r w:rsidR="003061CC">
        <w:rPr>
          <w:lang w:val="en-CA"/>
        </w:rPr>
        <w:t>’</w:t>
      </w:r>
      <w:r w:rsidRPr="003F141B">
        <w:rPr>
          <w:lang w:val="en-CA"/>
        </w:rPr>
        <w:t xml:space="preserve">s </w:t>
      </w:r>
      <w:r w:rsidR="00AF6F91" w:rsidRPr="003F141B">
        <w:rPr>
          <w:lang w:val="en-CA"/>
        </w:rPr>
        <w:t>obligation of diligence</w:t>
      </w:r>
      <w:r w:rsidR="00A50A6F" w:rsidRPr="003F141B">
        <w:rPr>
          <w:lang w:val="en-CA"/>
        </w:rPr>
        <w:t xml:space="preserve"> by </w:t>
      </w:r>
      <w:r w:rsidRPr="003F141B">
        <w:rPr>
          <w:lang w:val="en-CA"/>
        </w:rPr>
        <w:t>failing to consider that</w:t>
      </w:r>
      <w:r w:rsidR="008577DC">
        <w:rPr>
          <w:lang w:val="en-CA"/>
        </w:rPr>
        <w:t xml:space="preserve"> it was </w:t>
      </w:r>
      <w:r w:rsidR="008577DC" w:rsidRPr="003F141B">
        <w:rPr>
          <w:lang w:val="en-CA"/>
        </w:rPr>
        <w:t>freely and without direct or indirect coercion</w:t>
      </w:r>
      <w:r w:rsidR="00A50A6F" w:rsidRPr="003F141B">
        <w:rPr>
          <w:lang w:val="en-CA"/>
        </w:rPr>
        <w:t xml:space="preserve">, </w:t>
      </w:r>
      <w:r w:rsidR="008577DC">
        <w:rPr>
          <w:lang w:val="en-CA"/>
        </w:rPr>
        <w:t xml:space="preserve">and </w:t>
      </w:r>
      <w:r w:rsidR="00A50A6F" w:rsidRPr="003F141B">
        <w:rPr>
          <w:lang w:val="en-CA"/>
        </w:rPr>
        <w:t xml:space="preserve">in the absence of any evidence of misleading information from the police officers, </w:t>
      </w:r>
      <w:r w:rsidR="008577DC">
        <w:rPr>
          <w:lang w:val="en-CA"/>
        </w:rPr>
        <w:t xml:space="preserve">that </w:t>
      </w:r>
      <w:r w:rsidR="00A50A6F" w:rsidRPr="003F141B">
        <w:rPr>
          <w:lang w:val="en-CA"/>
        </w:rPr>
        <w:t>he exercised his right to a legal aid lawyer, whom he in fact specifically identified</w:t>
      </w:r>
      <w:r w:rsidR="001D0640" w:rsidRPr="003F141B">
        <w:rPr>
          <w:lang w:val="en-CA"/>
        </w:rPr>
        <w:t>.</w:t>
      </w:r>
      <w:r w:rsidRPr="003F141B">
        <w:rPr>
          <w:lang w:val="en-CA"/>
        </w:rPr>
        <w:t xml:space="preserve"> </w:t>
      </w:r>
    </w:p>
    <w:p w14:paraId="396A5E54" w14:textId="0BAD471D" w:rsidR="009130CA" w:rsidRPr="003F141B" w:rsidRDefault="001D0640" w:rsidP="009130CA">
      <w:pPr>
        <w:pStyle w:val="Paragraphe"/>
        <w:spacing w:line="240" w:lineRule="auto"/>
        <w:rPr>
          <w:lang w:val="en-CA"/>
        </w:rPr>
      </w:pPr>
      <w:r w:rsidRPr="003F141B">
        <w:rPr>
          <w:lang w:val="en-CA"/>
        </w:rPr>
        <w:t xml:space="preserve">As the Supreme Court </w:t>
      </w:r>
      <w:r w:rsidR="00A50A6F" w:rsidRPr="003F141B">
        <w:rPr>
          <w:lang w:val="en-CA"/>
        </w:rPr>
        <w:t xml:space="preserve">emphasized </w:t>
      </w:r>
      <w:r w:rsidRPr="003F141B">
        <w:rPr>
          <w:lang w:val="en-CA"/>
        </w:rPr>
        <w:t>in</w:t>
      </w:r>
      <w:r w:rsidR="00C627DA" w:rsidRPr="003F141B">
        <w:rPr>
          <w:lang w:val="en-CA"/>
        </w:rPr>
        <w:t xml:space="preserve"> </w:t>
      </w:r>
      <w:r w:rsidR="005003D8" w:rsidRPr="003F141B">
        <w:rPr>
          <w:i/>
          <w:lang w:val="en-CA"/>
        </w:rPr>
        <w:t>Sinclair</w:t>
      </w:r>
      <w:r w:rsidR="00C627DA" w:rsidRPr="003F141B">
        <w:rPr>
          <w:lang w:val="en-CA"/>
        </w:rPr>
        <w:t>:</w:t>
      </w:r>
      <w:r w:rsidR="005003D8" w:rsidRPr="003F141B">
        <w:rPr>
          <w:rStyle w:val="Appelnotedebasdep"/>
          <w:lang w:val="en-CA"/>
        </w:rPr>
        <w:footnoteReference w:id="55"/>
      </w:r>
      <w:r w:rsidR="005003D8" w:rsidRPr="003F141B">
        <w:rPr>
          <w:i/>
          <w:lang w:val="en-CA"/>
        </w:rPr>
        <w:t> </w:t>
      </w:r>
    </w:p>
    <w:p w14:paraId="40B188F1" w14:textId="50BB1C51" w:rsidR="009130CA" w:rsidRPr="003F141B" w:rsidRDefault="005003D8" w:rsidP="009130CA">
      <w:pPr>
        <w:pStyle w:val="Citationenretrait"/>
        <w:spacing w:line="240" w:lineRule="auto"/>
        <w:rPr>
          <w:lang w:val="en-CA"/>
        </w:rPr>
      </w:pPr>
      <w:r w:rsidRPr="003F141B">
        <w:rPr>
          <w:lang w:val="en-CA"/>
        </w:rPr>
        <w:t xml:space="preserve">[26] </w:t>
      </w:r>
      <w:r w:rsidR="00C627DA" w:rsidRPr="003F141B">
        <w:rPr>
          <w:lang w:val="en-CA"/>
        </w:rPr>
        <w:t xml:space="preserve">The purpose of the right to counsel is </w:t>
      </w:r>
      <w:r w:rsidR="00081775">
        <w:rPr>
          <w:lang w:val="en-CA"/>
        </w:rPr>
        <w:t>“</w:t>
      </w:r>
      <w:r w:rsidR="00C627DA" w:rsidRPr="003F141B">
        <w:rPr>
          <w:lang w:val="en-CA"/>
        </w:rPr>
        <w:t>to allow the detainee not only to be informed of his rights and obligations under the law but, equally if not more important, to obtain advice as to how to exercise those rights</w:t>
      </w:r>
      <w:r w:rsidR="00081775">
        <w:rPr>
          <w:lang w:val="en-CA"/>
        </w:rPr>
        <w:t>”</w:t>
      </w:r>
      <w:r w:rsidR="00C627DA" w:rsidRPr="003F141B">
        <w:rPr>
          <w:rFonts w:cs="Arial"/>
          <w:lang w:val="en-CA"/>
        </w:rPr>
        <w:t xml:space="preserve"> [references omitted]</w:t>
      </w:r>
      <w:r w:rsidR="00C627DA" w:rsidRPr="003F141B">
        <w:rPr>
          <w:lang w:val="en-CA"/>
        </w:rPr>
        <w:t>. The emphasis, therefore, is on assuring that the detainee</w:t>
      </w:r>
      <w:r w:rsidR="003061CC">
        <w:rPr>
          <w:lang w:val="en-CA"/>
        </w:rPr>
        <w:t>’</w:t>
      </w:r>
      <w:r w:rsidR="00C627DA" w:rsidRPr="003F141B">
        <w:rPr>
          <w:lang w:val="en-CA"/>
        </w:rPr>
        <w:t xml:space="preserve">s decision to cooperate with the investigation or decline to do so is free and informed.  </w:t>
      </w:r>
      <w:r w:rsidR="00147C72" w:rsidRPr="003F141B">
        <w:rPr>
          <w:lang w:val="en-CA"/>
        </w:rPr>
        <w:t>S</w:t>
      </w:r>
      <w:r w:rsidR="002A3AF8" w:rsidRPr="003F141B">
        <w:rPr>
          <w:lang w:val="en-CA"/>
        </w:rPr>
        <w:t>ection</w:t>
      </w:r>
      <w:r w:rsidR="00C627DA" w:rsidRPr="003F141B">
        <w:rPr>
          <w:lang w:val="en-CA"/>
        </w:rPr>
        <w:t xml:space="preserve"> 10(b) does not guarantee that the detainee</w:t>
      </w:r>
      <w:r w:rsidR="003061CC">
        <w:rPr>
          <w:lang w:val="en-CA"/>
        </w:rPr>
        <w:t>’</w:t>
      </w:r>
      <w:r w:rsidR="00C627DA" w:rsidRPr="003F141B">
        <w:rPr>
          <w:lang w:val="en-CA"/>
        </w:rPr>
        <w:t xml:space="preserve">s decision is wise; </w:t>
      </w:r>
      <w:r w:rsidR="00C627DA" w:rsidRPr="003F141B">
        <w:rPr>
          <w:u w:val="single"/>
          <w:lang w:val="en-CA"/>
        </w:rPr>
        <w:t>nor does it guard against subjective factors that may influence the decision. Its purpose is simply to give detainees the opportunity to access legal advice relevant to that choice</w:t>
      </w:r>
      <w:r w:rsidR="00C627DA" w:rsidRPr="003F141B">
        <w:rPr>
          <w:lang w:val="en-CA"/>
        </w:rPr>
        <w:t>.</w:t>
      </w:r>
      <w:r w:rsidRPr="003F141B">
        <w:rPr>
          <w:rStyle w:val="Appelnotedebasdep"/>
          <w:lang w:val="en-CA"/>
        </w:rPr>
        <w:footnoteReference w:id="56"/>
      </w:r>
    </w:p>
    <w:p w14:paraId="75DF69E0" w14:textId="3B53F157" w:rsidR="009130CA" w:rsidRPr="003F141B" w:rsidRDefault="00C627DA" w:rsidP="009130CA">
      <w:pPr>
        <w:pStyle w:val="Citationenretrait"/>
        <w:spacing w:line="240" w:lineRule="auto"/>
        <w:rPr>
          <w:lang w:val="en-CA"/>
        </w:rPr>
      </w:pP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005003D8" w:rsidRPr="003F141B">
        <w:rPr>
          <w:lang w:val="en-CA"/>
        </w:rPr>
        <w:t>[</w:t>
      </w:r>
      <w:r w:rsidRPr="003F141B">
        <w:rPr>
          <w:lang w:val="en-CA"/>
        </w:rPr>
        <w:t>Emphasis added</w:t>
      </w:r>
      <w:r w:rsidR="005003D8" w:rsidRPr="003F141B">
        <w:rPr>
          <w:lang w:val="en-CA"/>
        </w:rPr>
        <w:t>]</w:t>
      </w:r>
    </w:p>
    <w:p w14:paraId="16EDBEE6" w14:textId="601F46E4" w:rsidR="009130CA" w:rsidRPr="003F141B" w:rsidRDefault="001028CB" w:rsidP="009130CA">
      <w:pPr>
        <w:pStyle w:val="Paragraphe"/>
        <w:spacing w:line="240" w:lineRule="auto"/>
        <w:rPr>
          <w:lang w:val="en-CA"/>
        </w:rPr>
      </w:pPr>
      <w:r w:rsidRPr="003F141B">
        <w:rPr>
          <w:lang w:val="en-CA"/>
        </w:rPr>
        <w:t xml:space="preserve">In </w:t>
      </w:r>
      <w:r w:rsidR="006D1937">
        <w:rPr>
          <w:lang w:val="en-CA"/>
        </w:rPr>
        <w:t xml:space="preserve">the </w:t>
      </w:r>
      <w:r w:rsidRPr="003F141B">
        <w:rPr>
          <w:lang w:val="en-CA"/>
        </w:rPr>
        <w:t>case</w:t>
      </w:r>
      <w:r w:rsidR="006D1937">
        <w:rPr>
          <w:lang w:val="en-CA"/>
        </w:rPr>
        <w:t xml:space="preserve"> at bar</w:t>
      </w:r>
      <w:r w:rsidRPr="003F141B">
        <w:rPr>
          <w:lang w:val="en-CA"/>
        </w:rPr>
        <w:t>, t</w:t>
      </w:r>
      <w:r w:rsidR="00C627DA" w:rsidRPr="003F141B">
        <w:rPr>
          <w:lang w:val="en-CA"/>
        </w:rPr>
        <w:t xml:space="preserve">here is even less reason to find </w:t>
      </w:r>
      <w:r w:rsidRPr="003F141B">
        <w:rPr>
          <w:lang w:val="en-CA"/>
        </w:rPr>
        <w:t xml:space="preserve">that there was an infringement of </w:t>
      </w:r>
      <w:r w:rsidR="00147C72" w:rsidRPr="003F141B">
        <w:rPr>
          <w:lang w:val="en-CA"/>
        </w:rPr>
        <w:t>s.</w:t>
      </w:r>
      <w:r w:rsidR="002A3AF8" w:rsidRPr="003F141B">
        <w:rPr>
          <w:lang w:val="en-CA"/>
        </w:rPr>
        <w:t> </w:t>
      </w:r>
      <w:r w:rsidR="00C627DA" w:rsidRPr="003F141B">
        <w:rPr>
          <w:lang w:val="en-CA"/>
        </w:rPr>
        <w:t>10(b)</w:t>
      </w:r>
      <w:r w:rsidR="006D1937">
        <w:rPr>
          <w:lang w:val="en-CA"/>
        </w:rPr>
        <w:t>, given</w:t>
      </w:r>
      <w:r w:rsidR="005003D8" w:rsidRPr="003F141B">
        <w:rPr>
          <w:lang w:val="en-CA"/>
        </w:rPr>
        <w:t xml:space="preserve"> </w:t>
      </w:r>
      <w:r w:rsidR="00FC741E" w:rsidRPr="003F141B">
        <w:rPr>
          <w:lang w:val="en-CA"/>
        </w:rPr>
        <w:t>that</w:t>
      </w:r>
      <w:r w:rsidR="002A3AF8" w:rsidRPr="003F141B">
        <w:rPr>
          <w:lang w:val="en-CA"/>
        </w:rPr>
        <w:t xml:space="preserve"> </w:t>
      </w:r>
      <w:r w:rsidR="006D1937">
        <w:rPr>
          <w:lang w:val="en-CA"/>
        </w:rPr>
        <w:t xml:space="preserve">the </w:t>
      </w:r>
      <w:r w:rsidR="00FC741E" w:rsidRPr="003F141B">
        <w:rPr>
          <w:lang w:val="en-CA"/>
        </w:rPr>
        <w:t xml:space="preserve">police officers duly </w:t>
      </w:r>
      <w:r w:rsidR="006D1937">
        <w:rPr>
          <w:lang w:val="en-CA"/>
        </w:rPr>
        <w:t xml:space="preserve">facilitated </w:t>
      </w:r>
      <w:r w:rsidR="00FC741E" w:rsidRPr="003F141B">
        <w:rPr>
          <w:lang w:val="en-CA"/>
        </w:rPr>
        <w:t>the respondent</w:t>
      </w:r>
      <w:r w:rsidR="003061CC">
        <w:rPr>
          <w:lang w:val="en-CA"/>
        </w:rPr>
        <w:t>’</w:t>
      </w:r>
      <w:r w:rsidR="00FC741E" w:rsidRPr="003F141B">
        <w:rPr>
          <w:lang w:val="en-CA"/>
        </w:rPr>
        <w:t xml:space="preserve">s freely expressed choice by communicating without delay with the legal aid lawyer he had </w:t>
      </w:r>
      <w:r w:rsidR="007119B1" w:rsidRPr="003F141B">
        <w:rPr>
          <w:lang w:val="en-CA"/>
        </w:rPr>
        <w:t>identified</w:t>
      </w:r>
      <w:r w:rsidR="004E1881" w:rsidRPr="003F141B">
        <w:rPr>
          <w:lang w:val="en-CA"/>
        </w:rPr>
        <w:t>, who, it turned out, was immediately available.</w:t>
      </w:r>
    </w:p>
    <w:p w14:paraId="39C12F3C" w14:textId="43532AA6" w:rsidR="009130CA" w:rsidRPr="003F141B" w:rsidRDefault="004E1881" w:rsidP="009130CA">
      <w:pPr>
        <w:pStyle w:val="Paragraphe"/>
        <w:spacing w:line="240" w:lineRule="auto"/>
        <w:rPr>
          <w:lang w:val="en-CA"/>
        </w:rPr>
      </w:pPr>
      <w:r w:rsidRPr="003F141B">
        <w:rPr>
          <w:lang w:val="en-CA"/>
        </w:rPr>
        <w:t xml:space="preserve">In </w:t>
      </w:r>
      <w:r w:rsidRPr="003F141B">
        <w:rPr>
          <w:i/>
          <w:lang w:val="en-CA"/>
        </w:rPr>
        <w:t>R. v. Richfield</w:t>
      </w:r>
      <w:r w:rsidR="000A0740" w:rsidRPr="003F141B">
        <w:rPr>
          <w:lang w:val="en-CA"/>
        </w:rPr>
        <w:t>,</w:t>
      </w:r>
      <w:r w:rsidRPr="003F141B">
        <w:rPr>
          <w:rStyle w:val="Appelnotedebasdep"/>
          <w:lang w:val="en-CA"/>
        </w:rPr>
        <w:footnoteReference w:id="57"/>
      </w:r>
      <w:r w:rsidRPr="003F141B">
        <w:rPr>
          <w:lang w:val="en-CA"/>
        </w:rPr>
        <w:t xml:space="preserve"> the Court of Appeal for Ontario recalled that the availability of </w:t>
      </w:r>
      <w:r w:rsidR="00AF6F91" w:rsidRPr="003F141B">
        <w:rPr>
          <w:lang w:val="en-CA"/>
        </w:rPr>
        <w:t>legal aid</w:t>
      </w:r>
      <w:r w:rsidRPr="003F141B">
        <w:rPr>
          <w:lang w:val="en-CA"/>
        </w:rPr>
        <w:t xml:space="preserve"> services is a crucial </w:t>
      </w:r>
      <w:r w:rsidR="00AF6F91" w:rsidRPr="003F141B">
        <w:rPr>
          <w:lang w:val="en-CA"/>
        </w:rPr>
        <w:t>factor that must be considered</w:t>
      </w:r>
      <w:r w:rsidRPr="003F141B">
        <w:rPr>
          <w:lang w:val="en-CA"/>
        </w:rPr>
        <w:t xml:space="preserve"> in analy</w:t>
      </w:r>
      <w:r w:rsidR="00E90CDC">
        <w:rPr>
          <w:lang w:val="en-CA"/>
        </w:rPr>
        <w:t>zing</w:t>
      </w:r>
      <w:r w:rsidRPr="003F141B">
        <w:rPr>
          <w:lang w:val="en-CA"/>
        </w:rPr>
        <w:t xml:space="preserve"> whether the detained person has been given a reasonable opportunity to exercise the right to </w:t>
      </w:r>
      <w:r w:rsidR="001028CB" w:rsidRPr="003F141B">
        <w:rPr>
          <w:lang w:val="en-CA"/>
        </w:rPr>
        <w:t xml:space="preserve">retain and instruct </w:t>
      </w:r>
      <w:r w:rsidRPr="003F141B">
        <w:rPr>
          <w:lang w:val="en-CA"/>
        </w:rPr>
        <w:t>counsel</w:t>
      </w:r>
      <w:r w:rsidR="00E90CDC">
        <w:rPr>
          <w:lang w:val="en-CA"/>
        </w:rPr>
        <w:t xml:space="preserve"> of choice</w:t>
      </w:r>
      <w:r w:rsidR="00AF6F91" w:rsidRPr="003F141B">
        <w:rPr>
          <w:lang w:val="en-CA"/>
        </w:rPr>
        <w:t>,</w:t>
      </w:r>
      <w:r w:rsidRPr="003F141B">
        <w:rPr>
          <w:lang w:val="en-CA"/>
        </w:rPr>
        <w:t xml:space="preserve"> and </w:t>
      </w:r>
      <w:r w:rsidR="00AF6F91" w:rsidRPr="003F141B">
        <w:rPr>
          <w:lang w:val="en-CA"/>
        </w:rPr>
        <w:t xml:space="preserve">whether he </w:t>
      </w:r>
      <w:r w:rsidR="00E90CDC">
        <w:rPr>
          <w:lang w:val="en-CA"/>
        </w:rPr>
        <w:t xml:space="preserve">or she </w:t>
      </w:r>
      <w:r w:rsidRPr="003F141B">
        <w:rPr>
          <w:lang w:val="en-CA"/>
        </w:rPr>
        <w:t xml:space="preserve">has exercised </w:t>
      </w:r>
      <w:r w:rsidR="000A0740" w:rsidRPr="003F141B">
        <w:rPr>
          <w:lang w:val="en-CA"/>
        </w:rPr>
        <w:t xml:space="preserve">that </w:t>
      </w:r>
      <w:r w:rsidRPr="003F141B">
        <w:rPr>
          <w:lang w:val="en-CA"/>
        </w:rPr>
        <w:t xml:space="preserve">right with reasonable </w:t>
      </w:r>
      <w:r w:rsidR="00AF6F91" w:rsidRPr="003F141B">
        <w:rPr>
          <w:lang w:val="en-CA"/>
        </w:rPr>
        <w:t>diligence.</w:t>
      </w:r>
      <w:r w:rsidR="005003D8" w:rsidRPr="003F141B">
        <w:rPr>
          <w:rStyle w:val="Appelnotedebasdep"/>
          <w:lang w:val="en-CA"/>
        </w:rPr>
        <w:footnoteReference w:id="58"/>
      </w:r>
    </w:p>
    <w:p w14:paraId="433DD4AF" w14:textId="68980296" w:rsidR="009130CA" w:rsidRPr="003F141B" w:rsidRDefault="00AF6F91" w:rsidP="009130CA">
      <w:pPr>
        <w:pStyle w:val="Paragraphe"/>
        <w:spacing w:line="240" w:lineRule="auto"/>
        <w:rPr>
          <w:lang w:val="en-CA"/>
        </w:rPr>
      </w:pPr>
      <w:r w:rsidRPr="003F141B">
        <w:rPr>
          <w:lang w:val="en-CA"/>
        </w:rPr>
        <w:t>I am also of the view that the judge erred in law when</w:t>
      </w:r>
      <w:r w:rsidR="00782529" w:rsidRPr="003F141B">
        <w:rPr>
          <w:lang w:val="en-CA"/>
        </w:rPr>
        <w:t xml:space="preserve">, using metaphorical language, she stated </w:t>
      </w:r>
      <w:r w:rsidR="00423DE0" w:rsidRPr="003F141B">
        <w:rPr>
          <w:lang w:val="en-CA"/>
        </w:rPr>
        <w:t>that the respondent</w:t>
      </w:r>
      <w:r w:rsidR="003061CC">
        <w:rPr>
          <w:lang w:val="en-CA"/>
        </w:rPr>
        <w:t>’</w:t>
      </w:r>
      <w:r w:rsidR="00423DE0" w:rsidRPr="003F141B">
        <w:rPr>
          <w:lang w:val="en-CA"/>
        </w:rPr>
        <w:t xml:space="preserve">s obligation of diligence did not </w:t>
      </w:r>
      <w:r w:rsidR="00FA662F" w:rsidRPr="003F141B">
        <w:rPr>
          <w:lang w:val="en-CA"/>
        </w:rPr>
        <w:t xml:space="preserve">require him to </w:t>
      </w:r>
      <w:r w:rsidR="00423DE0" w:rsidRPr="003F141B">
        <w:rPr>
          <w:rFonts w:cs="Arial"/>
          <w:lang w:val="en-CA"/>
        </w:rPr>
        <w:lastRenderedPageBreak/>
        <w:t>[</w:t>
      </w:r>
      <w:r w:rsidR="00423DE0" w:rsidRPr="003F141B">
        <w:rPr>
          <w:smallCaps/>
          <w:lang w:val="en-CA"/>
        </w:rPr>
        <w:t>translation</w:t>
      </w:r>
      <w:r w:rsidR="00423DE0" w:rsidRPr="003F141B">
        <w:rPr>
          <w:rFonts w:cs="Arial"/>
          <w:smallCaps/>
          <w:lang w:val="en-CA"/>
        </w:rPr>
        <w:t>]</w:t>
      </w:r>
      <w:r w:rsidR="00423DE0" w:rsidRPr="003F141B">
        <w:rPr>
          <w:lang w:val="en-CA"/>
        </w:rPr>
        <w:t xml:space="preserve"> </w:t>
      </w:r>
      <w:r w:rsidR="00081775">
        <w:rPr>
          <w:lang w:val="en-CA"/>
        </w:rPr>
        <w:t>“</w:t>
      </w:r>
      <w:r w:rsidR="00423DE0" w:rsidRPr="003F141B">
        <w:rPr>
          <w:lang w:val="en-CA"/>
        </w:rPr>
        <w:t>rais</w:t>
      </w:r>
      <w:r w:rsidR="00FA662F" w:rsidRPr="003F141B">
        <w:rPr>
          <w:lang w:val="en-CA"/>
        </w:rPr>
        <w:t>e</w:t>
      </w:r>
      <w:r w:rsidR="00423DE0" w:rsidRPr="003F141B">
        <w:rPr>
          <w:lang w:val="en-CA"/>
        </w:rPr>
        <w:t xml:space="preserve"> his hand</w:t>
      </w:r>
      <w:r w:rsidR="00081775">
        <w:rPr>
          <w:lang w:val="en-CA"/>
        </w:rPr>
        <w:t>”</w:t>
      </w:r>
      <w:r w:rsidR="00423DE0" w:rsidRPr="003F141B">
        <w:rPr>
          <w:lang w:val="en-CA"/>
        </w:rPr>
        <w:t xml:space="preserve"> to signal to police officers that he wanted them </w:t>
      </w:r>
      <w:r w:rsidR="00E90CDC">
        <w:rPr>
          <w:lang w:val="en-CA"/>
        </w:rPr>
        <w:t xml:space="preserve">to </w:t>
      </w:r>
      <w:r w:rsidR="00423DE0" w:rsidRPr="003F141B">
        <w:rPr>
          <w:lang w:val="en-CA"/>
        </w:rPr>
        <w:t xml:space="preserve">do </w:t>
      </w:r>
      <w:r w:rsidR="00FA662F" w:rsidRPr="003F141B">
        <w:rPr>
          <w:lang w:val="en-CA"/>
        </w:rPr>
        <w:t xml:space="preserve">more </w:t>
      </w:r>
      <w:r w:rsidR="00423DE0" w:rsidRPr="003F141B">
        <w:rPr>
          <w:lang w:val="en-CA"/>
        </w:rPr>
        <w:t xml:space="preserve">research to try </w:t>
      </w:r>
      <w:r w:rsidR="00FA662F" w:rsidRPr="003F141B">
        <w:rPr>
          <w:lang w:val="en-CA"/>
        </w:rPr>
        <w:t xml:space="preserve">and get in touch with </w:t>
      </w:r>
      <w:proofErr w:type="spellStart"/>
      <w:r w:rsidR="00423DE0" w:rsidRPr="003F141B">
        <w:rPr>
          <w:lang w:val="en-CA"/>
        </w:rPr>
        <w:t>Mtre</w:t>
      </w:r>
      <w:proofErr w:type="spellEnd"/>
      <w:r w:rsidR="00423DE0" w:rsidRPr="003F141B">
        <w:rPr>
          <w:lang w:val="en-CA"/>
        </w:rPr>
        <w:t xml:space="preserve"> </w:t>
      </w:r>
      <w:proofErr w:type="spellStart"/>
      <w:r w:rsidR="00423DE0" w:rsidRPr="003F141B">
        <w:rPr>
          <w:lang w:val="en-CA"/>
        </w:rPr>
        <w:t>Boulianne</w:t>
      </w:r>
      <w:proofErr w:type="spellEnd"/>
      <w:r w:rsidR="00423DE0" w:rsidRPr="003F141B">
        <w:rPr>
          <w:lang w:val="en-CA"/>
        </w:rPr>
        <w:t xml:space="preserve"> or </w:t>
      </w:r>
      <w:proofErr w:type="spellStart"/>
      <w:r w:rsidR="00FA662F" w:rsidRPr="003F141B">
        <w:rPr>
          <w:lang w:val="en-CA"/>
        </w:rPr>
        <w:t>Mtre</w:t>
      </w:r>
      <w:proofErr w:type="spellEnd"/>
      <w:r w:rsidR="00FA662F" w:rsidRPr="003F141B">
        <w:rPr>
          <w:lang w:val="en-CA"/>
        </w:rPr>
        <w:t xml:space="preserve"> </w:t>
      </w:r>
      <w:proofErr w:type="spellStart"/>
      <w:r w:rsidR="00423DE0" w:rsidRPr="003F141B">
        <w:rPr>
          <w:lang w:val="en-CA"/>
        </w:rPr>
        <w:t>Cantin</w:t>
      </w:r>
      <w:proofErr w:type="spellEnd"/>
      <w:r w:rsidR="00423DE0" w:rsidRPr="003F141B">
        <w:rPr>
          <w:lang w:val="en-CA"/>
        </w:rPr>
        <w:t xml:space="preserve"> before </w:t>
      </w:r>
      <w:r w:rsidR="00FA662F" w:rsidRPr="003F141B">
        <w:rPr>
          <w:lang w:val="en-CA"/>
        </w:rPr>
        <w:t xml:space="preserve">he opted </w:t>
      </w:r>
      <w:r w:rsidR="00423DE0" w:rsidRPr="003F141B">
        <w:rPr>
          <w:lang w:val="en-CA"/>
        </w:rPr>
        <w:t xml:space="preserve">for legal aid assistance. This finding appears to me incompatible with the teachings in </w:t>
      </w:r>
      <w:r w:rsidR="005003D8" w:rsidRPr="003F141B">
        <w:rPr>
          <w:i/>
          <w:lang w:val="en-CA"/>
        </w:rPr>
        <w:t>McCrimmon</w:t>
      </w:r>
      <w:r w:rsidR="005003D8" w:rsidRPr="003F141B">
        <w:rPr>
          <w:lang w:val="en-CA"/>
        </w:rPr>
        <w:t xml:space="preserve">, </w:t>
      </w:r>
      <w:r w:rsidR="00423DE0" w:rsidRPr="003F141B">
        <w:rPr>
          <w:lang w:val="en-CA"/>
        </w:rPr>
        <w:t xml:space="preserve">which recognized that the arrested or detained person has the right to refuse the </w:t>
      </w:r>
      <w:r w:rsidR="001028CB" w:rsidRPr="003F141B">
        <w:rPr>
          <w:lang w:val="en-CA"/>
        </w:rPr>
        <w:t>option</w:t>
      </w:r>
      <w:r w:rsidR="00423DE0" w:rsidRPr="003F141B">
        <w:rPr>
          <w:lang w:val="en-CA"/>
        </w:rPr>
        <w:t xml:space="preserve"> </w:t>
      </w:r>
      <w:r w:rsidR="001028CB" w:rsidRPr="003F141B">
        <w:rPr>
          <w:lang w:val="en-CA"/>
        </w:rPr>
        <w:t xml:space="preserve">of </w:t>
      </w:r>
      <w:r w:rsidR="00423DE0" w:rsidRPr="003F141B">
        <w:rPr>
          <w:lang w:val="en-CA"/>
        </w:rPr>
        <w:t>communicat</w:t>
      </w:r>
      <w:r w:rsidR="001028CB" w:rsidRPr="003F141B">
        <w:rPr>
          <w:lang w:val="en-CA"/>
        </w:rPr>
        <w:t xml:space="preserve">ing </w:t>
      </w:r>
      <w:r w:rsidR="00423DE0" w:rsidRPr="003F141B">
        <w:rPr>
          <w:lang w:val="en-CA"/>
        </w:rPr>
        <w:t>with another lawyer and to wait a reasonable time until his or her counsel of choice is available.</w:t>
      </w:r>
      <w:r w:rsidR="005003D8" w:rsidRPr="003F141B">
        <w:rPr>
          <w:rStyle w:val="Appelnotedebasdep"/>
          <w:lang w:val="en-CA"/>
        </w:rPr>
        <w:footnoteReference w:id="59"/>
      </w:r>
      <w:r w:rsidR="00423DE0" w:rsidRPr="003F141B">
        <w:rPr>
          <w:lang w:val="en-CA"/>
        </w:rPr>
        <w:t xml:space="preserve"> In </w:t>
      </w:r>
      <w:r w:rsidR="000530CD">
        <w:rPr>
          <w:lang w:val="en-CA"/>
        </w:rPr>
        <w:t xml:space="preserve">the </w:t>
      </w:r>
      <w:r w:rsidR="00423DE0" w:rsidRPr="003F141B">
        <w:rPr>
          <w:lang w:val="en-CA"/>
        </w:rPr>
        <w:t>case</w:t>
      </w:r>
      <w:r w:rsidR="000530CD">
        <w:rPr>
          <w:lang w:val="en-CA"/>
        </w:rPr>
        <w:t xml:space="preserve"> at bar</w:t>
      </w:r>
      <w:r w:rsidR="00423DE0" w:rsidRPr="003F141B">
        <w:rPr>
          <w:lang w:val="en-CA"/>
        </w:rPr>
        <w:t xml:space="preserve">, the respondent preferred not to exercise that right and instead chose to </w:t>
      </w:r>
      <w:r w:rsidR="00FA662F" w:rsidRPr="003F141B">
        <w:rPr>
          <w:lang w:val="en-CA"/>
        </w:rPr>
        <w:t>rely on</w:t>
      </w:r>
      <w:r w:rsidR="00423DE0" w:rsidRPr="003F141B">
        <w:rPr>
          <w:lang w:val="en-CA"/>
        </w:rPr>
        <w:t xml:space="preserve"> the free assistance of legal aid. </w:t>
      </w:r>
      <w:r w:rsidR="005003D8" w:rsidRPr="003F141B">
        <w:rPr>
          <w:lang w:val="en-CA"/>
        </w:rPr>
        <w:t xml:space="preserve"> </w:t>
      </w:r>
    </w:p>
    <w:p w14:paraId="361506C8" w14:textId="33BA4525" w:rsidR="009130CA" w:rsidRPr="003F141B" w:rsidRDefault="00423DE0" w:rsidP="009130CA">
      <w:pPr>
        <w:pStyle w:val="Paragraphe"/>
        <w:spacing w:line="240" w:lineRule="auto"/>
        <w:rPr>
          <w:lang w:val="en-CA"/>
        </w:rPr>
      </w:pPr>
      <w:r w:rsidRPr="003F141B">
        <w:rPr>
          <w:lang w:val="en-CA"/>
        </w:rPr>
        <w:t xml:space="preserve">In short, </w:t>
      </w:r>
      <w:r w:rsidR="003C436A">
        <w:rPr>
          <w:lang w:val="en-CA"/>
        </w:rPr>
        <w:t xml:space="preserve">it seems to me that </w:t>
      </w:r>
      <w:r w:rsidRPr="003F141B">
        <w:rPr>
          <w:lang w:val="en-CA"/>
        </w:rPr>
        <w:t xml:space="preserve">the general principles that emerge from </w:t>
      </w:r>
      <w:r w:rsidR="005003D8" w:rsidRPr="003F141B">
        <w:rPr>
          <w:i/>
          <w:lang w:val="en-CA"/>
        </w:rPr>
        <w:t>Willie</w:t>
      </w:r>
      <w:r w:rsidR="005003D8" w:rsidRPr="003F141B">
        <w:rPr>
          <w:lang w:val="en-CA"/>
        </w:rPr>
        <w:t xml:space="preserve">r </w:t>
      </w:r>
      <w:r w:rsidRPr="003F141B">
        <w:rPr>
          <w:lang w:val="en-CA"/>
        </w:rPr>
        <w:t>and</w:t>
      </w:r>
      <w:r w:rsidR="005003D8" w:rsidRPr="003F141B">
        <w:rPr>
          <w:lang w:val="en-CA"/>
        </w:rPr>
        <w:t xml:space="preserve"> </w:t>
      </w:r>
      <w:r w:rsidR="005003D8" w:rsidRPr="003F141B">
        <w:rPr>
          <w:i/>
          <w:lang w:val="en-CA"/>
        </w:rPr>
        <w:t>McCrimmon</w:t>
      </w:r>
      <w:r w:rsidR="005003D8" w:rsidRPr="003F141B">
        <w:rPr>
          <w:rStyle w:val="Appelnotedebasdep"/>
          <w:lang w:val="en-CA"/>
        </w:rPr>
        <w:footnoteReference w:id="60"/>
      </w:r>
      <w:r w:rsidR="005003D8" w:rsidRPr="003F141B">
        <w:rPr>
          <w:lang w:val="en-CA"/>
        </w:rPr>
        <w:t xml:space="preserve"> </w:t>
      </w:r>
      <w:r w:rsidR="003C436A">
        <w:rPr>
          <w:lang w:val="en-CA"/>
        </w:rPr>
        <w:t>clearly indicate—no doubt more clearly</w:t>
      </w:r>
      <w:r w:rsidR="00400E65" w:rsidRPr="003F141B">
        <w:rPr>
          <w:lang w:val="en-CA"/>
        </w:rPr>
        <w:t xml:space="preserve"> than my explanations do here</w:t>
      </w:r>
      <w:r w:rsidR="003C436A">
        <w:rPr>
          <w:lang w:val="en-CA"/>
        </w:rPr>
        <w:t>—</w:t>
      </w:r>
      <w:r w:rsidR="00847D51" w:rsidRPr="003F141B">
        <w:rPr>
          <w:lang w:val="en-CA"/>
        </w:rPr>
        <w:t>how</w:t>
      </w:r>
      <w:r w:rsidRPr="003F141B">
        <w:rPr>
          <w:lang w:val="en-CA"/>
        </w:rPr>
        <w:t xml:space="preserve"> the judge erred in law in finding that the police officers </w:t>
      </w:r>
      <w:r w:rsidR="001028CB" w:rsidRPr="003F141B">
        <w:rPr>
          <w:lang w:val="en-CA"/>
        </w:rPr>
        <w:t xml:space="preserve">infringed </w:t>
      </w:r>
      <w:r w:rsidRPr="003F141B">
        <w:rPr>
          <w:lang w:val="en-CA"/>
        </w:rPr>
        <w:t>the respondent</w:t>
      </w:r>
      <w:r w:rsidR="003061CC">
        <w:rPr>
          <w:lang w:val="en-CA"/>
        </w:rPr>
        <w:t>’</w:t>
      </w:r>
      <w:r w:rsidRPr="003F141B">
        <w:rPr>
          <w:lang w:val="en-CA"/>
        </w:rPr>
        <w:t xml:space="preserve">s </w:t>
      </w:r>
      <w:r w:rsidR="00147C72" w:rsidRPr="003F141B">
        <w:rPr>
          <w:lang w:val="en-CA"/>
        </w:rPr>
        <w:t>s.</w:t>
      </w:r>
      <w:r w:rsidR="003C436A">
        <w:rPr>
          <w:lang w:val="en-CA"/>
        </w:rPr>
        <w:t> </w:t>
      </w:r>
      <w:r w:rsidRPr="003F141B">
        <w:rPr>
          <w:lang w:val="en-CA"/>
        </w:rPr>
        <w:t xml:space="preserve">10(b) </w:t>
      </w:r>
      <w:r w:rsidRPr="003F141B">
        <w:rPr>
          <w:i/>
          <w:lang w:val="en-CA"/>
        </w:rPr>
        <w:t xml:space="preserve">Charter </w:t>
      </w:r>
      <w:r w:rsidRPr="003F141B">
        <w:rPr>
          <w:lang w:val="en-CA"/>
        </w:rPr>
        <w:t>right.</w:t>
      </w:r>
      <w:r w:rsidR="005003D8" w:rsidRPr="003F141B">
        <w:rPr>
          <w:lang w:val="en-CA"/>
        </w:rPr>
        <w:t xml:space="preserve"> </w:t>
      </w:r>
    </w:p>
    <w:p w14:paraId="060B24CA" w14:textId="17C50054" w:rsidR="009907C3" w:rsidRPr="003F141B" w:rsidRDefault="009907C3" w:rsidP="009907C3">
      <w:pPr>
        <w:pStyle w:val="Paragraphe"/>
        <w:spacing w:line="240" w:lineRule="auto"/>
        <w:rPr>
          <w:lang w:val="en-CA"/>
        </w:rPr>
      </w:pPr>
      <w:r w:rsidRPr="003F141B">
        <w:rPr>
          <w:lang w:val="en-CA"/>
        </w:rPr>
        <w:t xml:space="preserve">In </w:t>
      </w:r>
      <w:r w:rsidR="00400E65" w:rsidRPr="003F141B">
        <w:rPr>
          <w:i/>
          <w:lang w:val="en-CA"/>
        </w:rPr>
        <w:t>Willier</w:t>
      </w:r>
      <w:r w:rsidRPr="003F141B">
        <w:rPr>
          <w:lang w:val="en-CA"/>
        </w:rPr>
        <w:t xml:space="preserve">, which deals </w:t>
      </w:r>
      <w:r w:rsidR="001028CB" w:rsidRPr="003F141B">
        <w:rPr>
          <w:lang w:val="en-CA"/>
        </w:rPr>
        <w:t>specifically</w:t>
      </w:r>
      <w:r w:rsidRPr="003F141B">
        <w:rPr>
          <w:lang w:val="en-CA"/>
        </w:rPr>
        <w:t xml:space="preserve"> with the nature and limits of the right to counsel of one</w:t>
      </w:r>
      <w:r w:rsidR="003061CC">
        <w:rPr>
          <w:lang w:val="en-CA"/>
        </w:rPr>
        <w:t>’</w:t>
      </w:r>
      <w:r w:rsidRPr="003F141B">
        <w:rPr>
          <w:lang w:val="en-CA"/>
        </w:rPr>
        <w:t xml:space="preserve">s choice, the police arrested </w:t>
      </w:r>
      <w:r w:rsidR="00847D51" w:rsidRPr="003F141B">
        <w:rPr>
          <w:lang w:val="en-CA"/>
        </w:rPr>
        <w:t xml:space="preserve">the accused </w:t>
      </w:r>
      <w:r w:rsidRPr="003F141B">
        <w:rPr>
          <w:lang w:val="en-CA"/>
        </w:rPr>
        <w:t xml:space="preserve">for murder, advised him of his right to </w:t>
      </w:r>
      <w:r w:rsidR="003911FB" w:rsidRPr="003F141B">
        <w:rPr>
          <w:lang w:val="en-CA"/>
        </w:rPr>
        <w:t xml:space="preserve">retain and instruct </w:t>
      </w:r>
      <w:r w:rsidRPr="003F141B">
        <w:rPr>
          <w:lang w:val="en-CA"/>
        </w:rPr>
        <w:t xml:space="preserve">counsel, and then </w:t>
      </w:r>
      <w:r w:rsidR="003911FB" w:rsidRPr="003F141B">
        <w:rPr>
          <w:lang w:val="en-CA"/>
        </w:rPr>
        <w:t>helped him get in touch with</w:t>
      </w:r>
      <w:r w:rsidRPr="003F141B">
        <w:rPr>
          <w:lang w:val="en-CA"/>
        </w:rPr>
        <w:t xml:space="preserve"> a legal aid lawyer, with whom he spoke briefly. The next day, after the police had given him another opportunity to speak to a lawyer, Willier tried unsuccessfully to contact a specific lawyer</w:t>
      </w:r>
      <w:r w:rsidR="00847D51" w:rsidRPr="003F141B">
        <w:rPr>
          <w:lang w:val="en-CA"/>
        </w:rPr>
        <w:t xml:space="preserve"> but </w:t>
      </w:r>
      <w:r w:rsidRPr="003F141B">
        <w:rPr>
          <w:lang w:val="en-CA"/>
        </w:rPr>
        <w:t xml:space="preserve">was able to leave a message. After the police asked him if he wanted to speak to another lawyer, Willier </w:t>
      </w:r>
      <w:r w:rsidR="00847D51" w:rsidRPr="003F141B">
        <w:rPr>
          <w:lang w:val="en-CA"/>
        </w:rPr>
        <w:t xml:space="preserve">told </w:t>
      </w:r>
      <w:r w:rsidRPr="003F141B">
        <w:rPr>
          <w:lang w:val="en-CA"/>
        </w:rPr>
        <w:t xml:space="preserve">them that he </w:t>
      </w:r>
      <w:r w:rsidR="00847D51" w:rsidRPr="003F141B">
        <w:rPr>
          <w:lang w:val="en-CA"/>
        </w:rPr>
        <w:t xml:space="preserve">wanted </w:t>
      </w:r>
      <w:r w:rsidRPr="003F141B">
        <w:rPr>
          <w:lang w:val="en-CA"/>
        </w:rPr>
        <w:t xml:space="preserve">to wait for the </w:t>
      </w:r>
      <w:r w:rsidR="003911FB" w:rsidRPr="003F141B">
        <w:rPr>
          <w:lang w:val="en-CA"/>
        </w:rPr>
        <w:t xml:space="preserve">first </w:t>
      </w:r>
      <w:r w:rsidRPr="003F141B">
        <w:rPr>
          <w:lang w:val="en-CA"/>
        </w:rPr>
        <w:t xml:space="preserve">lawyer he had chosen to call. However, </w:t>
      </w:r>
      <w:r w:rsidR="00847D51" w:rsidRPr="003F141B">
        <w:rPr>
          <w:lang w:val="en-CA"/>
        </w:rPr>
        <w:t xml:space="preserve">when </w:t>
      </w:r>
      <w:r w:rsidRPr="003F141B">
        <w:rPr>
          <w:lang w:val="en-CA"/>
        </w:rPr>
        <w:t>the police</w:t>
      </w:r>
      <w:r w:rsidR="003911FB" w:rsidRPr="003F141B">
        <w:rPr>
          <w:lang w:val="en-CA"/>
        </w:rPr>
        <w:t xml:space="preserve"> officers</w:t>
      </w:r>
      <w:r w:rsidRPr="003F141B">
        <w:rPr>
          <w:lang w:val="en-CA"/>
        </w:rPr>
        <w:t xml:space="preserve"> </w:t>
      </w:r>
      <w:r w:rsidR="00847D51" w:rsidRPr="003F141B">
        <w:rPr>
          <w:lang w:val="en-CA"/>
        </w:rPr>
        <w:t>said</w:t>
      </w:r>
      <w:r w:rsidR="003911FB" w:rsidRPr="003F141B">
        <w:rPr>
          <w:lang w:val="en-CA"/>
        </w:rPr>
        <w:t xml:space="preserve"> </w:t>
      </w:r>
      <w:r w:rsidRPr="003F141B">
        <w:rPr>
          <w:lang w:val="en-CA"/>
        </w:rPr>
        <w:t xml:space="preserve">that the lawyer was unlikely to call back </w:t>
      </w:r>
      <w:r w:rsidR="00847D51" w:rsidRPr="003F141B">
        <w:rPr>
          <w:lang w:val="en-CA"/>
        </w:rPr>
        <w:t xml:space="preserve">before </w:t>
      </w:r>
      <w:r w:rsidRPr="003F141B">
        <w:rPr>
          <w:lang w:val="en-CA"/>
        </w:rPr>
        <w:t xml:space="preserve">his office opened the next day, and </w:t>
      </w:r>
      <w:r w:rsidR="003911FB" w:rsidRPr="003F141B">
        <w:rPr>
          <w:lang w:val="en-CA"/>
        </w:rPr>
        <w:t xml:space="preserve">after </w:t>
      </w:r>
      <w:r w:rsidR="00847D51" w:rsidRPr="003F141B">
        <w:rPr>
          <w:lang w:val="en-CA"/>
        </w:rPr>
        <w:t xml:space="preserve">the accused was </w:t>
      </w:r>
      <w:r w:rsidRPr="003F141B">
        <w:rPr>
          <w:lang w:val="en-CA"/>
        </w:rPr>
        <w:t xml:space="preserve">reminded that legal aid was available to him immediately, </w:t>
      </w:r>
      <w:r w:rsidR="00847D51" w:rsidRPr="003F141B">
        <w:rPr>
          <w:lang w:val="en-CA"/>
        </w:rPr>
        <w:t xml:space="preserve">he </w:t>
      </w:r>
      <w:r w:rsidRPr="003F141B">
        <w:rPr>
          <w:lang w:val="en-CA"/>
        </w:rPr>
        <w:t xml:space="preserve">chose to speak to a legal aid lawyer again. He then expressed satisfaction with the advice he received and did not </w:t>
      </w:r>
      <w:r w:rsidR="003911FB" w:rsidRPr="003F141B">
        <w:rPr>
          <w:lang w:val="en-CA"/>
        </w:rPr>
        <w:t>attempt</w:t>
      </w:r>
      <w:r w:rsidRPr="003F141B">
        <w:rPr>
          <w:lang w:val="en-CA"/>
        </w:rPr>
        <w:t xml:space="preserve"> to contact his or any other lawyer </w:t>
      </w:r>
      <w:r w:rsidR="003911FB" w:rsidRPr="003F141B">
        <w:rPr>
          <w:lang w:val="en-CA"/>
        </w:rPr>
        <w:t xml:space="preserve">again </w:t>
      </w:r>
      <w:r w:rsidRPr="003F141B">
        <w:rPr>
          <w:lang w:val="en-CA"/>
        </w:rPr>
        <w:t>before giving a statement to police.</w:t>
      </w:r>
    </w:p>
    <w:p w14:paraId="1F7A6BD2" w14:textId="2D68ADBF" w:rsidR="009907C3" w:rsidRPr="003F141B" w:rsidRDefault="00C836C0" w:rsidP="009907C3">
      <w:pPr>
        <w:pStyle w:val="Paragraphe"/>
        <w:spacing w:line="240" w:lineRule="auto"/>
        <w:rPr>
          <w:lang w:val="en-CA"/>
        </w:rPr>
      </w:pPr>
      <w:r w:rsidRPr="003F141B">
        <w:rPr>
          <w:lang w:val="en-CA"/>
        </w:rPr>
        <w:t>The trial judge determined</w:t>
      </w:r>
      <w:r w:rsidR="009907C3" w:rsidRPr="003F141B">
        <w:rPr>
          <w:lang w:val="en-CA"/>
        </w:rPr>
        <w:t xml:space="preserve"> that the police </w:t>
      </w:r>
      <w:r w:rsidR="003911FB" w:rsidRPr="003F141B">
        <w:rPr>
          <w:lang w:val="en-CA"/>
        </w:rPr>
        <w:t xml:space="preserve">officers </w:t>
      </w:r>
      <w:r w:rsidR="009907C3" w:rsidRPr="003F141B">
        <w:rPr>
          <w:lang w:val="en-CA"/>
        </w:rPr>
        <w:t xml:space="preserve">were required to inform Willier of his right to a reasonable opportunity to contact counsel of his choice and to refrain from questioning him until </w:t>
      </w:r>
      <w:r w:rsidR="00847D51" w:rsidRPr="003F141B">
        <w:rPr>
          <w:lang w:val="en-CA"/>
        </w:rPr>
        <w:t xml:space="preserve">he was afforded </w:t>
      </w:r>
      <w:r w:rsidR="009907C3" w:rsidRPr="003F141B">
        <w:rPr>
          <w:lang w:val="en-CA"/>
        </w:rPr>
        <w:t>that opportunity</w:t>
      </w:r>
      <w:r w:rsidRPr="003F141B">
        <w:rPr>
          <w:lang w:val="en-CA"/>
        </w:rPr>
        <w:t xml:space="preserve">. The majority of the Court of Appeal </w:t>
      </w:r>
      <w:r w:rsidR="000C7214" w:rsidRPr="003F141B">
        <w:rPr>
          <w:lang w:val="en-CA"/>
        </w:rPr>
        <w:t>overturned</w:t>
      </w:r>
      <w:r w:rsidRPr="003F141B">
        <w:rPr>
          <w:lang w:val="en-CA"/>
        </w:rPr>
        <w:t xml:space="preserve"> that ruling, finding </w:t>
      </w:r>
      <w:r w:rsidR="009907C3" w:rsidRPr="003F141B">
        <w:rPr>
          <w:lang w:val="en-CA"/>
        </w:rPr>
        <w:t xml:space="preserve">no </w:t>
      </w:r>
      <w:r w:rsidR="003911FB" w:rsidRPr="003F141B">
        <w:rPr>
          <w:lang w:val="en-CA"/>
        </w:rPr>
        <w:t>infringement</w:t>
      </w:r>
      <w:r w:rsidR="009907C3" w:rsidRPr="003F141B">
        <w:rPr>
          <w:lang w:val="en-CA"/>
        </w:rPr>
        <w:t xml:space="preserve"> of </w:t>
      </w:r>
      <w:r w:rsidR="00147C72" w:rsidRPr="003F141B">
        <w:rPr>
          <w:lang w:val="en-CA"/>
        </w:rPr>
        <w:t>s.</w:t>
      </w:r>
      <w:r w:rsidR="009907C3" w:rsidRPr="003F141B">
        <w:rPr>
          <w:lang w:val="en-CA"/>
        </w:rPr>
        <w:t xml:space="preserve"> 10(b). In th</w:t>
      </w:r>
      <w:r w:rsidRPr="003F141B">
        <w:rPr>
          <w:lang w:val="en-CA"/>
        </w:rPr>
        <w:t>at</w:t>
      </w:r>
      <w:r w:rsidR="009907C3" w:rsidRPr="003F141B">
        <w:rPr>
          <w:lang w:val="en-CA"/>
        </w:rPr>
        <w:t xml:space="preserve"> Court</w:t>
      </w:r>
      <w:r w:rsidR="003061CC">
        <w:rPr>
          <w:lang w:val="en-CA"/>
        </w:rPr>
        <w:t>’</w:t>
      </w:r>
      <w:r w:rsidR="009907C3" w:rsidRPr="003F141B">
        <w:rPr>
          <w:lang w:val="en-CA"/>
        </w:rPr>
        <w:t>s view, the right to counsel of one</w:t>
      </w:r>
      <w:r w:rsidR="003061CC">
        <w:rPr>
          <w:lang w:val="en-CA"/>
        </w:rPr>
        <w:t>’</w:t>
      </w:r>
      <w:r w:rsidR="009907C3" w:rsidRPr="003F141B">
        <w:rPr>
          <w:lang w:val="en-CA"/>
        </w:rPr>
        <w:t>s choice does not impose an additional informational duty on the police when the detained person is unable to contact a specific lawyer and chooses to speak to a different lawyer.</w:t>
      </w:r>
    </w:p>
    <w:p w14:paraId="4711F3A8" w14:textId="125CD34D" w:rsidR="009130CA" w:rsidRPr="003F141B" w:rsidRDefault="009907C3" w:rsidP="009130CA">
      <w:pPr>
        <w:pStyle w:val="Paragraphe"/>
        <w:spacing w:line="240" w:lineRule="auto"/>
        <w:rPr>
          <w:lang w:val="en-CA"/>
        </w:rPr>
      </w:pPr>
      <w:r w:rsidRPr="003F141B">
        <w:rPr>
          <w:lang w:val="en-CA"/>
        </w:rPr>
        <w:t xml:space="preserve">The Supreme Court </w:t>
      </w:r>
      <w:r w:rsidR="00E95CC2" w:rsidRPr="003F141B">
        <w:rPr>
          <w:lang w:val="en-CA"/>
        </w:rPr>
        <w:t>affirmed</w:t>
      </w:r>
      <w:r w:rsidR="00C836C0" w:rsidRPr="003F141B">
        <w:rPr>
          <w:lang w:val="en-CA"/>
        </w:rPr>
        <w:t xml:space="preserve"> the </w:t>
      </w:r>
      <w:r w:rsidRPr="003F141B">
        <w:rPr>
          <w:lang w:val="en-CA"/>
        </w:rPr>
        <w:t>Court of Appeal judgment. The essential findings of McLachlin</w:t>
      </w:r>
      <w:r w:rsidR="004461B7">
        <w:rPr>
          <w:lang w:val="en-CA"/>
        </w:rPr>
        <w:t>,</w:t>
      </w:r>
      <w:r w:rsidRPr="003F141B">
        <w:rPr>
          <w:lang w:val="en-CA"/>
        </w:rPr>
        <w:t xml:space="preserve"> C.J. and Charron</w:t>
      </w:r>
      <w:r w:rsidR="004461B7">
        <w:rPr>
          <w:lang w:val="en-CA"/>
        </w:rPr>
        <w:t>,</w:t>
      </w:r>
      <w:r w:rsidRPr="003F141B">
        <w:rPr>
          <w:lang w:val="en-CA"/>
        </w:rPr>
        <w:t xml:space="preserve"> J. were the following: </w:t>
      </w:r>
    </w:p>
    <w:p w14:paraId="5D16A296" w14:textId="4571C24F" w:rsidR="009907C3" w:rsidRPr="003F141B" w:rsidRDefault="005003D8" w:rsidP="009130CA">
      <w:pPr>
        <w:pStyle w:val="Citationenretrait"/>
        <w:spacing w:line="240" w:lineRule="auto"/>
        <w:rPr>
          <w:lang w:val="en-CA"/>
        </w:rPr>
      </w:pPr>
      <w:r w:rsidRPr="003F141B">
        <w:rPr>
          <w:lang w:val="en-CA"/>
        </w:rPr>
        <w:t xml:space="preserve">[43] </w:t>
      </w:r>
      <w:r w:rsidR="009907C3" w:rsidRPr="003F141B">
        <w:rPr>
          <w:lang w:val="en-CA"/>
        </w:rPr>
        <w:t>Considering the circumstances of this case as a whole, the majority of the Court of Appeal correctly found that Mr. Willier did not suffer a violation of his s.</w:t>
      </w:r>
      <w:r w:rsidR="002D3B32">
        <w:rPr>
          <w:lang w:val="en-CA"/>
        </w:rPr>
        <w:t> </w:t>
      </w:r>
      <w:r w:rsidR="009907C3" w:rsidRPr="003F141B">
        <w:rPr>
          <w:lang w:val="en-CA"/>
        </w:rPr>
        <w:t>10(b) right to counsel. In no way did the police interfere with Mr. Willier</w:t>
      </w:r>
      <w:r w:rsidR="003061CC">
        <w:rPr>
          <w:lang w:val="en-CA"/>
        </w:rPr>
        <w:t>’</w:t>
      </w:r>
      <w:r w:rsidR="009907C3" w:rsidRPr="003F141B">
        <w:rPr>
          <w:lang w:val="en-CA"/>
        </w:rPr>
        <w:t xml:space="preserve">s right to a reasonable opportunity to consult with counsel of choice </w:t>
      </w:r>
      <w:r w:rsidR="009907C3" w:rsidRPr="002E7C7B">
        <w:rPr>
          <w:u w:val="single"/>
          <w:lang w:val="en-CA"/>
        </w:rPr>
        <w:t>by simply reminding him of the</w:t>
      </w:r>
      <w:r w:rsidR="009907C3" w:rsidRPr="003F141B">
        <w:rPr>
          <w:lang w:val="en-CA"/>
        </w:rPr>
        <w:t xml:space="preserve"> </w:t>
      </w:r>
      <w:r w:rsidR="009907C3" w:rsidRPr="003F141B">
        <w:rPr>
          <w:b/>
          <w:lang w:val="en-CA"/>
        </w:rPr>
        <w:t>immediate</w:t>
      </w:r>
      <w:r w:rsidR="009907C3" w:rsidRPr="003F141B">
        <w:rPr>
          <w:lang w:val="en-CA"/>
        </w:rPr>
        <w:t xml:space="preserve"> </w:t>
      </w:r>
      <w:r w:rsidR="009907C3" w:rsidRPr="002E7C7B">
        <w:rPr>
          <w:u w:val="single"/>
          <w:lang w:val="en-CA"/>
        </w:rPr>
        <w:t>availability of</w:t>
      </w:r>
      <w:r w:rsidR="009907C3" w:rsidRPr="003F141B">
        <w:rPr>
          <w:lang w:val="en-CA"/>
        </w:rPr>
        <w:t xml:space="preserve"> free </w:t>
      </w:r>
      <w:r w:rsidR="009907C3" w:rsidRPr="002E7C7B">
        <w:rPr>
          <w:u w:val="single"/>
          <w:lang w:val="en-CA"/>
        </w:rPr>
        <w:t>Legal Aid after his unsuccessful attempt to call Mr. Royal</w:t>
      </w:r>
      <w:r w:rsidR="009907C3" w:rsidRPr="003F141B">
        <w:rPr>
          <w:lang w:val="en-CA"/>
        </w:rPr>
        <w:t xml:space="preserve">. </w:t>
      </w:r>
      <w:r w:rsidR="002D3B32">
        <w:t xml:space="preserve">[…] </w:t>
      </w:r>
      <w:r w:rsidR="009907C3" w:rsidRPr="003F141B">
        <w:rPr>
          <w:b/>
          <w:lang w:val="en-CA"/>
        </w:rPr>
        <w:t xml:space="preserve">Mr. Willier was not told that he could not wait to hear back from Mr. Royal, or that Legal Aid was his only recourse. There is no indication that </w:t>
      </w:r>
      <w:r w:rsidR="009907C3" w:rsidRPr="003F141B">
        <w:rPr>
          <w:b/>
          <w:lang w:val="en-CA"/>
        </w:rPr>
        <w:lastRenderedPageBreak/>
        <w:t>his choice to call duty counsel was the product of coercion. The police had an informational duty to ensure that Mr. Willier was aware of the availability of Legal Aid, and compliance with that duty did not interfere with his right to a reasonable opportunity to contact counsel of choice. Mr. Willier was properly presented with another route by which to obtain legal advice, an option he voluntarily chose to exercise.</w:t>
      </w:r>
      <w:r w:rsidR="009907C3" w:rsidRPr="003F141B">
        <w:rPr>
          <w:lang w:val="en-CA"/>
        </w:rPr>
        <w:t xml:space="preserve"> </w:t>
      </w:r>
    </w:p>
    <w:p w14:paraId="777274E8" w14:textId="59F6F13D" w:rsidR="009130CA" w:rsidRPr="003F141B" w:rsidRDefault="005003D8" w:rsidP="009130CA">
      <w:pPr>
        <w:pStyle w:val="Citationenretrait"/>
        <w:spacing w:line="240" w:lineRule="auto"/>
        <w:rPr>
          <w:lang w:val="en-CA"/>
        </w:rPr>
      </w:pPr>
      <w:r w:rsidRPr="003F141B">
        <w:rPr>
          <w:lang w:val="en-CA"/>
        </w:rPr>
        <w:t xml:space="preserve">[44] </w:t>
      </w:r>
      <w:r w:rsidR="009907C3" w:rsidRPr="002E7C7B">
        <w:rPr>
          <w:u w:val="single"/>
          <w:lang w:val="en-CA"/>
        </w:rPr>
        <w:t>Further, the brief interval between Mr. Willier</w:t>
      </w:r>
      <w:r w:rsidR="003061CC">
        <w:rPr>
          <w:u w:val="single"/>
          <w:lang w:val="en-CA"/>
        </w:rPr>
        <w:t>’</w:t>
      </w:r>
      <w:r w:rsidR="009907C3" w:rsidRPr="002E7C7B">
        <w:rPr>
          <w:u w:val="single"/>
          <w:lang w:val="en-CA"/>
        </w:rPr>
        <w:t>s attempt to contact Mr. Royal and the start of the investigative interview did not deprive him of a reasonable opportunity to contact counsel of choice.</w:t>
      </w:r>
      <w:r w:rsidR="009907C3" w:rsidRPr="003F141B">
        <w:rPr>
          <w:lang w:val="en-CA"/>
        </w:rPr>
        <w:t xml:space="preserve"> </w:t>
      </w:r>
      <w:r w:rsidR="009907C3" w:rsidRPr="003F141B">
        <w:rPr>
          <w:b/>
          <w:lang w:val="en-CA"/>
        </w:rPr>
        <w:t xml:space="preserve">The brevity of the interval </w:t>
      </w:r>
      <w:proofErr w:type="gramStart"/>
      <w:r w:rsidR="009907C3" w:rsidRPr="003F141B">
        <w:rPr>
          <w:b/>
          <w:lang w:val="en-CA"/>
        </w:rPr>
        <w:t>must be viewed</w:t>
      </w:r>
      <w:proofErr w:type="gramEnd"/>
      <w:r w:rsidR="009907C3" w:rsidRPr="003F141B">
        <w:rPr>
          <w:b/>
          <w:lang w:val="en-CA"/>
        </w:rPr>
        <w:t xml:space="preserve"> in light of all the circumstances prior to the commencement of the interview</w:t>
      </w:r>
      <w:r w:rsidR="009907C3" w:rsidRPr="003F141B">
        <w:rPr>
          <w:lang w:val="en-CA"/>
        </w:rPr>
        <w:t xml:space="preserve">. </w:t>
      </w:r>
      <w:r w:rsidR="009907C3" w:rsidRPr="002E7C7B">
        <w:rPr>
          <w:u w:val="single"/>
          <w:lang w:val="en-CA"/>
        </w:rPr>
        <w:t>After speaking with Legal Aid, Mr. Willier expressed satisfaction with that advice prior to being questioned.</w:t>
      </w:r>
      <w:r w:rsidR="009907C3" w:rsidRPr="003F141B">
        <w:rPr>
          <w:lang w:val="en-CA"/>
        </w:rPr>
        <w:t xml:space="preserve"> He did not pursue any further opportunity to contact Mr. Royal, though he was offered an open</w:t>
      </w:r>
      <w:r w:rsidR="009907C3" w:rsidRPr="003F141B">
        <w:rPr>
          <w:rFonts w:ascii="Cambria Math" w:hAnsi="Cambria Math" w:cs="Cambria Math"/>
          <w:lang w:val="en-CA"/>
        </w:rPr>
        <w:t>‑</w:t>
      </w:r>
      <w:r w:rsidR="009907C3" w:rsidRPr="003F141B">
        <w:rPr>
          <w:lang w:val="en-CA"/>
        </w:rPr>
        <w:t xml:space="preserve">ended invitation to contact counsel prior to and throughout the interview. </w:t>
      </w:r>
      <w:r w:rsidR="009907C3" w:rsidRPr="002E7C7B">
        <w:rPr>
          <w:u w:val="single"/>
          <w:lang w:val="en-CA"/>
        </w:rPr>
        <w:t>If Mr. Willier maintained any continuing desire to speak with Mr. Royal</w:t>
      </w:r>
      <w:r w:rsidR="009907C3" w:rsidRPr="003F141B">
        <w:rPr>
          <w:lang w:val="en-CA"/>
        </w:rPr>
        <w:t xml:space="preserve">, or wait for him to call back, </w:t>
      </w:r>
      <w:r w:rsidR="009907C3" w:rsidRPr="002E7C7B">
        <w:rPr>
          <w:u w:val="single"/>
          <w:lang w:val="en-CA"/>
        </w:rPr>
        <w:t>he was not diligent in exercising that right</w:t>
      </w:r>
      <w:r w:rsidR="009907C3" w:rsidRPr="003F141B">
        <w:rPr>
          <w:lang w:val="en-CA"/>
        </w:rPr>
        <w:t>.</w:t>
      </w:r>
      <w:r w:rsidR="0058211A" w:rsidRPr="0058211A">
        <w:t xml:space="preserve"> </w:t>
      </w:r>
      <w:r w:rsidR="0058211A">
        <w:t>[…]</w:t>
      </w:r>
    </w:p>
    <w:p w14:paraId="7CFBCF4E" w14:textId="47ED87F2" w:rsidR="009130CA" w:rsidRPr="003F141B" w:rsidRDefault="005003D8" w:rsidP="009130CA">
      <w:pPr>
        <w:pStyle w:val="Citationenretrait"/>
        <w:spacing w:line="240" w:lineRule="auto"/>
        <w:rPr>
          <w:lang w:val="en-CA"/>
        </w:rPr>
      </w:pPr>
      <w:r w:rsidRPr="003F141B">
        <w:rPr>
          <w:lang w:val="en-CA"/>
        </w:rPr>
        <w:tab/>
      </w:r>
      <w:r w:rsidRPr="003F141B">
        <w:rPr>
          <w:lang w:val="en-CA"/>
        </w:rPr>
        <w:tab/>
      </w:r>
      <w:r w:rsidRPr="003F141B">
        <w:rPr>
          <w:lang w:val="en-CA"/>
        </w:rPr>
        <w:tab/>
      </w:r>
      <w:r w:rsidR="009907C3" w:rsidRPr="003F141B">
        <w:rPr>
          <w:lang w:val="en-CA"/>
        </w:rPr>
        <w:t xml:space="preserve">                           </w:t>
      </w:r>
      <w:r w:rsidRPr="003F141B">
        <w:rPr>
          <w:lang w:val="en-CA"/>
        </w:rPr>
        <w:t>[</w:t>
      </w:r>
      <w:r w:rsidR="0058211A">
        <w:rPr>
          <w:lang w:val="en-CA"/>
        </w:rPr>
        <w:t>Underlining added; boldface added</w:t>
      </w:r>
      <w:r w:rsidRPr="003F141B">
        <w:rPr>
          <w:lang w:val="en-CA"/>
        </w:rPr>
        <w:t xml:space="preserve">] </w:t>
      </w:r>
    </w:p>
    <w:p w14:paraId="634CDA3F" w14:textId="2B4BBD56" w:rsidR="009130CA" w:rsidRPr="003F141B" w:rsidRDefault="00AE075C" w:rsidP="00AE075C">
      <w:pPr>
        <w:pStyle w:val="Paragraphe"/>
        <w:spacing w:line="240" w:lineRule="auto"/>
        <w:rPr>
          <w:lang w:val="en-CA"/>
        </w:rPr>
      </w:pPr>
      <w:r w:rsidRPr="003F141B">
        <w:rPr>
          <w:lang w:val="en-CA"/>
        </w:rPr>
        <w:t xml:space="preserve">While </w:t>
      </w:r>
      <w:r w:rsidR="00510D71" w:rsidRPr="003F141B">
        <w:rPr>
          <w:lang w:val="en-CA"/>
        </w:rPr>
        <w:t xml:space="preserve">the above judgment </w:t>
      </w:r>
      <w:r w:rsidRPr="003F141B">
        <w:rPr>
          <w:lang w:val="en-CA"/>
        </w:rPr>
        <w:t xml:space="preserve">confirms the negative </w:t>
      </w:r>
      <w:r w:rsidR="003911FB" w:rsidRPr="003F141B">
        <w:rPr>
          <w:lang w:val="en-CA"/>
        </w:rPr>
        <w:t xml:space="preserve">obligation </w:t>
      </w:r>
      <w:r w:rsidR="00510D71" w:rsidRPr="003F141B">
        <w:rPr>
          <w:lang w:val="en-CA"/>
        </w:rPr>
        <w:t xml:space="preserve">on </w:t>
      </w:r>
      <w:r w:rsidRPr="003F141B">
        <w:rPr>
          <w:lang w:val="en-CA"/>
        </w:rPr>
        <w:t xml:space="preserve">the police to refrain from falsely informing the arrested or detained person that he or she does not have the right to wait until the lawyer of his or her choice can be contacted, </w:t>
      </w:r>
      <w:r w:rsidR="00510D71" w:rsidRPr="003F141B">
        <w:rPr>
          <w:lang w:val="en-CA"/>
        </w:rPr>
        <w:t>neither that judgment</w:t>
      </w:r>
      <w:r w:rsidR="004865BB">
        <w:rPr>
          <w:lang w:val="en-CA"/>
        </w:rPr>
        <w:t>—</w:t>
      </w:r>
      <w:r w:rsidR="00510D71" w:rsidRPr="003F141B">
        <w:rPr>
          <w:lang w:val="en-CA"/>
        </w:rPr>
        <w:t>nor any other</w:t>
      </w:r>
      <w:r w:rsidR="004865BB">
        <w:rPr>
          <w:lang w:val="en-CA"/>
        </w:rPr>
        <w:t>—</w:t>
      </w:r>
      <w:r w:rsidRPr="003F141B">
        <w:rPr>
          <w:lang w:val="en-CA"/>
        </w:rPr>
        <w:t>confirm</w:t>
      </w:r>
      <w:r w:rsidR="00510D71" w:rsidRPr="003F141B">
        <w:rPr>
          <w:lang w:val="en-CA"/>
        </w:rPr>
        <w:t xml:space="preserve">s </w:t>
      </w:r>
      <w:r w:rsidR="004865BB">
        <w:rPr>
          <w:lang w:val="en-CA"/>
        </w:rPr>
        <w:t xml:space="preserve">that police have </w:t>
      </w:r>
      <w:r w:rsidRPr="003F141B">
        <w:rPr>
          <w:lang w:val="en-CA"/>
        </w:rPr>
        <w:t xml:space="preserve">the positive </w:t>
      </w:r>
      <w:r w:rsidR="00140EC9" w:rsidRPr="003F141B">
        <w:rPr>
          <w:lang w:val="en-CA"/>
        </w:rPr>
        <w:t>obligation</w:t>
      </w:r>
      <w:r w:rsidRPr="003F141B">
        <w:rPr>
          <w:lang w:val="en-CA"/>
        </w:rPr>
        <w:t xml:space="preserve"> to inform the arrested or detained person that he or she may wait a reasonable period of time before electing to retain and instruct legal aid counsel.</w:t>
      </w:r>
    </w:p>
    <w:p w14:paraId="165D86EB" w14:textId="13AB67A8" w:rsidR="009130CA" w:rsidRPr="003F141B" w:rsidRDefault="00D12E81" w:rsidP="00D12E81">
      <w:pPr>
        <w:pStyle w:val="Paragraphe"/>
        <w:spacing w:line="240" w:lineRule="auto"/>
        <w:rPr>
          <w:lang w:val="en-CA"/>
        </w:rPr>
      </w:pPr>
      <w:r w:rsidRPr="003F141B">
        <w:rPr>
          <w:lang w:val="en-CA"/>
        </w:rPr>
        <w:t xml:space="preserve">In light of the principles that arise from </w:t>
      </w:r>
      <w:r w:rsidRPr="003F141B">
        <w:rPr>
          <w:i/>
          <w:lang w:val="en-CA"/>
        </w:rPr>
        <w:t>Willier</w:t>
      </w:r>
      <w:r w:rsidRPr="003F141B">
        <w:rPr>
          <w:lang w:val="en-CA"/>
        </w:rPr>
        <w:t xml:space="preserve">, the judge made a determinative error </w:t>
      </w:r>
      <w:r w:rsidR="00510D71" w:rsidRPr="003F141B">
        <w:rPr>
          <w:lang w:val="en-CA"/>
        </w:rPr>
        <w:t xml:space="preserve">of </w:t>
      </w:r>
      <w:r w:rsidRPr="003F141B">
        <w:rPr>
          <w:lang w:val="en-CA"/>
        </w:rPr>
        <w:t xml:space="preserve">law in analyzing the </w:t>
      </w:r>
      <w:r w:rsidR="006610EA">
        <w:rPr>
          <w:lang w:val="en-CA"/>
        </w:rPr>
        <w:t xml:space="preserve">duration of the </w:t>
      </w:r>
      <w:r w:rsidRPr="003F141B">
        <w:rPr>
          <w:lang w:val="en-CA"/>
        </w:rPr>
        <w:t>police officers</w:t>
      </w:r>
      <w:r w:rsidR="003061CC">
        <w:rPr>
          <w:lang w:val="en-CA"/>
        </w:rPr>
        <w:t>’</w:t>
      </w:r>
      <w:r w:rsidRPr="003F141B">
        <w:rPr>
          <w:lang w:val="en-CA"/>
        </w:rPr>
        <w:t xml:space="preserve"> attempts to reach </w:t>
      </w:r>
      <w:proofErr w:type="spellStart"/>
      <w:r w:rsidRPr="003F141B">
        <w:rPr>
          <w:lang w:val="en-CA"/>
        </w:rPr>
        <w:t>Mtre</w:t>
      </w:r>
      <w:proofErr w:type="spellEnd"/>
      <w:r w:rsidRPr="003F141B">
        <w:rPr>
          <w:lang w:val="en-CA"/>
        </w:rPr>
        <w:t xml:space="preserve"> </w:t>
      </w:r>
      <w:proofErr w:type="spellStart"/>
      <w:r w:rsidRPr="003F141B">
        <w:rPr>
          <w:lang w:val="en-CA"/>
        </w:rPr>
        <w:t>Boulianne</w:t>
      </w:r>
      <w:proofErr w:type="spellEnd"/>
      <w:r w:rsidRPr="003F141B">
        <w:rPr>
          <w:lang w:val="en-CA"/>
        </w:rPr>
        <w:t xml:space="preserve"> or </w:t>
      </w:r>
      <w:proofErr w:type="spellStart"/>
      <w:r w:rsidRPr="003F141B">
        <w:rPr>
          <w:lang w:val="en-CA"/>
        </w:rPr>
        <w:t>Mtre</w:t>
      </w:r>
      <w:proofErr w:type="spellEnd"/>
      <w:r w:rsidRPr="003F141B">
        <w:rPr>
          <w:lang w:val="en-CA"/>
        </w:rPr>
        <w:t xml:space="preserve"> </w:t>
      </w:r>
      <w:proofErr w:type="spellStart"/>
      <w:r w:rsidRPr="003F141B">
        <w:rPr>
          <w:lang w:val="en-CA"/>
        </w:rPr>
        <w:t>Cantin</w:t>
      </w:r>
      <w:proofErr w:type="spellEnd"/>
      <w:r w:rsidR="006610EA">
        <w:rPr>
          <w:lang w:val="en-CA"/>
        </w:rPr>
        <w:t>, an analysis she carried out</w:t>
      </w:r>
      <w:r w:rsidRPr="003F141B">
        <w:rPr>
          <w:lang w:val="en-CA"/>
        </w:rPr>
        <w:t xml:space="preserve"> </w:t>
      </w:r>
      <w:r w:rsidR="00510D71" w:rsidRPr="003F141B">
        <w:rPr>
          <w:lang w:val="en-CA"/>
        </w:rPr>
        <w:t xml:space="preserve">in a vacuum, </w:t>
      </w:r>
      <w:r w:rsidRPr="003F141B">
        <w:rPr>
          <w:lang w:val="en-CA"/>
        </w:rPr>
        <w:t>without considering all of the evidence relevant to the issue she had to decide, especially</w:t>
      </w:r>
      <w:r w:rsidR="00510D71" w:rsidRPr="003F141B">
        <w:rPr>
          <w:lang w:val="en-CA"/>
        </w:rPr>
        <w:t xml:space="preserve"> the aspect that supports the conclusion </w:t>
      </w:r>
      <w:r w:rsidRPr="003F141B">
        <w:rPr>
          <w:lang w:val="en-CA"/>
        </w:rPr>
        <w:t>that the respondent freely</w:t>
      </w:r>
      <w:r w:rsidR="00510D71" w:rsidRPr="003F141B">
        <w:rPr>
          <w:lang w:val="en-CA"/>
        </w:rPr>
        <w:t xml:space="preserve"> and</w:t>
      </w:r>
      <w:r w:rsidRPr="003F141B">
        <w:rPr>
          <w:lang w:val="en-CA"/>
        </w:rPr>
        <w:t xml:space="preserve"> without pressure or coercion decided to </w:t>
      </w:r>
      <w:r w:rsidR="00140EC9" w:rsidRPr="003F141B">
        <w:rPr>
          <w:lang w:val="en-CA"/>
        </w:rPr>
        <w:t xml:space="preserve">retain and instruct </w:t>
      </w:r>
      <w:proofErr w:type="spellStart"/>
      <w:r w:rsidRPr="003F141B">
        <w:rPr>
          <w:lang w:val="en-CA"/>
        </w:rPr>
        <w:t>Mtre</w:t>
      </w:r>
      <w:proofErr w:type="spellEnd"/>
      <w:r w:rsidRPr="003F141B">
        <w:rPr>
          <w:lang w:val="en-CA"/>
        </w:rPr>
        <w:t xml:space="preserve"> Gagnon, that their conversation lasted eight minutes</w:t>
      </w:r>
      <w:r w:rsidR="00510D71" w:rsidRPr="003F141B">
        <w:rPr>
          <w:lang w:val="en-CA"/>
        </w:rPr>
        <w:t>,</w:t>
      </w:r>
      <w:r w:rsidRPr="003F141B">
        <w:rPr>
          <w:lang w:val="en-CA"/>
        </w:rPr>
        <w:t xml:space="preserve"> and that nothing afterwards </w:t>
      </w:r>
      <w:r w:rsidR="00510D71" w:rsidRPr="003F141B">
        <w:rPr>
          <w:lang w:val="en-CA"/>
        </w:rPr>
        <w:t>gave</w:t>
      </w:r>
      <w:r w:rsidRPr="003F141B">
        <w:rPr>
          <w:lang w:val="en-CA"/>
        </w:rPr>
        <w:t xml:space="preserve"> the police any reason to believe that he was dissatisfied with the advice he received or the quality of that advice.</w:t>
      </w:r>
      <w:r w:rsidR="00510D71" w:rsidRPr="003F141B">
        <w:rPr>
          <w:lang w:val="en-CA"/>
        </w:rPr>
        <w:t xml:space="preserve"> This is e</w:t>
      </w:r>
      <w:r w:rsidRPr="003F141B">
        <w:rPr>
          <w:lang w:val="en-CA"/>
        </w:rPr>
        <w:t xml:space="preserve">specially </w:t>
      </w:r>
      <w:r w:rsidR="00510D71" w:rsidRPr="003F141B">
        <w:rPr>
          <w:lang w:val="en-CA"/>
        </w:rPr>
        <w:t xml:space="preserve">so, </w:t>
      </w:r>
      <w:r w:rsidRPr="003F141B">
        <w:rPr>
          <w:lang w:val="en-CA"/>
        </w:rPr>
        <w:t xml:space="preserve">since the </w:t>
      </w:r>
      <w:r w:rsidR="00147C72" w:rsidRPr="003F141B">
        <w:rPr>
          <w:lang w:val="en-CA"/>
        </w:rPr>
        <w:t>s.</w:t>
      </w:r>
      <w:r w:rsidR="006610EA">
        <w:rPr>
          <w:lang w:val="en-CA"/>
        </w:rPr>
        <w:t> </w:t>
      </w:r>
      <w:r w:rsidRPr="003F141B">
        <w:rPr>
          <w:lang w:val="en-CA"/>
        </w:rPr>
        <w:t xml:space="preserve">10(b) </w:t>
      </w:r>
      <w:r w:rsidRPr="003F141B">
        <w:rPr>
          <w:i/>
          <w:lang w:val="en-CA"/>
        </w:rPr>
        <w:t xml:space="preserve">Charter </w:t>
      </w:r>
      <w:r w:rsidR="00140EC9" w:rsidRPr="003F141B">
        <w:rPr>
          <w:lang w:val="en-CA"/>
        </w:rPr>
        <w:t xml:space="preserve">right </w:t>
      </w:r>
      <w:r w:rsidRPr="003F141B">
        <w:rPr>
          <w:lang w:val="en-CA"/>
        </w:rPr>
        <w:t xml:space="preserve">does not oblige the police to </w:t>
      </w:r>
      <w:r w:rsidR="00C614A9" w:rsidRPr="003F141B">
        <w:rPr>
          <w:lang w:val="en-CA"/>
        </w:rPr>
        <w:t xml:space="preserve">oversee </w:t>
      </w:r>
      <w:r w:rsidRPr="003F141B">
        <w:rPr>
          <w:lang w:val="en-CA"/>
        </w:rPr>
        <w:t xml:space="preserve">the quality of the advice received or ensure that the legal advice received by the arrested or detained person meets a certain </w:t>
      </w:r>
      <w:r w:rsidR="00C614A9" w:rsidRPr="003F141B">
        <w:rPr>
          <w:lang w:val="en-CA"/>
        </w:rPr>
        <w:t xml:space="preserve">quality </w:t>
      </w:r>
      <w:r w:rsidRPr="003F141B">
        <w:rPr>
          <w:lang w:val="en-CA"/>
        </w:rPr>
        <w:t>standard before proceeding further.</w:t>
      </w:r>
      <w:r w:rsidR="005003D8" w:rsidRPr="003F141B">
        <w:rPr>
          <w:rStyle w:val="Appelnotedebasdep"/>
          <w:lang w:val="en-CA"/>
        </w:rPr>
        <w:footnoteReference w:id="61"/>
      </w:r>
    </w:p>
    <w:p w14:paraId="0B65458C" w14:textId="3FAD9889" w:rsidR="00AC3DFD" w:rsidRPr="003F141B" w:rsidRDefault="00D12E81" w:rsidP="00AC3DFD">
      <w:pPr>
        <w:pStyle w:val="Paragraphe"/>
        <w:spacing w:line="240" w:lineRule="auto"/>
        <w:rPr>
          <w:lang w:val="en-CA"/>
        </w:rPr>
      </w:pPr>
      <w:r w:rsidRPr="003F141B">
        <w:rPr>
          <w:lang w:val="en-CA"/>
        </w:rPr>
        <w:t>In</w:t>
      </w:r>
      <w:r w:rsidR="005003D8" w:rsidRPr="003F141B">
        <w:rPr>
          <w:lang w:val="en-CA"/>
        </w:rPr>
        <w:t xml:space="preserve"> </w:t>
      </w:r>
      <w:r w:rsidR="005003D8" w:rsidRPr="003F141B">
        <w:rPr>
          <w:i/>
          <w:lang w:val="en-CA"/>
        </w:rPr>
        <w:t>McCrimmon</w:t>
      </w:r>
      <w:r w:rsidR="005003D8" w:rsidRPr="003F141B">
        <w:rPr>
          <w:lang w:val="en-CA"/>
        </w:rPr>
        <w:t xml:space="preserve">, </w:t>
      </w:r>
      <w:r w:rsidRPr="003F141B">
        <w:rPr>
          <w:lang w:val="en-CA"/>
        </w:rPr>
        <w:t>the respondent had been arrested for assault</w:t>
      </w:r>
      <w:r w:rsidR="00E86DBB" w:rsidRPr="003F141B">
        <w:rPr>
          <w:lang w:val="en-CA"/>
        </w:rPr>
        <w:t>ing</w:t>
      </w:r>
      <w:r w:rsidRPr="003F141B">
        <w:rPr>
          <w:lang w:val="en-CA"/>
        </w:rPr>
        <w:t xml:space="preserve"> five women. When informed of his right to </w:t>
      </w:r>
      <w:r w:rsidR="00140EC9" w:rsidRPr="003F141B">
        <w:rPr>
          <w:lang w:val="en-CA"/>
        </w:rPr>
        <w:t xml:space="preserve">retain and instruct </w:t>
      </w:r>
      <w:r w:rsidRPr="003F141B">
        <w:rPr>
          <w:lang w:val="en-CA"/>
        </w:rPr>
        <w:t xml:space="preserve">counsel, he told police officers that he wished to speak to a specific lawyer. </w:t>
      </w:r>
      <w:r w:rsidR="00AC3DFD" w:rsidRPr="003F141B">
        <w:rPr>
          <w:lang w:val="en-CA"/>
        </w:rPr>
        <w:t xml:space="preserve">After </w:t>
      </w:r>
      <w:r w:rsidR="00140EC9" w:rsidRPr="003F141B">
        <w:rPr>
          <w:lang w:val="en-CA"/>
        </w:rPr>
        <w:t>the police officers</w:t>
      </w:r>
      <w:r w:rsidR="003061CC">
        <w:rPr>
          <w:lang w:val="en-CA"/>
        </w:rPr>
        <w:t>’</w:t>
      </w:r>
      <w:r w:rsidR="00140EC9" w:rsidRPr="003F141B">
        <w:rPr>
          <w:lang w:val="en-CA"/>
        </w:rPr>
        <w:t xml:space="preserve"> </w:t>
      </w:r>
      <w:r w:rsidR="00AC3DFD" w:rsidRPr="003F141B">
        <w:rPr>
          <w:lang w:val="en-CA"/>
        </w:rPr>
        <w:t>unsuccessful attempts to reach th</w:t>
      </w:r>
      <w:r w:rsidR="00140EC9" w:rsidRPr="003F141B">
        <w:rPr>
          <w:lang w:val="en-CA"/>
        </w:rPr>
        <w:t>at lawyer</w:t>
      </w:r>
      <w:r w:rsidR="00AC3DFD" w:rsidRPr="003F141B">
        <w:rPr>
          <w:lang w:val="en-CA"/>
        </w:rPr>
        <w:t xml:space="preserve">, McCrimmon </w:t>
      </w:r>
      <w:r w:rsidR="00E86DBB" w:rsidRPr="003F141B">
        <w:rPr>
          <w:lang w:val="en-CA"/>
        </w:rPr>
        <w:t xml:space="preserve">agreed </w:t>
      </w:r>
      <w:r w:rsidR="00AC3DFD" w:rsidRPr="003F141B">
        <w:rPr>
          <w:lang w:val="en-CA"/>
        </w:rPr>
        <w:t xml:space="preserve">to communicate with a legal aid lawyer, with whom he spoke for five minutes. During the interrogation that followed, McCrimmon repeatedly stated that he wanted to speak to a lawyer again and that he wanted to have a lawyer </w:t>
      </w:r>
      <w:r w:rsidR="00AC3DFD" w:rsidRPr="003F141B">
        <w:rPr>
          <w:lang w:val="en-CA"/>
        </w:rPr>
        <w:lastRenderedPageBreak/>
        <w:t>physically present. The police refused these requests</w:t>
      </w:r>
      <w:r w:rsidR="00E86DBB" w:rsidRPr="003F141B">
        <w:rPr>
          <w:lang w:val="en-CA"/>
        </w:rPr>
        <w:t>,</w:t>
      </w:r>
      <w:r w:rsidR="00AC3DFD" w:rsidRPr="003F141B">
        <w:rPr>
          <w:lang w:val="en-CA"/>
        </w:rPr>
        <w:t xml:space="preserve"> and </w:t>
      </w:r>
      <w:r w:rsidR="00140EC9" w:rsidRPr="003F141B">
        <w:rPr>
          <w:lang w:val="en-CA"/>
        </w:rPr>
        <w:t xml:space="preserve">ultimately, </w:t>
      </w:r>
      <w:r w:rsidR="00AC3DFD" w:rsidRPr="003F141B">
        <w:rPr>
          <w:lang w:val="en-CA"/>
        </w:rPr>
        <w:t>McCrimmon made some incriminating statements.</w:t>
      </w:r>
    </w:p>
    <w:p w14:paraId="307F0E0B" w14:textId="4BB60635" w:rsidR="009130CA" w:rsidRPr="003F141B" w:rsidRDefault="00AC3DFD" w:rsidP="008B5AC3">
      <w:pPr>
        <w:pStyle w:val="Paragraphe"/>
        <w:spacing w:line="240" w:lineRule="auto"/>
        <w:rPr>
          <w:lang w:val="en-CA"/>
        </w:rPr>
      </w:pPr>
      <w:r w:rsidRPr="003F141B">
        <w:rPr>
          <w:lang w:val="en-CA"/>
        </w:rPr>
        <w:t xml:space="preserve"> The trial judge and the Court of Appeal judge rejected McCrimmon</w:t>
      </w:r>
      <w:r w:rsidR="003061CC">
        <w:rPr>
          <w:lang w:val="en-CA"/>
        </w:rPr>
        <w:t>’</w:t>
      </w:r>
      <w:r w:rsidRPr="003F141B">
        <w:rPr>
          <w:lang w:val="en-CA"/>
        </w:rPr>
        <w:t xml:space="preserve">s submissions that his right to </w:t>
      </w:r>
      <w:r w:rsidR="006578F6" w:rsidRPr="003F141B">
        <w:rPr>
          <w:lang w:val="en-CA"/>
        </w:rPr>
        <w:t xml:space="preserve">retain and instruct </w:t>
      </w:r>
      <w:r w:rsidRPr="003F141B">
        <w:rPr>
          <w:lang w:val="en-CA"/>
        </w:rPr>
        <w:t xml:space="preserve">counsel of choice had been </w:t>
      </w:r>
      <w:r w:rsidR="006578F6" w:rsidRPr="003F141B">
        <w:rPr>
          <w:lang w:val="en-CA"/>
        </w:rPr>
        <w:t>infringed</w:t>
      </w:r>
      <w:r w:rsidR="00E86DBB" w:rsidRPr="003F141B">
        <w:rPr>
          <w:lang w:val="en-CA"/>
        </w:rPr>
        <w:t xml:space="preserve"> </w:t>
      </w:r>
      <w:r w:rsidRPr="003F141B">
        <w:rPr>
          <w:lang w:val="en-CA"/>
        </w:rPr>
        <w:t xml:space="preserve">by the </w:t>
      </w:r>
      <w:r w:rsidR="00E86DBB" w:rsidRPr="003F141B">
        <w:rPr>
          <w:lang w:val="en-CA"/>
        </w:rPr>
        <w:t>police officers</w:t>
      </w:r>
      <w:r w:rsidR="003061CC">
        <w:rPr>
          <w:lang w:val="en-CA"/>
        </w:rPr>
        <w:t>’</w:t>
      </w:r>
      <w:r w:rsidR="00E86DBB" w:rsidRPr="003F141B">
        <w:rPr>
          <w:lang w:val="en-CA"/>
        </w:rPr>
        <w:t xml:space="preserve"> </w:t>
      </w:r>
      <w:r w:rsidRPr="003F141B">
        <w:rPr>
          <w:lang w:val="en-CA"/>
        </w:rPr>
        <w:t xml:space="preserve">refusal to suspend the interrogation until he had access to the lawyer of his choice and </w:t>
      </w:r>
      <w:r w:rsidR="00E86DBB" w:rsidRPr="003F141B">
        <w:rPr>
          <w:lang w:val="en-CA"/>
        </w:rPr>
        <w:t xml:space="preserve">by </w:t>
      </w:r>
      <w:r w:rsidRPr="003F141B">
        <w:rPr>
          <w:lang w:val="en-CA"/>
        </w:rPr>
        <w:t>the</w:t>
      </w:r>
      <w:r w:rsidR="00E86DBB" w:rsidRPr="003F141B">
        <w:rPr>
          <w:lang w:val="en-CA"/>
        </w:rPr>
        <w:t>ir</w:t>
      </w:r>
      <w:r w:rsidRPr="003F141B">
        <w:rPr>
          <w:lang w:val="en-CA"/>
        </w:rPr>
        <w:t xml:space="preserve"> repeated refusal to grant his request for additional legal advice during the interrogation. </w:t>
      </w:r>
    </w:p>
    <w:p w14:paraId="154A96D0" w14:textId="3A9819D4" w:rsidR="009130CA" w:rsidRPr="003F141B" w:rsidRDefault="00C76450" w:rsidP="00E86DBB">
      <w:pPr>
        <w:pStyle w:val="Paragraphe"/>
        <w:spacing w:line="240" w:lineRule="auto"/>
        <w:rPr>
          <w:lang w:val="en-CA"/>
        </w:rPr>
      </w:pPr>
      <w:r w:rsidRPr="003F141B">
        <w:rPr>
          <w:lang w:val="en-CA"/>
        </w:rPr>
        <w:t xml:space="preserve">The Supreme Court </w:t>
      </w:r>
      <w:r w:rsidR="00E86DBB" w:rsidRPr="003F141B">
        <w:rPr>
          <w:lang w:val="en-CA"/>
        </w:rPr>
        <w:t>dismissed the</w:t>
      </w:r>
      <w:r w:rsidRPr="003F141B">
        <w:rPr>
          <w:lang w:val="en-CA"/>
        </w:rPr>
        <w:t xml:space="preserve"> appeal. McLachlin</w:t>
      </w:r>
      <w:r w:rsidR="004461B7">
        <w:rPr>
          <w:lang w:val="en-CA"/>
        </w:rPr>
        <w:t>,</w:t>
      </w:r>
      <w:r w:rsidRPr="003F141B">
        <w:rPr>
          <w:lang w:val="en-CA"/>
        </w:rPr>
        <w:t xml:space="preserve"> C.J. and Charron</w:t>
      </w:r>
      <w:r w:rsidR="004461B7">
        <w:rPr>
          <w:lang w:val="en-CA"/>
        </w:rPr>
        <w:t>,</w:t>
      </w:r>
      <w:r w:rsidRPr="003F141B">
        <w:rPr>
          <w:lang w:val="en-CA"/>
        </w:rPr>
        <w:t xml:space="preserve"> J.</w:t>
      </w:r>
      <w:r w:rsidR="00E86DBB" w:rsidRPr="003F141B">
        <w:rPr>
          <w:lang w:val="en-CA"/>
        </w:rPr>
        <w:t>, writing</w:t>
      </w:r>
      <w:r w:rsidRPr="003F141B">
        <w:rPr>
          <w:lang w:val="en-CA"/>
        </w:rPr>
        <w:t xml:space="preserve"> for the majority</w:t>
      </w:r>
      <w:r w:rsidR="00E86DBB" w:rsidRPr="003F141B">
        <w:rPr>
          <w:lang w:val="en-CA"/>
        </w:rPr>
        <w:t>,</w:t>
      </w:r>
      <w:r w:rsidRPr="003F141B">
        <w:rPr>
          <w:lang w:val="en-CA"/>
        </w:rPr>
        <w:t xml:space="preserve"> concluded:</w:t>
      </w:r>
    </w:p>
    <w:p w14:paraId="0733B240" w14:textId="3BDA35EA" w:rsidR="00C76450" w:rsidRPr="003F141B" w:rsidRDefault="005003D8" w:rsidP="009130CA">
      <w:pPr>
        <w:pStyle w:val="Citationenretrait"/>
        <w:spacing w:line="240" w:lineRule="auto"/>
        <w:rPr>
          <w:color w:val="000000"/>
          <w:sz w:val="27"/>
          <w:szCs w:val="27"/>
          <w:lang w:val="en-CA"/>
        </w:rPr>
      </w:pPr>
      <w:r w:rsidRPr="003F141B">
        <w:rPr>
          <w:lang w:val="en-CA"/>
        </w:rPr>
        <w:t xml:space="preserve">[18] </w:t>
      </w:r>
      <w:r w:rsidR="00C76450" w:rsidRPr="003F141B">
        <w:rPr>
          <w:lang w:val="en-CA"/>
        </w:rPr>
        <w:t xml:space="preserve">What amounts to a reasonable </w:t>
      </w:r>
      <w:proofErr w:type="gramStart"/>
      <w:r w:rsidR="00C76450" w:rsidRPr="003F141B">
        <w:rPr>
          <w:lang w:val="en-CA"/>
        </w:rPr>
        <w:t>period of time</w:t>
      </w:r>
      <w:proofErr w:type="gramEnd"/>
      <w:r w:rsidR="00C76450" w:rsidRPr="003F141B">
        <w:rPr>
          <w:lang w:val="en-CA"/>
        </w:rPr>
        <w:t xml:space="preserve"> depends on the circumstances as a whole, including factors such as the seriousness of the charge and the urgency of the investigation. </w:t>
      </w:r>
      <w:r w:rsidR="00C76450" w:rsidRPr="003F141B">
        <w:rPr>
          <w:u w:val="single"/>
          <w:lang w:val="en-CA"/>
        </w:rPr>
        <w:t>It is also informed by the purpose of the guarantee</w:t>
      </w:r>
      <w:r w:rsidR="00C76450" w:rsidRPr="003F141B">
        <w:rPr>
          <w:lang w:val="en-CA"/>
        </w:rPr>
        <w:t xml:space="preserve">. The right to counsel upon arrest or detention is intended to provide detainees with </w:t>
      </w:r>
      <w:r w:rsidR="00C76450" w:rsidRPr="003F141B">
        <w:rPr>
          <w:b/>
          <w:lang w:val="en-CA"/>
        </w:rPr>
        <w:t>immediate</w:t>
      </w:r>
      <w:r w:rsidR="00C76450" w:rsidRPr="003F141B">
        <w:rPr>
          <w:lang w:val="en-CA"/>
        </w:rPr>
        <w:t xml:space="preserve"> legal advice on his or her rights and obligations under the law, mainly regarding the right to remain silent.</w:t>
      </w:r>
      <w:r w:rsidR="000B1A5D">
        <w:rPr>
          <w:lang w:val="en-CA"/>
        </w:rPr>
        <w:t xml:space="preserve"> […]</w:t>
      </w:r>
    </w:p>
    <w:p w14:paraId="3040907A" w14:textId="590CDD60" w:rsidR="009130CA" w:rsidRPr="003F141B" w:rsidRDefault="005003D8" w:rsidP="009130CA">
      <w:pPr>
        <w:pStyle w:val="Citationenretrait"/>
        <w:spacing w:line="240" w:lineRule="auto"/>
        <w:rPr>
          <w:szCs w:val="22"/>
          <w:lang w:val="en-CA"/>
        </w:rPr>
      </w:pPr>
      <w:r w:rsidRPr="003F141B">
        <w:rPr>
          <w:lang w:val="en-CA"/>
        </w:rPr>
        <w:t xml:space="preserve">[19] </w:t>
      </w:r>
      <w:r w:rsidR="00C76450" w:rsidRPr="003F141B">
        <w:rPr>
          <w:color w:val="000000"/>
          <w:szCs w:val="22"/>
          <w:lang w:val="en-CA"/>
        </w:rPr>
        <w:t>In this case, we agree with the courts below in rejecting Mr. McCrimmon</w:t>
      </w:r>
      <w:r w:rsidR="003061CC">
        <w:rPr>
          <w:color w:val="000000"/>
          <w:szCs w:val="22"/>
          <w:lang w:val="en-CA"/>
        </w:rPr>
        <w:t>’</w:t>
      </w:r>
      <w:r w:rsidR="00C76450" w:rsidRPr="003F141B">
        <w:rPr>
          <w:color w:val="000000"/>
          <w:szCs w:val="22"/>
          <w:lang w:val="en-CA"/>
        </w:rPr>
        <w:t>s contention that he was denied the right to counsel of choice in a manner that contravened his rights under </w:t>
      </w:r>
      <w:r w:rsidR="00C76450" w:rsidRPr="003F141B">
        <w:rPr>
          <w:szCs w:val="22"/>
          <w:lang w:val="en-CA"/>
        </w:rPr>
        <w:t>s.10</w:t>
      </w:r>
      <w:r w:rsidR="00C76450" w:rsidRPr="003F141B">
        <w:rPr>
          <w:color w:val="000000"/>
          <w:szCs w:val="22"/>
          <w:lang w:val="en-CA"/>
        </w:rPr>
        <w:t>(</w:t>
      </w:r>
      <w:r w:rsidR="00C76450" w:rsidRPr="003F141B">
        <w:rPr>
          <w:i/>
          <w:iCs/>
          <w:color w:val="000000"/>
          <w:szCs w:val="22"/>
          <w:lang w:val="en-CA"/>
        </w:rPr>
        <w:t>b</w:t>
      </w:r>
      <w:r w:rsidR="00C76450" w:rsidRPr="003F141B">
        <w:rPr>
          <w:color w:val="000000"/>
          <w:szCs w:val="22"/>
          <w:lang w:val="en-CA"/>
        </w:rPr>
        <w:t xml:space="preserve">). While Mr. McCrimmon expressed a preference for speaking with Mr. </w:t>
      </w:r>
      <w:proofErr w:type="spellStart"/>
      <w:r w:rsidR="00C76450" w:rsidRPr="003F141B">
        <w:rPr>
          <w:color w:val="000000"/>
          <w:szCs w:val="22"/>
          <w:lang w:val="en-CA"/>
        </w:rPr>
        <w:t>Cheevers</w:t>
      </w:r>
      <w:proofErr w:type="spellEnd"/>
      <w:r w:rsidR="00C76450" w:rsidRPr="003F141B">
        <w:rPr>
          <w:color w:val="000000"/>
          <w:szCs w:val="22"/>
          <w:lang w:val="en-CA"/>
        </w:rPr>
        <w:t xml:space="preserve">, </w:t>
      </w:r>
      <w:r w:rsidR="00C76450" w:rsidRPr="003F141B">
        <w:rPr>
          <w:b/>
          <w:color w:val="000000"/>
          <w:szCs w:val="22"/>
          <w:lang w:val="en-CA"/>
        </w:rPr>
        <w:t xml:space="preserve">the police rightly inquired whether he wanted to contact Legal Aid instead when Mr. </w:t>
      </w:r>
      <w:proofErr w:type="spellStart"/>
      <w:r w:rsidR="00C76450" w:rsidRPr="003F141B">
        <w:rPr>
          <w:b/>
          <w:color w:val="000000"/>
          <w:szCs w:val="22"/>
          <w:lang w:val="en-CA"/>
        </w:rPr>
        <w:t>Cheevers</w:t>
      </w:r>
      <w:proofErr w:type="spellEnd"/>
      <w:r w:rsidR="00C76450" w:rsidRPr="003F141B">
        <w:rPr>
          <w:b/>
          <w:color w:val="000000"/>
          <w:szCs w:val="22"/>
          <w:lang w:val="en-CA"/>
        </w:rPr>
        <w:t xml:space="preserve"> was not immediately available.  Mr. McCrimmon agreed,</w:t>
      </w:r>
      <w:proofErr w:type="gramStart"/>
      <w:r w:rsidR="00C76450" w:rsidRPr="003F141B">
        <w:rPr>
          <w:b/>
          <w:color w:val="000000"/>
          <w:szCs w:val="22"/>
          <w:lang w:val="en-CA"/>
        </w:rPr>
        <w:t>  exercised</w:t>
      </w:r>
      <w:proofErr w:type="gramEnd"/>
      <w:r w:rsidR="00C76450" w:rsidRPr="003F141B">
        <w:rPr>
          <w:b/>
          <w:color w:val="000000"/>
          <w:szCs w:val="22"/>
          <w:lang w:val="en-CA"/>
        </w:rPr>
        <w:t xml:space="preserve"> his right to counsel before the interview began, and expressed satisfaction with the consultation</w:t>
      </w:r>
      <w:r w:rsidR="00C76450" w:rsidRPr="003F141B">
        <w:rPr>
          <w:color w:val="000000"/>
          <w:szCs w:val="22"/>
          <w:lang w:val="en-CA"/>
        </w:rPr>
        <w:t>. He also indicated an awareness of his rights at the commencement of the interview. </w:t>
      </w:r>
      <w:r w:rsidR="00C76450" w:rsidRPr="003F141B">
        <w:rPr>
          <w:color w:val="000000"/>
          <w:szCs w:val="22"/>
          <w:u w:val="single"/>
          <w:lang w:val="en-CA"/>
        </w:rPr>
        <w:t xml:space="preserve">In these circumstances, there was no further obligation on the police to hold off the interrogation until such time as Mr. </w:t>
      </w:r>
      <w:proofErr w:type="spellStart"/>
      <w:r w:rsidR="00C76450" w:rsidRPr="003F141B">
        <w:rPr>
          <w:color w:val="000000"/>
          <w:szCs w:val="22"/>
          <w:u w:val="single"/>
          <w:lang w:val="en-CA"/>
        </w:rPr>
        <w:t>Cheevers</w:t>
      </w:r>
      <w:proofErr w:type="spellEnd"/>
      <w:r w:rsidR="00C76450" w:rsidRPr="003F141B">
        <w:rPr>
          <w:color w:val="000000"/>
          <w:szCs w:val="22"/>
          <w:u w:val="single"/>
          <w:lang w:val="en-CA"/>
        </w:rPr>
        <w:t xml:space="preserve"> became available</w:t>
      </w:r>
      <w:r w:rsidR="00C76450" w:rsidRPr="003F141B">
        <w:rPr>
          <w:color w:val="000000"/>
          <w:szCs w:val="22"/>
          <w:lang w:val="en-CA"/>
        </w:rPr>
        <w:t>.</w:t>
      </w:r>
    </w:p>
    <w:p w14:paraId="37F36B6B" w14:textId="04D83646" w:rsidR="009130CA" w:rsidRPr="003F141B" w:rsidRDefault="005003D8" w:rsidP="009130CA">
      <w:pPr>
        <w:pStyle w:val="Citationenretrait"/>
        <w:spacing w:line="240" w:lineRule="auto"/>
        <w:rPr>
          <w:lang w:val="en-CA"/>
        </w:rPr>
      </w:pPr>
      <w:r w:rsidRPr="003F141B">
        <w:rPr>
          <w:lang w:val="en-CA"/>
        </w:rPr>
        <w:tab/>
      </w:r>
      <w:r w:rsidRPr="003F141B">
        <w:rPr>
          <w:lang w:val="en-CA"/>
        </w:rPr>
        <w:tab/>
      </w:r>
      <w:r w:rsidRPr="003F141B">
        <w:rPr>
          <w:lang w:val="en-CA"/>
        </w:rPr>
        <w:tab/>
      </w:r>
      <w:r w:rsidR="00EF43E4" w:rsidRPr="003F141B">
        <w:rPr>
          <w:lang w:val="en-CA"/>
        </w:rPr>
        <w:t xml:space="preserve">                            [</w:t>
      </w:r>
      <w:r w:rsidR="00492F0B">
        <w:rPr>
          <w:lang w:val="en-CA"/>
        </w:rPr>
        <w:t>Underlining added; boldface added</w:t>
      </w:r>
      <w:r w:rsidRPr="003F141B">
        <w:rPr>
          <w:lang w:val="en-CA"/>
        </w:rPr>
        <w:t xml:space="preserve">] </w:t>
      </w:r>
    </w:p>
    <w:p w14:paraId="106CAC35" w14:textId="798284C2" w:rsidR="009130CA" w:rsidRPr="003F141B" w:rsidRDefault="006578F6" w:rsidP="009130CA">
      <w:pPr>
        <w:pStyle w:val="Paragraphe"/>
        <w:spacing w:line="240" w:lineRule="auto"/>
        <w:rPr>
          <w:lang w:val="en-CA"/>
        </w:rPr>
      </w:pPr>
      <w:r w:rsidRPr="003F141B">
        <w:rPr>
          <w:lang w:val="en-CA"/>
        </w:rPr>
        <w:t xml:space="preserve">In </w:t>
      </w:r>
      <w:r w:rsidRPr="003F141B">
        <w:rPr>
          <w:i/>
          <w:lang w:val="en-CA"/>
        </w:rPr>
        <w:t xml:space="preserve">R. v. </w:t>
      </w:r>
      <w:proofErr w:type="spellStart"/>
      <w:r w:rsidRPr="003F141B">
        <w:rPr>
          <w:i/>
          <w:lang w:val="en-CA"/>
        </w:rPr>
        <w:t>Littleford</w:t>
      </w:r>
      <w:proofErr w:type="spellEnd"/>
      <w:r w:rsidRPr="003F141B">
        <w:rPr>
          <w:lang w:val="en-CA"/>
        </w:rPr>
        <w:t>,</w:t>
      </w:r>
      <w:r w:rsidRPr="003F141B">
        <w:rPr>
          <w:rStyle w:val="Appelnotedebasdep"/>
          <w:lang w:val="en-CA"/>
        </w:rPr>
        <w:footnoteReference w:id="62"/>
      </w:r>
      <w:r w:rsidRPr="003F141B">
        <w:rPr>
          <w:i/>
          <w:lang w:val="en-CA"/>
        </w:rPr>
        <w:t xml:space="preserve"> </w:t>
      </w:r>
      <w:r w:rsidRPr="003F141B">
        <w:rPr>
          <w:lang w:val="en-CA"/>
        </w:rPr>
        <w:t xml:space="preserve">which </w:t>
      </w:r>
      <w:r w:rsidR="00E86DBB" w:rsidRPr="003F141B">
        <w:rPr>
          <w:lang w:val="en-CA"/>
        </w:rPr>
        <w:t xml:space="preserve">is </w:t>
      </w:r>
      <w:r w:rsidR="00B101B2">
        <w:rPr>
          <w:lang w:val="en-CA"/>
        </w:rPr>
        <w:t xml:space="preserve">also </w:t>
      </w:r>
      <w:r w:rsidR="00E86DBB" w:rsidRPr="003F141B">
        <w:rPr>
          <w:lang w:val="en-CA"/>
        </w:rPr>
        <w:t>analogous to</w:t>
      </w:r>
      <w:r w:rsidRPr="003F141B">
        <w:rPr>
          <w:color w:val="000000"/>
          <w:lang w:val="en-CA"/>
        </w:rPr>
        <w:t xml:space="preserve"> the present case</w:t>
      </w:r>
      <w:r w:rsidR="00E86DBB" w:rsidRPr="003F141B">
        <w:rPr>
          <w:color w:val="000000"/>
          <w:lang w:val="en-CA"/>
        </w:rPr>
        <w:t xml:space="preserve"> in several respects</w:t>
      </w:r>
      <w:r w:rsidRPr="003F141B">
        <w:rPr>
          <w:color w:val="000000"/>
          <w:lang w:val="en-CA"/>
        </w:rPr>
        <w:t>,</w:t>
      </w:r>
      <w:r w:rsidRPr="003F141B">
        <w:rPr>
          <w:lang w:val="en-CA"/>
        </w:rPr>
        <w:t xml:space="preserve"> t</w:t>
      </w:r>
      <w:r w:rsidR="00EF43E4" w:rsidRPr="003F141B">
        <w:rPr>
          <w:lang w:val="en-CA"/>
        </w:rPr>
        <w:t>he Court of Appeal for Ontario reached the same conclusion</w:t>
      </w:r>
      <w:r w:rsidR="00FE5639" w:rsidRPr="003F141B">
        <w:rPr>
          <w:color w:val="000000"/>
          <w:lang w:val="en-CA"/>
        </w:rPr>
        <w:t>:</w:t>
      </w:r>
    </w:p>
    <w:p w14:paraId="341739E8" w14:textId="054E9F39" w:rsidR="009130CA" w:rsidRPr="003F141B" w:rsidRDefault="005003D8" w:rsidP="009130CA">
      <w:pPr>
        <w:pStyle w:val="Citationenretrait"/>
        <w:spacing w:line="240" w:lineRule="auto"/>
        <w:rPr>
          <w:rFonts w:ascii="Times New Roman" w:hAnsi="Times New Roman"/>
          <w:u w:val="single"/>
          <w:lang w:val="en-CA" w:eastAsia="fr-CA"/>
        </w:rPr>
      </w:pPr>
      <w:r w:rsidRPr="003F141B">
        <w:rPr>
          <w:lang w:val="en-CA"/>
        </w:rPr>
        <w:t>[2</w:t>
      </w:r>
      <w:r w:rsidR="00FE5639" w:rsidRPr="003F141B">
        <w:rPr>
          <w:rFonts w:cs="Arial"/>
          <w:sz w:val="20"/>
          <w:lang w:val="en-CA"/>
        </w:rPr>
        <w:t xml:space="preserve">] </w:t>
      </w:r>
      <w:r w:rsidR="00593840">
        <w:rPr>
          <w:rFonts w:cs="Arial"/>
          <w:sz w:val="20"/>
          <w:lang w:val="en-CA"/>
        </w:rPr>
        <w:t>[</w:t>
      </w:r>
      <w:r w:rsidR="00FE5639" w:rsidRPr="003F141B">
        <w:rPr>
          <w:rFonts w:cs="Arial"/>
          <w:sz w:val="20"/>
          <w:lang w:val="en-CA"/>
        </w:rPr>
        <w:t>…</w:t>
      </w:r>
      <w:r w:rsidR="00593840">
        <w:rPr>
          <w:rFonts w:cs="Arial"/>
          <w:sz w:val="20"/>
          <w:lang w:val="en-CA"/>
        </w:rPr>
        <w:t>]</w:t>
      </w:r>
      <w:r w:rsidR="00FE5639" w:rsidRPr="003F141B">
        <w:rPr>
          <w:rFonts w:cs="Arial"/>
          <w:sz w:val="20"/>
          <w:lang w:val="en-CA"/>
        </w:rPr>
        <w:t xml:space="preserve"> </w:t>
      </w:r>
      <w:r w:rsidRPr="003F141B">
        <w:rPr>
          <w:lang w:val="en-CA"/>
        </w:rPr>
        <w:t xml:space="preserve">Although the appellant testified in his defence, </w:t>
      </w:r>
      <w:r w:rsidRPr="003F141B">
        <w:rPr>
          <w:u w:val="single"/>
          <w:lang w:val="en-CA"/>
        </w:rPr>
        <w:t xml:space="preserve">he did not testify during the s. 10(b) </w:t>
      </w:r>
      <w:r w:rsidRPr="003F141B">
        <w:rPr>
          <w:i/>
          <w:iCs/>
          <w:u w:val="single"/>
          <w:lang w:val="en-CA"/>
        </w:rPr>
        <w:t>Charter</w:t>
      </w:r>
      <w:r w:rsidRPr="003F141B">
        <w:rPr>
          <w:u w:val="single"/>
          <w:lang w:val="en-CA"/>
        </w:rPr>
        <w:t xml:space="preserve"> </w:t>
      </w:r>
      <w:proofErr w:type="spellStart"/>
      <w:r w:rsidRPr="003F141B">
        <w:rPr>
          <w:i/>
          <w:iCs/>
          <w:u w:val="single"/>
          <w:lang w:val="en-CA"/>
        </w:rPr>
        <w:t>voir</w:t>
      </w:r>
      <w:proofErr w:type="spellEnd"/>
      <w:r w:rsidRPr="003F141B">
        <w:rPr>
          <w:i/>
          <w:iCs/>
          <w:u w:val="single"/>
          <w:lang w:val="en-CA"/>
        </w:rPr>
        <w:t xml:space="preserve"> dire</w:t>
      </w:r>
      <w:r w:rsidRPr="003F141B">
        <w:rPr>
          <w:u w:val="single"/>
          <w:lang w:val="en-CA"/>
        </w:rPr>
        <w:t xml:space="preserve"> nor did he give any evidence addressing that issue. </w:t>
      </w:r>
    </w:p>
    <w:p w14:paraId="7A154C26" w14:textId="6E4A91B6" w:rsidR="009130CA" w:rsidRPr="003F141B" w:rsidRDefault="00593840" w:rsidP="009130CA">
      <w:pPr>
        <w:pStyle w:val="Citationenretrait"/>
        <w:spacing w:line="240" w:lineRule="auto"/>
        <w:rPr>
          <w:sz w:val="14"/>
          <w:szCs w:val="14"/>
          <w:lang w:val="en-CA"/>
        </w:rPr>
      </w:pPr>
      <w:r>
        <w:rPr>
          <w:lang w:val="en-CA"/>
        </w:rPr>
        <w:t>[</w:t>
      </w:r>
      <w:r w:rsidR="00FE5639" w:rsidRPr="003F141B">
        <w:rPr>
          <w:lang w:val="en-CA"/>
        </w:rPr>
        <w:t>…</w:t>
      </w:r>
      <w:r>
        <w:rPr>
          <w:lang w:val="en-CA"/>
        </w:rPr>
        <w:t>]</w:t>
      </w:r>
      <w:r w:rsidR="005003D8" w:rsidRPr="003F141B">
        <w:rPr>
          <w:sz w:val="14"/>
          <w:szCs w:val="14"/>
          <w:lang w:val="en-CA"/>
        </w:rPr>
        <w:t xml:space="preserve"> </w:t>
      </w:r>
    </w:p>
    <w:p w14:paraId="1E1749F7" w14:textId="77777777" w:rsidR="009130CA" w:rsidRPr="003F141B" w:rsidRDefault="005003D8" w:rsidP="009130CA">
      <w:pPr>
        <w:pStyle w:val="Citationenretrait"/>
        <w:spacing w:line="240" w:lineRule="auto"/>
        <w:rPr>
          <w:lang w:val="en-CA"/>
        </w:rPr>
      </w:pPr>
      <w:r w:rsidRPr="003F141B">
        <w:rPr>
          <w:lang w:val="en-CA"/>
        </w:rPr>
        <w:t>[7]</w:t>
      </w:r>
      <w:r w:rsidRPr="003F141B">
        <w:rPr>
          <w:sz w:val="14"/>
          <w:szCs w:val="14"/>
          <w:lang w:val="en-CA"/>
        </w:rPr>
        <w:t xml:space="preserve"> </w:t>
      </w:r>
      <w:r w:rsidRPr="003F141B">
        <w:rPr>
          <w:u w:val="single"/>
          <w:lang w:val="en-CA"/>
        </w:rPr>
        <w:t xml:space="preserve">The appellant argues that his s. 10(b) rights </w:t>
      </w:r>
      <w:proofErr w:type="gramStart"/>
      <w:r w:rsidRPr="003F141B">
        <w:rPr>
          <w:u w:val="single"/>
          <w:lang w:val="en-CA"/>
        </w:rPr>
        <w:t>were violated</w:t>
      </w:r>
      <w:proofErr w:type="gramEnd"/>
      <w:r w:rsidRPr="003F141B">
        <w:rPr>
          <w:u w:val="single"/>
          <w:lang w:val="en-CA"/>
        </w:rPr>
        <w:t xml:space="preserve"> because he expressed the wish to speak to his own lawyer, and was not given a reasonable opportunity to do so. The basis for this submission is his assertion that after a perfunctory attempt was made by the officer to reach that lawyer, the officer </w:t>
      </w:r>
      <w:r w:rsidRPr="003F141B">
        <w:rPr>
          <w:u w:val="single"/>
          <w:lang w:val="en-CA"/>
        </w:rPr>
        <w:lastRenderedPageBreak/>
        <w:t>immediately contacted and put the appellant in touch with duty counsel, contrary to his wishes and therefore contrary to his rights</w:t>
      </w:r>
      <w:r w:rsidRPr="003F141B">
        <w:rPr>
          <w:lang w:val="en-CA"/>
        </w:rPr>
        <w:t>.</w:t>
      </w:r>
    </w:p>
    <w:p w14:paraId="7E7D3B74" w14:textId="5BE9B746" w:rsidR="009130CA" w:rsidRPr="003F141B" w:rsidRDefault="005003D8" w:rsidP="009130CA">
      <w:pPr>
        <w:pStyle w:val="Citationenretrait"/>
        <w:spacing w:line="240" w:lineRule="auto"/>
        <w:rPr>
          <w:b/>
          <w:lang w:val="en-CA"/>
        </w:rPr>
      </w:pPr>
      <w:r w:rsidRPr="003F141B">
        <w:rPr>
          <w:lang w:val="en-CA"/>
        </w:rPr>
        <w:t>[8]</w:t>
      </w:r>
      <w:r w:rsidRPr="003F141B">
        <w:rPr>
          <w:sz w:val="14"/>
          <w:szCs w:val="14"/>
          <w:lang w:val="en-CA"/>
        </w:rPr>
        <w:t xml:space="preserve"> </w:t>
      </w:r>
      <w:r w:rsidRPr="003F141B">
        <w:rPr>
          <w:lang w:val="en-CA"/>
        </w:rPr>
        <w:t xml:space="preserve">On a </w:t>
      </w:r>
      <w:r w:rsidRPr="003F141B">
        <w:rPr>
          <w:i/>
          <w:iCs/>
          <w:szCs w:val="22"/>
          <w:lang w:val="en-CA"/>
        </w:rPr>
        <w:t>Charter</w:t>
      </w:r>
      <w:r w:rsidRPr="003F141B">
        <w:rPr>
          <w:lang w:val="en-CA"/>
        </w:rPr>
        <w:t xml:space="preserve"> motion, the onus is on the accused person to prove a breach of his or her </w:t>
      </w:r>
      <w:r w:rsidRPr="003F141B">
        <w:rPr>
          <w:i/>
          <w:iCs/>
          <w:szCs w:val="22"/>
          <w:lang w:val="en-CA"/>
        </w:rPr>
        <w:t>Charter</w:t>
      </w:r>
      <w:r w:rsidRPr="003F141B">
        <w:rPr>
          <w:lang w:val="en-CA"/>
        </w:rPr>
        <w:t xml:space="preserve"> rights on a balance of probabilities. </w:t>
      </w:r>
      <w:r w:rsidRPr="003F141B">
        <w:rPr>
          <w:b/>
          <w:lang w:val="en-CA"/>
        </w:rPr>
        <w:t>The difficulty with the appellant</w:t>
      </w:r>
      <w:r w:rsidR="003061CC">
        <w:rPr>
          <w:b/>
          <w:lang w:val="en-CA"/>
        </w:rPr>
        <w:t>’</w:t>
      </w:r>
      <w:r w:rsidRPr="003F141B">
        <w:rPr>
          <w:b/>
          <w:lang w:val="en-CA"/>
        </w:rPr>
        <w:t xml:space="preserve">s position in this case is that he did speak to duty counsel before taking the breathalyzer test. He neither raised any concern at the time, nor did he testify on the </w:t>
      </w:r>
      <w:proofErr w:type="spellStart"/>
      <w:r w:rsidRPr="003F141B">
        <w:rPr>
          <w:b/>
          <w:i/>
          <w:lang w:val="en-CA"/>
        </w:rPr>
        <w:t>voir</w:t>
      </w:r>
      <w:proofErr w:type="spellEnd"/>
      <w:r w:rsidRPr="003F141B">
        <w:rPr>
          <w:b/>
          <w:i/>
          <w:lang w:val="en-CA"/>
        </w:rPr>
        <w:t xml:space="preserve"> dire</w:t>
      </w:r>
      <w:r w:rsidRPr="003F141B">
        <w:rPr>
          <w:b/>
          <w:lang w:val="en-CA"/>
        </w:rPr>
        <w:t xml:space="preserve"> to suggest that he misunderstood his rights at the time or that the conduct of the police officer affected his ability to assert those rights. The trial judge made a finding that speaking to duty counsel </w:t>
      </w:r>
      <w:r w:rsidR="00081775">
        <w:rPr>
          <w:b/>
          <w:lang w:val="en-CA"/>
        </w:rPr>
        <w:t>“</w:t>
      </w:r>
      <w:r w:rsidRPr="003F141B">
        <w:rPr>
          <w:b/>
          <w:lang w:val="en-CA"/>
        </w:rPr>
        <w:t>seemed to satisfy him at the time.</w:t>
      </w:r>
      <w:r w:rsidR="00081775">
        <w:rPr>
          <w:b/>
          <w:lang w:val="en-CA"/>
        </w:rPr>
        <w:t>”</w:t>
      </w:r>
      <w:r w:rsidRPr="003F141B">
        <w:rPr>
          <w:b/>
          <w:lang w:val="en-CA"/>
        </w:rPr>
        <w:t xml:space="preserve"> There is no basis on the record to disturb that finding. </w:t>
      </w:r>
    </w:p>
    <w:p w14:paraId="255ED039" w14:textId="19AD3F5B" w:rsidR="009130CA" w:rsidRPr="003F141B" w:rsidRDefault="005003D8" w:rsidP="009130CA">
      <w:pPr>
        <w:pStyle w:val="Citationenretrait"/>
        <w:spacing w:line="240" w:lineRule="auto"/>
        <w:rPr>
          <w:lang w:val="en-CA"/>
        </w:rPr>
      </w:pPr>
      <w:r w:rsidRPr="003F141B">
        <w:rPr>
          <w:lang w:val="en-CA"/>
        </w:rPr>
        <w:tab/>
      </w:r>
      <w:r w:rsidRPr="003F141B">
        <w:rPr>
          <w:lang w:val="en-CA"/>
        </w:rPr>
        <w:tab/>
      </w:r>
      <w:r w:rsidRPr="003F141B">
        <w:rPr>
          <w:lang w:val="en-CA"/>
        </w:rPr>
        <w:tab/>
      </w:r>
      <w:r w:rsidR="00FE5639" w:rsidRPr="003F141B">
        <w:rPr>
          <w:lang w:val="en-CA"/>
        </w:rPr>
        <w:t xml:space="preserve">                              </w:t>
      </w:r>
      <w:r w:rsidRPr="003F141B">
        <w:rPr>
          <w:lang w:val="en-CA"/>
        </w:rPr>
        <w:t>[</w:t>
      </w:r>
      <w:r w:rsidR="00BA0AFF">
        <w:rPr>
          <w:lang w:val="en-CA"/>
        </w:rPr>
        <w:t xml:space="preserve">Underlining </w:t>
      </w:r>
      <w:r w:rsidR="00FE5639" w:rsidRPr="003F141B">
        <w:rPr>
          <w:lang w:val="en-CA"/>
        </w:rPr>
        <w:t>added</w:t>
      </w:r>
      <w:r w:rsidR="00BA0AFF">
        <w:rPr>
          <w:lang w:val="en-CA"/>
        </w:rPr>
        <w:t>; boldface added</w:t>
      </w:r>
      <w:r w:rsidR="00FE5639" w:rsidRPr="003F141B">
        <w:rPr>
          <w:rFonts w:cs="Arial"/>
          <w:lang w:val="en-CA"/>
        </w:rPr>
        <w:t>]</w:t>
      </w:r>
    </w:p>
    <w:p w14:paraId="0C517B62" w14:textId="656A116E" w:rsidR="00FE5639" w:rsidRPr="003F141B" w:rsidRDefault="00F74FD5" w:rsidP="009130CA">
      <w:pPr>
        <w:pStyle w:val="Paragraphe"/>
        <w:spacing w:line="240" w:lineRule="auto"/>
        <w:rPr>
          <w:lang w:val="en-CA"/>
        </w:rPr>
      </w:pPr>
      <w:r w:rsidRPr="003F141B">
        <w:rPr>
          <w:lang w:val="en-CA"/>
        </w:rPr>
        <w:t>Recently, i</w:t>
      </w:r>
      <w:r w:rsidR="00FE5639" w:rsidRPr="003F141B">
        <w:rPr>
          <w:lang w:val="en-CA"/>
        </w:rPr>
        <w:t>n</w:t>
      </w:r>
      <w:r w:rsidR="005003D8" w:rsidRPr="003F141B">
        <w:rPr>
          <w:lang w:val="en-CA"/>
        </w:rPr>
        <w:t xml:space="preserve"> </w:t>
      </w:r>
      <w:proofErr w:type="spellStart"/>
      <w:r w:rsidR="00FE5639" w:rsidRPr="003F141B">
        <w:rPr>
          <w:i/>
          <w:lang w:val="en-CA"/>
        </w:rPr>
        <w:t>Dupont-Dorais</w:t>
      </w:r>
      <w:proofErr w:type="spellEnd"/>
      <w:r w:rsidR="00FE5639" w:rsidRPr="003F141B">
        <w:rPr>
          <w:i/>
          <w:lang w:val="en-CA"/>
        </w:rPr>
        <w:t xml:space="preserve"> c. R</w:t>
      </w:r>
      <w:r w:rsidR="00FE5639" w:rsidRPr="003F141B">
        <w:rPr>
          <w:lang w:val="en-CA"/>
        </w:rPr>
        <w:t>.</w:t>
      </w:r>
      <w:r w:rsidR="003D15DD" w:rsidRPr="003F141B">
        <w:rPr>
          <w:lang w:val="en-CA"/>
        </w:rPr>
        <w:t>,</w:t>
      </w:r>
      <w:r w:rsidR="00FE5639" w:rsidRPr="003F141B">
        <w:rPr>
          <w:rStyle w:val="Appelnotedebasdep"/>
          <w:lang w:val="en-CA"/>
        </w:rPr>
        <w:footnoteReference w:id="63"/>
      </w:r>
      <w:r w:rsidR="00FE5639" w:rsidRPr="003F141B">
        <w:rPr>
          <w:lang w:val="en-CA"/>
        </w:rPr>
        <w:t xml:space="preserve"> the </w:t>
      </w:r>
      <w:r w:rsidR="005003D8" w:rsidRPr="003F141B">
        <w:rPr>
          <w:lang w:val="en-CA"/>
        </w:rPr>
        <w:t>Qu</w:t>
      </w:r>
      <w:r w:rsidR="00FE5639" w:rsidRPr="003F141B">
        <w:rPr>
          <w:lang w:val="en-CA"/>
        </w:rPr>
        <w:t>e</w:t>
      </w:r>
      <w:r w:rsidR="005003D8" w:rsidRPr="003F141B">
        <w:rPr>
          <w:lang w:val="en-CA"/>
        </w:rPr>
        <w:t>bec</w:t>
      </w:r>
      <w:r w:rsidR="00FE5639" w:rsidRPr="003F141B">
        <w:rPr>
          <w:lang w:val="en-CA"/>
        </w:rPr>
        <w:t xml:space="preserve"> Superior Court applied the principles </w:t>
      </w:r>
      <w:r w:rsidR="00E86DBB" w:rsidRPr="003F141B">
        <w:rPr>
          <w:lang w:val="en-CA"/>
        </w:rPr>
        <w:t>arising</w:t>
      </w:r>
      <w:r w:rsidR="00FE5639" w:rsidRPr="003F141B">
        <w:rPr>
          <w:lang w:val="en-CA"/>
        </w:rPr>
        <w:t xml:space="preserve"> from those </w:t>
      </w:r>
      <w:r w:rsidR="00E86DBB" w:rsidRPr="003F141B">
        <w:rPr>
          <w:lang w:val="en-CA"/>
        </w:rPr>
        <w:t>judgments</w:t>
      </w:r>
      <w:r w:rsidR="00FE5639" w:rsidRPr="003F141B">
        <w:rPr>
          <w:lang w:val="en-CA"/>
        </w:rPr>
        <w:t>:</w:t>
      </w:r>
    </w:p>
    <w:p w14:paraId="4166D095" w14:textId="0E5C2CC3" w:rsidR="009130CA" w:rsidRPr="003F141B" w:rsidRDefault="00FE5639" w:rsidP="00A3031E">
      <w:pPr>
        <w:pStyle w:val="Paragraphe"/>
        <w:numPr>
          <w:ilvl w:val="0"/>
          <w:numId w:val="0"/>
        </w:numPr>
        <w:spacing w:before="80" w:after="80" w:line="240" w:lineRule="auto"/>
        <w:ind w:firstLine="720"/>
        <w:rPr>
          <w:kern w:val="24"/>
          <w:sz w:val="22"/>
          <w:lang w:val="en-CA" w:eastAsia="fr-CA"/>
        </w:rPr>
      </w:pPr>
      <w:r w:rsidRPr="003F141B">
        <w:rPr>
          <w:kern w:val="24"/>
          <w:sz w:val="22"/>
          <w:lang w:val="en-CA" w:eastAsia="fr-CA"/>
        </w:rPr>
        <w:t>[</w:t>
      </w:r>
      <w:r w:rsidRPr="003F141B">
        <w:rPr>
          <w:smallCaps/>
          <w:kern w:val="24"/>
          <w:sz w:val="22"/>
          <w:lang w:val="en-CA" w:eastAsia="fr-CA"/>
        </w:rPr>
        <w:t>translation</w:t>
      </w:r>
      <w:r w:rsidRPr="003F141B">
        <w:rPr>
          <w:kern w:val="24"/>
          <w:sz w:val="22"/>
          <w:lang w:val="en-CA" w:eastAsia="fr-CA"/>
        </w:rPr>
        <w:t>]</w:t>
      </w:r>
      <w:r w:rsidR="005003D8" w:rsidRPr="003F141B">
        <w:rPr>
          <w:kern w:val="24"/>
          <w:sz w:val="22"/>
          <w:lang w:val="en-CA" w:eastAsia="fr-CA"/>
        </w:rPr>
        <w:t xml:space="preserve"> </w:t>
      </w:r>
    </w:p>
    <w:p w14:paraId="205CAE9C" w14:textId="7F9D0F6C" w:rsidR="009130CA" w:rsidRPr="003F141B" w:rsidRDefault="005003D8" w:rsidP="00A3031E">
      <w:pPr>
        <w:pStyle w:val="Citationenretrait"/>
        <w:spacing w:before="80" w:after="80" w:line="240" w:lineRule="auto"/>
        <w:rPr>
          <w:lang w:val="en-CA" w:eastAsia="fr-CA"/>
        </w:rPr>
      </w:pPr>
      <w:r w:rsidRPr="003F141B">
        <w:rPr>
          <w:lang w:val="en-CA" w:eastAsia="fr-CA"/>
        </w:rPr>
        <w:t>[30]</w:t>
      </w:r>
      <w:r w:rsidRPr="003F141B">
        <w:rPr>
          <w:sz w:val="14"/>
          <w:szCs w:val="14"/>
          <w:lang w:val="en-CA" w:eastAsia="fr-CA"/>
        </w:rPr>
        <w:t xml:space="preserve"> </w:t>
      </w:r>
      <w:r w:rsidR="00FE5639" w:rsidRPr="003F141B">
        <w:rPr>
          <w:lang w:val="en-CA" w:eastAsia="fr-CA"/>
        </w:rPr>
        <w:t>The trial judge did not err in applying the teachings of the Supreme Court as he did.</w:t>
      </w:r>
      <w:r w:rsidRPr="003F141B">
        <w:rPr>
          <w:lang w:val="en-CA" w:eastAsia="fr-CA"/>
        </w:rPr>
        <w:t xml:space="preserve"> </w:t>
      </w:r>
    </w:p>
    <w:p w14:paraId="1EA35F48" w14:textId="26643D6F" w:rsidR="009130CA" w:rsidRPr="003F141B" w:rsidRDefault="005003D8" w:rsidP="00A3031E">
      <w:pPr>
        <w:pStyle w:val="Citationenretrait"/>
        <w:spacing w:before="80" w:after="80" w:line="240" w:lineRule="auto"/>
        <w:rPr>
          <w:lang w:val="en-CA" w:eastAsia="fr-CA"/>
        </w:rPr>
      </w:pPr>
      <w:r w:rsidRPr="003F141B">
        <w:rPr>
          <w:lang w:val="en-CA" w:eastAsia="fr-CA"/>
        </w:rPr>
        <w:t>[31]</w:t>
      </w:r>
      <w:r w:rsidRPr="003F141B">
        <w:rPr>
          <w:sz w:val="14"/>
          <w:szCs w:val="14"/>
          <w:lang w:val="en-CA" w:eastAsia="fr-CA"/>
        </w:rPr>
        <w:t xml:space="preserve"> </w:t>
      </w:r>
      <w:r w:rsidR="003D15DD" w:rsidRPr="003F141B">
        <w:rPr>
          <w:lang w:val="en-CA" w:eastAsia="fr-CA"/>
        </w:rPr>
        <w:t>In this case, Officer</w:t>
      </w:r>
      <w:r w:rsidRPr="003F141B">
        <w:rPr>
          <w:lang w:val="en-CA" w:eastAsia="fr-CA"/>
        </w:rPr>
        <w:t xml:space="preserve"> Louis, </w:t>
      </w:r>
      <w:r w:rsidR="003D15DD" w:rsidRPr="003F141B">
        <w:rPr>
          <w:lang w:val="en-CA" w:eastAsia="fr-CA"/>
        </w:rPr>
        <w:t xml:space="preserve">after reaching </w:t>
      </w:r>
      <w:proofErr w:type="spellStart"/>
      <w:r w:rsidR="003D15DD" w:rsidRPr="003F141B">
        <w:rPr>
          <w:lang w:val="en-CA" w:eastAsia="fr-CA"/>
        </w:rPr>
        <w:t>Mtre</w:t>
      </w:r>
      <w:proofErr w:type="spellEnd"/>
      <w:r w:rsidR="003D15DD" w:rsidRPr="003F141B">
        <w:rPr>
          <w:lang w:val="en-CA" w:eastAsia="fr-CA"/>
        </w:rPr>
        <w:t xml:space="preserve"> Laurent </w:t>
      </w:r>
      <w:proofErr w:type="spellStart"/>
      <w:r w:rsidR="003D15DD" w:rsidRPr="003F141B">
        <w:rPr>
          <w:lang w:val="en-CA" w:eastAsia="fr-CA"/>
        </w:rPr>
        <w:t>Brisebois</w:t>
      </w:r>
      <w:proofErr w:type="spellEnd"/>
      <w:r w:rsidR="003061CC">
        <w:rPr>
          <w:lang w:val="en-CA" w:eastAsia="fr-CA"/>
        </w:rPr>
        <w:t>’</w:t>
      </w:r>
      <w:r w:rsidR="003D15DD" w:rsidRPr="003F141B">
        <w:rPr>
          <w:lang w:val="en-CA" w:eastAsia="fr-CA"/>
        </w:rPr>
        <w:t xml:space="preserve"> </w:t>
      </w:r>
      <w:r w:rsidR="000E1DB7" w:rsidRPr="003F141B">
        <w:rPr>
          <w:lang w:val="en-CA" w:eastAsia="fr-CA"/>
        </w:rPr>
        <w:t>voicemail</w:t>
      </w:r>
      <w:r w:rsidR="003D15DD" w:rsidRPr="003F141B">
        <w:rPr>
          <w:lang w:val="en-CA" w:eastAsia="fr-CA"/>
        </w:rPr>
        <w:t>, asked the appellant if he wished to speak to a legal aid lawyer</w:t>
      </w:r>
      <w:r w:rsidR="00C94711" w:rsidRPr="003F141B">
        <w:rPr>
          <w:lang w:val="en-CA" w:eastAsia="fr-CA"/>
        </w:rPr>
        <w:t>,</w:t>
      </w:r>
      <w:r w:rsidR="003D15DD" w:rsidRPr="003F141B">
        <w:rPr>
          <w:lang w:val="en-CA" w:eastAsia="fr-CA"/>
        </w:rPr>
        <w:t xml:space="preserve"> and </w:t>
      </w:r>
      <w:r w:rsidR="003D15DD" w:rsidRPr="003F141B">
        <w:rPr>
          <w:u w:val="single"/>
          <w:lang w:val="en-CA" w:eastAsia="fr-CA"/>
        </w:rPr>
        <w:t>the appellant accepted immediately</w:t>
      </w:r>
      <w:r w:rsidR="003D15DD" w:rsidRPr="003F141B">
        <w:rPr>
          <w:lang w:val="en-CA" w:eastAsia="fr-CA"/>
        </w:rPr>
        <w:t xml:space="preserve">. </w:t>
      </w:r>
    </w:p>
    <w:p w14:paraId="7C8B0101" w14:textId="12216ED9" w:rsidR="009130CA" w:rsidRPr="003F141B" w:rsidRDefault="005003D8" w:rsidP="00A3031E">
      <w:pPr>
        <w:pStyle w:val="Citationenretrait"/>
        <w:spacing w:before="80" w:after="80" w:line="240" w:lineRule="auto"/>
        <w:rPr>
          <w:lang w:val="en-CA" w:eastAsia="fr-CA"/>
        </w:rPr>
      </w:pPr>
      <w:r w:rsidRPr="003F141B">
        <w:rPr>
          <w:lang w:val="en-CA" w:eastAsia="fr-CA"/>
        </w:rPr>
        <w:t>[32]</w:t>
      </w:r>
      <w:r w:rsidRPr="003F141B">
        <w:rPr>
          <w:sz w:val="14"/>
          <w:szCs w:val="14"/>
          <w:lang w:val="en-CA" w:eastAsia="fr-CA"/>
        </w:rPr>
        <w:t xml:space="preserve"> </w:t>
      </w:r>
      <w:r w:rsidR="003D15DD" w:rsidRPr="003F141B">
        <w:rPr>
          <w:u w:val="single"/>
          <w:lang w:val="en-CA" w:eastAsia="fr-CA"/>
        </w:rPr>
        <w:t xml:space="preserve">It must also be pointed out that the message on the </w:t>
      </w:r>
      <w:r w:rsidR="000E1DB7" w:rsidRPr="003F141B">
        <w:rPr>
          <w:u w:val="single"/>
          <w:lang w:val="en-CA" w:eastAsia="fr-CA"/>
        </w:rPr>
        <w:t>voicemail</w:t>
      </w:r>
      <w:r w:rsidR="003D15DD" w:rsidRPr="003F141B">
        <w:rPr>
          <w:u w:val="single"/>
          <w:lang w:val="en-CA" w:eastAsia="fr-CA"/>
        </w:rPr>
        <w:t xml:space="preserve"> did not provide a contact number in case of emergency. </w:t>
      </w:r>
      <w:r w:rsidR="00C94711" w:rsidRPr="003F141B">
        <w:rPr>
          <w:u w:val="single"/>
          <w:lang w:val="en-CA" w:eastAsia="fr-CA"/>
        </w:rPr>
        <w:t>Officer Louis stated that, h</w:t>
      </w:r>
      <w:r w:rsidR="003D15DD" w:rsidRPr="003F141B">
        <w:rPr>
          <w:u w:val="single"/>
          <w:lang w:val="en-CA" w:eastAsia="fr-CA"/>
        </w:rPr>
        <w:t xml:space="preserve">ad that been the case, she would have </w:t>
      </w:r>
      <w:r w:rsidR="004C70B5" w:rsidRPr="003F141B">
        <w:rPr>
          <w:u w:val="single"/>
          <w:lang w:val="en-CA" w:eastAsia="fr-CA"/>
        </w:rPr>
        <w:t>taken the appropriate steps</w:t>
      </w:r>
      <w:r w:rsidR="004C70B5" w:rsidRPr="003F141B">
        <w:rPr>
          <w:lang w:val="en-CA" w:eastAsia="fr-CA"/>
        </w:rPr>
        <w:t>.</w:t>
      </w:r>
      <w:r w:rsidRPr="003F141B">
        <w:rPr>
          <w:u w:val="single"/>
          <w:lang w:val="en-CA" w:eastAsia="fr-CA"/>
        </w:rPr>
        <w:t xml:space="preserve"> </w:t>
      </w:r>
    </w:p>
    <w:p w14:paraId="7BB277E0" w14:textId="691A8440" w:rsidR="009130CA" w:rsidRDefault="005003D8" w:rsidP="00A3031E">
      <w:pPr>
        <w:pStyle w:val="Citationenretrait"/>
        <w:spacing w:before="80" w:after="80" w:line="240" w:lineRule="auto"/>
        <w:rPr>
          <w:b/>
          <w:lang w:val="en-CA" w:eastAsia="fr-CA"/>
        </w:rPr>
      </w:pPr>
      <w:r w:rsidRPr="003F141B">
        <w:rPr>
          <w:lang w:val="en-CA" w:eastAsia="fr-CA"/>
        </w:rPr>
        <w:t>[33</w:t>
      </w:r>
      <w:r w:rsidRPr="003F141B">
        <w:rPr>
          <w:u w:val="single"/>
          <w:lang w:val="en-CA" w:eastAsia="fr-CA"/>
        </w:rPr>
        <w:t>]</w:t>
      </w:r>
      <w:r w:rsidRPr="003F141B">
        <w:rPr>
          <w:sz w:val="14"/>
          <w:szCs w:val="14"/>
          <w:lang w:val="en-CA" w:eastAsia="fr-CA"/>
        </w:rPr>
        <w:t xml:space="preserve"> </w:t>
      </w:r>
      <w:r w:rsidR="004C70B5" w:rsidRPr="003F141B">
        <w:rPr>
          <w:b/>
          <w:lang w:val="en-CA" w:eastAsia="fr-CA"/>
        </w:rPr>
        <w:t>In addition, the appellant never stated that he was dissatisfied with the exercise of his right with the legal aid lawyer.</w:t>
      </w:r>
      <w:r w:rsidRPr="003F141B">
        <w:rPr>
          <w:b/>
          <w:lang w:val="en-CA" w:eastAsia="fr-CA"/>
        </w:rPr>
        <w:t xml:space="preserve"> </w:t>
      </w:r>
      <w:r w:rsidR="004C70B5" w:rsidRPr="003F141B">
        <w:rPr>
          <w:b/>
          <w:lang w:val="en-CA" w:eastAsia="fr-CA"/>
        </w:rPr>
        <w:t xml:space="preserve">If the appellant wanted to speak to </w:t>
      </w:r>
      <w:proofErr w:type="spellStart"/>
      <w:r w:rsidR="004C70B5" w:rsidRPr="003F141B">
        <w:rPr>
          <w:b/>
          <w:lang w:val="en-CA" w:eastAsia="fr-CA"/>
        </w:rPr>
        <w:t>Mtre</w:t>
      </w:r>
      <w:proofErr w:type="spellEnd"/>
      <w:r w:rsidR="004C70B5" w:rsidRPr="003F141B">
        <w:rPr>
          <w:b/>
          <w:lang w:val="en-CA" w:eastAsia="fr-CA"/>
        </w:rPr>
        <w:t xml:space="preserve"> </w:t>
      </w:r>
      <w:r w:rsidRPr="003F141B">
        <w:rPr>
          <w:b/>
          <w:lang w:val="en-CA" w:eastAsia="fr-CA"/>
        </w:rPr>
        <w:t xml:space="preserve">Laurent </w:t>
      </w:r>
      <w:proofErr w:type="spellStart"/>
      <w:r w:rsidRPr="003F141B">
        <w:rPr>
          <w:b/>
          <w:lang w:val="en-CA" w:eastAsia="fr-CA"/>
        </w:rPr>
        <w:t>Brisebois</w:t>
      </w:r>
      <w:proofErr w:type="spellEnd"/>
      <w:r w:rsidRPr="003F141B">
        <w:rPr>
          <w:b/>
          <w:lang w:val="en-CA" w:eastAsia="fr-CA"/>
        </w:rPr>
        <w:t xml:space="preserve">, </w:t>
      </w:r>
      <w:r w:rsidR="004C70B5" w:rsidRPr="003F141B">
        <w:rPr>
          <w:b/>
          <w:lang w:val="en-CA" w:eastAsia="fr-CA"/>
        </w:rPr>
        <w:t xml:space="preserve">he had to show more reasonable diligence by not spontaneously accepting the first offer to contact </w:t>
      </w:r>
      <w:r w:rsidR="00E92BFD" w:rsidRPr="003F141B">
        <w:rPr>
          <w:b/>
          <w:lang w:val="en-CA" w:eastAsia="fr-CA"/>
        </w:rPr>
        <w:t>legal aid</w:t>
      </w:r>
      <w:r w:rsidR="004C70B5" w:rsidRPr="003F141B">
        <w:rPr>
          <w:b/>
          <w:lang w:val="en-CA" w:eastAsia="fr-CA"/>
        </w:rPr>
        <w:t xml:space="preserve"> after the </w:t>
      </w:r>
      <w:r w:rsidR="00F74FD5" w:rsidRPr="003F141B">
        <w:rPr>
          <w:b/>
          <w:lang w:val="en-CA" w:eastAsia="fr-CA"/>
        </w:rPr>
        <w:t>unsuccessful</w:t>
      </w:r>
      <w:r w:rsidR="004C70B5" w:rsidRPr="003F141B">
        <w:rPr>
          <w:b/>
          <w:lang w:val="en-CA" w:eastAsia="fr-CA"/>
        </w:rPr>
        <w:t xml:space="preserve"> attempt to contact</w:t>
      </w:r>
      <w:r w:rsidRPr="003F141B">
        <w:rPr>
          <w:b/>
          <w:lang w:val="en-CA" w:eastAsia="fr-CA"/>
        </w:rPr>
        <w:t xml:space="preserve"> </w:t>
      </w:r>
      <w:proofErr w:type="spellStart"/>
      <w:r w:rsidR="00F74FD5" w:rsidRPr="003F141B">
        <w:rPr>
          <w:b/>
          <w:lang w:val="en-CA" w:eastAsia="fr-CA"/>
        </w:rPr>
        <w:t>Mtre</w:t>
      </w:r>
      <w:proofErr w:type="spellEnd"/>
      <w:r w:rsidR="00F74FD5" w:rsidRPr="003F141B">
        <w:rPr>
          <w:b/>
          <w:lang w:val="en-CA" w:eastAsia="fr-CA"/>
        </w:rPr>
        <w:t xml:space="preserve"> </w:t>
      </w:r>
      <w:proofErr w:type="spellStart"/>
      <w:r w:rsidRPr="003F141B">
        <w:rPr>
          <w:b/>
          <w:lang w:val="en-CA" w:eastAsia="fr-CA"/>
        </w:rPr>
        <w:t>Brisebois</w:t>
      </w:r>
      <w:proofErr w:type="spellEnd"/>
      <w:r w:rsidRPr="003F141B">
        <w:rPr>
          <w:b/>
          <w:lang w:val="en-CA" w:eastAsia="fr-CA"/>
        </w:rPr>
        <w:t>.</w:t>
      </w:r>
    </w:p>
    <w:p w14:paraId="3F0EA6A1" w14:textId="77777777" w:rsidR="00313441" w:rsidRPr="009C4F7B" w:rsidRDefault="00313441" w:rsidP="00A3031E">
      <w:pPr>
        <w:pStyle w:val="Citationenretrait"/>
        <w:spacing w:before="80" w:after="80" w:line="240" w:lineRule="auto"/>
        <w:rPr>
          <w:lang w:val="fr-FR" w:eastAsia="fr-CA"/>
        </w:rPr>
      </w:pPr>
      <w:r w:rsidRPr="009C4F7B">
        <w:rPr>
          <w:lang w:val="fr-FR" w:eastAsia="fr-CA"/>
        </w:rPr>
        <w:t>[…]</w:t>
      </w:r>
    </w:p>
    <w:p w14:paraId="0B693FBA" w14:textId="2FE080A1" w:rsidR="009130CA" w:rsidRPr="003F141B" w:rsidRDefault="005003D8" w:rsidP="00A3031E">
      <w:pPr>
        <w:pStyle w:val="Citationenretrait"/>
        <w:spacing w:before="80" w:after="80" w:line="240" w:lineRule="auto"/>
        <w:rPr>
          <w:lang w:val="en-CA" w:eastAsia="fr-CA"/>
        </w:rPr>
      </w:pPr>
      <w:r w:rsidRPr="003F141B">
        <w:rPr>
          <w:lang w:val="en-CA" w:eastAsia="fr-CA"/>
        </w:rPr>
        <w:t>[35]</w:t>
      </w:r>
      <w:r w:rsidRPr="003F141B">
        <w:rPr>
          <w:sz w:val="14"/>
          <w:szCs w:val="14"/>
          <w:lang w:val="en-CA" w:eastAsia="fr-CA"/>
        </w:rPr>
        <w:t xml:space="preserve"> </w:t>
      </w:r>
      <w:r w:rsidR="00E92BFD" w:rsidRPr="003F141B">
        <w:rPr>
          <w:lang w:val="en-CA" w:eastAsia="fr-CA"/>
        </w:rPr>
        <w:t xml:space="preserve">It must be </w:t>
      </w:r>
      <w:r w:rsidR="00F74FD5" w:rsidRPr="003F141B">
        <w:rPr>
          <w:lang w:val="en-CA" w:eastAsia="fr-CA"/>
        </w:rPr>
        <w:t>noted</w:t>
      </w:r>
      <w:r w:rsidR="00E92BFD" w:rsidRPr="003F141B">
        <w:rPr>
          <w:lang w:val="en-CA" w:eastAsia="fr-CA"/>
        </w:rPr>
        <w:t xml:space="preserve"> that </w:t>
      </w:r>
      <w:r w:rsidR="00115CD9" w:rsidRPr="003F141B">
        <w:rPr>
          <w:lang w:val="en-CA" w:eastAsia="fr-CA"/>
        </w:rPr>
        <w:t>once</w:t>
      </w:r>
      <w:r w:rsidR="00E92BFD" w:rsidRPr="003F141B">
        <w:rPr>
          <w:lang w:val="en-CA" w:eastAsia="fr-CA"/>
        </w:rPr>
        <w:t xml:space="preserve"> the trial judge </w:t>
      </w:r>
      <w:r w:rsidR="00115CD9" w:rsidRPr="003F141B">
        <w:rPr>
          <w:lang w:val="en-CA" w:eastAsia="fr-CA"/>
        </w:rPr>
        <w:t xml:space="preserve">found that the appellant understood the warning about his right to counsel, there was no basis for complaint </w:t>
      </w:r>
      <w:r w:rsidR="00C94711" w:rsidRPr="003F141B">
        <w:rPr>
          <w:lang w:val="en-CA" w:eastAsia="fr-CA"/>
        </w:rPr>
        <w:t>about</w:t>
      </w:r>
      <w:r w:rsidR="00115CD9" w:rsidRPr="003F141B">
        <w:rPr>
          <w:lang w:val="en-CA" w:eastAsia="fr-CA"/>
        </w:rPr>
        <w:t xml:space="preserve"> the application of the informational component of the right to counsel. </w:t>
      </w:r>
      <w:proofErr w:type="gramStart"/>
      <w:r w:rsidR="00115CD9" w:rsidRPr="003F141B">
        <w:rPr>
          <w:b/>
          <w:lang w:val="en-CA" w:eastAsia="fr-CA"/>
        </w:rPr>
        <w:t>Also</w:t>
      </w:r>
      <w:proofErr w:type="gramEnd"/>
      <w:r w:rsidR="00115CD9" w:rsidRPr="003F141B">
        <w:rPr>
          <w:b/>
          <w:lang w:val="en-CA" w:eastAsia="fr-CA"/>
        </w:rPr>
        <w:t>, it is clear that the appellant made the decision to contact the legal aid lawyer.</w:t>
      </w:r>
    </w:p>
    <w:p w14:paraId="5FBE7F8F" w14:textId="46F88B05" w:rsidR="009130CA" w:rsidRPr="003F141B" w:rsidRDefault="005003D8" w:rsidP="00A3031E">
      <w:pPr>
        <w:pStyle w:val="Citationenretrait"/>
        <w:spacing w:before="80" w:after="80" w:line="240" w:lineRule="auto"/>
        <w:rPr>
          <w:lang w:val="en-CA" w:eastAsia="fr-CA"/>
        </w:rPr>
      </w:pPr>
      <w:r w:rsidRPr="003F141B">
        <w:rPr>
          <w:lang w:val="en-CA" w:eastAsia="fr-CA"/>
        </w:rPr>
        <w:t>[36]</w:t>
      </w:r>
      <w:r w:rsidRPr="003F141B">
        <w:rPr>
          <w:sz w:val="14"/>
          <w:szCs w:val="14"/>
          <w:lang w:val="en-CA" w:eastAsia="fr-CA"/>
        </w:rPr>
        <w:t xml:space="preserve"> </w:t>
      </w:r>
      <w:r w:rsidR="00115CD9" w:rsidRPr="003F141B">
        <w:rPr>
          <w:lang w:val="en-CA" w:eastAsia="fr-CA"/>
        </w:rPr>
        <w:t>The Court finds that this ground of appeal must be rejected and that the trial judge did not err in fact or in law when he ruled that the app</w:t>
      </w:r>
      <w:r w:rsidR="007E7358" w:rsidRPr="003F141B">
        <w:rPr>
          <w:lang w:val="en-CA" w:eastAsia="fr-CA"/>
        </w:rPr>
        <w:t>e</w:t>
      </w:r>
      <w:r w:rsidR="00115CD9" w:rsidRPr="003F141B">
        <w:rPr>
          <w:lang w:val="en-CA" w:eastAsia="fr-CA"/>
        </w:rPr>
        <w:t>llant</w:t>
      </w:r>
      <w:r w:rsidR="003061CC">
        <w:rPr>
          <w:lang w:val="en-CA" w:eastAsia="fr-CA"/>
        </w:rPr>
        <w:t>’</w:t>
      </w:r>
      <w:r w:rsidR="00115CD9" w:rsidRPr="003F141B">
        <w:rPr>
          <w:lang w:val="en-CA" w:eastAsia="fr-CA"/>
        </w:rPr>
        <w:t xml:space="preserve">s </w:t>
      </w:r>
      <w:r w:rsidR="00147C72" w:rsidRPr="003F141B">
        <w:rPr>
          <w:lang w:val="en-CA" w:eastAsia="fr-CA"/>
        </w:rPr>
        <w:t>s.</w:t>
      </w:r>
      <w:r w:rsidR="00115CD9" w:rsidRPr="003F141B">
        <w:rPr>
          <w:lang w:val="en-CA" w:eastAsia="fr-CA"/>
        </w:rPr>
        <w:t xml:space="preserve"> 10(b) </w:t>
      </w:r>
      <w:r w:rsidR="00115CD9" w:rsidRPr="003F141B">
        <w:rPr>
          <w:i/>
          <w:lang w:val="en-CA" w:eastAsia="fr-CA"/>
        </w:rPr>
        <w:t xml:space="preserve">Charter </w:t>
      </w:r>
      <w:r w:rsidR="00115CD9" w:rsidRPr="003F141B">
        <w:rPr>
          <w:lang w:val="en-CA" w:eastAsia="fr-CA"/>
        </w:rPr>
        <w:t xml:space="preserve">right was not infringed. </w:t>
      </w:r>
    </w:p>
    <w:p w14:paraId="2A308B9C" w14:textId="719C05AD" w:rsidR="009130CA" w:rsidRPr="003F141B" w:rsidRDefault="005003D8" w:rsidP="00A3031E">
      <w:pPr>
        <w:pStyle w:val="Citationenretrait"/>
        <w:spacing w:before="80" w:after="80" w:line="240" w:lineRule="auto"/>
        <w:rPr>
          <w:lang w:val="en-CA" w:eastAsia="fr-CA"/>
        </w:rPr>
      </w:pPr>
      <w:r w:rsidRPr="003F141B">
        <w:rPr>
          <w:lang w:val="en-CA" w:eastAsia="fr-CA"/>
        </w:rPr>
        <w:tab/>
      </w:r>
      <w:r w:rsidRPr="003F141B">
        <w:rPr>
          <w:lang w:val="en-CA" w:eastAsia="fr-CA"/>
        </w:rPr>
        <w:tab/>
      </w:r>
      <w:r w:rsidRPr="003F141B">
        <w:rPr>
          <w:lang w:val="en-CA" w:eastAsia="fr-CA"/>
        </w:rPr>
        <w:tab/>
        <w:t xml:space="preserve">  </w:t>
      </w:r>
      <w:r w:rsidR="00115CD9" w:rsidRPr="003F141B">
        <w:rPr>
          <w:lang w:val="en-CA" w:eastAsia="fr-CA"/>
        </w:rPr>
        <w:t xml:space="preserve">  </w:t>
      </w:r>
      <w:r w:rsidRPr="003F141B">
        <w:rPr>
          <w:lang w:val="en-CA" w:eastAsia="fr-CA"/>
        </w:rPr>
        <w:t xml:space="preserve"> [</w:t>
      </w:r>
      <w:r w:rsidR="00D63635">
        <w:rPr>
          <w:lang w:val="en-CA" w:eastAsia="fr-CA"/>
        </w:rPr>
        <w:t xml:space="preserve">Underlining </w:t>
      </w:r>
      <w:r w:rsidR="00115CD9" w:rsidRPr="003F141B">
        <w:rPr>
          <w:lang w:val="en-CA" w:eastAsia="fr-CA"/>
        </w:rPr>
        <w:t>added</w:t>
      </w:r>
      <w:r w:rsidR="00D63635">
        <w:rPr>
          <w:lang w:val="en-CA" w:eastAsia="fr-CA"/>
        </w:rPr>
        <w:t>; boldface added; references omitted</w:t>
      </w:r>
      <w:r w:rsidR="00115CD9" w:rsidRPr="003F141B">
        <w:rPr>
          <w:rFonts w:cs="Arial"/>
          <w:lang w:val="en-CA" w:eastAsia="fr-CA"/>
        </w:rPr>
        <w:t>]</w:t>
      </w:r>
    </w:p>
    <w:p w14:paraId="2368A069" w14:textId="635996A1" w:rsidR="009130CA" w:rsidRPr="003F141B" w:rsidRDefault="007E7358" w:rsidP="007E7358">
      <w:pPr>
        <w:pStyle w:val="Paragraphe"/>
        <w:spacing w:line="240" w:lineRule="auto"/>
        <w:rPr>
          <w:lang w:val="en-CA"/>
        </w:rPr>
      </w:pPr>
      <w:r w:rsidRPr="003F141B">
        <w:rPr>
          <w:lang w:val="en-CA"/>
        </w:rPr>
        <w:lastRenderedPageBreak/>
        <w:t>That said, at the hearing, the respondent argued that the police officers</w:t>
      </w:r>
      <w:r w:rsidR="003061CC">
        <w:rPr>
          <w:lang w:val="en-CA"/>
        </w:rPr>
        <w:t>’</w:t>
      </w:r>
      <w:r w:rsidRPr="003F141B">
        <w:rPr>
          <w:lang w:val="en-CA"/>
        </w:rPr>
        <w:t xml:space="preserve"> </w:t>
      </w:r>
      <w:r w:rsidR="00F74FD5" w:rsidRPr="003F141B">
        <w:rPr>
          <w:lang w:val="en-CA"/>
        </w:rPr>
        <w:t>obligation</w:t>
      </w:r>
      <w:r w:rsidRPr="003F141B">
        <w:rPr>
          <w:lang w:val="en-CA"/>
        </w:rPr>
        <w:t xml:space="preserve"> to provide him with a reasonable opportunity to exercise his right to retain </w:t>
      </w:r>
      <w:r w:rsidR="00F74FD5" w:rsidRPr="003F141B">
        <w:rPr>
          <w:lang w:val="en-CA"/>
        </w:rPr>
        <w:t xml:space="preserve">and instruct </w:t>
      </w:r>
      <w:r w:rsidRPr="003F141B">
        <w:rPr>
          <w:lang w:val="en-CA"/>
        </w:rPr>
        <w:t xml:space="preserve">the lawyers he had first </w:t>
      </w:r>
      <w:r w:rsidR="007119B1" w:rsidRPr="003F141B">
        <w:rPr>
          <w:lang w:val="en-CA"/>
        </w:rPr>
        <w:t>identified</w:t>
      </w:r>
      <w:r w:rsidRPr="003F141B">
        <w:rPr>
          <w:lang w:val="en-CA"/>
        </w:rPr>
        <w:t xml:space="preserve"> required them, after their unsuccessful attempts, to expressly inform him that he was entitled to an additional period of time to make a second attempt to contact them before deciding to retain </w:t>
      </w:r>
      <w:r w:rsidR="00F74FD5" w:rsidRPr="003F141B">
        <w:rPr>
          <w:lang w:val="en-CA"/>
        </w:rPr>
        <w:t xml:space="preserve">and instruct </w:t>
      </w:r>
      <w:proofErr w:type="spellStart"/>
      <w:r w:rsidRPr="003F141B">
        <w:rPr>
          <w:lang w:val="en-CA"/>
        </w:rPr>
        <w:t>Mtre</w:t>
      </w:r>
      <w:proofErr w:type="spellEnd"/>
      <w:r w:rsidRPr="003F141B">
        <w:rPr>
          <w:lang w:val="en-CA"/>
        </w:rPr>
        <w:t xml:space="preserve"> Gagnon</w:t>
      </w:r>
    </w:p>
    <w:p w14:paraId="7FDEB395" w14:textId="4646E9C8" w:rsidR="009130CA" w:rsidRPr="003F141B" w:rsidRDefault="00C94711" w:rsidP="009130CA">
      <w:pPr>
        <w:pStyle w:val="Paragraphe"/>
        <w:spacing w:line="240" w:lineRule="auto"/>
        <w:rPr>
          <w:lang w:val="en-CA"/>
        </w:rPr>
      </w:pPr>
      <w:r w:rsidRPr="003F141B">
        <w:rPr>
          <w:lang w:val="en-CA"/>
        </w:rPr>
        <w:t xml:space="preserve">Unlike </w:t>
      </w:r>
      <w:r w:rsidR="007E7358" w:rsidRPr="003F141B">
        <w:rPr>
          <w:lang w:val="en-CA"/>
        </w:rPr>
        <w:t>my colleagues, and with respect, I do not believe that</w:t>
      </w:r>
      <w:r w:rsidRPr="003F141B">
        <w:rPr>
          <w:lang w:val="en-CA"/>
        </w:rPr>
        <w:t xml:space="preserve"> is so</w:t>
      </w:r>
      <w:r w:rsidR="007E7358" w:rsidRPr="003F141B">
        <w:rPr>
          <w:lang w:val="en-CA"/>
        </w:rPr>
        <w:t>.</w:t>
      </w:r>
    </w:p>
    <w:p w14:paraId="1D9C5A5C" w14:textId="3A617890" w:rsidR="009130CA" w:rsidRPr="003F141B" w:rsidRDefault="007E7358" w:rsidP="009130CA">
      <w:pPr>
        <w:pStyle w:val="Paragraphe"/>
        <w:spacing w:line="240" w:lineRule="auto"/>
        <w:rPr>
          <w:lang w:val="en-CA"/>
        </w:rPr>
      </w:pPr>
      <w:r w:rsidRPr="003F141B">
        <w:rPr>
          <w:lang w:val="en-CA"/>
        </w:rPr>
        <w:t>First</w:t>
      </w:r>
      <w:r w:rsidR="005003D8" w:rsidRPr="003F141B">
        <w:rPr>
          <w:lang w:val="en-CA"/>
        </w:rPr>
        <w:t xml:space="preserve">, </w:t>
      </w:r>
      <w:r w:rsidRPr="003F141B">
        <w:rPr>
          <w:lang w:val="en-CA"/>
        </w:rPr>
        <w:t xml:space="preserve">the respondent </w:t>
      </w:r>
      <w:r w:rsidR="00C94711" w:rsidRPr="003F141B">
        <w:rPr>
          <w:lang w:val="en-CA"/>
        </w:rPr>
        <w:t xml:space="preserve">has </w:t>
      </w:r>
      <w:r w:rsidRPr="003F141B">
        <w:rPr>
          <w:lang w:val="en-CA"/>
        </w:rPr>
        <w:t>submit</w:t>
      </w:r>
      <w:r w:rsidR="00C94711" w:rsidRPr="003F141B">
        <w:rPr>
          <w:lang w:val="en-CA"/>
        </w:rPr>
        <w:t>ted no</w:t>
      </w:r>
      <w:r w:rsidRPr="003F141B">
        <w:rPr>
          <w:lang w:val="en-CA"/>
        </w:rPr>
        <w:t xml:space="preserve"> case law that confirms such a duty</w:t>
      </w:r>
      <w:r w:rsidR="00C94711" w:rsidRPr="003F141B">
        <w:rPr>
          <w:lang w:val="en-CA"/>
        </w:rPr>
        <w:t>,</w:t>
      </w:r>
      <w:r w:rsidRPr="003F141B">
        <w:rPr>
          <w:lang w:val="en-CA"/>
        </w:rPr>
        <w:t xml:space="preserve"> and there does not appear to be any. Second, </w:t>
      </w:r>
      <w:r w:rsidR="00C94711" w:rsidRPr="003F141B">
        <w:rPr>
          <w:lang w:val="en-CA"/>
        </w:rPr>
        <w:t xml:space="preserve">it emerges from the case law that, </w:t>
      </w:r>
      <w:r w:rsidRPr="003F141B">
        <w:rPr>
          <w:lang w:val="en-CA"/>
        </w:rPr>
        <w:t>on the contrary</w:t>
      </w:r>
      <w:r w:rsidR="00C94711" w:rsidRPr="003F141B">
        <w:rPr>
          <w:lang w:val="en-CA"/>
        </w:rPr>
        <w:t>,</w:t>
      </w:r>
      <w:r w:rsidRPr="003F141B">
        <w:rPr>
          <w:lang w:val="en-CA"/>
        </w:rPr>
        <w:t xml:space="preserve"> </w:t>
      </w:r>
      <w:r w:rsidR="00147C72" w:rsidRPr="003F141B">
        <w:rPr>
          <w:lang w:val="en-CA"/>
        </w:rPr>
        <w:t>s.</w:t>
      </w:r>
      <w:r w:rsidRPr="003F141B">
        <w:rPr>
          <w:lang w:val="en-CA"/>
        </w:rPr>
        <w:t xml:space="preserve"> 10(b) of the </w:t>
      </w:r>
      <w:r w:rsidRPr="003F141B">
        <w:rPr>
          <w:i/>
          <w:lang w:val="en-CA"/>
        </w:rPr>
        <w:t>Charter</w:t>
      </w:r>
      <w:r w:rsidRPr="003F141B">
        <w:rPr>
          <w:lang w:val="en-CA"/>
        </w:rPr>
        <w:t xml:space="preserve"> </w:t>
      </w:r>
      <w:r w:rsidR="00C94711" w:rsidRPr="003F141B">
        <w:rPr>
          <w:lang w:val="en-CA"/>
        </w:rPr>
        <w:t xml:space="preserve">imposes no </w:t>
      </w:r>
      <w:r w:rsidRPr="003F141B">
        <w:rPr>
          <w:lang w:val="en-CA"/>
        </w:rPr>
        <w:t xml:space="preserve">such additional </w:t>
      </w:r>
      <w:r w:rsidR="008B73BE" w:rsidRPr="003F141B">
        <w:rPr>
          <w:lang w:val="en-CA"/>
        </w:rPr>
        <w:t>obligation</w:t>
      </w:r>
      <w:r w:rsidRPr="003F141B">
        <w:rPr>
          <w:lang w:val="en-CA"/>
        </w:rPr>
        <w:t xml:space="preserve"> on police officers.</w:t>
      </w:r>
      <w:r w:rsidR="005003D8" w:rsidRPr="003F141B">
        <w:rPr>
          <w:lang w:val="en-CA"/>
        </w:rPr>
        <w:t xml:space="preserve">  </w:t>
      </w:r>
    </w:p>
    <w:p w14:paraId="12433F63" w14:textId="6C867437" w:rsidR="009130CA" w:rsidRPr="003F141B" w:rsidRDefault="00E34B34" w:rsidP="009130CA">
      <w:pPr>
        <w:pStyle w:val="Paragraphe"/>
        <w:spacing w:line="240" w:lineRule="auto"/>
        <w:rPr>
          <w:lang w:val="en-CA"/>
        </w:rPr>
      </w:pPr>
      <w:r w:rsidRPr="003F141B">
        <w:rPr>
          <w:lang w:val="en-CA"/>
        </w:rPr>
        <w:t>For example</w:t>
      </w:r>
      <w:r w:rsidR="006F5B6A" w:rsidRPr="003F141B">
        <w:rPr>
          <w:lang w:val="en-CA"/>
        </w:rPr>
        <w:t>, in</w:t>
      </w:r>
      <w:r w:rsidR="005003D8" w:rsidRPr="003F141B">
        <w:rPr>
          <w:lang w:val="en-CA"/>
        </w:rPr>
        <w:t xml:space="preserve"> </w:t>
      </w:r>
      <w:r w:rsidR="005003D8" w:rsidRPr="003F141B">
        <w:rPr>
          <w:i/>
          <w:lang w:val="en-CA"/>
        </w:rPr>
        <w:t xml:space="preserve">R. v. </w:t>
      </w:r>
      <w:proofErr w:type="spellStart"/>
      <w:r w:rsidR="005003D8" w:rsidRPr="003F141B">
        <w:rPr>
          <w:i/>
          <w:lang w:val="en-CA"/>
        </w:rPr>
        <w:t>Keror</w:t>
      </w:r>
      <w:proofErr w:type="spellEnd"/>
      <w:r w:rsidRPr="003F141B">
        <w:rPr>
          <w:lang w:val="en-CA"/>
        </w:rPr>
        <w:t>,</w:t>
      </w:r>
      <w:r w:rsidR="005003D8" w:rsidRPr="003F141B">
        <w:rPr>
          <w:rStyle w:val="Appelnotedebasdep"/>
          <w:lang w:val="en-CA"/>
        </w:rPr>
        <w:footnoteReference w:id="64"/>
      </w:r>
      <w:r w:rsidR="006F5B6A" w:rsidRPr="003F141B">
        <w:rPr>
          <w:lang w:val="en-CA"/>
        </w:rPr>
        <w:t xml:space="preserve"> discussed above</w:t>
      </w:r>
      <w:r w:rsidR="005003D8" w:rsidRPr="003F141B">
        <w:rPr>
          <w:lang w:val="en-CA"/>
        </w:rPr>
        <w:t xml:space="preserve">, </w:t>
      </w:r>
      <w:r w:rsidR="00F74FD5" w:rsidRPr="003F141B">
        <w:rPr>
          <w:lang w:val="en-CA"/>
        </w:rPr>
        <w:t xml:space="preserve">the </w:t>
      </w:r>
      <w:r w:rsidR="006F5B6A" w:rsidRPr="003F141B">
        <w:rPr>
          <w:lang w:val="en-CA"/>
        </w:rPr>
        <w:t xml:space="preserve">Court of Appeal </w:t>
      </w:r>
      <w:r w:rsidRPr="003F141B">
        <w:rPr>
          <w:lang w:val="en-CA"/>
        </w:rPr>
        <w:t>of Alberta</w:t>
      </w:r>
      <w:r w:rsidR="00077FE1">
        <w:rPr>
          <w:lang w:val="en-CA"/>
        </w:rPr>
        <w:t>, relying</w:t>
      </w:r>
      <w:r w:rsidR="006F5B6A" w:rsidRPr="003F141B">
        <w:rPr>
          <w:lang w:val="en-CA"/>
        </w:rPr>
        <w:t xml:space="preserve"> on the Supreme Court</w:t>
      </w:r>
      <w:r w:rsidR="003061CC">
        <w:rPr>
          <w:lang w:val="en-CA"/>
        </w:rPr>
        <w:t>’</w:t>
      </w:r>
      <w:r w:rsidR="006F5B6A" w:rsidRPr="003F141B">
        <w:rPr>
          <w:lang w:val="en-CA"/>
        </w:rPr>
        <w:t xml:space="preserve">s </w:t>
      </w:r>
      <w:r w:rsidR="00DB456D" w:rsidRPr="003F141B">
        <w:rPr>
          <w:lang w:val="en-CA"/>
        </w:rPr>
        <w:t>judgment</w:t>
      </w:r>
      <w:r w:rsidR="006F5B6A" w:rsidRPr="003F141B">
        <w:rPr>
          <w:lang w:val="en-CA"/>
        </w:rPr>
        <w:t xml:space="preserve"> in</w:t>
      </w:r>
      <w:r w:rsidR="005003D8" w:rsidRPr="003F141B">
        <w:rPr>
          <w:lang w:val="en-CA"/>
        </w:rPr>
        <w:t xml:space="preserve"> </w:t>
      </w:r>
      <w:r w:rsidR="005003D8" w:rsidRPr="003F141B">
        <w:rPr>
          <w:i/>
          <w:lang w:val="en-CA"/>
        </w:rPr>
        <w:t>Willier</w:t>
      </w:r>
      <w:r w:rsidR="00077FE1">
        <w:rPr>
          <w:iCs/>
          <w:lang w:val="en-CA"/>
        </w:rPr>
        <w:t xml:space="preserve">, </w:t>
      </w:r>
      <w:r w:rsidR="00077FE1" w:rsidRPr="003F141B">
        <w:rPr>
          <w:lang w:val="en-CA"/>
        </w:rPr>
        <w:t>rejected a similar submission</w:t>
      </w:r>
      <w:r w:rsidR="005003D8" w:rsidRPr="003F141B">
        <w:rPr>
          <w:lang w:val="en-CA"/>
        </w:rPr>
        <w:t>:</w:t>
      </w:r>
    </w:p>
    <w:p w14:paraId="38E362C7" w14:textId="6ECFCA4D" w:rsidR="009130CA" w:rsidRPr="003F141B" w:rsidRDefault="005003D8" w:rsidP="009130CA">
      <w:pPr>
        <w:pStyle w:val="Citationenretrait"/>
        <w:spacing w:line="240" w:lineRule="auto"/>
        <w:rPr>
          <w:rFonts w:ascii="Times New Roman" w:hAnsi="Times New Roman"/>
          <w:lang w:val="en-CA" w:eastAsia="fr-CA"/>
        </w:rPr>
      </w:pPr>
      <w:r w:rsidRPr="003F141B">
        <w:rPr>
          <w:lang w:val="en-CA"/>
        </w:rPr>
        <w:t>[</w:t>
      </w:r>
      <w:bookmarkStart w:id="14" w:name="par48"/>
      <w:r w:rsidRPr="003F141B">
        <w:rPr>
          <w:lang w:val="en-CA"/>
        </w:rPr>
        <w:t>48</w:t>
      </w:r>
      <w:bookmarkEnd w:id="14"/>
      <w:r w:rsidRPr="003F141B">
        <w:rPr>
          <w:lang w:val="en-CA"/>
        </w:rPr>
        <w:t>]</w:t>
      </w:r>
      <w:r w:rsidRPr="003F141B">
        <w:rPr>
          <w:sz w:val="14"/>
          <w:szCs w:val="14"/>
          <w:lang w:val="en-CA"/>
        </w:rPr>
        <w:t xml:space="preserve"> </w:t>
      </w:r>
      <w:r w:rsidR="00DD0CC9">
        <w:rPr>
          <w:sz w:val="14"/>
          <w:szCs w:val="14"/>
          <w:lang w:val="en-CA"/>
        </w:rPr>
        <w:t>[</w:t>
      </w:r>
      <w:r w:rsidR="006F5B6A" w:rsidRPr="003F141B">
        <w:rPr>
          <w:rFonts w:cs="Arial"/>
          <w:sz w:val="20"/>
          <w:lang w:val="en-CA"/>
        </w:rPr>
        <w:t>…</w:t>
      </w:r>
      <w:r w:rsidR="00DD0CC9">
        <w:rPr>
          <w:rFonts w:cs="Arial"/>
          <w:sz w:val="20"/>
          <w:lang w:val="en-CA"/>
        </w:rPr>
        <w:t xml:space="preserve">] </w:t>
      </w:r>
      <w:r w:rsidRPr="003F141B">
        <w:rPr>
          <w:lang w:val="en-CA"/>
        </w:rPr>
        <w:t xml:space="preserve">The appellant argues that unless the police tell a detainee about the possibility of waiting to speak with his preferred counsel, the detainee cannot make an informed decision about whether to </w:t>
      </w:r>
      <w:r w:rsidR="00081775">
        <w:rPr>
          <w:lang w:val="en-CA"/>
        </w:rPr>
        <w:t>“</w:t>
      </w:r>
      <w:r w:rsidRPr="003F141B">
        <w:rPr>
          <w:lang w:val="en-CA"/>
        </w:rPr>
        <w:t>make do</w:t>
      </w:r>
      <w:r w:rsidR="00081775">
        <w:rPr>
          <w:lang w:val="en-CA"/>
        </w:rPr>
        <w:t>”</w:t>
      </w:r>
      <w:r w:rsidRPr="003F141B">
        <w:rPr>
          <w:lang w:val="en-CA"/>
        </w:rPr>
        <w:t xml:space="preserve"> with another lawyer who happens to be available, such as duty counsel.</w:t>
      </w:r>
    </w:p>
    <w:p w14:paraId="06512D69" w14:textId="77777777" w:rsidR="009130CA" w:rsidRPr="003F141B" w:rsidRDefault="005003D8" w:rsidP="009130CA">
      <w:pPr>
        <w:pStyle w:val="Citationenretrait"/>
        <w:spacing w:line="240" w:lineRule="auto"/>
        <w:rPr>
          <w:lang w:val="en-CA"/>
        </w:rPr>
      </w:pPr>
      <w:r w:rsidRPr="003F141B">
        <w:rPr>
          <w:lang w:val="en-CA"/>
        </w:rPr>
        <w:t>[</w:t>
      </w:r>
      <w:bookmarkStart w:id="15" w:name="par49"/>
      <w:r w:rsidRPr="003F141B">
        <w:rPr>
          <w:lang w:val="en-CA"/>
        </w:rPr>
        <w:t>49</w:t>
      </w:r>
      <w:bookmarkEnd w:id="15"/>
      <w:r w:rsidRPr="003F141B">
        <w:rPr>
          <w:lang w:val="en-CA"/>
        </w:rPr>
        <w:t>]</w:t>
      </w:r>
      <w:r w:rsidRPr="003F141B">
        <w:rPr>
          <w:sz w:val="14"/>
          <w:szCs w:val="14"/>
          <w:lang w:val="en-CA"/>
        </w:rPr>
        <w:t xml:space="preserve"> </w:t>
      </w:r>
      <w:r w:rsidRPr="003F141B">
        <w:rPr>
          <w:u w:val="single"/>
          <w:lang w:val="en-CA"/>
        </w:rPr>
        <w:t xml:space="preserve">The appellant attempts to revive an argument that the Supreme Court rejected in </w:t>
      </w:r>
      <w:r w:rsidRPr="003F141B">
        <w:rPr>
          <w:i/>
          <w:iCs/>
          <w:u w:val="single"/>
          <w:lang w:val="en-CA"/>
        </w:rPr>
        <w:t>Willier</w:t>
      </w:r>
      <w:r w:rsidRPr="003F141B">
        <w:rPr>
          <w:u w:val="single"/>
          <w:lang w:val="en-CA"/>
        </w:rPr>
        <w:t xml:space="preserve">. Mr. Willier argued that the police should have told him about his right to speak with his counsel of choice, in a manner similar to a </w:t>
      </w:r>
      <w:r w:rsidRPr="003F141B">
        <w:rPr>
          <w:i/>
          <w:iCs/>
          <w:u w:val="single"/>
          <w:lang w:val="en-CA"/>
        </w:rPr>
        <w:t xml:space="preserve">Prosper </w:t>
      </w:r>
      <w:r w:rsidRPr="003F141B">
        <w:rPr>
          <w:u w:val="single"/>
          <w:lang w:val="en-CA"/>
        </w:rPr>
        <w:t>warning</w:t>
      </w:r>
      <w:r w:rsidRPr="003F141B">
        <w:rPr>
          <w:lang w:val="en-CA"/>
        </w:rPr>
        <w:t xml:space="preserve">. As McLachlin CJC and Charron J explained, </w:t>
      </w:r>
      <w:r w:rsidRPr="003F141B">
        <w:rPr>
          <w:u w:val="single"/>
          <w:lang w:val="en-CA"/>
        </w:rPr>
        <w:t xml:space="preserve">the analogy to </w:t>
      </w:r>
      <w:r w:rsidRPr="003F141B">
        <w:rPr>
          <w:i/>
          <w:iCs/>
          <w:u w:val="single"/>
          <w:lang w:val="en-CA"/>
        </w:rPr>
        <w:t xml:space="preserve">Prosper </w:t>
      </w:r>
      <w:r w:rsidRPr="003F141B">
        <w:rPr>
          <w:u w:val="single"/>
          <w:lang w:val="en-CA"/>
        </w:rPr>
        <w:t>is inapt</w:t>
      </w:r>
      <w:r w:rsidRPr="003F141B">
        <w:rPr>
          <w:lang w:val="en-CA"/>
        </w:rPr>
        <w:t xml:space="preserve"> (at para 39):</w:t>
      </w:r>
    </w:p>
    <w:p w14:paraId="7347C2B3" w14:textId="5EB3E9A7" w:rsidR="009130CA" w:rsidRPr="003F141B" w:rsidRDefault="005003D8" w:rsidP="009130CA">
      <w:pPr>
        <w:pStyle w:val="Citationenretrait"/>
        <w:spacing w:line="240" w:lineRule="auto"/>
        <w:ind w:left="1440"/>
        <w:rPr>
          <w:sz w:val="20"/>
          <w:lang w:val="en-CA"/>
        </w:rPr>
      </w:pPr>
      <w:r w:rsidRPr="003F141B">
        <w:rPr>
          <w:lang w:val="en-CA"/>
        </w:rPr>
        <w:t>…</w:t>
      </w:r>
      <w:r w:rsidRPr="003F141B">
        <w:rPr>
          <w:b/>
          <w:sz w:val="20"/>
          <w:lang w:val="en-CA"/>
        </w:rPr>
        <w:t xml:space="preserve">The concerns animating the provision of a </w:t>
      </w:r>
      <w:r w:rsidRPr="003F141B">
        <w:rPr>
          <w:b/>
          <w:i/>
          <w:iCs/>
          <w:sz w:val="20"/>
          <w:lang w:val="en-CA"/>
        </w:rPr>
        <w:t>Prosper</w:t>
      </w:r>
      <w:r w:rsidRPr="003F141B">
        <w:rPr>
          <w:b/>
          <w:sz w:val="20"/>
          <w:lang w:val="en-CA"/>
        </w:rPr>
        <w:t xml:space="preserve"> warning do not arise when a detainee is unsuccessful in contacting a specific lawyer and simply opts to speak with another</w:t>
      </w:r>
      <w:r w:rsidRPr="003F141B">
        <w:rPr>
          <w:sz w:val="20"/>
          <w:lang w:val="en-CA"/>
        </w:rPr>
        <w:t xml:space="preserve">. In no way did Mr. Willier attempt to relinquish his right to counsel and thus any opportunity to mitigate his legal disadvantage. He made no attempt to waive his s 10(b) right. Instead, unsuccessful in contacting Mr. Royal, </w:t>
      </w:r>
      <w:r w:rsidRPr="003F141B">
        <w:rPr>
          <w:sz w:val="20"/>
          <w:u w:val="single"/>
          <w:lang w:val="en-CA"/>
        </w:rPr>
        <w:t>he exercised his right to counsel by opting to speak with Legal Aid.</w:t>
      </w:r>
      <w:r w:rsidRPr="003F141B">
        <w:rPr>
          <w:sz w:val="20"/>
          <w:lang w:val="en-CA"/>
        </w:rPr>
        <w:t xml:space="preserve"> </w:t>
      </w:r>
      <w:r w:rsidRPr="003F141B">
        <w:rPr>
          <w:b/>
          <w:sz w:val="20"/>
          <w:lang w:val="en-CA"/>
        </w:rPr>
        <w:t xml:space="preserve">As such, the police were under no </w:t>
      </w:r>
      <w:r w:rsidR="008B73BE" w:rsidRPr="003F141B">
        <w:rPr>
          <w:b/>
          <w:sz w:val="20"/>
          <w:lang w:val="en-CA"/>
        </w:rPr>
        <w:t xml:space="preserve">obligation </w:t>
      </w:r>
      <w:r w:rsidRPr="003F141B">
        <w:rPr>
          <w:b/>
          <w:sz w:val="20"/>
          <w:lang w:val="en-CA"/>
        </w:rPr>
        <w:t xml:space="preserve">to provide him with a </w:t>
      </w:r>
      <w:r w:rsidRPr="003F141B">
        <w:rPr>
          <w:b/>
          <w:i/>
          <w:iCs/>
          <w:sz w:val="20"/>
          <w:lang w:val="en-CA"/>
        </w:rPr>
        <w:t>Prosper</w:t>
      </w:r>
      <w:r w:rsidRPr="003F141B">
        <w:rPr>
          <w:b/>
          <w:sz w:val="20"/>
          <w:lang w:val="en-CA"/>
        </w:rPr>
        <w:t xml:space="preserve"> warning, and its absence fails to establish a </w:t>
      </w:r>
      <w:r w:rsidRPr="003F141B">
        <w:rPr>
          <w:b/>
          <w:i/>
          <w:iCs/>
          <w:sz w:val="20"/>
          <w:lang w:val="en-CA"/>
        </w:rPr>
        <w:t>Charter</w:t>
      </w:r>
      <w:r w:rsidRPr="003F141B">
        <w:rPr>
          <w:b/>
          <w:sz w:val="20"/>
          <w:lang w:val="en-CA"/>
        </w:rPr>
        <w:t xml:space="preserve"> breach.</w:t>
      </w:r>
    </w:p>
    <w:p w14:paraId="7355B6A6" w14:textId="3740F956" w:rsidR="008B73BE" w:rsidRPr="003F141B" w:rsidRDefault="005003D8" w:rsidP="008B73BE">
      <w:pPr>
        <w:pStyle w:val="Citationenretrait"/>
        <w:spacing w:line="240" w:lineRule="auto"/>
        <w:rPr>
          <w:rFonts w:cs="Arial"/>
          <w:lang w:val="en-CA"/>
        </w:rPr>
      </w:pPr>
      <w:r w:rsidRPr="003F141B">
        <w:rPr>
          <w:lang w:val="en-CA"/>
        </w:rPr>
        <w:t>[</w:t>
      </w:r>
      <w:bookmarkStart w:id="16" w:name="par50"/>
      <w:r w:rsidRPr="003F141B">
        <w:rPr>
          <w:lang w:val="en-CA"/>
        </w:rPr>
        <w:t>50</w:t>
      </w:r>
      <w:bookmarkEnd w:id="16"/>
      <w:r w:rsidRPr="003F141B">
        <w:rPr>
          <w:lang w:val="en-CA"/>
        </w:rPr>
        <w:t>]</w:t>
      </w:r>
      <w:r w:rsidRPr="003F141B">
        <w:rPr>
          <w:sz w:val="14"/>
          <w:szCs w:val="14"/>
          <w:lang w:val="en-CA"/>
        </w:rPr>
        <w:t xml:space="preserve"> </w:t>
      </w:r>
      <w:r w:rsidRPr="003F141B">
        <w:rPr>
          <w:u w:val="single"/>
          <w:lang w:val="en-CA"/>
        </w:rPr>
        <w:t xml:space="preserve">There is no need to place an additional </w:t>
      </w:r>
      <w:r w:rsidR="008B73BE" w:rsidRPr="003F141B">
        <w:rPr>
          <w:lang w:val="en-CA"/>
        </w:rPr>
        <w:t xml:space="preserve">obligation </w:t>
      </w:r>
      <w:r w:rsidRPr="003F141B">
        <w:rPr>
          <w:u w:val="single"/>
          <w:lang w:val="en-CA"/>
        </w:rPr>
        <w:t xml:space="preserve">on the police in these circumstances, because </w:t>
      </w:r>
      <w:r w:rsidRPr="003F141B">
        <w:rPr>
          <w:i/>
          <w:iCs/>
          <w:u w:val="single"/>
          <w:lang w:val="en-CA"/>
        </w:rPr>
        <w:t>duty counsel</w:t>
      </w:r>
      <w:r w:rsidRPr="003F141B">
        <w:rPr>
          <w:u w:val="single"/>
          <w:lang w:val="en-CA"/>
        </w:rPr>
        <w:t xml:space="preserve"> can explain a detainee</w:t>
      </w:r>
      <w:r w:rsidR="003061CC">
        <w:rPr>
          <w:u w:val="single"/>
          <w:lang w:val="en-CA"/>
        </w:rPr>
        <w:t>’</w:t>
      </w:r>
      <w:r w:rsidRPr="003F141B">
        <w:rPr>
          <w:u w:val="single"/>
          <w:lang w:val="en-CA"/>
        </w:rPr>
        <w:t>s right to speak with his preferred counsel.</w:t>
      </w:r>
      <w:r w:rsidRPr="003F141B">
        <w:rPr>
          <w:rFonts w:cs="Arial"/>
          <w:lang w:val="en-CA"/>
        </w:rPr>
        <w:t xml:space="preserve"> </w:t>
      </w:r>
      <w:r w:rsidR="00DD0CC9">
        <w:rPr>
          <w:rFonts w:cs="Arial"/>
          <w:lang w:val="en-CA"/>
        </w:rPr>
        <w:t>[</w:t>
      </w:r>
      <w:r w:rsidR="008B73BE" w:rsidRPr="003F141B">
        <w:rPr>
          <w:rFonts w:cs="Arial"/>
          <w:lang w:val="en-CA"/>
        </w:rPr>
        <w:t>…</w:t>
      </w:r>
      <w:r w:rsidR="00DD0CC9">
        <w:rPr>
          <w:rFonts w:cs="Arial"/>
          <w:lang w:val="en-CA"/>
        </w:rPr>
        <w:t>]</w:t>
      </w:r>
    </w:p>
    <w:p w14:paraId="1A34C76E" w14:textId="623F901D" w:rsidR="009130CA" w:rsidRPr="003F141B" w:rsidRDefault="005003D8" w:rsidP="009130CA">
      <w:pPr>
        <w:pStyle w:val="Citationenretrait"/>
        <w:spacing w:line="240" w:lineRule="auto"/>
        <w:rPr>
          <w:lang w:val="en-CA"/>
        </w:rPr>
      </w:pPr>
      <w:r w:rsidRPr="003F141B">
        <w:rPr>
          <w:lang w:val="en-CA"/>
        </w:rPr>
        <w:t>[</w:t>
      </w:r>
      <w:bookmarkStart w:id="17" w:name="par51"/>
      <w:r w:rsidRPr="003F141B">
        <w:rPr>
          <w:lang w:val="en-CA"/>
        </w:rPr>
        <w:t>51</w:t>
      </w:r>
      <w:bookmarkEnd w:id="17"/>
      <w:r w:rsidRPr="003F141B">
        <w:rPr>
          <w:lang w:val="en-CA"/>
        </w:rPr>
        <w:t>]</w:t>
      </w:r>
      <w:r w:rsidRPr="003F141B">
        <w:rPr>
          <w:sz w:val="14"/>
          <w:szCs w:val="14"/>
          <w:lang w:val="en-CA"/>
        </w:rPr>
        <w:t xml:space="preserve"> </w:t>
      </w:r>
      <w:r w:rsidRPr="003F141B">
        <w:rPr>
          <w:lang w:val="en-CA"/>
        </w:rPr>
        <w:t>In conclusion, Det. Burrow did not violate the appellant</w:t>
      </w:r>
      <w:r w:rsidR="003061CC">
        <w:rPr>
          <w:lang w:val="en-CA"/>
        </w:rPr>
        <w:t>’</w:t>
      </w:r>
      <w:r w:rsidRPr="003F141B">
        <w:rPr>
          <w:lang w:val="en-CA"/>
        </w:rPr>
        <w:t xml:space="preserve">s right to consult with counsel of his choice, nor did the trial judge err when she concluded Det. Burrow had complied with s 10(b). </w:t>
      </w:r>
    </w:p>
    <w:p w14:paraId="75D37E8E" w14:textId="1BFB506E" w:rsidR="009130CA" w:rsidRPr="003F141B" w:rsidRDefault="005003D8" w:rsidP="009130CA">
      <w:pPr>
        <w:pStyle w:val="Citationenretrait"/>
        <w:spacing w:line="240" w:lineRule="auto"/>
        <w:rPr>
          <w:lang w:val="en-CA"/>
        </w:rPr>
      </w:pPr>
      <w:r w:rsidRPr="003F141B">
        <w:rPr>
          <w:lang w:val="en-CA"/>
        </w:rPr>
        <w:tab/>
      </w:r>
      <w:r w:rsidRPr="003F141B">
        <w:rPr>
          <w:lang w:val="en-CA"/>
        </w:rPr>
        <w:tab/>
      </w:r>
      <w:r w:rsidRPr="003F141B">
        <w:rPr>
          <w:lang w:val="en-CA"/>
        </w:rPr>
        <w:tab/>
      </w:r>
      <w:r w:rsidR="008B73BE" w:rsidRPr="003F141B">
        <w:rPr>
          <w:lang w:val="en-CA"/>
        </w:rPr>
        <w:t xml:space="preserve">                              </w:t>
      </w:r>
      <w:r w:rsidRPr="003F141B">
        <w:rPr>
          <w:lang w:val="en-CA"/>
        </w:rPr>
        <w:t>[</w:t>
      </w:r>
      <w:r w:rsidR="00DD0CC9">
        <w:rPr>
          <w:lang w:val="en-CA"/>
        </w:rPr>
        <w:t xml:space="preserve">Underlining </w:t>
      </w:r>
      <w:r w:rsidR="008B73BE" w:rsidRPr="003F141B">
        <w:rPr>
          <w:lang w:val="en-CA"/>
        </w:rPr>
        <w:t>added</w:t>
      </w:r>
      <w:r w:rsidR="00DD0CC9">
        <w:rPr>
          <w:lang w:val="en-CA"/>
        </w:rPr>
        <w:t>; boldface added</w:t>
      </w:r>
      <w:r w:rsidR="008B73BE" w:rsidRPr="003F141B">
        <w:rPr>
          <w:rFonts w:cs="Arial"/>
          <w:lang w:val="en-CA"/>
        </w:rPr>
        <w:t>]</w:t>
      </w:r>
    </w:p>
    <w:p w14:paraId="4DAB053F" w14:textId="7080B5EE" w:rsidR="009130CA" w:rsidRPr="003F141B" w:rsidRDefault="008B73BE" w:rsidP="009130CA">
      <w:pPr>
        <w:pStyle w:val="Paragraphe"/>
        <w:spacing w:line="240" w:lineRule="auto"/>
        <w:rPr>
          <w:lang w:val="en-CA"/>
        </w:rPr>
      </w:pPr>
      <w:r w:rsidRPr="003F141B">
        <w:rPr>
          <w:lang w:val="en-CA"/>
        </w:rPr>
        <w:lastRenderedPageBreak/>
        <w:t xml:space="preserve">Certainly, </w:t>
      </w:r>
      <w:r w:rsidR="00F74FD5" w:rsidRPr="003F141B">
        <w:rPr>
          <w:lang w:val="en-CA"/>
        </w:rPr>
        <w:t xml:space="preserve">in some cases </w:t>
      </w:r>
      <w:r w:rsidRPr="003F141B">
        <w:rPr>
          <w:lang w:val="en-CA"/>
        </w:rPr>
        <w:t xml:space="preserve">the Supreme Court has recognized the need to add to the duties of police officers to ensure a reasonable opportunity </w:t>
      </w:r>
      <w:r w:rsidR="00F74FD5" w:rsidRPr="003F141B">
        <w:rPr>
          <w:lang w:val="en-CA"/>
        </w:rPr>
        <w:t xml:space="preserve">for the accused or detained person </w:t>
      </w:r>
      <w:r w:rsidRPr="003F141B">
        <w:rPr>
          <w:lang w:val="en-CA"/>
        </w:rPr>
        <w:t xml:space="preserve">to retain </w:t>
      </w:r>
      <w:r w:rsidR="00F74FD5" w:rsidRPr="003F141B">
        <w:rPr>
          <w:lang w:val="en-CA"/>
        </w:rPr>
        <w:t xml:space="preserve">and instruct </w:t>
      </w:r>
      <w:r w:rsidRPr="003F141B">
        <w:rPr>
          <w:lang w:val="en-CA"/>
        </w:rPr>
        <w:t>counsel.</w:t>
      </w:r>
      <w:r w:rsidR="005003D8" w:rsidRPr="003F141B">
        <w:rPr>
          <w:lang w:val="en-CA"/>
        </w:rPr>
        <w:t xml:space="preserve"> </w:t>
      </w:r>
    </w:p>
    <w:p w14:paraId="34F51EE0" w14:textId="6F60F5A6" w:rsidR="009130CA" w:rsidRPr="003F141B" w:rsidRDefault="004669A1" w:rsidP="004669A1">
      <w:pPr>
        <w:pStyle w:val="Paragraphe"/>
        <w:spacing w:line="240" w:lineRule="auto"/>
        <w:rPr>
          <w:lang w:val="en-CA"/>
        </w:rPr>
      </w:pPr>
      <w:r w:rsidRPr="003F141B">
        <w:rPr>
          <w:lang w:val="en-CA"/>
        </w:rPr>
        <w:t>This was the case in</w:t>
      </w:r>
      <w:r w:rsidR="005003D8" w:rsidRPr="003F141B">
        <w:rPr>
          <w:lang w:val="en-CA"/>
        </w:rPr>
        <w:t xml:space="preserve"> </w:t>
      </w:r>
      <w:r w:rsidR="005003D8" w:rsidRPr="003F141B">
        <w:rPr>
          <w:i/>
          <w:lang w:val="en-CA"/>
        </w:rPr>
        <w:t>Prosper</w:t>
      </w:r>
      <w:r w:rsidRPr="003F141B">
        <w:rPr>
          <w:lang w:val="en-CA"/>
        </w:rPr>
        <w:t>,</w:t>
      </w:r>
      <w:r w:rsidR="005003D8" w:rsidRPr="003F141B">
        <w:rPr>
          <w:rStyle w:val="Appelnotedebasdep"/>
          <w:lang w:val="en-CA"/>
        </w:rPr>
        <w:footnoteReference w:id="65"/>
      </w:r>
      <w:r w:rsidRPr="003F141B">
        <w:rPr>
          <w:lang w:val="en-CA"/>
        </w:rPr>
        <w:t xml:space="preserve"> </w:t>
      </w:r>
      <w:r w:rsidR="00A05A90" w:rsidRPr="003F141B">
        <w:rPr>
          <w:lang w:val="en-CA"/>
        </w:rPr>
        <w:t>where</w:t>
      </w:r>
      <w:r w:rsidRPr="003F141B">
        <w:rPr>
          <w:lang w:val="en-CA"/>
        </w:rPr>
        <w:t xml:space="preserve"> the </w:t>
      </w:r>
      <w:r w:rsidR="00A05A90" w:rsidRPr="003F141B">
        <w:rPr>
          <w:lang w:val="en-CA"/>
        </w:rPr>
        <w:t xml:space="preserve">Supreme </w:t>
      </w:r>
      <w:r w:rsidRPr="003F141B">
        <w:rPr>
          <w:lang w:val="en-CA"/>
        </w:rPr>
        <w:t xml:space="preserve">Court </w:t>
      </w:r>
      <w:r w:rsidR="00A05A90" w:rsidRPr="003F141B">
        <w:rPr>
          <w:lang w:val="en-CA"/>
        </w:rPr>
        <w:t xml:space="preserve">set out </w:t>
      </w:r>
      <w:r w:rsidRPr="003F141B">
        <w:rPr>
          <w:lang w:val="en-CA"/>
        </w:rPr>
        <w:t xml:space="preserve">the additional informational obligation of police officers when the arrested or detained person is not successful in contacting a specific lawyer </w:t>
      </w:r>
      <w:r w:rsidR="002C578D" w:rsidRPr="003F141B">
        <w:rPr>
          <w:lang w:val="en-CA"/>
        </w:rPr>
        <w:t>and then</w:t>
      </w:r>
      <w:r w:rsidRPr="003F141B">
        <w:rPr>
          <w:lang w:val="en-CA"/>
        </w:rPr>
        <w:t xml:space="preserve"> refuses </w:t>
      </w:r>
      <w:r w:rsidR="00A05A90" w:rsidRPr="003F141B">
        <w:rPr>
          <w:lang w:val="en-CA"/>
        </w:rPr>
        <w:t xml:space="preserve">the </w:t>
      </w:r>
      <w:r w:rsidRPr="003F141B">
        <w:rPr>
          <w:lang w:val="en-CA"/>
        </w:rPr>
        <w:t xml:space="preserve">opportunity to consult </w:t>
      </w:r>
      <w:r w:rsidRPr="003F141B">
        <w:rPr>
          <w:szCs w:val="24"/>
          <w:lang w:val="en-CA"/>
        </w:rPr>
        <w:t xml:space="preserve">another. The </w:t>
      </w:r>
      <w:r w:rsidR="005003D8" w:rsidRPr="003F141B">
        <w:rPr>
          <w:i/>
          <w:szCs w:val="24"/>
          <w:lang w:val="en-CA"/>
        </w:rPr>
        <w:t>Prosper</w:t>
      </w:r>
      <w:r w:rsidRPr="003F141B">
        <w:rPr>
          <w:szCs w:val="24"/>
          <w:lang w:val="en-CA"/>
        </w:rPr>
        <w:t xml:space="preserve"> warning, as it has come to be known, ensures that the individual is aware that his or her right to counsel is not </w:t>
      </w:r>
      <w:r w:rsidRPr="003F141B">
        <w:rPr>
          <w:szCs w:val="24"/>
          <w:u w:val="single"/>
          <w:lang w:val="en-CA"/>
        </w:rPr>
        <w:t>exhausted</w:t>
      </w:r>
      <w:r w:rsidRPr="003F141B">
        <w:rPr>
          <w:szCs w:val="24"/>
          <w:lang w:val="en-CA"/>
        </w:rPr>
        <w:t xml:space="preserve"> by unsuccessful attempts to contact a specific lawyer. As the Court pointed out in </w:t>
      </w:r>
      <w:r w:rsidRPr="003F141B">
        <w:rPr>
          <w:i/>
          <w:szCs w:val="24"/>
          <w:lang w:val="en-CA"/>
        </w:rPr>
        <w:t>Willier</w:t>
      </w:r>
      <w:r w:rsidRPr="003F141B">
        <w:rPr>
          <w:szCs w:val="24"/>
          <w:lang w:val="en-CA"/>
        </w:rPr>
        <w:t xml:space="preserve">, this additional </w:t>
      </w:r>
      <w:r w:rsidR="00F74FD5" w:rsidRPr="003F141B">
        <w:rPr>
          <w:szCs w:val="24"/>
          <w:lang w:val="en-CA"/>
        </w:rPr>
        <w:t>obligation</w:t>
      </w:r>
      <w:r w:rsidRPr="003F141B">
        <w:rPr>
          <w:szCs w:val="24"/>
          <w:lang w:val="en-CA"/>
        </w:rPr>
        <w:t xml:space="preserve"> to inform on the part of the police arises </w:t>
      </w:r>
      <w:r w:rsidR="00A05A90" w:rsidRPr="003F141B">
        <w:rPr>
          <w:szCs w:val="24"/>
          <w:lang w:val="en-CA"/>
        </w:rPr>
        <w:t xml:space="preserve">only </w:t>
      </w:r>
      <w:r w:rsidRPr="003F141B">
        <w:rPr>
          <w:szCs w:val="24"/>
          <w:lang w:val="en-CA"/>
        </w:rPr>
        <w:t xml:space="preserve">when the arrested or detained person </w:t>
      </w:r>
      <w:r w:rsidR="00081775">
        <w:rPr>
          <w:szCs w:val="24"/>
          <w:lang w:val="en-CA"/>
        </w:rPr>
        <w:t>“</w:t>
      </w:r>
      <w:r w:rsidRPr="003F141B">
        <w:rPr>
          <w:color w:val="000000"/>
          <w:szCs w:val="24"/>
          <w:lang w:val="en-CA"/>
        </w:rPr>
        <w:t>indicates an intent to forego s. 10(</w:t>
      </w:r>
      <w:r w:rsidRPr="003F141B">
        <w:rPr>
          <w:i/>
          <w:iCs/>
          <w:color w:val="000000"/>
          <w:szCs w:val="24"/>
          <w:lang w:val="en-CA"/>
        </w:rPr>
        <w:t>b</w:t>
      </w:r>
      <w:r w:rsidRPr="003F141B">
        <w:rPr>
          <w:color w:val="000000"/>
          <w:szCs w:val="24"/>
          <w:lang w:val="en-CA"/>
        </w:rPr>
        <w:t>)</w:t>
      </w:r>
      <w:r w:rsidR="003061CC">
        <w:rPr>
          <w:color w:val="000000"/>
          <w:szCs w:val="24"/>
          <w:lang w:val="en-CA"/>
        </w:rPr>
        <w:t>’</w:t>
      </w:r>
      <w:r w:rsidRPr="003F141B">
        <w:rPr>
          <w:color w:val="000000"/>
          <w:szCs w:val="24"/>
          <w:lang w:val="en-CA"/>
        </w:rPr>
        <w:t>s protections in their entirety, ensuring that any choice to do so is fully informed</w:t>
      </w:r>
      <w:r w:rsidR="00081775">
        <w:rPr>
          <w:color w:val="000000"/>
          <w:szCs w:val="24"/>
          <w:lang w:val="en-CA"/>
        </w:rPr>
        <w:t>”</w:t>
      </w:r>
      <w:r w:rsidRPr="003F141B">
        <w:rPr>
          <w:color w:val="000000"/>
          <w:szCs w:val="24"/>
          <w:lang w:val="en-CA"/>
        </w:rPr>
        <w:t>.</w:t>
      </w:r>
      <w:r w:rsidR="005003D8" w:rsidRPr="003F141B">
        <w:rPr>
          <w:rStyle w:val="Appelnotedebasdep"/>
          <w:szCs w:val="24"/>
          <w:lang w:val="en-CA"/>
        </w:rPr>
        <w:footnoteReference w:id="66"/>
      </w:r>
    </w:p>
    <w:p w14:paraId="04422279" w14:textId="68E1801C" w:rsidR="00761A16" w:rsidRPr="003F141B" w:rsidRDefault="004669A1" w:rsidP="00761A16">
      <w:pPr>
        <w:pStyle w:val="Paragraphe"/>
        <w:spacing w:line="240" w:lineRule="auto"/>
        <w:rPr>
          <w:lang w:val="en-CA"/>
        </w:rPr>
      </w:pPr>
      <w:r w:rsidRPr="003F141B">
        <w:rPr>
          <w:lang w:val="en-CA"/>
        </w:rPr>
        <w:t>In</w:t>
      </w:r>
      <w:r w:rsidR="005003D8" w:rsidRPr="003F141B">
        <w:rPr>
          <w:lang w:val="en-CA"/>
        </w:rPr>
        <w:t xml:space="preserve"> </w:t>
      </w:r>
      <w:r w:rsidR="005003D8" w:rsidRPr="003F141B">
        <w:rPr>
          <w:i/>
          <w:lang w:val="en-CA"/>
        </w:rPr>
        <w:t>Sinclair</w:t>
      </w:r>
      <w:r w:rsidRPr="003F141B">
        <w:rPr>
          <w:lang w:val="en-CA"/>
        </w:rPr>
        <w:t>,</w:t>
      </w:r>
      <w:r w:rsidR="005003D8" w:rsidRPr="003F141B">
        <w:rPr>
          <w:rStyle w:val="Appelnotedebasdep"/>
          <w:lang w:val="en-CA"/>
        </w:rPr>
        <w:footnoteReference w:id="67"/>
      </w:r>
      <w:r w:rsidRPr="003F141B">
        <w:rPr>
          <w:lang w:val="en-CA"/>
        </w:rPr>
        <w:t xml:space="preserve"> the Supreme Court of Canada also recognized that police officers cannot be satisfied </w:t>
      </w:r>
      <w:r w:rsidR="00A05A90" w:rsidRPr="003F141B">
        <w:rPr>
          <w:lang w:val="en-CA"/>
        </w:rPr>
        <w:t xml:space="preserve">that their obligation </w:t>
      </w:r>
      <w:r w:rsidR="0020738F">
        <w:rPr>
          <w:lang w:val="en-CA"/>
        </w:rPr>
        <w:t xml:space="preserve">has been </w:t>
      </w:r>
      <w:r w:rsidR="00A05A90" w:rsidRPr="003F141B">
        <w:rPr>
          <w:lang w:val="en-CA"/>
        </w:rPr>
        <w:t xml:space="preserve">met </w:t>
      </w:r>
      <w:r w:rsidR="0020738F">
        <w:rPr>
          <w:lang w:val="en-CA"/>
        </w:rPr>
        <w:t xml:space="preserve">where they have informed </w:t>
      </w:r>
      <w:r w:rsidRPr="003F141B">
        <w:rPr>
          <w:lang w:val="en-CA"/>
        </w:rPr>
        <w:t xml:space="preserve">the accused or detained person of his or her right to </w:t>
      </w:r>
      <w:r w:rsidR="002C578D" w:rsidRPr="003F141B">
        <w:rPr>
          <w:lang w:val="en-CA"/>
        </w:rPr>
        <w:t xml:space="preserve">retain and instruct </w:t>
      </w:r>
      <w:r w:rsidRPr="003F141B">
        <w:rPr>
          <w:lang w:val="en-CA"/>
        </w:rPr>
        <w:t xml:space="preserve">counsel at the outset </w:t>
      </w:r>
      <w:r w:rsidR="00761A16" w:rsidRPr="003F141B">
        <w:rPr>
          <w:lang w:val="en-CA"/>
        </w:rPr>
        <w:t xml:space="preserve">and </w:t>
      </w:r>
      <w:r w:rsidR="0020738F">
        <w:rPr>
          <w:lang w:val="en-CA"/>
        </w:rPr>
        <w:t xml:space="preserve">the person has </w:t>
      </w:r>
      <w:r w:rsidR="00FA11D9">
        <w:rPr>
          <w:lang w:val="en-CA"/>
        </w:rPr>
        <w:t>exercise</w:t>
      </w:r>
      <w:r w:rsidR="0020738F">
        <w:rPr>
          <w:lang w:val="en-CA"/>
        </w:rPr>
        <w:t>d</w:t>
      </w:r>
      <w:r w:rsidR="00FA11D9">
        <w:rPr>
          <w:lang w:val="en-CA"/>
        </w:rPr>
        <w:t xml:space="preserve"> </w:t>
      </w:r>
      <w:r w:rsidR="00761A16" w:rsidRPr="003F141B">
        <w:rPr>
          <w:lang w:val="en-CA"/>
        </w:rPr>
        <w:t xml:space="preserve">that right, </w:t>
      </w:r>
      <w:r w:rsidR="0020738F">
        <w:rPr>
          <w:lang w:val="en-CA"/>
        </w:rPr>
        <w:t xml:space="preserve">if </w:t>
      </w:r>
      <w:r w:rsidR="00761A16" w:rsidRPr="003F141B">
        <w:rPr>
          <w:lang w:val="en-CA"/>
        </w:rPr>
        <w:t xml:space="preserve">the circumstances of the arrest or detention subsequently change. </w:t>
      </w:r>
      <w:r w:rsidR="006B4990" w:rsidRPr="003F141B">
        <w:rPr>
          <w:lang w:val="en-CA"/>
        </w:rPr>
        <w:t>This may occur, f</w:t>
      </w:r>
      <w:r w:rsidR="00761A16" w:rsidRPr="003F141B">
        <w:rPr>
          <w:lang w:val="en-CA"/>
        </w:rPr>
        <w:t xml:space="preserve">or example, when the </w:t>
      </w:r>
      <w:r w:rsidR="006B4990" w:rsidRPr="003F141B">
        <w:rPr>
          <w:lang w:val="en-CA"/>
        </w:rPr>
        <w:t xml:space="preserve">interview with the arrested person </w:t>
      </w:r>
      <w:r w:rsidR="00761A16" w:rsidRPr="003F141B">
        <w:rPr>
          <w:lang w:val="en-CA"/>
        </w:rPr>
        <w:t xml:space="preserve">leads to the suspicion or knowledge of an additional offence </w:t>
      </w:r>
      <w:r w:rsidR="006B4990" w:rsidRPr="003F141B">
        <w:rPr>
          <w:lang w:val="en-CA"/>
        </w:rPr>
        <w:t xml:space="preserve">with </w:t>
      </w:r>
      <w:r w:rsidR="00761A16" w:rsidRPr="003F141B">
        <w:rPr>
          <w:lang w:val="en-CA"/>
        </w:rPr>
        <w:t xml:space="preserve">which </w:t>
      </w:r>
      <w:r w:rsidR="006D3CFB">
        <w:rPr>
          <w:lang w:val="en-CA"/>
        </w:rPr>
        <w:t xml:space="preserve">the police officers </w:t>
      </w:r>
      <w:r w:rsidR="00761A16" w:rsidRPr="003F141B">
        <w:rPr>
          <w:lang w:val="en-CA"/>
        </w:rPr>
        <w:t xml:space="preserve">may have to charge the person, or </w:t>
      </w:r>
      <w:r w:rsidR="006B4990" w:rsidRPr="003F141B">
        <w:rPr>
          <w:lang w:val="en-CA"/>
        </w:rPr>
        <w:t xml:space="preserve">when </w:t>
      </w:r>
      <w:r w:rsidR="006D3CFB">
        <w:rPr>
          <w:lang w:val="en-CA"/>
        </w:rPr>
        <w:t xml:space="preserve">they decide to give </w:t>
      </w:r>
      <w:r w:rsidR="00761A16" w:rsidRPr="003F141B">
        <w:rPr>
          <w:lang w:val="en-CA"/>
        </w:rPr>
        <w:t xml:space="preserve">the person a polygraph test. These are just some examples. In such cases, the </w:t>
      </w:r>
      <w:r w:rsidR="00147C72" w:rsidRPr="003F141B">
        <w:rPr>
          <w:lang w:val="en-CA"/>
        </w:rPr>
        <w:t>s.</w:t>
      </w:r>
      <w:r w:rsidR="00761A16" w:rsidRPr="003F141B">
        <w:rPr>
          <w:lang w:val="en-CA"/>
        </w:rPr>
        <w:t xml:space="preserve"> 10(b) </w:t>
      </w:r>
      <w:r w:rsidR="002C578D" w:rsidRPr="003F141B">
        <w:rPr>
          <w:i/>
          <w:lang w:val="en-CA"/>
        </w:rPr>
        <w:t xml:space="preserve">Charter </w:t>
      </w:r>
      <w:r w:rsidR="00761A16" w:rsidRPr="003F141B">
        <w:rPr>
          <w:lang w:val="en-CA"/>
        </w:rPr>
        <w:t xml:space="preserve">right imposes an additional obligation on the police to </w:t>
      </w:r>
      <w:r w:rsidR="00330D8F">
        <w:rPr>
          <w:lang w:val="en-CA"/>
        </w:rPr>
        <w:t xml:space="preserve">read the person their </w:t>
      </w:r>
      <w:r w:rsidR="00761A16" w:rsidRPr="003F141B">
        <w:rPr>
          <w:lang w:val="en-CA"/>
        </w:rPr>
        <w:t>rights</w:t>
      </w:r>
      <w:r w:rsidR="00330D8F">
        <w:rPr>
          <w:lang w:val="en-CA"/>
        </w:rPr>
        <w:t xml:space="preserve"> again</w:t>
      </w:r>
      <w:r w:rsidR="00761A16" w:rsidRPr="003F141B">
        <w:rPr>
          <w:lang w:val="en-CA"/>
        </w:rPr>
        <w:t xml:space="preserve">, including the right to </w:t>
      </w:r>
      <w:r w:rsidR="002C578D" w:rsidRPr="003F141B">
        <w:rPr>
          <w:lang w:val="en-CA"/>
        </w:rPr>
        <w:t xml:space="preserve">retain and instruct </w:t>
      </w:r>
      <w:r w:rsidR="00761A16" w:rsidRPr="003F141B">
        <w:rPr>
          <w:lang w:val="en-CA"/>
        </w:rPr>
        <w:t>counsel, and</w:t>
      </w:r>
      <w:r w:rsidR="006B4990" w:rsidRPr="003F141B">
        <w:rPr>
          <w:lang w:val="en-CA"/>
        </w:rPr>
        <w:t xml:space="preserve"> </w:t>
      </w:r>
      <w:r w:rsidR="00761A16" w:rsidRPr="003F141B">
        <w:rPr>
          <w:lang w:val="en-CA"/>
        </w:rPr>
        <w:t xml:space="preserve">to allow the person to consult </w:t>
      </w:r>
      <w:r w:rsidR="006B4990" w:rsidRPr="003F141B">
        <w:rPr>
          <w:lang w:val="en-CA"/>
        </w:rPr>
        <w:t xml:space="preserve">counsel </w:t>
      </w:r>
      <w:r w:rsidR="00761A16" w:rsidRPr="003F141B">
        <w:rPr>
          <w:lang w:val="en-CA"/>
        </w:rPr>
        <w:t>a second time</w:t>
      </w:r>
      <w:r w:rsidR="006B4990" w:rsidRPr="003F141B">
        <w:rPr>
          <w:lang w:val="en-CA"/>
        </w:rPr>
        <w:t xml:space="preserve"> if necessary</w:t>
      </w:r>
      <w:r w:rsidR="00761A16" w:rsidRPr="003F141B">
        <w:rPr>
          <w:lang w:val="en-CA"/>
        </w:rPr>
        <w:t>.</w:t>
      </w:r>
    </w:p>
    <w:p w14:paraId="49130352" w14:textId="4DE75180" w:rsidR="009130CA" w:rsidRPr="003F141B" w:rsidRDefault="006B4990" w:rsidP="00761A16">
      <w:pPr>
        <w:pStyle w:val="Paragraphe"/>
        <w:spacing w:line="240" w:lineRule="auto"/>
        <w:rPr>
          <w:lang w:val="en-CA"/>
        </w:rPr>
      </w:pPr>
      <w:r w:rsidRPr="003F141B">
        <w:rPr>
          <w:lang w:val="en-CA"/>
        </w:rPr>
        <w:t>Unlike</w:t>
      </w:r>
      <w:r w:rsidR="00761A16" w:rsidRPr="003F141B">
        <w:rPr>
          <w:lang w:val="en-CA"/>
        </w:rPr>
        <w:t xml:space="preserve"> my colleagues, I am of the opinion that the s. 10(b) </w:t>
      </w:r>
      <w:r w:rsidR="00761A16" w:rsidRPr="003F141B">
        <w:rPr>
          <w:i/>
          <w:lang w:val="en-CA"/>
        </w:rPr>
        <w:t>Charter</w:t>
      </w:r>
      <w:r w:rsidR="00761A16" w:rsidRPr="003F141B">
        <w:rPr>
          <w:lang w:val="en-CA"/>
        </w:rPr>
        <w:t xml:space="preserve"> right does not include an additional obligation </w:t>
      </w:r>
      <w:r w:rsidRPr="003F141B">
        <w:rPr>
          <w:lang w:val="en-CA"/>
        </w:rPr>
        <w:t xml:space="preserve">on </w:t>
      </w:r>
      <w:r w:rsidR="002C578D" w:rsidRPr="003F141B">
        <w:rPr>
          <w:lang w:val="en-CA"/>
        </w:rPr>
        <w:t xml:space="preserve">police officers </w:t>
      </w:r>
      <w:r w:rsidRPr="003F141B">
        <w:rPr>
          <w:lang w:val="en-CA"/>
        </w:rPr>
        <w:t xml:space="preserve">like </w:t>
      </w:r>
      <w:r w:rsidR="00761A16" w:rsidRPr="003F141B">
        <w:rPr>
          <w:lang w:val="en-CA"/>
        </w:rPr>
        <w:t xml:space="preserve">the one suggested by the respondent in this case, and I do not see the need to </w:t>
      </w:r>
      <w:r w:rsidRPr="003F141B">
        <w:rPr>
          <w:lang w:val="en-CA"/>
        </w:rPr>
        <w:t xml:space="preserve">intensify </w:t>
      </w:r>
      <w:r w:rsidR="00761A16" w:rsidRPr="003F141B">
        <w:rPr>
          <w:lang w:val="en-CA"/>
        </w:rPr>
        <w:t xml:space="preserve">the </w:t>
      </w:r>
      <w:r w:rsidR="00761A16" w:rsidRPr="003F141B">
        <w:rPr>
          <w:i/>
          <w:lang w:val="en-CA"/>
        </w:rPr>
        <w:t>Prosper</w:t>
      </w:r>
      <w:r w:rsidR="00761A16" w:rsidRPr="003F141B">
        <w:rPr>
          <w:lang w:val="en-CA"/>
        </w:rPr>
        <w:t xml:space="preserve"> warning requirement, as the respondent would </w:t>
      </w:r>
      <w:r w:rsidRPr="003F141B">
        <w:rPr>
          <w:lang w:val="en-CA"/>
        </w:rPr>
        <w:t>like</w:t>
      </w:r>
      <w:r w:rsidR="00761A16" w:rsidRPr="003F141B">
        <w:rPr>
          <w:lang w:val="en-CA"/>
        </w:rPr>
        <w:t>.</w:t>
      </w:r>
    </w:p>
    <w:p w14:paraId="79733EBF" w14:textId="19244796" w:rsidR="009130CA" w:rsidRPr="003F141B" w:rsidRDefault="00BC184F" w:rsidP="009130CA">
      <w:pPr>
        <w:pStyle w:val="Paragraphe"/>
        <w:spacing w:line="240" w:lineRule="auto"/>
        <w:rPr>
          <w:lang w:val="en-CA"/>
        </w:rPr>
      </w:pPr>
      <w:r w:rsidRPr="003F141B">
        <w:rPr>
          <w:lang w:val="en-CA"/>
        </w:rPr>
        <w:t xml:space="preserve">A final word </w:t>
      </w:r>
      <w:r w:rsidR="006B4990" w:rsidRPr="003F141B">
        <w:rPr>
          <w:lang w:val="en-CA"/>
        </w:rPr>
        <w:t xml:space="preserve">is in order </w:t>
      </w:r>
      <w:r w:rsidRPr="003F141B">
        <w:rPr>
          <w:lang w:val="en-CA"/>
        </w:rPr>
        <w:t>on the</w:t>
      </w:r>
      <w:r w:rsidR="002C578D" w:rsidRPr="003F141B">
        <w:rPr>
          <w:lang w:val="en-CA"/>
        </w:rPr>
        <w:t xml:space="preserve"> </w:t>
      </w:r>
      <w:r w:rsidR="00081775">
        <w:rPr>
          <w:lang w:val="en-CA"/>
        </w:rPr>
        <w:t>“</w:t>
      </w:r>
      <w:r w:rsidR="002C578D" w:rsidRPr="003F141B">
        <w:rPr>
          <w:lang w:val="en-CA"/>
        </w:rPr>
        <w:t>relationship of trust</w:t>
      </w:r>
      <w:r w:rsidR="00081775">
        <w:rPr>
          <w:lang w:val="en-CA"/>
        </w:rPr>
        <w:t>”</w:t>
      </w:r>
      <w:r w:rsidRPr="003F141B">
        <w:rPr>
          <w:lang w:val="en-CA"/>
        </w:rPr>
        <w:t xml:space="preserve"> that allegedly existed between the respondent and </w:t>
      </w:r>
      <w:r w:rsidR="00487418" w:rsidRPr="003F141B">
        <w:rPr>
          <w:lang w:val="en-CA"/>
        </w:rPr>
        <w:t xml:space="preserve">the two lawyers, </w:t>
      </w:r>
      <w:proofErr w:type="spellStart"/>
      <w:r w:rsidRPr="003F141B">
        <w:rPr>
          <w:lang w:val="en-CA"/>
        </w:rPr>
        <w:t>Mtre</w:t>
      </w:r>
      <w:proofErr w:type="spellEnd"/>
      <w:r w:rsidRPr="003F141B">
        <w:rPr>
          <w:lang w:val="en-CA"/>
        </w:rPr>
        <w:t xml:space="preserve"> </w:t>
      </w:r>
      <w:proofErr w:type="spellStart"/>
      <w:r w:rsidRPr="003F141B">
        <w:rPr>
          <w:lang w:val="en-CA"/>
        </w:rPr>
        <w:t>Boulian</w:t>
      </w:r>
      <w:r w:rsidR="00072DF6">
        <w:rPr>
          <w:lang w:val="en-CA"/>
        </w:rPr>
        <w:t>n</w:t>
      </w:r>
      <w:r w:rsidRPr="003F141B">
        <w:rPr>
          <w:lang w:val="en-CA"/>
        </w:rPr>
        <w:t>e</w:t>
      </w:r>
      <w:proofErr w:type="spellEnd"/>
      <w:r w:rsidRPr="003F141B">
        <w:rPr>
          <w:lang w:val="en-CA"/>
        </w:rPr>
        <w:t xml:space="preserve"> and </w:t>
      </w:r>
      <w:proofErr w:type="spellStart"/>
      <w:r w:rsidR="006B4990" w:rsidRPr="003F141B">
        <w:rPr>
          <w:lang w:val="en-CA"/>
        </w:rPr>
        <w:t>Mtre</w:t>
      </w:r>
      <w:proofErr w:type="spellEnd"/>
      <w:r w:rsidR="006B4990" w:rsidRPr="003F141B">
        <w:rPr>
          <w:lang w:val="en-CA"/>
        </w:rPr>
        <w:t xml:space="preserve"> </w:t>
      </w:r>
      <w:proofErr w:type="spellStart"/>
      <w:r w:rsidRPr="003F141B">
        <w:rPr>
          <w:lang w:val="en-CA"/>
        </w:rPr>
        <w:t>Cantin</w:t>
      </w:r>
      <w:proofErr w:type="spellEnd"/>
      <w:r w:rsidRPr="003F141B">
        <w:rPr>
          <w:lang w:val="en-CA"/>
        </w:rPr>
        <w:t>. As we understand from the judge</w:t>
      </w:r>
      <w:r w:rsidR="003061CC">
        <w:rPr>
          <w:lang w:val="en-CA"/>
        </w:rPr>
        <w:t>’</w:t>
      </w:r>
      <w:r w:rsidRPr="003F141B">
        <w:rPr>
          <w:lang w:val="en-CA"/>
        </w:rPr>
        <w:t xml:space="preserve">s reasons, this relationship existed solely </w:t>
      </w:r>
      <w:r w:rsidR="00487418" w:rsidRPr="003F141B">
        <w:rPr>
          <w:lang w:val="en-CA"/>
        </w:rPr>
        <w:t>because</w:t>
      </w:r>
      <w:r w:rsidR="008B5AC3" w:rsidRPr="003F141B">
        <w:rPr>
          <w:lang w:val="en-CA"/>
        </w:rPr>
        <w:t xml:space="preserve"> </w:t>
      </w:r>
      <w:r w:rsidR="00D16D72">
        <w:rPr>
          <w:lang w:val="en-CA"/>
        </w:rPr>
        <w:t xml:space="preserve">the respondent </w:t>
      </w:r>
      <w:r w:rsidR="008B5AC3" w:rsidRPr="003F141B">
        <w:rPr>
          <w:lang w:val="en-CA"/>
        </w:rPr>
        <w:t>had</w:t>
      </w:r>
      <w:r w:rsidRPr="003F141B">
        <w:rPr>
          <w:lang w:val="en-CA"/>
        </w:rPr>
        <w:t xml:space="preserve"> </w:t>
      </w:r>
      <w:r w:rsidR="00487418" w:rsidRPr="003F141B">
        <w:rPr>
          <w:lang w:val="en-CA"/>
        </w:rPr>
        <w:t xml:space="preserve">named </w:t>
      </w:r>
      <w:r w:rsidRPr="003F141B">
        <w:rPr>
          <w:lang w:val="en-CA"/>
        </w:rPr>
        <w:t>them</w:t>
      </w:r>
      <w:r w:rsidR="008B5AC3" w:rsidRPr="003F141B">
        <w:rPr>
          <w:lang w:val="en-CA"/>
        </w:rPr>
        <w:t>,</w:t>
      </w:r>
      <w:r w:rsidRPr="003F141B">
        <w:rPr>
          <w:lang w:val="en-CA"/>
        </w:rPr>
        <w:t xml:space="preserve"> and </w:t>
      </w:r>
      <w:r w:rsidR="00487418" w:rsidRPr="003F141B">
        <w:rPr>
          <w:lang w:val="en-CA"/>
        </w:rPr>
        <w:t xml:space="preserve">the </w:t>
      </w:r>
      <w:r w:rsidRPr="003F141B">
        <w:rPr>
          <w:lang w:val="en-CA"/>
        </w:rPr>
        <w:t xml:space="preserve">legal </w:t>
      </w:r>
      <w:r w:rsidR="00487418" w:rsidRPr="003F141B">
        <w:rPr>
          <w:lang w:val="en-CA"/>
        </w:rPr>
        <w:t xml:space="preserve">effect </w:t>
      </w:r>
      <w:r w:rsidRPr="003F141B">
        <w:rPr>
          <w:lang w:val="en-CA"/>
        </w:rPr>
        <w:t xml:space="preserve">was to </w:t>
      </w:r>
      <w:r w:rsidR="00487418" w:rsidRPr="003F141B">
        <w:rPr>
          <w:lang w:val="en-CA"/>
        </w:rPr>
        <w:t xml:space="preserve">intensify </w:t>
      </w:r>
      <w:r w:rsidRPr="003F141B">
        <w:rPr>
          <w:lang w:val="en-CA"/>
        </w:rPr>
        <w:t>the police officers</w:t>
      </w:r>
      <w:r w:rsidR="003061CC">
        <w:rPr>
          <w:lang w:val="en-CA"/>
        </w:rPr>
        <w:t>’</w:t>
      </w:r>
      <w:r w:rsidRPr="003F141B">
        <w:rPr>
          <w:lang w:val="en-CA"/>
        </w:rPr>
        <w:t xml:space="preserve"> obligation to </w:t>
      </w:r>
      <w:r w:rsidR="00487418" w:rsidRPr="003F141B">
        <w:rPr>
          <w:lang w:val="en-CA"/>
        </w:rPr>
        <w:t xml:space="preserve">facilitate the </w:t>
      </w:r>
      <w:r w:rsidR="00DF6CA8">
        <w:rPr>
          <w:lang w:val="en-CA"/>
        </w:rPr>
        <w:t>respondent</w:t>
      </w:r>
      <w:r w:rsidR="003061CC">
        <w:rPr>
          <w:lang w:val="en-CA"/>
        </w:rPr>
        <w:t>’</w:t>
      </w:r>
      <w:r w:rsidR="00DF6CA8" w:rsidRPr="003F141B">
        <w:rPr>
          <w:lang w:val="en-CA"/>
        </w:rPr>
        <w:t xml:space="preserve">s </w:t>
      </w:r>
      <w:r w:rsidR="00487418" w:rsidRPr="003F141B">
        <w:rPr>
          <w:lang w:val="en-CA"/>
        </w:rPr>
        <w:t xml:space="preserve">opportunity to retain </w:t>
      </w:r>
      <w:r w:rsidR="008B5AC3" w:rsidRPr="003F141B">
        <w:rPr>
          <w:lang w:val="en-CA"/>
        </w:rPr>
        <w:t>one of them.</w:t>
      </w:r>
    </w:p>
    <w:p w14:paraId="553B1D0C" w14:textId="34DE4675" w:rsidR="009130CA" w:rsidRPr="003F141B" w:rsidRDefault="008B5AC3" w:rsidP="008B5AC3">
      <w:pPr>
        <w:pStyle w:val="Paragraphe"/>
        <w:spacing w:line="240" w:lineRule="auto"/>
        <w:rPr>
          <w:lang w:val="en-CA"/>
        </w:rPr>
      </w:pPr>
      <w:r w:rsidRPr="003F141B">
        <w:rPr>
          <w:lang w:val="en-CA"/>
        </w:rPr>
        <w:t xml:space="preserve">First, the respondent did not testify during the </w:t>
      </w:r>
      <w:proofErr w:type="spellStart"/>
      <w:r w:rsidR="002C578D" w:rsidRPr="003F141B">
        <w:rPr>
          <w:i/>
          <w:lang w:val="en-CA"/>
        </w:rPr>
        <w:t>voir</w:t>
      </w:r>
      <w:proofErr w:type="spellEnd"/>
      <w:r w:rsidR="002C578D" w:rsidRPr="003F141B">
        <w:rPr>
          <w:i/>
          <w:lang w:val="en-CA"/>
        </w:rPr>
        <w:t xml:space="preserve"> dire</w:t>
      </w:r>
      <w:r w:rsidRPr="003F141B">
        <w:rPr>
          <w:lang w:val="en-CA"/>
        </w:rPr>
        <w:t xml:space="preserve"> to establish that he had told the police officers </w:t>
      </w:r>
      <w:r w:rsidR="00C233BF" w:rsidRPr="003F141B">
        <w:rPr>
          <w:lang w:val="en-CA"/>
        </w:rPr>
        <w:t xml:space="preserve">in any way </w:t>
      </w:r>
      <w:r w:rsidRPr="003F141B">
        <w:rPr>
          <w:lang w:val="en-CA"/>
        </w:rPr>
        <w:t xml:space="preserve">about the relationship of trust he had with </w:t>
      </w:r>
      <w:r w:rsidR="00B37E16" w:rsidRPr="003F141B">
        <w:rPr>
          <w:lang w:val="en-CA"/>
        </w:rPr>
        <w:t>either</w:t>
      </w:r>
      <w:r w:rsidRPr="003F141B">
        <w:rPr>
          <w:lang w:val="en-CA"/>
        </w:rPr>
        <w:t xml:space="preserve"> of these lawyers.</w:t>
      </w:r>
      <w:r w:rsidR="005003D8" w:rsidRPr="003F141B">
        <w:rPr>
          <w:lang w:val="en-CA"/>
        </w:rPr>
        <w:t xml:space="preserve"> </w:t>
      </w:r>
      <w:r w:rsidRPr="003F141B">
        <w:rPr>
          <w:lang w:val="en-CA"/>
        </w:rPr>
        <w:t xml:space="preserve">Although one of the allegations in the </w:t>
      </w:r>
      <w:r w:rsidR="00252E14">
        <w:rPr>
          <w:lang w:val="en-CA"/>
        </w:rPr>
        <w:t xml:space="preserve">affidavit of </w:t>
      </w:r>
      <w:r w:rsidR="00487418" w:rsidRPr="003F141B">
        <w:rPr>
          <w:lang w:val="en-CA"/>
        </w:rPr>
        <w:t xml:space="preserve">counsel for </w:t>
      </w:r>
      <w:r w:rsidRPr="003F141B">
        <w:rPr>
          <w:lang w:val="en-CA"/>
        </w:rPr>
        <w:t xml:space="preserve">the respondent attached to his </w:t>
      </w:r>
      <w:r w:rsidR="00673529">
        <w:rPr>
          <w:lang w:val="en-CA"/>
        </w:rPr>
        <w:t xml:space="preserve">application </w:t>
      </w:r>
      <w:r w:rsidRPr="003F141B">
        <w:rPr>
          <w:lang w:val="en-CA"/>
        </w:rPr>
        <w:t xml:space="preserve">to exclude </w:t>
      </w:r>
      <w:r w:rsidR="00B37E16" w:rsidRPr="003F141B">
        <w:rPr>
          <w:lang w:val="en-CA"/>
        </w:rPr>
        <w:t>evidence states</w:t>
      </w:r>
      <w:r w:rsidRPr="003F141B">
        <w:rPr>
          <w:lang w:val="en-CA"/>
        </w:rPr>
        <w:t xml:space="preserve"> that he had represented him in several cases in the past, this information was not available to the police officers at the </w:t>
      </w:r>
      <w:r w:rsidRPr="003F141B">
        <w:rPr>
          <w:lang w:val="en-CA"/>
        </w:rPr>
        <w:lastRenderedPageBreak/>
        <w:t>time of the events</w:t>
      </w:r>
      <w:r w:rsidR="00586B63">
        <w:rPr>
          <w:lang w:val="en-CA"/>
        </w:rPr>
        <w:t>.</w:t>
      </w:r>
      <w:r w:rsidR="00487418" w:rsidRPr="003F141B">
        <w:rPr>
          <w:lang w:val="en-CA"/>
        </w:rPr>
        <w:t xml:space="preserve"> What is important in cases such as these is all of the circumstances and all of the information available to the police at the time </w:t>
      </w:r>
      <w:r w:rsidR="00147211" w:rsidRPr="003F141B">
        <w:rPr>
          <w:lang w:val="en-CA"/>
        </w:rPr>
        <w:t>of</w:t>
      </w:r>
      <w:r w:rsidR="00487418" w:rsidRPr="003F141B">
        <w:rPr>
          <w:lang w:val="en-CA"/>
        </w:rPr>
        <w:t xml:space="preserve"> the arrest, not</w:t>
      </w:r>
      <w:r w:rsidR="00147211" w:rsidRPr="003F141B">
        <w:rPr>
          <w:lang w:val="en-CA"/>
        </w:rPr>
        <w:t xml:space="preserve"> information that </w:t>
      </w:r>
      <w:proofErr w:type="gramStart"/>
      <w:r w:rsidR="00147211" w:rsidRPr="003F141B">
        <w:rPr>
          <w:lang w:val="en-CA"/>
        </w:rPr>
        <w:t xml:space="preserve">is tailored and adduced after the fact, </w:t>
      </w:r>
      <w:r w:rsidRPr="003F141B">
        <w:rPr>
          <w:lang w:val="en-CA"/>
        </w:rPr>
        <w:t xml:space="preserve">once </w:t>
      </w:r>
      <w:r w:rsidR="00147211" w:rsidRPr="003F141B">
        <w:rPr>
          <w:lang w:val="en-CA"/>
        </w:rPr>
        <w:t xml:space="preserve">the case is </w:t>
      </w:r>
      <w:r w:rsidRPr="003F141B">
        <w:rPr>
          <w:lang w:val="en-CA"/>
        </w:rPr>
        <w:t>before a court</w:t>
      </w:r>
      <w:proofErr w:type="gramEnd"/>
      <w:r w:rsidRPr="003F141B">
        <w:rPr>
          <w:lang w:val="en-CA"/>
        </w:rPr>
        <w:t>.</w:t>
      </w:r>
    </w:p>
    <w:p w14:paraId="57D63258" w14:textId="4E41BA3D" w:rsidR="009130CA" w:rsidRPr="003F141B" w:rsidRDefault="00C233BF" w:rsidP="009130CA">
      <w:pPr>
        <w:pStyle w:val="Paragraphe"/>
        <w:spacing w:line="240" w:lineRule="auto"/>
        <w:rPr>
          <w:lang w:val="en-CA"/>
        </w:rPr>
      </w:pPr>
      <w:r w:rsidRPr="003F141B">
        <w:rPr>
          <w:lang w:val="en-CA"/>
        </w:rPr>
        <w:t xml:space="preserve">The situation therefore is very different from that in </w:t>
      </w:r>
      <w:r w:rsidR="005003D8" w:rsidRPr="003F141B">
        <w:rPr>
          <w:i/>
          <w:lang w:val="en-CA"/>
        </w:rPr>
        <w:t xml:space="preserve">R. </w:t>
      </w:r>
      <w:r w:rsidRPr="003F141B">
        <w:rPr>
          <w:i/>
          <w:lang w:val="en-CA"/>
        </w:rPr>
        <w:t>v.</w:t>
      </w:r>
      <w:r w:rsidR="005003D8" w:rsidRPr="003F141B">
        <w:rPr>
          <w:i/>
          <w:lang w:val="en-CA"/>
        </w:rPr>
        <w:t xml:space="preserve"> Lefebvre</w:t>
      </w:r>
      <w:r w:rsidR="00147211" w:rsidRPr="003F141B">
        <w:rPr>
          <w:lang w:val="en-CA"/>
        </w:rPr>
        <w:t>,</w:t>
      </w:r>
      <w:r w:rsidR="005003D8" w:rsidRPr="003F141B">
        <w:rPr>
          <w:rStyle w:val="Appelnotedebasdep"/>
          <w:lang w:val="en-CA"/>
        </w:rPr>
        <w:footnoteReference w:id="68"/>
      </w:r>
      <w:r w:rsidR="00147211" w:rsidRPr="003F141B">
        <w:rPr>
          <w:i/>
          <w:lang w:val="en-CA"/>
        </w:rPr>
        <w:t xml:space="preserve"> </w:t>
      </w:r>
      <w:r w:rsidRPr="003F141B">
        <w:rPr>
          <w:lang w:val="en-CA"/>
        </w:rPr>
        <w:t xml:space="preserve">in which </w:t>
      </w:r>
      <w:r w:rsidR="005003D8" w:rsidRPr="003F141B">
        <w:rPr>
          <w:lang w:val="en-CA"/>
        </w:rPr>
        <w:t>Cournoyer</w:t>
      </w:r>
      <w:r w:rsidR="00B35BBE" w:rsidRPr="003F141B">
        <w:rPr>
          <w:lang w:val="en-CA"/>
        </w:rPr>
        <w:t>,</w:t>
      </w:r>
      <w:r w:rsidR="0095648A" w:rsidRPr="003F141B">
        <w:rPr>
          <w:lang w:val="en-CA"/>
        </w:rPr>
        <w:t xml:space="preserve"> J.S.C</w:t>
      </w:r>
      <w:r w:rsidR="003E4470" w:rsidRPr="003F141B">
        <w:rPr>
          <w:lang w:val="en-CA"/>
        </w:rPr>
        <w:t>.</w:t>
      </w:r>
      <w:r w:rsidR="005003D8" w:rsidRPr="003F141B">
        <w:rPr>
          <w:lang w:val="en-CA"/>
        </w:rPr>
        <w:t xml:space="preserve">, </w:t>
      </w:r>
      <w:r w:rsidR="0095648A" w:rsidRPr="003F141B">
        <w:rPr>
          <w:lang w:val="en-CA"/>
        </w:rPr>
        <w:t>now of the Court of Appeal</w:t>
      </w:r>
      <w:r w:rsidRPr="003F141B">
        <w:rPr>
          <w:lang w:val="en-CA"/>
        </w:rPr>
        <w:t xml:space="preserve">, rightly insisted on the importance of the relationship of trust between Lefebvre and the lawyer he had </w:t>
      </w:r>
      <w:r w:rsidR="007119B1" w:rsidRPr="003F141B">
        <w:rPr>
          <w:lang w:val="en-CA"/>
        </w:rPr>
        <w:t>identified</w:t>
      </w:r>
      <w:r w:rsidRPr="003F141B">
        <w:rPr>
          <w:lang w:val="en-CA"/>
        </w:rPr>
        <w:t xml:space="preserve"> </w:t>
      </w:r>
      <w:r w:rsidR="00A00F2F">
        <w:rPr>
          <w:lang w:val="en-CA"/>
        </w:rPr>
        <w:t xml:space="preserve">when </w:t>
      </w:r>
      <w:r w:rsidRPr="003F141B">
        <w:rPr>
          <w:lang w:val="en-CA"/>
        </w:rPr>
        <w:t>assess</w:t>
      </w:r>
      <w:r w:rsidR="00A00F2F">
        <w:rPr>
          <w:lang w:val="en-CA"/>
        </w:rPr>
        <w:t>ing</w:t>
      </w:r>
      <w:r w:rsidRPr="003F141B">
        <w:rPr>
          <w:lang w:val="en-CA"/>
        </w:rPr>
        <w:t xml:space="preserve"> the police officers</w:t>
      </w:r>
      <w:r w:rsidR="003061CC">
        <w:rPr>
          <w:lang w:val="en-CA"/>
        </w:rPr>
        <w:t>’</w:t>
      </w:r>
      <w:r w:rsidRPr="003F141B">
        <w:rPr>
          <w:lang w:val="en-CA"/>
        </w:rPr>
        <w:t xml:space="preserve"> conduct. </w:t>
      </w:r>
      <w:r w:rsidR="005003D8" w:rsidRPr="003F141B">
        <w:rPr>
          <w:lang w:val="en-CA"/>
        </w:rPr>
        <w:t xml:space="preserve"> </w:t>
      </w:r>
      <w:r w:rsidR="009B2560" w:rsidRPr="003F141B">
        <w:rPr>
          <w:lang w:val="en-CA"/>
        </w:rPr>
        <w:t>I</w:t>
      </w:r>
      <w:r w:rsidRPr="003F141B">
        <w:rPr>
          <w:lang w:val="en-CA"/>
        </w:rPr>
        <w:t>n that case</w:t>
      </w:r>
      <w:r w:rsidR="009B2560" w:rsidRPr="003F141B">
        <w:rPr>
          <w:lang w:val="en-CA"/>
        </w:rPr>
        <w:t>,</w:t>
      </w:r>
      <w:r w:rsidRPr="003F141B">
        <w:rPr>
          <w:lang w:val="en-CA"/>
        </w:rPr>
        <w:t xml:space="preserve"> the accused </w:t>
      </w:r>
      <w:r w:rsidR="005003D8" w:rsidRPr="003F141B">
        <w:rPr>
          <w:lang w:val="en-CA"/>
        </w:rPr>
        <w:t xml:space="preserve">Lefebvre </w:t>
      </w:r>
      <w:r w:rsidRPr="003F141B">
        <w:rPr>
          <w:lang w:val="en-CA"/>
        </w:rPr>
        <w:t>had testified at the</w:t>
      </w:r>
      <w:r w:rsidR="005003D8" w:rsidRPr="003F141B">
        <w:rPr>
          <w:lang w:val="en-CA"/>
        </w:rPr>
        <w:t xml:space="preserve"> </w:t>
      </w:r>
      <w:proofErr w:type="spellStart"/>
      <w:r w:rsidR="002C578D" w:rsidRPr="003F141B">
        <w:rPr>
          <w:i/>
          <w:lang w:val="en-CA"/>
        </w:rPr>
        <w:t>voir</w:t>
      </w:r>
      <w:proofErr w:type="spellEnd"/>
      <w:r w:rsidR="002C578D" w:rsidRPr="003F141B">
        <w:rPr>
          <w:i/>
          <w:lang w:val="en-CA"/>
        </w:rPr>
        <w:t xml:space="preserve"> dire</w:t>
      </w:r>
      <w:r w:rsidRPr="003F141B">
        <w:rPr>
          <w:lang w:val="en-CA"/>
        </w:rPr>
        <w:t xml:space="preserve"> to establish that he had told the police officer that he wished to contact a lawyer he knew and </w:t>
      </w:r>
      <w:r w:rsidRPr="003F141B">
        <w:rPr>
          <w:rFonts w:cs="Arial"/>
          <w:lang w:val="en-CA"/>
        </w:rPr>
        <w:t>[</w:t>
      </w:r>
      <w:r w:rsidRPr="003F141B">
        <w:rPr>
          <w:smallCaps/>
          <w:lang w:val="en-CA"/>
        </w:rPr>
        <w:t>translation</w:t>
      </w:r>
      <w:r w:rsidRPr="003F141B">
        <w:rPr>
          <w:rFonts w:cs="Arial"/>
          <w:smallCaps/>
          <w:lang w:val="en-CA"/>
        </w:rPr>
        <w:t>]</w:t>
      </w:r>
      <w:r w:rsidRPr="003F141B">
        <w:rPr>
          <w:lang w:val="en-CA"/>
        </w:rPr>
        <w:t xml:space="preserve"> </w:t>
      </w:r>
      <w:r w:rsidR="00081775">
        <w:rPr>
          <w:lang w:val="en-CA"/>
        </w:rPr>
        <w:t>“</w:t>
      </w:r>
      <w:r w:rsidRPr="003F141B">
        <w:rPr>
          <w:lang w:val="en-CA"/>
        </w:rPr>
        <w:t>really trusted</w:t>
      </w:r>
      <w:r w:rsidR="00081775">
        <w:rPr>
          <w:lang w:val="en-CA"/>
        </w:rPr>
        <w:t>”</w:t>
      </w:r>
      <w:r w:rsidRPr="003F141B">
        <w:rPr>
          <w:lang w:val="en-CA"/>
        </w:rPr>
        <w:t>.</w:t>
      </w:r>
      <w:r w:rsidR="005003D8" w:rsidRPr="003F141B">
        <w:rPr>
          <w:rStyle w:val="Appelnotedebasdep"/>
          <w:lang w:val="en-CA"/>
        </w:rPr>
        <w:footnoteReference w:id="69"/>
      </w:r>
    </w:p>
    <w:p w14:paraId="76F48B6D" w14:textId="74D61438" w:rsidR="00B50364" w:rsidRPr="003F141B" w:rsidRDefault="00B50364" w:rsidP="00B50364">
      <w:pPr>
        <w:pStyle w:val="Paragraphe"/>
        <w:spacing w:line="240" w:lineRule="auto"/>
        <w:rPr>
          <w:lang w:val="en-CA"/>
        </w:rPr>
      </w:pPr>
      <w:r w:rsidRPr="003F141B">
        <w:rPr>
          <w:lang w:val="en-CA"/>
        </w:rPr>
        <w:t xml:space="preserve">Second, after correctly observing that she could not </w:t>
      </w:r>
      <w:r w:rsidR="003E4470" w:rsidRPr="003F141B">
        <w:rPr>
          <w:lang w:val="en-CA"/>
        </w:rPr>
        <w:t>assume that there was</w:t>
      </w:r>
      <w:r w:rsidRPr="003F141B">
        <w:rPr>
          <w:lang w:val="en-CA"/>
        </w:rPr>
        <w:t xml:space="preserve"> a relationship between the respondent and the lawyers he </w:t>
      </w:r>
      <w:r w:rsidR="007119B1" w:rsidRPr="003F141B">
        <w:rPr>
          <w:lang w:val="en-CA"/>
        </w:rPr>
        <w:t>identified</w:t>
      </w:r>
      <w:r w:rsidRPr="003F141B">
        <w:rPr>
          <w:lang w:val="en-CA"/>
        </w:rPr>
        <w:t xml:space="preserve"> because </w:t>
      </w:r>
      <w:r w:rsidRPr="003F141B">
        <w:rPr>
          <w:rFonts w:cs="Arial"/>
          <w:lang w:val="en-CA"/>
        </w:rPr>
        <w:t>[</w:t>
      </w:r>
      <w:r w:rsidRPr="003F141B">
        <w:rPr>
          <w:smallCaps/>
          <w:lang w:val="en-CA"/>
        </w:rPr>
        <w:t>translation</w:t>
      </w:r>
      <w:r w:rsidRPr="003F141B">
        <w:rPr>
          <w:rFonts w:cs="Arial"/>
          <w:lang w:val="en-CA"/>
        </w:rPr>
        <w:t>]</w:t>
      </w:r>
      <w:r w:rsidR="00210812">
        <w:rPr>
          <w:rFonts w:cs="Arial"/>
          <w:lang w:val="en-CA"/>
        </w:rPr>
        <w:t> </w:t>
      </w:r>
      <w:r w:rsidR="00081775">
        <w:rPr>
          <w:lang w:val="en-CA"/>
        </w:rPr>
        <w:t>“</w:t>
      </w:r>
      <w:r w:rsidR="00FE038D" w:rsidRPr="003F141B">
        <w:rPr>
          <w:lang w:val="en-CA"/>
        </w:rPr>
        <w:t>clearly</w:t>
      </w:r>
      <w:r w:rsidR="003061CC">
        <w:rPr>
          <w:lang w:val="en-CA"/>
        </w:rPr>
        <w:t>,</w:t>
      </w:r>
      <w:r w:rsidR="00FE038D" w:rsidRPr="003F141B">
        <w:rPr>
          <w:lang w:val="en-CA"/>
        </w:rPr>
        <w:t xml:space="preserve"> </w:t>
      </w:r>
      <w:r w:rsidR="009B2560" w:rsidRPr="003F141B">
        <w:rPr>
          <w:lang w:val="en-CA"/>
        </w:rPr>
        <w:t xml:space="preserve">we </w:t>
      </w:r>
      <w:r w:rsidRPr="003F141B">
        <w:rPr>
          <w:lang w:val="en-CA"/>
        </w:rPr>
        <w:t>can</w:t>
      </w:r>
      <w:r w:rsidR="003061CC">
        <w:rPr>
          <w:lang w:val="en-CA"/>
        </w:rPr>
        <w:t>’</w:t>
      </w:r>
      <w:r w:rsidRPr="003F141B">
        <w:rPr>
          <w:lang w:val="en-CA"/>
        </w:rPr>
        <w:t>t read the accused</w:t>
      </w:r>
      <w:r w:rsidR="003061CC">
        <w:rPr>
          <w:lang w:val="en-CA"/>
        </w:rPr>
        <w:t>’</w:t>
      </w:r>
      <w:r w:rsidRPr="003F141B">
        <w:rPr>
          <w:lang w:val="en-CA"/>
        </w:rPr>
        <w:t xml:space="preserve">s mind, he </w:t>
      </w:r>
      <w:r w:rsidR="009B2560" w:rsidRPr="003F141B">
        <w:rPr>
          <w:lang w:val="en-CA"/>
        </w:rPr>
        <w:t>didn</w:t>
      </w:r>
      <w:r w:rsidR="003061CC">
        <w:rPr>
          <w:lang w:val="en-CA"/>
        </w:rPr>
        <w:t>’</w:t>
      </w:r>
      <w:r w:rsidR="009B2560" w:rsidRPr="003F141B">
        <w:rPr>
          <w:lang w:val="en-CA"/>
        </w:rPr>
        <w:t>t</w:t>
      </w:r>
      <w:r w:rsidRPr="003F141B">
        <w:rPr>
          <w:lang w:val="en-CA"/>
        </w:rPr>
        <w:t xml:space="preserve"> testify</w:t>
      </w:r>
      <w:r w:rsidR="00081775">
        <w:rPr>
          <w:lang w:val="en-CA"/>
        </w:rPr>
        <w:t>”</w:t>
      </w:r>
      <w:r w:rsidRPr="003F141B">
        <w:rPr>
          <w:lang w:val="en-CA"/>
        </w:rPr>
        <w:t xml:space="preserve">, the judge </w:t>
      </w:r>
      <w:r w:rsidR="00ED319A">
        <w:rPr>
          <w:lang w:val="en-CA"/>
        </w:rPr>
        <w:t xml:space="preserve">nevertheless </w:t>
      </w:r>
      <w:r w:rsidR="003E4470" w:rsidRPr="003F141B">
        <w:rPr>
          <w:lang w:val="en-CA"/>
        </w:rPr>
        <w:t>assume</w:t>
      </w:r>
      <w:r w:rsidR="00ED319A">
        <w:rPr>
          <w:lang w:val="en-CA"/>
        </w:rPr>
        <w:t>d</w:t>
      </w:r>
      <w:r w:rsidR="003E4470" w:rsidRPr="003F141B">
        <w:rPr>
          <w:lang w:val="en-CA"/>
        </w:rPr>
        <w:t xml:space="preserve"> that</w:t>
      </w:r>
      <w:r w:rsidRPr="003F141B">
        <w:rPr>
          <w:lang w:val="en-CA"/>
        </w:rPr>
        <w:t xml:space="preserve"> </w:t>
      </w:r>
      <w:r w:rsidRPr="003F141B">
        <w:rPr>
          <w:rFonts w:cs="Arial"/>
          <w:lang w:val="en-CA"/>
        </w:rPr>
        <w:t>[</w:t>
      </w:r>
      <w:r w:rsidRPr="003F141B">
        <w:rPr>
          <w:smallCaps/>
          <w:lang w:val="en-CA"/>
        </w:rPr>
        <w:t>translation</w:t>
      </w:r>
      <w:r w:rsidRPr="003F141B">
        <w:rPr>
          <w:rFonts w:cs="Arial"/>
          <w:lang w:val="en-CA"/>
        </w:rPr>
        <w:t>]</w:t>
      </w:r>
      <w:r w:rsidRPr="003F141B">
        <w:rPr>
          <w:lang w:val="en-CA"/>
        </w:rPr>
        <w:t xml:space="preserve"> </w:t>
      </w:r>
      <w:r w:rsidR="00081775">
        <w:rPr>
          <w:lang w:val="en-CA"/>
        </w:rPr>
        <w:t>“</w:t>
      </w:r>
      <w:r w:rsidR="003E4470" w:rsidRPr="003F141B">
        <w:rPr>
          <w:lang w:val="en-CA"/>
        </w:rPr>
        <w:t>a certain</w:t>
      </w:r>
      <w:r w:rsidRPr="003F141B">
        <w:rPr>
          <w:lang w:val="en-CA"/>
        </w:rPr>
        <w:t xml:space="preserve"> relationship</w:t>
      </w:r>
      <w:r w:rsidR="00081775">
        <w:rPr>
          <w:lang w:val="en-CA"/>
        </w:rPr>
        <w:t>”</w:t>
      </w:r>
      <w:r w:rsidRPr="003F141B">
        <w:rPr>
          <w:lang w:val="en-CA"/>
        </w:rPr>
        <w:t xml:space="preserve"> of trust </w:t>
      </w:r>
      <w:r w:rsidR="003E4470" w:rsidRPr="003F141B">
        <w:rPr>
          <w:lang w:val="en-CA"/>
        </w:rPr>
        <w:t xml:space="preserve">existed </w:t>
      </w:r>
      <w:r w:rsidRPr="003F141B">
        <w:rPr>
          <w:rFonts w:cs="Arial"/>
          <w:lang w:val="en-CA"/>
        </w:rPr>
        <w:t>[</w:t>
      </w:r>
      <w:r w:rsidRPr="003F141B">
        <w:rPr>
          <w:smallCaps/>
          <w:lang w:val="en-CA"/>
        </w:rPr>
        <w:t>translation</w:t>
      </w:r>
      <w:r w:rsidRPr="003F141B">
        <w:rPr>
          <w:rFonts w:cs="Arial"/>
          <w:lang w:val="en-CA"/>
        </w:rPr>
        <w:t>]</w:t>
      </w:r>
      <w:r w:rsidRPr="003F141B">
        <w:rPr>
          <w:lang w:val="en-CA"/>
        </w:rPr>
        <w:t xml:space="preserve"> </w:t>
      </w:r>
      <w:r w:rsidR="00081775">
        <w:rPr>
          <w:lang w:val="en-CA"/>
        </w:rPr>
        <w:t>“</w:t>
      </w:r>
      <w:r w:rsidRPr="003F141B">
        <w:rPr>
          <w:lang w:val="en-CA"/>
        </w:rPr>
        <w:t xml:space="preserve">because he knew them, so if he knew them, there was </w:t>
      </w:r>
      <w:r w:rsidR="00FE038D" w:rsidRPr="003F141B">
        <w:rPr>
          <w:lang w:val="en-CA"/>
        </w:rPr>
        <w:t xml:space="preserve">a certain </w:t>
      </w:r>
      <w:r w:rsidRPr="003F141B">
        <w:rPr>
          <w:lang w:val="en-CA"/>
        </w:rPr>
        <w:t>relationship of trust</w:t>
      </w:r>
      <w:r w:rsidR="00081775">
        <w:rPr>
          <w:lang w:val="en-CA"/>
        </w:rPr>
        <w:t>”</w:t>
      </w:r>
      <w:r w:rsidRPr="003F141B">
        <w:rPr>
          <w:lang w:val="en-CA"/>
        </w:rPr>
        <w:t xml:space="preserve">. </w:t>
      </w:r>
    </w:p>
    <w:p w14:paraId="507271F0" w14:textId="2EBBB610" w:rsidR="00BD3187" w:rsidRPr="003F141B" w:rsidRDefault="00B50364" w:rsidP="009130CA">
      <w:pPr>
        <w:pStyle w:val="Paragraphe"/>
        <w:spacing w:line="240" w:lineRule="auto"/>
        <w:rPr>
          <w:lang w:val="en-CA"/>
        </w:rPr>
      </w:pPr>
      <w:r w:rsidRPr="003F141B">
        <w:rPr>
          <w:lang w:val="en-CA"/>
        </w:rPr>
        <w:t xml:space="preserve">In the absence of any specific </w:t>
      </w:r>
      <w:proofErr w:type="spellStart"/>
      <w:r w:rsidR="004553CB" w:rsidRPr="003F141B">
        <w:rPr>
          <w:i/>
          <w:lang w:val="en-CA"/>
        </w:rPr>
        <w:t>voir</w:t>
      </w:r>
      <w:proofErr w:type="spellEnd"/>
      <w:r w:rsidR="004553CB" w:rsidRPr="003F141B">
        <w:rPr>
          <w:i/>
          <w:lang w:val="en-CA"/>
        </w:rPr>
        <w:t xml:space="preserve"> dire</w:t>
      </w:r>
      <w:r w:rsidR="004553CB" w:rsidRPr="003F141B">
        <w:rPr>
          <w:lang w:val="en-CA"/>
        </w:rPr>
        <w:t xml:space="preserve"> </w:t>
      </w:r>
      <w:r w:rsidRPr="003F141B">
        <w:rPr>
          <w:lang w:val="en-CA"/>
        </w:rPr>
        <w:t xml:space="preserve">evidence, </w:t>
      </w:r>
      <w:r w:rsidR="00CA2707">
        <w:rPr>
          <w:lang w:val="en-CA"/>
        </w:rPr>
        <w:t xml:space="preserve">however, </w:t>
      </w:r>
      <w:r w:rsidR="004553CB" w:rsidRPr="003F141B">
        <w:rPr>
          <w:lang w:val="en-CA"/>
        </w:rPr>
        <w:t xml:space="preserve">the possibility </w:t>
      </w:r>
      <w:r w:rsidRPr="003F141B">
        <w:rPr>
          <w:lang w:val="en-CA"/>
        </w:rPr>
        <w:t xml:space="preserve">that an arrested or detained person </w:t>
      </w:r>
      <w:r w:rsidR="004553CB" w:rsidRPr="003F141B">
        <w:rPr>
          <w:lang w:val="en-CA"/>
        </w:rPr>
        <w:t xml:space="preserve">might have </w:t>
      </w:r>
      <w:r w:rsidR="007119B1" w:rsidRPr="003F141B">
        <w:rPr>
          <w:lang w:val="en-CA"/>
        </w:rPr>
        <w:t>identif</w:t>
      </w:r>
      <w:r w:rsidR="004553CB" w:rsidRPr="003F141B">
        <w:rPr>
          <w:lang w:val="en-CA"/>
        </w:rPr>
        <w:t>ied</w:t>
      </w:r>
      <w:r w:rsidR="003E4470" w:rsidRPr="003F141B">
        <w:rPr>
          <w:lang w:val="en-CA"/>
        </w:rPr>
        <w:t xml:space="preserve"> </w:t>
      </w:r>
      <w:r w:rsidRPr="003F141B">
        <w:rPr>
          <w:lang w:val="en-CA"/>
        </w:rPr>
        <w:t xml:space="preserve">a lawyer simply because he or she has heard of </w:t>
      </w:r>
      <w:r w:rsidR="004553CB" w:rsidRPr="003F141B">
        <w:rPr>
          <w:lang w:val="en-CA"/>
        </w:rPr>
        <w:t xml:space="preserve">but never consulted </w:t>
      </w:r>
      <w:r w:rsidR="004A2B52" w:rsidRPr="003F141B">
        <w:rPr>
          <w:lang w:val="en-CA"/>
        </w:rPr>
        <w:t>that lawyer before cannot be ruled out</w:t>
      </w:r>
      <w:r w:rsidRPr="003F141B">
        <w:rPr>
          <w:lang w:val="en-CA"/>
        </w:rPr>
        <w:t>.</w:t>
      </w:r>
    </w:p>
    <w:p w14:paraId="1FC47B87" w14:textId="2C23A3A8" w:rsidR="00BD3187" w:rsidRPr="003F141B" w:rsidRDefault="00BD3187" w:rsidP="009130CA">
      <w:pPr>
        <w:pStyle w:val="Paragraphe"/>
        <w:spacing w:line="240" w:lineRule="auto"/>
        <w:rPr>
          <w:lang w:val="en-CA"/>
        </w:rPr>
      </w:pPr>
      <w:r w:rsidRPr="003F141B">
        <w:rPr>
          <w:lang w:val="en-CA"/>
        </w:rPr>
        <w:t>Moreover, if mere</w:t>
      </w:r>
      <w:r w:rsidR="004553CB" w:rsidRPr="003F141B">
        <w:rPr>
          <w:lang w:val="en-CA"/>
        </w:rPr>
        <w:t>ly</w:t>
      </w:r>
      <w:r w:rsidRPr="003F141B">
        <w:rPr>
          <w:lang w:val="en-CA"/>
        </w:rPr>
        <w:t xml:space="preserve"> asking to speak to a specific lawyer indicates a certain relationship of trust, the judge </w:t>
      </w:r>
      <w:r w:rsidR="004A2B52" w:rsidRPr="003F141B">
        <w:rPr>
          <w:lang w:val="en-CA"/>
        </w:rPr>
        <w:t xml:space="preserve">should not have overlooked </w:t>
      </w:r>
      <w:r w:rsidRPr="003F141B">
        <w:rPr>
          <w:lang w:val="en-CA"/>
        </w:rPr>
        <w:t xml:space="preserve">the fact that the respondent also </w:t>
      </w:r>
      <w:r w:rsidR="003E4470" w:rsidRPr="003F141B">
        <w:rPr>
          <w:lang w:val="en-CA"/>
        </w:rPr>
        <w:t>picked</w:t>
      </w:r>
      <w:r w:rsidRPr="003F141B">
        <w:rPr>
          <w:lang w:val="en-CA"/>
        </w:rPr>
        <w:t xml:space="preserve"> </w:t>
      </w:r>
      <w:proofErr w:type="spellStart"/>
      <w:r w:rsidRPr="003F141B">
        <w:rPr>
          <w:lang w:val="en-CA"/>
        </w:rPr>
        <w:t>Mtre</w:t>
      </w:r>
      <w:proofErr w:type="spellEnd"/>
      <w:r w:rsidRPr="003F141B">
        <w:rPr>
          <w:lang w:val="en-CA"/>
        </w:rPr>
        <w:t xml:space="preserve"> Gagnon </w:t>
      </w:r>
      <w:r w:rsidR="003E4470" w:rsidRPr="003F141B">
        <w:rPr>
          <w:lang w:val="en-CA"/>
        </w:rPr>
        <w:t>out</w:t>
      </w:r>
      <w:r w:rsidRPr="003F141B">
        <w:rPr>
          <w:lang w:val="en-CA"/>
        </w:rPr>
        <w:t xml:space="preserve"> of </w:t>
      </w:r>
      <w:r w:rsidR="003E4470" w:rsidRPr="003F141B">
        <w:rPr>
          <w:lang w:val="en-CA"/>
        </w:rPr>
        <w:t xml:space="preserve">all </w:t>
      </w:r>
      <w:r w:rsidRPr="003F141B">
        <w:rPr>
          <w:lang w:val="en-CA"/>
        </w:rPr>
        <w:t>the lawyers whose photograph</w:t>
      </w:r>
      <w:r w:rsidR="003E4470" w:rsidRPr="003F141B">
        <w:rPr>
          <w:lang w:val="en-CA"/>
        </w:rPr>
        <w:t>s</w:t>
      </w:r>
      <w:r w:rsidRPr="003F141B">
        <w:rPr>
          <w:lang w:val="en-CA"/>
        </w:rPr>
        <w:t xml:space="preserve"> appeared on the legal aid poster, </w:t>
      </w:r>
      <w:r w:rsidR="004553CB" w:rsidRPr="003F141B">
        <w:rPr>
          <w:lang w:val="en-CA"/>
        </w:rPr>
        <w:t xml:space="preserve">yet </w:t>
      </w:r>
      <w:r w:rsidRPr="003F141B">
        <w:rPr>
          <w:lang w:val="en-CA"/>
        </w:rPr>
        <w:t xml:space="preserve">she did not mention </w:t>
      </w:r>
      <w:r w:rsidR="004A2B52" w:rsidRPr="003F141B">
        <w:rPr>
          <w:lang w:val="en-CA"/>
        </w:rPr>
        <w:t xml:space="preserve">it </w:t>
      </w:r>
      <w:r w:rsidRPr="003F141B">
        <w:rPr>
          <w:lang w:val="en-CA"/>
        </w:rPr>
        <w:t>in her judgment.</w:t>
      </w:r>
    </w:p>
    <w:p w14:paraId="3436B8E8" w14:textId="53D2A180" w:rsidR="00BD3187" w:rsidRPr="003F141B" w:rsidRDefault="00BD3187" w:rsidP="009130CA">
      <w:pPr>
        <w:pStyle w:val="Paragraphe"/>
        <w:spacing w:line="240" w:lineRule="auto"/>
        <w:rPr>
          <w:lang w:val="en-CA"/>
        </w:rPr>
      </w:pPr>
      <w:proofErr w:type="gramStart"/>
      <w:r w:rsidRPr="003F141B">
        <w:rPr>
          <w:lang w:val="en-CA"/>
        </w:rPr>
        <w:t xml:space="preserve">Finally, if </w:t>
      </w:r>
      <w:r w:rsidR="004A2B52" w:rsidRPr="003F141B">
        <w:rPr>
          <w:lang w:val="en-CA"/>
        </w:rPr>
        <w:t xml:space="preserve">there was a </w:t>
      </w:r>
      <w:r w:rsidRPr="003F141B">
        <w:rPr>
          <w:lang w:val="en-CA"/>
        </w:rPr>
        <w:t>[</w:t>
      </w:r>
      <w:r w:rsidRPr="003F141B">
        <w:rPr>
          <w:smallCaps/>
          <w:lang w:val="en-CA"/>
        </w:rPr>
        <w:t>translation</w:t>
      </w:r>
      <w:r w:rsidRPr="003F141B">
        <w:rPr>
          <w:lang w:val="en-CA"/>
        </w:rPr>
        <w:t xml:space="preserve">] </w:t>
      </w:r>
      <w:r w:rsidR="00081775">
        <w:rPr>
          <w:lang w:val="en-CA"/>
        </w:rPr>
        <w:t>“</w:t>
      </w:r>
      <w:r w:rsidRPr="003F141B">
        <w:rPr>
          <w:lang w:val="en-CA"/>
        </w:rPr>
        <w:t>certain relationship</w:t>
      </w:r>
      <w:r w:rsidR="00081775">
        <w:rPr>
          <w:lang w:val="en-CA"/>
        </w:rPr>
        <w:t>”</w:t>
      </w:r>
      <w:r w:rsidRPr="003F141B">
        <w:rPr>
          <w:lang w:val="en-CA"/>
        </w:rPr>
        <w:t xml:space="preserve"> of trust between the respondent and </w:t>
      </w:r>
      <w:proofErr w:type="spellStart"/>
      <w:r w:rsidRPr="003F141B">
        <w:rPr>
          <w:lang w:val="en-CA"/>
        </w:rPr>
        <w:t>Mtre</w:t>
      </w:r>
      <w:proofErr w:type="spellEnd"/>
      <w:r w:rsidRPr="003F141B">
        <w:rPr>
          <w:lang w:val="en-CA"/>
        </w:rPr>
        <w:t xml:space="preserve"> </w:t>
      </w:r>
      <w:proofErr w:type="spellStart"/>
      <w:r w:rsidRPr="003F141B">
        <w:rPr>
          <w:lang w:val="en-CA"/>
        </w:rPr>
        <w:t>Boulianne</w:t>
      </w:r>
      <w:proofErr w:type="spellEnd"/>
      <w:r w:rsidRPr="003F141B">
        <w:rPr>
          <w:lang w:val="en-CA"/>
        </w:rPr>
        <w:t xml:space="preserve"> or </w:t>
      </w:r>
      <w:proofErr w:type="spellStart"/>
      <w:r w:rsidRPr="003F141B">
        <w:rPr>
          <w:lang w:val="en-CA"/>
        </w:rPr>
        <w:t>Mtre</w:t>
      </w:r>
      <w:proofErr w:type="spellEnd"/>
      <w:r w:rsidRPr="003F141B">
        <w:rPr>
          <w:lang w:val="en-CA"/>
        </w:rPr>
        <w:t xml:space="preserve"> </w:t>
      </w:r>
      <w:proofErr w:type="spellStart"/>
      <w:r w:rsidRPr="003F141B">
        <w:rPr>
          <w:lang w:val="en-CA"/>
        </w:rPr>
        <w:t>Cantin</w:t>
      </w:r>
      <w:proofErr w:type="spellEnd"/>
      <w:r w:rsidRPr="003F141B">
        <w:rPr>
          <w:lang w:val="en-CA"/>
        </w:rPr>
        <w:t xml:space="preserve"> </w:t>
      </w:r>
      <w:r w:rsidR="004A2B52" w:rsidRPr="003F141B">
        <w:rPr>
          <w:lang w:val="en-CA"/>
        </w:rPr>
        <w:t xml:space="preserve">that </w:t>
      </w:r>
      <w:r w:rsidRPr="003F141B">
        <w:rPr>
          <w:lang w:val="en-CA"/>
        </w:rPr>
        <w:t xml:space="preserve">was important to him, would </w:t>
      </w:r>
      <w:r w:rsidR="00126F1E" w:rsidRPr="003F141B">
        <w:rPr>
          <w:lang w:val="en-CA"/>
        </w:rPr>
        <w:t xml:space="preserve">this </w:t>
      </w:r>
      <w:r w:rsidRPr="003F141B">
        <w:rPr>
          <w:lang w:val="en-CA"/>
        </w:rPr>
        <w:t xml:space="preserve">not have been all the more </w:t>
      </w:r>
      <w:r w:rsidR="00126F1E" w:rsidRPr="003F141B">
        <w:rPr>
          <w:lang w:val="en-CA"/>
        </w:rPr>
        <w:t xml:space="preserve">relevant to </w:t>
      </w:r>
      <w:r w:rsidRPr="003F141B">
        <w:rPr>
          <w:lang w:val="en-CA"/>
        </w:rPr>
        <w:t xml:space="preserve">his obligation of diligence to </w:t>
      </w:r>
      <w:r w:rsidR="00126F1E" w:rsidRPr="003F141B">
        <w:rPr>
          <w:lang w:val="en-CA"/>
        </w:rPr>
        <w:t xml:space="preserve">at least </w:t>
      </w:r>
      <w:r w:rsidRPr="003F141B">
        <w:rPr>
          <w:lang w:val="en-CA"/>
        </w:rPr>
        <w:t xml:space="preserve">inform the police </w:t>
      </w:r>
      <w:r w:rsidR="00126F1E" w:rsidRPr="003F141B">
        <w:rPr>
          <w:lang w:val="en-CA"/>
        </w:rPr>
        <w:t xml:space="preserve">of this fact </w:t>
      </w:r>
      <w:r w:rsidRPr="003F141B">
        <w:rPr>
          <w:lang w:val="en-CA"/>
        </w:rPr>
        <w:t xml:space="preserve">and/or to turn down the opportunity the police </w:t>
      </w:r>
      <w:r w:rsidR="00126F1E" w:rsidRPr="003F141B">
        <w:rPr>
          <w:lang w:val="en-CA"/>
        </w:rPr>
        <w:t xml:space="preserve">gave </w:t>
      </w:r>
      <w:r w:rsidRPr="003F141B">
        <w:rPr>
          <w:lang w:val="en-CA"/>
        </w:rPr>
        <w:t xml:space="preserve">him to use legal aid while waiting </w:t>
      </w:r>
      <w:r w:rsidR="00126F1E" w:rsidRPr="003F141B">
        <w:rPr>
          <w:lang w:val="en-CA"/>
        </w:rPr>
        <w:t>until a</w:t>
      </w:r>
      <w:r w:rsidR="00C91ABB">
        <w:rPr>
          <w:lang w:val="en-CA"/>
        </w:rPr>
        <w:t>nother</w:t>
      </w:r>
      <w:r w:rsidR="00126F1E" w:rsidRPr="003F141B">
        <w:rPr>
          <w:lang w:val="en-CA"/>
        </w:rPr>
        <w:t xml:space="preserve"> </w:t>
      </w:r>
      <w:r w:rsidRPr="003F141B">
        <w:rPr>
          <w:lang w:val="en-CA"/>
        </w:rPr>
        <w:t xml:space="preserve">attempt </w:t>
      </w:r>
      <w:r w:rsidR="00126F1E" w:rsidRPr="003F141B">
        <w:rPr>
          <w:lang w:val="en-CA"/>
        </w:rPr>
        <w:t xml:space="preserve">was made </w:t>
      </w:r>
      <w:r w:rsidRPr="003F141B">
        <w:rPr>
          <w:lang w:val="en-CA"/>
        </w:rPr>
        <w:t>to reach them?</w:t>
      </w:r>
      <w:proofErr w:type="gramEnd"/>
      <w:r w:rsidRPr="003F141B">
        <w:rPr>
          <w:lang w:val="en-CA"/>
        </w:rPr>
        <w:t xml:space="preserve"> </w:t>
      </w:r>
      <w:r w:rsidR="00126F1E" w:rsidRPr="003F141B">
        <w:rPr>
          <w:lang w:val="en-CA"/>
        </w:rPr>
        <w:t xml:space="preserve">The answer, it seems to me, lies in the very question. </w:t>
      </w:r>
    </w:p>
    <w:p w14:paraId="15D3CD62" w14:textId="598E7646" w:rsidR="00BD3187" w:rsidRPr="003F141B" w:rsidRDefault="00126F1E" w:rsidP="009130CA">
      <w:pPr>
        <w:pStyle w:val="Paragraphe"/>
        <w:spacing w:line="240" w:lineRule="auto"/>
        <w:rPr>
          <w:lang w:val="en-CA"/>
        </w:rPr>
      </w:pPr>
      <w:r w:rsidRPr="003F141B">
        <w:rPr>
          <w:lang w:val="en-CA"/>
        </w:rPr>
        <w:t>In my view</w:t>
      </w:r>
      <w:r w:rsidR="00BD3187" w:rsidRPr="003F141B">
        <w:rPr>
          <w:lang w:val="en-CA"/>
        </w:rPr>
        <w:t xml:space="preserve">, therefore, it is important that </w:t>
      </w:r>
      <w:r w:rsidRPr="003F141B">
        <w:rPr>
          <w:lang w:val="en-CA"/>
        </w:rPr>
        <w:t xml:space="preserve">the </w:t>
      </w:r>
      <w:r w:rsidR="00BD3187" w:rsidRPr="003F141B">
        <w:rPr>
          <w:lang w:val="en-CA"/>
        </w:rPr>
        <w:t xml:space="preserve">notion of </w:t>
      </w:r>
      <w:r w:rsidR="00081775">
        <w:rPr>
          <w:lang w:val="en-CA"/>
        </w:rPr>
        <w:t>“</w:t>
      </w:r>
      <w:r w:rsidR="00BD3187" w:rsidRPr="003F141B">
        <w:rPr>
          <w:lang w:val="en-CA"/>
        </w:rPr>
        <w:t>relationship of trust</w:t>
      </w:r>
      <w:r w:rsidR="00081775">
        <w:rPr>
          <w:lang w:val="en-CA"/>
        </w:rPr>
        <w:t>”</w:t>
      </w:r>
      <w:r w:rsidR="00BD3187" w:rsidRPr="003F141B">
        <w:rPr>
          <w:lang w:val="en-CA"/>
        </w:rPr>
        <w:t xml:space="preserve"> not be given </w:t>
      </w:r>
      <w:r w:rsidR="00C347A3">
        <w:rPr>
          <w:lang w:val="en-CA"/>
        </w:rPr>
        <w:t xml:space="preserve">inordinate </w:t>
      </w:r>
      <w:r w:rsidR="00BD3187" w:rsidRPr="003F141B">
        <w:rPr>
          <w:lang w:val="en-CA"/>
        </w:rPr>
        <w:t xml:space="preserve">weight </w:t>
      </w:r>
      <w:r w:rsidR="002503EE">
        <w:rPr>
          <w:lang w:val="en-CA"/>
        </w:rPr>
        <w:t xml:space="preserve">to such an extent that it </w:t>
      </w:r>
      <w:r w:rsidR="00BD3187" w:rsidRPr="003F141B">
        <w:rPr>
          <w:lang w:val="en-CA"/>
        </w:rPr>
        <w:t>raise</w:t>
      </w:r>
      <w:r w:rsidR="002503EE">
        <w:rPr>
          <w:lang w:val="en-CA"/>
        </w:rPr>
        <w:t>s</w:t>
      </w:r>
      <w:r w:rsidR="00BD3187" w:rsidRPr="003F141B">
        <w:rPr>
          <w:lang w:val="en-CA"/>
        </w:rPr>
        <w:t xml:space="preserve"> the requirements of the implementation</w:t>
      </w:r>
      <w:r w:rsidR="00756944">
        <w:rPr>
          <w:lang w:val="en-CA"/>
        </w:rPr>
        <w:t>al</w:t>
      </w:r>
      <w:r w:rsidR="00BD3187" w:rsidRPr="003F141B">
        <w:rPr>
          <w:lang w:val="en-CA"/>
        </w:rPr>
        <w:t xml:space="preserve"> aspect of police </w:t>
      </w:r>
      <w:r w:rsidR="00DC0C58" w:rsidRPr="003F141B">
        <w:rPr>
          <w:lang w:val="en-CA"/>
        </w:rPr>
        <w:t>officers</w:t>
      </w:r>
      <w:r w:rsidR="003061CC">
        <w:rPr>
          <w:lang w:val="en-CA"/>
        </w:rPr>
        <w:t>’</w:t>
      </w:r>
      <w:r w:rsidR="00DC0C58" w:rsidRPr="003F141B">
        <w:rPr>
          <w:lang w:val="en-CA"/>
        </w:rPr>
        <w:t xml:space="preserve"> obligations </w:t>
      </w:r>
      <w:r w:rsidR="00BD3187" w:rsidRPr="003F141B">
        <w:rPr>
          <w:lang w:val="en-CA"/>
        </w:rPr>
        <w:t xml:space="preserve">indiscriminately in all cases </w:t>
      </w:r>
      <w:r w:rsidR="0038449B">
        <w:rPr>
          <w:lang w:val="en-CA"/>
        </w:rPr>
        <w:t xml:space="preserve">and </w:t>
      </w:r>
      <w:r w:rsidRPr="003F141B">
        <w:rPr>
          <w:lang w:val="en-CA"/>
        </w:rPr>
        <w:t>in the abstract</w:t>
      </w:r>
      <w:r w:rsidR="00BD3187" w:rsidRPr="003F141B">
        <w:rPr>
          <w:lang w:val="en-CA"/>
        </w:rPr>
        <w:t xml:space="preserve">, </w:t>
      </w:r>
      <w:r w:rsidR="00283659">
        <w:rPr>
          <w:lang w:val="en-CA"/>
        </w:rPr>
        <w:t xml:space="preserve">that it </w:t>
      </w:r>
      <w:r w:rsidR="00BD3187" w:rsidRPr="003F141B">
        <w:rPr>
          <w:lang w:val="en-CA"/>
        </w:rPr>
        <w:t>transform</w:t>
      </w:r>
      <w:r w:rsidR="00283659">
        <w:rPr>
          <w:lang w:val="en-CA"/>
        </w:rPr>
        <w:t>s</w:t>
      </w:r>
      <w:r w:rsidR="00BD3187" w:rsidRPr="003F141B">
        <w:rPr>
          <w:lang w:val="en-CA"/>
        </w:rPr>
        <w:t xml:space="preserve"> the right of </w:t>
      </w:r>
      <w:r w:rsidR="000C7214" w:rsidRPr="003F141B">
        <w:rPr>
          <w:lang w:val="en-CA"/>
        </w:rPr>
        <w:t xml:space="preserve">an </w:t>
      </w:r>
      <w:r w:rsidR="00BD3187" w:rsidRPr="003F141B">
        <w:rPr>
          <w:lang w:val="en-CA"/>
        </w:rPr>
        <w:t xml:space="preserve">arrested person to counsel of his or her choice into an absolute right, or </w:t>
      </w:r>
      <w:r w:rsidR="00283659">
        <w:rPr>
          <w:lang w:val="en-CA"/>
        </w:rPr>
        <w:t xml:space="preserve">that it </w:t>
      </w:r>
      <w:r w:rsidR="00BD3187" w:rsidRPr="003F141B">
        <w:rPr>
          <w:lang w:val="en-CA"/>
        </w:rPr>
        <w:t>dilute</w:t>
      </w:r>
      <w:r w:rsidR="00283659">
        <w:rPr>
          <w:lang w:val="en-CA"/>
        </w:rPr>
        <w:t>s</w:t>
      </w:r>
      <w:r w:rsidR="00BD3187" w:rsidRPr="003F141B">
        <w:rPr>
          <w:lang w:val="en-CA"/>
        </w:rPr>
        <w:t xml:space="preserve"> </w:t>
      </w:r>
      <w:r w:rsidR="000C7214" w:rsidRPr="003F141B">
        <w:rPr>
          <w:lang w:val="en-CA"/>
        </w:rPr>
        <w:t>the arrested person</w:t>
      </w:r>
      <w:r w:rsidR="003061CC">
        <w:rPr>
          <w:lang w:val="en-CA"/>
        </w:rPr>
        <w:t>’</w:t>
      </w:r>
      <w:r w:rsidR="000C7214" w:rsidRPr="003F141B">
        <w:rPr>
          <w:lang w:val="en-CA"/>
        </w:rPr>
        <w:t xml:space="preserve">s </w:t>
      </w:r>
      <w:r w:rsidR="00BD3187" w:rsidRPr="003F141B">
        <w:rPr>
          <w:lang w:val="en-CA"/>
        </w:rPr>
        <w:t xml:space="preserve">obligation of diligence in a way that is irreconcilable with </w:t>
      </w:r>
      <w:r w:rsidR="00147C72" w:rsidRPr="003F141B">
        <w:rPr>
          <w:lang w:val="en-CA"/>
        </w:rPr>
        <w:t>s.</w:t>
      </w:r>
      <w:r w:rsidR="00BD3187" w:rsidRPr="003F141B">
        <w:rPr>
          <w:lang w:val="en-CA"/>
        </w:rPr>
        <w:t xml:space="preserve"> 10(b) and the needs of society.</w:t>
      </w:r>
    </w:p>
    <w:p w14:paraId="259F9C00" w14:textId="08719952" w:rsidR="00BD3187" w:rsidRPr="003F141B" w:rsidRDefault="00BD3187" w:rsidP="009130CA">
      <w:pPr>
        <w:pStyle w:val="Paragraphe"/>
        <w:spacing w:line="240" w:lineRule="auto"/>
        <w:rPr>
          <w:lang w:val="en-CA"/>
        </w:rPr>
      </w:pPr>
      <w:r w:rsidRPr="003F141B">
        <w:rPr>
          <w:lang w:val="en-CA"/>
        </w:rPr>
        <w:t>For all of these reasons, I would reverse the judge</w:t>
      </w:r>
      <w:r w:rsidR="003061CC">
        <w:rPr>
          <w:lang w:val="en-CA"/>
        </w:rPr>
        <w:t>’</w:t>
      </w:r>
      <w:r w:rsidRPr="003F141B">
        <w:rPr>
          <w:lang w:val="en-CA"/>
        </w:rPr>
        <w:t>s finding that the respondent</w:t>
      </w:r>
      <w:r w:rsidR="003061CC">
        <w:rPr>
          <w:lang w:val="en-CA"/>
        </w:rPr>
        <w:t>’</w:t>
      </w:r>
      <w:r w:rsidRPr="003F141B">
        <w:rPr>
          <w:lang w:val="en-CA"/>
        </w:rPr>
        <w:t xml:space="preserve">s </w:t>
      </w:r>
      <w:r w:rsidR="00147C72" w:rsidRPr="003F141B">
        <w:rPr>
          <w:lang w:val="en-CA"/>
        </w:rPr>
        <w:t>s.</w:t>
      </w:r>
      <w:r w:rsidRPr="003F141B">
        <w:rPr>
          <w:lang w:val="en-CA"/>
        </w:rPr>
        <w:t xml:space="preserve"> 10(b) </w:t>
      </w:r>
      <w:r w:rsidRPr="003F141B">
        <w:rPr>
          <w:i/>
          <w:lang w:val="en-CA"/>
        </w:rPr>
        <w:t>Charter</w:t>
      </w:r>
      <w:r w:rsidRPr="003F141B">
        <w:rPr>
          <w:lang w:val="en-CA"/>
        </w:rPr>
        <w:t xml:space="preserve"> right to </w:t>
      </w:r>
      <w:r w:rsidR="00DC0C58" w:rsidRPr="003F141B">
        <w:rPr>
          <w:lang w:val="en-CA"/>
        </w:rPr>
        <w:t xml:space="preserve">retain and instruct </w:t>
      </w:r>
      <w:r w:rsidRPr="003F141B">
        <w:rPr>
          <w:lang w:val="en-CA"/>
        </w:rPr>
        <w:t xml:space="preserve">counsel of his choice </w:t>
      </w:r>
      <w:proofErr w:type="gramStart"/>
      <w:r w:rsidR="000C7214" w:rsidRPr="003F141B">
        <w:rPr>
          <w:lang w:val="en-CA"/>
        </w:rPr>
        <w:t>was</w:t>
      </w:r>
      <w:r w:rsidRPr="003F141B">
        <w:rPr>
          <w:lang w:val="en-CA"/>
        </w:rPr>
        <w:t xml:space="preserve"> violated</w:t>
      </w:r>
      <w:proofErr w:type="gramEnd"/>
      <w:r w:rsidRPr="003F141B">
        <w:rPr>
          <w:lang w:val="en-CA"/>
        </w:rPr>
        <w:t>.</w:t>
      </w:r>
    </w:p>
    <w:p w14:paraId="3C25285C" w14:textId="1A286E29" w:rsidR="009130CA" w:rsidRPr="003F141B" w:rsidRDefault="00BD3187" w:rsidP="009130CA">
      <w:pPr>
        <w:pStyle w:val="Paragraphe"/>
        <w:spacing w:line="240" w:lineRule="auto"/>
        <w:rPr>
          <w:lang w:val="en-CA"/>
        </w:rPr>
      </w:pPr>
      <w:r w:rsidRPr="003F141B">
        <w:rPr>
          <w:lang w:val="en-CA"/>
        </w:rPr>
        <w:lastRenderedPageBreak/>
        <w:t xml:space="preserve">This disposition of the first ground raised by the appellant would be sufficient to </w:t>
      </w:r>
      <w:r w:rsidR="009C43AB">
        <w:rPr>
          <w:lang w:val="en-CA"/>
        </w:rPr>
        <w:t xml:space="preserve">decide </w:t>
      </w:r>
      <w:r w:rsidRPr="003F141B">
        <w:rPr>
          <w:lang w:val="en-CA"/>
        </w:rPr>
        <w:t xml:space="preserve">the appeal, without </w:t>
      </w:r>
      <w:r w:rsidR="009C43AB">
        <w:rPr>
          <w:lang w:val="en-CA"/>
        </w:rPr>
        <w:t xml:space="preserve">the </w:t>
      </w:r>
      <w:r w:rsidRPr="003F141B">
        <w:rPr>
          <w:lang w:val="en-CA"/>
        </w:rPr>
        <w:t xml:space="preserve">need to </w:t>
      </w:r>
      <w:r w:rsidR="000C7214" w:rsidRPr="003F141B">
        <w:rPr>
          <w:lang w:val="en-CA"/>
        </w:rPr>
        <w:t xml:space="preserve">analyze </w:t>
      </w:r>
      <w:r w:rsidRPr="003F141B">
        <w:rPr>
          <w:lang w:val="en-CA"/>
        </w:rPr>
        <w:t>the second ground concerning the judge</w:t>
      </w:r>
      <w:r w:rsidR="003061CC">
        <w:rPr>
          <w:lang w:val="en-CA"/>
        </w:rPr>
        <w:t>’</w:t>
      </w:r>
      <w:r w:rsidRPr="003F141B">
        <w:rPr>
          <w:lang w:val="en-CA"/>
        </w:rPr>
        <w:t xml:space="preserve">s decision to exclude the results of the blood alcohol tests from the evidence under </w:t>
      </w:r>
      <w:r w:rsidR="00147C72" w:rsidRPr="003F141B">
        <w:rPr>
          <w:lang w:val="en-CA"/>
        </w:rPr>
        <w:t>s.</w:t>
      </w:r>
      <w:r w:rsidRPr="003F141B">
        <w:rPr>
          <w:lang w:val="en-CA"/>
        </w:rPr>
        <w:t xml:space="preserve"> 24(2).</w:t>
      </w:r>
    </w:p>
    <w:p w14:paraId="788A2F01" w14:textId="36841BBA" w:rsidR="009130CA" w:rsidRPr="003F141B" w:rsidRDefault="00BD3187" w:rsidP="009130CA">
      <w:pPr>
        <w:pStyle w:val="Paragraphe"/>
        <w:spacing w:line="240" w:lineRule="auto"/>
        <w:rPr>
          <w:lang w:val="en-CA"/>
        </w:rPr>
      </w:pPr>
      <w:r w:rsidRPr="003F141B">
        <w:rPr>
          <w:lang w:val="en-CA"/>
        </w:rPr>
        <w:t>Nonetheless, in view of the conclusions of my colleagues on this point, it is appropriate that I address this argument, which I also find to be well founded.</w:t>
      </w:r>
    </w:p>
    <w:p w14:paraId="683A348B" w14:textId="01E6111D" w:rsidR="009130CA" w:rsidRPr="003F141B" w:rsidRDefault="005003D8" w:rsidP="009130CA">
      <w:pPr>
        <w:pStyle w:val="Paragraphe"/>
        <w:keepNext/>
        <w:numPr>
          <w:ilvl w:val="0"/>
          <w:numId w:val="0"/>
        </w:numPr>
        <w:spacing w:line="240" w:lineRule="auto"/>
        <w:ind w:left="720"/>
        <w:rPr>
          <w:lang w:val="en-CA"/>
        </w:rPr>
      </w:pPr>
      <w:r w:rsidRPr="003F141B">
        <w:rPr>
          <w:b/>
          <w:lang w:val="en-CA"/>
        </w:rPr>
        <w:t xml:space="preserve">3.2 </w:t>
      </w:r>
      <w:r w:rsidR="00C55A5D" w:rsidRPr="003F141B">
        <w:rPr>
          <w:b/>
          <w:lang w:val="en-CA"/>
        </w:rPr>
        <w:t xml:space="preserve">Did the judge err in law in finding that the application of the criteria in </w:t>
      </w:r>
      <w:r w:rsidR="00C55A5D" w:rsidRPr="003F141B">
        <w:rPr>
          <w:b/>
          <w:i/>
          <w:lang w:val="en-CA"/>
        </w:rPr>
        <w:t xml:space="preserve">Grant </w:t>
      </w:r>
      <w:r w:rsidR="00C55A5D" w:rsidRPr="003F141B">
        <w:rPr>
          <w:b/>
          <w:lang w:val="en-CA"/>
        </w:rPr>
        <w:t>justify the exclusion of the blood alcohol test results from the evidence</w:t>
      </w:r>
      <w:r w:rsidRPr="003F141B">
        <w:rPr>
          <w:b/>
          <w:lang w:val="en-CA"/>
        </w:rPr>
        <w:t>?</w:t>
      </w:r>
    </w:p>
    <w:p w14:paraId="1BFEAA04" w14:textId="1EEEA15C" w:rsidR="009130CA" w:rsidRPr="003F141B" w:rsidRDefault="005003D8" w:rsidP="009130CA">
      <w:pPr>
        <w:pStyle w:val="Paragraphe"/>
        <w:keepNext/>
        <w:numPr>
          <w:ilvl w:val="0"/>
          <w:numId w:val="0"/>
        </w:numPr>
        <w:spacing w:line="240" w:lineRule="auto"/>
        <w:rPr>
          <w:b/>
          <w:lang w:val="en-CA"/>
        </w:rPr>
      </w:pPr>
      <w:r w:rsidRPr="003F141B">
        <w:rPr>
          <w:lang w:val="en-CA"/>
        </w:rPr>
        <w:tab/>
      </w:r>
      <w:r w:rsidRPr="003F141B">
        <w:rPr>
          <w:lang w:val="en-CA"/>
        </w:rPr>
        <w:tab/>
      </w:r>
      <w:r w:rsidRPr="003F141B">
        <w:rPr>
          <w:b/>
          <w:lang w:val="en-CA"/>
        </w:rPr>
        <w:t xml:space="preserve">3.2.1 </w:t>
      </w:r>
      <w:r w:rsidR="0014585B" w:rsidRPr="003F141B">
        <w:rPr>
          <w:b/>
          <w:color w:val="000000"/>
          <w:lang w:val="en-CA"/>
        </w:rPr>
        <w:t>The applicable standard of review</w:t>
      </w:r>
    </w:p>
    <w:p w14:paraId="13CD160D" w14:textId="441CC30A" w:rsidR="009130CA" w:rsidRPr="003F141B" w:rsidRDefault="005A681A" w:rsidP="009130CA">
      <w:pPr>
        <w:pStyle w:val="Paragraphe"/>
        <w:spacing w:line="240" w:lineRule="auto"/>
        <w:rPr>
          <w:lang w:val="en-CA"/>
        </w:rPr>
      </w:pPr>
      <w:r w:rsidRPr="003F141B">
        <w:rPr>
          <w:color w:val="000000"/>
          <w:lang w:val="en-CA"/>
        </w:rPr>
        <w:t xml:space="preserve">When faced with an application for exclusion under </w:t>
      </w:r>
      <w:r w:rsidR="00147C72" w:rsidRPr="003F141B">
        <w:rPr>
          <w:color w:val="000000"/>
          <w:lang w:val="en-CA"/>
        </w:rPr>
        <w:t>s.</w:t>
      </w:r>
      <w:r w:rsidRPr="003F141B">
        <w:rPr>
          <w:color w:val="000000"/>
          <w:lang w:val="en-CA"/>
        </w:rPr>
        <w:t xml:space="preserve"> 24(2) of the </w:t>
      </w:r>
      <w:r w:rsidRPr="003F141B">
        <w:rPr>
          <w:i/>
          <w:color w:val="000000"/>
          <w:lang w:val="en-CA"/>
        </w:rPr>
        <w:t>Charter</w:t>
      </w:r>
      <w:r w:rsidRPr="003F141B">
        <w:rPr>
          <w:color w:val="000000"/>
          <w:lang w:val="en-CA"/>
        </w:rPr>
        <w:t xml:space="preserve">, a judge must assess and balance the effect of admitting the evidence on </w:t>
      </w:r>
      <w:r w:rsidR="000C7214" w:rsidRPr="003F141B">
        <w:rPr>
          <w:color w:val="000000"/>
          <w:lang w:val="en-CA"/>
        </w:rPr>
        <w:t xml:space="preserve">public </w:t>
      </w:r>
      <w:r w:rsidRPr="003F141B">
        <w:rPr>
          <w:color w:val="000000"/>
          <w:lang w:val="en-CA"/>
        </w:rPr>
        <w:t xml:space="preserve">confidence in the justice system having regard to the seriousness of the infringing state conduct, the impact of the </w:t>
      </w:r>
      <w:r w:rsidR="00035F48" w:rsidRPr="003F141B">
        <w:rPr>
          <w:color w:val="000000"/>
          <w:lang w:val="en-CA"/>
        </w:rPr>
        <w:t>infringement</w:t>
      </w:r>
      <w:r w:rsidRPr="003F141B">
        <w:rPr>
          <w:color w:val="000000"/>
          <w:lang w:val="en-CA"/>
        </w:rPr>
        <w:t xml:space="preserve"> on the </w:t>
      </w:r>
      <w:r w:rsidRPr="003F141B">
        <w:rPr>
          <w:i/>
          <w:color w:val="000000"/>
          <w:lang w:val="en-CA"/>
        </w:rPr>
        <w:t>Charter</w:t>
      </w:r>
      <w:r w:rsidRPr="003F141B">
        <w:rPr>
          <w:color w:val="000000"/>
          <w:lang w:val="en-CA"/>
        </w:rPr>
        <w:t>-protected interests of the accused, and society</w:t>
      </w:r>
      <w:r w:rsidR="003061CC">
        <w:rPr>
          <w:color w:val="000000"/>
          <w:lang w:val="en-CA"/>
        </w:rPr>
        <w:t>’</w:t>
      </w:r>
      <w:r w:rsidRPr="003F141B">
        <w:rPr>
          <w:color w:val="000000"/>
          <w:lang w:val="en-CA"/>
        </w:rPr>
        <w:t>s interest in the adjudication of the case on its merits.</w:t>
      </w:r>
      <w:r w:rsidR="005003D8" w:rsidRPr="003F141B">
        <w:rPr>
          <w:rStyle w:val="Appelnotedebasdep"/>
          <w:lang w:val="en-CA"/>
        </w:rPr>
        <w:footnoteReference w:id="70"/>
      </w:r>
    </w:p>
    <w:p w14:paraId="3DD3A5D9" w14:textId="56C6F4F7" w:rsidR="009130CA" w:rsidRPr="003F141B" w:rsidRDefault="00247E4A" w:rsidP="009130CA">
      <w:pPr>
        <w:pStyle w:val="Paragraphe"/>
        <w:spacing w:line="240" w:lineRule="auto"/>
        <w:rPr>
          <w:lang w:val="en-CA"/>
        </w:rPr>
      </w:pPr>
      <w:r w:rsidRPr="003F141B">
        <w:rPr>
          <w:lang w:val="en-CA"/>
        </w:rPr>
        <w:t>A</w:t>
      </w:r>
      <w:r w:rsidR="005A681A" w:rsidRPr="003F141B">
        <w:rPr>
          <w:lang w:val="en-CA"/>
        </w:rPr>
        <w:t xml:space="preserve"> judge</w:t>
      </w:r>
      <w:r w:rsidR="003061CC">
        <w:rPr>
          <w:lang w:val="en-CA"/>
        </w:rPr>
        <w:t>’</w:t>
      </w:r>
      <w:r w:rsidR="005A681A" w:rsidRPr="003F141B">
        <w:rPr>
          <w:lang w:val="en-CA"/>
        </w:rPr>
        <w:t xml:space="preserve">s decision to exclude evidence after weighing these criteria </w:t>
      </w:r>
      <w:r w:rsidR="004A7587" w:rsidRPr="003F141B">
        <w:rPr>
          <w:lang w:val="en-CA"/>
        </w:rPr>
        <w:t xml:space="preserve">calls for </w:t>
      </w:r>
      <w:r w:rsidR="005A681A" w:rsidRPr="003F141B">
        <w:rPr>
          <w:lang w:val="en-CA"/>
        </w:rPr>
        <w:t xml:space="preserve">great deference. An appellate </w:t>
      </w:r>
      <w:r w:rsidR="005003D8" w:rsidRPr="003F141B">
        <w:rPr>
          <w:lang w:val="en-CA"/>
        </w:rPr>
        <w:t>court</w:t>
      </w:r>
      <w:r w:rsidR="005A681A" w:rsidRPr="003F141B">
        <w:rPr>
          <w:lang w:val="en-CA"/>
        </w:rPr>
        <w:t xml:space="preserve"> </w:t>
      </w:r>
      <w:r w:rsidR="004A7587" w:rsidRPr="003F141B">
        <w:rPr>
          <w:lang w:val="en-CA"/>
        </w:rPr>
        <w:t xml:space="preserve">must </w:t>
      </w:r>
      <w:r w:rsidR="00035F48" w:rsidRPr="003F141B">
        <w:rPr>
          <w:lang w:val="en-CA"/>
        </w:rPr>
        <w:t xml:space="preserve">not </w:t>
      </w:r>
      <w:r w:rsidR="005A681A" w:rsidRPr="003F141B">
        <w:rPr>
          <w:lang w:val="en-CA"/>
        </w:rPr>
        <w:t xml:space="preserve">intervene unless there </w:t>
      </w:r>
      <w:r w:rsidR="004A7587" w:rsidRPr="003F141B">
        <w:rPr>
          <w:lang w:val="en-CA"/>
        </w:rPr>
        <w:t xml:space="preserve">has been </w:t>
      </w:r>
      <w:r w:rsidR="005A681A" w:rsidRPr="003F141B">
        <w:rPr>
          <w:lang w:val="en-CA"/>
        </w:rPr>
        <w:t>a</w:t>
      </w:r>
      <w:r w:rsidR="00747169">
        <w:rPr>
          <w:lang w:val="en-CA"/>
        </w:rPr>
        <w:t>n</w:t>
      </w:r>
      <w:r w:rsidR="005A681A" w:rsidRPr="003F141B">
        <w:rPr>
          <w:lang w:val="en-CA"/>
        </w:rPr>
        <w:t xml:space="preserve"> </w:t>
      </w:r>
      <w:r w:rsidR="00747169">
        <w:rPr>
          <w:lang w:val="en-CA"/>
        </w:rPr>
        <w:t xml:space="preserve">apparent </w:t>
      </w:r>
      <w:r w:rsidR="005A681A" w:rsidRPr="003F141B">
        <w:rPr>
          <w:lang w:val="en-CA"/>
        </w:rPr>
        <w:t xml:space="preserve">error </w:t>
      </w:r>
      <w:r w:rsidR="00747169">
        <w:rPr>
          <w:lang w:val="en-CA"/>
        </w:rPr>
        <w:t xml:space="preserve">as </w:t>
      </w:r>
      <w:r w:rsidR="00660552" w:rsidRPr="003F141B">
        <w:rPr>
          <w:lang w:val="en-CA"/>
        </w:rPr>
        <w:t xml:space="preserve">to the applicable principles or </w:t>
      </w:r>
      <w:r w:rsidR="00747169">
        <w:rPr>
          <w:lang w:val="en-CA"/>
        </w:rPr>
        <w:t xml:space="preserve">rules of </w:t>
      </w:r>
      <w:r w:rsidR="00660552" w:rsidRPr="003F141B">
        <w:rPr>
          <w:lang w:val="en-CA"/>
        </w:rPr>
        <w:t>law, or an unreasonable finding.</w:t>
      </w:r>
      <w:r w:rsidR="005003D8" w:rsidRPr="003F141B">
        <w:rPr>
          <w:rStyle w:val="Appelnotedebasdep"/>
          <w:lang w:val="en-CA"/>
        </w:rPr>
        <w:footnoteReference w:id="71"/>
      </w:r>
    </w:p>
    <w:p w14:paraId="7B8E475A" w14:textId="433BA584" w:rsidR="009130CA" w:rsidRPr="003F141B" w:rsidRDefault="00247E4A" w:rsidP="009130CA">
      <w:pPr>
        <w:pStyle w:val="Paragraphe"/>
        <w:spacing w:line="240" w:lineRule="auto"/>
        <w:rPr>
          <w:lang w:val="en-CA"/>
        </w:rPr>
      </w:pPr>
      <w:r w:rsidRPr="003F141B">
        <w:rPr>
          <w:lang w:val="en-CA"/>
        </w:rPr>
        <w:t>In</w:t>
      </w:r>
      <w:r w:rsidR="005003D8" w:rsidRPr="003F141B">
        <w:rPr>
          <w:lang w:val="en-CA"/>
        </w:rPr>
        <w:t xml:space="preserve"> </w:t>
      </w:r>
      <w:r w:rsidR="005003D8" w:rsidRPr="003F141B">
        <w:rPr>
          <w:i/>
          <w:lang w:val="en-CA"/>
        </w:rPr>
        <w:t xml:space="preserve">R. </w:t>
      </w:r>
      <w:r w:rsidRPr="003F141B">
        <w:rPr>
          <w:i/>
          <w:lang w:val="en-CA"/>
        </w:rPr>
        <w:t>v.</w:t>
      </w:r>
      <w:r w:rsidR="005003D8" w:rsidRPr="003F141B">
        <w:rPr>
          <w:i/>
          <w:lang w:val="en-CA"/>
        </w:rPr>
        <w:t xml:space="preserve"> Lefebvre</w:t>
      </w:r>
      <w:r w:rsidR="005003D8" w:rsidRPr="003F141B">
        <w:rPr>
          <w:rStyle w:val="Appelnotedebasdep"/>
          <w:lang w:val="en-CA"/>
        </w:rPr>
        <w:footnoteReference w:id="72"/>
      </w:r>
      <w:r w:rsidR="005003D8" w:rsidRPr="003F141B">
        <w:rPr>
          <w:lang w:val="en-CA"/>
        </w:rPr>
        <w:t>, Cournoyer</w:t>
      </w:r>
      <w:r w:rsidR="00B35BBE" w:rsidRPr="003F141B">
        <w:rPr>
          <w:lang w:val="en-CA"/>
        </w:rPr>
        <w:t>,</w:t>
      </w:r>
      <w:r w:rsidRPr="003F141B">
        <w:rPr>
          <w:lang w:val="en-CA"/>
        </w:rPr>
        <w:t xml:space="preserve"> J.</w:t>
      </w:r>
      <w:r w:rsidR="0095648A" w:rsidRPr="003F141B">
        <w:rPr>
          <w:lang w:val="en-CA"/>
        </w:rPr>
        <w:t>S.C</w:t>
      </w:r>
      <w:r w:rsidR="00035F48" w:rsidRPr="003F141B">
        <w:rPr>
          <w:lang w:val="en-CA"/>
        </w:rPr>
        <w:t>.</w:t>
      </w:r>
      <w:r w:rsidR="005003D8" w:rsidRPr="003F141B">
        <w:rPr>
          <w:lang w:val="en-CA"/>
        </w:rPr>
        <w:t xml:space="preserve">, </w:t>
      </w:r>
      <w:r w:rsidR="0095648A" w:rsidRPr="003F141B">
        <w:rPr>
          <w:lang w:val="en-CA"/>
        </w:rPr>
        <w:t>now of the Court of Appeal</w:t>
      </w:r>
      <w:r w:rsidR="005003D8" w:rsidRPr="003F141B">
        <w:rPr>
          <w:lang w:val="en-CA"/>
        </w:rPr>
        <w:t xml:space="preserve">, </w:t>
      </w:r>
      <w:r w:rsidRPr="003F141B">
        <w:rPr>
          <w:lang w:val="en-CA"/>
        </w:rPr>
        <w:t>provided further clarification</w:t>
      </w:r>
      <w:r w:rsidR="005003D8" w:rsidRPr="003F141B">
        <w:rPr>
          <w:lang w:val="en-CA"/>
        </w:rPr>
        <w:t>:</w:t>
      </w:r>
    </w:p>
    <w:p w14:paraId="2847CAA8" w14:textId="228BD70C" w:rsidR="00247E4A" w:rsidRPr="003F141B" w:rsidRDefault="00247E4A" w:rsidP="00247E4A">
      <w:pPr>
        <w:pStyle w:val="Paragraphe"/>
        <w:numPr>
          <w:ilvl w:val="0"/>
          <w:numId w:val="0"/>
        </w:numPr>
        <w:spacing w:line="240" w:lineRule="auto"/>
        <w:ind w:left="720"/>
        <w:rPr>
          <w:lang w:val="en-CA"/>
        </w:rPr>
      </w:pPr>
      <w:r w:rsidRPr="003F141B">
        <w:rPr>
          <w:rFonts w:cs="Arial"/>
          <w:lang w:val="en-CA"/>
        </w:rPr>
        <w:t>[</w:t>
      </w:r>
      <w:r w:rsidRPr="003F141B">
        <w:rPr>
          <w:smallCaps/>
          <w:lang w:val="en-CA"/>
        </w:rPr>
        <w:t>translation</w:t>
      </w:r>
      <w:r w:rsidRPr="003F141B">
        <w:rPr>
          <w:rFonts w:cs="Arial"/>
          <w:lang w:val="en-CA"/>
        </w:rPr>
        <w:t>]</w:t>
      </w:r>
    </w:p>
    <w:p w14:paraId="1C543984" w14:textId="49B90112" w:rsidR="009130CA" w:rsidRPr="003F141B" w:rsidRDefault="005003D8" w:rsidP="009130CA">
      <w:pPr>
        <w:pStyle w:val="Citationenretrait"/>
        <w:spacing w:line="240" w:lineRule="auto"/>
        <w:rPr>
          <w:u w:val="single"/>
          <w:lang w:val="en-CA" w:eastAsia="fr-CA"/>
        </w:rPr>
      </w:pPr>
      <w:r w:rsidRPr="003F141B">
        <w:rPr>
          <w:lang w:val="en-CA" w:eastAsia="fr-CA"/>
        </w:rPr>
        <w:t xml:space="preserve">[275] </w:t>
      </w:r>
      <w:r w:rsidR="00247E4A" w:rsidRPr="003F141B">
        <w:rPr>
          <w:lang w:val="en-CA" w:eastAsia="fr-CA"/>
        </w:rPr>
        <w:t xml:space="preserve">When the decision concerning the exclusion of evidence </w:t>
      </w:r>
      <w:r w:rsidR="00035F48" w:rsidRPr="003F141B">
        <w:rPr>
          <w:lang w:val="en-CA" w:eastAsia="fr-CA"/>
        </w:rPr>
        <w:t>under</w:t>
      </w:r>
      <w:r w:rsidR="00247E4A" w:rsidRPr="003F141B">
        <w:rPr>
          <w:lang w:val="en-CA" w:eastAsia="fr-CA"/>
        </w:rPr>
        <w:t xml:space="preserve"> </w:t>
      </w:r>
      <w:r w:rsidR="00147C72" w:rsidRPr="003F141B">
        <w:rPr>
          <w:lang w:val="en-CA" w:eastAsia="fr-CA"/>
        </w:rPr>
        <w:t>s.</w:t>
      </w:r>
      <w:r w:rsidR="00247E4A" w:rsidRPr="003F141B">
        <w:rPr>
          <w:lang w:val="en-CA" w:eastAsia="fr-CA"/>
        </w:rPr>
        <w:t xml:space="preserve"> 24(2) is tainted by an error in principle</w:t>
      </w:r>
      <w:r w:rsidR="002E56B0" w:rsidRPr="003F141B">
        <w:rPr>
          <w:lang w:val="en-CA" w:eastAsia="fr-CA"/>
        </w:rPr>
        <w:t xml:space="preserve"> or</w:t>
      </w:r>
      <w:r w:rsidRPr="003F141B">
        <w:rPr>
          <w:lang w:val="en-CA" w:eastAsia="fr-CA"/>
        </w:rPr>
        <w:t xml:space="preserve"> </w:t>
      </w:r>
      <w:r w:rsidR="00BE793E" w:rsidRPr="003F141B">
        <w:rPr>
          <w:u w:val="single"/>
          <w:lang w:val="en-CA" w:eastAsia="fr-CA"/>
        </w:rPr>
        <w:t>a misunderstand</w:t>
      </w:r>
      <w:r w:rsidR="00F437C1" w:rsidRPr="003F141B">
        <w:rPr>
          <w:u w:val="single"/>
          <w:lang w:val="en-CA" w:eastAsia="fr-CA"/>
        </w:rPr>
        <w:t>ing</w:t>
      </w:r>
      <w:r w:rsidR="00BE793E" w:rsidRPr="003F141B">
        <w:rPr>
          <w:u w:val="single"/>
          <w:lang w:val="en-CA" w:eastAsia="fr-CA"/>
        </w:rPr>
        <w:t xml:space="preserve"> of the evidence, </w:t>
      </w:r>
      <w:r w:rsidR="002E56B0" w:rsidRPr="003F141B">
        <w:rPr>
          <w:u w:val="single"/>
          <w:lang w:val="en-CA" w:eastAsia="fr-CA"/>
        </w:rPr>
        <w:t xml:space="preserve">when it </w:t>
      </w:r>
      <w:r w:rsidR="00BE793E" w:rsidRPr="003F141B">
        <w:rPr>
          <w:u w:val="single"/>
          <w:lang w:val="en-CA" w:eastAsia="fr-CA"/>
        </w:rPr>
        <w:t xml:space="preserve">is the product of an unreasonable assessment of the evidence, or </w:t>
      </w:r>
      <w:r w:rsidR="002E56B0" w:rsidRPr="003F141B">
        <w:rPr>
          <w:u w:val="single"/>
          <w:lang w:val="en-CA" w:eastAsia="fr-CA"/>
        </w:rPr>
        <w:t xml:space="preserve">when it </w:t>
      </w:r>
      <w:r w:rsidR="00BE793E" w:rsidRPr="003F141B">
        <w:rPr>
          <w:u w:val="single"/>
          <w:lang w:val="en-CA" w:eastAsia="fr-CA"/>
        </w:rPr>
        <w:t xml:space="preserve">fails to take into account </w:t>
      </w:r>
      <w:r w:rsidR="002E56B0" w:rsidRPr="003F141B">
        <w:rPr>
          <w:u w:val="single"/>
          <w:lang w:val="en-CA" w:eastAsia="fr-CA"/>
        </w:rPr>
        <w:t xml:space="preserve">or ignore </w:t>
      </w:r>
      <w:r w:rsidR="00BE793E" w:rsidRPr="003F141B">
        <w:rPr>
          <w:u w:val="single"/>
          <w:lang w:val="en-CA" w:eastAsia="fr-CA"/>
        </w:rPr>
        <w:t xml:space="preserve">the </w:t>
      </w:r>
      <w:r w:rsidR="00035F48" w:rsidRPr="003F141B">
        <w:rPr>
          <w:u w:val="single"/>
          <w:lang w:val="en-CA" w:eastAsia="fr-CA"/>
        </w:rPr>
        <w:t>relevant</w:t>
      </w:r>
      <w:r w:rsidR="00BE793E" w:rsidRPr="003F141B">
        <w:rPr>
          <w:u w:val="single"/>
          <w:lang w:val="en-CA" w:eastAsia="fr-CA"/>
        </w:rPr>
        <w:t xml:space="preserve"> considerations, th</w:t>
      </w:r>
      <w:r w:rsidR="00F437C1" w:rsidRPr="003F141B">
        <w:rPr>
          <w:u w:val="single"/>
          <w:lang w:val="en-CA" w:eastAsia="fr-CA"/>
        </w:rPr>
        <w:t>e</w:t>
      </w:r>
      <w:r w:rsidR="00BE793E" w:rsidRPr="003F141B">
        <w:rPr>
          <w:u w:val="single"/>
          <w:lang w:val="en-CA" w:eastAsia="fr-CA"/>
        </w:rPr>
        <w:t xml:space="preserve"> decision no longer </w:t>
      </w:r>
      <w:r w:rsidR="00F704E7" w:rsidRPr="003F141B">
        <w:rPr>
          <w:u w:val="single"/>
          <w:lang w:val="en-CA" w:eastAsia="fr-CA"/>
        </w:rPr>
        <w:t xml:space="preserve">merits the considerable deference generally afforded this type of decision, and the analysis under s. 24(2) can be </w:t>
      </w:r>
      <w:r w:rsidR="002E56B0" w:rsidRPr="003F141B">
        <w:rPr>
          <w:u w:val="single"/>
          <w:lang w:val="en-CA" w:eastAsia="fr-CA"/>
        </w:rPr>
        <w:t xml:space="preserve">repeated </w:t>
      </w:r>
      <w:r w:rsidR="00F704E7" w:rsidRPr="003F141B">
        <w:rPr>
          <w:u w:val="single"/>
          <w:lang w:val="en-CA" w:eastAsia="fr-CA"/>
        </w:rPr>
        <w:t>by an appellate court.</w:t>
      </w:r>
    </w:p>
    <w:p w14:paraId="662F2D21" w14:textId="29B081F2" w:rsidR="009130CA" w:rsidRPr="003F141B" w:rsidRDefault="005003D8" w:rsidP="009130CA">
      <w:pPr>
        <w:pStyle w:val="Citationenretrait"/>
        <w:spacing w:line="240" w:lineRule="auto"/>
        <w:rPr>
          <w:lang w:val="en-CA" w:eastAsia="fr-CA"/>
        </w:rPr>
      </w:pPr>
      <w:r w:rsidRPr="003F141B">
        <w:rPr>
          <w:lang w:val="en-CA" w:eastAsia="fr-CA"/>
        </w:rPr>
        <w:tab/>
      </w:r>
      <w:r w:rsidRPr="003F141B">
        <w:rPr>
          <w:lang w:val="en-CA" w:eastAsia="fr-CA"/>
        </w:rPr>
        <w:tab/>
      </w:r>
      <w:r w:rsidRPr="003F141B">
        <w:rPr>
          <w:lang w:val="en-CA" w:eastAsia="fr-CA"/>
        </w:rPr>
        <w:tab/>
      </w:r>
      <w:r w:rsidRPr="003F141B">
        <w:rPr>
          <w:lang w:val="en-CA" w:eastAsia="fr-CA"/>
        </w:rPr>
        <w:tab/>
      </w:r>
      <w:r w:rsidRPr="003F141B">
        <w:rPr>
          <w:lang w:val="en-CA" w:eastAsia="fr-CA"/>
        </w:rPr>
        <w:tab/>
      </w:r>
      <w:r w:rsidRPr="003F141B">
        <w:rPr>
          <w:lang w:val="en-CA" w:eastAsia="fr-CA"/>
        </w:rPr>
        <w:tab/>
      </w:r>
      <w:r w:rsidRPr="003F141B">
        <w:rPr>
          <w:lang w:val="en-CA" w:eastAsia="fr-CA"/>
        </w:rPr>
        <w:tab/>
      </w:r>
      <w:r w:rsidRPr="003F141B">
        <w:rPr>
          <w:lang w:val="en-CA" w:eastAsia="fr-CA"/>
        </w:rPr>
        <w:tab/>
      </w:r>
      <w:r w:rsidR="00247E4A" w:rsidRPr="003F141B">
        <w:rPr>
          <w:lang w:val="en-CA" w:eastAsia="fr-CA"/>
        </w:rPr>
        <w:t xml:space="preserve">     </w:t>
      </w:r>
      <w:r w:rsidRPr="003F141B">
        <w:rPr>
          <w:lang w:val="en-CA" w:eastAsia="fr-CA"/>
        </w:rPr>
        <w:t>[</w:t>
      </w:r>
      <w:r w:rsidR="00247E4A" w:rsidRPr="003F141B">
        <w:rPr>
          <w:lang w:val="en-CA" w:eastAsia="fr-CA"/>
        </w:rPr>
        <w:t>Emphasis added</w:t>
      </w:r>
      <w:r w:rsidRPr="003F141B">
        <w:rPr>
          <w:lang w:val="en-CA" w:eastAsia="fr-CA"/>
        </w:rPr>
        <w:t>]</w:t>
      </w:r>
    </w:p>
    <w:p w14:paraId="3AE34353" w14:textId="6BE0C4C7" w:rsidR="009130CA" w:rsidRPr="003F141B" w:rsidRDefault="005003D8" w:rsidP="00BF5F8E">
      <w:pPr>
        <w:pStyle w:val="Paragraphe"/>
        <w:keepNext/>
        <w:numPr>
          <w:ilvl w:val="2"/>
          <w:numId w:val="33"/>
        </w:numPr>
        <w:spacing w:line="240" w:lineRule="auto"/>
        <w:rPr>
          <w:b/>
          <w:lang w:val="en-CA"/>
        </w:rPr>
      </w:pPr>
      <w:r w:rsidRPr="003F141B">
        <w:rPr>
          <w:b/>
          <w:lang w:val="en-CA"/>
        </w:rPr>
        <w:lastRenderedPageBreak/>
        <w:t>Application</w:t>
      </w:r>
    </w:p>
    <w:p w14:paraId="3B9A960D" w14:textId="7375EF10" w:rsidR="009130CA" w:rsidRPr="003F141B" w:rsidRDefault="00FA56A0" w:rsidP="00BF5F8E">
      <w:pPr>
        <w:pStyle w:val="Paragraphe"/>
        <w:keepNext/>
        <w:numPr>
          <w:ilvl w:val="0"/>
          <w:numId w:val="34"/>
        </w:numPr>
        <w:spacing w:line="240" w:lineRule="auto"/>
        <w:rPr>
          <w:b/>
          <w:lang w:val="en-CA"/>
        </w:rPr>
      </w:pPr>
      <w:r>
        <w:rPr>
          <w:b/>
          <w:lang w:val="en-CA"/>
        </w:rPr>
        <w:t>S</w:t>
      </w:r>
      <w:r w:rsidR="00BF5F8E" w:rsidRPr="003F141B">
        <w:rPr>
          <w:b/>
          <w:lang w:val="en-CA"/>
        </w:rPr>
        <w:t>eriousness of the infringing conduct</w:t>
      </w:r>
    </w:p>
    <w:p w14:paraId="347B54D4" w14:textId="42D79998" w:rsidR="009130CA" w:rsidRPr="003F141B" w:rsidRDefault="00BF5F8E" w:rsidP="009130CA">
      <w:pPr>
        <w:pStyle w:val="Paragraphe"/>
        <w:spacing w:line="240" w:lineRule="auto"/>
        <w:rPr>
          <w:rFonts w:cs="Arial"/>
          <w:szCs w:val="24"/>
          <w:lang w:val="en-CA" w:eastAsia="fr-CA"/>
        </w:rPr>
      </w:pPr>
      <w:r w:rsidRPr="003F141B">
        <w:rPr>
          <w:lang w:val="en-CA"/>
        </w:rPr>
        <w:t xml:space="preserve">Acts and omissions that infringe </w:t>
      </w:r>
      <w:r w:rsidRPr="003F141B">
        <w:rPr>
          <w:i/>
          <w:lang w:val="en-CA"/>
        </w:rPr>
        <w:t>Charter</w:t>
      </w:r>
      <w:r w:rsidRPr="003F141B">
        <w:rPr>
          <w:lang w:val="en-CA"/>
        </w:rPr>
        <w:t xml:space="preserve"> rights </w:t>
      </w:r>
      <w:r w:rsidR="0034168D" w:rsidRPr="003F141B">
        <w:rPr>
          <w:lang w:val="en-CA"/>
        </w:rPr>
        <w:t>vary in</w:t>
      </w:r>
      <w:r w:rsidRPr="003F141B">
        <w:rPr>
          <w:lang w:val="en-CA"/>
        </w:rPr>
        <w:t xml:space="preserve"> seriousness. Therefore, they do not all carry the same consequences </w:t>
      </w:r>
      <w:r w:rsidR="00F704E7" w:rsidRPr="003F141B">
        <w:rPr>
          <w:lang w:val="en-CA"/>
        </w:rPr>
        <w:t>for</w:t>
      </w:r>
      <w:r w:rsidRPr="003F141B">
        <w:rPr>
          <w:lang w:val="en-CA"/>
        </w:rPr>
        <w:t xml:space="preserve"> the public</w:t>
      </w:r>
      <w:r w:rsidR="003061CC">
        <w:rPr>
          <w:lang w:val="en-CA"/>
        </w:rPr>
        <w:t>’</w:t>
      </w:r>
      <w:r w:rsidRPr="003F141B">
        <w:rPr>
          <w:lang w:val="en-CA"/>
        </w:rPr>
        <w:t>s confidence in the admi</w:t>
      </w:r>
      <w:r w:rsidR="00F704E7" w:rsidRPr="003F141B">
        <w:rPr>
          <w:lang w:val="en-CA"/>
        </w:rPr>
        <w:t>ni</w:t>
      </w:r>
      <w:r w:rsidRPr="003F141B">
        <w:rPr>
          <w:lang w:val="en-CA"/>
        </w:rPr>
        <w:t>stration of justice.</w:t>
      </w:r>
    </w:p>
    <w:p w14:paraId="7A721643" w14:textId="0E6123F7" w:rsidR="009130CA" w:rsidRPr="003F141B" w:rsidRDefault="00F704E7" w:rsidP="00EB5812">
      <w:pPr>
        <w:pStyle w:val="Paragraphe"/>
        <w:spacing w:line="240" w:lineRule="auto"/>
        <w:rPr>
          <w:rFonts w:cs="Arial"/>
          <w:szCs w:val="24"/>
          <w:lang w:val="en-CA" w:eastAsia="fr-CA"/>
        </w:rPr>
      </w:pPr>
      <w:r w:rsidRPr="003F141B">
        <w:rPr>
          <w:lang w:val="en-CA"/>
        </w:rPr>
        <w:t xml:space="preserve">The more serious the actions alleged against police officers, </w:t>
      </w:r>
      <w:r w:rsidR="00C4089F">
        <w:rPr>
          <w:lang w:val="en-CA"/>
        </w:rPr>
        <w:t xml:space="preserve">the more </w:t>
      </w:r>
      <w:r w:rsidRPr="003F141B">
        <w:rPr>
          <w:lang w:val="en-CA"/>
        </w:rPr>
        <w:t xml:space="preserve">deliberate </w:t>
      </w:r>
      <w:r w:rsidR="00076C5A" w:rsidRPr="003F141B">
        <w:rPr>
          <w:lang w:val="en-CA"/>
        </w:rPr>
        <w:t xml:space="preserve">the </w:t>
      </w:r>
      <w:r w:rsidRPr="003F141B">
        <w:rPr>
          <w:lang w:val="en-CA"/>
        </w:rPr>
        <w:t xml:space="preserve">disregard of their </w:t>
      </w:r>
      <w:r w:rsidR="00035F48" w:rsidRPr="003F141B">
        <w:rPr>
          <w:lang w:val="en-CA"/>
        </w:rPr>
        <w:t>obligation</w:t>
      </w:r>
      <w:r w:rsidRPr="003F141B">
        <w:rPr>
          <w:lang w:val="en-CA"/>
        </w:rPr>
        <w:t>s</w:t>
      </w:r>
      <w:r w:rsidR="004F7E1A" w:rsidRPr="003F141B">
        <w:rPr>
          <w:lang w:val="en-CA"/>
        </w:rPr>
        <w:t>,</w:t>
      </w:r>
      <w:r w:rsidRPr="003F141B">
        <w:rPr>
          <w:lang w:val="en-CA"/>
        </w:rPr>
        <w:t xml:space="preserve"> or </w:t>
      </w:r>
      <w:r w:rsidR="00C4089F">
        <w:rPr>
          <w:lang w:val="en-CA"/>
        </w:rPr>
        <w:t xml:space="preserve">the more </w:t>
      </w:r>
      <w:r w:rsidRPr="003F141B">
        <w:rPr>
          <w:lang w:val="en-CA"/>
        </w:rPr>
        <w:t>abusive</w:t>
      </w:r>
      <w:r w:rsidR="004F7E1A" w:rsidRPr="003F141B">
        <w:rPr>
          <w:lang w:val="en-CA"/>
        </w:rPr>
        <w:t xml:space="preserve"> </w:t>
      </w:r>
      <w:r w:rsidR="00076C5A" w:rsidRPr="003F141B">
        <w:rPr>
          <w:lang w:val="en-CA"/>
        </w:rPr>
        <w:t xml:space="preserve">the </w:t>
      </w:r>
      <w:r w:rsidR="004F7E1A" w:rsidRPr="003F141B">
        <w:rPr>
          <w:lang w:val="en-CA"/>
        </w:rPr>
        <w:t>situation</w:t>
      </w:r>
      <w:r w:rsidRPr="003F141B">
        <w:rPr>
          <w:lang w:val="en-CA"/>
        </w:rPr>
        <w:t>, the more the courts</w:t>
      </w:r>
      <w:r w:rsidR="00210B5F" w:rsidRPr="003F141B">
        <w:rPr>
          <w:lang w:val="en-CA"/>
        </w:rPr>
        <w:t xml:space="preserve"> </w:t>
      </w:r>
      <w:r w:rsidRPr="003F141B">
        <w:rPr>
          <w:lang w:val="en-CA"/>
        </w:rPr>
        <w:t xml:space="preserve">must dissociate themselves from them. The less </w:t>
      </w:r>
      <w:r w:rsidR="004F7E1A" w:rsidRPr="003F141B">
        <w:rPr>
          <w:lang w:val="en-CA"/>
        </w:rPr>
        <w:t xml:space="preserve">serious those actions </w:t>
      </w:r>
      <w:r w:rsidRPr="003F141B">
        <w:rPr>
          <w:lang w:val="en-CA"/>
        </w:rPr>
        <w:t>are, the less likely it is that public confidence will be undermined by the judge</w:t>
      </w:r>
      <w:r w:rsidR="003061CC">
        <w:rPr>
          <w:lang w:val="en-CA"/>
        </w:rPr>
        <w:t>’</w:t>
      </w:r>
      <w:r w:rsidRPr="003F141B">
        <w:rPr>
          <w:lang w:val="en-CA"/>
        </w:rPr>
        <w:t xml:space="preserve">s decision to </w:t>
      </w:r>
      <w:r w:rsidR="004F7E1A" w:rsidRPr="003F141B">
        <w:rPr>
          <w:lang w:val="en-CA"/>
        </w:rPr>
        <w:t xml:space="preserve">admit </w:t>
      </w:r>
      <w:r w:rsidRPr="003F141B">
        <w:rPr>
          <w:lang w:val="en-CA"/>
        </w:rPr>
        <w:t xml:space="preserve">the evidence obtained for the purposes of the trial. Thus, at one end of the spectrum is the </w:t>
      </w:r>
      <w:r w:rsidR="00210B5F" w:rsidRPr="003F141B">
        <w:rPr>
          <w:lang w:val="en-CA"/>
        </w:rPr>
        <w:t>admission</w:t>
      </w:r>
      <w:r w:rsidRPr="003F141B">
        <w:rPr>
          <w:lang w:val="en-CA"/>
        </w:rPr>
        <w:t xml:space="preserve"> of </w:t>
      </w:r>
      <w:r w:rsidR="0034168D" w:rsidRPr="003F141B">
        <w:rPr>
          <w:lang w:val="en-CA"/>
        </w:rPr>
        <w:t xml:space="preserve">evidence </w:t>
      </w:r>
      <w:r w:rsidRPr="003F141B">
        <w:rPr>
          <w:lang w:val="en-CA"/>
        </w:rPr>
        <w:t xml:space="preserve">obtained </w:t>
      </w:r>
      <w:r w:rsidR="00210B5F" w:rsidRPr="003F141B">
        <w:rPr>
          <w:lang w:val="en-CA"/>
        </w:rPr>
        <w:t>through</w:t>
      </w:r>
      <w:r w:rsidRPr="003F141B">
        <w:rPr>
          <w:lang w:val="en-CA"/>
        </w:rPr>
        <w:t xml:space="preserve"> minor, understandable</w:t>
      </w:r>
      <w:r w:rsidR="004F7E1A" w:rsidRPr="003F141B">
        <w:rPr>
          <w:lang w:val="en-CA"/>
        </w:rPr>
        <w:t>,</w:t>
      </w:r>
      <w:r w:rsidRPr="003F141B">
        <w:rPr>
          <w:lang w:val="en-CA"/>
        </w:rPr>
        <w:t xml:space="preserve"> </w:t>
      </w:r>
      <w:r w:rsidR="0034168D" w:rsidRPr="003F141B">
        <w:rPr>
          <w:lang w:val="en-CA"/>
        </w:rPr>
        <w:t xml:space="preserve">or inadvertent </w:t>
      </w:r>
      <w:r w:rsidRPr="003F141B">
        <w:rPr>
          <w:lang w:val="en-CA"/>
        </w:rPr>
        <w:t>violations</w:t>
      </w:r>
      <w:r w:rsidR="00210B5F" w:rsidRPr="003F141B">
        <w:rPr>
          <w:lang w:val="en-CA"/>
        </w:rPr>
        <w:t>,</w:t>
      </w:r>
      <w:r w:rsidR="005003D8" w:rsidRPr="003F141B">
        <w:rPr>
          <w:rStyle w:val="Appelnotedebasdep"/>
          <w:lang w:val="en-CA"/>
        </w:rPr>
        <w:footnoteReference w:id="73"/>
      </w:r>
      <w:r w:rsidR="00210B5F" w:rsidRPr="003F141B">
        <w:rPr>
          <w:lang w:val="en-CA"/>
        </w:rPr>
        <w:t xml:space="preserve"> and at the other, that obtained through a wilful </w:t>
      </w:r>
      <w:r w:rsidR="00C14203" w:rsidRPr="003F141B">
        <w:rPr>
          <w:lang w:val="en-CA"/>
        </w:rPr>
        <w:t>dis</w:t>
      </w:r>
      <w:r w:rsidR="00210B5F" w:rsidRPr="003F141B">
        <w:rPr>
          <w:lang w:val="en-CA"/>
        </w:rPr>
        <w:t xml:space="preserve">regard of </w:t>
      </w:r>
      <w:r w:rsidR="00210B5F" w:rsidRPr="003F141B">
        <w:rPr>
          <w:i/>
          <w:lang w:val="en-CA"/>
        </w:rPr>
        <w:t>Charter</w:t>
      </w:r>
      <w:r w:rsidR="00210B5F" w:rsidRPr="003F141B">
        <w:rPr>
          <w:lang w:val="en-CA"/>
        </w:rPr>
        <w:t xml:space="preserve"> rights,</w:t>
      </w:r>
      <w:r w:rsidR="005003D8" w:rsidRPr="003F141B">
        <w:rPr>
          <w:rStyle w:val="Appelnotedebasdep"/>
          <w:lang w:val="en-CA"/>
        </w:rPr>
        <w:footnoteReference w:id="74"/>
      </w:r>
      <w:r w:rsidR="005003D8" w:rsidRPr="003F141B">
        <w:rPr>
          <w:lang w:val="en-CA"/>
        </w:rPr>
        <w:t xml:space="preserve"> </w:t>
      </w:r>
      <w:r w:rsidR="00C4089F">
        <w:rPr>
          <w:lang w:val="en-CA"/>
        </w:rPr>
        <w:t>including</w:t>
      </w:r>
      <w:r w:rsidR="00EF3089">
        <w:rPr>
          <w:lang w:val="en-CA"/>
        </w:rPr>
        <w:t xml:space="preserve">, within that spectrum, </w:t>
      </w:r>
      <w:r w:rsidR="00C14203" w:rsidRPr="003F141B">
        <w:rPr>
          <w:lang w:val="en-CA"/>
        </w:rPr>
        <w:t>negligent conduct</w:t>
      </w:r>
      <w:r w:rsidR="005003D8" w:rsidRPr="003F141B">
        <w:rPr>
          <w:rFonts w:cs="Arial"/>
          <w:szCs w:val="24"/>
          <w:lang w:val="en-CA" w:eastAsia="fr-CA"/>
        </w:rPr>
        <w:t xml:space="preserve">: </w:t>
      </w:r>
      <w:r w:rsidR="00081775">
        <w:rPr>
          <w:rFonts w:cs="Arial"/>
          <w:szCs w:val="24"/>
          <w:lang w:val="en-CA" w:eastAsia="fr-CA"/>
        </w:rPr>
        <w:t>“</w:t>
      </w:r>
      <w:r w:rsidR="00EB5812" w:rsidRPr="003F141B">
        <w:rPr>
          <w:color w:val="000000"/>
          <w:lang w:val="en-CA"/>
        </w:rPr>
        <w:t>What is important is the proper placement of the police conduct along that fault line, not the legal label attached to the conduct.</w:t>
      </w:r>
      <w:r w:rsidR="00081775">
        <w:rPr>
          <w:rFonts w:cs="Arial"/>
          <w:szCs w:val="24"/>
          <w:lang w:val="en-CA" w:eastAsia="fr-CA"/>
        </w:rPr>
        <w:t>”</w:t>
      </w:r>
      <w:r w:rsidR="005003D8" w:rsidRPr="003F141B">
        <w:rPr>
          <w:rStyle w:val="Appelnotedebasdep"/>
          <w:lang w:val="en-CA"/>
        </w:rPr>
        <w:footnoteReference w:id="75"/>
      </w:r>
      <w:r w:rsidR="005003D8" w:rsidRPr="003F141B">
        <w:rPr>
          <w:rStyle w:val="Appelnotedebasdep"/>
          <w:lang w:val="en-CA"/>
        </w:rPr>
        <w:t xml:space="preserve"> </w:t>
      </w:r>
      <w:r w:rsidR="004F7E1A" w:rsidRPr="003F141B">
        <w:rPr>
          <w:lang w:val="en-CA"/>
        </w:rPr>
        <w:t xml:space="preserve">This is all </w:t>
      </w:r>
      <w:r w:rsidR="00EC4274" w:rsidRPr="003F141B">
        <w:rPr>
          <w:lang w:val="en-CA"/>
        </w:rPr>
        <w:t xml:space="preserve">the more so when the infringement </w:t>
      </w:r>
      <w:r w:rsidR="00E128FD" w:rsidRPr="003F141B">
        <w:rPr>
          <w:lang w:val="en-CA"/>
        </w:rPr>
        <w:t xml:space="preserve">is the result of </w:t>
      </w:r>
      <w:r w:rsidR="00EF3089">
        <w:rPr>
          <w:lang w:val="en-CA"/>
        </w:rPr>
        <w:t xml:space="preserve">genuine </w:t>
      </w:r>
      <w:r w:rsidR="00E128FD" w:rsidRPr="003F141B">
        <w:rPr>
          <w:lang w:val="en-CA"/>
        </w:rPr>
        <w:t xml:space="preserve">good faith behaviour </w:t>
      </w:r>
      <w:r w:rsidR="0096280F" w:rsidRPr="003F141B">
        <w:rPr>
          <w:lang w:val="en-CA"/>
        </w:rPr>
        <w:t>by</w:t>
      </w:r>
      <w:r w:rsidR="0083098B" w:rsidRPr="003F141B">
        <w:rPr>
          <w:lang w:val="en-CA"/>
        </w:rPr>
        <w:t xml:space="preserve"> the police, which will also reduce the need for the Court to disassociate itself from the police conduct</w:t>
      </w:r>
      <w:r w:rsidR="0096280F" w:rsidRPr="003F141B">
        <w:rPr>
          <w:lang w:val="en-CA"/>
        </w:rPr>
        <w:t>.</w:t>
      </w:r>
      <w:r w:rsidR="005003D8" w:rsidRPr="003F141B">
        <w:rPr>
          <w:rStyle w:val="Appelnotedebasdep"/>
          <w:lang w:val="en-CA"/>
        </w:rPr>
        <w:footnoteReference w:id="76"/>
      </w:r>
      <w:r w:rsidR="004F7E1A" w:rsidRPr="003F141B">
        <w:rPr>
          <w:lang w:val="en-CA"/>
        </w:rPr>
        <w:t xml:space="preserve"> </w:t>
      </w:r>
      <w:r w:rsidR="0096280F" w:rsidRPr="003F141B">
        <w:rPr>
          <w:lang w:val="en-CA"/>
        </w:rPr>
        <w:t>A</w:t>
      </w:r>
      <w:r w:rsidR="00954826" w:rsidRPr="003F141B">
        <w:rPr>
          <w:lang w:val="en-CA"/>
        </w:rPr>
        <w:t>lthough not determinative, good faith constitutes a mitigating factor.</w:t>
      </w:r>
      <w:r w:rsidR="005003D8" w:rsidRPr="003F141B">
        <w:rPr>
          <w:rStyle w:val="Appelnotedebasdep"/>
          <w:lang w:val="en-CA"/>
        </w:rPr>
        <w:footnoteReference w:id="77"/>
      </w:r>
    </w:p>
    <w:p w14:paraId="05CD12F6" w14:textId="6CF9CBAE" w:rsidR="009130CA" w:rsidRPr="003F141B" w:rsidRDefault="007A63D5" w:rsidP="004F0755">
      <w:pPr>
        <w:pStyle w:val="Paragraphe"/>
        <w:spacing w:line="240" w:lineRule="auto"/>
        <w:rPr>
          <w:lang w:val="en-CA"/>
        </w:rPr>
      </w:pPr>
      <w:r w:rsidRPr="003F141B">
        <w:rPr>
          <w:lang w:val="en-CA"/>
        </w:rPr>
        <w:t>For example, in</w:t>
      </w:r>
      <w:r w:rsidR="005003D8" w:rsidRPr="003F141B">
        <w:rPr>
          <w:lang w:val="en-CA"/>
        </w:rPr>
        <w:t xml:space="preserve"> </w:t>
      </w:r>
      <w:r w:rsidR="005003D8" w:rsidRPr="003F141B">
        <w:rPr>
          <w:i/>
          <w:lang w:val="en-CA"/>
        </w:rPr>
        <w:t>Taylor</w:t>
      </w:r>
      <w:r w:rsidR="005003D8" w:rsidRPr="003F141B">
        <w:rPr>
          <w:lang w:val="en-CA"/>
        </w:rPr>
        <w:t>,</w:t>
      </w:r>
      <w:r w:rsidR="005003D8" w:rsidRPr="003F141B">
        <w:rPr>
          <w:i/>
          <w:lang w:val="en-CA"/>
        </w:rPr>
        <w:t xml:space="preserve"> </w:t>
      </w:r>
      <w:r w:rsidRPr="003F141B">
        <w:rPr>
          <w:lang w:val="en-CA"/>
        </w:rPr>
        <w:t xml:space="preserve">the accused had been arrested for impaired driving causing bodily harm. At the hospital, a nurse had taken blood </w:t>
      </w:r>
      <w:r w:rsidR="00035F48" w:rsidRPr="003F141B">
        <w:rPr>
          <w:lang w:val="en-CA"/>
        </w:rPr>
        <w:t>samples, which</w:t>
      </w:r>
      <w:r w:rsidRPr="003F141B">
        <w:rPr>
          <w:lang w:val="en-CA"/>
        </w:rPr>
        <w:t xml:space="preserve"> established that his blood alcohol </w:t>
      </w:r>
      <w:r w:rsidR="00EF3089">
        <w:rPr>
          <w:lang w:val="en-CA"/>
        </w:rPr>
        <w:t xml:space="preserve">level exceeded </w:t>
      </w:r>
      <w:r w:rsidRPr="003F141B">
        <w:rPr>
          <w:lang w:val="en-CA"/>
        </w:rPr>
        <w:t xml:space="preserve">the legal limit. </w:t>
      </w:r>
      <w:r w:rsidR="00F3222A" w:rsidRPr="003F141B">
        <w:rPr>
          <w:lang w:val="en-CA"/>
        </w:rPr>
        <w:t xml:space="preserve">The Supreme Court found that the criteria with respect to the analysis of the infringing conduct </w:t>
      </w:r>
      <w:r w:rsidR="00E01058" w:rsidRPr="003F141B">
        <w:rPr>
          <w:lang w:val="en-CA"/>
        </w:rPr>
        <w:t>weighed in favour of excluding that evidence</w:t>
      </w:r>
      <w:r w:rsidR="005003D8" w:rsidRPr="003F141B">
        <w:rPr>
          <w:rStyle w:val="Appelnotedebasdep"/>
          <w:lang w:val="en-CA"/>
        </w:rPr>
        <w:footnoteReference w:id="78"/>
      </w:r>
      <w:r w:rsidR="005003D8" w:rsidRPr="003F141B">
        <w:rPr>
          <w:lang w:val="en-CA"/>
        </w:rPr>
        <w:t xml:space="preserve"> </w:t>
      </w:r>
      <w:r w:rsidR="00E01058" w:rsidRPr="003F141B">
        <w:rPr>
          <w:lang w:val="en-CA"/>
        </w:rPr>
        <w:t>because the police officers</w:t>
      </w:r>
      <w:r w:rsidR="003061CC">
        <w:rPr>
          <w:lang w:val="en-CA"/>
        </w:rPr>
        <w:t>’</w:t>
      </w:r>
      <w:r w:rsidR="00E01058" w:rsidRPr="003F141B">
        <w:rPr>
          <w:lang w:val="en-CA"/>
        </w:rPr>
        <w:t xml:space="preserve"> decision not to give Mr. Taylor access to a telephone so that he could speak to his lawyer, as he had requested, and to then take him to the hospital for the blood samples, again without providing him the opportunity to speak to his lawyer</w:t>
      </w:r>
      <w:r w:rsidR="004F0755" w:rsidRPr="003F141B">
        <w:rPr>
          <w:lang w:val="en-CA"/>
        </w:rPr>
        <w:t xml:space="preserve"> or even verifying </w:t>
      </w:r>
      <w:r w:rsidR="001842ED" w:rsidRPr="003F141B">
        <w:rPr>
          <w:lang w:val="en-CA"/>
        </w:rPr>
        <w:t xml:space="preserve">whether </w:t>
      </w:r>
      <w:r w:rsidR="004F0755" w:rsidRPr="003F141B">
        <w:rPr>
          <w:lang w:val="en-CA"/>
        </w:rPr>
        <w:t xml:space="preserve">that would have been possible, constituted </w:t>
      </w:r>
      <w:r w:rsidR="001842ED" w:rsidRPr="003F141B">
        <w:rPr>
          <w:lang w:val="en-CA"/>
        </w:rPr>
        <w:t>(</w:t>
      </w:r>
      <w:r w:rsidR="004F0755" w:rsidRPr="003F141B">
        <w:rPr>
          <w:lang w:val="en-CA"/>
        </w:rPr>
        <w:t xml:space="preserve">as the judge incidentally also found in </w:t>
      </w:r>
      <w:r w:rsidR="002B3530">
        <w:rPr>
          <w:lang w:val="en-CA"/>
        </w:rPr>
        <w:t xml:space="preserve">the present </w:t>
      </w:r>
      <w:r w:rsidR="004F0755" w:rsidRPr="003F141B">
        <w:rPr>
          <w:lang w:val="en-CA"/>
        </w:rPr>
        <w:t>case</w:t>
      </w:r>
      <w:r w:rsidR="001842ED" w:rsidRPr="003F141B">
        <w:rPr>
          <w:lang w:val="en-CA"/>
        </w:rPr>
        <w:t>)</w:t>
      </w:r>
      <w:r w:rsidR="004F0755" w:rsidRPr="003F141B">
        <w:rPr>
          <w:lang w:val="en-CA"/>
        </w:rPr>
        <w:t xml:space="preserve"> a </w:t>
      </w:r>
      <w:r w:rsidR="00081775">
        <w:rPr>
          <w:lang w:val="en-CA"/>
        </w:rPr>
        <w:t>“</w:t>
      </w:r>
      <w:r w:rsidR="004F0755" w:rsidRPr="003F141B">
        <w:rPr>
          <w:lang w:val="en-CA"/>
        </w:rPr>
        <w:t>significant</w:t>
      </w:r>
      <w:r w:rsidR="00081775">
        <w:rPr>
          <w:lang w:val="en-CA"/>
        </w:rPr>
        <w:t>”</w:t>
      </w:r>
      <w:r w:rsidR="004F0755" w:rsidRPr="003F141B">
        <w:rPr>
          <w:lang w:val="en-CA"/>
        </w:rPr>
        <w:t xml:space="preserve"> departure from the standard of conduct expected of police officers</w:t>
      </w:r>
      <w:r w:rsidR="001842ED" w:rsidRPr="003F141B">
        <w:rPr>
          <w:lang w:val="en-CA"/>
        </w:rPr>
        <w:t xml:space="preserve"> that</w:t>
      </w:r>
      <w:r w:rsidR="004F0755" w:rsidRPr="003F141B">
        <w:rPr>
          <w:lang w:val="en-CA"/>
        </w:rPr>
        <w:t xml:space="preserve"> cannot be condoned. Contrary to </w:t>
      </w:r>
      <w:r w:rsidR="004F0755" w:rsidRPr="003F141B">
        <w:rPr>
          <w:lang w:val="en-CA"/>
        </w:rPr>
        <w:lastRenderedPageBreak/>
        <w:t xml:space="preserve">the situation of the respondent in </w:t>
      </w:r>
      <w:r w:rsidR="00B167FD">
        <w:rPr>
          <w:lang w:val="en-CA"/>
        </w:rPr>
        <w:t xml:space="preserve">the present </w:t>
      </w:r>
      <w:r w:rsidR="004F0755" w:rsidRPr="003F141B">
        <w:rPr>
          <w:lang w:val="en-CA"/>
        </w:rPr>
        <w:t xml:space="preserve">case, however, the police officers </w:t>
      </w:r>
      <w:r w:rsidR="001842ED" w:rsidRPr="003F141B">
        <w:rPr>
          <w:lang w:val="en-CA"/>
        </w:rPr>
        <w:t xml:space="preserve">did not </w:t>
      </w:r>
      <w:r w:rsidR="00B167FD">
        <w:rPr>
          <w:lang w:val="en-CA"/>
        </w:rPr>
        <w:t>“</w:t>
      </w:r>
      <w:r w:rsidR="004F0755" w:rsidRPr="003F141B">
        <w:rPr>
          <w:lang w:val="en-CA"/>
        </w:rPr>
        <w:t>do anything</w:t>
      </w:r>
      <w:r w:rsidR="00081775">
        <w:rPr>
          <w:lang w:val="en-CA"/>
        </w:rPr>
        <w:t>”</w:t>
      </w:r>
      <w:r w:rsidR="004F0755" w:rsidRPr="003F141B">
        <w:rPr>
          <w:lang w:val="en-CA"/>
        </w:rPr>
        <w:t xml:space="preserve"> to facilitate Mr. Taylor</w:t>
      </w:r>
      <w:r w:rsidR="003061CC">
        <w:rPr>
          <w:lang w:val="en-CA"/>
        </w:rPr>
        <w:t>’</w:t>
      </w:r>
      <w:r w:rsidR="004F0755" w:rsidRPr="003F141B">
        <w:rPr>
          <w:lang w:val="en-CA"/>
        </w:rPr>
        <w:t>s access to a lawyer.</w:t>
      </w:r>
      <w:r w:rsidR="005003D8" w:rsidRPr="003F141B">
        <w:rPr>
          <w:rStyle w:val="Appelnotedebasdep"/>
          <w:lang w:val="en-CA"/>
        </w:rPr>
        <w:footnoteReference w:id="79"/>
      </w:r>
    </w:p>
    <w:p w14:paraId="275D1C58" w14:textId="6158CE13" w:rsidR="009130CA" w:rsidRPr="003F141B" w:rsidRDefault="00652F98" w:rsidP="009130CA">
      <w:pPr>
        <w:pStyle w:val="Paragraphe"/>
        <w:spacing w:line="240" w:lineRule="auto"/>
        <w:rPr>
          <w:lang w:val="en-CA"/>
        </w:rPr>
      </w:pPr>
      <w:r w:rsidRPr="003F141B">
        <w:rPr>
          <w:lang w:val="en-CA"/>
        </w:rPr>
        <w:t xml:space="preserve">It appears that the trial judge made an unreasonable error </w:t>
      </w:r>
      <w:r w:rsidR="001842ED" w:rsidRPr="003F141B">
        <w:rPr>
          <w:lang w:val="en-CA"/>
        </w:rPr>
        <w:t xml:space="preserve">by </w:t>
      </w:r>
      <w:r w:rsidR="00B14C34" w:rsidRPr="003F141B">
        <w:rPr>
          <w:lang w:val="en-CA"/>
        </w:rPr>
        <w:t xml:space="preserve">inappropriately </w:t>
      </w:r>
      <w:r w:rsidR="001842ED" w:rsidRPr="003F141B">
        <w:rPr>
          <w:lang w:val="en-CA"/>
        </w:rPr>
        <w:t xml:space="preserve">positioning </w:t>
      </w:r>
      <w:r w:rsidR="00B14C34" w:rsidRPr="003F141B">
        <w:rPr>
          <w:lang w:val="en-CA"/>
        </w:rPr>
        <w:t xml:space="preserve">the infringing conduct of police officers </w:t>
      </w:r>
      <w:proofErr w:type="spellStart"/>
      <w:r w:rsidR="00B14C34" w:rsidRPr="003F141B">
        <w:rPr>
          <w:lang w:val="en-CA"/>
        </w:rPr>
        <w:t>Naess</w:t>
      </w:r>
      <w:proofErr w:type="spellEnd"/>
      <w:r w:rsidR="00B14C34" w:rsidRPr="003F141B">
        <w:rPr>
          <w:lang w:val="en-CA"/>
        </w:rPr>
        <w:t xml:space="preserve"> and </w:t>
      </w:r>
      <w:proofErr w:type="spellStart"/>
      <w:r w:rsidR="00B14C34" w:rsidRPr="003F141B">
        <w:rPr>
          <w:lang w:val="en-CA"/>
        </w:rPr>
        <w:t>Larouche</w:t>
      </w:r>
      <w:proofErr w:type="spellEnd"/>
      <w:r w:rsidR="00CF758A">
        <w:rPr>
          <w:lang w:val="en-CA"/>
        </w:rPr>
        <w:t>,</w:t>
      </w:r>
      <w:r w:rsidR="001842ED" w:rsidRPr="003F141B">
        <w:rPr>
          <w:lang w:val="en-CA"/>
        </w:rPr>
        <w:t xml:space="preserve"> as revealed by the evidence</w:t>
      </w:r>
      <w:r w:rsidR="00CF758A">
        <w:rPr>
          <w:lang w:val="en-CA"/>
        </w:rPr>
        <w:t>,</w:t>
      </w:r>
      <w:r w:rsidR="00B14C34" w:rsidRPr="003F141B">
        <w:rPr>
          <w:lang w:val="en-CA"/>
        </w:rPr>
        <w:t xml:space="preserve"> on the spectrum of infringing conduct. Their actions certainly do not constitute a significant departure from the</w:t>
      </w:r>
      <w:r w:rsidR="0084506F" w:rsidRPr="003F141B">
        <w:rPr>
          <w:lang w:val="en-CA"/>
        </w:rPr>
        <w:t xml:space="preserve">ir obligations and </w:t>
      </w:r>
      <w:r w:rsidR="001842ED" w:rsidRPr="003F141B">
        <w:rPr>
          <w:lang w:val="en-CA"/>
        </w:rPr>
        <w:t xml:space="preserve">can </w:t>
      </w:r>
      <w:r w:rsidR="0084506F" w:rsidRPr="003F141B">
        <w:rPr>
          <w:lang w:val="en-CA"/>
        </w:rPr>
        <w:t xml:space="preserve">in no way be described as a </w:t>
      </w:r>
      <w:r w:rsidR="00081775">
        <w:rPr>
          <w:lang w:val="en-CA"/>
        </w:rPr>
        <w:t>“</w:t>
      </w:r>
      <w:r w:rsidR="0084506F" w:rsidRPr="003F141B">
        <w:rPr>
          <w:lang w:val="en-CA"/>
        </w:rPr>
        <w:t>complete denial</w:t>
      </w:r>
      <w:r w:rsidR="00081775">
        <w:rPr>
          <w:lang w:val="en-CA"/>
        </w:rPr>
        <w:t>”</w:t>
      </w:r>
      <w:r w:rsidR="005003D8" w:rsidRPr="003F141B">
        <w:rPr>
          <w:rStyle w:val="Appelnotedebasdep"/>
          <w:lang w:val="en-CA"/>
        </w:rPr>
        <w:footnoteReference w:id="80"/>
      </w:r>
      <w:r w:rsidR="005003D8" w:rsidRPr="003F141B">
        <w:rPr>
          <w:lang w:val="en-CA"/>
        </w:rPr>
        <w:t xml:space="preserve"> </w:t>
      </w:r>
      <w:r w:rsidR="0084506F" w:rsidRPr="003F141B">
        <w:rPr>
          <w:lang w:val="en-CA"/>
        </w:rPr>
        <w:t>of the right to retain counsel.</w:t>
      </w:r>
      <w:r w:rsidR="005003D8" w:rsidRPr="003F141B">
        <w:rPr>
          <w:lang w:val="en-CA"/>
        </w:rPr>
        <w:t xml:space="preserve"> </w:t>
      </w:r>
    </w:p>
    <w:p w14:paraId="4EEA1092" w14:textId="2D632400" w:rsidR="00632498" w:rsidRPr="003F141B" w:rsidRDefault="000847EB" w:rsidP="000847EB">
      <w:pPr>
        <w:pStyle w:val="Paragraphe"/>
        <w:spacing w:line="240" w:lineRule="auto"/>
        <w:rPr>
          <w:lang w:val="en-CA"/>
        </w:rPr>
      </w:pPr>
      <w:r w:rsidRPr="003F141B">
        <w:rPr>
          <w:lang w:val="en-CA"/>
        </w:rPr>
        <w:t xml:space="preserve">I note, moreover, that the judge found that they acted in good faith. </w:t>
      </w:r>
      <w:r w:rsidR="00DC0B4E" w:rsidRPr="003F141B">
        <w:rPr>
          <w:lang w:val="en-CA"/>
        </w:rPr>
        <w:t>S</w:t>
      </w:r>
      <w:r w:rsidRPr="003F141B">
        <w:rPr>
          <w:lang w:val="en-CA"/>
        </w:rPr>
        <w:t xml:space="preserve">he </w:t>
      </w:r>
      <w:r w:rsidR="00DC0B4E" w:rsidRPr="003F141B">
        <w:rPr>
          <w:lang w:val="en-CA"/>
        </w:rPr>
        <w:t xml:space="preserve">also did not </w:t>
      </w:r>
      <w:r w:rsidRPr="003F141B">
        <w:rPr>
          <w:lang w:val="en-CA"/>
        </w:rPr>
        <w:t xml:space="preserve">question the credibility of their testimony </w:t>
      </w:r>
      <w:r w:rsidR="00DC0B4E" w:rsidRPr="003F141B">
        <w:rPr>
          <w:lang w:val="en-CA"/>
        </w:rPr>
        <w:t xml:space="preserve">on </w:t>
      </w:r>
      <w:r w:rsidRPr="003F141B">
        <w:rPr>
          <w:lang w:val="en-CA"/>
        </w:rPr>
        <w:t xml:space="preserve">the information they gave to the respondent and the reasons for their actions. Although not determinative on its own, the evidence also establishes that, in accordance with their obligations, police officers </w:t>
      </w:r>
      <w:proofErr w:type="spellStart"/>
      <w:r w:rsidRPr="003F141B">
        <w:rPr>
          <w:lang w:val="en-CA"/>
        </w:rPr>
        <w:t>Naess</w:t>
      </w:r>
      <w:proofErr w:type="spellEnd"/>
      <w:r w:rsidRPr="003F141B">
        <w:rPr>
          <w:lang w:val="en-CA"/>
        </w:rPr>
        <w:t xml:space="preserve"> and </w:t>
      </w:r>
      <w:proofErr w:type="spellStart"/>
      <w:r w:rsidRPr="003F141B">
        <w:rPr>
          <w:lang w:val="en-CA"/>
        </w:rPr>
        <w:t>Larouche</w:t>
      </w:r>
      <w:proofErr w:type="spellEnd"/>
      <w:r w:rsidRPr="003F141B">
        <w:rPr>
          <w:lang w:val="en-CA"/>
        </w:rPr>
        <w:t xml:space="preserve"> informed the respondent of his right to </w:t>
      </w:r>
      <w:r w:rsidR="00261F53" w:rsidRPr="003F141B">
        <w:rPr>
          <w:lang w:val="en-CA"/>
        </w:rPr>
        <w:t xml:space="preserve">retain and instruct </w:t>
      </w:r>
      <w:r w:rsidRPr="003F141B">
        <w:rPr>
          <w:lang w:val="en-CA"/>
        </w:rPr>
        <w:t xml:space="preserve">counsel at the time of his initial arrest for impaired driving, again upon arrival at the police station to see if he </w:t>
      </w:r>
      <w:r w:rsidR="00DC0B4E" w:rsidRPr="003F141B">
        <w:rPr>
          <w:lang w:val="en-CA"/>
        </w:rPr>
        <w:t xml:space="preserve">still </w:t>
      </w:r>
      <w:r w:rsidRPr="003F141B">
        <w:rPr>
          <w:lang w:val="en-CA"/>
        </w:rPr>
        <w:t>refuse</w:t>
      </w:r>
      <w:r w:rsidR="00DC0B4E" w:rsidRPr="003F141B">
        <w:rPr>
          <w:lang w:val="en-CA"/>
        </w:rPr>
        <w:t>d</w:t>
      </w:r>
      <w:r w:rsidRPr="003F141B">
        <w:rPr>
          <w:lang w:val="en-CA"/>
        </w:rPr>
        <w:t xml:space="preserve">, and again when circumstances changed due to the information </w:t>
      </w:r>
      <w:r w:rsidR="00CF758A">
        <w:rPr>
          <w:lang w:val="en-CA"/>
        </w:rPr>
        <w:t xml:space="preserve">they received </w:t>
      </w:r>
      <w:r w:rsidRPr="003F141B">
        <w:rPr>
          <w:lang w:val="en-CA"/>
        </w:rPr>
        <w:t xml:space="preserve">that he was also in breach of a condition to abstain from alcohol. Finally, after their admittedly brief attempts to do so, and after informing him that the lawyers he had initially identified were not available </w:t>
      </w:r>
      <w:r w:rsidR="00DC0B4E" w:rsidRPr="003F141B">
        <w:rPr>
          <w:lang w:val="en-CA"/>
        </w:rPr>
        <w:t>[</w:t>
      </w:r>
      <w:r w:rsidR="00DC0B4E" w:rsidRPr="003F141B">
        <w:rPr>
          <w:smallCaps/>
          <w:lang w:val="en-CA"/>
        </w:rPr>
        <w:t>translation</w:t>
      </w:r>
      <w:r w:rsidR="00DC0B4E" w:rsidRPr="003F141B">
        <w:rPr>
          <w:lang w:val="en-CA"/>
        </w:rPr>
        <w:t xml:space="preserve">] </w:t>
      </w:r>
      <w:r w:rsidR="00081775">
        <w:rPr>
          <w:lang w:val="en-CA"/>
        </w:rPr>
        <w:t>“</w:t>
      </w:r>
      <w:r w:rsidR="00E330CE" w:rsidRPr="003F141B">
        <w:rPr>
          <w:lang w:val="en-CA"/>
        </w:rPr>
        <w:t>for the time being</w:t>
      </w:r>
      <w:r w:rsidR="00081775">
        <w:rPr>
          <w:lang w:val="en-CA"/>
        </w:rPr>
        <w:t>”</w:t>
      </w:r>
      <w:r w:rsidRPr="003F141B">
        <w:rPr>
          <w:lang w:val="en-CA"/>
        </w:rPr>
        <w:t xml:space="preserve">, the police officers informed him without further delay of the possibility of retaining </w:t>
      </w:r>
      <w:r w:rsidR="00E330CE" w:rsidRPr="003F141B">
        <w:rPr>
          <w:lang w:val="en-CA"/>
        </w:rPr>
        <w:t xml:space="preserve">and instructing </w:t>
      </w:r>
      <w:r w:rsidRPr="003F141B">
        <w:rPr>
          <w:lang w:val="en-CA"/>
        </w:rPr>
        <w:t xml:space="preserve">a </w:t>
      </w:r>
      <w:r w:rsidR="007119B1" w:rsidRPr="003F141B">
        <w:rPr>
          <w:lang w:val="en-CA"/>
        </w:rPr>
        <w:t>legal</w:t>
      </w:r>
      <w:r w:rsidRPr="003F141B">
        <w:rPr>
          <w:lang w:val="en-CA"/>
        </w:rPr>
        <w:t xml:space="preserve"> aid lawyer.</w:t>
      </w:r>
    </w:p>
    <w:p w14:paraId="57685E48" w14:textId="4607BDCF" w:rsidR="009130CA" w:rsidRPr="003F141B" w:rsidRDefault="000847EB" w:rsidP="000847EB">
      <w:pPr>
        <w:pStyle w:val="Paragraphe"/>
        <w:spacing w:line="240" w:lineRule="auto"/>
        <w:rPr>
          <w:lang w:val="en-CA"/>
        </w:rPr>
      </w:pPr>
      <w:r w:rsidRPr="003F141B">
        <w:rPr>
          <w:lang w:val="en-CA"/>
        </w:rPr>
        <w:t xml:space="preserve">  </w:t>
      </w:r>
      <w:r w:rsidR="00DC0B4E" w:rsidRPr="003F141B">
        <w:rPr>
          <w:lang w:val="en-CA"/>
        </w:rPr>
        <w:t>This was the situation</w:t>
      </w:r>
      <w:r w:rsidR="005003D8" w:rsidRPr="003F141B">
        <w:rPr>
          <w:lang w:val="en-CA"/>
        </w:rPr>
        <w:t xml:space="preserve">, </w:t>
      </w:r>
      <w:r w:rsidR="00DC0B4E" w:rsidRPr="003F141B">
        <w:rPr>
          <w:lang w:val="en-CA"/>
        </w:rPr>
        <w:t xml:space="preserve">which involved no </w:t>
      </w:r>
      <w:r w:rsidR="00632498" w:rsidRPr="003F141B">
        <w:rPr>
          <w:lang w:val="en-CA"/>
        </w:rPr>
        <w:t xml:space="preserve">coercion or misrepresentation </w:t>
      </w:r>
      <w:r w:rsidR="00DC0B4E" w:rsidRPr="003F141B">
        <w:rPr>
          <w:lang w:val="en-CA"/>
        </w:rPr>
        <w:t xml:space="preserve">by </w:t>
      </w:r>
      <w:r w:rsidR="00632498" w:rsidRPr="003F141B">
        <w:rPr>
          <w:lang w:val="en-CA"/>
        </w:rPr>
        <w:t>the police officers</w:t>
      </w:r>
      <w:r w:rsidR="00DC0B4E" w:rsidRPr="003F141B">
        <w:rPr>
          <w:lang w:val="en-CA"/>
        </w:rPr>
        <w:t xml:space="preserve">, in which </w:t>
      </w:r>
      <w:r w:rsidR="00632498" w:rsidRPr="003F141B">
        <w:rPr>
          <w:lang w:val="en-CA"/>
        </w:rPr>
        <w:t xml:space="preserve">the respondent </w:t>
      </w:r>
      <w:r w:rsidR="00D86260">
        <w:rPr>
          <w:lang w:val="en-CA"/>
        </w:rPr>
        <w:t xml:space="preserve">voluntarily </w:t>
      </w:r>
      <w:r w:rsidR="00632498" w:rsidRPr="003F141B">
        <w:rPr>
          <w:lang w:val="en-CA"/>
        </w:rPr>
        <w:t>decided to seek the free assistance of a legal aid lawyer. Moreover, he specifically identified this lawyer</w:t>
      </w:r>
      <w:r w:rsidR="00DC0B4E" w:rsidRPr="003F141B">
        <w:rPr>
          <w:lang w:val="en-CA"/>
        </w:rPr>
        <w:t xml:space="preserve"> and spoke with him in </w:t>
      </w:r>
      <w:r w:rsidR="00632498" w:rsidRPr="003F141B">
        <w:rPr>
          <w:lang w:val="en-CA"/>
        </w:rPr>
        <w:t xml:space="preserve">a private conversation lasting eight minutes, </w:t>
      </w:r>
      <w:r w:rsidR="00DC0B4E" w:rsidRPr="003F141B">
        <w:rPr>
          <w:lang w:val="en-CA"/>
        </w:rPr>
        <w:t xml:space="preserve">regarding </w:t>
      </w:r>
      <w:r w:rsidR="00632498" w:rsidRPr="003F141B">
        <w:rPr>
          <w:lang w:val="en-CA"/>
        </w:rPr>
        <w:t>which he express</w:t>
      </w:r>
      <w:r w:rsidR="00DC0B4E" w:rsidRPr="003F141B">
        <w:rPr>
          <w:lang w:val="en-CA"/>
        </w:rPr>
        <w:t>ed</w:t>
      </w:r>
      <w:r w:rsidR="00632498" w:rsidRPr="003F141B">
        <w:rPr>
          <w:lang w:val="en-CA"/>
        </w:rPr>
        <w:t xml:space="preserve"> </w:t>
      </w:r>
      <w:r w:rsidR="00DC0B4E" w:rsidRPr="003F141B">
        <w:rPr>
          <w:lang w:val="en-CA"/>
        </w:rPr>
        <w:t xml:space="preserve">no </w:t>
      </w:r>
      <w:r w:rsidR="00632498" w:rsidRPr="003F141B">
        <w:rPr>
          <w:lang w:val="en-CA"/>
        </w:rPr>
        <w:t xml:space="preserve">dissatisfaction, before agreeing to blow into the breathalyzer. </w:t>
      </w:r>
    </w:p>
    <w:p w14:paraId="59F5C5DF" w14:textId="45D862C3" w:rsidR="009130CA" w:rsidRPr="003F141B" w:rsidRDefault="00351D7C" w:rsidP="009130CA">
      <w:pPr>
        <w:pStyle w:val="Paragraphe"/>
        <w:spacing w:line="240" w:lineRule="auto"/>
        <w:rPr>
          <w:lang w:val="en-CA"/>
        </w:rPr>
      </w:pPr>
      <w:proofErr w:type="gramStart"/>
      <w:r w:rsidRPr="003F141B">
        <w:rPr>
          <w:lang w:val="en-CA"/>
        </w:rPr>
        <w:t>In light of all of the circumstances, the situation is quite removed from one where police officers</w:t>
      </w:r>
      <w:r w:rsidR="00AF6E3A">
        <w:rPr>
          <w:lang w:val="en-CA"/>
        </w:rPr>
        <w:t>,</w:t>
      </w:r>
      <w:r w:rsidR="004A17E0" w:rsidRPr="003F141B">
        <w:rPr>
          <w:lang w:val="en-CA"/>
        </w:rPr>
        <w:t xml:space="preserve"> through means that were </w:t>
      </w:r>
      <w:r w:rsidRPr="003F141B">
        <w:rPr>
          <w:lang w:val="en-CA"/>
        </w:rPr>
        <w:t>concerted and deliberate,</w:t>
      </w:r>
      <w:r w:rsidR="005003D8" w:rsidRPr="003F141B">
        <w:rPr>
          <w:rStyle w:val="Appelnotedebasdep"/>
          <w:lang w:val="en-CA"/>
        </w:rPr>
        <w:footnoteReference w:id="81"/>
      </w:r>
      <w:r w:rsidR="008D5C64" w:rsidRPr="003F141B">
        <w:rPr>
          <w:lang w:val="en-CA"/>
        </w:rPr>
        <w:t xml:space="preserve"> </w:t>
      </w:r>
      <w:r w:rsidR="004A17E0" w:rsidRPr="003F141B">
        <w:rPr>
          <w:lang w:val="en-CA"/>
        </w:rPr>
        <w:t xml:space="preserve">that were </w:t>
      </w:r>
      <w:r w:rsidRPr="003F141B">
        <w:rPr>
          <w:lang w:val="en-CA"/>
        </w:rPr>
        <w:t xml:space="preserve">overt or negligent, </w:t>
      </w:r>
      <w:r w:rsidR="004A17E0" w:rsidRPr="003F141B">
        <w:rPr>
          <w:lang w:val="en-CA"/>
        </w:rPr>
        <w:t xml:space="preserve">that involved </w:t>
      </w:r>
      <w:r w:rsidRPr="003F141B">
        <w:rPr>
          <w:lang w:val="en-CA"/>
        </w:rPr>
        <w:t>misrepresentation,</w:t>
      </w:r>
      <w:r w:rsidR="007B4B22" w:rsidRPr="003F141B">
        <w:rPr>
          <w:rStyle w:val="Appelnotedebasdep"/>
          <w:lang w:val="en-CA"/>
        </w:rPr>
        <w:footnoteReference w:id="82"/>
      </w:r>
      <w:r w:rsidRPr="003F141B">
        <w:rPr>
          <w:lang w:val="en-CA"/>
        </w:rPr>
        <w:t xml:space="preserve"> or </w:t>
      </w:r>
      <w:r w:rsidR="004A17E0" w:rsidRPr="003F141B">
        <w:rPr>
          <w:lang w:val="en-CA"/>
        </w:rPr>
        <w:t xml:space="preserve">that were taken </w:t>
      </w:r>
      <w:r w:rsidRPr="003F141B">
        <w:rPr>
          <w:lang w:val="en-CA"/>
        </w:rPr>
        <w:t>in order to gain a strategic advantage,</w:t>
      </w:r>
      <w:r w:rsidR="007119B1" w:rsidRPr="003F141B">
        <w:rPr>
          <w:rStyle w:val="Appelnotedebasdep"/>
          <w:lang w:val="en-CA"/>
        </w:rPr>
        <w:footnoteReference w:id="83"/>
      </w:r>
      <w:r w:rsidR="008D5C64" w:rsidRPr="003F141B">
        <w:rPr>
          <w:lang w:val="en-CA"/>
        </w:rPr>
        <w:t xml:space="preserve"> </w:t>
      </w:r>
      <w:r w:rsidRPr="003F141B">
        <w:rPr>
          <w:lang w:val="en-CA"/>
        </w:rPr>
        <w:t xml:space="preserve">infringed, in a </w:t>
      </w:r>
      <w:r w:rsidR="00081775">
        <w:rPr>
          <w:lang w:val="en-CA"/>
        </w:rPr>
        <w:t>“</w:t>
      </w:r>
      <w:r w:rsidRPr="003F141B">
        <w:rPr>
          <w:lang w:val="en-CA"/>
        </w:rPr>
        <w:t>clearly serious</w:t>
      </w:r>
      <w:r w:rsidR="00081775">
        <w:rPr>
          <w:lang w:val="en-CA"/>
        </w:rPr>
        <w:t>”</w:t>
      </w:r>
      <w:r w:rsidR="005003D8" w:rsidRPr="003F141B">
        <w:rPr>
          <w:rStyle w:val="Appelnotedebasdep"/>
          <w:lang w:val="en-CA"/>
        </w:rPr>
        <w:footnoteReference w:id="84"/>
      </w:r>
      <w:r w:rsidR="007119B1" w:rsidRPr="003F141B">
        <w:rPr>
          <w:lang w:val="en-CA"/>
        </w:rPr>
        <w:t xml:space="preserve"> manner, a </w:t>
      </w:r>
      <w:r w:rsidR="00147C72" w:rsidRPr="003F141B">
        <w:rPr>
          <w:lang w:val="en-CA"/>
        </w:rPr>
        <w:t>s.</w:t>
      </w:r>
      <w:r w:rsidR="007119B1" w:rsidRPr="003F141B">
        <w:rPr>
          <w:lang w:val="en-CA"/>
        </w:rPr>
        <w:t xml:space="preserve"> 10(b) </w:t>
      </w:r>
      <w:r w:rsidR="007119B1" w:rsidRPr="003F141B">
        <w:rPr>
          <w:i/>
          <w:lang w:val="en-CA"/>
        </w:rPr>
        <w:t>Charter</w:t>
      </w:r>
      <w:r w:rsidR="00E330CE" w:rsidRPr="003F141B">
        <w:rPr>
          <w:lang w:val="en-CA"/>
        </w:rPr>
        <w:t xml:space="preserve"> right</w:t>
      </w:r>
      <w:r w:rsidR="007119B1" w:rsidRPr="003F141B">
        <w:rPr>
          <w:lang w:val="en-CA"/>
        </w:rPr>
        <w:t xml:space="preserve"> or otherwise committed an abuse of office.</w:t>
      </w:r>
      <w:proofErr w:type="gramEnd"/>
      <w:r w:rsidR="007119B1" w:rsidRPr="003F141B">
        <w:rPr>
          <w:lang w:val="en-CA"/>
        </w:rPr>
        <w:t xml:space="preserve"> </w:t>
      </w:r>
      <w:r w:rsidR="005003D8" w:rsidRPr="003F141B">
        <w:rPr>
          <w:lang w:val="en-CA"/>
        </w:rPr>
        <w:t xml:space="preserve"> </w:t>
      </w:r>
    </w:p>
    <w:p w14:paraId="44B4F46C" w14:textId="1951B9DE" w:rsidR="009130CA" w:rsidRPr="003F141B" w:rsidRDefault="004A17E0" w:rsidP="009130CA">
      <w:pPr>
        <w:pStyle w:val="Paragraphe"/>
        <w:spacing w:line="240" w:lineRule="auto"/>
        <w:rPr>
          <w:lang w:val="en-CA"/>
        </w:rPr>
      </w:pPr>
      <w:r w:rsidRPr="003F141B">
        <w:rPr>
          <w:lang w:val="en-CA"/>
        </w:rPr>
        <w:t>A</w:t>
      </w:r>
      <w:r w:rsidR="007119B1" w:rsidRPr="003F141B">
        <w:rPr>
          <w:lang w:val="en-CA"/>
        </w:rPr>
        <w:t xml:space="preserve">lthough I am well aware of the applicable standard of review, </w:t>
      </w:r>
      <w:r w:rsidRPr="003F141B">
        <w:rPr>
          <w:lang w:val="en-CA"/>
        </w:rPr>
        <w:t xml:space="preserve">for these reasons, </w:t>
      </w:r>
      <w:r w:rsidR="007119B1" w:rsidRPr="003F141B">
        <w:rPr>
          <w:lang w:val="en-CA"/>
        </w:rPr>
        <w:t xml:space="preserve">I do not see how the judge could reasonably conclude that the seriousness of the </w:t>
      </w:r>
      <w:r w:rsidR="00134BAA" w:rsidRPr="003F141B">
        <w:rPr>
          <w:lang w:val="en-CA"/>
        </w:rPr>
        <w:t>police officers</w:t>
      </w:r>
      <w:r w:rsidR="003061CC">
        <w:rPr>
          <w:lang w:val="en-CA"/>
        </w:rPr>
        <w:t>’</w:t>
      </w:r>
      <w:r w:rsidR="00134BAA" w:rsidRPr="003F141B">
        <w:rPr>
          <w:lang w:val="en-CA"/>
        </w:rPr>
        <w:t xml:space="preserve"> conduct was </w:t>
      </w:r>
      <w:r w:rsidR="00134BAA" w:rsidRPr="003F141B">
        <w:rPr>
          <w:rFonts w:cs="Arial"/>
          <w:lang w:val="en-CA"/>
        </w:rPr>
        <w:t>[</w:t>
      </w:r>
      <w:r w:rsidR="00134BAA" w:rsidRPr="003F141B">
        <w:rPr>
          <w:smallCaps/>
          <w:lang w:val="en-CA"/>
        </w:rPr>
        <w:t>translation</w:t>
      </w:r>
      <w:r w:rsidR="00134BAA" w:rsidRPr="003F141B">
        <w:rPr>
          <w:rFonts w:cs="Arial"/>
          <w:smallCaps/>
          <w:lang w:val="en-CA"/>
        </w:rPr>
        <w:t>]</w:t>
      </w:r>
      <w:r w:rsidR="00134BAA" w:rsidRPr="003F141B">
        <w:rPr>
          <w:lang w:val="en-CA"/>
        </w:rPr>
        <w:t xml:space="preserve"> </w:t>
      </w:r>
      <w:r w:rsidR="00081775">
        <w:rPr>
          <w:lang w:val="en-CA"/>
        </w:rPr>
        <w:t>“</w:t>
      </w:r>
      <w:r w:rsidR="00134BAA" w:rsidRPr="003F141B">
        <w:rPr>
          <w:lang w:val="en-CA"/>
        </w:rPr>
        <w:t>significant</w:t>
      </w:r>
      <w:r w:rsidR="00081775">
        <w:rPr>
          <w:lang w:val="en-CA"/>
        </w:rPr>
        <w:t>”</w:t>
      </w:r>
      <w:r w:rsidR="00134BAA" w:rsidRPr="003F141B">
        <w:rPr>
          <w:lang w:val="en-CA"/>
        </w:rPr>
        <w:t xml:space="preserve"> or </w:t>
      </w:r>
      <w:r w:rsidR="00134BAA" w:rsidRPr="003F141B">
        <w:rPr>
          <w:rFonts w:cs="Arial"/>
          <w:lang w:val="en-CA"/>
        </w:rPr>
        <w:t>[</w:t>
      </w:r>
      <w:r w:rsidR="00134BAA" w:rsidRPr="003F141B">
        <w:rPr>
          <w:smallCaps/>
          <w:lang w:val="en-CA"/>
        </w:rPr>
        <w:t>translation</w:t>
      </w:r>
      <w:r w:rsidR="00134BAA" w:rsidRPr="003F141B">
        <w:rPr>
          <w:rFonts w:cs="Arial"/>
          <w:smallCaps/>
          <w:lang w:val="en-CA"/>
        </w:rPr>
        <w:t>]</w:t>
      </w:r>
      <w:r w:rsidR="00134BAA" w:rsidRPr="003F141B">
        <w:rPr>
          <w:lang w:val="en-CA"/>
        </w:rPr>
        <w:t xml:space="preserve"> </w:t>
      </w:r>
      <w:r w:rsidR="00081775">
        <w:rPr>
          <w:lang w:val="en-CA"/>
        </w:rPr>
        <w:t>“</w:t>
      </w:r>
      <w:r w:rsidR="00134BAA" w:rsidRPr="003F141B">
        <w:rPr>
          <w:lang w:val="en-CA"/>
        </w:rPr>
        <w:t>entirely unacceptable</w:t>
      </w:r>
      <w:r w:rsidR="00081775">
        <w:rPr>
          <w:lang w:val="en-CA"/>
        </w:rPr>
        <w:t>”</w:t>
      </w:r>
      <w:r w:rsidRPr="003F141B">
        <w:rPr>
          <w:lang w:val="en-CA"/>
        </w:rPr>
        <w:t xml:space="preserve"> </w:t>
      </w:r>
      <w:r w:rsidR="00134BAA" w:rsidRPr="003F141B">
        <w:rPr>
          <w:lang w:val="en-CA"/>
        </w:rPr>
        <w:t xml:space="preserve">and </w:t>
      </w:r>
      <w:r w:rsidRPr="003F141B">
        <w:rPr>
          <w:lang w:val="en-CA"/>
        </w:rPr>
        <w:t xml:space="preserve">therefore </w:t>
      </w:r>
      <w:r w:rsidR="00134BAA" w:rsidRPr="003F141B">
        <w:rPr>
          <w:lang w:val="en-CA"/>
        </w:rPr>
        <w:t xml:space="preserve">situate it in the </w:t>
      </w:r>
      <w:r w:rsidR="006D4306" w:rsidRPr="003F141B">
        <w:rPr>
          <w:lang w:val="en-CA"/>
        </w:rPr>
        <w:t>higher</w:t>
      </w:r>
      <w:r w:rsidR="00134BAA" w:rsidRPr="003F141B">
        <w:rPr>
          <w:lang w:val="en-CA"/>
        </w:rPr>
        <w:t xml:space="preserve"> range of seriousness of infringing conduct. Furthermore, the judge</w:t>
      </w:r>
      <w:r w:rsidR="003061CC">
        <w:rPr>
          <w:lang w:val="en-CA"/>
        </w:rPr>
        <w:t>’</w:t>
      </w:r>
      <w:r w:rsidR="00134BAA" w:rsidRPr="003F141B">
        <w:rPr>
          <w:lang w:val="en-CA"/>
        </w:rPr>
        <w:t xml:space="preserve">s analysis of this issue and her characterization of the police </w:t>
      </w:r>
      <w:r w:rsidR="00134BAA" w:rsidRPr="003F141B">
        <w:rPr>
          <w:lang w:val="en-CA"/>
        </w:rPr>
        <w:lastRenderedPageBreak/>
        <w:t>officers</w:t>
      </w:r>
      <w:r w:rsidR="003061CC">
        <w:rPr>
          <w:lang w:val="en-CA"/>
        </w:rPr>
        <w:t>’</w:t>
      </w:r>
      <w:r w:rsidR="00134BAA" w:rsidRPr="003F141B">
        <w:rPr>
          <w:lang w:val="en-CA"/>
        </w:rPr>
        <w:t xml:space="preserve"> conduct </w:t>
      </w:r>
      <w:r w:rsidR="000F1E35" w:rsidRPr="003F141B">
        <w:rPr>
          <w:lang w:val="en-CA"/>
        </w:rPr>
        <w:t xml:space="preserve">were also inevitably affected by the above-mentioned errors </w:t>
      </w:r>
      <w:r w:rsidR="001D3477">
        <w:rPr>
          <w:lang w:val="en-CA"/>
        </w:rPr>
        <w:t>of</w:t>
      </w:r>
      <w:r w:rsidR="001D3477" w:rsidRPr="003F141B">
        <w:rPr>
          <w:lang w:val="en-CA"/>
        </w:rPr>
        <w:t xml:space="preserve"> </w:t>
      </w:r>
      <w:r w:rsidR="000F1E35" w:rsidRPr="003F141B">
        <w:rPr>
          <w:lang w:val="en-CA"/>
        </w:rPr>
        <w:t>law in the assessment of the evidence.</w:t>
      </w:r>
    </w:p>
    <w:p w14:paraId="6D11A91A" w14:textId="6F544A1E" w:rsidR="009130CA" w:rsidRPr="003F141B" w:rsidRDefault="00E43887" w:rsidP="009130CA">
      <w:pPr>
        <w:pStyle w:val="Paragraphe"/>
        <w:spacing w:line="240" w:lineRule="auto"/>
        <w:rPr>
          <w:lang w:val="en-CA"/>
        </w:rPr>
      </w:pPr>
      <w:r>
        <w:rPr>
          <w:lang w:val="en-CA"/>
        </w:rPr>
        <w:t>Thus, h</w:t>
      </w:r>
      <w:r w:rsidR="000F1E35" w:rsidRPr="003F141B">
        <w:rPr>
          <w:lang w:val="en-CA"/>
        </w:rPr>
        <w:t>ad I found that the police officers infringed the respondent</w:t>
      </w:r>
      <w:r w:rsidR="003061CC">
        <w:rPr>
          <w:lang w:val="en-CA"/>
        </w:rPr>
        <w:t>’</w:t>
      </w:r>
      <w:r w:rsidR="000F1E35" w:rsidRPr="003F141B">
        <w:rPr>
          <w:lang w:val="en-CA"/>
        </w:rPr>
        <w:t xml:space="preserve">s </w:t>
      </w:r>
      <w:r w:rsidR="00147C72" w:rsidRPr="003F141B">
        <w:rPr>
          <w:lang w:val="en-CA"/>
        </w:rPr>
        <w:t>s.</w:t>
      </w:r>
      <w:r w:rsidR="000F1E35" w:rsidRPr="003F141B">
        <w:rPr>
          <w:lang w:val="en-CA"/>
        </w:rPr>
        <w:t xml:space="preserve"> 10(b) </w:t>
      </w:r>
      <w:r w:rsidR="000F1E35" w:rsidRPr="003F141B">
        <w:rPr>
          <w:i/>
          <w:lang w:val="en-CA"/>
        </w:rPr>
        <w:t>Charter</w:t>
      </w:r>
      <w:r w:rsidR="000F1E35" w:rsidRPr="003F141B">
        <w:rPr>
          <w:lang w:val="en-CA"/>
        </w:rPr>
        <w:t xml:space="preserve"> right, it would </w:t>
      </w:r>
      <w:r w:rsidR="00387FAA" w:rsidRPr="003F141B">
        <w:rPr>
          <w:lang w:val="en-CA"/>
        </w:rPr>
        <w:t xml:space="preserve">have </w:t>
      </w:r>
      <w:r w:rsidR="000F1E35" w:rsidRPr="003F141B">
        <w:rPr>
          <w:lang w:val="en-CA"/>
        </w:rPr>
        <w:t>be</w:t>
      </w:r>
      <w:r w:rsidR="00387FAA" w:rsidRPr="003F141B">
        <w:rPr>
          <w:lang w:val="en-CA"/>
        </w:rPr>
        <w:t>en</w:t>
      </w:r>
      <w:r w:rsidR="000F1E35" w:rsidRPr="003F141B">
        <w:rPr>
          <w:lang w:val="en-CA"/>
        </w:rPr>
        <w:t xml:space="preserve"> a minor infringement</w:t>
      </w:r>
      <w:r w:rsidR="005003D8" w:rsidRPr="003F141B">
        <w:rPr>
          <w:lang w:val="en-CA"/>
        </w:rPr>
        <w:t xml:space="preserve"> </w:t>
      </w:r>
      <w:r w:rsidR="000F1E35" w:rsidRPr="003F141B">
        <w:rPr>
          <w:lang w:val="en-CA"/>
        </w:rPr>
        <w:t>committed in good faith.</w:t>
      </w:r>
    </w:p>
    <w:p w14:paraId="59912A6D" w14:textId="09A10385" w:rsidR="009130CA" w:rsidRPr="003F141B" w:rsidRDefault="00A304BA" w:rsidP="002E7C7B">
      <w:pPr>
        <w:pStyle w:val="Paragraphe"/>
        <w:keepNext/>
        <w:numPr>
          <w:ilvl w:val="0"/>
          <w:numId w:val="34"/>
        </w:numPr>
        <w:spacing w:line="240" w:lineRule="auto"/>
        <w:rPr>
          <w:b/>
          <w:lang w:val="en-CA"/>
        </w:rPr>
      </w:pPr>
      <w:r>
        <w:rPr>
          <w:b/>
          <w:lang w:val="en-CA"/>
        </w:rPr>
        <w:t>I</w:t>
      </w:r>
      <w:r w:rsidR="000F1E35" w:rsidRPr="003F141B">
        <w:rPr>
          <w:b/>
          <w:lang w:val="en-CA"/>
        </w:rPr>
        <w:t>mpact of the infringing conduct on the respondent</w:t>
      </w:r>
      <w:r w:rsidR="003061CC">
        <w:rPr>
          <w:b/>
          <w:lang w:val="en-CA"/>
        </w:rPr>
        <w:t>’</w:t>
      </w:r>
      <w:r w:rsidR="000F1E35" w:rsidRPr="003F141B">
        <w:rPr>
          <w:b/>
          <w:lang w:val="en-CA"/>
        </w:rPr>
        <w:t xml:space="preserve">s </w:t>
      </w:r>
      <w:r w:rsidR="009639FF" w:rsidRPr="003F141B">
        <w:rPr>
          <w:b/>
          <w:lang w:val="en-CA"/>
        </w:rPr>
        <w:t>right guaranteed in s. 10(b)</w:t>
      </w:r>
    </w:p>
    <w:p w14:paraId="31158BAA" w14:textId="2B65755F" w:rsidR="009130CA" w:rsidRPr="003F141B" w:rsidRDefault="009639FF" w:rsidP="009130CA">
      <w:pPr>
        <w:pStyle w:val="Paragraphe"/>
        <w:spacing w:line="240" w:lineRule="auto"/>
        <w:rPr>
          <w:lang w:val="en-CA"/>
        </w:rPr>
      </w:pPr>
      <w:r w:rsidRPr="003F141B">
        <w:rPr>
          <w:lang w:val="en-CA"/>
        </w:rPr>
        <w:t>The appellant is also correct to argue that the judge erred in an unreasonable manner in finding that the impact of the police officers</w:t>
      </w:r>
      <w:r w:rsidR="003061CC">
        <w:rPr>
          <w:lang w:val="en-CA"/>
        </w:rPr>
        <w:t>’</w:t>
      </w:r>
      <w:r w:rsidRPr="003F141B">
        <w:rPr>
          <w:lang w:val="en-CA"/>
        </w:rPr>
        <w:t xml:space="preserve"> infringing conduct on the respondent</w:t>
      </w:r>
      <w:r w:rsidR="003061CC">
        <w:rPr>
          <w:lang w:val="en-CA"/>
        </w:rPr>
        <w:t>’</w:t>
      </w:r>
      <w:r w:rsidRPr="003F141B">
        <w:rPr>
          <w:lang w:val="en-CA"/>
        </w:rPr>
        <w:t xml:space="preserve">s guaranteed right was also </w:t>
      </w:r>
      <w:r w:rsidRPr="003F141B">
        <w:rPr>
          <w:rFonts w:cs="Arial"/>
          <w:lang w:val="en-CA"/>
        </w:rPr>
        <w:t>[</w:t>
      </w:r>
      <w:r w:rsidRPr="003F141B">
        <w:rPr>
          <w:smallCaps/>
          <w:lang w:val="en-CA"/>
        </w:rPr>
        <w:t>translation</w:t>
      </w:r>
      <w:r w:rsidRPr="003F141B">
        <w:rPr>
          <w:rFonts w:cs="Arial"/>
          <w:smallCaps/>
          <w:lang w:val="en-CA"/>
        </w:rPr>
        <w:t>]</w:t>
      </w:r>
      <w:r w:rsidRPr="003F141B">
        <w:rPr>
          <w:lang w:val="en-CA"/>
        </w:rPr>
        <w:t xml:space="preserve"> </w:t>
      </w:r>
      <w:r w:rsidR="00081775">
        <w:rPr>
          <w:lang w:val="en-CA"/>
        </w:rPr>
        <w:t>“</w:t>
      </w:r>
      <w:r w:rsidRPr="003F141B">
        <w:rPr>
          <w:lang w:val="en-CA"/>
        </w:rPr>
        <w:t>significant</w:t>
      </w:r>
      <w:r w:rsidR="00081775">
        <w:rPr>
          <w:lang w:val="en-CA"/>
        </w:rPr>
        <w:t>”</w:t>
      </w:r>
      <w:r w:rsidRPr="003F141B">
        <w:rPr>
          <w:lang w:val="en-CA"/>
        </w:rPr>
        <w:t>.</w:t>
      </w:r>
    </w:p>
    <w:p w14:paraId="229BBA19" w14:textId="3164DF44" w:rsidR="009130CA" w:rsidRPr="003F141B" w:rsidRDefault="009639FF" w:rsidP="009130CA">
      <w:pPr>
        <w:pStyle w:val="Paragraphe"/>
        <w:spacing w:line="240" w:lineRule="auto"/>
        <w:rPr>
          <w:lang w:val="en-CA"/>
        </w:rPr>
      </w:pPr>
      <w:r w:rsidRPr="003F141B">
        <w:rPr>
          <w:lang w:val="en-CA"/>
        </w:rPr>
        <w:t>In</w:t>
      </w:r>
      <w:r w:rsidR="005003D8" w:rsidRPr="003F141B">
        <w:rPr>
          <w:lang w:val="en-CA"/>
        </w:rPr>
        <w:t xml:space="preserve"> </w:t>
      </w:r>
      <w:r w:rsidR="005003D8" w:rsidRPr="003F141B">
        <w:rPr>
          <w:i/>
          <w:lang w:val="en-CA"/>
        </w:rPr>
        <w:t>Grant</w:t>
      </w:r>
      <w:r w:rsidRPr="003F141B">
        <w:rPr>
          <w:lang w:val="en-CA"/>
        </w:rPr>
        <w:t>,</w:t>
      </w:r>
      <w:r w:rsidR="005003D8" w:rsidRPr="003F141B">
        <w:rPr>
          <w:rStyle w:val="Appelnotedebasdep"/>
          <w:lang w:val="en-CA"/>
        </w:rPr>
        <w:footnoteReference w:id="85"/>
      </w:r>
      <w:r w:rsidRPr="003F141B">
        <w:rPr>
          <w:i/>
          <w:lang w:val="en-CA"/>
        </w:rPr>
        <w:t xml:space="preserve"> </w:t>
      </w:r>
      <w:r w:rsidRPr="003F141B">
        <w:rPr>
          <w:lang w:val="en-CA"/>
        </w:rPr>
        <w:t xml:space="preserve">the Supreme Court summarized the type of analysis </w:t>
      </w:r>
      <w:r w:rsidR="00FF6877" w:rsidRPr="003F141B">
        <w:rPr>
          <w:lang w:val="en-CA"/>
        </w:rPr>
        <w:t xml:space="preserve">this test </w:t>
      </w:r>
      <w:r w:rsidRPr="003F141B">
        <w:rPr>
          <w:lang w:val="en-CA"/>
        </w:rPr>
        <w:t>require</w:t>
      </w:r>
      <w:r w:rsidR="00FF6877" w:rsidRPr="003F141B">
        <w:rPr>
          <w:lang w:val="en-CA"/>
        </w:rPr>
        <w:t>s</w:t>
      </w:r>
      <w:r w:rsidRPr="003F141B">
        <w:rPr>
          <w:lang w:val="en-CA"/>
        </w:rPr>
        <w:t>:</w:t>
      </w:r>
    </w:p>
    <w:p w14:paraId="4B3F138B" w14:textId="21753BD6" w:rsidR="009130CA" w:rsidRPr="003F141B" w:rsidRDefault="005003D8" w:rsidP="009130CA">
      <w:pPr>
        <w:pStyle w:val="Citationenretrait"/>
        <w:spacing w:line="240" w:lineRule="auto"/>
        <w:rPr>
          <w:szCs w:val="22"/>
          <w:lang w:val="en-CA"/>
        </w:rPr>
      </w:pPr>
      <w:r w:rsidRPr="003F141B">
        <w:rPr>
          <w:lang w:val="en-CA"/>
        </w:rPr>
        <w:t>[</w:t>
      </w:r>
      <w:bookmarkStart w:id="18" w:name="par76"/>
      <w:r w:rsidRPr="003F141B">
        <w:rPr>
          <w:lang w:val="en-CA"/>
        </w:rPr>
        <w:t>76</w:t>
      </w:r>
      <w:bookmarkEnd w:id="18"/>
      <w:r w:rsidRPr="003F141B">
        <w:rPr>
          <w:lang w:val="en-CA"/>
        </w:rPr>
        <w:t>]</w:t>
      </w:r>
      <w:r w:rsidRPr="003F141B">
        <w:rPr>
          <w:sz w:val="14"/>
          <w:szCs w:val="14"/>
          <w:lang w:val="en-CA"/>
        </w:rPr>
        <w:t xml:space="preserve"> </w:t>
      </w:r>
      <w:r w:rsidR="003C3246" w:rsidRPr="003F141B">
        <w:rPr>
          <w:color w:val="000000"/>
          <w:szCs w:val="22"/>
          <w:lang w:val="en-CA"/>
        </w:rPr>
        <w:t>This inquiry focusses on the seriousness of the impact of the </w:t>
      </w:r>
      <w:r w:rsidR="00FF6877" w:rsidRPr="002E7C7B">
        <w:rPr>
          <w:i/>
          <w:iCs/>
          <w:lang w:val="en-CA"/>
        </w:rPr>
        <w:t>Charter</w:t>
      </w:r>
      <w:r w:rsidR="003C3246" w:rsidRPr="003F141B">
        <w:rPr>
          <w:color w:val="000000"/>
          <w:szCs w:val="22"/>
          <w:lang w:val="en-CA"/>
        </w:rPr>
        <w:t> breach on the </w:t>
      </w:r>
      <w:r w:rsidR="004A17E0" w:rsidRPr="002E7C7B">
        <w:rPr>
          <w:i/>
          <w:iCs/>
          <w:lang w:val="en-CA"/>
        </w:rPr>
        <w:t>Charter</w:t>
      </w:r>
      <w:r w:rsidR="003C3246" w:rsidRPr="003F141B">
        <w:rPr>
          <w:color w:val="000000"/>
          <w:szCs w:val="22"/>
          <w:lang w:val="en-CA"/>
        </w:rPr>
        <w:t xml:space="preserve">-protected interests of the accused.  It calls for an evaluation of </w:t>
      </w:r>
      <w:r w:rsidR="003C3246" w:rsidRPr="003F141B">
        <w:rPr>
          <w:color w:val="000000"/>
          <w:szCs w:val="22"/>
          <w:u w:val="single"/>
          <w:lang w:val="en-CA"/>
        </w:rPr>
        <w:t>the extent to which the breach actually undermined the interests protected by the right infringed</w:t>
      </w:r>
      <w:r w:rsidR="003C3246" w:rsidRPr="003F141B">
        <w:rPr>
          <w:color w:val="000000"/>
          <w:szCs w:val="22"/>
          <w:lang w:val="en-CA"/>
        </w:rPr>
        <w:t>. The impact of a </w:t>
      </w:r>
      <w:r w:rsidR="004A17E0" w:rsidRPr="002E7C7B">
        <w:rPr>
          <w:i/>
          <w:iCs/>
          <w:lang w:val="en-CA"/>
        </w:rPr>
        <w:t>Charter</w:t>
      </w:r>
      <w:r w:rsidR="003C3246" w:rsidRPr="003F141B">
        <w:rPr>
          <w:i/>
          <w:iCs/>
          <w:color w:val="000000"/>
          <w:szCs w:val="22"/>
          <w:lang w:val="en-CA"/>
        </w:rPr>
        <w:t> </w:t>
      </w:r>
      <w:r w:rsidR="003C3246" w:rsidRPr="003F141B">
        <w:rPr>
          <w:color w:val="000000"/>
          <w:szCs w:val="22"/>
          <w:lang w:val="en-CA"/>
        </w:rPr>
        <w:t>breach may range from fleeting and technical to profoundly intrusive. The more serious the impact on the accused</w:t>
      </w:r>
      <w:r w:rsidR="003061CC">
        <w:rPr>
          <w:color w:val="000000"/>
          <w:szCs w:val="22"/>
          <w:lang w:val="en-CA"/>
        </w:rPr>
        <w:t>’</w:t>
      </w:r>
      <w:r w:rsidR="003C3246" w:rsidRPr="003F141B">
        <w:rPr>
          <w:color w:val="000000"/>
          <w:szCs w:val="22"/>
          <w:lang w:val="en-CA"/>
        </w:rPr>
        <w:t>s protected interests, the greater the risk that admission of the evidence may signal to the public that </w:t>
      </w:r>
      <w:r w:rsidR="004A17E0" w:rsidRPr="002E7C7B">
        <w:rPr>
          <w:i/>
          <w:iCs/>
          <w:lang w:val="en-CA"/>
        </w:rPr>
        <w:t>Charter</w:t>
      </w:r>
      <w:r w:rsidR="003C3246" w:rsidRPr="003F141B">
        <w:rPr>
          <w:color w:val="000000"/>
          <w:szCs w:val="22"/>
          <w:lang w:val="en-CA"/>
        </w:rPr>
        <w:t> rights, however high-sounding, are of little actual avail to the citizen, breeding public cynicism and bringing the administration of justice into disrepute.</w:t>
      </w:r>
    </w:p>
    <w:p w14:paraId="4DDD99C1" w14:textId="282B03BD" w:rsidR="009130CA" w:rsidRPr="003F141B" w:rsidRDefault="005003D8" w:rsidP="009130CA">
      <w:pPr>
        <w:pStyle w:val="Citationenretrait"/>
        <w:spacing w:line="240" w:lineRule="auto"/>
        <w:rPr>
          <w:lang w:val="en-CA"/>
        </w:rPr>
      </w:pPr>
      <w:r w:rsidRPr="003F141B">
        <w:rPr>
          <w:lang w:val="en-CA"/>
        </w:rPr>
        <w:t>[</w:t>
      </w:r>
      <w:bookmarkStart w:id="19" w:name="par77"/>
      <w:r w:rsidRPr="003F141B">
        <w:rPr>
          <w:lang w:val="en-CA"/>
        </w:rPr>
        <w:t>77</w:t>
      </w:r>
      <w:bookmarkEnd w:id="19"/>
      <w:r w:rsidRPr="003F141B">
        <w:rPr>
          <w:lang w:val="en-CA"/>
        </w:rPr>
        <w:t>]</w:t>
      </w:r>
      <w:r w:rsidRPr="003F141B">
        <w:rPr>
          <w:sz w:val="14"/>
          <w:szCs w:val="14"/>
          <w:lang w:val="en-CA"/>
        </w:rPr>
        <w:t xml:space="preserve"> </w:t>
      </w:r>
      <w:r w:rsidR="00230F35" w:rsidRPr="003F141B">
        <w:rPr>
          <w:color w:val="000000"/>
          <w:szCs w:val="22"/>
          <w:u w:val="single"/>
          <w:lang w:val="en-CA"/>
        </w:rPr>
        <w:t>To determine the seriousness of the infringement from this perspective, we look to the interests engaged by the infringed right and examine the degree to which the violation impacted on those interests</w:t>
      </w:r>
      <w:r w:rsidR="00230F35" w:rsidRPr="003F141B">
        <w:rPr>
          <w:color w:val="000000"/>
          <w:szCs w:val="22"/>
          <w:lang w:val="en-CA"/>
        </w:rPr>
        <w:t xml:space="preserve">.  </w:t>
      </w:r>
      <w:r w:rsidR="00F91AAB">
        <w:rPr>
          <w:color w:val="000000"/>
          <w:szCs w:val="22"/>
          <w:lang w:val="en-CA"/>
        </w:rPr>
        <w:t>[</w:t>
      </w:r>
      <w:r w:rsidR="00230F35" w:rsidRPr="003F141B">
        <w:rPr>
          <w:color w:val="000000"/>
          <w:szCs w:val="22"/>
          <w:lang w:val="en-CA"/>
        </w:rPr>
        <w:t>…</w:t>
      </w:r>
      <w:r w:rsidR="00F91AAB">
        <w:rPr>
          <w:color w:val="000000"/>
          <w:szCs w:val="22"/>
          <w:lang w:val="en-CA"/>
        </w:rPr>
        <w:t>]</w:t>
      </w:r>
      <w:r w:rsidR="00230F35" w:rsidRPr="003F141B">
        <w:rPr>
          <w:color w:val="000000"/>
          <w:szCs w:val="22"/>
          <w:lang w:val="en-CA"/>
        </w:rPr>
        <w:t xml:space="preserve">  </w:t>
      </w:r>
      <w:r w:rsidR="00230F35" w:rsidRPr="003F141B">
        <w:rPr>
          <w:color w:val="000000"/>
          <w:szCs w:val="22"/>
          <w:u w:val="single"/>
          <w:lang w:val="en-CA"/>
        </w:rPr>
        <w:t>The more serious the incursion on these interests, the greater the risk that admission of the evidence would bring the administration of justice into disrepute</w:t>
      </w:r>
      <w:r w:rsidR="00230F35" w:rsidRPr="003F141B">
        <w:rPr>
          <w:color w:val="000000"/>
          <w:szCs w:val="22"/>
          <w:lang w:val="en-CA"/>
        </w:rPr>
        <w:t>.</w:t>
      </w:r>
      <w:r w:rsidR="00230F35" w:rsidRPr="003F141B">
        <w:rPr>
          <w:color w:val="000000"/>
          <w:sz w:val="27"/>
          <w:szCs w:val="27"/>
          <w:lang w:val="en-CA"/>
        </w:rPr>
        <w:t> </w:t>
      </w:r>
    </w:p>
    <w:p w14:paraId="49606E49" w14:textId="0110B0B4" w:rsidR="009130CA" w:rsidRPr="003F141B" w:rsidRDefault="005003D8" w:rsidP="009130CA">
      <w:pPr>
        <w:pStyle w:val="Paragraphe"/>
        <w:numPr>
          <w:ilvl w:val="0"/>
          <w:numId w:val="0"/>
        </w:numPr>
        <w:spacing w:line="240" w:lineRule="auto"/>
        <w:rPr>
          <w:sz w:val="22"/>
          <w:szCs w:val="22"/>
          <w:lang w:val="en-CA"/>
        </w:rPr>
      </w:pP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00230F35" w:rsidRPr="003F141B">
        <w:rPr>
          <w:lang w:val="en-CA"/>
        </w:rPr>
        <w:t xml:space="preserve">     </w:t>
      </w:r>
      <w:r w:rsidRPr="003F141B">
        <w:rPr>
          <w:sz w:val="22"/>
          <w:szCs w:val="22"/>
          <w:lang w:val="en-CA"/>
        </w:rPr>
        <w:t>[</w:t>
      </w:r>
      <w:r w:rsidR="00230F35" w:rsidRPr="003F141B">
        <w:rPr>
          <w:sz w:val="22"/>
          <w:szCs w:val="22"/>
          <w:lang w:val="en-CA"/>
        </w:rPr>
        <w:t>Emphasis added</w:t>
      </w:r>
      <w:r w:rsidRPr="003F141B">
        <w:rPr>
          <w:sz w:val="22"/>
          <w:szCs w:val="22"/>
          <w:lang w:val="en-CA"/>
        </w:rPr>
        <w:t>]</w:t>
      </w:r>
    </w:p>
    <w:p w14:paraId="1373B2F3" w14:textId="7857A362" w:rsidR="009130CA" w:rsidRPr="003F141B" w:rsidRDefault="00230F35" w:rsidP="009130CA">
      <w:pPr>
        <w:pStyle w:val="Paragraphe"/>
        <w:spacing w:line="240" w:lineRule="auto"/>
        <w:rPr>
          <w:lang w:val="en-CA"/>
        </w:rPr>
      </w:pPr>
      <w:r w:rsidRPr="003F141B">
        <w:rPr>
          <w:lang w:val="en-CA"/>
        </w:rPr>
        <w:t>In</w:t>
      </w:r>
      <w:r w:rsidR="005003D8" w:rsidRPr="003F141B">
        <w:rPr>
          <w:lang w:val="en-CA"/>
        </w:rPr>
        <w:t xml:space="preserve"> </w:t>
      </w:r>
      <w:r w:rsidR="00800730" w:rsidRPr="003F141B">
        <w:rPr>
          <w:i/>
          <w:lang w:val="en-CA"/>
        </w:rPr>
        <w:t>Oakes,</w:t>
      </w:r>
      <w:r w:rsidR="005003D8" w:rsidRPr="003F141B">
        <w:rPr>
          <w:rStyle w:val="Appelnotedebasdep"/>
          <w:lang w:val="en-CA"/>
        </w:rPr>
        <w:footnoteReference w:id="86"/>
      </w:r>
      <w:r w:rsidR="005003D8" w:rsidRPr="003F141B">
        <w:rPr>
          <w:lang w:val="en-CA"/>
        </w:rPr>
        <w:t xml:space="preserve"> </w:t>
      </w:r>
      <w:r w:rsidRPr="003F141B">
        <w:rPr>
          <w:lang w:val="en-CA"/>
        </w:rPr>
        <w:t>the Supreme Court</w:t>
      </w:r>
      <w:r w:rsidR="00800730" w:rsidRPr="003F141B">
        <w:rPr>
          <w:lang w:val="en-CA"/>
        </w:rPr>
        <w:t xml:space="preserve"> established</w:t>
      </w:r>
      <w:r w:rsidRPr="003F141B">
        <w:rPr>
          <w:lang w:val="en-CA"/>
        </w:rPr>
        <w:t xml:space="preserve"> for the first time </w:t>
      </w:r>
      <w:r w:rsidR="0003034C" w:rsidRPr="003F141B">
        <w:rPr>
          <w:lang w:val="en-CA"/>
        </w:rPr>
        <w:t xml:space="preserve">that the meaning and purpose of a </w:t>
      </w:r>
      <w:r w:rsidR="0003034C" w:rsidRPr="003F141B">
        <w:rPr>
          <w:i/>
          <w:lang w:val="en-CA"/>
        </w:rPr>
        <w:t xml:space="preserve">Charter </w:t>
      </w:r>
      <w:r w:rsidR="0003034C" w:rsidRPr="003F141B">
        <w:rPr>
          <w:lang w:val="en-CA"/>
        </w:rPr>
        <w:t xml:space="preserve">right must be analyzed </w:t>
      </w:r>
      <w:r w:rsidR="00357AA5" w:rsidRPr="003F141B">
        <w:rPr>
          <w:lang w:val="en-CA"/>
        </w:rPr>
        <w:t>in light of the interests it was meant to protect.</w:t>
      </w:r>
      <w:r w:rsidR="005003D8" w:rsidRPr="003F141B">
        <w:rPr>
          <w:rStyle w:val="Appelnotedebasdep"/>
          <w:lang w:val="en-CA"/>
        </w:rPr>
        <w:footnoteReference w:id="87"/>
      </w:r>
      <w:r w:rsidR="005003D8" w:rsidRPr="003F141B">
        <w:rPr>
          <w:lang w:val="en-CA"/>
        </w:rPr>
        <w:t xml:space="preserve"> </w:t>
      </w:r>
      <w:r w:rsidR="00357AA5" w:rsidRPr="003F141B">
        <w:rPr>
          <w:lang w:val="en-CA"/>
        </w:rPr>
        <w:t xml:space="preserve">It </w:t>
      </w:r>
      <w:r w:rsidR="00106709" w:rsidRPr="003F141B">
        <w:rPr>
          <w:lang w:val="en-CA"/>
        </w:rPr>
        <w:t>must</w:t>
      </w:r>
      <w:r w:rsidR="00357AA5" w:rsidRPr="003F141B">
        <w:rPr>
          <w:lang w:val="en-CA"/>
        </w:rPr>
        <w:t xml:space="preserve"> </w:t>
      </w:r>
      <w:r w:rsidR="00FF6877" w:rsidRPr="003F141B">
        <w:rPr>
          <w:lang w:val="en-CA"/>
        </w:rPr>
        <w:t xml:space="preserve">therefore </w:t>
      </w:r>
      <w:r w:rsidR="00106709" w:rsidRPr="003F141B">
        <w:rPr>
          <w:lang w:val="en-CA"/>
        </w:rPr>
        <w:t>be borne in mind</w:t>
      </w:r>
      <w:r w:rsidR="00800730" w:rsidRPr="003F141B">
        <w:rPr>
          <w:lang w:val="en-CA"/>
        </w:rPr>
        <w:t xml:space="preserve"> </w:t>
      </w:r>
      <w:r w:rsidR="00714D85" w:rsidRPr="003F141B">
        <w:rPr>
          <w:lang w:val="en-CA"/>
        </w:rPr>
        <w:t>that the right that s. 10(b) seeks to protect is that of the arrested or detained person to retain</w:t>
      </w:r>
      <w:r w:rsidR="00800730" w:rsidRPr="003F141B">
        <w:rPr>
          <w:lang w:val="en-CA"/>
        </w:rPr>
        <w:t xml:space="preserve"> and instruct</w:t>
      </w:r>
      <w:r w:rsidR="00714D85" w:rsidRPr="003F141B">
        <w:rPr>
          <w:lang w:val="en-CA"/>
        </w:rPr>
        <w:t xml:space="preserve"> counsel without delay, </w:t>
      </w:r>
      <w:r w:rsidR="00106709" w:rsidRPr="003F141B">
        <w:rPr>
          <w:lang w:val="en-CA"/>
        </w:rPr>
        <w:t>from the outset</w:t>
      </w:r>
      <w:r w:rsidR="00714D85" w:rsidRPr="003F141B">
        <w:rPr>
          <w:lang w:val="en-CA"/>
        </w:rPr>
        <w:t xml:space="preserve"> of detention, </w:t>
      </w:r>
      <w:r w:rsidR="007B4E44" w:rsidRPr="003F141B">
        <w:rPr>
          <w:lang w:val="en-CA"/>
        </w:rPr>
        <w:t>in order</w:t>
      </w:r>
      <w:r w:rsidR="00106709" w:rsidRPr="003F141B">
        <w:rPr>
          <w:lang w:val="en-CA"/>
        </w:rPr>
        <w:t xml:space="preserve"> to</w:t>
      </w:r>
      <w:r w:rsidR="007B4E44" w:rsidRPr="003F141B">
        <w:rPr>
          <w:lang w:val="en-CA"/>
        </w:rPr>
        <w:t xml:space="preserve"> ultimately allow </w:t>
      </w:r>
      <w:r w:rsidR="00800730" w:rsidRPr="003F141B">
        <w:rPr>
          <w:lang w:val="en-CA"/>
        </w:rPr>
        <w:t>that person</w:t>
      </w:r>
      <w:r w:rsidR="007B4E44" w:rsidRPr="003F141B">
        <w:rPr>
          <w:lang w:val="en-CA"/>
        </w:rPr>
        <w:t xml:space="preserve"> </w:t>
      </w:r>
      <w:r w:rsidR="00081775">
        <w:rPr>
          <w:lang w:val="en-CA"/>
        </w:rPr>
        <w:t>“</w:t>
      </w:r>
      <w:r w:rsidR="00C0009C">
        <w:rPr>
          <w:lang w:val="en-CA"/>
        </w:rPr>
        <w:t>[</w:t>
      </w:r>
      <w:r w:rsidR="007B4E44" w:rsidRPr="003F141B">
        <w:rPr>
          <w:color w:val="000000"/>
          <w:spacing w:val="-3"/>
          <w:lang w:val="en-CA"/>
        </w:rPr>
        <w:t>…</w:t>
      </w:r>
      <w:r w:rsidR="00C0009C">
        <w:rPr>
          <w:color w:val="000000"/>
          <w:spacing w:val="-3"/>
          <w:lang w:val="en-CA"/>
        </w:rPr>
        <w:t>]</w:t>
      </w:r>
      <w:r w:rsidR="007B4E44" w:rsidRPr="003F141B">
        <w:rPr>
          <w:color w:val="000000"/>
          <w:spacing w:val="-3"/>
          <w:lang w:val="en-CA"/>
        </w:rPr>
        <w:t xml:space="preserve"> not only to be informed of his rights and obligations under the law but, equally if not more important, to obtain advice as to how to exercise those rights</w:t>
      </w:r>
      <w:r w:rsidR="00081775">
        <w:rPr>
          <w:lang w:val="en-CA"/>
        </w:rPr>
        <w:t>”</w:t>
      </w:r>
      <w:r w:rsidR="00C0009C">
        <w:rPr>
          <w:lang w:val="en-CA"/>
        </w:rPr>
        <w:t>.</w:t>
      </w:r>
      <w:r w:rsidR="005003D8" w:rsidRPr="003F141B">
        <w:rPr>
          <w:rStyle w:val="Appelnotedebasdep"/>
          <w:lang w:val="en-CA"/>
        </w:rPr>
        <w:footnoteReference w:id="88"/>
      </w:r>
    </w:p>
    <w:p w14:paraId="2AFF9D7B" w14:textId="472ED4B3" w:rsidR="00D10F9C" w:rsidRPr="003F141B" w:rsidRDefault="00134B93" w:rsidP="00B9756D">
      <w:pPr>
        <w:pStyle w:val="Paragraphe"/>
        <w:spacing w:line="240" w:lineRule="auto"/>
        <w:rPr>
          <w:lang w:val="en-CA"/>
        </w:rPr>
      </w:pPr>
      <w:r>
        <w:rPr>
          <w:lang w:val="en-CA"/>
        </w:rPr>
        <w:t>That said, i</w:t>
      </w:r>
      <w:r w:rsidR="00D10F9C" w:rsidRPr="003F141B">
        <w:rPr>
          <w:lang w:val="en-CA"/>
        </w:rPr>
        <w:t xml:space="preserve">n </w:t>
      </w:r>
      <w:r>
        <w:rPr>
          <w:lang w:val="en-CA"/>
        </w:rPr>
        <w:t xml:space="preserve">the </w:t>
      </w:r>
      <w:r w:rsidR="00D10F9C" w:rsidRPr="003F141B">
        <w:rPr>
          <w:lang w:val="en-CA"/>
        </w:rPr>
        <w:t>case</w:t>
      </w:r>
      <w:r>
        <w:rPr>
          <w:lang w:val="en-CA"/>
        </w:rPr>
        <w:t xml:space="preserve"> at bar</w:t>
      </w:r>
      <w:r w:rsidR="00D10F9C" w:rsidRPr="003F141B">
        <w:rPr>
          <w:lang w:val="en-CA"/>
        </w:rPr>
        <w:t>, the police officers</w:t>
      </w:r>
      <w:r w:rsidR="003061CC">
        <w:rPr>
          <w:lang w:val="en-CA"/>
        </w:rPr>
        <w:t>’</w:t>
      </w:r>
      <w:r w:rsidR="00D10F9C" w:rsidRPr="003F141B">
        <w:rPr>
          <w:lang w:val="en-CA"/>
        </w:rPr>
        <w:t xml:space="preserve"> conduct did not significantly affect the right that </w:t>
      </w:r>
      <w:r w:rsidR="00147C72" w:rsidRPr="003F141B">
        <w:rPr>
          <w:lang w:val="en-CA"/>
        </w:rPr>
        <w:t>s.</w:t>
      </w:r>
      <w:r w:rsidR="00D10F9C" w:rsidRPr="003F141B">
        <w:rPr>
          <w:lang w:val="en-CA"/>
        </w:rPr>
        <w:t xml:space="preserve"> 10(b) is essentially intended to protect. </w:t>
      </w:r>
      <w:r w:rsidR="00944DA3">
        <w:rPr>
          <w:lang w:val="en-CA"/>
        </w:rPr>
        <w:t>Indeed, t</w:t>
      </w:r>
      <w:r w:rsidR="00D10F9C" w:rsidRPr="003F141B">
        <w:rPr>
          <w:lang w:val="en-CA"/>
        </w:rPr>
        <w:t xml:space="preserve">he respondent had the </w:t>
      </w:r>
      <w:r w:rsidR="00D10F9C" w:rsidRPr="003F141B">
        <w:rPr>
          <w:lang w:val="en-CA"/>
        </w:rPr>
        <w:lastRenderedPageBreak/>
        <w:t xml:space="preserve">benefit of legal advice </w:t>
      </w:r>
      <w:r w:rsidR="00C05722" w:rsidRPr="003F141B">
        <w:rPr>
          <w:lang w:val="en-CA"/>
        </w:rPr>
        <w:t xml:space="preserve">from a legal aid lawyer, </w:t>
      </w:r>
      <w:r w:rsidR="0007059D">
        <w:rPr>
          <w:lang w:val="en-CA"/>
        </w:rPr>
        <w:t xml:space="preserve">one </w:t>
      </w:r>
      <w:r w:rsidR="00C05722" w:rsidRPr="003F141B">
        <w:rPr>
          <w:lang w:val="en-CA"/>
        </w:rPr>
        <w:t xml:space="preserve">whom he had </w:t>
      </w:r>
      <w:r w:rsidR="00B9756D" w:rsidRPr="003F141B">
        <w:rPr>
          <w:lang w:val="en-CA"/>
        </w:rPr>
        <w:t>specifically</w:t>
      </w:r>
      <w:r w:rsidR="00C05722" w:rsidRPr="003F141B">
        <w:rPr>
          <w:lang w:val="en-CA"/>
        </w:rPr>
        <w:t xml:space="preserve"> identified, and he did not complain about </w:t>
      </w:r>
      <w:r w:rsidR="0007059D">
        <w:rPr>
          <w:lang w:val="en-CA"/>
        </w:rPr>
        <w:t xml:space="preserve">that advice </w:t>
      </w:r>
      <w:r w:rsidR="00C05722" w:rsidRPr="003F141B">
        <w:rPr>
          <w:lang w:val="en-CA"/>
        </w:rPr>
        <w:t>in any way</w:t>
      </w:r>
      <w:r w:rsidR="00B9756D" w:rsidRPr="003F141B">
        <w:rPr>
          <w:lang w:val="en-CA"/>
        </w:rPr>
        <w:t xml:space="preserve">. </w:t>
      </w:r>
      <w:r w:rsidR="00615FC8">
        <w:rPr>
          <w:lang w:val="en-CA"/>
        </w:rPr>
        <w:t>In fact, i</w:t>
      </w:r>
      <w:r w:rsidR="00B9756D" w:rsidRPr="003F141B">
        <w:rPr>
          <w:lang w:val="en-CA"/>
        </w:rPr>
        <w:t xml:space="preserve">t is reasonable to </w:t>
      </w:r>
      <w:r w:rsidR="002A7A50" w:rsidRPr="003F141B">
        <w:rPr>
          <w:lang w:val="en-CA"/>
        </w:rPr>
        <w:t xml:space="preserve">believe </w:t>
      </w:r>
      <w:r w:rsidR="00B9756D" w:rsidRPr="003F141B">
        <w:rPr>
          <w:lang w:val="en-CA"/>
        </w:rPr>
        <w:t xml:space="preserve">that his limited cooperation in reviewing his consumption scenario on the evening of June 12 and his refusal to sign the form provided for this purpose, which essentially reflect a desire to avoid self-incrimination, stem from the content of his eight-minute </w:t>
      </w:r>
      <w:r w:rsidR="00C62339" w:rsidRPr="003F141B">
        <w:rPr>
          <w:lang w:val="en-CA"/>
        </w:rPr>
        <w:t>conversation</w:t>
      </w:r>
      <w:r w:rsidR="00B9756D" w:rsidRPr="003F141B">
        <w:rPr>
          <w:lang w:val="en-CA"/>
        </w:rPr>
        <w:t xml:space="preserve"> with </w:t>
      </w:r>
      <w:proofErr w:type="spellStart"/>
      <w:r w:rsidR="00B9756D" w:rsidRPr="003F141B">
        <w:rPr>
          <w:lang w:val="en-CA"/>
        </w:rPr>
        <w:t>Mtre</w:t>
      </w:r>
      <w:proofErr w:type="spellEnd"/>
      <w:r w:rsidR="00A309DC">
        <w:rPr>
          <w:lang w:val="en-CA"/>
        </w:rPr>
        <w:t> </w:t>
      </w:r>
      <w:r w:rsidR="00B9756D" w:rsidRPr="003F141B">
        <w:rPr>
          <w:lang w:val="en-CA"/>
        </w:rPr>
        <w:t xml:space="preserve">Gagnon. It was following this </w:t>
      </w:r>
      <w:r w:rsidR="00C62339" w:rsidRPr="003F141B">
        <w:rPr>
          <w:lang w:val="en-CA"/>
        </w:rPr>
        <w:t>conversation</w:t>
      </w:r>
      <w:r w:rsidR="00B9756D" w:rsidRPr="003F141B">
        <w:rPr>
          <w:lang w:val="en-CA"/>
        </w:rPr>
        <w:t xml:space="preserve"> that he blew into the breathalyzer </w:t>
      </w:r>
      <w:r w:rsidR="002A7A50" w:rsidRPr="003F141B">
        <w:rPr>
          <w:lang w:val="en-CA"/>
        </w:rPr>
        <w:t>with no objection,</w:t>
      </w:r>
      <w:r w:rsidR="00B9756D" w:rsidRPr="003F141B">
        <w:rPr>
          <w:lang w:val="en-CA"/>
        </w:rPr>
        <w:t xml:space="preserve"> in accordance with the obligation imposed on him by </w:t>
      </w:r>
      <w:r w:rsidR="00147C72" w:rsidRPr="003F141B">
        <w:rPr>
          <w:lang w:val="en-CA"/>
        </w:rPr>
        <w:t>s.</w:t>
      </w:r>
      <w:r w:rsidR="00B9756D" w:rsidRPr="003F141B">
        <w:rPr>
          <w:lang w:val="en-CA"/>
        </w:rPr>
        <w:t xml:space="preserve"> 320.15 </w:t>
      </w:r>
      <w:proofErr w:type="spellStart"/>
      <w:r w:rsidR="00B9756D" w:rsidRPr="003F141B">
        <w:rPr>
          <w:i/>
          <w:lang w:val="en-CA"/>
        </w:rPr>
        <w:t>Cr.C</w:t>
      </w:r>
      <w:proofErr w:type="spellEnd"/>
      <w:r w:rsidR="00B9756D" w:rsidRPr="003F141B">
        <w:rPr>
          <w:i/>
          <w:lang w:val="en-CA"/>
        </w:rPr>
        <w:t>.</w:t>
      </w:r>
      <w:r w:rsidR="00B9756D" w:rsidRPr="003F141B">
        <w:rPr>
          <w:lang w:val="en-CA"/>
        </w:rPr>
        <w:t xml:space="preserve"> </w:t>
      </w:r>
    </w:p>
    <w:p w14:paraId="76FE40A2" w14:textId="2A166333" w:rsidR="00D10F9C" w:rsidRPr="003F141B" w:rsidRDefault="00D10F9C" w:rsidP="00D10F9C">
      <w:pPr>
        <w:pStyle w:val="Paragraphe"/>
        <w:spacing w:line="240" w:lineRule="auto"/>
        <w:rPr>
          <w:lang w:val="en-CA"/>
        </w:rPr>
      </w:pPr>
      <w:r w:rsidRPr="003F141B">
        <w:rPr>
          <w:lang w:val="en-CA"/>
        </w:rPr>
        <w:t>For these reasons, I find that the judge could not have reasonably found that the police officers</w:t>
      </w:r>
      <w:r w:rsidR="003061CC">
        <w:rPr>
          <w:lang w:val="en-CA"/>
        </w:rPr>
        <w:t>’</w:t>
      </w:r>
      <w:r w:rsidRPr="003F141B">
        <w:rPr>
          <w:lang w:val="en-CA"/>
        </w:rPr>
        <w:t xml:space="preserve"> infringing conduct, if </w:t>
      </w:r>
      <w:r w:rsidR="00B36214">
        <w:rPr>
          <w:lang w:val="en-CA"/>
        </w:rPr>
        <w:t xml:space="preserve">indeed </w:t>
      </w:r>
      <w:r w:rsidR="00EE352B">
        <w:rPr>
          <w:lang w:val="en-CA"/>
        </w:rPr>
        <w:t>I had characterized their conduct as such</w:t>
      </w:r>
      <w:r w:rsidRPr="003F141B">
        <w:rPr>
          <w:lang w:val="en-CA"/>
        </w:rPr>
        <w:t xml:space="preserve">, had a </w:t>
      </w:r>
      <w:r w:rsidR="002A7A50" w:rsidRPr="003F141B">
        <w:rPr>
          <w:lang w:val="en-CA"/>
        </w:rPr>
        <w:t>[</w:t>
      </w:r>
      <w:r w:rsidR="002A7A50" w:rsidRPr="003F141B">
        <w:rPr>
          <w:smallCaps/>
          <w:lang w:val="en-CA"/>
        </w:rPr>
        <w:t>translation</w:t>
      </w:r>
      <w:r w:rsidR="002A7A50" w:rsidRPr="003F141B">
        <w:rPr>
          <w:lang w:val="en-CA"/>
        </w:rPr>
        <w:t>]</w:t>
      </w:r>
      <w:r w:rsidR="00B36214">
        <w:rPr>
          <w:lang w:val="en-CA"/>
        </w:rPr>
        <w:t> </w:t>
      </w:r>
      <w:r w:rsidR="00081775">
        <w:rPr>
          <w:lang w:val="en-CA"/>
        </w:rPr>
        <w:t>“</w:t>
      </w:r>
      <w:r w:rsidRPr="003F141B">
        <w:rPr>
          <w:lang w:val="en-CA"/>
        </w:rPr>
        <w:t>significant</w:t>
      </w:r>
      <w:r w:rsidR="00081775">
        <w:rPr>
          <w:lang w:val="en-CA"/>
        </w:rPr>
        <w:t>”</w:t>
      </w:r>
      <w:r w:rsidRPr="003F141B">
        <w:rPr>
          <w:lang w:val="en-CA"/>
        </w:rPr>
        <w:t xml:space="preserve"> impact on his </w:t>
      </w:r>
      <w:r w:rsidR="00147C72" w:rsidRPr="003F141B">
        <w:rPr>
          <w:lang w:val="en-CA"/>
        </w:rPr>
        <w:t>s.</w:t>
      </w:r>
      <w:r w:rsidRPr="003F141B">
        <w:rPr>
          <w:lang w:val="en-CA"/>
        </w:rPr>
        <w:t xml:space="preserve"> 10(b) </w:t>
      </w:r>
      <w:r w:rsidRPr="003F141B">
        <w:rPr>
          <w:i/>
          <w:lang w:val="en-CA"/>
        </w:rPr>
        <w:t>Charter</w:t>
      </w:r>
      <w:r w:rsidRPr="003F141B">
        <w:rPr>
          <w:lang w:val="en-CA"/>
        </w:rPr>
        <w:t xml:space="preserve"> right.</w:t>
      </w:r>
    </w:p>
    <w:p w14:paraId="332FC91A" w14:textId="6C0DE744" w:rsidR="009130CA" w:rsidRPr="003F141B" w:rsidRDefault="00B9756D" w:rsidP="002E7C7B">
      <w:pPr>
        <w:pStyle w:val="Paragraphe"/>
        <w:keepNext/>
        <w:numPr>
          <w:ilvl w:val="0"/>
          <w:numId w:val="34"/>
        </w:numPr>
        <w:spacing w:line="240" w:lineRule="auto"/>
        <w:rPr>
          <w:b/>
          <w:lang w:val="en-CA"/>
        </w:rPr>
      </w:pPr>
      <w:r w:rsidRPr="002E7C7B">
        <w:rPr>
          <w:b/>
          <w:lang w:val="en-CA"/>
        </w:rPr>
        <w:t>Society</w:t>
      </w:r>
      <w:r w:rsidR="003061CC" w:rsidRPr="002E7C7B">
        <w:rPr>
          <w:b/>
          <w:lang w:val="en-CA"/>
        </w:rPr>
        <w:t>’</w:t>
      </w:r>
      <w:r w:rsidRPr="002E7C7B">
        <w:rPr>
          <w:b/>
          <w:lang w:val="en-CA"/>
        </w:rPr>
        <w:t>s</w:t>
      </w:r>
      <w:r w:rsidRPr="003F141B">
        <w:rPr>
          <w:b/>
          <w:color w:val="000000"/>
          <w:lang w:val="en-CA"/>
        </w:rPr>
        <w:t xml:space="preserve"> interest in the adjudication of the case on its merits</w:t>
      </w:r>
    </w:p>
    <w:p w14:paraId="4B42C6C2" w14:textId="46A1EAD0" w:rsidR="009130CA" w:rsidRPr="003F141B" w:rsidRDefault="005003D8" w:rsidP="009130CA">
      <w:pPr>
        <w:pStyle w:val="Paragraphe"/>
        <w:spacing w:line="240" w:lineRule="auto"/>
        <w:rPr>
          <w:lang w:val="en-CA" w:eastAsia="fr-CA"/>
        </w:rPr>
      </w:pPr>
      <w:r w:rsidRPr="003F141B">
        <w:rPr>
          <w:lang w:val="en-CA" w:eastAsia="fr-CA"/>
        </w:rPr>
        <w:t>I</w:t>
      </w:r>
      <w:r w:rsidR="003505C2" w:rsidRPr="003F141B">
        <w:rPr>
          <w:lang w:val="en-CA" w:eastAsia="fr-CA"/>
        </w:rPr>
        <w:t xml:space="preserve">t is undisputable that the public has </w:t>
      </w:r>
      <w:r w:rsidR="00E30859">
        <w:rPr>
          <w:lang w:val="en-CA" w:eastAsia="fr-CA"/>
        </w:rPr>
        <w:t>a</w:t>
      </w:r>
      <w:r w:rsidR="003505C2" w:rsidRPr="003F141B">
        <w:rPr>
          <w:lang w:val="en-CA" w:eastAsia="fr-CA"/>
        </w:rPr>
        <w:t>n interest in the adjudication of a case on its merits when, as here, the evidence that the accused is seeking to have excluded is reliable and key to the outcome of the trial</w:t>
      </w:r>
      <w:r w:rsidR="00CC4127" w:rsidRPr="003F141B">
        <w:rPr>
          <w:lang w:val="en-CA" w:eastAsia="fr-CA"/>
        </w:rPr>
        <w:t>.</w:t>
      </w:r>
      <w:r w:rsidRPr="003F141B">
        <w:rPr>
          <w:rStyle w:val="Appelnotedebasdep"/>
          <w:lang w:val="en-CA" w:eastAsia="fr-CA"/>
        </w:rPr>
        <w:footnoteReference w:id="89"/>
      </w:r>
      <w:r w:rsidR="003505C2" w:rsidRPr="003F141B">
        <w:rPr>
          <w:lang w:val="en-CA" w:eastAsia="fr-CA"/>
        </w:rPr>
        <w:t xml:space="preserve"> </w:t>
      </w:r>
      <w:r w:rsidR="00CC4127" w:rsidRPr="003F141B">
        <w:rPr>
          <w:lang w:val="en-CA" w:eastAsia="fr-CA"/>
        </w:rPr>
        <w:t xml:space="preserve">This </w:t>
      </w:r>
      <w:r w:rsidR="00673529">
        <w:rPr>
          <w:lang w:val="en-CA" w:eastAsia="fr-CA"/>
        </w:rPr>
        <w:t>w</w:t>
      </w:r>
      <w:r w:rsidR="00CC4127" w:rsidRPr="003F141B">
        <w:rPr>
          <w:lang w:val="en-CA" w:eastAsia="fr-CA"/>
        </w:rPr>
        <w:t xml:space="preserve">as </w:t>
      </w:r>
      <w:r w:rsidR="003F524C" w:rsidRPr="003F141B">
        <w:rPr>
          <w:lang w:val="en-CA" w:eastAsia="fr-CA"/>
        </w:rPr>
        <w:t xml:space="preserve">specifically confirmed  </w:t>
      </w:r>
      <w:r w:rsidR="00CC4127" w:rsidRPr="003F141B">
        <w:rPr>
          <w:lang w:val="en-CA" w:eastAsia="fr-CA"/>
        </w:rPr>
        <w:t xml:space="preserve">by Parliament in its enactment of </w:t>
      </w:r>
      <w:r w:rsidR="00147C72" w:rsidRPr="003F141B">
        <w:rPr>
          <w:lang w:val="en-CA" w:eastAsia="fr-CA"/>
        </w:rPr>
        <w:t>s.</w:t>
      </w:r>
      <w:r w:rsidR="003505C2" w:rsidRPr="003F141B">
        <w:rPr>
          <w:lang w:val="en-CA" w:eastAsia="fr-CA"/>
        </w:rPr>
        <w:t xml:space="preserve"> 320.12 </w:t>
      </w:r>
      <w:r w:rsidR="003505C2" w:rsidRPr="003F141B">
        <w:rPr>
          <w:i/>
          <w:lang w:val="en-CA" w:eastAsia="fr-CA"/>
        </w:rPr>
        <w:t>Cr. C.</w:t>
      </w:r>
      <w:r w:rsidR="003F524C" w:rsidRPr="003F141B">
        <w:rPr>
          <w:lang w:val="en-CA" w:eastAsia="fr-CA"/>
        </w:rPr>
        <w:t>, which came into force shortly before the hearing of the respondent</w:t>
      </w:r>
      <w:r w:rsidR="003061CC">
        <w:rPr>
          <w:lang w:val="en-CA" w:eastAsia="fr-CA"/>
        </w:rPr>
        <w:t>’</w:t>
      </w:r>
      <w:r w:rsidR="003F524C" w:rsidRPr="003F141B">
        <w:rPr>
          <w:lang w:val="en-CA" w:eastAsia="fr-CA"/>
        </w:rPr>
        <w:t>s application to exclude evidence:</w:t>
      </w:r>
      <w:r w:rsidR="003F524C" w:rsidRPr="003F141B">
        <w:rPr>
          <w:rStyle w:val="Appelnotedebasdep"/>
          <w:lang w:val="en-CA"/>
        </w:rPr>
        <w:footnoteReference w:id="90"/>
      </w:r>
      <w:r w:rsidR="003F524C" w:rsidRPr="003F141B">
        <w:rPr>
          <w:lang w:val="en-CA"/>
        </w:rPr>
        <w:t> </w:t>
      </w:r>
      <w:r w:rsidR="003F524C" w:rsidRPr="003F141B">
        <w:rPr>
          <w:lang w:val="en-CA" w:eastAsia="fr-CA"/>
        </w:rPr>
        <w:t xml:space="preserve"> </w:t>
      </w:r>
    </w:p>
    <w:p w14:paraId="5BCFD1EC" w14:textId="41C5E6AD" w:rsidR="009130CA" w:rsidRPr="003F141B" w:rsidRDefault="005003D8" w:rsidP="009130CA">
      <w:pPr>
        <w:pStyle w:val="Citationenretrait"/>
        <w:spacing w:line="240" w:lineRule="auto"/>
        <w:rPr>
          <w:rFonts w:cs="Arial"/>
          <w:color w:val="000000"/>
          <w:sz w:val="21"/>
          <w:szCs w:val="21"/>
          <w:lang w:val="en-CA" w:eastAsia="fr-CA"/>
        </w:rPr>
      </w:pPr>
      <w:r w:rsidRPr="003F141B">
        <w:rPr>
          <w:rFonts w:cs="Arial"/>
          <w:b/>
          <w:bCs/>
          <w:color w:val="000000"/>
          <w:sz w:val="21"/>
          <w:szCs w:val="21"/>
          <w:lang w:val="en-CA" w:eastAsia="fr-CA"/>
        </w:rPr>
        <w:t>320.12</w:t>
      </w:r>
      <w:r w:rsidRPr="003F141B">
        <w:rPr>
          <w:rFonts w:cs="Arial"/>
          <w:color w:val="000000"/>
          <w:sz w:val="21"/>
          <w:szCs w:val="21"/>
          <w:lang w:val="en-CA" w:eastAsia="fr-CA"/>
        </w:rPr>
        <w:t> </w:t>
      </w:r>
      <w:r w:rsidR="003F524C" w:rsidRPr="003F141B">
        <w:rPr>
          <w:rFonts w:cs="Arial"/>
          <w:color w:val="000000"/>
          <w:sz w:val="21"/>
          <w:szCs w:val="21"/>
          <w:u w:val="single"/>
          <w:lang w:val="en-CA" w:eastAsia="fr-CA"/>
        </w:rPr>
        <w:t>It is recognized and declared that</w:t>
      </w:r>
    </w:p>
    <w:p w14:paraId="4EB53595" w14:textId="76EA9F1E" w:rsidR="009130CA" w:rsidRPr="003F141B" w:rsidRDefault="003F524C" w:rsidP="009130CA">
      <w:pPr>
        <w:pStyle w:val="Citationenretrait"/>
        <w:spacing w:line="240" w:lineRule="auto"/>
        <w:rPr>
          <w:rFonts w:cs="Arial"/>
          <w:color w:val="000000"/>
          <w:sz w:val="21"/>
          <w:szCs w:val="21"/>
          <w:lang w:val="en-CA" w:eastAsia="fr-CA"/>
        </w:rPr>
      </w:pPr>
      <w:r w:rsidRPr="003F141B">
        <w:rPr>
          <w:rFonts w:cs="Arial"/>
          <w:b/>
          <w:bCs/>
          <w:color w:val="000000"/>
          <w:sz w:val="21"/>
          <w:szCs w:val="21"/>
          <w:lang w:val="en-CA" w:eastAsia="fr-CA"/>
        </w:rPr>
        <w:t xml:space="preserve">(a) </w:t>
      </w:r>
      <w:proofErr w:type="gramStart"/>
      <w:r w:rsidRPr="003F141B">
        <w:rPr>
          <w:rFonts w:cs="Arial"/>
          <w:bCs/>
          <w:color w:val="000000"/>
          <w:sz w:val="21"/>
          <w:szCs w:val="21"/>
          <w:lang w:val="en-CA" w:eastAsia="fr-CA"/>
        </w:rPr>
        <w:t>operating</w:t>
      </w:r>
      <w:proofErr w:type="gramEnd"/>
      <w:r w:rsidRPr="003F141B">
        <w:rPr>
          <w:rFonts w:cs="Arial"/>
          <w:bCs/>
          <w:color w:val="000000"/>
          <w:sz w:val="21"/>
          <w:szCs w:val="21"/>
          <w:lang w:val="en-CA" w:eastAsia="fr-CA"/>
        </w:rPr>
        <w:t xml:space="preserve"> a conveyance is a privilege that is subject to certain limits </w:t>
      </w:r>
      <w:r w:rsidRPr="003F141B">
        <w:rPr>
          <w:rFonts w:cs="Arial"/>
          <w:bCs/>
          <w:color w:val="000000"/>
          <w:sz w:val="21"/>
          <w:szCs w:val="21"/>
          <w:u w:val="single"/>
          <w:lang w:val="en-CA" w:eastAsia="fr-CA"/>
        </w:rPr>
        <w:t>in the interests of public safety</w:t>
      </w:r>
      <w:r w:rsidRPr="003F141B">
        <w:rPr>
          <w:rFonts w:cs="Arial"/>
          <w:bCs/>
          <w:color w:val="000000"/>
          <w:sz w:val="21"/>
          <w:szCs w:val="21"/>
          <w:lang w:val="en-CA" w:eastAsia="fr-CA"/>
        </w:rPr>
        <w:t xml:space="preserve"> that include licensing, the observance of rules and </w:t>
      </w:r>
      <w:r w:rsidRPr="003F141B">
        <w:rPr>
          <w:rFonts w:cs="Arial"/>
          <w:bCs/>
          <w:color w:val="000000"/>
          <w:sz w:val="21"/>
          <w:szCs w:val="21"/>
          <w:u w:val="single"/>
          <w:lang w:val="en-CA" w:eastAsia="fr-CA"/>
        </w:rPr>
        <w:t>sobriety</w:t>
      </w:r>
      <w:r w:rsidRPr="003F141B">
        <w:rPr>
          <w:rFonts w:cs="Arial"/>
          <w:bCs/>
          <w:color w:val="000000"/>
          <w:sz w:val="21"/>
          <w:szCs w:val="21"/>
          <w:lang w:val="en-CA" w:eastAsia="fr-CA"/>
        </w:rPr>
        <w:t>;</w:t>
      </w:r>
    </w:p>
    <w:p w14:paraId="18D56FB8" w14:textId="4EDEA159" w:rsidR="009130CA" w:rsidRPr="003F141B" w:rsidRDefault="003F524C" w:rsidP="009130CA">
      <w:pPr>
        <w:pStyle w:val="Citationenretrait"/>
        <w:spacing w:line="240" w:lineRule="auto"/>
        <w:rPr>
          <w:rFonts w:cs="Arial"/>
          <w:color w:val="000000"/>
          <w:sz w:val="21"/>
          <w:szCs w:val="21"/>
          <w:lang w:val="en-CA" w:eastAsia="fr-CA"/>
        </w:rPr>
      </w:pPr>
      <w:r w:rsidRPr="003F141B">
        <w:rPr>
          <w:rFonts w:cs="Arial"/>
          <w:b/>
          <w:bCs/>
          <w:color w:val="000000"/>
          <w:sz w:val="21"/>
          <w:szCs w:val="21"/>
          <w:lang w:val="en-CA" w:eastAsia="fr-CA"/>
        </w:rPr>
        <w:t xml:space="preserve">(b) </w:t>
      </w:r>
      <w:r w:rsidRPr="003F141B">
        <w:rPr>
          <w:rFonts w:cs="Arial"/>
          <w:bCs/>
          <w:color w:val="000000"/>
          <w:sz w:val="21"/>
          <w:szCs w:val="21"/>
          <w:lang w:val="en-CA" w:eastAsia="fr-CA"/>
        </w:rPr>
        <w:t xml:space="preserve">the protection of society is well served by deterring persons from operating conveyances dangerously </w:t>
      </w:r>
      <w:r w:rsidRPr="003F141B">
        <w:rPr>
          <w:rFonts w:cs="Arial"/>
          <w:bCs/>
          <w:color w:val="000000"/>
          <w:sz w:val="21"/>
          <w:szCs w:val="21"/>
          <w:u w:val="single"/>
          <w:lang w:val="en-CA" w:eastAsia="fr-CA"/>
        </w:rPr>
        <w:t>or while their ability to operate them is impaired by alcohol or a drug, because that conduct poses a threat to the life, health and safety of Canadians</w:t>
      </w:r>
      <w:r w:rsidRPr="003F141B">
        <w:rPr>
          <w:rFonts w:cs="Arial"/>
          <w:bCs/>
          <w:color w:val="000000"/>
          <w:sz w:val="21"/>
          <w:szCs w:val="21"/>
          <w:lang w:val="en-CA" w:eastAsia="fr-CA"/>
        </w:rPr>
        <w:t>;</w:t>
      </w:r>
    </w:p>
    <w:p w14:paraId="4F2BB079" w14:textId="4E7023D1" w:rsidR="009130CA" w:rsidRPr="003F141B" w:rsidRDefault="003F524C" w:rsidP="009130CA">
      <w:pPr>
        <w:pStyle w:val="Citationenretrait"/>
        <w:spacing w:line="240" w:lineRule="auto"/>
        <w:rPr>
          <w:rFonts w:cs="Arial"/>
          <w:color w:val="000000"/>
          <w:sz w:val="21"/>
          <w:szCs w:val="21"/>
          <w:u w:val="single"/>
          <w:lang w:val="en-CA" w:eastAsia="fr-CA"/>
        </w:rPr>
      </w:pPr>
      <w:r w:rsidRPr="003F141B">
        <w:rPr>
          <w:rFonts w:cs="Arial"/>
          <w:b/>
          <w:bCs/>
          <w:sz w:val="21"/>
          <w:szCs w:val="21"/>
          <w:lang w:val="en-CA" w:eastAsia="fr-CA"/>
        </w:rPr>
        <w:t xml:space="preserve">(c) </w:t>
      </w:r>
      <w:r w:rsidRPr="002E7C7B">
        <w:rPr>
          <w:rFonts w:cs="Arial"/>
          <w:bCs/>
          <w:sz w:val="21"/>
          <w:szCs w:val="21"/>
          <w:u w:val="single"/>
          <w:lang w:val="en-CA" w:eastAsia="fr-CA"/>
        </w:rPr>
        <w:t>the analysis of a sample of a person</w:t>
      </w:r>
      <w:r w:rsidR="003061CC" w:rsidRPr="002E7C7B">
        <w:rPr>
          <w:rFonts w:cs="Arial"/>
          <w:bCs/>
          <w:sz w:val="21"/>
          <w:szCs w:val="21"/>
          <w:u w:val="single"/>
          <w:lang w:val="en-CA" w:eastAsia="fr-CA"/>
        </w:rPr>
        <w:t>’</w:t>
      </w:r>
      <w:r w:rsidRPr="002E7C7B">
        <w:rPr>
          <w:rFonts w:cs="Arial"/>
          <w:bCs/>
          <w:sz w:val="21"/>
          <w:szCs w:val="21"/>
          <w:u w:val="single"/>
          <w:lang w:val="en-CA" w:eastAsia="fr-CA"/>
        </w:rPr>
        <w:t>s breath by means of an approved instrument produces</w:t>
      </w:r>
      <w:r w:rsidRPr="003F141B">
        <w:rPr>
          <w:rFonts w:cs="Arial"/>
          <w:bCs/>
          <w:sz w:val="21"/>
          <w:szCs w:val="21"/>
          <w:lang w:val="en-CA" w:eastAsia="fr-CA"/>
        </w:rPr>
        <w:t xml:space="preserve"> </w:t>
      </w:r>
      <w:r w:rsidRPr="003F141B">
        <w:rPr>
          <w:rFonts w:cs="Arial"/>
          <w:b/>
          <w:bCs/>
          <w:sz w:val="21"/>
          <w:szCs w:val="21"/>
          <w:lang w:val="en-CA" w:eastAsia="fr-CA"/>
        </w:rPr>
        <w:t>reliable and accurate</w:t>
      </w:r>
      <w:r w:rsidRPr="003F141B">
        <w:rPr>
          <w:rFonts w:cs="Arial"/>
          <w:bCs/>
          <w:sz w:val="21"/>
          <w:szCs w:val="21"/>
          <w:lang w:val="en-CA" w:eastAsia="fr-CA"/>
        </w:rPr>
        <w:t xml:space="preserve"> </w:t>
      </w:r>
      <w:r w:rsidRPr="002E7C7B">
        <w:rPr>
          <w:rFonts w:cs="Arial"/>
          <w:bCs/>
          <w:sz w:val="21"/>
          <w:szCs w:val="21"/>
          <w:u w:val="single"/>
          <w:lang w:val="en-CA" w:eastAsia="fr-CA"/>
        </w:rPr>
        <w:t>readings of blood alcohol concentration</w:t>
      </w:r>
      <w:r w:rsidRPr="003F141B">
        <w:rPr>
          <w:rFonts w:cs="Arial"/>
          <w:bCs/>
          <w:sz w:val="21"/>
          <w:szCs w:val="21"/>
          <w:lang w:val="en-CA" w:eastAsia="fr-CA"/>
        </w:rPr>
        <w:t>; and</w:t>
      </w:r>
    </w:p>
    <w:p w14:paraId="5A1DE87F" w14:textId="0429FA03" w:rsidR="009130CA" w:rsidRPr="003F141B" w:rsidRDefault="003F524C" w:rsidP="009130CA">
      <w:pPr>
        <w:pStyle w:val="Citationenretrait"/>
        <w:spacing w:line="240" w:lineRule="auto"/>
        <w:rPr>
          <w:rFonts w:cs="Arial"/>
          <w:color w:val="000000"/>
          <w:sz w:val="21"/>
          <w:szCs w:val="21"/>
          <w:lang w:val="en-CA" w:eastAsia="fr-CA"/>
        </w:rPr>
      </w:pPr>
      <w:r w:rsidRPr="003F141B">
        <w:rPr>
          <w:rFonts w:cs="Arial"/>
          <w:b/>
          <w:bCs/>
          <w:color w:val="000000"/>
          <w:sz w:val="21"/>
          <w:szCs w:val="21"/>
          <w:lang w:val="en-CA" w:eastAsia="fr-CA"/>
        </w:rPr>
        <w:t xml:space="preserve">(d) </w:t>
      </w:r>
      <w:r w:rsidRPr="003F141B">
        <w:rPr>
          <w:rFonts w:cs="Arial"/>
          <w:bCs/>
          <w:color w:val="000000"/>
          <w:sz w:val="21"/>
          <w:szCs w:val="21"/>
          <w:lang w:val="en-CA" w:eastAsia="fr-CA"/>
        </w:rPr>
        <w:t>an evaluation conducted by an evaluating officer is a reliable method of determining whether a person</w:t>
      </w:r>
      <w:r w:rsidR="003061CC">
        <w:rPr>
          <w:rFonts w:cs="Arial"/>
          <w:bCs/>
          <w:color w:val="000000"/>
          <w:sz w:val="21"/>
          <w:szCs w:val="21"/>
          <w:lang w:val="en-CA" w:eastAsia="fr-CA"/>
        </w:rPr>
        <w:t>’</w:t>
      </w:r>
      <w:r w:rsidRPr="003F141B">
        <w:rPr>
          <w:rFonts w:cs="Arial"/>
          <w:bCs/>
          <w:color w:val="000000"/>
          <w:sz w:val="21"/>
          <w:szCs w:val="21"/>
          <w:lang w:val="en-CA" w:eastAsia="fr-CA"/>
        </w:rPr>
        <w:t>s ability to operate a conveyance is impaired by a drug or by a combination of alcohol and a drug.</w:t>
      </w:r>
    </w:p>
    <w:p w14:paraId="486D4879" w14:textId="77E312C3" w:rsidR="009130CA" w:rsidRPr="003F141B" w:rsidRDefault="005003D8" w:rsidP="009130CA">
      <w:pPr>
        <w:pStyle w:val="Citationenretrait"/>
        <w:spacing w:line="240" w:lineRule="auto"/>
        <w:rPr>
          <w:rFonts w:cs="Arial"/>
          <w:color w:val="000000"/>
          <w:sz w:val="21"/>
          <w:szCs w:val="21"/>
          <w:lang w:val="en-CA" w:eastAsia="fr-CA"/>
        </w:rPr>
      </w:pPr>
      <w:r w:rsidRPr="003F141B">
        <w:rPr>
          <w:rFonts w:cs="Arial"/>
          <w:b/>
          <w:bCs/>
          <w:color w:val="000000"/>
          <w:sz w:val="21"/>
          <w:szCs w:val="21"/>
          <w:lang w:val="en-CA" w:eastAsia="fr-CA"/>
        </w:rPr>
        <w:tab/>
      </w:r>
      <w:r w:rsidRPr="003F141B">
        <w:rPr>
          <w:rFonts w:cs="Arial"/>
          <w:b/>
          <w:bCs/>
          <w:color w:val="000000"/>
          <w:sz w:val="21"/>
          <w:szCs w:val="21"/>
          <w:lang w:val="en-CA" w:eastAsia="fr-CA"/>
        </w:rPr>
        <w:tab/>
      </w:r>
      <w:r w:rsidRPr="003F141B">
        <w:rPr>
          <w:rFonts w:cs="Arial"/>
          <w:b/>
          <w:bCs/>
          <w:color w:val="000000"/>
          <w:sz w:val="21"/>
          <w:szCs w:val="21"/>
          <w:lang w:val="en-CA" w:eastAsia="fr-CA"/>
        </w:rPr>
        <w:tab/>
      </w:r>
      <w:r w:rsidR="003F524C" w:rsidRPr="003F141B">
        <w:rPr>
          <w:rFonts w:cs="Arial"/>
          <w:b/>
          <w:bCs/>
          <w:color w:val="000000"/>
          <w:sz w:val="21"/>
          <w:szCs w:val="21"/>
          <w:lang w:val="en-CA" w:eastAsia="fr-CA"/>
        </w:rPr>
        <w:t xml:space="preserve">                                </w:t>
      </w:r>
      <w:r w:rsidR="003F524C" w:rsidRPr="003F141B">
        <w:rPr>
          <w:rFonts w:cs="Arial"/>
          <w:bCs/>
          <w:color w:val="000000"/>
          <w:sz w:val="21"/>
          <w:szCs w:val="21"/>
          <w:lang w:val="en-CA" w:eastAsia="fr-CA"/>
        </w:rPr>
        <w:t>[</w:t>
      </w:r>
      <w:r w:rsidR="008E10DD">
        <w:rPr>
          <w:rFonts w:cs="Arial"/>
          <w:bCs/>
          <w:color w:val="000000"/>
          <w:sz w:val="21"/>
          <w:szCs w:val="21"/>
          <w:lang w:val="en-CA" w:eastAsia="fr-CA"/>
        </w:rPr>
        <w:t xml:space="preserve">Underlining </w:t>
      </w:r>
      <w:r w:rsidR="003F524C" w:rsidRPr="003F141B">
        <w:rPr>
          <w:rFonts w:cs="Arial"/>
          <w:bCs/>
          <w:color w:val="000000"/>
          <w:sz w:val="21"/>
          <w:szCs w:val="21"/>
          <w:lang w:val="en-CA" w:eastAsia="fr-CA"/>
        </w:rPr>
        <w:t>added</w:t>
      </w:r>
      <w:r w:rsidR="008E10DD">
        <w:rPr>
          <w:rFonts w:cs="Arial"/>
          <w:bCs/>
          <w:color w:val="000000"/>
          <w:sz w:val="21"/>
          <w:szCs w:val="21"/>
          <w:lang w:val="en-CA" w:eastAsia="fr-CA"/>
        </w:rPr>
        <w:t xml:space="preserve">; boldface </w:t>
      </w:r>
      <w:r w:rsidR="00224DEE">
        <w:rPr>
          <w:rFonts w:cs="Arial"/>
          <w:bCs/>
          <w:color w:val="000000"/>
          <w:sz w:val="21"/>
          <w:szCs w:val="21"/>
          <w:lang w:val="en-CA" w:eastAsia="fr-CA"/>
        </w:rPr>
        <w:t>added</w:t>
      </w:r>
      <w:r w:rsidRPr="003F141B">
        <w:rPr>
          <w:rFonts w:cs="Arial"/>
          <w:bCs/>
          <w:color w:val="000000"/>
          <w:sz w:val="21"/>
          <w:szCs w:val="21"/>
          <w:lang w:val="en-CA" w:eastAsia="fr-CA"/>
        </w:rPr>
        <w:t>]</w:t>
      </w:r>
    </w:p>
    <w:p w14:paraId="238218DC" w14:textId="05FE6626" w:rsidR="009130CA" w:rsidRPr="003F141B" w:rsidRDefault="003F524C" w:rsidP="00413EFC">
      <w:pPr>
        <w:pStyle w:val="Paragraphe"/>
        <w:spacing w:before="80" w:after="80" w:line="240" w:lineRule="auto"/>
        <w:rPr>
          <w:lang w:val="en-CA" w:eastAsia="fr-CA"/>
        </w:rPr>
      </w:pPr>
      <w:r w:rsidRPr="003F141B">
        <w:rPr>
          <w:lang w:val="en-CA" w:eastAsia="fr-CA"/>
        </w:rPr>
        <w:t xml:space="preserve">In </w:t>
      </w:r>
      <w:r w:rsidRPr="003F141B">
        <w:rPr>
          <w:i/>
          <w:lang w:val="en-CA" w:eastAsia="fr-CA"/>
        </w:rPr>
        <w:t>Grant</w:t>
      </w:r>
      <w:r w:rsidRPr="003F141B">
        <w:rPr>
          <w:lang w:val="en-CA" w:eastAsia="fr-CA"/>
        </w:rPr>
        <w:t xml:space="preserve">, the Supreme Court wrote the following, </w:t>
      </w:r>
      <w:r w:rsidR="007B4B22" w:rsidRPr="003F141B">
        <w:rPr>
          <w:lang w:val="en-CA" w:eastAsia="fr-CA"/>
        </w:rPr>
        <w:t xml:space="preserve">providing </w:t>
      </w:r>
      <w:r w:rsidRPr="003F141B">
        <w:rPr>
          <w:lang w:val="en-CA" w:eastAsia="fr-CA"/>
        </w:rPr>
        <w:t xml:space="preserve">comments on obtaining evidence through the collection of breath samples </w:t>
      </w:r>
      <w:r w:rsidR="007B4B22" w:rsidRPr="003F141B">
        <w:rPr>
          <w:lang w:val="en-CA" w:eastAsia="fr-CA"/>
        </w:rPr>
        <w:t xml:space="preserve">that are </w:t>
      </w:r>
      <w:r w:rsidRPr="003F141B">
        <w:rPr>
          <w:lang w:val="en-CA" w:eastAsia="fr-CA"/>
        </w:rPr>
        <w:t xml:space="preserve">particularly relevant </w:t>
      </w:r>
      <w:r w:rsidR="00C62339" w:rsidRPr="003F141B">
        <w:rPr>
          <w:lang w:val="en-CA" w:eastAsia="fr-CA"/>
        </w:rPr>
        <w:t>to</w:t>
      </w:r>
      <w:r w:rsidRPr="003F141B">
        <w:rPr>
          <w:lang w:val="en-CA" w:eastAsia="fr-CA"/>
        </w:rPr>
        <w:t xml:space="preserve"> this case:</w:t>
      </w:r>
    </w:p>
    <w:p w14:paraId="51006DA9" w14:textId="5D53C464" w:rsidR="009130CA" w:rsidRPr="003F141B" w:rsidRDefault="003F524C" w:rsidP="00413EFC">
      <w:pPr>
        <w:pStyle w:val="Citationenretrait"/>
        <w:spacing w:before="80" w:after="80" w:line="240" w:lineRule="auto"/>
        <w:rPr>
          <w:lang w:val="en-CA" w:eastAsia="fr-CA"/>
        </w:rPr>
      </w:pPr>
      <w:r w:rsidRPr="003F141B">
        <w:rPr>
          <w:lang w:val="en-CA" w:eastAsia="fr-CA"/>
        </w:rPr>
        <w:lastRenderedPageBreak/>
        <w:t xml:space="preserve">[83] </w:t>
      </w:r>
      <w:r w:rsidRPr="003F141B">
        <w:rPr>
          <w:u w:val="single"/>
          <w:lang w:val="en-CA" w:eastAsia="fr-CA"/>
        </w:rPr>
        <w:t>The importance of the evidence to the prosecution</w:t>
      </w:r>
      <w:r w:rsidR="003061CC">
        <w:rPr>
          <w:u w:val="single"/>
          <w:lang w:val="en-CA" w:eastAsia="fr-CA"/>
        </w:rPr>
        <w:t>’</w:t>
      </w:r>
      <w:r w:rsidRPr="003F141B">
        <w:rPr>
          <w:u w:val="single"/>
          <w:lang w:val="en-CA" w:eastAsia="fr-CA"/>
        </w:rPr>
        <w:t>s case is another factor that may be considered in this line of inquiry</w:t>
      </w:r>
      <w:r w:rsidRPr="003F141B">
        <w:rPr>
          <w:lang w:val="en-CA" w:eastAsia="fr-CA"/>
        </w:rPr>
        <w:t>.</w:t>
      </w:r>
      <w:r w:rsidR="005003D8" w:rsidRPr="003F141B">
        <w:rPr>
          <w:lang w:val="en-CA" w:eastAsia="fr-CA"/>
        </w:rPr>
        <w:t xml:space="preserve"> </w:t>
      </w:r>
      <w:r w:rsidR="00A1361E">
        <w:rPr>
          <w:rFonts w:cs="Arial"/>
          <w:lang w:val="fr-FR" w:eastAsia="fr-CA"/>
        </w:rPr>
        <w:t>[</w:t>
      </w:r>
      <w:r w:rsidR="00A1361E">
        <w:rPr>
          <w:lang w:val="fr-FR" w:eastAsia="fr-CA"/>
        </w:rPr>
        <w:t>…</w:t>
      </w:r>
      <w:r w:rsidR="00A1361E">
        <w:rPr>
          <w:rFonts w:cs="Arial"/>
          <w:lang w:val="fr-FR" w:eastAsia="fr-CA"/>
        </w:rPr>
        <w:t>]</w:t>
      </w:r>
      <w:r w:rsidRPr="003F141B">
        <w:rPr>
          <w:lang w:val="en-CA" w:eastAsia="fr-CA"/>
        </w:rPr>
        <w:t xml:space="preserve"> </w:t>
      </w:r>
      <w:r w:rsidRPr="003F141B">
        <w:rPr>
          <w:u w:val="single"/>
          <w:lang w:val="en-CA" w:eastAsia="fr-CA"/>
        </w:rPr>
        <w:t>the exclusion of highly reliable evidence may impact more negatively on the repute of the administration of justice where the remedy effectively guts the prosecution</w:t>
      </w:r>
      <w:r w:rsidRPr="003F141B">
        <w:rPr>
          <w:lang w:val="en-CA" w:eastAsia="fr-CA"/>
        </w:rPr>
        <w:t>.</w:t>
      </w:r>
    </w:p>
    <w:p w14:paraId="187BE003" w14:textId="65801FB8" w:rsidR="009130CA" w:rsidRPr="003F141B" w:rsidRDefault="00C60D17" w:rsidP="00413EFC">
      <w:pPr>
        <w:pStyle w:val="Citationenretrait"/>
        <w:spacing w:before="80" w:after="80" w:line="240" w:lineRule="auto"/>
        <w:rPr>
          <w:lang w:val="en-CA" w:eastAsia="fr-CA"/>
        </w:rPr>
      </w:pPr>
      <w:r>
        <w:rPr>
          <w:lang w:val="en-CA"/>
        </w:rPr>
        <w:t>[</w:t>
      </w:r>
      <w:r w:rsidR="003F524C" w:rsidRPr="003F141B">
        <w:rPr>
          <w:lang w:val="en-CA"/>
        </w:rPr>
        <w:t>…</w:t>
      </w:r>
      <w:r>
        <w:rPr>
          <w:lang w:val="en-CA"/>
        </w:rPr>
        <w:t>]</w:t>
      </w:r>
    </w:p>
    <w:p w14:paraId="634D90FB" w14:textId="70C32169" w:rsidR="009130CA" w:rsidRPr="003F141B" w:rsidRDefault="003F524C" w:rsidP="00413EFC">
      <w:pPr>
        <w:pStyle w:val="Citationenretrait"/>
        <w:spacing w:before="80" w:after="80" w:line="240" w:lineRule="auto"/>
        <w:rPr>
          <w:u w:val="single"/>
          <w:lang w:val="en-CA"/>
        </w:rPr>
      </w:pPr>
      <w:r w:rsidRPr="003F141B">
        <w:rPr>
          <w:lang w:val="en-CA"/>
        </w:rPr>
        <w:t>[111] While each case must be considered on its own facts, it may be ventured in general that where an intrusion on bodily integrity is deliberately inflicted and the impact on the accused</w:t>
      </w:r>
      <w:r w:rsidR="003061CC">
        <w:rPr>
          <w:lang w:val="en-CA"/>
        </w:rPr>
        <w:t>’</w:t>
      </w:r>
      <w:r w:rsidRPr="003F141B">
        <w:rPr>
          <w:lang w:val="en-CA"/>
        </w:rPr>
        <w:t>s privacy, bodily integrity and dignity is high, bodily evidence will be excluded, notwithstanding its relevance and reliability.</w:t>
      </w:r>
      <w:r w:rsidR="005003D8" w:rsidRPr="003F141B">
        <w:rPr>
          <w:lang w:val="en-CA"/>
        </w:rPr>
        <w:t xml:space="preserve">  </w:t>
      </w:r>
      <w:r w:rsidRPr="003F141B">
        <w:rPr>
          <w:u w:val="single"/>
          <w:lang w:val="en-CA"/>
        </w:rPr>
        <w:t>On the other hand, where the violation is less egregious and the intrusion is less severe in terms of privacy, bodily integrity and dignity, reliable evidence obtained from the accused</w:t>
      </w:r>
      <w:r w:rsidR="003061CC">
        <w:rPr>
          <w:u w:val="single"/>
          <w:lang w:val="en-CA"/>
        </w:rPr>
        <w:t>’</w:t>
      </w:r>
      <w:r w:rsidRPr="003F141B">
        <w:rPr>
          <w:u w:val="single"/>
          <w:lang w:val="en-CA"/>
        </w:rPr>
        <w:t>s body may be admitted</w:t>
      </w:r>
      <w:r w:rsidRPr="003F141B">
        <w:rPr>
          <w:lang w:val="en-CA"/>
        </w:rPr>
        <w:t>.</w:t>
      </w:r>
      <w:r w:rsidR="005003D8" w:rsidRPr="003F141B">
        <w:rPr>
          <w:lang w:val="en-CA"/>
        </w:rPr>
        <w:t xml:space="preserve"> </w:t>
      </w:r>
      <w:r w:rsidRPr="003F141B">
        <w:rPr>
          <w:b/>
          <w:lang w:val="en-CA"/>
        </w:rPr>
        <w:t>For example, this will often be the case with breath sample evidence, whose method of collection is relatively non</w:t>
      </w:r>
      <w:r w:rsidR="00F32091">
        <w:rPr>
          <w:b/>
          <w:lang w:val="en-CA"/>
        </w:rPr>
        <w:noBreakHyphen/>
      </w:r>
      <w:r w:rsidRPr="003F141B">
        <w:rPr>
          <w:b/>
          <w:lang w:val="en-CA"/>
        </w:rPr>
        <w:t>intrusive.</w:t>
      </w:r>
    </w:p>
    <w:p w14:paraId="31BFC85F" w14:textId="417205BE" w:rsidR="009130CA" w:rsidRPr="003F141B" w:rsidRDefault="005003D8" w:rsidP="00413EFC">
      <w:pPr>
        <w:pStyle w:val="Citationenretrait"/>
        <w:spacing w:before="80" w:after="80" w:line="240" w:lineRule="auto"/>
        <w:rPr>
          <w:lang w:val="en-CA" w:eastAsia="fr-CA"/>
        </w:rPr>
      </w:pPr>
      <w:r w:rsidRPr="003F141B">
        <w:rPr>
          <w:lang w:val="en-CA" w:eastAsia="fr-CA"/>
        </w:rPr>
        <w:tab/>
      </w:r>
      <w:r w:rsidRPr="003F141B">
        <w:rPr>
          <w:lang w:val="en-CA" w:eastAsia="fr-CA"/>
        </w:rPr>
        <w:tab/>
      </w:r>
      <w:r w:rsidRPr="003F141B">
        <w:rPr>
          <w:lang w:val="en-CA" w:eastAsia="fr-CA"/>
        </w:rPr>
        <w:tab/>
      </w:r>
      <w:r w:rsidR="003F524C" w:rsidRPr="003F141B">
        <w:rPr>
          <w:lang w:val="en-CA" w:eastAsia="fr-CA"/>
        </w:rPr>
        <w:t xml:space="preserve">                             [</w:t>
      </w:r>
      <w:r w:rsidR="007A535B">
        <w:rPr>
          <w:lang w:val="en-CA" w:eastAsia="fr-CA"/>
        </w:rPr>
        <w:t xml:space="preserve">Underlining </w:t>
      </w:r>
      <w:r w:rsidR="003F524C" w:rsidRPr="003F141B">
        <w:rPr>
          <w:lang w:val="en-CA" w:eastAsia="fr-CA"/>
        </w:rPr>
        <w:t>added</w:t>
      </w:r>
      <w:r w:rsidR="007A535B">
        <w:rPr>
          <w:lang w:val="en-CA" w:eastAsia="fr-CA"/>
        </w:rPr>
        <w:t>; boldface added</w:t>
      </w:r>
      <w:r w:rsidR="003F524C" w:rsidRPr="003F141B">
        <w:rPr>
          <w:lang w:val="en-CA" w:eastAsia="fr-CA"/>
        </w:rPr>
        <w:t>]</w:t>
      </w:r>
      <w:r w:rsidRPr="003F141B">
        <w:rPr>
          <w:lang w:val="en-CA" w:eastAsia="fr-CA"/>
        </w:rPr>
        <w:t xml:space="preserve"> </w:t>
      </w:r>
    </w:p>
    <w:p w14:paraId="2576C087" w14:textId="06DDDAA1" w:rsidR="009130CA" w:rsidRPr="003F141B" w:rsidRDefault="00620EF1" w:rsidP="00413EFC">
      <w:pPr>
        <w:pStyle w:val="Paragraphe"/>
        <w:spacing w:before="80" w:after="80" w:line="240" w:lineRule="auto"/>
        <w:rPr>
          <w:lang w:val="en-CA"/>
        </w:rPr>
      </w:pPr>
      <w:r w:rsidRPr="003F141B">
        <w:rPr>
          <w:lang w:val="en-CA"/>
        </w:rPr>
        <w:t xml:space="preserve">Based on this excerpt, I am of the view that the judge </w:t>
      </w:r>
      <w:r w:rsidR="00C62339" w:rsidRPr="003F141B">
        <w:rPr>
          <w:lang w:val="en-CA"/>
        </w:rPr>
        <w:t>erred</w:t>
      </w:r>
      <w:r w:rsidRPr="003F141B">
        <w:rPr>
          <w:lang w:val="en-CA"/>
        </w:rPr>
        <w:t xml:space="preserve"> in principle </w:t>
      </w:r>
      <w:r w:rsidR="00C62339" w:rsidRPr="003F141B">
        <w:rPr>
          <w:lang w:val="en-CA"/>
        </w:rPr>
        <w:t>in</w:t>
      </w:r>
      <w:r w:rsidRPr="003F141B">
        <w:rPr>
          <w:lang w:val="en-CA"/>
        </w:rPr>
        <w:t xml:space="preserve"> failing to </w:t>
      </w:r>
      <w:r w:rsidR="00C62339" w:rsidRPr="003F141B">
        <w:rPr>
          <w:lang w:val="en-CA"/>
        </w:rPr>
        <w:t>consider</w:t>
      </w:r>
      <w:r w:rsidRPr="003F141B">
        <w:rPr>
          <w:lang w:val="en-CA"/>
        </w:rPr>
        <w:t xml:space="preserve"> the high reliability and decisive importance for the prosecution of the respondent</w:t>
      </w:r>
      <w:r w:rsidR="003061CC">
        <w:rPr>
          <w:lang w:val="en-CA"/>
        </w:rPr>
        <w:t>’</w:t>
      </w:r>
      <w:r w:rsidRPr="003F141B">
        <w:rPr>
          <w:lang w:val="en-CA"/>
        </w:rPr>
        <w:t>s blood alcohol level test results.</w:t>
      </w:r>
      <w:r w:rsidR="005003D8" w:rsidRPr="003F141B">
        <w:rPr>
          <w:lang w:val="en-CA"/>
        </w:rPr>
        <w:t xml:space="preserve"> </w:t>
      </w:r>
      <w:r w:rsidRPr="003F141B">
        <w:rPr>
          <w:lang w:val="en-CA"/>
        </w:rPr>
        <w:t xml:space="preserve">Not only does she not discuss </w:t>
      </w:r>
      <w:r w:rsidR="00C62339" w:rsidRPr="003F141B">
        <w:rPr>
          <w:lang w:val="en-CA"/>
        </w:rPr>
        <w:t>this</w:t>
      </w:r>
      <w:r w:rsidRPr="003F141B">
        <w:rPr>
          <w:lang w:val="en-CA"/>
        </w:rPr>
        <w:t xml:space="preserve"> at all in her judgment, but</w:t>
      </w:r>
      <w:r w:rsidR="007B4B22" w:rsidRPr="003F141B">
        <w:rPr>
          <w:lang w:val="en-CA"/>
        </w:rPr>
        <w:t xml:space="preserve"> –</w:t>
      </w:r>
      <w:r w:rsidRPr="003F141B">
        <w:rPr>
          <w:lang w:val="en-CA"/>
        </w:rPr>
        <w:t xml:space="preserve"> although </w:t>
      </w:r>
      <w:r w:rsidR="007B4B22" w:rsidRPr="003F141B">
        <w:rPr>
          <w:lang w:val="en-CA"/>
        </w:rPr>
        <w:t xml:space="preserve">this </w:t>
      </w:r>
      <w:r w:rsidRPr="003F141B">
        <w:rPr>
          <w:lang w:val="en-CA"/>
        </w:rPr>
        <w:t>is not decisive</w:t>
      </w:r>
      <w:r w:rsidR="00667EDC" w:rsidRPr="003F141B">
        <w:rPr>
          <w:lang w:val="en-CA"/>
        </w:rPr>
        <w:t xml:space="preserve"> in itself</w:t>
      </w:r>
      <w:r w:rsidR="007B4B22" w:rsidRPr="003F141B">
        <w:rPr>
          <w:lang w:val="en-CA"/>
        </w:rPr>
        <w:t xml:space="preserve"> –</w:t>
      </w:r>
      <w:r w:rsidRPr="003F141B">
        <w:rPr>
          <w:lang w:val="en-CA"/>
        </w:rPr>
        <w:t xml:space="preserve"> it is clear from the transcript of the </w:t>
      </w:r>
      <w:r w:rsidR="00667EDC" w:rsidRPr="003F141B">
        <w:rPr>
          <w:lang w:val="en-CA"/>
        </w:rPr>
        <w:t xml:space="preserve">recording of the </w:t>
      </w:r>
      <w:r w:rsidRPr="003F141B">
        <w:rPr>
          <w:lang w:val="en-CA"/>
        </w:rPr>
        <w:t xml:space="preserve">hearing that it was only after she had rendered </w:t>
      </w:r>
      <w:r w:rsidR="007B4B22" w:rsidRPr="003F141B">
        <w:rPr>
          <w:lang w:val="en-CA"/>
        </w:rPr>
        <w:t xml:space="preserve">judgment </w:t>
      </w:r>
      <w:r w:rsidRPr="003F141B">
        <w:rPr>
          <w:lang w:val="en-CA"/>
        </w:rPr>
        <w:t xml:space="preserve">and excluded these results from the evidence that she </w:t>
      </w:r>
      <w:r w:rsidR="00C62339" w:rsidRPr="003F141B">
        <w:rPr>
          <w:lang w:val="en-CA"/>
        </w:rPr>
        <w:t>asked</w:t>
      </w:r>
      <w:r w:rsidRPr="003F141B">
        <w:rPr>
          <w:lang w:val="en-CA"/>
        </w:rPr>
        <w:t xml:space="preserve"> the appellant whether </w:t>
      </w:r>
      <w:r w:rsidR="00667EDC" w:rsidRPr="003F141B">
        <w:rPr>
          <w:lang w:val="en-CA"/>
        </w:rPr>
        <w:t xml:space="preserve">it </w:t>
      </w:r>
      <w:r w:rsidRPr="003F141B">
        <w:rPr>
          <w:lang w:val="en-CA"/>
        </w:rPr>
        <w:t xml:space="preserve">had any other evidence to support the charge, which </w:t>
      </w:r>
      <w:r w:rsidR="00667EDC" w:rsidRPr="003F141B">
        <w:rPr>
          <w:lang w:val="en-CA"/>
        </w:rPr>
        <w:t>it</w:t>
      </w:r>
      <w:r w:rsidRPr="003F141B">
        <w:rPr>
          <w:lang w:val="en-CA"/>
        </w:rPr>
        <w:t xml:space="preserve"> did not.</w:t>
      </w:r>
      <w:r w:rsidR="005003D8" w:rsidRPr="003F141B">
        <w:rPr>
          <w:lang w:val="en-CA"/>
        </w:rPr>
        <w:t xml:space="preserve"> </w:t>
      </w:r>
    </w:p>
    <w:p w14:paraId="57C4B09E" w14:textId="4E53340C" w:rsidR="009130CA" w:rsidRPr="003F141B" w:rsidRDefault="00985CAE" w:rsidP="00413EFC">
      <w:pPr>
        <w:pStyle w:val="Paragraphe"/>
        <w:keepNext/>
        <w:numPr>
          <w:ilvl w:val="0"/>
          <w:numId w:val="34"/>
        </w:numPr>
        <w:spacing w:before="80" w:after="80" w:line="240" w:lineRule="auto"/>
        <w:rPr>
          <w:lang w:val="en-CA"/>
        </w:rPr>
      </w:pPr>
      <w:r>
        <w:rPr>
          <w:b/>
          <w:lang w:val="en-CA"/>
        </w:rPr>
        <w:t>B</w:t>
      </w:r>
      <w:r w:rsidR="00620EF1" w:rsidRPr="003F141B">
        <w:rPr>
          <w:b/>
          <w:lang w:val="en-CA"/>
        </w:rPr>
        <w:t>alancing of the three criteria</w:t>
      </w:r>
    </w:p>
    <w:p w14:paraId="2FB8725E" w14:textId="7C2D9D21" w:rsidR="009130CA" w:rsidRPr="003F141B" w:rsidRDefault="00620EF1" w:rsidP="00413EFC">
      <w:pPr>
        <w:pStyle w:val="Paragraphe"/>
        <w:spacing w:before="80" w:after="80" w:line="240" w:lineRule="auto"/>
        <w:rPr>
          <w:rFonts w:cs="Arial"/>
          <w:lang w:val="en-CA"/>
        </w:rPr>
      </w:pPr>
      <w:r w:rsidRPr="003F141B">
        <w:rPr>
          <w:rFonts w:cs="Arial"/>
          <w:lang w:val="en-CA"/>
        </w:rPr>
        <w:t xml:space="preserve">After analyzing the three criteria individually to determine </w:t>
      </w:r>
      <w:r w:rsidR="007B4B22" w:rsidRPr="003F141B">
        <w:rPr>
          <w:rFonts w:cs="Arial"/>
          <w:lang w:val="en-CA"/>
        </w:rPr>
        <w:t xml:space="preserve">whether </w:t>
      </w:r>
      <w:r w:rsidRPr="003F141B">
        <w:rPr>
          <w:rFonts w:cs="Arial"/>
          <w:lang w:val="en-CA"/>
        </w:rPr>
        <w:t>the use of the contested evidence would be likely to bring the administration of justice into disrepute, the judge must use a [</w:t>
      </w:r>
      <w:r w:rsidRPr="003F141B">
        <w:rPr>
          <w:rFonts w:cs="Arial"/>
          <w:smallCaps/>
          <w:lang w:val="en-CA"/>
        </w:rPr>
        <w:t>translation]</w:t>
      </w:r>
      <w:r w:rsidRPr="003F141B">
        <w:rPr>
          <w:rFonts w:cs="Arial"/>
          <w:lang w:val="en-CA"/>
        </w:rPr>
        <w:t xml:space="preserve"> </w:t>
      </w:r>
      <w:r w:rsidR="00081775">
        <w:rPr>
          <w:rFonts w:cs="Arial"/>
          <w:lang w:val="en-CA"/>
        </w:rPr>
        <w:t>“</w:t>
      </w:r>
      <w:r w:rsidRPr="002E7C7B">
        <w:rPr>
          <w:rFonts w:cs="Arial"/>
          <w:i/>
          <w:iCs/>
          <w:lang w:val="en-CA"/>
        </w:rPr>
        <w:t>holistic</w:t>
      </w:r>
      <w:r w:rsidRPr="003F141B">
        <w:rPr>
          <w:rFonts w:cs="Arial"/>
          <w:lang w:val="en-CA"/>
        </w:rPr>
        <w:t xml:space="preserve"> and </w:t>
      </w:r>
      <w:r w:rsidRPr="002E7C7B">
        <w:rPr>
          <w:rFonts w:cs="Arial"/>
          <w:i/>
          <w:iCs/>
          <w:lang w:val="en-CA"/>
        </w:rPr>
        <w:t>prospective</w:t>
      </w:r>
      <w:r w:rsidRPr="003F141B">
        <w:rPr>
          <w:rFonts w:cs="Arial"/>
          <w:lang w:val="en-CA"/>
        </w:rPr>
        <w:t xml:space="preserve"> approach</w:t>
      </w:r>
      <w:r w:rsidR="00081775">
        <w:rPr>
          <w:rFonts w:cs="Arial"/>
          <w:lang w:val="en-CA"/>
        </w:rPr>
        <w:t>”</w:t>
      </w:r>
      <w:r w:rsidRPr="003F141B">
        <w:rPr>
          <w:rFonts w:cs="Arial"/>
          <w:lang w:val="en-CA"/>
        </w:rPr>
        <w:t xml:space="preserve">, without </w:t>
      </w:r>
      <w:r w:rsidR="006B0003" w:rsidRPr="003F141B">
        <w:rPr>
          <w:rFonts w:cs="Arial"/>
          <w:lang w:val="en-CA"/>
        </w:rPr>
        <w:t xml:space="preserve">assigning </w:t>
      </w:r>
      <w:r w:rsidRPr="003F141B">
        <w:rPr>
          <w:rFonts w:cs="Arial"/>
          <w:lang w:val="en-CA"/>
        </w:rPr>
        <w:t>more weight to one criterion over another.</w:t>
      </w:r>
      <w:r w:rsidR="005003D8" w:rsidRPr="003F141B">
        <w:rPr>
          <w:rStyle w:val="Appelnotedebasdep"/>
          <w:rFonts w:cs="Arial"/>
          <w:lang w:val="en-CA"/>
        </w:rPr>
        <w:footnoteReference w:id="91"/>
      </w:r>
      <w:r w:rsidRPr="003F141B">
        <w:rPr>
          <w:rFonts w:cs="Arial"/>
          <w:lang w:val="en-CA"/>
        </w:rPr>
        <w:t xml:space="preserve"> </w:t>
      </w:r>
    </w:p>
    <w:p w14:paraId="5208593D" w14:textId="46993E8A" w:rsidR="009130CA" w:rsidRPr="003F141B" w:rsidRDefault="00620EF1" w:rsidP="00413EFC">
      <w:pPr>
        <w:pStyle w:val="Paragraphe"/>
        <w:spacing w:before="80" w:after="80" w:line="240" w:lineRule="auto"/>
        <w:rPr>
          <w:lang w:val="en-CA"/>
        </w:rPr>
      </w:pPr>
      <w:r w:rsidRPr="003F141B">
        <w:rPr>
          <w:rFonts w:cs="Arial"/>
          <w:lang w:val="en-CA"/>
        </w:rPr>
        <w:t xml:space="preserve">In 2019, in </w:t>
      </w:r>
      <w:r w:rsidRPr="003F141B">
        <w:rPr>
          <w:rFonts w:cs="Arial"/>
          <w:i/>
          <w:lang w:val="en-CA"/>
        </w:rPr>
        <w:t>R. v. Le</w:t>
      </w:r>
      <w:r w:rsidRPr="003F141B">
        <w:rPr>
          <w:rFonts w:cs="Arial"/>
          <w:lang w:val="en-CA"/>
        </w:rPr>
        <w:t xml:space="preserve">, the Supreme Court also </w:t>
      </w:r>
      <w:r w:rsidR="006B0003" w:rsidRPr="003F141B">
        <w:rPr>
          <w:rFonts w:cs="Arial"/>
          <w:lang w:val="en-CA"/>
        </w:rPr>
        <w:t>stated</w:t>
      </w:r>
      <w:r w:rsidRPr="003F141B">
        <w:rPr>
          <w:rFonts w:cs="Arial"/>
          <w:lang w:val="en-CA"/>
        </w:rPr>
        <w:t>:</w:t>
      </w:r>
      <w:r w:rsidR="005003D8" w:rsidRPr="003F141B">
        <w:rPr>
          <w:rStyle w:val="Appelnotedebasdep"/>
          <w:rFonts w:cs="Arial"/>
          <w:lang w:val="en-CA"/>
        </w:rPr>
        <w:footnoteReference w:id="92"/>
      </w:r>
      <w:r w:rsidRPr="003F141B">
        <w:rPr>
          <w:rFonts w:cs="Arial"/>
          <w:lang w:val="en-CA"/>
        </w:rPr>
        <w:t xml:space="preserve"> </w:t>
      </w:r>
    </w:p>
    <w:p w14:paraId="255451E1" w14:textId="54E236C7" w:rsidR="009130CA" w:rsidRPr="003F141B" w:rsidRDefault="00620EF1" w:rsidP="00413EFC">
      <w:pPr>
        <w:pStyle w:val="Citationenretrait"/>
        <w:spacing w:before="80" w:after="80" w:line="240" w:lineRule="auto"/>
        <w:rPr>
          <w:lang w:val="en-CA"/>
        </w:rPr>
      </w:pPr>
      <w:r w:rsidRPr="003F141B">
        <w:rPr>
          <w:lang w:val="en-CA"/>
        </w:rPr>
        <w:t>[142] The third line of inquiry, society</w:t>
      </w:r>
      <w:r w:rsidR="003061CC">
        <w:rPr>
          <w:lang w:val="en-CA"/>
        </w:rPr>
        <w:t>’</w:t>
      </w:r>
      <w:r w:rsidRPr="003F141B">
        <w:rPr>
          <w:lang w:val="en-CA"/>
        </w:rPr>
        <w:t>s interest in an adjudication of the case on its merits, typically pulls in the opposite direction — that is, towards a finding that admission would not bring the administration of justice into disrepute.</w:t>
      </w:r>
      <w:r w:rsidR="005003D8" w:rsidRPr="003F141B">
        <w:rPr>
          <w:lang w:val="en-CA"/>
        </w:rPr>
        <w:t xml:space="preserve"> </w:t>
      </w:r>
      <w:r w:rsidRPr="003F141B">
        <w:rPr>
          <w:u w:val="single"/>
          <w:lang w:val="en-CA"/>
        </w:rPr>
        <w:t>While that pull is particularly strong where the evidence is reliable and critical to the Crown</w:t>
      </w:r>
      <w:r w:rsidR="003061CC">
        <w:rPr>
          <w:u w:val="single"/>
          <w:lang w:val="en-CA"/>
        </w:rPr>
        <w:t>’</w:t>
      </w:r>
      <w:r w:rsidRPr="003F141B">
        <w:rPr>
          <w:u w:val="single"/>
          <w:lang w:val="en-CA"/>
        </w:rPr>
        <w:t xml:space="preserve">s case </w:t>
      </w:r>
      <w:r w:rsidRPr="003F141B">
        <w:rPr>
          <w:lang w:val="en-CA"/>
        </w:rPr>
        <w:t>[</w:t>
      </w:r>
      <w:r w:rsidR="00697F2C">
        <w:rPr>
          <w:lang w:val="en-CA"/>
        </w:rPr>
        <w:t xml:space="preserve">reference </w:t>
      </w:r>
      <w:r w:rsidRPr="003F141B">
        <w:rPr>
          <w:lang w:val="en-CA"/>
        </w:rPr>
        <w:t xml:space="preserve">omitted], we emphasize that </w:t>
      </w:r>
      <w:r w:rsidRPr="003F141B">
        <w:rPr>
          <w:u w:val="single"/>
          <w:lang w:val="en-CA"/>
        </w:rPr>
        <w:t xml:space="preserve">the third line of inquiry cannot turn into a rubber stamp where </w:t>
      </w:r>
      <w:r w:rsidRPr="002E7C7B">
        <w:rPr>
          <w:i/>
          <w:iCs/>
          <w:u w:val="single"/>
          <w:lang w:val="en-CA"/>
        </w:rPr>
        <w:t>all</w:t>
      </w:r>
      <w:r w:rsidRPr="003F141B">
        <w:rPr>
          <w:u w:val="single"/>
          <w:lang w:val="en-CA"/>
        </w:rPr>
        <w:t xml:space="preserve"> evidence is deemed reliable and critical to the Crown</w:t>
      </w:r>
      <w:r w:rsidR="003061CC">
        <w:rPr>
          <w:u w:val="single"/>
          <w:lang w:val="en-CA"/>
        </w:rPr>
        <w:t>’</w:t>
      </w:r>
      <w:r w:rsidRPr="003F141B">
        <w:rPr>
          <w:u w:val="single"/>
          <w:lang w:val="en-CA"/>
        </w:rPr>
        <w:t>s case at this stage</w:t>
      </w:r>
      <w:r w:rsidRPr="003F141B">
        <w:rPr>
          <w:lang w:val="en-CA"/>
        </w:rPr>
        <w:t>.</w:t>
      </w:r>
      <w:r w:rsidR="005003D8" w:rsidRPr="003F141B">
        <w:rPr>
          <w:lang w:val="en-CA"/>
        </w:rPr>
        <w:t xml:space="preserve"> </w:t>
      </w:r>
      <w:r w:rsidRPr="003F141B">
        <w:rPr>
          <w:lang w:val="en-CA"/>
        </w:rPr>
        <w:t>The third line of inquiry becomes particularly important where one, but not both, of the first two inquiries pull towards the exclusion of the evidence.</w:t>
      </w:r>
      <w:r w:rsidR="005003D8" w:rsidRPr="003F141B">
        <w:rPr>
          <w:lang w:val="en-CA"/>
        </w:rPr>
        <w:t xml:space="preserve"> </w:t>
      </w:r>
      <w:r w:rsidRPr="003F141B">
        <w:rPr>
          <w:lang w:val="en-CA"/>
        </w:rPr>
        <w:t xml:space="preserve">Where the first and second inquiries, taken together, make a strong case for exclusion, the third inquiry will seldom if ever tip the balance in favour of </w:t>
      </w:r>
      <w:r w:rsidRPr="003F141B">
        <w:rPr>
          <w:lang w:val="en-CA"/>
        </w:rPr>
        <w:lastRenderedPageBreak/>
        <w:t>admissibility [</w:t>
      </w:r>
      <w:r w:rsidR="00200B80">
        <w:rPr>
          <w:lang w:val="en-CA"/>
        </w:rPr>
        <w:t xml:space="preserve">reference </w:t>
      </w:r>
      <w:r w:rsidRPr="003F141B">
        <w:rPr>
          <w:lang w:val="en-CA"/>
        </w:rPr>
        <w:t>omitted].</w:t>
      </w:r>
      <w:r w:rsidR="005003D8" w:rsidRPr="003F141B">
        <w:rPr>
          <w:lang w:val="en-CA"/>
        </w:rPr>
        <w:t xml:space="preserve"> </w:t>
      </w:r>
      <w:r w:rsidR="00664B8B" w:rsidRPr="003F141B">
        <w:rPr>
          <w:u w:val="single"/>
          <w:lang w:val="en-CA"/>
        </w:rPr>
        <w:t>Conversely, if the first two inquiries together reveal weaker support for exclusion of the evidence, the third inquiry will most often confirm that the administration of justice would not be brought into disrepute by admitting the evidence</w:t>
      </w:r>
      <w:r w:rsidR="00664B8B" w:rsidRPr="003F141B">
        <w:rPr>
          <w:lang w:val="en-CA"/>
        </w:rPr>
        <w:t>.</w:t>
      </w:r>
    </w:p>
    <w:p w14:paraId="2ED5DA9D" w14:textId="055C42B8" w:rsidR="009130CA" w:rsidRPr="003F141B" w:rsidRDefault="005003D8" w:rsidP="00413EFC">
      <w:pPr>
        <w:pStyle w:val="Paragraphe"/>
        <w:numPr>
          <w:ilvl w:val="0"/>
          <w:numId w:val="0"/>
        </w:numPr>
        <w:spacing w:before="80" w:after="80" w:line="240" w:lineRule="auto"/>
        <w:rPr>
          <w:sz w:val="22"/>
          <w:szCs w:val="22"/>
          <w:lang w:val="en-CA"/>
        </w:rPr>
      </w:pP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Pr="003F141B">
        <w:rPr>
          <w:lang w:val="en-CA"/>
        </w:rPr>
        <w:tab/>
      </w:r>
      <w:r w:rsidR="00664B8B" w:rsidRPr="003F141B">
        <w:rPr>
          <w:lang w:val="en-CA"/>
        </w:rPr>
        <w:t xml:space="preserve">     </w:t>
      </w:r>
      <w:r w:rsidR="00664B8B" w:rsidRPr="003F141B">
        <w:rPr>
          <w:sz w:val="22"/>
          <w:szCs w:val="22"/>
          <w:lang w:val="en-CA"/>
        </w:rPr>
        <w:t>[Emphasis added]</w:t>
      </w:r>
    </w:p>
    <w:p w14:paraId="5D308383" w14:textId="76683A30" w:rsidR="009130CA" w:rsidRPr="003F141B" w:rsidRDefault="00664B8B" w:rsidP="009130CA">
      <w:pPr>
        <w:pStyle w:val="Paragraphe"/>
        <w:spacing w:line="240" w:lineRule="auto"/>
        <w:rPr>
          <w:lang w:val="en-CA"/>
        </w:rPr>
      </w:pPr>
      <w:proofErr w:type="gramStart"/>
      <w:r w:rsidRPr="003F141B">
        <w:rPr>
          <w:rFonts w:cs="Arial"/>
          <w:lang w:val="en-CA"/>
        </w:rPr>
        <w:t xml:space="preserve">In this case, in light of my foregoing conclusions </w:t>
      </w:r>
      <w:r w:rsidR="006B0003" w:rsidRPr="003F141B">
        <w:rPr>
          <w:rFonts w:cs="Arial"/>
          <w:lang w:val="en-CA"/>
        </w:rPr>
        <w:t>as to</w:t>
      </w:r>
      <w:r w:rsidRPr="003F141B">
        <w:rPr>
          <w:rFonts w:cs="Arial"/>
          <w:lang w:val="en-CA"/>
        </w:rPr>
        <w:t xml:space="preserve"> the unreasonableness of the judge</w:t>
      </w:r>
      <w:r w:rsidR="003061CC">
        <w:rPr>
          <w:rFonts w:cs="Arial"/>
          <w:lang w:val="en-CA"/>
        </w:rPr>
        <w:t>’</w:t>
      </w:r>
      <w:r w:rsidRPr="003F141B">
        <w:rPr>
          <w:rFonts w:cs="Arial"/>
          <w:lang w:val="en-CA"/>
        </w:rPr>
        <w:t xml:space="preserve">s findings </w:t>
      </w:r>
      <w:r w:rsidR="006B0003" w:rsidRPr="003F141B">
        <w:rPr>
          <w:rFonts w:cs="Arial"/>
          <w:lang w:val="en-CA"/>
        </w:rPr>
        <w:t xml:space="preserve">on, first, </w:t>
      </w:r>
      <w:r w:rsidRPr="003F141B">
        <w:rPr>
          <w:rFonts w:cs="Arial"/>
          <w:lang w:val="en-CA"/>
        </w:rPr>
        <w:t xml:space="preserve">the significance of the </w:t>
      </w:r>
      <w:r w:rsidR="00667EDC" w:rsidRPr="003F141B">
        <w:rPr>
          <w:rFonts w:cs="Arial"/>
          <w:lang w:val="en-CA"/>
        </w:rPr>
        <w:t>police officers</w:t>
      </w:r>
      <w:r w:rsidR="003061CC">
        <w:rPr>
          <w:rFonts w:cs="Arial"/>
          <w:lang w:val="en-CA"/>
        </w:rPr>
        <w:t>’</w:t>
      </w:r>
      <w:r w:rsidR="00667EDC" w:rsidRPr="003F141B">
        <w:rPr>
          <w:rFonts w:cs="Arial"/>
          <w:lang w:val="en-CA"/>
        </w:rPr>
        <w:t xml:space="preserve"> </w:t>
      </w:r>
      <w:r w:rsidRPr="003F141B">
        <w:rPr>
          <w:rFonts w:cs="Arial"/>
          <w:lang w:val="en-CA"/>
        </w:rPr>
        <w:t>allegedly infringing conduct and</w:t>
      </w:r>
      <w:r w:rsidR="001652CE">
        <w:rPr>
          <w:rFonts w:cs="Arial"/>
          <w:lang w:val="en-CA"/>
        </w:rPr>
        <w:t>,</w:t>
      </w:r>
      <w:r w:rsidRPr="003F141B">
        <w:rPr>
          <w:rFonts w:cs="Arial"/>
          <w:lang w:val="en-CA"/>
        </w:rPr>
        <w:t xml:space="preserve"> </w:t>
      </w:r>
      <w:r w:rsidR="006B0003" w:rsidRPr="003F141B">
        <w:rPr>
          <w:rFonts w:cs="Arial"/>
          <w:lang w:val="en-CA"/>
        </w:rPr>
        <w:t xml:space="preserve">second, </w:t>
      </w:r>
      <w:r w:rsidRPr="003F141B">
        <w:rPr>
          <w:rFonts w:cs="Arial"/>
          <w:lang w:val="en-CA"/>
        </w:rPr>
        <w:t>the impact of that conduct on the respondent</w:t>
      </w:r>
      <w:r w:rsidR="003061CC">
        <w:rPr>
          <w:rFonts w:cs="Arial"/>
          <w:lang w:val="en-CA"/>
        </w:rPr>
        <w:t>’</w:t>
      </w:r>
      <w:r w:rsidRPr="003F141B">
        <w:rPr>
          <w:rFonts w:cs="Arial"/>
          <w:lang w:val="en-CA"/>
        </w:rPr>
        <w:t xml:space="preserve">s </w:t>
      </w:r>
      <w:r w:rsidR="00147C72" w:rsidRPr="003F141B">
        <w:rPr>
          <w:rFonts w:cs="Arial"/>
          <w:lang w:val="en-CA"/>
        </w:rPr>
        <w:t>s.</w:t>
      </w:r>
      <w:r w:rsidRPr="003F141B">
        <w:rPr>
          <w:rFonts w:cs="Arial"/>
          <w:lang w:val="en-CA"/>
        </w:rPr>
        <w:t xml:space="preserve"> 10(b) </w:t>
      </w:r>
      <w:r w:rsidRPr="003F141B">
        <w:rPr>
          <w:rFonts w:cs="Arial"/>
          <w:i/>
          <w:lang w:val="en-CA"/>
        </w:rPr>
        <w:t>Charter</w:t>
      </w:r>
      <w:r w:rsidRPr="003F141B">
        <w:rPr>
          <w:rFonts w:cs="Arial"/>
          <w:lang w:val="en-CA"/>
        </w:rPr>
        <w:t xml:space="preserve"> right,  I am of the view that the test of society</w:t>
      </w:r>
      <w:r w:rsidR="003061CC">
        <w:rPr>
          <w:rFonts w:cs="Arial"/>
          <w:lang w:val="en-CA"/>
        </w:rPr>
        <w:t>’</w:t>
      </w:r>
      <w:r w:rsidRPr="003F141B">
        <w:rPr>
          <w:rFonts w:cs="Arial"/>
          <w:lang w:val="en-CA"/>
        </w:rPr>
        <w:t>s interest in having the case tried on the merits conclusively tips the balance in favour of the admissibility of the evidence.</w:t>
      </w:r>
      <w:proofErr w:type="gramEnd"/>
      <w:r w:rsidR="005003D8" w:rsidRPr="003F141B">
        <w:rPr>
          <w:lang w:val="en-CA"/>
        </w:rPr>
        <w:t xml:space="preserve"> </w:t>
      </w:r>
      <w:r w:rsidR="006B0003" w:rsidRPr="003F141B">
        <w:rPr>
          <w:lang w:val="en-CA"/>
        </w:rPr>
        <w:t xml:space="preserve">This is all the more </w:t>
      </w:r>
      <w:r w:rsidR="001652CE">
        <w:rPr>
          <w:lang w:val="en-CA"/>
        </w:rPr>
        <w:t xml:space="preserve">so </w:t>
      </w:r>
      <w:r w:rsidRPr="003F141B">
        <w:rPr>
          <w:lang w:val="en-CA"/>
        </w:rPr>
        <w:t>in light of the minimally invasive manner in which it was obtained, the respondent</w:t>
      </w:r>
      <w:r w:rsidR="003061CC">
        <w:rPr>
          <w:lang w:val="en-CA"/>
        </w:rPr>
        <w:t>’</w:t>
      </w:r>
      <w:r w:rsidRPr="003F141B">
        <w:rPr>
          <w:lang w:val="en-CA"/>
        </w:rPr>
        <w:t>s legal obligation to provide it</w:t>
      </w:r>
      <w:r w:rsidR="006B0003" w:rsidRPr="003F141B">
        <w:rPr>
          <w:lang w:val="en-CA"/>
        </w:rPr>
        <w:t>,</w:t>
      </w:r>
      <w:r w:rsidRPr="003F141B">
        <w:rPr>
          <w:lang w:val="en-CA"/>
        </w:rPr>
        <w:t xml:space="preserve"> and the legislative statement recognizing the reliability and accuracy of this type of evidence to </w:t>
      </w:r>
      <w:r w:rsidR="00081775">
        <w:rPr>
          <w:lang w:val="en-CA"/>
        </w:rPr>
        <w:t>“</w:t>
      </w:r>
      <w:r w:rsidRPr="003F141B">
        <w:rPr>
          <w:lang w:val="en-CA"/>
        </w:rPr>
        <w:t>simplify the law relating to the proof of blood alcohol concentration</w:t>
      </w:r>
      <w:r w:rsidR="00081775">
        <w:rPr>
          <w:lang w:val="en-CA"/>
        </w:rPr>
        <w:t>”</w:t>
      </w:r>
      <w:r w:rsidR="001652CE">
        <w:rPr>
          <w:lang w:val="en-CA"/>
        </w:rPr>
        <w:t>.</w:t>
      </w:r>
      <w:r w:rsidR="005003D8" w:rsidRPr="003F141B">
        <w:rPr>
          <w:rStyle w:val="Appelnotedebasdep"/>
          <w:lang w:val="en-CA"/>
        </w:rPr>
        <w:footnoteReference w:id="93"/>
      </w:r>
      <w:r w:rsidRPr="003F141B">
        <w:rPr>
          <w:lang w:val="en-CA"/>
        </w:rPr>
        <w:t xml:space="preserve"> </w:t>
      </w:r>
    </w:p>
    <w:p w14:paraId="2932278F" w14:textId="6E0A4721" w:rsidR="009130CA" w:rsidRPr="003F141B" w:rsidRDefault="00664B8B" w:rsidP="009130CA">
      <w:pPr>
        <w:pStyle w:val="Paragraphe"/>
        <w:spacing w:line="240" w:lineRule="auto"/>
        <w:rPr>
          <w:lang w:val="en-CA"/>
        </w:rPr>
      </w:pPr>
      <w:r w:rsidRPr="003F141B">
        <w:rPr>
          <w:lang w:val="en-CA"/>
        </w:rPr>
        <w:t xml:space="preserve">For all of these reasons, had I not previously allowed </w:t>
      </w:r>
      <w:r w:rsidR="00E3370A">
        <w:rPr>
          <w:lang w:val="en-CA"/>
        </w:rPr>
        <w:t xml:space="preserve">the appellant’s </w:t>
      </w:r>
      <w:r w:rsidRPr="003F141B">
        <w:rPr>
          <w:lang w:val="en-CA"/>
        </w:rPr>
        <w:t xml:space="preserve">first ground of appeal, I would have found </w:t>
      </w:r>
      <w:r w:rsidR="000C6CD9">
        <w:rPr>
          <w:lang w:val="en-CA"/>
        </w:rPr>
        <w:t xml:space="preserve">its </w:t>
      </w:r>
      <w:r w:rsidR="00667EDC" w:rsidRPr="003F141B">
        <w:rPr>
          <w:lang w:val="en-CA"/>
        </w:rPr>
        <w:t xml:space="preserve">second ground of appeal well </w:t>
      </w:r>
      <w:r w:rsidRPr="003F141B">
        <w:rPr>
          <w:lang w:val="en-CA"/>
        </w:rPr>
        <w:t>founded and quashed the judge</w:t>
      </w:r>
      <w:r w:rsidR="003061CC">
        <w:rPr>
          <w:lang w:val="en-CA"/>
        </w:rPr>
        <w:t>’</w:t>
      </w:r>
      <w:r w:rsidRPr="003F141B">
        <w:rPr>
          <w:lang w:val="en-CA"/>
        </w:rPr>
        <w:t>s decision to exclude the evidence of the blood alcohol level test</w:t>
      </w:r>
      <w:r w:rsidR="00A27770">
        <w:rPr>
          <w:lang w:val="en-CA"/>
        </w:rPr>
        <w:t>s</w:t>
      </w:r>
      <w:r w:rsidRPr="003F141B">
        <w:rPr>
          <w:lang w:val="en-CA"/>
        </w:rPr>
        <w:t xml:space="preserve"> performed using the approved breathalyzer.</w:t>
      </w:r>
    </w:p>
    <w:p w14:paraId="0424732B" w14:textId="7154B321" w:rsidR="009130CA" w:rsidRPr="003F141B" w:rsidRDefault="00664B8B" w:rsidP="009130CA">
      <w:pPr>
        <w:pStyle w:val="Paragraphe"/>
        <w:spacing w:line="240" w:lineRule="auto"/>
        <w:rPr>
          <w:lang w:val="en-CA"/>
        </w:rPr>
      </w:pPr>
      <w:r w:rsidRPr="003F141B">
        <w:rPr>
          <w:lang w:val="en-CA"/>
        </w:rPr>
        <w:t>Last</w:t>
      </w:r>
      <w:r w:rsidR="00B02D8C">
        <w:rPr>
          <w:lang w:val="en-CA"/>
        </w:rPr>
        <w:t>ly</w:t>
      </w:r>
      <w:r w:rsidRPr="003F141B">
        <w:rPr>
          <w:lang w:val="en-CA"/>
        </w:rPr>
        <w:t xml:space="preserve">, in light of </w:t>
      </w:r>
      <w:r w:rsidRPr="003F141B">
        <w:rPr>
          <w:b/>
          <w:lang w:val="en-CA"/>
        </w:rPr>
        <w:t>(</w:t>
      </w:r>
      <w:proofErr w:type="spellStart"/>
      <w:r w:rsidRPr="003F141B">
        <w:rPr>
          <w:b/>
          <w:lang w:val="en-CA"/>
        </w:rPr>
        <w:t>i</w:t>
      </w:r>
      <w:proofErr w:type="spellEnd"/>
      <w:r w:rsidRPr="003F141B">
        <w:rPr>
          <w:b/>
          <w:lang w:val="en-CA"/>
        </w:rPr>
        <w:t>)</w:t>
      </w:r>
      <w:r w:rsidRPr="003F141B">
        <w:rPr>
          <w:lang w:val="en-CA"/>
        </w:rPr>
        <w:t xml:space="preserve"> my proposition to grant the appeal, </w:t>
      </w:r>
      <w:r w:rsidRPr="003F141B">
        <w:rPr>
          <w:b/>
          <w:lang w:val="en-CA"/>
        </w:rPr>
        <w:t>(ii)</w:t>
      </w:r>
      <w:r w:rsidRPr="003F141B">
        <w:rPr>
          <w:lang w:val="en-CA"/>
        </w:rPr>
        <w:t xml:space="preserve"> the respondent</w:t>
      </w:r>
      <w:r w:rsidR="003061CC">
        <w:rPr>
          <w:lang w:val="en-CA"/>
        </w:rPr>
        <w:t>’</w:t>
      </w:r>
      <w:r w:rsidRPr="003F141B">
        <w:rPr>
          <w:lang w:val="en-CA"/>
        </w:rPr>
        <w:t>s admission at trial concerning the validity of the results of his blood alcohol level test</w:t>
      </w:r>
      <w:r w:rsidR="00B02D8C">
        <w:rPr>
          <w:lang w:val="en-CA"/>
        </w:rPr>
        <w:t>s</w:t>
      </w:r>
      <w:r w:rsidRPr="003F141B">
        <w:rPr>
          <w:lang w:val="en-CA"/>
        </w:rPr>
        <w:t xml:space="preserve">, and </w:t>
      </w:r>
      <w:r w:rsidRPr="003F141B">
        <w:rPr>
          <w:b/>
          <w:lang w:val="en-CA"/>
        </w:rPr>
        <w:t>(iii)</w:t>
      </w:r>
      <w:r w:rsidRPr="003F141B">
        <w:rPr>
          <w:lang w:val="en-CA"/>
        </w:rPr>
        <w:t xml:space="preserve"> the legislative statement of the reliability and accuracy of the analysis of breath samples performed using an approved breathalyzer, I find that it is consistent with the proper administration of justice and judicial resources not to order a new trial and to find the respondent guilty of the following charge against him:</w:t>
      </w:r>
    </w:p>
    <w:p w14:paraId="3A4DC445" w14:textId="32D42A41" w:rsidR="00F04CDB" w:rsidRDefault="00F04CDB" w:rsidP="009130CA">
      <w:pPr>
        <w:pStyle w:val="Citationenretrait"/>
        <w:spacing w:line="240" w:lineRule="auto"/>
        <w:rPr>
          <w:lang w:val="en-CA"/>
        </w:rPr>
      </w:pPr>
      <w:r>
        <w:rPr>
          <w:lang w:val="en-CA"/>
        </w:rPr>
        <w:t>[</w:t>
      </w:r>
      <w:r w:rsidRPr="002E7C7B">
        <w:rPr>
          <w:smallCaps/>
          <w:lang w:val="en-CA"/>
        </w:rPr>
        <w:t>translation</w:t>
      </w:r>
      <w:r>
        <w:rPr>
          <w:lang w:val="en-CA"/>
        </w:rPr>
        <w:t>]</w:t>
      </w:r>
    </w:p>
    <w:p w14:paraId="0562E069" w14:textId="7D4DDD5E" w:rsidR="009130CA" w:rsidRPr="003F141B" w:rsidRDefault="00664B8B" w:rsidP="009130CA">
      <w:pPr>
        <w:pStyle w:val="Citationenretrait"/>
        <w:spacing w:line="240" w:lineRule="auto"/>
        <w:rPr>
          <w:lang w:val="en-CA"/>
        </w:rPr>
      </w:pPr>
      <w:r w:rsidRPr="003F141B">
        <w:rPr>
          <w:lang w:val="en-CA"/>
        </w:rPr>
        <w:t xml:space="preserve">On or about June 12, 2019, in Saguenay (Chicoutimi), district of Chicoutimi, did have a blood alcohol concentration </w:t>
      </w:r>
      <w:r w:rsidR="00323F37">
        <w:rPr>
          <w:lang w:val="en-CA"/>
        </w:rPr>
        <w:t xml:space="preserve">that is equal to or exceeds </w:t>
      </w:r>
      <w:r w:rsidRPr="003F141B">
        <w:rPr>
          <w:lang w:val="en-CA"/>
        </w:rPr>
        <w:t xml:space="preserve">80 mg of alcohol </w:t>
      </w:r>
      <w:r w:rsidR="00323F37">
        <w:rPr>
          <w:lang w:val="en-CA"/>
        </w:rPr>
        <w:t>in</w:t>
      </w:r>
      <w:r w:rsidRPr="003F141B">
        <w:rPr>
          <w:lang w:val="en-CA"/>
        </w:rPr>
        <w:t xml:space="preserve"> 100 mL of blood, within two hours after ceasing to operate a conveyance, </w:t>
      </w:r>
      <w:r w:rsidR="005C5084">
        <w:rPr>
          <w:lang w:val="en-CA"/>
        </w:rPr>
        <w:t>namely</w:t>
      </w:r>
      <w:r w:rsidRPr="003F141B">
        <w:rPr>
          <w:lang w:val="en-CA"/>
        </w:rPr>
        <w:t xml:space="preserve"> a motor vehicle, thereby committing </w:t>
      </w:r>
      <w:r w:rsidR="00335632">
        <w:rPr>
          <w:lang w:val="en-CA"/>
        </w:rPr>
        <w:t xml:space="preserve">the </w:t>
      </w:r>
      <w:r w:rsidRPr="003F141B">
        <w:rPr>
          <w:lang w:val="en-CA"/>
        </w:rPr>
        <w:t xml:space="preserve">indictable offence under </w:t>
      </w:r>
      <w:r w:rsidR="00147C72" w:rsidRPr="003F141B">
        <w:rPr>
          <w:lang w:val="en-CA"/>
        </w:rPr>
        <w:t>s.</w:t>
      </w:r>
      <w:r w:rsidRPr="003F141B">
        <w:rPr>
          <w:lang w:val="en-CA"/>
        </w:rPr>
        <w:t xml:space="preserve"> 320.14(1)</w:t>
      </w:r>
      <w:r w:rsidR="00335632">
        <w:rPr>
          <w:lang w:val="en-CA"/>
        </w:rPr>
        <w:t>(</w:t>
      </w:r>
      <w:r w:rsidRPr="003F141B">
        <w:rPr>
          <w:lang w:val="en-CA"/>
        </w:rPr>
        <w:t xml:space="preserve">b) – 320.19(1) of the </w:t>
      </w:r>
      <w:r w:rsidRPr="003F141B">
        <w:rPr>
          <w:i/>
          <w:lang w:val="en-CA"/>
        </w:rPr>
        <w:t>Criminal Code</w:t>
      </w:r>
      <w:r w:rsidRPr="003F141B">
        <w:rPr>
          <w:lang w:val="en-CA"/>
        </w:rPr>
        <w:t>.</w:t>
      </w:r>
    </w:p>
    <w:p w14:paraId="3D47E0EE" w14:textId="2F32698B" w:rsidR="009130CA" w:rsidRPr="003F141B" w:rsidRDefault="00274DD3" w:rsidP="009130CA">
      <w:pPr>
        <w:pStyle w:val="Paragraphe"/>
        <w:spacing w:line="240" w:lineRule="auto"/>
        <w:rPr>
          <w:szCs w:val="24"/>
          <w:lang w:val="en-CA"/>
        </w:rPr>
      </w:pPr>
      <w:r>
        <w:rPr>
          <w:szCs w:val="24"/>
          <w:lang w:val="en-CA"/>
        </w:rPr>
        <w:t xml:space="preserve">Moreover, </w:t>
      </w:r>
      <w:r w:rsidR="00664B8B" w:rsidRPr="003F141B">
        <w:rPr>
          <w:szCs w:val="24"/>
          <w:lang w:val="en-CA"/>
        </w:rPr>
        <w:t xml:space="preserve">I would </w:t>
      </w:r>
      <w:r w:rsidR="00B35BBE" w:rsidRPr="003F141B">
        <w:rPr>
          <w:szCs w:val="24"/>
          <w:lang w:val="en-CA"/>
        </w:rPr>
        <w:t xml:space="preserve">refer </w:t>
      </w:r>
      <w:r w:rsidR="00664B8B" w:rsidRPr="003F141B">
        <w:rPr>
          <w:szCs w:val="24"/>
          <w:lang w:val="en-CA"/>
        </w:rPr>
        <w:t xml:space="preserve">the case </w:t>
      </w:r>
      <w:r w:rsidR="00B35BBE" w:rsidRPr="003F141B">
        <w:rPr>
          <w:szCs w:val="24"/>
          <w:lang w:val="en-CA"/>
        </w:rPr>
        <w:t xml:space="preserve">back </w:t>
      </w:r>
      <w:r w:rsidR="00664B8B" w:rsidRPr="003F141B">
        <w:rPr>
          <w:szCs w:val="24"/>
          <w:lang w:val="en-CA"/>
        </w:rPr>
        <w:t>to the Court of Qu</w:t>
      </w:r>
      <w:r w:rsidR="00DB133D">
        <w:rPr>
          <w:szCs w:val="24"/>
          <w:lang w:val="en-CA"/>
        </w:rPr>
        <w:t>é</w:t>
      </w:r>
      <w:r w:rsidR="00664B8B" w:rsidRPr="003F141B">
        <w:rPr>
          <w:szCs w:val="24"/>
          <w:lang w:val="en-CA"/>
        </w:rPr>
        <w:t>bec for sentencing.</w:t>
      </w:r>
    </w:p>
    <w:tbl>
      <w:tblPr>
        <w:tblW w:w="0" w:type="auto"/>
        <w:tblLayout w:type="fixed"/>
        <w:tblCellMar>
          <w:left w:w="0" w:type="dxa"/>
          <w:right w:w="0" w:type="dxa"/>
        </w:tblCellMar>
        <w:tblLook w:val="0000" w:firstRow="0" w:lastRow="0" w:firstColumn="0" w:lastColumn="0" w:noHBand="0" w:noVBand="0"/>
      </w:tblPr>
      <w:tblGrid>
        <w:gridCol w:w="4735"/>
        <w:gridCol w:w="4625"/>
      </w:tblGrid>
      <w:tr w:rsidR="00966AF8" w:rsidRPr="003F141B" w14:paraId="7BA98074" w14:textId="77777777" w:rsidTr="009130CA">
        <w:trPr>
          <w:cantSplit/>
          <w:trHeight w:val="513"/>
        </w:trPr>
        <w:tc>
          <w:tcPr>
            <w:tcW w:w="9360" w:type="dxa"/>
            <w:gridSpan w:val="2"/>
          </w:tcPr>
          <w:p w14:paraId="098CDA90" w14:textId="77777777" w:rsidR="009130CA" w:rsidRPr="003F141B" w:rsidRDefault="009130CA" w:rsidP="009130CA">
            <w:pPr>
              <w:rPr>
                <w:lang w:val="en-CA"/>
              </w:rPr>
            </w:pPr>
          </w:p>
        </w:tc>
      </w:tr>
      <w:tr w:rsidR="00966AF8" w:rsidRPr="003F141B" w14:paraId="26AB2E77" w14:textId="77777777" w:rsidTr="009130CA">
        <w:trPr>
          <w:cantSplit/>
          <w:trHeight w:val="277"/>
        </w:trPr>
        <w:tc>
          <w:tcPr>
            <w:tcW w:w="4735" w:type="dxa"/>
            <w:vMerge w:val="restart"/>
          </w:tcPr>
          <w:p w14:paraId="30B1E08C" w14:textId="77777777" w:rsidR="009130CA" w:rsidRPr="003F141B" w:rsidRDefault="009130CA" w:rsidP="009130CA">
            <w:pPr>
              <w:rPr>
                <w:lang w:val="en-CA"/>
              </w:rPr>
            </w:pPr>
          </w:p>
        </w:tc>
        <w:tc>
          <w:tcPr>
            <w:tcW w:w="4625" w:type="dxa"/>
            <w:tcBorders>
              <w:bottom w:val="single" w:sz="8" w:space="0" w:color="auto"/>
            </w:tcBorders>
          </w:tcPr>
          <w:p w14:paraId="33001ED2" w14:textId="77777777" w:rsidR="009130CA" w:rsidRPr="003F141B" w:rsidRDefault="009130CA" w:rsidP="009130CA">
            <w:pPr>
              <w:rPr>
                <w:lang w:val="en-CA"/>
              </w:rPr>
            </w:pPr>
          </w:p>
        </w:tc>
      </w:tr>
      <w:tr w:rsidR="00966AF8" w:rsidRPr="003F141B" w14:paraId="011DB218" w14:textId="77777777" w:rsidTr="009130CA">
        <w:trPr>
          <w:cantSplit/>
          <w:trHeight w:val="276"/>
        </w:trPr>
        <w:tc>
          <w:tcPr>
            <w:tcW w:w="4735" w:type="dxa"/>
            <w:vMerge/>
          </w:tcPr>
          <w:p w14:paraId="10224C59" w14:textId="77777777" w:rsidR="009130CA" w:rsidRPr="003F141B" w:rsidRDefault="009130CA" w:rsidP="009130CA">
            <w:pPr>
              <w:rPr>
                <w:lang w:val="en-CA"/>
              </w:rPr>
            </w:pPr>
          </w:p>
        </w:tc>
        <w:tc>
          <w:tcPr>
            <w:tcW w:w="4625" w:type="dxa"/>
          </w:tcPr>
          <w:p w14:paraId="0ED79FE4" w14:textId="3C07D6C8" w:rsidR="009130CA" w:rsidRPr="003F141B" w:rsidRDefault="00865AE7" w:rsidP="00664B8B">
            <w:pPr>
              <w:rPr>
                <w:lang w:val="en-CA"/>
              </w:rPr>
            </w:pPr>
            <w:r w:rsidRPr="00865AE7">
              <w:rPr>
                <w:lang w:val="en-CA"/>
              </w:rPr>
              <w:t>MICHEL BEAUPRÉ, J.A.</w:t>
            </w:r>
          </w:p>
        </w:tc>
      </w:tr>
      <w:bookmarkEnd w:id="6"/>
    </w:tbl>
    <w:p w14:paraId="6B45E209" w14:textId="77777777" w:rsidR="009130CA" w:rsidRPr="003F141B" w:rsidRDefault="009130CA" w:rsidP="009130CA">
      <w:pPr>
        <w:rPr>
          <w:lang w:val="en-CA"/>
        </w:rPr>
        <w:sectPr w:rsidR="009130CA" w:rsidRPr="003F141B" w:rsidSect="009130CA">
          <w:headerReference w:type="even" r:id="rId14"/>
          <w:headerReference w:type="default" r:id="rId15"/>
          <w:footerReference w:type="even" r:id="rId16"/>
          <w:footerReference w:type="default" r:id="rId17"/>
          <w:headerReference w:type="first" r:id="rId18"/>
          <w:footerReference w:type="first" r:id="rId19"/>
          <w:pgSz w:w="12242" w:h="15842" w:code="1"/>
          <w:pgMar w:top="1440" w:right="1008" w:bottom="1440" w:left="1872" w:header="1440" w:footer="792" w:gutter="0"/>
          <w:cols w:space="720"/>
          <w:formProt w:val="0"/>
          <w:docGrid w:linePitch="326"/>
        </w:sectPr>
      </w:pPr>
    </w:p>
    <w:tbl>
      <w:tblPr>
        <w:tblW w:w="0" w:type="auto"/>
        <w:tblLayout w:type="fixed"/>
        <w:tblCellMar>
          <w:left w:w="0" w:type="dxa"/>
          <w:right w:w="0" w:type="dxa"/>
        </w:tblCellMar>
        <w:tblLook w:val="0000" w:firstRow="0" w:lastRow="0" w:firstColumn="0" w:lastColumn="0" w:noHBand="0" w:noVBand="0"/>
      </w:tblPr>
      <w:tblGrid>
        <w:gridCol w:w="9360"/>
      </w:tblGrid>
      <w:tr w:rsidR="00966AF8" w:rsidRPr="003F141B" w14:paraId="7FD68B27" w14:textId="77777777" w:rsidTr="009130CA">
        <w:tc>
          <w:tcPr>
            <w:tcW w:w="9360" w:type="dxa"/>
            <w:tcBorders>
              <w:bottom w:val="single" w:sz="8" w:space="0" w:color="auto"/>
            </w:tcBorders>
          </w:tcPr>
          <w:p w14:paraId="72FD709F" w14:textId="77777777" w:rsidR="009130CA" w:rsidRPr="003F141B" w:rsidRDefault="005003D8" w:rsidP="009130CA">
            <w:pPr>
              <w:rPr>
                <w:lang w:val="en-CA"/>
              </w:rPr>
            </w:pPr>
            <w:r w:rsidRPr="003F141B">
              <w:rPr>
                <w:lang w:val="en-CA"/>
              </w:rPr>
              <w:lastRenderedPageBreak/>
              <w:br w:type="page"/>
            </w:r>
          </w:p>
        </w:tc>
      </w:tr>
      <w:tr w:rsidR="00966AF8" w:rsidRPr="003F141B" w14:paraId="37631A42" w14:textId="77777777" w:rsidTr="009130CA">
        <w:tc>
          <w:tcPr>
            <w:tcW w:w="9360" w:type="dxa"/>
            <w:tcBorders>
              <w:top w:val="single" w:sz="8" w:space="0" w:color="auto"/>
            </w:tcBorders>
          </w:tcPr>
          <w:p w14:paraId="64A5600F" w14:textId="77777777" w:rsidR="009130CA" w:rsidRPr="003F141B" w:rsidRDefault="009130CA" w:rsidP="009130CA">
            <w:pPr>
              <w:rPr>
                <w:lang w:val="en-CA"/>
              </w:rPr>
            </w:pPr>
          </w:p>
        </w:tc>
      </w:tr>
      <w:tr w:rsidR="00966AF8" w:rsidRPr="003F141B" w14:paraId="5DD1E9DE" w14:textId="77777777" w:rsidTr="009130CA">
        <w:tc>
          <w:tcPr>
            <w:tcW w:w="9360" w:type="dxa"/>
          </w:tcPr>
          <w:p w14:paraId="6FF324A6" w14:textId="0E257171" w:rsidR="009130CA" w:rsidRPr="003F141B" w:rsidRDefault="008A79EE" w:rsidP="00803914">
            <w:pPr>
              <w:pStyle w:val="zSoquijlblOpinionJuge"/>
              <w:rPr>
                <w:lang w:val="en-CA"/>
              </w:rPr>
            </w:pPr>
            <w:bookmarkStart w:id="20" w:name="MotifJuge1"/>
            <w:r w:rsidRPr="008A79EE">
              <w:rPr>
                <w:lang w:val="en-CA"/>
              </w:rPr>
              <w:t>REASONS OF</w:t>
            </w:r>
            <w:r>
              <w:rPr>
                <w:lang w:val="en-CA"/>
              </w:rPr>
              <w:t xml:space="preserve"> </w:t>
            </w:r>
            <w:bookmarkEnd w:id="20"/>
            <w:r w:rsidR="00741BCE" w:rsidRPr="00741BCE">
              <w:rPr>
                <w:lang w:val="en-CA"/>
              </w:rPr>
              <w:t>GAGNÉ</w:t>
            </w:r>
            <w:r w:rsidR="00B35BBE" w:rsidRPr="003F141B">
              <w:rPr>
                <w:lang w:val="en-CA"/>
              </w:rPr>
              <w:t>,</w:t>
            </w:r>
            <w:r w:rsidR="00803914" w:rsidRPr="003F141B">
              <w:rPr>
                <w:lang w:val="en-CA"/>
              </w:rPr>
              <w:t xml:space="preserve"> J.A.</w:t>
            </w:r>
          </w:p>
        </w:tc>
      </w:tr>
      <w:tr w:rsidR="00966AF8" w:rsidRPr="003F141B" w14:paraId="4D23A457" w14:textId="77777777" w:rsidTr="009130CA">
        <w:tc>
          <w:tcPr>
            <w:tcW w:w="9360" w:type="dxa"/>
            <w:tcBorders>
              <w:bottom w:val="single" w:sz="8" w:space="0" w:color="auto"/>
            </w:tcBorders>
          </w:tcPr>
          <w:p w14:paraId="5905C356" w14:textId="77777777" w:rsidR="009130CA" w:rsidRPr="003F141B" w:rsidRDefault="009130CA" w:rsidP="009130CA">
            <w:pPr>
              <w:rPr>
                <w:lang w:val="en-CA"/>
              </w:rPr>
            </w:pPr>
          </w:p>
        </w:tc>
      </w:tr>
      <w:tr w:rsidR="00966AF8" w:rsidRPr="003F141B" w14:paraId="097214A4" w14:textId="77777777" w:rsidTr="009130CA">
        <w:tc>
          <w:tcPr>
            <w:tcW w:w="9360" w:type="dxa"/>
            <w:tcBorders>
              <w:top w:val="single" w:sz="8" w:space="0" w:color="auto"/>
            </w:tcBorders>
          </w:tcPr>
          <w:p w14:paraId="6B647F3C" w14:textId="77777777" w:rsidR="009130CA" w:rsidRPr="003F141B" w:rsidRDefault="009130CA" w:rsidP="009130CA">
            <w:pPr>
              <w:rPr>
                <w:lang w:val="en-CA"/>
              </w:rPr>
            </w:pPr>
          </w:p>
        </w:tc>
      </w:tr>
    </w:tbl>
    <w:p w14:paraId="788E8428" w14:textId="45FE2D90" w:rsidR="009130CA" w:rsidRPr="003F141B" w:rsidRDefault="00803914" w:rsidP="009130CA">
      <w:pPr>
        <w:pStyle w:val="sous-titreengras"/>
        <w:numPr>
          <w:ilvl w:val="0"/>
          <w:numId w:val="31"/>
        </w:numPr>
        <w:rPr>
          <w:lang w:val="en-CA"/>
        </w:rPr>
      </w:pPr>
      <w:r w:rsidRPr="003F141B">
        <w:rPr>
          <w:lang w:val="en-CA"/>
        </w:rPr>
        <w:t>Overview</w:t>
      </w:r>
    </w:p>
    <w:p w14:paraId="0E70F5A9" w14:textId="60911E48" w:rsidR="009130CA" w:rsidRPr="003F141B" w:rsidRDefault="00803914" w:rsidP="009130CA">
      <w:pPr>
        <w:pStyle w:val="Paragraphe"/>
        <w:spacing w:line="280" w:lineRule="exact"/>
        <w:rPr>
          <w:lang w:val="en-CA"/>
        </w:rPr>
      </w:pPr>
      <w:r w:rsidRPr="003F141B">
        <w:rPr>
          <w:lang w:val="en-CA"/>
        </w:rPr>
        <w:t xml:space="preserve">For over thirty years, the case law has recognized that </w:t>
      </w:r>
      <w:r w:rsidR="00147C72" w:rsidRPr="003F141B">
        <w:rPr>
          <w:lang w:val="en-CA"/>
        </w:rPr>
        <w:t>s.</w:t>
      </w:r>
      <w:r w:rsidRPr="003F141B">
        <w:rPr>
          <w:lang w:val="en-CA"/>
        </w:rPr>
        <w:t xml:space="preserve"> 10(b) of the </w:t>
      </w:r>
      <w:r w:rsidRPr="003F141B">
        <w:rPr>
          <w:i/>
          <w:lang w:val="en-CA"/>
        </w:rPr>
        <w:t>Charter</w:t>
      </w:r>
      <w:r w:rsidRPr="003F141B">
        <w:rPr>
          <w:lang w:val="en-CA"/>
        </w:rPr>
        <w:t xml:space="preserve"> guarantees </w:t>
      </w:r>
      <w:r w:rsidR="00B35BBE" w:rsidRPr="003F141B">
        <w:rPr>
          <w:lang w:val="en-CA"/>
        </w:rPr>
        <w:t xml:space="preserve">a </w:t>
      </w:r>
      <w:r w:rsidRPr="003F141B">
        <w:rPr>
          <w:lang w:val="en-CA"/>
        </w:rPr>
        <w:t>detained person a reasonable opportunity to consult counsel of choice.</w:t>
      </w:r>
      <w:r w:rsidR="005003D8" w:rsidRPr="003F141B">
        <w:rPr>
          <w:lang w:val="en-CA"/>
        </w:rPr>
        <w:t xml:space="preserve"> </w:t>
      </w:r>
      <w:r w:rsidR="00B35BBE" w:rsidRPr="003F141B">
        <w:rPr>
          <w:lang w:val="en-CA"/>
        </w:rPr>
        <w:t xml:space="preserve">Only if the lawyer chosen is not available within a reasonable time is the </w:t>
      </w:r>
      <w:r w:rsidRPr="003F141B">
        <w:rPr>
          <w:lang w:val="en-CA"/>
        </w:rPr>
        <w:t xml:space="preserve">detainee expected to exercise his or her right to retain </w:t>
      </w:r>
      <w:r w:rsidR="00012743" w:rsidRPr="003F141B">
        <w:rPr>
          <w:lang w:val="en-CA"/>
        </w:rPr>
        <w:t xml:space="preserve">and instruct </w:t>
      </w:r>
      <w:r w:rsidR="003F141B" w:rsidRPr="003F141B">
        <w:rPr>
          <w:lang w:val="en-CA"/>
        </w:rPr>
        <w:t>counsel by</w:t>
      </w:r>
      <w:r w:rsidR="00B35BBE" w:rsidRPr="003F141B">
        <w:rPr>
          <w:lang w:val="en-CA"/>
        </w:rPr>
        <w:t xml:space="preserve"> calling another lawyer</w:t>
      </w:r>
      <w:r w:rsidR="003F141B" w:rsidRPr="003F141B">
        <w:rPr>
          <w:lang w:val="en-CA"/>
        </w:rPr>
        <w:t>.</w:t>
      </w:r>
    </w:p>
    <w:p w14:paraId="1E8D0314" w14:textId="0E7791EB" w:rsidR="009130CA" w:rsidRPr="003F141B" w:rsidRDefault="00803914" w:rsidP="009130CA">
      <w:pPr>
        <w:pStyle w:val="Paragraphe"/>
        <w:spacing w:line="280" w:lineRule="exact"/>
        <w:rPr>
          <w:lang w:val="en-CA"/>
        </w:rPr>
      </w:pPr>
      <w:r w:rsidRPr="003F141B">
        <w:rPr>
          <w:lang w:val="en-CA"/>
        </w:rPr>
        <w:t xml:space="preserve">When police officers </w:t>
      </w:r>
      <w:r w:rsidR="00B35BBE" w:rsidRPr="003F141B">
        <w:rPr>
          <w:lang w:val="en-CA"/>
        </w:rPr>
        <w:t xml:space="preserve">take responsibility for </w:t>
      </w:r>
      <w:r w:rsidRPr="003F141B">
        <w:rPr>
          <w:lang w:val="en-CA"/>
        </w:rPr>
        <w:t>establish</w:t>
      </w:r>
      <w:r w:rsidR="00B35BBE" w:rsidRPr="003F141B">
        <w:rPr>
          <w:lang w:val="en-CA"/>
        </w:rPr>
        <w:t>ing</w:t>
      </w:r>
      <w:r w:rsidRPr="003F141B">
        <w:rPr>
          <w:lang w:val="en-CA"/>
        </w:rPr>
        <w:t xml:space="preserve"> contact with the chosen lawyer – by looking up the telephone number, dialing it, leaving a voicemail message or not – the obligation of </w:t>
      </w:r>
      <w:r w:rsidR="00B35BBE" w:rsidRPr="003F141B">
        <w:rPr>
          <w:lang w:val="en-CA"/>
        </w:rPr>
        <w:t>reasonable</w:t>
      </w:r>
      <w:r w:rsidRPr="003F141B">
        <w:rPr>
          <w:lang w:val="en-CA"/>
        </w:rPr>
        <w:t xml:space="preserve"> diligence that is normally incumbent on the detainee falls to them because the detained person no longer has any means of discharging it.</w:t>
      </w:r>
    </w:p>
    <w:p w14:paraId="22BBCFF6" w14:textId="012C57E2" w:rsidR="009130CA" w:rsidRPr="003F141B" w:rsidRDefault="00803914" w:rsidP="009130CA">
      <w:pPr>
        <w:pStyle w:val="Paragraphe"/>
        <w:spacing w:line="280" w:lineRule="exact"/>
        <w:rPr>
          <w:lang w:val="en-CA"/>
        </w:rPr>
      </w:pPr>
      <w:r w:rsidRPr="003F141B">
        <w:rPr>
          <w:lang w:val="en-CA"/>
        </w:rPr>
        <w:t xml:space="preserve">It is on this point that my opinion </w:t>
      </w:r>
      <w:r w:rsidR="00012743" w:rsidRPr="003F141B">
        <w:rPr>
          <w:lang w:val="en-CA"/>
        </w:rPr>
        <w:t>differs</w:t>
      </w:r>
      <w:r w:rsidRPr="003F141B">
        <w:rPr>
          <w:lang w:val="en-CA"/>
        </w:rPr>
        <w:t xml:space="preserve"> from that of my colleague Beaupré</w:t>
      </w:r>
      <w:r w:rsidR="00B35BBE" w:rsidRPr="003F141B">
        <w:rPr>
          <w:lang w:val="en-CA"/>
        </w:rPr>
        <w:t>,</w:t>
      </w:r>
      <w:r w:rsidRPr="003F141B">
        <w:rPr>
          <w:lang w:val="en-CA"/>
        </w:rPr>
        <w:t xml:space="preserve"> J.A.</w:t>
      </w:r>
      <w:r w:rsidR="005003D8" w:rsidRPr="003F141B">
        <w:rPr>
          <w:lang w:val="en-CA"/>
        </w:rPr>
        <w:t xml:space="preserve"> </w:t>
      </w:r>
      <w:r w:rsidRPr="003F141B">
        <w:rPr>
          <w:lang w:val="en-CA"/>
        </w:rPr>
        <w:t>Despite some inaccuracies in the evidence, in my view the trial judge correctly found that the police officers had not made the necessary effort</w:t>
      </w:r>
      <w:r w:rsidR="00012743" w:rsidRPr="003F141B">
        <w:rPr>
          <w:lang w:val="en-CA"/>
        </w:rPr>
        <w:t>s</w:t>
      </w:r>
      <w:r w:rsidRPr="003F141B">
        <w:rPr>
          <w:lang w:val="en-CA"/>
        </w:rPr>
        <w:t xml:space="preserve"> to reach the lawyers chosen by the respondent and that he was thereby deprived of a reasonable opportunity to contact them.</w:t>
      </w:r>
      <w:r w:rsidR="005003D8" w:rsidRPr="003F141B">
        <w:rPr>
          <w:lang w:val="en-CA"/>
        </w:rPr>
        <w:t xml:space="preserve"> </w:t>
      </w:r>
      <w:r w:rsidRPr="003F141B">
        <w:rPr>
          <w:lang w:val="en-CA"/>
        </w:rPr>
        <w:t xml:space="preserve">The fact that the respondent agreed to call a legal aid lawyer – without, however, being informed that he could wait a reasonable amount of time for his lawyers to answer – does not alter the fact that his right to </w:t>
      </w:r>
      <w:r w:rsidR="00012743" w:rsidRPr="003F141B">
        <w:rPr>
          <w:lang w:val="en-CA"/>
        </w:rPr>
        <w:t xml:space="preserve">retain and instruct </w:t>
      </w:r>
      <w:r w:rsidRPr="003F141B">
        <w:rPr>
          <w:lang w:val="en-CA"/>
        </w:rPr>
        <w:t>his counsel of choice was infringed.</w:t>
      </w:r>
    </w:p>
    <w:p w14:paraId="1A25E4F7" w14:textId="5F87D6B1" w:rsidR="009130CA" w:rsidRPr="003F141B" w:rsidRDefault="008304D2" w:rsidP="009130CA">
      <w:pPr>
        <w:pStyle w:val="Paragraphe"/>
        <w:spacing w:line="280" w:lineRule="exact"/>
        <w:rPr>
          <w:lang w:val="en-CA"/>
        </w:rPr>
      </w:pPr>
      <w:r>
        <w:rPr>
          <w:lang w:val="en-CA"/>
        </w:rPr>
        <w:t xml:space="preserve">As for </w:t>
      </w:r>
      <w:r w:rsidR="00803914" w:rsidRPr="003F141B">
        <w:rPr>
          <w:lang w:val="en-CA"/>
        </w:rPr>
        <w:t>the trial judge</w:t>
      </w:r>
      <w:r w:rsidR="003061CC">
        <w:rPr>
          <w:lang w:val="en-CA"/>
        </w:rPr>
        <w:t>’</w:t>
      </w:r>
      <w:r w:rsidR="00803914" w:rsidRPr="003F141B">
        <w:rPr>
          <w:lang w:val="en-CA"/>
        </w:rPr>
        <w:t xml:space="preserve">s decision to set aside the evidence pursuant to </w:t>
      </w:r>
      <w:r w:rsidR="00147C72" w:rsidRPr="003F141B">
        <w:rPr>
          <w:lang w:val="en-CA"/>
        </w:rPr>
        <w:t>s.</w:t>
      </w:r>
      <w:r w:rsidR="00803914" w:rsidRPr="003F141B">
        <w:rPr>
          <w:lang w:val="en-CA"/>
        </w:rPr>
        <w:t xml:space="preserve"> 24(2) of the </w:t>
      </w:r>
      <w:r w:rsidR="00803914" w:rsidRPr="003F141B">
        <w:rPr>
          <w:i/>
          <w:lang w:val="en-CA"/>
        </w:rPr>
        <w:t>Charter</w:t>
      </w:r>
      <w:r>
        <w:rPr>
          <w:iCs/>
          <w:lang w:val="en-CA"/>
        </w:rPr>
        <w:t>, t</w:t>
      </w:r>
      <w:r w:rsidRPr="003F141B">
        <w:rPr>
          <w:lang w:val="en-CA"/>
        </w:rPr>
        <w:t>he appellant has not convinced me that it is necessary to intervene</w:t>
      </w:r>
      <w:r w:rsidR="00803914" w:rsidRPr="003F141B">
        <w:rPr>
          <w:lang w:val="en-CA"/>
        </w:rPr>
        <w:t>.</w:t>
      </w:r>
      <w:r w:rsidR="005003D8" w:rsidRPr="003F141B">
        <w:rPr>
          <w:lang w:val="en-CA"/>
        </w:rPr>
        <w:t xml:space="preserve"> </w:t>
      </w:r>
      <w:r w:rsidR="00803914" w:rsidRPr="003F141B">
        <w:rPr>
          <w:lang w:val="en-CA"/>
        </w:rPr>
        <w:t>The judge examined the correct elements and did not reach an unreasonable conclusion.</w:t>
      </w:r>
      <w:r w:rsidR="005003D8" w:rsidRPr="003F141B">
        <w:rPr>
          <w:lang w:val="en-CA"/>
        </w:rPr>
        <w:t xml:space="preserve"> </w:t>
      </w:r>
      <w:r w:rsidR="00803914" w:rsidRPr="003F141B">
        <w:rPr>
          <w:lang w:val="en-CA"/>
        </w:rPr>
        <w:t xml:space="preserve">The Court must </w:t>
      </w:r>
      <w:r w:rsidR="000911FC" w:rsidRPr="003F141B">
        <w:rPr>
          <w:lang w:val="en-CA"/>
        </w:rPr>
        <w:t xml:space="preserve">therefore </w:t>
      </w:r>
      <w:r w:rsidR="00803914" w:rsidRPr="003F141B">
        <w:rPr>
          <w:lang w:val="en-CA"/>
        </w:rPr>
        <w:t xml:space="preserve">show great deference </w:t>
      </w:r>
      <w:r w:rsidR="002D6535">
        <w:rPr>
          <w:lang w:val="en-CA"/>
        </w:rPr>
        <w:t xml:space="preserve">to </w:t>
      </w:r>
      <w:r w:rsidR="00803914" w:rsidRPr="003F141B">
        <w:rPr>
          <w:lang w:val="en-CA"/>
        </w:rPr>
        <w:t>her decision.</w:t>
      </w:r>
    </w:p>
    <w:p w14:paraId="3ACD8DFB" w14:textId="2DFEBB30" w:rsidR="009130CA" w:rsidRPr="003F141B" w:rsidRDefault="00803914" w:rsidP="009130CA">
      <w:pPr>
        <w:pStyle w:val="sous-titreengras"/>
        <w:numPr>
          <w:ilvl w:val="0"/>
          <w:numId w:val="31"/>
        </w:numPr>
        <w:rPr>
          <w:lang w:val="en-CA"/>
        </w:rPr>
      </w:pPr>
      <w:r w:rsidRPr="003F141B">
        <w:rPr>
          <w:lang w:val="en-CA"/>
        </w:rPr>
        <w:t>The right to counsel of choice</w:t>
      </w:r>
    </w:p>
    <w:p w14:paraId="7ACC9D23" w14:textId="479B01DA" w:rsidR="009130CA" w:rsidRPr="003F141B" w:rsidRDefault="00803914" w:rsidP="009130CA">
      <w:pPr>
        <w:pStyle w:val="Paragraphe"/>
        <w:spacing w:line="280" w:lineRule="exact"/>
        <w:rPr>
          <w:lang w:val="en-CA"/>
        </w:rPr>
      </w:pPr>
      <w:r w:rsidRPr="003F141B">
        <w:rPr>
          <w:lang w:val="en-CA"/>
        </w:rPr>
        <w:t xml:space="preserve">I will </w:t>
      </w:r>
      <w:r w:rsidR="00D33523">
        <w:rPr>
          <w:lang w:val="en-CA"/>
        </w:rPr>
        <w:t xml:space="preserve">begin with </w:t>
      </w:r>
      <w:r w:rsidRPr="003F141B">
        <w:rPr>
          <w:lang w:val="en-CA"/>
        </w:rPr>
        <w:t xml:space="preserve">a brief overview of the case law on the right to </w:t>
      </w:r>
      <w:r w:rsidR="00012743" w:rsidRPr="003F141B">
        <w:rPr>
          <w:lang w:val="en-CA"/>
        </w:rPr>
        <w:t xml:space="preserve">retain and instruct </w:t>
      </w:r>
      <w:r w:rsidRPr="003F141B">
        <w:rPr>
          <w:lang w:val="en-CA"/>
        </w:rPr>
        <w:t xml:space="preserve">counsel of choice and on the </w:t>
      </w:r>
      <w:r w:rsidR="00012743" w:rsidRPr="003F141B">
        <w:rPr>
          <w:lang w:val="en-CA"/>
        </w:rPr>
        <w:t>detainee</w:t>
      </w:r>
      <w:r w:rsidR="003061CC">
        <w:rPr>
          <w:lang w:val="en-CA"/>
        </w:rPr>
        <w:t>’</w:t>
      </w:r>
      <w:r w:rsidR="00012743" w:rsidRPr="003F141B">
        <w:rPr>
          <w:lang w:val="en-CA"/>
        </w:rPr>
        <w:t xml:space="preserve">s </w:t>
      </w:r>
      <w:r w:rsidRPr="003F141B">
        <w:rPr>
          <w:lang w:val="en-CA"/>
        </w:rPr>
        <w:t xml:space="preserve">obligation of diligence, and then examine whether the respondent benefitted in this case from a reasonable opportunity to </w:t>
      </w:r>
      <w:r w:rsidR="000911FC" w:rsidRPr="003F141B">
        <w:rPr>
          <w:lang w:val="en-CA"/>
        </w:rPr>
        <w:t xml:space="preserve">communicate with </w:t>
      </w:r>
      <w:r w:rsidRPr="003F141B">
        <w:rPr>
          <w:lang w:val="en-CA"/>
        </w:rPr>
        <w:t>one of his lawyers.</w:t>
      </w:r>
    </w:p>
    <w:p w14:paraId="16B54872" w14:textId="401B6B01" w:rsidR="009130CA" w:rsidRPr="003F141B" w:rsidRDefault="00803914" w:rsidP="009130CA">
      <w:pPr>
        <w:pStyle w:val="Sous-titrelettremajusculeenitalique"/>
        <w:keepNext/>
        <w:numPr>
          <w:ilvl w:val="0"/>
          <w:numId w:val="29"/>
        </w:numPr>
        <w:spacing w:line="280" w:lineRule="exact"/>
        <w:ind w:left="714" w:hanging="357"/>
        <w:rPr>
          <w:lang w:val="en-CA"/>
        </w:rPr>
      </w:pPr>
      <w:r w:rsidRPr="003F141B">
        <w:rPr>
          <w:lang w:val="en-CA"/>
        </w:rPr>
        <w:t>Brief overview of the case law</w:t>
      </w:r>
    </w:p>
    <w:p w14:paraId="43A8F34A" w14:textId="21C0DC39" w:rsidR="009130CA" w:rsidRPr="003F141B" w:rsidRDefault="00803914" w:rsidP="009130CA">
      <w:pPr>
        <w:pStyle w:val="Paragraphe"/>
        <w:spacing w:line="280" w:lineRule="exact"/>
        <w:rPr>
          <w:lang w:val="en-CA"/>
        </w:rPr>
      </w:pPr>
      <w:r w:rsidRPr="003F141B">
        <w:rPr>
          <w:lang w:val="en-CA"/>
        </w:rPr>
        <w:t xml:space="preserve">The first decisions on the right to </w:t>
      </w:r>
      <w:r w:rsidR="00012743" w:rsidRPr="003F141B">
        <w:rPr>
          <w:lang w:val="en-CA"/>
        </w:rPr>
        <w:t xml:space="preserve">retain and instruct </w:t>
      </w:r>
      <w:r w:rsidRPr="003F141B">
        <w:rPr>
          <w:lang w:val="en-CA"/>
        </w:rPr>
        <w:t>counsel of choice date back to 1989.</w:t>
      </w:r>
      <w:r w:rsidR="005003D8" w:rsidRPr="003F141B">
        <w:rPr>
          <w:lang w:val="en-CA"/>
        </w:rPr>
        <w:t xml:space="preserve"> </w:t>
      </w:r>
      <w:r w:rsidR="006C1CB6" w:rsidRPr="003F141B">
        <w:rPr>
          <w:lang w:val="en-CA"/>
        </w:rPr>
        <w:t xml:space="preserve">At the time, the Supreme Court recognized that </w:t>
      </w:r>
      <w:r w:rsidR="00081775">
        <w:rPr>
          <w:lang w:val="en-CA"/>
        </w:rPr>
        <w:t>“</w:t>
      </w:r>
      <w:r w:rsidRPr="003F141B">
        <w:rPr>
          <w:lang w:val="en-CA"/>
        </w:rPr>
        <w:t xml:space="preserve">accused or detained persons have a right to choose their counsel and it is only if the lawyer chosen cannot be available within a reasonable time that the detainee or the accused should be expected to exercise </w:t>
      </w:r>
      <w:r w:rsidRPr="003F141B">
        <w:rPr>
          <w:lang w:val="en-CA"/>
        </w:rPr>
        <w:lastRenderedPageBreak/>
        <w:t xml:space="preserve">the right to </w:t>
      </w:r>
      <w:r w:rsidR="00012743" w:rsidRPr="003F141B">
        <w:rPr>
          <w:lang w:val="en-CA"/>
        </w:rPr>
        <w:t xml:space="preserve">retain and instruct </w:t>
      </w:r>
      <w:r w:rsidRPr="003F141B">
        <w:rPr>
          <w:lang w:val="en-CA"/>
        </w:rPr>
        <w:t>counsel by calling another lawyer</w:t>
      </w:r>
      <w:r w:rsidR="00081775">
        <w:rPr>
          <w:lang w:val="en-CA"/>
        </w:rPr>
        <w:t>”</w:t>
      </w:r>
      <w:r w:rsidR="006C1CB6" w:rsidRPr="003F141B">
        <w:rPr>
          <w:lang w:val="en-CA"/>
        </w:rPr>
        <w:t>:</w:t>
      </w:r>
      <w:r w:rsidR="005003D8" w:rsidRPr="003F141B">
        <w:rPr>
          <w:lang w:val="en-CA"/>
        </w:rPr>
        <w:t xml:space="preserve"> </w:t>
      </w:r>
      <w:r w:rsidRPr="003F141B">
        <w:rPr>
          <w:i/>
          <w:lang w:val="en-CA"/>
        </w:rPr>
        <w:t>R. v. Ross</w:t>
      </w:r>
      <w:r w:rsidRPr="003F141B">
        <w:rPr>
          <w:lang w:val="en-CA"/>
        </w:rPr>
        <w:t>, [1989] 1 S.C.R. 3</w:t>
      </w:r>
      <w:r w:rsidR="00005F6D">
        <w:rPr>
          <w:lang w:val="en-CA"/>
        </w:rPr>
        <w:t>, p</w:t>
      </w:r>
      <w:r w:rsidRPr="003F141B">
        <w:rPr>
          <w:lang w:val="en-CA"/>
        </w:rPr>
        <w:t>.</w:t>
      </w:r>
      <w:r w:rsidR="005003D8" w:rsidRPr="003F141B">
        <w:rPr>
          <w:lang w:val="en-CA"/>
        </w:rPr>
        <w:t xml:space="preserve"> </w:t>
      </w:r>
      <w:r w:rsidRPr="003F141B">
        <w:rPr>
          <w:lang w:val="en-CA"/>
        </w:rPr>
        <w:t>11;</w:t>
      </w:r>
      <w:r w:rsidR="005003D8" w:rsidRPr="003F141B">
        <w:rPr>
          <w:lang w:val="en-CA"/>
        </w:rPr>
        <w:t xml:space="preserve"> </w:t>
      </w:r>
      <w:r w:rsidR="006C1CB6" w:rsidRPr="003F141B">
        <w:rPr>
          <w:lang w:val="en-CA"/>
        </w:rPr>
        <w:t>s</w:t>
      </w:r>
      <w:r w:rsidRPr="003F141B">
        <w:rPr>
          <w:lang w:val="en-CA"/>
        </w:rPr>
        <w:t>ee also:</w:t>
      </w:r>
      <w:r w:rsidR="005003D8" w:rsidRPr="003F141B">
        <w:rPr>
          <w:lang w:val="en-CA"/>
        </w:rPr>
        <w:t xml:space="preserve"> </w:t>
      </w:r>
      <w:r w:rsidRPr="003F141B">
        <w:rPr>
          <w:i/>
          <w:lang w:val="en-CA"/>
        </w:rPr>
        <w:t>R. v. Black</w:t>
      </w:r>
      <w:r w:rsidRPr="003F141B">
        <w:rPr>
          <w:lang w:val="en-CA"/>
        </w:rPr>
        <w:t>, [1989] 2 S.C.R.</w:t>
      </w:r>
      <w:r w:rsidR="005003D8" w:rsidRPr="003F141B">
        <w:rPr>
          <w:lang w:val="en-CA"/>
        </w:rPr>
        <w:t xml:space="preserve"> </w:t>
      </w:r>
      <w:r w:rsidRPr="003F141B">
        <w:rPr>
          <w:lang w:val="en-CA"/>
        </w:rPr>
        <w:t>138</w:t>
      </w:r>
      <w:r w:rsidR="00C0473B">
        <w:rPr>
          <w:lang w:val="en-CA"/>
        </w:rPr>
        <w:t>,</w:t>
      </w:r>
      <w:r w:rsidRPr="003F141B">
        <w:rPr>
          <w:lang w:val="en-CA"/>
        </w:rPr>
        <w:t xml:space="preserve"> </w:t>
      </w:r>
      <w:r w:rsidR="00C0473B">
        <w:rPr>
          <w:lang w:val="en-CA"/>
        </w:rPr>
        <w:t>p.</w:t>
      </w:r>
      <w:r w:rsidRPr="003F141B">
        <w:rPr>
          <w:lang w:val="en-CA"/>
        </w:rPr>
        <w:t xml:space="preserve"> 155.</w:t>
      </w:r>
    </w:p>
    <w:p w14:paraId="438A285D" w14:textId="21B54948" w:rsidR="009130CA" w:rsidRPr="003F141B" w:rsidRDefault="009D5360" w:rsidP="009130CA">
      <w:pPr>
        <w:pStyle w:val="Paragraphe"/>
        <w:spacing w:line="280" w:lineRule="exact"/>
        <w:rPr>
          <w:lang w:val="en-CA"/>
        </w:rPr>
      </w:pPr>
      <w:r>
        <w:rPr>
          <w:lang w:val="en-CA"/>
        </w:rPr>
        <w:t>Some t</w:t>
      </w:r>
      <w:r w:rsidR="00BC2B52" w:rsidRPr="003F141B">
        <w:rPr>
          <w:lang w:val="en-CA"/>
        </w:rPr>
        <w:t xml:space="preserve">wenty years later, a Supreme Court trilogy </w:t>
      </w:r>
      <w:r w:rsidR="006C1CB6" w:rsidRPr="003F141B">
        <w:rPr>
          <w:lang w:val="en-CA"/>
        </w:rPr>
        <w:t xml:space="preserve">defined </w:t>
      </w:r>
      <w:r w:rsidR="00BC2B52" w:rsidRPr="003F141B">
        <w:rPr>
          <w:lang w:val="en-CA"/>
        </w:rPr>
        <w:t>the nature and limit</w:t>
      </w:r>
      <w:r w:rsidR="00012743" w:rsidRPr="003F141B">
        <w:rPr>
          <w:lang w:val="en-CA"/>
        </w:rPr>
        <w:t>s</w:t>
      </w:r>
      <w:r w:rsidR="00BC2B52" w:rsidRPr="003F141B">
        <w:rPr>
          <w:lang w:val="en-CA"/>
        </w:rPr>
        <w:t xml:space="preserve"> of the right to </w:t>
      </w:r>
      <w:r w:rsidR="00012743" w:rsidRPr="003F141B">
        <w:rPr>
          <w:lang w:val="en-CA"/>
        </w:rPr>
        <w:t xml:space="preserve">retain and instruct </w:t>
      </w:r>
      <w:r w:rsidR="00BC2B52" w:rsidRPr="003F141B">
        <w:rPr>
          <w:lang w:val="en-CA"/>
        </w:rPr>
        <w:t xml:space="preserve">counsel guaranteed by </w:t>
      </w:r>
      <w:r w:rsidR="00147C72" w:rsidRPr="003F141B">
        <w:rPr>
          <w:lang w:val="en-CA"/>
        </w:rPr>
        <w:t>s.</w:t>
      </w:r>
      <w:r w:rsidR="00BC2B52" w:rsidRPr="003F141B">
        <w:rPr>
          <w:lang w:val="en-CA"/>
        </w:rPr>
        <w:t xml:space="preserve"> 10(b) of the </w:t>
      </w:r>
      <w:r w:rsidR="00BC2B52" w:rsidRPr="003F141B">
        <w:rPr>
          <w:i/>
          <w:lang w:val="en-CA"/>
        </w:rPr>
        <w:t>Charter</w:t>
      </w:r>
      <w:r w:rsidR="00BC2B52" w:rsidRPr="003F141B">
        <w:rPr>
          <w:lang w:val="en-CA"/>
        </w:rPr>
        <w:t>:</w:t>
      </w:r>
      <w:r w:rsidR="005003D8" w:rsidRPr="003F141B">
        <w:rPr>
          <w:lang w:val="en-CA"/>
        </w:rPr>
        <w:t xml:space="preserve"> </w:t>
      </w:r>
      <w:r w:rsidR="00BC2B52" w:rsidRPr="003F141B">
        <w:rPr>
          <w:i/>
          <w:lang w:val="en-CA"/>
        </w:rPr>
        <w:t>R. v. Sinclair</w:t>
      </w:r>
      <w:r w:rsidR="00BC2B52" w:rsidRPr="003F141B">
        <w:rPr>
          <w:lang w:val="en-CA"/>
        </w:rPr>
        <w:t>, 2010 SCC 35, [2010] 2 S.C.R. 310</w:t>
      </w:r>
      <w:r w:rsidR="005003D8" w:rsidRPr="003F141B">
        <w:rPr>
          <w:lang w:val="en-CA"/>
        </w:rPr>
        <w:t xml:space="preserve">; </w:t>
      </w:r>
      <w:r w:rsidR="00BC2B52" w:rsidRPr="003F141B">
        <w:rPr>
          <w:i/>
          <w:lang w:val="en-CA"/>
        </w:rPr>
        <w:t>R. v. McCrimmon</w:t>
      </w:r>
      <w:r w:rsidR="00BC2B52" w:rsidRPr="003F141B">
        <w:rPr>
          <w:lang w:val="en-CA"/>
        </w:rPr>
        <w:t xml:space="preserve">, 2010 SCC 36, [2010] 2 S.C.R. </w:t>
      </w:r>
      <w:r w:rsidR="005003D8" w:rsidRPr="003F141B">
        <w:rPr>
          <w:lang w:val="en-CA"/>
        </w:rPr>
        <w:t xml:space="preserve"> 402; </w:t>
      </w:r>
      <w:r w:rsidR="00BC2B52" w:rsidRPr="003F141B">
        <w:rPr>
          <w:i/>
          <w:lang w:val="en-CA"/>
        </w:rPr>
        <w:t>R. v. Willier</w:t>
      </w:r>
      <w:r w:rsidR="00BC2B52" w:rsidRPr="003F141B">
        <w:rPr>
          <w:lang w:val="en-CA"/>
        </w:rPr>
        <w:t xml:space="preserve">, 2010 SCC 37, [2010] 2 S.C.R. </w:t>
      </w:r>
      <w:r w:rsidR="005003D8" w:rsidRPr="003F141B">
        <w:rPr>
          <w:lang w:val="en-CA"/>
        </w:rPr>
        <w:t xml:space="preserve">429. </w:t>
      </w:r>
      <w:r w:rsidR="00BC2B52" w:rsidRPr="003F141B">
        <w:rPr>
          <w:lang w:val="en-CA"/>
        </w:rPr>
        <w:t>This last decision specifically addresses the</w:t>
      </w:r>
      <w:r w:rsidR="00012743" w:rsidRPr="003F141B">
        <w:rPr>
          <w:lang w:val="en-CA"/>
        </w:rPr>
        <w:t xml:space="preserve"> </w:t>
      </w:r>
      <w:r w:rsidR="006C1CB6" w:rsidRPr="003F141B">
        <w:rPr>
          <w:lang w:val="en-CA"/>
        </w:rPr>
        <w:t xml:space="preserve">aspect of the guarantee pertaining to the </w:t>
      </w:r>
      <w:r w:rsidR="00BC2B52" w:rsidRPr="003F141B">
        <w:rPr>
          <w:lang w:val="en-CA"/>
        </w:rPr>
        <w:t xml:space="preserve">right to </w:t>
      </w:r>
      <w:r w:rsidR="00012743" w:rsidRPr="003F141B">
        <w:rPr>
          <w:lang w:val="en-CA"/>
        </w:rPr>
        <w:t xml:space="preserve">retain and instruct </w:t>
      </w:r>
      <w:r w:rsidR="00BC2B52" w:rsidRPr="003F141B">
        <w:rPr>
          <w:lang w:val="en-CA"/>
        </w:rPr>
        <w:t>counsel of choice.</w:t>
      </w:r>
    </w:p>
    <w:p w14:paraId="263B4064" w14:textId="409C2F1C" w:rsidR="009130CA" w:rsidRPr="003F141B" w:rsidRDefault="00BC2B52" w:rsidP="009130CA">
      <w:pPr>
        <w:pStyle w:val="Paragraphe"/>
        <w:spacing w:line="280" w:lineRule="exact"/>
        <w:rPr>
          <w:lang w:val="en-CA"/>
        </w:rPr>
      </w:pPr>
      <w:r w:rsidRPr="003F141B">
        <w:rPr>
          <w:lang w:val="en-CA"/>
        </w:rPr>
        <w:t xml:space="preserve">It is useful to reproduce the summary of the facts in </w:t>
      </w:r>
      <w:r w:rsidRPr="003F141B">
        <w:rPr>
          <w:i/>
          <w:lang w:val="en-CA"/>
        </w:rPr>
        <w:t>Willier</w:t>
      </w:r>
      <w:r w:rsidRPr="003F141B">
        <w:rPr>
          <w:lang w:val="en-CA"/>
        </w:rPr>
        <w:t>:</w:t>
      </w:r>
    </w:p>
    <w:p w14:paraId="4A22168B" w14:textId="42C908A0" w:rsidR="009130CA" w:rsidRPr="003F141B" w:rsidRDefault="00BC2B52" w:rsidP="009130CA">
      <w:pPr>
        <w:pStyle w:val="Citationenretrait"/>
        <w:rPr>
          <w:lang w:val="en-CA"/>
        </w:rPr>
      </w:pPr>
      <w:r w:rsidRPr="003F141B">
        <w:rPr>
          <w:shd w:val="clear" w:color="auto" w:fill="FFFFFF"/>
          <w:lang w:val="en-CA"/>
        </w:rPr>
        <w:t xml:space="preserve">[2] The appellant, Stanley Willier, alleges that the police violated the </w:t>
      </w:r>
      <w:r w:rsidRPr="003F141B">
        <w:rPr>
          <w:i/>
          <w:shd w:val="clear" w:color="auto" w:fill="FFFFFF"/>
          <w:lang w:val="en-CA"/>
        </w:rPr>
        <w:t>Charter</w:t>
      </w:r>
      <w:r w:rsidRPr="003F141B">
        <w:rPr>
          <w:shd w:val="clear" w:color="auto" w:fill="FFFFFF"/>
          <w:lang w:val="en-CA"/>
        </w:rPr>
        <w:t xml:space="preserve"> by depriving him of his right to counsel.</w:t>
      </w:r>
      <w:r w:rsidR="005003D8" w:rsidRPr="003F141B">
        <w:rPr>
          <w:shd w:val="clear" w:color="auto" w:fill="FFFFFF"/>
          <w:lang w:val="en-CA"/>
        </w:rPr>
        <w:t xml:space="preserve"> </w:t>
      </w:r>
      <w:r w:rsidR="00382D4B" w:rsidRPr="003F141B">
        <w:rPr>
          <w:shd w:val="clear" w:color="auto" w:fill="FFFFFF"/>
          <w:lang w:val="en-CA"/>
        </w:rPr>
        <w:t>His allegation arises out of the following circumstances:  following Mr. Willier</w:t>
      </w:r>
      <w:r w:rsidR="003061CC">
        <w:rPr>
          <w:shd w:val="clear" w:color="auto" w:fill="FFFFFF"/>
          <w:lang w:val="en-CA"/>
        </w:rPr>
        <w:t>’</w:t>
      </w:r>
      <w:r w:rsidR="00382D4B" w:rsidRPr="003F141B">
        <w:rPr>
          <w:shd w:val="clear" w:color="auto" w:fill="FFFFFF"/>
          <w:lang w:val="en-CA"/>
        </w:rPr>
        <w:t>s arrest for murder, the police informed him of his right to counsel and facilitated a brief telephone conversation with Legal Aid.  Offered another opportunity to speak to counsel the next day, he made an unsuccessful attempt to call a specific lawyer and left a message on his answering machine.  When asked if he wished to speak with another lawyer, Mr. Willier stated his preference to wait to hear back from his chosen counsel.  However, when informed that his preferred lawyer was unlikely to call back before his office reopened the next day and reminded of the immediate availability of free Legal Aid, Mr. Willier opted to speak with duty counsel a second time.  Shortly thereafter, the police commenced an investigative interview, prefacing the questioning with an open-ended invitation to contact counsel at any point during the exchange.  Mr.</w:t>
      </w:r>
      <w:r w:rsidR="00EA0CA8">
        <w:rPr>
          <w:shd w:val="clear" w:color="auto" w:fill="FFFFFF"/>
          <w:lang w:val="en-CA"/>
        </w:rPr>
        <w:t> </w:t>
      </w:r>
      <w:r w:rsidR="00382D4B" w:rsidRPr="003F141B">
        <w:rPr>
          <w:shd w:val="clear" w:color="auto" w:fill="FFFFFF"/>
          <w:lang w:val="en-CA"/>
        </w:rPr>
        <w:t>Willier expressed satisfaction with the advice he had received from Legal Aid, and did not attempt to contact counsel again before providing a statement to the police.</w:t>
      </w:r>
    </w:p>
    <w:p w14:paraId="18C7A0A6" w14:textId="43784F53" w:rsidR="009130CA" w:rsidRPr="003F141B" w:rsidRDefault="00BC2B52" w:rsidP="009130CA">
      <w:pPr>
        <w:pStyle w:val="Paragraphe"/>
        <w:spacing w:line="280" w:lineRule="exact"/>
        <w:rPr>
          <w:lang w:val="en-CA"/>
        </w:rPr>
      </w:pPr>
      <w:r w:rsidRPr="003F141B">
        <w:rPr>
          <w:lang w:val="en-CA"/>
        </w:rPr>
        <w:t xml:space="preserve">After reiterating that </w:t>
      </w:r>
      <w:r w:rsidRPr="003F141B">
        <w:rPr>
          <w:i/>
          <w:lang w:val="en-CA"/>
        </w:rPr>
        <w:t xml:space="preserve">Charter </w:t>
      </w:r>
      <w:r w:rsidRPr="003F141B">
        <w:rPr>
          <w:lang w:val="en-CA"/>
        </w:rPr>
        <w:t xml:space="preserve">rights are not </w:t>
      </w:r>
      <w:r w:rsidR="00081775">
        <w:rPr>
          <w:lang w:val="en-CA"/>
        </w:rPr>
        <w:t>“</w:t>
      </w:r>
      <w:r w:rsidRPr="003F141B">
        <w:rPr>
          <w:lang w:val="en-CA"/>
        </w:rPr>
        <w:t>absolute and unlimited rights</w:t>
      </w:r>
      <w:r w:rsidR="00081775">
        <w:rPr>
          <w:lang w:val="en-CA"/>
        </w:rPr>
        <w:t>”</w:t>
      </w:r>
      <w:r w:rsidRPr="003F141B">
        <w:rPr>
          <w:lang w:val="en-CA"/>
        </w:rPr>
        <w:t xml:space="preserve"> and that </w:t>
      </w:r>
      <w:r w:rsidR="00081775">
        <w:rPr>
          <w:lang w:val="en-CA"/>
        </w:rPr>
        <w:t>“</w:t>
      </w:r>
      <w:r w:rsidRPr="003F141B">
        <w:rPr>
          <w:lang w:val="en-CA"/>
        </w:rPr>
        <w:t xml:space="preserve">[t]hey must be exercised in a way that is </w:t>
      </w:r>
      <w:r w:rsidR="0039138B" w:rsidRPr="003F141B">
        <w:rPr>
          <w:lang w:val="en-CA"/>
        </w:rPr>
        <w:t xml:space="preserve">reconcilable </w:t>
      </w:r>
      <w:r w:rsidRPr="003F141B">
        <w:rPr>
          <w:lang w:val="en-CA"/>
        </w:rPr>
        <w:t>with the needs of society</w:t>
      </w:r>
      <w:r w:rsidR="00081775">
        <w:rPr>
          <w:lang w:val="en-CA"/>
        </w:rPr>
        <w:t>”</w:t>
      </w:r>
      <w:r w:rsidR="0039138B" w:rsidRPr="003F141B">
        <w:rPr>
          <w:lang w:val="en-CA"/>
        </w:rPr>
        <w:t xml:space="preserve"> </w:t>
      </w:r>
      <w:r w:rsidRPr="003F141B">
        <w:rPr>
          <w:lang w:val="en-CA"/>
        </w:rPr>
        <w:t>(</w:t>
      </w:r>
      <w:r w:rsidRPr="003F141B">
        <w:rPr>
          <w:i/>
          <w:lang w:val="en-CA"/>
        </w:rPr>
        <w:t>R. v. Smith</w:t>
      </w:r>
      <w:r w:rsidRPr="003F141B">
        <w:rPr>
          <w:lang w:val="en-CA"/>
        </w:rPr>
        <w:t>, [1989] 2 S.C.R.</w:t>
      </w:r>
      <w:r w:rsidR="005003D8" w:rsidRPr="003F141B">
        <w:rPr>
          <w:lang w:val="en-CA"/>
        </w:rPr>
        <w:t xml:space="preserve"> </w:t>
      </w:r>
      <w:r w:rsidRPr="003F141B">
        <w:rPr>
          <w:lang w:val="en-CA"/>
        </w:rPr>
        <w:t>368</w:t>
      </w:r>
      <w:r w:rsidR="00CC3F7B">
        <w:rPr>
          <w:lang w:val="en-CA"/>
        </w:rPr>
        <w:t>,</w:t>
      </w:r>
      <w:r w:rsidRPr="003F141B">
        <w:rPr>
          <w:lang w:val="en-CA"/>
        </w:rPr>
        <w:t xml:space="preserve"> </w:t>
      </w:r>
      <w:r w:rsidR="00CC3F7B">
        <w:rPr>
          <w:lang w:val="en-CA"/>
        </w:rPr>
        <w:t>p.</w:t>
      </w:r>
      <w:r w:rsidRPr="003F141B">
        <w:rPr>
          <w:lang w:val="en-CA"/>
        </w:rPr>
        <w:t xml:space="preserve"> 385), McLachlin</w:t>
      </w:r>
      <w:r w:rsidR="004461B7">
        <w:rPr>
          <w:lang w:val="en-CA"/>
        </w:rPr>
        <w:t>,</w:t>
      </w:r>
      <w:r w:rsidRPr="003F141B">
        <w:rPr>
          <w:lang w:val="en-CA"/>
        </w:rPr>
        <w:t xml:space="preserve"> C.J. and Charron</w:t>
      </w:r>
      <w:r w:rsidR="004461B7">
        <w:rPr>
          <w:lang w:val="en-CA"/>
        </w:rPr>
        <w:t>,</w:t>
      </w:r>
      <w:r w:rsidRPr="003F141B">
        <w:rPr>
          <w:lang w:val="en-CA"/>
        </w:rPr>
        <w:t xml:space="preserve"> J. described the right to retain</w:t>
      </w:r>
      <w:r w:rsidR="00821919" w:rsidRPr="003F141B">
        <w:rPr>
          <w:lang w:val="en-CA"/>
        </w:rPr>
        <w:t xml:space="preserve"> and instruct </w:t>
      </w:r>
      <w:r w:rsidRPr="003F141B">
        <w:rPr>
          <w:lang w:val="en-CA"/>
        </w:rPr>
        <w:t>counsel of choice as follows:</w:t>
      </w:r>
    </w:p>
    <w:p w14:paraId="3D6AC517" w14:textId="4430599D" w:rsidR="009130CA" w:rsidRPr="003F141B" w:rsidRDefault="00BC2B52" w:rsidP="009130CA">
      <w:pPr>
        <w:pStyle w:val="Citationenretrait"/>
        <w:rPr>
          <w:lang w:val="en-CA"/>
        </w:rPr>
      </w:pPr>
      <w:r w:rsidRPr="003F141B">
        <w:rPr>
          <w:lang w:val="en-CA"/>
        </w:rPr>
        <w:t>[35] Should detainees opt to exercise the right to counsel by speaking with a specific lawyer</w:t>
      </w:r>
      <w:r w:rsidRPr="003F141B">
        <w:rPr>
          <w:b/>
          <w:lang w:val="en-CA"/>
        </w:rPr>
        <w:t>, s. 10(b) entitles them to a reasonable opportunity to contact their chosen counsel prior to police questioning.</w:t>
      </w:r>
      <w:r w:rsidR="005003D8" w:rsidRPr="003F141B">
        <w:rPr>
          <w:b/>
          <w:lang w:val="en-CA"/>
        </w:rPr>
        <w:t> </w:t>
      </w:r>
      <w:r w:rsidRPr="003F141B">
        <w:rPr>
          <w:b/>
          <w:lang w:val="en-CA"/>
        </w:rPr>
        <w:t>If the chosen lawyer is not immediately available, detainees have the right to refuse to speak with other counsel and wait a reasonable amount of time for their lawyer of choice to respond.</w:t>
      </w:r>
      <w:r w:rsidR="005003D8" w:rsidRPr="003F141B">
        <w:rPr>
          <w:lang w:val="en-CA"/>
        </w:rPr>
        <w:t> </w:t>
      </w:r>
      <w:r w:rsidRPr="003F141B">
        <w:rPr>
          <w:lang w:val="en-CA"/>
        </w:rPr>
        <w:t xml:space="preserve">What amounts to a reasonable </w:t>
      </w:r>
      <w:proofErr w:type="gramStart"/>
      <w:r w:rsidRPr="003F141B">
        <w:rPr>
          <w:lang w:val="en-CA"/>
        </w:rPr>
        <w:t>period of time</w:t>
      </w:r>
      <w:proofErr w:type="gramEnd"/>
      <w:r w:rsidRPr="003F141B">
        <w:rPr>
          <w:lang w:val="en-CA"/>
        </w:rPr>
        <w:t xml:space="preserve"> depends on the circumstances as a whole, and may include factors such as the seriousness of the charge and the urgency of the investigation: </w:t>
      </w:r>
      <w:r w:rsidRPr="003F141B">
        <w:rPr>
          <w:i/>
          <w:lang w:val="en-CA"/>
        </w:rPr>
        <w:t>Black</w:t>
      </w:r>
      <w:r w:rsidRPr="003F141B">
        <w:rPr>
          <w:lang w:val="en-CA"/>
        </w:rPr>
        <w:t>.</w:t>
      </w:r>
      <w:r w:rsidR="005003D8" w:rsidRPr="003F141B">
        <w:rPr>
          <w:lang w:val="en-CA"/>
        </w:rPr>
        <w:t xml:space="preserve"> </w:t>
      </w:r>
      <w:r w:rsidRPr="003F141B">
        <w:rPr>
          <w:b/>
          <w:lang w:val="en-CA"/>
        </w:rPr>
        <w:t xml:space="preserve">If the chosen lawyer cannot be available within a reasonable </w:t>
      </w:r>
      <w:proofErr w:type="gramStart"/>
      <w:r w:rsidRPr="003F141B">
        <w:rPr>
          <w:b/>
          <w:lang w:val="en-CA"/>
        </w:rPr>
        <w:t>period of time</w:t>
      </w:r>
      <w:proofErr w:type="gramEnd"/>
      <w:r w:rsidRPr="003F141B">
        <w:rPr>
          <w:b/>
          <w:lang w:val="en-CA"/>
        </w:rPr>
        <w:t xml:space="preserve">, detainees are expected to exercise their right to counsel by calling another lawyer or the police duty to </w:t>
      </w:r>
      <w:r w:rsidRPr="003F141B">
        <w:rPr>
          <w:b/>
          <w:lang w:val="en-CA"/>
        </w:rPr>
        <w:lastRenderedPageBreak/>
        <w:t xml:space="preserve">hold off will be suspended: </w:t>
      </w:r>
      <w:r w:rsidR="005003D8" w:rsidRPr="003F141B">
        <w:rPr>
          <w:lang w:val="en-CA"/>
        </w:rPr>
        <w:t> </w:t>
      </w:r>
      <w:r w:rsidRPr="003F141B">
        <w:rPr>
          <w:i/>
          <w:iCs/>
          <w:lang w:val="en-CA"/>
        </w:rPr>
        <w:t>R. v. Ross</w:t>
      </w:r>
      <w:r w:rsidRPr="003F141B">
        <w:rPr>
          <w:iCs/>
          <w:lang w:val="en-CA"/>
        </w:rPr>
        <w:t>, [1989] 1 S.C.R.</w:t>
      </w:r>
      <w:r w:rsidR="005003D8" w:rsidRPr="003F141B">
        <w:rPr>
          <w:rStyle w:val="reflex3-alt"/>
          <w:color w:val="000000"/>
          <w:szCs w:val="22"/>
          <w:lang w:val="en-CA"/>
        </w:rPr>
        <w:t xml:space="preserve"> 3</w:t>
      </w:r>
      <w:r w:rsidR="005003D8" w:rsidRPr="003F141B">
        <w:rPr>
          <w:lang w:val="en-CA"/>
        </w:rPr>
        <w:t xml:space="preserve">; </w:t>
      </w:r>
      <w:r w:rsidRPr="003F141B">
        <w:rPr>
          <w:lang w:val="en-CA"/>
        </w:rPr>
        <w:t xml:space="preserve">and </w:t>
      </w:r>
      <w:r w:rsidRPr="003F141B">
        <w:rPr>
          <w:i/>
          <w:lang w:val="en-CA"/>
        </w:rPr>
        <w:t>Black</w:t>
      </w:r>
      <w:r w:rsidRPr="003F141B">
        <w:rPr>
          <w:lang w:val="en-CA"/>
        </w:rPr>
        <w:t>.</w:t>
      </w:r>
      <w:r w:rsidR="005003D8" w:rsidRPr="003F141B">
        <w:rPr>
          <w:lang w:val="en-CA"/>
        </w:rPr>
        <w:t> </w:t>
      </w:r>
      <w:r w:rsidRPr="003F141B">
        <w:rPr>
          <w:lang w:val="en-CA"/>
        </w:rPr>
        <w:t>As Lamer</w:t>
      </w:r>
      <w:r w:rsidR="004461B7">
        <w:rPr>
          <w:lang w:val="en-CA"/>
        </w:rPr>
        <w:t>,</w:t>
      </w:r>
      <w:r w:rsidRPr="003F141B">
        <w:rPr>
          <w:lang w:val="en-CA"/>
        </w:rPr>
        <w:t xml:space="preserve"> J. emphasized in Ross, diligence must also accompany a detainee</w:t>
      </w:r>
      <w:r w:rsidR="003061CC">
        <w:rPr>
          <w:lang w:val="en-CA"/>
        </w:rPr>
        <w:t>’</w:t>
      </w:r>
      <w:r w:rsidRPr="003F141B">
        <w:rPr>
          <w:lang w:val="en-CA"/>
        </w:rPr>
        <w:t>s exercise of the right to counsel of choice:</w:t>
      </w:r>
    </w:p>
    <w:p w14:paraId="4417D374" w14:textId="7DB5420C" w:rsidR="009130CA" w:rsidRPr="003F141B" w:rsidRDefault="00BC2B52" w:rsidP="009130CA">
      <w:pPr>
        <w:pStyle w:val="CitationdecitationFR"/>
        <w:rPr>
          <w:lang w:val="en-CA"/>
        </w:rPr>
      </w:pPr>
      <w:r w:rsidRPr="003F141B">
        <w:rPr>
          <w:lang w:val="en-CA"/>
        </w:rPr>
        <w:t xml:space="preserve">Although an accused or detained person has the right to choose counsel, it must be noted that, as this Court said in </w:t>
      </w:r>
      <w:r w:rsidRPr="003F141B">
        <w:rPr>
          <w:i/>
          <w:lang w:val="en-CA"/>
        </w:rPr>
        <w:t>R. v. Tremblay</w:t>
      </w:r>
      <w:r w:rsidRPr="003F141B">
        <w:rPr>
          <w:lang w:val="en-CA"/>
        </w:rPr>
        <w:t xml:space="preserve">, , [1987] 2 S.C.R. 435, a detainee must be reasonably diligent in the exercise of these rights and if he is not, the correlative duties imposed on the police and set out in </w:t>
      </w:r>
      <w:r w:rsidRPr="003F141B">
        <w:rPr>
          <w:i/>
          <w:lang w:val="en-CA"/>
        </w:rPr>
        <w:t>Manninen</w:t>
      </w:r>
      <w:r w:rsidRPr="003F141B">
        <w:rPr>
          <w:lang w:val="en-CA"/>
        </w:rPr>
        <w:t xml:space="preserve"> are suspended.</w:t>
      </w:r>
      <w:r w:rsidR="005003D8" w:rsidRPr="003F141B">
        <w:rPr>
          <w:rStyle w:val="reflex3-alt"/>
          <w:color w:val="000000"/>
          <w:lang w:val="en-CA"/>
        </w:rPr>
        <w:t> </w:t>
      </w:r>
      <w:r w:rsidRPr="003F141B">
        <w:rPr>
          <w:rStyle w:val="reflex3-alt"/>
          <w:color w:val="000000"/>
          <w:lang w:val="en-CA"/>
        </w:rPr>
        <w:t xml:space="preserve"> </w:t>
      </w:r>
      <w:r w:rsidRPr="003F141B">
        <w:rPr>
          <w:lang w:val="en-CA"/>
        </w:rPr>
        <w:t>Reasonable diligence in the exercise of the right to choose one</w:t>
      </w:r>
      <w:r w:rsidR="003061CC">
        <w:rPr>
          <w:lang w:val="en-CA"/>
        </w:rPr>
        <w:t>’</w:t>
      </w:r>
      <w:r w:rsidRPr="003F141B">
        <w:rPr>
          <w:lang w:val="en-CA"/>
        </w:rPr>
        <w:t>s counsel depends upon the context facing the accused or detained person.</w:t>
      </w:r>
      <w:r w:rsidR="005003D8" w:rsidRPr="003F141B">
        <w:rPr>
          <w:lang w:val="en-CA"/>
        </w:rPr>
        <w:t xml:space="preserve"> </w:t>
      </w:r>
      <w:r w:rsidRPr="003F141B">
        <w:rPr>
          <w:lang w:val="en-CA"/>
        </w:rPr>
        <w:t>On being arrested, for example, the detained person is faced with an immediate need for legal advice and must exercise reasonable diligence accordingly.</w:t>
      </w:r>
      <w:r w:rsidR="005003D8" w:rsidRPr="003F141B">
        <w:rPr>
          <w:lang w:val="en-CA"/>
        </w:rPr>
        <w:t xml:space="preserve"> </w:t>
      </w:r>
      <w:r w:rsidRPr="003F141B">
        <w:rPr>
          <w:lang w:val="en-CA"/>
        </w:rPr>
        <w:t>By contrast, when seeking the best lawyer to conduct a trial, the accused person faces no such immediacy.</w:t>
      </w:r>
      <w:r w:rsidR="005003D8" w:rsidRPr="003F141B">
        <w:rPr>
          <w:lang w:val="en-CA"/>
        </w:rPr>
        <w:t xml:space="preserve"> </w:t>
      </w:r>
      <w:r w:rsidRPr="003F141B">
        <w:rPr>
          <w:b/>
          <w:lang w:val="en-CA"/>
        </w:rPr>
        <w:t xml:space="preserve">Nevertheless, accused or detained persons have a right to choose their counsel and it is only if the lawyer chosen cannot be available within a reasonable time that the detainee or the accused </w:t>
      </w:r>
      <w:proofErr w:type="gramStart"/>
      <w:r w:rsidRPr="003F141B">
        <w:rPr>
          <w:b/>
          <w:lang w:val="en-CA"/>
        </w:rPr>
        <w:t>should be expected</w:t>
      </w:r>
      <w:proofErr w:type="gramEnd"/>
      <w:r w:rsidRPr="003F141B">
        <w:rPr>
          <w:b/>
          <w:lang w:val="en-CA"/>
        </w:rPr>
        <w:t xml:space="preserve"> to exercise the right to counsel by calling another lawyer.</w:t>
      </w:r>
      <w:r w:rsidR="005003D8" w:rsidRPr="003F141B">
        <w:rPr>
          <w:lang w:val="en-CA"/>
        </w:rPr>
        <w:t xml:space="preserve"> [p. 11]</w:t>
      </w:r>
    </w:p>
    <w:p w14:paraId="6117E9A6" w14:textId="7987E8FB" w:rsidR="009130CA" w:rsidRPr="003F141B" w:rsidRDefault="00BC2B52" w:rsidP="009130CA">
      <w:pPr>
        <w:pStyle w:val="Citationenretrait"/>
        <w:jc w:val="right"/>
        <w:rPr>
          <w:lang w:val="en-CA"/>
        </w:rPr>
      </w:pPr>
      <w:r w:rsidRPr="003F141B">
        <w:rPr>
          <w:lang w:val="en-CA"/>
        </w:rPr>
        <w:t>[Emphasis added]</w:t>
      </w:r>
    </w:p>
    <w:p w14:paraId="6D6B5D58" w14:textId="77CF3516" w:rsidR="009130CA" w:rsidRPr="003F141B" w:rsidRDefault="001D1646" w:rsidP="009130CA">
      <w:pPr>
        <w:pStyle w:val="Paragraphe"/>
        <w:spacing w:line="280" w:lineRule="exact"/>
        <w:rPr>
          <w:lang w:val="en-CA"/>
        </w:rPr>
      </w:pPr>
      <w:r w:rsidRPr="003F141B">
        <w:rPr>
          <w:lang w:val="en-CA"/>
        </w:rPr>
        <w:t>In light of the circumstances, McLachlin</w:t>
      </w:r>
      <w:r w:rsidR="004461B7">
        <w:rPr>
          <w:lang w:val="en-CA"/>
        </w:rPr>
        <w:t>,</w:t>
      </w:r>
      <w:r w:rsidRPr="003F141B">
        <w:rPr>
          <w:lang w:val="en-CA"/>
        </w:rPr>
        <w:t xml:space="preserve"> C.J. and Charron</w:t>
      </w:r>
      <w:r w:rsidR="004461B7">
        <w:rPr>
          <w:lang w:val="en-CA"/>
        </w:rPr>
        <w:t>,</w:t>
      </w:r>
      <w:r w:rsidRPr="003F141B">
        <w:rPr>
          <w:lang w:val="en-CA"/>
        </w:rPr>
        <w:t xml:space="preserve"> J. found that Mr. Willier had not been deprived of the right </w:t>
      </w:r>
      <w:r w:rsidR="00BD169A" w:rsidRPr="003F141B">
        <w:rPr>
          <w:lang w:val="en-CA"/>
        </w:rPr>
        <w:t>guaranteed</w:t>
      </w:r>
      <w:r w:rsidRPr="003F141B">
        <w:rPr>
          <w:lang w:val="en-CA"/>
        </w:rPr>
        <w:t xml:space="preserve"> by s. 10(b) of the </w:t>
      </w:r>
      <w:r w:rsidRPr="003F141B">
        <w:rPr>
          <w:i/>
          <w:lang w:val="en-CA"/>
        </w:rPr>
        <w:t>Charter</w:t>
      </w:r>
      <w:r w:rsidRPr="003F141B">
        <w:rPr>
          <w:lang w:val="en-CA"/>
        </w:rPr>
        <w:t>:</w:t>
      </w:r>
    </w:p>
    <w:p w14:paraId="4AE8E337" w14:textId="6E01F079" w:rsidR="009130CA" w:rsidRPr="003F141B" w:rsidRDefault="001D1646" w:rsidP="009130CA">
      <w:pPr>
        <w:pStyle w:val="Citationenretrait"/>
        <w:rPr>
          <w:shd w:val="clear" w:color="auto" w:fill="FFFFFF"/>
          <w:lang w:val="en-CA"/>
        </w:rPr>
      </w:pPr>
      <w:r w:rsidRPr="003F141B">
        <w:rPr>
          <w:shd w:val="clear" w:color="auto" w:fill="FFFFFF"/>
          <w:lang w:val="en-CA"/>
        </w:rPr>
        <w:t>[43] Considering the circumstances of this case as a whole, the majority of the Court of Appeal correctly found that Mr. Willier did not suffer a violation of his s.</w:t>
      </w:r>
      <w:r w:rsidR="0001595C">
        <w:rPr>
          <w:shd w:val="clear" w:color="auto" w:fill="FFFFFF"/>
          <w:lang w:val="en-CA"/>
        </w:rPr>
        <w:t> </w:t>
      </w:r>
      <w:r w:rsidRPr="003F141B">
        <w:rPr>
          <w:shd w:val="clear" w:color="auto" w:fill="FFFFFF"/>
          <w:lang w:val="en-CA"/>
        </w:rPr>
        <w:t>10(b) right to counsel.</w:t>
      </w:r>
      <w:r w:rsidR="005003D8" w:rsidRPr="003F141B">
        <w:rPr>
          <w:shd w:val="clear" w:color="auto" w:fill="FFFFFF"/>
          <w:lang w:val="en-CA"/>
        </w:rPr>
        <w:t> </w:t>
      </w:r>
      <w:r w:rsidRPr="003F141B">
        <w:rPr>
          <w:shd w:val="clear" w:color="auto" w:fill="FFFFFF"/>
          <w:lang w:val="en-CA"/>
        </w:rPr>
        <w:t>In no way did the police interfere with Mr. Willier</w:t>
      </w:r>
      <w:r w:rsidR="003061CC">
        <w:rPr>
          <w:shd w:val="clear" w:color="auto" w:fill="FFFFFF"/>
          <w:lang w:val="en-CA"/>
        </w:rPr>
        <w:t>’</w:t>
      </w:r>
      <w:r w:rsidRPr="003F141B">
        <w:rPr>
          <w:shd w:val="clear" w:color="auto" w:fill="FFFFFF"/>
          <w:lang w:val="en-CA"/>
        </w:rPr>
        <w:t>s right to a reasonable opportunity to consult with counsel of choice by simply reminding him of the immediate availability of free Legal Aid after his unsuccessful attempt to call Mr. Royal.</w:t>
      </w:r>
      <w:r w:rsidR="005003D8" w:rsidRPr="003F141B">
        <w:rPr>
          <w:shd w:val="clear" w:color="auto" w:fill="FFFFFF"/>
          <w:lang w:val="en-CA"/>
        </w:rPr>
        <w:t xml:space="preserve"> </w:t>
      </w:r>
      <w:r w:rsidRPr="003F141B">
        <w:rPr>
          <w:shd w:val="clear" w:color="auto" w:fill="FFFFFF"/>
          <w:lang w:val="en-CA"/>
        </w:rPr>
        <w:t xml:space="preserve">When Mr. Willier stated his preference to wait, </w:t>
      </w:r>
      <w:proofErr w:type="spellStart"/>
      <w:r w:rsidRPr="003F141B">
        <w:rPr>
          <w:shd w:val="clear" w:color="auto" w:fill="FFFFFF"/>
          <w:lang w:val="en-CA"/>
        </w:rPr>
        <w:t>Cst</w:t>
      </w:r>
      <w:proofErr w:type="spellEnd"/>
      <w:r w:rsidRPr="003F141B">
        <w:rPr>
          <w:shd w:val="clear" w:color="auto" w:fill="FFFFFF"/>
          <w:lang w:val="en-CA"/>
        </w:rPr>
        <w:t>. Lahaie reasonably informed him that it was unlikely that Mr. Royal would be quick to return his call given that it was a Sunday, and reminded him of the immediate availability of duty counsel.</w:t>
      </w:r>
      <w:r w:rsidR="005003D8" w:rsidRPr="003F141B">
        <w:rPr>
          <w:shd w:val="clear" w:color="auto" w:fill="FFFFFF"/>
          <w:lang w:val="en-CA"/>
        </w:rPr>
        <w:t xml:space="preserve"> </w:t>
      </w:r>
      <w:r w:rsidRPr="003F141B">
        <w:rPr>
          <w:shd w:val="clear" w:color="auto" w:fill="FFFFFF"/>
          <w:lang w:val="en-CA"/>
        </w:rPr>
        <w:t>Mr. Willier was not told that he could not wait to hear back from Mr. Royal, or that Legal Aid was his only recourse.</w:t>
      </w:r>
      <w:r w:rsidR="005003D8" w:rsidRPr="003F141B">
        <w:rPr>
          <w:shd w:val="clear" w:color="auto" w:fill="FFFFFF"/>
          <w:lang w:val="en-CA"/>
        </w:rPr>
        <w:t xml:space="preserve"> </w:t>
      </w:r>
      <w:r w:rsidRPr="003F141B">
        <w:rPr>
          <w:shd w:val="clear" w:color="auto" w:fill="FFFFFF"/>
          <w:lang w:val="en-CA"/>
        </w:rPr>
        <w:t>There is no indication that his choice to call duty counsel was the product of coercion.</w:t>
      </w:r>
      <w:r w:rsidR="005003D8" w:rsidRPr="003F141B">
        <w:rPr>
          <w:shd w:val="clear" w:color="auto" w:fill="FFFFFF"/>
          <w:lang w:val="en-CA"/>
        </w:rPr>
        <w:t xml:space="preserve"> </w:t>
      </w:r>
      <w:r w:rsidRPr="003F141B">
        <w:rPr>
          <w:shd w:val="clear" w:color="auto" w:fill="FFFFFF"/>
          <w:lang w:val="en-CA"/>
        </w:rPr>
        <w:t>The police had an informational duty to ensure that Mr. Willier was aware of the availability of Legal Aid, and compliance with that duty did not interfere with his right to a reasonable opportunity to contact counsel of choice.</w:t>
      </w:r>
      <w:r w:rsidR="005003D8" w:rsidRPr="003F141B">
        <w:rPr>
          <w:shd w:val="clear" w:color="auto" w:fill="FFFFFF"/>
          <w:lang w:val="en-CA"/>
        </w:rPr>
        <w:t xml:space="preserve"> </w:t>
      </w:r>
      <w:r w:rsidRPr="003F141B">
        <w:rPr>
          <w:shd w:val="clear" w:color="auto" w:fill="FFFFFF"/>
          <w:lang w:val="en-CA"/>
        </w:rPr>
        <w:t>Mr. Willier was properly presented with another route by which to obtain legal advice, an option he voluntarily chose to exercise.</w:t>
      </w:r>
    </w:p>
    <w:p w14:paraId="6361A4B2" w14:textId="574F8B12" w:rsidR="009130CA" w:rsidRPr="003F141B" w:rsidRDefault="001D1646" w:rsidP="007B44A1">
      <w:pPr>
        <w:pStyle w:val="Paragraphe"/>
        <w:keepNext/>
        <w:keepLines/>
        <w:spacing w:line="280" w:lineRule="exact"/>
        <w:rPr>
          <w:lang w:val="en-CA"/>
        </w:rPr>
      </w:pPr>
      <w:r w:rsidRPr="003F141B">
        <w:rPr>
          <w:lang w:val="en-CA"/>
        </w:rPr>
        <w:lastRenderedPageBreak/>
        <w:t xml:space="preserve">The facts in </w:t>
      </w:r>
      <w:r w:rsidRPr="003F141B">
        <w:rPr>
          <w:i/>
          <w:lang w:val="en-CA"/>
        </w:rPr>
        <w:t>McCrimmon</w:t>
      </w:r>
      <w:r w:rsidRPr="003F141B">
        <w:rPr>
          <w:lang w:val="en-CA"/>
        </w:rPr>
        <w:t xml:space="preserve"> are different:</w:t>
      </w:r>
      <w:r w:rsidR="005003D8" w:rsidRPr="003F141B">
        <w:rPr>
          <w:lang w:val="en-CA"/>
        </w:rPr>
        <w:t xml:space="preserve"> </w:t>
      </w:r>
    </w:p>
    <w:p w14:paraId="21972588" w14:textId="5864FAD5" w:rsidR="008A0DB7" w:rsidRPr="003F141B" w:rsidRDefault="008A0DB7" w:rsidP="007B44A1">
      <w:pPr>
        <w:pStyle w:val="Paragraphe"/>
        <w:keepNext/>
        <w:keepLines/>
        <w:numPr>
          <w:ilvl w:val="0"/>
          <w:numId w:val="0"/>
        </w:numPr>
        <w:spacing w:line="280" w:lineRule="exact"/>
        <w:ind w:left="720"/>
        <w:rPr>
          <w:sz w:val="22"/>
          <w:szCs w:val="22"/>
          <w:lang w:val="en-CA"/>
        </w:rPr>
      </w:pPr>
      <w:r w:rsidRPr="003F141B">
        <w:rPr>
          <w:sz w:val="22"/>
          <w:szCs w:val="22"/>
          <w:lang w:val="en-CA"/>
        </w:rPr>
        <w:t xml:space="preserve">[7] At the outset, </w:t>
      </w:r>
      <w:proofErr w:type="spellStart"/>
      <w:r w:rsidRPr="003F141B">
        <w:rPr>
          <w:sz w:val="22"/>
          <w:szCs w:val="22"/>
          <w:lang w:val="en-CA"/>
        </w:rPr>
        <w:t>Cst</w:t>
      </w:r>
      <w:proofErr w:type="spellEnd"/>
      <w:r w:rsidRPr="003F141B">
        <w:rPr>
          <w:sz w:val="22"/>
          <w:szCs w:val="22"/>
          <w:lang w:val="en-CA"/>
        </w:rPr>
        <w:t xml:space="preserve">. Laurel Mathew advised Mr. McCrimmon of the reasons for his arrest, his right to retain and instruct counsel, and his right to remain silent.  She told him that he could call any lawyer he wanted, and that he had a right to contact a Legal Aid lawyer through a 24-hour telephone service.  Mr. McCrimmon stated that he wished to speak to a lawyer. </w:t>
      </w:r>
      <w:proofErr w:type="spellStart"/>
      <w:r w:rsidRPr="003F141B">
        <w:rPr>
          <w:sz w:val="22"/>
          <w:szCs w:val="22"/>
          <w:lang w:val="en-CA"/>
        </w:rPr>
        <w:t>Cst</w:t>
      </w:r>
      <w:proofErr w:type="spellEnd"/>
      <w:r w:rsidRPr="003F141B">
        <w:rPr>
          <w:sz w:val="22"/>
          <w:szCs w:val="22"/>
          <w:lang w:val="en-CA"/>
        </w:rPr>
        <w:t>. Mathew escorted him to the RCMP detachment in Chilliwack where Mr.</w:t>
      </w:r>
      <w:r w:rsidR="00E87140">
        <w:rPr>
          <w:sz w:val="22"/>
          <w:szCs w:val="22"/>
          <w:lang w:val="en-CA"/>
        </w:rPr>
        <w:t> </w:t>
      </w:r>
      <w:r w:rsidRPr="003F141B">
        <w:rPr>
          <w:sz w:val="22"/>
          <w:szCs w:val="22"/>
          <w:lang w:val="en-CA"/>
        </w:rPr>
        <w:t xml:space="preserve">McCrimmon provided the name of a Vancouver lawyer, John </w:t>
      </w:r>
      <w:proofErr w:type="spellStart"/>
      <w:r w:rsidRPr="003F141B">
        <w:rPr>
          <w:sz w:val="22"/>
          <w:szCs w:val="22"/>
          <w:lang w:val="en-CA"/>
        </w:rPr>
        <w:t>Cheevers</w:t>
      </w:r>
      <w:proofErr w:type="spellEnd"/>
      <w:r w:rsidRPr="003F141B">
        <w:rPr>
          <w:sz w:val="22"/>
          <w:szCs w:val="22"/>
          <w:lang w:val="en-CA"/>
        </w:rPr>
        <w:t xml:space="preserve">, with whom he wished to speak. </w:t>
      </w:r>
      <w:proofErr w:type="spellStart"/>
      <w:r w:rsidRPr="003F141B">
        <w:rPr>
          <w:sz w:val="22"/>
          <w:szCs w:val="22"/>
          <w:lang w:val="en-CA"/>
        </w:rPr>
        <w:t>Cst</w:t>
      </w:r>
      <w:proofErr w:type="spellEnd"/>
      <w:r w:rsidRPr="003F141B">
        <w:rPr>
          <w:sz w:val="22"/>
          <w:szCs w:val="22"/>
          <w:lang w:val="en-CA"/>
        </w:rPr>
        <w:t xml:space="preserve">. Mathew called Mr. </w:t>
      </w:r>
      <w:proofErr w:type="spellStart"/>
      <w:r w:rsidRPr="003F141B">
        <w:rPr>
          <w:sz w:val="22"/>
          <w:szCs w:val="22"/>
          <w:lang w:val="en-CA"/>
        </w:rPr>
        <w:t>Cheevers</w:t>
      </w:r>
      <w:proofErr w:type="spellEnd"/>
      <w:r w:rsidR="003061CC">
        <w:rPr>
          <w:sz w:val="22"/>
          <w:szCs w:val="22"/>
          <w:lang w:val="en-CA"/>
        </w:rPr>
        <w:t>’</w:t>
      </w:r>
      <w:r w:rsidRPr="003F141B">
        <w:rPr>
          <w:sz w:val="22"/>
          <w:szCs w:val="22"/>
          <w:lang w:val="en-CA"/>
        </w:rPr>
        <w:t xml:space="preserve"> office, but was unable to reach him and left a message on the answering machine. She did not attempt to find Mr. </w:t>
      </w:r>
      <w:proofErr w:type="spellStart"/>
      <w:r w:rsidRPr="003F141B">
        <w:rPr>
          <w:sz w:val="22"/>
          <w:szCs w:val="22"/>
          <w:lang w:val="en-CA"/>
        </w:rPr>
        <w:t>Cheevers</w:t>
      </w:r>
      <w:proofErr w:type="spellEnd"/>
      <w:r w:rsidR="003061CC">
        <w:rPr>
          <w:sz w:val="22"/>
          <w:szCs w:val="22"/>
          <w:lang w:val="en-CA"/>
        </w:rPr>
        <w:t>’</w:t>
      </w:r>
      <w:r w:rsidRPr="003F141B">
        <w:rPr>
          <w:sz w:val="22"/>
          <w:szCs w:val="22"/>
          <w:lang w:val="en-CA"/>
        </w:rPr>
        <w:t xml:space="preserve"> home telephone number, nor did Mr. McCrimmon ask her to do so. He said to </w:t>
      </w:r>
      <w:proofErr w:type="spellStart"/>
      <w:r w:rsidRPr="003F141B">
        <w:rPr>
          <w:sz w:val="22"/>
          <w:szCs w:val="22"/>
          <w:lang w:val="en-CA"/>
        </w:rPr>
        <w:t>Cst</w:t>
      </w:r>
      <w:proofErr w:type="spellEnd"/>
      <w:r w:rsidRPr="003F141B">
        <w:rPr>
          <w:sz w:val="22"/>
          <w:szCs w:val="22"/>
          <w:lang w:val="en-CA"/>
        </w:rPr>
        <w:t>.</w:t>
      </w:r>
      <w:r w:rsidR="00A64114">
        <w:rPr>
          <w:sz w:val="22"/>
          <w:szCs w:val="22"/>
          <w:lang w:val="en-CA"/>
        </w:rPr>
        <w:t> </w:t>
      </w:r>
      <w:proofErr w:type="gramStart"/>
      <w:r w:rsidRPr="003F141B">
        <w:rPr>
          <w:sz w:val="22"/>
          <w:szCs w:val="22"/>
          <w:lang w:val="en-CA"/>
        </w:rPr>
        <w:t>Mathew:</w:t>
      </w:r>
      <w:proofErr w:type="gramEnd"/>
      <w:r w:rsidRPr="003F141B">
        <w:rPr>
          <w:sz w:val="22"/>
          <w:szCs w:val="22"/>
          <w:lang w:val="en-CA"/>
        </w:rPr>
        <w:t xml:space="preserve"> </w:t>
      </w:r>
      <w:r w:rsidR="00081775">
        <w:rPr>
          <w:sz w:val="22"/>
          <w:szCs w:val="22"/>
          <w:lang w:val="en-CA"/>
        </w:rPr>
        <w:t>“</w:t>
      </w:r>
      <w:r w:rsidRPr="003F141B">
        <w:rPr>
          <w:sz w:val="22"/>
          <w:szCs w:val="22"/>
          <w:lang w:val="en-CA"/>
        </w:rPr>
        <w:t>I don</w:t>
      </w:r>
      <w:r w:rsidR="003061CC">
        <w:rPr>
          <w:sz w:val="22"/>
          <w:szCs w:val="22"/>
          <w:lang w:val="en-CA"/>
        </w:rPr>
        <w:t>’</w:t>
      </w:r>
      <w:r w:rsidRPr="003F141B">
        <w:rPr>
          <w:sz w:val="22"/>
          <w:szCs w:val="22"/>
          <w:lang w:val="en-CA"/>
        </w:rPr>
        <w:t>t know if I</w:t>
      </w:r>
      <w:r w:rsidR="003061CC">
        <w:rPr>
          <w:sz w:val="22"/>
          <w:szCs w:val="22"/>
          <w:lang w:val="en-CA"/>
        </w:rPr>
        <w:t>’</w:t>
      </w:r>
      <w:r w:rsidRPr="003F141B">
        <w:rPr>
          <w:sz w:val="22"/>
          <w:szCs w:val="22"/>
          <w:lang w:val="en-CA"/>
        </w:rPr>
        <w:t xml:space="preserve">ll hear back from him. . . . Like I said I only used him </w:t>
      </w:r>
      <w:proofErr w:type="gramStart"/>
      <w:r w:rsidRPr="003F141B">
        <w:rPr>
          <w:sz w:val="22"/>
          <w:szCs w:val="22"/>
          <w:lang w:val="en-CA"/>
        </w:rPr>
        <w:t>once .</w:t>
      </w:r>
      <w:proofErr w:type="gramEnd"/>
      <w:r w:rsidR="00A64114">
        <w:rPr>
          <w:sz w:val="22"/>
          <w:szCs w:val="22"/>
          <w:lang w:val="en-CA"/>
        </w:rPr>
        <w:t> </w:t>
      </w:r>
      <w:r w:rsidRPr="003F141B">
        <w:rPr>
          <w:sz w:val="22"/>
          <w:szCs w:val="22"/>
          <w:lang w:val="en-CA"/>
        </w:rPr>
        <w:t>. . .  He</w:t>
      </w:r>
      <w:r w:rsidR="003061CC">
        <w:rPr>
          <w:sz w:val="22"/>
          <w:szCs w:val="22"/>
          <w:lang w:val="en-CA"/>
        </w:rPr>
        <w:t>’</w:t>
      </w:r>
      <w:r w:rsidRPr="003F141B">
        <w:rPr>
          <w:sz w:val="22"/>
          <w:szCs w:val="22"/>
          <w:lang w:val="en-CA"/>
        </w:rPr>
        <w:t>s the only guy I know.  I</w:t>
      </w:r>
      <w:r w:rsidR="003061CC">
        <w:rPr>
          <w:sz w:val="22"/>
          <w:szCs w:val="22"/>
          <w:lang w:val="en-CA"/>
        </w:rPr>
        <w:t>’</w:t>
      </w:r>
      <w:r w:rsidRPr="003F141B">
        <w:rPr>
          <w:sz w:val="22"/>
          <w:szCs w:val="22"/>
          <w:lang w:val="en-CA"/>
        </w:rPr>
        <w:t>ve never really dealt with a lawyer before.</w:t>
      </w:r>
      <w:r w:rsidR="00081775">
        <w:rPr>
          <w:sz w:val="22"/>
          <w:szCs w:val="22"/>
          <w:lang w:val="en-CA"/>
        </w:rPr>
        <w:t>”</w:t>
      </w:r>
      <w:r w:rsidRPr="003F141B">
        <w:rPr>
          <w:sz w:val="22"/>
          <w:szCs w:val="22"/>
          <w:lang w:val="en-CA"/>
        </w:rPr>
        <w:t xml:space="preserve"> </w:t>
      </w:r>
      <w:proofErr w:type="spellStart"/>
      <w:r w:rsidRPr="003F141B">
        <w:rPr>
          <w:sz w:val="22"/>
          <w:szCs w:val="22"/>
          <w:lang w:val="en-CA"/>
        </w:rPr>
        <w:t>Cst</w:t>
      </w:r>
      <w:proofErr w:type="spellEnd"/>
      <w:r w:rsidRPr="003F141B">
        <w:rPr>
          <w:sz w:val="22"/>
          <w:szCs w:val="22"/>
          <w:lang w:val="en-CA"/>
        </w:rPr>
        <w:t xml:space="preserve">. Mathew asked Mr. McCrimmon if he would like to call a Legal Aid lawyer, to which he replied:  </w:t>
      </w:r>
      <w:r w:rsidR="00081775">
        <w:rPr>
          <w:sz w:val="22"/>
          <w:szCs w:val="22"/>
          <w:lang w:val="en-CA"/>
        </w:rPr>
        <w:t>“</w:t>
      </w:r>
      <w:r w:rsidRPr="003F141B">
        <w:rPr>
          <w:sz w:val="22"/>
          <w:szCs w:val="22"/>
          <w:lang w:val="en-CA"/>
        </w:rPr>
        <w:t xml:space="preserve">Well yes definitely but [I] prefer Mr. </w:t>
      </w:r>
      <w:proofErr w:type="spellStart"/>
      <w:r w:rsidRPr="003F141B">
        <w:rPr>
          <w:sz w:val="22"/>
          <w:szCs w:val="22"/>
          <w:lang w:val="en-CA"/>
        </w:rPr>
        <w:t>Cheevers</w:t>
      </w:r>
      <w:proofErr w:type="spellEnd"/>
      <w:r w:rsidRPr="003F141B">
        <w:rPr>
          <w:sz w:val="22"/>
          <w:szCs w:val="22"/>
          <w:lang w:val="en-CA"/>
        </w:rPr>
        <w:t>.</w:t>
      </w:r>
      <w:r w:rsidR="00081775">
        <w:rPr>
          <w:sz w:val="22"/>
          <w:szCs w:val="22"/>
          <w:lang w:val="en-CA"/>
        </w:rPr>
        <w:t>”</w:t>
      </w:r>
      <w:r w:rsidRPr="003F141B">
        <w:rPr>
          <w:sz w:val="22"/>
          <w:szCs w:val="22"/>
          <w:lang w:val="en-CA"/>
        </w:rPr>
        <w:t xml:space="preserve"> Mr. McCrimmon then spoke privately with duty counsel for approximately five minutes. At the end of his conversation, Mr. McCrimmon confirmed that he was satisfied with the consultation and that he understood the advice provided by duty counsel.</w:t>
      </w:r>
    </w:p>
    <w:p w14:paraId="54DD81D4" w14:textId="1ABE8204" w:rsidR="009130CA" w:rsidRPr="003F141B" w:rsidRDefault="001D1646" w:rsidP="009130CA">
      <w:pPr>
        <w:pStyle w:val="Paragraphe"/>
        <w:spacing w:line="280" w:lineRule="exact"/>
        <w:rPr>
          <w:szCs w:val="24"/>
          <w:lang w:val="en-CA"/>
        </w:rPr>
      </w:pPr>
      <w:r w:rsidRPr="003F141B">
        <w:rPr>
          <w:szCs w:val="24"/>
          <w:shd w:val="clear" w:color="auto" w:fill="FFFFFF"/>
          <w:lang w:val="en-CA"/>
        </w:rPr>
        <w:t xml:space="preserve"> </w:t>
      </w:r>
      <w:r w:rsidR="008A0DB7" w:rsidRPr="003F141B">
        <w:rPr>
          <w:szCs w:val="24"/>
          <w:shd w:val="clear" w:color="auto" w:fill="FFFFFF"/>
          <w:lang w:val="en-CA"/>
        </w:rPr>
        <w:t xml:space="preserve">In paragraph 17 of </w:t>
      </w:r>
      <w:r w:rsidR="00BD169A" w:rsidRPr="003F141B">
        <w:rPr>
          <w:szCs w:val="24"/>
          <w:shd w:val="clear" w:color="auto" w:fill="FFFFFF"/>
          <w:lang w:val="en-CA"/>
        </w:rPr>
        <w:t xml:space="preserve">that </w:t>
      </w:r>
      <w:r w:rsidR="008A0DB7" w:rsidRPr="003F141B">
        <w:rPr>
          <w:szCs w:val="24"/>
          <w:shd w:val="clear" w:color="auto" w:fill="FFFFFF"/>
          <w:lang w:val="en-CA"/>
        </w:rPr>
        <w:t>judgment, McLachlin</w:t>
      </w:r>
      <w:r w:rsidR="009F2321">
        <w:rPr>
          <w:szCs w:val="24"/>
          <w:shd w:val="clear" w:color="auto" w:fill="FFFFFF"/>
          <w:lang w:val="en-CA"/>
        </w:rPr>
        <w:t>,</w:t>
      </w:r>
      <w:r w:rsidR="008A0DB7" w:rsidRPr="003F141B">
        <w:rPr>
          <w:szCs w:val="24"/>
          <w:shd w:val="clear" w:color="auto" w:fill="FFFFFF"/>
          <w:lang w:val="en-CA"/>
        </w:rPr>
        <w:t xml:space="preserve"> C.J. and Charron</w:t>
      </w:r>
      <w:r w:rsidR="009F2321">
        <w:rPr>
          <w:szCs w:val="24"/>
          <w:shd w:val="clear" w:color="auto" w:fill="FFFFFF"/>
          <w:lang w:val="en-CA"/>
        </w:rPr>
        <w:t>,</w:t>
      </w:r>
      <w:r w:rsidR="008A0DB7" w:rsidRPr="003F141B">
        <w:rPr>
          <w:szCs w:val="24"/>
          <w:shd w:val="clear" w:color="auto" w:fill="FFFFFF"/>
          <w:lang w:val="en-CA"/>
        </w:rPr>
        <w:t xml:space="preserve"> J. reaffirm that s.</w:t>
      </w:r>
      <w:r w:rsidR="005127AC">
        <w:rPr>
          <w:szCs w:val="24"/>
          <w:shd w:val="clear" w:color="auto" w:fill="FFFFFF"/>
          <w:lang w:val="en-CA"/>
        </w:rPr>
        <w:t> </w:t>
      </w:r>
      <w:r w:rsidR="008A0DB7" w:rsidRPr="003F141B">
        <w:rPr>
          <w:szCs w:val="24"/>
          <w:shd w:val="clear" w:color="auto" w:fill="FFFFFF"/>
          <w:lang w:val="en-CA"/>
        </w:rPr>
        <w:t xml:space="preserve">10(b) of the </w:t>
      </w:r>
      <w:r w:rsidR="008A0DB7" w:rsidRPr="003F141B">
        <w:rPr>
          <w:i/>
          <w:szCs w:val="24"/>
          <w:shd w:val="clear" w:color="auto" w:fill="FFFFFF"/>
          <w:lang w:val="en-CA"/>
        </w:rPr>
        <w:t xml:space="preserve">Charter </w:t>
      </w:r>
      <w:r w:rsidR="008A0DB7" w:rsidRPr="003F141B">
        <w:rPr>
          <w:szCs w:val="24"/>
          <w:shd w:val="clear" w:color="auto" w:fill="FFFFFF"/>
          <w:lang w:val="en-CA"/>
        </w:rPr>
        <w:t>e</w:t>
      </w:r>
      <w:r w:rsidR="008A0DB7" w:rsidRPr="003F141B">
        <w:rPr>
          <w:color w:val="000000"/>
          <w:szCs w:val="24"/>
          <w:lang w:val="en-CA"/>
        </w:rPr>
        <w:t xml:space="preserve">ntitles </w:t>
      </w:r>
      <w:r w:rsidR="00BD169A" w:rsidRPr="003F141B">
        <w:rPr>
          <w:color w:val="000000"/>
          <w:szCs w:val="24"/>
          <w:lang w:val="en-CA"/>
        </w:rPr>
        <w:t xml:space="preserve">a </w:t>
      </w:r>
      <w:r w:rsidR="008A0DB7" w:rsidRPr="003F141B">
        <w:rPr>
          <w:color w:val="000000"/>
          <w:szCs w:val="24"/>
          <w:lang w:val="en-CA"/>
        </w:rPr>
        <w:t xml:space="preserve">detained person to </w:t>
      </w:r>
      <w:r w:rsidR="00081775">
        <w:rPr>
          <w:color w:val="000000"/>
          <w:szCs w:val="24"/>
          <w:lang w:val="en-CA"/>
        </w:rPr>
        <w:t>“</w:t>
      </w:r>
      <w:r w:rsidR="008A0DB7" w:rsidRPr="003F141B">
        <w:rPr>
          <w:color w:val="000000"/>
          <w:szCs w:val="24"/>
          <w:lang w:val="en-CA"/>
        </w:rPr>
        <w:t>a reasonable opportunity to contact chosen counsel</w:t>
      </w:r>
      <w:r w:rsidR="00081775">
        <w:rPr>
          <w:color w:val="000000"/>
          <w:szCs w:val="24"/>
          <w:lang w:val="en-CA"/>
        </w:rPr>
        <w:t>”</w:t>
      </w:r>
      <w:r w:rsidR="008A0DB7" w:rsidRPr="003F141B">
        <w:rPr>
          <w:color w:val="000000"/>
          <w:szCs w:val="24"/>
          <w:lang w:val="en-CA"/>
        </w:rPr>
        <w:t xml:space="preserve"> and that </w:t>
      </w:r>
      <w:r w:rsidR="00081775">
        <w:rPr>
          <w:color w:val="000000"/>
          <w:szCs w:val="24"/>
          <w:lang w:val="en-CA"/>
        </w:rPr>
        <w:t>“</w:t>
      </w:r>
      <w:r w:rsidR="008A0DB7" w:rsidRPr="003F141B">
        <w:rPr>
          <w:rFonts w:cs="Arial"/>
          <w:color w:val="000000"/>
          <w:szCs w:val="24"/>
          <w:lang w:val="en-CA"/>
        </w:rPr>
        <w:t>[</w:t>
      </w:r>
      <w:proofErr w:type="spellStart"/>
      <w:r w:rsidR="005C61A1" w:rsidRPr="003F141B">
        <w:rPr>
          <w:color w:val="000000"/>
          <w:szCs w:val="24"/>
          <w:lang w:val="en-CA"/>
        </w:rPr>
        <w:t>i</w:t>
      </w:r>
      <w:proofErr w:type="spellEnd"/>
      <w:r w:rsidR="008A0DB7" w:rsidRPr="003F141B">
        <w:rPr>
          <w:rFonts w:cs="Arial"/>
          <w:color w:val="000000"/>
          <w:szCs w:val="24"/>
          <w:lang w:val="en-CA"/>
        </w:rPr>
        <w:t>]</w:t>
      </w:r>
      <w:r w:rsidR="005C61A1" w:rsidRPr="003F141B">
        <w:rPr>
          <w:color w:val="000000"/>
          <w:szCs w:val="24"/>
          <w:lang w:val="en-CA"/>
        </w:rPr>
        <w:t>f the chosen lawyer is not immediately available, the detainee has the right to refuse to contact another counsel and wait a reasonable amount of time for counsel of choice to become available</w:t>
      </w:r>
      <w:r w:rsidR="00081775">
        <w:rPr>
          <w:color w:val="000000"/>
          <w:szCs w:val="24"/>
          <w:lang w:val="en-CA"/>
        </w:rPr>
        <w:t>”</w:t>
      </w:r>
      <w:r w:rsidR="002C1CFC">
        <w:rPr>
          <w:color w:val="000000"/>
          <w:szCs w:val="24"/>
          <w:lang w:val="en-CA"/>
        </w:rPr>
        <w:t>.</w:t>
      </w:r>
      <w:r w:rsidR="005C61A1" w:rsidRPr="003F141B">
        <w:rPr>
          <w:color w:val="000000"/>
          <w:szCs w:val="24"/>
          <w:lang w:val="en-CA"/>
        </w:rPr>
        <w:t xml:space="preserve"> </w:t>
      </w:r>
      <w:r w:rsidRPr="003F141B">
        <w:rPr>
          <w:kern w:val="24"/>
          <w:szCs w:val="24"/>
          <w:shd w:val="clear" w:color="auto" w:fill="FFFFFF"/>
          <w:lang w:val="en-CA"/>
        </w:rPr>
        <w:t>Nonetheless, the</w:t>
      </w:r>
      <w:r w:rsidR="005C61A1" w:rsidRPr="003F141B">
        <w:rPr>
          <w:kern w:val="24"/>
          <w:szCs w:val="24"/>
          <w:shd w:val="clear" w:color="auto" w:fill="FFFFFF"/>
          <w:lang w:val="en-CA"/>
        </w:rPr>
        <w:t>y</w:t>
      </w:r>
      <w:r w:rsidRPr="003F141B">
        <w:rPr>
          <w:kern w:val="24"/>
          <w:szCs w:val="24"/>
          <w:shd w:val="clear" w:color="auto" w:fill="FFFFFF"/>
          <w:lang w:val="en-CA"/>
        </w:rPr>
        <w:t xml:space="preserve"> rejected Mr. McCrimmon</w:t>
      </w:r>
      <w:r w:rsidR="003061CC">
        <w:rPr>
          <w:kern w:val="24"/>
          <w:szCs w:val="24"/>
          <w:shd w:val="clear" w:color="auto" w:fill="FFFFFF"/>
          <w:lang w:val="en-CA"/>
        </w:rPr>
        <w:t>’</w:t>
      </w:r>
      <w:r w:rsidRPr="003F141B">
        <w:rPr>
          <w:kern w:val="24"/>
          <w:szCs w:val="24"/>
          <w:shd w:val="clear" w:color="auto" w:fill="FFFFFF"/>
          <w:lang w:val="en-CA"/>
        </w:rPr>
        <w:t>s argument:</w:t>
      </w:r>
    </w:p>
    <w:p w14:paraId="50CA90E9" w14:textId="198E9B2A" w:rsidR="009130CA" w:rsidRPr="003F141B" w:rsidRDefault="001D1646" w:rsidP="009130CA">
      <w:pPr>
        <w:pStyle w:val="Citationenretrait"/>
        <w:rPr>
          <w:szCs w:val="22"/>
          <w:lang w:val="en-CA"/>
        </w:rPr>
      </w:pPr>
      <w:r w:rsidRPr="003F141B">
        <w:rPr>
          <w:szCs w:val="22"/>
          <w:lang w:val="en-CA"/>
        </w:rPr>
        <w:t>[19]  In this case, we agree with the courts below in rejecting Mr. McCrimmon</w:t>
      </w:r>
      <w:r w:rsidR="003061CC">
        <w:rPr>
          <w:szCs w:val="22"/>
          <w:lang w:val="en-CA"/>
        </w:rPr>
        <w:t>’</w:t>
      </w:r>
      <w:r w:rsidRPr="003F141B">
        <w:rPr>
          <w:szCs w:val="22"/>
          <w:lang w:val="en-CA"/>
        </w:rPr>
        <w:t xml:space="preserve">s contention that he was denied the right to counsel of choice in a manner that contravened his rights under s. 10(b). While Mr. McCrimmon expressed a preference for speaking with Mr. </w:t>
      </w:r>
      <w:proofErr w:type="spellStart"/>
      <w:r w:rsidRPr="003F141B">
        <w:rPr>
          <w:szCs w:val="22"/>
          <w:lang w:val="en-CA"/>
        </w:rPr>
        <w:t>Cheevers</w:t>
      </w:r>
      <w:proofErr w:type="spellEnd"/>
      <w:r w:rsidRPr="003F141B">
        <w:rPr>
          <w:szCs w:val="22"/>
          <w:lang w:val="en-CA"/>
        </w:rPr>
        <w:t xml:space="preserve">, the police rightly inquired whether he wanted to contact Legal Aid instead when Mr. </w:t>
      </w:r>
      <w:proofErr w:type="spellStart"/>
      <w:r w:rsidRPr="003F141B">
        <w:rPr>
          <w:szCs w:val="22"/>
          <w:lang w:val="en-CA"/>
        </w:rPr>
        <w:t>Cheevers</w:t>
      </w:r>
      <w:proofErr w:type="spellEnd"/>
      <w:r w:rsidRPr="003F141B">
        <w:rPr>
          <w:szCs w:val="22"/>
          <w:lang w:val="en-CA"/>
        </w:rPr>
        <w:t xml:space="preserve"> was not immediately available. Mr. McCrimmon agreed</w:t>
      </w:r>
      <w:proofErr w:type="gramStart"/>
      <w:r w:rsidRPr="003F141B">
        <w:rPr>
          <w:szCs w:val="22"/>
          <w:lang w:val="en-CA"/>
        </w:rPr>
        <w:t>,  exercised</w:t>
      </w:r>
      <w:proofErr w:type="gramEnd"/>
      <w:r w:rsidRPr="003F141B">
        <w:rPr>
          <w:szCs w:val="22"/>
          <w:lang w:val="en-CA"/>
        </w:rPr>
        <w:t xml:space="preserve"> his right to counsel before the interview began, and expressed satisfaction with the consultation. He also indicated an awareness of his rights at the commencement of the interview. In these circumstances, there was no further obligation on the police to hold off the interrogation until such time as Mr. </w:t>
      </w:r>
      <w:proofErr w:type="spellStart"/>
      <w:r w:rsidRPr="003F141B">
        <w:rPr>
          <w:szCs w:val="22"/>
          <w:lang w:val="en-CA"/>
        </w:rPr>
        <w:t>Cheevers</w:t>
      </w:r>
      <w:proofErr w:type="spellEnd"/>
      <w:r w:rsidRPr="003F141B">
        <w:rPr>
          <w:szCs w:val="22"/>
          <w:lang w:val="en-CA"/>
        </w:rPr>
        <w:t xml:space="preserve"> became available.</w:t>
      </w:r>
      <w:r w:rsidR="005003D8" w:rsidRPr="003F141B">
        <w:rPr>
          <w:szCs w:val="22"/>
          <w:lang w:val="en-CA"/>
        </w:rPr>
        <w:t> </w:t>
      </w:r>
    </w:p>
    <w:p w14:paraId="06260DE5" w14:textId="4714024C" w:rsidR="009130CA" w:rsidRPr="003F141B" w:rsidRDefault="00BF4FCE" w:rsidP="009130CA">
      <w:pPr>
        <w:pStyle w:val="Paragraphe"/>
        <w:spacing w:line="280" w:lineRule="exact"/>
        <w:rPr>
          <w:lang w:val="en-CA"/>
        </w:rPr>
      </w:pPr>
      <w:r w:rsidRPr="003F141B">
        <w:rPr>
          <w:lang w:val="en-CA"/>
        </w:rPr>
        <w:t xml:space="preserve">It must be noted that the dissenting opinion of </w:t>
      </w:r>
      <w:proofErr w:type="spellStart"/>
      <w:r w:rsidRPr="003F141B">
        <w:rPr>
          <w:lang w:val="en-CA"/>
        </w:rPr>
        <w:t>LeBel</w:t>
      </w:r>
      <w:proofErr w:type="spellEnd"/>
      <w:r w:rsidRPr="003F141B">
        <w:rPr>
          <w:lang w:val="en-CA"/>
        </w:rPr>
        <w:t xml:space="preserve"> and Fish</w:t>
      </w:r>
      <w:r w:rsidR="00804D32">
        <w:rPr>
          <w:lang w:val="en-CA"/>
        </w:rPr>
        <w:t>,</w:t>
      </w:r>
      <w:r w:rsidRPr="003F141B">
        <w:rPr>
          <w:lang w:val="en-CA"/>
        </w:rPr>
        <w:t xml:space="preserve"> JJ. in </w:t>
      </w:r>
      <w:r w:rsidRPr="003F141B">
        <w:rPr>
          <w:i/>
          <w:lang w:val="en-CA"/>
        </w:rPr>
        <w:t>McCrimmon</w:t>
      </w:r>
      <w:r w:rsidRPr="003F141B">
        <w:rPr>
          <w:lang w:val="en-CA"/>
        </w:rPr>
        <w:t>, as well as their concurring reasons and those of Binnie</w:t>
      </w:r>
      <w:r w:rsidR="009F2321">
        <w:rPr>
          <w:lang w:val="en-CA"/>
        </w:rPr>
        <w:t>,</w:t>
      </w:r>
      <w:r w:rsidRPr="003F141B">
        <w:rPr>
          <w:lang w:val="en-CA"/>
        </w:rPr>
        <w:t xml:space="preserve"> J. in </w:t>
      </w:r>
      <w:r w:rsidRPr="003F141B">
        <w:rPr>
          <w:i/>
          <w:lang w:val="en-CA"/>
        </w:rPr>
        <w:t>Willier</w:t>
      </w:r>
      <w:r w:rsidRPr="003F141B">
        <w:rPr>
          <w:lang w:val="en-CA"/>
        </w:rPr>
        <w:t xml:space="preserve">, do not address these </w:t>
      </w:r>
      <w:r w:rsidR="007F0661" w:rsidRPr="003F141B">
        <w:rPr>
          <w:lang w:val="en-CA"/>
        </w:rPr>
        <w:t xml:space="preserve">portions </w:t>
      </w:r>
      <w:r w:rsidR="005C61A1" w:rsidRPr="003F141B">
        <w:rPr>
          <w:lang w:val="en-CA"/>
        </w:rPr>
        <w:t>of the reasons of McLachlin</w:t>
      </w:r>
      <w:r w:rsidR="009F2321">
        <w:rPr>
          <w:lang w:val="en-CA"/>
        </w:rPr>
        <w:t>,</w:t>
      </w:r>
      <w:r w:rsidRPr="003F141B">
        <w:rPr>
          <w:lang w:val="en-CA"/>
        </w:rPr>
        <w:t xml:space="preserve"> C.J. and Charron</w:t>
      </w:r>
      <w:r w:rsidR="009F2321">
        <w:rPr>
          <w:lang w:val="en-CA"/>
        </w:rPr>
        <w:t>,</w:t>
      </w:r>
      <w:r w:rsidRPr="003F141B">
        <w:rPr>
          <w:lang w:val="en-CA"/>
        </w:rPr>
        <w:t xml:space="preserve"> J.</w:t>
      </w:r>
      <w:r w:rsidR="00A7517E">
        <w:rPr>
          <w:lang w:val="en-CA"/>
        </w:rPr>
        <w:t xml:space="preserve"> writing</w:t>
      </w:r>
      <w:r w:rsidRPr="003F141B">
        <w:rPr>
          <w:lang w:val="en-CA"/>
        </w:rPr>
        <w:t xml:space="preserve"> for the majority.</w:t>
      </w:r>
    </w:p>
    <w:p w14:paraId="7CEFB619" w14:textId="0EE34738" w:rsidR="009130CA" w:rsidRPr="003F141B" w:rsidRDefault="00BF4FCE" w:rsidP="009130CA">
      <w:pPr>
        <w:pStyle w:val="Paragraphe"/>
        <w:spacing w:line="280" w:lineRule="exact"/>
        <w:rPr>
          <w:lang w:val="en-CA"/>
        </w:rPr>
      </w:pPr>
      <w:r w:rsidRPr="003F141B">
        <w:rPr>
          <w:lang w:val="en-CA"/>
        </w:rPr>
        <w:t xml:space="preserve">In </w:t>
      </w:r>
      <w:r w:rsidRPr="003F141B">
        <w:rPr>
          <w:i/>
          <w:lang w:val="en-CA"/>
        </w:rPr>
        <w:t>R. v. Taylor</w:t>
      </w:r>
      <w:r w:rsidRPr="003F141B">
        <w:rPr>
          <w:lang w:val="en-CA"/>
        </w:rPr>
        <w:t>, 2014 SCC 50, [2014] 2 S.C.R. 495, the Supreme Court revisited the obligation of police officers to facilitate access to a lawyer upon request,</w:t>
      </w:r>
      <w:r w:rsidR="007F0661" w:rsidRPr="003F141B">
        <w:rPr>
          <w:lang w:val="en-CA"/>
        </w:rPr>
        <w:t xml:space="preserve"> stating</w:t>
      </w:r>
      <w:r w:rsidRPr="003F141B">
        <w:rPr>
          <w:lang w:val="en-CA"/>
        </w:rPr>
        <w:t xml:space="preserve"> </w:t>
      </w:r>
      <w:r w:rsidR="00081775">
        <w:rPr>
          <w:lang w:val="en-CA"/>
        </w:rPr>
        <w:t>“</w:t>
      </w:r>
      <w:r w:rsidRPr="003F141B">
        <w:rPr>
          <w:lang w:val="en-CA"/>
        </w:rPr>
        <w:t xml:space="preserve">all this because the detainee is in the control of the police and cannot exercise his right to </w:t>
      </w:r>
      <w:r w:rsidRPr="003F141B">
        <w:rPr>
          <w:lang w:val="en-CA"/>
        </w:rPr>
        <w:lastRenderedPageBreak/>
        <w:t>counsel unless the police give him a reasonable opportunity to do so</w:t>
      </w:r>
      <w:r w:rsidR="00081775">
        <w:rPr>
          <w:lang w:val="en-CA"/>
        </w:rPr>
        <w:t>”</w:t>
      </w:r>
      <w:r w:rsidRPr="003F141B">
        <w:rPr>
          <w:lang w:val="en-CA"/>
        </w:rPr>
        <w:t xml:space="preserve"> (para. </w:t>
      </w:r>
      <w:r w:rsidR="005003D8" w:rsidRPr="003F141B">
        <w:rPr>
          <w:lang w:val="en-CA"/>
        </w:rPr>
        <w:t xml:space="preserve"> 25). </w:t>
      </w:r>
      <w:r w:rsidR="002540E1" w:rsidRPr="003F141B">
        <w:rPr>
          <w:lang w:val="en-CA"/>
        </w:rPr>
        <w:t xml:space="preserve">In this regard, </w:t>
      </w:r>
      <w:proofErr w:type="spellStart"/>
      <w:r w:rsidR="002540E1" w:rsidRPr="003F141B">
        <w:rPr>
          <w:lang w:val="en-CA"/>
        </w:rPr>
        <w:t>Abella</w:t>
      </w:r>
      <w:proofErr w:type="spellEnd"/>
      <w:r w:rsidR="009F2321">
        <w:rPr>
          <w:lang w:val="en-CA"/>
        </w:rPr>
        <w:t>,</w:t>
      </w:r>
      <w:r w:rsidR="002540E1" w:rsidRPr="003F141B">
        <w:rPr>
          <w:lang w:val="en-CA"/>
        </w:rPr>
        <w:t xml:space="preserve"> J., on behalf of the Court, noted that </w:t>
      </w:r>
      <w:r w:rsidR="00081775">
        <w:rPr>
          <w:lang w:val="en-CA"/>
        </w:rPr>
        <w:t>“</w:t>
      </w:r>
      <w:r w:rsidR="002540E1" w:rsidRPr="003F141B">
        <w:rPr>
          <w:lang w:val="en-CA"/>
        </w:rPr>
        <w:t xml:space="preserve">proactive steps are required to turn the </w:t>
      </w:r>
      <w:r w:rsidR="002540E1" w:rsidRPr="003F141B">
        <w:rPr>
          <w:i/>
          <w:lang w:val="en-CA"/>
        </w:rPr>
        <w:t>right</w:t>
      </w:r>
      <w:r w:rsidR="002540E1" w:rsidRPr="003F141B">
        <w:rPr>
          <w:lang w:val="en-CA"/>
        </w:rPr>
        <w:t xml:space="preserve"> to counsel into </w:t>
      </w:r>
      <w:r w:rsidR="002540E1" w:rsidRPr="003F141B">
        <w:rPr>
          <w:i/>
          <w:lang w:val="en-CA"/>
        </w:rPr>
        <w:t>access</w:t>
      </w:r>
      <w:r w:rsidR="002540E1" w:rsidRPr="003F141B">
        <w:rPr>
          <w:lang w:val="en-CA"/>
        </w:rPr>
        <w:t xml:space="preserve"> to counsel</w:t>
      </w:r>
      <w:r w:rsidR="00081775">
        <w:rPr>
          <w:lang w:val="en-CA"/>
        </w:rPr>
        <w:t>”</w:t>
      </w:r>
      <w:r w:rsidR="005003D8" w:rsidRPr="003F141B">
        <w:rPr>
          <w:lang w:val="en-CA"/>
        </w:rPr>
        <w:t xml:space="preserve"> </w:t>
      </w:r>
      <w:r w:rsidR="005C61A1" w:rsidRPr="003F141B">
        <w:rPr>
          <w:lang w:val="en-CA"/>
        </w:rPr>
        <w:t xml:space="preserve">(para. </w:t>
      </w:r>
      <w:r w:rsidR="005003D8" w:rsidRPr="003F141B">
        <w:rPr>
          <w:lang w:val="en-CA"/>
        </w:rPr>
        <w:t>33).</w:t>
      </w:r>
    </w:p>
    <w:p w14:paraId="1329C7DC" w14:textId="402FE238" w:rsidR="009130CA" w:rsidRPr="003F141B" w:rsidRDefault="002540E1" w:rsidP="009130CA">
      <w:pPr>
        <w:pStyle w:val="Paragraphe"/>
        <w:spacing w:line="280" w:lineRule="exact"/>
        <w:rPr>
          <w:lang w:val="en-CA"/>
        </w:rPr>
      </w:pPr>
      <w:r w:rsidRPr="003F141B">
        <w:rPr>
          <w:lang w:val="en-CA"/>
        </w:rPr>
        <w:t>According to the Court of Appeal for Saskatchewan, that is also true for access to counsel of choice:</w:t>
      </w:r>
      <w:r w:rsidR="005003D8" w:rsidRPr="003F141B">
        <w:rPr>
          <w:lang w:val="en-CA"/>
        </w:rPr>
        <w:t xml:space="preserve"> </w:t>
      </w:r>
      <w:r w:rsidRPr="003F141B">
        <w:rPr>
          <w:i/>
          <w:lang w:val="en-CA"/>
        </w:rPr>
        <w:t xml:space="preserve">R. v. </w:t>
      </w:r>
      <w:proofErr w:type="spellStart"/>
      <w:r w:rsidRPr="003F141B">
        <w:rPr>
          <w:i/>
          <w:lang w:val="en-CA"/>
        </w:rPr>
        <w:t>Ector</w:t>
      </w:r>
      <w:proofErr w:type="spellEnd"/>
      <w:r w:rsidRPr="003F141B">
        <w:rPr>
          <w:lang w:val="en-CA"/>
        </w:rPr>
        <w:t>, 2018 SKCA 46</w:t>
      </w:r>
      <w:r w:rsidR="00DF4511">
        <w:rPr>
          <w:lang w:val="en-CA"/>
        </w:rPr>
        <w:t>,</w:t>
      </w:r>
      <w:r w:rsidRPr="003F141B">
        <w:rPr>
          <w:lang w:val="en-CA"/>
        </w:rPr>
        <w:t xml:space="preserve"> para.</w:t>
      </w:r>
      <w:r w:rsidR="005003D8" w:rsidRPr="003F141B">
        <w:rPr>
          <w:lang w:val="en-CA"/>
        </w:rPr>
        <w:t xml:space="preserve"> 46. </w:t>
      </w:r>
      <w:r w:rsidRPr="003F141B">
        <w:rPr>
          <w:lang w:val="en-CA"/>
        </w:rPr>
        <w:t>Schwann</w:t>
      </w:r>
      <w:r w:rsidR="00BE76B7">
        <w:rPr>
          <w:lang w:val="en-CA"/>
        </w:rPr>
        <w:t>,</w:t>
      </w:r>
      <w:r w:rsidRPr="003F141B">
        <w:rPr>
          <w:lang w:val="en-CA"/>
        </w:rPr>
        <w:t xml:space="preserve"> J., who delivered the judgment, stated the following:</w:t>
      </w:r>
    </w:p>
    <w:p w14:paraId="44E4F041" w14:textId="2DDC8537" w:rsidR="009130CA" w:rsidRPr="003F141B" w:rsidRDefault="005003D8" w:rsidP="009130CA">
      <w:pPr>
        <w:pStyle w:val="Citationenretrait"/>
        <w:rPr>
          <w:lang w:val="en-CA"/>
        </w:rPr>
      </w:pPr>
      <w:r w:rsidRPr="003F141B">
        <w:rPr>
          <w:lang w:val="en-CA"/>
        </w:rPr>
        <w:t>[45]</w:t>
      </w:r>
      <w:proofErr w:type="gramStart"/>
      <w:r w:rsidRPr="003F141B">
        <w:rPr>
          <w:lang w:val="en-CA"/>
        </w:rPr>
        <w:t>  </w:t>
      </w:r>
      <w:r w:rsidRPr="003F141B">
        <w:rPr>
          <w:i/>
          <w:lang w:val="en-CA"/>
        </w:rPr>
        <w:t>Taylor</w:t>
      </w:r>
      <w:proofErr w:type="gramEnd"/>
      <w:r w:rsidRPr="003F141B">
        <w:rPr>
          <w:lang w:val="en-CA"/>
        </w:rPr>
        <w:t xml:space="preserve"> reminds us that </w:t>
      </w:r>
      <w:r w:rsidR="00081775">
        <w:rPr>
          <w:lang w:val="en-CA"/>
        </w:rPr>
        <w:t>“</w:t>
      </w:r>
      <w:r w:rsidRPr="003F141B">
        <w:rPr>
          <w:lang w:val="en-CA"/>
        </w:rPr>
        <w:t>proactive steps are required to turn the </w:t>
      </w:r>
      <w:r w:rsidRPr="003F141B">
        <w:rPr>
          <w:i/>
          <w:lang w:val="en-CA"/>
        </w:rPr>
        <w:t>right</w:t>
      </w:r>
      <w:r w:rsidRPr="003F141B">
        <w:rPr>
          <w:lang w:val="en-CA"/>
        </w:rPr>
        <w:t> to counsel into </w:t>
      </w:r>
      <w:r w:rsidRPr="003F141B">
        <w:rPr>
          <w:i/>
          <w:lang w:val="en-CA"/>
        </w:rPr>
        <w:t>access</w:t>
      </w:r>
      <w:r w:rsidRPr="003F141B">
        <w:rPr>
          <w:lang w:val="en-CA"/>
        </w:rPr>
        <w:t> to counsel</w:t>
      </w:r>
      <w:r w:rsidR="00081775">
        <w:rPr>
          <w:lang w:val="en-CA"/>
        </w:rPr>
        <w:t>”</w:t>
      </w:r>
      <w:r w:rsidRPr="003F141B">
        <w:rPr>
          <w:lang w:val="en-CA"/>
        </w:rPr>
        <w:t xml:space="preserve"> (at para 33, emphasis in original). Importantly, the Supreme Court went on to observe that, as a result of the officers</w:t>
      </w:r>
      <w:r w:rsidR="003061CC">
        <w:rPr>
          <w:lang w:val="en-CA"/>
        </w:rPr>
        <w:t>’</w:t>
      </w:r>
      <w:r w:rsidRPr="003F141B">
        <w:rPr>
          <w:lang w:val="en-CA"/>
        </w:rPr>
        <w:t xml:space="preserve"> failure to even turn their minds to how the accused</w:t>
      </w:r>
      <w:r w:rsidR="003061CC">
        <w:rPr>
          <w:lang w:val="en-CA"/>
        </w:rPr>
        <w:t>’</w:t>
      </w:r>
      <w:r w:rsidRPr="003F141B">
        <w:rPr>
          <w:lang w:val="en-CA"/>
        </w:rPr>
        <w:t>s right to access counsel could have been facilitated in the unique circumstances of that case, the trial judge was unable to even </w:t>
      </w:r>
      <w:r w:rsidRPr="003F141B">
        <w:rPr>
          <w:i/>
          <w:lang w:val="en-CA"/>
        </w:rPr>
        <w:t>assess the reasonableness</w:t>
      </w:r>
      <w:r w:rsidRPr="003F141B">
        <w:rPr>
          <w:lang w:val="en-CA"/>
        </w:rPr>
        <w:t> of the police action (para 35).</w:t>
      </w:r>
    </w:p>
    <w:p w14:paraId="1DE1C355" w14:textId="4126DE9F" w:rsidR="009130CA" w:rsidRPr="003F141B" w:rsidRDefault="005003D8" w:rsidP="009130CA">
      <w:pPr>
        <w:pStyle w:val="Citationenretrait"/>
        <w:rPr>
          <w:lang w:val="en-CA"/>
        </w:rPr>
      </w:pPr>
      <w:r w:rsidRPr="003F141B">
        <w:rPr>
          <w:lang w:val="en-CA"/>
        </w:rPr>
        <w:t>[</w:t>
      </w:r>
      <w:bookmarkStart w:id="21" w:name="par46"/>
      <w:r w:rsidRPr="003F141B">
        <w:rPr>
          <w:lang w:val="en-CA"/>
        </w:rPr>
        <w:t>46</w:t>
      </w:r>
      <w:bookmarkEnd w:id="21"/>
      <w:r w:rsidRPr="003F141B">
        <w:rPr>
          <w:lang w:val="en-CA"/>
        </w:rPr>
        <w:t>]</w:t>
      </w:r>
      <w:proofErr w:type="gramStart"/>
      <w:r w:rsidRPr="003F141B">
        <w:rPr>
          <w:lang w:val="en-CA"/>
        </w:rPr>
        <w:t>  The</w:t>
      </w:r>
      <w:proofErr w:type="gramEnd"/>
      <w:r w:rsidRPr="003F141B">
        <w:rPr>
          <w:lang w:val="en-CA"/>
        </w:rPr>
        <w:t xml:space="preserve"> obligation</w:t>
      </w:r>
      <w:r w:rsidR="00647765" w:rsidRPr="003F141B">
        <w:rPr>
          <w:lang w:val="en-CA"/>
        </w:rPr>
        <w:t xml:space="preserve"> </w:t>
      </w:r>
      <w:r w:rsidRPr="003F141B">
        <w:rPr>
          <w:lang w:val="en-CA"/>
        </w:rPr>
        <w:t>to facilitate a reasonable opportunity for the detainee to contact counsel includes facilitating a reasonable opportunity to contact counsel of choice and imposes a positive obligation on the police to facilitate that contact (</w:t>
      </w:r>
      <w:r w:rsidRPr="003F141B">
        <w:rPr>
          <w:i/>
          <w:lang w:val="en-CA"/>
        </w:rPr>
        <w:t>Willier</w:t>
      </w:r>
      <w:r w:rsidRPr="003F141B">
        <w:rPr>
          <w:lang w:val="en-CA"/>
        </w:rPr>
        <w:t> at paras 33–35).</w:t>
      </w:r>
    </w:p>
    <w:p w14:paraId="790F65EC" w14:textId="08066500" w:rsidR="009130CA" w:rsidRPr="003F141B" w:rsidRDefault="002540E1" w:rsidP="009130CA">
      <w:pPr>
        <w:pStyle w:val="Paragraphe"/>
        <w:spacing w:line="280" w:lineRule="exact"/>
        <w:rPr>
          <w:lang w:val="en-CA"/>
        </w:rPr>
      </w:pPr>
      <w:r w:rsidRPr="003F141B">
        <w:rPr>
          <w:lang w:val="en-CA"/>
        </w:rPr>
        <w:t>Later, Schwann</w:t>
      </w:r>
      <w:r w:rsidR="00BE76B7">
        <w:rPr>
          <w:lang w:val="en-CA"/>
        </w:rPr>
        <w:t>,</w:t>
      </w:r>
      <w:r w:rsidRPr="003F141B">
        <w:rPr>
          <w:lang w:val="en-CA"/>
        </w:rPr>
        <w:t xml:space="preserve"> J. noted that there is an additional layer of complexity to the analysis of </w:t>
      </w:r>
      <w:r w:rsidR="00147C72" w:rsidRPr="003F141B">
        <w:rPr>
          <w:lang w:val="en-CA"/>
        </w:rPr>
        <w:t>s.</w:t>
      </w:r>
      <w:r w:rsidRPr="003F141B">
        <w:rPr>
          <w:lang w:val="en-CA"/>
        </w:rPr>
        <w:t xml:space="preserve"> 10(b) of the </w:t>
      </w:r>
      <w:r w:rsidRPr="003F141B">
        <w:rPr>
          <w:i/>
          <w:lang w:val="en-CA"/>
        </w:rPr>
        <w:t>Charter</w:t>
      </w:r>
      <w:r w:rsidRPr="003F141B">
        <w:rPr>
          <w:lang w:val="en-CA"/>
        </w:rPr>
        <w:t xml:space="preserve"> where the police assume control over establishing contact with the chosen counsel (para. 50)</w:t>
      </w:r>
      <w:r w:rsidR="005003D8" w:rsidRPr="003F141B">
        <w:rPr>
          <w:lang w:val="en-CA"/>
        </w:rPr>
        <w:t xml:space="preserve">. </w:t>
      </w:r>
      <w:r w:rsidRPr="003F141B">
        <w:rPr>
          <w:lang w:val="en-CA"/>
        </w:rPr>
        <w:t xml:space="preserve">She identified several lower court decisions that held that when the police interject themselves into the </w:t>
      </w:r>
      <w:r w:rsidR="005C61A1" w:rsidRPr="003F141B">
        <w:rPr>
          <w:lang w:val="en-CA"/>
        </w:rPr>
        <w:t>process, they</w:t>
      </w:r>
      <w:r w:rsidRPr="003F141B">
        <w:rPr>
          <w:lang w:val="en-CA"/>
        </w:rPr>
        <w:t xml:space="preserve"> </w:t>
      </w:r>
      <w:r w:rsidR="00081775">
        <w:rPr>
          <w:lang w:val="en-CA"/>
        </w:rPr>
        <w:t>“</w:t>
      </w:r>
      <w:r w:rsidRPr="003F141B">
        <w:rPr>
          <w:lang w:val="en-CA"/>
        </w:rPr>
        <w:t>must do as much as the accused would have done to contact the accused</w:t>
      </w:r>
      <w:r w:rsidR="003061CC">
        <w:rPr>
          <w:lang w:val="en-CA"/>
        </w:rPr>
        <w:t>’</w:t>
      </w:r>
      <w:r w:rsidRPr="003F141B">
        <w:rPr>
          <w:lang w:val="en-CA"/>
        </w:rPr>
        <w:t xml:space="preserve">s lawyer of </w:t>
      </w:r>
      <w:proofErr w:type="gramStart"/>
      <w:r w:rsidRPr="003F141B">
        <w:rPr>
          <w:lang w:val="en-CA"/>
        </w:rPr>
        <w:t>choice </w:t>
      </w:r>
      <w:r w:rsidR="00081775">
        <w:rPr>
          <w:lang w:val="en-CA"/>
        </w:rPr>
        <w:t>”</w:t>
      </w:r>
      <w:proofErr w:type="gramEnd"/>
      <w:r w:rsidR="005C61A1" w:rsidRPr="003F141B">
        <w:rPr>
          <w:lang w:val="en-CA"/>
        </w:rPr>
        <w:t>(</w:t>
      </w:r>
      <w:r w:rsidRPr="003F141B">
        <w:rPr>
          <w:lang w:val="en-CA"/>
        </w:rPr>
        <w:t>para.</w:t>
      </w:r>
      <w:r w:rsidR="00C12C45">
        <w:rPr>
          <w:lang w:val="en-CA"/>
        </w:rPr>
        <w:t> </w:t>
      </w:r>
      <w:r w:rsidRPr="003F141B">
        <w:rPr>
          <w:lang w:val="en-CA"/>
        </w:rPr>
        <w:t>53, references omitted).</w:t>
      </w:r>
    </w:p>
    <w:p w14:paraId="5EC60AF7" w14:textId="22E0C4DC" w:rsidR="009130CA" w:rsidRPr="003F141B" w:rsidRDefault="007F0661" w:rsidP="009130CA">
      <w:pPr>
        <w:pStyle w:val="Paragraphe"/>
        <w:spacing w:line="280" w:lineRule="exact"/>
        <w:rPr>
          <w:lang w:val="en-CA"/>
        </w:rPr>
      </w:pPr>
      <w:r w:rsidRPr="003F141B">
        <w:rPr>
          <w:lang w:val="en-CA"/>
        </w:rPr>
        <w:t>Ultimately</w:t>
      </w:r>
      <w:r w:rsidR="002540E1" w:rsidRPr="003F141B">
        <w:rPr>
          <w:lang w:val="en-CA"/>
        </w:rPr>
        <w:t xml:space="preserve">, after </w:t>
      </w:r>
      <w:r w:rsidR="002540E1" w:rsidRPr="003F141B">
        <w:rPr>
          <w:i/>
          <w:lang w:val="en-CA"/>
        </w:rPr>
        <w:t>Willier</w:t>
      </w:r>
      <w:r w:rsidR="002540E1" w:rsidRPr="003F141B">
        <w:rPr>
          <w:lang w:val="en-CA"/>
        </w:rPr>
        <w:t xml:space="preserve"> and </w:t>
      </w:r>
      <w:r w:rsidR="002540E1" w:rsidRPr="003F141B">
        <w:rPr>
          <w:i/>
          <w:lang w:val="en-CA"/>
        </w:rPr>
        <w:t>McCrimmon</w:t>
      </w:r>
      <w:r w:rsidR="002540E1" w:rsidRPr="003F141B">
        <w:rPr>
          <w:lang w:val="en-CA"/>
        </w:rPr>
        <w:t>, what can be concluded from the detained person</w:t>
      </w:r>
      <w:r w:rsidR="003061CC">
        <w:rPr>
          <w:lang w:val="en-CA"/>
        </w:rPr>
        <w:t>’</w:t>
      </w:r>
      <w:r w:rsidR="002540E1" w:rsidRPr="003F141B">
        <w:rPr>
          <w:lang w:val="en-CA"/>
        </w:rPr>
        <w:t xml:space="preserve">s decision to contact a different lawyer after being </w:t>
      </w:r>
      <w:r w:rsidR="005C61A1" w:rsidRPr="003F141B">
        <w:rPr>
          <w:lang w:val="en-CA"/>
        </w:rPr>
        <w:t>informed</w:t>
      </w:r>
      <w:r w:rsidR="002540E1" w:rsidRPr="003F141B">
        <w:rPr>
          <w:lang w:val="en-CA"/>
        </w:rPr>
        <w:t xml:space="preserve"> that counsel of choice is not available?</w:t>
      </w:r>
    </w:p>
    <w:p w14:paraId="6E9F85DC" w14:textId="51DB76DF" w:rsidR="009130CA" w:rsidRPr="003F141B" w:rsidRDefault="002540E1" w:rsidP="009130CA">
      <w:pPr>
        <w:pStyle w:val="Paragraphe"/>
        <w:spacing w:line="280" w:lineRule="exact"/>
        <w:rPr>
          <w:lang w:val="en-CA"/>
        </w:rPr>
      </w:pPr>
      <w:r w:rsidRPr="003F141B">
        <w:rPr>
          <w:lang w:val="en-CA"/>
        </w:rPr>
        <w:t xml:space="preserve">In </w:t>
      </w:r>
      <w:r w:rsidRPr="003F141B">
        <w:rPr>
          <w:i/>
          <w:lang w:val="en-CA"/>
        </w:rPr>
        <w:t>Picard c. R.</w:t>
      </w:r>
      <w:r w:rsidRPr="003F141B">
        <w:rPr>
          <w:lang w:val="en-CA"/>
        </w:rPr>
        <w:t xml:space="preserve">, 2020 QCCA 442, the Court clearly stated that if </w:t>
      </w:r>
      <w:r w:rsidR="007F0661" w:rsidRPr="003F141B">
        <w:rPr>
          <w:lang w:val="en-CA"/>
        </w:rPr>
        <w:t xml:space="preserve">a </w:t>
      </w:r>
      <w:r w:rsidRPr="003F141B">
        <w:rPr>
          <w:lang w:val="en-CA"/>
        </w:rPr>
        <w:t>reasonable opportunity to contact counsel of choice is denied, the detained person</w:t>
      </w:r>
      <w:r w:rsidR="003061CC">
        <w:rPr>
          <w:lang w:val="en-CA"/>
        </w:rPr>
        <w:t>’</w:t>
      </w:r>
      <w:r w:rsidRPr="003F141B">
        <w:rPr>
          <w:lang w:val="en-CA"/>
        </w:rPr>
        <w:t xml:space="preserve">s decision to speak to a legal aid lawyer cannot be used as a pretext to dismiss his or her </w:t>
      </w:r>
      <w:r w:rsidR="005C61A1" w:rsidRPr="003F141B">
        <w:rPr>
          <w:lang w:val="en-CA"/>
        </w:rPr>
        <w:t>request</w:t>
      </w:r>
      <w:r w:rsidRPr="003F141B">
        <w:rPr>
          <w:lang w:val="en-CA"/>
        </w:rPr>
        <w:t xml:space="preserve"> </w:t>
      </w:r>
      <w:r w:rsidR="005C61A1" w:rsidRPr="003F141B">
        <w:rPr>
          <w:lang w:val="en-CA"/>
        </w:rPr>
        <w:t>to have evidence excluded:</w:t>
      </w:r>
    </w:p>
    <w:p w14:paraId="7C649484" w14:textId="77777777" w:rsidR="002540E1" w:rsidRPr="003F141B" w:rsidRDefault="002540E1" w:rsidP="0097639F">
      <w:pPr>
        <w:pStyle w:val="Citationenretrait"/>
        <w:keepNext/>
        <w:rPr>
          <w:lang w:val="en-CA"/>
        </w:rPr>
      </w:pPr>
      <w:r w:rsidRPr="003F141B">
        <w:rPr>
          <w:lang w:val="en-CA"/>
        </w:rPr>
        <w:t>[</w:t>
      </w:r>
      <w:r w:rsidRPr="003F141B">
        <w:rPr>
          <w:smallCaps/>
          <w:lang w:val="en-CA"/>
        </w:rPr>
        <w:t>translation</w:t>
      </w:r>
      <w:r w:rsidRPr="003F141B">
        <w:rPr>
          <w:lang w:val="en-CA"/>
        </w:rPr>
        <w:t>] </w:t>
      </w:r>
    </w:p>
    <w:p w14:paraId="78DF4AD8" w14:textId="31043815" w:rsidR="009130CA" w:rsidRPr="003F141B" w:rsidRDefault="002540E1" w:rsidP="0097639F">
      <w:pPr>
        <w:pStyle w:val="Citationenretrait"/>
        <w:keepNext/>
        <w:rPr>
          <w:u w:val="single"/>
          <w:lang w:val="en-CA"/>
        </w:rPr>
      </w:pPr>
      <w:r w:rsidRPr="003F141B">
        <w:rPr>
          <w:lang w:val="en-CA"/>
        </w:rPr>
        <w:t xml:space="preserve">[6]  In short, if the appellant is to be believed, the police officers did not afford him the reasonable opportunity to contact his counsel of choice, which is </w:t>
      </w:r>
      <w:r w:rsidR="007F0661" w:rsidRPr="003F141B">
        <w:rPr>
          <w:lang w:val="en-CA"/>
        </w:rPr>
        <w:t xml:space="preserve">one of the obligations borne by the </w:t>
      </w:r>
      <w:r w:rsidRPr="003F141B">
        <w:rPr>
          <w:lang w:val="en-CA"/>
        </w:rPr>
        <w:t>police:</w:t>
      </w:r>
      <w:r w:rsidR="005003D8" w:rsidRPr="003F141B">
        <w:rPr>
          <w:lang w:val="en-CA"/>
        </w:rPr>
        <w:t xml:space="preserve"> </w:t>
      </w:r>
      <w:r w:rsidRPr="003F141B">
        <w:rPr>
          <w:i/>
          <w:iCs/>
          <w:szCs w:val="22"/>
          <w:lang w:val="en-CA"/>
        </w:rPr>
        <w:t xml:space="preserve">R. </w:t>
      </w:r>
      <w:r w:rsidR="009A0BBD">
        <w:rPr>
          <w:i/>
          <w:iCs/>
          <w:szCs w:val="22"/>
          <w:lang w:val="en-CA"/>
        </w:rPr>
        <w:t>v</w:t>
      </w:r>
      <w:r w:rsidRPr="003F141B">
        <w:rPr>
          <w:i/>
          <w:iCs/>
          <w:szCs w:val="22"/>
          <w:lang w:val="en-CA"/>
        </w:rPr>
        <w:t>. Willier</w:t>
      </w:r>
      <w:r w:rsidRPr="003F141B">
        <w:rPr>
          <w:iCs/>
          <w:szCs w:val="22"/>
          <w:lang w:val="en-CA"/>
        </w:rPr>
        <w:t>, 2010 SCC 37</w:t>
      </w:r>
      <w:r w:rsidR="009A0BBD">
        <w:rPr>
          <w:iCs/>
          <w:szCs w:val="22"/>
          <w:lang w:val="en-CA"/>
        </w:rPr>
        <w:t>,</w:t>
      </w:r>
      <w:r w:rsidRPr="003F141B">
        <w:rPr>
          <w:iCs/>
          <w:szCs w:val="22"/>
          <w:lang w:val="en-CA"/>
        </w:rPr>
        <w:t xml:space="preserve">  para.</w:t>
      </w:r>
      <w:r w:rsidR="005003D8" w:rsidRPr="003F141B">
        <w:rPr>
          <w:rStyle w:val="reflex3-block"/>
          <w:rFonts w:cs="Arial"/>
          <w:szCs w:val="22"/>
          <w:lang w:val="en-CA"/>
        </w:rPr>
        <w:t> 35</w:t>
      </w:r>
      <w:r w:rsidR="005003D8" w:rsidRPr="003F141B">
        <w:rPr>
          <w:lang w:val="en-CA"/>
        </w:rPr>
        <w:t xml:space="preserve">. </w:t>
      </w:r>
      <w:r w:rsidR="007277B4" w:rsidRPr="003F141B">
        <w:rPr>
          <w:b/>
          <w:lang w:val="en-CA"/>
        </w:rPr>
        <w:t>Accordingly</w:t>
      </w:r>
      <w:r w:rsidRPr="003F141B">
        <w:rPr>
          <w:b/>
          <w:lang w:val="en-CA"/>
        </w:rPr>
        <w:t>,</w:t>
      </w:r>
      <w:r w:rsidR="007277B4" w:rsidRPr="003F141B">
        <w:rPr>
          <w:b/>
          <w:lang w:val="en-CA"/>
        </w:rPr>
        <w:t xml:space="preserve"> if that is the case,</w:t>
      </w:r>
      <w:r w:rsidRPr="003F141B">
        <w:rPr>
          <w:b/>
          <w:lang w:val="en-CA"/>
        </w:rPr>
        <w:t xml:space="preserve"> the appellant</w:t>
      </w:r>
      <w:r w:rsidR="003061CC">
        <w:rPr>
          <w:b/>
          <w:lang w:val="en-CA"/>
        </w:rPr>
        <w:t>’</w:t>
      </w:r>
      <w:r w:rsidRPr="003F141B">
        <w:rPr>
          <w:b/>
          <w:lang w:val="en-CA"/>
        </w:rPr>
        <w:t xml:space="preserve">s decision to speak to a legal aid lawyer </w:t>
      </w:r>
      <w:r w:rsidRPr="003F141B">
        <w:rPr>
          <w:b/>
          <w:lang w:val="en-CA"/>
        </w:rPr>
        <w:lastRenderedPageBreak/>
        <w:t xml:space="preserve">cannot be used as a pretext for dismissing his application to </w:t>
      </w:r>
      <w:r w:rsidR="007F0661" w:rsidRPr="003F141B">
        <w:rPr>
          <w:b/>
          <w:lang w:val="en-CA"/>
        </w:rPr>
        <w:t>exclude</w:t>
      </w:r>
      <w:r w:rsidRPr="003F141B">
        <w:rPr>
          <w:b/>
          <w:lang w:val="en-CA"/>
        </w:rPr>
        <w:t xml:space="preserve"> evidence, as the judge did.</w:t>
      </w:r>
    </w:p>
    <w:p w14:paraId="29473F79" w14:textId="09E83F32" w:rsidR="009130CA" w:rsidRPr="003F141B" w:rsidRDefault="002540E1" w:rsidP="009130CA">
      <w:pPr>
        <w:pStyle w:val="Citationenretrait"/>
        <w:rPr>
          <w:lang w:val="en-CA"/>
        </w:rPr>
      </w:pPr>
      <w:r w:rsidRPr="003F141B">
        <w:rPr>
          <w:szCs w:val="22"/>
          <w:lang w:val="en-CA"/>
        </w:rPr>
        <w:t>[7]</w:t>
      </w:r>
      <w:r w:rsidR="005C61A1" w:rsidRPr="003F141B">
        <w:rPr>
          <w:szCs w:val="22"/>
          <w:lang w:val="en-CA"/>
        </w:rPr>
        <w:t> The</w:t>
      </w:r>
      <w:r w:rsidRPr="003F141B">
        <w:rPr>
          <w:szCs w:val="22"/>
          <w:lang w:val="en-CA"/>
        </w:rPr>
        <w:t xml:space="preserve"> judge did not address the issue of which lawyer the appellant wished to speak to. Here is what she said: </w:t>
      </w:r>
      <w:r w:rsidR="00EC438B">
        <w:rPr>
          <w:szCs w:val="22"/>
        </w:rPr>
        <w:t>[…]</w:t>
      </w:r>
    </w:p>
    <w:p w14:paraId="2D5ADA4D" w14:textId="2F3ECD85" w:rsidR="009130CA" w:rsidRPr="003F141B" w:rsidRDefault="002540E1" w:rsidP="009130CA">
      <w:pPr>
        <w:pStyle w:val="Citationenretrait"/>
        <w:rPr>
          <w:lang w:val="en-CA"/>
        </w:rPr>
      </w:pPr>
      <w:r w:rsidRPr="003F141B">
        <w:rPr>
          <w:lang w:val="en-CA"/>
        </w:rPr>
        <w:t>[8]</w:t>
      </w:r>
      <w:r w:rsidR="00BE76B7" w:rsidRPr="003F141B">
        <w:rPr>
          <w:lang w:val="en-CA"/>
        </w:rPr>
        <w:t> The</w:t>
      </w:r>
      <w:r w:rsidRPr="003F141B">
        <w:rPr>
          <w:lang w:val="en-CA"/>
        </w:rPr>
        <w:t xml:space="preserve"> judge noted the appellant</w:t>
      </w:r>
      <w:r w:rsidR="003061CC">
        <w:rPr>
          <w:lang w:val="en-CA"/>
        </w:rPr>
        <w:t>’</w:t>
      </w:r>
      <w:r w:rsidRPr="003F141B">
        <w:rPr>
          <w:lang w:val="en-CA"/>
        </w:rPr>
        <w:t>s consent to speak to duty counsel</w:t>
      </w:r>
      <w:r w:rsidR="007277B4" w:rsidRPr="003F141B">
        <w:rPr>
          <w:lang w:val="en-CA"/>
        </w:rPr>
        <w:t xml:space="preserve"> and the fact that he did not complain </w:t>
      </w:r>
      <w:r w:rsidRPr="003F141B">
        <w:rPr>
          <w:lang w:val="en-CA"/>
        </w:rPr>
        <w:t xml:space="preserve">about his advice, </w:t>
      </w:r>
      <w:r w:rsidR="007277B4" w:rsidRPr="003F141B">
        <w:rPr>
          <w:lang w:val="en-CA"/>
        </w:rPr>
        <w:t xml:space="preserve">and </w:t>
      </w:r>
      <w:r w:rsidR="004A20B4">
        <w:rPr>
          <w:lang w:val="en-CA"/>
        </w:rPr>
        <w:t xml:space="preserve">concluded therefrom </w:t>
      </w:r>
      <w:r w:rsidRPr="003F141B">
        <w:rPr>
          <w:lang w:val="en-CA"/>
        </w:rPr>
        <w:t xml:space="preserve">that the statement was admissible, </w:t>
      </w:r>
      <w:r w:rsidR="004A20B4">
        <w:rPr>
          <w:lang w:val="en-CA"/>
        </w:rPr>
        <w:t xml:space="preserve">that the right to counsel had been respected, </w:t>
      </w:r>
      <w:r w:rsidR="007277B4" w:rsidRPr="003F141B">
        <w:rPr>
          <w:lang w:val="en-CA"/>
        </w:rPr>
        <w:t xml:space="preserve">although she never decided </w:t>
      </w:r>
      <w:r w:rsidRPr="003F141B">
        <w:rPr>
          <w:lang w:val="en-CA"/>
        </w:rPr>
        <w:t xml:space="preserve">whether he had first asked to speak to </w:t>
      </w:r>
      <w:proofErr w:type="spellStart"/>
      <w:r w:rsidRPr="003F141B">
        <w:rPr>
          <w:lang w:val="en-CA"/>
        </w:rPr>
        <w:t>Mtre</w:t>
      </w:r>
      <w:proofErr w:type="spellEnd"/>
      <w:r w:rsidRPr="003F141B">
        <w:rPr>
          <w:lang w:val="en-CA"/>
        </w:rPr>
        <w:t xml:space="preserve"> </w:t>
      </w:r>
      <w:proofErr w:type="spellStart"/>
      <w:r w:rsidRPr="003F141B">
        <w:rPr>
          <w:lang w:val="en-CA"/>
        </w:rPr>
        <w:t>Séguin</w:t>
      </w:r>
      <w:proofErr w:type="spellEnd"/>
      <w:r w:rsidRPr="003F141B">
        <w:rPr>
          <w:lang w:val="en-CA"/>
        </w:rPr>
        <w:t>.</w:t>
      </w:r>
      <w:r w:rsidR="005003D8" w:rsidRPr="003F141B">
        <w:rPr>
          <w:lang w:val="en-CA"/>
        </w:rPr>
        <w:t xml:space="preserve"> </w:t>
      </w:r>
      <w:r w:rsidR="007277B4" w:rsidRPr="003F141B">
        <w:rPr>
          <w:b/>
          <w:lang w:val="en-CA"/>
        </w:rPr>
        <w:t>I</w:t>
      </w:r>
      <w:r w:rsidRPr="003F141B">
        <w:rPr>
          <w:b/>
          <w:lang w:val="en-CA"/>
        </w:rPr>
        <w:t xml:space="preserve">f the police officers ignored it, </w:t>
      </w:r>
      <w:r w:rsidR="007277B4" w:rsidRPr="003F141B">
        <w:rPr>
          <w:b/>
          <w:lang w:val="en-CA"/>
        </w:rPr>
        <w:t xml:space="preserve">however, that request </w:t>
      </w:r>
      <w:r w:rsidRPr="003F141B">
        <w:rPr>
          <w:b/>
          <w:lang w:val="en-CA"/>
        </w:rPr>
        <w:t xml:space="preserve">would have </w:t>
      </w:r>
      <w:r w:rsidR="009C3119" w:rsidRPr="003F141B">
        <w:rPr>
          <w:b/>
          <w:lang w:val="en-CA"/>
        </w:rPr>
        <w:t>vitiated</w:t>
      </w:r>
      <w:r w:rsidRPr="003F141B">
        <w:rPr>
          <w:b/>
          <w:lang w:val="en-CA"/>
        </w:rPr>
        <w:t xml:space="preserve"> his consent, including the ensuing writt</w:t>
      </w:r>
      <w:r w:rsidR="009C3119" w:rsidRPr="003F141B">
        <w:rPr>
          <w:b/>
          <w:lang w:val="en-CA"/>
        </w:rPr>
        <w:t>en</w:t>
      </w:r>
      <w:r w:rsidRPr="003F141B">
        <w:rPr>
          <w:b/>
          <w:lang w:val="en-CA"/>
        </w:rPr>
        <w:t xml:space="preserve"> waiver, and would have been an infringement of his right to counsel of choice.</w:t>
      </w:r>
      <w:r w:rsidR="005003D8" w:rsidRPr="003F141B">
        <w:rPr>
          <w:lang w:val="en-CA"/>
        </w:rPr>
        <w:t xml:space="preserve"> </w:t>
      </w:r>
      <w:r w:rsidRPr="003F141B">
        <w:rPr>
          <w:lang w:val="en-CA"/>
        </w:rPr>
        <w:t xml:space="preserve">For this reason, the Court is unable to </w:t>
      </w:r>
      <w:r w:rsidR="009C3119" w:rsidRPr="003F141B">
        <w:rPr>
          <w:lang w:val="en-CA"/>
        </w:rPr>
        <w:t xml:space="preserve">adequately </w:t>
      </w:r>
      <w:r w:rsidRPr="003F141B">
        <w:rPr>
          <w:lang w:val="en-CA"/>
        </w:rPr>
        <w:t xml:space="preserve">analyze </w:t>
      </w:r>
      <w:r w:rsidR="007277B4" w:rsidRPr="003F141B">
        <w:rPr>
          <w:lang w:val="en-CA"/>
        </w:rPr>
        <w:t xml:space="preserve">the </w:t>
      </w:r>
      <w:r w:rsidRPr="003F141B">
        <w:rPr>
          <w:lang w:val="en-CA"/>
        </w:rPr>
        <w:t>judgment until this question of fact has been decided.</w:t>
      </w:r>
      <w:r w:rsidR="005003D8" w:rsidRPr="003F141B">
        <w:rPr>
          <w:lang w:val="en-CA"/>
        </w:rPr>
        <w:t xml:space="preserve"> </w:t>
      </w:r>
      <w:r w:rsidRPr="003F141B">
        <w:rPr>
          <w:lang w:val="en-CA"/>
        </w:rPr>
        <w:t>The judge</w:t>
      </w:r>
      <w:r w:rsidR="003061CC">
        <w:rPr>
          <w:lang w:val="en-CA"/>
        </w:rPr>
        <w:t>’</w:t>
      </w:r>
      <w:r w:rsidRPr="003F141B">
        <w:rPr>
          <w:lang w:val="en-CA"/>
        </w:rPr>
        <w:t>s criticism of the appellant</w:t>
      </w:r>
      <w:r w:rsidR="003061CC">
        <w:rPr>
          <w:lang w:val="en-CA"/>
        </w:rPr>
        <w:t>’</w:t>
      </w:r>
      <w:r w:rsidRPr="003F141B">
        <w:rPr>
          <w:lang w:val="en-CA"/>
        </w:rPr>
        <w:t xml:space="preserve">s lack of diligence in seeking </w:t>
      </w:r>
      <w:proofErr w:type="spellStart"/>
      <w:r w:rsidR="009C3119" w:rsidRPr="003F141B">
        <w:rPr>
          <w:lang w:val="en-CA"/>
        </w:rPr>
        <w:t>Mtre</w:t>
      </w:r>
      <w:proofErr w:type="spellEnd"/>
      <w:r w:rsidR="009C3119" w:rsidRPr="003F141B">
        <w:rPr>
          <w:lang w:val="en-CA"/>
        </w:rPr>
        <w:t xml:space="preserve"> </w:t>
      </w:r>
      <w:proofErr w:type="spellStart"/>
      <w:r w:rsidR="009C3119" w:rsidRPr="003F141B">
        <w:rPr>
          <w:lang w:val="en-CA"/>
        </w:rPr>
        <w:t>Séguin</w:t>
      </w:r>
      <w:r w:rsidR="008C31F7">
        <w:rPr>
          <w:lang w:val="en-CA"/>
        </w:rPr>
        <w:t>’s</w:t>
      </w:r>
      <w:proofErr w:type="spellEnd"/>
      <w:r w:rsidR="008C31F7">
        <w:rPr>
          <w:lang w:val="en-CA"/>
        </w:rPr>
        <w:t xml:space="preserve"> contact information</w:t>
      </w:r>
      <w:r w:rsidRPr="003F141B">
        <w:rPr>
          <w:lang w:val="en-CA"/>
        </w:rPr>
        <w:t xml:space="preserve"> does not overcome this difficulty.</w:t>
      </w:r>
    </w:p>
    <w:p w14:paraId="1175918B" w14:textId="2903DFA3" w:rsidR="009130CA" w:rsidRPr="003F141B" w:rsidRDefault="002540E1" w:rsidP="009130CA">
      <w:pPr>
        <w:pStyle w:val="Citationenretrait"/>
        <w:jc w:val="right"/>
        <w:rPr>
          <w:lang w:val="en-CA"/>
        </w:rPr>
      </w:pPr>
      <w:r w:rsidRPr="003F141B">
        <w:rPr>
          <w:rFonts w:cs="Arial"/>
          <w:lang w:val="en-CA"/>
        </w:rPr>
        <w:t>[Emphasis added]</w:t>
      </w:r>
    </w:p>
    <w:p w14:paraId="665D459B" w14:textId="64C49659" w:rsidR="009130CA" w:rsidRPr="003F141B" w:rsidRDefault="002540E1" w:rsidP="009130CA">
      <w:pPr>
        <w:pStyle w:val="Sous-titrelettremajusculeenitalique"/>
        <w:keepNext/>
        <w:numPr>
          <w:ilvl w:val="0"/>
          <w:numId w:val="29"/>
        </w:numPr>
        <w:spacing w:line="280" w:lineRule="exact"/>
        <w:ind w:left="714" w:hanging="357"/>
        <w:rPr>
          <w:lang w:val="en-CA"/>
        </w:rPr>
      </w:pPr>
      <w:r w:rsidRPr="003F141B">
        <w:rPr>
          <w:lang w:val="en-CA"/>
        </w:rPr>
        <w:t>The law applied to the facts</w:t>
      </w:r>
    </w:p>
    <w:p w14:paraId="2344296C" w14:textId="163EDB6D" w:rsidR="009130CA" w:rsidRPr="003F141B" w:rsidRDefault="002540E1" w:rsidP="009130CA">
      <w:pPr>
        <w:pStyle w:val="Paragraphe"/>
        <w:spacing w:line="280" w:lineRule="exact"/>
        <w:rPr>
          <w:lang w:val="en-CA"/>
        </w:rPr>
      </w:pPr>
      <w:r w:rsidRPr="003F141B">
        <w:rPr>
          <w:lang w:val="en-CA"/>
        </w:rPr>
        <w:t xml:space="preserve">I </w:t>
      </w:r>
      <w:r w:rsidR="009C3119" w:rsidRPr="003F141B">
        <w:rPr>
          <w:lang w:val="en-CA"/>
        </w:rPr>
        <w:t>concur</w:t>
      </w:r>
      <w:r w:rsidRPr="003F141B">
        <w:rPr>
          <w:lang w:val="en-CA"/>
        </w:rPr>
        <w:t xml:space="preserve"> with Beaupré</w:t>
      </w:r>
      <w:r w:rsidR="00BE76B7">
        <w:rPr>
          <w:lang w:val="en-CA"/>
        </w:rPr>
        <w:t>,</w:t>
      </w:r>
      <w:r w:rsidRPr="003F141B">
        <w:rPr>
          <w:lang w:val="en-CA"/>
        </w:rPr>
        <w:t xml:space="preserve"> J. that the evidence has some grey areas, including </w:t>
      </w:r>
      <w:r w:rsidR="007277B4" w:rsidRPr="003F141B">
        <w:rPr>
          <w:lang w:val="en-CA"/>
        </w:rPr>
        <w:t xml:space="preserve">regarding whether it was possible for </w:t>
      </w:r>
      <w:r w:rsidR="00A47853" w:rsidRPr="003F141B">
        <w:rPr>
          <w:lang w:val="en-CA"/>
        </w:rPr>
        <w:t>O</w:t>
      </w:r>
      <w:r w:rsidRPr="003F141B">
        <w:rPr>
          <w:lang w:val="en-CA"/>
        </w:rPr>
        <w:t xml:space="preserve">fficer </w:t>
      </w:r>
      <w:proofErr w:type="spellStart"/>
      <w:r w:rsidRPr="003F141B">
        <w:rPr>
          <w:lang w:val="en-CA"/>
        </w:rPr>
        <w:t>Naess</w:t>
      </w:r>
      <w:proofErr w:type="spellEnd"/>
      <w:r w:rsidRPr="003F141B">
        <w:rPr>
          <w:lang w:val="en-CA"/>
        </w:rPr>
        <w:t xml:space="preserve">-Olivier to leave a </w:t>
      </w:r>
      <w:r w:rsidR="007277B4" w:rsidRPr="003F141B">
        <w:rPr>
          <w:lang w:val="en-CA"/>
        </w:rPr>
        <w:t xml:space="preserve">voicemail </w:t>
      </w:r>
      <w:r w:rsidRPr="003F141B">
        <w:rPr>
          <w:lang w:val="en-CA"/>
        </w:rPr>
        <w:t>message.</w:t>
      </w:r>
    </w:p>
    <w:p w14:paraId="08F5CD1C" w14:textId="1C50F877" w:rsidR="009130CA" w:rsidRPr="003F141B" w:rsidRDefault="002540E1" w:rsidP="009130CA">
      <w:pPr>
        <w:pStyle w:val="Paragraphe"/>
        <w:spacing w:line="280" w:lineRule="exact"/>
        <w:rPr>
          <w:lang w:val="en-CA"/>
        </w:rPr>
      </w:pPr>
      <w:r w:rsidRPr="003F141B">
        <w:rPr>
          <w:lang w:val="en-CA"/>
        </w:rPr>
        <w:t>But let us return to the uncontested facts of the matter:</w:t>
      </w:r>
    </w:p>
    <w:p w14:paraId="58CA597A" w14:textId="175F2F40" w:rsidR="009130CA" w:rsidRPr="003F141B" w:rsidRDefault="002540E1" w:rsidP="009130CA">
      <w:pPr>
        <w:pStyle w:val="Paragraphe"/>
        <w:numPr>
          <w:ilvl w:val="0"/>
          <w:numId w:val="30"/>
        </w:numPr>
        <w:spacing w:line="280" w:lineRule="exact"/>
        <w:rPr>
          <w:lang w:val="en-CA"/>
        </w:rPr>
      </w:pPr>
      <w:r w:rsidRPr="003F141B">
        <w:rPr>
          <w:lang w:val="en-CA"/>
        </w:rPr>
        <w:t>Police officers intercepted the vehicle driven by the respondent shortly after 1</w:t>
      </w:r>
      <w:r w:rsidR="0021042E">
        <w:rPr>
          <w:lang w:val="en-CA"/>
        </w:rPr>
        <w:t>0</w:t>
      </w:r>
      <w:r w:rsidRPr="003F141B">
        <w:rPr>
          <w:lang w:val="en-CA"/>
        </w:rPr>
        <w:t>:30</w:t>
      </w:r>
      <w:r w:rsidR="007277B4" w:rsidRPr="003F141B">
        <w:rPr>
          <w:lang w:val="en-CA"/>
        </w:rPr>
        <w:t> </w:t>
      </w:r>
      <w:r w:rsidRPr="003F141B">
        <w:rPr>
          <w:lang w:val="en-CA"/>
        </w:rPr>
        <w:t>p.m.;</w:t>
      </w:r>
    </w:p>
    <w:p w14:paraId="65D780E6" w14:textId="39A46C1D" w:rsidR="009130CA" w:rsidRPr="003F141B" w:rsidRDefault="002540E1" w:rsidP="009130CA">
      <w:pPr>
        <w:pStyle w:val="Paragraphe"/>
        <w:numPr>
          <w:ilvl w:val="0"/>
          <w:numId w:val="30"/>
        </w:numPr>
        <w:spacing w:line="280" w:lineRule="exact"/>
        <w:rPr>
          <w:lang w:val="en-CA"/>
        </w:rPr>
      </w:pPr>
      <w:r w:rsidRPr="003F141B">
        <w:rPr>
          <w:lang w:val="en-CA"/>
        </w:rPr>
        <w:t>At 1</w:t>
      </w:r>
      <w:r w:rsidR="008B22EA">
        <w:rPr>
          <w:lang w:val="en-CA"/>
        </w:rPr>
        <w:t>0</w:t>
      </w:r>
      <w:r w:rsidRPr="003F141B">
        <w:rPr>
          <w:lang w:val="en-CA"/>
        </w:rPr>
        <w:t xml:space="preserve">:35 p.m., </w:t>
      </w:r>
      <w:r w:rsidR="00CB5B57" w:rsidRPr="003F141B">
        <w:rPr>
          <w:lang w:val="en-CA"/>
        </w:rPr>
        <w:t>O</w:t>
      </w:r>
      <w:r w:rsidRPr="003F141B">
        <w:rPr>
          <w:lang w:val="en-CA"/>
        </w:rPr>
        <w:t xml:space="preserve">fficer </w:t>
      </w:r>
      <w:proofErr w:type="spellStart"/>
      <w:r w:rsidRPr="003F141B">
        <w:rPr>
          <w:lang w:val="en-CA"/>
        </w:rPr>
        <w:t>Larouche</w:t>
      </w:r>
      <w:proofErr w:type="spellEnd"/>
      <w:r w:rsidRPr="003F141B">
        <w:rPr>
          <w:lang w:val="en-CA"/>
        </w:rPr>
        <w:t xml:space="preserve"> ordered the respondent to blow into the approved screening device;</w:t>
      </w:r>
    </w:p>
    <w:p w14:paraId="1778E0C2" w14:textId="73D46169" w:rsidR="009130CA" w:rsidRPr="003F141B" w:rsidRDefault="009C3119" w:rsidP="009130CA">
      <w:pPr>
        <w:pStyle w:val="Paragraphe"/>
        <w:numPr>
          <w:ilvl w:val="0"/>
          <w:numId w:val="30"/>
        </w:numPr>
        <w:spacing w:line="280" w:lineRule="exact"/>
        <w:rPr>
          <w:lang w:val="en-CA"/>
        </w:rPr>
      </w:pPr>
      <w:r w:rsidRPr="003F141B">
        <w:rPr>
          <w:lang w:val="en-CA"/>
        </w:rPr>
        <w:t>At 1</w:t>
      </w:r>
      <w:r w:rsidR="005D35FE">
        <w:rPr>
          <w:lang w:val="en-CA"/>
        </w:rPr>
        <w:t>0</w:t>
      </w:r>
      <w:r w:rsidRPr="003F141B">
        <w:rPr>
          <w:lang w:val="en-CA"/>
        </w:rPr>
        <w:t>:39 p.m.</w:t>
      </w:r>
      <w:r w:rsidR="007277B4" w:rsidRPr="003F141B">
        <w:rPr>
          <w:lang w:val="en-CA"/>
        </w:rPr>
        <w:t>,</w:t>
      </w:r>
      <w:r w:rsidRPr="003F141B">
        <w:rPr>
          <w:lang w:val="en-CA"/>
        </w:rPr>
        <w:t xml:space="preserve"> s</w:t>
      </w:r>
      <w:r w:rsidR="002540E1" w:rsidRPr="003F141B">
        <w:rPr>
          <w:lang w:val="en-CA"/>
        </w:rPr>
        <w:t>he placed him under arrest and read him his rights;</w:t>
      </w:r>
    </w:p>
    <w:p w14:paraId="135326DB" w14:textId="35A9E0EC" w:rsidR="009130CA" w:rsidRPr="003F141B" w:rsidRDefault="002540E1" w:rsidP="009130CA">
      <w:pPr>
        <w:pStyle w:val="Paragraphe"/>
        <w:numPr>
          <w:ilvl w:val="0"/>
          <w:numId w:val="30"/>
        </w:numPr>
        <w:spacing w:line="280" w:lineRule="exact"/>
        <w:rPr>
          <w:lang w:val="en-CA"/>
        </w:rPr>
      </w:pPr>
      <w:r w:rsidRPr="003F141B">
        <w:rPr>
          <w:lang w:val="en-CA"/>
        </w:rPr>
        <w:t xml:space="preserve">When he </w:t>
      </w:r>
      <w:r w:rsidR="007277B4" w:rsidRPr="003F141B">
        <w:rPr>
          <w:lang w:val="en-CA"/>
        </w:rPr>
        <w:t>arrived at</w:t>
      </w:r>
      <w:r w:rsidRPr="003F141B">
        <w:rPr>
          <w:lang w:val="en-CA"/>
        </w:rPr>
        <w:t xml:space="preserve"> the police station, the respondent asked to contact </w:t>
      </w:r>
      <w:proofErr w:type="spellStart"/>
      <w:r w:rsidRPr="003F141B">
        <w:rPr>
          <w:lang w:val="en-CA"/>
        </w:rPr>
        <w:t>Mtre</w:t>
      </w:r>
      <w:proofErr w:type="spellEnd"/>
      <w:r w:rsidR="004D478A">
        <w:rPr>
          <w:lang w:val="en-CA"/>
        </w:rPr>
        <w:t> </w:t>
      </w:r>
      <w:proofErr w:type="spellStart"/>
      <w:r w:rsidRPr="003F141B">
        <w:rPr>
          <w:lang w:val="en-CA"/>
        </w:rPr>
        <w:t>Boulianne</w:t>
      </w:r>
      <w:proofErr w:type="spellEnd"/>
      <w:r w:rsidRPr="003F141B">
        <w:rPr>
          <w:lang w:val="en-CA"/>
        </w:rPr>
        <w:t xml:space="preserve"> or </w:t>
      </w:r>
      <w:proofErr w:type="spellStart"/>
      <w:r w:rsidRPr="003F141B">
        <w:rPr>
          <w:lang w:val="en-CA"/>
        </w:rPr>
        <w:t>Mtre</w:t>
      </w:r>
      <w:proofErr w:type="spellEnd"/>
      <w:r w:rsidRPr="003F141B">
        <w:rPr>
          <w:lang w:val="en-CA"/>
        </w:rPr>
        <w:t xml:space="preserve"> </w:t>
      </w:r>
      <w:proofErr w:type="spellStart"/>
      <w:r w:rsidRPr="003F141B">
        <w:rPr>
          <w:lang w:val="en-CA"/>
        </w:rPr>
        <w:t>Cantin</w:t>
      </w:r>
      <w:proofErr w:type="spellEnd"/>
      <w:r w:rsidRPr="003F141B">
        <w:rPr>
          <w:lang w:val="en-CA"/>
        </w:rPr>
        <w:t xml:space="preserve"> from the same firm;</w:t>
      </w:r>
    </w:p>
    <w:p w14:paraId="780651C2" w14:textId="5B3E12C4" w:rsidR="009130CA" w:rsidRPr="003F141B" w:rsidRDefault="002540E1" w:rsidP="009130CA">
      <w:pPr>
        <w:pStyle w:val="Paragraphe"/>
        <w:numPr>
          <w:ilvl w:val="0"/>
          <w:numId w:val="30"/>
        </w:numPr>
        <w:spacing w:line="280" w:lineRule="exact"/>
        <w:rPr>
          <w:lang w:val="en-CA"/>
        </w:rPr>
      </w:pPr>
      <w:r w:rsidRPr="003F141B">
        <w:rPr>
          <w:lang w:val="en-CA"/>
        </w:rPr>
        <w:t xml:space="preserve">Officer </w:t>
      </w:r>
      <w:proofErr w:type="spellStart"/>
      <w:r w:rsidRPr="003F141B">
        <w:rPr>
          <w:lang w:val="en-CA"/>
        </w:rPr>
        <w:t>Naess</w:t>
      </w:r>
      <w:proofErr w:type="spellEnd"/>
      <w:r w:rsidRPr="003F141B">
        <w:rPr>
          <w:lang w:val="en-CA"/>
        </w:rPr>
        <w:t xml:space="preserve">-Olivier found </w:t>
      </w:r>
      <w:proofErr w:type="spellStart"/>
      <w:r w:rsidRPr="003F141B">
        <w:rPr>
          <w:lang w:val="en-CA"/>
        </w:rPr>
        <w:t>Mtre</w:t>
      </w:r>
      <w:proofErr w:type="spellEnd"/>
      <w:r w:rsidRPr="003F141B">
        <w:rPr>
          <w:lang w:val="en-CA"/>
        </w:rPr>
        <w:t xml:space="preserve"> </w:t>
      </w:r>
      <w:proofErr w:type="spellStart"/>
      <w:r w:rsidRPr="003F141B">
        <w:rPr>
          <w:lang w:val="en-CA"/>
        </w:rPr>
        <w:t>Boulianne</w:t>
      </w:r>
      <w:r w:rsidR="003061CC">
        <w:rPr>
          <w:lang w:val="en-CA"/>
        </w:rPr>
        <w:t>’</w:t>
      </w:r>
      <w:r w:rsidRPr="003F141B">
        <w:rPr>
          <w:lang w:val="en-CA"/>
        </w:rPr>
        <w:t>s</w:t>
      </w:r>
      <w:proofErr w:type="spellEnd"/>
      <w:r w:rsidRPr="003F141B">
        <w:rPr>
          <w:lang w:val="en-CA"/>
        </w:rPr>
        <w:t xml:space="preserve"> cellphone number</w:t>
      </w:r>
      <w:r w:rsidR="00D56365">
        <w:rPr>
          <w:lang w:val="en-CA"/>
        </w:rPr>
        <w:t xml:space="preserve"> on the website of the firm </w:t>
      </w:r>
      <w:proofErr w:type="spellStart"/>
      <w:r w:rsidR="00D56365">
        <w:rPr>
          <w:lang w:val="en-CA"/>
        </w:rPr>
        <w:t>Cantin</w:t>
      </w:r>
      <w:proofErr w:type="spellEnd"/>
      <w:r w:rsidR="00D56365">
        <w:rPr>
          <w:lang w:val="en-CA"/>
        </w:rPr>
        <w:t xml:space="preserve"> </w:t>
      </w:r>
      <w:proofErr w:type="spellStart"/>
      <w:r w:rsidR="00D56365">
        <w:rPr>
          <w:lang w:val="en-CA"/>
        </w:rPr>
        <w:t>Boulianne</w:t>
      </w:r>
      <w:proofErr w:type="spellEnd"/>
      <w:r w:rsidRPr="003F141B">
        <w:rPr>
          <w:lang w:val="en-CA"/>
        </w:rPr>
        <w:t>;</w:t>
      </w:r>
    </w:p>
    <w:p w14:paraId="257B7424" w14:textId="28BD5F07" w:rsidR="009130CA" w:rsidRPr="003F141B" w:rsidRDefault="002540E1" w:rsidP="009130CA">
      <w:pPr>
        <w:pStyle w:val="Paragraphe"/>
        <w:numPr>
          <w:ilvl w:val="0"/>
          <w:numId w:val="30"/>
        </w:numPr>
        <w:spacing w:line="280" w:lineRule="exact"/>
        <w:rPr>
          <w:lang w:val="en-CA"/>
        </w:rPr>
      </w:pPr>
      <w:r w:rsidRPr="003F141B">
        <w:rPr>
          <w:lang w:val="en-CA"/>
        </w:rPr>
        <w:t xml:space="preserve">He called </w:t>
      </w:r>
      <w:proofErr w:type="spellStart"/>
      <w:r w:rsidRPr="003F141B">
        <w:rPr>
          <w:lang w:val="en-CA"/>
        </w:rPr>
        <w:t>Mtre</w:t>
      </w:r>
      <w:proofErr w:type="spellEnd"/>
      <w:r w:rsidRPr="003F141B">
        <w:rPr>
          <w:lang w:val="en-CA"/>
        </w:rPr>
        <w:t xml:space="preserve"> </w:t>
      </w:r>
      <w:proofErr w:type="spellStart"/>
      <w:r w:rsidRPr="003F141B">
        <w:rPr>
          <w:lang w:val="en-CA"/>
        </w:rPr>
        <w:t>Boulianne</w:t>
      </w:r>
      <w:proofErr w:type="spellEnd"/>
      <w:r w:rsidRPr="003F141B">
        <w:rPr>
          <w:lang w:val="en-CA"/>
        </w:rPr>
        <w:t xml:space="preserve"> on his cellphone at </w:t>
      </w:r>
      <w:r w:rsidRPr="003F141B">
        <w:rPr>
          <w:b/>
          <w:lang w:val="en-CA"/>
        </w:rPr>
        <w:t>11:37 p.m.</w:t>
      </w:r>
      <w:r w:rsidR="007277B4" w:rsidRPr="003F141B">
        <w:rPr>
          <w:lang w:val="en-CA"/>
        </w:rPr>
        <w:t>,</w:t>
      </w:r>
      <w:r w:rsidRPr="003F141B">
        <w:rPr>
          <w:lang w:val="en-CA"/>
        </w:rPr>
        <w:t xml:space="preserve"> and there was no answer;</w:t>
      </w:r>
    </w:p>
    <w:p w14:paraId="0C235BE1" w14:textId="1791A477" w:rsidR="009130CA" w:rsidRPr="003F141B" w:rsidRDefault="002540E1" w:rsidP="009130CA">
      <w:pPr>
        <w:pStyle w:val="Paragraphe"/>
        <w:numPr>
          <w:ilvl w:val="0"/>
          <w:numId w:val="30"/>
        </w:numPr>
        <w:spacing w:line="280" w:lineRule="exact"/>
        <w:rPr>
          <w:lang w:val="en-CA"/>
        </w:rPr>
      </w:pPr>
      <w:r w:rsidRPr="003F141B">
        <w:rPr>
          <w:lang w:val="en-CA"/>
        </w:rPr>
        <w:t xml:space="preserve">At </w:t>
      </w:r>
      <w:r w:rsidRPr="003F141B">
        <w:rPr>
          <w:b/>
          <w:lang w:val="en-CA"/>
        </w:rPr>
        <w:t>11:39 p.m.</w:t>
      </w:r>
      <w:r w:rsidRPr="003F141B">
        <w:rPr>
          <w:lang w:val="en-CA"/>
        </w:rPr>
        <w:t xml:space="preserve"> he called </w:t>
      </w:r>
      <w:r w:rsidRPr="003F141B">
        <w:rPr>
          <w:rFonts w:cs="Arial"/>
          <w:lang w:val="en-CA"/>
        </w:rPr>
        <w:t>[</w:t>
      </w:r>
      <w:r w:rsidRPr="003F141B">
        <w:rPr>
          <w:smallCaps/>
          <w:lang w:val="en-CA"/>
        </w:rPr>
        <w:t>translation</w:t>
      </w:r>
      <w:r w:rsidRPr="003F141B">
        <w:rPr>
          <w:rFonts w:cs="Arial"/>
          <w:smallCaps/>
          <w:lang w:val="en-CA"/>
        </w:rPr>
        <w:t>]</w:t>
      </w:r>
      <w:r w:rsidRPr="003F141B">
        <w:rPr>
          <w:lang w:val="en-CA"/>
        </w:rPr>
        <w:t xml:space="preserve"> </w:t>
      </w:r>
      <w:r w:rsidR="00081775">
        <w:rPr>
          <w:lang w:val="en-CA"/>
        </w:rPr>
        <w:t>“</w:t>
      </w:r>
      <w:r w:rsidRPr="003F141B">
        <w:rPr>
          <w:lang w:val="en-CA"/>
        </w:rPr>
        <w:t xml:space="preserve">the 24-hour </w:t>
      </w:r>
      <w:proofErr w:type="spellStart"/>
      <w:r w:rsidRPr="003F141B">
        <w:rPr>
          <w:lang w:val="en-CA"/>
        </w:rPr>
        <w:t>Cantin</w:t>
      </w:r>
      <w:proofErr w:type="spellEnd"/>
      <w:r w:rsidRPr="003F141B">
        <w:rPr>
          <w:lang w:val="en-CA"/>
        </w:rPr>
        <w:t xml:space="preserve"> </w:t>
      </w:r>
      <w:proofErr w:type="spellStart"/>
      <w:r w:rsidRPr="003F141B">
        <w:rPr>
          <w:lang w:val="en-CA"/>
        </w:rPr>
        <w:t>Boulianne</w:t>
      </w:r>
      <w:proofErr w:type="spellEnd"/>
      <w:r w:rsidRPr="003F141B">
        <w:rPr>
          <w:lang w:val="en-CA"/>
        </w:rPr>
        <w:t xml:space="preserve"> line and there was still no answer</w:t>
      </w:r>
      <w:r w:rsidR="00081775">
        <w:rPr>
          <w:lang w:val="en-CA"/>
        </w:rPr>
        <w:t>”</w:t>
      </w:r>
      <w:r w:rsidRPr="003F141B">
        <w:rPr>
          <w:lang w:val="en-CA"/>
        </w:rPr>
        <w:t>;</w:t>
      </w:r>
    </w:p>
    <w:p w14:paraId="43886F33" w14:textId="74358815" w:rsidR="009130CA" w:rsidRPr="003F141B" w:rsidRDefault="002540E1" w:rsidP="009130CA">
      <w:pPr>
        <w:pStyle w:val="Paragraphe"/>
        <w:numPr>
          <w:ilvl w:val="0"/>
          <w:numId w:val="30"/>
        </w:numPr>
        <w:spacing w:line="280" w:lineRule="exact"/>
        <w:rPr>
          <w:lang w:val="en-CA"/>
        </w:rPr>
      </w:pPr>
      <w:r w:rsidRPr="003F141B">
        <w:rPr>
          <w:lang w:val="en-CA"/>
        </w:rPr>
        <w:lastRenderedPageBreak/>
        <w:t xml:space="preserve">He did not leave a message, but he cannot remember if there was </w:t>
      </w:r>
      <w:r w:rsidR="000E1DB7" w:rsidRPr="003F141B">
        <w:rPr>
          <w:lang w:val="en-CA"/>
        </w:rPr>
        <w:t>voicemail</w:t>
      </w:r>
      <w:r w:rsidRPr="003F141B">
        <w:rPr>
          <w:lang w:val="en-CA"/>
        </w:rPr>
        <w:t xml:space="preserve"> on </w:t>
      </w:r>
      <w:r w:rsidR="00C35B59" w:rsidRPr="003F141B">
        <w:rPr>
          <w:lang w:val="en-CA"/>
        </w:rPr>
        <w:t xml:space="preserve">either </w:t>
      </w:r>
      <w:r w:rsidRPr="003F141B">
        <w:rPr>
          <w:lang w:val="en-CA"/>
        </w:rPr>
        <w:t>of the numbers he dia</w:t>
      </w:r>
      <w:r w:rsidR="00C35B59" w:rsidRPr="003F141B">
        <w:rPr>
          <w:lang w:val="en-CA"/>
        </w:rPr>
        <w:t>l</w:t>
      </w:r>
      <w:r w:rsidRPr="003F141B">
        <w:rPr>
          <w:lang w:val="en-CA"/>
        </w:rPr>
        <w:t>led;</w:t>
      </w:r>
    </w:p>
    <w:p w14:paraId="641ED4A9" w14:textId="4A3A853D" w:rsidR="009130CA" w:rsidRPr="003F141B" w:rsidRDefault="002540E1" w:rsidP="009130CA">
      <w:pPr>
        <w:pStyle w:val="Paragraphe"/>
        <w:numPr>
          <w:ilvl w:val="0"/>
          <w:numId w:val="30"/>
        </w:numPr>
        <w:spacing w:line="280" w:lineRule="exact"/>
        <w:rPr>
          <w:lang w:val="en-CA"/>
        </w:rPr>
      </w:pPr>
      <w:r w:rsidRPr="003F141B">
        <w:rPr>
          <w:lang w:val="en-CA"/>
        </w:rPr>
        <w:t xml:space="preserve">He did not call </w:t>
      </w:r>
      <w:proofErr w:type="spellStart"/>
      <w:r w:rsidRPr="003F141B">
        <w:rPr>
          <w:lang w:val="en-CA"/>
        </w:rPr>
        <w:t>Mtre</w:t>
      </w:r>
      <w:proofErr w:type="spellEnd"/>
      <w:r w:rsidRPr="003F141B">
        <w:rPr>
          <w:lang w:val="en-CA"/>
        </w:rPr>
        <w:t xml:space="preserve"> </w:t>
      </w:r>
      <w:proofErr w:type="spellStart"/>
      <w:r w:rsidRPr="003F141B">
        <w:rPr>
          <w:lang w:val="en-CA"/>
        </w:rPr>
        <w:t>Cantin</w:t>
      </w:r>
      <w:proofErr w:type="spellEnd"/>
      <w:r w:rsidRPr="003F141B">
        <w:rPr>
          <w:lang w:val="en-CA"/>
        </w:rPr>
        <w:t xml:space="preserve"> on his cellphone;</w:t>
      </w:r>
    </w:p>
    <w:p w14:paraId="0DD14F22" w14:textId="3DA6F266" w:rsidR="009130CA" w:rsidRPr="003F141B" w:rsidRDefault="002540E1" w:rsidP="009130CA">
      <w:pPr>
        <w:pStyle w:val="Paragraphe"/>
        <w:numPr>
          <w:ilvl w:val="0"/>
          <w:numId w:val="30"/>
        </w:numPr>
        <w:spacing w:line="280" w:lineRule="exact"/>
        <w:rPr>
          <w:lang w:val="en-CA"/>
        </w:rPr>
      </w:pPr>
      <w:r w:rsidRPr="003F141B">
        <w:rPr>
          <w:lang w:val="en-CA"/>
        </w:rPr>
        <w:t xml:space="preserve">Subsequently, the respondent </w:t>
      </w:r>
      <w:r w:rsidRPr="003F141B">
        <w:rPr>
          <w:rFonts w:cs="Arial"/>
          <w:lang w:val="en-CA"/>
        </w:rPr>
        <w:t>[</w:t>
      </w:r>
      <w:r w:rsidRPr="003F141B">
        <w:rPr>
          <w:smallCaps/>
          <w:lang w:val="en-CA"/>
        </w:rPr>
        <w:t>translation</w:t>
      </w:r>
      <w:r w:rsidRPr="003F141B">
        <w:rPr>
          <w:rFonts w:cs="Arial"/>
          <w:smallCaps/>
          <w:lang w:val="en-CA"/>
        </w:rPr>
        <w:t>]</w:t>
      </w:r>
      <w:r w:rsidRPr="003F141B">
        <w:rPr>
          <w:lang w:val="en-CA"/>
        </w:rPr>
        <w:t xml:space="preserve"> </w:t>
      </w:r>
      <w:r w:rsidR="00081775">
        <w:rPr>
          <w:lang w:val="en-CA"/>
        </w:rPr>
        <w:t>“</w:t>
      </w:r>
      <w:r w:rsidRPr="003F141B">
        <w:rPr>
          <w:lang w:val="en-CA"/>
        </w:rPr>
        <w:t xml:space="preserve">was hesitant </w:t>
      </w:r>
      <w:r w:rsidR="00C35B59" w:rsidRPr="003F141B">
        <w:rPr>
          <w:lang w:val="en-CA"/>
        </w:rPr>
        <w:t xml:space="preserve">about </w:t>
      </w:r>
      <w:r w:rsidRPr="003F141B">
        <w:rPr>
          <w:lang w:val="en-CA"/>
        </w:rPr>
        <w:t>which lawyer he wanted to contact and did not know who</w:t>
      </w:r>
      <w:r w:rsidR="00B334E5" w:rsidRPr="003F141B">
        <w:rPr>
          <w:lang w:val="en-CA"/>
        </w:rPr>
        <w:t>m</w:t>
      </w:r>
      <w:r w:rsidRPr="003F141B">
        <w:rPr>
          <w:lang w:val="en-CA"/>
        </w:rPr>
        <w:t xml:space="preserve"> to call</w:t>
      </w:r>
      <w:r w:rsidR="00081775">
        <w:rPr>
          <w:lang w:val="en-CA"/>
        </w:rPr>
        <w:t>”</w:t>
      </w:r>
      <w:r w:rsidRPr="003F141B">
        <w:rPr>
          <w:lang w:val="en-CA"/>
        </w:rPr>
        <w:t>;</w:t>
      </w:r>
    </w:p>
    <w:p w14:paraId="31D588DE" w14:textId="609AA06C" w:rsidR="009130CA" w:rsidRPr="003F141B" w:rsidRDefault="002540E1" w:rsidP="009130CA">
      <w:pPr>
        <w:pStyle w:val="Paragraphe"/>
        <w:numPr>
          <w:ilvl w:val="0"/>
          <w:numId w:val="30"/>
        </w:numPr>
        <w:spacing w:line="280" w:lineRule="exact"/>
        <w:rPr>
          <w:lang w:val="en-CA"/>
        </w:rPr>
      </w:pPr>
      <w:r w:rsidRPr="003F141B">
        <w:rPr>
          <w:lang w:val="en-CA"/>
        </w:rPr>
        <w:t xml:space="preserve">Officer </w:t>
      </w:r>
      <w:proofErr w:type="spellStart"/>
      <w:r w:rsidRPr="003F141B">
        <w:rPr>
          <w:lang w:val="en-CA"/>
        </w:rPr>
        <w:t>Larouche</w:t>
      </w:r>
      <w:proofErr w:type="spellEnd"/>
      <w:r w:rsidRPr="003F141B">
        <w:rPr>
          <w:lang w:val="en-CA"/>
        </w:rPr>
        <w:t xml:space="preserve"> pointed out the legal aid poster on the wall to him;</w:t>
      </w:r>
    </w:p>
    <w:p w14:paraId="67F08B5B" w14:textId="5A75F2DA" w:rsidR="009130CA" w:rsidRPr="003F141B" w:rsidRDefault="002540E1" w:rsidP="009130CA">
      <w:pPr>
        <w:pStyle w:val="Paragraphe"/>
        <w:numPr>
          <w:ilvl w:val="0"/>
          <w:numId w:val="30"/>
        </w:numPr>
        <w:spacing w:line="280" w:lineRule="exact"/>
        <w:rPr>
          <w:lang w:val="en-CA"/>
        </w:rPr>
      </w:pPr>
      <w:r w:rsidRPr="003F141B">
        <w:rPr>
          <w:lang w:val="en-CA"/>
        </w:rPr>
        <w:t xml:space="preserve">The respondent pointed to the photograph of </w:t>
      </w:r>
      <w:proofErr w:type="spellStart"/>
      <w:r w:rsidRPr="003F141B">
        <w:rPr>
          <w:lang w:val="en-CA"/>
        </w:rPr>
        <w:t>Mtre</w:t>
      </w:r>
      <w:proofErr w:type="spellEnd"/>
      <w:r w:rsidRPr="003F141B">
        <w:rPr>
          <w:lang w:val="en-CA"/>
        </w:rPr>
        <w:t xml:space="preserve"> Gagnon on the poster;</w:t>
      </w:r>
    </w:p>
    <w:p w14:paraId="121F12AE" w14:textId="0DF87896" w:rsidR="009130CA" w:rsidRPr="003F141B" w:rsidRDefault="002540E1" w:rsidP="009130CA">
      <w:pPr>
        <w:pStyle w:val="Paragraphe"/>
        <w:numPr>
          <w:ilvl w:val="0"/>
          <w:numId w:val="30"/>
        </w:numPr>
        <w:spacing w:line="280" w:lineRule="exact"/>
        <w:rPr>
          <w:lang w:val="en-CA"/>
        </w:rPr>
      </w:pPr>
      <w:r w:rsidRPr="003F141B">
        <w:rPr>
          <w:lang w:val="en-CA"/>
        </w:rPr>
        <w:t xml:space="preserve">At </w:t>
      </w:r>
      <w:r w:rsidRPr="003F141B">
        <w:rPr>
          <w:b/>
          <w:lang w:val="en-CA"/>
        </w:rPr>
        <w:t>11:40 p.m.</w:t>
      </w:r>
      <w:r w:rsidRPr="003F141B">
        <w:rPr>
          <w:lang w:val="en-CA"/>
        </w:rPr>
        <w:t xml:space="preserve">, </w:t>
      </w:r>
      <w:r w:rsidR="00CB5B57" w:rsidRPr="003F141B">
        <w:rPr>
          <w:lang w:val="en-CA"/>
        </w:rPr>
        <w:t>O</w:t>
      </w:r>
      <w:r w:rsidRPr="003F141B">
        <w:rPr>
          <w:lang w:val="en-CA"/>
        </w:rPr>
        <w:t xml:space="preserve">fficer </w:t>
      </w:r>
      <w:proofErr w:type="spellStart"/>
      <w:r w:rsidRPr="003F141B">
        <w:rPr>
          <w:lang w:val="en-CA"/>
        </w:rPr>
        <w:t>Larouche</w:t>
      </w:r>
      <w:proofErr w:type="spellEnd"/>
      <w:r w:rsidRPr="003F141B">
        <w:rPr>
          <w:lang w:val="en-CA"/>
        </w:rPr>
        <w:t xml:space="preserve"> dial</w:t>
      </w:r>
      <w:r w:rsidR="00C35B59" w:rsidRPr="003F141B">
        <w:rPr>
          <w:lang w:val="en-CA"/>
        </w:rPr>
        <w:t>l</w:t>
      </w:r>
      <w:r w:rsidRPr="003F141B">
        <w:rPr>
          <w:lang w:val="en-CA"/>
        </w:rPr>
        <w:t xml:space="preserve">ed the number for legal aid and </w:t>
      </w:r>
      <w:proofErr w:type="spellStart"/>
      <w:r w:rsidRPr="003F141B">
        <w:rPr>
          <w:lang w:val="en-CA"/>
        </w:rPr>
        <w:t>Mtre</w:t>
      </w:r>
      <w:proofErr w:type="spellEnd"/>
      <w:r w:rsidRPr="003F141B">
        <w:rPr>
          <w:lang w:val="en-CA"/>
        </w:rPr>
        <w:t xml:space="preserve"> Gagnon answered;</w:t>
      </w:r>
    </w:p>
    <w:p w14:paraId="4D1C50E9" w14:textId="1E6FC2A0" w:rsidR="009130CA" w:rsidRPr="003F141B" w:rsidRDefault="002540E1" w:rsidP="009130CA">
      <w:pPr>
        <w:pStyle w:val="Paragraphe"/>
        <w:numPr>
          <w:ilvl w:val="0"/>
          <w:numId w:val="30"/>
        </w:numPr>
        <w:spacing w:line="280" w:lineRule="exact"/>
        <w:rPr>
          <w:lang w:val="en-CA"/>
        </w:rPr>
      </w:pPr>
      <w:r w:rsidRPr="003F141B">
        <w:rPr>
          <w:lang w:val="en-CA"/>
        </w:rPr>
        <w:t xml:space="preserve">The respondent spoke to </w:t>
      </w:r>
      <w:proofErr w:type="spellStart"/>
      <w:r w:rsidRPr="003F141B">
        <w:rPr>
          <w:lang w:val="en-CA"/>
        </w:rPr>
        <w:t>Mtre</w:t>
      </w:r>
      <w:proofErr w:type="spellEnd"/>
      <w:r w:rsidRPr="003F141B">
        <w:rPr>
          <w:lang w:val="en-CA"/>
        </w:rPr>
        <w:t xml:space="preserve"> Gagnon from </w:t>
      </w:r>
      <w:r w:rsidR="00C35B59" w:rsidRPr="003F141B">
        <w:rPr>
          <w:lang w:val="en-CA"/>
        </w:rPr>
        <w:t>11</w:t>
      </w:r>
      <w:r w:rsidRPr="003F141B">
        <w:rPr>
          <w:lang w:val="en-CA"/>
        </w:rPr>
        <w:t xml:space="preserve">:41 p.m. to </w:t>
      </w:r>
      <w:r w:rsidR="00C35B59" w:rsidRPr="003F141B">
        <w:rPr>
          <w:lang w:val="en-CA"/>
        </w:rPr>
        <w:t>11</w:t>
      </w:r>
      <w:r w:rsidRPr="003F141B">
        <w:rPr>
          <w:lang w:val="en-CA"/>
        </w:rPr>
        <w:t>:49 p.m.;</w:t>
      </w:r>
    </w:p>
    <w:p w14:paraId="5258E138" w14:textId="408A2D12" w:rsidR="009130CA" w:rsidRPr="003F141B" w:rsidRDefault="002540E1" w:rsidP="009130CA">
      <w:pPr>
        <w:pStyle w:val="Paragraphe"/>
        <w:numPr>
          <w:ilvl w:val="0"/>
          <w:numId w:val="30"/>
        </w:numPr>
        <w:spacing w:line="280" w:lineRule="exact"/>
        <w:rPr>
          <w:lang w:val="en-CA"/>
        </w:rPr>
      </w:pPr>
      <w:r w:rsidRPr="003F141B">
        <w:rPr>
          <w:lang w:val="en-CA"/>
        </w:rPr>
        <w:t>The respondent made no comment (</w:t>
      </w:r>
      <w:r w:rsidR="009C3119" w:rsidRPr="003F141B">
        <w:rPr>
          <w:lang w:val="en-CA"/>
        </w:rPr>
        <w:t>positive</w:t>
      </w:r>
      <w:r w:rsidRPr="003F141B">
        <w:rPr>
          <w:lang w:val="en-CA"/>
        </w:rPr>
        <w:t xml:space="preserve"> or negative) about his conversation with </w:t>
      </w:r>
      <w:proofErr w:type="spellStart"/>
      <w:r w:rsidRPr="003F141B">
        <w:rPr>
          <w:lang w:val="en-CA"/>
        </w:rPr>
        <w:t>Mtre</w:t>
      </w:r>
      <w:proofErr w:type="spellEnd"/>
      <w:r w:rsidRPr="003F141B">
        <w:rPr>
          <w:lang w:val="en-CA"/>
        </w:rPr>
        <w:t xml:space="preserve"> Gagnon and did not ask again to speak to </w:t>
      </w:r>
      <w:proofErr w:type="spellStart"/>
      <w:r w:rsidRPr="003F141B">
        <w:rPr>
          <w:lang w:val="en-CA"/>
        </w:rPr>
        <w:t>Mtre</w:t>
      </w:r>
      <w:proofErr w:type="spellEnd"/>
      <w:r w:rsidRPr="003F141B">
        <w:rPr>
          <w:lang w:val="en-CA"/>
        </w:rPr>
        <w:t xml:space="preserve"> </w:t>
      </w:r>
      <w:proofErr w:type="spellStart"/>
      <w:r w:rsidRPr="003F141B">
        <w:rPr>
          <w:lang w:val="en-CA"/>
        </w:rPr>
        <w:t>Boulianne</w:t>
      </w:r>
      <w:proofErr w:type="spellEnd"/>
      <w:r w:rsidRPr="003F141B">
        <w:rPr>
          <w:lang w:val="en-CA"/>
        </w:rPr>
        <w:t xml:space="preserve"> or </w:t>
      </w:r>
      <w:proofErr w:type="spellStart"/>
      <w:r w:rsidRPr="003F141B">
        <w:rPr>
          <w:lang w:val="en-CA"/>
        </w:rPr>
        <w:t>Mtre</w:t>
      </w:r>
      <w:proofErr w:type="spellEnd"/>
      <w:r w:rsidRPr="003F141B">
        <w:rPr>
          <w:lang w:val="en-CA"/>
        </w:rPr>
        <w:t xml:space="preserve"> </w:t>
      </w:r>
      <w:proofErr w:type="spellStart"/>
      <w:r w:rsidRPr="003F141B">
        <w:rPr>
          <w:lang w:val="en-CA"/>
        </w:rPr>
        <w:t>Cantin</w:t>
      </w:r>
      <w:proofErr w:type="spellEnd"/>
      <w:r w:rsidRPr="003F141B">
        <w:rPr>
          <w:lang w:val="en-CA"/>
        </w:rPr>
        <w:t>;</w:t>
      </w:r>
    </w:p>
    <w:p w14:paraId="36C514BC" w14:textId="0FEFE72E" w:rsidR="009130CA" w:rsidRPr="003F141B" w:rsidRDefault="002540E1" w:rsidP="009130CA">
      <w:pPr>
        <w:pStyle w:val="Paragraphe"/>
        <w:numPr>
          <w:ilvl w:val="0"/>
          <w:numId w:val="30"/>
        </w:numPr>
        <w:spacing w:line="280" w:lineRule="exact"/>
        <w:rPr>
          <w:lang w:val="en-CA"/>
        </w:rPr>
      </w:pPr>
      <w:r w:rsidRPr="003F141B">
        <w:rPr>
          <w:lang w:val="en-CA"/>
        </w:rPr>
        <w:t>The first br</w:t>
      </w:r>
      <w:r w:rsidR="009C3119" w:rsidRPr="003F141B">
        <w:rPr>
          <w:lang w:val="en-CA"/>
        </w:rPr>
        <w:t>eath sample was taken at 11:56 p</w:t>
      </w:r>
      <w:r w:rsidRPr="003F141B">
        <w:rPr>
          <w:lang w:val="en-CA"/>
        </w:rPr>
        <w:t xml:space="preserve">.m. and the second at 12:15 a.m.; </w:t>
      </w:r>
    </w:p>
    <w:p w14:paraId="41B93FA5" w14:textId="5126873D" w:rsidR="009130CA" w:rsidRPr="003F141B" w:rsidRDefault="002540E1" w:rsidP="009130CA">
      <w:pPr>
        <w:pStyle w:val="Paragraphe"/>
        <w:spacing w:line="280" w:lineRule="exact"/>
        <w:rPr>
          <w:lang w:val="en-CA"/>
        </w:rPr>
      </w:pPr>
      <w:r w:rsidRPr="003F141B">
        <w:rPr>
          <w:lang w:val="en-CA"/>
        </w:rPr>
        <w:t xml:space="preserve">In total, the calls to </w:t>
      </w:r>
      <w:proofErr w:type="spellStart"/>
      <w:r w:rsidRPr="003F141B">
        <w:rPr>
          <w:lang w:val="en-CA"/>
        </w:rPr>
        <w:t>Mtre</w:t>
      </w:r>
      <w:proofErr w:type="spellEnd"/>
      <w:r w:rsidRPr="003F141B">
        <w:rPr>
          <w:lang w:val="en-CA"/>
        </w:rPr>
        <w:t xml:space="preserve"> </w:t>
      </w:r>
      <w:proofErr w:type="spellStart"/>
      <w:r w:rsidRPr="003F141B">
        <w:rPr>
          <w:lang w:val="en-CA"/>
        </w:rPr>
        <w:t>Boulianne</w:t>
      </w:r>
      <w:r w:rsidR="003061CC">
        <w:rPr>
          <w:lang w:val="en-CA"/>
        </w:rPr>
        <w:t>’</w:t>
      </w:r>
      <w:r w:rsidRPr="003F141B">
        <w:rPr>
          <w:lang w:val="en-CA"/>
        </w:rPr>
        <w:t>s</w:t>
      </w:r>
      <w:proofErr w:type="spellEnd"/>
      <w:r w:rsidRPr="003F141B">
        <w:rPr>
          <w:lang w:val="en-CA"/>
        </w:rPr>
        <w:t xml:space="preserve"> cellphone and the offices of </w:t>
      </w:r>
      <w:proofErr w:type="spellStart"/>
      <w:r w:rsidRPr="003F141B">
        <w:rPr>
          <w:lang w:val="en-CA"/>
        </w:rPr>
        <w:t>Cantin</w:t>
      </w:r>
      <w:proofErr w:type="spellEnd"/>
      <w:r w:rsidRPr="003F141B">
        <w:rPr>
          <w:lang w:val="en-CA"/>
        </w:rPr>
        <w:t xml:space="preserve"> </w:t>
      </w:r>
      <w:proofErr w:type="spellStart"/>
      <w:r w:rsidRPr="003F141B">
        <w:rPr>
          <w:lang w:val="en-CA"/>
        </w:rPr>
        <w:t>Boulianne</w:t>
      </w:r>
      <w:proofErr w:type="spellEnd"/>
      <w:r w:rsidRPr="003F141B">
        <w:rPr>
          <w:lang w:val="en-CA"/>
        </w:rPr>
        <w:t xml:space="preserve"> lasted two minutes.</w:t>
      </w:r>
      <w:r w:rsidR="005003D8" w:rsidRPr="003F141B">
        <w:rPr>
          <w:lang w:val="en-CA"/>
        </w:rPr>
        <w:t xml:space="preserve"> </w:t>
      </w:r>
      <w:r w:rsidRPr="003F141B">
        <w:rPr>
          <w:lang w:val="en-CA"/>
        </w:rPr>
        <w:t xml:space="preserve">One minute elapsed between the call to the offices of </w:t>
      </w:r>
      <w:proofErr w:type="spellStart"/>
      <w:r w:rsidRPr="003F141B">
        <w:rPr>
          <w:lang w:val="en-CA"/>
        </w:rPr>
        <w:t>Cantin</w:t>
      </w:r>
      <w:proofErr w:type="spellEnd"/>
      <w:r w:rsidRPr="003F141B">
        <w:rPr>
          <w:lang w:val="en-CA"/>
        </w:rPr>
        <w:t xml:space="preserve"> </w:t>
      </w:r>
      <w:proofErr w:type="spellStart"/>
      <w:r w:rsidRPr="003F141B">
        <w:rPr>
          <w:lang w:val="en-CA"/>
        </w:rPr>
        <w:t>Boulianne</w:t>
      </w:r>
      <w:proofErr w:type="spellEnd"/>
      <w:r w:rsidRPr="003F141B">
        <w:rPr>
          <w:lang w:val="en-CA"/>
        </w:rPr>
        <w:t xml:space="preserve"> and the call to legal aid.</w:t>
      </w:r>
      <w:r w:rsidR="005003D8" w:rsidRPr="003F141B">
        <w:rPr>
          <w:lang w:val="en-CA"/>
        </w:rPr>
        <w:t xml:space="preserve"> </w:t>
      </w:r>
      <w:r w:rsidRPr="003F141B">
        <w:rPr>
          <w:lang w:val="en-CA"/>
        </w:rPr>
        <w:t xml:space="preserve">Officer </w:t>
      </w:r>
      <w:proofErr w:type="spellStart"/>
      <w:r w:rsidRPr="003F141B">
        <w:rPr>
          <w:lang w:val="en-CA"/>
        </w:rPr>
        <w:t>Naess</w:t>
      </w:r>
      <w:proofErr w:type="spellEnd"/>
      <w:r w:rsidRPr="003F141B">
        <w:rPr>
          <w:lang w:val="en-CA"/>
        </w:rPr>
        <w:t xml:space="preserve">-Olivier did not attempt to reach </w:t>
      </w:r>
      <w:proofErr w:type="spellStart"/>
      <w:r w:rsidRPr="003F141B">
        <w:rPr>
          <w:lang w:val="en-CA"/>
        </w:rPr>
        <w:t>Mtre</w:t>
      </w:r>
      <w:proofErr w:type="spellEnd"/>
      <w:r w:rsidR="00E400A8">
        <w:rPr>
          <w:lang w:val="en-CA"/>
        </w:rPr>
        <w:t> </w:t>
      </w:r>
      <w:proofErr w:type="spellStart"/>
      <w:r w:rsidRPr="003F141B">
        <w:rPr>
          <w:lang w:val="en-CA"/>
        </w:rPr>
        <w:t>Cantin</w:t>
      </w:r>
      <w:proofErr w:type="spellEnd"/>
      <w:r w:rsidRPr="003F141B">
        <w:rPr>
          <w:lang w:val="en-CA"/>
        </w:rPr>
        <w:t xml:space="preserve"> on his cellphone.</w:t>
      </w:r>
    </w:p>
    <w:p w14:paraId="7ACB847D" w14:textId="4E1F1044" w:rsidR="009130CA" w:rsidRPr="003F141B" w:rsidRDefault="002540E1" w:rsidP="009130CA">
      <w:pPr>
        <w:pStyle w:val="Paragraphe"/>
        <w:spacing w:line="280" w:lineRule="exact"/>
        <w:rPr>
          <w:lang w:val="en-CA"/>
        </w:rPr>
      </w:pPr>
      <w:r w:rsidRPr="003F141B">
        <w:rPr>
          <w:lang w:val="en-CA"/>
        </w:rPr>
        <w:t xml:space="preserve">A parenthetical remark is in order to state that there is no evidence that </w:t>
      </w:r>
      <w:proofErr w:type="spellStart"/>
      <w:r w:rsidRPr="003F141B">
        <w:rPr>
          <w:lang w:val="en-CA"/>
        </w:rPr>
        <w:t>Mtre</w:t>
      </w:r>
      <w:proofErr w:type="spellEnd"/>
      <w:r w:rsidR="007414D2">
        <w:rPr>
          <w:lang w:val="en-CA"/>
        </w:rPr>
        <w:t> </w:t>
      </w:r>
      <w:proofErr w:type="spellStart"/>
      <w:r w:rsidRPr="003F141B">
        <w:rPr>
          <w:lang w:val="en-CA"/>
        </w:rPr>
        <w:t>Cantin</w:t>
      </w:r>
      <w:r w:rsidR="003061CC">
        <w:rPr>
          <w:lang w:val="en-CA"/>
        </w:rPr>
        <w:t>’</w:t>
      </w:r>
      <w:r w:rsidRPr="003F141B">
        <w:rPr>
          <w:lang w:val="en-CA"/>
        </w:rPr>
        <w:t>s</w:t>
      </w:r>
      <w:proofErr w:type="spellEnd"/>
      <w:r w:rsidRPr="003F141B">
        <w:rPr>
          <w:lang w:val="en-CA"/>
        </w:rPr>
        <w:t xml:space="preserve"> cellphone number could not be </w:t>
      </w:r>
      <w:r w:rsidR="009C3119" w:rsidRPr="003F141B">
        <w:rPr>
          <w:lang w:val="en-CA"/>
        </w:rPr>
        <w:t>located</w:t>
      </w:r>
      <w:r w:rsidRPr="003F141B">
        <w:rPr>
          <w:lang w:val="en-CA"/>
        </w:rPr>
        <w:t xml:space="preserve"> as easily as </w:t>
      </w:r>
      <w:proofErr w:type="spellStart"/>
      <w:r w:rsidRPr="003F141B">
        <w:rPr>
          <w:lang w:val="en-CA"/>
        </w:rPr>
        <w:t>Mtre</w:t>
      </w:r>
      <w:proofErr w:type="spellEnd"/>
      <w:r w:rsidRPr="003F141B">
        <w:rPr>
          <w:lang w:val="en-CA"/>
        </w:rPr>
        <w:t xml:space="preserve"> </w:t>
      </w:r>
      <w:proofErr w:type="spellStart"/>
      <w:proofErr w:type="gramStart"/>
      <w:r w:rsidRPr="003F141B">
        <w:rPr>
          <w:lang w:val="en-CA"/>
        </w:rPr>
        <w:t>Boulianne</w:t>
      </w:r>
      <w:r w:rsidR="003061CC">
        <w:rPr>
          <w:lang w:val="en-CA"/>
        </w:rPr>
        <w:t>’</w:t>
      </w:r>
      <w:r w:rsidR="00C35B59" w:rsidRPr="003F141B">
        <w:rPr>
          <w:lang w:val="en-CA"/>
        </w:rPr>
        <w:t>s</w:t>
      </w:r>
      <w:proofErr w:type="spellEnd"/>
      <w:proofErr w:type="gramEnd"/>
      <w:r w:rsidRPr="003F141B">
        <w:rPr>
          <w:lang w:val="en-CA"/>
        </w:rPr>
        <w:t>.</w:t>
      </w:r>
      <w:r w:rsidR="005003D8" w:rsidRPr="003F141B">
        <w:rPr>
          <w:lang w:val="en-CA"/>
        </w:rPr>
        <w:t xml:space="preserve"> </w:t>
      </w:r>
      <w:r w:rsidRPr="003F141B">
        <w:rPr>
          <w:lang w:val="en-CA"/>
        </w:rPr>
        <w:t xml:space="preserve">The Court understands from </w:t>
      </w:r>
      <w:r w:rsidR="00A47853" w:rsidRPr="003F141B">
        <w:rPr>
          <w:lang w:val="en-CA"/>
        </w:rPr>
        <w:t>O</w:t>
      </w:r>
      <w:r w:rsidRPr="003F141B">
        <w:rPr>
          <w:lang w:val="en-CA"/>
        </w:rPr>
        <w:t xml:space="preserve">fficer </w:t>
      </w:r>
      <w:proofErr w:type="spellStart"/>
      <w:r w:rsidRPr="003F141B">
        <w:rPr>
          <w:lang w:val="en-CA"/>
        </w:rPr>
        <w:t>Naess</w:t>
      </w:r>
      <w:proofErr w:type="spellEnd"/>
      <w:r w:rsidRPr="003F141B">
        <w:rPr>
          <w:lang w:val="en-CA"/>
        </w:rPr>
        <w:t>-Olivier</w:t>
      </w:r>
      <w:r w:rsidR="003061CC">
        <w:rPr>
          <w:lang w:val="en-CA"/>
        </w:rPr>
        <w:t>’</w:t>
      </w:r>
      <w:r w:rsidRPr="003F141B">
        <w:rPr>
          <w:lang w:val="en-CA"/>
        </w:rPr>
        <w:t>s testimony that he felt that two attempts were sufficient:</w:t>
      </w:r>
    </w:p>
    <w:p w14:paraId="6D0FE76D" w14:textId="7E503512" w:rsidR="00C35B59" w:rsidRPr="003F141B" w:rsidRDefault="00C35B59" w:rsidP="009130CA">
      <w:pPr>
        <w:pStyle w:val="Citationenretrait"/>
        <w:ind w:left="1418" w:hanging="698"/>
        <w:rPr>
          <w:rFonts w:eastAsia="Courier New"/>
          <w:lang w:val="en-CA" w:bidi="fr-FR"/>
        </w:rPr>
      </w:pPr>
      <w:r w:rsidRPr="003F141B">
        <w:rPr>
          <w:rFonts w:eastAsia="Courier New"/>
          <w:lang w:val="en-CA" w:bidi="fr-FR"/>
        </w:rPr>
        <w:t>[</w:t>
      </w:r>
      <w:r w:rsidRPr="003F141B">
        <w:rPr>
          <w:rFonts w:eastAsia="Courier New"/>
          <w:smallCaps/>
          <w:lang w:val="en-CA" w:bidi="fr-FR"/>
        </w:rPr>
        <w:t>translation</w:t>
      </w:r>
      <w:r w:rsidRPr="003F141B">
        <w:rPr>
          <w:rFonts w:eastAsia="Courier New"/>
          <w:lang w:val="en-CA" w:bidi="fr-FR"/>
        </w:rPr>
        <w:t>]</w:t>
      </w:r>
    </w:p>
    <w:p w14:paraId="6CA6B0A9" w14:textId="7D92C99C" w:rsidR="009130CA" w:rsidRPr="003F141B" w:rsidRDefault="002540E1" w:rsidP="009130CA">
      <w:pPr>
        <w:pStyle w:val="Citationenretrait"/>
        <w:ind w:left="1418" w:hanging="698"/>
        <w:rPr>
          <w:lang w:val="en-CA"/>
        </w:rPr>
      </w:pPr>
      <w:r w:rsidRPr="003F141B">
        <w:rPr>
          <w:rFonts w:eastAsia="Courier New"/>
          <w:lang w:val="en-CA" w:bidi="fr-FR"/>
        </w:rPr>
        <w:t>A</w:t>
      </w:r>
      <w:r w:rsidR="005003D8" w:rsidRPr="003F141B">
        <w:rPr>
          <w:rFonts w:eastAsia="Courier New"/>
          <w:lang w:val="en-CA" w:bidi="fr-FR"/>
        </w:rPr>
        <w:tab/>
      </w:r>
      <w:r w:rsidR="00284B99">
        <w:rPr>
          <w:rFonts w:eastAsia="Courier New"/>
          <w:lang w:val="fr-FR" w:bidi="fr-FR"/>
        </w:rPr>
        <w:t xml:space="preserve">[….] </w:t>
      </w:r>
      <w:r w:rsidRPr="003F141B">
        <w:rPr>
          <w:rFonts w:eastAsia="Courier New"/>
          <w:lang w:val="en-CA" w:bidi="fr-FR"/>
        </w:rPr>
        <w:t xml:space="preserve">I made two (2) attempts to call the lawyers that he wanted to contact, so the first (1st) was at eleven thirty-seven (11:37 p.m.) to </w:t>
      </w:r>
      <w:proofErr w:type="spellStart"/>
      <w:r w:rsidRPr="003F141B">
        <w:rPr>
          <w:rFonts w:eastAsia="Courier New"/>
          <w:lang w:val="en-CA" w:bidi="fr-FR"/>
        </w:rPr>
        <w:t>Mtre</w:t>
      </w:r>
      <w:proofErr w:type="spellEnd"/>
      <w:r w:rsidRPr="003F141B">
        <w:rPr>
          <w:rFonts w:eastAsia="Courier New"/>
          <w:lang w:val="en-CA" w:bidi="fr-FR"/>
        </w:rPr>
        <w:t xml:space="preserve"> </w:t>
      </w:r>
      <w:proofErr w:type="spellStart"/>
      <w:r w:rsidRPr="003F141B">
        <w:rPr>
          <w:rFonts w:eastAsia="Courier New"/>
          <w:lang w:val="en-CA" w:bidi="fr-FR"/>
        </w:rPr>
        <w:t>Boulianne</w:t>
      </w:r>
      <w:proofErr w:type="spellEnd"/>
      <w:r w:rsidRPr="003F141B">
        <w:rPr>
          <w:rFonts w:eastAsia="Courier New"/>
          <w:lang w:val="en-CA" w:bidi="fr-FR"/>
        </w:rPr>
        <w:t xml:space="preserve"> and the second (2nd) at eleven thirty-nine (11:39 p.m.)</w:t>
      </w:r>
      <w:r w:rsidR="00FD194E">
        <w:rPr>
          <w:rFonts w:eastAsia="Courier New"/>
          <w:lang w:val="en-CA" w:bidi="fr-FR"/>
        </w:rPr>
        <w:t xml:space="preserve"> to the </w:t>
      </w:r>
      <w:r w:rsidR="00177F19">
        <w:rPr>
          <w:rFonts w:eastAsia="Courier New"/>
          <w:lang w:val="en-CA" w:bidi="fr-FR"/>
        </w:rPr>
        <w:t>twenty-four-hour (</w:t>
      </w:r>
      <w:r w:rsidR="00FD194E">
        <w:rPr>
          <w:rFonts w:eastAsia="Courier New"/>
          <w:lang w:val="en-CA" w:bidi="fr-FR"/>
        </w:rPr>
        <w:t>24-hour</w:t>
      </w:r>
      <w:r w:rsidR="00177F19">
        <w:rPr>
          <w:rFonts w:eastAsia="Courier New"/>
          <w:lang w:val="en-CA" w:bidi="fr-FR"/>
        </w:rPr>
        <w:t>)</w:t>
      </w:r>
      <w:r w:rsidR="00FD194E">
        <w:rPr>
          <w:rFonts w:eastAsia="Courier New"/>
          <w:lang w:val="en-CA" w:bidi="fr-FR"/>
        </w:rPr>
        <w:t xml:space="preserve"> line</w:t>
      </w:r>
      <w:r w:rsidRPr="003F141B">
        <w:rPr>
          <w:rFonts w:eastAsia="Courier New"/>
          <w:lang w:val="en-CA" w:bidi="fr-FR"/>
        </w:rPr>
        <w:t>.</w:t>
      </w:r>
    </w:p>
    <w:p w14:paraId="51D429F8" w14:textId="2CD51EC6" w:rsidR="009130CA" w:rsidRPr="003F141B" w:rsidRDefault="002540E1" w:rsidP="009130CA">
      <w:pPr>
        <w:pStyle w:val="Transcription"/>
        <w:ind w:firstLine="720"/>
        <w:rPr>
          <w:lang w:val="en-CA"/>
        </w:rPr>
      </w:pPr>
      <w:r w:rsidRPr="003F141B">
        <w:rPr>
          <w:rFonts w:eastAsia="Courier New"/>
          <w:lang w:val="en-CA" w:bidi="fr-FR"/>
        </w:rPr>
        <w:t>Q</w:t>
      </w:r>
      <w:r w:rsidR="005003D8" w:rsidRPr="003F141B">
        <w:rPr>
          <w:rFonts w:eastAsia="Courier New"/>
          <w:lang w:val="en-CA" w:bidi="fr-FR"/>
        </w:rPr>
        <w:t xml:space="preserve"> </w:t>
      </w:r>
      <w:r w:rsidR="005003D8" w:rsidRPr="003F141B">
        <w:rPr>
          <w:rFonts w:eastAsia="Courier New"/>
          <w:lang w:val="en-CA" w:bidi="fr-FR"/>
        </w:rPr>
        <w:tab/>
      </w:r>
      <w:r w:rsidRPr="003F141B">
        <w:rPr>
          <w:rFonts w:eastAsia="Courier New"/>
          <w:lang w:val="en-CA" w:bidi="fr-FR"/>
        </w:rPr>
        <w:t>The offices?</w:t>
      </w:r>
    </w:p>
    <w:p w14:paraId="535B028F" w14:textId="6804C0F0" w:rsidR="009130CA" w:rsidRPr="003F141B" w:rsidRDefault="002540E1" w:rsidP="009130CA">
      <w:pPr>
        <w:pStyle w:val="Transcription"/>
        <w:ind w:firstLine="720"/>
        <w:rPr>
          <w:lang w:val="en-CA"/>
        </w:rPr>
      </w:pPr>
      <w:r w:rsidRPr="003F141B">
        <w:rPr>
          <w:rFonts w:eastAsia="Courier New"/>
          <w:lang w:val="en-CA" w:bidi="fr-FR"/>
        </w:rPr>
        <w:t>A</w:t>
      </w:r>
      <w:r w:rsidR="005003D8" w:rsidRPr="003F141B">
        <w:rPr>
          <w:rFonts w:eastAsia="Courier New"/>
          <w:lang w:val="en-CA" w:bidi="fr-FR"/>
        </w:rPr>
        <w:t xml:space="preserve"> </w:t>
      </w:r>
      <w:r w:rsidR="005003D8" w:rsidRPr="003F141B">
        <w:rPr>
          <w:rFonts w:eastAsia="Courier New"/>
          <w:lang w:val="en-CA" w:bidi="fr-FR"/>
        </w:rPr>
        <w:tab/>
      </w:r>
      <w:r w:rsidRPr="003F141B">
        <w:rPr>
          <w:rFonts w:eastAsia="Courier New"/>
          <w:lang w:val="en-CA" w:bidi="fr-FR"/>
        </w:rPr>
        <w:t>That</w:t>
      </w:r>
      <w:r w:rsidR="003061CC">
        <w:rPr>
          <w:rFonts w:eastAsia="Courier New"/>
          <w:lang w:val="en-CA" w:bidi="fr-FR"/>
        </w:rPr>
        <w:t>’</w:t>
      </w:r>
      <w:r w:rsidRPr="003F141B">
        <w:rPr>
          <w:rFonts w:eastAsia="Courier New"/>
          <w:lang w:val="en-CA" w:bidi="fr-FR"/>
        </w:rPr>
        <w:t>s right.</w:t>
      </w:r>
    </w:p>
    <w:p w14:paraId="657DFE44" w14:textId="67DFF63A" w:rsidR="009130CA" w:rsidRPr="003F141B" w:rsidRDefault="002540E1" w:rsidP="009130CA">
      <w:pPr>
        <w:pStyle w:val="Transcription"/>
        <w:ind w:firstLine="720"/>
        <w:rPr>
          <w:lang w:val="en-CA"/>
        </w:rPr>
      </w:pPr>
      <w:r w:rsidRPr="003F141B">
        <w:rPr>
          <w:rFonts w:eastAsia="Courier New"/>
          <w:lang w:val="en-CA" w:bidi="fr-FR"/>
        </w:rPr>
        <w:t>Q</w:t>
      </w:r>
      <w:r w:rsidR="005003D8" w:rsidRPr="003F141B">
        <w:rPr>
          <w:rFonts w:eastAsia="Courier New"/>
          <w:lang w:val="en-CA" w:bidi="fr-FR"/>
        </w:rPr>
        <w:t xml:space="preserve"> </w:t>
      </w:r>
      <w:r w:rsidR="005003D8" w:rsidRPr="003F141B">
        <w:rPr>
          <w:rFonts w:eastAsia="Courier New"/>
          <w:lang w:val="en-CA" w:bidi="fr-FR"/>
        </w:rPr>
        <w:tab/>
      </w:r>
      <w:r w:rsidRPr="003F141B">
        <w:rPr>
          <w:rFonts w:eastAsia="Courier New"/>
          <w:lang w:val="en-CA" w:bidi="fr-FR"/>
        </w:rPr>
        <w:t xml:space="preserve">How many times did you attempt to call </w:t>
      </w:r>
      <w:proofErr w:type="spellStart"/>
      <w:r w:rsidRPr="003F141B">
        <w:rPr>
          <w:rFonts w:eastAsia="Courier New"/>
          <w:lang w:val="en-CA" w:bidi="fr-FR"/>
        </w:rPr>
        <w:t>Mtre</w:t>
      </w:r>
      <w:proofErr w:type="spellEnd"/>
      <w:r w:rsidRPr="003F141B">
        <w:rPr>
          <w:rFonts w:eastAsia="Courier New"/>
          <w:lang w:val="en-CA" w:bidi="fr-FR"/>
        </w:rPr>
        <w:t xml:space="preserve"> </w:t>
      </w:r>
      <w:proofErr w:type="spellStart"/>
      <w:r w:rsidRPr="003F141B">
        <w:rPr>
          <w:rFonts w:eastAsia="Courier New"/>
          <w:lang w:val="en-CA" w:bidi="fr-FR"/>
        </w:rPr>
        <w:t>Cantin</w:t>
      </w:r>
      <w:proofErr w:type="spellEnd"/>
      <w:r w:rsidRPr="003F141B">
        <w:rPr>
          <w:rFonts w:eastAsia="Courier New"/>
          <w:lang w:val="en-CA" w:bidi="fr-FR"/>
        </w:rPr>
        <w:t>?</w:t>
      </w:r>
    </w:p>
    <w:p w14:paraId="2D905A22" w14:textId="7EC905E6" w:rsidR="009130CA" w:rsidRPr="003F141B" w:rsidRDefault="002540E1" w:rsidP="009130CA">
      <w:pPr>
        <w:pStyle w:val="Transcription"/>
        <w:ind w:firstLine="720"/>
        <w:rPr>
          <w:lang w:val="en-CA"/>
        </w:rPr>
      </w:pPr>
      <w:r w:rsidRPr="003F141B">
        <w:rPr>
          <w:rFonts w:eastAsia="Courier New"/>
          <w:lang w:val="en-CA" w:bidi="fr-FR"/>
        </w:rPr>
        <w:lastRenderedPageBreak/>
        <w:t>A</w:t>
      </w:r>
      <w:r w:rsidR="005003D8" w:rsidRPr="003F141B">
        <w:rPr>
          <w:rFonts w:eastAsia="Courier New"/>
          <w:lang w:val="en-CA" w:bidi="fr-FR"/>
        </w:rPr>
        <w:t xml:space="preserve"> </w:t>
      </w:r>
      <w:r w:rsidR="005003D8" w:rsidRPr="003F141B">
        <w:rPr>
          <w:rFonts w:eastAsia="Courier New"/>
          <w:lang w:val="en-CA" w:bidi="fr-FR"/>
        </w:rPr>
        <w:tab/>
      </w:r>
      <w:r w:rsidRPr="003F141B">
        <w:rPr>
          <w:rFonts w:eastAsia="Courier New"/>
          <w:lang w:val="en-CA" w:bidi="fr-FR"/>
        </w:rPr>
        <w:t xml:space="preserve">One time, </w:t>
      </w:r>
      <w:r w:rsidR="00C35B59" w:rsidRPr="003F141B">
        <w:rPr>
          <w:rFonts w:eastAsia="Courier New"/>
          <w:lang w:val="en-CA" w:bidi="fr-FR"/>
        </w:rPr>
        <w:t xml:space="preserve">and </w:t>
      </w:r>
      <w:r w:rsidRPr="003F141B">
        <w:rPr>
          <w:rFonts w:eastAsia="Courier New"/>
          <w:lang w:val="en-CA" w:bidi="fr-FR"/>
        </w:rPr>
        <w:t xml:space="preserve">I did not call </w:t>
      </w:r>
      <w:proofErr w:type="spellStart"/>
      <w:r w:rsidRPr="003F141B">
        <w:rPr>
          <w:rFonts w:eastAsia="Courier New"/>
          <w:lang w:val="en-CA" w:bidi="fr-FR"/>
        </w:rPr>
        <w:t>Mtre</w:t>
      </w:r>
      <w:proofErr w:type="spellEnd"/>
      <w:r w:rsidRPr="003F141B">
        <w:rPr>
          <w:rFonts w:eastAsia="Courier New"/>
          <w:lang w:val="en-CA" w:bidi="fr-FR"/>
        </w:rPr>
        <w:t xml:space="preserve"> </w:t>
      </w:r>
      <w:proofErr w:type="spellStart"/>
      <w:r w:rsidRPr="003F141B">
        <w:rPr>
          <w:rFonts w:eastAsia="Courier New"/>
          <w:lang w:val="en-CA" w:bidi="fr-FR"/>
        </w:rPr>
        <w:t>Cantin</w:t>
      </w:r>
      <w:proofErr w:type="spellEnd"/>
      <w:r w:rsidRPr="003F141B">
        <w:rPr>
          <w:rFonts w:eastAsia="Courier New"/>
          <w:lang w:val="en-CA" w:bidi="fr-FR"/>
        </w:rPr>
        <w:t xml:space="preserve"> on his cellphone.</w:t>
      </w:r>
    </w:p>
    <w:p w14:paraId="15DEA59E" w14:textId="0B342344" w:rsidR="009130CA" w:rsidRPr="003F141B" w:rsidRDefault="002540E1" w:rsidP="009130CA">
      <w:pPr>
        <w:pStyle w:val="Paragraphe"/>
        <w:spacing w:line="280" w:lineRule="exact"/>
        <w:rPr>
          <w:lang w:val="en-CA"/>
        </w:rPr>
      </w:pPr>
      <w:r w:rsidRPr="003F141B">
        <w:rPr>
          <w:lang w:val="en-CA"/>
        </w:rPr>
        <w:t xml:space="preserve">Officer </w:t>
      </w:r>
      <w:proofErr w:type="spellStart"/>
      <w:r w:rsidRPr="003F141B">
        <w:rPr>
          <w:lang w:val="en-CA"/>
        </w:rPr>
        <w:t>Naess</w:t>
      </w:r>
      <w:proofErr w:type="spellEnd"/>
      <w:r w:rsidRPr="003F141B">
        <w:rPr>
          <w:lang w:val="en-CA"/>
        </w:rPr>
        <w:t xml:space="preserve">-Olivier also admitted </w:t>
      </w:r>
      <w:r w:rsidR="009C3119" w:rsidRPr="003F141B">
        <w:rPr>
          <w:lang w:val="en-CA"/>
        </w:rPr>
        <w:t>that the respondent had no cell</w:t>
      </w:r>
      <w:r w:rsidRPr="003F141B">
        <w:rPr>
          <w:lang w:val="en-CA"/>
        </w:rPr>
        <w:t xml:space="preserve">phone or </w:t>
      </w:r>
      <w:r w:rsidRPr="003F141B">
        <w:rPr>
          <w:rFonts w:cs="Arial"/>
          <w:lang w:val="en-CA"/>
        </w:rPr>
        <w:t>[</w:t>
      </w:r>
      <w:r w:rsidRPr="003F141B">
        <w:rPr>
          <w:smallCaps/>
          <w:lang w:val="en-CA"/>
        </w:rPr>
        <w:t>translation</w:t>
      </w:r>
      <w:r w:rsidRPr="003F141B">
        <w:rPr>
          <w:rFonts w:cs="Arial"/>
          <w:smallCaps/>
          <w:lang w:val="en-CA"/>
        </w:rPr>
        <w:t>]</w:t>
      </w:r>
      <w:r w:rsidRPr="003F141B">
        <w:rPr>
          <w:lang w:val="en-CA"/>
        </w:rPr>
        <w:t xml:space="preserve"> </w:t>
      </w:r>
      <w:r w:rsidR="00081775">
        <w:rPr>
          <w:lang w:val="en-CA"/>
        </w:rPr>
        <w:t>“</w:t>
      </w:r>
      <w:r w:rsidRPr="003F141B">
        <w:rPr>
          <w:lang w:val="en-CA"/>
        </w:rPr>
        <w:t>access to anything</w:t>
      </w:r>
      <w:r w:rsidR="00081775">
        <w:rPr>
          <w:lang w:val="en-CA"/>
        </w:rPr>
        <w:t>”</w:t>
      </w:r>
      <w:r w:rsidRPr="003F141B">
        <w:rPr>
          <w:lang w:val="en-CA"/>
        </w:rPr>
        <w:t xml:space="preserve"> and was dependent on his efforts to contact his lawyer:</w:t>
      </w:r>
    </w:p>
    <w:p w14:paraId="6F7143E1" w14:textId="07B5D790" w:rsidR="00C35B59" w:rsidRPr="003F141B" w:rsidRDefault="00C35B59" w:rsidP="009130CA">
      <w:pPr>
        <w:pStyle w:val="Citationenretrait"/>
        <w:ind w:left="1418" w:hanging="698"/>
        <w:rPr>
          <w:lang w:val="en-CA"/>
        </w:rPr>
      </w:pPr>
      <w:r w:rsidRPr="003F141B">
        <w:rPr>
          <w:lang w:val="en-CA"/>
        </w:rPr>
        <w:t>[</w:t>
      </w:r>
      <w:r w:rsidRPr="003F141B">
        <w:rPr>
          <w:smallCaps/>
          <w:lang w:val="en-CA"/>
        </w:rPr>
        <w:t>translation</w:t>
      </w:r>
      <w:r w:rsidRPr="003F141B">
        <w:rPr>
          <w:lang w:val="en-CA"/>
        </w:rPr>
        <w:t>]</w:t>
      </w:r>
    </w:p>
    <w:p w14:paraId="19845B05" w14:textId="25F62835" w:rsidR="009130CA" w:rsidRPr="003F141B" w:rsidRDefault="002540E1" w:rsidP="009130CA">
      <w:pPr>
        <w:pStyle w:val="Citationenretrait"/>
        <w:ind w:left="1418" w:hanging="698"/>
        <w:rPr>
          <w:lang w:val="en-CA"/>
        </w:rPr>
      </w:pPr>
      <w:r w:rsidRPr="003F141B">
        <w:rPr>
          <w:lang w:val="en-CA"/>
        </w:rPr>
        <w:t>Q</w:t>
      </w:r>
      <w:r w:rsidR="005003D8" w:rsidRPr="003F141B">
        <w:rPr>
          <w:lang w:val="en-CA"/>
        </w:rPr>
        <w:tab/>
      </w:r>
      <w:r w:rsidRPr="003F141B">
        <w:rPr>
          <w:lang w:val="en-CA"/>
        </w:rPr>
        <w:t xml:space="preserve">Because you agree that when </w:t>
      </w:r>
      <w:r w:rsidR="009C3119" w:rsidRPr="003F141B">
        <w:rPr>
          <w:lang w:val="en-CA"/>
        </w:rPr>
        <w:t>the police detain a person</w:t>
      </w:r>
      <w:r w:rsidRPr="003F141B">
        <w:rPr>
          <w:lang w:val="en-CA"/>
        </w:rPr>
        <w:t>, he or she depends on your efforts to reach his or her lawyer?</w:t>
      </w:r>
    </w:p>
    <w:p w14:paraId="05A48046" w14:textId="32690A80" w:rsidR="009130CA" w:rsidRPr="003F141B" w:rsidRDefault="002540E1" w:rsidP="009130CA">
      <w:pPr>
        <w:pStyle w:val="Citationenretrait"/>
        <w:rPr>
          <w:lang w:val="en-CA"/>
        </w:rPr>
      </w:pPr>
      <w:r w:rsidRPr="003F141B">
        <w:rPr>
          <w:lang w:val="en-CA"/>
        </w:rPr>
        <w:t>A</w:t>
      </w:r>
      <w:r w:rsidR="005003D8" w:rsidRPr="003F141B">
        <w:rPr>
          <w:lang w:val="en-CA"/>
        </w:rPr>
        <w:tab/>
      </w:r>
      <w:r w:rsidRPr="003F141B">
        <w:rPr>
          <w:lang w:val="en-CA"/>
        </w:rPr>
        <w:t>Yes.</w:t>
      </w:r>
    </w:p>
    <w:p w14:paraId="12D9AC6A" w14:textId="18BFEA21" w:rsidR="009130CA" w:rsidRPr="003F141B" w:rsidRDefault="002540E1" w:rsidP="009130CA">
      <w:pPr>
        <w:pStyle w:val="Citationenretrait"/>
        <w:ind w:left="1418" w:hanging="698"/>
        <w:rPr>
          <w:lang w:val="en-CA" w:bidi="fr-FR"/>
        </w:rPr>
      </w:pPr>
      <w:r w:rsidRPr="003F141B">
        <w:rPr>
          <w:lang w:val="en-CA" w:bidi="fr-FR"/>
        </w:rPr>
        <w:t>Q</w:t>
      </w:r>
      <w:r w:rsidR="005003D8" w:rsidRPr="003F141B">
        <w:rPr>
          <w:lang w:val="en-CA" w:bidi="fr-FR"/>
        </w:rPr>
        <w:tab/>
      </w:r>
      <w:r w:rsidRPr="003F141B">
        <w:rPr>
          <w:lang w:val="en-CA" w:bidi="fr-FR"/>
        </w:rPr>
        <w:t xml:space="preserve">He had no cellphone, he had access to nothing, so his own efforts to reach his lawyer are </w:t>
      </w:r>
      <w:r w:rsidR="002346D5">
        <w:rPr>
          <w:lang w:val="en-CA" w:bidi="fr-FR"/>
        </w:rPr>
        <w:t xml:space="preserve">necessarily </w:t>
      </w:r>
      <w:r w:rsidRPr="003F141B">
        <w:rPr>
          <w:lang w:val="en-CA" w:bidi="fr-FR"/>
        </w:rPr>
        <w:t>your efforts?</w:t>
      </w:r>
    </w:p>
    <w:p w14:paraId="43B80DB6" w14:textId="79736B90" w:rsidR="009130CA" w:rsidRPr="003F141B" w:rsidRDefault="002540E1" w:rsidP="009130CA">
      <w:pPr>
        <w:pStyle w:val="Citationenretrait"/>
        <w:rPr>
          <w:lang w:val="en-CA" w:bidi="fr-FR"/>
        </w:rPr>
      </w:pPr>
      <w:r w:rsidRPr="003F141B">
        <w:rPr>
          <w:lang w:val="en-CA" w:bidi="fr-FR"/>
        </w:rPr>
        <w:t>A</w:t>
      </w:r>
      <w:r w:rsidR="005003D8" w:rsidRPr="003F141B">
        <w:rPr>
          <w:lang w:val="en-CA" w:bidi="fr-FR"/>
        </w:rPr>
        <w:tab/>
      </w:r>
      <w:r w:rsidRPr="003F141B">
        <w:rPr>
          <w:lang w:val="en-CA" w:bidi="fr-FR"/>
        </w:rPr>
        <w:t>Yes.</w:t>
      </w:r>
    </w:p>
    <w:p w14:paraId="06F2E998" w14:textId="2CAE78A6" w:rsidR="009130CA" w:rsidRPr="003F141B" w:rsidRDefault="002540E1" w:rsidP="009130CA">
      <w:pPr>
        <w:pStyle w:val="Paragraphe"/>
        <w:spacing w:line="280" w:lineRule="exact"/>
        <w:rPr>
          <w:lang w:val="en-CA"/>
        </w:rPr>
      </w:pPr>
      <w:r w:rsidRPr="003F141B">
        <w:rPr>
          <w:lang w:val="en-CA"/>
        </w:rPr>
        <w:t xml:space="preserve">Officer </w:t>
      </w:r>
      <w:proofErr w:type="spellStart"/>
      <w:r w:rsidRPr="003F141B">
        <w:rPr>
          <w:lang w:val="en-CA"/>
        </w:rPr>
        <w:t>Naess</w:t>
      </w:r>
      <w:proofErr w:type="spellEnd"/>
      <w:r w:rsidRPr="003F141B">
        <w:rPr>
          <w:lang w:val="en-CA"/>
        </w:rPr>
        <w:t>-Olivier</w:t>
      </w:r>
      <w:r w:rsidR="003061CC">
        <w:rPr>
          <w:lang w:val="en-CA"/>
        </w:rPr>
        <w:t>’</w:t>
      </w:r>
      <w:r w:rsidRPr="003F141B">
        <w:rPr>
          <w:lang w:val="en-CA"/>
        </w:rPr>
        <w:t xml:space="preserve">s efforts to contact </w:t>
      </w:r>
      <w:proofErr w:type="spellStart"/>
      <w:r w:rsidRPr="003F141B">
        <w:rPr>
          <w:lang w:val="en-CA"/>
        </w:rPr>
        <w:t>Mtre</w:t>
      </w:r>
      <w:proofErr w:type="spellEnd"/>
      <w:r w:rsidRPr="003F141B">
        <w:rPr>
          <w:lang w:val="en-CA"/>
        </w:rPr>
        <w:t xml:space="preserve"> </w:t>
      </w:r>
      <w:proofErr w:type="spellStart"/>
      <w:r w:rsidRPr="003F141B">
        <w:rPr>
          <w:lang w:val="en-CA"/>
        </w:rPr>
        <w:t>Boulianne</w:t>
      </w:r>
      <w:proofErr w:type="spellEnd"/>
      <w:r w:rsidRPr="003F141B">
        <w:rPr>
          <w:lang w:val="en-CA"/>
        </w:rPr>
        <w:t xml:space="preserve"> or </w:t>
      </w:r>
      <w:proofErr w:type="spellStart"/>
      <w:r w:rsidRPr="003F141B">
        <w:rPr>
          <w:lang w:val="en-CA"/>
        </w:rPr>
        <w:t>Mtre</w:t>
      </w:r>
      <w:proofErr w:type="spellEnd"/>
      <w:r w:rsidRPr="003F141B">
        <w:rPr>
          <w:lang w:val="en-CA"/>
        </w:rPr>
        <w:t xml:space="preserve"> </w:t>
      </w:r>
      <w:proofErr w:type="spellStart"/>
      <w:r w:rsidRPr="003F141B">
        <w:rPr>
          <w:lang w:val="en-CA"/>
        </w:rPr>
        <w:t>Cantin</w:t>
      </w:r>
      <w:proofErr w:type="spellEnd"/>
      <w:r w:rsidRPr="003F141B">
        <w:rPr>
          <w:lang w:val="en-CA"/>
        </w:rPr>
        <w:t xml:space="preserve"> lasted  little more than two minutes</w:t>
      </w:r>
      <w:r w:rsidR="000A5ACA" w:rsidRPr="003F141B">
        <w:rPr>
          <w:lang w:val="en-CA"/>
        </w:rPr>
        <w:t xml:space="preserve"> in all</w:t>
      </w:r>
      <w:r w:rsidRPr="003F141B">
        <w:rPr>
          <w:lang w:val="en-CA"/>
        </w:rPr>
        <w:t xml:space="preserve">, even though there was no urgency </w:t>
      </w:r>
      <w:r w:rsidR="009C3119" w:rsidRPr="003F141B">
        <w:rPr>
          <w:lang w:val="en-CA"/>
        </w:rPr>
        <w:t>whatsoever</w:t>
      </w:r>
      <w:r w:rsidRPr="003F141B">
        <w:rPr>
          <w:lang w:val="en-CA"/>
        </w:rPr>
        <w:t>.</w:t>
      </w:r>
    </w:p>
    <w:p w14:paraId="2FF823F7" w14:textId="1585BD45" w:rsidR="009130CA" w:rsidRPr="003F141B" w:rsidRDefault="002540E1" w:rsidP="009130CA">
      <w:pPr>
        <w:pStyle w:val="Paragraphe"/>
        <w:spacing w:line="280" w:lineRule="exact"/>
        <w:rPr>
          <w:lang w:val="en-CA"/>
        </w:rPr>
      </w:pPr>
      <w:r w:rsidRPr="003F141B">
        <w:rPr>
          <w:lang w:val="en-CA"/>
        </w:rPr>
        <w:t xml:space="preserve">According to the trial judge, </w:t>
      </w:r>
      <w:r w:rsidR="00592F90">
        <w:rPr>
          <w:lang w:val="en-CA"/>
        </w:rPr>
        <w:t>this was the crux of the matter</w:t>
      </w:r>
      <w:r w:rsidRPr="003F141B">
        <w:rPr>
          <w:lang w:val="en-CA"/>
        </w:rPr>
        <w:t>:</w:t>
      </w:r>
    </w:p>
    <w:p w14:paraId="5008C05D" w14:textId="06C90775" w:rsidR="009C3119" w:rsidRPr="003F141B" w:rsidRDefault="009C3119" w:rsidP="009C3119">
      <w:pPr>
        <w:pStyle w:val="Paragraphe"/>
        <w:numPr>
          <w:ilvl w:val="0"/>
          <w:numId w:val="0"/>
        </w:numPr>
        <w:spacing w:line="280" w:lineRule="exact"/>
        <w:ind w:left="720"/>
        <w:rPr>
          <w:lang w:val="en-CA"/>
        </w:rPr>
      </w:pPr>
      <w:r w:rsidRPr="003F141B">
        <w:rPr>
          <w:rFonts w:cs="Arial"/>
          <w:lang w:val="en-CA"/>
        </w:rPr>
        <w:t>[</w:t>
      </w:r>
      <w:r w:rsidRPr="003F141B">
        <w:rPr>
          <w:smallCaps/>
          <w:lang w:val="en-CA"/>
        </w:rPr>
        <w:t>translation</w:t>
      </w:r>
      <w:r w:rsidRPr="003F141B">
        <w:rPr>
          <w:rFonts w:cs="Arial"/>
          <w:lang w:val="en-CA"/>
        </w:rPr>
        <w:t>]</w:t>
      </w:r>
    </w:p>
    <w:p w14:paraId="5D8899F6" w14:textId="0772A3EF" w:rsidR="009130CA" w:rsidRPr="003F141B" w:rsidRDefault="002540E1" w:rsidP="009130CA">
      <w:pPr>
        <w:pStyle w:val="Citationenretrait"/>
        <w:rPr>
          <w:lang w:val="en-CA"/>
        </w:rPr>
      </w:pPr>
      <w:r w:rsidRPr="003F141B">
        <w:rPr>
          <w:lang w:val="en-CA" w:bidi="fr-FR"/>
        </w:rPr>
        <w:t xml:space="preserve">This is the </w:t>
      </w:r>
      <w:r w:rsidR="005032C3">
        <w:rPr>
          <w:lang w:val="en-CA" w:bidi="fr-FR"/>
        </w:rPr>
        <w:t>crux of the matter</w:t>
      </w:r>
      <w:r w:rsidRPr="003F141B">
        <w:rPr>
          <w:lang w:val="en-CA" w:bidi="fr-FR"/>
        </w:rPr>
        <w:t>, because all of the evidence boils down to saying that we do not know if those lawyers were available because either no message was left for them, or no attempt was made to</w:t>
      </w:r>
      <w:r w:rsidR="007E682B">
        <w:rPr>
          <w:lang w:val="en-CA" w:bidi="fr-FR"/>
        </w:rPr>
        <w:t>, to</w:t>
      </w:r>
      <w:r w:rsidRPr="003F141B">
        <w:rPr>
          <w:lang w:val="en-CA" w:bidi="fr-FR"/>
        </w:rPr>
        <w:t xml:space="preserve"> reach </w:t>
      </w:r>
      <w:proofErr w:type="spellStart"/>
      <w:r w:rsidRPr="003F141B">
        <w:rPr>
          <w:lang w:val="en-CA" w:bidi="fr-FR"/>
        </w:rPr>
        <w:t>Mtre</w:t>
      </w:r>
      <w:proofErr w:type="spellEnd"/>
      <w:r w:rsidRPr="003F141B">
        <w:rPr>
          <w:lang w:val="en-CA" w:bidi="fr-FR"/>
        </w:rPr>
        <w:t xml:space="preserve"> </w:t>
      </w:r>
      <w:proofErr w:type="spellStart"/>
      <w:r w:rsidRPr="003F141B">
        <w:rPr>
          <w:lang w:val="en-CA" w:bidi="fr-FR"/>
        </w:rPr>
        <w:t>Cantin</w:t>
      </w:r>
      <w:proofErr w:type="spellEnd"/>
      <w:r w:rsidR="00BB0223">
        <w:rPr>
          <w:lang w:val="en-CA" w:bidi="fr-FR"/>
        </w:rPr>
        <w:t>,</w:t>
      </w:r>
      <w:r w:rsidRPr="003F141B">
        <w:rPr>
          <w:lang w:val="en-CA" w:bidi="fr-FR"/>
        </w:rPr>
        <w:t xml:space="preserve"> or no additional attempt</w:t>
      </w:r>
      <w:r w:rsidR="00BB0223">
        <w:rPr>
          <w:lang w:val="en-CA" w:bidi="fr-FR"/>
        </w:rPr>
        <w:t>s were made</w:t>
      </w:r>
      <w:r w:rsidRPr="003F141B">
        <w:rPr>
          <w:lang w:val="en-CA" w:bidi="fr-FR"/>
        </w:rPr>
        <w:t xml:space="preserve"> to try to reach those lawyers</w:t>
      </w:r>
      <w:r w:rsidR="00BB0223">
        <w:rPr>
          <w:lang w:val="en-CA" w:bidi="fr-FR"/>
        </w:rPr>
        <w:t>,</w:t>
      </w:r>
      <w:r w:rsidRPr="003F141B">
        <w:rPr>
          <w:lang w:val="en-CA" w:bidi="fr-FR"/>
        </w:rPr>
        <w:t xml:space="preserve"> even though there were thirty-four (34)  minutes until the maximum time limit and the right to counsel of choice</w:t>
      </w:r>
      <w:r w:rsidR="00F878B8" w:rsidRPr="003F141B">
        <w:rPr>
          <w:lang w:val="en-CA" w:bidi="fr-FR"/>
        </w:rPr>
        <w:t xml:space="preserve"> is </w:t>
      </w:r>
      <w:r w:rsidRPr="003F141B">
        <w:rPr>
          <w:lang w:val="en-CA" w:bidi="fr-FR"/>
        </w:rPr>
        <w:t>important, and there</w:t>
      </w:r>
      <w:r w:rsidR="003061CC">
        <w:rPr>
          <w:lang w:val="en-CA" w:bidi="fr-FR"/>
        </w:rPr>
        <w:t>’</w:t>
      </w:r>
      <w:r w:rsidRPr="003F141B">
        <w:rPr>
          <w:lang w:val="en-CA" w:bidi="fr-FR"/>
        </w:rPr>
        <w:t xml:space="preserve">s a reason </w:t>
      </w:r>
      <w:r w:rsidR="00F878B8" w:rsidRPr="003F141B">
        <w:rPr>
          <w:lang w:val="en-CA" w:bidi="fr-FR"/>
        </w:rPr>
        <w:t>it</w:t>
      </w:r>
      <w:r w:rsidR="003061CC">
        <w:rPr>
          <w:lang w:val="en-CA" w:bidi="fr-FR"/>
        </w:rPr>
        <w:t>’</w:t>
      </w:r>
      <w:r w:rsidR="00F878B8" w:rsidRPr="003F141B">
        <w:rPr>
          <w:lang w:val="en-CA" w:bidi="fr-FR"/>
        </w:rPr>
        <w:t xml:space="preserve">s </w:t>
      </w:r>
      <w:r w:rsidRPr="003F141B">
        <w:rPr>
          <w:lang w:val="en-CA" w:bidi="fr-FR"/>
        </w:rPr>
        <w:t xml:space="preserve">in the </w:t>
      </w:r>
      <w:r w:rsidRPr="003F141B">
        <w:rPr>
          <w:i/>
          <w:lang w:val="en-CA" w:bidi="fr-FR"/>
        </w:rPr>
        <w:t>Charter</w:t>
      </w:r>
      <w:r w:rsidR="00F878B8" w:rsidRPr="003F141B">
        <w:rPr>
          <w:lang w:val="en-CA" w:bidi="fr-FR"/>
        </w:rPr>
        <w:t>,</w:t>
      </w:r>
      <w:r w:rsidRPr="003F141B">
        <w:rPr>
          <w:lang w:val="en-CA" w:bidi="fr-FR"/>
        </w:rPr>
        <w:t xml:space="preserve"> and if we discuss the accused</w:t>
      </w:r>
      <w:r w:rsidR="003061CC">
        <w:rPr>
          <w:lang w:val="en-CA" w:bidi="fr-FR"/>
        </w:rPr>
        <w:t>’</w:t>
      </w:r>
      <w:r w:rsidRPr="003F141B">
        <w:rPr>
          <w:lang w:val="en-CA" w:bidi="fr-FR"/>
        </w:rPr>
        <w:t xml:space="preserve">s diligence, the accused is detained, </w:t>
      </w:r>
      <w:r w:rsidR="00BB0223">
        <w:rPr>
          <w:lang w:val="en-CA" w:bidi="fr-FR"/>
        </w:rPr>
        <w:t xml:space="preserve">so his diligence, </w:t>
      </w:r>
      <w:r w:rsidRPr="003F141B">
        <w:rPr>
          <w:lang w:val="en-CA" w:bidi="fr-FR"/>
        </w:rPr>
        <w:t>where does his diligence end</w:t>
      </w:r>
      <w:r w:rsidR="00BB0223">
        <w:rPr>
          <w:lang w:val="en-CA" w:bidi="fr-FR"/>
        </w:rPr>
        <w:t>,</w:t>
      </w:r>
      <w:r w:rsidRPr="003F141B">
        <w:rPr>
          <w:lang w:val="en-CA" w:bidi="fr-FR"/>
        </w:rPr>
        <w:t xml:space="preserve"> where does it start?</w:t>
      </w:r>
      <w:r w:rsidR="005003D8" w:rsidRPr="003F141B">
        <w:rPr>
          <w:lang w:val="en-CA" w:bidi="fr-FR"/>
        </w:rPr>
        <w:t xml:space="preserve"> </w:t>
      </w:r>
      <w:r w:rsidRPr="003F141B">
        <w:rPr>
          <w:lang w:val="en-CA" w:bidi="fr-FR"/>
        </w:rPr>
        <w:t>He is subject to what the police officers do.</w:t>
      </w:r>
    </w:p>
    <w:p w14:paraId="5C876D66" w14:textId="47336FF2" w:rsidR="009130CA" w:rsidRPr="003F141B" w:rsidRDefault="002540E1" w:rsidP="009130CA">
      <w:pPr>
        <w:pStyle w:val="Paragraphe"/>
        <w:spacing w:line="280" w:lineRule="exact"/>
        <w:rPr>
          <w:lang w:val="en-CA"/>
        </w:rPr>
      </w:pPr>
      <w:r w:rsidRPr="003F141B">
        <w:rPr>
          <w:lang w:val="en-CA"/>
        </w:rPr>
        <w:t>Thus, contrary to my colleague</w:t>
      </w:r>
      <w:r w:rsidR="003061CC">
        <w:rPr>
          <w:lang w:val="en-CA"/>
        </w:rPr>
        <w:t>’</w:t>
      </w:r>
      <w:r w:rsidRPr="003F141B">
        <w:rPr>
          <w:lang w:val="en-CA"/>
        </w:rPr>
        <w:t xml:space="preserve">s reading of this passage, the judge did not find that </w:t>
      </w:r>
      <w:r w:rsidR="00F878B8" w:rsidRPr="003F141B">
        <w:rPr>
          <w:lang w:val="en-CA"/>
        </w:rPr>
        <w:t xml:space="preserve">the lawyers </w:t>
      </w:r>
      <w:r w:rsidRPr="003F141B">
        <w:rPr>
          <w:lang w:val="en-CA"/>
        </w:rPr>
        <w:t>were available.</w:t>
      </w:r>
      <w:r w:rsidR="005003D8" w:rsidRPr="003F141B">
        <w:rPr>
          <w:lang w:val="en-CA"/>
        </w:rPr>
        <w:t xml:space="preserve"> </w:t>
      </w:r>
      <w:r w:rsidRPr="003F141B">
        <w:rPr>
          <w:lang w:val="en-CA"/>
        </w:rPr>
        <w:t xml:space="preserve">Instead, she considered that </w:t>
      </w:r>
      <w:r w:rsidRPr="003F141B">
        <w:rPr>
          <w:rFonts w:cs="Arial"/>
          <w:lang w:val="en-CA"/>
        </w:rPr>
        <w:t>[</w:t>
      </w:r>
      <w:r w:rsidRPr="003F141B">
        <w:rPr>
          <w:smallCaps/>
          <w:lang w:val="en-CA"/>
        </w:rPr>
        <w:t>translation</w:t>
      </w:r>
      <w:r w:rsidRPr="003F141B">
        <w:rPr>
          <w:rFonts w:cs="Arial"/>
          <w:smallCaps/>
          <w:lang w:val="en-CA"/>
        </w:rPr>
        <w:t>]</w:t>
      </w:r>
      <w:r w:rsidRPr="003F141B">
        <w:rPr>
          <w:lang w:val="en-CA"/>
        </w:rPr>
        <w:t xml:space="preserve"> </w:t>
      </w:r>
      <w:r w:rsidR="00081775">
        <w:rPr>
          <w:lang w:val="en-CA"/>
        </w:rPr>
        <w:t>“</w:t>
      </w:r>
      <w:r w:rsidRPr="003F141B">
        <w:rPr>
          <w:lang w:val="en-CA"/>
        </w:rPr>
        <w:t xml:space="preserve">the evidence boils down to saying </w:t>
      </w:r>
      <w:r w:rsidR="00F878B8" w:rsidRPr="003F141B">
        <w:rPr>
          <w:lang w:val="en-CA"/>
        </w:rPr>
        <w:t xml:space="preserve">that </w:t>
      </w:r>
      <w:r w:rsidRPr="003F141B">
        <w:rPr>
          <w:lang w:val="en-CA"/>
        </w:rPr>
        <w:t>we do not know</w:t>
      </w:r>
      <w:r w:rsidR="00081775">
        <w:rPr>
          <w:lang w:val="en-CA"/>
        </w:rPr>
        <w:t>”</w:t>
      </w:r>
      <w:r w:rsidRPr="003F141B">
        <w:rPr>
          <w:lang w:val="en-CA"/>
        </w:rPr>
        <w:t xml:space="preserve"> given</w:t>
      </w:r>
      <w:r w:rsidR="00B334E5" w:rsidRPr="003F141B">
        <w:rPr>
          <w:lang w:val="en-CA"/>
        </w:rPr>
        <w:t xml:space="preserve"> the</w:t>
      </w:r>
      <w:r w:rsidR="00F878B8" w:rsidRPr="003F141B">
        <w:rPr>
          <w:lang w:val="en-CA"/>
        </w:rPr>
        <w:t xml:space="preserve"> fact that no </w:t>
      </w:r>
      <w:r w:rsidR="00B334E5" w:rsidRPr="003F141B">
        <w:rPr>
          <w:lang w:val="en-CA"/>
        </w:rPr>
        <w:t xml:space="preserve">message </w:t>
      </w:r>
      <w:r w:rsidR="00F878B8" w:rsidRPr="003F141B">
        <w:rPr>
          <w:lang w:val="en-CA"/>
        </w:rPr>
        <w:t xml:space="preserve">was </w:t>
      </w:r>
      <w:r w:rsidR="00B334E5" w:rsidRPr="003F141B">
        <w:rPr>
          <w:lang w:val="en-CA"/>
        </w:rPr>
        <w:t xml:space="preserve">left </w:t>
      </w:r>
      <w:r w:rsidR="00F878B8" w:rsidRPr="003F141B">
        <w:rPr>
          <w:lang w:val="en-CA"/>
        </w:rPr>
        <w:t xml:space="preserve">on </w:t>
      </w:r>
      <w:r w:rsidRPr="003F141B">
        <w:rPr>
          <w:lang w:val="en-CA"/>
        </w:rPr>
        <w:t xml:space="preserve">their </w:t>
      </w:r>
      <w:r w:rsidR="000E1DB7" w:rsidRPr="003F141B">
        <w:rPr>
          <w:lang w:val="en-CA"/>
        </w:rPr>
        <w:t>voicemail</w:t>
      </w:r>
      <w:r w:rsidRPr="003F141B">
        <w:rPr>
          <w:lang w:val="en-CA"/>
        </w:rPr>
        <w:t xml:space="preserve">, </w:t>
      </w:r>
      <w:r w:rsidR="00F878B8" w:rsidRPr="003F141B">
        <w:rPr>
          <w:lang w:val="en-CA"/>
        </w:rPr>
        <w:t xml:space="preserve">no </w:t>
      </w:r>
      <w:r w:rsidRPr="003F141B">
        <w:rPr>
          <w:lang w:val="en-CA"/>
        </w:rPr>
        <w:t xml:space="preserve">attempt </w:t>
      </w:r>
      <w:r w:rsidR="00F878B8" w:rsidRPr="003F141B">
        <w:rPr>
          <w:lang w:val="en-CA"/>
        </w:rPr>
        <w:t xml:space="preserve">was made </w:t>
      </w:r>
      <w:r w:rsidRPr="003F141B">
        <w:rPr>
          <w:lang w:val="en-CA"/>
        </w:rPr>
        <w:t xml:space="preserve">to reach </w:t>
      </w:r>
      <w:proofErr w:type="spellStart"/>
      <w:r w:rsidRPr="003F141B">
        <w:rPr>
          <w:lang w:val="en-CA"/>
        </w:rPr>
        <w:t>Mtre</w:t>
      </w:r>
      <w:proofErr w:type="spellEnd"/>
      <w:r w:rsidRPr="003F141B">
        <w:rPr>
          <w:lang w:val="en-CA"/>
        </w:rPr>
        <w:t xml:space="preserve"> </w:t>
      </w:r>
      <w:proofErr w:type="spellStart"/>
      <w:r w:rsidRPr="003F141B">
        <w:rPr>
          <w:lang w:val="en-CA"/>
        </w:rPr>
        <w:t>Cantin</w:t>
      </w:r>
      <w:proofErr w:type="spellEnd"/>
      <w:r w:rsidR="00F878B8" w:rsidRPr="003F141B">
        <w:rPr>
          <w:lang w:val="en-CA"/>
        </w:rPr>
        <w:t>,</w:t>
      </w:r>
      <w:r w:rsidRPr="003F141B">
        <w:rPr>
          <w:lang w:val="en-CA"/>
        </w:rPr>
        <w:t xml:space="preserve"> </w:t>
      </w:r>
      <w:r w:rsidR="00F878B8" w:rsidRPr="003F141B">
        <w:rPr>
          <w:lang w:val="en-CA"/>
        </w:rPr>
        <w:t xml:space="preserve">and no </w:t>
      </w:r>
      <w:r w:rsidRPr="003F141B">
        <w:rPr>
          <w:lang w:val="en-CA"/>
        </w:rPr>
        <w:t>further attempt</w:t>
      </w:r>
      <w:r w:rsidR="00F878B8" w:rsidRPr="003F141B">
        <w:rPr>
          <w:lang w:val="en-CA"/>
        </w:rPr>
        <w:t xml:space="preserve"> was undertaken</w:t>
      </w:r>
      <w:r w:rsidRPr="003F141B">
        <w:rPr>
          <w:lang w:val="en-CA"/>
        </w:rPr>
        <w:t>.</w:t>
      </w:r>
      <w:r w:rsidR="005003D8" w:rsidRPr="003F141B">
        <w:rPr>
          <w:lang w:val="en-CA"/>
        </w:rPr>
        <w:t xml:space="preserve"> </w:t>
      </w:r>
      <w:r w:rsidRPr="003F141B">
        <w:rPr>
          <w:lang w:val="en-CA"/>
        </w:rPr>
        <w:t xml:space="preserve">This assessment of the </w:t>
      </w:r>
      <w:r w:rsidR="00B334E5" w:rsidRPr="003F141B">
        <w:rPr>
          <w:lang w:val="en-CA"/>
        </w:rPr>
        <w:t>evidence does</w:t>
      </w:r>
      <w:r w:rsidRPr="003F141B">
        <w:rPr>
          <w:lang w:val="en-CA"/>
        </w:rPr>
        <w:t xml:space="preserve"> not suffer from </w:t>
      </w:r>
      <w:r w:rsidR="00F878B8" w:rsidRPr="003F141B">
        <w:rPr>
          <w:lang w:val="en-CA"/>
        </w:rPr>
        <w:t xml:space="preserve">a </w:t>
      </w:r>
      <w:r w:rsidRPr="003F141B">
        <w:rPr>
          <w:lang w:val="en-CA"/>
        </w:rPr>
        <w:t>deficiency constituting an error of law and, consequently, cannot be the basis for an appeal from a verdict of acquittal:</w:t>
      </w:r>
      <w:r w:rsidR="005003D8" w:rsidRPr="003F141B">
        <w:rPr>
          <w:lang w:val="en-CA"/>
        </w:rPr>
        <w:t xml:space="preserve"> </w:t>
      </w:r>
      <w:r w:rsidRPr="003F141B">
        <w:rPr>
          <w:i/>
          <w:lang w:val="en-CA"/>
        </w:rPr>
        <w:t>R. v. Mian</w:t>
      </w:r>
      <w:r w:rsidRPr="003F141B">
        <w:rPr>
          <w:lang w:val="en-CA"/>
        </w:rPr>
        <w:t>, 2014 SCC 54, [2014] 2 S.C.R.</w:t>
      </w:r>
      <w:r w:rsidR="005003D8" w:rsidRPr="003F141B">
        <w:rPr>
          <w:lang w:val="en-CA"/>
        </w:rPr>
        <w:t xml:space="preserve"> </w:t>
      </w:r>
      <w:r w:rsidRPr="003F141B">
        <w:rPr>
          <w:lang w:val="en-CA"/>
        </w:rPr>
        <w:t>689</w:t>
      </w:r>
      <w:r w:rsidR="008D4411">
        <w:rPr>
          <w:lang w:val="en-CA"/>
        </w:rPr>
        <w:t>,</w:t>
      </w:r>
      <w:r w:rsidRPr="003F141B">
        <w:rPr>
          <w:lang w:val="en-CA"/>
        </w:rPr>
        <w:t xml:space="preserve"> para.</w:t>
      </w:r>
      <w:r w:rsidR="005003D8" w:rsidRPr="003F141B">
        <w:rPr>
          <w:lang w:val="en-CA"/>
        </w:rPr>
        <w:t xml:space="preserve"> 75; </w:t>
      </w:r>
      <w:r w:rsidRPr="003F141B">
        <w:rPr>
          <w:i/>
          <w:lang w:val="en-CA"/>
        </w:rPr>
        <w:t>R. v. J.M.H.</w:t>
      </w:r>
      <w:r w:rsidRPr="003F141B">
        <w:rPr>
          <w:lang w:val="en-CA"/>
        </w:rPr>
        <w:t>, 2011 SCC 45, [2011] 3 S.C.R.</w:t>
      </w:r>
      <w:r w:rsidR="005003D8" w:rsidRPr="003F141B">
        <w:rPr>
          <w:lang w:val="en-CA"/>
        </w:rPr>
        <w:t xml:space="preserve"> </w:t>
      </w:r>
      <w:r w:rsidRPr="003F141B">
        <w:rPr>
          <w:lang w:val="en-CA"/>
        </w:rPr>
        <w:t>197</w:t>
      </w:r>
      <w:r w:rsidR="008D4411">
        <w:rPr>
          <w:lang w:val="en-CA"/>
        </w:rPr>
        <w:t>,</w:t>
      </w:r>
      <w:r w:rsidRPr="003F141B">
        <w:rPr>
          <w:lang w:val="en-CA"/>
        </w:rPr>
        <w:t xml:space="preserve"> para</w:t>
      </w:r>
      <w:r w:rsidR="008D4411">
        <w:rPr>
          <w:lang w:val="en-CA"/>
        </w:rPr>
        <w:t>s</w:t>
      </w:r>
      <w:r w:rsidRPr="003F141B">
        <w:rPr>
          <w:lang w:val="en-CA"/>
        </w:rPr>
        <w:t>.</w:t>
      </w:r>
      <w:r w:rsidR="005003D8" w:rsidRPr="003F141B">
        <w:rPr>
          <w:lang w:val="en-CA"/>
        </w:rPr>
        <w:t xml:space="preserve"> 24-39.</w:t>
      </w:r>
    </w:p>
    <w:p w14:paraId="527CC5A2" w14:textId="1B5A7FD1" w:rsidR="009130CA" w:rsidRPr="003F141B" w:rsidRDefault="002540E1" w:rsidP="009130CA">
      <w:pPr>
        <w:pStyle w:val="Paragraphe"/>
        <w:spacing w:line="280" w:lineRule="exact"/>
        <w:rPr>
          <w:lang w:val="en-CA"/>
        </w:rPr>
      </w:pPr>
      <w:r w:rsidRPr="003F141B">
        <w:rPr>
          <w:lang w:val="en-CA"/>
        </w:rPr>
        <w:t xml:space="preserve">In my view, the judge did not err in law in finding that the police officers </w:t>
      </w:r>
      <w:r w:rsidR="00F878B8" w:rsidRPr="003F141B">
        <w:rPr>
          <w:lang w:val="en-CA"/>
        </w:rPr>
        <w:t>failed to</w:t>
      </w:r>
      <w:r w:rsidRPr="003F141B">
        <w:rPr>
          <w:lang w:val="en-CA"/>
        </w:rPr>
        <w:t xml:space="preserve"> provide the respondent with </w:t>
      </w:r>
      <w:r w:rsidR="00F878B8" w:rsidRPr="003F141B">
        <w:rPr>
          <w:lang w:val="en-CA"/>
        </w:rPr>
        <w:t xml:space="preserve">a </w:t>
      </w:r>
      <w:r w:rsidRPr="003F141B">
        <w:rPr>
          <w:lang w:val="en-CA"/>
        </w:rPr>
        <w:t>reasonable opportunity to contact counsel of choice.</w:t>
      </w:r>
      <w:r w:rsidR="005003D8" w:rsidRPr="003F141B">
        <w:rPr>
          <w:lang w:val="en-CA"/>
        </w:rPr>
        <w:t xml:space="preserve"> </w:t>
      </w:r>
      <w:r w:rsidRPr="003F141B">
        <w:rPr>
          <w:lang w:val="en-CA"/>
        </w:rPr>
        <w:t xml:space="preserve">The </w:t>
      </w:r>
      <w:r w:rsidRPr="003F141B">
        <w:rPr>
          <w:lang w:val="en-CA"/>
        </w:rPr>
        <w:lastRenderedPageBreak/>
        <w:t xml:space="preserve">fact that the respondent agreed to call a legal aid lawyer – without, however, being informed that he could wait a reasonable amount of time for his lawyers to answer – does not alter the fact that </w:t>
      </w:r>
      <w:r w:rsidR="00C657CD">
        <w:rPr>
          <w:lang w:val="en-CA"/>
        </w:rPr>
        <w:t xml:space="preserve">this </w:t>
      </w:r>
      <w:r w:rsidR="008A3C80">
        <w:rPr>
          <w:lang w:val="en-CA"/>
        </w:rPr>
        <w:t>facet</w:t>
      </w:r>
      <w:r w:rsidR="00C657CD">
        <w:rPr>
          <w:lang w:val="en-CA"/>
        </w:rPr>
        <w:t xml:space="preserve"> of </w:t>
      </w:r>
      <w:r w:rsidRPr="003F141B">
        <w:rPr>
          <w:lang w:val="en-CA"/>
        </w:rPr>
        <w:t xml:space="preserve">his </w:t>
      </w:r>
      <w:r w:rsidR="00147C72" w:rsidRPr="003F141B">
        <w:rPr>
          <w:lang w:val="en-CA"/>
        </w:rPr>
        <w:t>s.</w:t>
      </w:r>
      <w:r w:rsidRPr="003F141B">
        <w:rPr>
          <w:lang w:val="en-CA"/>
        </w:rPr>
        <w:t xml:space="preserve"> 10(b) </w:t>
      </w:r>
      <w:r w:rsidRPr="003F141B">
        <w:rPr>
          <w:i/>
          <w:lang w:val="en-CA"/>
        </w:rPr>
        <w:t>Charter</w:t>
      </w:r>
      <w:r w:rsidRPr="003F141B">
        <w:rPr>
          <w:lang w:val="en-CA"/>
        </w:rPr>
        <w:t xml:space="preserve"> right was infringed.</w:t>
      </w:r>
    </w:p>
    <w:p w14:paraId="17B6C10E" w14:textId="0F5DB570" w:rsidR="009130CA" w:rsidRPr="003F141B" w:rsidRDefault="002540E1" w:rsidP="009130CA">
      <w:pPr>
        <w:pStyle w:val="Paragraphe"/>
        <w:spacing w:line="280" w:lineRule="exact"/>
        <w:rPr>
          <w:lang w:val="en-CA"/>
        </w:rPr>
      </w:pPr>
      <w:r w:rsidRPr="003F141B">
        <w:rPr>
          <w:lang w:val="en-CA"/>
        </w:rPr>
        <w:t>In his reasons, Beaupré</w:t>
      </w:r>
      <w:r w:rsidR="00911D40" w:rsidRPr="003F141B">
        <w:rPr>
          <w:lang w:val="en-CA"/>
        </w:rPr>
        <w:t>,</w:t>
      </w:r>
      <w:r w:rsidRPr="003F141B">
        <w:rPr>
          <w:lang w:val="en-CA"/>
        </w:rPr>
        <w:t xml:space="preserve"> J. </w:t>
      </w:r>
      <w:r w:rsidR="00F878B8" w:rsidRPr="003F141B">
        <w:rPr>
          <w:lang w:val="en-CA"/>
        </w:rPr>
        <w:t xml:space="preserve">emphasized </w:t>
      </w:r>
      <w:r w:rsidRPr="003F141B">
        <w:rPr>
          <w:lang w:val="en-CA"/>
        </w:rPr>
        <w:t xml:space="preserve">that </w:t>
      </w:r>
      <w:r w:rsidR="00CB5B57" w:rsidRPr="003F141B">
        <w:rPr>
          <w:lang w:val="en-CA"/>
        </w:rPr>
        <w:t>O</w:t>
      </w:r>
      <w:r w:rsidRPr="003F141B">
        <w:rPr>
          <w:lang w:val="en-CA"/>
        </w:rPr>
        <w:t xml:space="preserve">fficer </w:t>
      </w:r>
      <w:proofErr w:type="spellStart"/>
      <w:r w:rsidRPr="003F141B">
        <w:rPr>
          <w:lang w:val="en-CA"/>
        </w:rPr>
        <w:t>Larouche</w:t>
      </w:r>
      <w:proofErr w:type="spellEnd"/>
      <w:r w:rsidRPr="003F141B">
        <w:rPr>
          <w:lang w:val="en-CA"/>
        </w:rPr>
        <w:t xml:space="preserve"> told the respondent that there was no answer from the lawyers </w:t>
      </w:r>
      <w:r w:rsidRPr="003F141B">
        <w:rPr>
          <w:rFonts w:cs="Arial"/>
          <w:lang w:val="en-CA"/>
        </w:rPr>
        <w:t>[</w:t>
      </w:r>
      <w:r w:rsidRPr="003F141B">
        <w:rPr>
          <w:smallCaps/>
          <w:lang w:val="en-CA"/>
        </w:rPr>
        <w:t>translation</w:t>
      </w:r>
      <w:r w:rsidRPr="003F141B">
        <w:rPr>
          <w:rFonts w:cs="Arial"/>
          <w:smallCaps/>
          <w:lang w:val="en-CA"/>
        </w:rPr>
        <w:t>]</w:t>
      </w:r>
      <w:r w:rsidRPr="003F141B">
        <w:rPr>
          <w:lang w:val="en-CA"/>
        </w:rPr>
        <w:t xml:space="preserve"> </w:t>
      </w:r>
      <w:r w:rsidR="00081775">
        <w:rPr>
          <w:lang w:val="en-CA"/>
        </w:rPr>
        <w:t>“</w:t>
      </w:r>
      <w:r w:rsidRPr="003F141B">
        <w:rPr>
          <w:lang w:val="en-CA"/>
        </w:rPr>
        <w:t>for the time being</w:t>
      </w:r>
      <w:r w:rsidR="00081775">
        <w:rPr>
          <w:lang w:val="en-CA"/>
        </w:rPr>
        <w:t>”</w:t>
      </w:r>
      <w:r w:rsidRPr="003F141B">
        <w:rPr>
          <w:lang w:val="en-CA"/>
        </w:rPr>
        <w:t>.</w:t>
      </w:r>
      <w:r w:rsidR="005003D8" w:rsidRPr="003F141B">
        <w:rPr>
          <w:lang w:val="en-CA"/>
        </w:rPr>
        <w:t xml:space="preserve"> </w:t>
      </w:r>
      <w:r w:rsidRPr="003F141B">
        <w:rPr>
          <w:lang w:val="en-CA"/>
        </w:rPr>
        <w:t xml:space="preserve">With </w:t>
      </w:r>
      <w:r w:rsidR="00F878B8" w:rsidRPr="003F141B">
        <w:rPr>
          <w:lang w:val="en-CA"/>
        </w:rPr>
        <w:t xml:space="preserve">the greatest </w:t>
      </w:r>
      <w:r w:rsidRPr="003F141B">
        <w:rPr>
          <w:lang w:val="en-CA"/>
        </w:rPr>
        <w:t xml:space="preserve">respect for my colleague, I do not </w:t>
      </w:r>
      <w:r w:rsidR="00B334E5" w:rsidRPr="003F141B">
        <w:rPr>
          <w:lang w:val="en-CA"/>
        </w:rPr>
        <w:t>believe</w:t>
      </w:r>
      <w:r w:rsidRPr="003F141B">
        <w:rPr>
          <w:lang w:val="en-CA"/>
        </w:rPr>
        <w:t xml:space="preserve"> that </w:t>
      </w:r>
      <w:r w:rsidR="0044777F">
        <w:rPr>
          <w:lang w:val="en-CA"/>
        </w:rPr>
        <w:t xml:space="preserve">so much </w:t>
      </w:r>
      <w:r w:rsidR="00B334E5" w:rsidRPr="003F141B">
        <w:rPr>
          <w:lang w:val="en-CA"/>
        </w:rPr>
        <w:t>significance</w:t>
      </w:r>
      <w:r w:rsidRPr="003F141B">
        <w:rPr>
          <w:lang w:val="en-CA"/>
        </w:rPr>
        <w:t xml:space="preserve"> can be attached to this part of </w:t>
      </w:r>
      <w:r w:rsidR="00CB5B57" w:rsidRPr="003F141B">
        <w:rPr>
          <w:lang w:val="en-CA"/>
        </w:rPr>
        <w:t>O</w:t>
      </w:r>
      <w:r w:rsidRPr="003F141B">
        <w:rPr>
          <w:lang w:val="en-CA"/>
        </w:rPr>
        <w:t xml:space="preserve">fficer </w:t>
      </w:r>
      <w:proofErr w:type="spellStart"/>
      <w:r w:rsidRPr="003F141B">
        <w:rPr>
          <w:lang w:val="en-CA"/>
        </w:rPr>
        <w:t>Larouche</w:t>
      </w:r>
      <w:r w:rsidR="003061CC">
        <w:rPr>
          <w:lang w:val="en-CA"/>
        </w:rPr>
        <w:t>’</w:t>
      </w:r>
      <w:r w:rsidRPr="003F141B">
        <w:rPr>
          <w:lang w:val="en-CA"/>
        </w:rPr>
        <w:t>s</w:t>
      </w:r>
      <w:proofErr w:type="spellEnd"/>
      <w:r w:rsidRPr="003F141B">
        <w:rPr>
          <w:lang w:val="en-CA"/>
        </w:rPr>
        <w:t xml:space="preserve"> testimony.</w:t>
      </w:r>
      <w:r w:rsidR="005003D8" w:rsidRPr="003F141B">
        <w:rPr>
          <w:lang w:val="en-CA"/>
        </w:rPr>
        <w:t xml:space="preserve"> </w:t>
      </w:r>
      <w:r w:rsidR="00B334E5" w:rsidRPr="003F141B">
        <w:rPr>
          <w:lang w:val="en-CA"/>
        </w:rPr>
        <w:t>The</w:t>
      </w:r>
      <w:r w:rsidRPr="003F141B">
        <w:rPr>
          <w:lang w:val="en-CA"/>
        </w:rPr>
        <w:t xml:space="preserve"> transcript establishes that she did not repeat </w:t>
      </w:r>
      <w:r w:rsidR="00F878B8" w:rsidRPr="003F141B">
        <w:rPr>
          <w:lang w:val="en-CA"/>
        </w:rPr>
        <w:t xml:space="preserve">verbatim </w:t>
      </w:r>
      <w:r w:rsidRPr="003F141B">
        <w:rPr>
          <w:lang w:val="en-CA"/>
        </w:rPr>
        <w:t xml:space="preserve">the words she uttered between 11:39 p.m. and </w:t>
      </w:r>
      <w:r w:rsidR="00B334E5" w:rsidRPr="003F141B">
        <w:rPr>
          <w:lang w:val="en-CA"/>
        </w:rPr>
        <w:t>11</w:t>
      </w:r>
      <w:r w:rsidRPr="003F141B">
        <w:rPr>
          <w:lang w:val="en-CA"/>
        </w:rPr>
        <w:t>:40 p.m.</w:t>
      </w:r>
      <w:r w:rsidR="005003D8" w:rsidRPr="003F141B">
        <w:rPr>
          <w:lang w:val="en-CA"/>
        </w:rPr>
        <w:t xml:space="preserve"> </w:t>
      </w:r>
      <w:r w:rsidRPr="003F141B">
        <w:rPr>
          <w:lang w:val="en-CA"/>
        </w:rPr>
        <w:t xml:space="preserve">She instead described the </w:t>
      </w:r>
      <w:r w:rsidR="00F878B8" w:rsidRPr="003F141B">
        <w:rPr>
          <w:lang w:val="en-CA"/>
        </w:rPr>
        <w:t>[</w:t>
      </w:r>
      <w:r w:rsidR="00F878B8" w:rsidRPr="003F141B">
        <w:rPr>
          <w:smallCaps/>
          <w:lang w:val="en-CA"/>
        </w:rPr>
        <w:t>translation</w:t>
      </w:r>
      <w:r w:rsidR="00F878B8" w:rsidRPr="003F141B">
        <w:rPr>
          <w:lang w:val="en-CA"/>
        </w:rPr>
        <w:t xml:space="preserve">] </w:t>
      </w:r>
      <w:r w:rsidR="00081775">
        <w:rPr>
          <w:lang w:val="en-CA"/>
        </w:rPr>
        <w:t>“</w:t>
      </w:r>
      <w:r w:rsidRPr="003F141B">
        <w:rPr>
          <w:lang w:val="en-CA"/>
        </w:rPr>
        <w:t>usual procedure</w:t>
      </w:r>
      <w:r w:rsidR="00081775">
        <w:rPr>
          <w:lang w:val="en-CA"/>
        </w:rPr>
        <w:t>”</w:t>
      </w:r>
      <w:r w:rsidRPr="003F141B">
        <w:rPr>
          <w:lang w:val="en-CA"/>
        </w:rPr>
        <w:t xml:space="preserve">, </w:t>
      </w:r>
      <w:r w:rsidR="00F878B8" w:rsidRPr="003F141B">
        <w:rPr>
          <w:lang w:val="en-CA"/>
        </w:rPr>
        <w:t xml:space="preserve">that is, </w:t>
      </w:r>
      <w:r w:rsidRPr="003F141B">
        <w:rPr>
          <w:lang w:val="en-CA"/>
        </w:rPr>
        <w:t xml:space="preserve">her </w:t>
      </w:r>
      <w:r w:rsidR="00F878B8" w:rsidRPr="003F141B">
        <w:rPr>
          <w:lang w:val="en-CA"/>
        </w:rPr>
        <w:t>[</w:t>
      </w:r>
      <w:r w:rsidR="00F878B8" w:rsidRPr="003F141B">
        <w:rPr>
          <w:smallCaps/>
          <w:lang w:val="en-CA"/>
        </w:rPr>
        <w:t>translation</w:t>
      </w:r>
      <w:r w:rsidR="00F878B8" w:rsidRPr="003F141B">
        <w:rPr>
          <w:lang w:val="en-CA"/>
        </w:rPr>
        <w:t xml:space="preserve">] </w:t>
      </w:r>
      <w:r w:rsidR="00081775">
        <w:rPr>
          <w:lang w:val="en-CA"/>
        </w:rPr>
        <w:t>“</w:t>
      </w:r>
      <w:r w:rsidRPr="003F141B">
        <w:rPr>
          <w:lang w:val="en-CA"/>
        </w:rPr>
        <w:t>normal</w:t>
      </w:r>
      <w:r w:rsidR="00081775">
        <w:rPr>
          <w:lang w:val="en-CA"/>
        </w:rPr>
        <w:t>”</w:t>
      </w:r>
      <w:r w:rsidRPr="003F141B">
        <w:rPr>
          <w:lang w:val="en-CA"/>
        </w:rPr>
        <w:t xml:space="preserve"> way of proceeding.</w:t>
      </w:r>
    </w:p>
    <w:p w14:paraId="5918EA76" w14:textId="683F3DFC" w:rsidR="009130CA" w:rsidRPr="003F141B" w:rsidRDefault="002540E1" w:rsidP="009130CA">
      <w:pPr>
        <w:pStyle w:val="Paragraphe"/>
        <w:spacing w:line="280" w:lineRule="exact"/>
        <w:rPr>
          <w:lang w:val="en-CA"/>
        </w:rPr>
      </w:pPr>
      <w:r w:rsidRPr="003F141B">
        <w:rPr>
          <w:lang w:val="en-CA"/>
        </w:rPr>
        <w:t xml:space="preserve">In any event, </w:t>
      </w:r>
      <w:r w:rsidR="00B334E5" w:rsidRPr="003F141B">
        <w:rPr>
          <w:lang w:val="en-CA"/>
        </w:rPr>
        <w:t>the</w:t>
      </w:r>
      <w:r w:rsidRPr="003F141B">
        <w:rPr>
          <w:lang w:val="en-CA"/>
        </w:rPr>
        <w:t xml:space="preserve"> fact remains</w:t>
      </w:r>
      <w:r w:rsidR="00B334E5" w:rsidRPr="003F141B">
        <w:rPr>
          <w:lang w:val="en-CA"/>
        </w:rPr>
        <w:t xml:space="preserve"> that </w:t>
      </w:r>
      <w:r w:rsidRPr="003F141B">
        <w:rPr>
          <w:lang w:val="en-CA"/>
        </w:rPr>
        <w:t xml:space="preserve">the police officers did not inform the respondent that he could wait a reasonable amount of time for </w:t>
      </w:r>
      <w:proofErr w:type="spellStart"/>
      <w:r w:rsidRPr="003F141B">
        <w:rPr>
          <w:lang w:val="en-CA"/>
        </w:rPr>
        <w:t>Mtre</w:t>
      </w:r>
      <w:proofErr w:type="spellEnd"/>
      <w:r w:rsidRPr="003F141B">
        <w:rPr>
          <w:lang w:val="en-CA"/>
        </w:rPr>
        <w:t xml:space="preserve"> </w:t>
      </w:r>
      <w:proofErr w:type="spellStart"/>
      <w:r w:rsidR="00B334E5" w:rsidRPr="003F141B">
        <w:rPr>
          <w:lang w:val="en-CA"/>
        </w:rPr>
        <w:t>Boulianne</w:t>
      </w:r>
      <w:proofErr w:type="spellEnd"/>
      <w:r w:rsidRPr="003F141B">
        <w:rPr>
          <w:lang w:val="en-CA"/>
        </w:rPr>
        <w:t xml:space="preserve"> and </w:t>
      </w:r>
      <w:proofErr w:type="spellStart"/>
      <w:r w:rsidRPr="003F141B">
        <w:rPr>
          <w:lang w:val="en-CA"/>
        </w:rPr>
        <w:t>Mtre</w:t>
      </w:r>
      <w:proofErr w:type="spellEnd"/>
      <w:r w:rsidRPr="003F141B">
        <w:rPr>
          <w:lang w:val="en-CA"/>
        </w:rPr>
        <w:t xml:space="preserve"> </w:t>
      </w:r>
      <w:proofErr w:type="spellStart"/>
      <w:r w:rsidRPr="003F141B">
        <w:rPr>
          <w:lang w:val="en-CA"/>
        </w:rPr>
        <w:t>Cantin</w:t>
      </w:r>
      <w:proofErr w:type="spellEnd"/>
      <w:r w:rsidRPr="003F141B">
        <w:rPr>
          <w:lang w:val="en-CA"/>
        </w:rPr>
        <w:t xml:space="preserve"> to answer.</w:t>
      </w:r>
      <w:r w:rsidR="005003D8" w:rsidRPr="003F141B">
        <w:rPr>
          <w:lang w:val="en-CA"/>
        </w:rPr>
        <w:t xml:space="preserve"> </w:t>
      </w:r>
      <w:r w:rsidRPr="003F141B">
        <w:rPr>
          <w:lang w:val="en-CA"/>
        </w:rPr>
        <w:t xml:space="preserve">Yet, according to </w:t>
      </w:r>
      <w:r w:rsidR="00CB5B57" w:rsidRPr="003F141B">
        <w:rPr>
          <w:lang w:val="en-CA"/>
        </w:rPr>
        <w:t>O</w:t>
      </w:r>
      <w:r w:rsidRPr="003F141B">
        <w:rPr>
          <w:lang w:val="en-CA"/>
        </w:rPr>
        <w:t xml:space="preserve">fficer </w:t>
      </w:r>
      <w:proofErr w:type="spellStart"/>
      <w:r w:rsidRPr="003F141B">
        <w:rPr>
          <w:lang w:val="en-CA"/>
        </w:rPr>
        <w:t>Naess</w:t>
      </w:r>
      <w:proofErr w:type="spellEnd"/>
      <w:r w:rsidRPr="003F141B">
        <w:rPr>
          <w:lang w:val="en-CA"/>
        </w:rPr>
        <w:t>-Olivier</w:t>
      </w:r>
      <w:r w:rsidR="003061CC">
        <w:rPr>
          <w:lang w:val="en-CA"/>
        </w:rPr>
        <w:t>’</w:t>
      </w:r>
      <w:r w:rsidRPr="003F141B">
        <w:rPr>
          <w:lang w:val="en-CA"/>
        </w:rPr>
        <w:t xml:space="preserve">s testimony, the respondent hesitated and did not know </w:t>
      </w:r>
      <w:r w:rsidR="00B334E5" w:rsidRPr="003F141B">
        <w:rPr>
          <w:lang w:val="en-CA"/>
        </w:rPr>
        <w:t>whom</w:t>
      </w:r>
      <w:r w:rsidRPr="003F141B">
        <w:rPr>
          <w:lang w:val="en-CA"/>
        </w:rPr>
        <w:t xml:space="preserve"> to call.</w:t>
      </w:r>
      <w:r w:rsidR="005003D8" w:rsidRPr="003F141B">
        <w:rPr>
          <w:lang w:val="en-CA"/>
        </w:rPr>
        <w:t xml:space="preserve"> </w:t>
      </w:r>
      <w:r w:rsidR="004C2F80" w:rsidRPr="003F141B">
        <w:rPr>
          <w:lang w:val="en-CA"/>
        </w:rPr>
        <w:t xml:space="preserve">Unlike </w:t>
      </w:r>
      <w:r w:rsidRPr="003F141B">
        <w:rPr>
          <w:lang w:val="en-CA"/>
        </w:rPr>
        <w:t>Mr. Willier</w:t>
      </w:r>
      <w:r w:rsidR="004C2F80" w:rsidRPr="003F141B">
        <w:rPr>
          <w:lang w:val="en-CA"/>
        </w:rPr>
        <w:t>,</w:t>
      </w:r>
      <w:r w:rsidRPr="003F141B">
        <w:rPr>
          <w:lang w:val="en-CA"/>
        </w:rPr>
        <w:t xml:space="preserve"> who </w:t>
      </w:r>
      <w:r w:rsidR="00081775">
        <w:rPr>
          <w:lang w:val="en-CA"/>
        </w:rPr>
        <w:t>“</w:t>
      </w:r>
      <w:r w:rsidRPr="003F141B">
        <w:rPr>
          <w:lang w:val="en-CA"/>
        </w:rPr>
        <w:t>stated his preference to wait</w:t>
      </w:r>
      <w:r w:rsidR="00081775">
        <w:rPr>
          <w:lang w:val="en-CA"/>
        </w:rPr>
        <w:t>”</w:t>
      </w:r>
      <w:r w:rsidRPr="003F141B">
        <w:rPr>
          <w:lang w:val="en-CA"/>
        </w:rPr>
        <w:t xml:space="preserve"> (para. </w:t>
      </w:r>
      <w:r w:rsidR="005003D8" w:rsidRPr="003F141B">
        <w:rPr>
          <w:lang w:val="en-CA"/>
        </w:rPr>
        <w:t> </w:t>
      </w:r>
      <w:r w:rsidRPr="003F141B">
        <w:rPr>
          <w:lang w:val="en-CA"/>
        </w:rPr>
        <w:t>43)</w:t>
      </w:r>
      <w:r w:rsidR="004C2F80" w:rsidRPr="003F141B">
        <w:rPr>
          <w:lang w:val="en-CA"/>
        </w:rPr>
        <w:t>, it</w:t>
      </w:r>
      <w:r w:rsidRPr="003F141B">
        <w:rPr>
          <w:lang w:val="en-CA"/>
        </w:rPr>
        <w:t xml:space="preserve"> is likely that the respondent did not know that </w:t>
      </w:r>
      <w:r w:rsidR="004C2F80" w:rsidRPr="003F141B">
        <w:rPr>
          <w:lang w:val="en-CA"/>
        </w:rPr>
        <w:t xml:space="preserve">this </w:t>
      </w:r>
      <w:r w:rsidRPr="003F141B">
        <w:rPr>
          <w:lang w:val="en-CA"/>
        </w:rPr>
        <w:t>option was available to him.</w:t>
      </w:r>
      <w:r w:rsidR="005003D8" w:rsidRPr="003F141B">
        <w:rPr>
          <w:lang w:val="en-CA"/>
        </w:rPr>
        <w:t xml:space="preserve"> </w:t>
      </w:r>
      <w:r w:rsidRPr="003F141B">
        <w:rPr>
          <w:lang w:val="en-CA"/>
        </w:rPr>
        <w:t xml:space="preserve">To </w:t>
      </w:r>
      <w:r w:rsidR="00BC12E7" w:rsidRPr="003F141B">
        <w:rPr>
          <w:lang w:val="en-CA"/>
        </w:rPr>
        <w:t>justify concluding</w:t>
      </w:r>
      <w:r w:rsidRPr="003F141B">
        <w:rPr>
          <w:lang w:val="en-CA"/>
        </w:rPr>
        <w:t xml:space="preserve"> that the respondent waived his right to contact his counsel of choice</w:t>
      </w:r>
      <w:r w:rsidR="00BC12E7" w:rsidRPr="003F141B">
        <w:rPr>
          <w:lang w:val="en-CA"/>
        </w:rPr>
        <w:t>,</w:t>
      </w:r>
      <w:r w:rsidR="00B334E5" w:rsidRPr="003F141B">
        <w:rPr>
          <w:lang w:val="en-CA"/>
        </w:rPr>
        <w:t xml:space="preserve"> </w:t>
      </w:r>
      <w:r w:rsidRPr="003F141B">
        <w:rPr>
          <w:lang w:val="en-CA"/>
        </w:rPr>
        <w:t>the evidence must establish that he knew that he could wait a reasonable amount of time but that he preferred to call a legal aid lawyer.</w:t>
      </w:r>
    </w:p>
    <w:p w14:paraId="2BE7896F" w14:textId="5D6D5A8B" w:rsidR="009130CA" w:rsidRPr="003F141B" w:rsidRDefault="004F0F72" w:rsidP="009130CA">
      <w:pPr>
        <w:pStyle w:val="Paragraphe"/>
        <w:spacing w:line="280" w:lineRule="exact"/>
        <w:rPr>
          <w:lang w:val="en-CA"/>
        </w:rPr>
      </w:pPr>
      <w:r w:rsidRPr="003F141B">
        <w:rPr>
          <w:lang w:val="en-CA"/>
        </w:rPr>
        <w:t>Beaupré</w:t>
      </w:r>
      <w:r w:rsidR="00911D40" w:rsidRPr="003F141B">
        <w:rPr>
          <w:lang w:val="en-CA"/>
        </w:rPr>
        <w:t>,</w:t>
      </w:r>
      <w:r w:rsidRPr="003F141B">
        <w:rPr>
          <w:lang w:val="en-CA"/>
        </w:rPr>
        <w:t xml:space="preserve"> J. repudiated </w:t>
      </w:r>
      <w:r w:rsidR="00944A22">
        <w:rPr>
          <w:lang w:val="en-CA"/>
        </w:rPr>
        <w:t xml:space="preserve">this </w:t>
      </w:r>
      <w:r w:rsidRPr="003F141B">
        <w:rPr>
          <w:lang w:val="en-CA"/>
        </w:rPr>
        <w:t>proposition</w:t>
      </w:r>
      <w:r w:rsidR="00BC12E7" w:rsidRPr="003F141B">
        <w:rPr>
          <w:lang w:val="en-CA"/>
        </w:rPr>
        <w:t xml:space="preserve">, basing himself </w:t>
      </w:r>
      <w:r w:rsidRPr="003F141B">
        <w:rPr>
          <w:lang w:val="en-CA"/>
        </w:rPr>
        <w:t xml:space="preserve">on </w:t>
      </w:r>
      <w:r w:rsidRPr="003F141B">
        <w:rPr>
          <w:i/>
          <w:lang w:val="en-CA"/>
        </w:rPr>
        <w:t xml:space="preserve">R. v. </w:t>
      </w:r>
      <w:proofErr w:type="spellStart"/>
      <w:r w:rsidRPr="003F141B">
        <w:rPr>
          <w:i/>
          <w:lang w:val="en-CA"/>
        </w:rPr>
        <w:t>Keror</w:t>
      </w:r>
      <w:proofErr w:type="spellEnd"/>
      <w:r w:rsidRPr="003F141B">
        <w:rPr>
          <w:lang w:val="en-CA"/>
        </w:rPr>
        <w:t xml:space="preserve">, 2017 ABCA 273, a case </w:t>
      </w:r>
      <w:r w:rsidR="00B334E5" w:rsidRPr="003F141B">
        <w:rPr>
          <w:lang w:val="en-CA"/>
        </w:rPr>
        <w:t>that</w:t>
      </w:r>
      <w:r w:rsidR="00BC12E7" w:rsidRPr="003F141B">
        <w:rPr>
          <w:lang w:val="en-CA"/>
        </w:rPr>
        <w:t xml:space="preserve"> he found</w:t>
      </w:r>
      <w:r w:rsidRPr="003F141B">
        <w:rPr>
          <w:lang w:val="en-CA"/>
        </w:rPr>
        <w:t xml:space="preserve"> has certain similarities </w:t>
      </w:r>
      <w:r w:rsidR="00F5154F">
        <w:rPr>
          <w:lang w:val="en-CA"/>
        </w:rPr>
        <w:t xml:space="preserve">to </w:t>
      </w:r>
      <w:r w:rsidR="00944A22">
        <w:rPr>
          <w:lang w:val="en-CA"/>
        </w:rPr>
        <w:t xml:space="preserve">the </w:t>
      </w:r>
      <w:r w:rsidRPr="003F141B">
        <w:rPr>
          <w:lang w:val="en-CA"/>
        </w:rPr>
        <w:t>one</w:t>
      </w:r>
      <w:r w:rsidR="00944A22">
        <w:rPr>
          <w:lang w:val="en-CA"/>
        </w:rPr>
        <w:t xml:space="preserve"> before us</w:t>
      </w:r>
      <w:r w:rsidRPr="003F141B">
        <w:rPr>
          <w:lang w:val="en-CA"/>
        </w:rPr>
        <w:t>.</w:t>
      </w:r>
      <w:r w:rsidR="005003D8" w:rsidRPr="003F141B">
        <w:rPr>
          <w:lang w:val="en-CA"/>
        </w:rPr>
        <w:t xml:space="preserve"> </w:t>
      </w:r>
      <w:r w:rsidRPr="003F141B">
        <w:rPr>
          <w:lang w:val="en-CA"/>
        </w:rPr>
        <w:t>I do not share this point of view.</w:t>
      </w:r>
      <w:r w:rsidR="005003D8" w:rsidRPr="003F141B">
        <w:rPr>
          <w:lang w:val="en-CA"/>
        </w:rPr>
        <w:t xml:space="preserve"> </w:t>
      </w:r>
      <w:r w:rsidRPr="003F141B">
        <w:rPr>
          <w:lang w:val="en-CA"/>
        </w:rPr>
        <w:t xml:space="preserve">In </w:t>
      </w:r>
      <w:proofErr w:type="spellStart"/>
      <w:r w:rsidRPr="003F141B">
        <w:rPr>
          <w:i/>
          <w:lang w:val="en-CA"/>
        </w:rPr>
        <w:t>Keror</w:t>
      </w:r>
      <w:proofErr w:type="spellEnd"/>
      <w:r w:rsidRPr="003F141B">
        <w:rPr>
          <w:lang w:val="en-CA"/>
        </w:rPr>
        <w:t xml:space="preserve">, the accused </w:t>
      </w:r>
      <w:r w:rsidR="00B334E5" w:rsidRPr="003F141B">
        <w:rPr>
          <w:lang w:val="en-CA"/>
        </w:rPr>
        <w:t xml:space="preserve">himself </w:t>
      </w:r>
      <w:r w:rsidRPr="003F141B">
        <w:rPr>
          <w:lang w:val="en-CA"/>
        </w:rPr>
        <w:t>left messages for his counsel of choice (after the police officer helped him find the telephone number) and for legal aid.</w:t>
      </w:r>
      <w:r w:rsidR="005003D8" w:rsidRPr="003F141B">
        <w:rPr>
          <w:lang w:val="en-CA"/>
        </w:rPr>
        <w:t xml:space="preserve"> </w:t>
      </w:r>
      <w:r w:rsidRPr="003F141B">
        <w:rPr>
          <w:lang w:val="en-CA"/>
        </w:rPr>
        <w:t>The police officer asked him if he wanted to wait to speak to a lawyer, to which the accused first answered no.</w:t>
      </w:r>
      <w:r w:rsidR="005003D8" w:rsidRPr="003F141B">
        <w:rPr>
          <w:lang w:val="en-CA"/>
        </w:rPr>
        <w:t xml:space="preserve"> </w:t>
      </w:r>
      <w:r w:rsidRPr="003F141B">
        <w:rPr>
          <w:lang w:val="en-CA"/>
        </w:rPr>
        <w:t xml:space="preserve">After a </w:t>
      </w:r>
      <w:r w:rsidRPr="003F141B">
        <w:rPr>
          <w:i/>
          <w:lang w:val="en-CA"/>
        </w:rPr>
        <w:t>Prosper</w:t>
      </w:r>
      <w:r w:rsidRPr="003F141B">
        <w:rPr>
          <w:lang w:val="en-CA"/>
        </w:rPr>
        <w:t xml:space="preserve"> warning, the accused changed his mind and stated that he wanted to wait for </w:t>
      </w:r>
      <w:r w:rsidR="00544ACF">
        <w:rPr>
          <w:lang w:val="en-CA"/>
        </w:rPr>
        <w:t xml:space="preserve">his </w:t>
      </w:r>
      <w:r w:rsidRPr="003F141B">
        <w:rPr>
          <w:lang w:val="en-CA"/>
        </w:rPr>
        <w:t>lawyer to call back.</w:t>
      </w:r>
      <w:r w:rsidR="005003D8" w:rsidRPr="003F141B">
        <w:rPr>
          <w:lang w:val="en-CA"/>
        </w:rPr>
        <w:t xml:space="preserve"> </w:t>
      </w:r>
      <w:r w:rsidRPr="003F141B">
        <w:rPr>
          <w:lang w:val="en-CA"/>
        </w:rPr>
        <w:t>A few moments later, the police officer called the lawyer chosen by the accused a second time and left him a message.</w:t>
      </w:r>
      <w:r w:rsidR="005003D8" w:rsidRPr="003F141B">
        <w:rPr>
          <w:lang w:val="en-CA"/>
        </w:rPr>
        <w:t xml:space="preserve"> </w:t>
      </w:r>
      <w:r w:rsidRPr="003F141B">
        <w:rPr>
          <w:lang w:val="en-CA"/>
        </w:rPr>
        <w:t xml:space="preserve">The legal aid lawyer ended up returning the call and the accused </w:t>
      </w:r>
      <w:r w:rsidR="00BC12E7" w:rsidRPr="003F141B">
        <w:rPr>
          <w:lang w:val="en-CA"/>
        </w:rPr>
        <w:t xml:space="preserve">agreed </w:t>
      </w:r>
      <w:r w:rsidRPr="003F141B">
        <w:rPr>
          <w:lang w:val="en-CA"/>
        </w:rPr>
        <w:t>to speak to him.</w:t>
      </w:r>
      <w:r w:rsidR="005003D8" w:rsidRPr="003F141B">
        <w:rPr>
          <w:lang w:val="en-CA"/>
        </w:rPr>
        <w:t xml:space="preserve"> </w:t>
      </w:r>
      <w:r w:rsidRPr="003F141B">
        <w:rPr>
          <w:lang w:val="en-CA"/>
        </w:rPr>
        <w:t>He stated that he was satisfied with the conversation.</w:t>
      </w:r>
      <w:r w:rsidR="005003D8" w:rsidRPr="003F141B">
        <w:rPr>
          <w:lang w:val="en-CA"/>
        </w:rPr>
        <w:t xml:space="preserve"> </w:t>
      </w:r>
      <w:r w:rsidRPr="003F141B">
        <w:rPr>
          <w:lang w:val="en-CA"/>
        </w:rPr>
        <w:t>The next morning, the accused again tried to reach his lawyer</w:t>
      </w:r>
      <w:r w:rsidR="00B334E5" w:rsidRPr="003F141B">
        <w:rPr>
          <w:lang w:val="en-CA"/>
        </w:rPr>
        <w:t xml:space="preserve"> and was</w:t>
      </w:r>
      <w:r w:rsidRPr="003F141B">
        <w:rPr>
          <w:lang w:val="en-CA"/>
        </w:rPr>
        <w:t xml:space="preserve"> told to call back in the afternoon.</w:t>
      </w:r>
      <w:r w:rsidR="005003D8" w:rsidRPr="003F141B">
        <w:rPr>
          <w:lang w:val="en-CA"/>
        </w:rPr>
        <w:t xml:space="preserve"> </w:t>
      </w:r>
      <w:r w:rsidRPr="003F141B">
        <w:rPr>
          <w:lang w:val="en-CA"/>
        </w:rPr>
        <w:t>He repeated to the police officer that he had benefitted from the advice of duty counsel the previous evening.</w:t>
      </w:r>
      <w:r w:rsidR="005003D8" w:rsidRPr="003F141B">
        <w:rPr>
          <w:lang w:val="en-CA"/>
        </w:rPr>
        <w:t xml:space="preserve"> </w:t>
      </w:r>
      <w:r w:rsidRPr="003F141B">
        <w:rPr>
          <w:lang w:val="en-CA"/>
        </w:rPr>
        <w:t>The police officer then determined that he could start questioning him.</w:t>
      </w:r>
      <w:r w:rsidR="005003D8" w:rsidRPr="003F141B">
        <w:rPr>
          <w:lang w:val="en-CA"/>
        </w:rPr>
        <w:t xml:space="preserve"> </w:t>
      </w:r>
      <w:r w:rsidRPr="003F141B">
        <w:rPr>
          <w:lang w:val="en-CA"/>
        </w:rPr>
        <w:t>In the circumstances, which appear to me very different from those before us, the Court of Appeal of Alberta was of the view that it was not appropriate to impose an additional obligation on the police officer.</w:t>
      </w:r>
    </w:p>
    <w:p w14:paraId="6C90359F" w14:textId="632E896F" w:rsidR="009130CA" w:rsidRPr="003F141B" w:rsidRDefault="0017217C" w:rsidP="009130CA">
      <w:pPr>
        <w:pStyle w:val="Paragraphe"/>
        <w:spacing w:line="280" w:lineRule="exact"/>
        <w:rPr>
          <w:lang w:val="en-CA"/>
        </w:rPr>
      </w:pPr>
      <w:r w:rsidRPr="003F141B">
        <w:rPr>
          <w:lang w:val="en-CA"/>
        </w:rPr>
        <w:t xml:space="preserve">I </w:t>
      </w:r>
      <w:r w:rsidR="00911D40" w:rsidRPr="003F141B">
        <w:rPr>
          <w:lang w:val="en-CA"/>
        </w:rPr>
        <w:t xml:space="preserve">also cannot </w:t>
      </w:r>
      <w:r w:rsidRPr="003F141B">
        <w:rPr>
          <w:lang w:val="en-CA"/>
        </w:rPr>
        <w:t>subscribe to my colleague</w:t>
      </w:r>
      <w:r w:rsidR="003061CC">
        <w:rPr>
          <w:lang w:val="en-CA"/>
        </w:rPr>
        <w:t>’</w:t>
      </w:r>
      <w:r w:rsidRPr="003F141B">
        <w:rPr>
          <w:lang w:val="en-CA"/>
        </w:rPr>
        <w:t>s opinion with respect to the respondent</w:t>
      </w:r>
      <w:r w:rsidR="003061CC">
        <w:rPr>
          <w:lang w:val="en-CA"/>
        </w:rPr>
        <w:t>’</w:t>
      </w:r>
      <w:r w:rsidRPr="003F141B">
        <w:rPr>
          <w:lang w:val="en-CA"/>
        </w:rPr>
        <w:t xml:space="preserve">s obligation to inform the police officers of the </w:t>
      </w:r>
      <w:r w:rsidR="00911D40" w:rsidRPr="003F141B">
        <w:rPr>
          <w:lang w:val="en-CA"/>
        </w:rPr>
        <w:t xml:space="preserve">significance </w:t>
      </w:r>
      <w:r w:rsidRPr="003F141B">
        <w:rPr>
          <w:lang w:val="en-CA"/>
        </w:rPr>
        <w:t xml:space="preserve">of the </w:t>
      </w:r>
      <w:r w:rsidR="00A37A5B" w:rsidRPr="003F141B">
        <w:rPr>
          <w:lang w:val="en-CA"/>
        </w:rPr>
        <w:t>relationship</w:t>
      </w:r>
      <w:r w:rsidRPr="003F141B">
        <w:rPr>
          <w:lang w:val="en-CA"/>
        </w:rPr>
        <w:t xml:space="preserve"> of trust that existed between </w:t>
      </w:r>
      <w:r w:rsidR="00A37A5B" w:rsidRPr="003F141B">
        <w:rPr>
          <w:lang w:val="en-CA"/>
        </w:rPr>
        <w:t xml:space="preserve">him and </w:t>
      </w:r>
      <w:proofErr w:type="spellStart"/>
      <w:r w:rsidR="00A37A5B" w:rsidRPr="003F141B">
        <w:rPr>
          <w:lang w:val="en-CA"/>
        </w:rPr>
        <w:t>Mtre</w:t>
      </w:r>
      <w:proofErr w:type="spellEnd"/>
      <w:r w:rsidR="00A37A5B" w:rsidRPr="003F141B">
        <w:rPr>
          <w:lang w:val="en-CA"/>
        </w:rPr>
        <w:t xml:space="preserve"> </w:t>
      </w:r>
      <w:proofErr w:type="spellStart"/>
      <w:r w:rsidR="00A37A5B" w:rsidRPr="003F141B">
        <w:rPr>
          <w:lang w:val="en-CA"/>
        </w:rPr>
        <w:t>Boulianne</w:t>
      </w:r>
      <w:proofErr w:type="spellEnd"/>
      <w:r w:rsidR="00A37A5B" w:rsidRPr="003F141B">
        <w:rPr>
          <w:lang w:val="en-CA"/>
        </w:rPr>
        <w:t xml:space="preserve"> and </w:t>
      </w:r>
      <w:proofErr w:type="spellStart"/>
      <w:r w:rsidR="00A37A5B" w:rsidRPr="003F141B">
        <w:rPr>
          <w:lang w:val="en-CA"/>
        </w:rPr>
        <w:t>Mtre</w:t>
      </w:r>
      <w:proofErr w:type="spellEnd"/>
      <w:r w:rsidR="00A37A5B" w:rsidRPr="003F141B">
        <w:rPr>
          <w:lang w:val="en-CA"/>
        </w:rPr>
        <w:t xml:space="preserve"> </w:t>
      </w:r>
      <w:proofErr w:type="spellStart"/>
      <w:r w:rsidRPr="003F141B">
        <w:rPr>
          <w:lang w:val="en-CA"/>
        </w:rPr>
        <w:t>Cantin</w:t>
      </w:r>
      <w:proofErr w:type="spellEnd"/>
      <w:r w:rsidRPr="003F141B">
        <w:rPr>
          <w:lang w:val="en-CA"/>
        </w:rPr>
        <w:t xml:space="preserve"> and/or </w:t>
      </w:r>
      <w:r w:rsidR="00E76F6B">
        <w:rPr>
          <w:lang w:val="en-CA"/>
        </w:rPr>
        <w:t xml:space="preserve">to </w:t>
      </w:r>
      <w:r w:rsidRPr="003F141B">
        <w:rPr>
          <w:lang w:val="en-CA"/>
        </w:rPr>
        <w:t>refus</w:t>
      </w:r>
      <w:r w:rsidR="00E76F6B">
        <w:rPr>
          <w:lang w:val="en-CA"/>
        </w:rPr>
        <w:t>e</w:t>
      </w:r>
      <w:r w:rsidRPr="003F141B">
        <w:rPr>
          <w:lang w:val="en-CA"/>
        </w:rPr>
        <w:t xml:space="preserve"> to speak to a legal aid lawyer while awaiting a new attempt to </w:t>
      </w:r>
      <w:r w:rsidR="00911D40" w:rsidRPr="003F141B">
        <w:rPr>
          <w:lang w:val="en-CA"/>
        </w:rPr>
        <w:t xml:space="preserve">be made to </w:t>
      </w:r>
      <w:r w:rsidRPr="003F141B">
        <w:rPr>
          <w:lang w:val="en-CA"/>
        </w:rPr>
        <w:t>reac</w:t>
      </w:r>
      <w:r w:rsidR="00A37A5B" w:rsidRPr="003F141B">
        <w:rPr>
          <w:lang w:val="en-CA"/>
        </w:rPr>
        <w:t>h them (</w:t>
      </w:r>
      <w:r w:rsidRPr="003F141B">
        <w:rPr>
          <w:lang w:val="en-CA"/>
        </w:rPr>
        <w:t>para.</w:t>
      </w:r>
      <w:r w:rsidR="005003D8" w:rsidRPr="003F141B">
        <w:rPr>
          <w:lang w:val="en-CA"/>
        </w:rPr>
        <w:t xml:space="preserve"> </w:t>
      </w:r>
      <w:r w:rsidRPr="003F141B">
        <w:rPr>
          <w:lang w:val="en-CA"/>
        </w:rPr>
        <w:t>111 of the reasons Beaupré</w:t>
      </w:r>
      <w:r w:rsidR="00911D40" w:rsidRPr="003F141B">
        <w:rPr>
          <w:lang w:val="en-CA"/>
        </w:rPr>
        <w:t>,</w:t>
      </w:r>
      <w:r w:rsidR="00BE76B7">
        <w:rPr>
          <w:lang w:val="en-CA"/>
        </w:rPr>
        <w:t xml:space="preserve"> J.</w:t>
      </w:r>
      <w:r w:rsidR="00A37A5B" w:rsidRPr="003F141B">
        <w:rPr>
          <w:lang w:val="en-CA"/>
        </w:rPr>
        <w:t>).</w:t>
      </w:r>
      <w:r w:rsidR="005003D8" w:rsidRPr="003F141B">
        <w:rPr>
          <w:lang w:val="en-CA"/>
        </w:rPr>
        <w:t xml:space="preserve"> </w:t>
      </w:r>
      <w:r w:rsidRPr="003F141B">
        <w:rPr>
          <w:lang w:val="en-CA"/>
        </w:rPr>
        <w:t xml:space="preserve">The </w:t>
      </w:r>
      <w:r w:rsidR="002710B2">
        <w:rPr>
          <w:lang w:val="en-CA"/>
        </w:rPr>
        <w:t xml:space="preserve">obligation of </w:t>
      </w:r>
      <w:r w:rsidRPr="003F141B">
        <w:rPr>
          <w:lang w:val="en-CA"/>
        </w:rPr>
        <w:t>police officers</w:t>
      </w:r>
      <w:r w:rsidR="002710B2">
        <w:rPr>
          <w:lang w:val="en-CA"/>
        </w:rPr>
        <w:t xml:space="preserve"> </w:t>
      </w:r>
      <w:r w:rsidRPr="003F141B">
        <w:rPr>
          <w:lang w:val="en-CA"/>
        </w:rPr>
        <w:t xml:space="preserve">to provide </w:t>
      </w:r>
      <w:r w:rsidR="002710B2">
        <w:rPr>
          <w:lang w:val="en-CA"/>
        </w:rPr>
        <w:t xml:space="preserve">a </w:t>
      </w:r>
      <w:r w:rsidRPr="003F141B">
        <w:rPr>
          <w:lang w:val="en-CA"/>
        </w:rPr>
        <w:t xml:space="preserve">detained person </w:t>
      </w:r>
      <w:r w:rsidR="00A37A5B" w:rsidRPr="003F141B">
        <w:rPr>
          <w:lang w:val="en-CA"/>
        </w:rPr>
        <w:t xml:space="preserve">with </w:t>
      </w:r>
      <w:r w:rsidR="00911D40" w:rsidRPr="003F141B">
        <w:rPr>
          <w:lang w:val="en-CA"/>
        </w:rPr>
        <w:lastRenderedPageBreak/>
        <w:t xml:space="preserve">a </w:t>
      </w:r>
      <w:r w:rsidRPr="003F141B">
        <w:rPr>
          <w:lang w:val="en-CA"/>
        </w:rPr>
        <w:t xml:space="preserve">reasonable opportunity to contact counsel of choice cannot depend on the intensity of the relationship of trust that exists between </w:t>
      </w:r>
      <w:r w:rsidR="00911D40" w:rsidRPr="003F141B">
        <w:rPr>
          <w:lang w:val="en-CA"/>
        </w:rPr>
        <w:t xml:space="preserve">the </w:t>
      </w:r>
      <w:r w:rsidRPr="003F141B">
        <w:rPr>
          <w:lang w:val="en-CA"/>
        </w:rPr>
        <w:t>person and the chosen lawyer.</w:t>
      </w:r>
      <w:r w:rsidR="005003D8" w:rsidRPr="003F141B">
        <w:rPr>
          <w:lang w:val="en-CA"/>
        </w:rPr>
        <w:t xml:space="preserve"> </w:t>
      </w:r>
      <w:r w:rsidRPr="003F141B">
        <w:rPr>
          <w:lang w:val="en-CA"/>
        </w:rPr>
        <w:t xml:space="preserve">Police officers </w:t>
      </w:r>
      <w:r w:rsidR="00911D40" w:rsidRPr="003F141B">
        <w:rPr>
          <w:lang w:val="en-CA"/>
        </w:rPr>
        <w:t>should not meddle in</w:t>
      </w:r>
      <w:r w:rsidRPr="003F141B">
        <w:rPr>
          <w:lang w:val="en-CA"/>
        </w:rPr>
        <w:t xml:space="preserve"> that choice</w:t>
      </w:r>
      <w:r w:rsidR="00911D40" w:rsidRPr="003F141B">
        <w:rPr>
          <w:lang w:val="en-CA"/>
        </w:rPr>
        <w:t>,</w:t>
      </w:r>
      <w:r w:rsidRPr="003F141B">
        <w:rPr>
          <w:lang w:val="en-CA"/>
        </w:rPr>
        <w:t xml:space="preserve"> and their obligation does not vary according to whether the detained person informs them of the nature of </w:t>
      </w:r>
      <w:r w:rsidR="001D7245">
        <w:rPr>
          <w:lang w:val="en-CA"/>
        </w:rPr>
        <w:t xml:space="preserve">the </w:t>
      </w:r>
      <w:r w:rsidRPr="003F141B">
        <w:rPr>
          <w:lang w:val="en-CA"/>
        </w:rPr>
        <w:t xml:space="preserve">relationship with the lawyer </w:t>
      </w:r>
      <w:r w:rsidR="001D7245">
        <w:rPr>
          <w:lang w:val="en-CA"/>
        </w:rPr>
        <w:t xml:space="preserve">so </w:t>
      </w:r>
      <w:r w:rsidRPr="003F141B">
        <w:rPr>
          <w:lang w:val="en-CA"/>
        </w:rPr>
        <w:t>designate</w:t>
      </w:r>
      <w:r w:rsidR="001D7245">
        <w:rPr>
          <w:lang w:val="en-CA"/>
        </w:rPr>
        <w:t>d</w:t>
      </w:r>
      <w:r w:rsidRPr="003F141B">
        <w:rPr>
          <w:lang w:val="en-CA"/>
        </w:rPr>
        <w:t>.</w:t>
      </w:r>
      <w:r w:rsidR="005003D8" w:rsidRPr="003F141B">
        <w:rPr>
          <w:lang w:val="en-CA"/>
        </w:rPr>
        <w:t xml:space="preserve"> </w:t>
      </w:r>
      <w:r w:rsidRPr="003F141B">
        <w:rPr>
          <w:lang w:val="en-CA"/>
        </w:rPr>
        <w:t xml:space="preserve">And, at the risk of repeating myself, I do not see how the detained person can be blamed for not refusing to speak to a legal aid lawyer while waiting for his </w:t>
      </w:r>
      <w:r w:rsidR="00FD578C">
        <w:rPr>
          <w:lang w:val="en-CA"/>
        </w:rPr>
        <w:t xml:space="preserve">or her </w:t>
      </w:r>
      <w:r w:rsidRPr="003F141B">
        <w:rPr>
          <w:lang w:val="en-CA"/>
        </w:rPr>
        <w:t xml:space="preserve">lawyer to call back (or to </w:t>
      </w:r>
      <w:r w:rsidR="00041BA4" w:rsidRPr="003F141B">
        <w:rPr>
          <w:lang w:val="en-CA"/>
        </w:rPr>
        <w:t xml:space="preserve">be </w:t>
      </w:r>
      <w:r w:rsidRPr="003F141B">
        <w:rPr>
          <w:lang w:val="en-CA"/>
        </w:rPr>
        <w:t>reach</w:t>
      </w:r>
      <w:r w:rsidR="00041BA4" w:rsidRPr="003F141B">
        <w:rPr>
          <w:lang w:val="en-CA"/>
        </w:rPr>
        <w:t>ed</w:t>
      </w:r>
      <w:r w:rsidRPr="003F141B">
        <w:rPr>
          <w:lang w:val="en-CA"/>
        </w:rPr>
        <w:t xml:space="preserve">) if </w:t>
      </w:r>
      <w:r w:rsidR="00FD578C">
        <w:rPr>
          <w:lang w:val="en-CA"/>
        </w:rPr>
        <w:t xml:space="preserve">the detained person </w:t>
      </w:r>
      <w:r w:rsidRPr="003F141B">
        <w:rPr>
          <w:lang w:val="en-CA"/>
        </w:rPr>
        <w:t xml:space="preserve">did not know </w:t>
      </w:r>
      <w:r w:rsidR="00EA649D">
        <w:rPr>
          <w:lang w:val="en-CA"/>
        </w:rPr>
        <w:t xml:space="preserve">about </w:t>
      </w:r>
      <w:r w:rsidRPr="003F141B">
        <w:rPr>
          <w:lang w:val="en-CA"/>
        </w:rPr>
        <w:t>the right to wait a reasonable amount of time.</w:t>
      </w:r>
    </w:p>
    <w:p w14:paraId="73660DD8" w14:textId="0B5B5E50" w:rsidR="009130CA" w:rsidRPr="003F141B" w:rsidRDefault="0017217C" w:rsidP="009130CA">
      <w:pPr>
        <w:pStyle w:val="Paragraphe"/>
        <w:spacing w:line="280" w:lineRule="exact"/>
        <w:rPr>
          <w:lang w:val="en-CA"/>
        </w:rPr>
      </w:pPr>
      <w:r w:rsidRPr="003F141B">
        <w:rPr>
          <w:lang w:val="en-CA"/>
        </w:rPr>
        <w:t>In short, to the extent</w:t>
      </w:r>
      <w:r w:rsidR="00A47853" w:rsidRPr="003F141B">
        <w:rPr>
          <w:lang w:val="en-CA"/>
        </w:rPr>
        <w:t xml:space="preserve"> that</w:t>
      </w:r>
      <w:r w:rsidRPr="003F141B">
        <w:rPr>
          <w:lang w:val="en-CA"/>
        </w:rPr>
        <w:t xml:space="preserve"> </w:t>
      </w:r>
      <w:r w:rsidR="00A47853" w:rsidRPr="003F141B">
        <w:rPr>
          <w:lang w:val="en-CA"/>
        </w:rPr>
        <w:t>O</w:t>
      </w:r>
      <w:r w:rsidRPr="003F141B">
        <w:rPr>
          <w:lang w:val="en-CA"/>
        </w:rPr>
        <w:t xml:space="preserve">fficer </w:t>
      </w:r>
      <w:proofErr w:type="spellStart"/>
      <w:r w:rsidRPr="003F141B">
        <w:rPr>
          <w:lang w:val="en-CA"/>
        </w:rPr>
        <w:t>Naess</w:t>
      </w:r>
      <w:proofErr w:type="spellEnd"/>
      <w:r w:rsidRPr="003F141B">
        <w:rPr>
          <w:lang w:val="en-CA"/>
        </w:rPr>
        <w:t xml:space="preserve">-Olivier did not attempt to reach </w:t>
      </w:r>
      <w:proofErr w:type="spellStart"/>
      <w:r w:rsidRPr="003F141B">
        <w:rPr>
          <w:lang w:val="en-CA"/>
        </w:rPr>
        <w:t>Mtre</w:t>
      </w:r>
      <w:proofErr w:type="spellEnd"/>
      <w:r w:rsidR="00154FE1">
        <w:rPr>
          <w:lang w:val="en-CA"/>
        </w:rPr>
        <w:t> </w:t>
      </w:r>
      <w:proofErr w:type="spellStart"/>
      <w:r w:rsidRPr="003F141B">
        <w:rPr>
          <w:lang w:val="en-CA"/>
        </w:rPr>
        <w:t>Cantin</w:t>
      </w:r>
      <w:proofErr w:type="spellEnd"/>
      <w:r w:rsidRPr="003F141B">
        <w:rPr>
          <w:lang w:val="en-CA"/>
        </w:rPr>
        <w:t xml:space="preserve"> on his cellphone or call </w:t>
      </w:r>
      <w:proofErr w:type="spellStart"/>
      <w:r w:rsidRPr="003F141B">
        <w:rPr>
          <w:lang w:val="en-CA"/>
        </w:rPr>
        <w:t>Mtre</w:t>
      </w:r>
      <w:proofErr w:type="spellEnd"/>
      <w:r w:rsidRPr="003F141B">
        <w:rPr>
          <w:lang w:val="en-CA"/>
        </w:rPr>
        <w:t xml:space="preserve"> </w:t>
      </w:r>
      <w:proofErr w:type="spellStart"/>
      <w:r w:rsidRPr="003F141B">
        <w:rPr>
          <w:lang w:val="en-CA"/>
        </w:rPr>
        <w:t>Boulianne</w:t>
      </w:r>
      <w:proofErr w:type="spellEnd"/>
      <w:r w:rsidRPr="003F141B">
        <w:rPr>
          <w:lang w:val="en-CA"/>
        </w:rPr>
        <w:t xml:space="preserve"> again after a reasonable amount of time (</w:t>
      </w:r>
      <w:r w:rsidR="00041BA4" w:rsidRPr="003F141B">
        <w:rPr>
          <w:lang w:val="en-CA"/>
        </w:rPr>
        <w:t xml:space="preserve">if </w:t>
      </w:r>
      <w:r w:rsidRPr="003F141B">
        <w:rPr>
          <w:lang w:val="en-CA"/>
        </w:rPr>
        <w:t xml:space="preserve">he was unable to leave a message), in my view the </w:t>
      </w:r>
      <w:r w:rsidR="00A37A5B" w:rsidRPr="003F141B">
        <w:rPr>
          <w:lang w:val="en-CA"/>
        </w:rPr>
        <w:t>respondent</w:t>
      </w:r>
      <w:r w:rsidRPr="003F141B">
        <w:rPr>
          <w:lang w:val="en-CA"/>
        </w:rPr>
        <w:t xml:space="preserve"> was not afforded a </w:t>
      </w:r>
      <w:r w:rsidR="00A37A5B" w:rsidRPr="003F141B">
        <w:rPr>
          <w:lang w:val="en-CA"/>
        </w:rPr>
        <w:t>reasonable</w:t>
      </w:r>
      <w:r w:rsidRPr="003F141B">
        <w:rPr>
          <w:lang w:val="en-CA"/>
        </w:rPr>
        <w:t xml:space="preserve"> opportunity to contact his counsel of choice</w:t>
      </w:r>
      <w:r w:rsidR="00041BA4" w:rsidRPr="003F141B">
        <w:rPr>
          <w:lang w:val="en-CA"/>
        </w:rPr>
        <w:t>,</w:t>
      </w:r>
      <w:r w:rsidRPr="003F141B">
        <w:rPr>
          <w:lang w:val="en-CA"/>
        </w:rPr>
        <w:t xml:space="preserve"> and the circumstances of the case do not lead to the conclusion that he waived that facet of the </w:t>
      </w:r>
      <w:r w:rsidR="00147C72" w:rsidRPr="003F141B">
        <w:rPr>
          <w:lang w:val="en-CA"/>
        </w:rPr>
        <w:t>s.</w:t>
      </w:r>
      <w:r w:rsidRPr="003F141B">
        <w:rPr>
          <w:lang w:val="en-CA"/>
        </w:rPr>
        <w:t xml:space="preserve"> 1</w:t>
      </w:r>
      <w:r w:rsidR="00041BA4" w:rsidRPr="003F141B">
        <w:rPr>
          <w:lang w:val="en-CA"/>
        </w:rPr>
        <w:t>0</w:t>
      </w:r>
      <w:r w:rsidRPr="003F141B">
        <w:rPr>
          <w:lang w:val="en-CA"/>
        </w:rPr>
        <w:t xml:space="preserve">(b) </w:t>
      </w:r>
      <w:r w:rsidRPr="003F141B">
        <w:rPr>
          <w:i/>
          <w:lang w:val="en-CA"/>
        </w:rPr>
        <w:t>Charter</w:t>
      </w:r>
      <w:r w:rsidRPr="003F141B">
        <w:rPr>
          <w:lang w:val="en-CA"/>
        </w:rPr>
        <w:t xml:space="preserve"> right.</w:t>
      </w:r>
    </w:p>
    <w:p w14:paraId="2D2E05B1" w14:textId="4B3DE79F" w:rsidR="009130CA" w:rsidRPr="003F141B" w:rsidRDefault="00117734" w:rsidP="009130CA">
      <w:pPr>
        <w:pStyle w:val="sous-titreengras"/>
        <w:numPr>
          <w:ilvl w:val="0"/>
          <w:numId w:val="31"/>
        </w:numPr>
        <w:rPr>
          <w:lang w:val="en-CA"/>
        </w:rPr>
      </w:pPr>
      <w:r>
        <w:rPr>
          <w:lang w:val="en-CA"/>
        </w:rPr>
        <w:t>E</w:t>
      </w:r>
      <w:r w:rsidR="0017217C" w:rsidRPr="003F141B">
        <w:rPr>
          <w:lang w:val="en-CA"/>
        </w:rPr>
        <w:t xml:space="preserve">xclusion of the evidence under s. 24(2) of the </w:t>
      </w:r>
      <w:r w:rsidR="0017217C" w:rsidRPr="003F141B">
        <w:rPr>
          <w:i/>
          <w:lang w:val="en-CA"/>
        </w:rPr>
        <w:t>Charter</w:t>
      </w:r>
    </w:p>
    <w:p w14:paraId="599D1245" w14:textId="5CA1CB7E" w:rsidR="009130CA" w:rsidRPr="003F141B" w:rsidRDefault="0017217C" w:rsidP="009130CA">
      <w:pPr>
        <w:pStyle w:val="Paragraphe"/>
        <w:spacing w:line="280" w:lineRule="exact"/>
        <w:rPr>
          <w:lang w:val="en-CA"/>
        </w:rPr>
      </w:pPr>
      <w:r w:rsidRPr="003F141B">
        <w:rPr>
          <w:lang w:val="en-CA"/>
        </w:rPr>
        <w:t>It is well established that</w:t>
      </w:r>
      <w:r w:rsidR="00041BA4" w:rsidRPr="003F141B">
        <w:rPr>
          <w:lang w:val="en-CA"/>
        </w:rPr>
        <w:t>,</w:t>
      </w:r>
      <w:r w:rsidRPr="003F141B">
        <w:rPr>
          <w:lang w:val="en-CA"/>
        </w:rPr>
        <w:t xml:space="preserve"> </w:t>
      </w:r>
      <w:r w:rsidR="00081775">
        <w:rPr>
          <w:lang w:val="en-CA"/>
        </w:rPr>
        <w:t>“</w:t>
      </w:r>
      <w:r w:rsidR="00041BA4" w:rsidRPr="003F141B">
        <w:rPr>
          <w:lang w:val="en-CA"/>
        </w:rPr>
        <w:t>[w]</w:t>
      </w:r>
      <w:r w:rsidRPr="003F141B">
        <w:rPr>
          <w:lang w:val="en-CA"/>
        </w:rPr>
        <w:t>here a trial judge has considered the proper factors and has not made any unreasonable finding, his or her determination is owed considerable deference on appellate review</w:t>
      </w:r>
      <w:r w:rsidR="00081775">
        <w:rPr>
          <w:lang w:val="en-CA"/>
        </w:rPr>
        <w:t>”</w:t>
      </w:r>
      <w:r w:rsidR="00041BA4" w:rsidRPr="003F141B">
        <w:rPr>
          <w:lang w:val="en-CA"/>
        </w:rPr>
        <w:t>:</w:t>
      </w:r>
      <w:r w:rsidR="005003D8" w:rsidRPr="003F141B">
        <w:rPr>
          <w:lang w:val="en-CA"/>
        </w:rPr>
        <w:t xml:space="preserve"> </w:t>
      </w:r>
      <w:r w:rsidRPr="003F141B">
        <w:rPr>
          <w:i/>
          <w:lang w:val="en-CA"/>
        </w:rPr>
        <w:t xml:space="preserve">R. </w:t>
      </w:r>
      <w:r w:rsidR="006B4BE0">
        <w:rPr>
          <w:i/>
          <w:lang w:val="en-CA"/>
        </w:rPr>
        <w:t>v</w:t>
      </w:r>
      <w:r w:rsidRPr="003F141B">
        <w:rPr>
          <w:i/>
          <w:lang w:val="en-CA"/>
        </w:rPr>
        <w:t>. Côté</w:t>
      </w:r>
      <w:r w:rsidRPr="003F141B">
        <w:rPr>
          <w:lang w:val="en-CA"/>
        </w:rPr>
        <w:t>, 2011 SCC 46, [2011] 3 S.C.R.</w:t>
      </w:r>
      <w:r w:rsidR="005003D8" w:rsidRPr="003F141B">
        <w:rPr>
          <w:lang w:val="en-CA"/>
        </w:rPr>
        <w:t> </w:t>
      </w:r>
      <w:r w:rsidRPr="003F141B">
        <w:rPr>
          <w:lang w:val="en-CA"/>
        </w:rPr>
        <w:t>215</w:t>
      </w:r>
      <w:r w:rsidR="005350F9">
        <w:rPr>
          <w:lang w:val="en-CA"/>
        </w:rPr>
        <w:t>,</w:t>
      </w:r>
      <w:r w:rsidRPr="003F141B">
        <w:rPr>
          <w:lang w:val="en-CA"/>
        </w:rPr>
        <w:t xml:space="preserve"> para.</w:t>
      </w:r>
      <w:r w:rsidR="005003D8" w:rsidRPr="003F141B">
        <w:rPr>
          <w:lang w:val="en-CA"/>
        </w:rPr>
        <w:t xml:space="preserve"> 44</w:t>
      </w:r>
      <w:r w:rsidR="00BE76B7">
        <w:rPr>
          <w:lang w:val="en-CA"/>
        </w:rPr>
        <w:t>, citing</w:t>
      </w:r>
      <w:r w:rsidRPr="003F141B">
        <w:rPr>
          <w:lang w:val="en-CA"/>
        </w:rPr>
        <w:t>:</w:t>
      </w:r>
      <w:r w:rsidR="005003D8" w:rsidRPr="003F141B">
        <w:rPr>
          <w:lang w:val="en-CA"/>
        </w:rPr>
        <w:t xml:space="preserve"> </w:t>
      </w:r>
      <w:r w:rsidRPr="003F141B">
        <w:rPr>
          <w:i/>
          <w:lang w:val="en-CA"/>
        </w:rPr>
        <w:t>R. c. Beaulieu</w:t>
      </w:r>
      <w:r w:rsidRPr="003F141B">
        <w:rPr>
          <w:lang w:val="en-CA"/>
        </w:rPr>
        <w:t>, 2010 SCC 7, [2010] 1 S.C.R.</w:t>
      </w:r>
      <w:r w:rsidR="005003D8" w:rsidRPr="003F141B">
        <w:rPr>
          <w:lang w:val="en-CA"/>
        </w:rPr>
        <w:t xml:space="preserve"> </w:t>
      </w:r>
      <w:r w:rsidRPr="003F141B">
        <w:rPr>
          <w:lang w:val="en-CA"/>
        </w:rPr>
        <w:t>248</w:t>
      </w:r>
      <w:r w:rsidR="00CA14EC">
        <w:rPr>
          <w:lang w:val="en-CA"/>
        </w:rPr>
        <w:t>,</w:t>
      </w:r>
      <w:r w:rsidRPr="003F141B">
        <w:rPr>
          <w:lang w:val="en-CA"/>
        </w:rPr>
        <w:t xml:space="preserve"> para.</w:t>
      </w:r>
      <w:r w:rsidR="005003D8" w:rsidRPr="003F141B">
        <w:rPr>
          <w:lang w:val="en-CA"/>
        </w:rPr>
        <w:t xml:space="preserve"> 5; </w:t>
      </w:r>
      <w:r w:rsidRPr="003F141B">
        <w:rPr>
          <w:i/>
          <w:lang w:val="en-CA"/>
        </w:rPr>
        <w:t>R. v.  Grant</w:t>
      </w:r>
      <w:r w:rsidRPr="003F141B">
        <w:rPr>
          <w:lang w:val="en-CA"/>
        </w:rPr>
        <w:t>, 2009 SCC 32, [2009] 2 S.C.R.</w:t>
      </w:r>
      <w:r w:rsidR="005003D8" w:rsidRPr="003F141B">
        <w:rPr>
          <w:lang w:val="en-CA"/>
        </w:rPr>
        <w:t xml:space="preserve"> </w:t>
      </w:r>
      <w:r w:rsidRPr="003F141B">
        <w:rPr>
          <w:lang w:val="en-CA"/>
        </w:rPr>
        <w:t>353</w:t>
      </w:r>
      <w:r w:rsidR="00CA14EC">
        <w:rPr>
          <w:lang w:val="en-CA"/>
        </w:rPr>
        <w:t>,</w:t>
      </w:r>
      <w:r w:rsidRPr="003F141B">
        <w:rPr>
          <w:lang w:val="en-CA"/>
        </w:rPr>
        <w:t xml:space="preserve"> para.</w:t>
      </w:r>
      <w:r w:rsidR="005003D8" w:rsidRPr="003F141B">
        <w:rPr>
          <w:lang w:val="en-CA"/>
        </w:rPr>
        <w:t> 86.</w:t>
      </w:r>
    </w:p>
    <w:p w14:paraId="79D2B907" w14:textId="683BAB8E" w:rsidR="009130CA" w:rsidRPr="003F141B" w:rsidRDefault="0017217C" w:rsidP="009130CA">
      <w:pPr>
        <w:pStyle w:val="Paragraphe"/>
        <w:spacing w:line="280" w:lineRule="exact"/>
        <w:rPr>
          <w:lang w:val="en-CA"/>
        </w:rPr>
      </w:pPr>
      <w:r w:rsidRPr="003F141B">
        <w:rPr>
          <w:lang w:val="en-CA"/>
        </w:rPr>
        <w:t>In my view, that is the case here.</w:t>
      </w:r>
      <w:r w:rsidR="005003D8" w:rsidRPr="003F141B">
        <w:rPr>
          <w:lang w:val="en-CA"/>
        </w:rPr>
        <w:t xml:space="preserve"> </w:t>
      </w:r>
      <w:r w:rsidRPr="003F141B">
        <w:rPr>
          <w:lang w:val="en-CA"/>
        </w:rPr>
        <w:t>The judge examined the correct factors</w:t>
      </w:r>
      <w:r w:rsidR="00041BA4" w:rsidRPr="003F141B">
        <w:rPr>
          <w:lang w:val="en-CA"/>
        </w:rPr>
        <w:t>,</w:t>
      </w:r>
      <w:r w:rsidRPr="003F141B">
        <w:rPr>
          <w:lang w:val="en-CA"/>
        </w:rPr>
        <w:t xml:space="preserve"> and her conclusions are not unreasonable.</w:t>
      </w:r>
      <w:r w:rsidR="005003D8" w:rsidRPr="003F141B">
        <w:rPr>
          <w:lang w:val="en-CA"/>
        </w:rPr>
        <w:t xml:space="preserve"> </w:t>
      </w:r>
      <w:r w:rsidRPr="003F141B">
        <w:rPr>
          <w:lang w:val="en-CA"/>
        </w:rPr>
        <w:t>Here again, the appellant did not establish an error of law.</w:t>
      </w:r>
    </w:p>
    <w:p w14:paraId="24114B30" w14:textId="763D9F72" w:rsidR="009130CA" w:rsidRPr="003F141B" w:rsidRDefault="0017217C" w:rsidP="009130CA">
      <w:pPr>
        <w:pStyle w:val="Paragraphe"/>
        <w:spacing w:line="280" w:lineRule="exact"/>
        <w:rPr>
          <w:lang w:val="en-CA" w:bidi="fr-FR"/>
        </w:rPr>
      </w:pPr>
      <w:r w:rsidRPr="003F141B">
        <w:rPr>
          <w:lang w:val="en-CA"/>
        </w:rPr>
        <w:t>In her assessment of the seriousness of the state</w:t>
      </w:r>
      <w:r w:rsidR="003061CC">
        <w:rPr>
          <w:lang w:val="en-CA"/>
        </w:rPr>
        <w:t>’</w:t>
      </w:r>
      <w:r w:rsidRPr="003F141B">
        <w:rPr>
          <w:lang w:val="en-CA"/>
        </w:rPr>
        <w:t xml:space="preserve">s infringing conduct, the judge correctly reiterated that the respondent </w:t>
      </w:r>
      <w:r w:rsidR="00A37A5B" w:rsidRPr="003F141B">
        <w:rPr>
          <w:rFonts w:cs="Arial"/>
          <w:lang w:val="en-CA"/>
        </w:rPr>
        <w:t>[</w:t>
      </w:r>
      <w:r w:rsidRPr="003F141B">
        <w:rPr>
          <w:smallCaps/>
          <w:lang w:val="en-CA"/>
        </w:rPr>
        <w:t>translation</w:t>
      </w:r>
      <w:r w:rsidR="00A37A5B" w:rsidRPr="003F141B">
        <w:rPr>
          <w:rFonts w:cs="Arial"/>
          <w:smallCaps/>
          <w:lang w:val="en-CA"/>
        </w:rPr>
        <w:t>]</w:t>
      </w:r>
      <w:r w:rsidRPr="003F141B">
        <w:rPr>
          <w:lang w:val="en-CA"/>
        </w:rPr>
        <w:t xml:space="preserve"> </w:t>
      </w:r>
      <w:r w:rsidR="00081775">
        <w:rPr>
          <w:lang w:val="en-CA"/>
        </w:rPr>
        <w:t>“</w:t>
      </w:r>
      <w:r w:rsidRPr="003F141B">
        <w:rPr>
          <w:lang w:val="en-CA"/>
        </w:rPr>
        <w:t xml:space="preserve">was detained, he was subject to the authority of the police officers, he could not </w:t>
      </w:r>
      <w:r w:rsidR="0000117C" w:rsidRPr="003F141B">
        <w:rPr>
          <w:lang w:val="en-CA"/>
        </w:rPr>
        <w:t xml:space="preserve">have done </w:t>
      </w:r>
      <w:r w:rsidRPr="003F141B">
        <w:rPr>
          <w:lang w:val="en-CA"/>
        </w:rPr>
        <w:t>the search himself</w:t>
      </w:r>
      <w:r w:rsidR="00081775">
        <w:rPr>
          <w:lang w:val="en-CA"/>
        </w:rPr>
        <w:t>”</w:t>
      </w:r>
      <w:r w:rsidR="00CD4F04">
        <w:rPr>
          <w:lang w:val="en-CA"/>
        </w:rPr>
        <w:t>.</w:t>
      </w:r>
      <w:r w:rsidR="005003D8" w:rsidRPr="003F141B">
        <w:rPr>
          <w:lang w:val="en-CA"/>
        </w:rPr>
        <w:t xml:space="preserve"> </w:t>
      </w:r>
      <w:r w:rsidRPr="003F141B">
        <w:rPr>
          <w:lang w:val="en-CA"/>
        </w:rPr>
        <w:t xml:space="preserve">This is a relevant consideration because </w:t>
      </w:r>
      <w:r w:rsidR="00147C72" w:rsidRPr="003F141B">
        <w:rPr>
          <w:lang w:val="en-CA"/>
        </w:rPr>
        <w:t>s.</w:t>
      </w:r>
      <w:r w:rsidRPr="003F141B">
        <w:rPr>
          <w:lang w:val="en-CA"/>
        </w:rPr>
        <w:t xml:space="preserve"> 10(b) of the </w:t>
      </w:r>
      <w:r w:rsidRPr="003F141B">
        <w:rPr>
          <w:i/>
          <w:lang w:val="en-CA"/>
        </w:rPr>
        <w:t>Charter</w:t>
      </w:r>
      <w:r w:rsidR="00C50869" w:rsidRPr="003F141B">
        <w:rPr>
          <w:lang w:val="en-CA"/>
        </w:rPr>
        <w:t xml:space="preserve"> is </w:t>
      </w:r>
      <w:r w:rsidR="00081775">
        <w:rPr>
          <w:lang w:val="en-CA"/>
        </w:rPr>
        <w:t>“</w:t>
      </w:r>
      <w:r w:rsidRPr="003F141B">
        <w:rPr>
          <w:lang w:val="en-CA"/>
        </w:rPr>
        <w:t xml:space="preserve">principally concerned with addressing the imbalance of power between the state and the </w:t>
      </w:r>
      <w:r w:rsidRPr="003F141B">
        <w:rPr>
          <w:rFonts w:cs="Arial"/>
          <w:lang w:val="en-CA"/>
        </w:rPr>
        <w:t>[</w:t>
      </w:r>
      <w:r w:rsidRPr="003F141B">
        <w:rPr>
          <w:lang w:val="en-CA"/>
        </w:rPr>
        <w:t>detained person</w:t>
      </w:r>
      <w:r w:rsidR="00C50869" w:rsidRPr="003F141B">
        <w:rPr>
          <w:rFonts w:cs="Arial"/>
          <w:lang w:val="en-CA"/>
        </w:rPr>
        <w:t>]</w:t>
      </w:r>
      <w:r w:rsidR="00081775">
        <w:rPr>
          <w:rFonts w:cs="Arial"/>
          <w:lang w:val="en-CA"/>
        </w:rPr>
        <w:t>”</w:t>
      </w:r>
      <w:r w:rsidR="0000117C" w:rsidRPr="003F141B">
        <w:rPr>
          <w:rFonts w:cs="Arial"/>
          <w:lang w:val="en-CA"/>
        </w:rPr>
        <w:t>:</w:t>
      </w:r>
      <w:r w:rsidRPr="003F141B">
        <w:rPr>
          <w:lang w:val="en-CA"/>
        </w:rPr>
        <w:t xml:space="preserve"> </w:t>
      </w:r>
      <w:r w:rsidRPr="003F141B">
        <w:rPr>
          <w:rFonts w:cs="Arial"/>
          <w:i/>
          <w:lang w:val="en-CA"/>
        </w:rPr>
        <w:t>R. v. Grant</w:t>
      </w:r>
      <w:r w:rsidR="00B3357B">
        <w:rPr>
          <w:rFonts w:cs="Arial"/>
          <w:lang w:val="en-CA"/>
        </w:rPr>
        <w:t>,</w:t>
      </w:r>
      <w:r w:rsidRPr="003F141B">
        <w:rPr>
          <w:rFonts w:cs="Arial"/>
          <w:lang w:val="en-CA"/>
        </w:rPr>
        <w:t xml:space="preserve"> para.</w:t>
      </w:r>
      <w:r w:rsidR="005003D8" w:rsidRPr="003F141B">
        <w:rPr>
          <w:lang w:val="en-CA"/>
        </w:rPr>
        <w:t> 22</w:t>
      </w:r>
      <w:r w:rsidR="0023089B">
        <w:rPr>
          <w:lang w:val="en-CA"/>
        </w:rPr>
        <w:t>;</w:t>
      </w:r>
      <w:r w:rsidR="005003D8" w:rsidRPr="003F141B">
        <w:rPr>
          <w:lang w:val="en-CA"/>
        </w:rPr>
        <w:t xml:space="preserve"> </w:t>
      </w:r>
      <w:r w:rsidR="005F6009">
        <w:rPr>
          <w:lang w:val="en-CA"/>
        </w:rPr>
        <w:t xml:space="preserve">with </w:t>
      </w:r>
      <w:r w:rsidRPr="003F141B">
        <w:rPr>
          <w:lang w:val="en-CA"/>
        </w:rPr>
        <w:t>mitigat</w:t>
      </w:r>
      <w:r w:rsidR="005F6009">
        <w:rPr>
          <w:lang w:val="en-CA"/>
        </w:rPr>
        <w:t>ing</w:t>
      </w:r>
      <w:r w:rsidRPr="003F141B">
        <w:rPr>
          <w:lang w:val="en-CA"/>
        </w:rPr>
        <w:t xml:space="preserve"> h</w:t>
      </w:r>
      <w:r w:rsidR="00C50869" w:rsidRPr="003F141B">
        <w:rPr>
          <w:lang w:val="en-CA"/>
        </w:rPr>
        <w:t xml:space="preserve">is or her </w:t>
      </w:r>
      <w:r w:rsidR="00081775">
        <w:rPr>
          <w:lang w:val="en-CA"/>
        </w:rPr>
        <w:t>“</w:t>
      </w:r>
      <w:r w:rsidR="00C50869" w:rsidRPr="003F141B">
        <w:rPr>
          <w:lang w:val="en-CA"/>
        </w:rPr>
        <w:t>legal vulnerability</w:t>
      </w:r>
      <w:r w:rsidR="00081775">
        <w:rPr>
          <w:lang w:val="en-CA"/>
        </w:rPr>
        <w:t>”</w:t>
      </w:r>
      <w:r w:rsidR="0000117C" w:rsidRPr="003F141B">
        <w:rPr>
          <w:lang w:val="en-CA"/>
        </w:rPr>
        <w:t>:</w:t>
      </w:r>
      <w:r w:rsidR="00C50869" w:rsidRPr="003F141B">
        <w:rPr>
          <w:lang w:val="en-CA"/>
        </w:rPr>
        <w:t xml:space="preserve"> </w:t>
      </w:r>
      <w:r w:rsidRPr="003F141B">
        <w:rPr>
          <w:i/>
          <w:lang w:val="en-CA"/>
        </w:rPr>
        <w:t>R. v. Willier</w:t>
      </w:r>
      <w:r w:rsidR="0023089B">
        <w:rPr>
          <w:lang w:val="en-CA"/>
        </w:rPr>
        <w:t>,</w:t>
      </w:r>
      <w:r w:rsidRPr="003F141B">
        <w:rPr>
          <w:lang w:val="en-CA"/>
        </w:rPr>
        <w:t xml:space="preserve"> para.</w:t>
      </w:r>
      <w:r w:rsidR="005003D8" w:rsidRPr="003F141B">
        <w:rPr>
          <w:lang w:val="en-CA"/>
        </w:rPr>
        <w:t xml:space="preserve"> 38. </w:t>
      </w:r>
      <w:r w:rsidRPr="003F141B">
        <w:rPr>
          <w:lang w:val="en-CA"/>
        </w:rPr>
        <w:t>When police officers do not take the necessary proactive steps to provide the detained person with access to his or her counsel of choice, they abuse thei</w:t>
      </w:r>
      <w:r w:rsidR="00C50869" w:rsidRPr="003F141B">
        <w:rPr>
          <w:lang w:val="en-CA"/>
        </w:rPr>
        <w:t>r dominant position</w:t>
      </w:r>
      <w:r w:rsidRPr="003F141B">
        <w:rPr>
          <w:lang w:val="en-CA"/>
        </w:rPr>
        <w:t xml:space="preserve"> and thwart the realization of the very purpose of this protection.</w:t>
      </w:r>
    </w:p>
    <w:p w14:paraId="467E3DD7" w14:textId="6843D947" w:rsidR="009130CA" w:rsidRPr="003F141B" w:rsidRDefault="0017217C" w:rsidP="009130CA">
      <w:pPr>
        <w:pStyle w:val="Paragraphe"/>
        <w:spacing w:line="280" w:lineRule="exact"/>
        <w:rPr>
          <w:lang w:val="en-CA"/>
        </w:rPr>
      </w:pPr>
      <w:r w:rsidRPr="003F141B">
        <w:rPr>
          <w:lang w:val="en-CA"/>
        </w:rPr>
        <w:t>The judge did not err with respect to the impact of the infringement on the respondent</w:t>
      </w:r>
      <w:r w:rsidR="003061CC">
        <w:rPr>
          <w:lang w:val="en-CA"/>
        </w:rPr>
        <w:t>’</w:t>
      </w:r>
      <w:r w:rsidRPr="003F141B">
        <w:rPr>
          <w:lang w:val="en-CA"/>
        </w:rPr>
        <w:t xml:space="preserve">s right in accepting that there had to be </w:t>
      </w:r>
      <w:r w:rsidRPr="003F141B">
        <w:rPr>
          <w:rFonts w:cs="Arial"/>
          <w:lang w:val="en-CA"/>
        </w:rPr>
        <w:t>[</w:t>
      </w:r>
      <w:r w:rsidRPr="003F141B">
        <w:rPr>
          <w:smallCaps/>
          <w:lang w:val="en-CA"/>
        </w:rPr>
        <w:t>translation</w:t>
      </w:r>
      <w:r w:rsidRPr="003F141B">
        <w:rPr>
          <w:rFonts w:cs="Arial"/>
          <w:smallCaps/>
          <w:lang w:val="en-CA"/>
        </w:rPr>
        <w:t>]</w:t>
      </w:r>
      <w:r w:rsidRPr="003F141B">
        <w:rPr>
          <w:lang w:val="en-CA"/>
        </w:rPr>
        <w:t xml:space="preserve"> </w:t>
      </w:r>
      <w:r w:rsidR="00081775">
        <w:rPr>
          <w:lang w:val="en-CA"/>
        </w:rPr>
        <w:t>“</w:t>
      </w:r>
      <w:r w:rsidRPr="003F141B">
        <w:rPr>
          <w:lang w:val="en-CA"/>
        </w:rPr>
        <w:t xml:space="preserve">a </w:t>
      </w:r>
      <w:r w:rsidR="00BD7E76" w:rsidRPr="003F141B">
        <w:rPr>
          <w:lang w:val="en-CA"/>
        </w:rPr>
        <w:t xml:space="preserve">certain </w:t>
      </w:r>
      <w:r w:rsidRPr="003F141B">
        <w:rPr>
          <w:lang w:val="en-CA"/>
        </w:rPr>
        <w:t>relationship of trust</w:t>
      </w:r>
      <w:r w:rsidR="00081775">
        <w:rPr>
          <w:lang w:val="en-CA"/>
        </w:rPr>
        <w:t>”</w:t>
      </w:r>
      <w:r w:rsidRPr="003F141B">
        <w:rPr>
          <w:lang w:val="en-CA"/>
        </w:rPr>
        <w:t xml:space="preserve"> between the respondent and his lawyers.</w:t>
      </w:r>
      <w:r w:rsidR="005003D8" w:rsidRPr="003F141B">
        <w:rPr>
          <w:lang w:val="en-CA"/>
        </w:rPr>
        <w:t xml:space="preserve"> </w:t>
      </w:r>
      <w:r w:rsidRPr="003F141B">
        <w:rPr>
          <w:lang w:val="en-CA"/>
        </w:rPr>
        <w:t>The evidence establishes that</w:t>
      </w:r>
      <w:r w:rsidR="00BD7E76" w:rsidRPr="003F141B">
        <w:rPr>
          <w:lang w:val="en-CA"/>
        </w:rPr>
        <w:t>,</w:t>
      </w:r>
      <w:r w:rsidRPr="003F141B">
        <w:rPr>
          <w:lang w:val="en-CA"/>
        </w:rPr>
        <w:t xml:space="preserve"> </w:t>
      </w:r>
      <w:r w:rsidR="00C50869" w:rsidRPr="003F141B">
        <w:rPr>
          <w:lang w:val="en-CA"/>
        </w:rPr>
        <w:t>upon arrival at the police station</w:t>
      </w:r>
      <w:r w:rsidR="00BD7E76" w:rsidRPr="003F141B">
        <w:rPr>
          <w:lang w:val="en-CA"/>
        </w:rPr>
        <w:t>,</w:t>
      </w:r>
      <w:r w:rsidR="00C50869" w:rsidRPr="003F141B">
        <w:rPr>
          <w:lang w:val="en-CA"/>
        </w:rPr>
        <w:t xml:space="preserve"> </w:t>
      </w:r>
      <w:r w:rsidRPr="003F141B">
        <w:rPr>
          <w:lang w:val="en-CA"/>
        </w:rPr>
        <w:t xml:space="preserve">the </w:t>
      </w:r>
      <w:r w:rsidR="00C50869" w:rsidRPr="003F141B">
        <w:rPr>
          <w:lang w:val="en-CA"/>
        </w:rPr>
        <w:t xml:space="preserve">respondent </w:t>
      </w:r>
      <w:r w:rsidRPr="003F141B">
        <w:rPr>
          <w:lang w:val="en-CA"/>
        </w:rPr>
        <w:t xml:space="preserve">asked to contact </w:t>
      </w:r>
      <w:proofErr w:type="spellStart"/>
      <w:r w:rsidRPr="003F141B">
        <w:rPr>
          <w:lang w:val="en-CA"/>
        </w:rPr>
        <w:t>Mtre</w:t>
      </w:r>
      <w:proofErr w:type="spellEnd"/>
      <w:r w:rsidRPr="003F141B">
        <w:rPr>
          <w:lang w:val="en-CA"/>
        </w:rPr>
        <w:t xml:space="preserve"> </w:t>
      </w:r>
      <w:proofErr w:type="spellStart"/>
      <w:r w:rsidRPr="003F141B">
        <w:rPr>
          <w:lang w:val="en-CA"/>
        </w:rPr>
        <w:t>Boulianne</w:t>
      </w:r>
      <w:proofErr w:type="spellEnd"/>
      <w:r w:rsidRPr="003F141B">
        <w:rPr>
          <w:lang w:val="en-CA"/>
        </w:rPr>
        <w:t xml:space="preserve"> or </w:t>
      </w:r>
      <w:proofErr w:type="spellStart"/>
      <w:r w:rsidRPr="003F141B">
        <w:rPr>
          <w:lang w:val="en-CA"/>
        </w:rPr>
        <w:t>Mtre</w:t>
      </w:r>
      <w:proofErr w:type="spellEnd"/>
      <w:r w:rsidR="002478FC">
        <w:rPr>
          <w:lang w:val="en-CA"/>
        </w:rPr>
        <w:t> </w:t>
      </w:r>
      <w:proofErr w:type="spellStart"/>
      <w:r w:rsidRPr="003F141B">
        <w:rPr>
          <w:lang w:val="en-CA"/>
        </w:rPr>
        <w:t>Cantin</w:t>
      </w:r>
      <w:proofErr w:type="spellEnd"/>
      <w:r w:rsidRPr="003F141B">
        <w:rPr>
          <w:lang w:val="en-CA"/>
        </w:rPr>
        <w:t>.</w:t>
      </w:r>
      <w:r w:rsidR="005003D8" w:rsidRPr="003F141B">
        <w:rPr>
          <w:lang w:val="en-CA"/>
        </w:rPr>
        <w:t xml:space="preserve"> </w:t>
      </w:r>
      <w:r w:rsidRPr="003F141B">
        <w:rPr>
          <w:lang w:val="en-CA"/>
        </w:rPr>
        <w:t xml:space="preserve">In addition, the </w:t>
      </w:r>
      <w:r w:rsidR="00BD7E76" w:rsidRPr="003F141B">
        <w:rPr>
          <w:lang w:val="en-CA"/>
        </w:rPr>
        <w:t xml:space="preserve">application </w:t>
      </w:r>
      <w:r w:rsidR="00C50869" w:rsidRPr="003F141B">
        <w:rPr>
          <w:lang w:val="en-CA"/>
        </w:rPr>
        <w:t>to exclude</w:t>
      </w:r>
      <w:r w:rsidRPr="003F141B">
        <w:rPr>
          <w:lang w:val="en-CA"/>
        </w:rPr>
        <w:t xml:space="preserve"> the evidence, supported by </w:t>
      </w:r>
      <w:proofErr w:type="spellStart"/>
      <w:r w:rsidRPr="003F141B">
        <w:rPr>
          <w:lang w:val="en-CA"/>
        </w:rPr>
        <w:t>Mtre</w:t>
      </w:r>
      <w:proofErr w:type="spellEnd"/>
      <w:r w:rsidR="004F17AE">
        <w:rPr>
          <w:lang w:val="en-CA"/>
        </w:rPr>
        <w:t> </w:t>
      </w:r>
      <w:proofErr w:type="spellStart"/>
      <w:r w:rsidRPr="003F141B">
        <w:rPr>
          <w:lang w:val="en-CA"/>
        </w:rPr>
        <w:t>Boulianne</w:t>
      </w:r>
      <w:r w:rsidR="003061CC">
        <w:rPr>
          <w:lang w:val="en-CA"/>
        </w:rPr>
        <w:t>’</w:t>
      </w:r>
      <w:r w:rsidRPr="003F141B">
        <w:rPr>
          <w:lang w:val="en-CA"/>
        </w:rPr>
        <w:t>s</w:t>
      </w:r>
      <w:proofErr w:type="spellEnd"/>
      <w:r w:rsidRPr="003F141B">
        <w:rPr>
          <w:lang w:val="en-CA"/>
        </w:rPr>
        <w:t xml:space="preserve"> </w:t>
      </w:r>
      <w:r w:rsidR="000E3070">
        <w:rPr>
          <w:lang w:val="en-CA"/>
        </w:rPr>
        <w:t>affidavit</w:t>
      </w:r>
      <w:r w:rsidRPr="003F141B">
        <w:rPr>
          <w:lang w:val="en-CA"/>
        </w:rPr>
        <w:t xml:space="preserve">, establishes that </w:t>
      </w:r>
      <w:proofErr w:type="spellStart"/>
      <w:r w:rsidR="00BE76B7" w:rsidRPr="003F141B">
        <w:rPr>
          <w:lang w:val="en-CA"/>
        </w:rPr>
        <w:t>Mtre</w:t>
      </w:r>
      <w:proofErr w:type="spellEnd"/>
      <w:r w:rsidR="00BE76B7" w:rsidRPr="003F141B">
        <w:rPr>
          <w:lang w:val="en-CA"/>
        </w:rPr>
        <w:t xml:space="preserve"> </w:t>
      </w:r>
      <w:proofErr w:type="spellStart"/>
      <w:r w:rsidR="00BE76B7" w:rsidRPr="003F141B">
        <w:rPr>
          <w:lang w:val="en-CA"/>
        </w:rPr>
        <w:t>Boulianne</w:t>
      </w:r>
      <w:proofErr w:type="spellEnd"/>
      <w:r w:rsidR="00BE76B7" w:rsidRPr="003F141B">
        <w:rPr>
          <w:lang w:val="en-CA"/>
        </w:rPr>
        <w:t xml:space="preserve"> had represented the respondent</w:t>
      </w:r>
      <w:r w:rsidRPr="003F141B">
        <w:rPr>
          <w:lang w:val="en-CA"/>
        </w:rPr>
        <w:t xml:space="preserve"> for several years.</w:t>
      </w:r>
    </w:p>
    <w:p w14:paraId="74172CEE" w14:textId="1CCE4947" w:rsidR="009130CA" w:rsidRPr="003F141B" w:rsidRDefault="0017217C" w:rsidP="009130CA">
      <w:pPr>
        <w:pStyle w:val="Paragraphe"/>
        <w:spacing w:line="280" w:lineRule="exact"/>
        <w:rPr>
          <w:lang w:val="en-CA"/>
        </w:rPr>
      </w:pPr>
      <w:r w:rsidRPr="003F141B">
        <w:rPr>
          <w:lang w:val="en-CA"/>
        </w:rPr>
        <w:lastRenderedPageBreak/>
        <w:t xml:space="preserve">That </w:t>
      </w:r>
      <w:r w:rsidR="00C50869" w:rsidRPr="003F141B">
        <w:rPr>
          <w:lang w:val="en-CA"/>
        </w:rPr>
        <w:t>relationship</w:t>
      </w:r>
      <w:r w:rsidRPr="003F141B">
        <w:rPr>
          <w:lang w:val="en-CA"/>
        </w:rPr>
        <w:t xml:space="preserve"> of trust is the raison d</w:t>
      </w:r>
      <w:r w:rsidR="003061CC">
        <w:rPr>
          <w:lang w:val="en-CA"/>
        </w:rPr>
        <w:t>’</w:t>
      </w:r>
      <w:r w:rsidRPr="003F141B">
        <w:rPr>
          <w:lang w:val="en-CA"/>
        </w:rPr>
        <w:t xml:space="preserve">être of the right to retain </w:t>
      </w:r>
      <w:r w:rsidR="00BD7E76" w:rsidRPr="003F141B">
        <w:rPr>
          <w:lang w:val="en-CA"/>
        </w:rPr>
        <w:t xml:space="preserve">and instruct </w:t>
      </w:r>
      <w:r w:rsidRPr="003F141B">
        <w:rPr>
          <w:lang w:val="en-CA"/>
        </w:rPr>
        <w:t>counsel of choice, and the judge had to take it into account.</w:t>
      </w:r>
      <w:r w:rsidR="005003D8" w:rsidRPr="003F141B">
        <w:rPr>
          <w:lang w:val="en-CA"/>
        </w:rPr>
        <w:t xml:space="preserve"> </w:t>
      </w:r>
      <w:r w:rsidRPr="003F141B">
        <w:rPr>
          <w:lang w:val="en-CA"/>
        </w:rPr>
        <w:t>As Cournoyer</w:t>
      </w:r>
      <w:r w:rsidR="00B35BBE" w:rsidRPr="003F141B">
        <w:rPr>
          <w:lang w:val="en-CA"/>
        </w:rPr>
        <w:t>,</w:t>
      </w:r>
      <w:r w:rsidRPr="003F141B">
        <w:rPr>
          <w:lang w:val="en-CA"/>
        </w:rPr>
        <w:t xml:space="preserve"> J.</w:t>
      </w:r>
      <w:r w:rsidR="00C50869" w:rsidRPr="003F141B">
        <w:rPr>
          <w:lang w:val="en-CA"/>
        </w:rPr>
        <w:t>A.</w:t>
      </w:r>
      <w:r w:rsidRPr="003F141B">
        <w:rPr>
          <w:lang w:val="en-CA"/>
        </w:rPr>
        <w:t xml:space="preserve">, then of the Superior Court, wrote in </w:t>
      </w:r>
      <w:r w:rsidRPr="003F141B">
        <w:rPr>
          <w:i/>
          <w:lang w:val="en-CA"/>
        </w:rPr>
        <w:t>R. c. Lefebvre</w:t>
      </w:r>
      <w:r w:rsidRPr="003F141B">
        <w:rPr>
          <w:lang w:val="en-CA"/>
        </w:rPr>
        <w:t>, 2018 QCCS 4468:</w:t>
      </w:r>
    </w:p>
    <w:p w14:paraId="794A2437" w14:textId="5D60B91E" w:rsidR="0017217C" w:rsidRPr="003F141B" w:rsidRDefault="0017217C" w:rsidP="009130CA">
      <w:pPr>
        <w:pStyle w:val="Citationenretrait"/>
        <w:rPr>
          <w:lang w:val="en-CA"/>
        </w:rPr>
      </w:pPr>
      <w:r w:rsidRPr="003F141B">
        <w:rPr>
          <w:rFonts w:cs="Arial"/>
          <w:smallCaps/>
          <w:lang w:val="en-CA"/>
        </w:rPr>
        <w:t>[</w:t>
      </w:r>
      <w:r w:rsidRPr="003F141B">
        <w:rPr>
          <w:smallCaps/>
          <w:lang w:val="en-CA"/>
        </w:rPr>
        <w:t>translation</w:t>
      </w:r>
      <w:r w:rsidRPr="003F141B">
        <w:rPr>
          <w:rFonts w:cs="Arial"/>
          <w:smallCaps/>
          <w:lang w:val="en-CA"/>
        </w:rPr>
        <w:t>]</w:t>
      </w:r>
    </w:p>
    <w:p w14:paraId="38239FC5" w14:textId="1669B89B" w:rsidR="009130CA" w:rsidRPr="003F141B" w:rsidRDefault="0017217C" w:rsidP="009130CA">
      <w:pPr>
        <w:pStyle w:val="Citationenretrait"/>
        <w:rPr>
          <w:lang w:val="en-CA"/>
        </w:rPr>
      </w:pPr>
      <w:r w:rsidRPr="003F141B">
        <w:rPr>
          <w:lang w:val="en-CA"/>
        </w:rPr>
        <w:t>[307]</w:t>
      </w:r>
      <w:r w:rsidR="00C50869" w:rsidRPr="003F141B">
        <w:rPr>
          <w:lang w:val="en-CA"/>
        </w:rPr>
        <w:t> Canadian</w:t>
      </w:r>
      <w:r w:rsidRPr="003F141B">
        <w:rPr>
          <w:lang w:val="en-CA"/>
        </w:rPr>
        <w:t xml:space="preserve"> constitutional law therefore recognizes the right of </w:t>
      </w:r>
      <w:r w:rsidR="00BD7E76" w:rsidRPr="003F141B">
        <w:rPr>
          <w:lang w:val="en-CA"/>
        </w:rPr>
        <w:t xml:space="preserve">a </w:t>
      </w:r>
      <w:r w:rsidRPr="003F141B">
        <w:rPr>
          <w:lang w:val="en-CA"/>
        </w:rPr>
        <w:t>detained person to consult a lawyer whom he or she trusts</w:t>
      </w:r>
      <w:r w:rsidR="00BD7E76" w:rsidRPr="003F141B">
        <w:rPr>
          <w:lang w:val="en-CA"/>
        </w:rPr>
        <w:t>,</w:t>
      </w:r>
      <w:r w:rsidRPr="003F141B">
        <w:rPr>
          <w:lang w:val="en-CA"/>
        </w:rPr>
        <w:t xml:space="preserve"> not just any lawyer. </w:t>
      </w:r>
    </w:p>
    <w:p w14:paraId="49B52567" w14:textId="33E4C965" w:rsidR="009130CA" w:rsidRPr="003F141B" w:rsidRDefault="0017217C" w:rsidP="009130CA">
      <w:pPr>
        <w:pStyle w:val="Citationenretrait"/>
        <w:rPr>
          <w:lang w:val="en-CA"/>
        </w:rPr>
      </w:pPr>
      <w:r w:rsidRPr="003F141B">
        <w:rPr>
          <w:lang w:val="en-CA"/>
        </w:rPr>
        <w:t xml:space="preserve">[308]  Any analysis of the consequences of an infringement of this right and the impact of such a breach under s. 24(2) of the </w:t>
      </w:r>
      <w:r w:rsidRPr="003F141B">
        <w:rPr>
          <w:i/>
          <w:lang w:val="en-CA"/>
        </w:rPr>
        <w:t>Charter</w:t>
      </w:r>
      <w:r w:rsidRPr="003F141B">
        <w:rPr>
          <w:lang w:val="en-CA"/>
        </w:rPr>
        <w:t xml:space="preserve"> must take into account the raison d</w:t>
      </w:r>
      <w:r w:rsidR="003061CC">
        <w:rPr>
          <w:lang w:val="en-CA"/>
        </w:rPr>
        <w:t>’</w:t>
      </w:r>
      <w:r w:rsidRPr="003F141B">
        <w:rPr>
          <w:lang w:val="en-CA"/>
        </w:rPr>
        <w:t>être of the right to retain and instruct counsel of one</w:t>
      </w:r>
      <w:r w:rsidR="003061CC">
        <w:rPr>
          <w:lang w:val="en-CA"/>
        </w:rPr>
        <w:t>’</w:t>
      </w:r>
      <w:r w:rsidRPr="003F141B">
        <w:rPr>
          <w:lang w:val="en-CA"/>
        </w:rPr>
        <w:t>s choice, namely, the relationship of trust that underlies consultation with counsel of one</w:t>
      </w:r>
      <w:r w:rsidR="003061CC">
        <w:rPr>
          <w:lang w:val="en-CA"/>
        </w:rPr>
        <w:t>’</w:t>
      </w:r>
      <w:r w:rsidRPr="003F141B">
        <w:rPr>
          <w:lang w:val="en-CA"/>
        </w:rPr>
        <w:t>s choice.</w:t>
      </w:r>
    </w:p>
    <w:p w14:paraId="4568BC48" w14:textId="66236E27" w:rsidR="009130CA" w:rsidRPr="003F141B" w:rsidRDefault="0017217C" w:rsidP="009130CA">
      <w:pPr>
        <w:pStyle w:val="Paragraphe"/>
        <w:spacing w:line="280" w:lineRule="exact"/>
        <w:rPr>
          <w:lang w:val="en-CA"/>
        </w:rPr>
      </w:pPr>
      <w:r w:rsidRPr="003F141B">
        <w:rPr>
          <w:lang w:val="en-CA"/>
        </w:rPr>
        <w:t>Last</w:t>
      </w:r>
      <w:r w:rsidR="00F13789">
        <w:rPr>
          <w:lang w:val="en-CA"/>
        </w:rPr>
        <w:t>ly</w:t>
      </w:r>
      <w:r w:rsidRPr="003F141B">
        <w:rPr>
          <w:lang w:val="en-CA"/>
        </w:rPr>
        <w:t xml:space="preserve">, the judge noted the </w:t>
      </w:r>
      <w:r w:rsidRPr="003F141B">
        <w:rPr>
          <w:rFonts w:cs="Arial"/>
          <w:lang w:val="en-CA"/>
        </w:rPr>
        <w:t>[</w:t>
      </w:r>
      <w:r w:rsidRPr="003F141B">
        <w:rPr>
          <w:smallCaps/>
          <w:lang w:val="en-CA"/>
        </w:rPr>
        <w:t>translation</w:t>
      </w:r>
      <w:r w:rsidRPr="003F141B">
        <w:rPr>
          <w:rFonts w:cs="Arial"/>
          <w:smallCaps/>
          <w:lang w:val="en-CA"/>
        </w:rPr>
        <w:t>]</w:t>
      </w:r>
      <w:r w:rsidRPr="003F141B">
        <w:rPr>
          <w:lang w:val="en-CA"/>
        </w:rPr>
        <w:t xml:space="preserve"> </w:t>
      </w:r>
      <w:r w:rsidR="00081775">
        <w:rPr>
          <w:lang w:val="en-CA"/>
        </w:rPr>
        <w:t>“</w:t>
      </w:r>
      <w:r w:rsidRPr="003F141B">
        <w:rPr>
          <w:lang w:val="en-CA"/>
        </w:rPr>
        <w:t xml:space="preserve">social </w:t>
      </w:r>
      <w:r w:rsidR="00BD7E76" w:rsidRPr="003F141B">
        <w:rPr>
          <w:lang w:val="en-CA"/>
        </w:rPr>
        <w:t>evil</w:t>
      </w:r>
      <w:r w:rsidR="00081775">
        <w:rPr>
          <w:lang w:val="en-CA"/>
        </w:rPr>
        <w:t>”</w:t>
      </w:r>
      <w:r w:rsidRPr="003F141B">
        <w:rPr>
          <w:lang w:val="en-CA"/>
        </w:rPr>
        <w:t xml:space="preserve"> of impaired driving offences and recognized society</w:t>
      </w:r>
      <w:r w:rsidR="003061CC">
        <w:rPr>
          <w:lang w:val="en-CA"/>
        </w:rPr>
        <w:t>’</w:t>
      </w:r>
      <w:r w:rsidRPr="003F141B">
        <w:rPr>
          <w:lang w:val="en-CA"/>
        </w:rPr>
        <w:t>s interest in the case being tried on the merits.</w:t>
      </w:r>
      <w:r w:rsidR="005003D8" w:rsidRPr="003F141B">
        <w:rPr>
          <w:lang w:val="en-CA"/>
        </w:rPr>
        <w:t xml:space="preserve"> </w:t>
      </w:r>
      <w:r w:rsidRPr="003F141B">
        <w:rPr>
          <w:lang w:val="en-CA"/>
        </w:rPr>
        <w:t>On balance, she found that the</w:t>
      </w:r>
      <w:r w:rsidR="00397463" w:rsidRPr="003F141B">
        <w:rPr>
          <w:lang w:val="en-CA"/>
        </w:rPr>
        <w:t xml:space="preserve"> [</w:t>
      </w:r>
      <w:r w:rsidR="00397463" w:rsidRPr="003F141B">
        <w:rPr>
          <w:smallCaps/>
          <w:lang w:val="en-CA"/>
        </w:rPr>
        <w:t>translation</w:t>
      </w:r>
      <w:r w:rsidR="00397463" w:rsidRPr="003F141B">
        <w:rPr>
          <w:lang w:val="en-CA"/>
        </w:rPr>
        <w:t>]</w:t>
      </w:r>
      <w:r w:rsidRPr="003F141B">
        <w:rPr>
          <w:lang w:val="en-CA"/>
        </w:rPr>
        <w:t xml:space="preserve"> </w:t>
      </w:r>
      <w:r w:rsidR="00081775">
        <w:rPr>
          <w:lang w:val="en-CA"/>
        </w:rPr>
        <w:t>“</w:t>
      </w:r>
      <w:r w:rsidRPr="003F141B">
        <w:rPr>
          <w:lang w:val="en-CA"/>
        </w:rPr>
        <w:t>unacceptable</w:t>
      </w:r>
      <w:r w:rsidR="00081775">
        <w:rPr>
          <w:lang w:val="en-CA"/>
        </w:rPr>
        <w:t>”</w:t>
      </w:r>
      <w:r w:rsidRPr="003F141B">
        <w:rPr>
          <w:lang w:val="en-CA"/>
        </w:rPr>
        <w:t xml:space="preserve"> conduct of the police officers must </w:t>
      </w:r>
      <w:r w:rsidR="00397463" w:rsidRPr="003F141B">
        <w:rPr>
          <w:lang w:val="en-CA"/>
        </w:rPr>
        <w:t xml:space="preserve">take precedence, </w:t>
      </w:r>
      <w:r w:rsidRPr="003F141B">
        <w:rPr>
          <w:lang w:val="en-CA"/>
        </w:rPr>
        <w:t>in spite of their good faith.</w:t>
      </w:r>
    </w:p>
    <w:p w14:paraId="5E0BE428" w14:textId="4F396E89" w:rsidR="009130CA" w:rsidRPr="003F141B" w:rsidRDefault="0017217C" w:rsidP="009130CA">
      <w:pPr>
        <w:pStyle w:val="Paragraphe"/>
        <w:spacing w:line="280" w:lineRule="exact"/>
        <w:rPr>
          <w:lang w:val="en-CA"/>
        </w:rPr>
      </w:pPr>
      <w:r w:rsidRPr="003F141B">
        <w:rPr>
          <w:lang w:val="en-CA"/>
        </w:rPr>
        <w:t xml:space="preserve">In this regard, good faith </w:t>
      </w:r>
      <w:r w:rsidR="00C50869" w:rsidRPr="003F141B">
        <w:rPr>
          <w:lang w:val="en-CA"/>
        </w:rPr>
        <w:t xml:space="preserve">must not be confused </w:t>
      </w:r>
      <w:r w:rsidRPr="003F141B">
        <w:rPr>
          <w:lang w:val="en-CA"/>
        </w:rPr>
        <w:t>with negligence or ignorance of the law:</w:t>
      </w:r>
      <w:r w:rsidR="005003D8" w:rsidRPr="003F141B">
        <w:rPr>
          <w:lang w:val="en-CA"/>
        </w:rPr>
        <w:t xml:space="preserve"> </w:t>
      </w:r>
      <w:r w:rsidRPr="003F141B">
        <w:rPr>
          <w:i/>
          <w:lang w:val="en-CA"/>
        </w:rPr>
        <w:t>R. c. Lévesque-</w:t>
      </w:r>
      <w:proofErr w:type="spellStart"/>
      <w:r w:rsidRPr="003F141B">
        <w:rPr>
          <w:i/>
          <w:lang w:val="en-CA"/>
        </w:rPr>
        <w:t>Mandanici</w:t>
      </w:r>
      <w:proofErr w:type="spellEnd"/>
      <w:r w:rsidRPr="003F141B">
        <w:rPr>
          <w:lang w:val="en-CA"/>
        </w:rPr>
        <w:t>, 2014 QCCA 1517</w:t>
      </w:r>
      <w:r w:rsidR="00F13789">
        <w:rPr>
          <w:lang w:val="en-CA"/>
        </w:rPr>
        <w:t>,</w:t>
      </w:r>
      <w:r w:rsidRPr="003F141B">
        <w:rPr>
          <w:lang w:val="en-CA"/>
        </w:rPr>
        <w:t xml:space="preserve"> </w:t>
      </w:r>
      <w:r w:rsidR="00BE76B7" w:rsidRPr="003F141B">
        <w:rPr>
          <w:lang w:val="en-CA"/>
        </w:rPr>
        <w:t>para</w:t>
      </w:r>
      <w:r w:rsidRPr="003F141B">
        <w:rPr>
          <w:lang w:val="en-CA"/>
        </w:rPr>
        <w:t>.</w:t>
      </w:r>
      <w:r w:rsidR="005003D8" w:rsidRPr="003F141B">
        <w:rPr>
          <w:lang w:val="en-CA"/>
        </w:rPr>
        <w:t xml:space="preserve"> 83. </w:t>
      </w:r>
      <w:r w:rsidRPr="003F141B">
        <w:rPr>
          <w:lang w:val="en-CA"/>
        </w:rPr>
        <w:t>The good faith (or the absence of bad faith) of the police officers does not diminish the seriousness of their conduct whe</w:t>
      </w:r>
      <w:r w:rsidR="00BB4DA7" w:rsidRPr="003F141B">
        <w:rPr>
          <w:lang w:val="en-CA"/>
        </w:rPr>
        <w:t xml:space="preserve">re it results from their ignorance </w:t>
      </w:r>
      <w:r w:rsidRPr="003F141B">
        <w:rPr>
          <w:lang w:val="en-CA"/>
        </w:rPr>
        <w:t xml:space="preserve">of the state of the law or </w:t>
      </w:r>
      <w:r w:rsidR="00081775">
        <w:rPr>
          <w:lang w:val="en-CA"/>
        </w:rPr>
        <w:t>“</w:t>
      </w:r>
      <w:r w:rsidRPr="003F141B">
        <w:rPr>
          <w:lang w:val="en-CA"/>
        </w:rPr>
        <w:t>clear violations of well-established rules</w:t>
      </w:r>
      <w:r w:rsidR="00081775">
        <w:rPr>
          <w:lang w:val="en-CA"/>
        </w:rPr>
        <w:t>”</w:t>
      </w:r>
      <w:r w:rsidRPr="003F141B">
        <w:rPr>
          <w:lang w:val="en-CA"/>
        </w:rPr>
        <w:t>:</w:t>
      </w:r>
      <w:r w:rsidR="005003D8" w:rsidRPr="003F141B">
        <w:rPr>
          <w:lang w:val="en-CA"/>
        </w:rPr>
        <w:t xml:space="preserve"> </w:t>
      </w:r>
      <w:r w:rsidRPr="003F141B">
        <w:rPr>
          <w:i/>
          <w:lang w:val="en-CA"/>
        </w:rPr>
        <w:t xml:space="preserve"> R. v. Paterson</w:t>
      </w:r>
      <w:r w:rsidRPr="003F141B">
        <w:rPr>
          <w:lang w:val="en-CA"/>
        </w:rPr>
        <w:t>, 2017 SCC 15, [2017] 1 S.C.R. 202</w:t>
      </w:r>
      <w:r w:rsidR="00F13789">
        <w:rPr>
          <w:lang w:val="en-CA"/>
        </w:rPr>
        <w:t>,</w:t>
      </w:r>
      <w:r w:rsidRPr="003F141B">
        <w:rPr>
          <w:lang w:val="en-CA"/>
        </w:rPr>
        <w:t xml:space="preserve"> para. </w:t>
      </w:r>
      <w:r w:rsidR="005003D8" w:rsidRPr="003F141B">
        <w:rPr>
          <w:lang w:val="en-CA"/>
        </w:rPr>
        <w:t xml:space="preserve">44. </w:t>
      </w:r>
      <w:r w:rsidRPr="003F141B">
        <w:rPr>
          <w:lang w:val="en-CA"/>
        </w:rPr>
        <w:t>I cite again Cournoyer</w:t>
      </w:r>
      <w:r w:rsidR="0097639F" w:rsidRPr="003F141B">
        <w:rPr>
          <w:lang w:val="en-CA"/>
        </w:rPr>
        <w:t xml:space="preserve">, J.S.C., now of the Court of Appeal, </w:t>
      </w:r>
      <w:r w:rsidRPr="003F141B">
        <w:rPr>
          <w:lang w:val="en-CA"/>
        </w:rPr>
        <w:t xml:space="preserve">in </w:t>
      </w:r>
      <w:r w:rsidRPr="003F141B">
        <w:rPr>
          <w:i/>
          <w:lang w:val="en-CA"/>
        </w:rPr>
        <w:t>R. c. Lefebvre</w:t>
      </w:r>
      <w:r w:rsidRPr="003F141B">
        <w:rPr>
          <w:lang w:val="en-CA"/>
        </w:rPr>
        <w:t>:</w:t>
      </w:r>
    </w:p>
    <w:p w14:paraId="5A800632" w14:textId="6EA17BB5" w:rsidR="00BB4DA7" w:rsidRPr="003F141B" w:rsidRDefault="00BB4DA7" w:rsidP="00BB4DA7">
      <w:pPr>
        <w:pStyle w:val="Paragraphe"/>
        <w:numPr>
          <w:ilvl w:val="0"/>
          <w:numId w:val="0"/>
        </w:numPr>
        <w:spacing w:line="280" w:lineRule="exact"/>
        <w:ind w:firstLine="720"/>
        <w:rPr>
          <w:lang w:val="en-CA"/>
        </w:rPr>
      </w:pPr>
      <w:r w:rsidRPr="003F141B">
        <w:rPr>
          <w:rFonts w:cs="Arial"/>
          <w:lang w:val="en-CA"/>
        </w:rPr>
        <w:t>[</w:t>
      </w:r>
      <w:r w:rsidRPr="003F141B">
        <w:rPr>
          <w:smallCaps/>
          <w:lang w:val="en-CA"/>
        </w:rPr>
        <w:t>translation</w:t>
      </w:r>
      <w:r w:rsidRPr="003F141B">
        <w:rPr>
          <w:rFonts w:cs="Arial"/>
          <w:lang w:val="en-CA"/>
        </w:rPr>
        <w:t>]</w:t>
      </w:r>
    </w:p>
    <w:p w14:paraId="093CAFBF" w14:textId="79FDA659" w:rsidR="009130CA" w:rsidRPr="003F141B" w:rsidRDefault="0017217C" w:rsidP="009130CA">
      <w:pPr>
        <w:pStyle w:val="Citationenretrait"/>
        <w:rPr>
          <w:lang w:val="en-CA"/>
        </w:rPr>
      </w:pPr>
      <w:r w:rsidRPr="003F141B">
        <w:rPr>
          <w:lang w:val="en-CA"/>
        </w:rPr>
        <w:t>[335]  The right to counsel of one</w:t>
      </w:r>
      <w:r w:rsidR="003061CC">
        <w:rPr>
          <w:lang w:val="en-CA"/>
        </w:rPr>
        <w:t>’</w:t>
      </w:r>
      <w:r w:rsidRPr="003F141B">
        <w:rPr>
          <w:lang w:val="en-CA"/>
        </w:rPr>
        <w:t>s choice is not a complex or controversial issue that justif</w:t>
      </w:r>
      <w:r w:rsidR="00F37AA7" w:rsidRPr="003F141B">
        <w:rPr>
          <w:lang w:val="en-CA"/>
        </w:rPr>
        <w:t>ies</w:t>
      </w:r>
      <w:r w:rsidRPr="003F141B">
        <w:rPr>
          <w:lang w:val="en-CA"/>
        </w:rPr>
        <w:t xml:space="preserve"> finding that the police officer acted in good faith, without flagrant disregard </w:t>
      </w:r>
      <w:r w:rsidR="00F37AA7" w:rsidRPr="003F141B">
        <w:rPr>
          <w:lang w:val="en-CA"/>
        </w:rPr>
        <w:t xml:space="preserve">for </w:t>
      </w:r>
      <w:r w:rsidRPr="003F141B">
        <w:rPr>
          <w:lang w:val="en-CA"/>
        </w:rPr>
        <w:t xml:space="preserve">or </w:t>
      </w:r>
      <w:r w:rsidR="00F37AA7" w:rsidRPr="003F141B">
        <w:rPr>
          <w:lang w:val="en-CA"/>
        </w:rPr>
        <w:t xml:space="preserve">ignorance of </w:t>
      </w:r>
      <w:r w:rsidRPr="003F141B">
        <w:rPr>
          <w:i/>
          <w:lang w:val="en-CA"/>
        </w:rPr>
        <w:t>Charter</w:t>
      </w:r>
      <w:r w:rsidRPr="003F141B">
        <w:rPr>
          <w:lang w:val="en-CA"/>
        </w:rPr>
        <w:t xml:space="preserve"> rights, or that mitigate</w:t>
      </w:r>
      <w:r w:rsidR="00F37AA7" w:rsidRPr="003F141B">
        <w:rPr>
          <w:lang w:val="en-CA"/>
        </w:rPr>
        <w:t>s</w:t>
      </w:r>
      <w:r w:rsidRPr="003F141B">
        <w:rPr>
          <w:lang w:val="en-CA"/>
        </w:rPr>
        <w:t xml:space="preserve"> the seriousness of the infringement.</w:t>
      </w:r>
    </w:p>
    <w:p w14:paraId="782EE45C" w14:textId="0D756435" w:rsidR="009130CA" w:rsidRPr="003F141B" w:rsidRDefault="0017217C" w:rsidP="009130CA">
      <w:pPr>
        <w:pStyle w:val="Citationenretrait"/>
        <w:rPr>
          <w:lang w:val="en-CA"/>
        </w:rPr>
      </w:pPr>
      <w:r w:rsidRPr="003F141B">
        <w:rPr>
          <w:lang w:val="en-CA"/>
        </w:rPr>
        <w:t xml:space="preserve">[336]  In short, the fact that the police officer did not act in bad faith in no way mitigates the seriousness of the </w:t>
      </w:r>
      <w:r w:rsidR="00BB4DA7" w:rsidRPr="003F141B">
        <w:rPr>
          <w:lang w:val="en-CA"/>
        </w:rPr>
        <w:t>constitutional</w:t>
      </w:r>
      <w:r w:rsidRPr="003F141B">
        <w:rPr>
          <w:lang w:val="en-CA"/>
        </w:rPr>
        <w:t xml:space="preserve"> infringement of the appellant</w:t>
      </w:r>
      <w:r w:rsidR="003061CC">
        <w:rPr>
          <w:lang w:val="en-CA"/>
        </w:rPr>
        <w:t>’</w:t>
      </w:r>
      <w:r w:rsidRPr="003F141B">
        <w:rPr>
          <w:lang w:val="en-CA"/>
        </w:rPr>
        <w:t>s constitutional right to consult counsel of choice, because the police officer</w:t>
      </w:r>
      <w:r w:rsidR="003061CC">
        <w:rPr>
          <w:lang w:val="en-CA"/>
        </w:rPr>
        <w:t>’</w:t>
      </w:r>
      <w:r w:rsidRPr="003F141B">
        <w:rPr>
          <w:lang w:val="en-CA"/>
        </w:rPr>
        <w:t xml:space="preserve">s error cannot be characterized as a reasonable error. </w:t>
      </w:r>
    </w:p>
    <w:p w14:paraId="39FBA38B" w14:textId="1C0026E8" w:rsidR="009130CA" w:rsidRPr="003F141B" w:rsidRDefault="0017217C" w:rsidP="009130CA">
      <w:pPr>
        <w:pStyle w:val="Citationenretrait"/>
        <w:rPr>
          <w:lang w:val="en-CA"/>
        </w:rPr>
      </w:pPr>
      <w:r w:rsidRPr="003F141B">
        <w:rPr>
          <w:lang w:val="en-CA"/>
        </w:rPr>
        <w:t>[337]</w:t>
      </w:r>
      <w:proofErr w:type="gramStart"/>
      <w:r w:rsidRPr="003F141B">
        <w:rPr>
          <w:lang w:val="en-CA"/>
        </w:rPr>
        <w:t>  Although</w:t>
      </w:r>
      <w:proofErr w:type="gramEnd"/>
      <w:r w:rsidRPr="003F141B">
        <w:rPr>
          <w:lang w:val="en-CA"/>
        </w:rPr>
        <w:t xml:space="preserve"> </w:t>
      </w:r>
      <w:r w:rsidR="00081775">
        <w:rPr>
          <w:lang w:val="en-CA"/>
        </w:rPr>
        <w:t>“</w:t>
      </w:r>
      <w:r w:rsidRPr="003F141B">
        <w:rPr>
          <w:lang w:val="en-CA"/>
        </w:rPr>
        <w:t xml:space="preserve">police are not </w:t>
      </w:r>
      <w:r w:rsidR="00CB5619">
        <w:rPr>
          <w:lang w:val="en-CA"/>
        </w:rPr>
        <w:t xml:space="preserve">expected </w:t>
      </w:r>
      <w:r w:rsidRPr="003F141B">
        <w:rPr>
          <w:lang w:val="en-CA"/>
        </w:rPr>
        <w:t xml:space="preserve">to </w:t>
      </w:r>
      <w:r w:rsidR="00CB5619">
        <w:rPr>
          <w:lang w:val="en-CA"/>
        </w:rPr>
        <w:t xml:space="preserve">engage in judicial </w:t>
      </w:r>
      <w:r w:rsidRPr="003F141B">
        <w:rPr>
          <w:lang w:val="en-CA"/>
        </w:rPr>
        <w:t xml:space="preserve">reflection on </w:t>
      </w:r>
      <w:r w:rsidR="00CB5619">
        <w:rPr>
          <w:lang w:val="en-CA"/>
        </w:rPr>
        <w:t xml:space="preserve">conflicting </w:t>
      </w:r>
      <w:r w:rsidR="00F37AA7" w:rsidRPr="003F141B">
        <w:rPr>
          <w:lang w:val="en-CA"/>
        </w:rPr>
        <w:t>precedents</w:t>
      </w:r>
      <w:r w:rsidRPr="003F141B">
        <w:rPr>
          <w:lang w:val="en-CA"/>
        </w:rPr>
        <w:t xml:space="preserve">, </w:t>
      </w:r>
      <w:r w:rsidRPr="002E7C7B">
        <w:rPr>
          <w:i/>
          <w:iCs/>
          <w:lang w:val="en-CA"/>
        </w:rPr>
        <w:t xml:space="preserve">they </w:t>
      </w:r>
      <w:r w:rsidR="00CB5619" w:rsidRPr="002E7C7B">
        <w:rPr>
          <w:i/>
          <w:iCs/>
          <w:lang w:val="en-CA"/>
        </w:rPr>
        <w:t xml:space="preserve">are rightly expected to know that </w:t>
      </w:r>
      <w:r w:rsidRPr="002E7C7B">
        <w:rPr>
          <w:i/>
          <w:iCs/>
          <w:lang w:val="en-CA"/>
        </w:rPr>
        <w:t>the law</w:t>
      </w:r>
      <w:r w:rsidR="00CB5619" w:rsidRPr="002E7C7B">
        <w:rPr>
          <w:i/>
          <w:iCs/>
          <w:lang w:val="en-CA"/>
        </w:rPr>
        <w:t xml:space="preserve"> is</w:t>
      </w:r>
      <w:r w:rsidR="00081775">
        <w:rPr>
          <w:lang w:val="en-CA"/>
        </w:rPr>
        <w:t>”</w:t>
      </w:r>
      <w:r w:rsidRPr="003F141B">
        <w:rPr>
          <w:lang w:val="en-CA"/>
        </w:rPr>
        <w:t>, especially when the rule of law has been stable for three decades.</w:t>
      </w:r>
    </w:p>
    <w:p w14:paraId="05BDEABC" w14:textId="4CE15EC8" w:rsidR="009130CA" w:rsidRPr="003F141B" w:rsidRDefault="0017217C" w:rsidP="009130CA">
      <w:pPr>
        <w:pStyle w:val="Citationenretrait"/>
        <w:jc w:val="right"/>
        <w:rPr>
          <w:lang w:val="en-CA"/>
        </w:rPr>
      </w:pPr>
      <w:r w:rsidRPr="003F141B">
        <w:rPr>
          <w:lang w:val="en-CA"/>
        </w:rPr>
        <w:t>[References omitted]</w:t>
      </w:r>
    </w:p>
    <w:p w14:paraId="61E2DC9A" w14:textId="3989CC30" w:rsidR="009130CA" w:rsidRPr="003F141B" w:rsidRDefault="00BB4DA7" w:rsidP="009130CA">
      <w:pPr>
        <w:pStyle w:val="Paragraphe"/>
        <w:spacing w:line="280" w:lineRule="exact"/>
        <w:rPr>
          <w:lang w:val="en-CA"/>
        </w:rPr>
      </w:pPr>
      <w:r w:rsidRPr="003F141B">
        <w:rPr>
          <w:lang w:val="en-CA"/>
        </w:rPr>
        <w:lastRenderedPageBreak/>
        <w:t>It was up to the judge to balance the various factors</w:t>
      </w:r>
      <w:r w:rsidR="005003D8" w:rsidRPr="003F141B">
        <w:rPr>
          <w:lang w:val="en-CA"/>
        </w:rPr>
        <w:t xml:space="preserve">. </w:t>
      </w:r>
      <w:r w:rsidR="0017217C" w:rsidRPr="003F141B">
        <w:rPr>
          <w:lang w:val="en-CA"/>
        </w:rPr>
        <w:t xml:space="preserve">This exercise, I repeat, is not governed by </w:t>
      </w:r>
      <w:r w:rsidR="00081775">
        <w:rPr>
          <w:lang w:val="en-CA"/>
        </w:rPr>
        <w:t>“</w:t>
      </w:r>
      <w:r w:rsidR="0017217C" w:rsidRPr="003F141B">
        <w:rPr>
          <w:lang w:val="en-CA"/>
        </w:rPr>
        <w:t>an overarching rule</w:t>
      </w:r>
      <w:r w:rsidR="00081775">
        <w:rPr>
          <w:lang w:val="en-CA"/>
        </w:rPr>
        <w:t>”</w:t>
      </w:r>
      <w:r w:rsidR="00F37AA7" w:rsidRPr="003F141B">
        <w:rPr>
          <w:lang w:val="en-CA"/>
        </w:rPr>
        <w:t>,</w:t>
      </w:r>
      <w:r w:rsidR="0017217C" w:rsidRPr="003F141B">
        <w:rPr>
          <w:lang w:val="en-CA"/>
        </w:rPr>
        <w:t xml:space="preserve"> and </w:t>
      </w:r>
      <w:r w:rsidR="00081775">
        <w:rPr>
          <w:lang w:val="en-CA"/>
        </w:rPr>
        <w:t>“</w:t>
      </w:r>
      <w:r w:rsidR="00F37AA7" w:rsidRPr="003F141B">
        <w:rPr>
          <w:lang w:val="en-CA"/>
        </w:rPr>
        <w:t>[</w:t>
      </w:r>
      <w:r w:rsidR="0017217C" w:rsidRPr="003F141B">
        <w:rPr>
          <w:lang w:val="en-CA"/>
        </w:rPr>
        <w:t>m</w:t>
      </w:r>
      <w:r w:rsidR="00F37AA7" w:rsidRPr="003F141B">
        <w:rPr>
          <w:lang w:val="en-CA"/>
        </w:rPr>
        <w:t>]</w:t>
      </w:r>
      <w:proofErr w:type="spellStart"/>
      <w:r w:rsidR="0017217C" w:rsidRPr="003F141B">
        <w:rPr>
          <w:lang w:val="en-CA"/>
        </w:rPr>
        <w:t>athematical</w:t>
      </w:r>
      <w:proofErr w:type="spellEnd"/>
      <w:r w:rsidR="0017217C" w:rsidRPr="003F141B">
        <w:rPr>
          <w:lang w:val="en-CA"/>
        </w:rPr>
        <w:t xml:space="preserve"> preci</w:t>
      </w:r>
      <w:r w:rsidRPr="003F141B">
        <w:rPr>
          <w:lang w:val="en-CA"/>
        </w:rPr>
        <w:t>sion is obviously not possible</w:t>
      </w:r>
      <w:r w:rsidR="00081775">
        <w:rPr>
          <w:lang w:val="en-CA"/>
        </w:rPr>
        <w:t>”</w:t>
      </w:r>
      <w:r w:rsidR="00F37AA7" w:rsidRPr="003F141B">
        <w:rPr>
          <w:lang w:val="en-CA"/>
        </w:rPr>
        <w:t>:</w:t>
      </w:r>
      <w:r w:rsidRPr="003F141B">
        <w:rPr>
          <w:lang w:val="en-CA"/>
        </w:rPr>
        <w:t xml:space="preserve"> </w:t>
      </w:r>
      <w:r w:rsidRPr="003F141B">
        <w:rPr>
          <w:i/>
          <w:lang w:val="en-CA"/>
        </w:rPr>
        <w:t>R</w:t>
      </w:r>
      <w:r w:rsidR="0017217C" w:rsidRPr="003F141B">
        <w:rPr>
          <w:i/>
          <w:lang w:val="en-CA"/>
        </w:rPr>
        <w:t>. v. Grant</w:t>
      </w:r>
      <w:r w:rsidR="000056ED">
        <w:rPr>
          <w:lang w:val="en-CA"/>
        </w:rPr>
        <w:t>,</w:t>
      </w:r>
      <w:r w:rsidR="0017217C" w:rsidRPr="003F141B">
        <w:rPr>
          <w:lang w:val="en-CA"/>
        </w:rPr>
        <w:t xml:space="preserve"> para.</w:t>
      </w:r>
      <w:r w:rsidR="005003D8" w:rsidRPr="003F141B">
        <w:rPr>
          <w:lang w:val="en-CA"/>
        </w:rPr>
        <w:t xml:space="preserve"> 86. </w:t>
      </w:r>
      <w:r w:rsidR="0017217C" w:rsidRPr="003F141B">
        <w:rPr>
          <w:lang w:val="en-CA"/>
        </w:rPr>
        <w:t>In all cases, the long-term repute of the administration of justice must be assessed.</w:t>
      </w:r>
      <w:r w:rsidR="005003D8" w:rsidRPr="003F141B">
        <w:rPr>
          <w:lang w:val="en-CA"/>
        </w:rPr>
        <w:t xml:space="preserve"> </w:t>
      </w:r>
      <w:r w:rsidR="0017217C" w:rsidRPr="003F141B">
        <w:rPr>
          <w:i/>
          <w:lang w:val="en-CA"/>
        </w:rPr>
        <w:t>R. v. Harrison</w:t>
      </w:r>
      <w:r w:rsidR="0017217C" w:rsidRPr="003F141B">
        <w:rPr>
          <w:lang w:val="en-CA"/>
        </w:rPr>
        <w:t>, 2009 SCC 34, [2009] 2 S.C.R. 484</w:t>
      </w:r>
      <w:r w:rsidR="00862DF7">
        <w:rPr>
          <w:lang w:val="en-CA"/>
        </w:rPr>
        <w:t>,</w:t>
      </w:r>
      <w:r w:rsidR="0017217C" w:rsidRPr="003F141B">
        <w:rPr>
          <w:lang w:val="en-CA"/>
        </w:rPr>
        <w:t xml:space="preserve"> para.</w:t>
      </w:r>
      <w:r w:rsidR="005003D8" w:rsidRPr="003F141B">
        <w:rPr>
          <w:lang w:val="en-CA"/>
        </w:rPr>
        <w:t xml:space="preserve"> 36. </w:t>
      </w:r>
      <w:r w:rsidR="0017217C" w:rsidRPr="003F141B">
        <w:rPr>
          <w:lang w:val="en-CA"/>
        </w:rPr>
        <w:t xml:space="preserve">With respect to impaired driving, where the police officers have failed to make a </w:t>
      </w:r>
      <w:r w:rsidRPr="003F141B">
        <w:rPr>
          <w:lang w:val="en-CA"/>
        </w:rPr>
        <w:t>reasonable</w:t>
      </w:r>
      <w:r w:rsidR="0017217C" w:rsidRPr="003F141B">
        <w:rPr>
          <w:lang w:val="en-CA"/>
        </w:rPr>
        <w:t xml:space="preserve"> effort to reach the chosen lawyer in violation of a well-established rule, it may be appropriate to exclude the evidence</w:t>
      </w:r>
      <w:r w:rsidR="00F37AA7" w:rsidRPr="003F141B">
        <w:rPr>
          <w:lang w:val="en-CA"/>
        </w:rPr>
        <w:t>:</w:t>
      </w:r>
      <w:r w:rsidR="0017217C" w:rsidRPr="003F141B">
        <w:rPr>
          <w:lang w:val="en-CA"/>
        </w:rPr>
        <w:t xml:space="preserve"> </w:t>
      </w:r>
      <w:r w:rsidR="005003D8" w:rsidRPr="003F141B">
        <w:rPr>
          <w:lang w:val="en-CA"/>
        </w:rPr>
        <w:t xml:space="preserve"> </w:t>
      </w:r>
      <w:r w:rsidR="0017217C" w:rsidRPr="003F141B">
        <w:rPr>
          <w:i/>
          <w:lang w:val="en-CA"/>
        </w:rPr>
        <w:t>Savard c. Ville de Québec</w:t>
      </w:r>
      <w:r w:rsidR="0017217C" w:rsidRPr="003F141B">
        <w:rPr>
          <w:lang w:val="en-CA"/>
        </w:rPr>
        <w:t>, 2020 QCCS 2004;</w:t>
      </w:r>
      <w:r w:rsidR="005003D8" w:rsidRPr="003F141B">
        <w:rPr>
          <w:lang w:val="en-CA"/>
        </w:rPr>
        <w:t xml:space="preserve"> </w:t>
      </w:r>
      <w:r w:rsidR="0017217C" w:rsidRPr="003F141B">
        <w:rPr>
          <w:i/>
          <w:lang w:val="en-CA"/>
        </w:rPr>
        <w:t>Savard c. R</w:t>
      </w:r>
      <w:r w:rsidR="0017217C" w:rsidRPr="003F141B">
        <w:rPr>
          <w:lang w:val="en-CA"/>
        </w:rPr>
        <w:t>., 2020 QCCS 843;</w:t>
      </w:r>
      <w:r w:rsidR="005003D8" w:rsidRPr="003F141B">
        <w:rPr>
          <w:lang w:val="en-CA"/>
        </w:rPr>
        <w:t xml:space="preserve"> </w:t>
      </w:r>
      <w:r w:rsidR="0017217C" w:rsidRPr="003F141B">
        <w:rPr>
          <w:i/>
          <w:lang w:val="en-CA"/>
        </w:rPr>
        <w:t>Lapierre c. R.</w:t>
      </w:r>
      <w:r w:rsidR="0017217C" w:rsidRPr="003F141B">
        <w:rPr>
          <w:lang w:val="en-CA"/>
        </w:rPr>
        <w:t>, 2020 QCCS 469;</w:t>
      </w:r>
      <w:r w:rsidR="005003D8" w:rsidRPr="003F141B">
        <w:rPr>
          <w:i/>
          <w:lang w:val="en-CA"/>
        </w:rPr>
        <w:t xml:space="preserve"> </w:t>
      </w:r>
      <w:r w:rsidR="0017217C" w:rsidRPr="003F141B">
        <w:rPr>
          <w:i/>
          <w:lang w:val="en-CA"/>
        </w:rPr>
        <w:t xml:space="preserve">Campion </w:t>
      </w:r>
      <w:proofErr w:type="spellStart"/>
      <w:r w:rsidR="0017217C" w:rsidRPr="003F141B">
        <w:rPr>
          <w:i/>
          <w:lang w:val="en-CA"/>
        </w:rPr>
        <w:t>Létourneau</w:t>
      </w:r>
      <w:proofErr w:type="spellEnd"/>
      <w:r w:rsidR="0017217C" w:rsidRPr="003F141B">
        <w:rPr>
          <w:i/>
          <w:lang w:val="en-CA"/>
        </w:rPr>
        <w:t xml:space="preserve"> c. R.</w:t>
      </w:r>
      <w:r w:rsidR="0017217C" w:rsidRPr="003F141B">
        <w:rPr>
          <w:lang w:val="en-CA"/>
        </w:rPr>
        <w:t>, 2019 QCCS 5636;</w:t>
      </w:r>
      <w:r w:rsidR="005003D8" w:rsidRPr="003F141B">
        <w:rPr>
          <w:lang w:val="en-CA"/>
        </w:rPr>
        <w:t xml:space="preserve"> </w:t>
      </w:r>
      <w:r w:rsidR="008E6BA7" w:rsidRPr="003F141B">
        <w:rPr>
          <w:i/>
          <w:lang w:val="en-CA"/>
        </w:rPr>
        <w:t>Costigan</w:t>
      </w:r>
      <w:r w:rsidR="0017217C" w:rsidRPr="003F141B">
        <w:rPr>
          <w:i/>
          <w:lang w:val="en-CA"/>
        </w:rPr>
        <w:t xml:space="preserve"> c. R.</w:t>
      </w:r>
      <w:r w:rsidR="0017217C" w:rsidRPr="003F141B">
        <w:rPr>
          <w:lang w:val="en-CA"/>
        </w:rPr>
        <w:t>, 2019 QCCS</w:t>
      </w:r>
      <w:r w:rsidR="008E6BA7" w:rsidRPr="003F141B">
        <w:rPr>
          <w:lang w:val="en-CA"/>
        </w:rPr>
        <w:t xml:space="preserve"> 2477</w:t>
      </w:r>
      <w:r w:rsidR="0017217C" w:rsidRPr="003F141B">
        <w:rPr>
          <w:lang w:val="en-CA"/>
        </w:rPr>
        <w:t>;</w:t>
      </w:r>
      <w:r w:rsidR="005003D8" w:rsidRPr="003F141B">
        <w:rPr>
          <w:lang w:val="en-CA"/>
        </w:rPr>
        <w:t xml:space="preserve"> </w:t>
      </w:r>
      <w:r w:rsidR="0017217C" w:rsidRPr="003F141B">
        <w:rPr>
          <w:i/>
          <w:lang w:val="en-CA"/>
        </w:rPr>
        <w:t>R. c. Duval</w:t>
      </w:r>
      <w:r w:rsidR="0017217C" w:rsidRPr="003F141B">
        <w:rPr>
          <w:lang w:val="en-CA"/>
        </w:rPr>
        <w:t>, 2020 QCCQ 2594;</w:t>
      </w:r>
      <w:r w:rsidR="005003D8" w:rsidRPr="003F141B">
        <w:rPr>
          <w:lang w:val="en-CA"/>
        </w:rPr>
        <w:t xml:space="preserve"> </w:t>
      </w:r>
      <w:r w:rsidR="0017217C" w:rsidRPr="003F141B">
        <w:rPr>
          <w:i/>
          <w:lang w:val="en-CA"/>
        </w:rPr>
        <w:t>R. c. Lorrain</w:t>
      </w:r>
      <w:r w:rsidR="0017217C" w:rsidRPr="003F141B">
        <w:rPr>
          <w:lang w:val="en-CA"/>
        </w:rPr>
        <w:t>, 2020 QCCQ 1562;</w:t>
      </w:r>
      <w:r w:rsidR="005003D8" w:rsidRPr="003F141B">
        <w:rPr>
          <w:lang w:val="en-CA"/>
        </w:rPr>
        <w:t xml:space="preserve"> </w:t>
      </w:r>
      <w:r w:rsidR="0017217C" w:rsidRPr="003F141B">
        <w:rPr>
          <w:i/>
          <w:lang w:val="en-CA"/>
        </w:rPr>
        <w:t>R. c. Blouin</w:t>
      </w:r>
      <w:r w:rsidR="0017217C" w:rsidRPr="003F141B">
        <w:rPr>
          <w:lang w:val="en-CA"/>
        </w:rPr>
        <w:t>, 2019 QCCQ 7886;</w:t>
      </w:r>
      <w:r w:rsidR="005003D8" w:rsidRPr="003F141B">
        <w:rPr>
          <w:lang w:val="en-CA"/>
        </w:rPr>
        <w:t xml:space="preserve"> </w:t>
      </w:r>
      <w:r w:rsidR="0017217C" w:rsidRPr="003F141B">
        <w:rPr>
          <w:i/>
          <w:lang w:val="en-CA"/>
        </w:rPr>
        <w:t xml:space="preserve">R. c. </w:t>
      </w:r>
      <w:proofErr w:type="spellStart"/>
      <w:r w:rsidR="0017217C" w:rsidRPr="003F141B">
        <w:rPr>
          <w:i/>
          <w:lang w:val="en-CA"/>
        </w:rPr>
        <w:t>Labrèche</w:t>
      </w:r>
      <w:proofErr w:type="spellEnd"/>
      <w:r w:rsidR="0017217C" w:rsidRPr="003F141B">
        <w:rPr>
          <w:lang w:val="en-CA"/>
        </w:rPr>
        <w:t>, 2019 QCCQ 7342;</w:t>
      </w:r>
      <w:r w:rsidR="005003D8" w:rsidRPr="003F141B">
        <w:rPr>
          <w:lang w:val="en-CA"/>
        </w:rPr>
        <w:t xml:space="preserve"> </w:t>
      </w:r>
      <w:r w:rsidR="0017217C" w:rsidRPr="003F141B">
        <w:rPr>
          <w:i/>
          <w:lang w:val="en-CA"/>
        </w:rPr>
        <w:t>R. c. Chabot-Sasseville</w:t>
      </w:r>
      <w:r w:rsidR="0017217C" w:rsidRPr="003F141B">
        <w:rPr>
          <w:lang w:val="en-CA"/>
        </w:rPr>
        <w:t>, 2019 QCCQ 2874;</w:t>
      </w:r>
      <w:r w:rsidR="005003D8" w:rsidRPr="003F141B">
        <w:rPr>
          <w:lang w:val="en-CA"/>
        </w:rPr>
        <w:t xml:space="preserve"> </w:t>
      </w:r>
      <w:r w:rsidR="0017217C" w:rsidRPr="003F141B">
        <w:rPr>
          <w:i/>
          <w:lang w:val="en-CA"/>
        </w:rPr>
        <w:t>R.</w:t>
      </w:r>
      <w:r w:rsidR="008E6BA7" w:rsidRPr="003F141B">
        <w:rPr>
          <w:i/>
          <w:lang w:val="en-CA"/>
        </w:rPr>
        <w:t> </w:t>
      </w:r>
      <w:r w:rsidR="0017217C" w:rsidRPr="003F141B">
        <w:rPr>
          <w:i/>
          <w:lang w:val="en-CA"/>
        </w:rPr>
        <w:t>c. Lefebvre</w:t>
      </w:r>
      <w:r w:rsidR="0017217C" w:rsidRPr="003F141B">
        <w:rPr>
          <w:lang w:val="en-CA"/>
        </w:rPr>
        <w:t>, 2019 QCCQ 765.</w:t>
      </w:r>
    </w:p>
    <w:p w14:paraId="5735E386" w14:textId="5ACC066C" w:rsidR="009130CA" w:rsidRPr="003F141B" w:rsidRDefault="0017217C" w:rsidP="009130CA">
      <w:pPr>
        <w:pStyle w:val="Paragraphe"/>
        <w:spacing w:line="280" w:lineRule="exact"/>
        <w:rPr>
          <w:lang w:val="en-CA"/>
        </w:rPr>
      </w:pPr>
      <w:r w:rsidRPr="003F141B">
        <w:rPr>
          <w:lang w:val="en-CA"/>
        </w:rPr>
        <w:t>The judge</w:t>
      </w:r>
      <w:r w:rsidR="003061CC">
        <w:rPr>
          <w:lang w:val="en-CA"/>
        </w:rPr>
        <w:t>’</w:t>
      </w:r>
      <w:r w:rsidRPr="003F141B">
        <w:rPr>
          <w:lang w:val="en-CA"/>
        </w:rPr>
        <w:t xml:space="preserve">s decision is part of a trend in case law that aims to preserve public confidence in the rule of law and to ensure that the state respects this facet of the </w:t>
      </w:r>
      <w:r w:rsidR="00147C72" w:rsidRPr="003F141B">
        <w:rPr>
          <w:lang w:val="en-CA"/>
        </w:rPr>
        <w:t>s.</w:t>
      </w:r>
      <w:r w:rsidRPr="003F141B">
        <w:rPr>
          <w:lang w:val="en-CA"/>
        </w:rPr>
        <w:t xml:space="preserve"> 10(b) </w:t>
      </w:r>
      <w:r w:rsidR="00BB4DA7" w:rsidRPr="003F141B">
        <w:rPr>
          <w:i/>
          <w:lang w:val="en-CA"/>
        </w:rPr>
        <w:t xml:space="preserve">Charter </w:t>
      </w:r>
      <w:r w:rsidR="00BB4DA7" w:rsidRPr="003F141B">
        <w:rPr>
          <w:lang w:val="en-CA"/>
        </w:rPr>
        <w:t>right</w:t>
      </w:r>
      <w:r w:rsidRPr="003F141B">
        <w:rPr>
          <w:lang w:val="en-CA"/>
        </w:rPr>
        <w:t>.</w:t>
      </w:r>
    </w:p>
    <w:p w14:paraId="496674E1" w14:textId="77777777" w:rsidR="009130CA" w:rsidRPr="003F141B" w:rsidRDefault="005003D8" w:rsidP="009130CA">
      <w:pPr>
        <w:pStyle w:val="sous-titreengras"/>
        <w:numPr>
          <w:ilvl w:val="0"/>
          <w:numId w:val="31"/>
        </w:numPr>
        <w:spacing w:after="0"/>
        <w:rPr>
          <w:lang w:val="en-CA"/>
        </w:rPr>
      </w:pPr>
      <w:r w:rsidRPr="003F141B">
        <w:rPr>
          <w:lang w:val="en-CA"/>
        </w:rPr>
        <w:t>Conclusion</w:t>
      </w:r>
    </w:p>
    <w:p w14:paraId="7A9EB679" w14:textId="455D3FE7" w:rsidR="009130CA" w:rsidRPr="003F141B" w:rsidRDefault="0017217C" w:rsidP="009130CA">
      <w:pPr>
        <w:pStyle w:val="Paragraphe"/>
        <w:spacing w:line="280" w:lineRule="exact"/>
        <w:rPr>
          <w:lang w:val="en-CA"/>
        </w:rPr>
      </w:pPr>
      <w:r w:rsidRPr="003F141B">
        <w:rPr>
          <w:lang w:val="en-CA"/>
        </w:rPr>
        <w:t>For these reasons, I would dismiss the appeal.</w:t>
      </w:r>
    </w:p>
    <w:tbl>
      <w:tblPr>
        <w:tblW w:w="9360" w:type="dxa"/>
        <w:tblInd w:w="70" w:type="dxa"/>
        <w:tblLayout w:type="fixed"/>
        <w:tblCellMar>
          <w:left w:w="0" w:type="dxa"/>
          <w:right w:w="0" w:type="dxa"/>
        </w:tblCellMar>
        <w:tblLook w:val="0000" w:firstRow="0" w:lastRow="0" w:firstColumn="0" w:lastColumn="0" w:noHBand="0" w:noVBand="0"/>
      </w:tblPr>
      <w:tblGrid>
        <w:gridCol w:w="4735"/>
        <w:gridCol w:w="4625"/>
      </w:tblGrid>
      <w:tr w:rsidR="00966AF8" w:rsidRPr="003F141B" w14:paraId="79B7E9AA" w14:textId="77777777" w:rsidTr="009130CA">
        <w:trPr>
          <w:cantSplit/>
          <w:trHeight w:val="277"/>
        </w:trPr>
        <w:tc>
          <w:tcPr>
            <w:tcW w:w="4735" w:type="dxa"/>
            <w:vMerge w:val="restart"/>
          </w:tcPr>
          <w:p w14:paraId="35CB3EE3" w14:textId="77777777" w:rsidR="009130CA" w:rsidRPr="003F141B" w:rsidRDefault="009130CA" w:rsidP="009130CA">
            <w:pPr>
              <w:spacing w:before="120" w:after="120"/>
              <w:rPr>
                <w:lang w:val="en-CA"/>
              </w:rPr>
            </w:pPr>
          </w:p>
        </w:tc>
        <w:tc>
          <w:tcPr>
            <w:tcW w:w="4625" w:type="dxa"/>
            <w:tcBorders>
              <w:bottom w:val="single" w:sz="8" w:space="0" w:color="auto"/>
            </w:tcBorders>
          </w:tcPr>
          <w:p w14:paraId="513858EA" w14:textId="77777777" w:rsidR="009130CA" w:rsidRPr="003F141B" w:rsidRDefault="009130CA" w:rsidP="009130CA">
            <w:pPr>
              <w:spacing w:before="120" w:after="120"/>
              <w:rPr>
                <w:lang w:val="en-CA"/>
              </w:rPr>
            </w:pPr>
          </w:p>
        </w:tc>
      </w:tr>
      <w:tr w:rsidR="00966AF8" w:rsidRPr="003F141B" w14:paraId="30FC9429" w14:textId="77777777" w:rsidTr="009130CA">
        <w:trPr>
          <w:cantSplit/>
          <w:trHeight w:val="276"/>
        </w:trPr>
        <w:tc>
          <w:tcPr>
            <w:tcW w:w="4735" w:type="dxa"/>
            <w:vMerge/>
          </w:tcPr>
          <w:p w14:paraId="1F8C04BD" w14:textId="77777777" w:rsidR="009130CA" w:rsidRPr="003F141B" w:rsidRDefault="009130CA" w:rsidP="009130CA">
            <w:pPr>
              <w:rPr>
                <w:lang w:val="en-CA"/>
              </w:rPr>
            </w:pPr>
          </w:p>
        </w:tc>
        <w:tc>
          <w:tcPr>
            <w:tcW w:w="4625" w:type="dxa"/>
          </w:tcPr>
          <w:p w14:paraId="599E8260" w14:textId="766B2D31" w:rsidR="009130CA" w:rsidRPr="003F141B" w:rsidRDefault="00793C4A" w:rsidP="009130CA">
            <w:pPr>
              <w:rPr>
                <w:lang w:val="en-CA"/>
              </w:rPr>
            </w:pPr>
            <w:r w:rsidRPr="00793C4A">
              <w:rPr>
                <w:lang w:val="en-CA"/>
              </w:rPr>
              <w:t>SUZANNE GAGNÉ, J.A.</w:t>
            </w:r>
          </w:p>
        </w:tc>
      </w:tr>
    </w:tbl>
    <w:p w14:paraId="64CCC953" w14:textId="77777777" w:rsidR="009130CA" w:rsidRPr="003F141B" w:rsidRDefault="009130CA" w:rsidP="009130CA">
      <w:pPr>
        <w:rPr>
          <w:lang w:val="en-CA"/>
        </w:rPr>
      </w:pPr>
    </w:p>
    <w:sectPr w:rsidR="009130CA" w:rsidRPr="003F141B" w:rsidSect="009130CA">
      <w:headerReference w:type="default" r:id="rId20"/>
      <w:pgSz w:w="12242" w:h="15842" w:code="1"/>
      <w:pgMar w:top="1440" w:right="1008" w:bottom="1440" w:left="1872" w:header="1440"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CCE45" w14:textId="77777777" w:rsidR="0013146E" w:rsidRDefault="0013146E">
      <w:pPr>
        <w:spacing w:line="240" w:lineRule="auto"/>
      </w:pPr>
      <w:r>
        <w:separator/>
      </w:r>
    </w:p>
  </w:endnote>
  <w:endnote w:type="continuationSeparator" w:id="0">
    <w:p w14:paraId="3B37F197" w14:textId="77777777" w:rsidR="0013146E" w:rsidRDefault="00131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668EA" w14:textId="77777777" w:rsidR="00392705" w:rsidRDefault="003927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6A54B" w14:textId="77777777" w:rsidR="00392705" w:rsidRDefault="003927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385C" w14:textId="77777777" w:rsidR="00392705" w:rsidRDefault="0039270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51386" w14:textId="77777777" w:rsidR="0097639F" w:rsidRDefault="0097639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74D8" w14:textId="5CA99D2A" w:rsidR="0097639F" w:rsidRDefault="0097639F">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87FA7" w14:textId="77777777" w:rsidR="0097639F" w:rsidRDefault="009763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93B4C" w14:textId="77777777" w:rsidR="0013146E" w:rsidRDefault="0013146E">
      <w:r>
        <w:separator/>
      </w:r>
    </w:p>
  </w:footnote>
  <w:footnote w:type="continuationSeparator" w:id="0">
    <w:p w14:paraId="3D6122E9" w14:textId="77777777" w:rsidR="0013146E" w:rsidRDefault="0013146E">
      <w:r>
        <w:continuationSeparator/>
      </w:r>
    </w:p>
  </w:footnote>
  <w:footnote w:id="1">
    <w:p w14:paraId="33927222" w14:textId="08B1B640" w:rsidR="0097639F" w:rsidRPr="007A5468" w:rsidRDefault="0097639F">
      <w:pPr>
        <w:pStyle w:val="Notedebasdepage"/>
        <w:rPr>
          <w:lang w:val="en-CA"/>
        </w:rPr>
      </w:pPr>
      <w:r w:rsidRPr="007A5468">
        <w:rPr>
          <w:rStyle w:val="Appelnotedebasdep"/>
          <w:lang w:val="en-CA"/>
        </w:rPr>
        <w:footnoteRef/>
      </w:r>
      <w:r w:rsidRPr="007A5468">
        <w:rPr>
          <w:lang w:val="en-CA"/>
        </w:rPr>
        <w:t xml:space="preserve"> </w:t>
      </w:r>
      <w:r w:rsidRPr="007A5468">
        <w:rPr>
          <w:lang w:val="en-CA"/>
        </w:rPr>
        <w:tab/>
        <w:t>Sections 320.14(1)(</w:t>
      </w:r>
      <w:r w:rsidRPr="002E7C7B">
        <w:rPr>
          <w:i/>
          <w:iCs/>
          <w:lang w:val="en-CA"/>
        </w:rPr>
        <w:t>a</w:t>
      </w:r>
      <w:r w:rsidRPr="007A5468">
        <w:rPr>
          <w:lang w:val="en-CA"/>
        </w:rPr>
        <w:t xml:space="preserve">) and 320.19(1) </w:t>
      </w:r>
      <w:proofErr w:type="spellStart"/>
      <w:r w:rsidRPr="007A5468">
        <w:rPr>
          <w:i/>
          <w:lang w:val="en-CA"/>
        </w:rPr>
        <w:t>Cr.C</w:t>
      </w:r>
      <w:proofErr w:type="spellEnd"/>
      <w:r w:rsidRPr="007A5468">
        <w:rPr>
          <w:i/>
          <w:lang w:val="en-CA"/>
        </w:rPr>
        <w:t>.</w:t>
      </w:r>
    </w:p>
  </w:footnote>
  <w:footnote w:id="2">
    <w:p w14:paraId="143140FF" w14:textId="30BDE324"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t>The transcript of the judgment, which has not been published, is attached as Schedule 1 to the appellant</w:t>
      </w:r>
      <w:r w:rsidR="003061CC" w:rsidRPr="007A5468">
        <w:rPr>
          <w:lang w:val="en-CA"/>
        </w:rPr>
        <w:t>’</w:t>
      </w:r>
      <w:r w:rsidRPr="007A5468">
        <w:rPr>
          <w:lang w:val="en-CA"/>
        </w:rPr>
        <w:t xml:space="preserve">s brief at </w:t>
      </w:r>
      <w:r w:rsidR="005402E4" w:rsidRPr="007A5468">
        <w:rPr>
          <w:lang w:val="en-CA"/>
        </w:rPr>
        <w:t xml:space="preserve">pp. </w:t>
      </w:r>
      <w:r w:rsidRPr="007A5468">
        <w:rPr>
          <w:lang w:val="en-CA"/>
        </w:rPr>
        <w:t>18</w:t>
      </w:r>
      <w:r w:rsidRPr="007A5468">
        <w:rPr>
          <w:lang w:val="en-CA"/>
        </w:rPr>
        <w:sym w:font="Symbol" w:char="F02D"/>
      </w:r>
      <w:r w:rsidRPr="007A5468">
        <w:rPr>
          <w:lang w:val="en-CA"/>
        </w:rPr>
        <w:t xml:space="preserve">31 (the </w:t>
      </w:r>
      <w:r w:rsidR="00081775" w:rsidRPr="007A5468">
        <w:rPr>
          <w:lang w:val="en-CA"/>
        </w:rPr>
        <w:t>“</w:t>
      </w:r>
      <w:r w:rsidRPr="007A5468">
        <w:rPr>
          <w:lang w:val="en-CA"/>
        </w:rPr>
        <w:t>judgment under appeal</w:t>
      </w:r>
      <w:r w:rsidR="00081775" w:rsidRPr="007A5468">
        <w:rPr>
          <w:lang w:val="en-CA"/>
        </w:rPr>
        <w:t>”</w:t>
      </w:r>
      <w:r w:rsidRPr="007A5468">
        <w:rPr>
          <w:lang w:val="en-CA"/>
        </w:rPr>
        <w:t>).</w:t>
      </w:r>
    </w:p>
  </w:footnote>
  <w:footnote w:id="3">
    <w:p w14:paraId="4097246B" w14:textId="50C77121" w:rsidR="0097639F" w:rsidRPr="007A5468" w:rsidRDefault="0097639F" w:rsidP="00B25D39">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iCs/>
          <w:lang w:val="en-CA"/>
        </w:rPr>
        <w:t>Canadian Charter of Rights and Freedoms</w:t>
      </w:r>
      <w:r w:rsidRPr="007A5468">
        <w:rPr>
          <w:lang w:val="en-CA"/>
        </w:rPr>
        <w:t xml:space="preserve">, </w:t>
      </w:r>
      <w:r w:rsidRPr="007A5468">
        <w:rPr>
          <w:color w:val="000000"/>
          <w:lang w:val="en-CA"/>
        </w:rPr>
        <w:t xml:space="preserve">Part I of the </w:t>
      </w:r>
      <w:r w:rsidRPr="007A5468">
        <w:rPr>
          <w:i/>
          <w:color w:val="000000"/>
          <w:lang w:val="en-CA"/>
        </w:rPr>
        <w:t>Constitution Act, 1982</w:t>
      </w:r>
      <w:r w:rsidRPr="007A5468">
        <w:rPr>
          <w:color w:val="000000"/>
          <w:lang w:val="en-CA"/>
        </w:rPr>
        <w:t xml:space="preserve">, being Schedule B to the </w:t>
      </w:r>
      <w:r w:rsidRPr="007A5468">
        <w:rPr>
          <w:i/>
          <w:color w:val="000000"/>
          <w:lang w:val="en-CA"/>
        </w:rPr>
        <w:t>Canada Act 1982</w:t>
      </w:r>
      <w:r w:rsidRPr="007A5468">
        <w:rPr>
          <w:color w:val="000000"/>
          <w:lang w:val="en-CA"/>
        </w:rPr>
        <w:t xml:space="preserve"> (U.K.), 1982, c. 11.</w:t>
      </w:r>
    </w:p>
  </w:footnote>
  <w:footnote w:id="4">
    <w:p w14:paraId="015CF60A" w14:textId="69BD3D42"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Grant</w:t>
      </w:r>
      <w:r w:rsidRPr="007A5468">
        <w:rPr>
          <w:lang w:val="en-CA"/>
        </w:rPr>
        <w:t>, 2009 SCC 32.</w:t>
      </w:r>
    </w:p>
  </w:footnote>
  <w:footnote w:id="5">
    <w:p w14:paraId="665796F3" w14:textId="150917E1"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005402E4" w:rsidRPr="007A5468">
        <w:rPr>
          <w:lang w:val="en-CA"/>
        </w:rPr>
        <w:t>Section</w:t>
      </w:r>
      <w:r w:rsidRPr="007A5468">
        <w:rPr>
          <w:lang w:val="en-CA"/>
        </w:rPr>
        <w:t xml:space="preserve"> 320.14(1)(</w:t>
      </w:r>
      <w:r w:rsidRPr="002E7C7B">
        <w:rPr>
          <w:i/>
          <w:iCs/>
          <w:lang w:val="en-CA"/>
        </w:rPr>
        <w:t>b</w:t>
      </w:r>
      <w:r w:rsidRPr="007A5468">
        <w:rPr>
          <w:lang w:val="en-CA"/>
        </w:rPr>
        <w:t xml:space="preserve">) </w:t>
      </w:r>
      <w:proofErr w:type="spellStart"/>
      <w:r w:rsidRPr="007A5468">
        <w:rPr>
          <w:i/>
          <w:lang w:val="en-CA"/>
        </w:rPr>
        <w:t>Cr.C</w:t>
      </w:r>
      <w:proofErr w:type="spellEnd"/>
      <w:r w:rsidRPr="007A5468">
        <w:rPr>
          <w:i/>
          <w:lang w:val="en-CA"/>
        </w:rPr>
        <w:t xml:space="preserve">.; </w:t>
      </w:r>
      <w:r w:rsidRPr="007A5468">
        <w:rPr>
          <w:lang w:val="en-CA"/>
        </w:rPr>
        <w:t>on the counts of impaired driving and obstruction, the judge found that the appellant had not established the first beyond a reasonable doubt and convicted the respondent on the second given his guilty plea. The consequences of the respondent</w:t>
      </w:r>
      <w:r w:rsidR="003061CC" w:rsidRPr="007A5468">
        <w:rPr>
          <w:lang w:val="en-CA"/>
        </w:rPr>
        <w:t>’</w:t>
      </w:r>
      <w:r w:rsidRPr="007A5468">
        <w:rPr>
          <w:lang w:val="en-CA"/>
        </w:rPr>
        <w:t xml:space="preserve">s arrest for breach of conditions were not established. </w:t>
      </w:r>
    </w:p>
  </w:footnote>
  <w:footnote w:id="6">
    <w:p w14:paraId="4946E6C2" w14:textId="1695EF11" w:rsidR="0097639F" w:rsidRPr="007A5468" w:rsidRDefault="0097639F" w:rsidP="00B25D39">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Taylor</w:t>
      </w:r>
      <w:r w:rsidRPr="007A5468">
        <w:rPr>
          <w:lang w:val="en-CA"/>
        </w:rPr>
        <w:t xml:space="preserve">, 2014 SCC 50; </w:t>
      </w:r>
      <w:r w:rsidRPr="007A5468">
        <w:rPr>
          <w:i/>
          <w:lang w:val="en-CA"/>
        </w:rPr>
        <w:t>R. v. Sinclair</w:t>
      </w:r>
      <w:r w:rsidRPr="007A5468">
        <w:rPr>
          <w:lang w:val="en-CA"/>
        </w:rPr>
        <w:t xml:space="preserve">, 2010 SCC 35; </w:t>
      </w:r>
      <w:r w:rsidRPr="007A5468">
        <w:rPr>
          <w:i/>
          <w:lang w:val="en-CA"/>
        </w:rPr>
        <w:t>R. v. McCrimmon</w:t>
      </w:r>
      <w:r w:rsidRPr="007A5468">
        <w:rPr>
          <w:lang w:val="en-CA"/>
        </w:rPr>
        <w:t>, 2010 SCC 36</w:t>
      </w:r>
      <w:r w:rsidR="00D0147D" w:rsidRPr="007A5468">
        <w:rPr>
          <w:lang w:val="en-CA"/>
        </w:rPr>
        <w:t>,</w:t>
      </w:r>
      <w:r w:rsidRPr="007A5468">
        <w:rPr>
          <w:lang w:val="en-CA"/>
        </w:rPr>
        <w:t xml:space="preserve"> paras. 18, 19, 24, 29 and 31</w:t>
      </w:r>
      <w:r w:rsidR="002760B8" w:rsidRPr="007A5468">
        <w:rPr>
          <w:lang w:val="en-CA"/>
        </w:rPr>
        <w:t>;</w:t>
      </w:r>
      <w:r w:rsidRPr="007A5468">
        <w:rPr>
          <w:lang w:val="en-CA"/>
        </w:rPr>
        <w:t xml:space="preserve"> </w:t>
      </w:r>
      <w:r w:rsidRPr="007A5468">
        <w:rPr>
          <w:i/>
          <w:lang w:val="en-CA"/>
        </w:rPr>
        <w:t>R. v. Willier</w:t>
      </w:r>
      <w:r w:rsidRPr="007A5468">
        <w:rPr>
          <w:lang w:val="en-CA"/>
        </w:rPr>
        <w:t>, 2010 SCC 37</w:t>
      </w:r>
      <w:r w:rsidR="00D0147D" w:rsidRPr="007A5468">
        <w:rPr>
          <w:lang w:val="en-CA"/>
        </w:rPr>
        <w:t>,</w:t>
      </w:r>
      <w:r w:rsidRPr="007A5468">
        <w:rPr>
          <w:lang w:val="en-CA"/>
        </w:rPr>
        <w:t xml:space="preserve"> </w:t>
      </w:r>
      <w:r w:rsidR="002760B8" w:rsidRPr="007A5468">
        <w:rPr>
          <w:lang w:val="en-CA"/>
        </w:rPr>
        <w:t xml:space="preserve">particularly </w:t>
      </w:r>
      <w:r w:rsidRPr="007A5468">
        <w:rPr>
          <w:lang w:val="en-CA"/>
        </w:rPr>
        <w:t>para. 16.</w:t>
      </w:r>
    </w:p>
  </w:footnote>
  <w:footnote w:id="7">
    <w:p w14:paraId="400F76CB" w14:textId="6FF370D2" w:rsidR="0097639F" w:rsidRPr="007A5468" w:rsidRDefault="0097639F" w:rsidP="00B25D39">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Collins</w:t>
      </w:r>
      <w:r w:rsidRPr="007A5468">
        <w:rPr>
          <w:lang w:val="en-CA"/>
        </w:rPr>
        <w:t>, [1997] 1 S.C.R. 265</w:t>
      </w:r>
      <w:r w:rsidR="008B48CC" w:rsidRPr="007A5468">
        <w:rPr>
          <w:lang w:val="en-CA"/>
        </w:rPr>
        <w:t>,</w:t>
      </w:r>
      <w:r w:rsidRPr="007A5468">
        <w:rPr>
          <w:lang w:val="en-CA"/>
        </w:rPr>
        <w:t xml:space="preserve"> </w:t>
      </w:r>
      <w:r w:rsidR="008B48CC" w:rsidRPr="007A5468">
        <w:rPr>
          <w:lang w:val="en-CA"/>
        </w:rPr>
        <w:t>p.</w:t>
      </w:r>
      <w:r w:rsidRPr="007A5468">
        <w:rPr>
          <w:lang w:val="en-CA"/>
        </w:rPr>
        <w:t xml:space="preserve"> 277.</w:t>
      </w:r>
    </w:p>
  </w:footnote>
  <w:footnote w:id="8">
    <w:p w14:paraId="2C4D2D2D" w14:textId="693C293D"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t>Sections 320.11 and 320.27(</w:t>
      </w:r>
      <w:r w:rsidRPr="002E7C7B">
        <w:rPr>
          <w:i/>
          <w:iCs/>
          <w:lang w:val="en-CA"/>
        </w:rPr>
        <w:t>b</w:t>
      </w:r>
      <w:r w:rsidRPr="007A5468">
        <w:rPr>
          <w:lang w:val="en-CA"/>
        </w:rPr>
        <w:t>)</w:t>
      </w:r>
      <w:proofErr w:type="spellStart"/>
      <w:r w:rsidRPr="007A5468">
        <w:rPr>
          <w:i/>
          <w:lang w:val="en-CA"/>
        </w:rPr>
        <w:t>Cr.C</w:t>
      </w:r>
      <w:proofErr w:type="spellEnd"/>
      <w:r w:rsidRPr="007A5468">
        <w:rPr>
          <w:i/>
          <w:lang w:val="en-CA"/>
        </w:rPr>
        <w:t>.</w:t>
      </w:r>
    </w:p>
  </w:footnote>
  <w:footnote w:id="9">
    <w:p w14:paraId="27CAF29D" w14:textId="5ABA6094" w:rsidR="0097639F" w:rsidRPr="007A5468" w:rsidRDefault="0097639F" w:rsidP="00B25D39">
      <w:pPr>
        <w:pStyle w:val="Notedebasdepage"/>
        <w:rPr>
          <w:lang w:val="en-CA"/>
        </w:rPr>
      </w:pPr>
      <w:r w:rsidRPr="007A5468">
        <w:rPr>
          <w:rStyle w:val="Appelnotedebasdep"/>
          <w:lang w:val="en-CA"/>
        </w:rPr>
        <w:footnoteRef/>
      </w:r>
      <w:r w:rsidRPr="007A5468">
        <w:rPr>
          <w:lang w:val="en-CA"/>
        </w:rPr>
        <w:t xml:space="preserve"> </w:t>
      </w:r>
      <w:r w:rsidRPr="007A5468">
        <w:rPr>
          <w:lang w:val="en-CA"/>
        </w:rPr>
        <w:tab/>
        <w:t>Sections 320.11 and 320.28(1</w:t>
      </w:r>
      <w:proofErr w:type="gramStart"/>
      <w:r w:rsidRPr="007A5468">
        <w:rPr>
          <w:lang w:val="en-CA"/>
        </w:rPr>
        <w:t>)(</w:t>
      </w:r>
      <w:proofErr w:type="gramEnd"/>
      <w:r w:rsidRPr="002E7C7B">
        <w:rPr>
          <w:i/>
          <w:iCs/>
          <w:lang w:val="en-CA"/>
        </w:rPr>
        <w:t>a</w:t>
      </w:r>
      <w:r w:rsidRPr="007A5468">
        <w:rPr>
          <w:i/>
          <w:lang w:val="en-CA"/>
        </w:rPr>
        <w:t>)</w:t>
      </w:r>
      <w:r w:rsidRPr="007A5468">
        <w:rPr>
          <w:lang w:val="en-CA"/>
        </w:rPr>
        <w:t>(</w:t>
      </w:r>
      <w:proofErr w:type="spellStart"/>
      <w:r w:rsidRPr="007A5468">
        <w:rPr>
          <w:lang w:val="en-CA"/>
        </w:rPr>
        <w:t>i</w:t>
      </w:r>
      <w:proofErr w:type="spellEnd"/>
      <w:r w:rsidRPr="007A5468">
        <w:rPr>
          <w:lang w:val="en-CA"/>
        </w:rPr>
        <w:t>)</w:t>
      </w:r>
      <w:proofErr w:type="spellStart"/>
      <w:r w:rsidRPr="007A5468">
        <w:rPr>
          <w:i/>
          <w:lang w:val="en-CA"/>
        </w:rPr>
        <w:t>Cr.C</w:t>
      </w:r>
      <w:proofErr w:type="spellEnd"/>
      <w:r w:rsidRPr="007A5468">
        <w:rPr>
          <w:i/>
          <w:lang w:val="en-CA"/>
        </w:rPr>
        <w:t>.</w:t>
      </w:r>
    </w:p>
  </w:footnote>
  <w:footnote w:id="10">
    <w:p w14:paraId="2FCA2DA7" w14:textId="3B1801FB"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t>Judgment under appeal</w:t>
      </w:r>
      <w:r w:rsidR="00BE26EE" w:rsidRPr="007A5468">
        <w:rPr>
          <w:lang w:val="en-CA"/>
        </w:rPr>
        <w:t>,</w:t>
      </w:r>
      <w:r w:rsidRPr="007A5468">
        <w:rPr>
          <w:lang w:val="en-CA"/>
        </w:rPr>
        <w:t xml:space="preserve"> </w:t>
      </w:r>
      <w:r w:rsidR="00BE26EE" w:rsidRPr="007A5468">
        <w:rPr>
          <w:lang w:val="en-CA"/>
        </w:rPr>
        <w:t>p.</w:t>
      </w:r>
      <w:r w:rsidRPr="007A5468">
        <w:rPr>
          <w:lang w:val="en-CA"/>
        </w:rPr>
        <w:t xml:space="preserve"> 20, lines 7</w:t>
      </w:r>
      <w:r w:rsidRPr="007A5468">
        <w:rPr>
          <w:lang w:val="en-CA"/>
        </w:rPr>
        <w:sym w:font="Symbol" w:char="F02D"/>
      </w:r>
      <w:r w:rsidRPr="007A5468">
        <w:rPr>
          <w:lang w:val="en-CA"/>
        </w:rPr>
        <w:t>9.</w:t>
      </w:r>
    </w:p>
  </w:footnote>
  <w:footnote w:id="11">
    <w:p w14:paraId="17F4C25C" w14:textId="560D6E16" w:rsidR="0097639F" w:rsidRPr="007A5468" w:rsidRDefault="0097639F" w:rsidP="006A473B">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proofErr w:type="spellStart"/>
      <w:r w:rsidRPr="007A5468">
        <w:rPr>
          <w:i/>
          <w:lang w:val="en-CA"/>
        </w:rPr>
        <w:t>Dussault</w:t>
      </w:r>
      <w:proofErr w:type="spellEnd"/>
      <w:r w:rsidRPr="007A5468">
        <w:rPr>
          <w:i/>
          <w:lang w:val="en-CA"/>
        </w:rPr>
        <w:t xml:space="preserve"> c.</w:t>
      </w:r>
      <w:r w:rsidRPr="007A5468">
        <w:rPr>
          <w:lang w:val="en-CA"/>
        </w:rPr>
        <w:t xml:space="preserve"> </w:t>
      </w:r>
      <w:r w:rsidRPr="007A5468">
        <w:rPr>
          <w:i/>
          <w:lang w:val="en-CA"/>
        </w:rPr>
        <w:t>R.</w:t>
      </w:r>
      <w:r w:rsidRPr="007A5468">
        <w:rPr>
          <w:lang w:val="en-CA"/>
        </w:rPr>
        <w:t>, 2020 QCCA 746</w:t>
      </w:r>
      <w:r w:rsidR="00BE26EE" w:rsidRPr="007A5468">
        <w:rPr>
          <w:lang w:val="en-CA"/>
        </w:rPr>
        <w:t>,</w:t>
      </w:r>
      <w:r w:rsidRPr="007A5468">
        <w:rPr>
          <w:lang w:val="en-CA"/>
        </w:rPr>
        <w:t xml:space="preserve"> para. 28; </w:t>
      </w:r>
      <w:r w:rsidRPr="007A5468">
        <w:rPr>
          <w:i/>
          <w:lang w:val="en-CA"/>
        </w:rPr>
        <w:t xml:space="preserve">R. v. </w:t>
      </w:r>
      <w:proofErr w:type="spellStart"/>
      <w:r w:rsidRPr="007A5468">
        <w:rPr>
          <w:i/>
          <w:lang w:val="en-CA"/>
        </w:rPr>
        <w:t>Keror</w:t>
      </w:r>
      <w:proofErr w:type="spellEnd"/>
      <w:r w:rsidRPr="007A5468">
        <w:rPr>
          <w:lang w:val="en-CA"/>
        </w:rPr>
        <w:t>, 2017 ABCA 273</w:t>
      </w:r>
      <w:r w:rsidR="00BE26EE" w:rsidRPr="007A5468">
        <w:rPr>
          <w:lang w:val="en-CA"/>
        </w:rPr>
        <w:t>,</w:t>
      </w:r>
      <w:r w:rsidRPr="007A5468">
        <w:rPr>
          <w:lang w:val="en-CA"/>
        </w:rPr>
        <w:t xml:space="preserve"> para. 7.</w:t>
      </w:r>
    </w:p>
  </w:footnote>
  <w:footnote w:id="12">
    <w:p w14:paraId="72CB6563" w14:textId="0D200DB1" w:rsidR="0097639F" w:rsidRPr="007A5468" w:rsidRDefault="0097639F" w:rsidP="00125175">
      <w:pPr>
        <w:pStyle w:val="Notedebasdepage"/>
        <w:rPr>
          <w:lang w:val="en-CA"/>
        </w:rPr>
      </w:pPr>
      <w:r w:rsidRPr="007A5468">
        <w:rPr>
          <w:rStyle w:val="Appelnotedebasdep"/>
          <w:lang w:val="en-CA"/>
        </w:rPr>
        <w:footnoteRef/>
      </w:r>
      <w:r w:rsidRPr="007A5468">
        <w:rPr>
          <w:lang w:val="en-CA"/>
        </w:rPr>
        <w:t xml:space="preserve"> </w:t>
      </w:r>
      <w:r w:rsidRPr="007A5468">
        <w:rPr>
          <w:lang w:val="en-CA"/>
        </w:rPr>
        <w:tab/>
        <w:t xml:space="preserve">On the principle that the application of a legal standard to duly proven facts is a question of law, see also </w:t>
      </w:r>
      <w:r w:rsidRPr="007A5468">
        <w:rPr>
          <w:i/>
          <w:lang w:val="en-CA"/>
        </w:rPr>
        <w:t>R. v. Le</w:t>
      </w:r>
      <w:r w:rsidRPr="007A5468">
        <w:rPr>
          <w:lang w:val="en-CA"/>
        </w:rPr>
        <w:t>, 2019 SCC 34</w:t>
      </w:r>
      <w:r w:rsidR="00BE26EE" w:rsidRPr="007A5468">
        <w:rPr>
          <w:lang w:val="en-CA"/>
        </w:rPr>
        <w:t>,</w:t>
      </w:r>
      <w:r w:rsidRPr="007A5468">
        <w:rPr>
          <w:lang w:val="en-CA"/>
        </w:rPr>
        <w:t xml:space="preserve"> para. 23; </w:t>
      </w:r>
      <w:r w:rsidRPr="007A5468">
        <w:rPr>
          <w:i/>
          <w:lang w:val="en-CA"/>
        </w:rPr>
        <w:t>R. v. Shepherd</w:t>
      </w:r>
      <w:r w:rsidRPr="007A5468">
        <w:rPr>
          <w:lang w:val="en-CA"/>
        </w:rPr>
        <w:t>, 2009 SCC 35</w:t>
      </w:r>
      <w:r w:rsidR="00BE26EE" w:rsidRPr="007A5468">
        <w:rPr>
          <w:lang w:val="en-CA"/>
        </w:rPr>
        <w:t>,</w:t>
      </w:r>
      <w:r w:rsidRPr="007A5468">
        <w:rPr>
          <w:lang w:val="en-CA"/>
        </w:rPr>
        <w:t xml:space="preserve"> para. 20;</w:t>
      </w:r>
      <w:r w:rsidRPr="007A5468">
        <w:rPr>
          <w:rFonts w:cs="Arial"/>
          <w:i/>
          <w:lang w:val="en-CA"/>
        </w:rPr>
        <w:t xml:space="preserve"> </w:t>
      </w:r>
      <w:proofErr w:type="spellStart"/>
      <w:r w:rsidRPr="007A5468">
        <w:rPr>
          <w:rFonts w:cs="Arial"/>
          <w:i/>
          <w:lang w:val="en-CA"/>
        </w:rPr>
        <w:t>Catellier</w:t>
      </w:r>
      <w:proofErr w:type="spellEnd"/>
      <w:r w:rsidRPr="007A5468">
        <w:rPr>
          <w:rFonts w:cs="Arial"/>
          <w:i/>
          <w:lang w:val="en-CA"/>
        </w:rPr>
        <w:t xml:space="preserve"> </w:t>
      </w:r>
      <w:r w:rsidR="008C3ABA" w:rsidRPr="007A5468">
        <w:rPr>
          <w:rFonts w:cs="Arial"/>
          <w:i/>
          <w:lang w:val="en-CA"/>
        </w:rPr>
        <w:t>c</w:t>
      </w:r>
      <w:r w:rsidRPr="007A5468">
        <w:rPr>
          <w:rFonts w:cs="Arial"/>
          <w:i/>
          <w:lang w:val="en-CA"/>
        </w:rPr>
        <w:t>. R</w:t>
      </w:r>
      <w:r w:rsidRPr="007A5468">
        <w:rPr>
          <w:rFonts w:cs="Arial"/>
          <w:lang w:val="en-CA"/>
        </w:rPr>
        <w:t>., 2020 QCCA 850</w:t>
      </w:r>
      <w:r w:rsidR="00BE26EE" w:rsidRPr="007A5468">
        <w:rPr>
          <w:rFonts w:cs="Arial"/>
          <w:lang w:val="en-CA"/>
        </w:rPr>
        <w:t>,</w:t>
      </w:r>
      <w:r w:rsidRPr="007A5468">
        <w:rPr>
          <w:rFonts w:cs="Arial"/>
          <w:lang w:val="en-CA"/>
        </w:rPr>
        <w:t xml:space="preserve"> para. 17; </w:t>
      </w:r>
      <w:proofErr w:type="spellStart"/>
      <w:r w:rsidRPr="007A5468">
        <w:rPr>
          <w:i/>
          <w:lang w:val="en-CA"/>
        </w:rPr>
        <w:t>Vinet</w:t>
      </w:r>
      <w:proofErr w:type="spellEnd"/>
      <w:r w:rsidRPr="007A5468">
        <w:rPr>
          <w:i/>
          <w:lang w:val="en-CA"/>
        </w:rPr>
        <w:t xml:space="preserve"> </w:t>
      </w:r>
      <w:r w:rsidR="00D57A88" w:rsidRPr="007A5468">
        <w:rPr>
          <w:i/>
          <w:lang w:val="en-CA"/>
        </w:rPr>
        <w:t>c</w:t>
      </w:r>
      <w:r w:rsidRPr="007A5468">
        <w:rPr>
          <w:i/>
          <w:lang w:val="en-CA"/>
        </w:rPr>
        <w:t>. R.</w:t>
      </w:r>
      <w:r w:rsidRPr="007A5468">
        <w:rPr>
          <w:lang w:val="en-CA"/>
        </w:rPr>
        <w:t>, 2019 QCCA 437</w:t>
      </w:r>
      <w:r w:rsidR="00BE26EE" w:rsidRPr="007A5468">
        <w:rPr>
          <w:lang w:val="en-CA"/>
        </w:rPr>
        <w:t>,</w:t>
      </w:r>
      <w:r w:rsidRPr="007A5468">
        <w:rPr>
          <w:lang w:val="en-CA"/>
        </w:rPr>
        <w:t xml:space="preserve"> para. 28.</w:t>
      </w:r>
    </w:p>
  </w:footnote>
  <w:footnote w:id="13">
    <w:p w14:paraId="7FFD82F8" w14:textId="737E86AA"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Willier, supra</w:t>
      </w:r>
      <w:r w:rsidR="00D57A88" w:rsidRPr="007A5468">
        <w:rPr>
          <w:lang w:val="en-CA"/>
        </w:rPr>
        <w:t xml:space="preserve">, </w:t>
      </w:r>
      <w:r w:rsidRPr="007A5468">
        <w:rPr>
          <w:lang w:val="en-CA"/>
        </w:rPr>
        <w:t>note 6</w:t>
      </w:r>
      <w:r w:rsidR="00BE26EE" w:rsidRPr="007A5468">
        <w:rPr>
          <w:lang w:val="en-CA"/>
        </w:rPr>
        <w:t>,</w:t>
      </w:r>
      <w:r w:rsidRPr="007A5468">
        <w:rPr>
          <w:lang w:val="en-CA"/>
        </w:rPr>
        <w:t xml:space="preserve"> para. 24. </w:t>
      </w:r>
    </w:p>
  </w:footnote>
  <w:footnote w:id="14">
    <w:p w14:paraId="3B96559C" w14:textId="73BDB0A8"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McCrimmon</w:t>
      </w:r>
      <w:r w:rsidRPr="007A5468">
        <w:rPr>
          <w:lang w:val="en-CA"/>
        </w:rPr>
        <w:t xml:space="preserve">, </w:t>
      </w:r>
      <w:r w:rsidRPr="007A5468">
        <w:rPr>
          <w:i/>
          <w:lang w:val="en-CA"/>
        </w:rPr>
        <w:t>supra</w:t>
      </w:r>
      <w:r w:rsidR="00D57A88" w:rsidRPr="007A5468">
        <w:rPr>
          <w:lang w:val="en-CA"/>
        </w:rPr>
        <w:t xml:space="preserve">, </w:t>
      </w:r>
      <w:r w:rsidRPr="007A5468">
        <w:rPr>
          <w:lang w:val="en-CA"/>
        </w:rPr>
        <w:t>note 6</w:t>
      </w:r>
      <w:r w:rsidR="00BE26EE" w:rsidRPr="007A5468">
        <w:rPr>
          <w:lang w:val="en-CA"/>
        </w:rPr>
        <w:t>,</w:t>
      </w:r>
      <w:r w:rsidRPr="007A5468">
        <w:rPr>
          <w:lang w:val="en-CA"/>
        </w:rPr>
        <w:t xml:space="preserve"> para. 18</w:t>
      </w:r>
      <w:r w:rsidR="00D57A88" w:rsidRPr="007A5468">
        <w:rPr>
          <w:lang w:val="en-CA"/>
        </w:rPr>
        <w:t>;</w:t>
      </w:r>
      <w:r w:rsidRPr="007A5468">
        <w:rPr>
          <w:lang w:val="en-CA"/>
        </w:rPr>
        <w:t xml:space="preserve"> see also </w:t>
      </w:r>
      <w:r w:rsidRPr="007A5468">
        <w:rPr>
          <w:i/>
          <w:lang w:val="en-CA"/>
        </w:rPr>
        <w:t>R. v. Willier</w:t>
      </w:r>
      <w:r w:rsidRPr="007A5468">
        <w:rPr>
          <w:lang w:val="en-CA"/>
        </w:rPr>
        <w:t xml:space="preserve">, </w:t>
      </w:r>
      <w:r w:rsidRPr="007A5468">
        <w:rPr>
          <w:i/>
          <w:lang w:val="en-CA"/>
        </w:rPr>
        <w:t>supra</w:t>
      </w:r>
      <w:r w:rsidR="00D57A88" w:rsidRPr="007A5468">
        <w:rPr>
          <w:lang w:val="en-CA"/>
        </w:rPr>
        <w:t xml:space="preserve">, </w:t>
      </w:r>
      <w:r w:rsidRPr="007A5468">
        <w:rPr>
          <w:lang w:val="en-CA"/>
        </w:rPr>
        <w:t>note 6</w:t>
      </w:r>
      <w:r w:rsidR="00BE26EE" w:rsidRPr="007A5468">
        <w:rPr>
          <w:lang w:val="en-CA"/>
        </w:rPr>
        <w:t>, para</w:t>
      </w:r>
      <w:r w:rsidRPr="007A5468">
        <w:rPr>
          <w:lang w:val="en-CA"/>
        </w:rPr>
        <w:t>. 29.</w:t>
      </w:r>
    </w:p>
  </w:footnote>
  <w:footnote w:id="15">
    <w:p w14:paraId="115F22B5" w14:textId="5AC6D7E5"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McCrimmon</w:t>
      </w:r>
      <w:r w:rsidRPr="007A5468">
        <w:rPr>
          <w:lang w:val="en-CA"/>
        </w:rPr>
        <w:t xml:space="preserve">, </w:t>
      </w:r>
      <w:r w:rsidRPr="007A5468">
        <w:rPr>
          <w:i/>
          <w:lang w:val="en-CA"/>
        </w:rPr>
        <w:t>supra</w:t>
      </w:r>
      <w:r w:rsidR="00D57A88" w:rsidRPr="007A5468">
        <w:rPr>
          <w:lang w:val="en-CA"/>
        </w:rPr>
        <w:t xml:space="preserve">, </w:t>
      </w:r>
      <w:r w:rsidRPr="007A5468">
        <w:rPr>
          <w:lang w:val="en-CA"/>
        </w:rPr>
        <w:t>note 6</w:t>
      </w:r>
      <w:r w:rsidR="00BE26EE" w:rsidRPr="007A5468">
        <w:rPr>
          <w:lang w:val="en-CA"/>
        </w:rPr>
        <w:t>, para</w:t>
      </w:r>
      <w:r w:rsidRPr="007A5468">
        <w:rPr>
          <w:lang w:val="en-CA"/>
        </w:rPr>
        <w:t>. 17.</w:t>
      </w:r>
    </w:p>
  </w:footnote>
  <w:footnote w:id="16">
    <w:p w14:paraId="09C335DA" w14:textId="2728934A"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Sinclair</w:t>
      </w:r>
      <w:r w:rsidRPr="007A5468">
        <w:rPr>
          <w:lang w:val="en-CA"/>
        </w:rPr>
        <w:t xml:space="preserve">, </w:t>
      </w:r>
      <w:r w:rsidRPr="007A5468">
        <w:rPr>
          <w:i/>
          <w:lang w:val="en-CA"/>
        </w:rPr>
        <w:t>supra</w:t>
      </w:r>
      <w:r w:rsidR="00D57A88" w:rsidRPr="007A5468">
        <w:rPr>
          <w:lang w:val="en-CA"/>
        </w:rPr>
        <w:t xml:space="preserve">, </w:t>
      </w:r>
      <w:r w:rsidRPr="007A5468">
        <w:rPr>
          <w:lang w:val="en-CA"/>
        </w:rPr>
        <w:t>note 6</w:t>
      </w:r>
      <w:r w:rsidR="00BE26EE" w:rsidRPr="007A5468">
        <w:rPr>
          <w:lang w:val="en-CA"/>
        </w:rPr>
        <w:t>, para</w:t>
      </w:r>
      <w:r w:rsidRPr="007A5468">
        <w:rPr>
          <w:lang w:val="en-CA"/>
        </w:rPr>
        <w:t>. 31 [Emphasis added]</w:t>
      </w:r>
      <w:r w:rsidR="00D57A88" w:rsidRPr="007A5468">
        <w:rPr>
          <w:lang w:val="en-CA"/>
        </w:rPr>
        <w:t>.</w:t>
      </w:r>
    </w:p>
  </w:footnote>
  <w:footnote w:id="17">
    <w:p w14:paraId="20F5933C" w14:textId="4904A649"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Id.</w:t>
      </w:r>
      <w:r w:rsidR="00BE26EE" w:rsidRPr="002E7C7B">
        <w:rPr>
          <w:iCs/>
          <w:lang w:val="en-CA"/>
        </w:rPr>
        <w:t>, para</w:t>
      </w:r>
      <w:r w:rsidRPr="007A5468">
        <w:rPr>
          <w:iCs/>
          <w:lang w:val="en-CA"/>
        </w:rPr>
        <w:t xml:space="preserve">. </w:t>
      </w:r>
      <w:r w:rsidRPr="007A5468">
        <w:rPr>
          <w:lang w:val="en-CA"/>
        </w:rPr>
        <w:t>27.</w:t>
      </w:r>
    </w:p>
  </w:footnote>
  <w:footnote w:id="18">
    <w:p w14:paraId="081E30A1" w14:textId="77777777"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Ibid</w:t>
      </w:r>
      <w:r w:rsidRPr="007A5468">
        <w:rPr>
          <w:lang w:val="en-CA"/>
        </w:rPr>
        <w:t>.</w:t>
      </w:r>
    </w:p>
  </w:footnote>
  <w:footnote w:id="19">
    <w:p w14:paraId="093C3D13" w14:textId="77777777"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Ibid</w:t>
      </w:r>
      <w:r w:rsidRPr="007A5468">
        <w:rPr>
          <w:lang w:val="en-CA"/>
        </w:rPr>
        <w:t>.</w:t>
      </w:r>
    </w:p>
  </w:footnote>
  <w:footnote w:id="20">
    <w:p w14:paraId="66FFB84C" w14:textId="1998BFF5"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Willier, supra</w:t>
      </w:r>
      <w:r w:rsidR="00D57A88" w:rsidRPr="007A5468">
        <w:rPr>
          <w:lang w:val="en-CA"/>
        </w:rPr>
        <w:t xml:space="preserve">, </w:t>
      </w:r>
      <w:r w:rsidRPr="007A5468">
        <w:rPr>
          <w:lang w:val="en-CA"/>
        </w:rPr>
        <w:t>note 6</w:t>
      </w:r>
      <w:r w:rsidR="00BE26EE" w:rsidRPr="007A5468">
        <w:rPr>
          <w:lang w:val="en-CA"/>
        </w:rPr>
        <w:t>, para</w:t>
      </w:r>
      <w:r w:rsidRPr="007A5468">
        <w:rPr>
          <w:lang w:val="en-CA"/>
        </w:rPr>
        <w:t>. 29.</w:t>
      </w:r>
    </w:p>
  </w:footnote>
  <w:footnote w:id="21">
    <w:p w14:paraId="7B4E36DD" w14:textId="2BF74017"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Willier</w:t>
      </w:r>
      <w:r w:rsidRPr="007A5468">
        <w:rPr>
          <w:lang w:val="en-CA"/>
        </w:rPr>
        <w:t xml:space="preserve">, </w:t>
      </w:r>
      <w:r w:rsidRPr="007A5468">
        <w:rPr>
          <w:i/>
          <w:lang w:val="en-CA"/>
        </w:rPr>
        <w:t>supra</w:t>
      </w:r>
      <w:r w:rsidR="00A527FC" w:rsidRPr="007A5468">
        <w:rPr>
          <w:lang w:val="en-CA"/>
        </w:rPr>
        <w:t xml:space="preserve">, </w:t>
      </w:r>
      <w:r w:rsidRPr="007A5468">
        <w:rPr>
          <w:lang w:val="en-CA"/>
        </w:rPr>
        <w:t>note 6</w:t>
      </w:r>
      <w:r w:rsidR="00BE26EE" w:rsidRPr="007A5468">
        <w:rPr>
          <w:lang w:val="en-CA"/>
        </w:rPr>
        <w:t>, para</w:t>
      </w:r>
      <w:r w:rsidRPr="007A5468">
        <w:rPr>
          <w:lang w:val="en-CA"/>
        </w:rPr>
        <w:t>. 35, citing Lamer</w:t>
      </w:r>
      <w:r w:rsidR="00A527FC" w:rsidRPr="007A5468">
        <w:rPr>
          <w:lang w:val="en-CA"/>
        </w:rPr>
        <w:t>,</w:t>
      </w:r>
      <w:r w:rsidRPr="007A5468">
        <w:rPr>
          <w:lang w:val="en-CA"/>
        </w:rPr>
        <w:t xml:space="preserve"> J. in </w:t>
      </w:r>
      <w:r w:rsidRPr="007A5468">
        <w:rPr>
          <w:i/>
          <w:lang w:val="en-CA"/>
        </w:rPr>
        <w:t>R. v. Ross</w:t>
      </w:r>
      <w:r w:rsidRPr="007A5468">
        <w:rPr>
          <w:lang w:val="en-CA"/>
        </w:rPr>
        <w:t>, [1989] 1 S.C.R. 3</w:t>
      </w:r>
      <w:r w:rsidR="00A527FC" w:rsidRPr="007A5468">
        <w:rPr>
          <w:lang w:val="en-CA"/>
        </w:rPr>
        <w:t>,</w:t>
      </w:r>
      <w:r w:rsidRPr="007A5468">
        <w:rPr>
          <w:lang w:val="en-CA"/>
        </w:rPr>
        <w:t xml:space="preserve"> </w:t>
      </w:r>
      <w:r w:rsidR="00A527FC" w:rsidRPr="007A5468">
        <w:rPr>
          <w:lang w:val="en-CA"/>
        </w:rPr>
        <w:t>p.</w:t>
      </w:r>
      <w:r w:rsidRPr="007A5468">
        <w:rPr>
          <w:lang w:val="en-CA"/>
        </w:rPr>
        <w:t xml:space="preserve"> 11; </w:t>
      </w:r>
      <w:r w:rsidRPr="007A5468">
        <w:rPr>
          <w:i/>
          <w:lang w:val="en-CA"/>
        </w:rPr>
        <w:t>R. v. McCrimmon</w:t>
      </w:r>
      <w:r w:rsidRPr="007A5468">
        <w:rPr>
          <w:lang w:val="en-CA"/>
        </w:rPr>
        <w:t xml:space="preserve">, </w:t>
      </w:r>
      <w:r w:rsidRPr="007A5468">
        <w:rPr>
          <w:i/>
          <w:lang w:val="en-CA"/>
        </w:rPr>
        <w:t>supra</w:t>
      </w:r>
      <w:r w:rsidR="00A527FC" w:rsidRPr="007A5468">
        <w:rPr>
          <w:iCs/>
          <w:lang w:val="en-CA"/>
        </w:rPr>
        <w:t xml:space="preserve">, </w:t>
      </w:r>
      <w:r w:rsidRPr="007A5468">
        <w:rPr>
          <w:lang w:val="en-CA"/>
        </w:rPr>
        <w:t>note 6</w:t>
      </w:r>
      <w:r w:rsidR="00BE26EE" w:rsidRPr="007A5468">
        <w:rPr>
          <w:lang w:val="en-CA"/>
        </w:rPr>
        <w:t>, para</w:t>
      </w:r>
      <w:r w:rsidRPr="007A5468">
        <w:rPr>
          <w:lang w:val="en-CA"/>
        </w:rPr>
        <w:t>. 18.</w:t>
      </w:r>
    </w:p>
  </w:footnote>
  <w:footnote w:id="22">
    <w:p w14:paraId="2AABC206" w14:textId="2A44905D" w:rsidR="0097639F" w:rsidRPr="007A5468" w:rsidRDefault="0097639F" w:rsidP="007D1340">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Sinclair</w:t>
      </w:r>
      <w:r w:rsidRPr="007A5468">
        <w:rPr>
          <w:lang w:val="en-CA"/>
        </w:rPr>
        <w:t xml:space="preserve">, </w:t>
      </w:r>
      <w:r w:rsidRPr="007A5468">
        <w:rPr>
          <w:i/>
          <w:lang w:val="en-CA"/>
        </w:rPr>
        <w:t>supra</w:t>
      </w:r>
      <w:r w:rsidR="00A527FC" w:rsidRPr="007A5468">
        <w:rPr>
          <w:iCs/>
          <w:lang w:val="en-CA"/>
        </w:rPr>
        <w:t xml:space="preserve">, </w:t>
      </w:r>
      <w:r w:rsidRPr="007A5468">
        <w:rPr>
          <w:lang w:val="en-CA"/>
        </w:rPr>
        <w:t>note 6</w:t>
      </w:r>
      <w:r w:rsidR="00BE26EE" w:rsidRPr="007A5468">
        <w:rPr>
          <w:lang w:val="en-CA"/>
        </w:rPr>
        <w:t>, para</w:t>
      </w:r>
      <w:r w:rsidRPr="007A5468">
        <w:rPr>
          <w:lang w:val="en-CA"/>
        </w:rPr>
        <w:t>. 27.</w:t>
      </w:r>
    </w:p>
  </w:footnote>
  <w:footnote w:id="23">
    <w:p w14:paraId="2A72C667" w14:textId="63837B45"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Smith</w:t>
      </w:r>
      <w:r w:rsidRPr="007A5468">
        <w:rPr>
          <w:lang w:val="en-CA"/>
        </w:rPr>
        <w:t>, [1989] 2 S.C.R. 368</w:t>
      </w:r>
      <w:r w:rsidR="00A527FC" w:rsidRPr="007A5468">
        <w:rPr>
          <w:lang w:val="en-CA"/>
        </w:rPr>
        <w:t>,</w:t>
      </w:r>
      <w:r w:rsidRPr="007A5468">
        <w:rPr>
          <w:lang w:val="en-CA"/>
        </w:rPr>
        <w:t xml:space="preserve"> </w:t>
      </w:r>
      <w:r w:rsidR="00A527FC" w:rsidRPr="007A5468">
        <w:rPr>
          <w:lang w:val="en-CA"/>
        </w:rPr>
        <w:t>p.</w:t>
      </w:r>
      <w:r w:rsidRPr="007A5468">
        <w:rPr>
          <w:lang w:val="en-CA"/>
        </w:rPr>
        <w:t xml:space="preserve"> 385; </w:t>
      </w:r>
      <w:r w:rsidRPr="007A5468">
        <w:rPr>
          <w:i/>
          <w:lang w:val="en-CA"/>
        </w:rPr>
        <w:t>R. v. Willier, supra</w:t>
      </w:r>
      <w:r w:rsidR="00A527FC" w:rsidRPr="007A5468">
        <w:rPr>
          <w:iCs/>
          <w:lang w:val="en-CA"/>
        </w:rPr>
        <w:t>,</w:t>
      </w:r>
      <w:r w:rsidRPr="007A5468">
        <w:rPr>
          <w:i/>
          <w:lang w:val="en-CA"/>
        </w:rPr>
        <w:t xml:space="preserve"> </w:t>
      </w:r>
      <w:r w:rsidRPr="007A5468">
        <w:rPr>
          <w:lang w:val="en-CA"/>
        </w:rPr>
        <w:t>note 6</w:t>
      </w:r>
      <w:r w:rsidR="00BE26EE" w:rsidRPr="007A5468">
        <w:rPr>
          <w:lang w:val="en-CA"/>
        </w:rPr>
        <w:t>, para</w:t>
      </w:r>
      <w:r w:rsidRPr="007A5468">
        <w:rPr>
          <w:lang w:val="en-CA"/>
        </w:rPr>
        <w:t xml:space="preserve">. 34; </w:t>
      </w:r>
      <w:r w:rsidRPr="007A5468">
        <w:rPr>
          <w:i/>
          <w:lang w:val="en-CA"/>
        </w:rPr>
        <w:t>R. v. Sinclair</w:t>
      </w:r>
      <w:r w:rsidRPr="007A5468">
        <w:rPr>
          <w:lang w:val="en-CA"/>
        </w:rPr>
        <w:t xml:space="preserve">, </w:t>
      </w:r>
      <w:r w:rsidRPr="007A5468">
        <w:rPr>
          <w:i/>
          <w:lang w:val="en-CA"/>
        </w:rPr>
        <w:t>supra</w:t>
      </w:r>
      <w:r w:rsidR="00A527FC" w:rsidRPr="007A5468">
        <w:rPr>
          <w:iCs/>
          <w:lang w:val="en-CA"/>
        </w:rPr>
        <w:t>,</w:t>
      </w:r>
      <w:r w:rsidRPr="007A5468">
        <w:rPr>
          <w:i/>
          <w:lang w:val="en-CA"/>
        </w:rPr>
        <w:t xml:space="preserve"> </w:t>
      </w:r>
      <w:r w:rsidRPr="007A5468">
        <w:rPr>
          <w:lang w:val="en-CA"/>
        </w:rPr>
        <w:t>note 6</w:t>
      </w:r>
      <w:r w:rsidR="00BE26EE" w:rsidRPr="007A5468">
        <w:rPr>
          <w:lang w:val="en-CA"/>
        </w:rPr>
        <w:t>, para</w:t>
      </w:r>
      <w:r w:rsidRPr="007A5468">
        <w:rPr>
          <w:lang w:val="en-CA"/>
        </w:rPr>
        <w:t xml:space="preserve">. 58; </w:t>
      </w:r>
      <w:proofErr w:type="spellStart"/>
      <w:r w:rsidRPr="007A5468">
        <w:rPr>
          <w:i/>
          <w:lang w:val="en-CA"/>
        </w:rPr>
        <w:t>Émond</w:t>
      </w:r>
      <w:proofErr w:type="spellEnd"/>
      <w:r w:rsidRPr="007A5468">
        <w:rPr>
          <w:i/>
          <w:lang w:val="en-CA"/>
        </w:rPr>
        <w:t xml:space="preserve"> </w:t>
      </w:r>
      <w:r w:rsidR="00A527FC" w:rsidRPr="007A5468">
        <w:rPr>
          <w:i/>
          <w:lang w:val="en-CA"/>
        </w:rPr>
        <w:t>c</w:t>
      </w:r>
      <w:r w:rsidRPr="007A5468">
        <w:rPr>
          <w:i/>
          <w:lang w:val="en-CA"/>
        </w:rPr>
        <w:t>. R</w:t>
      </w:r>
      <w:r w:rsidRPr="007A5468">
        <w:rPr>
          <w:lang w:val="en-CA"/>
        </w:rPr>
        <w:t>., 2012 QCCA 2090</w:t>
      </w:r>
      <w:r w:rsidR="00BE26EE" w:rsidRPr="007A5468">
        <w:rPr>
          <w:lang w:val="en-CA"/>
        </w:rPr>
        <w:t>, para</w:t>
      </w:r>
      <w:r w:rsidRPr="007A5468">
        <w:rPr>
          <w:lang w:val="en-CA"/>
        </w:rPr>
        <w:t>.</w:t>
      </w:r>
      <w:r w:rsidRPr="007A5468">
        <w:rPr>
          <w:i/>
          <w:lang w:val="en-CA"/>
        </w:rPr>
        <w:t xml:space="preserve"> </w:t>
      </w:r>
      <w:r w:rsidRPr="007A5468">
        <w:rPr>
          <w:lang w:val="en-CA"/>
        </w:rPr>
        <w:t xml:space="preserve">8; </w:t>
      </w:r>
      <w:r w:rsidRPr="007A5468">
        <w:rPr>
          <w:i/>
          <w:lang w:val="en-CA"/>
        </w:rPr>
        <w:t>R. v. Richfield</w:t>
      </w:r>
      <w:r w:rsidRPr="007A5468">
        <w:rPr>
          <w:lang w:val="en-CA"/>
        </w:rPr>
        <w:t>, 178 C.C.C. (3d) 23, 2003 CanLII 52164</w:t>
      </w:r>
      <w:r w:rsidR="00BE26EE" w:rsidRPr="007A5468">
        <w:rPr>
          <w:lang w:val="en-CA"/>
        </w:rPr>
        <w:t>, para</w:t>
      </w:r>
      <w:r w:rsidRPr="007A5468">
        <w:rPr>
          <w:lang w:val="en-CA"/>
        </w:rPr>
        <w:t>. 7 (Ont. C.A.).</w:t>
      </w:r>
    </w:p>
  </w:footnote>
  <w:footnote w:id="24">
    <w:p w14:paraId="2744AABA" w14:textId="75D7B1E7" w:rsidR="0097639F" w:rsidRPr="007A5468" w:rsidRDefault="0097639F">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 xml:space="preserve">R. v. </w:t>
      </w:r>
      <w:proofErr w:type="spellStart"/>
      <w:r w:rsidRPr="007A5468">
        <w:rPr>
          <w:i/>
          <w:lang w:val="en-CA"/>
        </w:rPr>
        <w:t>Keror</w:t>
      </w:r>
      <w:proofErr w:type="spellEnd"/>
      <w:r w:rsidRPr="007A5468">
        <w:rPr>
          <w:lang w:val="en-CA"/>
        </w:rPr>
        <w:t xml:space="preserve">, </w:t>
      </w:r>
      <w:r w:rsidRPr="007A5468">
        <w:rPr>
          <w:i/>
          <w:lang w:val="en-CA"/>
        </w:rPr>
        <w:t>supra</w:t>
      </w:r>
      <w:r w:rsidR="003733FF" w:rsidRPr="007A5468">
        <w:rPr>
          <w:iCs/>
          <w:lang w:val="en-CA"/>
        </w:rPr>
        <w:t>,</w:t>
      </w:r>
      <w:r w:rsidRPr="007A5468">
        <w:rPr>
          <w:lang w:val="en-CA"/>
        </w:rPr>
        <w:t xml:space="preserve"> note 11.</w:t>
      </w:r>
    </w:p>
  </w:footnote>
  <w:footnote w:id="25">
    <w:p w14:paraId="71CC6428" w14:textId="198BB87A"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t xml:space="preserve">Martin Vauclair &amp; Tristan Desjardins, </w:t>
      </w:r>
      <w:proofErr w:type="spellStart"/>
      <w:r w:rsidRPr="007A5468">
        <w:rPr>
          <w:i/>
          <w:lang w:val="en-CA"/>
        </w:rPr>
        <w:t>Traité</w:t>
      </w:r>
      <w:proofErr w:type="spellEnd"/>
      <w:r w:rsidRPr="007A5468">
        <w:rPr>
          <w:i/>
          <w:lang w:val="en-CA"/>
        </w:rPr>
        <w:t xml:space="preserve"> </w:t>
      </w:r>
      <w:proofErr w:type="spellStart"/>
      <w:r w:rsidRPr="007A5468">
        <w:rPr>
          <w:i/>
          <w:lang w:val="en-CA"/>
        </w:rPr>
        <w:t>général</w:t>
      </w:r>
      <w:proofErr w:type="spellEnd"/>
      <w:r w:rsidRPr="007A5468">
        <w:rPr>
          <w:i/>
          <w:lang w:val="en-CA"/>
        </w:rPr>
        <w:t xml:space="preserve"> de </w:t>
      </w:r>
      <w:proofErr w:type="spellStart"/>
      <w:r w:rsidRPr="007A5468">
        <w:rPr>
          <w:i/>
          <w:lang w:val="en-CA"/>
        </w:rPr>
        <w:t>preuve</w:t>
      </w:r>
      <w:proofErr w:type="spellEnd"/>
      <w:r w:rsidRPr="007A5468">
        <w:rPr>
          <w:i/>
          <w:lang w:val="en-CA"/>
        </w:rPr>
        <w:t xml:space="preserve"> et de </w:t>
      </w:r>
      <w:proofErr w:type="spellStart"/>
      <w:r w:rsidRPr="007A5468">
        <w:rPr>
          <w:i/>
          <w:lang w:val="en-CA"/>
        </w:rPr>
        <w:t>procédure</w:t>
      </w:r>
      <w:proofErr w:type="spellEnd"/>
      <w:r w:rsidRPr="007A5468">
        <w:rPr>
          <w:i/>
          <w:lang w:val="en-CA"/>
        </w:rPr>
        <w:t xml:space="preserve"> </w:t>
      </w:r>
      <w:proofErr w:type="spellStart"/>
      <w:r w:rsidRPr="007A5468">
        <w:rPr>
          <w:i/>
          <w:lang w:val="en-CA"/>
        </w:rPr>
        <w:t>pénales</w:t>
      </w:r>
      <w:proofErr w:type="spellEnd"/>
      <w:r w:rsidRPr="007A5468">
        <w:rPr>
          <w:lang w:val="en-CA"/>
        </w:rPr>
        <w:t>, 27th ed., Montreal</w:t>
      </w:r>
      <w:r w:rsidR="00ED5269" w:rsidRPr="007A5468">
        <w:rPr>
          <w:lang w:val="en-CA"/>
        </w:rPr>
        <w:t>,</w:t>
      </w:r>
      <w:r w:rsidRPr="007A5468">
        <w:rPr>
          <w:lang w:val="en-CA"/>
        </w:rPr>
        <w:t xml:space="preserve"> Yvon Blais, 2020</w:t>
      </w:r>
      <w:r w:rsidR="00ED5269" w:rsidRPr="007A5468">
        <w:rPr>
          <w:lang w:val="en-CA"/>
        </w:rPr>
        <w:t>,</w:t>
      </w:r>
      <w:r w:rsidRPr="007A5468">
        <w:rPr>
          <w:lang w:val="en-CA"/>
        </w:rPr>
        <w:t xml:space="preserve"> </w:t>
      </w:r>
      <w:r w:rsidR="00ED5269" w:rsidRPr="007A5468">
        <w:rPr>
          <w:lang w:val="en-CA"/>
        </w:rPr>
        <w:t>p.</w:t>
      </w:r>
      <w:r w:rsidRPr="007A5468">
        <w:rPr>
          <w:lang w:val="en-CA"/>
        </w:rPr>
        <w:t xml:space="preserve"> 1309</w:t>
      </w:r>
      <w:r w:rsidR="00BE26EE" w:rsidRPr="007A5468">
        <w:rPr>
          <w:lang w:val="en-CA"/>
        </w:rPr>
        <w:t>, para</w:t>
      </w:r>
      <w:r w:rsidRPr="007A5468">
        <w:rPr>
          <w:lang w:val="en-CA"/>
        </w:rPr>
        <w:t>. 38.98.</w:t>
      </w:r>
    </w:p>
  </w:footnote>
  <w:footnote w:id="26">
    <w:p w14:paraId="347D0EFF" w14:textId="2E7E2941" w:rsidR="0097639F" w:rsidRPr="007A5468" w:rsidRDefault="0097639F" w:rsidP="00B41E10">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 xml:space="preserve">R. v. </w:t>
      </w:r>
      <w:proofErr w:type="spellStart"/>
      <w:r w:rsidRPr="007A5468">
        <w:rPr>
          <w:i/>
          <w:lang w:val="en-CA"/>
        </w:rPr>
        <w:t>Keror</w:t>
      </w:r>
      <w:proofErr w:type="spellEnd"/>
      <w:r w:rsidRPr="007A5468">
        <w:rPr>
          <w:lang w:val="en-CA"/>
        </w:rPr>
        <w:t xml:space="preserve">, </w:t>
      </w:r>
      <w:r w:rsidRPr="007A5468">
        <w:rPr>
          <w:i/>
          <w:lang w:val="en-CA"/>
        </w:rPr>
        <w:t>supra</w:t>
      </w:r>
      <w:r w:rsidR="00ED5269" w:rsidRPr="007A5468">
        <w:rPr>
          <w:iCs/>
          <w:lang w:val="en-CA"/>
        </w:rPr>
        <w:t>,</w:t>
      </w:r>
      <w:r w:rsidRPr="007A5468">
        <w:rPr>
          <w:i/>
          <w:lang w:val="en-CA"/>
        </w:rPr>
        <w:t xml:space="preserve"> </w:t>
      </w:r>
      <w:r w:rsidRPr="007A5468">
        <w:rPr>
          <w:lang w:val="en-CA"/>
        </w:rPr>
        <w:t>note 11.</w:t>
      </w:r>
    </w:p>
  </w:footnote>
  <w:footnote w:id="27">
    <w:p w14:paraId="4CC831B8" w14:textId="2030DE83" w:rsidR="0097639F" w:rsidRPr="007A5468" w:rsidRDefault="0097639F" w:rsidP="00B41E10">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McCrimmon</w:t>
      </w:r>
      <w:r w:rsidRPr="007A5468">
        <w:rPr>
          <w:lang w:val="en-CA"/>
        </w:rPr>
        <w:t xml:space="preserve">, </w:t>
      </w:r>
      <w:r w:rsidRPr="007A5468">
        <w:rPr>
          <w:i/>
          <w:lang w:val="en-CA"/>
        </w:rPr>
        <w:t>supra</w:t>
      </w:r>
      <w:r w:rsidR="00ED5269" w:rsidRPr="007A5468">
        <w:rPr>
          <w:iCs/>
          <w:lang w:val="en-CA"/>
        </w:rPr>
        <w:t>,</w:t>
      </w:r>
      <w:r w:rsidRPr="007A5468">
        <w:rPr>
          <w:i/>
          <w:lang w:val="en-CA"/>
        </w:rPr>
        <w:t xml:space="preserve"> </w:t>
      </w:r>
      <w:r w:rsidRPr="007A5468">
        <w:rPr>
          <w:lang w:val="en-CA"/>
        </w:rPr>
        <w:t>note 6</w:t>
      </w:r>
      <w:r w:rsidR="00BE26EE" w:rsidRPr="007A5468">
        <w:rPr>
          <w:lang w:val="en-CA"/>
        </w:rPr>
        <w:t>, para</w:t>
      </w:r>
      <w:r w:rsidRPr="007A5468">
        <w:rPr>
          <w:lang w:val="en-CA"/>
        </w:rPr>
        <w:t>. 18.</w:t>
      </w:r>
    </w:p>
  </w:footnote>
  <w:footnote w:id="28">
    <w:p w14:paraId="6E4CBEA9" w14:textId="0DD5184A"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Willier</w:t>
      </w:r>
      <w:r w:rsidRPr="007A5468">
        <w:rPr>
          <w:lang w:val="en-CA"/>
        </w:rPr>
        <w:t xml:space="preserve">, </w:t>
      </w:r>
      <w:r w:rsidRPr="007A5468">
        <w:rPr>
          <w:i/>
          <w:lang w:val="en-CA"/>
        </w:rPr>
        <w:t>supra</w:t>
      </w:r>
      <w:r w:rsidR="00ED5269" w:rsidRPr="007A5468">
        <w:rPr>
          <w:iCs/>
          <w:lang w:val="en-CA"/>
        </w:rPr>
        <w:t>,</w:t>
      </w:r>
      <w:r w:rsidRPr="007A5468">
        <w:rPr>
          <w:i/>
          <w:lang w:val="en-CA"/>
        </w:rPr>
        <w:t xml:space="preserve"> </w:t>
      </w:r>
      <w:r w:rsidRPr="007A5468">
        <w:rPr>
          <w:lang w:val="en-CA"/>
        </w:rPr>
        <w:t>note 6</w:t>
      </w:r>
      <w:r w:rsidR="00BE26EE" w:rsidRPr="007A5468">
        <w:rPr>
          <w:lang w:val="en-CA"/>
        </w:rPr>
        <w:t>, para</w:t>
      </w:r>
      <w:r w:rsidR="00ED5269" w:rsidRPr="007A5468">
        <w:rPr>
          <w:lang w:val="en-CA"/>
        </w:rPr>
        <w:t>s</w:t>
      </w:r>
      <w:r w:rsidRPr="007A5468">
        <w:rPr>
          <w:lang w:val="en-CA"/>
        </w:rPr>
        <w:t>. 24, 33, 38, 39 and 43.</w:t>
      </w:r>
    </w:p>
  </w:footnote>
  <w:footnote w:id="29">
    <w:p w14:paraId="113B53C1" w14:textId="43119A69"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proofErr w:type="spellStart"/>
      <w:r w:rsidRPr="007A5468">
        <w:rPr>
          <w:i/>
          <w:lang w:val="en-CA"/>
        </w:rPr>
        <w:t>Dussault</w:t>
      </w:r>
      <w:proofErr w:type="spellEnd"/>
      <w:r w:rsidRPr="007A5468">
        <w:rPr>
          <w:i/>
          <w:lang w:val="en-CA"/>
        </w:rPr>
        <w:t xml:space="preserve"> v. R.</w:t>
      </w:r>
      <w:r w:rsidRPr="007A5468">
        <w:rPr>
          <w:lang w:val="en-CA"/>
        </w:rPr>
        <w:t xml:space="preserve">, </w:t>
      </w:r>
      <w:r w:rsidRPr="007A5468">
        <w:rPr>
          <w:i/>
          <w:lang w:val="en-CA"/>
        </w:rPr>
        <w:t>supra</w:t>
      </w:r>
      <w:r w:rsidR="00ED5269" w:rsidRPr="007A5468">
        <w:rPr>
          <w:iCs/>
          <w:lang w:val="en-CA"/>
        </w:rPr>
        <w:t>,</w:t>
      </w:r>
      <w:r w:rsidRPr="007A5468">
        <w:rPr>
          <w:i/>
          <w:lang w:val="en-CA"/>
        </w:rPr>
        <w:t xml:space="preserve"> </w:t>
      </w:r>
      <w:r w:rsidRPr="007A5468">
        <w:rPr>
          <w:lang w:val="en-CA"/>
        </w:rPr>
        <w:t>note 11</w:t>
      </w:r>
      <w:r w:rsidR="00BE26EE" w:rsidRPr="007A5468">
        <w:rPr>
          <w:lang w:val="en-CA"/>
        </w:rPr>
        <w:t>, para</w:t>
      </w:r>
      <w:r w:rsidR="00ED5269" w:rsidRPr="007A5468">
        <w:rPr>
          <w:lang w:val="en-CA"/>
        </w:rPr>
        <w:t>s</w:t>
      </w:r>
      <w:r w:rsidRPr="007A5468">
        <w:rPr>
          <w:lang w:val="en-CA"/>
        </w:rPr>
        <w:t>. 28 and 31, in which the Court characterized a similar issue as a question of law.</w:t>
      </w:r>
    </w:p>
  </w:footnote>
  <w:footnote w:id="30">
    <w:p w14:paraId="4C670F51" w14:textId="193016D9" w:rsidR="0097639F" w:rsidRPr="007A5468" w:rsidRDefault="0097639F" w:rsidP="00105DCD">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Mian</w:t>
      </w:r>
      <w:r w:rsidRPr="007A5468">
        <w:rPr>
          <w:lang w:val="en-CA"/>
        </w:rPr>
        <w:t>, 2014 SCC 54.</w:t>
      </w:r>
    </w:p>
  </w:footnote>
  <w:footnote w:id="31">
    <w:p w14:paraId="6B497766" w14:textId="40C09A03"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Id</w:t>
      </w:r>
      <w:r w:rsidRPr="007A5468">
        <w:rPr>
          <w:lang w:val="en-CA"/>
        </w:rPr>
        <w:t>.</w:t>
      </w:r>
      <w:r w:rsidR="00BE26EE" w:rsidRPr="007A5468">
        <w:rPr>
          <w:lang w:val="en-CA"/>
        </w:rPr>
        <w:t>, para</w:t>
      </w:r>
      <w:r w:rsidRPr="007A5468">
        <w:rPr>
          <w:lang w:val="en-CA"/>
        </w:rPr>
        <w:t>. 75.</w:t>
      </w:r>
    </w:p>
  </w:footnote>
  <w:footnote w:id="32">
    <w:p w14:paraId="758B5B1B" w14:textId="37E1387C" w:rsidR="0097639F" w:rsidRPr="007A5468" w:rsidRDefault="0097639F">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J.M.H.</w:t>
      </w:r>
      <w:r w:rsidRPr="007A5468">
        <w:rPr>
          <w:lang w:val="en-CA"/>
        </w:rPr>
        <w:t xml:space="preserve">, 2011 SCC 45, heading (1); </w:t>
      </w:r>
      <w:r w:rsidRPr="007A5468">
        <w:rPr>
          <w:i/>
          <w:lang w:val="en-CA"/>
        </w:rPr>
        <w:t>R. v. Everard</w:t>
      </w:r>
      <w:r w:rsidRPr="007A5468">
        <w:rPr>
          <w:lang w:val="en-CA"/>
        </w:rPr>
        <w:t>, 2016 ABCA 300</w:t>
      </w:r>
      <w:r w:rsidR="00BE26EE" w:rsidRPr="007A5468">
        <w:rPr>
          <w:lang w:val="en-CA"/>
        </w:rPr>
        <w:t>, para</w:t>
      </w:r>
      <w:r w:rsidRPr="007A5468">
        <w:rPr>
          <w:lang w:val="en-CA"/>
        </w:rPr>
        <w:t>. 7</w:t>
      </w:r>
      <w:r w:rsidR="00ED5269" w:rsidRPr="007A5468">
        <w:rPr>
          <w:lang w:val="en-CA"/>
        </w:rPr>
        <w:t>.</w:t>
      </w:r>
    </w:p>
  </w:footnote>
  <w:footnote w:id="33">
    <w:p w14:paraId="2088B87C" w14:textId="456088FB" w:rsidR="0097639F" w:rsidRPr="007A5468" w:rsidRDefault="0097639F">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Everard</w:t>
      </w:r>
      <w:r w:rsidRPr="007A5468">
        <w:rPr>
          <w:lang w:val="en-CA"/>
        </w:rPr>
        <w:t xml:space="preserve">, </w:t>
      </w:r>
      <w:r w:rsidRPr="007A5468">
        <w:rPr>
          <w:i/>
          <w:lang w:val="en-CA"/>
        </w:rPr>
        <w:t>supra</w:t>
      </w:r>
      <w:r w:rsidR="004A459D" w:rsidRPr="007A5468">
        <w:rPr>
          <w:iCs/>
          <w:lang w:val="en-CA"/>
        </w:rPr>
        <w:t>,</w:t>
      </w:r>
      <w:r w:rsidRPr="007A5468">
        <w:rPr>
          <w:i/>
          <w:lang w:val="en-CA"/>
        </w:rPr>
        <w:t xml:space="preserve"> </w:t>
      </w:r>
      <w:r w:rsidRPr="007A5468">
        <w:rPr>
          <w:lang w:val="en-CA"/>
        </w:rPr>
        <w:t>note 32</w:t>
      </w:r>
      <w:r w:rsidR="004A459D" w:rsidRPr="007A5468">
        <w:rPr>
          <w:lang w:val="en-CA"/>
        </w:rPr>
        <w:t>, para. 8.</w:t>
      </w:r>
    </w:p>
  </w:footnote>
  <w:footnote w:id="34">
    <w:p w14:paraId="1D939844" w14:textId="48459B57"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J.M.H</w:t>
      </w:r>
      <w:r w:rsidRPr="007A5468">
        <w:rPr>
          <w:lang w:val="en-CA"/>
        </w:rPr>
        <w:t xml:space="preserve">., </w:t>
      </w:r>
      <w:r w:rsidRPr="007A5468">
        <w:rPr>
          <w:i/>
          <w:lang w:val="en-CA"/>
        </w:rPr>
        <w:t>supra</w:t>
      </w:r>
      <w:r w:rsidR="00212669" w:rsidRPr="007A5468">
        <w:rPr>
          <w:iCs/>
          <w:lang w:val="en-CA"/>
        </w:rPr>
        <w:t>,</w:t>
      </w:r>
      <w:r w:rsidRPr="007A5468">
        <w:rPr>
          <w:i/>
          <w:lang w:val="en-CA"/>
        </w:rPr>
        <w:t xml:space="preserve"> </w:t>
      </w:r>
      <w:r w:rsidRPr="007A5468">
        <w:rPr>
          <w:lang w:val="en-CA"/>
        </w:rPr>
        <w:t>note 32, heading (2).</w:t>
      </w:r>
    </w:p>
  </w:footnote>
  <w:footnote w:id="35">
    <w:p w14:paraId="424518CF" w14:textId="5640CD41"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Id</w:t>
      </w:r>
      <w:r w:rsidRPr="007A5468">
        <w:rPr>
          <w:lang w:val="en-CA"/>
        </w:rPr>
        <w:t>. heading (4).</w:t>
      </w:r>
    </w:p>
  </w:footnote>
  <w:footnote w:id="36">
    <w:p w14:paraId="6FD58833" w14:textId="514474CF" w:rsidR="0097639F" w:rsidRPr="007A5468" w:rsidRDefault="0097639F" w:rsidP="002E7C7B">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iCs/>
          <w:lang w:val="en-CA"/>
        </w:rPr>
        <w:t>I</w:t>
      </w:r>
      <w:r w:rsidRPr="002E7C7B">
        <w:rPr>
          <w:i/>
          <w:iCs/>
          <w:lang w:val="en-CA"/>
        </w:rPr>
        <w:t>d.</w:t>
      </w:r>
      <w:r w:rsidR="00BE26EE" w:rsidRPr="007A5468">
        <w:rPr>
          <w:lang w:val="en-CA"/>
        </w:rPr>
        <w:t>, para</w:t>
      </w:r>
      <w:r w:rsidRPr="007A5468">
        <w:rPr>
          <w:lang w:val="en-CA"/>
        </w:rPr>
        <w:t>. 24.</w:t>
      </w:r>
    </w:p>
  </w:footnote>
  <w:footnote w:id="37">
    <w:p w14:paraId="6DD705E9" w14:textId="4F91B18B"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t>Judgment under appeal</w:t>
      </w:r>
      <w:r w:rsidR="00BC48D6" w:rsidRPr="007A5468">
        <w:rPr>
          <w:lang w:val="en-CA"/>
        </w:rPr>
        <w:t>,</w:t>
      </w:r>
      <w:r w:rsidRPr="007A5468">
        <w:rPr>
          <w:lang w:val="en-CA"/>
        </w:rPr>
        <w:t xml:space="preserve"> </w:t>
      </w:r>
      <w:r w:rsidR="00BC48D6" w:rsidRPr="007A5468">
        <w:rPr>
          <w:lang w:val="en-CA"/>
        </w:rPr>
        <w:t>p.</w:t>
      </w:r>
      <w:r w:rsidRPr="007A5468">
        <w:rPr>
          <w:lang w:val="en-CA"/>
        </w:rPr>
        <w:t xml:space="preserve"> 20</w:t>
      </w:r>
      <w:r w:rsidR="00BC48D6" w:rsidRPr="007A5468">
        <w:rPr>
          <w:lang w:val="en-CA"/>
        </w:rPr>
        <w:t>,</w:t>
      </w:r>
      <w:r w:rsidRPr="007A5468">
        <w:rPr>
          <w:lang w:val="en-CA"/>
        </w:rPr>
        <w:t xml:space="preserve"> line 21, </w:t>
      </w:r>
      <w:r w:rsidR="00BC48D6" w:rsidRPr="007A5468">
        <w:rPr>
          <w:lang w:val="en-CA"/>
        </w:rPr>
        <w:t>p.</w:t>
      </w:r>
      <w:r w:rsidRPr="007A5468">
        <w:rPr>
          <w:lang w:val="en-CA"/>
        </w:rPr>
        <w:t xml:space="preserve"> 21</w:t>
      </w:r>
      <w:r w:rsidR="00BC48D6" w:rsidRPr="007A5468">
        <w:rPr>
          <w:lang w:val="en-CA"/>
        </w:rPr>
        <w:t>,</w:t>
      </w:r>
      <w:r w:rsidRPr="007A5468">
        <w:rPr>
          <w:lang w:val="en-CA"/>
        </w:rPr>
        <w:t xml:space="preserve"> line 2, </w:t>
      </w:r>
      <w:r w:rsidR="00BC48D6" w:rsidRPr="007A5468">
        <w:rPr>
          <w:lang w:val="en-CA"/>
        </w:rPr>
        <w:t>p.</w:t>
      </w:r>
      <w:r w:rsidRPr="007A5468">
        <w:rPr>
          <w:lang w:val="en-CA"/>
        </w:rPr>
        <w:t xml:space="preserve"> 23</w:t>
      </w:r>
      <w:r w:rsidR="00BC48D6" w:rsidRPr="007A5468">
        <w:rPr>
          <w:lang w:val="en-CA"/>
        </w:rPr>
        <w:t>,</w:t>
      </w:r>
      <w:r w:rsidRPr="007A5468">
        <w:rPr>
          <w:lang w:val="en-CA"/>
        </w:rPr>
        <w:t xml:space="preserve"> lines 3 to 6 and </w:t>
      </w:r>
      <w:r w:rsidR="00BC48D6" w:rsidRPr="007A5468">
        <w:rPr>
          <w:lang w:val="en-CA"/>
        </w:rPr>
        <w:t>p.</w:t>
      </w:r>
      <w:r w:rsidRPr="007A5468">
        <w:rPr>
          <w:lang w:val="en-CA"/>
        </w:rPr>
        <w:t xml:space="preserve"> 26</w:t>
      </w:r>
      <w:r w:rsidR="00BC48D6" w:rsidRPr="007A5468">
        <w:rPr>
          <w:lang w:val="en-CA"/>
        </w:rPr>
        <w:t>,</w:t>
      </w:r>
      <w:r w:rsidRPr="007A5468">
        <w:rPr>
          <w:lang w:val="en-CA"/>
        </w:rPr>
        <w:t xml:space="preserve"> lines 6 to 8.</w:t>
      </w:r>
    </w:p>
  </w:footnote>
  <w:footnote w:id="38">
    <w:p w14:paraId="6D0A9F5F" w14:textId="2354F57E"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L. (W.K.)</w:t>
      </w:r>
      <w:r w:rsidRPr="007A5468">
        <w:rPr>
          <w:lang w:val="en-CA"/>
        </w:rPr>
        <w:t>, [1991] 1 S.C.R. 1091</w:t>
      </w:r>
      <w:r w:rsidR="008E6619" w:rsidRPr="007A5468">
        <w:rPr>
          <w:lang w:val="en-CA"/>
        </w:rPr>
        <w:t>,</w:t>
      </w:r>
      <w:r w:rsidRPr="007A5468">
        <w:rPr>
          <w:lang w:val="en-CA"/>
        </w:rPr>
        <w:t xml:space="preserve"> </w:t>
      </w:r>
      <w:r w:rsidR="008E6619" w:rsidRPr="007A5468">
        <w:rPr>
          <w:lang w:val="en-CA"/>
        </w:rPr>
        <w:t>p.</w:t>
      </w:r>
      <w:r w:rsidRPr="007A5468">
        <w:rPr>
          <w:lang w:val="en-CA"/>
        </w:rPr>
        <w:t xml:space="preserve"> 1103.</w:t>
      </w:r>
    </w:p>
  </w:footnote>
  <w:footnote w:id="39">
    <w:p w14:paraId="4B90F6B9" w14:textId="0D5AAE01"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 xml:space="preserve">R. v. </w:t>
      </w:r>
      <w:proofErr w:type="spellStart"/>
      <w:r w:rsidRPr="007A5468">
        <w:rPr>
          <w:i/>
          <w:lang w:val="en-CA"/>
        </w:rPr>
        <w:t>Doobay</w:t>
      </w:r>
      <w:proofErr w:type="spellEnd"/>
      <w:r w:rsidRPr="007A5468">
        <w:rPr>
          <w:lang w:val="en-CA"/>
        </w:rPr>
        <w:t>, 2019 ONSC 7272</w:t>
      </w:r>
      <w:r w:rsidR="00BE26EE" w:rsidRPr="007A5468">
        <w:rPr>
          <w:lang w:val="en-CA"/>
        </w:rPr>
        <w:t>, para</w:t>
      </w:r>
      <w:r w:rsidRPr="007A5468">
        <w:rPr>
          <w:lang w:val="en-CA"/>
        </w:rPr>
        <w:t>s. 27</w:t>
      </w:r>
      <w:r w:rsidRPr="007A5468">
        <w:rPr>
          <w:lang w:val="en-CA"/>
        </w:rPr>
        <w:sym w:font="Symbol" w:char="F02D"/>
      </w:r>
      <w:r w:rsidRPr="007A5468">
        <w:rPr>
          <w:lang w:val="en-CA"/>
        </w:rPr>
        <w:t>28.</w:t>
      </w:r>
    </w:p>
  </w:footnote>
  <w:footnote w:id="40">
    <w:p w14:paraId="1355F0C0" w14:textId="19D2E477"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Supra</w:t>
      </w:r>
      <w:r w:rsidR="00BE26EE" w:rsidRPr="007A5468">
        <w:rPr>
          <w:lang w:val="en-CA"/>
        </w:rPr>
        <w:t>, para</w:t>
      </w:r>
      <w:r w:rsidRPr="007A5468">
        <w:rPr>
          <w:lang w:val="en-CA"/>
        </w:rPr>
        <w:t>s. 26, 27 and 29.</w:t>
      </w:r>
    </w:p>
  </w:footnote>
  <w:footnote w:id="41">
    <w:p w14:paraId="4A60528A" w14:textId="06E89312" w:rsidR="0097639F" w:rsidRPr="007A5468" w:rsidRDefault="0097639F" w:rsidP="00C5611D">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MIUF-27</w:t>
      </w:r>
      <w:r w:rsidRPr="007A5468">
        <w:rPr>
          <w:lang w:val="en-CA"/>
        </w:rPr>
        <w:t>, [1988] R.D.J. 501, 1987 CanLII 5237 (Sup. Ct.).</w:t>
      </w:r>
    </w:p>
  </w:footnote>
  <w:footnote w:id="42">
    <w:p w14:paraId="7A17DF43" w14:textId="77777777" w:rsidR="0097639F" w:rsidRPr="007A5468" w:rsidRDefault="0097639F" w:rsidP="00AE5164">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 xml:space="preserve">R. v. </w:t>
      </w:r>
      <w:proofErr w:type="spellStart"/>
      <w:r w:rsidRPr="007A5468">
        <w:rPr>
          <w:i/>
          <w:lang w:val="en-CA"/>
        </w:rPr>
        <w:t>Lyttle</w:t>
      </w:r>
      <w:proofErr w:type="spellEnd"/>
      <w:r w:rsidRPr="007A5468">
        <w:rPr>
          <w:lang w:val="en-CA"/>
        </w:rPr>
        <w:t>, 2004 SCC 5.</w:t>
      </w:r>
    </w:p>
  </w:footnote>
  <w:footnote w:id="43">
    <w:p w14:paraId="4022E742" w14:textId="25C80FC3" w:rsidR="0097639F" w:rsidRPr="007A5468" w:rsidRDefault="0097639F" w:rsidP="00C5611D">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Dixon</w:t>
      </w:r>
      <w:r w:rsidRPr="007A5468">
        <w:rPr>
          <w:lang w:val="en-CA"/>
        </w:rPr>
        <w:t xml:space="preserve"> (1984), 16 C.C.C. (3d) 431 </w:t>
      </w:r>
      <w:r w:rsidRPr="007A5468">
        <w:rPr>
          <w:color w:val="000000"/>
          <w:lang w:val="en-CA"/>
        </w:rPr>
        <w:t>(B.C.C.A.).</w:t>
      </w:r>
    </w:p>
  </w:footnote>
  <w:footnote w:id="44">
    <w:p w14:paraId="2A769005" w14:textId="16ED28AA"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Id</w:t>
      </w:r>
      <w:r w:rsidRPr="007A5468">
        <w:rPr>
          <w:lang w:val="en-CA"/>
        </w:rPr>
        <w:t>.</w:t>
      </w:r>
      <w:r w:rsidR="008E6619" w:rsidRPr="007A5468">
        <w:rPr>
          <w:lang w:val="en-CA"/>
        </w:rPr>
        <w:t>,</w:t>
      </w:r>
      <w:r w:rsidRPr="007A5468">
        <w:rPr>
          <w:lang w:val="en-CA"/>
        </w:rPr>
        <w:t xml:space="preserve"> </w:t>
      </w:r>
      <w:r w:rsidR="008E6619" w:rsidRPr="007A5468">
        <w:rPr>
          <w:lang w:val="en-CA"/>
        </w:rPr>
        <w:t>pp.</w:t>
      </w:r>
      <w:r w:rsidRPr="007A5468">
        <w:rPr>
          <w:lang w:val="en-CA"/>
        </w:rPr>
        <w:t xml:space="preserve"> 451</w:t>
      </w:r>
      <w:r w:rsidRPr="007A5468">
        <w:rPr>
          <w:lang w:val="en-CA"/>
        </w:rPr>
        <w:sym w:font="Symbol" w:char="F02D"/>
      </w:r>
      <w:r w:rsidRPr="007A5468">
        <w:rPr>
          <w:lang w:val="en-CA"/>
        </w:rPr>
        <w:t>452.</w:t>
      </w:r>
    </w:p>
  </w:footnote>
  <w:footnote w:id="45">
    <w:p w14:paraId="45DF0F33" w14:textId="46671004" w:rsidR="0097639F" w:rsidRPr="007A5468" w:rsidRDefault="0097639F" w:rsidP="00C5611D">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Find</w:t>
      </w:r>
      <w:r w:rsidRPr="007A5468">
        <w:rPr>
          <w:lang w:val="en-CA"/>
        </w:rPr>
        <w:t>, 2001 SCC 32</w:t>
      </w:r>
      <w:r w:rsidR="00BE26EE" w:rsidRPr="007A5468">
        <w:rPr>
          <w:lang w:val="en-CA"/>
        </w:rPr>
        <w:t>, para</w:t>
      </w:r>
      <w:r w:rsidRPr="007A5468">
        <w:rPr>
          <w:lang w:val="en-CA"/>
        </w:rPr>
        <w:t>. 48</w:t>
      </w:r>
      <w:r w:rsidR="0024364E" w:rsidRPr="007A5468">
        <w:rPr>
          <w:lang w:val="en-CA"/>
        </w:rPr>
        <w:t xml:space="preserve">, cited </w:t>
      </w:r>
      <w:r w:rsidRPr="007A5468">
        <w:rPr>
          <w:lang w:val="en-CA"/>
        </w:rPr>
        <w:t xml:space="preserve">in </w:t>
      </w:r>
      <w:r w:rsidRPr="007A5468">
        <w:rPr>
          <w:i/>
          <w:lang w:val="en-CA"/>
        </w:rPr>
        <w:t>R. v. Spence</w:t>
      </w:r>
      <w:r w:rsidRPr="007A5468">
        <w:rPr>
          <w:lang w:val="en-CA"/>
        </w:rPr>
        <w:t>, 2005 SCC 71</w:t>
      </w:r>
      <w:r w:rsidR="00BE26EE" w:rsidRPr="007A5468">
        <w:rPr>
          <w:lang w:val="en-CA"/>
        </w:rPr>
        <w:t>, para</w:t>
      </w:r>
      <w:r w:rsidRPr="007A5468">
        <w:rPr>
          <w:lang w:val="en-CA"/>
        </w:rPr>
        <w:t>. 53.</w:t>
      </w:r>
    </w:p>
  </w:footnote>
  <w:footnote w:id="46">
    <w:p w14:paraId="41FA51CD" w14:textId="7ADE5665"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Spence</w:t>
      </w:r>
      <w:r w:rsidRPr="007A5468">
        <w:rPr>
          <w:lang w:val="en-CA"/>
        </w:rPr>
        <w:t xml:space="preserve">, </w:t>
      </w:r>
      <w:r w:rsidRPr="007A5468">
        <w:rPr>
          <w:i/>
          <w:lang w:val="en-CA"/>
        </w:rPr>
        <w:t>supra</w:t>
      </w:r>
      <w:r w:rsidR="00607997" w:rsidRPr="007A5468">
        <w:rPr>
          <w:iCs/>
          <w:lang w:val="en-CA"/>
        </w:rPr>
        <w:t>,</w:t>
      </w:r>
      <w:r w:rsidRPr="007A5468">
        <w:rPr>
          <w:i/>
          <w:lang w:val="en-CA"/>
        </w:rPr>
        <w:t xml:space="preserve"> </w:t>
      </w:r>
      <w:r w:rsidRPr="007A5468">
        <w:rPr>
          <w:lang w:val="en-CA"/>
        </w:rPr>
        <w:t>note 45</w:t>
      </w:r>
      <w:r w:rsidR="00BE26EE" w:rsidRPr="007A5468">
        <w:rPr>
          <w:lang w:val="en-CA"/>
        </w:rPr>
        <w:t>, para</w:t>
      </w:r>
      <w:r w:rsidRPr="007A5468">
        <w:rPr>
          <w:lang w:val="en-CA"/>
        </w:rPr>
        <w:t>. 60.</w:t>
      </w:r>
    </w:p>
  </w:footnote>
  <w:footnote w:id="47">
    <w:p w14:paraId="605C1657" w14:textId="1C77C97A" w:rsidR="0097639F" w:rsidRPr="007A5468" w:rsidRDefault="0097639F">
      <w:pPr>
        <w:pStyle w:val="Notedebasdepage"/>
        <w:rPr>
          <w:lang w:val="en-CA"/>
        </w:rPr>
      </w:pPr>
      <w:r w:rsidRPr="007A5468">
        <w:rPr>
          <w:rStyle w:val="Appelnotedebasdep"/>
          <w:lang w:val="en-CA"/>
        </w:rPr>
        <w:footnoteRef/>
      </w:r>
      <w:r w:rsidRPr="007A5468">
        <w:rPr>
          <w:lang w:val="en-CA"/>
        </w:rPr>
        <w:t xml:space="preserve">    </w:t>
      </w:r>
      <w:r w:rsidRPr="007A5468">
        <w:rPr>
          <w:i/>
          <w:lang w:val="en-CA"/>
        </w:rPr>
        <w:t xml:space="preserve">Petro-Canada c. </w:t>
      </w:r>
      <w:proofErr w:type="spellStart"/>
      <w:r w:rsidRPr="007A5468">
        <w:rPr>
          <w:i/>
          <w:lang w:val="en-CA"/>
        </w:rPr>
        <w:t>Mabaie</w:t>
      </w:r>
      <w:proofErr w:type="spellEnd"/>
      <w:r w:rsidRPr="007A5468">
        <w:rPr>
          <w:i/>
          <w:lang w:val="en-CA"/>
        </w:rPr>
        <w:t xml:space="preserve"> Construction </w:t>
      </w:r>
      <w:proofErr w:type="spellStart"/>
      <w:r w:rsidRPr="007A5468">
        <w:rPr>
          <w:i/>
          <w:lang w:val="en-CA"/>
        </w:rPr>
        <w:t>inc.</w:t>
      </w:r>
      <w:proofErr w:type="spellEnd"/>
      <w:r w:rsidRPr="007A5468">
        <w:rPr>
          <w:lang w:val="en-CA"/>
        </w:rPr>
        <w:t>, 2003 CanLII 74725</w:t>
      </w:r>
      <w:r w:rsidR="00BE26EE" w:rsidRPr="007A5468">
        <w:rPr>
          <w:lang w:val="en-CA"/>
        </w:rPr>
        <w:t>, para</w:t>
      </w:r>
      <w:r w:rsidRPr="007A5468">
        <w:rPr>
          <w:lang w:val="en-CA"/>
        </w:rPr>
        <w:t xml:space="preserve">. 12 (C.A.); Léo Ducharme, </w:t>
      </w:r>
      <w:r w:rsidRPr="007A5468">
        <w:rPr>
          <w:i/>
          <w:lang w:val="en-CA"/>
        </w:rPr>
        <w:t xml:space="preserve">Précis de la </w:t>
      </w:r>
      <w:proofErr w:type="spellStart"/>
      <w:r w:rsidRPr="007A5468">
        <w:rPr>
          <w:i/>
          <w:lang w:val="en-CA"/>
        </w:rPr>
        <w:t>preuve</w:t>
      </w:r>
      <w:proofErr w:type="spellEnd"/>
      <w:r w:rsidRPr="007A5468">
        <w:rPr>
          <w:lang w:val="en-CA"/>
        </w:rPr>
        <w:t>, 6th ed.</w:t>
      </w:r>
      <w:r w:rsidR="00FB702B" w:rsidRPr="007A5468">
        <w:rPr>
          <w:lang w:val="en-CA"/>
        </w:rPr>
        <w:t>,</w:t>
      </w:r>
      <w:r w:rsidRPr="007A5468">
        <w:rPr>
          <w:lang w:val="en-CA"/>
        </w:rPr>
        <w:t xml:space="preserve"> Montreal</w:t>
      </w:r>
      <w:r w:rsidR="00607997" w:rsidRPr="007A5468">
        <w:rPr>
          <w:lang w:val="en-CA"/>
        </w:rPr>
        <w:t>,</w:t>
      </w:r>
      <w:r w:rsidRPr="007A5468">
        <w:rPr>
          <w:lang w:val="en-CA"/>
        </w:rPr>
        <w:t xml:space="preserve"> Wilson &amp; Lafleur, 2005</w:t>
      </w:r>
      <w:r w:rsidR="00607997" w:rsidRPr="007A5468">
        <w:rPr>
          <w:lang w:val="en-CA"/>
        </w:rPr>
        <w:t>, pp.</w:t>
      </w:r>
      <w:r w:rsidRPr="007A5468">
        <w:rPr>
          <w:lang w:val="en-CA"/>
        </w:rPr>
        <w:t xml:space="preserve"> 35</w:t>
      </w:r>
      <w:r w:rsidRPr="007A5468">
        <w:rPr>
          <w:lang w:val="en-CA"/>
        </w:rPr>
        <w:sym w:font="Symbol" w:char="F02D"/>
      </w:r>
      <w:r w:rsidRPr="007A5468">
        <w:rPr>
          <w:lang w:val="en-CA"/>
        </w:rPr>
        <w:t>36</w:t>
      </w:r>
      <w:r w:rsidR="00BE26EE" w:rsidRPr="007A5468">
        <w:rPr>
          <w:lang w:val="en-CA"/>
        </w:rPr>
        <w:t>, para</w:t>
      </w:r>
      <w:r w:rsidRPr="007A5468">
        <w:rPr>
          <w:lang w:val="en-CA"/>
        </w:rPr>
        <w:t>s. 81</w:t>
      </w:r>
      <w:r w:rsidRPr="007A5468">
        <w:rPr>
          <w:lang w:val="en-CA"/>
        </w:rPr>
        <w:sym w:font="Symbol" w:char="F02D"/>
      </w:r>
      <w:r w:rsidRPr="007A5468">
        <w:rPr>
          <w:lang w:val="en-CA"/>
        </w:rPr>
        <w:t>83.</w:t>
      </w:r>
    </w:p>
  </w:footnote>
  <w:footnote w:id="48">
    <w:p w14:paraId="7A31E5C7" w14:textId="52D7D8F9"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t>Judgment under appeal</w:t>
      </w:r>
      <w:r w:rsidR="00607997" w:rsidRPr="007A5468">
        <w:rPr>
          <w:lang w:val="en-CA"/>
        </w:rPr>
        <w:t>,</w:t>
      </w:r>
      <w:r w:rsidRPr="007A5468">
        <w:rPr>
          <w:lang w:val="en-CA"/>
        </w:rPr>
        <w:t xml:space="preserve"> </w:t>
      </w:r>
      <w:r w:rsidR="00607997" w:rsidRPr="007A5468">
        <w:rPr>
          <w:lang w:val="en-CA"/>
        </w:rPr>
        <w:t>pp.</w:t>
      </w:r>
      <w:r w:rsidRPr="007A5468">
        <w:rPr>
          <w:lang w:val="en-CA"/>
        </w:rPr>
        <w:t xml:space="preserve"> 23</w:t>
      </w:r>
      <w:r w:rsidRPr="007A5468">
        <w:rPr>
          <w:lang w:val="en-CA"/>
        </w:rPr>
        <w:sym w:font="Symbol" w:char="F02D"/>
      </w:r>
      <w:r w:rsidRPr="007A5468">
        <w:rPr>
          <w:lang w:val="en-CA"/>
        </w:rPr>
        <w:t>24.</w:t>
      </w:r>
    </w:p>
  </w:footnote>
  <w:footnote w:id="49">
    <w:p w14:paraId="6748F5A2" w14:textId="77777777"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Ibid</w:t>
      </w:r>
      <w:r w:rsidRPr="007A5468">
        <w:rPr>
          <w:lang w:val="en-CA"/>
        </w:rPr>
        <w:t>.</w:t>
      </w:r>
    </w:p>
  </w:footnote>
  <w:footnote w:id="50">
    <w:p w14:paraId="750428E1" w14:textId="7EF952B2"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Willier</w:t>
      </w:r>
      <w:r w:rsidRPr="007A5468">
        <w:rPr>
          <w:lang w:val="en-CA"/>
        </w:rPr>
        <w:t xml:space="preserve">, </w:t>
      </w:r>
      <w:r w:rsidRPr="007A5468">
        <w:rPr>
          <w:i/>
          <w:lang w:val="en-CA"/>
        </w:rPr>
        <w:t>supra</w:t>
      </w:r>
      <w:r w:rsidR="0083579C" w:rsidRPr="007A5468">
        <w:rPr>
          <w:iCs/>
          <w:lang w:val="en-CA"/>
        </w:rPr>
        <w:t>,</w:t>
      </w:r>
      <w:r w:rsidRPr="007A5468">
        <w:rPr>
          <w:i/>
          <w:lang w:val="en-CA"/>
        </w:rPr>
        <w:t xml:space="preserve"> </w:t>
      </w:r>
      <w:r w:rsidRPr="007A5468">
        <w:rPr>
          <w:lang w:val="en-CA"/>
        </w:rPr>
        <w:t>note 6</w:t>
      </w:r>
      <w:r w:rsidR="00BE26EE" w:rsidRPr="007A5468">
        <w:rPr>
          <w:lang w:val="en-CA"/>
        </w:rPr>
        <w:t>, para</w:t>
      </w:r>
      <w:r w:rsidRPr="007A5468">
        <w:rPr>
          <w:lang w:val="en-CA"/>
        </w:rPr>
        <w:t xml:space="preserve">. 29; </w:t>
      </w:r>
      <w:r w:rsidRPr="007A5468">
        <w:rPr>
          <w:i/>
          <w:lang w:val="en-CA"/>
        </w:rPr>
        <w:t>R. v.  McCrimmon</w:t>
      </w:r>
      <w:r w:rsidRPr="007A5468">
        <w:rPr>
          <w:lang w:val="en-CA"/>
        </w:rPr>
        <w:t xml:space="preserve">, </w:t>
      </w:r>
      <w:r w:rsidRPr="007A5468">
        <w:rPr>
          <w:i/>
          <w:lang w:val="en-CA"/>
        </w:rPr>
        <w:t>supra</w:t>
      </w:r>
      <w:r w:rsidR="0083579C" w:rsidRPr="007A5468">
        <w:rPr>
          <w:iCs/>
          <w:lang w:val="en-CA"/>
        </w:rPr>
        <w:t>,</w:t>
      </w:r>
      <w:r w:rsidRPr="007A5468">
        <w:rPr>
          <w:i/>
          <w:lang w:val="en-CA"/>
        </w:rPr>
        <w:t xml:space="preserve"> </w:t>
      </w:r>
      <w:r w:rsidRPr="007A5468">
        <w:rPr>
          <w:lang w:val="en-CA"/>
        </w:rPr>
        <w:t>note 6</w:t>
      </w:r>
      <w:r w:rsidR="00BE26EE" w:rsidRPr="007A5468">
        <w:rPr>
          <w:lang w:val="en-CA"/>
        </w:rPr>
        <w:t>, para</w:t>
      </w:r>
      <w:r w:rsidRPr="007A5468">
        <w:rPr>
          <w:lang w:val="en-CA"/>
        </w:rPr>
        <w:t>. 18.</w:t>
      </w:r>
    </w:p>
  </w:footnote>
  <w:footnote w:id="51">
    <w:p w14:paraId="3BA1488F" w14:textId="55DEEAB7"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 xml:space="preserve">R. v. </w:t>
      </w:r>
      <w:proofErr w:type="spellStart"/>
      <w:r w:rsidRPr="007A5468">
        <w:rPr>
          <w:i/>
          <w:lang w:val="en-CA"/>
        </w:rPr>
        <w:t>Suberu</w:t>
      </w:r>
      <w:proofErr w:type="spellEnd"/>
      <w:r w:rsidRPr="007A5468">
        <w:rPr>
          <w:lang w:val="en-CA"/>
        </w:rPr>
        <w:t>, 2009 SCC 33.</w:t>
      </w:r>
    </w:p>
  </w:footnote>
  <w:footnote w:id="52">
    <w:p w14:paraId="35696380" w14:textId="4ED8040C"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Id.</w:t>
      </w:r>
      <w:r w:rsidR="00BE26EE" w:rsidRPr="007A5468">
        <w:rPr>
          <w:lang w:val="en-CA"/>
        </w:rPr>
        <w:t>, para</w:t>
      </w:r>
      <w:r w:rsidRPr="007A5468">
        <w:rPr>
          <w:lang w:val="en-CA"/>
        </w:rPr>
        <w:t>s. 41</w:t>
      </w:r>
      <w:r w:rsidRPr="007A5468">
        <w:rPr>
          <w:lang w:val="en-CA"/>
        </w:rPr>
        <w:sym w:font="Symbol" w:char="F02D"/>
      </w:r>
      <w:r w:rsidRPr="007A5468">
        <w:rPr>
          <w:lang w:val="en-CA"/>
        </w:rPr>
        <w:t>42.</w:t>
      </w:r>
    </w:p>
  </w:footnote>
  <w:footnote w:id="53">
    <w:p w14:paraId="271AFF44" w14:textId="78ED9B77"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Willier</w:t>
      </w:r>
      <w:r w:rsidRPr="007A5468">
        <w:rPr>
          <w:lang w:val="en-CA"/>
        </w:rPr>
        <w:t xml:space="preserve">, </w:t>
      </w:r>
      <w:r w:rsidRPr="007A5468">
        <w:rPr>
          <w:i/>
          <w:lang w:val="en-CA"/>
        </w:rPr>
        <w:t xml:space="preserve">supra </w:t>
      </w:r>
      <w:r w:rsidRPr="007A5468">
        <w:rPr>
          <w:lang w:val="en-CA"/>
        </w:rPr>
        <w:t>note 6</w:t>
      </w:r>
      <w:r w:rsidR="00BE26EE" w:rsidRPr="007A5468">
        <w:rPr>
          <w:lang w:val="en-CA"/>
        </w:rPr>
        <w:t>, para</w:t>
      </w:r>
      <w:r w:rsidRPr="007A5468">
        <w:rPr>
          <w:lang w:val="en-CA"/>
        </w:rPr>
        <w:t>. 29</w:t>
      </w:r>
      <w:r w:rsidRPr="007A5468">
        <w:rPr>
          <w:i/>
          <w:lang w:val="en-CA"/>
        </w:rPr>
        <w:t>; R. v. McCrimmon</w:t>
      </w:r>
      <w:r w:rsidRPr="007A5468">
        <w:rPr>
          <w:lang w:val="en-CA"/>
        </w:rPr>
        <w:t xml:space="preserve">, </w:t>
      </w:r>
      <w:r w:rsidRPr="007A5468">
        <w:rPr>
          <w:i/>
          <w:lang w:val="en-CA"/>
        </w:rPr>
        <w:t xml:space="preserve">supra </w:t>
      </w:r>
      <w:r w:rsidRPr="007A5468">
        <w:rPr>
          <w:lang w:val="en-CA"/>
        </w:rPr>
        <w:t>note 6</w:t>
      </w:r>
      <w:r w:rsidR="00BE26EE" w:rsidRPr="007A5468">
        <w:rPr>
          <w:lang w:val="en-CA"/>
        </w:rPr>
        <w:t>, para</w:t>
      </w:r>
      <w:r w:rsidRPr="007A5468">
        <w:rPr>
          <w:lang w:val="en-CA"/>
        </w:rPr>
        <w:t>. 18.</w:t>
      </w:r>
    </w:p>
  </w:footnote>
  <w:footnote w:id="54">
    <w:p w14:paraId="51BF9E68" w14:textId="4E722435"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t xml:space="preserve">Martin Vauclair &amp; Tristan Desjardins, </w:t>
      </w:r>
      <w:proofErr w:type="spellStart"/>
      <w:r w:rsidRPr="007A5468">
        <w:rPr>
          <w:i/>
          <w:lang w:val="en-CA"/>
        </w:rPr>
        <w:t>Traité</w:t>
      </w:r>
      <w:proofErr w:type="spellEnd"/>
      <w:r w:rsidRPr="007A5468">
        <w:rPr>
          <w:i/>
          <w:lang w:val="en-CA"/>
        </w:rPr>
        <w:t xml:space="preserve"> </w:t>
      </w:r>
      <w:proofErr w:type="spellStart"/>
      <w:r w:rsidRPr="007A5468">
        <w:rPr>
          <w:i/>
          <w:lang w:val="en-CA"/>
        </w:rPr>
        <w:t>général</w:t>
      </w:r>
      <w:proofErr w:type="spellEnd"/>
      <w:r w:rsidRPr="007A5468">
        <w:rPr>
          <w:i/>
          <w:lang w:val="en-CA"/>
        </w:rPr>
        <w:t xml:space="preserve"> de </w:t>
      </w:r>
      <w:proofErr w:type="spellStart"/>
      <w:r w:rsidRPr="007A5468">
        <w:rPr>
          <w:i/>
          <w:lang w:val="en-CA"/>
        </w:rPr>
        <w:t>preuve</w:t>
      </w:r>
      <w:proofErr w:type="spellEnd"/>
      <w:r w:rsidRPr="007A5468">
        <w:rPr>
          <w:i/>
          <w:lang w:val="en-CA"/>
        </w:rPr>
        <w:t xml:space="preserve"> et de </w:t>
      </w:r>
      <w:proofErr w:type="spellStart"/>
      <w:r w:rsidRPr="007A5468">
        <w:rPr>
          <w:i/>
          <w:lang w:val="en-CA"/>
        </w:rPr>
        <w:t>procédure</w:t>
      </w:r>
      <w:proofErr w:type="spellEnd"/>
      <w:r w:rsidRPr="007A5468">
        <w:rPr>
          <w:i/>
          <w:lang w:val="en-CA"/>
        </w:rPr>
        <w:t xml:space="preserve"> </w:t>
      </w:r>
      <w:proofErr w:type="spellStart"/>
      <w:r w:rsidRPr="007A5468">
        <w:rPr>
          <w:i/>
          <w:lang w:val="en-CA"/>
        </w:rPr>
        <w:t>pénales</w:t>
      </w:r>
      <w:proofErr w:type="spellEnd"/>
      <w:r w:rsidRPr="007A5468">
        <w:rPr>
          <w:i/>
          <w:lang w:val="en-CA"/>
        </w:rPr>
        <w:t>, supra</w:t>
      </w:r>
      <w:r w:rsidR="00D93CD4" w:rsidRPr="007A5468">
        <w:rPr>
          <w:iCs/>
          <w:lang w:val="en-CA"/>
        </w:rPr>
        <w:t>,</w:t>
      </w:r>
      <w:r w:rsidRPr="007A5468">
        <w:rPr>
          <w:i/>
          <w:lang w:val="en-CA"/>
        </w:rPr>
        <w:t xml:space="preserve"> </w:t>
      </w:r>
      <w:r w:rsidRPr="007A5468">
        <w:rPr>
          <w:lang w:val="en-CA"/>
        </w:rPr>
        <w:t>note 25</w:t>
      </w:r>
      <w:r w:rsidR="00D93CD4" w:rsidRPr="007A5468">
        <w:rPr>
          <w:lang w:val="en-CA"/>
        </w:rPr>
        <w:t>,</w:t>
      </w:r>
      <w:r w:rsidRPr="007A5468">
        <w:rPr>
          <w:lang w:val="en-CA"/>
        </w:rPr>
        <w:t xml:space="preserve"> </w:t>
      </w:r>
      <w:r w:rsidR="00D93CD4" w:rsidRPr="007A5468">
        <w:rPr>
          <w:lang w:val="en-CA"/>
        </w:rPr>
        <w:t>p.</w:t>
      </w:r>
      <w:r w:rsidRPr="007A5468">
        <w:rPr>
          <w:lang w:val="en-CA"/>
        </w:rPr>
        <w:t xml:space="preserve"> 1312, para. 38.103.</w:t>
      </w:r>
    </w:p>
  </w:footnote>
  <w:footnote w:id="55">
    <w:p w14:paraId="3F2CD94B" w14:textId="5A9A9737"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Sinclair</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6.</w:t>
      </w:r>
    </w:p>
  </w:footnote>
  <w:footnote w:id="56">
    <w:p w14:paraId="3698E019" w14:textId="4156DD5B"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Id</w:t>
      </w:r>
      <w:r w:rsidRPr="007A5468">
        <w:rPr>
          <w:lang w:val="en-CA"/>
        </w:rPr>
        <w:t>.</w:t>
      </w:r>
      <w:r w:rsidR="00BE26EE" w:rsidRPr="007A5468">
        <w:rPr>
          <w:lang w:val="en-CA"/>
        </w:rPr>
        <w:t>, para</w:t>
      </w:r>
      <w:r w:rsidRPr="007A5468">
        <w:rPr>
          <w:lang w:val="en-CA"/>
        </w:rPr>
        <w:t>. 26.</w:t>
      </w:r>
    </w:p>
  </w:footnote>
  <w:footnote w:id="57">
    <w:p w14:paraId="02ED940B" w14:textId="55019C94" w:rsidR="0097639F" w:rsidRPr="007A5468" w:rsidRDefault="0097639F" w:rsidP="004E1881">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Richfield</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23.</w:t>
      </w:r>
    </w:p>
  </w:footnote>
  <w:footnote w:id="58">
    <w:p w14:paraId="4099F9A4" w14:textId="69086B0B"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Id.</w:t>
      </w:r>
      <w:r w:rsidR="00BE26EE" w:rsidRPr="007A5468">
        <w:rPr>
          <w:lang w:val="en-CA"/>
        </w:rPr>
        <w:t>, para</w:t>
      </w:r>
      <w:r w:rsidRPr="007A5468">
        <w:rPr>
          <w:lang w:val="en-CA"/>
        </w:rPr>
        <w:t xml:space="preserve">s. 8 and 10; in the same vein, see also: </w:t>
      </w:r>
      <w:r w:rsidRPr="007A5468">
        <w:rPr>
          <w:i/>
          <w:lang w:val="en-CA"/>
        </w:rPr>
        <w:t>R. v. Prosper</w:t>
      </w:r>
      <w:r w:rsidRPr="007A5468">
        <w:rPr>
          <w:lang w:val="en-CA"/>
        </w:rPr>
        <w:t>, [1994] 3 S.C.R. 236</w:t>
      </w:r>
      <w:r w:rsidR="002B38D5" w:rsidRPr="007A5468">
        <w:rPr>
          <w:lang w:val="en-CA"/>
        </w:rPr>
        <w:t>,</w:t>
      </w:r>
      <w:r w:rsidRPr="007A5468">
        <w:rPr>
          <w:lang w:val="en-CA"/>
        </w:rPr>
        <w:t xml:space="preserve"> </w:t>
      </w:r>
      <w:r w:rsidR="002B38D5" w:rsidRPr="007A5468">
        <w:rPr>
          <w:lang w:val="en-CA"/>
        </w:rPr>
        <w:t>p.</w:t>
      </w:r>
      <w:r w:rsidRPr="007A5468">
        <w:rPr>
          <w:lang w:val="en-CA"/>
        </w:rPr>
        <w:t xml:space="preserve"> 269.</w:t>
      </w:r>
    </w:p>
  </w:footnote>
  <w:footnote w:id="59">
    <w:p w14:paraId="6E0AE796" w14:textId="02FF86A0"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McCrimmon</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6</w:t>
      </w:r>
      <w:r w:rsidR="00BE26EE" w:rsidRPr="007A5468">
        <w:rPr>
          <w:lang w:val="en-CA"/>
        </w:rPr>
        <w:t>, para</w:t>
      </w:r>
      <w:r w:rsidRPr="007A5468">
        <w:rPr>
          <w:lang w:val="en-CA"/>
        </w:rPr>
        <w:t>. 17.</w:t>
      </w:r>
    </w:p>
  </w:footnote>
  <w:footnote w:id="60">
    <w:p w14:paraId="33634B9F" w14:textId="67B5E189"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Willier</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 xml:space="preserve">note 5; </w:t>
      </w:r>
      <w:r w:rsidRPr="007A5468">
        <w:rPr>
          <w:i/>
          <w:lang w:val="en-CA"/>
        </w:rPr>
        <w:t>R. v. McCrimmon</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5.</w:t>
      </w:r>
    </w:p>
  </w:footnote>
  <w:footnote w:id="61">
    <w:p w14:paraId="0358DC6C" w14:textId="1FDC64BF"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Willier</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6</w:t>
      </w:r>
      <w:r w:rsidR="00BE26EE" w:rsidRPr="007A5468">
        <w:rPr>
          <w:lang w:val="en-CA"/>
        </w:rPr>
        <w:t>, para</w:t>
      </w:r>
      <w:r w:rsidR="00D931AB" w:rsidRPr="007A5468">
        <w:rPr>
          <w:lang w:val="en-CA"/>
        </w:rPr>
        <w:t>s</w:t>
      </w:r>
      <w:r w:rsidRPr="007A5468">
        <w:rPr>
          <w:lang w:val="en-CA"/>
        </w:rPr>
        <w:t>. 18 and 40.</w:t>
      </w:r>
    </w:p>
  </w:footnote>
  <w:footnote w:id="62">
    <w:p w14:paraId="5C54E0E0" w14:textId="4668AF43" w:rsidR="0097639F" w:rsidRPr="007A5468" w:rsidRDefault="0097639F" w:rsidP="006578F6">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 xml:space="preserve">R. v. </w:t>
      </w:r>
      <w:proofErr w:type="spellStart"/>
      <w:r w:rsidRPr="007A5468">
        <w:rPr>
          <w:i/>
          <w:lang w:val="en-CA"/>
        </w:rPr>
        <w:t>Littleford</w:t>
      </w:r>
      <w:proofErr w:type="spellEnd"/>
      <w:r w:rsidRPr="007A5468">
        <w:rPr>
          <w:lang w:val="en-CA"/>
        </w:rPr>
        <w:t>, 86 C.R.R. (2d) 148, 2001 CanLII 8559 (Ont. C.A.).</w:t>
      </w:r>
    </w:p>
  </w:footnote>
  <w:footnote w:id="63">
    <w:p w14:paraId="2F3DABDF" w14:textId="614E1890" w:rsidR="0097639F" w:rsidRPr="007A5468" w:rsidRDefault="0097639F" w:rsidP="00FE5639">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proofErr w:type="spellStart"/>
      <w:r w:rsidRPr="007A5468">
        <w:rPr>
          <w:i/>
          <w:lang w:val="en-CA"/>
        </w:rPr>
        <w:t>Dupont-Dorais</w:t>
      </w:r>
      <w:proofErr w:type="spellEnd"/>
      <w:r w:rsidRPr="007A5468">
        <w:rPr>
          <w:i/>
          <w:lang w:val="en-CA"/>
        </w:rPr>
        <w:t xml:space="preserve"> c. R</w:t>
      </w:r>
      <w:r w:rsidRPr="007A5468">
        <w:rPr>
          <w:lang w:val="en-CA"/>
        </w:rPr>
        <w:t>., 2020 QCCS 251 (Downs, J.).</w:t>
      </w:r>
    </w:p>
  </w:footnote>
  <w:footnote w:id="64">
    <w:p w14:paraId="524C7ED0" w14:textId="7F868D7A"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 xml:space="preserve">R. v. </w:t>
      </w:r>
      <w:proofErr w:type="spellStart"/>
      <w:r w:rsidRPr="007A5468">
        <w:rPr>
          <w:i/>
          <w:lang w:val="en-CA"/>
        </w:rPr>
        <w:t>Keror</w:t>
      </w:r>
      <w:proofErr w:type="spellEnd"/>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11.</w:t>
      </w:r>
    </w:p>
  </w:footnote>
  <w:footnote w:id="65">
    <w:p w14:paraId="5BA9CDB9" w14:textId="67EE802C"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Prosper</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58.</w:t>
      </w:r>
    </w:p>
  </w:footnote>
  <w:footnote w:id="66">
    <w:p w14:paraId="1C461C15" w14:textId="6511A4D7"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Willier</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6</w:t>
      </w:r>
      <w:r w:rsidR="00BE26EE" w:rsidRPr="007A5468">
        <w:rPr>
          <w:lang w:val="en-CA"/>
        </w:rPr>
        <w:t>, para</w:t>
      </w:r>
      <w:r w:rsidRPr="007A5468">
        <w:rPr>
          <w:lang w:val="en-CA"/>
        </w:rPr>
        <w:t>. 38.</w:t>
      </w:r>
    </w:p>
  </w:footnote>
  <w:footnote w:id="67">
    <w:p w14:paraId="48B01E5B" w14:textId="05C19AED"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Sinclair</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6.</w:t>
      </w:r>
    </w:p>
  </w:footnote>
  <w:footnote w:id="68">
    <w:p w14:paraId="278962E6" w14:textId="059B9A2B"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Lefebvre</w:t>
      </w:r>
      <w:r w:rsidRPr="007A5468">
        <w:rPr>
          <w:lang w:val="en-CA"/>
        </w:rPr>
        <w:t>, 2018 QCCS 4468.</w:t>
      </w:r>
    </w:p>
  </w:footnote>
  <w:footnote w:id="69">
    <w:p w14:paraId="5CA3E33A" w14:textId="6ACA06A4"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Id</w:t>
      </w:r>
      <w:r w:rsidRPr="007A5468">
        <w:rPr>
          <w:lang w:val="en-CA"/>
        </w:rPr>
        <w:t>.</w:t>
      </w:r>
      <w:r w:rsidR="00BE26EE" w:rsidRPr="007A5468">
        <w:rPr>
          <w:lang w:val="en-CA"/>
        </w:rPr>
        <w:t>, para</w:t>
      </w:r>
      <w:r w:rsidRPr="007A5468">
        <w:rPr>
          <w:lang w:val="en-CA"/>
        </w:rPr>
        <w:t>. 267.</w:t>
      </w:r>
    </w:p>
  </w:footnote>
  <w:footnote w:id="70">
    <w:p w14:paraId="16510176" w14:textId="0190CB5C"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Taylor</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6</w:t>
      </w:r>
      <w:r w:rsidR="00BE26EE" w:rsidRPr="007A5468">
        <w:rPr>
          <w:lang w:val="en-CA"/>
        </w:rPr>
        <w:t>, para</w:t>
      </w:r>
      <w:r w:rsidRPr="007A5468">
        <w:rPr>
          <w:lang w:val="en-CA"/>
        </w:rPr>
        <w:t xml:space="preserve">. 37; </w:t>
      </w:r>
      <w:r w:rsidRPr="007A5468">
        <w:rPr>
          <w:i/>
          <w:lang w:val="en-CA"/>
        </w:rPr>
        <w:t>R. v. Grant</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4</w:t>
      </w:r>
      <w:r w:rsidR="00BE26EE" w:rsidRPr="007A5468">
        <w:rPr>
          <w:lang w:val="en-CA"/>
        </w:rPr>
        <w:t>, para</w:t>
      </w:r>
      <w:r w:rsidRPr="007A5468">
        <w:rPr>
          <w:lang w:val="en-CA"/>
        </w:rPr>
        <w:t>. 85.</w:t>
      </w:r>
    </w:p>
  </w:footnote>
  <w:footnote w:id="71">
    <w:p w14:paraId="3CB1DA18" w14:textId="2389761B"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Côté</w:t>
      </w:r>
      <w:r w:rsidRPr="007A5468">
        <w:rPr>
          <w:lang w:val="en-CA"/>
        </w:rPr>
        <w:t>, 2011 SCC 46</w:t>
      </w:r>
      <w:r w:rsidR="00BE26EE" w:rsidRPr="007A5468">
        <w:rPr>
          <w:lang w:val="en-CA"/>
        </w:rPr>
        <w:t>, para</w:t>
      </w:r>
      <w:r w:rsidRPr="007A5468">
        <w:rPr>
          <w:lang w:val="en-CA"/>
        </w:rPr>
        <w:t xml:space="preserve">. 44; </w:t>
      </w:r>
      <w:r w:rsidRPr="007A5468">
        <w:rPr>
          <w:i/>
          <w:lang w:val="en-CA"/>
        </w:rPr>
        <w:t>R. v. Beaulieu</w:t>
      </w:r>
      <w:r w:rsidRPr="007A5468">
        <w:rPr>
          <w:lang w:val="en-CA"/>
        </w:rPr>
        <w:t>, 2010 SCC 7</w:t>
      </w:r>
      <w:r w:rsidR="00BE26EE" w:rsidRPr="007A5468">
        <w:rPr>
          <w:lang w:val="en-CA"/>
        </w:rPr>
        <w:t>, para</w:t>
      </w:r>
      <w:r w:rsidRPr="007A5468">
        <w:rPr>
          <w:lang w:val="en-CA"/>
        </w:rPr>
        <w:t xml:space="preserve">. 5; </w:t>
      </w:r>
      <w:r w:rsidRPr="007A5468">
        <w:rPr>
          <w:i/>
          <w:lang w:val="en-CA"/>
        </w:rPr>
        <w:t>R. v. Grant</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4</w:t>
      </w:r>
      <w:r w:rsidR="00BE26EE" w:rsidRPr="007A5468">
        <w:rPr>
          <w:lang w:val="en-CA"/>
        </w:rPr>
        <w:t>, para</w:t>
      </w:r>
      <w:r w:rsidRPr="007A5468">
        <w:rPr>
          <w:lang w:val="en-CA"/>
        </w:rPr>
        <w:t>s. 86 and 129.</w:t>
      </w:r>
    </w:p>
  </w:footnote>
  <w:footnote w:id="72">
    <w:p w14:paraId="0E08967A" w14:textId="094174F2"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c. Lefebvre</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68.</w:t>
      </w:r>
    </w:p>
  </w:footnote>
  <w:footnote w:id="73">
    <w:p w14:paraId="7A816BEE" w14:textId="6B84A6B9"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Grant</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4</w:t>
      </w:r>
      <w:r w:rsidR="00BE26EE" w:rsidRPr="007A5468">
        <w:rPr>
          <w:lang w:val="en-CA"/>
        </w:rPr>
        <w:t>, para</w:t>
      </w:r>
      <w:r w:rsidRPr="007A5468">
        <w:rPr>
          <w:lang w:val="en-CA"/>
        </w:rPr>
        <w:t>. 133.</w:t>
      </w:r>
    </w:p>
  </w:footnote>
  <w:footnote w:id="74">
    <w:p w14:paraId="521690B5" w14:textId="62B547D6"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Id.</w:t>
      </w:r>
      <w:r w:rsidR="00BE26EE" w:rsidRPr="007A5468">
        <w:rPr>
          <w:lang w:val="en-CA"/>
        </w:rPr>
        <w:t>, para</w:t>
      </w:r>
      <w:r w:rsidRPr="007A5468">
        <w:rPr>
          <w:lang w:val="en-CA"/>
        </w:rPr>
        <w:t xml:space="preserve">. 74; see also </w:t>
      </w:r>
      <w:proofErr w:type="spellStart"/>
      <w:r w:rsidRPr="007A5468">
        <w:rPr>
          <w:lang w:val="en-CA"/>
        </w:rPr>
        <w:t>Hugues</w:t>
      </w:r>
      <w:proofErr w:type="spellEnd"/>
      <w:r w:rsidRPr="007A5468">
        <w:rPr>
          <w:lang w:val="en-CA"/>
        </w:rPr>
        <w:t xml:space="preserve"> Parent, </w:t>
      </w:r>
      <w:proofErr w:type="spellStart"/>
      <w:r w:rsidRPr="007A5468">
        <w:rPr>
          <w:i/>
          <w:lang w:val="en-CA"/>
        </w:rPr>
        <w:t>Traité</w:t>
      </w:r>
      <w:proofErr w:type="spellEnd"/>
      <w:r w:rsidRPr="007A5468">
        <w:rPr>
          <w:i/>
          <w:lang w:val="en-CA"/>
        </w:rPr>
        <w:t xml:space="preserve"> de droit </w:t>
      </w:r>
      <w:proofErr w:type="spellStart"/>
      <w:r w:rsidRPr="007A5468">
        <w:rPr>
          <w:i/>
          <w:lang w:val="en-CA"/>
        </w:rPr>
        <w:t>criminel</w:t>
      </w:r>
      <w:proofErr w:type="spellEnd"/>
      <w:r w:rsidRPr="007A5468">
        <w:rPr>
          <w:i/>
          <w:lang w:val="en-CA"/>
        </w:rPr>
        <w:t>:</w:t>
      </w:r>
      <w:r w:rsidRPr="007A5468">
        <w:rPr>
          <w:lang w:val="en-CA"/>
        </w:rPr>
        <w:t> </w:t>
      </w:r>
      <w:r w:rsidRPr="007A5468">
        <w:rPr>
          <w:i/>
          <w:lang w:val="en-CA"/>
        </w:rPr>
        <w:t>Tome IV</w:t>
      </w:r>
      <w:r w:rsidRPr="007A5468">
        <w:rPr>
          <w:lang w:val="en-CA"/>
        </w:rPr>
        <w:t xml:space="preserve">, </w:t>
      </w:r>
      <w:r w:rsidRPr="007A5468">
        <w:rPr>
          <w:bCs/>
          <w:i/>
          <w:lang w:val="en-CA"/>
        </w:rPr>
        <w:t xml:space="preserve">Les </w:t>
      </w:r>
      <w:proofErr w:type="spellStart"/>
      <w:r w:rsidRPr="007A5468">
        <w:rPr>
          <w:bCs/>
          <w:i/>
          <w:lang w:val="en-CA"/>
        </w:rPr>
        <w:t>garanties</w:t>
      </w:r>
      <w:proofErr w:type="spellEnd"/>
      <w:r w:rsidRPr="007A5468">
        <w:rPr>
          <w:bCs/>
          <w:i/>
          <w:lang w:val="en-CA"/>
        </w:rPr>
        <w:t xml:space="preserve"> </w:t>
      </w:r>
      <w:proofErr w:type="spellStart"/>
      <w:r w:rsidRPr="007A5468">
        <w:rPr>
          <w:bCs/>
          <w:i/>
          <w:lang w:val="en-CA"/>
        </w:rPr>
        <w:t>juridiques</w:t>
      </w:r>
      <w:proofErr w:type="spellEnd"/>
      <w:r w:rsidRPr="007A5468">
        <w:rPr>
          <w:bCs/>
          <w:i/>
          <w:lang w:val="en-CA"/>
        </w:rPr>
        <w:t xml:space="preserve"> (articles 7, 8, 9, 10, 11 et 24(2) de la </w:t>
      </w:r>
      <w:proofErr w:type="spellStart"/>
      <w:r w:rsidRPr="007A5468">
        <w:rPr>
          <w:bCs/>
          <w:i/>
          <w:lang w:val="en-CA"/>
        </w:rPr>
        <w:t>Charte</w:t>
      </w:r>
      <w:proofErr w:type="spellEnd"/>
      <w:r w:rsidRPr="007A5468">
        <w:rPr>
          <w:bCs/>
          <w:i/>
          <w:lang w:val="en-CA"/>
        </w:rPr>
        <w:t>)</w:t>
      </w:r>
      <w:r w:rsidRPr="007A5468">
        <w:rPr>
          <w:lang w:val="en-CA"/>
        </w:rPr>
        <w:t>, Montreal</w:t>
      </w:r>
      <w:r w:rsidR="00FB702B" w:rsidRPr="007A5468">
        <w:rPr>
          <w:lang w:val="en-CA"/>
        </w:rPr>
        <w:t>,</w:t>
      </w:r>
      <w:r w:rsidRPr="007A5468">
        <w:rPr>
          <w:lang w:val="en-CA"/>
        </w:rPr>
        <w:t xml:space="preserve"> Wilson &amp; Lafleur, 2018</w:t>
      </w:r>
      <w:r w:rsidR="00FB702B" w:rsidRPr="007A5468">
        <w:rPr>
          <w:lang w:val="en-CA"/>
        </w:rPr>
        <w:t>,</w:t>
      </w:r>
      <w:r w:rsidRPr="007A5468">
        <w:rPr>
          <w:lang w:val="en-CA"/>
        </w:rPr>
        <w:t xml:space="preserve"> </w:t>
      </w:r>
      <w:r w:rsidR="00FB702B" w:rsidRPr="007A5468">
        <w:rPr>
          <w:lang w:val="en-CA"/>
        </w:rPr>
        <w:t>p.</w:t>
      </w:r>
      <w:r w:rsidRPr="007A5468">
        <w:rPr>
          <w:lang w:val="en-CA"/>
        </w:rPr>
        <w:t xml:space="preserve"> 668.</w:t>
      </w:r>
    </w:p>
  </w:footnote>
  <w:footnote w:id="75">
    <w:p w14:paraId="46BA4459" w14:textId="5F91B7B4"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Harrison</w:t>
      </w:r>
      <w:r w:rsidRPr="007A5468">
        <w:rPr>
          <w:lang w:val="en-CA"/>
        </w:rPr>
        <w:t>, 2009 SCC 34</w:t>
      </w:r>
      <w:r w:rsidR="00BE26EE" w:rsidRPr="007A5468">
        <w:rPr>
          <w:lang w:val="en-CA"/>
        </w:rPr>
        <w:t>, para</w:t>
      </w:r>
      <w:r w:rsidRPr="007A5468">
        <w:rPr>
          <w:lang w:val="en-CA"/>
        </w:rPr>
        <w:t xml:space="preserve">. 23, citing with approval </w:t>
      </w:r>
      <w:r w:rsidRPr="007A5468">
        <w:rPr>
          <w:i/>
          <w:lang w:val="en-CA"/>
        </w:rPr>
        <w:t xml:space="preserve">R. v. </w:t>
      </w:r>
      <w:proofErr w:type="spellStart"/>
      <w:r w:rsidRPr="007A5468">
        <w:rPr>
          <w:i/>
          <w:lang w:val="en-CA"/>
        </w:rPr>
        <w:t>Kitaitchik</w:t>
      </w:r>
      <w:proofErr w:type="spellEnd"/>
      <w:r w:rsidRPr="007A5468">
        <w:rPr>
          <w:lang w:val="en-CA"/>
        </w:rPr>
        <w:t>, 166 C.C.C. (3d) 14, 2002 CanLII 45000 (Ont. C.A.).</w:t>
      </w:r>
    </w:p>
  </w:footnote>
  <w:footnote w:id="76">
    <w:p w14:paraId="72DCE6F1" w14:textId="059B548C"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Grant</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4</w:t>
      </w:r>
      <w:r w:rsidR="00BE26EE" w:rsidRPr="007A5468">
        <w:rPr>
          <w:lang w:val="en-CA"/>
        </w:rPr>
        <w:t>, para</w:t>
      </w:r>
      <w:r w:rsidRPr="007A5468">
        <w:rPr>
          <w:lang w:val="en-CA"/>
        </w:rPr>
        <w:t xml:space="preserve">. 75; </w:t>
      </w:r>
      <w:r w:rsidRPr="007A5468">
        <w:rPr>
          <w:i/>
          <w:lang w:val="en-CA"/>
        </w:rPr>
        <w:t xml:space="preserve">R. v. </w:t>
      </w:r>
      <w:proofErr w:type="spellStart"/>
      <w:r w:rsidRPr="007A5468">
        <w:rPr>
          <w:i/>
          <w:lang w:val="en-CA"/>
        </w:rPr>
        <w:t>Kokesch</w:t>
      </w:r>
      <w:proofErr w:type="spellEnd"/>
      <w:r w:rsidRPr="007A5468">
        <w:rPr>
          <w:lang w:val="en-CA"/>
        </w:rPr>
        <w:t>, [1990] 3 S.C.R. 3</w:t>
      </w:r>
      <w:r w:rsidR="00610698" w:rsidRPr="007A5468">
        <w:rPr>
          <w:lang w:val="en-CA"/>
        </w:rPr>
        <w:t>,</w:t>
      </w:r>
      <w:r w:rsidRPr="007A5468">
        <w:rPr>
          <w:lang w:val="en-CA"/>
        </w:rPr>
        <w:t xml:space="preserve"> </w:t>
      </w:r>
      <w:r w:rsidR="00610698" w:rsidRPr="007A5468">
        <w:rPr>
          <w:lang w:val="en-CA"/>
        </w:rPr>
        <w:t>pp.</w:t>
      </w:r>
      <w:r w:rsidRPr="007A5468">
        <w:rPr>
          <w:lang w:val="en-CA"/>
        </w:rPr>
        <w:t xml:space="preserve"> 27–28; Martin Vauclair &amp; Tristan Desjardins, </w:t>
      </w:r>
      <w:proofErr w:type="spellStart"/>
      <w:r w:rsidRPr="007A5468">
        <w:rPr>
          <w:i/>
          <w:lang w:val="en-CA"/>
        </w:rPr>
        <w:t>Traité</w:t>
      </w:r>
      <w:proofErr w:type="spellEnd"/>
      <w:r w:rsidRPr="007A5468">
        <w:rPr>
          <w:i/>
          <w:lang w:val="en-CA"/>
        </w:rPr>
        <w:t xml:space="preserve"> </w:t>
      </w:r>
      <w:proofErr w:type="spellStart"/>
      <w:r w:rsidRPr="007A5468">
        <w:rPr>
          <w:i/>
          <w:lang w:val="en-CA"/>
        </w:rPr>
        <w:t>général</w:t>
      </w:r>
      <w:proofErr w:type="spellEnd"/>
      <w:r w:rsidRPr="007A5468">
        <w:rPr>
          <w:i/>
          <w:lang w:val="en-CA"/>
        </w:rPr>
        <w:t xml:space="preserve"> de </w:t>
      </w:r>
      <w:proofErr w:type="spellStart"/>
      <w:r w:rsidRPr="007A5468">
        <w:rPr>
          <w:i/>
          <w:lang w:val="en-CA"/>
        </w:rPr>
        <w:t>preuve</w:t>
      </w:r>
      <w:proofErr w:type="spellEnd"/>
      <w:r w:rsidRPr="007A5468">
        <w:rPr>
          <w:i/>
          <w:lang w:val="en-CA"/>
        </w:rPr>
        <w:t xml:space="preserve"> et de </w:t>
      </w:r>
      <w:proofErr w:type="spellStart"/>
      <w:r w:rsidRPr="007A5468">
        <w:rPr>
          <w:i/>
          <w:lang w:val="en-CA"/>
        </w:rPr>
        <w:t>procédure</w:t>
      </w:r>
      <w:proofErr w:type="spellEnd"/>
      <w:r w:rsidRPr="007A5468">
        <w:rPr>
          <w:i/>
          <w:lang w:val="en-CA"/>
        </w:rPr>
        <w:t xml:space="preserve"> </w:t>
      </w:r>
      <w:proofErr w:type="spellStart"/>
      <w:r w:rsidRPr="007A5468">
        <w:rPr>
          <w:i/>
          <w:lang w:val="en-CA"/>
        </w:rPr>
        <w:t>pénales</w:t>
      </w:r>
      <w:proofErr w:type="spellEnd"/>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25</w:t>
      </w:r>
      <w:r w:rsidR="00057398" w:rsidRPr="007A5468">
        <w:rPr>
          <w:lang w:val="en-CA"/>
        </w:rPr>
        <w:t>,</w:t>
      </w:r>
      <w:r w:rsidRPr="007A5468">
        <w:rPr>
          <w:lang w:val="en-CA"/>
        </w:rPr>
        <w:t xml:space="preserve"> </w:t>
      </w:r>
      <w:r w:rsidR="00057398" w:rsidRPr="007A5468">
        <w:rPr>
          <w:lang w:val="en-CA"/>
        </w:rPr>
        <w:t>p.</w:t>
      </w:r>
      <w:r w:rsidRPr="007A5468">
        <w:rPr>
          <w:lang w:val="en-CA"/>
        </w:rPr>
        <w:t xml:space="preserve"> 963</w:t>
      </w:r>
      <w:r w:rsidR="00BE26EE" w:rsidRPr="007A5468">
        <w:rPr>
          <w:lang w:val="en-CA"/>
        </w:rPr>
        <w:t>, para</w:t>
      </w:r>
      <w:r w:rsidRPr="007A5468">
        <w:rPr>
          <w:lang w:val="en-CA"/>
        </w:rPr>
        <w:t xml:space="preserve">. 28.191; </w:t>
      </w:r>
      <w:proofErr w:type="spellStart"/>
      <w:r w:rsidRPr="007A5468">
        <w:rPr>
          <w:lang w:val="en-CA"/>
        </w:rPr>
        <w:t>Hugues</w:t>
      </w:r>
      <w:proofErr w:type="spellEnd"/>
      <w:r w:rsidRPr="007A5468">
        <w:rPr>
          <w:lang w:val="en-CA"/>
        </w:rPr>
        <w:t xml:space="preserve"> Parent, </w:t>
      </w:r>
      <w:proofErr w:type="spellStart"/>
      <w:r w:rsidRPr="007A5468">
        <w:rPr>
          <w:i/>
          <w:lang w:val="en-CA"/>
        </w:rPr>
        <w:t>Traité</w:t>
      </w:r>
      <w:proofErr w:type="spellEnd"/>
      <w:r w:rsidRPr="007A5468">
        <w:rPr>
          <w:i/>
          <w:lang w:val="en-CA"/>
        </w:rPr>
        <w:t xml:space="preserve"> de droit </w:t>
      </w:r>
      <w:proofErr w:type="spellStart"/>
      <w:r w:rsidRPr="007A5468">
        <w:rPr>
          <w:i/>
          <w:lang w:val="en-CA"/>
        </w:rPr>
        <w:t>criminel</w:t>
      </w:r>
      <w:proofErr w:type="spellEnd"/>
      <w:r w:rsidRPr="007A5468">
        <w:rPr>
          <w:lang w:val="en-CA"/>
        </w:rPr>
        <w:t xml:space="preserve">: </w:t>
      </w:r>
      <w:r w:rsidRPr="007A5468">
        <w:rPr>
          <w:i/>
          <w:lang w:val="en-CA"/>
        </w:rPr>
        <w:t>Tome IV</w:t>
      </w:r>
      <w:r w:rsidRPr="007A5468">
        <w:rPr>
          <w:lang w:val="en-CA"/>
        </w:rPr>
        <w:t xml:space="preserve">, </w:t>
      </w:r>
      <w:r w:rsidRPr="007A5468">
        <w:rPr>
          <w:bCs/>
          <w:i/>
          <w:lang w:val="en-CA"/>
        </w:rPr>
        <w:t xml:space="preserve">Les </w:t>
      </w:r>
      <w:proofErr w:type="spellStart"/>
      <w:r w:rsidRPr="007A5468">
        <w:rPr>
          <w:bCs/>
          <w:i/>
          <w:lang w:val="en-CA"/>
        </w:rPr>
        <w:t>garanties</w:t>
      </w:r>
      <w:proofErr w:type="spellEnd"/>
      <w:r w:rsidRPr="007A5468">
        <w:rPr>
          <w:bCs/>
          <w:i/>
          <w:lang w:val="en-CA"/>
        </w:rPr>
        <w:t xml:space="preserve"> </w:t>
      </w:r>
      <w:proofErr w:type="spellStart"/>
      <w:r w:rsidRPr="007A5468">
        <w:rPr>
          <w:bCs/>
          <w:i/>
          <w:lang w:val="en-CA"/>
        </w:rPr>
        <w:t>juridiques</w:t>
      </w:r>
      <w:proofErr w:type="spellEnd"/>
      <w:r w:rsidRPr="007A5468">
        <w:rPr>
          <w:bCs/>
          <w:i/>
          <w:lang w:val="en-CA"/>
        </w:rPr>
        <w:t xml:space="preserve"> (articles 7, 8, 9, 10, 11 et 24(2) de la </w:t>
      </w:r>
      <w:proofErr w:type="spellStart"/>
      <w:r w:rsidRPr="007A5468">
        <w:rPr>
          <w:bCs/>
          <w:i/>
          <w:lang w:val="en-CA"/>
        </w:rPr>
        <w:t>Charte</w:t>
      </w:r>
      <w:proofErr w:type="spellEnd"/>
      <w:r w:rsidRPr="007A5468">
        <w:rPr>
          <w:bCs/>
          <w:i/>
          <w:lang w:val="en-CA"/>
        </w:rPr>
        <w:t>)</w:t>
      </w:r>
      <w:r w:rsidRPr="007A5468">
        <w:rPr>
          <w:lang w:val="en-CA"/>
        </w:rPr>
        <w:t>,</w:t>
      </w:r>
      <w:r w:rsidRPr="007A5468">
        <w:rPr>
          <w:i/>
          <w:lang w:val="en-CA"/>
        </w:rPr>
        <w:t xml:space="preserve"> supra</w:t>
      </w:r>
      <w:r w:rsidR="00D93CD4" w:rsidRPr="007A5468">
        <w:rPr>
          <w:iCs/>
          <w:lang w:val="en-CA"/>
        </w:rPr>
        <w:t>,</w:t>
      </w:r>
      <w:r w:rsidRPr="007A5468">
        <w:rPr>
          <w:i/>
          <w:lang w:val="en-CA"/>
        </w:rPr>
        <w:t xml:space="preserve"> </w:t>
      </w:r>
      <w:r w:rsidRPr="007A5468">
        <w:rPr>
          <w:lang w:val="en-CA"/>
        </w:rPr>
        <w:t>note 74</w:t>
      </w:r>
      <w:r w:rsidR="00840DD5" w:rsidRPr="007A5468">
        <w:rPr>
          <w:lang w:val="en-CA"/>
        </w:rPr>
        <w:t>,</w:t>
      </w:r>
      <w:r w:rsidRPr="007A5468">
        <w:rPr>
          <w:lang w:val="en-CA"/>
        </w:rPr>
        <w:t xml:space="preserve"> </w:t>
      </w:r>
      <w:r w:rsidR="00840DD5" w:rsidRPr="007A5468">
        <w:rPr>
          <w:lang w:val="en-CA"/>
        </w:rPr>
        <w:t>pp.</w:t>
      </w:r>
      <w:r w:rsidRPr="007A5468">
        <w:rPr>
          <w:lang w:val="en-CA"/>
        </w:rPr>
        <w:t xml:space="preserve"> 670</w:t>
      </w:r>
      <w:r w:rsidRPr="007A5468">
        <w:rPr>
          <w:lang w:val="en-CA"/>
        </w:rPr>
        <w:sym w:font="Symbol" w:char="F02D"/>
      </w:r>
      <w:r w:rsidRPr="007A5468">
        <w:rPr>
          <w:lang w:val="en-CA"/>
        </w:rPr>
        <w:t>671 and the case law cited in the footnote on page 1717.</w:t>
      </w:r>
    </w:p>
  </w:footnote>
  <w:footnote w:id="77">
    <w:p w14:paraId="1F9498E0" w14:textId="6CFAC719"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t xml:space="preserve">Martin Vauclair &amp; Tristan Desjardins, </w:t>
      </w:r>
      <w:proofErr w:type="spellStart"/>
      <w:r w:rsidRPr="007A5468">
        <w:rPr>
          <w:i/>
          <w:lang w:val="en-CA"/>
        </w:rPr>
        <w:t>Traité</w:t>
      </w:r>
      <w:proofErr w:type="spellEnd"/>
      <w:r w:rsidRPr="007A5468">
        <w:rPr>
          <w:i/>
          <w:lang w:val="en-CA"/>
        </w:rPr>
        <w:t xml:space="preserve"> </w:t>
      </w:r>
      <w:proofErr w:type="spellStart"/>
      <w:r w:rsidRPr="007A5468">
        <w:rPr>
          <w:i/>
          <w:lang w:val="en-CA"/>
        </w:rPr>
        <w:t>général</w:t>
      </w:r>
      <w:proofErr w:type="spellEnd"/>
      <w:r w:rsidRPr="007A5468">
        <w:rPr>
          <w:i/>
          <w:lang w:val="en-CA"/>
        </w:rPr>
        <w:t xml:space="preserve"> de </w:t>
      </w:r>
      <w:proofErr w:type="spellStart"/>
      <w:r w:rsidRPr="007A5468">
        <w:rPr>
          <w:i/>
          <w:lang w:val="en-CA"/>
        </w:rPr>
        <w:t>preuve</w:t>
      </w:r>
      <w:proofErr w:type="spellEnd"/>
      <w:r w:rsidRPr="007A5468">
        <w:rPr>
          <w:i/>
          <w:lang w:val="en-CA"/>
        </w:rPr>
        <w:t xml:space="preserve"> et de </w:t>
      </w:r>
      <w:proofErr w:type="spellStart"/>
      <w:r w:rsidRPr="007A5468">
        <w:rPr>
          <w:i/>
          <w:lang w:val="en-CA"/>
        </w:rPr>
        <w:t>procédure</w:t>
      </w:r>
      <w:proofErr w:type="spellEnd"/>
      <w:r w:rsidRPr="007A5468">
        <w:rPr>
          <w:i/>
          <w:lang w:val="en-CA"/>
        </w:rPr>
        <w:t xml:space="preserve"> </w:t>
      </w:r>
      <w:proofErr w:type="spellStart"/>
      <w:r w:rsidRPr="007A5468">
        <w:rPr>
          <w:i/>
          <w:lang w:val="en-CA"/>
        </w:rPr>
        <w:t>pénales</w:t>
      </w:r>
      <w:proofErr w:type="spellEnd"/>
      <w:r w:rsidRPr="007A5468">
        <w:rPr>
          <w:lang w:val="en-CA"/>
        </w:rPr>
        <w:t xml:space="preserve">, </w:t>
      </w:r>
      <w:r w:rsidRPr="007A5468">
        <w:rPr>
          <w:i/>
          <w:lang w:val="en-CA"/>
        </w:rPr>
        <w:t>supra</w:t>
      </w:r>
      <w:r w:rsidR="00D93CD4" w:rsidRPr="007A5468">
        <w:rPr>
          <w:iCs/>
          <w:lang w:val="en-CA"/>
        </w:rPr>
        <w:t>,</w:t>
      </w:r>
      <w:r w:rsidRPr="007A5468">
        <w:rPr>
          <w:lang w:val="en-CA"/>
        </w:rPr>
        <w:t xml:space="preserve"> note 25</w:t>
      </w:r>
      <w:r w:rsidR="007F2FB6" w:rsidRPr="007A5468">
        <w:rPr>
          <w:lang w:val="en-CA"/>
        </w:rPr>
        <w:t>,</w:t>
      </w:r>
      <w:r w:rsidRPr="007A5468">
        <w:rPr>
          <w:lang w:val="en-CA"/>
        </w:rPr>
        <w:t xml:space="preserve"> </w:t>
      </w:r>
      <w:r w:rsidR="007F2FB6" w:rsidRPr="007A5468">
        <w:rPr>
          <w:lang w:val="en-CA"/>
        </w:rPr>
        <w:t>p.</w:t>
      </w:r>
      <w:r w:rsidRPr="007A5468">
        <w:rPr>
          <w:lang w:val="en-CA"/>
        </w:rPr>
        <w:t xml:space="preserve"> 969,</w:t>
      </w:r>
      <w:r w:rsidR="00BE76B7" w:rsidRPr="007A5468">
        <w:rPr>
          <w:lang w:val="en-CA"/>
        </w:rPr>
        <w:t xml:space="preserve"> </w:t>
      </w:r>
      <w:r w:rsidRPr="007A5468">
        <w:rPr>
          <w:lang w:val="en-CA"/>
        </w:rPr>
        <w:t xml:space="preserve">para. 28.201; </w:t>
      </w:r>
      <w:r w:rsidRPr="007A5468">
        <w:rPr>
          <w:i/>
          <w:lang w:val="en-CA"/>
        </w:rPr>
        <w:t>Sylvain c. R.</w:t>
      </w:r>
      <w:r w:rsidRPr="007A5468">
        <w:rPr>
          <w:lang w:val="en-CA"/>
        </w:rPr>
        <w:t>, 2020 QCCA 400</w:t>
      </w:r>
      <w:r w:rsidR="00BE26EE" w:rsidRPr="007A5468">
        <w:rPr>
          <w:lang w:val="en-CA"/>
        </w:rPr>
        <w:t>, para</w:t>
      </w:r>
      <w:r w:rsidRPr="007A5468">
        <w:rPr>
          <w:lang w:val="en-CA"/>
        </w:rPr>
        <w:t xml:space="preserve">. 52; </w:t>
      </w:r>
      <w:proofErr w:type="spellStart"/>
      <w:r w:rsidRPr="007A5468">
        <w:rPr>
          <w:i/>
          <w:lang w:val="en-CA"/>
        </w:rPr>
        <w:t>L</w:t>
      </w:r>
      <w:r w:rsidR="003061CC" w:rsidRPr="007A5468">
        <w:rPr>
          <w:i/>
          <w:lang w:val="en-CA"/>
        </w:rPr>
        <w:t>’</w:t>
      </w:r>
      <w:r w:rsidRPr="007A5468">
        <w:rPr>
          <w:i/>
          <w:lang w:val="en-CA"/>
        </w:rPr>
        <w:t>Espérance</w:t>
      </w:r>
      <w:proofErr w:type="spellEnd"/>
      <w:r w:rsidRPr="007A5468">
        <w:rPr>
          <w:i/>
          <w:lang w:val="en-CA"/>
        </w:rPr>
        <w:t xml:space="preserve"> c. R</w:t>
      </w:r>
      <w:r w:rsidRPr="007A5468">
        <w:rPr>
          <w:lang w:val="en-CA"/>
        </w:rPr>
        <w:t>., 2011 QCCA 237</w:t>
      </w:r>
      <w:r w:rsidR="00BE26EE" w:rsidRPr="007A5468">
        <w:rPr>
          <w:lang w:val="en-CA"/>
        </w:rPr>
        <w:t>, para</w:t>
      </w:r>
      <w:r w:rsidRPr="007A5468">
        <w:rPr>
          <w:lang w:val="en-CA"/>
        </w:rPr>
        <w:t>. 53.</w:t>
      </w:r>
    </w:p>
  </w:footnote>
  <w:footnote w:id="78">
    <w:p w14:paraId="22B97D74" w14:textId="6BB4EE8F"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Taylor</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6</w:t>
      </w:r>
      <w:r w:rsidR="00BE26EE" w:rsidRPr="007A5468">
        <w:rPr>
          <w:lang w:val="en-CA"/>
        </w:rPr>
        <w:t>, para</w:t>
      </w:r>
      <w:r w:rsidRPr="007A5468">
        <w:rPr>
          <w:lang w:val="en-CA"/>
        </w:rPr>
        <w:t>. 39.</w:t>
      </w:r>
    </w:p>
  </w:footnote>
  <w:footnote w:id="79">
    <w:p w14:paraId="410E87D5" w14:textId="47465997"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Id.</w:t>
      </w:r>
      <w:r w:rsidR="00BE26EE" w:rsidRPr="007A5468">
        <w:rPr>
          <w:lang w:val="en-CA"/>
        </w:rPr>
        <w:t>, para</w:t>
      </w:r>
      <w:r w:rsidRPr="007A5468">
        <w:rPr>
          <w:lang w:val="en-CA"/>
        </w:rPr>
        <w:t>s. 35 and 39.</w:t>
      </w:r>
    </w:p>
  </w:footnote>
  <w:footnote w:id="80">
    <w:p w14:paraId="657DD529" w14:textId="090086DD"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Id</w:t>
      </w:r>
      <w:r w:rsidRPr="007A5468">
        <w:rPr>
          <w:lang w:val="en-CA"/>
        </w:rPr>
        <w:t>.</w:t>
      </w:r>
      <w:r w:rsidR="00BE26EE" w:rsidRPr="007A5468">
        <w:rPr>
          <w:lang w:val="en-CA"/>
        </w:rPr>
        <w:t>, para</w:t>
      </w:r>
      <w:r w:rsidRPr="007A5468">
        <w:rPr>
          <w:lang w:val="en-CA"/>
        </w:rPr>
        <w:t>. 35.</w:t>
      </w:r>
    </w:p>
  </w:footnote>
  <w:footnote w:id="81">
    <w:p w14:paraId="27677D7B" w14:textId="74428AD9"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proofErr w:type="spellStart"/>
      <w:r w:rsidRPr="007A5468">
        <w:rPr>
          <w:i/>
          <w:lang w:val="en-CA"/>
        </w:rPr>
        <w:t>Dussault</w:t>
      </w:r>
      <w:proofErr w:type="spellEnd"/>
      <w:r w:rsidRPr="007A5468">
        <w:rPr>
          <w:i/>
          <w:lang w:val="en-CA"/>
        </w:rPr>
        <w:t xml:space="preserve"> c. R.</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11</w:t>
      </w:r>
      <w:r w:rsidR="00BE26EE" w:rsidRPr="007A5468">
        <w:rPr>
          <w:lang w:val="en-CA"/>
        </w:rPr>
        <w:t>, para</w:t>
      </w:r>
      <w:r w:rsidRPr="007A5468">
        <w:rPr>
          <w:lang w:val="en-CA"/>
        </w:rPr>
        <w:t>. 29.</w:t>
      </w:r>
    </w:p>
  </w:footnote>
  <w:footnote w:id="82">
    <w:p w14:paraId="0374C4E4" w14:textId="69273028" w:rsidR="0097639F" w:rsidRPr="007A5468" w:rsidRDefault="0097639F">
      <w:pPr>
        <w:pStyle w:val="Notedebasdepage"/>
        <w:rPr>
          <w:lang w:val="en-CA"/>
        </w:rPr>
      </w:pPr>
      <w:r w:rsidRPr="007A5468">
        <w:rPr>
          <w:rStyle w:val="Appelnotedebasdep"/>
          <w:lang w:val="en-CA"/>
        </w:rPr>
        <w:footnoteRef/>
      </w:r>
      <w:r w:rsidRPr="007A5468">
        <w:rPr>
          <w:lang w:val="en-CA"/>
        </w:rPr>
        <w:t xml:space="preserve">    </w:t>
      </w:r>
      <w:r w:rsidRPr="007A5468">
        <w:rPr>
          <w:i/>
          <w:lang w:val="en-CA"/>
        </w:rPr>
        <w:t>Id.</w:t>
      </w:r>
      <w:r w:rsidR="00BE26EE" w:rsidRPr="007A5468">
        <w:rPr>
          <w:i/>
          <w:lang w:val="en-CA"/>
        </w:rPr>
        <w:t>, para</w:t>
      </w:r>
      <w:r w:rsidRPr="007A5468">
        <w:rPr>
          <w:lang w:val="en-CA"/>
        </w:rPr>
        <w:t>. 24.</w:t>
      </w:r>
    </w:p>
  </w:footnote>
  <w:footnote w:id="83">
    <w:p w14:paraId="12B74084" w14:textId="1000BF18" w:rsidR="0097639F" w:rsidRPr="007A5468" w:rsidRDefault="0097639F" w:rsidP="007119B1">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Id.</w:t>
      </w:r>
      <w:r w:rsidR="00BE26EE" w:rsidRPr="007A5468">
        <w:rPr>
          <w:lang w:val="en-CA"/>
        </w:rPr>
        <w:t>, para</w:t>
      </w:r>
      <w:r w:rsidRPr="007A5468">
        <w:rPr>
          <w:lang w:val="en-CA"/>
        </w:rPr>
        <w:t>. 35.</w:t>
      </w:r>
    </w:p>
  </w:footnote>
  <w:footnote w:id="84">
    <w:p w14:paraId="33495AC5" w14:textId="7B2E53D5"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Id.</w:t>
      </w:r>
      <w:r w:rsidR="00BE26EE" w:rsidRPr="007A5468">
        <w:rPr>
          <w:lang w:val="en-CA"/>
        </w:rPr>
        <w:t>, para</w:t>
      </w:r>
      <w:r w:rsidRPr="007A5468">
        <w:rPr>
          <w:lang w:val="en-CA"/>
        </w:rPr>
        <w:t>. 40.</w:t>
      </w:r>
    </w:p>
  </w:footnote>
  <w:footnote w:id="85">
    <w:p w14:paraId="202C18AD" w14:textId="773CF979"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Grant</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4.</w:t>
      </w:r>
    </w:p>
  </w:footnote>
  <w:footnote w:id="86">
    <w:p w14:paraId="56BB67E8" w14:textId="520262E5"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Oakes</w:t>
      </w:r>
      <w:r w:rsidRPr="007A5468">
        <w:rPr>
          <w:lang w:val="en-CA"/>
        </w:rPr>
        <w:t>, [1986] 1 S.C.R. 103.</w:t>
      </w:r>
    </w:p>
  </w:footnote>
  <w:footnote w:id="87">
    <w:p w14:paraId="6E8E1EEC" w14:textId="4663EB31" w:rsidR="0097639F" w:rsidRPr="007A5468" w:rsidRDefault="0097639F" w:rsidP="0003034C">
      <w:pPr>
        <w:pStyle w:val="Notedebasdepage"/>
        <w:jc w:val="left"/>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Id.</w:t>
      </w:r>
      <w:r w:rsidR="00BE26EE" w:rsidRPr="002E7C7B">
        <w:rPr>
          <w:iCs/>
          <w:lang w:val="en-CA"/>
        </w:rPr>
        <w:t>, para</w:t>
      </w:r>
      <w:r w:rsidRPr="007A5468">
        <w:rPr>
          <w:iCs/>
          <w:lang w:val="en-CA"/>
        </w:rPr>
        <w:t xml:space="preserve">. </w:t>
      </w:r>
      <w:r w:rsidRPr="007A5468">
        <w:rPr>
          <w:lang w:val="en-CA"/>
        </w:rPr>
        <w:t>28.</w:t>
      </w:r>
      <w:r w:rsidRPr="007A5468">
        <w:rPr>
          <w:i/>
          <w:lang w:val="en-CA"/>
        </w:rPr>
        <w:t xml:space="preserve">                                                                                                                                                                                                                                                                                                                                                                                                                                                                                                                                                                                                                                                                                                                                                                                                                                                                                                                                                                                                                                      </w:t>
      </w:r>
    </w:p>
  </w:footnote>
  <w:footnote w:id="88">
    <w:p w14:paraId="5D45364C" w14:textId="5001263F"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Sinclair</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6</w:t>
      </w:r>
      <w:r w:rsidR="00BE26EE" w:rsidRPr="007A5468">
        <w:rPr>
          <w:lang w:val="en-CA"/>
        </w:rPr>
        <w:t>, para</w:t>
      </w:r>
      <w:r w:rsidRPr="007A5468">
        <w:rPr>
          <w:lang w:val="en-CA"/>
        </w:rPr>
        <w:t xml:space="preserve">. 26, citing </w:t>
      </w:r>
      <w:r w:rsidRPr="007A5468">
        <w:rPr>
          <w:i/>
          <w:lang w:val="en-CA"/>
        </w:rPr>
        <w:t>R. v. Manninen</w:t>
      </w:r>
      <w:r w:rsidRPr="007A5468">
        <w:rPr>
          <w:lang w:val="en-CA"/>
        </w:rPr>
        <w:t>, [1987] 1 S.C.R. 1233</w:t>
      </w:r>
      <w:r w:rsidR="00BE26EE" w:rsidRPr="007A5468">
        <w:rPr>
          <w:lang w:val="en-CA"/>
        </w:rPr>
        <w:t>, para</w:t>
      </w:r>
      <w:r w:rsidRPr="007A5468">
        <w:rPr>
          <w:lang w:val="en-CA"/>
        </w:rPr>
        <w:t>. 23.</w:t>
      </w:r>
    </w:p>
  </w:footnote>
  <w:footnote w:id="89">
    <w:p w14:paraId="4340F779" w14:textId="57252CF5"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Taylor</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6</w:t>
      </w:r>
      <w:r w:rsidR="00BE26EE" w:rsidRPr="007A5468">
        <w:rPr>
          <w:lang w:val="en-CA"/>
        </w:rPr>
        <w:t>, para</w:t>
      </w:r>
      <w:r w:rsidRPr="007A5468">
        <w:rPr>
          <w:lang w:val="en-CA"/>
        </w:rPr>
        <w:t>. 38.</w:t>
      </w:r>
    </w:p>
  </w:footnote>
  <w:footnote w:id="90">
    <w:p w14:paraId="564934E8" w14:textId="57739A6A" w:rsidR="0097639F" w:rsidRPr="007A5468" w:rsidRDefault="0097639F" w:rsidP="003F524C">
      <w:pPr>
        <w:pStyle w:val="Notedebasdepage"/>
        <w:tabs>
          <w:tab w:val="left" w:pos="360"/>
        </w:tabs>
        <w:rPr>
          <w:rFonts w:cs="Arial"/>
          <w:lang w:val="en-CA"/>
        </w:rPr>
      </w:pPr>
      <w:r w:rsidRPr="007A5468">
        <w:rPr>
          <w:rStyle w:val="Appelnotedebasdep"/>
          <w:lang w:val="en-CA"/>
        </w:rPr>
        <w:footnoteRef/>
      </w:r>
      <w:r w:rsidRPr="007A5468">
        <w:rPr>
          <w:lang w:val="en-CA"/>
        </w:rPr>
        <w:t xml:space="preserve"> </w:t>
      </w:r>
      <w:r w:rsidRPr="007A5468">
        <w:rPr>
          <w:lang w:val="en-CA"/>
        </w:rPr>
        <w:tab/>
      </w:r>
      <w:r w:rsidR="00E670A2" w:rsidRPr="007A5468">
        <w:rPr>
          <w:lang w:val="en-CA"/>
        </w:rPr>
        <w:t>Indeed, t</w:t>
      </w:r>
      <w:r w:rsidRPr="007A5468">
        <w:rPr>
          <w:lang w:val="en-CA"/>
        </w:rPr>
        <w:t>his provision came into force in 2018 following the enactment of Bill C-46 (</w:t>
      </w:r>
      <w:r w:rsidRPr="007A5468">
        <w:rPr>
          <w:i/>
          <w:color w:val="000000"/>
          <w:lang w:val="en-CA"/>
        </w:rPr>
        <w:t>An Act to amend the Criminal Code (offences relating to conveyances)</w:t>
      </w:r>
      <w:r w:rsidRPr="007A5468">
        <w:rPr>
          <w:color w:val="000000"/>
          <w:lang w:val="en-CA"/>
        </w:rPr>
        <w:t xml:space="preserve"> </w:t>
      </w:r>
      <w:r w:rsidRPr="007A5468">
        <w:rPr>
          <w:i/>
          <w:color w:val="000000"/>
          <w:lang w:val="en-CA"/>
        </w:rPr>
        <w:t>and to make consequential amendments to other Acts</w:t>
      </w:r>
      <w:r w:rsidRPr="007A5468">
        <w:rPr>
          <w:rFonts w:cs="Arial"/>
          <w:lang w:val="en-CA"/>
        </w:rPr>
        <w:t xml:space="preserve">, S.C. </w:t>
      </w:r>
      <w:r w:rsidRPr="007A5468">
        <w:rPr>
          <w:lang w:val="en-CA"/>
        </w:rPr>
        <w:t xml:space="preserve">2018, c. 21, s. 15.), the preamble to which noted that impaired driving is </w:t>
      </w:r>
      <w:r w:rsidR="00081775" w:rsidRPr="007A5468">
        <w:rPr>
          <w:lang w:val="en-CA"/>
        </w:rPr>
        <w:t>“</w:t>
      </w:r>
      <w:r w:rsidRPr="007A5468">
        <w:rPr>
          <w:lang w:val="en-CA"/>
        </w:rPr>
        <w:t>unacceptable at all times and in all circumstances</w:t>
      </w:r>
      <w:r w:rsidR="00081775" w:rsidRPr="007A5468">
        <w:rPr>
          <w:lang w:val="en-CA"/>
        </w:rPr>
        <w:t>”</w:t>
      </w:r>
      <w:r w:rsidRPr="007A5468">
        <w:rPr>
          <w:lang w:val="en-CA"/>
        </w:rPr>
        <w:t xml:space="preserve"> and that it is important </w:t>
      </w:r>
      <w:r w:rsidR="00081775" w:rsidRPr="007A5468">
        <w:rPr>
          <w:lang w:val="en-CA"/>
        </w:rPr>
        <w:t>“</w:t>
      </w:r>
      <w:r w:rsidRPr="007A5468">
        <w:rPr>
          <w:rFonts w:cs="Arial"/>
          <w:color w:val="000000"/>
          <w:lang w:val="en-CA"/>
        </w:rPr>
        <w:t>to simplify the law relating to the proof of blood alcohol concentration</w:t>
      </w:r>
      <w:r w:rsidR="00081775" w:rsidRPr="007A5468">
        <w:rPr>
          <w:rFonts w:cs="Arial"/>
          <w:color w:val="000000"/>
          <w:lang w:val="en-CA"/>
        </w:rPr>
        <w:t>”</w:t>
      </w:r>
      <w:r w:rsidR="007F4002" w:rsidRPr="007A5468">
        <w:rPr>
          <w:rFonts w:cs="Arial"/>
          <w:color w:val="000000"/>
          <w:lang w:val="en-CA"/>
        </w:rPr>
        <w:t>.</w:t>
      </w:r>
    </w:p>
  </w:footnote>
  <w:footnote w:id="91">
    <w:p w14:paraId="1A707447" w14:textId="08F7A86E" w:rsidR="0097639F" w:rsidRPr="007A5468" w:rsidRDefault="0097639F" w:rsidP="009130CA">
      <w:pPr>
        <w:pStyle w:val="Notedebasdepage"/>
        <w:rPr>
          <w:lang w:val="en-CA"/>
        </w:rPr>
      </w:pPr>
      <w:r w:rsidRPr="007A5468">
        <w:rPr>
          <w:rStyle w:val="Appelnotedebasdep"/>
          <w:lang w:val="en-CA"/>
        </w:rPr>
        <w:footnoteRef/>
      </w:r>
      <w:r w:rsidRPr="007A5468">
        <w:rPr>
          <w:rFonts w:cs="Arial"/>
          <w:lang w:val="en-CA"/>
        </w:rPr>
        <w:t xml:space="preserve"> </w:t>
      </w:r>
      <w:r w:rsidRPr="007A5468">
        <w:rPr>
          <w:rFonts w:cs="Arial"/>
          <w:lang w:val="en-CA"/>
        </w:rPr>
        <w:tab/>
      </w:r>
      <w:proofErr w:type="spellStart"/>
      <w:r w:rsidRPr="007A5468">
        <w:rPr>
          <w:rFonts w:cs="Arial"/>
          <w:lang w:val="en-CA"/>
        </w:rPr>
        <w:t>Hugues</w:t>
      </w:r>
      <w:proofErr w:type="spellEnd"/>
      <w:r w:rsidRPr="007A5468">
        <w:rPr>
          <w:rFonts w:cs="Arial"/>
          <w:lang w:val="en-CA"/>
        </w:rPr>
        <w:t xml:space="preserve"> Parent, </w:t>
      </w:r>
      <w:proofErr w:type="spellStart"/>
      <w:r w:rsidRPr="007A5468">
        <w:rPr>
          <w:i/>
          <w:lang w:val="en-CA"/>
        </w:rPr>
        <w:t>Traité</w:t>
      </w:r>
      <w:proofErr w:type="spellEnd"/>
      <w:r w:rsidRPr="007A5468">
        <w:rPr>
          <w:i/>
          <w:lang w:val="en-CA"/>
        </w:rPr>
        <w:t xml:space="preserve"> de droit </w:t>
      </w:r>
      <w:proofErr w:type="spellStart"/>
      <w:r w:rsidRPr="007A5468">
        <w:rPr>
          <w:i/>
          <w:lang w:val="en-CA"/>
        </w:rPr>
        <w:t>criminel</w:t>
      </w:r>
      <w:proofErr w:type="spellEnd"/>
      <w:r w:rsidRPr="007A5468">
        <w:rPr>
          <w:i/>
          <w:lang w:val="en-CA"/>
        </w:rPr>
        <w:t>:</w:t>
      </w:r>
      <w:r w:rsidRPr="007A5468">
        <w:rPr>
          <w:lang w:val="en-CA"/>
        </w:rPr>
        <w:t> </w:t>
      </w:r>
      <w:r w:rsidRPr="007A5468">
        <w:rPr>
          <w:i/>
          <w:lang w:val="en-CA"/>
        </w:rPr>
        <w:t>Tome IV</w:t>
      </w:r>
      <w:r w:rsidRPr="007A5468">
        <w:rPr>
          <w:lang w:val="en-CA"/>
        </w:rPr>
        <w:t xml:space="preserve">, </w:t>
      </w:r>
      <w:r w:rsidRPr="007A5468">
        <w:rPr>
          <w:bCs/>
          <w:i/>
          <w:lang w:val="en-CA"/>
        </w:rPr>
        <w:t xml:space="preserve">Les </w:t>
      </w:r>
      <w:proofErr w:type="spellStart"/>
      <w:r w:rsidRPr="007A5468">
        <w:rPr>
          <w:bCs/>
          <w:i/>
          <w:lang w:val="en-CA"/>
        </w:rPr>
        <w:t>garanties</w:t>
      </w:r>
      <w:proofErr w:type="spellEnd"/>
      <w:r w:rsidRPr="007A5468">
        <w:rPr>
          <w:bCs/>
          <w:i/>
          <w:lang w:val="en-CA"/>
        </w:rPr>
        <w:t xml:space="preserve"> </w:t>
      </w:r>
      <w:proofErr w:type="spellStart"/>
      <w:r w:rsidRPr="007A5468">
        <w:rPr>
          <w:bCs/>
          <w:i/>
          <w:lang w:val="en-CA"/>
        </w:rPr>
        <w:t>juridiques</w:t>
      </w:r>
      <w:proofErr w:type="spellEnd"/>
      <w:r w:rsidRPr="007A5468">
        <w:rPr>
          <w:bCs/>
          <w:i/>
          <w:lang w:val="en-CA"/>
        </w:rPr>
        <w:t xml:space="preserve"> (articles 7, 8, 9, 10, 11 et 24(2) de la </w:t>
      </w:r>
      <w:proofErr w:type="spellStart"/>
      <w:r w:rsidRPr="007A5468">
        <w:rPr>
          <w:bCs/>
          <w:i/>
          <w:lang w:val="en-CA"/>
        </w:rPr>
        <w:t>Charte</w:t>
      </w:r>
      <w:proofErr w:type="spellEnd"/>
      <w:r w:rsidRPr="007A5468">
        <w:rPr>
          <w:bCs/>
          <w:i/>
          <w:lang w:val="en-CA"/>
        </w:rPr>
        <w:t>)</w:t>
      </w:r>
      <w:r w:rsidRPr="007A5468">
        <w:rPr>
          <w:rFonts w:cs="Arial"/>
          <w:lang w:val="en-CA"/>
        </w:rPr>
        <w:t xml:space="preserve">, </w:t>
      </w:r>
      <w:r w:rsidRPr="007A5468">
        <w:rPr>
          <w:rFonts w:cs="Arial"/>
          <w:i/>
          <w:lang w:val="en-CA"/>
        </w:rPr>
        <w:t>supra</w:t>
      </w:r>
      <w:r w:rsidR="00D93CD4" w:rsidRPr="007A5468">
        <w:rPr>
          <w:rFonts w:cs="Arial"/>
          <w:iCs/>
          <w:lang w:val="en-CA"/>
        </w:rPr>
        <w:t>,</w:t>
      </w:r>
      <w:r w:rsidRPr="007A5468">
        <w:rPr>
          <w:rFonts w:cs="Arial"/>
          <w:i/>
          <w:lang w:val="en-CA"/>
        </w:rPr>
        <w:t xml:space="preserve"> </w:t>
      </w:r>
      <w:r w:rsidRPr="007A5468">
        <w:rPr>
          <w:rFonts w:cs="Arial"/>
          <w:lang w:val="en-CA"/>
        </w:rPr>
        <w:t>note 74</w:t>
      </w:r>
      <w:r w:rsidR="00DB22ED" w:rsidRPr="007A5468">
        <w:rPr>
          <w:rFonts w:cs="Arial"/>
          <w:lang w:val="en-CA"/>
        </w:rPr>
        <w:t>,</w:t>
      </w:r>
      <w:r w:rsidRPr="007A5468">
        <w:rPr>
          <w:rFonts w:cs="Arial"/>
          <w:lang w:val="en-CA"/>
        </w:rPr>
        <w:t xml:space="preserve"> </w:t>
      </w:r>
      <w:r w:rsidR="00DB22ED" w:rsidRPr="007A5468">
        <w:rPr>
          <w:rFonts w:cs="Arial"/>
          <w:lang w:val="en-CA"/>
        </w:rPr>
        <w:t>pp.</w:t>
      </w:r>
      <w:r w:rsidRPr="007A5468">
        <w:rPr>
          <w:rFonts w:cs="Arial"/>
          <w:lang w:val="en-CA"/>
        </w:rPr>
        <w:t xml:space="preserve"> 680</w:t>
      </w:r>
      <w:r w:rsidRPr="007A5468">
        <w:rPr>
          <w:rFonts w:cs="Arial"/>
          <w:lang w:val="en-CA"/>
        </w:rPr>
        <w:sym w:font="Symbol" w:char="F02D"/>
      </w:r>
      <w:r w:rsidRPr="007A5468">
        <w:rPr>
          <w:rFonts w:cs="Arial"/>
          <w:lang w:val="en-CA"/>
        </w:rPr>
        <w:t>681.</w:t>
      </w:r>
    </w:p>
  </w:footnote>
  <w:footnote w:id="92">
    <w:p w14:paraId="672988AE" w14:textId="5DACFE35" w:rsidR="0097639F" w:rsidRPr="007A5468"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lang w:val="en-CA"/>
        </w:rPr>
        <w:t>R. v. Le</w:t>
      </w:r>
      <w:r w:rsidRPr="007A5468">
        <w:rPr>
          <w:lang w:val="en-CA"/>
        </w:rPr>
        <w:t xml:space="preserve">, 2019 SCC 34; to </w:t>
      </w:r>
      <w:r w:rsidR="00F36D31" w:rsidRPr="007A5468">
        <w:rPr>
          <w:lang w:val="en-CA"/>
        </w:rPr>
        <w:t xml:space="preserve">the same </w:t>
      </w:r>
      <w:r w:rsidRPr="007A5468">
        <w:rPr>
          <w:lang w:val="en-CA"/>
        </w:rPr>
        <w:t xml:space="preserve">effect, see also </w:t>
      </w:r>
      <w:r w:rsidRPr="007A5468">
        <w:rPr>
          <w:i/>
          <w:lang w:val="en-CA"/>
        </w:rPr>
        <w:t xml:space="preserve">Stevens </w:t>
      </w:r>
      <w:r w:rsidR="00F36D31" w:rsidRPr="007A5468">
        <w:rPr>
          <w:i/>
          <w:lang w:val="en-CA"/>
        </w:rPr>
        <w:t>c</w:t>
      </w:r>
      <w:r w:rsidRPr="007A5468">
        <w:rPr>
          <w:i/>
          <w:lang w:val="en-CA"/>
        </w:rPr>
        <w:t>. R</w:t>
      </w:r>
      <w:r w:rsidRPr="007A5468">
        <w:rPr>
          <w:lang w:val="en-CA"/>
        </w:rPr>
        <w:t>., 2016 QCCA 1707</w:t>
      </w:r>
      <w:r w:rsidR="00BE26EE" w:rsidRPr="007A5468">
        <w:rPr>
          <w:lang w:val="en-CA"/>
        </w:rPr>
        <w:t>, para</w:t>
      </w:r>
      <w:r w:rsidRPr="007A5468">
        <w:rPr>
          <w:lang w:val="en-CA"/>
        </w:rPr>
        <w:t>s. 88</w:t>
      </w:r>
      <w:r w:rsidRPr="007A5468">
        <w:rPr>
          <w:lang w:val="en-CA"/>
        </w:rPr>
        <w:sym w:font="Symbol" w:char="F02D"/>
      </w:r>
      <w:r w:rsidRPr="007A5468">
        <w:rPr>
          <w:lang w:val="en-CA"/>
        </w:rPr>
        <w:t xml:space="preserve">89 and </w:t>
      </w:r>
      <w:r w:rsidRPr="007A5468">
        <w:rPr>
          <w:i/>
          <w:lang w:val="en-CA"/>
        </w:rPr>
        <w:t xml:space="preserve">R. v. </w:t>
      </w:r>
      <w:proofErr w:type="spellStart"/>
      <w:r w:rsidRPr="007A5468">
        <w:rPr>
          <w:i/>
          <w:lang w:val="en-CA"/>
        </w:rPr>
        <w:t>McGuffie</w:t>
      </w:r>
      <w:proofErr w:type="spellEnd"/>
      <w:r w:rsidRPr="007A5468">
        <w:rPr>
          <w:lang w:val="en-CA"/>
        </w:rPr>
        <w:t>, 2016 ONCA 365</w:t>
      </w:r>
      <w:r w:rsidR="00BE26EE" w:rsidRPr="007A5468">
        <w:rPr>
          <w:lang w:val="en-CA"/>
        </w:rPr>
        <w:t>, para</w:t>
      </w:r>
      <w:r w:rsidRPr="007A5468">
        <w:rPr>
          <w:lang w:val="en-CA"/>
        </w:rPr>
        <w:t xml:space="preserve">. 63. </w:t>
      </w:r>
    </w:p>
  </w:footnote>
  <w:footnote w:id="93">
    <w:p w14:paraId="3F6D6097" w14:textId="50A113CA" w:rsidR="0097639F" w:rsidRPr="00664B8B" w:rsidRDefault="0097639F" w:rsidP="009130CA">
      <w:pPr>
        <w:pStyle w:val="Notedebasdepage"/>
        <w:rPr>
          <w:lang w:val="en-CA"/>
        </w:rPr>
      </w:pPr>
      <w:r w:rsidRPr="007A5468">
        <w:rPr>
          <w:rStyle w:val="Appelnotedebasdep"/>
          <w:lang w:val="en-CA"/>
        </w:rPr>
        <w:footnoteRef/>
      </w:r>
      <w:r w:rsidRPr="007A5468">
        <w:rPr>
          <w:lang w:val="en-CA"/>
        </w:rPr>
        <w:t xml:space="preserve"> </w:t>
      </w:r>
      <w:r w:rsidRPr="007A5468">
        <w:rPr>
          <w:lang w:val="en-CA"/>
        </w:rPr>
        <w:tab/>
      </w:r>
      <w:r w:rsidRPr="007A5468">
        <w:rPr>
          <w:i/>
          <w:color w:val="000000"/>
          <w:lang w:val="en-CA"/>
        </w:rPr>
        <w:t>An Act to amend the Criminal Code (offences relating to conveyances)</w:t>
      </w:r>
      <w:r w:rsidRPr="007A5468">
        <w:rPr>
          <w:color w:val="000000"/>
          <w:lang w:val="en-CA"/>
        </w:rPr>
        <w:t xml:space="preserve"> </w:t>
      </w:r>
      <w:r w:rsidRPr="007A5468">
        <w:rPr>
          <w:i/>
          <w:color w:val="000000"/>
          <w:lang w:val="en-CA"/>
        </w:rPr>
        <w:t>and to make consequential amendments to other Acts</w:t>
      </w:r>
      <w:r w:rsidRPr="007A5468">
        <w:rPr>
          <w:rFonts w:cs="Arial"/>
          <w:lang w:val="en-CA"/>
        </w:rPr>
        <w:t>,</w:t>
      </w:r>
      <w:r w:rsidRPr="007A5468">
        <w:rPr>
          <w:lang w:val="en-CA"/>
        </w:rPr>
        <w:t xml:space="preserve"> </w:t>
      </w:r>
      <w:r w:rsidRPr="007A5468">
        <w:rPr>
          <w:i/>
          <w:lang w:val="en-CA"/>
        </w:rPr>
        <w:t>supra</w:t>
      </w:r>
      <w:r w:rsidR="00D93CD4" w:rsidRPr="007A5468">
        <w:rPr>
          <w:iCs/>
          <w:lang w:val="en-CA"/>
        </w:rPr>
        <w:t>,</w:t>
      </w:r>
      <w:r w:rsidRPr="007A5468">
        <w:rPr>
          <w:i/>
          <w:lang w:val="en-CA"/>
        </w:rPr>
        <w:t xml:space="preserve"> </w:t>
      </w:r>
      <w:r w:rsidRPr="007A5468">
        <w:rPr>
          <w:lang w:val="en-CA"/>
        </w:rPr>
        <w:t>note 90, Preamble.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6D39" w14:textId="77777777" w:rsidR="00392705" w:rsidRDefault="003927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0BA8" w14:textId="6C875A45" w:rsidR="0097639F" w:rsidRDefault="0097639F" w:rsidP="009130CA">
    <w:pPr>
      <w:tabs>
        <w:tab w:val="center" w:pos="4709"/>
        <w:tab w:val="right" w:pos="9360"/>
      </w:tabs>
      <w:spacing w:line="360" w:lineRule="auto"/>
      <w:ind w:right="524"/>
    </w:pPr>
    <w:r>
      <w:t xml:space="preserve">200-10-003711-194 </w:t>
    </w:r>
    <w:r>
      <w:tab/>
    </w:r>
    <w:r>
      <w:tab/>
    </w:r>
    <w:r w:rsidRPr="00647765">
      <w:t>PAGE :</w:t>
    </w:r>
    <w:r>
      <w:t xml:space="preserve"> </w:t>
    </w:r>
    <w:r>
      <w:fldChar w:fldCharType="begin"/>
    </w:r>
    <w:r>
      <w:instrText xml:space="preserve"> PAGE </w:instrText>
    </w:r>
    <w:r>
      <w:fldChar w:fldCharType="separate"/>
    </w:r>
    <w:r w:rsidR="0026101D">
      <w:rPr>
        <w:noProof/>
      </w:rPr>
      <w:t>2</w:t>
    </w:r>
    <w:r>
      <w:fldChar w:fldCharType="end"/>
    </w:r>
  </w:p>
  <w:p w14:paraId="2E4C09FE" w14:textId="77777777" w:rsidR="0097639F" w:rsidRDefault="0097639F" w:rsidP="009130CA">
    <w:pPr>
      <w:tabs>
        <w:tab w:val="center" w:pos="4709"/>
        <w:tab w:val="right" w:pos="9360"/>
      </w:tabs>
      <w:spacing w:line="360" w:lineRule="auto"/>
      <w:ind w:right="5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AA56" w14:textId="77777777" w:rsidR="00392705" w:rsidRDefault="0039270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8BF3" w14:textId="77777777" w:rsidR="0097639F" w:rsidRDefault="0097639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0180E" w14:textId="383F9316" w:rsidR="0097639F" w:rsidRDefault="0097639F" w:rsidP="009130CA">
    <w:pPr>
      <w:tabs>
        <w:tab w:val="center" w:pos="4709"/>
        <w:tab w:val="right" w:pos="9360"/>
      </w:tabs>
      <w:spacing w:line="360" w:lineRule="auto"/>
      <w:ind w:right="524"/>
    </w:pPr>
    <w:r>
      <w:t xml:space="preserve">200-10-003711-194 </w:t>
    </w:r>
    <w:r>
      <w:tab/>
    </w:r>
    <w:r>
      <w:tab/>
    </w:r>
    <w:r w:rsidRPr="00647765">
      <w:t>PAGE:</w:t>
    </w:r>
    <w:r>
      <w:t xml:space="preserve"> </w:t>
    </w:r>
    <w:r>
      <w:fldChar w:fldCharType="begin"/>
    </w:r>
    <w:r>
      <w:instrText xml:space="preserve"> PAGE </w:instrText>
    </w:r>
    <w:r>
      <w:fldChar w:fldCharType="separate"/>
    </w:r>
    <w:r w:rsidR="0026101D">
      <w:rPr>
        <w:noProof/>
      </w:rPr>
      <w:t>21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8ADE3" w14:textId="77777777" w:rsidR="0097639F" w:rsidRDefault="0097639F">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9DE26" w14:textId="0F3FE622" w:rsidR="0097639F" w:rsidRDefault="0097639F" w:rsidP="009130CA">
    <w:pPr>
      <w:tabs>
        <w:tab w:val="center" w:pos="4709"/>
        <w:tab w:val="right" w:pos="9360"/>
      </w:tabs>
      <w:spacing w:line="360" w:lineRule="auto"/>
      <w:ind w:right="524"/>
    </w:pPr>
    <w:bookmarkStart w:id="22" w:name="EntDossier"/>
    <w:r>
      <w:t>200-10-003711-194</w:t>
    </w:r>
    <w:bookmarkEnd w:id="22"/>
    <w:r>
      <w:t xml:space="preserve"> </w:t>
    </w:r>
    <w:r>
      <w:tab/>
    </w:r>
    <w:r>
      <w:tab/>
    </w:r>
    <w:r w:rsidRPr="00647765">
      <w:t>PAGE:</w:t>
    </w:r>
    <w:r>
      <w:t xml:space="preserve"> </w:t>
    </w:r>
    <w:r>
      <w:fldChar w:fldCharType="begin"/>
    </w:r>
    <w:r>
      <w:instrText xml:space="preserve"> PAGE </w:instrText>
    </w:r>
    <w:r>
      <w:fldChar w:fldCharType="separate"/>
    </w:r>
    <w:r w:rsidR="0026101D">
      <w:rPr>
        <w:noProof/>
      </w:rPr>
      <w:t>49</w:t>
    </w:r>
    <w:r>
      <w:fldChar w:fldCharType="end"/>
    </w:r>
  </w:p>
  <w:p w14:paraId="6A8C5023" w14:textId="77777777" w:rsidR="0097639F" w:rsidRDefault="0097639F" w:rsidP="009130CA">
    <w:pPr>
      <w:tabs>
        <w:tab w:val="center" w:pos="4709"/>
        <w:tab w:val="right" w:pos="9360"/>
      </w:tabs>
      <w:spacing w:line="360" w:lineRule="auto"/>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C2FA6"/>
    <w:multiLevelType w:val="hybridMultilevel"/>
    <w:tmpl w:val="E2C2E984"/>
    <w:lvl w:ilvl="0" w:tplc="46B87346">
      <w:start w:val="17"/>
      <w:numFmt w:val="bullet"/>
      <w:lvlText w:val="-"/>
      <w:lvlJc w:val="left"/>
      <w:pPr>
        <w:ind w:left="1080" w:hanging="360"/>
      </w:pPr>
      <w:rPr>
        <w:rFonts w:ascii="Arial" w:eastAsia="Times New Roman" w:hAnsi="Arial" w:cs="Arial" w:hint="default"/>
      </w:rPr>
    </w:lvl>
    <w:lvl w:ilvl="1" w:tplc="D6086D7A" w:tentative="1">
      <w:start w:val="1"/>
      <w:numFmt w:val="bullet"/>
      <w:lvlText w:val="o"/>
      <w:lvlJc w:val="left"/>
      <w:pPr>
        <w:ind w:left="1800" w:hanging="360"/>
      </w:pPr>
      <w:rPr>
        <w:rFonts w:ascii="Courier New" w:hAnsi="Courier New" w:cs="Courier New" w:hint="default"/>
      </w:rPr>
    </w:lvl>
    <w:lvl w:ilvl="2" w:tplc="7ACC726C" w:tentative="1">
      <w:start w:val="1"/>
      <w:numFmt w:val="bullet"/>
      <w:lvlText w:val=""/>
      <w:lvlJc w:val="left"/>
      <w:pPr>
        <w:ind w:left="2520" w:hanging="360"/>
      </w:pPr>
      <w:rPr>
        <w:rFonts w:ascii="Wingdings" w:hAnsi="Wingdings" w:hint="default"/>
      </w:rPr>
    </w:lvl>
    <w:lvl w:ilvl="3" w:tplc="066CBC6A" w:tentative="1">
      <w:start w:val="1"/>
      <w:numFmt w:val="bullet"/>
      <w:lvlText w:val=""/>
      <w:lvlJc w:val="left"/>
      <w:pPr>
        <w:ind w:left="3240" w:hanging="360"/>
      </w:pPr>
      <w:rPr>
        <w:rFonts w:ascii="Symbol" w:hAnsi="Symbol" w:hint="default"/>
      </w:rPr>
    </w:lvl>
    <w:lvl w:ilvl="4" w:tplc="C056440E" w:tentative="1">
      <w:start w:val="1"/>
      <w:numFmt w:val="bullet"/>
      <w:lvlText w:val="o"/>
      <w:lvlJc w:val="left"/>
      <w:pPr>
        <w:ind w:left="3960" w:hanging="360"/>
      </w:pPr>
      <w:rPr>
        <w:rFonts w:ascii="Courier New" w:hAnsi="Courier New" w:cs="Courier New" w:hint="default"/>
      </w:rPr>
    </w:lvl>
    <w:lvl w:ilvl="5" w:tplc="3460ADCA" w:tentative="1">
      <w:start w:val="1"/>
      <w:numFmt w:val="bullet"/>
      <w:lvlText w:val=""/>
      <w:lvlJc w:val="left"/>
      <w:pPr>
        <w:ind w:left="4680" w:hanging="360"/>
      </w:pPr>
      <w:rPr>
        <w:rFonts w:ascii="Wingdings" w:hAnsi="Wingdings" w:hint="default"/>
      </w:rPr>
    </w:lvl>
    <w:lvl w:ilvl="6" w:tplc="8FCC2F08" w:tentative="1">
      <w:start w:val="1"/>
      <w:numFmt w:val="bullet"/>
      <w:lvlText w:val=""/>
      <w:lvlJc w:val="left"/>
      <w:pPr>
        <w:ind w:left="5400" w:hanging="360"/>
      </w:pPr>
      <w:rPr>
        <w:rFonts w:ascii="Symbol" w:hAnsi="Symbol" w:hint="default"/>
      </w:rPr>
    </w:lvl>
    <w:lvl w:ilvl="7" w:tplc="D2606C3E" w:tentative="1">
      <w:start w:val="1"/>
      <w:numFmt w:val="bullet"/>
      <w:lvlText w:val="o"/>
      <w:lvlJc w:val="left"/>
      <w:pPr>
        <w:ind w:left="6120" w:hanging="360"/>
      </w:pPr>
      <w:rPr>
        <w:rFonts w:ascii="Courier New" w:hAnsi="Courier New" w:cs="Courier New" w:hint="default"/>
      </w:rPr>
    </w:lvl>
    <w:lvl w:ilvl="8" w:tplc="1E306E8E" w:tentative="1">
      <w:start w:val="1"/>
      <w:numFmt w:val="bullet"/>
      <w:lvlText w:val=""/>
      <w:lvlJc w:val="left"/>
      <w:pPr>
        <w:ind w:left="6840" w:hanging="360"/>
      </w:pPr>
      <w:rPr>
        <w:rFonts w:ascii="Wingdings" w:hAnsi="Wingdings" w:hint="default"/>
      </w:rPr>
    </w:lvl>
  </w:abstractNum>
  <w:abstractNum w:abstractNumId="11" w15:restartNumberingAfterBreak="0">
    <w:nsid w:val="19366E8E"/>
    <w:multiLevelType w:val="hybridMultilevel"/>
    <w:tmpl w:val="B78C0EF0"/>
    <w:lvl w:ilvl="0" w:tplc="6DBE9D72">
      <w:start w:val="1"/>
      <w:numFmt w:val="lowerRoman"/>
      <w:lvlText w:val="(%1)"/>
      <w:lvlJc w:val="left"/>
      <w:pPr>
        <w:ind w:left="2160" w:hanging="720"/>
      </w:pPr>
      <w:rPr>
        <w:rFonts w:hint="default"/>
      </w:rPr>
    </w:lvl>
    <w:lvl w:ilvl="1" w:tplc="FF2E3F64" w:tentative="1">
      <w:start w:val="1"/>
      <w:numFmt w:val="lowerLetter"/>
      <w:lvlText w:val="%2."/>
      <w:lvlJc w:val="left"/>
      <w:pPr>
        <w:ind w:left="2520" w:hanging="360"/>
      </w:pPr>
    </w:lvl>
    <w:lvl w:ilvl="2" w:tplc="57E2D650" w:tentative="1">
      <w:start w:val="1"/>
      <w:numFmt w:val="lowerRoman"/>
      <w:lvlText w:val="%3."/>
      <w:lvlJc w:val="right"/>
      <w:pPr>
        <w:ind w:left="3240" w:hanging="180"/>
      </w:pPr>
    </w:lvl>
    <w:lvl w:ilvl="3" w:tplc="7108D81C" w:tentative="1">
      <w:start w:val="1"/>
      <w:numFmt w:val="decimal"/>
      <w:lvlText w:val="%4."/>
      <w:lvlJc w:val="left"/>
      <w:pPr>
        <w:ind w:left="3960" w:hanging="360"/>
      </w:pPr>
    </w:lvl>
    <w:lvl w:ilvl="4" w:tplc="3020BDEC" w:tentative="1">
      <w:start w:val="1"/>
      <w:numFmt w:val="lowerLetter"/>
      <w:lvlText w:val="%5."/>
      <w:lvlJc w:val="left"/>
      <w:pPr>
        <w:ind w:left="4680" w:hanging="360"/>
      </w:pPr>
    </w:lvl>
    <w:lvl w:ilvl="5" w:tplc="B9963FAC" w:tentative="1">
      <w:start w:val="1"/>
      <w:numFmt w:val="lowerRoman"/>
      <w:lvlText w:val="%6."/>
      <w:lvlJc w:val="right"/>
      <w:pPr>
        <w:ind w:left="5400" w:hanging="180"/>
      </w:pPr>
    </w:lvl>
    <w:lvl w:ilvl="6" w:tplc="07582A06" w:tentative="1">
      <w:start w:val="1"/>
      <w:numFmt w:val="decimal"/>
      <w:lvlText w:val="%7."/>
      <w:lvlJc w:val="left"/>
      <w:pPr>
        <w:ind w:left="6120" w:hanging="360"/>
      </w:pPr>
    </w:lvl>
    <w:lvl w:ilvl="7" w:tplc="B3EC1BC0" w:tentative="1">
      <w:start w:val="1"/>
      <w:numFmt w:val="lowerLetter"/>
      <w:lvlText w:val="%8."/>
      <w:lvlJc w:val="left"/>
      <w:pPr>
        <w:ind w:left="6840" w:hanging="360"/>
      </w:pPr>
    </w:lvl>
    <w:lvl w:ilvl="8" w:tplc="EF74D5EC" w:tentative="1">
      <w:start w:val="1"/>
      <w:numFmt w:val="lowerRoman"/>
      <w:lvlText w:val="%9."/>
      <w:lvlJc w:val="right"/>
      <w:pPr>
        <w:ind w:left="7560" w:hanging="180"/>
      </w:pPr>
    </w:lvl>
  </w:abstractNum>
  <w:abstractNum w:abstractNumId="12" w15:restartNumberingAfterBreak="0">
    <w:nsid w:val="1A097807"/>
    <w:multiLevelType w:val="hybridMultilevel"/>
    <w:tmpl w:val="8F985006"/>
    <w:lvl w:ilvl="0" w:tplc="D1FA0226">
      <w:start w:val="3"/>
      <w:numFmt w:val="bullet"/>
      <w:lvlText w:val="-"/>
      <w:lvlJc w:val="left"/>
      <w:pPr>
        <w:ind w:left="1080" w:hanging="360"/>
      </w:pPr>
      <w:rPr>
        <w:rFonts w:ascii="Arial" w:eastAsia="Times New Roman" w:hAnsi="Arial" w:cs="Arial" w:hint="default"/>
      </w:rPr>
    </w:lvl>
    <w:lvl w:ilvl="1" w:tplc="D4463BF6" w:tentative="1">
      <w:start w:val="1"/>
      <w:numFmt w:val="bullet"/>
      <w:lvlText w:val="o"/>
      <w:lvlJc w:val="left"/>
      <w:pPr>
        <w:ind w:left="1800" w:hanging="360"/>
      </w:pPr>
      <w:rPr>
        <w:rFonts w:ascii="Courier New" w:hAnsi="Courier New" w:cs="Courier New" w:hint="default"/>
      </w:rPr>
    </w:lvl>
    <w:lvl w:ilvl="2" w:tplc="AA200A38" w:tentative="1">
      <w:start w:val="1"/>
      <w:numFmt w:val="bullet"/>
      <w:lvlText w:val=""/>
      <w:lvlJc w:val="left"/>
      <w:pPr>
        <w:ind w:left="2520" w:hanging="360"/>
      </w:pPr>
      <w:rPr>
        <w:rFonts w:ascii="Wingdings" w:hAnsi="Wingdings" w:hint="default"/>
      </w:rPr>
    </w:lvl>
    <w:lvl w:ilvl="3" w:tplc="7F8EF2F4" w:tentative="1">
      <w:start w:val="1"/>
      <w:numFmt w:val="bullet"/>
      <w:lvlText w:val=""/>
      <w:lvlJc w:val="left"/>
      <w:pPr>
        <w:ind w:left="3240" w:hanging="360"/>
      </w:pPr>
      <w:rPr>
        <w:rFonts w:ascii="Symbol" w:hAnsi="Symbol" w:hint="default"/>
      </w:rPr>
    </w:lvl>
    <w:lvl w:ilvl="4" w:tplc="0DC20E38" w:tentative="1">
      <w:start w:val="1"/>
      <w:numFmt w:val="bullet"/>
      <w:lvlText w:val="o"/>
      <w:lvlJc w:val="left"/>
      <w:pPr>
        <w:ind w:left="3960" w:hanging="360"/>
      </w:pPr>
      <w:rPr>
        <w:rFonts w:ascii="Courier New" w:hAnsi="Courier New" w:cs="Courier New" w:hint="default"/>
      </w:rPr>
    </w:lvl>
    <w:lvl w:ilvl="5" w:tplc="BA4EB07C" w:tentative="1">
      <w:start w:val="1"/>
      <w:numFmt w:val="bullet"/>
      <w:lvlText w:val=""/>
      <w:lvlJc w:val="left"/>
      <w:pPr>
        <w:ind w:left="4680" w:hanging="360"/>
      </w:pPr>
      <w:rPr>
        <w:rFonts w:ascii="Wingdings" w:hAnsi="Wingdings" w:hint="default"/>
      </w:rPr>
    </w:lvl>
    <w:lvl w:ilvl="6" w:tplc="F648E3E8" w:tentative="1">
      <w:start w:val="1"/>
      <w:numFmt w:val="bullet"/>
      <w:lvlText w:val=""/>
      <w:lvlJc w:val="left"/>
      <w:pPr>
        <w:ind w:left="5400" w:hanging="360"/>
      </w:pPr>
      <w:rPr>
        <w:rFonts w:ascii="Symbol" w:hAnsi="Symbol" w:hint="default"/>
      </w:rPr>
    </w:lvl>
    <w:lvl w:ilvl="7" w:tplc="B82CEC90" w:tentative="1">
      <w:start w:val="1"/>
      <w:numFmt w:val="bullet"/>
      <w:lvlText w:val="o"/>
      <w:lvlJc w:val="left"/>
      <w:pPr>
        <w:ind w:left="6120" w:hanging="360"/>
      </w:pPr>
      <w:rPr>
        <w:rFonts w:ascii="Courier New" w:hAnsi="Courier New" w:cs="Courier New" w:hint="default"/>
      </w:rPr>
    </w:lvl>
    <w:lvl w:ilvl="8" w:tplc="0F48B2F0" w:tentative="1">
      <w:start w:val="1"/>
      <w:numFmt w:val="bullet"/>
      <w:lvlText w:val=""/>
      <w:lvlJc w:val="left"/>
      <w:pPr>
        <w:ind w:left="6840" w:hanging="360"/>
      </w:pPr>
      <w:rPr>
        <w:rFonts w:ascii="Wingdings" w:hAnsi="Wingdings" w:hint="default"/>
      </w:rPr>
    </w:lvl>
  </w:abstractNum>
  <w:abstractNum w:abstractNumId="13" w15:restartNumberingAfterBreak="0">
    <w:nsid w:val="233F52E1"/>
    <w:multiLevelType w:val="hybridMultilevel"/>
    <w:tmpl w:val="B5BEC3FE"/>
    <w:lvl w:ilvl="0" w:tplc="D514033C">
      <w:start w:val="1"/>
      <w:numFmt w:val="upperRoman"/>
      <w:lvlText w:val="%1."/>
      <w:lvlJc w:val="left"/>
      <w:pPr>
        <w:ind w:left="720" w:hanging="720"/>
      </w:pPr>
      <w:rPr>
        <w:rFonts w:hint="default"/>
      </w:rPr>
    </w:lvl>
    <w:lvl w:ilvl="1" w:tplc="74685DEA" w:tentative="1">
      <w:start w:val="1"/>
      <w:numFmt w:val="lowerLetter"/>
      <w:lvlText w:val="%2."/>
      <w:lvlJc w:val="left"/>
      <w:pPr>
        <w:ind w:left="1080" w:hanging="360"/>
      </w:pPr>
    </w:lvl>
    <w:lvl w:ilvl="2" w:tplc="609E1DE8" w:tentative="1">
      <w:start w:val="1"/>
      <w:numFmt w:val="lowerRoman"/>
      <w:lvlText w:val="%3."/>
      <w:lvlJc w:val="right"/>
      <w:pPr>
        <w:ind w:left="1800" w:hanging="180"/>
      </w:pPr>
    </w:lvl>
    <w:lvl w:ilvl="3" w:tplc="CC0EC246" w:tentative="1">
      <w:start w:val="1"/>
      <w:numFmt w:val="decimal"/>
      <w:lvlText w:val="%4."/>
      <w:lvlJc w:val="left"/>
      <w:pPr>
        <w:ind w:left="2520" w:hanging="360"/>
      </w:pPr>
    </w:lvl>
    <w:lvl w:ilvl="4" w:tplc="760C4EAE" w:tentative="1">
      <w:start w:val="1"/>
      <w:numFmt w:val="lowerLetter"/>
      <w:lvlText w:val="%5."/>
      <w:lvlJc w:val="left"/>
      <w:pPr>
        <w:ind w:left="3240" w:hanging="360"/>
      </w:pPr>
    </w:lvl>
    <w:lvl w:ilvl="5" w:tplc="D49E3022" w:tentative="1">
      <w:start w:val="1"/>
      <w:numFmt w:val="lowerRoman"/>
      <w:lvlText w:val="%6."/>
      <w:lvlJc w:val="right"/>
      <w:pPr>
        <w:ind w:left="3960" w:hanging="180"/>
      </w:pPr>
    </w:lvl>
    <w:lvl w:ilvl="6" w:tplc="E5CA349C" w:tentative="1">
      <w:start w:val="1"/>
      <w:numFmt w:val="decimal"/>
      <w:lvlText w:val="%7."/>
      <w:lvlJc w:val="left"/>
      <w:pPr>
        <w:ind w:left="4680" w:hanging="360"/>
      </w:pPr>
    </w:lvl>
    <w:lvl w:ilvl="7" w:tplc="C0E6ED9A" w:tentative="1">
      <w:start w:val="1"/>
      <w:numFmt w:val="lowerLetter"/>
      <w:lvlText w:val="%8."/>
      <w:lvlJc w:val="left"/>
      <w:pPr>
        <w:ind w:left="5400" w:hanging="360"/>
      </w:pPr>
    </w:lvl>
    <w:lvl w:ilvl="8" w:tplc="E5823CAE" w:tentative="1">
      <w:start w:val="1"/>
      <w:numFmt w:val="lowerRoman"/>
      <w:lvlText w:val="%9."/>
      <w:lvlJc w:val="right"/>
      <w:pPr>
        <w:ind w:left="6120" w:hanging="180"/>
      </w:pPr>
    </w:lvl>
  </w:abstractNum>
  <w:abstractNum w:abstractNumId="14" w15:restartNumberingAfterBreak="0">
    <w:nsid w:val="24724FA3"/>
    <w:multiLevelType w:val="hybridMultilevel"/>
    <w:tmpl w:val="F5160496"/>
    <w:lvl w:ilvl="0" w:tplc="3424ABE8">
      <w:start w:val="1"/>
      <w:numFmt w:val="lowerRoman"/>
      <w:lvlText w:val="%1)"/>
      <w:lvlJc w:val="left"/>
      <w:pPr>
        <w:ind w:left="2160" w:hanging="720"/>
      </w:pPr>
      <w:rPr>
        <w:rFonts w:hint="default"/>
      </w:rPr>
    </w:lvl>
    <w:lvl w:ilvl="1" w:tplc="525860A6" w:tentative="1">
      <w:start w:val="1"/>
      <w:numFmt w:val="lowerLetter"/>
      <w:lvlText w:val="%2."/>
      <w:lvlJc w:val="left"/>
      <w:pPr>
        <w:ind w:left="2520" w:hanging="360"/>
      </w:pPr>
    </w:lvl>
    <w:lvl w:ilvl="2" w:tplc="460CB9E6" w:tentative="1">
      <w:start w:val="1"/>
      <w:numFmt w:val="lowerRoman"/>
      <w:lvlText w:val="%3."/>
      <w:lvlJc w:val="right"/>
      <w:pPr>
        <w:ind w:left="3240" w:hanging="180"/>
      </w:pPr>
    </w:lvl>
    <w:lvl w:ilvl="3" w:tplc="625A73DE" w:tentative="1">
      <w:start w:val="1"/>
      <w:numFmt w:val="decimal"/>
      <w:lvlText w:val="%4."/>
      <w:lvlJc w:val="left"/>
      <w:pPr>
        <w:ind w:left="3960" w:hanging="360"/>
      </w:pPr>
    </w:lvl>
    <w:lvl w:ilvl="4" w:tplc="6F0C903E" w:tentative="1">
      <w:start w:val="1"/>
      <w:numFmt w:val="lowerLetter"/>
      <w:lvlText w:val="%5."/>
      <w:lvlJc w:val="left"/>
      <w:pPr>
        <w:ind w:left="4680" w:hanging="360"/>
      </w:pPr>
    </w:lvl>
    <w:lvl w:ilvl="5" w:tplc="1B04AC06" w:tentative="1">
      <w:start w:val="1"/>
      <w:numFmt w:val="lowerRoman"/>
      <w:lvlText w:val="%6."/>
      <w:lvlJc w:val="right"/>
      <w:pPr>
        <w:ind w:left="5400" w:hanging="180"/>
      </w:pPr>
    </w:lvl>
    <w:lvl w:ilvl="6" w:tplc="EF2627AC" w:tentative="1">
      <w:start w:val="1"/>
      <w:numFmt w:val="decimal"/>
      <w:lvlText w:val="%7."/>
      <w:lvlJc w:val="left"/>
      <w:pPr>
        <w:ind w:left="6120" w:hanging="360"/>
      </w:pPr>
    </w:lvl>
    <w:lvl w:ilvl="7" w:tplc="40741B28" w:tentative="1">
      <w:start w:val="1"/>
      <w:numFmt w:val="lowerLetter"/>
      <w:lvlText w:val="%8."/>
      <w:lvlJc w:val="left"/>
      <w:pPr>
        <w:ind w:left="6840" w:hanging="360"/>
      </w:pPr>
    </w:lvl>
    <w:lvl w:ilvl="8" w:tplc="17EC1F48" w:tentative="1">
      <w:start w:val="1"/>
      <w:numFmt w:val="lowerRoman"/>
      <w:lvlText w:val="%9."/>
      <w:lvlJc w:val="right"/>
      <w:pPr>
        <w:ind w:left="7560" w:hanging="180"/>
      </w:pPr>
    </w:lvl>
  </w:abstractNum>
  <w:abstractNum w:abstractNumId="15"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8E9300E"/>
    <w:multiLevelType w:val="multilevel"/>
    <w:tmpl w:val="788C22E0"/>
    <w:lvl w:ilvl="0">
      <w:start w:val="3"/>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AE76D9"/>
    <w:multiLevelType w:val="hybridMultilevel"/>
    <w:tmpl w:val="CF70B18C"/>
    <w:lvl w:ilvl="0" w:tplc="5A165514">
      <w:start w:val="1"/>
      <w:numFmt w:val="lowerRoman"/>
      <w:lvlText w:val="%1)"/>
      <w:lvlJc w:val="left"/>
      <w:pPr>
        <w:ind w:left="2160" w:hanging="720"/>
      </w:pPr>
      <w:rPr>
        <w:rFonts w:hint="default"/>
      </w:rPr>
    </w:lvl>
    <w:lvl w:ilvl="1" w:tplc="617436C8" w:tentative="1">
      <w:start w:val="1"/>
      <w:numFmt w:val="lowerLetter"/>
      <w:lvlText w:val="%2."/>
      <w:lvlJc w:val="left"/>
      <w:pPr>
        <w:ind w:left="2520" w:hanging="360"/>
      </w:pPr>
    </w:lvl>
    <w:lvl w:ilvl="2" w:tplc="19AC6484" w:tentative="1">
      <w:start w:val="1"/>
      <w:numFmt w:val="lowerRoman"/>
      <w:lvlText w:val="%3."/>
      <w:lvlJc w:val="right"/>
      <w:pPr>
        <w:ind w:left="3240" w:hanging="180"/>
      </w:pPr>
    </w:lvl>
    <w:lvl w:ilvl="3" w:tplc="ADFC2762" w:tentative="1">
      <w:start w:val="1"/>
      <w:numFmt w:val="decimal"/>
      <w:lvlText w:val="%4."/>
      <w:lvlJc w:val="left"/>
      <w:pPr>
        <w:ind w:left="3960" w:hanging="360"/>
      </w:pPr>
    </w:lvl>
    <w:lvl w:ilvl="4" w:tplc="3A808BE0" w:tentative="1">
      <w:start w:val="1"/>
      <w:numFmt w:val="lowerLetter"/>
      <w:lvlText w:val="%5."/>
      <w:lvlJc w:val="left"/>
      <w:pPr>
        <w:ind w:left="4680" w:hanging="360"/>
      </w:pPr>
    </w:lvl>
    <w:lvl w:ilvl="5" w:tplc="B4824F0C" w:tentative="1">
      <w:start w:val="1"/>
      <w:numFmt w:val="lowerRoman"/>
      <w:lvlText w:val="%6."/>
      <w:lvlJc w:val="right"/>
      <w:pPr>
        <w:ind w:left="5400" w:hanging="180"/>
      </w:pPr>
    </w:lvl>
    <w:lvl w:ilvl="6" w:tplc="DD7445B8" w:tentative="1">
      <w:start w:val="1"/>
      <w:numFmt w:val="decimal"/>
      <w:lvlText w:val="%7."/>
      <w:lvlJc w:val="left"/>
      <w:pPr>
        <w:ind w:left="6120" w:hanging="360"/>
      </w:pPr>
    </w:lvl>
    <w:lvl w:ilvl="7" w:tplc="1BBA39A4" w:tentative="1">
      <w:start w:val="1"/>
      <w:numFmt w:val="lowerLetter"/>
      <w:lvlText w:val="%8."/>
      <w:lvlJc w:val="left"/>
      <w:pPr>
        <w:ind w:left="6840" w:hanging="360"/>
      </w:pPr>
    </w:lvl>
    <w:lvl w:ilvl="8" w:tplc="974A8894" w:tentative="1">
      <w:start w:val="1"/>
      <w:numFmt w:val="lowerRoman"/>
      <w:lvlText w:val="%9."/>
      <w:lvlJc w:val="right"/>
      <w:pPr>
        <w:ind w:left="7560" w:hanging="180"/>
      </w:pPr>
    </w:lvl>
  </w:abstractNum>
  <w:abstractNum w:abstractNumId="18" w15:restartNumberingAfterBreak="0">
    <w:nsid w:val="358030A2"/>
    <w:multiLevelType w:val="hybridMultilevel"/>
    <w:tmpl w:val="8C94AB00"/>
    <w:lvl w:ilvl="0" w:tplc="C464C90C">
      <w:start w:val="1"/>
      <w:numFmt w:val="lowerRoman"/>
      <w:lvlText w:val="(%1)"/>
      <w:lvlJc w:val="left"/>
      <w:pPr>
        <w:ind w:left="2160" w:hanging="720"/>
      </w:pPr>
      <w:rPr>
        <w:rFonts w:hint="default"/>
        <w:b/>
        <w:bCs/>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9" w15:restartNumberingAfterBreak="0">
    <w:nsid w:val="41AE67B1"/>
    <w:multiLevelType w:val="hybridMultilevel"/>
    <w:tmpl w:val="90245726"/>
    <w:lvl w:ilvl="0" w:tplc="413862A8">
      <w:start w:val="1"/>
      <w:numFmt w:val="upperLetter"/>
      <w:pStyle w:val="Sous-titrelettremajusculeenitalique"/>
      <w:lvlText w:val="%1."/>
      <w:lvlJc w:val="left"/>
      <w:pPr>
        <w:ind w:left="720" w:hanging="360"/>
      </w:pPr>
      <w:rPr>
        <w:rFonts w:hint="default"/>
      </w:rPr>
    </w:lvl>
    <w:lvl w:ilvl="1" w:tplc="48ECF96A" w:tentative="1">
      <w:start w:val="1"/>
      <w:numFmt w:val="lowerLetter"/>
      <w:lvlText w:val="%2."/>
      <w:lvlJc w:val="left"/>
      <w:pPr>
        <w:ind w:left="1440" w:hanging="360"/>
      </w:pPr>
    </w:lvl>
    <w:lvl w:ilvl="2" w:tplc="1B4EC904" w:tentative="1">
      <w:start w:val="1"/>
      <w:numFmt w:val="lowerRoman"/>
      <w:lvlText w:val="%3."/>
      <w:lvlJc w:val="right"/>
      <w:pPr>
        <w:ind w:left="2160" w:hanging="180"/>
      </w:pPr>
    </w:lvl>
    <w:lvl w:ilvl="3" w:tplc="24C60674" w:tentative="1">
      <w:start w:val="1"/>
      <w:numFmt w:val="decimal"/>
      <w:lvlText w:val="%4."/>
      <w:lvlJc w:val="left"/>
      <w:pPr>
        <w:ind w:left="2880" w:hanging="360"/>
      </w:pPr>
    </w:lvl>
    <w:lvl w:ilvl="4" w:tplc="CDCC864E" w:tentative="1">
      <w:start w:val="1"/>
      <w:numFmt w:val="lowerLetter"/>
      <w:lvlText w:val="%5."/>
      <w:lvlJc w:val="left"/>
      <w:pPr>
        <w:ind w:left="3600" w:hanging="360"/>
      </w:pPr>
    </w:lvl>
    <w:lvl w:ilvl="5" w:tplc="EC5AD068" w:tentative="1">
      <w:start w:val="1"/>
      <w:numFmt w:val="lowerRoman"/>
      <w:lvlText w:val="%6."/>
      <w:lvlJc w:val="right"/>
      <w:pPr>
        <w:ind w:left="4320" w:hanging="180"/>
      </w:pPr>
    </w:lvl>
    <w:lvl w:ilvl="6" w:tplc="BEFAF9C8" w:tentative="1">
      <w:start w:val="1"/>
      <w:numFmt w:val="decimal"/>
      <w:lvlText w:val="%7."/>
      <w:lvlJc w:val="left"/>
      <w:pPr>
        <w:ind w:left="5040" w:hanging="360"/>
      </w:pPr>
    </w:lvl>
    <w:lvl w:ilvl="7" w:tplc="16622758" w:tentative="1">
      <w:start w:val="1"/>
      <w:numFmt w:val="lowerLetter"/>
      <w:lvlText w:val="%8."/>
      <w:lvlJc w:val="left"/>
      <w:pPr>
        <w:ind w:left="5760" w:hanging="360"/>
      </w:pPr>
    </w:lvl>
    <w:lvl w:ilvl="8" w:tplc="E0B647E8" w:tentative="1">
      <w:start w:val="1"/>
      <w:numFmt w:val="lowerRoman"/>
      <w:lvlText w:val="%9."/>
      <w:lvlJc w:val="right"/>
      <w:pPr>
        <w:ind w:left="6480" w:hanging="180"/>
      </w:pPr>
    </w:lvl>
  </w:abstractNum>
  <w:abstractNum w:abstractNumId="20" w15:restartNumberingAfterBreak="0">
    <w:nsid w:val="49034629"/>
    <w:multiLevelType w:val="hybridMultilevel"/>
    <w:tmpl w:val="B1C0AC1E"/>
    <w:lvl w:ilvl="0" w:tplc="EEA83092">
      <w:numFmt w:val="bullet"/>
      <w:lvlText w:val="-"/>
      <w:lvlJc w:val="left"/>
      <w:pPr>
        <w:ind w:left="1080" w:hanging="360"/>
      </w:pPr>
      <w:rPr>
        <w:rFonts w:ascii="Arial" w:eastAsia="Times New Roman" w:hAnsi="Arial" w:cs="Arial" w:hint="default"/>
      </w:rPr>
    </w:lvl>
    <w:lvl w:ilvl="1" w:tplc="C816AB86" w:tentative="1">
      <w:start w:val="1"/>
      <w:numFmt w:val="bullet"/>
      <w:lvlText w:val="o"/>
      <w:lvlJc w:val="left"/>
      <w:pPr>
        <w:ind w:left="1800" w:hanging="360"/>
      </w:pPr>
      <w:rPr>
        <w:rFonts w:ascii="Courier New" w:hAnsi="Courier New" w:cs="Courier New" w:hint="default"/>
      </w:rPr>
    </w:lvl>
    <w:lvl w:ilvl="2" w:tplc="DD046B7E" w:tentative="1">
      <w:start w:val="1"/>
      <w:numFmt w:val="bullet"/>
      <w:lvlText w:val=""/>
      <w:lvlJc w:val="left"/>
      <w:pPr>
        <w:ind w:left="2520" w:hanging="360"/>
      </w:pPr>
      <w:rPr>
        <w:rFonts w:ascii="Wingdings" w:hAnsi="Wingdings" w:hint="default"/>
      </w:rPr>
    </w:lvl>
    <w:lvl w:ilvl="3" w:tplc="48AA232A" w:tentative="1">
      <w:start w:val="1"/>
      <w:numFmt w:val="bullet"/>
      <w:lvlText w:val=""/>
      <w:lvlJc w:val="left"/>
      <w:pPr>
        <w:ind w:left="3240" w:hanging="360"/>
      </w:pPr>
      <w:rPr>
        <w:rFonts w:ascii="Symbol" w:hAnsi="Symbol" w:hint="default"/>
      </w:rPr>
    </w:lvl>
    <w:lvl w:ilvl="4" w:tplc="83108E16" w:tentative="1">
      <w:start w:val="1"/>
      <w:numFmt w:val="bullet"/>
      <w:lvlText w:val="o"/>
      <w:lvlJc w:val="left"/>
      <w:pPr>
        <w:ind w:left="3960" w:hanging="360"/>
      </w:pPr>
      <w:rPr>
        <w:rFonts w:ascii="Courier New" w:hAnsi="Courier New" w:cs="Courier New" w:hint="default"/>
      </w:rPr>
    </w:lvl>
    <w:lvl w:ilvl="5" w:tplc="58E48BEE" w:tentative="1">
      <w:start w:val="1"/>
      <w:numFmt w:val="bullet"/>
      <w:lvlText w:val=""/>
      <w:lvlJc w:val="left"/>
      <w:pPr>
        <w:ind w:left="4680" w:hanging="360"/>
      </w:pPr>
      <w:rPr>
        <w:rFonts w:ascii="Wingdings" w:hAnsi="Wingdings" w:hint="default"/>
      </w:rPr>
    </w:lvl>
    <w:lvl w:ilvl="6" w:tplc="B0E83F94" w:tentative="1">
      <w:start w:val="1"/>
      <w:numFmt w:val="bullet"/>
      <w:lvlText w:val=""/>
      <w:lvlJc w:val="left"/>
      <w:pPr>
        <w:ind w:left="5400" w:hanging="360"/>
      </w:pPr>
      <w:rPr>
        <w:rFonts w:ascii="Symbol" w:hAnsi="Symbol" w:hint="default"/>
      </w:rPr>
    </w:lvl>
    <w:lvl w:ilvl="7" w:tplc="644088C0" w:tentative="1">
      <w:start w:val="1"/>
      <w:numFmt w:val="bullet"/>
      <w:lvlText w:val="o"/>
      <w:lvlJc w:val="left"/>
      <w:pPr>
        <w:ind w:left="6120" w:hanging="360"/>
      </w:pPr>
      <w:rPr>
        <w:rFonts w:ascii="Courier New" w:hAnsi="Courier New" w:cs="Courier New" w:hint="default"/>
      </w:rPr>
    </w:lvl>
    <w:lvl w:ilvl="8" w:tplc="C8FE348A" w:tentative="1">
      <w:start w:val="1"/>
      <w:numFmt w:val="bullet"/>
      <w:lvlText w:val=""/>
      <w:lvlJc w:val="left"/>
      <w:pPr>
        <w:ind w:left="6840" w:hanging="360"/>
      </w:pPr>
      <w:rPr>
        <w:rFonts w:ascii="Wingdings" w:hAnsi="Wingdings" w:hint="default"/>
      </w:rPr>
    </w:lvl>
  </w:abstractNum>
  <w:abstractNum w:abstractNumId="21"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0687D88"/>
    <w:multiLevelType w:val="hybridMultilevel"/>
    <w:tmpl w:val="3E268E64"/>
    <w:lvl w:ilvl="0" w:tplc="6BB432EA">
      <w:start w:val="1"/>
      <w:numFmt w:val="decimal"/>
      <w:lvlText w:val="%1-"/>
      <w:lvlJc w:val="left"/>
      <w:pPr>
        <w:ind w:left="785" w:hanging="360"/>
      </w:pPr>
      <w:rPr>
        <w:rFonts w:hint="default"/>
        <w:b/>
        <w:i w:val="0"/>
      </w:rPr>
    </w:lvl>
    <w:lvl w:ilvl="1" w:tplc="A7166B1C" w:tentative="1">
      <w:start w:val="1"/>
      <w:numFmt w:val="lowerLetter"/>
      <w:lvlText w:val="%2."/>
      <w:lvlJc w:val="left"/>
      <w:pPr>
        <w:ind w:left="1505" w:hanging="360"/>
      </w:pPr>
    </w:lvl>
    <w:lvl w:ilvl="2" w:tplc="8F786124" w:tentative="1">
      <w:start w:val="1"/>
      <w:numFmt w:val="lowerRoman"/>
      <w:lvlText w:val="%3."/>
      <w:lvlJc w:val="right"/>
      <w:pPr>
        <w:ind w:left="2225" w:hanging="180"/>
      </w:pPr>
    </w:lvl>
    <w:lvl w:ilvl="3" w:tplc="0E4AA5B6" w:tentative="1">
      <w:start w:val="1"/>
      <w:numFmt w:val="decimal"/>
      <w:lvlText w:val="%4."/>
      <w:lvlJc w:val="left"/>
      <w:pPr>
        <w:ind w:left="2945" w:hanging="360"/>
      </w:pPr>
    </w:lvl>
    <w:lvl w:ilvl="4" w:tplc="B9686E0A" w:tentative="1">
      <w:start w:val="1"/>
      <w:numFmt w:val="lowerLetter"/>
      <w:lvlText w:val="%5."/>
      <w:lvlJc w:val="left"/>
      <w:pPr>
        <w:ind w:left="3665" w:hanging="360"/>
      </w:pPr>
    </w:lvl>
    <w:lvl w:ilvl="5" w:tplc="021E73D6" w:tentative="1">
      <w:start w:val="1"/>
      <w:numFmt w:val="lowerRoman"/>
      <w:lvlText w:val="%6."/>
      <w:lvlJc w:val="right"/>
      <w:pPr>
        <w:ind w:left="4385" w:hanging="180"/>
      </w:pPr>
    </w:lvl>
    <w:lvl w:ilvl="6" w:tplc="4C20CB3A" w:tentative="1">
      <w:start w:val="1"/>
      <w:numFmt w:val="decimal"/>
      <w:lvlText w:val="%7."/>
      <w:lvlJc w:val="left"/>
      <w:pPr>
        <w:ind w:left="5105" w:hanging="360"/>
      </w:pPr>
    </w:lvl>
    <w:lvl w:ilvl="7" w:tplc="0A0A8182" w:tentative="1">
      <w:start w:val="1"/>
      <w:numFmt w:val="lowerLetter"/>
      <w:lvlText w:val="%8."/>
      <w:lvlJc w:val="left"/>
      <w:pPr>
        <w:ind w:left="5825" w:hanging="360"/>
      </w:pPr>
    </w:lvl>
    <w:lvl w:ilvl="8" w:tplc="C9C65A60" w:tentative="1">
      <w:start w:val="1"/>
      <w:numFmt w:val="lowerRoman"/>
      <w:lvlText w:val="%9."/>
      <w:lvlJc w:val="right"/>
      <w:pPr>
        <w:ind w:left="6545" w:hanging="180"/>
      </w:pPr>
    </w:lvl>
  </w:abstractNum>
  <w:abstractNum w:abstractNumId="23" w15:restartNumberingAfterBreak="0">
    <w:nsid w:val="606371A8"/>
    <w:multiLevelType w:val="hybridMultilevel"/>
    <w:tmpl w:val="F52AE2EC"/>
    <w:lvl w:ilvl="0" w:tplc="D9621D70">
      <w:start w:val="1"/>
      <w:numFmt w:val="lowerLetter"/>
      <w:lvlText w:val="%1."/>
      <w:lvlJc w:val="left"/>
      <w:pPr>
        <w:ind w:left="720" w:hanging="360"/>
      </w:pPr>
    </w:lvl>
    <w:lvl w:ilvl="1" w:tplc="AA32C980" w:tentative="1">
      <w:start w:val="1"/>
      <w:numFmt w:val="lowerLetter"/>
      <w:lvlText w:val="%2."/>
      <w:lvlJc w:val="left"/>
      <w:pPr>
        <w:ind w:left="1440" w:hanging="360"/>
      </w:pPr>
    </w:lvl>
    <w:lvl w:ilvl="2" w:tplc="B3043CC2" w:tentative="1">
      <w:start w:val="1"/>
      <w:numFmt w:val="lowerRoman"/>
      <w:lvlText w:val="%3."/>
      <w:lvlJc w:val="right"/>
      <w:pPr>
        <w:ind w:left="2160" w:hanging="180"/>
      </w:pPr>
    </w:lvl>
    <w:lvl w:ilvl="3" w:tplc="322C130A" w:tentative="1">
      <w:start w:val="1"/>
      <w:numFmt w:val="decimal"/>
      <w:lvlText w:val="%4."/>
      <w:lvlJc w:val="left"/>
      <w:pPr>
        <w:ind w:left="2880" w:hanging="360"/>
      </w:pPr>
    </w:lvl>
    <w:lvl w:ilvl="4" w:tplc="E48E99AC" w:tentative="1">
      <w:start w:val="1"/>
      <w:numFmt w:val="lowerLetter"/>
      <w:lvlText w:val="%5."/>
      <w:lvlJc w:val="left"/>
      <w:pPr>
        <w:ind w:left="3600" w:hanging="360"/>
      </w:pPr>
    </w:lvl>
    <w:lvl w:ilvl="5" w:tplc="C4DE22D8" w:tentative="1">
      <w:start w:val="1"/>
      <w:numFmt w:val="lowerRoman"/>
      <w:lvlText w:val="%6."/>
      <w:lvlJc w:val="right"/>
      <w:pPr>
        <w:ind w:left="4320" w:hanging="180"/>
      </w:pPr>
    </w:lvl>
    <w:lvl w:ilvl="6" w:tplc="4080D2F6" w:tentative="1">
      <w:start w:val="1"/>
      <w:numFmt w:val="decimal"/>
      <w:lvlText w:val="%7."/>
      <w:lvlJc w:val="left"/>
      <w:pPr>
        <w:ind w:left="5040" w:hanging="360"/>
      </w:pPr>
    </w:lvl>
    <w:lvl w:ilvl="7" w:tplc="C1BCD99E" w:tentative="1">
      <w:start w:val="1"/>
      <w:numFmt w:val="lowerLetter"/>
      <w:lvlText w:val="%8."/>
      <w:lvlJc w:val="left"/>
      <w:pPr>
        <w:ind w:left="5760" w:hanging="360"/>
      </w:pPr>
    </w:lvl>
    <w:lvl w:ilvl="8" w:tplc="11729A80" w:tentative="1">
      <w:start w:val="1"/>
      <w:numFmt w:val="lowerRoman"/>
      <w:lvlText w:val="%9."/>
      <w:lvlJc w:val="right"/>
      <w:pPr>
        <w:ind w:left="6480" w:hanging="180"/>
      </w:pPr>
    </w:lvl>
  </w:abstractNum>
  <w:abstractNum w:abstractNumId="24"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7FD3200"/>
    <w:multiLevelType w:val="hybridMultilevel"/>
    <w:tmpl w:val="57A8322C"/>
    <w:lvl w:ilvl="0" w:tplc="7D441CC6">
      <w:start w:val="3"/>
      <w:numFmt w:val="bullet"/>
      <w:lvlText w:val="-"/>
      <w:lvlJc w:val="left"/>
      <w:pPr>
        <w:ind w:left="1080" w:hanging="360"/>
      </w:pPr>
      <w:rPr>
        <w:rFonts w:ascii="Arial" w:eastAsia="Times New Roman" w:hAnsi="Arial" w:cs="Arial" w:hint="default"/>
      </w:rPr>
    </w:lvl>
    <w:lvl w:ilvl="1" w:tplc="2072FA4C" w:tentative="1">
      <w:start w:val="1"/>
      <w:numFmt w:val="bullet"/>
      <w:lvlText w:val="o"/>
      <w:lvlJc w:val="left"/>
      <w:pPr>
        <w:ind w:left="1800" w:hanging="360"/>
      </w:pPr>
      <w:rPr>
        <w:rFonts w:ascii="Courier New" w:hAnsi="Courier New" w:cs="Courier New" w:hint="default"/>
      </w:rPr>
    </w:lvl>
    <w:lvl w:ilvl="2" w:tplc="CA66395A" w:tentative="1">
      <w:start w:val="1"/>
      <w:numFmt w:val="bullet"/>
      <w:lvlText w:val=""/>
      <w:lvlJc w:val="left"/>
      <w:pPr>
        <w:ind w:left="2520" w:hanging="360"/>
      </w:pPr>
      <w:rPr>
        <w:rFonts w:ascii="Wingdings" w:hAnsi="Wingdings" w:hint="default"/>
      </w:rPr>
    </w:lvl>
    <w:lvl w:ilvl="3" w:tplc="8998160C" w:tentative="1">
      <w:start w:val="1"/>
      <w:numFmt w:val="bullet"/>
      <w:lvlText w:val=""/>
      <w:lvlJc w:val="left"/>
      <w:pPr>
        <w:ind w:left="3240" w:hanging="360"/>
      </w:pPr>
      <w:rPr>
        <w:rFonts w:ascii="Symbol" w:hAnsi="Symbol" w:hint="default"/>
      </w:rPr>
    </w:lvl>
    <w:lvl w:ilvl="4" w:tplc="360E203C" w:tentative="1">
      <w:start w:val="1"/>
      <w:numFmt w:val="bullet"/>
      <w:lvlText w:val="o"/>
      <w:lvlJc w:val="left"/>
      <w:pPr>
        <w:ind w:left="3960" w:hanging="360"/>
      </w:pPr>
      <w:rPr>
        <w:rFonts w:ascii="Courier New" w:hAnsi="Courier New" w:cs="Courier New" w:hint="default"/>
      </w:rPr>
    </w:lvl>
    <w:lvl w:ilvl="5" w:tplc="FB244322" w:tentative="1">
      <w:start w:val="1"/>
      <w:numFmt w:val="bullet"/>
      <w:lvlText w:val=""/>
      <w:lvlJc w:val="left"/>
      <w:pPr>
        <w:ind w:left="4680" w:hanging="360"/>
      </w:pPr>
      <w:rPr>
        <w:rFonts w:ascii="Wingdings" w:hAnsi="Wingdings" w:hint="default"/>
      </w:rPr>
    </w:lvl>
    <w:lvl w:ilvl="6" w:tplc="BFB89852" w:tentative="1">
      <w:start w:val="1"/>
      <w:numFmt w:val="bullet"/>
      <w:lvlText w:val=""/>
      <w:lvlJc w:val="left"/>
      <w:pPr>
        <w:ind w:left="5400" w:hanging="360"/>
      </w:pPr>
      <w:rPr>
        <w:rFonts w:ascii="Symbol" w:hAnsi="Symbol" w:hint="default"/>
      </w:rPr>
    </w:lvl>
    <w:lvl w:ilvl="7" w:tplc="0E7896F4" w:tentative="1">
      <w:start w:val="1"/>
      <w:numFmt w:val="bullet"/>
      <w:lvlText w:val="o"/>
      <w:lvlJc w:val="left"/>
      <w:pPr>
        <w:ind w:left="6120" w:hanging="360"/>
      </w:pPr>
      <w:rPr>
        <w:rFonts w:ascii="Courier New" w:hAnsi="Courier New" w:cs="Courier New" w:hint="default"/>
      </w:rPr>
    </w:lvl>
    <w:lvl w:ilvl="8" w:tplc="85EE8206" w:tentative="1">
      <w:start w:val="1"/>
      <w:numFmt w:val="bullet"/>
      <w:lvlText w:val=""/>
      <w:lvlJc w:val="left"/>
      <w:pPr>
        <w:ind w:left="6840" w:hanging="360"/>
      </w:pPr>
      <w:rPr>
        <w:rFonts w:ascii="Wingdings" w:hAnsi="Wingdings" w:hint="default"/>
      </w:rPr>
    </w:lvl>
  </w:abstractNum>
  <w:abstractNum w:abstractNumId="26" w15:restartNumberingAfterBreak="0">
    <w:nsid w:val="708B434A"/>
    <w:multiLevelType w:val="hybridMultilevel"/>
    <w:tmpl w:val="9A9AAC76"/>
    <w:lvl w:ilvl="0" w:tplc="BEB0DD92">
      <w:start w:val="1"/>
      <w:numFmt w:val="lowerRoman"/>
      <w:lvlText w:val="(%1)"/>
      <w:lvlJc w:val="left"/>
      <w:pPr>
        <w:ind w:left="1571" w:hanging="720"/>
      </w:pPr>
      <w:rPr>
        <w:rFonts w:hint="default"/>
      </w:rPr>
    </w:lvl>
    <w:lvl w:ilvl="1" w:tplc="BBD8E578" w:tentative="1">
      <w:start w:val="1"/>
      <w:numFmt w:val="lowerLetter"/>
      <w:lvlText w:val="%2."/>
      <w:lvlJc w:val="left"/>
      <w:pPr>
        <w:ind w:left="1800" w:hanging="360"/>
      </w:pPr>
    </w:lvl>
    <w:lvl w:ilvl="2" w:tplc="BD0C0262" w:tentative="1">
      <w:start w:val="1"/>
      <w:numFmt w:val="lowerRoman"/>
      <w:lvlText w:val="%3."/>
      <w:lvlJc w:val="right"/>
      <w:pPr>
        <w:ind w:left="2520" w:hanging="180"/>
      </w:pPr>
    </w:lvl>
    <w:lvl w:ilvl="3" w:tplc="AAFE7674" w:tentative="1">
      <w:start w:val="1"/>
      <w:numFmt w:val="decimal"/>
      <w:lvlText w:val="%4."/>
      <w:lvlJc w:val="left"/>
      <w:pPr>
        <w:ind w:left="3240" w:hanging="360"/>
      </w:pPr>
    </w:lvl>
    <w:lvl w:ilvl="4" w:tplc="D22A437A" w:tentative="1">
      <w:start w:val="1"/>
      <w:numFmt w:val="lowerLetter"/>
      <w:lvlText w:val="%5."/>
      <w:lvlJc w:val="left"/>
      <w:pPr>
        <w:ind w:left="3960" w:hanging="360"/>
      </w:pPr>
    </w:lvl>
    <w:lvl w:ilvl="5" w:tplc="03705138" w:tentative="1">
      <w:start w:val="1"/>
      <w:numFmt w:val="lowerRoman"/>
      <w:lvlText w:val="%6."/>
      <w:lvlJc w:val="right"/>
      <w:pPr>
        <w:ind w:left="4680" w:hanging="180"/>
      </w:pPr>
    </w:lvl>
    <w:lvl w:ilvl="6" w:tplc="3A58C0AC" w:tentative="1">
      <w:start w:val="1"/>
      <w:numFmt w:val="decimal"/>
      <w:lvlText w:val="%7."/>
      <w:lvlJc w:val="left"/>
      <w:pPr>
        <w:ind w:left="5400" w:hanging="360"/>
      </w:pPr>
    </w:lvl>
    <w:lvl w:ilvl="7" w:tplc="2C96F314" w:tentative="1">
      <w:start w:val="1"/>
      <w:numFmt w:val="lowerLetter"/>
      <w:lvlText w:val="%8."/>
      <w:lvlJc w:val="left"/>
      <w:pPr>
        <w:ind w:left="6120" w:hanging="360"/>
      </w:pPr>
    </w:lvl>
    <w:lvl w:ilvl="8" w:tplc="DED08B7E" w:tentative="1">
      <w:start w:val="1"/>
      <w:numFmt w:val="lowerRoman"/>
      <w:lvlText w:val="%9."/>
      <w:lvlJc w:val="right"/>
      <w:pPr>
        <w:ind w:left="6840" w:hanging="180"/>
      </w:pPr>
    </w:lvl>
  </w:abstractNum>
  <w:num w:numId="1">
    <w:abstractNumId w:val="24"/>
  </w:num>
  <w:num w:numId="2">
    <w:abstractNumId w:val="24"/>
  </w:num>
  <w:num w:numId="3">
    <w:abstractNumId w:val="2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24"/>
  </w:num>
  <w:num w:numId="16">
    <w:abstractNumId w:val="24"/>
  </w:num>
  <w:num w:numId="17">
    <w:abstractNumId w:val="21"/>
  </w:num>
  <w:num w:numId="18">
    <w:abstractNumId w:val="15"/>
  </w:num>
  <w:num w:numId="19">
    <w:abstractNumId w:val="20"/>
  </w:num>
  <w:num w:numId="20">
    <w:abstractNumId w:val="26"/>
  </w:num>
  <w:num w:numId="21">
    <w:abstractNumId w:val="22"/>
  </w:num>
  <w:num w:numId="22">
    <w:abstractNumId w:val="14"/>
  </w:num>
  <w:num w:numId="23">
    <w:abstractNumId w:val="17"/>
  </w:num>
  <w:num w:numId="24">
    <w:abstractNumId w:val="11"/>
  </w:num>
  <w:num w:numId="25">
    <w:abstractNumId w:val="12"/>
  </w:num>
  <w:num w:numId="26">
    <w:abstractNumId w:val="25"/>
  </w:num>
  <w:num w:numId="27">
    <w:abstractNumId w:val="10"/>
  </w:num>
  <w:num w:numId="28">
    <w:abstractNumId w:val="19"/>
  </w:num>
  <w:num w:numId="29">
    <w:abstractNumId w:val="19"/>
    <w:lvlOverride w:ilvl="0">
      <w:startOverride w:val="1"/>
    </w:lvlOverride>
  </w:num>
  <w:num w:numId="30">
    <w:abstractNumId w:val="23"/>
  </w:num>
  <w:num w:numId="31">
    <w:abstractNumId w:val="13"/>
  </w:num>
  <w:num w:numId="32">
    <w:abstractNumId w:val="15"/>
  </w:num>
  <w:num w:numId="33">
    <w:abstractNumId w:val="16"/>
  </w:num>
  <w:num w:numId="34">
    <w:abstractNumId w:val="18"/>
  </w:num>
  <w:num w:numId="35">
    <w:abstractNumId w:val="1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1EB39CE-C568-428D-A81B-585A18F0ED67}"/>
    <w:docVar w:name="dgnword-eventsink" w:val="891183296"/>
    <w:docVar w:name="inNBChoix" w:val="3"/>
    <w:docVar w:name="MotifJuge1" w:val="MOTIFS DE LA JUGE"/>
    <w:docVar w:name="MotifJuge2" w:val="MOTIFS DE LA JUGE"/>
    <w:docVar w:name="MotifJuge3" w:val="MOTIFS DU JUGE"/>
    <w:docVar w:name="NomFamJuge1" w:val="GAGNÉ"/>
    <w:docVar w:name="NomFamJuge2" w:val="COTNAM"/>
    <w:docVar w:name="NomFamJuge3" w:val="BEAUPRÉ"/>
    <w:docVar w:name="NomFamJuge4" w:val="MAILHOT"/>
    <w:docVar w:name="NomFamJuge5" w:val="BAUDOUIN"/>
    <w:docVar w:name="QteJuge1" w:val=", J.C.A."/>
    <w:docVar w:name="QteJuge2" w:val=", J.C.A."/>
    <w:docVar w:name="QteJuge3" w:val=", J.C.A."/>
    <w:docVar w:name="stPremiereFois" w:val="Non"/>
  </w:docVars>
  <w:rsids>
    <w:rsidRoot w:val="00966AF8"/>
    <w:rsid w:val="00000482"/>
    <w:rsid w:val="0000117C"/>
    <w:rsid w:val="000056ED"/>
    <w:rsid w:val="00005F6D"/>
    <w:rsid w:val="00012743"/>
    <w:rsid w:val="0001595C"/>
    <w:rsid w:val="00016C41"/>
    <w:rsid w:val="00023C2D"/>
    <w:rsid w:val="00024855"/>
    <w:rsid w:val="0002585A"/>
    <w:rsid w:val="00026549"/>
    <w:rsid w:val="000271CB"/>
    <w:rsid w:val="00027E3B"/>
    <w:rsid w:val="0003034C"/>
    <w:rsid w:val="0003476A"/>
    <w:rsid w:val="00035F48"/>
    <w:rsid w:val="00037394"/>
    <w:rsid w:val="00040983"/>
    <w:rsid w:val="00041BA4"/>
    <w:rsid w:val="000476BE"/>
    <w:rsid w:val="000508A3"/>
    <w:rsid w:val="00051554"/>
    <w:rsid w:val="000530CD"/>
    <w:rsid w:val="00057398"/>
    <w:rsid w:val="0007059D"/>
    <w:rsid w:val="00072DF6"/>
    <w:rsid w:val="00076C5A"/>
    <w:rsid w:val="00077FE1"/>
    <w:rsid w:val="0008157D"/>
    <w:rsid w:val="00081775"/>
    <w:rsid w:val="00082351"/>
    <w:rsid w:val="000847EB"/>
    <w:rsid w:val="000911FC"/>
    <w:rsid w:val="000916A8"/>
    <w:rsid w:val="000952DE"/>
    <w:rsid w:val="000961E4"/>
    <w:rsid w:val="000A0740"/>
    <w:rsid w:val="000A0D47"/>
    <w:rsid w:val="000A1867"/>
    <w:rsid w:val="000A5ACA"/>
    <w:rsid w:val="000A6A7B"/>
    <w:rsid w:val="000B1A5D"/>
    <w:rsid w:val="000B2A91"/>
    <w:rsid w:val="000B331D"/>
    <w:rsid w:val="000B59B8"/>
    <w:rsid w:val="000B6217"/>
    <w:rsid w:val="000C0FA1"/>
    <w:rsid w:val="000C5BFA"/>
    <w:rsid w:val="000C6CD9"/>
    <w:rsid w:val="000C7214"/>
    <w:rsid w:val="000D57B6"/>
    <w:rsid w:val="000D5F79"/>
    <w:rsid w:val="000E0404"/>
    <w:rsid w:val="000E1A69"/>
    <w:rsid w:val="000E1DB7"/>
    <w:rsid w:val="000E3070"/>
    <w:rsid w:val="000F1E35"/>
    <w:rsid w:val="001028CB"/>
    <w:rsid w:val="001048C3"/>
    <w:rsid w:val="00105DCD"/>
    <w:rsid w:val="00106709"/>
    <w:rsid w:val="00115840"/>
    <w:rsid w:val="00115CD9"/>
    <w:rsid w:val="001167F3"/>
    <w:rsid w:val="00117734"/>
    <w:rsid w:val="00123C42"/>
    <w:rsid w:val="001250F6"/>
    <w:rsid w:val="00125175"/>
    <w:rsid w:val="00126F1E"/>
    <w:rsid w:val="0013146E"/>
    <w:rsid w:val="00134347"/>
    <w:rsid w:val="00134B93"/>
    <w:rsid w:val="00134BAA"/>
    <w:rsid w:val="00135D27"/>
    <w:rsid w:val="00140EC9"/>
    <w:rsid w:val="0014150D"/>
    <w:rsid w:val="00142E7E"/>
    <w:rsid w:val="0014585B"/>
    <w:rsid w:val="00147211"/>
    <w:rsid w:val="001472BF"/>
    <w:rsid w:val="00147B22"/>
    <w:rsid w:val="00147C72"/>
    <w:rsid w:val="00151F7F"/>
    <w:rsid w:val="00154C1F"/>
    <w:rsid w:val="00154FE1"/>
    <w:rsid w:val="00156FEB"/>
    <w:rsid w:val="001633E3"/>
    <w:rsid w:val="0016448B"/>
    <w:rsid w:val="001652CE"/>
    <w:rsid w:val="00170E9C"/>
    <w:rsid w:val="0017217C"/>
    <w:rsid w:val="00174B08"/>
    <w:rsid w:val="0017516F"/>
    <w:rsid w:val="00175E2A"/>
    <w:rsid w:val="00177F19"/>
    <w:rsid w:val="001842ED"/>
    <w:rsid w:val="00187F3C"/>
    <w:rsid w:val="001914BD"/>
    <w:rsid w:val="00191896"/>
    <w:rsid w:val="001956A0"/>
    <w:rsid w:val="001A2696"/>
    <w:rsid w:val="001B2F37"/>
    <w:rsid w:val="001B4C94"/>
    <w:rsid w:val="001B696D"/>
    <w:rsid w:val="001D0640"/>
    <w:rsid w:val="001D1646"/>
    <w:rsid w:val="001D31F8"/>
    <w:rsid w:val="001D3477"/>
    <w:rsid w:val="001D5617"/>
    <w:rsid w:val="001D7245"/>
    <w:rsid w:val="001F0760"/>
    <w:rsid w:val="001F1A91"/>
    <w:rsid w:val="001F252D"/>
    <w:rsid w:val="001F7650"/>
    <w:rsid w:val="0020039F"/>
    <w:rsid w:val="00200B80"/>
    <w:rsid w:val="00200D68"/>
    <w:rsid w:val="00203608"/>
    <w:rsid w:val="00204460"/>
    <w:rsid w:val="0020738F"/>
    <w:rsid w:val="0021042E"/>
    <w:rsid w:val="00210812"/>
    <w:rsid w:val="00210B5F"/>
    <w:rsid w:val="00212669"/>
    <w:rsid w:val="002152BE"/>
    <w:rsid w:val="00224DEE"/>
    <w:rsid w:val="00230429"/>
    <w:rsid w:val="00230896"/>
    <w:rsid w:val="0023089B"/>
    <w:rsid w:val="00230F35"/>
    <w:rsid w:val="00231D24"/>
    <w:rsid w:val="00233CF7"/>
    <w:rsid w:val="00233CFC"/>
    <w:rsid w:val="002346D5"/>
    <w:rsid w:val="00241F7B"/>
    <w:rsid w:val="0024364E"/>
    <w:rsid w:val="002455C9"/>
    <w:rsid w:val="002478FC"/>
    <w:rsid w:val="00247E4A"/>
    <w:rsid w:val="002503EE"/>
    <w:rsid w:val="00252369"/>
    <w:rsid w:val="00252E14"/>
    <w:rsid w:val="002540E1"/>
    <w:rsid w:val="002542A0"/>
    <w:rsid w:val="00255AA0"/>
    <w:rsid w:val="0026101D"/>
    <w:rsid w:val="00261F53"/>
    <w:rsid w:val="00264C09"/>
    <w:rsid w:val="00267939"/>
    <w:rsid w:val="002710B2"/>
    <w:rsid w:val="00274DD3"/>
    <w:rsid w:val="00274E87"/>
    <w:rsid w:val="002760B8"/>
    <w:rsid w:val="00283659"/>
    <w:rsid w:val="00284B99"/>
    <w:rsid w:val="002905F8"/>
    <w:rsid w:val="002A0CE3"/>
    <w:rsid w:val="002A11A8"/>
    <w:rsid w:val="002A3AF8"/>
    <w:rsid w:val="002A547F"/>
    <w:rsid w:val="002A7A50"/>
    <w:rsid w:val="002B1196"/>
    <w:rsid w:val="002B3530"/>
    <w:rsid w:val="002B38D5"/>
    <w:rsid w:val="002B3C8C"/>
    <w:rsid w:val="002B4BEB"/>
    <w:rsid w:val="002B79FF"/>
    <w:rsid w:val="002C02D5"/>
    <w:rsid w:val="002C1CFC"/>
    <w:rsid w:val="002C1D5F"/>
    <w:rsid w:val="002C578D"/>
    <w:rsid w:val="002D3B32"/>
    <w:rsid w:val="002D4645"/>
    <w:rsid w:val="002D5D13"/>
    <w:rsid w:val="002D6535"/>
    <w:rsid w:val="002D7358"/>
    <w:rsid w:val="002E2524"/>
    <w:rsid w:val="002E56B0"/>
    <w:rsid w:val="002E6C3D"/>
    <w:rsid w:val="002E7C7B"/>
    <w:rsid w:val="002F2E8E"/>
    <w:rsid w:val="003061CC"/>
    <w:rsid w:val="00310814"/>
    <w:rsid w:val="00313441"/>
    <w:rsid w:val="003144D4"/>
    <w:rsid w:val="003154D7"/>
    <w:rsid w:val="00323A72"/>
    <w:rsid w:val="00323F37"/>
    <w:rsid w:val="00326770"/>
    <w:rsid w:val="00330D8F"/>
    <w:rsid w:val="00335632"/>
    <w:rsid w:val="00341590"/>
    <w:rsid w:val="0034168D"/>
    <w:rsid w:val="0034312F"/>
    <w:rsid w:val="00345923"/>
    <w:rsid w:val="003505C2"/>
    <w:rsid w:val="003506E0"/>
    <w:rsid w:val="0035088E"/>
    <w:rsid w:val="00351D7C"/>
    <w:rsid w:val="00352914"/>
    <w:rsid w:val="003558B7"/>
    <w:rsid w:val="00356120"/>
    <w:rsid w:val="00357AA5"/>
    <w:rsid w:val="003663AF"/>
    <w:rsid w:val="0036724A"/>
    <w:rsid w:val="00367549"/>
    <w:rsid w:val="00370511"/>
    <w:rsid w:val="00370D15"/>
    <w:rsid w:val="00372092"/>
    <w:rsid w:val="003733FF"/>
    <w:rsid w:val="00381A6F"/>
    <w:rsid w:val="00382D4B"/>
    <w:rsid w:val="0038449B"/>
    <w:rsid w:val="00387FAA"/>
    <w:rsid w:val="003911FB"/>
    <w:rsid w:val="0039138B"/>
    <w:rsid w:val="00392705"/>
    <w:rsid w:val="00397463"/>
    <w:rsid w:val="003A0526"/>
    <w:rsid w:val="003A1954"/>
    <w:rsid w:val="003A3B0B"/>
    <w:rsid w:val="003B408A"/>
    <w:rsid w:val="003B46D7"/>
    <w:rsid w:val="003B4F40"/>
    <w:rsid w:val="003C2DC3"/>
    <w:rsid w:val="003C3246"/>
    <w:rsid w:val="003C436A"/>
    <w:rsid w:val="003D15DD"/>
    <w:rsid w:val="003E4470"/>
    <w:rsid w:val="003E4679"/>
    <w:rsid w:val="003E703E"/>
    <w:rsid w:val="003F141B"/>
    <w:rsid w:val="003F1C43"/>
    <w:rsid w:val="003F24BF"/>
    <w:rsid w:val="003F524C"/>
    <w:rsid w:val="003F7F7D"/>
    <w:rsid w:val="00400E65"/>
    <w:rsid w:val="00413EFC"/>
    <w:rsid w:val="0042372F"/>
    <w:rsid w:val="00423DE0"/>
    <w:rsid w:val="00431F93"/>
    <w:rsid w:val="00434735"/>
    <w:rsid w:val="00442298"/>
    <w:rsid w:val="00442637"/>
    <w:rsid w:val="004426B4"/>
    <w:rsid w:val="00444CAD"/>
    <w:rsid w:val="004461B7"/>
    <w:rsid w:val="0044777F"/>
    <w:rsid w:val="00455058"/>
    <w:rsid w:val="004553CB"/>
    <w:rsid w:val="00457BC3"/>
    <w:rsid w:val="00460CFA"/>
    <w:rsid w:val="00462603"/>
    <w:rsid w:val="00463945"/>
    <w:rsid w:val="004669A1"/>
    <w:rsid w:val="00475527"/>
    <w:rsid w:val="00477FCA"/>
    <w:rsid w:val="00480A8B"/>
    <w:rsid w:val="00481538"/>
    <w:rsid w:val="00483AE3"/>
    <w:rsid w:val="004865BB"/>
    <w:rsid w:val="00487418"/>
    <w:rsid w:val="00487B19"/>
    <w:rsid w:val="00492F0B"/>
    <w:rsid w:val="004A09E0"/>
    <w:rsid w:val="004A17E0"/>
    <w:rsid w:val="004A20B4"/>
    <w:rsid w:val="004A2B52"/>
    <w:rsid w:val="004A2D38"/>
    <w:rsid w:val="004A459D"/>
    <w:rsid w:val="004A7587"/>
    <w:rsid w:val="004B7565"/>
    <w:rsid w:val="004C2F80"/>
    <w:rsid w:val="004C703B"/>
    <w:rsid w:val="004C70B5"/>
    <w:rsid w:val="004D478A"/>
    <w:rsid w:val="004D5878"/>
    <w:rsid w:val="004E1881"/>
    <w:rsid w:val="004F0755"/>
    <w:rsid w:val="004F0F72"/>
    <w:rsid w:val="004F1586"/>
    <w:rsid w:val="004F17AE"/>
    <w:rsid w:val="004F5BE6"/>
    <w:rsid w:val="004F6235"/>
    <w:rsid w:val="004F7E1A"/>
    <w:rsid w:val="004F7F4F"/>
    <w:rsid w:val="005003D8"/>
    <w:rsid w:val="005032C3"/>
    <w:rsid w:val="00510137"/>
    <w:rsid w:val="00510D71"/>
    <w:rsid w:val="005127AC"/>
    <w:rsid w:val="005201DE"/>
    <w:rsid w:val="00520B6D"/>
    <w:rsid w:val="00522C49"/>
    <w:rsid w:val="0052562A"/>
    <w:rsid w:val="00526E97"/>
    <w:rsid w:val="00531B04"/>
    <w:rsid w:val="005350F9"/>
    <w:rsid w:val="0053626B"/>
    <w:rsid w:val="005367FD"/>
    <w:rsid w:val="005402E4"/>
    <w:rsid w:val="00541FF5"/>
    <w:rsid w:val="00544ACF"/>
    <w:rsid w:val="005477B6"/>
    <w:rsid w:val="00551131"/>
    <w:rsid w:val="00553205"/>
    <w:rsid w:val="005542FA"/>
    <w:rsid w:val="00561B6D"/>
    <w:rsid w:val="00581CCD"/>
    <w:rsid w:val="0058211A"/>
    <w:rsid w:val="00585ED8"/>
    <w:rsid w:val="00586B63"/>
    <w:rsid w:val="0059037B"/>
    <w:rsid w:val="005909B8"/>
    <w:rsid w:val="00592F90"/>
    <w:rsid w:val="00593840"/>
    <w:rsid w:val="00593F6B"/>
    <w:rsid w:val="005958F3"/>
    <w:rsid w:val="005A2381"/>
    <w:rsid w:val="005A37BF"/>
    <w:rsid w:val="005A681A"/>
    <w:rsid w:val="005B4716"/>
    <w:rsid w:val="005B4EF9"/>
    <w:rsid w:val="005C2BF1"/>
    <w:rsid w:val="005C4CCC"/>
    <w:rsid w:val="005C5084"/>
    <w:rsid w:val="005C5246"/>
    <w:rsid w:val="005C59F7"/>
    <w:rsid w:val="005C61A1"/>
    <w:rsid w:val="005C61E8"/>
    <w:rsid w:val="005C6A18"/>
    <w:rsid w:val="005D0D17"/>
    <w:rsid w:val="005D35FE"/>
    <w:rsid w:val="005D3CD8"/>
    <w:rsid w:val="005F6009"/>
    <w:rsid w:val="005F7CEE"/>
    <w:rsid w:val="00600317"/>
    <w:rsid w:val="00607997"/>
    <w:rsid w:val="00610698"/>
    <w:rsid w:val="00613D6C"/>
    <w:rsid w:val="00615FC8"/>
    <w:rsid w:val="00620EF1"/>
    <w:rsid w:val="006229F5"/>
    <w:rsid w:val="00632498"/>
    <w:rsid w:val="00635140"/>
    <w:rsid w:val="00647765"/>
    <w:rsid w:val="006507EA"/>
    <w:rsid w:val="00652F98"/>
    <w:rsid w:val="0065488C"/>
    <w:rsid w:val="006578F6"/>
    <w:rsid w:val="00660552"/>
    <w:rsid w:val="006610EA"/>
    <w:rsid w:val="00663E70"/>
    <w:rsid w:val="00664630"/>
    <w:rsid w:val="00664956"/>
    <w:rsid w:val="00664B8B"/>
    <w:rsid w:val="00664EAF"/>
    <w:rsid w:val="00667EDC"/>
    <w:rsid w:val="0067015A"/>
    <w:rsid w:val="00671AE6"/>
    <w:rsid w:val="00671D4D"/>
    <w:rsid w:val="00673529"/>
    <w:rsid w:val="00684E24"/>
    <w:rsid w:val="00685627"/>
    <w:rsid w:val="00686A25"/>
    <w:rsid w:val="006879F5"/>
    <w:rsid w:val="00692261"/>
    <w:rsid w:val="00697F2C"/>
    <w:rsid w:val="006A473B"/>
    <w:rsid w:val="006A5A7D"/>
    <w:rsid w:val="006B0003"/>
    <w:rsid w:val="006B0E86"/>
    <w:rsid w:val="006B14AF"/>
    <w:rsid w:val="006B2BA4"/>
    <w:rsid w:val="006B4990"/>
    <w:rsid w:val="006B4BE0"/>
    <w:rsid w:val="006B5E04"/>
    <w:rsid w:val="006C1CB6"/>
    <w:rsid w:val="006C48EA"/>
    <w:rsid w:val="006C57A2"/>
    <w:rsid w:val="006C5AEF"/>
    <w:rsid w:val="006C7418"/>
    <w:rsid w:val="006D1937"/>
    <w:rsid w:val="006D2AD1"/>
    <w:rsid w:val="006D2BFB"/>
    <w:rsid w:val="006D3CFB"/>
    <w:rsid w:val="006D4306"/>
    <w:rsid w:val="006D46C0"/>
    <w:rsid w:val="006D5701"/>
    <w:rsid w:val="006D7063"/>
    <w:rsid w:val="006E246B"/>
    <w:rsid w:val="006E47FA"/>
    <w:rsid w:val="006F2978"/>
    <w:rsid w:val="006F5B6A"/>
    <w:rsid w:val="006F6CE1"/>
    <w:rsid w:val="00704995"/>
    <w:rsid w:val="00706C5E"/>
    <w:rsid w:val="00710A36"/>
    <w:rsid w:val="00710B15"/>
    <w:rsid w:val="007119B1"/>
    <w:rsid w:val="00714D85"/>
    <w:rsid w:val="00714F50"/>
    <w:rsid w:val="007151AB"/>
    <w:rsid w:val="00717E0B"/>
    <w:rsid w:val="007204E5"/>
    <w:rsid w:val="00720723"/>
    <w:rsid w:val="0072711A"/>
    <w:rsid w:val="007277B4"/>
    <w:rsid w:val="00734A94"/>
    <w:rsid w:val="007414D2"/>
    <w:rsid w:val="00741B6C"/>
    <w:rsid w:val="00741B74"/>
    <w:rsid w:val="00741BCE"/>
    <w:rsid w:val="00744583"/>
    <w:rsid w:val="00747169"/>
    <w:rsid w:val="007545CA"/>
    <w:rsid w:val="00756944"/>
    <w:rsid w:val="007573B9"/>
    <w:rsid w:val="007609CF"/>
    <w:rsid w:val="00761A16"/>
    <w:rsid w:val="00770AFE"/>
    <w:rsid w:val="00773EC8"/>
    <w:rsid w:val="007759B6"/>
    <w:rsid w:val="00780138"/>
    <w:rsid w:val="00782529"/>
    <w:rsid w:val="00793C4A"/>
    <w:rsid w:val="00797E10"/>
    <w:rsid w:val="007A21AC"/>
    <w:rsid w:val="007A4D50"/>
    <w:rsid w:val="007A535B"/>
    <w:rsid w:val="007A5468"/>
    <w:rsid w:val="007A63D5"/>
    <w:rsid w:val="007B083D"/>
    <w:rsid w:val="007B1DDF"/>
    <w:rsid w:val="007B44A1"/>
    <w:rsid w:val="007B4B22"/>
    <w:rsid w:val="007B4E44"/>
    <w:rsid w:val="007C7184"/>
    <w:rsid w:val="007D1340"/>
    <w:rsid w:val="007D6562"/>
    <w:rsid w:val="007E1C24"/>
    <w:rsid w:val="007E35C3"/>
    <w:rsid w:val="007E3B5B"/>
    <w:rsid w:val="007E682B"/>
    <w:rsid w:val="007E7358"/>
    <w:rsid w:val="007F058C"/>
    <w:rsid w:val="007F0661"/>
    <w:rsid w:val="007F2FB6"/>
    <w:rsid w:val="007F4002"/>
    <w:rsid w:val="007F5046"/>
    <w:rsid w:val="007F5477"/>
    <w:rsid w:val="0080060A"/>
    <w:rsid w:val="00800730"/>
    <w:rsid w:val="0080260B"/>
    <w:rsid w:val="00803914"/>
    <w:rsid w:val="00804D32"/>
    <w:rsid w:val="0080676D"/>
    <w:rsid w:val="00814A00"/>
    <w:rsid w:val="008166B8"/>
    <w:rsid w:val="00821919"/>
    <w:rsid w:val="008304D2"/>
    <w:rsid w:val="0083098B"/>
    <w:rsid w:val="00830C84"/>
    <w:rsid w:val="0083579C"/>
    <w:rsid w:val="00836919"/>
    <w:rsid w:val="00840DD5"/>
    <w:rsid w:val="0084506F"/>
    <w:rsid w:val="00847D51"/>
    <w:rsid w:val="0085478A"/>
    <w:rsid w:val="0085523B"/>
    <w:rsid w:val="008553F3"/>
    <w:rsid w:val="008577DC"/>
    <w:rsid w:val="00862DF7"/>
    <w:rsid w:val="008633CA"/>
    <w:rsid w:val="00865AE7"/>
    <w:rsid w:val="00877C0C"/>
    <w:rsid w:val="00894661"/>
    <w:rsid w:val="00894D60"/>
    <w:rsid w:val="008A0DB7"/>
    <w:rsid w:val="008A11BE"/>
    <w:rsid w:val="008A3C80"/>
    <w:rsid w:val="008A79EE"/>
    <w:rsid w:val="008B22EA"/>
    <w:rsid w:val="008B4277"/>
    <w:rsid w:val="008B48CC"/>
    <w:rsid w:val="008B5AC3"/>
    <w:rsid w:val="008B73BE"/>
    <w:rsid w:val="008C31F7"/>
    <w:rsid w:val="008C3ABA"/>
    <w:rsid w:val="008D0AE3"/>
    <w:rsid w:val="008D4411"/>
    <w:rsid w:val="008D445A"/>
    <w:rsid w:val="008D556E"/>
    <w:rsid w:val="008D5C64"/>
    <w:rsid w:val="008D6FC1"/>
    <w:rsid w:val="008E10DD"/>
    <w:rsid w:val="008E540C"/>
    <w:rsid w:val="008E6619"/>
    <w:rsid w:val="008E6BA7"/>
    <w:rsid w:val="008F1409"/>
    <w:rsid w:val="008F1D66"/>
    <w:rsid w:val="008F27EC"/>
    <w:rsid w:val="008F3046"/>
    <w:rsid w:val="008F6EC9"/>
    <w:rsid w:val="009027E5"/>
    <w:rsid w:val="009061C9"/>
    <w:rsid w:val="00910354"/>
    <w:rsid w:val="00910ADC"/>
    <w:rsid w:val="00911D40"/>
    <w:rsid w:val="009130CA"/>
    <w:rsid w:val="00914806"/>
    <w:rsid w:val="00916311"/>
    <w:rsid w:val="009213AA"/>
    <w:rsid w:val="00924434"/>
    <w:rsid w:val="00925271"/>
    <w:rsid w:val="00927380"/>
    <w:rsid w:val="00933092"/>
    <w:rsid w:val="0093671F"/>
    <w:rsid w:val="00944A22"/>
    <w:rsid w:val="00944DA3"/>
    <w:rsid w:val="00947999"/>
    <w:rsid w:val="00950702"/>
    <w:rsid w:val="00951CDF"/>
    <w:rsid w:val="009535B2"/>
    <w:rsid w:val="00954826"/>
    <w:rsid w:val="009555F9"/>
    <w:rsid w:val="0095648A"/>
    <w:rsid w:val="009575CC"/>
    <w:rsid w:val="00957C35"/>
    <w:rsid w:val="00961E35"/>
    <w:rsid w:val="0096280F"/>
    <w:rsid w:val="00962A11"/>
    <w:rsid w:val="00962E28"/>
    <w:rsid w:val="009639FF"/>
    <w:rsid w:val="009652A8"/>
    <w:rsid w:val="00966AF8"/>
    <w:rsid w:val="00971F6F"/>
    <w:rsid w:val="009732D0"/>
    <w:rsid w:val="009754B7"/>
    <w:rsid w:val="0097639F"/>
    <w:rsid w:val="00985CAE"/>
    <w:rsid w:val="009870FD"/>
    <w:rsid w:val="009907C3"/>
    <w:rsid w:val="009924F8"/>
    <w:rsid w:val="00992C24"/>
    <w:rsid w:val="00994E7B"/>
    <w:rsid w:val="009A0BBD"/>
    <w:rsid w:val="009A4E59"/>
    <w:rsid w:val="009A610C"/>
    <w:rsid w:val="009A6325"/>
    <w:rsid w:val="009B2560"/>
    <w:rsid w:val="009B4FB7"/>
    <w:rsid w:val="009B7B97"/>
    <w:rsid w:val="009C3119"/>
    <w:rsid w:val="009C43AB"/>
    <w:rsid w:val="009C692A"/>
    <w:rsid w:val="009D11A8"/>
    <w:rsid w:val="009D26C9"/>
    <w:rsid w:val="009D2D00"/>
    <w:rsid w:val="009D5360"/>
    <w:rsid w:val="009E02EC"/>
    <w:rsid w:val="009E4A62"/>
    <w:rsid w:val="009E66CF"/>
    <w:rsid w:val="009F2321"/>
    <w:rsid w:val="009F3692"/>
    <w:rsid w:val="009F6ECE"/>
    <w:rsid w:val="00A00F2F"/>
    <w:rsid w:val="00A05A90"/>
    <w:rsid w:val="00A06677"/>
    <w:rsid w:val="00A1361E"/>
    <w:rsid w:val="00A20A27"/>
    <w:rsid w:val="00A25724"/>
    <w:rsid w:val="00A25AEF"/>
    <w:rsid w:val="00A27341"/>
    <w:rsid w:val="00A27770"/>
    <w:rsid w:val="00A3031E"/>
    <w:rsid w:val="00A304BA"/>
    <w:rsid w:val="00A309DC"/>
    <w:rsid w:val="00A30FDA"/>
    <w:rsid w:val="00A3300D"/>
    <w:rsid w:val="00A37A5B"/>
    <w:rsid w:val="00A41E8E"/>
    <w:rsid w:val="00A438B0"/>
    <w:rsid w:val="00A44C97"/>
    <w:rsid w:val="00A47853"/>
    <w:rsid w:val="00A50A6F"/>
    <w:rsid w:val="00A527FC"/>
    <w:rsid w:val="00A55B26"/>
    <w:rsid w:val="00A574A2"/>
    <w:rsid w:val="00A62206"/>
    <w:rsid w:val="00A64114"/>
    <w:rsid w:val="00A72FBB"/>
    <w:rsid w:val="00A744B9"/>
    <w:rsid w:val="00A7517E"/>
    <w:rsid w:val="00A9030B"/>
    <w:rsid w:val="00A928B9"/>
    <w:rsid w:val="00AA58D7"/>
    <w:rsid w:val="00AB1014"/>
    <w:rsid w:val="00AB2017"/>
    <w:rsid w:val="00AB4A83"/>
    <w:rsid w:val="00AB605D"/>
    <w:rsid w:val="00AC3DFD"/>
    <w:rsid w:val="00AE014F"/>
    <w:rsid w:val="00AE075C"/>
    <w:rsid w:val="00AE5164"/>
    <w:rsid w:val="00AF4C6C"/>
    <w:rsid w:val="00AF6E3A"/>
    <w:rsid w:val="00AF6F91"/>
    <w:rsid w:val="00B02C5E"/>
    <w:rsid w:val="00B02D8C"/>
    <w:rsid w:val="00B07A0D"/>
    <w:rsid w:val="00B101B2"/>
    <w:rsid w:val="00B119DE"/>
    <w:rsid w:val="00B14135"/>
    <w:rsid w:val="00B14C34"/>
    <w:rsid w:val="00B15FEB"/>
    <w:rsid w:val="00B167FD"/>
    <w:rsid w:val="00B17F57"/>
    <w:rsid w:val="00B21D95"/>
    <w:rsid w:val="00B256F1"/>
    <w:rsid w:val="00B25C40"/>
    <w:rsid w:val="00B25D39"/>
    <w:rsid w:val="00B30A1E"/>
    <w:rsid w:val="00B33432"/>
    <w:rsid w:val="00B334E5"/>
    <w:rsid w:val="00B3357B"/>
    <w:rsid w:val="00B35BBE"/>
    <w:rsid w:val="00B36214"/>
    <w:rsid w:val="00B36F09"/>
    <w:rsid w:val="00B37B84"/>
    <w:rsid w:val="00B37E16"/>
    <w:rsid w:val="00B41E10"/>
    <w:rsid w:val="00B42449"/>
    <w:rsid w:val="00B47573"/>
    <w:rsid w:val="00B50364"/>
    <w:rsid w:val="00B6751D"/>
    <w:rsid w:val="00B746AB"/>
    <w:rsid w:val="00B7617C"/>
    <w:rsid w:val="00B77E10"/>
    <w:rsid w:val="00B83AB0"/>
    <w:rsid w:val="00B93BD3"/>
    <w:rsid w:val="00B942C4"/>
    <w:rsid w:val="00B9756D"/>
    <w:rsid w:val="00BA0AFF"/>
    <w:rsid w:val="00BA1110"/>
    <w:rsid w:val="00BA12EB"/>
    <w:rsid w:val="00BA224D"/>
    <w:rsid w:val="00BA2B64"/>
    <w:rsid w:val="00BA604C"/>
    <w:rsid w:val="00BA6EFF"/>
    <w:rsid w:val="00BB0223"/>
    <w:rsid w:val="00BB08F9"/>
    <w:rsid w:val="00BB4BDF"/>
    <w:rsid w:val="00BB4DA7"/>
    <w:rsid w:val="00BB6614"/>
    <w:rsid w:val="00BC12E7"/>
    <w:rsid w:val="00BC184F"/>
    <w:rsid w:val="00BC2B52"/>
    <w:rsid w:val="00BC38F0"/>
    <w:rsid w:val="00BC48D6"/>
    <w:rsid w:val="00BC6DCF"/>
    <w:rsid w:val="00BD169A"/>
    <w:rsid w:val="00BD3187"/>
    <w:rsid w:val="00BD5607"/>
    <w:rsid w:val="00BD77CB"/>
    <w:rsid w:val="00BD7C4F"/>
    <w:rsid w:val="00BD7E76"/>
    <w:rsid w:val="00BE0D92"/>
    <w:rsid w:val="00BE16E6"/>
    <w:rsid w:val="00BE26EE"/>
    <w:rsid w:val="00BE3DF2"/>
    <w:rsid w:val="00BE52DD"/>
    <w:rsid w:val="00BE72A9"/>
    <w:rsid w:val="00BE76B7"/>
    <w:rsid w:val="00BE793E"/>
    <w:rsid w:val="00BF00D6"/>
    <w:rsid w:val="00BF4FCE"/>
    <w:rsid w:val="00BF5F8E"/>
    <w:rsid w:val="00BF7713"/>
    <w:rsid w:val="00C0009C"/>
    <w:rsid w:val="00C0473B"/>
    <w:rsid w:val="00C04ABF"/>
    <w:rsid w:val="00C054DA"/>
    <w:rsid w:val="00C05722"/>
    <w:rsid w:val="00C120C9"/>
    <w:rsid w:val="00C12C45"/>
    <w:rsid w:val="00C14203"/>
    <w:rsid w:val="00C233BF"/>
    <w:rsid w:val="00C32685"/>
    <w:rsid w:val="00C32F18"/>
    <w:rsid w:val="00C347A3"/>
    <w:rsid w:val="00C35309"/>
    <w:rsid w:val="00C35B59"/>
    <w:rsid w:val="00C4089F"/>
    <w:rsid w:val="00C4098E"/>
    <w:rsid w:val="00C42E00"/>
    <w:rsid w:val="00C43A9E"/>
    <w:rsid w:val="00C46713"/>
    <w:rsid w:val="00C50869"/>
    <w:rsid w:val="00C55A5D"/>
    <w:rsid w:val="00C5611D"/>
    <w:rsid w:val="00C60D17"/>
    <w:rsid w:val="00C614A9"/>
    <w:rsid w:val="00C62339"/>
    <w:rsid w:val="00C627DA"/>
    <w:rsid w:val="00C657CD"/>
    <w:rsid w:val="00C71BEE"/>
    <w:rsid w:val="00C76450"/>
    <w:rsid w:val="00C774B6"/>
    <w:rsid w:val="00C836C0"/>
    <w:rsid w:val="00C913B1"/>
    <w:rsid w:val="00C91ABB"/>
    <w:rsid w:val="00C92B46"/>
    <w:rsid w:val="00C931E3"/>
    <w:rsid w:val="00C94711"/>
    <w:rsid w:val="00CA0598"/>
    <w:rsid w:val="00CA14EC"/>
    <w:rsid w:val="00CA2707"/>
    <w:rsid w:val="00CA3B18"/>
    <w:rsid w:val="00CA579E"/>
    <w:rsid w:val="00CB5485"/>
    <w:rsid w:val="00CB5619"/>
    <w:rsid w:val="00CB5B57"/>
    <w:rsid w:val="00CB70D8"/>
    <w:rsid w:val="00CC0A50"/>
    <w:rsid w:val="00CC3F7B"/>
    <w:rsid w:val="00CC4127"/>
    <w:rsid w:val="00CC42C7"/>
    <w:rsid w:val="00CC55BA"/>
    <w:rsid w:val="00CD3FBE"/>
    <w:rsid w:val="00CD4F04"/>
    <w:rsid w:val="00CE7751"/>
    <w:rsid w:val="00CF63A0"/>
    <w:rsid w:val="00CF6EDB"/>
    <w:rsid w:val="00CF758A"/>
    <w:rsid w:val="00D0147D"/>
    <w:rsid w:val="00D04BD2"/>
    <w:rsid w:val="00D07E91"/>
    <w:rsid w:val="00D10F9C"/>
    <w:rsid w:val="00D11FE4"/>
    <w:rsid w:val="00D12E81"/>
    <w:rsid w:val="00D16D72"/>
    <w:rsid w:val="00D1710F"/>
    <w:rsid w:val="00D33523"/>
    <w:rsid w:val="00D466E3"/>
    <w:rsid w:val="00D47E76"/>
    <w:rsid w:val="00D56365"/>
    <w:rsid w:val="00D57A88"/>
    <w:rsid w:val="00D63635"/>
    <w:rsid w:val="00D77032"/>
    <w:rsid w:val="00D779C4"/>
    <w:rsid w:val="00D77B26"/>
    <w:rsid w:val="00D77E93"/>
    <w:rsid w:val="00D86260"/>
    <w:rsid w:val="00D92849"/>
    <w:rsid w:val="00D92A27"/>
    <w:rsid w:val="00D931AB"/>
    <w:rsid w:val="00D93CD4"/>
    <w:rsid w:val="00D9540E"/>
    <w:rsid w:val="00D97E40"/>
    <w:rsid w:val="00DA2E7D"/>
    <w:rsid w:val="00DA7DFB"/>
    <w:rsid w:val="00DB0BA2"/>
    <w:rsid w:val="00DB0F47"/>
    <w:rsid w:val="00DB1004"/>
    <w:rsid w:val="00DB133D"/>
    <w:rsid w:val="00DB22ED"/>
    <w:rsid w:val="00DB2D91"/>
    <w:rsid w:val="00DB456D"/>
    <w:rsid w:val="00DB7566"/>
    <w:rsid w:val="00DC03FB"/>
    <w:rsid w:val="00DC0B4E"/>
    <w:rsid w:val="00DC0C58"/>
    <w:rsid w:val="00DC0CA1"/>
    <w:rsid w:val="00DC3976"/>
    <w:rsid w:val="00DD04EF"/>
    <w:rsid w:val="00DD059E"/>
    <w:rsid w:val="00DD0CC9"/>
    <w:rsid w:val="00DE49B9"/>
    <w:rsid w:val="00DF1E41"/>
    <w:rsid w:val="00DF31BF"/>
    <w:rsid w:val="00DF4511"/>
    <w:rsid w:val="00DF6CA8"/>
    <w:rsid w:val="00DF7614"/>
    <w:rsid w:val="00E01058"/>
    <w:rsid w:val="00E03D9F"/>
    <w:rsid w:val="00E128FD"/>
    <w:rsid w:val="00E1340A"/>
    <w:rsid w:val="00E1485C"/>
    <w:rsid w:val="00E16EF5"/>
    <w:rsid w:val="00E20E72"/>
    <w:rsid w:val="00E30859"/>
    <w:rsid w:val="00E30B88"/>
    <w:rsid w:val="00E330CE"/>
    <w:rsid w:val="00E3370A"/>
    <w:rsid w:val="00E34B34"/>
    <w:rsid w:val="00E36BE4"/>
    <w:rsid w:val="00E400A8"/>
    <w:rsid w:val="00E42509"/>
    <w:rsid w:val="00E42A47"/>
    <w:rsid w:val="00E43887"/>
    <w:rsid w:val="00E466EC"/>
    <w:rsid w:val="00E473BA"/>
    <w:rsid w:val="00E5219A"/>
    <w:rsid w:val="00E643D8"/>
    <w:rsid w:val="00E670A2"/>
    <w:rsid w:val="00E74A9C"/>
    <w:rsid w:val="00E76F6B"/>
    <w:rsid w:val="00E85E8B"/>
    <w:rsid w:val="00E86DBB"/>
    <w:rsid w:val="00E86E98"/>
    <w:rsid w:val="00E87140"/>
    <w:rsid w:val="00E87B13"/>
    <w:rsid w:val="00E90CDC"/>
    <w:rsid w:val="00E928E0"/>
    <w:rsid w:val="00E92BFD"/>
    <w:rsid w:val="00E93DC7"/>
    <w:rsid w:val="00E94B56"/>
    <w:rsid w:val="00E95CC2"/>
    <w:rsid w:val="00EA0CA8"/>
    <w:rsid w:val="00EA649D"/>
    <w:rsid w:val="00EB5812"/>
    <w:rsid w:val="00EC0E82"/>
    <w:rsid w:val="00EC1627"/>
    <w:rsid w:val="00EC27E8"/>
    <w:rsid w:val="00EC4274"/>
    <w:rsid w:val="00EC438B"/>
    <w:rsid w:val="00ED17A7"/>
    <w:rsid w:val="00ED319A"/>
    <w:rsid w:val="00ED5269"/>
    <w:rsid w:val="00EE352B"/>
    <w:rsid w:val="00EF03D2"/>
    <w:rsid w:val="00EF3089"/>
    <w:rsid w:val="00EF43E4"/>
    <w:rsid w:val="00F0308D"/>
    <w:rsid w:val="00F04CDB"/>
    <w:rsid w:val="00F125E7"/>
    <w:rsid w:val="00F13789"/>
    <w:rsid w:val="00F1388A"/>
    <w:rsid w:val="00F17328"/>
    <w:rsid w:val="00F20300"/>
    <w:rsid w:val="00F26DF7"/>
    <w:rsid w:val="00F31A48"/>
    <w:rsid w:val="00F31BFA"/>
    <w:rsid w:val="00F31C0A"/>
    <w:rsid w:val="00F32091"/>
    <w:rsid w:val="00F3222A"/>
    <w:rsid w:val="00F36D31"/>
    <w:rsid w:val="00F37AA7"/>
    <w:rsid w:val="00F4066E"/>
    <w:rsid w:val="00F430E9"/>
    <w:rsid w:val="00F437C1"/>
    <w:rsid w:val="00F47500"/>
    <w:rsid w:val="00F5154F"/>
    <w:rsid w:val="00F5262F"/>
    <w:rsid w:val="00F551DB"/>
    <w:rsid w:val="00F56C3E"/>
    <w:rsid w:val="00F65665"/>
    <w:rsid w:val="00F67C37"/>
    <w:rsid w:val="00F704E7"/>
    <w:rsid w:val="00F74FD5"/>
    <w:rsid w:val="00F755BB"/>
    <w:rsid w:val="00F84D66"/>
    <w:rsid w:val="00F86791"/>
    <w:rsid w:val="00F878B8"/>
    <w:rsid w:val="00F91AAB"/>
    <w:rsid w:val="00F96523"/>
    <w:rsid w:val="00FA11D9"/>
    <w:rsid w:val="00FA56A0"/>
    <w:rsid w:val="00FA662F"/>
    <w:rsid w:val="00FB0085"/>
    <w:rsid w:val="00FB1A90"/>
    <w:rsid w:val="00FB291F"/>
    <w:rsid w:val="00FB702B"/>
    <w:rsid w:val="00FC741E"/>
    <w:rsid w:val="00FD1949"/>
    <w:rsid w:val="00FD194E"/>
    <w:rsid w:val="00FD2F35"/>
    <w:rsid w:val="00FD4AFB"/>
    <w:rsid w:val="00FD578C"/>
    <w:rsid w:val="00FE038D"/>
    <w:rsid w:val="00FE138F"/>
    <w:rsid w:val="00FE1706"/>
    <w:rsid w:val="00FE5639"/>
    <w:rsid w:val="00FF3126"/>
    <w:rsid w:val="00FF40B7"/>
    <w:rsid w:val="00FF6877"/>
    <w:rsid w:val="00FF71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A96F6"/>
  <w15:chartTrackingRefBased/>
  <w15:docId w15:val="{F94DAB4F-2836-4F64-A00B-10E1301B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18"/>
      </w:numPr>
      <w:spacing w:before="120" w:after="120" w:line="500" w:lineRule="exact"/>
      <w:jc w:val="both"/>
    </w:pPr>
    <w:rPr>
      <w:kern w:val="28"/>
    </w:rPr>
  </w:style>
  <w:style w:type="paragraph" w:customStyle="1" w:styleId="Citationenretrait">
    <w:name w:val="Citation en retrait"/>
    <w:basedOn w:val="Normal"/>
    <w:link w:val="CitationenretraitCar"/>
    <w:qFormat/>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link w:val="En-tteCar"/>
    <w:uiPriority w:val="99"/>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uiPriority w:val="99"/>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paragraph" w:customStyle="1" w:styleId="1">
    <w:name w:val="1"/>
    <w:basedOn w:val="Normal"/>
    <w:rsid w:val="00231735"/>
    <w:pPr>
      <w:spacing w:before="100" w:beforeAutospacing="1" w:after="100" w:afterAutospacing="1" w:line="240" w:lineRule="auto"/>
    </w:pPr>
    <w:rPr>
      <w:rFonts w:ascii="Times New Roman" w:hAnsi="Times New Roman"/>
      <w:szCs w:val="24"/>
      <w:lang w:eastAsia="fr-CA"/>
    </w:rPr>
  </w:style>
  <w:style w:type="character" w:customStyle="1" w:styleId="reflex3-block">
    <w:name w:val="reflex3-block"/>
    <w:basedOn w:val="Policepardfaut"/>
    <w:rsid w:val="00231735"/>
  </w:style>
  <w:style w:type="character" w:styleId="Lienhypertexte">
    <w:name w:val="Hyperlink"/>
    <w:basedOn w:val="Policepardfaut"/>
    <w:uiPriority w:val="99"/>
    <w:unhideWhenUsed/>
    <w:rsid w:val="00231735"/>
    <w:rPr>
      <w:color w:val="0000FF"/>
      <w:u w:val="single"/>
    </w:rPr>
  </w:style>
  <w:style w:type="character" w:customStyle="1" w:styleId="reflex3-alt">
    <w:name w:val="reflex3-alt"/>
    <w:basedOn w:val="Policepardfaut"/>
    <w:rsid w:val="00231735"/>
  </w:style>
  <w:style w:type="paragraph" w:customStyle="1" w:styleId="headingnumber">
    <w:name w:val="headingnumber"/>
    <w:basedOn w:val="Normal"/>
    <w:rsid w:val="00231735"/>
    <w:pPr>
      <w:spacing w:before="100" w:beforeAutospacing="1" w:after="100" w:afterAutospacing="1" w:line="240" w:lineRule="auto"/>
    </w:pPr>
    <w:rPr>
      <w:rFonts w:ascii="Times New Roman" w:hAnsi="Times New Roman"/>
      <w:szCs w:val="24"/>
      <w:lang w:eastAsia="fr-CA"/>
    </w:rPr>
  </w:style>
  <w:style w:type="character" w:customStyle="1" w:styleId="solexhl">
    <w:name w:val="solexhl"/>
    <w:rsid w:val="00231735"/>
  </w:style>
  <w:style w:type="character" w:customStyle="1" w:styleId="pl-2">
    <w:name w:val="pl-2"/>
    <w:basedOn w:val="Policepardfaut"/>
    <w:rsid w:val="00231735"/>
  </w:style>
  <w:style w:type="character" w:customStyle="1" w:styleId="lexboxinlinesave">
    <w:name w:val="lexboxinlinesave"/>
    <w:basedOn w:val="Policepardfaut"/>
    <w:rsid w:val="00231735"/>
  </w:style>
  <w:style w:type="character" w:customStyle="1" w:styleId="lb-inline-text2">
    <w:name w:val="lb-inline-text2"/>
    <w:basedOn w:val="Policepardfaut"/>
    <w:rsid w:val="00231735"/>
  </w:style>
  <w:style w:type="character" w:customStyle="1" w:styleId="lexboxinlineemail">
    <w:name w:val="lexboxinlineemail"/>
    <w:basedOn w:val="Policepardfaut"/>
    <w:rsid w:val="00231735"/>
  </w:style>
  <w:style w:type="paragraph" w:customStyle="1" w:styleId="felskynumbering12">
    <w:name w:val="felskynumbering12"/>
    <w:basedOn w:val="Normal"/>
    <w:rsid w:val="00231735"/>
    <w:pPr>
      <w:spacing w:before="100" w:beforeAutospacing="1" w:after="100" w:afterAutospacing="1" w:line="240" w:lineRule="auto"/>
    </w:pPr>
    <w:rPr>
      <w:rFonts w:ascii="Times New Roman" w:hAnsi="Times New Roman"/>
      <w:szCs w:val="24"/>
      <w:lang w:eastAsia="fr-CA"/>
    </w:rPr>
  </w:style>
  <w:style w:type="paragraph" w:customStyle="1" w:styleId="paragnum">
    <w:name w:val="paragnum"/>
    <w:basedOn w:val="Normal"/>
    <w:rsid w:val="00231735"/>
    <w:pPr>
      <w:spacing w:before="100" w:beforeAutospacing="1" w:after="100" w:afterAutospacing="1" w:line="240" w:lineRule="auto"/>
    </w:pPr>
    <w:rPr>
      <w:rFonts w:ascii="Times New Roman" w:hAnsi="Times New Roman"/>
      <w:szCs w:val="24"/>
      <w:lang w:eastAsia="fr-CA"/>
    </w:rPr>
  </w:style>
  <w:style w:type="paragraph" w:customStyle="1" w:styleId="quote1st">
    <w:name w:val="quote1st"/>
    <w:basedOn w:val="Normal"/>
    <w:rsid w:val="00231735"/>
    <w:pPr>
      <w:spacing w:before="100" w:beforeAutospacing="1" w:after="100" w:afterAutospacing="1" w:line="240" w:lineRule="auto"/>
    </w:pPr>
    <w:rPr>
      <w:rFonts w:ascii="Times New Roman" w:hAnsi="Times New Roman"/>
      <w:szCs w:val="24"/>
      <w:lang w:eastAsia="fr-CA"/>
    </w:rPr>
  </w:style>
  <w:style w:type="paragraph" w:styleId="NormalWeb">
    <w:name w:val="Normal (Web)"/>
    <w:basedOn w:val="Normal"/>
    <w:uiPriority w:val="99"/>
    <w:semiHidden/>
    <w:unhideWhenUsed/>
    <w:rsid w:val="00231735"/>
    <w:pPr>
      <w:spacing w:before="100" w:beforeAutospacing="1" w:after="100" w:afterAutospacing="1" w:line="240" w:lineRule="auto"/>
    </w:pPr>
    <w:rPr>
      <w:rFonts w:ascii="Times New Roman" w:hAnsi="Times New Roman"/>
      <w:szCs w:val="24"/>
      <w:lang w:eastAsia="fr-CA"/>
    </w:rPr>
  </w:style>
  <w:style w:type="paragraph" w:customStyle="1" w:styleId="doubleindent-quote">
    <w:name w:val="doubleindent-quote"/>
    <w:basedOn w:val="Normal"/>
    <w:rsid w:val="00231735"/>
    <w:pPr>
      <w:spacing w:before="100" w:beforeAutospacing="1" w:after="100" w:afterAutospacing="1" w:line="240" w:lineRule="auto"/>
    </w:pPr>
    <w:rPr>
      <w:rFonts w:ascii="Times New Roman" w:hAnsi="Times New Roman"/>
      <w:szCs w:val="24"/>
      <w:lang w:eastAsia="fr-CA"/>
    </w:rPr>
  </w:style>
  <w:style w:type="character" w:customStyle="1" w:styleId="NotedebasdepageCar">
    <w:name w:val="Note de bas de page Car"/>
    <w:link w:val="Notedebasdepage"/>
    <w:rsid w:val="00231735"/>
    <w:rPr>
      <w:rFonts w:ascii="Arial" w:hAnsi="Arial"/>
      <w:lang w:eastAsia="fr-FR"/>
    </w:rPr>
  </w:style>
  <w:style w:type="character" w:customStyle="1" w:styleId="ParagrapheCar">
    <w:name w:val="Paragraphe Car"/>
    <w:link w:val="Paragraphe"/>
    <w:qFormat/>
    <w:rsid w:val="00231735"/>
    <w:rPr>
      <w:rFonts w:ascii="Arial" w:hAnsi="Arial"/>
      <w:kern w:val="28"/>
      <w:sz w:val="24"/>
      <w:lang w:eastAsia="fr-FR"/>
    </w:rPr>
  </w:style>
  <w:style w:type="character" w:customStyle="1" w:styleId="CitationenretraitCar">
    <w:name w:val="Citation en retrait Car"/>
    <w:link w:val="Citationenretrait"/>
    <w:rsid w:val="00231735"/>
    <w:rPr>
      <w:rFonts w:ascii="Arial" w:hAnsi="Arial"/>
      <w:kern w:val="24"/>
      <w:sz w:val="22"/>
      <w:lang w:eastAsia="fr-FR"/>
    </w:rPr>
  </w:style>
  <w:style w:type="paragraph" w:customStyle="1" w:styleId="paranondepar-altn">
    <w:name w:val="paranondepar-altn"/>
    <w:basedOn w:val="Normal"/>
    <w:rsid w:val="00231735"/>
    <w:pPr>
      <w:spacing w:before="100" w:beforeAutospacing="1" w:after="100" w:afterAutospacing="1" w:line="240" w:lineRule="auto"/>
    </w:pPr>
    <w:rPr>
      <w:rFonts w:ascii="Times New Roman" w:hAnsi="Times New Roman"/>
      <w:szCs w:val="24"/>
      <w:lang w:eastAsia="fr-CA"/>
    </w:rPr>
  </w:style>
  <w:style w:type="character" w:styleId="Marquedecommentaire">
    <w:name w:val="annotation reference"/>
    <w:basedOn w:val="Policepardfaut"/>
    <w:uiPriority w:val="99"/>
    <w:semiHidden/>
    <w:unhideWhenUsed/>
    <w:rsid w:val="00231735"/>
    <w:rPr>
      <w:sz w:val="16"/>
      <w:szCs w:val="16"/>
    </w:rPr>
  </w:style>
  <w:style w:type="paragraph" w:styleId="Commentaire">
    <w:name w:val="annotation text"/>
    <w:basedOn w:val="Normal"/>
    <w:link w:val="CommentaireCar"/>
    <w:uiPriority w:val="99"/>
    <w:unhideWhenUsed/>
    <w:rsid w:val="00231735"/>
    <w:pPr>
      <w:spacing w:line="240" w:lineRule="auto"/>
    </w:pPr>
    <w:rPr>
      <w:sz w:val="20"/>
    </w:rPr>
  </w:style>
  <w:style w:type="character" w:customStyle="1" w:styleId="CommentaireCar">
    <w:name w:val="Commentaire Car"/>
    <w:basedOn w:val="Policepardfaut"/>
    <w:link w:val="Commentaire"/>
    <w:uiPriority w:val="99"/>
    <w:rsid w:val="00231735"/>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231735"/>
    <w:rPr>
      <w:b/>
      <w:bCs/>
    </w:rPr>
  </w:style>
  <w:style w:type="character" w:customStyle="1" w:styleId="ObjetducommentaireCar">
    <w:name w:val="Objet du commentaire Car"/>
    <w:basedOn w:val="CommentaireCar"/>
    <w:link w:val="Objetducommentaire"/>
    <w:uiPriority w:val="99"/>
    <w:semiHidden/>
    <w:rsid w:val="00231735"/>
    <w:rPr>
      <w:rFonts w:ascii="Arial" w:hAnsi="Arial"/>
      <w:b/>
      <w:bCs/>
      <w:lang w:eastAsia="fr-FR"/>
    </w:rPr>
  </w:style>
  <w:style w:type="character" w:styleId="Textedelespacerserv">
    <w:name w:val="Placeholder Text"/>
    <w:basedOn w:val="Policepardfaut"/>
    <w:uiPriority w:val="99"/>
    <w:semiHidden/>
    <w:rsid w:val="00231735"/>
    <w:rPr>
      <w:color w:val="808080"/>
    </w:rPr>
  </w:style>
  <w:style w:type="paragraph" w:customStyle="1" w:styleId="sous-titreengras">
    <w:name w:val="_sous-titre en gras"/>
    <w:basedOn w:val="Paragraphe"/>
    <w:link w:val="sous-titreengrasCar"/>
    <w:qFormat/>
    <w:rsid w:val="00231735"/>
    <w:pPr>
      <w:keepNext/>
      <w:numPr>
        <w:numId w:val="0"/>
      </w:numPr>
      <w:spacing w:line="280" w:lineRule="exact"/>
    </w:pPr>
    <w:rPr>
      <w:b/>
    </w:rPr>
  </w:style>
  <w:style w:type="paragraph" w:customStyle="1" w:styleId="Sous-titrelettremajusculeenitalique">
    <w:name w:val="_ Sous-titre lettre majuscule en italique"/>
    <w:basedOn w:val="Normal"/>
    <w:qFormat/>
    <w:rsid w:val="00231735"/>
    <w:pPr>
      <w:numPr>
        <w:numId w:val="28"/>
      </w:numPr>
      <w:spacing w:before="120" w:after="120" w:line="500" w:lineRule="exact"/>
      <w:jc w:val="both"/>
    </w:pPr>
    <w:rPr>
      <w:i/>
      <w:kern w:val="28"/>
    </w:rPr>
  </w:style>
  <w:style w:type="character" w:customStyle="1" w:styleId="sous-titreengrasCar">
    <w:name w:val="_sous-titre en gras Car"/>
    <w:basedOn w:val="ParagrapheCar"/>
    <w:link w:val="sous-titreengras"/>
    <w:rsid w:val="00231735"/>
    <w:rPr>
      <w:rFonts w:ascii="Arial" w:hAnsi="Arial"/>
      <w:b/>
      <w:kern w:val="28"/>
      <w:sz w:val="24"/>
      <w:lang w:eastAsia="fr-FR"/>
    </w:rPr>
  </w:style>
  <w:style w:type="paragraph" w:customStyle="1" w:styleId="CitationdecitationFR">
    <w:name w:val="Citation de citation FR"/>
    <w:basedOn w:val="Normal"/>
    <w:rsid w:val="00231735"/>
    <w:pPr>
      <w:spacing w:before="120" w:after="120"/>
      <w:ind w:left="1440" w:right="1440"/>
      <w:jc w:val="both"/>
    </w:pPr>
    <w:rPr>
      <w:kern w:val="24"/>
      <w:sz w:val="20"/>
      <w:szCs w:val="19"/>
    </w:rPr>
  </w:style>
  <w:style w:type="paragraph" w:customStyle="1" w:styleId="Transcription">
    <w:name w:val="Transcription"/>
    <w:basedOn w:val="Normal"/>
    <w:rsid w:val="00231735"/>
    <w:pPr>
      <w:spacing w:before="120" w:after="120"/>
      <w:ind w:right="74"/>
      <w:jc w:val="both"/>
    </w:pPr>
    <w:rPr>
      <w:kern w:val="24"/>
      <w:sz w:val="22"/>
    </w:rPr>
  </w:style>
  <w:style w:type="character" w:customStyle="1" w:styleId="En-tteCar">
    <w:name w:val="En-tête Car"/>
    <w:basedOn w:val="Policepardfaut"/>
    <w:link w:val="En-tte"/>
    <w:uiPriority w:val="99"/>
    <w:rsid w:val="00231735"/>
    <w:rPr>
      <w:rFonts w:ascii="Arial" w:hAnsi="Arial"/>
      <w:sz w:val="24"/>
      <w:lang w:eastAsia="fr-FR"/>
    </w:rPr>
  </w:style>
  <w:style w:type="character" w:customStyle="1" w:styleId="reflex2-link">
    <w:name w:val="reflex2-link"/>
    <w:basedOn w:val="Policepardfaut"/>
    <w:rsid w:val="006D5701"/>
  </w:style>
  <w:style w:type="character" w:styleId="Lienhypertextesuivivisit">
    <w:name w:val="FollowedHyperlink"/>
    <w:basedOn w:val="Policepardfaut"/>
    <w:uiPriority w:val="99"/>
    <w:semiHidden/>
    <w:unhideWhenUsed/>
    <w:rsid w:val="00BE16E6"/>
    <w:rPr>
      <w:color w:val="954F72" w:themeColor="followedHyperlink"/>
      <w:u w:val="single"/>
    </w:rPr>
  </w:style>
  <w:style w:type="paragraph" w:styleId="Rvision">
    <w:name w:val="Revision"/>
    <w:hidden/>
    <w:uiPriority w:val="99"/>
    <w:semiHidden/>
    <w:rsid w:val="007609CF"/>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54DA1-1359-441E-87D7-CE8AC55B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17328</Words>
  <Characters>95310</Characters>
  <Application>Microsoft Office Word</Application>
  <DocSecurity>0</DocSecurity>
  <Lines>794</Lines>
  <Paragraphs>224</Paragraphs>
  <ScaleCrop>false</ScaleCrop>
  <HeadingPairs>
    <vt:vector size="2" baseType="variant">
      <vt:variant>
        <vt:lpstr>Titre</vt:lpstr>
      </vt:variant>
      <vt:variant>
        <vt:i4>1</vt:i4>
      </vt:variant>
    </vt:vector>
  </HeadingPairs>
  <TitlesOfParts>
    <vt:vector size="1" baseType="lpstr">
      <vt:lpstr>Gabarit de jugement pour la cour d'appel</vt:lpstr>
    </vt:vector>
  </TitlesOfParts>
  <Manager>Patrice Tardif</Manager>
  <Company>MJQ</Company>
  <LinksUpToDate>false</LinksUpToDate>
  <CharactersWithSpaces>112414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Lynn Brousseau</dc:creator>
  <cp:lastModifiedBy>Gauthier, François</cp:lastModifiedBy>
  <cp:revision>2</cp:revision>
  <cp:lastPrinted>2021-01-15T15:03:00Z</cp:lastPrinted>
  <dcterms:created xsi:type="dcterms:W3CDTF">2023-01-23T12:21:00Z</dcterms:created>
  <dcterms:modified xsi:type="dcterms:W3CDTF">2023-01-23T12:21:00Z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CA</vt:lpwstr>
  </property>
  <property fmtid="{D5CDD505-2E9C-101B-9397-08002B2CF9AE}" pid="3" name="Soquij_DateModification">
    <vt:lpwstr>04-26-2001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