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D265D2" w14:textId="77777777" w:rsidR="00971A08" w:rsidRPr="00E02273" w:rsidRDefault="00971A08">
      <w:pPr>
        <w:rPr>
          <w:lang w:val="en-CA"/>
        </w:rPr>
      </w:pPr>
      <w:bookmarkStart w:id="0" w:name="_GoBack"/>
      <w:bookmarkEnd w:id="0"/>
    </w:p>
    <w:p w14:paraId="3498F56B" w14:textId="58E05CF0" w:rsidR="00971A08" w:rsidRPr="00E02273" w:rsidRDefault="00C82D6A" w:rsidP="00E00634">
      <w:pPr>
        <w:pStyle w:val="En-tte"/>
        <w:rPr>
          <w:lang w:val="en-CA"/>
        </w:rPr>
      </w:pPr>
      <w:r w:rsidRPr="00971A08">
        <w:rPr>
          <w:rFonts w:cs="Arial"/>
          <w:color w:val="000000"/>
          <w:szCs w:val="21"/>
          <w:lang w:val="en-US" w:eastAsia="fr-CA"/>
        </w:rPr>
        <w:t>Unofficial English Translation of the Judgment of the Court</w:t>
      </w:r>
    </w:p>
    <w:tbl>
      <w:tblPr>
        <w:tblW w:w="9360" w:type="dxa"/>
        <w:tblLayout w:type="fixed"/>
        <w:tblCellMar>
          <w:left w:w="0" w:type="dxa"/>
          <w:right w:w="0" w:type="dxa"/>
        </w:tblCellMar>
        <w:tblLook w:val="0000" w:firstRow="0" w:lastRow="0" w:firstColumn="0" w:lastColumn="0" w:noHBand="0" w:noVBand="0"/>
      </w:tblPr>
      <w:tblGrid>
        <w:gridCol w:w="1030"/>
        <w:gridCol w:w="590"/>
        <w:gridCol w:w="81"/>
        <w:gridCol w:w="2269"/>
        <w:gridCol w:w="3402"/>
        <w:gridCol w:w="1988"/>
      </w:tblGrid>
      <w:tr w:rsidR="00F145CD" w:rsidRPr="00E02273" w14:paraId="2C41BE4A" w14:textId="77777777" w:rsidTr="00B568AD">
        <w:trPr>
          <w:trHeight w:val="248"/>
        </w:trPr>
        <w:tc>
          <w:tcPr>
            <w:tcW w:w="7372" w:type="dxa"/>
            <w:gridSpan w:val="5"/>
          </w:tcPr>
          <w:p w14:paraId="6B0BD253" w14:textId="77777777" w:rsidR="00B568AD" w:rsidRPr="005219AB" w:rsidRDefault="002D51A4" w:rsidP="00971A08">
            <w:pPr>
              <w:pStyle w:val="zSoquijdatRepertorie"/>
              <w:rPr>
                <w:rFonts w:cs="Arial"/>
              </w:rPr>
            </w:pPr>
            <w:r w:rsidRPr="005219AB">
              <w:rPr>
                <w:rFonts w:cs="Arial"/>
              </w:rPr>
              <w:t>Merck Canada inc. c.</w:t>
            </w:r>
            <w:r w:rsidR="00971A08" w:rsidRPr="005219AB">
              <w:rPr>
                <w:rFonts w:cs="Arial"/>
              </w:rPr>
              <w:t xml:space="preserve"> </w:t>
            </w:r>
            <w:r w:rsidRPr="005219AB">
              <w:rPr>
                <w:rFonts w:cs="Arial"/>
              </w:rPr>
              <w:t>Procureur</w:t>
            </w:r>
            <w:r w:rsidR="00971A08" w:rsidRPr="005219AB">
              <w:rPr>
                <w:rFonts w:cs="Arial"/>
              </w:rPr>
              <w:t xml:space="preserve"> </w:t>
            </w:r>
            <w:r w:rsidRPr="005219AB">
              <w:rPr>
                <w:rFonts w:cs="Arial"/>
              </w:rPr>
              <w:t>général</w:t>
            </w:r>
            <w:r w:rsidR="00971A08" w:rsidRPr="005219AB">
              <w:rPr>
                <w:rFonts w:cs="Arial"/>
              </w:rPr>
              <w:t xml:space="preserve"> </w:t>
            </w:r>
            <w:r w:rsidRPr="005219AB">
              <w:rPr>
                <w:rFonts w:cs="Arial"/>
              </w:rPr>
              <w:t>du</w:t>
            </w:r>
            <w:r w:rsidR="00971A08" w:rsidRPr="005219AB">
              <w:rPr>
                <w:rFonts w:cs="Arial"/>
              </w:rPr>
              <w:t xml:space="preserve"> </w:t>
            </w:r>
            <w:r w:rsidRPr="005219AB">
              <w:rPr>
                <w:rFonts w:cs="Arial"/>
              </w:rPr>
              <w:t>Canada</w:t>
            </w:r>
          </w:p>
        </w:tc>
        <w:tc>
          <w:tcPr>
            <w:tcW w:w="1988" w:type="dxa"/>
          </w:tcPr>
          <w:p w14:paraId="3F90ACCB" w14:textId="77777777" w:rsidR="00B568AD" w:rsidRPr="00E02273" w:rsidRDefault="002D51A4" w:rsidP="00B568AD">
            <w:pPr>
              <w:pStyle w:val="zSoquijdatRefNeutre"/>
              <w:jc w:val="right"/>
              <w:rPr>
                <w:rFonts w:cs="Arial"/>
                <w:lang w:val="en-CA"/>
              </w:rPr>
            </w:pPr>
            <w:r w:rsidRPr="00E02273">
              <w:rPr>
                <w:rFonts w:cs="Arial"/>
                <w:lang w:val="en-CA"/>
              </w:rPr>
              <w:t>2022 QCCA 240</w:t>
            </w:r>
          </w:p>
        </w:tc>
      </w:tr>
      <w:tr w:rsidR="00F145CD" w:rsidRPr="00E02273" w14:paraId="0A311676" w14:textId="77777777" w:rsidTr="00B568AD">
        <w:trPr>
          <w:trHeight w:val="247"/>
        </w:trPr>
        <w:tc>
          <w:tcPr>
            <w:tcW w:w="9360" w:type="dxa"/>
            <w:gridSpan w:val="6"/>
          </w:tcPr>
          <w:p w14:paraId="712DEEDA" w14:textId="77777777" w:rsidR="00B568AD" w:rsidRPr="00E02273" w:rsidRDefault="00971A08">
            <w:pPr>
              <w:pStyle w:val="zSoquijlblCour"/>
              <w:rPr>
                <w:lang w:val="en-CA"/>
              </w:rPr>
            </w:pPr>
            <w:r w:rsidRPr="00E02273">
              <w:rPr>
                <w:lang w:val="en-CA"/>
              </w:rPr>
              <w:t>COURT OF APPEAL</w:t>
            </w:r>
          </w:p>
        </w:tc>
      </w:tr>
      <w:tr w:rsidR="00F145CD" w:rsidRPr="00E02273" w14:paraId="21048FCC" w14:textId="77777777" w:rsidTr="00B568AD">
        <w:trPr>
          <w:trHeight w:val="540"/>
        </w:trPr>
        <w:tc>
          <w:tcPr>
            <w:tcW w:w="9360" w:type="dxa"/>
            <w:gridSpan w:val="6"/>
          </w:tcPr>
          <w:p w14:paraId="18376AB0" w14:textId="77777777" w:rsidR="00B568AD" w:rsidRPr="00E02273" w:rsidRDefault="00B568AD">
            <w:pPr>
              <w:pStyle w:val="zSoquijdatDivision"/>
              <w:rPr>
                <w:lang w:val="en-CA"/>
              </w:rPr>
            </w:pPr>
          </w:p>
        </w:tc>
      </w:tr>
      <w:tr w:rsidR="00F145CD" w:rsidRPr="00E02273" w14:paraId="6232194D" w14:textId="77777777" w:rsidTr="00B568AD">
        <w:tc>
          <w:tcPr>
            <w:tcW w:w="9360" w:type="dxa"/>
            <w:gridSpan w:val="6"/>
          </w:tcPr>
          <w:p w14:paraId="470D3EE1" w14:textId="77777777" w:rsidR="00B568AD" w:rsidRPr="00E02273" w:rsidRDefault="002D51A4">
            <w:pPr>
              <w:pStyle w:val="zSoquijlblPays"/>
              <w:rPr>
                <w:lang w:val="en-CA"/>
              </w:rPr>
            </w:pPr>
            <w:r w:rsidRPr="00E02273">
              <w:rPr>
                <w:lang w:val="en-CA"/>
              </w:rPr>
              <w:t>CANADA</w:t>
            </w:r>
          </w:p>
        </w:tc>
      </w:tr>
      <w:tr w:rsidR="00F145CD" w:rsidRPr="00E02273" w14:paraId="4E50D790" w14:textId="77777777" w:rsidTr="00B568AD">
        <w:tc>
          <w:tcPr>
            <w:tcW w:w="9360" w:type="dxa"/>
            <w:gridSpan w:val="6"/>
          </w:tcPr>
          <w:p w14:paraId="37017777" w14:textId="77777777" w:rsidR="00B568AD" w:rsidRPr="00E02273" w:rsidRDefault="00971A08">
            <w:pPr>
              <w:pStyle w:val="zSoquijlblProvince"/>
              <w:rPr>
                <w:lang w:val="en-CA"/>
              </w:rPr>
            </w:pPr>
            <w:r w:rsidRPr="00E02273">
              <w:rPr>
                <w:lang w:val="en-CA"/>
              </w:rPr>
              <w:t>PROVINCE OF QUEBEC</w:t>
            </w:r>
          </w:p>
        </w:tc>
      </w:tr>
      <w:tr w:rsidR="00F145CD" w:rsidRPr="00E02273" w14:paraId="34A0D941" w14:textId="77777777" w:rsidTr="00971A08">
        <w:tc>
          <w:tcPr>
            <w:tcW w:w="1701" w:type="dxa"/>
            <w:gridSpan w:val="3"/>
          </w:tcPr>
          <w:p w14:paraId="0E6A8628" w14:textId="77777777" w:rsidR="00B568AD" w:rsidRPr="00E02273" w:rsidRDefault="00971A08">
            <w:pPr>
              <w:pStyle w:val="zSoquijlblGreffe"/>
              <w:rPr>
                <w:lang w:val="en-CA"/>
              </w:rPr>
            </w:pPr>
            <w:r w:rsidRPr="00E02273">
              <w:rPr>
                <w:lang w:val="en-CA"/>
              </w:rPr>
              <w:t>REGISTRY OF</w:t>
            </w:r>
          </w:p>
          <w:p w14:paraId="27A97404" w14:textId="77777777" w:rsidR="00B568AD" w:rsidRPr="00E02273" w:rsidRDefault="00B568AD">
            <w:pPr>
              <w:pStyle w:val="zSoquijlblGreffe"/>
              <w:rPr>
                <w:lang w:val="en-CA"/>
              </w:rPr>
            </w:pPr>
          </w:p>
        </w:tc>
        <w:tc>
          <w:tcPr>
            <w:tcW w:w="7659" w:type="dxa"/>
            <w:gridSpan w:val="3"/>
          </w:tcPr>
          <w:p w14:paraId="2AD47BDF" w14:textId="77777777" w:rsidR="00B568AD" w:rsidRPr="00E02273" w:rsidRDefault="00971A08">
            <w:pPr>
              <w:pStyle w:val="zSoquijdatGreffe"/>
              <w:rPr>
                <w:lang w:val="en-CA"/>
              </w:rPr>
            </w:pPr>
            <w:r w:rsidRPr="00E02273">
              <w:rPr>
                <w:lang w:val="en-CA"/>
              </w:rPr>
              <w:t>MONTREAL</w:t>
            </w:r>
          </w:p>
        </w:tc>
      </w:tr>
      <w:tr w:rsidR="00F145CD" w:rsidRPr="00E02273" w14:paraId="3DAF16E0" w14:textId="77777777" w:rsidTr="00B568AD">
        <w:tc>
          <w:tcPr>
            <w:tcW w:w="1030" w:type="dxa"/>
          </w:tcPr>
          <w:p w14:paraId="19BB51C8" w14:textId="77777777" w:rsidR="00B568AD" w:rsidRPr="00E02273" w:rsidRDefault="002D51A4" w:rsidP="00971A08">
            <w:pPr>
              <w:pStyle w:val="zSoquijlblNoDossier"/>
              <w:rPr>
                <w:lang w:val="en-CA"/>
              </w:rPr>
            </w:pPr>
            <w:r w:rsidRPr="00E02273">
              <w:rPr>
                <w:lang w:val="en-CA"/>
              </w:rPr>
              <w:t>N</w:t>
            </w:r>
            <w:r w:rsidR="00971A08" w:rsidRPr="00E02273">
              <w:rPr>
                <w:lang w:val="en-CA"/>
              </w:rPr>
              <w:t>o.</w:t>
            </w:r>
            <w:r w:rsidRPr="00E02273">
              <w:rPr>
                <w:lang w:val="en-CA"/>
              </w:rPr>
              <w:t>:</w:t>
            </w:r>
          </w:p>
        </w:tc>
        <w:tc>
          <w:tcPr>
            <w:tcW w:w="8330" w:type="dxa"/>
            <w:gridSpan w:val="5"/>
          </w:tcPr>
          <w:p w14:paraId="423D1DDA" w14:textId="77777777" w:rsidR="00B568AD" w:rsidRPr="00E02273" w:rsidRDefault="002D51A4">
            <w:pPr>
              <w:pStyle w:val="zSoquijdatNoDossier"/>
              <w:rPr>
                <w:lang w:val="en-CA"/>
              </w:rPr>
            </w:pPr>
            <w:bookmarkStart w:id="1" w:name="NoDossier"/>
            <w:r w:rsidRPr="00E02273">
              <w:rPr>
                <w:lang w:val="en-CA"/>
              </w:rPr>
              <w:t>500-09-029316-213</w:t>
            </w:r>
            <w:bookmarkEnd w:id="1"/>
          </w:p>
        </w:tc>
      </w:tr>
      <w:tr w:rsidR="00F145CD" w:rsidRPr="00E02273" w14:paraId="7BCF0609" w14:textId="77777777" w:rsidTr="00B568AD">
        <w:tc>
          <w:tcPr>
            <w:tcW w:w="9360" w:type="dxa"/>
            <w:gridSpan w:val="6"/>
          </w:tcPr>
          <w:p w14:paraId="010D71AF" w14:textId="77777777" w:rsidR="00B568AD" w:rsidRPr="00E02273" w:rsidRDefault="002D51A4" w:rsidP="00B568AD">
            <w:pPr>
              <w:pStyle w:val="zSoquijdatNoDossierAnt"/>
              <w:rPr>
                <w:lang w:val="en-CA"/>
              </w:rPr>
            </w:pPr>
            <w:r w:rsidRPr="00E02273">
              <w:rPr>
                <w:lang w:val="en-CA"/>
              </w:rPr>
              <w:t>(500-17-109270-192)</w:t>
            </w:r>
          </w:p>
        </w:tc>
      </w:tr>
      <w:tr w:rsidR="00F145CD" w:rsidRPr="00E02273" w14:paraId="16A7B421" w14:textId="77777777" w:rsidTr="00B568AD">
        <w:tc>
          <w:tcPr>
            <w:tcW w:w="9360" w:type="dxa"/>
            <w:gridSpan w:val="6"/>
          </w:tcPr>
          <w:p w14:paraId="502781B4" w14:textId="77777777" w:rsidR="00B568AD" w:rsidRPr="00E02273" w:rsidRDefault="00B568AD">
            <w:pPr>
              <w:rPr>
                <w:lang w:val="en-CA"/>
              </w:rPr>
            </w:pPr>
          </w:p>
        </w:tc>
      </w:tr>
      <w:tr w:rsidR="00F145CD" w:rsidRPr="00E02273" w14:paraId="79430F4B" w14:textId="77777777" w:rsidTr="00B568AD">
        <w:tc>
          <w:tcPr>
            <w:tcW w:w="1030" w:type="dxa"/>
          </w:tcPr>
          <w:p w14:paraId="3AB61262" w14:textId="77777777" w:rsidR="00B568AD" w:rsidRPr="00E02273" w:rsidRDefault="002D51A4" w:rsidP="00971A08">
            <w:pPr>
              <w:pStyle w:val="zSoquijlblDateJugement"/>
              <w:rPr>
                <w:lang w:val="en-CA"/>
              </w:rPr>
            </w:pPr>
            <w:r w:rsidRPr="00E02273">
              <w:rPr>
                <w:lang w:val="en-CA"/>
              </w:rPr>
              <w:t>DATE:</w:t>
            </w:r>
          </w:p>
        </w:tc>
        <w:tc>
          <w:tcPr>
            <w:tcW w:w="8330" w:type="dxa"/>
            <w:gridSpan w:val="5"/>
          </w:tcPr>
          <w:p w14:paraId="75EBFC82" w14:textId="77777777" w:rsidR="00B568AD" w:rsidRPr="00E02273" w:rsidRDefault="002D51A4" w:rsidP="00971A08">
            <w:pPr>
              <w:pStyle w:val="zSoquijdatDateJugement"/>
              <w:rPr>
                <w:lang w:val="en-CA"/>
              </w:rPr>
            </w:pPr>
            <w:r w:rsidRPr="00E02273">
              <w:rPr>
                <w:lang w:val="en-CA"/>
              </w:rPr>
              <w:t>February</w:t>
            </w:r>
            <w:r w:rsidR="00971A08" w:rsidRPr="00E02273">
              <w:rPr>
                <w:lang w:val="en-CA"/>
              </w:rPr>
              <w:t xml:space="preserve"> 18,</w:t>
            </w:r>
            <w:r w:rsidRPr="00E02273">
              <w:rPr>
                <w:lang w:val="en-CA"/>
              </w:rPr>
              <w:t xml:space="preserve"> 2022</w:t>
            </w:r>
          </w:p>
        </w:tc>
      </w:tr>
      <w:tr w:rsidR="00F145CD" w:rsidRPr="00E02273" w14:paraId="73E506D5" w14:textId="77777777" w:rsidTr="00B568AD">
        <w:tc>
          <w:tcPr>
            <w:tcW w:w="9360" w:type="dxa"/>
            <w:gridSpan w:val="6"/>
            <w:tcBorders>
              <w:bottom w:val="single" w:sz="8" w:space="0" w:color="auto"/>
            </w:tcBorders>
          </w:tcPr>
          <w:p w14:paraId="1CAEAB0E" w14:textId="77777777" w:rsidR="00B568AD" w:rsidRPr="00E02273" w:rsidRDefault="00B568AD">
            <w:pPr>
              <w:rPr>
                <w:lang w:val="en-CA"/>
              </w:rPr>
            </w:pPr>
          </w:p>
        </w:tc>
      </w:tr>
      <w:tr w:rsidR="00F145CD" w:rsidRPr="00E02273" w14:paraId="3309614A" w14:textId="77777777" w:rsidTr="00B568AD">
        <w:tc>
          <w:tcPr>
            <w:tcW w:w="9360" w:type="dxa"/>
            <w:gridSpan w:val="6"/>
            <w:tcBorders>
              <w:top w:val="single" w:sz="8" w:space="0" w:color="auto"/>
            </w:tcBorders>
          </w:tcPr>
          <w:p w14:paraId="344415E9" w14:textId="77777777" w:rsidR="00B568AD" w:rsidRPr="00E02273" w:rsidRDefault="00B568AD">
            <w:pPr>
              <w:rPr>
                <w:lang w:val="en-CA"/>
              </w:rPr>
            </w:pPr>
          </w:p>
        </w:tc>
      </w:tr>
      <w:tr w:rsidR="00F145CD" w:rsidRPr="00E02273" w14:paraId="6714A8B4" w14:textId="77777777" w:rsidTr="00B568AD">
        <w:tc>
          <w:tcPr>
            <w:tcW w:w="1620" w:type="dxa"/>
            <w:gridSpan w:val="2"/>
          </w:tcPr>
          <w:p w14:paraId="09E61EF7" w14:textId="77777777" w:rsidR="00B568AD" w:rsidRPr="00E02273" w:rsidRDefault="00971A08" w:rsidP="00B568AD">
            <w:pPr>
              <w:pStyle w:val="zSoquijlblJuge"/>
              <w:ind w:right="-142"/>
              <w:rPr>
                <w:lang w:val="en-CA"/>
              </w:rPr>
            </w:pPr>
            <w:r w:rsidRPr="00E02273">
              <w:rPr>
                <w:lang w:val="en-CA"/>
              </w:rPr>
              <w:t>CORAM:</w:t>
            </w:r>
          </w:p>
        </w:tc>
        <w:tc>
          <w:tcPr>
            <w:tcW w:w="2350" w:type="dxa"/>
            <w:gridSpan w:val="2"/>
          </w:tcPr>
          <w:p w14:paraId="5C3E9D5B" w14:textId="77777777" w:rsidR="00B568AD" w:rsidRPr="00E02273" w:rsidRDefault="00971A08">
            <w:pPr>
              <w:pStyle w:val="zSoquijdatQteJuge"/>
              <w:rPr>
                <w:lang w:val="en-CA"/>
              </w:rPr>
            </w:pPr>
            <w:r w:rsidRPr="00E02273">
              <w:rPr>
                <w:lang w:val="en-CA"/>
              </w:rPr>
              <w:t>THE HONOURABLE</w:t>
            </w:r>
          </w:p>
        </w:tc>
        <w:tc>
          <w:tcPr>
            <w:tcW w:w="5390" w:type="dxa"/>
            <w:gridSpan w:val="2"/>
          </w:tcPr>
          <w:p w14:paraId="69278BAA" w14:textId="77777777" w:rsidR="00B568AD" w:rsidRPr="005219AB" w:rsidRDefault="002D51A4">
            <w:pPr>
              <w:pStyle w:val="zSoquijdatJuge"/>
            </w:pPr>
            <w:bookmarkStart w:id="2" w:name="NomJuge1"/>
            <w:r w:rsidRPr="005219AB">
              <w:t>ROBERT M. MAINVILLE, J.A.</w:t>
            </w:r>
            <w:bookmarkEnd w:id="2"/>
          </w:p>
          <w:p w14:paraId="2D25F045" w14:textId="77777777" w:rsidR="00B568AD" w:rsidRPr="005219AB" w:rsidRDefault="002D51A4">
            <w:pPr>
              <w:pStyle w:val="zSoquijdatJuge"/>
            </w:pPr>
            <w:bookmarkStart w:id="3" w:name="NomJuge2"/>
            <w:r w:rsidRPr="005219AB">
              <w:t>BENOÎT MOORE, J.A.</w:t>
            </w:r>
            <w:bookmarkEnd w:id="3"/>
          </w:p>
          <w:p w14:paraId="237F560B" w14:textId="77777777" w:rsidR="00B568AD" w:rsidRPr="005219AB" w:rsidRDefault="002D51A4" w:rsidP="00971A08">
            <w:pPr>
              <w:pStyle w:val="zSoquijdatJuge"/>
            </w:pPr>
            <w:bookmarkStart w:id="4" w:name="_Hlt520513784"/>
            <w:bookmarkStart w:id="5" w:name="NomJuge3"/>
            <w:bookmarkEnd w:id="4"/>
            <w:r w:rsidRPr="005219AB">
              <w:t>GUY COURNOYER, J.A.</w:t>
            </w:r>
            <w:bookmarkEnd w:id="5"/>
          </w:p>
        </w:tc>
      </w:tr>
      <w:tr w:rsidR="00F145CD" w:rsidRPr="00E02273" w14:paraId="6C5DF2BA" w14:textId="77777777" w:rsidTr="00B568AD">
        <w:tc>
          <w:tcPr>
            <w:tcW w:w="9360" w:type="dxa"/>
            <w:gridSpan w:val="6"/>
            <w:tcBorders>
              <w:bottom w:val="single" w:sz="8" w:space="0" w:color="auto"/>
            </w:tcBorders>
          </w:tcPr>
          <w:p w14:paraId="1E98F0E3" w14:textId="77777777" w:rsidR="00B568AD" w:rsidRPr="005219AB" w:rsidRDefault="00B568AD"/>
        </w:tc>
      </w:tr>
      <w:tr w:rsidR="00F145CD" w:rsidRPr="00E02273" w14:paraId="09372681" w14:textId="77777777" w:rsidTr="00B568AD">
        <w:tc>
          <w:tcPr>
            <w:tcW w:w="9360" w:type="dxa"/>
            <w:gridSpan w:val="6"/>
          </w:tcPr>
          <w:p w14:paraId="6B35C799" w14:textId="77777777" w:rsidR="00B568AD" w:rsidRPr="005219AB" w:rsidRDefault="00B568AD">
            <w:pPr>
              <w:pStyle w:val="zSoquijlblTitrePartie"/>
            </w:pPr>
          </w:p>
        </w:tc>
      </w:tr>
      <w:tr w:rsidR="00F145CD" w:rsidRPr="00E02273" w14:paraId="06F97A3E" w14:textId="77777777" w:rsidTr="00B568AD">
        <w:tc>
          <w:tcPr>
            <w:tcW w:w="9360" w:type="dxa"/>
            <w:gridSpan w:val="6"/>
          </w:tcPr>
          <w:p w14:paraId="23CCE853" w14:textId="77777777" w:rsidR="00B568AD" w:rsidRPr="00E02273" w:rsidRDefault="002D51A4">
            <w:pPr>
              <w:pStyle w:val="zSoquijdatNomPartieDem"/>
              <w:rPr>
                <w:lang w:val="en-CA"/>
              </w:rPr>
            </w:pPr>
            <w:r w:rsidRPr="00E02273">
              <w:rPr>
                <w:lang w:val="en-CA"/>
              </w:rPr>
              <w:t>MERCK CANADA INC.</w:t>
            </w:r>
          </w:p>
        </w:tc>
      </w:tr>
      <w:tr w:rsidR="00F145CD" w:rsidRPr="00E02273" w14:paraId="65E193F6" w14:textId="77777777" w:rsidTr="00B568AD">
        <w:tc>
          <w:tcPr>
            <w:tcW w:w="9360" w:type="dxa"/>
            <w:gridSpan w:val="6"/>
          </w:tcPr>
          <w:p w14:paraId="2BD357F1" w14:textId="77777777" w:rsidR="00B568AD" w:rsidRPr="00E02273" w:rsidRDefault="002D51A4">
            <w:pPr>
              <w:pStyle w:val="zSoquijdatNomPartieDem"/>
              <w:rPr>
                <w:lang w:val="en-CA"/>
              </w:rPr>
            </w:pPr>
            <w:r w:rsidRPr="00E02273">
              <w:rPr>
                <w:lang w:val="en-CA"/>
              </w:rPr>
              <w:t>JANSSEN CANADA INC.</w:t>
            </w:r>
          </w:p>
        </w:tc>
      </w:tr>
      <w:tr w:rsidR="00F145CD" w:rsidRPr="00E02273" w14:paraId="15670119" w14:textId="77777777" w:rsidTr="00B568AD">
        <w:tc>
          <w:tcPr>
            <w:tcW w:w="9360" w:type="dxa"/>
            <w:gridSpan w:val="6"/>
          </w:tcPr>
          <w:p w14:paraId="19F63549" w14:textId="77777777" w:rsidR="00B568AD" w:rsidRPr="00E02273" w:rsidRDefault="002D51A4">
            <w:pPr>
              <w:pStyle w:val="zSoquijdatNomPartieDem"/>
              <w:rPr>
                <w:lang w:val="en-CA"/>
              </w:rPr>
            </w:pPr>
            <w:r w:rsidRPr="00E02273">
              <w:rPr>
                <w:lang w:val="en-CA"/>
              </w:rPr>
              <w:t>SERVIER CANADA INC.</w:t>
            </w:r>
          </w:p>
        </w:tc>
      </w:tr>
      <w:tr w:rsidR="00F145CD" w:rsidRPr="003F65E5" w14:paraId="7914B916" w14:textId="77777777" w:rsidTr="00B568AD">
        <w:tc>
          <w:tcPr>
            <w:tcW w:w="9360" w:type="dxa"/>
            <w:gridSpan w:val="6"/>
          </w:tcPr>
          <w:p w14:paraId="2BA1CBD0" w14:textId="77777777" w:rsidR="00B568AD" w:rsidRPr="00E02273" w:rsidRDefault="002D51A4" w:rsidP="00B568AD">
            <w:pPr>
              <w:pStyle w:val="zSoquijdatNomPartieDem"/>
              <w:rPr>
                <w:lang w:val="en-CA"/>
              </w:rPr>
            </w:pPr>
            <w:r w:rsidRPr="00E02273">
              <w:rPr>
                <w:lang w:val="en-CA"/>
              </w:rPr>
              <w:t>BOEHRINGER INGELHEIM (CANADA) LTD. /LTÉE</w:t>
            </w:r>
          </w:p>
        </w:tc>
      </w:tr>
      <w:tr w:rsidR="00F145CD" w:rsidRPr="00E02273" w14:paraId="3C735755" w14:textId="77777777" w:rsidTr="00B568AD">
        <w:tc>
          <w:tcPr>
            <w:tcW w:w="9360" w:type="dxa"/>
            <w:gridSpan w:val="6"/>
          </w:tcPr>
          <w:p w14:paraId="2B0D689F" w14:textId="77777777" w:rsidR="00B568AD" w:rsidRPr="00E02273" w:rsidRDefault="002D51A4">
            <w:pPr>
              <w:pStyle w:val="zSoquijdatNomPartieDem"/>
              <w:rPr>
                <w:lang w:val="en-CA"/>
              </w:rPr>
            </w:pPr>
            <w:r w:rsidRPr="00E02273">
              <w:rPr>
                <w:lang w:val="en-CA"/>
              </w:rPr>
              <w:t>BAYER INC.</w:t>
            </w:r>
          </w:p>
        </w:tc>
      </w:tr>
      <w:tr w:rsidR="00F145CD" w:rsidRPr="00E02273" w14:paraId="431578F6" w14:textId="77777777" w:rsidTr="00B568AD">
        <w:tc>
          <w:tcPr>
            <w:tcW w:w="9360" w:type="dxa"/>
            <w:gridSpan w:val="6"/>
          </w:tcPr>
          <w:p w14:paraId="2FEA1ADE" w14:textId="77777777" w:rsidR="00B568AD" w:rsidRPr="00E02273" w:rsidRDefault="002D51A4">
            <w:pPr>
              <w:pStyle w:val="zSoquijdatNomPartieDem"/>
              <w:rPr>
                <w:lang w:val="en-CA"/>
              </w:rPr>
            </w:pPr>
            <w:r w:rsidRPr="00E02273">
              <w:rPr>
                <w:lang w:val="en-CA"/>
              </w:rPr>
              <w:t>THERATECHNOLOGIES INC.</w:t>
            </w:r>
          </w:p>
        </w:tc>
      </w:tr>
      <w:tr w:rsidR="00F145CD" w:rsidRPr="00E02273" w14:paraId="69546659" w14:textId="77777777" w:rsidTr="00B568AD">
        <w:tc>
          <w:tcPr>
            <w:tcW w:w="9360" w:type="dxa"/>
            <w:gridSpan w:val="6"/>
          </w:tcPr>
          <w:p w14:paraId="29CE45B1" w14:textId="77777777" w:rsidR="00B568AD" w:rsidRPr="00E02273" w:rsidRDefault="002D51A4">
            <w:pPr>
              <w:pStyle w:val="zSoquijdatNomPartieDem"/>
              <w:rPr>
                <w:lang w:val="en-CA"/>
              </w:rPr>
            </w:pPr>
            <w:r w:rsidRPr="00E02273">
              <w:rPr>
                <w:lang w:val="en-CA"/>
              </w:rPr>
              <w:t>AVIR PHARMA INC.</w:t>
            </w:r>
          </w:p>
        </w:tc>
      </w:tr>
      <w:tr w:rsidR="00F145CD" w:rsidRPr="00E02273" w14:paraId="76E965E2" w14:textId="77777777" w:rsidTr="00B568AD">
        <w:tc>
          <w:tcPr>
            <w:tcW w:w="9360" w:type="dxa"/>
            <w:gridSpan w:val="6"/>
          </w:tcPr>
          <w:p w14:paraId="65E7565F" w14:textId="177198A6" w:rsidR="00B568AD" w:rsidRPr="00E02273" w:rsidRDefault="00971A08">
            <w:pPr>
              <w:pStyle w:val="zSoquijdatQtePartieDem"/>
              <w:rPr>
                <w:lang w:val="en-CA"/>
              </w:rPr>
            </w:pPr>
            <w:r w:rsidRPr="00E02273">
              <w:rPr>
                <w:lang w:val="en-CA"/>
              </w:rPr>
              <w:t xml:space="preserve">APPELLANTS / INCIDENTAL RESPONDENTS – </w:t>
            </w:r>
            <w:r w:rsidR="000B2ECB">
              <w:rPr>
                <w:lang w:val="en-CA"/>
              </w:rPr>
              <w:t>P</w:t>
            </w:r>
            <w:r w:rsidRPr="00E02273">
              <w:rPr>
                <w:lang w:val="en-CA"/>
              </w:rPr>
              <w:t>laintiffs</w:t>
            </w:r>
          </w:p>
        </w:tc>
      </w:tr>
      <w:tr w:rsidR="00F145CD" w:rsidRPr="00E02273" w14:paraId="73D103F3" w14:textId="77777777" w:rsidTr="00B568AD">
        <w:tc>
          <w:tcPr>
            <w:tcW w:w="9360" w:type="dxa"/>
            <w:gridSpan w:val="6"/>
          </w:tcPr>
          <w:p w14:paraId="72F6741A" w14:textId="77777777" w:rsidR="00B568AD" w:rsidRPr="00E02273" w:rsidRDefault="00971A08">
            <w:pPr>
              <w:pStyle w:val="zSoquijlblLienParties"/>
              <w:rPr>
                <w:lang w:val="en-CA"/>
              </w:rPr>
            </w:pPr>
            <w:r w:rsidRPr="00E02273">
              <w:rPr>
                <w:lang w:val="en-CA"/>
              </w:rPr>
              <w:t>v.</w:t>
            </w:r>
          </w:p>
        </w:tc>
      </w:tr>
      <w:tr w:rsidR="00F145CD" w:rsidRPr="00E02273" w14:paraId="4D0A1E77" w14:textId="77777777" w:rsidTr="00B568AD">
        <w:tc>
          <w:tcPr>
            <w:tcW w:w="9360" w:type="dxa"/>
            <w:gridSpan w:val="6"/>
          </w:tcPr>
          <w:p w14:paraId="349180E2" w14:textId="77777777" w:rsidR="00B568AD" w:rsidRPr="00E02273" w:rsidRDefault="00B568AD" w:rsidP="00B568AD">
            <w:pPr>
              <w:rPr>
                <w:lang w:val="en-CA"/>
              </w:rPr>
            </w:pPr>
          </w:p>
        </w:tc>
      </w:tr>
      <w:tr w:rsidR="00F145CD" w:rsidRPr="00E02273" w14:paraId="5A71C345" w14:textId="77777777" w:rsidTr="00B568AD">
        <w:tc>
          <w:tcPr>
            <w:tcW w:w="9360" w:type="dxa"/>
            <w:gridSpan w:val="6"/>
          </w:tcPr>
          <w:p w14:paraId="183F9632" w14:textId="77777777" w:rsidR="00B568AD" w:rsidRPr="00E02273" w:rsidRDefault="00971A08">
            <w:pPr>
              <w:pStyle w:val="zSoquijdatNomPartieDef"/>
              <w:rPr>
                <w:lang w:val="en-CA"/>
              </w:rPr>
            </w:pPr>
            <w:r w:rsidRPr="00E02273">
              <w:rPr>
                <w:lang w:val="en-CA"/>
              </w:rPr>
              <w:t>ATTORNEY GENERAL OF CANADA</w:t>
            </w:r>
          </w:p>
        </w:tc>
      </w:tr>
      <w:tr w:rsidR="00F145CD" w:rsidRPr="00E02273" w14:paraId="632FE7FE" w14:textId="77777777" w:rsidTr="00B568AD">
        <w:tc>
          <w:tcPr>
            <w:tcW w:w="9360" w:type="dxa"/>
            <w:gridSpan w:val="6"/>
          </w:tcPr>
          <w:p w14:paraId="595D165E" w14:textId="77777777" w:rsidR="00B568AD" w:rsidRPr="00E02273" w:rsidRDefault="00971A08">
            <w:pPr>
              <w:pStyle w:val="zSoquijdatQtePartieDef"/>
              <w:rPr>
                <w:lang w:val="en-CA"/>
              </w:rPr>
            </w:pPr>
            <w:r w:rsidRPr="00E02273">
              <w:rPr>
                <w:lang w:val="en-CA"/>
              </w:rPr>
              <w:t>RESPONDENT / INCIDENTAL APPELLANT – Defendant</w:t>
            </w:r>
          </w:p>
        </w:tc>
      </w:tr>
      <w:tr w:rsidR="00F145CD" w:rsidRPr="00E02273" w14:paraId="23EC1A44" w14:textId="77777777" w:rsidTr="00B568AD">
        <w:tc>
          <w:tcPr>
            <w:tcW w:w="9360" w:type="dxa"/>
            <w:gridSpan w:val="6"/>
          </w:tcPr>
          <w:p w14:paraId="3FE3DEEE" w14:textId="77777777" w:rsidR="00B568AD" w:rsidRPr="00E02273" w:rsidRDefault="00971A08" w:rsidP="00B568AD">
            <w:pPr>
              <w:pStyle w:val="zSoquijlblLienParties"/>
              <w:rPr>
                <w:lang w:val="en-CA"/>
              </w:rPr>
            </w:pPr>
            <w:r w:rsidRPr="00E02273">
              <w:rPr>
                <w:lang w:val="en-CA"/>
              </w:rPr>
              <w:t>and</w:t>
            </w:r>
          </w:p>
        </w:tc>
      </w:tr>
      <w:tr w:rsidR="00F145CD" w:rsidRPr="00E02273" w14:paraId="471317BB" w14:textId="77777777" w:rsidTr="00B568AD">
        <w:tc>
          <w:tcPr>
            <w:tcW w:w="9360" w:type="dxa"/>
            <w:gridSpan w:val="6"/>
          </w:tcPr>
          <w:p w14:paraId="33B87952" w14:textId="77777777" w:rsidR="00B568AD" w:rsidRPr="00E02273" w:rsidRDefault="00B568AD" w:rsidP="00B568AD">
            <w:pPr>
              <w:rPr>
                <w:lang w:val="en-CA"/>
              </w:rPr>
            </w:pPr>
          </w:p>
        </w:tc>
      </w:tr>
      <w:tr w:rsidR="00F145CD" w:rsidRPr="00E02273" w14:paraId="16D3C999" w14:textId="77777777" w:rsidTr="00B568AD">
        <w:tc>
          <w:tcPr>
            <w:tcW w:w="9360" w:type="dxa"/>
            <w:gridSpan w:val="6"/>
          </w:tcPr>
          <w:p w14:paraId="42822BB6" w14:textId="77777777" w:rsidR="00B568AD" w:rsidRPr="00E02273" w:rsidRDefault="00971A08" w:rsidP="00B568AD">
            <w:pPr>
              <w:pStyle w:val="zSoquijdatNomPartieDef"/>
              <w:rPr>
                <w:lang w:val="en-CA"/>
              </w:rPr>
            </w:pPr>
            <w:r w:rsidRPr="00E02273">
              <w:rPr>
                <w:lang w:val="en-CA"/>
              </w:rPr>
              <w:t>ATTORNEY GENERAL OF QUEBEC</w:t>
            </w:r>
          </w:p>
        </w:tc>
      </w:tr>
      <w:tr w:rsidR="00F145CD" w:rsidRPr="00E02273" w14:paraId="02EA18B7" w14:textId="77777777" w:rsidTr="00B568AD">
        <w:tc>
          <w:tcPr>
            <w:tcW w:w="9360" w:type="dxa"/>
            <w:gridSpan w:val="6"/>
          </w:tcPr>
          <w:p w14:paraId="55E9BC4F" w14:textId="77777777" w:rsidR="00B568AD" w:rsidRPr="00E02273" w:rsidRDefault="00971A08" w:rsidP="00B568AD">
            <w:pPr>
              <w:pStyle w:val="zSoquijdatQtePartieDef"/>
              <w:rPr>
                <w:lang w:val="en-CA"/>
              </w:rPr>
            </w:pPr>
            <w:r w:rsidRPr="00E02273">
              <w:rPr>
                <w:lang w:val="en-CA"/>
              </w:rPr>
              <w:t>IMPLEADED PARTY – Impleaded Party</w:t>
            </w:r>
          </w:p>
        </w:tc>
      </w:tr>
      <w:tr w:rsidR="00F145CD" w:rsidRPr="00E02273" w14:paraId="735F3E1D" w14:textId="77777777" w:rsidTr="00B568AD">
        <w:tc>
          <w:tcPr>
            <w:tcW w:w="9360" w:type="dxa"/>
            <w:gridSpan w:val="6"/>
          </w:tcPr>
          <w:p w14:paraId="69C2DB2D" w14:textId="77777777" w:rsidR="00B568AD" w:rsidRPr="00E02273" w:rsidRDefault="00971A08" w:rsidP="00B568AD">
            <w:pPr>
              <w:pStyle w:val="zSoquijlblLienParties"/>
              <w:rPr>
                <w:lang w:val="en-CA"/>
              </w:rPr>
            </w:pPr>
            <w:r w:rsidRPr="00E02273">
              <w:rPr>
                <w:lang w:val="en-CA"/>
              </w:rPr>
              <w:t>and</w:t>
            </w:r>
          </w:p>
        </w:tc>
      </w:tr>
      <w:tr w:rsidR="00F145CD" w:rsidRPr="00E02273" w14:paraId="2BE5CC7A" w14:textId="77777777" w:rsidTr="00B568AD">
        <w:tc>
          <w:tcPr>
            <w:tcW w:w="9360" w:type="dxa"/>
            <w:gridSpan w:val="6"/>
          </w:tcPr>
          <w:p w14:paraId="27DEDD8A" w14:textId="77777777" w:rsidR="00B568AD" w:rsidRPr="00E02273" w:rsidRDefault="00B568AD" w:rsidP="00B568AD">
            <w:pPr>
              <w:rPr>
                <w:lang w:val="en-CA"/>
              </w:rPr>
            </w:pPr>
          </w:p>
        </w:tc>
      </w:tr>
      <w:tr w:rsidR="00F145CD" w:rsidRPr="003F65E5" w14:paraId="66D3A3F0" w14:textId="77777777" w:rsidTr="00B568AD">
        <w:tc>
          <w:tcPr>
            <w:tcW w:w="9360" w:type="dxa"/>
            <w:gridSpan w:val="6"/>
          </w:tcPr>
          <w:p w14:paraId="29E239E4" w14:textId="77777777" w:rsidR="00B568AD" w:rsidRPr="00E02273" w:rsidRDefault="00971A08" w:rsidP="00B568AD">
            <w:pPr>
              <w:pStyle w:val="zSoquijdatNomPartieDef"/>
              <w:rPr>
                <w:lang w:val="en-CA"/>
              </w:rPr>
            </w:pPr>
            <w:r w:rsidRPr="00E02273">
              <w:rPr>
                <w:lang w:val="en-CA"/>
              </w:rPr>
              <w:t>CANADIAN CYSTIC FIBROSIS TREATMENT SOCIETY</w:t>
            </w:r>
          </w:p>
        </w:tc>
      </w:tr>
      <w:tr w:rsidR="00F145CD" w:rsidRPr="00E02273" w14:paraId="53F59ED8" w14:textId="77777777" w:rsidTr="00B568AD">
        <w:tc>
          <w:tcPr>
            <w:tcW w:w="9360" w:type="dxa"/>
            <w:gridSpan w:val="6"/>
          </w:tcPr>
          <w:p w14:paraId="60450C4C" w14:textId="77777777" w:rsidR="00B568AD" w:rsidRPr="00E02273" w:rsidRDefault="002D51A4" w:rsidP="00B568AD">
            <w:pPr>
              <w:pStyle w:val="zSoquijdatNomPartieDef"/>
              <w:rPr>
                <w:lang w:val="en-CA"/>
              </w:rPr>
            </w:pPr>
            <w:r w:rsidRPr="00E02273">
              <w:rPr>
                <w:lang w:val="en-CA"/>
              </w:rPr>
              <w:t>CYSTIC FIBROSIS CANADA</w:t>
            </w:r>
          </w:p>
        </w:tc>
      </w:tr>
      <w:tr w:rsidR="00F145CD" w:rsidRPr="003F65E5" w14:paraId="538EB74B" w14:textId="77777777" w:rsidTr="00B568AD">
        <w:tc>
          <w:tcPr>
            <w:tcW w:w="9360" w:type="dxa"/>
            <w:gridSpan w:val="6"/>
          </w:tcPr>
          <w:p w14:paraId="10DB9924" w14:textId="77777777" w:rsidR="00B568AD" w:rsidRPr="00E02273" w:rsidRDefault="002D51A4" w:rsidP="00B568AD">
            <w:pPr>
              <w:pStyle w:val="zSoquijdatNomPartieDef"/>
              <w:rPr>
                <w:lang w:val="en-CA"/>
              </w:rPr>
            </w:pPr>
            <w:r w:rsidRPr="00E02273">
              <w:rPr>
                <w:lang w:val="en-CA"/>
              </w:rPr>
              <w:t>CANADIAN ORGANIZATION FOR RARE DISORDERS</w:t>
            </w:r>
          </w:p>
        </w:tc>
      </w:tr>
      <w:tr w:rsidR="00F145CD" w:rsidRPr="00E02273" w14:paraId="09B06D28" w14:textId="77777777" w:rsidTr="00B568AD">
        <w:tc>
          <w:tcPr>
            <w:tcW w:w="9360" w:type="dxa"/>
            <w:gridSpan w:val="6"/>
          </w:tcPr>
          <w:p w14:paraId="251AA173" w14:textId="77777777" w:rsidR="00B568AD" w:rsidRPr="00E02273" w:rsidRDefault="002D51A4" w:rsidP="00B568AD">
            <w:pPr>
              <w:pStyle w:val="zSoquijdatNomPartieDef"/>
              <w:rPr>
                <w:lang w:val="en-CA"/>
              </w:rPr>
            </w:pPr>
            <w:r w:rsidRPr="00E02273">
              <w:rPr>
                <w:lang w:val="en-CA"/>
              </w:rPr>
              <w:t>BIOTECANADA</w:t>
            </w:r>
          </w:p>
        </w:tc>
      </w:tr>
      <w:tr w:rsidR="00F145CD" w:rsidRPr="00E02273" w14:paraId="66117F98" w14:textId="77777777" w:rsidTr="00B568AD">
        <w:tc>
          <w:tcPr>
            <w:tcW w:w="9360" w:type="dxa"/>
            <w:gridSpan w:val="6"/>
          </w:tcPr>
          <w:p w14:paraId="505849BC" w14:textId="129B0F88" w:rsidR="00B568AD" w:rsidRPr="00E02273" w:rsidRDefault="00971A08" w:rsidP="00B972EC">
            <w:pPr>
              <w:pStyle w:val="zSoquijdatQtePartieDef"/>
              <w:rPr>
                <w:lang w:val="en-CA"/>
              </w:rPr>
            </w:pPr>
            <w:r w:rsidRPr="00E02273">
              <w:rPr>
                <w:lang w:val="en-CA"/>
              </w:rPr>
              <w:t>IMPLEADED PARTIES – Interven</w:t>
            </w:r>
            <w:r w:rsidR="00B972EC" w:rsidRPr="00E02273">
              <w:rPr>
                <w:lang w:val="en-CA"/>
              </w:rPr>
              <w:t>o</w:t>
            </w:r>
            <w:r w:rsidRPr="00E02273">
              <w:rPr>
                <w:lang w:val="en-CA"/>
              </w:rPr>
              <w:t>rs</w:t>
            </w:r>
          </w:p>
        </w:tc>
      </w:tr>
      <w:tr w:rsidR="00F145CD" w:rsidRPr="00E02273" w14:paraId="1514EF32" w14:textId="77777777" w:rsidTr="00B568AD">
        <w:tc>
          <w:tcPr>
            <w:tcW w:w="9360" w:type="dxa"/>
            <w:gridSpan w:val="6"/>
            <w:tcBorders>
              <w:bottom w:val="single" w:sz="4" w:space="0" w:color="auto"/>
            </w:tcBorders>
          </w:tcPr>
          <w:p w14:paraId="4858E34D" w14:textId="77777777" w:rsidR="00B568AD" w:rsidRPr="00E02273" w:rsidRDefault="00B568AD" w:rsidP="00B568AD">
            <w:pPr>
              <w:rPr>
                <w:lang w:val="en-CA"/>
              </w:rPr>
            </w:pPr>
          </w:p>
        </w:tc>
      </w:tr>
      <w:tr w:rsidR="00F145CD" w:rsidRPr="00E02273" w14:paraId="44C06C72" w14:textId="77777777" w:rsidTr="00B568AD">
        <w:tc>
          <w:tcPr>
            <w:tcW w:w="9360" w:type="dxa"/>
            <w:gridSpan w:val="6"/>
            <w:tcBorders>
              <w:top w:val="single" w:sz="4" w:space="0" w:color="auto"/>
            </w:tcBorders>
          </w:tcPr>
          <w:p w14:paraId="5F290C0E" w14:textId="77777777" w:rsidR="00B568AD" w:rsidRPr="00E02273" w:rsidRDefault="00B568AD" w:rsidP="00B568AD">
            <w:pPr>
              <w:rPr>
                <w:lang w:val="en-CA"/>
              </w:rPr>
            </w:pPr>
          </w:p>
        </w:tc>
      </w:tr>
      <w:tr w:rsidR="00F145CD" w:rsidRPr="00E02273" w14:paraId="074976E2" w14:textId="77777777" w:rsidTr="00B568AD">
        <w:tc>
          <w:tcPr>
            <w:tcW w:w="9360" w:type="dxa"/>
            <w:gridSpan w:val="6"/>
          </w:tcPr>
          <w:p w14:paraId="250D38D1" w14:textId="77777777" w:rsidR="00B568AD" w:rsidRPr="00E02273" w:rsidRDefault="00B568AD">
            <w:pPr>
              <w:rPr>
                <w:lang w:val="en-CA"/>
              </w:rPr>
            </w:pPr>
          </w:p>
        </w:tc>
      </w:tr>
      <w:tr w:rsidR="00F145CD" w:rsidRPr="00E02273" w14:paraId="60C19092" w14:textId="77777777" w:rsidTr="00B568AD">
        <w:tc>
          <w:tcPr>
            <w:tcW w:w="9360" w:type="dxa"/>
            <w:gridSpan w:val="6"/>
            <w:tcBorders>
              <w:top w:val="single" w:sz="8" w:space="0" w:color="auto"/>
            </w:tcBorders>
          </w:tcPr>
          <w:p w14:paraId="28625E1F" w14:textId="77777777" w:rsidR="00B568AD" w:rsidRPr="00E02273" w:rsidRDefault="00B568AD">
            <w:pPr>
              <w:rPr>
                <w:lang w:val="en-CA"/>
              </w:rPr>
            </w:pPr>
            <w:bookmarkStart w:id="6" w:name="Arret"/>
          </w:p>
        </w:tc>
      </w:tr>
      <w:tr w:rsidR="00F145CD" w:rsidRPr="00E02273" w14:paraId="6DCC0A3E" w14:textId="77777777" w:rsidTr="00B568AD">
        <w:tc>
          <w:tcPr>
            <w:tcW w:w="9360" w:type="dxa"/>
            <w:gridSpan w:val="6"/>
          </w:tcPr>
          <w:p w14:paraId="7CD40B8D" w14:textId="77777777" w:rsidR="00B568AD" w:rsidRPr="00E02273" w:rsidRDefault="00971A08">
            <w:pPr>
              <w:pStyle w:val="zSoquijlblTypeDocument"/>
              <w:rPr>
                <w:lang w:val="en-CA"/>
              </w:rPr>
            </w:pPr>
            <w:r w:rsidRPr="00E02273">
              <w:rPr>
                <w:lang w:val="en-CA"/>
              </w:rPr>
              <w:t>JUDGMENT</w:t>
            </w:r>
          </w:p>
        </w:tc>
      </w:tr>
      <w:tr w:rsidR="00F145CD" w:rsidRPr="00E02273" w14:paraId="0FF5EBC5" w14:textId="77777777" w:rsidTr="00B568AD">
        <w:tc>
          <w:tcPr>
            <w:tcW w:w="9360" w:type="dxa"/>
            <w:gridSpan w:val="6"/>
            <w:tcBorders>
              <w:bottom w:val="single" w:sz="8" w:space="0" w:color="auto"/>
            </w:tcBorders>
          </w:tcPr>
          <w:p w14:paraId="47B1EDA0" w14:textId="77777777" w:rsidR="00B568AD" w:rsidRPr="00E02273" w:rsidRDefault="00B568AD">
            <w:pPr>
              <w:rPr>
                <w:lang w:val="en-CA"/>
              </w:rPr>
            </w:pPr>
          </w:p>
        </w:tc>
      </w:tr>
      <w:tr w:rsidR="00F145CD" w:rsidRPr="00E02273" w14:paraId="28C0578F" w14:textId="77777777" w:rsidTr="00B568AD">
        <w:tc>
          <w:tcPr>
            <w:tcW w:w="9360" w:type="dxa"/>
            <w:gridSpan w:val="6"/>
            <w:tcBorders>
              <w:top w:val="single" w:sz="8" w:space="0" w:color="auto"/>
            </w:tcBorders>
          </w:tcPr>
          <w:p w14:paraId="68629378" w14:textId="77777777" w:rsidR="00B568AD" w:rsidRPr="00E02273" w:rsidRDefault="00B568AD">
            <w:pPr>
              <w:rPr>
                <w:lang w:val="en-CA"/>
              </w:rPr>
            </w:pPr>
          </w:p>
        </w:tc>
      </w:tr>
    </w:tbl>
    <w:p w14:paraId="75EBD12D" w14:textId="44B22BE9" w:rsidR="00B568AD" w:rsidRPr="00E02273" w:rsidRDefault="00B568AD" w:rsidP="00026602">
      <w:pPr>
        <w:pStyle w:val="Paragraphe"/>
        <w:tabs>
          <w:tab w:val="clear" w:pos="360"/>
          <w:tab w:val="num" w:pos="426"/>
        </w:tabs>
        <w:spacing w:before="240" w:line="240" w:lineRule="auto"/>
        <w:ind w:left="426" w:hanging="426"/>
        <w:rPr>
          <w:lang w:val="en-CA"/>
        </w:rPr>
      </w:pPr>
      <w:r w:rsidRPr="00E02273">
        <w:rPr>
          <w:lang w:val="en-CA"/>
        </w:rPr>
        <w:t xml:space="preserve">The </w:t>
      </w:r>
      <w:r w:rsidR="002D51A4" w:rsidRPr="00E02273">
        <w:rPr>
          <w:lang w:val="en-CA"/>
        </w:rPr>
        <w:t>pharmaceutical</w:t>
      </w:r>
      <w:r w:rsidRPr="00E02273">
        <w:rPr>
          <w:lang w:val="en-CA"/>
        </w:rPr>
        <w:t xml:space="preserve"> </w:t>
      </w:r>
      <w:r w:rsidR="002D51A4" w:rsidRPr="00E02273">
        <w:rPr>
          <w:lang w:val="en-CA"/>
        </w:rPr>
        <w:t>companie</w:t>
      </w:r>
      <w:r w:rsidRPr="00E02273">
        <w:rPr>
          <w:lang w:val="en-CA"/>
        </w:rPr>
        <w:t>s</w:t>
      </w:r>
      <w:r w:rsidR="002D51A4" w:rsidRPr="00E02273">
        <w:rPr>
          <w:lang w:val="en-CA"/>
        </w:rPr>
        <w:t xml:space="preserve"> appeal</w:t>
      </w:r>
      <w:r w:rsidRPr="00E02273">
        <w:rPr>
          <w:lang w:val="en-CA"/>
        </w:rPr>
        <w:t xml:space="preserve"> from the </w:t>
      </w:r>
      <w:r w:rsidR="002D51A4" w:rsidRPr="00E02273">
        <w:rPr>
          <w:lang w:val="en-CA"/>
        </w:rPr>
        <w:t>ju</w:t>
      </w:r>
      <w:r w:rsidRPr="00E02273">
        <w:rPr>
          <w:lang w:val="en-CA"/>
        </w:rPr>
        <w:t>d</w:t>
      </w:r>
      <w:r w:rsidR="002D51A4" w:rsidRPr="00E02273">
        <w:rPr>
          <w:lang w:val="en-CA"/>
        </w:rPr>
        <w:t xml:space="preserve">gment </w:t>
      </w:r>
      <w:r w:rsidR="000D6BEC" w:rsidRPr="00E02273">
        <w:rPr>
          <w:lang w:val="en-CA"/>
        </w:rPr>
        <w:t>dated</w:t>
      </w:r>
      <w:r w:rsidRPr="00E02273">
        <w:rPr>
          <w:lang w:val="en-CA"/>
        </w:rPr>
        <w:t xml:space="preserve"> </w:t>
      </w:r>
      <w:r w:rsidR="002D51A4" w:rsidRPr="00E02273">
        <w:rPr>
          <w:lang w:val="en-CA"/>
        </w:rPr>
        <w:t>December</w:t>
      </w:r>
      <w:r w:rsidRPr="00E02273">
        <w:rPr>
          <w:lang w:val="en-CA"/>
        </w:rPr>
        <w:t xml:space="preserve"> 18,</w:t>
      </w:r>
      <w:r w:rsidR="002D51A4" w:rsidRPr="00E02273">
        <w:rPr>
          <w:lang w:val="en-CA"/>
        </w:rPr>
        <w:t xml:space="preserve"> 2020</w:t>
      </w:r>
      <w:r w:rsidR="000D6BEC" w:rsidRPr="00E02273">
        <w:rPr>
          <w:lang w:val="en-CA"/>
        </w:rPr>
        <w:t xml:space="preserve"> (</w:t>
      </w:r>
      <w:r w:rsidRPr="00E02273">
        <w:rPr>
          <w:lang w:val="en-CA"/>
        </w:rPr>
        <w:t>the H</w:t>
      </w:r>
      <w:r w:rsidR="002D51A4" w:rsidRPr="00E02273">
        <w:rPr>
          <w:lang w:val="en-CA"/>
        </w:rPr>
        <w:t>onourable Sophie Picard</w:t>
      </w:r>
      <w:r w:rsidR="000D6BEC" w:rsidRPr="00E02273">
        <w:rPr>
          <w:lang w:val="en-CA"/>
        </w:rPr>
        <w:t xml:space="preserve">, J.S.C., </w:t>
      </w:r>
      <w:r w:rsidR="002D51A4" w:rsidRPr="00E02273">
        <w:rPr>
          <w:lang w:val="en-CA"/>
        </w:rPr>
        <w:t>District</w:t>
      </w:r>
      <w:r w:rsidR="00912043" w:rsidRPr="00E02273">
        <w:rPr>
          <w:lang w:val="en-CA"/>
        </w:rPr>
        <w:t xml:space="preserve"> </w:t>
      </w:r>
      <w:r w:rsidR="002D51A4" w:rsidRPr="00E02273">
        <w:rPr>
          <w:lang w:val="en-CA"/>
        </w:rPr>
        <w:t>of</w:t>
      </w:r>
      <w:r w:rsidR="00912043" w:rsidRPr="00E02273">
        <w:rPr>
          <w:lang w:val="en-CA"/>
        </w:rPr>
        <w:t xml:space="preserve"> </w:t>
      </w:r>
      <w:r w:rsidR="002D51A4" w:rsidRPr="00E02273">
        <w:rPr>
          <w:lang w:val="en-CA"/>
        </w:rPr>
        <w:t>Montreal</w:t>
      </w:r>
      <w:r w:rsidR="000D6BEC" w:rsidRPr="00E02273">
        <w:rPr>
          <w:lang w:val="en-CA"/>
        </w:rPr>
        <w:t>)</w:t>
      </w:r>
      <w:r w:rsidR="002D51A4" w:rsidRPr="00E02273">
        <w:rPr>
          <w:lang w:val="en-CA"/>
        </w:rPr>
        <w:t xml:space="preserve">, </w:t>
      </w:r>
      <w:r w:rsidR="00EA5432" w:rsidRPr="00E02273">
        <w:rPr>
          <w:lang w:val="en-CA"/>
        </w:rPr>
        <w:t>the conclusion</w:t>
      </w:r>
      <w:r w:rsidR="000B2ECB">
        <w:rPr>
          <w:lang w:val="en-CA"/>
        </w:rPr>
        <w:t>s</w:t>
      </w:r>
      <w:r w:rsidR="00EA5432" w:rsidRPr="00E02273">
        <w:rPr>
          <w:lang w:val="en-CA"/>
        </w:rPr>
        <w:t xml:space="preserve"> of which read as follows</w:t>
      </w:r>
      <w:r w:rsidR="002D51A4" w:rsidRPr="00E02273">
        <w:rPr>
          <w:lang w:val="en-CA"/>
        </w:rPr>
        <w:t>:</w:t>
      </w:r>
    </w:p>
    <w:p w14:paraId="72C4AF72" w14:textId="77777777" w:rsidR="00971A08" w:rsidRPr="00E02273" w:rsidRDefault="00971A08" w:rsidP="00B568AD">
      <w:pPr>
        <w:pStyle w:val="Citationenretrait"/>
        <w:spacing w:line="240" w:lineRule="auto"/>
        <w:rPr>
          <w:lang w:val="en-CA"/>
        </w:rPr>
      </w:pPr>
      <w:r w:rsidRPr="00E02273">
        <w:rPr>
          <w:lang w:val="en-CA"/>
        </w:rPr>
        <w:t>[</w:t>
      </w:r>
      <w:r w:rsidRPr="00E02273">
        <w:rPr>
          <w:smallCaps/>
          <w:lang w:val="en-CA"/>
        </w:rPr>
        <w:t>translation</w:t>
      </w:r>
      <w:r w:rsidRPr="00E02273">
        <w:rPr>
          <w:lang w:val="en-CA"/>
        </w:rPr>
        <w:t>]</w:t>
      </w:r>
    </w:p>
    <w:p w14:paraId="7E8B8B3E" w14:textId="77777777" w:rsidR="00B568AD" w:rsidRPr="00E02273" w:rsidRDefault="002D51A4" w:rsidP="00B568AD">
      <w:pPr>
        <w:pStyle w:val="Citationenretrait"/>
        <w:spacing w:line="240" w:lineRule="auto"/>
        <w:rPr>
          <w:rFonts w:ascii="Times New Roman" w:hAnsi="Times New Roman"/>
          <w:sz w:val="24"/>
          <w:lang w:val="en-CA" w:eastAsia="fr-CA"/>
        </w:rPr>
      </w:pPr>
      <w:r w:rsidRPr="00E02273">
        <w:rPr>
          <w:lang w:val="en-CA"/>
        </w:rPr>
        <w:t>[</w:t>
      </w:r>
      <w:bookmarkStart w:id="7" w:name="par430"/>
      <w:r w:rsidRPr="00E02273">
        <w:rPr>
          <w:lang w:val="en-CA"/>
        </w:rPr>
        <w:t>430</w:t>
      </w:r>
      <w:bookmarkEnd w:id="7"/>
      <w:r w:rsidRPr="00E02273">
        <w:rPr>
          <w:lang w:val="en-CA"/>
        </w:rPr>
        <w:t>]</w:t>
      </w:r>
      <w:r w:rsidRPr="00E02273">
        <w:rPr>
          <w:sz w:val="14"/>
          <w:szCs w:val="14"/>
          <w:lang w:val="en-CA"/>
        </w:rPr>
        <w:tab/>
      </w:r>
      <w:r w:rsidR="00971A08" w:rsidRPr="00E02273">
        <w:rPr>
          <w:b/>
          <w:bCs/>
          <w:lang w:val="en-CA"/>
        </w:rPr>
        <w:t>GRANTS</w:t>
      </w:r>
      <w:r w:rsidR="00971A08" w:rsidRPr="00E02273">
        <w:rPr>
          <w:bCs/>
          <w:lang w:val="en-CA"/>
        </w:rPr>
        <w:t xml:space="preserve"> in part the application for judicial review;</w:t>
      </w:r>
    </w:p>
    <w:p w14:paraId="4A69B9D7" w14:textId="77777777" w:rsidR="00B568AD" w:rsidRPr="00E02273" w:rsidRDefault="002D51A4" w:rsidP="00B568AD">
      <w:pPr>
        <w:pStyle w:val="Citationenretrait"/>
        <w:spacing w:line="240" w:lineRule="auto"/>
        <w:rPr>
          <w:lang w:val="en-CA"/>
        </w:rPr>
      </w:pPr>
      <w:r w:rsidRPr="00E02273">
        <w:rPr>
          <w:lang w:val="en-CA"/>
        </w:rPr>
        <w:t>[</w:t>
      </w:r>
      <w:bookmarkStart w:id="8" w:name="par431"/>
      <w:r w:rsidRPr="00E02273">
        <w:rPr>
          <w:lang w:val="en-CA"/>
        </w:rPr>
        <w:t>431</w:t>
      </w:r>
      <w:bookmarkEnd w:id="8"/>
      <w:r w:rsidRPr="00E02273">
        <w:rPr>
          <w:lang w:val="en-CA"/>
        </w:rPr>
        <w:t>]</w:t>
      </w:r>
      <w:r w:rsidRPr="00E02273">
        <w:rPr>
          <w:sz w:val="14"/>
          <w:szCs w:val="14"/>
          <w:lang w:val="en-CA"/>
        </w:rPr>
        <w:tab/>
      </w:r>
      <w:r w:rsidR="00971A08" w:rsidRPr="00E02273">
        <w:rPr>
          <w:b/>
          <w:bCs/>
          <w:lang w:val="en-CA"/>
        </w:rPr>
        <w:t>DECLARES</w:t>
      </w:r>
      <w:r w:rsidR="00971A08" w:rsidRPr="00E02273">
        <w:rPr>
          <w:bCs/>
          <w:lang w:val="en-CA"/>
        </w:rPr>
        <w:t xml:space="preserve"> valid ss. 79 to 103 of the </w:t>
      </w:r>
      <w:r w:rsidR="00971A08" w:rsidRPr="00E02273">
        <w:rPr>
          <w:bCs/>
          <w:i/>
          <w:lang w:val="en-CA"/>
        </w:rPr>
        <w:t>Patent Act</w:t>
      </w:r>
      <w:r w:rsidR="00971A08" w:rsidRPr="00E02273">
        <w:rPr>
          <w:bCs/>
          <w:lang w:val="en-CA"/>
        </w:rPr>
        <w:t>, R.S.C. 1985, c. P-4;</w:t>
      </w:r>
    </w:p>
    <w:p w14:paraId="550B51BC" w14:textId="77777777" w:rsidR="00971A08" w:rsidRPr="00E02273" w:rsidRDefault="002D51A4" w:rsidP="00971A08">
      <w:pPr>
        <w:pStyle w:val="Citationenretrait"/>
        <w:spacing w:line="240" w:lineRule="auto"/>
        <w:rPr>
          <w:bCs/>
          <w:lang w:val="en-CA"/>
        </w:rPr>
      </w:pPr>
      <w:r w:rsidRPr="00E02273">
        <w:rPr>
          <w:lang w:val="en-CA"/>
        </w:rPr>
        <w:t>[</w:t>
      </w:r>
      <w:bookmarkStart w:id="9" w:name="par432"/>
      <w:r w:rsidRPr="00E02273">
        <w:rPr>
          <w:lang w:val="en-CA"/>
        </w:rPr>
        <w:t>432</w:t>
      </w:r>
      <w:bookmarkEnd w:id="9"/>
      <w:r w:rsidRPr="00E02273">
        <w:rPr>
          <w:lang w:val="en-CA"/>
        </w:rPr>
        <w:t>]</w:t>
      </w:r>
      <w:r w:rsidRPr="00E02273">
        <w:rPr>
          <w:sz w:val="14"/>
          <w:szCs w:val="14"/>
          <w:lang w:val="en-CA"/>
        </w:rPr>
        <w:tab/>
      </w:r>
      <w:r w:rsidR="00971A08" w:rsidRPr="00E02273">
        <w:rPr>
          <w:b/>
          <w:bCs/>
          <w:lang w:val="en-CA"/>
        </w:rPr>
        <w:t xml:space="preserve">DECLARES </w:t>
      </w:r>
      <w:r w:rsidR="00971A08" w:rsidRPr="00E02273">
        <w:rPr>
          <w:bCs/>
          <w:lang w:val="en-CA"/>
        </w:rPr>
        <w:t xml:space="preserve">valid: (i) the entire </w:t>
      </w:r>
      <w:r w:rsidR="00971A08" w:rsidRPr="00E02273">
        <w:rPr>
          <w:bCs/>
          <w:i/>
          <w:lang w:val="en-CA"/>
        </w:rPr>
        <w:t>Patented Medicines Regulations</w:t>
      </w:r>
      <w:r w:rsidR="00971A08" w:rsidRPr="00E02273">
        <w:rPr>
          <w:bCs/>
          <w:lang w:val="en-CA"/>
        </w:rPr>
        <w:t xml:space="preserve">, SOR/94-688 and (ii) the amendments to the </w:t>
      </w:r>
      <w:r w:rsidR="00971A08" w:rsidRPr="00E02273">
        <w:rPr>
          <w:bCs/>
          <w:i/>
          <w:lang w:val="en-CA"/>
        </w:rPr>
        <w:t>Regulations</w:t>
      </w:r>
      <w:r w:rsidR="00971A08" w:rsidRPr="00E02273">
        <w:rPr>
          <w:bCs/>
          <w:lang w:val="en-CA"/>
        </w:rPr>
        <w:t xml:space="preserve"> published in the </w:t>
      </w:r>
      <w:r w:rsidR="00971A08" w:rsidRPr="00E02273">
        <w:rPr>
          <w:bCs/>
          <w:i/>
          <w:lang w:val="en-CA"/>
        </w:rPr>
        <w:t>Canada Gazette</w:t>
      </w:r>
      <w:r w:rsidR="00971A08" w:rsidRPr="00E02273">
        <w:rPr>
          <w:bCs/>
          <w:lang w:val="en-CA"/>
        </w:rPr>
        <w:t>, Part II, on August 21, 2019 (</w:t>
      </w:r>
      <w:r w:rsidR="00971A08" w:rsidRPr="00E02273">
        <w:rPr>
          <w:bCs/>
          <w:i/>
          <w:lang w:val="en-CA"/>
        </w:rPr>
        <w:t>Regulations Amending the Patented Medicines Regulations (Additional Factors and Information Reporting Requirements)</w:t>
      </w:r>
      <w:r w:rsidR="00971A08" w:rsidRPr="00E02273">
        <w:rPr>
          <w:bCs/>
          <w:lang w:val="en-CA"/>
        </w:rPr>
        <w:t>: SOR/2019-298), except the new ss. 4(4)(a) and 4(4)(b);</w:t>
      </w:r>
    </w:p>
    <w:p w14:paraId="2E4B70F7" w14:textId="77777777" w:rsidR="00971A08" w:rsidRPr="00E02273" w:rsidRDefault="002D51A4" w:rsidP="00971A08">
      <w:pPr>
        <w:pStyle w:val="Citationenretrait"/>
        <w:spacing w:line="240" w:lineRule="auto"/>
        <w:rPr>
          <w:rFonts w:cs="Arial"/>
          <w:szCs w:val="24"/>
          <w:lang w:val="en-CA" w:eastAsia="fr-CA"/>
        </w:rPr>
      </w:pPr>
      <w:r w:rsidRPr="00E02273">
        <w:rPr>
          <w:lang w:val="en-CA"/>
        </w:rPr>
        <w:t>[</w:t>
      </w:r>
      <w:bookmarkStart w:id="10" w:name="par433"/>
      <w:r w:rsidRPr="00E02273">
        <w:rPr>
          <w:lang w:val="en-CA"/>
        </w:rPr>
        <w:t>433</w:t>
      </w:r>
      <w:bookmarkEnd w:id="10"/>
      <w:r w:rsidRPr="00E02273">
        <w:rPr>
          <w:lang w:val="en-CA"/>
        </w:rPr>
        <w:t>]</w:t>
      </w:r>
      <w:r w:rsidRPr="00E02273">
        <w:rPr>
          <w:sz w:val="14"/>
          <w:szCs w:val="14"/>
          <w:lang w:val="en-CA"/>
        </w:rPr>
        <w:tab/>
      </w:r>
      <w:r w:rsidR="00971A08" w:rsidRPr="00E02273">
        <w:rPr>
          <w:rFonts w:cs="Arial"/>
          <w:b/>
          <w:bCs/>
          <w:szCs w:val="24"/>
          <w:lang w:val="en-CA" w:eastAsia="fr-CA"/>
        </w:rPr>
        <w:t>DECLARES</w:t>
      </w:r>
      <w:r w:rsidR="00971A08" w:rsidRPr="00E02273">
        <w:rPr>
          <w:rFonts w:cs="Arial"/>
          <w:bCs/>
          <w:szCs w:val="24"/>
          <w:lang w:val="en-CA" w:eastAsia="fr-CA"/>
        </w:rPr>
        <w:t xml:space="preserve"> </w:t>
      </w:r>
      <w:r w:rsidR="00971A08" w:rsidRPr="00E02273">
        <w:rPr>
          <w:rFonts w:cs="Arial"/>
          <w:i/>
          <w:iCs/>
          <w:szCs w:val="24"/>
          <w:lang w:val="en-CA" w:eastAsia="fr-CA"/>
        </w:rPr>
        <w:t>ultra vires</w:t>
      </w:r>
      <w:r w:rsidR="00971A08" w:rsidRPr="00E02273">
        <w:rPr>
          <w:rFonts w:cs="Arial"/>
          <w:szCs w:val="24"/>
          <w:lang w:val="en-CA" w:eastAsia="fr-CA"/>
        </w:rPr>
        <w:t xml:space="preserve">, invalid, null, and without effect the new ss. </w:t>
      </w:r>
      <w:r w:rsidR="00971A08" w:rsidRPr="00E02273">
        <w:rPr>
          <w:lang w:val="en-CA"/>
        </w:rPr>
        <w:t xml:space="preserve">4(4)(a) and 4(4)(b) of the amendments to the </w:t>
      </w:r>
      <w:r w:rsidR="00971A08" w:rsidRPr="00E02273">
        <w:rPr>
          <w:i/>
          <w:lang w:val="en-CA"/>
        </w:rPr>
        <w:t>Patented Medicines Regulations</w:t>
      </w:r>
      <w:r w:rsidR="00971A08" w:rsidRPr="00E02273">
        <w:rPr>
          <w:lang w:val="en-CA"/>
        </w:rPr>
        <w:t>, SOR</w:t>
      </w:r>
      <w:r w:rsidR="00971A08" w:rsidRPr="00E02273">
        <w:rPr>
          <w:rFonts w:cs="Arial"/>
          <w:szCs w:val="24"/>
          <w:lang w:val="en-CA" w:eastAsia="fr-CA"/>
        </w:rPr>
        <w:t xml:space="preserve">/94-688, published on August 21, 2019 </w:t>
      </w:r>
      <w:r w:rsidR="00971A08" w:rsidRPr="00E02273">
        <w:rPr>
          <w:lang w:val="en-CA"/>
        </w:rPr>
        <w:t>(</w:t>
      </w:r>
      <w:r w:rsidR="00971A08" w:rsidRPr="00E02273">
        <w:rPr>
          <w:i/>
          <w:lang w:val="en-CA"/>
        </w:rPr>
        <w:t>Regulations Amending the Patented Medicines Regulations (Additional Factors and Information Reporting Requirements</w:t>
      </w:r>
      <w:r w:rsidR="00971A08" w:rsidRPr="00E02273">
        <w:rPr>
          <w:lang w:val="en-CA"/>
        </w:rPr>
        <w:t>), SOR/2019-298)</w:t>
      </w:r>
      <w:r w:rsidR="00971A08" w:rsidRPr="00E02273">
        <w:rPr>
          <w:rFonts w:cs="Arial"/>
          <w:szCs w:val="24"/>
          <w:lang w:val="en-CA" w:eastAsia="fr-CA"/>
        </w:rPr>
        <w:t>;</w:t>
      </w:r>
    </w:p>
    <w:p w14:paraId="1F397B24" w14:textId="77777777" w:rsidR="00971A08" w:rsidRPr="00E02273" w:rsidRDefault="002D51A4" w:rsidP="00971A08">
      <w:pPr>
        <w:pStyle w:val="Citationenretrait"/>
        <w:ind w:left="709" w:firstLine="11"/>
        <w:rPr>
          <w:lang w:val="en-CA"/>
        </w:rPr>
      </w:pPr>
      <w:r w:rsidRPr="00E02273">
        <w:rPr>
          <w:lang w:val="en-CA"/>
        </w:rPr>
        <w:t>[</w:t>
      </w:r>
      <w:bookmarkStart w:id="11" w:name="par434"/>
      <w:r w:rsidRPr="00E02273">
        <w:rPr>
          <w:lang w:val="en-CA"/>
        </w:rPr>
        <w:t>434</w:t>
      </w:r>
      <w:bookmarkEnd w:id="11"/>
      <w:r w:rsidRPr="00E02273">
        <w:rPr>
          <w:lang w:val="en-CA"/>
        </w:rPr>
        <w:t>]</w:t>
      </w:r>
      <w:r w:rsidRPr="00E02273">
        <w:rPr>
          <w:sz w:val="14"/>
          <w:szCs w:val="14"/>
          <w:lang w:val="en-CA"/>
        </w:rPr>
        <w:tab/>
      </w:r>
      <w:r w:rsidR="00971A08" w:rsidRPr="00E02273">
        <w:rPr>
          <w:b/>
          <w:bCs/>
          <w:lang w:val="en-CA"/>
        </w:rPr>
        <w:t>ORDERS</w:t>
      </w:r>
      <w:r w:rsidR="00971A08" w:rsidRPr="00E02273">
        <w:rPr>
          <w:lang w:val="en-CA"/>
        </w:rPr>
        <w:t xml:space="preserve"> the provisional execution of this judgment notwithstanding appeal, with respect to the new ss. 4(4)(a) and 4(4)(b) of the amendments to the </w:t>
      </w:r>
      <w:r w:rsidR="00971A08" w:rsidRPr="00E02273">
        <w:rPr>
          <w:i/>
          <w:lang w:val="en-CA"/>
        </w:rPr>
        <w:t>Patented Medicines Regulations</w:t>
      </w:r>
      <w:r w:rsidR="00971A08" w:rsidRPr="00E02273">
        <w:rPr>
          <w:lang w:val="en-CA"/>
        </w:rPr>
        <w:t>, SOR/94-688, published on August 21, 2019 (</w:t>
      </w:r>
      <w:r w:rsidR="00971A08" w:rsidRPr="00E02273">
        <w:rPr>
          <w:i/>
          <w:lang w:val="en-CA"/>
        </w:rPr>
        <w:t>Regulations Amending the Patented Medicines Regulations (Additional Factors and Information Reporting Requirements</w:t>
      </w:r>
      <w:r w:rsidR="00971A08" w:rsidRPr="00E02273">
        <w:rPr>
          <w:lang w:val="en-CA"/>
        </w:rPr>
        <w:t>), SOR/2019-298), the application of which will be suspended for the duration of any appeal proceedings, and the former ss. 4(4)(a) and 4(4)(b) of the</w:t>
      </w:r>
      <w:r w:rsidR="00971A08" w:rsidRPr="00E02273">
        <w:rPr>
          <w:i/>
          <w:lang w:val="en-CA"/>
        </w:rPr>
        <w:t xml:space="preserve"> Patented Medicines Regulations</w:t>
      </w:r>
      <w:r w:rsidR="00971A08" w:rsidRPr="00E02273">
        <w:rPr>
          <w:lang w:val="en-CA"/>
        </w:rPr>
        <w:t>, SOR/94-688 will continue to apply during any appeal proceedings;</w:t>
      </w:r>
    </w:p>
    <w:p w14:paraId="7B35CB86" w14:textId="77777777" w:rsidR="00971A08" w:rsidRPr="00E02273" w:rsidRDefault="002D51A4" w:rsidP="00971A08">
      <w:pPr>
        <w:pStyle w:val="Citationenretrait"/>
        <w:ind w:left="0" w:firstLine="709"/>
        <w:rPr>
          <w:lang w:val="en-CA"/>
        </w:rPr>
      </w:pPr>
      <w:r w:rsidRPr="00E02273">
        <w:rPr>
          <w:lang w:val="en-CA"/>
        </w:rPr>
        <w:t>[</w:t>
      </w:r>
      <w:bookmarkStart w:id="12" w:name="par435"/>
      <w:r w:rsidRPr="00E02273">
        <w:rPr>
          <w:lang w:val="en-CA"/>
        </w:rPr>
        <w:t>435</w:t>
      </w:r>
      <w:bookmarkEnd w:id="12"/>
      <w:r w:rsidRPr="00E02273">
        <w:rPr>
          <w:lang w:val="en-CA"/>
        </w:rPr>
        <w:t>]</w:t>
      </w:r>
      <w:r w:rsidRPr="00E02273">
        <w:rPr>
          <w:sz w:val="14"/>
          <w:szCs w:val="14"/>
          <w:lang w:val="en-CA"/>
        </w:rPr>
        <w:tab/>
      </w:r>
      <w:r w:rsidR="00971A08" w:rsidRPr="00E02273">
        <w:rPr>
          <w:b/>
          <w:lang w:val="en-CA"/>
        </w:rPr>
        <w:t>THE WHOLE</w:t>
      </w:r>
      <w:r w:rsidR="00971A08" w:rsidRPr="00E02273">
        <w:rPr>
          <w:lang w:val="en-CA"/>
        </w:rPr>
        <w:t xml:space="preserve">, with each party paying its own legal costs. </w:t>
      </w:r>
    </w:p>
    <w:p w14:paraId="59CDBD67" w14:textId="68599A5F" w:rsidR="00B568AD" w:rsidRPr="00E02273" w:rsidRDefault="00460429" w:rsidP="00DE11D2">
      <w:pPr>
        <w:pStyle w:val="Paragraphe"/>
        <w:tabs>
          <w:tab w:val="clear" w:pos="360"/>
          <w:tab w:val="num" w:pos="0"/>
        </w:tabs>
        <w:spacing w:line="240" w:lineRule="auto"/>
        <w:ind w:left="426" w:hanging="426"/>
        <w:rPr>
          <w:lang w:val="en-CA"/>
        </w:rPr>
      </w:pPr>
      <w:r w:rsidRPr="00E02273">
        <w:rPr>
          <w:lang w:val="en-CA"/>
        </w:rPr>
        <w:t xml:space="preserve">The </w:t>
      </w:r>
      <w:r w:rsidR="002D51A4" w:rsidRPr="00E02273">
        <w:rPr>
          <w:lang w:val="en-CA"/>
        </w:rPr>
        <w:t>Attorney</w:t>
      </w:r>
      <w:r w:rsidRPr="00E02273">
        <w:rPr>
          <w:lang w:val="en-CA"/>
        </w:rPr>
        <w:t xml:space="preserve"> </w:t>
      </w:r>
      <w:r w:rsidR="002D51A4" w:rsidRPr="00E02273">
        <w:rPr>
          <w:lang w:val="en-CA"/>
        </w:rPr>
        <w:t>General</w:t>
      </w:r>
      <w:r w:rsidRPr="00E02273">
        <w:rPr>
          <w:lang w:val="en-CA"/>
        </w:rPr>
        <w:t xml:space="preserve"> </w:t>
      </w:r>
      <w:r w:rsidR="002D51A4" w:rsidRPr="00E02273">
        <w:rPr>
          <w:lang w:val="en-CA"/>
        </w:rPr>
        <w:t>of</w:t>
      </w:r>
      <w:r w:rsidRPr="00E02273">
        <w:rPr>
          <w:lang w:val="en-CA"/>
        </w:rPr>
        <w:t xml:space="preserve"> </w:t>
      </w:r>
      <w:r w:rsidR="002D51A4" w:rsidRPr="00E02273">
        <w:rPr>
          <w:lang w:val="en-CA"/>
        </w:rPr>
        <w:t>Canada</w:t>
      </w:r>
      <w:r w:rsidRPr="00E02273">
        <w:rPr>
          <w:lang w:val="en-CA"/>
        </w:rPr>
        <w:t xml:space="preserve"> filed an incidental appeal </w:t>
      </w:r>
      <w:r w:rsidR="004C2086" w:rsidRPr="00E02273">
        <w:rPr>
          <w:lang w:val="en-CA"/>
        </w:rPr>
        <w:t xml:space="preserve">against the part of the </w:t>
      </w:r>
      <w:r w:rsidR="002D51A4" w:rsidRPr="00E02273">
        <w:rPr>
          <w:lang w:val="en-CA"/>
        </w:rPr>
        <w:t>ju</w:t>
      </w:r>
      <w:r w:rsidR="004C2086" w:rsidRPr="00E02273">
        <w:rPr>
          <w:lang w:val="en-CA"/>
        </w:rPr>
        <w:t>d</w:t>
      </w:r>
      <w:r w:rsidR="002D51A4" w:rsidRPr="00E02273">
        <w:rPr>
          <w:lang w:val="en-CA"/>
        </w:rPr>
        <w:t>gment d</w:t>
      </w:r>
      <w:r w:rsidR="004C2086" w:rsidRPr="00E02273">
        <w:rPr>
          <w:lang w:val="en-CA"/>
        </w:rPr>
        <w:t>e</w:t>
      </w:r>
      <w:r w:rsidR="002D51A4" w:rsidRPr="00E02273">
        <w:rPr>
          <w:lang w:val="en-CA"/>
        </w:rPr>
        <w:t>clar</w:t>
      </w:r>
      <w:r w:rsidR="004C2086" w:rsidRPr="00E02273">
        <w:rPr>
          <w:lang w:val="en-CA"/>
        </w:rPr>
        <w:t xml:space="preserve">ing </w:t>
      </w:r>
      <w:r w:rsidR="002D51A4" w:rsidRPr="00E02273">
        <w:rPr>
          <w:i/>
          <w:iCs/>
          <w:lang w:val="en-CA"/>
        </w:rPr>
        <w:t>ultra</w:t>
      </w:r>
      <w:r w:rsidR="004C2086" w:rsidRPr="00E02273">
        <w:rPr>
          <w:i/>
          <w:iCs/>
          <w:lang w:val="en-CA"/>
        </w:rPr>
        <w:t xml:space="preserve"> </w:t>
      </w:r>
      <w:r w:rsidR="002D51A4" w:rsidRPr="00E02273">
        <w:rPr>
          <w:i/>
          <w:iCs/>
          <w:lang w:val="en-CA"/>
        </w:rPr>
        <w:t>vire</w:t>
      </w:r>
      <w:r w:rsidR="004C2086" w:rsidRPr="00E02273">
        <w:rPr>
          <w:i/>
          <w:iCs/>
          <w:lang w:val="en-CA"/>
        </w:rPr>
        <w:t>s</w:t>
      </w:r>
      <w:r w:rsidR="002D51A4" w:rsidRPr="00E02273">
        <w:rPr>
          <w:lang w:val="en-CA"/>
        </w:rPr>
        <w:t>, invalid, nul</w:t>
      </w:r>
      <w:r w:rsidR="004C2086" w:rsidRPr="00E02273">
        <w:rPr>
          <w:lang w:val="en-CA"/>
        </w:rPr>
        <w:t xml:space="preserve">l, and without effect </w:t>
      </w:r>
      <w:r w:rsidR="00556330">
        <w:rPr>
          <w:lang w:val="en-CA"/>
        </w:rPr>
        <w:t xml:space="preserve">the </w:t>
      </w:r>
      <w:r w:rsidR="004C2086" w:rsidRPr="00E02273">
        <w:rPr>
          <w:lang w:val="en-CA"/>
        </w:rPr>
        <w:t xml:space="preserve">new </w:t>
      </w:r>
      <w:r w:rsidR="002D51A4" w:rsidRPr="00E02273">
        <w:rPr>
          <w:lang w:val="en-CA"/>
        </w:rPr>
        <w:t>paragraphs 4(4)</w:t>
      </w:r>
      <w:r w:rsidR="004C2086" w:rsidRPr="00E02273">
        <w:rPr>
          <w:lang w:val="en-CA"/>
        </w:rPr>
        <w:t>(</w:t>
      </w:r>
      <w:r w:rsidR="002D51A4" w:rsidRPr="00E02273">
        <w:rPr>
          <w:lang w:val="en-CA"/>
        </w:rPr>
        <w:t xml:space="preserve">a) </w:t>
      </w:r>
      <w:r w:rsidR="004C2086" w:rsidRPr="00E02273">
        <w:rPr>
          <w:lang w:val="en-CA"/>
        </w:rPr>
        <w:t xml:space="preserve">and </w:t>
      </w:r>
      <w:r w:rsidR="002D51A4" w:rsidRPr="00E02273">
        <w:rPr>
          <w:lang w:val="en-CA"/>
        </w:rPr>
        <w:t>4(4)</w:t>
      </w:r>
      <w:r w:rsidR="004C2086" w:rsidRPr="00E02273">
        <w:rPr>
          <w:lang w:val="en-CA"/>
        </w:rPr>
        <w:t>(</w:t>
      </w:r>
      <w:r w:rsidR="002D51A4" w:rsidRPr="00E02273">
        <w:rPr>
          <w:lang w:val="en-CA"/>
        </w:rPr>
        <w:t>b) introdu</w:t>
      </w:r>
      <w:r w:rsidR="004C2086" w:rsidRPr="00E02273">
        <w:rPr>
          <w:lang w:val="en-CA"/>
        </w:rPr>
        <w:t xml:space="preserve">ced into the </w:t>
      </w:r>
      <w:r w:rsidR="004C2086" w:rsidRPr="00E02273">
        <w:rPr>
          <w:i/>
          <w:lang w:val="en-CA"/>
        </w:rPr>
        <w:t>Patented Medicines Regulations</w:t>
      </w:r>
      <w:r w:rsidR="004C2086" w:rsidRPr="00E02273">
        <w:rPr>
          <w:lang w:val="en-CA"/>
        </w:rPr>
        <w:t xml:space="preserve">, SOR/94-688 by the </w:t>
      </w:r>
      <w:r w:rsidR="004C2086" w:rsidRPr="00E02273">
        <w:rPr>
          <w:i/>
          <w:lang w:val="en-CA"/>
        </w:rPr>
        <w:t xml:space="preserve">Regulations Amending the Patented Medicines Regulations (Additional </w:t>
      </w:r>
      <w:r w:rsidR="004C2086" w:rsidRPr="00E02273">
        <w:rPr>
          <w:i/>
          <w:lang w:val="en-CA"/>
        </w:rPr>
        <w:lastRenderedPageBreak/>
        <w:t>Factors and Information Reporting Requirements</w:t>
      </w:r>
      <w:r w:rsidR="004C2086" w:rsidRPr="00E02273">
        <w:rPr>
          <w:lang w:val="en-CA"/>
        </w:rPr>
        <w:t xml:space="preserve">), SOR/2019-298, published on </w:t>
      </w:r>
      <w:r w:rsidR="002D51A4" w:rsidRPr="00E02273">
        <w:rPr>
          <w:lang w:val="en-CA"/>
        </w:rPr>
        <w:t>August</w:t>
      </w:r>
      <w:r w:rsidR="004C2086" w:rsidRPr="00E02273">
        <w:rPr>
          <w:lang w:val="en-CA"/>
        </w:rPr>
        <w:t xml:space="preserve"> 21,</w:t>
      </w:r>
      <w:r w:rsidR="002D51A4" w:rsidRPr="00E02273">
        <w:rPr>
          <w:lang w:val="en-CA"/>
        </w:rPr>
        <w:t xml:space="preserve"> 2019.</w:t>
      </w:r>
    </w:p>
    <w:p w14:paraId="44E7FDA5" w14:textId="6546BFDC" w:rsidR="00B568AD" w:rsidRPr="00E02273" w:rsidRDefault="00971A08" w:rsidP="00EF404D">
      <w:pPr>
        <w:pStyle w:val="Paragraphe"/>
        <w:tabs>
          <w:tab w:val="clear" w:pos="360"/>
          <w:tab w:val="num" w:pos="0"/>
          <w:tab w:val="num" w:pos="709"/>
        </w:tabs>
        <w:spacing w:line="240" w:lineRule="auto"/>
        <w:ind w:left="0"/>
        <w:rPr>
          <w:lang w:val="en-CA"/>
        </w:rPr>
      </w:pPr>
      <w:r w:rsidRPr="00E02273">
        <w:rPr>
          <w:lang w:val="en-CA"/>
        </w:rPr>
        <w:t xml:space="preserve">For the reasons of Mainville J.A., with which Moore and Cournoyer JJ.A. agree, </w:t>
      </w:r>
      <w:r w:rsidRPr="00E02273">
        <w:rPr>
          <w:b/>
          <w:lang w:val="en-CA"/>
        </w:rPr>
        <w:t>THE COURT</w:t>
      </w:r>
      <w:r w:rsidRPr="00E02273">
        <w:rPr>
          <w:lang w:val="en-CA"/>
        </w:rPr>
        <w:t>:</w:t>
      </w:r>
    </w:p>
    <w:p w14:paraId="12FA8BFE" w14:textId="77777777" w:rsidR="00B568AD" w:rsidRPr="00E02273" w:rsidRDefault="00971A08" w:rsidP="00EF404D">
      <w:pPr>
        <w:pStyle w:val="Paragraphe"/>
        <w:spacing w:line="240" w:lineRule="auto"/>
        <w:ind w:left="0"/>
        <w:rPr>
          <w:lang w:val="en-CA"/>
        </w:rPr>
      </w:pPr>
      <w:r w:rsidRPr="00E02273">
        <w:rPr>
          <w:b/>
          <w:lang w:val="en-CA"/>
        </w:rPr>
        <w:t>ALLOWS</w:t>
      </w:r>
      <w:r w:rsidRPr="00E02273">
        <w:rPr>
          <w:lang w:val="en-CA"/>
        </w:rPr>
        <w:t xml:space="preserve"> the appeal in part;</w:t>
      </w:r>
    </w:p>
    <w:p w14:paraId="30D95C14" w14:textId="77777777" w:rsidR="00B568AD" w:rsidRPr="00E02273" w:rsidRDefault="00971A08" w:rsidP="00EF404D">
      <w:pPr>
        <w:pStyle w:val="Paragraphe"/>
        <w:spacing w:line="240" w:lineRule="auto"/>
        <w:ind w:left="0"/>
        <w:rPr>
          <w:lang w:val="en-CA"/>
        </w:rPr>
      </w:pPr>
      <w:r w:rsidRPr="00E02273">
        <w:rPr>
          <w:b/>
          <w:lang w:val="en-CA"/>
        </w:rPr>
        <w:t>DISMISSES</w:t>
      </w:r>
      <w:r w:rsidRPr="00E02273">
        <w:rPr>
          <w:lang w:val="en-CA"/>
        </w:rPr>
        <w:t xml:space="preserve"> the incidental appeal;</w:t>
      </w:r>
    </w:p>
    <w:p w14:paraId="1DAE25B6" w14:textId="180E5F9E" w:rsidR="00B568AD" w:rsidRPr="00E02273" w:rsidRDefault="0080066D" w:rsidP="00EF404D">
      <w:pPr>
        <w:pStyle w:val="Paragraphe"/>
        <w:spacing w:line="240" w:lineRule="auto"/>
        <w:ind w:left="0"/>
        <w:rPr>
          <w:lang w:val="en-CA"/>
        </w:rPr>
      </w:pPr>
      <w:r w:rsidRPr="00E02273">
        <w:rPr>
          <w:b/>
          <w:lang w:val="en-CA"/>
        </w:rPr>
        <w:t>REVERSES</w:t>
      </w:r>
      <w:r w:rsidRPr="00E02273">
        <w:rPr>
          <w:lang w:val="en-CA"/>
        </w:rPr>
        <w:t xml:space="preserve"> the trial judgment i</w:t>
      </w:r>
      <w:r w:rsidR="002D51A4" w:rsidRPr="00E02273">
        <w:rPr>
          <w:lang w:val="en-CA"/>
        </w:rPr>
        <w:t xml:space="preserve">n part </w:t>
      </w:r>
      <w:r w:rsidRPr="00E02273">
        <w:rPr>
          <w:lang w:val="en-CA"/>
        </w:rPr>
        <w:t xml:space="preserve">to replace </w:t>
      </w:r>
      <w:r w:rsidR="002D51A4" w:rsidRPr="00E02273">
        <w:rPr>
          <w:lang w:val="en-CA"/>
        </w:rPr>
        <w:t xml:space="preserve">paragraphs [432] </w:t>
      </w:r>
      <w:r w:rsidRPr="00E02273">
        <w:rPr>
          <w:lang w:val="en-CA"/>
        </w:rPr>
        <w:t>and</w:t>
      </w:r>
      <w:r w:rsidR="002D51A4" w:rsidRPr="00E02273">
        <w:rPr>
          <w:lang w:val="en-CA"/>
        </w:rPr>
        <w:t xml:space="preserve"> [433] </w:t>
      </w:r>
      <w:r w:rsidR="000B5BA4">
        <w:rPr>
          <w:lang w:val="en-CA"/>
        </w:rPr>
        <w:t>with</w:t>
      </w:r>
      <w:r w:rsidRPr="00E02273">
        <w:rPr>
          <w:lang w:val="en-CA"/>
        </w:rPr>
        <w:t xml:space="preserve"> the following</w:t>
      </w:r>
      <w:r w:rsidR="002D51A4" w:rsidRPr="00E02273">
        <w:rPr>
          <w:lang w:val="en-CA"/>
        </w:rPr>
        <w:t>:</w:t>
      </w:r>
    </w:p>
    <w:p w14:paraId="377F2D36" w14:textId="666262CB" w:rsidR="00765A81" w:rsidRPr="00765A81" w:rsidRDefault="00765A81" w:rsidP="00C90314">
      <w:pPr>
        <w:pStyle w:val="Citationenretrait"/>
        <w:spacing w:line="240" w:lineRule="auto"/>
        <w:rPr>
          <w:rStyle w:val="Citationintgre"/>
          <w:i w:val="0"/>
          <w:lang w:val="en-CA"/>
        </w:rPr>
      </w:pPr>
      <w:r>
        <w:rPr>
          <w:rStyle w:val="Citationintgre"/>
          <w:i w:val="0"/>
          <w:lang w:val="en-CA"/>
        </w:rPr>
        <w:t>[</w:t>
      </w:r>
      <w:r>
        <w:rPr>
          <w:rStyle w:val="Citationintgre"/>
          <w:i w:val="0"/>
          <w:smallCaps/>
          <w:lang w:val="en-CA"/>
        </w:rPr>
        <w:t>translation</w:t>
      </w:r>
      <w:r w:rsidR="009B3A5B">
        <w:rPr>
          <w:rStyle w:val="Citationintgre"/>
          <w:i w:val="0"/>
          <w:lang w:val="en-CA"/>
        </w:rPr>
        <w:t>]</w:t>
      </w:r>
    </w:p>
    <w:p w14:paraId="43AE876F" w14:textId="0E85A106" w:rsidR="00C90314" w:rsidRPr="00E02273" w:rsidRDefault="002D51A4" w:rsidP="00C90314">
      <w:pPr>
        <w:pStyle w:val="Citationenretrait"/>
        <w:spacing w:line="240" w:lineRule="auto"/>
        <w:rPr>
          <w:bCs/>
          <w:lang w:val="en-CA"/>
        </w:rPr>
      </w:pPr>
      <w:r w:rsidRPr="00E02273">
        <w:rPr>
          <w:rStyle w:val="Citationintgre"/>
          <w:i w:val="0"/>
          <w:lang w:val="en-CA"/>
        </w:rPr>
        <w:t>[432]</w:t>
      </w:r>
      <w:r w:rsidRPr="00E02273">
        <w:rPr>
          <w:rStyle w:val="Citationintgre"/>
          <w:i w:val="0"/>
          <w:lang w:val="en-CA"/>
        </w:rPr>
        <w:tab/>
      </w:r>
      <w:r w:rsidR="00C90314" w:rsidRPr="00E02273">
        <w:rPr>
          <w:b/>
          <w:bCs/>
          <w:lang w:val="en-CA"/>
        </w:rPr>
        <w:t xml:space="preserve">DECLARES </w:t>
      </w:r>
      <w:r w:rsidR="00C90314" w:rsidRPr="00E02273">
        <w:rPr>
          <w:bCs/>
          <w:lang w:val="en-CA"/>
        </w:rPr>
        <w:t xml:space="preserve">valid: (i) the entire </w:t>
      </w:r>
      <w:r w:rsidR="00C90314" w:rsidRPr="00E02273">
        <w:rPr>
          <w:bCs/>
          <w:i/>
          <w:lang w:val="en-CA"/>
        </w:rPr>
        <w:t>Patented Medicines Regulations</w:t>
      </w:r>
      <w:r w:rsidR="00C90314" w:rsidRPr="00E02273">
        <w:rPr>
          <w:bCs/>
          <w:lang w:val="en-CA"/>
        </w:rPr>
        <w:t xml:space="preserve">, SOR/94-688 and (ii) the amendments to the </w:t>
      </w:r>
      <w:r w:rsidR="00C90314" w:rsidRPr="00E02273">
        <w:rPr>
          <w:bCs/>
          <w:i/>
          <w:lang w:val="en-CA"/>
        </w:rPr>
        <w:t>Regulations</w:t>
      </w:r>
      <w:r w:rsidR="00C90314" w:rsidRPr="00E02273">
        <w:rPr>
          <w:bCs/>
          <w:lang w:val="en-CA"/>
        </w:rPr>
        <w:t xml:space="preserve"> published in the </w:t>
      </w:r>
      <w:r w:rsidR="00C90314" w:rsidRPr="00E02273">
        <w:rPr>
          <w:bCs/>
          <w:i/>
          <w:lang w:val="en-CA"/>
        </w:rPr>
        <w:t>Canada Gazette</w:t>
      </w:r>
      <w:r w:rsidR="00C90314" w:rsidRPr="00E02273">
        <w:rPr>
          <w:bCs/>
          <w:lang w:val="en-CA"/>
        </w:rPr>
        <w:t>, Part II, on August 21, 2019 (</w:t>
      </w:r>
      <w:r w:rsidR="00C90314" w:rsidRPr="00E02273">
        <w:rPr>
          <w:bCs/>
          <w:i/>
          <w:lang w:val="en-CA"/>
        </w:rPr>
        <w:t>Regulations Amending the Patented Medicines Regulations (Additional Factors and Information Reporting Requirements)</w:t>
      </w:r>
      <w:r w:rsidR="008663D3">
        <w:rPr>
          <w:bCs/>
          <w:lang w:val="en-CA"/>
        </w:rPr>
        <w:t>,</w:t>
      </w:r>
      <w:r w:rsidR="00C90314" w:rsidRPr="00E02273">
        <w:rPr>
          <w:bCs/>
          <w:lang w:val="en-CA"/>
        </w:rPr>
        <w:t xml:space="preserve"> SOR/2019-298), except </w:t>
      </w:r>
      <w:r w:rsidR="00C90314" w:rsidRPr="00E02273">
        <w:rPr>
          <w:bCs/>
          <w:u w:val="single"/>
          <w:lang w:val="en-CA"/>
        </w:rPr>
        <w:t>subsection 3(4) introducing</w:t>
      </w:r>
      <w:r w:rsidR="00C90314" w:rsidRPr="00E02273">
        <w:rPr>
          <w:bCs/>
          <w:lang w:val="en-CA"/>
        </w:rPr>
        <w:t xml:space="preserve"> the new </w:t>
      </w:r>
      <w:r w:rsidR="00C90314" w:rsidRPr="00E02273">
        <w:rPr>
          <w:bCs/>
          <w:u w:val="single"/>
          <w:lang w:val="en-CA"/>
        </w:rPr>
        <w:t>paragraphs</w:t>
      </w:r>
      <w:r w:rsidR="00C90314" w:rsidRPr="00E02273">
        <w:rPr>
          <w:bCs/>
          <w:lang w:val="en-CA"/>
        </w:rPr>
        <w:t xml:space="preserve"> 4(4)(a) and 4(4)(b) </w:t>
      </w:r>
      <w:r w:rsidR="00C90314" w:rsidRPr="00E02273">
        <w:rPr>
          <w:bCs/>
          <w:u w:val="single"/>
          <w:lang w:val="en-CA"/>
        </w:rPr>
        <w:t>and section 4 introducing the new</w:t>
      </w:r>
      <w:r w:rsidR="00045E83" w:rsidRPr="00E02273">
        <w:rPr>
          <w:bCs/>
          <w:u w:val="single"/>
          <w:lang w:val="en-CA"/>
        </w:rPr>
        <w:t xml:space="preserve"> sections 4.1 to 4.4 in</w:t>
      </w:r>
      <w:r w:rsidR="003F0E5E">
        <w:rPr>
          <w:bCs/>
          <w:u w:val="single"/>
          <w:lang w:val="en-CA"/>
        </w:rPr>
        <w:t>to</w:t>
      </w:r>
      <w:r w:rsidR="00045E83" w:rsidRPr="00E02273">
        <w:rPr>
          <w:bCs/>
          <w:u w:val="single"/>
          <w:lang w:val="en-CA"/>
        </w:rPr>
        <w:t xml:space="preserve"> the </w:t>
      </w:r>
      <w:r w:rsidR="00045E83" w:rsidRPr="00E02273">
        <w:rPr>
          <w:bCs/>
          <w:i/>
          <w:u w:val="single"/>
          <w:lang w:val="en-CA"/>
        </w:rPr>
        <w:t>Patented Medicines Regulations</w:t>
      </w:r>
      <w:r w:rsidR="00045E83" w:rsidRPr="00E02273">
        <w:rPr>
          <w:bCs/>
          <w:u w:val="single"/>
          <w:lang w:val="en-CA"/>
        </w:rPr>
        <w:t>, SOR/94-688</w:t>
      </w:r>
      <w:r w:rsidR="00C90314" w:rsidRPr="00E02273">
        <w:rPr>
          <w:bCs/>
          <w:lang w:val="en-CA"/>
        </w:rPr>
        <w:t>;</w:t>
      </w:r>
    </w:p>
    <w:p w14:paraId="179D72AB" w14:textId="09A780F9" w:rsidR="00EF6E0A" w:rsidRPr="00E02273" w:rsidRDefault="002D51A4" w:rsidP="00EF6E0A">
      <w:pPr>
        <w:pStyle w:val="Citationenretrait"/>
        <w:spacing w:line="240" w:lineRule="auto"/>
        <w:rPr>
          <w:rFonts w:cs="Arial"/>
          <w:szCs w:val="24"/>
          <w:lang w:val="en-CA" w:eastAsia="fr-CA"/>
        </w:rPr>
      </w:pPr>
      <w:r w:rsidRPr="00E02273">
        <w:rPr>
          <w:rStyle w:val="Citationintgre"/>
          <w:i w:val="0"/>
          <w:lang w:val="en-CA"/>
        </w:rPr>
        <w:t>[433]</w:t>
      </w:r>
      <w:r w:rsidRPr="00E02273">
        <w:rPr>
          <w:rStyle w:val="Citationintgre"/>
          <w:i w:val="0"/>
          <w:lang w:val="en-CA"/>
        </w:rPr>
        <w:tab/>
      </w:r>
      <w:r w:rsidR="00EF6E0A" w:rsidRPr="00E02273">
        <w:rPr>
          <w:rFonts w:cs="Arial"/>
          <w:b/>
          <w:bCs/>
          <w:szCs w:val="24"/>
          <w:lang w:val="en-CA" w:eastAsia="fr-CA"/>
        </w:rPr>
        <w:t>DECLARES</w:t>
      </w:r>
      <w:r w:rsidR="00EF6E0A" w:rsidRPr="00E02273">
        <w:rPr>
          <w:rFonts w:cs="Arial"/>
          <w:bCs/>
          <w:szCs w:val="24"/>
          <w:lang w:val="en-CA" w:eastAsia="fr-CA"/>
        </w:rPr>
        <w:t xml:space="preserve"> </w:t>
      </w:r>
      <w:r w:rsidR="00EF6E0A" w:rsidRPr="00E02273">
        <w:rPr>
          <w:rFonts w:cs="Arial"/>
          <w:i/>
          <w:iCs/>
          <w:szCs w:val="24"/>
          <w:lang w:val="en-CA" w:eastAsia="fr-CA"/>
        </w:rPr>
        <w:t>ultra vires</w:t>
      </w:r>
      <w:r w:rsidR="00EF6E0A" w:rsidRPr="00E02273">
        <w:rPr>
          <w:rFonts w:cs="Arial"/>
          <w:szCs w:val="24"/>
          <w:lang w:val="en-CA" w:eastAsia="fr-CA"/>
        </w:rPr>
        <w:t xml:space="preserve">, invalid, null, and without effect </w:t>
      </w:r>
      <w:r w:rsidR="00EF6E0A" w:rsidRPr="00E02273">
        <w:rPr>
          <w:rFonts w:cs="Arial"/>
          <w:szCs w:val="24"/>
          <w:u w:val="single"/>
          <w:lang w:val="en-CA" w:eastAsia="fr-CA"/>
        </w:rPr>
        <w:t xml:space="preserve">subsection 3(4) and section 4 of the </w:t>
      </w:r>
      <w:r w:rsidR="00EF6E0A" w:rsidRPr="00E02273">
        <w:rPr>
          <w:bCs/>
          <w:i/>
          <w:u w:val="single"/>
          <w:lang w:val="en-CA"/>
        </w:rPr>
        <w:t>Regulations Amending the Patented Medicines Regulations (Additional Factors and Information Reporting Requirements)</w:t>
      </w:r>
      <w:r w:rsidR="003F0E5E">
        <w:rPr>
          <w:bCs/>
          <w:i/>
          <w:u w:val="single"/>
          <w:lang w:val="en-CA"/>
        </w:rPr>
        <w:t>,</w:t>
      </w:r>
      <w:r w:rsidR="00EF6E0A" w:rsidRPr="00E02273">
        <w:rPr>
          <w:bCs/>
          <w:u w:val="single"/>
          <w:lang w:val="en-CA"/>
        </w:rPr>
        <w:t xml:space="preserve"> SOR/2019 </w:t>
      </w:r>
      <w:r w:rsidR="00EF6E0A" w:rsidRPr="00E02273">
        <w:rPr>
          <w:rFonts w:cs="Arial"/>
          <w:szCs w:val="24"/>
          <w:u w:val="single"/>
          <w:lang w:val="en-CA" w:eastAsia="fr-CA"/>
        </w:rPr>
        <w:t>introducing</w:t>
      </w:r>
      <w:r w:rsidR="00EF6E0A" w:rsidRPr="00E02273">
        <w:rPr>
          <w:rFonts w:cs="Arial"/>
          <w:szCs w:val="24"/>
          <w:lang w:val="en-CA" w:eastAsia="fr-CA"/>
        </w:rPr>
        <w:t xml:space="preserve"> the new </w:t>
      </w:r>
      <w:r w:rsidR="00EF6E0A" w:rsidRPr="00E02273">
        <w:rPr>
          <w:rFonts w:cs="Arial"/>
          <w:szCs w:val="24"/>
          <w:u w:val="single"/>
          <w:lang w:val="en-CA" w:eastAsia="fr-CA"/>
        </w:rPr>
        <w:t>paragraphs</w:t>
      </w:r>
      <w:r w:rsidR="00EF6E0A" w:rsidRPr="00E02273">
        <w:rPr>
          <w:rFonts w:cs="Arial"/>
          <w:szCs w:val="24"/>
          <w:lang w:val="en-CA" w:eastAsia="fr-CA"/>
        </w:rPr>
        <w:t xml:space="preserve"> </w:t>
      </w:r>
      <w:r w:rsidR="00EF6E0A" w:rsidRPr="00E02273">
        <w:rPr>
          <w:lang w:val="en-CA"/>
        </w:rPr>
        <w:t xml:space="preserve">4(4)(a) and 4(4)(b) </w:t>
      </w:r>
      <w:r w:rsidR="00EF6E0A" w:rsidRPr="00E02273">
        <w:rPr>
          <w:u w:val="single"/>
          <w:lang w:val="en-CA"/>
        </w:rPr>
        <w:t>and the new sections 4.1 to 4.4 in</w:t>
      </w:r>
      <w:r w:rsidR="003F0E5E">
        <w:rPr>
          <w:u w:val="single"/>
          <w:lang w:val="en-CA"/>
        </w:rPr>
        <w:t>to</w:t>
      </w:r>
      <w:r w:rsidR="00EF6E0A" w:rsidRPr="00E02273">
        <w:rPr>
          <w:u w:val="single"/>
          <w:lang w:val="en-CA"/>
        </w:rPr>
        <w:t xml:space="preserve"> the </w:t>
      </w:r>
      <w:r w:rsidR="00EF6E0A" w:rsidRPr="00E02273">
        <w:rPr>
          <w:bCs/>
          <w:i/>
          <w:u w:val="single"/>
          <w:lang w:val="en-CA"/>
        </w:rPr>
        <w:t>Patented Medicines Regulations</w:t>
      </w:r>
      <w:r w:rsidR="00EF6E0A" w:rsidRPr="00E02273">
        <w:rPr>
          <w:bCs/>
          <w:u w:val="single"/>
          <w:lang w:val="en-CA"/>
        </w:rPr>
        <w:t>, SOR/94-688</w:t>
      </w:r>
      <w:r w:rsidR="00EF6E0A" w:rsidRPr="00E02273">
        <w:rPr>
          <w:rFonts w:cs="Arial"/>
          <w:szCs w:val="24"/>
          <w:lang w:val="en-CA" w:eastAsia="fr-CA"/>
        </w:rPr>
        <w:t>.</w:t>
      </w:r>
    </w:p>
    <w:p w14:paraId="63EB682B" w14:textId="61F32C69" w:rsidR="00B568AD" w:rsidRPr="00E02273" w:rsidRDefault="009E6D0A" w:rsidP="00EF404D">
      <w:pPr>
        <w:pStyle w:val="Paragraphe"/>
        <w:spacing w:line="240" w:lineRule="auto"/>
        <w:ind w:left="0"/>
        <w:rPr>
          <w:lang w:val="en-CA"/>
        </w:rPr>
      </w:pPr>
      <w:r w:rsidRPr="00E02273">
        <w:rPr>
          <w:b/>
          <w:lang w:val="en-CA"/>
        </w:rPr>
        <w:t>THE WHOLE</w:t>
      </w:r>
      <w:r w:rsidRPr="00E02273">
        <w:rPr>
          <w:lang w:val="en-CA"/>
        </w:rPr>
        <w:t xml:space="preserve">, with legal costs in favour of the appellants, both at </w:t>
      </w:r>
      <w:r w:rsidR="0080066D" w:rsidRPr="00E02273">
        <w:rPr>
          <w:lang w:val="en-CA"/>
        </w:rPr>
        <w:t>trial</w:t>
      </w:r>
      <w:r w:rsidRPr="00E02273">
        <w:rPr>
          <w:lang w:val="en-CA"/>
        </w:rPr>
        <w:t xml:space="preserve"> and on appeal.</w:t>
      </w:r>
    </w:p>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127"/>
        <w:gridCol w:w="2555"/>
        <w:gridCol w:w="4680"/>
      </w:tblGrid>
      <w:tr w:rsidR="00F145CD" w:rsidRPr="003F65E5" w14:paraId="266C4134" w14:textId="77777777" w:rsidTr="00B568AD">
        <w:trPr>
          <w:trHeight w:val="576"/>
        </w:trPr>
        <w:tc>
          <w:tcPr>
            <w:tcW w:w="9362" w:type="dxa"/>
            <w:gridSpan w:val="3"/>
            <w:tcBorders>
              <w:top w:val="nil"/>
              <w:bottom w:val="nil"/>
            </w:tcBorders>
          </w:tcPr>
          <w:p w14:paraId="59081721" w14:textId="77777777" w:rsidR="00B568AD" w:rsidRPr="00E02273" w:rsidRDefault="00B568AD" w:rsidP="00B568AD">
            <w:pPr>
              <w:keepNext/>
              <w:spacing w:line="240" w:lineRule="auto"/>
              <w:rPr>
                <w:lang w:val="en-CA"/>
              </w:rPr>
            </w:pPr>
          </w:p>
        </w:tc>
      </w:tr>
      <w:tr w:rsidR="00F145CD" w:rsidRPr="003F65E5" w14:paraId="0E49E51E" w14:textId="77777777" w:rsidTr="00B568AD">
        <w:trPr>
          <w:trHeight w:val="283"/>
        </w:trPr>
        <w:tc>
          <w:tcPr>
            <w:tcW w:w="4682" w:type="dxa"/>
            <w:gridSpan w:val="2"/>
            <w:tcBorders>
              <w:top w:val="nil"/>
              <w:bottom w:val="nil"/>
            </w:tcBorders>
          </w:tcPr>
          <w:p w14:paraId="220E372B" w14:textId="77777777" w:rsidR="00B568AD" w:rsidRPr="00E02273" w:rsidRDefault="00B568AD" w:rsidP="00B568AD">
            <w:pPr>
              <w:keepNext/>
              <w:spacing w:line="240" w:lineRule="auto"/>
              <w:rPr>
                <w:lang w:val="en-CA"/>
              </w:rPr>
            </w:pPr>
          </w:p>
        </w:tc>
        <w:tc>
          <w:tcPr>
            <w:tcW w:w="4680" w:type="dxa"/>
            <w:tcBorders>
              <w:top w:val="nil"/>
              <w:bottom w:val="single" w:sz="8" w:space="0" w:color="auto"/>
            </w:tcBorders>
          </w:tcPr>
          <w:p w14:paraId="166726D8" w14:textId="77777777" w:rsidR="00B568AD" w:rsidRPr="00E02273" w:rsidRDefault="00B568AD" w:rsidP="00B568AD">
            <w:pPr>
              <w:keepNext/>
              <w:spacing w:line="240" w:lineRule="auto"/>
              <w:rPr>
                <w:lang w:val="en-CA"/>
              </w:rPr>
            </w:pPr>
          </w:p>
        </w:tc>
      </w:tr>
      <w:tr w:rsidR="00F145CD" w:rsidRPr="00E02273" w14:paraId="249B4952" w14:textId="77777777" w:rsidTr="00B568AD">
        <w:trPr>
          <w:trHeight w:val="283"/>
        </w:trPr>
        <w:tc>
          <w:tcPr>
            <w:tcW w:w="4682" w:type="dxa"/>
            <w:gridSpan w:val="2"/>
            <w:tcBorders>
              <w:top w:val="nil"/>
            </w:tcBorders>
          </w:tcPr>
          <w:p w14:paraId="43E76FAA" w14:textId="77777777" w:rsidR="00B568AD" w:rsidRPr="00E02273" w:rsidRDefault="00B568AD" w:rsidP="00B568AD">
            <w:pPr>
              <w:keepNext/>
              <w:spacing w:line="240" w:lineRule="auto"/>
              <w:rPr>
                <w:lang w:val="en-CA"/>
              </w:rPr>
            </w:pPr>
          </w:p>
        </w:tc>
        <w:tc>
          <w:tcPr>
            <w:tcW w:w="4680" w:type="dxa"/>
            <w:tcBorders>
              <w:top w:val="single" w:sz="8" w:space="0" w:color="auto"/>
            </w:tcBorders>
          </w:tcPr>
          <w:p w14:paraId="20B39657" w14:textId="26D9F0CA" w:rsidR="00B568AD" w:rsidRPr="005219AB" w:rsidRDefault="002D51A4" w:rsidP="009E6D0A">
            <w:pPr>
              <w:spacing w:line="240" w:lineRule="auto"/>
            </w:pPr>
            <w:r w:rsidRPr="005219AB">
              <w:t>ROBERT M. MAINVILLE, J.A.</w:t>
            </w:r>
          </w:p>
        </w:tc>
      </w:tr>
      <w:tr w:rsidR="00F145CD" w:rsidRPr="00E02273" w14:paraId="7450519C" w14:textId="77777777" w:rsidTr="00B568AD">
        <w:trPr>
          <w:trHeight w:val="283"/>
        </w:trPr>
        <w:tc>
          <w:tcPr>
            <w:tcW w:w="4682" w:type="dxa"/>
            <w:gridSpan w:val="2"/>
            <w:tcBorders>
              <w:top w:val="nil"/>
            </w:tcBorders>
          </w:tcPr>
          <w:p w14:paraId="74588DBA" w14:textId="77777777" w:rsidR="00B568AD" w:rsidRPr="005219AB" w:rsidRDefault="00B568AD" w:rsidP="00B568AD">
            <w:pPr>
              <w:keepNext/>
              <w:spacing w:line="240" w:lineRule="auto"/>
            </w:pPr>
            <w:bookmarkStart w:id="13" w:name="Signature2"/>
          </w:p>
        </w:tc>
        <w:tc>
          <w:tcPr>
            <w:tcW w:w="4680" w:type="dxa"/>
            <w:tcBorders>
              <w:top w:val="nil"/>
            </w:tcBorders>
          </w:tcPr>
          <w:p w14:paraId="04420898" w14:textId="77777777" w:rsidR="00B568AD" w:rsidRPr="005219AB" w:rsidRDefault="00B568AD" w:rsidP="00B568AD">
            <w:pPr>
              <w:keepNext/>
              <w:spacing w:line="240" w:lineRule="auto"/>
            </w:pPr>
          </w:p>
        </w:tc>
      </w:tr>
      <w:tr w:rsidR="00F145CD" w:rsidRPr="00E02273" w14:paraId="299E8A97" w14:textId="77777777" w:rsidTr="00B568AD">
        <w:trPr>
          <w:trHeight w:val="283"/>
        </w:trPr>
        <w:tc>
          <w:tcPr>
            <w:tcW w:w="4682" w:type="dxa"/>
            <w:gridSpan w:val="2"/>
            <w:tcBorders>
              <w:top w:val="nil"/>
              <w:bottom w:val="nil"/>
            </w:tcBorders>
          </w:tcPr>
          <w:p w14:paraId="4857B5D2" w14:textId="77777777" w:rsidR="00B568AD" w:rsidRPr="005219AB" w:rsidRDefault="00B568AD" w:rsidP="00B568AD">
            <w:pPr>
              <w:keepNext/>
              <w:spacing w:line="240" w:lineRule="auto"/>
            </w:pPr>
          </w:p>
        </w:tc>
        <w:tc>
          <w:tcPr>
            <w:tcW w:w="4680" w:type="dxa"/>
            <w:tcBorders>
              <w:top w:val="nil"/>
              <w:bottom w:val="single" w:sz="8" w:space="0" w:color="auto"/>
            </w:tcBorders>
          </w:tcPr>
          <w:p w14:paraId="67E725B5" w14:textId="77777777" w:rsidR="00B568AD" w:rsidRPr="005219AB" w:rsidRDefault="00B568AD" w:rsidP="00B568AD">
            <w:pPr>
              <w:keepNext/>
              <w:spacing w:line="240" w:lineRule="auto"/>
            </w:pPr>
          </w:p>
        </w:tc>
      </w:tr>
      <w:tr w:rsidR="00F145CD" w:rsidRPr="00E02273" w14:paraId="651DD726" w14:textId="77777777" w:rsidTr="00B568AD">
        <w:trPr>
          <w:trHeight w:val="283"/>
        </w:trPr>
        <w:tc>
          <w:tcPr>
            <w:tcW w:w="4682" w:type="dxa"/>
            <w:gridSpan w:val="2"/>
            <w:tcBorders>
              <w:top w:val="nil"/>
            </w:tcBorders>
          </w:tcPr>
          <w:p w14:paraId="423783AB" w14:textId="77777777" w:rsidR="00B568AD" w:rsidRPr="005219AB" w:rsidRDefault="00B568AD" w:rsidP="00B568AD">
            <w:pPr>
              <w:keepNext/>
              <w:spacing w:line="240" w:lineRule="auto"/>
            </w:pPr>
          </w:p>
        </w:tc>
        <w:tc>
          <w:tcPr>
            <w:tcW w:w="4680" w:type="dxa"/>
            <w:tcBorders>
              <w:top w:val="single" w:sz="8" w:space="0" w:color="auto"/>
            </w:tcBorders>
          </w:tcPr>
          <w:p w14:paraId="66C31587" w14:textId="168982E9" w:rsidR="00B568AD" w:rsidRPr="00E02273" w:rsidRDefault="002D51A4" w:rsidP="009E6D0A">
            <w:pPr>
              <w:keepNext/>
              <w:spacing w:line="240" w:lineRule="auto"/>
              <w:rPr>
                <w:lang w:val="en-CA"/>
              </w:rPr>
            </w:pPr>
            <w:r w:rsidRPr="00E02273">
              <w:rPr>
                <w:lang w:val="en-CA"/>
              </w:rPr>
              <w:t>BENOÎT MOORE, J.A.</w:t>
            </w:r>
          </w:p>
        </w:tc>
      </w:tr>
      <w:tr w:rsidR="00F145CD" w:rsidRPr="00E02273" w14:paraId="3F7B730B" w14:textId="77777777" w:rsidTr="00B568AD">
        <w:trPr>
          <w:trHeight w:val="283"/>
        </w:trPr>
        <w:tc>
          <w:tcPr>
            <w:tcW w:w="4682" w:type="dxa"/>
            <w:gridSpan w:val="2"/>
            <w:tcBorders>
              <w:top w:val="nil"/>
            </w:tcBorders>
          </w:tcPr>
          <w:p w14:paraId="44D3B75A" w14:textId="77777777" w:rsidR="00B568AD" w:rsidRPr="00E02273" w:rsidRDefault="00B568AD" w:rsidP="00B568AD">
            <w:pPr>
              <w:keepNext/>
              <w:spacing w:line="240" w:lineRule="auto"/>
              <w:rPr>
                <w:lang w:val="en-CA"/>
              </w:rPr>
            </w:pPr>
            <w:bookmarkStart w:id="14" w:name="Signature3"/>
            <w:bookmarkEnd w:id="13"/>
          </w:p>
        </w:tc>
        <w:tc>
          <w:tcPr>
            <w:tcW w:w="4680" w:type="dxa"/>
            <w:tcBorders>
              <w:top w:val="nil"/>
            </w:tcBorders>
          </w:tcPr>
          <w:p w14:paraId="092DDCC7" w14:textId="77777777" w:rsidR="00B568AD" w:rsidRPr="00E02273" w:rsidRDefault="00B568AD" w:rsidP="00B568AD">
            <w:pPr>
              <w:keepNext/>
              <w:spacing w:line="240" w:lineRule="auto"/>
              <w:rPr>
                <w:lang w:val="en-CA"/>
              </w:rPr>
            </w:pPr>
          </w:p>
        </w:tc>
      </w:tr>
      <w:tr w:rsidR="00F145CD" w:rsidRPr="00E02273" w14:paraId="3DE8B00C" w14:textId="77777777" w:rsidTr="00B568AD">
        <w:trPr>
          <w:trHeight w:val="283"/>
        </w:trPr>
        <w:tc>
          <w:tcPr>
            <w:tcW w:w="4682" w:type="dxa"/>
            <w:gridSpan w:val="2"/>
            <w:tcBorders>
              <w:top w:val="nil"/>
              <w:bottom w:val="nil"/>
            </w:tcBorders>
          </w:tcPr>
          <w:p w14:paraId="7DF94209" w14:textId="77777777" w:rsidR="00B568AD" w:rsidRPr="00E02273" w:rsidRDefault="00B568AD" w:rsidP="00B568AD">
            <w:pPr>
              <w:keepNext/>
              <w:spacing w:line="240" w:lineRule="auto"/>
              <w:rPr>
                <w:lang w:val="en-CA"/>
              </w:rPr>
            </w:pPr>
          </w:p>
        </w:tc>
        <w:tc>
          <w:tcPr>
            <w:tcW w:w="4680" w:type="dxa"/>
            <w:tcBorders>
              <w:top w:val="nil"/>
              <w:bottom w:val="single" w:sz="8" w:space="0" w:color="auto"/>
            </w:tcBorders>
          </w:tcPr>
          <w:p w14:paraId="5E6759B0" w14:textId="77777777" w:rsidR="00B568AD" w:rsidRPr="00E02273" w:rsidRDefault="00B568AD" w:rsidP="00B568AD">
            <w:pPr>
              <w:keepNext/>
              <w:spacing w:line="240" w:lineRule="auto"/>
              <w:rPr>
                <w:lang w:val="en-CA"/>
              </w:rPr>
            </w:pPr>
          </w:p>
        </w:tc>
      </w:tr>
      <w:tr w:rsidR="00F145CD" w:rsidRPr="00E02273" w14:paraId="75A39783" w14:textId="77777777" w:rsidTr="00B568AD">
        <w:trPr>
          <w:trHeight w:val="283"/>
        </w:trPr>
        <w:tc>
          <w:tcPr>
            <w:tcW w:w="4682" w:type="dxa"/>
            <w:gridSpan w:val="2"/>
            <w:tcBorders>
              <w:top w:val="nil"/>
            </w:tcBorders>
          </w:tcPr>
          <w:p w14:paraId="22B6808C" w14:textId="77777777" w:rsidR="00B568AD" w:rsidRPr="00E02273" w:rsidRDefault="00B568AD" w:rsidP="00B568AD">
            <w:pPr>
              <w:keepNext/>
              <w:spacing w:line="240" w:lineRule="auto"/>
              <w:rPr>
                <w:lang w:val="en-CA"/>
              </w:rPr>
            </w:pPr>
          </w:p>
        </w:tc>
        <w:tc>
          <w:tcPr>
            <w:tcW w:w="4680" w:type="dxa"/>
            <w:tcBorders>
              <w:top w:val="single" w:sz="8" w:space="0" w:color="auto"/>
            </w:tcBorders>
          </w:tcPr>
          <w:p w14:paraId="4E6E3993" w14:textId="3170701B" w:rsidR="00B568AD" w:rsidRPr="00E02273" w:rsidRDefault="002D51A4" w:rsidP="009E6D0A">
            <w:pPr>
              <w:keepNext/>
              <w:spacing w:line="240" w:lineRule="auto"/>
              <w:rPr>
                <w:lang w:val="en-CA"/>
              </w:rPr>
            </w:pPr>
            <w:r w:rsidRPr="00E02273">
              <w:rPr>
                <w:lang w:val="en-CA"/>
              </w:rPr>
              <w:t>GUY COURNOYER, J.A.</w:t>
            </w:r>
          </w:p>
        </w:tc>
      </w:tr>
      <w:bookmarkEnd w:id="14"/>
      <w:tr w:rsidR="00F145CD" w:rsidRPr="00E02273" w14:paraId="1A2051C6" w14:textId="77777777" w:rsidTr="00B568AD">
        <w:tc>
          <w:tcPr>
            <w:tcW w:w="9362" w:type="dxa"/>
            <w:gridSpan w:val="3"/>
          </w:tcPr>
          <w:p w14:paraId="1FF87800" w14:textId="77777777" w:rsidR="00B568AD" w:rsidRPr="00E02273" w:rsidRDefault="00B568AD" w:rsidP="00B568AD">
            <w:pPr>
              <w:spacing w:line="240" w:lineRule="auto"/>
              <w:rPr>
                <w:lang w:val="en-CA"/>
              </w:rPr>
            </w:pPr>
          </w:p>
        </w:tc>
      </w:tr>
      <w:tr w:rsidR="00F145CD" w:rsidRPr="00E02273" w14:paraId="1209A07B" w14:textId="77777777" w:rsidTr="00B568AD">
        <w:tc>
          <w:tcPr>
            <w:tcW w:w="9362" w:type="dxa"/>
            <w:gridSpan w:val="3"/>
            <w:tcBorders>
              <w:bottom w:val="nil"/>
            </w:tcBorders>
          </w:tcPr>
          <w:p w14:paraId="64EDCE20" w14:textId="77777777" w:rsidR="00B568AD" w:rsidRPr="00E02273" w:rsidRDefault="00B568AD" w:rsidP="00B568AD">
            <w:pPr>
              <w:spacing w:line="240" w:lineRule="auto"/>
              <w:rPr>
                <w:lang w:val="en-CA"/>
              </w:rPr>
            </w:pPr>
          </w:p>
        </w:tc>
      </w:tr>
      <w:tr w:rsidR="00F145CD" w:rsidRPr="00E02273" w14:paraId="3C16AE4C" w14:textId="77777777" w:rsidTr="00B568AD">
        <w:tc>
          <w:tcPr>
            <w:tcW w:w="9362" w:type="dxa"/>
            <w:gridSpan w:val="3"/>
            <w:tcBorders>
              <w:top w:val="nil"/>
            </w:tcBorders>
          </w:tcPr>
          <w:p w14:paraId="165E5605" w14:textId="4034B822" w:rsidR="00B568AD" w:rsidRPr="00E02273" w:rsidRDefault="009E6D0A" w:rsidP="00B568AD">
            <w:pPr>
              <w:pStyle w:val="zSoquijdatNomProcureurDem"/>
              <w:spacing w:line="240" w:lineRule="auto"/>
              <w:rPr>
                <w:lang w:val="en-CA"/>
              </w:rPr>
            </w:pPr>
            <w:r w:rsidRPr="00E02273">
              <w:rPr>
                <w:lang w:val="en-CA"/>
              </w:rPr>
              <w:lastRenderedPageBreak/>
              <w:t>Mtre Julie Desrosiers</w:t>
            </w:r>
          </w:p>
        </w:tc>
      </w:tr>
      <w:tr w:rsidR="00F145CD" w:rsidRPr="00E02273" w14:paraId="477E9422" w14:textId="77777777" w:rsidTr="00B568AD">
        <w:tc>
          <w:tcPr>
            <w:tcW w:w="9362" w:type="dxa"/>
            <w:gridSpan w:val="3"/>
          </w:tcPr>
          <w:p w14:paraId="4D296117" w14:textId="134D3462" w:rsidR="00B568AD" w:rsidRPr="00E02273" w:rsidRDefault="009E6D0A" w:rsidP="00B568AD">
            <w:pPr>
              <w:pStyle w:val="zSoquijdatNomProcureurDem"/>
              <w:spacing w:line="240" w:lineRule="auto"/>
              <w:rPr>
                <w:lang w:val="en-CA"/>
              </w:rPr>
            </w:pPr>
            <w:r w:rsidRPr="00E02273">
              <w:rPr>
                <w:lang w:val="en-CA"/>
              </w:rPr>
              <w:t>Mtre Marc-André Fabien</w:t>
            </w:r>
          </w:p>
        </w:tc>
      </w:tr>
      <w:tr w:rsidR="00F145CD" w:rsidRPr="00E02273" w14:paraId="1DEE932C" w14:textId="77777777" w:rsidTr="00B568AD">
        <w:tc>
          <w:tcPr>
            <w:tcW w:w="9362" w:type="dxa"/>
            <w:gridSpan w:val="3"/>
          </w:tcPr>
          <w:p w14:paraId="5E05C1F4" w14:textId="34D67717" w:rsidR="00B568AD" w:rsidRPr="00E02273" w:rsidRDefault="009E6D0A" w:rsidP="00B568AD">
            <w:pPr>
              <w:pStyle w:val="zSoquijdatNomProcureurDem"/>
              <w:spacing w:line="240" w:lineRule="auto"/>
              <w:rPr>
                <w:lang w:val="en-CA"/>
              </w:rPr>
            </w:pPr>
            <w:r w:rsidRPr="00E02273">
              <w:rPr>
                <w:lang w:val="en-CA"/>
              </w:rPr>
              <w:t>Mtre Eliane Ellbogen</w:t>
            </w:r>
          </w:p>
        </w:tc>
      </w:tr>
      <w:tr w:rsidR="00F145CD" w:rsidRPr="00E02273" w14:paraId="1ED04265" w14:textId="77777777" w:rsidTr="00B568AD">
        <w:tc>
          <w:tcPr>
            <w:tcW w:w="9362" w:type="dxa"/>
            <w:gridSpan w:val="3"/>
          </w:tcPr>
          <w:p w14:paraId="6490B72E" w14:textId="77777777" w:rsidR="00B568AD" w:rsidRPr="00E02273" w:rsidRDefault="002D51A4" w:rsidP="00B568AD">
            <w:pPr>
              <w:pStyle w:val="zSoquijdatCabinetProcureurDem"/>
              <w:spacing w:line="240" w:lineRule="auto"/>
              <w:rPr>
                <w:lang w:val="en-CA"/>
              </w:rPr>
            </w:pPr>
            <w:r w:rsidRPr="00E02273">
              <w:rPr>
                <w:lang w:val="en-CA"/>
              </w:rPr>
              <w:t>FASKEN MARTINEAU DUMOULIN</w:t>
            </w:r>
          </w:p>
        </w:tc>
      </w:tr>
      <w:tr w:rsidR="00F145CD" w:rsidRPr="003F65E5" w14:paraId="4776A4AE" w14:textId="77777777" w:rsidTr="00B568AD">
        <w:tc>
          <w:tcPr>
            <w:tcW w:w="9362" w:type="dxa"/>
            <w:gridSpan w:val="3"/>
          </w:tcPr>
          <w:p w14:paraId="368FD8A3" w14:textId="11868820" w:rsidR="00B568AD" w:rsidRPr="00E02273" w:rsidRDefault="009E6D0A" w:rsidP="00B568AD">
            <w:pPr>
              <w:pStyle w:val="zSoquijlblProcureurDem"/>
              <w:spacing w:line="240" w:lineRule="auto"/>
              <w:rPr>
                <w:lang w:val="en-CA"/>
              </w:rPr>
            </w:pPr>
            <w:r w:rsidRPr="00E02273">
              <w:rPr>
                <w:lang w:val="en-CA"/>
              </w:rPr>
              <w:t>Counsel for the appellants / incidental respondents</w:t>
            </w:r>
          </w:p>
        </w:tc>
      </w:tr>
      <w:tr w:rsidR="00F145CD" w:rsidRPr="003F65E5" w14:paraId="4DBE4B5A" w14:textId="77777777" w:rsidTr="00B568AD">
        <w:tc>
          <w:tcPr>
            <w:tcW w:w="9362" w:type="dxa"/>
            <w:gridSpan w:val="3"/>
          </w:tcPr>
          <w:p w14:paraId="2D987B48" w14:textId="77777777" w:rsidR="00B568AD" w:rsidRPr="00E02273" w:rsidRDefault="00B568AD" w:rsidP="00B568AD">
            <w:pPr>
              <w:spacing w:line="240" w:lineRule="auto"/>
              <w:rPr>
                <w:lang w:val="en-CA"/>
              </w:rPr>
            </w:pPr>
          </w:p>
        </w:tc>
      </w:tr>
      <w:tr w:rsidR="00F145CD" w:rsidRPr="00E02273" w14:paraId="5ABCC93D" w14:textId="77777777" w:rsidTr="00B568AD">
        <w:tc>
          <w:tcPr>
            <w:tcW w:w="9362" w:type="dxa"/>
            <w:gridSpan w:val="3"/>
          </w:tcPr>
          <w:p w14:paraId="185D9F81" w14:textId="05976EFF" w:rsidR="00B568AD" w:rsidRPr="00E02273" w:rsidRDefault="009E6D0A" w:rsidP="00B568AD">
            <w:pPr>
              <w:pStyle w:val="zSoquijdatNomProcureurDef"/>
              <w:spacing w:line="240" w:lineRule="auto"/>
              <w:rPr>
                <w:lang w:val="en-CA"/>
              </w:rPr>
            </w:pPr>
            <w:r w:rsidRPr="00E02273">
              <w:rPr>
                <w:lang w:val="en-CA"/>
              </w:rPr>
              <w:t>Mtre Bernard Letarte</w:t>
            </w:r>
          </w:p>
        </w:tc>
      </w:tr>
      <w:tr w:rsidR="00F145CD" w:rsidRPr="00E02273" w14:paraId="4F64DA3E" w14:textId="77777777" w:rsidTr="00B568AD">
        <w:tc>
          <w:tcPr>
            <w:tcW w:w="9362" w:type="dxa"/>
            <w:gridSpan w:val="3"/>
          </w:tcPr>
          <w:p w14:paraId="17811DE7" w14:textId="3DDAD7C1" w:rsidR="00B568AD" w:rsidRPr="00E02273" w:rsidRDefault="009E6D0A" w:rsidP="00B568AD">
            <w:pPr>
              <w:pStyle w:val="zSoquijdatNomProcureurDef"/>
              <w:spacing w:line="240" w:lineRule="auto"/>
              <w:rPr>
                <w:lang w:val="en-CA"/>
              </w:rPr>
            </w:pPr>
            <w:r w:rsidRPr="00E02273">
              <w:rPr>
                <w:lang w:val="en-CA"/>
              </w:rPr>
              <w:t>Mtre Sarom Bahk</w:t>
            </w:r>
          </w:p>
        </w:tc>
      </w:tr>
      <w:tr w:rsidR="00F145CD" w:rsidRPr="00E02273" w14:paraId="2F0EC365" w14:textId="77777777" w:rsidTr="00B568AD">
        <w:tc>
          <w:tcPr>
            <w:tcW w:w="9362" w:type="dxa"/>
            <w:gridSpan w:val="3"/>
          </w:tcPr>
          <w:p w14:paraId="6B15669F" w14:textId="00C1B099" w:rsidR="00B568AD" w:rsidRPr="00E02273" w:rsidRDefault="009E6D0A" w:rsidP="00B568AD">
            <w:pPr>
              <w:pStyle w:val="zSoquijdatNomProcureurDef"/>
              <w:spacing w:line="240" w:lineRule="auto"/>
              <w:rPr>
                <w:lang w:val="en-CA"/>
              </w:rPr>
            </w:pPr>
            <w:r w:rsidRPr="00E02273">
              <w:rPr>
                <w:lang w:val="en-CA"/>
              </w:rPr>
              <w:t>Mtre Lyne Prince</w:t>
            </w:r>
          </w:p>
        </w:tc>
      </w:tr>
      <w:tr w:rsidR="00F145CD" w:rsidRPr="00E02273" w14:paraId="6F6A6F49" w14:textId="77777777" w:rsidTr="00B568AD">
        <w:tc>
          <w:tcPr>
            <w:tcW w:w="9362" w:type="dxa"/>
            <w:gridSpan w:val="3"/>
          </w:tcPr>
          <w:p w14:paraId="646AC73E" w14:textId="1EA82854" w:rsidR="00B568AD" w:rsidRPr="00E02273" w:rsidRDefault="009E6D0A" w:rsidP="00B568AD">
            <w:pPr>
              <w:pStyle w:val="zSoquijdatCabinetProcureurDef"/>
              <w:spacing w:line="240" w:lineRule="auto"/>
              <w:rPr>
                <w:lang w:val="en-CA"/>
              </w:rPr>
            </w:pPr>
            <w:r w:rsidRPr="00E02273">
              <w:rPr>
                <w:lang w:val="en-CA"/>
              </w:rPr>
              <w:t>DEPARTMENT OF JUSTICE CANADA</w:t>
            </w:r>
          </w:p>
        </w:tc>
      </w:tr>
      <w:tr w:rsidR="00F145CD" w:rsidRPr="003F65E5" w14:paraId="5DBA3C13" w14:textId="77777777" w:rsidTr="00B568AD">
        <w:tc>
          <w:tcPr>
            <w:tcW w:w="9362" w:type="dxa"/>
            <w:gridSpan w:val="3"/>
          </w:tcPr>
          <w:p w14:paraId="613C3496" w14:textId="558EBF93" w:rsidR="00B568AD" w:rsidRPr="00E02273" w:rsidRDefault="009E6D0A" w:rsidP="00B568AD">
            <w:pPr>
              <w:pStyle w:val="zSoquijlblProcureurDef"/>
              <w:spacing w:line="240" w:lineRule="auto"/>
              <w:rPr>
                <w:lang w:val="en-CA"/>
              </w:rPr>
            </w:pPr>
            <w:r w:rsidRPr="00E02273">
              <w:rPr>
                <w:lang w:val="en-CA"/>
              </w:rPr>
              <w:t>Counsel for the respondent / incidental appellant</w:t>
            </w:r>
          </w:p>
        </w:tc>
      </w:tr>
      <w:tr w:rsidR="00F145CD" w:rsidRPr="003F65E5" w14:paraId="22CD3726" w14:textId="77777777" w:rsidTr="00B568AD">
        <w:tc>
          <w:tcPr>
            <w:tcW w:w="9362" w:type="dxa"/>
            <w:gridSpan w:val="3"/>
          </w:tcPr>
          <w:p w14:paraId="4C9FA016" w14:textId="77777777" w:rsidR="00B568AD" w:rsidRPr="00E02273" w:rsidRDefault="00B568AD" w:rsidP="00B568AD">
            <w:pPr>
              <w:spacing w:line="240" w:lineRule="auto"/>
              <w:rPr>
                <w:lang w:val="en-CA"/>
              </w:rPr>
            </w:pPr>
          </w:p>
        </w:tc>
      </w:tr>
      <w:tr w:rsidR="00F145CD" w:rsidRPr="00E02273" w14:paraId="0A908F8C" w14:textId="77777777" w:rsidTr="00B568AD">
        <w:tc>
          <w:tcPr>
            <w:tcW w:w="9362" w:type="dxa"/>
            <w:gridSpan w:val="3"/>
          </w:tcPr>
          <w:p w14:paraId="35C96766" w14:textId="4139B7FE" w:rsidR="00B568AD" w:rsidRPr="00E02273" w:rsidRDefault="009E6D0A" w:rsidP="00B568AD">
            <w:pPr>
              <w:pStyle w:val="zSoquijdatNomProcureurDef"/>
              <w:spacing w:line="240" w:lineRule="auto"/>
              <w:rPr>
                <w:lang w:val="en-CA"/>
              </w:rPr>
            </w:pPr>
            <w:r w:rsidRPr="00E02273">
              <w:rPr>
                <w:lang w:val="en-CA"/>
              </w:rPr>
              <w:t>Mtre Francis Demers</w:t>
            </w:r>
          </w:p>
        </w:tc>
      </w:tr>
      <w:tr w:rsidR="00F145CD" w:rsidRPr="00E02273" w14:paraId="2AFE2045" w14:textId="77777777" w:rsidTr="00B568AD">
        <w:tc>
          <w:tcPr>
            <w:tcW w:w="9362" w:type="dxa"/>
            <w:gridSpan w:val="3"/>
          </w:tcPr>
          <w:p w14:paraId="66DF9904" w14:textId="77777777" w:rsidR="00B568AD" w:rsidRPr="00E02273" w:rsidRDefault="002D51A4" w:rsidP="00B568AD">
            <w:pPr>
              <w:pStyle w:val="zSoquijdatCabinetProcureurDef"/>
              <w:spacing w:line="240" w:lineRule="auto"/>
              <w:rPr>
                <w:lang w:val="en-CA"/>
              </w:rPr>
            </w:pPr>
            <w:r w:rsidRPr="00E02273">
              <w:rPr>
                <w:lang w:val="en-CA"/>
              </w:rPr>
              <w:t>BERNARD, ROY (JUSTICE-QUÉBEC)</w:t>
            </w:r>
          </w:p>
        </w:tc>
      </w:tr>
      <w:tr w:rsidR="00F145CD" w:rsidRPr="003F65E5" w14:paraId="2261CBC6" w14:textId="77777777" w:rsidTr="00B568AD">
        <w:tc>
          <w:tcPr>
            <w:tcW w:w="9362" w:type="dxa"/>
            <w:gridSpan w:val="3"/>
          </w:tcPr>
          <w:p w14:paraId="7228CD88" w14:textId="36735376" w:rsidR="00B568AD" w:rsidRPr="00E02273" w:rsidRDefault="009E6D0A" w:rsidP="00B568AD">
            <w:pPr>
              <w:pStyle w:val="zSoquijlblProcureurDef"/>
              <w:spacing w:line="240" w:lineRule="auto"/>
              <w:rPr>
                <w:lang w:val="en-CA"/>
              </w:rPr>
            </w:pPr>
            <w:r w:rsidRPr="00E02273">
              <w:rPr>
                <w:lang w:val="en-CA"/>
              </w:rPr>
              <w:t>Counsel for the Attorney General of Quebec</w:t>
            </w:r>
          </w:p>
        </w:tc>
      </w:tr>
      <w:tr w:rsidR="00F145CD" w:rsidRPr="003F65E5" w14:paraId="6EFF56E0" w14:textId="77777777" w:rsidTr="00B568AD">
        <w:tc>
          <w:tcPr>
            <w:tcW w:w="9362" w:type="dxa"/>
            <w:gridSpan w:val="3"/>
          </w:tcPr>
          <w:p w14:paraId="1CD33E07" w14:textId="77777777" w:rsidR="00B568AD" w:rsidRPr="00E02273" w:rsidRDefault="00B568AD" w:rsidP="00B568AD">
            <w:pPr>
              <w:spacing w:line="240" w:lineRule="auto"/>
              <w:rPr>
                <w:lang w:val="en-CA"/>
              </w:rPr>
            </w:pPr>
          </w:p>
        </w:tc>
      </w:tr>
      <w:tr w:rsidR="00F145CD" w:rsidRPr="00E02273" w14:paraId="35924946" w14:textId="77777777" w:rsidTr="00B568AD">
        <w:tc>
          <w:tcPr>
            <w:tcW w:w="9362" w:type="dxa"/>
            <w:gridSpan w:val="3"/>
          </w:tcPr>
          <w:p w14:paraId="54B4C264" w14:textId="70F594D6" w:rsidR="00B568AD" w:rsidRPr="00E02273" w:rsidRDefault="009E6D0A" w:rsidP="00B568AD">
            <w:pPr>
              <w:pStyle w:val="zSoquijdatNomProcureurDef"/>
              <w:spacing w:line="240" w:lineRule="auto"/>
              <w:rPr>
                <w:lang w:val="en-CA"/>
              </w:rPr>
            </w:pPr>
            <w:r w:rsidRPr="00E02273">
              <w:rPr>
                <w:lang w:val="en-CA"/>
              </w:rPr>
              <w:t>Mtre Audrey Boctor</w:t>
            </w:r>
          </w:p>
        </w:tc>
      </w:tr>
      <w:tr w:rsidR="00F145CD" w:rsidRPr="00E02273" w14:paraId="70AC2FB1" w14:textId="77777777" w:rsidTr="00B568AD">
        <w:tc>
          <w:tcPr>
            <w:tcW w:w="9362" w:type="dxa"/>
            <w:gridSpan w:val="3"/>
          </w:tcPr>
          <w:p w14:paraId="4811DF31" w14:textId="1FE36CED" w:rsidR="00B568AD" w:rsidRPr="00E02273" w:rsidRDefault="009E6D0A" w:rsidP="00B568AD">
            <w:pPr>
              <w:pStyle w:val="zSoquijdatNomProcureurDef"/>
              <w:spacing w:line="240" w:lineRule="auto"/>
              <w:rPr>
                <w:lang w:val="en-CA"/>
              </w:rPr>
            </w:pPr>
            <w:r w:rsidRPr="00E02273">
              <w:rPr>
                <w:lang w:val="en-CA"/>
              </w:rPr>
              <w:t>Mtre Miriam Clouthier</w:t>
            </w:r>
          </w:p>
        </w:tc>
      </w:tr>
      <w:tr w:rsidR="00F145CD" w:rsidRPr="00E02273" w14:paraId="7C1BA8DA" w14:textId="77777777" w:rsidTr="00B568AD">
        <w:tc>
          <w:tcPr>
            <w:tcW w:w="9362" w:type="dxa"/>
            <w:gridSpan w:val="3"/>
          </w:tcPr>
          <w:p w14:paraId="18AE91CA" w14:textId="77777777" w:rsidR="00B568AD" w:rsidRPr="00E02273" w:rsidRDefault="002D51A4" w:rsidP="00B568AD">
            <w:pPr>
              <w:pStyle w:val="zSoquijdatCabinetProcureurDef"/>
              <w:spacing w:line="240" w:lineRule="auto"/>
              <w:rPr>
                <w:lang w:val="en-CA"/>
              </w:rPr>
            </w:pPr>
            <w:r w:rsidRPr="00E02273">
              <w:rPr>
                <w:lang w:val="en-CA"/>
              </w:rPr>
              <w:t>IMK</w:t>
            </w:r>
          </w:p>
        </w:tc>
      </w:tr>
      <w:tr w:rsidR="00F145CD" w:rsidRPr="003F65E5" w14:paraId="7721BE62" w14:textId="77777777" w:rsidTr="00B568AD">
        <w:tc>
          <w:tcPr>
            <w:tcW w:w="9362" w:type="dxa"/>
            <w:gridSpan w:val="3"/>
          </w:tcPr>
          <w:p w14:paraId="4C29B56C" w14:textId="6CA3CA84" w:rsidR="00B568AD" w:rsidRPr="00E02273" w:rsidRDefault="009E6D0A" w:rsidP="009E6D0A">
            <w:pPr>
              <w:pStyle w:val="zSoquijlblProcureurDef"/>
              <w:spacing w:line="240" w:lineRule="auto"/>
              <w:rPr>
                <w:lang w:val="en-CA"/>
              </w:rPr>
            </w:pPr>
            <w:r w:rsidRPr="00E02273">
              <w:rPr>
                <w:lang w:val="en-CA"/>
              </w:rPr>
              <w:t xml:space="preserve">Counsel for the </w:t>
            </w:r>
            <w:r w:rsidR="002D51A4" w:rsidRPr="00E02273">
              <w:rPr>
                <w:lang w:val="en-CA"/>
              </w:rPr>
              <w:t>Canadian Cystic Fibrosis Treatment Society</w:t>
            </w:r>
          </w:p>
        </w:tc>
      </w:tr>
      <w:tr w:rsidR="00F145CD" w:rsidRPr="003F65E5" w14:paraId="41D0B600" w14:textId="77777777" w:rsidTr="00B568AD">
        <w:tc>
          <w:tcPr>
            <w:tcW w:w="9362" w:type="dxa"/>
            <w:gridSpan w:val="3"/>
          </w:tcPr>
          <w:p w14:paraId="6491A0BF" w14:textId="77777777" w:rsidR="00B568AD" w:rsidRPr="00E02273" w:rsidRDefault="00B568AD" w:rsidP="00B568AD">
            <w:pPr>
              <w:spacing w:line="240" w:lineRule="auto"/>
              <w:rPr>
                <w:lang w:val="en-CA"/>
              </w:rPr>
            </w:pPr>
          </w:p>
        </w:tc>
      </w:tr>
      <w:tr w:rsidR="00F145CD" w:rsidRPr="00E02273" w14:paraId="61A1836D" w14:textId="77777777" w:rsidTr="00B568AD">
        <w:tc>
          <w:tcPr>
            <w:tcW w:w="9362" w:type="dxa"/>
            <w:gridSpan w:val="3"/>
          </w:tcPr>
          <w:p w14:paraId="7EE2E614" w14:textId="03D62B34" w:rsidR="00B568AD" w:rsidRPr="005219AB" w:rsidRDefault="002D51A4" w:rsidP="004A6D6E">
            <w:pPr>
              <w:pStyle w:val="zSoquijdatNomProcureurDef"/>
              <w:spacing w:line="240" w:lineRule="auto"/>
            </w:pPr>
            <w:r w:rsidRPr="005219AB">
              <w:t>Mtre Marie-Pier Emery-Rochette</w:t>
            </w:r>
          </w:p>
        </w:tc>
      </w:tr>
      <w:tr w:rsidR="00F145CD" w:rsidRPr="00E02273" w14:paraId="6ECDAA9D" w14:textId="77777777" w:rsidTr="00B568AD">
        <w:tc>
          <w:tcPr>
            <w:tcW w:w="9362" w:type="dxa"/>
            <w:gridSpan w:val="3"/>
          </w:tcPr>
          <w:p w14:paraId="0C3BD7AC" w14:textId="0DE2BF18" w:rsidR="00B568AD" w:rsidRPr="00E02273" w:rsidRDefault="002D51A4" w:rsidP="004A6D6E">
            <w:pPr>
              <w:pStyle w:val="zSoquijdatNomProcureurDef"/>
              <w:spacing w:line="240" w:lineRule="auto"/>
              <w:rPr>
                <w:lang w:val="en-CA"/>
              </w:rPr>
            </w:pPr>
            <w:r w:rsidRPr="00E02273">
              <w:rPr>
                <w:lang w:val="en-CA"/>
              </w:rPr>
              <w:t>Mtre Sandrine Mainville</w:t>
            </w:r>
          </w:p>
        </w:tc>
      </w:tr>
      <w:tr w:rsidR="00F145CD" w:rsidRPr="00E02273" w14:paraId="0B3FAA81" w14:textId="77777777" w:rsidTr="00B568AD">
        <w:tc>
          <w:tcPr>
            <w:tcW w:w="9362" w:type="dxa"/>
            <w:gridSpan w:val="3"/>
          </w:tcPr>
          <w:p w14:paraId="63172DA9" w14:textId="77777777" w:rsidR="00B568AD" w:rsidRPr="00E02273" w:rsidRDefault="002D51A4" w:rsidP="00B568AD">
            <w:pPr>
              <w:pStyle w:val="zSoquijdatCabinetProcureurDef"/>
              <w:spacing w:line="240" w:lineRule="auto"/>
              <w:rPr>
                <w:lang w:val="en-CA"/>
              </w:rPr>
            </w:pPr>
            <w:r w:rsidRPr="00E02273">
              <w:rPr>
                <w:lang w:val="en-CA"/>
              </w:rPr>
              <w:t>BORDEN LADNER GERVAIS</w:t>
            </w:r>
          </w:p>
        </w:tc>
      </w:tr>
      <w:tr w:rsidR="00F145CD" w:rsidRPr="003F65E5" w14:paraId="60B37110" w14:textId="77777777" w:rsidTr="00B568AD">
        <w:tc>
          <w:tcPr>
            <w:tcW w:w="9362" w:type="dxa"/>
            <w:gridSpan w:val="3"/>
          </w:tcPr>
          <w:p w14:paraId="247CBEE1" w14:textId="63B4F943" w:rsidR="00B568AD" w:rsidRPr="00E02273" w:rsidRDefault="004A6D6E" w:rsidP="004A6D6E">
            <w:pPr>
              <w:pStyle w:val="zSoquijlblProcureurDef"/>
              <w:spacing w:line="240" w:lineRule="auto"/>
              <w:rPr>
                <w:lang w:val="en-CA"/>
              </w:rPr>
            </w:pPr>
            <w:r w:rsidRPr="00E02273">
              <w:rPr>
                <w:lang w:val="en-CA"/>
              </w:rPr>
              <w:t xml:space="preserve">Counsel for </w:t>
            </w:r>
            <w:r w:rsidR="002D51A4" w:rsidRPr="00E02273">
              <w:rPr>
                <w:lang w:val="en-CA"/>
              </w:rPr>
              <w:t>Cystic Fibrosis Canada</w:t>
            </w:r>
          </w:p>
        </w:tc>
      </w:tr>
      <w:tr w:rsidR="00F145CD" w:rsidRPr="003F65E5" w14:paraId="6BCA3846" w14:textId="77777777" w:rsidTr="00B568AD">
        <w:tc>
          <w:tcPr>
            <w:tcW w:w="9362" w:type="dxa"/>
            <w:gridSpan w:val="3"/>
            <w:tcBorders>
              <w:bottom w:val="nil"/>
            </w:tcBorders>
          </w:tcPr>
          <w:p w14:paraId="5F055CE9" w14:textId="77777777" w:rsidR="00B568AD" w:rsidRPr="00E02273" w:rsidRDefault="00B568AD" w:rsidP="00B568AD">
            <w:pPr>
              <w:spacing w:line="240" w:lineRule="auto"/>
              <w:rPr>
                <w:lang w:val="en-CA"/>
              </w:rPr>
            </w:pPr>
          </w:p>
        </w:tc>
      </w:tr>
      <w:tr w:rsidR="00F145CD" w:rsidRPr="00E02273" w14:paraId="227F2F04" w14:textId="77777777" w:rsidTr="00B568AD">
        <w:tc>
          <w:tcPr>
            <w:tcW w:w="9362" w:type="dxa"/>
            <w:gridSpan w:val="3"/>
            <w:tcBorders>
              <w:top w:val="nil"/>
            </w:tcBorders>
          </w:tcPr>
          <w:p w14:paraId="47DDC945" w14:textId="7D292CAB" w:rsidR="00B568AD" w:rsidRPr="00E02273" w:rsidRDefault="002D51A4" w:rsidP="004A6D6E">
            <w:pPr>
              <w:pStyle w:val="zSoquijdatNomProcureurDef"/>
              <w:spacing w:line="240" w:lineRule="auto"/>
              <w:rPr>
                <w:lang w:val="en-CA"/>
              </w:rPr>
            </w:pPr>
            <w:r w:rsidRPr="00E02273">
              <w:rPr>
                <w:lang w:val="en-CA"/>
              </w:rPr>
              <w:t>Mtre</w:t>
            </w:r>
            <w:r w:rsidR="004A6D6E" w:rsidRPr="00E02273">
              <w:rPr>
                <w:lang w:val="en-CA"/>
              </w:rPr>
              <w:t xml:space="preserve"> </w:t>
            </w:r>
            <w:r w:rsidRPr="00E02273">
              <w:rPr>
                <w:lang w:val="en-CA"/>
              </w:rPr>
              <w:t>Nicolas Martin Rouleau</w:t>
            </w:r>
          </w:p>
        </w:tc>
      </w:tr>
      <w:tr w:rsidR="00F145CD" w:rsidRPr="00E02273" w14:paraId="754C1A16" w14:textId="77777777" w:rsidTr="00B568AD">
        <w:tc>
          <w:tcPr>
            <w:tcW w:w="9362" w:type="dxa"/>
            <w:gridSpan w:val="3"/>
          </w:tcPr>
          <w:p w14:paraId="043B62DB" w14:textId="2B8997C5" w:rsidR="00B568AD" w:rsidRPr="005219AB" w:rsidRDefault="002D51A4" w:rsidP="004A6D6E">
            <w:pPr>
              <w:pStyle w:val="zSoquijdatCabinetProcureurDef"/>
              <w:spacing w:line="240" w:lineRule="auto"/>
            </w:pPr>
            <w:r w:rsidRPr="005219AB">
              <w:t>NICOLAS M. ROULEAU, SOCIÉTÉ</w:t>
            </w:r>
            <w:r w:rsidR="004A6D6E" w:rsidRPr="005219AB">
              <w:t xml:space="preserve"> </w:t>
            </w:r>
            <w:r w:rsidRPr="005219AB">
              <w:t>PROFESSIONNELLE</w:t>
            </w:r>
          </w:p>
        </w:tc>
      </w:tr>
      <w:tr w:rsidR="00F145CD" w:rsidRPr="003F65E5" w14:paraId="08124329" w14:textId="77777777" w:rsidTr="00B568AD">
        <w:tc>
          <w:tcPr>
            <w:tcW w:w="9362" w:type="dxa"/>
            <w:gridSpan w:val="3"/>
          </w:tcPr>
          <w:p w14:paraId="0391B67B" w14:textId="50C2263F" w:rsidR="00B568AD" w:rsidRPr="00E02273" w:rsidRDefault="004A6D6E" w:rsidP="004A6D6E">
            <w:pPr>
              <w:pStyle w:val="zSoquijlblProcureurDef"/>
              <w:spacing w:line="240" w:lineRule="auto"/>
              <w:rPr>
                <w:lang w:val="en-CA"/>
              </w:rPr>
            </w:pPr>
            <w:r w:rsidRPr="00E02273">
              <w:rPr>
                <w:lang w:val="en-CA"/>
              </w:rPr>
              <w:t xml:space="preserve">Counsel for the </w:t>
            </w:r>
            <w:r w:rsidR="002D51A4" w:rsidRPr="00E02273">
              <w:rPr>
                <w:lang w:val="en-CA"/>
              </w:rPr>
              <w:t>Canadian Organization for Rare Disorders</w:t>
            </w:r>
          </w:p>
        </w:tc>
      </w:tr>
      <w:tr w:rsidR="00F145CD" w:rsidRPr="003F65E5" w14:paraId="0C1EBDB2" w14:textId="77777777" w:rsidTr="00B568AD">
        <w:tc>
          <w:tcPr>
            <w:tcW w:w="9362" w:type="dxa"/>
            <w:gridSpan w:val="3"/>
          </w:tcPr>
          <w:p w14:paraId="3FA73165" w14:textId="77777777" w:rsidR="00B568AD" w:rsidRPr="00E02273" w:rsidRDefault="00B568AD" w:rsidP="00B568AD">
            <w:pPr>
              <w:spacing w:line="240" w:lineRule="auto"/>
              <w:rPr>
                <w:lang w:val="en-CA"/>
              </w:rPr>
            </w:pPr>
          </w:p>
        </w:tc>
      </w:tr>
      <w:tr w:rsidR="00F145CD" w:rsidRPr="00E02273" w14:paraId="09CCD5EF" w14:textId="77777777" w:rsidTr="00B568AD">
        <w:tc>
          <w:tcPr>
            <w:tcW w:w="9362" w:type="dxa"/>
            <w:gridSpan w:val="3"/>
          </w:tcPr>
          <w:p w14:paraId="12600C84" w14:textId="1DCE3592" w:rsidR="00B568AD" w:rsidRPr="00E02273" w:rsidRDefault="002D51A4" w:rsidP="004A6D6E">
            <w:pPr>
              <w:pStyle w:val="zSoquijdatNomProcureurDef"/>
              <w:spacing w:line="240" w:lineRule="auto"/>
              <w:rPr>
                <w:lang w:val="en-CA"/>
              </w:rPr>
            </w:pPr>
            <w:r w:rsidRPr="00E02273">
              <w:rPr>
                <w:lang w:val="en-CA"/>
              </w:rPr>
              <w:t>Mtre François Grondin</w:t>
            </w:r>
          </w:p>
        </w:tc>
      </w:tr>
      <w:tr w:rsidR="00F145CD" w:rsidRPr="00E02273" w14:paraId="0647A26E" w14:textId="77777777" w:rsidTr="00B568AD">
        <w:tc>
          <w:tcPr>
            <w:tcW w:w="9362" w:type="dxa"/>
            <w:gridSpan w:val="3"/>
          </w:tcPr>
          <w:p w14:paraId="1237EB39" w14:textId="56E6A399" w:rsidR="00B568AD" w:rsidRPr="00E02273" w:rsidRDefault="002D51A4" w:rsidP="004A6D6E">
            <w:pPr>
              <w:pStyle w:val="zSoquijdatNomProcureurDef"/>
              <w:spacing w:line="240" w:lineRule="auto"/>
              <w:rPr>
                <w:lang w:val="en-CA"/>
              </w:rPr>
            </w:pPr>
            <w:r w:rsidRPr="00E02273">
              <w:rPr>
                <w:lang w:val="en-CA"/>
              </w:rPr>
              <w:t>Mtre Julien Boudreault</w:t>
            </w:r>
          </w:p>
        </w:tc>
      </w:tr>
      <w:tr w:rsidR="00F145CD" w:rsidRPr="00E02273" w14:paraId="7B6C9E1F" w14:textId="77777777" w:rsidTr="00B568AD">
        <w:tc>
          <w:tcPr>
            <w:tcW w:w="9362" w:type="dxa"/>
            <w:gridSpan w:val="3"/>
          </w:tcPr>
          <w:p w14:paraId="052F1CB2" w14:textId="77777777" w:rsidR="00B568AD" w:rsidRPr="00E02273" w:rsidRDefault="002D51A4" w:rsidP="00B568AD">
            <w:pPr>
              <w:pStyle w:val="zSoquijdatCabinetProcureurDef"/>
              <w:spacing w:line="240" w:lineRule="auto"/>
              <w:rPr>
                <w:lang w:val="en-CA"/>
              </w:rPr>
            </w:pPr>
            <w:r w:rsidRPr="00E02273">
              <w:rPr>
                <w:lang w:val="en-CA"/>
              </w:rPr>
              <w:t>BORDEN LADNER GERVAIS</w:t>
            </w:r>
          </w:p>
        </w:tc>
      </w:tr>
      <w:tr w:rsidR="00F145CD" w:rsidRPr="00E02273" w14:paraId="06646F0D" w14:textId="77777777" w:rsidTr="00B568AD">
        <w:tc>
          <w:tcPr>
            <w:tcW w:w="9362" w:type="dxa"/>
            <w:gridSpan w:val="3"/>
          </w:tcPr>
          <w:p w14:paraId="10FAF3B7" w14:textId="15FD9977" w:rsidR="00B568AD" w:rsidRPr="00E02273" w:rsidRDefault="004A6D6E" w:rsidP="004A6D6E">
            <w:pPr>
              <w:pStyle w:val="zSoquijlblProcureurDef"/>
              <w:spacing w:line="240" w:lineRule="auto"/>
              <w:rPr>
                <w:lang w:val="en-CA"/>
              </w:rPr>
            </w:pPr>
            <w:r w:rsidRPr="00E02273">
              <w:rPr>
                <w:lang w:val="en-CA"/>
              </w:rPr>
              <w:t xml:space="preserve">Counsel for </w:t>
            </w:r>
            <w:r w:rsidR="002D51A4" w:rsidRPr="00E02273">
              <w:rPr>
                <w:lang w:val="en-CA"/>
              </w:rPr>
              <w:t>BIOTECanada</w:t>
            </w:r>
          </w:p>
        </w:tc>
      </w:tr>
      <w:tr w:rsidR="00F145CD" w:rsidRPr="00E02273" w14:paraId="1A2BF06E" w14:textId="77777777" w:rsidTr="00B568AD">
        <w:tc>
          <w:tcPr>
            <w:tcW w:w="9362" w:type="dxa"/>
            <w:gridSpan w:val="3"/>
          </w:tcPr>
          <w:p w14:paraId="560508B5" w14:textId="77777777" w:rsidR="00B568AD" w:rsidRPr="00E02273" w:rsidRDefault="00B568AD" w:rsidP="00B568AD">
            <w:pPr>
              <w:spacing w:line="240" w:lineRule="auto"/>
              <w:rPr>
                <w:lang w:val="en-CA"/>
              </w:rPr>
            </w:pPr>
          </w:p>
        </w:tc>
      </w:tr>
      <w:tr w:rsidR="00F145CD" w:rsidRPr="00E02273" w14:paraId="3E956BB8" w14:textId="77777777" w:rsidTr="00B568AD">
        <w:tc>
          <w:tcPr>
            <w:tcW w:w="2127" w:type="dxa"/>
          </w:tcPr>
          <w:p w14:paraId="22B37C49" w14:textId="5EB8DAF1" w:rsidR="00B568AD" w:rsidRPr="00E02273" w:rsidRDefault="004A6D6E" w:rsidP="00B568AD">
            <w:pPr>
              <w:pStyle w:val="zSoquijlblDateAudience"/>
              <w:spacing w:line="240" w:lineRule="auto"/>
              <w:rPr>
                <w:lang w:val="en-CA"/>
              </w:rPr>
            </w:pPr>
            <w:r w:rsidRPr="00E02273">
              <w:rPr>
                <w:lang w:val="en-CA"/>
              </w:rPr>
              <w:t>Dates of hearing:</w:t>
            </w:r>
          </w:p>
        </w:tc>
        <w:tc>
          <w:tcPr>
            <w:tcW w:w="7235" w:type="dxa"/>
            <w:gridSpan w:val="2"/>
          </w:tcPr>
          <w:p w14:paraId="5AB3CB91" w14:textId="39CFEB5D" w:rsidR="00B568AD" w:rsidRPr="00E02273" w:rsidRDefault="002D51A4" w:rsidP="004A6D6E">
            <w:pPr>
              <w:pStyle w:val="zSoquijdatDateAudience"/>
              <w:spacing w:line="240" w:lineRule="auto"/>
              <w:rPr>
                <w:lang w:val="en-CA"/>
              </w:rPr>
            </w:pPr>
            <w:r w:rsidRPr="00E02273">
              <w:rPr>
                <w:lang w:val="en-CA"/>
              </w:rPr>
              <w:t>December</w:t>
            </w:r>
            <w:r w:rsidR="004A6D6E" w:rsidRPr="00E02273">
              <w:rPr>
                <w:lang w:val="en-CA"/>
              </w:rPr>
              <w:t xml:space="preserve"> 13, 14, and 15,</w:t>
            </w:r>
            <w:r w:rsidRPr="00E02273">
              <w:rPr>
                <w:lang w:val="en-CA"/>
              </w:rPr>
              <w:t xml:space="preserve"> 2021</w:t>
            </w:r>
          </w:p>
        </w:tc>
      </w:tr>
    </w:tbl>
    <w:p w14:paraId="055236DB" w14:textId="77777777" w:rsidR="00B568AD" w:rsidRPr="00E02273" w:rsidRDefault="00B568AD" w:rsidP="00B568AD">
      <w:pPr>
        <w:spacing w:line="240" w:lineRule="auto"/>
        <w:rPr>
          <w:lang w:val="en-CA"/>
        </w:rPr>
        <w:sectPr w:rsidR="00B568AD" w:rsidRPr="00E02273" w:rsidSect="00B568AD">
          <w:headerReference w:type="even" r:id="rId8"/>
          <w:headerReference w:type="default" r:id="rId9"/>
          <w:footerReference w:type="even" r:id="rId10"/>
          <w:footerReference w:type="default" r:id="rId11"/>
          <w:headerReference w:type="first" r:id="rId12"/>
          <w:footerReference w:type="first" r:id="rId13"/>
          <w:pgSz w:w="12242" w:h="15842" w:code="1"/>
          <w:pgMar w:top="1440" w:right="1008" w:bottom="1440" w:left="1872" w:header="1440" w:footer="792" w:gutter="0"/>
          <w:cols w:space="720"/>
          <w:formProt w:val="0"/>
          <w:titlePg/>
        </w:sectPr>
      </w:pPr>
      <w:bookmarkStart w:id="15" w:name="Opinion"/>
      <w:bookmarkEnd w:id="6"/>
    </w:p>
    <w:tbl>
      <w:tblPr>
        <w:tblW w:w="0" w:type="auto"/>
        <w:tblLayout w:type="fixed"/>
        <w:tblCellMar>
          <w:left w:w="0" w:type="dxa"/>
          <w:right w:w="0" w:type="dxa"/>
        </w:tblCellMar>
        <w:tblLook w:val="0000" w:firstRow="0" w:lastRow="0" w:firstColumn="0" w:lastColumn="0" w:noHBand="0" w:noVBand="0"/>
      </w:tblPr>
      <w:tblGrid>
        <w:gridCol w:w="9360"/>
      </w:tblGrid>
      <w:tr w:rsidR="00F145CD" w:rsidRPr="00E02273" w14:paraId="676C2EAB" w14:textId="77777777" w:rsidTr="00B568AD">
        <w:tc>
          <w:tcPr>
            <w:tcW w:w="9360" w:type="dxa"/>
            <w:tcBorders>
              <w:bottom w:val="single" w:sz="8" w:space="0" w:color="auto"/>
            </w:tcBorders>
          </w:tcPr>
          <w:p w14:paraId="3E0F2E33" w14:textId="77777777" w:rsidR="00B568AD" w:rsidRPr="00E02273" w:rsidRDefault="002D51A4" w:rsidP="00B568AD">
            <w:pPr>
              <w:spacing w:line="240" w:lineRule="auto"/>
              <w:rPr>
                <w:lang w:val="en-CA"/>
              </w:rPr>
            </w:pPr>
            <w:r w:rsidRPr="00E02273">
              <w:rPr>
                <w:lang w:val="en-CA"/>
              </w:rPr>
              <w:lastRenderedPageBreak/>
              <w:br w:type="page"/>
            </w:r>
          </w:p>
        </w:tc>
      </w:tr>
      <w:tr w:rsidR="00F145CD" w:rsidRPr="00E02273" w14:paraId="17ADA0FE" w14:textId="77777777" w:rsidTr="00B568AD">
        <w:tc>
          <w:tcPr>
            <w:tcW w:w="9360" w:type="dxa"/>
            <w:tcBorders>
              <w:top w:val="single" w:sz="8" w:space="0" w:color="auto"/>
            </w:tcBorders>
          </w:tcPr>
          <w:p w14:paraId="3C4755A6" w14:textId="77777777" w:rsidR="00B568AD" w:rsidRPr="00E02273" w:rsidRDefault="00B568AD" w:rsidP="00B568AD">
            <w:pPr>
              <w:spacing w:line="240" w:lineRule="auto"/>
              <w:rPr>
                <w:lang w:val="en-CA"/>
              </w:rPr>
            </w:pPr>
          </w:p>
        </w:tc>
      </w:tr>
      <w:tr w:rsidR="00F145CD" w:rsidRPr="003F65E5" w14:paraId="2BBCF166" w14:textId="77777777" w:rsidTr="00B568AD">
        <w:tc>
          <w:tcPr>
            <w:tcW w:w="9360" w:type="dxa"/>
          </w:tcPr>
          <w:p w14:paraId="7B05E206" w14:textId="74C8B3A5" w:rsidR="00B568AD" w:rsidRPr="00E02273" w:rsidRDefault="004A6D6E" w:rsidP="00B568AD">
            <w:pPr>
              <w:pStyle w:val="zSoquijlblOpinionJuge"/>
              <w:spacing w:line="240" w:lineRule="auto"/>
              <w:rPr>
                <w:lang w:val="en-CA"/>
              </w:rPr>
            </w:pPr>
            <w:r w:rsidRPr="00E02273">
              <w:rPr>
                <w:lang w:val="en-CA"/>
              </w:rPr>
              <w:t>REASONS OF MAINVILLE, J.A.</w:t>
            </w:r>
          </w:p>
        </w:tc>
      </w:tr>
      <w:tr w:rsidR="00F145CD" w:rsidRPr="003F65E5" w14:paraId="42A0598F" w14:textId="77777777" w:rsidTr="00B568AD">
        <w:tc>
          <w:tcPr>
            <w:tcW w:w="9360" w:type="dxa"/>
            <w:tcBorders>
              <w:bottom w:val="single" w:sz="8" w:space="0" w:color="auto"/>
            </w:tcBorders>
          </w:tcPr>
          <w:p w14:paraId="0A859B38" w14:textId="77777777" w:rsidR="00B568AD" w:rsidRPr="00E02273" w:rsidRDefault="00B568AD" w:rsidP="00B568AD">
            <w:pPr>
              <w:spacing w:line="240" w:lineRule="auto"/>
              <w:rPr>
                <w:lang w:val="en-CA"/>
              </w:rPr>
            </w:pPr>
          </w:p>
        </w:tc>
      </w:tr>
      <w:tr w:rsidR="00F145CD" w:rsidRPr="003F65E5" w14:paraId="23AD1B1C" w14:textId="77777777" w:rsidTr="00B568AD">
        <w:tc>
          <w:tcPr>
            <w:tcW w:w="9360" w:type="dxa"/>
            <w:tcBorders>
              <w:top w:val="single" w:sz="8" w:space="0" w:color="auto"/>
            </w:tcBorders>
          </w:tcPr>
          <w:p w14:paraId="1C988EDB" w14:textId="77777777" w:rsidR="00B568AD" w:rsidRPr="00E02273" w:rsidRDefault="00B568AD" w:rsidP="00B568AD">
            <w:pPr>
              <w:spacing w:line="240" w:lineRule="auto"/>
              <w:rPr>
                <w:lang w:val="en-CA"/>
              </w:rPr>
            </w:pPr>
          </w:p>
        </w:tc>
      </w:tr>
    </w:tbl>
    <w:p w14:paraId="42F5D9D0" w14:textId="0629F32D" w:rsidR="00B568AD" w:rsidRPr="00E02273" w:rsidRDefault="00DE0076" w:rsidP="00EF404D">
      <w:pPr>
        <w:pStyle w:val="Paragraphe"/>
        <w:spacing w:before="240" w:line="240" w:lineRule="auto"/>
        <w:ind w:left="0"/>
        <w:rPr>
          <w:lang w:val="en-CA"/>
        </w:rPr>
      </w:pPr>
      <w:r w:rsidRPr="00E02273">
        <w:rPr>
          <w:lang w:val="en-CA"/>
        </w:rPr>
        <w:t xml:space="preserve">This case </w:t>
      </w:r>
      <w:r w:rsidR="002D51A4" w:rsidRPr="00E02273">
        <w:rPr>
          <w:lang w:val="en-CA"/>
        </w:rPr>
        <w:t>concern</w:t>
      </w:r>
      <w:r w:rsidRPr="00E02273">
        <w:rPr>
          <w:lang w:val="en-CA"/>
        </w:rPr>
        <w:t xml:space="preserve">s the scope of the federal government’s </w:t>
      </w:r>
      <w:r w:rsidR="002D51A4" w:rsidRPr="00E02273">
        <w:rPr>
          <w:lang w:val="en-CA"/>
        </w:rPr>
        <w:t>jurisdiction</w:t>
      </w:r>
      <w:r w:rsidRPr="00E02273">
        <w:rPr>
          <w:lang w:val="en-CA"/>
        </w:rPr>
        <w:t xml:space="preserve"> over the</w:t>
      </w:r>
      <w:r w:rsidR="009A19C4" w:rsidRPr="00E02273">
        <w:rPr>
          <w:lang w:val="en-CA"/>
        </w:rPr>
        <w:t xml:space="preserve"> regulation of </w:t>
      </w:r>
      <w:r w:rsidR="00171199">
        <w:rPr>
          <w:lang w:val="en-CA"/>
        </w:rPr>
        <w:t xml:space="preserve">the </w:t>
      </w:r>
      <w:r w:rsidR="009A19C4" w:rsidRPr="00E02273">
        <w:rPr>
          <w:lang w:val="en-CA"/>
        </w:rPr>
        <w:t>price of pa</w:t>
      </w:r>
      <w:r w:rsidR="00C82D6A">
        <w:rPr>
          <w:lang w:val="en-CA"/>
        </w:rPr>
        <w:t>t</w:t>
      </w:r>
      <w:r w:rsidR="009A19C4" w:rsidRPr="00E02273">
        <w:rPr>
          <w:lang w:val="en-CA"/>
        </w:rPr>
        <w:t xml:space="preserve">ented medicines sold in </w:t>
      </w:r>
      <w:r w:rsidR="002D51A4" w:rsidRPr="00E02273">
        <w:rPr>
          <w:lang w:val="en-CA"/>
        </w:rPr>
        <w:t xml:space="preserve">Canada. </w:t>
      </w:r>
      <w:r w:rsidR="009A19C4" w:rsidRPr="00E02273">
        <w:rPr>
          <w:lang w:val="en-CA"/>
        </w:rPr>
        <w:t xml:space="preserve">Only the </w:t>
      </w:r>
      <w:r w:rsidR="002D51A4" w:rsidRPr="00E02273">
        <w:rPr>
          <w:lang w:val="en-CA"/>
        </w:rPr>
        <w:t>federal</w:t>
      </w:r>
      <w:r w:rsidR="009A19C4" w:rsidRPr="00E02273">
        <w:rPr>
          <w:lang w:val="en-CA"/>
        </w:rPr>
        <w:t xml:space="preserve"> </w:t>
      </w:r>
      <w:r w:rsidR="002D51A4" w:rsidRPr="00E02273">
        <w:rPr>
          <w:lang w:val="en-CA"/>
        </w:rPr>
        <w:t>jurisdiction</w:t>
      </w:r>
      <w:r w:rsidR="009A19C4" w:rsidRPr="00E02273">
        <w:rPr>
          <w:lang w:val="en-CA"/>
        </w:rPr>
        <w:t xml:space="preserve"> over “Patents of Invention and Discovery</w:t>
      </w:r>
      <w:r w:rsidR="000D5A10" w:rsidRPr="00E02273">
        <w:rPr>
          <w:i/>
          <w:lang w:val="en-CA"/>
        </w:rPr>
        <w:t xml:space="preserve"> </w:t>
      </w:r>
      <w:r w:rsidR="000D5A10" w:rsidRPr="00E02273">
        <w:rPr>
          <w:lang w:val="en-CA"/>
        </w:rPr>
        <w:t>/</w:t>
      </w:r>
      <w:r w:rsidR="009A19C4" w:rsidRPr="00E02273">
        <w:rPr>
          <w:i/>
          <w:lang w:val="en-CA"/>
        </w:rPr>
        <w:t> </w:t>
      </w:r>
      <w:r w:rsidR="002D51A4" w:rsidRPr="00E02273">
        <w:rPr>
          <w:i/>
          <w:lang w:val="en-CA"/>
        </w:rPr>
        <w:t>brevets d’invention et de découverte</w:t>
      </w:r>
      <w:r w:rsidR="000D5A10" w:rsidRPr="00E02273">
        <w:rPr>
          <w:lang w:val="en-CA"/>
        </w:rPr>
        <w:t xml:space="preserve">) set out in </w:t>
      </w:r>
      <w:r w:rsidR="008663D3">
        <w:rPr>
          <w:lang w:val="en-CA"/>
        </w:rPr>
        <w:t>sub</w:t>
      </w:r>
      <w:r w:rsidR="00171199">
        <w:rPr>
          <w:lang w:val="en-CA"/>
        </w:rPr>
        <w:t>s</w:t>
      </w:r>
      <w:r w:rsidR="008663D3">
        <w:rPr>
          <w:lang w:val="en-CA"/>
        </w:rPr>
        <w:t>ection</w:t>
      </w:r>
      <w:r w:rsidR="000D5A10" w:rsidRPr="00E02273">
        <w:rPr>
          <w:lang w:val="en-CA"/>
        </w:rPr>
        <w:t xml:space="preserve"> </w:t>
      </w:r>
      <w:r w:rsidR="002D51A4" w:rsidRPr="00E02273">
        <w:rPr>
          <w:lang w:val="en-CA"/>
        </w:rPr>
        <w:t xml:space="preserve">91(22) </w:t>
      </w:r>
      <w:r w:rsidR="000D5A10" w:rsidRPr="00E02273">
        <w:rPr>
          <w:lang w:val="en-CA"/>
        </w:rPr>
        <w:t xml:space="preserve">of the </w:t>
      </w:r>
      <w:r w:rsidR="002D51A4" w:rsidRPr="00E02273">
        <w:rPr>
          <w:i/>
          <w:lang w:val="en-CA"/>
        </w:rPr>
        <w:t>Constitution</w:t>
      </w:r>
      <w:r w:rsidR="000D5A10" w:rsidRPr="00E02273">
        <w:rPr>
          <w:i/>
          <w:lang w:val="en-CA"/>
        </w:rPr>
        <w:t xml:space="preserve"> </w:t>
      </w:r>
      <w:r w:rsidR="002D51A4" w:rsidRPr="00E02273">
        <w:rPr>
          <w:i/>
          <w:lang w:val="en-CA"/>
        </w:rPr>
        <w:t>Act,</w:t>
      </w:r>
      <w:r w:rsidR="000D5A10" w:rsidRPr="00E02273">
        <w:rPr>
          <w:i/>
          <w:lang w:val="en-CA"/>
        </w:rPr>
        <w:t xml:space="preserve"> </w:t>
      </w:r>
      <w:r w:rsidR="002D51A4" w:rsidRPr="00E02273">
        <w:rPr>
          <w:i/>
          <w:lang w:val="en-CA"/>
        </w:rPr>
        <w:t>1867</w:t>
      </w:r>
      <w:r w:rsidR="000D5A10" w:rsidRPr="00E02273">
        <w:rPr>
          <w:i/>
          <w:lang w:val="en-CA"/>
        </w:rPr>
        <w:t xml:space="preserve"> </w:t>
      </w:r>
      <w:r w:rsidR="000D5A10" w:rsidRPr="00E02273">
        <w:rPr>
          <w:lang w:val="en-CA"/>
        </w:rPr>
        <w:t xml:space="preserve">is </w:t>
      </w:r>
      <w:r w:rsidR="002D51A4" w:rsidRPr="00E02273">
        <w:rPr>
          <w:lang w:val="en-CA"/>
        </w:rPr>
        <w:t>at</w:t>
      </w:r>
      <w:r w:rsidR="000D5A10" w:rsidRPr="00E02273">
        <w:rPr>
          <w:lang w:val="en-CA"/>
        </w:rPr>
        <w:t xml:space="preserve"> </w:t>
      </w:r>
      <w:r w:rsidR="002D51A4" w:rsidRPr="00E02273">
        <w:rPr>
          <w:lang w:val="en-CA"/>
        </w:rPr>
        <w:t xml:space="preserve">issue. </w:t>
      </w:r>
      <w:r w:rsidR="004A6D6E" w:rsidRPr="00E02273">
        <w:rPr>
          <w:lang w:val="en-CA"/>
        </w:rPr>
        <w:t xml:space="preserve">It should be noted that the central issue of the appeal is not whether </w:t>
      </w:r>
      <w:r w:rsidR="00261D3B">
        <w:rPr>
          <w:lang w:val="en-CA"/>
        </w:rPr>
        <w:t>.</w:t>
      </w:r>
      <w:r w:rsidR="004A6D6E" w:rsidRPr="00E02273">
        <w:rPr>
          <w:lang w:val="en-CA"/>
        </w:rPr>
        <w:t>medicine prices should be regulated, but rather which level of government can act in this matter.</w:t>
      </w:r>
    </w:p>
    <w:p w14:paraId="6CB1D5D4" w14:textId="77777777" w:rsidR="00B568AD" w:rsidRPr="00E02273" w:rsidRDefault="002D51A4" w:rsidP="00EF404D">
      <w:pPr>
        <w:pStyle w:val="Paragraphe"/>
        <w:numPr>
          <w:ilvl w:val="0"/>
          <w:numId w:val="0"/>
        </w:numPr>
        <w:spacing w:line="240" w:lineRule="auto"/>
        <w:jc w:val="center"/>
        <w:rPr>
          <w:lang w:val="en-CA"/>
        </w:rPr>
      </w:pPr>
      <w:r w:rsidRPr="00E02273">
        <w:rPr>
          <w:lang w:val="en-CA"/>
        </w:rPr>
        <w:t>* * *</w:t>
      </w:r>
    </w:p>
    <w:p w14:paraId="7D651AFA" w14:textId="6F7C0B4A" w:rsidR="00B568AD" w:rsidRPr="00E02273" w:rsidRDefault="000D6BEC" w:rsidP="00EF404D">
      <w:pPr>
        <w:pStyle w:val="Paragraphe"/>
        <w:spacing w:line="240" w:lineRule="auto"/>
        <w:ind w:left="0"/>
        <w:rPr>
          <w:lang w:val="en-CA"/>
        </w:rPr>
      </w:pPr>
      <w:r w:rsidRPr="00E02273">
        <w:rPr>
          <w:lang w:val="en-CA"/>
        </w:rPr>
        <w:t xml:space="preserve">The appellant </w:t>
      </w:r>
      <w:r w:rsidR="002D51A4" w:rsidRPr="00E02273">
        <w:rPr>
          <w:lang w:val="en-CA"/>
        </w:rPr>
        <w:t>pharmaceutical</w:t>
      </w:r>
      <w:r w:rsidRPr="00E02273">
        <w:rPr>
          <w:lang w:val="en-CA"/>
        </w:rPr>
        <w:t xml:space="preserve"> </w:t>
      </w:r>
      <w:r w:rsidR="002D51A4" w:rsidRPr="00E02273">
        <w:rPr>
          <w:lang w:val="en-CA"/>
        </w:rPr>
        <w:t>companies</w:t>
      </w:r>
      <w:r w:rsidRPr="00E02273">
        <w:rPr>
          <w:lang w:val="en-CA"/>
        </w:rPr>
        <w:t xml:space="preserve"> appeal from the judgment dated </w:t>
      </w:r>
      <w:r w:rsidR="002D51A4" w:rsidRPr="00E02273">
        <w:rPr>
          <w:lang w:val="en-CA"/>
        </w:rPr>
        <w:t>December</w:t>
      </w:r>
      <w:r w:rsidRPr="00E02273">
        <w:rPr>
          <w:lang w:val="en-CA"/>
        </w:rPr>
        <w:t xml:space="preserve"> 18,</w:t>
      </w:r>
      <w:r w:rsidR="002D51A4" w:rsidRPr="00E02273">
        <w:rPr>
          <w:lang w:val="en-CA"/>
        </w:rPr>
        <w:t xml:space="preserve"> 2020</w:t>
      </w:r>
      <w:r w:rsidRPr="00E02273">
        <w:rPr>
          <w:lang w:val="en-CA"/>
        </w:rPr>
        <w:t xml:space="preserve"> (the Honourable Sophie Picard, J.S.C., District of Montreal),</w:t>
      </w:r>
      <w:r w:rsidR="002D51A4" w:rsidRPr="00E02273">
        <w:rPr>
          <w:rStyle w:val="Appelnotedebasdep"/>
          <w:lang w:val="en-CA"/>
        </w:rPr>
        <w:footnoteReference w:id="1"/>
      </w:r>
      <w:r w:rsidRPr="00E02273">
        <w:rPr>
          <w:lang w:val="en-CA"/>
        </w:rPr>
        <w:t xml:space="preserve"> which declared </w:t>
      </w:r>
      <w:r w:rsidR="002D51A4" w:rsidRPr="00E02273">
        <w:rPr>
          <w:lang w:val="en-CA"/>
        </w:rPr>
        <w:t>constitution</w:t>
      </w:r>
      <w:r w:rsidRPr="00E02273">
        <w:rPr>
          <w:lang w:val="en-CA"/>
        </w:rPr>
        <w:t xml:space="preserve">ally </w:t>
      </w:r>
      <w:r w:rsidR="002D51A4" w:rsidRPr="00E02273">
        <w:rPr>
          <w:lang w:val="en-CA"/>
        </w:rPr>
        <w:t>valid:</w:t>
      </w:r>
    </w:p>
    <w:p w14:paraId="2AC8D77E" w14:textId="6AA1CBA3" w:rsidR="00B568AD" w:rsidRPr="00E02273" w:rsidRDefault="002D51A4" w:rsidP="00B568AD">
      <w:pPr>
        <w:pStyle w:val="Paragraphe"/>
        <w:numPr>
          <w:ilvl w:val="0"/>
          <w:numId w:val="0"/>
        </w:numPr>
        <w:spacing w:line="240" w:lineRule="auto"/>
        <w:ind w:left="720"/>
        <w:rPr>
          <w:lang w:val="en-CA"/>
        </w:rPr>
      </w:pPr>
      <w:r w:rsidRPr="00E02273">
        <w:rPr>
          <w:lang w:val="en-CA"/>
        </w:rPr>
        <w:t xml:space="preserve">(a) sections 79 </w:t>
      </w:r>
      <w:r w:rsidR="004A6D6E" w:rsidRPr="00E02273">
        <w:rPr>
          <w:lang w:val="en-CA"/>
        </w:rPr>
        <w:t xml:space="preserve">to </w:t>
      </w:r>
      <w:r w:rsidRPr="00E02273">
        <w:rPr>
          <w:lang w:val="en-CA"/>
        </w:rPr>
        <w:t xml:space="preserve">103 </w:t>
      </w:r>
      <w:r w:rsidR="004A6D6E" w:rsidRPr="00E02273">
        <w:rPr>
          <w:lang w:val="en-CA"/>
        </w:rPr>
        <w:t xml:space="preserve">of the </w:t>
      </w:r>
      <w:r w:rsidR="004A6D6E" w:rsidRPr="00E02273">
        <w:rPr>
          <w:i/>
          <w:lang w:val="en-CA"/>
        </w:rPr>
        <w:t>Patent Act</w:t>
      </w:r>
      <w:r w:rsidRPr="00E02273">
        <w:rPr>
          <w:rStyle w:val="Appelnotedebasdep"/>
          <w:lang w:val="en-CA"/>
        </w:rPr>
        <w:footnoteReference w:id="2"/>
      </w:r>
      <w:r w:rsidRPr="00E02273">
        <w:rPr>
          <w:lang w:val="en-CA"/>
        </w:rPr>
        <w:t xml:space="preserve"> </w:t>
      </w:r>
      <w:r w:rsidR="004A6D6E" w:rsidRPr="00E02273">
        <w:rPr>
          <w:lang w:val="en-CA"/>
        </w:rPr>
        <w:t xml:space="preserve">concerning the special regime to control </w:t>
      </w:r>
      <w:r w:rsidRPr="00E02273">
        <w:rPr>
          <w:lang w:val="en-CA"/>
        </w:rPr>
        <w:t>excessi</w:t>
      </w:r>
      <w:r w:rsidR="004A6D6E" w:rsidRPr="00E02273">
        <w:rPr>
          <w:lang w:val="en-CA"/>
        </w:rPr>
        <w:t>ve prices for patented medicines</w:t>
      </w:r>
      <w:r w:rsidRPr="00E02273">
        <w:rPr>
          <w:lang w:val="en-CA"/>
        </w:rPr>
        <w:t>;</w:t>
      </w:r>
    </w:p>
    <w:p w14:paraId="75FFBB30" w14:textId="1465E345" w:rsidR="00B568AD" w:rsidRPr="00E02273" w:rsidRDefault="002D51A4" w:rsidP="00B568AD">
      <w:pPr>
        <w:pStyle w:val="Paragraphe"/>
        <w:numPr>
          <w:ilvl w:val="0"/>
          <w:numId w:val="0"/>
        </w:numPr>
        <w:spacing w:line="240" w:lineRule="auto"/>
        <w:ind w:left="720"/>
        <w:rPr>
          <w:lang w:val="en-CA"/>
        </w:rPr>
      </w:pPr>
      <w:r w:rsidRPr="00E02273">
        <w:rPr>
          <w:lang w:val="en-CA"/>
        </w:rPr>
        <w:t xml:space="preserve"> (b) </w:t>
      </w:r>
      <w:r w:rsidR="000D6BEC" w:rsidRPr="00E02273">
        <w:rPr>
          <w:lang w:val="en-CA"/>
        </w:rPr>
        <w:t>the entire</w:t>
      </w:r>
      <w:r w:rsidR="00200924" w:rsidRPr="00E02273">
        <w:rPr>
          <w:lang w:val="en-CA"/>
        </w:rPr>
        <w:t xml:space="preserve"> </w:t>
      </w:r>
      <w:r w:rsidR="00200924" w:rsidRPr="00E02273">
        <w:rPr>
          <w:i/>
          <w:lang w:val="en-CA"/>
        </w:rPr>
        <w:t>Patented Medicines Regulations</w:t>
      </w:r>
      <w:r w:rsidRPr="00E02273">
        <w:rPr>
          <w:rStyle w:val="Appelnotedebasdep"/>
          <w:lang w:val="en-CA"/>
        </w:rPr>
        <w:footnoteReference w:id="3"/>
      </w:r>
      <w:r w:rsidRPr="00E02273">
        <w:rPr>
          <w:i/>
          <w:lang w:val="en-CA"/>
        </w:rPr>
        <w:t xml:space="preserve"> </w:t>
      </w:r>
      <w:r w:rsidR="00200924" w:rsidRPr="00E02273">
        <w:rPr>
          <w:lang w:val="en-CA"/>
        </w:rPr>
        <w:t>as it read before the 2019 amendments; and</w:t>
      </w:r>
    </w:p>
    <w:p w14:paraId="6EBD060A" w14:textId="03212484" w:rsidR="00B568AD" w:rsidRPr="00E02273" w:rsidRDefault="002D51A4" w:rsidP="00B568AD">
      <w:pPr>
        <w:pStyle w:val="Paragraphe"/>
        <w:numPr>
          <w:ilvl w:val="0"/>
          <w:numId w:val="0"/>
        </w:numPr>
        <w:spacing w:line="240" w:lineRule="auto"/>
        <w:ind w:left="720"/>
        <w:rPr>
          <w:lang w:val="en-CA"/>
        </w:rPr>
      </w:pPr>
      <w:r w:rsidRPr="00E02273">
        <w:rPr>
          <w:lang w:val="en-CA"/>
        </w:rPr>
        <w:t xml:space="preserve">(c) </w:t>
      </w:r>
      <w:r w:rsidR="00A31BE1" w:rsidRPr="00E02273">
        <w:rPr>
          <w:lang w:val="en-CA"/>
        </w:rPr>
        <w:t xml:space="preserve">the </w:t>
      </w:r>
      <w:r w:rsidR="00A31BE1" w:rsidRPr="00E02273">
        <w:rPr>
          <w:bCs/>
          <w:i/>
          <w:lang w:val="en-CA"/>
        </w:rPr>
        <w:t>Regulations Amending the Patented Medicines Regulations (Additional Factors and Information Reporting Requirements)</w:t>
      </w:r>
      <w:r w:rsidRPr="00E02273">
        <w:rPr>
          <w:rStyle w:val="Appelnotedebasdep"/>
          <w:lang w:val="en-CA"/>
        </w:rPr>
        <w:footnoteReference w:id="4"/>
      </w:r>
      <w:r w:rsidRPr="00E02273">
        <w:rPr>
          <w:i/>
          <w:lang w:val="en-CA"/>
        </w:rPr>
        <w:t xml:space="preserve"> </w:t>
      </w:r>
      <w:r w:rsidRPr="00E02273">
        <w:rPr>
          <w:lang w:val="en-CA"/>
        </w:rPr>
        <w:t>(</w:t>
      </w:r>
      <w:r w:rsidR="00A31BE1" w:rsidRPr="00E02273">
        <w:rPr>
          <w:lang w:val="en-CA"/>
        </w:rPr>
        <w:t>the</w:t>
      </w:r>
      <w:r w:rsidR="00850109" w:rsidRPr="00E02273">
        <w:rPr>
          <w:lang w:val="en-CA"/>
        </w:rPr>
        <w:t xml:space="preserve"> “</w:t>
      </w:r>
      <w:r w:rsidR="00850109" w:rsidRPr="00E02273">
        <w:rPr>
          <w:i/>
          <w:lang w:val="en-CA"/>
        </w:rPr>
        <w:t>2019 Regulatory Amendments</w:t>
      </w:r>
      <w:r w:rsidR="00850109" w:rsidRPr="00E02273">
        <w:rPr>
          <w:lang w:val="en-CA"/>
        </w:rPr>
        <w:t>”</w:t>
      </w:r>
      <w:r w:rsidRPr="00E02273">
        <w:rPr>
          <w:lang w:val="en-CA"/>
        </w:rPr>
        <w:t xml:space="preserve">), </w:t>
      </w:r>
      <w:r w:rsidR="00850109" w:rsidRPr="00E02273">
        <w:rPr>
          <w:u w:val="single"/>
          <w:lang w:val="en-CA"/>
        </w:rPr>
        <w:t>except</w:t>
      </w:r>
      <w:r w:rsidRPr="00E02273">
        <w:rPr>
          <w:lang w:val="en-CA"/>
        </w:rPr>
        <w:t xml:space="preserve"> s</w:t>
      </w:r>
      <w:r w:rsidR="00850109" w:rsidRPr="00E02273">
        <w:rPr>
          <w:lang w:val="en-CA"/>
        </w:rPr>
        <w:t>ubsection</w:t>
      </w:r>
      <w:r w:rsidRPr="00E02273">
        <w:rPr>
          <w:lang w:val="en-CA"/>
        </w:rPr>
        <w:t> 3(4)</w:t>
      </w:r>
      <w:r w:rsidR="00850109" w:rsidRPr="00E02273">
        <w:rPr>
          <w:lang w:val="en-CA"/>
        </w:rPr>
        <w:t xml:space="preserve">, which introduced </w:t>
      </w:r>
      <w:r w:rsidR="008F14D8">
        <w:rPr>
          <w:lang w:val="en-CA"/>
        </w:rPr>
        <w:t xml:space="preserve">the </w:t>
      </w:r>
      <w:r w:rsidR="00850109" w:rsidRPr="00E02273">
        <w:rPr>
          <w:lang w:val="en-CA"/>
        </w:rPr>
        <w:t xml:space="preserve">new paragraphs </w:t>
      </w:r>
      <w:r w:rsidRPr="00E02273">
        <w:rPr>
          <w:lang w:val="en-CA"/>
        </w:rPr>
        <w:t>4(4)</w:t>
      </w:r>
      <w:r w:rsidR="00850109" w:rsidRPr="00E02273">
        <w:rPr>
          <w:lang w:val="en-CA"/>
        </w:rPr>
        <w:t>(</w:t>
      </w:r>
      <w:r w:rsidRPr="00EE368E">
        <w:rPr>
          <w:lang w:val="en-CA"/>
        </w:rPr>
        <w:t>a</w:t>
      </w:r>
      <w:r w:rsidRPr="00E02273">
        <w:rPr>
          <w:lang w:val="en-CA"/>
        </w:rPr>
        <w:t xml:space="preserve">) </w:t>
      </w:r>
      <w:r w:rsidR="00850109" w:rsidRPr="00E02273">
        <w:rPr>
          <w:lang w:val="en-CA"/>
        </w:rPr>
        <w:t>and</w:t>
      </w:r>
      <w:r w:rsidRPr="00E02273">
        <w:rPr>
          <w:lang w:val="en-CA"/>
        </w:rPr>
        <w:t xml:space="preserve"> </w:t>
      </w:r>
      <w:r w:rsidR="00850109" w:rsidRPr="00E02273">
        <w:rPr>
          <w:lang w:val="en-CA"/>
        </w:rPr>
        <w:t>(</w:t>
      </w:r>
      <w:r w:rsidRPr="00EE368E">
        <w:rPr>
          <w:lang w:val="en-CA"/>
        </w:rPr>
        <w:t>b</w:t>
      </w:r>
      <w:r w:rsidRPr="00E02273">
        <w:rPr>
          <w:lang w:val="en-CA"/>
        </w:rPr>
        <w:t xml:space="preserve">) </w:t>
      </w:r>
      <w:r w:rsidR="00BA205B" w:rsidRPr="00E02273">
        <w:rPr>
          <w:lang w:val="en-CA"/>
        </w:rPr>
        <w:t xml:space="preserve">into the </w:t>
      </w:r>
      <w:r w:rsidR="00BA205B" w:rsidRPr="00E02273">
        <w:rPr>
          <w:i/>
          <w:iCs/>
          <w:lang w:val="en-CA"/>
        </w:rPr>
        <w:t>Patented Medicines</w:t>
      </w:r>
      <w:r w:rsidR="00BA205B" w:rsidRPr="00E02273">
        <w:rPr>
          <w:lang w:val="en-CA"/>
        </w:rPr>
        <w:t xml:space="preserve"> </w:t>
      </w:r>
      <w:r w:rsidR="00BA205B" w:rsidRPr="00E02273">
        <w:rPr>
          <w:i/>
          <w:lang w:val="en-CA"/>
        </w:rPr>
        <w:t>Regulations</w:t>
      </w:r>
      <w:r w:rsidR="00BA205B" w:rsidRPr="00E02273">
        <w:rPr>
          <w:lang w:val="en-CA"/>
        </w:rPr>
        <w:t xml:space="preserve">, requiring patentees to disclose to the </w:t>
      </w:r>
      <w:r w:rsidR="00DC2CF5">
        <w:rPr>
          <w:lang w:val="en-CA"/>
        </w:rPr>
        <w:t xml:space="preserve">Patented Medicine Prices </w:t>
      </w:r>
      <w:r w:rsidR="00BA205B" w:rsidRPr="00E02273">
        <w:rPr>
          <w:lang w:val="en-CA"/>
        </w:rPr>
        <w:t>Review Board (the “Board”) the price obtained for patented medicines, taking in</w:t>
      </w:r>
      <w:r w:rsidR="008F14D8">
        <w:rPr>
          <w:lang w:val="en-CA"/>
        </w:rPr>
        <w:t>to</w:t>
      </w:r>
      <w:r w:rsidR="00BA205B" w:rsidRPr="00E02273">
        <w:rPr>
          <w:lang w:val="en-CA"/>
        </w:rPr>
        <w:t xml:space="preserve"> account </w:t>
      </w:r>
      <w:r w:rsidR="001F7107" w:rsidRPr="00E02273">
        <w:rPr>
          <w:lang w:val="en-CA"/>
        </w:rPr>
        <w:t xml:space="preserve">the confidential rebates granted to </w:t>
      </w:r>
      <w:r w:rsidR="0012446C">
        <w:rPr>
          <w:lang w:val="en-CA"/>
        </w:rPr>
        <w:t xml:space="preserve">the </w:t>
      </w:r>
      <w:r w:rsidR="001F7107" w:rsidRPr="00E02273">
        <w:rPr>
          <w:lang w:val="en-CA"/>
        </w:rPr>
        <w:t xml:space="preserve">public </w:t>
      </w:r>
      <w:r w:rsidR="0012446C">
        <w:rPr>
          <w:lang w:val="en-CA"/>
        </w:rPr>
        <w:t xml:space="preserve">prescription drug </w:t>
      </w:r>
      <w:r w:rsidR="001F7107" w:rsidRPr="00E02273">
        <w:rPr>
          <w:lang w:val="en-CA"/>
        </w:rPr>
        <w:t>insur</w:t>
      </w:r>
      <w:r w:rsidR="0012446C">
        <w:rPr>
          <w:lang w:val="en-CA"/>
        </w:rPr>
        <w:t>ance plan</w:t>
      </w:r>
      <w:r w:rsidR="00261D3B">
        <w:rPr>
          <w:lang w:val="en-CA"/>
        </w:rPr>
        <w:t>s</w:t>
      </w:r>
      <w:r w:rsidRPr="00E02273">
        <w:rPr>
          <w:lang w:val="en-CA"/>
        </w:rPr>
        <w:t xml:space="preserve">. </w:t>
      </w:r>
    </w:p>
    <w:p w14:paraId="649D9329" w14:textId="2B66458E" w:rsidR="00B568AD" w:rsidRPr="00E02273" w:rsidRDefault="00B972EC" w:rsidP="00EF404D">
      <w:pPr>
        <w:pStyle w:val="Paragraphe"/>
        <w:tabs>
          <w:tab w:val="num" w:pos="709"/>
        </w:tabs>
        <w:spacing w:line="240" w:lineRule="auto"/>
        <w:ind w:left="0"/>
        <w:rPr>
          <w:lang w:val="en-CA"/>
        </w:rPr>
      </w:pPr>
      <w:r w:rsidRPr="00E02273">
        <w:rPr>
          <w:lang w:val="en-CA"/>
        </w:rPr>
        <w:t xml:space="preserve">Most aspects of the </w:t>
      </w:r>
      <w:r w:rsidR="002D51A4" w:rsidRPr="00E02273">
        <w:rPr>
          <w:lang w:val="en-CA"/>
        </w:rPr>
        <w:t>pharmaceutical</w:t>
      </w:r>
      <w:r w:rsidRPr="00E02273">
        <w:rPr>
          <w:lang w:val="en-CA"/>
        </w:rPr>
        <w:t xml:space="preserve"> </w:t>
      </w:r>
      <w:r w:rsidR="002D51A4" w:rsidRPr="00E02273">
        <w:rPr>
          <w:lang w:val="en-CA"/>
        </w:rPr>
        <w:t>companies</w:t>
      </w:r>
      <w:r w:rsidRPr="00E02273">
        <w:rPr>
          <w:lang w:val="en-CA"/>
        </w:rPr>
        <w:t>’ appeal are supported by the impleaded parties-intervenors,</w:t>
      </w:r>
      <w:r w:rsidR="00A22022" w:rsidRPr="00E02273">
        <w:rPr>
          <w:lang w:val="en-CA"/>
        </w:rPr>
        <w:t xml:space="preserve"> who represent </w:t>
      </w:r>
      <w:r w:rsidR="002D51A4" w:rsidRPr="00E02273">
        <w:rPr>
          <w:lang w:val="en-CA"/>
        </w:rPr>
        <w:t xml:space="preserve">patients </w:t>
      </w:r>
      <w:r w:rsidR="00A22022" w:rsidRPr="00E02273">
        <w:rPr>
          <w:lang w:val="en-CA"/>
        </w:rPr>
        <w:t>suffering from rare diseases</w:t>
      </w:r>
      <w:r w:rsidR="002D51A4" w:rsidRPr="00E02273">
        <w:rPr>
          <w:lang w:val="en-CA"/>
        </w:rPr>
        <w:t>.</w:t>
      </w:r>
      <w:r w:rsidR="00A22022" w:rsidRPr="00E02273">
        <w:rPr>
          <w:lang w:val="en-CA"/>
        </w:rPr>
        <w:t xml:space="preserve"> The </w:t>
      </w:r>
      <w:r w:rsidR="002D51A4" w:rsidRPr="00E02273">
        <w:rPr>
          <w:lang w:val="en-CA"/>
        </w:rPr>
        <w:lastRenderedPageBreak/>
        <w:t>appeal</w:t>
      </w:r>
      <w:r w:rsidR="00A22022" w:rsidRPr="00E02273">
        <w:rPr>
          <w:lang w:val="en-CA"/>
        </w:rPr>
        <w:t xml:space="preserve"> is also supported by the </w:t>
      </w:r>
      <w:r w:rsidR="002D51A4" w:rsidRPr="00E02273">
        <w:rPr>
          <w:lang w:val="en-CA"/>
        </w:rPr>
        <w:t>Attorney</w:t>
      </w:r>
      <w:r w:rsidR="00A22022" w:rsidRPr="00E02273">
        <w:rPr>
          <w:lang w:val="en-CA"/>
        </w:rPr>
        <w:t xml:space="preserve"> </w:t>
      </w:r>
      <w:r w:rsidR="002D51A4" w:rsidRPr="00E02273">
        <w:rPr>
          <w:lang w:val="en-CA"/>
        </w:rPr>
        <w:t>General</w:t>
      </w:r>
      <w:r w:rsidR="00A22022" w:rsidRPr="00E02273">
        <w:rPr>
          <w:lang w:val="en-CA"/>
        </w:rPr>
        <w:t xml:space="preserve"> </w:t>
      </w:r>
      <w:r w:rsidR="002D51A4" w:rsidRPr="00E02273">
        <w:rPr>
          <w:lang w:val="en-CA"/>
        </w:rPr>
        <w:t>of</w:t>
      </w:r>
      <w:r w:rsidR="00A22022" w:rsidRPr="00E02273">
        <w:rPr>
          <w:lang w:val="en-CA"/>
        </w:rPr>
        <w:t xml:space="preserve"> </w:t>
      </w:r>
      <w:r w:rsidR="002D51A4" w:rsidRPr="00E02273">
        <w:rPr>
          <w:lang w:val="en-CA"/>
        </w:rPr>
        <w:t>Quebec,</w:t>
      </w:r>
      <w:r w:rsidR="00A22022" w:rsidRPr="00E02273">
        <w:rPr>
          <w:lang w:val="en-CA"/>
        </w:rPr>
        <w:t xml:space="preserve"> but only in regard to the constitutional invalidity of the </w:t>
      </w:r>
      <w:r w:rsidR="00B249BC" w:rsidRPr="00E02273">
        <w:rPr>
          <w:lang w:val="en-CA"/>
        </w:rPr>
        <w:t xml:space="preserve">main </w:t>
      </w:r>
      <w:r w:rsidR="002D51A4" w:rsidRPr="00E02273">
        <w:rPr>
          <w:lang w:val="en-CA"/>
        </w:rPr>
        <w:t>provisions</w:t>
      </w:r>
      <w:r w:rsidR="00B249BC" w:rsidRPr="00E02273">
        <w:rPr>
          <w:lang w:val="en-CA"/>
        </w:rPr>
        <w:t xml:space="preserve"> of the</w:t>
      </w:r>
      <w:r w:rsidR="00146098" w:rsidRPr="00E02273">
        <w:rPr>
          <w:lang w:val="en-CA"/>
        </w:rPr>
        <w:t xml:space="preserve"> </w:t>
      </w:r>
      <w:r w:rsidR="00146098" w:rsidRPr="00E02273">
        <w:rPr>
          <w:i/>
          <w:lang w:val="en-CA"/>
        </w:rPr>
        <w:t>2019 Regulatory Amendments</w:t>
      </w:r>
      <w:r w:rsidR="002D51A4" w:rsidRPr="00E02273">
        <w:rPr>
          <w:lang w:val="en-CA"/>
        </w:rPr>
        <w:t>.</w:t>
      </w:r>
    </w:p>
    <w:p w14:paraId="0C236A88" w14:textId="480A242E" w:rsidR="00B568AD" w:rsidRPr="00E02273" w:rsidRDefault="00146098" w:rsidP="00EF404D">
      <w:pPr>
        <w:pStyle w:val="Paragraphe"/>
        <w:tabs>
          <w:tab w:val="num" w:pos="709"/>
        </w:tabs>
        <w:spacing w:line="240" w:lineRule="auto"/>
        <w:ind w:left="0"/>
        <w:rPr>
          <w:lang w:val="en-CA"/>
        </w:rPr>
      </w:pPr>
      <w:r w:rsidRPr="00E02273">
        <w:rPr>
          <w:lang w:val="en-CA"/>
        </w:rPr>
        <w:t xml:space="preserve">The </w:t>
      </w:r>
      <w:r w:rsidR="002D51A4" w:rsidRPr="00E02273">
        <w:rPr>
          <w:lang w:val="en-CA"/>
        </w:rPr>
        <w:t>Attorney</w:t>
      </w:r>
      <w:r w:rsidRPr="00E02273">
        <w:rPr>
          <w:lang w:val="en-CA"/>
        </w:rPr>
        <w:t xml:space="preserve"> </w:t>
      </w:r>
      <w:r w:rsidR="002D51A4" w:rsidRPr="00E02273">
        <w:rPr>
          <w:lang w:val="en-CA"/>
        </w:rPr>
        <w:t>General</w:t>
      </w:r>
      <w:r w:rsidRPr="00E02273">
        <w:rPr>
          <w:lang w:val="en-CA"/>
        </w:rPr>
        <w:t xml:space="preserve"> </w:t>
      </w:r>
      <w:r w:rsidR="002D51A4" w:rsidRPr="00E02273">
        <w:rPr>
          <w:lang w:val="en-CA"/>
        </w:rPr>
        <w:t>of</w:t>
      </w:r>
      <w:r w:rsidRPr="00E02273">
        <w:rPr>
          <w:lang w:val="en-CA"/>
        </w:rPr>
        <w:t xml:space="preserve"> </w:t>
      </w:r>
      <w:r w:rsidR="002D51A4" w:rsidRPr="00E02273">
        <w:rPr>
          <w:lang w:val="en-CA"/>
        </w:rPr>
        <w:t xml:space="preserve">Canada </w:t>
      </w:r>
      <w:r w:rsidRPr="00E02273">
        <w:rPr>
          <w:lang w:val="en-CA"/>
        </w:rPr>
        <w:t xml:space="preserve">filed an incidental appeal against the </w:t>
      </w:r>
      <w:r w:rsidR="002D51A4" w:rsidRPr="00E02273">
        <w:rPr>
          <w:lang w:val="en-CA"/>
        </w:rPr>
        <w:t>declaration</w:t>
      </w:r>
      <w:r w:rsidRPr="00E02273">
        <w:rPr>
          <w:lang w:val="en-CA"/>
        </w:rPr>
        <w:t xml:space="preserve"> </w:t>
      </w:r>
      <w:r w:rsidR="002D51A4" w:rsidRPr="00E02273">
        <w:rPr>
          <w:lang w:val="en-CA"/>
        </w:rPr>
        <w:t>of</w:t>
      </w:r>
      <w:r w:rsidRPr="00E02273">
        <w:rPr>
          <w:lang w:val="en-CA"/>
        </w:rPr>
        <w:t xml:space="preserve"> constitutional </w:t>
      </w:r>
      <w:r w:rsidR="002D51A4" w:rsidRPr="00E02273">
        <w:rPr>
          <w:lang w:val="en-CA"/>
        </w:rPr>
        <w:t>invalidity</w:t>
      </w:r>
      <w:r w:rsidRPr="00E02273">
        <w:rPr>
          <w:lang w:val="en-CA"/>
        </w:rPr>
        <w:t xml:space="preserve"> </w:t>
      </w:r>
      <w:r w:rsidR="0012446C">
        <w:rPr>
          <w:lang w:val="en-CA"/>
        </w:rPr>
        <w:t xml:space="preserve">concerning </w:t>
      </w:r>
      <w:r w:rsidR="000F1B60">
        <w:rPr>
          <w:lang w:val="en-CA"/>
        </w:rPr>
        <w:t xml:space="preserve">the </w:t>
      </w:r>
      <w:r w:rsidRPr="00E02273">
        <w:rPr>
          <w:lang w:val="en-CA"/>
        </w:rPr>
        <w:t xml:space="preserve">new paragraphs </w:t>
      </w:r>
      <w:r w:rsidR="002D51A4" w:rsidRPr="00E02273">
        <w:rPr>
          <w:lang w:val="en-CA"/>
        </w:rPr>
        <w:t>4(4)</w:t>
      </w:r>
      <w:r w:rsidRPr="00E02273">
        <w:rPr>
          <w:lang w:val="en-CA"/>
        </w:rPr>
        <w:t>(</w:t>
      </w:r>
      <w:r w:rsidR="002D51A4" w:rsidRPr="00EE368E">
        <w:rPr>
          <w:lang w:val="en-CA"/>
        </w:rPr>
        <w:t>a</w:t>
      </w:r>
      <w:r w:rsidR="002D51A4" w:rsidRPr="00E02273">
        <w:rPr>
          <w:lang w:val="en-CA"/>
        </w:rPr>
        <w:t xml:space="preserve">) </w:t>
      </w:r>
      <w:r w:rsidRPr="00E02273">
        <w:rPr>
          <w:lang w:val="en-CA"/>
        </w:rPr>
        <w:t>and</w:t>
      </w:r>
      <w:r w:rsidR="002D51A4" w:rsidRPr="00E02273">
        <w:rPr>
          <w:lang w:val="en-CA"/>
        </w:rPr>
        <w:t xml:space="preserve"> </w:t>
      </w:r>
      <w:r w:rsidRPr="00E02273">
        <w:rPr>
          <w:lang w:val="en-CA"/>
        </w:rPr>
        <w:t>(</w:t>
      </w:r>
      <w:r w:rsidR="002D51A4" w:rsidRPr="00EE368E">
        <w:rPr>
          <w:lang w:val="en-CA"/>
        </w:rPr>
        <w:t>b</w:t>
      </w:r>
      <w:r w:rsidR="002D51A4" w:rsidRPr="00E02273">
        <w:rPr>
          <w:lang w:val="en-CA"/>
        </w:rPr>
        <w:t>) introdu</w:t>
      </w:r>
      <w:r w:rsidRPr="00E02273">
        <w:rPr>
          <w:lang w:val="en-CA"/>
        </w:rPr>
        <w:t xml:space="preserve">ced into the </w:t>
      </w:r>
      <w:r w:rsidRPr="00E02273">
        <w:rPr>
          <w:i/>
          <w:lang w:val="en-CA"/>
        </w:rPr>
        <w:t>Patented Medicines Regulations</w:t>
      </w:r>
      <w:r w:rsidRPr="00E02273">
        <w:rPr>
          <w:lang w:val="en-CA"/>
        </w:rPr>
        <w:t xml:space="preserve"> </w:t>
      </w:r>
      <w:r w:rsidR="001D22C8" w:rsidRPr="00E02273">
        <w:rPr>
          <w:lang w:val="en-CA"/>
        </w:rPr>
        <w:t xml:space="preserve">by the </w:t>
      </w:r>
      <w:r w:rsidR="001D22C8" w:rsidRPr="00E02273">
        <w:rPr>
          <w:i/>
          <w:lang w:val="en-CA"/>
        </w:rPr>
        <w:t>2019 Regulatory Amendments</w:t>
      </w:r>
      <w:r w:rsidR="002D51A4" w:rsidRPr="00E02273">
        <w:rPr>
          <w:lang w:val="en-CA"/>
        </w:rPr>
        <w:t>.</w:t>
      </w:r>
    </w:p>
    <w:p w14:paraId="45BAA6B1" w14:textId="0C5DF3E2" w:rsidR="00B568AD" w:rsidRPr="00E02273" w:rsidRDefault="001D22C8" w:rsidP="00EF404D">
      <w:pPr>
        <w:pStyle w:val="Paragraphe"/>
        <w:tabs>
          <w:tab w:val="num" w:pos="709"/>
        </w:tabs>
        <w:spacing w:line="240" w:lineRule="auto"/>
        <w:ind w:left="0"/>
        <w:rPr>
          <w:lang w:val="en-CA"/>
        </w:rPr>
      </w:pPr>
      <w:r w:rsidRPr="00E02273">
        <w:rPr>
          <w:lang w:val="en-CA"/>
        </w:rPr>
        <w:t xml:space="preserve">The </w:t>
      </w:r>
      <w:r w:rsidR="002D51A4" w:rsidRPr="00E02273">
        <w:rPr>
          <w:lang w:val="en-CA"/>
        </w:rPr>
        <w:t>coming</w:t>
      </w:r>
      <w:r w:rsidRPr="00E02273">
        <w:rPr>
          <w:lang w:val="en-CA"/>
        </w:rPr>
        <w:t xml:space="preserve"> </w:t>
      </w:r>
      <w:r w:rsidR="002D51A4" w:rsidRPr="00E02273">
        <w:rPr>
          <w:lang w:val="en-CA"/>
        </w:rPr>
        <w:t>into</w:t>
      </w:r>
      <w:r w:rsidRPr="00E02273">
        <w:rPr>
          <w:lang w:val="en-CA"/>
        </w:rPr>
        <w:t xml:space="preserve"> </w:t>
      </w:r>
      <w:r w:rsidR="002D51A4" w:rsidRPr="00E02273">
        <w:rPr>
          <w:lang w:val="en-CA"/>
        </w:rPr>
        <w:t>force</w:t>
      </w:r>
      <w:r w:rsidRPr="00E02273">
        <w:rPr>
          <w:lang w:val="en-CA"/>
        </w:rPr>
        <w:t xml:space="preserve"> of the </w:t>
      </w:r>
      <w:r w:rsidRPr="00E02273">
        <w:rPr>
          <w:i/>
          <w:lang w:val="en-CA"/>
        </w:rPr>
        <w:t>2019 Regulatory Amendments</w:t>
      </w:r>
      <w:r w:rsidR="002D51A4" w:rsidRPr="00E02273">
        <w:rPr>
          <w:lang w:val="en-CA"/>
        </w:rPr>
        <w:t xml:space="preserve">, </w:t>
      </w:r>
      <w:r w:rsidRPr="00E02273">
        <w:rPr>
          <w:lang w:val="en-CA"/>
        </w:rPr>
        <w:t xml:space="preserve">scheduled for </w:t>
      </w:r>
      <w:r w:rsidR="002D51A4" w:rsidRPr="00E02273">
        <w:rPr>
          <w:lang w:val="en-CA"/>
        </w:rPr>
        <w:t>July</w:t>
      </w:r>
      <w:r w:rsidRPr="00E02273">
        <w:rPr>
          <w:lang w:val="en-CA"/>
        </w:rPr>
        <w:t xml:space="preserve"> 1,</w:t>
      </w:r>
      <w:r w:rsidR="002D51A4" w:rsidRPr="00E02273">
        <w:rPr>
          <w:lang w:val="en-CA"/>
        </w:rPr>
        <w:t xml:space="preserve"> 2020, </w:t>
      </w:r>
      <w:r w:rsidR="000F1B60">
        <w:rPr>
          <w:lang w:val="en-CA"/>
        </w:rPr>
        <w:t>has been</w:t>
      </w:r>
      <w:r w:rsidRPr="00E02273">
        <w:rPr>
          <w:lang w:val="en-CA"/>
        </w:rPr>
        <w:t xml:space="preserve"> delayed a few times.</w:t>
      </w:r>
      <w:r w:rsidR="002D51A4" w:rsidRPr="00E02273">
        <w:rPr>
          <w:rStyle w:val="Appelnotedebasdep"/>
          <w:lang w:val="en-CA"/>
        </w:rPr>
        <w:footnoteReference w:id="5"/>
      </w:r>
      <w:r w:rsidRPr="00E02273">
        <w:rPr>
          <w:lang w:val="en-CA"/>
        </w:rPr>
        <w:t xml:space="preserve"> The c</w:t>
      </w:r>
      <w:r w:rsidR="002D51A4" w:rsidRPr="00E02273">
        <w:rPr>
          <w:lang w:val="en-CA"/>
        </w:rPr>
        <w:t>oming</w:t>
      </w:r>
      <w:r w:rsidRPr="00E02273">
        <w:rPr>
          <w:lang w:val="en-CA"/>
        </w:rPr>
        <w:t xml:space="preserve"> </w:t>
      </w:r>
      <w:r w:rsidR="002D51A4" w:rsidRPr="00E02273">
        <w:rPr>
          <w:lang w:val="en-CA"/>
        </w:rPr>
        <w:t>into</w:t>
      </w:r>
      <w:r w:rsidRPr="00E02273">
        <w:rPr>
          <w:lang w:val="en-CA"/>
        </w:rPr>
        <w:t xml:space="preserve"> </w:t>
      </w:r>
      <w:r w:rsidR="002D51A4" w:rsidRPr="00E02273">
        <w:rPr>
          <w:lang w:val="en-CA"/>
        </w:rPr>
        <w:t>force</w:t>
      </w:r>
      <w:r w:rsidRPr="00E02273">
        <w:rPr>
          <w:lang w:val="en-CA"/>
        </w:rPr>
        <w:t xml:space="preserve"> of these amendments is now scheduled for </w:t>
      </w:r>
      <w:r w:rsidR="002D51A4" w:rsidRPr="00E02273">
        <w:rPr>
          <w:lang w:val="en-CA"/>
        </w:rPr>
        <w:t>July</w:t>
      </w:r>
      <w:r w:rsidRPr="00E02273">
        <w:rPr>
          <w:lang w:val="en-CA"/>
        </w:rPr>
        <w:t xml:space="preserve"> 1,</w:t>
      </w:r>
      <w:r w:rsidR="002D51A4" w:rsidRPr="00E02273">
        <w:rPr>
          <w:lang w:val="en-CA"/>
        </w:rPr>
        <w:t xml:space="preserve"> 2022</w:t>
      </w:r>
      <w:r w:rsidRPr="00E02273">
        <w:rPr>
          <w:lang w:val="en-CA"/>
        </w:rPr>
        <w:t>.</w:t>
      </w:r>
      <w:r w:rsidR="002D51A4" w:rsidRPr="00E02273">
        <w:rPr>
          <w:rStyle w:val="Appelnotedebasdep"/>
          <w:lang w:val="en-CA"/>
        </w:rPr>
        <w:footnoteReference w:id="6"/>
      </w:r>
    </w:p>
    <w:p w14:paraId="2499B27D" w14:textId="0D6CB3E3" w:rsidR="00B568AD" w:rsidRPr="00E02273" w:rsidRDefault="002D51A4" w:rsidP="00B568AD">
      <w:pPr>
        <w:pStyle w:val="Paragraphe"/>
        <w:numPr>
          <w:ilvl w:val="0"/>
          <w:numId w:val="0"/>
        </w:numPr>
        <w:spacing w:before="240" w:after="240" w:line="240" w:lineRule="auto"/>
        <w:rPr>
          <w:b/>
          <w:u w:val="single"/>
          <w:lang w:val="en-CA"/>
        </w:rPr>
      </w:pPr>
      <w:r w:rsidRPr="00E02273">
        <w:rPr>
          <w:b/>
          <w:u w:val="single"/>
          <w:lang w:val="en-CA"/>
        </w:rPr>
        <w:t xml:space="preserve">I </w:t>
      </w:r>
      <w:r w:rsidR="007815FC">
        <w:rPr>
          <w:b/>
          <w:u w:val="single"/>
          <w:lang w:val="en-CA"/>
        </w:rPr>
        <w:t>-</w:t>
      </w:r>
      <w:r w:rsidRPr="00E02273">
        <w:rPr>
          <w:b/>
          <w:u w:val="single"/>
          <w:lang w:val="en-CA"/>
        </w:rPr>
        <w:t xml:space="preserve"> </w:t>
      </w:r>
      <w:r w:rsidR="00200924" w:rsidRPr="00E02273">
        <w:rPr>
          <w:b/>
          <w:u w:val="single"/>
          <w:lang w:val="en-CA"/>
        </w:rPr>
        <w:t>STATUTORY PROVISIONS</w:t>
      </w:r>
    </w:p>
    <w:p w14:paraId="37612540" w14:textId="37496E52" w:rsidR="00B568AD" w:rsidRPr="00E02273" w:rsidRDefault="00EC27D8" w:rsidP="00EF404D">
      <w:pPr>
        <w:pStyle w:val="Paragraphe"/>
        <w:tabs>
          <w:tab w:val="num" w:pos="709"/>
        </w:tabs>
        <w:spacing w:line="240" w:lineRule="auto"/>
        <w:ind w:left="0"/>
        <w:rPr>
          <w:lang w:val="en-CA"/>
        </w:rPr>
      </w:pPr>
      <w:r w:rsidRPr="00E02273">
        <w:rPr>
          <w:lang w:val="en-CA"/>
        </w:rPr>
        <w:t xml:space="preserve">To understand the context underlying this dispute, it is appropriate to </w:t>
      </w:r>
      <w:r w:rsidR="002D51A4" w:rsidRPr="00E02273">
        <w:rPr>
          <w:lang w:val="en-CA"/>
        </w:rPr>
        <w:t>first</w:t>
      </w:r>
      <w:r w:rsidRPr="00E02273">
        <w:rPr>
          <w:lang w:val="en-CA"/>
        </w:rPr>
        <w:t xml:space="preserve"> summarily describe the legislative</w:t>
      </w:r>
      <w:r w:rsidR="00546640" w:rsidRPr="00E02273">
        <w:rPr>
          <w:lang w:val="en-CA"/>
        </w:rPr>
        <w:t xml:space="preserve"> history of the aspects of the </w:t>
      </w:r>
      <w:r w:rsidR="00546640" w:rsidRPr="00E02273">
        <w:rPr>
          <w:i/>
          <w:lang w:val="en-CA"/>
        </w:rPr>
        <w:t xml:space="preserve">Patent Act </w:t>
      </w:r>
      <w:r w:rsidR="00546640" w:rsidRPr="00E02273">
        <w:rPr>
          <w:lang w:val="en-CA"/>
        </w:rPr>
        <w:t xml:space="preserve">relevant to </w:t>
      </w:r>
      <w:r w:rsidR="003E5FA9" w:rsidRPr="00E02273">
        <w:rPr>
          <w:lang w:val="en-CA"/>
        </w:rPr>
        <w:t>t</w:t>
      </w:r>
      <w:r w:rsidR="00546640" w:rsidRPr="00E02273">
        <w:rPr>
          <w:lang w:val="en-CA"/>
        </w:rPr>
        <w:t xml:space="preserve">his </w:t>
      </w:r>
      <w:r w:rsidR="002D51A4" w:rsidRPr="00E02273">
        <w:rPr>
          <w:lang w:val="en-CA"/>
        </w:rPr>
        <w:t>appea</w:t>
      </w:r>
      <w:r w:rsidR="00546640" w:rsidRPr="00E02273">
        <w:rPr>
          <w:lang w:val="en-CA"/>
        </w:rPr>
        <w:t>l</w:t>
      </w:r>
      <w:r w:rsidR="002D51A4" w:rsidRPr="00E02273">
        <w:rPr>
          <w:lang w:val="en-CA"/>
        </w:rPr>
        <w:t>.</w:t>
      </w:r>
      <w:r w:rsidR="00546640" w:rsidRPr="00E02273">
        <w:rPr>
          <w:lang w:val="en-CA"/>
        </w:rPr>
        <w:t xml:space="preserve"> What follows is a brief </w:t>
      </w:r>
      <w:r w:rsidR="002D51A4" w:rsidRPr="00E02273">
        <w:rPr>
          <w:lang w:val="en-CA"/>
        </w:rPr>
        <w:t>description</w:t>
      </w:r>
      <w:r w:rsidR="00546640" w:rsidRPr="00E02273">
        <w:rPr>
          <w:lang w:val="en-CA"/>
        </w:rPr>
        <w:t xml:space="preserve"> of the </w:t>
      </w:r>
      <w:r w:rsidR="002D51A4" w:rsidRPr="00E02273">
        <w:rPr>
          <w:lang w:val="en-CA"/>
        </w:rPr>
        <w:t>impugned</w:t>
      </w:r>
      <w:r w:rsidR="00546640" w:rsidRPr="00E02273">
        <w:rPr>
          <w:lang w:val="en-CA"/>
        </w:rPr>
        <w:t xml:space="preserve"> </w:t>
      </w:r>
      <w:r w:rsidR="002D51A4" w:rsidRPr="00E02273">
        <w:rPr>
          <w:lang w:val="en-CA"/>
        </w:rPr>
        <w:t>provision</w:t>
      </w:r>
      <w:r w:rsidR="00546640" w:rsidRPr="00E02273">
        <w:rPr>
          <w:lang w:val="en-CA"/>
        </w:rPr>
        <w:t xml:space="preserve">s of the </w:t>
      </w:r>
      <w:r w:rsidR="00546640" w:rsidRPr="00E02273">
        <w:rPr>
          <w:i/>
          <w:lang w:val="en-CA"/>
        </w:rPr>
        <w:t xml:space="preserve">Patent Act </w:t>
      </w:r>
      <w:r w:rsidR="00546640" w:rsidRPr="00E02273">
        <w:rPr>
          <w:lang w:val="en-CA"/>
        </w:rPr>
        <w:t xml:space="preserve">and the current version of the </w:t>
      </w:r>
      <w:r w:rsidR="00546640" w:rsidRPr="00E02273">
        <w:rPr>
          <w:bCs/>
          <w:i/>
          <w:lang w:val="en-CA"/>
        </w:rPr>
        <w:t>Patented Medicines Regulations</w:t>
      </w:r>
      <w:r w:rsidR="00546640" w:rsidRPr="00E02273">
        <w:rPr>
          <w:bCs/>
          <w:lang w:val="en-CA"/>
        </w:rPr>
        <w:t xml:space="preserve">, as well as a summary of the </w:t>
      </w:r>
      <w:r w:rsidR="00546640" w:rsidRPr="00E02273">
        <w:rPr>
          <w:i/>
          <w:lang w:val="en-CA"/>
        </w:rPr>
        <w:t>2019 Regulatory Amendments</w:t>
      </w:r>
      <w:r w:rsidR="002D51A4" w:rsidRPr="00E02273">
        <w:rPr>
          <w:lang w:val="en-CA"/>
        </w:rPr>
        <w:t xml:space="preserve">. </w:t>
      </w:r>
      <w:r w:rsidR="001B69B9" w:rsidRPr="00E02273">
        <w:rPr>
          <w:lang w:val="en-CA"/>
        </w:rPr>
        <w:t>We conclude this part with a brief overview of the provincial measures concerning the price of medicines</w:t>
      </w:r>
      <w:r w:rsidR="002D51A4" w:rsidRPr="00E02273">
        <w:rPr>
          <w:lang w:val="en-CA"/>
        </w:rPr>
        <w:t>.</w:t>
      </w:r>
    </w:p>
    <w:p w14:paraId="0DCCC17E" w14:textId="50528138" w:rsidR="00B568AD" w:rsidRPr="00E02273" w:rsidRDefault="003E5FA9" w:rsidP="00B568AD">
      <w:pPr>
        <w:pStyle w:val="Paragraphe"/>
        <w:numPr>
          <w:ilvl w:val="0"/>
          <w:numId w:val="22"/>
        </w:numPr>
        <w:spacing w:line="240" w:lineRule="auto"/>
        <w:rPr>
          <w:b/>
          <w:u w:val="single"/>
          <w:lang w:val="en-CA"/>
        </w:rPr>
      </w:pPr>
      <w:r w:rsidRPr="00E02273">
        <w:rPr>
          <w:b/>
          <w:i/>
          <w:u w:val="single"/>
          <w:lang w:val="en-CA"/>
        </w:rPr>
        <w:t>Legislative h</w:t>
      </w:r>
      <w:r w:rsidR="00200924" w:rsidRPr="00E02273">
        <w:rPr>
          <w:b/>
          <w:i/>
          <w:u w:val="single"/>
          <w:lang w:val="en-CA"/>
        </w:rPr>
        <w:t>istory</w:t>
      </w:r>
    </w:p>
    <w:p w14:paraId="0327C4E9" w14:textId="50357453" w:rsidR="00B568AD" w:rsidRPr="00E02273" w:rsidRDefault="00854DBA" w:rsidP="00B568AD">
      <w:pPr>
        <w:pStyle w:val="Paragraphe"/>
        <w:numPr>
          <w:ilvl w:val="0"/>
          <w:numId w:val="0"/>
        </w:numPr>
        <w:spacing w:line="240" w:lineRule="auto"/>
        <w:ind w:left="1440"/>
        <w:rPr>
          <w:i/>
          <w:u w:val="single"/>
          <w:lang w:val="en-CA"/>
        </w:rPr>
      </w:pPr>
      <w:r w:rsidRPr="00E02273">
        <w:rPr>
          <w:i/>
          <w:u w:val="single"/>
          <w:lang w:val="en-CA"/>
        </w:rPr>
        <w:t xml:space="preserve">The </w:t>
      </w:r>
      <w:r w:rsidR="002D51A4" w:rsidRPr="00E02273">
        <w:rPr>
          <w:i/>
          <w:u w:val="single"/>
          <w:lang w:val="en-CA"/>
        </w:rPr>
        <w:t>1869</w:t>
      </w:r>
      <w:r w:rsidRPr="00E02273">
        <w:rPr>
          <w:i/>
          <w:u w:val="single"/>
          <w:lang w:val="en-CA"/>
        </w:rPr>
        <w:t xml:space="preserve"> Act</w:t>
      </w:r>
    </w:p>
    <w:p w14:paraId="27B9D2B9" w14:textId="45C67F02" w:rsidR="00B568AD" w:rsidRPr="00E02273" w:rsidRDefault="002D51A4" w:rsidP="00EF404D">
      <w:pPr>
        <w:pStyle w:val="Paragraphe"/>
        <w:tabs>
          <w:tab w:val="num" w:pos="709"/>
        </w:tabs>
        <w:spacing w:line="240" w:lineRule="auto"/>
        <w:ind w:left="0"/>
        <w:rPr>
          <w:lang w:val="en-CA"/>
        </w:rPr>
      </w:pPr>
      <w:r w:rsidRPr="00E02273">
        <w:rPr>
          <w:lang w:val="en-CA"/>
        </w:rPr>
        <w:t>Parliament</w:t>
      </w:r>
      <w:r w:rsidR="00C00B1F" w:rsidRPr="00E02273">
        <w:rPr>
          <w:lang w:val="en-CA"/>
        </w:rPr>
        <w:t xml:space="preserve">’s first statute concerning patents was the 1869 </w:t>
      </w:r>
      <w:r w:rsidR="00EA7316" w:rsidRPr="00E02273">
        <w:rPr>
          <w:i/>
          <w:iCs/>
          <w:color w:val="000000"/>
          <w:lang w:val="en-CA"/>
        </w:rPr>
        <w:t>Act respecting Patents of Invention</w:t>
      </w:r>
      <w:r w:rsidR="00C00B1F" w:rsidRPr="00E02273">
        <w:rPr>
          <w:iCs/>
          <w:color w:val="000000"/>
          <w:lang w:val="en-CA"/>
        </w:rPr>
        <w:t>.</w:t>
      </w:r>
      <w:r w:rsidRPr="00E02273">
        <w:rPr>
          <w:rStyle w:val="Appelnotedebasdep"/>
          <w:lang w:val="en-CA"/>
        </w:rPr>
        <w:footnoteReference w:id="7"/>
      </w:r>
      <w:r w:rsidRPr="00E02273">
        <w:rPr>
          <w:lang w:val="en-CA"/>
        </w:rPr>
        <w:t xml:space="preserve"> </w:t>
      </w:r>
      <w:r w:rsidR="0067549C" w:rsidRPr="00E02273">
        <w:rPr>
          <w:lang w:val="en-CA"/>
        </w:rPr>
        <w:t xml:space="preserve">It contained no specific </w:t>
      </w:r>
      <w:r w:rsidRPr="00E02273">
        <w:rPr>
          <w:lang w:val="en-CA"/>
        </w:rPr>
        <w:t>provision</w:t>
      </w:r>
      <w:r w:rsidR="0067549C" w:rsidRPr="00E02273">
        <w:rPr>
          <w:lang w:val="en-CA"/>
        </w:rPr>
        <w:t xml:space="preserve"> on medici</w:t>
      </w:r>
      <w:r w:rsidR="001B05EE" w:rsidRPr="00E02273">
        <w:rPr>
          <w:lang w:val="en-CA"/>
        </w:rPr>
        <w:t>n</w:t>
      </w:r>
      <w:r w:rsidR="0067549C" w:rsidRPr="00E02273">
        <w:rPr>
          <w:lang w:val="en-CA"/>
        </w:rPr>
        <w:t>es. However, it provided that a patent,</w:t>
      </w:r>
      <w:r w:rsidR="00C20F1D" w:rsidRPr="00E02273">
        <w:rPr>
          <w:lang w:val="en-CA"/>
        </w:rPr>
        <w:t xml:space="preserve"> regardless of its subject, expired after three years if it was not acted upon in such a way</w:t>
      </w:r>
      <w:r w:rsidR="00976919" w:rsidRPr="00E02273">
        <w:rPr>
          <w:lang w:val="en-CA"/>
        </w:rPr>
        <w:t xml:space="preserve"> as to permit its </w:t>
      </w:r>
      <w:r w:rsidR="00C20F1D" w:rsidRPr="00E02273">
        <w:rPr>
          <w:lang w:val="en-CA"/>
        </w:rPr>
        <w:t>use</w:t>
      </w:r>
      <w:r w:rsidR="00976919" w:rsidRPr="00E02273">
        <w:rPr>
          <w:lang w:val="en-CA"/>
        </w:rPr>
        <w:t xml:space="preserve"> at a “</w:t>
      </w:r>
      <w:r w:rsidRPr="00E02273">
        <w:rPr>
          <w:lang w:val="en-CA"/>
        </w:rPr>
        <w:t>reasonable</w:t>
      </w:r>
      <w:r w:rsidR="00976919" w:rsidRPr="00E02273">
        <w:rPr>
          <w:lang w:val="en-CA"/>
        </w:rPr>
        <w:t xml:space="preserve"> price”.</w:t>
      </w:r>
      <w:r w:rsidRPr="00E02273">
        <w:rPr>
          <w:rStyle w:val="Appelnotedebasdep"/>
          <w:lang w:val="en-CA"/>
        </w:rPr>
        <w:footnoteReference w:id="8"/>
      </w:r>
    </w:p>
    <w:p w14:paraId="1ED5BFE7" w14:textId="1A8EE087" w:rsidR="00B568AD" w:rsidRPr="00E02273" w:rsidRDefault="001B05EE" w:rsidP="006E6E8F">
      <w:pPr>
        <w:pStyle w:val="Paragraphe"/>
        <w:keepNext/>
        <w:numPr>
          <w:ilvl w:val="0"/>
          <w:numId w:val="0"/>
        </w:numPr>
        <w:spacing w:line="240" w:lineRule="auto"/>
        <w:ind w:left="1440"/>
        <w:rPr>
          <w:i/>
          <w:u w:val="single"/>
          <w:lang w:val="en-CA"/>
        </w:rPr>
      </w:pPr>
      <w:r w:rsidRPr="00E02273">
        <w:rPr>
          <w:i/>
          <w:u w:val="single"/>
          <w:lang w:val="en-CA"/>
        </w:rPr>
        <w:lastRenderedPageBreak/>
        <w:t xml:space="preserve">The </w:t>
      </w:r>
      <w:r w:rsidR="002D51A4" w:rsidRPr="00E02273">
        <w:rPr>
          <w:i/>
          <w:u w:val="single"/>
          <w:lang w:val="en-CA"/>
        </w:rPr>
        <w:t>1923</w:t>
      </w:r>
      <w:r w:rsidRPr="00E02273">
        <w:rPr>
          <w:i/>
          <w:u w:val="single"/>
          <w:lang w:val="en-CA"/>
        </w:rPr>
        <w:t xml:space="preserve"> Act</w:t>
      </w:r>
    </w:p>
    <w:p w14:paraId="092FD058" w14:textId="3F882F72" w:rsidR="00B568AD" w:rsidRPr="00E02273" w:rsidRDefault="00BD1AD0" w:rsidP="006E6E8F">
      <w:pPr>
        <w:pStyle w:val="Paragraphe"/>
        <w:keepNext/>
        <w:tabs>
          <w:tab w:val="num" w:pos="709"/>
        </w:tabs>
        <w:spacing w:line="240" w:lineRule="auto"/>
        <w:ind w:left="0"/>
        <w:rPr>
          <w:lang w:val="en-CA"/>
        </w:rPr>
      </w:pPr>
      <w:r w:rsidRPr="00E02273">
        <w:rPr>
          <w:lang w:val="en-CA"/>
        </w:rPr>
        <w:t xml:space="preserve">It was only in </w:t>
      </w:r>
      <w:r w:rsidR="002D51A4" w:rsidRPr="00E02273">
        <w:rPr>
          <w:lang w:val="en-CA"/>
        </w:rPr>
        <w:t xml:space="preserve">1923 </w:t>
      </w:r>
      <w:r w:rsidRPr="00E02273">
        <w:rPr>
          <w:lang w:val="en-CA"/>
        </w:rPr>
        <w:t xml:space="preserve">that the </w:t>
      </w:r>
      <w:r w:rsidRPr="00E02273">
        <w:rPr>
          <w:i/>
          <w:lang w:val="en-CA"/>
        </w:rPr>
        <w:t>Act to Amend and Consolidate the Acts Relating to Patents of Invention</w:t>
      </w:r>
      <w:r w:rsidR="002D51A4" w:rsidRPr="00E02273">
        <w:rPr>
          <w:rStyle w:val="Appelnotedebasdep"/>
          <w:lang w:val="en-CA"/>
        </w:rPr>
        <w:footnoteReference w:id="9"/>
      </w:r>
      <w:r w:rsidR="002D51A4" w:rsidRPr="00E02273">
        <w:rPr>
          <w:lang w:val="en-CA"/>
        </w:rPr>
        <w:t xml:space="preserve"> </w:t>
      </w:r>
      <w:r w:rsidRPr="00E02273">
        <w:rPr>
          <w:lang w:val="en-CA"/>
        </w:rPr>
        <w:t>expressly addressed me</w:t>
      </w:r>
      <w:r w:rsidR="00D67BCD" w:rsidRPr="00E02273">
        <w:rPr>
          <w:lang w:val="en-CA"/>
        </w:rPr>
        <w:t xml:space="preserve">thods for making medicines, while prohibiting </w:t>
      </w:r>
      <w:r w:rsidRPr="00E02273">
        <w:rPr>
          <w:lang w:val="en-CA"/>
        </w:rPr>
        <w:t xml:space="preserve">the </w:t>
      </w:r>
      <w:r w:rsidR="00D67BCD" w:rsidRPr="00E02273">
        <w:rPr>
          <w:lang w:val="en-CA"/>
        </w:rPr>
        <w:t xml:space="preserve">patenting of medicinal </w:t>
      </w:r>
      <w:r w:rsidR="002D51A4" w:rsidRPr="00E02273">
        <w:rPr>
          <w:lang w:val="en-CA"/>
        </w:rPr>
        <w:t>substance</w:t>
      </w:r>
      <w:r w:rsidR="00D67BCD" w:rsidRPr="00E02273">
        <w:rPr>
          <w:lang w:val="en-CA"/>
        </w:rPr>
        <w:t>s.</w:t>
      </w:r>
      <w:r w:rsidR="002D51A4" w:rsidRPr="00E02273">
        <w:rPr>
          <w:rStyle w:val="Appelnotedebasdep"/>
          <w:lang w:val="en-CA"/>
        </w:rPr>
        <w:footnoteReference w:id="10"/>
      </w:r>
    </w:p>
    <w:p w14:paraId="0A588821" w14:textId="168D9B39" w:rsidR="00B568AD" w:rsidRPr="00E02273" w:rsidRDefault="00951EE6" w:rsidP="00EF404D">
      <w:pPr>
        <w:pStyle w:val="Paragraphe"/>
        <w:tabs>
          <w:tab w:val="num" w:pos="709"/>
        </w:tabs>
        <w:spacing w:line="240" w:lineRule="auto"/>
        <w:ind w:left="0"/>
        <w:rPr>
          <w:lang w:val="en-CA"/>
        </w:rPr>
      </w:pPr>
      <w:r w:rsidRPr="00E02273">
        <w:rPr>
          <w:lang w:val="en-CA"/>
        </w:rPr>
        <w:t xml:space="preserve">With certain </w:t>
      </w:r>
      <w:r w:rsidR="002D51A4" w:rsidRPr="00E02273">
        <w:rPr>
          <w:lang w:val="en-CA"/>
        </w:rPr>
        <w:t>exception</w:t>
      </w:r>
      <w:r w:rsidRPr="00E02273">
        <w:rPr>
          <w:lang w:val="en-CA"/>
        </w:rPr>
        <w:t>s</w:t>
      </w:r>
      <w:r w:rsidR="002D51A4" w:rsidRPr="00E02273">
        <w:rPr>
          <w:lang w:val="en-CA"/>
        </w:rPr>
        <w:t>,</w:t>
      </w:r>
      <w:r w:rsidRPr="00E02273">
        <w:rPr>
          <w:lang w:val="en-CA"/>
        </w:rPr>
        <w:t xml:space="preserve"> the Commissioner of Patents therefore had </w:t>
      </w:r>
      <w:r w:rsidR="00193840">
        <w:rPr>
          <w:lang w:val="en-CA"/>
        </w:rPr>
        <w:t xml:space="preserve">to </w:t>
      </w:r>
      <w:r w:rsidRPr="00E02273">
        <w:rPr>
          <w:lang w:val="en-CA"/>
        </w:rPr>
        <w:t>gr</w:t>
      </w:r>
      <w:r w:rsidR="0083667F" w:rsidRPr="00E02273">
        <w:rPr>
          <w:lang w:val="en-CA"/>
        </w:rPr>
        <w:t>ant a licence to use the patent</w:t>
      </w:r>
      <w:r w:rsidRPr="00E02273">
        <w:rPr>
          <w:lang w:val="en-CA"/>
        </w:rPr>
        <w:t>ed method of making a medicine to</w:t>
      </w:r>
      <w:r w:rsidR="0083667F" w:rsidRPr="00E02273">
        <w:rPr>
          <w:lang w:val="en-CA"/>
        </w:rPr>
        <w:t xml:space="preserve"> any person who </w:t>
      </w:r>
      <w:r w:rsidR="00CE60E1" w:rsidRPr="00E02273">
        <w:rPr>
          <w:lang w:val="en-CA"/>
        </w:rPr>
        <w:t>applied for it</w:t>
      </w:r>
      <w:r w:rsidR="0083667F" w:rsidRPr="00E02273">
        <w:rPr>
          <w:lang w:val="en-CA"/>
        </w:rPr>
        <w:t xml:space="preserve">. The </w:t>
      </w:r>
      <w:r w:rsidR="002D51A4" w:rsidRPr="00E02273">
        <w:rPr>
          <w:lang w:val="en-CA"/>
        </w:rPr>
        <w:t xml:space="preserve">conditions </w:t>
      </w:r>
      <w:r w:rsidR="0083667F" w:rsidRPr="00E02273">
        <w:rPr>
          <w:lang w:val="en-CA"/>
        </w:rPr>
        <w:t>of such a licen</w:t>
      </w:r>
      <w:r w:rsidR="0024487E" w:rsidRPr="00E02273">
        <w:rPr>
          <w:lang w:val="en-CA"/>
        </w:rPr>
        <w:t>c</w:t>
      </w:r>
      <w:r w:rsidR="0083667F" w:rsidRPr="00E02273">
        <w:rPr>
          <w:lang w:val="en-CA"/>
        </w:rPr>
        <w:t>e and the amount of the fees to be paid to the patentee were fixed by the C</w:t>
      </w:r>
      <w:r w:rsidR="002D51A4" w:rsidRPr="00E02273">
        <w:rPr>
          <w:lang w:val="en-CA"/>
        </w:rPr>
        <w:t>ommissioner</w:t>
      </w:r>
      <w:r w:rsidR="0083667F" w:rsidRPr="00E02273">
        <w:rPr>
          <w:lang w:val="en-CA"/>
        </w:rPr>
        <w:t xml:space="preserve">, who had to </w:t>
      </w:r>
      <w:r w:rsidR="00CE60E1" w:rsidRPr="00E02273">
        <w:rPr>
          <w:lang w:val="en-CA"/>
        </w:rPr>
        <w:t>consider “the desirability of making the … medicine available to the public at the lowest possible price consistent with giving to the inventor due reward for the research leading to the invention”.</w:t>
      </w:r>
      <w:r w:rsidR="002D51A4" w:rsidRPr="00E02273">
        <w:rPr>
          <w:rStyle w:val="Appelnotedebasdep"/>
          <w:lang w:val="en-CA"/>
        </w:rPr>
        <w:footnoteReference w:id="11"/>
      </w:r>
      <w:r w:rsidR="002D51A4" w:rsidRPr="00E02273">
        <w:rPr>
          <w:lang w:val="en-CA"/>
        </w:rPr>
        <w:t xml:space="preserve"> </w:t>
      </w:r>
      <w:r w:rsidR="00CE60E1" w:rsidRPr="00E02273">
        <w:rPr>
          <w:lang w:val="en-CA"/>
        </w:rPr>
        <w:t xml:space="preserve">A licence did not </w:t>
      </w:r>
      <w:r w:rsidR="00175278">
        <w:rPr>
          <w:lang w:val="en-CA"/>
        </w:rPr>
        <w:t xml:space="preserve">allow </w:t>
      </w:r>
      <w:r w:rsidR="00CE60E1" w:rsidRPr="00E02273">
        <w:rPr>
          <w:lang w:val="en-CA"/>
        </w:rPr>
        <w:t>the medicine</w:t>
      </w:r>
      <w:r w:rsidR="00175278">
        <w:rPr>
          <w:lang w:val="en-CA"/>
        </w:rPr>
        <w:t xml:space="preserve"> to be imported</w:t>
      </w:r>
      <w:r w:rsidR="00707871" w:rsidRPr="00E02273">
        <w:rPr>
          <w:lang w:val="en-CA"/>
        </w:rPr>
        <w:t xml:space="preserve">; </w:t>
      </w:r>
      <w:r w:rsidR="00CE60E1" w:rsidRPr="00E02273">
        <w:rPr>
          <w:lang w:val="en-CA"/>
        </w:rPr>
        <w:t>rather</w:t>
      </w:r>
      <w:r w:rsidR="00707871" w:rsidRPr="00E02273">
        <w:rPr>
          <w:lang w:val="en-CA"/>
        </w:rPr>
        <w:t xml:space="preserve">, it </w:t>
      </w:r>
      <w:r w:rsidR="00175278">
        <w:rPr>
          <w:lang w:val="en-CA"/>
        </w:rPr>
        <w:t xml:space="preserve">allowed </w:t>
      </w:r>
      <w:r w:rsidR="00707871" w:rsidRPr="00E02273">
        <w:rPr>
          <w:lang w:val="en-CA"/>
        </w:rPr>
        <w:t>it to be made</w:t>
      </w:r>
      <w:r w:rsidR="00D504EE" w:rsidRPr="00E02273">
        <w:rPr>
          <w:lang w:val="en-CA"/>
        </w:rPr>
        <w:t xml:space="preserve"> in </w:t>
      </w:r>
      <w:r w:rsidR="002D51A4" w:rsidRPr="00E02273">
        <w:rPr>
          <w:lang w:val="en-CA"/>
        </w:rPr>
        <w:t>Canada</w:t>
      </w:r>
      <w:r w:rsidR="00D504EE" w:rsidRPr="00E02273">
        <w:rPr>
          <w:lang w:val="en-CA"/>
        </w:rPr>
        <w:t>.</w:t>
      </w:r>
      <w:r w:rsidR="002D51A4" w:rsidRPr="00E02273">
        <w:rPr>
          <w:rStyle w:val="Appelnotedebasdep"/>
          <w:lang w:val="en-CA"/>
        </w:rPr>
        <w:footnoteReference w:id="12"/>
      </w:r>
    </w:p>
    <w:p w14:paraId="016B0A65" w14:textId="59CC1B41" w:rsidR="00B568AD" w:rsidRPr="00E02273" w:rsidRDefault="00B42385" w:rsidP="00EF404D">
      <w:pPr>
        <w:pStyle w:val="Paragraphe"/>
        <w:tabs>
          <w:tab w:val="num" w:pos="709"/>
        </w:tabs>
        <w:spacing w:line="240" w:lineRule="auto"/>
        <w:ind w:left="0"/>
        <w:rPr>
          <w:lang w:val="en-CA"/>
        </w:rPr>
      </w:pPr>
      <w:r w:rsidRPr="00E02273">
        <w:rPr>
          <w:lang w:val="en-CA"/>
        </w:rPr>
        <w:t xml:space="preserve">It was </w:t>
      </w:r>
      <w:r w:rsidR="00193840">
        <w:rPr>
          <w:lang w:val="en-CA"/>
        </w:rPr>
        <w:t xml:space="preserve">in fact </w:t>
      </w:r>
      <w:r w:rsidRPr="00E02273">
        <w:rPr>
          <w:lang w:val="en-CA"/>
        </w:rPr>
        <w:t>the Canadi</w:t>
      </w:r>
      <w:r w:rsidR="00193840">
        <w:rPr>
          <w:lang w:val="en-CA"/>
        </w:rPr>
        <w:t>an version of the British statut</w:t>
      </w:r>
      <w:r w:rsidRPr="00E02273">
        <w:rPr>
          <w:lang w:val="en-CA"/>
        </w:rPr>
        <w:t>e in force at the time, as explained by C</w:t>
      </w:r>
      <w:r w:rsidR="002D51A4" w:rsidRPr="00E02273">
        <w:rPr>
          <w:lang w:val="en-CA"/>
        </w:rPr>
        <w:t>ommissioner</w:t>
      </w:r>
      <w:r w:rsidRPr="00E02273">
        <w:rPr>
          <w:lang w:val="en-CA"/>
        </w:rPr>
        <w:t xml:space="preserve"> </w:t>
      </w:r>
      <w:r w:rsidR="002D51A4" w:rsidRPr="00E02273">
        <w:rPr>
          <w:lang w:val="en-CA"/>
        </w:rPr>
        <w:t xml:space="preserve">Harry C. Eastman </w:t>
      </w:r>
      <w:r w:rsidRPr="00E02273">
        <w:rPr>
          <w:lang w:val="en-CA"/>
        </w:rPr>
        <w:t xml:space="preserve">in his 1985 report of inquiry </w:t>
      </w:r>
      <w:r w:rsidR="002D51A4" w:rsidRPr="00E02273">
        <w:rPr>
          <w:lang w:val="en-CA"/>
        </w:rPr>
        <w:t>(</w:t>
      </w:r>
      <w:r w:rsidRPr="00E02273">
        <w:rPr>
          <w:lang w:val="en-CA"/>
        </w:rPr>
        <w:t>the “Eastman Report”</w:t>
      </w:r>
      <w:r w:rsidR="002D51A4" w:rsidRPr="00E02273">
        <w:rPr>
          <w:lang w:val="en-CA"/>
        </w:rPr>
        <w:t xml:space="preserve">), </w:t>
      </w:r>
      <w:r w:rsidRPr="00E02273">
        <w:rPr>
          <w:lang w:val="en-CA"/>
        </w:rPr>
        <w:t>to which I will return:</w:t>
      </w:r>
      <w:r w:rsidR="002D51A4" w:rsidRPr="00E02273">
        <w:rPr>
          <w:rStyle w:val="Appelnotedebasdep"/>
          <w:lang w:val="en-CA"/>
        </w:rPr>
        <w:footnoteReference w:id="13"/>
      </w:r>
    </w:p>
    <w:p w14:paraId="027A8535" w14:textId="646A48EF" w:rsidR="00B568AD" w:rsidRPr="00E02273" w:rsidRDefault="0083159A" w:rsidP="00B568AD">
      <w:pPr>
        <w:pStyle w:val="Citationenretrait"/>
        <w:spacing w:line="240" w:lineRule="auto"/>
        <w:rPr>
          <w:lang w:val="en-CA" w:eastAsia="fr-CA"/>
        </w:rPr>
      </w:pPr>
      <w:r w:rsidRPr="00E02273">
        <w:rPr>
          <w:lang w:val="en-CA"/>
        </w:rPr>
        <w:t xml:space="preserve">The nature of the policies specific to the pharmaceutical industry has varied by country and over time. In response to concern about the lack of British-owned pharmaceutical firms, which was attributed to excessively broad product patent protection for foreign firms in the United Kingdom before World War I, the British Patent Act was amended in 1919 and restricted the patent protection given to food and drugs to process or product by process, not to the product itself. The amendment also introduced compulsory licensing of patents to permit the entry of new firms. This legislation was widely imitated in other parts of the British Empire. It was introduced in Canada in 1923 in a form that required manufacture of the patented active ingredient in Canada. </w:t>
      </w:r>
    </w:p>
    <w:p w14:paraId="315504CB" w14:textId="2B3796D2" w:rsidR="00B568AD" w:rsidRPr="00E02273" w:rsidRDefault="00446A8E" w:rsidP="00EF404D">
      <w:pPr>
        <w:pStyle w:val="Paragraphe"/>
        <w:tabs>
          <w:tab w:val="num" w:pos="709"/>
        </w:tabs>
        <w:spacing w:line="240" w:lineRule="auto"/>
        <w:ind w:left="0"/>
        <w:rPr>
          <w:lang w:val="en-CA"/>
        </w:rPr>
      </w:pPr>
      <w:r w:rsidRPr="00E02273">
        <w:rPr>
          <w:lang w:val="en-CA"/>
        </w:rPr>
        <w:t xml:space="preserve">The purpose of the compulsory licensing scheme for </w:t>
      </w:r>
      <w:r w:rsidR="00175278">
        <w:rPr>
          <w:lang w:val="en-CA"/>
        </w:rPr>
        <w:t>drug-manufacturing processes</w:t>
      </w:r>
      <w:r w:rsidRPr="00E02273">
        <w:rPr>
          <w:lang w:val="en-CA"/>
        </w:rPr>
        <w:t xml:space="preserve"> was to </w:t>
      </w:r>
      <w:r w:rsidR="00175278">
        <w:rPr>
          <w:lang w:val="en-CA"/>
        </w:rPr>
        <w:t>mitigate</w:t>
      </w:r>
      <w:r w:rsidR="00175278" w:rsidRPr="00E02273">
        <w:rPr>
          <w:lang w:val="en-CA"/>
        </w:rPr>
        <w:t xml:space="preserve"> </w:t>
      </w:r>
      <w:r w:rsidRPr="00E02273">
        <w:rPr>
          <w:lang w:val="en-CA"/>
        </w:rPr>
        <w:t xml:space="preserve">the effect </w:t>
      </w:r>
      <w:r w:rsidR="00193840" w:rsidRPr="00E02273">
        <w:rPr>
          <w:lang w:val="en-CA"/>
        </w:rPr>
        <w:t xml:space="preserve">on prices </w:t>
      </w:r>
      <w:r w:rsidRPr="00E02273">
        <w:rPr>
          <w:lang w:val="en-CA"/>
        </w:rPr>
        <w:t>of the monopoly granted by the patent</w:t>
      </w:r>
      <w:r w:rsidR="00EE229A" w:rsidRPr="00E02273">
        <w:rPr>
          <w:lang w:val="en-CA"/>
        </w:rPr>
        <w:t xml:space="preserve"> through commercial competition permitted under licen</w:t>
      </w:r>
      <w:r w:rsidR="0024487E" w:rsidRPr="00E02273">
        <w:rPr>
          <w:lang w:val="en-CA"/>
        </w:rPr>
        <w:t>c</w:t>
      </w:r>
      <w:r w:rsidR="00EE229A" w:rsidRPr="00E02273">
        <w:rPr>
          <w:lang w:val="en-CA"/>
        </w:rPr>
        <w:t xml:space="preserve">e, while </w:t>
      </w:r>
      <w:r w:rsidR="00175278">
        <w:rPr>
          <w:lang w:val="en-CA"/>
        </w:rPr>
        <w:t>rewarding</w:t>
      </w:r>
      <w:r w:rsidR="00175278" w:rsidRPr="00E02273">
        <w:rPr>
          <w:lang w:val="en-CA"/>
        </w:rPr>
        <w:t xml:space="preserve"> </w:t>
      </w:r>
      <w:r w:rsidR="00EE229A" w:rsidRPr="00E02273">
        <w:rPr>
          <w:lang w:val="en-CA"/>
        </w:rPr>
        <w:t xml:space="preserve">the research that led to the invention with </w:t>
      </w:r>
      <w:r w:rsidR="002D51A4" w:rsidRPr="00E02273">
        <w:rPr>
          <w:lang w:val="en-CA"/>
        </w:rPr>
        <w:t>royalties</w:t>
      </w:r>
      <w:r w:rsidR="00EE229A" w:rsidRPr="00E02273">
        <w:rPr>
          <w:lang w:val="en-CA"/>
        </w:rPr>
        <w:t xml:space="preserve">. </w:t>
      </w:r>
      <w:r w:rsidR="002D51A4" w:rsidRPr="00E02273">
        <w:rPr>
          <w:lang w:val="en-CA"/>
        </w:rPr>
        <w:t>Abbott</w:t>
      </w:r>
      <w:r w:rsidR="00EE229A" w:rsidRPr="00E02273">
        <w:rPr>
          <w:lang w:val="en-CA"/>
        </w:rPr>
        <w:t xml:space="preserve"> J. in </w:t>
      </w:r>
      <w:r w:rsidR="002D51A4" w:rsidRPr="00E02273">
        <w:rPr>
          <w:i/>
          <w:lang w:val="en-CA"/>
        </w:rPr>
        <w:t xml:space="preserve">Hoffman-LaRoche v. Bell-Craig </w:t>
      </w:r>
      <w:r w:rsidR="00F67865" w:rsidRPr="00FC4B92">
        <w:rPr>
          <w:i/>
          <w:lang w:val="en-CA"/>
        </w:rPr>
        <w:t>Pharmaceutical Division of L.D. Craig Ltd.</w:t>
      </w:r>
      <w:r w:rsidR="00F67865" w:rsidRPr="00FC4B92">
        <w:rPr>
          <w:lang w:val="en-CA"/>
        </w:rPr>
        <w:t xml:space="preserve"> </w:t>
      </w:r>
      <w:r w:rsidR="00EE229A" w:rsidRPr="00E02273">
        <w:rPr>
          <w:lang w:val="en-CA"/>
        </w:rPr>
        <w:t xml:space="preserve">explained the </w:t>
      </w:r>
      <w:r w:rsidR="00F67865">
        <w:rPr>
          <w:lang w:val="en-CA"/>
        </w:rPr>
        <w:t xml:space="preserve">purpose </w:t>
      </w:r>
      <w:r w:rsidR="00EE229A" w:rsidRPr="00E02273">
        <w:rPr>
          <w:lang w:val="en-CA"/>
        </w:rPr>
        <w:t>of the scheme as follows:</w:t>
      </w:r>
      <w:r w:rsidR="002D51A4" w:rsidRPr="00E02273">
        <w:rPr>
          <w:rStyle w:val="Appelnotedebasdep"/>
          <w:lang w:val="en-CA"/>
        </w:rPr>
        <w:footnoteReference w:id="14"/>
      </w:r>
    </w:p>
    <w:p w14:paraId="25A5AA1D" w14:textId="77777777" w:rsidR="00B568AD" w:rsidRPr="00E02273" w:rsidRDefault="002D51A4" w:rsidP="00B568AD">
      <w:pPr>
        <w:pStyle w:val="Citationenretrait"/>
        <w:spacing w:line="240" w:lineRule="auto"/>
        <w:rPr>
          <w:lang w:val="en-CA"/>
        </w:rPr>
      </w:pPr>
      <w:r w:rsidRPr="00E02273">
        <w:rPr>
          <w:lang w:val="en-CA"/>
        </w:rPr>
        <w:lastRenderedPageBreak/>
        <w:t>In my view the purpose of s. 41 (3) is clear. Shortly stated it is this. No absolute monopoly can be obtained in a process for the production of food or medicine. On the contrary Parliament intended that, in the public interest, there should be competition in the production and marketing of such products produced by a patented process, in order that as the section states, they may be "available to the public at the lowest possible price consistent with giving to the inventor due reward for the research leading to the invention".</w:t>
      </w:r>
    </w:p>
    <w:p w14:paraId="5F7BD4DE" w14:textId="3C162DFF" w:rsidR="00B568AD" w:rsidRPr="00E02273" w:rsidRDefault="00EC27D8" w:rsidP="00EF404D">
      <w:pPr>
        <w:pStyle w:val="Paragraphe"/>
        <w:tabs>
          <w:tab w:val="num" w:pos="709"/>
        </w:tabs>
        <w:spacing w:line="240" w:lineRule="auto"/>
        <w:ind w:left="0"/>
        <w:rPr>
          <w:lang w:val="en-CA"/>
        </w:rPr>
      </w:pPr>
      <w:r w:rsidRPr="00E02273">
        <w:rPr>
          <w:lang w:val="en-CA"/>
        </w:rPr>
        <w:t xml:space="preserve">The </w:t>
      </w:r>
      <w:r w:rsidR="002D51A4" w:rsidRPr="00E02273">
        <w:rPr>
          <w:i/>
          <w:lang w:val="en-CA"/>
        </w:rPr>
        <w:t xml:space="preserve">1923 </w:t>
      </w:r>
      <w:r w:rsidR="007B4636" w:rsidRPr="00E02273">
        <w:rPr>
          <w:i/>
          <w:lang w:val="en-CA"/>
        </w:rPr>
        <w:t>Act</w:t>
      </w:r>
      <w:r w:rsidR="007B4636" w:rsidRPr="00E02273">
        <w:rPr>
          <w:lang w:val="en-CA"/>
        </w:rPr>
        <w:t xml:space="preserve"> also provided for the grant</w:t>
      </w:r>
      <w:r w:rsidR="00F67865">
        <w:rPr>
          <w:lang w:val="en-CA"/>
        </w:rPr>
        <w:t>ing</w:t>
      </w:r>
      <w:r w:rsidR="007B4636" w:rsidRPr="00E02273">
        <w:rPr>
          <w:lang w:val="en-CA"/>
        </w:rPr>
        <w:t xml:space="preserve"> of </w:t>
      </w:r>
      <w:r w:rsidR="002D51A4" w:rsidRPr="00E02273">
        <w:rPr>
          <w:lang w:val="en-CA"/>
        </w:rPr>
        <w:t xml:space="preserve">licences </w:t>
      </w:r>
      <w:r w:rsidR="007B4636" w:rsidRPr="00E02273">
        <w:rPr>
          <w:lang w:val="en-CA"/>
        </w:rPr>
        <w:t>when a patentee</w:t>
      </w:r>
      <w:r w:rsidR="006525DF" w:rsidRPr="00E02273">
        <w:rPr>
          <w:lang w:val="en-CA"/>
        </w:rPr>
        <w:t xml:space="preserve"> did not satisfy the reasonable requirements of the public with reference to </w:t>
      </w:r>
      <w:r w:rsidR="00D178C7" w:rsidRPr="00E02273">
        <w:rPr>
          <w:lang w:val="en-CA"/>
        </w:rPr>
        <w:t>the</w:t>
      </w:r>
      <w:r w:rsidR="006525DF" w:rsidRPr="00E02273">
        <w:rPr>
          <w:lang w:val="en-CA"/>
        </w:rPr>
        <w:t xml:space="preserve"> patent within three years, regardless of its subject.</w:t>
      </w:r>
      <w:r w:rsidR="002D51A4" w:rsidRPr="00E02273">
        <w:rPr>
          <w:rStyle w:val="Appelnotedebasdep"/>
          <w:lang w:val="en-CA"/>
        </w:rPr>
        <w:footnoteReference w:id="15"/>
      </w:r>
      <w:r w:rsidR="002D51A4" w:rsidRPr="00E02273">
        <w:rPr>
          <w:lang w:val="en-CA"/>
        </w:rPr>
        <w:t xml:space="preserve"> </w:t>
      </w:r>
      <w:r w:rsidR="006525DF" w:rsidRPr="00E02273">
        <w:rPr>
          <w:lang w:val="en-CA"/>
        </w:rPr>
        <w:t xml:space="preserve">This licensing system </w:t>
      </w:r>
      <w:r w:rsidR="00E00F62" w:rsidRPr="00E02273">
        <w:rPr>
          <w:lang w:val="en-CA"/>
        </w:rPr>
        <w:t xml:space="preserve">applied to all patents and is found today, in a modified form, in the </w:t>
      </w:r>
      <w:r w:rsidR="002D51A4" w:rsidRPr="00E02273">
        <w:rPr>
          <w:lang w:val="en-CA"/>
        </w:rPr>
        <w:t>provision</w:t>
      </w:r>
      <w:r w:rsidR="00E00F62" w:rsidRPr="00E02273">
        <w:rPr>
          <w:lang w:val="en-CA"/>
        </w:rPr>
        <w:t xml:space="preserve">s </w:t>
      </w:r>
      <w:r w:rsidR="002D51A4" w:rsidRPr="00E02273">
        <w:rPr>
          <w:lang w:val="en-CA"/>
        </w:rPr>
        <w:t>of</w:t>
      </w:r>
      <w:r w:rsidR="00E00F62" w:rsidRPr="00E02273">
        <w:rPr>
          <w:lang w:val="en-CA"/>
        </w:rPr>
        <w:t xml:space="preserve"> </w:t>
      </w:r>
      <w:r w:rsidR="002D51A4" w:rsidRPr="00E02273">
        <w:rPr>
          <w:lang w:val="en-CA"/>
        </w:rPr>
        <w:t>the</w:t>
      </w:r>
      <w:r w:rsidR="00E00F62" w:rsidRPr="00E02273">
        <w:rPr>
          <w:lang w:val="en-CA"/>
        </w:rPr>
        <w:t xml:space="preserve"> </w:t>
      </w:r>
      <w:r w:rsidR="00E00F62" w:rsidRPr="00E02273">
        <w:rPr>
          <w:i/>
          <w:lang w:val="en-CA"/>
        </w:rPr>
        <w:t xml:space="preserve">Patent </w:t>
      </w:r>
      <w:r w:rsidR="002D51A4" w:rsidRPr="00E02273">
        <w:rPr>
          <w:i/>
          <w:lang w:val="en-CA"/>
        </w:rPr>
        <w:t>Act</w:t>
      </w:r>
      <w:r w:rsidR="00E00F62" w:rsidRPr="00E02273">
        <w:rPr>
          <w:i/>
          <w:lang w:val="en-CA"/>
        </w:rPr>
        <w:t xml:space="preserve"> </w:t>
      </w:r>
      <w:r w:rsidR="00E00F62" w:rsidRPr="00E02273">
        <w:rPr>
          <w:lang w:val="en-CA"/>
        </w:rPr>
        <w:t xml:space="preserve">concerning the </w:t>
      </w:r>
      <w:r w:rsidR="002D51A4" w:rsidRPr="00E02273">
        <w:rPr>
          <w:lang w:val="en-CA"/>
        </w:rPr>
        <w:t>abus</w:t>
      </w:r>
      <w:r w:rsidR="004F22C4" w:rsidRPr="00E02273">
        <w:rPr>
          <w:lang w:val="en-CA"/>
        </w:rPr>
        <w:t xml:space="preserve">e of patent </w:t>
      </w:r>
      <w:r w:rsidR="002D51A4" w:rsidRPr="00E02273">
        <w:rPr>
          <w:lang w:val="en-CA"/>
        </w:rPr>
        <w:t>rights</w:t>
      </w:r>
      <w:r w:rsidR="004F22C4" w:rsidRPr="00E02273">
        <w:rPr>
          <w:lang w:val="en-CA"/>
        </w:rPr>
        <w:t>,</w:t>
      </w:r>
      <w:r w:rsidR="002D51A4" w:rsidRPr="00E02273">
        <w:rPr>
          <w:rStyle w:val="Appelnotedebasdep"/>
          <w:lang w:val="en-CA"/>
        </w:rPr>
        <w:footnoteReference w:id="16"/>
      </w:r>
      <w:r w:rsidR="004F22C4" w:rsidRPr="00E02273">
        <w:rPr>
          <w:lang w:val="en-CA"/>
        </w:rPr>
        <w:t xml:space="preserve"> although the term “</w:t>
      </w:r>
      <w:r w:rsidR="002D51A4" w:rsidRPr="00E02273">
        <w:rPr>
          <w:lang w:val="en-CA"/>
        </w:rPr>
        <w:t>abus</w:t>
      </w:r>
      <w:r w:rsidR="004F22C4" w:rsidRPr="00E02273">
        <w:rPr>
          <w:lang w:val="en-CA"/>
        </w:rPr>
        <w:t xml:space="preserve">e” was not expressly </w:t>
      </w:r>
      <w:r w:rsidR="00751966">
        <w:rPr>
          <w:lang w:val="en-CA"/>
        </w:rPr>
        <w:t>used</w:t>
      </w:r>
      <w:r w:rsidR="004F22C4" w:rsidRPr="00E02273">
        <w:rPr>
          <w:lang w:val="en-CA"/>
        </w:rPr>
        <w:t xml:space="preserve"> in the </w:t>
      </w:r>
      <w:r w:rsidR="002D51A4" w:rsidRPr="00E02273">
        <w:rPr>
          <w:i/>
          <w:lang w:val="en-CA"/>
        </w:rPr>
        <w:t>1923</w:t>
      </w:r>
      <w:r w:rsidR="004F22C4" w:rsidRPr="00E02273">
        <w:rPr>
          <w:i/>
          <w:lang w:val="en-CA"/>
        </w:rPr>
        <w:t xml:space="preserve"> Act</w:t>
      </w:r>
      <w:r w:rsidR="002D51A4" w:rsidRPr="00E02273">
        <w:rPr>
          <w:lang w:val="en-CA"/>
        </w:rPr>
        <w:t xml:space="preserve">. </w:t>
      </w:r>
    </w:p>
    <w:p w14:paraId="2CA21EEE" w14:textId="3A25DA03" w:rsidR="00B568AD" w:rsidRPr="00E02273" w:rsidRDefault="00194053" w:rsidP="00EF404D">
      <w:pPr>
        <w:pStyle w:val="Paragraphe"/>
        <w:tabs>
          <w:tab w:val="num" w:pos="709"/>
        </w:tabs>
        <w:spacing w:line="240" w:lineRule="auto"/>
        <w:ind w:left="0"/>
        <w:rPr>
          <w:lang w:val="en-CA"/>
        </w:rPr>
      </w:pPr>
      <w:r w:rsidRPr="00E02273">
        <w:rPr>
          <w:lang w:val="en-CA"/>
        </w:rPr>
        <w:t xml:space="preserve">According to the </w:t>
      </w:r>
      <w:r w:rsidR="002D51A4" w:rsidRPr="00E02273">
        <w:rPr>
          <w:lang w:val="en-CA"/>
        </w:rPr>
        <w:t>1923</w:t>
      </w:r>
      <w:r w:rsidRPr="00E02273">
        <w:rPr>
          <w:lang w:val="en-CA"/>
        </w:rPr>
        <w:t xml:space="preserve"> </w:t>
      </w:r>
      <w:r w:rsidR="00A27151" w:rsidRPr="00E02273">
        <w:rPr>
          <w:lang w:val="en-CA"/>
        </w:rPr>
        <w:t>regime on</w:t>
      </w:r>
      <w:r w:rsidRPr="00E02273">
        <w:rPr>
          <w:lang w:val="en-CA"/>
        </w:rPr>
        <w:t xml:space="preserve"> what we now call abuse of patent, if the patentee </w:t>
      </w:r>
      <w:r w:rsidR="00DF5667" w:rsidRPr="00E02273">
        <w:rPr>
          <w:lang w:val="en-CA"/>
        </w:rPr>
        <w:t xml:space="preserve">did not satisfy the reasonable requirements of the </w:t>
      </w:r>
      <w:r w:rsidR="002D51A4" w:rsidRPr="00E02273">
        <w:rPr>
          <w:lang w:val="en-CA"/>
        </w:rPr>
        <w:t xml:space="preserve">public </w:t>
      </w:r>
      <w:r w:rsidR="009156BC" w:rsidRPr="00E02273">
        <w:rPr>
          <w:lang w:val="en-CA"/>
        </w:rPr>
        <w:t xml:space="preserve">within </w:t>
      </w:r>
      <w:r w:rsidR="00DF5667" w:rsidRPr="00E02273">
        <w:rPr>
          <w:lang w:val="en-CA"/>
        </w:rPr>
        <w:t xml:space="preserve">three years </w:t>
      </w:r>
      <w:r w:rsidR="009156BC" w:rsidRPr="00E02273">
        <w:rPr>
          <w:lang w:val="en-CA"/>
        </w:rPr>
        <w:t>of its issue, the Co</w:t>
      </w:r>
      <w:r w:rsidR="002D51A4" w:rsidRPr="00E02273">
        <w:rPr>
          <w:lang w:val="en-CA"/>
        </w:rPr>
        <w:t>mmissioner</w:t>
      </w:r>
      <w:r w:rsidR="009156BC" w:rsidRPr="00E02273">
        <w:rPr>
          <w:lang w:val="en-CA"/>
        </w:rPr>
        <w:t xml:space="preserve"> of Patents could order the patentee to</w:t>
      </w:r>
      <w:r w:rsidR="005219AB">
        <w:rPr>
          <w:lang w:val="en-CA"/>
        </w:rPr>
        <w:t xml:space="preserve"> supply the patented article “at such price as may be fixed by him and in accordance with the custom of the trade to which the invention relates as to the payment and delivery”.</w:t>
      </w:r>
      <w:r w:rsidR="002D51A4" w:rsidRPr="00E02273">
        <w:rPr>
          <w:rStyle w:val="Appelnotedebasdep"/>
          <w:lang w:val="en-CA"/>
        </w:rPr>
        <w:footnoteReference w:id="17"/>
      </w:r>
      <w:r w:rsidR="002D51A4" w:rsidRPr="00E02273">
        <w:rPr>
          <w:lang w:val="en-CA"/>
        </w:rPr>
        <w:t xml:space="preserve"> </w:t>
      </w:r>
      <w:r w:rsidR="005E1446" w:rsidRPr="00E02273">
        <w:rPr>
          <w:lang w:val="en-CA"/>
        </w:rPr>
        <w:t>The C</w:t>
      </w:r>
      <w:r w:rsidR="002D51A4" w:rsidRPr="00E02273">
        <w:rPr>
          <w:lang w:val="en-CA"/>
        </w:rPr>
        <w:t xml:space="preserve">ommissioner </w:t>
      </w:r>
      <w:r w:rsidR="005E1446" w:rsidRPr="00E02273">
        <w:rPr>
          <w:lang w:val="en-CA"/>
        </w:rPr>
        <w:t>could also grant licen</w:t>
      </w:r>
      <w:r w:rsidR="0024487E" w:rsidRPr="00E02273">
        <w:rPr>
          <w:lang w:val="en-CA"/>
        </w:rPr>
        <w:t>c</w:t>
      </w:r>
      <w:r w:rsidR="005E1446" w:rsidRPr="00E02273">
        <w:rPr>
          <w:lang w:val="en-CA"/>
        </w:rPr>
        <w:t>es for the use of the patented invention</w:t>
      </w:r>
      <w:r w:rsidR="005219AB">
        <w:rPr>
          <w:lang w:val="en-CA"/>
        </w:rPr>
        <w:t xml:space="preserve"> on conditions “as may be fixed by him”.</w:t>
      </w:r>
      <w:r w:rsidR="002D51A4" w:rsidRPr="00E02273">
        <w:rPr>
          <w:rStyle w:val="Appelnotedebasdep"/>
          <w:lang w:val="en-CA"/>
        </w:rPr>
        <w:footnoteReference w:id="18"/>
      </w:r>
      <w:r w:rsidR="002D51A4" w:rsidRPr="00E02273">
        <w:rPr>
          <w:lang w:val="en-CA"/>
        </w:rPr>
        <w:t xml:space="preserve"> </w:t>
      </w:r>
    </w:p>
    <w:p w14:paraId="62895D30" w14:textId="5C61018F" w:rsidR="00B568AD" w:rsidRPr="00E02273" w:rsidRDefault="0024487E" w:rsidP="00EF404D">
      <w:pPr>
        <w:pStyle w:val="Paragraphe"/>
        <w:tabs>
          <w:tab w:val="num" w:pos="709"/>
        </w:tabs>
        <w:spacing w:line="240" w:lineRule="auto"/>
        <w:ind w:left="0"/>
        <w:rPr>
          <w:lang w:val="en-CA"/>
        </w:rPr>
      </w:pPr>
      <w:r w:rsidRPr="00E02273">
        <w:rPr>
          <w:lang w:val="en-CA"/>
        </w:rPr>
        <w:t xml:space="preserve">That being said, we must not confuse these licences related to </w:t>
      </w:r>
      <w:r w:rsidR="004B1D40">
        <w:rPr>
          <w:lang w:val="en-CA"/>
        </w:rPr>
        <w:t xml:space="preserve">patent </w:t>
      </w:r>
      <w:r w:rsidR="002D51A4" w:rsidRPr="00E02273">
        <w:rPr>
          <w:lang w:val="en-CA"/>
        </w:rPr>
        <w:t>abus</w:t>
      </w:r>
      <w:r w:rsidRPr="00E02273">
        <w:rPr>
          <w:lang w:val="en-CA"/>
        </w:rPr>
        <w:t xml:space="preserve">e with those granted in connection with patented medicines, which could be obtained without regard for the concept of </w:t>
      </w:r>
      <w:r w:rsidR="002D51A4" w:rsidRPr="00E02273">
        <w:rPr>
          <w:lang w:val="en-CA"/>
        </w:rPr>
        <w:t>abus</w:t>
      </w:r>
      <w:r w:rsidRPr="00E02273">
        <w:rPr>
          <w:lang w:val="en-CA"/>
        </w:rPr>
        <w:t>e</w:t>
      </w:r>
      <w:r w:rsidR="002D51A4" w:rsidRPr="00E02273">
        <w:rPr>
          <w:lang w:val="en-CA"/>
        </w:rPr>
        <w:t xml:space="preserve">, </w:t>
      </w:r>
      <w:r w:rsidRPr="00E02273">
        <w:rPr>
          <w:lang w:val="en-CA"/>
        </w:rPr>
        <w:t xml:space="preserve">as the House of </w:t>
      </w:r>
      <w:r w:rsidR="002D51A4" w:rsidRPr="00E02273">
        <w:rPr>
          <w:lang w:val="en-CA"/>
        </w:rPr>
        <w:t xml:space="preserve">Lords </w:t>
      </w:r>
      <w:r w:rsidRPr="00E02273">
        <w:rPr>
          <w:lang w:val="en-CA"/>
        </w:rPr>
        <w:t xml:space="preserve">concluded in </w:t>
      </w:r>
      <w:r w:rsidR="002D51A4" w:rsidRPr="00E02273">
        <w:rPr>
          <w:i/>
          <w:lang w:val="en-CA"/>
        </w:rPr>
        <w:t>Parke-Davis and Co.,</w:t>
      </w:r>
      <w:r w:rsidR="002D51A4" w:rsidRPr="00E02273">
        <w:rPr>
          <w:lang w:val="en-CA"/>
        </w:rPr>
        <w:t xml:space="preserve"> </w:t>
      </w:r>
      <w:r w:rsidR="00503E0B" w:rsidRPr="00E02273">
        <w:rPr>
          <w:lang w:val="en-CA"/>
        </w:rPr>
        <w:t xml:space="preserve">rendered in </w:t>
      </w:r>
      <w:r w:rsidR="002D51A4" w:rsidRPr="00E02273">
        <w:rPr>
          <w:lang w:val="en-CA"/>
        </w:rPr>
        <w:t xml:space="preserve">1954, </w:t>
      </w:r>
      <w:r w:rsidR="00503E0B" w:rsidRPr="00E02273">
        <w:rPr>
          <w:lang w:val="en-CA"/>
        </w:rPr>
        <w:t xml:space="preserve">with respect to the British </w:t>
      </w:r>
      <w:r w:rsidR="002D51A4" w:rsidRPr="00E02273">
        <w:rPr>
          <w:lang w:val="en-CA"/>
        </w:rPr>
        <w:t>legislation</w:t>
      </w:r>
      <w:r w:rsidR="00503E0B" w:rsidRPr="00E02273">
        <w:rPr>
          <w:lang w:val="en-CA"/>
        </w:rPr>
        <w:t xml:space="preserve"> from which the Canadian </w:t>
      </w:r>
      <w:r w:rsidR="002D51A4" w:rsidRPr="00E02273">
        <w:rPr>
          <w:lang w:val="en-CA"/>
        </w:rPr>
        <w:t>Parliament</w:t>
      </w:r>
      <w:r w:rsidR="00503E0B" w:rsidRPr="00E02273">
        <w:rPr>
          <w:lang w:val="en-CA"/>
        </w:rPr>
        <w:t xml:space="preserve"> drew inspiration.</w:t>
      </w:r>
      <w:r w:rsidR="002D51A4" w:rsidRPr="00E02273">
        <w:rPr>
          <w:rStyle w:val="Appelnotedebasdep"/>
          <w:lang w:val="en-CA"/>
        </w:rPr>
        <w:footnoteReference w:id="19"/>
      </w:r>
      <w:r w:rsidR="002D51A4" w:rsidRPr="00E02273">
        <w:rPr>
          <w:lang w:val="en-CA"/>
        </w:rPr>
        <w:t xml:space="preserve"> </w:t>
      </w:r>
      <w:r w:rsidR="00503E0B" w:rsidRPr="00E02273">
        <w:rPr>
          <w:lang w:val="en-CA"/>
        </w:rPr>
        <w:t xml:space="preserve">In this regard, </w:t>
      </w:r>
      <w:r w:rsidR="002D51A4" w:rsidRPr="00E02273">
        <w:rPr>
          <w:lang w:val="en-CA"/>
        </w:rPr>
        <w:t xml:space="preserve">Lord of Bishopstone </w:t>
      </w:r>
      <w:r w:rsidR="00503E0B" w:rsidRPr="00E02273">
        <w:rPr>
          <w:lang w:val="en-CA"/>
        </w:rPr>
        <w:t>stated the following:</w:t>
      </w:r>
      <w:r w:rsidR="002D51A4" w:rsidRPr="00E02273">
        <w:rPr>
          <w:rStyle w:val="Appelnotedebasdep"/>
          <w:lang w:val="en-CA"/>
        </w:rPr>
        <w:footnoteReference w:id="20"/>
      </w:r>
      <w:r w:rsidR="002D51A4" w:rsidRPr="00E02273">
        <w:rPr>
          <w:lang w:val="en-CA"/>
        </w:rPr>
        <w:t xml:space="preserve"> </w:t>
      </w:r>
    </w:p>
    <w:p w14:paraId="4AC8D447" w14:textId="6A0744F4" w:rsidR="00B568AD" w:rsidRPr="00E02273" w:rsidRDefault="002D51A4" w:rsidP="00B568AD">
      <w:pPr>
        <w:pStyle w:val="Citationenretrait"/>
        <w:spacing w:line="240" w:lineRule="auto"/>
        <w:rPr>
          <w:lang w:val="en-CA"/>
        </w:rPr>
      </w:pPr>
      <w:r w:rsidRPr="00E02273">
        <w:rPr>
          <w:rFonts w:cs="Arial"/>
          <w:kern w:val="0"/>
          <w:szCs w:val="22"/>
          <w:lang w:val="en-CA" w:eastAsia="fr-CA"/>
        </w:rPr>
        <w:t>Applications for orders under section 41 are not, as I read that section, based on the abuse</w:t>
      </w:r>
      <w:r w:rsidRPr="00E02273">
        <w:rPr>
          <w:lang w:val="en-CA"/>
        </w:rPr>
        <w:t xml:space="preserve"> of patent rights by the patentee. In this respect section 41, in my judgment, contrasts with section 37, application for orders under which are based on such “abuses.” The provisions of section 41 are based on the special position of food, medicines and surgical appliances as </w:t>
      </w:r>
      <w:r w:rsidR="00503E0B" w:rsidRPr="00E02273">
        <w:rPr>
          <w:lang w:val="en-CA"/>
        </w:rPr>
        <w:t>articles</w:t>
      </w:r>
      <w:r w:rsidRPr="00E02273">
        <w:rPr>
          <w:lang w:val="en-CA"/>
        </w:rPr>
        <w:t xml:space="preserve"> in urgent demand.</w:t>
      </w:r>
    </w:p>
    <w:p w14:paraId="15847978" w14:textId="01DAA920" w:rsidR="00B568AD" w:rsidRPr="00E02273" w:rsidRDefault="00BE6202" w:rsidP="00B568AD">
      <w:pPr>
        <w:pStyle w:val="Paragraphe"/>
        <w:numPr>
          <w:ilvl w:val="0"/>
          <w:numId w:val="0"/>
        </w:numPr>
        <w:spacing w:line="240" w:lineRule="auto"/>
        <w:ind w:left="1440"/>
        <w:rPr>
          <w:i/>
          <w:u w:val="single"/>
          <w:lang w:val="en-CA"/>
        </w:rPr>
      </w:pPr>
      <w:r w:rsidRPr="00E02273">
        <w:rPr>
          <w:i/>
          <w:u w:val="single"/>
          <w:lang w:val="en-CA"/>
        </w:rPr>
        <w:t xml:space="preserve">The </w:t>
      </w:r>
      <w:r w:rsidR="002D51A4" w:rsidRPr="00E02273">
        <w:rPr>
          <w:i/>
          <w:u w:val="single"/>
          <w:lang w:val="en-CA"/>
        </w:rPr>
        <w:t>1969</w:t>
      </w:r>
      <w:r w:rsidRPr="00E02273">
        <w:rPr>
          <w:i/>
          <w:u w:val="single"/>
          <w:lang w:val="en-CA"/>
        </w:rPr>
        <w:t xml:space="preserve"> Act</w:t>
      </w:r>
    </w:p>
    <w:p w14:paraId="1634A39F" w14:textId="5A9BCA8D" w:rsidR="00B568AD" w:rsidRPr="00E02273" w:rsidRDefault="00917511" w:rsidP="00EF404D">
      <w:pPr>
        <w:pStyle w:val="Paragraphe"/>
        <w:tabs>
          <w:tab w:val="num" w:pos="709"/>
        </w:tabs>
        <w:spacing w:line="240" w:lineRule="auto"/>
        <w:ind w:left="0"/>
        <w:rPr>
          <w:lang w:val="en-CA"/>
        </w:rPr>
      </w:pPr>
      <w:r w:rsidRPr="00E02273">
        <w:rPr>
          <w:lang w:val="en-CA"/>
        </w:rPr>
        <w:t xml:space="preserve">Various federal </w:t>
      </w:r>
      <w:r w:rsidR="002D51A4" w:rsidRPr="00E02273">
        <w:rPr>
          <w:lang w:val="en-CA"/>
        </w:rPr>
        <w:t>commissions recomm</w:t>
      </w:r>
      <w:r w:rsidRPr="00E02273">
        <w:rPr>
          <w:lang w:val="en-CA"/>
        </w:rPr>
        <w:t xml:space="preserve">ended </w:t>
      </w:r>
      <w:r w:rsidR="002D51A4" w:rsidRPr="00E02273">
        <w:rPr>
          <w:lang w:val="en-CA"/>
        </w:rPr>
        <w:t>legislative</w:t>
      </w:r>
      <w:r w:rsidRPr="00E02273">
        <w:rPr>
          <w:lang w:val="en-CA"/>
        </w:rPr>
        <w:t xml:space="preserve"> </w:t>
      </w:r>
      <w:r w:rsidR="002D51A4" w:rsidRPr="00E02273">
        <w:rPr>
          <w:lang w:val="en-CA"/>
        </w:rPr>
        <w:t>amendments</w:t>
      </w:r>
      <w:r w:rsidRPr="00E02273">
        <w:rPr>
          <w:lang w:val="en-CA"/>
        </w:rPr>
        <w:t xml:space="preserve"> to the patent </w:t>
      </w:r>
      <w:r w:rsidR="00992808">
        <w:rPr>
          <w:lang w:val="en-CA"/>
        </w:rPr>
        <w:t>regime</w:t>
      </w:r>
      <w:r w:rsidRPr="00E02273">
        <w:rPr>
          <w:lang w:val="en-CA"/>
        </w:rPr>
        <w:t xml:space="preserve"> for medicines and their </w:t>
      </w:r>
      <w:r w:rsidR="002252DD" w:rsidRPr="00E02273">
        <w:rPr>
          <w:lang w:val="en-CA"/>
        </w:rPr>
        <w:t xml:space="preserve">manufacturing processes. In </w:t>
      </w:r>
      <w:r w:rsidR="002D51A4" w:rsidRPr="00E02273">
        <w:rPr>
          <w:lang w:val="en-CA"/>
        </w:rPr>
        <w:t xml:space="preserve">1960, </w:t>
      </w:r>
      <w:r w:rsidR="002252DD" w:rsidRPr="00E02273">
        <w:rPr>
          <w:lang w:val="en-CA"/>
        </w:rPr>
        <w:t>the</w:t>
      </w:r>
      <w:r w:rsidR="002D51A4" w:rsidRPr="00E02273">
        <w:rPr>
          <w:lang w:val="en-CA"/>
        </w:rPr>
        <w:t xml:space="preserve"> Ilsley</w:t>
      </w:r>
      <w:r w:rsidR="002252DD" w:rsidRPr="00E02273">
        <w:rPr>
          <w:lang w:val="en-CA"/>
        </w:rPr>
        <w:t xml:space="preserve"> Commission</w:t>
      </w:r>
      <w:r w:rsidR="002D51A4" w:rsidRPr="00E02273">
        <w:rPr>
          <w:lang w:val="en-CA"/>
        </w:rPr>
        <w:t xml:space="preserve"> </w:t>
      </w:r>
      <w:r w:rsidR="002252DD" w:rsidRPr="00E02273">
        <w:rPr>
          <w:lang w:val="en-CA"/>
        </w:rPr>
        <w:t xml:space="preserve">recommended </w:t>
      </w:r>
      <w:r w:rsidR="002D51A4" w:rsidRPr="00E02273">
        <w:rPr>
          <w:lang w:val="en-CA"/>
        </w:rPr>
        <w:t>aut</w:t>
      </w:r>
      <w:r w:rsidR="002252DD" w:rsidRPr="00E02273">
        <w:rPr>
          <w:lang w:val="en-CA"/>
        </w:rPr>
        <w:t xml:space="preserve">horizing patents for medicinal </w:t>
      </w:r>
      <w:r w:rsidR="002D51A4" w:rsidRPr="00E02273">
        <w:rPr>
          <w:lang w:val="en-CA"/>
        </w:rPr>
        <w:t xml:space="preserve">substances </w:t>
      </w:r>
      <w:r w:rsidR="002252DD" w:rsidRPr="00E02273">
        <w:rPr>
          <w:lang w:val="en-CA"/>
        </w:rPr>
        <w:t xml:space="preserve">themselves, subject to the </w:t>
      </w:r>
      <w:r w:rsidR="002252DD" w:rsidRPr="00E02273">
        <w:rPr>
          <w:lang w:val="en-CA"/>
        </w:rPr>
        <w:lastRenderedPageBreak/>
        <w:t xml:space="preserve">implementation of a </w:t>
      </w:r>
      <w:r w:rsidR="00797678" w:rsidRPr="00E02273">
        <w:rPr>
          <w:lang w:val="en-CA"/>
        </w:rPr>
        <w:t xml:space="preserve">compulsory licensing </w:t>
      </w:r>
      <w:r w:rsidR="002D51A4" w:rsidRPr="00E02273">
        <w:rPr>
          <w:lang w:val="en-CA"/>
        </w:rPr>
        <w:t>m</w:t>
      </w:r>
      <w:r w:rsidR="00797678" w:rsidRPr="00E02273">
        <w:rPr>
          <w:lang w:val="en-CA"/>
        </w:rPr>
        <w:t>e</w:t>
      </w:r>
      <w:r w:rsidR="002D51A4" w:rsidRPr="00E02273">
        <w:rPr>
          <w:lang w:val="en-CA"/>
        </w:rPr>
        <w:t>c</w:t>
      </w:r>
      <w:r w:rsidR="00797678" w:rsidRPr="00E02273">
        <w:rPr>
          <w:lang w:val="en-CA"/>
        </w:rPr>
        <w:t>h</w:t>
      </w:r>
      <w:r w:rsidR="002D51A4" w:rsidRPr="00E02273">
        <w:rPr>
          <w:lang w:val="en-CA"/>
        </w:rPr>
        <w:t>anism</w:t>
      </w:r>
      <w:r w:rsidR="00797678" w:rsidRPr="00E02273">
        <w:rPr>
          <w:lang w:val="en-CA"/>
        </w:rPr>
        <w:t>.</w:t>
      </w:r>
      <w:r w:rsidR="002D51A4" w:rsidRPr="00E02273">
        <w:rPr>
          <w:rStyle w:val="Appelnotedebasdep"/>
          <w:lang w:val="en-CA"/>
        </w:rPr>
        <w:footnoteReference w:id="21"/>
      </w:r>
      <w:r w:rsidR="00797678" w:rsidRPr="00E02273">
        <w:rPr>
          <w:lang w:val="en-CA"/>
        </w:rPr>
        <w:t xml:space="preserve"> On the contrary, in </w:t>
      </w:r>
      <w:r w:rsidR="002D51A4" w:rsidRPr="00E02273">
        <w:rPr>
          <w:lang w:val="en-CA"/>
        </w:rPr>
        <w:t xml:space="preserve">1963, </w:t>
      </w:r>
      <w:r w:rsidR="00A63B23" w:rsidRPr="00E02273">
        <w:rPr>
          <w:lang w:val="en-CA"/>
        </w:rPr>
        <w:t xml:space="preserve">the Restrictive Trade Practices </w:t>
      </w:r>
      <w:r w:rsidR="002D51A4" w:rsidRPr="00E02273">
        <w:rPr>
          <w:lang w:val="en-CA"/>
        </w:rPr>
        <w:t xml:space="preserve">Commission </w:t>
      </w:r>
      <w:r w:rsidR="00487F63">
        <w:rPr>
          <w:lang w:val="en-CA"/>
        </w:rPr>
        <w:t xml:space="preserve">instead </w:t>
      </w:r>
      <w:r w:rsidR="00A63B23" w:rsidRPr="00E02273">
        <w:rPr>
          <w:lang w:val="en-CA"/>
        </w:rPr>
        <w:t xml:space="preserve">recommended the </w:t>
      </w:r>
      <w:r w:rsidR="00487F63">
        <w:rPr>
          <w:lang w:val="en-CA"/>
        </w:rPr>
        <w:t>outright</w:t>
      </w:r>
      <w:r w:rsidR="00487F63" w:rsidRPr="00E02273">
        <w:rPr>
          <w:lang w:val="en-CA"/>
        </w:rPr>
        <w:t xml:space="preserve"> </w:t>
      </w:r>
      <w:r w:rsidR="00A63B23" w:rsidRPr="00E02273">
        <w:rPr>
          <w:lang w:val="en-CA"/>
        </w:rPr>
        <w:t xml:space="preserve">abolition of patents for the </w:t>
      </w:r>
      <w:r w:rsidR="002D51A4" w:rsidRPr="00E02273">
        <w:rPr>
          <w:lang w:val="en-CA"/>
        </w:rPr>
        <w:t>pharmaceuti</w:t>
      </w:r>
      <w:r w:rsidR="00A63B23" w:rsidRPr="00E02273">
        <w:rPr>
          <w:lang w:val="en-CA"/>
        </w:rPr>
        <w:t>cal industry.</w:t>
      </w:r>
      <w:r w:rsidR="002D51A4" w:rsidRPr="00E02273">
        <w:rPr>
          <w:rStyle w:val="Appelnotedebasdep"/>
          <w:lang w:val="en-CA"/>
        </w:rPr>
        <w:footnoteReference w:id="22"/>
      </w:r>
      <w:r w:rsidR="002D51A4" w:rsidRPr="00E02273">
        <w:rPr>
          <w:lang w:val="en-CA"/>
        </w:rPr>
        <w:t xml:space="preserve"> </w:t>
      </w:r>
    </w:p>
    <w:p w14:paraId="7C75D8FC" w14:textId="4FF10AA8" w:rsidR="00B568AD" w:rsidRPr="00E02273" w:rsidRDefault="007C1517" w:rsidP="00EF404D">
      <w:pPr>
        <w:pStyle w:val="Paragraphe"/>
        <w:tabs>
          <w:tab w:val="num" w:pos="709"/>
        </w:tabs>
        <w:spacing w:line="240" w:lineRule="auto"/>
        <w:ind w:left="0"/>
        <w:rPr>
          <w:lang w:val="en-CA"/>
        </w:rPr>
      </w:pPr>
      <w:r w:rsidRPr="00E02273">
        <w:rPr>
          <w:lang w:val="en-CA"/>
        </w:rPr>
        <w:t>In</w:t>
      </w:r>
      <w:r w:rsidR="002D51A4" w:rsidRPr="00E02273">
        <w:rPr>
          <w:lang w:val="en-CA"/>
        </w:rPr>
        <w:t xml:space="preserve"> 1964, </w:t>
      </w:r>
      <w:r w:rsidRPr="00E02273">
        <w:rPr>
          <w:lang w:val="en-CA"/>
        </w:rPr>
        <w:t xml:space="preserve">the Royal </w:t>
      </w:r>
      <w:r w:rsidR="002D51A4" w:rsidRPr="00E02273">
        <w:rPr>
          <w:lang w:val="en-CA"/>
        </w:rPr>
        <w:t xml:space="preserve">Commission </w:t>
      </w:r>
      <w:r w:rsidRPr="00E02273">
        <w:rPr>
          <w:lang w:val="en-CA"/>
        </w:rPr>
        <w:t>on Health S</w:t>
      </w:r>
      <w:r w:rsidR="002D51A4" w:rsidRPr="00E02273">
        <w:rPr>
          <w:lang w:val="en-CA"/>
        </w:rPr>
        <w:t>ervices recomm</w:t>
      </w:r>
      <w:r w:rsidR="005F03B5" w:rsidRPr="00E02273">
        <w:rPr>
          <w:lang w:val="en-CA"/>
        </w:rPr>
        <w:t xml:space="preserve">ended </w:t>
      </w:r>
      <w:r w:rsidR="00487F63">
        <w:rPr>
          <w:lang w:val="en-CA"/>
        </w:rPr>
        <w:t>main</w:t>
      </w:r>
      <w:r w:rsidR="005F03B5" w:rsidRPr="00E02273">
        <w:rPr>
          <w:lang w:val="en-CA"/>
        </w:rPr>
        <w:t xml:space="preserve">taining patents for the </w:t>
      </w:r>
      <w:r w:rsidR="002D51A4" w:rsidRPr="00E02273">
        <w:rPr>
          <w:lang w:val="en-CA"/>
        </w:rPr>
        <w:t>pharmaceuti</w:t>
      </w:r>
      <w:r w:rsidR="005F03B5" w:rsidRPr="00E02273">
        <w:rPr>
          <w:lang w:val="en-CA"/>
        </w:rPr>
        <w:t xml:space="preserve">cal </w:t>
      </w:r>
      <w:r w:rsidR="00A524E4" w:rsidRPr="00E02273">
        <w:rPr>
          <w:lang w:val="en-CA"/>
        </w:rPr>
        <w:t>industry</w:t>
      </w:r>
      <w:r w:rsidR="005F03B5" w:rsidRPr="00E02273">
        <w:rPr>
          <w:lang w:val="en-CA"/>
        </w:rPr>
        <w:t xml:space="preserve"> in accordance with a more rational process that included standard </w:t>
      </w:r>
      <w:r w:rsidR="002D51A4" w:rsidRPr="00E02273">
        <w:rPr>
          <w:lang w:val="en-CA"/>
        </w:rPr>
        <w:t>royalties</w:t>
      </w:r>
      <w:r w:rsidR="005F03B5" w:rsidRPr="00E02273">
        <w:rPr>
          <w:lang w:val="en-CA"/>
        </w:rPr>
        <w:t xml:space="preserve"> and compulsory licen</w:t>
      </w:r>
      <w:r w:rsidR="00487F63">
        <w:rPr>
          <w:lang w:val="en-CA"/>
        </w:rPr>
        <w:t>sing</w:t>
      </w:r>
      <w:r w:rsidR="005F03B5" w:rsidRPr="00E02273">
        <w:rPr>
          <w:lang w:val="en-CA"/>
        </w:rPr>
        <w:t xml:space="preserve">, not only to </w:t>
      </w:r>
      <w:r w:rsidR="00DD0202" w:rsidRPr="00E02273">
        <w:rPr>
          <w:lang w:val="en-CA"/>
        </w:rPr>
        <w:t>make</w:t>
      </w:r>
      <w:r w:rsidR="005F03B5" w:rsidRPr="00E02273">
        <w:rPr>
          <w:lang w:val="en-CA"/>
        </w:rPr>
        <w:t xml:space="preserve"> patented medici</w:t>
      </w:r>
      <w:r w:rsidR="00DD0202" w:rsidRPr="00E02273">
        <w:rPr>
          <w:lang w:val="en-CA"/>
        </w:rPr>
        <w:t>n</w:t>
      </w:r>
      <w:r w:rsidR="005F03B5" w:rsidRPr="00E02273">
        <w:rPr>
          <w:lang w:val="en-CA"/>
        </w:rPr>
        <w:t>es, but also to import them</w:t>
      </w:r>
      <w:r w:rsidR="006B3E96" w:rsidRPr="00E02273">
        <w:rPr>
          <w:lang w:val="en-CA"/>
        </w:rPr>
        <w:t>:</w:t>
      </w:r>
      <w:r w:rsidR="002D51A4" w:rsidRPr="00E02273">
        <w:rPr>
          <w:rStyle w:val="Appelnotedebasdep"/>
          <w:lang w:val="en-CA"/>
        </w:rPr>
        <w:footnoteReference w:id="23"/>
      </w:r>
      <w:r w:rsidR="002D51A4" w:rsidRPr="00E02273">
        <w:rPr>
          <w:lang w:val="en-CA"/>
        </w:rPr>
        <w:t xml:space="preserve"> </w:t>
      </w:r>
    </w:p>
    <w:p w14:paraId="7DB7CD32" w14:textId="0BB0560D" w:rsidR="006D512D" w:rsidRPr="00E02273" w:rsidRDefault="006D512D" w:rsidP="00B568AD">
      <w:pPr>
        <w:pStyle w:val="Citationenretrait"/>
        <w:spacing w:line="240" w:lineRule="auto"/>
        <w:rPr>
          <w:lang w:val="en-CA"/>
        </w:rPr>
      </w:pPr>
      <w:r w:rsidRPr="00E02273">
        <w:rPr>
          <w:lang w:val="en-CA"/>
        </w:rPr>
        <w:t xml:space="preserve">In view of the circumstances, two courses of action appear to be indicated : one is to follow the proposal made by the Restrictive Trade Practices Commission and to recommend that patents on drugs be abolished in Canada ; the other is to modify the existing patent system as it affects drugs by permitting compulsory licensing of imports and to streamline generally procedures as they relate to compulsory licensing together with an amendment of the Patent Act which would extend to provincial governments and their agencies the right to use patented inventions, a right presently extended only to the Crown in the name of the Government of Canada. </w:t>
      </w:r>
    </w:p>
    <w:p w14:paraId="02CF530E" w14:textId="55E928F1" w:rsidR="00B568AD" w:rsidRPr="00E02273" w:rsidRDefault="006D512D" w:rsidP="00B568AD">
      <w:pPr>
        <w:pStyle w:val="Citationenretrait"/>
        <w:spacing w:line="240" w:lineRule="auto"/>
        <w:rPr>
          <w:rFonts w:cs="Arial"/>
          <w:szCs w:val="22"/>
          <w:lang w:val="en-CA" w:eastAsia="fr-CA"/>
        </w:rPr>
      </w:pPr>
      <w:r w:rsidRPr="00E02273">
        <w:rPr>
          <w:lang w:val="en-CA"/>
        </w:rPr>
        <w:t>We are inclined to follow the second course which aims at making every attempt to use a modified patent system to achieve the desired objectives of bringing down drug prices in Canada while still encouraging manufacturing of drugs in this country where such undertakings are economically justifiable.</w:t>
      </w:r>
      <w:r w:rsidR="002D51A4" w:rsidRPr="00E02273">
        <w:rPr>
          <w:lang w:val="en-CA"/>
        </w:rPr>
        <w:t xml:space="preserve"> </w:t>
      </w:r>
    </w:p>
    <w:p w14:paraId="66B1EA1E" w14:textId="6973CCD7" w:rsidR="00B568AD" w:rsidRPr="00E02273" w:rsidRDefault="007913B8" w:rsidP="00EF404D">
      <w:pPr>
        <w:pStyle w:val="Paragraphe"/>
        <w:tabs>
          <w:tab w:val="num" w:pos="709"/>
        </w:tabs>
        <w:spacing w:line="240" w:lineRule="auto"/>
        <w:ind w:left="0"/>
        <w:rPr>
          <w:lang w:val="en-CA"/>
        </w:rPr>
      </w:pPr>
      <w:r w:rsidRPr="00E02273">
        <w:rPr>
          <w:lang w:val="en-CA"/>
        </w:rPr>
        <w:t xml:space="preserve">Following the recommendations of that Commission and of </w:t>
      </w:r>
      <w:r w:rsidR="00DC49D6" w:rsidRPr="00E02273">
        <w:rPr>
          <w:lang w:val="en-CA"/>
        </w:rPr>
        <w:t xml:space="preserve">a </w:t>
      </w:r>
      <w:r w:rsidR="00DC49D6">
        <w:rPr>
          <w:lang w:val="en-CA"/>
        </w:rPr>
        <w:t xml:space="preserve">1966 </w:t>
      </w:r>
      <w:r w:rsidR="00DC49D6" w:rsidRPr="00E02273">
        <w:rPr>
          <w:lang w:val="en-CA"/>
        </w:rPr>
        <w:t xml:space="preserve">parliamentary committee </w:t>
      </w:r>
      <w:r w:rsidRPr="00E02273">
        <w:rPr>
          <w:lang w:val="en-CA"/>
        </w:rPr>
        <w:t>report that studie</w:t>
      </w:r>
      <w:r w:rsidR="00992808">
        <w:rPr>
          <w:lang w:val="en-CA"/>
        </w:rPr>
        <w:t>d</w:t>
      </w:r>
      <w:r w:rsidRPr="00E02273">
        <w:rPr>
          <w:lang w:val="en-CA"/>
        </w:rPr>
        <w:t xml:space="preserve"> drug prices,</w:t>
      </w:r>
      <w:r w:rsidR="002D51A4" w:rsidRPr="00E02273">
        <w:rPr>
          <w:rStyle w:val="Appelnotedebasdep"/>
          <w:lang w:val="en-CA"/>
        </w:rPr>
        <w:footnoteReference w:id="24"/>
      </w:r>
      <w:r w:rsidR="002D51A4" w:rsidRPr="00E02273">
        <w:rPr>
          <w:lang w:val="en-CA"/>
        </w:rPr>
        <w:t xml:space="preserve"> Parliament </w:t>
      </w:r>
      <w:r w:rsidR="00992808">
        <w:rPr>
          <w:lang w:val="en-CA"/>
        </w:rPr>
        <w:t>amended</w:t>
      </w:r>
      <w:r w:rsidRPr="00E02273">
        <w:rPr>
          <w:lang w:val="en-CA"/>
        </w:rPr>
        <w:t xml:space="preserve"> the </w:t>
      </w:r>
      <w:r w:rsidRPr="00E02273">
        <w:rPr>
          <w:i/>
          <w:lang w:val="en-CA"/>
        </w:rPr>
        <w:t xml:space="preserve">Patent Act </w:t>
      </w:r>
      <w:r w:rsidRPr="00E02273">
        <w:rPr>
          <w:lang w:val="en-CA"/>
        </w:rPr>
        <w:t xml:space="preserve">in </w:t>
      </w:r>
      <w:r w:rsidR="002D51A4" w:rsidRPr="00E02273">
        <w:rPr>
          <w:lang w:val="en-CA"/>
        </w:rPr>
        <w:t xml:space="preserve">1969 </w:t>
      </w:r>
      <w:r w:rsidR="0098307A" w:rsidRPr="00E02273">
        <w:rPr>
          <w:lang w:val="en-CA"/>
        </w:rPr>
        <w:t>to extend comp</w:t>
      </w:r>
      <w:r w:rsidR="00BC1628" w:rsidRPr="00E02273">
        <w:rPr>
          <w:lang w:val="en-CA"/>
        </w:rPr>
        <w:t>u</w:t>
      </w:r>
      <w:r w:rsidR="0098307A" w:rsidRPr="00E02273">
        <w:rPr>
          <w:lang w:val="en-CA"/>
        </w:rPr>
        <w:t xml:space="preserve">lsory licences, still irrespective of the parallel </w:t>
      </w:r>
      <w:r w:rsidR="00992808" w:rsidRPr="00E02273">
        <w:rPr>
          <w:lang w:val="en-CA"/>
        </w:rPr>
        <w:t xml:space="preserve">regime </w:t>
      </w:r>
      <w:r w:rsidR="00992808">
        <w:rPr>
          <w:lang w:val="en-CA"/>
        </w:rPr>
        <w:t xml:space="preserve">of </w:t>
      </w:r>
      <w:r w:rsidR="0098307A" w:rsidRPr="00E02273">
        <w:rPr>
          <w:lang w:val="en-CA"/>
        </w:rPr>
        <w:t>abuse of patent</w:t>
      </w:r>
      <w:r w:rsidR="002D51A4" w:rsidRPr="00E02273">
        <w:rPr>
          <w:lang w:val="en-CA"/>
        </w:rPr>
        <w:t xml:space="preserve">, </w:t>
      </w:r>
      <w:r w:rsidR="0098307A" w:rsidRPr="00E02273">
        <w:rPr>
          <w:lang w:val="en-CA"/>
        </w:rPr>
        <w:t xml:space="preserve">to the </w:t>
      </w:r>
      <w:r w:rsidR="002D51A4" w:rsidRPr="00E02273">
        <w:rPr>
          <w:lang w:val="en-CA"/>
        </w:rPr>
        <w:t xml:space="preserve">importation </w:t>
      </w:r>
      <w:r w:rsidR="0098307A" w:rsidRPr="00E02273">
        <w:rPr>
          <w:lang w:val="en-CA"/>
        </w:rPr>
        <w:t>of patented medicines, including the implementation of a</w:t>
      </w:r>
      <w:r w:rsidR="00294A3E" w:rsidRPr="00E02273">
        <w:rPr>
          <w:lang w:val="en-CA"/>
        </w:rPr>
        <w:t xml:space="preserve">n interim </w:t>
      </w:r>
      <w:r w:rsidR="00DC49D6">
        <w:rPr>
          <w:lang w:val="en-CA"/>
        </w:rPr>
        <w:t>licensing</w:t>
      </w:r>
      <w:r w:rsidR="00DC49D6" w:rsidRPr="00E02273">
        <w:rPr>
          <w:lang w:val="en-CA"/>
        </w:rPr>
        <w:t xml:space="preserve"> </w:t>
      </w:r>
      <w:r w:rsidR="00294A3E" w:rsidRPr="00E02273">
        <w:rPr>
          <w:lang w:val="en-CA"/>
        </w:rPr>
        <w:t>process for that purpose.</w:t>
      </w:r>
      <w:r w:rsidR="002D51A4" w:rsidRPr="00E02273">
        <w:rPr>
          <w:rStyle w:val="Appelnotedebasdep"/>
          <w:lang w:val="en-CA"/>
        </w:rPr>
        <w:footnoteReference w:id="25"/>
      </w:r>
      <w:r w:rsidR="00294A3E" w:rsidRPr="00E02273">
        <w:rPr>
          <w:lang w:val="en-CA"/>
        </w:rPr>
        <w:t xml:space="preserve"> </w:t>
      </w:r>
      <w:r w:rsidR="00DC49D6">
        <w:rPr>
          <w:lang w:val="en-CA"/>
        </w:rPr>
        <w:t>T</w:t>
      </w:r>
      <w:r w:rsidR="00DC49D6" w:rsidRPr="00E02273">
        <w:rPr>
          <w:lang w:val="en-CA"/>
        </w:rPr>
        <w:t xml:space="preserve">he Commissioner of Patents </w:t>
      </w:r>
      <w:r w:rsidR="00DC49D6">
        <w:rPr>
          <w:lang w:val="en-CA"/>
        </w:rPr>
        <w:t>then set a</w:t>
      </w:r>
      <w:r w:rsidR="00294A3E" w:rsidRPr="00E02273">
        <w:rPr>
          <w:lang w:val="en-CA"/>
        </w:rPr>
        <w:t xml:space="preserve"> </w:t>
      </w:r>
      <w:r w:rsidR="002D51A4" w:rsidRPr="00E02273">
        <w:rPr>
          <w:lang w:val="en-CA"/>
        </w:rPr>
        <w:t>royalt</w:t>
      </w:r>
      <w:r w:rsidR="00294A3E" w:rsidRPr="00E02273">
        <w:rPr>
          <w:lang w:val="en-CA"/>
        </w:rPr>
        <w:t xml:space="preserve">y of </w:t>
      </w:r>
      <w:r w:rsidR="002D51A4" w:rsidRPr="00E02273">
        <w:rPr>
          <w:lang w:val="en-CA"/>
        </w:rPr>
        <w:t xml:space="preserve">4% </w:t>
      </w:r>
      <w:r w:rsidR="00BC1628" w:rsidRPr="00E02273">
        <w:rPr>
          <w:lang w:val="en-CA"/>
        </w:rPr>
        <w:t xml:space="preserve">of the </w:t>
      </w:r>
      <w:r w:rsidR="004A697C">
        <w:rPr>
          <w:lang w:val="en-CA"/>
        </w:rPr>
        <w:t xml:space="preserve">price at which the </w:t>
      </w:r>
      <w:r w:rsidR="00BC1628" w:rsidRPr="00E02273">
        <w:rPr>
          <w:lang w:val="en-CA"/>
        </w:rPr>
        <w:t>medicine</w:t>
      </w:r>
      <w:r w:rsidR="004A697C">
        <w:rPr>
          <w:lang w:val="en-CA"/>
        </w:rPr>
        <w:t xml:space="preserve"> was sold</w:t>
      </w:r>
      <w:r w:rsidR="00BC1628" w:rsidRPr="00E02273">
        <w:rPr>
          <w:lang w:val="en-CA"/>
        </w:rPr>
        <w:t xml:space="preserve"> for such </w:t>
      </w:r>
      <w:r w:rsidR="002D51A4" w:rsidRPr="00E02273">
        <w:rPr>
          <w:lang w:val="en-CA"/>
        </w:rPr>
        <w:t>licences</w:t>
      </w:r>
      <w:r w:rsidR="00BC1628" w:rsidRPr="00E02273">
        <w:rPr>
          <w:lang w:val="en-CA"/>
        </w:rPr>
        <w:t>.</w:t>
      </w:r>
      <w:r w:rsidR="002D51A4" w:rsidRPr="00E02273">
        <w:rPr>
          <w:rStyle w:val="Appelnotedebasdep"/>
          <w:lang w:val="en-CA"/>
        </w:rPr>
        <w:footnoteReference w:id="26"/>
      </w:r>
    </w:p>
    <w:p w14:paraId="526F7D48" w14:textId="65B91DB4" w:rsidR="00B568AD" w:rsidRPr="00E02273" w:rsidRDefault="00A47625" w:rsidP="00EF404D">
      <w:pPr>
        <w:pStyle w:val="Paragraphe"/>
        <w:tabs>
          <w:tab w:val="num" w:pos="709"/>
        </w:tabs>
        <w:spacing w:line="240" w:lineRule="auto"/>
        <w:ind w:left="0"/>
        <w:rPr>
          <w:lang w:val="en-CA"/>
        </w:rPr>
      </w:pPr>
      <w:r w:rsidRPr="00E02273">
        <w:rPr>
          <w:lang w:val="en-CA"/>
        </w:rPr>
        <w:t xml:space="preserve">The principle </w:t>
      </w:r>
      <w:r w:rsidR="002D51A4" w:rsidRPr="00E02273">
        <w:rPr>
          <w:lang w:val="en-CA"/>
        </w:rPr>
        <w:t xml:space="preserve">aspects </w:t>
      </w:r>
      <w:r w:rsidRPr="00E02273">
        <w:rPr>
          <w:lang w:val="en-CA"/>
        </w:rPr>
        <w:t xml:space="preserve">of this </w:t>
      </w:r>
      <w:r w:rsidR="002D51A4" w:rsidRPr="00E02273">
        <w:rPr>
          <w:lang w:val="en-CA"/>
        </w:rPr>
        <w:t xml:space="preserve">legislation </w:t>
      </w:r>
      <w:r w:rsidR="00DC49D6">
        <w:rPr>
          <w:lang w:val="en-CA"/>
        </w:rPr>
        <w:t xml:space="preserve">was </w:t>
      </w:r>
      <w:r w:rsidRPr="00E02273">
        <w:rPr>
          <w:lang w:val="en-CA"/>
        </w:rPr>
        <w:t xml:space="preserve">thus </w:t>
      </w:r>
      <w:r w:rsidR="00DC49D6">
        <w:rPr>
          <w:lang w:val="en-CA"/>
        </w:rPr>
        <w:t xml:space="preserve">to </w:t>
      </w:r>
      <w:r w:rsidRPr="00E02273">
        <w:rPr>
          <w:lang w:val="en-CA"/>
        </w:rPr>
        <w:t xml:space="preserve">allow the </w:t>
      </w:r>
      <w:r w:rsidR="002D51A4" w:rsidRPr="00E02273">
        <w:rPr>
          <w:lang w:val="en-CA"/>
        </w:rPr>
        <w:t xml:space="preserve">importation </w:t>
      </w:r>
      <w:r w:rsidRPr="00E02273">
        <w:rPr>
          <w:lang w:val="en-CA"/>
        </w:rPr>
        <w:t xml:space="preserve">of medicines into </w:t>
      </w:r>
      <w:r w:rsidR="002D51A4" w:rsidRPr="00E02273">
        <w:rPr>
          <w:lang w:val="en-CA"/>
        </w:rPr>
        <w:t xml:space="preserve">Canada </w:t>
      </w:r>
      <w:r w:rsidRPr="00E02273">
        <w:rPr>
          <w:lang w:val="en-CA"/>
        </w:rPr>
        <w:t xml:space="preserve">by way of compulsory </w:t>
      </w:r>
      <w:r w:rsidR="002D51A4" w:rsidRPr="00E02273">
        <w:rPr>
          <w:lang w:val="en-CA"/>
        </w:rPr>
        <w:t>licences</w:t>
      </w:r>
      <w:r w:rsidRPr="00E02273">
        <w:rPr>
          <w:lang w:val="en-CA"/>
        </w:rPr>
        <w:t>,</w:t>
      </w:r>
      <w:r w:rsidR="002D51A4" w:rsidRPr="00E02273">
        <w:rPr>
          <w:lang w:val="en-CA"/>
        </w:rPr>
        <w:t xml:space="preserve"> </w:t>
      </w:r>
      <w:r w:rsidRPr="00E02273">
        <w:rPr>
          <w:lang w:val="en-CA"/>
        </w:rPr>
        <w:t xml:space="preserve">as well as their manufacture in </w:t>
      </w:r>
      <w:r w:rsidR="002D51A4" w:rsidRPr="00E02273">
        <w:rPr>
          <w:lang w:val="en-CA"/>
        </w:rPr>
        <w:t xml:space="preserve">Canada </w:t>
      </w:r>
      <w:r w:rsidRPr="00E02273">
        <w:rPr>
          <w:lang w:val="en-CA"/>
        </w:rPr>
        <w:t>through such</w:t>
      </w:r>
      <w:r w:rsidR="002D51A4" w:rsidRPr="00E02273">
        <w:rPr>
          <w:lang w:val="en-CA"/>
        </w:rPr>
        <w:t xml:space="preserve"> licences. </w:t>
      </w:r>
      <w:r w:rsidRPr="00E02273">
        <w:rPr>
          <w:lang w:val="en-CA"/>
        </w:rPr>
        <w:t xml:space="preserve">The purpose of these amendments was to encourage </w:t>
      </w:r>
      <w:r w:rsidR="002D51A4" w:rsidRPr="00E02273">
        <w:rPr>
          <w:lang w:val="en-CA"/>
        </w:rPr>
        <w:t>comp</w:t>
      </w:r>
      <w:r w:rsidRPr="00E02273">
        <w:rPr>
          <w:lang w:val="en-CA"/>
        </w:rPr>
        <w:t>e</w:t>
      </w:r>
      <w:r w:rsidR="002D51A4" w:rsidRPr="00E02273">
        <w:rPr>
          <w:lang w:val="en-CA"/>
        </w:rPr>
        <w:t>tition</w:t>
      </w:r>
      <w:r w:rsidRPr="00E02273">
        <w:rPr>
          <w:lang w:val="en-CA"/>
        </w:rPr>
        <w:t xml:space="preserve"> to </w:t>
      </w:r>
      <w:r w:rsidR="0078435E" w:rsidRPr="00E02273">
        <w:rPr>
          <w:lang w:val="en-CA"/>
        </w:rPr>
        <w:t>“</w:t>
      </w:r>
      <w:r w:rsidR="0078435E" w:rsidRPr="00E02273">
        <w:rPr>
          <w:rFonts w:cs="Arial"/>
          <w:bCs/>
          <w:szCs w:val="24"/>
          <w:lang w:val="en-CA"/>
        </w:rPr>
        <w:t>mak</w:t>
      </w:r>
      <w:r w:rsidRPr="00E02273">
        <w:rPr>
          <w:rFonts w:cs="Arial"/>
          <w:bCs/>
          <w:szCs w:val="24"/>
          <w:lang w:val="en-CA"/>
        </w:rPr>
        <w:t>[e]</w:t>
      </w:r>
      <w:r w:rsidR="0078435E" w:rsidRPr="00E02273">
        <w:rPr>
          <w:rFonts w:cs="Arial"/>
          <w:bCs/>
          <w:szCs w:val="24"/>
          <w:lang w:val="en-CA"/>
        </w:rPr>
        <w:t xml:space="preserve"> the medicine available to the public at the lowest possible price </w:t>
      </w:r>
      <w:r w:rsidR="0078435E" w:rsidRPr="00E02273">
        <w:rPr>
          <w:rFonts w:cs="Arial"/>
          <w:bCs/>
          <w:szCs w:val="24"/>
          <w:lang w:val="en-CA"/>
        </w:rPr>
        <w:lastRenderedPageBreak/>
        <w:t>consistent with giving to the patentee due reward for the research leading to the invention and for such other factors as may be prescri</w:t>
      </w:r>
      <w:r w:rsidR="0078435E" w:rsidRPr="00E02273">
        <w:rPr>
          <w:rFonts w:cs="Arial"/>
          <w:szCs w:val="24"/>
          <w:lang w:val="en-CA"/>
        </w:rPr>
        <w:t>be</w:t>
      </w:r>
      <w:r w:rsidR="0078435E" w:rsidRPr="00E02273">
        <w:rPr>
          <w:rFonts w:cs="Arial"/>
          <w:bCs/>
          <w:szCs w:val="24"/>
          <w:lang w:val="en-CA"/>
        </w:rPr>
        <w:t>d”.</w:t>
      </w:r>
      <w:r w:rsidR="002D51A4" w:rsidRPr="00E02273">
        <w:rPr>
          <w:rStyle w:val="Appelnotedebasdep"/>
          <w:lang w:val="en-CA"/>
        </w:rPr>
        <w:footnoteReference w:id="27"/>
      </w:r>
      <w:r w:rsidR="002D51A4" w:rsidRPr="00E02273">
        <w:rPr>
          <w:lang w:val="en-CA"/>
        </w:rPr>
        <w:t xml:space="preserve"> </w:t>
      </w:r>
    </w:p>
    <w:p w14:paraId="1A2611B8" w14:textId="00EE40B3" w:rsidR="00B568AD" w:rsidRPr="00E02273" w:rsidRDefault="006A5670" w:rsidP="00EF404D">
      <w:pPr>
        <w:pStyle w:val="Paragraphe"/>
        <w:tabs>
          <w:tab w:val="num" w:pos="709"/>
        </w:tabs>
        <w:spacing w:line="240" w:lineRule="auto"/>
        <w:ind w:left="0"/>
        <w:rPr>
          <w:lang w:val="en-CA"/>
        </w:rPr>
      </w:pPr>
      <w:r w:rsidRPr="00E02273">
        <w:rPr>
          <w:lang w:val="en-CA"/>
        </w:rPr>
        <w:t xml:space="preserve">The </w:t>
      </w:r>
      <w:r w:rsidR="002D51A4" w:rsidRPr="00E02273">
        <w:rPr>
          <w:lang w:val="en-CA"/>
        </w:rPr>
        <w:t>constitutional</w:t>
      </w:r>
      <w:r w:rsidRPr="00E02273">
        <w:rPr>
          <w:lang w:val="en-CA"/>
        </w:rPr>
        <w:t xml:space="preserve"> </w:t>
      </w:r>
      <w:r w:rsidR="002D51A4" w:rsidRPr="00E02273">
        <w:rPr>
          <w:lang w:val="en-CA"/>
        </w:rPr>
        <w:t>validity</w:t>
      </w:r>
      <w:r w:rsidRPr="00E02273">
        <w:rPr>
          <w:lang w:val="en-CA"/>
        </w:rPr>
        <w:t xml:space="preserve"> of this compulsory licensing </w:t>
      </w:r>
      <w:r w:rsidR="00A27151" w:rsidRPr="00E02273">
        <w:rPr>
          <w:lang w:val="en-CA"/>
        </w:rPr>
        <w:t>regime</w:t>
      </w:r>
      <w:r w:rsidRPr="00E02273">
        <w:rPr>
          <w:lang w:val="en-CA"/>
        </w:rPr>
        <w:t xml:space="preserve"> was confirmed by the </w:t>
      </w:r>
      <w:r w:rsidR="002D51A4" w:rsidRPr="00E02273">
        <w:rPr>
          <w:lang w:val="en-CA"/>
        </w:rPr>
        <w:t>courts</w:t>
      </w:r>
      <w:r w:rsidRPr="00E02273">
        <w:rPr>
          <w:lang w:val="en-CA"/>
        </w:rPr>
        <w:t xml:space="preserve"> on numerous </w:t>
      </w:r>
      <w:r w:rsidR="00A524E4" w:rsidRPr="00E02273">
        <w:rPr>
          <w:lang w:val="en-CA"/>
        </w:rPr>
        <w:t>occasions</w:t>
      </w:r>
      <w:r w:rsidRPr="00E02273">
        <w:rPr>
          <w:lang w:val="en-CA"/>
        </w:rPr>
        <w:t>.</w:t>
      </w:r>
      <w:r w:rsidR="002D51A4" w:rsidRPr="00E02273">
        <w:rPr>
          <w:rStyle w:val="Appelnotedebasdep"/>
          <w:lang w:val="en-CA"/>
        </w:rPr>
        <w:footnoteReference w:id="28"/>
      </w:r>
      <w:r w:rsidR="002D51A4" w:rsidRPr="00E02273">
        <w:rPr>
          <w:lang w:val="en-CA"/>
        </w:rPr>
        <w:t xml:space="preserve"> </w:t>
      </w:r>
      <w:r w:rsidR="00200924" w:rsidRPr="00E02273">
        <w:rPr>
          <w:lang w:val="en-CA"/>
        </w:rPr>
        <w:t xml:space="preserve">I will </w:t>
      </w:r>
      <w:r w:rsidRPr="00E02273">
        <w:rPr>
          <w:lang w:val="en-CA"/>
        </w:rPr>
        <w:t xml:space="preserve">return </w:t>
      </w:r>
      <w:r w:rsidR="00200924" w:rsidRPr="00E02273">
        <w:rPr>
          <w:lang w:val="en-CA"/>
        </w:rPr>
        <w:t>to this.</w:t>
      </w:r>
      <w:r w:rsidR="002D51A4" w:rsidRPr="00E02273">
        <w:rPr>
          <w:lang w:val="en-CA"/>
        </w:rPr>
        <w:t xml:space="preserve"> </w:t>
      </w:r>
    </w:p>
    <w:p w14:paraId="41827C29" w14:textId="62AF6BED" w:rsidR="00B568AD" w:rsidRPr="00E02273" w:rsidRDefault="006A5670" w:rsidP="00EF404D">
      <w:pPr>
        <w:pStyle w:val="Paragraphe"/>
        <w:tabs>
          <w:tab w:val="num" w:pos="709"/>
        </w:tabs>
        <w:spacing w:line="240" w:lineRule="auto"/>
        <w:ind w:left="0"/>
        <w:rPr>
          <w:lang w:val="en-CA"/>
        </w:rPr>
      </w:pPr>
      <w:r w:rsidRPr="00E02273">
        <w:rPr>
          <w:lang w:val="en-CA"/>
        </w:rPr>
        <w:t xml:space="preserve">The </w:t>
      </w:r>
      <w:r w:rsidR="002D51A4" w:rsidRPr="00E02273">
        <w:rPr>
          <w:lang w:val="en-CA"/>
        </w:rPr>
        <w:t xml:space="preserve">licence </w:t>
      </w:r>
      <w:r w:rsidRPr="00E02273">
        <w:rPr>
          <w:lang w:val="en-CA"/>
        </w:rPr>
        <w:t>had to be issue</w:t>
      </w:r>
      <w:r w:rsidR="00F952B4" w:rsidRPr="00E02273">
        <w:rPr>
          <w:lang w:val="en-CA"/>
        </w:rPr>
        <w:t>d</w:t>
      </w:r>
      <w:r w:rsidRPr="00E02273">
        <w:rPr>
          <w:lang w:val="en-CA"/>
        </w:rPr>
        <w:t xml:space="preserve"> </w:t>
      </w:r>
      <w:r w:rsidR="00F952B4" w:rsidRPr="00E02273">
        <w:rPr>
          <w:lang w:val="en-CA"/>
        </w:rPr>
        <w:t xml:space="preserve">regardless of the </w:t>
      </w:r>
      <w:r w:rsidR="002D51A4" w:rsidRPr="00E02273">
        <w:rPr>
          <w:lang w:val="en-CA"/>
        </w:rPr>
        <w:t>reasonableness</w:t>
      </w:r>
      <w:r w:rsidR="00F952B4" w:rsidRPr="00E02273">
        <w:rPr>
          <w:lang w:val="en-CA"/>
        </w:rPr>
        <w:t xml:space="preserve"> of the </w:t>
      </w:r>
      <w:r w:rsidR="004A697C">
        <w:rPr>
          <w:lang w:val="en-CA"/>
        </w:rPr>
        <w:t xml:space="preserve">price at which the </w:t>
      </w:r>
      <w:r w:rsidR="00F952B4" w:rsidRPr="00E02273">
        <w:rPr>
          <w:lang w:val="en-CA"/>
        </w:rPr>
        <w:t>medicine</w:t>
      </w:r>
      <w:r w:rsidR="004A697C">
        <w:rPr>
          <w:lang w:val="en-CA"/>
        </w:rPr>
        <w:t xml:space="preserve"> was sold</w:t>
      </w:r>
      <w:r w:rsidR="00F952B4" w:rsidRPr="00E02273">
        <w:rPr>
          <w:lang w:val="en-CA"/>
        </w:rPr>
        <w:t xml:space="preserve">. </w:t>
      </w:r>
      <w:r w:rsidR="00A524E4" w:rsidRPr="00E02273">
        <w:rPr>
          <w:lang w:val="en-CA"/>
        </w:rPr>
        <w:t>Commissioner</w:t>
      </w:r>
      <w:r w:rsidR="00F952B4" w:rsidRPr="00E02273">
        <w:rPr>
          <w:lang w:val="en-CA"/>
        </w:rPr>
        <w:t xml:space="preserve"> of Patents </w:t>
      </w:r>
      <w:r w:rsidR="002D51A4" w:rsidRPr="00E02273">
        <w:rPr>
          <w:lang w:val="en-CA"/>
        </w:rPr>
        <w:t>Laidlaw, cit</w:t>
      </w:r>
      <w:r w:rsidR="00F952B4" w:rsidRPr="00E02273">
        <w:rPr>
          <w:lang w:val="en-CA"/>
        </w:rPr>
        <w:t xml:space="preserve">ing </w:t>
      </w:r>
      <w:r w:rsidR="002D51A4" w:rsidRPr="00E02273">
        <w:rPr>
          <w:lang w:val="en-CA"/>
        </w:rPr>
        <w:t>Jackett</w:t>
      </w:r>
      <w:r w:rsidR="00F952B4" w:rsidRPr="00E02273">
        <w:rPr>
          <w:lang w:val="en-CA"/>
        </w:rPr>
        <w:t xml:space="preserve"> J., stated the following </w:t>
      </w:r>
      <w:r w:rsidR="00DC49D6">
        <w:rPr>
          <w:lang w:val="en-CA"/>
        </w:rPr>
        <w:t>in this regard</w:t>
      </w:r>
      <w:r w:rsidR="00F952B4" w:rsidRPr="00E02273">
        <w:rPr>
          <w:lang w:val="en-CA"/>
        </w:rPr>
        <w:t xml:space="preserve"> in </w:t>
      </w:r>
      <w:r w:rsidR="002D51A4" w:rsidRPr="00E02273">
        <w:rPr>
          <w:i/>
          <w:lang w:val="en-CA"/>
        </w:rPr>
        <w:t>Frank W. Horner v. Hoffman-La Roche Ltd.</w:t>
      </w:r>
      <w:r w:rsidR="00F952B4" w:rsidRPr="00E02273">
        <w:rPr>
          <w:lang w:val="en-CA"/>
        </w:rPr>
        <w:t>:</w:t>
      </w:r>
      <w:r w:rsidR="002D51A4" w:rsidRPr="00E02273">
        <w:rPr>
          <w:rStyle w:val="Appelnotedebasdep"/>
          <w:lang w:val="en-CA"/>
        </w:rPr>
        <w:footnoteReference w:id="29"/>
      </w:r>
    </w:p>
    <w:p w14:paraId="45E21333" w14:textId="77777777" w:rsidR="00B568AD" w:rsidRPr="00E02273" w:rsidRDefault="002D51A4" w:rsidP="00B568AD">
      <w:pPr>
        <w:pStyle w:val="Citationenretrait"/>
        <w:spacing w:line="240" w:lineRule="auto"/>
        <w:rPr>
          <w:lang w:val="en-CA" w:eastAsia="fr-CA"/>
        </w:rPr>
      </w:pPr>
      <w:r w:rsidRPr="00E02273">
        <w:rPr>
          <w:lang w:val="en-CA" w:eastAsia="fr-CA"/>
        </w:rPr>
        <w:t>[18]</w:t>
      </w:r>
      <w:r w:rsidRPr="00E02273">
        <w:rPr>
          <w:lang w:val="en-CA" w:eastAsia="fr-CA"/>
        </w:rPr>
        <w:tab/>
        <w:t xml:space="preserve">One other point of principle. It is also well settled that the Commissioner's decision to grant a licence under the subsection must not depend on whether or not the patentee's prices for its product are reasonable. Jackett, P., in </w:t>
      </w:r>
      <w:r w:rsidRPr="00E02273">
        <w:rPr>
          <w:i/>
          <w:lang w:val="en-CA" w:eastAsia="fr-CA"/>
        </w:rPr>
        <w:t>Hoffmann-La Roche v. Bell-Craig,</w:t>
      </w:r>
      <w:r w:rsidRPr="00E02273">
        <w:rPr>
          <w:lang w:val="en-CA" w:eastAsia="fr-CA"/>
        </w:rPr>
        <w:t xml:space="preserve"> [46 C.P.R. 32, [1965] 2 Ex.C.R. 266] stated at p. 50:</w:t>
      </w:r>
    </w:p>
    <w:p w14:paraId="0D07715C" w14:textId="77777777" w:rsidR="00B568AD" w:rsidRPr="00E02273" w:rsidRDefault="002D51A4" w:rsidP="00B568AD">
      <w:pPr>
        <w:pStyle w:val="Citationenretrait"/>
        <w:spacing w:line="240" w:lineRule="auto"/>
        <w:ind w:left="1440"/>
        <w:rPr>
          <w:sz w:val="20"/>
          <w:lang w:val="en-CA" w:eastAsia="fr-CA"/>
        </w:rPr>
      </w:pPr>
      <w:r w:rsidRPr="00E02273">
        <w:rPr>
          <w:sz w:val="20"/>
          <w:lang w:val="en-CA" w:eastAsia="fr-CA"/>
        </w:rPr>
        <w:t>"there is no duty imposed upon the Commissioner by s. 41(3) of the Patent Act, when he is considering whether there is 'good reason' to reject an application for compulsory licence, to conduct an investigation as to whether the prices at which the patentee has been selling the patented product are in fact 'reasonable'."</w:t>
      </w:r>
    </w:p>
    <w:p w14:paraId="71948420" w14:textId="77777777" w:rsidR="00B568AD" w:rsidRPr="00E02273" w:rsidRDefault="002D51A4" w:rsidP="00B568AD">
      <w:pPr>
        <w:pStyle w:val="Citationenretrait"/>
        <w:spacing w:line="240" w:lineRule="auto"/>
        <w:rPr>
          <w:lang w:val="en-CA" w:eastAsia="fr-CA"/>
        </w:rPr>
      </w:pPr>
      <w:r w:rsidRPr="00E02273">
        <w:rPr>
          <w:lang w:val="en-CA" w:eastAsia="fr-CA"/>
        </w:rPr>
        <w:t>[19]</w:t>
      </w:r>
      <w:r w:rsidRPr="00E02273">
        <w:rPr>
          <w:lang w:val="en-CA" w:eastAsia="fr-CA"/>
        </w:rPr>
        <w:tab/>
        <w:t>In short, compulsory licences applied for under s. 41 of the Patent Act leave little discretion to the Commissioner of Patents. These licences, in fact, amount almost to licences of right. What the Commissioner of Patents is required to do is mandatory unless he sees good reason not to grant the licence applied for.</w:t>
      </w:r>
    </w:p>
    <w:p w14:paraId="699DB82F" w14:textId="328729A7" w:rsidR="00B568AD" w:rsidRPr="00E02273" w:rsidRDefault="00D9620D" w:rsidP="00EF404D">
      <w:pPr>
        <w:pStyle w:val="Paragraphe"/>
        <w:tabs>
          <w:tab w:val="num" w:pos="709"/>
        </w:tabs>
        <w:spacing w:line="240" w:lineRule="auto"/>
        <w:ind w:left="0"/>
        <w:rPr>
          <w:lang w:val="en-CA"/>
        </w:rPr>
      </w:pPr>
      <w:r w:rsidRPr="00E02273">
        <w:rPr>
          <w:lang w:val="en-CA"/>
        </w:rPr>
        <w:t xml:space="preserve">The purpose of this </w:t>
      </w:r>
      <w:r w:rsidR="002D51A4" w:rsidRPr="00E02273">
        <w:rPr>
          <w:lang w:val="en-CA"/>
        </w:rPr>
        <w:t>legislation</w:t>
      </w:r>
      <w:r w:rsidRPr="00E02273">
        <w:rPr>
          <w:lang w:val="en-CA"/>
        </w:rPr>
        <w:t xml:space="preserve"> was therefore to encourage increased competition through </w:t>
      </w:r>
      <w:r w:rsidR="002D51A4" w:rsidRPr="00E02273">
        <w:rPr>
          <w:lang w:val="en-CA"/>
        </w:rPr>
        <w:t xml:space="preserve">licences </w:t>
      </w:r>
      <w:r w:rsidRPr="00E02273">
        <w:rPr>
          <w:lang w:val="en-CA"/>
        </w:rPr>
        <w:t xml:space="preserve">in order to </w:t>
      </w:r>
      <w:r w:rsidR="001C1904">
        <w:rPr>
          <w:lang w:val="en-CA"/>
        </w:rPr>
        <w:t>mitigate</w:t>
      </w:r>
      <w:r w:rsidR="001C1904" w:rsidRPr="00E02273">
        <w:rPr>
          <w:lang w:val="en-CA"/>
        </w:rPr>
        <w:t xml:space="preserve"> </w:t>
      </w:r>
      <w:r w:rsidRPr="00E02273">
        <w:rPr>
          <w:lang w:val="en-CA"/>
        </w:rPr>
        <w:t>the effect on prices of the monopoly granted by the patent.</w:t>
      </w:r>
      <w:r w:rsidR="002D51A4" w:rsidRPr="00E02273">
        <w:rPr>
          <w:rStyle w:val="Appelnotedebasdep"/>
          <w:lang w:val="en-CA"/>
        </w:rPr>
        <w:footnoteReference w:id="30"/>
      </w:r>
      <w:r w:rsidR="002D51A4" w:rsidRPr="00E02273">
        <w:rPr>
          <w:lang w:val="en-CA"/>
        </w:rPr>
        <w:t xml:space="preserve"> </w:t>
      </w:r>
      <w:r w:rsidR="00A508FC" w:rsidRPr="00E02273">
        <w:rPr>
          <w:lang w:val="en-CA"/>
        </w:rPr>
        <w:t xml:space="preserve">This statutory </w:t>
      </w:r>
      <w:r w:rsidR="00A27151" w:rsidRPr="00E02273">
        <w:rPr>
          <w:lang w:val="en-CA"/>
        </w:rPr>
        <w:t>regime</w:t>
      </w:r>
      <w:r w:rsidR="00A508FC" w:rsidRPr="00E02273">
        <w:rPr>
          <w:lang w:val="en-CA"/>
        </w:rPr>
        <w:t xml:space="preserve"> in fact led to the de</w:t>
      </w:r>
      <w:r w:rsidR="002D51A4" w:rsidRPr="00E02273">
        <w:rPr>
          <w:lang w:val="en-CA"/>
        </w:rPr>
        <w:t xml:space="preserve">velopment </w:t>
      </w:r>
      <w:r w:rsidR="00A508FC" w:rsidRPr="00E02273">
        <w:rPr>
          <w:lang w:val="en-CA"/>
        </w:rPr>
        <w:t xml:space="preserve">of a </w:t>
      </w:r>
      <w:r w:rsidR="00A524E4" w:rsidRPr="00E02273">
        <w:rPr>
          <w:lang w:val="en-CA"/>
        </w:rPr>
        <w:t>significant</w:t>
      </w:r>
      <w:r w:rsidR="00A508FC" w:rsidRPr="00E02273">
        <w:rPr>
          <w:lang w:val="en-CA"/>
        </w:rPr>
        <w:t xml:space="preserve"> pharmaceutical </w:t>
      </w:r>
      <w:r w:rsidR="002D51A4" w:rsidRPr="00E02273">
        <w:rPr>
          <w:lang w:val="en-CA"/>
        </w:rPr>
        <w:t>industr</w:t>
      </w:r>
      <w:r w:rsidR="00A508FC" w:rsidRPr="00E02273">
        <w:rPr>
          <w:lang w:val="en-CA"/>
        </w:rPr>
        <w:t>y for so called</w:t>
      </w:r>
      <w:r w:rsidR="000F373A" w:rsidRPr="00E02273">
        <w:rPr>
          <w:lang w:val="en-CA"/>
        </w:rPr>
        <w:t xml:space="preserve"> [</w:t>
      </w:r>
      <w:r w:rsidR="000F373A" w:rsidRPr="00E02273">
        <w:rPr>
          <w:smallCaps/>
          <w:lang w:val="en-CA"/>
        </w:rPr>
        <w:t>translation</w:t>
      </w:r>
      <w:r w:rsidR="000F373A" w:rsidRPr="00E02273">
        <w:rPr>
          <w:lang w:val="en-CA"/>
        </w:rPr>
        <w:t>]</w:t>
      </w:r>
      <w:r w:rsidR="00A508FC" w:rsidRPr="00E02273">
        <w:rPr>
          <w:lang w:val="en-CA"/>
        </w:rPr>
        <w:t xml:space="preserve"> “generic” medicines in direct </w:t>
      </w:r>
      <w:r w:rsidR="002D51A4" w:rsidRPr="00E02273">
        <w:rPr>
          <w:lang w:val="en-CA"/>
        </w:rPr>
        <w:t>comp</w:t>
      </w:r>
      <w:r w:rsidR="00A508FC" w:rsidRPr="00E02273">
        <w:rPr>
          <w:lang w:val="en-CA"/>
        </w:rPr>
        <w:t>e</w:t>
      </w:r>
      <w:r w:rsidR="002D51A4" w:rsidRPr="00E02273">
        <w:rPr>
          <w:lang w:val="en-CA"/>
        </w:rPr>
        <w:t xml:space="preserve">tition </w:t>
      </w:r>
      <w:r w:rsidR="00A508FC" w:rsidRPr="00E02273">
        <w:rPr>
          <w:lang w:val="en-CA"/>
        </w:rPr>
        <w:t xml:space="preserve">with the traditional pharmaceutical </w:t>
      </w:r>
      <w:r w:rsidR="002D51A4" w:rsidRPr="00E02273">
        <w:rPr>
          <w:lang w:val="en-CA"/>
        </w:rPr>
        <w:t>industr</w:t>
      </w:r>
      <w:r w:rsidR="000C0BF7" w:rsidRPr="00E02273">
        <w:rPr>
          <w:lang w:val="en-CA"/>
        </w:rPr>
        <w:t xml:space="preserve">y based on research and </w:t>
      </w:r>
      <w:r w:rsidR="002D51A4" w:rsidRPr="00E02273">
        <w:rPr>
          <w:lang w:val="en-CA"/>
        </w:rPr>
        <w:t>d</w:t>
      </w:r>
      <w:r w:rsidR="000C0BF7" w:rsidRPr="00E02273">
        <w:rPr>
          <w:lang w:val="en-CA"/>
        </w:rPr>
        <w:t>e</w:t>
      </w:r>
      <w:r w:rsidR="002D51A4" w:rsidRPr="00E02273">
        <w:rPr>
          <w:lang w:val="en-CA"/>
        </w:rPr>
        <w:t>velo</w:t>
      </w:r>
      <w:r w:rsidR="000C0BF7" w:rsidRPr="00E02273">
        <w:rPr>
          <w:lang w:val="en-CA"/>
        </w:rPr>
        <w:t>p</w:t>
      </w:r>
      <w:r w:rsidR="002D51A4" w:rsidRPr="00E02273">
        <w:rPr>
          <w:lang w:val="en-CA"/>
        </w:rPr>
        <w:t xml:space="preserve">ment, </w:t>
      </w:r>
      <w:r w:rsidR="000F373A" w:rsidRPr="00E02273">
        <w:rPr>
          <w:lang w:val="en-CA"/>
        </w:rPr>
        <w:t xml:space="preserve">the so called </w:t>
      </w:r>
      <w:r w:rsidR="00245F96" w:rsidRPr="00E02273">
        <w:rPr>
          <w:lang w:val="en-CA"/>
        </w:rPr>
        <w:t>[</w:t>
      </w:r>
      <w:r w:rsidR="00245F96" w:rsidRPr="00E02273">
        <w:rPr>
          <w:smallCaps/>
          <w:lang w:val="en-CA"/>
        </w:rPr>
        <w:t>translation</w:t>
      </w:r>
      <w:r w:rsidR="00245F96" w:rsidRPr="00E02273">
        <w:rPr>
          <w:lang w:val="en-CA"/>
        </w:rPr>
        <w:t xml:space="preserve">] </w:t>
      </w:r>
      <w:r w:rsidR="000F373A" w:rsidRPr="00E02273">
        <w:rPr>
          <w:lang w:val="en-CA"/>
        </w:rPr>
        <w:t>“innovative” medicine industry.</w:t>
      </w:r>
      <w:r w:rsidR="002D51A4" w:rsidRPr="00E02273">
        <w:rPr>
          <w:rStyle w:val="Appelnotedebasdep"/>
          <w:lang w:val="en-CA"/>
        </w:rPr>
        <w:footnoteReference w:id="31"/>
      </w:r>
    </w:p>
    <w:p w14:paraId="62AFC6F4" w14:textId="49693E99" w:rsidR="00B568AD" w:rsidRPr="00E02273" w:rsidRDefault="00245F96" w:rsidP="001127C4">
      <w:pPr>
        <w:pStyle w:val="Paragraphe"/>
        <w:keepNext/>
        <w:numPr>
          <w:ilvl w:val="0"/>
          <w:numId w:val="0"/>
        </w:numPr>
        <w:spacing w:line="240" w:lineRule="auto"/>
        <w:ind w:left="1440"/>
        <w:rPr>
          <w:i/>
          <w:u w:val="single"/>
          <w:lang w:val="en-CA"/>
        </w:rPr>
      </w:pPr>
      <w:r w:rsidRPr="00E02273">
        <w:rPr>
          <w:i/>
          <w:u w:val="single"/>
          <w:lang w:val="en-CA"/>
        </w:rPr>
        <w:lastRenderedPageBreak/>
        <w:t xml:space="preserve">The </w:t>
      </w:r>
      <w:r w:rsidR="002D51A4" w:rsidRPr="00E02273">
        <w:rPr>
          <w:i/>
          <w:u w:val="single"/>
          <w:lang w:val="en-CA"/>
        </w:rPr>
        <w:t>1987</w:t>
      </w:r>
      <w:r w:rsidRPr="00E02273">
        <w:rPr>
          <w:i/>
          <w:u w:val="single"/>
          <w:lang w:val="en-CA"/>
        </w:rPr>
        <w:t xml:space="preserve"> Act</w:t>
      </w:r>
    </w:p>
    <w:p w14:paraId="0C705D5A" w14:textId="3B47AC85" w:rsidR="00B568AD" w:rsidRPr="00E02273" w:rsidRDefault="003E5FA9" w:rsidP="001127C4">
      <w:pPr>
        <w:pStyle w:val="Paragraphe"/>
        <w:keepNext/>
        <w:tabs>
          <w:tab w:val="num" w:pos="709"/>
        </w:tabs>
        <w:spacing w:line="240" w:lineRule="auto"/>
        <w:ind w:left="0"/>
        <w:rPr>
          <w:lang w:val="en-CA"/>
        </w:rPr>
      </w:pPr>
      <w:r w:rsidRPr="00E02273">
        <w:rPr>
          <w:lang w:val="en-CA"/>
        </w:rPr>
        <w:t xml:space="preserve">The 1985 </w:t>
      </w:r>
      <w:r w:rsidR="002D51A4" w:rsidRPr="00E02273">
        <w:rPr>
          <w:lang w:val="en-CA"/>
        </w:rPr>
        <w:t xml:space="preserve">Eastman </w:t>
      </w:r>
      <w:r w:rsidRPr="00E02273">
        <w:rPr>
          <w:lang w:val="en-CA"/>
        </w:rPr>
        <w:t xml:space="preserve">Report proposed significant amendments to the patent and compulsory licensing </w:t>
      </w:r>
      <w:r w:rsidR="00A27151" w:rsidRPr="00E02273">
        <w:rPr>
          <w:lang w:val="en-CA"/>
        </w:rPr>
        <w:t>regime</w:t>
      </w:r>
      <w:r w:rsidRPr="00E02273">
        <w:rPr>
          <w:lang w:val="en-CA"/>
        </w:rPr>
        <w:t xml:space="preserve"> for medicines and their manufacturing </w:t>
      </w:r>
      <w:r w:rsidR="001C1904">
        <w:rPr>
          <w:lang w:val="en-CA"/>
        </w:rPr>
        <w:t>processes</w:t>
      </w:r>
      <w:r w:rsidRPr="00E02273">
        <w:rPr>
          <w:lang w:val="en-CA"/>
        </w:rPr>
        <w:t xml:space="preserve">, in particular to encourage pharmaceutical research and development activities and </w:t>
      </w:r>
      <w:r w:rsidR="001C1904">
        <w:rPr>
          <w:lang w:val="en-CA"/>
        </w:rPr>
        <w:t xml:space="preserve">expenditures </w:t>
      </w:r>
      <w:r w:rsidRPr="00E02273">
        <w:rPr>
          <w:lang w:val="en-CA"/>
        </w:rPr>
        <w:t xml:space="preserve">in </w:t>
      </w:r>
      <w:r w:rsidR="002D51A4" w:rsidRPr="00E02273">
        <w:rPr>
          <w:lang w:val="en-CA"/>
        </w:rPr>
        <w:t xml:space="preserve">Canada. </w:t>
      </w:r>
      <w:r w:rsidRPr="00E02273">
        <w:rPr>
          <w:lang w:val="en-CA"/>
        </w:rPr>
        <w:t>While not all of those recommendation</w:t>
      </w:r>
      <w:r w:rsidR="004A57BC">
        <w:rPr>
          <w:lang w:val="en-CA"/>
        </w:rPr>
        <w:t>s</w:t>
      </w:r>
      <w:r w:rsidRPr="00E02273">
        <w:rPr>
          <w:lang w:val="en-CA"/>
        </w:rPr>
        <w:t xml:space="preserve"> were accepted, </w:t>
      </w:r>
      <w:r w:rsidR="002D51A4" w:rsidRPr="00E02273">
        <w:rPr>
          <w:lang w:val="en-CA"/>
        </w:rPr>
        <w:t>Parliament</w:t>
      </w:r>
      <w:r w:rsidRPr="00E02273">
        <w:rPr>
          <w:lang w:val="en-CA"/>
        </w:rPr>
        <w:t xml:space="preserve"> carried out a major legislative reform in response to the </w:t>
      </w:r>
      <w:r w:rsidR="002D51A4" w:rsidRPr="00E02273">
        <w:rPr>
          <w:lang w:val="en-CA"/>
        </w:rPr>
        <w:t xml:space="preserve">Eastman </w:t>
      </w:r>
      <w:r w:rsidRPr="00E02273">
        <w:rPr>
          <w:lang w:val="en-CA"/>
        </w:rPr>
        <w:t xml:space="preserve">Report by </w:t>
      </w:r>
      <w:r w:rsidR="001C1904">
        <w:rPr>
          <w:lang w:val="en-CA"/>
        </w:rPr>
        <w:t>enact</w:t>
      </w:r>
      <w:r w:rsidR="001C1904" w:rsidRPr="00E02273">
        <w:rPr>
          <w:lang w:val="en-CA"/>
        </w:rPr>
        <w:t xml:space="preserve">ing </w:t>
      </w:r>
      <w:r w:rsidRPr="00E02273">
        <w:rPr>
          <w:lang w:val="en-CA"/>
        </w:rPr>
        <w:t xml:space="preserve">the 1987 </w:t>
      </w:r>
      <w:r w:rsidRPr="00E02273">
        <w:rPr>
          <w:i/>
          <w:iCs/>
          <w:color w:val="000000"/>
          <w:lang w:val="en-CA"/>
        </w:rPr>
        <w:t>Act to amend the Patent Act and to provide for certain matters in relation thereto</w:t>
      </w:r>
      <w:r w:rsidRPr="00E02273">
        <w:rPr>
          <w:lang w:val="en-CA"/>
        </w:rPr>
        <w:t>.</w:t>
      </w:r>
      <w:r w:rsidR="002D51A4" w:rsidRPr="00E02273">
        <w:rPr>
          <w:rStyle w:val="Appelnotedebasdep"/>
          <w:lang w:val="en-CA"/>
        </w:rPr>
        <w:footnoteReference w:id="32"/>
      </w:r>
      <w:r w:rsidR="002D51A4" w:rsidRPr="00E02273">
        <w:rPr>
          <w:lang w:val="en-CA"/>
        </w:rPr>
        <w:t xml:space="preserve"> </w:t>
      </w:r>
    </w:p>
    <w:p w14:paraId="4DBA0FF3" w14:textId="2A7E439B" w:rsidR="00B568AD" w:rsidRPr="00E02273" w:rsidRDefault="00745C77" w:rsidP="00EF404D">
      <w:pPr>
        <w:pStyle w:val="Paragraphe"/>
        <w:tabs>
          <w:tab w:val="num" w:pos="709"/>
        </w:tabs>
        <w:spacing w:line="240" w:lineRule="auto"/>
        <w:ind w:left="0"/>
        <w:rPr>
          <w:lang w:val="en-CA"/>
        </w:rPr>
      </w:pPr>
      <w:r w:rsidRPr="00E02273">
        <w:rPr>
          <w:lang w:val="en-CA"/>
        </w:rPr>
        <w:t>The relevant ele</w:t>
      </w:r>
      <w:r w:rsidR="002D51A4" w:rsidRPr="00E02273">
        <w:rPr>
          <w:lang w:val="en-CA"/>
        </w:rPr>
        <w:t xml:space="preserve">ments </w:t>
      </w:r>
      <w:r w:rsidRPr="00E02273">
        <w:rPr>
          <w:lang w:val="en-CA"/>
        </w:rPr>
        <w:t xml:space="preserve">of this new </w:t>
      </w:r>
      <w:r w:rsidR="002D51A4" w:rsidRPr="00E02273">
        <w:rPr>
          <w:lang w:val="en-CA"/>
        </w:rPr>
        <w:t>legislative</w:t>
      </w:r>
      <w:r w:rsidRPr="00E02273">
        <w:rPr>
          <w:lang w:val="en-CA"/>
        </w:rPr>
        <w:t xml:space="preserve"> </w:t>
      </w:r>
      <w:r w:rsidR="00A27151" w:rsidRPr="00E02273">
        <w:rPr>
          <w:lang w:val="en-CA"/>
        </w:rPr>
        <w:t>regime</w:t>
      </w:r>
      <w:r w:rsidRPr="00E02273">
        <w:rPr>
          <w:lang w:val="en-CA"/>
        </w:rPr>
        <w:t xml:space="preserve"> were</w:t>
      </w:r>
      <w:r w:rsidR="002D51A4" w:rsidRPr="00E02273">
        <w:rPr>
          <w:lang w:val="en-CA"/>
        </w:rPr>
        <w:t>:</w:t>
      </w:r>
    </w:p>
    <w:p w14:paraId="7602B757" w14:textId="1B06A12E" w:rsidR="00B568AD" w:rsidRPr="00E02273" w:rsidRDefault="00336596" w:rsidP="00B568AD">
      <w:pPr>
        <w:pStyle w:val="Paragraphe"/>
        <w:numPr>
          <w:ilvl w:val="0"/>
          <w:numId w:val="20"/>
        </w:numPr>
        <w:spacing w:line="240" w:lineRule="auto"/>
        <w:ind w:left="1134"/>
        <w:rPr>
          <w:lang w:val="en-CA"/>
        </w:rPr>
      </w:pPr>
      <w:r w:rsidRPr="00E02273">
        <w:rPr>
          <w:lang w:val="en-CA"/>
        </w:rPr>
        <w:t xml:space="preserve">The </w:t>
      </w:r>
      <w:r w:rsidR="00F603A3">
        <w:rPr>
          <w:lang w:val="en-CA"/>
        </w:rPr>
        <w:t>earlier</w:t>
      </w:r>
      <w:r w:rsidR="00F603A3" w:rsidRPr="00E02273">
        <w:rPr>
          <w:lang w:val="en-CA"/>
        </w:rPr>
        <w:t xml:space="preserve"> </w:t>
      </w:r>
      <w:r w:rsidRPr="00E02273">
        <w:rPr>
          <w:lang w:val="en-CA"/>
        </w:rPr>
        <w:t>prohibition against obtaining a patent on medicines</w:t>
      </w:r>
      <w:r w:rsidR="009F0E8E" w:rsidRPr="00E02273">
        <w:rPr>
          <w:lang w:val="en-CA"/>
        </w:rPr>
        <w:t xml:space="preserve"> was eliminated</w:t>
      </w:r>
      <w:r w:rsidRPr="00E02273">
        <w:rPr>
          <w:lang w:val="en-CA"/>
        </w:rPr>
        <w:t>;</w:t>
      </w:r>
      <w:r w:rsidR="002D51A4" w:rsidRPr="00E02273">
        <w:rPr>
          <w:rStyle w:val="Appelnotedebasdep"/>
          <w:lang w:val="en-CA"/>
        </w:rPr>
        <w:footnoteReference w:id="33"/>
      </w:r>
    </w:p>
    <w:p w14:paraId="61406B2E" w14:textId="2475B2C9" w:rsidR="00B568AD" w:rsidRPr="00E02273" w:rsidRDefault="009F0E8E" w:rsidP="00B568AD">
      <w:pPr>
        <w:pStyle w:val="Paragraphe"/>
        <w:numPr>
          <w:ilvl w:val="0"/>
          <w:numId w:val="20"/>
        </w:numPr>
        <w:spacing w:line="240" w:lineRule="auto"/>
        <w:ind w:left="1134"/>
        <w:rPr>
          <w:lang w:val="en-CA"/>
        </w:rPr>
      </w:pPr>
      <w:r w:rsidRPr="00E02273">
        <w:rPr>
          <w:lang w:val="en-CA"/>
        </w:rPr>
        <w:t>The compulsory licen</w:t>
      </w:r>
      <w:r w:rsidR="00A27151" w:rsidRPr="00E02273">
        <w:rPr>
          <w:lang w:val="en-CA"/>
        </w:rPr>
        <w:t>sing</w:t>
      </w:r>
      <w:r w:rsidRPr="00E02273">
        <w:rPr>
          <w:lang w:val="en-CA"/>
        </w:rPr>
        <w:t xml:space="preserve"> </w:t>
      </w:r>
      <w:r w:rsidR="00A27151" w:rsidRPr="00E02273">
        <w:rPr>
          <w:lang w:val="en-CA"/>
        </w:rPr>
        <w:t>regime</w:t>
      </w:r>
      <w:r w:rsidRPr="00E02273">
        <w:rPr>
          <w:lang w:val="en-CA"/>
        </w:rPr>
        <w:t xml:space="preserve"> was amended to provide</w:t>
      </w:r>
      <w:r w:rsidR="009F712F" w:rsidRPr="00E02273">
        <w:rPr>
          <w:lang w:val="en-CA"/>
        </w:rPr>
        <w:t xml:space="preserve"> patentees </w:t>
      </w:r>
      <w:r w:rsidR="00A86FD0">
        <w:rPr>
          <w:lang w:val="en-CA"/>
        </w:rPr>
        <w:t xml:space="preserve">with </w:t>
      </w:r>
      <w:r w:rsidR="009F712F" w:rsidRPr="00E02273">
        <w:rPr>
          <w:lang w:val="en-CA"/>
        </w:rPr>
        <w:t xml:space="preserve">an exclusivity period of </w:t>
      </w:r>
      <w:r w:rsidR="002D51A4" w:rsidRPr="00E02273">
        <w:rPr>
          <w:lang w:val="en-CA"/>
        </w:rPr>
        <w:t xml:space="preserve">7 </w:t>
      </w:r>
      <w:r w:rsidR="009F712F" w:rsidRPr="00E02273">
        <w:rPr>
          <w:lang w:val="en-CA"/>
        </w:rPr>
        <w:t>to</w:t>
      </w:r>
      <w:r w:rsidR="002D51A4" w:rsidRPr="00E02273">
        <w:rPr>
          <w:lang w:val="en-CA"/>
        </w:rPr>
        <w:t xml:space="preserve"> 10 </w:t>
      </w:r>
      <w:r w:rsidR="009F712F" w:rsidRPr="00E02273">
        <w:rPr>
          <w:lang w:val="en-CA"/>
        </w:rPr>
        <w:t xml:space="preserve">years </w:t>
      </w:r>
      <w:r w:rsidR="004A57BC">
        <w:rPr>
          <w:lang w:val="en-CA"/>
        </w:rPr>
        <w:t>from</w:t>
      </w:r>
      <w:r w:rsidR="009F712F" w:rsidRPr="00E02273">
        <w:rPr>
          <w:lang w:val="en-CA"/>
        </w:rPr>
        <w:t xml:space="preserve"> the date of the </w:t>
      </w:r>
      <w:r w:rsidR="002D51A4" w:rsidRPr="00E02273">
        <w:rPr>
          <w:lang w:val="en-CA"/>
        </w:rPr>
        <w:t>notice</w:t>
      </w:r>
      <w:r w:rsidR="009F712F" w:rsidRPr="00E02273">
        <w:rPr>
          <w:lang w:val="en-CA"/>
        </w:rPr>
        <w:t xml:space="preserve"> </w:t>
      </w:r>
      <w:r w:rsidR="002D51A4" w:rsidRPr="00E02273">
        <w:rPr>
          <w:lang w:val="en-CA"/>
        </w:rPr>
        <w:t>of</w:t>
      </w:r>
      <w:r w:rsidR="009F712F" w:rsidRPr="00E02273">
        <w:rPr>
          <w:lang w:val="en-CA"/>
        </w:rPr>
        <w:t xml:space="preserve"> </w:t>
      </w:r>
      <w:r w:rsidR="002D51A4" w:rsidRPr="00E02273">
        <w:rPr>
          <w:lang w:val="en-CA"/>
        </w:rPr>
        <w:t>compliance</w:t>
      </w:r>
      <w:r w:rsidR="009F712F" w:rsidRPr="00E02273">
        <w:rPr>
          <w:lang w:val="en-CA"/>
        </w:rPr>
        <w:t xml:space="preserve"> for the medicine in question in accordance with the regulations established under the </w:t>
      </w:r>
      <w:r w:rsidR="009F712F" w:rsidRPr="00E02273">
        <w:rPr>
          <w:i/>
          <w:lang w:val="en-CA"/>
        </w:rPr>
        <w:t>Food and Drugs Act</w:t>
      </w:r>
      <w:r w:rsidR="009F712F" w:rsidRPr="00E02273">
        <w:rPr>
          <w:lang w:val="en-CA"/>
        </w:rPr>
        <w:t>;</w:t>
      </w:r>
      <w:r w:rsidR="002D51A4" w:rsidRPr="00E02273">
        <w:rPr>
          <w:rStyle w:val="Appelnotedebasdep"/>
          <w:lang w:val="en-CA"/>
        </w:rPr>
        <w:footnoteReference w:id="34"/>
      </w:r>
      <w:r w:rsidR="004A57BC">
        <w:rPr>
          <w:lang w:val="en-CA"/>
        </w:rPr>
        <w:t xml:space="preserve"> and</w:t>
      </w:r>
    </w:p>
    <w:p w14:paraId="7F5CB72C" w14:textId="7C3455F1" w:rsidR="00B568AD" w:rsidRPr="00E02273" w:rsidRDefault="009F712F" w:rsidP="00B568AD">
      <w:pPr>
        <w:pStyle w:val="Paragraphe"/>
        <w:numPr>
          <w:ilvl w:val="0"/>
          <w:numId w:val="20"/>
        </w:numPr>
        <w:spacing w:line="240" w:lineRule="auto"/>
        <w:ind w:left="1134"/>
        <w:rPr>
          <w:lang w:val="en-CA"/>
        </w:rPr>
      </w:pPr>
      <w:r w:rsidRPr="00E02273">
        <w:rPr>
          <w:lang w:val="en-CA"/>
        </w:rPr>
        <w:t xml:space="preserve">The </w:t>
      </w:r>
      <w:r w:rsidRPr="00C23B33">
        <w:rPr>
          <w:rFonts w:ascii="Helvetica" w:hAnsi="Helvetica" w:cs="Helvetica"/>
          <w:shd w:val="clear" w:color="auto" w:fill="FFFFFF"/>
          <w:lang w:val="en-CA"/>
        </w:rPr>
        <w:t>Patented Medicine Prices Review Board</w:t>
      </w:r>
      <w:r w:rsidRPr="00A86FD0">
        <w:rPr>
          <w:lang w:val="en-CA"/>
        </w:rPr>
        <w:t xml:space="preserve"> </w:t>
      </w:r>
      <w:r w:rsidR="00815FAE" w:rsidRPr="00E02273">
        <w:rPr>
          <w:lang w:val="en-CA"/>
        </w:rPr>
        <w:t>was established; its primary function was to manage the compulsory licensing system to ensure that patented medicines were not sold at excessive prices;</w:t>
      </w:r>
      <w:r w:rsidR="002D51A4" w:rsidRPr="00E02273">
        <w:rPr>
          <w:rStyle w:val="Appelnotedebasdep"/>
          <w:lang w:val="en-CA"/>
        </w:rPr>
        <w:footnoteReference w:id="35"/>
      </w:r>
      <w:r w:rsidR="002D51A4" w:rsidRPr="00E02273">
        <w:rPr>
          <w:lang w:val="en-CA"/>
        </w:rPr>
        <w:t xml:space="preserve"> </w:t>
      </w:r>
      <w:r w:rsidR="001F7655" w:rsidRPr="00E02273">
        <w:rPr>
          <w:lang w:val="en-CA"/>
        </w:rPr>
        <w:t xml:space="preserve">a new excessive price control </w:t>
      </w:r>
      <w:r w:rsidR="00A27151" w:rsidRPr="00E02273">
        <w:rPr>
          <w:lang w:val="en-CA"/>
        </w:rPr>
        <w:t>regime</w:t>
      </w:r>
      <w:r w:rsidR="001F7655" w:rsidRPr="00E02273">
        <w:rPr>
          <w:lang w:val="en-CA"/>
        </w:rPr>
        <w:t xml:space="preserve"> was established under </w:t>
      </w:r>
      <w:r w:rsidR="00B20268" w:rsidRPr="00E02273">
        <w:rPr>
          <w:lang w:val="en-CA"/>
        </w:rPr>
        <w:t xml:space="preserve">the Board’s direction, in addition to the compulsory licensing </w:t>
      </w:r>
      <w:r w:rsidR="00A27151" w:rsidRPr="00E02273">
        <w:rPr>
          <w:lang w:val="en-CA"/>
        </w:rPr>
        <w:t>regime</w:t>
      </w:r>
      <w:r w:rsidR="00B20268" w:rsidRPr="00E02273">
        <w:rPr>
          <w:lang w:val="en-CA"/>
        </w:rPr>
        <w:t>.</w:t>
      </w:r>
      <w:r w:rsidR="002D51A4" w:rsidRPr="00E02273">
        <w:rPr>
          <w:rStyle w:val="Appelnotedebasdep"/>
          <w:lang w:val="en-CA"/>
        </w:rPr>
        <w:footnoteReference w:id="36"/>
      </w:r>
    </w:p>
    <w:p w14:paraId="22EC0FAB" w14:textId="77E5BF3F" w:rsidR="00B568AD" w:rsidRPr="00E02273" w:rsidRDefault="00BC2BDA" w:rsidP="00EF404D">
      <w:pPr>
        <w:pStyle w:val="Paragraphe"/>
        <w:tabs>
          <w:tab w:val="num" w:pos="709"/>
        </w:tabs>
        <w:spacing w:line="240" w:lineRule="auto"/>
        <w:ind w:left="0"/>
        <w:rPr>
          <w:lang w:val="en-CA"/>
        </w:rPr>
      </w:pPr>
      <w:r w:rsidRPr="00E02273">
        <w:rPr>
          <w:lang w:val="en-CA"/>
        </w:rPr>
        <w:t xml:space="preserve">Thus, while these </w:t>
      </w:r>
      <w:r w:rsidR="002D51A4" w:rsidRPr="00E02273">
        <w:rPr>
          <w:lang w:val="en-CA"/>
        </w:rPr>
        <w:t>legislative</w:t>
      </w:r>
      <w:r w:rsidRPr="00E02273">
        <w:rPr>
          <w:lang w:val="en-CA"/>
        </w:rPr>
        <w:t xml:space="preserve"> </w:t>
      </w:r>
      <w:r w:rsidR="002D51A4" w:rsidRPr="00E02273">
        <w:rPr>
          <w:lang w:val="en-CA"/>
        </w:rPr>
        <w:t>amendments</w:t>
      </w:r>
      <w:r w:rsidRPr="00E02273">
        <w:rPr>
          <w:lang w:val="en-CA"/>
        </w:rPr>
        <w:t xml:space="preserve"> substantially increased the </w:t>
      </w:r>
      <w:r w:rsidR="002D51A4" w:rsidRPr="00E02273">
        <w:rPr>
          <w:lang w:val="en-CA"/>
        </w:rPr>
        <w:t>rights</w:t>
      </w:r>
      <w:r w:rsidRPr="00E02273">
        <w:rPr>
          <w:lang w:val="en-CA"/>
        </w:rPr>
        <w:t xml:space="preserve"> of patentees, they also introduced a new regulatory price control </w:t>
      </w:r>
      <w:r w:rsidR="00A27151" w:rsidRPr="00E02273">
        <w:rPr>
          <w:lang w:val="en-CA"/>
        </w:rPr>
        <w:t>regime</w:t>
      </w:r>
      <w:r w:rsidRPr="00E02273">
        <w:rPr>
          <w:lang w:val="en-CA"/>
        </w:rPr>
        <w:t xml:space="preserve">. To ensure its </w:t>
      </w:r>
      <w:r w:rsidR="002D51A4" w:rsidRPr="00E02273">
        <w:rPr>
          <w:lang w:val="en-CA"/>
        </w:rPr>
        <w:t>implementation,</w:t>
      </w:r>
      <w:r w:rsidR="00044D7D" w:rsidRPr="00E02273">
        <w:rPr>
          <w:lang w:val="en-CA"/>
        </w:rPr>
        <w:t xml:space="preserve"> patentees were </w:t>
      </w:r>
      <w:r w:rsidR="00A86FD0">
        <w:rPr>
          <w:lang w:val="en-CA"/>
        </w:rPr>
        <w:t>now</w:t>
      </w:r>
      <w:r w:rsidR="00A86FD0" w:rsidRPr="00E02273">
        <w:rPr>
          <w:lang w:val="en-CA"/>
        </w:rPr>
        <w:t xml:space="preserve"> </w:t>
      </w:r>
      <w:r w:rsidR="00044D7D" w:rsidRPr="00E02273">
        <w:rPr>
          <w:lang w:val="en-CA"/>
        </w:rPr>
        <w:t xml:space="preserve">required to provide the Board with information concerning the </w:t>
      </w:r>
      <w:r w:rsidR="008E23BF" w:rsidRPr="00E02273">
        <w:rPr>
          <w:lang w:val="en-CA"/>
        </w:rPr>
        <w:t xml:space="preserve">price at which </w:t>
      </w:r>
      <w:r w:rsidR="00044D7D" w:rsidRPr="00E02273">
        <w:rPr>
          <w:lang w:val="en-CA"/>
        </w:rPr>
        <w:t xml:space="preserve">the medicine </w:t>
      </w:r>
      <w:r w:rsidR="008E23BF" w:rsidRPr="00E02273">
        <w:rPr>
          <w:lang w:val="en-CA"/>
        </w:rPr>
        <w:t xml:space="preserve">was sold </w:t>
      </w:r>
      <w:r w:rsidR="00044D7D" w:rsidRPr="00E02273">
        <w:rPr>
          <w:lang w:val="en-CA"/>
        </w:rPr>
        <w:t xml:space="preserve">both in </w:t>
      </w:r>
      <w:r w:rsidR="002D51A4" w:rsidRPr="00E02273">
        <w:rPr>
          <w:lang w:val="en-CA"/>
        </w:rPr>
        <w:t xml:space="preserve">Canada </w:t>
      </w:r>
      <w:r w:rsidR="00044D7D" w:rsidRPr="00E02273">
        <w:rPr>
          <w:lang w:val="en-CA"/>
        </w:rPr>
        <w:t xml:space="preserve">and </w:t>
      </w:r>
      <w:r w:rsidR="008E23BF" w:rsidRPr="00E02273">
        <w:rPr>
          <w:lang w:val="en-CA"/>
        </w:rPr>
        <w:t>elsewhere</w:t>
      </w:r>
      <w:r w:rsidR="002D51A4" w:rsidRPr="00E02273">
        <w:rPr>
          <w:lang w:val="en-CA"/>
        </w:rPr>
        <w:t xml:space="preserve">, </w:t>
      </w:r>
      <w:r w:rsidR="00044D7D" w:rsidRPr="00E02273">
        <w:rPr>
          <w:lang w:val="en-CA"/>
        </w:rPr>
        <w:t>on revenue</w:t>
      </w:r>
      <w:r w:rsidR="00B54902" w:rsidRPr="00E02273">
        <w:rPr>
          <w:lang w:val="en-CA"/>
        </w:rPr>
        <w:t xml:space="preserve">s from sales of </w:t>
      </w:r>
      <w:r w:rsidR="008E23BF" w:rsidRPr="00E02273">
        <w:rPr>
          <w:lang w:val="en-CA"/>
        </w:rPr>
        <w:t xml:space="preserve">the </w:t>
      </w:r>
      <w:r w:rsidR="00B54902" w:rsidRPr="00E02273">
        <w:rPr>
          <w:lang w:val="en-CA"/>
        </w:rPr>
        <w:t xml:space="preserve">medicine in </w:t>
      </w:r>
      <w:r w:rsidR="002D51A4" w:rsidRPr="00E02273">
        <w:rPr>
          <w:lang w:val="en-CA"/>
        </w:rPr>
        <w:t>Canada,</w:t>
      </w:r>
      <w:r w:rsidR="00B54902" w:rsidRPr="00E02273">
        <w:rPr>
          <w:lang w:val="en-CA"/>
        </w:rPr>
        <w:t xml:space="preserve"> and on the cost of</w:t>
      </w:r>
      <w:r w:rsidR="00D6695C" w:rsidRPr="00E02273">
        <w:rPr>
          <w:lang w:val="en-CA"/>
        </w:rPr>
        <w:t xml:space="preserve"> making</w:t>
      </w:r>
      <w:r w:rsidR="00B54902" w:rsidRPr="00E02273">
        <w:rPr>
          <w:lang w:val="en-CA"/>
        </w:rPr>
        <w:t xml:space="preserve"> and marketing </w:t>
      </w:r>
      <w:r w:rsidR="008E23BF" w:rsidRPr="00E02273">
        <w:rPr>
          <w:lang w:val="en-CA"/>
        </w:rPr>
        <w:t xml:space="preserve">the medicine </w:t>
      </w:r>
      <w:r w:rsidR="00B54902" w:rsidRPr="00E02273">
        <w:rPr>
          <w:lang w:val="en-CA"/>
        </w:rPr>
        <w:t xml:space="preserve">in </w:t>
      </w:r>
      <w:r w:rsidR="002D51A4" w:rsidRPr="00E02273">
        <w:rPr>
          <w:lang w:val="en-CA"/>
        </w:rPr>
        <w:t>Canada</w:t>
      </w:r>
      <w:r w:rsidR="00B54902" w:rsidRPr="00E02273">
        <w:rPr>
          <w:lang w:val="en-CA"/>
        </w:rPr>
        <w:t>.</w:t>
      </w:r>
      <w:r w:rsidR="002D51A4" w:rsidRPr="00E02273">
        <w:rPr>
          <w:rStyle w:val="Appelnotedebasdep"/>
          <w:lang w:val="en-CA"/>
        </w:rPr>
        <w:footnoteReference w:id="37"/>
      </w:r>
      <w:r w:rsidR="002D51A4" w:rsidRPr="00E02273">
        <w:rPr>
          <w:lang w:val="en-CA"/>
        </w:rPr>
        <w:t xml:space="preserve"> </w:t>
      </w:r>
    </w:p>
    <w:p w14:paraId="5521D030" w14:textId="17861BA8" w:rsidR="00B568AD" w:rsidRPr="00E02273" w:rsidRDefault="007649DB" w:rsidP="00EF404D">
      <w:pPr>
        <w:pStyle w:val="Paragraphe"/>
        <w:tabs>
          <w:tab w:val="num" w:pos="709"/>
        </w:tabs>
        <w:spacing w:line="240" w:lineRule="auto"/>
        <w:ind w:left="0"/>
        <w:rPr>
          <w:lang w:val="en-CA"/>
        </w:rPr>
      </w:pPr>
      <w:r w:rsidRPr="00E02273">
        <w:rPr>
          <w:lang w:val="en-CA"/>
        </w:rPr>
        <w:t xml:space="preserve">If the Board was of the view that a medicine related to a patented invention was sold at an </w:t>
      </w:r>
      <w:r w:rsidR="008E23BF" w:rsidRPr="00E02273">
        <w:rPr>
          <w:lang w:val="en-CA"/>
        </w:rPr>
        <w:t xml:space="preserve">excessive price, it could then </w:t>
      </w:r>
      <w:r w:rsidR="0038219C">
        <w:rPr>
          <w:lang w:val="en-CA"/>
        </w:rPr>
        <w:t>allow</w:t>
      </w:r>
      <w:r w:rsidR="0038219C" w:rsidRPr="00E02273">
        <w:rPr>
          <w:lang w:val="en-CA"/>
        </w:rPr>
        <w:t xml:space="preserve"> </w:t>
      </w:r>
      <w:r w:rsidR="008E23BF" w:rsidRPr="00E02273">
        <w:rPr>
          <w:lang w:val="en-CA"/>
        </w:rPr>
        <w:t xml:space="preserve">compulsory licences for the medicine </w:t>
      </w:r>
      <w:r w:rsidR="0038219C">
        <w:rPr>
          <w:lang w:val="en-CA"/>
        </w:rPr>
        <w:t xml:space="preserve">to be issued </w:t>
      </w:r>
      <w:r w:rsidR="008E23BF" w:rsidRPr="00E02273">
        <w:rPr>
          <w:lang w:val="en-CA"/>
        </w:rPr>
        <w:t>or order th</w:t>
      </w:r>
      <w:r w:rsidR="000F0EA0" w:rsidRPr="00E02273">
        <w:rPr>
          <w:lang w:val="en-CA"/>
        </w:rPr>
        <w:t>e</w:t>
      </w:r>
      <w:r w:rsidR="008E23BF" w:rsidRPr="00E02273">
        <w:rPr>
          <w:lang w:val="en-CA"/>
        </w:rPr>
        <w:t xml:space="preserve"> patentee to reduce its price</w:t>
      </w:r>
      <w:r w:rsidR="000F0EA0" w:rsidRPr="00E02273">
        <w:rPr>
          <w:lang w:val="en-CA"/>
        </w:rPr>
        <w:t xml:space="preserve"> “so that the maximum price at which the medicine is sold … is not, in the opinion of the Board, excessive”.</w:t>
      </w:r>
      <w:r w:rsidR="002D51A4" w:rsidRPr="00E02273">
        <w:rPr>
          <w:rStyle w:val="Appelnotedebasdep"/>
          <w:lang w:val="en-CA"/>
        </w:rPr>
        <w:footnoteReference w:id="38"/>
      </w:r>
      <w:r w:rsidR="002D51A4" w:rsidRPr="00E02273">
        <w:rPr>
          <w:lang w:val="en-CA"/>
        </w:rPr>
        <w:t xml:space="preserve"> </w:t>
      </w:r>
    </w:p>
    <w:p w14:paraId="0D3C9CB4" w14:textId="75A644D5" w:rsidR="00B568AD" w:rsidRPr="00E02273" w:rsidRDefault="00200924" w:rsidP="00EF404D">
      <w:pPr>
        <w:pStyle w:val="Paragraphe"/>
        <w:tabs>
          <w:tab w:val="num" w:pos="709"/>
        </w:tabs>
        <w:spacing w:line="240" w:lineRule="auto"/>
        <w:ind w:left="0"/>
        <w:rPr>
          <w:lang w:val="en-CA"/>
        </w:rPr>
      </w:pPr>
      <w:r w:rsidRPr="00E02273">
        <w:rPr>
          <w:lang w:val="en-CA"/>
        </w:rPr>
        <w:lastRenderedPageBreak/>
        <w:t>The relevant factors allowing the Board to determine whether a medicine sold in any market in Canada is being or has been sold at an excessive price are the following:</w:t>
      </w:r>
      <w:r w:rsidR="002D51A4" w:rsidRPr="00E02273">
        <w:rPr>
          <w:rStyle w:val="Appelnotedebasdep"/>
          <w:lang w:val="en-CA"/>
        </w:rPr>
        <w:footnoteReference w:id="39"/>
      </w:r>
      <w:r w:rsidRPr="00E02273">
        <w:rPr>
          <w:lang w:val="en-CA"/>
        </w:rPr>
        <w:t xml:space="preserve"> </w:t>
      </w:r>
      <w:r w:rsidR="002D51A4" w:rsidRPr="00E02273">
        <w:rPr>
          <w:lang w:val="en-CA"/>
        </w:rPr>
        <w:t xml:space="preserve"> </w:t>
      </w:r>
    </w:p>
    <w:p w14:paraId="69546201" w14:textId="7C4E355A" w:rsidR="00B568AD" w:rsidRPr="00E02273" w:rsidRDefault="00E92EBC" w:rsidP="00EF404D">
      <w:pPr>
        <w:pStyle w:val="Paragraphe"/>
        <w:numPr>
          <w:ilvl w:val="0"/>
          <w:numId w:val="48"/>
        </w:numPr>
        <w:spacing w:line="240" w:lineRule="auto"/>
        <w:rPr>
          <w:lang w:val="en-CA"/>
        </w:rPr>
      </w:pPr>
      <w:r w:rsidRPr="00E02273">
        <w:rPr>
          <w:lang w:val="en-CA"/>
        </w:rPr>
        <w:t>the prices at which the patentee sold the medicine during the previous five years</w:t>
      </w:r>
      <w:r w:rsidR="002D51A4" w:rsidRPr="00E02273">
        <w:rPr>
          <w:lang w:val="en-CA"/>
        </w:rPr>
        <w:t xml:space="preserve">; </w:t>
      </w:r>
    </w:p>
    <w:p w14:paraId="6540BE8A" w14:textId="1868F10B" w:rsidR="00B568AD" w:rsidRPr="00E02273" w:rsidRDefault="00200924" w:rsidP="00C410DB">
      <w:pPr>
        <w:pStyle w:val="Paragraphe"/>
        <w:numPr>
          <w:ilvl w:val="0"/>
          <w:numId w:val="48"/>
        </w:numPr>
        <w:spacing w:line="240" w:lineRule="auto"/>
        <w:rPr>
          <w:lang w:val="en-CA"/>
        </w:rPr>
      </w:pPr>
      <w:r w:rsidRPr="00E02273">
        <w:rPr>
          <w:lang w:val="en-CA"/>
        </w:rPr>
        <w:t xml:space="preserve">the prices </w:t>
      </w:r>
      <w:r w:rsidR="00414DCB" w:rsidRPr="00E02273">
        <w:rPr>
          <w:lang w:val="en-CA"/>
        </w:rPr>
        <w:t xml:space="preserve">of </w:t>
      </w:r>
      <w:r w:rsidRPr="00E02273">
        <w:rPr>
          <w:lang w:val="en-CA"/>
        </w:rPr>
        <w:t xml:space="preserve">other medicines in the same therapeutic class sold during </w:t>
      </w:r>
      <w:r w:rsidR="00414DCB" w:rsidRPr="00E02273">
        <w:rPr>
          <w:lang w:val="en-CA"/>
        </w:rPr>
        <w:t>the previous five years</w:t>
      </w:r>
      <w:r w:rsidRPr="00E02273">
        <w:rPr>
          <w:lang w:val="en-CA"/>
        </w:rPr>
        <w:t>;</w:t>
      </w:r>
      <w:r w:rsidR="002D51A4" w:rsidRPr="00E02273">
        <w:rPr>
          <w:lang w:val="en-CA"/>
        </w:rPr>
        <w:t xml:space="preserve"> </w:t>
      </w:r>
    </w:p>
    <w:p w14:paraId="7FBDAA99" w14:textId="77777777" w:rsidR="00C410DB" w:rsidRPr="00E02273" w:rsidRDefault="00414DCB" w:rsidP="00C410DB">
      <w:pPr>
        <w:pStyle w:val="Paragraphe"/>
        <w:numPr>
          <w:ilvl w:val="0"/>
          <w:numId w:val="48"/>
        </w:numPr>
        <w:spacing w:line="240" w:lineRule="auto"/>
        <w:rPr>
          <w:lang w:val="en-CA"/>
        </w:rPr>
      </w:pPr>
      <w:r w:rsidRPr="00E02273">
        <w:rPr>
          <w:lang w:val="en-CA"/>
        </w:rPr>
        <w:t xml:space="preserve">the prices at which the medicine and other medicines in the same therapeutic class were sold in countries other than </w:t>
      </w:r>
      <w:r w:rsidR="002D51A4" w:rsidRPr="00E02273">
        <w:rPr>
          <w:lang w:val="en-CA"/>
        </w:rPr>
        <w:t xml:space="preserve">Canada </w:t>
      </w:r>
      <w:r w:rsidRPr="00E02273">
        <w:rPr>
          <w:lang w:val="en-CA"/>
        </w:rPr>
        <w:t>du</w:t>
      </w:r>
      <w:r w:rsidR="00B637E1" w:rsidRPr="00E02273">
        <w:rPr>
          <w:lang w:val="en-CA"/>
        </w:rPr>
        <w:t>r</w:t>
      </w:r>
      <w:r w:rsidRPr="00E02273">
        <w:rPr>
          <w:lang w:val="en-CA"/>
        </w:rPr>
        <w:t>ing the previous five years</w:t>
      </w:r>
      <w:r w:rsidR="002D51A4" w:rsidRPr="00E02273">
        <w:rPr>
          <w:lang w:val="en-CA"/>
        </w:rPr>
        <w:t xml:space="preserve">; </w:t>
      </w:r>
      <w:r w:rsidR="00200924" w:rsidRPr="00E02273">
        <w:rPr>
          <w:lang w:val="en-CA"/>
        </w:rPr>
        <w:t>and</w:t>
      </w:r>
    </w:p>
    <w:p w14:paraId="0398A0AD" w14:textId="100F2624" w:rsidR="00B568AD" w:rsidRPr="00E02273" w:rsidRDefault="00200924" w:rsidP="00C410DB">
      <w:pPr>
        <w:pStyle w:val="Paragraphe"/>
        <w:numPr>
          <w:ilvl w:val="0"/>
          <w:numId w:val="48"/>
        </w:numPr>
        <w:spacing w:line="240" w:lineRule="auto"/>
        <w:rPr>
          <w:lang w:val="en-CA"/>
        </w:rPr>
      </w:pPr>
      <w:r w:rsidRPr="00E02273">
        <w:rPr>
          <w:lang w:val="en-CA"/>
        </w:rPr>
        <w:t>the Consumer Price Index for Canada.</w:t>
      </w:r>
      <w:r w:rsidR="002D51A4" w:rsidRPr="00E02273">
        <w:rPr>
          <w:lang w:val="en-CA"/>
        </w:rPr>
        <w:t xml:space="preserve"> </w:t>
      </w:r>
    </w:p>
    <w:p w14:paraId="1158D11C" w14:textId="241EE969" w:rsidR="00B568AD" w:rsidRPr="00E02273" w:rsidRDefault="00B637E1" w:rsidP="00B568AD">
      <w:pPr>
        <w:pStyle w:val="Paragraphe"/>
        <w:numPr>
          <w:ilvl w:val="0"/>
          <w:numId w:val="0"/>
        </w:numPr>
        <w:spacing w:line="240" w:lineRule="auto"/>
        <w:rPr>
          <w:lang w:val="en-CA"/>
        </w:rPr>
      </w:pPr>
      <w:r w:rsidRPr="00E02273">
        <w:rPr>
          <w:lang w:val="en-CA"/>
        </w:rPr>
        <w:t xml:space="preserve">Where, after taking these factors into consideration, the Board was unable to determine whether the price was </w:t>
      </w:r>
      <w:r w:rsidR="002D51A4" w:rsidRPr="00E02273">
        <w:rPr>
          <w:lang w:val="en-CA"/>
        </w:rPr>
        <w:t>excessi</w:t>
      </w:r>
      <w:r w:rsidRPr="00E02273">
        <w:rPr>
          <w:lang w:val="en-CA"/>
        </w:rPr>
        <w:t>ve</w:t>
      </w:r>
      <w:r w:rsidR="002D51A4" w:rsidRPr="00E02273">
        <w:rPr>
          <w:lang w:val="en-CA"/>
        </w:rPr>
        <w:t xml:space="preserve">, </w:t>
      </w:r>
      <w:r w:rsidRPr="00E02273">
        <w:rPr>
          <w:lang w:val="en-CA"/>
        </w:rPr>
        <w:t xml:space="preserve">it could take into consideration the costs of making and marketing the medicine and other factors that it </w:t>
      </w:r>
      <w:r w:rsidR="0038219C">
        <w:rPr>
          <w:lang w:val="en-CA"/>
        </w:rPr>
        <w:t>deem</w:t>
      </w:r>
      <w:r w:rsidR="0038219C" w:rsidRPr="00E02273">
        <w:rPr>
          <w:lang w:val="en-CA"/>
        </w:rPr>
        <w:t xml:space="preserve">ed </w:t>
      </w:r>
      <w:r w:rsidR="002D51A4" w:rsidRPr="00E02273">
        <w:rPr>
          <w:lang w:val="en-CA"/>
        </w:rPr>
        <w:t>relevant</w:t>
      </w:r>
      <w:r w:rsidR="004C6B29" w:rsidRPr="00E02273">
        <w:rPr>
          <w:lang w:val="en-CA"/>
        </w:rPr>
        <w:t xml:space="preserve"> or that were prescribed by regulation.</w:t>
      </w:r>
      <w:r w:rsidR="002D51A4" w:rsidRPr="00E02273">
        <w:rPr>
          <w:rStyle w:val="Appelnotedebasdep"/>
          <w:lang w:val="en-CA"/>
        </w:rPr>
        <w:footnoteReference w:id="40"/>
      </w:r>
    </w:p>
    <w:p w14:paraId="175AE4DC" w14:textId="60DE154D" w:rsidR="00B568AD" w:rsidRPr="00E02273" w:rsidRDefault="00BB68A0" w:rsidP="004A697C">
      <w:pPr>
        <w:pStyle w:val="Paragraphe"/>
        <w:tabs>
          <w:tab w:val="clear" w:pos="4973"/>
          <w:tab w:val="num" w:pos="709"/>
        </w:tabs>
        <w:spacing w:line="240" w:lineRule="auto"/>
        <w:ind w:left="0"/>
        <w:rPr>
          <w:lang w:val="en-CA"/>
        </w:rPr>
      </w:pPr>
      <w:r w:rsidRPr="00E02273">
        <w:rPr>
          <w:lang w:val="en-CA"/>
        </w:rPr>
        <w:t xml:space="preserve">These are essentially the same factors </w:t>
      </w:r>
      <w:r w:rsidR="00006A65" w:rsidRPr="00E02273">
        <w:rPr>
          <w:lang w:val="en-CA"/>
        </w:rPr>
        <w:t xml:space="preserve">as those set out in the </w:t>
      </w:r>
      <w:r w:rsidR="00006A65" w:rsidRPr="00E02273">
        <w:rPr>
          <w:i/>
          <w:lang w:val="en-CA"/>
        </w:rPr>
        <w:t xml:space="preserve">Patent Act </w:t>
      </w:r>
      <w:r w:rsidR="00006A65" w:rsidRPr="00E02273">
        <w:rPr>
          <w:lang w:val="en-CA"/>
        </w:rPr>
        <w:t>in its current form.</w:t>
      </w:r>
      <w:r w:rsidR="002D51A4" w:rsidRPr="00E02273">
        <w:rPr>
          <w:rStyle w:val="Appelnotedebasdep"/>
          <w:lang w:val="en-CA"/>
        </w:rPr>
        <w:footnoteReference w:id="41"/>
      </w:r>
      <w:r w:rsidR="002D51A4" w:rsidRPr="00E02273">
        <w:rPr>
          <w:lang w:val="en-CA"/>
        </w:rPr>
        <w:t xml:space="preserve"> </w:t>
      </w:r>
    </w:p>
    <w:p w14:paraId="150A7C8E" w14:textId="6F3CCDA1" w:rsidR="00B568AD" w:rsidRPr="00E02273" w:rsidRDefault="00006A65" w:rsidP="004A697C">
      <w:pPr>
        <w:pStyle w:val="Paragraphe"/>
        <w:tabs>
          <w:tab w:val="clear" w:pos="4973"/>
          <w:tab w:val="num" w:pos="709"/>
        </w:tabs>
        <w:spacing w:line="240" w:lineRule="auto"/>
        <w:ind w:left="0"/>
        <w:rPr>
          <w:lang w:val="en-CA"/>
        </w:rPr>
      </w:pPr>
      <w:r w:rsidRPr="00E02273">
        <w:rPr>
          <w:lang w:val="en-CA"/>
        </w:rPr>
        <w:t xml:space="preserve">The constitutional validity of the 1987 legislative reform was also the subject of contestation, which the </w:t>
      </w:r>
      <w:r w:rsidR="002D51A4" w:rsidRPr="00E02273">
        <w:rPr>
          <w:lang w:val="en-CA"/>
        </w:rPr>
        <w:t xml:space="preserve">Manitoba </w:t>
      </w:r>
      <w:r w:rsidRPr="00E02273">
        <w:rPr>
          <w:lang w:val="en-CA"/>
        </w:rPr>
        <w:t xml:space="preserve">courts dismissed in </w:t>
      </w:r>
      <w:r w:rsidR="002D51A4" w:rsidRPr="00E02273">
        <w:rPr>
          <w:i/>
          <w:lang w:val="en-CA"/>
        </w:rPr>
        <w:t>Manitoba Society of Seniors</w:t>
      </w:r>
      <w:r w:rsidRPr="00E02273">
        <w:rPr>
          <w:lang w:val="en-CA"/>
        </w:rPr>
        <w:t>.</w:t>
      </w:r>
      <w:r w:rsidR="002D51A4" w:rsidRPr="00E02273">
        <w:rPr>
          <w:rStyle w:val="Appelnotedebasdep"/>
          <w:lang w:val="en-CA"/>
        </w:rPr>
        <w:footnoteReference w:id="42"/>
      </w:r>
      <w:r w:rsidR="002D51A4" w:rsidRPr="00E02273">
        <w:rPr>
          <w:lang w:val="en-CA"/>
        </w:rPr>
        <w:t xml:space="preserve"> </w:t>
      </w:r>
      <w:r w:rsidR="00200924" w:rsidRPr="00E02273">
        <w:rPr>
          <w:lang w:val="en-CA"/>
        </w:rPr>
        <w:t xml:space="preserve">I will </w:t>
      </w:r>
      <w:r w:rsidRPr="00E02273">
        <w:rPr>
          <w:lang w:val="en-CA"/>
        </w:rPr>
        <w:t xml:space="preserve">return </w:t>
      </w:r>
      <w:r w:rsidR="00200924" w:rsidRPr="00E02273">
        <w:rPr>
          <w:lang w:val="en-CA"/>
        </w:rPr>
        <w:t>to this as well.</w:t>
      </w:r>
    </w:p>
    <w:p w14:paraId="4E5902A4" w14:textId="43AA3BBD" w:rsidR="00B568AD" w:rsidRPr="00E02273" w:rsidRDefault="00FE2940" w:rsidP="00B568AD">
      <w:pPr>
        <w:pStyle w:val="Paragraphe"/>
        <w:numPr>
          <w:ilvl w:val="0"/>
          <w:numId w:val="0"/>
        </w:numPr>
        <w:spacing w:line="240" w:lineRule="auto"/>
        <w:ind w:left="1440"/>
        <w:rPr>
          <w:i/>
          <w:u w:val="single"/>
          <w:lang w:val="en-CA"/>
        </w:rPr>
      </w:pPr>
      <w:r w:rsidRPr="00E02273">
        <w:rPr>
          <w:i/>
          <w:u w:val="single"/>
          <w:lang w:val="en-CA"/>
        </w:rPr>
        <w:t xml:space="preserve">The </w:t>
      </w:r>
      <w:r w:rsidR="002D51A4" w:rsidRPr="00E02273">
        <w:rPr>
          <w:i/>
          <w:u w:val="single"/>
          <w:lang w:val="en-CA"/>
        </w:rPr>
        <w:t>1993</w:t>
      </w:r>
      <w:r w:rsidRPr="00E02273">
        <w:rPr>
          <w:i/>
          <w:u w:val="single"/>
          <w:lang w:val="en-CA"/>
        </w:rPr>
        <w:t xml:space="preserve"> Act</w:t>
      </w:r>
    </w:p>
    <w:p w14:paraId="47C72A1D" w14:textId="5C19E49B" w:rsidR="00B568AD" w:rsidRPr="00E02273" w:rsidRDefault="00267D63" w:rsidP="00C410DB">
      <w:pPr>
        <w:pStyle w:val="Paragraphe"/>
        <w:tabs>
          <w:tab w:val="num" w:pos="709"/>
        </w:tabs>
        <w:spacing w:line="240" w:lineRule="auto"/>
        <w:ind w:left="0"/>
        <w:rPr>
          <w:lang w:val="en-CA"/>
        </w:rPr>
      </w:pPr>
      <w:r w:rsidRPr="00E02273">
        <w:rPr>
          <w:lang w:val="en-CA"/>
        </w:rPr>
        <w:t>Another legislative re</w:t>
      </w:r>
      <w:r w:rsidR="002D51A4" w:rsidRPr="00E02273">
        <w:rPr>
          <w:lang w:val="en-CA"/>
        </w:rPr>
        <w:t>form</w:t>
      </w:r>
      <w:r w:rsidRPr="00E02273">
        <w:rPr>
          <w:lang w:val="en-CA"/>
        </w:rPr>
        <w:t xml:space="preserve"> was in</w:t>
      </w:r>
      <w:r w:rsidR="00FE2940" w:rsidRPr="00E02273">
        <w:rPr>
          <w:lang w:val="en-CA"/>
        </w:rPr>
        <w:t xml:space="preserve">troduced by the </w:t>
      </w:r>
      <w:r w:rsidR="00FE2940" w:rsidRPr="00E02273">
        <w:rPr>
          <w:i/>
          <w:lang w:val="en-CA"/>
        </w:rPr>
        <w:t>Patent Act Amendment Act, 1992</w:t>
      </w:r>
      <w:r w:rsidR="00FE2940" w:rsidRPr="00E02273">
        <w:rPr>
          <w:lang w:val="en-CA"/>
        </w:rPr>
        <w:t>,</w:t>
      </w:r>
      <w:r w:rsidR="002D51A4" w:rsidRPr="00E02273">
        <w:rPr>
          <w:rStyle w:val="Appelnotedebasdep"/>
          <w:lang w:val="en-CA"/>
        </w:rPr>
        <w:footnoteReference w:id="43"/>
      </w:r>
      <w:r w:rsidR="00FE2940" w:rsidRPr="00E02273">
        <w:rPr>
          <w:lang w:val="en-CA"/>
        </w:rPr>
        <w:t xml:space="preserve"> assented to on </w:t>
      </w:r>
      <w:r w:rsidR="002D51A4" w:rsidRPr="00E02273">
        <w:rPr>
          <w:lang w:val="en-CA"/>
        </w:rPr>
        <w:t>February</w:t>
      </w:r>
      <w:r w:rsidR="00FE2940" w:rsidRPr="00E02273">
        <w:rPr>
          <w:lang w:val="en-CA"/>
        </w:rPr>
        <w:t xml:space="preserve"> 4,</w:t>
      </w:r>
      <w:r w:rsidR="002D51A4" w:rsidRPr="00E02273">
        <w:rPr>
          <w:lang w:val="en-CA"/>
        </w:rPr>
        <w:t xml:space="preserve"> 1993. </w:t>
      </w:r>
      <w:r w:rsidR="00FE2940" w:rsidRPr="00E02273">
        <w:rPr>
          <w:lang w:val="en-CA"/>
        </w:rPr>
        <w:t xml:space="preserve">The </w:t>
      </w:r>
      <w:r w:rsidR="002D51A4" w:rsidRPr="00E02273">
        <w:rPr>
          <w:lang w:val="en-CA"/>
        </w:rPr>
        <w:t>enactment</w:t>
      </w:r>
      <w:r w:rsidR="00FE2940" w:rsidRPr="00E02273">
        <w:rPr>
          <w:lang w:val="en-CA"/>
        </w:rPr>
        <w:t xml:space="preserve">  of the 1993 </w:t>
      </w:r>
      <w:r w:rsidR="002D51A4" w:rsidRPr="00DB520B">
        <w:rPr>
          <w:i/>
          <w:lang w:val="en-CA"/>
        </w:rPr>
        <w:t>Act</w:t>
      </w:r>
      <w:r w:rsidR="00FE2940" w:rsidRPr="00E02273">
        <w:rPr>
          <w:lang w:val="en-CA"/>
        </w:rPr>
        <w:t xml:space="preserve"> coincided with Canada’s </w:t>
      </w:r>
      <w:r w:rsidR="002D51A4" w:rsidRPr="00E02273">
        <w:rPr>
          <w:lang w:val="en-CA"/>
        </w:rPr>
        <w:t xml:space="preserve">participation </w:t>
      </w:r>
      <w:r w:rsidR="00FE2940" w:rsidRPr="00E02273">
        <w:rPr>
          <w:lang w:val="en-CA"/>
        </w:rPr>
        <w:t xml:space="preserve">in several international </w:t>
      </w:r>
      <w:r w:rsidR="002D51A4" w:rsidRPr="00E02273">
        <w:rPr>
          <w:lang w:val="en-CA"/>
        </w:rPr>
        <w:t>commercial</w:t>
      </w:r>
      <w:r w:rsidR="00FE2940" w:rsidRPr="00E02273">
        <w:rPr>
          <w:lang w:val="en-CA"/>
        </w:rPr>
        <w:t xml:space="preserve"> negotiations, including those surro</w:t>
      </w:r>
      <w:r w:rsidR="007F5C81" w:rsidRPr="00E02273">
        <w:rPr>
          <w:lang w:val="en-CA"/>
        </w:rPr>
        <w:t>u</w:t>
      </w:r>
      <w:r w:rsidR="00FE2940" w:rsidRPr="00E02273">
        <w:rPr>
          <w:lang w:val="en-CA"/>
        </w:rPr>
        <w:t xml:space="preserve">nding the </w:t>
      </w:r>
      <w:r w:rsidR="00FE2940" w:rsidRPr="00E02273">
        <w:rPr>
          <w:i/>
          <w:iCs/>
          <w:lang w:val="en-CA"/>
        </w:rPr>
        <w:t>Agreement on Trade-Related Aspects of Intellectual Property Rights</w:t>
      </w:r>
      <w:r w:rsidR="002D51A4" w:rsidRPr="00E02273">
        <w:rPr>
          <w:rStyle w:val="Appelnotedebasdep"/>
          <w:lang w:val="en-CA"/>
        </w:rPr>
        <w:footnoteReference w:id="44"/>
      </w:r>
      <w:r w:rsidR="002D51A4" w:rsidRPr="00E02273">
        <w:rPr>
          <w:lang w:val="en-CA"/>
        </w:rPr>
        <w:t xml:space="preserve"> (</w:t>
      </w:r>
      <w:r w:rsidR="00FE2940" w:rsidRPr="00E02273">
        <w:rPr>
          <w:lang w:val="en-CA"/>
        </w:rPr>
        <w:t>“TRIPS”</w:t>
      </w:r>
      <w:r w:rsidR="002D51A4" w:rsidRPr="00E02273">
        <w:rPr>
          <w:lang w:val="en-CA"/>
        </w:rPr>
        <w:t>)</w:t>
      </w:r>
      <w:r w:rsidR="004504CF">
        <w:rPr>
          <w:lang w:val="en-CA"/>
        </w:rPr>
        <w:t>,</w:t>
      </w:r>
      <w:r w:rsidR="002D51A4" w:rsidRPr="00E02273">
        <w:rPr>
          <w:lang w:val="en-CA"/>
        </w:rPr>
        <w:t xml:space="preserve"> </w:t>
      </w:r>
      <w:r w:rsidR="00F71DEE" w:rsidRPr="00E02273">
        <w:rPr>
          <w:lang w:val="en-CA"/>
        </w:rPr>
        <w:t xml:space="preserve">adopted under the auspices of the World Trade Organization and the North </w:t>
      </w:r>
      <w:r w:rsidR="00F71DEE" w:rsidRPr="00E02273">
        <w:rPr>
          <w:lang w:val="en-CA"/>
        </w:rPr>
        <w:lastRenderedPageBreak/>
        <w:t>American Free Trade Agreement</w:t>
      </w:r>
      <w:r w:rsidR="002D51A4" w:rsidRPr="00E02273">
        <w:rPr>
          <w:rStyle w:val="Appelnotedebasdep"/>
          <w:lang w:val="en-CA"/>
        </w:rPr>
        <w:footnoteReference w:id="45"/>
      </w:r>
      <w:r w:rsidR="00F71DEE" w:rsidRPr="00E02273">
        <w:rPr>
          <w:lang w:val="en-CA"/>
        </w:rPr>
        <w:t xml:space="preserve"> (“NAFTA”)</w:t>
      </w:r>
      <w:r w:rsidR="002D51A4" w:rsidRPr="00E02273">
        <w:rPr>
          <w:lang w:val="en-CA"/>
        </w:rPr>
        <w:t xml:space="preserve">. </w:t>
      </w:r>
      <w:r w:rsidR="00001573" w:rsidRPr="00E02273">
        <w:rPr>
          <w:lang w:val="en-CA"/>
        </w:rPr>
        <w:t xml:space="preserve">The commercial </w:t>
      </w:r>
      <w:r w:rsidR="002D51A4" w:rsidRPr="00E02273">
        <w:rPr>
          <w:lang w:val="en-CA"/>
        </w:rPr>
        <w:t>obligations</w:t>
      </w:r>
      <w:r w:rsidR="00001573" w:rsidRPr="00E02273">
        <w:rPr>
          <w:lang w:val="en-CA"/>
        </w:rPr>
        <w:t xml:space="preserve"> that Canada committed to in the context of these ne</w:t>
      </w:r>
      <w:r w:rsidR="002D51A4" w:rsidRPr="00E02273">
        <w:rPr>
          <w:lang w:val="en-CA"/>
        </w:rPr>
        <w:t>go</w:t>
      </w:r>
      <w:r w:rsidR="00335917" w:rsidRPr="00E02273">
        <w:rPr>
          <w:lang w:val="en-CA"/>
        </w:rPr>
        <w:t>t</w:t>
      </w:r>
      <w:r w:rsidR="002D51A4" w:rsidRPr="00E02273">
        <w:rPr>
          <w:lang w:val="en-CA"/>
        </w:rPr>
        <w:t xml:space="preserve">iations </w:t>
      </w:r>
      <w:r w:rsidR="00001573" w:rsidRPr="00E02273">
        <w:rPr>
          <w:lang w:val="en-CA"/>
        </w:rPr>
        <w:t xml:space="preserve">were </w:t>
      </w:r>
      <w:r w:rsidR="004504CF">
        <w:rPr>
          <w:lang w:val="en-CA"/>
        </w:rPr>
        <w:t xml:space="preserve">then </w:t>
      </w:r>
      <w:r w:rsidR="002D51A4" w:rsidRPr="00E02273">
        <w:rPr>
          <w:lang w:val="en-CA"/>
        </w:rPr>
        <w:t>incompatible</w:t>
      </w:r>
      <w:r w:rsidR="00001573" w:rsidRPr="00E02273">
        <w:rPr>
          <w:lang w:val="en-CA"/>
        </w:rPr>
        <w:t xml:space="preserve"> with the compulsory licensing </w:t>
      </w:r>
      <w:r w:rsidR="00A27151" w:rsidRPr="00E02273">
        <w:rPr>
          <w:lang w:val="en-CA"/>
        </w:rPr>
        <w:t>regime</w:t>
      </w:r>
      <w:r w:rsidR="00001573" w:rsidRPr="00E02273">
        <w:rPr>
          <w:lang w:val="en-CA"/>
        </w:rPr>
        <w:t xml:space="preserve"> for patented medicines</w:t>
      </w:r>
      <w:r w:rsidR="002D51A4" w:rsidRPr="00E02273">
        <w:rPr>
          <w:lang w:val="en-CA"/>
        </w:rPr>
        <w:t>.</w:t>
      </w:r>
      <w:r w:rsidR="00001573" w:rsidRPr="00E02273">
        <w:rPr>
          <w:lang w:val="en-CA"/>
        </w:rPr>
        <w:t xml:space="preserve"> Accordingly, amen</w:t>
      </w:r>
      <w:r w:rsidR="00335917" w:rsidRPr="00E02273">
        <w:rPr>
          <w:lang w:val="en-CA"/>
        </w:rPr>
        <w:t>dment</w:t>
      </w:r>
      <w:r w:rsidR="00AE5044">
        <w:rPr>
          <w:lang w:val="en-CA"/>
        </w:rPr>
        <w:t>s</w:t>
      </w:r>
      <w:r w:rsidR="00335917" w:rsidRPr="00E02273">
        <w:rPr>
          <w:lang w:val="en-CA"/>
        </w:rPr>
        <w:t xml:space="preserve"> to </w:t>
      </w:r>
      <w:r w:rsidR="00001573" w:rsidRPr="00E02273">
        <w:rPr>
          <w:lang w:val="en-CA"/>
        </w:rPr>
        <w:t xml:space="preserve">the </w:t>
      </w:r>
      <w:r w:rsidR="00001573" w:rsidRPr="00E02273">
        <w:rPr>
          <w:i/>
          <w:lang w:val="en-CA"/>
        </w:rPr>
        <w:t xml:space="preserve">Patent Act </w:t>
      </w:r>
      <w:r w:rsidR="00335917" w:rsidRPr="00E02273">
        <w:rPr>
          <w:lang w:val="en-CA"/>
        </w:rPr>
        <w:t>were required to terminate it.</w:t>
      </w:r>
      <w:r w:rsidR="002D51A4" w:rsidRPr="00E02273">
        <w:rPr>
          <w:rStyle w:val="Appelnotedebasdep"/>
          <w:lang w:val="en-CA"/>
        </w:rPr>
        <w:footnoteReference w:id="46"/>
      </w:r>
      <w:r w:rsidR="002D51A4" w:rsidRPr="00E02273">
        <w:rPr>
          <w:lang w:val="en-CA"/>
        </w:rPr>
        <w:t xml:space="preserve"> </w:t>
      </w:r>
    </w:p>
    <w:p w14:paraId="3EA780E3" w14:textId="02C774A1" w:rsidR="00B568AD" w:rsidRPr="00E02273" w:rsidRDefault="00CB54BE" w:rsidP="00C410DB">
      <w:pPr>
        <w:pStyle w:val="Paragraphe"/>
        <w:tabs>
          <w:tab w:val="num" w:pos="709"/>
        </w:tabs>
        <w:spacing w:line="240" w:lineRule="auto"/>
        <w:ind w:left="0"/>
        <w:rPr>
          <w:lang w:val="en-CA"/>
        </w:rPr>
      </w:pPr>
      <w:r w:rsidRPr="00E02273">
        <w:rPr>
          <w:lang w:val="en-CA"/>
        </w:rPr>
        <w:t xml:space="preserve">Further to the </w:t>
      </w:r>
      <w:r w:rsidR="002D51A4" w:rsidRPr="00E02273">
        <w:rPr>
          <w:lang w:val="en-CA"/>
        </w:rPr>
        <w:t xml:space="preserve">abolition </w:t>
      </w:r>
      <w:r w:rsidRPr="00E02273">
        <w:rPr>
          <w:lang w:val="en-CA"/>
        </w:rPr>
        <w:t xml:space="preserve">of the compulsory licensing </w:t>
      </w:r>
      <w:r w:rsidR="00A27151" w:rsidRPr="00E02273">
        <w:rPr>
          <w:lang w:val="en-CA"/>
        </w:rPr>
        <w:t>regime</w:t>
      </w:r>
      <w:r w:rsidRPr="00E02273">
        <w:rPr>
          <w:lang w:val="en-CA"/>
        </w:rPr>
        <w:t xml:space="preserve">, the </w:t>
      </w:r>
      <w:r w:rsidR="00A27151" w:rsidRPr="00E02273">
        <w:rPr>
          <w:lang w:val="en-CA"/>
        </w:rPr>
        <w:t>regime</w:t>
      </w:r>
      <w:r w:rsidRPr="00E02273">
        <w:rPr>
          <w:lang w:val="en-CA"/>
        </w:rPr>
        <w:t xml:space="preserve"> managed by the Board was </w:t>
      </w:r>
      <w:r w:rsidR="004504CF">
        <w:rPr>
          <w:lang w:val="en-CA"/>
        </w:rPr>
        <w:t xml:space="preserve">now </w:t>
      </w:r>
      <w:r w:rsidRPr="00E02273">
        <w:rPr>
          <w:lang w:val="en-CA"/>
        </w:rPr>
        <w:t xml:space="preserve">limited to controlling excessive prices for patented medicines. To that end, the </w:t>
      </w:r>
      <w:r w:rsidR="00A27151" w:rsidRPr="00E02273">
        <w:rPr>
          <w:lang w:val="en-CA"/>
        </w:rPr>
        <w:t>regime</w:t>
      </w:r>
      <w:r w:rsidRPr="00E02273">
        <w:rPr>
          <w:lang w:val="en-CA"/>
        </w:rPr>
        <w:t xml:space="preserve"> was enhanced to </w:t>
      </w:r>
      <w:r w:rsidR="004504CF">
        <w:rPr>
          <w:lang w:val="en-CA"/>
        </w:rPr>
        <w:t xml:space="preserve">allow </w:t>
      </w:r>
      <w:r w:rsidRPr="00E02273">
        <w:rPr>
          <w:lang w:val="en-CA"/>
        </w:rPr>
        <w:t xml:space="preserve">the Board to intervene not only in the case of existing </w:t>
      </w:r>
      <w:r w:rsidR="002D51A4" w:rsidRPr="00E02273">
        <w:rPr>
          <w:lang w:val="en-CA"/>
        </w:rPr>
        <w:t>excessi</w:t>
      </w:r>
      <w:r w:rsidRPr="00E02273">
        <w:rPr>
          <w:lang w:val="en-CA"/>
        </w:rPr>
        <w:t>ve prices,</w:t>
      </w:r>
      <w:r w:rsidR="002D51A4" w:rsidRPr="00E02273">
        <w:rPr>
          <w:rStyle w:val="Appelnotedebasdep"/>
          <w:lang w:val="en-CA"/>
        </w:rPr>
        <w:footnoteReference w:id="47"/>
      </w:r>
      <w:r w:rsidRPr="00E02273">
        <w:rPr>
          <w:lang w:val="en-CA"/>
        </w:rPr>
        <w:t xml:space="preserve"> but also to</w:t>
      </w:r>
      <w:r w:rsidR="00781029" w:rsidRPr="00E02273">
        <w:rPr>
          <w:lang w:val="en-CA"/>
        </w:rPr>
        <w:t xml:space="preserve"> require compensation from patentees when the price of the medicine exceeded established </w:t>
      </w:r>
      <w:r w:rsidR="002D51A4" w:rsidRPr="00E02273">
        <w:rPr>
          <w:lang w:val="en-CA"/>
        </w:rPr>
        <w:t>thresholds</w:t>
      </w:r>
      <w:r w:rsidR="00781029" w:rsidRPr="00E02273">
        <w:rPr>
          <w:lang w:val="en-CA"/>
        </w:rPr>
        <w:t>,</w:t>
      </w:r>
      <w:r w:rsidR="002D51A4" w:rsidRPr="00E02273">
        <w:rPr>
          <w:rStyle w:val="Appelnotedebasdep"/>
          <w:lang w:val="en-CA"/>
        </w:rPr>
        <w:footnoteReference w:id="48"/>
      </w:r>
      <w:r w:rsidR="00781029" w:rsidRPr="00E02273">
        <w:rPr>
          <w:lang w:val="en-CA"/>
        </w:rPr>
        <w:t xml:space="preserve"> and to </w:t>
      </w:r>
      <w:r w:rsidR="004504CF">
        <w:rPr>
          <w:lang w:val="en-CA"/>
        </w:rPr>
        <w:t xml:space="preserve">allow </w:t>
      </w:r>
      <w:r w:rsidR="00AE5044">
        <w:rPr>
          <w:lang w:val="en-CA"/>
        </w:rPr>
        <w:t xml:space="preserve">the </w:t>
      </w:r>
      <w:r w:rsidR="00781029" w:rsidRPr="00E02273">
        <w:rPr>
          <w:lang w:val="en-CA"/>
        </w:rPr>
        <w:t>introductory prices of new medicines</w:t>
      </w:r>
      <w:r w:rsidR="004504CF">
        <w:rPr>
          <w:lang w:val="en-CA"/>
        </w:rPr>
        <w:t xml:space="preserve"> to be monitored</w:t>
      </w:r>
      <w:r w:rsidR="00781029" w:rsidRPr="00E02273">
        <w:rPr>
          <w:lang w:val="en-CA"/>
        </w:rPr>
        <w:t>.</w:t>
      </w:r>
      <w:r w:rsidR="002D51A4" w:rsidRPr="00E02273">
        <w:rPr>
          <w:rStyle w:val="Appelnotedebasdep"/>
          <w:lang w:val="en-CA"/>
        </w:rPr>
        <w:footnoteReference w:id="49"/>
      </w:r>
      <w:r w:rsidR="002D51A4" w:rsidRPr="00E02273">
        <w:rPr>
          <w:lang w:val="en-CA"/>
        </w:rPr>
        <w:t xml:space="preserve"> </w:t>
      </w:r>
    </w:p>
    <w:p w14:paraId="3B0862F3" w14:textId="7527B2D7" w:rsidR="00B568AD" w:rsidRPr="00E02273" w:rsidRDefault="001355FA" w:rsidP="00C410DB">
      <w:pPr>
        <w:pStyle w:val="Paragraphe"/>
        <w:tabs>
          <w:tab w:val="num" w:pos="709"/>
        </w:tabs>
        <w:spacing w:line="240" w:lineRule="auto"/>
        <w:ind w:left="0"/>
        <w:rPr>
          <w:lang w:val="en-CA"/>
        </w:rPr>
      </w:pPr>
      <w:r w:rsidRPr="00E02273">
        <w:rPr>
          <w:lang w:val="en-CA"/>
        </w:rPr>
        <w:t xml:space="preserve">Because the 1993 </w:t>
      </w:r>
      <w:r w:rsidR="002D51A4" w:rsidRPr="00E02273">
        <w:rPr>
          <w:lang w:val="en-CA"/>
        </w:rPr>
        <w:t>legislative</w:t>
      </w:r>
      <w:r w:rsidRPr="00E02273">
        <w:rPr>
          <w:lang w:val="en-CA"/>
        </w:rPr>
        <w:t xml:space="preserve"> </w:t>
      </w:r>
      <w:r w:rsidR="002D51A4" w:rsidRPr="00E02273">
        <w:rPr>
          <w:lang w:val="en-CA"/>
        </w:rPr>
        <w:t>amendments</w:t>
      </w:r>
      <w:r w:rsidRPr="00E02273">
        <w:rPr>
          <w:lang w:val="en-CA"/>
        </w:rPr>
        <w:t xml:space="preserve"> are the </w:t>
      </w:r>
      <w:r w:rsidR="004961D9" w:rsidRPr="00E02273">
        <w:rPr>
          <w:lang w:val="en-CA"/>
        </w:rPr>
        <w:t xml:space="preserve">foundation of the current </w:t>
      </w:r>
      <w:r w:rsidR="00A27151" w:rsidRPr="00E02273">
        <w:rPr>
          <w:lang w:val="en-CA"/>
        </w:rPr>
        <w:t>regime</w:t>
      </w:r>
      <w:r w:rsidR="004961D9" w:rsidRPr="00E02273">
        <w:rPr>
          <w:lang w:val="en-CA"/>
        </w:rPr>
        <w:t>, I will address them in detail in subsection “</w:t>
      </w:r>
      <w:r w:rsidR="002D51A4" w:rsidRPr="00E02273">
        <w:rPr>
          <w:lang w:val="en-CA"/>
        </w:rPr>
        <w:t>B</w:t>
      </w:r>
      <w:r w:rsidR="004961D9" w:rsidRPr="00E02273">
        <w:rPr>
          <w:lang w:val="en-CA"/>
        </w:rPr>
        <w:t>” below. Last, I note a</w:t>
      </w:r>
      <w:r w:rsidR="00AE5044">
        <w:rPr>
          <w:lang w:val="en-CA"/>
        </w:rPr>
        <w:t>t</w:t>
      </w:r>
      <w:r w:rsidR="004961D9" w:rsidRPr="00E02273">
        <w:rPr>
          <w:lang w:val="en-CA"/>
        </w:rPr>
        <w:t xml:space="preserve"> the outset that these amendments were </w:t>
      </w:r>
      <w:r w:rsidR="004504CF">
        <w:rPr>
          <w:lang w:val="en-CA"/>
        </w:rPr>
        <w:t xml:space="preserve">held to be </w:t>
      </w:r>
      <w:r w:rsidR="002D51A4" w:rsidRPr="00E02273">
        <w:rPr>
          <w:lang w:val="en-CA"/>
        </w:rPr>
        <w:t>constitution</w:t>
      </w:r>
      <w:r w:rsidR="004961D9" w:rsidRPr="00E02273">
        <w:rPr>
          <w:lang w:val="en-CA"/>
        </w:rPr>
        <w:t>ally valid b</w:t>
      </w:r>
      <w:r w:rsidR="00AE5044">
        <w:rPr>
          <w:lang w:val="en-CA"/>
        </w:rPr>
        <w:t>y</w:t>
      </w:r>
      <w:r w:rsidR="004961D9" w:rsidRPr="00E02273">
        <w:rPr>
          <w:lang w:val="en-CA"/>
        </w:rPr>
        <w:t xml:space="preserve"> the Federal Court of Appeal in </w:t>
      </w:r>
      <w:r w:rsidR="002D51A4" w:rsidRPr="00E02273">
        <w:rPr>
          <w:i/>
          <w:lang w:val="en-CA"/>
        </w:rPr>
        <w:t>Sandoz/Ratiopharm</w:t>
      </w:r>
      <w:r w:rsidR="002D51A4" w:rsidRPr="00E02273">
        <w:rPr>
          <w:lang w:val="en-CA"/>
        </w:rPr>
        <w:t xml:space="preserve"> </w:t>
      </w:r>
      <w:r w:rsidR="004961D9" w:rsidRPr="00E02273">
        <w:rPr>
          <w:lang w:val="en-CA"/>
        </w:rPr>
        <w:t xml:space="preserve">in </w:t>
      </w:r>
      <w:r w:rsidR="002D51A4" w:rsidRPr="00E02273">
        <w:rPr>
          <w:lang w:val="en-CA"/>
        </w:rPr>
        <w:t>2015</w:t>
      </w:r>
      <w:r w:rsidR="004961D9" w:rsidRPr="00E02273">
        <w:rPr>
          <w:lang w:val="en-CA"/>
        </w:rPr>
        <w:t>,</w:t>
      </w:r>
      <w:r w:rsidR="002D51A4" w:rsidRPr="00E02273">
        <w:rPr>
          <w:rStyle w:val="Appelnotedebasdep"/>
          <w:lang w:val="en-CA"/>
        </w:rPr>
        <w:footnoteReference w:id="50"/>
      </w:r>
      <w:r w:rsidR="004961D9" w:rsidRPr="00E02273">
        <w:rPr>
          <w:lang w:val="en-CA"/>
        </w:rPr>
        <w:t xml:space="preserve"> a judgment to which I will also return</w:t>
      </w:r>
      <w:r w:rsidR="002D51A4" w:rsidRPr="00E02273">
        <w:rPr>
          <w:lang w:val="en-CA"/>
        </w:rPr>
        <w:t>.</w:t>
      </w:r>
    </w:p>
    <w:p w14:paraId="4BC8DFFD" w14:textId="29B20953" w:rsidR="00B568AD" w:rsidRPr="00E02273" w:rsidRDefault="009C5206" w:rsidP="00B568AD">
      <w:pPr>
        <w:pStyle w:val="Paragraphe"/>
        <w:numPr>
          <w:ilvl w:val="0"/>
          <w:numId w:val="0"/>
        </w:numPr>
        <w:spacing w:line="240" w:lineRule="auto"/>
        <w:ind w:left="1440"/>
        <w:rPr>
          <w:i/>
          <w:u w:val="single"/>
          <w:lang w:val="en-CA"/>
        </w:rPr>
      </w:pPr>
      <w:r w:rsidRPr="00E02273">
        <w:rPr>
          <w:i/>
          <w:u w:val="single"/>
          <w:lang w:val="en-CA"/>
        </w:rPr>
        <w:t xml:space="preserve">The </w:t>
      </w:r>
      <w:r w:rsidR="002D51A4" w:rsidRPr="00E02273">
        <w:rPr>
          <w:i/>
          <w:u w:val="single"/>
          <w:lang w:val="en-CA"/>
        </w:rPr>
        <w:t>2017</w:t>
      </w:r>
      <w:r w:rsidRPr="00E02273">
        <w:rPr>
          <w:i/>
          <w:u w:val="single"/>
          <w:lang w:val="en-CA"/>
        </w:rPr>
        <w:t xml:space="preserve"> Act</w:t>
      </w:r>
    </w:p>
    <w:p w14:paraId="7445D356" w14:textId="75E966A6" w:rsidR="00B568AD" w:rsidRPr="00E02273" w:rsidRDefault="009C5206" w:rsidP="00C410DB">
      <w:pPr>
        <w:pStyle w:val="Paragraphe"/>
        <w:tabs>
          <w:tab w:val="num" w:pos="709"/>
        </w:tabs>
        <w:spacing w:line="240" w:lineRule="auto"/>
        <w:ind w:left="0"/>
        <w:rPr>
          <w:lang w:val="en-CA"/>
        </w:rPr>
      </w:pPr>
      <w:r w:rsidRPr="00E02273">
        <w:rPr>
          <w:lang w:val="en-CA"/>
        </w:rPr>
        <w:t xml:space="preserve">The </w:t>
      </w:r>
      <w:r w:rsidRPr="00E02273">
        <w:rPr>
          <w:i/>
          <w:lang w:val="en-CA"/>
        </w:rPr>
        <w:t xml:space="preserve">Act </w:t>
      </w:r>
      <w:r w:rsidRPr="00E02273">
        <w:rPr>
          <w:lang w:val="en-CA"/>
        </w:rPr>
        <w:t xml:space="preserve">was again amended in </w:t>
      </w:r>
      <w:r w:rsidR="002D51A4" w:rsidRPr="00E02273">
        <w:rPr>
          <w:lang w:val="en-CA"/>
        </w:rPr>
        <w:t xml:space="preserve">2017 </w:t>
      </w:r>
      <w:r w:rsidRPr="00E02273">
        <w:rPr>
          <w:lang w:val="en-CA"/>
        </w:rPr>
        <w:t xml:space="preserve">by the </w:t>
      </w:r>
      <w:r w:rsidRPr="00E02273">
        <w:rPr>
          <w:i/>
          <w:lang w:val="en-CA"/>
        </w:rPr>
        <w:t>Canada–European Union Comprehensive Economic and Trade Agreement Implementation Act</w:t>
      </w:r>
      <w:r w:rsidR="002D51A4" w:rsidRPr="00E02273">
        <w:rPr>
          <w:rStyle w:val="Appelnotedebasdep"/>
          <w:lang w:val="en-CA"/>
        </w:rPr>
        <w:footnoteReference w:id="51"/>
      </w:r>
      <w:r w:rsidR="002D51A4" w:rsidRPr="00E02273">
        <w:rPr>
          <w:lang w:val="en-CA"/>
        </w:rPr>
        <w:t xml:space="preserve"> </w:t>
      </w:r>
      <w:r w:rsidRPr="00E02273">
        <w:rPr>
          <w:lang w:val="en-CA"/>
        </w:rPr>
        <w:t xml:space="preserve">to incorporate a supplementary protection </w:t>
      </w:r>
      <w:r w:rsidR="00A27151" w:rsidRPr="00E02273">
        <w:rPr>
          <w:lang w:val="en-CA"/>
        </w:rPr>
        <w:t>regime</w:t>
      </w:r>
      <w:r w:rsidRPr="00E02273">
        <w:rPr>
          <w:lang w:val="en-CA"/>
        </w:rPr>
        <w:t xml:space="preserve"> for medicinal </w:t>
      </w:r>
      <w:r w:rsidR="002D51A4" w:rsidRPr="00E02273">
        <w:rPr>
          <w:lang w:val="en-CA"/>
        </w:rPr>
        <w:t>ingr</w:t>
      </w:r>
      <w:r w:rsidRPr="00E02273">
        <w:rPr>
          <w:lang w:val="en-CA"/>
        </w:rPr>
        <w:t>e</w:t>
      </w:r>
      <w:r w:rsidR="002D51A4" w:rsidRPr="00E02273">
        <w:rPr>
          <w:lang w:val="en-CA"/>
        </w:rPr>
        <w:t xml:space="preserve">dients </w:t>
      </w:r>
      <w:r w:rsidR="003453C7">
        <w:rPr>
          <w:lang w:val="en-CA"/>
        </w:rPr>
        <w:t xml:space="preserve">to take </w:t>
      </w:r>
      <w:r w:rsidRPr="00E02273">
        <w:rPr>
          <w:lang w:val="en-CA"/>
        </w:rPr>
        <w:t xml:space="preserve">into account </w:t>
      </w:r>
      <w:r w:rsidR="003453C7">
        <w:rPr>
          <w:lang w:val="en-CA"/>
        </w:rPr>
        <w:t xml:space="preserve">Canada’s </w:t>
      </w:r>
      <w:r w:rsidR="002D51A4" w:rsidRPr="00E02273">
        <w:rPr>
          <w:lang w:val="en-CA"/>
        </w:rPr>
        <w:t>obligations</w:t>
      </w:r>
      <w:r w:rsidRPr="00E02273">
        <w:rPr>
          <w:lang w:val="en-CA"/>
        </w:rPr>
        <w:t xml:space="preserve"> in the context of the econ</w:t>
      </w:r>
      <w:r w:rsidR="0063449B" w:rsidRPr="00E02273">
        <w:rPr>
          <w:lang w:val="en-CA"/>
        </w:rPr>
        <w:t>o</w:t>
      </w:r>
      <w:r w:rsidRPr="00E02273">
        <w:rPr>
          <w:lang w:val="en-CA"/>
        </w:rPr>
        <w:t xml:space="preserve">mic </w:t>
      </w:r>
      <w:r w:rsidR="0063449B" w:rsidRPr="00E02273">
        <w:rPr>
          <w:lang w:val="en-CA"/>
        </w:rPr>
        <w:t>and trade agreement reached with the European Union</w:t>
      </w:r>
      <w:r w:rsidR="002D51A4" w:rsidRPr="00E02273">
        <w:rPr>
          <w:lang w:val="en-CA"/>
        </w:rPr>
        <w:t xml:space="preserve">. </w:t>
      </w:r>
      <w:r w:rsidR="00200924" w:rsidRPr="00E02273">
        <w:rPr>
          <w:lang w:val="en-CA"/>
        </w:rPr>
        <w:t>Let us consider this.</w:t>
      </w:r>
    </w:p>
    <w:p w14:paraId="35C96FB2" w14:textId="116D7B6E" w:rsidR="00B568AD" w:rsidRPr="00E02273" w:rsidRDefault="0063449B" w:rsidP="00C410DB">
      <w:pPr>
        <w:pStyle w:val="Paragraphe"/>
        <w:tabs>
          <w:tab w:val="num" w:pos="709"/>
        </w:tabs>
        <w:spacing w:line="240" w:lineRule="auto"/>
        <w:ind w:left="0"/>
        <w:rPr>
          <w:lang w:val="en-CA"/>
        </w:rPr>
      </w:pPr>
      <w:r w:rsidRPr="00E02273">
        <w:rPr>
          <w:lang w:val="en-CA"/>
        </w:rPr>
        <w:lastRenderedPageBreak/>
        <w:t xml:space="preserve">For </w:t>
      </w:r>
      <w:r w:rsidR="002D51A4" w:rsidRPr="00E02273">
        <w:rPr>
          <w:lang w:val="en-CA"/>
        </w:rPr>
        <w:t>pharmaceuti</w:t>
      </w:r>
      <w:r w:rsidRPr="00E02273">
        <w:rPr>
          <w:lang w:val="en-CA"/>
        </w:rPr>
        <w:t>cal patents, the period during which the privileges attached to a patent may be exercised is often in fact shortened because</w:t>
      </w:r>
      <w:r w:rsidR="00CF74F0" w:rsidRPr="00E02273">
        <w:rPr>
          <w:lang w:val="en-CA"/>
        </w:rPr>
        <w:t xml:space="preserve"> any new medic</w:t>
      </w:r>
      <w:r w:rsidR="003453C7">
        <w:rPr>
          <w:lang w:val="en-CA"/>
        </w:rPr>
        <w:t>ine</w:t>
      </w:r>
      <w:r w:rsidR="00CF74F0" w:rsidRPr="00E02273">
        <w:rPr>
          <w:lang w:val="en-CA"/>
        </w:rPr>
        <w:t xml:space="preserve"> must be evaluated by the regulatory authorities</w:t>
      </w:r>
      <w:r w:rsidR="003453C7">
        <w:rPr>
          <w:lang w:val="en-CA"/>
        </w:rPr>
        <w:t xml:space="preserve"> to</w:t>
      </w:r>
      <w:r w:rsidR="00CF74F0" w:rsidRPr="00E02273">
        <w:rPr>
          <w:lang w:val="en-CA"/>
        </w:rPr>
        <w:t xml:space="preserve"> determine its </w:t>
      </w:r>
      <w:r w:rsidR="002D51A4" w:rsidRPr="00E02273">
        <w:rPr>
          <w:lang w:val="en-CA"/>
        </w:rPr>
        <w:t>eff</w:t>
      </w:r>
      <w:r w:rsidR="00CF74F0" w:rsidRPr="00E02273">
        <w:rPr>
          <w:lang w:val="en-CA"/>
        </w:rPr>
        <w:t>ectiveness and its safety</w:t>
      </w:r>
      <w:r w:rsidR="002D51A4" w:rsidRPr="00E02273">
        <w:rPr>
          <w:lang w:val="en-CA"/>
        </w:rPr>
        <w:t>.</w:t>
      </w:r>
      <w:r w:rsidR="00CF74F0" w:rsidRPr="00E02273">
        <w:rPr>
          <w:lang w:val="en-CA"/>
        </w:rPr>
        <w:t xml:space="preserve"> In Canada, this </w:t>
      </w:r>
      <w:r w:rsidR="002D51A4" w:rsidRPr="00E02273">
        <w:rPr>
          <w:lang w:val="en-CA"/>
        </w:rPr>
        <w:t xml:space="preserve">evaluation </w:t>
      </w:r>
      <w:r w:rsidR="00CF74F0" w:rsidRPr="00E02273">
        <w:rPr>
          <w:lang w:val="en-CA"/>
        </w:rPr>
        <w:t xml:space="preserve">process is regulated in accordance with the </w:t>
      </w:r>
      <w:r w:rsidR="00473050" w:rsidRPr="00E02273">
        <w:rPr>
          <w:lang w:val="en-CA"/>
        </w:rPr>
        <w:t xml:space="preserve">provisions of the </w:t>
      </w:r>
      <w:r w:rsidR="00473050" w:rsidRPr="00E02273">
        <w:rPr>
          <w:i/>
          <w:lang w:val="en-CA"/>
        </w:rPr>
        <w:t>Food and Drugs Act</w:t>
      </w:r>
      <w:r w:rsidR="00473050" w:rsidRPr="00E02273">
        <w:rPr>
          <w:lang w:val="en-CA"/>
        </w:rPr>
        <w:t xml:space="preserve"> and of the </w:t>
      </w:r>
      <w:r w:rsidR="00473050" w:rsidRPr="00E02273">
        <w:rPr>
          <w:i/>
          <w:lang w:val="en-CA"/>
        </w:rPr>
        <w:t>Food and Drug Regulations</w:t>
      </w:r>
      <w:r w:rsidR="00473050" w:rsidRPr="00E02273">
        <w:rPr>
          <w:lang w:val="en-CA"/>
        </w:rPr>
        <w:t>.</w:t>
      </w:r>
      <w:r w:rsidR="002D51A4" w:rsidRPr="00E02273">
        <w:rPr>
          <w:rStyle w:val="Appelnotedebasdep"/>
          <w:lang w:val="en-CA"/>
        </w:rPr>
        <w:footnoteReference w:id="52"/>
      </w:r>
      <w:r w:rsidR="002D51A4" w:rsidRPr="00E02273">
        <w:rPr>
          <w:lang w:val="en-CA"/>
        </w:rPr>
        <w:t xml:space="preserve"> </w:t>
      </w:r>
      <w:r w:rsidR="00473050" w:rsidRPr="00E02273">
        <w:rPr>
          <w:lang w:val="en-CA"/>
        </w:rPr>
        <w:t xml:space="preserve">It is not unusual for that process to </w:t>
      </w:r>
      <w:r w:rsidR="00707871" w:rsidRPr="00E02273">
        <w:rPr>
          <w:lang w:val="en-CA"/>
        </w:rPr>
        <w:t xml:space="preserve">span several years. The patentee of a new medicinal ingredient must often wait </w:t>
      </w:r>
      <w:r w:rsidR="007F4D02">
        <w:rPr>
          <w:lang w:val="en-CA"/>
        </w:rPr>
        <w:t xml:space="preserve">a long time </w:t>
      </w:r>
      <w:r w:rsidR="00707871" w:rsidRPr="00E02273">
        <w:rPr>
          <w:lang w:val="en-CA"/>
        </w:rPr>
        <w:t xml:space="preserve">before being able to </w:t>
      </w:r>
      <w:r w:rsidR="00D6695C" w:rsidRPr="00E02273">
        <w:rPr>
          <w:lang w:val="en-CA"/>
        </w:rPr>
        <w:t>make</w:t>
      </w:r>
      <w:r w:rsidR="00707871" w:rsidRPr="00E02273">
        <w:rPr>
          <w:lang w:val="en-CA"/>
        </w:rPr>
        <w:t>,</w:t>
      </w:r>
      <w:r w:rsidR="00BB567D">
        <w:rPr>
          <w:lang w:val="en-CA"/>
        </w:rPr>
        <w:t xml:space="preserve"> use, and sell it</w:t>
      </w:r>
      <w:r w:rsidR="00D6695C" w:rsidRPr="00E02273">
        <w:rPr>
          <w:lang w:val="en-CA"/>
        </w:rPr>
        <w:t xml:space="preserve">s </w:t>
      </w:r>
      <w:r w:rsidR="002D51A4" w:rsidRPr="00E02273">
        <w:rPr>
          <w:lang w:val="en-CA"/>
        </w:rPr>
        <w:t xml:space="preserve">invention. </w:t>
      </w:r>
    </w:p>
    <w:p w14:paraId="0BCED769" w14:textId="3440B91F" w:rsidR="00B568AD" w:rsidRPr="00E02273" w:rsidRDefault="00D340F4" w:rsidP="00C410DB">
      <w:pPr>
        <w:pStyle w:val="Paragraphe"/>
        <w:tabs>
          <w:tab w:val="num" w:pos="709"/>
        </w:tabs>
        <w:spacing w:line="240" w:lineRule="auto"/>
        <w:ind w:left="0"/>
        <w:rPr>
          <w:lang w:val="en-CA"/>
        </w:rPr>
      </w:pPr>
      <w:r w:rsidRPr="00E02273">
        <w:rPr>
          <w:lang w:val="en-CA"/>
        </w:rPr>
        <w:t xml:space="preserve">Like other countries, and in accordance with its international </w:t>
      </w:r>
      <w:r w:rsidR="002D51A4" w:rsidRPr="00E02273">
        <w:rPr>
          <w:lang w:val="en-CA"/>
        </w:rPr>
        <w:t xml:space="preserve">obligations, </w:t>
      </w:r>
      <w:r w:rsidRPr="00E02273">
        <w:rPr>
          <w:lang w:val="en-CA"/>
        </w:rPr>
        <w:t xml:space="preserve">in 2017, </w:t>
      </w:r>
      <w:r w:rsidR="002D51A4" w:rsidRPr="00E02273">
        <w:rPr>
          <w:lang w:val="en-CA"/>
        </w:rPr>
        <w:t xml:space="preserve">Canada </w:t>
      </w:r>
      <w:r w:rsidRPr="00E02273">
        <w:rPr>
          <w:lang w:val="en-CA"/>
        </w:rPr>
        <w:t xml:space="preserve">implemented measures </w:t>
      </w:r>
      <w:r w:rsidR="000160EC" w:rsidRPr="00E02273">
        <w:rPr>
          <w:lang w:val="en-CA"/>
        </w:rPr>
        <w:t>to c</w:t>
      </w:r>
      <w:r w:rsidR="002D51A4" w:rsidRPr="00E02273">
        <w:rPr>
          <w:lang w:val="en-CA"/>
        </w:rPr>
        <w:t>ompens</w:t>
      </w:r>
      <w:r w:rsidR="000160EC" w:rsidRPr="00E02273">
        <w:rPr>
          <w:lang w:val="en-CA"/>
        </w:rPr>
        <w:t>at</w:t>
      </w:r>
      <w:r w:rsidR="002D51A4" w:rsidRPr="00E02273">
        <w:rPr>
          <w:lang w:val="en-CA"/>
        </w:rPr>
        <w:t>e</w:t>
      </w:r>
      <w:r w:rsidR="000160EC" w:rsidRPr="00E02273">
        <w:rPr>
          <w:lang w:val="en-CA"/>
        </w:rPr>
        <w:t xml:space="preserve"> for the delay in granting </w:t>
      </w:r>
      <w:r w:rsidR="002D51A4" w:rsidRPr="00E02273">
        <w:rPr>
          <w:lang w:val="en-CA"/>
        </w:rPr>
        <w:t>aut</w:t>
      </w:r>
      <w:r w:rsidR="000160EC" w:rsidRPr="00E02273">
        <w:rPr>
          <w:lang w:val="en-CA"/>
        </w:rPr>
        <w:t>h</w:t>
      </w:r>
      <w:r w:rsidR="002D51A4" w:rsidRPr="00E02273">
        <w:rPr>
          <w:lang w:val="en-CA"/>
        </w:rPr>
        <w:t>ori</w:t>
      </w:r>
      <w:r w:rsidR="000160EC" w:rsidRPr="00E02273">
        <w:rPr>
          <w:lang w:val="en-CA"/>
        </w:rPr>
        <w:t>z</w:t>
      </w:r>
      <w:r w:rsidR="002D51A4" w:rsidRPr="00E02273">
        <w:rPr>
          <w:lang w:val="en-CA"/>
        </w:rPr>
        <w:t>ation</w:t>
      </w:r>
      <w:r w:rsidR="000160EC" w:rsidRPr="00E02273">
        <w:rPr>
          <w:lang w:val="en-CA"/>
        </w:rPr>
        <w:t xml:space="preserve">s to market medicines containing </w:t>
      </w:r>
      <w:r w:rsidR="009861D0" w:rsidRPr="00E02273">
        <w:rPr>
          <w:lang w:val="en-CA"/>
        </w:rPr>
        <w:t xml:space="preserve">new medicinal ingredients. </w:t>
      </w:r>
      <w:r w:rsidR="002E3DF3">
        <w:rPr>
          <w:lang w:val="en-CA"/>
        </w:rPr>
        <w:t>Certificates of s</w:t>
      </w:r>
      <w:r w:rsidR="009861D0" w:rsidRPr="00E02273">
        <w:rPr>
          <w:lang w:val="en-CA"/>
        </w:rPr>
        <w:t xml:space="preserve">upplementary protection were thus introduced into the </w:t>
      </w:r>
      <w:r w:rsidR="009861D0" w:rsidRPr="00E02273">
        <w:rPr>
          <w:i/>
          <w:lang w:val="en-CA"/>
        </w:rPr>
        <w:t xml:space="preserve">Patent Act </w:t>
      </w:r>
      <w:r w:rsidR="009861D0" w:rsidRPr="00E02273">
        <w:rPr>
          <w:lang w:val="en-CA"/>
        </w:rPr>
        <w:t xml:space="preserve">to allow patentees to obtain a supplementary </w:t>
      </w:r>
      <w:r w:rsidR="002D51A4" w:rsidRPr="00E02273">
        <w:rPr>
          <w:lang w:val="en-CA"/>
        </w:rPr>
        <w:t xml:space="preserve">protection </w:t>
      </w:r>
      <w:r w:rsidR="009861D0" w:rsidRPr="00E02273">
        <w:rPr>
          <w:lang w:val="en-CA"/>
        </w:rPr>
        <w:t>period that could extend up to two years</w:t>
      </w:r>
      <w:r w:rsidR="002D51A4" w:rsidRPr="00E02273">
        <w:rPr>
          <w:lang w:val="en-CA"/>
        </w:rPr>
        <w:t xml:space="preserve">.  </w:t>
      </w:r>
    </w:p>
    <w:p w14:paraId="192A7F29" w14:textId="41A9BEC3" w:rsidR="00B568AD" w:rsidRPr="00E02273" w:rsidRDefault="009861D0" w:rsidP="00C410DB">
      <w:pPr>
        <w:pStyle w:val="Paragraphe"/>
        <w:tabs>
          <w:tab w:val="num" w:pos="709"/>
        </w:tabs>
        <w:spacing w:line="240" w:lineRule="auto"/>
        <w:ind w:left="0"/>
        <w:rPr>
          <w:lang w:val="en-CA"/>
        </w:rPr>
      </w:pPr>
      <w:r w:rsidRPr="00E02273">
        <w:rPr>
          <w:lang w:val="en-CA"/>
        </w:rPr>
        <w:t xml:space="preserve">The </w:t>
      </w:r>
      <w:r w:rsidR="002E3DF3">
        <w:rPr>
          <w:lang w:val="en-CA"/>
        </w:rPr>
        <w:t xml:space="preserve">special </w:t>
      </w:r>
      <w:r w:rsidR="002E3DF3" w:rsidRPr="00E02273">
        <w:rPr>
          <w:lang w:val="en-CA"/>
        </w:rPr>
        <w:t xml:space="preserve">regime to control excessive prices </w:t>
      </w:r>
      <w:r w:rsidRPr="00E02273">
        <w:rPr>
          <w:lang w:val="en-CA"/>
        </w:rPr>
        <w:t xml:space="preserve">for patented medicines was also amended at that time to expand the Board’s </w:t>
      </w:r>
      <w:r w:rsidR="002D51A4" w:rsidRPr="00E02273">
        <w:rPr>
          <w:lang w:val="en-CA"/>
        </w:rPr>
        <w:t>jurisdiction</w:t>
      </w:r>
      <w:r w:rsidR="00E94B49" w:rsidRPr="00E02273">
        <w:rPr>
          <w:lang w:val="en-CA"/>
        </w:rPr>
        <w:t xml:space="preserve"> to medicines concerned by these </w:t>
      </w:r>
      <w:r w:rsidR="002E3DF3">
        <w:rPr>
          <w:lang w:val="en-CA"/>
        </w:rPr>
        <w:t xml:space="preserve">certificates of </w:t>
      </w:r>
      <w:r w:rsidR="00E94B49" w:rsidRPr="00E02273">
        <w:rPr>
          <w:lang w:val="en-CA"/>
        </w:rPr>
        <w:t>supplementary protection</w:t>
      </w:r>
      <w:r w:rsidR="002D51A4" w:rsidRPr="00E02273">
        <w:rPr>
          <w:lang w:val="en-CA"/>
        </w:rPr>
        <w:t>.</w:t>
      </w:r>
      <w:r w:rsidR="007863A3" w:rsidRPr="00E02273">
        <w:rPr>
          <w:lang w:val="en-CA"/>
        </w:rPr>
        <w:t xml:space="preserve"> I</w:t>
      </w:r>
      <w:r w:rsidR="002D51A4" w:rsidRPr="00E02273">
        <w:rPr>
          <w:lang w:val="en-CA"/>
        </w:rPr>
        <w:t>n</w:t>
      </w:r>
      <w:r w:rsidR="007863A3" w:rsidRPr="00E02273">
        <w:rPr>
          <w:lang w:val="en-CA"/>
        </w:rPr>
        <w:t xml:space="preserve"> </w:t>
      </w:r>
      <w:r w:rsidR="002D51A4" w:rsidRPr="00E02273">
        <w:rPr>
          <w:lang w:val="en-CA"/>
        </w:rPr>
        <w:t>addition,</w:t>
      </w:r>
      <w:r w:rsidR="007863A3" w:rsidRPr="00E02273">
        <w:rPr>
          <w:lang w:val="en-CA"/>
        </w:rPr>
        <w:t xml:space="preserve"> a new compulsory licensing </w:t>
      </w:r>
      <w:r w:rsidR="00A27151" w:rsidRPr="00E02273">
        <w:rPr>
          <w:lang w:val="en-CA"/>
        </w:rPr>
        <w:t>regime</w:t>
      </w:r>
      <w:r w:rsidR="007863A3" w:rsidRPr="00E02273">
        <w:rPr>
          <w:lang w:val="en-CA"/>
        </w:rPr>
        <w:t xml:space="preserve"> was introduced into the </w:t>
      </w:r>
      <w:r w:rsidR="007863A3" w:rsidRPr="00E02273">
        <w:rPr>
          <w:i/>
          <w:lang w:val="en-CA"/>
        </w:rPr>
        <w:t>Patent Act</w:t>
      </w:r>
      <w:r w:rsidR="007863A3" w:rsidRPr="00E02273">
        <w:rPr>
          <w:lang w:val="en-CA"/>
        </w:rPr>
        <w:t xml:space="preserve">, applicable in cases of abuse of patent rights referred to in a </w:t>
      </w:r>
      <w:r w:rsidR="002E3DF3">
        <w:rPr>
          <w:lang w:val="en-CA"/>
        </w:rPr>
        <w:t xml:space="preserve">certificate of </w:t>
      </w:r>
      <w:r w:rsidR="007863A3" w:rsidRPr="00E02273">
        <w:rPr>
          <w:lang w:val="en-CA"/>
        </w:rPr>
        <w:t>supplementary protection.</w:t>
      </w:r>
      <w:r w:rsidR="002D51A4" w:rsidRPr="00E02273">
        <w:rPr>
          <w:rStyle w:val="Appelnotedebasdep"/>
          <w:lang w:val="en-CA"/>
        </w:rPr>
        <w:footnoteReference w:id="53"/>
      </w:r>
    </w:p>
    <w:p w14:paraId="0E5CFB39" w14:textId="5DE4757E" w:rsidR="00B568AD" w:rsidRPr="00E02273" w:rsidRDefault="00503B49" w:rsidP="00B568AD">
      <w:pPr>
        <w:pStyle w:val="Paragraphe"/>
        <w:numPr>
          <w:ilvl w:val="0"/>
          <w:numId w:val="22"/>
        </w:numPr>
        <w:spacing w:line="240" w:lineRule="auto"/>
        <w:rPr>
          <w:b/>
          <w:i/>
          <w:u w:val="single"/>
          <w:lang w:val="en-CA"/>
        </w:rPr>
      </w:pPr>
      <w:r w:rsidRPr="00E02273">
        <w:rPr>
          <w:b/>
          <w:i/>
          <w:u w:val="single"/>
          <w:lang w:val="en-CA"/>
        </w:rPr>
        <w:t xml:space="preserve">The current </w:t>
      </w:r>
      <w:r w:rsidR="002D51A4" w:rsidRPr="009D7203">
        <w:rPr>
          <w:b/>
          <w:i/>
          <w:u w:val="single"/>
          <w:lang w:val="en-CA"/>
        </w:rPr>
        <w:t>legislative</w:t>
      </w:r>
      <w:r w:rsidRPr="009D7203">
        <w:rPr>
          <w:b/>
          <w:i/>
          <w:u w:val="single"/>
          <w:lang w:val="en-CA"/>
        </w:rPr>
        <w:t xml:space="preserve"> and regulatory </w:t>
      </w:r>
      <w:r w:rsidR="00A27151" w:rsidRPr="009D7203">
        <w:rPr>
          <w:b/>
          <w:i/>
          <w:u w:val="single"/>
          <w:lang w:val="en-CA"/>
        </w:rPr>
        <w:t>regime</w:t>
      </w:r>
    </w:p>
    <w:p w14:paraId="201E7D72" w14:textId="65A39565" w:rsidR="00B568AD" w:rsidRPr="00E02273" w:rsidRDefault="000F1547" w:rsidP="00C410DB">
      <w:pPr>
        <w:pStyle w:val="Paragraphe"/>
        <w:tabs>
          <w:tab w:val="num" w:pos="709"/>
        </w:tabs>
        <w:spacing w:line="240" w:lineRule="auto"/>
        <w:ind w:left="0"/>
        <w:rPr>
          <w:lang w:val="en-CA"/>
        </w:rPr>
      </w:pPr>
      <w:r w:rsidRPr="00E02273">
        <w:rPr>
          <w:lang w:val="en-CA"/>
        </w:rPr>
        <w:t>Medicines may be patented if they</w:t>
      </w:r>
      <w:r w:rsidR="0038311A" w:rsidRPr="00E02273">
        <w:rPr>
          <w:lang w:val="en-CA"/>
        </w:rPr>
        <w:t xml:space="preserve"> are the result of an invention. The patent may concern the </w:t>
      </w:r>
      <w:r w:rsidR="002E3DF3">
        <w:rPr>
          <w:lang w:val="en-CA"/>
        </w:rPr>
        <w:t xml:space="preserve">medicine’s </w:t>
      </w:r>
      <w:r w:rsidR="0038311A" w:rsidRPr="00E02273">
        <w:rPr>
          <w:lang w:val="en-CA"/>
        </w:rPr>
        <w:t xml:space="preserve">active </w:t>
      </w:r>
      <w:r w:rsidR="002D51A4" w:rsidRPr="00E02273">
        <w:rPr>
          <w:lang w:val="en-CA"/>
        </w:rPr>
        <w:t>ingr</w:t>
      </w:r>
      <w:r w:rsidR="0038311A" w:rsidRPr="00E02273">
        <w:rPr>
          <w:lang w:val="en-CA"/>
        </w:rPr>
        <w:t>e</w:t>
      </w:r>
      <w:r w:rsidR="002D51A4" w:rsidRPr="00E02273">
        <w:rPr>
          <w:lang w:val="en-CA"/>
        </w:rPr>
        <w:t>dient</w:t>
      </w:r>
      <w:r w:rsidR="0038311A" w:rsidRPr="00E02273">
        <w:rPr>
          <w:lang w:val="en-CA"/>
        </w:rPr>
        <w:t xml:space="preserve">, or its </w:t>
      </w:r>
      <w:r w:rsidR="002D51A4" w:rsidRPr="00E02273">
        <w:rPr>
          <w:lang w:val="en-CA"/>
        </w:rPr>
        <w:t xml:space="preserve">formulations, </w:t>
      </w:r>
      <w:r w:rsidR="0038311A" w:rsidRPr="00E02273">
        <w:rPr>
          <w:lang w:val="en-CA"/>
        </w:rPr>
        <w:t>manufacturing methods, and uses</w:t>
      </w:r>
      <w:r w:rsidR="002D51A4" w:rsidRPr="00E02273">
        <w:rPr>
          <w:lang w:val="en-CA"/>
        </w:rPr>
        <w:t>.</w:t>
      </w:r>
    </w:p>
    <w:p w14:paraId="4CBF39AF" w14:textId="16955B89" w:rsidR="00B568AD" w:rsidRPr="00E02273" w:rsidRDefault="0038311A" w:rsidP="00C410DB">
      <w:pPr>
        <w:pStyle w:val="Paragraphe"/>
        <w:tabs>
          <w:tab w:val="num" w:pos="709"/>
        </w:tabs>
        <w:spacing w:line="240" w:lineRule="auto"/>
        <w:ind w:left="0"/>
        <w:rPr>
          <w:lang w:val="en-CA"/>
        </w:rPr>
      </w:pPr>
      <w:r w:rsidRPr="00E02273">
        <w:rPr>
          <w:lang w:val="en-CA"/>
        </w:rPr>
        <w:t xml:space="preserve">The purpose of the patent </w:t>
      </w:r>
      <w:r w:rsidR="00A27151" w:rsidRPr="00E02273">
        <w:rPr>
          <w:lang w:val="en-CA"/>
        </w:rPr>
        <w:t>regime</w:t>
      </w:r>
      <w:r w:rsidRPr="00E02273">
        <w:rPr>
          <w:lang w:val="en-CA"/>
        </w:rPr>
        <w:t xml:space="preserve"> is to </w:t>
      </w:r>
      <w:r w:rsidR="002D51A4" w:rsidRPr="00E02273">
        <w:rPr>
          <w:lang w:val="en-CA"/>
        </w:rPr>
        <w:t>stimul</w:t>
      </w:r>
      <w:r w:rsidRPr="00E02273">
        <w:rPr>
          <w:lang w:val="en-CA"/>
        </w:rPr>
        <w:t>ate</w:t>
      </w:r>
      <w:r w:rsidR="002D51A4" w:rsidRPr="00E02273">
        <w:rPr>
          <w:lang w:val="en-CA"/>
        </w:rPr>
        <w:t xml:space="preserve"> innovation </w:t>
      </w:r>
      <w:r w:rsidRPr="00E02273">
        <w:rPr>
          <w:lang w:val="en-CA"/>
        </w:rPr>
        <w:t>through the disclosure of patented i</w:t>
      </w:r>
      <w:r w:rsidR="002D51A4" w:rsidRPr="00E02273">
        <w:rPr>
          <w:lang w:val="en-CA"/>
        </w:rPr>
        <w:t>nvention</w:t>
      </w:r>
      <w:r w:rsidR="005313FB" w:rsidRPr="00E02273">
        <w:rPr>
          <w:lang w:val="en-CA"/>
        </w:rPr>
        <w:t>s</w:t>
      </w:r>
      <w:r w:rsidRPr="00E02273">
        <w:rPr>
          <w:lang w:val="en-CA"/>
        </w:rPr>
        <w:t xml:space="preserve"> in exchange for a </w:t>
      </w:r>
      <w:r w:rsidR="002D51A4" w:rsidRPr="00E02273">
        <w:rPr>
          <w:lang w:val="en-CA"/>
        </w:rPr>
        <w:t>monopol</w:t>
      </w:r>
      <w:r w:rsidRPr="00E02273">
        <w:rPr>
          <w:lang w:val="en-CA"/>
        </w:rPr>
        <w:t>y in favour of patentee</w:t>
      </w:r>
      <w:r w:rsidR="005313FB" w:rsidRPr="00E02273">
        <w:rPr>
          <w:lang w:val="en-CA"/>
        </w:rPr>
        <w:t>s</w:t>
      </w:r>
      <w:r w:rsidRPr="00E02273">
        <w:rPr>
          <w:lang w:val="en-CA"/>
        </w:rPr>
        <w:t xml:space="preserve"> for a </w:t>
      </w:r>
      <w:r w:rsidR="005B476E" w:rsidRPr="00E02273">
        <w:rPr>
          <w:lang w:val="en-CA"/>
        </w:rPr>
        <w:t xml:space="preserve">specific term, which has been fixed at </w:t>
      </w:r>
      <w:r w:rsidR="002D51A4" w:rsidRPr="00E02273">
        <w:rPr>
          <w:lang w:val="en-CA"/>
        </w:rPr>
        <w:t xml:space="preserve">20 </w:t>
      </w:r>
      <w:r w:rsidR="005B476E" w:rsidRPr="00E02273">
        <w:rPr>
          <w:lang w:val="en-CA"/>
        </w:rPr>
        <w:t xml:space="preserve">years since </w:t>
      </w:r>
      <w:r w:rsidR="002D51A4" w:rsidRPr="00E02273">
        <w:rPr>
          <w:lang w:val="en-CA"/>
        </w:rPr>
        <w:t>October</w:t>
      </w:r>
      <w:r w:rsidR="005B476E" w:rsidRPr="00E02273">
        <w:rPr>
          <w:lang w:val="en-CA"/>
        </w:rPr>
        <w:t xml:space="preserve"> 1, </w:t>
      </w:r>
      <w:r w:rsidR="002D51A4" w:rsidRPr="00E02273">
        <w:rPr>
          <w:lang w:val="en-CA"/>
        </w:rPr>
        <w:t>1989</w:t>
      </w:r>
      <w:r w:rsidR="005B476E" w:rsidRPr="00E02273">
        <w:rPr>
          <w:lang w:val="en-CA"/>
        </w:rPr>
        <w:t>.</w:t>
      </w:r>
      <w:r w:rsidR="002D51A4" w:rsidRPr="00E02273">
        <w:rPr>
          <w:rStyle w:val="Appelnotedebasdep"/>
          <w:lang w:val="en-CA"/>
        </w:rPr>
        <w:footnoteReference w:id="54"/>
      </w:r>
      <w:r w:rsidR="002D51A4" w:rsidRPr="00E02273">
        <w:rPr>
          <w:lang w:val="en-CA"/>
        </w:rPr>
        <w:t xml:space="preserve"> </w:t>
      </w:r>
      <w:r w:rsidR="005313FB" w:rsidRPr="00E02273">
        <w:rPr>
          <w:lang w:val="en-CA"/>
        </w:rPr>
        <w:t xml:space="preserve">To this end, </w:t>
      </w:r>
      <w:r w:rsidR="002D51A4" w:rsidRPr="00E02273">
        <w:rPr>
          <w:lang w:val="en-CA"/>
        </w:rPr>
        <w:t xml:space="preserve">section 42 </w:t>
      </w:r>
      <w:r w:rsidR="005313FB" w:rsidRPr="00E02273">
        <w:rPr>
          <w:lang w:val="en-CA"/>
        </w:rPr>
        <w:t xml:space="preserve">of the </w:t>
      </w:r>
      <w:r w:rsidR="005313FB" w:rsidRPr="00E02273">
        <w:rPr>
          <w:i/>
          <w:lang w:val="en-CA"/>
        </w:rPr>
        <w:t xml:space="preserve">Patent </w:t>
      </w:r>
      <w:r w:rsidR="00EB51F9" w:rsidRPr="00E02273">
        <w:rPr>
          <w:i/>
          <w:lang w:val="en-CA"/>
        </w:rPr>
        <w:t xml:space="preserve">Act </w:t>
      </w:r>
      <w:r w:rsidR="00EB51F9" w:rsidRPr="00E02273">
        <w:rPr>
          <w:lang w:val="en-CA"/>
        </w:rPr>
        <w:t xml:space="preserve">grants </w:t>
      </w:r>
      <w:r w:rsidR="00530664">
        <w:rPr>
          <w:lang w:val="en-CA"/>
        </w:rPr>
        <w:t xml:space="preserve">the </w:t>
      </w:r>
      <w:r w:rsidR="00D32B96">
        <w:rPr>
          <w:lang w:val="en-CA"/>
        </w:rPr>
        <w:t xml:space="preserve">patentee </w:t>
      </w:r>
      <w:r w:rsidR="00EB51F9" w:rsidRPr="00E02273">
        <w:rPr>
          <w:lang w:val="en-CA"/>
        </w:rPr>
        <w:t>rights, that is, the exclusive privilege</w:t>
      </w:r>
      <w:r w:rsidR="00D32B96">
        <w:rPr>
          <w:lang w:val="en-CA"/>
        </w:rPr>
        <w:t>,</w:t>
      </w:r>
      <w:r w:rsidR="00EB51F9" w:rsidRPr="00E02273">
        <w:rPr>
          <w:lang w:val="en-CA"/>
        </w:rPr>
        <w:t xml:space="preserve"> for the </w:t>
      </w:r>
      <w:r w:rsidR="00530664">
        <w:rPr>
          <w:lang w:val="en-CA"/>
        </w:rPr>
        <w:t>term</w:t>
      </w:r>
      <w:r w:rsidR="00530664" w:rsidRPr="00E02273">
        <w:rPr>
          <w:lang w:val="en-CA"/>
        </w:rPr>
        <w:t xml:space="preserve"> </w:t>
      </w:r>
      <w:r w:rsidR="00EB51F9" w:rsidRPr="00E02273">
        <w:rPr>
          <w:lang w:val="en-CA"/>
        </w:rPr>
        <w:t>of the patent</w:t>
      </w:r>
      <w:r w:rsidR="00D32B96">
        <w:rPr>
          <w:lang w:val="en-CA"/>
        </w:rPr>
        <w:t>,</w:t>
      </w:r>
      <w:r w:rsidR="00EB51F9" w:rsidRPr="00E02273">
        <w:rPr>
          <w:lang w:val="en-CA"/>
        </w:rPr>
        <w:t xml:space="preserve"> to make, </w:t>
      </w:r>
      <w:r w:rsidR="002D51A4" w:rsidRPr="00E02273">
        <w:rPr>
          <w:lang w:val="en-CA"/>
        </w:rPr>
        <w:t>constru</w:t>
      </w:r>
      <w:r w:rsidR="0069008B" w:rsidRPr="00E02273">
        <w:rPr>
          <w:lang w:val="en-CA"/>
        </w:rPr>
        <w:t>ct, use, and sell the invention to others</w:t>
      </w:r>
      <w:r w:rsidR="002D51A4" w:rsidRPr="00E02273">
        <w:rPr>
          <w:lang w:val="en-CA"/>
        </w:rPr>
        <w:t>.</w:t>
      </w:r>
    </w:p>
    <w:p w14:paraId="5F14BC0C" w14:textId="5220461E" w:rsidR="00B568AD" w:rsidRPr="00E02273" w:rsidRDefault="005F23F7" w:rsidP="00C410DB">
      <w:pPr>
        <w:pStyle w:val="Paragraphe"/>
        <w:tabs>
          <w:tab w:val="num" w:pos="709"/>
        </w:tabs>
        <w:spacing w:line="240" w:lineRule="auto"/>
        <w:ind w:left="0"/>
        <w:rPr>
          <w:lang w:val="en-CA"/>
        </w:rPr>
      </w:pPr>
      <w:r w:rsidRPr="00E02273">
        <w:rPr>
          <w:lang w:val="en-CA"/>
        </w:rPr>
        <w:t xml:space="preserve">This </w:t>
      </w:r>
      <w:r w:rsidR="002D51A4" w:rsidRPr="00E02273">
        <w:rPr>
          <w:lang w:val="en-CA"/>
        </w:rPr>
        <w:t>monopol</w:t>
      </w:r>
      <w:r w:rsidRPr="00E02273">
        <w:rPr>
          <w:lang w:val="en-CA"/>
        </w:rPr>
        <w:t>y</w:t>
      </w:r>
      <w:r w:rsidR="002D51A4" w:rsidRPr="00E02273">
        <w:rPr>
          <w:lang w:val="en-CA"/>
        </w:rPr>
        <w:t xml:space="preserve">, </w:t>
      </w:r>
      <w:r w:rsidRPr="00E02273">
        <w:rPr>
          <w:lang w:val="en-CA"/>
        </w:rPr>
        <w:t>established by law, confers an undeniable commercial privilege to the patentee.</w:t>
      </w:r>
      <w:r w:rsidR="002D51A4" w:rsidRPr="00E02273">
        <w:rPr>
          <w:rStyle w:val="Appelnotedebasdep"/>
          <w:lang w:val="en-CA"/>
        </w:rPr>
        <w:footnoteReference w:id="55"/>
      </w:r>
      <w:r w:rsidRPr="00E02273">
        <w:rPr>
          <w:lang w:val="en-CA"/>
        </w:rPr>
        <w:t xml:space="preserve"> That is the intended effect of the patent </w:t>
      </w:r>
      <w:r w:rsidR="00A27151" w:rsidRPr="00E02273">
        <w:rPr>
          <w:lang w:val="en-CA"/>
        </w:rPr>
        <w:t>regime</w:t>
      </w:r>
      <w:r w:rsidR="002D51A4" w:rsidRPr="00E02273">
        <w:rPr>
          <w:lang w:val="en-CA"/>
        </w:rPr>
        <w:t xml:space="preserve">. </w:t>
      </w:r>
    </w:p>
    <w:p w14:paraId="397F1185" w14:textId="4ACCD528" w:rsidR="00B568AD" w:rsidRPr="00E02273" w:rsidRDefault="005F23F7" w:rsidP="00C410DB">
      <w:pPr>
        <w:pStyle w:val="Paragraphe"/>
        <w:tabs>
          <w:tab w:val="num" w:pos="709"/>
        </w:tabs>
        <w:spacing w:line="240" w:lineRule="auto"/>
        <w:ind w:left="0"/>
        <w:rPr>
          <w:lang w:val="en-CA"/>
        </w:rPr>
      </w:pPr>
      <w:r w:rsidRPr="00E02273">
        <w:rPr>
          <w:lang w:val="en-CA"/>
        </w:rPr>
        <w:lastRenderedPageBreak/>
        <w:t>However, that monopoly is subject to abuse by the patentee, in particular when the patentee does not meet the demand for the product or the patented process.</w:t>
      </w:r>
      <w:r w:rsidR="002D51A4" w:rsidRPr="00E02273">
        <w:rPr>
          <w:rStyle w:val="Appelnotedebasdep"/>
          <w:lang w:val="en-CA"/>
        </w:rPr>
        <w:footnoteReference w:id="56"/>
      </w:r>
      <w:r w:rsidRPr="00E02273">
        <w:rPr>
          <w:lang w:val="en-CA"/>
        </w:rPr>
        <w:t xml:space="preserve"> The </w:t>
      </w:r>
      <w:r w:rsidRPr="00E02273">
        <w:rPr>
          <w:i/>
          <w:lang w:val="en-CA"/>
        </w:rPr>
        <w:t xml:space="preserve">Patent Act </w:t>
      </w:r>
      <w:r w:rsidRPr="00E02273">
        <w:rPr>
          <w:lang w:val="en-CA"/>
        </w:rPr>
        <w:t>in fact defines abuse of patent in s</w:t>
      </w:r>
      <w:r w:rsidR="00FB2DC9">
        <w:rPr>
          <w:lang w:val="en-CA"/>
        </w:rPr>
        <w:t>ection</w:t>
      </w:r>
      <w:r w:rsidR="002D51A4" w:rsidRPr="00E02273">
        <w:rPr>
          <w:lang w:val="en-CA"/>
        </w:rPr>
        <w:t xml:space="preserve"> 65</w:t>
      </w:r>
      <w:r w:rsidR="002D51A4" w:rsidRPr="00E02273">
        <w:rPr>
          <w:rStyle w:val="Appelnotedebasdep"/>
          <w:lang w:val="en-CA"/>
        </w:rPr>
        <w:footnoteReference w:id="57"/>
      </w:r>
      <w:r w:rsidR="002D51A4" w:rsidRPr="00E02273">
        <w:rPr>
          <w:lang w:val="en-CA"/>
        </w:rPr>
        <w:t xml:space="preserve"> </w:t>
      </w:r>
      <w:r w:rsidR="001C1AF5" w:rsidRPr="00E02273">
        <w:rPr>
          <w:lang w:val="en-CA"/>
        </w:rPr>
        <w:t>and allows the C</w:t>
      </w:r>
      <w:r w:rsidR="002D51A4" w:rsidRPr="00E02273">
        <w:rPr>
          <w:lang w:val="en-CA"/>
        </w:rPr>
        <w:t>ommissioner</w:t>
      </w:r>
      <w:r w:rsidR="001C1AF5" w:rsidRPr="00E02273">
        <w:rPr>
          <w:lang w:val="en-CA"/>
        </w:rPr>
        <w:t xml:space="preserve"> of Patents to remedy such abuse through various mechanisms, in particular by granting a licence to a third person on the terms the Commissioner deems expedient,</w:t>
      </w:r>
      <w:r w:rsidR="002D51A4" w:rsidRPr="00E02273">
        <w:rPr>
          <w:rStyle w:val="Appelnotedebasdep"/>
          <w:lang w:val="en-CA"/>
        </w:rPr>
        <w:footnoteReference w:id="58"/>
      </w:r>
      <w:r w:rsidR="002D51A4" w:rsidRPr="00E02273">
        <w:rPr>
          <w:lang w:val="en-CA"/>
        </w:rPr>
        <w:t xml:space="preserve"> </w:t>
      </w:r>
      <w:r w:rsidR="001C1AF5" w:rsidRPr="00E02273">
        <w:rPr>
          <w:lang w:val="en-CA"/>
        </w:rPr>
        <w:t xml:space="preserve">or by </w:t>
      </w:r>
      <w:r w:rsidR="002D51A4" w:rsidRPr="00E02273">
        <w:rPr>
          <w:lang w:val="en-CA"/>
        </w:rPr>
        <w:t>order</w:t>
      </w:r>
      <w:r w:rsidR="00530664">
        <w:rPr>
          <w:lang w:val="en-CA"/>
        </w:rPr>
        <w:t>ing</w:t>
      </w:r>
      <w:r w:rsidR="001C1AF5" w:rsidRPr="00E02273">
        <w:rPr>
          <w:lang w:val="en-CA"/>
        </w:rPr>
        <w:t xml:space="preserve"> the patent</w:t>
      </w:r>
      <w:r w:rsidR="00530664">
        <w:rPr>
          <w:lang w:val="en-CA"/>
        </w:rPr>
        <w:t xml:space="preserve"> to be revoked</w:t>
      </w:r>
      <w:r w:rsidR="001C1AF5" w:rsidRPr="00E02273">
        <w:rPr>
          <w:lang w:val="en-CA"/>
        </w:rPr>
        <w:t>,</w:t>
      </w:r>
      <w:r w:rsidR="002D51A4" w:rsidRPr="00E02273">
        <w:rPr>
          <w:rStyle w:val="Appelnotedebasdep"/>
          <w:lang w:val="en-CA"/>
        </w:rPr>
        <w:footnoteReference w:id="59"/>
      </w:r>
      <w:r w:rsidR="001C1AF5" w:rsidRPr="00E02273">
        <w:rPr>
          <w:lang w:val="en-CA"/>
        </w:rPr>
        <w:t xml:space="preserve"> as set out in </w:t>
      </w:r>
      <w:r w:rsidR="00FB2DC9" w:rsidRPr="00E02273">
        <w:rPr>
          <w:lang w:val="en-CA"/>
        </w:rPr>
        <w:t>s</w:t>
      </w:r>
      <w:r w:rsidR="00FB2DC9">
        <w:rPr>
          <w:lang w:val="en-CA"/>
        </w:rPr>
        <w:t>ection</w:t>
      </w:r>
      <w:r w:rsidR="002D51A4" w:rsidRPr="00E02273">
        <w:rPr>
          <w:lang w:val="en-CA"/>
        </w:rPr>
        <w:t xml:space="preserve"> 66 of</w:t>
      </w:r>
      <w:r w:rsidR="001C1AF5" w:rsidRPr="00E02273">
        <w:rPr>
          <w:lang w:val="en-CA"/>
        </w:rPr>
        <w:t xml:space="preserve"> </w:t>
      </w:r>
      <w:r w:rsidR="002D51A4" w:rsidRPr="00E02273">
        <w:rPr>
          <w:lang w:val="en-CA"/>
        </w:rPr>
        <w:t>the</w:t>
      </w:r>
      <w:r w:rsidR="001C1AF5" w:rsidRPr="00E02273">
        <w:rPr>
          <w:lang w:val="en-CA"/>
        </w:rPr>
        <w:t xml:space="preserve"> </w:t>
      </w:r>
      <w:r w:rsidR="002D51A4" w:rsidRPr="00E02273">
        <w:rPr>
          <w:i/>
          <w:lang w:val="en-CA"/>
        </w:rPr>
        <w:t>Act</w:t>
      </w:r>
      <w:r w:rsidR="002D51A4" w:rsidRPr="00E02273">
        <w:rPr>
          <w:lang w:val="en-CA"/>
        </w:rPr>
        <w:t>.</w:t>
      </w:r>
    </w:p>
    <w:p w14:paraId="5ACFEA24" w14:textId="0F07539B" w:rsidR="00B568AD" w:rsidRPr="00E02273" w:rsidRDefault="00F81222" w:rsidP="00C410DB">
      <w:pPr>
        <w:pStyle w:val="Paragraphe"/>
        <w:tabs>
          <w:tab w:val="num" w:pos="709"/>
        </w:tabs>
        <w:spacing w:line="240" w:lineRule="auto"/>
        <w:ind w:left="0"/>
        <w:rPr>
          <w:lang w:val="en-CA"/>
        </w:rPr>
      </w:pPr>
      <w:r w:rsidRPr="00E02273">
        <w:rPr>
          <w:lang w:val="en-CA"/>
        </w:rPr>
        <w:t xml:space="preserve">Nothing seems to prevent the </w:t>
      </w:r>
      <w:r w:rsidR="002D51A4" w:rsidRPr="00E02273">
        <w:rPr>
          <w:lang w:val="en-CA"/>
        </w:rPr>
        <w:t xml:space="preserve">application </w:t>
      </w:r>
      <w:r w:rsidRPr="00E02273">
        <w:rPr>
          <w:lang w:val="en-CA"/>
        </w:rPr>
        <w:t xml:space="preserve">of these </w:t>
      </w:r>
      <w:r w:rsidR="002D51A4" w:rsidRPr="00E02273">
        <w:rPr>
          <w:lang w:val="en-CA"/>
        </w:rPr>
        <w:t>provision</w:t>
      </w:r>
      <w:r w:rsidRPr="00E02273">
        <w:rPr>
          <w:lang w:val="en-CA"/>
        </w:rPr>
        <w:t xml:space="preserve">s </w:t>
      </w:r>
      <w:r w:rsidR="002D51A4" w:rsidRPr="00E02273">
        <w:rPr>
          <w:lang w:val="en-CA"/>
        </w:rPr>
        <w:t>of</w:t>
      </w:r>
      <w:r w:rsidRPr="00E02273">
        <w:rPr>
          <w:lang w:val="en-CA"/>
        </w:rPr>
        <w:t xml:space="preserve"> </w:t>
      </w:r>
      <w:r w:rsidR="002D51A4" w:rsidRPr="00E02273">
        <w:rPr>
          <w:lang w:val="en-CA"/>
        </w:rPr>
        <w:t>the</w:t>
      </w:r>
      <w:r w:rsidRPr="00E02273">
        <w:rPr>
          <w:lang w:val="en-CA"/>
        </w:rPr>
        <w:t xml:space="preserve"> </w:t>
      </w:r>
      <w:r w:rsidRPr="00E02273">
        <w:rPr>
          <w:i/>
          <w:lang w:val="en-CA"/>
        </w:rPr>
        <w:t xml:space="preserve">Patent Act </w:t>
      </w:r>
      <w:r w:rsidRPr="00E02273">
        <w:rPr>
          <w:lang w:val="en-CA"/>
        </w:rPr>
        <w:t>to patented medicines</w:t>
      </w:r>
      <w:r w:rsidR="002D51A4" w:rsidRPr="00E02273">
        <w:rPr>
          <w:lang w:val="en-CA"/>
        </w:rPr>
        <w:t>.</w:t>
      </w:r>
      <w:r w:rsidRPr="00E02273">
        <w:rPr>
          <w:lang w:val="en-CA"/>
        </w:rPr>
        <w:t xml:space="preserve"> In </w:t>
      </w:r>
      <w:r w:rsidR="002D51A4" w:rsidRPr="00E02273">
        <w:rPr>
          <w:lang w:val="en-CA"/>
        </w:rPr>
        <w:t xml:space="preserve">fact, </w:t>
      </w:r>
      <w:r w:rsidRPr="00E02273">
        <w:rPr>
          <w:lang w:val="en-CA"/>
        </w:rPr>
        <w:t xml:space="preserve">as </w:t>
      </w:r>
      <w:r w:rsidR="00A524E4" w:rsidRPr="00E02273">
        <w:rPr>
          <w:lang w:val="en-CA"/>
        </w:rPr>
        <w:t>mentioned</w:t>
      </w:r>
      <w:r w:rsidRPr="00E02273">
        <w:rPr>
          <w:lang w:val="en-CA"/>
        </w:rPr>
        <w:t xml:space="preserve"> above, since </w:t>
      </w:r>
      <w:r w:rsidR="002D51A4" w:rsidRPr="00E02273">
        <w:rPr>
          <w:lang w:val="en-CA"/>
        </w:rPr>
        <w:t xml:space="preserve">2017, section 127 </w:t>
      </w:r>
      <w:r w:rsidRPr="00E02273">
        <w:rPr>
          <w:lang w:val="en-CA"/>
        </w:rPr>
        <w:t xml:space="preserve">of the </w:t>
      </w:r>
      <w:r w:rsidRPr="00E02273">
        <w:rPr>
          <w:i/>
          <w:lang w:val="en-CA"/>
        </w:rPr>
        <w:t xml:space="preserve">Patent Act </w:t>
      </w:r>
      <w:r w:rsidR="0081216D" w:rsidRPr="00E02273">
        <w:rPr>
          <w:lang w:val="en-CA"/>
        </w:rPr>
        <w:t xml:space="preserve">explicitly provides for it with respect to medicines subject to a </w:t>
      </w:r>
      <w:r w:rsidR="00A029BC">
        <w:rPr>
          <w:lang w:val="en-CA"/>
        </w:rPr>
        <w:t xml:space="preserve">certificate of </w:t>
      </w:r>
      <w:r w:rsidR="0081216D" w:rsidRPr="00E02273">
        <w:rPr>
          <w:lang w:val="en-CA"/>
        </w:rPr>
        <w:t>supplementary protection</w:t>
      </w:r>
      <w:r w:rsidR="002D51A4" w:rsidRPr="00E02273">
        <w:rPr>
          <w:lang w:val="en-CA"/>
        </w:rPr>
        <w:t xml:space="preserve">. </w:t>
      </w:r>
    </w:p>
    <w:p w14:paraId="75564436" w14:textId="3DA612EA" w:rsidR="00B568AD" w:rsidRPr="00E02273" w:rsidRDefault="0091561C" w:rsidP="00C410DB">
      <w:pPr>
        <w:pStyle w:val="Paragraphe"/>
        <w:tabs>
          <w:tab w:val="num" w:pos="709"/>
        </w:tabs>
        <w:spacing w:line="240" w:lineRule="auto"/>
        <w:ind w:left="0"/>
        <w:rPr>
          <w:lang w:val="en-CA"/>
        </w:rPr>
      </w:pPr>
      <w:r w:rsidRPr="00E02273">
        <w:rPr>
          <w:lang w:val="en-CA"/>
        </w:rPr>
        <w:t xml:space="preserve">That being said, in addition to this </w:t>
      </w:r>
      <w:r w:rsidR="00A27151" w:rsidRPr="00E02273">
        <w:rPr>
          <w:lang w:val="en-CA"/>
        </w:rPr>
        <w:t>regime</w:t>
      </w:r>
      <w:r w:rsidRPr="00E02273">
        <w:rPr>
          <w:lang w:val="en-CA"/>
        </w:rPr>
        <w:t xml:space="preserve"> related to</w:t>
      </w:r>
      <w:r w:rsidR="004114AC">
        <w:rPr>
          <w:lang w:val="en-CA"/>
        </w:rPr>
        <w:t xml:space="preserve"> the abuse of</w:t>
      </w:r>
      <w:r w:rsidRPr="00E02273">
        <w:rPr>
          <w:lang w:val="en-CA"/>
        </w:rPr>
        <w:t xml:space="preserve"> </w:t>
      </w:r>
      <w:r w:rsidR="00A029BC">
        <w:rPr>
          <w:lang w:val="en-CA"/>
        </w:rPr>
        <w:t>patent</w:t>
      </w:r>
      <w:r w:rsidRPr="00E02273">
        <w:rPr>
          <w:lang w:val="en-CA"/>
        </w:rPr>
        <w:t xml:space="preserve">, a </w:t>
      </w:r>
      <w:r w:rsidR="00616BE2">
        <w:rPr>
          <w:lang w:val="en-CA"/>
        </w:rPr>
        <w:t>special</w:t>
      </w:r>
      <w:r w:rsidR="00616BE2" w:rsidRPr="00E02273">
        <w:rPr>
          <w:lang w:val="en-CA"/>
        </w:rPr>
        <w:t xml:space="preserve"> </w:t>
      </w:r>
      <w:r w:rsidR="00A27151" w:rsidRPr="00E02273">
        <w:rPr>
          <w:lang w:val="en-CA"/>
        </w:rPr>
        <w:t>regime</w:t>
      </w:r>
      <w:r w:rsidRPr="00E02273">
        <w:rPr>
          <w:lang w:val="en-CA"/>
        </w:rPr>
        <w:t xml:space="preserve"> for patented medicines is set out in </w:t>
      </w:r>
      <w:r w:rsidR="002D51A4" w:rsidRPr="00E02273">
        <w:rPr>
          <w:lang w:val="en-CA"/>
        </w:rPr>
        <w:t xml:space="preserve">sections 79 </w:t>
      </w:r>
      <w:r w:rsidRPr="00E02273">
        <w:rPr>
          <w:lang w:val="en-CA"/>
        </w:rPr>
        <w:t xml:space="preserve">to </w:t>
      </w:r>
      <w:r w:rsidR="002D51A4" w:rsidRPr="00E02273">
        <w:rPr>
          <w:lang w:val="en-CA"/>
        </w:rPr>
        <w:t xml:space="preserve">103 </w:t>
      </w:r>
      <w:r w:rsidRPr="00E02273">
        <w:rPr>
          <w:lang w:val="en-CA"/>
        </w:rPr>
        <w:t xml:space="preserve">of the </w:t>
      </w:r>
      <w:r w:rsidRPr="00E02273">
        <w:rPr>
          <w:i/>
          <w:lang w:val="en-CA"/>
        </w:rPr>
        <w:t>Patent Act</w:t>
      </w:r>
      <w:r w:rsidR="002D51A4" w:rsidRPr="00E02273">
        <w:rPr>
          <w:lang w:val="en-CA"/>
        </w:rPr>
        <w:t xml:space="preserve">. </w:t>
      </w:r>
      <w:r w:rsidRPr="00E02273">
        <w:rPr>
          <w:lang w:val="en-CA"/>
        </w:rPr>
        <w:t xml:space="preserve">As noted in the overview of the history of the </w:t>
      </w:r>
      <w:r w:rsidRPr="00E02273">
        <w:rPr>
          <w:i/>
          <w:lang w:val="en-CA"/>
        </w:rPr>
        <w:t>Act</w:t>
      </w:r>
      <w:r w:rsidRPr="00E02273">
        <w:rPr>
          <w:lang w:val="en-CA"/>
        </w:rPr>
        <w:t xml:space="preserve">, this </w:t>
      </w:r>
      <w:r w:rsidR="00616BE2">
        <w:rPr>
          <w:lang w:val="en-CA"/>
        </w:rPr>
        <w:t>special</w:t>
      </w:r>
      <w:r w:rsidR="00616BE2" w:rsidRPr="00E02273">
        <w:rPr>
          <w:lang w:val="en-CA"/>
        </w:rPr>
        <w:t xml:space="preserve"> </w:t>
      </w:r>
      <w:r w:rsidR="00A27151" w:rsidRPr="00E02273">
        <w:rPr>
          <w:lang w:val="en-CA"/>
        </w:rPr>
        <w:t>regime</w:t>
      </w:r>
      <w:r w:rsidRPr="00E02273">
        <w:rPr>
          <w:lang w:val="en-CA"/>
        </w:rPr>
        <w:t xml:space="preserve"> developed in parallel to the other </w:t>
      </w:r>
      <w:r w:rsidR="00A27151" w:rsidRPr="00E02273">
        <w:rPr>
          <w:lang w:val="en-CA"/>
        </w:rPr>
        <w:t>regime</w:t>
      </w:r>
      <w:r w:rsidRPr="00E02273">
        <w:rPr>
          <w:lang w:val="en-CA"/>
        </w:rPr>
        <w:t xml:space="preserve"> concerning abuse of patent</w:t>
      </w:r>
      <w:r w:rsidR="002D51A4" w:rsidRPr="00E02273">
        <w:rPr>
          <w:lang w:val="en-CA"/>
        </w:rPr>
        <w:t xml:space="preserve">. </w:t>
      </w:r>
      <w:r w:rsidR="00200924" w:rsidRPr="00E02273">
        <w:rPr>
          <w:lang w:val="en-CA"/>
        </w:rPr>
        <w:t>The reason for this is quite simple.</w:t>
      </w:r>
      <w:r w:rsidR="002D51A4" w:rsidRPr="00E02273">
        <w:rPr>
          <w:lang w:val="en-CA"/>
        </w:rPr>
        <w:t xml:space="preserve"> </w:t>
      </w:r>
      <w:r w:rsidR="008C1D14" w:rsidRPr="00E02273">
        <w:rPr>
          <w:lang w:val="en-CA"/>
        </w:rPr>
        <w:t xml:space="preserve">The </w:t>
      </w:r>
      <w:r w:rsidR="002D51A4" w:rsidRPr="00E02273">
        <w:rPr>
          <w:lang w:val="en-CA"/>
        </w:rPr>
        <w:t>monopol</w:t>
      </w:r>
      <w:r w:rsidR="008C1D14" w:rsidRPr="00E02273">
        <w:rPr>
          <w:lang w:val="en-CA"/>
        </w:rPr>
        <w:t>i</w:t>
      </w:r>
      <w:r w:rsidR="002D51A4" w:rsidRPr="00E02273">
        <w:rPr>
          <w:lang w:val="en-CA"/>
        </w:rPr>
        <w:t xml:space="preserve">es </w:t>
      </w:r>
      <w:r w:rsidR="008C1D14" w:rsidRPr="00E02273">
        <w:rPr>
          <w:lang w:val="en-CA"/>
        </w:rPr>
        <w:t xml:space="preserve">granted on medicines by patents raise </w:t>
      </w:r>
      <w:r w:rsidR="00A27D32" w:rsidRPr="00E02273">
        <w:rPr>
          <w:lang w:val="en-CA"/>
        </w:rPr>
        <w:t>questions</w:t>
      </w:r>
      <w:r w:rsidR="008C1D14" w:rsidRPr="00E02273">
        <w:rPr>
          <w:lang w:val="en-CA"/>
        </w:rPr>
        <w:t xml:space="preserve"> of </w:t>
      </w:r>
      <w:r w:rsidR="002D51A4" w:rsidRPr="00E02273">
        <w:rPr>
          <w:lang w:val="en-CA"/>
        </w:rPr>
        <w:t>public</w:t>
      </w:r>
      <w:r w:rsidR="008C1D14" w:rsidRPr="00E02273">
        <w:rPr>
          <w:lang w:val="en-CA"/>
        </w:rPr>
        <w:t xml:space="preserve"> </w:t>
      </w:r>
      <w:r w:rsidR="002D51A4" w:rsidRPr="00E02273">
        <w:rPr>
          <w:lang w:val="en-CA"/>
        </w:rPr>
        <w:t>interest</w:t>
      </w:r>
      <w:r w:rsidR="008C1D14" w:rsidRPr="00E02273">
        <w:rPr>
          <w:lang w:val="en-CA"/>
        </w:rPr>
        <w:t xml:space="preserve"> specific to the </w:t>
      </w:r>
      <w:r w:rsidR="002D51A4" w:rsidRPr="00E02273">
        <w:rPr>
          <w:lang w:val="en-CA"/>
        </w:rPr>
        <w:t>pharmaceuti</w:t>
      </w:r>
      <w:r w:rsidR="008C1D14" w:rsidRPr="00E02273">
        <w:rPr>
          <w:lang w:val="en-CA"/>
        </w:rPr>
        <w:t>cal sector, given that the health</w:t>
      </w:r>
      <w:r w:rsidR="00A27D32" w:rsidRPr="00E02273">
        <w:rPr>
          <w:lang w:val="en-CA"/>
        </w:rPr>
        <w:t xml:space="preserve"> of </w:t>
      </w:r>
      <w:r w:rsidR="002D51A4" w:rsidRPr="00E02273">
        <w:rPr>
          <w:lang w:val="en-CA"/>
        </w:rPr>
        <w:t>Canadi</w:t>
      </w:r>
      <w:r w:rsidR="00862ADA" w:rsidRPr="00E02273">
        <w:rPr>
          <w:lang w:val="en-CA"/>
        </w:rPr>
        <w:t>a</w:t>
      </w:r>
      <w:r w:rsidR="002D51A4" w:rsidRPr="00E02273">
        <w:rPr>
          <w:lang w:val="en-CA"/>
        </w:rPr>
        <w:t>ns</w:t>
      </w:r>
      <w:r w:rsidR="00A27D32" w:rsidRPr="00E02273">
        <w:rPr>
          <w:lang w:val="en-CA"/>
        </w:rPr>
        <w:t xml:space="preserve"> is at issue.</w:t>
      </w:r>
      <w:r w:rsidR="002D51A4" w:rsidRPr="00E02273">
        <w:rPr>
          <w:rStyle w:val="Appelnotedebasdep"/>
          <w:lang w:val="en-CA"/>
        </w:rPr>
        <w:footnoteReference w:id="60"/>
      </w:r>
      <w:r w:rsidR="002D51A4" w:rsidRPr="00E02273">
        <w:rPr>
          <w:lang w:val="en-CA"/>
        </w:rPr>
        <w:t xml:space="preserve"> </w:t>
      </w:r>
      <w:r w:rsidR="00A27D32" w:rsidRPr="00E02273">
        <w:rPr>
          <w:lang w:val="en-CA"/>
        </w:rPr>
        <w:t xml:space="preserve">A </w:t>
      </w:r>
      <w:r w:rsidR="00616BE2">
        <w:rPr>
          <w:lang w:val="en-CA"/>
        </w:rPr>
        <w:t>special</w:t>
      </w:r>
      <w:r w:rsidR="00616BE2" w:rsidRPr="00E02273">
        <w:rPr>
          <w:lang w:val="en-CA"/>
        </w:rPr>
        <w:t xml:space="preserve"> </w:t>
      </w:r>
      <w:r w:rsidR="00A27151" w:rsidRPr="00E02273">
        <w:rPr>
          <w:lang w:val="en-CA"/>
        </w:rPr>
        <w:t>regime</w:t>
      </w:r>
      <w:r w:rsidR="00A27D32" w:rsidRPr="00E02273">
        <w:rPr>
          <w:lang w:val="en-CA"/>
        </w:rPr>
        <w:t xml:space="preserve"> to </w:t>
      </w:r>
      <w:r w:rsidR="00362AA9" w:rsidRPr="00E02273">
        <w:rPr>
          <w:lang w:val="en-CA"/>
        </w:rPr>
        <w:t xml:space="preserve">control </w:t>
      </w:r>
      <w:r w:rsidR="002D51A4" w:rsidRPr="00E02273">
        <w:rPr>
          <w:lang w:val="en-CA"/>
        </w:rPr>
        <w:t>abus</w:t>
      </w:r>
      <w:r w:rsidR="00362AA9" w:rsidRPr="00E02273">
        <w:rPr>
          <w:lang w:val="en-CA"/>
        </w:rPr>
        <w:t>es</w:t>
      </w:r>
      <w:r w:rsidR="002D51A4" w:rsidRPr="00E02273">
        <w:rPr>
          <w:lang w:val="en-CA"/>
        </w:rPr>
        <w:t xml:space="preserve"> r</w:t>
      </w:r>
      <w:r w:rsidR="00362AA9" w:rsidRPr="00E02273">
        <w:rPr>
          <w:lang w:val="en-CA"/>
        </w:rPr>
        <w:t>e</w:t>
      </w:r>
      <w:r w:rsidR="002D51A4" w:rsidRPr="00E02273">
        <w:rPr>
          <w:lang w:val="en-CA"/>
        </w:rPr>
        <w:t>sult</w:t>
      </w:r>
      <w:r w:rsidR="00362AA9" w:rsidRPr="00E02273">
        <w:rPr>
          <w:lang w:val="en-CA"/>
        </w:rPr>
        <w:t xml:space="preserve">ing from the monopoly granted by a </w:t>
      </w:r>
      <w:r w:rsidR="002D51A4" w:rsidRPr="00E02273">
        <w:rPr>
          <w:lang w:val="en-CA"/>
        </w:rPr>
        <w:t>pharmaceuti</w:t>
      </w:r>
      <w:r w:rsidR="00362AA9" w:rsidRPr="00E02273">
        <w:rPr>
          <w:lang w:val="en-CA"/>
        </w:rPr>
        <w:t xml:space="preserve">cal patent is therefore </w:t>
      </w:r>
      <w:r w:rsidR="00616BE2">
        <w:rPr>
          <w:lang w:val="en-CA"/>
        </w:rPr>
        <w:t xml:space="preserve">considered </w:t>
      </w:r>
      <w:r w:rsidR="002D51A4" w:rsidRPr="00E02273">
        <w:rPr>
          <w:lang w:val="en-CA"/>
        </w:rPr>
        <w:t>n</w:t>
      </w:r>
      <w:r w:rsidR="00362AA9" w:rsidRPr="00E02273">
        <w:rPr>
          <w:lang w:val="en-CA"/>
        </w:rPr>
        <w:t>e</w:t>
      </w:r>
      <w:r w:rsidR="002D51A4" w:rsidRPr="00E02273">
        <w:rPr>
          <w:lang w:val="en-CA"/>
        </w:rPr>
        <w:t>cessar</w:t>
      </w:r>
      <w:r w:rsidR="00362AA9" w:rsidRPr="00E02273">
        <w:rPr>
          <w:lang w:val="en-CA"/>
        </w:rPr>
        <w:t xml:space="preserve">y to protect the </w:t>
      </w:r>
      <w:r w:rsidR="002D51A4" w:rsidRPr="00E02273">
        <w:rPr>
          <w:lang w:val="en-CA"/>
        </w:rPr>
        <w:t>Canadian</w:t>
      </w:r>
      <w:r w:rsidR="00362AA9" w:rsidRPr="00E02273">
        <w:rPr>
          <w:lang w:val="en-CA"/>
        </w:rPr>
        <w:t xml:space="preserve"> public</w:t>
      </w:r>
      <w:r w:rsidR="002D51A4" w:rsidRPr="00E02273">
        <w:rPr>
          <w:lang w:val="en-CA"/>
        </w:rPr>
        <w:t xml:space="preserve">. </w:t>
      </w:r>
    </w:p>
    <w:p w14:paraId="0983C35B" w14:textId="6CE90B07" w:rsidR="00B568AD" w:rsidRPr="00E02273" w:rsidRDefault="0080349C" w:rsidP="00C410DB">
      <w:pPr>
        <w:pStyle w:val="Paragraphe"/>
        <w:tabs>
          <w:tab w:val="num" w:pos="709"/>
        </w:tabs>
        <w:spacing w:line="240" w:lineRule="auto"/>
        <w:ind w:left="0"/>
        <w:rPr>
          <w:lang w:val="en-CA"/>
        </w:rPr>
      </w:pPr>
      <w:r w:rsidRPr="00E02273">
        <w:rPr>
          <w:lang w:val="en-CA"/>
        </w:rPr>
        <w:t xml:space="preserve">This </w:t>
      </w:r>
      <w:r w:rsidR="00616BE2">
        <w:rPr>
          <w:lang w:val="en-CA"/>
        </w:rPr>
        <w:t>special</w:t>
      </w:r>
      <w:r w:rsidR="00616BE2" w:rsidRPr="00E02273">
        <w:rPr>
          <w:lang w:val="en-CA"/>
        </w:rPr>
        <w:t xml:space="preserve"> </w:t>
      </w:r>
      <w:r w:rsidR="002D51A4" w:rsidRPr="00E02273">
        <w:rPr>
          <w:lang w:val="en-CA"/>
        </w:rPr>
        <w:t>legislative</w:t>
      </w:r>
      <w:r w:rsidRPr="00E02273">
        <w:rPr>
          <w:lang w:val="en-CA"/>
        </w:rPr>
        <w:t xml:space="preserve"> </w:t>
      </w:r>
      <w:r w:rsidR="00A27151" w:rsidRPr="00E02273">
        <w:rPr>
          <w:lang w:val="en-CA"/>
        </w:rPr>
        <w:t>regime</w:t>
      </w:r>
      <w:r w:rsidR="00737E5F" w:rsidRPr="00E02273">
        <w:rPr>
          <w:lang w:val="en-CA"/>
        </w:rPr>
        <w:t xml:space="preserve"> replaced the former com</w:t>
      </w:r>
      <w:r w:rsidR="00B2159C" w:rsidRPr="00E02273">
        <w:rPr>
          <w:lang w:val="en-CA"/>
        </w:rPr>
        <w:t>p</w:t>
      </w:r>
      <w:r w:rsidR="00737E5F" w:rsidRPr="00E02273">
        <w:rPr>
          <w:lang w:val="en-CA"/>
        </w:rPr>
        <w:t xml:space="preserve">ulsory licensing </w:t>
      </w:r>
      <w:r w:rsidR="00A27151" w:rsidRPr="00E02273">
        <w:rPr>
          <w:lang w:val="en-CA"/>
        </w:rPr>
        <w:t>regime</w:t>
      </w:r>
      <w:r w:rsidR="00737E5F" w:rsidRPr="00E02273">
        <w:rPr>
          <w:lang w:val="en-CA"/>
        </w:rPr>
        <w:t xml:space="preserve"> that had become inoperative as a result of Canada’s international</w:t>
      </w:r>
      <w:r w:rsidR="002D51A4" w:rsidRPr="00E02273">
        <w:rPr>
          <w:lang w:val="en-CA"/>
        </w:rPr>
        <w:t xml:space="preserve"> obligations</w:t>
      </w:r>
      <w:r w:rsidR="00737E5F" w:rsidRPr="00E02273">
        <w:rPr>
          <w:lang w:val="en-CA"/>
        </w:rPr>
        <w:t>. Its purpose is to prevent patented medicines from being sold at excessive prices.</w:t>
      </w:r>
      <w:r w:rsidR="002D51A4" w:rsidRPr="00E02273">
        <w:rPr>
          <w:rStyle w:val="Appelnotedebasdep"/>
          <w:lang w:val="en-CA"/>
        </w:rPr>
        <w:footnoteReference w:id="61"/>
      </w:r>
      <w:r w:rsidR="002D51A4" w:rsidRPr="00E02273">
        <w:rPr>
          <w:lang w:val="en-CA"/>
        </w:rPr>
        <w:t xml:space="preserve"> </w:t>
      </w:r>
      <w:r w:rsidR="00B2159C" w:rsidRPr="00E02273">
        <w:rPr>
          <w:lang w:val="en-CA"/>
        </w:rPr>
        <w:t xml:space="preserve">The </w:t>
      </w:r>
      <w:r w:rsidR="00B2159C" w:rsidRPr="00E02273">
        <w:rPr>
          <w:i/>
          <w:lang w:val="en-CA"/>
        </w:rPr>
        <w:t xml:space="preserve">Patent Act </w:t>
      </w:r>
      <w:r w:rsidR="00B2159C" w:rsidRPr="00E02273">
        <w:rPr>
          <w:lang w:val="en-CA"/>
        </w:rPr>
        <w:t xml:space="preserve">does not define an excessive price, but it can be understood from the factors set out in the </w:t>
      </w:r>
      <w:r w:rsidR="00B2159C" w:rsidRPr="00E02273">
        <w:rPr>
          <w:i/>
          <w:lang w:val="en-CA"/>
        </w:rPr>
        <w:t xml:space="preserve">Act </w:t>
      </w:r>
      <w:r w:rsidR="00B2159C" w:rsidRPr="00E02273">
        <w:rPr>
          <w:lang w:val="en-CA"/>
        </w:rPr>
        <w:t xml:space="preserve">that it is a price that, without </w:t>
      </w:r>
      <w:r w:rsidR="002D51A4" w:rsidRPr="00E02273">
        <w:rPr>
          <w:lang w:val="en-CA"/>
        </w:rPr>
        <w:t xml:space="preserve">justification, </w:t>
      </w:r>
      <w:r w:rsidR="00B2159C" w:rsidRPr="00E02273">
        <w:rPr>
          <w:lang w:val="en-CA"/>
        </w:rPr>
        <w:t>exceeds the price of</w:t>
      </w:r>
      <w:r w:rsidR="00BD74FB">
        <w:rPr>
          <w:lang w:val="en-CA"/>
        </w:rPr>
        <w:t xml:space="preserve"> other</w:t>
      </w:r>
      <w:r w:rsidR="00B2159C" w:rsidRPr="00E02273">
        <w:rPr>
          <w:lang w:val="en-CA"/>
        </w:rPr>
        <w:t xml:space="preserve"> medic</w:t>
      </w:r>
      <w:r w:rsidR="00FE1C1B">
        <w:rPr>
          <w:lang w:val="en-CA"/>
        </w:rPr>
        <w:t>ines</w:t>
      </w:r>
      <w:r w:rsidR="00B2159C" w:rsidRPr="00E02273">
        <w:rPr>
          <w:lang w:val="en-CA"/>
        </w:rPr>
        <w:t xml:space="preserve"> </w:t>
      </w:r>
      <w:r w:rsidR="00FE1C1B">
        <w:rPr>
          <w:lang w:val="en-CA"/>
        </w:rPr>
        <w:t>in the same therapeutic class or that otherwise exceed</w:t>
      </w:r>
      <w:r w:rsidR="005535E3">
        <w:rPr>
          <w:lang w:val="en-CA"/>
        </w:rPr>
        <w:t>s</w:t>
      </w:r>
      <w:r w:rsidR="00FE1C1B">
        <w:rPr>
          <w:lang w:val="en-CA"/>
        </w:rPr>
        <w:t xml:space="preserve"> the price for the same medicine </w:t>
      </w:r>
      <w:r w:rsidR="00B2159C" w:rsidRPr="00E02273">
        <w:rPr>
          <w:lang w:val="en-CA"/>
        </w:rPr>
        <w:t xml:space="preserve">in countries </w:t>
      </w:r>
      <w:r w:rsidR="002D51A4" w:rsidRPr="00E02273">
        <w:rPr>
          <w:lang w:val="en-CA"/>
        </w:rPr>
        <w:t>reasonably comparable</w:t>
      </w:r>
      <w:r w:rsidR="00B2159C" w:rsidRPr="00E02273">
        <w:rPr>
          <w:lang w:val="en-CA"/>
        </w:rPr>
        <w:t xml:space="preserve"> to </w:t>
      </w:r>
      <w:r w:rsidR="002D51A4" w:rsidRPr="00E02273">
        <w:rPr>
          <w:lang w:val="en-CA"/>
        </w:rPr>
        <w:t xml:space="preserve">Canada. </w:t>
      </w:r>
    </w:p>
    <w:p w14:paraId="1EEA37BA" w14:textId="4AEE18CF" w:rsidR="00B568AD" w:rsidRPr="00E02273" w:rsidRDefault="002F2155" w:rsidP="00C410DB">
      <w:pPr>
        <w:pStyle w:val="Paragraphe"/>
        <w:tabs>
          <w:tab w:val="num" w:pos="709"/>
        </w:tabs>
        <w:spacing w:line="240" w:lineRule="auto"/>
        <w:ind w:left="0"/>
        <w:rPr>
          <w:lang w:val="en-CA"/>
        </w:rPr>
      </w:pPr>
      <w:r w:rsidRPr="00E02273">
        <w:rPr>
          <w:lang w:val="en-CA"/>
        </w:rPr>
        <w:t xml:space="preserve">The </w:t>
      </w:r>
      <w:r w:rsidR="002D51A4" w:rsidRPr="00E02273">
        <w:rPr>
          <w:lang w:val="en-CA"/>
        </w:rPr>
        <w:t>principa</w:t>
      </w:r>
      <w:r w:rsidRPr="00E02273">
        <w:rPr>
          <w:lang w:val="en-CA"/>
        </w:rPr>
        <w:t>l ele</w:t>
      </w:r>
      <w:r w:rsidR="002D51A4" w:rsidRPr="00E02273">
        <w:rPr>
          <w:lang w:val="en-CA"/>
        </w:rPr>
        <w:t xml:space="preserve">ments </w:t>
      </w:r>
      <w:r w:rsidRPr="00E02273">
        <w:rPr>
          <w:lang w:val="en-CA"/>
        </w:rPr>
        <w:t xml:space="preserve">of the </w:t>
      </w:r>
      <w:r w:rsidR="00A27151" w:rsidRPr="00E02273">
        <w:rPr>
          <w:lang w:val="en-CA"/>
        </w:rPr>
        <w:t>regime</w:t>
      </w:r>
      <w:r w:rsidRPr="00E02273">
        <w:rPr>
          <w:lang w:val="en-CA"/>
        </w:rPr>
        <w:t xml:space="preserve"> include an </w:t>
      </w:r>
      <w:r w:rsidR="002D51A4" w:rsidRPr="00E02273">
        <w:rPr>
          <w:lang w:val="en-CA"/>
        </w:rPr>
        <w:t>obligation</w:t>
      </w:r>
      <w:r w:rsidRPr="00E02273">
        <w:rPr>
          <w:lang w:val="en-CA"/>
        </w:rPr>
        <w:t xml:space="preserve"> to disclose prices as well as control mech</w:t>
      </w:r>
      <w:r w:rsidR="002D51A4" w:rsidRPr="00E02273">
        <w:rPr>
          <w:lang w:val="en-CA"/>
        </w:rPr>
        <w:t xml:space="preserve">anisms. </w:t>
      </w:r>
    </w:p>
    <w:p w14:paraId="1A68A0DB" w14:textId="7EBD5BD4" w:rsidR="00B568AD" w:rsidRPr="00E02273" w:rsidRDefault="005B6DF2" w:rsidP="00C410DB">
      <w:pPr>
        <w:pStyle w:val="Paragraphe"/>
        <w:tabs>
          <w:tab w:val="num" w:pos="709"/>
        </w:tabs>
        <w:spacing w:line="240" w:lineRule="auto"/>
        <w:ind w:left="0"/>
        <w:rPr>
          <w:lang w:val="en-CA"/>
        </w:rPr>
      </w:pPr>
      <w:r w:rsidRPr="00E02273">
        <w:rPr>
          <w:lang w:val="en-CA"/>
        </w:rPr>
        <w:t xml:space="preserve">With respect to the disclosure </w:t>
      </w:r>
      <w:r w:rsidR="002D51A4" w:rsidRPr="00E02273">
        <w:rPr>
          <w:lang w:val="en-CA"/>
        </w:rPr>
        <w:t xml:space="preserve">obligations, </w:t>
      </w:r>
      <w:r w:rsidRPr="00E02273">
        <w:rPr>
          <w:lang w:val="en-CA"/>
        </w:rPr>
        <w:t xml:space="preserve">subsection </w:t>
      </w:r>
      <w:r w:rsidR="002D51A4" w:rsidRPr="00E02273">
        <w:rPr>
          <w:lang w:val="en-CA"/>
        </w:rPr>
        <w:t>80(1)</w:t>
      </w:r>
      <w:r w:rsidR="00170A62" w:rsidRPr="00E02273">
        <w:rPr>
          <w:lang w:val="en-CA"/>
        </w:rPr>
        <w:t xml:space="preserve"> of the</w:t>
      </w:r>
      <w:r w:rsidR="002D51A4" w:rsidRPr="00E02273">
        <w:rPr>
          <w:lang w:val="en-CA"/>
        </w:rPr>
        <w:t xml:space="preserve"> </w:t>
      </w:r>
      <w:r w:rsidRPr="00E02273">
        <w:rPr>
          <w:i/>
          <w:lang w:val="en-CA"/>
        </w:rPr>
        <w:t xml:space="preserve">Patent Act </w:t>
      </w:r>
      <w:r w:rsidRPr="00E02273">
        <w:rPr>
          <w:lang w:val="en-CA"/>
        </w:rPr>
        <w:t>and the</w:t>
      </w:r>
      <w:r w:rsidR="00170A62" w:rsidRPr="00E02273">
        <w:rPr>
          <w:lang w:val="en-CA"/>
        </w:rPr>
        <w:t xml:space="preserve"> </w:t>
      </w:r>
      <w:r w:rsidR="00170A62" w:rsidRPr="00E02273">
        <w:rPr>
          <w:i/>
          <w:lang w:val="en-CA"/>
        </w:rPr>
        <w:t xml:space="preserve">Patented Medicines Regulations </w:t>
      </w:r>
      <w:r w:rsidR="00170A62" w:rsidRPr="00E02273">
        <w:rPr>
          <w:lang w:val="en-CA"/>
        </w:rPr>
        <w:t>state that the patentee</w:t>
      </w:r>
      <w:r w:rsidR="002D51A4" w:rsidRPr="00E02273">
        <w:rPr>
          <w:rStyle w:val="Appelnotedebasdep"/>
          <w:lang w:val="en-CA"/>
        </w:rPr>
        <w:footnoteReference w:id="62"/>
      </w:r>
      <w:r w:rsidR="002D51A4" w:rsidRPr="00E02273">
        <w:rPr>
          <w:lang w:val="en-CA"/>
        </w:rPr>
        <w:t xml:space="preserve"> </w:t>
      </w:r>
      <w:r w:rsidR="007431A6" w:rsidRPr="00E02273">
        <w:rPr>
          <w:lang w:val="en-CA"/>
        </w:rPr>
        <w:t xml:space="preserve">must provide the </w:t>
      </w:r>
      <w:r w:rsidR="00A524E4" w:rsidRPr="00E02273">
        <w:rPr>
          <w:lang w:val="en-CA"/>
        </w:rPr>
        <w:t>Board</w:t>
      </w:r>
      <w:r w:rsidR="007431A6" w:rsidRPr="00E02273">
        <w:rPr>
          <w:lang w:val="en-CA"/>
        </w:rPr>
        <w:t xml:space="preserve"> with </w:t>
      </w:r>
      <w:r w:rsidR="007431A6" w:rsidRPr="00E02273">
        <w:rPr>
          <w:lang w:val="en-CA"/>
        </w:rPr>
        <w:lastRenderedPageBreak/>
        <w:t xml:space="preserve">the information necessary to allow it to implement the </w:t>
      </w:r>
      <w:r w:rsidR="00A27151" w:rsidRPr="00E02273">
        <w:rPr>
          <w:lang w:val="en-CA"/>
        </w:rPr>
        <w:t>regime</w:t>
      </w:r>
      <w:r w:rsidR="007431A6" w:rsidRPr="00E02273">
        <w:rPr>
          <w:lang w:val="en-CA"/>
        </w:rPr>
        <w:t>. In particular, such information concerns the identity of the medicine,</w:t>
      </w:r>
      <w:r w:rsidR="002D51A4" w:rsidRPr="00E02273">
        <w:rPr>
          <w:rStyle w:val="Appelnotedebasdep"/>
          <w:lang w:val="en-CA"/>
        </w:rPr>
        <w:footnoteReference w:id="63"/>
      </w:r>
      <w:r w:rsidR="007431A6" w:rsidRPr="00E02273">
        <w:rPr>
          <w:lang w:val="en-CA"/>
        </w:rPr>
        <w:t xml:space="preserve"> the price at which it is sold on the </w:t>
      </w:r>
      <w:r w:rsidR="002D51A4" w:rsidRPr="00E02273">
        <w:rPr>
          <w:lang w:val="en-CA"/>
        </w:rPr>
        <w:t>Canadian</w:t>
      </w:r>
      <w:r w:rsidR="007431A6" w:rsidRPr="00E02273">
        <w:rPr>
          <w:lang w:val="en-CA"/>
        </w:rPr>
        <w:t xml:space="preserve"> markets, and the price at which it is sold on the foreign markets identified by the </w:t>
      </w:r>
      <w:r w:rsidR="007431A6" w:rsidRPr="00E02273">
        <w:rPr>
          <w:i/>
          <w:lang w:val="en-CA"/>
        </w:rPr>
        <w:t>Regulation</w:t>
      </w:r>
      <w:r w:rsidR="007431A6" w:rsidRPr="00E02273">
        <w:rPr>
          <w:lang w:val="en-CA"/>
        </w:rPr>
        <w:t>, that is,</w:t>
      </w:r>
      <w:r w:rsidR="002D51A4" w:rsidRPr="00E02273">
        <w:rPr>
          <w:lang w:val="en-CA"/>
        </w:rPr>
        <w:t xml:space="preserve"> (</w:t>
      </w:r>
      <w:r w:rsidR="007431A6" w:rsidRPr="00E02273">
        <w:rPr>
          <w:lang w:val="en-CA"/>
        </w:rPr>
        <w:t>for the time being</w:t>
      </w:r>
      <w:r w:rsidR="002D51A4" w:rsidRPr="00E02273">
        <w:rPr>
          <w:lang w:val="en-CA"/>
        </w:rPr>
        <w:t xml:space="preserve">) France, </w:t>
      </w:r>
      <w:r w:rsidR="007431A6" w:rsidRPr="00E02273">
        <w:rPr>
          <w:lang w:val="en-CA"/>
        </w:rPr>
        <w:t>Germany</w:t>
      </w:r>
      <w:r w:rsidR="002D51A4" w:rsidRPr="00E02273">
        <w:rPr>
          <w:lang w:val="en-CA"/>
        </w:rPr>
        <w:t>, Ital</w:t>
      </w:r>
      <w:r w:rsidR="007431A6" w:rsidRPr="00E02273">
        <w:rPr>
          <w:lang w:val="en-CA"/>
        </w:rPr>
        <w:t>y, S</w:t>
      </w:r>
      <w:r w:rsidR="00F47A34" w:rsidRPr="00E02273">
        <w:rPr>
          <w:lang w:val="en-CA"/>
        </w:rPr>
        <w:t xml:space="preserve">weden, Switzerland, the </w:t>
      </w:r>
      <w:r w:rsidR="002D51A4" w:rsidRPr="00E02273">
        <w:rPr>
          <w:lang w:val="en-CA"/>
        </w:rPr>
        <w:t>United</w:t>
      </w:r>
      <w:r w:rsidR="00F47A34" w:rsidRPr="00E02273">
        <w:rPr>
          <w:lang w:val="en-CA"/>
        </w:rPr>
        <w:t xml:space="preserve"> </w:t>
      </w:r>
      <w:r w:rsidR="002D51A4" w:rsidRPr="00E02273">
        <w:rPr>
          <w:lang w:val="en-CA"/>
        </w:rPr>
        <w:t>Kingdom</w:t>
      </w:r>
      <w:r w:rsidR="00F47A34" w:rsidRPr="00E02273">
        <w:rPr>
          <w:lang w:val="en-CA"/>
        </w:rPr>
        <w:t xml:space="preserve">, and the </w:t>
      </w:r>
      <w:r w:rsidR="002D51A4" w:rsidRPr="00E02273">
        <w:rPr>
          <w:lang w:val="en-CA"/>
        </w:rPr>
        <w:t>United</w:t>
      </w:r>
      <w:r w:rsidR="00F47A34" w:rsidRPr="00E02273">
        <w:rPr>
          <w:lang w:val="en-CA"/>
        </w:rPr>
        <w:t xml:space="preserve"> </w:t>
      </w:r>
      <w:r w:rsidR="002D51A4" w:rsidRPr="00E02273">
        <w:rPr>
          <w:lang w:val="en-CA"/>
        </w:rPr>
        <w:t>States</w:t>
      </w:r>
      <w:r w:rsidR="00F47A34" w:rsidRPr="00E02273">
        <w:rPr>
          <w:lang w:val="en-CA"/>
        </w:rPr>
        <w:t>.</w:t>
      </w:r>
      <w:r w:rsidR="002D51A4" w:rsidRPr="00E02273">
        <w:rPr>
          <w:rStyle w:val="Appelnotedebasdep"/>
          <w:lang w:val="en-CA"/>
        </w:rPr>
        <w:footnoteReference w:id="64"/>
      </w:r>
      <w:r w:rsidR="00F47A34" w:rsidRPr="00E02273">
        <w:rPr>
          <w:lang w:val="en-CA"/>
        </w:rPr>
        <w:t xml:space="preserve"> The information on the price at which the medicine </w:t>
      </w:r>
      <w:r w:rsidR="00FB2DC9">
        <w:rPr>
          <w:lang w:val="en-CA"/>
        </w:rPr>
        <w:t>is</w:t>
      </w:r>
      <w:r w:rsidR="00F47A34" w:rsidRPr="00E02273">
        <w:rPr>
          <w:lang w:val="en-CA"/>
        </w:rPr>
        <w:t xml:space="preserve"> sold in </w:t>
      </w:r>
      <w:r w:rsidR="002D51A4" w:rsidRPr="00E02273">
        <w:rPr>
          <w:lang w:val="en-CA"/>
        </w:rPr>
        <w:t xml:space="preserve">Canada </w:t>
      </w:r>
      <w:r w:rsidR="00F47A34" w:rsidRPr="00E02273">
        <w:rPr>
          <w:lang w:val="en-CA"/>
        </w:rPr>
        <w:t xml:space="preserve">and </w:t>
      </w:r>
      <w:r w:rsidR="0058133D">
        <w:rPr>
          <w:lang w:val="en-CA"/>
        </w:rPr>
        <w:t>elsewhere</w:t>
      </w:r>
      <w:r w:rsidR="0058133D" w:rsidRPr="00E02273">
        <w:rPr>
          <w:lang w:val="en-CA"/>
        </w:rPr>
        <w:t xml:space="preserve"> </w:t>
      </w:r>
      <w:r w:rsidR="00F47A34" w:rsidRPr="00E02273">
        <w:rPr>
          <w:lang w:val="en-CA"/>
        </w:rPr>
        <w:t>must concern sales made by the patentee itself or, in other words, at the ex-factory price.</w:t>
      </w:r>
      <w:r w:rsidR="002D51A4" w:rsidRPr="00E02273">
        <w:rPr>
          <w:rStyle w:val="Appelnotedebasdep"/>
          <w:lang w:val="en-CA"/>
        </w:rPr>
        <w:footnoteReference w:id="65"/>
      </w:r>
      <w:r w:rsidR="002D51A4" w:rsidRPr="00E02273">
        <w:rPr>
          <w:lang w:val="en-CA"/>
        </w:rPr>
        <w:t xml:space="preserve"> </w:t>
      </w:r>
    </w:p>
    <w:p w14:paraId="3AEFB392" w14:textId="40C1C6F1" w:rsidR="00B568AD" w:rsidRPr="00E02273" w:rsidRDefault="001B528D" w:rsidP="00C410DB">
      <w:pPr>
        <w:pStyle w:val="Paragraphe"/>
        <w:tabs>
          <w:tab w:val="num" w:pos="709"/>
        </w:tabs>
        <w:spacing w:line="240" w:lineRule="auto"/>
        <w:ind w:left="0"/>
        <w:rPr>
          <w:lang w:val="en-CA"/>
        </w:rPr>
      </w:pPr>
      <w:r w:rsidRPr="00E02273">
        <w:rPr>
          <w:lang w:val="en-CA"/>
        </w:rPr>
        <w:t xml:space="preserve">As for the control mechanisms, subsection </w:t>
      </w:r>
      <w:r w:rsidR="002D51A4" w:rsidRPr="00E02273">
        <w:rPr>
          <w:lang w:val="en-CA"/>
        </w:rPr>
        <w:t>85(1) of</w:t>
      </w:r>
      <w:r w:rsidRPr="00E02273">
        <w:rPr>
          <w:lang w:val="en-CA"/>
        </w:rPr>
        <w:t xml:space="preserve"> </w:t>
      </w:r>
      <w:r w:rsidR="002D51A4" w:rsidRPr="00E02273">
        <w:rPr>
          <w:lang w:val="en-CA"/>
        </w:rPr>
        <w:t>the</w:t>
      </w:r>
      <w:r w:rsidRPr="00E02273">
        <w:rPr>
          <w:lang w:val="en-CA"/>
        </w:rPr>
        <w:t xml:space="preserve"> </w:t>
      </w:r>
      <w:r w:rsidRPr="00E02273">
        <w:rPr>
          <w:i/>
          <w:lang w:val="en-CA"/>
        </w:rPr>
        <w:t xml:space="preserve">Patent Act </w:t>
      </w:r>
      <w:r w:rsidRPr="00E02273">
        <w:rPr>
          <w:lang w:val="en-CA"/>
        </w:rPr>
        <w:t>sets out the factors that the Board must take into account to determine whether a medicine is being or has been sold at an excessive price in a</w:t>
      </w:r>
      <w:r w:rsidR="00BD74FB">
        <w:rPr>
          <w:lang w:val="en-CA"/>
        </w:rPr>
        <w:t>ny</w:t>
      </w:r>
      <w:r w:rsidRPr="00E02273">
        <w:rPr>
          <w:lang w:val="en-CA"/>
        </w:rPr>
        <w:t xml:space="preserve"> </w:t>
      </w:r>
      <w:r w:rsidR="00BD74FB">
        <w:rPr>
          <w:lang w:val="en-CA"/>
        </w:rPr>
        <w:t xml:space="preserve">market in </w:t>
      </w:r>
      <w:r w:rsidRPr="00E02273">
        <w:rPr>
          <w:lang w:val="en-CA"/>
        </w:rPr>
        <w:t>Canad</w:t>
      </w:r>
      <w:r w:rsidR="00BD74FB">
        <w:rPr>
          <w:lang w:val="en-CA"/>
        </w:rPr>
        <w:t>a</w:t>
      </w:r>
      <w:r w:rsidR="002D51A4" w:rsidRPr="00E02273">
        <w:rPr>
          <w:lang w:val="en-CA"/>
        </w:rPr>
        <w:t>.</w:t>
      </w:r>
      <w:r w:rsidRPr="00E02273">
        <w:rPr>
          <w:lang w:val="en-CA"/>
        </w:rPr>
        <w:t xml:space="preserve"> These are essentially the same factors established since the Board’s creation in </w:t>
      </w:r>
      <w:r w:rsidR="002D51A4" w:rsidRPr="00E02273">
        <w:rPr>
          <w:lang w:val="en-CA"/>
        </w:rPr>
        <w:t>1987</w:t>
      </w:r>
      <w:r w:rsidR="00200924" w:rsidRPr="00E02273">
        <w:rPr>
          <w:lang w:val="en-CA"/>
        </w:rPr>
        <w:t>:</w:t>
      </w:r>
      <w:r w:rsidR="002D51A4" w:rsidRPr="00E02273">
        <w:rPr>
          <w:rStyle w:val="Appelnotedebasdep"/>
          <w:lang w:val="en-CA"/>
        </w:rPr>
        <w:footnoteReference w:id="66"/>
      </w:r>
    </w:p>
    <w:p w14:paraId="18C8C2DB" w14:textId="4BDE5263" w:rsidR="00B568AD" w:rsidRPr="00E02273" w:rsidRDefault="00200924" w:rsidP="00B568AD">
      <w:pPr>
        <w:pStyle w:val="Paragraphe"/>
        <w:numPr>
          <w:ilvl w:val="0"/>
          <w:numId w:val="27"/>
        </w:numPr>
        <w:spacing w:line="240" w:lineRule="auto"/>
        <w:ind w:left="1134"/>
        <w:rPr>
          <w:lang w:val="en-CA"/>
        </w:rPr>
      </w:pPr>
      <w:r w:rsidRPr="00E02273">
        <w:rPr>
          <w:lang w:val="en-CA"/>
        </w:rPr>
        <w:t>the prices at which the medicine has been sold in the relevant market;</w:t>
      </w:r>
    </w:p>
    <w:p w14:paraId="68E804BA" w14:textId="23404AB6" w:rsidR="00B568AD" w:rsidRPr="00E02273" w:rsidRDefault="00200924" w:rsidP="00B568AD">
      <w:pPr>
        <w:pStyle w:val="Paragraphe"/>
        <w:numPr>
          <w:ilvl w:val="0"/>
          <w:numId w:val="27"/>
        </w:numPr>
        <w:spacing w:line="240" w:lineRule="auto"/>
        <w:ind w:left="1134"/>
        <w:rPr>
          <w:lang w:val="en-CA"/>
        </w:rPr>
      </w:pPr>
      <w:r w:rsidRPr="00E02273">
        <w:rPr>
          <w:lang w:val="en-CA"/>
        </w:rPr>
        <w:t>the prices at which other medicines in the same therapeutic class have been sold in the relevant market;</w:t>
      </w:r>
    </w:p>
    <w:p w14:paraId="280A441D" w14:textId="3FDDCE5B" w:rsidR="00B568AD" w:rsidRPr="00E02273" w:rsidRDefault="00200924" w:rsidP="00B568AD">
      <w:pPr>
        <w:pStyle w:val="Paragraphe"/>
        <w:numPr>
          <w:ilvl w:val="0"/>
          <w:numId w:val="27"/>
        </w:numPr>
        <w:spacing w:line="240" w:lineRule="auto"/>
        <w:ind w:left="1134"/>
        <w:rPr>
          <w:lang w:val="en-CA"/>
        </w:rPr>
      </w:pPr>
      <w:r w:rsidRPr="00E02273">
        <w:rPr>
          <w:lang w:val="en-CA"/>
        </w:rPr>
        <w:t>the prices at which the medicine and other medicines in the same therapeutic class have been sold in countries other than Canada;</w:t>
      </w:r>
    </w:p>
    <w:p w14:paraId="2CE3DFA2" w14:textId="7D7C82D0" w:rsidR="00B568AD" w:rsidRPr="00E02273" w:rsidRDefault="007546E4" w:rsidP="00B568AD">
      <w:pPr>
        <w:pStyle w:val="Paragraphe"/>
        <w:numPr>
          <w:ilvl w:val="0"/>
          <w:numId w:val="27"/>
        </w:numPr>
        <w:spacing w:line="240" w:lineRule="auto"/>
        <w:ind w:left="1134"/>
        <w:rPr>
          <w:lang w:val="en-CA"/>
        </w:rPr>
      </w:pPr>
      <w:r w:rsidRPr="00E02273">
        <w:rPr>
          <w:lang w:val="en-CA"/>
        </w:rPr>
        <w:t>changes in the Consumer Price Index; and</w:t>
      </w:r>
    </w:p>
    <w:p w14:paraId="3D070E30" w14:textId="1604F456" w:rsidR="00B568AD" w:rsidRPr="00E02273" w:rsidRDefault="001B528D" w:rsidP="00B568AD">
      <w:pPr>
        <w:pStyle w:val="Paragraphe"/>
        <w:numPr>
          <w:ilvl w:val="0"/>
          <w:numId w:val="27"/>
        </w:numPr>
        <w:spacing w:line="240" w:lineRule="auto"/>
        <w:ind w:left="1134"/>
        <w:rPr>
          <w:lang w:val="en-CA"/>
        </w:rPr>
      </w:pPr>
      <w:r w:rsidRPr="00E02273">
        <w:rPr>
          <w:lang w:val="en-CA"/>
        </w:rPr>
        <w:t xml:space="preserve">the other factors specified by </w:t>
      </w:r>
      <w:r w:rsidR="00866E58" w:rsidRPr="00E02273">
        <w:rPr>
          <w:lang w:val="en-CA"/>
        </w:rPr>
        <w:t xml:space="preserve">regulation, it being noted that no additional regulatory factor was established before the </w:t>
      </w:r>
      <w:r w:rsidR="00866E58" w:rsidRPr="00E02273">
        <w:rPr>
          <w:i/>
          <w:lang w:val="en-CA"/>
        </w:rPr>
        <w:t>2019 Regulatory Amendments</w:t>
      </w:r>
      <w:r w:rsidR="002D51A4" w:rsidRPr="00E02273">
        <w:rPr>
          <w:lang w:val="en-CA"/>
        </w:rPr>
        <w:t>.</w:t>
      </w:r>
    </w:p>
    <w:p w14:paraId="52B81417" w14:textId="5CAF9757" w:rsidR="00B568AD" w:rsidRPr="00E02273" w:rsidRDefault="007546E4" w:rsidP="009D7203">
      <w:pPr>
        <w:pStyle w:val="Paragraphe"/>
        <w:tabs>
          <w:tab w:val="clear" w:pos="4973"/>
          <w:tab w:val="num" w:pos="709"/>
        </w:tabs>
        <w:spacing w:line="240" w:lineRule="auto"/>
        <w:ind w:left="0"/>
        <w:rPr>
          <w:lang w:val="en-CA"/>
        </w:rPr>
      </w:pPr>
      <w:r w:rsidRPr="00E02273">
        <w:rPr>
          <w:lang w:val="en-CA"/>
        </w:rPr>
        <w:t xml:space="preserve">Where, after taking these factors into consideration, the Board is unable to determine whether the medicine is being or has been </w:t>
      </w:r>
      <w:r w:rsidR="00FB2DC9">
        <w:rPr>
          <w:lang w:val="en-CA"/>
        </w:rPr>
        <w:t xml:space="preserve">sold </w:t>
      </w:r>
      <w:r w:rsidRPr="00E02273">
        <w:rPr>
          <w:lang w:val="en-CA"/>
        </w:rPr>
        <w:t>at an excessive price, the Board may take into consideration the</w:t>
      </w:r>
      <w:r w:rsidR="002D51A4" w:rsidRPr="00E02273">
        <w:rPr>
          <w:lang w:val="en-CA"/>
        </w:rPr>
        <w:t xml:space="preserve"> </w:t>
      </w:r>
      <w:r w:rsidR="00186304" w:rsidRPr="00E02273">
        <w:rPr>
          <w:lang w:val="en-CA"/>
        </w:rPr>
        <w:t>costs of making and marketing the medicin</w:t>
      </w:r>
      <w:r w:rsidR="00763E36" w:rsidRPr="00E02273">
        <w:rPr>
          <w:lang w:val="en-CA"/>
        </w:rPr>
        <w:t>e</w:t>
      </w:r>
      <w:r w:rsidRPr="00E02273">
        <w:rPr>
          <w:lang w:val="en-CA"/>
        </w:rPr>
        <w:t>.</w:t>
      </w:r>
      <w:r w:rsidR="002D51A4" w:rsidRPr="00E02273">
        <w:rPr>
          <w:rStyle w:val="Appelnotedebasdep"/>
          <w:lang w:val="en-CA"/>
        </w:rPr>
        <w:footnoteReference w:id="67"/>
      </w:r>
      <w:r w:rsidRPr="00E02273">
        <w:rPr>
          <w:lang w:val="en-CA"/>
        </w:rPr>
        <w:t xml:space="preserve"> Note that the Board cannot take into consideration research costs other than the Canadian portion of the world costs of the research that led to the invention, development, or commercialization of the medicine, calculated in proportion to the ratio of sales by the rights holder in Canada to total world sales.</w:t>
      </w:r>
      <w:r w:rsidR="002D51A4" w:rsidRPr="00E02273">
        <w:rPr>
          <w:rStyle w:val="Appelnotedebasdep"/>
          <w:lang w:val="en-CA"/>
        </w:rPr>
        <w:footnoteReference w:id="68"/>
      </w:r>
      <w:r w:rsidRPr="00E02273">
        <w:rPr>
          <w:lang w:val="en-CA"/>
        </w:rPr>
        <w:t xml:space="preserve"> </w:t>
      </w:r>
    </w:p>
    <w:p w14:paraId="7AE78939" w14:textId="20A36EB8" w:rsidR="00B568AD" w:rsidRPr="00E02273" w:rsidRDefault="007546E4" w:rsidP="009D7203">
      <w:pPr>
        <w:pStyle w:val="Paragraphe"/>
        <w:tabs>
          <w:tab w:val="clear" w:pos="4973"/>
          <w:tab w:val="num" w:pos="709"/>
        </w:tabs>
        <w:spacing w:line="240" w:lineRule="auto"/>
        <w:ind w:left="0"/>
        <w:rPr>
          <w:lang w:val="en-CA"/>
        </w:rPr>
      </w:pPr>
      <w:r w:rsidRPr="00E02273">
        <w:rPr>
          <w:lang w:val="en-CA"/>
        </w:rPr>
        <w:t xml:space="preserve">Applying these factors, where the Board finds that a patentee is selling the medicine in any market in Canada at an excessive price, the Board may direct the </w:t>
      </w:r>
      <w:r w:rsidRPr="00E02273">
        <w:rPr>
          <w:lang w:val="en-CA"/>
        </w:rPr>
        <w:lastRenderedPageBreak/>
        <w:t>patentee to cause the maximum price at which the patentee sells the medicine in that market to be reduced to a specified level that the Board considers not to be excessive.</w:t>
      </w:r>
      <w:r w:rsidR="002D51A4" w:rsidRPr="00E02273">
        <w:rPr>
          <w:rStyle w:val="Appelnotedebasdep"/>
          <w:lang w:val="en-CA"/>
        </w:rPr>
        <w:footnoteReference w:id="69"/>
      </w:r>
      <w:r w:rsidRPr="00E02273">
        <w:rPr>
          <w:lang w:val="en-CA"/>
        </w:rPr>
        <w:t xml:space="preserve"> </w:t>
      </w:r>
    </w:p>
    <w:p w14:paraId="1F884BDE" w14:textId="102BF16C" w:rsidR="00B568AD" w:rsidRPr="00E02273" w:rsidRDefault="007C66D5" w:rsidP="009D7203">
      <w:pPr>
        <w:pStyle w:val="Paragraphe"/>
        <w:tabs>
          <w:tab w:val="clear" w:pos="4973"/>
          <w:tab w:val="num" w:pos="709"/>
        </w:tabs>
        <w:spacing w:line="240" w:lineRule="auto"/>
        <w:ind w:left="0"/>
        <w:rPr>
          <w:lang w:val="en-CA"/>
        </w:rPr>
      </w:pPr>
      <w:r w:rsidRPr="00E02273">
        <w:rPr>
          <w:lang w:val="en-CA"/>
        </w:rPr>
        <w:t>Moreover, when the excessive price i</w:t>
      </w:r>
      <w:r w:rsidR="0095634C">
        <w:rPr>
          <w:lang w:val="en-CA"/>
        </w:rPr>
        <w:t>s</w:t>
      </w:r>
      <w:r w:rsidRPr="00E02273">
        <w:rPr>
          <w:lang w:val="en-CA"/>
        </w:rPr>
        <w:t xml:space="preserve"> related to past sales, the Board may also direct the patentee to </w:t>
      </w:r>
      <w:r w:rsidR="00323F1C" w:rsidRPr="00E02273">
        <w:rPr>
          <w:lang w:val="en-CA"/>
        </w:rPr>
        <w:t xml:space="preserve">adopt compensatory </w:t>
      </w:r>
      <w:r w:rsidR="002D51A4" w:rsidRPr="00E02273">
        <w:rPr>
          <w:lang w:val="en-CA"/>
        </w:rPr>
        <w:t>me</w:t>
      </w:r>
      <w:r w:rsidR="00323F1C" w:rsidRPr="00E02273">
        <w:rPr>
          <w:lang w:val="en-CA"/>
        </w:rPr>
        <w:t>a</w:t>
      </w:r>
      <w:r w:rsidR="002D51A4" w:rsidRPr="00E02273">
        <w:rPr>
          <w:lang w:val="en-CA"/>
        </w:rPr>
        <w:t>sures,</w:t>
      </w:r>
      <w:r w:rsidR="007546E4" w:rsidRPr="00E02273">
        <w:rPr>
          <w:lang w:val="en-CA"/>
        </w:rPr>
        <w:t xml:space="preserve"> including</w:t>
      </w:r>
      <w:r w:rsidR="002D51A4" w:rsidRPr="00E02273">
        <w:rPr>
          <w:lang w:val="en-CA"/>
        </w:rPr>
        <w:t xml:space="preserve">: </w:t>
      </w:r>
      <w:r w:rsidR="007546E4" w:rsidRPr="00E02273">
        <w:rPr>
          <w:lang w:val="en-CA"/>
        </w:rPr>
        <w:t xml:space="preserve">(a) reducing the price at which the patentee sells the medicine in question in any market in Canada, to </w:t>
      </w:r>
      <w:r w:rsidR="00426CB9">
        <w:rPr>
          <w:lang w:val="en-CA"/>
        </w:rPr>
        <w:t xml:space="preserve">the </w:t>
      </w:r>
      <w:r w:rsidR="007546E4" w:rsidRPr="00E02273">
        <w:rPr>
          <w:lang w:val="en-CA"/>
        </w:rPr>
        <w:t xml:space="preserve">extent and for </w:t>
      </w:r>
      <w:r w:rsidR="00426CB9">
        <w:rPr>
          <w:lang w:val="en-CA"/>
        </w:rPr>
        <w:t xml:space="preserve">the </w:t>
      </w:r>
      <w:r w:rsidR="007546E4" w:rsidRPr="00E02273">
        <w:rPr>
          <w:lang w:val="en-CA"/>
        </w:rPr>
        <w:t xml:space="preserve">period </w:t>
      </w:r>
      <w:r w:rsidR="00426CB9">
        <w:rPr>
          <w:lang w:val="en-CA"/>
        </w:rPr>
        <w:t xml:space="preserve">that are </w:t>
      </w:r>
      <w:r w:rsidR="007546E4" w:rsidRPr="00E02273">
        <w:rPr>
          <w:lang w:val="en-CA"/>
        </w:rPr>
        <w:t>specified in the order;</w:t>
      </w:r>
      <w:r w:rsidR="002D51A4" w:rsidRPr="00E02273">
        <w:rPr>
          <w:lang w:val="en-CA"/>
        </w:rPr>
        <w:t xml:space="preserve"> </w:t>
      </w:r>
      <w:r w:rsidR="007546E4" w:rsidRPr="00E02273">
        <w:rPr>
          <w:lang w:val="en-CA"/>
        </w:rPr>
        <w:t>(b) reducing the price at which the patentee sells</w:t>
      </w:r>
      <w:r w:rsidR="00923F49">
        <w:rPr>
          <w:lang w:val="en-CA"/>
        </w:rPr>
        <w:t>,</w:t>
      </w:r>
      <w:r w:rsidR="007546E4" w:rsidRPr="00E02273">
        <w:rPr>
          <w:lang w:val="en-CA"/>
        </w:rPr>
        <w:t xml:space="preserve"> </w:t>
      </w:r>
      <w:r w:rsidR="00923F49" w:rsidRPr="00E02273">
        <w:rPr>
          <w:lang w:val="en-CA"/>
        </w:rPr>
        <w:t>in any market in Canada</w:t>
      </w:r>
      <w:r w:rsidR="00923F49">
        <w:rPr>
          <w:lang w:val="en-CA"/>
        </w:rPr>
        <w:t>,</w:t>
      </w:r>
      <w:r w:rsidR="00923F49" w:rsidRPr="00923F49">
        <w:rPr>
          <w:lang w:val="en-CA"/>
        </w:rPr>
        <w:t xml:space="preserve"> </w:t>
      </w:r>
      <w:r w:rsidR="007546E4" w:rsidRPr="00E02273">
        <w:rPr>
          <w:lang w:val="en-CA"/>
        </w:rPr>
        <w:t xml:space="preserve">any other medicine to which a patented invention of the patentee pertains, </w:t>
      </w:r>
      <w:r w:rsidR="00923F49">
        <w:rPr>
          <w:lang w:val="en-CA"/>
        </w:rPr>
        <w:t>to the extent and for the period that are specified in the order</w:t>
      </w:r>
      <w:r w:rsidR="007546E4" w:rsidRPr="00E02273">
        <w:rPr>
          <w:lang w:val="en-CA"/>
        </w:rPr>
        <w:t>; and</w:t>
      </w:r>
      <w:r w:rsidR="002D51A4" w:rsidRPr="00E02273">
        <w:rPr>
          <w:lang w:val="en-CA"/>
        </w:rPr>
        <w:t xml:space="preserve"> (c) pay</w:t>
      </w:r>
      <w:r w:rsidR="00323F1C" w:rsidRPr="00E02273">
        <w:rPr>
          <w:lang w:val="en-CA"/>
        </w:rPr>
        <w:t>ing the G</w:t>
      </w:r>
      <w:r w:rsidR="002D51A4" w:rsidRPr="00E02273">
        <w:rPr>
          <w:lang w:val="en-CA"/>
        </w:rPr>
        <w:t>overnment</w:t>
      </w:r>
      <w:r w:rsidR="00323F1C" w:rsidRPr="00E02273">
        <w:rPr>
          <w:lang w:val="en-CA"/>
        </w:rPr>
        <w:t xml:space="preserve"> of </w:t>
      </w:r>
      <w:r w:rsidR="002D51A4" w:rsidRPr="00E02273">
        <w:rPr>
          <w:lang w:val="en-CA"/>
        </w:rPr>
        <w:t xml:space="preserve">Canada </w:t>
      </w:r>
      <w:r w:rsidR="00323F1C" w:rsidRPr="00E02273">
        <w:rPr>
          <w:lang w:val="en-CA"/>
        </w:rPr>
        <w:t xml:space="preserve">a compensatory amount </w:t>
      </w:r>
      <w:r w:rsidR="00AB0316">
        <w:rPr>
          <w:lang w:val="en-CA"/>
        </w:rPr>
        <w:t xml:space="preserve">that is </w:t>
      </w:r>
      <w:r w:rsidR="00323F1C" w:rsidRPr="00E02273">
        <w:rPr>
          <w:lang w:val="en-CA"/>
        </w:rPr>
        <w:t xml:space="preserve">specified in the </w:t>
      </w:r>
      <w:r w:rsidR="002D51A4" w:rsidRPr="00E02273">
        <w:rPr>
          <w:lang w:val="en-CA"/>
        </w:rPr>
        <w:t>order</w:t>
      </w:r>
      <w:r w:rsidR="00323F1C" w:rsidRPr="00E02273">
        <w:rPr>
          <w:lang w:val="en-CA"/>
        </w:rPr>
        <w:t>.</w:t>
      </w:r>
      <w:r w:rsidR="002D51A4" w:rsidRPr="00E02273">
        <w:rPr>
          <w:rStyle w:val="Appelnotedebasdep"/>
          <w:lang w:val="en-CA"/>
        </w:rPr>
        <w:footnoteReference w:id="70"/>
      </w:r>
    </w:p>
    <w:p w14:paraId="4AD33660" w14:textId="711D2C4B" w:rsidR="00B568AD" w:rsidRPr="00E02273" w:rsidRDefault="007546E4" w:rsidP="009D7203">
      <w:pPr>
        <w:pStyle w:val="Paragraphe"/>
        <w:tabs>
          <w:tab w:val="clear" w:pos="4973"/>
          <w:tab w:val="num" w:pos="709"/>
        </w:tabs>
        <w:spacing w:line="240" w:lineRule="auto"/>
        <w:ind w:left="0"/>
        <w:rPr>
          <w:lang w:val="en-CA"/>
        </w:rPr>
      </w:pPr>
      <w:r w:rsidRPr="00E02273">
        <w:rPr>
          <w:lang w:val="en-CA"/>
        </w:rPr>
        <w:t xml:space="preserve">In addition, if the Board </w:t>
      </w:r>
      <w:r w:rsidR="00AB0316">
        <w:rPr>
          <w:lang w:val="en-CA"/>
        </w:rPr>
        <w:t xml:space="preserve">is of the opinion </w:t>
      </w:r>
      <w:r w:rsidRPr="00E02273">
        <w:rPr>
          <w:lang w:val="en-CA"/>
        </w:rPr>
        <w:t xml:space="preserve">that the patentee has engaged in a policy of selling the medicine at an excessive price, it may </w:t>
      </w:r>
      <w:r w:rsidR="00AB0316">
        <w:rPr>
          <w:lang w:val="en-CA"/>
        </w:rPr>
        <w:t>direct</w:t>
      </w:r>
      <w:r w:rsidR="00AB0316" w:rsidRPr="00E02273">
        <w:rPr>
          <w:lang w:val="en-CA"/>
        </w:rPr>
        <w:t xml:space="preserve"> </w:t>
      </w:r>
      <w:r w:rsidRPr="00E02273">
        <w:rPr>
          <w:lang w:val="en-CA"/>
        </w:rPr>
        <w:t xml:space="preserve">the patentee to </w:t>
      </w:r>
      <w:r w:rsidR="00AB0316">
        <w:rPr>
          <w:lang w:val="en-CA"/>
        </w:rPr>
        <w:t xml:space="preserve">do one or more things </w:t>
      </w:r>
      <w:r w:rsidRPr="00E02273">
        <w:rPr>
          <w:lang w:val="en-CA"/>
        </w:rPr>
        <w:t>to offset up to twice the amount of excess revenues derived from the sale at an excessive price.</w:t>
      </w:r>
      <w:r w:rsidR="002D51A4" w:rsidRPr="00E02273">
        <w:rPr>
          <w:rStyle w:val="Appelnotedebasdep"/>
          <w:lang w:val="en-CA"/>
        </w:rPr>
        <w:footnoteReference w:id="71"/>
      </w:r>
      <w:r w:rsidRPr="00E02273">
        <w:rPr>
          <w:lang w:val="en-CA"/>
        </w:rPr>
        <w:t xml:space="preserve"> </w:t>
      </w:r>
    </w:p>
    <w:p w14:paraId="23D9D998" w14:textId="0E364FF6" w:rsidR="00B568AD" w:rsidRPr="00E02273" w:rsidRDefault="00B91C4F" w:rsidP="009D7203">
      <w:pPr>
        <w:pStyle w:val="Paragraphe"/>
        <w:tabs>
          <w:tab w:val="clear" w:pos="4973"/>
          <w:tab w:val="num" w:pos="709"/>
        </w:tabs>
        <w:spacing w:line="240" w:lineRule="auto"/>
        <w:ind w:left="0"/>
        <w:rPr>
          <w:lang w:val="en-CA"/>
        </w:rPr>
      </w:pPr>
      <w:r w:rsidRPr="00E02273">
        <w:rPr>
          <w:lang w:val="en-CA"/>
        </w:rPr>
        <w:t xml:space="preserve">The terms of </w:t>
      </w:r>
      <w:r w:rsidR="002D51A4" w:rsidRPr="00E02273">
        <w:rPr>
          <w:lang w:val="en-CA"/>
        </w:rPr>
        <w:t xml:space="preserve">application </w:t>
      </w:r>
      <w:r w:rsidRPr="00E02273">
        <w:rPr>
          <w:lang w:val="en-CA"/>
        </w:rPr>
        <w:t xml:space="preserve">of the </w:t>
      </w:r>
      <w:r w:rsidR="00A27151" w:rsidRPr="00E02273">
        <w:rPr>
          <w:lang w:val="en-CA"/>
        </w:rPr>
        <w:t>regime</w:t>
      </w:r>
      <w:r w:rsidRPr="00E02273">
        <w:rPr>
          <w:lang w:val="en-CA"/>
        </w:rPr>
        <w:t xml:space="preserve"> are set out in the Board’s </w:t>
      </w:r>
      <w:r w:rsidR="002D51A4" w:rsidRPr="00E02273">
        <w:rPr>
          <w:lang w:val="en-CA"/>
        </w:rPr>
        <w:t>guidelines</w:t>
      </w:r>
      <w:r w:rsidRPr="00E02273">
        <w:rPr>
          <w:lang w:val="en-CA"/>
        </w:rPr>
        <w:t xml:space="preserve"> adopted in accordance with subsections </w:t>
      </w:r>
      <w:r w:rsidR="002D51A4" w:rsidRPr="00E02273">
        <w:rPr>
          <w:lang w:val="en-CA"/>
        </w:rPr>
        <w:t xml:space="preserve">96(4) </w:t>
      </w:r>
      <w:r w:rsidRPr="00E02273">
        <w:rPr>
          <w:lang w:val="en-CA"/>
        </w:rPr>
        <w:t>and</w:t>
      </w:r>
      <w:r w:rsidR="002D51A4" w:rsidRPr="00E02273">
        <w:rPr>
          <w:lang w:val="en-CA"/>
        </w:rPr>
        <w:t xml:space="preserve"> (5) </w:t>
      </w:r>
      <w:r w:rsidRPr="00E02273">
        <w:rPr>
          <w:lang w:val="en-CA"/>
        </w:rPr>
        <w:t xml:space="preserve">of the </w:t>
      </w:r>
      <w:r w:rsidRPr="00E02273">
        <w:rPr>
          <w:i/>
          <w:lang w:val="en-CA"/>
        </w:rPr>
        <w:t>Patent Act</w:t>
      </w:r>
      <w:r w:rsidR="002D51A4" w:rsidRPr="00E02273">
        <w:rPr>
          <w:lang w:val="en-CA"/>
        </w:rPr>
        <w:t xml:space="preserve">. </w:t>
      </w:r>
      <w:r w:rsidRPr="00E02273">
        <w:rPr>
          <w:lang w:val="en-CA"/>
        </w:rPr>
        <w:t xml:space="preserve">Although these </w:t>
      </w:r>
      <w:r w:rsidR="002D51A4" w:rsidRPr="00E02273">
        <w:rPr>
          <w:lang w:val="en-CA"/>
        </w:rPr>
        <w:t>guidelines</w:t>
      </w:r>
      <w:r w:rsidRPr="00E02273">
        <w:rPr>
          <w:lang w:val="en-CA"/>
        </w:rPr>
        <w:t xml:space="preserve"> are not formally binding, they are in fact the core of the excessive price control </w:t>
      </w:r>
      <w:r w:rsidR="00A27151" w:rsidRPr="00E02273">
        <w:rPr>
          <w:lang w:val="en-CA"/>
        </w:rPr>
        <w:t>regime</w:t>
      </w:r>
      <w:r w:rsidR="002D51A4" w:rsidRPr="00E02273">
        <w:rPr>
          <w:lang w:val="en-CA"/>
        </w:rPr>
        <w:t xml:space="preserve"> </w:t>
      </w:r>
      <w:r w:rsidRPr="00E02273">
        <w:rPr>
          <w:lang w:val="en-CA"/>
        </w:rPr>
        <w:t>implemented by the Board</w:t>
      </w:r>
      <w:r w:rsidR="002D51A4" w:rsidRPr="00E02273">
        <w:rPr>
          <w:lang w:val="en-CA"/>
        </w:rPr>
        <w:t xml:space="preserve">. </w:t>
      </w:r>
      <w:r w:rsidR="00F86868" w:rsidRPr="00E02273">
        <w:rPr>
          <w:lang w:val="en-CA"/>
        </w:rPr>
        <w:t xml:space="preserve">The </w:t>
      </w:r>
      <w:r w:rsidR="002D51A4" w:rsidRPr="00E02273">
        <w:rPr>
          <w:lang w:val="en-CA"/>
        </w:rPr>
        <w:t xml:space="preserve">importance </w:t>
      </w:r>
      <w:r w:rsidR="00F86868" w:rsidRPr="00E02273">
        <w:rPr>
          <w:lang w:val="en-CA"/>
        </w:rPr>
        <w:t xml:space="preserve">of these </w:t>
      </w:r>
      <w:r w:rsidR="002D51A4" w:rsidRPr="00E02273">
        <w:rPr>
          <w:lang w:val="en-CA"/>
        </w:rPr>
        <w:t>guidelines</w:t>
      </w:r>
      <w:r w:rsidR="00F86868" w:rsidRPr="00E02273">
        <w:rPr>
          <w:lang w:val="en-CA"/>
        </w:rPr>
        <w:t xml:space="preserve"> for the purpose of the </w:t>
      </w:r>
      <w:r w:rsidR="0058133D">
        <w:rPr>
          <w:lang w:val="en-CA"/>
        </w:rPr>
        <w:t>special</w:t>
      </w:r>
      <w:r w:rsidR="0058133D" w:rsidRPr="00E02273">
        <w:rPr>
          <w:lang w:val="en-CA"/>
        </w:rPr>
        <w:t xml:space="preserve"> </w:t>
      </w:r>
      <w:r w:rsidR="00A27151" w:rsidRPr="00E02273">
        <w:rPr>
          <w:lang w:val="en-CA"/>
        </w:rPr>
        <w:t>regime</w:t>
      </w:r>
      <w:r w:rsidR="00F86868" w:rsidRPr="00E02273">
        <w:rPr>
          <w:lang w:val="en-CA"/>
        </w:rPr>
        <w:t xml:space="preserve"> established by the </w:t>
      </w:r>
      <w:r w:rsidR="00F86868" w:rsidRPr="00E02273">
        <w:rPr>
          <w:i/>
          <w:lang w:val="en-CA"/>
        </w:rPr>
        <w:t xml:space="preserve">Patent Act </w:t>
      </w:r>
      <w:r w:rsidR="00F86868" w:rsidRPr="00E02273">
        <w:rPr>
          <w:lang w:val="en-CA"/>
        </w:rPr>
        <w:t>is reflected in the Board’s statutory duty, before it issues any guidelines, to consult with the federal minister responsible, all provincial ministers responsible for health, and such representatives of consumer groups and representatives of the pharmaceutical industry as the federal minister may designate for that purpose.</w:t>
      </w:r>
      <w:r w:rsidR="002D51A4" w:rsidRPr="00E02273">
        <w:rPr>
          <w:rStyle w:val="Appelnotedebasdep"/>
          <w:lang w:val="en-CA"/>
        </w:rPr>
        <w:footnoteReference w:id="72"/>
      </w:r>
      <w:r w:rsidR="002D51A4" w:rsidRPr="00E02273">
        <w:rPr>
          <w:lang w:val="en-CA"/>
        </w:rPr>
        <w:t xml:space="preserve"> </w:t>
      </w:r>
      <w:r w:rsidR="0007649E" w:rsidRPr="00E02273">
        <w:rPr>
          <w:lang w:val="en-CA"/>
        </w:rPr>
        <w:t>These are the same extensive consultation mech</w:t>
      </w:r>
      <w:r w:rsidR="002D51A4" w:rsidRPr="00E02273">
        <w:rPr>
          <w:lang w:val="en-CA"/>
        </w:rPr>
        <w:t xml:space="preserve">anisms </w:t>
      </w:r>
      <w:r w:rsidR="0007649E" w:rsidRPr="00E02273">
        <w:rPr>
          <w:lang w:val="en-CA"/>
        </w:rPr>
        <w:t xml:space="preserve">as those that must be undertaken prior to the enactment of regulations by the </w:t>
      </w:r>
      <w:r w:rsidR="00BF4616" w:rsidRPr="00E02273">
        <w:rPr>
          <w:lang w:val="en-CA"/>
        </w:rPr>
        <w:t>G</w:t>
      </w:r>
      <w:r w:rsidR="002D51A4" w:rsidRPr="00E02273">
        <w:rPr>
          <w:lang w:val="en-CA"/>
        </w:rPr>
        <w:t>overnor</w:t>
      </w:r>
      <w:r w:rsidR="00BF4616" w:rsidRPr="00E02273">
        <w:rPr>
          <w:lang w:val="en-CA"/>
        </w:rPr>
        <w:t xml:space="preserve"> </w:t>
      </w:r>
      <w:r w:rsidR="002D51A4" w:rsidRPr="00E02273">
        <w:rPr>
          <w:lang w:val="en-CA"/>
        </w:rPr>
        <w:t>in</w:t>
      </w:r>
      <w:r w:rsidR="00BF4616" w:rsidRPr="00E02273">
        <w:rPr>
          <w:lang w:val="en-CA"/>
        </w:rPr>
        <w:t xml:space="preserve"> C</w:t>
      </w:r>
      <w:r w:rsidR="002D51A4" w:rsidRPr="00E02273">
        <w:rPr>
          <w:lang w:val="en-CA"/>
        </w:rPr>
        <w:t>ouncil</w:t>
      </w:r>
      <w:r w:rsidR="00BF4616" w:rsidRPr="00E02273">
        <w:rPr>
          <w:lang w:val="en-CA"/>
        </w:rPr>
        <w:t xml:space="preserve"> in accordance with </w:t>
      </w:r>
      <w:r w:rsidR="00D873B2" w:rsidRPr="00E02273">
        <w:rPr>
          <w:lang w:val="en-CA"/>
        </w:rPr>
        <w:t xml:space="preserve">paragraphs </w:t>
      </w:r>
      <w:r w:rsidR="002D51A4" w:rsidRPr="00E02273">
        <w:rPr>
          <w:lang w:val="en-CA"/>
        </w:rPr>
        <w:t>101(1)</w:t>
      </w:r>
      <w:r w:rsidR="00D873B2" w:rsidRPr="00E02273">
        <w:rPr>
          <w:lang w:val="en-CA"/>
        </w:rPr>
        <w:t>(</w:t>
      </w:r>
      <w:r w:rsidR="002D51A4" w:rsidRPr="00090F01">
        <w:rPr>
          <w:lang w:val="en-CA"/>
        </w:rPr>
        <w:t>d</w:t>
      </w:r>
      <w:r w:rsidR="002D51A4" w:rsidRPr="00E02273">
        <w:rPr>
          <w:lang w:val="en-CA"/>
        </w:rPr>
        <w:t xml:space="preserve">), </w:t>
      </w:r>
      <w:r w:rsidR="00D873B2" w:rsidRPr="00E02273">
        <w:rPr>
          <w:lang w:val="en-CA"/>
        </w:rPr>
        <w:t>(</w:t>
      </w:r>
      <w:r w:rsidR="002D51A4" w:rsidRPr="00090F01">
        <w:rPr>
          <w:lang w:val="en-CA"/>
        </w:rPr>
        <w:t>f</w:t>
      </w:r>
      <w:r w:rsidR="002D51A4" w:rsidRPr="00E02273">
        <w:rPr>
          <w:lang w:val="en-CA"/>
        </w:rPr>
        <w:t xml:space="preserve">), </w:t>
      </w:r>
      <w:r w:rsidR="00D873B2" w:rsidRPr="00E02273">
        <w:rPr>
          <w:lang w:val="en-CA"/>
        </w:rPr>
        <w:t>(</w:t>
      </w:r>
      <w:r w:rsidR="002D51A4" w:rsidRPr="00090F01">
        <w:rPr>
          <w:lang w:val="en-CA"/>
        </w:rPr>
        <w:t>h</w:t>
      </w:r>
      <w:r w:rsidR="002D51A4" w:rsidRPr="00E02273">
        <w:rPr>
          <w:lang w:val="en-CA"/>
        </w:rPr>
        <w:t>)</w:t>
      </w:r>
      <w:r w:rsidR="00D873B2" w:rsidRPr="00E02273">
        <w:rPr>
          <w:lang w:val="en-CA"/>
        </w:rPr>
        <w:t>, and (</w:t>
      </w:r>
      <w:r w:rsidR="002D51A4" w:rsidRPr="00090F01">
        <w:rPr>
          <w:lang w:val="en-CA"/>
        </w:rPr>
        <w:t>j</w:t>
      </w:r>
      <w:r w:rsidR="002D51A4" w:rsidRPr="00E02273">
        <w:rPr>
          <w:lang w:val="en-CA"/>
        </w:rPr>
        <w:t xml:space="preserve">) </w:t>
      </w:r>
      <w:r w:rsidR="00D873B2" w:rsidRPr="00E02273">
        <w:rPr>
          <w:lang w:val="en-CA"/>
        </w:rPr>
        <w:t xml:space="preserve">of the </w:t>
      </w:r>
      <w:r w:rsidR="00D873B2" w:rsidRPr="00E02273">
        <w:rPr>
          <w:i/>
          <w:lang w:val="en-CA"/>
        </w:rPr>
        <w:t>Patent Act</w:t>
      </w:r>
      <w:r w:rsidR="00D873B2" w:rsidRPr="00E02273">
        <w:rPr>
          <w:lang w:val="en-CA"/>
        </w:rPr>
        <w:t>.</w:t>
      </w:r>
      <w:r w:rsidR="002D51A4" w:rsidRPr="00E02273">
        <w:rPr>
          <w:rStyle w:val="Appelnotedebasdep"/>
          <w:lang w:val="en-CA"/>
        </w:rPr>
        <w:footnoteReference w:id="73"/>
      </w:r>
    </w:p>
    <w:p w14:paraId="777D5217" w14:textId="38721F15" w:rsidR="00B568AD" w:rsidRPr="00E02273" w:rsidRDefault="0070659C" w:rsidP="009D7203">
      <w:pPr>
        <w:pStyle w:val="Paragraphe"/>
        <w:tabs>
          <w:tab w:val="clear" w:pos="4973"/>
          <w:tab w:val="num" w:pos="709"/>
        </w:tabs>
        <w:spacing w:line="240" w:lineRule="auto"/>
        <w:ind w:left="0"/>
        <w:rPr>
          <w:lang w:val="en-CA"/>
        </w:rPr>
      </w:pPr>
      <w:r w:rsidRPr="00E02273">
        <w:rPr>
          <w:lang w:val="en-CA"/>
        </w:rPr>
        <w:t>Since its cre</w:t>
      </w:r>
      <w:r w:rsidR="002D51A4" w:rsidRPr="00E02273">
        <w:rPr>
          <w:lang w:val="en-CA"/>
        </w:rPr>
        <w:t xml:space="preserve">ation, </w:t>
      </w:r>
      <w:r w:rsidRPr="00E02273">
        <w:rPr>
          <w:lang w:val="en-CA"/>
        </w:rPr>
        <w:t xml:space="preserve">the </w:t>
      </w:r>
      <w:r w:rsidR="00A27151" w:rsidRPr="00E02273">
        <w:rPr>
          <w:lang w:val="en-CA"/>
        </w:rPr>
        <w:t>regime</w:t>
      </w:r>
      <w:r w:rsidR="0020152B" w:rsidRPr="00E02273">
        <w:rPr>
          <w:lang w:val="en-CA"/>
        </w:rPr>
        <w:t xml:space="preserve"> administered by the Board is based largely on the </w:t>
      </w:r>
      <w:r w:rsidR="002D51A4" w:rsidRPr="00E02273">
        <w:rPr>
          <w:lang w:val="en-CA"/>
        </w:rPr>
        <w:t xml:space="preserve">application </w:t>
      </w:r>
      <w:r w:rsidR="0020152B" w:rsidRPr="00E02273">
        <w:rPr>
          <w:lang w:val="en-CA"/>
        </w:rPr>
        <w:t xml:space="preserve">of the </w:t>
      </w:r>
      <w:r w:rsidR="002D51A4" w:rsidRPr="00E02273">
        <w:rPr>
          <w:lang w:val="en-CA"/>
        </w:rPr>
        <w:t xml:space="preserve">guidelines. </w:t>
      </w:r>
      <w:r w:rsidR="00536735" w:rsidRPr="00E02273">
        <w:rPr>
          <w:lang w:val="en-CA"/>
        </w:rPr>
        <w:t xml:space="preserve">This </w:t>
      </w:r>
      <w:r w:rsidR="00B7359F">
        <w:rPr>
          <w:lang w:val="en-CA"/>
        </w:rPr>
        <w:t>is achieved</w:t>
      </w:r>
      <w:r w:rsidR="00536735" w:rsidRPr="00E02273">
        <w:rPr>
          <w:lang w:val="en-CA"/>
        </w:rPr>
        <w:t xml:space="preserve"> mainly through notices to patentees regarding the </w:t>
      </w:r>
      <w:r w:rsidR="005C5C41" w:rsidRPr="00E02273">
        <w:rPr>
          <w:lang w:val="en-CA"/>
        </w:rPr>
        <w:t xml:space="preserve">suggested introductory price of a patented medicine established on the basis of the guidelines </w:t>
      </w:r>
      <w:r w:rsidR="00A47FD2" w:rsidRPr="00E02273">
        <w:rPr>
          <w:lang w:val="en-CA"/>
        </w:rPr>
        <w:t xml:space="preserve">and the voluntary compliance undertakings </w:t>
      </w:r>
      <w:r w:rsidR="008B5B61">
        <w:rPr>
          <w:lang w:val="en-CA"/>
        </w:rPr>
        <w:t xml:space="preserve">subscribed </w:t>
      </w:r>
      <w:r w:rsidR="00A47FD2" w:rsidRPr="00E02273">
        <w:rPr>
          <w:lang w:val="en-CA"/>
        </w:rPr>
        <w:t xml:space="preserve">to </w:t>
      </w:r>
      <w:r w:rsidR="008B5B61">
        <w:rPr>
          <w:lang w:val="en-CA"/>
        </w:rPr>
        <w:t xml:space="preserve">by </w:t>
      </w:r>
      <w:r w:rsidR="00A47FD2" w:rsidRPr="00E02273">
        <w:rPr>
          <w:lang w:val="en-CA"/>
        </w:rPr>
        <w:t xml:space="preserve">the </w:t>
      </w:r>
      <w:r w:rsidR="002D51A4" w:rsidRPr="00E02273">
        <w:rPr>
          <w:lang w:val="en-CA"/>
        </w:rPr>
        <w:t>pharmaceutical</w:t>
      </w:r>
      <w:r w:rsidR="00A47FD2" w:rsidRPr="00E02273">
        <w:rPr>
          <w:lang w:val="en-CA"/>
        </w:rPr>
        <w:t xml:space="preserve"> </w:t>
      </w:r>
      <w:r w:rsidR="002D51A4" w:rsidRPr="00E02273">
        <w:rPr>
          <w:lang w:val="en-CA"/>
        </w:rPr>
        <w:t>companies</w:t>
      </w:r>
      <w:r w:rsidR="00A47FD2" w:rsidRPr="00E02273">
        <w:rPr>
          <w:lang w:val="en-CA"/>
        </w:rPr>
        <w:t xml:space="preserve"> when the </w:t>
      </w:r>
      <w:r w:rsidR="002D51A4" w:rsidRPr="00E02273">
        <w:rPr>
          <w:lang w:val="en-CA"/>
        </w:rPr>
        <w:t>guidelines indi</w:t>
      </w:r>
      <w:r w:rsidR="00A47FD2" w:rsidRPr="00E02273">
        <w:rPr>
          <w:lang w:val="en-CA"/>
        </w:rPr>
        <w:t xml:space="preserve">cate that the price of a medicine is excessive. The Board’s </w:t>
      </w:r>
      <w:r w:rsidR="002D51A4" w:rsidRPr="00E02273">
        <w:rPr>
          <w:lang w:val="en-CA"/>
        </w:rPr>
        <w:t xml:space="preserve">intervention </w:t>
      </w:r>
      <w:r w:rsidR="00A47FD2" w:rsidRPr="00E02273">
        <w:rPr>
          <w:lang w:val="en-CA"/>
        </w:rPr>
        <w:t xml:space="preserve">by means of an </w:t>
      </w:r>
      <w:r w:rsidR="002D51A4" w:rsidRPr="00E02273">
        <w:rPr>
          <w:lang w:val="en-CA"/>
        </w:rPr>
        <w:t>order</w:t>
      </w:r>
      <w:r w:rsidR="00A47FD2" w:rsidRPr="00E02273">
        <w:rPr>
          <w:lang w:val="en-CA"/>
        </w:rPr>
        <w:t xml:space="preserve"> following a hearing is thus rather rare</w:t>
      </w:r>
      <w:r w:rsidR="002D51A4" w:rsidRPr="00E02273">
        <w:rPr>
          <w:lang w:val="en-CA"/>
        </w:rPr>
        <w:t>.</w:t>
      </w:r>
      <w:r w:rsidR="00A47FD2" w:rsidRPr="00E02273">
        <w:rPr>
          <w:lang w:val="en-CA"/>
        </w:rPr>
        <w:t xml:space="preserve"> The </w:t>
      </w:r>
      <w:r w:rsidR="00A27151" w:rsidRPr="00E02273">
        <w:rPr>
          <w:lang w:val="en-CA"/>
        </w:rPr>
        <w:t>regime</w:t>
      </w:r>
      <w:r w:rsidR="00A47FD2" w:rsidRPr="00E02273">
        <w:rPr>
          <w:lang w:val="en-CA"/>
        </w:rPr>
        <w:t xml:space="preserve"> is essentially based on the </w:t>
      </w:r>
      <w:r w:rsidR="002D51A4" w:rsidRPr="00E02273">
        <w:rPr>
          <w:lang w:val="en-CA"/>
        </w:rPr>
        <w:t>principle</w:t>
      </w:r>
      <w:r w:rsidR="00A47FD2" w:rsidRPr="00E02273">
        <w:rPr>
          <w:lang w:val="en-CA"/>
        </w:rPr>
        <w:t xml:space="preserve"> that the </w:t>
      </w:r>
      <w:r w:rsidR="002D51A4" w:rsidRPr="00E02273">
        <w:rPr>
          <w:lang w:val="en-CA"/>
        </w:rPr>
        <w:t>pharmaceutical</w:t>
      </w:r>
      <w:r w:rsidR="00A47FD2" w:rsidRPr="00E02273">
        <w:rPr>
          <w:lang w:val="en-CA"/>
        </w:rPr>
        <w:t xml:space="preserve"> </w:t>
      </w:r>
      <w:r w:rsidR="002D51A4" w:rsidRPr="00E02273">
        <w:rPr>
          <w:lang w:val="en-CA"/>
        </w:rPr>
        <w:lastRenderedPageBreak/>
        <w:t>companies</w:t>
      </w:r>
      <w:r w:rsidR="00A47FD2" w:rsidRPr="00E02273">
        <w:rPr>
          <w:lang w:val="en-CA"/>
        </w:rPr>
        <w:t xml:space="preserve"> will voluntarily comply with the prices established in accordance with the </w:t>
      </w:r>
      <w:r w:rsidR="002D51A4" w:rsidRPr="00E02273">
        <w:rPr>
          <w:lang w:val="en-CA"/>
        </w:rPr>
        <w:t>formul</w:t>
      </w:r>
      <w:r w:rsidR="00A47FD2" w:rsidRPr="00E02273">
        <w:rPr>
          <w:lang w:val="en-CA"/>
        </w:rPr>
        <w:t>a</w:t>
      </w:r>
      <w:r w:rsidR="002D51A4" w:rsidRPr="00E02273">
        <w:rPr>
          <w:lang w:val="en-CA"/>
        </w:rPr>
        <w:t xml:space="preserve">s </w:t>
      </w:r>
      <w:r w:rsidR="00A47FD2" w:rsidRPr="00E02273">
        <w:rPr>
          <w:lang w:val="en-CA"/>
        </w:rPr>
        <w:t xml:space="preserve">set out in the Board’s </w:t>
      </w:r>
      <w:r w:rsidR="002D51A4" w:rsidRPr="00E02273">
        <w:rPr>
          <w:lang w:val="en-CA"/>
        </w:rPr>
        <w:t>guidelines</w:t>
      </w:r>
      <w:r w:rsidR="00A47FD2" w:rsidRPr="00E02273">
        <w:rPr>
          <w:lang w:val="en-CA"/>
        </w:rPr>
        <w:t>.</w:t>
      </w:r>
      <w:r w:rsidR="002D51A4" w:rsidRPr="00E02273">
        <w:rPr>
          <w:rStyle w:val="Appelnotedebasdep"/>
          <w:lang w:val="en-CA"/>
        </w:rPr>
        <w:footnoteReference w:id="74"/>
      </w:r>
    </w:p>
    <w:p w14:paraId="1DC32D33" w14:textId="15CAB3FF" w:rsidR="00B568AD" w:rsidRPr="00E02273" w:rsidRDefault="002905C2" w:rsidP="009D7203">
      <w:pPr>
        <w:pStyle w:val="Paragraphe"/>
        <w:tabs>
          <w:tab w:val="clear" w:pos="4973"/>
          <w:tab w:val="num" w:pos="709"/>
        </w:tabs>
        <w:spacing w:line="240" w:lineRule="auto"/>
        <w:ind w:left="0"/>
        <w:rPr>
          <w:lang w:val="en-CA"/>
        </w:rPr>
      </w:pPr>
      <w:r w:rsidRPr="00E02273">
        <w:rPr>
          <w:lang w:val="en-CA"/>
        </w:rPr>
        <w:t xml:space="preserve">In the </w:t>
      </w:r>
      <w:r w:rsidR="002D51A4" w:rsidRPr="00E02273">
        <w:rPr>
          <w:lang w:val="en-CA"/>
        </w:rPr>
        <w:t>guidelines</w:t>
      </w:r>
      <w:r w:rsidRPr="00E02273">
        <w:rPr>
          <w:lang w:val="en-CA"/>
        </w:rPr>
        <w:t xml:space="preserve"> in force before the </w:t>
      </w:r>
      <w:r w:rsidR="00866E58" w:rsidRPr="00E02273">
        <w:rPr>
          <w:i/>
          <w:lang w:val="en-CA"/>
        </w:rPr>
        <w:t>2019 Regulatory Amendments</w:t>
      </w:r>
      <w:r w:rsidR="002D51A4" w:rsidRPr="00E02273">
        <w:rPr>
          <w:rStyle w:val="Appelnotedebasdep"/>
          <w:lang w:val="en-CA"/>
        </w:rPr>
        <w:footnoteReference w:id="75"/>
      </w:r>
      <w:r w:rsidR="002D51A4" w:rsidRPr="00E02273">
        <w:rPr>
          <w:i/>
          <w:lang w:val="en-CA"/>
        </w:rPr>
        <w:t xml:space="preserve"> </w:t>
      </w:r>
      <w:r w:rsidR="002D51A4" w:rsidRPr="00E02273">
        <w:rPr>
          <w:lang w:val="en-CA"/>
        </w:rPr>
        <w:t>(</w:t>
      </w:r>
      <w:r w:rsidRPr="00E02273">
        <w:rPr>
          <w:lang w:val="en-CA"/>
        </w:rPr>
        <w:t xml:space="preserve">the “current </w:t>
      </w:r>
      <w:r w:rsidR="002D51A4" w:rsidRPr="00E02273">
        <w:rPr>
          <w:lang w:val="en-CA"/>
        </w:rPr>
        <w:t>guidelines</w:t>
      </w:r>
      <w:r w:rsidRPr="00E02273">
        <w:rPr>
          <w:lang w:val="en-CA"/>
        </w:rPr>
        <w:t>”</w:t>
      </w:r>
      <w:r w:rsidR="002D51A4" w:rsidRPr="00E02273">
        <w:rPr>
          <w:lang w:val="en-CA"/>
        </w:rPr>
        <w:t xml:space="preserve">), </w:t>
      </w:r>
      <w:r w:rsidR="00C63C8B" w:rsidRPr="00E02273">
        <w:rPr>
          <w:lang w:val="en-CA"/>
        </w:rPr>
        <w:t>the Board states that it</w:t>
      </w:r>
      <w:r w:rsidR="002D51A4" w:rsidRPr="00E02273">
        <w:rPr>
          <w:lang w:val="en-CA"/>
        </w:rPr>
        <w:t> </w:t>
      </w:r>
      <w:r w:rsidR="00C63C8B" w:rsidRPr="00E02273">
        <w:rPr>
          <w:lang w:val="en-CA"/>
        </w:rPr>
        <w:t>“determines the Maximum Average Potential Price and the Non-Excessive Average Prices at which these medicines can be sold in Canada”.</w:t>
      </w:r>
      <w:r w:rsidR="002D51A4" w:rsidRPr="00E02273">
        <w:rPr>
          <w:rStyle w:val="Appelnotedebasdep"/>
          <w:lang w:val="en-CA"/>
        </w:rPr>
        <w:footnoteReference w:id="76"/>
      </w:r>
      <w:r w:rsidR="002D51A4" w:rsidRPr="00E02273">
        <w:rPr>
          <w:lang w:val="en-CA"/>
        </w:rPr>
        <w:t xml:space="preserve"> </w:t>
      </w:r>
      <w:r w:rsidR="00904187" w:rsidRPr="00E02273">
        <w:rPr>
          <w:lang w:val="en-CA"/>
        </w:rPr>
        <w:t xml:space="preserve">The methodology established in the current </w:t>
      </w:r>
      <w:r w:rsidR="002D51A4" w:rsidRPr="00E02273">
        <w:rPr>
          <w:lang w:val="en-CA"/>
        </w:rPr>
        <w:t>guidelines</w:t>
      </w:r>
      <w:r w:rsidR="00904187" w:rsidRPr="00E02273">
        <w:rPr>
          <w:lang w:val="en-CA"/>
        </w:rPr>
        <w:t xml:space="preserve"> to</w:t>
      </w:r>
      <w:r w:rsidR="002D51A4" w:rsidRPr="00E02273">
        <w:rPr>
          <w:lang w:val="en-CA"/>
        </w:rPr>
        <w:t xml:space="preserve"> d</w:t>
      </w:r>
      <w:r w:rsidR="00904187" w:rsidRPr="00E02273">
        <w:rPr>
          <w:lang w:val="en-CA"/>
        </w:rPr>
        <w:t>e</w:t>
      </w:r>
      <w:r w:rsidR="002D51A4" w:rsidRPr="00E02273">
        <w:rPr>
          <w:lang w:val="en-CA"/>
        </w:rPr>
        <w:t>termine</w:t>
      </w:r>
      <w:r w:rsidR="00904187" w:rsidRPr="00E02273">
        <w:rPr>
          <w:lang w:val="en-CA"/>
        </w:rPr>
        <w:t xml:space="preserve"> these prices </w:t>
      </w:r>
      <w:r w:rsidR="00F52126">
        <w:rPr>
          <w:lang w:val="en-CA"/>
        </w:rPr>
        <w:t>is</w:t>
      </w:r>
      <w:r w:rsidR="00904187" w:rsidRPr="00E02273">
        <w:rPr>
          <w:lang w:val="en-CA"/>
        </w:rPr>
        <w:t xml:space="preserve"> rather compl</w:t>
      </w:r>
      <w:r w:rsidR="008B5B61">
        <w:rPr>
          <w:lang w:val="en-CA"/>
        </w:rPr>
        <w:t>ex</w:t>
      </w:r>
      <w:r w:rsidR="00904187" w:rsidRPr="00E02273">
        <w:rPr>
          <w:lang w:val="en-CA"/>
        </w:rPr>
        <w:t xml:space="preserve">. It consists of precise </w:t>
      </w:r>
      <w:r w:rsidR="002D51A4" w:rsidRPr="00E02273">
        <w:rPr>
          <w:lang w:val="en-CA"/>
        </w:rPr>
        <w:t>calcul</w:t>
      </w:r>
      <w:r w:rsidR="00904187" w:rsidRPr="00E02273">
        <w:rPr>
          <w:lang w:val="en-CA"/>
        </w:rPr>
        <w:t>ations that are largely based on</w:t>
      </w:r>
      <w:r w:rsidR="002D51A4" w:rsidRPr="00E02273">
        <w:rPr>
          <w:lang w:val="en-CA"/>
        </w:rPr>
        <w:t xml:space="preserve"> </w:t>
      </w:r>
      <w:r w:rsidR="00CF2981" w:rsidRPr="00E02273">
        <w:rPr>
          <w:lang w:val="en-CA"/>
        </w:rPr>
        <w:t>convoluted form</w:t>
      </w:r>
      <w:r w:rsidR="00D915AA" w:rsidRPr="00E02273">
        <w:rPr>
          <w:lang w:val="en-CA"/>
        </w:rPr>
        <w:t>u</w:t>
      </w:r>
      <w:r w:rsidR="00CF2981" w:rsidRPr="00E02273">
        <w:rPr>
          <w:lang w:val="en-CA"/>
        </w:rPr>
        <w:t xml:space="preserve">las and </w:t>
      </w:r>
      <w:r w:rsidR="002D51A4" w:rsidRPr="00E02273">
        <w:rPr>
          <w:lang w:val="en-CA"/>
        </w:rPr>
        <w:t>tests</w:t>
      </w:r>
      <w:r w:rsidR="00CF2981" w:rsidRPr="00E02273">
        <w:rPr>
          <w:lang w:val="en-CA"/>
        </w:rPr>
        <w:t>, applied mechanical</w:t>
      </w:r>
      <w:r w:rsidR="008B5B61">
        <w:rPr>
          <w:lang w:val="en-CA"/>
        </w:rPr>
        <w:t>ly</w:t>
      </w:r>
      <w:r w:rsidR="002D51A4" w:rsidRPr="00E02273">
        <w:rPr>
          <w:lang w:val="en-CA"/>
        </w:rPr>
        <w:t>.</w:t>
      </w:r>
    </w:p>
    <w:p w14:paraId="63A9C648" w14:textId="23AFB792" w:rsidR="00B568AD" w:rsidRPr="00E02273" w:rsidRDefault="00E06086" w:rsidP="00AF7432">
      <w:pPr>
        <w:pStyle w:val="Paragraphe"/>
        <w:tabs>
          <w:tab w:val="clear" w:pos="4973"/>
          <w:tab w:val="num" w:pos="709"/>
        </w:tabs>
        <w:spacing w:line="240" w:lineRule="auto"/>
        <w:ind w:left="0"/>
        <w:rPr>
          <w:lang w:val="en-CA"/>
        </w:rPr>
      </w:pPr>
      <w:r w:rsidRPr="00E02273">
        <w:rPr>
          <w:lang w:val="en-CA"/>
        </w:rPr>
        <w:t xml:space="preserve">For our purposes, it is sufficient to note that the Board conducts </w:t>
      </w:r>
      <w:r w:rsidR="00313DFB" w:rsidRPr="00E02273">
        <w:rPr>
          <w:lang w:val="en-CA"/>
        </w:rPr>
        <w:t>a review to determine the therapeutic improvement of a new medicine</w:t>
      </w:r>
      <w:r w:rsidR="00B7359F">
        <w:rPr>
          <w:lang w:val="en-CA"/>
        </w:rPr>
        <w:t xml:space="preserve"> compared</w:t>
      </w:r>
      <w:r w:rsidR="00313DFB" w:rsidRPr="00E02273">
        <w:rPr>
          <w:lang w:val="en-CA"/>
        </w:rPr>
        <w:t xml:space="preserve"> to existing drug products</w:t>
      </w:r>
      <w:r w:rsidR="002D51A4" w:rsidRPr="00E02273">
        <w:rPr>
          <w:lang w:val="en-CA"/>
        </w:rPr>
        <w:t xml:space="preserve">. </w:t>
      </w:r>
      <w:r w:rsidR="000C25BA" w:rsidRPr="00E02273">
        <w:rPr>
          <w:rFonts w:ascii="Helvetica" w:hAnsi="Helvetica" w:cs="Helvetica"/>
          <w:shd w:val="clear" w:color="auto" w:fill="FFFFFF"/>
          <w:lang w:val="en-CA"/>
        </w:rPr>
        <w:t xml:space="preserve">The level of therapeutic improvement of a patented drug product is used to determine the </w:t>
      </w:r>
      <w:r w:rsidR="00B703AC" w:rsidRPr="00E02273">
        <w:rPr>
          <w:rFonts w:ascii="Helvetica" w:hAnsi="Helvetica" w:cs="Helvetica"/>
          <w:shd w:val="clear" w:color="auto" w:fill="FFFFFF"/>
          <w:lang w:val="en-CA"/>
        </w:rPr>
        <w:t>m</w:t>
      </w:r>
      <w:r w:rsidR="000C25BA" w:rsidRPr="00E02273">
        <w:rPr>
          <w:rFonts w:ascii="Helvetica" w:hAnsi="Helvetica" w:cs="Helvetica"/>
          <w:shd w:val="clear" w:color="auto" w:fill="FFFFFF"/>
          <w:lang w:val="en-CA"/>
        </w:rPr>
        <w:t xml:space="preserve">aximum </w:t>
      </w:r>
      <w:r w:rsidR="00B703AC" w:rsidRPr="00E02273">
        <w:rPr>
          <w:rFonts w:ascii="Helvetica" w:hAnsi="Helvetica" w:cs="Helvetica"/>
          <w:shd w:val="clear" w:color="auto" w:fill="FFFFFF"/>
          <w:lang w:val="en-CA"/>
        </w:rPr>
        <w:t>a</w:t>
      </w:r>
      <w:r w:rsidR="000C25BA" w:rsidRPr="00E02273">
        <w:rPr>
          <w:rFonts w:ascii="Helvetica" w:hAnsi="Helvetica" w:cs="Helvetica"/>
          <w:shd w:val="clear" w:color="auto" w:fill="FFFFFF"/>
          <w:lang w:val="en-CA"/>
        </w:rPr>
        <w:t xml:space="preserve">verage </w:t>
      </w:r>
      <w:r w:rsidR="00B703AC" w:rsidRPr="00E02273">
        <w:rPr>
          <w:rFonts w:ascii="Helvetica" w:hAnsi="Helvetica" w:cs="Helvetica"/>
          <w:shd w:val="clear" w:color="auto" w:fill="FFFFFF"/>
          <w:lang w:val="en-CA"/>
        </w:rPr>
        <w:t>p</w:t>
      </w:r>
      <w:r w:rsidR="000C25BA" w:rsidRPr="00E02273">
        <w:rPr>
          <w:rFonts w:ascii="Helvetica" w:hAnsi="Helvetica" w:cs="Helvetica"/>
          <w:shd w:val="clear" w:color="auto" w:fill="FFFFFF"/>
          <w:lang w:val="en-CA"/>
        </w:rPr>
        <w:t xml:space="preserve">otential </w:t>
      </w:r>
      <w:r w:rsidR="00B703AC" w:rsidRPr="00E02273">
        <w:rPr>
          <w:rFonts w:ascii="Helvetica" w:hAnsi="Helvetica" w:cs="Helvetica"/>
          <w:shd w:val="clear" w:color="auto" w:fill="FFFFFF"/>
          <w:lang w:val="en-CA"/>
        </w:rPr>
        <w:t>p</w:t>
      </w:r>
      <w:r w:rsidR="000C25BA" w:rsidRPr="00E02273">
        <w:rPr>
          <w:rFonts w:ascii="Helvetica" w:hAnsi="Helvetica" w:cs="Helvetica"/>
          <w:shd w:val="clear" w:color="auto" w:fill="FFFFFF"/>
          <w:lang w:val="en-CA"/>
        </w:rPr>
        <w:t>rice</w:t>
      </w:r>
      <w:r w:rsidR="002D51A4" w:rsidRPr="00E02273">
        <w:rPr>
          <w:lang w:val="en-CA"/>
        </w:rPr>
        <w:t xml:space="preserve">. </w:t>
      </w:r>
      <w:r w:rsidR="000C25BA" w:rsidRPr="00E02273">
        <w:rPr>
          <w:rFonts w:ascii="Helvetica" w:hAnsi="Helvetica" w:cs="Helvetica"/>
          <w:shd w:val="clear" w:color="auto" w:fill="FFFFFF"/>
          <w:lang w:val="en-CA"/>
        </w:rPr>
        <w:t xml:space="preserve">The levels of therapeutic improvement are </w:t>
      </w:r>
      <w:r w:rsidR="000C25BA" w:rsidRPr="00E02273">
        <w:rPr>
          <w:lang w:val="en-CA"/>
        </w:rPr>
        <w:t>classified as either breakthrough, substantial improvement, moderate improvement, or slight or no improvement</w:t>
      </w:r>
      <w:r w:rsidR="002D51A4" w:rsidRPr="00E02273">
        <w:rPr>
          <w:lang w:val="en-CA"/>
        </w:rPr>
        <w:t xml:space="preserve">. </w:t>
      </w:r>
      <w:r w:rsidR="00B703AC" w:rsidRPr="00E02273">
        <w:rPr>
          <w:lang w:val="en-CA"/>
        </w:rPr>
        <w:t xml:space="preserve">Various </w:t>
      </w:r>
      <w:r w:rsidR="002D51A4" w:rsidRPr="00E02273">
        <w:rPr>
          <w:lang w:val="en-CA"/>
        </w:rPr>
        <w:t xml:space="preserve">tests </w:t>
      </w:r>
      <w:r w:rsidR="00B703AC" w:rsidRPr="00E02273">
        <w:rPr>
          <w:lang w:val="en-CA"/>
        </w:rPr>
        <w:t>are applied according to the level of therapeutic improvement to determine the m</w:t>
      </w:r>
      <w:r w:rsidR="00B703AC" w:rsidRPr="00E02273">
        <w:rPr>
          <w:rFonts w:ascii="Helvetica" w:hAnsi="Helvetica" w:cs="Helvetica"/>
          <w:shd w:val="clear" w:color="auto" w:fill="FFFFFF"/>
          <w:lang w:val="en-CA"/>
        </w:rPr>
        <w:t>aximum average potential price</w:t>
      </w:r>
      <w:r w:rsidR="00B703AC" w:rsidRPr="00E02273">
        <w:rPr>
          <w:lang w:val="en-CA"/>
        </w:rPr>
        <w:t xml:space="preserve"> at which a new patented medicine may be sold and to determine whether or not the existing price </w:t>
      </w:r>
      <w:r w:rsidR="00443E02" w:rsidRPr="00E02273">
        <w:rPr>
          <w:lang w:val="en-CA"/>
        </w:rPr>
        <w:t>may be considered</w:t>
      </w:r>
      <w:r w:rsidR="00B703AC" w:rsidRPr="00E02273">
        <w:rPr>
          <w:lang w:val="en-CA"/>
        </w:rPr>
        <w:t xml:space="preserve"> </w:t>
      </w:r>
      <w:r w:rsidR="002D51A4" w:rsidRPr="00E02273">
        <w:rPr>
          <w:lang w:val="en-CA"/>
        </w:rPr>
        <w:t>excessi</w:t>
      </w:r>
      <w:r w:rsidR="00B703AC" w:rsidRPr="00E02273">
        <w:rPr>
          <w:lang w:val="en-CA"/>
        </w:rPr>
        <w:t>ve</w:t>
      </w:r>
      <w:r w:rsidR="002D51A4" w:rsidRPr="00E02273">
        <w:rPr>
          <w:lang w:val="en-CA"/>
        </w:rPr>
        <w:t xml:space="preserve">. </w:t>
      </w:r>
    </w:p>
    <w:p w14:paraId="0328A050" w14:textId="5A8B2AC1" w:rsidR="00B568AD" w:rsidRPr="00E02273" w:rsidRDefault="007341EC" w:rsidP="00AF7432">
      <w:pPr>
        <w:pStyle w:val="Paragraphe"/>
        <w:tabs>
          <w:tab w:val="clear" w:pos="4973"/>
          <w:tab w:val="num" w:pos="709"/>
        </w:tabs>
        <w:spacing w:line="240" w:lineRule="auto"/>
        <w:ind w:left="0"/>
        <w:rPr>
          <w:lang w:val="en-CA"/>
        </w:rPr>
      </w:pPr>
      <w:r w:rsidRPr="00E02273">
        <w:rPr>
          <w:lang w:val="en-CA"/>
        </w:rPr>
        <w:t xml:space="preserve">In any event, the maximum average price of a new medicine must not </w:t>
      </w:r>
      <w:r w:rsidR="00393F88">
        <w:rPr>
          <w:lang w:val="en-CA"/>
        </w:rPr>
        <w:t xml:space="preserve">exceed </w:t>
      </w:r>
      <w:r w:rsidR="007E24F5" w:rsidRPr="00E02273">
        <w:rPr>
          <w:lang w:val="en-CA"/>
        </w:rPr>
        <w:t>the price obtained using the</w:t>
      </w:r>
      <w:r w:rsidR="00A10E3D" w:rsidRPr="00E02273">
        <w:rPr>
          <w:lang w:val="en-CA"/>
        </w:rPr>
        <w:t xml:space="preserve"> international price comparison test established by the Board</w:t>
      </w:r>
      <w:r w:rsidR="00234160" w:rsidRPr="00E02273">
        <w:rPr>
          <w:lang w:val="en-CA"/>
        </w:rPr>
        <w:t xml:space="preserve"> by comparing prices with the countries listed in the </w:t>
      </w:r>
      <w:r w:rsidR="00234160" w:rsidRPr="00E02273">
        <w:rPr>
          <w:i/>
          <w:lang w:val="en-CA"/>
        </w:rPr>
        <w:t>Regulation</w:t>
      </w:r>
      <w:r w:rsidR="00234160" w:rsidRPr="00E02273">
        <w:rPr>
          <w:lang w:val="en-CA"/>
        </w:rPr>
        <w:t xml:space="preserve">, that is, </w:t>
      </w:r>
      <w:r w:rsidR="002D51A4" w:rsidRPr="00E02273">
        <w:rPr>
          <w:lang w:val="en-CA"/>
        </w:rPr>
        <w:t xml:space="preserve">France, </w:t>
      </w:r>
      <w:r w:rsidR="00234160" w:rsidRPr="00E02273">
        <w:rPr>
          <w:lang w:val="en-CA"/>
        </w:rPr>
        <w:t xml:space="preserve">Germany, Italy, Sweden, Switzerland, the </w:t>
      </w:r>
      <w:r w:rsidR="002D51A4" w:rsidRPr="00E02273">
        <w:rPr>
          <w:lang w:val="en-CA"/>
        </w:rPr>
        <w:t>United</w:t>
      </w:r>
      <w:r w:rsidR="00234160" w:rsidRPr="00E02273">
        <w:rPr>
          <w:lang w:val="en-CA"/>
        </w:rPr>
        <w:t xml:space="preserve"> </w:t>
      </w:r>
      <w:r w:rsidR="002D51A4" w:rsidRPr="00E02273">
        <w:rPr>
          <w:lang w:val="en-CA"/>
        </w:rPr>
        <w:t>Kingdom</w:t>
      </w:r>
      <w:r w:rsidR="00234160" w:rsidRPr="00E02273">
        <w:rPr>
          <w:lang w:val="en-CA"/>
        </w:rPr>
        <w:t xml:space="preserve">, and the </w:t>
      </w:r>
      <w:r w:rsidR="002D51A4" w:rsidRPr="00E02273">
        <w:rPr>
          <w:lang w:val="en-CA"/>
        </w:rPr>
        <w:t>United</w:t>
      </w:r>
      <w:r w:rsidR="00234160" w:rsidRPr="00E02273">
        <w:rPr>
          <w:lang w:val="en-CA"/>
        </w:rPr>
        <w:t xml:space="preserve"> </w:t>
      </w:r>
      <w:r w:rsidR="002D51A4" w:rsidRPr="00E02273">
        <w:rPr>
          <w:lang w:val="en-CA"/>
        </w:rPr>
        <w:t>States</w:t>
      </w:r>
      <w:r w:rsidR="00234160" w:rsidRPr="00E02273">
        <w:rPr>
          <w:lang w:val="en-CA"/>
        </w:rPr>
        <w:t>.</w:t>
      </w:r>
      <w:r w:rsidR="002D51A4" w:rsidRPr="00E02273">
        <w:rPr>
          <w:rStyle w:val="Appelnotedebasdep"/>
          <w:lang w:val="en-CA"/>
        </w:rPr>
        <w:footnoteReference w:id="77"/>
      </w:r>
      <w:r w:rsidR="002D51A4" w:rsidRPr="00E02273">
        <w:rPr>
          <w:lang w:val="en-CA"/>
        </w:rPr>
        <w:t xml:space="preserve"> </w:t>
      </w:r>
    </w:p>
    <w:p w14:paraId="489ABC9B" w14:textId="53A11282" w:rsidR="00B568AD" w:rsidRPr="00E02273" w:rsidRDefault="00443E02" w:rsidP="00AF7432">
      <w:pPr>
        <w:pStyle w:val="Paragraphe"/>
        <w:tabs>
          <w:tab w:val="clear" w:pos="4973"/>
          <w:tab w:val="num" w:pos="709"/>
        </w:tabs>
        <w:spacing w:line="240" w:lineRule="auto"/>
        <w:ind w:left="0"/>
        <w:rPr>
          <w:lang w:val="en-CA"/>
        </w:rPr>
      </w:pPr>
      <w:r w:rsidRPr="00E02273">
        <w:rPr>
          <w:lang w:val="en-CA"/>
        </w:rPr>
        <w:t xml:space="preserve">The price of an existing medicine will be presumed to be excessive if the national average transaction price exceeds the change in the </w:t>
      </w:r>
      <w:r w:rsidR="005926AF" w:rsidRPr="00E02273">
        <w:rPr>
          <w:lang w:val="en-CA"/>
        </w:rPr>
        <w:t>C</w:t>
      </w:r>
      <w:r w:rsidRPr="00E02273">
        <w:rPr>
          <w:lang w:val="en-CA"/>
        </w:rPr>
        <w:t xml:space="preserve">onsumer </w:t>
      </w:r>
      <w:r w:rsidR="005926AF" w:rsidRPr="00E02273">
        <w:rPr>
          <w:lang w:val="en-CA"/>
        </w:rPr>
        <w:t>P</w:t>
      </w:r>
      <w:r w:rsidRPr="00E02273">
        <w:rPr>
          <w:lang w:val="en-CA"/>
        </w:rPr>
        <w:t xml:space="preserve">rice </w:t>
      </w:r>
      <w:r w:rsidR="005926AF" w:rsidRPr="00E02273">
        <w:rPr>
          <w:lang w:val="en-CA"/>
        </w:rPr>
        <w:t>I</w:t>
      </w:r>
      <w:r w:rsidRPr="00E02273">
        <w:rPr>
          <w:lang w:val="en-CA"/>
        </w:rPr>
        <w:t xml:space="preserve">ndex after the </w:t>
      </w:r>
      <w:r w:rsidR="002D51A4" w:rsidRPr="00E02273">
        <w:rPr>
          <w:lang w:val="en-CA"/>
        </w:rPr>
        <w:t xml:space="preserve">application </w:t>
      </w:r>
      <w:r w:rsidRPr="00E02273">
        <w:rPr>
          <w:lang w:val="en-CA"/>
        </w:rPr>
        <w:t xml:space="preserve">of an adjustment </w:t>
      </w:r>
      <w:r w:rsidR="002D51A4" w:rsidRPr="00E02273">
        <w:rPr>
          <w:lang w:val="en-CA"/>
        </w:rPr>
        <w:t>m</w:t>
      </w:r>
      <w:r w:rsidRPr="00E02273">
        <w:rPr>
          <w:lang w:val="en-CA"/>
        </w:rPr>
        <w:t>e</w:t>
      </w:r>
      <w:r w:rsidR="002D51A4" w:rsidRPr="00E02273">
        <w:rPr>
          <w:lang w:val="en-CA"/>
        </w:rPr>
        <w:t>thodolog</w:t>
      </w:r>
      <w:r w:rsidRPr="00E02273">
        <w:rPr>
          <w:lang w:val="en-CA"/>
        </w:rPr>
        <w:t xml:space="preserve">y, or, </w:t>
      </w:r>
      <w:r w:rsidR="002D51A4" w:rsidRPr="00E02273">
        <w:rPr>
          <w:lang w:val="en-CA"/>
        </w:rPr>
        <w:t>as</w:t>
      </w:r>
      <w:r w:rsidRPr="00E02273">
        <w:rPr>
          <w:lang w:val="en-CA"/>
        </w:rPr>
        <w:t xml:space="preserve"> </w:t>
      </w:r>
      <w:r w:rsidR="002D51A4" w:rsidRPr="00E02273">
        <w:rPr>
          <w:lang w:val="en-CA"/>
        </w:rPr>
        <w:t>the</w:t>
      </w:r>
      <w:r w:rsidRPr="00E02273">
        <w:rPr>
          <w:lang w:val="en-CA"/>
        </w:rPr>
        <w:t xml:space="preserve"> </w:t>
      </w:r>
      <w:r w:rsidR="002D51A4" w:rsidRPr="00E02273">
        <w:rPr>
          <w:lang w:val="en-CA"/>
        </w:rPr>
        <w:t>case</w:t>
      </w:r>
      <w:r w:rsidRPr="00E02273">
        <w:rPr>
          <w:lang w:val="en-CA"/>
        </w:rPr>
        <w:t xml:space="preserve"> </w:t>
      </w:r>
      <w:r w:rsidR="002D51A4" w:rsidRPr="00E02273">
        <w:rPr>
          <w:lang w:val="en-CA"/>
        </w:rPr>
        <w:t>may</w:t>
      </w:r>
      <w:r w:rsidRPr="00E02273">
        <w:rPr>
          <w:lang w:val="en-CA"/>
        </w:rPr>
        <w:t xml:space="preserve"> </w:t>
      </w:r>
      <w:r w:rsidR="002D51A4" w:rsidRPr="00E02273">
        <w:rPr>
          <w:lang w:val="en-CA"/>
        </w:rPr>
        <w:t xml:space="preserve">be, </w:t>
      </w:r>
      <w:r w:rsidR="00E95BAF" w:rsidRPr="00E02273">
        <w:rPr>
          <w:lang w:val="en-CA"/>
        </w:rPr>
        <w:t xml:space="preserve">if it exceeds the </w:t>
      </w:r>
      <w:r w:rsidR="002D51A4" w:rsidRPr="00E02273">
        <w:rPr>
          <w:lang w:val="en-CA"/>
        </w:rPr>
        <w:t xml:space="preserve">threshold </w:t>
      </w:r>
      <w:r w:rsidR="00E95BAF" w:rsidRPr="00E02273">
        <w:rPr>
          <w:lang w:val="en-CA"/>
        </w:rPr>
        <w:t xml:space="preserve">of the international price comparison </w:t>
      </w:r>
      <w:r w:rsidR="002D51A4" w:rsidRPr="00E02273">
        <w:rPr>
          <w:lang w:val="en-CA"/>
        </w:rPr>
        <w:t>test.</w:t>
      </w:r>
    </w:p>
    <w:p w14:paraId="73427234" w14:textId="16FA51FC" w:rsidR="00B568AD" w:rsidRPr="00E02273" w:rsidRDefault="00D06DD4" w:rsidP="00C410DB">
      <w:pPr>
        <w:pStyle w:val="Paragraphe"/>
        <w:tabs>
          <w:tab w:val="left" w:pos="709"/>
        </w:tabs>
        <w:spacing w:line="240" w:lineRule="auto"/>
        <w:ind w:left="0"/>
        <w:rPr>
          <w:lang w:val="en-CA"/>
        </w:rPr>
      </w:pPr>
      <w:r w:rsidRPr="00E02273">
        <w:rPr>
          <w:lang w:val="en-CA"/>
        </w:rPr>
        <w:t>The Regulatory Impact Analysis Statement</w:t>
      </w:r>
      <w:r w:rsidR="00B7359F">
        <w:rPr>
          <w:lang w:val="en-CA"/>
        </w:rPr>
        <w:t xml:space="preserve"> appended</w:t>
      </w:r>
      <w:r w:rsidRPr="00E02273">
        <w:rPr>
          <w:lang w:val="en-CA"/>
        </w:rPr>
        <w:t xml:space="preserve"> to the </w:t>
      </w:r>
      <w:r w:rsidR="00866E58" w:rsidRPr="00E02273">
        <w:rPr>
          <w:i/>
          <w:lang w:val="en-CA"/>
        </w:rPr>
        <w:t>2019 Regulatory Amendments</w:t>
      </w:r>
      <w:r w:rsidR="002D51A4" w:rsidRPr="00E02273">
        <w:rPr>
          <w:lang w:val="en-CA"/>
        </w:rPr>
        <w:t xml:space="preserve"> </w:t>
      </w:r>
      <w:r w:rsidR="004651C1" w:rsidRPr="00E02273">
        <w:rPr>
          <w:lang w:val="en-CA"/>
        </w:rPr>
        <w:t>briefly describes the current process followed by the Board:</w:t>
      </w:r>
      <w:r w:rsidR="002D51A4" w:rsidRPr="00E02273">
        <w:rPr>
          <w:rStyle w:val="Appelnotedebasdep"/>
          <w:lang w:val="en-CA"/>
        </w:rPr>
        <w:footnoteReference w:id="78"/>
      </w:r>
      <w:r w:rsidR="002D51A4" w:rsidRPr="00E02273">
        <w:rPr>
          <w:lang w:val="en-CA"/>
        </w:rPr>
        <w:t xml:space="preserve">  </w:t>
      </w:r>
    </w:p>
    <w:p w14:paraId="3D5BD70F" w14:textId="77777777" w:rsidR="009F2ED3" w:rsidRPr="00E02273" w:rsidRDefault="004651C1" w:rsidP="00B568AD">
      <w:pPr>
        <w:pStyle w:val="Citationenretrait"/>
        <w:spacing w:line="240" w:lineRule="auto"/>
        <w:rPr>
          <w:lang w:val="en-CA"/>
        </w:rPr>
      </w:pPr>
      <w:r w:rsidRPr="00E02273">
        <w:rPr>
          <w:lang w:val="en-CA"/>
        </w:rPr>
        <w:lastRenderedPageBreak/>
        <w:t xml:space="preserve">Under the [Board’s] current practices, new patented medicines are assessed for the degree of therapeutic benefit they provide relative to existing medicines on the market. Depending on the outcome of that process, patentees are expected to set their prices with regard to a price ceiling for new patented medicines that is based either on the price of that same medicine in the PMPRB7 countries [France, Germany, Italy, Sweden, Switzerland, the United Kingdom, and the United States], the price of medicines in Canada in the same therapeutic class, or some combination of the two. Once a patentee sets a medicine’s introductory price in relation to that ceiling and it enters the market, the patentee may increase its price but subject to limitations based on changes in the Consumer Price Index. </w:t>
      </w:r>
    </w:p>
    <w:p w14:paraId="240440CF" w14:textId="30EC6D87" w:rsidR="00B568AD" w:rsidRPr="00E02273" w:rsidRDefault="0028242B" w:rsidP="00707180">
      <w:pPr>
        <w:pStyle w:val="Paragraphe"/>
        <w:tabs>
          <w:tab w:val="num" w:pos="709"/>
        </w:tabs>
        <w:spacing w:line="240" w:lineRule="auto"/>
        <w:ind w:left="0"/>
        <w:rPr>
          <w:lang w:val="en-CA"/>
        </w:rPr>
      </w:pPr>
      <w:r w:rsidRPr="00E02273">
        <w:rPr>
          <w:lang w:val="en-CA"/>
        </w:rPr>
        <w:t xml:space="preserve">To provide a concrete </w:t>
      </w:r>
      <w:r w:rsidR="002D51A4" w:rsidRPr="00E02273">
        <w:rPr>
          <w:lang w:val="en-CA"/>
        </w:rPr>
        <w:t>illustr</w:t>
      </w:r>
      <w:r w:rsidRPr="00E02273">
        <w:rPr>
          <w:lang w:val="en-CA"/>
        </w:rPr>
        <w:t xml:space="preserve">ation of the </w:t>
      </w:r>
      <w:r w:rsidR="002D51A4" w:rsidRPr="00E02273">
        <w:rPr>
          <w:lang w:val="en-CA"/>
        </w:rPr>
        <w:t xml:space="preserve">application </w:t>
      </w:r>
      <w:r w:rsidRPr="00E02273">
        <w:rPr>
          <w:lang w:val="en-CA"/>
        </w:rPr>
        <w:t xml:space="preserve">of the </w:t>
      </w:r>
      <w:r w:rsidR="00A27151" w:rsidRPr="00E02273">
        <w:rPr>
          <w:lang w:val="en-CA"/>
        </w:rPr>
        <w:t>regime</w:t>
      </w:r>
      <w:r w:rsidR="002D51A4" w:rsidRPr="00E02273">
        <w:rPr>
          <w:lang w:val="en-CA"/>
        </w:rPr>
        <w:t xml:space="preserve"> applicable </w:t>
      </w:r>
      <w:r w:rsidRPr="00E02273">
        <w:rPr>
          <w:lang w:val="en-CA"/>
        </w:rPr>
        <w:t xml:space="preserve">prior to the </w:t>
      </w:r>
      <w:r w:rsidR="00866E58" w:rsidRPr="00E02273">
        <w:rPr>
          <w:i/>
          <w:lang w:val="en-CA"/>
        </w:rPr>
        <w:t>2019 Regulatory Amendments</w:t>
      </w:r>
      <w:r w:rsidR="002D51A4" w:rsidRPr="00E02273">
        <w:rPr>
          <w:lang w:val="en-CA"/>
        </w:rPr>
        <w:t xml:space="preserve">, </w:t>
      </w:r>
      <w:r w:rsidR="00BD7DE3" w:rsidRPr="00E02273">
        <w:rPr>
          <w:lang w:val="en-CA"/>
        </w:rPr>
        <w:t xml:space="preserve">it is useful to refer to the simplified example of the process described in the </w:t>
      </w:r>
      <w:r w:rsidR="002D51A4" w:rsidRPr="00E02273">
        <w:rPr>
          <w:lang w:val="en-CA"/>
        </w:rPr>
        <w:t xml:space="preserve">affidavit </w:t>
      </w:r>
      <w:r w:rsidR="00BD7DE3" w:rsidRPr="00E02273">
        <w:rPr>
          <w:lang w:val="en-CA"/>
        </w:rPr>
        <w:t xml:space="preserve">dated </w:t>
      </w:r>
      <w:r w:rsidR="002D51A4" w:rsidRPr="00E02273">
        <w:rPr>
          <w:lang w:val="en-CA"/>
        </w:rPr>
        <w:t>March</w:t>
      </w:r>
      <w:r w:rsidR="00BD7DE3" w:rsidRPr="00E02273">
        <w:rPr>
          <w:lang w:val="en-CA"/>
        </w:rPr>
        <w:t xml:space="preserve"> 13,</w:t>
      </w:r>
      <w:r w:rsidR="002D51A4" w:rsidRPr="00E02273">
        <w:rPr>
          <w:lang w:val="en-CA"/>
        </w:rPr>
        <w:t xml:space="preserve"> 2020</w:t>
      </w:r>
      <w:r w:rsidR="00BD7DE3" w:rsidRPr="00E02273">
        <w:rPr>
          <w:lang w:val="en-CA"/>
        </w:rPr>
        <w:t xml:space="preserve">, provided </w:t>
      </w:r>
      <w:r w:rsidR="00611A61" w:rsidRPr="00E02273">
        <w:rPr>
          <w:lang w:val="en-CA"/>
        </w:rPr>
        <w:t xml:space="preserve">by a senior officer of the Board, </w:t>
      </w:r>
      <w:r w:rsidR="002D51A4" w:rsidRPr="00E02273">
        <w:rPr>
          <w:lang w:val="en-CA"/>
        </w:rPr>
        <w:t xml:space="preserve">Guillaume Couillard, </w:t>
      </w:r>
      <w:r w:rsidR="00611A61" w:rsidRPr="00E02273">
        <w:rPr>
          <w:lang w:val="en-CA"/>
        </w:rPr>
        <w:t>Director, Regulatory Affairs &amp; Outreach:</w:t>
      </w:r>
      <w:r w:rsidR="002D51A4" w:rsidRPr="00E02273">
        <w:rPr>
          <w:rStyle w:val="Appelnotedebasdep"/>
          <w:lang w:val="en-CA"/>
        </w:rPr>
        <w:footnoteReference w:id="79"/>
      </w:r>
    </w:p>
    <w:p w14:paraId="417ED934" w14:textId="6C9E4119" w:rsidR="00611A61" w:rsidRPr="00E02273" w:rsidRDefault="00611A61" w:rsidP="00B568AD">
      <w:pPr>
        <w:pStyle w:val="Citationenretrait"/>
        <w:spacing w:line="240" w:lineRule="auto"/>
        <w:rPr>
          <w:lang w:val="en-CA"/>
        </w:rPr>
      </w:pPr>
      <w:r w:rsidRPr="00E02273">
        <w:rPr>
          <w:lang w:val="en-CA"/>
        </w:rPr>
        <w:t>[</w:t>
      </w:r>
      <w:r w:rsidRPr="00E02273">
        <w:rPr>
          <w:smallCaps/>
          <w:lang w:val="en-CA"/>
        </w:rPr>
        <w:t>translation</w:t>
      </w:r>
      <w:r w:rsidRPr="00E02273">
        <w:rPr>
          <w:lang w:val="en-CA"/>
        </w:rPr>
        <w:t>]</w:t>
      </w:r>
    </w:p>
    <w:p w14:paraId="52370962" w14:textId="03ACE728" w:rsidR="00B568AD" w:rsidRPr="00E02273" w:rsidRDefault="002D51A4" w:rsidP="00B568AD">
      <w:pPr>
        <w:pStyle w:val="Citationenretrait"/>
        <w:spacing w:line="240" w:lineRule="auto"/>
        <w:rPr>
          <w:lang w:val="en-CA"/>
        </w:rPr>
      </w:pPr>
      <w:r w:rsidRPr="00E02273">
        <w:rPr>
          <w:lang w:val="en-CA"/>
        </w:rPr>
        <w:t>62.</w:t>
      </w:r>
      <w:r w:rsidRPr="00E02273">
        <w:rPr>
          <w:lang w:val="en-CA"/>
        </w:rPr>
        <w:tab/>
      </w:r>
      <w:r w:rsidR="00277A01" w:rsidRPr="00E02273">
        <w:rPr>
          <w:lang w:val="en-CA"/>
        </w:rPr>
        <w:t xml:space="preserve">In this [simplified] </w:t>
      </w:r>
      <w:r w:rsidRPr="00E02273">
        <w:rPr>
          <w:lang w:val="en-CA"/>
        </w:rPr>
        <w:t>ex</w:t>
      </w:r>
      <w:r w:rsidR="00277A01" w:rsidRPr="00E02273">
        <w:rPr>
          <w:lang w:val="en-CA"/>
        </w:rPr>
        <w:t>a</w:t>
      </w:r>
      <w:r w:rsidRPr="00E02273">
        <w:rPr>
          <w:lang w:val="en-CA"/>
        </w:rPr>
        <w:t>mple</w:t>
      </w:r>
      <w:r w:rsidR="00277A01" w:rsidRPr="00E02273">
        <w:rPr>
          <w:lang w:val="en-CA"/>
        </w:rPr>
        <w:t xml:space="preserve">, the staff is assessing the fictional medicine </w:t>
      </w:r>
      <w:r w:rsidRPr="00E02273">
        <w:rPr>
          <w:lang w:val="en-CA"/>
        </w:rPr>
        <w:t>MED.</w:t>
      </w:r>
      <w:r w:rsidR="00277A01" w:rsidRPr="00E02273">
        <w:rPr>
          <w:lang w:val="en-CA"/>
        </w:rPr>
        <w:t xml:space="preserve"> The patentee </w:t>
      </w:r>
      <w:r w:rsidRPr="00E02273">
        <w:rPr>
          <w:lang w:val="en-CA"/>
        </w:rPr>
        <w:t xml:space="preserve">PatCo </w:t>
      </w:r>
      <w:r w:rsidR="00277A01" w:rsidRPr="00E02273">
        <w:rPr>
          <w:lang w:val="en-CA"/>
        </w:rPr>
        <w:t xml:space="preserve">filed the </w:t>
      </w:r>
      <w:r w:rsidR="005F7929">
        <w:rPr>
          <w:lang w:val="en-CA"/>
        </w:rPr>
        <w:t xml:space="preserve">prescribed </w:t>
      </w:r>
      <w:r w:rsidRPr="00E02273">
        <w:rPr>
          <w:lang w:val="en-CA"/>
        </w:rPr>
        <w:t>information</w:t>
      </w:r>
      <w:r w:rsidR="00277A01" w:rsidRPr="00E02273">
        <w:rPr>
          <w:lang w:val="en-CA"/>
        </w:rPr>
        <w:t xml:space="preserve"> regarding </w:t>
      </w:r>
      <w:r w:rsidRPr="00E02273">
        <w:rPr>
          <w:lang w:val="en-CA"/>
        </w:rPr>
        <w:t xml:space="preserve">MED </w:t>
      </w:r>
      <w:r w:rsidR="00277A01" w:rsidRPr="00E02273">
        <w:rPr>
          <w:lang w:val="en-CA"/>
        </w:rPr>
        <w:t xml:space="preserve">shortly after making its first sale of </w:t>
      </w:r>
      <w:r w:rsidRPr="00E02273">
        <w:rPr>
          <w:lang w:val="en-CA"/>
        </w:rPr>
        <w:t xml:space="preserve">MED </w:t>
      </w:r>
      <w:r w:rsidR="00277A01" w:rsidRPr="00E02273">
        <w:rPr>
          <w:lang w:val="en-CA"/>
        </w:rPr>
        <w:t>in</w:t>
      </w:r>
      <w:r w:rsidRPr="00E02273">
        <w:rPr>
          <w:lang w:val="en-CA"/>
        </w:rPr>
        <w:t xml:space="preserve"> Canada. </w:t>
      </w:r>
      <w:r w:rsidR="004F1EB2" w:rsidRPr="00E02273">
        <w:rPr>
          <w:lang w:val="en-CA"/>
        </w:rPr>
        <w:t xml:space="preserve">It did so because it holds a patent for an </w:t>
      </w:r>
      <w:r w:rsidRPr="00E02273">
        <w:rPr>
          <w:lang w:val="en-CA"/>
        </w:rPr>
        <w:t xml:space="preserve">invention </w:t>
      </w:r>
      <w:r w:rsidR="004F1EB2" w:rsidRPr="00E02273">
        <w:rPr>
          <w:lang w:val="en-CA"/>
        </w:rPr>
        <w:t>pertaining to a medicine</w:t>
      </w:r>
      <w:r w:rsidRPr="00E02273">
        <w:rPr>
          <w:lang w:val="en-CA"/>
        </w:rPr>
        <w:t>.</w:t>
      </w:r>
    </w:p>
    <w:p w14:paraId="246FD9AF" w14:textId="1BD32980" w:rsidR="00B568AD" w:rsidRPr="00E02273" w:rsidRDefault="002D51A4" w:rsidP="00B568AD">
      <w:pPr>
        <w:pStyle w:val="Citationenretrait"/>
        <w:spacing w:line="240" w:lineRule="auto"/>
        <w:rPr>
          <w:lang w:val="en-CA"/>
        </w:rPr>
      </w:pPr>
      <w:r w:rsidRPr="00E02273">
        <w:rPr>
          <w:lang w:val="en-CA"/>
        </w:rPr>
        <w:t>63.</w:t>
      </w:r>
      <w:r w:rsidRPr="00E02273">
        <w:rPr>
          <w:lang w:val="en-CA"/>
        </w:rPr>
        <w:tab/>
      </w:r>
      <w:r w:rsidR="008F120D" w:rsidRPr="00E02273">
        <w:rPr>
          <w:lang w:val="en-CA"/>
        </w:rPr>
        <w:t xml:space="preserve">First, the medicine is subject to </w:t>
      </w:r>
      <w:r w:rsidRPr="00E02273">
        <w:rPr>
          <w:lang w:val="en-CA"/>
        </w:rPr>
        <w:t>scientifi</w:t>
      </w:r>
      <w:r w:rsidR="008F120D" w:rsidRPr="00E02273">
        <w:rPr>
          <w:lang w:val="en-CA"/>
        </w:rPr>
        <w:t xml:space="preserve">c review by the advisory panel </w:t>
      </w:r>
      <w:r w:rsidRPr="00E02273">
        <w:rPr>
          <w:lang w:val="en-CA"/>
        </w:rPr>
        <w:t>(</w:t>
      </w:r>
      <w:r w:rsidR="008F120D" w:rsidRPr="00E02273">
        <w:rPr>
          <w:lang w:val="en-CA"/>
        </w:rPr>
        <w:t>HDAP</w:t>
      </w:r>
      <w:r w:rsidRPr="00E02273">
        <w:rPr>
          <w:lang w:val="en-CA"/>
        </w:rPr>
        <w:t xml:space="preserve">) </w:t>
      </w:r>
      <w:r w:rsidR="008F120D" w:rsidRPr="00E02273">
        <w:rPr>
          <w:lang w:val="en-CA"/>
        </w:rPr>
        <w:t>so that it may be assigned a level of therapeutic improvement and to identify other medicines that may be considered</w:t>
      </w:r>
      <w:r w:rsidRPr="00E02273">
        <w:rPr>
          <w:lang w:val="en-CA"/>
        </w:rPr>
        <w:t xml:space="preserve"> th</w:t>
      </w:r>
      <w:r w:rsidR="008F120D" w:rsidRPr="00E02273">
        <w:rPr>
          <w:lang w:val="en-CA"/>
        </w:rPr>
        <w:t>e</w:t>
      </w:r>
      <w:r w:rsidRPr="00E02273">
        <w:rPr>
          <w:lang w:val="en-CA"/>
        </w:rPr>
        <w:t>rapeuti</w:t>
      </w:r>
      <w:r w:rsidR="008F120D" w:rsidRPr="00E02273">
        <w:rPr>
          <w:lang w:val="en-CA"/>
        </w:rPr>
        <w:t>cally</w:t>
      </w:r>
      <w:r w:rsidRPr="00E02273">
        <w:rPr>
          <w:lang w:val="en-CA"/>
        </w:rPr>
        <w:t xml:space="preserve"> comparable. </w:t>
      </w:r>
      <w:r w:rsidR="008F120D" w:rsidRPr="00E02273">
        <w:rPr>
          <w:lang w:val="en-CA"/>
        </w:rPr>
        <w:t xml:space="preserve">The </w:t>
      </w:r>
      <w:r w:rsidR="001171D1" w:rsidRPr="00E02273">
        <w:rPr>
          <w:lang w:val="en-CA"/>
        </w:rPr>
        <w:t xml:space="preserve">HDAP reviews the scientific </w:t>
      </w:r>
      <w:r w:rsidRPr="00E02273">
        <w:rPr>
          <w:lang w:val="en-CA"/>
        </w:rPr>
        <w:t>information</w:t>
      </w:r>
      <w:r w:rsidR="001171D1" w:rsidRPr="00E02273">
        <w:rPr>
          <w:lang w:val="en-CA"/>
        </w:rPr>
        <w:t xml:space="preserve"> pertaining to the medicine and may </w:t>
      </w:r>
      <w:r w:rsidRPr="00E02273">
        <w:rPr>
          <w:lang w:val="en-CA"/>
        </w:rPr>
        <w:t>consult</w:t>
      </w:r>
      <w:r w:rsidR="001171D1" w:rsidRPr="00E02273">
        <w:rPr>
          <w:lang w:val="en-CA"/>
        </w:rPr>
        <w:t xml:space="preserve"> other </w:t>
      </w:r>
      <w:r w:rsidRPr="00E02273">
        <w:rPr>
          <w:lang w:val="en-CA"/>
        </w:rPr>
        <w:t>experts</w:t>
      </w:r>
      <w:r w:rsidR="001171D1" w:rsidRPr="00E02273">
        <w:rPr>
          <w:lang w:val="en-CA"/>
        </w:rPr>
        <w:t xml:space="preserve"> on the medicine. It may also obtain data from </w:t>
      </w:r>
      <w:r w:rsidRPr="00E02273">
        <w:rPr>
          <w:lang w:val="en-CA"/>
        </w:rPr>
        <w:t xml:space="preserve">PatCo </w:t>
      </w:r>
      <w:r w:rsidR="001171D1" w:rsidRPr="00E02273">
        <w:rPr>
          <w:lang w:val="en-CA"/>
        </w:rPr>
        <w:t>and from the staff</w:t>
      </w:r>
      <w:r w:rsidRPr="00E02273">
        <w:rPr>
          <w:lang w:val="en-CA"/>
        </w:rPr>
        <w:t>.</w:t>
      </w:r>
    </w:p>
    <w:p w14:paraId="71FEC352" w14:textId="3F1AB3FC" w:rsidR="00B568AD" w:rsidRPr="00E02273" w:rsidRDefault="002D51A4" w:rsidP="00B568AD">
      <w:pPr>
        <w:pStyle w:val="Citationenretrait"/>
        <w:spacing w:line="240" w:lineRule="auto"/>
        <w:rPr>
          <w:lang w:val="en-CA"/>
        </w:rPr>
      </w:pPr>
      <w:r w:rsidRPr="00E02273">
        <w:rPr>
          <w:lang w:val="en-CA"/>
        </w:rPr>
        <w:t>64.</w:t>
      </w:r>
      <w:r w:rsidRPr="00E02273">
        <w:rPr>
          <w:lang w:val="en-CA"/>
        </w:rPr>
        <w:tab/>
      </w:r>
      <w:r w:rsidR="007100D0" w:rsidRPr="00E02273">
        <w:rPr>
          <w:lang w:val="en-CA"/>
        </w:rPr>
        <w:t xml:space="preserve">For this </w:t>
      </w:r>
      <w:r w:rsidRPr="00E02273">
        <w:rPr>
          <w:lang w:val="en-CA"/>
        </w:rPr>
        <w:t>ex</w:t>
      </w:r>
      <w:r w:rsidR="007100D0" w:rsidRPr="00E02273">
        <w:rPr>
          <w:lang w:val="en-CA"/>
        </w:rPr>
        <w:t>a</w:t>
      </w:r>
      <w:r w:rsidRPr="00E02273">
        <w:rPr>
          <w:lang w:val="en-CA"/>
        </w:rPr>
        <w:t xml:space="preserve">mple, </w:t>
      </w:r>
      <w:r w:rsidR="00E25F81" w:rsidRPr="00E02273">
        <w:rPr>
          <w:lang w:val="en-CA"/>
        </w:rPr>
        <w:t xml:space="preserve">we will assume that, on the basis of all the relevant available </w:t>
      </w:r>
      <w:r w:rsidRPr="00E02273">
        <w:rPr>
          <w:lang w:val="en-CA"/>
        </w:rPr>
        <w:t>information,</w:t>
      </w:r>
      <w:r w:rsidR="00E25F81" w:rsidRPr="00E02273">
        <w:rPr>
          <w:lang w:val="en-CA"/>
        </w:rPr>
        <w:t xml:space="preserve"> the HDAP found that </w:t>
      </w:r>
      <w:r w:rsidRPr="00E02273">
        <w:rPr>
          <w:lang w:val="en-CA"/>
        </w:rPr>
        <w:t xml:space="preserve">MED </w:t>
      </w:r>
      <w:r w:rsidR="00E25F81" w:rsidRPr="00E02273">
        <w:rPr>
          <w:lang w:val="en-CA"/>
        </w:rPr>
        <w:t xml:space="preserve">is a moderate improvement and </w:t>
      </w:r>
      <w:r w:rsidRPr="00E02273">
        <w:rPr>
          <w:lang w:val="en-CA"/>
        </w:rPr>
        <w:t xml:space="preserve">MEDCompA </w:t>
      </w:r>
      <w:r w:rsidR="00E25F81" w:rsidRPr="00E02273">
        <w:rPr>
          <w:lang w:val="en-CA"/>
        </w:rPr>
        <w:t>and</w:t>
      </w:r>
      <w:r w:rsidRPr="00E02273">
        <w:rPr>
          <w:lang w:val="en-CA"/>
        </w:rPr>
        <w:t xml:space="preserve"> MEDCompB </w:t>
      </w:r>
      <w:r w:rsidR="00E25F81" w:rsidRPr="00E02273">
        <w:rPr>
          <w:lang w:val="en-CA"/>
        </w:rPr>
        <w:t>are the only therapeutically comparable medicines</w:t>
      </w:r>
      <w:r w:rsidRPr="00E02273">
        <w:rPr>
          <w:lang w:val="en-CA"/>
        </w:rPr>
        <w:t xml:space="preserve"> (</w:t>
      </w:r>
      <w:r w:rsidR="00E25F81" w:rsidRPr="00E02273">
        <w:rPr>
          <w:lang w:val="en-CA"/>
        </w:rPr>
        <w:t xml:space="preserve">the therapeutic </w:t>
      </w:r>
      <w:r w:rsidRPr="00E02273">
        <w:rPr>
          <w:lang w:val="en-CA"/>
        </w:rPr>
        <w:t>comparat</w:t>
      </w:r>
      <w:r w:rsidR="00E25F81" w:rsidRPr="00E02273">
        <w:rPr>
          <w:lang w:val="en-CA"/>
        </w:rPr>
        <w:t>ors</w:t>
      </w:r>
      <w:r w:rsidRPr="00E02273">
        <w:rPr>
          <w:lang w:val="en-CA"/>
        </w:rPr>
        <w:t xml:space="preserve">). </w:t>
      </w:r>
      <w:r w:rsidR="00541765" w:rsidRPr="00E02273">
        <w:rPr>
          <w:lang w:val="en-CA"/>
        </w:rPr>
        <w:t xml:space="preserve">I note that these findings are often the subject of significant </w:t>
      </w:r>
      <w:r w:rsidRPr="00E02273">
        <w:rPr>
          <w:lang w:val="en-CA"/>
        </w:rPr>
        <w:t>debate</w:t>
      </w:r>
      <w:r w:rsidR="00541765" w:rsidRPr="00E02273">
        <w:rPr>
          <w:lang w:val="en-CA"/>
        </w:rPr>
        <w:t xml:space="preserve"> and that they affect the way the staff then reviews the price of the medicine under the current </w:t>
      </w:r>
      <w:r w:rsidRPr="00E02273">
        <w:rPr>
          <w:lang w:val="en-CA"/>
        </w:rPr>
        <w:t>guidelines.</w:t>
      </w:r>
      <w:r w:rsidR="00541765" w:rsidRPr="00E02273">
        <w:rPr>
          <w:lang w:val="en-CA"/>
        </w:rPr>
        <w:t xml:space="preserve"> I will set out the difference between the possible results below</w:t>
      </w:r>
      <w:r w:rsidRPr="00E02273">
        <w:rPr>
          <w:lang w:val="en-CA"/>
        </w:rPr>
        <w:t>.</w:t>
      </w:r>
    </w:p>
    <w:p w14:paraId="55981C32" w14:textId="23ADE2DD" w:rsidR="00B568AD" w:rsidRPr="00E02273" w:rsidRDefault="002D51A4" w:rsidP="00B568AD">
      <w:pPr>
        <w:pStyle w:val="Citationenretrait"/>
        <w:spacing w:line="240" w:lineRule="auto"/>
        <w:rPr>
          <w:lang w:val="en-CA"/>
        </w:rPr>
      </w:pPr>
      <w:r w:rsidRPr="00E02273">
        <w:rPr>
          <w:lang w:val="en-CA"/>
        </w:rPr>
        <w:t>65.</w:t>
      </w:r>
      <w:r w:rsidRPr="00E02273">
        <w:rPr>
          <w:lang w:val="en-CA"/>
        </w:rPr>
        <w:tab/>
      </w:r>
      <w:r w:rsidR="005F502B" w:rsidRPr="00E02273">
        <w:rPr>
          <w:lang w:val="en-CA"/>
        </w:rPr>
        <w:t>In this exa</w:t>
      </w:r>
      <w:r w:rsidRPr="00E02273">
        <w:rPr>
          <w:lang w:val="en-CA"/>
        </w:rPr>
        <w:t xml:space="preserve">mple, </w:t>
      </w:r>
      <w:r w:rsidR="005F502B" w:rsidRPr="00E02273">
        <w:rPr>
          <w:lang w:val="en-CA"/>
        </w:rPr>
        <w:t xml:space="preserve">we will also assume the following in regard to </w:t>
      </w:r>
      <w:r w:rsidRPr="00E02273">
        <w:rPr>
          <w:lang w:val="en-CA"/>
        </w:rPr>
        <w:t>MED:</w:t>
      </w:r>
    </w:p>
    <w:p w14:paraId="477E8A4C" w14:textId="5A2F3092" w:rsidR="00B568AD" w:rsidRPr="00E02273" w:rsidRDefault="002D51A4" w:rsidP="00B568AD">
      <w:pPr>
        <w:pStyle w:val="Citationenretrait"/>
        <w:spacing w:line="240" w:lineRule="auto"/>
        <w:ind w:left="1440"/>
        <w:rPr>
          <w:lang w:val="en-CA"/>
        </w:rPr>
      </w:pPr>
      <w:r w:rsidRPr="00E02273">
        <w:rPr>
          <w:lang w:val="en-CA"/>
        </w:rPr>
        <w:t xml:space="preserve">a. MED </w:t>
      </w:r>
      <w:r w:rsidR="005F502B" w:rsidRPr="00E02273">
        <w:rPr>
          <w:lang w:val="en-CA"/>
        </w:rPr>
        <w:t>is sold in five</w:t>
      </w:r>
      <w:r w:rsidRPr="00E02273">
        <w:rPr>
          <w:lang w:val="en-CA"/>
        </w:rPr>
        <w:t xml:space="preserve"> (5) </w:t>
      </w:r>
      <w:r w:rsidR="00D02817" w:rsidRPr="00E02273">
        <w:rPr>
          <w:lang w:val="en-CA"/>
        </w:rPr>
        <w:t>of the seven</w:t>
      </w:r>
      <w:r w:rsidRPr="00E02273">
        <w:rPr>
          <w:lang w:val="en-CA"/>
        </w:rPr>
        <w:t xml:space="preserve"> (7) </w:t>
      </w:r>
      <w:r w:rsidR="00D02817" w:rsidRPr="00E02273">
        <w:rPr>
          <w:lang w:val="en-CA"/>
        </w:rPr>
        <w:t xml:space="preserve">countries on which </w:t>
      </w:r>
      <w:r w:rsidRPr="00E02273">
        <w:rPr>
          <w:lang w:val="en-CA"/>
        </w:rPr>
        <w:t xml:space="preserve">PatCo </w:t>
      </w:r>
      <w:r w:rsidR="00D02817" w:rsidRPr="00E02273">
        <w:rPr>
          <w:lang w:val="en-CA"/>
        </w:rPr>
        <w:t>must report</w:t>
      </w:r>
      <w:r w:rsidRPr="00E02273">
        <w:rPr>
          <w:lang w:val="en-CA"/>
        </w:rPr>
        <w:t xml:space="preserve"> (</w:t>
      </w:r>
      <w:r w:rsidR="00D02817" w:rsidRPr="00E02273">
        <w:rPr>
          <w:lang w:val="en-CA"/>
        </w:rPr>
        <w:t>i.e., the “PMPRB7”</w:t>
      </w:r>
      <w:r w:rsidRPr="00E02273">
        <w:rPr>
          <w:lang w:val="en-CA"/>
        </w:rPr>
        <w:t xml:space="preserve">) </w:t>
      </w:r>
      <w:r w:rsidR="00D02817" w:rsidRPr="00E02273">
        <w:rPr>
          <w:lang w:val="en-CA"/>
        </w:rPr>
        <w:t xml:space="preserve">at the following </w:t>
      </w:r>
      <w:r w:rsidR="00223D83" w:rsidRPr="00E02273">
        <w:rPr>
          <w:lang w:val="en-CA"/>
        </w:rPr>
        <w:t>gross prices</w:t>
      </w:r>
      <w:r w:rsidRPr="00E02273">
        <w:rPr>
          <w:lang w:val="en-CA"/>
        </w:rPr>
        <w:t xml:space="preserve"> (publi</w:t>
      </w:r>
      <w:r w:rsidR="00934F5A" w:rsidRPr="00E02273">
        <w:rPr>
          <w:lang w:val="en-CA"/>
        </w:rPr>
        <w:t>c list</w:t>
      </w:r>
      <w:r w:rsidRPr="00E02273">
        <w:rPr>
          <w:lang w:val="en-CA"/>
        </w:rPr>
        <w:t>) (</w:t>
      </w:r>
      <w:r w:rsidR="00934F5A" w:rsidRPr="00E02273">
        <w:rPr>
          <w:lang w:val="en-CA"/>
        </w:rPr>
        <w:t>i</w:t>
      </w:r>
      <w:r w:rsidRPr="00E02273">
        <w:rPr>
          <w:lang w:val="en-CA"/>
        </w:rPr>
        <w:t>n CAN</w:t>
      </w:r>
      <w:r w:rsidR="00934F5A" w:rsidRPr="00E02273">
        <w:rPr>
          <w:lang w:val="en-CA"/>
        </w:rPr>
        <w:t>$</w:t>
      </w:r>
      <w:r w:rsidRPr="00E02273">
        <w:rPr>
          <w:lang w:val="en-CA"/>
        </w:rPr>
        <w:t xml:space="preserve">): </w:t>
      </w:r>
      <w:r w:rsidR="007546E4" w:rsidRPr="00E02273">
        <w:rPr>
          <w:lang w:val="en-CA"/>
        </w:rPr>
        <w:t>United States, $20;</w:t>
      </w:r>
      <w:r w:rsidRPr="00E02273">
        <w:rPr>
          <w:lang w:val="en-CA"/>
        </w:rPr>
        <w:t xml:space="preserve"> </w:t>
      </w:r>
      <w:r w:rsidR="007546E4" w:rsidRPr="00E02273">
        <w:rPr>
          <w:lang w:val="en-CA"/>
        </w:rPr>
        <w:t>Switzerland, $15;</w:t>
      </w:r>
      <w:r w:rsidRPr="00E02273">
        <w:rPr>
          <w:lang w:val="en-CA"/>
        </w:rPr>
        <w:t xml:space="preserve"> </w:t>
      </w:r>
      <w:r w:rsidR="007546E4" w:rsidRPr="00E02273">
        <w:rPr>
          <w:lang w:val="en-CA"/>
        </w:rPr>
        <w:t>Germany, $10;</w:t>
      </w:r>
      <w:r w:rsidRPr="00E02273">
        <w:rPr>
          <w:lang w:val="en-CA"/>
        </w:rPr>
        <w:t xml:space="preserve"> </w:t>
      </w:r>
      <w:r w:rsidR="007546E4" w:rsidRPr="00E02273">
        <w:rPr>
          <w:lang w:val="en-CA"/>
        </w:rPr>
        <w:t>United Kingdom, $8;</w:t>
      </w:r>
      <w:r w:rsidRPr="00E02273">
        <w:rPr>
          <w:lang w:val="en-CA"/>
        </w:rPr>
        <w:t xml:space="preserve"> </w:t>
      </w:r>
      <w:r w:rsidR="007546E4" w:rsidRPr="00E02273">
        <w:rPr>
          <w:lang w:val="en-CA"/>
        </w:rPr>
        <w:t>France, $5.</w:t>
      </w:r>
    </w:p>
    <w:p w14:paraId="5C8C612C" w14:textId="03CBCC3A" w:rsidR="00B568AD" w:rsidRPr="00E02273" w:rsidRDefault="002D51A4" w:rsidP="00B568AD">
      <w:pPr>
        <w:pStyle w:val="Citationenretrait"/>
        <w:spacing w:line="240" w:lineRule="auto"/>
        <w:ind w:left="1440"/>
        <w:rPr>
          <w:lang w:val="en-CA"/>
        </w:rPr>
      </w:pPr>
      <w:r w:rsidRPr="00E02273">
        <w:rPr>
          <w:lang w:val="en-CA"/>
        </w:rPr>
        <w:lastRenderedPageBreak/>
        <w:t xml:space="preserve">b. </w:t>
      </w:r>
      <w:r w:rsidR="00C538BE" w:rsidRPr="00E02273">
        <w:rPr>
          <w:lang w:val="en-CA"/>
        </w:rPr>
        <w:t xml:space="preserve">MED’s </w:t>
      </w:r>
      <w:r w:rsidR="00E25F81" w:rsidRPr="00E02273">
        <w:rPr>
          <w:lang w:val="en-CA"/>
        </w:rPr>
        <w:t>therapeutic comparators</w:t>
      </w:r>
      <w:r w:rsidRPr="00E02273">
        <w:rPr>
          <w:lang w:val="en-CA"/>
        </w:rPr>
        <w:t xml:space="preserve">, MEDCompA </w:t>
      </w:r>
      <w:r w:rsidR="00C538BE" w:rsidRPr="00E02273">
        <w:rPr>
          <w:lang w:val="en-CA"/>
        </w:rPr>
        <w:t>and</w:t>
      </w:r>
      <w:r w:rsidRPr="00E02273">
        <w:rPr>
          <w:lang w:val="en-CA"/>
        </w:rPr>
        <w:t xml:space="preserve"> MEDCompB, </w:t>
      </w:r>
      <w:r w:rsidR="00C538BE" w:rsidRPr="00E02273">
        <w:rPr>
          <w:lang w:val="en-CA"/>
        </w:rPr>
        <w:t xml:space="preserve">are sold in </w:t>
      </w:r>
      <w:r w:rsidRPr="00E02273">
        <w:rPr>
          <w:lang w:val="en-CA"/>
        </w:rPr>
        <w:t xml:space="preserve">Canada </w:t>
      </w:r>
      <w:r w:rsidR="00934F5A" w:rsidRPr="00E02273">
        <w:rPr>
          <w:lang w:val="en-CA"/>
        </w:rPr>
        <w:t>for an equivalent therapeutic treatment at a gross price of $</w:t>
      </w:r>
      <w:r w:rsidRPr="00E02273">
        <w:rPr>
          <w:lang w:val="en-CA"/>
        </w:rPr>
        <w:t>7</w:t>
      </w:r>
      <w:r w:rsidR="00934F5A" w:rsidRPr="00E02273">
        <w:rPr>
          <w:lang w:val="en-CA"/>
        </w:rPr>
        <w:t>.</w:t>
      </w:r>
      <w:r w:rsidRPr="00E02273">
        <w:rPr>
          <w:lang w:val="en-CA"/>
        </w:rPr>
        <w:t xml:space="preserve">00 </w:t>
      </w:r>
      <w:r w:rsidR="00934F5A" w:rsidRPr="00E02273">
        <w:rPr>
          <w:lang w:val="en-CA"/>
        </w:rPr>
        <w:t>and</w:t>
      </w:r>
      <w:r w:rsidRPr="00E02273">
        <w:rPr>
          <w:lang w:val="en-CA"/>
        </w:rPr>
        <w:t xml:space="preserve"> </w:t>
      </w:r>
      <w:r w:rsidR="00934F5A" w:rsidRPr="00E02273">
        <w:rPr>
          <w:lang w:val="en-CA"/>
        </w:rPr>
        <w:t>$</w:t>
      </w:r>
      <w:r w:rsidRPr="00E02273">
        <w:rPr>
          <w:lang w:val="en-CA"/>
        </w:rPr>
        <w:t>8</w:t>
      </w:r>
      <w:r w:rsidR="00934F5A" w:rsidRPr="00E02273">
        <w:rPr>
          <w:lang w:val="en-CA"/>
        </w:rPr>
        <w:t>.</w:t>
      </w:r>
      <w:r w:rsidRPr="00E02273">
        <w:rPr>
          <w:lang w:val="en-CA"/>
        </w:rPr>
        <w:t>00, respective</w:t>
      </w:r>
      <w:r w:rsidR="00934F5A" w:rsidRPr="00E02273">
        <w:rPr>
          <w:lang w:val="en-CA"/>
        </w:rPr>
        <w:t>ly</w:t>
      </w:r>
      <w:r w:rsidRPr="00E02273">
        <w:rPr>
          <w:lang w:val="en-CA"/>
        </w:rPr>
        <w:t>.</w:t>
      </w:r>
    </w:p>
    <w:p w14:paraId="1078AD7A" w14:textId="06DF1FBB" w:rsidR="00B568AD" w:rsidRPr="00E02273" w:rsidRDefault="002D51A4" w:rsidP="00B568AD">
      <w:pPr>
        <w:pStyle w:val="Citationenretrait"/>
        <w:spacing w:line="240" w:lineRule="auto"/>
        <w:rPr>
          <w:lang w:val="en-CA"/>
        </w:rPr>
      </w:pPr>
      <w:r w:rsidRPr="00E02273">
        <w:rPr>
          <w:lang w:val="en-CA"/>
        </w:rPr>
        <w:t>66.</w:t>
      </w:r>
      <w:r w:rsidRPr="00E02273">
        <w:rPr>
          <w:lang w:val="en-CA"/>
        </w:rPr>
        <w:tab/>
      </w:r>
      <w:r w:rsidR="00724400" w:rsidRPr="00E02273">
        <w:rPr>
          <w:lang w:val="en-CA"/>
        </w:rPr>
        <w:t xml:space="preserve">Once the scientific review has been completed, the staff will review </w:t>
      </w:r>
      <w:r w:rsidRPr="00E02273">
        <w:rPr>
          <w:lang w:val="en-CA"/>
        </w:rPr>
        <w:t>MED</w:t>
      </w:r>
      <w:r w:rsidR="00724400" w:rsidRPr="00E02273">
        <w:rPr>
          <w:lang w:val="en-CA"/>
        </w:rPr>
        <w:t>’s introductory price</w:t>
      </w:r>
      <w:r w:rsidRPr="00E02273">
        <w:rPr>
          <w:lang w:val="en-CA"/>
        </w:rPr>
        <w:t xml:space="preserve"> (</w:t>
      </w:r>
      <w:r w:rsidR="00724400" w:rsidRPr="00E02273">
        <w:rPr>
          <w:lang w:val="en-CA"/>
        </w:rPr>
        <w:t>that is, the price of its first sales</w:t>
      </w:r>
      <w:r w:rsidRPr="00E02273">
        <w:rPr>
          <w:lang w:val="en-CA"/>
        </w:rPr>
        <w:t>).</w:t>
      </w:r>
      <w:r w:rsidR="00724400" w:rsidRPr="00E02273">
        <w:rPr>
          <w:lang w:val="en-CA"/>
        </w:rPr>
        <w:t xml:space="preserve"> Because the level of improvement of MED’s price is moderate, the staff will compare the price of </w:t>
      </w:r>
      <w:r w:rsidRPr="00E02273">
        <w:rPr>
          <w:lang w:val="en-CA"/>
        </w:rPr>
        <w:t xml:space="preserve">MED </w:t>
      </w:r>
      <w:r w:rsidR="00724400" w:rsidRPr="00E02273">
        <w:rPr>
          <w:lang w:val="en-CA"/>
        </w:rPr>
        <w:t xml:space="preserve">in Canada to the price of </w:t>
      </w:r>
      <w:r w:rsidRPr="00E02273">
        <w:rPr>
          <w:lang w:val="en-CA"/>
        </w:rPr>
        <w:t xml:space="preserve">MED </w:t>
      </w:r>
      <w:r w:rsidR="00724400" w:rsidRPr="00E02273">
        <w:rPr>
          <w:lang w:val="en-CA"/>
        </w:rPr>
        <w:t>elsewhere in the world</w:t>
      </w:r>
      <w:r w:rsidRPr="00E02273">
        <w:rPr>
          <w:lang w:val="en-CA"/>
        </w:rPr>
        <w:t xml:space="preserve"> (</w:t>
      </w:r>
      <w:r w:rsidR="00724400" w:rsidRPr="00E02273">
        <w:rPr>
          <w:lang w:val="en-CA"/>
        </w:rPr>
        <w:t xml:space="preserve">that is, the international prices available for </w:t>
      </w:r>
      <w:r w:rsidRPr="00E02273">
        <w:rPr>
          <w:lang w:val="en-CA"/>
        </w:rPr>
        <w:t xml:space="preserve">MED </w:t>
      </w:r>
      <w:r w:rsidR="00724400" w:rsidRPr="00E02273">
        <w:rPr>
          <w:lang w:val="en-CA"/>
        </w:rPr>
        <w:t xml:space="preserve">in the </w:t>
      </w:r>
      <w:r w:rsidR="00A87480" w:rsidRPr="00E02273">
        <w:rPr>
          <w:lang w:val="en-CA"/>
        </w:rPr>
        <w:t>PMPRB</w:t>
      </w:r>
      <w:r w:rsidRPr="00E02273">
        <w:rPr>
          <w:lang w:val="en-CA"/>
        </w:rPr>
        <w:t xml:space="preserve">7) </w:t>
      </w:r>
      <w:r w:rsidR="00A87480" w:rsidRPr="00E02273">
        <w:rPr>
          <w:lang w:val="en-CA"/>
        </w:rPr>
        <w:t xml:space="preserve">and the price in Canada of medicines therapeutically </w:t>
      </w:r>
      <w:r w:rsidRPr="00E02273">
        <w:rPr>
          <w:lang w:val="en-CA"/>
        </w:rPr>
        <w:t>comparable</w:t>
      </w:r>
      <w:r w:rsidR="00A87480" w:rsidRPr="00E02273">
        <w:rPr>
          <w:lang w:val="en-CA"/>
        </w:rPr>
        <w:t xml:space="preserve"> to </w:t>
      </w:r>
      <w:r w:rsidRPr="00E02273">
        <w:rPr>
          <w:lang w:val="en-CA"/>
        </w:rPr>
        <w:t>MED.</w:t>
      </w:r>
    </w:p>
    <w:p w14:paraId="00A3E8A8" w14:textId="4E43E3ED" w:rsidR="00B568AD" w:rsidRPr="00E02273" w:rsidRDefault="002D51A4" w:rsidP="00B568AD">
      <w:pPr>
        <w:pStyle w:val="Citationenretrait"/>
        <w:spacing w:line="240" w:lineRule="auto"/>
        <w:rPr>
          <w:lang w:val="en-CA"/>
        </w:rPr>
      </w:pPr>
      <w:r w:rsidRPr="00E02273">
        <w:rPr>
          <w:lang w:val="en-CA"/>
        </w:rPr>
        <w:t>67.</w:t>
      </w:r>
      <w:r w:rsidRPr="00E02273">
        <w:rPr>
          <w:lang w:val="en-CA"/>
        </w:rPr>
        <w:tab/>
      </w:r>
      <w:r w:rsidR="00265E9C" w:rsidRPr="00E02273">
        <w:rPr>
          <w:lang w:val="en-CA"/>
        </w:rPr>
        <w:t xml:space="preserve">This </w:t>
      </w:r>
      <w:r w:rsidRPr="00E02273">
        <w:rPr>
          <w:lang w:val="en-CA"/>
        </w:rPr>
        <w:t xml:space="preserve">comparison </w:t>
      </w:r>
      <w:r w:rsidR="00265E9C" w:rsidRPr="00E02273">
        <w:rPr>
          <w:lang w:val="en-CA"/>
        </w:rPr>
        <w:t xml:space="preserve">is conducted using MED’s net </w:t>
      </w:r>
      <w:r w:rsidRPr="00E02273">
        <w:rPr>
          <w:lang w:val="en-CA"/>
        </w:rPr>
        <w:t>Canadian</w:t>
      </w:r>
      <w:r w:rsidR="00265E9C" w:rsidRPr="00E02273">
        <w:rPr>
          <w:lang w:val="en-CA"/>
        </w:rPr>
        <w:t xml:space="preserve"> price</w:t>
      </w:r>
      <w:r w:rsidRPr="00E02273">
        <w:rPr>
          <w:lang w:val="en-CA"/>
        </w:rPr>
        <w:t>,</w:t>
      </w:r>
      <w:r w:rsidR="00265E9C" w:rsidRPr="00E02273">
        <w:rPr>
          <w:lang w:val="en-CA"/>
        </w:rPr>
        <w:t xml:space="preserve"> that is, its price after deductin</w:t>
      </w:r>
      <w:r w:rsidR="0044310D">
        <w:rPr>
          <w:lang w:val="en-CA"/>
        </w:rPr>
        <w:t>g</w:t>
      </w:r>
      <w:r w:rsidR="00265E9C" w:rsidRPr="00E02273">
        <w:rPr>
          <w:lang w:val="en-CA"/>
        </w:rPr>
        <w:t xml:space="preserve"> any rebates, discounts, or other</w:t>
      </w:r>
      <w:r w:rsidRPr="00E02273">
        <w:rPr>
          <w:lang w:val="en-CA"/>
        </w:rPr>
        <w:t xml:space="preserve"> r</w:t>
      </w:r>
      <w:r w:rsidR="00265E9C" w:rsidRPr="00E02273">
        <w:rPr>
          <w:lang w:val="en-CA"/>
        </w:rPr>
        <w:t>e</w:t>
      </w:r>
      <w:r w:rsidRPr="00E02273">
        <w:rPr>
          <w:lang w:val="en-CA"/>
        </w:rPr>
        <w:t xml:space="preserve">ductions </w:t>
      </w:r>
      <w:r w:rsidR="00265E9C" w:rsidRPr="00E02273">
        <w:rPr>
          <w:lang w:val="en-CA"/>
        </w:rPr>
        <w:t xml:space="preserve">listed in subsection </w:t>
      </w:r>
      <w:r w:rsidRPr="00E02273">
        <w:rPr>
          <w:lang w:val="en-CA"/>
        </w:rPr>
        <w:t xml:space="preserve">4(4) </w:t>
      </w:r>
      <w:r w:rsidR="00265E9C" w:rsidRPr="00E02273">
        <w:rPr>
          <w:lang w:val="en-CA"/>
        </w:rPr>
        <w:t xml:space="preserve">of the current </w:t>
      </w:r>
      <w:r w:rsidR="00265E9C" w:rsidRPr="00E02273">
        <w:rPr>
          <w:i/>
          <w:lang w:val="en-CA"/>
        </w:rPr>
        <w:t>Regulation</w:t>
      </w:r>
      <w:r w:rsidR="0044310D">
        <w:rPr>
          <w:i/>
          <w:lang w:val="en-CA"/>
        </w:rPr>
        <w:t>s</w:t>
      </w:r>
      <w:r w:rsidRPr="00E02273">
        <w:rPr>
          <w:lang w:val="en-CA"/>
        </w:rPr>
        <w:t xml:space="preserve">. </w:t>
      </w:r>
      <w:r w:rsidR="002E4B2D" w:rsidRPr="00E02273">
        <w:rPr>
          <w:lang w:val="en-CA"/>
        </w:rPr>
        <w:t>However, gross prices</w:t>
      </w:r>
      <w:r w:rsidRPr="00E02273">
        <w:rPr>
          <w:lang w:val="en-CA"/>
        </w:rPr>
        <w:t xml:space="preserve"> </w:t>
      </w:r>
      <w:r w:rsidR="002E4B2D" w:rsidRPr="00E02273">
        <w:rPr>
          <w:lang w:val="en-CA"/>
        </w:rPr>
        <w:t xml:space="preserve">are used for MED </w:t>
      </w:r>
      <w:r w:rsidRPr="00E02273">
        <w:rPr>
          <w:lang w:val="en-CA"/>
        </w:rPr>
        <w:t>international</w:t>
      </w:r>
      <w:r w:rsidR="009D03B4" w:rsidRPr="00E02273">
        <w:rPr>
          <w:lang w:val="en-CA"/>
        </w:rPr>
        <w:t>ly and</w:t>
      </w:r>
      <w:r w:rsidRPr="00E02273">
        <w:rPr>
          <w:lang w:val="en-CA"/>
        </w:rPr>
        <w:t xml:space="preserve"> </w:t>
      </w:r>
      <w:r w:rsidR="0025773A" w:rsidRPr="00E02273">
        <w:rPr>
          <w:lang w:val="en-CA"/>
        </w:rPr>
        <w:t xml:space="preserve">for its </w:t>
      </w:r>
      <w:r w:rsidRPr="00E02273">
        <w:rPr>
          <w:lang w:val="en-CA"/>
        </w:rPr>
        <w:t>Canadian</w:t>
      </w:r>
      <w:r w:rsidR="0025773A" w:rsidRPr="00E02273">
        <w:rPr>
          <w:lang w:val="en-CA"/>
        </w:rPr>
        <w:t xml:space="preserve"> therapeutic comparators</w:t>
      </w:r>
      <w:r w:rsidRPr="00E02273">
        <w:rPr>
          <w:lang w:val="en-CA"/>
        </w:rPr>
        <w:t>. PatCo</w:t>
      </w:r>
      <w:r w:rsidR="0044310D">
        <w:rPr>
          <w:lang w:val="en-CA"/>
        </w:rPr>
        <w:t>’s lowest net price</w:t>
      </w:r>
      <w:r w:rsidRPr="00E02273">
        <w:rPr>
          <w:lang w:val="en-CA"/>
        </w:rPr>
        <w:t xml:space="preserve"> </w:t>
      </w:r>
      <w:r w:rsidR="00A84E1A" w:rsidRPr="00E02273">
        <w:rPr>
          <w:lang w:val="en-CA"/>
        </w:rPr>
        <w:t xml:space="preserve">will therefore </w:t>
      </w:r>
      <w:r w:rsidR="0044310D">
        <w:rPr>
          <w:lang w:val="en-CA"/>
        </w:rPr>
        <w:t xml:space="preserve">be compared to </w:t>
      </w:r>
      <w:r w:rsidR="00A84E1A" w:rsidRPr="00E02273">
        <w:rPr>
          <w:lang w:val="en-CA"/>
        </w:rPr>
        <w:t>higher gross prices</w:t>
      </w:r>
      <w:r w:rsidRPr="00E02273">
        <w:rPr>
          <w:lang w:val="en-CA"/>
        </w:rPr>
        <w:t>.</w:t>
      </w:r>
    </w:p>
    <w:p w14:paraId="2B212583" w14:textId="7E3A9E1E" w:rsidR="00B568AD" w:rsidRPr="00E02273" w:rsidRDefault="002D51A4" w:rsidP="00B568AD">
      <w:pPr>
        <w:pStyle w:val="Citationenretrait"/>
        <w:spacing w:line="240" w:lineRule="auto"/>
        <w:rPr>
          <w:lang w:val="en-CA"/>
        </w:rPr>
      </w:pPr>
      <w:r w:rsidRPr="00E02273">
        <w:rPr>
          <w:lang w:val="en-CA"/>
        </w:rPr>
        <w:t>68.</w:t>
      </w:r>
      <w:r w:rsidRPr="00E02273">
        <w:rPr>
          <w:lang w:val="en-CA"/>
        </w:rPr>
        <w:tab/>
      </w:r>
      <w:r w:rsidR="009D4DDB" w:rsidRPr="00E02273">
        <w:rPr>
          <w:lang w:val="en-CA"/>
        </w:rPr>
        <w:t xml:space="preserve">According to the current </w:t>
      </w:r>
      <w:r w:rsidRPr="00E02273">
        <w:rPr>
          <w:lang w:val="en-CA"/>
        </w:rPr>
        <w:t>guidelines,</w:t>
      </w:r>
      <w:r w:rsidR="000963E8" w:rsidRPr="00E02273">
        <w:rPr>
          <w:lang w:val="en-CA"/>
        </w:rPr>
        <w:t xml:space="preserve"> in view of MED’s</w:t>
      </w:r>
      <w:r w:rsidR="009A6311" w:rsidRPr="00E02273">
        <w:rPr>
          <w:lang w:val="en-CA"/>
        </w:rPr>
        <w:t xml:space="preserve"> moderate therapeutic improvement, the staff will find that </w:t>
      </w:r>
      <w:r w:rsidRPr="00E02273">
        <w:rPr>
          <w:lang w:val="en-CA"/>
        </w:rPr>
        <w:t>MED</w:t>
      </w:r>
      <w:r w:rsidR="009A6311" w:rsidRPr="00E02273">
        <w:rPr>
          <w:lang w:val="en-CA"/>
        </w:rPr>
        <w:t xml:space="preserve">’s price may be considered </w:t>
      </w:r>
      <w:r w:rsidRPr="00E02273">
        <w:rPr>
          <w:lang w:val="en-CA"/>
        </w:rPr>
        <w:t>excessi</w:t>
      </w:r>
      <w:r w:rsidR="006816EF" w:rsidRPr="00E02273">
        <w:rPr>
          <w:lang w:val="en-CA"/>
        </w:rPr>
        <w:t>ve</w:t>
      </w:r>
      <w:r w:rsidR="009A6311" w:rsidRPr="00E02273">
        <w:rPr>
          <w:lang w:val="en-CA"/>
        </w:rPr>
        <w:t xml:space="preserve"> if its average net price</w:t>
      </w:r>
      <w:r w:rsidR="00B469EC">
        <w:rPr>
          <w:lang w:val="en-CA"/>
        </w:rPr>
        <w:t xml:space="preserve"> exceeds </w:t>
      </w:r>
      <w:r w:rsidR="009A6311" w:rsidRPr="00E02273">
        <w:rPr>
          <w:lang w:val="en-CA"/>
        </w:rPr>
        <w:t>the highe</w:t>
      </w:r>
      <w:r w:rsidR="00B469EC">
        <w:rPr>
          <w:lang w:val="en-CA"/>
        </w:rPr>
        <w:t>st</w:t>
      </w:r>
      <w:r w:rsidR="009A6311" w:rsidRPr="00E02273">
        <w:rPr>
          <w:lang w:val="en-CA"/>
        </w:rPr>
        <w:t xml:space="preserve"> of the following </w:t>
      </w:r>
      <w:r w:rsidR="006816EF" w:rsidRPr="00E02273">
        <w:rPr>
          <w:lang w:val="en-CA"/>
        </w:rPr>
        <w:t xml:space="preserve">two </w:t>
      </w:r>
      <w:r w:rsidR="009A6311" w:rsidRPr="00E02273">
        <w:rPr>
          <w:lang w:val="en-CA"/>
        </w:rPr>
        <w:t>amounts</w:t>
      </w:r>
      <w:r w:rsidRPr="00E02273">
        <w:rPr>
          <w:lang w:val="en-CA"/>
        </w:rPr>
        <w:t>:</w:t>
      </w:r>
    </w:p>
    <w:p w14:paraId="31A8DA13" w14:textId="0D4FD649" w:rsidR="00B568AD" w:rsidRPr="00E02273" w:rsidRDefault="002D51A4" w:rsidP="00B568AD">
      <w:pPr>
        <w:pStyle w:val="Citationenretrait"/>
        <w:spacing w:line="240" w:lineRule="auto"/>
        <w:ind w:left="1440"/>
        <w:rPr>
          <w:lang w:val="en-CA"/>
        </w:rPr>
      </w:pPr>
      <w:r w:rsidRPr="00E02273">
        <w:rPr>
          <w:lang w:val="en-CA"/>
        </w:rPr>
        <w:t xml:space="preserve">a. </w:t>
      </w:r>
      <w:r w:rsidR="006816EF" w:rsidRPr="00E02273">
        <w:rPr>
          <w:lang w:val="en-CA"/>
        </w:rPr>
        <w:t xml:space="preserve">The highest therapeutic </w:t>
      </w:r>
      <w:r w:rsidRPr="00E02273">
        <w:rPr>
          <w:lang w:val="en-CA"/>
        </w:rPr>
        <w:t>comparat</w:t>
      </w:r>
      <w:r w:rsidR="006816EF" w:rsidRPr="00E02273">
        <w:rPr>
          <w:lang w:val="en-CA"/>
        </w:rPr>
        <w:t xml:space="preserve">or, which would be </w:t>
      </w:r>
      <w:r w:rsidRPr="00E02273">
        <w:rPr>
          <w:lang w:val="en-CA"/>
        </w:rPr>
        <w:t xml:space="preserve">MEDCompB </w:t>
      </w:r>
      <w:r w:rsidR="006816EF" w:rsidRPr="00E02273">
        <w:rPr>
          <w:lang w:val="en-CA"/>
        </w:rPr>
        <w:t>at $</w:t>
      </w:r>
      <w:r w:rsidRPr="00E02273">
        <w:rPr>
          <w:lang w:val="en-CA"/>
        </w:rPr>
        <w:t>8</w:t>
      </w:r>
      <w:r w:rsidR="006816EF" w:rsidRPr="00E02273">
        <w:rPr>
          <w:lang w:val="en-CA"/>
        </w:rPr>
        <w:t>.</w:t>
      </w:r>
      <w:r w:rsidRPr="00E02273">
        <w:rPr>
          <w:lang w:val="en-CA"/>
        </w:rPr>
        <w:t xml:space="preserve">00; </w:t>
      </w:r>
      <w:r w:rsidR="007546E4" w:rsidRPr="00E02273">
        <w:rPr>
          <w:lang w:val="en-CA"/>
        </w:rPr>
        <w:t>and</w:t>
      </w:r>
    </w:p>
    <w:p w14:paraId="35C2D4D2" w14:textId="2560CA65" w:rsidR="00B568AD" w:rsidRPr="00E02273" w:rsidRDefault="002D51A4" w:rsidP="00B568AD">
      <w:pPr>
        <w:pStyle w:val="Citationenretrait"/>
        <w:spacing w:line="240" w:lineRule="auto"/>
        <w:ind w:left="1440"/>
        <w:rPr>
          <w:lang w:val="en-CA"/>
        </w:rPr>
      </w:pPr>
      <w:r w:rsidRPr="00E02273">
        <w:rPr>
          <w:lang w:val="en-CA"/>
        </w:rPr>
        <w:t xml:space="preserve">b. </w:t>
      </w:r>
      <w:r w:rsidR="00FA19F8" w:rsidRPr="00E02273">
        <w:rPr>
          <w:lang w:val="en-CA"/>
        </w:rPr>
        <w:t xml:space="preserve">The midpoint between the price identified </w:t>
      </w:r>
      <w:r w:rsidR="0044310D">
        <w:rPr>
          <w:lang w:val="en-CA"/>
        </w:rPr>
        <w:t>at point</w:t>
      </w:r>
      <w:r w:rsidR="00FA19F8" w:rsidRPr="00E02273">
        <w:rPr>
          <w:lang w:val="en-CA"/>
        </w:rPr>
        <w:t xml:space="preserve"> (a) and MED’s median international gross price</w:t>
      </w:r>
      <w:r w:rsidRPr="00E02273">
        <w:rPr>
          <w:lang w:val="en-CA"/>
        </w:rPr>
        <w:t xml:space="preserve">. </w:t>
      </w:r>
      <w:r w:rsidR="00FA19F8" w:rsidRPr="00E02273">
        <w:rPr>
          <w:lang w:val="en-CA"/>
        </w:rPr>
        <w:t>The median price is the price in Germany of $</w:t>
      </w:r>
      <w:r w:rsidRPr="00E02273">
        <w:rPr>
          <w:lang w:val="en-CA"/>
        </w:rPr>
        <w:t>10</w:t>
      </w:r>
      <w:r w:rsidR="00FA19F8" w:rsidRPr="00E02273">
        <w:rPr>
          <w:lang w:val="en-CA"/>
        </w:rPr>
        <w:t>.</w:t>
      </w:r>
      <w:r w:rsidRPr="00E02273">
        <w:rPr>
          <w:lang w:val="en-CA"/>
        </w:rPr>
        <w:t>00.</w:t>
      </w:r>
      <w:r w:rsidR="00FA19F8" w:rsidRPr="00E02273">
        <w:rPr>
          <w:lang w:val="en-CA"/>
        </w:rPr>
        <w:t xml:space="preserve"> The midpoint is therefore $</w:t>
      </w:r>
      <w:r w:rsidRPr="00E02273">
        <w:rPr>
          <w:lang w:val="en-CA"/>
        </w:rPr>
        <w:t>9</w:t>
      </w:r>
      <w:r w:rsidR="00FA19F8" w:rsidRPr="00E02273">
        <w:rPr>
          <w:lang w:val="en-CA"/>
        </w:rPr>
        <w:t>.</w:t>
      </w:r>
      <w:r w:rsidRPr="00E02273">
        <w:rPr>
          <w:lang w:val="en-CA"/>
        </w:rPr>
        <w:t>00 (</w:t>
      </w:r>
      <w:r w:rsidR="00FA02BE" w:rsidRPr="00E02273">
        <w:rPr>
          <w:lang w:val="en-CA"/>
        </w:rPr>
        <w:t>that is, the midpoint between $</w:t>
      </w:r>
      <w:r w:rsidRPr="00E02273">
        <w:rPr>
          <w:lang w:val="en-CA"/>
        </w:rPr>
        <w:t>8</w:t>
      </w:r>
      <w:r w:rsidR="00FA02BE" w:rsidRPr="00E02273">
        <w:rPr>
          <w:lang w:val="en-CA"/>
        </w:rPr>
        <w:t>.</w:t>
      </w:r>
      <w:r w:rsidRPr="00E02273">
        <w:rPr>
          <w:lang w:val="en-CA"/>
        </w:rPr>
        <w:t xml:space="preserve">00 </w:t>
      </w:r>
      <w:r w:rsidR="00FA02BE" w:rsidRPr="00E02273">
        <w:rPr>
          <w:lang w:val="en-CA"/>
        </w:rPr>
        <w:t>and $</w:t>
      </w:r>
      <w:r w:rsidRPr="00E02273">
        <w:rPr>
          <w:lang w:val="en-CA"/>
        </w:rPr>
        <w:t>10</w:t>
      </w:r>
      <w:r w:rsidR="00FA02BE" w:rsidRPr="00E02273">
        <w:rPr>
          <w:lang w:val="en-CA"/>
        </w:rPr>
        <w:t>.</w:t>
      </w:r>
      <w:r w:rsidRPr="00E02273">
        <w:rPr>
          <w:lang w:val="en-CA"/>
        </w:rPr>
        <w:t>00).</w:t>
      </w:r>
    </w:p>
    <w:p w14:paraId="0E6B4A2E" w14:textId="6CA675F6" w:rsidR="00B568AD" w:rsidRPr="00E02273" w:rsidRDefault="002D51A4" w:rsidP="00B568AD">
      <w:pPr>
        <w:pStyle w:val="Citationenretrait"/>
        <w:spacing w:line="240" w:lineRule="auto"/>
        <w:rPr>
          <w:lang w:val="en-CA"/>
        </w:rPr>
      </w:pPr>
      <w:r w:rsidRPr="00E02273">
        <w:rPr>
          <w:lang w:val="en-CA"/>
        </w:rPr>
        <w:t>69.</w:t>
      </w:r>
      <w:r w:rsidRPr="00E02273">
        <w:rPr>
          <w:lang w:val="en-CA"/>
        </w:rPr>
        <w:tab/>
      </w:r>
      <w:r w:rsidR="00FA02BE" w:rsidRPr="00E02273">
        <w:rPr>
          <w:lang w:val="en-CA"/>
        </w:rPr>
        <w:t xml:space="preserve">The staff will therefore find that MED’s </w:t>
      </w:r>
      <w:r w:rsidR="0044310D">
        <w:rPr>
          <w:lang w:val="en-CA"/>
        </w:rPr>
        <w:t xml:space="preserve">net </w:t>
      </w:r>
      <w:r w:rsidR="00FA02BE" w:rsidRPr="00E02273">
        <w:rPr>
          <w:lang w:val="en-CA"/>
        </w:rPr>
        <w:t xml:space="preserve">introductory price in </w:t>
      </w:r>
      <w:r w:rsidRPr="00E02273">
        <w:rPr>
          <w:lang w:val="en-CA"/>
        </w:rPr>
        <w:t>Canada</w:t>
      </w:r>
      <w:r w:rsidR="00FA02BE" w:rsidRPr="00E02273">
        <w:rPr>
          <w:lang w:val="en-CA"/>
        </w:rPr>
        <w:t xml:space="preserve"> may be considered excessive if it is greater than $</w:t>
      </w:r>
      <w:r w:rsidRPr="00E02273">
        <w:rPr>
          <w:lang w:val="en-CA"/>
        </w:rPr>
        <w:t>9.</w:t>
      </w:r>
      <w:r w:rsidR="00FA02BE" w:rsidRPr="00E02273">
        <w:rPr>
          <w:lang w:val="en-CA"/>
        </w:rPr>
        <w:t xml:space="preserve"> The re</w:t>
      </w:r>
      <w:r w:rsidR="009814EE" w:rsidRPr="00E02273">
        <w:rPr>
          <w:lang w:val="en-CA"/>
        </w:rPr>
        <w:t>v</w:t>
      </w:r>
      <w:r w:rsidR="00FA02BE" w:rsidRPr="00E02273">
        <w:rPr>
          <w:lang w:val="en-CA"/>
        </w:rPr>
        <w:t>iew of the introductory price ensures that subsequent reviews do not use a potentially excessive price as a starting point</w:t>
      </w:r>
      <w:r w:rsidRPr="00E02273">
        <w:rPr>
          <w:lang w:val="en-CA"/>
        </w:rPr>
        <w:t>.</w:t>
      </w:r>
    </w:p>
    <w:p w14:paraId="45098640" w14:textId="60DA4725" w:rsidR="00B568AD" w:rsidRPr="00E02273" w:rsidRDefault="002D51A4" w:rsidP="00B568AD">
      <w:pPr>
        <w:pStyle w:val="Citationenretrait"/>
        <w:spacing w:line="240" w:lineRule="auto"/>
        <w:rPr>
          <w:lang w:val="en-CA"/>
        </w:rPr>
      </w:pPr>
      <w:r w:rsidRPr="00E02273">
        <w:rPr>
          <w:lang w:val="en-CA"/>
        </w:rPr>
        <w:t>70.</w:t>
      </w:r>
      <w:r w:rsidRPr="00E02273">
        <w:rPr>
          <w:lang w:val="en-CA"/>
        </w:rPr>
        <w:tab/>
      </w:r>
      <w:r w:rsidR="00F00F75" w:rsidRPr="00E02273">
        <w:rPr>
          <w:lang w:val="en-CA"/>
        </w:rPr>
        <w:t xml:space="preserve">As noted above, the level of </w:t>
      </w:r>
      <w:r w:rsidR="00777AFF" w:rsidRPr="00E02273">
        <w:rPr>
          <w:lang w:val="en-CA"/>
        </w:rPr>
        <w:t xml:space="preserve">therapeutic improvement assigned to </w:t>
      </w:r>
      <w:r w:rsidRPr="00E02273">
        <w:rPr>
          <w:lang w:val="en-CA"/>
        </w:rPr>
        <w:t xml:space="preserve">MED </w:t>
      </w:r>
      <w:r w:rsidR="00777AFF" w:rsidRPr="00E02273">
        <w:rPr>
          <w:lang w:val="en-CA"/>
        </w:rPr>
        <w:t>will have an impact on the price that the staff will consider excessive; in other words, the higher the level of therapeutic improvement, the higher the applicable price ceiling</w:t>
      </w:r>
      <w:r w:rsidRPr="00E02273">
        <w:rPr>
          <w:lang w:val="en-CA"/>
        </w:rPr>
        <w:t xml:space="preserve">. </w:t>
      </w:r>
      <w:r w:rsidR="009814EE" w:rsidRPr="00E02273">
        <w:rPr>
          <w:lang w:val="en-CA"/>
        </w:rPr>
        <w:t xml:space="preserve">In this example, in light of the </w:t>
      </w:r>
      <w:r w:rsidRPr="00E02273">
        <w:rPr>
          <w:lang w:val="en-CA"/>
        </w:rPr>
        <w:t xml:space="preserve">tests </w:t>
      </w:r>
      <w:r w:rsidR="009814EE" w:rsidRPr="00E02273">
        <w:rPr>
          <w:lang w:val="en-CA"/>
        </w:rPr>
        <w:t xml:space="preserve">established in the current </w:t>
      </w:r>
      <w:r w:rsidRPr="00E02273">
        <w:rPr>
          <w:lang w:val="en-CA"/>
        </w:rPr>
        <w:t xml:space="preserve">guidelines </w:t>
      </w:r>
      <w:r w:rsidR="009814EE" w:rsidRPr="00E02273">
        <w:rPr>
          <w:lang w:val="en-CA"/>
        </w:rPr>
        <w:t>for the other levels of therapeutic improvement, the staff would find that MED’s introductory price may be considered excessive if it is greater than</w:t>
      </w:r>
      <w:r w:rsidRPr="00E02273">
        <w:rPr>
          <w:lang w:val="en-CA"/>
        </w:rPr>
        <w:t xml:space="preserve">: </w:t>
      </w:r>
      <w:r w:rsidR="009814EE" w:rsidRPr="00E02273">
        <w:rPr>
          <w:lang w:val="en-CA"/>
        </w:rPr>
        <w:t>$</w:t>
      </w:r>
      <w:r w:rsidRPr="00E02273">
        <w:rPr>
          <w:lang w:val="en-CA"/>
        </w:rPr>
        <w:t>10</w:t>
      </w:r>
      <w:r w:rsidR="009814EE" w:rsidRPr="00E02273">
        <w:rPr>
          <w:lang w:val="en-CA"/>
        </w:rPr>
        <w:t xml:space="preserve"> for a breakthrough</w:t>
      </w:r>
      <w:r w:rsidRPr="00E02273">
        <w:rPr>
          <w:lang w:val="en-CA"/>
        </w:rPr>
        <w:t xml:space="preserve">; </w:t>
      </w:r>
      <w:r w:rsidR="009814EE" w:rsidRPr="00E02273">
        <w:rPr>
          <w:lang w:val="en-CA"/>
        </w:rPr>
        <w:t>$</w:t>
      </w:r>
      <w:r w:rsidRPr="00E02273">
        <w:rPr>
          <w:lang w:val="en-CA"/>
        </w:rPr>
        <w:t>10</w:t>
      </w:r>
      <w:r w:rsidR="009814EE" w:rsidRPr="00E02273">
        <w:rPr>
          <w:lang w:val="en-CA"/>
        </w:rPr>
        <w:t xml:space="preserve"> for </w:t>
      </w:r>
      <w:r w:rsidR="00E85A66">
        <w:rPr>
          <w:lang w:val="en-CA"/>
        </w:rPr>
        <w:t xml:space="preserve">a </w:t>
      </w:r>
      <w:r w:rsidR="009814EE" w:rsidRPr="00E02273">
        <w:rPr>
          <w:lang w:val="en-CA"/>
        </w:rPr>
        <w:t>substantial improvement; and $</w:t>
      </w:r>
      <w:r w:rsidRPr="00E02273">
        <w:rPr>
          <w:lang w:val="en-CA"/>
        </w:rPr>
        <w:t>8</w:t>
      </w:r>
      <w:r w:rsidR="009814EE" w:rsidRPr="00E02273">
        <w:rPr>
          <w:lang w:val="en-CA"/>
        </w:rPr>
        <w:t xml:space="preserve"> for slight or no improvement</w:t>
      </w:r>
      <w:r w:rsidRPr="00E02273">
        <w:rPr>
          <w:lang w:val="en-CA"/>
        </w:rPr>
        <w:t>.</w:t>
      </w:r>
    </w:p>
    <w:p w14:paraId="1970204A" w14:textId="67E43F6E" w:rsidR="00B568AD" w:rsidRPr="00E02273" w:rsidRDefault="002D51A4" w:rsidP="00B568AD">
      <w:pPr>
        <w:pStyle w:val="Citationenretrait"/>
        <w:spacing w:line="240" w:lineRule="auto"/>
        <w:rPr>
          <w:lang w:val="en-CA"/>
        </w:rPr>
      </w:pPr>
      <w:r w:rsidRPr="00E02273">
        <w:rPr>
          <w:lang w:val="en-CA"/>
        </w:rPr>
        <w:t>71.</w:t>
      </w:r>
      <w:r w:rsidRPr="00E02273">
        <w:rPr>
          <w:lang w:val="en-CA"/>
        </w:rPr>
        <w:tab/>
      </w:r>
      <w:r w:rsidR="009814EE" w:rsidRPr="00E02273">
        <w:rPr>
          <w:lang w:val="en-CA"/>
        </w:rPr>
        <w:t>After conducting this preliminary assessment, the staff will re</w:t>
      </w:r>
      <w:r w:rsidR="00974C8E" w:rsidRPr="00E02273">
        <w:rPr>
          <w:lang w:val="en-CA"/>
        </w:rPr>
        <w:t>-</w:t>
      </w:r>
      <w:r w:rsidRPr="00E02273">
        <w:rPr>
          <w:lang w:val="en-CA"/>
        </w:rPr>
        <w:t>examine</w:t>
      </w:r>
      <w:r w:rsidR="009814EE" w:rsidRPr="00E02273">
        <w:rPr>
          <w:lang w:val="en-CA"/>
        </w:rPr>
        <w:t xml:space="preserve"> </w:t>
      </w:r>
      <w:r w:rsidR="00974C8E" w:rsidRPr="00E02273">
        <w:rPr>
          <w:lang w:val="en-CA"/>
        </w:rPr>
        <w:t>MED’s price every year</w:t>
      </w:r>
      <w:r w:rsidRPr="00E02273">
        <w:rPr>
          <w:lang w:val="en-CA"/>
        </w:rPr>
        <w:t>.</w:t>
      </w:r>
      <w:r w:rsidR="00974C8E" w:rsidRPr="00E02273">
        <w:rPr>
          <w:lang w:val="en-CA"/>
        </w:rPr>
        <w:t xml:space="preserve"> This annual review is the same for all medicines, regardless of the level of therapeutic improvement attributed. The staff will compare the </w:t>
      </w:r>
      <w:r w:rsidRPr="00E02273">
        <w:rPr>
          <w:lang w:val="en-CA"/>
        </w:rPr>
        <w:t xml:space="preserve">variations </w:t>
      </w:r>
      <w:r w:rsidR="00974C8E" w:rsidRPr="00E02273">
        <w:rPr>
          <w:lang w:val="en-CA"/>
        </w:rPr>
        <w:t xml:space="preserve">in the </w:t>
      </w:r>
      <w:r w:rsidR="00E85A66">
        <w:rPr>
          <w:lang w:val="en-CA"/>
        </w:rPr>
        <w:t xml:space="preserve">medicine’s </w:t>
      </w:r>
      <w:r w:rsidR="00974C8E" w:rsidRPr="00E02273">
        <w:rPr>
          <w:lang w:val="en-CA"/>
        </w:rPr>
        <w:t xml:space="preserve">average net price in </w:t>
      </w:r>
      <w:r w:rsidRPr="00E02273">
        <w:rPr>
          <w:lang w:val="en-CA"/>
        </w:rPr>
        <w:t xml:space="preserve">Canada </w:t>
      </w:r>
      <w:r w:rsidR="00974C8E" w:rsidRPr="00E02273">
        <w:rPr>
          <w:lang w:val="en-CA"/>
        </w:rPr>
        <w:t xml:space="preserve">with the </w:t>
      </w:r>
      <w:r w:rsidR="005926AF" w:rsidRPr="00E02273">
        <w:rPr>
          <w:lang w:val="en-CA"/>
        </w:rPr>
        <w:t>C</w:t>
      </w:r>
      <w:r w:rsidR="00974C8E" w:rsidRPr="00E02273">
        <w:rPr>
          <w:lang w:val="en-CA"/>
        </w:rPr>
        <w:t xml:space="preserve">onsumer </w:t>
      </w:r>
      <w:r w:rsidR="005926AF" w:rsidRPr="00E02273">
        <w:rPr>
          <w:lang w:val="en-CA"/>
        </w:rPr>
        <w:t>P</w:t>
      </w:r>
      <w:r w:rsidR="00974C8E" w:rsidRPr="00E02273">
        <w:rPr>
          <w:lang w:val="en-CA"/>
        </w:rPr>
        <w:t xml:space="preserve">rice </w:t>
      </w:r>
      <w:r w:rsidR="005926AF" w:rsidRPr="00E02273">
        <w:rPr>
          <w:lang w:val="en-CA"/>
        </w:rPr>
        <w:t>I</w:t>
      </w:r>
      <w:r w:rsidR="00974C8E" w:rsidRPr="00E02273">
        <w:rPr>
          <w:lang w:val="en-CA"/>
        </w:rPr>
        <w:t>ndex</w:t>
      </w:r>
      <w:r w:rsidRPr="00E02273">
        <w:rPr>
          <w:lang w:val="en-CA"/>
        </w:rPr>
        <w:t xml:space="preserve"> (C</w:t>
      </w:r>
      <w:r w:rsidR="00974C8E" w:rsidRPr="00E02273">
        <w:rPr>
          <w:lang w:val="en-CA"/>
        </w:rPr>
        <w:t>PI</w:t>
      </w:r>
      <w:r w:rsidRPr="00E02273">
        <w:rPr>
          <w:lang w:val="en-CA"/>
        </w:rPr>
        <w:t xml:space="preserve">). </w:t>
      </w:r>
      <w:r w:rsidR="00974C8E" w:rsidRPr="00E02273">
        <w:rPr>
          <w:lang w:val="en-CA"/>
        </w:rPr>
        <w:t xml:space="preserve">For example, and greatly simplifying the assessment </w:t>
      </w:r>
      <w:r w:rsidR="00974C8E" w:rsidRPr="00E02273">
        <w:rPr>
          <w:lang w:val="en-CA"/>
        </w:rPr>
        <w:lastRenderedPageBreak/>
        <w:t xml:space="preserve">based on the CPI, if it is </w:t>
      </w:r>
      <w:r w:rsidRPr="00E02273">
        <w:rPr>
          <w:lang w:val="en-CA"/>
        </w:rPr>
        <w:t xml:space="preserve">3% </w:t>
      </w:r>
      <w:r w:rsidR="00974C8E" w:rsidRPr="00E02273">
        <w:rPr>
          <w:lang w:val="en-CA"/>
        </w:rPr>
        <w:t xml:space="preserve">each year, the </w:t>
      </w:r>
      <w:r w:rsidR="002503AF" w:rsidRPr="00E02273">
        <w:rPr>
          <w:lang w:val="en-CA"/>
        </w:rPr>
        <w:t xml:space="preserve">staff would find that MED’s average net price could not be considered </w:t>
      </w:r>
      <w:r w:rsidRPr="00E02273">
        <w:rPr>
          <w:lang w:val="en-CA"/>
        </w:rPr>
        <w:t>excessi</w:t>
      </w:r>
      <w:r w:rsidR="002503AF" w:rsidRPr="00E02273">
        <w:rPr>
          <w:lang w:val="en-CA"/>
        </w:rPr>
        <w:t xml:space="preserve">ve if it does not increase more than </w:t>
      </w:r>
      <w:r w:rsidRPr="00E02273">
        <w:rPr>
          <w:lang w:val="en-CA"/>
        </w:rPr>
        <w:t xml:space="preserve">3% </w:t>
      </w:r>
      <w:r w:rsidR="002503AF" w:rsidRPr="00E02273">
        <w:rPr>
          <w:lang w:val="en-CA"/>
        </w:rPr>
        <w:t>every year. In other words, MED’s average price could increase to $</w:t>
      </w:r>
      <w:r w:rsidRPr="00E02273">
        <w:rPr>
          <w:lang w:val="en-CA"/>
        </w:rPr>
        <w:t>9</w:t>
      </w:r>
      <w:r w:rsidR="002503AF" w:rsidRPr="00E02273">
        <w:rPr>
          <w:lang w:val="en-CA"/>
        </w:rPr>
        <w:t>.</w:t>
      </w:r>
      <w:r w:rsidRPr="00E02273">
        <w:rPr>
          <w:lang w:val="en-CA"/>
        </w:rPr>
        <w:t>27</w:t>
      </w:r>
      <w:r w:rsidR="002503AF" w:rsidRPr="00E02273">
        <w:rPr>
          <w:lang w:val="en-CA"/>
        </w:rPr>
        <w:t xml:space="preserve"> after the first year, to $</w:t>
      </w:r>
      <w:r w:rsidRPr="00E02273">
        <w:rPr>
          <w:lang w:val="en-CA"/>
        </w:rPr>
        <w:t>9</w:t>
      </w:r>
      <w:r w:rsidR="002503AF" w:rsidRPr="00E02273">
        <w:rPr>
          <w:lang w:val="en-CA"/>
        </w:rPr>
        <w:t>.</w:t>
      </w:r>
      <w:r w:rsidRPr="00E02273">
        <w:rPr>
          <w:lang w:val="en-CA"/>
        </w:rPr>
        <w:t xml:space="preserve">55 </w:t>
      </w:r>
      <w:r w:rsidR="002503AF" w:rsidRPr="00E02273">
        <w:rPr>
          <w:lang w:val="en-CA"/>
        </w:rPr>
        <w:t>after the second year, to $</w:t>
      </w:r>
      <w:r w:rsidRPr="00E02273">
        <w:rPr>
          <w:lang w:val="en-CA"/>
        </w:rPr>
        <w:t>9</w:t>
      </w:r>
      <w:r w:rsidR="002503AF" w:rsidRPr="00E02273">
        <w:rPr>
          <w:lang w:val="en-CA"/>
        </w:rPr>
        <w:t>.</w:t>
      </w:r>
      <w:r w:rsidRPr="00E02273">
        <w:rPr>
          <w:lang w:val="en-CA"/>
        </w:rPr>
        <w:t xml:space="preserve">84 </w:t>
      </w:r>
      <w:r w:rsidR="002503AF" w:rsidRPr="00E02273">
        <w:rPr>
          <w:lang w:val="en-CA"/>
        </w:rPr>
        <w:t xml:space="preserve">after the third year, etc. However, these possible increases are limited by </w:t>
      </w:r>
      <w:r w:rsidR="00E85A66">
        <w:rPr>
          <w:lang w:val="en-CA"/>
        </w:rPr>
        <w:t>MED’s</w:t>
      </w:r>
      <w:r w:rsidR="00E85A66" w:rsidRPr="00E02273">
        <w:rPr>
          <w:lang w:val="en-CA"/>
        </w:rPr>
        <w:t xml:space="preserve"> </w:t>
      </w:r>
      <w:r w:rsidR="002503AF" w:rsidRPr="00E02273">
        <w:rPr>
          <w:lang w:val="en-CA"/>
        </w:rPr>
        <w:t>highest international price, which is $</w:t>
      </w:r>
      <w:r w:rsidRPr="00E02273">
        <w:rPr>
          <w:lang w:val="en-CA"/>
        </w:rPr>
        <w:t>20 (</w:t>
      </w:r>
      <w:r w:rsidR="002503AF" w:rsidRPr="00E02273">
        <w:rPr>
          <w:lang w:val="en-CA"/>
        </w:rPr>
        <w:t xml:space="preserve">i.e., </w:t>
      </w:r>
      <w:r w:rsidRPr="00E02273">
        <w:rPr>
          <w:lang w:val="en-CA"/>
        </w:rPr>
        <w:t>MED</w:t>
      </w:r>
      <w:r w:rsidR="002503AF" w:rsidRPr="00E02273">
        <w:rPr>
          <w:lang w:val="en-CA"/>
        </w:rPr>
        <w:t xml:space="preserve">’s price in the </w:t>
      </w:r>
      <w:r w:rsidRPr="00E02273">
        <w:rPr>
          <w:lang w:val="en-CA"/>
        </w:rPr>
        <w:t>United</w:t>
      </w:r>
      <w:r w:rsidR="002503AF" w:rsidRPr="00E02273">
        <w:rPr>
          <w:lang w:val="en-CA"/>
        </w:rPr>
        <w:t xml:space="preserve"> </w:t>
      </w:r>
      <w:r w:rsidRPr="00E02273">
        <w:rPr>
          <w:lang w:val="en-CA"/>
        </w:rPr>
        <w:t>States).</w:t>
      </w:r>
    </w:p>
    <w:p w14:paraId="7D9384F4" w14:textId="7888B3BC" w:rsidR="00B568AD" w:rsidRPr="00E02273" w:rsidRDefault="002D51A4" w:rsidP="00B568AD">
      <w:pPr>
        <w:pStyle w:val="Citationenretrait"/>
        <w:spacing w:line="240" w:lineRule="auto"/>
        <w:rPr>
          <w:lang w:val="en-CA"/>
        </w:rPr>
      </w:pPr>
      <w:r w:rsidRPr="00E02273">
        <w:rPr>
          <w:lang w:val="en-CA"/>
        </w:rPr>
        <w:t>72.</w:t>
      </w:r>
      <w:r w:rsidRPr="00E02273">
        <w:rPr>
          <w:lang w:val="en-CA"/>
        </w:rPr>
        <w:tab/>
      </w:r>
      <w:r w:rsidR="003878CC" w:rsidRPr="00E02273">
        <w:rPr>
          <w:lang w:val="en-CA"/>
        </w:rPr>
        <w:t>Except for the sc</w:t>
      </w:r>
      <w:r w:rsidRPr="00E02273">
        <w:rPr>
          <w:lang w:val="en-CA"/>
        </w:rPr>
        <w:t>ientifi</w:t>
      </w:r>
      <w:r w:rsidR="003878CC" w:rsidRPr="00E02273">
        <w:rPr>
          <w:lang w:val="en-CA"/>
        </w:rPr>
        <w:t xml:space="preserve">c review, a large part of this assessment is conducted </w:t>
      </w:r>
      <w:r w:rsidRPr="00E02273">
        <w:rPr>
          <w:lang w:val="en-CA"/>
        </w:rPr>
        <w:t>automati</w:t>
      </w:r>
      <w:r w:rsidR="003878CC" w:rsidRPr="00E02273">
        <w:rPr>
          <w:lang w:val="en-CA"/>
        </w:rPr>
        <w:t xml:space="preserve">cally by computers on the basis of data submitted electronically by </w:t>
      </w:r>
      <w:r w:rsidRPr="00E02273">
        <w:rPr>
          <w:lang w:val="en-CA"/>
        </w:rPr>
        <w:t xml:space="preserve">PatCo. </w:t>
      </w:r>
      <w:r w:rsidR="00DD0E35" w:rsidRPr="00E02273">
        <w:rPr>
          <w:lang w:val="en-CA"/>
        </w:rPr>
        <w:t>The staff’s involvement in reviewing the price of medicines will increase if and when factors triggering an investigation are present. The same tests described above will be applied in the investigation, but the review will be more thorough</w:t>
      </w:r>
      <w:r w:rsidRPr="00E02273">
        <w:rPr>
          <w:lang w:val="en-CA"/>
        </w:rPr>
        <w:t>.</w:t>
      </w:r>
    </w:p>
    <w:p w14:paraId="1F608F2F" w14:textId="70C8F7B0" w:rsidR="00B568AD" w:rsidRPr="00E02273" w:rsidRDefault="002D51A4" w:rsidP="00BC1E80">
      <w:pPr>
        <w:pStyle w:val="Paragraphe"/>
        <w:numPr>
          <w:ilvl w:val="0"/>
          <w:numId w:val="0"/>
        </w:numPr>
        <w:spacing w:line="240" w:lineRule="auto"/>
        <w:rPr>
          <w:b/>
          <w:i/>
          <w:iCs/>
          <w:u w:val="single"/>
          <w:lang w:val="en-CA"/>
        </w:rPr>
      </w:pPr>
      <w:r w:rsidRPr="00376F69">
        <w:rPr>
          <w:b/>
          <w:i/>
          <w:iCs/>
          <w:u w:val="single"/>
          <w:lang w:val="en-CA"/>
        </w:rPr>
        <w:t>C</w:t>
      </w:r>
      <w:r w:rsidR="00DD0E35" w:rsidRPr="00E02273">
        <w:rPr>
          <w:b/>
          <w:i/>
          <w:iCs/>
          <w:u w:val="single"/>
          <w:lang w:val="en-CA"/>
        </w:rPr>
        <w:t xml:space="preserve"> </w:t>
      </w:r>
      <w:r w:rsidR="00376F69">
        <w:rPr>
          <w:b/>
          <w:i/>
          <w:iCs/>
          <w:u w:val="single"/>
          <w:lang w:val="en-CA"/>
        </w:rPr>
        <w:t>-</w:t>
      </w:r>
      <w:r w:rsidR="00DD0E35" w:rsidRPr="00E02273">
        <w:rPr>
          <w:b/>
          <w:i/>
          <w:iCs/>
          <w:u w:val="single"/>
          <w:lang w:val="en-CA"/>
        </w:rPr>
        <w:t xml:space="preserve"> The new regulatory framework established by the </w:t>
      </w:r>
      <w:r w:rsidR="00866E58" w:rsidRPr="00E02273">
        <w:rPr>
          <w:b/>
          <w:i/>
          <w:iCs/>
          <w:u w:val="single"/>
          <w:lang w:val="en-CA"/>
        </w:rPr>
        <w:t>2019 Regulatory Amendments</w:t>
      </w:r>
    </w:p>
    <w:p w14:paraId="5661D25E" w14:textId="7FA1829E" w:rsidR="00B568AD" w:rsidRPr="00E02273" w:rsidRDefault="006B0E0E" w:rsidP="00707180">
      <w:pPr>
        <w:pStyle w:val="Paragraphe"/>
        <w:tabs>
          <w:tab w:val="num" w:pos="709"/>
        </w:tabs>
        <w:spacing w:line="240" w:lineRule="auto"/>
        <w:ind w:left="0"/>
        <w:rPr>
          <w:lang w:val="en-CA"/>
        </w:rPr>
      </w:pPr>
      <w:r w:rsidRPr="00E02273">
        <w:rPr>
          <w:lang w:val="en-CA"/>
        </w:rPr>
        <w:t>The</w:t>
      </w:r>
      <w:r w:rsidR="002D51A4" w:rsidRPr="00E02273">
        <w:rPr>
          <w:lang w:val="en-CA"/>
        </w:rPr>
        <w:t xml:space="preserve"> </w:t>
      </w:r>
      <w:r w:rsidR="00866E58" w:rsidRPr="00E02273">
        <w:rPr>
          <w:i/>
          <w:lang w:val="en-CA"/>
        </w:rPr>
        <w:t>2019 Regulatory Amendments</w:t>
      </w:r>
      <w:r w:rsidR="002D51A4" w:rsidRPr="00E02273">
        <w:rPr>
          <w:lang w:val="en-CA"/>
        </w:rPr>
        <w:t xml:space="preserve"> </w:t>
      </w:r>
      <w:r w:rsidRPr="00E02273">
        <w:rPr>
          <w:lang w:val="en-CA"/>
        </w:rPr>
        <w:t xml:space="preserve">introduced significant </w:t>
      </w:r>
      <w:r w:rsidR="007C7E1D">
        <w:rPr>
          <w:lang w:val="en-CA"/>
        </w:rPr>
        <w:t xml:space="preserve">changes </w:t>
      </w:r>
      <w:r w:rsidRPr="00E02273">
        <w:rPr>
          <w:lang w:val="en-CA"/>
        </w:rPr>
        <w:t xml:space="preserve">to the </w:t>
      </w:r>
      <w:r w:rsidR="00A27151" w:rsidRPr="00E02273">
        <w:rPr>
          <w:lang w:val="en-CA"/>
        </w:rPr>
        <w:t>regime</w:t>
      </w:r>
      <w:r w:rsidR="002D51A4" w:rsidRPr="00E02273">
        <w:rPr>
          <w:lang w:val="en-CA"/>
        </w:rPr>
        <w:t xml:space="preserve">. </w:t>
      </w:r>
    </w:p>
    <w:p w14:paraId="01D04741" w14:textId="1BA269E8" w:rsidR="00B568AD" w:rsidRPr="00E02273" w:rsidRDefault="006B0E0E" w:rsidP="00707180">
      <w:pPr>
        <w:pStyle w:val="Paragraphe"/>
        <w:tabs>
          <w:tab w:val="num" w:pos="709"/>
        </w:tabs>
        <w:spacing w:line="240" w:lineRule="auto"/>
        <w:ind w:left="0"/>
        <w:rPr>
          <w:lang w:val="en-CA"/>
        </w:rPr>
      </w:pPr>
      <w:r w:rsidRPr="00E02273">
        <w:rPr>
          <w:lang w:val="en-CA"/>
        </w:rPr>
        <w:t xml:space="preserve">The new </w:t>
      </w:r>
      <w:r w:rsidRPr="00E02273">
        <w:rPr>
          <w:i/>
          <w:lang w:val="en-CA"/>
        </w:rPr>
        <w:t>Regulation</w:t>
      </w:r>
      <w:r w:rsidR="007C7E1D">
        <w:rPr>
          <w:i/>
          <w:lang w:val="en-CA"/>
        </w:rPr>
        <w:t>s</w:t>
      </w:r>
      <w:r w:rsidRPr="00E02273">
        <w:rPr>
          <w:i/>
          <w:lang w:val="en-CA"/>
        </w:rPr>
        <w:t xml:space="preserve"> </w:t>
      </w:r>
      <w:r w:rsidRPr="00E02273">
        <w:rPr>
          <w:lang w:val="en-CA"/>
        </w:rPr>
        <w:t>add additional factors to those established under subsection</w:t>
      </w:r>
      <w:r w:rsidR="002D51A4" w:rsidRPr="00E02273">
        <w:rPr>
          <w:lang w:val="en-CA"/>
        </w:rPr>
        <w:t xml:space="preserve"> 85(1) </w:t>
      </w:r>
      <w:r w:rsidR="007C7E1D">
        <w:rPr>
          <w:lang w:val="en-CA"/>
        </w:rPr>
        <w:t xml:space="preserve">of the </w:t>
      </w:r>
      <w:r w:rsidRPr="00E02273">
        <w:rPr>
          <w:i/>
          <w:lang w:val="en-CA"/>
        </w:rPr>
        <w:t xml:space="preserve">Patent </w:t>
      </w:r>
      <w:r w:rsidR="002D51A4" w:rsidRPr="00E02273">
        <w:rPr>
          <w:i/>
          <w:lang w:val="en-CA"/>
        </w:rPr>
        <w:t>Act</w:t>
      </w:r>
      <w:r w:rsidRPr="00E02273">
        <w:rPr>
          <w:lang w:val="en-CA"/>
        </w:rPr>
        <w:t xml:space="preserve"> to determine whether the price of a medicine sold in any </w:t>
      </w:r>
      <w:r w:rsidR="002D51A4" w:rsidRPr="00E02273">
        <w:rPr>
          <w:lang w:val="en-CA"/>
        </w:rPr>
        <w:t>Canadian</w:t>
      </w:r>
      <w:r w:rsidRPr="00E02273">
        <w:rPr>
          <w:lang w:val="en-CA"/>
        </w:rPr>
        <w:t xml:space="preserve"> market is </w:t>
      </w:r>
      <w:r w:rsidR="00A524E4" w:rsidRPr="00E02273">
        <w:rPr>
          <w:lang w:val="en-CA"/>
        </w:rPr>
        <w:t>excessive</w:t>
      </w:r>
      <w:r w:rsidRPr="00E02273">
        <w:rPr>
          <w:lang w:val="en-CA"/>
        </w:rPr>
        <w:t>, that is:</w:t>
      </w:r>
      <w:r w:rsidR="002D51A4" w:rsidRPr="00E02273">
        <w:rPr>
          <w:rStyle w:val="Appelnotedebasdep"/>
          <w:lang w:val="en-CA"/>
        </w:rPr>
        <w:footnoteReference w:id="80"/>
      </w:r>
    </w:p>
    <w:p w14:paraId="2E4A39B1" w14:textId="20BFAA46" w:rsidR="00B568AD" w:rsidRPr="00E02273" w:rsidRDefault="007546E4" w:rsidP="00B568AD">
      <w:pPr>
        <w:pStyle w:val="Paragraphe"/>
        <w:numPr>
          <w:ilvl w:val="0"/>
          <w:numId w:val="28"/>
        </w:numPr>
        <w:spacing w:line="240" w:lineRule="auto"/>
        <w:ind w:left="1134"/>
        <w:rPr>
          <w:lang w:val="en-CA"/>
        </w:rPr>
      </w:pPr>
      <w:r w:rsidRPr="00E02273">
        <w:rPr>
          <w:lang w:val="en-CA"/>
        </w:rPr>
        <w:t>the medicine’s pharmacoeconomic value in Canada;</w:t>
      </w:r>
    </w:p>
    <w:p w14:paraId="7094142A" w14:textId="58B54537" w:rsidR="00B568AD" w:rsidRPr="00E02273" w:rsidRDefault="007546E4" w:rsidP="00B568AD">
      <w:pPr>
        <w:pStyle w:val="Paragraphe"/>
        <w:numPr>
          <w:ilvl w:val="0"/>
          <w:numId w:val="28"/>
        </w:numPr>
        <w:spacing w:line="240" w:lineRule="auto"/>
        <w:ind w:left="1134"/>
        <w:rPr>
          <w:lang w:val="en-CA"/>
        </w:rPr>
      </w:pPr>
      <w:r w:rsidRPr="00E02273">
        <w:rPr>
          <w:lang w:val="en-CA"/>
        </w:rPr>
        <w:t>the size of the market for the medicine in Canada; and</w:t>
      </w:r>
    </w:p>
    <w:p w14:paraId="7BD6906E" w14:textId="05C784EA" w:rsidR="00B568AD" w:rsidRPr="00E02273" w:rsidRDefault="007546E4" w:rsidP="00B568AD">
      <w:pPr>
        <w:pStyle w:val="Paragraphe"/>
        <w:numPr>
          <w:ilvl w:val="0"/>
          <w:numId w:val="28"/>
        </w:numPr>
        <w:spacing w:line="240" w:lineRule="auto"/>
        <w:ind w:left="1134"/>
        <w:rPr>
          <w:lang w:val="en-CA"/>
        </w:rPr>
      </w:pPr>
      <w:r w:rsidRPr="00E02273">
        <w:rPr>
          <w:lang w:val="en-CA"/>
        </w:rPr>
        <w:t>the gross domestic product in Canada and the gross domestic product per capita in Canada.</w:t>
      </w:r>
    </w:p>
    <w:p w14:paraId="716FD1DB" w14:textId="2C71039B" w:rsidR="00B568AD" w:rsidRPr="00E02273" w:rsidRDefault="005D6883" w:rsidP="00707180">
      <w:pPr>
        <w:pStyle w:val="Paragraphe"/>
        <w:tabs>
          <w:tab w:val="num" w:pos="709"/>
        </w:tabs>
        <w:spacing w:line="240" w:lineRule="auto"/>
        <w:ind w:left="0"/>
        <w:rPr>
          <w:lang w:val="en-CA"/>
        </w:rPr>
      </w:pPr>
      <w:r w:rsidRPr="00E02273">
        <w:rPr>
          <w:lang w:val="en-CA"/>
        </w:rPr>
        <w:t xml:space="preserve">These new factors will result in a significant </w:t>
      </w:r>
      <w:r w:rsidR="00AD3960">
        <w:rPr>
          <w:lang w:val="en-CA"/>
        </w:rPr>
        <w:t>reduction</w:t>
      </w:r>
      <w:r w:rsidR="00AD3960" w:rsidRPr="00E02273">
        <w:rPr>
          <w:lang w:val="en-CA"/>
        </w:rPr>
        <w:t xml:space="preserve"> </w:t>
      </w:r>
      <w:r w:rsidRPr="00E02273">
        <w:rPr>
          <w:lang w:val="en-CA"/>
        </w:rPr>
        <w:t xml:space="preserve">in the price of patented medicines in </w:t>
      </w:r>
      <w:r w:rsidR="002D51A4" w:rsidRPr="00E02273">
        <w:rPr>
          <w:lang w:val="en-CA"/>
        </w:rPr>
        <w:t>Canada</w:t>
      </w:r>
      <w:r w:rsidRPr="00E02273">
        <w:rPr>
          <w:lang w:val="en-CA"/>
        </w:rPr>
        <w:t>, which the G</w:t>
      </w:r>
      <w:r w:rsidR="002D51A4" w:rsidRPr="00E02273">
        <w:rPr>
          <w:lang w:val="en-CA"/>
        </w:rPr>
        <w:t>overnment</w:t>
      </w:r>
      <w:r w:rsidRPr="00E02273">
        <w:rPr>
          <w:lang w:val="en-CA"/>
        </w:rPr>
        <w:t xml:space="preserve"> of </w:t>
      </w:r>
      <w:r w:rsidR="002D51A4" w:rsidRPr="00E02273">
        <w:rPr>
          <w:lang w:val="en-CA"/>
        </w:rPr>
        <w:t xml:space="preserve">Canada </w:t>
      </w:r>
      <w:r w:rsidRPr="00E02273">
        <w:rPr>
          <w:lang w:val="en-CA"/>
        </w:rPr>
        <w:t>estimates at $</w:t>
      </w:r>
      <w:r w:rsidR="002D51A4" w:rsidRPr="00E02273">
        <w:rPr>
          <w:lang w:val="en-CA"/>
        </w:rPr>
        <w:t>3</w:t>
      </w:r>
      <w:r w:rsidRPr="00E02273">
        <w:rPr>
          <w:lang w:val="en-CA"/>
        </w:rPr>
        <w:t>.</w:t>
      </w:r>
      <w:r w:rsidR="002D51A4" w:rsidRPr="00E02273">
        <w:rPr>
          <w:lang w:val="en-CA"/>
        </w:rPr>
        <w:t xml:space="preserve">8 </w:t>
      </w:r>
      <w:r w:rsidRPr="00E02273">
        <w:rPr>
          <w:lang w:val="en-CA"/>
        </w:rPr>
        <w:t>billion over 10 years.</w:t>
      </w:r>
      <w:r w:rsidR="002D51A4" w:rsidRPr="00E02273">
        <w:rPr>
          <w:rStyle w:val="Appelnotedebasdep"/>
          <w:lang w:val="en-CA"/>
        </w:rPr>
        <w:footnoteReference w:id="81"/>
      </w:r>
      <w:r w:rsidRPr="00E02273">
        <w:rPr>
          <w:lang w:val="en-CA"/>
        </w:rPr>
        <w:t xml:space="preserve"> As we will see, these significant </w:t>
      </w:r>
      <w:r w:rsidR="007C7E1D">
        <w:rPr>
          <w:lang w:val="en-CA"/>
        </w:rPr>
        <w:t xml:space="preserve">price </w:t>
      </w:r>
      <w:r w:rsidR="00AD3960">
        <w:rPr>
          <w:lang w:val="en-CA"/>
        </w:rPr>
        <w:t>reductions</w:t>
      </w:r>
      <w:r w:rsidR="00AD3960" w:rsidRPr="00E02273">
        <w:rPr>
          <w:lang w:val="en-CA"/>
        </w:rPr>
        <w:t xml:space="preserve"> </w:t>
      </w:r>
      <w:r w:rsidRPr="00E02273">
        <w:rPr>
          <w:lang w:val="en-CA"/>
        </w:rPr>
        <w:t>will result</w:t>
      </w:r>
      <w:r w:rsidR="00890639" w:rsidRPr="00E02273">
        <w:rPr>
          <w:lang w:val="en-CA"/>
        </w:rPr>
        <w:t xml:space="preserve"> from the application</w:t>
      </w:r>
      <w:r w:rsidRPr="00E02273">
        <w:rPr>
          <w:lang w:val="en-CA"/>
        </w:rPr>
        <w:t xml:space="preserve"> of arbitrary</w:t>
      </w:r>
      <w:r w:rsidR="00890639" w:rsidRPr="00E02273">
        <w:rPr>
          <w:lang w:val="en-CA"/>
        </w:rPr>
        <w:t xml:space="preserve"> price re</w:t>
      </w:r>
      <w:r w:rsidR="002D51A4" w:rsidRPr="00E02273">
        <w:rPr>
          <w:lang w:val="en-CA"/>
        </w:rPr>
        <w:t xml:space="preserve">ductions </w:t>
      </w:r>
      <w:r w:rsidR="00890639" w:rsidRPr="00E02273">
        <w:rPr>
          <w:lang w:val="en-CA"/>
        </w:rPr>
        <w:t xml:space="preserve">ranging from </w:t>
      </w:r>
      <w:r w:rsidR="002D51A4" w:rsidRPr="00E02273">
        <w:rPr>
          <w:lang w:val="en-CA"/>
        </w:rPr>
        <w:t xml:space="preserve">20% </w:t>
      </w:r>
      <w:r w:rsidR="00890639" w:rsidRPr="00E02273">
        <w:rPr>
          <w:lang w:val="en-CA"/>
        </w:rPr>
        <w:t>to</w:t>
      </w:r>
      <w:r w:rsidR="002D51A4" w:rsidRPr="00E02273">
        <w:rPr>
          <w:lang w:val="en-CA"/>
        </w:rPr>
        <w:t xml:space="preserve"> 50% </w:t>
      </w:r>
      <w:r w:rsidR="00890639" w:rsidRPr="00E02273">
        <w:rPr>
          <w:lang w:val="en-CA"/>
        </w:rPr>
        <w:t xml:space="preserve">for </w:t>
      </w:r>
      <w:r w:rsidR="002D51A4" w:rsidRPr="00E02273">
        <w:rPr>
          <w:lang w:val="en-CA"/>
        </w:rPr>
        <w:t>certain</w:t>
      </w:r>
      <w:r w:rsidR="00890639" w:rsidRPr="00E02273">
        <w:rPr>
          <w:lang w:val="en-CA"/>
        </w:rPr>
        <w:t xml:space="preserve"> medicines in accordance with their </w:t>
      </w:r>
      <w:r w:rsidR="002D51A4" w:rsidRPr="00E02273">
        <w:rPr>
          <w:lang w:val="en-CA"/>
        </w:rPr>
        <w:t>pharm</w:t>
      </w:r>
      <w:r w:rsidR="00890639" w:rsidRPr="00E02273">
        <w:rPr>
          <w:lang w:val="en-CA"/>
        </w:rPr>
        <w:t>a</w:t>
      </w:r>
      <w:r w:rsidR="002D51A4" w:rsidRPr="00E02273">
        <w:rPr>
          <w:lang w:val="en-CA"/>
        </w:rPr>
        <w:t>co</w:t>
      </w:r>
      <w:r w:rsidR="00890639" w:rsidRPr="00E02273">
        <w:rPr>
          <w:lang w:val="en-CA"/>
        </w:rPr>
        <w:t>e</w:t>
      </w:r>
      <w:r w:rsidR="002D51A4" w:rsidRPr="00E02273">
        <w:rPr>
          <w:lang w:val="en-CA"/>
        </w:rPr>
        <w:t>conomi</w:t>
      </w:r>
      <w:r w:rsidR="00890639" w:rsidRPr="00E02273">
        <w:rPr>
          <w:lang w:val="en-CA"/>
        </w:rPr>
        <w:t>c</w:t>
      </w:r>
      <w:r w:rsidR="002D51A4" w:rsidRPr="00E02273">
        <w:rPr>
          <w:lang w:val="en-CA"/>
        </w:rPr>
        <w:t xml:space="preserve"> </w:t>
      </w:r>
      <w:r w:rsidR="00890639" w:rsidRPr="00E02273">
        <w:rPr>
          <w:lang w:val="en-CA"/>
        </w:rPr>
        <w:t xml:space="preserve">value and from </w:t>
      </w:r>
      <w:r w:rsidR="002D51A4" w:rsidRPr="00E02273">
        <w:rPr>
          <w:lang w:val="en-CA"/>
        </w:rPr>
        <w:t xml:space="preserve">0% </w:t>
      </w:r>
      <w:r w:rsidR="00890639" w:rsidRPr="00E02273">
        <w:rPr>
          <w:lang w:val="en-CA"/>
        </w:rPr>
        <w:t xml:space="preserve">to </w:t>
      </w:r>
      <w:r w:rsidR="002D51A4" w:rsidRPr="00E02273">
        <w:rPr>
          <w:lang w:val="en-CA"/>
        </w:rPr>
        <w:t xml:space="preserve">35% </w:t>
      </w:r>
      <w:r w:rsidR="00890639" w:rsidRPr="00E02273">
        <w:rPr>
          <w:lang w:val="en-CA"/>
        </w:rPr>
        <w:t>for other</w:t>
      </w:r>
      <w:r w:rsidR="00AD20E9" w:rsidRPr="00E02273">
        <w:rPr>
          <w:lang w:val="en-CA"/>
        </w:rPr>
        <w:t>s</w:t>
      </w:r>
      <w:r w:rsidR="00890639" w:rsidRPr="00E02273">
        <w:rPr>
          <w:lang w:val="en-CA"/>
        </w:rPr>
        <w:t xml:space="preserve">, depending on the size of their market in </w:t>
      </w:r>
      <w:r w:rsidR="002D51A4" w:rsidRPr="00E02273">
        <w:rPr>
          <w:lang w:val="en-CA"/>
        </w:rPr>
        <w:t>Canada.</w:t>
      </w:r>
    </w:p>
    <w:p w14:paraId="69D2AF2C" w14:textId="5E2F03B0" w:rsidR="00B568AD" w:rsidRPr="00E02273" w:rsidRDefault="00890639" w:rsidP="00707180">
      <w:pPr>
        <w:pStyle w:val="Paragraphe"/>
        <w:tabs>
          <w:tab w:val="num" w:pos="709"/>
        </w:tabs>
        <w:spacing w:line="240" w:lineRule="auto"/>
        <w:ind w:left="0"/>
        <w:rPr>
          <w:lang w:val="en-CA"/>
        </w:rPr>
      </w:pPr>
      <w:r w:rsidRPr="00E02273">
        <w:rPr>
          <w:lang w:val="en-CA"/>
        </w:rPr>
        <w:t xml:space="preserve">The </w:t>
      </w:r>
      <w:r w:rsidR="002D51A4" w:rsidRPr="00E02273">
        <w:rPr>
          <w:lang w:val="en-CA"/>
        </w:rPr>
        <w:t>list</w:t>
      </w:r>
      <w:r w:rsidRPr="00E02273">
        <w:rPr>
          <w:lang w:val="en-CA"/>
        </w:rPr>
        <w:t xml:space="preserve"> of foreign countries </w:t>
      </w:r>
      <w:r w:rsidR="00AD3960">
        <w:rPr>
          <w:lang w:val="en-CA"/>
        </w:rPr>
        <w:t xml:space="preserve">used to compare </w:t>
      </w:r>
      <w:r w:rsidRPr="00E02273">
        <w:rPr>
          <w:lang w:val="en-CA"/>
        </w:rPr>
        <w:t xml:space="preserve">the price of the medicine was also </w:t>
      </w:r>
      <w:r w:rsidR="004A0A11">
        <w:rPr>
          <w:lang w:val="en-CA"/>
        </w:rPr>
        <w:t>amended</w:t>
      </w:r>
      <w:r w:rsidR="0023712B" w:rsidRPr="00E02273">
        <w:rPr>
          <w:lang w:val="en-CA"/>
        </w:rPr>
        <w:t xml:space="preserve"> to </w:t>
      </w:r>
      <w:r w:rsidR="002D51A4" w:rsidRPr="00E02273">
        <w:rPr>
          <w:lang w:val="en-CA"/>
        </w:rPr>
        <w:t>exclu</w:t>
      </w:r>
      <w:r w:rsidR="0023712B" w:rsidRPr="00E02273">
        <w:rPr>
          <w:lang w:val="en-CA"/>
        </w:rPr>
        <w:t>de</w:t>
      </w:r>
      <w:r w:rsidR="002D51A4" w:rsidRPr="00E02273">
        <w:rPr>
          <w:lang w:val="en-CA"/>
        </w:rPr>
        <w:t xml:space="preserve"> the</w:t>
      </w:r>
      <w:r w:rsidR="0023712B" w:rsidRPr="00E02273">
        <w:rPr>
          <w:lang w:val="en-CA"/>
        </w:rPr>
        <w:t xml:space="preserve"> </w:t>
      </w:r>
      <w:r w:rsidR="002D51A4" w:rsidRPr="00E02273">
        <w:rPr>
          <w:lang w:val="en-CA"/>
        </w:rPr>
        <w:t>United</w:t>
      </w:r>
      <w:r w:rsidR="0023712B" w:rsidRPr="00E02273">
        <w:rPr>
          <w:lang w:val="en-CA"/>
        </w:rPr>
        <w:t xml:space="preserve"> </w:t>
      </w:r>
      <w:r w:rsidR="002D51A4" w:rsidRPr="00E02273">
        <w:rPr>
          <w:lang w:val="en-CA"/>
        </w:rPr>
        <w:t>States</w:t>
      </w:r>
      <w:r w:rsidR="0023712B" w:rsidRPr="00E02273">
        <w:rPr>
          <w:lang w:val="en-CA"/>
        </w:rPr>
        <w:t xml:space="preserve"> and Switzerland</w:t>
      </w:r>
      <w:r w:rsidR="002D51A4" w:rsidRPr="00E02273">
        <w:rPr>
          <w:lang w:val="en-CA"/>
        </w:rPr>
        <w:t xml:space="preserve"> –</w:t>
      </w:r>
      <w:r w:rsidR="00AD20E9" w:rsidRPr="00E02273">
        <w:rPr>
          <w:lang w:val="en-CA"/>
        </w:rPr>
        <w:t xml:space="preserve"> countries that have a </w:t>
      </w:r>
      <w:r w:rsidR="00AD3960">
        <w:rPr>
          <w:lang w:val="en-CA"/>
        </w:rPr>
        <w:t xml:space="preserve">large </w:t>
      </w:r>
      <w:r w:rsidR="00AD20E9" w:rsidRPr="00E02273">
        <w:rPr>
          <w:lang w:val="en-CA"/>
        </w:rPr>
        <w:t xml:space="preserve">innovative </w:t>
      </w:r>
      <w:r w:rsidR="002D51A4" w:rsidRPr="00E02273">
        <w:rPr>
          <w:lang w:val="en-CA"/>
        </w:rPr>
        <w:t>pharmaceuti</w:t>
      </w:r>
      <w:r w:rsidR="00AD20E9" w:rsidRPr="00E02273">
        <w:rPr>
          <w:lang w:val="en-CA"/>
        </w:rPr>
        <w:t xml:space="preserve">cal industry and pricing policies that are favourable to it – and to </w:t>
      </w:r>
      <w:r w:rsidR="00AD20E9" w:rsidRPr="00E02273">
        <w:rPr>
          <w:lang w:val="en-CA"/>
        </w:rPr>
        <w:lastRenderedPageBreak/>
        <w:t xml:space="preserve">add </w:t>
      </w:r>
      <w:r w:rsidR="002D51A4" w:rsidRPr="00E02273">
        <w:rPr>
          <w:lang w:val="en-CA"/>
        </w:rPr>
        <w:t>Australi</w:t>
      </w:r>
      <w:r w:rsidR="00AD20E9" w:rsidRPr="00E02273">
        <w:rPr>
          <w:lang w:val="en-CA"/>
        </w:rPr>
        <w:t>a</w:t>
      </w:r>
      <w:r w:rsidR="002D51A4" w:rsidRPr="00E02273">
        <w:rPr>
          <w:lang w:val="en-CA"/>
        </w:rPr>
        <w:t>, Belgi</w:t>
      </w:r>
      <w:r w:rsidR="00AD20E9" w:rsidRPr="00E02273">
        <w:rPr>
          <w:lang w:val="en-CA"/>
        </w:rPr>
        <w:t>um</w:t>
      </w:r>
      <w:r w:rsidR="002D51A4" w:rsidRPr="00E02273">
        <w:rPr>
          <w:lang w:val="en-CA"/>
        </w:rPr>
        <w:t xml:space="preserve">, </w:t>
      </w:r>
      <w:r w:rsidR="00AD20E9" w:rsidRPr="00E02273">
        <w:rPr>
          <w:lang w:val="en-CA"/>
        </w:rPr>
        <w:t>Spain, J</w:t>
      </w:r>
      <w:r w:rsidR="002D51A4" w:rsidRPr="00E02273">
        <w:rPr>
          <w:lang w:val="en-CA"/>
        </w:rPr>
        <w:t>ap</w:t>
      </w:r>
      <w:r w:rsidR="00AD20E9" w:rsidRPr="00E02273">
        <w:rPr>
          <w:lang w:val="en-CA"/>
        </w:rPr>
        <w:t>a</w:t>
      </w:r>
      <w:r w:rsidR="002D51A4" w:rsidRPr="00E02273">
        <w:rPr>
          <w:lang w:val="en-CA"/>
        </w:rPr>
        <w:t>n,</w:t>
      </w:r>
      <w:r w:rsidR="00AD20E9" w:rsidRPr="00E02273">
        <w:rPr>
          <w:lang w:val="en-CA"/>
        </w:rPr>
        <w:t xml:space="preserve"> Norway, and the Netherlands,</w:t>
      </w:r>
      <w:r w:rsidR="002D51A4" w:rsidRPr="00E02273">
        <w:rPr>
          <w:rStyle w:val="Appelnotedebasdep"/>
          <w:lang w:val="en-CA"/>
        </w:rPr>
        <w:footnoteReference w:id="82"/>
      </w:r>
      <w:r w:rsidR="00AD20E9" w:rsidRPr="00E02273">
        <w:rPr>
          <w:lang w:val="en-CA"/>
        </w:rPr>
        <w:t xml:space="preserve"> countries with pricing policies that are often perceived – rightly or wrongly – as not being </w:t>
      </w:r>
      <w:r w:rsidR="002D51A4" w:rsidRPr="00E02273">
        <w:rPr>
          <w:lang w:val="en-CA"/>
        </w:rPr>
        <w:t>favorable</w:t>
      </w:r>
      <w:r w:rsidR="00AD20E9" w:rsidRPr="00E02273">
        <w:rPr>
          <w:lang w:val="en-CA"/>
        </w:rPr>
        <w:t xml:space="preserve"> to this industry. The practical impact of this new list will also be </w:t>
      </w:r>
      <w:r w:rsidR="007E223F" w:rsidRPr="00E02273">
        <w:rPr>
          <w:lang w:val="en-CA"/>
        </w:rPr>
        <w:t>to reduce the price of patented medicines, this time by $</w:t>
      </w:r>
      <w:r w:rsidR="002D51A4" w:rsidRPr="00E02273">
        <w:rPr>
          <w:lang w:val="en-CA"/>
        </w:rPr>
        <w:t>2</w:t>
      </w:r>
      <w:r w:rsidR="007E223F" w:rsidRPr="00E02273">
        <w:rPr>
          <w:lang w:val="en-CA"/>
        </w:rPr>
        <w:t>.</w:t>
      </w:r>
      <w:r w:rsidR="002D51A4" w:rsidRPr="00E02273">
        <w:rPr>
          <w:lang w:val="en-CA"/>
        </w:rPr>
        <w:t xml:space="preserve">8 </w:t>
      </w:r>
      <w:r w:rsidR="007E223F" w:rsidRPr="00E02273">
        <w:rPr>
          <w:lang w:val="en-CA"/>
        </w:rPr>
        <w:t>billion according to the G</w:t>
      </w:r>
      <w:r w:rsidR="002D51A4" w:rsidRPr="00E02273">
        <w:rPr>
          <w:lang w:val="en-CA"/>
        </w:rPr>
        <w:t>overnment</w:t>
      </w:r>
      <w:r w:rsidR="007E223F" w:rsidRPr="00E02273">
        <w:rPr>
          <w:lang w:val="en-CA"/>
        </w:rPr>
        <w:t xml:space="preserve"> of</w:t>
      </w:r>
      <w:r w:rsidR="002D51A4" w:rsidRPr="00E02273">
        <w:rPr>
          <w:lang w:val="en-CA"/>
        </w:rPr>
        <w:t xml:space="preserve"> Canada</w:t>
      </w:r>
      <w:r w:rsidR="007E223F" w:rsidRPr="00E02273">
        <w:rPr>
          <w:lang w:val="en-CA"/>
        </w:rPr>
        <w:t>.</w:t>
      </w:r>
      <w:r w:rsidR="002D51A4" w:rsidRPr="00E02273">
        <w:rPr>
          <w:rStyle w:val="Appelnotedebasdep"/>
          <w:lang w:val="en-CA"/>
        </w:rPr>
        <w:footnoteReference w:id="83"/>
      </w:r>
      <w:r w:rsidR="002D51A4" w:rsidRPr="00E02273">
        <w:rPr>
          <w:lang w:val="en-CA"/>
        </w:rPr>
        <w:t xml:space="preserve"> </w:t>
      </w:r>
    </w:p>
    <w:p w14:paraId="52972B7C" w14:textId="3A4B6DE7" w:rsidR="00B568AD" w:rsidRPr="00E02273" w:rsidRDefault="00E52311" w:rsidP="00707180">
      <w:pPr>
        <w:pStyle w:val="Paragraphe"/>
        <w:tabs>
          <w:tab w:val="num" w:pos="709"/>
        </w:tabs>
        <w:spacing w:line="240" w:lineRule="auto"/>
        <w:ind w:left="0"/>
        <w:rPr>
          <w:lang w:val="en-CA"/>
        </w:rPr>
      </w:pPr>
      <w:r w:rsidRPr="00E02273">
        <w:rPr>
          <w:lang w:val="en-CA"/>
        </w:rPr>
        <w:t>New information requirements are also provided. These are intended not only to inform the Board so that it can take these new factors into account, but also to considerably modify the Board’s application of factors already provided in the legislation</w:t>
      </w:r>
      <w:r w:rsidR="002D51A4" w:rsidRPr="00E02273">
        <w:rPr>
          <w:lang w:val="en-CA"/>
        </w:rPr>
        <w:t>.</w:t>
      </w:r>
    </w:p>
    <w:p w14:paraId="0C6C2198" w14:textId="54B9CAD2" w:rsidR="00B568AD" w:rsidRPr="00E02273" w:rsidRDefault="00462185" w:rsidP="00707180">
      <w:pPr>
        <w:pStyle w:val="Paragraphe"/>
        <w:tabs>
          <w:tab w:val="num" w:pos="709"/>
        </w:tabs>
        <w:spacing w:line="240" w:lineRule="auto"/>
        <w:ind w:left="0"/>
        <w:rPr>
          <w:lang w:val="en-CA"/>
        </w:rPr>
      </w:pPr>
      <w:r w:rsidRPr="00E02273">
        <w:rPr>
          <w:lang w:val="en-CA"/>
        </w:rPr>
        <w:t xml:space="preserve">Thus, with respect to the price at which the medicine is sold in </w:t>
      </w:r>
      <w:r w:rsidR="002D51A4" w:rsidRPr="00E02273">
        <w:rPr>
          <w:lang w:val="en-CA"/>
        </w:rPr>
        <w:t xml:space="preserve">Canada, </w:t>
      </w:r>
      <w:r w:rsidRPr="00E02273">
        <w:rPr>
          <w:lang w:val="en-CA"/>
        </w:rPr>
        <w:t>subsection </w:t>
      </w:r>
      <w:r w:rsidR="002D51A4" w:rsidRPr="00E02273">
        <w:rPr>
          <w:lang w:val="en-CA"/>
        </w:rPr>
        <w:t xml:space="preserve">4(4) </w:t>
      </w:r>
      <w:r w:rsidRPr="00E02273">
        <w:rPr>
          <w:lang w:val="en-CA"/>
        </w:rPr>
        <w:t xml:space="preserve">of the </w:t>
      </w:r>
      <w:r w:rsidRPr="00E02273">
        <w:rPr>
          <w:i/>
          <w:lang w:val="en-CA"/>
        </w:rPr>
        <w:t xml:space="preserve">Patented Medicines Regulations </w:t>
      </w:r>
      <w:r w:rsidRPr="00E02273">
        <w:rPr>
          <w:lang w:val="en-CA"/>
        </w:rPr>
        <w:t xml:space="preserve">was amended to include the </w:t>
      </w:r>
      <w:r w:rsidR="002D51A4" w:rsidRPr="00E02273">
        <w:rPr>
          <w:lang w:val="en-CA"/>
        </w:rPr>
        <w:t>obligation</w:t>
      </w:r>
      <w:r w:rsidRPr="00E02273">
        <w:rPr>
          <w:lang w:val="en-CA"/>
        </w:rPr>
        <w:t xml:space="preserve"> for patentees to disclose</w:t>
      </w:r>
      <w:r w:rsidR="000B240B" w:rsidRPr="00E02273">
        <w:rPr>
          <w:lang w:val="en-CA"/>
        </w:rPr>
        <w:t xml:space="preserve"> to the Board the prices and amount of revenues obtained for a medicine “taking into account any adjustments that are made by the patentee or any party that directly or indirectly purchases the medicine or reimburses for the purchase of the medicine”.</w:t>
      </w:r>
      <w:r w:rsidR="002D51A4" w:rsidRPr="00E02273">
        <w:rPr>
          <w:rStyle w:val="Appelnotedebasdep"/>
          <w:lang w:val="en-CA"/>
        </w:rPr>
        <w:footnoteReference w:id="84"/>
      </w:r>
      <w:r w:rsidR="002D51A4" w:rsidRPr="00E02273">
        <w:rPr>
          <w:lang w:val="en-CA"/>
        </w:rPr>
        <w:t xml:space="preserve"> </w:t>
      </w:r>
      <w:r w:rsidR="00F77A67" w:rsidRPr="00E02273">
        <w:rPr>
          <w:lang w:val="en-CA"/>
        </w:rPr>
        <w:t xml:space="preserve">This is </w:t>
      </w:r>
      <w:r w:rsidR="00355F1D">
        <w:rPr>
          <w:lang w:val="en-CA"/>
        </w:rPr>
        <w:t xml:space="preserve">so that </w:t>
      </w:r>
      <w:r w:rsidR="00F77A67" w:rsidRPr="00E02273">
        <w:rPr>
          <w:lang w:val="en-CA"/>
        </w:rPr>
        <w:t xml:space="preserve">the Board </w:t>
      </w:r>
      <w:r w:rsidR="00355F1D">
        <w:rPr>
          <w:lang w:val="en-CA"/>
        </w:rPr>
        <w:t xml:space="preserve">can </w:t>
      </w:r>
      <w:r w:rsidR="00F77A67" w:rsidRPr="00E02273">
        <w:rPr>
          <w:lang w:val="en-CA"/>
        </w:rPr>
        <w:t xml:space="preserve">determine the prices and the revenues obtained by patentees taking into account </w:t>
      </w:r>
      <w:r w:rsidR="002D51A4" w:rsidRPr="00E02273">
        <w:rPr>
          <w:lang w:val="en-CA"/>
        </w:rPr>
        <w:t>confidenti</w:t>
      </w:r>
      <w:r w:rsidR="00F77A67" w:rsidRPr="00E02273">
        <w:rPr>
          <w:lang w:val="en-CA"/>
        </w:rPr>
        <w:t>a</w:t>
      </w:r>
      <w:r w:rsidR="002D51A4" w:rsidRPr="00E02273">
        <w:rPr>
          <w:lang w:val="en-CA"/>
        </w:rPr>
        <w:t>l</w:t>
      </w:r>
      <w:r w:rsidR="00F77A67" w:rsidRPr="00E02273">
        <w:rPr>
          <w:lang w:val="en-CA"/>
        </w:rPr>
        <w:t xml:space="preserve"> rebates negotiated with public insurers </w:t>
      </w:r>
      <w:r w:rsidR="002D51A4" w:rsidRPr="00E02273">
        <w:rPr>
          <w:lang w:val="en-CA"/>
        </w:rPr>
        <w:t>(</w:t>
      </w:r>
      <w:r w:rsidR="00F77A67" w:rsidRPr="00E02273">
        <w:rPr>
          <w:lang w:val="en-CA"/>
        </w:rPr>
        <w:t>the</w:t>
      </w:r>
      <w:r w:rsidR="002D51A4" w:rsidRPr="00E02273">
        <w:rPr>
          <w:lang w:val="en-CA"/>
        </w:rPr>
        <w:t xml:space="preserve"> provinces) </w:t>
      </w:r>
      <w:r w:rsidR="00F77A67" w:rsidRPr="00E02273">
        <w:rPr>
          <w:lang w:val="en-CA"/>
        </w:rPr>
        <w:t>and more rarely with large private insurers, in view of the considerable quantit</w:t>
      </w:r>
      <w:r w:rsidR="00B53E72" w:rsidRPr="00E02273">
        <w:rPr>
          <w:lang w:val="en-CA"/>
        </w:rPr>
        <w:t>y</w:t>
      </w:r>
      <w:r w:rsidR="00F77A67" w:rsidRPr="00E02273">
        <w:rPr>
          <w:lang w:val="en-CA"/>
        </w:rPr>
        <w:t xml:space="preserve"> of medicines for which they provide total or partial reimbursement to their insureds</w:t>
      </w:r>
      <w:r w:rsidR="002D51A4" w:rsidRPr="00E02273">
        <w:rPr>
          <w:lang w:val="en-CA"/>
        </w:rPr>
        <w:t xml:space="preserve">. </w:t>
      </w:r>
      <w:r w:rsidR="00F77A67" w:rsidRPr="00E02273">
        <w:rPr>
          <w:lang w:val="en-CA"/>
        </w:rPr>
        <w:t>According to the G</w:t>
      </w:r>
      <w:r w:rsidR="002D51A4" w:rsidRPr="00E02273">
        <w:rPr>
          <w:lang w:val="en-CA"/>
        </w:rPr>
        <w:t>overnment</w:t>
      </w:r>
      <w:r w:rsidR="00F77A67" w:rsidRPr="00E02273">
        <w:rPr>
          <w:lang w:val="en-CA"/>
        </w:rPr>
        <w:t xml:space="preserve"> of </w:t>
      </w:r>
      <w:r w:rsidR="002D51A4" w:rsidRPr="00E02273">
        <w:rPr>
          <w:lang w:val="en-CA"/>
        </w:rPr>
        <w:t xml:space="preserve">Canada, </w:t>
      </w:r>
      <w:r w:rsidR="00B53E72" w:rsidRPr="00E02273">
        <w:rPr>
          <w:lang w:val="en-CA"/>
        </w:rPr>
        <w:t xml:space="preserve">requiring patentees to report on prices and revenues that take into account these negotiated rebates should </w:t>
      </w:r>
      <w:r w:rsidR="00E0490B">
        <w:rPr>
          <w:lang w:val="en-CA"/>
        </w:rPr>
        <w:t>lower</w:t>
      </w:r>
      <w:r w:rsidR="00E0490B" w:rsidRPr="00E02273">
        <w:rPr>
          <w:lang w:val="en-CA"/>
        </w:rPr>
        <w:t xml:space="preserve"> </w:t>
      </w:r>
      <w:r w:rsidR="00B53E72" w:rsidRPr="00E02273">
        <w:rPr>
          <w:lang w:val="en-CA"/>
        </w:rPr>
        <w:t>drug expenditures by $</w:t>
      </w:r>
      <w:r w:rsidR="002D51A4" w:rsidRPr="00E02273">
        <w:rPr>
          <w:lang w:val="en-CA"/>
        </w:rPr>
        <w:t xml:space="preserve">2 </w:t>
      </w:r>
      <w:r w:rsidR="00B53E72" w:rsidRPr="00E02273">
        <w:rPr>
          <w:lang w:val="en-CA"/>
        </w:rPr>
        <w:t xml:space="preserve">billion over </w:t>
      </w:r>
      <w:r w:rsidR="002D51A4" w:rsidRPr="00E02273">
        <w:rPr>
          <w:lang w:val="en-CA"/>
        </w:rPr>
        <w:t xml:space="preserve">10 </w:t>
      </w:r>
      <w:r w:rsidR="00B53E72" w:rsidRPr="00E02273">
        <w:rPr>
          <w:lang w:val="en-CA"/>
        </w:rPr>
        <w:t>years.</w:t>
      </w:r>
      <w:r w:rsidR="002D51A4" w:rsidRPr="00E02273">
        <w:rPr>
          <w:rStyle w:val="Appelnotedebasdep"/>
          <w:lang w:val="en-CA"/>
        </w:rPr>
        <w:footnoteReference w:id="85"/>
      </w:r>
      <w:r w:rsidR="002D51A4" w:rsidRPr="00E02273">
        <w:rPr>
          <w:lang w:val="en-CA"/>
        </w:rPr>
        <w:t xml:space="preserve"> </w:t>
      </w:r>
    </w:p>
    <w:p w14:paraId="2B518D20" w14:textId="3BA7FCAA" w:rsidR="00B568AD" w:rsidRPr="00E02273" w:rsidRDefault="00BB711E" w:rsidP="00707180">
      <w:pPr>
        <w:pStyle w:val="Paragraphe"/>
        <w:tabs>
          <w:tab w:val="num" w:pos="709"/>
        </w:tabs>
        <w:spacing w:line="240" w:lineRule="auto"/>
        <w:ind w:left="0"/>
        <w:rPr>
          <w:lang w:val="en-CA"/>
        </w:rPr>
      </w:pPr>
      <w:r w:rsidRPr="00E02273">
        <w:rPr>
          <w:lang w:val="en-CA"/>
        </w:rPr>
        <w:t xml:space="preserve">As for the information related to the new factor based on the </w:t>
      </w:r>
      <w:r w:rsidR="00D47023" w:rsidRPr="00E02273">
        <w:rPr>
          <w:lang w:val="en-CA"/>
        </w:rPr>
        <w:t xml:space="preserve">medicine’s pharmacoeconomic value in </w:t>
      </w:r>
      <w:r w:rsidR="002D51A4" w:rsidRPr="00E02273">
        <w:rPr>
          <w:lang w:val="en-CA"/>
        </w:rPr>
        <w:t xml:space="preserve">Canada, </w:t>
      </w:r>
      <w:r w:rsidR="00D47023" w:rsidRPr="00E02273">
        <w:rPr>
          <w:lang w:val="en-CA"/>
        </w:rPr>
        <w:t xml:space="preserve">the new </w:t>
      </w:r>
      <w:r w:rsidR="00D47023" w:rsidRPr="00E02273">
        <w:rPr>
          <w:i/>
          <w:lang w:val="en-CA"/>
        </w:rPr>
        <w:t>Regulation</w:t>
      </w:r>
      <w:r w:rsidR="00CC521F">
        <w:rPr>
          <w:i/>
          <w:lang w:val="en-CA"/>
        </w:rPr>
        <w:t>s</w:t>
      </w:r>
      <w:r w:rsidR="00D47023" w:rsidRPr="00E02273">
        <w:rPr>
          <w:i/>
          <w:lang w:val="en-CA"/>
        </w:rPr>
        <w:t xml:space="preserve"> </w:t>
      </w:r>
      <w:r w:rsidR="00D47023" w:rsidRPr="00E02273">
        <w:rPr>
          <w:lang w:val="en-CA"/>
        </w:rPr>
        <w:t xml:space="preserve">require patentees to provide the Board with </w:t>
      </w:r>
      <w:r w:rsidR="00FF43E6">
        <w:rPr>
          <w:lang w:val="en-CA"/>
        </w:rPr>
        <w:t>every</w:t>
      </w:r>
      <w:r w:rsidR="00FF43E6" w:rsidRPr="00E02273">
        <w:rPr>
          <w:lang w:val="en-CA"/>
        </w:rPr>
        <w:t xml:space="preserve"> </w:t>
      </w:r>
      <w:r w:rsidR="00D47023" w:rsidRPr="00E02273">
        <w:rPr>
          <w:lang w:val="en-CA"/>
        </w:rPr>
        <w:t>cost-utility analysis prepared by a publicly funded Canadian organization</w:t>
      </w:r>
      <w:r w:rsidR="00E5533A" w:rsidRPr="00E02273">
        <w:rPr>
          <w:lang w:val="en-CA"/>
        </w:rPr>
        <w:t xml:space="preserve">, </w:t>
      </w:r>
      <w:r w:rsidR="00FF43E6">
        <w:rPr>
          <w:lang w:val="en-CA"/>
        </w:rPr>
        <w:t xml:space="preserve">if published and communicated to the patentee, for which </w:t>
      </w:r>
      <w:r w:rsidR="00E5533A" w:rsidRPr="00E02273">
        <w:rPr>
          <w:lang w:val="en-CA"/>
        </w:rPr>
        <w:t xml:space="preserve">the </w:t>
      </w:r>
      <w:r w:rsidR="00FF43E6">
        <w:rPr>
          <w:lang w:val="en-CA"/>
        </w:rPr>
        <w:t xml:space="preserve">outcomes are </w:t>
      </w:r>
      <w:r w:rsidR="00E5533A" w:rsidRPr="00E02273">
        <w:rPr>
          <w:lang w:val="en-CA"/>
        </w:rPr>
        <w:t>express</w:t>
      </w:r>
      <w:r w:rsidR="00FF43E6">
        <w:rPr>
          <w:lang w:val="en-CA"/>
        </w:rPr>
        <w:t>ed</w:t>
      </w:r>
      <w:r w:rsidR="00E5533A" w:rsidRPr="00E02273">
        <w:rPr>
          <w:lang w:val="en-CA"/>
        </w:rPr>
        <w:t xml:space="preserve"> </w:t>
      </w:r>
      <w:r w:rsidR="00FF43E6">
        <w:rPr>
          <w:lang w:val="en-CA"/>
        </w:rPr>
        <w:t xml:space="preserve">as </w:t>
      </w:r>
      <w:r w:rsidR="00E5533A" w:rsidRPr="00E02273">
        <w:rPr>
          <w:lang w:val="en-CA"/>
        </w:rPr>
        <w:t>the cost per quality-adjusted life year</w:t>
      </w:r>
      <w:r w:rsidR="002D51A4" w:rsidRPr="00E02273">
        <w:rPr>
          <w:lang w:val="en-CA"/>
        </w:rPr>
        <w:t xml:space="preserve">, </w:t>
      </w:r>
      <w:r w:rsidR="00E5533A" w:rsidRPr="00E02273">
        <w:rPr>
          <w:lang w:val="en-CA"/>
        </w:rPr>
        <w:t>commonly referred to as “</w:t>
      </w:r>
      <w:r w:rsidR="002D51A4" w:rsidRPr="00E02273">
        <w:rPr>
          <w:lang w:val="en-CA"/>
        </w:rPr>
        <w:t>QALY</w:t>
      </w:r>
      <w:r w:rsidR="00E5533A" w:rsidRPr="00E02273">
        <w:rPr>
          <w:lang w:val="en-CA"/>
        </w:rPr>
        <w:t>”,</w:t>
      </w:r>
      <w:r w:rsidR="002D51A4" w:rsidRPr="00E02273">
        <w:rPr>
          <w:rStyle w:val="Appelnotedebasdep"/>
          <w:lang w:val="en-CA"/>
        </w:rPr>
        <w:footnoteReference w:id="86"/>
      </w:r>
      <w:r w:rsidR="00E5533A" w:rsidRPr="00E02273">
        <w:rPr>
          <w:lang w:val="en-CA"/>
        </w:rPr>
        <w:t xml:space="preserve"> for each </w:t>
      </w:r>
      <w:r w:rsidR="002D51A4" w:rsidRPr="00E02273">
        <w:rPr>
          <w:lang w:val="en-CA"/>
        </w:rPr>
        <w:t xml:space="preserve">indication </w:t>
      </w:r>
      <w:r w:rsidR="00E5533A" w:rsidRPr="00E02273">
        <w:rPr>
          <w:lang w:val="en-CA"/>
        </w:rPr>
        <w:t xml:space="preserve">that is the subject of </w:t>
      </w:r>
      <w:r w:rsidR="002D51A4" w:rsidRPr="00E02273">
        <w:rPr>
          <w:lang w:val="en-CA"/>
        </w:rPr>
        <w:t>analys</w:t>
      </w:r>
      <w:r w:rsidR="00E5533A" w:rsidRPr="00E02273">
        <w:rPr>
          <w:lang w:val="en-CA"/>
        </w:rPr>
        <w:t xml:space="preserve">is, including any redacted portions of the </w:t>
      </w:r>
      <w:r w:rsidR="002D51A4" w:rsidRPr="00E02273">
        <w:rPr>
          <w:lang w:val="en-CA"/>
        </w:rPr>
        <w:t>analys</w:t>
      </w:r>
      <w:r w:rsidR="00E5533A" w:rsidRPr="00E02273">
        <w:rPr>
          <w:lang w:val="en-CA"/>
        </w:rPr>
        <w:t>is.</w:t>
      </w:r>
      <w:r w:rsidR="002D51A4" w:rsidRPr="00E02273">
        <w:rPr>
          <w:rStyle w:val="Appelnotedebasdep"/>
          <w:lang w:val="en-CA"/>
        </w:rPr>
        <w:footnoteReference w:id="87"/>
      </w:r>
      <w:r w:rsidR="00E5533A" w:rsidRPr="00E02273">
        <w:rPr>
          <w:lang w:val="en-CA"/>
        </w:rPr>
        <w:t xml:space="preserve"> The</w:t>
      </w:r>
      <w:r w:rsidR="00CC521F">
        <w:rPr>
          <w:lang w:val="en-CA"/>
        </w:rPr>
        <w:t>se</w:t>
      </w:r>
      <w:r w:rsidR="00E5533A" w:rsidRPr="00E02273">
        <w:rPr>
          <w:lang w:val="en-CA"/>
        </w:rPr>
        <w:t xml:space="preserve"> consist mainly of the </w:t>
      </w:r>
      <w:r w:rsidR="002D51A4" w:rsidRPr="00E02273">
        <w:rPr>
          <w:lang w:val="en-CA"/>
        </w:rPr>
        <w:t xml:space="preserve">analyses </w:t>
      </w:r>
      <w:r w:rsidR="00E5533A" w:rsidRPr="00E02273">
        <w:rPr>
          <w:lang w:val="en-CA"/>
        </w:rPr>
        <w:t>of the Canadian Agency for Drugs and Technologies in Health</w:t>
      </w:r>
      <w:r w:rsidR="00116BA3" w:rsidRPr="00E02273">
        <w:rPr>
          <w:lang w:val="en-CA"/>
        </w:rPr>
        <w:t xml:space="preserve">, and in Quebec, </w:t>
      </w:r>
      <w:r w:rsidR="00E5533A" w:rsidRPr="00E02273">
        <w:rPr>
          <w:lang w:val="en-CA"/>
        </w:rPr>
        <w:t>the Institut national d’excellence en santé et services sociaux (</w:t>
      </w:r>
      <w:r w:rsidR="00116BA3" w:rsidRPr="00E02273">
        <w:rPr>
          <w:lang w:val="en-CA"/>
        </w:rPr>
        <w:t>“</w:t>
      </w:r>
      <w:r w:rsidR="00E5533A" w:rsidRPr="00E02273">
        <w:rPr>
          <w:lang w:val="en-CA"/>
        </w:rPr>
        <w:t>INESSS</w:t>
      </w:r>
      <w:r w:rsidR="00116BA3" w:rsidRPr="00E02273">
        <w:rPr>
          <w:lang w:val="en-CA"/>
        </w:rPr>
        <w:t>”</w:t>
      </w:r>
      <w:r w:rsidR="00E5533A" w:rsidRPr="00E02273">
        <w:rPr>
          <w:lang w:val="en-CA"/>
        </w:rPr>
        <w:t>).</w:t>
      </w:r>
      <w:r w:rsidR="002D51A4" w:rsidRPr="00E02273">
        <w:rPr>
          <w:lang w:val="en-CA"/>
        </w:rPr>
        <w:t xml:space="preserve"> </w:t>
      </w:r>
    </w:p>
    <w:p w14:paraId="729FD459" w14:textId="71237EA5" w:rsidR="00B568AD" w:rsidRPr="00E02273" w:rsidRDefault="00FA7BE2" w:rsidP="00707180">
      <w:pPr>
        <w:pStyle w:val="Paragraphe"/>
        <w:tabs>
          <w:tab w:val="num" w:pos="709"/>
        </w:tabs>
        <w:spacing w:line="240" w:lineRule="auto"/>
        <w:ind w:left="0"/>
        <w:rPr>
          <w:lang w:val="en-CA"/>
        </w:rPr>
      </w:pPr>
      <w:r w:rsidRPr="00E02273">
        <w:rPr>
          <w:lang w:val="en-CA"/>
        </w:rPr>
        <w:lastRenderedPageBreak/>
        <w:t>The</w:t>
      </w:r>
      <w:r w:rsidR="00CC521F">
        <w:rPr>
          <w:lang w:val="en-CA"/>
        </w:rPr>
        <w:t>se</w:t>
      </w:r>
      <w:r w:rsidRPr="00E02273">
        <w:rPr>
          <w:lang w:val="en-CA"/>
        </w:rPr>
        <w:t xml:space="preserve"> </w:t>
      </w:r>
      <w:r w:rsidR="002D51A4" w:rsidRPr="00E02273">
        <w:rPr>
          <w:lang w:val="en-CA"/>
        </w:rPr>
        <w:t xml:space="preserve">analyses </w:t>
      </w:r>
      <w:r w:rsidRPr="00E02273">
        <w:rPr>
          <w:lang w:val="en-CA"/>
        </w:rPr>
        <w:t xml:space="preserve">are intended to help the </w:t>
      </w:r>
      <w:r w:rsidR="002D51A4" w:rsidRPr="00E02273">
        <w:rPr>
          <w:lang w:val="en-CA"/>
        </w:rPr>
        <w:t xml:space="preserve">provinces </w:t>
      </w:r>
      <w:r w:rsidRPr="00E02273">
        <w:rPr>
          <w:lang w:val="en-CA"/>
        </w:rPr>
        <w:t xml:space="preserve">assess the </w:t>
      </w:r>
      <w:r w:rsidR="002D51A4" w:rsidRPr="00E02273">
        <w:rPr>
          <w:lang w:val="en-CA"/>
        </w:rPr>
        <w:t>th</w:t>
      </w:r>
      <w:r w:rsidRPr="00E02273">
        <w:rPr>
          <w:lang w:val="en-CA"/>
        </w:rPr>
        <w:t>e</w:t>
      </w:r>
      <w:r w:rsidR="002D51A4" w:rsidRPr="00E02273">
        <w:rPr>
          <w:lang w:val="en-CA"/>
        </w:rPr>
        <w:t>rapeuti</w:t>
      </w:r>
      <w:r w:rsidRPr="00E02273">
        <w:rPr>
          <w:lang w:val="en-CA"/>
        </w:rPr>
        <w:t xml:space="preserve">c effectiveness of a new medicine in relation to its price and to other medicines and treatments available for the same </w:t>
      </w:r>
      <w:r w:rsidR="000F2CBA" w:rsidRPr="00E02273">
        <w:rPr>
          <w:lang w:val="en-CA"/>
        </w:rPr>
        <w:t>disease</w:t>
      </w:r>
      <w:r w:rsidR="002D51A4" w:rsidRPr="00E02273">
        <w:rPr>
          <w:lang w:val="en-CA"/>
        </w:rPr>
        <w:t xml:space="preserve">. </w:t>
      </w:r>
      <w:r w:rsidR="000F2CBA" w:rsidRPr="00E02273">
        <w:rPr>
          <w:lang w:val="en-CA"/>
        </w:rPr>
        <w:t xml:space="preserve">These </w:t>
      </w:r>
      <w:r w:rsidR="002D51A4" w:rsidRPr="00E02273">
        <w:rPr>
          <w:lang w:val="en-CA"/>
        </w:rPr>
        <w:t xml:space="preserve">analyses </w:t>
      </w:r>
      <w:r w:rsidR="000F2CBA" w:rsidRPr="00E02273">
        <w:rPr>
          <w:lang w:val="en-CA"/>
        </w:rPr>
        <w:t xml:space="preserve">may then be taken into consideration by the </w:t>
      </w:r>
      <w:r w:rsidR="002D51A4" w:rsidRPr="00E02273">
        <w:rPr>
          <w:lang w:val="en-CA"/>
        </w:rPr>
        <w:t xml:space="preserve">provinces </w:t>
      </w:r>
      <w:r w:rsidR="000F2CBA" w:rsidRPr="00E02273">
        <w:rPr>
          <w:lang w:val="en-CA"/>
        </w:rPr>
        <w:t xml:space="preserve">when deciding whether to </w:t>
      </w:r>
      <w:r w:rsidR="009F69AB">
        <w:rPr>
          <w:lang w:val="en-CA"/>
        </w:rPr>
        <w:t>add</w:t>
      </w:r>
      <w:r w:rsidR="000F2CBA" w:rsidRPr="00E02273">
        <w:rPr>
          <w:lang w:val="en-CA"/>
        </w:rPr>
        <w:t xml:space="preserve"> a new medicine </w:t>
      </w:r>
      <w:r w:rsidR="009F69AB">
        <w:rPr>
          <w:lang w:val="en-CA"/>
        </w:rPr>
        <w:t>to</w:t>
      </w:r>
      <w:r w:rsidR="000F2CBA" w:rsidRPr="00E02273">
        <w:rPr>
          <w:lang w:val="en-CA"/>
        </w:rPr>
        <w:t xml:space="preserve"> the list of those that may be reimbu</w:t>
      </w:r>
      <w:r w:rsidR="002D51A4" w:rsidRPr="00E02273">
        <w:rPr>
          <w:lang w:val="en-CA"/>
        </w:rPr>
        <w:t>rs</w:t>
      </w:r>
      <w:r w:rsidR="000F2CBA" w:rsidRPr="00E02273">
        <w:rPr>
          <w:lang w:val="en-CA"/>
        </w:rPr>
        <w:t>ed and to establish the reimbursement levels of the medicines in question</w:t>
      </w:r>
      <w:r w:rsidR="002D51A4" w:rsidRPr="00E02273">
        <w:rPr>
          <w:lang w:val="en-CA"/>
        </w:rPr>
        <w:t xml:space="preserve">. </w:t>
      </w:r>
    </w:p>
    <w:p w14:paraId="78A23E5C" w14:textId="2DD59CBF" w:rsidR="00B568AD" w:rsidRPr="00E02273" w:rsidRDefault="00A92814" w:rsidP="00707180">
      <w:pPr>
        <w:pStyle w:val="Paragraphe"/>
        <w:tabs>
          <w:tab w:val="num" w:pos="709"/>
        </w:tabs>
        <w:spacing w:line="240" w:lineRule="auto"/>
        <w:ind w:left="0"/>
        <w:rPr>
          <w:lang w:val="en-CA"/>
        </w:rPr>
      </w:pPr>
      <w:r w:rsidRPr="00E02273">
        <w:rPr>
          <w:lang w:val="en-CA"/>
        </w:rPr>
        <w:t xml:space="preserve">These </w:t>
      </w:r>
      <w:r w:rsidR="002D51A4" w:rsidRPr="00E02273">
        <w:rPr>
          <w:lang w:val="en-CA"/>
        </w:rPr>
        <w:t xml:space="preserve">analyses </w:t>
      </w:r>
      <w:r w:rsidRPr="00E02273">
        <w:rPr>
          <w:lang w:val="en-CA"/>
        </w:rPr>
        <w:t xml:space="preserve">will </w:t>
      </w:r>
      <w:r w:rsidR="00322B97">
        <w:rPr>
          <w:lang w:val="en-CA"/>
        </w:rPr>
        <w:t>now</w:t>
      </w:r>
      <w:r w:rsidR="00322B97" w:rsidRPr="00E02273">
        <w:rPr>
          <w:lang w:val="en-CA"/>
        </w:rPr>
        <w:t xml:space="preserve"> </w:t>
      </w:r>
      <w:r w:rsidRPr="00E02273">
        <w:rPr>
          <w:lang w:val="en-CA"/>
        </w:rPr>
        <w:t>be provided to the Board if the cost f</w:t>
      </w:r>
      <w:r w:rsidR="004914A7" w:rsidRPr="00E02273">
        <w:rPr>
          <w:lang w:val="en-CA"/>
        </w:rPr>
        <w:t>or the medicine as identified in the a</w:t>
      </w:r>
      <w:r w:rsidR="002D51A4" w:rsidRPr="00E02273">
        <w:rPr>
          <w:lang w:val="en-CA"/>
        </w:rPr>
        <w:t>nalys</w:t>
      </w:r>
      <w:r w:rsidR="004914A7" w:rsidRPr="00E02273">
        <w:rPr>
          <w:lang w:val="en-CA"/>
        </w:rPr>
        <w:t>is</w:t>
      </w:r>
      <w:r w:rsidR="002D51A4" w:rsidRPr="00E02273">
        <w:rPr>
          <w:lang w:val="en-CA"/>
        </w:rPr>
        <w:t xml:space="preserve"> </w:t>
      </w:r>
      <w:r w:rsidR="004914A7" w:rsidRPr="00E02273">
        <w:rPr>
          <w:lang w:val="en-CA"/>
        </w:rPr>
        <w:t xml:space="preserve">is, when </w:t>
      </w:r>
      <w:r w:rsidR="00C4299A">
        <w:rPr>
          <w:lang w:val="en-CA"/>
        </w:rPr>
        <w:t>calculated</w:t>
      </w:r>
      <w:r w:rsidR="004914A7" w:rsidRPr="00E02273">
        <w:rPr>
          <w:lang w:val="en-CA"/>
        </w:rPr>
        <w:t xml:space="preserve"> </w:t>
      </w:r>
      <w:r w:rsidR="00C4299A">
        <w:rPr>
          <w:lang w:val="en-CA"/>
        </w:rPr>
        <w:t xml:space="preserve">based on the medicine’s 12-month cost of </w:t>
      </w:r>
      <w:r w:rsidR="00813F57">
        <w:rPr>
          <w:lang w:val="en-CA"/>
        </w:rPr>
        <w:t>use</w:t>
      </w:r>
      <w:r w:rsidR="004914A7" w:rsidRPr="00E02273">
        <w:rPr>
          <w:lang w:val="en-CA"/>
        </w:rPr>
        <w:t xml:space="preserve">, </w:t>
      </w:r>
      <w:r w:rsidR="00A53D65">
        <w:rPr>
          <w:lang w:val="en-CA"/>
        </w:rPr>
        <w:t xml:space="preserve">is </w:t>
      </w:r>
      <w:r w:rsidR="004914A7" w:rsidRPr="00E02273">
        <w:rPr>
          <w:lang w:val="en-CA"/>
        </w:rPr>
        <w:t>greater than or equal to 50% of the gross domestic product per capita in Canada at the time of publication of the analysis</w:t>
      </w:r>
      <w:r w:rsidR="005D104F" w:rsidRPr="00E02273">
        <w:rPr>
          <w:lang w:val="en-CA"/>
        </w:rPr>
        <w:t>.</w:t>
      </w:r>
      <w:r w:rsidR="002D51A4" w:rsidRPr="00E02273">
        <w:rPr>
          <w:rStyle w:val="Appelnotedebasdep"/>
          <w:lang w:val="en-CA"/>
        </w:rPr>
        <w:footnoteReference w:id="88"/>
      </w:r>
      <w:r w:rsidR="002D51A4" w:rsidRPr="00E02273">
        <w:rPr>
          <w:lang w:val="en-CA"/>
        </w:rPr>
        <w:t xml:space="preserve"> </w:t>
      </w:r>
      <w:r w:rsidR="005D104F" w:rsidRPr="00E02273">
        <w:rPr>
          <w:lang w:val="en-CA"/>
        </w:rPr>
        <w:t xml:space="preserve">These </w:t>
      </w:r>
      <w:r w:rsidR="002D51A4" w:rsidRPr="00E02273">
        <w:rPr>
          <w:lang w:val="en-CA"/>
        </w:rPr>
        <w:t xml:space="preserve">analyses </w:t>
      </w:r>
      <w:r w:rsidR="005D104F" w:rsidRPr="00E02273">
        <w:rPr>
          <w:lang w:val="en-CA"/>
        </w:rPr>
        <w:t xml:space="preserve">will be used to </w:t>
      </w:r>
      <w:r w:rsidR="00A524E4" w:rsidRPr="00E02273">
        <w:rPr>
          <w:lang w:val="en-CA"/>
        </w:rPr>
        <w:t>establish</w:t>
      </w:r>
      <w:r w:rsidR="005D104F" w:rsidRPr="00E02273">
        <w:rPr>
          <w:lang w:val="en-CA"/>
        </w:rPr>
        <w:t xml:space="preserve"> price reduction </w:t>
      </w:r>
      <w:r w:rsidR="00494751">
        <w:rPr>
          <w:lang w:val="en-CA"/>
        </w:rPr>
        <w:t xml:space="preserve">caps </w:t>
      </w:r>
      <w:r w:rsidR="005D104F" w:rsidRPr="00E02273">
        <w:rPr>
          <w:lang w:val="en-CA"/>
        </w:rPr>
        <w:t xml:space="preserve">of </w:t>
      </w:r>
      <w:r w:rsidR="002D51A4" w:rsidRPr="00E02273">
        <w:rPr>
          <w:lang w:val="en-CA"/>
        </w:rPr>
        <w:t xml:space="preserve">20% </w:t>
      </w:r>
      <w:r w:rsidR="005D104F" w:rsidRPr="00E02273">
        <w:rPr>
          <w:lang w:val="en-CA"/>
        </w:rPr>
        <w:t xml:space="preserve">to </w:t>
      </w:r>
      <w:r w:rsidR="002D51A4" w:rsidRPr="00E02273">
        <w:rPr>
          <w:lang w:val="en-CA"/>
        </w:rPr>
        <w:t xml:space="preserve">50% </w:t>
      </w:r>
      <w:r w:rsidR="005D104F" w:rsidRPr="00E02273">
        <w:rPr>
          <w:lang w:val="en-CA"/>
        </w:rPr>
        <w:t>for the medic</w:t>
      </w:r>
      <w:r w:rsidR="00C4299A">
        <w:rPr>
          <w:lang w:val="en-CA"/>
        </w:rPr>
        <w:t>ines</w:t>
      </w:r>
      <w:r w:rsidR="005D104F" w:rsidRPr="00E02273">
        <w:rPr>
          <w:lang w:val="en-CA"/>
        </w:rPr>
        <w:t xml:space="preserve"> in question depending on the </w:t>
      </w:r>
      <w:r w:rsidR="002D51A4" w:rsidRPr="00E02273">
        <w:rPr>
          <w:lang w:val="en-CA"/>
        </w:rPr>
        <w:t>pharmaco</w:t>
      </w:r>
      <w:r w:rsidR="005D104F" w:rsidRPr="00E02273">
        <w:rPr>
          <w:lang w:val="en-CA"/>
        </w:rPr>
        <w:t>e</w:t>
      </w:r>
      <w:r w:rsidR="002D51A4" w:rsidRPr="00E02273">
        <w:rPr>
          <w:lang w:val="en-CA"/>
        </w:rPr>
        <w:t>conomi</w:t>
      </w:r>
      <w:r w:rsidR="005D104F" w:rsidRPr="00E02273">
        <w:rPr>
          <w:lang w:val="en-CA"/>
        </w:rPr>
        <w:t xml:space="preserve">c value </w:t>
      </w:r>
      <w:r w:rsidR="00C4299A">
        <w:rPr>
          <w:lang w:val="en-CA"/>
        </w:rPr>
        <w:t xml:space="preserve">they are </w:t>
      </w:r>
      <w:r w:rsidR="002D51A4" w:rsidRPr="00E02273">
        <w:rPr>
          <w:lang w:val="en-CA"/>
        </w:rPr>
        <w:t>attribu</w:t>
      </w:r>
      <w:r w:rsidR="005D104F" w:rsidRPr="00E02273">
        <w:rPr>
          <w:lang w:val="en-CA"/>
        </w:rPr>
        <w:t>ted</w:t>
      </w:r>
      <w:r w:rsidR="002D51A4" w:rsidRPr="00E02273">
        <w:rPr>
          <w:lang w:val="en-CA"/>
        </w:rPr>
        <w:t>.</w:t>
      </w:r>
    </w:p>
    <w:p w14:paraId="033F3C26" w14:textId="553CB24F" w:rsidR="00B568AD" w:rsidRPr="00E02273" w:rsidRDefault="004C7CB9" w:rsidP="00707180">
      <w:pPr>
        <w:pStyle w:val="Paragraphe"/>
        <w:tabs>
          <w:tab w:val="num" w:pos="709"/>
        </w:tabs>
        <w:spacing w:line="240" w:lineRule="auto"/>
        <w:ind w:left="0"/>
        <w:rPr>
          <w:lang w:val="en-CA"/>
        </w:rPr>
      </w:pPr>
      <w:r>
        <w:rPr>
          <w:lang w:val="en-CA"/>
        </w:rPr>
        <w:t>P</w:t>
      </w:r>
      <w:r w:rsidR="007B7FB9" w:rsidRPr="00E02273">
        <w:rPr>
          <w:lang w:val="en-CA"/>
        </w:rPr>
        <w:t xml:space="preserve">atentees </w:t>
      </w:r>
      <w:r>
        <w:rPr>
          <w:lang w:val="en-CA"/>
        </w:rPr>
        <w:t xml:space="preserve">will </w:t>
      </w:r>
      <w:r w:rsidR="007B7FB9" w:rsidRPr="00E02273">
        <w:rPr>
          <w:lang w:val="en-CA"/>
        </w:rPr>
        <w:t xml:space="preserve">also </w:t>
      </w:r>
      <w:r>
        <w:rPr>
          <w:lang w:val="en-CA"/>
        </w:rPr>
        <w:t xml:space="preserve">have to </w:t>
      </w:r>
      <w:r w:rsidR="007B7FB9" w:rsidRPr="00E02273">
        <w:rPr>
          <w:lang w:val="en-CA"/>
        </w:rPr>
        <w:t xml:space="preserve">provide the Board with information related to the new </w:t>
      </w:r>
      <w:r w:rsidR="002D51A4" w:rsidRPr="00E02273">
        <w:rPr>
          <w:lang w:val="en-CA"/>
        </w:rPr>
        <w:t>fact</w:t>
      </w:r>
      <w:r w:rsidR="00A275BD" w:rsidRPr="00E02273">
        <w:rPr>
          <w:lang w:val="en-CA"/>
        </w:rPr>
        <w:t>o</w:t>
      </w:r>
      <w:r w:rsidR="002D51A4" w:rsidRPr="00E02273">
        <w:rPr>
          <w:lang w:val="en-CA"/>
        </w:rPr>
        <w:t xml:space="preserve">r </w:t>
      </w:r>
      <w:r w:rsidR="00A275BD" w:rsidRPr="00E02273">
        <w:rPr>
          <w:lang w:val="en-CA"/>
        </w:rPr>
        <w:t>based on the size of the market</w:t>
      </w:r>
      <w:r w:rsidR="006D4851" w:rsidRPr="00E02273">
        <w:rPr>
          <w:lang w:val="en-CA"/>
        </w:rPr>
        <w:t xml:space="preserve"> </w:t>
      </w:r>
      <w:r>
        <w:rPr>
          <w:lang w:val="en-CA"/>
        </w:rPr>
        <w:t xml:space="preserve">in Canada </w:t>
      </w:r>
      <w:r w:rsidR="006D4851" w:rsidRPr="00E02273">
        <w:rPr>
          <w:lang w:val="en-CA"/>
        </w:rPr>
        <w:t xml:space="preserve">by means of the </w:t>
      </w:r>
      <w:r w:rsidR="00A275BD" w:rsidRPr="00E02273">
        <w:rPr>
          <w:lang w:val="en-CA"/>
        </w:rPr>
        <w:t>estimated maximum use of the medicine.</w:t>
      </w:r>
      <w:r w:rsidR="002D51A4" w:rsidRPr="00E02273">
        <w:rPr>
          <w:rStyle w:val="Appelnotedebasdep"/>
          <w:lang w:val="en-CA"/>
        </w:rPr>
        <w:footnoteReference w:id="89"/>
      </w:r>
      <w:r w:rsidR="002D51A4" w:rsidRPr="00E02273">
        <w:rPr>
          <w:lang w:val="en-CA"/>
        </w:rPr>
        <w:t xml:space="preserve"> </w:t>
      </w:r>
      <w:r w:rsidR="006D4851" w:rsidRPr="00E02273">
        <w:rPr>
          <w:lang w:val="en-CA"/>
        </w:rPr>
        <w:t>This information will also be used to determine the per</w:t>
      </w:r>
      <w:r w:rsidR="002D51A4" w:rsidRPr="00E02273">
        <w:rPr>
          <w:lang w:val="en-CA"/>
        </w:rPr>
        <w:t xml:space="preserve">centage </w:t>
      </w:r>
      <w:r w:rsidR="006D4851" w:rsidRPr="00E02273">
        <w:rPr>
          <w:lang w:val="en-CA"/>
        </w:rPr>
        <w:t xml:space="preserve">of the price reduction, from </w:t>
      </w:r>
      <w:r w:rsidR="002D51A4" w:rsidRPr="00E02273">
        <w:rPr>
          <w:lang w:val="en-CA"/>
        </w:rPr>
        <w:t xml:space="preserve">0% </w:t>
      </w:r>
      <w:r w:rsidR="006D4851" w:rsidRPr="00E02273">
        <w:rPr>
          <w:lang w:val="en-CA"/>
        </w:rPr>
        <w:t xml:space="preserve">to </w:t>
      </w:r>
      <w:r w:rsidR="002D51A4" w:rsidRPr="00E02273">
        <w:rPr>
          <w:lang w:val="en-CA"/>
        </w:rPr>
        <w:t xml:space="preserve">35% </w:t>
      </w:r>
      <w:r w:rsidR="006D4851" w:rsidRPr="00E02273">
        <w:rPr>
          <w:lang w:val="en-CA"/>
        </w:rPr>
        <w:t>depending on the size of the market</w:t>
      </w:r>
      <w:r w:rsidR="002D51A4" w:rsidRPr="00E02273">
        <w:rPr>
          <w:lang w:val="en-CA"/>
        </w:rPr>
        <w:t>.</w:t>
      </w:r>
    </w:p>
    <w:p w14:paraId="2BF3207F" w14:textId="31927A05" w:rsidR="00B568AD" w:rsidRPr="00E02273" w:rsidRDefault="003835DB" w:rsidP="00707180">
      <w:pPr>
        <w:pStyle w:val="Paragraphe"/>
        <w:tabs>
          <w:tab w:val="num" w:pos="709"/>
        </w:tabs>
        <w:spacing w:line="240" w:lineRule="auto"/>
        <w:ind w:left="0"/>
        <w:rPr>
          <w:lang w:val="en-CA"/>
        </w:rPr>
      </w:pPr>
      <w:r w:rsidRPr="00E02273">
        <w:rPr>
          <w:lang w:val="en-CA"/>
        </w:rPr>
        <w:t xml:space="preserve">The manner in which the Board will apply these new price factors and use this new information is set out in the Board’s new </w:t>
      </w:r>
      <w:r w:rsidR="002D51A4" w:rsidRPr="00E02273">
        <w:rPr>
          <w:lang w:val="en-CA"/>
        </w:rPr>
        <w:t xml:space="preserve">guidelines. </w:t>
      </w:r>
      <w:r w:rsidRPr="00E02273">
        <w:rPr>
          <w:lang w:val="en-CA"/>
        </w:rPr>
        <w:t>Once again, using highly compl</w:t>
      </w:r>
      <w:r w:rsidR="00A53D65">
        <w:rPr>
          <w:lang w:val="en-CA"/>
        </w:rPr>
        <w:t>ex</w:t>
      </w:r>
      <w:r w:rsidRPr="00E02273">
        <w:rPr>
          <w:lang w:val="en-CA"/>
        </w:rPr>
        <w:t xml:space="preserve"> </w:t>
      </w:r>
      <w:r w:rsidR="00AC139D" w:rsidRPr="00E02273">
        <w:rPr>
          <w:lang w:val="en-CA"/>
        </w:rPr>
        <w:t>formula</w:t>
      </w:r>
      <w:r w:rsidR="002D51A4" w:rsidRPr="00E02273">
        <w:rPr>
          <w:lang w:val="en-CA"/>
        </w:rPr>
        <w:t xml:space="preserve">s </w:t>
      </w:r>
      <w:r w:rsidR="00AC139D" w:rsidRPr="00E02273">
        <w:rPr>
          <w:lang w:val="en-CA"/>
        </w:rPr>
        <w:t>and</w:t>
      </w:r>
      <w:r w:rsidR="002D51A4" w:rsidRPr="00E02273">
        <w:rPr>
          <w:lang w:val="en-CA"/>
        </w:rPr>
        <w:t xml:space="preserve"> tests</w:t>
      </w:r>
      <w:r w:rsidR="00AC139D" w:rsidRPr="00E02273">
        <w:rPr>
          <w:lang w:val="en-CA"/>
        </w:rPr>
        <w:t xml:space="preserve">, the application of which is essentially mechanical, the Board will use the new factor of </w:t>
      </w:r>
      <w:r w:rsidR="002D51A4" w:rsidRPr="00E02273">
        <w:rPr>
          <w:lang w:val="en-CA"/>
        </w:rPr>
        <w:t>pharmaceuti</w:t>
      </w:r>
      <w:r w:rsidR="00AC139D" w:rsidRPr="00E02273">
        <w:rPr>
          <w:lang w:val="en-CA"/>
        </w:rPr>
        <w:t xml:space="preserve">cal value to </w:t>
      </w:r>
      <w:r w:rsidR="002D51A4" w:rsidRPr="00E02273">
        <w:rPr>
          <w:lang w:val="en-CA"/>
        </w:rPr>
        <w:t>impose</w:t>
      </w:r>
      <w:r w:rsidR="005974A7" w:rsidRPr="00E02273">
        <w:rPr>
          <w:lang w:val="en-CA"/>
        </w:rPr>
        <w:t xml:space="preserve"> downward price adjustments ranging from </w:t>
      </w:r>
      <w:r w:rsidR="002D51A4" w:rsidRPr="00E02273">
        <w:rPr>
          <w:lang w:val="en-CA"/>
        </w:rPr>
        <w:t>20%</w:t>
      </w:r>
      <w:r w:rsidR="005974A7" w:rsidRPr="00E02273">
        <w:rPr>
          <w:lang w:val="en-CA"/>
        </w:rPr>
        <w:t xml:space="preserve"> to</w:t>
      </w:r>
      <w:r w:rsidR="002D51A4" w:rsidRPr="00E02273">
        <w:rPr>
          <w:lang w:val="en-CA"/>
        </w:rPr>
        <w:t xml:space="preserve"> 50% </w:t>
      </w:r>
      <w:r w:rsidR="005974A7" w:rsidRPr="00E02273">
        <w:rPr>
          <w:lang w:val="en-CA"/>
        </w:rPr>
        <w:t xml:space="preserve">for medicines whose </w:t>
      </w:r>
      <w:r w:rsidR="002D51A4" w:rsidRPr="00E02273">
        <w:rPr>
          <w:lang w:val="en-CA"/>
        </w:rPr>
        <w:t>individu</w:t>
      </w:r>
      <w:r w:rsidR="00F452D4" w:rsidRPr="00E02273">
        <w:rPr>
          <w:lang w:val="en-CA"/>
        </w:rPr>
        <w:t>a</w:t>
      </w:r>
      <w:r w:rsidR="002D51A4" w:rsidRPr="00E02273">
        <w:rPr>
          <w:lang w:val="en-CA"/>
        </w:rPr>
        <w:t>l</w:t>
      </w:r>
      <w:r w:rsidR="00F452D4" w:rsidRPr="00E02273">
        <w:rPr>
          <w:lang w:val="en-CA"/>
        </w:rPr>
        <w:t xml:space="preserve"> </w:t>
      </w:r>
      <w:r w:rsidR="00813F57">
        <w:rPr>
          <w:lang w:val="en-CA"/>
        </w:rPr>
        <w:t xml:space="preserve">12-month </w:t>
      </w:r>
      <w:r w:rsidR="00F452D4" w:rsidRPr="00E02273">
        <w:rPr>
          <w:lang w:val="en-CA"/>
        </w:rPr>
        <w:t xml:space="preserve">cost of use is greater than or equal to </w:t>
      </w:r>
      <w:r w:rsidR="002D51A4" w:rsidRPr="00E02273">
        <w:rPr>
          <w:lang w:val="en-CA"/>
        </w:rPr>
        <w:t>50%</w:t>
      </w:r>
      <w:r w:rsidR="00F452D4" w:rsidRPr="00E02273">
        <w:rPr>
          <w:lang w:val="en-CA"/>
        </w:rPr>
        <w:t xml:space="preserve"> of the gross domestic </w:t>
      </w:r>
      <w:r w:rsidR="002D51A4" w:rsidRPr="00E02273">
        <w:rPr>
          <w:lang w:val="en-CA"/>
        </w:rPr>
        <w:t>produ</w:t>
      </w:r>
      <w:r w:rsidR="00F452D4" w:rsidRPr="00E02273">
        <w:rPr>
          <w:lang w:val="en-CA"/>
        </w:rPr>
        <w:t xml:space="preserve">ct per capita in </w:t>
      </w:r>
      <w:r w:rsidR="002D51A4" w:rsidRPr="00E02273">
        <w:rPr>
          <w:lang w:val="en-CA"/>
        </w:rPr>
        <w:t>Canada</w:t>
      </w:r>
      <w:r w:rsidR="00F452D4" w:rsidRPr="00E02273">
        <w:rPr>
          <w:lang w:val="en-CA"/>
        </w:rPr>
        <w:t>.</w:t>
      </w:r>
      <w:r w:rsidR="002D51A4" w:rsidRPr="00E02273">
        <w:rPr>
          <w:rStyle w:val="Appelnotedebasdep"/>
          <w:lang w:val="en-CA"/>
        </w:rPr>
        <w:footnoteReference w:id="90"/>
      </w:r>
      <w:r w:rsidR="00440D02" w:rsidRPr="00E02273">
        <w:rPr>
          <w:lang w:val="en-CA"/>
        </w:rPr>
        <w:t xml:space="preserve"> The Board will also impose significant downward price </w:t>
      </w:r>
      <w:r w:rsidR="00A524E4" w:rsidRPr="00E02273">
        <w:rPr>
          <w:lang w:val="en-CA"/>
        </w:rPr>
        <w:t>adjustments</w:t>
      </w:r>
      <w:r w:rsidR="00440D02" w:rsidRPr="00E02273">
        <w:rPr>
          <w:lang w:val="en-CA"/>
        </w:rPr>
        <w:t xml:space="preserve"> of up to </w:t>
      </w:r>
      <w:r w:rsidR="002D51A4" w:rsidRPr="00E02273">
        <w:rPr>
          <w:lang w:val="en-CA"/>
        </w:rPr>
        <w:t xml:space="preserve">25% </w:t>
      </w:r>
      <w:r w:rsidR="00440D02" w:rsidRPr="00E02273">
        <w:rPr>
          <w:lang w:val="en-CA"/>
        </w:rPr>
        <w:t xml:space="preserve">and even </w:t>
      </w:r>
      <w:r w:rsidR="002D51A4" w:rsidRPr="00E02273">
        <w:rPr>
          <w:lang w:val="en-CA"/>
        </w:rPr>
        <w:t xml:space="preserve">35% </w:t>
      </w:r>
      <w:r w:rsidR="00440D02" w:rsidRPr="00E02273">
        <w:rPr>
          <w:lang w:val="en-CA"/>
        </w:rPr>
        <w:t>for medicines whose market size exceeds $</w:t>
      </w:r>
      <w:r w:rsidR="002D51A4" w:rsidRPr="00E02273">
        <w:rPr>
          <w:lang w:val="en-CA"/>
        </w:rPr>
        <w:t>50 million</w:t>
      </w:r>
      <w:r w:rsidR="00440D02" w:rsidRPr="00E02273">
        <w:rPr>
          <w:lang w:val="en-CA"/>
        </w:rPr>
        <w:t xml:space="preserve"> or $</w:t>
      </w:r>
      <w:r w:rsidR="002D51A4" w:rsidRPr="00E02273">
        <w:rPr>
          <w:lang w:val="en-CA"/>
        </w:rPr>
        <w:t>100 million</w:t>
      </w:r>
      <w:r w:rsidR="00440D02" w:rsidRPr="00E02273">
        <w:rPr>
          <w:lang w:val="en-CA"/>
        </w:rPr>
        <w:t xml:space="preserve"> annually.</w:t>
      </w:r>
      <w:r w:rsidR="002D51A4" w:rsidRPr="00E02273">
        <w:rPr>
          <w:rStyle w:val="Appelnotedebasdep"/>
          <w:lang w:val="en-CA"/>
        </w:rPr>
        <w:footnoteReference w:id="91"/>
      </w:r>
      <w:r w:rsidR="002D51A4" w:rsidRPr="00E02273">
        <w:rPr>
          <w:lang w:val="en-CA"/>
        </w:rPr>
        <w:t xml:space="preserve"> </w:t>
      </w:r>
      <w:r w:rsidR="00202CB0" w:rsidRPr="00E02273">
        <w:rPr>
          <w:lang w:val="en-CA"/>
        </w:rPr>
        <w:t>These downward adjustments are in addition to those arising from the new list of comparator count</w:t>
      </w:r>
      <w:r w:rsidR="00D334F7" w:rsidRPr="00E02273">
        <w:rPr>
          <w:lang w:val="en-CA"/>
        </w:rPr>
        <w:t>r</w:t>
      </w:r>
      <w:r w:rsidR="00202CB0" w:rsidRPr="00E02273">
        <w:rPr>
          <w:lang w:val="en-CA"/>
        </w:rPr>
        <w:t xml:space="preserve">ies and the consideration of </w:t>
      </w:r>
      <w:r w:rsidR="002D51A4" w:rsidRPr="00E02273">
        <w:rPr>
          <w:lang w:val="en-CA"/>
        </w:rPr>
        <w:t>confidenti</w:t>
      </w:r>
      <w:r w:rsidR="00202CB0" w:rsidRPr="00E02273">
        <w:rPr>
          <w:lang w:val="en-CA"/>
        </w:rPr>
        <w:t>a</w:t>
      </w:r>
      <w:r w:rsidR="002D51A4" w:rsidRPr="00E02273">
        <w:rPr>
          <w:lang w:val="en-CA"/>
        </w:rPr>
        <w:t>l</w:t>
      </w:r>
      <w:r w:rsidR="00202CB0" w:rsidRPr="00E02273">
        <w:rPr>
          <w:lang w:val="en-CA"/>
        </w:rPr>
        <w:t xml:space="preserve"> rebates </w:t>
      </w:r>
      <w:r w:rsidR="002D51A4" w:rsidRPr="00E02273">
        <w:rPr>
          <w:lang w:val="en-CA"/>
        </w:rPr>
        <w:t>n</w:t>
      </w:r>
      <w:r w:rsidR="00202CB0" w:rsidRPr="00E02273">
        <w:rPr>
          <w:lang w:val="en-CA"/>
        </w:rPr>
        <w:t>e</w:t>
      </w:r>
      <w:r w:rsidR="002D51A4" w:rsidRPr="00E02273">
        <w:rPr>
          <w:lang w:val="en-CA"/>
        </w:rPr>
        <w:t>go</w:t>
      </w:r>
      <w:r w:rsidR="00D334F7" w:rsidRPr="00E02273">
        <w:rPr>
          <w:lang w:val="en-CA"/>
        </w:rPr>
        <w:t>t</w:t>
      </w:r>
      <w:r w:rsidR="002D51A4" w:rsidRPr="00E02273">
        <w:rPr>
          <w:lang w:val="en-CA"/>
        </w:rPr>
        <w:t>i</w:t>
      </w:r>
      <w:r w:rsidR="00202CB0" w:rsidRPr="00E02273">
        <w:rPr>
          <w:lang w:val="en-CA"/>
        </w:rPr>
        <w:t xml:space="preserve">ated with the </w:t>
      </w:r>
      <w:r w:rsidR="002D51A4" w:rsidRPr="00E02273">
        <w:rPr>
          <w:lang w:val="en-CA"/>
        </w:rPr>
        <w:t xml:space="preserve">provinces.  </w:t>
      </w:r>
    </w:p>
    <w:p w14:paraId="293285CD" w14:textId="4358A67C" w:rsidR="00B568AD" w:rsidRPr="00E02273" w:rsidRDefault="00D334F7" w:rsidP="00707180">
      <w:pPr>
        <w:pStyle w:val="Paragraphe"/>
        <w:tabs>
          <w:tab w:val="num" w:pos="709"/>
        </w:tabs>
        <w:spacing w:line="240" w:lineRule="auto"/>
        <w:ind w:left="0"/>
        <w:rPr>
          <w:lang w:val="en-CA"/>
        </w:rPr>
      </w:pPr>
      <w:r w:rsidRPr="00E02273">
        <w:rPr>
          <w:lang w:val="en-CA"/>
        </w:rPr>
        <w:t>There is no doubt that th</w:t>
      </w:r>
      <w:r w:rsidR="00414410" w:rsidRPr="00E02273">
        <w:rPr>
          <w:lang w:val="en-CA"/>
        </w:rPr>
        <w:t>is n</w:t>
      </w:r>
      <w:r w:rsidRPr="00E02273">
        <w:rPr>
          <w:lang w:val="en-CA"/>
        </w:rPr>
        <w:t xml:space="preserve">ew </w:t>
      </w:r>
      <w:r w:rsidR="00414410" w:rsidRPr="00E02273">
        <w:rPr>
          <w:lang w:val="en-CA"/>
        </w:rPr>
        <w:t>r</w:t>
      </w:r>
      <w:r w:rsidRPr="00E02273">
        <w:rPr>
          <w:lang w:val="en-CA"/>
        </w:rPr>
        <w:t>egulato</w:t>
      </w:r>
      <w:r w:rsidR="00414410" w:rsidRPr="00E02273">
        <w:rPr>
          <w:lang w:val="en-CA"/>
        </w:rPr>
        <w:t xml:space="preserve">ry </w:t>
      </w:r>
      <w:r w:rsidR="00A27151" w:rsidRPr="00E02273">
        <w:rPr>
          <w:lang w:val="en-CA"/>
        </w:rPr>
        <w:t>regime</w:t>
      </w:r>
      <w:r w:rsidR="00414410" w:rsidRPr="00E02273">
        <w:rPr>
          <w:lang w:val="en-CA"/>
        </w:rPr>
        <w:t xml:space="preserve"> </w:t>
      </w:r>
      <w:r w:rsidRPr="00E02273">
        <w:rPr>
          <w:lang w:val="en-CA"/>
        </w:rPr>
        <w:t>will lead to impressive reductions in the price</w:t>
      </w:r>
      <w:r w:rsidR="00414410" w:rsidRPr="00E02273">
        <w:rPr>
          <w:lang w:val="en-CA"/>
        </w:rPr>
        <w:t>s</w:t>
      </w:r>
      <w:r w:rsidRPr="00E02273">
        <w:rPr>
          <w:lang w:val="en-CA"/>
        </w:rPr>
        <w:t xml:space="preserve"> of medicines in </w:t>
      </w:r>
      <w:r w:rsidR="002D51A4" w:rsidRPr="00E02273">
        <w:rPr>
          <w:lang w:val="en-CA"/>
        </w:rPr>
        <w:t>Canada.</w:t>
      </w:r>
      <w:r w:rsidR="00414410" w:rsidRPr="00E02273">
        <w:rPr>
          <w:lang w:val="en-CA"/>
        </w:rPr>
        <w:t xml:space="preserve"> It will also have a considerable financial and commercial impact on the innovative</w:t>
      </w:r>
      <w:r w:rsidR="002D51A4" w:rsidRPr="00E02273">
        <w:rPr>
          <w:lang w:val="en-CA"/>
        </w:rPr>
        <w:t xml:space="preserve"> pharmaceuti</w:t>
      </w:r>
      <w:r w:rsidR="00414410" w:rsidRPr="00E02273">
        <w:rPr>
          <w:lang w:val="en-CA"/>
        </w:rPr>
        <w:t xml:space="preserve">cal industry. In the </w:t>
      </w:r>
      <w:r w:rsidR="005F579B">
        <w:rPr>
          <w:lang w:val="en-CA"/>
        </w:rPr>
        <w:t>R</w:t>
      </w:r>
      <w:r w:rsidR="00414410" w:rsidRPr="00E02273">
        <w:rPr>
          <w:lang w:val="en-CA"/>
        </w:rPr>
        <w:t xml:space="preserve">egulatory </w:t>
      </w:r>
      <w:r w:rsidR="005F579B">
        <w:rPr>
          <w:lang w:val="en-CA"/>
        </w:rPr>
        <w:t>I</w:t>
      </w:r>
      <w:r w:rsidR="00414410" w:rsidRPr="00E02273">
        <w:rPr>
          <w:lang w:val="en-CA"/>
        </w:rPr>
        <w:t xml:space="preserve">mpact </w:t>
      </w:r>
      <w:r w:rsidR="005F579B">
        <w:rPr>
          <w:lang w:val="en-CA"/>
        </w:rPr>
        <w:t>A</w:t>
      </w:r>
      <w:r w:rsidR="00414410" w:rsidRPr="00E02273">
        <w:rPr>
          <w:lang w:val="en-CA"/>
        </w:rPr>
        <w:t xml:space="preserve">nalysis </w:t>
      </w:r>
      <w:r w:rsidR="005F579B">
        <w:rPr>
          <w:lang w:val="en-CA"/>
        </w:rPr>
        <w:t>S</w:t>
      </w:r>
      <w:r w:rsidR="00414410" w:rsidRPr="00E02273">
        <w:rPr>
          <w:lang w:val="en-CA"/>
        </w:rPr>
        <w:t>tatement, it is estimated that the industry will lose $</w:t>
      </w:r>
      <w:r w:rsidR="002D51A4" w:rsidRPr="00E02273">
        <w:rPr>
          <w:lang w:val="en-CA"/>
        </w:rPr>
        <w:t>8</w:t>
      </w:r>
      <w:r w:rsidR="00414410" w:rsidRPr="00E02273">
        <w:rPr>
          <w:lang w:val="en-CA"/>
        </w:rPr>
        <w:t>.</w:t>
      </w:r>
      <w:r w:rsidR="002D51A4" w:rsidRPr="00E02273">
        <w:rPr>
          <w:lang w:val="en-CA"/>
        </w:rPr>
        <w:t xml:space="preserve">8 </w:t>
      </w:r>
      <w:r w:rsidR="00414410" w:rsidRPr="00E02273">
        <w:rPr>
          <w:lang w:val="en-CA"/>
        </w:rPr>
        <w:t>billion in</w:t>
      </w:r>
      <w:r w:rsidR="00480CEB" w:rsidRPr="00E02273">
        <w:rPr>
          <w:lang w:val="en-CA"/>
        </w:rPr>
        <w:t xml:space="preserve"> </w:t>
      </w:r>
      <w:r w:rsidR="003A12EB" w:rsidRPr="00E02273">
        <w:rPr>
          <w:lang w:val="en-CA"/>
        </w:rPr>
        <w:t>revenues</w:t>
      </w:r>
      <w:r w:rsidR="00480CEB" w:rsidRPr="00E02273">
        <w:rPr>
          <w:lang w:val="en-CA"/>
        </w:rPr>
        <w:t xml:space="preserve"> over </w:t>
      </w:r>
      <w:r w:rsidR="002D51A4" w:rsidRPr="00E02273">
        <w:rPr>
          <w:lang w:val="en-CA"/>
        </w:rPr>
        <w:t xml:space="preserve">10 </w:t>
      </w:r>
      <w:r w:rsidR="00480CEB" w:rsidRPr="00E02273">
        <w:rPr>
          <w:lang w:val="en-CA"/>
        </w:rPr>
        <w:t>years.</w:t>
      </w:r>
      <w:r w:rsidR="002D51A4" w:rsidRPr="00E02273">
        <w:rPr>
          <w:rStyle w:val="Appelnotedebasdep"/>
          <w:lang w:val="en-CA"/>
        </w:rPr>
        <w:footnoteReference w:id="92"/>
      </w:r>
      <w:r w:rsidR="002D51A4" w:rsidRPr="00E02273">
        <w:rPr>
          <w:lang w:val="en-CA"/>
        </w:rPr>
        <w:t xml:space="preserve"> </w:t>
      </w:r>
      <w:r w:rsidR="00480CEB" w:rsidRPr="00E02273">
        <w:rPr>
          <w:lang w:val="en-CA"/>
        </w:rPr>
        <w:t>Industry re</w:t>
      </w:r>
      <w:r w:rsidR="002D51A4" w:rsidRPr="00E02273">
        <w:rPr>
          <w:lang w:val="en-CA"/>
        </w:rPr>
        <w:t>pr</w:t>
      </w:r>
      <w:r w:rsidR="00480CEB" w:rsidRPr="00E02273">
        <w:rPr>
          <w:lang w:val="en-CA"/>
        </w:rPr>
        <w:t>e</w:t>
      </w:r>
      <w:r w:rsidR="002D51A4" w:rsidRPr="00E02273">
        <w:rPr>
          <w:lang w:val="en-CA"/>
        </w:rPr>
        <w:t>senta</w:t>
      </w:r>
      <w:r w:rsidR="00480CEB" w:rsidRPr="00E02273">
        <w:rPr>
          <w:lang w:val="en-CA"/>
        </w:rPr>
        <w:t xml:space="preserve">tives estimate that lost </w:t>
      </w:r>
      <w:r w:rsidR="003A12EB" w:rsidRPr="00E02273">
        <w:rPr>
          <w:lang w:val="en-CA"/>
        </w:rPr>
        <w:t>revenues</w:t>
      </w:r>
      <w:r w:rsidR="00480CEB" w:rsidRPr="00E02273">
        <w:rPr>
          <w:lang w:val="en-CA"/>
        </w:rPr>
        <w:t xml:space="preserve"> will be much higher and eve</w:t>
      </w:r>
      <w:r w:rsidR="005F579B">
        <w:rPr>
          <w:lang w:val="en-CA"/>
        </w:rPr>
        <w:t>n</w:t>
      </w:r>
      <w:r w:rsidR="00480CEB" w:rsidRPr="00E02273">
        <w:rPr>
          <w:lang w:val="en-CA"/>
        </w:rPr>
        <w:t xml:space="preserve"> claim that this new </w:t>
      </w:r>
      <w:r w:rsidR="002D51A4" w:rsidRPr="00E02273">
        <w:rPr>
          <w:lang w:val="en-CA"/>
        </w:rPr>
        <w:t>regulatory</w:t>
      </w:r>
      <w:r w:rsidR="00480CEB" w:rsidRPr="00E02273">
        <w:rPr>
          <w:lang w:val="en-CA"/>
        </w:rPr>
        <w:t xml:space="preserve"> </w:t>
      </w:r>
      <w:r w:rsidR="00A27151" w:rsidRPr="00E02273">
        <w:rPr>
          <w:lang w:val="en-CA"/>
        </w:rPr>
        <w:t>regime</w:t>
      </w:r>
      <w:r w:rsidR="002D51A4" w:rsidRPr="00E02273">
        <w:rPr>
          <w:lang w:val="en-CA"/>
        </w:rPr>
        <w:t xml:space="preserve"> </w:t>
      </w:r>
      <w:r w:rsidR="00480CEB" w:rsidRPr="00E02273">
        <w:rPr>
          <w:lang w:val="en-CA"/>
        </w:rPr>
        <w:t xml:space="preserve">could </w:t>
      </w:r>
      <w:r w:rsidR="003A12EB" w:rsidRPr="00E02273">
        <w:rPr>
          <w:lang w:val="en-CA"/>
        </w:rPr>
        <w:t xml:space="preserve">lead to refusals to </w:t>
      </w:r>
      <w:r w:rsidR="002D51A4" w:rsidRPr="00E02273">
        <w:rPr>
          <w:lang w:val="en-CA"/>
        </w:rPr>
        <w:t>introdu</w:t>
      </w:r>
      <w:r w:rsidR="003A12EB" w:rsidRPr="00E02273">
        <w:rPr>
          <w:lang w:val="en-CA"/>
        </w:rPr>
        <w:t xml:space="preserve">ce or sell </w:t>
      </w:r>
      <w:r w:rsidR="003A12EB" w:rsidRPr="00E02273">
        <w:rPr>
          <w:lang w:val="en-CA"/>
        </w:rPr>
        <w:lastRenderedPageBreak/>
        <w:t xml:space="preserve">certain new medicines in </w:t>
      </w:r>
      <w:r w:rsidR="002D51A4" w:rsidRPr="00E02273">
        <w:rPr>
          <w:lang w:val="en-CA"/>
        </w:rPr>
        <w:t xml:space="preserve">Canada. </w:t>
      </w:r>
      <w:r w:rsidR="003A12EB" w:rsidRPr="00E02273">
        <w:rPr>
          <w:lang w:val="en-CA"/>
        </w:rPr>
        <w:t>According to studies, lost revenues in the industry could exceed $</w:t>
      </w:r>
      <w:r w:rsidR="002D51A4" w:rsidRPr="00E02273">
        <w:rPr>
          <w:lang w:val="en-CA"/>
        </w:rPr>
        <w:t xml:space="preserve">26 </w:t>
      </w:r>
      <w:r w:rsidR="003A12EB" w:rsidRPr="00E02273">
        <w:rPr>
          <w:lang w:val="en-CA"/>
        </w:rPr>
        <w:t xml:space="preserve">billion over </w:t>
      </w:r>
      <w:r w:rsidR="002D51A4" w:rsidRPr="00E02273">
        <w:rPr>
          <w:lang w:val="en-CA"/>
        </w:rPr>
        <w:t xml:space="preserve">10 </w:t>
      </w:r>
      <w:r w:rsidR="003A12EB" w:rsidRPr="00E02273">
        <w:rPr>
          <w:lang w:val="en-CA"/>
        </w:rPr>
        <w:t>years.</w:t>
      </w:r>
      <w:r w:rsidR="002D51A4" w:rsidRPr="00E02273">
        <w:rPr>
          <w:rStyle w:val="Appelnotedebasdep"/>
          <w:lang w:val="en-CA"/>
        </w:rPr>
        <w:footnoteReference w:id="93"/>
      </w:r>
      <w:r w:rsidR="002D51A4" w:rsidRPr="00E02273">
        <w:rPr>
          <w:lang w:val="en-CA"/>
        </w:rPr>
        <w:t xml:space="preserve"> </w:t>
      </w:r>
    </w:p>
    <w:p w14:paraId="1243D5E7" w14:textId="62F20772" w:rsidR="00B568AD" w:rsidRPr="00E02273" w:rsidRDefault="00EB7400" w:rsidP="00707180">
      <w:pPr>
        <w:pStyle w:val="Paragraphe"/>
        <w:tabs>
          <w:tab w:val="num" w:pos="709"/>
        </w:tabs>
        <w:spacing w:line="240" w:lineRule="auto"/>
        <w:ind w:left="0"/>
        <w:rPr>
          <w:lang w:val="en-CA"/>
        </w:rPr>
      </w:pPr>
      <w:r w:rsidRPr="00E02273">
        <w:rPr>
          <w:lang w:val="en-CA"/>
        </w:rPr>
        <w:t xml:space="preserve">The issues are such that there is concern that some innovative medicines may become unavailable in </w:t>
      </w:r>
      <w:r w:rsidR="002D51A4" w:rsidRPr="00E02273">
        <w:rPr>
          <w:lang w:val="en-CA"/>
        </w:rPr>
        <w:t xml:space="preserve">Canada, </w:t>
      </w:r>
      <w:r w:rsidRPr="00E02273">
        <w:rPr>
          <w:lang w:val="en-CA"/>
        </w:rPr>
        <w:t xml:space="preserve">with serious consequences for the health and quality of life of certain </w:t>
      </w:r>
      <w:r w:rsidR="002D51A4" w:rsidRPr="00E02273">
        <w:rPr>
          <w:lang w:val="en-CA"/>
        </w:rPr>
        <w:t xml:space="preserve">patients. </w:t>
      </w:r>
      <w:r w:rsidRPr="00E02273">
        <w:rPr>
          <w:lang w:val="en-CA"/>
        </w:rPr>
        <w:t xml:space="preserve">There is also concern that pharmaceutical research and development in </w:t>
      </w:r>
      <w:r w:rsidR="002D51A4" w:rsidRPr="00E02273">
        <w:rPr>
          <w:lang w:val="en-CA"/>
        </w:rPr>
        <w:t xml:space="preserve">Canada </w:t>
      </w:r>
      <w:r w:rsidRPr="00E02273">
        <w:rPr>
          <w:lang w:val="en-CA"/>
        </w:rPr>
        <w:t xml:space="preserve">will decrease </w:t>
      </w:r>
      <w:r w:rsidR="002D51A4" w:rsidRPr="00E02273">
        <w:rPr>
          <w:lang w:val="en-CA"/>
        </w:rPr>
        <w:t>consid</w:t>
      </w:r>
      <w:r w:rsidRPr="00E02273">
        <w:rPr>
          <w:lang w:val="en-CA"/>
        </w:rPr>
        <w:t>e</w:t>
      </w:r>
      <w:r w:rsidR="002D51A4" w:rsidRPr="00E02273">
        <w:rPr>
          <w:lang w:val="en-CA"/>
        </w:rPr>
        <w:t>rabl</w:t>
      </w:r>
      <w:r w:rsidRPr="00E02273">
        <w:rPr>
          <w:lang w:val="en-CA"/>
        </w:rPr>
        <w:t xml:space="preserve">y. I will return to these </w:t>
      </w:r>
      <w:r w:rsidR="005F579B">
        <w:rPr>
          <w:lang w:val="en-CA"/>
        </w:rPr>
        <w:t xml:space="preserve">impacts </w:t>
      </w:r>
      <w:r w:rsidRPr="00E02273">
        <w:rPr>
          <w:lang w:val="en-CA"/>
        </w:rPr>
        <w:t xml:space="preserve">in the </w:t>
      </w:r>
      <w:r w:rsidR="002D51A4" w:rsidRPr="00E02273">
        <w:rPr>
          <w:lang w:val="en-CA"/>
        </w:rPr>
        <w:t>analys</w:t>
      </w:r>
      <w:r w:rsidRPr="00E02273">
        <w:rPr>
          <w:lang w:val="en-CA"/>
        </w:rPr>
        <w:t xml:space="preserve">is of the trial judge’s </w:t>
      </w:r>
      <w:r w:rsidR="002D51A4" w:rsidRPr="00E02273">
        <w:rPr>
          <w:lang w:val="en-CA"/>
        </w:rPr>
        <w:t>finding</w:t>
      </w:r>
      <w:r w:rsidRPr="00E02273">
        <w:rPr>
          <w:lang w:val="en-CA"/>
        </w:rPr>
        <w:t xml:space="preserve">s </w:t>
      </w:r>
      <w:r w:rsidR="002D51A4" w:rsidRPr="00E02273">
        <w:rPr>
          <w:lang w:val="en-CA"/>
        </w:rPr>
        <w:t>of</w:t>
      </w:r>
      <w:r w:rsidRPr="00E02273">
        <w:rPr>
          <w:lang w:val="en-CA"/>
        </w:rPr>
        <w:t xml:space="preserve"> </w:t>
      </w:r>
      <w:r w:rsidR="002D51A4" w:rsidRPr="00E02273">
        <w:rPr>
          <w:lang w:val="en-CA"/>
        </w:rPr>
        <w:t>fact.</w:t>
      </w:r>
    </w:p>
    <w:p w14:paraId="4F71BCE2" w14:textId="7AD4BD5E" w:rsidR="00B568AD" w:rsidRPr="00E02273" w:rsidRDefault="0050669D" w:rsidP="00707180">
      <w:pPr>
        <w:pStyle w:val="Paragraphe"/>
        <w:tabs>
          <w:tab w:val="num" w:pos="709"/>
        </w:tabs>
        <w:spacing w:line="240" w:lineRule="auto"/>
        <w:ind w:left="0"/>
        <w:rPr>
          <w:lang w:val="en-CA"/>
        </w:rPr>
      </w:pPr>
      <w:r w:rsidRPr="00E02273">
        <w:rPr>
          <w:lang w:val="en-CA"/>
        </w:rPr>
        <w:t xml:space="preserve">The issues are therefore significant, which all the parties to the appeal </w:t>
      </w:r>
      <w:r w:rsidR="005F579B">
        <w:rPr>
          <w:lang w:val="en-CA"/>
        </w:rPr>
        <w:t>acknowledge</w:t>
      </w:r>
      <w:r w:rsidR="002D51A4" w:rsidRPr="00E02273">
        <w:rPr>
          <w:lang w:val="en-CA"/>
        </w:rPr>
        <w:t>.</w:t>
      </w:r>
    </w:p>
    <w:p w14:paraId="59680C42" w14:textId="6F1E1F0A" w:rsidR="00B568AD" w:rsidRPr="00E02273" w:rsidRDefault="002D51A4" w:rsidP="00B568AD">
      <w:pPr>
        <w:pStyle w:val="Paragraphe"/>
        <w:numPr>
          <w:ilvl w:val="0"/>
          <w:numId w:val="0"/>
        </w:numPr>
        <w:spacing w:line="240" w:lineRule="auto"/>
        <w:ind w:firstLine="720"/>
        <w:rPr>
          <w:b/>
          <w:lang w:val="en-CA"/>
        </w:rPr>
      </w:pPr>
      <w:r w:rsidRPr="00E02273">
        <w:rPr>
          <w:b/>
          <w:i/>
          <w:lang w:val="en-CA"/>
        </w:rPr>
        <w:t xml:space="preserve">D </w:t>
      </w:r>
      <w:r w:rsidR="007815FC">
        <w:rPr>
          <w:b/>
          <w:i/>
          <w:lang w:val="en-CA"/>
        </w:rPr>
        <w:t>-</w:t>
      </w:r>
      <w:r w:rsidRPr="00E02273">
        <w:rPr>
          <w:b/>
          <w:i/>
          <w:lang w:val="en-CA"/>
        </w:rPr>
        <w:t xml:space="preserve"> </w:t>
      </w:r>
      <w:r w:rsidR="005A769F" w:rsidRPr="00E02273">
        <w:rPr>
          <w:b/>
          <w:i/>
          <w:lang w:val="en-CA"/>
        </w:rPr>
        <w:t xml:space="preserve">Medicine price control by the </w:t>
      </w:r>
      <w:r w:rsidRPr="00E02273">
        <w:rPr>
          <w:b/>
          <w:i/>
          <w:lang w:val="en-CA"/>
        </w:rPr>
        <w:t>provinces</w:t>
      </w:r>
    </w:p>
    <w:p w14:paraId="07AB17DF" w14:textId="69101994" w:rsidR="00B568AD" w:rsidRPr="00E02273" w:rsidRDefault="008A3C85" w:rsidP="00FC349A">
      <w:pPr>
        <w:pStyle w:val="Paragraphe"/>
        <w:tabs>
          <w:tab w:val="num" w:pos="709"/>
        </w:tabs>
        <w:spacing w:line="240" w:lineRule="auto"/>
        <w:ind w:left="0"/>
        <w:rPr>
          <w:lang w:val="en-CA"/>
        </w:rPr>
      </w:pPr>
      <w:r w:rsidRPr="00E02273">
        <w:rPr>
          <w:lang w:val="en-CA"/>
        </w:rPr>
        <w:t>The provinces have implemented mechan</w:t>
      </w:r>
      <w:r w:rsidR="002D51A4" w:rsidRPr="00E02273">
        <w:rPr>
          <w:lang w:val="en-CA"/>
        </w:rPr>
        <w:t>isms</w:t>
      </w:r>
      <w:r w:rsidRPr="00E02273">
        <w:rPr>
          <w:lang w:val="en-CA"/>
        </w:rPr>
        <w:t xml:space="preserve"> to control the price of medicines reimbursed by the public drug insurance plans or required by the public hospital care system</w:t>
      </w:r>
      <w:r w:rsidR="002D51A4" w:rsidRPr="00E02273">
        <w:rPr>
          <w:lang w:val="en-CA"/>
        </w:rPr>
        <w:t xml:space="preserve">. </w:t>
      </w:r>
      <w:r w:rsidR="00796262" w:rsidRPr="00E02273">
        <w:rPr>
          <w:lang w:val="en-CA"/>
        </w:rPr>
        <w:t>In particular, these consist of listing agreements permitting patented and non-patented medicines to be added to the list of medicines reimbursed by a province’s insurance plan or acquired by a province’s hospitals</w:t>
      </w:r>
      <w:r w:rsidR="002D51A4" w:rsidRPr="00E02273">
        <w:rPr>
          <w:lang w:val="en-CA"/>
        </w:rPr>
        <w:t xml:space="preserve">. </w:t>
      </w:r>
    </w:p>
    <w:p w14:paraId="49BF7BF6" w14:textId="05FE8DE4" w:rsidR="00B568AD" w:rsidRPr="00E02273" w:rsidRDefault="00796262" w:rsidP="00FC349A">
      <w:pPr>
        <w:pStyle w:val="Paragraphe"/>
        <w:tabs>
          <w:tab w:val="num" w:pos="709"/>
        </w:tabs>
        <w:spacing w:line="240" w:lineRule="auto"/>
        <w:ind w:left="0"/>
        <w:rPr>
          <w:lang w:val="en-CA"/>
        </w:rPr>
      </w:pPr>
      <w:r w:rsidRPr="00E02273">
        <w:rPr>
          <w:lang w:val="en-CA"/>
        </w:rPr>
        <w:t xml:space="preserve">These negotiations are usually held with the </w:t>
      </w:r>
      <w:r w:rsidR="002D51A4" w:rsidRPr="00E02273">
        <w:rPr>
          <w:rFonts w:cs="Arial"/>
          <w:color w:val="000000"/>
          <w:lang w:val="en-CA"/>
        </w:rPr>
        <w:t>pan</w:t>
      </w:r>
      <w:r w:rsidRPr="00E02273">
        <w:rPr>
          <w:rFonts w:cs="Arial"/>
          <w:color w:val="000000"/>
          <w:lang w:val="en-CA"/>
        </w:rPr>
        <w:t>-C</w:t>
      </w:r>
      <w:r w:rsidR="002D51A4" w:rsidRPr="00E02273">
        <w:rPr>
          <w:rFonts w:cs="Arial"/>
          <w:color w:val="000000"/>
          <w:lang w:val="en-CA"/>
        </w:rPr>
        <w:t>anadi</w:t>
      </w:r>
      <w:r w:rsidRPr="00E02273">
        <w:rPr>
          <w:rFonts w:cs="Arial"/>
          <w:color w:val="000000"/>
          <w:lang w:val="en-CA"/>
        </w:rPr>
        <w:t>a</w:t>
      </w:r>
      <w:r w:rsidR="002D51A4" w:rsidRPr="00E02273">
        <w:rPr>
          <w:rFonts w:cs="Arial"/>
          <w:color w:val="000000"/>
          <w:lang w:val="en-CA"/>
        </w:rPr>
        <w:t xml:space="preserve">n </w:t>
      </w:r>
      <w:r w:rsidRPr="00E02273">
        <w:rPr>
          <w:rFonts w:cs="Arial"/>
          <w:color w:val="000000"/>
          <w:lang w:val="en-CA"/>
        </w:rPr>
        <w:t>P</w:t>
      </w:r>
      <w:r w:rsidR="002D51A4" w:rsidRPr="00E02273">
        <w:rPr>
          <w:rFonts w:cs="Arial"/>
          <w:color w:val="000000"/>
          <w:lang w:val="en-CA"/>
        </w:rPr>
        <w:t>harmaceuti</w:t>
      </w:r>
      <w:r w:rsidRPr="00E02273">
        <w:rPr>
          <w:rFonts w:cs="Arial"/>
          <w:color w:val="000000"/>
          <w:lang w:val="en-CA"/>
        </w:rPr>
        <w:t>cal Alliance, which represent</w:t>
      </w:r>
      <w:r w:rsidR="00423B22" w:rsidRPr="00E02273">
        <w:rPr>
          <w:rFonts w:cs="Arial"/>
          <w:color w:val="000000"/>
          <w:lang w:val="en-CA"/>
        </w:rPr>
        <w:t>s</w:t>
      </w:r>
      <w:r w:rsidRPr="00E02273">
        <w:rPr>
          <w:rFonts w:cs="Arial"/>
          <w:color w:val="000000"/>
          <w:lang w:val="en-CA"/>
        </w:rPr>
        <w:t xml:space="preserve"> the </w:t>
      </w:r>
      <w:r w:rsidR="002D51A4" w:rsidRPr="00E02273">
        <w:rPr>
          <w:rFonts w:cs="Arial"/>
          <w:color w:val="000000"/>
          <w:lang w:val="en-CA"/>
        </w:rPr>
        <w:t xml:space="preserve">provinces. </w:t>
      </w:r>
      <w:r w:rsidR="00423B22" w:rsidRPr="00E02273">
        <w:rPr>
          <w:rFonts w:cs="Arial"/>
          <w:color w:val="000000"/>
          <w:lang w:val="en-CA"/>
        </w:rPr>
        <w:t xml:space="preserve">Each </w:t>
      </w:r>
      <w:r w:rsidR="002D51A4" w:rsidRPr="00E02273">
        <w:rPr>
          <w:rFonts w:cs="Arial"/>
          <w:color w:val="000000"/>
          <w:lang w:val="en-CA"/>
        </w:rPr>
        <w:t xml:space="preserve">province </w:t>
      </w:r>
      <w:r w:rsidR="00423B22" w:rsidRPr="00E02273">
        <w:rPr>
          <w:rFonts w:cs="Arial"/>
          <w:color w:val="000000"/>
          <w:lang w:val="en-CA"/>
        </w:rPr>
        <w:t xml:space="preserve">can pursue its own negotiations. Before reaching an agreement, the health care technology assessment agencies make recommendations regarding the price of </w:t>
      </w:r>
      <w:r w:rsidR="00DC20D2" w:rsidRPr="00E02273">
        <w:rPr>
          <w:rFonts w:cs="Arial"/>
          <w:color w:val="000000"/>
          <w:lang w:val="en-CA"/>
        </w:rPr>
        <w:t xml:space="preserve">a </w:t>
      </w:r>
      <w:r w:rsidR="00423B22" w:rsidRPr="00E02273">
        <w:rPr>
          <w:rFonts w:cs="Arial"/>
          <w:color w:val="000000"/>
          <w:lang w:val="en-CA"/>
        </w:rPr>
        <w:t>medicine on the basis</w:t>
      </w:r>
      <w:r w:rsidR="00612DFB" w:rsidRPr="00E02273">
        <w:rPr>
          <w:rFonts w:cs="Arial"/>
          <w:color w:val="000000"/>
          <w:lang w:val="en-CA"/>
        </w:rPr>
        <w:t xml:space="preserve"> of studies permitting an assessment of its </w:t>
      </w:r>
      <w:r w:rsidR="002D51A4" w:rsidRPr="00E02273">
        <w:rPr>
          <w:rFonts w:cs="Arial"/>
          <w:color w:val="000000"/>
          <w:lang w:val="en-CA"/>
        </w:rPr>
        <w:t>th</w:t>
      </w:r>
      <w:r w:rsidR="00612DFB" w:rsidRPr="00E02273">
        <w:rPr>
          <w:rFonts w:cs="Arial"/>
          <w:color w:val="000000"/>
          <w:lang w:val="en-CA"/>
        </w:rPr>
        <w:t>e</w:t>
      </w:r>
      <w:r w:rsidR="002D51A4" w:rsidRPr="00E02273">
        <w:rPr>
          <w:rFonts w:cs="Arial"/>
          <w:color w:val="000000"/>
          <w:lang w:val="en-CA"/>
        </w:rPr>
        <w:t>rapeuti</w:t>
      </w:r>
      <w:r w:rsidR="00612DFB" w:rsidRPr="00E02273">
        <w:rPr>
          <w:rFonts w:cs="Arial"/>
          <w:color w:val="000000"/>
          <w:lang w:val="en-CA"/>
        </w:rPr>
        <w:t>c value</w:t>
      </w:r>
      <w:r w:rsidR="002D51A4" w:rsidRPr="00E02273">
        <w:rPr>
          <w:rFonts w:cs="Arial"/>
          <w:color w:val="000000"/>
          <w:lang w:val="en-CA"/>
        </w:rPr>
        <w:t xml:space="preserve">, </w:t>
      </w:r>
      <w:r w:rsidR="00612DFB" w:rsidRPr="00E02273">
        <w:rPr>
          <w:rFonts w:cs="Arial"/>
          <w:color w:val="000000"/>
          <w:lang w:val="en-CA"/>
        </w:rPr>
        <w:t xml:space="preserve">the </w:t>
      </w:r>
      <w:r w:rsidR="00DC20D2" w:rsidRPr="00E02273">
        <w:rPr>
          <w:rFonts w:cs="Arial"/>
          <w:color w:val="000000"/>
          <w:lang w:val="en-CA"/>
        </w:rPr>
        <w:t xml:space="preserve">reasonableness of </w:t>
      </w:r>
      <w:r w:rsidR="00960D6B" w:rsidRPr="00E02273">
        <w:rPr>
          <w:rFonts w:cs="Arial"/>
          <w:color w:val="000000"/>
          <w:lang w:val="en-CA"/>
        </w:rPr>
        <w:t xml:space="preserve">its </w:t>
      </w:r>
      <w:r w:rsidR="00612DFB" w:rsidRPr="00E02273">
        <w:rPr>
          <w:rFonts w:cs="Arial"/>
          <w:color w:val="000000"/>
          <w:lang w:val="en-CA"/>
        </w:rPr>
        <w:t xml:space="preserve">price </w:t>
      </w:r>
      <w:r w:rsidR="00960D6B" w:rsidRPr="00E02273">
        <w:rPr>
          <w:rFonts w:cs="Arial"/>
          <w:color w:val="000000"/>
          <w:lang w:val="en-CA"/>
        </w:rPr>
        <w:t>in relation to its</w:t>
      </w:r>
      <w:r w:rsidR="00DC20D2" w:rsidRPr="00E02273">
        <w:rPr>
          <w:rFonts w:cs="Arial"/>
          <w:color w:val="000000"/>
          <w:lang w:val="en-CA"/>
        </w:rPr>
        <w:t xml:space="preserve"> cost</w:t>
      </w:r>
      <w:r w:rsidR="008111B5">
        <w:rPr>
          <w:rFonts w:cs="Arial"/>
          <w:color w:val="000000"/>
          <w:lang w:val="en-CA"/>
        </w:rPr>
        <w:t>-</w:t>
      </w:r>
      <w:r w:rsidR="00612DFB" w:rsidRPr="00E02273">
        <w:rPr>
          <w:rFonts w:cs="Arial"/>
          <w:color w:val="000000"/>
          <w:lang w:val="en-CA"/>
        </w:rPr>
        <w:t>effectiveness</w:t>
      </w:r>
      <w:r w:rsidR="00DC20D2" w:rsidRPr="00E02273">
        <w:rPr>
          <w:rFonts w:cs="Arial"/>
          <w:color w:val="000000"/>
          <w:lang w:val="en-CA"/>
        </w:rPr>
        <w:t>,</w:t>
      </w:r>
      <w:r w:rsidR="00612DFB" w:rsidRPr="00E02273">
        <w:rPr>
          <w:rFonts w:cs="Arial"/>
          <w:color w:val="000000"/>
          <w:lang w:val="en-CA"/>
        </w:rPr>
        <w:t xml:space="preserve"> </w:t>
      </w:r>
      <w:r w:rsidR="00DC20D2" w:rsidRPr="00E02273">
        <w:rPr>
          <w:rFonts w:cs="Arial"/>
          <w:color w:val="000000"/>
          <w:lang w:val="en-CA"/>
        </w:rPr>
        <w:t>and</w:t>
      </w:r>
      <w:r w:rsidR="00612DFB" w:rsidRPr="00E02273">
        <w:rPr>
          <w:rFonts w:cs="Arial"/>
          <w:color w:val="000000"/>
          <w:lang w:val="en-CA"/>
        </w:rPr>
        <w:t xml:space="preserve"> the budgetary impact on the </w:t>
      </w:r>
      <w:r w:rsidR="002D51A4" w:rsidRPr="00E02273">
        <w:rPr>
          <w:rFonts w:cs="Arial"/>
          <w:color w:val="000000"/>
          <w:lang w:val="en-CA"/>
        </w:rPr>
        <w:t xml:space="preserve">province. </w:t>
      </w:r>
      <w:r w:rsidR="00612DFB" w:rsidRPr="00E02273">
        <w:rPr>
          <w:rFonts w:cs="Arial"/>
          <w:color w:val="000000"/>
          <w:lang w:val="en-CA"/>
        </w:rPr>
        <w:t xml:space="preserve">As noted above, in Quebec, the </w:t>
      </w:r>
      <w:r w:rsidR="002D51A4" w:rsidRPr="00E02273">
        <w:rPr>
          <w:rFonts w:cs="Arial"/>
          <w:color w:val="000000"/>
          <w:lang w:val="en-CA"/>
        </w:rPr>
        <w:t xml:space="preserve">INESSS </w:t>
      </w:r>
      <w:r w:rsidR="00612DFB" w:rsidRPr="00E02273">
        <w:rPr>
          <w:rFonts w:cs="Arial"/>
          <w:color w:val="000000"/>
          <w:lang w:val="en-CA"/>
        </w:rPr>
        <w:t xml:space="preserve">is mandated to make such </w:t>
      </w:r>
      <w:r w:rsidR="002D51A4" w:rsidRPr="00E02273">
        <w:rPr>
          <w:rFonts w:cs="Arial"/>
          <w:color w:val="000000"/>
          <w:lang w:val="en-CA"/>
        </w:rPr>
        <w:t>recomm</w:t>
      </w:r>
      <w:r w:rsidR="00612DFB" w:rsidRPr="00E02273">
        <w:rPr>
          <w:rFonts w:cs="Arial"/>
          <w:color w:val="000000"/>
          <w:lang w:val="en-CA"/>
        </w:rPr>
        <w:t>e</w:t>
      </w:r>
      <w:r w:rsidR="002D51A4" w:rsidRPr="00E02273">
        <w:rPr>
          <w:rFonts w:cs="Arial"/>
          <w:color w:val="000000"/>
          <w:lang w:val="en-CA"/>
        </w:rPr>
        <w:t xml:space="preserve">ndations.  </w:t>
      </w:r>
    </w:p>
    <w:p w14:paraId="52035DD0" w14:textId="1CC7672E" w:rsidR="00B568AD" w:rsidRPr="00E02273" w:rsidRDefault="0048070A" w:rsidP="00FC349A">
      <w:pPr>
        <w:pStyle w:val="Paragraphe"/>
        <w:tabs>
          <w:tab w:val="num" w:pos="709"/>
        </w:tabs>
        <w:spacing w:line="240" w:lineRule="auto"/>
        <w:ind w:left="0"/>
        <w:rPr>
          <w:lang w:val="en-CA"/>
        </w:rPr>
      </w:pPr>
      <w:r w:rsidRPr="00E02273">
        <w:rPr>
          <w:lang w:val="en-CA"/>
        </w:rPr>
        <w:t xml:space="preserve">To use the example of </w:t>
      </w:r>
      <w:r w:rsidR="002D51A4" w:rsidRPr="00E02273">
        <w:rPr>
          <w:lang w:val="en-CA"/>
        </w:rPr>
        <w:t>Qu</w:t>
      </w:r>
      <w:r w:rsidRPr="00E02273">
        <w:rPr>
          <w:lang w:val="en-CA"/>
        </w:rPr>
        <w:t>e</w:t>
      </w:r>
      <w:r w:rsidR="002D51A4" w:rsidRPr="00E02273">
        <w:rPr>
          <w:lang w:val="en-CA"/>
        </w:rPr>
        <w:t xml:space="preserve">bec, </w:t>
      </w:r>
      <w:r w:rsidR="005F2D7D" w:rsidRPr="00E02273">
        <w:rPr>
          <w:lang w:val="en-CA"/>
        </w:rPr>
        <w:t xml:space="preserve">the </w:t>
      </w:r>
      <w:r w:rsidR="002D51A4" w:rsidRPr="00E02273">
        <w:rPr>
          <w:lang w:val="en-CA"/>
        </w:rPr>
        <w:t xml:space="preserve">INESSS </w:t>
      </w:r>
      <w:r w:rsidR="005F2D7D" w:rsidRPr="00E02273">
        <w:rPr>
          <w:lang w:val="en-CA"/>
        </w:rPr>
        <w:t xml:space="preserve">first assesses the therapeutic value of the medicine. If it </w:t>
      </w:r>
      <w:r w:rsidR="00DC20D2" w:rsidRPr="00E02273">
        <w:rPr>
          <w:lang w:val="en-CA"/>
        </w:rPr>
        <w:t>considers that</w:t>
      </w:r>
      <w:r w:rsidR="005F2D7D" w:rsidRPr="00E02273">
        <w:rPr>
          <w:lang w:val="en-CA"/>
        </w:rPr>
        <w:t xml:space="preserve"> its value has been demonstrated, it then assesses the </w:t>
      </w:r>
      <w:r w:rsidR="00A410C7" w:rsidRPr="00E02273">
        <w:rPr>
          <w:lang w:val="en-CA"/>
        </w:rPr>
        <w:t>reasonableness of the price, the cost-effectiveness ratio of the medication, the impact that entering the medication of the list of insured medications will have on the other components of the health system, and the advisability of entering the medication on the list.</w:t>
      </w:r>
      <w:r w:rsidR="002D51A4" w:rsidRPr="00E02273">
        <w:rPr>
          <w:rStyle w:val="Appelnotedebasdep"/>
          <w:lang w:val="en-CA"/>
        </w:rPr>
        <w:footnoteReference w:id="94"/>
      </w:r>
      <w:r w:rsidR="002D51A4" w:rsidRPr="00E02273">
        <w:rPr>
          <w:lang w:val="en-CA"/>
        </w:rPr>
        <w:t xml:space="preserve"> </w:t>
      </w:r>
      <w:r w:rsidR="00A410C7" w:rsidRPr="00E02273">
        <w:rPr>
          <w:lang w:val="en-CA"/>
        </w:rPr>
        <w:t xml:space="preserve">The provincial health </w:t>
      </w:r>
      <w:r w:rsidR="002D51A4" w:rsidRPr="00E02273">
        <w:rPr>
          <w:lang w:val="en-CA"/>
        </w:rPr>
        <w:t>minister</w:t>
      </w:r>
      <w:r w:rsidR="006D0905" w:rsidRPr="00E02273">
        <w:rPr>
          <w:lang w:val="en-CA"/>
        </w:rPr>
        <w:t xml:space="preserve"> decides whether to enter the medication on the list, taking into account the </w:t>
      </w:r>
      <w:r w:rsidR="002D51A4" w:rsidRPr="00E02273">
        <w:rPr>
          <w:lang w:val="en-CA"/>
        </w:rPr>
        <w:t>recomm</w:t>
      </w:r>
      <w:r w:rsidR="006D0905" w:rsidRPr="00E02273">
        <w:rPr>
          <w:lang w:val="en-CA"/>
        </w:rPr>
        <w:t>e</w:t>
      </w:r>
      <w:r w:rsidR="002D51A4" w:rsidRPr="00E02273">
        <w:rPr>
          <w:lang w:val="en-CA"/>
        </w:rPr>
        <w:t xml:space="preserve">ndation </w:t>
      </w:r>
      <w:r w:rsidR="006D0905" w:rsidRPr="00E02273">
        <w:rPr>
          <w:lang w:val="en-CA"/>
        </w:rPr>
        <w:t xml:space="preserve">of the </w:t>
      </w:r>
      <w:r w:rsidR="002D51A4" w:rsidRPr="00E02273">
        <w:rPr>
          <w:lang w:val="en-CA"/>
        </w:rPr>
        <w:t xml:space="preserve">INESSS. </w:t>
      </w:r>
    </w:p>
    <w:p w14:paraId="6632DF69" w14:textId="56D71F0B" w:rsidR="00B568AD" w:rsidRPr="00E02273" w:rsidRDefault="00377EB2" w:rsidP="00FC349A">
      <w:pPr>
        <w:pStyle w:val="Paragraphe"/>
        <w:tabs>
          <w:tab w:val="num" w:pos="709"/>
        </w:tabs>
        <w:spacing w:line="240" w:lineRule="auto"/>
        <w:ind w:left="0"/>
        <w:rPr>
          <w:lang w:val="en-CA"/>
        </w:rPr>
      </w:pPr>
      <w:r w:rsidRPr="00E02273">
        <w:rPr>
          <w:lang w:val="en-CA"/>
        </w:rPr>
        <w:t xml:space="preserve">For its medication to be </w:t>
      </w:r>
      <w:r w:rsidR="00367AEE">
        <w:rPr>
          <w:lang w:val="en-CA"/>
        </w:rPr>
        <w:t>accredit</w:t>
      </w:r>
      <w:r w:rsidR="00367AEE" w:rsidRPr="00E02273">
        <w:rPr>
          <w:lang w:val="en-CA"/>
        </w:rPr>
        <w:t>ed</w:t>
      </w:r>
      <w:r w:rsidRPr="00E02273">
        <w:rPr>
          <w:lang w:val="en-CA"/>
        </w:rPr>
        <w:t xml:space="preserve">, the manufacturer must also comply with the requirements of the </w:t>
      </w:r>
      <w:r w:rsidRPr="00E02273">
        <w:rPr>
          <w:i/>
          <w:lang w:val="en-CA"/>
        </w:rPr>
        <w:t>Regulation respecting the conditions governing the accreditation of manufacturers and wholesalers of medications</w:t>
      </w:r>
      <w:r w:rsidRPr="00E02273">
        <w:rPr>
          <w:lang w:val="en-CA"/>
        </w:rPr>
        <w:t>.</w:t>
      </w:r>
      <w:r w:rsidR="002D51A4" w:rsidRPr="00E02273">
        <w:rPr>
          <w:rStyle w:val="Appelnotedebasdep"/>
          <w:lang w:val="en-CA"/>
        </w:rPr>
        <w:footnoteReference w:id="95"/>
      </w:r>
      <w:r w:rsidR="002D51A4" w:rsidRPr="00E02273">
        <w:rPr>
          <w:lang w:val="en-CA"/>
        </w:rPr>
        <w:t xml:space="preserve"> </w:t>
      </w:r>
      <w:r w:rsidRPr="00E02273">
        <w:rPr>
          <w:lang w:val="en-CA"/>
        </w:rPr>
        <w:t xml:space="preserve">The </w:t>
      </w:r>
      <w:r w:rsidRPr="00E02273">
        <w:rPr>
          <w:i/>
          <w:lang w:val="en-CA"/>
        </w:rPr>
        <w:t xml:space="preserve">Regulation </w:t>
      </w:r>
      <w:r w:rsidRPr="00E02273">
        <w:rPr>
          <w:lang w:val="en-CA"/>
        </w:rPr>
        <w:t xml:space="preserve">provides that the </w:t>
      </w:r>
      <w:r w:rsidRPr="00E02273">
        <w:rPr>
          <w:lang w:val="en-CA"/>
        </w:rPr>
        <w:lastRenderedPageBreak/>
        <w:t xml:space="preserve">manufacturer must </w:t>
      </w:r>
      <w:r w:rsidR="002D51A4" w:rsidRPr="00E02273">
        <w:rPr>
          <w:lang w:val="en-CA"/>
        </w:rPr>
        <w:t>undertak</w:t>
      </w:r>
      <w:r w:rsidR="007F0E4F" w:rsidRPr="00E02273">
        <w:rPr>
          <w:lang w:val="en-CA"/>
        </w:rPr>
        <w:t>e to</w:t>
      </w:r>
      <w:r w:rsidR="002D51A4" w:rsidRPr="00E02273">
        <w:rPr>
          <w:lang w:val="en-CA"/>
        </w:rPr>
        <w:t xml:space="preserve"> respect</w:t>
      </w:r>
      <w:r w:rsidR="007F0E4F" w:rsidRPr="00E02273">
        <w:rPr>
          <w:lang w:val="en-CA"/>
        </w:rPr>
        <w:t xml:space="preserve"> the guaranteed selling price, which must not be higher than any selling price granted by the manufacturer for the same drug under other provincial drug insurance programs</w:t>
      </w:r>
      <w:r w:rsidR="002D51A4" w:rsidRPr="00E02273">
        <w:rPr>
          <w:lang w:val="en-CA"/>
        </w:rPr>
        <w:t xml:space="preserve">. </w:t>
      </w:r>
    </w:p>
    <w:p w14:paraId="48B199BC" w14:textId="5722E318" w:rsidR="00B568AD" w:rsidRPr="00E02273" w:rsidRDefault="009A3347" w:rsidP="00FC349A">
      <w:pPr>
        <w:pStyle w:val="Paragraphe"/>
        <w:tabs>
          <w:tab w:val="num" w:pos="709"/>
        </w:tabs>
        <w:spacing w:line="240" w:lineRule="auto"/>
        <w:ind w:left="0"/>
        <w:rPr>
          <w:lang w:val="en-CA"/>
        </w:rPr>
      </w:pPr>
      <w:r w:rsidRPr="00E02273">
        <w:rPr>
          <w:lang w:val="en-CA"/>
        </w:rPr>
        <w:t xml:space="preserve">The </w:t>
      </w:r>
      <w:r w:rsidR="008111B5">
        <w:rPr>
          <w:lang w:val="en-CA"/>
        </w:rPr>
        <w:t xml:space="preserve">Quebec </w:t>
      </w:r>
      <w:r w:rsidRPr="00E02273">
        <w:rPr>
          <w:lang w:val="en-CA"/>
        </w:rPr>
        <w:t xml:space="preserve">Minister of Health may also, </w:t>
      </w:r>
      <w:r w:rsidR="005C617E" w:rsidRPr="00E02273">
        <w:rPr>
          <w:lang w:val="en-CA"/>
        </w:rPr>
        <w:t>before entering a medication on the list, make a listing agreement with its manufacturer. The purpose of such an agreement may be to provide for the payment of a rebate according to the volume of sales</w:t>
      </w:r>
      <w:r w:rsidR="002D51A4" w:rsidRPr="00E02273">
        <w:rPr>
          <w:lang w:val="en-CA"/>
        </w:rPr>
        <w:t>.</w:t>
      </w:r>
      <w:r w:rsidR="005C617E" w:rsidRPr="00E02273">
        <w:rPr>
          <w:lang w:val="en-CA"/>
        </w:rPr>
        <w:t xml:space="preserve"> That being said, the price of the medication indicated on the list does not take into account the</w:t>
      </w:r>
      <w:r w:rsidR="00ED50A9" w:rsidRPr="00E02273">
        <w:rPr>
          <w:lang w:val="en-CA"/>
        </w:rPr>
        <w:t xml:space="preserve"> rebates paid pursuant to the agreement, which is confidential.</w:t>
      </w:r>
      <w:r w:rsidR="002D51A4" w:rsidRPr="00E02273">
        <w:rPr>
          <w:rStyle w:val="Appelnotedebasdep"/>
          <w:lang w:val="en-CA"/>
        </w:rPr>
        <w:footnoteReference w:id="96"/>
      </w:r>
    </w:p>
    <w:p w14:paraId="60638BEC" w14:textId="5CB4EF0A" w:rsidR="00B568AD" w:rsidRPr="00E02273" w:rsidRDefault="002C52C5" w:rsidP="00FC349A">
      <w:pPr>
        <w:pStyle w:val="Paragraphe"/>
        <w:tabs>
          <w:tab w:val="num" w:pos="709"/>
        </w:tabs>
        <w:spacing w:line="240" w:lineRule="auto"/>
        <w:ind w:left="0"/>
        <w:rPr>
          <w:lang w:val="en-CA"/>
        </w:rPr>
      </w:pPr>
      <w:r w:rsidRPr="00E02273">
        <w:rPr>
          <w:lang w:val="en-CA"/>
        </w:rPr>
        <w:t xml:space="preserve">Further to her analysis of the evidence, the </w:t>
      </w:r>
      <w:r w:rsidR="002D51A4" w:rsidRPr="00E02273">
        <w:rPr>
          <w:lang w:val="en-CA"/>
        </w:rPr>
        <w:t>trial</w:t>
      </w:r>
      <w:r w:rsidRPr="00E02273">
        <w:rPr>
          <w:lang w:val="en-CA"/>
        </w:rPr>
        <w:t xml:space="preserve"> </w:t>
      </w:r>
      <w:r w:rsidR="002D51A4" w:rsidRPr="00E02273">
        <w:rPr>
          <w:lang w:val="en-CA"/>
        </w:rPr>
        <w:t>judge</w:t>
      </w:r>
      <w:r w:rsidRPr="00E02273">
        <w:rPr>
          <w:lang w:val="en-CA"/>
        </w:rPr>
        <w:t xml:space="preserve"> found that these </w:t>
      </w:r>
      <w:r w:rsidR="000F2EC4" w:rsidRPr="00E02273">
        <w:rPr>
          <w:lang w:val="en-CA"/>
        </w:rPr>
        <w:t>mechanisms are effective means of ensuring that that the prices of medic</w:t>
      </w:r>
      <w:r w:rsidR="00367AEE">
        <w:rPr>
          <w:lang w:val="en-CA"/>
        </w:rPr>
        <w:t>ines</w:t>
      </w:r>
      <w:r w:rsidR="000F2EC4" w:rsidRPr="00E02273">
        <w:rPr>
          <w:lang w:val="en-CA"/>
        </w:rPr>
        <w:t xml:space="preserve"> covered by the public plans are </w:t>
      </w:r>
      <w:r w:rsidR="002D51A4" w:rsidRPr="00E02273">
        <w:rPr>
          <w:lang w:val="en-CA"/>
        </w:rPr>
        <w:t>reasonable</w:t>
      </w:r>
      <w:r w:rsidR="000F2EC4" w:rsidRPr="00E02273">
        <w:rPr>
          <w:lang w:val="en-CA"/>
        </w:rPr>
        <w:t>.</w:t>
      </w:r>
      <w:r w:rsidR="002D51A4" w:rsidRPr="00E02273">
        <w:rPr>
          <w:rStyle w:val="Appelnotedebasdep"/>
          <w:lang w:val="en-CA"/>
        </w:rPr>
        <w:footnoteReference w:id="97"/>
      </w:r>
    </w:p>
    <w:p w14:paraId="65FBD9A3" w14:textId="26C0B710" w:rsidR="00B568AD" w:rsidRPr="00E02273" w:rsidRDefault="002D51A4" w:rsidP="00B568AD">
      <w:pPr>
        <w:pStyle w:val="Paragraphe"/>
        <w:numPr>
          <w:ilvl w:val="0"/>
          <w:numId w:val="0"/>
        </w:numPr>
        <w:spacing w:line="240" w:lineRule="auto"/>
        <w:rPr>
          <w:b/>
          <w:u w:val="single"/>
          <w:lang w:val="en-CA"/>
        </w:rPr>
      </w:pPr>
      <w:r w:rsidRPr="00E02273">
        <w:rPr>
          <w:b/>
          <w:u w:val="single"/>
          <w:lang w:val="en-CA"/>
        </w:rPr>
        <w:t xml:space="preserve">II </w:t>
      </w:r>
      <w:r w:rsidR="007815FC">
        <w:rPr>
          <w:b/>
          <w:u w:val="single"/>
          <w:lang w:val="en-CA"/>
        </w:rPr>
        <w:t>-</w:t>
      </w:r>
      <w:r w:rsidRPr="00E02273">
        <w:rPr>
          <w:b/>
          <w:u w:val="single"/>
          <w:lang w:val="en-CA"/>
        </w:rPr>
        <w:t xml:space="preserve"> </w:t>
      </w:r>
      <w:r w:rsidRPr="00AF7432">
        <w:rPr>
          <w:b/>
          <w:u w:val="single"/>
          <w:lang w:val="en-CA"/>
        </w:rPr>
        <w:t>JUDICIA</w:t>
      </w:r>
      <w:r w:rsidR="007546E4" w:rsidRPr="00AF7432">
        <w:rPr>
          <w:b/>
          <w:u w:val="single"/>
          <w:lang w:val="en-CA"/>
        </w:rPr>
        <w:t>L PROCEEDINGS</w:t>
      </w:r>
    </w:p>
    <w:p w14:paraId="09D93A8E" w14:textId="6CBACD61" w:rsidR="00B568AD" w:rsidRPr="00E02273" w:rsidRDefault="00D8284D" w:rsidP="00B572B8">
      <w:pPr>
        <w:pStyle w:val="Paragraphe"/>
        <w:tabs>
          <w:tab w:val="num" w:pos="709"/>
        </w:tabs>
        <w:spacing w:line="240" w:lineRule="auto"/>
        <w:ind w:left="0"/>
        <w:rPr>
          <w:lang w:val="en-CA"/>
        </w:rPr>
      </w:pPr>
      <w:r w:rsidRPr="00E02273">
        <w:rPr>
          <w:lang w:val="en-CA"/>
        </w:rPr>
        <w:t xml:space="preserve">In response to the </w:t>
      </w:r>
      <w:r w:rsidR="00866E58" w:rsidRPr="00E02273">
        <w:rPr>
          <w:i/>
          <w:lang w:val="en-CA"/>
        </w:rPr>
        <w:t>2019 Regulatory Amendments</w:t>
      </w:r>
      <w:r w:rsidR="002D51A4" w:rsidRPr="00E02273">
        <w:rPr>
          <w:i/>
          <w:lang w:val="en-CA"/>
        </w:rPr>
        <w:t xml:space="preserve">, </w:t>
      </w:r>
      <w:r w:rsidRPr="00E02273">
        <w:rPr>
          <w:lang w:val="en-CA"/>
        </w:rPr>
        <w:t xml:space="preserve">on </w:t>
      </w:r>
      <w:r w:rsidR="002D51A4" w:rsidRPr="00E02273">
        <w:rPr>
          <w:lang w:val="en-CA"/>
        </w:rPr>
        <w:t>August</w:t>
      </w:r>
      <w:r w:rsidRPr="00E02273">
        <w:rPr>
          <w:lang w:val="en-CA"/>
        </w:rPr>
        <w:t xml:space="preserve"> 22,</w:t>
      </w:r>
      <w:r w:rsidR="002D51A4" w:rsidRPr="00E02273">
        <w:rPr>
          <w:lang w:val="en-CA"/>
        </w:rPr>
        <w:t xml:space="preserve"> 2019, </w:t>
      </w:r>
      <w:r w:rsidR="008F47EA" w:rsidRPr="00E02273">
        <w:rPr>
          <w:lang w:val="en-CA"/>
        </w:rPr>
        <w:t xml:space="preserve">the appellant </w:t>
      </w:r>
      <w:r w:rsidR="002D51A4" w:rsidRPr="00E02273">
        <w:rPr>
          <w:lang w:val="en-CA"/>
        </w:rPr>
        <w:t>pharmaceutical</w:t>
      </w:r>
      <w:r w:rsidR="008F47EA" w:rsidRPr="00E02273">
        <w:rPr>
          <w:lang w:val="en-CA"/>
        </w:rPr>
        <w:t xml:space="preserve"> </w:t>
      </w:r>
      <w:r w:rsidR="002D51A4" w:rsidRPr="00E02273">
        <w:rPr>
          <w:lang w:val="en-CA"/>
        </w:rPr>
        <w:t>companies</w:t>
      </w:r>
      <w:r w:rsidR="008F47EA" w:rsidRPr="00E02273">
        <w:rPr>
          <w:lang w:val="en-CA"/>
        </w:rPr>
        <w:t xml:space="preserve"> brought legal proceedings before the </w:t>
      </w:r>
      <w:r w:rsidR="002D51A4" w:rsidRPr="00E02273">
        <w:rPr>
          <w:lang w:val="en-CA"/>
        </w:rPr>
        <w:t>Quebec</w:t>
      </w:r>
      <w:r w:rsidR="008F47EA" w:rsidRPr="00E02273">
        <w:rPr>
          <w:lang w:val="en-CA"/>
        </w:rPr>
        <w:t xml:space="preserve"> </w:t>
      </w:r>
      <w:r w:rsidR="002D51A4" w:rsidRPr="00E02273">
        <w:rPr>
          <w:lang w:val="en-CA"/>
        </w:rPr>
        <w:t>Superior</w:t>
      </w:r>
      <w:r w:rsidR="008F47EA" w:rsidRPr="00E02273">
        <w:rPr>
          <w:lang w:val="en-CA"/>
        </w:rPr>
        <w:t xml:space="preserve"> </w:t>
      </w:r>
      <w:r w:rsidR="002D51A4" w:rsidRPr="00E02273">
        <w:rPr>
          <w:lang w:val="en-CA"/>
        </w:rPr>
        <w:t>Cour</w:t>
      </w:r>
      <w:r w:rsidR="008F47EA" w:rsidRPr="00E02273">
        <w:rPr>
          <w:lang w:val="en-CA"/>
        </w:rPr>
        <w:t>t seeking to have not only those amendments declared unconstitutional, but also s</w:t>
      </w:r>
      <w:r w:rsidR="002D51A4" w:rsidRPr="00E02273">
        <w:rPr>
          <w:lang w:val="en-CA"/>
        </w:rPr>
        <w:t xml:space="preserve">ections 73 </w:t>
      </w:r>
      <w:r w:rsidR="008F47EA" w:rsidRPr="00E02273">
        <w:rPr>
          <w:lang w:val="en-CA"/>
        </w:rPr>
        <w:t>to</w:t>
      </w:r>
      <w:r w:rsidR="002D51A4" w:rsidRPr="00E02273">
        <w:rPr>
          <w:lang w:val="en-CA"/>
        </w:rPr>
        <w:t xml:space="preserve"> 103 </w:t>
      </w:r>
      <w:r w:rsidR="008F47EA" w:rsidRPr="00E02273">
        <w:rPr>
          <w:lang w:val="en-CA"/>
        </w:rPr>
        <w:t xml:space="preserve">of the </w:t>
      </w:r>
      <w:r w:rsidR="008F47EA" w:rsidRPr="00E02273">
        <w:rPr>
          <w:i/>
          <w:lang w:val="en-CA"/>
        </w:rPr>
        <w:t xml:space="preserve">Patent Act </w:t>
      </w:r>
      <w:r w:rsidR="008F47EA" w:rsidRPr="00E02273">
        <w:rPr>
          <w:lang w:val="en-CA"/>
        </w:rPr>
        <w:t xml:space="preserve">concerning the </w:t>
      </w:r>
      <w:r w:rsidR="00367AEE">
        <w:rPr>
          <w:lang w:val="en-CA"/>
        </w:rPr>
        <w:t xml:space="preserve">special </w:t>
      </w:r>
      <w:r w:rsidR="00A27151" w:rsidRPr="00E02273">
        <w:rPr>
          <w:lang w:val="en-CA"/>
        </w:rPr>
        <w:t>regime</w:t>
      </w:r>
      <w:r w:rsidR="008F47EA" w:rsidRPr="00E02273">
        <w:rPr>
          <w:lang w:val="en-CA"/>
        </w:rPr>
        <w:t xml:space="preserve"> for patented medicines and the entire </w:t>
      </w:r>
      <w:r w:rsidR="008F47EA" w:rsidRPr="00E02273">
        <w:rPr>
          <w:i/>
          <w:lang w:val="en-CA"/>
        </w:rPr>
        <w:t>Patented Medicine Regulations</w:t>
      </w:r>
      <w:r w:rsidR="008F47EA" w:rsidRPr="00E02273">
        <w:rPr>
          <w:lang w:val="en-CA"/>
        </w:rPr>
        <w:t>.</w:t>
      </w:r>
      <w:r w:rsidR="002D51A4" w:rsidRPr="00E02273">
        <w:rPr>
          <w:rStyle w:val="Appelnotedebasdep"/>
          <w:lang w:val="en-CA"/>
        </w:rPr>
        <w:footnoteReference w:id="98"/>
      </w:r>
    </w:p>
    <w:p w14:paraId="6DA8021F" w14:textId="10E43DF9" w:rsidR="00B568AD" w:rsidRPr="00E02273" w:rsidRDefault="00A85B24" w:rsidP="00B572B8">
      <w:pPr>
        <w:pStyle w:val="Paragraphe"/>
        <w:tabs>
          <w:tab w:val="num" w:pos="709"/>
        </w:tabs>
        <w:spacing w:line="240" w:lineRule="auto"/>
        <w:ind w:left="0"/>
        <w:rPr>
          <w:lang w:val="en-CA"/>
        </w:rPr>
      </w:pPr>
      <w:r w:rsidRPr="00E02273">
        <w:rPr>
          <w:lang w:val="en-CA"/>
        </w:rPr>
        <w:t xml:space="preserve">They submit that </w:t>
      </w:r>
      <w:r w:rsidR="00386E06" w:rsidRPr="00E02273">
        <w:rPr>
          <w:lang w:val="en-CA"/>
        </w:rPr>
        <w:t xml:space="preserve">the </w:t>
      </w:r>
      <w:r w:rsidR="002D51A4" w:rsidRPr="00E02273">
        <w:rPr>
          <w:lang w:val="en-CA"/>
        </w:rPr>
        <w:t>federal</w:t>
      </w:r>
      <w:r w:rsidR="00386E06" w:rsidRPr="00E02273">
        <w:rPr>
          <w:lang w:val="en-CA"/>
        </w:rPr>
        <w:t xml:space="preserve"> </w:t>
      </w:r>
      <w:r w:rsidR="002D51A4" w:rsidRPr="00E02273">
        <w:rPr>
          <w:lang w:val="en-CA"/>
        </w:rPr>
        <w:t>jurisdiction</w:t>
      </w:r>
      <w:r w:rsidR="00386E06" w:rsidRPr="00E02273">
        <w:rPr>
          <w:lang w:val="en-CA"/>
        </w:rPr>
        <w:t xml:space="preserve"> over patents does not permit the federal </w:t>
      </w:r>
      <w:r w:rsidR="002D51A4" w:rsidRPr="00E02273">
        <w:rPr>
          <w:lang w:val="en-CA"/>
        </w:rPr>
        <w:t>government</w:t>
      </w:r>
      <w:r w:rsidR="00386E06" w:rsidRPr="00E02273">
        <w:rPr>
          <w:lang w:val="en-CA"/>
        </w:rPr>
        <w:t xml:space="preserve"> to fix a maximum price </w:t>
      </w:r>
      <w:r w:rsidR="00980250">
        <w:rPr>
          <w:lang w:val="en-CA"/>
        </w:rPr>
        <w:t>at which</w:t>
      </w:r>
      <w:r w:rsidR="00980250" w:rsidRPr="00E02273">
        <w:rPr>
          <w:lang w:val="en-CA"/>
        </w:rPr>
        <w:t xml:space="preserve"> </w:t>
      </w:r>
      <w:r w:rsidR="00386E06" w:rsidRPr="00E02273">
        <w:rPr>
          <w:lang w:val="en-CA"/>
        </w:rPr>
        <w:t xml:space="preserve">a good </w:t>
      </w:r>
      <w:r w:rsidR="00980250">
        <w:rPr>
          <w:lang w:val="en-CA"/>
        </w:rPr>
        <w:t xml:space="preserve">is sold </w:t>
      </w:r>
      <w:r w:rsidR="00386E06" w:rsidRPr="00E02273">
        <w:rPr>
          <w:lang w:val="en-CA"/>
        </w:rPr>
        <w:t xml:space="preserve">when one of its </w:t>
      </w:r>
      <w:r w:rsidR="00931E2D" w:rsidRPr="00E02273">
        <w:rPr>
          <w:lang w:val="en-CA"/>
        </w:rPr>
        <w:t xml:space="preserve">components is patented and it is sold in the context of a private </w:t>
      </w:r>
      <w:r w:rsidR="002D51A4" w:rsidRPr="00E02273">
        <w:rPr>
          <w:lang w:val="en-CA"/>
        </w:rPr>
        <w:t xml:space="preserve">transaction. </w:t>
      </w:r>
      <w:r w:rsidR="00931E2D" w:rsidRPr="00E02273">
        <w:rPr>
          <w:lang w:val="en-CA"/>
        </w:rPr>
        <w:t xml:space="preserve">They argue that the </w:t>
      </w:r>
      <w:r w:rsidR="002D51A4" w:rsidRPr="00E02273">
        <w:rPr>
          <w:lang w:val="en-CA"/>
        </w:rPr>
        <w:t>federal</w:t>
      </w:r>
      <w:r w:rsidR="00931E2D" w:rsidRPr="00E02273">
        <w:rPr>
          <w:lang w:val="en-CA"/>
        </w:rPr>
        <w:t xml:space="preserve"> </w:t>
      </w:r>
      <w:r w:rsidR="002D51A4" w:rsidRPr="00E02273">
        <w:rPr>
          <w:lang w:val="en-CA"/>
        </w:rPr>
        <w:t>jurisdiction</w:t>
      </w:r>
      <w:r w:rsidR="00931E2D" w:rsidRPr="00E02273">
        <w:rPr>
          <w:lang w:val="en-CA"/>
        </w:rPr>
        <w:t xml:space="preserve"> is limited to the conditions for obtaining a patent, to defining the </w:t>
      </w:r>
      <w:r w:rsidR="00980250">
        <w:rPr>
          <w:lang w:val="en-CA"/>
        </w:rPr>
        <w:t xml:space="preserve">resulting </w:t>
      </w:r>
      <w:r w:rsidR="002D51A4" w:rsidRPr="00E02273">
        <w:rPr>
          <w:lang w:val="en-CA"/>
        </w:rPr>
        <w:t>rights</w:t>
      </w:r>
      <w:r w:rsidR="00931E2D" w:rsidRPr="00E02273">
        <w:rPr>
          <w:lang w:val="en-CA"/>
        </w:rPr>
        <w:t xml:space="preserve">, within the limits arising from </w:t>
      </w:r>
      <w:r w:rsidR="002D51A4" w:rsidRPr="00E02273">
        <w:rPr>
          <w:lang w:val="en-CA"/>
        </w:rPr>
        <w:t>Canada</w:t>
      </w:r>
      <w:r w:rsidR="00931E2D" w:rsidRPr="00E02273">
        <w:rPr>
          <w:lang w:val="en-CA"/>
        </w:rPr>
        <w:t xml:space="preserve">’s international obligations, to the </w:t>
      </w:r>
      <w:r w:rsidR="002D51A4" w:rsidRPr="00E02273">
        <w:rPr>
          <w:lang w:val="en-CA"/>
        </w:rPr>
        <w:t>sanctions</w:t>
      </w:r>
      <w:r w:rsidR="00931E2D" w:rsidRPr="00E02273">
        <w:rPr>
          <w:lang w:val="en-CA"/>
        </w:rPr>
        <w:t xml:space="preserve"> in the case of </w:t>
      </w:r>
      <w:r w:rsidR="002D51A4" w:rsidRPr="00E02273">
        <w:rPr>
          <w:lang w:val="en-CA"/>
        </w:rPr>
        <w:t>abus</w:t>
      </w:r>
      <w:r w:rsidR="00174CED" w:rsidRPr="00E02273">
        <w:rPr>
          <w:lang w:val="en-CA"/>
        </w:rPr>
        <w:t>e</w:t>
      </w:r>
      <w:r w:rsidR="002D51A4" w:rsidRPr="00E02273">
        <w:rPr>
          <w:lang w:val="en-CA"/>
        </w:rPr>
        <w:t xml:space="preserve">, </w:t>
      </w:r>
      <w:r w:rsidR="00931E2D" w:rsidRPr="00E02273">
        <w:rPr>
          <w:lang w:val="en-CA"/>
        </w:rPr>
        <w:t>to the</w:t>
      </w:r>
      <w:r w:rsidR="002D51A4" w:rsidRPr="00E02273">
        <w:rPr>
          <w:lang w:val="en-CA"/>
        </w:rPr>
        <w:t xml:space="preserve"> </w:t>
      </w:r>
      <w:r w:rsidR="00697C96" w:rsidRPr="00E02273">
        <w:rPr>
          <w:lang w:val="en-CA"/>
        </w:rPr>
        <w:t xml:space="preserve">fees for maintaining the patent, and to the </w:t>
      </w:r>
      <w:r w:rsidR="00322FF1" w:rsidRPr="00E02273">
        <w:rPr>
          <w:lang w:val="en-CA"/>
        </w:rPr>
        <w:t>remedies for patent</w:t>
      </w:r>
      <w:r w:rsidR="00980250">
        <w:rPr>
          <w:lang w:val="en-CA"/>
        </w:rPr>
        <w:t xml:space="preserve"> infringement</w:t>
      </w:r>
      <w:r w:rsidR="00322FF1" w:rsidRPr="00E02273">
        <w:rPr>
          <w:lang w:val="en-CA"/>
        </w:rPr>
        <w:t xml:space="preserve">. Moreover, in the event of abuse, the </w:t>
      </w:r>
      <w:r w:rsidR="002D51A4" w:rsidRPr="00E02273">
        <w:rPr>
          <w:lang w:val="en-CA"/>
        </w:rPr>
        <w:t xml:space="preserve">intervention </w:t>
      </w:r>
      <w:r w:rsidR="00715CDA" w:rsidRPr="00E02273">
        <w:rPr>
          <w:lang w:val="en-CA"/>
        </w:rPr>
        <w:t xml:space="preserve">of the federal </w:t>
      </w:r>
      <w:r w:rsidR="002D51A4" w:rsidRPr="00E02273">
        <w:rPr>
          <w:lang w:val="en-CA"/>
        </w:rPr>
        <w:t>government</w:t>
      </w:r>
      <w:r w:rsidR="00715CDA" w:rsidRPr="00E02273">
        <w:rPr>
          <w:lang w:val="en-CA"/>
        </w:rPr>
        <w:t xml:space="preserve"> is limited to measures directly related to patents, such as the revocation of a patent or the granting of a compulsory licence, not the product itself</w:t>
      </w:r>
      <w:r w:rsidR="002D51A4" w:rsidRPr="00E02273">
        <w:rPr>
          <w:lang w:val="en-CA"/>
        </w:rPr>
        <w:t>.</w:t>
      </w:r>
    </w:p>
    <w:p w14:paraId="6166435D" w14:textId="2A116038" w:rsidR="00B568AD" w:rsidRPr="00E02273" w:rsidRDefault="00174CED" w:rsidP="00B572B8">
      <w:pPr>
        <w:pStyle w:val="Paragraphe"/>
        <w:tabs>
          <w:tab w:val="num" w:pos="709"/>
        </w:tabs>
        <w:spacing w:line="240" w:lineRule="auto"/>
        <w:ind w:left="0"/>
        <w:rPr>
          <w:lang w:val="en-CA"/>
        </w:rPr>
      </w:pPr>
      <w:r w:rsidRPr="00E02273">
        <w:rPr>
          <w:lang w:val="en-CA"/>
        </w:rPr>
        <w:t xml:space="preserve">They add that since the Board’s creation in </w:t>
      </w:r>
      <w:r w:rsidR="002D51A4" w:rsidRPr="00E02273">
        <w:rPr>
          <w:lang w:val="en-CA"/>
        </w:rPr>
        <w:t xml:space="preserve">1987, </w:t>
      </w:r>
      <w:r w:rsidRPr="00E02273">
        <w:rPr>
          <w:lang w:val="en-CA"/>
        </w:rPr>
        <w:t xml:space="preserve">it has been controlling the price of medicines under the pretext of preventing the sale of patented medicines at an excessive price. However, they claim that it has no </w:t>
      </w:r>
      <w:r w:rsidR="002D51A4" w:rsidRPr="00E02273">
        <w:rPr>
          <w:lang w:val="en-CA"/>
        </w:rPr>
        <w:t>constitutional</w:t>
      </w:r>
      <w:r w:rsidRPr="00E02273">
        <w:rPr>
          <w:lang w:val="en-CA"/>
        </w:rPr>
        <w:t xml:space="preserve"> </w:t>
      </w:r>
      <w:r w:rsidR="002D51A4" w:rsidRPr="00E02273">
        <w:rPr>
          <w:lang w:val="en-CA"/>
        </w:rPr>
        <w:t>jurisdiction</w:t>
      </w:r>
      <w:r w:rsidRPr="00E02273">
        <w:rPr>
          <w:lang w:val="en-CA"/>
        </w:rPr>
        <w:t xml:space="preserve"> to do so. Only abuse of patent falls </w:t>
      </w:r>
      <w:r w:rsidR="00CC27EA" w:rsidRPr="00E02273">
        <w:rPr>
          <w:lang w:val="en-CA"/>
        </w:rPr>
        <w:t>within</w:t>
      </w:r>
      <w:r w:rsidRPr="00E02273">
        <w:rPr>
          <w:lang w:val="en-CA"/>
        </w:rPr>
        <w:t xml:space="preserve"> </w:t>
      </w:r>
      <w:r w:rsidR="002D51A4" w:rsidRPr="00E02273">
        <w:rPr>
          <w:lang w:val="en-CA"/>
        </w:rPr>
        <w:t>federal</w:t>
      </w:r>
      <w:r w:rsidRPr="00E02273">
        <w:rPr>
          <w:lang w:val="en-CA"/>
        </w:rPr>
        <w:t xml:space="preserve"> </w:t>
      </w:r>
      <w:r w:rsidR="002D51A4" w:rsidRPr="00E02273">
        <w:rPr>
          <w:lang w:val="en-CA"/>
        </w:rPr>
        <w:t xml:space="preserve">jurisdiction. </w:t>
      </w:r>
      <w:r w:rsidR="00881B73" w:rsidRPr="00E02273">
        <w:rPr>
          <w:lang w:val="en-CA"/>
        </w:rPr>
        <w:t xml:space="preserve">Otherwise, it is the </w:t>
      </w:r>
      <w:r w:rsidR="002D51A4" w:rsidRPr="00E02273">
        <w:rPr>
          <w:lang w:val="en-CA"/>
        </w:rPr>
        <w:t>provinces</w:t>
      </w:r>
      <w:r w:rsidR="00881B73" w:rsidRPr="00E02273">
        <w:rPr>
          <w:lang w:val="en-CA"/>
        </w:rPr>
        <w:t xml:space="preserve"> that can regulate the price of medicines, patented or not, under their general </w:t>
      </w:r>
      <w:r w:rsidR="002D51A4" w:rsidRPr="00E02273">
        <w:rPr>
          <w:lang w:val="en-CA"/>
        </w:rPr>
        <w:t>jurisdiction</w:t>
      </w:r>
      <w:r w:rsidR="00881B73" w:rsidRPr="00E02273">
        <w:rPr>
          <w:lang w:val="en-CA"/>
        </w:rPr>
        <w:t xml:space="preserve"> over property and </w:t>
      </w:r>
      <w:r w:rsidR="002D51A4" w:rsidRPr="00E02273">
        <w:rPr>
          <w:lang w:val="en-CA"/>
        </w:rPr>
        <w:t>civil</w:t>
      </w:r>
      <w:r w:rsidR="00881B73" w:rsidRPr="00E02273">
        <w:rPr>
          <w:lang w:val="en-CA"/>
        </w:rPr>
        <w:t xml:space="preserve"> </w:t>
      </w:r>
      <w:r w:rsidR="002D51A4" w:rsidRPr="00E02273">
        <w:rPr>
          <w:lang w:val="en-CA"/>
        </w:rPr>
        <w:t>rights,</w:t>
      </w:r>
      <w:r w:rsidR="00767C28" w:rsidRPr="00E02273">
        <w:rPr>
          <w:lang w:val="en-CA"/>
        </w:rPr>
        <w:t xml:space="preserve"> hospitals, and health. In fact, the </w:t>
      </w:r>
      <w:r w:rsidR="002D51A4" w:rsidRPr="00E02273">
        <w:rPr>
          <w:lang w:val="en-CA"/>
        </w:rPr>
        <w:t xml:space="preserve">provinces </w:t>
      </w:r>
      <w:r w:rsidR="00767C28" w:rsidRPr="00E02273">
        <w:rPr>
          <w:lang w:val="en-CA"/>
        </w:rPr>
        <w:t xml:space="preserve">already tightly </w:t>
      </w:r>
      <w:r w:rsidR="00A524E4" w:rsidRPr="00E02273">
        <w:rPr>
          <w:lang w:val="en-CA"/>
        </w:rPr>
        <w:t>control</w:t>
      </w:r>
      <w:r w:rsidR="00767C28" w:rsidRPr="00E02273">
        <w:rPr>
          <w:lang w:val="en-CA"/>
        </w:rPr>
        <w:t xml:space="preserve"> </w:t>
      </w:r>
      <w:r w:rsidR="00767C28" w:rsidRPr="00E02273">
        <w:rPr>
          <w:lang w:val="en-CA"/>
        </w:rPr>
        <w:lastRenderedPageBreak/>
        <w:t>the price of patented medicines through various mechanisms, in particular though their purchasing policies</w:t>
      </w:r>
      <w:r w:rsidR="002D51A4" w:rsidRPr="00E02273">
        <w:rPr>
          <w:lang w:val="en-CA"/>
        </w:rPr>
        <w:t>.</w:t>
      </w:r>
    </w:p>
    <w:p w14:paraId="2B333A67" w14:textId="78572344" w:rsidR="00B568AD" w:rsidRPr="00E02273" w:rsidRDefault="00BF2769" w:rsidP="00B572B8">
      <w:pPr>
        <w:pStyle w:val="Paragraphe"/>
        <w:tabs>
          <w:tab w:val="num" w:pos="709"/>
        </w:tabs>
        <w:spacing w:line="240" w:lineRule="auto"/>
        <w:ind w:left="0"/>
        <w:rPr>
          <w:lang w:val="en-CA"/>
        </w:rPr>
      </w:pPr>
      <w:r w:rsidRPr="00E02273">
        <w:rPr>
          <w:lang w:val="en-CA"/>
        </w:rPr>
        <w:t xml:space="preserve">The appellant </w:t>
      </w:r>
      <w:r w:rsidR="002D51A4" w:rsidRPr="00E02273">
        <w:rPr>
          <w:lang w:val="en-CA"/>
        </w:rPr>
        <w:t>pharmaceutical</w:t>
      </w:r>
      <w:r w:rsidRPr="00E02273">
        <w:rPr>
          <w:lang w:val="en-CA"/>
        </w:rPr>
        <w:t xml:space="preserve"> </w:t>
      </w:r>
      <w:r w:rsidR="002D51A4" w:rsidRPr="00E02273">
        <w:rPr>
          <w:lang w:val="en-CA"/>
        </w:rPr>
        <w:t xml:space="preserve">companies </w:t>
      </w:r>
      <w:r w:rsidRPr="00E02273">
        <w:rPr>
          <w:lang w:val="en-CA"/>
        </w:rPr>
        <w:t xml:space="preserve">submit that the Board is simply regulating the price of patented medicines, irrespective of any </w:t>
      </w:r>
      <w:r w:rsidR="002D51A4" w:rsidRPr="00E02273">
        <w:rPr>
          <w:lang w:val="en-CA"/>
        </w:rPr>
        <w:t xml:space="preserve">notion </w:t>
      </w:r>
      <w:r w:rsidRPr="00E02273">
        <w:rPr>
          <w:lang w:val="en-CA"/>
        </w:rPr>
        <w:t xml:space="preserve">of </w:t>
      </w:r>
      <w:r w:rsidR="002D51A4" w:rsidRPr="00E02273">
        <w:rPr>
          <w:lang w:val="en-CA"/>
        </w:rPr>
        <w:t>abus</w:t>
      </w:r>
      <w:r w:rsidRPr="00E02273">
        <w:rPr>
          <w:lang w:val="en-CA"/>
        </w:rPr>
        <w:t xml:space="preserve">e of patent or even excessive prices. They state the following in their </w:t>
      </w:r>
      <w:r w:rsidR="00980250">
        <w:rPr>
          <w:lang w:val="en-CA"/>
        </w:rPr>
        <w:t xml:space="preserve">originating </w:t>
      </w:r>
      <w:r w:rsidRPr="00E02273">
        <w:rPr>
          <w:lang w:val="en-CA"/>
        </w:rPr>
        <w:t>application:</w:t>
      </w:r>
      <w:r w:rsidR="002D51A4" w:rsidRPr="00E02273">
        <w:rPr>
          <w:rStyle w:val="Appelnotedebasdep"/>
          <w:lang w:val="en-CA"/>
        </w:rPr>
        <w:footnoteReference w:id="99"/>
      </w:r>
    </w:p>
    <w:p w14:paraId="5B0D7ED0" w14:textId="71763E24" w:rsidR="0083761D" w:rsidRPr="00E02273" w:rsidRDefault="0083761D" w:rsidP="0083761D">
      <w:pPr>
        <w:pStyle w:val="Citationenretrait"/>
        <w:spacing w:line="240" w:lineRule="auto"/>
        <w:rPr>
          <w:lang w:val="en-CA"/>
        </w:rPr>
      </w:pPr>
      <w:r w:rsidRPr="00E02273">
        <w:rPr>
          <w:lang w:val="en-CA"/>
        </w:rPr>
        <w:t>[</w:t>
      </w:r>
      <w:r w:rsidRPr="00E02273">
        <w:rPr>
          <w:smallCaps/>
          <w:lang w:val="en-CA"/>
        </w:rPr>
        <w:t>translation</w:t>
      </w:r>
      <w:r w:rsidRPr="00E02273">
        <w:rPr>
          <w:lang w:val="en-CA"/>
        </w:rPr>
        <w:t>]</w:t>
      </w:r>
    </w:p>
    <w:p w14:paraId="67543F4F" w14:textId="0DA915D3" w:rsidR="00B568AD" w:rsidRPr="00E02273" w:rsidRDefault="0083761D" w:rsidP="00B568AD">
      <w:pPr>
        <w:pStyle w:val="Citationenretrait"/>
        <w:numPr>
          <w:ilvl w:val="0"/>
          <w:numId w:val="31"/>
        </w:numPr>
        <w:spacing w:line="240" w:lineRule="auto"/>
        <w:rPr>
          <w:i/>
          <w:lang w:val="en-CA"/>
        </w:rPr>
      </w:pPr>
      <w:r w:rsidRPr="00E02273">
        <w:rPr>
          <w:lang w:val="en-CA"/>
        </w:rPr>
        <w:t xml:space="preserve">In the </w:t>
      </w:r>
      <w:r w:rsidR="002D51A4" w:rsidRPr="00E02273">
        <w:rPr>
          <w:lang w:val="en-CA"/>
        </w:rPr>
        <w:t>decisions</w:t>
      </w:r>
      <w:r w:rsidRPr="00E02273">
        <w:rPr>
          <w:lang w:val="en-CA"/>
        </w:rPr>
        <w:t xml:space="preserve"> rendered by the Board, when a medicine is sold in </w:t>
      </w:r>
      <w:r w:rsidR="002D51A4" w:rsidRPr="00E02273">
        <w:rPr>
          <w:lang w:val="en-CA"/>
        </w:rPr>
        <w:t xml:space="preserve">Canada </w:t>
      </w:r>
      <w:r w:rsidRPr="00E02273">
        <w:rPr>
          <w:lang w:val="en-CA"/>
        </w:rPr>
        <w:t xml:space="preserve">at a price that is higher than other medicines of the same </w:t>
      </w:r>
      <w:r w:rsidR="002D51A4" w:rsidRPr="00E02273">
        <w:rPr>
          <w:lang w:val="en-CA"/>
        </w:rPr>
        <w:t>class</w:t>
      </w:r>
      <w:r w:rsidR="00DD390D" w:rsidRPr="00E02273">
        <w:rPr>
          <w:lang w:val="en-CA"/>
        </w:rPr>
        <w:t xml:space="preserve"> or when its price is higher than the median of the </w:t>
      </w:r>
      <w:r w:rsidR="002D51A4" w:rsidRPr="00E02273">
        <w:rPr>
          <w:lang w:val="en-CA"/>
        </w:rPr>
        <w:t>group</w:t>
      </w:r>
      <w:r w:rsidR="00DD390D" w:rsidRPr="00E02273">
        <w:rPr>
          <w:lang w:val="en-CA"/>
        </w:rPr>
        <w:t xml:space="preserve"> of reference countries</w:t>
      </w:r>
      <w:r w:rsidR="002D51A4" w:rsidRPr="00E02273">
        <w:rPr>
          <w:lang w:val="en-CA"/>
        </w:rPr>
        <w:t xml:space="preserve">, </w:t>
      </w:r>
      <w:r w:rsidR="00DD390D" w:rsidRPr="00E02273">
        <w:rPr>
          <w:lang w:val="en-CA"/>
        </w:rPr>
        <w:t>the Board finds that the price is “excessive” and fixes a maximum [</w:t>
      </w:r>
      <w:r w:rsidR="00DD390D" w:rsidRPr="00E02273">
        <w:rPr>
          <w:smallCaps/>
          <w:lang w:val="en-CA"/>
        </w:rPr>
        <w:t>translation</w:t>
      </w:r>
      <w:r w:rsidR="00DD390D" w:rsidRPr="00E02273">
        <w:rPr>
          <w:lang w:val="en-CA"/>
        </w:rPr>
        <w:t>] “non-excessive” price that the patentee may not exceed</w:t>
      </w:r>
      <w:r w:rsidR="002D51A4" w:rsidRPr="00E02273">
        <w:rPr>
          <w:lang w:val="en-CA"/>
        </w:rPr>
        <w:t>;</w:t>
      </w:r>
    </w:p>
    <w:p w14:paraId="260D94E4" w14:textId="67AD96FA" w:rsidR="00B568AD" w:rsidRPr="00E02273" w:rsidRDefault="00387F19" w:rsidP="00B568AD">
      <w:pPr>
        <w:pStyle w:val="Citationenretrait"/>
        <w:numPr>
          <w:ilvl w:val="0"/>
          <w:numId w:val="31"/>
        </w:numPr>
        <w:spacing w:line="240" w:lineRule="auto"/>
        <w:rPr>
          <w:i/>
          <w:lang w:val="en-CA"/>
        </w:rPr>
      </w:pPr>
      <w:r w:rsidRPr="00E02273">
        <w:rPr>
          <w:lang w:val="en-CA"/>
        </w:rPr>
        <w:t>In all de</w:t>
      </w:r>
      <w:r w:rsidR="002D51A4" w:rsidRPr="00E02273">
        <w:rPr>
          <w:lang w:val="en-CA"/>
        </w:rPr>
        <w:t>cisions rend</w:t>
      </w:r>
      <w:r w:rsidRPr="00E02273">
        <w:rPr>
          <w:lang w:val="en-CA"/>
        </w:rPr>
        <w:t xml:space="preserve">ered by the Board, the only </w:t>
      </w:r>
      <w:r w:rsidR="002D51A4" w:rsidRPr="00E02273">
        <w:rPr>
          <w:lang w:val="en-CA"/>
        </w:rPr>
        <w:t>consid</w:t>
      </w:r>
      <w:r w:rsidRPr="00E02273">
        <w:rPr>
          <w:lang w:val="en-CA"/>
        </w:rPr>
        <w:t>e</w:t>
      </w:r>
      <w:r w:rsidR="002D51A4" w:rsidRPr="00E02273">
        <w:rPr>
          <w:lang w:val="en-CA"/>
        </w:rPr>
        <w:t>ration analy</w:t>
      </w:r>
      <w:r w:rsidRPr="00E02273">
        <w:rPr>
          <w:lang w:val="en-CA"/>
        </w:rPr>
        <w:t xml:space="preserve">zed is the price of the medicine in relation to </w:t>
      </w:r>
      <w:r w:rsidR="002D51A4" w:rsidRPr="00E02273">
        <w:rPr>
          <w:lang w:val="en-CA"/>
        </w:rPr>
        <w:t xml:space="preserve">thresholds </w:t>
      </w:r>
      <w:r w:rsidRPr="00E02273">
        <w:rPr>
          <w:lang w:val="en-CA"/>
        </w:rPr>
        <w:t xml:space="preserve">set out in the </w:t>
      </w:r>
      <w:r w:rsidR="002D51A4" w:rsidRPr="00E02273">
        <w:rPr>
          <w:lang w:val="en-CA"/>
        </w:rPr>
        <w:t>guidelines</w:t>
      </w:r>
      <w:r w:rsidRPr="00E02273">
        <w:rPr>
          <w:lang w:val="en-CA"/>
        </w:rPr>
        <w:t xml:space="preserve"> and nothing else. The Board conducts no analysis to verify whether the patentee abused its patent or i</w:t>
      </w:r>
      <w:r w:rsidR="00AF6003">
        <w:rPr>
          <w:lang w:val="en-CA"/>
        </w:rPr>
        <w:t>f</w:t>
      </w:r>
      <w:r w:rsidRPr="00E02273">
        <w:rPr>
          <w:lang w:val="en-CA"/>
        </w:rPr>
        <w:t xml:space="preserve">, in the presence of other </w:t>
      </w:r>
      <w:r w:rsidR="002D51A4" w:rsidRPr="00E02273">
        <w:rPr>
          <w:lang w:val="en-CA"/>
        </w:rPr>
        <w:t xml:space="preserve">conditions, </w:t>
      </w:r>
      <w:r w:rsidRPr="00E02273">
        <w:rPr>
          <w:lang w:val="en-CA"/>
        </w:rPr>
        <w:t>the price is truly “excessive” to the point that</w:t>
      </w:r>
      <w:r w:rsidR="00F6051B">
        <w:rPr>
          <w:lang w:val="en-CA"/>
        </w:rPr>
        <w:t xml:space="preserve"> it</w:t>
      </w:r>
      <w:r w:rsidRPr="00E02273">
        <w:rPr>
          <w:lang w:val="en-CA"/>
        </w:rPr>
        <w:t xml:space="preserve"> is </w:t>
      </w:r>
      <w:r w:rsidR="00F6051B">
        <w:rPr>
          <w:lang w:val="en-CA"/>
        </w:rPr>
        <w:t xml:space="preserve">akin </w:t>
      </w:r>
      <w:r w:rsidRPr="00E02273">
        <w:rPr>
          <w:lang w:val="en-CA"/>
        </w:rPr>
        <w:t xml:space="preserve">equivalent to an </w:t>
      </w:r>
      <w:r w:rsidR="002D51A4" w:rsidRPr="00E02273">
        <w:rPr>
          <w:lang w:val="en-CA"/>
        </w:rPr>
        <w:t>abus</w:t>
      </w:r>
      <w:r w:rsidRPr="00E02273">
        <w:rPr>
          <w:lang w:val="en-CA"/>
        </w:rPr>
        <w:t>e of patent</w:t>
      </w:r>
      <w:r w:rsidR="002D51A4" w:rsidRPr="00E02273">
        <w:rPr>
          <w:lang w:val="en-CA"/>
        </w:rPr>
        <w:t>;</w:t>
      </w:r>
    </w:p>
    <w:p w14:paraId="7215A479" w14:textId="043331F1" w:rsidR="00B568AD" w:rsidRPr="00E02273" w:rsidRDefault="00AF6003" w:rsidP="00B568AD">
      <w:pPr>
        <w:pStyle w:val="Citationenretrait"/>
        <w:numPr>
          <w:ilvl w:val="0"/>
          <w:numId w:val="31"/>
        </w:numPr>
        <w:spacing w:line="240" w:lineRule="auto"/>
        <w:rPr>
          <w:i/>
          <w:lang w:val="en-CA"/>
        </w:rPr>
      </w:pPr>
      <w:r>
        <w:rPr>
          <w:lang w:val="en-CA"/>
        </w:rPr>
        <w:t xml:space="preserve">Once </w:t>
      </w:r>
      <w:r w:rsidR="00D178C7" w:rsidRPr="00E02273">
        <w:rPr>
          <w:lang w:val="en-CA"/>
        </w:rPr>
        <w:t>the patentee</w:t>
      </w:r>
      <w:r w:rsidR="00C6112C" w:rsidRPr="00E02273">
        <w:rPr>
          <w:lang w:val="en-CA"/>
        </w:rPr>
        <w:t xml:space="preserve"> increases its price in excess of the</w:t>
      </w:r>
      <w:r w:rsidR="00541894" w:rsidRPr="00E02273">
        <w:rPr>
          <w:lang w:val="en-CA"/>
        </w:rPr>
        <w:t xml:space="preserve"> annual increase in the Consumer Price Index in one year, the Board find</w:t>
      </w:r>
      <w:r>
        <w:rPr>
          <w:lang w:val="en-CA"/>
        </w:rPr>
        <w:t>s</w:t>
      </w:r>
      <w:r w:rsidR="00541894" w:rsidRPr="00E02273">
        <w:rPr>
          <w:lang w:val="en-CA"/>
        </w:rPr>
        <w:t xml:space="preserve"> that the price is  “excessive”, without verifying whether there is any economic </w:t>
      </w:r>
      <w:r w:rsidR="002D51A4" w:rsidRPr="00E02273">
        <w:rPr>
          <w:lang w:val="en-CA"/>
        </w:rPr>
        <w:t xml:space="preserve">justification </w:t>
      </w:r>
      <w:r w:rsidR="00541894" w:rsidRPr="00E02273">
        <w:rPr>
          <w:lang w:val="en-CA"/>
        </w:rPr>
        <w:t>for such increase</w:t>
      </w:r>
      <w:r w:rsidR="002D51A4" w:rsidRPr="00E02273">
        <w:rPr>
          <w:lang w:val="en-CA"/>
        </w:rPr>
        <w:t>;</w:t>
      </w:r>
    </w:p>
    <w:p w14:paraId="4353B842" w14:textId="34B99ED9" w:rsidR="00B568AD" w:rsidRPr="00E02273" w:rsidRDefault="00541894" w:rsidP="00B568AD">
      <w:pPr>
        <w:pStyle w:val="Citationenretrait"/>
        <w:numPr>
          <w:ilvl w:val="0"/>
          <w:numId w:val="31"/>
        </w:numPr>
        <w:spacing w:line="240" w:lineRule="auto"/>
        <w:rPr>
          <w:i/>
          <w:lang w:val="en-CA"/>
        </w:rPr>
      </w:pPr>
      <w:r w:rsidRPr="00E02273">
        <w:rPr>
          <w:lang w:val="en-CA"/>
        </w:rPr>
        <w:t xml:space="preserve">The </w:t>
      </w:r>
      <w:r w:rsidR="00E258CA" w:rsidRPr="00E02273">
        <w:rPr>
          <w:lang w:val="en-CA"/>
        </w:rPr>
        <w:t xml:space="preserve">Board does not even analyze the </w:t>
      </w:r>
      <w:r w:rsidR="002D51A4" w:rsidRPr="00E02273">
        <w:rPr>
          <w:lang w:val="en-CA"/>
        </w:rPr>
        <w:t>fact</w:t>
      </w:r>
      <w:r w:rsidR="00E258CA" w:rsidRPr="00E02273">
        <w:rPr>
          <w:lang w:val="en-CA"/>
        </w:rPr>
        <w:t>o</w:t>
      </w:r>
      <w:r w:rsidR="002D51A4" w:rsidRPr="00E02273">
        <w:rPr>
          <w:lang w:val="en-CA"/>
        </w:rPr>
        <w:t>rs relevant</w:t>
      </w:r>
      <w:r w:rsidR="00E258CA" w:rsidRPr="00E02273">
        <w:rPr>
          <w:lang w:val="en-CA"/>
        </w:rPr>
        <w:t xml:space="preserve"> to de</w:t>
      </w:r>
      <w:r w:rsidR="002D51A4" w:rsidRPr="00E02273">
        <w:rPr>
          <w:lang w:val="en-CA"/>
        </w:rPr>
        <w:t>termin</w:t>
      </w:r>
      <w:r w:rsidR="00F076DF" w:rsidRPr="00E02273">
        <w:rPr>
          <w:lang w:val="en-CA"/>
        </w:rPr>
        <w:t>ing the price of a product from an economic perspective, such as the costs of de</w:t>
      </w:r>
      <w:r w:rsidR="002D51A4" w:rsidRPr="00E02273">
        <w:rPr>
          <w:lang w:val="en-CA"/>
        </w:rPr>
        <w:t xml:space="preserve">velopment </w:t>
      </w:r>
      <w:r w:rsidR="00F076DF" w:rsidRPr="00E02273">
        <w:rPr>
          <w:lang w:val="en-CA"/>
        </w:rPr>
        <w:t>or the</w:t>
      </w:r>
      <w:r w:rsidR="0097625B" w:rsidRPr="00E02273">
        <w:rPr>
          <w:lang w:val="en-CA"/>
        </w:rPr>
        <w:t xml:space="preserve"> exchange rate that could explain an increase in price beyond the me</w:t>
      </w:r>
      <w:r w:rsidR="002D51A4" w:rsidRPr="00E02273">
        <w:rPr>
          <w:lang w:val="en-CA"/>
        </w:rPr>
        <w:t>dian</w:t>
      </w:r>
      <w:r w:rsidR="0097625B" w:rsidRPr="00E02273">
        <w:rPr>
          <w:lang w:val="en-CA"/>
        </w:rPr>
        <w:t xml:space="preserve"> for a specific year. Nor does it consider the reasons that might explain why a price is lower in other markets or in the </w:t>
      </w:r>
      <w:r w:rsidR="00816326" w:rsidRPr="00E02273">
        <w:rPr>
          <w:lang w:val="en-CA"/>
        </w:rPr>
        <w:t>group of reference countries</w:t>
      </w:r>
      <w:r w:rsidR="002D51A4" w:rsidRPr="00E02273">
        <w:rPr>
          <w:lang w:val="en-CA"/>
        </w:rPr>
        <w:t>.</w:t>
      </w:r>
    </w:p>
    <w:p w14:paraId="7DD09104" w14:textId="616F5FB0" w:rsidR="00B568AD" w:rsidRPr="00E02273" w:rsidRDefault="007C29C6" w:rsidP="00B572B8">
      <w:pPr>
        <w:pStyle w:val="Paragraphe"/>
        <w:tabs>
          <w:tab w:val="num" w:pos="709"/>
        </w:tabs>
        <w:spacing w:line="240" w:lineRule="auto"/>
        <w:ind w:left="0"/>
        <w:rPr>
          <w:lang w:val="en-CA"/>
        </w:rPr>
      </w:pPr>
      <w:r w:rsidRPr="00E02273">
        <w:rPr>
          <w:lang w:val="en-CA"/>
        </w:rPr>
        <w:t xml:space="preserve">The appellant </w:t>
      </w:r>
      <w:r w:rsidR="002D51A4" w:rsidRPr="00E02273">
        <w:rPr>
          <w:lang w:val="en-CA"/>
        </w:rPr>
        <w:t>pharmaceutical</w:t>
      </w:r>
      <w:r w:rsidRPr="00E02273">
        <w:rPr>
          <w:lang w:val="en-CA"/>
        </w:rPr>
        <w:t xml:space="preserve"> </w:t>
      </w:r>
      <w:r w:rsidR="002D51A4" w:rsidRPr="00E02273">
        <w:rPr>
          <w:lang w:val="en-CA"/>
        </w:rPr>
        <w:t>companies</w:t>
      </w:r>
      <w:r w:rsidRPr="00E02273">
        <w:rPr>
          <w:lang w:val="en-CA"/>
        </w:rPr>
        <w:t xml:space="preserve"> add that the </w:t>
      </w:r>
      <w:r w:rsidR="00866E58" w:rsidRPr="00E02273">
        <w:rPr>
          <w:i/>
          <w:lang w:val="en-CA"/>
        </w:rPr>
        <w:t>2019 Regulatory Amendments</w:t>
      </w:r>
      <w:r w:rsidR="002D51A4" w:rsidRPr="00E02273">
        <w:rPr>
          <w:lang w:val="en-CA"/>
        </w:rPr>
        <w:t xml:space="preserve"> re</w:t>
      </w:r>
      <w:r w:rsidRPr="00E02273">
        <w:rPr>
          <w:lang w:val="en-CA"/>
        </w:rPr>
        <w:t>i</w:t>
      </w:r>
      <w:r w:rsidR="002D51A4" w:rsidRPr="00E02273">
        <w:rPr>
          <w:lang w:val="en-CA"/>
        </w:rPr>
        <w:t>nforce</w:t>
      </w:r>
      <w:r w:rsidRPr="00E02273">
        <w:rPr>
          <w:lang w:val="en-CA"/>
        </w:rPr>
        <w:t xml:space="preserve"> the unconstitutional</w:t>
      </w:r>
      <w:r w:rsidR="00AF6003">
        <w:rPr>
          <w:lang w:val="en-CA"/>
        </w:rPr>
        <w:t>ity</w:t>
      </w:r>
      <w:r w:rsidRPr="00E02273">
        <w:rPr>
          <w:lang w:val="en-CA"/>
        </w:rPr>
        <w:t xml:space="preserve"> of the Board’s mandate because they simply seek to </w:t>
      </w:r>
      <w:r w:rsidR="002D51A4" w:rsidRPr="00E02273">
        <w:rPr>
          <w:lang w:val="en-CA"/>
        </w:rPr>
        <w:t>impose</w:t>
      </w:r>
      <w:r w:rsidRPr="00E02273">
        <w:rPr>
          <w:lang w:val="en-CA"/>
        </w:rPr>
        <w:t xml:space="preserve"> a substantial reduction in </w:t>
      </w:r>
      <w:r w:rsidR="00790844">
        <w:rPr>
          <w:lang w:val="en-CA"/>
        </w:rPr>
        <w:t xml:space="preserve">the </w:t>
      </w:r>
      <w:r w:rsidRPr="00E02273">
        <w:rPr>
          <w:lang w:val="en-CA"/>
        </w:rPr>
        <w:t xml:space="preserve">price of the patented medicines sold in </w:t>
      </w:r>
      <w:r w:rsidR="002D51A4" w:rsidRPr="00E02273">
        <w:rPr>
          <w:lang w:val="en-CA"/>
        </w:rPr>
        <w:t xml:space="preserve">Canada, </w:t>
      </w:r>
      <w:r w:rsidR="00CC676E" w:rsidRPr="00E02273">
        <w:rPr>
          <w:lang w:val="en-CA"/>
        </w:rPr>
        <w:t xml:space="preserve">a function that has no </w:t>
      </w:r>
      <w:r w:rsidR="002D51A4" w:rsidRPr="00E02273">
        <w:rPr>
          <w:lang w:val="en-CA"/>
        </w:rPr>
        <w:t>rational</w:t>
      </w:r>
      <w:r w:rsidR="00CC676E" w:rsidRPr="00E02273">
        <w:rPr>
          <w:lang w:val="en-CA"/>
        </w:rPr>
        <w:t xml:space="preserve"> </w:t>
      </w:r>
      <w:r w:rsidR="002D51A4" w:rsidRPr="00E02273">
        <w:rPr>
          <w:lang w:val="en-CA"/>
        </w:rPr>
        <w:t>connection</w:t>
      </w:r>
      <w:r w:rsidR="00CC676E" w:rsidRPr="00E02273">
        <w:rPr>
          <w:lang w:val="en-CA"/>
        </w:rPr>
        <w:t xml:space="preserve"> with the </w:t>
      </w:r>
      <w:r w:rsidR="002D51A4" w:rsidRPr="00E02273">
        <w:rPr>
          <w:lang w:val="en-CA"/>
        </w:rPr>
        <w:t>federal</w:t>
      </w:r>
      <w:r w:rsidR="00CC676E" w:rsidRPr="00E02273">
        <w:rPr>
          <w:lang w:val="en-CA"/>
        </w:rPr>
        <w:t xml:space="preserve"> </w:t>
      </w:r>
      <w:r w:rsidR="002D51A4" w:rsidRPr="00E02273">
        <w:rPr>
          <w:lang w:val="en-CA"/>
        </w:rPr>
        <w:t>jurisdiction</w:t>
      </w:r>
      <w:r w:rsidR="00CC676E" w:rsidRPr="00E02273">
        <w:rPr>
          <w:lang w:val="en-CA"/>
        </w:rPr>
        <w:t xml:space="preserve"> over patents</w:t>
      </w:r>
      <w:r w:rsidR="002D51A4" w:rsidRPr="00E02273">
        <w:rPr>
          <w:lang w:val="en-CA"/>
        </w:rPr>
        <w:t xml:space="preserve">. </w:t>
      </w:r>
    </w:p>
    <w:p w14:paraId="45584CE0" w14:textId="4895F9BD" w:rsidR="00B568AD" w:rsidRPr="00E02273" w:rsidRDefault="00E5578B" w:rsidP="00B572B8">
      <w:pPr>
        <w:pStyle w:val="Paragraphe"/>
        <w:tabs>
          <w:tab w:val="num" w:pos="709"/>
        </w:tabs>
        <w:spacing w:line="240" w:lineRule="auto"/>
        <w:ind w:left="0"/>
        <w:rPr>
          <w:lang w:val="en-CA"/>
        </w:rPr>
      </w:pPr>
      <w:r w:rsidRPr="00E02273">
        <w:rPr>
          <w:lang w:val="en-CA"/>
        </w:rPr>
        <w:t xml:space="preserve">Several groups, including patient associations, intervened before the </w:t>
      </w:r>
      <w:r w:rsidR="002D51A4" w:rsidRPr="00E02273">
        <w:rPr>
          <w:lang w:val="en-CA"/>
        </w:rPr>
        <w:t>Superior</w:t>
      </w:r>
      <w:r w:rsidRPr="00E02273">
        <w:rPr>
          <w:lang w:val="en-CA"/>
        </w:rPr>
        <w:t xml:space="preserve"> </w:t>
      </w:r>
      <w:r w:rsidR="002D51A4" w:rsidRPr="00E02273">
        <w:rPr>
          <w:lang w:val="en-CA"/>
        </w:rPr>
        <w:t xml:space="preserve">Court </w:t>
      </w:r>
      <w:r w:rsidRPr="00E02273">
        <w:rPr>
          <w:lang w:val="en-CA"/>
        </w:rPr>
        <w:t xml:space="preserve">to support the </w:t>
      </w:r>
      <w:r w:rsidR="002D51A4" w:rsidRPr="00E02273">
        <w:rPr>
          <w:lang w:val="en-CA"/>
        </w:rPr>
        <w:t>pharmaceutical</w:t>
      </w:r>
      <w:r w:rsidRPr="00E02273">
        <w:rPr>
          <w:lang w:val="en-CA"/>
        </w:rPr>
        <w:t xml:space="preserve"> </w:t>
      </w:r>
      <w:r w:rsidR="002D51A4" w:rsidRPr="00E02273">
        <w:rPr>
          <w:lang w:val="en-CA"/>
        </w:rPr>
        <w:t>companies</w:t>
      </w:r>
      <w:r w:rsidRPr="00E02273">
        <w:rPr>
          <w:lang w:val="en-CA"/>
        </w:rPr>
        <w:t xml:space="preserve">’ applications, that is, the </w:t>
      </w:r>
      <w:r w:rsidR="002D51A4" w:rsidRPr="00E02273">
        <w:rPr>
          <w:lang w:val="en-CA"/>
        </w:rPr>
        <w:t>Canadian Cystic Fibrosis Treatment Society, The Intellectual Property Owners Association, Cystic Fibrosis Canada, Canadian Organization for Rare Disorders</w:t>
      </w:r>
      <w:r w:rsidRPr="00E02273">
        <w:rPr>
          <w:lang w:val="en-CA"/>
        </w:rPr>
        <w:t>,</w:t>
      </w:r>
      <w:r w:rsidR="00AF6003">
        <w:rPr>
          <w:lang w:val="en-CA"/>
        </w:rPr>
        <w:t xml:space="preserve"> and</w:t>
      </w:r>
      <w:r w:rsidR="002D51A4" w:rsidRPr="00E02273">
        <w:rPr>
          <w:lang w:val="en-CA"/>
        </w:rPr>
        <w:t xml:space="preserve"> B</w:t>
      </w:r>
      <w:r w:rsidR="00E173BF">
        <w:rPr>
          <w:lang w:val="en-CA"/>
        </w:rPr>
        <w:t>IOTE</w:t>
      </w:r>
      <w:r w:rsidR="002D51A4" w:rsidRPr="00E02273">
        <w:rPr>
          <w:lang w:val="en-CA"/>
        </w:rPr>
        <w:t>Canada.</w:t>
      </w:r>
      <w:r w:rsidRPr="00E02273">
        <w:rPr>
          <w:lang w:val="en-CA"/>
        </w:rPr>
        <w:t xml:space="preserve"> The </w:t>
      </w:r>
      <w:r w:rsidR="002D51A4" w:rsidRPr="00E02273">
        <w:rPr>
          <w:lang w:val="en-CA"/>
        </w:rPr>
        <w:t>Attorney</w:t>
      </w:r>
      <w:r w:rsidRPr="00E02273">
        <w:rPr>
          <w:lang w:val="en-CA"/>
        </w:rPr>
        <w:t xml:space="preserve"> </w:t>
      </w:r>
      <w:r w:rsidR="002D51A4" w:rsidRPr="00E02273">
        <w:rPr>
          <w:lang w:val="en-CA"/>
        </w:rPr>
        <w:t>General</w:t>
      </w:r>
      <w:r w:rsidRPr="00E02273">
        <w:rPr>
          <w:lang w:val="en-CA"/>
        </w:rPr>
        <w:t xml:space="preserve"> </w:t>
      </w:r>
      <w:r w:rsidR="002D51A4" w:rsidRPr="00E02273">
        <w:rPr>
          <w:lang w:val="en-CA"/>
        </w:rPr>
        <w:t>of</w:t>
      </w:r>
      <w:r w:rsidRPr="00E02273">
        <w:rPr>
          <w:lang w:val="en-CA"/>
        </w:rPr>
        <w:t xml:space="preserve"> </w:t>
      </w:r>
      <w:r w:rsidR="002D51A4" w:rsidRPr="00E02273">
        <w:rPr>
          <w:lang w:val="en-CA"/>
        </w:rPr>
        <w:t>Quebec</w:t>
      </w:r>
      <w:r w:rsidRPr="00E02273">
        <w:rPr>
          <w:lang w:val="en-CA"/>
        </w:rPr>
        <w:t xml:space="preserve"> was also an intervenor in the </w:t>
      </w:r>
      <w:r w:rsidR="002D51A4" w:rsidRPr="00E02273">
        <w:rPr>
          <w:lang w:val="en-CA"/>
        </w:rPr>
        <w:t>proceeding.</w:t>
      </w:r>
    </w:p>
    <w:p w14:paraId="678A021E" w14:textId="7330C3BE" w:rsidR="00B568AD" w:rsidRPr="00E02273" w:rsidRDefault="008226A0" w:rsidP="00B572B8">
      <w:pPr>
        <w:pStyle w:val="Paragraphe"/>
        <w:tabs>
          <w:tab w:val="num" w:pos="709"/>
        </w:tabs>
        <w:spacing w:line="240" w:lineRule="auto"/>
        <w:ind w:left="0"/>
        <w:rPr>
          <w:lang w:val="en-CA"/>
        </w:rPr>
      </w:pPr>
      <w:r w:rsidRPr="00E02273">
        <w:rPr>
          <w:lang w:val="en-CA"/>
        </w:rPr>
        <w:lastRenderedPageBreak/>
        <w:t>A</w:t>
      </w:r>
      <w:r w:rsidR="002D51A4" w:rsidRPr="00E02273">
        <w:rPr>
          <w:lang w:val="en-CA"/>
        </w:rPr>
        <w:t>b</w:t>
      </w:r>
      <w:r w:rsidRPr="00E02273">
        <w:rPr>
          <w:lang w:val="en-CA"/>
        </w:rPr>
        <w:t>u</w:t>
      </w:r>
      <w:r w:rsidR="002D51A4" w:rsidRPr="00E02273">
        <w:rPr>
          <w:lang w:val="en-CA"/>
        </w:rPr>
        <w:t>ndant</w:t>
      </w:r>
      <w:r w:rsidRPr="00E02273">
        <w:rPr>
          <w:lang w:val="en-CA"/>
        </w:rPr>
        <w:t xml:space="preserve"> </w:t>
      </w:r>
      <w:r w:rsidR="002D51A4" w:rsidRPr="00E02273">
        <w:rPr>
          <w:lang w:val="en-CA"/>
        </w:rPr>
        <w:t>documentary</w:t>
      </w:r>
      <w:r w:rsidRPr="00E02273">
        <w:rPr>
          <w:lang w:val="en-CA"/>
        </w:rPr>
        <w:t xml:space="preserve"> </w:t>
      </w:r>
      <w:r w:rsidR="002D51A4" w:rsidRPr="00E02273">
        <w:rPr>
          <w:lang w:val="en-CA"/>
        </w:rPr>
        <w:t>evidence</w:t>
      </w:r>
      <w:r w:rsidRPr="00E02273">
        <w:rPr>
          <w:lang w:val="en-CA"/>
        </w:rPr>
        <w:t xml:space="preserve"> was adduced at t</w:t>
      </w:r>
      <w:r w:rsidR="002D51A4" w:rsidRPr="00E02273">
        <w:rPr>
          <w:lang w:val="en-CA"/>
        </w:rPr>
        <w:t>rial,</w:t>
      </w:r>
      <w:r w:rsidRPr="00E02273">
        <w:rPr>
          <w:lang w:val="en-CA"/>
        </w:rPr>
        <w:t xml:space="preserve"> including numerous expert reports. Hearings limited to the </w:t>
      </w:r>
      <w:r w:rsidR="00AF6003">
        <w:rPr>
          <w:lang w:val="en-CA"/>
        </w:rPr>
        <w:t xml:space="preserve">representations </w:t>
      </w:r>
      <w:r w:rsidRPr="00E02273">
        <w:rPr>
          <w:lang w:val="en-CA"/>
        </w:rPr>
        <w:t xml:space="preserve">and arguments of counsel were held before the </w:t>
      </w:r>
      <w:r w:rsidR="002D51A4" w:rsidRPr="00E02273">
        <w:rPr>
          <w:lang w:val="en-CA"/>
        </w:rPr>
        <w:t>Superior</w:t>
      </w:r>
      <w:r w:rsidRPr="00E02273">
        <w:rPr>
          <w:lang w:val="en-CA"/>
        </w:rPr>
        <w:t xml:space="preserve"> </w:t>
      </w:r>
      <w:r w:rsidR="002D51A4" w:rsidRPr="00E02273">
        <w:rPr>
          <w:lang w:val="en-CA"/>
        </w:rPr>
        <w:t xml:space="preserve">Court </w:t>
      </w:r>
      <w:r w:rsidRPr="00E02273">
        <w:rPr>
          <w:lang w:val="en-CA"/>
        </w:rPr>
        <w:t xml:space="preserve">from </w:t>
      </w:r>
      <w:r w:rsidR="002D51A4" w:rsidRPr="00E02273">
        <w:rPr>
          <w:lang w:val="en-CA"/>
        </w:rPr>
        <w:t>September</w:t>
      </w:r>
      <w:r w:rsidRPr="00E02273">
        <w:rPr>
          <w:lang w:val="en-CA"/>
        </w:rPr>
        <w:t xml:space="preserve"> 28 to </w:t>
      </w:r>
      <w:r w:rsidR="002D51A4" w:rsidRPr="00E02273">
        <w:rPr>
          <w:lang w:val="en-CA"/>
        </w:rPr>
        <w:t>October</w:t>
      </w:r>
      <w:r w:rsidRPr="00E02273">
        <w:rPr>
          <w:lang w:val="en-CA"/>
        </w:rPr>
        <w:t xml:space="preserve"> 2,</w:t>
      </w:r>
      <w:r w:rsidR="002D51A4" w:rsidRPr="00E02273">
        <w:rPr>
          <w:lang w:val="en-CA"/>
        </w:rPr>
        <w:t xml:space="preserve"> 2020</w:t>
      </w:r>
      <w:r w:rsidRPr="00E02273">
        <w:rPr>
          <w:lang w:val="en-CA"/>
        </w:rPr>
        <w:t xml:space="preserve">, and from </w:t>
      </w:r>
      <w:r w:rsidR="002D51A4" w:rsidRPr="00E02273">
        <w:rPr>
          <w:lang w:val="en-CA"/>
        </w:rPr>
        <w:t>November</w:t>
      </w:r>
      <w:r w:rsidR="00AF6003">
        <w:rPr>
          <w:lang w:val="en-CA"/>
        </w:rPr>
        <w:t> </w:t>
      </w:r>
      <w:r w:rsidRPr="00E02273">
        <w:rPr>
          <w:lang w:val="en-CA"/>
        </w:rPr>
        <w:t>17</w:t>
      </w:r>
      <w:r w:rsidR="00AF6003">
        <w:rPr>
          <w:lang w:val="en-CA"/>
        </w:rPr>
        <w:t> </w:t>
      </w:r>
      <w:r w:rsidRPr="00E02273">
        <w:rPr>
          <w:lang w:val="en-CA"/>
        </w:rPr>
        <w:t>to 20,</w:t>
      </w:r>
      <w:r w:rsidR="002D51A4" w:rsidRPr="00E02273">
        <w:rPr>
          <w:lang w:val="en-CA"/>
        </w:rPr>
        <w:t xml:space="preserve"> 2020. </w:t>
      </w:r>
      <w:r w:rsidRPr="00E02273">
        <w:rPr>
          <w:lang w:val="en-CA"/>
        </w:rPr>
        <w:t xml:space="preserve">The trial </w:t>
      </w:r>
      <w:r w:rsidR="002D51A4" w:rsidRPr="00E02273">
        <w:rPr>
          <w:lang w:val="en-CA"/>
        </w:rPr>
        <w:t>judgment</w:t>
      </w:r>
      <w:r w:rsidRPr="00E02273">
        <w:rPr>
          <w:lang w:val="en-CA"/>
        </w:rPr>
        <w:t xml:space="preserve"> was rendered on </w:t>
      </w:r>
      <w:r w:rsidR="002D51A4" w:rsidRPr="00E02273">
        <w:rPr>
          <w:lang w:val="en-CA"/>
        </w:rPr>
        <w:t>December</w:t>
      </w:r>
      <w:r w:rsidRPr="00E02273">
        <w:rPr>
          <w:lang w:val="en-CA"/>
        </w:rPr>
        <w:t xml:space="preserve"> 18,</w:t>
      </w:r>
      <w:r w:rsidR="002D51A4" w:rsidRPr="00E02273">
        <w:rPr>
          <w:lang w:val="en-CA"/>
        </w:rPr>
        <w:t xml:space="preserve"> 2020.</w:t>
      </w:r>
    </w:p>
    <w:p w14:paraId="34802373" w14:textId="3F071807" w:rsidR="00B568AD" w:rsidRPr="00E02273" w:rsidRDefault="000C3412" w:rsidP="00B568AD">
      <w:pPr>
        <w:pStyle w:val="Paragraphe"/>
        <w:numPr>
          <w:ilvl w:val="0"/>
          <w:numId w:val="0"/>
        </w:numPr>
        <w:spacing w:line="240" w:lineRule="auto"/>
        <w:rPr>
          <w:b/>
          <w:u w:val="single"/>
          <w:lang w:val="en-CA"/>
        </w:rPr>
      </w:pPr>
      <w:r w:rsidRPr="00E02273">
        <w:rPr>
          <w:b/>
          <w:u w:val="single"/>
          <w:lang w:val="en-CA"/>
        </w:rPr>
        <w:t>III - THE TRIAL JUDGMENT</w:t>
      </w:r>
    </w:p>
    <w:p w14:paraId="32DCB17E" w14:textId="17EBB84C" w:rsidR="00B568AD" w:rsidRPr="00E02273" w:rsidRDefault="00C63FE4" w:rsidP="00B572B8">
      <w:pPr>
        <w:pStyle w:val="Paragraphe"/>
        <w:tabs>
          <w:tab w:val="num" w:pos="709"/>
        </w:tabs>
        <w:spacing w:line="240" w:lineRule="auto"/>
        <w:ind w:left="0"/>
        <w:rPr>
          <w:lang w:val="en-CA"/>
        </w:rPr>
      </w:pPr>
      <w:r w:rsidRPr="00E02273">
        <w:rPr>
          <w:lang w:val="en-CA"/>
        </w:rPr>
        <w:t xml:space="preserve">The </w:t>
      </w:r>
      <w:r w:rsidR="002D51A4" w:rsidRPr="00E02273">
        <w:rPr>
          <w:lang w:val="en-CA"/>
        </w:rPr>
        <w:t>judge</w:t>
      </w:r>
      <w:r w:rsidRPr="00E02273">
        <w:rPr>
          <w:lang w:val="en-CA"/>
        </w:rPr>
        <w:t xml:space="preserve"> first </w:t>
      </w:r>
      <w:r w:rsidR="00410E76">
        <w:rPr>
          <w:lang w:val="en-CA"/>
        </w:rPr>
        <w:t xml:space="preserve">analyzed </w:t>
      </w:r>
      <w:r w:rsidRPr="00E02273">
        <w:rPr>
          <w:lang w:val="en-CA"/>
        </w:rPr>
        <w:t xml:space="preserve">the </w:t>
      </w:r>
      <w:r w:rsidR="002D51A4" w:rsidRPr="00E02273">
        <w:rPr>
          <w:lang w:val="en-CA"/>
        </w:rPr>
        <w:t>ab</w:t>
      </w:r>
      <w:r w:rsidRPr="00E02273">
        <w:rPr>
          <w:lang w:val="en-CA"/>
        </w:rPr>
        <w:t>u</w:t>
      </w:r>
      <w:r w:rsidR="002D51A4" w:rsidRPr="00E02273">
        <w:rPr>
          <w:lang w:val="en-CA"/>
        </w:rPr>
        <w:t>ndant</w:t>
      </w:r>
      <w:r w:rsidRPr="00E02273">
        <w:rPr>
          <w:lang w:val="en-CA"/>
        </w:rPr>
        <w:t xml:space="preserve"> </w:t>
      </w:r>
      <w:r w:rsidR="002D51A4" w:rsidRPr="00E02273">
        <w:rPr>
          <w:lang w:val="en-CA"/>
        </w:rPr>
        <w:t>evidence</w:t>
      </w:r>
      <w:r w:rsidRPr="00E02273">
        <w:rPr>
          <w:lang w:val="en-CA"/>
        </w:rPr>
        <w:t xml:space="preserve"> submitted before her.</w:t>
      </w:r>
      <w:r w:rsidR="00036BA1" w:rsidRPr="00E02273">
        <w:rPr>
          <w:lang w:val="en-CA"/>
        </w:rPr>
        <w:t xml:space="preserve"> It is not necessary to repeat that analysis on appeal because it is sufficient to refer to the summary of the </w:t>
      </w:r>
      <w:r w:rsidR="002D51A4" w:rsidRPr="00E02273">
        <w:rPr>
          <w:lang w:val="en-CA"/>
        </w:rPr>
        <w:t xml:space="preserve">evidence </w:t>
      </w:r>
      <w:r w:rsidR="00036BA1" w:rsidRPr="00E02273">
        <w:rPr>
          <w:lang w:val="en-CA"/>
        </w:rPr>
        <w:t xml:space="preserve">set out in the trial </w:t>
      </w:r>
      <w:r w:rsidR="002D51A4" w:rsidRPr="00E02273">
        <w:rPr>
          <w:lang w:val="en-CA"/>
        </w:rPr>
        <w:t>judgment</w:t>
      </w:r>
      <w:r w:rsidR="00036BA1" w:rsidRPr="00E02273">
        <w:rPr>
          <w:lang w:val="en-CA"/>
        </w:rPr>
        <w:t xml:space="preserve">, which is </w:t>
      </w:r>
      <w:r w:rsidR="002D51A4" w:rsidRPr="00E02273">
        <w:rPr>
          <w:lang w:val="en-CA"/>
        </w:rPr>
        <w:t>consistent</w:t>
      </w:r>
      <w:r w:rsidR="00036BA1" w:rsidRPr="00E02273">
        <w:rPr>
          <w:lang w:val="en-CA"/>
        </w:rPr>
        <w:t xml:space="preserve"> </w:t>
      </w:r>
      <w:r w:rsidR="002D51A4" w:rsidRPr="00E02273">
        <w:rPr>
          <w:lang w:val="en-CA"/>
        </w:rPr>
        <w:t>with</w:t>
      </w:r>
      <w:r w:rsidR="00036BA1" w:rsidRPr="00E02273">
        <w:rPr>
          <w:lang w:val="en-CA"/>
        </w:rPr>
        <w:t xml:space="preserve"> the factual record submitted by the </w:t>
      </w:r>
      <w:r w:rsidR="002D51A4" w:rsidRPr="00E02273">
        <w:rPr>
          <w:lang w:val="en-CA"/>
        </w:rPr>
        <w:t xml:space="preserve">parties. </w:t>
      </w:r>
      <w:r w:rsidR="00036BA1" w:rsidRPr="00E02273">
        <w:rPr>
          <w:lang w:val="en-CA"/>
        </w:rPr>
        <w:t xml:space="preserve">In fact, none of the parties contests the judge’s summary of the </w:t>
      </w:r>
      <w:r w:rsidR="002D51A4" w:rsidRPr="00E02273">
        <w:rPr>
          <w:lang w:val="en-CA"/>
        </w:rPr>
        <w:t>evidence.</w:t>
      </w:r>
    </w:p>
    <w:p w14:paraId="579209E3" w14:textId="689F3EBE" w:rsidR="00B568AD" w:rsidRPr="00E02273" w:rsidRDefault="0019250D" w:rsidP="00B572B8">
      <w:pPr>
        <w:pStyle w:val="Paragraphe"/>
        <w:tabs>
          <w:tab w:val="num" w:pos="709"/>
        </w:tabs>
        <w:spacing w:line="240" w:lineRule="auto"/>
        <w:ind w:left="0"/>
        <w:rPr>
          <w:lang w:val="en-CA"/>
        </w:rPr>
      </w:pPr>
      <w:r w:rsidRPr="00E02273">
        <w:rPr>
          <w:lang w:val="en-CA"/>
        </w:rPr>
        <w:t>To i</w:t>
      </w:r>
      <w:r w:rsidR="002D51A4" w:rsidRPr="00E02273">
        <w:rPr>
          <w:lang w:val="en-CA"/>
        </w:rPr>
        <w:t>dentif</w:t>
      </w:r>
      <w:r w:rsidRPr="00E02273">
        <w:rPr>
          <w:lang w:val="en-CA"/>
        </w:rPr>
        <w:t xml:space="preserve">y the </w:t>
      </w:r>
      <w:r w:rsidR="002D51A4" w:rsidRPr="00E02273">
        <w:rPr>
          <w:lang w:val="en-CA"/>
        </w:rPr>
        <w:t>pith</w:t>
      </w:r>
      <w:r w:rsidRPr="00E02273">
        <w:rPr>
          <w:lang w:val="en-CA"/>
        </w:rPr>
        <w:t xml:space="preserve"> </w:t>
      </w:r>
      <w:r w:rsidR="002D51A4" w:rsidRPr="00E02273">
        <w:rPr>
          <w:lang w:val="en-CA"/>
        </w:rPr>
        <w:t>and</w:t>
      </w:r>
      <w:r w:rsidRPr="00E02273">
        <w:rPr>
          <w:lang w:val="en-CA"/>
        </w:rPr>
        <w:t xml:space="preserve"> </w:t>
      </w:r>
      <w:r w:rsidR="002D51A4" w:rsidRPr="00E02273">
        <w:rPr>
          <w:lang w:val="en-CA"/>
        </w:rPr>
        <w:t xml:space="preserve">substance </w:t>
      </w:r>
      <w:r w:rsidRPr="00E02273">
        <w:rPr>
          <w:lang w:val="en-CA"/>
        </w:rPr>
        <w:t xml:space="preserve">of the </w:t>
      </w:r>
      <w:r w:rsidR="002D51A4" w:rsidRPr="00E02273">
        <w:rPr>
          <w:lang w:val="en-CA"/>
        </w:rPr>
        <w:t>impugned</w:t>
      </w:r>
      <w:r w:rsidRPr="00E02273">
        <w:rPr>
          <w:lang w:val="en-CA"/>
        </w:rPr>
        <w:t xml:space="preserve"> </w:t>
      </w:r>
      <w:r w:rsidR="002D51A4" w:rsidRPr="00E02273">
        <w:rPr>
          <w:lang w:val="en-CA"/>
        </w:rPr>
        <w:t xml:space="preserve">provisions, </w:t>
      </w:r>
      <w:r w:rsidRPr="00E02273">
        <w:rPr>
          <w:lang w:val="en-CA"/>
        </w:rPr>
        <w:t xml:space="preserve">the </w:t>
      </w:r>
      <w:r w:rsidR="002D51A4" w:rsidRPr="00E02273">
        <w:rPr>
          <w:lang w:val="en-CA"/>
        </w:rPr>
        <w:t xml:space="preserve">judge </w:t>
      </w:r>
      <w:r w:rsidRPr="00E02273">
        <w:rPr>
          <w:lang w:val="en-CA"/>
        </w:rPr>
        <w:t xml:space="preserve">followed a two-step process. First, she characterized </w:t>
      </w:r>
      <w:r w:rsidR="002D51A4" w:rsidRPr="00E02273">
        <w:rPr>
          <w:lang w:val="en-CA"/>
        </w:rPr>
        <w:t xml:space="preserve">sections 79 </w:t>
      </w:r>
      <w:r w:rsidRPr="00E02273">
        <w:rPr>
          <w:lang w:val="en-CA"/>
        </w:rPr>
        <w:t xml:space="preserve">to </w:t>
      </w:r>
      <w:r w:rsidR="002D51A4" w:rsidRPr="00E02273">
        <w:rPr>
          <w:lang w:val="en-CA"/>
        </w:rPr>
        <w:t xml:space="preserve">103 </w:t>
      </w:r>
      <w:r w:rsidRPr="00E02273">
        <w:rPr>
          <w:lang w:val="en-CA"/>
        </w:rPr>
        <w:t xml:space="preserve">of the </w:t>
      </w:r>
      <w:r w:rsidRPr="00E02273">
        <w:rPr>
          <w:i/>
          <w:lang w:val="en-CA"/>
        </w:rPr>
        <w:t xml:space="preserve">Patent Act </w:t>
      </w:r>
      <w:r w:rsidRPr="00E02273">
        <w:rPr>
          <w:lang w:val="en-CA"/>
        </w:rPr>
        <w:t xml:space="preserve"> and the </w:t>
      </w:r>
      <w:r w:rsidRPr="00E02273">
        <w:rPr>
          <w:i/>
          <w:lang w:val="en-CA"/>
        </w:rPr>
        <w:t>Patented Medicines Regulatio</w:t>
      </w:r>
      <w:r w:rsidR="00802543" w:rsidRPr="00E02273">
        <w:rPr>
          <w:i/>
          <w:lang w:val="en-CA"/>
        </w:rPr>
        <w:t>n</w:t>
      </w:r>
      <w:r w:rsidRPr="00E02273">
        <w:rPr>
          <w:i/>
          <w:lang w:val="en-CA"/>
        </w:rPr>
        <w:t xml:space="preserve">s </w:t>
      </w:r>
      <w:r w:rsidRPr="00E02273">
        <w:rPr>
          <w:lang w:val="en-CA"/>
        </w:rPr>
        <w:t xml:space="preserve">as it read before the </w:t>
      </w:r>
      <w:r w:rsidR="00866E58" w:rsidRPr="00E02273">
        <w:rPr>
          <w:i/>
          <w:lang w:val="en-CA"/>
        </w:rPr>
        <w:t>2019 Regulatory Amendments</w:t>
      </w:r>
      <w:r w:rsidR="002D51A4" w:rsidRPr="00E02273">
        <w:rPr>
          <w:lang w:val="en-CA"/>
        </w:rPr>
        <w:t xml:space="preserve"> – </w:t>
      </w:r>
      <w:r w:rsidRPr="00E02273">
        <w:rPr>
          <w:lang w:val="en-CA"/>
        </w:rPr>
        <w:t xml:space="preserve">which she </w:t>
      </w:r>
      <w:r w:rsidR="00BD4BA8" w:rsidRPr="00E02273">
        <w:rPr>
          <w:lang w:val="en-CA"/>
        </w:rPr>
        <w:t>called</w:t>
      </w:r>
      <w:r w:rsidR="00802543" w:rsidRPr="00E02273">
        <w:rPr>
          <w:lang w:val="en-CA"/>
        </w:rPr>
        <w:t xml:space="preserve"> </w:t>
      </w:r>
      <w:r w:rsidR="002D51A4" w:rsidRPr="00E02273">
        <w:rPr>
          <w:lang w:val="en-CA"/>
        </w:rPr>
        <w:t>R</w:t>
      </w:r>
      <w:r w:rsidR="00802543" w:rsidRPr="00E02273">
        <w:rPr>
          <w:lang w:val="en-CA"/>
        </w:rPr>
        <w:t>e</w:t>
      </w:r>
      <w:r w:rsidR="002D51A4" w:rsidRPr="00E02273">
        <w:rPr>
          <w:lang w:val="en-CA"/>
        </w:rPr>
        <w:t xml:space="preserve">gime 1 – </w:t>
      </w:r>
      <w:r w:rsidR="00802543" w:rsidRPr="00E02273">
        <w:rPr>
          <w:lang w:val="en-CA"/>
        </w:rPr>
        <w:t xml:space="preserve">and then </w:t>
      </w:r>
      <w:r w:rsidR="002D51A4" w:rsidRPr="00E02273">
        <w:rPr>
          <w:lang w:val="en-CA"/>
        </w:rPr>
        <w:t>characteriz</w:t>
      </w:r>
      <w:r w:rsidR="00802543" w:rsidRPr="00E02273">
        <w:rPr>
          <w:lang w:val="en-CA"/>
        </w:rPr>
        <w:t xml:space="preserve">ed the new regime arising from these amendments </w:t>
      </w:r>
      <w:r w:rsidR="002D51A4" w:rsidRPr="00E02273">
        <w:rPr>
          <w:lang w:val="en-CA"/>
        </w:rPr>
        <w:t xml:space="preserve">– </w:t>
      </w:r>
      <w:r w:rsidR="00802543" w:rsidRPr="00E02273">
        <w:rPr>
          <w:lang w:val="en-CA"/>
        </w:rPr>
        <w:t xml:space="preserve">which she </w:t>
      </w:r>
      <w:r w:rsidR="00BD4BA8" w:rsidRPr="00E02273">
        <w:rPr>
          <w:lang w:val="en-CA"/>
        </w:rPr>
        <w:t>called</w:t>
      </w:r>
      <w:r w:rsidR="00802543" w:rsidRPr="00E02273">
        <w:rPr>
          <w:lang w:val="en-CA"/>
        </w:rPr>
        <w:t xml:space="preserve"> </w:t>
      </w:r>
      <w:r w:rsidR="002D51A4" w:rsidRPr="00E02273">
        <w:rPr>
          <w:lang w:val="en-CA"/>
        </w:rPr>
        <w:t>R</w:t>
      </w:r>
      <w:r w:rsidR="00802543" w:rsidRPr="00E02273">
        <w:rPr>
          <w:lang w:val="en-CA"/>
        </w:rPr>
        <w:t>e</w:t>
      </w:r>
      <w:r w:rsidR="002D51A4" w:rsidRPr="00E02273">
        <w:rPr>
          <w:lang w:val="en-CA"/>
        </w:rPr>
        <w:t xml:space="preserve">gime 2. </w:t>
      </w:r>
    </w:p>
    <w:p w14:paraId="18921E83" w14:textId="190E8FA5" w:rsidR="00B568AD" w:rsidRPr="00E02273" w:rsidRDefault="00DC25AC" w:rsidP="00B572B8">
      <w:pPr>
        <w:pStyle w:val="Paragraphe"/>
        <w:tabs>
          <w:tab w:val="num" w:pos="709"/>
        </w:tabs>
        <w:spacing w:line="240" w:lineRule="auto"/>
        <w:ind w:left="0"/>
        <w:rPr>
          <w:lang w:val="en-CA"/>
        </w:rPr>
      </w:pPr>
      <w:r w:rsidRPr="00E02273">
        <w:rPr>
          <w:lang w:val="en-CA"/>
        </w:rPr>
        <w:t xml:space="preserve">Addressing the wording of the existing regime </w:t>
      </w:r>
      <w:r w:rsidR="002D51A4" w:rsidRPr="00E02273">
        <w:rPr>
          <w:lang w:val="en-CA"/>
        </w:rPr>
        <w:t>(R</w:t>
      </w:r>
      <w:r w:rsidRPr="00E02273">
        <w:rPr>
          <w:lang w:val="en-CA"/>
        </w:rPr>
        <w:t>e</w:t>
      </w:r>
      <w:r w:rsidR="002D51A4" w:rsidRPr="00E02273">
        <w:rPr>
          <w:lang w:val="en-CA"/>
        </w:rPr>
        <w:t xml:space="preserve">gime 1), </w:t>
      </w:r>
      <w:r w:rsidRPr="00E02273">
        <w:rPr>
          <w:lang w:val="en-CA"/>
        </w:rPr>
        <w:t xml:space="preserve">the </w:t>
      </w:r>
      <w:r w:rsidR="002D51A4" w:rsidRPr="00E02273">
        <w:rPr>
          <w:lang w:val="en-CA"/>
        </w:rPr>
        <w:t xml:space="preserve">judge </w:t>
      </w:r>
      <w:r w:rsidR="004044C9" w:rsidRPr="00E02273">
        <w:rPr>
          <w:lang w:val="en-CA"/>
        </w:rPr>
        <w:t>found, referring</w:t>
      </w:r>
      <w:r w:rsidR="000E5E97">
        <w:rPr>
          <w:lang w:val="en-CA"/>
        </w:rPr>
        <w:t xml:space="preserve"> extensively</w:t>
      </w:r>
      <w:r w:rsidR="00410E76" w:rsidRPr="00E02273">
        <w:rPr>
          <w:lang w:val="en-CA"/>
        </w:rPr>
        <w:t xml:space="preserve"> </w:t>
      </w:r>
      <w:r w:rsidR="004044C9" w:rsidRPr="00E02273">
        <w:rPr>
          <w:lang w:val="en-CA"/>
        </w:rPr>
        <w:t xml:space="preserve">to the Board’s current </w:t>
      </w:r>
      <w:r w:rsidR="002D51A4" w:rsidRPr="00E02273">
        <w:rPr>
          <w:lang w:val="en-CA"/>
        </w:rPr>
        <w:t xml:space="preserve">guidelines, </w:t>
      </w:r>
      <w:r w:rsidR="008E4F2E" w:rsidRPr="00E02273">
        <w:rPr>
          <w:lang w:val="en-CA"/>
        </w:rPr>
        <w:t xml:space="preserve">she found that its purpose was to regulate the price of patented medicines so as to ensure that they are not </w:t>
      </w:r>
      <w:r w:rsidR="002D51A4" w:rsidRPr="00E02273">
        <w:rPr>
          <w:lang w:val="en-CA"/>
        </w:rPr>
        <w:t>excessi</w:t>
      </w:r>
      <w:r w:rsidR="008E4F2E" w:rsidRPr="00E02273">
        <w:rPr>
          <w:lang w:val="en-CA"/>
        </w:rPr>
        <w:t>ve</w:t>
      </w:r>
      <w:r w:rsidR="002D51A4" w:rsidRPr="00E02273">
        <w:rPr>
          <w:lang w:val="en-CA"/>
        </w:rPr>
        <w:t xml:space="preserve">. </w:t>
      </w:r>
      <w:r w:rsidR="000C3412" w:rsidRPr="00E02273">
        <w:rPr>
          <w:lang w:val="en-CA"/>
        </w:rPr>
        <w:t>She stated the following:</w:t>
      </w:r>
      <w:r w:rsidR="002D51A4" w:rsidRPr="00E02273">
        <w:rPr>
          <w:rStyle w:val="Appelnotedebasdep"/>
          <w:lang w:val="en-CA"/>
        </w:rPr>
        <w:footnoteReference w:id="100"/>
      </w:r>
    </w:p>
    <w:p w14:paraId="73482954" w14:textId="2D0AA1EC" w:rsidR="000C3412" w:rsidRPr="00E02273" w:rsidRDefault="000C3412" w:rsidP="00B568AD">
      <w:pPr>
        <w:pStyle w:val="Citationenretrait"/>
        <w:spacing w:line="240" w:lineRule="auto"/>
        <w:rPr>
          <w:lang w:val="en-CA" w:eastAsia="fr-CA"/>
        </w:rPr>
      </w:pPr>
      <w:r w:rsidRPr="00E02273">
        <w:rPr>
          <w:lang w:val="en-CA" w:eastAsia="fr-CA"/>
        </w:rPr>
        <w:t>[</w:t>
      </w:r>
      <w:r w:rsidRPr="00E02273">
        <w:rPr>
          <w:smallCaps/>
          <w:lang w:val="en-CA" w:eastAsia="fr-CA"/>
        </w:rPr>
        <w:t>translation</w:t>
      </w:r>
      <w:r w:rsidRPr="00E02273">
        <w:rPr>
          <w:lang w:val="en-CA" w:eastAsia="fr-CA"/>
        </w:rPr>
        <w:t>]</w:t>
      </w:r>
    </w:p>
    <w:p w14:paraId="0E4FB281" w14:textId="5CED8726" w:rsidR="000C3412" w:rsidRPr="00E02273" w:rsidRDefault="002D51A4" w:rsidP="00B568AD">
      <w:pPr>
        <w:pStyle w:val="Citationenretrait"/>
        <w:spacing w:line="240" w:lineRule="auto"/>
        <w:rPr>
          <w:lang w:val="en-CA" w:eastAsia="fr-CA"/>
        </w:rPr>
      </w:pPr>
      <w:r w:rsidRPr="00E02273">
        <w:rPr>
          <w:lang w:val="en-CA" w:eastAsia="fr-CA"/>
        </w:rPr>
        <w:t>[</w:t>
      </w:r>
      <w:bookmarkStart w:id="17" w:name="par239"/>
      <w:r w:rsidRPr="00E02273">
        <w:rPr>
          <w:lang w:val="en-CA" w:eastAsia="fr-CA"/>
        </w:rPr>
        <w:t>239</w:t>
      </w:r>
      <w:bookmarkEnd w:id="17"/>
      <w:r w:rsidRPr="00E02273">
        <w:rPr>
          <w:lang w:val="en-CA" w:eastAsia="fr-CA"/>
        </w:rPr>
        <w:t>]</w:t>
      </w:r>
      <w:r w:rsidRPr="00E02273">
        <w:rPr>
          <w:sz w:val="14"/>
          <w:szCs w:val="14"/>
          <w:lang w:val="en-CA" w:eastAsia="fr-CA"/>
        </w:rPr>
        <w:tab/>
      </w:r>
      <w:r w:rsidR="000C3412" w:rsidRPr="00E02273">
        <w:rPr>
          <w:lang w:val="en-CA" w:eastAsia="fr-CA"/>
        </w:rPr>
        <w:t>Parliament did not define the expression “excessive price” but instead left it up to the Board to determine whether such “excess” existed, in particular through a comparative study of the prices of the medicines in question and those of the same therapeutic class, in Canada and in seven other countries.</w:t>
      </w:r>
    </w:p>
    <w:p w14:paraId="5FDCD388" w14:textId="6A81F57D" w:rsidR="000C3412" w:rsidRPr="00E02273" w:rsidRDefault="002D51A4" w:rsidP="00B568AD">
      <w:pPr>
        <w:pStyle w:val="Citationenretrait"/>
        <w:spacing w:line="240" w:lineRule="auto"/>
        <w:rPr>
          <w:lang w:val="en-CA" w:eastAsia="fr-CA"/>
        </w:rPr>
      </w:pPr>
      <w:r w:rsidRPr="00E02273">
        <w:rPr>
          <w:lang w:val="en-CA" w:eastAsia="fr-CA"/>
        </w:rPr>
        <w:t>[</w:t>
      </w:r>
      <w:bookmarkStart w:id="18" w:name="par240"/>
      <w:r w:rsidRPr="00E02273">
        <w:rPr>
          <w:lang w:val="en-CA" w:eastAsia="fr-CA"/>
        </w:rPr>
        <w:t>240</w:t>
      </w:r>
      <w:bookmarkEnd w:id="18"/>
      <w:r w:rsidRPr="00E02273">
        <w:rPr>
          <w:lang w:val="en-CA" w:eastAsia="fr-CA"/>
        </w:rPr>
        <w:t>]</w:t>
      </w:r>
      <w:r w:rsidRPr="00E02273">
        <w:rPr>
          <w:sz w:val="14"/>
          <w:szCs w:val="14"/>
          <w:lang w:val="en-CA" w:eastAsia="fr-CA"/>
        </w:rPr>
        <w:tab/>
      </w:r>
      <w:r w:rsidR="000C3412" w:rsidRPr="00E02273">
        <w:rPr>
          <w:lang w:val="en-CA" w:eastAsia="fr-CA"/>
        </w:rPr>
        <w:t>In addition, as the process of reporting information by patentees and the review of prices by the Board is relatively complex, the Board established non-binding Guidelines under s. 96(4) of the Act to aid in understanding the application of certain relevant provisions of the Act and the Regulations.</w:t>
      </w:r>
    </w:p>
    <w:p w14:paraId="24FDA7D2" w14:textId="564165F7" w:rsidR="000C3412" w:rsidRPr="00E02273" w:rsidRDefault="002D51A4" w:rsidP="00B568AD">
      <w:pPr>
        <w:pStyle w:val="Citationenretrait"/>
        <w:spacing w:line="240" w:lineRule="auto"/>
        <w:rPr>
          <w:lang w:val="en-CA" w:eastAsia="fr-CA"/>
        </w:rPr>
      </w:pPr>
      <w:r w:rsidRPr="00E02273">
        <w:rPr>
          <w:lang w:val="en-CA" w:eastAsia="fr-CA"/>
        </w:rPr>
        <w:t>[</w:t>
      </w:r>
      <w:bookmarkStart w:id="19" w:name="par241"/>
      <w:r w:rsidRPr="00E02273">
        <w:rPr>
          <w:lang w:val="en-CA" w:eastAsia="fr-CA"/>
        </w:rPr>
        <w:t>241</w:t>
      </w:r>
      <w:bookmarkEnd w:id="19"/>
      <w:r w:rsidRPr="00E02273">
        <w:rPr>
          <w:lang w:val="en-CA" w:eastAsia="fr-CA"/>
        </w:rPr>
        <w:t>]</w:t>
      </w:r>
      <w:r w:rsidRPr="00E02273">
        <w:rPr>
          <w:sz w:val="14"/>
          <w:szCs w:val="14"/>
          <w:lang w:val="en-CA" w:eastAsia="fr-CA"/>
        </w:rPr>
        <w:tab/>
      </w:r>
      <w:r w:rsidR="000C3412" w:rsidRPr="00E02273">
        <w:rPr>
          <w:lang w:val="en-CA" w:eastAsia="fr-CA"/>
        </w:rPr>
        <w:t>The Guidelines currently in force related to Regime 1 show that in several circumstances, the median price for a medicine (or medicines of the same class) in the seven comparator countries provided in the schedule to the Regulations is used to calculate the maximum price above which a price will be considered excessive. Therefore, the price in Canada must necessarily be lower than in three (of the seven) countries in which the prices are the highest.</w:t>
      </w:r>
    </w:p>
    <w:p w14:paraId="3461ABC3" w14:textId="5967C86D" w:rsidR="00B568AD" w:rsidRPr="00E02273" w:rsidRDefault="002D51A4" w:rsidP="00B568AD">
      <w:pPr>
        <w:pStyle w:val="Citationenretrait"/>
        <w:spacing w:line="240" w:lineRule="auto"/>
        <w:rPr>
          <w:lang w:val="en-CA" w:eastAsia="fr-CA"/>
        </w:rPr>
      </w:pPr>
      <w:r w:rsidRPr="00E02273">
        <w:rPr>
          <w:lang w:val="en-CA" w:eastAsia="fr-CA"/>
        </w:rPr>
        <w:lastRenderedPageBreak/>
        <w:t>[</w:t>
      </w:r>
      <w:bookmarkStart w:id="20" w:name="par242"/>
      <w:r w:rsidRPr="00E02273">
        <w:rPr>
          <w:lang w:val="en-CA" w:eastAsia="fr-CA"/>
        </w:rPr>
        <w:t>242</w:t>
      </w:r>
      <w:bookmarkEnd w:id="20"/>
      <w:r w:rsidRPr="00E02273">
        <w:rPr>
          <w:lang w:val="en-CA" w:eastAsia="fr-CA"/>
        </w:rPr>
        <w:t>]</w:t>
      </w:r>
      <w:r w:rsidRPr="00E02273">
        <w:rPr>
          <w:lang w:val="en-CA" w:eastAsia="fr-CA"/>
        </w:rPr>
        <w:tab/>
      </w:r>
      <w:r w:rsidR="000C3412" w:rsidRPr="00E02273">
        <w:rPr>
          <w:lang w:val="en-CA"/>
        </w:rPr>
        <w:t>Consequently, in light of the wording of ss. 79 to 101 of the</w:t>
      </w:r>
      <w:r w:rsidR="000C3412" w:rsidRPr="00E02273">
        <w:rPr>
          <w:i/>
          <w:lang w:val="en-CA"/>
        </w:rPr>
        <w:t xml:space="preserve"> Act </w:t>
      </w:r>
      <w:r w:rsidR="000C3412" w:rsidRPr="00E02273">
        <w:rPr>
          <w:lang w:val="en-CA"/>
        </w:rPr>
        <w:t xml:space="preserve">and the wording of the </w:t>
      </w:r>
      <w:r w:rsidR="000C3412" w:rsidRPr="00E02273">
        <w:rPr>
          <w:i/>
          <w:lang w:val="en-CA"/>
        </w:rPr>
        <w:t>Regulations</w:t>
      </w:r>
      <w:r w:rsidR="000C3412" w:rsidRPr="00E02273">
        <w:rPr>
          <w:lang w:val="en-CA"/>
        </w:rPr>
        <w:t>, the purpose of Regime 1 is to regulate the price of patented medicines so as to ensure that they are not excessive, or in other words, that they are acceptable and reasonable. The Guidelines confirm this interpretation</w:t>
      </w:r>
    </w:p>
    <w:p w14:paraId="22073248" w14:textId="3DFB1ED3" w:rsidR="00B568AD" w:rsidRPr="00E02273" w:rsidRDefault="002D51A4" w:rsidP="00B568AD">
      <w:pPr>
        <w:pStyle w:val="Citationenretrait"/>
        <w:spacing w:before="0" w:line="240" w:lineRule="auto"/>
        <w:jc w:val="right"/>
        <w:rPr>
          <w:lang w:val="en-CA" w:eastAsia="fr-CA"/>
        </w:rPr>
      </w:pPr>
      <w:r w:rsidRPr="00E02273">
        <w:rPr>
          <w:lang w:val="en-CA" w:eastAsia="fr-CA"/>
        </w:rPr>
        <w:t>[Citation</w:t>
      </w:r>
      <w:r w:rsidR="000C3412" w:rsidRPr="00E02273">
        <w:rPr>
          <w:lang w:val="en-CA" w:eastAsia="fr-CA"/>
        </w:rPr>
        <w:t xml:space="preserve">s </w:t>
      </w:r>
      <w:r w:rsidRPr="00E02273">
        <w:rPr>
          <w:lang w:val="en-CA" w:eastAsia="fr-CA"/>
        </w:rPr>
        <w:t>omitted</w:t>
      </w:r>
      <w:r w:rsidR="000C3412" w:rsidRPr="00E02273">
        <w:rPr>
          <w:lang w:val="en-CA" w:eastAsia="fr-CA"/>
        </w:rPr>
        <w:t>.</w:t>
      </w:r>
      <w:r w:rsidRPr="00E02273">
        <w:rPr>
          <w:lang w:val="en-CA" w:eastAsia="fr-CA"/>
        </w:rPr>
        <w:t>]</w:t>
      </w:r>
    </w:p>
    <w:p w14:paraId="0920B0DA" w14:textId="5BC06D06" w:rsidR="00B568AD" w:rsidRPr="00E02273" w:rsidRDefault="003E3DF9" w:rsidP="00B572B8">
      <w:pPr>
        <w:pStyle w:val="Paragraphe"/>
        <w:tabs>
          <w:tab w:val="num" w:pos="709"/>
        </w:tabs>
        <w:spacing w:line="240" w:lineRule="auto"/>
        <w:ind w:left="0"/>
        <w:rPr>
          <w:lang w:val="en-CA"/>
        </w:rPr>
      </w:pPr>
      <w:r w:rsidRPr="00E02273">
        <w:rPr>
          <w:lang w:val="en-CA"/>
        </w:rPr>
        <w:t xml:space="preserve">In her </w:t>
      </w:r>
      <w:r w:rsidR="002D51A4" w:rsidRPr="00E02273">
        <w:rPr>
          <w:lang w:val="en-CA"/>
        </w:rPr>
        <w:t>analys</w:t>
      </w:r>
      <w:r w:rsidRPr="00E02273">
        <w:rPr>
          <w:lang w:val="en-CA"/>
        </w:rPr>
        <w:t xml:space="preserve">is of the </w:t>
      </w:r>
      <w:r w:rsidR="002D51A4" w:rsidRPr="00E02273">
        <w:rPr>
          <w:lang w:val="en-CA"/>
        </w:rPr>
        <w:t>evidence</w:t>
      </w:r>
      <w:r w:rsidRPr="00E02273">
        <w:rPr>
          <w:lang w:val="en-CA"/>
        </w:rPr>
        <w:t xml:space="preserve">, the </w:t>
      </w:r>
      <w:r w:rsidR="002D51A4" w:rsidRPr="00E02273">
        <w:rPr>
          <w:lang w:val="en-CA"/>
        </w:rPr>
        <w:t>judge</w:t>
      </w:r>
      <w:r w:rsidRPr="00E02273">
        <w:rPr>
          <w:lang w:val="en-CA"/>
        </w:rPr>
        <w:t xml:space="preserve"> found that the impact of the regime might be inconsistent with the legislative and regulatory wording</w:t>
      </w:r>
      <w:r w:rsidR="002D51A4" w:rsidRPr="00E02273">
        <w:rPr>
          <w:lang w:val="en-CA"/>
        </w:rPr>
        <w:t>.</w:t>
      </w:r>
      <w:r w:rsidRPr="00E02273">
        <w:rPr>
          <w:lang w:val="en-CA"/>
        </w:rPr>
        <w:t xml:space="preserve"> The </w:t>
      </w:r>
      <w:r w:rsidR="002D51A4" w:rsidRPr="00E02273">
        <w:rPr>
          <w:lang w:val="en-CA"/>
        </w:rPr>
        <w:t>evidence</w:t>
      </w:r>
      <w:r w:rsidRPr="00E02273">
        <w:rPr>
          <w:lang w:val="en-CA"/>
        </w:rPr>
        <w:t xml:space="preserve"> shows that the Board establishes the thresholds of prices </w:t>
      </w:r>
      <w:r w:rsidR="00AE7460">
        <w:rPr>
          <w:lang w:val="en-CA"/>
        </w:rPr>
        <w:t>deemed</w:t>
      </w:r>
      <w:r w:rsidRPr="00E02273">
        <w:rPr>
          <w:lang w:val="en-CA"/>
        </w:rPr>
        <w:t xml:space="preserve"> “excessive” almost mechanical</w:t>
      </w:r>
      <w:r w:rsidR="00410E76">
        <w:rPr>
          <w:lang w:val="en-CA"/>
        </w:rPr>
        <w:t>ly,</w:t>
      </w:r>
      <w:r w:rsidRPr="00E02273">
        <w:rPr>
          <w:lang w:val="en-CA"/>
        </w:rPr>
        <w:t xml:space="preserve"> irrespective of the commer</w:t>
      </w:r>
      <w:r w:rsidR="00C63E46" w:rsidRPr="00E02273">
        <w:rPr>
          <w:lang w:val="en-CA"/>
        </w:rPr>
        <w:t>c</w:t>
      </w:r>
      <w:r w:rsidRPr="00E02273">
        <w:rPr>
          <w:lang w:val="en-CA"/>
        </w:rPr>
        <w:t>ial realities of the markets in question, which</w:t>
      </w:r>
      <w:r w:rsidR="002D51A4" w:rsidRPr="00E02273">
        <w:rPr>
          <w:lang w:val="en-CA"/>
        </w:rPr>
        <w:t xml:space="preserve"> – </w:t>
      </w:r>
      <w:r w:rsidRPr="00E02273">
        <w:rPr>
          <w:lang w:val="en-CA"/>
        </w:rPr>
        <w:t xml:space="preserve">according to the </w:t>
      </w:r>
      <w:r w:rsidR="002D51A4" w:rsidRPr="00E02273">
        <w:rPr>
          <w:lang w:val="en-CA"/>
        </w:rPr>
        <w:t xml:space="preserve">judge – </w:t>
      </w:r>
      <w:r w:rsidR="00B81DC5" w:rsidRPr="00E02273">
        <w:rPr>
          <w:lang w:val="en-CA"/>
        </w:rPr>
        <w:t>leads it to find that prices are “excessive” in arguable cases</w:t>
      </w:r>
      <w:r w:rsidR="002D51A4" w:rsidRPr="00E02273">
        <w:rPr>
          <w:lang w:val="en-CA"/>
        </w:rPr>
        <w:t>,</w:t>
      </w:r>
      <w:r w:rsidR="00B81DC5" w:rsidRPr="00E02273">
        <w:rPr>
          <w:lang w:val="en-CA"/>
        </w:rPr>
        <w:t xml:space="preserve"> such as in situations where the price in </w:t>
      </w:r>
      <w:r w:rsidR="002D51A4" w:rsidRPr="00E02273">
        <w:rPr>
          <w:lang w:val="en-CA"/>
        </w:rPr>
        <w:t xml:space="preserve">Canada </w:t>
      </w:r>
      <w:r w:rsidR="00B81DC5" w:rsidRPr="00E02273">
        <w:rPr>
          <w:lang w:val="en-CA"/>
        </w:rPr>
        <w:t xml:space="preserve">exceeds the </w:t>
      </w:r>
      <w:r w:rsidR="002D51A4" w:rsidRPr="00E02273">
        <w:rPr>
          <w:lang w:val="en-CA"/>
        </w:rPr>
        <w:t>international</w:t>
      </w:r>
      <w:r w:rsidR="00B81DC5" w:rsidRPr="00E02273">
        <w:rPr>
          <w:lang w:val="en-CA"/>
        </w:rPr>
        <w:t xml:space="preserve"> median by as little as </w:t>
      </w:r>
      <w:r w:rsidR="002D51A4" w:rsidRPr="00E02273">
        <w:rPr>
          <w:lang w:val="en-CA"/>
        </w:rPr>
        <w:t>0</w:t>
      </w:r>
      <w:r w:rsidR="00B81DC5" w:rsidRPr="00E02273">
        <w:rPr>
          <w:lang w:val="en-CA"/>
        </w:rPr>
        <w:t>.</w:t>
      </w:r>
      <w:r w:rsidR="002D51A4" w:rsidRPr="00E02273">
        <w:rPr>
          <w:lang w:val="en-CA"/>
        </w:rPr>
        <w:t xml:space="preserve">0008% </w:t>
      </w:r>
      <w:r w:rsidR="00B81DC5" w:rsidRPr="00E02273">
        <w:rPr>
          <w:lang w:val="en-CA"/>
        </w:rPr>
        <w:t xml:space="preserve">or when the </w:t>
      </w:r>
      <w:r w:rsidR="00410E76">
        <w:rPr>
          <w:lang w:val="en-CA"/>
        </w:rPr>
        <w:t xml:space="preserve">price </w:t>
      </w:r>
      <w:r w:rsidR="006363E1" w:rsidRPr="00E02273">
        <w:rPr>
          <w:lang w:val="en-CA"/>
        </w:rPr>
        <w:t xml:space="preserve">increase is wholly </w:t>
      </w:r>
      <w:r w:rsidR="002D51A4" w:rsidRPr="00E02273">
        <w:rPr>
          <w:lang w:val="en-CA"/>
        </w:rPr>
        <w:t>attribu</w:t>
      </w:r>
      <w:r w:rsidR="00905DDC" w:rsidRPr="00E02273">
        <w:rPr>
          <w:lang w:val="en-CA"/>
        </w:rPr>
        <w:t>t</w:t>
      </w:r>
      <w:r w:rsidR="002D51A4" w:rsidRPr="00E02273">
        <w:rPr>
          <w:lang w:val="en-CA"/>
        </w:rPr>
        <w:t xml:space="preserve">able </w:t>
      </w:r>
      <w:r w:rsidR="006363E1" w:rsidRPr="00E02273">
        <w:rPr>
          <w:lang w:val="en-CA"/>
        </w:rPr>
        <w:t xml:space="preserve">to </w:t>
      </w:r>
      <w:r w:rsidR="00905DDC" w:rsidRPr="00E02273">
        <w:rPr>
          <w:lang w:val="en-CA"/>
        </w:rPr>
        <w:t xml:space="preserve">fluctuations in the exchange rate of the </w:t>
      </w:r>
      <w:r w:rsidR="002D51A4" w:rsidRPr="00E02273">
        <w:rPr>
          <w:lang w:val="en-CA"/>
        </w:rPr>
        <w:t>Canadian</w:t>
      </w:r>
      <w:r w:rsidR="00905DDC" w:rsidRPr="00E02273">
        <w:rPr>
          <w:lang w:val="en-CA"/>
        </w:rPr>
        <w:t xml:space="preserve"> dollar.</w:t>
      </w:r>
      <w:r w:rsidR="002D51A4" w:rsidRPr="00E02273">
        <w:rPr>
          <w:rStyle w:val="Appelnotedebasdep"/>
          <w:lang w:val="en-CA"/>
        </w:rPr>
        <w:footnoteReference w:id="101"/>
      </w:r>
    </w:p>
    <w:p w14:paraId="462D539E" w14:textId="3F760BE7" w:rsidR="00B568AD" w:rsidRPr="00E02273" w:rsidRDefault="00905DDC" w:rsidP="00B572B8">
      <w:pPr>
        <w:pStyle w:val="Paragraphe"/>
        <w:tabs>
          <w:tab w:val="num" w:pos="709"/>
        </w:tabs>
        <w:spacing w:line="240" w:lineRule="auto"/>
        <w:ind w:left="0"/>
        <w:rPr>
          <w:lang w:val="en-CA"/>
        </w:rPr>
      </w:pPr>
      <w:r w:rsidRPr="00E02273">
        <w:rPr>
          <w:lang w:val="en-CA"/>
        </w:rPr>
        <w:t xml:space="preserve">However, because the pharmaceutical companies generally chose not to </w:t>
      </w:r>
      <w:r w:rsidR="002D51A4" w:rsidRPr="00E02273">
        <w:rPr>
          <w:lang w:val="en-CA"/>
        </w:rPr>
        <w:t>contest</w:t>
      </w:r>
      <w:r w:rsidRPr="00E02273">
        <w:rPr>
          <w:lang w:val="en-CA"/>
        </w:rPr>
        <w:t xml:space="preserve"> the Board’s arguable or problematic </w:t>
      </w:r>
      <w:r w:rsidR="002D51A4" w:rsidRPr="00E02273">
        <w:rPr>
          <w:lang w:val="en-CA"/>
        </w:rPr>
        <w:t>decisions</w:t>
      </w:r>
      <w:r w:rsidRPr="00E02273">
        <w:rPr>
          <w:lang w:val="en-CA"/>
        </w:rPr>
        <w:t xml:space="preserve"> regarding excessive prices, but instea</w:t>
      </w:r>
      <w:r w:rsidR="0007513F" w:rsidRPr="00E02273">
        <w:rPr>
          <w:lang w:val="en-CA"/>
        </w:rPr>
        <w:t>d</w:t>
      </w:r>
      <w:r w:rsidRPr="00E02273">
        <w:rPr>
          <w:lang w:val="en-CA"/>
        </w:rPr>
        <w:t xml:space="preserve"> chose to </w:t>
      </w:r>
      <w:r w:rsidR="0007513F" w:rsidRPr="00E02273">
        <w:rPr>
          <w:lang w:val="en-CA"/>
        </w:rPr>
        <w:t xml:space="preserve">abide by their voluntary compliance </w:t>
      </w:r>
      <w:r w:rsidR="002D51A4" w:rsidRPr="00E02273">
        <w:rPr>
          <w:lang w:val="en-CA"/>
        </w:rPr>
        <w:t>undertaking</w:t>
      </w:r>
      <w:r w:rsidR="0007513F" w:rsidRPr="00E02273">
        <w:rPr>
          <w:lang w:val="en-CA"/>
        </w:rPr>
        <w:t>s</w:t>
      </w:r>
      <w:r w:rsidR="0035498D" w:rsidRPr="00E02273">
        <w:rPr>
          <w:lang w:val="en-CA"/>
        </w:rPr>
        <w:t xml:space="preserve"> in such situations</w:t>
      </w:r>
      <w:r w:rsidR="0007513F" w:rsidRPr="00E02273">
        <w:rPr>
          <w:lang w:val="en-CA"/>
        </w:rPr>
        <w:t xml:space="preserve">, </w:t>
      </w:r>
      <w:r w:rsidR="0035498D" w:rsidRPr="00E02273">
        <w:rPr>
          <w:lang w:val="en-CA"/>
        </w:rPr>
        <w:t xml:space="preserve">the </w:t>
      </w:r>
      <w:r w:rsidR="002D51A4" w:rsidRPr="00E02273">
        <w:rPr>
          <w:lang w:val="en-CA"/>
        </w:rPr>
        <w:t>judge</w:t>
      </w:r>
      <w:r w:rsidR="005762AA">
        <w:rPr>
          <w:lang w:val="en-CA"/>
        </w:rPr>
        <w:t xml:space="preserve"> was of the</w:t>
      </w:r>
      <w:r w:rsidR="0007513F" w:rsidRPr="00E02273">
        <w:rPr>
          <w:lang w:val="en-CA"/>
        </w:rPr>
        <w:t xml:space="preserve"> view</w:t>
      </w:r>
      <w:r w:rsidR="005762AA">
        <w:rPr>
          <w:lang w:val="en-CA"/>
        </w:rPr>
        <w:t xml:space="preserve"> that</w:t>
      </w:r>
      <w:r w:rsidR="0007513F" w:rsidRPr="00E02273">
        <w:rPr>
          <w:lang w:val="en-CA"/>
        </w:rPr>
        <w:t xml:space="preserve"> they could not complain</w:t>
      </w:r>
      <w:r w:rsidR="0035498D" w:rsidRPr="00E02273">
        <w:rPr>
          <w:lang w:val="en-CA"/>
        </w:rPr>
        <w:t xml:space="preserve"> about it now</w:t>
      </w:r>
      <w:r w:rsidR="002D51A4" w:rsidRPr="00E02273">
        <w:rPr>
          <w:lang w:val="en-CA"/>
        </w:rPr>
        <w:t xml:space="preserve">. </w:t>
      </w:r>
    </w:p>
    <w:p w14:paraId="53EDA59F" w14:textId="51F1BD26" w:rsidR="00B568AD" w:rsidRPr="00E02273" w:rsidRDefault="00C9603E" w:rsidP="00B572B8">
      <w:pPr>
        <w:pStyle w:val="Paragraphe"/>
        <w:tabs>
          <w:tab w:val="num" w:pos="709"/>
        </w:tabs>
        <w:spacing w:line="240" w:lineRule="auto"/>
        <w:ind w:left="0"/>
        <w:rPr>
          <w:lang w:val="en-CA"/>
        </w:rPr>
      </w:pPr>
      <w:r w:rsidRPr="00E02273">
        <w:rPr>
          <w:lang w:val="en-CA"/>
        </w:rPr>
        <w:t xml:space="preserve">The </w:t>
      </w:r>
      <w:r w:rsidR="002D51A4" w:rsidRPr="00E02273">
        <w:rPr>
          <w:lang w:val="en-CA"/>
        </w:rPr>
        <w:t>judge</w:t>
      </w:r>
      <w:r w:rsidRPr="00E02273">
        <w:rPr>
          <w:lang w:val="en-CA"/>
        </w:rPr>
        <w:t xml:space="preserve"> therefore found that the </w:t>
      </w:r>
      <w:r w:rsidR="002D51A4" w:rsidRPr="00E02273">
        <w:rPr>
          <w:lang w:val="en-CA"/>
        </w:rPr>
        <w:t>pith</w:t>
      </w:r>
      <w:r w:rsidRPr="00E02273">
        <w:rPr>
          <w:lang w:val="en-CA"/>
        </w:rPr>
        <w:t xml:space="preserve"> </w:t>
      </w:r>
      <w:r w:rsidR="002D51A4" w:rsidRPr="00E02273">
        <w:rPr>
          <w:lang w:val="en-CA"/>
        </w:rPr>
        <w:t>and</w:t>
      </w:r>
      <w:r w:rsidRPr="00E02273">
        <w:rPr>
          <w:lang w:val="en-CA"/>
        </w:rPr>
        <w:t xml:space="preserve"> </w:t>
      </w:r>
      <w:r w:rsidR="002D51A4" w:rsidRPr="00E02273">
        <w:rPr>
          <w:lang w:val="en-CA"/>
        </w:rPr>
        <w:t>substance</w:t>
      </w:r>
      <w:r w:rsidRPr="00E02273">
        <w:rPr>
          <w:lang w:val="en-CA"/>
        </w:rPr>
        <w:t xml:space="preserve"> of the current regime was that set out in the wording </w:t>
      </w:r>
      <w:r w:rsidR="002F48F5">
        <w:rPr>
          <w:lang w:val="en-CA"/>
        </w:rPr>
        <w:t>of</w:t>
      </w:r>
      <w:r w:rsidRPr="00E02273">
        <w:rPr>
          <w:lang w:val="en-CA"/>
        </w:rPr>
        <w:t xml:space="preserve"> the </w:t>
      </w:r>
      <w:r w:rsidRPr="00E02273">
        <w:rPr>
          <w:i/>
          <w:lang w:val="en-CA"/>
        </w:rPr>
        <w:t xml:space="preserve">Act </w:t>
      </w:r>
      <w:r w:rsidRPr="00E02273">
        <w:rPr>
          <w:lang w:val="en-CA"/>
        </w:rPr>
        <w:t xml:space="preserve">and the </w:t>
      </w:r>
      <w:r w:rsidRPr="00E02273">
        <w:rPr>
          <w:i/>
          <w:lang w:val="en-CA"/>
        </w:rPr>
        <w:t xml:space="preserve">Regulations </w:t>
      </w:r>
      <w:r w:rsidR="00493616" w:rsidRPr="00E02273">
        <w:rPr>
          <w:lang w:val="en-CA"/>
        </w:rPr>
        <w:t xml:space="preserve">and </w:t>
      </w:r>
      <w:r w:rsidR="005762AA">
        <w:rPr>
          <w:lang w:val="en-CA"/>
        </w:rPr>
        <w:t>i</w:t>
      </w:r>
      <w:r w:rsidR="00493616" w:rsidRPr="00E02273">
        <w:rPr>
          <w:lang w:val="en-CA"/>
        </w:rPr>
        <w:t>s thus t</w:t>
      </w:r>
      <w:r w:rsidR="005762AA">
        <w:rPr>
          <w:lang w:val="en-CA"/>
        </w:rPr>
        <w:t>o</w:t>
      </w:r>
      <w:r w:rsidR="00493616" w:rsidRPr="00E02273">
        <w:rPr>
          <w:lang w:val="en-CA"/>
        </w:rPr>
        <w:t xml:space="preserve"> control </w:t>
      </w:r>
      <w:r w:rsidR="005762AA">
        <w:rPr>
          <w:lang w:val="en-CA"/>
        </w:rPr>
        <w:t xml:space="preserve"> </w:t>
      </w:r>
      <w:r w:rsidR="00493616" w:rsidRPr="00E02273">
        <w:rPr>
          <w:lang w:val="en-CA"/>
        </w:rPr>
        <w:t xml:space="preserve">prices of patented medicines to ensure that they were below a </w:t>
      </w:r>
      <w:r w:rsidR="002D51A4" w:rsidRPr="00E02273">
        <w:rPr>
          <w:lang w:val="en-CA"/>
        </w:rPr>
        <w:t>threshold</w:t>
      </w:r>
      <w:r w:rsidR="00493616" w:rsidRPr="00E02273">
        <w:rPr>
          <w:lang w:val="en-CA"/>
        </w:rPr>
        <w:t xml:space="preserve"> that the Board deems excessive. The objective </w:t>
      </w:r>
      <w:r w:rsidR="002F48F5">
        <w:rPr>
          <w:lang w:val="en-CA"/>
        </w:rPr>
        <w:t>i</w:t>
      </w:r>
      <w:r w:rsidR="00493616" w:rsidRPr="00E02273">
        <w:rPr>
          <w:lang w:val="en-CA"/>
        </w:rPr>
        <w:t>s to prevent overly high prices due to the abolition of the patented medicines compulsory licensing regime</w:t>
      </w:r>
      <w:r w:rsidR="00217386" w:rsidRPr="00E02273">
        <w:rPr>
          <w:lang w:val="en-CA"/>
        </w:rPr>
        <w:t>.</w:t>
      </w:r>
      <w:r w:rsidR="002D51A4" w:rsidRPr="00E02273">
        <w:rPr>
          <w:rStyle w:val="Appelnotedebasdep"/>
          <w:lang w:val="en-CA"/>
        </w:rPr>
        <w:footnoteReference w:id="102"/>
      </w:r>
    </w:p>
    <w:p w14:paraId="5EF79AB4" w14:textId="6893525E" w:rsidR="00B568AD" w:rsidRPr="00E02273" w:rsidRDefault="00EA2FCB" w:rsidP="00B572B8">
      <w:pPr>
        <w:pStyle w:val="Paragraphe"/>
        <w:tabs>
          <w:tab w:val="num" w:pos="709"/>
        </w:tabs>
        <w:spacing w:line="240" w:lineRule="auto"/>
        <w:ind w:left="0"/>
        <w:rPr>
          <w:lang w:val="en-CA"/>
        </w:rPr>
      </w:pPr>
      <w:r w:rsidRPr="00E02273">
        <w:rPr>
          <w:lang w:val="en-CA"/>
        </w:rPr>
        <w:t xml:space="preserve">As for the </w:t>
      </w:r>
      <w:r w:rsidR="002D51A4" w:rsidRPr="00E02273">
        <w:rPr>
          <w:lang w:val="en-CA"/>
        </w:rPr>
        <w:t>pith</w:t>
      </w:r>
      <w:r w:rsidRPr="00E02273">
        <w:rPr>
          <w:lang w:val="en-CA"/>
        </w:rPr>
        <w:t xml:space="preserve"> </w:t>
      </w:r>
      <w:r w:rsidR="002D51A4" w:rsidRPr="00E02273">
        <w:rPr>
          <w:lang w:val="en-CA"/>
        </w:rPr>
        <w:t>and</w:t>
      </w:r>
      <w:r w:rsidRPr="00E02273">
        <w:rPr>
          <w:lang w:val="en-CA"/>
        </w:rPr>
        <w:t xml:space="preserve"> </w:t>
      </w:r>
      <w:r w:rsidR="002D51A4" w:rsidRPr="00E02273">
        <w:rPr>
          <w:lang w:val="en-CA"/>
        </w:rPr>
        <w:t>substance</w:t>
      </w:r>
      <w:r w:rsidRPr="00E02273">
        <w:rPr>
          <w:lang w:val="en-CA"/>
        </w:rPr>
        <w:t xml:space="preserve"> of the </w:t>
      </w:r>
      <w:r w:rsidR="00866E58" w:rsidRPr="00E02273">
        <w:rPr>
          <w:i/>
          <w:lang w:val="en-CA"/>
        </w:rPr>
        <w:t>2019 Regulatory Amendments</w:t>
      </w:r>
      <w:r w:rsidR="002D51A4" w:rsidRPr="00E02273">
        <w:rPr>
          <w:lang w:val="en-CA"/>
        </w:rPr>
        <w:t xml:space="preserve">, </w:t>
      </w:r>
      <w:r w:rsidRPr="00E02273">
        <w:rPr>
          <w:lang w:val="en-CA"/>
        </w:rPr>
        <w:t xml:space="preserve">the </w:t>
      </w:r>
      <w:r w:rsidR="002D51A4" w:rsidRPr="00E02273">
        <w:rPr>
          <w:lang w:val="en-CA"/>
        </w:rPr>
        <w:t xml:space="preserve">judge </w:t>
      </w:r>
      <w:r w:rsidRPr="00E02273">
        <w:rPr>
          <w:lang w:val="en-CA"/>
        </w:rPr>
        <w:t xml:space="preserve">had no </w:t>
      </w:r>
      <w:r w:rsidR="002D51A4" w:rsidRPr="00E02273">
        <w:rPr>
          <w:lang w:val="en-CA"/>
        </w:rPr>
        <w:t>h</w:t>
      </w:r>
      <w:r w:rsidRPr="00E02273">
        <w:rPr>
          <w:lang w:val="en-CA"/>
        </w:rPr>
        <w:t>e</w:t>
      </w:r>
      <w:r w:rsidR="002D51A4" w:rsidRPr="00E02273">
        <w:rPr>
          <w:lang w:val="en-CA"/>
        </w:rPr>
        <w:t xml:space="preserve">sitation </w:t>
      </w:r>
      <w:r w:rsidRPr="00E02273">
        <w:rPr>
          <w:lang w:val="en-CA"/>
        </w:rPr>
        <w:t>in finding that [</w:t>
      </w:r>
      <w:r w:rsidRPr="00E02273">
        <w:rPr>
          <w:smallCaps/>
          <w:lang w:val="en-CA"/>
        </w:rPr>
        <w:t>translation</w:t>
      </w:r>
      <w:r w:rsidRPr="00E02273">
        <w:rPr>
          <w:lang w:val="en-CA"/>
        </w:rPr>
        <w:t>] “Parliament’s objective is to significantly reduce the price of patented medicines”,</w:t>
      </w:r>
      <w:r w:rsidR="002D51A4" w:rsidRPr="00E02273">
        <w:rPr>
          <w:rStyle w:val="Appelnotedebasdep"/>
          <w:lang w:val="en-CA"/>
        </w:rPr>
        <w:footnoteReference w:id="103"/>
      </w:r>
      <w:r w:rsidRPr="00E02273">
        <w:rPr>
          <w:lang w:val="en-CA"/>
        </w:rPr>
        <w:t xml:space="preserve"> because in light of the </w:t>
      </w:r>
      <w:r w:rsidR="002D51A4" w:rsidRPr="00E02273">
        <w:rPr>
          <w:lang w:val="en-CA"/>
        </w:rPr>
        <w:t>evidence,</w:t>
      </w:r>
      <w:r w:rsidRPr="00E02273">
        <w:rPr>
          <w:lang w:val="en-CA"/>
        </w:rPr>
        <w:t xml:space="preserve"> [</w:t>
      </w:r>
      <w:r w:rsidRPr="00E02273">
        <w:rPr>
          <w:smallCaps/>
          <w:lang w:val="en-CA"/>
        </w:rPr>
        <w:t>translation</w:t>
      </w:r>
      <w:r w:rsidRPr="00E02273">
        <w:rPr>
          <w:lang w:val="en-CA"/>
        </w:rPr>
        <w:t>]</w:t>
      </w:r>
      <w:r w:rsidR="002D51A4" w:rsidRPr="00E02273">
        <w:rPr>
          <w:lang w:val="en-CA"/>
        </w:rPr>
        <w:t xml:space="preserve"> </w:t>
      </w:r>
      <w:r w:rsidRPr="00E02273">
        <w:rPr>
          <w:lang w:val="en-CA"/>
        </w:rPr>
        <w:t>“</w:t>
      </w:r>
      <w:r w:rsidR="005F1EE2" w:rsidRPr="00E02273">
        <w:rPr>
          <w:lang w:val="en-CA"/>
        </w:rPr>
        <w:t>the objective of lowering the price of patented medicines could not be clearer”.</w:t>
      </w:r>
      <w:r w:rsidR="002D51A4" w:rsidRPr="00E02273">
        <w:rPr>
          <w:rStyle w:val="Appelnotedebasdep"/>
          <w:lang w:val="en-CA"/>
        </w:rPr>
        <w:footnoteReference w:id="104"/>
      </w:r>
      <w:r w:rsidR="002D51A4" w:rsidRPr="00E02273">
        <w:rPr>
          <w:lang w:val="en-CA"/>
        </w:rPr>
        <w:t xml:space="preserve"> </w:t>
      </w:r>
      <w:r w:rsidR="005F1EE2" w:rsidRPr="00E02273">
        <w:rPr>
          <w:lang w:val="en-CA"/>
        </w:rPr>
        <w:t xml:space="preserve">The federal </w:t>
      </w:r>
      <w:r w:rsidR="002D51A4" w:rsidRPr="00E02273">
        <w:rPr>
          <w:lang w:val="en-CA"/>
        </w:rPr>
        <w:t>government</w:t>
      </w:r>
      <w:r w:rsidR="005F1EE2" w:rsidRPr="00E02273">
        <w:rPr>
          <w:lang w:val="en-CA"/>
        </w:rPr>
        <w:t xml:space="preserve"> is of the view that the cost of patented medicines, especially medicines</w:t>
      </w:r>
      <w:r w:rsidR="00D32376" w:rsidRPr="00E02273">
        <w:rPr>
          <w:lang w:val="en-CA"/>
        </w:rPr>
        <w:t xml:space="preserve"> sold at high prices</w:t>
      </w:r>
      <w:r w:rsidR="005F1EE2" w:rsidRPr="00E02273">
        <w:rPr>
          <w:lang w:val="en-CA"/>
        </w:rPr>
        <w:t xml:space="preserve">, has </w:t>
      </w:r>
      <w:r w:rsidR="00EF1127" w:rsidRPr="00E02273">
        <w:rPr>
          <w:lang w:val="en-CA"/>
        </w:rPr>
        <w:t xml:space="preserve">continuously increased and that it is necessary to take </w:t>
      </w:r>
      <w:r w:rsidR="00AE7460">
        <w:rPr>
          <w:lang w:val="en-CA"/>
        </w:rPr>
        <w:t>steps</w:t>
      </w:r>
      <w:r w:rsidR="00EF1127" w:rsidRPr="00E02273">
        <w:rPr>
          <w:lang w:val="en-CA"/>
        </w:rPr>
        <w:t xml:space="preserve"> to significantly reduce those prices.</w:t>
      </w:r>
      <w:r w:rsidR="002D51A4" w:rsidRPr="00E02273">
        <w:rPr>
          <w:rStyle w:val="Appelnotedebasdep"/>
          <w:lang w:val="en-CA"/>
        </w:rPr>
        <w:footnoteReference w:id="105"/>
      </w:r>
      <w:r w:rsidR="002D51A4" w:rsidRPr="00E02273">
        <w:rPr>
          <w:lang w:val="en-CA"/>
        </w:rPr>
        <w:t xml:space="preserve"> </w:t>
      </w:r>
    </w:p>
    <w:p w14:paraId="5BF6D257" w14:textId="6C2E510A" w:rsidR="00B568AD" w:rsidRPr="00E02273" w:rsidRDefault="004A37A8" w:rsidP="00B572B8">
      <w:pPr>
        <w:pStyle w:val="Paragraphe"/>
        <w:tabs>
          <w:tab w:val="num" w:pos="709"/>
        </w:tabs>
        <w:spacing w:line="240" w:lineRule="auto"/>
        <w:ind w:left="0"/>
        <w:rPr>
          <w:lang w:val="en-CA"/>
        </w:rPr>
      </w:pPr>
      <w:r w:rsidRPr="00E02273">
        <w:rPr>
          <w:lang w:val="en-CA"/>
        </w:rPr>
        <w:t xml:space="preserve">While the proposed amendments will significantly reduce the price of patented medicines in </w:t>
      </w:r>
      <w:r w:rsidR="002D51A4" w:rsidRPr="00E02273">
        <w:rPr>
          <w:lang w:val="en-CA"/>
        </w:rPr>
        <w:t xml:space="preserve">Canada, </w:t>
      </w:r>
      <w:r w:rsidRPr="00E02273">
        <w:rPr>
          <w:lang w:val="en-CA"/>
        </w:rPr>
        <w:t xml:space="preserve">the </w:t>
      </w:r>
      <w:r w:rsidR="002D51A4" w:rsidRPr="00E02273">
        <w:rPr>
          <w:lang w:val="en-CA"/>
        </w:rPr>
        <w:t xml:space="preserve">judge </w:t>
      </w:r>
      <w:r w:rsidRPr="00E02273">
        <w:rPr>
          <w:lang w:val="en-CA"/>
        </w:rPr>
        <w:t xml:space="preserve">also found that the </w:t>
      </w:r>
      <w:r w:rsidR="002D51A4" w:rsidRPr="00E02273">
        <w:rPr>
          <w:lang w:val="en-CA"/>
        </w:rPr>
        <w:t>evidence</w:t>
      </w:r>
      <w:r w:rsidRPr="00E02273">
        <w:rPr>
          <w:lang w:val="en-CA"/>
        </w:rPr>
        <w:t xml:space="preserve"> showed that several </w:t>
      </w:r>
      <w:r w:rsidRPr="00E02273">
        <w:rPr>
          <w:lang w:val="en-CA"/>
        </w:rPr>
        <w:lastRenderedPageBreak/>
        <w:t xml:space="preserve">foreseeable, </w:t>
      </w:r>
      <w:r w:rsidR="00AE7460">
        <w:rPr>
          <w:lang w:val="en-CA"/>
        </w:rPr>
        <w:t>adverse</w:t>
      </w:r>
      <w:r w:rsidRPr="00E02273">
        <w:rPr>
          <w:lang w:val="en-CA"/>
        </w:rPr>
        <w:t xml:space="preserve"> effects would result from these regulatory amendments, in particular the </w:t>
      </w:r>
      <w:r w:rsidR="002D51A4" w:rsidRPr="00E02273">
        <w:rPr>
          <w:lang w:val="en-CA"/>
        </w:rPr>
        <w:t>abandon</w:t>
      </w:r>
      <w:r w:rsidRPr="00E02273">
        <w:rPr>
          <w:lang w:val="en-CA"/>
        </w:rPr>
        <w:t xml:space="preserve">ment or decrease </w:t>
      </w:r>
      <w:r w:rsidR="00460D76" w:rsidRPr="00E02273">
        <w:rPr>
          <w:lang w:val="en-CA"/>
        </w:rPr>
        <w:t xml:space="preserve">of policies granting confidential rebates to the provincial drug insurance plans, a significant decrease in clinical studies conducted in </w:t>
      </w:r>
      <w:r w:rsidR="002D51A4" w:rsidRPr="00E02273">
        <w:rPr>
          <w:lang w:val="en-CA"/>
        </w:rPr>
        <w:t>Canada</w:t>
      </w:r>
      <w:r w:rsidR="00942054" w:rsidRPr="00E02273">
        <w:rPr>
          <w:lang w:val="en-CA"/>
        </w:rPr>
        <w:t xml:space="preserve">, and the delay, sometimes indefinite, </w:t>
      </w:r>
      <w:r w:rsidR="005762AA">
        <w:rPr>
          <w:lang w:val="en-CA"/>
        </w:rPr>
        <w:t>in</w:t>
      </w:r>
      <w:r w:rsidR="005762AA" w:rsidRPr="00E02273">
        <w:rPr>
          <w:lang w:val="en-CA"/>
        </w:rPr>
        <w:t xml:space="preserve"> </w:t>
      </w:r>
      <w:r w:rsidR="00B6442C" w:rsidRPr="00E02273">
        <w:rPr>
          <w:lang w:val="en-CA"/>
        </w:rPr>
        <w:t>introduc</w:t>
      </w:r>
      <w:r w:rsidR="005762AA">
        <w:rPr>
          <w:lang w:val="en-CA"/>
        </w:rPr>
        <w:t>ing</w:t>
      </w:r>
      <w:r w:rsidR="00B6442C" w:rsidRPr="00E02273">
        <w:rPr>
          <w:lang w:val="en-CA"/>
        </w:rPr>
        <w:t xml:space="preserve"> certain new medicines in </w:t>
      </w:r>
      <w:r w:rsidR="002D51A4" w:rsidRPr="00E02273">
        <w:rPr>
          <w:lang w:val="en-CA"/>
        </w:rPr>
        <w:t xml:space="preserve">Canada, </w:t>
      </w:r>
      <w:r w:rsidR="00B6442C" w:rsidRPr="00E02273">
        <w:rPr>
          <w:lang w:val="en-CA"/>
        </w:rPr>
        <w:t xml:space="preserve">with deplorable </w:t>
      </w:r>
      <w:r w:rsidR="002D51A4" w:rsidRPr="00E02273">
        <w:rPr>
          <w:lang w:val="en-CA"/>
        </w:rPr>
        <w:t>cons</w:t>
      </w:r>
      <w:r w:rsidR="00B6442C" w:rsidRPr="00E02273">
        <w:rPr>
          <w:lang w:val="en-CA"/>
        </w:rPr>
        <w:t>e</w:t>
      </w:r>
      <w:r w:rsidR="002D51A4" w:rsidRPr="00E02273">
        <w:rPr>
          <w:lang w:val="en-CA"/>
        </w:rPr>
        <w:t xml:space="preserve">quences </w:t>
      </w:r>
      <w:r w:rsidR="00B6442C" w:rsidRPr="00E02273">
        <w:rPr>
          <w:lang w:val="en-CA"/>
        </w:rPr>
        <w:t xml:space="preserve">on several </w:t>
      </w:r>
      <w:r w:rsidR="002D51A4" w:rsidRPr="00E02273">
        <w:rPr>
          <w:lang w:val="en-CA"/>
        </w:rPr>
        <w:t>cat</w:t>
      </w:r>
      <w:r w:rsidR="00B6442C" w:rsidRPr="00E02273">
        <w:rPr>
          <w:lang w:val="en-CA"/>
        </w:rPr>
        <w:t>e</w:t>
      </w:r>
      <w:r w:rsidR="002D51A4" w:rsidRPr="00E02273">
        <w:rPr>
          <w:lang w:val="en-CA"/>
        </w:rPr>
        <w:t xml:space="preserve">gories </w:t>
      </w:r>
      <w:r w:rsidR="00B6442C" w:rsidRPr="00E02273">
        <w:rPr>
          <w:lang w:val="en-CA"/>
        </w:rPr>
        <w:t xml:space="preserve">of </w:t>
      </w:r>
      <w:r w:rsidR="002D51A4" w:rsidRPr="00E02273">
        <w:rPr>
          <w:lang w:val="en-CA"/>
        </w:rPr>
        <w:t xml:space="preserve">patients </w:t>
      </w:r>
      <w:r w:rsidR="00B6442C" w:rsidRPr="00E02273">
        <w:rPr>
          <w:lang w:val="en-CA"/>
        </w:rPr>
        <w:t xml:space="preserve">suffering from </w:t>
      </w:r>
      <w:r w:rsidR="002D51A4" w:rsidRPr="00E02273">
        <w:rPr>
          <w:lang w:val="en-CA"/>
        </w:rPr>
        <w:t>rare</w:t>
      </w:r>
      <w:r w:rsidR="00B6442C" w:rsidRPr="00E02273">
        <w:rPr>
          <w:lang w:val="en-CA"/>
        </w:rPr>
        <w:t xml:space="preserve"> disease</w:t>
      </w:r>
      <w:r w:rsidR="002D51A4" w:rsidRPr="00E02273">
        <w:rPr>
          <w:lang w:val="en-CA"/>
        </w:rPr>
        <w:t xml:space="preserve">s, </w:t>
      </w:r>
      <w:r w:rsidR="00B6442C" w:rsidRPr="00E02273">
        <w:rPr>
          <w:lang w:val="en-CA"/>
        </w:rPr>
        <w:t>a decrease in the activities and even the possible c</w:t>
      </w:r>
      <w:r w:rsidR="002D51A4" w:rsidRPr="00E02273">
        <w:rPr>
          <w:lang w:val="en-CA"/>
        </w:rPr>
        <w:t>l</w:t>
      </w:r>
      <w:r w:rsidR="00B6442C" w:rsidRPr="00E02273">
        <w:rPr>
          <w:lang w:val="en-CA"/>
        </w:rPr>
        <w:t xml:space="preserve">osure of </w:t>
      </w:r>
      <w:r w:rsidR="009D7702" w:rsidRPr="00E02273">
        <w:rPr>
          <w:lang w:val="en-CA"/>
        </w:rPr>
        <w:t>several s</w:t>
      </w:r>
      <w:r w:rsidR="00B72603">
        <w:rPr>
          <w:lang w:val="en-CA"/>
        </w:rPr>
        <w:t>m</w:t>
      </w:r>
      <w:r w:rsidR="009D7702" w:rsidRPr="00E02273">
        <w:rPr>
          <w:lang w:val="en-CA"/>
        </w:rPr>
        <w:t>all innovati</w:t>
      </w:r>
      <w:r w:rsidR="005762AA">
        <w:rPr>
          <w:lang w:val="en-CA"/>
        </w:rPr>
        <w:t>ve</w:t>
      </w:r>
      <w:r w:rsidR="009D7702" w:rsidRPr="00E02273">
        <w:rPr>
          <w:lang w:val="en-CA"/>
        </w:rPr>
        <w:t xml:space="preserve"> </w:t>
      </w:r>
      <w:r w:rsidR="002D51A4" w:rsidRPr="00E02273">
        <w:rPr>
          <w:lang w:val="en-CA"/>
        </w:rPr>
        <w:t>pharmaceuti</w:t>
      </w:r>
      <w:r w:rsidR="009D7702" w:rsidRPr="00E02273">
        <w:rPr>
          <w:lang w:val="en-CA"/>
        </w:rPr>
        <w:t xml:space="preserve">cal companies. It is worth reproducing the trial judge’s </w:t>
      </w:r>
      <w:r w:rsidR="002D51A4" w:rsidRPr="00E02273">
        <w:rPr>
          <w:lang w:val="en-CA"/>
        </w:rPr>
        <w:t xml:space="preserve">conclusions </w:t>
      </w:r>
      <w:r w:rsidR="009D7702" w:rsidRPr="00E02273">
        <w:rPr>
          <w:lang w:val="en-CA"/>
        </w:rPr>
        <w:t>in this regard:</w:t>
      </w:r>
      <w:r w:rsidR="002D51A4" w:rsidRPr="00E02273">
        <w:rPr>
          <w:rStyle w:val="Appelnotedebasdep"/>
          <w:lang w:val="en-CA"/>
        </w:rPr>
        <w:footnoteReference w:id="106"/>
      </w:r>
    </w:p>
    <w:p w14:paraId="03F06A12" w14:textId="321DCD95" w:rsidR="007C491B" w:rsidRPr="00E02273" w:rsidRDefault="007C491B" w:rsidP="00B568AD">
      <w:pPr>
        <w:pStyle w:val="Citationenretrait"/>
        <w:spacing w:line="240" w:lineRule="auto"/>
        <w:rPr>
          <w:lang w:val="en-CA"/>
        </w:rPr>
      </w:pPr>
      <w:r w:rsidRPr="00E02273">
        <w:rPr>
          <w:smallCaps/>
          <w:lang w:val="en-CA"/>
        </w:rPr>
        <w:t>[translation</w:t>
      </w:r>
      <w:r w:rsidRPr="00E02273">
        <w:rPr>
          <w:lang w:val="en-CA"/>
        </w:rPr>
        <w:t>]</w:t>
      </w:r>
    </w:p>
    <w:p w14:paraId="26F0437A" w14:textId="441A471A" w:rsidR="00B568AD" w:rsidRPr="00E02273" w:rsidRDefault="002D51A4" w:rsidP="00B568AD">
      <w:pPr>
        <w:pStyle w:val="Citationenretrait"/>
        <w:spacing w:line="240" w:lineRule="auto"/>
        <w:rPr>
          <w:lang w:val="en-CA"/>
        </w:rPr>
      </w:pPr>
      <w:r w:rsidRPr="00E02273">
        <w:rPr>
          <w:lang w:val="en-CA"/>
        </w:rPr>
        <w:t>[</w:t>
      </w:r>
      <w:bookmarkStart w:id="21" w:name="par279"/>
      <w:r w:rsidRPr="00E02273">
        <w:rPr>
          <w:lang w:val="en-CA"/>
        </w:rPr>
        <w:t>279</w:t>
      </w:r>
      <w:bookmarkEnd w:id="21"/>
      <w:r w:rsidRPr="00E02273">
        <w:rPr>
          <w:lang w:val="en-CA"/>
        </w:rPr>
        <w:t>]</w:t>
      </w:r>
      <w:r w:rsidRPr="00E02273">
        <w:rPr>
          <w:sz w:val="14"/>
          <w:szCs w:val="14"/>
          <w:lang w:val="en-CA"/>
        </w:rPr>
        <w:tab/>
      </w:r>
      <w:r w:rsidR="007C491B" w:rsidRPr="00E02273">
        <w:rPr>
          <w:lang w:val="en-CA"/>
        </w:rPr>
        <w:t>In addition, the requirement set out in the Amendments to disclose to the Board the net prices after deducting the confidential rebates granted to the provincial drug insurance plans means that the applicants will no longer be in a position to offer such rebates (because of the impact of the disclosure on prices in the Canadian private insurance market and markets outside Canada). These rebates often represent an average reduction of 25% to 30% of the prices indicated on the provincial forms (Lists). They are not considered in the price reimbursed by public insurance plans, but are instead claimed by them from the manufacturers further to sales made.</w:t>
      </w:r>
    </w:p>
    <w:p w14:paraId="6A595A10" w14:textId="08F21708" w:rsidR="00B568AD" w:rsidRPr="00E02273" w:rsidRDefault="007C491B" w:rsidP="00B568AD">
      <w:pPr>
        <w:pStyle w:val="Citationenretrait"/>
        <w:spacing w:line="240" w:lineRule="auto"/>
        <w:rPr>
          <w:rFonts w:ascii="Times New Roman" w:hAnsi="Times New Roman"/>
          <w:lang w:val="en-CA" w:eastAsia="fr-CA"/>
        </w:rPr>
      </w:pPr>
      <w:r w:rsidRPr="00E02273">
        <w:rPr>
          <w:lang w:val="en-CA"/>
        </w:rPr>
        <w:t>…</w:t>
      </w:r>
    </w:p>
    <w:p w14:paraId="00E1013E" w14:textId="1A13086A" w:rsidR="00B568AD" w:rsidRPr="00E02273" w:rsidRDefault="002D51A4" w:rsidP="00B568AD">
      <w:pPr>
        <w:pStyle w:val="Citationenretrait"/>
        <w:spacing w:line="240" w:lineRule="auto"/>
        <w:rPr>
          <w:lang w:val="en-CA"/>
        </w:rPr>
      </w:pPr>
      <w:r w:rsidRPr="00E02273">
        <w:rPr>
          <w:lang w:val="en-CA"/>
        </w:rPr>
        <w:t>[</w:t>
      </w:r>
      <w:bookmarkStart w:id="22" w:name="par282"/>
      <w:r w:rsidRPr="00E02273">
        <w:rPr>
          <w:lang w:val="en-CA"/>
        </w:rPr>
        <w:t>282</w:t>
      </w:r>
      <w:bookmarkEnd w:id="22"/>
      <w:r w:rsidRPr="00E02273">
        <w:rPr>
          <w:lang w:val="en-CA"/>
        </w:rPr>
        <w:t>]</w:t>
      </w:r>
      <w:r w:rsidRPr="00E02273">
        <w:rPr>
          <w:sz w:val="14"/>
          <w:szCs w:val="14"/>
          <w:lang w:val="en-CA"/>
        </w:rPr>
        <w:tab/>
      </w:r>
      <w:r w:rsidR="00A25BD0" w:rsidRPr="00E02273">
        <w:rPr>
          <w:lang w:val="en-CA"/>
        </w:rPr>
        <w:t xml:space="preserve">Moreover, according to expert Palmer, the Amendments have already caused </w:t>
      </w:r>
      <w:r w:rsidR="00A25BD0" w:rsidRPr="00E02273">
        <w:rPr>
          <w:u w:val="single"/>
          <w:lang w:val="en-CA"/>
        </w:rPr>
        <w:t>a significant reduction of clinical trials being conducted in Canada</w:t>
      </w:r>
      <w:r w:rsidR="00A25BD0" w:rsidRPr="00E02273">
        <w:rPr>
          <w:lang w:val="en-CA"/>
        </w:rPr>
        <w:t>. The drop in the annual number of such trials conducted from 2013 to 2018 and the corresponding number from February 2019 to February 2020 is significant and a direct result of the anticipated concerns of the innovative pharmaceutical industry regarding the impact of the Amendments. The same is true with respect to the availability of new medicines in Canada; a marked reduction in 2019 is noted.</w:t>
      </w:r>
      <w:r w:rsidRPr="00E02273">
        <w:rPr>
          <w:lang w:val="en-CA"/>
        </w:rPr>
        <w:t xml:space="preserve"> </w:t>
      </w:r>
    </w:p>
    <w:p w14:paraId="52F94A70" w14:textId="603801C0" w:rsidR="00B568AD" w:rsidRPr="00E02273" w:rsidRDefault="002D51A4" w:rsidP="00B568AD">
      <w:pPr>
        <w:pStyle w:val="Citationenretrait"/>
        <w:spacing w:line="240" w:lineRule="auto"/>
        <w:rPr>
          <w:lang w:val="en-CA"/>
        </w:rPr>
      </w:pPr>
      <w:r w:rsidRPr="00E02273">
        <w:rPr>
          <w:lang w:val="en-CA"/>
        </w:rPr>
        <w:t>[</w:t>
      </w:r>
      <w:bookmarkStart w:id="23" w:name="par283"/>
      <w:r w:rsidRPr="00E02273">
        <w:rPr>
          <w:lang w:val="en-CA"/>
        </w:rPr>
        <w:t>283</w:t>
      </w:r>
      <w:bookmarkEnd w:id="23"/>
      <w:r w:rsidRPr="00E02273">
        <w:rPr>
          <w:lang w:val="en-CA"/>
        </w:rPr>
        <w:t>]</w:t>
      </w:r>
      <w:r w:rsidRPr="00E02273">
        <w:rPr>
          <w:sz w:val="14"/>
          <w:szCs w:val="14"/>
          <w:lang w:val="en-CA"/>
        </w:rPr>
        <w:tab/>
      </w:r>
      <w:r w:rsidR="00644238" w:rsidRPr="00E02273">
        <w:rPr>
          <w:lang w:val="en-CA"/>
        </w:rPr>
        <w:t xml:space="preserve">According to the applicants’ sworn statements, which are based on the 2019 draft Guidelines, the Amendments will result in very significant price reductions. </w:t>
      </w:r>
      <w:r w:rsidR="00644238" w:rsidRPr="00E02273">
        <w:rPr>
          <w:u w:val="single"/>
          <w:lang w:val="en-CA"/>
        </w:rPr>
        <w:t>In certain cases, the expected reductions will be so drastic that the introduction of some medicines in Canada will be delayed, sometimes indefinitely. The decision to obtain Canadian patents could even be questioned in some instances</w:t>
      </w:r>
      <w:r w:rsidR="00644238" w:rsidRPr="00E02273">
        <w:rPr>
          <w:lang w:val="en-CA"/>
        </w:rPr>
        <w:t>.</w:t>
      </w:r>
      <w:r w:rsidRPr="00E02273">
        <w:rPr>
          <w:lang w:val="en-CA"/>
        </w:rPr>
        <w:t xml:space="preserve"> </w:t>
      </w:r>
    </w:p>
    <w:p w14:paraId="40A99D41" w14:textId="20DBD57C" w:rsidR="00B568AD" w:rsidRPr="00E02273" w:rsidRDefault="002D51A4" w:rsidP="00B568AD">
      <w:pPr>
        <w:pStyle w:val="Citationenretrait"/>
        <w:spacing w:line="240" w:lineRule="auto"/>
        <w:rPr>
          <w:lang w:val="en-CA"/>
        </w:rPr>
      </w:pPr>
      <w:r w:rsidRPr="00E02273">
        <w:rPr>
          <w:lang w:val="en-CA"/>
        </w:rPr>
        <w:t>[</w:t>
      </w:r>
      <w:bookmarkStart w:id="24" w:name="par284"/>
      <w:r w:rsidRPr="00E02273">
        <w:rPr>
          <w:lang w:val="en-CA"/>
        </w:rPr>
        <w:t>284</w:t>
      </w:r>
      <w:bookmarkEnd w:id="24"/>
      <w:r w:rsidRPr="00E02273">
        <w:rPr>
          <w:lang w:val="en-CA"/>
        </w:rPr>
        <w:t>]</w:t>
      </w:r>
      <w:r w:rsidRPr="00E02273">
        <w:rPr>
          <w:sz w:val="14"/>
          <w:szCs w:val="14"/>
          <w:lang w:val="en-CA"/>
        </w:rPr>
        <w:tab/>
      </w:r>
      <w:r w:rsidR="00644238" w:rsidRPr="00E02273">
        <w:rPr>
          <w:lang w:val="en-CA"/>
        </w:rPr>
        <w:t xml:space="preserve">The sworn statements of the representatives of EMD Serono, Avir, and Theratechnologies speak volumes as to </w:t>
      </w:r>
      <w:r w:rsidR="00644238" w:rsidRPr="00E02273">
        <w:rPr>
          <w:u w:val="single"/>
          <w:lang w:val="en-CA"/>
        </w:rPr>
        <w:t>the even greater effect of the Amendments (if applied on the basis of the 2019 draft Guidelines) on smaller firms or those that develop medicines to treat rare diseases. They are disappointed to have to abandon their plans to introduce certain new medicines in Canada due to the planned reduction of “excessive” prices. Avir’s representative even fears for the firm’s survival</w:t>
      </w:r>
      <w:r w:rsidRPr="00E02273">
        <w:rPr>
          <w:lang w:val="en-CA"/>
        </w:rPr>
        <w:t xml:space="preserve">. </w:t>
      </w:r>
    </w:p>
    <w:p w14:paraId="4602A180" w14:textId="79093AE1" w:rsidR="00B568AD" w:rsidRPr="00E02273" w:rsidRDefault="002D51A4" w:rsidP="00B568AD">
      <w:pPr>
        <w:pStyle w:val="Citationenretrait"/>
        <w:spacing w:line="240" w:lineRule="auto"/>
        <w:rPr>
          <w:lang w:val="en-CA"/>
        </w:rPr>
      </w:pPr>
      <w:r w:rsidRPr="00E02273">
        <w:rPr>
          <w:lang w:val="en-CA"/>
        </w:rPr>
        <w:lastRenderedPageBreak/>
        <w:t>[</w:t>
      </w:r>
      <w:bookmarkStart w:id="25" w:name="par285"/>
      <w:r w:rsidRPr="00E02273">
        <w:rPr>
          <w:lang w:val="en-CA"/>
        </w:rPr>
        <w:t>285</w:t>
      </w:r>
      <w:bookmarkEnd w:id="25"/>
      <w:r w:rsidRPr="00E02273">
        <w:rPr>
          <w:lang w:val="en-CA"/>
        </w:rPr>
        <w:t>]</w:t>
      </w:r>
      <w:r w:rsidRPr="00E02273">
        <w:rPr>
          <w:sz w:val="14"/>
          <w:szCs w:val="14"/>
          <w:lang w:val="en-CA"/>
        </w:rPr>
        <w:tab/>
      </w:r>
      <w:r w:rsidR="00644238" w:rsidRPr="00E02273">
        <w:rPr>
          <w:lang w:val="en-CA"/>
        </w:rPr>
        <w:t>Finally, the evidence filed by the interven</w:t>
      </w:r>
      <w:r w:rsidR="006E709F">
        <w:rPr>
          <w:lang w:val="en-CA"/>
        </w:rPr>
        <w:t>o</w:t>
      </w:r>
      <w:r w:rsidR="00644238" w:rsidRPr="00E02273">
        <w:rPr>
          <w:lang w:val="en-CA"/>
        </w:rPr>
        <w:t xml:space="preserve">r </w:t>
      </w:r>
      <w:r w:rsidR="00644238" w:rsidRPr="00E02273">
        <w:rPr>
          <w:rFonts w:cs="Arial"/>
          <w:szCs w:val="24"/>
          <w:lang w:val="en-CA" w:eastAsia="fr-CA"/>
        </w:rPr>
        <w:t xml:space="preserve">Canadian Cystic Fibrosis Treatment Society also describes </w:t>
      </w:r>
      <w:r w:rsidR="00644238" w:rsidRPr="00E02273">
        <w:rPr>
          <w:rFonts w:cs="Arial"/>
          <w:szCs w:val="24"/>
          <w:u w:val="single"/>
          <w:lang w:val="en-CA" w:eastAsia="fr-CA"/>
        </w:rPr>
        <w:t>the patients’ perspective of the deplorable consequences that the Amendments have on access in Canada to medicines to treat rare diseases</w:t>
      </w:r>
      <w:r w:rsidRPr="00E02273">
        <w:rPr>
          <w:lang w:val="en-CA"/>
        </w:rPr>
        <w:t>. </w:t>
      </w:r>
      <w:r w:rsidRPr="00E02273">
        <w:rPr>
          <w:u w:val="single"/>
          <w:lang w:val="en-CA"/>
        </w:rPr>
        <w:t xml:space="preserve"> </w:t>
      </w:r>
    </w:p>
    <w:p w14:paraId="6DFA9200" w14:textId="2B8D4B15" w:rsidR="00B568AD" w:rsidRPr="00E02273" w:rsidRDefault="002D51A4" w:rsidP="00B568AD">
      <w:pPr>
        <w:pStyle w:val="Citationenretrait"/>
        <w:spacing w:line="240" w:lineRule="auto"/>
        <w:rPr>
          <w:lang w:val="en-CA"/>
        </w:rPr>
      </w:pPr>
      <w:r w:rsidRPr="00E02273">
        <w:rPr>
          <w:lang w:val="en-CA"/>
        </w:rPr>
        <w:t>[</w:t>
      </w:r>
      <w:bookmarkStart w:id="26" w:name="par286"/>
      <w:r w:rsidRPr="00E02273">
        <w:rPr>
          <w:lang w:val="en-CA"/>
        </w:rPr>
        <w:t>286</w:t>
      </w:r>
      <w:bookmarkEnd w:id="26"/>
      <w:r w:rsidRPr="00E02273">
        <w:rPr>
          <w:lang w:val="en-CA"/>
        </w:rPr>
        <w:t>]</w:t>
      </w:r>
      <w:r w:rsidRPr="00E02273">
        <w:rPr>
          <w:sz w:val="14"/>
          <w:szCs w:val="14"/>
          <w:lang w:val="en-CA"/>
        </w:rPr>
        <w:tab/>
      </w:r>
      <w:r w:rsidR="00852293" w:rsidRPr="00E02273">
        <w:rPr>
          <w:u w:val="single"/>
          <w:lang w:val="en-CA"/>
        </w:rPr>
        <w:t>Thus, it seems that the expected price reductions have already had a negative effect in Canada on the quantity of clinical research being conducted and on the availability of particularly costly medicines to treat rare disease</w:t>
      </w:r>
      <w:r w:rsidR="00852293" w:rsidRPr="00E02273">
        <w:rPr>
          <w:lang w:val="en-CA"/>
        </w:rPr>
        <w:t>s</w:t>
      </w:r>
      <w:r w:rsidRPr="00E02273">
        <w:rPr>
          <w:lang w:val="en-CA"/>
        </w:rPr>
        <w:t xml:space="preserve">. </w:t>
      </w:r>
    </w:p>
    <w:p w14:paraId="40BFF66C" w14:textId="7CBD43DC" w:rsidR="00B568AD" w:rsidRPr="00E02273" w:rsidRDefault="002D51A4" w:rsidP="00B568AD">
      <w:pPr>
        <w:pStyle w:val="Citationenretrait"/>
        <w:spacing w:line="240" w:lineRule="auto"/>
        <w:jc w:val="right"/>
        <w:rPr>
          <w:lang w:val="en-CA"/>
        </w:rPr>
      </w:pPr>
      <w:r w:rsidRPr="00E02273">
        <w:rPr>
          <w:lang w:val="en-CA"/>
        </w:rPr>
        <w:t>[Emphasis</w:t>
      </w:r>
      <w:r w:rsidR="0046448B" w:rsidRPr="00E02273">
        <w:rPr>
          <w:lang w:val="en-CA"/>
        </w:rPr>
        <w:t xml:space="preserve"> </w:t>
      </w:r>
      <w:r w:rsidRPr="00E02273">
        <w:rPr>
          <w:lang w:val="en-CA"/>
        </w:rPr>
        <w:t xml:space="preserve">added; </w:t>
      </w:r>
      <w:r w:rsidR="0046448B" w:rsidRPr="00E02273">
        <w:rPr>
          <w:lang w:val="en-CA"/>
        </w:rPr>
        <w:t>c</w:t>
      </w:r>
      <w:r w:rsidRPr="00E02273">
        <w:rPr>
          <w:lang w:val="en-CA"/>
        </w:rPr>
        <w:t>itation</w:t>
      </w:r>
      <w:r w:rsidR="0046448B" w:rsidRPr="00E02273">
        <w:rPr>
          <w:lang w:val="en-CA"/>
        </w:rPr>
        <w:t xml:space="preserve">s </w:t>
      </w:r>
      <w:r w:rsidRPr="00E02273">
        <w:rPr>
          <w:lang w:val="en-CA"/>
        </w:rPr>
        <w:t>omitted</w:t>
      </w:r>
      <w:r w:rsidR="0046448B" w:rsidRPr="00E02273">
        <w:rPr>
          <w:lang w:val="en-CA"/>
        </w:rPr>
        <w:t>.</w:t>
      </w:r>
      <w:r w:rsidRPr="00E02273">
        <w:rPr>
          <w:lang w:val="en-CA"/>
        </w:rPr>
        <w:t>]</w:t>
      </w:r>
    </w:p>
    <w:p w14:paraId="1F5D60C8" w14:textId="0A04EBA7" w:rsidR="00B568AD" w:rsidRPr="00E02273" w:rsidRDefault="00686BE4" w:rsidP="00B572B8">
      <w:pPr>
        <w:pStyle w:val="Paragraphe"/>
        <w:tabs>
          <w:tab w:val="num" w:pos="709"/>
        </w:tabs>
        <w:spacing w:line="240" w:lineRule="auto"/>
        <w:ind w:left="0"/>
        <w:rPr>
          <w:lang w:val="en-CA"/>
        </w:rPr>
      </w:pPr>
      <w:r w:rsidRPr="00E02273">
        <w:rPr>
          <w:lang w:val="en-CA"/>
        </w:rPr>
        <w:t xml:space="preserve">However, the </w:t>
      </w:r>
      <w:r w:rsidR="002D51A4" w:rsidRPr="00E02273">
        <w:rPr>
          <w:lang w:val="en-CA"/>
        </w:rPr>
        <w:t xml:space="preserve">judge </w:t>
      </w:r>
      <w:r w:rsidRPr="00E02273">
        <w:rPr>
          <w:lang w:val="en-CA"/>
        </w:rPr>
        <w:t xml:space="preserve">said that the </w:t>
      </w:r>
      <w:r w:rsidR="005054B8" w:rsidRPr="00E02273">
        <w:rPr>
          <w:lang w:val="en-CA"/>
        </w:rPr>
        <w:t xml:space="preserve">wisdom and efficacy of the new </w:t>
      </w:r>
      <w:r w:rsidR="002D51A4" w:rsidRPr="00E02273">
        <w:rPr>
          <w:lang w:val="en-CA"/>
        </w:rPr>
        <w:t>regulatory</w:t>
      </w:r>
      <w:r w:rsidR="005054B8" w:rsidRPr="00E02273">
        <w:rPr>
          <w:lang w:val="en-CA"/>
        </w:rPr>
        <w:t xml:space="preserve"> regime were not </w:t>
      </w:r>
      <w:r w:rsidR="002D51A4" w:rsidRPr="00E02273">
        <w:rPr>
          <w:lang w:val="en-CA"/>
        </w:rPr>
        <w:t>relevant</w:t>
      </w:r>
      <w:r w:rsidR="005054B8" w:rsidRPr="00E02273">
        <w:rPr>
          <w:lang w:val="en-CA"/>
        </w:rPr>
        <w:t xml:space="preserve"> to the </w:t>
      </w:r>
      <w:r w:rsidR="002D51A4" w:rsidRPr="00E02273">
        <w:rPr>
          <w:lang w:val="en-CA"/>
        </w:rPr>
        <w:t>constitution</w:t>
      </w:r>
      <w:r w:rsidR="005054B8" w:rsidRPr="00E02273">
        <w:rPr>
          <w:lang w:val="en-CA"/>
        </w:rPr>
        <w:t>a</w:t>
      </w:r>
      <w:r w:rsidR="002D51A4" w:rsidRPr="00E02273">
        <w:rPr>
          <w:lang w:val="en-CA"/>
        </w:rPr>
        <w:t>l</w:t>
      </w:r>
      <w:r w:rsidR="005054B8" w:rsidRPr="00E02273">
        <w:rPr>
          <w:lang w:val="en-CA"/>
        </w:rPr>
        <w:t xml:space="preserve"> analysis and thus found that the </w:t>
      </w:r>
      <w:r w:rsidR="002D51A4" w:rsidRPr="00E02273">
        <w:rPr>
          <w:lang w:val="en-CA"/>
        </w:rPr>
        <w:t>pith</w:t>
      </w:r>
      <w:r w:rsidR="005054B8" w:rsidRPr="00E02273">
        <w:rPr>
          <w:lang w:val="en-CA"/>
        </w:rPr>
        <w:t xml:space="preserve"> </w:t>
      </w:r>
      <w:r w:rsidR="002D51A4" w:rsidRPr="00E02273">
        <w:rPr>
          <w:lang w:val="en-CA"/>
        </w:rPr>
        <w:t>and</w:t>
      </w:r>
      <w:r w:rsidR="005054B8" w:rsidRPr="00E02273">
        <w:rPr>
          <w:lang w:val="en-CA"/>
        </w:rPr>
        <w:t xml:space="preserve"> </w:t>
      </w:r>
      <w:r w:rsidR="002D51A4" w:rsidRPr="00E02273">
        <w:rPr>
          <w:lang w:val="en-CA"/>
        </w:rPr>
        <w:t>substance</w:t>
      </w:r>
      <w:r w:rsidR="005054B8" w:rsidRPr="00E02273">
        <w:rPr>
          <w:lang w:val="en-CA"/>
        </w:rPr>
        <w:t xml:space="preserve"> of the proposed regulatory amendments is essentially the same as that of the current regime, that is, </w:t>
      </w:r>
      <w:r w:rsidR="00170B4B">
        <w:rPr>
          <w:lang w:val="en-CA"/>
        </w:rPr>
        <w:t xml:space="preserve">to </w:t>
      </w:r>
      <w:r w:rsidR="005054B8" w:rsidRPr="00E02273">
        <w:rPr>
          <w:lang w:val="en-CA"/>
        </w:rPr>
        <w:t>control the excessive prices of patented medicines</w:t>
      </w:r>
      <w:r w:rsidR="002D51A4" w:rsidRPr="00E02273">
        <w:rPr>
          <w:lang w:val="en-CA"/>
        </w:rPr>
        <w:t xml:space="preserve">. </w:t>
      </w:r>
      <w:r w:rsidR="005054B8" w:rsidRPr="00E02273">
        <w:rPr>
          <w:lang w:val="en-CA"/>
        </w:rPr>
        <w:t>She stated:</w:t>
      </w:r>
      <w:r w:rsidR="002D51A4" w:rsidRPr="00E02273">
        <w:rPr>
          <w:rStyle w:val="Appelnotedebasdep"/>
          <w:lang w:val="en-CA"/>
        </w:rPr>
        <w:footnoteReference w:id="107"/>
      </w:r>
    </w:p>
    <w:p w14:paraId="19D2CA99" w14:textId="172C8024" w:rsidR="0046448B" w:rsidRPr="00E02273" w:rsidRDefault="0046448B" w:rsidP="00B568AD">
      <w:pPr>
        <w:pStyle w:val="Citationenretrait"/>
        <w:spacing w:line="240" w:lineRule="auto"/>
        <w:rPr>
          <w:lang w:val="en-CA"/>
        </w:rPr>
      </w:pPr>
      <w:bookmarkStart w:id="27" w:name="par287"/>
      <w:r w:rsidRPr="00E02273">
        <w:rPr>
          <w:lang w:val="en-CA"/>
        </w:rPr>
        <w:t>[</w:t>
      </w:r>
      <w:r w:rsidRPr="00E02273">
        <w:rPr>
          <w:smallCaps/>
          <w:lang w:val="en-CA"/>
        </w:rPr>
        <w:t>translation</w:t>
      </w:r>
      <w:r w:rsidRPr="00E02273">
        <w:rPr>
          <w:lang w:val="en-CA"/>
        </w:rPr>
        <w:t>]</w:t>
      </w:r>
    </w:p>
    <w:p w14:paraId="5C56A070" w14:textId="0F574629" w:rsidR="00B568AD" w:rsidRPr="00E02273" w:rsidRDefault="002D51A4" w:rsidP="00B568AD">
      <w:pPr>
        <w:pStyle w:val="Citationenretrait"/>
        <w:spacing w:line="240" w:lineRule="auto"/>
        <w:rPr>
          <w:u w:val="single"/>
          <w:lang w:val="en-CA"/>
        </w:rPr>
      </w:pPr>
      <w:r w:rsidRPr="00E02273">
        <w:rPr>
          <w:lang w:val="en-CA"/>
        </w:rPr>
        <w:t>[287</w:t>
      </w:r>
      <w:bookmarkEnd w:id="27"/>
      <w:r w:rsidRPr="00E02273">
        <w:rPr>
          <w:lang w:val="en-CA"/>
        </w:rPr>
        <w:t>]</w:t>
      </w:r>
      <w:r w:rsidRPr="00E02273">
        <w:rPr>
          <w:sz w:val="14"/>
          <w:szCs w:val="14"/>
          <w:lang w:val="en-CA"/>
        </w:rPr>
        <w:tab/>
      </w:r>
      <w:r w:rsidR="0046448B" w:rsidRPr="00E02273">
        <w:rPr>
          <w:lang w:val="en-CA"/>
        </w:rPr>
        <w:t>In light of all the evidence,</w:t>
      </w:r>
      <w:r w:rsidR="0046448B" w:rsidRPr="00E02273">
        <w:rPr>
          <w:u w:val="single"/>
          <w:lang w:val="en-CA"/>
        </w:rPr>
        <w:t xml:space="preserve"> the pith and substance of the Amendments is increased control of the price of patented medicines through additional tools to ensure the reasonableness of prices, especially the prices of a certain category of medicines sold at very high prices.</w:t>
      </w:r>
      <w:r w:rsidR="0046448B" w:rsidRPr="00F91CBF">
        <w:rPr>
          <w:lang w:val="en-CA"/>
        </w:rPr>
        <w:t xml:space="preserve"> </w:t>
      </w:r>
      <w:r w:rsidR="0046448B" w:rsidRPr="00E02273">
        <w:rPr>
          <w:lang w:val="en-CA"/>
        </w:rPr>
        <w:t xml:space="preserve">These additional tools hinge on an amended list of comparator countries, additional factors to consider (pharmacoeconomic value of the medicine, size of the market for the medicine in Canada, gross domestic product in Canada, and gross domestic product per capita in Canada), and new data to provide to the Board regarding sales, taking into account the confidential rebates granted to the provincial prescription drug insurance plans. </w:t>
      </w:r>
      <w:r w:rsidR="0046448B" w:rsidRPr="00E02273">
        <w:rPr>
          <w:u w:val="single"/>
          <w:lang w:val="en-CA"/>
        </w:rPr>
        <w:t xml:space="preserve">These factors are still intended to determine the threshold above which the price of a medicine will be excessive (there is no distinction between Regime 2 and Regime 1 in regard to this requirement set out in ss. 83(1) and 85(1) and (2) of the </w:t>
      </w:r>
      <w:r w:rsidR="0046448B" w:rsidRPr="00AE7460">
        <w:rPr>
          <w:i/>
          <w:u w:val="single"/>
          <w:lang w:val="en-CA"/>
        </w:rPr>
        <w:t>Act</w:t>
      </w:r>
      <w:r w:rsidR="0046448B" w:rsidRPr="00E02273">
        <w:rPr>
          <w:u w:val="single"/>
          <w:lang w:val="en-CA"/>
        </w:rPr>
        <w:t>).</w:t>
      </w:r>
    </w:p>
    <w:p w14:paraId="0255C2FB" w14:textId="1B77A510" w:rsidR="00B568AD" w:rsidRPr="00E02273" w:rsidRDefault="002D51A4" w:rsidP="00B568AD">
      <w:pPr>
        <w:pStyle w:val="Citationenretrait"/>
        <w:spacing w:line="240" w:lineRule="auto"/>
        <w:jc w:val="right"/>
        <w:rPr>
          <w:rFonts w:ascii="Times New Roman" w:hAnsi="Times New Roman"/>
          <w:lang w:val="en-CA" w:eastAsia="fr-CA"/>
        </w:rPr>
      </w:pPr>
      <w:r w:rsidRPr="00E02273">
        <w:rPr>
          <w:lang w:val="en-CA"/>
        </w:rPr>
        <w:t>[Emphasis</w:t>
      </w:r>
      <w:r w:rsidR="005054B8" w:rsidRPr="00E02273">
        <w:rPr>
          <w:lang w:val="en-CA"/>
        </w:rPr>
        <w:t xml:space="preserve"> </w:t>
      </w:r>
      <w:r w:rsidRPr="00E02273">
        <w:rPr>
          <w:lang w:val="en-CA"/>
        </w:rPr>
        <w:t>added</w:t>
      </w:r>
      <w:r w:rsidR="005054B8" w:rsidRPr="00E02273">
        <w:rPr>
          <w:lang w:val="en-CA"/>
        </w:rPr>
        <w:t>.</w:t>
      </w:r>
      <w:r w:rsidRPr="00E02273">
        <w:rPr>
          <w:lang w:val="en-CA"/>
        </w:rPr>
        <w:t>]</w:t>
      </w:r>
    </w:p>
    <w:p w14:paraId="2F25C5F1" w14:textId="27EBB94C" w:rsidR="00B568AD" w:rsidRPr="00E02273" w:rsidRDefault="000A3FB1" w:rsidP="00B572B8">
      <w:pPr>
        <w:pStyle w:val="Paragraphe"/>
        <w:tabs>
          <w:tab w:val="num" w:pos="709"/>
        </w:tabs>
        <w:spacing w:line="240" w:lineRule="auto"/>
        <w:ind w:left="0"/>
        <w:rPr>
          <w:lang w:val="en-CA"/>
        </w:rPr>
      </w:pPr>
      <w:r w:rsidRPr="00E02273">
        <w:rPr>
          <w:lang w:val="en-CA"/>
        </w:rPr>
        <w:t xml:space="preserve">Having established the </w:t>
      </w:r>
      <w:r w:rsidR="002D51A4" w:rsidRPr="00E02273">
        <w:rPr>
          <w:lang w:val="en-CA"/>
        </w:rPr>
        <w:t>pith</w:t>
      </w:r>
      <w:r w:rsidRPr="00E02273">
        <w:rPr>
          <w:lang w:val="en-CA"/>
        </w:rPr>
        <w:t xml:space="preserve"> </w:t>
      </w:r>
      <w:r w:rsidR="002D51A4" w:rsidRPr="00E02273">
        <w:rPr>
          <w:lang w:val="en-CA"/>
        </w:rPr>
        <w:t>and</w:t>
      </w:r>
      <w:r w:rsidRPr="00E02273">
        <w:rPr>
          <w:lang w:val="en-CA"/>
        </w:rPr>
        <w:t xml:space="preserve"> </w:t>
      </w:r>
      <w:r w:rsidR="002D51A4" w:rsidRPr="00E02273">
        <w:rPr>
          <w:lang w:val="en-CA"/>
        </w:rPr>
        <w:t>substance</w:t>
      </w:r>
      <w:r w:rsidRPr="00E02273">
        <w:rPr>
          <w:lang w:val="en-CA"/>
        </w:rPr>
        <w:t xml:space="preserve"> of the </w:t>
      </w:r>
      <w:r w:rsidR="002D51A4" w:rsidRPr="00E02273">
        <w:rPr>
          <w:lang w:val="en-CA"/>
        </w:rPr>
        <w:t>impugned</w:t>
      </w:r>
      <w:r w:rsidRPr="00E02273">
        <w:rPr>
          <w:lang w:val="en-CA"/>
        </w:rPr>
        <w:t xml:space="preserve"> </w:t>
      </w:r>
      <w:r w:rsidR="002D51A4" w:rsidRPr="00E02273">
        <w:rPr>
          <w:lang w:val="en-CA"/>
        </w:rPr>
        <w:t xml:space="preserve">provisions, </w:t>
      </w:r>
      <w:r w:rsidRPr="00E02273">
        <w:rPr>
          <w:lang w:val="en-CA"/>
        </w:rPr>
        <w:t>the judge proceeded to classify them constitutionally</w:t>
      </w:r>
      <w:r w:rsidR="002D51A4" w:rsidRPr="00E02273">
        <w:rPr>
          <w:lang w:val="en-CA"/>
        </w:rPr>
        <w:t>.</w:t>
      </w:r>
      <w:r w:rsidRPr="00E02273">
        <w:rPr>
          <w:lang w:val="en-CA"/>
        </w:rPr>
        <w:t xml:space="preserve"> After an extensive review of the relevant </w:t>
      </w:r>
      <w:r w:rsidR="002D51A4" w:rsidRPr="00E02273">
        <w:rPr>
          <w:lang w:val="en-CA"/>
        </w:rPr>
        <w:t>case</w:t>
      </w:r>
      <w:r w:rsidRPr="00E02273">
        <w:rPr>
          <w:lang w:val="en-CA"/>
        </w:rPr>
        <w:t xml:space="preserve"> </w:t>
      </w:r>
      <w:r w:rsidR="002D51A4" w:rsidRPr="00E02273">
        <w:rPr>
          <w:lang w:val="en-CA"/>
        </w:rPr>
        <w:t>law</w:t>
      </w:r>
      <w:r w:rsidRPr="00E02273">
        <w:rPr>
          <w:lang w:val="en-CA"/>
        </w:rPr>
        <w:t xml:space="preserve">, she stated that the real issue related to that </w:t>
      </w:r>
      <w:r w:rsidR="002D51A4" w:rsidRPr="00E02273">
        <w:rPr>
          <w:lang w:val="en-CA"/>
        </w:rPr>
        <w:t>classification</w:t>
      </w:r>
      <w:r w:rsidRPr="00E02273">
        <w:rPr>
          <w:lang w:val="en-CA"/>
        </w:rPr>
        <w:t xml:space="preserve"> was whether the Board was engaging in an </w:t>
      </w:r>
      <w:r w:rsidR="002D51A4" w:rsidRPr="00E02273">
        <w:rPr>
          <w:lang w:val="en-CA"/>
        </w:rPr>
        <w:t>exerci</w:t>
      </w:r>
      <w:r w:rsidRPr="00E02273">
        <w:rPr>
          <w:lang w:val="en-CA"/>
        </w:rPr>
        <w:t xml:space="preserve">se of fixing the prices of patented medicines – which is not a matter of </w:t>
      </w:r>
      <w:r w:rsidR="002D51A4" w:rsidRPr="00E02273">
        <w:rPr>
          <w:lang w:val="en-CA"/>
        </w:rPr>
        <w:t>federal</w:t>
      </w:r>
      <w:r w:rsidR="00851F32" w:rsidRPr="00E02273">
        <w:rPr>
          <w:lang w:val="en-CA"/>
        </w:rPr>
        <w:t xml:space="preserve"> </w:t>
      </w:r>
      <w:r w:rsidR="002D51A4" w:rsidRPr="00E02273">
        <w:rPr>
          <w:lang w:val="en-CA"/>
        </w:rPr>
        <w:t xml:space="preserve">jurisdiction – </w:t>
      </w:r>
      <w:r w:rsidR="00851F32" w:rsidRPr="00E02273">
        <w:rPr>
          <w:lang w:val="en-CA"/>
        </w:rPr>
        <w:t xml:space="preserve">or rather an </w:t>
      </w:r>
      <w:r w:rsidR="002D51A4" w:rsidRPr="00E02273">
        <w:rPr>
          <w:lang w:val="en-CA"/>
        </w:rPr>
        <w:t>exerci</w:t>
      </w:r>
      <w:r w:rsidR="00851F32" w:rsidRPr="00E02273">
        <w:rPr>
          <w:lang w:val="en-CA"/>
        </w:rPr>
        <w:t>s</w:t>
      </w:r>
      <w:r w:rsidR="002D51A4" w:rsidRPr="00E02273">
        <w:rPr>
          <w:lang w:val="en-CA"/>
        </w:rPr>
        <w:t xml:space="preserve">e </w:t>
      </w:r>
      <w:r w:rsidR="00851F32" w:rsidRPr="00E02273">
        <w:rPr>
          <w:lang w:val="en-CA"/>
        </w:rPr>
        <w:t xml:space="preserve">of controlling excessive prices </w:t>
      </w:r>
      <w:r w:rsidR="00615DF0">
        <w:rPr>
          <w:lang w:val="en-CA"/>
        </w:rPr>
        <w:t xml:space="preserve">of these medicines </w:t>
      </w:r>
      <w:r w:rsidR="00851F32" w:rsidRPr="00E02273">
        <w:rPr>
          <w:lang w:val="en-CA"/>
        </w:rPr>
        <w:t xml:space="preserve">that </w:t>
      </w:r>
      <w:r w:rsidR="000F1040">
        <w:rPr>
          <w:lang w:val="en-CA"/>
        </w:rPr>
        <w:t>is akin</w:t>
      </w:r>
      <w:r w:rsidR="00615DF0">
        <w:rPr>
          <w:lang w:val="en-CA"/>
        </w:rPr>
        <w:t xml:space="preserve"> </w:t>
      </w:r>
      <w:r w:rsidR="000F1040">
        <w:rPr>
          <w:lang w:val="en-CA"/>
        </w:rPr>
        <w:t xml:space="preserve">to </w:t>
      </w:r>
      <w:r w:rsidR="00851F32" w:rsidRPr="00E02273">
        <w:rPr>
          <w:lang w:val="en-CA"/>
        </w:rPr>
        <w:t>abuse of patent.</w:t>
      </w:r>
      <w:r w:rsidR="002D51A4" w:rsidRPr="00E02273">
        <w:rPr>
          <w:rStyle w:val="Appelnotedebasdep"/>
          <w:lang w:val="en-CA"/>
        </w:rPr>
        <w:footnoteReference w:id="108"/>
      </w:r>
      <w:r w:rsidR="002D51A4" w:rsidRPr="00E02273">
        <w:rPr>
          <w:lang w:val="en-CA"/>
        </w:rPr>
        <w:t xml:space="preserve"> </w:t>
      </w:r>
    </w:p>
    <w:p w14:paraId="57276F37" w14:textId="5E1800F4" w:rsidR="00B568AD" w:rsidRPr="00E02273" w:rsidRDefault="006F33CB" w:rsidP="00B572B8">
      <w:pPr>
        <w:pStyle w:val="Paragraphe"/>
        <w:tabs>
          <w:tab w:val="num" w:pos="709"/>
        </w:tabs>
        <w:spacing w:line="240" w:lineRule="auto"/>
        <w:ind w:left="0"/>
        <w:rPr>
          <w:lang w:val="en-CA"/>
        </w:rPr>
      </w:pPr>
      <w:r w:rsidRPr="00E02273">
        <w:rPr>
          <w:lang w:val="en-CA"/>
        </w:rPr>
        <w:t xml:space="preserve">The </w:t>
      </w:r>
      <w:r w:rsidR="002D51A4" w:rsidRPr="00E02273">
        <w:rPr>
          <w:lang w:val="en-CA"/>
        </w:rPr>
        <w:t>judge</w:t>
      </w:r>
      <w:r w:rsidRPr="00E02273">
        <w:rPr>
          <w:lang w:val="en-CA"/>
        </w:rPr>
        <w:t xml:space="preserve"> found that the sale of patented medicines at excessive prices is a </w:t>
      </w:r>
      <w:r w:rsidR="002D51A4" w:rsidRPr="00E02273">
        <w:rPr>
          <w:lang w:val="en-CA"/>
        </w:rPr>
        <w:t>form</w:t>
      </w:r>
      <w:r w:rsidRPr="00E02273">
        <w:rPr>
          <w:lang w:val="en-CA"/>
        </w:rPr>
        <w:t xml:space="preserve"> of </w:t>
      </w:r>
      <w:r w:rsidR="002D51A4" w:rsidRPr="00E02273">
        <w:rPr>
          <w:lang w:val="en-CA"/>
        </w:rPr>
        <w:t>abus</w:t>
      </w:r>
      <w:r w:rsidRPr="00E02273">
        <w:rPr>
          <w:lang w:val="en-CA"/>
        </w:rPr>
        <w:t>e of patent.</w:t>
      </w:r>
      <w:r w:rsidR="002D51A4" w:rsidRPr="00E02273">
        <w:rPr>
          <w:rStyle w:val="Appelnotedebasdep"/>
          <w:lang w:val="en-CA"/>
        </w:rPr>
        <w:footnoteReference w:id="109"/>
      </w:r>
      <w:r w:rsidRPr="00E02273">
        <w:rPr>
          <w:lang w:val="en-CA"/>
        </w:rPr>
        <w:t xml:space="preserve"> Controlling abuse of patent has always been</w:t>
      </w:r>
      <w:r w:rsidR="00615DF0">
        <w:rPr>
          <w:lang w:val="en-CA"/>
        </w:rPr>
        <w:t xml:space="preserve"> a</w:t>
      </w:r>
      <w:r w:rsidRPr="00E02273">
        <w:rPr>
          <w:lang w:val="en-CA"/>
        </w:rPr>
        <w:t xml:space="preserve"> part of the </w:t>
      </w:r>
      <w:r w:rsidR="002D51A4" w:rsidRPr="00E02273">
        <w:rPr>
          <w:lang w:val="en-CA"/>
        </w:rPr>
        <w:t>federal</w:t>
      </w:r>
      <w:r w:rsidRPr="00E02273">
        <w:rPr>
          <w:lang w:val="en-CA"/>
        </w:rPr>
        <w:t xml:space="preserve"> </w:t>
      </w:r>
      <w:r w:rsidR="002D51A4" w:rsidRPr="00E02273">
        <w:rPr>
          <w:lang w:val="en-CA"/>
        </w:rPr>
        <w:lastRenderedPageBreak/>
        <w:t>jurisdiction</w:t>
      </w:r>
      <w:r w:rsidRPr="00E02273">
        <w:rPr>
          <w:lang w:val="en-CA"/>
        </w:rPr>
        <w:t xml:space="preserve"> over patents, as the </w:t>
      </w:r>
      <w:r w:rsidR="002D51A4" w:rsidRPr="00E02273">
        <w:rPr>
          <w:lang w:val="en-CA"/>
        </w:rPr>
        <w:t>courts</w:t>
      </w:r>
      <w:r w:rsidRPr="00E02273">
        <w:rPr>
          <w:lang w:val="en-CA"/>
        </w:rPr>
        <w:t xml:space="preserve"> have confirmed on several occasions</w:t>
      </w:r>
      <w:r w:rsidR="002D51A4" w:rsidRPr="00E02273">
        <w:rPr>
          <w:lang w:val="en-CA"/>
        </w:rPr>
        <w:t xml:space="preserve">. </w:t>
      </w:r>
      <w:r w:rsidRPr="00E02273">
        <w:rPr>
          <w:lang w:val="en-CA"/>
        </w:rPr>
        <w:t xml:space="preserve">The </w:t>
      </w:r>
      <w:r w:rsidR="002D51A4" w:rsidRPr="00E02273">
        <w:rPr>
          <w:lang w:val="en-CA"/>
        </w:rPr>
        <w:t>judge</w:t>
      </w:r>
      <w:r w:rsidRPr="00E02273">
        <w:rPr>
          <w:lang w:val="en-CA"/>
        </w:rPr>
        <w:t xml:space="preserve"> found</w:t>
      </w:r>
      <w:r w:rsidR="00615DF0">
        <w:rPr>
          <w:lang w:val="en-CA"/>
        </w:rPr>
        <w:t xml:space="preserve"> that</w:t>
      </w:r>
      <w:r w:rsidRPr="00E02273">
        <w:rPr>
          <w:lang w:val="en-CA"/>
        </w:rPr>
        <w:t xml:space="preserve">, </w:t>
      </w:r>
      <w:r w:rsidR="00351DA7" w:rsidRPr="00E02273">
        <w:rPr>
          <w:lang w:val="en-CA"/>
        </w:rPr>
        <w:t xml:space="preserve">at the very least, the current regime </w:t>
      </w:r>
      <w:r w:rsidR="002D51A4" w:rsidRPr="00E02273">
        <w:rPr>
          <w:lang w:val="en-CA"/>
        </w:rPr>
        <w:t>(</w:t>
      </w:r>
      <w:r w:rsidR="00351DA7" w:rsidRPr="00E02273">
        <w:rPr>
          <w:lang w:val="en-CA"/>
        </w:rPr>
        <w:t xml:space="preserve">which she </w:t>
      </w:r>
      <w:r w:rsidR="00BD4BA8" w:rsidRPr="00E02273">
        <w:rPr>
          <w:lang w:val="en-CA"/>
        </w:rPr>
        <w:t>called</w:t>
      </w:r>
      <w:r w:rsidR="00351DA7" w:rsidRPr="00E02273">
        <w:rPr>
          <w:lang w:val="en-CA"/>
        </w:rPr>
        <w:t xml:space="preserve"> </w:t>
      </w:r>
      <w:r w:rsidR="002D51A4" w:rsidRPr="00E02273">
        <w:rPr>
          <w:lang w:val="en-CA"/>
        </w:rPr>
        <w:t>R</w:t>
      </w:r>
      <w:r w:rsidR="00351DA7" w:rsidRPr="00E02273">
        <w:rPr>
          <w:lang w:val="en-CA"/>
        </w:rPr>
        <w:t>e</w:t>
      </w:r>
      <w:r w:rsidR="002D51A4" w:rsidRPr="00E02273">
        <w:rPr>
          <w:lang w:val="en-CA"/>
        </w:rPr>
        <w:t xml:space="preserve">gime 1) </w:t>
      </w:r>
      <w:r w:rsidR="00BD4BA8" w:rsidRPr="00E02273">
        <w:rPr>
          <w:lang w:val="en-CA"/>
        </w:rPr>
        <w:t xml:space="preserve">falls </w:t>
      </w:r>
      <w:r w:rsidR="00CC27EA" w:rsidRPr="00E02273">
        <w:rPr>
          <w:lang w:val="en-CA"/>
        </w:rPr>
        <w:t>within</w:t>
      </w:r>
      <w:r w:rsidR="00BD4BA8" w:rsidRPr="00E02273">
        <w:rPr>
          <w:lang w:val="en-CA"/>
        </w:rPr>
        <w:t xml:space="preserve"> </w:t>
      </w:r>
      <w:r w:rsidR="00914836">
        <w:rPr>
          <w:lang w:val="en-CA"/>
        </w:rPr>
        <w:t xml:space="preserve">the </w:t>
      </w:r>
      <w:r w:rsidR="002D51A4" w:rsidRPr="00E02273">
        <w:rPr>
          <w:lang w:val="en-CA"/>
        </w:rPr>
        <w:t>federal</w:t>
      </w:r>
      <w:r w:rsidR="00BD4BA8" w:rsidRPr="00E02273">
        <w:rPr>
          <w:lang w:val="en-CA"/>
        </w:rPr>
        <w:t xml:space="preserve"> </w:t>
      </w:r>
      <w:r w:rsidR="002D51A4" w:rsidRPr="00E02273">
        <w:rPr>
          <w:lang w:val="en-CA"/>
        </w:rPr>
        <w:t xml:space="preserve">jurisdiction. </w:t>
      </w:r>
      <w:r w:rsidR="00D1352D" w:rsidRPr="00E02273">
        <w:rPr>
          <w:lang w:val="en-CA"/>
        </w:rPr>
        <w:t xml:space="preserve">She found this to be the case despite the fact that the Board’s </w:t>
      </w:r>
      <w:r w:rsidR="002D51A4" w:rsidRPr="00E02273">
        <w:rPr>
          <w:lang w:val="en-CA"/>
        </w:rPr>
        <w:t xml:space="preserve">application </w:t>
      </w:r>
      <w:r w:rsidR="00D1352D" w:rsidRPr="00E02273">
        <w:rPr>
          <w:lang w:val="en-CA"/>
        </w:rPr>
        <w:t>of this re</w:t>
      </w:r>
      <w:r w:rsidR="002D51A4" w:rsidRPr="00E02273">
        <w:rPr>
          <w:lang w:val="en-CA"/>
        </w:rPr>
        <w:t xml:space="preserve">gime </w:t>
      </w:r>
      <w:r w:rsidR="00D1352D" w:rsidRPr="00E02273">
        <w:rPr>
          <w:lang w:val="en-CA"/>
        </w:rPr>
        <w:t>may raise serious questions.</w:t>
      </w:r>
      <w:r w:rsidR="002D51A4" w:rsidRPr="00E02273">
        <w:rPr>
          <w:rStyle w:val="Appelnotedebasdep"/>
          <w:lang w:val="en-CA"/>
        </w:rPr>
        <w:footnoteReference w:id="110"/>
      </w:r>
    </w:p>
    <w:p w14:paraId="1EE27875" w14:textId="4651153F" w:rsidR="00B568AD" w:rsidRPr="00E02273" w:rsidRDefault="00882672" w:rsidP="00B572B8">
      <w:pPr>
        <w:pStyle w:val="Paragraphe"/>
        <w:tabs>
          <w:tab w:val="num" w:pos="709"/>
        </w:tabs>
        <w:spacing w:line="240" w:lineRule="auto"/>
        <w:ind w:left="0"/>
        <w:rPr>
          <w:lang w:val="en-CA"/>
        </w:rPr>
      </w:pPr>
      <w:r w:rsidRPr="00E02273">
        <w:rPr>
          <w:lang w:val="en-CA"/>
        </w:rPr>
        <w:t xml:space="preserve">However, the </w:t>
      </w:r>
      <w:r w:rsidR="002D51A4" w:rsidRPr="00E02273">
        <w:rPr>
          <w:lang w:val="en-CA"/>
        </w:rPr>
        <w:t>judge</w:t>
      </w:r>
      <w:r w:rsidRPr="00E02273">
        <w:rPr>
          <w:lang w:val="en-CA"/>
        </w:rPr>
        <w:t xml:space="preserve"> noted that the same could not clearly be said with respect to the </w:t>
      </w:r>
      <w:r w:rsidR="00866E58" w:rsidRPr="00E02273">
        <w:rPr>
          <w:i/>
          <w:lang w:val="en-CA"/>
        </w:rPr>
        <w:t>2019 Regulatory Amendments</w:t>
      </w:r>
      <w:r w:rsidRPr="00E02273">
        <w:rPr>
          <w:lang w:val="en-CA"/>
        </w:rPr>
        <w:t>.</w:t>
      </w:r>
      <w:r w:rsidR="002D51A4" w:rsidRPr="00E02273">
        <w:rPr>
          <w:rStyle w:val="Appelnotedebasdep"/>
          <w:lang w:val="en-CA"/>
        </w:rPr>
        <w:footnoteReference w:id="111"/>
      </w:r>
      <w:r w:rsidRPr="00E02273">
        <w:rPr>
          <w:lang w:val="en-CA"/>
        </w:rPr>
        <w:t xml:space="preserve"> That being so, she found that the amendments still concern excessive prices:</w:t>
      </w:r>
      <w:r w:rsidR="002D51A4" w:rsidRPr="00E02273">
        <w:rPr>
          <w:rStyle w:val="Appelnotedebasdep"/>
          <w:lang w:val="en-CA"/>
        </w:rPr>
        <w:footnoteReference w:id="112"/>
      </w:r>
    </w:p>
    <w:p w14:paraId="54A23F3F" w14:textId="675C68E6" w:rsidR="00267682" w:rsidRPr="00E02273" w:rsidRDefault="00267682" w:rsidP="00B568AD">
      <w:pPr>
        <w:pStyle w:val="Citationenretrait"/>
        <w:spacing w:line="240" w:lineRule="auto"/>
        <w:rPr>
          <w:lang w:val="en-CA"/>
        </w:rPr>
      </w:pPr>
      <w:r w:rsidRPr="00E02273">
        <w:rPr>
          <w:lang w:val="en-CA"/>
        </w:rPr>
        <w:t>[</w:t>
      </w:r>
      <w:r w:rsidRPr="00E02273">
        <w:rPr>
          <w:smallCaps/>
          <w:lang w:val="en-CA"/>
        </w:rPr>
        <w:t>translation</w:t>
      </w:r>
      <w:r w:rsidRPr="00E02273">
        <w:rPr>
          <w:lang w:val="en-CA"/>
        </w:rPr>
        <w:t>]</w:t>
      </w:r>
    </w:p>
    <w:p w14:paraId="7133F46C" w14:textId="02718BAE" w:rsidR="00B568AD" w:rsidRPr="00E02273" w:rsidRDefault="002D51A4" w:rsidP="00B568AD">
      <w:pPr>
        <w:pStyle w:val="Citationenretrait"/>
        <w:spacing w:line="240" w:lineRule="auto"/>
        <w:rPr>
          <w:rFonts w:ascii="Times New Roman" w:hAnsi="Times New Roman"/>
          <w:lang w:val="en-CA" w:eastAsia="fr-CA"/>
        </w:rPr>
      </w:pPr>
      <w:r w:rsidRPr="00E02273">
        <w:rPr>
          <w:lang w:val="en-CA"/>
        </w:rPr>
        <w:t>[</w:t>
      </w:r>
      <w:bookmarkStart w:id="28" w:name="par391"/>
      <w:r w:rsidRPr="00E02273">
        <w:rPr>
          <w:lang w:val="en-CA"/>
        </w:rPr>
        <w:t>391</w:t>
      </w:r>
      <w:bookmarkEnd w:id="28"/>
      <w:r w:rsidRPr="00E02273">
        <w:rPr>
          <w:lang w:val="en-CA"/>
        </w:rPr>
        <w:t>]</w:t>
      </w:r>
      <w:r w:rsidRPr="00E02273">
        <w:rPr>
          <w:sz w:val="14"/>
          <w:szCs w:val="14"/>
          <w:lang w:val="en-CA"/>
        </w:rPr>
        <w:tab/>
      </w:r>
      <w:r w:rsidR="00882672" w:rsidRPr="00E02273">
        <w:rPr>
          <w:lang w:val="en-CA"/>
        </w:rPr>
        <w:t>Indeed, the Regulatory Impact Analysis, under the heading “Canada’s changing market and rising medicine costs”, informs us that the prices of an increasing number of medicines in Canada have reached significant peaks in that more and more higher-cost medicines are being developed (biologics, genetic therapies targeted to smaller patient populations, medicines prescribed for rare diseases), and the risk of excessive pricing is often greater for these products since they have few, if any, substitutes, and thus little competition. Remarkably, between 2007 and 2017, the number of medicines in Canada with annual per-patient treatment costs of at least $10,000 swelled from 20 to 135. In addition, the prices of medicines in Canada are comparatively high as, among the OECD countries, only the United States, Switzerland, and Japan spend more per capita for medicines than Canada.</w:t>
      </w:r>
    </w:p>
    <w:p w14:paraId="7134BDDB" w14:textId="3C606C2D" w:rsidR="00B568AD" w:rsidRPr="00E02273" w:rsidRDefault="002D51A4" w:rsidP="00B568AD">
      <w:pPr>
        <w:pStyle w:val="Citationenretrait"/>
        <w:spacing w:line="240" w:lineRule="auto"/>
        <w:rPr>
          <w:lang w:val="en-CA"/>
        </w:rPr>
      </w:pPr>
      <w:r w:rsidRPr="00E02273">
        <w:rPr>
          <w:lang w:val="en-CA"/>
        </w:rPr>
        <w:t>[</w:t>
      </w:r>
      <w:bookmarkStart w:id="29" w:name="par392"/>
      <w:r w:rsidRPr="00E02273">
        <w:rPr>
          <w:lang w:val="en-CA"/>
        </w:rPr>
        <w:t>392</w:t>
      </w:r>
      <w:bookmarkEnd w:id="29"/>
      <w:r w:rsidRPr="00E02273">
        <w:rPr>
          <w:lang w:val="en-CA"/>
        </w:rPr>
        <w:t>]</w:t>
      </w:r>
      <w:r w:rsidRPr="00E02273">
        <w:rPr>
          <w:sz w:val="14"/>
          <w:szCs w:val="14"/>
          <w:lang w:val="en-CA"/>
        </w:rPr>
        <w:tab/>
      </w:r>
      <w:r w:rsidR="004222BC" w:rsidRPr="00E02273">
        <w:rPr>
          <w:rFonts w:cs="Arial"/>
          <w:szCs w:val="24"/>
          <w:lang w:val="en-CA" w:eastAsia="fr-CA"/>
        </w:rPr>
        <w:t xml:space="preserve">The concerns of the Canadian government with respect to the risk of excessive prices of certain patented medicines are real and sincere, and the </w:t>
      </w:r>
      <w:r w:rsidR="004222BC" w:rsidRPr="00E02273">
        <w:rPr>
          <w:lang w:val="en-CA"/>
        </w:rPr>
        <w:t>Amendments seek to respond to that situation, which does not appear speculative and has a direct connection with patents.</w:t>
      </w:r>
    </w:p>
    <w:p w14:paraId="0F6466AF" w14:textId="2749085D" w:rsidR="00B568AD" w:rsidRPr="00E02273" w:rsidRDefault="002D51A4" w:rsidP="00B568AD">
      <w:pPr>
        <w:pStyle w:val="Citationenretrait"/>
        <w:spacing w:line="240" w:lineRule="auto"/>
        <w:rPr>
          <w:lang w:val="en-CA"/>
        </w:rPr>
      </w:pPr>
      <w:r w:rsidRPr="00E02273">
        <w:rPr>
          <w:lang w:val="en-CA"/>
        </w:rPr>
        <w:t>[</w:t>
      </w:r>
      <w:bookmarkStart w:id="30" w:name="par393"/>
      <w:r w:rsidRPr="00E02273">
        <w:rPr>
          <w:lang w:val="en-CA"/>
        </w:rPr>
        <w:t>393</w:t>
      </w:r>
      <w:bookmarkEnd w:id="30"/>
      <w:r w:rsidRPr="00E02273">
        <w:rPr>
          <w:lang w:val="en-CA"/>
        </w:rPr>
        <w:t>]</w:t>
      </w:r>
      <w:r w:rsidRPr="00E02273">
        <w:rPr>
          <w:sz w:val="14"/>
          <w:szCs w:val="14"/>
          <w:lang w:val="en-CA"/>
        </w:rPr>
        <w:tab/>
      </w:r>
      <w:r w:rsidR="004222BC" w:rsidRPr="00E02273">
        <w:rPr>
          <w:lang w:val="en-CA"/>
        </w:rPr>
        <w:t xml:space="preserve">It is hard not to see a real and rational connection between such significant prices and the existence of patents (conferring a statutory monopoly), even if patents are of course only one component (added to, </w:t>
      </w:r>
      <w:r w:rsidR="004222BC" w:rsidRPr="00E02273">
        <w:rPr>
          <w:i/>
          <w:lang w:val="en-CA"/>
        </w:rPr>
        <w:t>inter alia</w:t>
      </w:r>
      <w:r w:rsidR="004222BC" w:rsidRPr="00E02273">
        <w:rPr>
          <w:lang w:val="en-CA"/>
        </w:rPr>
        <w:t>, production and marketing costs, the size of the market, and part of the sums invested in R&amp;D) in the establishment of prices by manufacturers</w:t>
      </w:r>
      <w:r w:rsidRPr="00E02273">
        <w:rPr>
          <w:lang w:val="en-CA"/>
        </w:rPr>
        <w:t>.  </w:t>
      </w:r>
    </w:p>
    <w:p w14:paraId="19C3FF40" w14:textId="1CF17BA8" w:rsidR="00B568AD" w:rsidRPr="00E02273" w:rsidRDefault="002D51A4" w:rsidP="00B568AD">
      <w:pPr>
        <w:pStyle w:val="Citationenretrait"/>
        <w:spacing w:line="240" w:lineRule="auto"/>
        <w:rPr>
          <w:u w:val="single"/>
          <w:lang w:val="en-CA"/>
        </w:rPr>
      </w:pPr>
      <w:r w:rsidRPr="00E02273">
        <w:rPr>
          <w:lang w:val="en-CA"/>
        </w:rPr>
        <w:t>[</w:t>
      </w:r>
      <w:bookmarkStart w:id="31" w:name="par394"/>
      <w:r w:rsidRPr="00E02273">
        <w:rPr>
          <w:lang w:val="en-CA"/>
        </w:rPr>
        <w:t>394</w:t>
      </w:r>
      <w:bookmarkEnd w:id="31"/>
      <w:r w:rsidRPr="00E02273">
        <w:rPr>
          <w:lang w:val="en-CA"/>
        </w:rPr>
        <w:t>]</w:t>
      </w:r>
      <w:r w:rsidRPr="00E02273">
        <w:rPr>
          <w:sz w:val="14"/>
          <w:szCs w:val="14"/>
          <w:lang w:val="en-CA"/>
        </w:rPr>
        <w:tab/>
      </w:r>
      <w:r w:rsidR="004222BC" w:rsidRPr="00E02273">
        <w:rPr>
          <w:lang w:val="en-CA"/>
        </w:rPr>
        <w:t>Further to the government’s observation that the price of certain patented medicines is excessive (in the sense of unacceptable and unreasonable) and where it appears logical to conclude that the existence of patents is the cause, there is reason to infer that the Amendments are genuinely connected to patents and fall within that federal jurisdiction</w:t>
      </w:r>
      <w:r w:rsidRPr="00E02273">
        <w:rPr>
          <w:lang w:val="en-CA"/>
        </w:rPr>
        <w:t>.</w:t>
      </w:r>
    </w:p>
    <w:p w14:paraId="0F23EC28" w14:textId="6ECEB76E" w:rsidR="00B568AD" w:rsidRPr="00E02273" w:rsidRDefault="002D51A4" w:rsidP="00B568AD">
      <w:pPr>
        <w:pStyle w:val="Citationenretrait"/>
        <w:spacing w:line="240" w:lineRule="auto"/>
        <w:rPr>
          <w:lang w:val="en-CA"/>
        </w:rPr>
      </w:pPr>
      <w:r w:rsidRPr="00E02273">
        <w:rPr>
          <w:lang w:val="en-CA"/>
        </w:rPr>
        <w:t>[</w:t>
      </w:r>
      <w:bookmarkStart w:id="32" w:name="par395"/>
      <w:r w:rsidRPr="00E02273">
        <w:rPr>
          <w:lang w:val="en-CA"/>
        </w:rPr>
        <w:t>395</w:t>
      </w:r>
      <w:bookmarkEnd w:id="32"/>
      <w:r w:rsidRPr="00E02273">
        <w:rPr>
          <w:lang w:val="en-CA"/>
        </w:rPr>
        <w:t>]</w:t>
      </w:r>
      <w:r w:rsidRPr="00E02273">
        <w:rPr>
          <w:sz w:val="14"/>
          <w:szCs w:val="14"/>
          <w:lang w:val="en-CA"/>
        </w:rPr>
        <w:tab/>
      </w:r>
      <w:r w:rsidR="00625CF2" w:rsidRPr="00E02273">
        <w:rPr>
          <w:lang w:val="en-CA"/>
        </w:rPr>
        <w:t xml:space="preserve">Indeed, in the Court’s view, the addition of pharmacoeconomic value factors (which is public information), market size, gross domestic product, and </w:t>
      </w:r>
      <w:r w:rsidR="00625CF2" w:rsidRPr="00E02273">
        <w:rPr>
          <w:lang w:val="en-CA"/>
        </w:rPr>
        <w:lastRenderedPageBreak/>
        <w:t>gross domestic product per capita seems relevant in that these factors may further inform and more firmly anchor the analysis the Board must perform to determine whether the prices of medicines are excessive (in particular for the higher-cost medicines to which the Regulatory Impact Analysis refers). The same is true with respect to the change in the list of comparator countries, which is not static and may certainly evolve to more accurately reflect the Canadian situation.</w:t>
      </w:r>
    </w:p>
    <w:p w14:paraId="70276CF5" w14:textId="5F15E0AB" w:rsidR="00B568AD" w:rsidRPr="00E02273" w:rsidRDefault="00E44FE3" w:rsidP="00B572B8">
      <w:pPr>
        <w:pStyle w:val="Paragraphe"/>
        <w:tabs>
          <w:tab w:val="num" w:pos="709"/>
        </w:tabs>
        <w:spacing w:line="240" w:lineRule="auto"/>
        <w:ind w:left="0"/>
        <w:rPr>
          <w:lang w:val="en-CA"/>
        </w:rPr>
      </w:pPr>
      <w:r w:rsidRPr="00E02273">
        <w:rPr>
          <w:lang w:val="en-CA"/>
        </w:rPr>
        <w:t xml:space="preserve">To draw this </w:t>
      </w:r>
      <w:r w:rsidR="002D51A4" w:rsidRPr="00E02273">
        <w:rPr>
          <w:lang w:val="en-CA"/>
        </w:rPr>
        <w:t xml:space="preserve">conclusion, </w:t>
      </w:r>
      <w:r w:rsidRPr="00E02273">
        <w:rPr>
          <w:lang w:val="en-CA"/>
        </w:rPr>
        <w:t xml:space="preserve">the </w:t>
      </w:r>
      <w:r w:rsidR="002D51A4" w:rsidRPr="00E02273">
        <w:rPr>
          <w:lang w:val="en-CA"/>
        </w:rPr>
        <w:t>judge d</w:t>
      </w:r>
      <w:r w:rsidRPr="00E02273">
        <w:rPr>
          <w:lang w:val="en-CA"/>
        </w:rPr>
        <w:t>ecided not to consider the Board’s</w:t>
      </w:r>
      <w:r w:rsidR="00414351" w:rsidRPr="00E02273">
        <w:rPr>
          <w:lang w:val="en-CA"/>
        </w:rPr>
        <w:t xml:space="preserve"> new </w:t>
      </w:r>
      <w:r w:rsidR="002D51A4" w:rsidRPr="00E02273">
        <w:rPr>
          <w:lang w:val="en-CA"/>
        </w:rPr>
        <w:t>guidelines.</w:t>
      </w:r>
      <w:r w:rsidR="00414351" w:rsidRPr="00E02273">
        <w:rPr>
          <w:lang w:val="en-CA"/>
        </w:rPr>
        <w:t xml:space="preserve"> She instead proceeded to harshly criticize the </w:t>
      </w:r>
      <w:r w:rsidR="002D51A4" w:rsidRPr="00E02273">
        <w:rPr>
          <w:lang w:val="en-CA"/>
        </w:rPr>
        <w:t>guidelines</w:t>
      </w:r>
      <w:r w:rsidR="00414351" w:rsidRPr="00E02273">
        <w:rPr>
          <w:lang w:val="en-CA"/>
        </w:rPr>
        <w:t xml:space="preserve"> and the Board by </w:t>
      </w:r>
      <w:r w:rsidR="00615DF0">
        <w:rPr>
          <w:lang w:val="en-CA"/>
        </w:rPr>
        <w:t>warning</w:t>
      </w:r>
      <w:r w:rsidR="00615DF0" w:rsidRPr="00E02273">
        <w:rPr>
          <w:lang w:val="en-CA"/>
        </w:rPr>
        <w:t xml:space="preserve"> </w:t>
      </w:r>
      <w:r w:rsidR="00414351" w:rsidRPr="00E02273">
        <w:rPr>
          <w:lang w:val="en-CA"/>
        </w:rPr>
        <w:t xml:space="preserve">it </w:t>
      </w:r>
      <w:r w:rsidR="00615DF0">
        <w:rPr>
          <w:lang w:val="en-CA"/>
        </w:rPr>
        <w:t xml:space="preserve">not to </w:t>
      </w:r>
      <w:r w:rsidR="00414351" w:rsidRPr="00E02273">
        <w:rPr>
          <w:lang w:val="en-CA"/>
        </w:rPr>
        <w:t>us</w:t>
      </w:r>
      <w:r w:rsidR="00615DF0">
        <w:rPr>
          <w:lang w:val="en-CA"/>
        </w:rPr>
        <w:t>e</w:t>
      </w:r>
      <w:r w:rsidR="00414351" w:rsidRPr="00E02273">
        <w:rPr>
          <w:lang w:val="en-CA"/>
        </w:rPr>
        <w:t xml:space="preserve"> the new </w:t>
      </w:r>
      <w:r w:rsidR="002D51A4" w:rsidRPr="00E02273">
        <w:rPr>
          <w:lang w:val="en-CA"/>
        </w:rPr>
        <w:t>fact</w:t>
      </w:r>
      <w:r w:rsidR="00414351" w:rsidRPr="00E02273">
        <w:rPr>
          <w:lang w:val="en-CA"/>
        </w:rPr>
        <w:t xml:space="preserve">ors for the purpose of </w:t>
      </w:r>
      <w:r w:rsidR="002D51A4" w:rsidRPr="00E02273">
        <w:rPr>
          <w:lang w:val="en-CA"/>
        </w:rPr>
        <w:t>fix</w:t>
      </w:r>
      <w:r w:rsidR="00414351" w:rsidRPr="00E02273">
        <w:rPr>
          <w:lang w:val="en-CA"/>
        </w:rPr>
        <w:t>ing [</w:t>
      </w:r>
      <w:r w:rsidR="00414351" w:rsidRPr="00E02273">
        <w:rPr>
          <w:smallCaps/>
          <w:lang w:val="en-CA"/>
        </w:rPr>
        <w:t>translation</w:t>
      </w:r>
      <w:r w:rsidR="00414351" w:rsidRPr="00E02273">
        <w:rPr>
          <w:lang w:val="en-CA"/>
        </w:rPr>
        <w:t>] “an ideal price or the lowest possible price, because the analysis would then be clearly constitutionally invalid, having no significant connection to patents”.</w:t>
      </w:r>
      <w:r w:rsidR="002D51A4" w:rsidRPr="00E02273">
        <w:rPr>
          <w:rStyle w:val="Appelnotedebasdep"/>
          <w:lang w:val="en-CA"/>
        </w:rPr>
        <w:footnoteReference w:id="113"/>
      </w:r>
    </w:p>
    <w:p w14:paraId="338BD636" w14:textId="311246ED" w:rsidR="00B568AD" w:rsidRPr="00E02273" w:rsidRDefault="00843F6F" w:rsidP="00B572B8">
      <w:pPr>
        <w:pStyle w:val="Paragraphe"/>
        <w:tabs>
          <w:tab w:val="num" w:pos="709"/>
        </w:tabs>
        <w:spacing w:line="240" w:lineRule="auto"/>
        <w:ind w:left="0"/>
        <w:rPr>
          <w:lang w:val="en-CA"/>
        </w:rPr>
      </w:pPr>
      <w:r w:rsidRPr="00E02273">
        <w:rPr>
          <w:lang w:val="en-CA"/>
        </w:rPr>
        <w:t xml:space="preserve">In </w:t>
      </w:r>
      <w:r w:rsidR="002D51A4" w:rsidRPr="00E02273">
        <w:rPr>
          <w:lang w:val="en-CA"/>
        </w:rPr>
        <w:t>this</w:t>
      </w:r>
      <w:r w:rsidRPr="00E02273">
        <w:rPr>
          <w:lang w:val="en-CA"/>
        </w:rPr>
        <w:t xml:space="preserve"> </w:t>
      </w:r>
      <w:r w:rsidR="002D51A4" w:rsidRPr="00E02273">
        <w:rPr>
          <w:lang w:val="en-CA"/>
        </w:rPr>
        <w:t>respect,</w:t>
      </w:r>
      <w:r w:rsidRPr="00E02273">
        <w:rPr>
          <w:lang w:val="en-CA"/>
        </w:rPr>
        <w:t xml:space="preserve"> the </w:t>
      </w:r>
      <w:r w:rsidR="002D51A4" w:rsidRPr="00E02273">
        <w:rPr>
          <w:lang w:val="en-CA"/>
        </w:rPr>
        <w:t xml:space="preserve">judge </w:t>
      </w:r>
      <w:r w:rsidRPr="00E02273">
        <w:rPr>
          <w:lang w:val="en-CA"/>
        </w:rPr>
        <w:t xml:space="preserve">directly criticized the Board’s new </w:t>
      </w:r>
      <w:r w:rsidR="002D51A4" w:rsidRPr="00E02273">
        <w:rPr>
          <w:lang w:val="en-CA"/>
        </w:rPr>
        <w:t>guidelines</w:t>
      </w:r>
      <w:r w:rsidRPr="00E02273">
        <w:rPr>
          <w:lang w:val="en-CA"/>
        </w:rPr>
        <w:t xml:space="preserve"> and even invited the </w:t>
      </w:r>
      <w:r w:rsidR="002D51A4" w:rsidRPr="00E02273">
        <w:rPr>
          <w:lang w:val="en-CA"/>
        </w:rPr>
        <w:t>Federal</w:t>
      </w:r>
      <w:r w:rsidRPr="00E02273">
        <w:rPr>
          <w:lang w:val="en-CA"/>
        </w:rPr>
        <w:t xml:space="preserve"> </w:t>
      </w:r>
      <w:r w:rsidR="002D51A4" w:rsidRPr="00E02273">
        <w:rPr>
          <w:lang w:val="en-CA"/>
        </w:rPr>
        <w:t>Court</w:t>
      </w:r>
      <w:r w:rsidRPr="00E02273">
        <w:rPr>
          <w:lang w:val="en-CA"/>
        </w:rPr>
        <w:t xml:space="preserve"> to </w:t>
      </w:r>
      <w:r w:rsidR="002D51A4" w:rsidRPr="00E02273">
        <w:rPr>
          <w:lang w:val="en-CA"/>
        </w:rPr>
        <w:t>quash</w:t>
      </w:r>
      <w:r w:rsidRPr="00E02273">
        <w:rPr>
          <w:lang w:val="en-CA"/>
        </w:rPr>
        <w:t xml:space="preserve"> the Board’s </w:t>
      </w:r>
      <w:r w:rsidR="002D51A4" w:rsidRPr="00E02273">
        <w:rPr>
          <w:lang w:val="en-CA"/>
        </w:rPr>
        <w:t>decisions</w:t>
      </w:r>
      <w:r w:rsidRPr="00E02273">
        <w:rPr>
          <w:lang w:val="en-CA"/>
        </w:rPr>
        <w:t xml:space="preserve"> made </w:t>
      </w:r>
      <w:r w:rsidR="00945D37" w:rsidRPr="00E02273">
        <w:rPr>
          <w:lang w:val="en-CA"/>
        </w:rPr>
        <w:t xml:space="preserve">pursuant to their </w:t>
      </w:r>
      <w:r w:rsidR="002D51A4" w:rsidRPr="00E02273">
        <w:rPr>
          <w:lang w:val="en-CA"/>
        </w:rPr>
        <w:t>application</w:t>
      </w:r>
      <w:r w:rsidR="00945D37" w:rsidRPr="00E02273">
        <w:rPr>
          <w:lang w:val="en-CA"/>
        </w:rPr>
        <w:t>:</w:t>
      </w:r>
      <w:r w:rsidR="002D51A4" w:rsidRPr="00E02273">
        <w:rPr>
          <w:rStyle w:val="Appelnotedebasdep"/>
          <w:lang w:val="en-CA"/>
        </w:rPr>
        <w:footnoteReference w:id="114"/>
      </w:r>
      <w:r w:rsidR="002D51A4" w:rsidRPr="00E02273">
        <w:rPr>
          <w:lang w:val="en-CA"/>
        </w:rPr>
        <w:t> </w:t>
      </w:r>
    </w:p>
    <w:p w14:paraId="72BE2050" w14:textId="36C97E7F" w:rsidR="00945D37" w:rsidRPr="00E02273" w:rsidRDefault="00945D37" w:rsidP="00B568AD">
      <w:pPr>
        <w:pStyle w:val="Citationenretrait"/>
        <w:spacing w:line="240" w:lineRule="auto"/>
        <w:rPr>
          <w:lang w:val="en-CA"/>
        </w:rPr>
      </w:pPr>
      <w:bookmarkStart w:id="33" w:name="par400"/>
      <w:r w:rsidRPr="00E02273">
        <w:rPr>
          <w:lang w:val="en-CA"/>
        </w:rPr>
        <w:t>[</w:t>
      </w:r>
      <w:r w:rsidR="007256BF" w:rsidRPr="00E02273">
        <w:rPr>
          <w:smallCaps/>
          <w:lang w:val="en-CA"/>
        </w:rPr>
        <w:t>translation]</w:t>
      </w:r>
    </w:p>
    <w:p w14:paraId="16A59BFA" w14:textId="4DABA44C" w:rsidR="00B568AD" w:rsidRPr="00E02273" w:rsidRDefault="002D51A4" w:rsidP="00B568AD">
      <w:pPr>
        <w:pStyle w:val="Citationenretrait"/>
        <w:spacing w:line="240" w:lineRule="auto"/>
        <w:rPr>
          <w:rFonts w:ascii="Times New Roman" w:hAnsi="Times New Roman"/>
          <w:u w:val="single"/>
          <w:lang w:val="en-CA" w:eastAsia="fr-CA"/>
        </w:rPr>
      </w:pPr>
      <w:r w:rsidRPr="00E02273">
        <w:rPr>
          <w:lang w:val="en-CA"/>
        </w:rPr>
        <w:t>[400</w:t>
      </w:r>
      <w:bookmarkEnd w:id="33"/>
      <w:r w:rsidRPr="00E02273">
        <w:rPr>
          <w:lang w:val="en-CA"/>
        </w:rPr>
        <w:t>]</w:t>
      </w:r>
      <w:r w:rsidRPr="00E02273">
        <w:rPr>
          <w:sz w:val="14"/>
          <w:szCs w:val="14"/>
          <w:lang w:val="en-CA"/>
        </w:rPr>
        <w:tab/>
      </w:r>
      <w:r w:rsidR="00D25CCC" w:rsidRPr="00E02273">
        <w:rPr>
          <w:lang w:val="en-CA"/>
        </w:rPr>
        <w:t xml:space="preserve">The same concern arises from the drastic price reductions expected by the applicants and their experts in light of the explanations set out in the 2019 and 2020 draft Guidelines. Because of their significance, these reductions are likely to cause problems with access to certain medicines and for the survival of certain firms, as well as call into question the need for patents in certain cases. </w:t>
      </w:r>
      <w:r w:rsidR="00D25CCC" w:rsidRPr="00E02273">
        <w:rPr>
          <w:u w:val="single"/>
          <w:lang w:val="en-CA"/>
        </w:rPr>
        <w:t>These consequences raise concerns that in implementing the Amendments, the Board is moving away from the control of excessive prices to embrace the outright control of prices (a power it does not have)</w:t>
      </w:r>
      <w:r w:rsidR="00D25CCC" w:rsidRPr="00E02273">
        <w:rPr>
          <w:lang w:val="en-CA"/>
        </w:rPr>
        <w:t xml:space="preserve">. It is true that these drafts were replaced by the 2021 Guidelines that are to come into force on January 1, 2021, which contain several relaxations favourable to patentees compared with the two initial drafts. </w:t>
      </w:r>
      <w:r w:rsidR="00D25CCC" w:rsidRPr="00E02273">
        <w:rPr>
          <w:u w:val="single"/>
          <w:lang w:val="en-CA"/>
        </w:rPr>
        <w:t>However, the core concerns with respect to the 2019 and 2020 draft Guidelines, summarized on page 9 of Report P-230 prepared by expert Palmer, are essentially unchanged in the 2021 Guidelines, as counsel for the AGC confirmed in reply to a question from the Court: essentially, (1) the ceiling price of patented medicines whose market size in Canada is greater than $50,000,000 per year will be reduced by 20% to 50% depending on the therapeutic level, and (2) the ceiling price of medicines whose annual cost per person is more than $90,000 will be reduced by the same percentages, and the concept of QALY will apply to that analysis.</w:t>
      </w:r>
    </w:p>
    <w:p w14:paraId="6A5D8ECC" w14:textId="524DF76A" w:rsidR="00B568AD" w:rsidRPr="00E02273" w:rsidRDefault="002D51A4" w:rsidP="00B568AD">
      <w:pPr>
        <w:pStyle w:val="Citationenretrait"/>
        <w:spacing w:line="240" w:lineRule="auto"/>
        <w:rPr>
          <w:lang w:val="en-CA"/>
        </w:rPr>
      </w:pPr>
      <w:r w:rsidRPr="00E02273">
        <w:rPr>
          <w:lang w:val="en-CA"/>
        </w:rPr>
        <w:t>[</w:t>
      </w:r>
      <w:bookmarkStart w:id="34" w:name="par401"/>
      <w:r w:rsidRPr="00E02273">
        <w:rPr>
          <w:lang w:val="en-CA"/>
        </w:rPr>
        <w:t>401</w:t>
      </w:r>
      <w:bookmarkEnd w:id="34"/>
      <w:r w:rsidRPr="00E02273">
        <w:rPr>
          <w:lang w:val="en-CA"/>
        </w:rPr>
        <w:t>]</w:t>
      </w:r>
      <w:r w:rsidRPr="00E02273">
        <w:rPr>
          <w:sz w:val="14"/>
          <w:szCs w:val="14"/>
          <w:lang w:val="en-CA"/>
        </w:rPr>
        <w:tab/>
      </w:r>
      <w:r w:rsidR="00D25CCC" w:rsidRPr="00E02273">
        <w:rPr>
          <w:lang w:val="en-CA"/>
        </w:rPr>
        <w:t xml:space="preserve">The Amendments do not dictate the manner in which the factors lead to the conclusion that a price is or is not excessive; the weight attributed to each factor falls within the expertise and discretion of the Board, guided by its statutory mandate to ensure that patentees do not use their patents to sell their medicines at excessive prices. </w:t>
      </w:r>
      <w:r w:rsidR="00D25CCC" w:rsidRPr="00E02273">
        <w:rPr>
          <w:u w:val="single"/>
          <w:lang w:val="en-CA"/>
        </w:rPr>
        <w:t xml:space="preserve">Thus, the Board cannot use the Guidelines, which allow it to analyze the new factors and the prices in the 11 comparator countries, for any </w:t>
      </w:r>
      <w:r w:rsidR="00D25CCC" w:rsidRPr="00E02273">
        <w:rPr>
          <w:u w:val="single"/>
          <w:lang w:val="en-CA"/>
        </w:rPr>
        <w:lastRenderedPageBreak/>
        <w:t>purpose other than to determine the amount at which the price of a patented medicine becomes excessive in Canada (ceiling price). If the implementation of this analysis becomes a disguised way of engaging in the outright control of prices or fixing the lowest prices possible, regardless of whether excessive prices existed, it would be unacceptable, because there would be no significant connection with the jurisdiction over patents. In such case, the Board’s decision could be quashed in judicial review proceedings before the Federal Court</w:t>
      </w:r>
      <w:r w:rsidR="00D25CCC" w:rsidRPr="00E02273">
        <w:rPr>
          <w:lang w:val="en-CA"/>
        </w:rPr>
        <w:t>.</w:t>
      </w:r>
      <w:r w:rsidRPr="00E02273">
        <w:rPr>
          <w:u w:val="single"/>
          <w:lang w:val="en-CA"/>
        </w:rPr>
        <w:t xml:space="preserve"> </w:t>
      </w:r>
    </w:p>
    <w:p w14:paraId="223C252B" w14:textId="79B86450" w:rsidR="00B568AD" w:rsidRPr="00E02273" w:rsidRDefault="002D51A4" w:rsidP="00B568AD">
      <w:pPr>
        <w:pStyle w:val="Citationenretrait"/>
        <w:spacing w:line="240" w:lineRule="auto"/>
        <w:rPr>
          <w:lang w:val="en-CA"/>
        </w:rPr>
      </w:pPr>
      <w:r w:rsidRPr="00E02273">
        <w:rPr>
          <w:lang w:val="en-CA"/>
        </w:rPr>
        <w:t>[</w:t>
      </w:r>
      <w:bookmarkStart w:id="35" w:name="par402"/>
      <w:r w:rsidRPr="00E02273">
        <w:rPr>
          <w:lang w:val="en-CA"/>
        </w:rPr>
        <w:t>402</w:t>
      </w:r>
      <w:bookmarkEnd w:id="35"/>
      <w:r w:rsidR="00447518" w:rsidRPr="00E02273">
        <w:rPr>
          <w:lang w:val="en-CA"/>
        </w:rPr>
        <w:t>]</w:t>
      </w:r>
      <w:r w:rsidR="00447518" w:rsidRPr="00E02273">
        <w:rPr>
          <w:lang w:val="en-CA"/>
        </w:rPr>
        <w:tab/>
      </w:r>
      <w:r w:rsidR="00447518" w:rsidRPr="00E02273">
        <w:rPr>
          <w:u w:val="single"/>
          <w:lang w:val="en-CA"/>
        </w:rPr>
        <w:t xml:space="preserve">The concerns of </w:t>
      </w:r>
      <w:r w:rsidR="006E709F">
        <w:rPr>
          <w:u w:val="single"/>
          <w:lang w:val="en-CA"/>
        </w:rPr>
        <w:t>the applicants and the interveno</w:t>
      </w:r>
      <w:r w:rsidR="00447518" w:rsidRPr="00E02273">
        <w:rPr>
          <w:u w:val="single"/>
          <w:lang w:val="en-CA"/>
        </w:rPr>
        <w:t>rs appears to arise from the risk</w:t>
      </w:r>
      <w:r w:rsidR="00447518" w:rsidRPr="00E02273">
        <w:rPr>
          <w:lang w:val="en-CA"/>
        </w:rPr>
        <w:t xml:space="preserve">, in view of the draft Guidelines and the final 2021 version, </w:t>
      </w:r>
      <w:r w:rsidR="00447518" w:rsidRPr="00E02273">
        <w:rPr>
          <w:u w:val="single"/>
          <w:lang w:val="en-CA"/>
        </w:rPr>
        <w:t>that despite the use of the expression “excessive price” in the Act, the new regulatory factors prescribed by the Amendments perniciously distort this expression in practice and replace it with price fixing</w:t>
      </w:r>
      <w:r w:rsidR="00447518" w:rsidRPr="00E02273">
        <w:rPr>
          <w:lang w:val="en-CA"/>
        </w:rPr>
        <w:t xml:space="preserve">. Counsel for the applicants refer to the Trojan horse in describing this phenomenon. </w:t>
      </w:r>
      <w:r w:rsidRPr="00E02273">
        <w:rPr>
          <w:lang w:val="en-CA"/>
        </w:rPr>
        <w:t xml:space="preserve"> </w:t>
      </w:r>
    </w:p>
    <w:p w14:paraId="786A9C2A" w14:textId="05126989" w:rsidR="00B568AD" w:rsidRPr="00E02273" w:rsidRDefault="002D51A4" w:rsidP="00B568AD">
      <w:pPr>
        <w:pStyle w:val="Citationenretrait"/>
        <w:spacing w:before="0" w:line="240" w:lineRule="auto"/>
        <w:jc w:val="right"/>
        <w:rPr>
          <w:lang w:val="en-CA"/>
        </w:rPr>
      </w:pPr>
      <w:r w:rsidRPr="00E02273">
        <w:rPr>
          <w:lang w:val="en-CA"/>
        </w:rPr>
        <w:tab/>
        <w:t>[Emphasis</w:t>
      </w:r>
      <w:r w:rsidR="0076762F" w:rsidRPr="00E02273">
        <w:rPr>
          <w:lang w:val="en-CA"/>
        </w:rPr>
        <w:t xml:space="preserve"> </w:t>
      </w:r>
      <w:r w:rsidRPr="00E02273">
        <w:rPr>
          <w:lang w:val="en-CA"/>
        </w:rPr>
        <w:t>added</w:t>
      </w:r>
      <w:r w:rsidR="0076762F" w:rsidRPr="00E02273">
        <w:rPr>
          <w:lang w:val="en-CA"/>
        </w:rPr>
        <w:t>; c</w:t>
      </w:r>
      <w:r w:rsidRPr="00E02273">
        <w:rPr>
          <w:lang w:val="en-CA"/>
        </w:rPr>
        <w:t>itation</w:t>
      </w:r>
      <w:r w:rsidR="0076762F" w:rsidRPr="00E02273">
        <w:rPr>
          <w:lang w:val="en-CA"/>
        </w:rPr>
        <w:t xml:space="preserve"> </w:t>
      </w:r>
      <w:r w:rsidRPr="00E02273">
        <w:rPr>
          <w:lang w:val="en-CA"/>
        </w:rPr>
        <w:t>omitted</w:t>
      </w:r>
      <w:r w:rsidR="0076762F" w:rsidRPr="00E02273">
        <w:rPr>
          <w:lang w:val="en-CA"/>
        </w:rPr>
        <w:t>.</w:t>
      </w:r>
      <w:r w:rsidRPr="00E02273">
        <w:rPr>
          <w:lang w:val="en-CA"/>
        </w:rPr>
        <w:t>]</w:t>
      </w:r>
    </w:p>
    <w:p w14:paraId="2CF5E448" w14:textId="5414D042" w:rsidR="00B568AD" w:rsidRPr="00E02273" w:rsidRDefault="001F42D5" w:rsidP="00B572B8">
      <w:pPr>
        <w:pStyle w:val="Paragraphe"/>
        <w:tabs>
          <w:tab w:val="num" w:pos="709"/>
        </w:tabs>
        <w:spacing w:line="240" w:lineRule="auto"/>
        <w:ind w:left="0"/>
        <w:rPr>
          <w:lang w:val="en-CA"/>
        </w:rPr>
      </w:pPr>
      <w:r w:rsidRPr="00E02273">
        <w:rPr>
          <w:lang w:val="en-CA"/>
        </w:rPr>
        <w:t xml:space="preserve">Nevertheless, the </w:t>
      </w:r>
      <w:r w:rsidR="002D51A4" w:rsidRPr="00E02273">
        <w:rPr>
          <w:lang w:val="en-CA"/>
        </w:rPr>
        <w:t>judge refuse</w:t>
      </w:r>
      <w:r w:rsidRPr="00E02273">
        <w:rPr>
          <w:lang w:val="en-CA"/>
        </w:rPr>
        <w:t xml:space="preserve">d to consider the Board’s new </w:t>
      </w:r>
      <w:r w:rsidR="002D51A4" w:rsidRPr="00E02273">
        <w:rPr>
          <w:lang w:val="en-CA"/>
        </w:rPr>
        <w:t>guidelines</w:t>
      </w:r>
      <w:r w:rsidRPr="00E02273">
        <w:rPr>
          <w:lang w:val="en-CA"/>
        </w:rPr>
        <w:t xml:space="preserve"> in her </w:t>
      </w:r>
      <w:r w:rsidR="002D51A4" w:rsidRPr="00E02273">
        <w:rPr>
          <w:lang w:val="en-CA"/>
        </w:rPr>
        <w:t>constitution</w:t>
      </w:r>
      <w:r w:rsidRPr="00E02273">
        <w:rPr>
          <w:lang w:val="en-CA"/>
        </w:rPr>
        <w:t>a</w:t>
      </w:r>
      <w:r w:rsidR="002D51A4" w:rsidRPr="00E02273">
        <w:rPr>
          <w:lang w:val="en-CA"/>
        </w:rPr>
        <w:t>l</w:t>
      </w:r>
      <w:r w:rsidRPr="00E02273">
        <w:rPr>
          <w:lang w:val="en-CA"/>
        </w:rPr>
        <w:t xml:space="preserve"> analysis because she considered them </w:t>
      </w:r>
      <w:r w:rsidR="002D51A4" w:rsidRPr="00E02273">
        <w:rPr>
          <w:lang w:val="en-CA"/>
        </w:rPr>
        <w:t>distinct</w:t>
      </w:r>
      <w:r w:rsidR="000E26B1" w:rsidRPr="00E02273">
        <w:rPr>
          <w:lang w:val="en-CA"/>
        </w:rPr>
        <w:t xml:space="preserve"> and detached from the </w:t>
      </w:r>
      <w:r w:rsidR="000E26B1" w:rsidRPr="00E02273">
        <w:rPr>
          <w:i/>
          <w:lang w:val="en-CA"/>
        </w:rPr>
        <w:t>Patent Act</w:t>
      </w:r>
      <w:r w:rsidR="000E26B1" w:rsidRPr="00E02273">
        <w:rPr>
          <w:lang w:val="en-CA"/>
        </w:rPr>
        <w:t xml:space="preserve">, the </w:t>
      </w:r>
      <w:r w:rsidR="000E26B1" w:rsidRPr="00E02273">
        <w:rPr>
          <w:i/>
          <w:lang w:val="en-CA"/>
        </w:rPr>
        <w:t>Patented Medicines Regulation</w:t>
      </w:r>
      <w:r w:rsidR="00EE7D3C" w:rsidRPr="00E02273">
        <w:rPr>
          <w:i/>
          <w:lang w:val="en-CA"/>
        </w:rPr>
        <w:t>s</w:t>
      </w:r>
      <w:r w:rsidR="00914836">
        <w:rPr>
          <w:lang w:val="en-CA"/>
        </w:rPr>
        <w:t>,</w:t>
      </w:r>
      <w:r w:rsidR="000E26B1" w:rsidRPr="00E02273">
        <w:rPr>
          <w:i/>
          <w:lang w:val="en-CA"/>
        </w:rPr>
        <w:t xml:space="preserve"> </w:t>
      </w:r>
      <w:r w:rsidR="00EE7D3C" w:rsidRPr="00E02273">
        <w:rPr>
          <w:lang w:val="en-CA"/>
        </w:rPr>
        <w:t xml:space="preserve">and the </w:t>
      </w:r>
      <w:r w:rsidR="00866E58" w:rsidRPr="00E02273">
        <w:rPr>
          <w:i/>
          <w:lang w:val="en-CA"/>
        </w:rPr>
        <w:t>2019 Regulatory Amendments</w:t>
      </w:r>
      <w:r w:rsidR="002D51A4" w:rsidRPr="00E02273">
        <w:rPr>
          <w:lang w:val="en-CA"/>
        </w:rPr>
        <w:t xml:space="preserve">. </w:t>
      </w:r>
      <w:r w:rsidR="00592A67" w:rsidRPr="00E02273">
        <w:rPr>
          <w:lang w:val="en-CA"/>
        </w:rPr>
        <w:t xml:space="preserve">In the </w:t>
      </w:r>
      <w:r w:rsidR="002D51A4" w:rsidRPr="00E02273">
        <w:rPr>
          <w:lang w:val="en-CA"/>
        </w:rPr>
        <w:t>judge</w:t>
      </w:r>
      <w:r w:rsidR="00592A67" w:rsidRPr="00E02273">
        <w:rPr>
          <w:lang w:val="en-CA"/>
        </w:rPr>
        <w:t xml:space="preserve">’s view, it will be up to the </w:t>
      </w:r>
      <w:r w:rsidR="002D51A4" w:rsidRPr="00E02273">
        <w:rPr>
          <w:lang w:val="en-CA"/>
        </w:rPr>
        <w:t>Federal</w:t>
      </w:r>
      <w:r w:rsidR="00592A67" w:rsidRPr="00E02273">
        <w:rPr>
          <w:lang w:val="en-CA"/>
        </w:rPr>
        <w:t xml:space="preserve"> C</w:t>
      </w:r>
      <w:r w:rsidR="002D51A4" w:rsidRPr="00E02273">
        <w:rPr>
          <w:lang w:val="en-CA"/>
        </w:rPr>
        <w:t xml:space="preserve">ourt </w:t>
      </w:r>
      <w:r w:rsidR="00592A67" w:rsidRPr="00E02273">
        <w:rPr>
          <w:lang w:val="en-CA"/>
        </w:rPr>
        <w:t xml:space="preserve">to set aside these </w:t>
      </w:r>
      <w:r w:rsidR="002D51A4" w:rsidRPr="00E02273">
        <w:rPr>
          <w:lang w:val="en-CA"/>
        </w:rPr>
        <w:t>guidelines,</w:t>
      </w:r>
      <w:r w:rsidR="00592A67" w:rsidRPr="00E02273">
        <w:rPr>
          <w:lang w:val="en-CA"/>
        </w:rPr>
        <w:t xml:space="preserve"> if need be:</w:t>
      </w:r>
      <w:r w:rsidR="002D51A4" w:rsidRPr="00E02273">
        <w:rPr>
          <w:rStyle w:val="Appelnotedebasdep"/>
          <w:lang w:val="en-CA"/>
        </w:rPr>
        <w:footnoteReference w:id="115"/>
      </w:r>
    </w:p>
    <w:p w14:paraId="734131BC" w14:textId="04EF122E" w:rsidR="00AC700E" w:rsidRPr="00E02273" w:rsidRDefault="00AC700E" w:rsidP="00B568AD">
      <w:pPr>
        <w:pStyle w:val="Citationenretrait"/>
        <w:spacing w:line="240" w:lineRule="auto"/>
        <w:rPr>
          <w:lang w:val="en-CA"/>
        </w:rPr>
      </w:pPr>
      <w:r w:rsidRPr="00E02273">
        <w:rPr>
          <w:lang w:val="en-CA"/>
        </w:rPr>
        <w:t>[</w:t>
      </w:r>
      <w:r w:rsidRPr="00E02273">
        <w:rPr>
          <w:smallCaps/>
          <w:lang w:val="en-CA"/>
        </w:rPr>
        <w:t>translation</w:t>
      </w:r>
      <w:r w:rsidRPr="00E02273">
        <w:rPr>
          <w:lang w:val="en-CA"/>
        </w:rPr>
        <w:t>]</w:t>
      </w:r>
    </w:p>
    <w:p w14:paraId="70435CB8" w14:textId="0193631B" w:rsidR="00B568AD" w:rsidRPr="00E02273" w:rsidRDefault="002D51A4" w:rsidP="00B568AD">
      <w:pPr>
        <w:pStyle w:val="Citationenretrait"/>
        <w:spacing w:line="240" w:lineRule="auto"/>
        <w:rPr>
          <w:lang w:val="en-CA"/>
        </w:rPr>
      </w:pPr>
      <w:r w:rsidRPr="00E02273">
        <w:rPr>
          <w:lang w:val="en-CA"/>
        </w:rPr>
        <w:t>[</w:t>
      </w:r>
      <w:bookmarkStart w:id="36" w:name="par403"/>
      <w:r w:rsidRPr="00E02273">
        <w:rPr>
          <w:lang w:val="en-CA"/>
        </w:rPr>
        <w:t>403</w:t>
      </w:r>
      <w:bookmarkEnd w:id="36"/>
      <w:r w:rsidRPr="00E02273">
        <w:rPr>
          <w:lang w:val="en-CA"/>
        </w:rPr>
        <w:t>]</w:t>
      </w:r>
      <w:r w:rsidRPr="00E02273">
        <w:rPr>
          <w:sz w:val="14"/>
          <w:szCs w:val="14"/>
          <w:lang w:val="en-CA"/>
        </w:rPr>
        <w:tab/>
      </w:r>
      <w:r w:rsidR="00AF061B" w:rsidRPr="00E02273">
        <w:rPr>
          <w:lang w:val="en-CA"/>
        </w:rPr>
        <w:t xml:space="preserve">It is not up to the Court, at this stage, to rule on the constitutionality of the 2021 Guidelines or the 2019 and 2020 draft Guidelines. Indeed, </w:t>
      </w:r>
      <w:r w:rsidR="00AF061B" w:rsidRPr="00E02273">
        <w:rPr>
          <w:u w:val="single"/>
          <w:lang w:val="en-CA"/>
        </w:rPr>
        <w:t>the analysis of the constitutional validity of the Amendments can be distinguished from their implementation through the non-binding Guidelines</w:t>
      </w:r>
      <w:r w:rsidR="00AF061B" w:rsidRPr="00E02273">
        <w:rPr>
          <w:lang w:val="en-CA"/>
        </w:rPr>
        <w:t xml:space="preserve">, which the Board is not required to make or apply, and which, strictly speaking, are not rules of law. </w:t>
      </w:r>
      <w:r w:rsidR="00AF061B" w:rsidRPr="00E02273">
        <w:rPr>
          <w:u w:val="single"/>
          <w:lang w:val="en-CA"/>
        </w:rPr>
        <w:t>To the extent that the Amendments may be applied in a constitutional manner, that is, to prevent prices that are excessive in the sense of unacceptable and unreasonable (by determining price ceilings), rather than for the purpose of fixing prices (so that they are as low and as affordable as possible), their constitutional validity must be recognized independently of what the 2021 Guidelines (which are foreign to Parliament and up the Board to implement) may provide</w:t>
      </w:r>
      <w:r w:rsidR="00AF061B" w:rsidRPr="00E02273">
        <w:rPr>
          <w:lang w:val="en-CA"/>
        </w:rPr>
        <w:t>.</w:t>
      </w:r>
      <w:r w:rsidRPr="00E02273">
        <w:rPr>
          <w:lang w:val="en-CA"/>
        </w:rPr>
        <w:t xml:space="preserve"> </w:t>
      </w:r>
    </w:p>
    <w:p w14:paraId="6348F262" w14:textId="0CA37169" w:rsidR="00B568AD" w:rsidRPr="00E02273" w:rsidRDefault="0076762F" w:rsidP="00B568AD">
      <w:pPr>
        <w:pStyle w:val="Citationenretrait"/>
        <w:spacing w:line="240" w:lineRule="auto"/>
        <w:rPr>
          <w:rFonts w:ascii="Times New Roman" w:hAnsi="Times New Roman"/>
          <w:lang w:val="en-CA" w:eastAsia="fr-CA"/>
        </w:rPr>
      </w:pPr>
      <w:r w:rsidRPr="00E02273">
        <w:rPr>
          <w:lang w:val="en-CA"/>
        </w:rPr>
        <w:t>…</w:t>
      </w:r>
    </w:p>
    <w:p w14:paraId="0087770B" w14:textId="3BF10DCC" w:rsidR="00B568AD" w:rsidRPr="00E02273" w:rsidRDefault="002D51A4" w:rsidP="00B568AD">
      <w:pPr>
        <w:pStyle w:val="Citationenretrait"/>
        <w:spacing w:line="240" w:lineRule="auto"/>
        <w:rPr>
          <w:lang w:val="en-CA"/>
        </w:rPr>
      </w:pPr>
      <w:r w:rsidRPr="00E02273">
        <w:rPr>
          <w:lang w:val="en-CA"/>
        </w:rPr>
        <w:t>[</w:t>
      </w:r>
      <w:bookmarkStart w:id="37" w:name="par406"/>
      <w:r w:rsidRPr="00E02273">
        <w:rPr>
          <w:lang w:val="en-CA"/>
        </w:rPr>
        <w:t>406</w:t>
      </w:r>
      <w:bookmarkEnd w:id="37"/>
      <w:r w:rsidRPr="00E02273">
        <w:rPr>
          <w:lang w:val="en-CA"/>
        </w:rPr>
        <w:t>]</w:t>
      </w:r>
      <w:r w:rsidRPr="00E02273">
        <w:rPr>
          <w:sz w:val="14"/>
          <w:szCs w:val="14"/>
          <w:lang w:val="en-CA"/>
        </w:rPr>
        <w:tab/>
      </w:r>
      <w:r w:rsidR="00E40C79" w:rsidRPr="00E02273">
        <w:rPr>
          <w:lang w:val="en-CA"/>
        </w:rPr>
        <w:t xml:space="preserve">During an application for judicial review of a Board decision, </w:t>
      </w:r>
      <w:r w:rsidR="00E40C79" w:rsidRPr="00E02273">
        <w:rPr>
          <w:u w:val="single"/>
          <w:lang w:val="en-CA"/>
        </w:rPr>
        <w:t>the Federal Court</w:t>
      </w:r>
      <w:r w:rsidR="00E40C79" w:rsidRPr="00E02273">
        <w:rPr>
          <w:lang w:val="en-CA"/>
        </w:rPr>
        <w:t xml:space="preserve"> (or possibly the Superior Court) </w:t>
      </w:r>
      <w:r w:rsidR="00E40C79" w:rsidRPr="00E02273">
        <w:rPr>
          <w:u w:val="single"/>
          <w:lang w:val="en-CA"/>
        </w:rPr>
        <w:t>could</w:t>
      </w:r>
      <w:r w:rsidR="00E40C79" w:rsidRPr="00E02273">
        <w:rPr>
          <w:lang w:val="en-CA"/>
        </w:rPr>
        <w:t xml:space="preserve"> consider the administrative implementation of the Amendments and </w:t>
      </w:r>
      <w:r w:rsidR="00E40C79" w:rsidRPr="00E02273">
        <w:rPr>
          <w:u w:val="single"/>
          <w:lang w:val="en-CA"/>
        </w:rPr>
        <w:t>rule on the appropriateness of applying the 2021 Guidelines</w:t>
      </w:r>
      <w:r w:rsidR="00E40C79" w:rsidRPr="00E02273">
        <w:rPr>
          <w:lang w:val="en-CA"/>
        </w:rPr>
        <w:t xml:space="preserve"> in a specific situation to determine whether recourse to the Guidelines exceeds the control of excessive prices and is therefore unconstitutional</w:t>
      </w:r>
      <w:r w:rsidRPr="00E02273">
        <w:rPr>
          <w:lang w:val="en-CA"/>
        </w:rPr>
        <w:t xml:space="preserve">.  </w:t>
      </w:r>
    </w:p>
    <w:p w14:paraId="67EE8183" w14:textId="019D04EB" w:rsidR="00B568AD" w:rsidRPr="00E02273" w:rsidRDefault="002D51A4" w:rsidP="00B568AD">
      <w:pPr>
        <w:pStyle w:val="Citationenretrait"/>
        <w:spacing w:before="0" w:line="240" w:lineRule="auto"/>
        <w:jc w:val="right"/>
        <w:rPr>
          <w:rFonts w:ascii="Times New Roman" w:hAnsi="Times New Roman"/>
          <w:lang w:val="en-CA" w:eastAsia="fr-CA"/>
        </w:rPr>
      </w:pPr>
      <w:r w:rsidRPr="00E02273">
        <w:rPr>
          <w:lang w:val="en-CA"/>
        </w:rPr>
        <w:lastRenderedPageBreak/>
        <w:t>[Emphasis</w:t>
      </w:r>
      <w:r w:rsidR="0076762F" w:rsidRPr="00E02273">
        <w:rPr>
          <w:lang w:val="en-CA"/>
        </w:rPr>
        <w:t xml:space="preserve"> </w:t>
      </w:r>
      <w:r w:rsidRPr="00E02273">
        <w:rPr>
          <w:lang w:val="en-CA"/>
        </w:rPr>
        <w:t>added</w:t>
      </w:r>
      <w:r w:rsidR="0076762F" w:rsidRPr="00E02273">
        <w:rPr>
          <w:lang w:val="en-CA"/>
        </w:rPr>
        <w:t>.</w:t>
      </w:r>
      <w:r w:rsidRPr="00E02273">
        <w:rPr>
          <w:lang w:val="en-CA"/>
        </w:rPr>
        <w:t>]</w:t>
      </w:r>
    </w:p>
    <w:p w14:paraId="43EB7859" w14:textId="1DFD0EBD" w:rsidR="00B568AD" w:rsidRPr="00E02273" w:rsidRDefault="00886BC8" w:rsidP="00B572B8">
      <w:pPr>
        <w:pStyle w:val="Paragraphe"/>
        <w:tabs>
          <w:tab w:val="num" w:pos="709"/>
        </w:tabs>
        <w:spacing w:line="240" w:lineRule="auto"/>
        <w:ind w:left="0"/>
        <w:rPr>
          <w:lang w:val="en-CA"/>
        </w:rPr>
      </w:pPr>
      <w:r w:rsidRPr="00E02273">
        <w:rPr>
          <w:lang w:val="en-CA"/>
        </w:rPr>
        <w:t xml:space="preserve">However, she decided to declare unconstitutional </w:t>
      </w:r>
      <w:r w:rsidR="000C48C2">
        <w:rPr>
          <w:lang w:val="en-CA"/>
        </w:rPr>
        <w:t xml:space="preserve">the </w:t>
      </w:r>
      <w:r w:rsidRPr="00E02273">
        <w:rPr>
          <w:lang w:val="en-CA"/>
        </w:rPr>
        <w:t xml:space="preserve">new paragraphs </w:t>
      </w:r>
      <w:r w:rsidR="002D51A4" w:rsidRPr="00E02273">
        <w:rPr>
          <w:lang w:val="en-CA"/>
        </w:rPr>
        <w:t>4(4)</w:t>
      </w:r>
      <w:r w:rsidRPr="00E02273">
        <w:rPr>
          <w:lang w:val="en-CA"/>
        </w:rPr>
        <w:t>(</w:t>
      </w:r>
      <w:r w:rsidR="002D51A4" w:rsidRPr="00932433">
        <w:rPr>
          <w:lang w:val="en-CA"/>
        </w:rPr>
        <w:t>a</w:t>
      </w:r>
      <w:r w:rsidR="002D51A4" w:rsidRPr="00E02273">
        <w:rPr>
          <w:lang w:val="en-CA"/>
        </w:rPr>
        <w:t xml:space="preserve">) </w:t>
      </w:r>
      <w:r w:rsidRPr="00E02273">
        <w:rPr>
          <w:lang w:val="en-CA"/>
        </w:rPr>
        <w:t>and</w:t>
      </w:r>
      <w:r w:rsidR="002D51A4" w:rsidRPr="00E02273">
        <w:rPr>
          <w:lang w:val="en-CA"/>
        </w:rPr>
        <w:t xml:space="preserve"> </w:t>
      </w:r>
      <w:r w:rsidRPr="00E02273">
        <w:rPr>
          <w:lang w:val="en-CA"/>
        </w:rPr>
        <w:t>(</w:t>
      </w:r>
      <w:r w:rsidR="002D51A4" w:rsidRPr="00932433">
        <w:rPr>
          <w:lang w:val="en-CA"/>
        </w:rPr>
        <w:t>b</w:t>
      </w:r>
      <w:r w:rsidR="002D51A4" w:rsidRPr="00E02273">
        <w:rPr>
          <w:lang w:val="en-CA"/>
        </w:rPr>
        <w:t>)</w:t>
      </w:r>
      <w:r w:rsidR="00246C30" w:rsidRPr="00E02273">
        <w:rPr>
          <w:lang w:val="en-CA"/>
        </w:rPr>
        <w:t xml:space="preserve"> introduced into the </w:t>
      </w:r>
      <w:r w:rsidR="00246C30" w:rsidRPr="00E02273">
        <w:rPr>
          <w:i/>
          <w:lang w:val="en-CA"/>
        </w:rPr>
        <w:t xml:space="preserve">Patented Medicines Regulations </w:t>
      </w:r>
      <w:r w:rsidR="00246C30" w:rsidRPr="00E02273">
        <w:rPr>
          <w:lang w:val="en-CA"/>
        </w:rPr>
        <w:t xml:space="preserve">by the </w:t>
      </w:r>
      <w:r w:rsidR="00866E58" w:rsidRPr="00E02273">
        <w:rPr>
          <w:i/>
          <w:lang w:val="en-CA"/>
        </w:rPr>
        <w:t>2019 Regulatory Amendments</w:t>
      </w:r>
      <w:r w:rsidR="002D51A4" w:rsidRPr="00E02273">
        <w:rPr>
          <w:i/>
          <w:lang w:val="en-CA"/>
        </w:rPr>
        <w:t xml:space="preserve"> </w:t>
      </w:r>
      <w:r w:rsidR="00246C30" w:rsidRPr="00E02273">
        <w:rPr>
          <w:lang w:val="en-CA"/>
        </w:rPr>
        <w:t>and concerning the Board’s consideration of the confidential rebates granted to the public drug insurance plans</w:t>
      </w:r>
      <w:r w:rsidR="002D51A4" w:rsidRPr="00E02273">
        <w:rPr>
          <w:lang w:val="en-CA"/>
        </w:rPr>
        <w:t xml:space="preserve">. </w:t>
      </w:r>
      <w:r w:rsidR="00246C30" w:rsidRPr="00E02273">
        <w:rPr>
          <w:lang w:val="en-CA"/>
        </w:rPr>
        <w:t xml:space="preserve">According to the </w:t>
      </w:r>
      <w:r w:rsidR="002D51A4" w:rsidRPr="00E02273">
        <w:rPr>
          <w:lang w:val="en-CA"/>
        </w:rPr>
        <w:t>judge,</w:t>
      </w:r>
      <w:r w:rsidR="00246C30" w:rsidRPr="00E02273">
        <w:rPr>
          <w:lang w:val="en-CA"/>
        </w:rPr>
        <w:t xml:space="preserve"> the Board’s role would be [</w:t>
      </w:r>
      <w:r w:rsidR="00246C30" w:rsidRPr="00E02273">
        <w:rPr>
          <w:smallCaps/>
          <w:lang w:val="en-CA"/>
        </w:rPr>
        <w:t>translation</w:t>
      </w:r>
      <w:r w:rsidR="003E6723" w:rsidRPr="00E02273">
        <w:rPr>
          <w:lang w:val="en-CA"/>
        </w:rPr>
        <w:t xml:space="preserve">] </w:t>
      </w:r>
      <w:r w:rsidR="00AB7C7B" w:rsidRPr="00E02273">
        <w:rPr>
          <w:lang w:val="en-CA"/>
        </w:rPr>
        <w:t>“superfluous” in the case of medicines reimbursed by the provincial public plans.</w:t>
      </w:r>
      <w:r w:rsidR="002D51A4" w:rsidRPr="00E02273">
        <w:rPr>
          <w:rStyle w:val="Appelnotedebasdep"/>
          <w:lang w:val="en-CA"/>
        </w:rPr>
        <w:footnoteReference w:id="116"/>
      </w:r>
      <w:r w:rsidR="002D51A4" w:rsidRPr="00E02273">
        <w:rPr>
          <w:lang w:val="en-CA"/>
        </w:rPr>
        <w:t xml:space="preserve"> </w:t>
      </w:r>
    </w:p>
    <w:p w14:paraId="3B74DA01" w14:textId="1D810879" w:rsidR="00B568AD" w:rsidRPr="00E02273" w:rsidRDefault="006A57E6" w:rsidP="00B572B8">
      <w:pPr>
        <w:pStyle w:val="Paragraphe"/>
        <w:tabs>
          <w:tab w:val="num" w:pos="709"/>
        </w:tabs>
        <w:spacing w:line="240" w:lineRule="auto"/>
        <w:ind w:left="0"/>
        <w:rPr>
          <w:lang w:val="en-CA"/>
        </w:rPr>
      </w:pPr>
      <w:r w:rsidRPr="00E02273">
        <w:rPr>
          <w:lang w:val="en-CA"/>
        </w:rPr>
        <w:t xml:space="preserve">Contrary to her previous </w:t>
      </w:r>
      <w:r w:rsidR="002D51A4" w:rsidRPr="00E02273">
        <w:rPr>
          <w:lang w:val="en-CA"/>
        </w:rPr>
        <w:t xml:space="preserve">conclusion </w:t>
      </w:r>
      <w:r w:rsidR="00030400">
        <w:rPr>
          <w:lang w:val="en-CA"/>
        </w:rPr>
        <w:t>in this regard</w:t>
      </w:r>
      <w:r w:rsidRPr="00E02273">
        <w:rPr>
          <w:lang w:val="en-CA"/>
        </w:rPr>
        <w:t xml:space="preserve">, the </w:t>
      </w:r>
      <w:r w:rsidR="002D51A4" w:rsidRPr="00E02273">
        <w:rPr>
          <w:lang w:val="en-CA"/>
        </w:rPr>
        <w:t>judge</w:t>
      </w:r>
      <w:r w:rsidRPr="00E02273">
        <w:rPr>
          <w:lang w:val="en-CA"/>
        </w:rPr>
        <w:t xml:space="preserve"> acknowledged that in the case of </w:t>
      </w:r>
      <w:r w:rsidR="00030400">
        <w:rPr>
          <w:lang w:val="en-CA"/>
        </w:rPr>
        <w:t>requests</w:t>
      </w:r>
      <w:r w:rsidR="00030400" w:rsidRPr="00E02273">
        <w:rPr>
          <w:lang w:val="en-CA"/>
        </w:rPr>
        <w:t xml:space="preserve"> </w:t>
      </w:r>
      <w:r w:rsidRPr="00E02273">
        <w:rPr>
          <w:lang w:val="en-CA"/>
        </w:rPr>
        <w:t xml:space="preserve">for information concerning the confidential rebates, the purpose of the new </w:t>
      </w:r>
      <w:r w:rsidR="002D51A4" w:rsidRPr="00E02273">
        <w:rPr>
          <w:lang w:val="en-CA"/>
        </w:rPr>
        <w:t>regulatory</w:t>
      </w:r>
      <w:r w:rsidRPr="00E02273">
        <w:rPr>
          <w:lang w:val="en-CA"/>
        </w:rPr>
        <w:t xml:space="preserve"> </w:t>
      </w:r>
      <w:r w:rsidR="00A27151" w:rsidRPr="00E02273">
        <w:rPr>
          <w:lang w:val="en-CA"/>
        </w:rPr>
        <w:t>regime</w:t>
      </w:r>
      <w:r w:rsidR="002D51A4" w:rsidRPr="00E02273">
        <w:rPr>
          <w:lang w:val="en-CA"/>
        </w:rPr>
        <w:t xml:space="preserve"> </w:t>
      </w:r>
      <w:r w:rsidRPr="00E02273">
        <w:rPr>
          <w:lang w:val="en-CA"/>
        </w:rPr>
        <w:t xml:space="preserve">is to </w:t>
      </w:r>
      <w:r w:rsidR="002D51A4" w:rsidRPr="00E02273">
        <w:rPr>
          <w:lang w:val="en-CA"/>
        </w:rPr>
        <w:t>fix</w:t>
      </w:r>
      <w:r w:rsidRPr="00E02273">
        <w:rPr>
          <w:lang w:val="en-CA"/>
        </w:rPr>
        <w:t xml:space="preserve"> prices so as to significant</w:t>
      </w:r>
      <w:r w:rsidR="00030400">
        <w:rPr>
          <w:lang w:val="en-CA"/>
        </w:rPr>
        <w:t>ly</w:t>
      </w:r>
      <w:r w:rsidRPr="00E02273">
        <w:rPr>
          <w:lang w:val="en-CA"/>
        </w:rPr>
        <w:t xml:space="preserve"> reduc</w:t>
      </w:r>
      <w:r w:rsidR="00030400">
        <w:rPr>
          <w:lang w:val="en-CA"/>
        </w:rPr>
        <w:t>e</w:t>
      </w:r>
      <w:r w:rsidRPr="00E02273">
        <w:rPr>
          <w:lang w:val="en-CA"/>
        </w:rPr>
        <w:t xml:space="preserve"> price</w:t>
      </w:r>
      <w:r w:rsidR="00030400">
        <w:rPr>
          <w:lang w:val="en-CA"/>
        </w:rPr>
        <w:t>s</w:t>
      </w:r>
      <w:r w:rsidRPr="00E02273">
        <w:rPr>
          <w:lang w:val="en-CA"/>
        </w:rPr>
        <w:t>, rather than</w:t>
      </w:r>
      <w:r w:rsidR="0095034F" w:rsidRPr="00E02273">
        <w:rPr>
          <w:lang w:val="en-CA"/>
        </w:rPr>
        <w:t xml:space="preserve"> </w:t>
      </w:r>
      <w:r w:rsidR="00030400">
        <w:rPr>
          <w:lang w:val="en-CA"/>
        </w:rPr>
        <w:t xml:space="preserve">to </w:t>
      </w:r>
      <w:r w:rsidR="0095034F" w:rsidRPr="00E02273">
        <w:rPr>
          <w:lang w:val="en-CA"/>
        </w:rPr>
        <w:t>control excessive prices</w:t>
      </w:r>
      <w:r w:rsidR="002D51A4" w:rsidRPr="00E02273">
        <w:rPr>
          <w:lang w:val="en-CA"/>
        </w:rPr>
        <w:t>:</w:t>
      </w:r>
    </w:p>
    <w:p w14:paraId="7176125C" w14:textId="4E56FC9C" w:rsidR="0095034F" w:rsidRPr="00E02273" w:rsidRDefault="0095034F" w:rsidP="00B568AD">
      <w:pPr>
        <w:pStyle w:val="Citationenretrait"/>
        <w:spacing w:line="240" w:lineRule="auto"/>
        <w:rPr>
          <w:lang w:val="en-CA"/>
        </w:rPr>
      </w:pPr>
      <w:r w:rsidRPr="00E02273">
        <w:rPr>
          <w:lang w:val="en-CA"/>
        </w:rPr>
        <w:t>[</w:t>
      </w:r>
      <w:r w:rsidRPr="00E02273">
        <w:rPr>
          <w:smallCaps/>
          <w:lang w:val="en-CA"/>
        </w:rPr>
        <w:t>translation</w:t>
      </w:r>
      <w:r w:rsidRPr="00E02273">
        <w:rPr>
          <w:lang w:val="en-CA"/>
        </w:rPr>
        <w:t>]</w:t>
      </w:r>
    </w:p>
    <w:p w14:paraId="0CDC32E1" w14:textId="64D3582D" w:rsidR="00B568AD" w:rsidRPr="00E02273" w:rsidRDefault="002D51A4" w:rsidP="00B568AD">
      <w:pPr>
        <w:pStyle w:val="Citationenretrait"/>
        <w:spacing w:line="240" w:lineRule="auto"/>
        <w:rPr>
          <w:rFonts w:ascii="Times New Roman" w:hAnsi="Times New Roman"/>
          <w:lang w:val="en-CA" w:eastAsia="fr-CA"/>
        </w:rPr>
      </w:pPr>
      <w:r w:rsidRPr="00E02273">
        <w:rPr>
          <w:lang w:val="en-CA"/>
        </w:rPr>
        <w:t>[</w:t>
      </w:r>
      <w:bookmarkStart w:id="38" w:name="par420"/>
      <w:r w:rsidRPr="00E02273">
        <w:rPr>
          <w:lang w:val="en-CA"/>
        </w:rPr>
        <w:t>420</w:t>
      </w:r>
      <w:bookmarkEnd w:id="38"/>
      <w:r w:rsidRPr="00E02273">
        <w:rPr>
          <w:lang w:val="en-CA"/>
        </w:rPr>
        <w:t>]</w:t>
      </w:r>
      <w:r w:rsidRPr="00E02273">
        <w:rPr>
          <w:sz w:val="14"/>
          <w:szCs w:val="14"/>
          <w:lang w:val="en-CA"/>
        </w:rPr>
        <w:tab/>
      </w:r>
      <w:r w:rsidR="0095034F" w:rsidRPr="00E02273">
        <w:rPr>
          <w:lang w:val="en-CA"/>
        </w:rPr>
        <w:t xml:space="preserve">It is unreasonable for the Board, whose role is limited to preventing excessive prices (which remains useful with respect to medicines reimbursed by private insurance companies or paid for by Canadians (1.8%) who pay for the cost of their medicines themselves), to have access to information concerning the confidential rebates negotiated between manufacturers and public prescription drug insurance plans, knowing that it will have a negative impact on the provinces’ ability to </w:t>
      </w:r>
      <w:r w:rsidR="0095034F" w:rsidRPr="00E02273">
        <w:rPr>
          <w:u w:val="single"/>
          <w:lang w:val="en-CA"/>
        </w:rPr>
        <w:t>fix</w:t>
      </w:r>
      <w:r w:rsidR="0095034F" w:rsidRPr="00E02273">
        <w:rPr>
          <w:lang w:val="en-CA"/>
        </w:rPr>
        <w:t xml:space="preserve"> </w:t>
      </w:r>
      <w:r w:rsidR="00D55C4A" w:rsidRPr="00E02273">
        <w:rPr>
          <w:lang w:val="en-CA"/>
        </w:rPr>
        <w:t xml:space="preserve">[emphasis in original] </w:t>
      </w:r>
      <w:r w:rsidR="0095034F" w:rsidRPr="00E02273">
        <w:rPr>
          <w:lang w:val="en-CA"/>
        </w:rPr>
        <w:t xml:space="preserve">the lowest possible prices through significant rebates. The Board is encroaching on the price-fixing process established by the provinces. </w:t>
      </w:r>
      <w:r w:rsidR="0095034F" w:rsidRPr="00E02273">
        <w:rPr>
          <w:u w:val="single"/>
          <w:lang w:val="en-CA"/>
        </w:rPr>
        <w:t>While the federal government has jurisdiction to ensure medicines are not sold at excessive prices it cannot, in so doing, hinder the provinces’ power to fix (for the purpose of public prescription drug insurance plans) [</w:t>
      </w:r>
      <w:r w:rsidR="0095034F" w:rsidRPr="00E02273">
        <w:rPr>
          <w:smallCaps/>
          <w:u w:val="single"/>
          <w:lang w:val="en-CA"/>
        </w:rPr>
        <w:t>translation</w:t>
      </w:r>
      <w:r w:rsidR="0095034F" w:rsidRPr="00E02273">
        <w:rPr>
          <w:u w:val="single"/>
          <w:lang w:val="en-CA"/>
        </w:rPr>
        <w:t>] “particularly advantageous” prices due to the confidentiality of the rebates negotiated</w:t>
      </w:r>
      <w:r w:rsidR="0095034F" w:rsidRPr="00E02273">
        <w:rPr>
          <w:lang w:val="en-CA"/>
        </w:rPr>
        <w:t xml:space="preserve">. Indeed, in practice, the disclosure to the Board of the confidential rebates and the resulting substantial reductions in prices on the private market would have the </w:t>
      </w:r>
      <w:r w:rsidR="0095034F" w:rsidRPr="00E02273">
        <w:rPr>
          <w:color w:val="000000"/>
          <w:lang w:val="en-CA"/>
        </w:rPr>
        <w:t xml:space="preserve">perverse effect of limiting the scope of the </w:t>
      </w:r>
      <w:r w:rsidR="0095034F" w:rsidRPr="00E02273">
        <w:rPr>
          <w:lang w:val="en-CA"/>
        </w:rPr>
        <w:t>rebates</w:t>
      </w:r>
      <w:r w:rsidR="0095034F" w:rsidRPr="00E02273">
        <w:rPr>
          <w:color w:val="000000"/>
          <w:lang w:val="en-CA"/>
        </w:rPr>
        <w:t xml:space="preserve"> that the provincial prescription drug insurance plans could obtain. This market reality adduced into evidence by the applicants was not contradicted</w:t>
      </w:r>
      <w:r w:rsidR="0095034F" w:rsidRPr="00E02273">
        <w:rPr>
          <w:lang w:val="en-CA"/>
        </w:rPr>
        <w:t>.</w:t>
      </w:r>
      <w:r w:rsidRPr="00E02273">
        <w:rPr>
          <w:lang w:val="en-CA"/>
        </w:rPr>
        <w:t xml:space="preserve"> </w:t>
      </w:r>
    </w:p>
    <w:p w14:paraId="7698A565" w14:textId="615EBF82" w:rsidR="00B568AD" w:rsidRPr="00E02273" w:rsidRDefault="002D51A4" w:rsidP="00B568AD">
      <w:pPr>
        <w:pStyle w:val="Citationenretrait"/>
        <w:spacing w:line="240" w:lineRule="auto"/>
        <w:rPr>
          <w:lang w:val="en-CA"/>
        </w:rPr>
      </w:pPr>
      <w:r w:rsidRPr="00E02273">
        <w:rPr>
          <w:lang w:val="en-CA"/>
        </w:rPr>
        <w:t>[</w:t>
      </w:r>
      <w:bookmarkStart w:id="39" w:name="par421"/>
      <w:r w:rsidRPr="00E02273">
        <w:rPr>
          <w:lang w:val="en-CA"/>
        </w:rPr>
        <w:t>421</w:t>
      </w:r>
      <w:bookmarkEnd w:id="39"/>
      <w:r w:rsidRPr="00E02273">
        <w:rPr>
          <w:lang w:val="en-CA"/>
        </w:rPr>
        <w:t>]</w:t>
      </w:r>
      <w:r w:rsidRPr="00E02273">
        <w:rPr>
          <w:sz w:val="14"/>
          <w:szCs w:val="14"/>
          <w:lang w:val="en-CA"/>
        </w:rPr>
        <w:tab/>
      </w:r>
      <w:r w:rsidR="0095034F" w:rsidRPr="00E02273">
        <w:rPr>
          <w:u w:val="single"/>
          <w:lang w:val="en-CA"/>
        </w:rPr>
        <w:t>The Court is of the view that such disclosure would cause the Board’s role to shift from the control of excessive prices to the fixing of prices. These two concepts</w:t>
      </w:r>
      <w:r w:rsidR="0095034F" w:rsidRPr="00E02273">
        <w:rPr>
          <w:lang w:val="en-CA"/>
        </w:rPr>
        <w:t xml:space="preserve">, which differ significantly in terms of the amount to gauge, </w:t>
      </w:r>
      <w:r w:rsidR="0095034F" w:rsidRPr="00E02273">
        <w:rPr>
          <w:u w:val="single"/>
          <w:lang w:val="en-CA"/>
        </w:rPr>
        <w:t>are also distinguishable with respect to the constitutional division of powers (the first being directly related to patents while the second is foreign thereto, because it completely disregards the statutory monopoly)</w:t>
      </w:r>
      <w:r w:rsidR="0095034F" w:rsidRPr="00E02273">
        <w:rPr>
          <w:lang w:val="en-CA"/>
        </w:rPr>
        <w:t>.</w:t>
      </w:r>
      <w:r w:rsidRPr="00E02273">
        <w:rPr>
          <w:lang w:val="en-CA"/>
        </w:rPr>
        <w:t xml:space="preserve"> </w:t>
      </w:r>
    </w:p>
    <w:p w14:paraId="590E14B7" w14:textId="0A331CC0" w:rsidR="00B568AD" w:rsidRPr="00E02273" w:rsidRDefault="002D51A4" w:rsidP="00B568AD">
      <w:pPr>
        <w:pStyle w:val="Citationenretrait"/>
        <w:spacing w:before="0" w:line="240" w:lineRule="auto"/>
        <w:jc w:val="right"/>
        <w:rPr>
          <w:lang w:val="en-CA"/>
        </w:rPr>
      </w:pPr>
      <w:r w:rsidRPr="00E02273">
        <w:rPr>
          <w:lang w:val="en-CA"/>
        </w:rPr>
        <w:t>[Emphasis</w:t>
      </w:r>
      <w:r w:rsidR="00D55C4A" w:rsidRPr="00E02273">
        <w:rPr>
          <w:lang w:val="en-CA"/>
        </w:rPr>
        <w:t xml:space="preserve"> </w:t>
      </w:r>
      <w:r w:rsidRPr="00E02273">
        <w:rPr>
          <w:lang w:val="en-CA"/>
        </w:rPr>
        <w:t xml:space="preserve">added, </w:t>
      </w:r>
      <w:r w:rsidR="00D55C4A" w:rsidRPr="00E02273">
        <w:rPr>
          <w:lang w:val="en-CA"/>
        </w:rPr>
        <w:t xml:space="preserve">except where </w:t>
      </w:r>
      <w:r w:rsidRPr="00E02273">
        <w:rPr>
          <w:lang w:val="en-CA"/>
        </w:rPr>
        <w:t>indicat</w:t>
      </w:r>
      <w:r w:rsidR="00D55C4A" w:rsidRPr="00E02273">
        <w:rPr>
          <w:lang w:val="en-CA"/>
        </w:rPr>
        <w:t>ed otherwise.</w:t>
      </w:r>
      <w:r w:rsidRPr="00E02273">
        <w:rPr>
          <w:lang w:val="en-CA"/>
        </w:rPr>
        <w:t>]</w:t>
      </w:r>
    </w:p>
    <w:p w14:paraId="0C3DA898" w14:textId="3EFCDDA6" w:rsidR="00B568AD" w:rsidRPr="00E02273" w:rsidRDefault="00773819" w:rsidP="00B572B8">
      <w:pPr>
        <w:pStyle w:val="Paragraphe"/>
        <w:tabs>
          <w:tab w:val="num" w:pos="709"/>
        </w:tabs>
        <w:spacing w:before="240" w:line="240" w:lineRule="auto"/>
        <w:ind w:left="0"/>
        <w:rPr>
          <w:lang w:val="en-CA"/>
        </w:rPr>
      </w:pPr>
      <w:r w:rsidRPr="00E02273">
        <w:rPr>
          <w:lang w:val="en-CA"/>
        </w:rPr>
        <w:t xml:space="preserve">The </w:t>
      </w:r>
      <w:r w:rsidR="002D51A4" w:rsidRPr="00E02273">
        <w:rPr>
          <w:lang w:val="en-CA"/>
        </w:rPr>
        <w:t>judge</w:t>
      </w:r>
      <w:r w:rsidRPr="00E02273">
        <w:rPr>
          <w:lang w:val="en-CA"/>
        </w:rPr>
        <w:t xml:space="preserve"> therefore declared the entire impugned regime</w:t>
      </w:r>
      <w:r w:rsidR="003C4FE4" w:rsidRPr="00E02273">
        <w:rPr>
          <w:lang w:val="en-CA"/>
        </w:rPr>
        <w:t xml:space="preserve"> constitutional</w:t>
      </w:r>
      <w:r w:rsidRPr="00E02273">
        <w:rPr>
          <w:lang w:val="en-CA"/>
        </w:rPr>
        <w:t xml:space="preserve">, including the </w:t>
      </w:r>
      <w:r w:rsidR="00866E58" w:rsidRPr="00E02273">
        <w:rPr>
          <w:i/>
          <w:lang w:val="en-CA"/>
        </w:rPr>
        <w:t>2019 Regulatory Amendments</w:t>
      </w:r>
      <w:r w:rsidR="002D51A4" w:rsidRPr="00E02273">
        <w:rPr>
          <w:lang w:val="en-CA"/>
        </w:rPr>
        <w:t xml:space="preserve">, </w:t>
      </w:r>
      <w:r w:rsidRPr="00E02273">
        <w:rPr>
          <w:lang w:val="en-CA"/>
        </w:rPr>
        <w:t xml:space="preserve">except </w:t>
      </w:r>
      <w:r w:rsidR="000C48C2">
        <w:rPr>
          <w:lang w:val="en-CA"/>
        </w:rPr>
        <w:t xml:space="preserve">the </w:t>
      </w:r>
      <w:r w:rsidRPr="00E02273">
        <w:rPr>
          <w:lang w:val="en-CA"/>
        </w:rPr>
        <w:t xml:space="preserve">new paragraphs </w:t>
      </w:r>
      <w:r w:rsidR="002D51A4" w:rsidRPr="00E02273">
        <w:rPr>
          <w:lang w:val="en-CA"/>
        </w:rPr>
        <w:t>4(4)</w:t>
      </w:r>
      <w:r w:rsidR="003C4FE4" w:rsidRPr="00E02273">
        <w:rPr>
          <w:lang w:val="en-CA"/>
        </w:rPr>
        <w:t>(</w:t>
      </w:r>
      <w:r w:rsidR="002D51A4" w:rsidRPr="00EE368E">
        <w:rPr>
          <w:lang w:val="en-CA"/>
        </w:rPr>
        <w:t>a</w:t>
      </w:r>
      <w:r w:rsidR="002D51A4" w:rsidRPr="00E02273">
        <w:rPr>
          <w:lang w:val="en-CA"/>
        </w:rPr>
        <w:t xml:space="preserve">) </w:t>
      </w:r>
      <w:r w:rsidR="003C4FE4" w:rsidRPr="00E02273">
        <w:rPr>
          <w:lang w:val="en-CA"/>
        </w:rPr>
        <w:t>and</w:t>
      </w:r>
      <w:r w:rsidR="002D51A4" w:rsidRPr="00E02273">
        <w:rPr>
          <w:lang w:val="en-CA"/>
        </w:rPr>
        <w:t xml:space="preserve"> </w:t>
      </w:r>
      <w:r w:rsidR="003C4FE4" w:rsidRPr="00E02273">
        <w:rPr>
          <w:lang w:val="en-CA"/>
        </w:rPr>
        <w:t>(</w:t>
      </w:r>
      <w:r w:rsidR="002D51A4" w:rsidRPr="00EE368E">
        <w:rPr>
          <w:lang w:val="en-CA"/>
        </w:rPr>
        <w:t>b</w:t>
      </w:r>
      <w:r w:rsidR="002D51A4" w:rsidRPr="00E02273">
        <w:rPr>
          <w:lang w:val="en-CA"/>
        </w:rPr>
        <w:t xml:space="preserve">) </w:t>
      </w:r>
      <w:r w:rsidR="003C4FE4" w:rsidRPr="00E02273">
        <w:rPr>
          <w:lang w:val="en-CA"/>
        </w:rPr>
        <w:t xml:space="preserve">of the </w:t>
      </w:r>
      <w:r w:rsidR="003C4FE4" w:rsidRPr="00E02273">
        <w:rPr>
          <w:i/>
          <w:lang w:val="en-CA"/>
        </w:rPr>
        <w:lastRenderedPageBreak/>
        <w:t>Patented Medicines Regulations</w:t>
      </w:r>
      <w:r w:rsidR="003C4FE4" w:rsidRPr="00E02273">
        <w:rPr>
          <w:lang w:val="en-CA"/>
        </w:rPr>
        <w:t xml:space="preserve">, which she declared </w:t>
      </w:r>
      <w:r w:rsidR="002D51A4" w:rsidRPr="00E02273">
        <w:rPr>
          <w:i/>
          <w:lang w:val="en-CA"/>
        </w:rPr>
        <w:t>ultra</w:t>
      </w:r>
      <w:r w:rsidR="003C4FE4" w:rsidRPr="00E02273">
        <w:rPr>
          <w:i/>
          <w:lang w:val="en-CA"/>
        </w:rPr>
        <w:t xml:space="preserve"> </w:t>
      </w:r>
      <w:r w:rsidR="002D51A4" w:rsidRPr="00E02273">
        <w:rPr>
          <w:i/>
          <w:lang w:val="en-CA"/>
        </w:rPr>
        <w:t>vire</w:t>
      </w:r>
      <w:r w:rsidR="003C4FE4" w:rsidRPr="00E02273">
        <w:rPr>
          <w:i/>
          <w:lang w:val="en-CA"/>
        </w:rPr>
        <w:t>s</w:t>
      </w:r>
      <w:r w:rsidR="002D51A4" w:rsidRPr="00E02273">
        <w:rPr>
          <w:lang w:val="en-CA"/>
        </w:rPr>
        <w:t xml:space="preserve">. </w:t>
      </w:r>
      <w:r w:rsidR="003C4FE4" w:rsidRPr="00E02273">
        <w:rPr>
          <w:lang w:val="en-CA"/>
        </w:rPr>
        <w:t xml:space="preserve">She also ordered the </w:t>
      </w:r>
      <w:r w:rsidR="002D51A4" w:rsidRPr="00E02273">
        <w:rPr>
          <w:lang w:val="en-CA"/>
        </w:rPr>
        <w:t>provisional</w:t>
      </w:r>
      <w:r w:rsidR="003C4FE4" w:rsidRPr="00E02273">
        <w:rPr>
          <w:lang w:val="en-CA"/>
        </w:rPr>
        <w:t xml:space="preserve"> </w:t>
      </w:r>
      <w:r w:rsidR="002D51A4" w:rsidRPr="00E02273">
        <w:rPr>
          <w:lang w:val="en-CA"/>
        </w:rPr>
        <w:t>execution</w:t>
      </w:r>
      <w:r w:rsidR="003C4FE4" w:rsidRPr="00E02273">
        <w:rPr>
          <w:lang w:val="en-CA"/>
        </w:rPr>
        <w:t xml:space="preserve"> of the </w:t>
      </w:r>
      <w:r w:rsidR="002D51A4" w:rsidRPr="00E02273">
        <w:rPr>
          <w:lang w:val="en-CA"/>
        </w:rPr>
        <w:t>declaration</w:t>
      </w:r>
      <w:r w:rsidR="003C4FE4" w:rsidRPr="00E02273">
        <w:rPr>
          <w:lang w:val="en-CA"/>
        </w:rPr>
        <w:t xml:space="preserve"> </w:t>
      </w:r>
      <w:r w:rsidR="002D51A4" w:rsidRPr="00E02273">
        <w:rPr>
          <w:lang w:val="en-CA"/>
        </w:rPr>
        <w:t>of</w:t>
      </w:r>
      <w:r w:rsidR="003C4FE4" w:rsidRPr="00E02273">
        <w:rPr>
          <w:lang w:val="en-CA"/>
        </w:rPr>
        <w:t xml:space="preserve"> </w:t>
      </w:r>
      <w:r w:rsidR="002D51A4" w:rsidRPr="00E02273">
        <w:rPr>
          <w:lang w:val="en-CA"/>
        </w:rPr>
        <w:t>invalidity.</w:t>
      </w:r>
    </w:p>
    <w:p w14:paraId="3575911F" w14:textId="60335B5F" w:rsidR="00B568AD" w:rsidRPr="00E02273" w:rsidRDefault="002D51A4" w:rsidP="00B568AD">
      <w:pPr>
        <w:pStyle w:val="Paragraphe"/>
        <w:numPr>
          <w:ilvl w:val="0"/>
          <w:numId w:val="0"/>
        </w:numPr>
        <w:spacing w:line="240" w:lineRule="auto"/>
        <w:rPr>
          <w:b/>
          <w:u w:val="single"/>
          <w:lang w:val="en-CA"/>
        </w:rPr>
      </w:pPr>
      <w:r w:rsidRPr="00E02273">
        <w:rPr>
          <w:b/>
          <w:u w:val="single"/>
          <w:lang w:val="en-CA"/>
        </w:rPr>
        <w:t xml:space="preserve">IV </w:t>
      </w:r>
      <w:r w:rsidR="00914836">
        <w:rPr>
          <w:b/>
          <w:u w:val="single"/>
          <w:lang w:val="en-CA"/>
        </w:rPr>
        <w:t>-</w:t>
      </w:r>
      <w:r w:rsidRPr="00E02273">
        <w:rPr>
          <w:b/>
          <w:u w:val="single"/>
          <w:lang w:val="en-CA"/>
        </w:rPr>
        <w:t xml:space="preserve"> </w:t>
      </w:r>
      <w:r w:rsidR="00260C70" w:rsidRPr="00E02273">
        <w:rPr>
          <w:b/>
          <w:u w:val="single"/>
          <w:lang w:val="en-CA"/>
        </w:rPr>
        <w:t xml:space="preserve">THE </w:t>
      </w:r>
      <w:r w:rsidR="000F1040">
        <w:rPr>
          <w:b/>
          <w:u w:val="single"/>
          <w:lang w:val="en-CA"/>
        </w:rPr>
        <w:t>ARGUMENTS</w:t>
      </w:r>
      <w:r w:rsidR="00260C70" w:rsidRPr="00E02273">
        <w:rPr>
          <w:b/>
          <w:u w:val="single"/>
          <w:lang w:val="en-CA"/>
        </w:rPr>
        <w:t xml:space="preserve"> OF THE </w:t>
      </w:r>
      <w:r w:rsidRPr="00E02273">
        <w:rPr>
          <w:b/>
          <w:u w:val="single"/>
          <w:lang w:val="en-CA"/>
        </w:rPr>
        <w:t>PARTIES</w:t>
      </w:r>
    </w:p>
    <w:p w14:paraId="7A4D1AB7" w14:textId="45AF3600" w:rsidR="00B568AD" w:rsidRPr="00E02273" w:rsidRDefault="002D51A4" w:rsidP="00B568AD">
      <w:pPr>
        <w:pStyle w:val="Paragraphe"/>
        <w:numPr>
          <w:ilvl w:val="0"/>
          <w:numId w:val="0"/>
        </w:numPr>
        <w:spacing w:line="240" w:lineRule="auto"/>
        <w:ind w:firstLine="720"/>
        <w:rPr>
          <w:b/>
          <w:i/>
          <w:u w:val="single"/>
          <w:lang w:val="en-CA"/>
        </w:rPr>
      </w:pPr>
      <w:r w:rsidRPr="00E02273">
        <w:rPr>
          <w:b/>
          <w:u w:val="single"/>
          <w:lang w:val="en-CA"/>
        </w:rPr>
        <w:t>A</w:t>
      </w:r>
      <w:r w:rsidR="00260C70" w:rsidRPr="00E02273">
        <w:rPr>
          <w:b/>
          <w:i/>
          <w:u w:val="single"/>
          <w:lang w:val="en-CA"/>
        </w:rPr>
        <w:t xml:space="preserve"> </w:t>
      </w:r>
      <w:r w:rsidR="00914836" w:rsidRPr="00914836">
        <w:rPr>
          <w:b/>
          <w:u w:val="single"/>
          <w:lang w:val="en-CA"/>
        </w:rPr>
        <w:t>-</w:t>
      </w:r>
      <w:r w:rsidR="00260C70" w:rsidRPr="00E02273">
        <w:rPr>
          <w:b/>
          <w:i/>
          <w:u w:val="single"/>
          <w:lang w:val="en-CA"/>
        </w:rPr>
        <w:t xml:space="preserve"> The appellant </w:t>
      </w:r>
      <w:r w:rsidRPr="00AF7432">
        <w:rPr>
          <w:b/>
          <w:i/>
          <w:u w:val="single"/>
          <w:lang w:val="en-CA"/>
        </w:rPr>
        <w:t>pharmaceutical</w:t>
      </w:r>
      <w:r w:rsidR="00260C70" w:rsidRPr="00AF7432">
        <w:rPr>
          <w:b/>
          <w:i/>
          <w:u w:val="single"/>
          <w:lang w:val="en-CA"/>
        </w:rPr>
        <w:t xml:space="preserve"> </w:t>
      </w:r>
      <w:r w:rsidRPr="00AF7432">
        <w:rPr>
          <w:b/>
          <w:i/>
          <w:u w:val="single"/>
          <w:lang w:val="en-CA"/>
        </w:rPr>
        <w:t>companies</w:t>
      </w:r>
    </w:p>
    <w:p w14:paraId="7B06D11E" w14:textId="572EEF6A" w:rsidR="00B568AD" w:rsidRPr="00E02273" w:rsidRDefault="005E5002" w:rsidP="00B572B8">
      <w:pPr>
        <w:pStyle w:val="Paragraphe"/>
        <w:tabs>
          <w:tab w:val="num" w:pos="709"/>
        </w:tabs>
        <w:spacing w:line="240" w:lineRule="auto"/>
        <w:ind w:left="0"/>
        <w:rPr>
          <w:lang w:val="en-CA"/>
        </w:rPr>
      </w:pPr>
      <w:r w:rsidRPr="00E02273">
        <w:rPr>
          <w:lang w:val="en-CA"/>
        </w:rPr>
        <w:t xml:space="preserve">The appellant </w:t>
      </w:r>
      <w:r w:rsidR="002D51A4" w:rsidRPr="00E02273">
        <w:rPr>
          <w:lang w:val="en-CA"/>
        </w:rPr>
        <w:t>pharmaceutical</w:t>
      </w:r>
      <w:r w:rsidRPr="00E02273">
        <w:rPr>
          <w:lang w:val="en-CA"/>
        </w:rPr>
        <w:t xml:space="preserve"> </w:t>
      </w:r>
      <w:r w:rsidR="002D51A4" w:rsidRPr="00E02273">
        <w:rPr>
          <w:lang w:val="en-CA"/>
        </w:rPr>
        <w:t xml:space="preserve">companies </w:t>
      </w:r>
      <w:r w:rsidRPr="00E02273">
        <w:rPr>
          <w:lang w:val="en-CA"/>
        </w:rPr>
        <w:t xml:space="preserve">submit that the </w:t>
      </w:r>
      <w:r w:rsidR="00030400">
        <w:rPr>
          <w:lang w:val="en-CA"/>
        </w:rPr>
        <w:t xml:space="preserve">special </w:t>
      </w:r>
      <w:r w:rsidRPr="00E02273">
        <w:rPr>
          <w:lang w:val="en-CA"/>
        </w:rPr>
        <w:t xml:space="preserve">regime concerning patented or protected medicines set out in </w:t>
      </w:r>
      <w:r w:rsidR="002D51A4" w:rsidRPr="00E02273">
        <w:rPr>
          <w:lang w:val="en-CA"/>
        </w:rPr>
        <w:t xml:space="preserve">sections 79 </w:t>
      </w:r>
      <w:r w:rsidRPr="00E02273">
        <w:rPr>
          <w:lang w:val="en-CA"/>
        </w:rPr>
        <w:t>to</w:t>
      </w:r>
      <w:r w:rsidR="002D51A4" w:rsidRPr="00E02273">
        <w:rPr>
          <w:lang w:val="en-CA"/>
        </w:rPr>
        <w:t xml:space="preserve"> 103 </w:t>
      </w:r>
      <w:r w:rsidR="001C320C">
        <w:rPr>
          <w:lang w:val="en-CA"/>
        </w:rPr>
        <w:t xml:space="preserve">of the </w:t>
      </w:r>
      <w:r w:rsidRPr="00E02273">
        <w:rPr>
          <w:i/>
          <w:lang w:val="en-CA"/>
        </w:rPr>
        <w:t xml:space="preserve">Patent Act </w:t>
      </w:r>
      <w:r w:rsidRPr="00E02273">
        <w:rPr>
          <w:lang w:val="en-CA"/>
        </w:rPr>
        <w:t xml:space="preserve">and the </w:t>
      </w:r>
      <w:r w:rsidRPr="00E02273">
        <w:rPr>
          <w:i/>
          <w:lang w:val="en-CA"/>
        </w:rPr>
        <w:t>Patented Medicines Regulations</w:t>
      </w:r>
      <w:r w:rsidRPr="00E02273">
        <w:rPr>
          <w:lang w:val="en-CA"/>
        </w:rPr>
        <w:t>, in its present form,</w:t>
      </w:r>
      <w:r w:rsidR="000F1040">
        <w:rPr>
          <w:lang w:val="en-CA"/>
        </w:rPr>
        <w:t xml:space="preserve"> in intended to</w:t>
      </w:r>
      <w:r w:rsidRPr="00E02273">
        <w:rPr>
          <w:lang w:val="en-CA"/>
        </w:rPr>
        <w:t xml:space="preserve"> control of the price of patented medicines</w:t>
      </w:r>
      <w:r w:rsidR="002D51A4" w:rsidRPr="00E02273">
        <w:rPr>
          <w:lang w:val="en-CA"/>
        </w:rPr>
        <w:t>.</w:t>
      </w:r>
      <w:r w:rsidRPr="00E02273">
        <w:rPr>
          <w:lang w:val="en-CA"/>
        </w:rPr>
        <w:t xml:space="preserve"> They add that the </w:t>
      </w:r>
      <w:r w:rsidR="00866E58" w:rsidRPr="00E02273">
        <w:rPr>
          <w:i/>
          <w:lang w:val="en-CA"/>
        </w:rPr>
        <w:t>2019 Regulatory Amendments</w:t>
      </w:r>
      <w:r w:rsidR="002D51A4" w:rsidRPr="00E02273">
        <w:rPr>
          <w:i/>
          <w:lang w:val="en-CA"/>
        </w:rPr>
        <w:t xml:space="preserve"> </w:t>
      </w:r>
      <w:r w:rsidR="007C3E1A" w:rsidRPr="00E02273">
        <w:rPr>
          <w:lang w:val="en-CA"/>
        </w:rPr>
        <w:t xml:space="preserve">simply reinforce that control by </w:t>
      </w:r>
      <w:r w:rsidR="002D51A4" w:rsidRPr="00E02273">
        <w:rPr>
          <w:lang w:val="en-CA"/>
        </w:rPr>
        <w:t>impos</w:t>
      </w:r>
      <w:r w:rsidR="007C3E1A" w:rsidRPr="00E02273">
        <w:rPr>
          <w:lang w:val="en-CA"/>
        </w:rPr>
        <w:t>ing significant re</w:t>
      </w:r>
      <w:r w:rsidR="002D51A4" w:rsidRPr="00E02273">
        <w:rPr>
          <w:lang w:val="en-CA"/>
        </w:rPr>
        <w:t xml:space="preserve">ductions </w:t>
      </w:r>
      <w:r w:rsidR="007C3E1A" w:rsidRPr="00E02273">
        <w:rPr>
          <w:lang w:val="en-CA"/>
        </w:rPr>
        <w:t>on the price of patented medicines</w:t>
      </w:r>
      <w:r w:rsidR="002D51A4" w:rsidRPr="00E02273">
        <w:rPr>
          <w:lang w:val="en-CA"/>
        </w:rPr>
        <w:t>.</w:t>
      </w:r>
    </w:p>
    <w:p w14:paraId="4F9168CE" w14:textId="104AFBEB" w:rsidR="00B568AD" w:rsidRPr="00E02273" w:rsidRDefault="008F59BC" w:rsidP="00B572B8">
      <w:pPr>
        <w:pStyle w:val="Paragraphe"/>
        <w:tabs>
          <w:tab w:val="num" w:pos="709"/>
        </w:tabs>
        <w:spacing w:line="240" w:lineRule="auto"/>
        <w:ind w:left="0"/>
        <w:rPr>
          <w:lang w:val="en-CA"/>
        </w:rPr>
      </w:pPr>
      <w:r w:rsidRPr="00E02273">
        <w:rPr>
          <w:lang w:val="en-CA"/>
        </w:rPr>
        <w:t xml:space="preserve">According to the </w:t>
      </w:r>
      <w:r w:rsidR="002D51A4" w:rsidRPr="00E02273">
        <w:rPr>
          <w:lang w:val="en-CA"/>
        </w:rPr>
        <w:t>appel</w:t>
      </w:r>
      <w:r w:rsidRPr="00E02273">
        <w:rPr>
          <w:lang w:val="en-CA"/>
        </w:rPr>
        <w:t>l</w:t>
      </w:r>
      <w:r w:rsidR="002D51A4" w:rsidRPr="00E02273">
        <w:rPr>
          <w:lang w:val="en-CA"/>
        </w:rPr>
        <w:t xml:space="preserve">ants, </w:t>
      </w:r>
      <w:r w:rsidRPr="00E02273">
        <w:rPr>
          <w:lang w:val="en-CA"/>
        </w:rPr>
        <w:t xml:space="preserve">controlling the price of medicines falls </w:t>
      </w:r>
      <w:r w:rsidR="001C320C">
        <w:rPr>
          <w:lang w:val="en-CA"/>
        </w:rPr>
        <w:t>within</w:t>
      </w:r>
      <w:r w:rsidRPr="00E02273">
        <w:rPr>
          <w:lang w:val="en-CA"/>
        </w:rPr>
        <w:t xml:space="preserve"> </w:t>
      </w:r>
      <w:r w:rsidR="002D51A4" w:rsidRPr="00E02273">
        <w:rPr>
          <w:lang w:val="en-CA"/>
        </w:rPr>
        <w:t>provincial</w:t>
      </w:r>
      <w:r w:rsidRPr="00E02273">
        <w:rPr>
          <w:lang w:val="en-CA"/>
        </w:rPr>
        <w:t xml:space="preserve"> </w:t>
      </w:r>
      <w:r w:rsidR="002D51A4" w:rsidRPr="00E02273">
        <w:rPr>
          <w:lang w:val="en-CA"/>
        </w:rPr>
        <w:t>jurisdiction</w:t>
      </w:r>
      <w:r w:rsidRPr="00E02273">
        <w:rPr>
          <w:lang w:val="en-CA"/>
        </w:rPr>
        <w:t xml:space="preserve"> over property and </w:t>
      </w:r>
      <w:r w:rsidR="002D51A4" w:rsidRPr="00E02273">
        <w:rPr>
          <w:lang w:val="en-CA"/>
        </w:rPr>
        <w:t>civil</w:t>
      </w:r>
      <w:r w:rsidRPr="00E02273">
        <w:rPr>
          <w:lang w:val="en-CA"/>
        </w:rPr>
        <w:t xml:space="preserve"> </w:t>
      </w:r>
      <w:r w:rsidR="002D51A4" w:rsidRPr="00E02273">
        <w:rPr>
          <w:lang w:val="en-CA"/>
        </w:rPr>
        <w:t xml:space="preserve">rights, </w:t>
      </w:r>
      <w:r w:rsidR="00E4667E" w:rsidRPr="00E02273">
        <w:rPr>
          <w:lang w:val="en-CA"/>
        </w:rPr>
        <w:t>matters of a merely local or private nature, and the establishment, maintenance, and management of hospitals</w:t>
      </w:r>
      <w:r w:rsidR="002D51A4" w:rsidRPr="00E02273">
        <w:rPr>
          <w:lang w:val="en-CA"/>
        </w:rPr>
        <w:t xml:space="preserve">. </w:t>
      </w:r>
      <w:r w:rsidR="00E4667E" w:rsidRPr="00E02273">
        <w:rPr>
          <w:lang w:val="en-CA"/>
        </w:rPr>
        <w:t xml:space="preserve">They </w:t>
      </w:r>
      <w:r w:rsidR="0063634A" w:rsidRPr="00E02273">
        <w:rPr>
          <w:lang w:val="en-CA"/>
        </w:rPr>
        <w:t xml:space="preserve">acknowledge that the federal </w:t>
      </w:r>
      <w:r w:rsidR="002D51A4" w:rsidRPr="00E02273">
        <w:rPr>
          <w:lang w:val="en-CA"/>
        </w:rPr>
        <w:t>government</w:t>
      </w:r>
      <w:r w:rsidR="0063634A" w:rsidRPr="00E02273">
        <w:rPr>
          <w:lang w:val="en-CA"/>
        </w:rPr>
        <w:t xml:space="preserve"> </w:t>
      </w:r>
      <w:r w:rsidR="00030400">
        <w:rPr>
          <w:lang w:val="en-CA"/>
        </w:rPr>
        <w:t xml:space="preserve">does </w:t>
      </w:r>
      <w:r w:rsidR="0063634A" w:rsidRPr="00E02273">
        <w:rPr>
          <w:lang w:val="en-CA"/>
        </w:rPr>
        <w:t xml:space="preserve">indeed </w:t>
      </w:r>
      <w:r w:rsidR="00030400">
        <w:rPr>
          <w:lang w:val="en-CA"/>
        </w:rPr>
        <w:t xml:space="preserve">have </w:t>
      </w:r>
      <w:r w:rsidR="0063634A" w:rsidRPr="00E02273">
        <w:rPr>
          <w:lang w:val="en-CA"/>
        </w:rPr>
        <w:t xml:space="preserve">jurisdiction to control the abuse of patent, but submit that its jurisdiction to remedy such </w:t>
      </w:r>
      <w:r w:rsidR="002D51A4" w:rsidRPr="00E02273">
        <w:rPr>
          <w:lang w:val="en-CA"/>
        </w:rPr>
        <w:t>abus</w:t>
      </w:r>
      <w:r w:rsidR="0063634A" w:rsidRPr="00E02273">
        <w:rPr>
          <w:lang w:val="en-CA"/>
        </w:rPr>
        <w:t>e is l</w:t>
      </w:r>
      <w:r w:rsidR="002D51A4" w:rsidRPr="00E02273">
        <w:rPr>
          <w:lang w:val="en-CA"/>
        </w:rPr>
        <w:t>imite</w:t>
      </w:r>
      <w:r w:rsidR="0063634A" w:rsidRPr="00E02273">
        <w:rPr>
          <w:lang w:val="en-CA"/>
        </w:rPr>
        <w:t xml:space="preserve">d to revoking the patent or granting a </w:t>
      </w:r>
      <w:r w:rsidR="002D51A4" w:rsidRPr="00E02273">
        <w:rPr>
          <w:lang w:val="en-CA"/>
        </w:rPr>
        <w:t xml:space="preserve">licence </w:t>
      </w:r>
      <w:r w:rsidR="0063634A" w:rsidRPr="00E02273">
        <w:rPr>
          <w:lang w:val="en-CA"/>
        </w:rPr>
        <w:t>to a third person, not to directly regulate the product</w:t>
      </w:r>
      <w:r w:rsidR="002D51A4" w:rsidRPr="00E02273">
        <w:rPr>
          <w:lang w:val="en-CA"/>
        </w:rPr>
        <w:t>.</w:t>
      </w:r>
      <w:r w:rsidR="0063634A" w:rsidRPr="00E02273">
        <w:rPr>
          <w:lang w:val="en-CA"/>
        </w:rPr>
        <w:t xml:space="preserve"> They submit that the current re</w:t>
      </w:r>
      <w:r w:rsidR="002D51A4" w:rsidRPr="00E02273">
        <w:rPr>
          <w:lang w:val="en-CA"/>
        </w:rPr>
        <w:t xml:space="preserve">gime </w:t>
      </w:r>
      <w:r w:rsidR="0063634A" w:rsidRPr="00E02273">
        <w:rPr>
          <w:lang w:val="en-CA"/>
        </w:rPr>
        <w:t xml:space="preserve">and the </w:t>
      </w:r>
      <w:r w:rsidR="00866E58" w:rsidRPr="00E02273">
        <w:rPr>
          <w:i/>
          <w:lang w:val="en-CA"/>
        </w:rPr>
        <w:t>2019 Regulatory Amendments</w:t>
      </w:r>
      <w:r w:rsidR="002D51A4" w:rsidRPr="00E02273">
        <w:rPr>
          <w:i/>
          <w:lang w:val="en-CA"/>
        </w:rPr>
        <w:t xml:space="preserve"> </w:t>
      </w:r>
      <w:r w:rsidR="0063634A" w:rsidRPr="00E02273">
        <w:rPr>
          <w:lang w:val="en-CA"/>
        </w:rPr>
        <w:t xml:space="preserve">are therefore unconstitutional as a whole. During the </w:t>
      </w:r>
      <w:r w:rsidR="00030400">
        <w:rPr>
          <w:lang w:val="en-CA"/>
        </w:rPr>
        <w:t xml:space="preserve">appeal </w:t>
      </w:r>
      <w:r w:rsidR="002D51A4" w:rsidRPr="00E02273">
        <w:rPr>
          <w:lang w:val="en-CA"/>
        </w:rPr>
        <w:t>hearing,</w:t>
      </w:r>
      <w:r w:rsidR="0063634A" w:rsidRPr="00E02273">
        <w:rPr>
          <w:lang w:val="en-CA"/>
        </w:rPr>
        <w:t xml:space="preserve"> their </w:t>
      </w:r>
      <w:r w:rsidR="002D51A4" w:rsidRPr="00E02273">
        <w:rPr>
          <w:lang w:val="en-CA"/>
        </w:rPr>
        <w:t>counsel</w:t>
      </w:r>
      <w:r w:rsidR="0063634A" w:rsidRPr="00E02273">
        <w:rPr>
          <w:lang w:val="en-CA"/>
        </w:rPr>
        <w:t xml:space="preserve"> </w:t>
      </w:r>
      <w:r w:rsidR="00030400">
        <w:rPr>
          <w:lang w:val="en-CA"/>
        </w:rPr>
        <w:t xml:space="preserve">drew </w:t>
      </w:r>
      <w:r w:rsidR="0063634A" w:rsidRPr="00E02273">
        <w:rPr>
          <w:lang w:val="en-CA"/>
        </w:rPr>
        <w:t xml:space="preserve">an </w:t>
      </w:r>
      <w:r w:rsidR="002D51A4" w:rsidRPr="00E02273">
        <w:rPr>
          <w:lang w:val="en-CA"/>
        </w:rPr>
        <w:t>analog</w:t>
      </w:r>
      <w:r w:rsidR="0063634A" w:rsidRPr="00E02273">
        <w:rPr>
          <w:lang w:val="en-CA"/>
        </w:rPr>
        <w:t xml:space="preserve">y with the </w:t>
      </w:r>
      <w:r w:rsidR="002D51A4" w:rsidRPr="00E02273">
        <w:rPr>
          <w:lang w:val="en-CA"/>
        </w:rPr>
        <w:t>federal</w:t>
      </w:r>
      <w:r w:rsidR="0063634A" w:rsidRPr="00E02273">
        <w:rPr>
          <w:lang w:val="en-CA"/>
        </w:rPr>
        <w:t xml:space="preserve"> </w:t>
      </w:r>
      <w:r w:rsidR="002D51A4" w:rsidRPr="00E02273">
        <w:rPr>
          <w:lang w:val="en-CA"/>
        </w:rPr>
        <w:t>jurisdiction</w:t>
      </w:r>
      <w:r w:rsidR="0063634A" w:rsidRPr="00E02273">
        <w:rPr>
          <w:lang w:val="en-CA"/>
        </w:rPr>
        <w:t xml:space="preserve"> over copyright, which permits the regulation of such</w:t>
      </w:r>
      <w:r w:rsidR="00BD421E" w:rsidRPr="00E02273">
        <w:rPr>
          <w:lang w:val="en-CA"/>
        </w:rPr>
        <w:t xml:space="preserve"> </w:t>
      </w:r>
      <w:r w:rsidR="002D51A4" w:rsidRPr="00E02273">
        <w:rPr>
          <w:lang w:val="en-CA"/>
        </w:rPr>
        <w:t>rights</w:t>
      </w:r>
      <w:r w:rsidR="00BD421E" w:rsidRPr="00E02273">
        <w:rPr>
          <w:lang w:val="en-CA"/>
        </w:rPr>
        <w:t xml:space="preserve"> and even the establishment of tarif</w:t>
      </w:r>
      <w:r w:rsidR="004F6A0F">
        <w:rPr>
          <w:lang w:val="en-CA"/>
        </w:rPr>
        <w:t>f</w:t>
      </w:r>
      <w:r w:rsidR="00BD421E" w:rsidRPr="00E02273">
        <w:rPr>
          <w:lang w:val="en-CA"/>
        </w:rPr>
        <w:t>s</w:t>
      </w:r>
      <w:r w:rsidR="000E3679" w:rsidRPr="00E02273">
        <w:rPr>
          <w:lang w:val="en-CA"/>
        </w:rPr>
        <w:t xml:space="preserve"> in connection with the </w:t>
      </w:r>
      <w:r w:rsidR="002D51A4" w:rsidRPr="00E02273">
        <w:rPr>
          <w:lang w:val="en-CA"/>
        </w:rPr>
        <w:t>exerci</w:t>
      </w:r>
      <w:r w:rsidR="000E3679" w:rsidRPr="00E02273">
        <w:rPr>
          <w:lang w:val="en-CA"/>
        </w:rPr>
        <w:t>s</w:t>
      </w:r>
      <w:r w:rsidR="002D51A4" w:rsidRPr="00E02273">
        <w:rPr>
          <w:lang w:val="en-CA"/>
        </w:rPr>
        <w:t xml:space="preserve">e </w:t>
      </w:r>
      <w:r w:rsidR="000E3679" w:rsidRPr="00E02273">
        <w:rPr>
          <w:lang w:val="en-CA"/>
        </w:rPr>
        <w:t>of such rights</w:t>
      </w:r>
      <w:r w:rsidR="002D51A4" w:rsidRPr="00E02273">
        <w:rPr>
          <w:lang w:val="en-CA"/>
        </w:rPr>
        <w:t xml:space="preserve">, </w:t>
      </w:r>
      <w:r w:rsidR="000E3679" w:rsidRPr="00E02273">
        <w:rPr>
          <w:lang w:val="en-CA"/>
        </w:rPr>
        <w:t xml:space="preserve">but </w:t>
      </w:r>
      <w:r w:rsidR="00030400">
        <w:rPr>
          <w:lang w:val="en-CA"/>
        </w:rPr>
        <w:t xml:space="preserve">which </w:t>
      </w:r>
      <w:r w:rsidR="000E3679" w:rsidRPr="00E02273">
        <w:rPr>
          <w:lang w:val="en-CA"/>
        </w:rPr>
        <w:t xml:space="preserve">does not, however, permit the federal </w:t>
      </w:r>
      <w:r w:rsidR="002D51A4" w:rsidRPr="00E02273">
        <w:rPr>
          <w:lang w:val="en-CA"/>
        </w:rPr>
        <w:t xml:space="preserve">government </w:t>
      </w:r>
      <w:r w:rsidR="000E3679" w:rsidRPr="00E02273">
        <w:rPr>
          <w:lang w:val="en-CA"/>
        </w:rPr>
        <w:t xml:space="preserve">to regulate or fix the </w:t>
      </w:r>
      <w:r w:rsidR="009F1E72" w:rsidRPr="00E02273">
        <w:rPr>
          <w:lang w:val="en-CA"/>
        </w:rPr>
        <w:t xml:space="preserve">market </w:t>
      </w:r>
      <w:r w:rsidR="000E3679" w:rsidRPr="00E02273">
        <w:rPr>
          <w:lang w:val="en-CA"/>
        </w:rPr>
        <w:t>prices of books</w:t>
      </w:r>
      <w:r w:rsidR="002D51A4" w:rsidRPr="00E02273">
        <w:rPr>
          <w:lang w:val="en-CA"/>
        </w:rPr>
        <w:t xml:space="preserve"> (</w:t>
      </w:r>
      <w:r w:rsidR="000E3679" w:rsidRPr="00E02273">
        <w:rPr>
          <w:lang w:val="en-CA"/>
        </w:rPr>
        <w:t xml:space="preserve">for example, </w:t>
      </w:r>
      <w:r w:rsidR="002D51A4" w:rsidRPr="00E02273">
        <w:rPr>
          <w:lang w:val="en-CA"/>
        </w:rPr>
        <w:t>dictionar</w:t>
      </w:r>
      <w:r w:rsidR="000E3679" w:rsidRPr="00E02273">
        <w:rPr>
          <w:lang w:val="en-CA"/>
        </w:rPr>
        <w:t>i</w:t>
      </w:r>
      <w:r w:rsidR="002D51A4" w:rsidRPr="00E02273">
        <w:rPr>
          <w:lang w:val="en-CA"/>
        </w:rPr>
        <w:t xml:space="preserve">es), </w:t>
      </w:r>
      <w:r w:rsidR="006A0151" w:rsidRPr="00E02273">
        <w:rPr>
          <w:lang w:val="en-CA"/>
        </w:rPr>
        <w:t>paintings, or</w:t>
      </w:r>
      <w:r w:rsidR="009F1E72" w:rsidRPr="00E02273">
        <w:rPr>
          <w:lang w:val="en-CA"/>
        </w:rPr>
        <w:t xml:space="preserve"> concert halls, which falls </w:t>
      </w:r>
      <w:r w:rsidR="001C320C">
        <w:rPr>
          <w:lang w:val="en-CA"/>
        </w:rPr>
        <w:t>within</w:t>
      </w:r>
      <w:r w:rsidR="009F1E72" w:rsidRPr="00E02273">
        <w:rPr>
          <w:lang w:val="en-CA"/>
        </w:rPr>
        <w:t xml:space="preserve"> </w:t>
      </w:r>
      <w:r w:rsidR="002D51A4" w:rsidRPr="00E02273">
        <w:rPr>
          <w:lang w:val="en-CA"/>
        </w:rPr>
        <w:t>provincial</w:t>
      </w:r>
      <w:r w:rsidR="009F1E72" w:rsidRPr="00E02273">
        <w:rPr>
          <w:lang w:val="en-CA"/>
        </w:rPr>
        <w:t xml:space="preserve"> </w:t>
      </w:r>
      <w:r w:rsidR="002D51A4" w:rsidRPr="00E02273">
        <w:rPr>
          <w:lang w:val="en-CA"/>
        </w:rPr>
        <w:t xml:space="preserve">jurisdiction.  </w:t>
      </w:r>
    </w:p>
    <w:p w14:paraId="186E78E3" w14:textId="3092E649" w:rsidR="00B568AD" w:rsidRPr="00E02273" w:rsidRDefault="002D51A4" w:rsidP="00B568AD">
      <w:pPr>
        <w:pStyle w:val="Paragraphe"/>
        <w:numPr>
          <w:ilvl w:val="0"/>
          <w:numId w:val="0"/>
        </w:numPr>
        <w:spacing w:line="240" w:lineRule="auto"/>
        <w:ind w:firstLine="720"/>
        <w:rPr>
          <w:b/>
          <w:u w:val="single"/>
          <w:lang w:val="en-CA"/>
        </w:rPr>
      </w:pPr>
      <w:r w:rsidRPr="00E02273">
        <w:rPr>
          <w:b/>
          <w:u w:val="single"/>
          <w:lang w:val="en-CA"/>
        </w:rPr>
        <w:t xml:space="preserve">B </w:t>
      </w:r>
      <w:r w:rsidR="001C320C">
        <w:rPr>
          <w:b/>
          <w:u w:val="single"/>
          <w:lang w:val="en-CA"/>
        </w:rPr>
        <w:t>-</w:t>
      </w:r>
      <w:r w:rsidRPr="00E02273">
        <w:rPr>
          <w:b/>
          <w:u w:val="single"/>
          <w:lang w:val="en-CA"/>
        </w:rPr>
        <w:t xml:space="preserve"> </w:t>
      </w:r>
      <w:r w:rsidR="009F1E72" w:rsidRPr="00E02273">
        <w:rPr>
          <w:b/>
          <w:i/>
          <w:u w:val="single"/>
          <w:lang w:val="en-CA"/>
        </w:rPr>
        <w:t xml:space="preserve">The </w:t>
      </w:r>
      <w:r w:rsidRPr="004F6A0F">
        <w:rPr>
          <w:b/>
          <w:i/>
          <w:u w:val="single"/>
          <w:lang w:val="en-CA"/>
        </w:rPr>
        <w:t>Attorney</w:t>
      </w:r>
      <w:r w:rsidR="009F1E72" w:rsidRPr="004F6A0F">
        <w:rPr>
          <w:b/>
          <w:i/>
          <w:u w:val="single"/>
          <w:lang w:val="en-CA"/>
        </w:rPr>
        <w:t xml:space="preserve"> </w:t>
      </w:r>
      <w:r w:rsidRPr="004F6A0F">
        <w:rPr>
          <w:b/>
          <w:i/>
          <w:u w:val="single"/>
          <w:lang w:val="en-CA"/>
        </w:rPr>
        <w:t>General</w:t>
      </w:r>
      <w:r w:rsidR="009F1E72" w:rsidRPr="004F6A0F">
        <w:rPr>
          <w:b/>
          <w:i/>
          <w:u w:val="single"/>
          <w:lang w:val="en-CA"/>
        </w:rPr>
        <w:t xml:space="preserve"> </w:t>
      </w:r>
      <w:r w:rsidRPr="004F6A0F">
        <w:rPr>
          <w:b/>
          <w:i/>
          <w:u w:val="single"/>
          <w:lang w:val="en-CA"/>
        </w:rPr>
        <w:t>of</w:t>
      </w:r>
      <w:r w:rsidR="009F1E72" w:rsidRPr="004F6A0F">
        <w:rPr>
          <w:b/>
          <w:i/>
          <w:u w:val="single"/>
          <w:lang w:val="en-CA"/>
        </w:rPr>
        <w:t xml:space="preserve"> </w:t>
      </w:r>
      <w:r w:rsidRPr="004F6A0F">
        <w:rPr>
          <w:b/>
          <w:i/>
          <w:u w:val="single"/>
          <w:lang w:val="en-CA"/>
        </w:rPr>
        <w:t>Canada</w:t>
      </w:r>
    </w:p>
    <w:p w14:paraId="61204BF8" w14:textId="63794DF7" w:rsidR="00B568AD" w:rsidRPr="00E02273" w:rsidRDefault="003B61D0" w:rsidP="00B572B8">
      <w:pPr>
        <w:pStyle w:val="Paragraphe"/>
        <w:tabs>
          <w:tab w:val="num" w:pos="709"/>
        </w:tabs>
        <w:spacing w:line="240" w:lineRule="auto"/>
        <w:ind w:left="0"/>
        <w:rPr>
          <w:lang w:val="en-CA"/>
        </w:rPr>
      </w:pPr>
      <w:r w:rsidRPr="00E02273">
        <w:rPr>
          <w:lang w:val="en-CA"/>
        </w:rPr>
        <w:t xml:space="preserve">The </w:t>
      </w:r>
      <w:r w:rsidR="002D51A4" w:rsidRPr="00E02273">
        <w:rPr>
          <w:lang w:val="en-CA"/>
        </w:rPr>
        <w:t>Attorney</w:t>
      </w:r>
      <w:r w:rsidRPr="00E02273">
        <w:rPr>
          <w:lang w:val="en-CA"/>
        </w:rPr>
        <w:t xml:space="preserve"> </w:t>
      </w:r>
      <w:r w:rsidR="002D51A4" w:rsidRPr="00E02273">
        <w:rPr>
          <w:lang w:val="en-CA"/>
        </w:rPr>
        <w:t>General</w:t>
      </w:r>
      <w:r w:rsidRPr="00E02273">
        <w:rPr>
          <w:lang w:val="en-CA"/>
        </w:rPr>
        <w:t xml:space="preserve"> </w:t>
      </w:r>
      <w:r w:rsidR="002D51A4" w:rsidRPr="00E02273">
        <w:rPr>
          <w:lang w:val="en-CA"/>
        </w:rPr>
        <w:t>of</w:t>
      </w:r>
      <w:r w:rsidRPr="00E02273">
        <w:rPr>
          <w:lang w:val="en-CA"/>
        </w:rPr>
        <w:t xml:space="preserve"> </w:t>
      </w:r>
      <w:r w:rsidR="002D51A4" w:rsidRPr="00E02273">
        <w:rPr>
          <w:lang w:val="en-CA"/>
        </w:rPr>
        <w:t>Canada</w:t>
      </w:r>
      <w:r w:rsidRPr="00E02273">
        <w:rPr>
          <w:lang w:val="en-CA"/>
        </w:rPr>
        <w:t xml:space="preserve"> </w:t>
      </w:r>
      <w:r w:rsidR="002D51A4" w:rsidRPr="00E02273">
        <w:rPr>
          <w:lang w:val="en-CA"/>
        </w:rPr>
        <w:t>submit</w:t>
      </w:r>
      <w:r w:rsidRPr="00E02273">
        <w:rPr>
          <w:lang w:val="en-CA"/>
        </w:rPr>
        <w:t>s</w:t>
      </w:r>
      <w:r w:rsidR="002D51A4" w:rsidRPr="00E02273">
        <w:rPr>
          <w:lang w:val="en-CA"/>
        </w:rPr>
        <w:t xml:space="preserve">, </w:t>
      </w:r>
      <w:r w:rsidRPr="00E02273">
        <w:rPr>
          <w:lang w:val="en-CA"/>
        </w:rPr>
        <w:t xml:space="preserve">on the contrary, that </w:t>
      </w:r>
      <w:r w:rsidR="002D51A4" w:rsidRPr="00E02273">
        <w:rPr>
          <w:lang w:val="en-CA"/>
        </w:rPr>
        <w:t>federal</w:t>
      </w:r>
      <w:r w:rsidR="00833379" w:rsidRPr="00E02273">
        <w:rPr>
          <w:lang w:val="en-CA"/>
        </w:rPr>
        <w:t xml:space="preserve"> </w:t>
      </w:r>
      <w:r w:rsidR="002D51A4" w:rsidRPr="00E02273">
        <w:rPr>
          <w:lang w:val="en-CA"/>
        </w:rPr>
        <w:t xml:space="preserve">jurisdiction </w:t>
      </w:r>
      <w:r w:rsidR="00833379" w:rsidRPr="00E02273">
        <w:rPr>
          <w:lang w:val="en-CA"/>
        </w:rPr>
        <w:t>over patents extends to the control of</w:t>
      </w:r>
      <w:r w:rsidR="002D51A4" w:rsidRPr="00E02273">
        <w:rPr>
          <w:lang w:val="en-CA"/>
        </w:rPr>
        <w:t xml:space="preserve"> </w:t>
      </w:r>
      <w:r w:rsidR="00773847" w:rsidRPr="00E02273">
        <w:rPr>
          <w:lang w:val="en-CA"/>
        </w:rPr>
        <w:t>[</w:t>
      </w:r>
      <w:r w:rsidR="00773847" w:rsidRPr="00E02273">
        <w:rPr>
          <w:smallCaps/>
          <w:lang w:val="en-CA"/>
        </w:rPr>
        <w:t>translation</w:t>
      </w:r>
      <w:r w:rsidR="00773847" w:rsidRPr="00E02273">
        <w:rPr>
          <w:lang w:val="en-CA"/>
        </w:rPr>
        <w:t xml:space="preserve">] “all the negative </w:t>
      </w:r>
      <w:r w:rsidR="002D51A4" w:rsidRPr="00E02273">
        <w:rPr>
          <w:lang w:val="en-CA"/>
        </w:rPr>
        <w:t>cons</w:t>
      </w:r>
      <w:r w:rsidR="00773847" w:rsidRPr="00E02273">
        <w:rPr>
          <w:lang w:val="en-CA"/>
        </w:rPr>
        <w:t>e</w:t>
      </w:r>
      <w:r w:rsidR="002D51A4" w:rsidRPr="00E02273">
        <w:rPr>
          <w:lang w:val="en-CA"/>
        </w:rPr>
        <w:t xml:space="preserve">quences </w:t>
      </w:r>
      <w:r w:rsidR="00773847" w:rsidRPr="00E02273">
        <w:rPr>
          <w:lang w:val="en-CA"/>
        </w:rPr>
        <w:t>that may arise from the grant of a patent”.</w:t>
      </w:r>
      <w:r w:rsidR="002D51A4" w:rsidRPr="00E02273">
        <w:rPr>
          <w:rStyle w:val="Appelnotedebasdep"/>
          <w:lang w:val="en-CA"/>
        </w:rPr>
        <w:footnoteReference w:id="117"/>
      </w:r>
      <w:r w:rsidR="002D51A4" w:rsidRPr="00E02273">
        <w:rPr>
          <w:lang w:val="en-CA"/>
        </w:rPr>
        <w:t xml:space="preserve"> </w:t>
      </w:r>
      <w:r w:rsidR="00F87F81" w:rsidRPr="00E02273">
        <w:rPr>
          <w:lang w:val="en-CA"/>
        </w:rPr>
        <w:t xml:space="preserve">Thus, </w:t>
      </w:r>
      <w:r w:rsidR="00C90F73" w:rsidRPr="00E02273">
        <w:rPr>
          <w:lang w:val="en-CA"/>
        </w:rPr>
        <w:t xml:space="preserve">whether </w:t>
      </w:r>
      <w:r w:rsidR="00F87F81" w:rsidRPr="00E02273">
        <w:rPr>
          <w:lang w:val="en-CA"/>
        </w:rPr>
        <w:t xml:space="preserve">the existing regime or its amendments </w:t>
      </w:r>
      <w:r w:rsidR="00C90F73" w:rsidRPr="00E02273">
        <w:rPr>
          <w:lang w:val="en-CA"/>
        </w:rPr>
        <w:t>are</w:t>
      </w:r>
      <w:r w:rsidR="00F87F81" w:rsidRPr="00E02273">
        <w:rPr>
          <w:lang w:val="en-CA"/>
        </w:rPr>
        <w:t xml:space="preserve"> characterized as concerning the control of </w:t>
      </w:r>
      <w:r w:rsidR="002D51A4" w:rsidRPr="00E02273">
        <w:rPr>
          <w:lang w:val="en-CA"/>
        </w:rPr>
        <w:t>abus</w:t>
      </w:r>
      <w:r w:rsidR="00F87F81" w:rsidRPr="00E02273">
        <w:rPr>
          <w:lang w:val="en-CA"/>
        </w:rPr>
        <w:t>e of patent</w:t>
      </w:r>
      <w:r w:rsidR="00440B1F" w:rsidRPr="00E02273">
        <w:rPr>
          <w:lang w:val="en-CA"/>
        </w:rPr>
        <w:t xml:space="preserve">, the control of excessive prices, or simply the control of </w:t>
      </w:r>
      <w:r w:rsidR="001C320C">
        <w:rPr>
          <w:lang w:val="en-CA"/>
        </w:rPr>
        <w:t xml:space="preserve">the price of </w:t>
      </w:r>
      <w:r w:rsidR="00440B1F" w:rsidRPr="00E02273">
        <w:rPr>
          <w:lang w:val="en-CA"/>
        </w:rPr>
        <w:t>patented medicines</w:t>
      </w:r>
      <w:r w:rsidR="00C90F73" w:rsidRPr="00E02273">
        <w:rPr>
          <w:lang w:val="en-CA"/>
        </w:rPr>
        <w:t xml:space="preserve">, it falls </w:t>
      </w:r>
      <w:r w:rsidR="00CC27EA" w:rsidRPr="00E02273">
        <w:rPr>
          <w:lang w:val="en-CA"/>
        </w:rPr>
        <w:t>within</w:t>
      </w:r>
      <w:r w:rsidR="00C90F73" w:rsidRPr="00E02273">
        <w:rPr>
          <w:lang w:val="en-CA"/>
        </w:rPr>
        <w:t xml:space="preserve"> the </w:t>
      </w:r>
      <w:r w:rsidR="002D51A4" w:rsidRPr="00E02273">
        <w:rPr>
          <w:lang w:val="en-CA"/>
        </w:rPr>
        <w:t>federal</w:t>
      </w:r>
      <w:r w:rsidR="00C90F73" w:rsidRPr="00E02273">
        <w:rPr>
          <w:lang w:val="en-CA"/>
        </w:rPr>
        <w:t xml:space="preserve"> </w:t>
      </w:r>
      <w:r w:rsidR="002D51A4" w:rsidRPr="00E02273">
        <w:rPr>
          <w:lang w:val="en-CA"/>
        </w:rPr>
        <w:t>jurisdiction</w:t>
      </w:r>
      <w:r w:rsidR="00C90F73" w:rsidRPr="00E02273">
        <w:rPr>
          <w:lang w:val="en-CA"/>
        </w:rPr>
        <w:t xml:space="preserve"> over patents of </w:t>
      </w:r>
      <w:r w:rsidR="002D51A4" w:rsidRPr="00E02273">
        <w:rPr>
          <w:lang w:val="en-CA"/>
        </w:rPr>
        <w:t xml:space="preserve">invention </w:t>
      </w:r>
      <w:r w:rsidR="00C90F73" w:rsidRPr="00E02273">
        <w:rPr>
          <w:lang w:val="en-CA"/>
        </w:rPr>
        <w:t xml:space="preserve">and discovery to the extent that it seeks to control the negative </w:t>
      </w:r>
      <w:r w:rsidR="002D51A4" w:rsidRPr="00E02273">
        <w:rPr>
          <w:lang w:val="en-CA"/>
        </w:rPr>
        <w:t>cons</w:t>
      </w:r>
      <w:r w:rsidR="00AE3C54" w:rsidRPr="00E02273">
        <w:rPr>
          <w:lang w:val="en-CA"/>
        </w:rPr>
        <w:t>e</w:t>
      </w:r>
      <w:r w:rsidR="002D51A4" w:rsidRPr="00E02273">
        <w:rPr>
          <w:lang w:val="en-CA"/>
        </w:rPr>
        <w:t xml:space="preserve">quences </w:t>
      </w:r>
      <w:r w:rsidR="00AE3C54" w:rsidRPr="00E02273">
        <w:rPr>
          <w:lang w:val="en-CA"/>
        </w:rPr>
        <w:t>that may arise from the grant of a patent. The control of excessive prices thus includes the de</w:t>
      </w:r>
      <w:r w:rsidR="002D51A4" w:rsidRPr="00E02273">
        <w:rPr>
          <w:lang w:val="en-CA"/>
        </w:rPr>
        <w:t xml:space="preserve">termination </w:t>
      </w:r>
      <w:r w:rsidR="00AE3C54" w:rsidRPr="00E02273">
        <w:rPr>
          <w:lang w:val="en-CA"/>
        </w:rPr>
        <w:t xml:space="preserve">of a </w:t>
      </w:r>
      <w:r w:rsidR="002D51A4" w:rsidRPr="00E02273">
        <w:rPr>
          <w:lang w:val="en-CA"/>
        </w:rPr>
        <w:t>reasonable</w:t>
      </w:r>
      <w:r w:rsidR="00AE3C54" w:rsidRPr="00E02273">
        <w:rPr>
          <w:lang w:val="en-CA"/>
        </w:rPr>
        <w:t xml:space="preserve"> price, </w:t>
      </w:r>
      <w:r w:rsidR="00B878A8">
        <w:rPr>
          <w:lang w:val="en-CA"/>
        </w:rPr>
        <w:t xml:space="preserve">which </w:t>
      </w:r>
      <w:r w:rsidR="00AE3C54" w:rsidRPr="00E02273">
        <w:rPr>
          <w:lang w:val="en-CA"/>
        </w:rPr>
        <w:t xml:space="preserve">are two sides of the same coin that make up the </w:t>
      </w:r>
      <w:r w:rsidR="002D51A4" w:rsidRPr="00E02273">
        <w:rPr>
          <w:lang w:val="en-CA"/>
        </w:rPr>
        <w:t>federal</w:t>
      </w:r>
      <w:r w:rsidR="00AE3C54" w:rsidRPr="00E02273">
        <w:rPr>
          <w:lang w:val="en-CA"/>
        </w:rPr>
        <w:t xml:space="preserve"> </w:t>
      </w:r>
      <w:r w:rsidR="002D51A4" w:rsidRPr="00E02273">
        <w:rPr>
          <w:lang w:val="en-CA"/>
        </w:rPr>
        <w:t>jurisdiction</w:t>
      </w:r>
      <w:r w:rsidR="00AE3C54" w:rsidRPr="00E02273">
        <w:rPr>
          <w:lang w:val="en-CA"/>
        </w:rPr>
        <w:t xml:space="preserve"> over patents</w:t>
      </w:r>
      <w:r w:rsidR="002D51A4" w:rsidRPr="00E02273">
        <w:rPr>
          <w:lang w:val="en-CA"/>
        </w:rPr>
        <w:t xml:space="preserve">.  </w:t>
      </w:r>
    </w:p>
    <w:p w14:paraId="2F0F4914" w14:textId="577FB424" w:rsidR="00B568AD" w:rsidRPr="00E02273" w:rsidRDefault="00B878A8" w:rsidP="00B572B8">
      <w:pPr>
        <w:pStyle w:val="Paragraphe"/>
        <w:tabs>
          <w:tab w:val="num" w:pos="709"/>
        </w:tabs>
        <w:spacing w:line="240" w:lineRule="auto"/>
        <w:ind w:left="0"/>
        <w:rPr>
          <w:lang w:val="en-CA"/>
        </w:rPr>
      </w:pPr>
      <w:r>
        <w:rPr>
          <w:lang w:val="en-CA"/>
        </w:rPr>
        <w:t xml:space="preserve">Regardless of its </w:t>
      </w:r>
      <w:r w:rsidR="007A0A0A" w:rsidRPr="00E02273">
        <w:rPr>
          <w:lang w:val="en-CA"/>
        </w:rPr>
        <w:t>ultimate characteriz</w:t>
      </w:r>
      <w:r>
        <w:rPr>
          <w:lang w:val="en-CA"/>
        </w:rPr>
        <w:t>ation</w:t>
      </w:r>
      <w:r w:rsidR="007A0A0A" w:rsidRPr="00E02273">
        <w:rPr>
          <w:lang w:val="en-CA"/>
        </w:rPr>
        <w:t>, the re</w:t>
      </w:r>
      <w:r w:rsidR="002D51A4" w:rsidRPr="00E02273">
        <w:rPr>
          <w:lang w:val="en-CA"/>
        </w:rPr>
        <w:t>gime</w:t>
      </w:r>
      <w:r w:rsidR="007A0A0A" w:rsidRPr="00E02273">
        <w:rPr>
          <w:lang w:val="en-CA"/>
        </w:rPr>
        <w:t xml:space="preserve"> thus falls </w:t>
      </w:r>
      <w:r w:rsidR="00CC27EA" w:rsidRPr="00E02273">
        <w:rPr>
          <w:lang w:val="en-CA"/>
        </w:rPr>
        <w:t>within</w:t>
      </w:r>
      <w:r w:rsidR="007A0A0A" w:rsidRPr="00E02273">
        <w:rPr>
          <w:lang w:val="en-CA"/>
        </w:rPr>
        <w:t xml:space="preserve"> the </w:t>
      </w:r>
      <w:r w:rsidR="002D51A4" w:rsidRPr="00E02273">
        <w:rPr>
          <w:lang w:val="en-CA"/>
        </w:rPr>
        <w:t>federal</w:t>
      </w:r>
      <w:r w:rsidR="007A0A0A" w:rsidRPr="00E02273">
        <w:rPr>
          <w:lang w:val="en-CA"/>
        </w:rPr>
        <w:t xml:space="preserve"> </w:t>
      </w:r>
      <w:r w:rsidR="002D51A4" w:rsidRPr="00E02273">
        <w:rPr>
          <w:lang w:val="en-CA"/>
        </w:rPr>
        <w:t>jurisdiction</w:t>
      </w:r>
      <w:r w:rsidR="007A0A0A" w:rsidRPr="00E02273">
        <w:rPr>
          <w:lang w:val="en-CA"/>
        </w:rPr>
        <w:t xml:space="preserve"> over patents in view of the fact that the appellants may </w:t>
      </w:r>
      <w:r w:rsidR="00721026">
        <w:rPr>
          <w:lang w:val="en-CA"/>
        </w:rPr>
        <w:t>avoid</w:t>
      </w:r>
      <w:r w:rsidR="007A0A0A" w:rsidRPr="00E02273">
        <w:rPr>
          <w:lang w:val="en-CA"/>
        </w:rPr>
        <w:t xml:space="preserve"> it by renouncing their existing </w:t>
      </w:r>
      <w:r w:rsidR="002D51A4" w:rsidRPr="00E02273">
        <w:rPr>
          <w:lang w:val="en-CA"/>
        </w:rPr>
        <w:t>Canadian</w:t>
      </w:r>
      <w:r w:rsidR="007A0A0A" w:rsidRPr="00E02273">
        <w:rPr>
          <w:lang w:val="en-CA"/>
        </w:rPr>
        <w:t xml:space="preserve"> patents or by not patenting in Canada a medicine that they wish to sell here. In </w:t>
      </w:r>
      <w:r w:rsidR="002D51A4" w:rsidRPr="00E02273">
        <w:rPr>
          <w:lang w:val="en-CA"/>
        </w:rPr>
        <w:t>addition,</w:t>
      </w:r>
      <w:r w:rsidR="007A0A0A" w:rsidRPr="00E02273">
        <w:rPr>
          <w:lang w:val="en-CA"/>
        </w:rPr>
        <w:t xml:space="preserve"> if the federal government can revoke a patent, it </w:t>
      </w:r>
      <w:r w:rsidR="001C368D" w:rsidRPr="00E02273">
        <w:rPr>
          <w:lang w:val="en-CA"/>
        </w:rPr>
        <w:t xml:space="preserve">necessarily has </w:t>
      </w:r>
      <w:r w:rsidR="001C368D" w:rsidRPr="00E02273">
        <w:rPr>
          <w:lang w:val="en-CA"/>
        </w:rPr>
        <w:lastRenderedPageBreak/>
        <w:t xml:space="preserve">the </w:t>
      </w:r>
      <w:r w:rsidR="00C3698F" w:rsidRPr="00E02273">
        <w:rPr>
          <w:lang w:val="en-CA"/>
        </w:rPr>
        <w:t>less</w:t>
      </w:r>
      <w:r w:rsidR="001C368D" w:rsidRPr="00E02273">
        <w:rPr>
          <w:lang w:val="en-CA"/>
        </w:rPr>
        <w:t>er</w:t>
      </w:r>
      <w:r w:rsidR="00C3698F" w:rsidRPr="00E02273">
        <w:rPr>
          <w:lang w:val="en-CA"/>
        </w:rPr>
        <w:t>, included</w:t>
      </w:r>
      <w:r w:rsidR="002D51A4" w:rsidRPr="00E02273">
        <w:rPr>
          <w:lang w:val="en-CA"/>
        </w:rPr>
        <w:t xml:space="preserve"> </w:t>
      </w:r>
      <w:r w:rsidR="001C368D" w:rsidRPr="00E02273">
        <w:rPr>
          <w:lang w:val="en-CA"/>
        </w:rPr>
        <w:t>jurisdiction</w:t>
      </w:r>
      <w:r w:rsidR="00C3698F" w:rsidRPr="00E02273">
        <w:rPr>
          <w:lang w:val="en-CA"/>
        </w:rPr>
        <w:t xml:space="preserve"> to control the price </w:t>
      </w:r>
      <w:r w:rsidR="004C35CB" w:rsidRPr="00E02273">
        <w:rPr>
          <w:lang w:val="en-CA"/>
        </w:rPr>
        <w:t xml:space="preserve">of patented medicines. There is therefore a direct connection between the patent granted and the federal </w:t>
      </w:r>
      <w:r w:rsidR="00A27151" w:rsidRPr="00E02273">
        <w:rPr>
          <w:lang w:val="en-CA"/>
        </w:rPr>
        <w:t>regime</w:t>
      </w:r>
      <w:r w:rsidR="004C35CB" w:rsidRPr="00E02273">
        <w:rPr>
          <w:lang w:val="en-CA"/>
        </w:rPr>
        <w:t xml:space="preserve"> regulating the price of patented medicines, as</w:t>
      </w:r>
      <w:r w:rsidR="00665C07" w:rsidRPr="00E02273">
        <w:rPr>
          <w:lang w:val="en-CA"/>
        </w:rPr>
        <w:t xml:space="preserve"> </w:t>
      </w:r>
      <w:r w:rsidR="004C35CB" w:rsidRPr="00E02273">
        <w:rPr>
          <w:lang w:val="en-CA"/>
        </w:rPr>
        <w:t>[</w:t>
      </w:r>
      <w:r w:rsidR="004C35CB" w:rsidRPr="00E02273">
        <w:rPr>
          <w:smallCaps/>
          <w:lang w:val="en-CA"/>
        </w:rPr>
        <w:t>translation</w:t>
      </w:r>
      <w:r w:rsidR="004C35CB" w:rsidRPr="00E02273">
        <w:rPr>
          <w:lang w:val="en-CA"/>
        </w:rPr>
        <w:t>] “</w:t>
      </w:r>
      <w:r w:rsidR="00665C07" w:rsidRPr="00E02273">
        <w:rPr>
          <w:lang w:val="en-CA"/>
        </w:rPr>
        <w:t>price control is the consideration required for the benefit of patent protection”.</w:t>
      </w:r>
      <w:r w:rsidR="002D51A4" w:rsidRPr="00E02273">
        <w:rPr>
          <w:rStyle w:val="Appelnotedebasdep"/>
          <w:lang w:val="en-CA"/>
        </w:rPr>
        <w:footnoteReference w:id="118"/>
      </w:r>
    </w:p>
    <w:p w14:paraId="787351E3" w14:textId="55EA31BF" w:rsidR="00B568AD" w:rsidRPr="00E02273" w:rsidRDefault="00B878A8" w:rsidP="00B572B8">
      <w:pPr>
        <w:pStyle w:val="Paragraphe"/>
        <w:tabs>
          <w:tab w:val="num" w:pos="709"/>
        </w:tabs>
        <w:spacing w:before="240" w:line="240" w:lineRule="auto"/>
        <w:ind w:left="0"/>
        <w:rPr>
          <w:lang w:val="en-CA"/>
        </w:rPr>
      </w:pPr>
      <w:r>
        <w:rPr>
          <w:lang w:val="en-CA"/>
        </w:rPr>
        <w:t>I</w:t>
      </w:r>
      <w:r w:rsidR="005B4D0C" w:rsidRPr="00E02273">
        <w:rPr>
          <w:lang w:val="en-CA"/>
        </w:rPr>
        <w:t xml:space="preserve">t is </w:t>
      </w:r>
      <w:r>
        <w:rPr>
          <w:lang w:val="en-CA"/>
        </w:rPr>
        <w:t xml:space="preserve">further </w:t>
      </w:r>
      <w:r w:rsidR="005B4D0C" w:rsidRPr="00E02273">
        <w:rPr>
          <w:lang w:val="en-CA"/>
        </w:rPr>
        <w:t>allege</w:t>
      </w:r>
      <w:r w:rsidR="00E66D83">
        <w:rPr>
          <w:lang w:val="en-CA"/>
        </w:rPr>
        <w:t>d</w:t>
      </w:r>
      <w:r w:rsidR="005B4D0C" w:rsidRPr="00E02273">
        <w:rPr>
          <w:lang w:val="en-CA"/>
        </w:rPr>
        <w:t xml:space="preserve"> </w:t>
      </w:r>
      <w:r w:rsidR="00AE7C29" w:rsidRPr="00E02273">
        <w:rPr>
          <w:lang w:val="en-CA"/>
        </w:rPr>
        <w:t xml:space="preserve">that the </w:t>
      </w:r>
      <w:r w:rsidR="002D51A4" w:rsidRPr="00E02273">
        <w:rPr>
          <w:lang w:val="en-CA"/>
        </w:rPr>
        <w:t>trial</w:t>
      </w:r>
      <w:r w:rsidR="00AE7C29" w:rsidRPr="00E02273">
        <w:rPr>
          <w:lang w:val="en-CA"/>
        </w:rPr>
        <w:t xml:space="preserve"> </w:t>
      </w:r>
      <w:r w:rsidR="002D51A4" w:rsidRPr="00E02273">
        <w:rPr>
          <w:lang w:val="en-CA"/>
        </w:rPr>
        <w:t xml:space="preserve">judge </w:t>
      </w:r>
      <w:r w:rsidR="00AE7C29" w:rsidRPr="00E02273">
        <w:rPr>
          <w:lang w:val="en-CA"/>
        </w:rPr>
        <w:t xml:space="preserve">erred by </w:t>
      </w:r>
      <w:r w:rsidR="002D51A4" w:rsidRPr="00E02273">
        <w:rPr>
          <w:lang w:val="en-CA"/>
        </w:rPr>
        <w:t>invalida</w:t>
      </w:r>
      <w:r w:rsidR="00AE7C29" w:rsidRPr="00E02273">
        <w:rPr>
          <w:lang w:val="en-CA"/>
        </w:rPr>
        <w:t xml:space="preserve">ting </w:t>
      </w:r>
      <w:r w:rsidR="00EE368E">
        <w:rPr>
          <w:lang w:val="en-CA"/>
        </w:rPr>
        <w:t xml:space="preserve">the </w:t>
      </w:r>
      <w:r w:rsidR="00AE7C29" w:rsidRPr="00E02273">
        <w:rPr>
          <w:lang w:val="en-CA"/>
        </w:rPr>
        <w:t xml:space="preserve">new paragraphs </w:t>
      </w:r>
      <w:r w:rsidR="002D51A4" w:rsidRPr="00E02273">
        <w:rPr>
          <w:lang w:val="en-CA"/>
        </w:rPr>
        <w:t>4(4)</w:t>
      </w:r>
      <w:r w:rsidR="00AE7C29" w:rsidRPr="00E02273">
        <w:rPr>
          <w:lang w:val="en-CA"/>
        </w:rPr>
        <w:t>(</w:t>
      </w:r>
      <w:r w:rsidR="002D51A4" w:rsidRPr="00EE368E">
        <w:rPr>
          <w:lang w:val="en-CA"/>
        </w:rPr>
        <w:t>a</w:t>
      </w:r>
      <w:r w:rsidR="002D51A4" w:rsidRPr="00E02273">
        <w:rPr>
          <w:lang w:val="en-CA"/>
        </w:rPr>
        <w:t xml:space="preserve">) </w:t>
      </w:r>
      <w:r w:rsidR="00AE7C29" w:rsidRPr="00E02273">
        <w:rPr>
          <w:lang w:val="en-CA"/>
        </w:rPr>
        <w:t>and</w:t>
      </w:r>
      <w:r w:rsidR="002D51A4" w:rsidRPr="00E02273">
        <w:rPr>
          <w:lang w:val="en-CA"/>
        </w:rPr>
        <w:t xml:space="preserve"> </w:t>
      </w:r>
      <w:r w:rsidR="00AE7C29" w:rsidRPr="00E02273">
        <w:rPr>
          <w:lang w:val="en-CA"/>
        </w:rPr>
        <w:t>(</w:t>
      </w:r>
      <w:r w:rsidR="002D51A4" w:rsidRPr="00EE368E">
        <w:rPr>
          <w:lang w:val="en-CA"/>
        </w:rPr>
        <w:t>b</w:t>
      </w:r>
      <w:r w:rsidR="002D51A4" w:rsidRPr="00E02273">
        <w:rPr>
          <w:lang w:val="en-CA"/>
        </w:rPr>
        <w:t xml:space="preserve">) </w:t>
      </w:r>
      <w:r w:rsidR="00AE7C29" w:rsidRPr="00E02273">
        <w:rPr>
          <w:lang w:val="en-CA"/>
        </w:rPr>
        <w:t xml:space="preserve">of the </w:t>
      </w:r>
      <w:r w:rsidR="00AE7C29" w:rsidRPr="00E02273">
        <w:rPr>
          <w:i/>
          <w:lang w:val="en-CA"/>
        </w:rPr>
        <w:t>Patented Medicines Regulations</w:t>
      </w:r>
      <w:r w:rsidR="00AE7C29" w:rsidRPr="00E02273">
        <w:rPr>
          <w:lang w:val="en-CA"/>
        </w:rPr>
        <w:t>, which requires patentees</w:t>
      </w:r>
      <w:r w:rsidR="00AE7C29" w:rsidRPr="00E02273">
        <w:rPr>
          <w:i/>
          <w:lang w:val="en-CA"/>
        </w:rPr>
        <w:t xml:space="preserve"> </w:t>
      </w:r>
      <w:r w:rsidR="00AE7C29" w:rsidRPr="00E02273">
        <w:rPr>
          <w:lang w:val="en-CA"/>
        </w:rPr>
        <w:t xml:space="preserve">to provide the Board with pricing </w:t>
      </w:r>
      <w:r w:rsidR="002D51A4" w:rsidRPr="00E02273">
        <w:rPr>
          <w:lang w:val="en-CA"/>
        </w:rPr>
        <w:t>information</w:t>
      </w:r>
      <w:r w:rsidR="00AE7C29" w:rsidRPr="00E02273">
        <w:rPr>
          <w:lang w:val="en-CA"/>
        </w:rPr>
        <w:t xml:space="preserve"> </w:t>
      </w:r>
      <w:r w:rsidR="005B4D0C" w:rsidRPr="00E02273">
        <w:rPr>
          <w:lang w:val="en-CA"/>
        </w:rPr>
        <w:t>that takes into account the confidential rebates granted to public insurers</w:t>
      </w:r>
      <w:r w:rsidR="002D51A4" w:rsidRPr="00E02273">
        <w:rPr>
          <w:lang w:val="en-CA"/>
        </w:rPr>
        <w:t xml:space="preserve">. </w:t>
      </w:r>
      <w:r w:rsidR="005B4D0C" w:rsidRPr="00E02273">
        <w:rPr>
          <w:lang w:val="en-CA"/>
        </w:rPr>
        <w:t xml:space="preserve">Indeed, according to the </w:t>
      </w:r>
      <w:r w:rsidR="002D51A4" w:rsidRPr="00E02273">
        <w:rPr>
          <w:lang w:val="en-CA"/>
        </w:rPr>
        <w:t>Attorney</w:t>
      </w:r>
      <w:r w:rsidR="005B4D0C" w:rsidRPr="00E02273">
        <w:rPr>
          <w:lang w:val="en-CA"/>
        </w:rPr>
        <w:t xml:space="preserve"> </w:t>
      </w:r>
      <w:r w:rsidR="002D51A4" w:rsidRPr="00E02273">
        <w:rPr>
          <w:lang w:val="en-CA"/>
        </w:rPr>
        <w:t>General</w:t>
      </w:r>
      <w:r w:rsidR="005B4D0C" w:rsidRPr="00E02273">
        <w:rPr>
          <w:lang w:val="en-CA"/>
        </w:rPr>
        <w:t xml:space="preserve"> </w:t>
      </w:r>
      <w:r w:rsidR="002D51A4" w:rsidRPr="00E02273">
        <w:rPr>
          <w:lang w:val="en-CA"/>
        </w:rPr>
        <w:t>of</w:t>
      </w:r>
      <w:r w:rsidR="005B4D0C" w:rsidRPr="00E02273">
        <w:rPr>
          <w:lang w:val="en-CA"/>
        </w:rPr>
        <w:t xml:space="preserve"> </w:t>
      </w:r>
      <w:r w:rsidR="002D51A4" w:rsidRPr="00E02273">
        <w:rPr>
          <w:lang w:val="en-CA"/>
        </w:rPr>
        <w:t>Canada,</w:t>
      </w:r>
      <w:r w:rsidR="005E5DEC" w:rsidRPr="00E02273">
        <w:rPr>
          <w:lang w:val="en-CA"/>
        </w:rPr>
        <w:t xml:space="preserve"> these </w:t>
      </w:r>
      <w:r w:rsidR="002D51A4" w:rsidRPr="00E02273">
        <w:rPr>
          <w:lang w:val="en-CA"/>
        </w:rPr>
        <w:t>paragraphs</w:t>
      </w:r>
      <w:r w:rsidR="005E5DEC" w:rsidRPr="00E02273">
        <w:rPr>
          <w:lang w:val="en-CA"/>
        </w:rPr>
        <w:t xml:space="preserve"> have the same </w:t>
      </w:r>
      <w:r w:rsidR="002D51A4" w:rsidRPr="00E02273">
        <w:rPr>
          <w:lang w:val="en-CA"/>
        </w:rPr>
        <w:t>object</w:t>
      </w:r>
      <w:r w:rsidR="00F5435F" w:rsidRPr="00E02273">
        <w:rPr>
          <w:lang w:val="en-CA"/>
        </w:rPr>
        <w:t>i</w:t>
      </w:r>
      <w:r w:rsidR="005E5DEC" w:rsidRPr="00E02273">
        <w:rPr>
          <w:lang w:val="en-CA"/>
        </w:rPr>
        <w:t>ve as the re</w:t>
      </w:r>
      <w:r w:rsidR="002D51A4" w:rsidRPr="00E02273">
        <w:rPr>
          <w:lang w:val="en-CA"/>
        </w:rPr>
        <w:t xml:space="preserve">gime </w:t>
      </w:r>
      <w:r w:rsidR="005E5DEC" w:rsidRPr="00E02273">
        <w:rPr>
          <w:lang w:val="en-CA"/>
        </w:rPr>
        <w:t xml:space="preserve">as a whole and are therefore </w:t>
      </w:r>
      <w:r w:rsidR="002D51A4" w:rsidRPr="00E02273">
        <w:rPr>
          <w:lang w:val="en-CA"/>
        </w:rPr>
        <w:t>constitution</w:t>
      </w:r>
      <w:r w:rsidR="005E5DEC" w:rsidRPr="00E02273">
        <w:rPr>
          <w:lang w:val="en-CA"/>
        </w:rPr>
        <w:t>a</w:t>
      </w:r>
      <w:r w:rsidR="002D51A4" w:rsidRPr="00E02273">
        <w:rPr>
          <w:lang w:val="en-CA"/>
        </w:rPr>
        <w:t xml:space="preserve">l. </w:t>
      </w:r>
      <w:r w:rsidR="005E5DEC" w:rsidRPr="00E02273">
        <w:rPr>
          <w:lang w:val="en-CA"/>
        </w:rPr>
        <w:t xml:space="preserve">Moreover, by relying on the </w:t>
      </w:r>
      <w:r w:rsidR="00F5435F" w:rsidRPr="00E02273">
        <w:rPr>
          <w:lang w:val="en-CA"/>
        </w:rPr>
        <w:t>anticipated</w:t>
      </w:r>
      <w:r w:rsidR="00FC6569" w:rsidRPr="00E02273">
        <w:rPr>
          <w:lang w:val="en-CA"/>
        </w:rPr>
        <w:t xml:space="preserve"> negative </w:t>
      </w:r>
      <w:r w:rsidR="00F5435F" w:rsidRPr="00E02273">
        <w:rPr>
          <w:lang w:val="en-CA"/>
        </w:rPr>
        <w:t xml:space="preserve">incidental </w:t>
      </w:r>
      <w:r w:rsidR="002D51A4" w:rsidRPr="00E02273">
        <w:rPr>
          <w:lang w:val="en-CA"/>
        </w:rPr>
        <w:t>effe</w:t>
      </w:r>
      <w:r w:rsidR="00F5435F" w:rsidRPr="00E02273">
        <w:rPr>
          <w:lang w:val="en-CA"/>
        </w:rPr>
        <w:t>c</w:t>
      </w:r>
      <w:r w:rsidR="002D51A4" w:rsidRPr="00E02273">
        <w:rPr>
          <w:lang w:val="en-CA"/>
        </w:rPr>
        <w:t>ts</w:t>
      </w:r>
      <w:r w:rsidR="00F5435F" w:rsidRPr="00E02273">
        <w:rPr>
          <w:lang w:val="en-CA"/>
        </w:rPr>
        <w:t xml:space="preserve"> of these new </w:t>
      </w:r>
      <w:r w:rsidR="002D51A4" w:rsidRPr="00E02273">
        <w:rPr>
          <w:lang w:val="en-CA"/>
        </w:rPr>
        <w:t xml:space="preserve">paragraphs </w:t>
      </w:r>
      <w:r w:rsidR="00F5435F" w:rsidRPr="00E02273">
        <w:rPr>
          <w:lang w:val="en-CA"/>
        </w:rPr>
        <w:t xml:space="preserve">on the </w:t>
      </w:r>
      <w:r w:rsidR="002D51A4" w:rsidRPr="00E02273">
        <w:rPr>
          <w:lang w:val="en-CA"/>
        </w:rPr>
        <w:t>contra</w:t>
      </w:r>
      <w:r w:rsidR="00F5435F" w:rsidRPr="00E02273">
        <w:rPr>
          <w:lang w:val="en-CA"/>
        </w:rPr>
        <w:t>c</w:t>
      </w:r>
      <w:r w:rsidR="002D51A4" w:rsidRPr="00E02273">
        <w:rPr>
          <w:lang w:val="en-CA"/>
        </w:rPr>
        <w:t xml:space="preserve">ts </w:t>
      </w:r>
      <w:r w:rsidR="00F5435F" w:rsidRPr="00E02273">
        <w:rPr>
          <w:lang w:val="en-CA"/>
        </w:rPr>
        <w:t xml:space="preserve">between the </w:t>
      </w:r>
      <w:r w:rsidR="002D51A4" w:rsidRPr="00E02273">
        <w:rPr>
          <w:lang w:val="en-CA"/>
        </w:rPr>
        <w:t>pharmaceutical</w:t>
      </w:r>
      <w:r w:rsidR="00F5435F" w:rsidRPr="00E02273">
        <w:rPr>
          <w:lang w:val="en-CA"/>
        </w:rPr>
        <w:t xml:space="preserve"> </w:t>
      </w:r>
      <w:r w:rsidR="002D51A4" w:rsidRPr="00E02273">
        <w:rPr>
          <w:lang w:val="en-CA"/>
        </w:rPr>
        <w:t>companies</w:t>
      </w:r>
      <w:r w:rsidR="00F5435F" w:rsidRPr="00E02273">
        <w:rPr>
          <w:lang w:val="en-CA"/>
        </w:rPr>
        <w:t xml:space="preserve"> and the public and private insurers, the </w:t>
      </w:r>
      <w:r w:rsidR="002D51A4" w:rsidRPr="00E02273">
        <w:rPr>
          <w:lang w:val="en-CA"/>
        </w:rPr>
        <w:t>trial</w:t>
      </w:r>
      <w:r w:rsidR="00F5435F" w:rsidRPr="00E02273">
        <w:rPr>
          <w:lang w:val="en-CA"/>
        </w:rPr>
        <w:t xml:space="preserve"> </w:t>
      </w:r>
      <w:r w:rsidR="002D51A4" w:rsidRPr="00E02273">
        <w:rPr>
          <w:lang w:val="en-CA"/>
        </w:rPr>
        <w:t xml:space="preserve">judge </w:t>
      </w:r>
      <w:r w:rsidR="00F5435F" w:rsidRPr="00E02273">
        <w:rPr>
          <w:lang w:val="en-CA"/>
        </w:rPr>
        <w:t xml:space="preserve">took into account </w:t>
      </w:r>
      <w:r w:rsidR="002D51A4" w:rsidRPr="00E02273">
        <w:rPr>
          <w:lang w:val="en-CA"/>
        </w:rPr>
        <w:t>consid</w:t>
      </w:r>
      <w:r w:rsidR="00F5435F" w:rsidRPr="00E02273">
        <w:rPr>
          <w:lang w:val="en-CA"/>
        </w:rPr>
        <w:t>e</w:t>
      </w:r>
      <w:r w:rsidR="002D51A4" w:rsidRPr="00E02273">
        <w:rPr>
          <w:lang w:val="en-CA"/>
        </w:rPr>
        <w:t xml:space="preserve">rations </w:t>
      </w:r>
      <w:r w:rsidR="00F5435F" w:rsidRPr="00E02273">
        <w:rPr>
          <w:lang w:val="en-CA"/>
        </w:rPr>
        <w:t xml:space="preserve">that are not relevant to the </w:t>
      </w:r>
      <w:r w:rsidR="002D51A4" w:rsidRPr="00E02273">
        <w:rPr>
          <w:lang w:val="en-CA"/>
        </w:rPr>
        <w:t>constitution</w:t>
      </w:r>
      <w:r w:rsidR="00F5435F" w:rsidRPr="00E02273">
        <w:rPr>
          <w:lang w:val="en-CA"/>
        </w:rPr>
        <w:t>al analysis</w:t>
      </w:r>
      <w:r w:rsidR="002D51A4" w:rsidRPr="00E02273">
        <w:rPr>
          <w:lang w:val="en-CA"/>
        </w:rPr>
        <w:t xml:space="preserve">. </w:t>
      </w:r>
    </w:p>
    <w:p w14:paraId="7B19788F" w14:textId="6AD8068C" w:rsidR="00B568AD" w:rsidRPr="00AF7432" w:rsidRDefault="002D51A4" w:rsidP="00B568AD">
      <w:pPr>
        <w:pStyle w:val="Paragraphe"/>
        <w:numPr>
          <w:ilvl w:val="0"/>
          <w:numId w:val="0"/>
        </w:numPr>
        <w:spacing w:before="240" w:line="240" w:lineRule="auto"/>
        <w:ind w:firstLine="720"/>
        <w:rPr>
          <w:b/>
          <w:i/>
          <w:u w:val="single"/>
          <w:lang w:val="en-CA"/>
        </w:rPr>
      </w:pPr>
      <w:r w:rsidRPr="00AF7432">
        <w:rPr>
          <w:b/>
          <w:u w:val="single"/>
          <w:lang w:val="en-CA"/>
        </w:rPr>
        <w:t>C</w:t>
      </w:r>
      <w:r w:rsidR="00F5435F" w:rsidRPr="00AF7432">
        <w:rPr>
          <w:b/>
          <w:u w:val="single"/>
          <w:lang w:val="en-CA"/>
        </w:rPr>
        <w:t xml:space="preserve"> </w:t>
      </w:r>
      <w:r w:rsidR="00EE368E">
        <w:rPr>
          <w:b/>
          <w:u w:val="single"/>
          <w:lang w:val="en-CA"/>
        </w:rPr>
        <w:t>-</w:t>
      </w:r>
      <w:r w:rsidR="00F5435F" w:rsidRPr="00AF7432">
        <w:rPr>
          <w:b/>
          <w:u w:val="single"/>
          <w:lang w:val="en-CA"/>
        </w:rPr>
        <w:t xml:space="preserve"> </w:t>
      </w:r>
      <w:r w:rsidR="00F5435F" w:rsidRPr="00AF7432">
        <w:rPr>
          <w:b/>
          <w:i/>
          <w:u w:val="single"/>
          <w:lang w:val="en-CA"/>
        </w:rPr>
        <w:t xml:space="preserve">The </w:t>
      </w:r>
      <w:r w:rsidRPr="00AF7432">
        <w:rPr>
          <w:b/>
          <w:i/>
          <w:u w:val="single"/>
          <w:lang w:val="en-CA"/>
        </w:rPr>
        <w:t>Attorney</w:t>
      </w:r>
      <w:r w:rsidR="00F5435F" w:rsidRPr="00AF7432">
        <w:rPr>
          <w:b/>
          <w:i/>
          <w:u w:val="single"/>
          <w:lang w:val="en-CA"/>
        </w:rPr>
        <w:t xml:space="preserve"> </w:t>
      </w:r>
      <w:r w:rsidRPr="00AF7432">
        <w:rPr>
          <w:b/>
          <w:i/>
          <w:u w:val="single"/>
          <w:lang w:val="en-CA"/>
        </w:rPr>
        <w:t>General</w:t>
      </w:r>
      <w:r w:rsidR="00F5435F" w:rsidRPr="00AF7432">
        <w:rPr>
          <w:b/>
          <w:i/>
          <w:u w:val="single"/>
          <w:lang w:val="en-CA"/>
        </w:rPr>
        <w:t xml:space="preserve"> </w:t>
      </w:r>
      <w:r w:rsidRPr="00AF7432">
        <w:rPr>
          <w:b/>
          <w:i/>
          <w:u w:val="single"/>
          <w:lang w:val="en-CA"/>
        </w:rPr>
        <w:t>of</w:t>
      </w:r>
      <w:r w:rsidR="00F5435F" w:rsidRPr="00AF7432">
        <w:rPr>
          <w:b/>
          <w:i/>
          <w:u w:val="single"/>
          <w:lang w:val="en-CA"/>
        </w:rPr>
        <w:t xml:space="preserve"> </w:t>
      </w:r>
      <w:r w:rsidRPr="00AF7432">
        <w:rPr>
          <w:b/>
          <w:i/>
          <w:u w:val="single"/>
          <w:lang w:val="en-CA"/>
        </w:rPr>
        <w:t>Quebec</w:t>
      </w:r>
    </w:p>
    <w:p w14:paraId="1B32F2F9" w14:textId="284391DC" w:rsidR="00B568AD" w:rsidRPr="00E02273" w:rsidRDefault="00D00796" w:rsidP="00AF7432">
      <w:pPr>
        <w:pStyle w:val="Paragraphe"/>
        <w:tabs>
          <w:tab w:val="num" w:pos="709"/>
        </w:tabs>
        <w:spacing w:line="240" w:lineRule="auto"/>
        <w:ind w:left="0"/>
        <w:rPr>
          <w:lang w:val="en-CA"/>
        </w:rPr>
      </w:pPr>
      <w:r w:rsidRPr="00E02273">
        <w:rPr>
          <w:lang w:val="en-CA"/>
        </w:rPr>
        <w:t xml:space="preserve">The </w:t>
      </w:r>
      <w:r w:rsidR="002D51A4" w:rsidRPr="00E02273">
        <w:rPr>
          <w:lang w:val="en-CA"/>
        </w:rPr>
        <w:t>Attorney</w:t>
      </w:r>
      <w:r w:rsidRPr="00E02273">
        <w:rPr>
          <w:lang w:val="en-CA"/>
        </w:rPr>
        <w:t xml:space="preserve"> </w:t>
      </w:r>
      <w:r w:rsidR="002D51A4" w:rsidRPr="00E02273">
        <w:rPr>
          <w:lang w:val="en-CA"/>
        </w:rPr>
        <w:t>General</w:t>
      </w:r>
      <w:r w:rsidRPr="00E02273">
        <w:rPr>
          <w:lang w:val="en-CA"/>
        </w:rPr>
        <w:t xml:space="preserve"> </w:t>
      </w:r>
      <w:r w:rsidR="002D51A4" w:rsidRPr="00E02273">
        <w:rPr>
          <w:lang w:val="en-CA"/>
        </w:rPr>
        <w:t>of</w:t>
      </w:r>
      <w:r w:rsidRPr="00E02273">
        <w:rPr>
          <w:lang w:val="en-CA"/>
        </w:rPr>
        <w:t xml:space="preserve"> </w:t>
      </w:r>
      <w:r w:rsidR="002D51A4" w:rsidRPr="00E02273">
        <w:rPr>
          <w:lang w:val="en-CA"/>
        </w:rPr>
        <w:t>Quebec</w:t>
      </w:r>
      <w:r w:rsidRPr="00E02273">
        <w:rPr>
          <w:lang w:val="en-CA"/>
        </w:rPr>
        <w:t xml:space="preserve"> does not challenge the </w:t>
      </w:r>
      <w:r w:rsidR="002D51A4" w:rsidRPr="00E02273">
        <w:rPr>
          <w:lang w:val="en-CA"/>
        </w:rPr>
        <w:t>constitutional</w:t>
      </w:r>
      <w:r w:rsidRPr="00E02273">
        <w:rPr>
          <w:lang w:val="en-CA"/>
        </w:rPr>
        <w:t xml:space="preserve"> </w:t>
      </w:r>
      <w:r w:rsidR="002D51A4" w:rsidRPr="00E02273">
        <w:rPr>
          <w:lang w:val="en-CA"/>
        </w:rPr>
        <w:t>validity</w:t>
      </w:r>
      <w:r w:rsidRPr="00E02273">
        <w:rPr>
          <w:lang w:val="en-CA"/>
        </w:rPr>
        <w:t xml:space="preserve"> of the provisions of the </w:t>
      </w:r>
      <w:r w:rsidRPr="00E02273">
        <w:rPr>
          <w:i/>
          <w:lang w:val="en-CA"/>
        </w:rPr>
        <w:t xml:space="preserve">Patent Act </w:t>
      </w:r>
      <w:r w:rsidRPr="00E02273">
        <w:rPr>
          <w:lang w:val="en-CA"/>
        </w:rPr>
        <w:t xml:space="preserve">and the </w:t>
      </w:r>
      <w:r w:rsidRPr="00E02273">
        <w:rPr>
          <w:i/>
          <w:lang w:val="en-CA"/>
        </w:rPr>
        <w:t>Patented Medicines Regulations</w:t>
      </w:r>
      <w:r w:rsidRPr="00E02273">
        <w:rPr>
          <w:lang w:val="en-CA"/>
        </w:rPr>
        <w:t xml:space="preserve"> </w:t>
      </w:r>
      <w:r w:rsidR="00E66D83">
        <w:rPr>
          <w:lang w:val="en-CA"/>
        </w:rPr>
        <w:t>in its current form</w:t>
      </w:r>
      <w:r w:rsidRPr="00E02273">
        <w:rPr>
          <w:lang w:val="en-CA"/>
        </w:rPr>
        <w:t xml:space="preserve">. Rather, it challenges the </w:t>
      </w:r>
      <w:r w:rsidR="00866E58" w:rsidRPr="00E02273">
        <w:rPr>
          <w:i/>
          <w:lang w:val="en-CA"/>
        </w:rPr>
        <w:t>2019 Regulatory Amendments</w:t>
      </w:r>
      <w:r w:rsidR="002D51A4" w:rsidRPr="00E02273">
        <w:rPr>
          <w:lang w:val="en-CA"/>
        </w:rPr>
        <w:t>.</w:t>
      </w:r>
    </w:p>
    <w:p w14:paraId="0C9FF907" w14:textId="0E66BDB5" w:rsidR="00B568AD" w:rsidRPr="00E02273" w:rsidRDefault="00306D3B" w:rsidP="00AF7432">
      <w:pPr>
        <w:pStyle w:val="Paragraphe"/>
        <w:tabs>
          <w:tab w:val="clear" w:pos="4973"/>
          <w:tab w:val="num" w:pos="709"/>
        </w:tabs>
        <w:spacing w:line="240" w:lineRule="auto"/>
        <w:ind w:left="0"/>
        <w:rPr>
          <w:lang w:val="en-CA"/>
        </w:rPr>
      </w:pPr>
      <w:r w:rsidRPr="00E02273">
        <w:rPr>
          <w:lang w:val="en-CA"/>
        </w:rPr>
        <w:t xml:space="preserve">According to the </w:t>
      </w:r>
      <w:r w:rsidR="002D51A4" w:rsidRPr="00E02273">
        <w:rPr>
          <w:lang w:val="en-CA"/>
        </w:rPr>
        <w:t>Attorney</w:t>
      </w:r>
      <w:r w:rsidRPr="00E02273">
        <w:rPr>
          <w:lang w:val="en-CA"/>
        </w:rPr>
        <w:t xml:space="preserve"> </w:t>
      </w:r>
      <w:r w:rsidR="002D51A4" w:rsidRPr="00E02273">
        <w:rPr>
          <w:lang w:val="en-CA"/>
        </w:rPr>
        <w:t>General</w:t>
      </w:r>
      <w:r w:rsidRPr="00E02273">
        <w:rPr>
          <w:lang w:val="en-CA"/>
        </w:rPr>
        <w:t xml:space="preserve"> </w:t>
      </w:r>
      <w:r w:rsidR="002D51A4" w:rsidRPr="00E02273">
        <w:rPr>
          <w:lang w:val="en-CA"/>
        </w:rPr>
        <w:t>of</w:t>
      </w:r>
      <w:r w:rsidRPr="00E02273">
        <w:rPr>
          <w:lang w:val="en-CA"/>
        </w:rPr>
        <w:t xml:space="preserve"> </w:t>
      </w:r>
      <w:r w:rsidR="002D51A4" w:rsidRPr="00E02273">
        <w:rPr>
          <w:lang w:val="en-CA"/>
        </w:rPr>
        <w:t>Quebec,</w:t>
      </w:r>
      <w:r w:rsidRPr="00E02273">
        <w:rPr>
          <w:lang w:val="en-CA"/>
        </w:rPr>
        <w:t xml:space="preserve"> these amendments </w:t>
      </w:r>
      <w:r w:rsidR="00255954">
        <w:rPr>
          <w:lang w:val="en-CA"/>
        </w:rPr>
        <w:t xml:space="preserve">will </w:t>
      </w:r>
      <w:r w:rsidRPr="00E02273">
        <w:rPr>
          <w:lang w:val="en-CA"/>
        </w:rPr>
        <w:t xml:space="preserve">transform the </w:t>
      </w:r>
      <w:r w:rsidR="002D51A4" w:rsidRPr="00E02273">
        <w:rPr>
          <w:lang w:val="en-CA"/>
        </w:rPr>
        <w:t>federal</w:t>
      </w:r>
      <w:r w:rsidRPr="00E02273">
        <w:rPr>
          <w:lang w:val="en-CA"/>
        </w:rPr>
        <w:t xml:space="preserve"> </w:t>
      </w:r>
      <w:r w:rsidR="00A27151" w:rsidRPr="00E02273">
        <w:rPr>
          <w:lang w:val="en-CA"/>
        </w:rPr>
        <w:t>regime</w:t>
      </w:r>
      <w:r w:rsidR="002D51A4" w:rsidRPr="00E02273">
        <w:rPr>
          <w:lang w:val="en-CA"/>
        </w:rPr>
        <w:t xml:space="preserve"> </w:t>
      </w:r>
      <w:r w:rsidRPr="00E02273">
        <w:rPr>
          <w:lang w:val="en-CA"/>
        </w:rPr>
        <w:t>controlling the excessive prices of patented medicine</w:t>
      </w:r>
      <w:r w:rsidR="000F79D4" w:rsidRPr="00E02273">
        <w:rPr>
          <w:lang w:val="en-CA"/>
        </w:rPr>
        <w:t>s</w:t>
      </w:r>
      <w:r w:rsidRPr="00E02273">
        <w:rPr>
          <w:lang w:val="en-CA"/>
        </w:rPr>
        <w:t xml:space="preserve"> into </w:t>
      </w:r>
      <w:r w:rsidR="000F79D4" w:rsidRPr="00E02273">
        <w:rPr>
          <w:lang w:val="en-CA"/>
        </w:rPr>
        <w:t>a regime of outright control of the prices of patented medicines, [</w:t>
      </w:r>
      <w:r w:rsidR="000F79D4" w:rsidRPr="00E02273">
        <w:rPr>
          <w:smallCaps/>
          <w:lang w:val="en-CA"/>
        </w:rPr>
        <w:t>translation</w:t>
      </w:r>
      <w:r w:rsidR="000F79D4" w:rsidRPr="00E02273">
        <w:rPr>
          <w:lang w:val="en-CA"/>
        </w:rPr>
        <w:t xml:space="preserve">] “resulting in a </w:t>
      </w:r>
      <w:r w:rsidR="002D51A4" w:rsidRPr="00E02273">
        <w:rPr>
          <w:lang w:val="en-CA"/>
        </w:rPr>
        <w:t xml:space="preserve">massive </w:t>
      </w:r>
      <w:r w:rsidR="000F79D4" w:rsidRPr="00E02273">
        <w:rPr>
          <w:lang w:val="en-CA"/>
        </w:rPr>
        <w:t xml:space="preserve">reduction in the price of patented medicines </w:t>
      </w:r>
      <w:r w:rsidR="004C0DF1">
        <w:rPr>
          <w:lang w:val="en-CA"/>
        </w:rPr>
        <w:t xml:space="preserve">whether or not they are </w:t>
      </w:r>
      <w:r w:rsidR="000F79D4" w:rsidRPr="00E02273">
        <w:rPr>
          <w:lang w:val="en-CA"/>
        </w:rPr>
        <w:t>current</w:t>
      </w:r>
      <w:r w:rsidR="004C0DF1">
        <w:rPr>
          <w:lang w:val="en-CA"/>
        </w:rPr>
        <w:t>ly</w:t>
      </w:r>
      <w:r w:rsidR="000F79D4" w:rsidRPr="00E02273">
        <w:rPr>
          <w:lang w:val="en-CA"/>
        </w:rPr>
        <w:t xml:space="preserve"> excessive”.</w:t>
      </w:r>
      <w:r w:rsidR="002D51A4" w:rsidRPr="00E02273">
        <w:rPr>
          <w:rStyle w:val="Appelnotedebasdep"/>
          <w:lang w:val="en-CA"/>
        </w:rPr>
        <w:footnoteReference w:id="119"/>
      </w:r>
      <w:r w:rsidR="000F79D4" w:rsidRPr="00E02273">
        <w:rPr>
          <w:lang w:val="en-CA"/>
        </w:rPr>
        <w:t xml:space="preserve"> Thus, it is alleged that the </w:t>
      </w:r>
      <w:r w:rsidR="002D51A4" w:rsidRPr="00E02273">
        <w:rPr>
          <w:lang w:val="en-CA"/>
        </w:rPr>
        <w:t>pith</w:t>
      </w:r>
      <w:r w:rsidR="000F79D4" w:rsidRPr="00E02273">
        <w:rPr>
          <w:lang w:val="en-CA"/>
        </w:rPr>
        <w:t xml:space="preserve"> </w:t>
      </w:r>
      <w:r w:rsidR="002D51A4" w:rsidRPr="00E02273">
        <w:rPr>
          <w:lang w:val="en-CA"/>
        </w:rPr>
        <w:t>and</w:t>
      </w:r>
      <w:r w:rsidR="000F79D4" w:rsidRPr="00E02273">
        <w:rPr>
          <w:lang w:val="en-CA"/>
        </w:rPr>
        <w:t xml:space="preserve"> </w:t>
      </w:r>
      <w:r w:rsidR="002D51A4" w:rsidRPr="00E02273">
        <w:rPr>
          <w:lang w:val="en-CA"/>
        </w:rPr>
        <w:t>substance</w:t>
      </w:r>
      <w:r w:rsidR="000F79D4" w:rsidRPr="00E02273">
        <w:rPr>
          <w:lang w:val="en-CA"/>
        </w:rPr>
        <w:t xml:space="preserve"> of these regulatory amendments is the</w:t>
      </w:r>
      <w:r w:rsidR="00A26075">
        <w:rPr>
          <w:lang w:val="en-CA"/>
        </w:rPr>
        <w:t xml:space="preserve"> inclusion</w:t>
      </w:r>
      <w:r w:rsidR="000F79D4" w:rsidRPr="00E02273">
        <w:rPr>
          <w:lang w:val="en-CA"/>
        </w:rPr>
        <w:t xml:space="preserve"> of [</w:t>
      </w:r>
      <w:r w:rsidR="000F79D4" w:rsidRPr="00E02273">
        <w:rPr>
          <w:smallCaps/>
          <w:lang w:val="en-CA"/>
        </w:rPr>
        <w:t>translation</w:t>
      </w:r>
      <w:r w:rsidR="000F79D4" w:rsidRPr="00E02273">
        <w:rPr>
          <w:lang w:val="en-CA"/>
        </w:rPr>
        <w:t>] “new criteria in the Board’s analysis to control the price of patented medici</w:t>
      </w:r>
      <w:r w:rsidR="0019187E" w:rsidRPr="00E02273">
        <w:rPr>
          <w:lang w:val="en-CA"/>
        </w:rPr>
        <w:t>n</w:t>
      </w:r>
      <w:r w:rsidR="000F79D4" w:rsidRPr="00E02273">
        <w:rPr>
          <w:lang w:val="en-CA"/>
        </w:rPr>
        <w:t>es</w:t>
      </w:r>
      <w:r w:rsidR="00414C34" w:rsidRPr="00E02273">
        <w:rPr>
          <w:lang w:val="en-CA"/>
        </w:rPr>
        <w:t>, resulting in a significant price reduction”.</w:t>
      </w:r>
      <w:r w:rsidR="002D51A4" w:rsidRPr="00E02273">
        <w:rPr>
          <w:rStyle w:val="Appelnotedebasdep"/>
          <w:lang w:val="en-CA"/>
        </w:rPr>
        <w:footnoteReference w:id="120"/>
      </w:r>
    </w:p>
    <w:p w14:paraId="7021285A" w14:textId="6AC63782" w:rsidR="00B568AD" w:rsidRPr="00E02273" w:rsidRDefault="003B4904" w:rsidP="00AF7432">
      <w:pPr>
        <w:pStyle w:val="Paragraphe"/>
        <w:tabs>
          <w:tab w:val="clear" w:pos="4973"/>
          <w:tab w:val="num" w:pos="709"/>
        </w:tabs>
        <w:spacing w:line="240" w:lineRule="auto"/>
        <w:ind w:left="0"/>
        <w:rPr>
          <w:lang w:val="en-CA"/>
        </w:rPr>
      </w:pPr>
      <w:r w:rsidRPr="00E02273">
        <w:rPr>
          <w:lang w:val="en-CA"/>
        </w:rPr>
        <w:t xml:space="preserve">It is alleged that these regulatory amendments exceed the </w:t>
      </w:r>
      <w:r w:rsidR="002D51A4" w:rsidRPr="00E02273">
        <w:rPr>
          <w:lang w:val="en-CA"/>
        </w:rPr>
        <w:t>federal</w:t>
      </w:r>
      <w:r w:rsidRPr="00E02273">
        <w:rPr>
          <w:lang w:val="en-CA"/>
        </w:rPr>
        <w:t xml:space="preserve"> </w:t>
      </w:r>
      <w:r w:rsidR="002D51A4" w:rsidRPr="00E02273">
        <w:rPr>
          <w:lang w:val="en-CA"/>
        </w:rPr>
        <w:t>jurisdiction</w:t>
      </w:r>
      <w:r w:rsidRPr="00E02273">
        <w:rPr>
          <w:lang w:val="en-CA"/>
        </w:rPr>
        <w:t xml:space="preserve"> over patents of </w:t>
      </w:r>
      <w:r w:rsidR="002D51A4" w:rsidRPr="00E02273">
        <w:rPr>
          <w:lang w:val="en-CA"/>
        </w:rPr>
        <w:t xml:space="preserve">invention </w:t>
      </w:r>
      <w:r w:rsidRPr="00E02273">
        <w:rPr>
          <w:lang w:val="en-CA"/>
        </w:rPr>
        <w:t>and discovery because</w:t>
      </w:r>
      <w:r w:rsidR="004C0DF1">
        <w:rPr>
          <w:lang w:val="en-CA"/>
        </w:rPr>
        <w:t>,</w:t>
      </w:r>
      <w:r w:rsidRPr="00E02273">
        <w:rPr>
          <w:lang w:val="en-CA"/>
        </w:rPr>
        <w:t xml:space="preserve"> according to the case law, that jurisdiction extends [</w:t>
      </w:r>
      <w:r w:rsidRPr="00E02273">
        <w:rPr>
          <w:smallCaps/>
          <w:lang w:val="en-CA"/>
        </w:rPr>
        <w:t>translation</w:t>
      </w:r>
      <w:r w:rsidRPr="00E02273">
        <w:rPr>
          <w:lang w:val="en-CA"/>
        </w:rPr>
        <w:t xml:space="preserve">] “only to </w:t>
      </w:r>
      <w:r w:rsidR="007F0182" w:rsidRPr="00E02273">
        <w:rPr>
          <w:lang w:val="en-CA"/>
        </w:rPr>
        <w:t xml:space="preserve">cases where the price of a medicine is </w:t>
      </w:r>
      <w:r w:rsidR="002D51A4" w:rsidRPr="00E02273">
        <w:rPr>
          <w:lang w:val="en-CA"/>
        </w:rPr>
        <w:t>excessi</w:t>
      </w:r>
      <w:r w:rsidR="007F0182" w:rsidRPr="00E02273">
        <w:rPr>
          <w:lang w:val="en-CA"/>
        </w:rPr>
        <w:t>ve to the po</w:t>
      </w:r>
      <w:r w:rsidR="002D51A4" w:rsidRPr="00E02273">
        <w:rPr>
          <w:lang w:val="en-CA"/>
        </w:rPr>
        <w:t xml:space="preserve">int </w:t>
      </w:r>
      <w:r w:rsidR="007F0182" w:rsidRPr="00E02273">
        <w:rPr>
          <w:lang w:val="en-CA"/>
        </w:rPr>
        <w:t xml:space="preserve">of being an </w:t>
      </w:r>
      <w:r w:rsidR="002D51A4" w:rsidRPr="00E02273">
        <w:rPr>
          <w:lang w:val="en-CA"/>
        </w:rPr>
        <w:t>abus</w:t>
      </w:r>
      <w:r w:rsidR="007F0182" w:rsidRPr="00E02273">
        <w:rPr>
          <w:lang w:val="en-CA"/>
        </w:rPr>
        <w:t>e</w:t>
      </w:r>
      <w:r w:rsidR="002D51A4" w:rsidRPr="00E02273">
        <w:rPr>
          <w:lang w:val="en-CA"/>
        </w:rPr>
        <w:t xml:space="preserve"> </w:t>
      </w:r>
      <w:r w:rsidR="007F0182" w:rsidRPr="00E02273">
        <w:rPr>
          <w:lang w:val="en-CA"/>
        </w:rPr>
        <w:t>of patent”.</w:t>
      </w:r>
      <w:r w:rsidR="002D51A4" w:rsidRPr="00E02273">
        <w:rPr>
          <w:rStyle w:val="Appelnotedebasdep"/>
          <w:lang w:val="en-CA"/>
        </w:rPr>
        <w:footnoteReference w:id="121"/>
      </w:r>
    </w:p>
    <w:p w14:paraId="43160858" w14:textId="1863B59B" w:rsidR="00B568AD" w:rsidRPr="00E02273" w:rsidRDefault="007F0182" w:rsidP="00AF7432">
      <w:pPr>
        <w:pStyle w:val="Paragraphe"/>
        <w:tabs>
          <w:tab w:val="clear" w:pos="4973"/>
          <w:tab w:val="num" w:pos="709"/>
        </w:tabs>
        <w:spacing w:line="240" w:lineRule="auto"/>
        <w:ind w:left="0"/>
        <w:rPr>
          <w:lang w:val="en-CA"/>
        </w:rPr>
      </w:pPr>
      <w:r w:rsidRPr="00E02273">
        <w:rPr>
          <w:lang w:val="en-CA"/>
        </w:rPr>
        <w:t xml:space="preserve">In </w:t>
      </w:r>
      <w:r w:rsidR="002D51A4" w:rsidRPr="00E02273">
        <w:rPr>
          <w:lang w:val="en-CA"/>
        </w:rPr>
        <w:t>so</w:t>
      </w:r>
      <w:r w:rsidRPr="00E02273">
        <w:rPr>
          <w:lang w:val="en-CA"/>
        </w:rPr>
        <w:t xml:space="preserve"> </w:t>
      </w:r>
      <w:r w:rsidR="002D51A4" w:rsidRPr="00E02273">
        <w:rPr>
          <w:lang w:val="en-CA"/>
        </w:rPr>
        <w:t>doing,</w:t>
      </w:r>
      <w:r w:rsidRPr="00E02273">
        <w:rPr>
          <w:lang w:val="en-CA"/>
        </w:rPr>
        <w:t xml:space="preserve"> it is alleged that these regulatory amendments directly</w:t>
      </w:r>
      <w:r w:rsidR="00880C38">
        <w:rPr>
          <w:lang w:val="en-CA"/>
        </w:rPr>
        <w:t xml:space="preserve"> impinge</w:t>
      </w:r>
      <w:r w:rsidRPr="00E02273">
        <w:rPr>
          <w:lang w:val="en-CA"/>
        </w:rPr>
        <w:t xml:space="preserve"> on the </w:t>
      </w:r>
      <w:r w:rsidR="002D51A4" w:rsidRPr="00E02273">
        <w:rPr>
          <w:lang w:val="en-CA"/>
        </w:rPr>
        <w:t>provincial</w:t>
      </w:r>
      <w:r w:rsidRPr="00E02273">
        <w:rPr>
          <w:lang w:val="en-CA"/>
        </w:rPr>
        <w:t xml:space="preserve"> </w:t>
      </w:r>
      <w:r w:rsidR="002D51A4" w:rsidRPr="00E02273">
        <w:rPr>
          <w:lang w:val="en-CA"/>
        </w:rPr>
        <w:t>jurisdiction</w:t>
      </w:r>
      <w:r w:rsidR="009A08C4" w:rsidRPr="00E02273">
        <w:rPr>
          <w:lang w:val="en-CA"/>
        </w:rPr>
        <w:t xml:space="preserve"> over property and </w:t>
      </w:r>
      <w:r w:rsidR="002D51A4" w:rsidRPr="00E02273">
        <w:rPr>
          <w:lang w:val="en-CA"/>
        </w:rPr>
        <w:t>civil</w:t>
      </w:r>
      <w:r w:rsidR="009A08C4" w:rsidRPr="00E02273">
        <w:rPr>
          <w:lang w:val="en-CA"/>
        </w:rPr>
        <w:t xml:space="preserve"> </w:t>
      </w:r>
      <w:r w:rsidR="002D51A4" w:rsidRPr="00E02273">
        <w:rPr>
          <w:lang w:val="en-CA"/>
        </w:rPr>
        <w:t>rights</w:t>
      </w:r>
      <w:r w:rsidR="009A08C4" w:rsidRPr="00E02273">
        <w:rPr>
          <w:lang w:val="en-CA"/>
        </w:rPr>
        <w:t xml:space="preserve"> and over health</w:t>
      </w:r>
      <w:r w:rsidR="002D51A4" w:rsidRPr="00E02273">
        <w:rPr>
          <w:lang w:val="en-CA"/>
        </w:rPr>
        <w:t xml:space="preserve">, </w:t>
      </w:r>
      <w:r w:rsidR="00505566" w:rsidRPr="00E02273">
        <w:rPr>
          <w:lang w:val="en-CA"/>
        </w:rPr>
        <w:t xml:space="preserve">thereby </w:t>
      </w:r>
      <w:r w:rsidR="002D51A4" w:rsidRPr="00E02273">
        <w:rPr>
          <w:lang w:val="en-CA"/>
        </w:rPr>
        <w:t>constitu</w:t>
      </w:r>
      <w:r w:rsidR="00505566" w:rsidRPr="00E02273">
        <w:rPr>
          <w:lang w:val="en-CA"/>
        </w:rPr>
        <w:t xml:space="preserve">ting a </w:t>
      </w:r>
      <w:r w:rsidR="002D51A4" w:rsidRPr="00E02273">
        <w:rPr>
          <w:lang w:val="en-CA"/>
        </w:rPr>
        <w:t>direct</w:t>
      </w:r>
      <w:r w:rsidR="00505566" w:rsidRPr="00E02273">
        <w:rPr>
          <w:lang w:val="en-CA"/>
        </w:rPr>
        <w:t xml:space="preserve"> encroachment into these </w:t>
      </w:r>
      <w:r w:rsidR="004C0DF1">
        <w:rPr>
          <w:lang w:val="en-CA"/>
        </w:rPr>
        <w:t>areas</w:t>
      </w:r>
      <w:r w:rsidR="00505566" w:rsidRPr="00E02273">
        <w:rPr>
          <w:lang w:val="en-CA"/>
        </w:rPr>
        <w:t xml:space="preserve"> of </w:t>
      </w:r>
      <w:r w:rsidR="002D51A4" w:rsidRPr="00E02273">
        <w:rPr>
          <w:lang w:val="en-CA"/>
        </w:rPr>
        <w:t>jurisdiction.</w:t>
      </w:r>
    </w:p>
    <w:p w14:paraId="3F4AF75A" w14:textId="26A1F88C" w:rsidR="00B568AD" w:rsidRPr="00E02273" w:rsidRDefault="00505566" w:rsidP="00AF7432">
      <w:pPr>
        <w:pStyle w:val="Paragraphe"/>
        <w:tabs>
          <w:tab w:val="clear" w:pos="4973"/>
          <w:tab w:val="num" w:pos="709"/>
        </w:tabs>
        <w:spacing w:line="240" w:lineRule="auto"/>
        <w:ind w:left="0"/>
        <w:rPr>
          <w:lang w:val="en-CA"/>
        </w:rPr>
      </w:pPr>
      <w:r w:rsidRPr="00E02273">
        <w:rPr>
          <w:lang w:val="en-CA"/>
        </w:rPr>
        <w:lastRenderedPageBreak/>
        <w:t xml:space="preserve">The </w:t>
      </w:r>
      <w:r w:rsidR="002D51A4" w:rsidRPr="00E02273">
        <w:rPr>
          <w:lang w:val="en-CA"/>
        </w:rPr>
        <w:t>Attorney</w:t>
      </w:r>
      <w:r w:rsidRPr="00E02273">
        <w:rPr>
          <w:lang w:val="en-CA"/>
        </w:rPr>
        <w:t xml:space="preserve"> </w:t>
      </w:r>
      <w:r w:rsidR="002D51A4" w:rsidRPr="00E02273">
        <w:rPr>
          <w:lang w:val="en-CA"/>
        </w:rPr>
        <w:t>General</w:t>
      </w:r>
      <w:r w:rsidRPr="00E02273">
        <w:rPr>
          <w:lang w:val="en-CA"/>
        </w:rPr>
        <w:t xml:space="preserve"> </w:t>
      </w:r>
      <w:r w:rsidR="002D51A4" w:rsidRPr="00E02273">
        <w:rPr>
          <w:lang w:val="en-CA"/>
        </w:rPr>
        <w:t>of</w:t>
      </w:r>
      <w:r w:rsidRPr="00E02273">
        <w:rPr>
          <w:lang w:val="en-CA"/>
        </w:rPr>
        <w:t xml:space="preserve"> </w:t>
      </w:r>
      <w:r w:rsidR="002D51A4" w:rsidRPr="00E02273">
        <w:rPr>
          <w:lang w:val="en-CA"/>
        </w:rPr>
        <w:t>Quebec</w:t>
      </w:r>
      <w:r w:rsidRPr="00E02273">
        <w:rPr>
          <w:lang w:val="en-CA"/>
        </w:rPr>
        <w:t xml:space="preserve"> therefore asks the </w:t>
      </w:r>
      <w:r w:rsidR="002D51A4" w:rsidRPr="00E02273">
        <w:rPr>
          <w:lang w:val="en-CA"/>
        </w:rPr>
        <w:t>Court</w:t>
      </w:r>
      <w:r w:rsidRPr="00E02273">
        <w:rPr>
          <w:lang w:val="en-CA"/>
        </w:rPr>
        <w:t xml:space="preserve"> to declare unconstitutional the new regulatory factors that the Board must consider under the </w:t>
      </w:r>
      <w:r w:rsidR="00866E58" w:rsidRPr="00E02273">
        <w:rPr>
          <w:i/>
          <w:lang w:val="en-CA"/>
        </w:rPr>
        <w:t>2019 Regulatory Amendments</w:t>
      </w:r>
      <w:r w:rsidR="002D51A4" w:rsidRPr="00E02273">
        <w:rPr>
          <w:lang w:val="en-CA"/>
        </w:rPr>
        <w:t xml:space="preserve"> (</w:t>
      </w:r>
      <w:r w:rsidR="004127F1" w:rsidRPr="00E02273">
        <w:rPr>
          <w:lang w:val="en-CA"/>
        </w:rPr>
        <w:t xml:space="preserve">the pharmacoeconomic value of the medicine in </w:t>
      </w:r>
      <w:r w:rsidR="002D51A4" w:rsidRPr="00E02273">
        <w:rPr>
          <w:lang w:val="en-CA"/>
        </w:rPr>
        <w:t xml:space="preserve">Canada, </w:t>
      </w:r>
      <w:r w:rsidR="004127F1" w:rsidRPr="00E02273">
        <w:rPr>
          <w:lang w:val="en-CA"/>
        </w:rPr>
        <w:t xml:space="preserve">the size of the market for the medicine in </w:t>
      </w:r>
      <w:r w:rsidR="002D51A4" w:rsidRPr="00E02273">
        <w:rPr>
          <w:lang w:val="en-CA"/>
        </w:rPr>
        <w:t xml:space="preserve">Canada, </w:t>
      </w:r>
      <w:r w:rsidR="004127F1" w:rsidRPr="00E02273">
        <w:rPr>
          <w:lang w:val="en-CA"/>
        </w:rPr>
        <w:t xml:space="preserve">the gross domestic product in </w:t>
      </w:r>
      <w:r w:rsidR="002D51A4" w:rsidRPr="00E02273">
        <w:rPr>
          <w:lang w:val="en-CA"/>
        </w:rPr>
        <w:t>Canada</w:t>
      </w:r>
      <w:r w:rsidR="004127F1" w:rsidRPr="00E02273">
        <w:rPr>
          <w:lang w:val="en-CA"/>
        </w:rPr>
        <w:t xml:space="preserve">, and the gross domestic product per capita in </w:t>
      </w:r>
      <w:r w:rsidR="002D51A4" w:rsidRPr="00E02273">
        <w:rPr>
          <w:lang w:val="en-CA"/>
        </w:rPr>
        <w:t xml:space="preserve">Canada), </w:t>
      </w:r>
      <w:r w:rsidR="004127F1" w:rsidRPr="00E02273">
        <w:rPr>
          <w:lang w:val="en-CA"/>
        </w:rPr>
        <w:t xml:space="preserve">as well as the new </w:t>
      </w:r>
      <w:r w:rsidR="002D51A4" w:rsidRPr="00E02273">
        <w:rPr>
          <w:lang w:val="en-CA"/>
        </w:rPr>
        <w:t>schedule</w:t>
      </w:r>
      <w:r w:rsidR="003D3621" w:rsidRPr="00E02273">
        <w:rPr>
          <w:lang w:val="en-CA"/>
        </w:rPr>
        <w:t xml:space="preserve"> containing the new list of foreign countries for the purpose </w:t>
      </w:r>
      <w:r w:rsidR="00A40C5E">
        <w:rPr>
          <w:lang w:val="en-CA"/>
        </w:rPr>
        <w:t xml:space="preserve">of </w:t>
      </w:r>
      <w:r w:rsidR="003D3621" w:rsidRPr="00E02273">
        <w:rPr>
          <w:lang w:val="en-CA"/>
        </w:rPr>
        <w:t>international price</w:t>
      </w:r>
      <w:r w:rsidR="00A40C5E">
        <w:rPr>
          <w:lang w:val="en-CA"/>
        </w:rPr>
        <w:t xml:space="preserve"> comparison</w:t>
      </w:r>
      <w:r w:rsidR="003D3621" w:rsidRPr="00E02273">
        <w:rPr>
          <w:lang w:val="en-CA"/>
        </w:rPr>
        <w:t>s</w:t>
      </w:r>
      <w:r w:rsidR="002D51A4" w:rsidRPr="00E02273">
        <w:rPr>
          <w:lang w:val="en-CA"/>
        </w:rPr>
        <w:t xml:space="preserve">. </w:t>
      </w:r>
    </w:p>
    <w:p w14:paraId="3A001A4D" w14:textId="1B76DA37" w:rsidR="00B568AD" w:rsidRPr="00E02273" w:rsidRDefault="002D51A4" w:rsidP="00B568AD">
      <w:pPr>
        <w:pStyle w:val="Paragraphe"/>
        <w:numPr>
          <w:ilvl w:val="0"/>
          <w:numId w:val="0"/>
        </w:numPr>
        <w:spacing w:line="240" w:lineRule="auto"/>
        <w:ind w:firstLine="720"/>
        <w:rPr>
          <w:b/>
          <w:i/>
          <w:lang w:val="en-CA"/>
        </w:rPr>
      </w:pPr>
      <w:r w:rsidRPr="00E02273">
        <w:rPr>
          <w:b/>
          <w:u w:val="single"/>
          <w:lang w:val="en-CA"/>
        </w:rPr>
        <w:t>D</w:t>
      </w:r>
      <w:r w:rsidR="003D3621" w:rsidRPr="00E02273">
        <w:rPr>
          <w:b/>
          <w:u w:val="single"/>
          <w:lang w:val="en-CA"/>
        </w:rPr>
        <w:t xml:space="preserve"> </w:t>
      </w:r>
      <w:r w:rsidR="00EE368E">
        <w:rPr>
          <w:b/>
          <w:u w:val="single"/>
          <w:lang w:val="en-CA"/>
        </w:rPr>
        <w:t>-</w:t>
      </w:r>
      <w:r w:rsidR="003D3621" w:rsidRPr="00E02273">
        <w:rPr>
          <w:b/>
          <w:u w:val="single"/>
          <w:lang w:val="en-CA"/>
        </w:rPr>
        <w:t xml:space="preserve"> </w:t>
      </w:r>
      <w:r w:rsidR="003D3621" w:rsidRPr="00E02273">
        <w:rPr>
          <w:b/>
          <w:i/>
          <w:u w:val="single"/>
          <w:lang w:val="en-CA"/>
        </w:rPr>
        <w:t>The intervenors</w:t>
      </w:r>
    </w:p>
    <w:p w14:paraId="30FDD750" w14:textId="4E3833A6" w:rsidR="00B568AD" w:rsidRPr="00E02273" w:rsidRDefault="00B572B8" w:rsidP="00B568AD">
      <w:pPr>
        <w:pStyle w:val="Paragraphe"/>
        <w:numPr>
          <w:ilvl w:val="0"/>
          <w:numId w:val="0"/>
        </w:numPr>
        <w:spacing w:line="240" w:lineRule="auto"/>
        <w:rPr>
          <w:i/>
          <w:u w:val="single"/>
          <w:lang w:val="en-CA"/>
        </w:rPr>
      </w:pPr>
      <w:r w:rsidRPr="00E02273">
        <w:rPr>
          <w:i/>
          <w:lang w:val="en-CA"/>
        </w:rPr>
        <w:t xml:space="preserve">                     </w:t>
      </w:r>
      <w:r w:rsidR="002D51A4" w:rsidRPr="00E02273">
        <w:rPr>
          <w:i/>
          <w:u w:val="single"/>
          <w:lang w:val="en-CA"/>
        </w:rPr>
        <w:t>Canadian Cystic Fibrosis Treatment Society</w:t>
      </w:r>
    </w:p>
    <w:p w14:paraId="1539DBA7" w14:textId="023BAAAC" w:rsidR="00B568AD" w:rsidRPr="00E02273" w:rsidRDefault="00484C09" w:rsidP="00B572B8">
      <w:pPr>
        <w:pStyle w:val="Paragraphe"/>
        <w:tabs>
          <w:tab w:val="num" w:pos="709"/>
        </w:tabs>
        <w:spacing w:line="240" w:lineRule="auto"/>
        <w:ind w:left="0"/>
        <w:rPr>
          <w:lang w:val="en-CA"/>
        </w:rPr>
      </w:pPr>
      <w:r w:rsidRPr="00E02273">
        <w:rPr>
          <w:lang w:val="en-CA"/>
        </w:rPr>
        <w:t xml:space="preserve">The intervenor </w:t>
      </w:r>
      <w:r w:rsidR="002D51A4" w:rsidRPr="00E02273">
        <w:rPr>
          <w:lang w:val="en-CA"/>
        </w:rPr>
        <w:t xml:space="preserve">Canadian Cystic Fibrosis Treatment Society </w:t>
      </w:r>
      <w:r w:rsidRPr="00E02273">
        <w:rPr>
          <w:lang w:val="en-CA"/>
        </w:rPr>
        <w:t>is a</w:t>
      </w:r>
      <w:r w:rsidR="00CF7BCA" w:rsidRPr="00E02273">
        <w:rPr>
          <w:lang w:val="en-CA"/>
        </w:rPr>
        <w:t>n association that advocates on behalf of patients</w:t>
      </w:r>
      <w:r w:rsidR="002D51A4" w:rsidRPr="00E02273">
        <w:rPr>
          <w:lang w:val="en-CA"/>
        </w:rPr>
        <w:t xml:space="preserve"> </w:t>
      </w:r>
      <w:r w:rsidR="00CF7BCA" w:rsidRPr="00E02273">
        <w:rPr>
          <w:lang w:val="en-CA"/>
        </w:rPr>
        <w:t xml:space="preserve">suffering from cystic fibrosis, a rare, serious disease for which medical </w:t>
      </w:r>
      <w:r w:rsidR="00982833">
        <w:rPr>
          <w:lang w:val="en-CA"/>
        </w:rPr>
        <w:t xml:space="preserve">treatment </w:t>
      </w:r>
      <w:r w:rsidR="00CF7BCA" w:rsidRPr="00E02273">
        <w:rPr>
          <w:lang w:val="en-CA"/>
        </w:rPr>
        <w:t>can involve high annual costs</w:t>
      </w:r>
      <w:r w:rsidR="002D51A4" w:rsidRPr="00E02273">
        <w:rPr>
          <w:lang w:val="en-CA"/>
        </w:rPr>
        <w:t>.</w:t>
      </w:r>
      <w:r w:rsidR="00CF7BCA" w:rsidRPr="00E02273">
        <w:rPr>
          <w:lang w:val="en-CA"/>
        </w:rPr>
        <w:t xml:space="preserve"> It notes in its brief that the cost of such</w:t>
      </w:r>
      <w:r w:rsidR="00880C38">
        <w:rPr>
          <w:lang w:val="en-CA"/>
        </w:rPr>
        <w:t xml:space="preserve"> treatment</w:t>
      </w:r>
      <w:r w:rsidR="00CF7BCA" w:rsidRPr="00E02273">
        <w:rPr>
          <w:lang w:val="en-CA"/>
        </w:rPr>
        <w:t xml:space="preserve"> raises </w:t>
      </w:r>
      <w:r w:rsidR="003900C6">
        <w:rPr>
          <w:lang w:val="en-CA"/>
        </w:rPr>
        <w:t>major</w:t>
      </w:r>
      <w:r w:rsidR="003900C6" w:rsidRPr="00E02273">
        <w:rPr>
          <w:lang w:val="en-CA"/>
        </w:rPr>
        <w:t xml:space="preserve"> </w:t>
      </w:r>
      <w:r w:rsidR="00CF7BCA" w:rsidRPr="00E02273">
        <w:rPr>
          <w:lang w:val="en-CA"/>
        </w:rPr>
        <w:t xml:space="preserve">ethical and </w:t>
      </w:r>
      <w:r w:rsidR="004F6A0F" w:rsidRPr="00E02273">
        <w:rPr>
          <w:lang w:val="en-CA"/>
        </w:rPr>
        <w:t>budgetary</w:t>
      </w:r>
      <w:r w:rsidR="00CF7BCA" w:rsidRPr="00E02273">
        <w:rPr>
          <w:lang w:val="en-CA"/>
        </w:rPr>
        <w:t xml:space="preserve"> issues that fall under </w:t>
      </w:r>
      <w:r w:rsidR="002D51A4" w:rsidRPr="00E02273">
        <w:rPr>
          <w:lang w:val="en-CA"/>
        </w:rPr>
        <w:t>provincial</w:t>
      </w:r>
      <w:r w:rsidR="00CF7BCA" w:rsidRPr="00E02273">
        <w:rPr>
          <w:lang w:val="en-CA"/>
        </w:rPr>
        <w:t xml:space="preserve"> </w:t>
      </w:r>
      <w:r w:rsidR="002D51A4" w:rsidRPr="00E02273">
        <w:rPr>
          <w:lang w:val="en-CA"/>
        </w:rPr>
        <w:t>jurisdiction</w:t>
      </w:r>
      <w:r w:rsidR="00CF7BCA" w:rsidRPr="00E02273">
        <w:rPr>
          <w:lang w:val="en-CA"/>
        </w:rPr>
        <w:t xml:space="preserve"> over health, hospitals, property and </w:t>
      </w:r>
      <w:r w:rsidR="002D51A4" w:rsidRPr="00E02273">
        <w:rPr>
          <w:lang w:val="en-CA"/>
        </w:rPr>
        <w:t>civil</w:t>
      </w:r>
      <w:r w:rsidR="00CF7BCA" w:rsidRPr="00E02273">
        <w:rPr>
          <w:lang w:val="en-CA"/>
        </w:rPr>
        <w:t xml:space="preserve"> </w:t>
      </w:r>
      <w:r w:rsidR="002D51A4" w:rsidRPr="00E02273">
        <w:rPr>
          <w:lang w:val="en-CA"/>
        </w:rPr>
        <w:t>rights</w:t>
      </w:r>
      <w:r w:rsidR="00CF7BCA" w:rsidRPr="00E02273">
        <w:rPr>
          <w:lang w:val="en-CA"/>
        </w:rPr>
        <w:t>, and matters of a merely local or private nature</w:t>
      </w:r>
      <w:r w:rsidR="00EA3999" w:rsidRPr="00E02273">
        <w:rPr>
          <w:lang w:val="en-CA"/>
        </w:rPr>
        <w:t xml:space="preserve"> in the province. It is concerned that the new re</w:t>
      </w:r>
      <w:r w:rsidR="002D51A4" w:rsidRPr="00E02273">
        <w:rPr>
          <w:lang w:val="en-CA"/>
        </w:rPr>
        <w:t>gime introdu</w:t>
      </w:r>
      <w:r w:rsidR="00EA3999" w:rsidRPr="00E02273">
        <w:rPr>
          <w:lang w:val="en-CA"/>
        </w:rPr>
        <w:t xml:space="preserve">ced by the </w:t>
      </w:r>
      <w:r w:rsidR="00866E58" w:rsidRPr="00E02273">
        <w:rPr>
          <w:i/>
          <w:lang w:val="en-CA"/>
        </w:rPr>
        <w:t>2019 Regulatory Amendments</w:t>
      </w:r>
      <w:r w:rsidR="002D51A4" w:rsidRPr="00E02273">
        <w:rPr>
          <w:lang w:val="en-CA"/>
        </w:rPr>
        <w:t xml:space="preserve"> </w:t>
      </w:r>
      <w:r w:rsidR="00EA3999" w:rsidRPr="00E02273">
        <w:rPr>
          <w:lang w:val="en-CA"/>
        </w:rPr>
        <w:t>will delay, even prevent, access by pat</w:t>
      </w:r>
      <w:r w:rsidR="002D51A4" w:rsidRPr="00E02273">
        <w:rPr>
          <w:lang w:val="en-CA"/>
        </w:rPr>
        <w:t xml:space="preserve">ients </w:t>
      </w:r>
      <w:r w:rsidR="00EA3999" w:rsidRPr="00E02273">
        <w:rPr>
          <w:lang w:val="en-CA"/>
        </w:rPr>
        <w:t>suffering from rare, serious</w:t>
      </w:r>
      <w:r w:rsidR="00880C38">
        <w:rPr>
          <w:lang w:val="en-CA"/>
        </w:rPr>
        <w:t xml:space="preserve"> diseases</w:t>
      </w:r>
      <w:r w:rsidR="00EA3999" w:rsidRPr="00E02273">
        <w:rPr>
          <w:lang w:val="en-CA"/>
        </w:rPr>
        <w:t xml:space="preserve"> to new medicines that may be able to treat their </w:t>
      </w:r>
      <w:r w:rsidR="002D51A4" w:rsidRPr="00E02273">
        <w:rPr>
          <w:lang w:val="en-CA"/>
        </w:rPr>
        <w:t>conditions.</w:t>
      </w:r>
    </w:p>
    <w:p w14:paraId="67AC42FF" w14:textId="71290916" w:rsidR="00B568AD" w:rsidRPr="00E02273" w:rsidRDefault="00ED3914" w:rsidP="00075CA2">
      <w:pPr>
        <w:pStyle w:val="Paragraphe"/>
        <w:tabs>
          <w:tab w:val="num" w:pos="709"/>
        </w:tabs>
        <w:spacing w:line="240" w:lineRule="auto"/>
        <w:ind w:left="0"/>
        <w:rPr>
          <w:lang w:val="en-CA"/>
        </w:rPr>
      </w:pPr>
      <w:r w:rsidRPr="00E02273">
        <w:rPr>
          <w:lang w:val="en-CA"/>
        </w:rPr>
        <w:t xml:space="preserve">Like the </w:t>
      </w:r>
      <w:r w:rsidR="002D51A4" w:rsidRPr="00E02273">
        <w:rPr>
          <w:lang w:val="en-CA"/>
        </w:rPr>
        <w:t>Attorney</w:t>
      </w:r>
      <w:r w:rsidRPr="00E02273">
        <w:rPr>
          <w:lang w:val="en-CA"/>
        </w:rPr>
        <w:t xml:space="preserve"> </w:t>
      </w:r>
      <w:r w:rsidR="002D51A4" w:rsidRPr="00E02273">
        <w:rPr>
          <w:lang w:val="en-CA"/>
        </w:rPr>
        <w:t>General</w:t>
      </w:r>
      <w:r w:rsidRPr="00E02273">
        <w:rPr>
          <w:lang w:val="en-CA"/>
        </w:rPr>
        <w:t xml:space="preserve"> </w:t>
      </w:r>
      <w:r w:rsidR="002D51A4" w:rsidRPr="00E02273">
        <w:rPr>
          <w:lang w:val="en-CA"/>
        </w:rPr>
        <w:t>of</w:t>
      </w:r>
      <w:r w:rsidRPr="00E02273">
        <w:rPr>
          <w:lang w:val="en-CA"/>
        </w:rPr>
        <w:t xml:space="preserve"> </w:t>
      </w:r>
      <w:r w:rsidR="002D51A4" w:rsidRPr="00E02273">
        <w:rPr>
          <w:lang w:val="en-CA"/>
        </w:rPr>
        <w:t>Quebec,</w:t>
      </w:r>
      <w:r w:rsidRPr="00E02273">
        <w:rPr>
          <w:lang w:val="en-CA"/>
        </w:rPr>
        <w:t xml:space="preserve"> it mainly challenges the </w:t>
      </w:r>
      <w:r w:rsidR="00866E58" w:rsidRPr="00E02273">
        <w:rPr>
          <w:i/>
          <w:lang w:val="en-CA"/>
        </w:rPr>
        <w:t>2019 Regulatory Amendments</w:t>
      </w:r>
      <w:r w:rsidRPr="00E02273">
        <w:rPr>
          <w:lang w:val="en-CA"/>
        </w:rPr>
        <w:t xml:space="preserve">, which it claims seek to regulate the price of patented medicines outright to control </w:t>
      </w:r>
      <w:r w:rsidR="002D51A4" w:rsidRPr="00E02273">
        <w:rPr>
          <w:lang w:val="en-CA"/>
        </w:rPr>
        <w:t>pharmaceuti</w:t>
      </w:r>
      <w:r w:rsidRPr="00E02273">
        <w:rPr>
          <w:lang w:val="en-CA"/>
        </w:rPr>
        <w:t xml:space="preserve">cal costs and </w:t>
      </w:r>
      <w:r w:rsidR="003900C6">
        <w:rPr>
          <w:lang w:val="en-CA"/>
        </w:rPr>
        <w:t>expenditures</w:t>
      </w:r>
      <w:r w:rsidR="003900C6" w:rsidRPr="00E02273">
        <w:rPr>
          <w:lang w:val="en-CA"/>
        </w:rPr>
        <w:t xml:space="preserve"> </w:t>
      </w:r>
      <w:r w:rsidRPr="00E02273">
        <w:rPr>
          <w:lang w:val="en-CA"/>
        </w:rPr>
        <w:t xml:space="preserve">in </w:t>
      </w:r>
      <w:r w:rsidR="002D51A4" w:rsidRPr="00E02273">
        <w:rPr>
          <w:lang w:val="en-CA"/>
        </w:rPr>
        <w:t xml:space="preserve">Canada, </w:t>
      </w:r>
      <w:r w:rsidRPr="00E02273">
        <w:rPr>
          <w:lang w:val="en-CA"/>
        </w:rPr>
        <w:t xml:space="preserve">subjects that fall under the </w:t>
      </w:r>
      <w:r w:rsidR="002D51A4" w:rsidRPr="00E02273">
        <w:rPr>
          <w:lang w:val="en-CA"/>
        </w:rPr>
        <w:t>exclusive</w:t>
      </w:r>
      <w:r w:rsidRPr="00E02273">
        <w:rPr>
          <w:lang w:val="en-CA"/>
        </w:rPr>
        <w:t xml:space="preserve"> </w:t>
      </w:r>
      <w:r w:rsidR="002D51A4" w:rsidRPr="00E02273">
        <w:rPr>
          <w:lang w:val="en-CA"/>
        </w:rPr>
        <w:t>jurisdiction</w:t>
      </w:r>
      <w:r w:rsidRPr="00E02273">
        <w:rPr>
          <w:lang w:val="en-CA"/>
        </w:rPr>
        <w:t xml:space="preserve"> of the p</w:t>
      </w:r>
      <w:r w:rsidR="002D51A4" w:rsidRPr="00E02273">
        <w:rPr>
          <w:lang w:val="en-CA"/>
        </w:rPr>
        <w:t>rovinces.</w:t>
      </w:r>
      <w:r w:rsidR="002D51A4" w:rsidRPr="00E02273">
        <w:rPr>
          <w:i/>
          <w:lang w:val="en-CA"/>
        </w:rPr>
        <w:t xml:space="preserve"> </w:t>
      </w:r>
      <w:r w:rsidRPr="00E02273">
        <w:rPr>
          <w:lang w:val="en-CA"/>
        </w:rPr>
        <w:t>It therefore supports the</w:t>
      </w:r>
      <w:r w:rsidR="00880C38">
        <w:rPr>
          <w:lang w:val="en-CA"/>
        </w:rPr>
        <w:t xml:space="preserve"> arguments</w:t>
      </w:r>
      <w:r w:rsidRPr="00E02273">
        <w:rPr>
          <w:lang w:val="en-CA"/>
        </w:rPr>
        <w:t xml:space="preserve"> of the </w:t>
      </w:r>
      <w:r w:rsidR="002D51A4" w:rsidRPr="00E02273">
        <w:rPr>
          <w:lang w:val="en-CA"/>
        </w:rPr>
        <w:t>appel</w:t>
      </w:r>
      <w:r w:rsidRPr="00E02273">
        <w:rPr>
          <w:lang w:val="en-CA"/>
        </w:rPr>
        <w:t>l</w:t>
      </w:r>
      <w:r w:rsidR="002D51A4" w:rsidRPr="00E02273">
        <w:rPr>
          <w:lang w:val="en-CA"/>
        </w:rPr>
        <w:t>ants</w:t>
      </w:r>
      <w:r w:rsidRPr="00E02273">
        <w:rPr>
          <w:lang w:val="en-CA"/>
        </w:rPr>
        <w:t xml:space="preserve"> and of the </w:t>
      </w:r>
      <w:r w:rsidR="002D51A4" w:rsidRPr="00E02273">
        <w:rPr>
          <w:lang w:val="en-CA"/>
        </w:rPr>
        <w:t>Attorney</w:t>
      </w:r>
      <w:r w:rsidRPr="00E02273">
        <w:rPr>
          <w:lang w:val="en-CA"/>
        </w:rPr>
        <w:t xml:space="preserve"> </w:t>
      </w:r>
      <w:r w:rsidR="002D51A4" w:rsidRPr="00E02273">
        <w:rPr>
          <w:lang w:val="en-CA"/>
        </w:rPr>
        <w:t>General</w:t>
      </w:r>
      <w:r w:rsidRPr="00E02273">
        <w:rPr>
          <w:lang w:val="en-CA"/>
        </w:rPr>
        <w:t xml:space="preserve"> </w:t>
      </w:r>
      <w:r w:rsidR="002D51A4" w:rsidRPr="00E02273">
        <w:rPr>
          <w:lang w:val="en-CA"/>
        </w:rPr>
        <w:t>of</w:t>
      </w:r>
      <w:r w:rsidRPr="00E02273">
        <w:rPr>
          <w:lang w:val="en-CA"/>
        </w:rPr>
        <w:t xml:space="preserve"> </w:t>
      </w:r>
      <w:r w:rsidR="002D51A4" w:rsidRPr="00E02273">
        <w:rPr>
          <w:lang w:val="en-CA"/>
        </w:rPr>
        <w:t>Quebec</w:t>
      </w:r>
      <w:r w:rsidR="00D65FD1" w:rsidRPr="00E02273">
        <w:rPr>
          <w:lang w:val="en-CA"/>
        </w:rPr>
        <w:t xml:space="preserve"> with respect to the constitutional invalidity of the new re</w:t>
      </w:r>
      <w:r w:rsidR="002D51A4" w:rsidRPr="00E02273">
        <w:rPr>
          <w:lang w:val="en-CA"/>
        </w:rPr>
        <w:t xml:space="preserve">gime. </w:t>
      </w:r>
      <w:r w:rsidR="00D65FD1" w:rsidRPr="00E02273">
        <w:rPr>
          <w:lang w:val="en-CA"/>
        </w:rPr>
        <w:t xml:space="preserve">However, to avoid repeating the arguments already submitted, its brief is focussed on </w:t>
      </w:r>
      <w:r w:rsidR="002D51A4" w:rsidRPr="00E02273">
        <w:rPr>
          <w:lang w:val="en-CA"/>
        </w:rPr>
        <w:t>expl</w:t>
      </w:r>
      <w:r w:rsidR="00D65FD1" w:rsidRPr="00E02273">
        <w:rPr>
          <w:lang w:val="en-CA"/>
        </w:rPr>
        <w:t xml:space="preserve">aining why the </w:t>
      </w:r>
      <w:r w:rsidR="002D51A4" w:rsidRPr="00E02273">
        <w:rPr>
          <w:lang w:val="en-CA"/>
        </w:rPr>
        <w:t>trial</w:t>
      </w:r>
      <w:r w:rsidR="00D65FD1" w:rsidRPr="00E02273">
        <w:rPr>
          <w:lang w:val="en-CA"/>
        </w:rPr>
        <w:t xml:space="preserve"> </w:t>
      </w:r>
      <w:r w:rsidR="002D51A4" w:rsidRPr="00E02273">
        <w:rPr>
          <w:lang w:val="en-CA"/>
        </w:rPr>
        <w:t>judge</w:t>
      </w:r>
      <w:r w:rsidR="00D65FD1" w:rsidRPr="00E02273">
        <w:rPr>
          <w:lang w:val="en-CA"/>
        </w:rPr>
        <w:t xml:space="preserve"> should have taken the Board’s </w:t>
      </w:r>
      <w:r w:rsidR="002D51A4" w:rsidRPr="00E02273">
        <w:rPr>
          <w:lang w:val="en-CA"/>
        </w:rPr>
        <w:t>guidelines</w:t>
      </w:r>
      <w:r w:rsidR="00D65FD1" w:rsidRPr="00E02273">
        <w:rPr>
          <w:lang w:val="en-CA"/>
        </w:rPr>
        <w:t xml:space="preserve"> into account for the purpose of the constitutional </w:t>
      </w:r>
      <w:r w:rsidR="002D51A4" w:rsidRPr="00E02273">
        <w:rPr>
          <w:lang w:val="en-CA"/>
        </w:rPr>
        <w:t>analys</w:t>
      </w:r>
      <w:r w:rsidR="00D65FD1" w:rsidRPr="00E02273">
        <w:rPr>
          <w:lang w:val="en-CA"/>
        </w:rPr>
        <w:t>is</w:t>
      </w:r>
      <w:r w:rsidR="002D51A4" w:rsidRPr="00E02273">
        <w:rPr>
          <w:lang w:val="en-CA"/>
        </w:rPr>
        <w:t>.</w:t>
      </w:r>
    </w:p>
    <w:p w14:paraId="56932CB8" w14:textId="77777777" w:rsidR="00B568AD" w:rsidRPr="00E02273" w:rsidRDefault="002D51A4" w:rsidP="00B568AD">
      <w:pPr>
        <w:pStyle w:val="Paragraphe"/>
        <w:numPr>
          <w:ilvl w:val="0"/>
          <w:numId w:val="0"/>
        </w:numPr>
        <w:spacing w:line="240" w:lineRule="auto"/>
        <w:ind w:left="720" w:firstLine="720"/>
        <w:rPr>
          <w:i/>
          <w:u w:val="single"/>
          <w:lang w:val="en-CA"/>
        </w:rPr>
      </w:pPr>
      <w:r w:rsidRPr="00E02273">
        <w:rPr>
          <w:i/>
          <w:u w:val="single"/>
          <w:lang w:val="en-CA"/>
        </w:rPr>
        <w:t>Cystic Fibrosis Canada</w:t>
      </w:r>
    </w:p>
    <w:p w14:paraId="672760E3" w14:textId="4CADCB32" w:rsidR="00B568AD" w:rsidRPr="00E02273" w:rsidRDefault="00C94F03" w:rsidP="00075CA2">
      <w:pPr>
        <w:pStyle w:val="Paragraphe"/>
        <w:tabs>
          <w:tab w:val="num" w:pos="709"/>
        </w:tabs>
        <w:spacing w:line="240" w:lineRule="auto"/>
        <w:ind w:left="0"/>
        <w:rPr>
          <w:lang w:val="en-CA"/>
        </w:rPr>
      </w:pPr>
      <w:r w:rsidRPr="00E02273">
        <w:rPr>
          <w:lang w:val="en-CA"/>
        </w:rPr>
        <w:t>The</w:t>
      </w:r>
      <w:r w:rsidR="00AE087D" w:rsidRPr="00E02273">
        <w:rPr>
          <w:lang w:val="en-CA"/>
        </w:rPr>
        <w:t xml:space="preserve"> </w:t>
      </w:r>
      <w:r w:rsidR="002D51A4" w:rsidRPr="00E02273">
        <w:rPr>
          <w:lang w:val="en-CA"/>
        </w:rPr>
        <w:t>interven</w:t>
      </w:r>
      <w:r w:rsidR="00AE087D" w:rsidRPr="00E02273">
        <w:rPr>
          <w:lang w:val="en-CA"/>
        </w:rPr>
        <w:t xml:space="preserve">or </w:t>
      </w:r>
      <w:r w:rsidR="002D51A4" w:rsidRPr="00E02273">
        <w:rPr>
          <w:lang w:val="en-CA"/>
        </w:rPr>
        <w:t xml:space="preserve">Cystic Fibrosis Canada </w:t>
      </w:r>
      <w:r w:rsidR="00AE087D" w:rsidRPr="00E02273">
        <w:rPr>
          <w:lang w:val="en-CA"/>
        </w:rPr>
        <w:t xml:space="preserve">is a charitable organization whose </w:t>
      </w:r>
      <w:r w:rsidR="00991B72">
        <w:rPr>
          <w:lang w:val="en-CA"/>
        </w:rPr>
        <w:t xml:space="preserve">primary </w:t>
      </w:r>
      <w:r w:rsidR="00DF0E01" w:rsidRPr="00E02273">
        <w:rPr>
          <w:lang w:val="en-CA"/>
        </w:rPr>
        <w:t>mission</w:t>
      </w:r>
      <w:r w:rsidR="00AE087D" w:rsidRPr="00E02273">
        <w:rPr>
          <w:lang w:val="en-CA"/>
        </w:rPr>
        <w:t xml:space="preserve"> is to find a </w:t>
      </w:r>
      <w:r w:rsidR="00DF0E01" w:rsidRPr="00E02273">
        <w:rPr>
          <w:lang w:val="en-CA"/>
        </w:rPr>
        <w:t>cure for cystic fibrosis and to improve its treatment</w:t>
      </w:r>
      <w:r w:rsidR="002D51A4" w:rsidRPr="00E02273">
        <w:rPr>
          <w:lang w:val="en-CA"/>
        </w:rPr>
        <w:t>.</w:t>
      </w:r>
      <w:r w:rsidR="00DF0E01" w:rsidRPr="00E02273">
        <w:rPr>
          <w:lang w:val="en-CA"/>
        </w:rPr>
        <w:t xml:space="preserve"> Its </w:t>
      </w:r>
      <w:r w:rsidR="002D51A4" w:rsidRPr="00E02273">
        <w:rPr>
          <w:lang w:val="en-CA"/>
        </w:rPr>
        <w:t xml:space="preserve">intervention </w:t>
      </w:r>
      <w:r w:rsidR="00DF0E01" w:rsidRPr="00E02273">
        <w:rPr>
          <w:lang w:val="en-CA"/>
        </w:rPr>
        <w:t xml:space="preserve">is focussed mainly on the </w:t>
      </w:r>
      <w:r w:rsidR="00866E58" w:rsidRPr="00E02273">
        <w:rPr>
          <w:i/>
          <w:lang w:val="en-CA"/>
        </w:rPr>
        <w:t>2019 Regulatory Amendments</w:t>
      </w:r>
      <w:r w:rsidR="00DF0E01" w:rsidRPr="00E02273">
        <w:rPr>
          <w:lang w:val="en-CA"/>
        </w:rPr>
        <w:t xml:space="preserve">, which it claims seek to regulate the price of patented medicines outright to control pharmaceutical costs and </w:t>
      </w:r>
      <w:r w:rsidR="00991B72">
        <w:rPr>
          <w:lang w:val="en-CA"/>
        </w:rPr>
        <w:t>expenditures</w:t>
      </w:r>
      <w:r w:rsidR="00991B72" w:rsidRPr="00E02273">
        <w:rPr>
          <w:lang w:val="en-CA"/>
        </w:rPr>
        <w:t xml:space="preserve"> </w:t>
      </w:r>
      <w:r w:rsidR="00DF0E01" w:rsidRPr="00E02273">
        <w:rPr>
          <w:lang w:val="en-CA"/>
        </w:rPr>
        <w:t xml:space="preserve">in </w:t>
      </w:r>
      <w:r w:rsidR="002D51A4" w:rsidRPr="00E02273">
        <w:rPr>
          <w:lang w:val="en-CA"/>
        </w:rPr>
        <w:t xml:space="preserve">Canada, </w:t>
      </w:r>
      <w:r w:rsidR="00DF0E01" w:rsidRPr="00E02273">
        <w:rPr>
          <w:lang w:val="en-CA"/>
        </w:rPr>
        <w:t xml:space="preserve">subjects that do not fall within the </w:t>
      </w:r>
      <w:r w:rsidR="002D51A4" w:rsidRPr="00E02273">
        <w:rPr>
          <w:lang w:val="en-CA"/>
        </w:rPr>
        <w:t>federal</w:t>
      </w:r>
      <w:r w:rsidR="00DF0E01" w:rsidRPr="00E02273">
        <w:rPr>
          <w:lang w:val="en-CA"/>
        </w:rPr>
        <w:t xml:space="preserve"> </w:t>
      </w:r>
      <w:r w:rsidR="002D51A4" w:rsidRPr="00E02273">
        <w:rPr>
          <w:lang w:val="en-CA"/>
        </w:rPr>
        <w:t>jurisdiction</w:t>
      </w:r>
      <w:r w:rsidR="00DF0E01" w:rsidRPr="00E02273">
        <w:rPr>
          <w:lang w:val="en-CA"/>
        </w:rPr>
        <w:t xml:space="preserve"> over patents of invention and discovery</w:t>
      </w:r>
      <w:r w:rsidR="002D51A4" w:rsidRPr="00E02273">
        <w:rPr>
          <w:lang w:val="en-CA"/>
        </w:rPr>
        <w:t>.</w:t>
      </w:r>
    </w:p>
    <w:p w14:paraId="6CBCE0B2" w14:textId="51C6E20A" w:rsidR="00B568AD" w:rsidRPr="00E02273" w:rsidRDefault="004F73CC" w:rsidP="00075CA2">
      <w:pPr>
        <w:pStyle w:val="Paragraphe"/>
        <w:tabs>
          <w:tab w:val="num" w:pos="709"/>
        </w:tabs>
        <w:spacing w:line="240" w:lineRule="auto"/>
        <w:ind w:left="0"/>
        <w:rPr>
          <w:lang w:val="en-CA"/>
        </w:rPr>
      </w:pPr>
      <w:r w:rsidRPr="00E02273">
        <w:rPr>
          <w:lang w:val="en-CA"/>
        </w:rPr>
        <w:t xml:space="preserve">In its </w:t>
      </w:r>
      <w:r w:rsidR="002D51A4" w:rsidRPr="00E02273">
        <w:rPr>
          <w:lang w:val="en-CA"/>
        </w:rPr>
        <w:t>brief,</w:t>
      </w:r>
      <w:r w:rsidRPr="00E02273">
        <w:rPr>
          <w:lang w:val="en-CA"/>
        </w:rPr>
        <w:t xml:space="preserve"> it mainly addresses (</w:t>
      </w:r>
      <w:r w:rsidR="002D51A4" w:rsidRPr="00E02273">
        <w:rPr>
          <w:lang w:val="en-CA"/>
        </w:rPr>
        <w:t xml:space="preserve">a) </w:t>
      </w:r>
      <w:r w:rsidR="00FB52B7" w:rsidRPr="00E02273">
        <w:rPr>
          <w:lang w:val="en-CA"/>
        </w:rPr>
        <w:t xml:space="preserve">the deleterious </w:t>
      </w:r>
      <w:r w:rsidR="002D51A4" w:rsidRPr="00E02273">
        <w:rPr>
          <w:lang w:val="en-CA"/>
        </w:rPr>
        <w:t xml:space="preserve">impact </w:t>
      </w:r>
      <w:r w:rsidR="00FB52B7" w:rsidRPr="00E02273">
        <w:rPr>
          <w:lang w:val="en-CA"/>
        </w:rPr>
        <w:t>of the new regulations o</w:t>
      </w:r>
      <w:r w:rsidR="00465065">
        <w:rPr>
          <w:lang w:val="en-CA"/>
        </w:rPr>
        <w:t>n</w:t>
      </w:r>
      <w:r w:rsidR="00FB52B7" w:rsidRPr="00E02273">
        <w:rPr>
          <w:lang w:val="en-CA"/>
        </w:rPr>
        <w:t xml:space="preserve"> the availability of innovative medicines in the </w:t>
      </w:r>
      <w:r w:rsidR="002D51A4" w:rsidRPr="00E02273">
        <w:rPr>
          <w:lang w:val="en-CA"/>
        </w:rPr>
        <w:t>Canadian</w:t>
      </w:r>
      <w:r w:rsidR="00FB52B7" w:rsidRPr="00E02273">
        <w:rPr>
          <w:lang w:val="en-CA"/>
        </w:rPr>
        <w:t xml:space="preserve"> market, </w:t>
      </w:r>
      <w:r w:rsidR="002D51A4" w:rsidRPr="00E02273">
        <w:rPr>
          <w:lang w:val="en-CA"/>
        </w:rPr>
        <w:t>particul</w:t>
      </w:r>
      <w:r w:rsidR="00FB52B7" w:rsidRPr="00E02273">
        <w:rPr>
          <w:lang w:val="en-CA"/>
        </w:rPr>
        <w:t xml:space="preserve">arly those </w:t>
      </w:r>
      <w:r w:rsidR="00465065">
        <w:rPr>
          <w:lang w:val="en-CA"/>
        </w:rPr>
        <w:t xml:space="preserve">used </w:t>
      </w:r>
      <w:r w:rsidR="00FB52B7" w:rsidRPr="00E02273">
        <w:rPr>
          <w:lang w:val="en-CA"/>
        </w:rPr>
        <w:t xml:space="preserve">to treat cystic </w:t>
      </w:r>
      <w:r w:rsidR="002D51A4" w:rsidRPr="00E02273">
        <w:rPr>
          <w:lang w:val="en-CA"/>
        </w:rPr>
        <w:t>fibros</w:t>
      </w:r>
      <w:r w:rsidR="00FB52B7" w:rsidRPr="00E02273">
        <w:rPr>
          <w:lang w:val="en-CA"/>
        </w:rPr>
        <w:t>is and other rare diseases; and (</w:t>
      </w:r>
      <w:r w:rsidR="002D51A4" w:rsidRPr="00E02273">
        <w:rPr>
          <w:lang w:val="en-CA"/>
        </w:rPr>
        <w:t xml:space="preserve">b) </w:t>
      </w:r>
      <w:r w:rsidR="00FB52B7" w:rsidRPr="00E02273">
        <w:rPr>
          <w:lang w:val="en-CA"/>
        </w:rPr>
        <w:t xml:space="preserve">the adverse </w:t>
      </w:r>
      <w:r w:rsidR="002D51A4" w:rsidRPr="00E02273">
        <w:rPr>
          <w:lang w:val="en-CA"/>
        </w:rPr>
        <w:t>effe</w:t>
      </w:r>
      <w:r w:rsidR="00FB52B7" w:rsidRPr="00E02273">
        <w:rPr>
          <w:lang w:val="en-CA"/>
        </w:rPr>
        <w:t>c</w:t>
      </w:r>
      <w:r w:rsidR="002D51A4" w:rsidRPr="00E02273">
        <w:rPr>
          <w:lang w:val="en-CA"/>
        </w:rPr>
        <w:t xml:space="preserve">ts </w:t>
      </w:r>
      <w:r w:rsidR="00FB52B7" w:rsidRPr="00E02273">
        <w:rPr>
          <w:lang w:val="en-CA"/>
        </w:rPr>
        <w:t xml:space="preserve">of the new regulations </w:t>
      </w:r>
      <w:r w:rsidR="00DD4DE6" w:rsidRPr="00E02273">
        <w:rPr>
          <w:lang w:val="en-CA"/>
        </w:rPr>
        <w:t xml:space="preserve">on research and clinical trials in </w:t>
      </w:r>
      <w:r w:rsidR="002D51A4" w:rsidRPr="00E02273">
        <w:rPr>
          <w:lang w:val="en-CA"/>
        </w:rPr>
        <w:t xml:space="preserve">Canada, </w:t>
      </w:r>
      <w:r w:rsidR="00DD4DE6" w:rsidRPr="00E02273">
        <w:rPr>
          <w:lang w:val="en-CA"/>
        </w:rPr>
        <w:t>especially for medicines used to treat rare diseases</w:t>
      </w:r>
      <w:r w:rsidR="002D51A4" w:rsidRPr="00E02273">
        <w:rPr>
          <w:lang w:val="en-CA"/>
        </w:rPr>
        <w:t xml:space="preserve">. </w:t>
      </w:r>
    </w:p>
    <w:p w14:paraId="2504ECA6" w14:textId="4F1EC16C" w:rsidR="00B568AD" w:rsidRPr="00E02273" w:rsidRDefault="007B2BCD" w:rsidP="00075CA2">
      <w:pPr>
        <w:pStyle w:val="Paragraphe"/>
        <w:tabs>
          <w:tab w:val="num" w:pos="709"/>
        </w:tabs>
        <w:spacing w:line="240" w:lineRule="auto"/>
        <w:ind w:left="0"/>
        <w:rPr>
          <w:lang w:val="en-CA"/>
        </w:rPr>
      </w:pPr>
      <w:r w:rsidRPr="00E02273">
        <w:rPr>
          <w:lang w:val="en-CA"/>
        </w:rPr>
        <w:lastRenderedPageBreak/>
        <w:t xml:space="preserve">During his arguments, </w:t>
      </w:r>
      <w:r w:rsidR="002D51A4" w:rsidRPr="00E02273">
        <w:rPr>
          <w:lang w:val="en-CA"/>
        </w:rPr>
        <w:t>counsel</w:t>
      </w:r>
      <w:r w:rsidRPr="00E02273">
        <w:rPr>
          <w:lang w:val="en-CA"/>
        </w:rPr>
        <w:t xml:space="preserve"> for the intervenor noted that the </w:t>
      </w:r>
      <w:r w:rsidR="002D51A4" w:rsidRPr="00E02273">
        <w:rPr>
          <w:lang w:val="en-CA"/>
        </w:rPr>
        <w:t>argument</w:t>
      </w:r>
      <w:r w:rsidRPr="00E02273">
        <w:rPr>
          <w:lang w:val="en-CA"/>
        </w:rPr>
        <w:t xml:space="preserve"> </w:t>
      </w:r>
      <w:r w:rsidR="002D51A4" w:rsidRPr="00E02273">
        <w:rPr>
          <w:lang w:val="en-CA"/>
        </w:rPr>
        <w:t>presented</w:t>
      </w:r>
      <w:r w:rsidRPr="00E02273">
        <w:rPr>
          <w:lang w:val="en-CA"/>
        </w:rPr>
        <w:t xml:space="preserve"> does not concern the wisdo</w:t>
      </w:r>
      <w:r w:rsidR="008010EC" w:rsidRPr="00E02273">
        <w:rPr>
          <w:lang w:val="en-CA"/>
        </w:rPr>
        <w:t>m</w:t>
      </w:r>
      <w:r w:rsidRPr="00E02273">
        <w:rPr>
          <w:lang w:val="en-CA"/>
        </w:rPr>
        <w:t xml:space="preserve"> of the new regulations, but rather their </w:t>
      </w:r>
      <w:r w:rsidR="002D51A4" w:rsidRPr="00E02273">
        <w:rPr>
          <w:lang w:val="en-CA"/>
        </w:rPr>
        <w:t xml:space="preserve">impact </w:t>
      </w:r>
      <w:r w:rsidRPr="00E02273">
        <w:rPr>
          <w:lang w:val="en-CA"/>
        </w:rPr>
        <w:t xml:space="preserve">on </w:t>
      </w:r>
      <w:r w:rsidR="008010EC" w:rsidRPr="00E02273">
        <w:rPr>
          <w:lang w:val="en-CA"/>
        </w:rPr>
        <w:t xml:space="preserve">the </w:t>
      </w:r>
      <w:r w:rsidR="002D51A4" w:rsidRPr="00E02273">
        <w:rPr>
          <w:lang w:val="en-CA"/>
        </w:rPr>
        <w:t>provincial</w:t>
      </w:r>
      <w:r w:rsidRPr="00E02273">
        <w:rPr>
          <w:lang w:val="en-CA"/>
        </w:rPr>
        <w:t xml:space="preserve"> </w:t>
      </w:r>
      <w:r w:rsidR="002D51A4" w:rsidRPr="00E02273">
        <w:rPr>
          <w:lang w:val="en-CA"/>
        </w:rPr>
        <w:t>jurisdiction</w:t>
      </w:r>
      <w:r w:rsidRPr="00E02273">
        <w:rPr>
          <w:lang w:val="en-CA"/>
        </w:rPr>
        <w:t xml:space="preserve"> over health</w:t>
      </w:r>
      <w:r w:rsidR="002D51A4" w:rsidRPr="00E02273">
        <w:rPr>
          <w:lang w:val="en-CA"/>
        </w:rPr>
        <w:t xml:space="preserve">. </w:t>
      </w:r>
      <w:r w:rsidRPr="00E02273">
        <w:rPr>
          <w:lang w:val="en-CA"/>
        </w:rPr>
        <w:t xml:space="preserve">Because the new </w:t>
      </w:r>
      <w:r w:rsidR="002D51A4" w:rsidRPr="00E02273">
        <w:rPr>
          <w:lang w:val="en-CA"/>
        </w:rPr>
        <w:t>regulatory</w:t>
      </w:r>
      <w:r w:rsidRPr="00E02273">
        <w:rPr>
          <w:lang w:val="en-CA"/>
        </w:rPr>
        <w:t xml:space="preserve"> </w:t>
      </w:r>
      <w:r w:rsidR="00A27151" w:rsidRPr="00E02273">
        <w:rPr>
          <w:lang w:val="en-CA"/>
        </w:rPr>
        <w:t>regime</w:t>
      </w:r>
      <w:r w:rsidR="008010EC" w:rsidRPr="00E02273">
        <w:rPr>
          <w:lang w:val="en-CA"/>
        </w:rPr>
        <w:t xml:space="preserve"> will considerably limit the choices available to the provinces</w:t>
      </w:r>
      <w:r w:rsidR="00465065">
        <w:rPr>
          <w:lang w:val="en-CA"/>
        </w:rPr>
        <w:t>,</w:t>
      </w:r>
      <w:r w:rsidR="008010EC" w:rsidRPr="00E02273">
        <w:rPr>
          <w:lang w:val="en-CA"/>
        </w:rPr>
        <w:t xml:space="preserve"> since its likely effect will be to substantially reduce the </w:t>
      </w:r>
      <w:r w:rsidR="00CA329D" w:rsidRPr="00E02273">
        <w:rPr>
          <w:lang w:val="en-CA"/>
        </w:rPr>
        <w:t xml:space="preserve">supply of innovative medicines for </w:t>
      </w:r>
      <w:r w:rsidR="002D51A4" w:rsidRPr="00E02273">
        <w:rPr>
          <w:lang w:val="en-CA"/>
        </w:rPr>
        <w:t>Canadian</w:t>
      </w:r>
      <w:r w:rsidR="00CA329D" w:rsidRPr="00E02273">
        <w:rPr>
          <w:lang w:val="en-CA"/>
        </w:rPr>
        <w:t>s</w:t>
      </w:r>
      <w:r w:rsidR="002D51A4" w:rsidRPr="00E02273">
        <w:rPr>
          <w:lang w:val="en-CA"/>
        </w:rPr>
        <w:t>,</w:t>
      </w:r>
      <w:r w:rsidR="00CA329D" w:rsidRPr="00E02273">
        <w:rPr>
          <w:lang w:val="en-CA"/>
        </w:rPr>
        <w:t xml:space="preserve"> </w:t>
      </w:r>
      <w:r w:rsidR="002D51A4" w:rsidRPr="00E02273">
        <w:rPr>
          <w:lang w:val="en-CA"/>
        </w:rPr>
        <w:t>provincial</w:t>
      </w:r>
      <w:r w:rsidR="00CA329D" w:rsidRPr="00E02273">
        <w:rPr>
          <w:lang w:val="en-CA"/>
        </w:rPr>
        <w:t xml:space="preserve"> </w:t>
      </w:r>
      <w:r w:rsidR="002D51A4" w:rsidRPr="00E02273">
        <w:rPr>
          <w:lang w:val="en-CA"/>
        </w:rPr>
        <w:t>jurisdiction</w:t>
      </w:r>
      <w:r w:rsidR="00350EB3" w:rsidRPr="00E02273">
        <w:rPr>
          <w:lang w:val="en-CA"/>
        </w:rPr>
        <w:t xml:space="preserve"> over</w:t>
      </w:r>
      <w:r w:rsidR="00CA329D" w:rsidRPr="00E02273">
        <w:rPr>
          <w:lang w:val="en-CA"/>
        </w:rPr>
        <w:t xml:space="preserve"> treatment option</w:t>
      </w:r>
      <w:r w:rsidR="00473F6A" w:rsidRPr="00E02273">
        <w:rPr>
          <w:lang w:val="en-CA"/>
        </w:rPr>
        <w:t xml:space="preserve">s and opportunity costs for the provincial health </w:t>
      </w:r>
      <w:r w:rsidR="00465065">
        <w:rPr>
          <w:lang w:val="en-CA"/>
        </w:rPr>
        <w:t xml:space="preserve">and hospital </w:t>
      </w:r>
      <w:r w:rsidR="00FB60CB" w:rsidRPr="00E02273">
        <w:rPr>
          <w:lang w:val="en-CA"/>
        </w:rPr>
        <w:t>systems will necessarily be reduced</w:t>
      </w:r>
      <w:r w:rsidR="002D51A4" w:rsidRPr="00E02273">
        <w:rPr>
          <w:lang w:val="en-CA"/>
        </w:rPr>
        <w:t>.</w:t>
      </w:r>
    </w:p>
    <w:p w14:paraId="48F76A01" w14:textId="77777777" w:rsidR="00B568AD" w:rsidRPr="00E02273" w:rsidRDefault="002D51A4" w:rsidP="00B568AD">
      <w:pPr>
        <w:pStyle w:val="Paragraphe"/>
        <w:numPr>
          <w:ilvl w:val="0"/>
          <w:numId w:val="0"/>
        </w:numPr>
        <w:spacing w:before="240" w:line="240" w:lineRule="auto"/>
        <w:ind w:left="720" w:firstLine="720"/>
        <w:rPr>
          <w:i/>
          <w:u w:val="single"/>
          <w:lang w:val="en-CA"/>
        </w:rPr>
      </w:pPr>
      <w:r w:rsidRPr="00E02273">
        <w:rPr>
          <w:i/>
          <w:u w:val="single"/>
          <w:lang w:val="en-CA"/>
        </w:rPr>
        <w:t>Canadian Association for Rare Disorders</w:t>
      </w:r>
    </w:p>
    <w:p w14:paraId="56AA9010" w14:textId="09F70520" w:rsidR="00B568AD" w:rsidRPr="00E02273" w:rsidRDefault="00FB60CB" w:rsidP="00075CA2">
      <w:pPr>
        <w:pStyle w:val="Paragraphe"/>
        <w:tabs>
          <w:tab w:val="num" w:pos="709"/>
        </w:tabs>
        <w:spacing w:line="240" w:lineRule="auto"/>
        <w:ind w:left="0"/>
        <w:rPr>
          <w:lang w:val="en-CA"/>
        </w:rPr>
      </w:pPr>
      <w:r w:rsidRPr="00E02273">
        <w:rPr>
          <w:lang w:val="en-CA"/>
        </w:rPr>
        <w:t xml:space="preserve">The intervenor </w:t>
      </w:r>
      <w:r w:rsidR="002D51A4" w:rsidRPr="00E02273">
        <w:rPr>
          <w:lang w:val="en-CA"/>
        </w:rPr>
        <w:t>Canadian Association for Rare Disorders repr</w:t>
      </w:r>
      <w:r w:rsidRPr="00E02273">
        <w:rPr>
          <w:lang w:val="en-CA"/>
        </w:rPr>
        <w:t>e</w:t>
      </w:r>
      <w:r w:rsidR="002D51A4" w:rsidRPr="00E02273">
        <w:rPr>
          <w:lang w:val="en-CA"/>
        </w:rPr>
        <w:t>sent</w:t>
      </w:r>
      <w:r w:rsidR="0080697F" w:rsidRPr="00E02273">
        <w:rPr>
          <w:lang w:val="en-CA"/>
        </w:rPr>
        <w:t xml:space="preserve">s </w:t>
      </w:r>
      <w:r w:rsidR="002D51A4" w:rsidRPr="00E02273">
        <w:rPr>
          <w:lang w:val="en-CA"/>
        </w:rPr>
        <w:t xml:space="preserve">patients </w:t>
      </w:r>
      <w:r w:rsidR="0080697F" w:rsidRPr="00E02273">
        <w:rPr>
          <w:lang w:val="en-CA"/>
        </w:rPr>
        <w:t xml:space="preserve">suffering from rare disorders. It submits that the current regulatory </w:t>
      </w:r>
      <w:r w:rsidR="00465065">
        <w:rPr>
          <w:lang w:val="en-CA"/>
        </w:rPr>
        <w:t>framework</w:t>
      </w:r>
      <w:r w:rsidR="0080697F" w:rsidRPr="00E02273">
        <w:rPr>
          <w:lang w:val="en-CA"/>
        </w:rPr>
        <w:t xml:space="preserve">, in place since </w:t>
      </w:r>
      <w:r w:rsidR="002D51A4" w:rsidRPr="00E02273">
        <w:rPr>
          <w:lang w:val="en-CA"/>
        </w:rPr>
        <w:t>1993</w:t>
      </w:r>
      <w:r w:rsidR="0080697F" w:rsidRPr="00E02273">
        <w:rPr>
          <w:lang w:val="en-CA"/>
        </w:rPr>
        <w:t>, regulat</w:t>
      </w:r>
      <w:r w:rsidR="00465065">
        <w:rPr>
          <w:lang w:val="en-CA"/>
        </w:rPr>
        <w:t>es</w:t>
      </w:r>
      <w:r w:rsidR="0080697F" w:rsidRPr="00E02273">
        <w:rPr>
          <w:lang w:val="en-CA"/>
        </w:rPr>
        <w:t xml:space="preserve"> </w:t>
      </w:r>
      <w:r w:rsidR="00465065">
        <w:rPr>
          <w:lang w:val="en-CA"/>
        </w:rPr>
        <w:t xml:space="preserve">the </w:t>
      </w:r>
      <w:r w:rsidR="0080697F" w:rsidRPr="00E02273">
        <w:rPr>
          <w:lang w:val="en-CA"/>
        </w:rPr>
        <w:t xml:space="preserve">prices of patented medicines </w:t>
      </w:r>
      <w:r w:rsidR="000F067C" w:rsidRPr="00E02273">
        <w:rPr>
          <w:lang w:val="en-CA"/>
        </w:rPr>
        <w:t>to ensure</w:t>
      </w:r>
      <w:r w:rsidR="0080697F" w:rsidRPr="00E02273">
        <w:rPr>
          <w:lang w:val="en-CA"/>
        </w:rPr>
        <w:t xml:space="preserve"> that </w:t>
      </w:r>
      <w:r w:rsidR="000F067C" w:rsidRPr="00E02273">
        <w:rPr>
          <w:lang w:val="en-CA"/>
        </w:rPr>
        <w:t>they are sold at affordable prices.</w:t>
      </w:r>
      <w:r w:rsidR="002D51A4" w:rsidRPr="00E02273">
        <w:rPr>
          <w:rStyle w:val="Appelnotedebasdep"/>
          <w:lang w:val="en-CA"/>
        </w:rPr>
        <w:footnoteReference w:id="122"/>
      </w:r>
      <w:r w:rsidR="000F067C" w:rsidRPr="00E02273">
        <w:rPr>
          <w:lang w:val="en-CA"/>
        </w:rPr>
        <w:t xml:space="preserve"> The </w:t>
      </w:r>
      <w:r w:rsidR="00866E58" w:rsidRPr="00880C38">
        <w:rPr>
          <w:i/>
          <w:lang w:val="en-CA"/>
        </w:rPr>
        <w:t>2019 Regulatory Amendments</w:t>
      </w:r>
      <w:r w:rsidR="002D51A4" w:rsidRPr="00E02273">
        <w:rPr>
          <w:lang w:val="en-CA"/>
        </w:rPr>
        <w:t xml:space="preserve"> </w:t>
      </w:r>
      <w:r w:rsidR="000F067C" w:rsidRPr="00E02273">
        <w:rPr>
          <w:lang w:val="en-CA"/>
        </w:rPr>
        <w:t>simply reinforce that legislative objective</w:t>
      </w:r>
      <w:r w:rsidR="002D51A4" w:rsidRPr="00E02273">
        <w:rPr>
          <w:lang w:val="en-CA"/>
        </w:rPr>
        <w:t>.</w:t>
      </w:r>
    </w:p>
    <w:p w14:paraId="68659EA3" w14:textId="3FE4D19F" w:rsidR="00B568AD" w:rsidRPr="00E02273" w:rsidRDefault="00DA172B" w:rsidP="00075CA2">
      <w:pPr>
        <w:pStyle w:val="Paragraphe"/>
        <w:tabs>
          <w:tab w:val="num" w:pos="709"/>
        </w:tabs>
        <w:spacing w:line="240" w:lineRule="auto"/>
        <w:ind w:left="0"/>
        <w:rPr>
          <w:lang w:val="en-CA"/>
        </w:rPr>
      </w:pPr>
      <w:r w:rsidRPr="00E02273">
        <w:rPr>
          <w:lang w:val="en-CA"/>
        </w:rPr>
        <w:t xml:space="preserve">However, that objective has no connection with the </w:t>
      </w:r>
      <w:r w:rsidR="002D51A4" w:rsidRPr="00E02273">
        <w:rPr>
          <w:lang w:val="en-CA"/>
        </w:rPr>
        <w:t>federal</w:t>
      </w:r>
      <w:r w:rsidRPr="00E02273">
        <w:rPr>
          <w:lang w:val="en-CA"/>
        </w:rPr>
        <w:t xml:space="preserve"> </w:t>
      </w:r>
      <w:r w:rsidR="002D51A4" w:rsidRPr="00E02273">
        <w:rPr>
          <w:lang w:val="en-CA"/>
        </w:rPr>
        <w:t>jurisdiction</w:t>
      </w:r>
      <w:r w:rsidRPr="00E02273">
        <w:rPr>
          <w:lang w:val="en-CA"/>
        </w:rPr>
        <w:t xml:space="preserve"> over patents of </w:t>
      </w:r>
      <w:r w:rsidR="002D51A4" w:rsidRPr="00E02273">
        <w:rPr>
          <w:lang w:val="en-CA"/>
        </w:rPr>
        <w:t xml:space="preserve">invention </w:t>
      </w:r>
      <w:r w:rsidRPr="00E02273">
        <w:rPr>
          <w:lang w:val="en-CA"/>
        </w:rPr>
        <w:t>and discovery</w:t>
      </w:r>
      <w:r w:rsidR="002D51A4" w:rsidRPr="00E02273">
        <w:rPr>
          <w:lang w:val="en-CA"/>
        </w:rPr>
        <w:t xml:space="preserve">. </w:t>
      </w:r>
      <w:r w:rsidRPr="00E02273">
        <w:rPr>
          <w:lang w:val="en-CA"/>
        </w:rPr>
        <w:t xml:space="preserve">Rather, the purpose of that </w:t>
      </w:r>
      <w:r w:rsidR="002D51A4" w:rsidRPr="00E02273">
        <w:rPr>
          <w:lang w:val="en-CA"/>
        </w:rPr>
        <w:t>federal</w:t>
      </w:r>
      <w:r w:rsidRPr="00E02273">
        <w:rPr>
          <w:lang w:val="en-CA"/>
        </w:rPr>
        <w:t xml:space="preserve"> </w:t>
      </w:r>
      <w:r w:rsidR="002D51A4" w:rsidRPr="00E02273">
        <w:rPr>
          <w:lang w:val="en-CA"/>
        </w:rPr>
        <w:t>jurisdiction</w:t>
      </w:r>
      <w:r w:rsidRPr="00E02273">
        <w:rPr>
          <w:lang w:val="en-CA"/>
        </w:rPr>
        <w:t xml:space="preserve"> is to ensure </w:t>
      </w:r>
      <w:r w:rsidR="00E62AE4" w:rsidRPr="00E02273">
        <w:rPr>
          <w:lang w:val="en-CA"/>
        </w:rPr>
        <w:t xml:space="preserve">fair and sufficient consideration for investments in pharmaceutical research and development and </w:t>
      </w:r>
      <w:r w:rsidR="00465065">
        <w:rPr>
          <w:lang w:val="en-CA"/>
        </w:rPr>
        <w:t xml:space="preserve">to </w:t>
      </w:r>
      <w:r w:rsidR="00E62AE4" w:rsidRPr="00E02273">
        <w:rPr>
          <w:lang w:val="en-CA"/>
        </w:rPr>
        <w:t xml:space="preserve">control excessive prices </w:t>
      </w:r>
      <w:r w:rsidR="00465065">
        <w:rPr>
          <w:lang w:val="en-CA"/>
        </w:rPr>
        <w:t>o</w:t>
      </w:r>
      <w:r w:rsidR="00E62AE4" w:rsidRPr="00E02273">
        <w:rPr>
          <w:lang w:val="en-CA"/>
        </w:rPr>
        <w:t xml:space="preserve">f medicines that are akin to abuse of patent. Thus the current regime as a whole, like the </w:t>
      </w:r>
      <w:r w:rsidR="00866E58" w:rsidRPr="00E02273">
        <w:rPr>
          <w:i/>
          <w:lang w:val="en-CA"/>
        </w:rPr>
        <w:t>2019 Regulatory Amendments</w:t>
      </w:r>
      <w:r w:rsidR="002D51A4" w:rsidRPr="00E02273">
        <w:rPr>
          <w:i/>
          <w:lang w:val="en-CA"/>
        </w:rPr>
        <w:t>,</w:t>
      </w:r>
      <w:r w:rsidR="002D51A4" w:rsidRPr="00E02273">
        <w:rPr>
          <w:lang w:val="en-CA"/>
        </w:rPr>
        <w:t xml:space="preserve"> </w:t>
      </w:r>
      <w:r w:rsidR="00E62AE4" w:rsidRPr="00E02273">
        <w:rPr>
          <w:lang w:val="en-CA"/>
        </w:rPr>
        <w:t xml:space="preserve">is </w:t>
      </w:r>
      <w:r w:rsidR="002D51A4" w:rsidRPr="00E02273">
        <w:rPr>
          <w:i/>
          <w:lang w:val="en-CA"/>
        </w:rPr>
        <w:t>ultra</w:t>
      </w:r>
      <w:r w:rsidR="00E62AE4" w:rsidRPr="00E02273">
        <w:rPr>
          <w:i/>
          <w:lang w:val="en-CA"/>
        </w:rPr>
        <w:t xml:space="preserve"> </w:t>
      </w:r>
      <w:r w:rsidR="002D51A4" w:rsidRPr="00E02273">
        <w:rPr>
          <w:i/>
          <w:lang w:val="en-CA"/>
        </w:rPr>
        <w:t>vire</w:t>
      </w:r>
      <w:r w:rsidR="00E62AE4" w:rsidRPr="00E02273">
        <w:rPr>
          <w:i/>
          <w:lang w:val="en-CA"/>
        </w:rPr>
        <w:t xml:space="preserve">s </w:t>
      </w:r>
      <w:r w:rsidR="00E62AE4" w:rsidRPr="00E02273">
        <w:rPr>
          <w:lang w:val="en-CA"/>
        </w:rPr>
        <w:t xml:space="preserve">the </w:t>
      </w:r>
      <w:r w:rsidR="002D51A4" w:rsidRPr="00E02273">
        <w:rPr>
          <w:lang w:val="en-CA"/>
        </w:rPr>
        <w:t>federal</w:t>
      </w:r>
      <w:r w:rsidR="00E62AE4" w:rsidRPr="00E02273">
        <w:rPr>
          <w:lang w:val="en-CA"/>
        </w:rPr>
        <w:t xml:space="preserve"> </w:t>
      </w:r>
      <w:r w:rsidR="002D51A4" w:rsidRPr="00E02273">
        <w:rPr>
          <w:lang w:val="en-CA"/>
        </w:rPr>
        <w:t>jurisdiction.</w:t>
      </w:r>
    </w:p>
    <w:p w14:paraId="1D83B17A" w14:textId="7099A2CC" w:rsidR="00B568AD" w:rsidRPr="00E02273" w:rsidRDefault="00E62AE4" w:rsidP="00B568AD">
      <w:pPr>
        <w:pStyle w:val="Paragraphe"/>
        <w:numPr>
          <w:ilvl w:val="0"/>
          <w:numId w:val="0"/>
        </w:numPr>
        <w:spacing w:line="240" w:lineRule="auto"/>
        <w:ind w:left="720" w:firstLine="720"/>
        <w:rPr>
          <w:i/>
          <w:u w:val="single"/>
          <w:lang w:val="en-CA"/>
        </w:rPr>
      </w:pPr>
      <w:r w:rsidRPr="00E02273">
        <w:rPr>
          <w:i/>
          <w:u w:val="single"/>
          <w:lang w:val="en-CA"/>
        </w:rPr>
        <w:t>The other intervenors</w:t>
      </w:r>
    </w:p>
    <w:p w14:paraId="603C5C20" w14:textId="49F64670" w:rsidR="00B568AD" w:rsidRPr="00E02273" w:rsidRDefault="002D51A4" w:rsidP="00075CA2">
      <w:pPr>
        <w:pStyle w:val="Paragraphe"/>
        <w:tabs>
          <w:tab w:val="num" w:pos="709"/>
        </w:tabs>
        <w:spacing w:before="240" w:line="240" w:lineRule="auto"/>
        <w:ind w:left="0"/>
        <w:rPr>
          <w:lang w:val="en-CA"/>
        </w:rPr>
      </w:pPr>
      <w:r w:rsidRPr="00E02273">
        <w:rPr>
          <w:lang w:val="en-CA"/>
        </w:rPr>
        <w:t xml:space="preserve">The Intellectual Property Owners Association </w:t>
      </w:r>
      <w:r w:rsidR="00E62AE4" w:rsidRPr="00E02273">
        <w:rPr>
          <w:lang w:val="en-CA"/>
        </w:rPr>
        <w:t xml:space="preserve">did not appear on appeal, while the intervenor </w:t>
      </w:r>
      <w:r w:rsidRPr="00E02273">
        <w:rPr>
          <w:lang w:val="en-CA"/>
        </w:rPr>
        <w:t xml:space="preserve">BIOTECanada </w:t>
      </w:r>
      <w:r w:rsidR="00E62AE4" w:rsidRPr="00E02273">
        <w:rPr>
          <w:lang w:val="en-CA"/>
        </w:rPr>
        <w:t xml:space="preserve">did not file an appeal </w:t>
      </w:r>
      <w:r w:rsidRPr="00E02273">
        <w:rPr>
          <w:lang w:val="en-CA"/>
        </w:rPr>
        <w:t>brief.</w:t>
      </w:r>
    </w:p>
    <w:p w14:paraId="561308D6" w14:textId="17EBD159" w:rsidR="00B568AD" w:rsidRPr="00E02273" w:rsidRDefault="002D51A4" w:rsidP="00B568AD">
      <w:pPr>
        <w:pStyle w:val="Paragraphe"/>
        <w:numPr>
          <w:ilvl w:val="0"/>
          <w:numId w:val="0"/>
        </w:numPr>
        <w:spacing w:line="240" w:lineRule="auto"/>
        <w:rPr>
          <w:b/>
          <w:u w:val="single"/>
          <w:lang w:val="en-CA"/>
        </w:rPr>
      </w:pPr>
      <w:r w:rsidRPr="00E02273">
        <w:rPr>
          <w:b/>
          <w:u w:val="single"/>
          <w:lang w:val="en-CA"/>
        </w:rPr>
        <w:t>V</w:t>
      </w:r>
      <w:r w:rsidR="00AF7432">
        <w:rPr>
          <w:b/>
          <w:u w:val="single"/>
          <w:lang w:val="en-CA"/>
        </w:rPr>
        <w:t xml:space="preserve"> </w:t>
      </w:r>
      <w:r w:rsidR="008A1861">
        <w:rPr>
          <w:b/>
          <w:u w:val="single"/>
          <w:lang w:val="en-CA"/>
        </w:rPr>
        <w:t>-</w:t>
      </w:r>
      <w:r w:rsidR="00AF7432">
        <w:rPr>
          <w:b/>
          <w:u w:val="single"/>
          <w:lang w:val="en-CA"/>
        </w:rPr>
        <w:t xml:space="preserve"> </w:t>
      </w:r>
      <w:r w:rsidR="00E62AE4" w:rsidRPr="00E02273">
        <w:rPr>
          <w:b/>
          <w:u w:val="single"/>
          <w:lang w:val="en-CA"/>
        </w:rPr>
        <w:t>ISSUES</w:t>
      </w:r>
    </w:p>
    <w:p w14:paraId="3346DBE6" w14:textId="5CE74B93" w:rsidR="00B568AD" w:rsidRPr="00E02273" w:rsidRDefault="00AB3BB7" w:rsidP="002B0EAD">
      <w:pPr>
        <w:pStyle w:val="Paragraphe"/>
        <w:tabs>
          <w:tab w:val="num" w:pos="709"/>
        </w:tabs>
        <w:spacing w:line="240" w:lineRule="auto"/>
        <w:ind w:left="0"/>
        <w:rPr>
          <w:lang w:val="en-CA"/>
        </w:rPr>
      </w:pPr>
      <w:r w:rsidRPr="00E02273">
        <w:rPr>
          <w:lang w:val="en-CA"/>
        </w:rPr>
        <w:t xml:space="preserve">The </w:t>
      </w:r>
      <w:r w:rsidR="002D51A4" w:rsidRPr="00E02273">
        <w:rPr>
          <w:lang w:val="en-CA"/>
        </w:rPr>
        <w:t>appeal</w:t>
      </w:r>
      <w:r w:rsidRPr="00E02273">
        <w:rPr>
          <w:lang w:val="en-CA"/>
        </w:rPr>
        <w:t xml:space="preserve"> and the incidental appeal concern the </w:t>
      </w:r>
      <w:r w:rsidR="002D51A4" w:rsidRPr="00E02273">
        <w:rPr>
          <w:lang w:val="en-CA"/>
        </w:rPr>
        <w:t>constitution</w:t>
      </w:r>
      <w:r w:rsidRPr="00E02273">
        <w:rPr>
          <w:lang w:val="en-CA"/>
        </w:rPr>
        <w:t>ality of the spec</w:t>
      </w:r>
      <w:r w:rsidR="00453196" w:rsidRPr="00E02273">
        <w:rPr>
          <w:lang w:val="en-CA"/>
        </w:rPr>
        <w:t>ial</w:t>
      </w:r>
      <w:r w:rsidRPr="00E02273">
        <w:rPr>
          <w:lang w:val="en-CA"/>
        </w:rPr>
        <w:t xml:space="preserve"> regime for </w:t>
      </w:r>
      <w:r w:rsidR="005E715F">
        <w:rPr>
          <w:lang w:val="en-CA"/>
        </w:rPr>
        <w:t xml:space="preserve">protected or </w:t>
      </w:r>
      <w:r w:rsidRPr="00E02273">
        <w:rPr>
          <w:lang w:val="en-CA"/>
        </w:rPr>
        <w:t xml:space="preserve">patented medicines set out in the </w:t>
      </w:r>
      <w:r w:rsidR="00453196" w:rsidRPr="00E02273">
        <w:rPr>
          <w:i/>
          <w:lang w:val="en-CA"/>
        </w:rPr>
        <w:t>Patent Act</w:t>
      </w:r>
      <w:r w:rsidR="00453196" w:rsidRPr="00E02273">
        <w:rPr>
          <w:lang w:val="en-CA"/>
        </w:rPr>
        <w:t xml:space="preserve">, the </w:t>
      </w:r>
      <w:r w:rsidR="00453196" w:rsidRPr="00E02273">
        <w:rPr>
          <w:i/>
          <w:lang w:val="en-CA"/>
        </w:rPr>
        <w:t>Patented Medicines Regulations</w:t>
      </w:r>
      <w:r w:rsidR="00453196" w:rsidRPr="00E02273">
        <w:rPr>
          <w:lang w:val="en-CA"/>
        </w:rPr>
        <w:t xml:space="preserve">, and the </w:t>
      </w:r>
      <w:r w:rsidR="00866E58" w:rsidRPr="00E02273">
        <w:rPr>
          <w:i/>
          <w:lang w:val="en-CA"/>
        </w:rPr>
        <w:t>2019 Regulatory Amendments</w:t>
      </w:r>
      <w:r w:rsidR="002D51A4" w:rsidRPr="00E02273">
        <w:rPr>
          <w:lang w:val="en-CA"/>
        </w:rPr>
        <w:t xml:space="preserve">.  </w:t>
      </w:r>
    </w:p>
    <w:p w14:paraId="406EDE72" w14:textId="34ABB032" w:rsidR="00B568AD" w:rsidRPr="00E02273" w:rsidRDefault="003365F4" w:rsidP="002B0EAD">
      <w:pPr>
        <w:pStyle w:val="Paragraphe"/>
        <w:tabs>
          <w:tab w:val="num" w:pos="709"/>
        </w:tabs>
        <w:spacing w:line="240" w:lineRule="auto"/>
        <w:ind w:left="0"/>
        <w:rPr>
          <w:lang w:val="en-CA"/>
        </w:rPr>
      </w:pPr>
      <w:r w:rsidRPr="00E02273">
        <w:rPr>
          <w:lang w:val="en-CA"/>
        </w:rPr>
        <w:t xml:space="preserve">Note that the </w:t>
      </w:r>
      <w:r w:rsidR="002D51A4" w:rsidRPr="00E02273">
        <w:rPr>
          <w:lang w:val="en-CA"/>
        </w:rPr>
        <w:t>Attorney</w:t>
      </w:r>
      <w:r w:rsidR="00CB4ABD" w:rsidRPr="00E02273">
        <w:rPr>
          <w:lang w:val="en-CA"/>
        </w:rPr>
        <w:t xml:space="preserve"> </w:t>
      </w:r>
      <w:r w:rsidR="002D51A4" w:rsidRPr="00E02273">
        <w:rPr>
          <w:lang w:val="en-CA"/>
        </w:rPr>
        <w:t>General</w:t>
      </w:r>
      <w:r w:rsidR="00CB4ABD" w:rsidRPr="00E02273">
        <w:rPr>
          <w:lang w:val="en-CA"/>
        </w:rPr>
        <w:t xml:space="preserve"> </w:t>
      </w:r>
      <w:r w:rsidR="002D51A4" w:rsidRPr="00E02273">
        <w:rPr>
          <w:lang w:val="en-CA"/>
        </w:rPr>
        <w:t>of</w:t>
      </w:r>
      <w:r w:rsidR="00CB4ABD" w:rsidRPr="00E02273">
        <w:rPr>
          <w:lang w:val="en-CA"/>
        </w:rPr>
        <w:t xml:space="preserve"> </w:t>
      </w:r>
      <w:r w:rsidR="002D51A4" w:rsidRPr="00E02273">
        <w:rPr>
          <w:lang w:val="en-CA"/>
        </w:rPr>
        <w:t>Canada</w:t>
      </w:r>
      <w:r w:rsidR="00CB4ABD" w:rsidRPr="00E02273">
        <w:rPr>
          <w:lang w:val="en-CA"/>
        </w:rPr>
        <w:t xml:space="preserve"> </w:t>
      </w:r>
      <w:r w:rsidR="002D51A4" w:rsidRPr="00E02273">
        <w:rPr>
          <w:lang w:val="en-CA"/>
        </w:rPr>
        <w:t>raises</w:t>
      </w:r>
      <w:r w:rsidR="00CB4ABD" w:rsidRPr="00E02273">
        <w:rPr>
          <w:lang w:val="en-CA"/>
        </w:rPr>
        <w:t xml:space="preserve"> no other </w:t>
      </w:r>
      <w:r w:rsidR="001C0DAE" w:rsidRPr="00E02273">
        <w:rPr>
          <w:lang w:val="en-CA"/>
        </w:rPr>
        <w:t>head of power</w:t>
      </w:r>
      <w:r w:rsidR="00CB4ABD" w:rsidRPr="00E02273">
        <w:rPr>
          <w:lang w:val="en-CA"/>
        </w:rPr>
        <w:t xml:space="preserve"> in support of the </w:t>
      </w:r>
      <w:r w:rsidR="002D51A4" w:rsidRPr="00E02273">
        <w:rPr>
          <w:lang w:val="en-CA"/>
        </w:rPr>
        <w:t>constitutional</w:t>
      </w:r>
      <w:r w:rsidR="00CB4ABD" w:rsidRPr="00E02273">
        <w:rPr>
          <w:lang w:val="en-CA"/>
        </w:rPr>
        <w:t xml:space="preserve">ity of its </w:t>
      </w:r>
      <w:r w:rsidR="00CB4ABD" w:rsidRPr="00E02273">
        <w:rPr>
          <w:i/>
          <w:lang w:val="en-CA"/>
        </w:rPr>
        <w:t>Act</w:t>
      </w:r>
      <w:r w:rsidR="00CB4ABD" w:rsidRPr="00E02273">
        <w:rPr>
          <w:lang w:val="en-CA"/>
        </w:rPr>
        <w:t xml:space="preserve"> and </w:t>
      </w:r>
      <w:r w:rsidR="00CB4ABD" w:rsidRPr="00E02273">
        <w:rPr>
          <w:i/>
          <w:lang w:val="en-CA"/>
        </w:rPr>
        <w:t>Regulations</w:t>
      </w:r>
      <w:r w:rsidR="00CB4ABD" w:rsidRPr="00E02273">
        <w:rPr>
          <w:lang w:val="en-CA"/>
        </w:rPr>
        <w:t xml:space="preserve"> concerning the price of patented medicines</w:t>
      </w:r>
      <w:r w:rsidR="002D51A4" w:rsidRPr="00E02273">
        <w:rPr>
          <w:lang w:val="en-CA"/>
        </w:rPr>
        <w:t xml:space="preserve">. </w:t>
      </w:r>
      <w:r w:rsidR="00CB4ABD" w:rsidRPr="00E02273">
        <w:rPr>
          <w:lang w:val="en-CA"/>
        </w:rPr>
        <w:t xml:space="preserve">Neither the </w:t>
      </w:r>
      <w:r w:rsidR="002D51A4" w:rsidRPr="00E02273">
        <w:rPr>
          <w:lang w:val="en-CA"/>
        </w:rPr>
        <w:t>jurisdiction</w:t>
      </w:r>
      <w:r w:rsidR="00CB4ABD" w:rsidRPr="00E02273">
        <w:rPr>
          <w:lang w:val="en-CA"/>
        </w:rPr>
        <w:t xml:space="preserve"> over </w:t>
      </w:r>
      <w:r w:rsidR="002D51A4" w:rsidRPr="00E02273">
        <w:rPr>
          <w:lang w:val="en-CA"/>
        </w:rPr>
        <w:t>criminal</w:t>
      </w:r>
      <w:r w:rsidR="00CB4ABD" w:rsidRPr="00E02273">
        <w:rPr>
          <w:lang w:val="en-CA"/>
        </w:rPr>
        <w:t xml:space="preserve"> </w:t>
      </w:r>
      <w:r w:rsidR="002D51A4" w:rsidRPr="00E02273">
        <w:rPr>
          <w:lang w:val="en-CA"/>
        </w:rPr>
        <w:t>law</w:t>
      </w:r>
      <w:r w:rsidR="00CB4ABD" w:rsidRPr="00E02273">
        <w:rPr>
          <w:lang w:val="en-CA"/>
        </w:rPr>
        <w:t xml:space="preserve"> underlying the </w:t>
      </w:r>
      <w:r w:rsidR="00CB4ABD" w:rsidRPr="00E02273">
        <w:rPr>
          <w:i/>
          <w:lang w:val="en-CA"/>
        </w:rPr>
        <w:t xml:space="preserve">Food and Drugs Act </w:t>
      </w:r>
      <w:r w:rsidR="00CB4ABD" w:rsidRPr="00E02273">
        <w:rPr>
          <w:lang w:val="en-CA"/>
        </w:rPr>
        <w:t xml:space="preserve">and the </w:t>
      </w:r>
      <w:r w:rsidR="00CB4ABD" w:rsidRPr="00E02273">
        <w:rPr>
          <w:i/>
          <w:lang w:val="en-CA"/>
        </w:rPr>
        <w:t xml:space="preserve">Competition </w:t>
      </w:r>
      <w:r w:rsidR="00CB4ABD" w:rsidRPr="00E02273">
        <w:rPr>
          <w:lang w:val="en-CA"/>
        </w:rPr>
        <w:t>Act</w:t>
      </w:r>
      <w:r w:rsidR="005A753E" w:rsidRPr="00E02273">
        <w:rPr>
          <w:lang w:val="en-CA"/>
        </w:rPr>
        <w:t xml:space="preserve">, nor any other </w:t>
      </w:r>
      <w:r w:rsidR="002D51A4" w:rsidRPr="00E02273">
        <w:rPr>
          <w:lang w:val="en-CA"/>
        </w:rPr>
        <w:t>federal</w:t>
      </w:r>
      <w:r w:rsidR="005A753E" w:rsidRPr="00E02273">
        <w:rPr>
          <w:lang w:val="en-CA"/>
        </w:rPr>
        <w:t xml:space="preserve"> </w:t>
      </w:r>
      <w:r w:rsidR="002D51A4" w:rsidRPr="00E02273">
        <w:rPr>
          <w:lang w:val="en-CA"/>
        </w:rPr>
        <w:t>jurisdiction</w:t>
      </w:r>
      <w:r w:rsidR="000410D0" w:rsidRPr="00E02273">
        <w:rPr>
          <w:lang w:val="en-CA"/>
        </w:rPr>
        <w:t>,</w:t>
      </w:r>
      <w:r w:rsidR="005A753E" w:rsidRPr="00E02273">
        <w:rPr>
          <w:lang w:val="en-CA"/>
        </w:rPr>
        <w:t xml:space="preserve"> was the subject of </w:t>
      </w:r>
      <w:r w:rsidR="002D51A4" w:rsidRPr="00E02273">
        <w:rPr>
          <w:lang w:val="en-CA"/>
        </w:rPr>
        <w:t>debate</w:t>
      </w:r>
      <w:r w:rsidR="005A753E" w:rsidRPr="00E02273">
        <w:rPr>
          <w:lang w:val="en-CA"/>
        </w:rPr>
        <w:t xml:space="preserve"> before the </w:t>
      </w:r>
      <w:r w:rsidR="002D51A4" w:rsidRPr="00E02273">
        <w:rPr>
          <w:lang w:val="en-CA"/>
        </w:rPr>
        <w:t>Superior</w:t>
      </w:r>
      <w:r w:rsidR="005A753E" w:rsidRPr="00E02273">
        <w:rPr>
          <w:lang w:val="en-CA"/>
        </w:rPr>
        <w:t xml:space="preserve"> </w:t>
      </w:r>
      <w:r w:rsidR="002D51A4" w:rsidRPr="00E02273">
        <w:rPr>
          <w:lang w:val="en-CA"/>
        </w:rPr>
        <w:t xml:space="preserve">Court </w:t>
      </w:r>
      <w:r w:rsidR="005A753E" w:rsidRPr="00E02273">
        <w:rPr>
          <w:lang w:val="en-CA"/>
        </w:rPr>
        <w:t xml:space="preserve">or this </w:t>
      </w:r>
      <w:r w:rsidR="002D51A4" w:rsidRPr="00E02273">
        <w:rPr>
          <w:lang w:val="en-CA"/>
        </w:rPr>
        <w:t xml:space="preserve">Court. </w:t>
      </w:r>
    </w:p>
    <w:p w14:paraId="785897B9" w14:textId="2FAD7977" w:rsidR="00B568AD" w:rsidRPr="00E02273" w:rsidRDefault="001615E0" w:rsidP="002B0EAD">
      <w:pPr>
        <w:pStyle w:val="Paragraphe"/>
        <w:tabs>
          <w:tab w:val="num" w:pos="709"/>
        </w:tabs>
        <w:spacing w:line="240" w:lineRule="auto"/>
        <w:ind w:left="0"/>
        <w:rPr>
          <w:lang w:val="en-CA"/>
        </w:rPr>
      </w:pPr>
      <w:r w:rsidRPr="00E02273">
        <w:rPr>
          <w:lang w:val="en-CA"/>
        </w:rPr>
        <w:t xml:space="preserve">Nor does the </w:t>
      </w:r>
      <w:r w:rsidR="002D51A4" w:rsidRPr="00E02273">
        <w:rPr>
          <w:lang w:val="en-CA"/>
        </w:rPr>
        <w:t>appeal</w:t>
      </w:r>
      <w:r w:rsidRPr="00E02273">
        <w:rPr>
          <w:lang w:val="en-CA"/>
        </w:rPr>
        <w:t xml:space="preserve"> concern whether the </w:t>
      </w:r>
      <w:r w:rsidRPr="00E02273">
        <w:rPr>
          <w:i/>
          <w:lang w:val="en-CA"/>
        </w:rPr>
        <w:t xml:space="preserve">Patented Medicines Regulations </w:t>
      </w:r>
      <w:r w:rsidRPr="00E02273">
        <w:rPr>
          <w:lang w:val="en-CA"/>
        </w:rPr>
        <w:t xml:space="preserve">or the </w:t>
      </w:r>
      <w:r w:rsidRPr="00E02273">
        <w:rPr>
          <w:i/>
          <w:lang w:val="en-CA"/>
        </w:rPr>
        <w:t>2019 Regulatory Amendments</w:t>
      </w:r>
      <w:r w:rsidRPr="00E02273">
        <w:rPr>
          <w:lang w:val="en-CA"/>
        </w:rPr>
        <w:t xml:space="preserve"> </w:t>
      </w:r>
      <w:r w:rsidR="005E715F">
        <w:rPr>
          <w:lang w:val="en-CA"/>
        </w:rPr>
        <w:t xml:space="preserve">are </w:t>
      </w:r>
      <w:r w:rsidRPr="00E02273">
        <w:rPr>
          <w:lang w:val="en-CA"/>
        </w:rPr>
        <w:t>i</w:t>
      </w:r>
      <w:r w:rsidR="002D51A4" w:rsidRPr="00E02273">
        <w:rPr>
          <w:lang w:val="en-CA"/>
        </w:rPr>
        <w:t>nvalid</w:t>
      </w:r>
      <w:r w:rsidRPr="00E02273">
        <w:rPr>
          <w:lang w:val="en-CA"/>
        </w:rPr>
        <w:t xml:space="preserve"> because</w:t>
      </w:r>
      <w:r w:rsidR="00AE7DD9" w:rsidRPr="00E02273">
        <w:rPr>
          <w:lang w:val="en-CA"/>
        </w:rPr>
        <w:t xml:space="preserve"> they exceed the mandate granted by </w:t>
      </w:r>
      <w:r w:rsidR="002D51A4" w:rsidRPr="00E02273">
        <w:rPr>
          <w:lang w:val="en-CA"/>
        </w:rPr>
        <w:lastRenderedPageBreak/>
        <w:t>Parliament</w:t>
      </w:r>
      <w:r w:rsidR="0083783A" w:rsidRPr="00E02273">
        <w:rPr>
          <w:lang w:val="en-CA"/>
        </w:rPr>
        <w:t xml:space="preserve"> in the </w:t>
      </w:r>
      <w:r w:rsidR="0083783A" w:rsidRPr="00E02273">
        <w:rPr>
          <w:i/>
          <w:lang w:val="en-CA"/>
        </w:rPr>
        <w:t>Patent Act</w:t>
      </w:r>
      <w:r w:rsidR="002D51A4" w:rsidRPr="00E02273">
        <w:rPr>
          <w:i/>
          <w:lang w:val="en-CA"/>
        </w:rPr>
        <w:t>.</w:t>
      </w:r>
      <w:r w:rsidR="002D51A4" w:rsidRPr="00E02273">
        <w:rPr>
          <w:lang w:val="en-CA"/>
        </w:rPr>
        <w:t xml:space="preserve"> </w:t>
      </w:r>
      <w:r w:rsidR="0083783A" w:rsidRPr="00E02273">
        <w:rPr>
          <w:lang w:val="en-CA"/>
        </w:rPr>
        <w:t xml:space="preserve">That issue, at least with respect to the </w:t>
      </w:r>
      <w:r w:rsidR="00866E58" w:rsidRPr="00E02273">
        <w:rPr>
          <w:i/>
          <w:lang w:val="en-CA"/>
        </w:rPr>
        <w:t>2019 Regulatory Amendments</w:t>
      </w:r>
      <w:r w:rsidR="002D51A4" w:rsidRPr="00E02273">
        <w:rPr>
          <w:lang w:val="en-CA"/>
        </w:rPr>
        <w:t xml:space="preserve">, </w:t>
      </w:r>
      <w:r w:rsidR="0083783A" w:rsidRPr="00E02273">
        <w:rPr>
          <w:lang w:val="en-CA"/>
        </w:rPr>
        <w:t xml:space="preserve">was </w:t>
      </w:r>
      <w:r w:rsidR="00745FC8">
        <w:rPr>
          <w:lang w:val="en-CA"/>
        </w:rPr>
        <w:t xml:space="preserve">addressed in </w:t>
      </w:r>
      <w:r w:rsidR="0083783A" w:rsidRPr="00E02273">
        <w:rPr>
          <w:lang w:val="en-CA"/>
        </w:rPr>
        <w:t xml:space="preserve">a recent judgment of the </w:t>
      </w:r>
      <w:r w:rsidR="002D51A4" w:rsidRPr="00E02273">
        <w:rPr>
          <w:lang w:val="en-CA"/>
        </w:rPr>
        <w:t>Federal</w:t>
      </w:r>
      <w:r w:rsidR="0083783A" w:rsidRPr="00E02273">
        <w:rPr>
          <w:lang w:val="en-CA"/>
        </w:rPr>
        <w:t xml:space="preserve"> </w:t>
      </w:r>
      <w:r w:rsidR="002D51A4" w:rsidRPr="00E02273">
        <w:rPr>
          <w:lang w:val="en-CA"/>
        </w:rPr>
        <w:t>Court</w:t>
      </w:r>
      <w:r w:rsidR="0083783A" w:rsidRPr="00E02273">
        <w:rPr>
          <w:lang w:val="en-CA"/>
        </w:rPr>
        <w:t xml:space="preserve"> in </w:t>
      </w:r>
      <w:r w:rsidR="0083783A" w:rsidRPr="00E02273">
        <w:rPr>
          <w:i/>
          <w:lang w:val="en-CA"/>
        </w:rPr>
        <w:t>Innovative Medicines Canada</w:t>
      </w:r>
      <w:r w:rsidR="0083783A" w:rsidRPr="00E02273">
        <w:rPr>
          <w:lang w:val="en-CA"/>
        </w:rPr>
        <w:t xml:space="preserve">, which has been </w:t>
      </w:r>
      <w:r w:rsidR="002D51A4" w:rsidRPr="00E02273">
        <w:rPr>
          <w:lang w:val="en-CA"/>
        </w:rPr>
        <w:t>appeal</w:t>
      </w:r>
      <w:r w:rsidR="0083783A" w:rsidRPr="00E02273">
        <w:rPr>
          <w:lang w:val="en-CA"/>
        </w:rPr>
        <w:t xml:space="preserve">ed before the Federal </w:t>
      </w:r>
      <w:r w:rsidR="002D51A4" w:rsidRPr="00E02273">
        <w:rPr>
          <w:lang w:val="en-CA"/>
        </w:rPr>
        <w:t>Cour</w:t>
      </w:r>
      <w:r w:rsidR="0083783A" w:rsidRPr="00E02273">
        <w:rPr>
          <w:lang w:val="en-CA"/>
        </w:rPr>
        <w:t>t of Appeal.</w:t>
      </w:r>
      <w:r w:rsidR="002D51A4" w:rsidRPr="00E02273">
        <w:rPr>
          <w:rStyle w:val="Appelnotedebasdep"/>
          <w:lang w:val="en-CA"/>
        </w:rPr>
        <w:footnoteReference w:id="123"/>
      </w:r>
      <w:r w:rsidR="0083783A" w:rsidRPr="00E02273">
        <w:rPr>
          <w:lang w:val="en-CA"/>
        </w:rPr>
        <w:t xml:space="preserve"> Therefore, the </w:t>
      </w:r>
      <w:r w:rsidR="002D51A4" w:rsidRPr="00E02273">
        <w:rPr>
          <w:lang w:val="en-CA"/>
        </w:rPr>
        <w:t>Court</w:t>
      </w:r>
      <w:r w:rsidR="0083783A" w:rsidRPr="00E02273">
        <w:rPr>
          <w:lang w:val="en-CA"/>
        </w:rPr>
        <w:t xml:space="preserve"> need not </w:t>
      </w:r>
      <w:r w:rsidR="00745FC8">
        <w:rPr>
          <w:lang w:val="en-CA"/>
        </w:rPr>
        <w:t>intervene</w:t>
      </w:r>
      <w:r w:rsidR="0083783A" w:rsidRPr="00E02273">
        <w:rPr>
          <w:lang w:val="en-CA"/>
        </w:rPr>
        <w:t xml:space="preserve"> in that debate </w:t>
      </w:r>
      <w:r w:rsidR="002D51A4" w:rsidRPr="00E02273">
        <w:rPr>
          <w:lang w:val="en-CA"/>
        </w:rPr>
        <w:t>concern</w:t>
      </w:r>
      <w:r w:rsidR="0083783A" w:rsidRPr="00E02273">
        <w:rPr>
          <w:lang w:val="en-CA"/>
        </w:rPr>
        <w:t xml:space="preserve">ing the compatibility </w:t>
      </w:r>
      <w:r w:rsidR="000410D0" w:rsidRPr="00E02273">
        <w:rPr>
          <w:lang w:val="en-CA"/>
        </w:rPr>
        <w:t xml:space="preserve">of the federal regulations with the wording of the </w:t>
      </w:r>
      <w:r w:rsidR="000410D0" w:rsidRPr="00E02273">
        <w:rPr>
          <w:i/>
          <w:lang w:val="en-CA"/>
        </w:rPr>
        <w:t>Patent Act</w:t>
      </w:r>
      <w:r w:rsidR="000410D0" w:rsidRPr="00E02273">
        <w:rPr>
          <w:lang w:val="en-CA"/>
        </w:rPr>
        <w:t xml:space="preserve">, an issue that the parties in fact avoided raising before both the </w:t>
      </w:r>
      <w:r w:rsidR="002D51A4" w:rsidRPr="00E02273">
        <w:rPr>
          <w:lang w:val="en-CA"/>
        </w:rPr>
        <w:t>Superior</w:t>
      </w:r>
      <w:r w:rsidR="000410D0" w:rsidRPr="00E02273">
        <w:rPr>
          <w:lang w:val="en-CA"/>
        </w:rPr>
        <w:t xml:space="preserve"> </w:t>
      </w:r>
      <w:r w:rsidR="002D51A4" w:rsidRPr="00E02273">
        <w:rPr>
          <w:lang w:val="en-CA"/>
        </w:rPr>
        <w:t>Court</w:t>
      </w:r>
      <w:r w:rsidR="000410D0" w:rsidRPr="00E02273">
        <w:rPr>
          <w:lang w:val="en-CA"/>
        </w:rPr>
        <w:t xml:space="preserve"> and this </w:t>
      </w:r>
      <w:r w:rsidR="002D51A4" w:rsidRPr="00E02273">
        <w:rPr>
          <w:lang w:val="en-CA"/>
        </w:rPr>
        <w:t>Court.</w:t>
      </w:r>
    </w:p>
    <w:p w14:paraId="79C18C04" w14:textId="0F62C1E4" w:rsidR="00B568AD" w:rsidRPr="00E02273" w:rsidRDefault="000410D0" w:rsidP="002B0EAD">
      <w:pPr>
        <w:pStyle w:val="Paragraphe"/>
        <w:tabs>
          <w:tab w:val="num" w:pos="709"/>
        </w:tabs>
        <w:spacing w:line="240" w:lineRule="auto"/>
        <w:ind w:left="0"/>
        <w:rPr>
          <w:lang w:val="en-CA"/>
        </w:rPr>
      </w:pPr>
      <w:r w:rsidRPr="00E02273">
        <w:rPr>
          <w:lang w:val="en-CA"/>
        </w:rPr>
        <w:t xml:space="preserve">Last, the appellants do not raise the issue of the </w:t>
      </w:r>
      <w:r w:rsidR="002D51A4" w:rsidRPr="00E02273">
        <w:rPr>
          <w:lang w:val="en-CA"/>
        </w:rPr>
        <w:t>incompatibilit</w:t>
      </w:r>
      <w:r w:rsidRPr="00E02273">
        <w:rPr>
          <w:lang w:val="en-CA"/>
        </w:rPr>
        <w:t xml:space="preserve">y of the </w:t>
      </w:r>
      <w:r w:rsidR="002D51A4" w:rsidRPr="00E02273">
        <w:rPr>
          <w:lang w:val="en-CA"/>
        </w:rPr>
        <w:t>federal</w:t>
      </w:r>
      <w:r w:rsidRPr="00E02273">
        <w:rPr>
          <w:lang w:val="en-CA"/>
        </w:rPr>
        <w:t xml:space="preserve"> </w:t>
      </w:r>
      <w:r w:rsidR="00A27151" w:rsidRPr="00E02273">
        <w:rPr>
          <w:lang w:val="en-CA"/>
        </w:rPr>
        <w:t>regime</w:t>
      </w:r>
      <w:r w:rsidRPr="00E02273">
        <w:rPr>
          <w:lang w:val="en-CA"/>
        </w:rPr>
        <w:t xml:space="preserve"> with respect to Canada’s international </w:t>
      </w:r>
      <w:r w:rsidR="002D51A4" w:rsidRPr="00E02273">
        <w:rPr>
          <w:lang w:val="en-CA"/>
        </w:rPr>
        <w:t>obligations</w:t>
      </w:r>
      <w:r w:rsidRPr="00E02273">
        <w:rPr>
          <w:lang w:val="en-CA"/>
        </w:rPr>
        <w:t xml:space="preserve">, in particular those </w:t>
      </w:r>
      <w:r w:rsidR="00F454F2" w:rsidRPr="00E02273">
        <w:rPr>
          <w:lang w:val="en-CA"/>
        </w:rPr>
        <w:t xml:space="preserve">agreed to under </w:t>
      </w:r>
      <w:r w:rsidR="000A53D4" w:rsidRPr="00E02273">
        <w:rPr>
          <w:lang w:val="en-CA"/>
        </w:rPr>
        <w:t>NAFTA</w:t>
      </w:r>
      <w:r w:rsidR="002D51A4" w:rsidRPr="00E02273">
        <w:rPr>
          <w:rStyle w:val="Appelnotedebasdep"/>
          <w:lang w:val="en-CA"/>
        </w:rPr>
        <w:footnoteReference w:id="124"/>
      </w:r>
      <w:r w:rsidR="002D51A4" w:rsidRPr="00E02273">
        <w:rPr>
          <w:iCs/>
          <w:lang w:val="en-CA"/>
        </w:rPr>
        <w:t xml:space="preserve"> </w:t>
      </w:r>
      <w:r w:rsidR="000A53D4" w:rsidRPr="00E02273">
        <w:rPr>
          <w:iCs/>
          <w:lang w:val="en-CA"/>
        </w:rPr>
        <w:t>or in accordance with TRIPS.</w:t>
      </w:r>
      <w:r w:rsidR="002D51A4" w:rsidRPr="00E02273">
        <w:rPr>
          <w:rStyle w:val="Appelnotedebasdep"/>
          <w:lang w:val="en-CA"/>
        </w:rPr>
        <w:footnoteReference w:id="125"/>
      </w:r>
    </w:p>
    <w:p w14:paraId="11256061" w14:textId="3BD128F9" w:rsidR="00B568AD" w:rsidRPr="00E02273" w:rsidRDefault="002D51A4" w:rsidP="00B568AD">
      <w:pPr>
        <w:pStyle w:val="Paragraphe"/>
        <w:numPr>
          <w:ilvl w:val="0"/>
          <w:numId w:val="0"/>
        </w:numPr>
        <w:spacing w:line="240" w:lineRule="auto"/>
        <w:rPr>
          <w:b/>
          <w:u w:val="single"/>
          <w:lang w:val="en-CA"/>
        </w:rPr>
      </w:pPr>
      <w:r w:rsidRPr="00E02273">
        <w:rPr>
          <w:b/>
          <w:u w:val="single"/>
          <w:lang w:val="en-CA"/>
        </w:rPr>
        <w:t>VI</w:t>
      </w:r>
      <w:r w:rsidR="000A53D4" w:rsidRPr="00E02273">
        <w:rPr>
          <w:b/>
          <w:u w:val="single"/>
          <w:lang w:val="en-CA"/>
        </w:rPr>
        <w:t xml:space="preserve"> </w:t>
      </w:r>
      <w:r w:rsidR="006D08CA">
        <w:rPr>
          <w:b/>
          <w:u w:val="single"/>
          <w:lang w:val="en-CA"/>
        </w:rPr>
        <w:t>-</w:t>
      </w:r>
      <w:r w:rsidR="000A53D4" w:rsidRPr="00E02273">
        <w:rPr>
          <w:b/>
          <w:u w:val="single"/>
          <w:lang w:val="en-CA"/>
        </w:rPr>
        <w:t xml:space="preserve"> ANALYSIS</w:t>
      </w:r>
    </w:p>
    <w:p w14:paraId="61EF2481" w14:textId="22EA05E9" w:rsidR="00B568AD" w:rsidRPr="00E02273" w:rsidRDefault="002D51A4" w:rsidP="00B568AD">
      <w:pPr>
        <w:pStyle w:val="Paragraphe"/>
        <w:numPr>
          <w:ilvl w:val="0"/>
          <w:numId w:val="0"/>
        </w:numPr>
        <w:spacing w:line="240" w:lineRule="auto"/>
        <w:ind w:firstLine="720"/>
        <w:rPr>
          <w:b/>
          <w:i/>
          <w:u w:val="single"/>
          <w:lang w:val="en-CA"/>
        </w:rPr>
      </w:pPr>
      <w:r w:rsidRPr="00E02273">
        <w:rPr>
          <w:b/>
          <w:u w:val="single"/>
          <w:lang w:val="en-CA"/>
        </w:rPr>
        <w:t xml:space="preserve">A </w:t>
      </w:r>
      <w:r w:rsidR="007815FC">
        <w:rPr>
          <w:b/>
          <w:u w:val="single"/>
          <w:lang w:val="en-CA"/>
        </w:rPr>
        <w:t>-</w:t>
      </w:r>
      <w:r w:rsidRPr="00E02273">
        <w:rPr>
          <w:b/>
          <w:u w:val="single"/>
          <w:lang w:val="en-CA"/>
        </w:rPr>
        <w:t xml:space="preserve"> </w:t>
      </w:r>
      <w:r w:rsidR="000A53D4" w:rsidRPr="00E02273">
        <w:rPr>
          <w:b/>
          <w:i/>
          <w:u w:val="single"/>
          <w:lang w:val="en-CA"/>
        </w:rPr>
        <w:t>The general analytical framework</w:t>
      </w:r>
    </w:p>
    <w:p w14:paraId="2E585CB4" w14:textId="593A7630" w:rsidR="00B568AD" w:rsidRPr="00E02273" w:rsidRDefault="003562A3" w:rsidP="002B0EAD">
      <w:pPr>
        <w:pStyle w:val="Paragraphe"/>
        <w:tabs>
          <w:tab w:val="num" w:pos="709"/>
        </w:tabs>
        <w:spacing w:line="240" w:lineRule="auto"/>
        <w:ind w:left="0"/>
        <w:rPr>
          <w:lang w:val="en-CA"/>
        </w:rPr>
      </w:pPr>
      <w:r w:rsidRPr="00E02273">
        <w:rPr>
          <w:lang w:val="en-CA"/>
        </w:rPr>
        <w:t xml:space="preserve">When the </w:t>
      </w:r>
      <w:r w:rsidR="002D51A4" w:rsidRPr="00E02273">
        <w:rPr>
          <w:lang w:val="en-CA"/>
        </w:rPr>
        <w:t>Court</w:t>
      </w:r>
      <w:r w:rsidRPr="00E02273">
        <w:rPr>
          <w:lang w:val="en-CA"/>
        </w:rPr>
        <w:t xml:space="preserve"> is asked to decide an </w:t>
      </w:r>
      <w:r w:rsidR="002D51A4" w:rsidRPr="00E02273">
        <w:rPr>
          <w:lang w:val="en-CA"/>
        </w:rPr>
        <w:t>appeal</w:t>
      </w:r>
      <w:r w:rsidR="00B84805" w:rsidRPr="00E02273">
        <w:rPr>
          <w:lang w:val="en-CA"/>
        </w:rPr>
        <w:t xml:space="preserve"> concerning the </w:t>
      </w:r>
      <w:r w:rsidR="002D51A4" w:rsidRPr="00E02273">
        <w:rPr>
          <w:lang w:val="en-CA"/>
        </w:rPr>
        <w:t>constitutional</w:t>
      </w:r>
      <w:r w:rsidR="00B84805" w:rsidRPr="00E02273">
        <w:rPr>
          <w:lang w:val="en-CA"/>
        </w:rPr>
        <w:t xml:space="preserve"> </w:t>
      </w:r>
      <w:r w:rsidR="002D51A4" w:rsidRPr="00E02273">
        <w:rPr>
          <w:lang w:val="en-CA"/>
        </w:rPr>
        <w:t>validity</w:t>
      </w:r>
      <w:r w:rsidR="00B84805" w:rsidRPr="00E02273">
        <w:rPr>
          <w:lang w:val="en-CA"/>
        </w:rPr>
        <w:t xml:space="preserve"> of a </w:t>
      </w:r>
      <w:r w:rsidR="002D51A4" w:rsidRPr="00E02273">
        <w:rPr>
          <w:lang w:val="en-CA"/>
        </w:rPr>
        <w:t>legislative</w:t>
      </w:r>
      <w:r w:rsidR="00B84805" w:rsidRPr="00E02273">
        <w:rPr>
          <w:lang w:val="en-CA"/>
        </w:rPr>
        <w:t xml:space="preserve"> or regulatory </w:t>
      </w:r>
      <w:r w:rsidR="00A27151" w:rsidRPr="00E02273">
        <w:rPr>
          <w:lang w:val="en-CA"/>
        </w:rPr>
        <w:t>regime</w:t>
      </w:r>
      <w:r w:rsidR="002D51A4" w:rsidRPr="00E02273">
        <w:rPr>
          <w:lang w:val="en-CA"/>
        </w:rPr>
        <w:t xml:space="preserve">, </w:t>
      </w:r>
      <w:r w:rsidR="00B84805" w:rsidRPr="00E02273">
        <w:rPr>
          <w:lang w:val="en-CA"/>
        </w:rPr>
        <w:t xml:space="preserve">the applicable standard of review is that of </w:t>
      </w:r>
      <w:r w:rsidR="002D51A4" w:rsidRPr="00E02273">
        <w:rPr>
          <w:lang w:val="en-CA"/>
        </w:rPr>
        <w:t>correctness,</w:t>
      </w:r>
      <w:r w:rsidR="00B84805" w:rsidRPr="00E02273">
        <w:rPr>
          <w:lang w:val="en-CA"/>
        </w:rPr>
        <w:t xml:space="preserve"> except in regard to </w:t>
      </w:r>
      <w:r w:rsidR="002D51A4" w:rsidRPr="00E02273">
        <w:rPr>
          <w:lang w:val="en-CA"/>
        </w:rPr>
        <w:t>finding</w:t>
      </w:r>
      <w:r w:rsidR="00B84805" w:rsidRPr="00E02273">
        <w:rPr>
          <w:lang w:val="en-CA"/>
        </w:rPr>
        <w:t xml:space="preserve">s </w:t>
      </w:r>
      <w:r w:rsidR="002D51A4" w:rsidRPr="00E02273">
        <w:rPr>
          <w:lang w:val="en-CA"/>
        </w:rPr>
        <w:t>of</w:t>
      </w:r>
      <w:r w:rsidR="00B84805" w:rsidRPr="00E02273">
        <w:rPr>
          <w:lang w:val="en-CA"/>
        </w:rPr>
        <w:t xml:space="preserve"> </w:t>
      </w:r>
      <w:r w:rsidR="002D51A4" w:rsidRPr="00E02273">
        <w:rPr>
          <w:lang w:val="en-CA"/>
        </w:rPr>
        <w:t>fact</w:t>
      </w:r>
      <w:r w:rsidR="00B84805" w:rsidRPr="00E02273">
        <w:rPr>
          <w:lang w:val="en-CA"/>
        </w:rPr>
        <w:t xml:space="preserve"> underlying the </w:t>
      </w:r>
      <w:r w:rsidR="002D51A4" w:rsidRPr="00E02273">
        <w:rPr>
          <w:lang w:val="en-CA"/>
        </w:rPr>
        <w:t>analys</w:t>
      </w:r>
      <w:r w:rsidR="00B84805" w:rsidRPr="00E02273">
        <w:rPr>
          <w:lang w:val="en-CA"/>
        </w:rPr>
        <w:t xml:space="preserve">is, including legislative facts, which are subject to the standard of </w:t>
      </w:r>
      <w:r w:rsidR="002D51A4" w:rsidRPr="00E02273">
        <w:rPr>
          <w:lang w:val="en-CA"/>
        </w:rPr>
        <w:t>palpable</w:t>
      </w:r>
      <w:r w:rsidR="00B84805" w:rsidRPr="00E02273">
        <w:rPr>
          <w:lang w:val="en-CA"/>
        </w:rPr>
        <w:t xml:space="preserve"> </w:t>
      </w:r>
      <w:r w:rsidR="002D51A4" w:rsidRPr="00E02273">
        <w:rPr>
          <w:lang w:val="en-CA"/>
        </w:rPr>
        <w:t>and</w:t>
      </w:r>
      <w:r w:rsidR="00B84805" w:rsidRPr="00E02273">
        <w:rPr>
          <w:lang w:val="en-CA"/>
        </w:rPr>
        <w:t xml:space="preserve"> </w:t>
      </w:r>
      <w:r w:rsidR="002D51A4" w:rsidRPr="00E02273">
        <w:rPr>
          <w:lang w:val="en-CA"/>
        </w:rPr>
        <w:t>overriding</w:t>
      </w:r>
      <w:r w:rsidR="00B84805" w:rsidRPr="00E02273">
        <w:rPr>
          <w:lang w:val="en-CA"/>
        </w:rPr>
        <w:t xml:space="preserve"> </w:t>
      </w:r>
      <w:r w:rsidR="002D51A4" w:rsidRPr="00E02273">
        <w:rPr>
          <w:lang w:val="en-CA"/>
        </w:rPr>
        <w:t>error</w:t>
      </w:r>
      <w:r w:rsidR="00B84805" w:rsidRPr="00E02273">
        <w:rPr>
          <w:lang w:val="en-CA"/>
        </w:rPr>
        <w:t>.</w:t>
      </w:r>
      <w:r w:rsidR="002D51A4" w:rsidRPr="00E02273">
        <w:rPr>
          <w:rStyle w:val="Appelnotedebasdep"/>
          <w:lang w:val="en-CA"/>
        </w:rPr>
        <w:footnoteReference w:id="126"/>
      </w:r>
    </w:p>
    <w:p w14:paraId="0EE93831" w14:textId="44AC5A28" w:rsidR="00B568AD" w:rsidRPr="00E02273" w:rsidRDefault="0024134B" w:rsidP="002B0EAD">
      <w:pPr>
        <w:pStyle w:val="Paragraphe"/>
        <w:tabs>
          <w:tab w:val="num" w:pos="709"/>
        </w:tabs>
        <w:spacing w:line="240" w:lineRule="auto"/>
        <w:ind w:left="0"/>
        <w:rPr>
          <w:lang w:val="en-CA"/>
        </w:rPr>
      </w:pPr>
      <w:r w:rsidRPr="00E02273">
        <w:rPr>
          <w:lang w:val="en-CA"/>
        </w:rPr>
        <w:t xml:space="preserve">The </w:t>
      </w:r>
      <w:r w:rsidR="002D51A4" w:rsidRPr="00E02273">
        <w:rPr>
          <w:lang w:val="en-CA"/>
        </w:rPr>
        <w:t>constitutional</w:t>
      </w:r>
      <w:r w:rsidRPr="00E02273">
        <w:rPr>
          <w:lang w:val="en-CA"/>
        </w:rPr>
        <w:t xml:space="preserve"> </w:t>
      </w:r>
      <w:r w:rsidR="002D51A4" w:rsidRPr="00E02273">
        <w:rPr>
          <w:lang w:val="en-CA"/>
        </w:rPr>
        <w:t>validity</w:t>
      </w:r>
      <w:r w:rsidRPr="00E02273">
        <w:rPr>
          <w:lang w:val="en-CA"/>
        </w:rPr>
        <w:t xml:space="preserve"> of a statute or regulation pursuant to the </w:t>
      </w:r>
      <w:r w:rsidR="002D51A4" w:rsidRPr="00E02273">
        <w:rPr>
          <w:lang w:val="en-CA"/>
        </w:rPr>
        <w:t>division</w:t>
      </w:r>
      <w:r w:rsidRPr="00E02273">
        <w:rPr>
          <w:lang w:val="en-CA"/>
        </w:rPr>
        <w:t xml:space="preserve"> </w:t>
      </w:r>
      <w:r w:rsidR="002D51A4" w:rsidRPr="00E02273">
        <w:rPr>
          <w:lang w:val="en-CA"/>
        </w:rPr>
        <w:t>of</w:t>
      </w:r>
      <w:r w:rsidRPr="00E02273">
        <w:rPr>
          <w:lang w:val="en-CA"/>
        </w:rPr>
        <w:t xml:space="preserve"> </w:t>
      </w:r>
      <w:r w:rsidR="002D51A4" w:rsidRPr="00E02273">
        <w:rPr>
          <w:lang w:val="en-CA"/>
        </w:rPr>
        <w:t>powers</w:t>
      </w:r>
      <w:r w:rsidRPr="00E02273">
        <w:rPr>
          <w:lang w:val="en-CA"/>
        </w:rPr>
        <w:t xml:space="preserve"> must be resolved further to a two-step </w:t>
      </w:r>
      <w:r w:rsidR="002D51A4" w:rsidRPr="00E02273">
        <w:rPr>
          <w:lang w:val="en-CA"/>
        </w:rPr>
        <w:t>analys</w:t>
      </w:r>
      <w:r w:rsidRPr="00E02273">
        <w:rPr>
          <w:lang w:val="en-CA"/>
        </w:rPr>
        <w:t>is</w:t>
      </w:r>
      <w:r w:rsidR="002D51A4" w:rsidRPr="00E02273">
        <w:rPr>
          <w:lang w:val="en-CA"/>
        </w:rPr>
        <w:t xml:space="preserve">. </w:t>
      </w:r>
      <w:r w:rsidR="00C91D7B" w:rsidRPr="00E02273">
        <w:rPr>
          <w:lang w:val="en-CA"/>
        </w:rPr>
        <w:t>It starts with</w:t>
      </w:r>
      <w:r w:rsidR="008E4E2A" w:rsidRPr="00E02273">
        <w:rPr>
          <w:lang w:val="en-CA"/>
        </w:rPr>
        <w:t xml:space="preserve"> </w:t>
      </w:r>
      <w:r w:rsidR="00FF540B">
        <w:rPr>
          <w:lang w:val="en-CA"/>
        </w:rPr>
        <w:t xml:space="preserve">the </w:t>
      </w:r>
      <w:r w:rsidR="002D51A4" w:rsidRPr="00E02273">
        <w:rPr>
          <w:lang w:val="en-CA"/>
        </w:rPr>
        <w:t>characteriz</w:t>
      </w:r>
      <w:r w:rsidR="00FF540B">
        <w:rPr>
          <w:lang w:val="en-CA"/>
        </w:rPr>
        <w:t>ation</w:t>
      </w:r>
      <w:r w:rsidR="008E4E2A" w:rsidRPr="00E02273">
        <w:rPr>
          <w:lang w:val="en-CA"/>
        </w:rPr>
        <w:t xml:space="preserve"> </w:t>
      </w:r>
      <w:r w:rsidR="00FF540B">
        <w:rPr>
          <w:lang w:val="en-CA"/>
        </w:rPr>
        <w:t xml:space="preserve">of </w:t>
      </w:r>
      <w:r w:rsidR="008E4E2A" w:rsidRPr="00E02273">
        <w:rPr>
          <w:lang w:val="en-CA"/>
        </w:rPr>
        <w:t>the statute or regulation in question. What is its</w:t>
      </w:r>
      <w:r w:rsidR="002D51A4" w:rsidRPr="00E02273">
        <w:rPr>
          <w:lang w:val="en-CA"/>
        </w:rPr>
        <w:t xml:space="preserve"> su</w:t>
      </w:r>
      <w:r w:rsidR="008E4E2A" w:rsidRPr="00E02273">
        <w:rPr>
          <w:lang w:val="en-CA"/>
        </w:rPr>
        <w:t>b</w:t>
      </w:r>
      <w:r w:rsidR="002D51A4" w:rsidRPr="00E02273">
        <w:rPr>
          <w:lang w:val="en-CA"/>
        </w:rPr>
        <w:t>je</w:t>
      </w:r>
      <w:r w:rsidR="008E4E2A" w:rsidRPr="00E02273">
        <w:rPr>
          <w:lang w:val="en-CA"/>
        </w:rPr>
        <w:t>c</w:t>
      </w:r>
      <w:r w:rsidR="002D51A4" w:rsidRPr="00E02273">
        <w:rPr>
          <w:lang w:val="en-CA"/>
        </w:rPr>
        <w:t>t</w:t>
      </w:r>
      <w:r w:rsidR="00AC00FE">
        <w:rPr>
          <w:lang w:val="en-CA"/>
        </w:rPr>
        <w:t xml:space="preserve"> matter</w:t>
      </w:r>
      <w:r w:rsidR="002D51A4" w:rsidRPr="00E02273">
        <w:rPr>
          <w:lang w:val="en-CA"/>
        </w:rPr>
        <w:t xml:space="preserve">? </w:t>
      </w:r>
      <w:r w:rsidR="008E4E2A" w:rsidRPr="00E02273">
        <w:rPr>
          <w:lang w:val="en-CA"/>
        </w:rPr>
        <w:t>What does it concern</w:t>
      </w:r>
      <w:r w:rsidR="002D51A4" w:rsidRPr="00E02273">
        <w:rPr>
          <w:lang w:val="en-CA"/>
        </w:rPr>
        <w:t xml:space="preserve">? </w:t>
      </w:r>
      <w:r w:rsidR="008E4E2A" w:rsidRPr="00E02273">
        <w:rPr>
          <w:lang w:val="en-CA"/>
        </w:rPr>
        <w:t xml:space="preserve">What is its purpose, its </w:t>
      </w:r>
      <w:r w:rsidR="002D51A4" w:rsidRPr="00E02273">
        <w:rPr>
          <w:lang w:val="en-CA"/>
        </w:rPr>
        <w:t>pith</w:t>
      </w:r>
      <w:r w:rsidR="008E4E2A" w:rsidRPr="00E02273">
        <w:rPr>
          <w:lang w:val="en-CA"/>
        </w:rPr>
        <w:t xml:space="preserve"> </w:t>
      </w:r>
      <w:r w:rsidR="002D51A4" w:rsidRPr="00E02273">
        <w:rPr>
          <w:lang w:val="en-CA"/>
        </w:rPr>
        <w:t>and</w:t>
      </w:r>
      <w:r w:rsidR="008E4E2A" w:rsidRPr="00E02273">
        <w:rPr>
          <w:lang w:val="en-CA"/>
        </w:rPr>
        <w:t xml:space="preserve"> </w:t>
      </w:r>
      <w:r w:rsidR="002D51A4" w:rsidRPr="00E02273">
        <w:rPr>
          <w:lang w:val="en-CA"/>
        </w:rPr>
        <w:t>substance?</w:t>
      </w:r>
      <w:r w:rsidR="008E4E2A" w:rsidRPr="00E02273">
        <w:rPr>
          <w:lang w:val="en-CA"/>
        </w:rPr>
        <w:t xml:space="preserve"> Once this exercise has been completed, the second step involve</w:t>
      </w:r>
      <w:r w:rsidR="001C0DAE" w:rsidRPr="00E02273">
        <w:rPr>
          <w:lang w:val="en-CA"/>
        </w:rPr>
        <w:t>s</w:t>
      </w:r>
      <w:r w:rsidR="008E4E2A" w:rsidRPr="00E02273">
        <w:rPr>
          <w:lang w:val="en-CA"/>
        </w:rPr>
        <w:t xml:space="preserve"> referr</w:t>
      </w:r>
      <w:r w:rsidR="001C0DAE" w:rsidRPr="00E02273">
        <w:rPr>
          <w:lang w:val="en-CA"/>
        </w:rPr>
        <w:t>ing</w:t>
      </w:r>
      <w:r w:rsidR="008E4E2A" w:rsidRPr="00E02273">
        <w:rPr>
          <w:lang w:val="en-CA"/>
        </w:rPr>
        <w:t xml:space="preserve"> to the </w:t>
      </w:r>
      <w:r w:rsidR="001C0DAE" w:rsidRPr="00E02273">
        <w:rPr>
          <w:lang w:val="en-CA"/>
        </w:rPr>
        <w:t xml:space="preserve">heads of power listed in </w:t>
      </w:r>
      <w:r w:rsidR="002D51A4" w:rsidRPr="00E02273">
        <w:rPr>
          <w:lang w:val="en-CA"/>
        </w:rPr>
        <w:t>sections</w:t>
      </w:r>
      <w:r w:rsidR="001C0DAE" w:rsidRPr="00E02273">
        <w:rPr>
          <w:lang w:val="en-CA"/>
        </w:rPr>
        <w:t xml:space="preserve"> </w:t>
      </w:r>
      <w:r w:rsidR="002D51A4" w:rsidRPr="00E02273">
        <w:rPr>
          <w:lang w:val="en-CA"/>
        </w:rPr>
        <w:t xml:space="preserve">91 </w:t>
      </w:r>
      <w:r w:rsidR="001C0DAE" w:rsidRPr="00E02273">
        <w:rPr>
          <w:lang w:val="en-CA"/>
        </w:rPr>
        <w:t>and</w:t>
      </w:r>
      <w:r w:rsidR="002D51A4" w:rsidRPr="00E02273">
        <w:rPr>
          <w:lang w:val="en-CA"/>
        </w:rPr>
        <w:t xml:space="preserve"> 92 </w:t>
      </w:r>
      <w:r w:rsidR="001C0DAE" w:rsidRPr="00E02273">
        <w:rPr>
          <w:lang w:val="en-CA"/>
        </w:rPr>
        <w:t xml:space="preserve">of the </w:t>
      </w:r>
      <w:r w:rsidR="002D51A4" w:rsidRPr="00E02273">
        <w:rPr>
          <w:i/>
          <w:lang w:val="en-CA"/>
        </w:rPr>
        <w:t>Constitution</w:t>
      </w:r>
      <w:r w:rsidR="001C0DAE" w:rsidRPr="00E02273">
        <w:rPr>
          <w:i/>
          <w:lang w:val="en-CA"/>
        </w:rPr>
        <w:t xml:space="preserve"> </w:t>
      </w:r>
      <w:r w:rsidR="002D51A4" w:rsidRPr="00E02273">
        <w:rPr>
          <w:i/>
          <w:lang w:val="en-CA"/>
        </w:rPr>
        <w:t>Act,</w:t>
      </w:r>
      <w:r w:rsidR="001C0DAE" w:rsidRPr="00E02273">
        <w:rPr>
          <w:i/>
          <w:lang w:val="en-CA"/>
        </w:rPr>
        <w:t xml:space="preserve"> </w:t>
      </w:r>
      <w:r w:rsidR="002D51A4" w:rsidRPr="00E02273">
        <w:rPr>
          <w:i/>
          <w:lang w:val="en-CA"/>
        </w:rPr>
        <w:t>1867</w:t>
      </w:r>
      <w:r w:rsidR="001C0DAE" w:rsidRPr="00E02273">
        <w:rPr>
          <w:lang w:val="en-CA"/>
        </w:rPr>
        <w:t xml:space="preserve">, and verifying whether </w:t>
      </w:r>
      <w:r w:rsidR="004F6A0F" w:rsidRPr="00E02273">
        <w:rPr>
          <w:lang w:val="en-CA"/>
        </w:rPr>
        <w:t>Parliament</w:t>
      </w:r>
      <w:r w:rsidR="001C0DAE" w:rsidRPr="00E02273">
        <w:rPr>
          <w:lang w:val="en-CA"/>
        </w:rPr>
        <w:t xml:space="preserve"> or the provincial legislatures have jurisdiction to legislate in regard to a subject</w:t>
      </w:r>
      <w:r w:rsidR="00AC00FE">
        <w:rPr>
          <w:lang w:val="en-CA"/>
        </w:rPr>
        <w:t xml:space="preserve"> matter</w:t>
      </w:r>
      <w:r w:rsidR="001C0DAE" w:rsidRPr="00E02273">
        <w:rPr>
          <w:lang w:val="en-CA"/>
        </w:rPr>
        <w:t xml:space="preserve"> covered by the statute or regulation</w:t>
      </w:r>
      <w:r w:rsidR="002D51A4" w:rsidRPr="00E02273">
        <w:rPr>
          <w:lang w:val="en-CA"/>
        </w:rPr>
        <w:t>.</w:t>
      </w:r>
      <w:r w:rsidR="001C0DAE" w:rsidRPr="00E02273">
        <w:rPr>
          <w:lang w:val="en-CA"/>
        </w:rPr>
        <w:t xml:space="preserve"> The </w:t>
      </w:r>
      <w:r w:rsidR="002D51A4" w:rsidRPr="00E02273">
        <w:rPr>
          <w:lang w:val="en-CA"/>
        </w:rPr>
        <w:t>second</w:t>
      </w:r>
      <w:r w:rsidR="001C0DAE" w:rsidRPr="00E02273">
        <w:rPr>
          <w:lang w:val="en-CA"/>
        </w:rPr>
        <w:t xml:space="preserve"> exercise is </w:t>
      </w:r>
      <w:r w:rsidR="00D2261E" w:rsidRPr="00E02273">
        <w:rPr>
          <w:lang w:val="en-CA"/>
        </w:rPr>
        <w:t>one</w:t>
      </w:r>
      <w:r w:rsidR="001C0DAE" w:rsidRPr="00E02273">
        <w:rPr>
          <w:lang w:val="en-CA"/>
        </w:rPr>
        <w:t xml:space="preserve"> of </w:t>
      </w:r>
      <w:r w:rsidR="002D51A4" w:rsidRPr="00E02273">
        <w:rPr>
          <w:lang w:val="en-CA"/>
        </w:rPr>
        <w:t>classification</w:t>
      </w:r>
      <w:r w:rsidR="001C0DAE" w:rsidRPr="00E02273">
        <w:rPr>
          <w:lang w:val="en-CA"/>
        </w:rPr>
        <w:t>.</w:t>
      </w:r>
      <w:r w:rsidR="002D51A4" w:rsidRPr="00E02273">
        <w:rPr>
          <w:rStyle w:val="Appelnotedebasdep"/>
          <w:lang w:val="en-CA"/>
        </w:rPr>
        <w:footnoteReference w:id="127"/>
      </w:r>
    </w:p>
    <w:p w14:paraId="241D5844" w14:textId="5368E0B9" w:rsidR="00B568AD" w:rsidRPr="00E02273" w:rsidRDefault="000022C1" w:rsidP="002B0EAD">
      <w:pPr>
        <w:pStyle w:val="Paragraphe"/>
        <w:tabs>
          <w:tab w:val="num" w:pos="709"/>
        </w:tabs>
        <w:spacing w:line="240" w:lineRule="auto"/>
        <w:ind w:left="0"/>
        <w:rPr>
          <w:lang w:val="en-CA"/>
        </w:rPr>
      </w:pPr>
      <w:r w:rsidRPr="00E02273">
        <w:rPr>
          <w:lang w:val="en-CA"/>
        </w:rPr>
        <w:t xml:space="preserve">The difficulty posed by this </w:t>
      </w:r>
      <w:r w:rsidR="002D51A4" w:rsidRPr="00E02273">
        <w:rPr>
          <w:lang w:val="en-CA"/>
        </w:rPr>
        <w:t>analys</w:t>
      </w:r>
      <w:r w:rsidRPr="00E02273">
        <w:rPr>
          <w:lang w:val="en-CA"/>
        </w:rPr>
        <w:t xml:space="preserve">is arises from the fact that, in some cases, the statute or regulation may present several aspects that fall within federal jurisdiction, and </w:t>
      </w:r>
      <w:r w:rsidRPr="00E02273">
        <w:rPr>
          <w:lang w:val="en-CA"/>
        </w:rPr>
        <w:lastRenderedPageBreak/>
        <w:t>others that fall within provincial jurisdiction</w:t>
      </w:r>
      <w:r w:rsidR="002D51A4" w:rsidRPr="00E02273">
        <w:rPr>
          <w:lang w:val="en-CA"/>
        </w:rPr>
        <w:t>.</w:t>
      </w:r>
      <w:r w:rsidRPr="00E02273">
        <w:rPr>
          <w:lang w:val="en-CA"/>
        </w:rPr>
        <w:t xml:space="preserve"> It then becomes necessary to determine the </w:t>
      </w:r>
      <w:r w:rsidR="002D51A4" w:rsidRPr="00E02273">
        <w:rPr>
          <w:lang w:val="en-CA"/>
        </w:rPr>
        <w:t>dominant</w:t>
      </w:r>
      <w:r w:rsidRPr="00E02273">
        <w:rPr>
          <w:lang w:val="en-CA"/>
        </w:rPr>
        <w:t xml:space="preserve"> aspect. To do so, </w:t>
      </w:r>
      <w:r w:rsidR="00FF540B">
        <w:rPr>
          <w:lang w:val="en-CA"/>
        </w:rPr>
        <w:t xml:space="preserve">the Court must </w:t>
      </w:r>
      <w:r w:rsidRPr="00E02273">
        <w:rPr>
          <w:lang w:val="en-CA"/>
        </w:rPr>
        <w:t xml:space="preserve">examine the wording of the statute or regulation, as well as the </w:t>
      </w:r>
      <w:r w:rsidR="002D51A4" w:rsidRPr="00E02273">
        <w:rPr>
          <w:lang w:val="en-CA"/>
        </w:rPr>
        <w:t>context</w:t>
      </w:r>
      <w:r w:rsidRPr="00E02273">
        <w:rPr>
          <w:lang w:val="en-CA"/>
        </w:rPr>
        <w:t xml:space="preserve"> of its enactment, and it</w:t>
      </w:r>
      <w:r w:rsidR="00FF540B">
        <w:rPr>
          <w:lang w:val="en-CA"/>
        </w:rPr>
        <w:t>s</w:t>
      </w:r>
      <w:r w:rsidRPr="00E02273">
        <w:rPr>
          <w:lang w:val="en-CA"/>
        </w:rPr>
        <w:t xml:space="preserve"> practical and legal effects.</w:t>
      </w:r>
      <w:r w:rsidR="002D51A4" w:rsidRPr="00E02273">
        <w:rPr>
          <w:rStyle w:val="Appelnotedebasdep"/>
          <w:lang w:val="en-CA"/>
        </w:rPr>
        <w:footnoteReference w:id="128"/>
      </w:r>
    </w:p>
    <w:p w14:paraId="14CFDF7B" w14:textId="59CE5BE3" w:rsidR="00B568AD" w:rsidRPr="00E02273" w:rsidRDefault="00C52FF9" w:rsidP="002B0EAD">
      <w:pPr>
        <w:pStyle w:val="Paragraphe"/>
        <w:tabs>
          <w:tab w:val="num" w:pos="709"/>
        </w:tabs>
        <w:spacing w:line="240" w:lineRule="auto"/>
        <w:ind w:left="0"/>
        <w:rPr>
          <w:lang w:val="en-CA"/>
        </w:rPr>
      </w:pPr>
      <w:r w:rsidRPr="00E02273">
        <w:rPr>
          <w:lang w:val="en-CA"/>
        </w:rPr>
        <w:t>The</w:t>
      </w:r>
      <w:r w:rsidR="002D51A4" w:rsidRPr="00E02273">
        <w:rPr>
          <w:lang w:val="en-CA"/>
        </w:rPr>
        <w:t xml:space="preserve"> effe</w:t>
      </w:r>
      <w:r w:rsidRPr="00E02273">
        <w:rPr>
          <w:lang w:val="en-CA"/>
        </w:rPr>
        <w:t>c</w:t>
      </w:r>
      <w:r w:rsidR="002D51A4" w:rsidRPr="00E02273">
        <w:rPr>
          <w:lang w:val="en-CA"/>
        </w:rPr>
        <w:t xml:space="preserve">ts </w:t>
      </w:r>
      <w:r w:rsidRPr="00E02273">
        <w:rPr>
          <w:lang w:val="en-CA"/>
        </w:rPr>
        <w:t xml:space="preserve">of a statute or regulation are objective in nature with respect to its true </w:t>
      </w:r>
      <w:r w:rsidR="00AC00FE">
        <w:rPr>
          <w:lang w:val="en-CA"/>
        </w:rPr>
        <w:t>purpose</w:t>
      </w:r>
      <w:r w:rsidR="002D51A4" w:rsidRPr="00E02273">
        <w:rPr>
          <w:lang w:val="en-CA"/>
        </w:rPr>
        <w:t>,</w:t>
      </w:r>
      <w:r w:rsidRPr="00E02273">
        <w:rPr>
          <w:lang w:val="en-CA"/>
        </w:rPr>
        <w:t xml:space="preserve"> whereas</w:t>
      </w:r>
      <w:r w:rsidR="002D51A4" w:rsidRPr="00E02273">
        <w:rPr>
          <w:lang w:val="en-CA"/>
        </w:rPr>
        <w:t xml:space="preserve"> </w:t>
      </w:r>
      <w:r w:rsidR="003521B8" w:rsidRPr="00E02273">
        <w:rPr>
          <w:lang w:val="en-CA"/>
        </w:rPr>
        <w:t xml:space="preserve">the explicitly stated aim or object may not </w:t>
      </w:r>
      <w:r w:rsidR="002D51A4" w:rsidRPr="00E02273">
        <w:rPr>
          <w:lang w:val="en-CA"/>
        </w:rPr>
        <w:t>correspond</w:t>
      </w:r>
      <w:r w:rsidR="003521B8" w:rsidRPr="00E02273">
        <w:rPr>
          <w:lang w:val="en-CA"/>
        </w:rPr>
        <w:t xml:space="preserve"> to reality. In that case, the statute or regulation may </w:t>
      </w:r>
      <w:r w:rsidR="0020691F" w:rsidRPr="00E02273">
        <w:rPr>
          <w:lang w:val="en-CA"/>
        </w:rPr>
        <w:t xml:space="preserve">look as though it deals with </w:t>
      </w:r>
      <w:r w:rsidR="003521B8" w:rsidRPr="00E02273">
        <w:rPr>
          <w:lang w:val="en-CA"/>
        </w:rPr>
        <w:t xml:space="preserve">a particular </w:t>
      </w:r>
      <w:r w:rsidR="002D51A4" w:rsidRPr="00E02273">
        <w:rPr>
          <w:lang w:val="en-CA"/>
        </w:rPr>
        <w:t>su</w:t>
      </w:r>
      <w:r w:rsidR="003521B8" w:rsidRPr="00E02273">
        <w:rPr>
          <w:lang w:val="en-CA"/>
        </w:rPr>
        <w:t>b</w:t>
      </w:r>
      <w:r w:rsidR="002D51A4" w:rsidRPr="00E02273">
        <w:rPr>
          <w:lang w:val="en-CA"/>
        </w:rPr>
        <w:t>je</w:t>
      </w:r>
      <w:r w:rsidR="003521B8" w:rsidRPr="00E02273">
        <w:rPr>
          <w:lang w:val="en-CA"/>
        </w:rPr>
        <w:t>c</w:t>
      </w:r>
      <w:r w:rsidR="002D51A4" w:rsidRPr="00E02273">
        <w:rPr>
          <w:lang w:val="en-CA"/>
        </w:rPr>
        <w:t>t</w:t>
      </w:r>
      <w:r w:rsidR="0020691F" w:rsidRPr="00E02273">
        <w:rPr>
          <w:lang w:val="en-CA"/>
        </w:rPr>
        <w:t xml:space="preserve"> matter</w:t>
      </w:r>
      <w:r w:rsidR="002D51A4" w:rsidRPr="00E02273">
        <w:rPr>
          <w:lang w:val="en-CA"/>
        </w:rPr>
        <w:t xml:space="preserve">, </w:t>
      </w:r>
      <w:r w:rsidR="003521B8" w:rsidRPr="00E02273">
        <w:rPr>
          <w:lang w:val="en-CA"/>
        </w:rPr>
        <w:t xml:space="preserve">but in </w:t>
      </w:r>
      <w:r w:rsidR="0020691F" w:rsidRPr="00E02273">
        <w:rPr>
          <w:lang w:val="en-CA"/>
        </w:rPr>
        <w:t xml:space="preserve">essence </w:t>
      </w:r>
      <w:r w:rsidR="003521B8" w:rsidRPr="00E02273">
        <w:rPr>
          <w:lang w:val="en-CA"/>
        </w:rPr>
        <w:t>concern</w:t>
      </w:r>
      <w:r w:rsidR="0020691F" w:rsidRPr="00E02273">
        <w:rPr>
          <w:lang w:val="en-CA"/>
        </w:rPr>
        <w:t>s</w:t>
      </w:r>
      <w:r w:rsidR="003521B8" w:rsidRPr="00E02273">
        <w:rPr>
          <w:lang w:val="en-CA"/>
        </w:rPr>
        <w:t xml:space="preserve"> another subject </w:t>
      </w:r>
      <w:r w:rsidR="0020691F" w:rsidRPr="00E02273">
        <w:rPr>
          <w:lang w:val="en-CA"/>
        </w:rPr>
        <w:t>matter outside t</w:t>
      </w:r>
      <w:r w:rsidR="003521B8" w:rsidRPr="00E02273">
        <w:rPr>
          <w:lang w:val="en-CA"/>
        </w:rPr>
        <w:t xml:space="preserve">he </w:t>
      </w:r>
      <w:r w:rsidR="002D51A4" w:rsidRPr="00E02273">
        <w:rPr>
          <w:lang w:val="en-CA"/>
        </w:rPr>
        <w:t>jurisdiction</w:t>
      </w:r>
      <w:r w:rsidR="003521B8" w:rsidRPr="00E02273">
        <w:rPr>
          <w:lang w:val="en-CA"/>
        </w:rPr>
        <w:t xml:space="preserve"> of the </w:t>
      </w:r>
      <w:r w:rsidR="00AC00FE">
        <w:rPr>
          <w:lang w:val="en-CA"/>
        </w:rPr>
        <w:t xml:space="preserve">enacting </w:t>
      </w:r>
      <w:r w:rsidR="002D51A4" w:rsidRPr="00E02273">
        <w:rPr>
          <w:lang w:val="en-CA"/>
        </w:rPr>
        <w:t>government</w:t>
      </w:r>
      <w:r w:rsidR="0020691F" w:rsidRPr="00E02273">
        <w:rPr>
          <w:lang w:val="en-CA"/>
        </w:rPr>
        <w:t>.</w:t>
      </w:r>
      <w:r w:rsidR="002D51A4" w:rsidRPr="00E02273">
        <w:rPr>
          <w:rStyle w:val="Appelnotedebasdep"/>
          <w:lang w:val="en-CA"/>
        </w:rPr>
        <w:footnoteReference w:id="129"/>
      </w:r>
    </w:p>
    <w:p w14:paraId="05BD1CB2" w14:textId="684B171D" w:rsidR="00B568AD" w:rsidRPr="00E02273" w:rsidRDefault="003448B5" w:rsidP="002B0EAD">
      <w:pPr>
        <w:pStyle w:val="Paragraphe"/>
        <w:tabs>
          <w:tab w:val="num" w:pos="709"/>
        </w:tabs>
        <w:spacing w:line="240" w:lineRule="auto"/>
        <w:ind w:left="0"/>
        <w:rPr>
          <w:lang w:val="en-CA"/>
        </w:rPr>
      </w:pPr>
      <w:r w:rsidRPr="00E02273">
        <w:rPr>
          <w:lang w:val="en-CA"/>
        </w:rPr>
        <w:t xml:space="preserve">Last, and because the modern vision of </w:t>
      </w:r>
      <w:r w:rsidR="002D51A4" w:rsidRPr="00E02273">
        <w:rPr>
          <w:lang w:val="en-CA"/>
        </w:rPr>
        <w:t>Canadian</w:t>
      </w:r>
      <w:r w:rsidRPr="00E02273">
        <w:rPr>
          <w:lang w:val="en-CA"/>
        </w:rPr>
        <w:t xml:space="preserve"> federalism increasingly permits </w:t>
      </w:r>
      <w:r w:rsidR="00771898" w:rsidRPr="00E02273">
        <w:rPr>
          <w:lang w:val="en-CA"/>
        </w:rPr>
        <w:t xml:space="preserve">overlap between the federal and </w:t>
      </w:r>
      <w:r w:rsidR="002D51A4" w:rsidRPr="00E02273">
        <w:rPr>
          <w:lang w:val="en-CA"/>
        </w:rPr>
        <w:t>provinc</w:t>
      </w:r>
      <w:r w:rsidR="00771898" w:rsidRPr="00E02273">
        <w:rPr>
          <w:lang w:val="en-CA"/>
        </w:rPr>
        <w:t xml:space="preserve">ial governments, one </w:t>
      </w:r>
      <w:r w:rsidR="002D51A4" w:rsidRPr="00E02273">
        <w:rPr>
          <w:lang w:val="en-CA"/>
        </w:rPr>
        <w:t>level</w:t>
      </w:r>
      <w:r w:rsidR="00771898" w:rsidRPr="00E02273">
        <w:rPr>
          <w:lang w:val="en-CA"/>
        </w:rPr>
        <w:t xml:space="preserve"> </w:t>
      </w:r>
      <w:r w:rsidR="002D51A4" w:rsidRPr="00E02273">
        <w:rPr>
          <w:lang w:val="en-CA"/>
        </w:rPr>
        <w:t>of</w:t>
      </w:r>
      <w:r w:rsidR="00771898" w:rsidRPr="00E02273">
        <w:rPr>
          <w:lang w:val="en-CA"/>
        </w:rPr>
        <w:t xml:space="preserve"> </w:t>
      </w:r>
      <w:r w:rsidR="002D51A4" w:rsidRPr="00E02273">
        <w:rPr>
          <w:lang w:val="en-CA"/>
        </w:rPr>
        <w:t xml:space="preserve">government </w:t>
      </w:r>
      <w:r w:rsidR="00771898" w:rsidRPr="00E02273">
        <w:rPr>
          <w:lang w:val="en-CA"/>
        </w:rPr>
        <w:t xml:space="preserve">may </w:t>
      </w:r>
      <w:r w:rsidR="00107467" w:rsidRPr="00E02273">
        <w:rPr>
          <w:lang w:val="en-CA"/>
        </w:rPr>
        <w:t xml:space="preserve">trench in an ancillary manner on the </w:t>
      </w:r>
      <w:r w:rsidR="002D51A4" w:rsidRPr="00E02273">
        <w:rPr>
          <w:lang w:val="en-CA"/>
        </w:rPr>
        <w:t>jurisdiction</w:t>
      </w:r>
      <w:r w:rsidR="00107467" w:rsidRPr="00E02273">
        <w:rPr>
          <w:lang w:val="en-CA"/>
        </w:rPr>
        <w:t xml:space="preserve"> of the other, even </w:t>
      </w:r>
      <w:r w:rsidR="002D51A4" w:rsidRPr="00E02273">
        <w:rPr>
          <w:lang w:val="en-CA"/>
        </w:rPr>
        <w:t>s</w:t>
      </w:r>
      <w:r w:rsidR="00107467" w:rsidRPr="00E02273">
        <w:rPr>
          <w:lang w:val="en-CA"/>
        </w:rPr>
        <w:t xml:space="preserve">ignificantly, </w:t>
      </w:r>
      <w:r w:rsidR="00DD4212" w:rsidRPr="00E02273">
        <w:rPr>
          <w:lang w:val="en-CA"/>
        </w:rPr>
        <w:t>to</w:t>
      </w:r>
      <w:r w:rsidR="00107467" w:rsidRPr="00E02273">
        <w:rPr>
          <w:lang w:val="en-CA"/>
        </w:rPr>
        <w:t xml:space="preserve"> establish a comprehensive regulatory scheme and legi</w:t>
      </w:r>
      <w:r w:rsidR="00DD4212" w:rsidRPr="00E02273">
        <w:rPr>
          <w:lang w:val="en-CA"/>
        </w:rPr>
        <w:t>slate effectively.</w:t>
      </w:r>
      <w:r w:rsidR="002D51A4" w:rsidRPr="00E02273">
        <w:rPr>
          <w:rStyle w:val="Appelnotedebasdep"/>
          <w:lang w:val="en-CA"/>
        </w:rPr>
        <w:footnoteReference w:id="130"/>
      </w:r>
      <w:r w:rsidR="002D51A4" w:rsidRPr="00E02273">
        <w:rPr>
          <w:lang w:val="en-CA"/>
        </w:rPr>
        <w:t xml:space="preserve"> </w:t>
      </w:r>
      <w:r w:rsidR="00600C7E" w:rsidRPr="00E02273">
        <w:rPr>
          <w:lang w:val="en-CA"/>
        </w:rPr>
        <w:t xml:space="preserve">That being so, the pith and substance of the impugned statute or regulation must of course fall within the </w:t>
      </w:r>
      <w:r w:rsidR="002D51A4" w:rsidRPr="00E02273">
        <w:rPr>
          <w:lang w:val="en-CA"/>
        </w:rPr>
        <w:t>jurisdiction</w:t>
      </w:r>
      <w:r w:rsidR="00600C7E" w:rsidRPr="00E02273">
        <w:rPr>
          <w:lang w:val="en-CA"/>
        </w:rPr>
        <w:t xml:space="preserve"> of the </w:t>
      </w:r>
      <w:r w:rsidR="00AC00FE">
        <w:rPr>
          <w:lang w:val="en-CA"/>
        </w:rPr>
        <w:t xml:space="preserve">enacting </w:t>
      </w:r>
      <w:r w:rsidR="002D51A4" w:rsidRPr="00E02273">
        <w:rPr>
          <w:lang w:val="en-CA"/>
        </w:rPr>
        <w:t>l</w:t>
      </w:r>
      <w:r w:rsidR="00600C7E" w:rsidRPr="00E02273">
        <w:rPr>
          <w:lang w:val="en-CA"/>
        </w:rPr>
        <w:t>e</w:t>
      </w:r>
      <w:r w:rsidR="002D51A4" w:rsidRPr="00E02273">
        <w:rPr>
          <w:lang w:val="en-CA"/>
        </w:rPr>
        <w:t xml:space="preserve">gislature </w:t>
      </w:r>
      <w:r w:rsidR="00600C7E" w:rsidRPr="00E02273">
        <w:rPr>
          <w:lang w:val="en-CA"/>
        </w:rPr>
        <w:t xml:space="preserve">and not </w:t>
      </w:r>
      <w:r w:rsidR="002B1660" w:rsidRPr="00E02273">
        <w:rPr>
          <w:lang w:val="en-CA"/>
        </w:rPr>
        <w:t xml:space="preserve">impair the basic, minimum, and unassailable content of </w:t>
      </w:r>
      <w:r w:rsidR="00745FC8">
        <w:rPr>
          <w:lang w:val="en-CA"/>
        </w:rPr>
        <w:t xml:space="preserve">the </w:t>
      </w:r>
      <w:r w:rsidR="001512CB">
        <w:rPr>
          <w:lang w:val="en-CA"/>
        </w:rPr>
        <w:t xml:space="preserve">power </w:t>
      </w:r>
      <w:r w:rsidR="002D51A4" w:rsidRPr="00E02273">
        <w:rPr>
          <w:lang w:val="en-CA"/>
        </w:rPr>
        <w:t>of</w:t>
      </w:r>
      <w:r w:rsidR="002B1660" w:rsidRPr="00E02273">
        <w:rPr>
          <w:lang w:val="en-CA"/>
        </w:rPr>
        <w:t xml:space="preserve"> </w:t>
      </w:r>
      <w:r w:rsidR="002D51A4" w:rsidRPr="00E02273">
        <w:rPr>
          <w:lang w:val="en-CA"/>
        </w:rPr>
        <w:t>the</w:t>
      </w:r>
      <w:r w:rsidR="002B1660" w:rsidRPr="00E02273">
        <w:rPr>
          <w:lang w:val="en-CA"/>
        </w:rPr>
        <w:t xml:space="preserve"> </w:t>
      </w:r>
      <w:r w:rsidR="002D51A4" w:rsidRPr="00E02273">
        <w:rPr>
          <w:lang w:val="en-CA"/>
        </w:rPr>
        <w:t>other</w:t>
      </w:r>
      <w:r w:rsidR="002B1660" w:rsidRPr="00E02273">
        <w:rPr>
          <w:lang w:val="en-CA"/>
        </w:rPr>
        <w:t xml:space="preserve"> </w:t>
      </w:r>
      <w:r w:rsidR="002D51A4" w:rsidRPr="00E02273">
        <w:rPr>
          <w:lang w:val="en-CA"/>
        </w:rPr>
        <w:t>level</w:t>
      </w:r>
      <w:r w:rsidR="002B1660" w:rsidRPr="00E02273">
        <w:rPr>
          <w:lang w:val="en-CA"/>
        </w:rPr>
        <w:t xml:space="preserve"> </w:t>
      </w:r>
      <w:r w:rsidR="002D51A4" w:rsidRPr="00E02273">
        <w:rPr>
          <w:lang w:val="en-CA"/>
        </w:rPr>
        <w:t>of</w:t>
      </w:r>
      <w:r w:rsidR="002B1660" w:rsidRPr="00E02273">
        <w:rPr>
          <w:lang w:val="en-CA"/>
        </w:rPr>
        <w:t xml:space="preserve"> </w:t>
      </w:r>
      <w:r w:rsidR="002D51A4" w:rsidRPr="00E02273">
        <w:rPr>
          <w:lang w:val="en-CA"/>
        </w:rPr>
        <w:t>government</w:t>
      </w:r>
      <w:r w:rsidR="002B1660" w:rsidRPr="00E02273">
        <w:rPr>
          <w:lang w:val="en-CA"/>
        </w:rPr>
        <w:t>.</w:t>
      </w:r>
      <w:r w:rsidR="002D51A4" w:rsidRPr="00E02273">
        <w:rPr>
          <w:rStyle w:val="Appelnotedebasdep"/>
          <w:lang w:val="en-CA"/>
        </w:rPr>
        <w:footnoteReference w:id="131"/>
      </w:r>
    </w:p>
    <w:p w14:paraId="5548416B" w14:textId="27CC3ED6" w:rsidR="00B568AD" w:rsidRPr="00E02273" w:rsidRDefault="002D51A4" w:rsidP="00B568AD">
      <w:pPr>
        <w:pStyle w:val="Paragraphe"/>
        <w:numPr>
          <w:ilvl w:val="0"/>
          <w:numId w:val="0"/>
        </w:numPr>
        <w:spacing w:line="240" w:lineRule="auto"/>
        <w:ind w:firstLine="720"/>
        <w:rPr>
          <w:b/>
          <w:i/>
          <w:u w:val="single"/>
          <w:lang w:val="en-CA"/>
        </w:rPr>
      </w:pPr>
      <w:r w:rsidRPr="00E02273">
        <w:rPr>
          <w:b/>
          <w:u w:val="single"/>
          <w:lang w:val="en-CA"/>
        </w:rPr>
        <w:t xml:space="preserve">B </w:t>
      </w:r>
      <w:r w:rsidR="006D08CA">
        <w:rPr>
          <w:b/>
          <w:u w:val="single"/>
          <w:lang w:val="en-CA"/>
        </w:rPr>
        <w:t>-</w:t>
      </w:r>
      <w:r w:rsidRPr="00E02273">
        <w:rPr>
          <w:b/>
          <w:u w:val="single"/>
          <w:lang w:val="en-CA"/>
        </w:rPr>
        <w:t xml:space="preserve"> </w:t>
      </w:r>
      <w:r w:rsidR="00EA52FC" w:rsidRPr="00E02273">
        <w:rPr>
          <w:b/>
          <w:i/>
          <w:u w:val="single"/>
          <w:lang w:val="en-CA"/>
        </w:rPr>
        <w:t xml:space="preserve">The </w:t>
      </w:r>
      <w:r w:rsidRPr="00AF7432">
        <w:rPr>
          <w:b/>
          <w:i/>
          <w:u w:val="single"/>
          <w:lang w:val="en-CA"/>
        </w:rPr>
        <w:t>pith</w:t>
      </w:r>
      <w:r w:rsidR="00EA52FC" w:rsidRPr="00AF7432">
        <w:rPr>
          <w:b/>
          <w:i/>
          <w:u w:val="single"/>
          <w:lang w:val="en-CA"/>
        </w:rPr>
        <w:t xml:space="preserve"> </w:t>
      </w:r>
      <w:r w:rsidRPr="00AF7432">
        <w:rPr>
          <w:b/>
          <w:i/>
          <w:u w:val="single"/>
          <w:lang w:val="en-CA"/>
        </w:rPr>
        <w:t>and</w:t>
      </w:r>
      <w:r w:rsidR="00EA52FC" w:rsidRPr="00AF7432">
        <w:rPr>
          <w:b/>
          <w:i/>
          <w:u w:val="single"/>
          <w:lang w:val="en-CA"/>
        </w:rPr>
        <w:t xml:space="preserve"> </w:t>
      </w:r>
      <w:r w:rsidRPr="00AF7432">
        <w:rPr>
          <w:b/>
          <w:i/>
          <w:u w:val="single"/>
          <w:lang w:val="en-CA"/>
        </w:rPr>
        <w:t>substance</w:t>
      </w:r>
      <w:r w:rsidR="00EA52FC" w:rsidRPr="00AF7432">
        <w:rPr>
          <w:b/>
          <w:i/>
          <w:u w:val="single"/>
          <w:lang w:val="en-CA"/>
        </w:rPr>
        <w:t xml:space="preserve"> of the </w:t>
      </w:r>
      <w:r w:rsidRPr="00AF7432">
        <w:rPr>
          <w:b/>
          <w:i/>
          <w:u w:val="single"/>
          <w:lang w:val="en-CA"/>
        </w:rPr>
        <w:t>impugned</w:t>
      </w:r>
      <w:r w:rsidR="00EA52FC" w:rsidRPr="00AF7432">
        <w:rPr>
          <w:b/>
          <w:i/>
          <w:u w:val="single"/>
          <w:lang w:val="en-CA"/>
        </w:rPr>
        <w:t xml:space="preserve"> </w:t>
      </w:r>
      <w:r w:rsidRPr="00AF7432">
        <w:rPr>
          <w:b/>
          <w:i/>
          <w:u w:val="single"/>
          <w:lang w:val="en-CA"/>
        </w:rPr>
        <w:t>provisions</w:t>
      </w:r>
    </w:p>
    <w:p w14:paraId="5002967D" w14:textId="080974F1" w:rsidR="00B568AD" w:rsidRPr="00E02273" w:rsidRDefault="002D51A4" w:rsidP="008169E5">
      <w:pPr>
        <w:pStyle w:val="Paragraphe"/>
        <w:tabs>
          <w:tab w:val="num" w:pos="709"/>
        </w:tabs>
        <w:spacing w:line="240" w:lineRule="auto"/>
        <w:ind w:left="0"/>
        <w:rPr>
          <w:lang w:val="en-CA"/>
        </w:rPr>
      </w:pPr>
      <w:r w:rsidRPr="00E02273">
        <w:rPr>
          <w:lang w:val="en-CA"/>
        </w:rPr>
        <w:t xml:space="preserve"> </w:t>
      </w:r>
      <w:r w:rsidR="00C973C7" w:rsidRPr="00E02273">
        <w:rPr>
          <w:lang w:val="en-CA"/>
        </w:rPr>
        <w:t xml:space="preserve">Because </w:t>
      </w:r>
      <w:r w:rsidRPr="00E02273">
        <w:rPr>
          <w:lang w:val="en-CA"/>
        </w:rPr>
        <w:t xml:space="preserve">sections 91 </w:t>
      </w:r>
      <w:r w:rsidR="00C973C7" w:rsidRPr="00E02273">
        <w:rPr>
          <w:lang w:val="en-CA"/>
        </w:rPr>
        <w:t>and</w:t>
      </w:r>
      <w:r w:rsidRPr="00E02273">
        <w:rPr>
          <w:lang w:val="en-CA"/>
        </w:rPr>
        <w:t xml:space="preserve"> 92 </w:t>
      </w:r>
      <w:r w:rsidR="00C973C7" w:rsidRPr="00E02273">
        <w:rPr>
          <w:lang w:val="en-CA"/>
        </w:rPr>
        <w:t xml:space="preserve">of the </w:t>
      </w:r>
      <w:r w:rsidRPr="00E02273">
        <w:rPr>
          <w:i/>
          <w:lang w:val="en-CA"/>
        </w:rPr>
        <w:t>Constitution</w:t>
      </w:r>
      <w:r w:rsidR="00C973C7" w:rsidRPr="00E02273">
        <w:rPr>
          <w:i/>
          <w:lang w:val="en-CA"/>
        </w:rPr>
        <w:t xml:space="preserve"> </w:t>
      </w:r>
      <w:r w:rsidRPr="00E02273">
        <w:rPr>
          <w:i/>
          <w:lang w:val="en-CA"/>
        </w:rPr>
        <w:t>Act,</w:t>
      </w:r>
      <w:r w:rsidR="00C973C7" w:rsidRPr="00E02273">
        <w:rPr>
          <w:i/>
          <w:lang w:val="en-CA"/>
        </w:rPr>
        <w:t xml:space="preserve"> </w:t>
      </w:r>
      <w:r w:rsidRPr="00E02273">
        <w:rPr>
          <w:i/>
          <w:lang w:val="en-CA"/>
        </w:rPr>
        <w:t>1867</w:t>
      </w:r>
      <w:r w:rsidR="00C973C7" w:rsidRPr="00E02273">
        <w:rPr>
          <w:lang w:val="en-CA"/>
        </w:rPr>
        <w:t>, provide that</w:t>
      </w:r>
      <w:r w:rsidR="00FD1510" w:rsidRPr="00E02273">
        <w:rPr>
          <w:lang w:val="en-CA"/>
        </w:rPr>
        <w:t xml:space="preserve"> </w:t>
      </w:r>
      <w:r w:rsidRPr="00E02273">
        <w:rPr>
          <w:lang w:val="en-CA"/>
        </w:rPr>
        <w:t>Parliament</w:t>
      </w:r>
      <w:r w:rsidR="00FD1510" w:rsidRPr="00E02273">
        <w:rPr>
          <w:lang w:val="en-CA"/>
        </w:rPr>
        <w:t xml:space="preserve"> and the </w:t>
      </w:r>
      <w:r w:rsidRPr="00E02273">
        <w:rPr>
          <w:lang w:val="en-CA"/>
        </w:rPr>
        <w:t>provincial</w:t>
      </w:r>
      <w:r w:rsidR="00FD1510" w:rsidRPr="00E02273">
        <w:rPr>
          <w:lang w:val="en-CA"/>
        </w:rPr>
        <w:t xml:space="preserve"> </w:t>
      </w:r>
      <w:r w:rsidRPr="00E02273">
        <w:rPr>
          <w:lang w:val="en-CA"/>
        </w:rPr>
        <w:t xml:space="preserve">legislatures </w:t>
      </w:r>
      <w:r w:rsidR="00FD1510" w:rsidRPr="00E02273">
        <w:rPr>
          <w:lang w:val="en-CA"/>
        </w:rPr>
        <w:t xml:space="preserve">may make laws in relation to the “matters” enumerated therein, the </w:t>
      </w:r>
      <w:r w:rsidRPr="00E02273">
        <w:rPr>
          <w:lang w:val="en-CA"/>
        </w:rPr>
        <w:t>pith</w:t>
      </w:r>
      <w:r w:rsidR="00FD1510" w:rsidRPr="00E02273">
        <w:rPr>
          <w:lang w:val="en-CA"/>
        </w:rPr>
        <w:t xml:space="preserve"> </w:t>
      </w:r>
      <w:r w:rsidRPr="00E02273">
        <w:rPr>
          <w:lang w:val="en-CA"/>
        </w:rPr>
        <w:t>and</w:t>
      </w:r>
      <w:r w:rsidR="00FD1510" w:rsidRPr="00E02273">
        <w:rPr>
          <w:lang w:val="en-CA"/>
        </w:rPr>
        <w:t xml:space="preserve"> </w:t>
      </w:r>
      <w:r w:rsidR="008906E5" w:rsidRPr="00E02273">
        <w:rPr>
          <w:lang w:val="en-CA"/>
        </w:rPr>
        <w:t xml:space="preserve">substance analysis seeks to </w:t>
      </w:r>
      <w:r w:rsidRPr="00E02273">
        <w:rPr>
          <w:lang w:val="en-CA"/>
        </w:rPr>
        <w:t>identif</w:t>
      </w:r>
      <w:r w:rsidR="008906E5" w:rsidRPr="00E02273">
        <w:rPr>
          <w:lang w:val="en-CA"/>
        </w:rPr>
        <w:t>y the “matter” of the impugned statute or regulation.</w:t>
      </w:r>
      <w:r w:rsidRPr="00E02273">
        <w:rPr>
          <w:rStyle w:val="Appelnotedebasdep"/>
          <w:lang w:val="en-CA"/>
        </w:rPr>
        <w:footnoteReference w:id="132"/>
      </w:r>
      <w:r w:rsidRPr="00E02273">
        <w:rPr>
          <w:lang w:val="en-CA"/>
        </w:rPr>
        <w:t xml:space="preserve"> </w:t>
      </w:r>
      <w:r w:rsidR="008906E5" w:rsidRPr="00E02273">
        <w:rPr>
          <w:lang w:val="en-CA"/>
        </w:rPr>
        <w:t xml:space="preserve">The </w:t>
      </w:r>
      <w:r w:rsidRPr="00E02273">
        <w:rPr>
          <w:lang w:val="en-CA"/>
        </w:rPr>
        <w:t>Supreme</w:t>
      </w:r>
      <w:r w:rsidR="008906E5" w:rsidRPr="00E02273">
        <w:rPr>
          <w:lang w:val="en-CA"/>
        </w:rPr>
        <w:t xml:space="preserve"> </w:t>
      </w:r>
      <w:r w:rsidRPr="00E02273">
        <w:rPr>
          <w:lang w:val="en-CA"/>
        </w:rPr>
        <w:t xml:space="preserve">Court </w:t>
      </w:r>
      <w:r w:rsidR="001F4816" w:rsidRPr="00E02273">
        <w:rPr>
          <w:lang w:val="en-CA"/>
        </w:rPr>
        <w:t xml:space="preserve">has </w:t>
      </w:r>
      <w:r w:rsidR="008906E5" w:rsidRPr="00E02273">
        <w:rPr>
          <w:lang w:val="en-CA"/>
        </w:rPr>
        <w:t>describe</w:t>
      </w:r>
      <w:r w:rsidR="001F4816" w:rsidRPr="00E02273">
        <w:rPr>
          <w:lang w:val="en-CA"/>
        </w:rPr>
        <w:t>d</w:t>
      </w:r>
      <w:r w:rsidR="008906E5" w:rsidRPr="00E02273">
        <w:rPr>
          <w:lang w:val="en-CA"/>
        </w:rPr>
        <w:t xml:space="preserve"> the </w:t>
      </w:r>
      <w:r w:rsidRPr="00E02273">
        <w:rPr>
          <w:lang w:val="en-CA"/>
        </w:rPr>
        <w:t>pith</w:t>
      </w:r>
      <w:r w:rsidR="008906E5" w:rsidRPr="00E02273">
        <w:rPr>
          <w:lang w:val="en-CA"/>
        </w:rPr>
        <w:t xml:space="preserve"> </w:t>
      </w:r>
      <w:r w:rsidRPr="00E02273">
        <w:rPr>
          <w:lang w:val="en-CA"/>
        </w:rPr>
        <w:t>and</w:t>
      </w:r>
      <w:r w:rsidR="008906E5" w:rsidRPr="00E02273">
        <w:rPr>
          <w:lang w:val="en-CA"/>
        </w:rPr>
        <w:t xml:space="preserve"> </w:t>
      </w:r>
      <w:r w:rsidRPr="00E02273">
        <w:rPr>
          <w:lang w:val="en-CA"/>
        </w:rPr>
        <w:t>substance</w:t>
      </w:r>
      <w:r w:rsidR="008906E5" w:rsidRPr="00E02273">
        <w:rPr>
          <w:lang w:val="en-CA"/>
        </w:rPr>
        <w:t xml:space="preserve"> or matter of a statute or regulation as its</w:t>
      </w:r>
      <w:r w:rsidR="001F4816" w:rsidRPr="00E02273">
        <w:rPr>
          <w:lang w:val="en-CA"/>
        </w:rPr>
        <w:t xml:space="preserve"> “</w:t>
      </w:r>
      <w:r w:rsidR="001F4816" w:rsidRPr="00E02273">
        <w:rPr>
          <w:color w:val="000000"/>
          <w:lang w:val="en-CA"/>
        </w:rPr>
        <w:t>leading feature or true character”</w:t>
      </w:r>
      <w:r w:rsidRPr="00E02273">
        <w:rPr>
          <w:lang w:val="en-CA"/>
        </w:rPr>
        <w:t>,</w:t>
      </w:r>
      <w:r w:rsidR="001F4816" w:rsidRPr="00E02273">
        <w:rPr>
          <w:lang w:val="en-CA"/>
        </w:rPr>
        <w:t xml:space="preserve"> its “</w:t>
      </w:r>
      <w:r w:rsidR="001F4816" w:rsidRPr="00E02273">
        <w:rPr>
          <w:color w:val="000000"/>
          <w:lang w:val="en-CA"/>
        </w:rPr>
        <w:t>dominant purpose”, or its “dominant or most important characteristic”.</w:t>
      </w:r>
      <w:r w:rsidRPr="00E02273">
        <w:rPr>
          <w:rStyle w:val="Appelnotedebasdep"/>
          <w:lang w:val="en-CA"/>
        </w:rPr>
        <w:footnoteReference w:id="133"/>
      </w:r>
      <w:r w:rsidR="008E7278" w:rsidRPr="00E02273">
        <w:rPr>
          <w:color w:val="000000"/>
          <w:lang w:val="en-CA"/>
        </w:rPr>
        <w:t xml:space="preserve"> To de</w:t>
      </w:r>
      <w:r w:rsidRPr="00E02273">
        <w:rPr>
          <w:lang w:val="en-CA"/>
        </w:rPr>
        <w:t>termine</w:t>
      </w:r>
      <w:r w:rsidR="008E7278" w:rsidRPr="00E02273">
        <w:rPr>
          <w:lang w:val="en-CA"/>
        </w:rPr>
        <w:t xml:space="preserve"> the </w:t>
      </w:r>
      <w:r w:rsidRPr="00E02273">
        <w:rPr>
          <w:lang w:val="en-CA"/>
        </w:rPr>
        <w:t>pith</w:t>
      </w:r>
      <w:r w:rsidR="008E7278" w:rsidRPr="00E02273">
        <w:rPr>
          <w:lang w:val="en-CA"/>
        </w:rPr>
        <w:t xml:space="preserve"> </w:t>
      </w:r>
      <w:r w:rsidRPr="00E02273">
        <w:rPr>
          <w:lang w:val="en-CA"/>
        </w:rPr>
        <w:t>and</w:t>
      </w:r>
      <w:r w:rsidR="008E7278" w:rsidRPr="00E02273">
        <w:rPr>
          <w:lang w:val="en-CA"/>
        </w:rPr>
        <w:t xml:space="preserve"> </w:t>
      </w:r>
      <w:r w:rsidRPr="00E02273">
        <w:rPr>
          <w:lang w:val="en-CA"/>
        </w:rPr>
        <w:t>substance</w:t>
      </w:r>
      <w:r w:rsidR="008E7278" w:rsidRPr="00E02273">
        <w:rPr>
          <w:lang w:val="en-CA"/>
        </w:rPr>
        <w:t xml:space="preserve"> of a statute or regulation, it is necessary to </w:t>
      </w:r>
      <w:r w:rsidRPr="00E02273">
        <w:rPr>
          <w:lang w:val="en-CA"/>
        </w:rPr>
        <w:t>examine</w:t>
      </w:r>
      <w:r w:rsidR="008E7278" w:rsidRPr="00E02273">
        <w:rPr>
          <w:lang w:val="en-CA"/>
        </w:rPr>
        <w:t xml:space="preserve"> its purpose, that is, what the </w:t>
      </w:r>
      <w:r w:rsidRPr="00E02273">
        <w:rPr>
          <w:lang w:val="en-CA"/>
        </w:rPr>
        <w:t>legislature</w:t>
      </w:r>
      <w:r w:rsidR="008E7278" w:rsidRPr="00E02273">
        <w:rPr>
          <w:lang w:val="en-CA"/>
        </w:rPr>
        <w:t xml:space="preserve"> wanted to </w:t>
      </w:r>
      <w:r w:rsidRPr="00E02273">
        <w:rPr>
          <w:lang w:val="en-CA"/>
        </w:rPr>
        <w:t>accompli</w:t>
      </w:r>
      <w:r w:rsidR="008E7278" w:rsidRPr="00E02273">
        <w:rPr>
          <w:lang w:val="en-CA"/>
        </w:rPr>
        <w:t>sh,</w:t>
      </w:r>
      <w:r w:rsidRPr="00E02273">
        <w:rPr>
          <w:rStyle w:val="Appelnotedebasdep"/>
          <w:lang w:val="en-CA"/>
        </w:rPr>
        <w:footnoteReference w:id="134"/>
      </w:r>
      <w:r w:rsidR="008E7278" w:rsidRPr="00E02273">
        <w:rPr>
          <w:lang w:val="en-CA"/>
        </w:rPr>
        <w:t xml:space="preserve"> and its </w:t>
      </w:r>
      <w:r w:rsidR="008E7278" w:rsidRPr="00E02273">
        <w:rPr>
          <w:color w:val="000000"/>
          <w:lang w:val="en-CA"/>
        </w:rPr>
        <w:t>legal and practical effects.</w:t>
      </w:r>
      <w:r w:rsidRPr="00E02273">
        <w:rPr>
          <w:rStyle w:val="Appelnotedebasdep"/>
          <w:lang w:val="en-CA"/>
        </w:rPr>
        <w:footnoteReference w:id="135"/>
      </w:r>
    </w:p>
    <w:p w14:paraId="0E54137A" w14:textId="04D71E69" w:rsidR="00B568AD" w:rsidRPr="00E02273" w:rsidRDefault="00A82315" w:rsidP="008169E5">
      <w:pPr>
        <w:pStyle w:val="Paragraphe"/>
        <w:tabs>
          <w:tab w:val="num" w:pos="709"/>
        </w:tabs>
        <w:spacing w:line="240" w:lineRule="auto"/>
        <w:ind w:left="0"/>
        <w:rPr>
          <w:lang w:val="en-CA"/>
        </w:rPr>
      </w:pPr>
      <w:r w:rsidRPr="00E02273">
        <w:rPr>
          <w:lang w:val="en-CA"/>
        </w:rPr>
        <w:lastRenderedPageBreak/>
        <w:t xml:space="preserve">As </w:t>
      </w:r>
      <w:r w:rsidR="002D51A4" w:rsidRPr="00E02273">
        <w:rPr>
          <w:lang w:val="en-CA"/>
        </w:rPr>
        <w:t xml:space="preserve">LeBel </w:t>
      </w:r>
      <w:r w:rsidRPr="00E02273">
        <w:rPr>
          <w:lang w:val="en-CA"/>
        </w:rPr>
        <w:t xml:space="preserve">J. stated in </w:t>
      </w:r>
      <w:r w:rsidR="002D51A4" w:rsidRPr="00E02273">
        <w:rPr>
          <w:i/>
          <w:lang w:val="en-CA"/>
        </w:rPr>
        <w:t>Kitka</w:t>
      </w:r>
      <w:r w:rsidR="00026602">
        <w:rPr>
          <w:i/>
          <w:lang w:val="en-CA"/>
        </w:rPr>
        <w:t>t</w:t>
      </w:r>
      <w:r w:rsidR="002D51A4" w:rsidRPr="00E02273">
        <w:rPr>
          <w:i/>
          <w:lang w:val="en-CA"/>
        </w:rPr>
        <w:t>la</w:t>
      </w:r>
      <w:r w:rsidRPr="00E02273">
        <w:rPr>
          <w:i/>
          <w:lang w:val="en-CA"/>
        </w:rPr>
        <w:t xml:space="preserve"> Band</w:t>
      </w:r>
      <w:r w:rsidR="002D51A4" w:rsidRPr="00E02273">
        <w:rPr>
          <w:lang w:val="en-CA"/>
        </w:rPr>
        <w:t xml:space="preserve">, </w:t>
      </w:r>
      <w:r w:rsidRPr="00E02273">
        <w:rPr>
          <w:lang w:val="en-CA"/>
        </w:rPr>
        <w:t xml:space="preserve">the </w:t>
      </w:r>
      <w:r w:rsidR="002D51A4" w:rsidRPr="00E02273">
        <w:rPr>
          <w:lang w:val="en-CA"/>
        </w:rPr>
        <w:t>pith</w:t>
      </w:r>
      <w:r w:rsidR="001F2E28" w:rsidRPr="00E02273">
        <w:rPr>
          <w:lang w:val="en-CA"/>
        </w:rPr>
        <w:t xml:space="preserve"> </w:t>
      </w:r>
      <w:r w:rsidR="002D51A4" w:rsidRPr="00E02273">
        <w:rPr>
          <w:lang w:val="en-CA"/>
        </w:rPr>
        <w:t>and</w:t>
      </w:r>
      <w:r w:rsidR="001F2E28" w:rsidRPr="00E02273">
        <w:rPr>
          <w:lang w:val="en-CA"/>
        </w:rPr>
        <w:t xml:space="preserve"> </w:t>
      </w:r>
      <w:r w:rsidR="002D51A4" w:rsidRPr="00E02273">
        <w:rPr>
          <w:lang w:val="en-CA"/>
        </w:rPr>
        <w:t>substance</w:t>
      </w:r>
      <w:r w:rsidR="001F2E28" w:rsidRPr="00E02273">
        <w:rPr>
          <w:lang w:val="en-CA"/>
        </w:rPr>
        <w:t xml:space="preserve"> analysis looks at both the purpose of the impugned statute or regulation and its legal and practical effects:</w:t>
      </w:r>
      <w:r w:rsidR="002D51A4" w:rsidRPr="00E02273">
        <w:rPr>
          <w:rStyle w:val="Appelnotedebasdep"/>
          <w:lang w:val="en-CA"/>
        </w:rPr>
        <w:footnoteReference w:id="136"/>
      </w:r>
      <w:r w:rsidR="002D51A4" w:rsidRPr="00E02273">
        <w:rPr>
          <w:i/>
          <w:lang w:val="en-CA"/>
        </w:rPr>
        <w:t> </w:t>
      </w:r>
    </w:p>
    <w:p w14:paraId="4A7BEF89" w14:textId="72D16EC8" w:rsidR="00B568AD" w:rsidRPr="00E02273" w:rsidRDefault="002D51A4" w:rsidP="00B568AD">
      <w:pPr>
        <w:pStyle w:val="Citationenretrait"/>
        <w:spacing w:line="240" w:lineRule="auto"/>
        <w:rPr>
          <w:lang w:val="en-CA" w:eastAsia="fr-CA"/>
        </w:rPr>
      </w:pPr>
      <w:r w:rsidRPr="00E02273">
        <w:rPr>
          <w:lang w:val="en-CA" w:eastAsia="fr-CA"/>
        </w:rPr>
        <w:t>[53]</w:t>
      </w:r>
      <w:r w:rsidRPr="00E02273">
        <w:rPr>
          <w:lang w:val="en-CA" w:eastAsia="fr-CA"/>
        </w:rPr>
        <w:tab/>
      </w:r>
      <w:r w:rsidR="00893D94" w:rsidRPr="00E02273">
        <w:rPr>
          <w:lang w:val="en-CA" w:eastAsia="fr-CA"/>
        </w:rPr>
        <w:t>A pith and substance analysis looks at both (1) the purpose of the legislation as well as (2) its effect. First, to determine the purpose of the legislation, the Court may look at both intrinsic evidence, such as purpose clauses, or extrinsic evidence, such as Hansard or the minutes of parliamentary committees</w:t>
      </w:r>
      <w:r w:rsidRPr="00E02273">
        <w:rPr>
          <w:lang w:val="en-CA" w:eastAsia="fr-CA"/>
        </w:rPr>
        <w:t>.</w:t>
      </w:r>
    </w:p>
    <w:p w14:paraId="0FA127CD" w14:textId="734D1690" w:rsidR="00B568AD" w:rsidRPr="00E02273" w:rsidRDefault="002D51A4" w:rsidP="00B568AD">
      <w:pPr>
        <w:pStyle w:val="Citationenretrait"/>
        <w:spacing w:line="240" w:lineRule="auto"/>
        <w:rPr>
          <w:lang w:val="en-CA" w:eastAsia="fr-CA"/>
        </w:rPr>
      </w:pPr>
      <w:r w:rsidRPr="00E02273">
        <w:rPr>
          <w:lang w:val="en-CA" w:eastAsia="fr-CA"/>
        </w:rPr>
        <w:t>[54]</w:t>
      </w:r>
      <w:r w:rsidRPr="00E02273">
        <w:rPr>
          <w:lang w:val="en-CA" w:eastAsia="fr-CA"/>
        </w:rPr>
        <w:tab/>
      </w:r>
      <w:r w:rsidR="00893D94" w:rsidRPr="00E02273">
        <w:rPr>
          <w:lang w:val="en-CA" w:eastAsia="fr-CA"/>
        </w:rPr>
        <w:t>Second, in looking at the effect of the legislation, the Court may consider both its legal effect and its practical effect. In other words, the Court looks to see, first, what effect flows directly from the provisions of the statute itself; then, second, what “side” effects flow from the application of the statute which are not direct effects of the provisions of the statute itself: see</w:t>
      </w:r>
      <w:r w:rsidR="00893D94" w:rsidRPr="00E02273">
        <w:rPr>
          <w:i/>
          <w:iCs/>
          <w:lang w:val="en-CA" w:eastAsia="fr-CA"/>
        </w:rPr>
        <w:t> R. v. Morgentaler</w:t>
      </w:r>
      <w:r w:rsidR="00893D94" w:rsidRPr="00E02273">
        <w:rPr>
          <w:lang w:val="en-CA" w:eastAsia="fr-CA"/>
        </w:rPr>
        <w:t>, 1993 CanLII 74 (SCC), [1993] 3 S.C.R. 463, at pp. 482-83.</w:t>
      </w:r>
    </w:p>
    <w:p w14:paraId="34808C76" w14:textId="4B1B7CB0" w:rsidR="00B568AD" w:rsidRPr="00E02273" w:rsidRDefault="00A009F1" w:rsidP="008169E5">
      <w:pPr>
        <w:pStyle w:val="Paragraphe"/>
        <w:tabs>
          <w:tab w:val="num" w:pos="709"/>
        </w:tabs>
        <w:spacing w:line="240" w:lineRule="auto"/>
        <w:ind w:left="0"/>
        <w:rPr>
          <w:lang w:val="en-CA"/>
        </w:rPr>
      </w:pPr>
      <w:r w:rsidRPr="00E02273">
        <w:rPr>
          <w:lang w:val="en-CA"/>
        </w:rPr>
        <w:t xml:space="preserve">Binnie and LeBel JJ. </w:t>
      </w:r>
      <w:r w:rsidR="001512CB">
        <w:rPr>
          <w:lang w:val="en-CA"/>
        </w:rPr>
        <w:t>adopted</w:t>
      </w:r>
      <w:r w:rsidR="001512CB" w:rsidRPr="00E02273">
        <w:rPr>
          <w:lang w:val="en-CA"/>
        </w:rPr>
        <w:t xml:space="preserve"> </w:t>
      </w:r>
      <w:r w:rsidRPr="00E02273">
        <w:rPr>
          <w:lang w:val="en-CA"/>
        </w:rPr>
        <w:t xml:space="preserve">this </w:t>
      </w:r>
      <w:r w:rsidR="002D51A4" w:rsidRPr="00E02273">
        <w:rPr>
          <w:lang w:val="en-CA"/>
        </w:rPr>
        <w:t>appro</w:t>
      </w:r>
      <w:r w:rsidRPr="00E02273">
        <w:rPr>
          <w:lang w:val="en-CA"/>
        </w:rPr>
        <w:t>a</w:t>
      </w:r>
      <w:r w:rsidR="002D51A4" w:rsidRPr="00E02273">
        <w:rPr>
          <w:lang w:val="en-CA"/>
        </w:rPr>
        <w:t>ch</w:t>
      </w:r>
      <w:r w:rsidRPr="00E02273">
        <w:rPr>
          <w:lang w:val="en-CA"/>
        </w:rPr>
        <w:t xml:space="preserve"> in </w:t>
      </w:r>
      <w:r w:rsidR="002D51A4" w:rsidRPr="00E02273">
        <w:rPr>
          <w:i/>
          <w:lang w:val="en-CA"/>
        </w:rPr>
        <w:t>Canadian</w:t>
      </w:r>
      <w:r w:rsidRPr="00E02273">
        <w:rPr>
          <w:i/>
          <w:lang w:val="en-CA"/>
        </w:rPr>
        <w:t xml:space="preserve"> </w:t>
      </w:r>
      <w:r w:rsidR="002D51A4" w:rsidRPr="00E02273">
        <w:rPr>
          <w:i/>
          <w:lang w:val="en-CA"/>
        </w:rPr>
        <w:t>Western</w:t>
      </w:r>
      <w:r w:rsidRPr="00E02273">
        <w:rPr>
          <w:i/>
          <w:lang w:val="en-CA"/>
        </w:rPr>
        <w:t xml:space="preserve"> </w:t>
      </w:r>
      <w:r w:rsidR="002D51A4" w:rsidRPr="00E02273">
        <w:rPr>
          <w:i/>
          <w:lang w:val="en-CA"/>
        </w:rPr>
        <w:t>Bank</w:t>
      </w:r>
      <w:r w:rsidRPr="00E02273">
        <w:rPr>
          <w:lang w:val="en-CA"/>
        </w:rPr>
        <w:t xml:space="preserve">. Again, they indicated that </w:t>
      </w:r>
      <w:r w:rsidR="002D51A4" w:rsidRPr="00E02273">
        <w:rPr>
          <w:lang w:val="en-CA"/>
        </w:rPr>
        <w:t>extrinsic</w:t>
      </w:r>
      <w:r w:rsidRPr="00E02273">
        <w:rPr>
          <w:lang w:val="en-CA"/>
        </w:rPr>
        <w:t xml:space="preserve"> </w:t>
      </w:r>
      <w:r w:rsidR="002D51A4" w:rsidRPr="00E02273">
        <w:rPr>
          <w:lang w:val="en-CA"/>
        </w:rPr>
        <w:t>evidence</w:t>
      </w:r>
      <w:r w:rsidRPr="00E02273">
        <w:rPr>
          <w:lang w:val="en-CA"/>
        </w:rPr>
        <w:t xml:space="preserve"> may be useful for this purpose</w:t>
      </w:r>
      <w:r w:rsidR="002D51A4" w:rsidRPr="00E02273">
        <w:rPr>
          <w:lang w:val="en-CA"/>
        </w:rPr>
        <w:t xml:space="preserve">. </w:t>
      </w:r>
      <w:r w:rsidR="00B960DC" w:rsidRPr="00E02273">
        <w:rPr>
          <w:lang w:val="en-CA"/>
        </w:rPr>
        <w:t xml:space="preserve">The </w:t>
      </w:r>
      <w:r w:rsidR="00B960DC" w:rsidRPr="00E02273">
        <w:rPr>
          <w:u w:val="single"/>
          <w:lang w:val="en-CA"/>
        </w:rPr>
        <w:t>true</w:t>
      </w:r>
      <w:r w:rsidR="00B960DC" w:rsidRPr="00E02273">
        <w:rPr>
          <w:lang w:val="en-CA"/>
        </w:rPr>
        <w:t xml:space="preserve"> purpose of the </w:t>
      </w:r>
      <w:r w:rsidR="002D51A4" w:rsidRPr="00E02273">
        <w:rPr>
          <w:lang w:val="en-CA"/>
        </w:rPr>
        <w:t>legislation</w:t>
      </w:r>
      <w:r w:rsidR="00B960DC" w:rsidRPr="00E02273">
        <w:rPr>
          <w:lang w:val="en-CA"/>
        </w:rPr>
        <w:t xml:space="preserve"> must be established, as opposed to its stated purpose, taking its effects into account:</w:t>
      </w:r>
      <w:r w:rsidR="002D51A4" w:rsidRPr="00E02273">
        <w:rPr>
          <w:rStyle w:val="Appelnotedebasdep"/>
          <w:lang w:val="en-CA"/>
        </w:rPr>
        <w:footnoteReference w:id="137"/>
      </w:r>
    </w:p>
    <w:p w14:paraId="42994C0E" w14:textId="539A74CE" w:rsidR="00B568AD" w:rsidRPr="00E02273" w:rsidRDefault="002D51A4" w:rsidP="00B568AD">
      <w:pPr>
        <w:pStyle w:val="Citationenretrait"/>
        <w:spacing w:line="240" w:lineRule="auto"/>
        <w:rPr>
          <w:lang w:val="en-CA" w:eastAsia="fr-CA"/>
        </w:rPr>
      </w:pPr>
      <w:r w:rsidRPr="00E02273">
        <w:rPr>
          <w:lang w:val="en-CA" w:eastAsia="fr-CA"/>
        </w:rPr>
        <w:t>[27]</w:t>
      </w:r>
      <w:r w:rsidRPr="00E02273">
        <w:rPr>
          <w:lang w:val="en-CA" w:eastAsia="fr-CA"/>
        </w:rPr>
        <w:tab/>
      </w:r>
      <w:r w:rsidR="00B960DC" w:rsidRPr="00E02273">
        <w:rPr>
          <w:lang w:val="en-CA" w:eastAsia="fr-CA"/>
        </w:rPr>
        <w:t> To determine the pith and substance, two aspects of the law must be examined: the purpose of the enacting body and the legal effect of the law (</w:t>
      </w:r>
      <w:r w:rsidR="00B960DC" w:rsidRPr="00E02273">
        <w:rPr>
          <w:i/>
          <w:iCs/>
          <w:lang w:val="en-CA" w:eastAsia="fr-CA"/>
        </w:rPr>
        <w:t>Reference re Firearms Act</w:t>
      </w:r>
      <w:r w:rsidR="00B960DC" w:rsidRPr="00E02273">
        <w:rPr>
          <w:lang w:val="en-CA" w:eastAsia="fr-CA"/>
        </w:rPr>
        <w:t>, at para. 16). To assess the purpose, the courts may consider both intrinsic evidence, such as the legislation’s preamble or purpose clauses, and extrinsic evidence, such as Hansard or minutes of parliamentary debates. In so doing, they must nevertheless seek to ascertain the</w:t>
      </w:r>
      <w:r w:rsidR="00B960DC" w:rsidRPr="00E02273">
        <w:rPr>
          <w:i/>
          <w:iCs/>
          <w:lang w:val="en-CA" w:eastAsia="fr-CA"/>
        </w:rPr>
        <w:t> true </w:t>
      </w:r>
      <w:r w:rsidR="00B960DC" w:rsidRPr="00E02273">
        <w:rPr>
          <w:lang w:val="en-CA" w:eastAsia="fr-CA"/>
        </w:rPr>
        <w:t>purpose of the legislation, as opposed to its mere stated or apparent purpose (</w:t>
      </w:r>
      <w:r w:rsidR="00B960DC" w:rsidRPr="00E02273">
        <w:rPr>
          <w:i/>
          <w:iCs/>
          <w:lang w:val="en-CA" w:eastAsia="fr-CA"/>
        </w:rPr>
        <w:t>Attorney-General for Ontario v. Reciprocal Insurers</w:t>
      </w:r>
      <w:r w:rsidR="00B960DC" w:rsidRPr="00E02273">
        <w:rPr>
          <w:lang w:val="en-CA" w:eastAsia="fr-CA"/>
        </w:rPr>
        <w:t>, 1924 CanLII 460 (UK JCPC), [1924] A.C. 328 (P.C.), at p. 337). Equally, the courts may take into account the effects of the legislation. For example, in </w:t>
      </w:r>
      <w:r w:rsidR="00B960DC" w:rsidRPr="00E02273">
        <w:rPr>
          <w:i/>
          <w:iCs/>
          <w:lang w:val="en-CA" w:eastAsia="fr-CA"/>
        </w:rPr>
        <w:t>Attorney-General for Alberta v. Attorney-General for Canada</w:t>
      </w:r>
      <w:r w:rsidR="00B960DC" w:rsidRPr="00E02273">
        <w:rPr>
          <w:lang w:val="en-CA" w:eastAsia="fr-CA"/>
        </w:rPr>
        <w:t>, 1938 CanLII 251 (UK JCPC), [1939] A.C. 117 (“</w:t>
      </w:r>
      <w:r w:rsidR="00B960DC" w:rsidRPr="00E02273">
        <w:rPr>
          <w:i/>
          <w:iCs/>
          <w:lang w:val="en-CA" w:eastAsia="fr-CA"/>
        </w:rPr>
        <w:t>Alberta Banks</w:t>
      </w:r>
      <w:r w:rsidR="00B960DC" w:rsidRPr="00E02273">
        <w:rPr>
          <w:lang w:val="en-CA" w:eastAsia="fr-CA"/>
        </w:rPr>
        <w:t>”), the Privy Council held a provincial statute levying a tax on banks to be invalid on the basis that its effects on banks were so great that its true purpose could not be (as the province argued) the raising of money by levying a tax (in which case it would have been </w:t>
      </w:r>
      <w:r w:rsidR="00B960DC" w:rsidRPr="00E02273">
        <w:rPr>
          <w:i/>
          <w:iCs/>
          <w:lang w:val="en-CA" w:eastAsia="fr-CA"/>
        </w:rPr>
        <w:t>intra vires</w:t>
      </w:r>
      <w:r w:rsidR="00B960DC" w:rsidRPr="00E02273">
        <w:rPr>
          <w:lang w:val="en-CA" w:eastAsia="fr-CA"/>
        </w:rPr>
        <w:t>), but was rather the regulation of banking (which rendered it </w:t>
      </w:r>
      <w:r w:rsidR="00B960DC" w:rsidRPr="00E02273">
        <w:rPr>
          <w:i/>
          <w:iCs/>
          <w:lang w:val="en-CA" w:eastAsia="fr-CA"/>
        </w:rPr>
        <w:t>ultra vires</w:t>
      </w:r>
      <w:r w:rsidR="00B960DC" w:rsidRPr="00E02273">
        <w:rPr>
          <w:lang w:val="en-CA" w:eastAsia="fr-CA"/>
        </w:rPr>
        <w:t>, and thus invalid).</w:t>
      </w:r>
    </w:p>
    <w:p w14:paraId="0E078FFA" w14:textId="5CA5199F" w:rsidR="00B568AD" w:rsidRPr="00E02273" w:rsidRDefault="00B846B2" w:rsidP="008169E5">
      <w:pPr>
        <w:pStyle w:val="Paragraphe"/>
        <w:tabs>
          <w:tab w:val="num" w:pos="709"/>
        </w:tabs>
        <w:spacing w:line="240" w:lineRule="auto"/>
        <w:ind w:left="0"/>
        <w:rPr>
          <w:lang w:val="en-CA"/>
        </w:rPr>
      </w:pPr>
      <w:r w:rsidRPr="00E02273">
        <w:rPr>
          <w:lang w:val="en-CA"/>
        </w:rPr>
        <w:t xml:space="preserve">The overarching </w:t>
      </w:r>
      <w:r w:rsidR="00882633" w:rsidRPr="00E02273">
        <w:rPr>
          <w:lang w:val="en-CA"/>
        </w:rPr>
        <w:t xml:space="preserve">principles </w:t>
      </w:r>
      <w:r w:rsidRPr="00E02273">
        <w:rPr>
          <w:lang w:val="en-CA"/>
        </w:rPr>
        <w:t xml:space="preserve">of the </w:t>
      </w:r>
      <w:r w:rsidR="002D51A4" w:rsidRPr="00E02273">
        <w:rPr>
          <w:lang w:val="en-CA"/>
        </w:rPr>
        <w:t>characterization</w:t>
      </w:r>
      <w:r w:rsidR="00247A54">
        <w:rPr>
          <w:lang w:val="en-CA"/>
        </w:rPr>
        <w:t xml:space="preserve"> analysis</w:t>
      </w:r>
      <w:r w:rsidRPr="00E02273">
        <w:rPr>
          <w:lang w:val="en-CA"/>
        </w:rPr>
        <w:t xml:space="preserve"> were recently </w:t>
      </w:r>
      <w:r w:rsidR="001512CB">
        <w:rPr>
          <w:lang w:val="en-CA"/>
        </w:rPr>
        <w:t>stated</w:t>
      </w:r>
      <w:r w:rsidRPr="00E02273">
        <w:rPr>
          <w:lang w:val="en-CA"/>
        </w:rPr>
        <w:t xml:space="preserve"> by </w:t>
      </w:r>
      <w:r w:rsidR="002D51A4" w:rsidRPr="00E02273">
        <w:rPr>
          <w:lang w:val="en-CA"/>
        </w:rPr>
        <w:t xml:space="preserve">Wagner </w:t>
      </w:r>
      <w:r w:rsidR="009D3BD1">
        <w:rPr>
          <w:lang w:val="en-CA"/>
        </w:rPr>
        <w:t xml:space="preserve">C.J. </w:t>
      </w:r>
      <w:r w:rsidRPr="00E02273">
        <w:rPr>
          <w:lang w:val="en-CA"/>
        </w:rPr>
        <w:t xml:space="preserve">in </w:t>
      </w:r>
      <w:r w:rsidRPr="00E02273">
        <w:rPr>
          <w:i/>
          <w:lang w:val="en-CA"/>
        </w:rPr>
        <w:t>References re Greenhouse Gas Pollution Pricing Act</w:t>
      </w:r>
      <w:r w:rsidRPr="00E02273">
        <w:rPr>
          <w:lang w:val="en-CA"/>
        </w:rPr>
        <w:t>:</w:t>
      </w:r>
      <w:r w:rsidR="002D51A4" w:rsidRPr="00E02273">
        <w:rPr>
          <w:rStyle w:val="Appelnotedebasdep"/>
          <w:lang w:val="en-CA"/>
        </w:rPr>
        <w:footnoteReference w:id="138"/>
      </w:r>
    </w:p>
    <w:p w14:paraId="532B29F5" w14:textId="7738F4F9" w:rsidR="00B568AD" w:rsidRPr="00E02273" w:rsidRDefault="002D51A4" w:rsidP="00B568AD">
      <w:pPr>
        <w:pStyle w:val="Citationenretrait"/>
        <w:spacing w:line="240" w:lineRule="auto"/>
        <w:rPr>
          <w:lang w:val="en-CA" w:eastAsia="fr-CA"/>
        </w:rPr>
      </w:pPr>
      <w:r w:rsidRPr="00E02273">
        <w:rPr>
          <w:lang w:val="en-CA" w:eastAsia="fr-CA"/>
        </w:rPr>
        <w:t>[</w:t>
      </w:r>
      <w:bookmarkStart w:id="40" w:name="par51"/>
      <w:r w:rsidRPr="00E02273">
        <w:rPr>
          <w:lang w:val="en-CA" w:eastAsia="fr-CA"/>
        </w:rPr>
        <w:t>51</w:t>
      </w:r>
      <w:bookmarkEnd w:id="40"/>
      <w:r w:rsidRPr="00E02273">
        <w:rPr>
          <w:lang w:val="en-CA" w:eastAsia="fr-CA"/>
        </w:rPr>
        <w:t>]</w:t>
      </w:r>
      <w:r w:rsidRPr="00E02273">
        <w:rPr>
          <w:sz w:val="14"/>
          <w:szCs w:val="14"/>
          <w:lang w:val="en-CA" w:eastAsia="fr-CA"/>
        </w:rPr>
        <w:tab/>
      </w:r>
      <w:r w:rsidR="00B846B2" w:rsidRPr="00E02273">
        <w:rPr>
          <w:color w:val="000000"/>
          <w:sz w:val="14"/>
          <w:szCs w:val="14"/>
          <w:lang w:val="en-CA"/>
        </w:rPr>
        <w:t> </w:t>
      </w:r>
      <w:r w:rsidR="00B846B2" w:rsidRPr="00E02273">
        <w:rPr>
          <w:color w:val="000000"/>
          <w:lang w:val="en-CA"/>
        </w:rPr>
        <w:t xml:space="preserve">At the first stage of the division of powers analysis, a court must consider the purpose and effects of the challenged statute or provision in order to identify </w:t>
      </w:r>
      <w:r w:rsidR="00B846B2" w:rsidRPr="00E02273">
        <w:rPr>
          <w:color w:val="000000"/>
          <w:lang w:val="en-CA"/>
        </w:rPr>
        <w:lastRenderedPageBreak/>
        <w:t>its “pith and substance”, or true subject matter: </w:t>
      </w:r>
      <w:r w:rsidR="00B846B2" w:rsidRPr="00E02273">
        <w:rPr>
          <w:i/>
          <w:iCs/>
          <w:color w:val="000000"/>
          <w:lang w:val="en-CA"/>
        </w:rPr>
        <w:t>2018 Securities Reference</w:t>
      </w:r>
      <w:r w:rsidR="00B846B2" w:rsidRPr="00E02273">
        <w:rPr>
          <w:color w:val="000000"/>
          <w:lang w:val="en-CA"/>
        </w:rPr>
        <w:t>, at para. 86; </w:t>
      </w:r>
      <w:r w:rsidR="00B846B2" w:rsidRPr="00E02273">
        <w:rPr>
          <w:i/>
          <w:iCs/>
          <w:color w:val="000000"/>
          <w:lang w:val="en-CA"/>
        </w:rPr>
        <w:t>Reference re Genetic Non-Discrimination Act</w:t>
      </w:r>
      <w:r w:rsidR="00B846B2" w:rsidRPr="00E02273">
        <w:rPr>
          <w:color w:val="000000"/>
          <w:lang w:val="en-CA"/>
        </w:rPr>
        <w:t>, </w:t>
      </w:r>
      <w:r w:rsidR="00B846B2" w:rsidRPr="00E02273">
        <w:rPr>
          <w:lang w:val="en-CA"/>
        </w:rPr>
        <w:t>2020 SCC 17</w:t>
      </w:r>
      <w:r w:rsidR="00B846B2" w:rsidRPr="00E02273">
        <w:rPr>
          <w:color w:val="000000"/>
          <w:lang w:val="en-CA"/>
        </w:rPr>
        <w:t>, at paras. </w:t>
      </w:r>
      <w:r w:rsidR="00B846B2" w:rsidRPr="00E02273">
        <w:rPr>
          <w:lang w:val="en-CA"/>
        </w:rPr>
        <w:t>28 and 166</w:t>
      </w:r>
      <w:r w:rsidR="00B846B2" w:rsidRPr="00E02273">
        <w:rPr>
          <w:color w:val="000000"/>
          <w:lang w:val="en-CA"/>
        </w:rPr>
        <w:t>. The court does so with a view to identifying the statute’s or provision’s main thrust, or dominant or most important characteristic: </w:t>
      </w:r>
      <w:r w:rsidR="00B846B2" w:rsidRPr="00E02273">
        <w:rPr>
          <w:i/>
          <w:iCs/>
          <w:color w:val="000000"/>
          <w:lang w:val="en-CA"/>
        </w:rPr>
        <w:t>Desgagnés Transport Inc. v. Wärtsilä Canada Inc.</w:t>
      </w:r>
      <w:r w:rsidR="00B846B2" w:rsidRPr="00E02273">
        <w:rPr>
          <w:color w:val="000000"/>
          <w:lang w:val="en-CA"/>
        </w:rPr>
        <w:t>, </w:t>
      </w:r>
      <w:r w:rsidR="00B846B2" w:rsidRPr="00E02273">
        <w:rPr>
          <w:lang w:val="en-CA"/>
        </w:rPr>
        <w:t>2019 SCC 58</w:t>
      </w:r>
      <w:r w:rsidR="00B846B2" w:rsidRPr="00E02273">
        <w:rPr>
          <w:color w:val="000000"/>
          <w:lang w:val="en-CA"/>
        </w:rPr>
        <w:t>, at para. </w:t>
      </w:r>
      <w:r w:rsidR="00B846B2" w:rsidRPr="00E02273">
        <w:rPr>
          <w:lang w:val="en-CA"/>
        </w:rPr>
        <w:t>31</w:t>
      </w:r>
      <w:r w:rsidR="00B846B2" w:rsidRPr="00E02273">
        <w:rPr>
          <w:color w:val="000000"/>
          <w:lang w:val="en-CA"/>
        </w:rPr>
        <w:t>. To determine the purpose of the challenged statute or provision, the court can consider both intrinsic evidence, such as the legislation’s preamble or purpose clauses, and extrinsic evidence, such as Hansard or minutes of parliamentary committees: </w:t>
      </w:r>
      <w:r w:rsidR="00B846B2" w:rsidRPr="00E02273">
        <w:rPr>
          <w:i/>
          <w:iCs/>
          <w:color w:val="000000"/>
          <w:lang w:val="en-CA"/>
        </w:rPr>
        <w:t>Kitkatla Band v. British Columbia (Minister of Small Business, Tourism and Culture)</w:t>
      </w:r>
      <w:r w:rsidR="00B846B2" w:rsidRPr="00E02273">
        <w:rPr>
          <w:color w:val="000000"/>
          <w:lang w:val="en-CA"/>
        </w:rPr>
        <w:t>, </w:t>
      </w:r>
      <w:r w:rsidR="00B846B2" w:rsidRPr="00E02273">
        <w:rPr>
          <w:lang w:val="en-CA"/>
        </w:rPr>
        <w:t>2002 SCC 31</w:t>
      </w:r>
      <w:r w:rsidR="00B846B2" w:rsidRPr="00E02273">
        <w:rPr>
          <w:color w:val="000000"/>
          <w:lang w:val="en-CA"/>
        </w:rPr>
        <w:t>, [2002] 2 S.C.R. 146, at para. </w:t>
      </w:r>
      <w:r w:rsidR="00B846B2" w:rsidRPr="00E02273">
        <w:rPr>
          <w:lang w:val="en-CA"/>
        </w:rPr>
        <w:t>53</w:t>
      </w:r>
      <w:r w:rsidR="00B846B2" w:rsidRPr="00E02273">
        <w:rPr>
          <w:color w:val="000000"/>
          <w:lang w:val="en-CA"/>
        </w:rPr>
        <w:t>; </w:t>
      </w:r>
      <w:r w:rsidR="00B846B2" w:rsidRPr="00E02273">
        <w:rPr>
          <w:i/>
          <w:iCs/>
          <w:color w:val="000000"/>
          <w:lang w:val="en-CA"/>
        </w:rPr>
        <w:t>Canadian Western Bank</w:t>
      </w:r>
      <w:r w:rsidR="00B846B2" w:rsidRPr="00E02273">
        <w:rPr>
          <w:color w:val="000000"/>
          <w:lang w:val="en-CA"/>
        </w:rPr>
        <w:t>, at para. </w:t>
      </w:r>
      <w:r w:rsidR="00B846B2" w:rsidRPr="00E02273">
        <w:rPr>
          <w:lang w:val="en-CA"/>
        </w:rPr>
        <w:t>27</w:t>
      </w:r>
      <w:r w:rsidR="00B846B2" w:rsidRPr="00E02273">
        <w:rPr>
          <w:color w:val="000000"/>
          <w:lang w:val="en-CA"/>
        </w:rPr>
        <w:t>. In considering the effects of the challenged legislation, the court can consider both the legal effects, those that flow directly from the provisions of the statute itself, and the practical effects, the “side” effects that flow from the application of the statute: </w:t>
      </w:r>
      <w:r w:rsidR="00B846B2" w:rsidRPr="00E02273">
        <w:rPr>
          <w:i/>
          <w:iCs/>
          <w:color w:val="000000"/>
          <w:lang w:val="en-CA"/>
        </w:rPr>
        <w:t>Kitkatla</w:t>
      </w:r>
      <w:r w:rsidR="00B846B2" w:rsidRPr="00E02273">
        <w:rPr>
          <w:color w:val="000000"/>
          <w:lang w:val="en-CA"/>
        </w:rPr>
        <w:t>, at para. 54; </w:t>
      </w:r>
      <w:r w:rsidR="00B846B2" w:rsidRPr="00E02273">
        <w:rPr>
          <w:i/>
          <w:iCs/>
          <w:color w:val="000000"/>
          <w:lang w:val="en-CA"/>
        </w:rPr>
        <w:t>R. v. Morgentaler</w:t>
      </w:r>
      <w:r w:rsidR="00B846B2" w:rsidRPr="00E02273">
        <w:rPr>
          <w:color w:val="000000"/>
          <w:lang w:val="en-CA"/>
        </w:rPr>
        <w:t>, </w:t>
      </w:r>
      <w:r w:rsidR="00B846B2" w:rsidRPr="00E02273">
        <w:rPr>
          <w:lang w:val="en-CA"/>
        </w:rPr>
        <w:t>1993 CanLII 74 (SCC)</w:t>
      </w:r>
      <w:r w:rsidR="00B846B2" w:rsidRPr="00E02273">
        <w:rPr>
          <w:color w:val="000000"/>
          <w:lang w:val="en-CA"/>
        </w:rPr>
        <w:t>, [1993] 3 S.C.R. 463, at p. 480. The characterization process is not technical or formalistic. A court can look at the background and circumstances of a statute’s enactment as well as at the words used in it: </w:t>
      </w:r>
      <w:r w:rsidR="00B846B2" w:rsidRPr="00E02273">
        <w:rPr>
          <w:i/>
          <w:iCs/>
          <w:color w:val="000000"/>
          <w:lang w:val="en-CA"/>
        </w:rPr>
        <w:t>Ward v. Canada (Attorney General)</w:t>
      </w:r>
      <w:r w:rsidR="00B846B2" w:rsidRPr="00E02273">
        <w:rPr>
          <w:color w:val="000000"/>
          <w:lang w:val="en-CA"/>
        </w:rPr>
        <w:t>, </w:t>
      </w:r>
      <w:r w:rsidR="00B846B2" w:rsidRPr="00E02273">
        <w:rPr>
          <w:lang w:val="en-CA"/>
        </w:rPr>
        <w:t>2002 SCC 17</w:t>
      </w:r>
      <w:r w:rsidR="00B846B2" w:rsidRPr="00E02273">
        <w:rPr>
          <w:color w:val="000000"/>
          <w:lang w:val="en-CA"/>
        </w:rPr>
        <w:t>, [2002] 1 S.C.R. 569, at para. </w:t>
      </w:r>
      <w:r w:rsidR="00B846B2" w:rsidRPr="00E02273">
        <w:rPr>
          <w:lang w:val="en-CA"/>
        </w:rPr>
        <w:t>18</w:t>
      </w:r>
      <w:r w:rsidR="00B846B2" w:rsidRPr="00E02273">
        <w:rPr>
          <w:color w:val="000000"/>
          <w:lang w:val="en-CA"/>
        </w:rPr>
        <w:t>.</w:t>
      </w:r>
    </w:p>
    <w:p w14:paraId="39F5886D" w14:textId="7B8B581D" w:rsidR="00B568AD" w:rsidRPr="00E02273" w:rsidRDefault="00CA6BCA" w:rsidP="008169E5">
      <w:pPr>
        <w:pStyle w:val="Paragraphe"/>
        <w:tabs>
          <w:tab w:val="num" w:pos="709"/>
        </w:tabs>
        <w:spacing w:line="240" w:lineRule="auto"/>
        <w:ind w:left="0"/>
        <w:rPr>
          <w:lang w:val="en-CA"/>
        </w:rPr>
      </w:pPr>
      <w:r w:rsidRPr="00E02273">
        <w:rPr>
          <w:lang w:val="en-CA"/>
        </w:rPr>
        <w:t xml:space="preserve">To this end, </w:t>
      </w:r>
      <w:r w:rsidR="002D51A4" w:rsidRPr="00E02273">
        <w:rPr>
          <w:lang w:val="en-CA"/>
        </w:rPr>
        <w:t xml:space="preserve">Wagner </w:t>
      </w:r>
      <w:r w:rsidR="009D3BD1">
        <w:rPr>
          <w:lang w:val="en-CA"/>
        </w:rPr>
        <w:t xml:space="preserve">C.J. </w:t>
      </w:r>
      <w:r w:rsidRPr="00E02273">
        <w:rPr>
          <w:lang w:val="en-CA"/>
        </w:rPr>
        <w:t xml:space="preserve">emphasized three </w:t>
      </w:r>
      <w:r w:rsidR="002D51A4" w:rsidRPr="00E02273">
        <w:rPr>
          <w:lang w:val="en-CA"/>
        </w:rPr>
        <w:t>points concern</w:t>
      </w:r>
      <w:r w:rsidRPr="00E02273">
        <w:rPr>
          <w:lang w:val="en-CA"/>
        </w:rPr>
        <w:t xml:space="preserve">ing the </w:t>
      </w:r>
      <w:r w:rsidR="002D51A4" w:rsidRPr="00E02273">
        <w:rPr>
          <w:lang w:val="en-CA"/>
        </w:rPr>
        <w:t>characterization</w:t>
      </w:r>
      <w:r w:rsidRPr="00E02273">
        <w:rPr>
          <w:lang w:val="en-CA"/>
        </w:rPr>
        <w:t xml:space="preserve"> of the </w:t>
      </w:r>
      <w:r w:rsidR="002D51A4" w:rsidRPr="00E02273">
        <w:rPr>
          <w:lang w:val="en-CA"/>
        </w:rPr>
        <w:t>pith</w:t>
      </w:r>
      <w:r w:rsidRPr="00E02273">
        <w:rPr>
          <w:lang w:val="en-CA"/>
        </w:rPr>
        <w:t xml:space="preserve"> </w:t>
      </w:r>
      <w:r w:rsidR="002D51A4" w:rsidRPr="00E02273">
        <w:rPr>
          <w:lang w:val="en-CA"/>
        </w:rPr>
        <w:t>and</w:t>
      </w:r>
      <w:r w:rsidRPr="00E02273">
        <w:rPr>
          <w:lang w:val="en-CA"/>
        </w:rPr>
        <w:t xml:space="preserve"> </w:t>
      </w:r>
      <w:r w:rsidR="002D51A4" w:rsidRPr="00E02273">
        <w:rPr>
          <w:lang w:val="en-CA"/>
        </w:rPr>
        <w:t xml:space="preserve">substance, (1) </w:t>
      </w:r>
      <w:r w:rsidRPr="00E02273">
        <w:rPr>
          <w:lang w:val="en-CA"/>
        </w:rPr>
        <w:t xml:space="preserve">the </w:t>
      </w:r>
      <w:r w:rsidR="002D51A4" w:rsidRPr="00E02273">
        <w:rPr>
          <w:lang w:val="en-CA"/>
        </w:rPr>
        <w:t>pith</w:t>
      </w:r>
      <w:r w:rsidRPr="00E02273">
        <w:rPr>
          <w:lang w:val="en-CA"/>
        </w:rPr>
        <w:t xml:space="preserve"> </w:t>
      </w:r>
      <w:r w:rsidR="002D51A4" w:rsidRPr="00E02273">
        <w:rPr>
          <w:lang w:val="en-CA"/>
        </w:rPr>
        <w:t>and</w:t>
      </w:r>
      <w:r w:rsidRPr="00E02273">
        <w:rPr>
          <w:lang w:val="en-CA"/>
        </w:rPr>
        <w:t xml:space="preserve"> </w:t>
      </w:r>
      <w:r w:rsidR="002D51A4" w:rsidRPr="00E02273">
        <w:rPr>
          <w:lang w:val="en-CA"/>
        </w:rPr>
        <w:t>substance</w:t>
      </w:r>
      <w:r w:rsidRPr="00E02273">
        <w:rPr>
          <w:lang w:val="en-CA"/>
        </w:rPr>
        <w:t xml:space="preserve"> </w:t>
      </w:r>
      <w:r w:rsidR="002D51A4" w:rsidRPr="00E02273">
        <w:rPr>
          <w:lang w:val="en-CA"/>
        </w:rPr>
        <w:t>of</w:t>
      </w:r>
      <w:r w:rsidRPr="00E02273">
        <w:rPr>
          <w:lang w:val="en-CA"/>
        </w:rPr>
        <w:t xml:space="preserve"> </w:t>
      </w:r>
      <w:r w:rsidR="002D51A4" w:rsidRPr="00E02273">
        <w:rPr>
          <w:lang w:val="en-CA"/>
        </w:rPr>
        <w:t>the</w:t>
      </w:r>
      <w:r w:rsidRPr="00E02273">
        <w:rPr>
          <w:lang w:val="en-CA"/>
        </w:rPr>
        <w:t xml:space="preserve"> impugned statute or regulation must be described as precisely as </w:t>
      </w:r>
      <w:r w:rsidR="002D51A4" w:rsidRPr="00E02273">
        <w:rPr>
          <w:lang w:val="en-CA"/>
        </w:rPr>
        <w:t xml:space="preserve">possible; (2) </w:t>
      </w:r>
      <w:r w:rsidRPr="00E02273">
        <w:rPr>
          <w:lang w:val="en-CA"/>
        </w:rPr>
        <w:t>it is permissible in some circumstances to include the legislative choice of means in the definition of a statute</w:t>
      </w:r>
      <w:r w:rsidR="002C591C">
        <w:rPr>
          <w:lang w:val="en-CA"/>
        </w:rPr>
        <w:t>’s</w:t>
      </w:r>
      <w:r w:rsidRPr="00E02273">
        <w:rPr>
          <w:lang w:val="en-CA"/>
        </w:rPr>
        <w:t xml:space="preserve"> or regulation’s </w:t>
      </w:r>
      <w:r w:rsidR="002D51A4" w:rsidRPr="00E02273">
        <w:rPr>
          <w:lang w:val="en-CA" w:eastAsia="fr-CA"/>
        </w:rPr>
        <w:t>pith</w:t>
      </w:r>
      <w:r w:rsidRPr="00E02273">
        <w:rPr>
          <w:lang w:val="en-CA" w:eastAsia="fr-CA"/>
        </w:rPr>
        <w:t xml:space="preserve"> </w:t>
      </w:r>
      <w:r w:rsidR="002D51A4" w:rsidRPr="00E02273">
        <w:rPr>
          <w:lang w:val="en-CA" w:eastAsia="fr-CA"/>
        </w:rPr>
        <w:t>and</w:t>
      </w:r>
      <w:r w:rsidRPr="00E02273">
        <w:rPr>
          <w:lang w:val="en-CA" w:eastAsia="fr-CA"/>
        </w:rPr>
        <w:t xml:space="preserve"> </w:t>
      </w:r>
      <w:r w:rsidR="002D51A4" w:rsidRPr="00E02273">
        <w:rPr>
          <w:lang w:val="en-CA" w:eastAsia="fr-CA"/>
        </w:rPr>
        <w:t>substance</w:t>
      </w:r>
      <w:r w:rsidR="00F972B8" w:rsidRPr="00E02273">
        <w:rPr>
          <w:lang w:val="en-CA" w:eastAsia="fr-CA"/>
        </w:rPr>
        <w:t>, as long as we do not lose sight of the fact that the goal of the analysis is to identify the true subject matter of the impugned legislation or p</w:t>
      </w:r>
      <w:r w:rsidR="002D51A4" w:rsidRPr="00E02273">
        <w:rPr>
          <w:lang w:val="en-CA" w:eastAsia="fr-CA"/>
        </w:rPr>
        <w:t xml:space="preserve">rovision; </w:t>
      </w:r>
      <w:r w:rsidR="00F972B8" w:rsidRPr="00E02273">
        <w:rPr>
          <w:lang w:val="en-CA" w:eastAsia="fr-CA"/>
        </w:rPr>
        <w:t>and</w:t>
      </w:r>
      <w:r w:rsidR="002D51A4" w:rsidRPr="00E02273">
        <w:rPr>
          <w:lang w:val="en-CA" w:eastAsia="fr-CA"/>
        </w:rPr>
        <w:t xml:space="preserve"> (3) </w:t>
      </w:r>
      <w:r w:rsidR="00F972B8" w:rsidRPr="00E02273">
        <w:rPr>
          <w:color w:val="000000"/>
          <w:lang w:val="en-CA"/>
        </w:rPr>
        <w:t>the characterization and classification stages of the division of powers analysis are and must be kept distinct</w:t>
      </w:r>
      <w:r w:rsidR="002D51A4" w:rsidRPr="00E02273">
        <w:rPr>
          <w:lang w:val="en-CA" w:eastAsia="fr-CA"/>
        </w:rPr>
        <w:t>.</w:t>
      </w:r>
      <w:r w:rsidR="00F972B8" w:rsidRPr="00E02273">
        <w:rPr>
          <w:lang w:val="en-CA" w:eastAsia="fr-CA"/>
        </w:rPr>
        <w:t xml:space="preserve"> In this regard, it is worth reproducing the comments of the </w:t>
      </w:r>
      <w:r w:rsidR="002D51A4" w:rsidRPr="00E02273">
        <w:rPr>
          <w:lang w:val="en-CA" w:eastAsia="fr-CA"/>
        </w:rPr>
        <w:t>Chief</w:t>
      </w:r>
      <w:r w:rsidR="00F972B8" w:rsidRPr="00E02273">
        <w:rPr>
          <w:lang w:val="en-CA" w:eastAsia="fr-CA"/>
        </w:rPr>
        <w:t xml:space="preserve"> </w:t>
      </w:r>
      <w:r w:rsidR="002D51A4" w:rsidRPr="00E02273">
        <w:rPr>
          <w:lang w:val="en-CA" w:eastAsia="fr-CA"/>
        </w:rPr>
        <w:t>Justice</w:t>
      </w:r>
      <w:r w:rsidR="00F972B8" w:rsidRPr="00E02273">
        <w:rPr>
          <w:lang w:val="en-CA" w:eastAsia="fr-CA"/>
        </w:rPr>
        <w:t xml:space="preserve"> on these three </w:t>
      </w:r>
      <w:r w:rsidR="002D51A4" w:rsidRPr="00E02273">
        <w:rPr>
          <w:lang w:val="en-CA" w:eastAsia="fr-CA"/>
        </w:rPr>
        <w:t>points</w:t>
      </w:r>
      <w:r w:rsidR="00F972B8" w:rsidRPr="00E02273">
        <w:rPr>
          <w:lang w:val="en-CA" w:eastAsia="fr-CA"/>
        </w:rPr>
        <w:t>:</w:t>
      </w:r>
      <w:r w:rsidR="002D51A4" w:rsidRPr="00E02273">
        <w:rPr>
          <w:rStyle w:val="Appelnotedebasdep"/>
          <w:lang w:val="en-CA" w:eastAsia="fr-CA"/>
        </w:rPr>
        <w:footnoteReference w:id="139"/>
      </w:r>
      <w:r w:rsidR="002D51A4" w:rsidRPr="00E02273">
        <w:rPr>
          <w:lang w:val="en-CA" w:eastAsia="fr-CA"/>
        </w:rPr>
        <w:t> </w:t>
      </w:r>
    </w:p>
    <w:p w14:paraId="1B7F9112" w14:textId="5C36A07D" w:rsidR="00B568AD" w:rsidRPr="00E02273" w:rsidRDefault="002D51A4" w:rsidP="00B568AD">
      <w:pPr>
        <w:pStyle w:val="Citationenretrait"/>
        <w:spacing w:line="240" w:lineRule="auto"/>
        <w:rPr>
          <w:lang w:val="en-CA" w:eastAsia="fr-CA"/>
        </w:rPr>
      </w:pPr>
      <w:r w:rsidRPr="00E02273">
        <w:rPr>
          <w:lang w:val="en-CA" w:eastAsia="fr-CA"/>
        </w:rPr>
        <w:t>[</w:t>
      </w:r>
      <w:bookmarkStart w:id="41" w:name="par52"/>
      <w:r w:rsidRPr="00E02273">
        <w:rPr>
          <w:lang w:val="en-CA" w:eastAsia="fr-CA"/>
        </w:rPr>
        <w:t>52</w:t>
      </w:r>
      <w:bookmarkEnd w:id="41"/>
      <w:r w:rsidRPr="00E02273">
        <w:rPr>
          <w:lang w:val="en-CA" w:eastAsia="fr-CA"/>
        </w:rPr>
        <w:t>]</w:t>
      </w:r>
      <w:r w:rsidRPr="00E02273">
        <w:rPr>
          <w:sz w:val="14"/>
          <w:szCs w:val="14"/>
          <w:lang w:val="en-CA" w:eastAsia="fr-CA"/>
        </w:rPr>
        <w:tab/>
      </w:r>
      <w:r w:rsidR="00F972B8" w:rsidRPr="00E02273">
        <w:rPr>
          <w:color w:val="000000"/>
          <w:lang w:val="en-CA"/>
        </w:rPr>
        <w:t>Three further points with respect to the identification of the pith and substance are important here. First, the pith and substance of a challenged statute or provision must be described as precisely as possible. A vague or general description is unhelpful, as it can result in the law being superficially assigned to both federal and provincial heads of powers or may exaggerate the extent to which the law extends into the other level of government’s sphere of jurisdiction: </w:t>
      </w:r>
      <w:r w:rsidR="00F972B8" w:rsidRPr="00E02273">
        <w:rPr>
          <w:i/>
          <w:iCs/>
          <w:color w:val="000000"/>
          <w:lang w:val="en-CA"/>
        </w:rPr>
        <w:t>Desgagnés Transport</w:t>
      </w:r>
      <w:r w:rsidR="00F972B8" w:rsidRPr="00E02273">
        <w:rPr>
          <w:color w:val="000000"/>
          <w:lang w:val="en-CA"/>
        </w:rPr>
        <w:t>, at para. 35; </w:t>
      </w:r>
      <w:r w:rsidR="00F972B8" w:rsidRPr="00E02273">
        <w:rPr>
          <w:i/>
          <w:iCs/>
          <w:color w:val="000000"/>
          <w:lang w:val="en-CA"/>
        </w:rPr>
        <w:t>Reference re Assisted Human Reproduction Act</w:t>
      </w:r>
      <w:r w:rsidR="00F972B8" w:rsidRPr="00E02273">
        <w:rPr>
          <w:color w:val="000000"/>
          <w:lang w:val="en-CA"/>
        </w:rPr>
        <w:t>, </w:t>
      </w:r>
      <w:r w:rsidR="00F972B8" w:rsidRPr="00E02273">
        <w:rPr>
          <w:lang w:val="en-CA"/>
        </w:rPr>
        <w:t>2010 SCC 61</w:t>
      </w:r>
      <w:r w:rsidR="00F972B8" w:rsidRPr="00E02273">
        <w:rPr>
          <w:color w:val="000000"/>
          <w:lang w:val="en-CA"/>
        </w:rPr>
        <w:t>, [2010] 3 S.C.R. 457 (“</w:t>
      </w:r>
      <w:r w:rsidR="00F972B8" w:rsidRPr="00E02273">
        <w:rPr>
          <w:i/>
          <w:iCs/>
          <w:color w:val="000000"/>
          <w:lang w:val="en-CA"/>
        </w:rPr>
        <w:t>Assisted Human Reproduction Act</w:t>
      </w:r>
      <w:r w:rsidR="00F972B8" w:rsidRPr="00E02273">
        <w:rPr>
          <w:color w:val="000000"/>
          <w:lang w:val="en-CA"/>
        </w:rPr>
        <w:t>”), at para. 190. However, precision should not be confused with narrowness. Instead, the pith and substance of a challenged statute or provision should capture the law’s essential character in terms that are as precise as the law will allow: </w:t>
      </w:r>
      <w:r w:rsidR="00F972B8" w:rsidRPr="00E02273">
        <w:rPr>
          <w:i/>
          <w:iCs/>
          <w:color w:val="000000"/>
          <w:lang w:val="en-CA"/>
        </w:rPr>
        <w:t>Genetic Non-Discrimination</w:t>
      </w:r>
      <w:r w:rsidR="00F972B8" w:rsidRPr="00E02273">
        <w:rPr>
          <w:color w:val="000000"/>
          <w:lang w:val="en-CA"/>
        </w:rPr>
        <w:t>, at para. 32. It is only in this manner that a court can determine what the law is in fact “all about”: </w:t>
      </w:r>
      <w:r w:rsidR="00F972B8" w:rsidRPr="00E02273">
        <w:rPr>
          <w:i/>
          <w:iCs/>
          <w:color w:val="000000"/>
          <w:lang w:val="en-CA"/>
        </w:rPr>
        <w:t>Desgagnés Transport</w:t>
      </w:r>
      <w:r w:rsidR="00F972B8" w:rsidRPr="00E02273">
        <w:rPr>
          <w:color w:val="000000"/>
          <w:lang w:val="en-CA"/>
        </w:rPr>
        <w:t>, at para. 35, quoting A. S. Abel, “The Neglected Logic of 91 and 92” (1969), 19 </w:t>
      </w:r>
      <w:r w:rsidR="00F972B8" w:rsidRPr="00E02273">
        <w:rPr>
          <w:i/>
          <w:iCs/>
          <w:color w:val="000000"/>
          <w:lang w:val="en-CA"/>
        </w:rPr>
        <w:t>U.T.L.J.</w:t>
      </w:r>
      <w:r w:rsidR="00F972B8" w:rsidRPr="00E02273">
        <w:rPr>
          <w:color w:val="000000"/>
          <w:lang w:val="en-CA"/>
        </w:rPr>
        <w:t> 487, at p. 490.</w:t>
      </w:r>
    </w:p>
    <w:p w14:paraId="07ED205B" w14:textId="262A58ED" w:rsidR="00B568AD" w:rsidRPr="00E02273" w:rsidRDefault="002D51A4" w:rsidP="00B568AD">
      <w:pPr>
        <w:pStyle w:val="Citationenretrait"/>
        <w:spacing w:line="240" w:lineRule="auto"/>
        <w:rPr>
          <w:lang w:val="en-CA" w:eastAsia="fr-CA"/>
        </w:rPr>
      </w:pPr>
      <w:r w:rsidRPr="00E02273">
        <w:rPr>
          <w:lang w:val="en-CA" w:eastAsia="fr-CA"/>
        </w:rPr>
        <w:lastRenderedPageBreak/>
        <w:t>[</w:t>
      </w:r>
      <w:bookmarkStart w:id="42" w:name="par53"/>
      <w:r w:rsidRPr="00E02273">
        <w:rPr>
          <w:lang w:val="en-CA" w:eastAsia="fr-CA"/>
        </w:rPr>
        <w:t>53</w:t>
      </w:r>
      <w:bookmarkEnd w:id="42"/>
      <w:r w:rsidRPr="00E02273">
        <w:rPr>
          <w:lang w:val="en-CA" w:eastAsia="fr-CA"/>
        </w:rPr>
        <w:t>]</w:t>
      </w:r>
      <w:r w:rsidRPr="00E02273">
        <w:rPr>
          <w:lang w:val="en-CA" w:eastAsia="fr-CA"/>
        </w:rPr>
        <w:tab/>
      </w:r>
      <w:r w:rsidR="00F972B8" w:rsidRPr="00E02273">
        <w:rPr>
          <w:color w:val="000000"/>
          <w:lang w:val="en-CA"/>
        </w:rPr>
        <w:t>Second, it is permissible in some circumstances for a court to include the legislative choice of means in the definition of a statute’s pith and substance, as long as it does not lose sight of the fact that the goal of the analysis is to identify the true subject matter of the challenged statute or provision. In the courts below, a central issue was the permissibility of including the means of the statute in the definition of the subject matter of the </w:t>
      </w:r>
      <w:r w:rsidR="00F972B8" w:rsidRPr="00E02273">
        <w:rPr>
          <w:i/>
          <w:iCs/>
          <w:color w:val="000000"/>
          <w:lang w:val="en-CA"/>
        </w:rPr>
        <w:t>GGPPA</w:t>
      </w:r>
      <w:r w:rsidR="00F972B8" w:rsidRPr="00E02273">
        <w:rPr>
          <w:color w:val="000000"/>
          <w:lang w:val="en-CA"/>
        </w:rPr>
        <w:t>. In </w:t>
      </w:r>
      <w:r w:rsidR="00F972B8" w:rsidRPr="00E02273">
        <w:rPr>
          <w:i/>
          <w:iCs/>
          <w:color w:val="000000"/>
          <w:lang w:val="en-CA"/>
        </w:rPr>
        <w:t>Ward </w:t>
      </w:r>
      <w:r w:rsidR="00F972B8" w:rsidRPr="00E02273">
        <w:rPr>
          <w:color w:val="000000"/>
          <w:lang w:val="en-CA"/>
        </w:rPr>
        <w:t>and other cases, this Court cautioned against “confus[ing] the purpose of the legislation with the means used to carry out that purpose”: </w:t>
      </w:r>
      <w:r w:rsidR="00F972B8" w:rsidRPr="00E02273">
        <w:rPr>
          <w:i/>
          <w:iCs/>
          <w:color w:val="000000"/>
          <w:lang w:val="en-CA"/>
        </w:rPr>
        <w:t>Ward</w:t>
      </w:r>
      <w:r w:rsidR="00F972B8" w:rsidRPr="00E02273">
        <w:rPr>
          <w:color w:val="000000"/>
          <w:lang w:val="en-CA"/>
        </w:rPr>
        <w:t>, at para. </w:t>
      </w:r>
      <w:r w:rsidR="00F972B8" w:rsidRPr="00E02273">
        <w:rPr>
          <w:lang w:val="en-CA"/>
        </w:rPr>
        <w:t>25</w:t>
      </w:r>
      <w:r w:rsidR="00F972B8" w:rsidRPr="00E02273">
        <w:rPr>
          <w:color w:val="000000"/>
          <w:lang w:val="en-CA"/>
        </w:rPr>
        <w:t>; see also </w:t>
      </w:r>
      <w:r w:rsidR="00F972B8" w:rsidRPr="00E02273">
        <w:rPr>
          <w:i/>
          <w:iCs/>
          <w:color w:val="000000"/>
          <w:lang w:val="en-CA"/>
        </w:rPr>
        <w:t>Quebec (Attorney General) v. Canada (Attorney General)</w:t>
      </w:r>
      <w:r w:rsidR="00F972B8" w:rsidRPr="00E02273">
        <w:rPr>
          <w:color w:val="000000"/>
          <w:lang w:val="en-CA"/>
        </w:rPr>
        <w:t>, </w:t>
      </w:r>
      <w:r w:rsidR="00F972B8" w:rsidRPr="00E02273">
        <w:rPr>
          <w:lang w:val="en-CA"/>
        </w:rPr>
        <w:t>2015 SCC 14</w:t>
      </w:r>
      <w:r w:rsidR="00F972B8" w:rsidRPr="00E02273">
        <w:rPr>
          <w:color w:val="000000"/>
          <w:lang w:val="en-CA"/>
        </w:rPr>
        <w:t>, [2015] 1 S.C.R. 693, at para. </w:t>
      </w:r>
      <w:r w:rsidR="00F972B8" w:rsidRPr="00E02273">
        <w:rPr>
          <w:lang w:val="en-CA"/>
        </w:rPr>
        <w:t>29</w:t>
      </w:r>
      <w:r w:rsidR="00F972B8" w:rsidRPr="00E02273">
        <w:rPr>
          <w:color w:val="000000"/>
          <w:lang w:val="en-CA"/>
        </w:rPr>
        <w:t>; </w:t>
      </w:r>
      <w:r w:rsidR="00F972B8" w:rsidRPr="00E02273">
        <w:rPr>
          <w:i/>
          <w:iCs/>
          <w:color w:val="000000"/>
          <w:lang w:val="en-CA"/>
        </w:rPr>
        <w:t>Goodwin v. British Columbia (Superintendent of Motor Vehicles)</w:t>
      </w:r>
      <w:r w:rsidR="00F972B8" w:rsidRPr="00E02273">
        <w:rPr>
          <w:color w:val="000000"/>
          <w:lang w:val="en-CA"/>
        </w:rPr>
        <w:t>, </w:t>
      </w:r>
      <w:r w:rsidR="00F972B8" w:rsidRPr="00E02273">
        <w:rPr>
          <w:lang w:val="en-CA"/>
        </w:rPr>
        <w:t>2015 SCC 46</w:t>
      </w:r>
      <w:r w:rsidR="00F972B8" w:rsidRPr="00E02273">
        <w:rPr>
          <w:color w:val="000000"/>
          <w:lang w:val="en-CA"/>
        </w:rPr>
        <w:t>, [2015] 3 S.C.R. 250, at para. </w:t>
      </w:r>
      <w:r w:rsidR="00F972B8" w:rsidRPr="00E02273">
        <w:rPr>
          <w:lang w:val="en-CA"/>
        </w:rPr>
        <w:t>24</w:t>
      </w:r>
      <w:r w:rsidR="00F972B8" w:rsidRPr="00E02273">
        <w:rPr>
          <w:color w:val="000000"/>
          <w:lang w:val="en-CA"/>
        </w:rPr>
        <w:t>. However, those cases did not establish a blanket prohibition on considering the means in characterizing the pith and substance of a law. Rather, they stand for the basic proposition that Parliament’s or a provincial legislature’s choice of means is not determinative of the legislation’s true subject matter, although it may sometimes be permissible to consider the choice of means in defining a statute’s purpose. This Court has in fact frequently included references to legislative means when defining the pith and substance of laws: </w:t>
      </w:r>
      <w:r w:rsidR="00F972B8" w:rsidRPr="00E02273">
        <w:rPr>
          <w:i/>
          <w:iCs/>
          <w:color w:val="000000"/>
          <w:lang w:val="en-CA"/>
        </w:rPr>
        <w:t>Ward</w:t>
      </w:r>
      <w:r w:rsidR="00F972B8" w:rsidRPr="00E02273">
        <w:rPr>
          <w:color w:val="000000"/>
          <w:lang w:val="en-CA"/>
        </w:rPr>
        <w:t>, at para. </w:t>
      </w:r>
      <w:r w:rsidR="00F972B8" w:rsidRPr="00E02273">
        <w:rPr>
          <w:lang w:val="en-CA"/>
        </w:rPr>
        <w:t>28</w:t>
      </w:r>
      <w:r w:rsidR="00F972B8" w:rsidRPr="00E02273">
        <w:rPr>
          <w:color w:val="000000"/>
          <w:lang w:val="en-CA"/>
        </w:rPr>
        <w:t>; </w:t>
      </w:r>
      <w:r w:rsidR="00F972B8" w:rsidRPr="00E02273">
        <w:rPr>
          <w:i/>
          <w:iCs/>
          <w:color w:val="000000"/>
          <w:lang w:val="en-CA"/>
        </w:rPr>
        <w:t>Reference re Firearms Act (Can.)</w:t>
      </w:r>
      <w:r w:rsidR="00F972B8" w:rsidRPr="00E02273">
        <w:rPr>
          <w:color w:val="000000"/>
          <w:lang w:val="en-CA"/>
        </w:rPr>
        <w:t>, </w:t>
      </w:r>
      <w:r w:rsidR="00F972B8" w:rsidRPr="00E02273">
        <w:rPr>
          <w:lang w:val="en-CA"/>
        </w:rPr>
        <w:t>2000 SCC 31</w:t>
      </w:r>
      <w:r w:rsidR="00F972B8" w:rsidRPr="00E02273">
        <w:rPr>
          <w:color w:val="000000"/>
          <w:lang w:val="en-CA"/>
        </w:rPr>
        <w:t>, [2000] 1 S.C.R. 783 (“</w:t>
      </w:r>
      <w:r w:rsidR="00F972B8" w:rsidRPr="00E02273">
        <w:rPr>
          <w:i/>
          <w:iCs/>
          <w:color w:val="000000"/>
          <w:lang w:val="en-CA"/>
        </w:rPr>
        <w:t>Firearms</w:t>
      </w:r>
      <w:r w:rsidR="00F972B8" w:rsidRPr="00E02273">
        <w:rPr>
          <w:color w:val="000000"/>
          <w:lang w:val="en-CA"/>
        </w:rPr>
        <w:t>”), at paras. </w:t>
      </w:r>
      <w:r w:rsidR="00F972B8" w:rsidRPr="00E02273">
        <w:rPr>
          <w:lang w:val="en-CA"/>
        </w:rPr>
        <w:t>4 and 19</w:t>
      </w:r>
      <w:r w:rsidR="00F972B8" w:rsidRPr="00E02273">
        <w:rPr>
          <w:color w:val="000000"/>
          <w:lang w:val="en-CA"/>
        </w:rPr>
        <w:t>; </w:t>
      </w:r>
      <w:r w:rsidR="00F972B8" w:rsidRPr="00E02273">
        <w:rPr>
          <w:i/>
          <w:iCs/>
          <w:color w:val="000000"/>
          <w:lang w:val="en-CA"/>
        </w:rPr>
        <w:t>Reference re Employment Insurance Act (Can.), ss. 22 and 23</w:t>
      </w:r>
      <w:r w:rsidR="00F972B8" w:rsidRPr="00E02273">
        <w:rPr>
          <w:color w:val="000000"/>
          <w:lang w:val="en-CA"/>
        </w:rPr>
        <w:t>, </w:t>
      </w:r>
      <w:r w:rsidR="00F972B8" w:rsidRPr="00E02273">
        <w:rPr>
          <w:lang w:val="en-CA"/>
        </w:rPr>
        <w:t>2005 SCC 56</w:t>
      </w:r>
      <w:r w:rsidR="00F972B8" w:rsidRPr="00E02273">
        <w:rPr>
          <w:color w:val="000000"/>
          <w:lang w:val="en-CA"/>
        </w:rPr>
        <w:t>, [2002] 2 S.C.R. 669, at para. </w:t>
      </w:r>
      <w:r w:rsidR="00F972B8" w:rsidRPr="00E02273">
        <w:rPr>
          <w:lang w:val="en-CA"/>
        </w:rPr>
        <w:t>34</w:t>
      </w:r>
      <w:r w:rsidR="00F972B8" w:rsidRPr="00E02273">
        <w:rPr>
          <w:color w:val="000000"/>
          <w:lang w:val="en-CA"/>
        </w:rPr>
        <w:t>; </w:t>
      </w:r>
      <w:r w:rsidR="00F972B8" w:rsidRPr="00E02273">
        <w:rPr>
          <w:i/>
          <w:iCs/>
          <w:color w:val="000000"/>
          <w:lang w:val="en-CA"/>
        </w:rPr>
        <w:t>2011 Securities Reference</w:t>
      </w:r>
      <w:r w:rsidR="00F972B8" w:rsidRPr="00E02273">
        <w:rPr>
          <w:color w:val="000000"/>
          <w:lang w:val="en-CA"/>
        </w:rPr>
        <w:t>, at para. 106. And there may be cases in which an impugned statute’s dominant characteristic or main thrust is so closely tied to its means that treating the means as irrelevant to the identification of the pith and substance would make it difficult to define the matter of a statute or a provision precisely. In such a case, a broad pith and substance that does not include the means would be the very type of vague and general characterization, like “health” or “the environment”, that this Court described as unhelpful in </w:t>
      </w:r>
      <w:r w:rsidR="00F972B8" w:rsidRPr="00E02273">
        <w:rPr>
          <w:i/>
          <w:iCs/>
          <w:color w:val="000000"/>
          <w:lang w:val="en-CA"/>
        </w:rPr>
        <w:t>Desgagnés Transport</w:t>
      </w:r>
      <w:r w:rsidR="00F972B8" w:rsidRPr="00E02273">
        <w:rPr>
          <w:color w:val="000000"/>
          <w:lang w:val="en-CA"/>
        </w:rPr>
        <w:t>, at paras. 35 and 167 (citing </w:t>
      </w:r>
      <w:r w:rsidR="00F972B8" w:rsidRPr="00E02273">
        <w:rPr>
          <w:i/>
          <w:iCs/>
          <w:color w:val="000000"/>
          <w:lang w:val="en-CA"/>
        </w:rPr>
        <w:t>Assisted Human Reproduction Act</w:t>
      </w:r>
      <w:r w:rsidR="00F972B8" w:rsidRPr="00E02273">
        <w:rPr>
          <w:color w:val="000000"/>
          <w:lang w:val="en-CA"/>
        </w:rPr>
        <w:t>, at para. 190).</w:t>
      </w:r>
    </w:p>
    <w:p w14:paraId="2EFEFB1B" w14:textId="7887E697" w:rsidR="00B568AD" w:rsidRPr="00E02273" w:rsidRDefault="002D51A4" w:rsidP="00B568AD">
      <w:pPr>
        <w:pStyle w:val="Citationenretrait"/>
        <w:spacing w:line="240" w:lineRule="auto"/>
        <w:rPr>
          <w:lang w:val="en-CA" w:eastAsia="fr-CA"/>
        </w:rPr>
      </w:pPr>
      <w:r w:rsidRPr="00E02273">
        <w:rPr>
          <w:lang w:val="en-CA" w:eastAsia="fr-CA"/>
        </w:rPr>
        <w:t>[</w:t>
      </w:r>
      <w:bookmarkStart w:id="43" w:name="par54"/>
      <w:r w:rsidRPr="00E02273">
        <w:rPr>
          <w:lang w:val="en-CA" w:eastAsia="fr-CA"/>
        </w:rPr>
        <w:t>54</w:t>
      </w:r>
      <w:bookmarkEnd w:id="43"/>
      <w:r w:rsidRPr="00E02273">
        <w:rPr>
          <w:lang w:val="en-CA" w:eastAsia="fr-CA"/>
        </w:rPr>
        <w:t>]</w:t>
      </w:r>
      <w:r w:rsidRPr="00E02273">
        <w:rPr>
          <w:sz w:val="14"/>
          <w:szCs w:val="14"/>
          <w:lang w:val="en-CA" w:eastAsia="fr-CA"/>
        </w:rPr>
        <w:tab/>
      </w:r>
      <w:r w:rsidR="00F972B8" w:rsidRPr="00E02273">
        <w:rPr>
          <w:color w:val="000000"/>
          <w:lang w:val="en-CA"/>
        </w:rPr>
        <w:t>Even this Court’s jurisprudence on the national concern doctrine illustrates that there is nothing impermissible about defining a matter with reference to the legislative means. In </w:t>
      </w:r>
      <w:r w:rsidR="00F972B8" w:rsidRPr="00E02273">
        <w:rPr>
          <w:i/>
          <w:iCs/>
          <w:color w:val="000000"/>
          <w:lang w:val="en-CA"/>
        </w:rPr>
        <w:t>Munro v. National Capital Commission</w:t>
      </w:r>
      <w:r w:rsidR="00F972B8" w:rsidRPr="00E02273">
        <w:rPr>
          <w:color w:val="000000"/>
          <w:lang w:val="en-CA"/>
        </w:rPr>
        <w:t>, </w:t>
      </w:r>
      <w:r w:rsidR="00F972B8" w:rsidRPr="00E02273">
        <w:rPr>
          <w:lang w:val="en-CA"/>
        </w:rPr>
        <w:t>1966 CanLII 74 (SCC)</w:t>
      </w:r>
      <w:r w:rsidR="00F972B8" w:rsidRPr="00E02273">
        <w:rPr>
          <w:color w:val="000000"/>
          <w:lang w:val="en-CA"/>
        </w:rPr>
        <w:t>, [1966] S.C.R. 663, the Court defined the matter in terms of both the overarching objective — ensuring that “the nature and character of the seat of the Government of Canada may be in accordance with its national significance” — and the legislative means for achieving this objective — “development, conservation and improvement of the National Capital Region”: pp. 669 and 671. Similarly, in </w:t>
      </w:r>
      <w:r w:rsidR="00F972B8" w:rsidRPr="00E02273">
        <w:rPr>
          <w:i/>
          <w:iCs/>
          <w:color w:val="000000"/>
          <w:lang w:val="en-CA"/>
        </w:rPr>
        <w:t>Crown Zellerbach</w:t>
      </w:r>
      <w:r w:rsidR="00F972B8" w:rsidRPr="00E02273">
        <w:rPr>
          <w:color w:val="000000"/>
          <w:lang w:val="en-CA"/>
        </w:rPr>
        <w:t>, the Court did not define the matter of the statute broadly in terms of marine pollution. The definition of the matter was in fact a combination of the overarching purpose — controlling marine pollution — and the particular means that had been chosen — controlling the dumping of substances into the sea: pp. 436-37. La Forest J., dissenting, pointed out that regulating the dumping of substances into the sea was only one of multiple means to control marine pollution, given that pollution could also enter the sea through fresh water and through the air: p. 457.</w:t>
      </w:r>
    </w:p>
    <w:p w14:paraId="06F40F8E" w14:textId="2A80A844" w:rsidR="00B568AD" w:rsidRPr="00E02273" w:rsidRDefault="002D51A4" w:rsidP="00B568AD">
      <w:pPr>
        <w:pStyle w:val="Citationenretrait"/>
        <w:spacing w:line="240" w:lineRule="auto"/>
        <w:rPr>
          <w:lang w:val="en-CA" w:eastAsia="fr-CA"/>
        </w:rPr>
      </w:pPr>
      <w:r w:rsidRPr="00E02273">
        <w:rPr>
          <w:lang w:val="en-CA" w:eastAsia="fr-CA"/>
        </w:rPr>
        <w:lastRenderedPageBreak/>
        <w:t>[55]</w:t>
      </w:r>
      <w:r w:rsidRPr="00E02273">
        <w:rPr>
          <w:sz w:val="14"/>
          <w:szCs w:val="14"/>
          <w:lang w:val="en-CA" w:eastAsia="fr-CA"/>
        </w:rPr>
        <w:tab/>
      </w:r>
      <w:r w:rsidR="0030019C" w:rsidRPr="00E02273">
        <w:rPr>
          <w:color w:val="000000"/>
          <w:lang w:val="en-CA"/>
        </w:rPr>
        <w:t>I therefore agree with Hoy A.C.J.O.’s statement in the case at bar that in some cases the choice of means may be so central to the legislative objective that the main thrust of a statute or provision, properly understood, is to achieve a result in a particular way, which would justify including the means in identifying the pith and substance: para. 179.</w:t>
      </w:r>
    </w:p>
    <w:p w14:paraId="5C057EC5" w14:textId="3E635785" w:rsidR="00B568AD" w:rsidRPr="00E02273" w:rsidRDefault="002D51A4" w:rsidP="00B568AD">
      <w:pPr>
        <w:pStyle w:val="Citationenretrait"/>
        <w:spacing w:line="240" w:lineRule="auto"/>
        <w:rPr>
          <w:lang w:val="en-CA"/>
        </w:rPr>
      </w:pPr>
      <w:r w:rsidRPr="00E02273">
        <w:rPr>
          <w:lang w:val="en-CA" w:eastAsia="fr-CA"/>
        </w:rPr>
        <w:t>[</w:t>
      </w:r>
      <w:bookmarkStart w:id="44" w:name="par56"/>
      <w:r w:rsidRPr="00E02273">
        <w:rPr>
          <w:lang w:val="en-CA" w:eastAsia="fr-CA"/>
        </w:rPr>
        <w:t>56</w:t>
      </w:r>
      <w:bookmarkEnd w:id="44"/>
      <w:r w:rsidRPr="00E02273">
        <w:rPr>
          <w:lang w:val="en-CA" w:eastAsia="fr-CA"/>
        </w:rPr>
        <w:t>]</w:t>
      </w:r>
      <w:r w:rsidRPr="00E02273">
        <w:rPr>
          <w:sz w:val="14"/>
          <w:szCs w:val="14"/>
          <w:lang w:val="en-CA" w:eastAsia="fr-CA"/>
        </w:rPr>
        <w:tab/>
      </w:r>
      <w:r w:rsidR="0030019C" w:rsidRPr="00E02273">
        <w:rPr>
          <w:color w:val="000000"/>
          <w:lang w:val="en-CA"/>
        </w:rPr>
        <w:t>Third, the characterization and classification stages of the division of powers analysis are and must be kept distinct. In other words, the pith and substance of a statute or a provision must be identified without regard to the heads of legislative competence. As Binnie J. noted in </w:t>
      </w:r>
      <w:r w:rsidR="0030019C" w:rsidRPr="00E02273">
        <w:rPr>
          <w:i/>
          <w:iCs/>
          <w:color w:val="000000"/>
          <w:lang w:val="en-CA"/>
        </w:rPr>
        <w:t>Chatterjee v. Ontario (Attorney General)</w:t>
      </w:r>
      <w:r w:rsidR="0030019C" w:rsidRPr="00E02273">
        <w:rPr>
          <w:color w:val="000000"/>
          <w:lang w:val="en-CA"/>
        </w:rPr>
        <w:t>, </w:t>
      </w:r>
      <w:r w:rsidR="0030019C" w:rsidRPr="00E02273">
        <w:rPr>
          <w:lang w:val="en-CA"/>
        </w:rPr>
        <w:t>2009 SCC 19</w:t>
      </w:r>
      <w:r w:rsidR="0030019C" w:rsidRPr="00E02273">
        <w:rPr>
          <w:color w:val="000000"/>
          <w:lang w:val="en-CA"/>
        </w:rPr>
        <w:t>, [2009] 1 S.C.R. 624, at para. </w:t>
      </w:r>
      <w:r w:rsidR="0030019C" w:rsidRPr="00E02273">
        <w:rPr>
          <w:lang w:val="en-CA"/>
        </w:rPr>
        <w:t>16</w:t>
      </w:r>
      <w:r w:rsidR="0030019C" w:rsidRPr="00E02273">
        <w:rPr>
          <w:color w:val="000000"/>
          <w:lang w:val="en-CA"/>
        </w:rPr>
        <w:t>, a failure to keep these two stages of the analysis distinct would create “a danger that the whole exercise will become blurred and overly oriented towards results”. The characterization exercise must ultimately be rooted in the purpose and the effects of the impugned statute or provision.</w:t>
      </w:r>
      <w:r w:rsidRPr="00E02273">
        <w:rPr>
          <w:lang w:val="en-CA" w:eastAsia="fr-CA"/>
        </w:rPr>
        <w:t xml:space="preserve"> </w:t>
      </w:r>
      <w:bookmarkStart w:id="45" w:name="_Toc61018570"/>
      <w:bookmarkStart w:id="46" w:name="_Toc57111331"/>
      <w:bookmarkEnd w:id="45"/>
      <w:bookmarkEnd w:id="46"/>
    </w:p>
    <w:p w14:paraId="59DD30A5" w14:textId="228F44F4" w:rsidR="00B568AD" w:rsidRPr="00E02273" w:rsidRDefault="00AA61CB" w:rsidP="008169E5">
      <w:pPr>
        <w:pStyle w:val="Paragraphe"/>
        <w:tabs>
          <w:tab w:val="num" w:pos="709"/>
        </w:tabs>
        <w:spacing w:line="240" w:lineRule="auto"/>
        <w:ind w:left="0"/>
        <w:rPr>
          <w:lang w:val="en-CA"/>
        </w:rPr>
      </w:pPr>
      <w:r w:rsidRPr="00E02273">
        <w:rPr>
          <w:lang w:val="en-CA"/>
        </w:rPr>
        <w:t>What is the case here</w:t>
      </w:r>
      <w:r w:rsidR="002D51A4" w:rsidRPr="00E02273">
        <w:rPr>
          <w:lang w:val="en-CA"/>
        </w:rPr>
        <w:t>?</w:t>
      </w:r>
    </w:p>
    <w:p w14:paraId="15A0050F" w14:textId="073DC834" w:rsidR="00B568AD" w:rsidRPr="00E02273" w:rsidRDefault="00AA61CB" w:rsidP="00B568AD">
      <w:pPr>
        <w:pStyle w:val="Paragraphe"/>
        <w:numPr>
          <w:ilvl w:val="0"/>
          <w:numId w:val="0"/>
        </w:numPr>
        <w:spacing w:line="240" w:lineRule="auto"/>
        <w:ind w:left="720" w:firstLine="720"/>
        <w:rPr>
          <w:i/>
          <w:u w:val="single"/>
          <w:lang w:val="en-CA"/>
        </w:rPr>
      </w:pPr>
      <w:r w:rsidRPr="00E02273">
        <w:rPr>
          <w:i/>
          <w:u w:val="single"/>
          <w:lang w:val="en-CA"/>
        </w:rPr>
        <w:t>The re</w:t>
      </w:r>
      <w:r w:rsidR="002D51A4" w:rsidRPr="00E02273">
        <w:rPr>
          <w:i/>
          <w:u w:val="single"/>
          <w:lang w:val="en-CA"/>
        </w:rPr>
        <w:t xml:space="preserve">gime </w:t>
      </w:r>
      <w:r w:rsidRPr="00E02273">
        <w:rPr>
          <w:i/>
          <w:u w:val="single"/>
          <w:lang w:val="en-CA"/>
        </w:rPr>
        <w:t>prior to the</w:t>
      </w:r>
      <w:r w:rsidR="002D51A4" w:rsidRPr="00E02273">
        <w:rPr>
          <w:i/>
          <w:u w:val="single"/>
          <w:lang w:val="en-CA"/>
        </w:rPr>
        <w:t xml:space="preserve"> </w:t>
      </w:r>
      <w:r w:rsidR="00866E58" w:rsidRPr="00E02273">
        <w:rPr>
          <w:i/>
          <w:u w:val="single"/>
          <w:lang w:val="en-CA"/>
        </w:rPr>
        <w:t>2019 Regulatory Amendments</w:t>
      </w:r>
    </w:p>
    <w:p w14:paraId="36EEBF21" w14:textId="2D82D1B5" w:rsidR="00B568AD" w:rsidRPr="00E02273" w:rsidRDefault="00D34FCD" w:rsidP="008169E5">
      <w:pPr>
        <w:pStyle w:val="Paragraphe"/>
        <w:tabs>
          <w:tab w:val="num" w:pos="709"/>
        </w:tabs>
        <w:spacing w:line="240" w:lineRule="auto"/>
        <w:ind w:left="0"/>
        <w:rPr>
          <w:lang w:val="en-CA"/>
        </w:rPr>
      </w:pPr>
      <w:r w:rsidRPr="00E02273">
        <w:rPr>
          <w:lang w:val="en-CA"/>
        </w:rPr>
        <w:t>As for t</w:t>
      </w:r>
      <w:r w:rsidR="00DB374B" w:rsidRPr="00E02273">
        <w:rPr>
          <w:lang w:val="en-CA"/>
        </w:rPr>
        <w:t>he existing reg</w:t>
      </w:r>
      <w:r w:rsidR="002D51A4" w:rsidRPr="00E02273">
        <w:rPr>
          <w:lang w:val="en-CA"/>
        </w:rPr>
        <w:t xml:space="preserve">ime, </w:t>
      </w:r>
      <w:r w:rsidR="00DB374B" w:rsidRPr="00E02273">
        <w:rPr>
          <w:lang w:val="en-CA"/>
        </w:rPr>
        <w:t xml:space="preserve">the wording of </w:t>
      </w:r>
      <w:r w:rsidR="002D51A4" w:rsidRPr="00E02273">
        <w:rPr>
          <w:lang w:val="en-CA"/>
        </w:rPr>
        <w:t xml:space="preserve">sections 83 </w:t>
      </w:r>
      <w:r w:rsidR="00DB374B" w:rsidRPr="00E02273">
        <w:rPr>
          <w:lang w:val="en-CA"/>
        </w:rPr>
        <w:t>and</w:t>
      </w:r>
      <w:r w:rsidR="002D51A4" w:rsidRPr="00E02273">
        <w:rPr>
          <w:lang w:val="en-CA"/>
        </w:rPr>
        <w:t xml:space="preserve"> 85 </w:t>
      </w:r>
      <w:r w:rsidR="00DB374B" w:rsidRPr="00E02273">
        <w:rPr>
          <w:lang w:val="en-CA"/>
        </w:rPr>
        <w:t xml:space="preserve">of the </w:t>
      </w:r>
      <w:r w:rsidR="00DB374B" w:rsidRPr="00E02273">
        <w:rPr>
          <w:i/>
          <w:lang w:val="en-CA"/>
        </w:rPr>
        <w:t xml:space="preserve">Patent Act </w:t>
      </w:r>
      <w:r w:rsidR="00DB374B" w:rsidRPr="00E02273">
        <w:rPr>
          <w:lang w:val="en-CA"/>
        </w:rPr>
        <w:t>allow</w:t>
      </w:r>
      <w:r w:rsidRPr="00E02273">
        <w:rPr>
          <w:lang w:val="en-CA"/>
        </w:rPr>
        <w:t>s</w:t>
      </w:r>
      <w:r w:rsidR="00DB374B" w:rsidRPr="00E02273">
        <w:rPr>
          <w:lang w:val="en-CA"/>
        </w:rPr>
        <w:t xml:space="preserve"> the Board to make certain binding </w:t>
      </w:r>
      <w:r w:rsidR="002D51A4" w:rsidRPr="00E02273">
        <w:rPr>
          <w:lang w:val="en-CA"/>
        </w:rPr>
        <w:t>orders</w:t>
      </w:r>
      <w:r w:rsidRPr="00E02273">
        <w:rPr>
          <w:lang w:val="en-CA"/>
        </w:rPr>
        <w:t xml:space="preserve"> and sets out the factors to consider to that end</w:t>
      </w:r>
      <w:r w:rsidR="002D51A4" w:rsidRPr="00E02273">
        <w:rPr>
          <w:lang w:val="en-CA"/>
        </w:rPr>
        <w:t xml:space="preserve">. </w:t>
      </w:r>
      <w:r w:rsidRPr="00E02273">
        <w:rPr>
          <w:lang w:val="en-CA"/>
        </w:rPr>
        <w:t xml:space="preserve">Their wording is clear; </w:t>
      </w:r>
      <w:r w:rsidR="00926AFB">
        <w:rPr>
          <w:lang w:val="en-CA"/>
        </w:rPr>
        <w:t xml:space="preserve">they </w:t>
      </w:r>
      <w:r w:rsidRPr="00E02273">
        <w:rPr>
          <w:lang w:val="en-CA"/>
        </w:rPr>
        <w:t xml:space="preserve"> prevent the monopoly granted by patent </w:t>
      </w:r>
      <w:r w:rsidR="00926AFB">
        <w:rPr>
          <w:lang w:val="en-CA"/>
        </w:rPr>
        <w:t xml:space="preserve">from </w:t>
      </w:r>
      <w:r w:rsidRPr="00E02273">
        <w:rPr>
          <w:lang w:val="en-CA"/>
        </w:rPr>
        <w:t>be</w:t>
      </w:r>
      <w:r w:rsidR="00926AFB">
        <w:rPr>
          <w:lang w:val="en-CA"/>
        </w:rPr>
        <w:t>ing</w:t>
      </w:r>
      <w:r w:rsidRPr="00E02273">
        <w:rPr>
          <w:lang w:val="en-CA"/>
        </w:rPr>
        <w:t xml:space="preserve"> used </w:t>
      </w:r>
      <w:r w:rsidR="00926AFB">
        <w:rPr>
          <w:lang w:val="en-CA"/>
        </w:rPr>
        <w:t>to</w:t>
      </w:r>
      <w:r w:rsidRPr="00E02273">
        <w:rPr>
          <w:lang w:val="en-CA"/>
        </w:rPr>
        <w:t xml:space="preserve"> charg</w:t>
      </w:r>
      <w:r w:rsidR="00926AFB">
        <w:rPr>
          <w:lang w:val="en-CA"/>
        </w:rPr>
        <w:t>e</w:t>
      </w:r>
      <w:r w:rsidRPr="00E02273">
        <w:rPr>
          <w:lang w:val="en-CA"/>
        </w:rPr>
        <w:t xml:space="preserve"> “excessive” prices for patented medicines. Thus, subsection </w:t>
      </w:r>
      <w:r w:rsidR="002D51A4" w:rsidRPr="00E02273">
        <w:rPr>
          <w:lang w:val="en-CA"/>
        </w:rPr>
        <w:t xml:space="preserve">83(1) </w:t>
      </w:r>
      <w:r w:rsidRPr="00E02273">
        <w:rPr>
          <w:lang w:val="en-CA"/>
        </w:rPr>
        <w:t xml:space="preserve">allows the Board to </w:t>
      </w:r>
      <w:r w:rsidR="002D51A4" w:rsidRPr="00E02273">
        <w:rPr>
          <w:lang w:val="en-CA"/>
        </w:rPr>
        <w:t>interven</w:t>
      </w:r>
      <w:r w:rsidRPr="00E02273">
        <w:rPr>
          <w:lang w:val="en-CA"/>
        </w:rPr>
        <w:t xml:space="preserve">e only if it “finds that a rights holder for an invention pertaining to a medicine is selling the medicine in any market in Canada at a price that, in the Board’s opinion, is </w:t>
      </w:r>
      <w:r w:rsidRPr="00E02273">
        <w:rPr>
          <w:u w:val="single"/>
          <w:lang w:val="en-CA"/>
        </w:rPr>
        <w:t>excessive</w:t>
      </w:r>
      <w:r w:rsidRPr="00E02273">
        <w:rPr>
          <w:lang w:val="en-CA"/>
        </w:rPr>
        <w:t>”</w:t>
      </w:r>
      <w:r w:rsidR="002D51A4" w:rsidRPr="00E02273">
        <w:rPr>
          <w:lang w:val="en-CA"/>
        </w:rPr>
        <w:t xml:space="preserve"> </w:t>
      </w:r>
      <w:r w:rsidR="00006963" w:rsidRPr="00E02273">
        <w:rPr>
          <w:lang w:val="en-CA"/>
        </w:rPr>
        <w:t>[</w:t>
      </w:r>
      <w:r w:rsidRPr="00E02273">
        <w:rPr>
          <w:lang w:val="en-CA"/>
        </w:rPr>
        <w:t>e</w:t>
      </w:r>
      <w:r w:rsidR="002D51A4" w:rsidRPr="00E02273">
        <w:rPr>
          <w:lang w:val="en-CA"/>
        </w:rPr>
        <w:t>mphasis</w:t>
      </w:r>
      <w:r w:rsidRPr="00E02273">
        <w:rPr>
          <w:lang w:val="en-CA"/>
        </w:rPr>
        <w:t xml:space="preserve"> </w:t>
      </w:r>
      <w:r w:rsidR="002D51A4" w:rsidRPr="00E02273">
        <w:rPr>
          <w:lang w:val="en-CA"/>
        </w:rPr>
        <w:t>added</w:t>
      </w:r>
      <w:r w:rsidR="00006963" w:rsidRPr="00E02273">
        <w:rPr>
          <w:lang w:val="en-CA"/>
        </w:rPr>
        <w:t>]</w:t>
      </w:r>
      <w:r w:rsidR="002D51A4" w:rsidRPr="00E02273">
        <w:rPr>
          <w:lang w:val="en-CA"/>
        </w:rPr>
        <w:t xml:space="preserve">, </w:t>
      </w:r>
      <w:r w:rsidRPr="00E02273">
        <w:rPr>
          <w:lang w:val="en-CA"/>
        </w:rPr>
        <w:t>while subsection</w:t>
      </w:r>
      <w:r w:rsidR="00006963" w:rsidRPr="00E02273">
        <w:rPr>
          <w:lang w:val="en-CA"/>
        </w:rPr>
        <w:t> </w:t>
      </w:r>
      <w:r w:rsidR="002D51A4" w:rsidRPr="00E02273">
        <w:rPr>
          <w:lang w:val="en-CA"/>
        </w:rPr>
        <w:t xml:space="preserve">85(1) </w:t>
      </w:r>
      <w:r w:rsidRPr="00E02273">
        <w:rPr>
          <w:lang w:val="en-CA"/>
        </w:rPr>
        <w:t xml:space="preserve">provides that the </w:t>
      </w:r>
      <w:r w:rsidR="00006963" w:rsidRPr="00E02273">
        <w:rPr>
          <w:lang w:val="en-CA"/>
        </w:rPr>
        <w:t xml:space="preserve">factors set out therein are to be taken into consideration in “determining … whether a medicine is being or has been sold at an </w:t>
      </w:r>
      <w:r w:rsidR="00006963" w:rsidRPr="00E02273">
        <w:rPr>
          <w:u w:val="single"/>
          <w:lang w:val="en-CA"/>
        </w:rPr>
        <w:t>excessive</w:t>
      </w:r>
      <w:r w:rsidR="00006963" w:rsidRPr="00E02273">
        <w:rPr>
          <w:lang w:val="en-CA"/>
        </w:rPr>
        <w:t xml:space="preserve"> price in any market in Canada”</w:t>
      </w:r>
      <w:r w:rsidR="002D51A4" w:rsidRPr="00E02273">
        <w:rPr>
          <w:lang w:val="en-CA"/>
        </w:rPr>
        <w:t xml:space="preserve"> </w:t>
      </w:r>
      <w:r w:rsidR="00006963" w:rsidRPr="00E02273">
        <w:rPr>
          <w:lang w:val="en-CA"/>
        </w:rPr>
        <w:t>[e</w:t>
      </w:r>
      <w:r w:rsidR="002D51A4" w:rsidRPr="00E02273">
        <w:rPr>
          <w:lang w:val="en-CA"/>
        </w:rPr>
        <w:t>mphasis</w:t>
      </w:r>
      <w:r w:rsidR="00006963" w:rsidRPr="00E02273">
        <w:rPr>
          <w:lang w:val="en-CA"/>
        </w:rPr>
        <w:t xml:space="preserve"> </w:t>
      </w:r>
      <w:r w:rsidR="002D51A4" w:rsidRPr="00E02273">
        <w:rPr>
          <w:lang w:val="en-CA"/>
        </w:rPr>
        <w:t>added</w:t>
      </w:r>
      <w:r w:rsidR="00006963" w:rsidRPr="00E02273">
        <w:rPr>
          <w:lang w:val="en-CA"/>
        </w:rPr>
        <w:t>]</w:t>
      </w:r>
      <w:r w:rsidR="002D51A4" w:rsidRPr="00E02273">
        <w:rPr>
          <w:lang w:val="en-CA"/>
        </w:rPr>
        <w:t xml:space="preserve">. </w:t>
      </w:r>
      <w:r w:rsidR="00E81FA8" w:rsidRPr="00E02273">
        <w:rPr>
          <w:lang w:val="en-CA"/>
        </w:rPr>
        <w:t xml:space="preserve">It is the control of excessive prices that is contemplated. What constitutes an excessive price emerges from the </w:t>
      </w:r>
      <w:r w:rsidR="002D51A4" w:rsidRPr="00E02273">
        <w:rPr>
          <w:lang w:val="en-CA"/>
        </w:rPr>
        <w:t>fact</w:t>
      </w:r>
      <w:r w:rsidR="00E81FA8" w:rsidRPr="00E02273">
        <w:rPr>
          <w:lang w:val="en-CA"/>
        </w:rPr>
        <w:t>o</w:t>
      </w:r>
      <w:r w:rsidR="002D51A4" w:rsidRPr="00E02273">
        <w:rPr>
          <w:lang w:val="en-CA"/>
        </w:rPr>
        <w:t xml:space="preserve">rs </w:t>
      </w:r>
      <w:r w:rsidR="00E81FA8" w:rsidRPr="00E02273">
        <w:rPr>
          <w:lang w:val="en-CA"/>
        </w:rPr>
        <w:t xml:space="preserve">set out in this regard in the </w:t>
      </w:r>
      <w:r w:rsidR="00926AFB" w:rsidRPr="00247A54">
        <w:rPr>
          <w:i/>
          <w:lang w:val="en-CA"/>
        </w:rPr>
        <w:t>Act</w:t>
      </w:r>
      <w:r w:rsidR="002D51A4" w:rsidRPr="00E02273">
        <w:rPr>
          <w:lang w:val="en-CA"/>
        </w:rPr>
        <w:t>.</w:t>
      </w:r>
    </w:p>
    <w:p w14:paraId="0027350D" w14:textId="6A495031" w:rsidR="00B568AD" w:rsidRPr="00E02273" w:rsidRDefault="001E0400" w:rsidP="008169E5">
      <w:pPr>
        <w:pStyle w:val="Paragraphe"/>
        <w:tabs>
          <w:tab w:val="num" w:pos="709"/>
        </w:tabs>
        <w:spacing w:line="240" w:lineRule="auto"/>
        <w:ind w:left="0"/>
        <w:rPr>
          <w:lang w:val="en-CA"/>
        </w:rPr>
      </w:pPr>
      <w:r w:rsidRPr="00E02273">
        <w:rPr>
          <w:lang w:val="en-CA"/>
        </w:rPr>
        <w:t xml:space="preserve">The </w:t>
      </w:r>
      <w:r w:rsidR="002D51A4" w:rsidRPr="00E02273">
        <w:rPr>
          <w:lang w:val="en-CA"/>
        </w:rPr>
        <w:t>fact</w:t>
      </w:r>
      <w:r w:rsidRPr="00E02273">
        <w:rPr>
          <w:lang w:val="en-CA"/>
        </w:rPr>
        <w:t>ors</w:t>
      </w:r>
      <w:r w:rsidR="002D51A4" w:rsidRPr="00E02273">
        <w:rPr>
          <w:lang w:val="en-CA"/>
        </w:rPr>
        <w:t xml:space="preserve"> </w:t>
      </w:r>
      <w:r w:rsidRPr="00E02273">
        <w:rPr>
          <w:lang w:val="en-CA"/>
        </w:rPr>
        <w:t xml:space="preserve">set out in subsection </w:t>
      </w:r>
      <w:r w:rsidR="002D51A4" w:rsidRPr="00E02273">
        <w:rPr>
          <w:lang w:val="en-CA"/>
        </w:rPr>
        <w:t>85(1)</w:t>
      </w:r>
      <w:r w:rsidRPr="00E02273">
        <w:rPr>
          <w:lang w:val="en-CA"/>
        </w:rPr>
        <w:t xml:space="preserve"> of the </w:t>
      </w:r>
      <w:r w:rsidRPr="00E02273">
        <w:rPr>
          <w:i/>
          <w:lang w:val="en-CA"/>
        </w:rPr>
        <w:t xml:space="preserve">Patent Act </w:t>
      </w:r>
      <w:r w:rsidR="00B87121" w:rsidRPr="00E02273">
        <w:rPr>
          <w:lang w:val="en-CA"/>
        </w:rPr>
        <w:t xml:space="preserve">ensure </w:t>
      </w:r>
      <w:r w:rsidR="00926AFB">
        <w:rPr>
          <w:lang w:val="en-CA"/>
        </w:rPr>
        <w:t xml:space="preserve">that </w:t>
      </w:r>
      <w:r w:rsidR="00B87121" w:rsidRPr="00E02273">
        <w:rPr>
          <w:lang w:val="en-CA"/>
        </w:rPr>
        <w:t xml:space="preserve">the price </w:t>
      </w:r>
      <w:r w:rsidR="00A03553" w:rsidRPr="00E02273">
        <w:rPr>
          <w:lang w:val="en-CA"/>
        </w:rPr>
        <w:t>at which</w:t>
      </w:r>
      <w:r w:rsidR="00B87121" w:rsidRPr="00E02273">
        <w:rPr>
          <w:lang w:val="en-CA"/>
        </w:rPr>
        <w:t xml:space="preserve"> the patented medicine </w:t>
      </w:r>
      <w:r w:rsidR="00A03553" w:rsidRPr="00E02273">
        <w:rPr>
          <w:lang w:val="en-CA"/>
        </w:rPr>
        <w:t xml:space="preserve">is sold </w:t>
      </w:r>
      <w:r w:rsidR="00B87121" w:rsidRPr="00E02273">
        <w:rPr>
          <w:lang w:val="en-CA"/>
        </w:rPr>
        <w:t xml:space="preserve">in </w:t>
      </w:r>
      <w:r w:rsidR="002D51A4" w:rsidRPr="00E02273">
        <w:rPr>
          <w:lang w:val="en-CA"/>
        </w:rPr>
        <w:t>Canada</w:t>
      </w:r>
      <w:r w:rsidR="00926AFB">
        <w:rPr>
          <w:lang w:val="en-CA"/>
        </w:rPr>
        <w:t xml:space="preserve"> is objectively compared</w:t>
      </w:r>
      <w:r w:rsidR="00247A54">
        <w:rPr>
          <w:lang w:val="en-CA"/>
        </w:rPr>
        <w:t xml:space="preserve"> to</w:t>
      </w:r>
      <w:r w:rsidR="002D51A4" w:rsidRPr="00E02273">
        <w:rPr>
          <w:lang w:val="en-CA"/>
        </w:rPr>
        <w:t xml:space="preserve"> (a) </w:t>
      </w:r>
      <w:r w:rsidR="00B87121" w:rsidRPr="00E02273">
        <w:rPr>
          <w:lang w:val="en-CA"/>
        </w:rPr>
        <w:t xml:space="preserve">the price </w:t>
      </w:r>
      <w:r w:rsidR="00A03553" w:rsidRPr="00E02273">
        <w:rPr>
          <w:lang w:val="en-CA"/>
        </w:rPr>
        <w:t xml:space="preserve">at which </w:t>
      </w:r>
      <w:r w:rsidR="00B87121" w:rsidRPr="00E02273">
        <w:rPr>
          <w:lang w:val="en-CA"/>
        </w:rPr>
        <w:t xml:space="preserve">medicines in the same therapeutic class </w:t>
      </w:r>
      <w:r w:rsidR="00A03553" w:rsidRPr="00E02273">
        <w:rPr>
          <w:lang w:val="en-CA"/>
        </w:rPr>
        <w:t xml:space="preserve">are sold </w:t>
      </w:r>
      <w:r w:rsidR="00B87121" w:rsidRPr="00E02273">
        <w:rPr>
          <w:lang w:val="en-CA"/>
        </w:rPr>
        <w:t xml:space="preserve">in </w:t>
      </w:r>
      <w:r w:rsidR="002D51A4" w:rsidRPr="00E02273">
        <w:rPr>
          <w:lang w:val="en-CA"/>
        </w:rPr>
        <w:t xml:space="preserve">Canada; </w:t>
      </w:r>
      <w:r w:rsidR="00B87121" w:rsidRPr="00E02273">
        <w:rPr>
          <w:lang w:val="en-CA"/>
        </w:rPr>
        <w:t>and</w:t>
      </w:r>
      <w:r w:rsidR="002D51A4" w:rsidRPr="00E02273">
        <w:rPr>
          <w:lang w:val="en-CA"/>
        </w:rPr>
        <w:t xml:space="preserve"> (b) </w:t>
      </w:r>
      <w:r w:rsidR="00B87121" w:rsidRPr="00E02273">
        <w:rPr>
          <w:lang w:val="en-CA"/>
        </w:rPr>
        <w:t xml:space="preserve">the price </w:t>
      </w:r>
      <w:r w:rsidR="00A03553" w:rsidRPr="00E02273">
        <w:rPr>
          <w:lang w:val="en-CA"/>
        </w:rPr>
        <w:t xml:space="preserve">at which </w:t>
      </w:r>
      <w:r w:rsidR="00B87121" w:rsidRPr="00E02273">
        <w:rPr>
          <w:lang w:val="en-CA"/>
        </w:rPr>
        <w:t xml:space="preserve">the same medicine and medicines in the same therapeutic class </w:t>
      </w:r>
      <w:r w:rsidR="0098521C" w:rsidRPr="00E02273">
        <w:rPr>
          <w:lang w:val="en-CA"/>
        </w:rPr>
        <w:t>are sold in countries other than Canada</w:t>
      </w:r>
      <w:r w:rsidR="002D51A4" w:rsidRPr="00E02273">
        <w:rPr>
          <w:lang w:val="en-CA"/>
        </w:rPr>
        <w:t xml:space="preserve">. </w:t>
      </w:r>
      <w:r w:rsidR="00F65491" w:rsidRPr="00E02273">
        <w:rPr>
          <w:lang w:val="en-CA"/>
        </w:rPr>
        <w:t>The purpose is to ensure that the price</w:t>
      </w:r>
      <w:r w:rsidR="002D51A4" w:rsidRPr="00E02273">
        <w:rPr>
          <w:lang w:val="en-CA"/>
        </w:rPr>
        <w:t xml:space="preserve"> </w:t>
      </w:r>
      <w:r w:rsidR="00F65491" w:rsidRPr="00E02273">
        <w:rPr>
          <w:lang w:val="en-CA"/>
        </w:rPr>
        <w:t xml:space="preserve">charged for the patented medicine in Canada </w:t>
      </w:r>
      <w:r w:rsidR="002D51A4" w:rsidRPr="00E02273">
        <w:rPr>
          <w:lang w:val="en-CA"/>
        </w:rPr>
        <w:t>compare</w:t>
      </w:r>
      <w:r w:rsidR="00926AFB">
        <w:rPr>
          <w:lang w:val="en-CA"/>
        </w:rPr>
        <w:t>s</w:t>
      </w:r>
      <w:r w:rsidR="002D51A4" w:rsidRPr="00E02273">
        <w:rPr>
          <w:lang w:val="en-CA"/>
        </w:rPr>
        <w:t xml:space="preserve"> favo</w:t>
      </w:r>
      <w:r w:rsidR="00F65491" w:rsidRPr="00E02273">
        <w:rPr>
          <w:lang w:val="en-CA"/>
        </w:rPr>
        <w:t>u</w:t>
      </w:r>
      <w:r w:rsidR="002D51A4" w:rsidRPr="00E02273">
        <w:rPr>
          <w:lang w:val="en-CA"/>
        </w:rPr>
        <w:t>rabl</w:t>
      </w:r>
      <w:r w:rsidR="00F65491" w:rsidRPr="00E02273">
        <w:rPr>
          <w:lang w:val="en-CA"/>
        </w:rPr>
        <w:t xml:space="preserve">y to the price charged for the same medicine and medicines in the same therapeutic class in Canada and in </w:t>
      </w:r>
      <w:r w:rsidR="006C20FF" w:rsidRPr="00E02273">
        <w:rPr>
          <w:lang w:val="en-CA"/>
        </w:rPr>
        <w:t xml:space="preserve">other </w:t>
      </w:r>
      <w:r w:rsidR="00F65491" w:rsidRPr="00E02273">
        <w:rPr>
          <w:lang w:val="en-CA"/>
        </w:rPr>
        <w:t>countries</w:t>
      </w:r>
      <w:r w:rsidR="002D51A4" w:rsidRPr="00E02273">
        <w:rPr>
          <w:lang w:val="en-CA"/>
        </w:rPr>
        <w:t xml:space="preserve">. </w:t>
      </w:r>
      <w:r w:rsidR="00F65491" w:rsidRPr="00E02273">
        <w:rPr>
          <w:lang w:val="en-CA"/>
        </w:rPr>
        <w:t xml:space="preserve">The </w:t>
      </w:r>
      <w:r w:rsidR="002D51A4" w:rsidRPr="00E02273">
        <w:rPr>
          <w:lang w:val="en-CA"/>
        </w:rPr>
        <w:t>non</w:t>
      </w:r>
      <w:r w:rsidR="00F65491" w:rsidRPr="00E02273">
        <w:rPr>
          <w:lang w:val="en-CA"/>
        </w:rPr>
        <w:t>-</w:t>
      </w:r>
      <w:r w:rsidR="002D51A4" w:rsidRPr="00E02273">
        <w:rPr>
          <w:lang w:val="en-CA"/>
        </w:rPr>
        <w:t>excessi</w:t>
      </w:r>
      <w:r w:rsidR="00F65491" w:rsidRPr="00E02273">
        <w:rPr>
          <w:lang w:val="en-CA"/>
        </w:rPr>
        <w:t xml:space="preserve">ve price </w:t>
      </w:r>
      <w:r w:rsidR="005926AF" w:rsidRPr="00E02273">
        <w:rPr>
          <w:lang w:val="en-CA"/>
        </w:rPr>
        <w:t>thus de</w:t>
      </w:r>
      <w:r w:rsidR="002D51A4" w:rsidRPr="00E02273">
        <w:rPr>
          <w:lang w:val="en-CA"/>
        </w:rPr>
        <w:t>termin</w:t>
      </w:r>
      <w:r w:rsidR="005926AF" w:rsidRPr="00E02273">
        <w:rPr>
          <w:lang w:val="en-CA"/>
        </w:rPr>
        <w:t xml:space="preserve">ed may then evolve in accordance with the Consumer Price Index </w:t>
      </w:r>
      <w:r w:rsidR="002D51A4" w:rsidRPr="00E02273">
        <w:rPr>
          <w:lang w:val="en-CA"/>
        </w:rPr>
        <w:t>(</w:t>
      </w:r>
      <w:r w:rsidR="005926AF" w:rsidRPr="00E02273">
        <w:rPr>
          <w:lang w:val="en-CA"/>
        </w:rPr>
        <w:t>“CPI”</w:t>
      </w:r>
      <w:r w:rsidR="002D51A4" w:rsidRPr="00E02273">
        <w:rPr>
          <w:lang w:val="en-CA"/>
        </w:rPr>
        <w:t>),</w:t>
      </w:r>
      <w:r w:rsidR="005926AF" w:rsidRPr="00E02273">
        <w:rPr>
          <w:lang w:val="en-CA"/>
        </w:rPr>
        <w:t xml:space="preserve"> which is the other factor to consider</w:t>
      </w:r>
      <w:r w:rsidR="002D51A4" w:rsidRPr="00E02273">
        <w:rPr>
          <w:lang w:val="en-CA"/>
        </w:rPr>
        <w:t xml:space="preserve">.  </w:t>
      </w:r>
    </w:p>
    <w:p w14:paraId="7B2AE1F3" w14:textId="4E3C85A8" w:rsidR="00B568AD" w:rsidRPr="00E02273" w:rsidRDefault="00207E19" w:rsidP="008169E5">
      <w:pPr>
        <w:pStyle w:val="Paragraphe"/>
        <w:tabs>
          <w:tab w:val="num" w:pos="709"/>
        </w:tabs>
        <w:spacing w:line="240" w:lineRule="auto"/>
        <w:ind w:left="0"/>
        <w:rPr>
          <w:lang w:val="en-CA"/>
        </w:rPr>
      </w:pPr>
      <w:r w:rsidRPr="00E02273">
        <w:rPr>
          <w:lang w:val="en-CA"/>
        </w:rPr>
        <w:t xml:space="preserve">As the current wording of the </w:t>
      </w:r>
      <w:r w:rsidRPr="00E02273">
        <w:rPr>
          <w:i/>
          <w:lang w:val="en-CA"/>
        </w:rPr>
        <w:t xml:space="preserve">Patented Medicines Regulations </w:t>
      </w:r>
      <w:r w:rsidR="00665984" w:rsidRPr="00E02273">
        <w:rPr>
          <w:lang w:val="en-CA"/>
        </w:rPr>
        <w:t>provides no additional factors other than those set out in s</w:t>
      </w:r>
      <w:r w:rsidR="005020B1">
        <w:rPr>
          <w:lang w:val="en-CA"/>
        </w:rPr>
        <w:t>ection</w:t>
      </w:r>
      <w:r w:rsidR="002D51A4" w:rsidRPr="00E02273">
        <w:rPr>
          <w:lang w:val="en-CA"/>
        </w:rPr>
        <w:t xml:space="preserve"> 85 </w:t>
      </w:r>
      <w:r w:rsidR="00665984" w:rsidRPr="00E02273">
        <w:rPr>
          <w:lang w:val="en-CA"/>
        </w:rPr>
        <w:t xml:space="preserve">of the </w:t>
      </w:r>
      <w:r w:rsidR="00665984" w:rsidRPr="00E02273">
        <w:rPr>
          <w:i/>
          <w:lang w:val="en-CA"/>
        </w:rPr>
        <w:t>Act</w:t>
      </w:r>
      <w:r w:rsidR="00665984" w:rsidRPr="00E02273">
        <w:rPr>
          <w:lang w:val="en-CA"/>
        </w:rPr>
        <w:t xml:space="preserve">, which factors are clearly </w:t>
      </w:r>
      <w:r w:rsidR="00665984" w:rsidRPr="00E02273">
        <w:rPr>
          <w:lang w:val="en-CA"/>
        </w:rPr>
        <w:lastRenderedPageBreak/>
        <w:t xml:space="preserve">connected to the control of excessive prices according to the </w:t>
      </w:r>
      <w:r w:rsidR="002D51A4" w:rsidRPr="00E02273">
        <w:rPr>
          <w:lang w:val="en-CA"/>
        </w:rPr>
        <w:t xml:space="preserve">terms </w:t>
      </w:r>
      <w:r w:rsidR="00665984" w:rsidRPr="00E02273">
        <w:rPr>
          <w:lang w:val="en-CA"/>
        </w:rPr>
        <w:t xml:space="preserve">of the </w:t>
      </w:r>
      <w:r w:rsidR="00665984" w:rsidRPr="00E02273">
        <w:rPr>
          <w:i/>
          <w:lang w:val="en-CA"/>
        </w:rPr>
        <w:t>Act</w:t>
      </w:r>
      <w:r w:rsidR="00665984" w:rsidRPr="00E02273">
        <w:rPr>
          <w:lang w:val="en-CA"/>
        </w:rPr>
        <w:t>, they clearly have the same purpose, that is, to prevent excessive prices for patented medicines</w:t>
      </w:r>
      <w:r w:rsidR="002D51A4" w:rsidRPr="00E02273">
        <w:rPr>
          <w:lang w:val="en-CA"/>
        </w:rPr>
        <w:t xml:space="preserve">. </w:t>
      </w:r>
    </w:p>
    <w:p w14:paraId="372B2A41" w14:textId="6EEAD787" w:rsidR="00B568AD" w:rsidRPr="00E02273" w:rsidRDefault="00665984" w:rsidP="008169E5">
      <w:pPr>
        <w:pStyle w:val="Paragraphe"/>
        <w:tabs>
          <w:tab w:val="num" w:pos="709"/>
        </w:tabs>
        <w:spacing w:line="240" w:lineRule="auto"/>
        <w:ind w:left="0"/>
        <w:rPr>
          <w:lang w:val="en-CA"/>
        </w:rPr>
      </w:pPr>
      <w:r w:rsidRPr="00E02273">
        <w:rPr>
          <w:lang w:val="en-CA"/>
        </w:rPr>
        <w:t xml:space="preserve">As for the Board’s </w:t>
      </w:r>
      <w:r w:rsidR="002D51A4" w:rsidRPr="00E02273">
        <w:rPr>
          <w:lang w:val="en-CA"/>
        </w:rPr>
        <w:t>guidelines</w:t>
      </w:r>
      <w:r w:rsidRPr="00E02273">
        <w:rPr>
          <w:lang w:val="en-CA"/>
        </w:rPr>
        <w:t xml:space="preserve"> </w:t>
      </w:r>
      <w:r w:rsidR="004D23FF" w:rsidRPr="00E02273">
        <w:rPr>
          <w:lang w:val="en-CA"/>
        </w:rPr>
        <w:t xml:space="preserve">in force before the </w:t>
      </w:r>
      <w:r w:rsidR="00866E58" w:rsidRPr="00E02273">
        <w:rPr>
          <w:i/>
          <w:lang w:val="en-CA"/>
        </w:rPr>
        <w:t>2019 Regulatory Amendments</w:t>
      </w:r>
      <w:r w:rsidR="002D51A4" w:rsidRPr="00E02273">
        <w:rPr>
          <w:i/>
          <w:lang w:val="en-CA"/>
        </w:rPr>
        <w:t xml:space="preserve"> </w:t>
      </w:r>
      <w:r w:rsidR="002D51A4" w:rsidRPr="00E02273">
        <w:rPr>
          <w:lang w:val="en-CA"/>
        </w:rPr>
        <w:t>(</w:t>
      </w:r>
      <w:r w:rsidR="004D23FF" w:rsidRPr="00E02273">
        <w:rPr>
          <w:lang w:val="en-CA"/>
        </w:rPr>
        <w:t xml:space="preserve">the “current </w:t>
      </w:r>
      <w:r w:rsidR="002D51A4" w:rsidRPr="00E02273">
        <w:rPr>
          <w:lang w:val="en-CA"/>
        </w:rPr>
        <w:t>guidelines</w:t>
      </w:r>
      <w:r w:rsidR="004D23FF" w:rsidRPr="00E02273">
        <w:rPr>
          <w:lang w:val="en-CA"/>
        </w:rPr>
        <w:t>”</w:t>
      </w:r>
      <w:r w:rsidR="002D51A4" w:rsidRPr="00E02273">
        <w:rPr>
          <w:lang w:val="en-CA"/>
        </w:rPr>
        <w:t xml:space="preserve">), </w:t>
      </w:r>
      <w:r w:rsidR="004D23FF" w:rsidRPr="00E02273">
        <w:rPr>
          <w:lang w:val="en-CA"/>
        </w:rPr>
        <w:t xml:space="preserve">they are entirely consistent with the </w:t>
      </w:r>
      <w:r w:rsidR="004C0E0F" w:rsidRPr="00E02273">
        <w:rPr>
          <w:i/>
          <w:lang w:val="en-CA"/>
        </w:rPr>
        <w:t>Act</w:t>
      </w:r>
      <w:r w:rsidR="004C0E0F">
        <w:rPr>
          <w:i/>
          <w:lang w:val="en-CA"/>
        </w:rPr>
        <w:t>’</w:t>
      </w:r>
      <w:r w:rsidR="004C0E0F" w:rsidRPr="00181292">
        <w:rPr>
          <w:lang w:val="en-CA"/>
        </w:rPr>
        <w:t>s</w:t>
      </w:r>
      <w:r w:rsidR="004C0E0F" w:rsidRPr="00E02273">
        <w:rPr>
          <w:lang w:val="en-CA"/>
        </w:rPr>
        <w:t xml:space="preserve"> </w:t>
      </w:r>
      <w:r w:rsidR="004D23FF" w:rsidRPr="00E02273">
        <w:rPr>
          <w:lang w:val="en-CA"/>
        </w:rPr>
        <w:t>purpose</w:t>
      </w:r>
      <w:r w:rsidR="002D51A4" w:rsidRPr="00E02273">
        <w:rPr>
          <w:lang w:val="en-CA"/>
        </w:rPr>
        <w:t xml:space="preserve">, </w:t>
      </w:r>
      <w:r w:rsidR="004D23FF" w:rsidRPr="00E02273">
        <w:rPr>
          <w:lang w:val="en-CA"/>
        </w:rPr>
        <w:t>that is, to prevent excessive prices using the prices charged in Canada and other countri</w:t>
      </w:r>
      <w:r w:rsidR="006C20FF" w:rsidRPr="00E02273">
        <w:rPr>
          <w:lang w:val="en-CA"/>
        </w:rPr>
        <w:t>e</w:t>
      </w:r>
      <w:r w:rsidR="004D23FF" w:rsidRPr="00E02273">
        <w:rPr>
          <w:lang w:val="en-CA"/>
        </w:rPr>
        <w:t xml:space="preserve">s </w:t>
      </w:r>
      <w:r w:rsidR="006C20FF" w:rsidRPr="00E02273">
        <w:rPr>
          <w:lang w:val="en-CA"/>
        </w:rPr>
        <w:t xml:space="preserve">for the same medicine and for medicines in the same therapeutic class as objective price </w:t>
      </w:r>
      <w:r w:rsidR="002D51A4" w:rsidRPr="00E02273">
        <w:rPr>
          <w:lang w:val="en-CA"/>
        </w:rPr>
        <w:t>comparat</w:t>
      </w:r>
      <w:r w:rsidR="00B57E1B" w:rsidRPr="00E02273">
        <w:rPr>
          <w:lang w:val="en-CA"/>
        </w:rPr>
        <w:t>o</w:t>
      </w:r>
      <w:r w:rsidR="002D51A4" w:rsidRPr="00E02273">
        <w:rPr>
          <w:lang w:val="en-CA"/>
        </w:rPr>
        <w:t>rs.</w:t>
      </w:r>
      <w:r w:rsidR="00B57E1B" w:rsidRPr="00E02273">
        <w:rPr>
          <w:lang w:val="en-CA"/>
        </w:rPr>
        <w:t xml:space="preserve"> This objective price comparison </w:t>
      </w:r>
      <w:r w:rsidR="002D51A4" w:rsidRPr="00E02273">
        <w:rPr>
          <w:lang w:val="en-CA"/>
        </w:rPr>
        <w:t>exerci</w:t>
      </w:r>
      <w:r w:rsidR="00B57E1B" w:rsidRPr="00E02273">
        <w:rPr>
          <w:lang w:val="en-CA"/>
        </w:rPr>
        <w:t>s</w:t>
      </w:r>
      <w:r w:rsidR="002D51A4" w:rsidRPr="00E02273">
        <w:rPr>
          <w:lang w:val="en-CA"/>
        </w:rPr>
        <w:t xml:space="preserve">e </w:t>
      </w:r>
      <w:r w:rsidR="00B57E1B" w:rsidRPr="00E02273">
        <w:rPr>
          <w:lang w:val="en-CA"/>
        </w:rPr>
        <w:t xml:space="preserve">allows the Board to determine an introductory price in </w:t>
      </w:r>
      <w:r w:rsidR="002D51A4" w:rsidRPr="00E02273">
        <w:rPr>
          <w:lang w:val="en-CA"/>
        </w:rPr>
        <w:t>Canada</w:t>
      </w:r>
      <w:r w:rsidR="00B57E1B" w:rsidRPr="00E02273">
        <w:rPr>
          <w:lang w:val="en-CA"/>
        </w:rPr>
        <w:t xml:space="preserve"> </w:t>
      </w:r>
      <w:r w:rsidR="00181292">
        <w:rPr>
          <w:lang w:val="en-CA"/>
        </w:rPr>
        <w:t>that</w:t>
      </w:r>
      <w:r w:rsidR="00B57E1B" w:rsidRPr="00E02273">
        <w:rPr>
          <w:lang w:val="en-CA"/>
        </w:rPr>
        <w:t xml:space="preserve"> is not </w:t>
      </w:r>
      <w:r w:rsidR="002D51A4" w:rsidRPr="00E02273">
        <w:rPr>
          <w:lang w:val="en-CA"/>
        </w:rPr>
        <w:t>excessi</w:t>
      </w:r>
      <w:r w:rsidR="00B57E1B" w:rsidRPr="00E02273">
        <w:rPr>
          <w:lang w:val="en-CA"/>
        </w:rPr>
        <w:t xml:space="preserve">ve, and which may </w:t>
      </w:r>
      <w:r w:rsidR="002D51A4" w:rsidRPr="00E02273">
        <w:rPr>
          <w:lang w:val="en-CA"/>
        </w:rPr>
        <w:t>subsequently</w:t>
      </w:r>
      <w:r w:rsidR="00B57E1B" w:rsidRPr="00E02273">
        <w:rPr>
          <w:lang w:val="en-CA"/>
        </w:rPr>
        <w:t xml:space="preserve"> evolve in accordance with the CPI without triggering a more thorough inquiry by the Board</w:t>
      </w:r>
      <w:r w:rsidR="002D51A4" w:rsidRPr="00E02273">
        <w:rPr>
          <w:lang w:val="en-CA"/>
        </w:rPr>
        <w:t>.</w:t>
      </w:r>
    </w:p>
    <w:p w14:paraId="0E00D4F6" w14:textId="5F4967FC" w:rsidR="00B568AD" w:rsidRPr="00E02273" w:rsidRDefault="00B56798" w:rsidP="008169E5">
      <w:pPr>
        <w:pStyle w:val="Paragraphe"/>
        <w:tabs>
          <w:tab w:val="num" w:pos="709"/>
        </w:tabs>
        <w:spacing w:line="240" w:lineRule="auto"/>
        <w:ind w:left="0"/>
        <w:rPr>
          <w:lang w:val="en-CA"/>
        </w:rPr>
      </w:pPr>
      <w:r w:rsidRPr="00E02273">
        <w:rPr>
          <w:lang w:val="en-CA"/>
        </w:rPr>
        <w:t xml:space="preserve">The </w:t>
      </w:r>
      <w:r w:rsidR="002D51A4" w:rsidRPr="00E02273">
        <w:rPr>
          <w:lang w:val="en-CA"/>
        </w:rPr>
        <w:t>pith</w:t>
      </w:r>
      <w:r w:rsidRPr="00E02273">
        <w:rPr>
          <w:lang w:val="en-CA"/>
        </w:rPr>
        <w:t xml:space="preserve"> </w:t>
      </w:r>
      <w:r w:rsidR="002D51A4" w:rsidRPr="00E02273">
        <w:rPr>
          <w:lang w:val="en-CA"/>
        </w:rPr>
        <w:t>and</w:t>
      </w:r>
      <w:r w:rsidRPr="00E02273">
        <w:rPr>
          <w:lang w:val="en-CA"/>
        </w:rPr>
        <w:t xml:space="preserve"> </w:t>
      </w:r>
      <w:r w:rsidR="002D51A4" w:rsidRPr="00E02273">
        <w:rPr>
          <w:lang w:val="en-CA"/>
        </w:rPr>
        <w:t>substance</w:t>
      </w:r>
      <w:r w:rsidRPr="00E02273">
        <w:rPr>
          <w:lang w:val="en-CA"/>
        </w:rPr>
        <w:t xml:space="preserve"> of the current re</w:t>
      </w:r>
      <w:r w:rsidR="002D51A4" w:rsidRPr="00E02273">
        <w:rPr>
          <w:lang w:val="en-CA"/>
        </w:rPr>
        <w:t xml:space="preserve">gime </w:t>
      </w:r>
      <w:r w:rsidRPr="00E02273">
        <w:rPr>
          <w:lang w:val="en-CA"/>
        </w:rPr>
        <w:t xml:space="preserve">also emerges from the </w:t>
      </w:r>
      <w:r w:rsidR="002D51A4" w:rsidRPr="00E02273">
        <w:rPr>
          <w:lang w:val="en-CA"/>
        </w:rPr>
        <w:t>parliamentary</w:t>
      </w:r>
      <w:r w:rsidRPr="00E02273">
        <w:rPr>
          <w:lang w:val="en-CA"/>
        </w:rPr>
        <w:t xml:space="preserve"> </w:t>
      </w:r>
      <w:r w:rsidR="002D51A4" w:rsidRPr="00E02273">
        <w:rPr>
          <w:lang w:val="en-CA"/>
        </w:rPr>
        <w:t>debates</w:t>
      </w:r>
      <w:r w:rsidRPr="00E02273">
        <w:rPr>
          <w:lang w:val="en-CA"/>
        </w:rPr>
        <w:t xml:space="preserve"> surrounding the enactment of the </w:t>
      </w:r>
      <w:r w:rsidR="002D51A4" w:rsidRPr="00E02273">
        <w:rPr>
          <w:lang w:val="en-CA"/>
        </w:rPr>
        <w:t>legislative</w:t>
      </w:r>
      <w:r w:rsidRPr="00E02273">
        <w:rPr>
          <w:lang w:val="en-CA"/>
        </w:rPr>
        <w:t xml:space="preserve"> </w:t>
      </w:r>
      <w:r w:rsidR="002D51A4" w:rsidRPr="00E02273">
        <w:rPr>
          <w:lang w:val="en-CA"/>
        </w:rPr>
        <w:t xml:space="preserve">amendments </w:t>
      </w:r>
      <w:r w:rsidRPr="00E02273">
        <w:rPr>
          <w:lang w:val="en-CA"/>
        </w:rPr>
        <w:t xml:space="preserve">that created the Board and </w:t>
      </w:r>
      <w:r w:rsidR="004C0E0F">
        <w:rPr>
          <w:lang w:val="en-CA"/>
        </w:rPr>
        <w:t xml:space="preserve">granted it its </w:t>
      </w:r>
      <w:r w:rsidRPr="00E02273">
        <w:rPr>
          <w:lang w:val="en-CA"/>
        </w:rPr>
        <w:t>statutory mandate</w:t>
      </w:r>
      <w:r w:rsidR="002D51A4" w:rsidRPr="00E02273">
        <w:rPr>
          <w:lang w:val="en-CA"/>
        </w:rPr>
        <w:t xml:space="preserve">. </w:t>
      </w:r>
    </w:p>
    <w:p w14:paraId="50F69092" w14:textId="7FEA9441" w:rsidR="00B568AD" w:rsidRPr="00E02273" w:rsidRDefault="00B56798" w:rsidP="008169E5">
      <w:pPr>
        <w:pStyle w:val="Paragraphe"/>
        <w:tabs>
          <w:tab w:val="num" w:pos="709"/>
        </w:tabs>
        <w:spacing w:line="240" w:lineRule="auto"/>
        <w:ind w:left="0"/>
        <w:rPr>
          <w:lang w:val="en-CA"/>
        </w:rPr>
      </w:pPr>
      <w:r w:rsidRPr="00E02273">
        <w:rPr>
          <w:lang w:val="en-CA"/>
        </w:rPr>
        <w:t>It appears that in</w:t>
      </w:r>
      <w:r w:rsidR="002D51A4" w:rsidRPr="00E02273">
        <w:rPr>
          <w:lang w:val="en-CA"/>
        </w:rPr>
        <w:t xml:space="preserve"> 1987, Parliament</w:t>
      </w:r>
      <w:r w:rsidRPr="00E02273">
        <w:rPr>
          <w:lang w:val="en-CA"/>
        </w:rPr>
        <w:t xml:space="preserve"> wanted to </w:t>
      </w:r>
      <w:r w:rsidR="00FC079C" w:rsidRPr="00E02273">
        <w:rPr>
          <w:lang w:val="en-CA"/>
        </w:rPr>
        <w:t xml:space="preserve">offset the substantially increased </w:t>
      </w:r>
      <w:r w:rsidR="002D51A4" w:rsidRPr="00E02273">
        <w:rPr>
          <w:lang w:val="en-CA"/>
        </w:rPr>
        <w:t xml:space="preserve">protection </w:t>
      </w:r>
      <w:r w:rsidR="00FC079C" w:rsidRPr="00E02273">
        <w:rPr>
          <w:lang w:val="en-CA"/>
        </w:rPr>
        <w:t xml:space="preserve">granted to patents </w:t>
      </w:r>
      <w:r w:rsidR="005247F6" w:rsidRPr="00E02273">
        <w:rPr>
          <w:lang w:val="en-CA"/>
        </w:rPr>
        <w:t xml:space="preserve">on medicines with an effective mechanism to </w:t>
      </w:r>
      <w:r w:rsidR="002D51A4" w:rsidRPr="00E02273">
        <w:rPr>
          <w:lang w:val="en-CA"/>
        </w:rPr>
        <w:t>prot</w:t>
      </w:r>
      <w:r w:rsidR="005247F6" w:rsidRPr="00E02273">
        <w:rPr>
          <w:lang w:val="en-CA"/>
        </w:rPr>
        <w:t xml:space="preserve">ect </w:t>
      </w:r>
      <w:r w:rsidR="002D51A4" w:rsidRPr="00E02273">
        <w:rPr>
          <w:lang w:val="en-CA"/>
        </w:rPr>
        <w:t>Canadian</w:t>
      </w:r>
      <w:r w:rsidR="005247F6" w:rsidRPr="00E02273">
        <w:rPr>
          <w:lang w:val="en-CA"/>
        </w:rPr>
        <w:t xml:space="preserve"> consumers </w:t>
      </w:r>
      <w:r w:rsidR="00B42161">
        <w:rPr>
          <w:lang w:val="en-CA"/>
        </w:rPr>
        <w:t xml:space="preserve">from </w:t>
      </w:r>
      <w:r w:rsidR="005247F6" w:rsidRPr="00E02273">
        <w:rPr>
          <w:lang w:val="en-CA"/>
        </w:rPr>
        <w:t xml:space="preserve">the </w:t>
      </w:r>
      <w:r w:rsidR="002D51A4" w:rsidRPr="00E02273">
        <w:rPr>
          <w:lang w:val="en-CA"/>
        </w:rPr>
        <w:t>excessi</w:t>
      </w:r>
      <w:r w:rsidR="005247F6" w:rsidRPr="00E02273">
        <w:rPr>
          <w:lang w:val="en-CA"/>
        </w:rPr>
        <w:t xml:space="preserve">ve prices that could result from the strengthened </w:t>
      </w:r>
      <w:r w:rsidR="002D51A4" w:rsidRPr="00E02273">
        <w:rPr>
          <w:lang w:val="en-CA"/>
        </w:rPr>
        <w:t>monopol</w:t>
      </w:r>
      <w:r w:rsidR="005247F6" w:rsidRPr="00E02273">
        <w:rPr>
          <w:lang w:val="en-CA"/>
        </w:rPr>
        <w:t>y granted by the enhanced patent</w:t>
      </w:r>
      <w:r w:rsidR="002D51A4" w:rsidRPr="00E02273">
        <w:rPr>
          <w:lang w:val="en-CA"/>
        </w:rPr>
        <w:t xml:space="preserve">. </w:t>
      </w:r>
    </w:p>
    <w:p w14:paraId="1E151B84" w14:textId="5B92694C" w:rsidR="00B568AD" w:rsidRPr="00E02273" w:rsidRDefault="00CF5784" w:rsidP="008169E5">
      <w:pPr>
        <w:pStyle w:val="Paragraphe"/>
        <w:tabs>
          <w:tab w:val="num" w:pos="709"/>
        </w:tabs>
        <w:spacing w:line="240" w:lineRule="auto"/>
        <w:ind w:left="0"/>
        <w:rPr>
          <w:lang w:val="en-CA"/>
        </w:rPr>
      </w:pPr>
      <w:r w:rsidRPr="00E02273">
        <w:rPr>
          <w:lang w:val="en-CA"/>
        </w:rPr>
        <w:t xml:space="preserve">Then, in </w:t>
      </w:r>
      <w:r w:rsidR="002D51A4" w:rsidRPr="00E02273">
        <w:rPr>
          <w:lang w:val="en-CA"/>
        </w:rPr>
        <w:t xml:space="preserve">1993, </w:t>
      </w:r>
      <w:r w:rsidRPr="00E02273">
        <w:rPr>
          <w:lang w:val="en-CA"/>
        </w:rPr>
        <w:t>Parliament, confronted with the e</w:t>
      </w:r>
      <w:r w:rsidR="002D51A4" w:rsidRPr="00E02273">
        <w:rPr>
          <w:lang w:val="en-CA"/>
        </w:rPr>
        <w:t>volution</w:t>
      </w:r>
      <w:r w:rsidR="00E0355A" w:rsidRPr="00E02273">
        <w:rPr>
          <w:lang w:val="en-CA"/>
        </w:rPr>
        <w:t xml:space="preserve"> of international trade agreements providing for the </w:t>
      </w:r>
      <w:r w:rsidR="002D51A4" w:rsidRPr="00E02273">
        <w:rPr>
          <w:lang w:val="en-CA"/>
        </w:rPr>
        <w:t xml:space="preserve">abolition </w:t>
      </w:r>
      <w:r w:rsidR="00E0355A" w:rsidRPr="00E02273">
        <w:rPr>
          <w:lang w:val="en-CA"/>
        </w:rPr>
        <w:t>of the compulsory licensing re</w:t>
      </w:r>
      <w:r w:rsidR="002D51A4" w:rsidRPr="00E02273">
        <w:rPr>
          <w:lang w:val="en-CA"/>
        </w:rPr>
        <w:t>gime</w:t>
      </w:r>
      <w:r w:rsidR="00E0355A" w:rsidRPr="00E02273">
        <w:rPr>
          <w:lang w:val="en-CA"/>
        </w:rPr>
        <w:t xml:space="preserve"> for patented medicines, wanted to ensure that a strengthened control mechanism was impleme</w:t>
      </w:r>
      <w:r w:rsidR="00AC2531" w:rsidRPr="00E02273">
        <w:rPr>
          <w:lang w:val="en-CA"/>
        </w:rPr>
        <w:t>n</w:t>
      </w:r>
      <w:r w:rsidR="00E0355A" w:rsidRPr="00E02273">
        <w:rPr>
          <w:lang w:val="en-CA"/>
        </w:rPr>
        <w:t xml:space="preserve">ted to </w:t>
      </w:r>
      <w:r w:rsidR="00B42161">
        <w:rPr>
          <w:lang w:val="en-CA"/>
        </w:rPr>
        <w:t xml:space="preserve">mitigate </w:t>
      </w:r>
      <w:r w:rsidR="00E0355A" w:rsidRPr="00E02273">
        <w:rPr>
          <w:lang w:val="en-CA"/>
        </w:rPr>
        <w:t xml:space="preserve">the </w:t>
      </w:r>
      <w:r w:rsidR="002D51A4" w:rsidRPr="00E02273">
        <w:rPr>
          <w:lang w:val="en-CA"/>
        </w:rPr>
        <w:t>abandon</w:t>
      </w:r>
      <w:r w:rsidR="00E0355A" w:rsidRPr="00E02273">
        <w:rPr>
          <w:lang w:val="en-CA"/>
        </w:rPr>
        <w:t xml:space="preserve">ment of compulsory </w:t>
      </w:r>
      <w:r w:rsidR="002D51A4" w:rsidRPr="00E02273">
        <w:rPr>
          <w:lang w:val="en-CA"/>
        </w:rPr>
        <w:t>licences.</w:t>
      </w:r>
      <w:r w:rsidR="00E0355A" w:rsidRPr="00E02273">
        <w:rPr>
          <w:lang w:val="en-CA"/>
        </w:rPr>
        <w:t xml:space="preserve"> The substitution mechanism chosen was an objective </w:t>
      </w:r>
      <w:r w:rsidR="002D51A4" w:rsidRPr="00E02273">
        <w:rPr>
          <w:lang w:val="en-CA"/>
        </w:rPr>
        <w:t xml:space="preserve">comparison </w:t>
      </w:r>
      <w:r w:rsidR="00806DAF" w:rsidRPr="00E02273">
        <w:rPr>
          <w:lang w:val="en-CA"/>
        </w:rPr>
        <w:t xml:space="preserve">between the price charged for the same medicine or medicines in the same therapeutic class in Canada and in countries </w:t>
      </w:r>
      <w:r w:rsidR="002D51A4" w:rsidRPr="00E02273">
        <w:rPr>
          <w:lang w:val="en-CA"/>
        </w:rPr>
        <w:t>comparable</w:t>
      </w:r>
      <w:r w:rsidR="00806DAF" w:rsidRPr="00E02273">
        <w:rPr>
          <w:lang w:val="en-CA"/>
        </w:rPr>
        <w:t xml:space="preserve"> to </w:t>
      </w:r>
      <w:r w:rsidR="002D51A4" w:rsidRPr="00E02273">
        <w:rPr>
          <w:lang w:val="en-CA"/>
        </w:rPr>
        <w:t xml:space="preserve">Canada. </w:t>
      </w:r>
      <w:r w:rsidR="00806DAF" w:rsidRPr="00E02273">
        <w:rPr>
          <w:lang w:val="en-CA"/>
        </w:rPr>
        <w:t xml:space="preserve">The purpose was to remedy the effect </w:t>
      </w:r>
      <w:r w:rsidR="00B42161" w:rsidRPr="00E02273">
        <w:rPr>
          <w:lang w:val="en-CA"/>
        </w:rPr>
        <w:t xml:space="preserve">on prices </w:t>
      </w:r>
      <w:r w:rsidR="00806DAF" w:rsidRPr="00E02273">
        <w:rPr>
          <w:lang w:val="en-CA"/>
        </w:rPr>
        <w:t>of the monopoly</w:t>
      </w:r>
      <w:r w:rsidR="00B42161">
        <w:rPr>
          <w:lang w:val="en-CA"/>
        </w:rPr>
        <w:t xml:space="preserve"> granted by the patent</w:t>
      </w:r>
      <w:r w:rsidR="00806DAF" w:rsidRPr="00E02273">
        <w:rPr>
          <w:lang w:val="en-CA"/>
        </w:rPr>
        <w:t xml:space="preserve"> in the </w:t>
      </w:r>
      <w:r w:rsidR="002D51A4" w:rsidRPr="00E02273">
        <w:rPr>
          <w:lang w:val="en-CA"/>
        </w:rPr>
        <w:t xml:space="preserve">absence </w:t>
      </w:r>
      <w:r w:rsidR="00806DAF" w:rsidRPr="00E02273">
        <w:rPr>
          <w:lang w:val="en-CA"/>
        </w:rPr>
        <w:t xml:space="preserve">of </w:t>
      </w:r>
      <w:r w:rsidR="00AC2531" w:rsidRPr="00E02273">
        <w:rPr>
          <w:lang w:val="en-CA"/>
        </w:rPr>
        <w:t>a compulsory licensing re</w:t>
      </w:r>
      <w:r w:rsidR="002D51A4" w:rsidRPr="00E02273">
        <w:rPr>
          <w:lang w:val="en-CA"/>
        </w:rPr>
        <w:t>gime.</w:t>
      </w:r>
    </w:p>
    <w:p w14:paraId="2ACD4EB4" w14:textId="5AAE107A" w:rsidR="00B568AD" w:rsidRPr="00E02273" w:rsidRDefault="00805060" w:rsidP="008169E5">
      <w:pPr>
        <w:pStyle w:val="Paragraphe"/>
        <w:tabs>
          <w:tab w:val="num" w:pos="709"/>
        </w:tabs>
        <w:spacing w:line="240" w:lineRule="auto"/>
        <w:ind w:left="0"/>
        <w:rPr>
          <w:lang w:val="en-CA"/>
        </w:rPr>
      </w:pPr>
      <w:r w:rsidRPr="00E02273">
        <w:rPr>
          <w:lang w:val="en-CA"/>
        </w:rPr>
        <w:t xml:space="preserve">In </w:t>
      </w:r>
      <w:r w:rsidR="002D51A4" w:rsidRPr="00E02273">
        <w:rPr>
          <w:i/>
          <w:lang w:val="en-CA"/>
        </w:rPr>
        <w:t>Manitoba Society of Seniors</w:t>
      </w:r>
      <w:r w:rsidR="002D51A4" w:rsidRPr="00E02273">
        <w:rPr>
          <w:lang w:val="en-CA"/>
        </w:rPr>
        <w:t xml:space="preserve">, </w:t>
      </w:r>
      <w:r w:rsidR="002A020D" w:rsidRPr="00E02273">
        <w:rPr>
          <w:lang w:val="en-CA"/>
        </w:rPr>
        <w:t xml:space="preserve">the Manitoba </w:t>
      </w:r>
      <w:r w:rsidR="002D51A4" w:rsidRPr="00E02273">
        <w:rPr>
          <w:lang w:val="en-CA"/>
        </w:rPr>
        <w:t xml:space="preserve">Court </w:t>
      </w:r>
      <w:r w:rsidR="002A020D" w:rsidRPr="00E02273">
        <w:rPr>
          <w:lang w:val="en-CA"/>
        </w:rPr>
        <w:t xml:space="preserve">of </w:t>
      </w:r>
      <w:r w:rsidR="002D51A4" w:rsidRPr="00E02273">
        <w:rPr>
          <w:lang w:val="en-CA"/>
        </w:rPr>
        <w:t>Queen</w:t>
      </w:r>
      <w:r w:rsidR="002A020D" w:rsidRPr="00E02273">
        <w:rPr>
          <w:lang w:val="en-CA"/>
        </w:rPr>
        <w:t xml:space="preserve">’s Bench, in a judgment confirmed by the </w:t>
      </w:r>
      <w:r w:rsidR="002D51A4" w:rsidRPr="00E02273">
        <w:rPr>
          <w:lang w:val="en-CA"/>
        </w:rPr>
        <w:t>Manitoba</w:t>
      </w:r>
      <w:r w:rsidR="002A020D" w:rsidRPr="00E02273">
        <w:rPr>
          <w:lang w:val="en-CA"/>
        </w:rPr>
        <w:t xml:space="preserve"> Court of Appeal</w:t>
      </w:r>
      <w:r w:rsidR="002D51A4" w:rsidRPr="00E02273">
        <w:rPr>
          <w:lang w:val="en-CA"/>
        </w:rPr>
        <w:t>,</w:t>
      </w:r>
      <w:r w:rsidR="002A020D" w:rsidRPr="00E02273">
        <w:rPr>
          <w:lang w:val="en-CA"/>
        </w:rPr>
        <w:t xml:space="preserve"> found that the </w:t>
      </w:r>
      <w:r w:rsidR="002D51A4" w:rsidRPr="00E02273">
        <w:rPr>
          <w:lang w:val="en-CA"/>
        </w:rPr>
        <w:t>provisions</w:t>
      </w:r>
      <w:r w:rsidR="002A020D" w:rsidRPr="00E02273">
        <w:rPr>
          <w:lang w:val="en-CA"/>
        </w:rPr>
        <w:t xml:space="preserve"> of the re</w:t>
      </w:r>
      <w:r w:rsidR="002D51A4" w:rsidRPr="00E02273">
        <w:rPr>
          <w:lang w:val="en-CA"/>
        </w:rPr>
        <w:t>gime introdu</w:t>
      </w:r>
      <w:r w:rsidR="002A020D" w:rsidRPr="00E02273">
        <w:rPr>
          <w:lang w:val="en-CA"/>
        </w:rPr>
        <w:t xml:space="preserve">ced in </w:t>
      </w:r>
      <w:r w:rsidR="002D51A4" w:rsidRPr="00E02273">
        <w:rPr>
          <w:lang w:val="en-CA"/>
        </w:rPr>
        <w:t xml:space="preserve">1987 </w:t>
      </w:r>
      <w:r w:rsidR="002A020D" w:rsidRPr="00E02273">
        <w:rPr>
          <w:lang w:val="en-CA"/>
        </w:rPr>
        <w:t xml:space="preserve">was intended to </w:t>
      </w:r>
      <w:r w:rsidR="00321CB4" w:rsidRPr="00E02273">
        <w:rPr>
          <w:lang w:val="en-CA"/>
        </w:rPr>
        <w:t>control the excessive prices of patented medicines that could result from the m</w:t>
      </w:r>
      <w:r w:rsidR="002D51A4" w:rsidRPr="00E02273">
        <w:rPr>
          <w:lang w:val="en-CA"/>
        </w:rPr>
        <w:t>onopol</w:t>
      </w:r>
      <w:r w:rsidR="00321CB4" w:rsidRPr="00E02273">
        <w:rPr>
          <w:lang w:val="en-CA"/>
        </w:rPr>
        <w:t>y granted by the patent:</w:t>
      </w:r>
      <w:r w:rsidR="002D51A4" w:rsidRPr="00E02273">
        <w:rPr>
          <w:rStyle w:val="Appelnotedebasdep"/>
          <w:lang w:val="en-CA"/>
        </w:rPr>
        <w:footnoteReference w:id="140"/>
      </w:r>
      <w:r w:rsidR="002D51A4" w:rsidRPr="00E02273">
        <w:rPr>
          <w:lang w:val="en-CA"/>
        </w:rPr>
        <w:t xml:space="preserve"> </w:t>
      </w:r>
    </w:p>
    <w:p w14:paraId="21510843" w14:textId="387272FA" w:rsidR="00B568AD" w:rsidRPr="00E02273" w:rsidRDefault="002D51A4" w:rsidP="00B568AD">
      <w:pPr>
        <w:pStyle w:val="Citationenretrait"/>
        <w:spacing w:line="240" w:lineRule="auto"/>
        <w:rPr>
          <w:lang w:val="en-CA" w:eastAsia="fr-CA"/>
        </w:rPr>
      </w:pPr>
      <w:r w:rsidRPr="00E02273">
        <w:rPr>
          <w:lang w:val="en-CA" w:eastAsia="fr-CA"/>
        </w:rPr>
        <w:t xml:space="preserve">As the legislation reestablishes exclusivity for patented medicines to an extent not enjoyed since 1931, Parliament also provided for </w:t>
      </w:r>
      <w:r w:rsidRPr="00E02273">
        <w:rPr>
          <w:u w:val="single"/>
          <w:lang w:val="en-CA" w:eastAsia="fr-CA"/>
        </w:rPr>
        <w:t>a mechanism to deal with price abuse that may incidentally occur as a result of these monopolies it created</w:t>
      </w:r>
      <w:r w:rsidRPr="00E02273">
        <w:rPr>
          <w:lang w:val="en-CA" w:eastAsia="fr-CA"/>
        </w:rPr>
        <w:t xml:space="preserve">. The Board is only empowered to deal with the </w:t>
      </w:r>
      <w:r w:rsidRPr="00E02273">
        <w:rPr>
          <w:u w:val="single"/>
          <w:lang w:val="en-CA" w:eastAsia="fr-CA"/>
        </w:rPr>
        <w:t>excessive prices</w:t>
      </w:r>
      <w:r w:rsidRPr="00E02273">
        <w:rPr>
          <w:lang w:val="en-CA" w:eastAsia="fr-CA"/>
        </w:rPr>
        <w:t xml:space="preserve"> of medicines patented under the new regime. It is not a scheme of general supervision of all patented pharmaceutical inventions. It clearly deals with the </w:t>
      </w:r>
      <w:r w:rsidRPr="00E02273">
        <w:rPr>
          <w:u w:val="single"/>
          <w:lang w:val="en-CA" w:eastAsia="fr-CA"/>
        </w:rPr>
        <w:t>potential abuse flowing incidentally from the newly created patent exclusivity</w:t>
      </w:r>
      <w:r w:rsidRPr="00E02273">
        <w:rPr>
          <w:lang w:val="en-CA" w:eastAsia="fr-CA"/>
        </w:rPr>
        <w:t>.</w:t>
      </w:r>
    </w:p>
    <w:p w14:paraId="3CB6C702" w14:textId="62FA09AE" w:rsidR="00B568AD" w:rsidRPr="00E02273" w:rsidRDefault="002D51A4" w:rsidP="00B568AD">
      <w:pPr>
        <w:pStyle w:val="Citationenretrait"/>
        <w:spacing w:line="240" w:lineRule="auto"/>
        <w:jc w:val="right"/>
        <w:rPr>
          <w:lang w:val="en-CA" w:eastAsia="fr-CA"/>
        </w:rPr>
      </w:pPr>
      <w:r w:rsidRPr="00E02273">
        <w:rPr>
          <w:lang w:val="en-CA" w:eastAsia="fr-CA"/>
        </w:rPr>
        <w:lastRenderedPageBreak/>
        <w:t>[Emphasis</w:t>
      </w:r>
      <w:r w:rsidR="00321CB4" w:rsidRPr="00E02273">
        <w:rPr>
          <w:lang w:val="en-CA" w:eastAsia="fr-CA"/>
        </w:rPr>
        <w:t xml:space="preserve"> </w:t>
      </w:r>
      <w:r w:rsidRPr="00E02273">
        <w:rPr>
          <w:lang w:val="en-CA" w:eastAsia="fr-CA"/>
        </w:rPr>
        <w:t>added</w:t>
      </w:r>
      <w:r w:rsidR="00321CB4" w:rsidRPr="00E02273">
        <w:rPr>
          <w:lang w:val="en-CA" w:eastAsia="fr-CA"/>
        </w:rPr>
        <w:t>.</w:t>
      </w:r>
      <w:r w:rsidRPr="00E02273">
        <w:rPr>
          <w:lang w:val="en-CA" w:eastAsia="fr-CA"/>
        </w:rPr>
        <w:t>]</w:t>
      </w:r>
    </w:p>
    <w:p w14:paraId="4AFD7B4E" w14:textId="64B3CB3E" w:rsidR="00B568AD" w:rsidRPr="00E02273" w:rsidRDefault="00AE524A" w:rsidP="008B4129">
      <w:pPr>
        <w:pStyle w:val="Paragraphe"/>
        <w:tabs>
          <w:tab w:val="num" w:pos="709"/>
        </w:tabs>
        <w:spacing w:line="240" w:lineRule="auto"/>
        <w:ind w:left="0"/>
        <w:rPr>
          <w:lang w:val="en-CA"/>
        </w:rPr>
      </w:pPr>
      <w:r w:rsidRPr="00E02273">
        <w:rPr>
          <w:lang w:val="en-CA"/>
        </w:rPr>
        <w:t>In fact, t</w:t>
      </w:r>
      <w:r w:rsidR="00F00B02" w:rsidRPr="00E02273">
        <w:rPr>
          <w:lang w:val="en-CA"/>
        </w:rPr>
        <w:t xml:space="preserve">his </w:t>
      </w:r>
      <w:r w:rsidR="002D51A4" w:rsidRPr="00E02273">
        <w:rPr>
          <w:lang w:val="en-CA"/>
        </w:rPr>
        <w:t>characterization</w:t>
      </w:r>
      <w:r w:rsidRPr="00E02273">
        <w:rPr>
          <w:lang w:val="en-CA"/>
        </w:rPr>
        <w:t xml:space="preserve"> has also been repeated with respect to the 1993 </w:t>
      </w:r>
      <w:r w:rsidR="002D51A4" w:rsidRPr="00E02273">
        <w:rPr>
          <w:lang w:val="en-CA"/>
        </w:rPr>
        <w:t>legislative</w:t>
      </w:r>
      <w:r w:rsidRPr="00E02273">
        <w:rPr>
          <w:lang w:val="en-CA"/>
        </w:rPr>
        <w:t xml:space="preserve"> </w:t>
      </w:r>
      <w:r w:rsidR="002D51A4" w:rsidRPr="00E02273">
        <w:rPr>
          <w:lang w:val="en-CA"/>
        </w:rPr>
        <w:t>amendments</w:t>
      </w:r>
      <w:r w:rsidRPr="00E02273">
        <w:rPr>
          <w:lang w:val="en-CA"/>
        </w:rPr>
        <w:t xml:space="preserve"> by </w:t>
      </w:r>
      <w:r w:rsidR="00B42161">
        <w:rPr>
          <w:lang w:val="en-CA"/>
        </w:rPr>
        <w:t xml:space="preserve">every </w:t>
      </w:r>
      <w:r w:rsidR="002D51A4" w:rsidRPr="00E02273">
        <w:rPr>
          <w:lang w:val="en-CA"/>
        </w:rPr>
        <w:t>court</w:t>
      </w:r>
      <w:r w:rsidRPr="00E02273">
        <w:rPr>
          <w:lang w:val="en-CA"/>
        </w:rPr>
        <w:t xml:space="preserve"> that ha</w:t>
      </w:r>
      <w:r w:rsidR="00B42161">
        <w:rPr>
          <w:lang w:val="en-CA"/>
        </w:rPr>
        <w:t>s</w:t>
      </w:r>
      <w:r w:rsidRPr="00E02273">
        <w:rPr>
          <w:lang w:val="en-CA"/>
        </w:rPr>
        <w:t xml:space="preserve"> </w:t>
      </w:r>
      <w:r w:rsidR="00467567" w:rsidRPr="00E02273">
        <w:rPr>
          <w:lang w:val="en-CA"/>
        </w:rPr>
        <w:t xml:space="preserve">since </w:t>
      </w:r>
      <w:r w:rsidRPr="00E02273">
        <w:rPr>
          <w:lang w:val="en-CA"/>
        </w:rPr>
        <w:t>addressed them.</w:t>
      </w:r>
      <w:r w:rsidR="002D51A4" w:rsidRPr="00E02273">
        <w:rPr>
          <w:rStyle w:val="Appelnotedebasdep"/>
          <w:lang w:val="en-CA"/>
        </w:rPr>
        <w:footnoteReference w:id="141"/>
      </w:r>
      <w:r w:rsidR="002D51A4" w:rsidRPr="00E02273">
        <w:rPr>
          <w:lang w:val="en-CA"/>
        </w:rPr>
        <w:t xml:space="preserve"> </w:t>
      </w:r>
      <w:r w:rsidR="00467567" w:rsidRPr="00E02273">
        <w:rPr>
          <w:lang w:val="en-CA"/>
        </w:rPr>
        <w:t xml:space="preserve">By way of example, I reproduce the following </w:t>
      </w:r>
      <w:r w:rsidR="00F75957">
        <w:rPr>
          <w:lang w:val="en-CA"/>
        </w:rPr>
        <w:t>excerpt</w:t>
      </w:r>
      <w:r w:rsidR="00F75957" w:rsidRPr="00E02273">
        <w:rPr>
          <w:lang w:val="en-CA"/>
        </w:rPr>
        <w:t xml:space="preserve"> </w:t>
      </w:r>
      <w:r w:rsidR="00467567" w:rsidRPr="00E02273">
        <w:rPr>
          <w:lang w:val="en-CA"/>
        </w:rPr>
        <w:t xml:space="preserve">from the judgment of </w:t>
      </w:r>
      <w:r w:rsidR="002D51A4" w:rsidRPr="00E02273">
        <w:rPr>
          <w:lang w:val="en-CA"/>
        </w:rPr>
        <w:t xml:space="preserve">Cullen </w:t>
      </w:r>
      <w:r w:rsidR="00467567" w:rsidRPr="00E02273">
        <w:rPr>
          <w:lang w:val="en-CA"/>
        </w:rPr>
        <w:t xml:space="preserve">J. in </w:t>
      </w:r>
      <w:r w:rsidR="002D51A4" w:rsidRPr="00E02273">
        <w:rPr>
          <w:i/>
          <w:lang w:val="en-CA"/>
        </w:rPr>
        <w:t>I</w:t>
      </w:r>
      <w:r w:rsidR="00467567" w:rsidRPr="00E02273">
        <w:rPr>
          <w:i/>
          <w:lang w:val="en-CA"/>
        </w:rPr>
        <w:t>C</w:t>
      </w:r>
      <w:r w:rsidR="002D51A4" w:rsidRPr="00E02273">
        <w:rPr>
          <w:i/>
          <w:lang w:val="en-CA"/>
        </w:rPr>
        <w:t>N Pharmaceuticals</w:t>
      </w:r>
      <w:r w:rsidR="00467567" w:rsidRPr="00E02273">
        <w:rPr>
          <w:lang w:val="en-CA"/>
        </w:rPr>
        <w:t xml:space="preserve">, cited with approval by </w:t>
      </w:r>
      <w:r w:rsidR="002D51A4" w:rsidRPr="00E02273">
        <w:rPr>
          <w:lang w:val="en-CA"/>
        </w:rPr>
        <w:t>Abella</w:t>
      </w:r>
      <w:r w:rsidR="00467567" w:rsidRPr="00E02273">
        <w:rPr>
          <w:lang w:val="en-CA"/>
        </w:rPr>
        <w:t xml:space="preserve"> J. on behalf of a unanimous </w:t>
      </w:r>
      <w:r w:rsidR="002D51A4" w:rsidRPr="00E02273">
        <w:rPr>
          <w:lang w:val="en-CA"/>
        </w:rPr>
        <w:t>Supreme</w:t>
      </w:r>
      <w:r w:rsidR="00467567" w:rsidRPr="00E02273">
        <w:rPr>
          <w:lang w:val="en-CA"/>
        </w:rPr>
        <w:t xml:space="preserve"> </w:t>
      </w:r>
      <w:r w:rsidR="002D51A4" w:rsidRPr="00E02273">
        <w:rPr>
          <w:lang w:val="en-CA"/>
        </w:rPr>
        <w:t>Court</w:t>
      </w:r>
      <w:r w:rsidR="00467567" w:rsidRPr="00E02273">
        <w:rPr>
          <w:lang w:val="en-CA"/>
        </w:rPr>
        <w:t xml:space="preserve"> in </w:t>
      </w:r>
      <w:r w:rsidR="002D51A4" w:rsidRPr="00E02273">
        <w:rPr>
          <w:i/>
          <w:lang w:val="en-CA"/>
        </w:rPr>
        <w:t>Celgene</w:t>
      </w:r>
      <w:r w:rsidR="00467567" w:rsidRPr="00E02273">
        <w:rPr>
          <w:lang w:val="en-CA"/>
        </w:rPr>
        <w:t>:</w:t>
      </w:r>
      <w:r w:rsidR="002D51A4" w:rsidRPr="00E02273">
        <w:rPr>
          <w:rStyle w:val="Appelnotedebasdep"/>
          <w:lang w:val="en-CA"/>
        </w:rPr>
        <w:footnoteReference w:id="142"/>
      </w:r>
      <w:r w:rsidR="002D51A4" w:rsidRPr="00E02273">
        <w:rPr>
          <w:i/>
          <w:lang w:val="en-CA"/>
        </w:rPr>
        <w:t> </w:t>
      </w:r>
    </w:p>
    <w:p w14:paraId="79704888" w14:textId="26639622" w:rsidR="0066522E" w:rsidRPr="00E02273" w:rsidRDefault="002D51A4" w:rsidP="0066522E">
      <w:pPr>
        <w:pStyle w:val="Citationenretrait"/>
        <w:spacing w:line="240" w:lineRule="auto"/>
        <w:rPr>
          <w:lang w:val="en-CA"/>
        </w:rPr>
      </w:pPr>
      <w:r w:rsidRPr="00E02273">
        <w:rPr>
          <w:lang w:val="en-CA"/>
        </w:rPr>
        <w:t>[24]</w:t>
      </w:r>
      <w:r w:rsidRPr="00E02273">
        <w:rPr>
          <w:lang w:val="en-CA"/>
        </w:rPr>
        <w:tab/>
      </w:r>
      <w:r w:rsidR="00467567" w:rsidRPr="00E02273">
        <w:rPr>
          <w:color w:val="000000"/>
          <w:lang w:val="en-CA"/>
        </w:rPr>
        <w:t>  </w:t>
      </w:r>
      <w:r w:rsidR="00467567" w:rsidRPr="00E02273">
        <w:rPr>
          <w:lang w:val="en-CA"/>
        </w:rPr>
        <w:t>Sections 79</w:t>
      </w:r>
      <w:r w:rsidR="00467567" w:rsidRPr="00E02273">
        <w:rPr>
          <w:color w:val="000000"/>
          <w:lang w:val="en-CA"/>
        </w:rPr>
        <w:t> to</w:t>
      </w:r>
      <w:r w:rsidR="00467567" w:rsidRPr="00E02273">
        <w:rPr>
          <w:lang w:val="en-CA"/>
        </w:rPr>
        <w:t> 103</w:t>
      </w:r>
      <w:r w:rsidR="00467567" w:rsidRPr="00E02273">
        <w:rPr>
          <w:color w:val="000000"/>
          <w:lang w:val="en-CA"/>
        </w:rPr>
        <w:t> of the </w:t>
      </w:r>
      <w:r w:rsidR="00467567" w:rsidRPr="00E02273">
        <w:rPr>
          <w:i/>
          <w:iCs/>
          <w:color w:val="000000"/>
          <w:lang w:val="en-CA"/>
        </w:rPr>
        <w:t>Patent Act</w:t>
      </w:r>
      <w:r w:rsidR="00467567" w:rsidRPr="00E02273">
        <w:rPr>
          <w:color w:val="000000"/>
          <w:lang w:val="en-CA"/>
        </w:rPr>
        <w:t>, creating the Patented Medicine Prices Review Board, were enacted in response to the abolition of the compulsory licensing regime.</w:t>
      </w:r>
      <w:r w:rsidR="00467567" w:rsidRPr="00E02273">
        <w:rPr>
          <w:i/>
          <w:iCs/>
          <w:color w:val="000000"/>
          <w:lang w:val="en-CA"/>
        </w:rPr>
        <w:t> </w:t>
      </w:r>
      <w:r w:rsidR="00467567" w:rsidRPr="00E02273">
        <w:rPr>
          <w:color w:val="000000"/>
          <w:u w:val="single"/>
          <w:lang w:val="en-CA"/>
        </w:rPr>
        <w:t>Parliament’s intent was certainly to address the “mischief” that the patentee’s monopoly over pharmaceuticals during the exclusivity period might cause prices to rise to unacceptable levels.</w:t>
      </w:r>
      <w:r w:rsidR="00467567" w:rsidRPr="00E02273">
        <w:rPr>
          <w:i/>
          <w:iCs/>
          <w:color w:val="000000"/>
          <w:lang w:val="en-CA"/>
        </w:rPr>
        <w:t> </w:t>
      </w:r>
      <w:r w:rsidR="00467567" w:rsidRPr="00E02273">
        <w:rPr>
          <w:color w:val="000000"/>
          <w:lang w:val="en-CA"/>
        </w:rPr>
        <w:t>Accordingly, the words of these sections of the </w:t>
      </w:r>
      <w:r w:rsidR="00467567" w:rsidRPr="00E02273">
        <w:rPr>
          <w:i/>
          <w:iCs/>
          <w:color w:val="000000"/>
          <w:lang w:val="en-CA"/>
        </w:rPr>
        <w:t>Patent Act</w:t>
      </w:r>
      <w:r w:rsidR="00467567" w:rsidRPr="00E02273">
        <w:rPr>
          <w:color w:val="000000"/>
          <w:lang w:val="en-CA"/>
        </w:rPr>
        <w:t> should be read purposively</w:t>
      </w:r>
      <w:r w:rsidR="0066522E" w:rsidRPr="00E02273">
        <w:rPr>
          <w:color w:val="000000"/>
          <w:lang w:val="en-CA"/>
        </w:rPr>
        <w:t xml:space="preserve">. </w:t>
      </w:r>
    </w:p>
    <w:p w14:paraId="639B8A81" w14:textId="65D2D8D6" w:rsidR="00B568AD" w:rsidRPr="00E02273" w:rsidRDefault="002D51A4" w:rsidP="00B568AD">
      <w:pPr>
        <w:pStyle w:val="Citationenretrait"/>
        <w:spacing w:line="240" w:lineRule="auto"/>
        <w:jc w:val="right"/>
        <w:rPr>
          <w:lang w:val="en-CA"/>
        </w:rPr>
      </w:pPr>
      <w:r w:rsidRPr="00E02273">
        <w:rPr>
          <w:lang w:val="en-CA"/>
        </w:rPr>
        <w:t>[Emphasis</w:t>
      </w:r>
      <w:r w:rsidR="0066522E" w:rsidRPr="00E02273">
        <w:rPr>
          <w:lang w:val="en-CA"/>
        </w:rPr>
        <w:t xml:space="preserve"> </w:t>
      </w:r>
      <w:r w:rsidRPr="00E02273">
        <w:rPr>
          <w:lang w:val="en-CA"/>
        </w:rPr>
        <w:t>added</w:t>
      </w:r>
      <w:r w:rsidR="0066522E" w:rsidRPr="00E02273">
        <w:rPr>
          <w:lang w:val="en-CA"/>
        </w:rPr>
        <w:t>.</w:t>
      </w:r>
      <w:r w:rsidRPr="00E02273">
        <w:rPr>
          <w:lang w:val="en-CA"/>
        </w:rPr>
        <w:t>]</w:t>
      </w:r>
    </w:p>
    <w:p w14:paraId="611D75DD" w14:textId="23DA891E" w:rsidR="00B568AD" w:rsidRPr="00E02273" w:rsidRDefault="008B4129" w:rsidP="00B568AD">
      <w:pPr>
        <w:pStyle w:val="Paragraphe"/>
        <w:numPr>
          <w:ilvl w:val="0"/>
          <w:numId w:val="0"/>
        </w:numPr>
        <w:spacing w:line="240" w:lineRule="auto"/>
        <w:rPr>
          <w:i/>
          <w:u w:val="single"/>
          <w:lang w:val="en-CA"/>
        </w:rPr>
      </w:pPr>
      <w:r w:rsidRPr="00E02273">
        <w:rPr>
          <w:i/>
          <w:u w:val="single"/>
          <w:lang w:val="en-CA"/>
        </w:rPr>
        <w:t>The</w:t>
      </w:r>
      <w:r w:rsidR="002D51A4" w:rsidRPr="00E02273">
        <w:rPr>
          <w:i/>
          <w:u w:val="single"/>
          <w:lang w:val="en-CA"/>
        </w:rPr>
        <w:t xml:space="preserve"> </w:t>
      </w:r>
      <w:r w:rsidR="00866E58" w:rsidRPr="00E02273">
        <w:rPr>
          <w:i/>
          <w:u w:val="single"/>
          <w:lang w:val="en-CA"/>
        </w:rPr>
        <w:t>2019 Regulatory Amendments</w:t>
      </w:r>
    </w:p>
    <w:p w14:paraId="423F9AEB" w14:textId="6580A5BB" w:rsidR="00B568AD" w:rsidRPr="00E02273" w:rsidRDefault="00EC7236" w:rsidP="008B4129">
      <w:pPr>
        <w:pStyle w:val="Paragraphe"/>
        <w:tabs>
          <w:tab w:val="num" w:pos="709"/>
        </w:tabs>
        <w:spacing w:line="240" w:lineRule="auto"/>
        <w:ind w:left="0"/>
        <w:rPr>
          <w:lang w:val="en-CA"/>
        </w:rPr>
      </w:pPr>
      <w:r w:rsidRPr="00E02273">
        <w:rPr>
          <w:lang w:val="en-CA"/>
        </w:rPr>
        <w:t xml:space="preserve">The </w:t>
      </w:r>
      <w:r w:rsidR="00866E58" w:rsidRPr="00E02273">
        <w:rPr>
          <w:i/>
          <w:lang w:val="en-CA"/>
        </w:rPr>
        <w:t>2019 Regulatory Amendments</w:t>
      </w:r>
      <w:r w:rsidR="002D51A4" w:rsidRPr="00E02273">
        <w:rPr>
          <w:lang w:val="en-CA"/>
        </w:rPr>
        <w:t xml:space="preserve"> </w:t>
      </w:r>
      <w:r w:rsidRPr="00E02273">
        <w:rPr>
          <w:lang w:val="en-CA"/>
        </w:rPr>
        <w:t>have a dual purpose</w:t>
      </w:r>
      <w:r w:rsidR="002D51A4" w:rsidRPr="00E02273">
        <w:rPr>
          <w:lang w:val="en-CA"/>
        </w:rPr>
        <w:t xml:space="preserve">. </w:t>
      </w:r>
    </w:p>
    <w:p w14:paraId="1D26F7F9" w14:textId="06FE450D" w:rsidR="00B568AD" w:rsidRPr="00E02273" w:rsidRDefault="00EC7236" w:rsidP="008B4129">
      <w:pPr>
        <w:pStyle w:val="Paragraphe"/>
        <w:tabs>
          <w:tab w:val="num" w:pos="709"/>
        </w:tabs>
        <w:spacing w:line="240" w:lineRule="auto"/>
        <w:ind w:left="0"/>
        <w:rPr>
          <w:lang w:val="en-CA"/>
        </w:rPr>
      </w:pPr>
      <w:r w:rsidRPr="00E02273">
        <w:rPr>
          <w:lang w:val="en-CA"/>
        </w:rPr>
        <w:t xml:space="preserve">First, these amendments seek to strengthen the regime already established in the </w:t>
      </w:r>
      <w:r w:rsidRPr="00E02273">
        <w:rPr>
          <w:i/>
          <w:lang w:val="en-CA"/>
        </w:rPr>
        <w:t xml:space="preserve">Patent Act </w:t>
      </w:r>
      <w:r w:rsidRPr="00E02273">
        <w:rPr>
          <w:lang w:val="en-CA"/>
        </w:rPr>
        <w:t xml:space="preserve">and the </w:t>
      </w:r>
      <w:r w:rsidRPr="00E02273">
        <w:rPr>
          <w:i/>
          <w:lang w:val="en-CA"/>
        </w:rPr>
        <w:t>Patented Medicines Regulations</w:t>
      </w:r>
      <w:r w:rsidR="002D51A4" w:rsidRPr="00E02273">
        <w:rPr>
          <w:i/>
          <w:lang w:val="en-CA"/>
        </w:rPr>
        <w:t xml:space="preserve">. </w:t>
      </w:r>
      <w:r w:rsidR="000D0AB6" w:rsidRPr="00E02273">
        <w:rPr>
          <w:lang w:val="en-CA"/>
        </w:rPr>
        <w:t xml:space="preserve">As a result, the Board will continue to objectively </w:t>
      </w:r>
      <w:r w:rsidR="002D51A4" w:rsidRPr="00E02273">
        <w:rPr>
          <w:lang w:val="en-CA"/>
        </w:rPr>
        <w:t>compare</w:t>
      </w:r>
      <w:r w:rsidR="000D0AB6" w:rsidRPr="00E02273">
        <w:rPr>
          <w:lang w:val="en-CA"/>
        </w:rPr>
        <w:t xml:space="preserve"> the price at which patented medicines are sold in Canada with the price at which medicines in the same p</w:t>
      </w:r>
      <w:r w:rsidR="003C3BA1" w:rsidRPr="00E02273">
        <w:rPr>
          <w:lang w:val="en-CA"/>
        </w:rPr>
        <w:t>harmaceutical class are sold in Canada, as well as with the price at which that medicine and medicines in the same therapeutic class are sold in countries other than Canada</w:t>
      </w:r>
      <w:r w:rsidR="002D51A4" w:rsidRPr="00E02273">
        <w:rPr>
          <w:lang w:val="en-CA"/>
        </w:rPr>
        <w:t>.</w:t>
      </w:r>
      <w:r w:rsidR="003C3BA1" w:rsidRPr="00E02273">
        <w:rPr>
          <w:lang w:val="en-CA"/>
        </w:rPr>
        <w:t xml:space="preserve"> However, the list of foreign countries used as price comparators</w:t>
      </w:r>
      <w:r w:rsidR="006F72E1" w:rsidRPr="00E02273">
        <w:rPr>
          <w:lang w:val="en-CA"/>
        </w:rPr>
        <w:t xml:space="preserve"> will be </w:t>
      </w:r>
      <w:r w:rsidR="003075CA">
        <w:rPr>
          <w:lang w:val="en-CA"/>
        </w:rPr>
        <w:t>amend</w:t>
      </w:r>
      <w:r w:rsidR="003075CA" w:rsidRPr="00E02273">
        <w:rPr>
          <w:lang w:val="en-CA"/>
        </w:rPr>
        <w:t xml:space="preserve">ed </w:t>
      </w:r>
      <w:r w:rsidR="006F72E1" w:rsidRPr="00E02273">
        <w:rPr>
          <w:lang w:val="en-CA"/>
        </w:rPr>
        <w:t xml:space="preserve">and the </w:t>
      </w:r>
      <w:r w:rsidR="002D51A4" w:rsidRPr="00E02273">
        <w:rPr>
          <w:lang w:val="en-CA"/>
        </w:rPr>
        <w:t>Canadian</w:t>
      </w:r>
      <w:r w:rsidR="006F72E1" w:rsidRPr="00E02273">
        <w:rPr>
          <w:lang w:val="en-CA"/>
        </w:rPr>
        <w:t xml:space="preserve"> price of the patented medicine will </w:t>
      </w:r>
      <w:r w:rsidR="002660FB" w:rsidRPr="00E02273">
        <w:rPr>
          <w:lang w:val="en-CA"/>
        </w:rPr>
        <w:t xml:space="preserve">henceforth </w:t>
      </w:r>
      <w:r w:rsidR="006F72E1" w:rsidRPr="00E02273">
        <w:rPr>
          <w:lang w:val="en-CA"/>
        </w:rPr>
        <w:t xml:space="preserve">have to take into account the </w:t>
      </w:r>
      <w:r w:rsidR="002D51A4" w:rsidRPr="00E02273">
        <w:rPr>
          <w:lang w:val="en-CA"/>
        </w:rPr>
        <w:t>confidenti</w:t>
      </w:r>
      <w:r w:rsidR="006F72E1" w:rsidRPr="00E02273">
        <w:rPr>
          <w:lang w:val="en-CA"/>
        </w:rPr>
        <w:t>a</w:t>
      </w:r>
      <w:r w:rsidR="002D51A4" w:rsidRPr="00E02273">
        <w:rPr>
          <w:lang w:val="en-CA"/>
        </w:rPr>
        <w:t>l</w:t>
      </w:r>
      <w:r w:rsidR="006F72E1" w:rsidRPr="00E02273">
        <w:rPr>
          <w:lang w:val="en-CA"/>
        </w:rPr>
        <w:t xml:space="preserve"> rebates granted to public insurers. In any event, the purpose of the regime remains the same, that is, to determine a price in Canada that is not excessive for the medicine in question so as to </w:t>
      </w:r>
      <w:r w:rsidR="003075CA">
        <w:rPr>
          <w:lang w:val="en-CA"/>
        </w:rPr>
        <w:t xml:space="preserve">mitigate </w:t>
      </w:r>
      <w:r w:rsidR="006F72E1" w:rsidRPr="00E02273">
        <w:rPr>
          <w:lang w:val="en-CA"/>
        </w:rPr>
        <w:t>the effect</w:t>
      </w:r>
      <w:r w:rsidR="00D30228">
        <w:rPr>
          <w:lang w:val="en-CA"/>
        </w:rPr>
        <w:t xml:space="preserve"> on prices</w:t>
      </w:r>
      <w:r w:rsidR="006F72E1" w:rsidRPr="00E02273">
        <w:rPr>
          <w:lang w:val="en-CA"/>
        </w:rPr>
        <w:t xml:space="preserve"> of the monopoly granted by the patent</w:t>
      </w:r>
      <w:r w:rsidR="002D51A4" w:rsidRPr="00E02273">
        <w:rPr>
          <w:lang w:val="en-CA"/>
        </w:rPr>
        <w:t xml:space="preserve">. </w:t>
      </w:r>
    </w:p>
    <w:p w14:paraId="7B03D3AF" w14:textId="55857B34" w:rsidR="00B568AD" w:rsidRPr="00E02273" w:rsidRDefault="002660FB" w:rsidP="008B4129">
      <w:pPr>
        <w:pStyle w:val="Paragraphe"/>
        <w:tabs>
          <w:tab w:val="num" w:pos="709"/>
        </w:tabs>
        <w:spacing w:line="240" w:lineRule="auto"/>
        <w:ind w:left="0"/>
        <w:rPr>
          <w:lang w:val="en-CA"/>
        </w:rPr>
      </w:pPr>
      <w:r w:rsidRPr="00E02273">
        <w:rPr>
          <w:lang w:val="en-CA"/>
        </w:rPr>
        <w:t xml:space="preserve">Second, however, through the </w:t>
      </w:r>
      <w:r w:rsidR="002D51A4" w:rsidRPr="00E02273">
        <w:rPr>
          <w:lang w:val="en-CA"/>
        </w:rPr>
        <w:t xml:space="preserve">application </w:t>
      </w:r>
      <w:r w:rsidRPr="00E02273">
        <w:rPr>
          <w:lang w:val="en-CA"/>
        </w:rPr>
        <w:t xml:space="preserve">of new factors added by the </w:t>
      </w:r>
      <w:r w:rsidR="00866E58" w:rsidRPr="00E02273">
        <w:rPr>
          <w:i/>
          <w:lang w:val="en-CA"/>
        </w:rPr>
        <w:t>2019 Regulatory Amendments</w:t>
      </w:r>
      <w:r w:rsidR="002D51A4" w:rsidRPr="00E02273">
        <w:rPr>
          <w:lang w:val="en-CA"/>
        </w:rPr>
        <w:t xml:space="preserve">, </w:t>
      </w:r>
      <w:r w:rsidRPr="00E02273">
        <w:rPr>
          <w:lang w:val="en-CA"/>
        </w:rPr>
        <w:t xml:space="preserve">the Board will </w:t>
      </w:r>
      <w:r w:rsidR="006446D7">
        <w:rPr>
          <w:lang w:val="en-CA"/>
        </w:rPr>
        <w:t>now</w:t>
      </w:r>
      <w:r w:rsidRPr="00E02273">
        <w:rPr>
          <w:lang w:val="en-CA"/>
        </w:rPr>
        <w:t xml:space="preserve"> also have to impose a substantial and arbitrary reduction in the price of a patented medicine </w:t>
      </w:r>
      <w:r w:rsidR="002D51A4" w:rsidRPr="00E02273">
        <w:rPr>
          <w:u w:val="single"/>
          <w:lang w:val="en-CA"/>
        </w:rPr>
        <w:t>a</w:t>
      </w:r>
      <w:r w:rsidRPr="00E02273">
        <w:rPr>
          <w:u w:val="single"/>
          <w:lang w:val="en-CA"/>
        </w:rPr>
        <w:t>fter</w:t>
      </w:r>
      <w:r w:rsidR="002D51A4" w:rsidRPr="00E02273">
        <w:rPr>
          <w:lang w:val="en-CA"/>
        </w:rPr>
        <w:t xml:space="preserve"> </w:t>
      </w:r>
      <w:r w:rsidRPr="00E02273">
        <w:rPr>
          <w:lang w:val="en-CA"/>
        </w:rPr>
        <w:t xml:space="preserve">its price has previously been </w:t>
      </w:r>
      <w:r w:rsidRPr="00E02273">
        <w:rPr>
          <w:lang w:val="en-CA"/>
        </w:rPr>
        <w:lastRenderedPageBreak/>
        <w:t xml:space="preserve">found not to be </w:t>
      </w:r>
      <w:r w:rsidR="002D51A4" w:rsidRPr="00E02273">
        <w:rPr>
          <w:lang w:val="en-CA"/>
        </w:rPr>
        <w:t>excessi</w:t>
      </w:r>
      <w:r w:rsidRPr="00E02273">
        <w:rPr>
          <w:lang w:val="en-CA"/>
        </w:rPr>
        <w:t xml:space="preserve">ve </w:t>
      </w:r>
      <w:r w:rsidR="002D51A4" w:rsidRPr="00E02273">
        <w:rPr>
          <w:lang w:val="en-CA"/>
        </w:rPr>
        <w:t>f</w:t>
      </w:r>
      <w:r w:rsidRPr="00E02273">
        <w:rPr>
          <w:lang w:val="en-CA"/>
        </w:rPr>
        <w:t xml:space="preserve">urther to the </w:t>
      </w:r>
      <w:r w:rsidR="002D51A4" w:rsidRPr="00E02273">
        <w:rPr>
          <w:lang w:val="en-CA"/>
        </w:rPr>
        <w:t xml:space="preserve">application </w:t>
      </w:r>
      <w:r w:rsidR="00B42EA5" w:rsidRPr="00E02273">
        <w:rPr>
          <w:lang w:val="en-CA"/>
        </w:rPr>
        <w:t xml:space="preserve">of the </w:t>
      </w:r>
      <w:r w:rsidR="002D51A4" w:rsidRPr="00E02273">
        <w:rPr>
          <w:lang w:val="en-CA"/>
        </w:rPr>
        <w:t>fact</w:t>
      </w:r>
      <w:r w:rsidR="00B42EA5" w:rsidRPr="00E02273">
        <w:rPr>
          <w:lang w:val="en-CA"/>
        </w:rPr>
        <w:t xml:space="preserve">ors set out in the </w:t>
      </w:r>
      <w:r w:rsidR="00B42EA5" w:rsidRPr="00E02273">
        <w:rPr>
          <w:i/>
          <w:lang w:val="en-CA"/>
        </w:rPr>
        <w:t>Act.</w:t>
      </w:r>
      <w:r w:rsidR="00B42EA5" w:rsidRPr="00E02273">
        <w:rPr>
          <w:lang w:val="en-CA"/>
        </w:rPr>
        <w:t xml:space="preserve"> This second </w:t>
      </w:r>
      <w:r w:rsidR="00EC7001">
        <w:rPr>
          <w:lang w:val="en-CA"/>
        </w:rPr>
        <w:t>component</w:t>
      </w:r>
      <w:r w:rsidR="00B42EA5" w:rsidRPr="00E02273">
        <w:rPr>
          <w:lang w:val="en-CA"/>
        </w:rPr>
        <w:t xml:space="preserve"> does not </w:t>
      </w:r>
      <w:r w:rsidR="00C6359C">
        <w:rPr>
          <w:lang w:val="en-CA"/>
        </w:rPr>
        <w:t xml:space="preserve">involve </w:t>
      </w:r>
      <w:r w:rsidR="00B42EA5" w:rsidRPr="00E02273">
        <w:rPr>
          <w:lang w:val="en-CA"/>
        </w:rPr>
        <w:t xml:space="preserve">establishing a price that is not objectively </w:t>
      </w:r>
      <w:r w:rsidR="002D51A4" w:rsidRPr="00E02273">
        <w:rPr>
          <w:lang w:val="en-CA"/>
        </w:rPr>
        <w:t>excessi</w:t>
      </w:r>
      <w:r w:rsidR="00B42EA5" w:rsidRPr="00E02273">
        <w:rPr>
          <w:lang w:val="en-CA"/>
        </w:rPr>
        <w:t>ve</w:t>
      </w:r>
      <w:r w:rsidR="002D51A4" w:rsidRPr="00E02273">
        <w:rPr>
          <w:lang w:val="en-CA"/>
        </w:rPr>
        <w:t>,</w:t>
      </w:r>
      <w:r w:rsidR="00B42EA5" w:rsidRPr="00E02273">
        <w:rPr>
          <w:lang w:val="en-CA"/>
        </w:rPr>
        <w:t xml:space="preserve"> but rather effecting a substantial</w:t>
      </w:r>
      <w:r w:rsidR="008A2938" w:rsidRPr="00E02273">
        <w:rPr>
          <w:lang w:val="en-CA"/>
        </w:rPr>
        <w:t xml:space="preserve"> and arbitrary </w:t>
      </w:r>
      <w:r w:rsidR="00790844">
        <w:rPr>
          <w:lang w:val="en-CA"/>
        </w:rPr>
        <w:t xml:space="preserve">price </w:t>
      </w:r>
      <w:r w:rsidR="008A2938" w:rsidRPr="00E02273">
        <w:rPr>
          <w:lang w:val="en-CA"/>
        </w:rPr>
        <w:t xml:space="preserve">reduction irrespective of the price at which medicines in the same therapeutic class are sold in </w:t>
      </w:r>
      <w:r w:rsidR="002D51A4" w:rsidRPr="00E02273">
        <w:rPr>
          <w:lang w:val="en-CA"/>
        </w:rPr>
        <w:t xml:space="preserve">Canada </w:t>
      </w:r>
      <w:r w:rsidR="008A2938" w:rsidRPr="00E02273">
        <w:rPr>
          <w:lang w:val="en-CA"/>
        </w:rPr>
        <w:t xml:space="preserve">or in countries other than Canada and irrespective of the price at which the same medicine is sold </w:t>
      </w:r>
      <w:r w:rsidR="0068052E" w:rsidRPr="00E02273">
        <w:rPr>
          <w:lang w:val="en-CA"/>
        </w:rPr>
        <w:t xml:space="preserve">in foreign countries </w:t>
      </w:r>
      <w:r w:rsidR="002D51A4" w:rsidRPr="00E02273">
        <w:rPr>
          <w:lang w:val="en-CA"/>
        </w:rPr>
        <w:t>reasonably comparable</w:t>
      </w:r>
      <w:r w:rsidR="0068052E" w:rsidRPr="00E02273">
        <w:rPr>
          <w:lang w:val="en-CA"/>
        </w:rPr>
        <w:t xml:space="preserve"> to </w:t>
      </w:r>
      <w:r w:rsidR="002D51A4" w:rsidRPr="00E02273">
        <w:rPr>
          <w:lang w:val="en-CA"/>
        </w:rPr>
        <w:t xml:space="preserve">Canada. </w:t>
      </w:r>
      <w:r w:rsidR="0068052E" w:rsidRPr="00E02273">
        <w:rPr>
          <w:lang w:val="en-CA"/>
        </w:rPr>
        <w:t xml:space="preserve">It is thus simply an arbitrary price reduction established by </w:t>
      </w:r>
      <w:r w:rsidR="00237B50" w:rsidRPr="00E02273">
        <w:rPr>
          <w:lang w:val="en-CA"/>
        </w:rPr>
        <w:t>dictate of the Board, applying the new government policy of substantial price re</w:t>
      </w:r>
      <w:r w:rsidR="002D51A4" w:rsidRPr="00E02273">
        <w:rPr>
          <w:lang w:val="en-CA"/>
        </w:rPr>
        <w:t>duction</w:t>
      </w:r>
      <w:r w:rsidR="00237B50" w:rsidRPr="00E02273">
        <w:rPr>
          <w:lang w:val="en-CA"/>
        </w:rPr>
        <w:t>s</w:t>
      </w:r>
      <w:r w:rsidR="002D51A4" w:rsidRPr="00E02273">
        <w:rPr>
          <w:lang w:val="en-CA"/>
        </w:rPr>
        <w:t>.</w:t>
      </w:r>
    </w:p>
    <w:p w14:paraId="5CDCE4AC" w14:textId="133CCA4C" w:rsidR="00B568AD" w:rsidRPr="00E02273" w:rsidRDefault="00FB0312" w:rsidP="008B4129">
      <w:pPr>
        <w:pStyle w:val="Paragraphe"/>
        <w:tabs>
          <w:tab w:val="num" w:pos="709"/>
        </w:tabs>
        <w:spacing w:line="240" w:lineRule="auto"/>
        <w:ind w:left="0"/>
        <w:rPr>
          <w:lang w:val="en-CA"/>
        </w:rPr>
      </w:pPr>
      <w:r w:rsidRPr="00E02273">
        <w:rPr>
          <w:lang w:val="en-CA"/>
        </w:rPr>
        <w:t xml:space="preserve">The Regulatory Impact Analysis Statement </w:t>
      </w:r>
      <w:r w:rsidR="00F05047" w:rsidRPr="00E02273">
        <w:rPr>
          <w:lang w:val="en-CA"/>
        </w:rPr>
        <w:t xml:space="preserve">published in the Canada </w:t>
      </w:r>
      <w:r w:rsidR="002D51A4" w:rsidRPr="00E02273">
        <w:rPr>
          <w:lang w:val="en-CA"/>
        </w:rPr>
        <w:t xml:space="preserve">Gazette </w:t>
      </w:r>
      <w:r w:rsidR="00F05047" w:rsidRPr="00E02273">
        <w:rPr>
          <w:lang w:val="en-CA"/>
        </w:rPr>
        <w:t xml:space="preserve">– which may serve to establish the </w:t>
      </w:r>
      <w:r w:rsidR="002D51A4" w:rsidRPr="00E02273">
        <w:rPr>
          <w:lang w:val="en-CA"/>
        </w:rPr>
        <w:t>pith</w:t>
      </w:r>
      <w:r w:rsidR="00F05047" w:rsidRPr="00E02273">
        <w:rPr>
          <w:lang w:val="en-CA"/>
        </w:rPr>
        <w:t xml:space="preserve"> </w:t>
      </w:r>
      <w:r w:rsidR="002D51A4" w:rsidRPr="00E02273">
        <w:rPr>
          <w:lang w:val="en-CA"/>
        </w:rPr>
        <w:t>and</w:t>
      </w:r>
      <w:r w:rsidR="00F05047" w:rsidRPr="00E02273">
        <w:rPr>
          <w:lang w:val="en-CA"/>
        </w:rPr>
        <w:t xml:space="preserve"> </w:t>
      </w:r>
      <w:r w:rsidR="002D51A4" w:rsidRPr="00E02273">
        <w:rPr>
          <w:lang w:val="en-CA"/>
        </w:rPr>
        <w:t>substance</w:t>
      </w:r>
      <w:r w:rsidR="002D51A4" w:rsidRPr="00E02273">
        <w:rPr>
          <w:rStyle w:val="Appelnotedebasdep"/>
          <w:lang w:val="en-CA"/>
        </w:rPr>
        <w:footnoteReference w:id="143"/>
      </w:r>
      <w:r w:rsidR="002D51A4" w:rsidRPr="00E02273">
        <w:rPr>
          <w:lang w:val="en-CA"/>
        </w:rPr>
        <w:t xml:space="preserve"> – in</w:t>
      </w:r>
      <w:r w:rsidR="000A3CFB" w:rsidRPr="00E02273">
        <w:rPr>
          <w:lang w:val="en-CA"/>
        </w:rPr>
        <w:t xml:space="preserve"> </w:t>
      </w:r>
      <w:r w:rsidR="002D51A4" w:rsidRPr="00E02273">
        <w:rPr>
          <w:lang w:val="en-CA"/>
        </w:rPr>
        <w:t>fact</w:t>
      </w:r>
      <w:r w:rsidR="000A3CFB" w:rsidRPr="00E02273">
        <w:rPr>
          <w:lang w:val="en-CA"/>
        </w:rPr>
        <w:t xml:space="preserve"> clearly states that the </w:t>
      </w:r>
      <w:r w:rsidR="002D51A4" w:rsidRPr="00E02273">
        <w:rPr>
          <w:lang w:val="en-CA"/>
        </w:rPr>
        <w:t>context</w:t>
      </w:r>
      <w:r w:rsidR="000A3CFB" w:rsidRPr="00E02273">
        <w:rPr>
          <w:lang w:val="en-CA"/>
        </w:rPr>
        <w:t xml:space="preserve"> of the new regulations </w:t>
      </w:r>
      <w:r w:rsidR="00C8277C" w:rsidRPr="00E02273">
        <w:rPr>
          <w:lang w:val="en-CA"/>
        </w:rPr>
        <w:t xml:space="preserve">is </w:t>
      </w:r>
      <w:r w:rsidR="001555C4" w:rsidRPr="00E02273">
        <w:rPr>
          <w:lang w:val="en-CA"/>
        </w:rPr>
        <w:t>in keeping with</w:t>
      </w:r>
      <w:r w:rsidR="00C8277C" w:rsidRPr="00E02273">
        <w:rPr>
          <w:lang w:val="en-CA"/>
        </w:rPr>
        <w:t xml:space="preserve"> the </w:t>
      </w:r>
      <w:r w:rsidR="001555C4" w:rsidRPr="00E02273">
        <w:rPr>
          <w:lang w:val="en-CA"/>
        </w:rPr>
        <w:t xml:space="preserve">federal government’s </w:t>
      </w:r>
      <w:r w:rsidR="002D51A4" w:rsidRPr="00E02273">
        <w:rPr>
          <w:lang w:val="en-CA"/>
        </w:rPr>
        <w:t>undertaking</w:t>
      </w:r>
      <w:r w:rsidR="001555C4" w:rsidRPr="00E02273">
        <w:rPr>
          <w:lang w:val="en-CA"/>
        </w:rPr>
        <w:t xml:space="preserve"> to “</w:t>
      </w:r>
      <w:r w:rsidR="003C58D1" w:rsidRPr="00E02273">
        <w:rPr>
          <w:lang w:val="en-CA"/>
        </w:rPr>
        <w:t>improve the accessibility, affordability, and appropriate use of medicines to better meet health care system needs”, adding:</w:t>
      </w:r>
      <w:r w:rsidR="002D51A4" w:rsidRPr="00E02273">
        <w:rPr>
          <w:rStyle w:val="Appelnotedebasdep"/>
          <w:lang w:val="en-CA"/>
        </w:rPr>
        <w:footnoteReference w:id="144"/>
      </w:r>
    </w:p>
    <w:p w14:paraId="3F241DD7" w14:textId="45B1AD0E" w:rsidR="003C58D1" w:rsidRPr="00E02273" w:rsidRDefault="003C58D1" w:rsidP="00B568AD">
      <w:pPr>
        <w:pStyle w:val="Citationenretrait"/>
        <w:spacing w:line="240" w:lineRule="auto"/>
        <w:rPr>
          <w:lang w:val="en-CA"/>
        </w:rPr>
      </w:pPr>
      <w:r w:rsidRPr="00E02273">
        <w:rPr>
          <w:lang w:val="en-CA"/>
        </w:rPr>
        <w:t xml:space="preserve">The Government of Canada is committed to this work and is taking action to lower the cost of medicines, provide faster access to new medicines that are safe and effective, and support the development of tools for more appropriate prescribing. … These Amendments contribute to the Government’s commitment by lowering the prices of patented medicines in Canada. </w:t>
      </w:r>
    </w:p>
    <w:p w14:paraId="4EFD564E" w14:textId="2451BB7A" w:rsidR="00B568AD" w:rsidRPr="00E02273" w:rsidRDefault="003C58D1" w:rsidP="00B568AD">
      <w:pPr>
        <w:pStyle w:val="Paragraphe"/>
        <w:numPr>
          <w:ilvl w:val="0"/>
          <w:numId w:val="0"/>
        </w:numPr>
        <w:spacing w:line="240" w:lineRule="auto"/>
        <w:rPr>
          <w:lang w:val="en-CA"/>
        </w:rPr>
      </w:pPr>
      <w:r w:rsidRPr="00E02273">
        <w:rPr>
          <w:lang w:val="en-CA"/>
        </w:rPr>
        <w:t>As can readily be seen, we are a long way from control</w:t>
      </w:r>
      <w:r w:rsidR="000B2B35" w:rsidRPr="00E02273">
        <w:rPr>
          <w:lang w:val="en-CA"/>
        </w:rPr>
        <w:t>ling the effect</w:t>
      </w:r>
      <w:r w:rsidR="00494751">
        <w:rPr>
          <w:lang w:val="en-CA"/>
        </w:rPr>
        <w:t>s</w:t>
      </w:r>
      <w:r w:rsidRPr="00E02273">
        <w:rPr>
          <w:lang w:val="en-CA"/>
        </w:rPr>
        <w:t xml:space="preserve"> </w:t>
      </w:r>
      <w:r w:rsidR="00EC7001">
        <w:rPr>
          <w:lang w:val="en-CA"/>
        </w:rPr>
        <w:t xml:space="preserve">on price </w:t>
      </w:r>
      <w:r w:rsidRPr="00E02273">
        <w:rPr>
          <w:lang w:val="en-CA"/>
        </w:rPr>
        <w:t xml:space="preserve">of the monopoly granted by </w:t>
      </w:r>
      <w:r w:rsidR="000B2B35" w:rsidRPr="00E02273">
        <w:rPr>
          <w:lang w:val="en-CA"/>
        </w:rPr>
        <w:t xml:space="preserve">a </w:t>
      </w:r>
      <w:r w:rsidRPr="00E02273">
        <w:rPr>
          <w:lang w:val="en-CA"/>
        </w:rPr>
        <w:t>patent</w:t>
      </w:r>
      <w:r w:rsidR="002D51A4" w:rsidRPr="00E02273">
        <w:rPr>
          <w:lang w:val="en-CA"/>
        </w:rPr>
        <w:t>.</w:t>
      </w:r>
    </w:p>
    <w:p w14:paraId="67E4CBEB" w14:textId="481FD583" w:rsidR="00B568AD" w:rsidRPr="00E02273" w:rsidRDefault="000B2B35" w:rsidP="008B4129">
      <w:pPr>
        <w:pStyle w:val="Paragraphe"/>
        <w:tabs>
          <w:tab w:val="num" w:pos="709"/>
        </w:tabs>
        <w:spacing w:line="240" w:lineRule="auto"/>
        <w:ind w:left="0"/>
        <w:rPr>
          <w:lang w:val="en-CA"/>
        </w:rPr>
      </w:pPr>
      <w:r w:rsidRPr="00E02273">
        <w:rPr>
          <w:lang w:val="en-CA"/>
        </w:rPr>
        <w:t xml:space="preserve">The Regulatory Impact Analysis Statement adds that the </w:t>
      </w:r>
      <w:r w:rsidR="00FC3085" w:rsidRPr="00E02273">
        <w:rPr>
          <w:lang w:val="en-CA"/>
        </w:rPr>
        <w:t xml:space="preserve">purpose is to reorient the Board’s role towards </w:t>
      </w:r>
      <w:r w:rsidR="00FC3085" w:rsidRPr="00E02273">
        <w:rPr>
          <w:u w:val="single"/>
          <w:lang w:val="en-CA"/>
        </w:rPr>
        <w:t>controlling the affordability of prices</w:t>
      </w:r>
      <w:r w:rsidR="002D51A4" w:rsidRPr="00E02273">
        <w:rPr>
          <w:lang w:val="en-CA"/>
        </w:rPr>
        <w:t xml:space="preserve"> </w:t>
      </w:r>
      <w:r w:rsidR="00FC3085" w:rsidRPr="00E02273">
        <w:rPr>
          <w:lang w:val="en-CA"/>
        </w:rPr>
        <w:t>of patented medicines</w:t>
      </w:r>
      <w:r w:rsidR="002D51A4" w:rsidRPr="00E02273">
        <w:rPr>
          <w:lang w:val="en-CA"/>
        </w:rPr>
        <w:t xml:space="preserve"> </w:t>
      </w:r>
      <w:r w:rsidR="00FC3085" w:rsidRPr="00E02273">
        <w:rPr>
          <w:u w:val="single"/>
          <w:lang w:val="en-CA"/>
        </w:rPr>
        <w:t>rather than controlling excessive prices</w:t>
      </w:r>
      <w:r w:rsidR="00FC3085" w:rsidRPr="00E02273">
        <w:rPr>
          <w:lang w:val="en-CA"/>
        </w:rPr>
        <w:t>:</w:t>
      </w:r>
      <w:r w:rsidR="002D51A4" w:rsidRPr="00E02273">
        <w:rPr>
          <w:rStyle w:val="Appelnotedebasdep"/>
          <w:lang w:val="en-CA"/>
        </w:rPr>
        <w:footnoteReference w:id="145"/>
      </w:r>
      <w:r w:rsidR="002D51A4" w:rsidRPr="00E02273">
        <w:rPr>
          <w:lang w:val="en-CA"/>
        </w:rPr>
        <w:t xml:space="preserve">  </w:t>
      </w:r>
    </w:p>
    <w:p w14:paraId="4F6FF18D" w14:textId="53CADDE2" w:rsidR="00B568AD" w:rsidRPr="00E02273" w:rsidRDefault="002D3733" w:rsidP="00B568AD">
      <w:pPr>
        <w:pStyle w:val="Citationenretrait"/>
        <w:spacing w:line="240" w:lineRule="auto"/>
        <w:rPr>
          <w:lang w:val="en-CA"/>
        </w:rPr>
      </w:pPr>
      <w:r w:rsidRPr="00E02273">
        <w:rPr>
          <w:lang w:val="en-CA"/>
        </w:rPr>
        <w:t>The desired result of these changes is for the gross and net ceiling prices of patented medicines in Canada to be more closely aligned with prices in like-minded countries, more reflective of their value to Canadian consumers and more informed by the affordability constraints of the Canadian economy</w:t>
      </w:r>
      <w:r w:rsidR="002D51A4" w:rsidRPr="00E02273">
        <w:rPr>
          <w:lang w:val="en-CA"/>
        </w:rPr>
        <w:t xml:space="preserve">. </w:t>
      </w:r>
    </w:p>
    <w:p w14:paraId="14929FBE" w14:textId="00B796B4" w:rsidR="00B568AD" w:rsidRPr="00E02273" w:rsidRDefault="007122D9" w:rsidP="008B4129">
      <w:pPr>
        <w:pStyle w:val="Paragraphe"/>
        <w:tabs>
          <w:tab w:val="num" w:pos="709"/>
        </w:tabs>
        <w:spacing w:line="240" w:lineRule="auto"/>
        <w:ind w:left="0"/>
        <w:rPr>
          <w:lang w:val="en-CA"/>
        </w:rPr>
      </w:pPr>
      <w:r w:rsidRPr="00E02273">
        <w:rPr>
          <w:lang w:val="en-CA"/>
        </w:rPr>
        <w:t>T</w:t>
      </w:r>
      <w:r w:rsidR="0065672C" w:rsidRPr="00E02273">
        <w:rPr>
          <w:lang w:val="en-CA"/>
        </w:rPr>
        <w:t xml:space="preserve">his new </w:t>
      </w:r>
      <w:r w:rsidR="002D51A4" w:rsidRPr="00E02273">
        <w:rPr>
          <w:lang w:val="en-CA"/>
        </w:rPr>
        <w:t>objecti</w:t>
      </w:r>
      <w:r w:rsidR="0065672C" w:rsidRPr="00E02273">
        <w:rPr>
          <w:lang w:val="en-CA"/>
        </w:rPr>
        <w:t>ve appears throughout the Regulatory Impact Analysis Statement</w:t>
      </w:r>
      <w:r w:rsidR="002D51A4" w:rsidRPr="00E02273">
        <w:rPr>
          <w:lang w:val="en-CA"/>
        </w:rPr>
        <w:t>.</w:t>
      </w:r>
      <w:r w:rsidR="0065672C" w:rsidRPr="00E02273">
        <w:rPr>
          <w:lang w:val="en-CA"/>
        </w:rPr>
        <w:t xml:space="preserve"> For </w:t>
      </w:r>
      <w:r w:rsidR="002D51A4" w:rsidRPr="00E02273">
        <w:rPr>
          <w:lang w:val="en-CA"/>
        </w:rPr>
        <w:t>ex</w:t>
      </w:r>
      <w:r w:rsidR="0065672C" w:rsidRPr="00E02273">
        <w:rPr>
          <w:lang w:val="en-CA"/>
        </w:rPr>
        <w:t xml:space="preserve">ample, to </w:t>
      </w:r>
      <w:r w:rsidR="002D51A4" w:rsidRPr="00E02273">
        <w:rPr>
          <w:lang w:val="en-CA"/>
        </w:rPr>
        <w:t>expl</w:t>
      </w:r>
      <w:r w:rsidR="0065672C" w:rsidRPr="00E02273">
        <w:rPr>
          <w:lang w:val="en-CA"/>
        </w:rPr>
        <w:t xml:space="preserve">ain the </w:t>
      </w:r>
      <w:r w:rsidR="00494751">
        <w:rPr>
          <w:lang w:val="en-CA"/>
        </w:rPr>
        <w:t>rationale</w:t>
      </w:r>
      <w:r w:rsidR="00494751" w:rsidRPr="00E02273">
        <w:rPr>
          <w:lang w:val="en-CA"/>
        </w:rPr>
        <w:t xml:space="preserve"> </w:t>
      </w:r>
      <w:r w:rsidR="0065672C" w:rsidRPr="00E02273">
        <w:rPr>
          <w:lang w:val="en-CA"/>
        </w:rPr>
        <w:t xml:space="preserve">for the new </w:t>
      </w:r>
      <w:r w:rsidR="002D51A4" w:rsidRPr="00E02273">
        <w:rPr>
          <w:lang w:val="en-CA"/>
        </w:rPr>
        <w:t>fact</w:t>
      </w:r>
      <w:r w:rsidR="0065672C" w:rsidRPr="00E02273">
        <w:rPr>
          <w:lang w:val="en-CA"/>
        </w:rPr>
        <w:t xml:space="preserve">or based on the </w:t>
      </w:r>
      <w:r w:rsidR="002D51A4" w:rsidRPr="00E02273">
        <w:rPr>
          <w:lang w:val="en-CA"/>
        </w:rPr>
        <w:t>pharmaco</w:t>
      </w:r>
      <w:r w:rsidR="0065672C" w:rsidRPr="00E02273">
        <w:rPr>
          <w:lang w:val="en-CA"/>
        </w:rPr>
        <w:t>e</w:t>
      </w:r>
      <w:r w:rsidR="002D51A4" w:rsidRPr="00E02273">
        <w:rPr>
          <w:lang w:val="en-CA"/>
        </w:rPr>
        <w:t>conomi</w:t>
      </w:r>
      <w:r w:rsidR="0065672C" w:rsidRPr="00E02273">
        <w:rPr>
          <w:lang w:val="en-CA"/>
        </w:rPr>
        <w:t xml:space="preserve">c value of medicines, it states that “the private market for pharmaceuticals in Canada is an </w:t>
      </w:r>
      <w:r w:rsidR="0065672C" w:rsidRPr="00E02273">
        <w:rPr>
          <w:lang w:val="en-CA"/>
        </w:rPr>
        <w:lastRenderedPageBreak/>
        <w:t>offshoot of the public system and cannot function without it, the policy intent is for the PMPRB to adopt the perspective of the public health care system and favour a supply-side cost-effectiveness threshold in estimating opportunity cost</w:t>
      </w:r>
      <w:r w:rsidR="001C2493" w:rsidRPr="00E02273">
        <w:rPr>
          <w:lang w:val="en-CA"/>
        </w:rPr>
        <w:t>”</w:t>
      </w:r>
      <w:r w:rsidR="00E51A47" w:rsidRPr="00E02273">
        <w:rPr>
          <w:lang w:val="en-CA"/>
        </w:rPr>
        <w:t>.</w:t>
      </w:r>
      <w:r w:rsidR="002D51A4" w:rsidRPr="00E02273">
        <w:rPr>
          <w:rStyle w:val="Appelnotedebasdep"/>
          <w:lang w:val="en-CA"/>
        </w:rPr>
        <w:footnoteReference w:id="146"/>
      </w:r>
    </w:p>
    <w:p w14:paraId="5806F69E" w14:textId="218555A1" w:rsidR="00B568AD" w:rsidRPr="00E02273" w:rsidRDefault="00E51A47" w:rsidP="008B4129">
      <w:pPr>
        <w:pStyle w:val="Paragraphe"/>
        <w:tabs>
          <w:tab w:val="num" w:pos="709"/>
        </w:tabs>
        <w:spacing w:line="240" w:lineRule="auto"/>
        <w:ind w:left="0"/>
        <w:rPr>
          <w:lang w:val="en-CA"/>
        </w:rPr>
      </w:pPr>
      <w:r w:rsidRPr="00E02273">
        <w:rPr>
          <w:lang w:val="en-CA"/>
        </w:rPr>
        <w:t>Moreover, taken together “the addition of the three new section 85 factors enable the PMPRB to assess the economic impact of a patented medicine’s price on both insurers and individual consumers and enable it to develop screening criteria and market size tests for medicines that are likely to pose affordability challenges for the Canadian health care system”.</w:t>
      </w:r>
      <w:r w:rsidR="002D51A4" w:rsidRPr="00E02273">
        <w:rPr>
          <w:rStyle w:val="Appelnotedebasdep"/>
          <w:lang w:val="en-CA"/>
        </w:rPr>
        <w:footnoteReference w:id="147"/>
      </w:r>
    </w:p>
    <w:p w14:paraId="1E2FE6E3" w14:textId="00888D79" w:rsidR="00B568AD" w:rsidRPr="00E02273" w:rsidRDefault="00CF636E" w:rsidP="008B4129">
      <w:pPr>
        <w:pStyle w:val="Paragraphe"/>
        <w:tabs>
          <w:tab w:val="num" w:pos="709"/>
        </w:tabs>
        <w:spacing w:line="240" w:lineRule="auto"/>
        <w:ind w:left="0"/>
        <w:rPr>
          <w:lang w:val="en-CA"/>
        </w:rPr>
      </w:pPr>
      <w:r w:rsidRPr="00E02273">
        <w:rPr>
          <w:lang w:val="en-CA"/>
        </w:rPr>
        <w:t xml:space="preserve">The </w:t>
      </w:r>
      <w:r w:rsidR="004F6A0F" w:rsidRPr="00E02273">
        <w:rPr>
          <w:lang w:val="en-CA"/>
        </w:rPr>
        <w:t>desired</w:t>
      </w:r>
      <w:r w:rsidRPr="00E02273">
        <w:rPr>
          <w:lang w:val="en-CA"/>
        </w:rPr>
        <w:t xml:space="preserve"> effect of these new factors could not be clearer, that is, the “[l]ower overall spending on patented medicines in Canada </w:t>
      </w:r>
      <w:r w:rsidR="002F20AB" w:rsidRPr="00E02273">
        <w:rPr>
          <w:lang w:val="en-CA"/>
        </w:rPr>
        <w:t xml:space="preserve">[that] </w:t>
      </w:r>
      <w:r w:rsidRPr="00E02273">
        <w:rPr>
          <w:lang w:val="en-CA"/>
        </w:rPr>
        <w:t>is anticipated to result from lower prices</w:t>
      </w:r>
      <w:r w:rsidR="002F20AB" w:rsidRPr="00E02273">
        <w:rPr>
          <w:lang w:val="en-CA"/>
        </w:rPr>
        <w:t>”.</w:t>
      </w:r>
      <w:r w:rsidR="002D51A4" w:rsidRPr="00E02273">
        <w:rPr>
          <w:rStyle w:val="Appelnotedebasdep"/>
          <w:lang w:val="en-CA"/>
        </w:rPr>
        <w:footnoteReference w:id="148"/>
      </w:r>
      <w:r w:rsidR="002D51A4" w:rsidRPr="00E02273">
        <w:rPr>
          <w:lang w:val="en-CA"/>
        </w:rPr>
        <w:t xml:space="preserve"> </w:t>
      </w:r>
      <w:r w:rsidR="002F20AB" w:rsidRPr="00E02273">
        <w:rPr>
          <w:lang w:val="en-CA"/>
        </w:rPr>
        <w:t xml:space="preserve">Indeed, </w:t>
      </w:r>
      <w:r w:rsidR="00494751">
        <w:rPr>
          <w:lang w:val="en-CA"/>
        </w:rPr>
        <w:t xml:space="preserve">it seeks </w:t>
      </w:r>
      <w:r w:rsidR="002F20AB" w:rsidRPr="00E02273">
        <w:rPr>
          <w:lang w:val="en-CA"/>
        </w:rPr>
        <w:t>a signific</w:t>
      </w:r>
      <w:r w:rsidR="006E3390" w:rsidRPr="00E02273">
        <w:rPr>
          <w:lang w:val="en-CA"/>
        </w:rPr>
        <w:t>a</w:t>
      </w:r>
      <w:r w:rsidR="002F20AB" w:rsidRPr="00E02273">
        <w:rPr>
          <w:lang w:val="en-CA"/>
        </w:rPr>
        <w:t>nt and arbitrary reduction in the price of patented medicines.</w:t>
      </w:r>
    </w:p>
    <w:p w14:paraId="2EB963FD" w14:textId="129024F7" w:rsidR="00B568AD" w:rsidRPr="00E02273" w:rsidRDefault="00D5718F" w:rsidP="008B4129">
      <w:pPr>
        <w:pStyle w:val="Paragraphe"/>
        <w:tabs>
          <w:tab w:val="num" w:pos="709"/>
        </w:tabs>
        <w:spacing w:line="240" w:lineRule="auto"/>
        <w:ind w:left="0"/>
        <w:rPr>
          <w:lang w:val="en-CA"/>
        </w:rPr>
      </w:pPr>
      <w:r w:rsidRPr="00E02273">
        <w:rPr>
          <w:lang w:val="en-CA"/>
        </w:rPr>
        <w:t xml:space="preserve">That is </w:t>
      </w:r>
      <w:r w:rsidR="002D51A4" w:rsidRPr="00E02273">
        <w:rPr>
          <w:lang w:val="en-CA"/>
        </w:rPr>
        <w:t>in</w:t>
      </w:r>
      <w:r w:rsidRPr="00E02273">
        <w:rPr>
          <w:lang w:val="en-CA"/>
        </w:rPr>
        <w:t xml:space="preserve"> </w:t>
      </w:r>
      <w:r w:rsidR="002D51A4" w:rsidRPr="00E02273">
        <w:rPr>
          <w:lang w:val="en-CA"/>
        </w:rPr>
        <w:t>fact</w:t>
      </w:r>
      <w:r w:rsidRPr="00E02273">
        <w:rPr>
          <w:lang w:val="en-CA"/>
        </w:rPr>
        <w:t xml:space="preserve"> the </w:t>
      </w:r>
      <w:r w:rsidR="002D51A4" w:rsidRPr="00E02273">
        <w:rPr>
          <w:lang w:val="en-CA"/>
        </w:rPr>
        <w:t>objecti</w:t>
      </w:r>
      <w:r w:rsidRPr="00E02273">
        <w:rPr>
          <w:lang w:val="en-CA"/>
        </w:rPr>
        <w:t xml:space="preserve">ve stated in </w:t>
      </w:r>
      <w:r w:rsidR="00BA4D74" w:rsidRPr="00E02273">
        <w:rPr>
          <w:lang w:val="en-CA"/>
        </w:rPr>
        <w:t xml:space="preserve">the title of the </w:t>
      </w:r>
      <w:r w:rsidR="00D059AD" w:rsidRPr="00E02273">
        <w:rPr>
          <w:lang w:val="en-CA"/>
        </w:rPr>
        <w:t xml:space="preserve">Government of Canada’s </w:t>
      </w:r>
      <w:r w:rsidR="00BA4D74" w:rsidRPr="00E02273">
        <w:rPr>
          <w:lang w:val="en-CA"/>
        </w:rPr>
        <w:t xml:space="preserve">news release dated </w:t>
      </w:r>
      <w:r w:rsidR="002D51A4" w:rsidRPr="00E02273">
        <w:rPr>
          <w:lang w:val="en-CA"/>
        </w:rPr>
        <w:t>August</w:t>
      </w:r>
      <w:r w:rsidR="00BA4D74" w:rsidRPr="00E02273">
        <w:rPr>
          <w:lang w:val="en-CA"/>
        </w:rPr>
        <w:t xml:space="preserve"> 9,</w:t>
      </w:r>
      <w:r w:rsidR="002D51A4" w:rsidRPr="00E02273">
        <w:rPr>
          <w:lang w:val="en-CA"/>
        </w:rPr>
        <w:t xml:space="preserve"> 2019</w:t>
      </w:r>
      <w:r w:rsidR="00D059AD" w:rsidRPr="00E02273">
        <w:rPr>
          <w:lang w:val="en-CA"/>
        </w:rPr>
        <w:t>, announcing the regulatory amendments</w:t>
      </w:r>
      <w:r w:rsidR="002D51A4" w:rsidRPr="00E02273">
        <w:rPr>
          <w:lang w:val="en-CA"/>
        </w:rPr>
        <w:t>:</w:t>
      </w:r>
      <w:r w:rsidR="00D059AD" w:rsidRPr="00E02273">
        <w:rPr>
          <w:lang w:val="en-CA"/>
        </w:rPr>
        <w:t xml:space="preserve"> “[The] </w:t>
      </w:r>
      <w:r w:rsidR="00D059AD" w:rsidRPr="00E02273">
        <w:rPr>
          <w:bCs/>
          <w:lang w:val="en-CA"/>
        </w:rPr>
        <w:t>Government of Canada Announces Changes to Lower Drug Price</w:t>
      </w:r>
      <w:r w:rsidR="00D059AD" w:rsidRPr="00E02273">
        <w:rPr>
          <w:lang w:val="en-CA"/>
        </w:rPr>
        <w:t>s …”.</w:t>
      </w:r>
      <w:r w:rsidR="002D51A4" w:rsidRPr="00E02273">
        <w:rPr>
          <w:rStyle w:val="Appelnotedebasdep"/>
          <w:lang w:val="en-CA"/>
        </w:rPr>
        <w:footnoteReference w:id="149"/>
      </w:r>
      <w:r w:rsidR="002D51A4" w:rsidRPr="00E02273">
        <w:rPr>
          <w:lang w:val="en-CA"/>
        </w:rPr>
        <w:t xml:space="preserve"> </w:t>
      </w:r>
      <w:r w:rsidR="00D059AD" w:rsidRPr="00E02273">
        <w:rPr>
          <w:lang w:val="en-CA"/>
        </w:rPr>
        <w:t xml:space="preserve">The </w:t>
      </w:r>
      <w:r w:rsidR="009A1682" w:rsidRPr="00E02273">
        <w:rPr>
          <w:lang w:val="en-CA"/>
        </w:rPr>
        <w:t>M</w:t>
      </w:r>
      <w:r w:rsidR="00D059AD" w:rsidRPr="00E02273">
        <w:rPr>
          <w:lang w:val="en-CA"/>
        </w:rPr>
        <w:t>inister</w:t>
      </w:r>
      <w:r w:rsidR="009A1682" w:rsidRPr="00E02273">
        <w:rPr>
          <w:lang w:val="en-CA"/>
        </w:rPr>
        <w:t xml:space="preserve"> </w:t>
      </w:r>
      <w:r w:rsidR="002D51A4" w:rsidRPr="00E02273">
        <w:rPr>
          <w:lang w:val="en-CA"/>
        </w:rPr>
        <w:t>respons</w:t>
      </w:r>
      <w:r w:rsidR="009A1682" w:rsidRPr="00E02273">
        <w:rPr>
          <w:lang w:val="en-CA"/>
        </w:rPr>
        <w:t>i</w:t>
      </w:r>
      <w:r w:rsidR="002D51A4" w:rsidRPr="00E02273">
        <w:rPr>
          <w:lang w:val="en-CA"/>
        </w:rPr>
        <w:t>ble, Ginette Petitpas Taylor, expl</w:t>
      </w:r>
      <w:r w:rsidR="009A1682" w:rsidRPr="00E02273">
        <w:rPr>
          <w:lang w:val="en-CA"/>
        </w:rPr>
        <w:t>ained that this is the rationale behind the new regulations:</w:t>
      </w:r>
      <w:r w:rsidR="002D51A4" w:rsidRPr="00E02273">
        <w:rPr>
          <w:rStyle w:val="Appelnotedebasdep"/>
          <w:lang w:val="en-CA"/>
        </w:rPr>
        <w:footnoteReference w:id="150"/>
      </w:r>
    </w:p>
    <w:p w14:paraId="193DAC5E" w14:textId="223B33AB" w:rsidR="00B568AD" w:rsidRPr="00E02273" w:rsidRDefault="004F2EC7" w:rsidP="00B568AD">
      <w:pPr>
        <w:pStyle w:val="Citationenretrait"/>
        <w:spacing w:line="240" w:lineRule="auto"/>
        <w:rPr>
          <w:lang w:val="en-CA"/>
        </w:rPr>
      </w:pPr>
      <w:r w:rsidRPr="00E02273">
        <w:rPr>
          <w:lang w:val="en-CA"/>
        </w:rPr>
        <w:t>Today, we take the biggest step to lower drug prices in a generation. Building on the progress we've already made towards lower drug prices, these bold reforms will both make prescription drugs more affordable and accessible for all Canadians—saving them an estimated $13 billion dollars in the next decade—and lay the foundation for National Pharmacare</w:t>
      </w:r>
      <w:r w:rsidR="002D51A4" w:rsidRPr="00E02273">
        <w:rPr>
          <w:lang w:val="en-CA"/>
        </w:rPr>
        <w:t>.</w:t>
      </w:r>
    </w:p>
    <w:p w14:paraId="6E0A4240" w14:textId="667B552F" w:rsidR="00B568AD" w:rsidRPr="00E02273" w:rsidRDefault="004F2EC7" w:rsidP="00C63E46">
      <w:pPr>
        <w:pStyle w:val="Paragraphe"/>
        <w:tabs>
          <w:tab w:val="clear" w:pos="4973"/>
          <w:tab w:val="num" w:pos="709"/>
        </w:tabs>
        <w:spacing w:line="240" w:lineRule="auto"/>
        <w:ind w:left="0"/>
        <w:rPr>
          <w:lang w:val="en-CA"/>
        </w:rPr>
      </w:pPr>
      <w:r w:rsidRPr="00E02273">
        <w:rPr>
          <w:lang w:val="en-CA"/>
        </w:rPr>
        <w:t xml:space="preserve">Overall, the new </w:t>
      </w:r>
      <w:r w:rsidR="002D51A4" w:rsidRPr="00E02273">
        <w:rPr>
          <w:lang w:val="en-CA"/>
        </w:rPr>
        <w:t>guidelines</w:t>
      </w:r>
      <w:r w:rsidRPr="00E02273">
        <w:rPr>
          <w:lang w:val="en-CA"/>
        </w:rPr>
        <w:t xml:space="preserve"> also clearly </w:t>
      </w:r>
      <w:r w:rsidR="00494751">
        <w:rPr>
          <w:lang w:val="en-CA"/>
        </w:rPr>
        <w:t xml:space="preserve">reveal </w:t>
      </w:r>
      <w:r w:rsidRPr="00E02273">
        <w:rPr>
          <w:lang w:val="en-CA"/>
        </w:rPr>
        <w:t xml:space="preserve">that the </w:t>
      </w:r>
      <w:r w:rsidR="00494751">
        <w:rPr>
          <w:lang w:val="en-CA"/>
        </w:rPr>
        <w:t xml:space="preserve">pursued </w:t>
      </w:r>
      <w:r w:rsidRPr="00E02273">
        <w:rPr>
          <w:lang w:val="en-CA"/>
        </w:rPr>
        <w:t xml:space="preserve">objective going forward will be to control not only </w:t>
      </w:r>
      <w:r w:rsidR="00C164E5" w:rsidRPr="00E02273">
        <w:rPr>
          <w:lang w:val="en-CA"/>
        </w:rPr>
        <w:t xml:space="preserve">the </w:t>
      </w:r>
      <w:r w:rsidRPr="00E02273">
        <w:rPr>
          <w:lang w:val="en-CA"/>
        </w:rPr>
        <w:t xml:space="preserve">excessive prices of patented medicines, but </w:t>
      </w:r>
      <w:r w:rsidR="00C164E5" w:rsidRPr="00E02273">
        <w:rPr>
          <w:lang w:val="en-CA"/>
        </w:rPr>
        <w:t xml:space="preserve">also their affordability, in particular through significant, arbitrary price reductions. That is </w:t>
      </w:r>
      <w:r w:rsidR="002D51A4" w:rsidRPr="00E02273">
        <w:rPr>
          <w:lang w:val="en-CA"/>
        </w:rPr>
        <w:t>in</w:t>
      </w:r>
      <w:r w:rsidR="00C164E5" w:rsidRPr="00E02273">
        <w:rPr>
          <w:lang w:val="en-CA"/>
        </w:rPr>
        <w:t xml:space="preserve"> </w:t>
      </w:r>
      <w:r w:rsidR="002D51A4" w:rsidRPr="00E02273">
        <w:rPr>
          <w:lang w:val="en-CA"/>
        </w:rPr>
        <w:t>fact</w:t>
      </w:r>
      <w:r w:rsidR="00C164E5" w:rsidRPr="00E02273">
        <w:rPr>
          <w:lang w:val="en-CA"/>
        </w:rPr>
        <w:t xml:space="preserve"> the very purpose of the new factors introduced by the new regulations, that is, the pharmacoeconomic value of the medicine in </w:t>
      </w:r>
      <w:r w:rsidR="002D51A4" w:rsidRPr="00E02273">
        <w:rPr>
          <w:lang w:val="en-CA"/>
        </w:rPr>
        <w:t xml:space="preserve">Canada, </w:t>
      </w:r>
      <w:r w:rsidR="00C164E5" w:rsidRPr="00E02273">
        <w:rPr>
          <w:lang w:val="en-CA"/>
        </w:rPr>
        <w:t xml:space="preserve">the size of the market for the medicine in </w:t>
      </w:r>
      <w:r w:rsidR="002D51A4" w:rsidRPr="00E02273">
        <w:rPr>
          <w:lang w:val="en-CA"/>
        </w:rPr>
        <w:t>Canada</w:t>
      </w:r>
      <w:r w:rsidR="00C164E5" w:rsidRPr="00E02273">
        <w:rPr>
          <w:lang w:val="en-CA"/>
        </w:rPr>
        <w:t xml:space="preserve">, and the gross domestic product per capita in </w:t>
      </w:r>
      <w:r w:rsidR="002D51A4" w:rsidRPr="00E02273">
        <w:rPr>
          <w:lang w:val="en-CA"/>
        </w:rPr>
        <w:t>Canada</w:t>
      </w:r>
      <w:r w:rsidR="00C164E5" w:rsidRPr="00E02273">
        <w:rPr>
          <w:lang w:val="en-CA"/>
        </w:rPr>
        <w:t>.</w:t>
      </w:r>
      <w:r w:rsidR="002D51A4" w:rsidRPr="00E02273">
        <w:rPr>
          <w:rStyle w:val="Appelnotedebasdep"/>
          <w:lang w:val="en-CA"/>
        </w:rPr>
        <w:footnoteReference w:id="151"/>
      </w:r>
      <w:r w:rsidR="002D51A4" w:rsidRPr="00E02273">
        <w:rPr>
          <w:lang w:val="en-CA"/>
        </w:rPr>
        <w:t xml:space="preserve"> </w:t>
      </w:r>
    </w:p>
    <w:p w14:paraId="1A9C829E" w14:textId="40EABF84" w:rsidR="00B568AD" w:rsidRPr="00E02273" w:rsidRDefault="007D313B" w:rsidP="00C63E46">
      <w:pPr>
        <w:pStyle w:val="Paragraphe"/>
        <w:tabs>
          <w:tab w:val="clear" w:pos="4973"/>
          <w:tab w:val="num" w:pos="851"/>
        </w:tabs>
        <w:spacing w:line="240" w:lineRule="auto"/>
        <w:ind w:left="0"/>
        <w:rPr>
          <w:lang w:val="en-CA"/>
        </w:rPr>
      </w:pPr>
      <w:r w:rsidRPr="00E02273">
        <w:rPr>
          <w:lang w:val="en-CA"/>
        </w:rPr>
        <w:t xml:space="preserve">In this regard, the Board’s new </w:t>
      </w:r>
      <w:r w:rsidR="002D51A4" w:rsidRPr="00E02273">
        <w:rPr>
          <w:lang w:val="en-CA"/>
        </w:rPr>
        <w:t>guidelines</w:t>
      </w:r>
      <w:r w:rsidRPr="00E02273">
        <w:rPr>
          <w:lang w:val="en-CA"/>
        </w:rPr>
        <w:t xml:space="preserve"> teach us that these new fact</w:t>
      </w:r>
      <w:r w:rsidR="006E4837" w:rsidRPr="00E02273">
        <w:rPr>
          <w:lang w:val="en-CA"/>
        </w:rPr>
        <w:t>o</w:t>
      </w:r>
      <w:r w:rsidRPr="00E02273">
        <w:rPr>
          <w:lang w:val="en-CA"/>
        </w:rPr>
        <w:t>rs</w:t>
      </w:r>
      <w:r w:rsidR="006E4837" w:rsidRPr="00E02273">
        <w:rPr>
          <w:lang w:val="en-CA"/>
        </w:rPr>
        <w:t xml:space="preserve"> will be used to impose arbitrary reduction caps ranging from </w:t>
      </w:r>
      <w:r w:rsidR="002D51A4" w:rsidRPr="00E02273">
        <w:rPr>
          <w:lang w:val="en-CA"/>
        </w:rPr>
        <w:t xml:space="preserve">20% </w:t>
      </w:r>
      <w:r w:rsidR="006E4837" w:rsidRPr="00E02273">
        <w:rPr>
          <w:lang w:val="en-CA"/>
        </w:rPr>
        <w:t>to</w:t>
      </w:r>
      <w:r w:rsidR="002D51A4" w:rsidRPr="00E02273">
        <w:rPr>
          <w:lang w:val="en-CA"/>
        </w:rPr>
        <w:t xml:space="preserve"> 50% (</w:t>
      </w:r>
      <w:r w:rsidR="006E4837" w:rsidRPr="00E02273">
        <w:rPr>
          <w:lang w:val="en-CA"/>
        </w:rPr>
        <w:t>depending on the</w:t>
      </w:r>
      <w:r w:rsidR="002D51A4" w:rsidRPr="00E02273">
        <w:rPr>
          <w:lang w:val="en-CA"/>
        </w:rPr>
        <w:t xml:space="preserve"> </w:t>
      </w:r>
      <w:r w:rsidR="002D51A4" w:rsidRPr="00E02273">
        <w:rPr>
          <w:lang w:val="en-CA"/>
        </w:rPr>
        <w:lastRenderedPageBreak/>
        <w:t>pharmaco</w:t>
      </w:r>
      <w:r w:rsidR="006E4837" w:rsidRPr="00E02273">
        <w:rPr>
          <w:lang w:val="en-CA"/>
        </w:rPr>
        <w:t>e</w:t>
      </w:r>
      <w:r w:rsidR="002D51A4" w:rsidRPr="00E02273">
        <w:rPr>
          <w:lang w:val="en-CA"/>
        </w:rPr>
        <w:t>conomi</w:t>
      </w:r>
      <w:r w:rsidR="006E4837" w:rsidRPr="00E02273">
        <w:rPr>
          <w:lang w:val="en-CA"/>
        </w:rPr>
        <w:t xml:space="preserve">c level </w:t>
      </w:r>
      <w:r w:rsidR="002F33F4">
        <w:rPr>
          <w:lang w:val="en-CA"/>
        </w:rPr>
        <w:t>at</w:t>
      </w:r>
      <w:r w:rsidR="006E4837" w:rsidRPr="00E02273">
        <w:rPr>
          <w:lang w:val="en-CA"/>
        </w:rPr>
        <w:t xml:space="preserve"> which they are classified</w:t>
      </w:r>
      <w:r w:rsidR="002D51A4" w:rsidRPr="00E02273">
        <w:rPr>
          <w:lang w:val="en-CA"/>
        </w:rPr>
        <w:t xml:space="preserve">) </w:t>
      </w:r>
      <w:r w:rsidR="006E4837" w:rsidRPr="00E02273">
        <w:rPr>
          <w:lang w:val="en-CA"/>
        </w:rPr>
        <w:t>on the</w:t>
      </w:r>
      <w:r w:rsidR="002D51A4" w:rsidRPr="00E02273">
        <w:rPr>
          <w:lang w:val="en-CA"/>
        </w:rPr>
        <w:t xml:space="preserve"> maximum</w:t>
      </w:r>
      <w:r w:rsidR="00477F35" w:rsidRPr="00E02273">
        <w:rPr>
          <w:lang w:val="en-CA"/>
        </w:rPr>
        <w:t xml:space="preserve"> list price of new medicines considered to be “</w:t>
      </w:r>
      <w:r w:rsidR="002D51A4" w:rsidRPr="00E02273">
        <w:rPr>
          <w:lang w:val="en-CA"/>
        </w:rPr>
        <w:t>Cat</w:t>
      </w:r>
      <w:r w:rsidR="00477F35" w:rsidRPr="00E02273">
        <w:rPr>
          <w:lang w:val="en-CA"/>
        </w:rPr>
        <w:t>e</w:t>
      </w:r>
      <w:r w:rsidR="002D51A4" w:rsidRPr="00E02273">
        <w:rPr>
          <w:lang w:val="en-CA"/>
        </w:rPr>
        <w:t>gor</w:t>
      </w:r>
      <w:r w:rsidR="00477F35" w:rsidRPr="00E02273">
        <w:rPr>
          <w:lang w:val="en-CA"/>
        </w:rPr>
        <w:t>y I”</w:t>
      </w:r>
      <w:r w:rsidR="002D51A4" w:rsidRPr="00E02273">
        <w:rPr>
          <w:lang w:val="en-CA"/>
        </w:rPr>
        <w:t>,</w:t>
      </w:r>
      <w:r w:rsidR="00477F35" w:rsidRPr="00E02273">
        <w:rPr>
          <w:lang w:val="en-CA"/>
        </w:rPr>
        <w:t xml:space="preserve"> including those whose </w:t>
      </w:r>
      <w:r w:rsidR="002D51A4" w:rsidRPr="00E02273">
        <w:rPr>
          <w:lang w:val="en-CA"/>
        </w:rPr>
        <w:t>12</w:t>
      </w:r>
      <w:r w:rsidR="00477F35" w:rsidRPr="00E02273">
        <w:rPr>
          <w:lang w:val="en-CA"/>
        </w:rPr>
        <w:t>-</w:t>
      </w:r>
      <w:r w:rsidR="002D51A4" w:rsidRPr="00E02273">
        <w:rPr>
          <w:lang w:val="en-CA"/>
        </w:rPr>
        <w:t>month</w:t>
      </w:r>
      <w:r w:rsidR="00477F35" w:rsidRPr="00E02273">
        <w:rPr>
          <w:lang w:val="en-CA"/>
        </w:rPr>
        <w:t xml:space="preserve"> treatment cost is greater than </w:t>
      </w:r>
      <w:r w:rsidR="002D51A4" w:rsidRPr="00E02273">
        <w:rPr>
          <w:lang w:val="en-CA"/>
        </w:rPr>
        <w:t xml:space="preserve">150% </w:t>
      </w:r>
      <w:r w:rsidR="00477F35" w:rsidRPr="00E02273">
        <w:rPr>
          <w:lang w:val="en-CA"/>
        </w:rPr>
        <w:t>of GDP per capita.</w:t>
      </w:r>
      <w:r w:rsidR="002D51A4" w:rsidRPr="00E02273">
        <w:rPr>
          <w:rStyle w:val="Appelnotedebasdep"/>
          <w:lang w:val="en-CA"/>
        </w:rPr>
        <w:footnoteReference w:id="152"/>
      </w:r>
      <w:r w:rsidR="002D51A4" w:rsidRPr="00E02273">
        <w:rPr>
          <w:lang w:val="en-CA"/>
        </w:rPr>
        <w:t xml:space="preserve"> </w:t>
      </w:r>
      <w:r w:rsidR="00477F35" w:rsidRPr="00E02273">
        <w:rPr>
          <w:lang w:val="en-CA"/>
        </w:rPr>
        <w:t>I</w:t>
      </w:r>
      <w:r w:rsidR="002D51A4" w:rsidRPr="00E02273">
        <w:rPr>
          <w:lang w:val="en-CA"/>
        </w:rPr>
        <w:t>n</w:t>
      </w:r>
      <w:r w:rsidR="00477F35" w:rsidRPr="00E02273">
        <w:rPr>
          <w:lang w:val="en-CA"/>
        </w:rPr>
        <w:t xml:space="preserve"> </w:t>
      </w:r>
      <w:r w:rsidR="002D51A4" w:rsidRPr="00E02273">
        <w:rPr>
          <w:lang w:val="en-CA"/>
        </w:rPr>
        <w:t>addition,</w:t>
      </w:r>
      <w:r w:rsidR="00477F35" w:rsidRPr="00E02273">
        <w:rPr>
          <w:lang w:val="en-CA"/>
        </w:rPr>
        <w:t xml:space="preserve"> these additional arbitrary downward </w:t>
      </w:r>
      <w:r w:rsidR="002D51A4" w:rsidRPr="00E02273">
        <w:rPr>
          <w:lang w:val="en-CA"/>
        </w:rPr>
        <w:t>a</w:t>
      </w:r>
      <w:r w:rsidR="00477F35" w:rsidRPr="00E02273">
        <w:rPr>
          <w:lang w:val="en-CA"/>
        </w:rPr>
        <w:t>d</w:t>
      </w:r>
      <w:r w:rsidR="002D51A4" w:rsidRPr="00E02273">
        <w:rPr>
          <w:lang w:val="en-CA"/>
        </w:rPr>
        <w:t xml:space="preserve">justments, </w:t>
      </w:r>
      <w:r w:rsidR="00AF3648" w:rsidRPr="00E02273">
        <w:rPr>
          <w:lang w:val="en-CA"/>
        </w:rPr>
        <w:t xml:space="preserve">which may be as much as </w:t>
      </w:r>
      <w:r w:rsidR="002D51A4" w:rsidRPr="00E02273">
        <w:rPr>
          <w:lang w:val="en-CA"/>
        </w:rPr>
        <w:t xml:space="preserve">25% </w:t>
      </w:r>
      <w:r w:rsidR="00AF3648" w:rsidRPr="00E02273">
        <w:rPr>
          <w:lang w:val="en-CA"/>
        </w:rPr>
        <w:t xml:space="preserve">and even </w:t>
      </w:r>
      <w:r w:rsidR="002D51A4" w:rsidRPr="00E02273">
        <w:rPr>
          <w:lang w:val="en-CA"/>
        </w:rPr>
        <w:t xml:space="preserve">35%, </w:t>
      </w:r>
      <w:r w:rsidR="00FB3E99" w:rsidRPr="00E02273">
        <w:rPr>
          <w:lang w:val="en-CA"/>
        </w:rPr>
        <w:t>may be imposed on medicines whose market size exceeds $</w:t>
      </w:r>
      <w:r w:rsidR="002D51A4" w:rsidRPr="00E02273">
        <w:rPr>
          <w:lang w:val="en-CA"/>
        </w:rPr>
        <w:t>50 million</w:t>
      </w:r>
      <w:r w:rsidR="00FB3E99" w:rsidRPr="00E02273">
        <w:rPr>
          <w:lang w:val="en-CA"/>
        </w:rPr>
        <w:t xml:space="preserve"> or $100 million annually, </w:t>
      </w:r>
      <w:r w:rsidR="002D51A4" w:rsidRPr="00E02273">
        <w:rPr>
          <w:lang w:val="en-CA"/>
        </w:rPr>
        <w:t>as</w:t>
      </w:r>
      <w:r w:rsidR="00FB3E99" w:rsidRPr="00E02273">
        <w:rPr>
          <w:lang w:val="en-CA"/>
        </w:rPr>
        <w:t xml:space="preserve"> </w:t>
      </w:r>
      <w:r w:rsidR="002D51A4" w:rsidRPr="00E02273">
        <w:rPr>
          <w:lang w:val="en-CA"/>
        </w:rPr>
        <w:t>the</w:t>
      </w:r>
      <w:r w:rsidR="00FB3E99" w:rsidRPr="00E02273">
        <w:rPr>
          <w:lang w:val="en-CA"/>
        </w:rPr>
        <w:t xml:space="preserve"> </w:t>
      </w:r>
      <w:r w:rsidR="002D51A4" w:rsidRPr="00E02273">
        <w:rPr>
          <w:lang w:val="en-CA"/>
        </w:rPr>
        <w:t>case</w:t>
      </w:r>
      <w:r w:rsidR="00FB3E99" w:rsidRPr="00E02273">
        <w:rPr>
          <w:lang w:val="en-CA"/>
        </w:rPr>
        <w:t xml:space="preserve"> </w:t>
      </w:r>
      <w:r w:rsidR="002D51A4" w:rsidRPr="00E02273">
        <w:rPr>
          <w:lang w:val="en-CA"/>
        </w:rPr>
        <w:t>may</w:t>
      </w:r>
      <w:r w:rsidR="00FB3E99" w:rsidRPr="00E02273">
        <w:rPr>
          <w:lang w:val="en-CA"/>
        </w:rPr>
        <w:t xml:space="preserve"> </w:t>
      </w:r>
      <w:r w:rsidR="002D51A4" w:rsidRPr="00E02273">
        <w:rPr>
          <w:lang w:val="en-CA"/>
        </w:rPr>
        <w:t>be</w:t>
      </w:r>
      <w:r w:rsidR="00FB3E99" w:rsidRPr="00E02273">
        <w:rPr>
          <w:lang w:val="en-CA"/>
        </w:rPr>
        <w:t>.</w:t>
      </w:r>
      <w:r w:rsidR="002D51A4" w:rsidRPr="00E02273">
        <w:rPr>
          <w:rStyle w:val="Appelnotedebasdep"/>
          <w:lang w:val="en-CA"/>
        </w:rPr>
        <w:footnoteReference w:id="153"/>
      </w:r>
      <w:r w:rsidR="002D51A4" w:rsidRPr="00E02273">
        <w:rPr>
          <w:lang w:val="en-CA"/>
        </w:rPr>
        <w:t xml:space="preserve"> </w:t>
      </w:r>
      <w:r w:rsidR="0021261A" w:rsidRPr="00E02273">
        <w:rPr>
          <w:lang w:val="en-CA"/>
        </w:rPr>
        <w:t>Again, recall that these substantial re</w:t>
      </w:r>
      <w:r w:rsidR="002D51A4" w:rsidRPr="00E02273">
        <w:rPr>
          <w:lang w:val="en-CA"/>
        </w:rPr>
        <w:t xml:space="preserve">ductions </w:t>
      </w:r>
      <w:r w:rsidR="0021261A" w:rsidRPr="00E02273">
        <w:rPr>
          <w:lang w:val="en-CA"/>
        </w:rPr>
        <w:t>will apply on prices already deemed non-</w:t>
      </w:r>
      <w:r w:rsidR="002D51A4" w:rsidRPr="00E02273">
        <w:rPr>
          <w:lang w:val="en-CA"/>
        </w:rPr>
        <w:t>excessi</w:t>
      </w:r>
      <w:r w:rsidR="00E37A40" w:rsidRPr="00E02273">
        <w:rPr>
          <w:lang w:val="en-CA"/>
        </w:rPr>
        <w:t>v</w:t>
      </w:r>
      <w:r w:rsidR="0021261A" w:rsidRPr="00E02273">
        <w:rPr>
          <w:lang w:val="en-CA"/>
        </w:rPr>
        <w:t xml:space="preserve">e on the basis of the criteria set out in the </w:t>
      </w:r>
      <w:r w:rsidR="0021261A" w:rsidRPr="00E02273">
        <w:rPr>
          <w:i/>
          <w:lang w:val="en-CA"/>
        </w:rPr>
        <w:t xml:space="preserve">Patent Act </w:t>
      </w:r>
      <w:r w:rsidR="0021261A" w:rsidRPr="00E02273">
        <w:rPr>
          <w:lang w:val="en-CA"/>
        </w:rPr>
        <w:t>itself</w:t>
      </w:r>
      <w:r w:rsidR="002D51A4" w:rsidRPr="00E02273">
        <w:rPr>
          <w:lang w:val="en-CA"/>
        </w:rPr>
        <w:t>.</w:t>
      </w:r>
    </w:p>
    <w:p w14:paraId="014BBA80" w14:textId="6D3D406A" w:rsidR="00B568AD" w:rsidRPr="00E02273" w:rsidRDefault="00E37A40" w:rsidP="00C63E46">
      <w:pPr>
        <w:pStyle w:val="Paragraphe"/>
        <w:tabs>
          <w:tab w:val="clear" w:pos="4973"/>
          <w:tab w:val="num" w:pos="851"/>
        </w:tabs>
        <w:spacing w:line="240" w:lineRule="auto"/>
        <w:ind w:left="0"/>
        <w:rPr>
          <w:lang w:val="en-CA"/>
        </w:rPr>
      </w:pPr>
      <w:r w:rsidRPr="00E02273">
        <w:rPr>
          <w:lang w:val="en-CA"/>
        </w:rPr>
        <w:t xml:space="preserve">In short, the </w:t>
      </w:r>
      <w:r w:rsidR="002D51A4" w:rsidRPr="00E02273">
        <w:rPr>
          <w:lang w:val="en-CA"/>
        </w:rPr>
        <w:t>pith</w:t>
      </w:r>
      <w:r w:rsidRPr="00E02273">
        <w:rPr>
          <w:lang w:val="en-CA"/>
        </w:rPr>
        <w:t xml:space="preserve"> </w:t>
      </w:r>
      <w:r w:rsidR="002D51A4" w:rsidRPr="00E02273">
        <w:rPr>
          <w:lang w:val="en-CA"/>
        </w:rPr>
        <w:t>and</w:t>
      </w:r>
      <w:r w:rsidRPr="00E02273">
        <w:rPr>
          <w:lang w:val="en-CA"/>
        </w:rPr>
        <w:t xml:space="preserve"> </w:t>
      </w:r>
      <w:r w:rsidR="002D51A4" w:rsidRPr="00E02273">
        <w:rPr>
          <w:lang w:val="en-CA"/>
        </w:rPr>
        <w:t>substance</w:t>
      </w:r>
      <w:r w:rsidRPr="00E02273">
        <w:rPr>
          <w:lang w:val="en-CA"/>
        </w:rPr>
        <w:t xml:space="preserve"> of the current re</w:t>
      </w:r>
      <w:r w:rsidR="002D51A4" w:rsidRPr="00E02273">
        <w:rPr>
          <w:lang w:val="en-CA"/>
        </w:rPr>
        <w:t xml:space="preserve">gime </w:t>
      </w:r>
      <w:r w:rsidRPr="00E02273">
        <w:rPr>
          <w:lang w:val="en-CA"/>
        </w:rPr>
        <w:t xml:space="preserve">is </w:t>
      </w:r>
      <w:r w:rsidR="00991EDD">
        <w:rPr>
          <w:lang w:val="en-CA"/>
        </w:rPr>
        <w:t xml:space="preserve">to </w:t>
      </w:r>
      <w:r w:rsidRPr="00E02273">
        <w:rPr>
          <w:lang w:val="en-CA"/>
        </w:rPr>
        <w:t xml:space="preserve">control </w:t>
      </w:r>
      <w:r w:rsidR="002D51A4" w:rsidRPr="00E02273">
        <w:rPr>
          <w:lang w:val="en-CA"/>
        </w:rPr>
        <w:t>excessi</w:t>
      </w:r>
      <w:r w:rsidRPr="00E02273">
        <w:rPr>
          <w:lang w:val="en-CA"/>
        </w:rPr>
        <w:t xml:space="preserve">ve prices charged for patented medicines to </w:t>
      </w:r>
      <w:r w:rsidR="00991EDD">
        <w:rPr>
          <w:lang w:val="en-CA"/>
        </w:rPr>
        <w:t>mitigate</w:t>
      </w:r>
      <w:r w:rsidR="00991EDD" w:rsidRPr="00E02273">
        <w:rPr>
          <w:lang w:val="en-CA"/>
        </w:rPr>
        <w:t xml:space="preserve"> </w:t>
      </w:r>
      <w:r w:rsidRPr="00E02273">
        <w:rPr>
          <w:lang w:val="en-CA"/>
        </w:rPr>
        <w:t xml:space="preserve">the effect </w:t>
      </w:r>
      <w:r w:rsidR="00170BFF">
        <w:rPr>
          <w:lang w:val="en-CA"/>
        </w:rPr>
        <w:t xml:space="preserve">on prices </w:t>
      </w:r>
      <w:r w:rsidRPr="00E02273">
        <w:rPr>
          <w:lang w:val="en-CA"/>
        </w:rPr>
        <w:t xml:space="preserve">of the monopoly granted by </w:t>
      </w:r>
      <w:r w:rsidR="00284C62">
        <w:rPr>
          <w:lang w:val="en-CA"/>
        </w:rPr>
        <w:t xml:space="preserve">the </w:t>
      </w:r>
      <w:r w:rsidRPr="00E02273">
        <w:rPr>
          <w:lang w:val="en-CA"/>
        </w:rPr>
        <w:t>pate</w:t>
      </w:r>
      <w:r w:rsidR="00284C62">
        <w:rPr>
          <w:lang w:val="en-CA"/>
        </w:rPr>
        <w:t>nt</w:t>
      </w:r>
      <w:r w:rsidRPr="00E02273">
        <w:rPr>
          <w:lang w:val="en-CA"/>
        </w:rPr>
        <w:t xml:space="preserve">, whereas the </w:t>
      </w:r>
      <w:r w:rsidR="002D51A4" w:rsidRPr="00E02273">
        <w:rPr>
          <w:lang w:val="en-CA"/>
        </w:rPr>
        <w:t>pith</w:t>
      </w:r>
      <w:r w:rsidRPr="00E02273">
        <w:rPr>
          <w:lang w:val="en-CA"/>
        </w:rPr>
        <w:t xml:space="preserve"> </w:t>
      </w:r>
      <w:r w:rsidR="002D51A4" w:rsidRPr="00E02273">
        <w:rPr>
          <w:lang w:val="en-CA"/>
        </w:rPr>
        <w:t>and</w:t>
      </w:r>
      <w:r w:rsidRPr="00E02273">
        <w:rPr>
          <w:lang w:val="en-CA"/>
        </w:rPr>
        <w:t xml:space="preserve"> </w:t>
      </w:r>
      <w:r w:rsidR="002D51A4" w:rsidRPr="00E02273">
        <w:rPr>
          <w:lang w:val="en-CA"/>
        </w:rPr>
        <w:t>substance</w:t>
      </w:r>
      <w:r w:rsidRPr="00E02273">
        <w:rPr>
          <w:lang w:val="en-CA"/>
        </w:rPr>
        <w:t xml:space="preserve"> of the </w:t>
      </w:r>
      <w:r w:rsidR="00866E58" w:rsidRPr="00E02273">
        <w:rPr>
          <w:i/>
          <w:lang w:val="en-CA"/>
        </w:rPr>
        <w:t>2019 Regulatory Amendments</w:t>
      </w:r>
      <w:r w:rsidR="002D51A4" w:rsidRPr="00E02273">
        <w:rPr>
          <w:i/>
          <w:lang w:val="en-CA"/>
        </w:rPr>
        <w:t xml:space="preserve"> </w:t>
      </w:r>
      <w:r w:rsidRPr="00E02273">
        <w:rPr>
          <w:lang w:val="en-CA"/>
        </w:rPr>
        <w:t>has two</w:t>
      </w:r>
      <w:r w:rsidRPr="00E02273">
        <w:rPr>
          <w:i/>
          <w:lang w:val="en-CA"/>
        </w:rPr>
        <w:t xml:space="preserve"> </w:t>
      </w:r>
      <w:r w:rsidR="002D51A4" w:rsidRPr="00E02273">
        <w:rPr>
          <w:lang w:val="en-CA"/>
        </w:rPr>
        <w:t xml:space="preserve">aspects: (a) </w:t>
      </w:r>
      <w:r w:rsidR="00322A34" w:rsidRPr="00E02273">
        <w:rPr>
          <w:lang w:val="en-CA"/>
        </w:rPr>
        <w:t>first, with the objective of reducing prices</w:t>
      </w:r>
      <w:r w:rsidR="002D51A4" w:rsidRPr="00E02273">
        <w:rPr>
          <w:lang w:val="en-CA"/>
        </w:rPr>
        <w:t>,</w:t>
      </w:r>
      <w:r w:rsidR="00322A34" w:rsidRPr="00E02273">
        <w:rPr>
          <w:lang w:val="en-CA"/>
        </w:rPr>
        <w:t xml:space="preserve"> to reinforce the existing </w:t>
      </w:r>
      <w:r w:rsidR="00284C62">
        <w:rPr>
          <w:lang w:val="en-CA"/>
        </w:rPr>
        <w:t xml:space="preserve">excessive price control </w:t>
      </w:r>
      <w:r w:rsidR="00322A34" w:rsidRPr="00E02273">
        <w:rPr>
          <w:lang w:val="en-CA"/>
        </w:rPr>
        <w:t xml:space="preserve">regime by amending the list of foreign countries used to compare prices and </w:t>
      </w:r>
      <w:r w:rsidR="00284C62">
        <w:rPr>
          <w:lang w:val="en-CA"/>
        </w:rPr>
        <w:t xml:space="preserve">by </w:t>
      </w:r>
      <w:r w:rsidR="00322A34" w:rsidRPr="00E02273">
        <w:rPr>
          <w:lang w:val="en-CA"/>
        </w:rPr>
        <w:t>taking into account the confidential rebates granted to large public insurers</w:t>
      </w:r>
      <w:r w:rsidR="002D51A4" w:rsidRPr="00E02273">
        <w:rPr>
          <w:lang w:val="en-CA"/>
        </w:rPr>
        <w:t xml:space="preserve">; </w:t>
      </w:r>
      <w:r w:rsidR="00322A34" w:rsidRPr="00E02273">
        <w:rPr>
          <w:lang w:val="en-CA"/>
        </w:rPr>
        <w:t>and</w:t>
      </w:r>
      <w:r w:rsidR="002D51A4" w:rsidRPr="00E02273">
        <w:rPr>
          <w:lang w:val="en-CA"/>
        </w:rPr>
        <w:t xml:space="preserve"> (b) </w:t>
      </w:r>
      <w:r w:rsidR="00322A34" w:rsidRPr="00E02273">
        <w:rPr>
          <w:lang w:val="en-CA"/>
        </w:rPr>
        <w:t xml:space="preserve">second, to </w:t>
      </w:r>
      <w:r w:rsidR="002D51A4" w:rsidRPr="00E02273">
        <w:rPr>
          <w:lang w:val="en-CA"/>
        </w:rPr>
        <w:t>impose</w:t>
      </w:r>
      <w:r w:rsidR="00322A34" w:rsidRPr="00E02273">
        <w:rPr>
          <w:lang w:val="en-CA"/>
        </w:rPr>
        <w:t xml:space="preserve"> significant arbitrary price red</w:t>
      </w:r>
      <w:r w:rsidR="002D51A4" w:rsidRPr="00E02273">
        <w:rPr>
          <w:lang w:val="en-CA"/>
        </w:rPr>
        <w:t xml:space="preserve">uctions </w:t>
      </w:r>
      <w:r w:rsidR="00322A34" w:rsidRPr="00E02273">
        <w:rPr>
          <w:lang w:val="en-CA"/>
        </w:rPr>
        <w:t xml:space="preserve">so that patented medicines </w:t>
      </w:r>
      <w:r w:rsidR="00284C62">
        <w:rPr>
          <w:lang w:val="en-CA"/>
        </w:rPr>
        <w:t xml:space="preserve">are </w:t>
      </w:r>
      <w:r w:rsidR="00322A34" w:rsidRPr="00E02273">
        <w:rPr>
          <w:lang w:val="en-CA"/>
        </w:rPr>
        <w:t>more affordable</w:t>
      </w:r>
      <w:r w:rsidR="002D51A4" w:rsidRPr="00E02273">
        <w:rPr>
          <w:lang w:val="en-CA"/>
        </w:rPr>
        <w:t>.</w:t>
      </w:r>
    </w:p>
    <w:p w14:paraId="513E5E78" w14:textId="3E60998C" w:rsidR="00B568AD" w:rsidRPr="00E02273" w:rsidRDefault="001268F6" w:rsidP="00C63E46">
      <w:pPr>
        <w:pStyle w:val="Paragraphe"/>
        <w:tabs>
          <w:tab w:val="clear" w:pos="4973"/>
        </w:tabs>
        <w:spacing w:line="240" w:lineRule="auto"/>
        <w:ind w:left="0"/>
        <w:rPr>
          <w:lang w:val="en-CA"/>
        </w:rPr>
      </w:pPr>
      <w:r w:rsidRPr="00E02273">
        <w:rPr>
          <w:lang w:val="en-CA"/>
        </w:rPr>
        <w:t xml:space="preserve">The </w:t>
      </w:r>
      <w:r w:rsidR="002D51A4" w:rsidRPr="00E02273">
        <w:rPr>
          <w:lang w:val="en-CA"/>
        </w:rPr>
        <w:t>characterization</w:t>
      </w:r>
      <w:r w:rsidRPr="00E02273">
        <w:rPr>
          <w:lang w:val="en-CA"/>
        </w:rPr>
        <w:t xml:space="preserve"> of the </w:t>
      </w:r>
      <w:r w:rsidR="002D51A4" w:rsidRPr="00E02273">
        <w:rPr>
          <w:lang w:val="en-CA"/>
        </w:rPr>
        <w:t>pith</w:t>
      </w:r>
      <w:r w:rsidRPr="00E02273">
        <w:rPr>
          <w:lang w:val="en-CA"/>
        </w:rPr>
        <w:t xml:space="preserve"> </w:t>
      </w:r>
      <w:r w:rsidR="002D51A4" w:rsidRPr="00E02273">
        <w:rPr>
          <w:lang w:val="en-CA"/>
        </w:rPr>
        <w:t>and</w:t>
      </w:r>
      <w:r w:rsidRPr="00E02273">
        <w:rPr>
          <w:lang w:val="en-CA"/>
        </w:rPr>
        <w:t xml:space="preserve"> </w:t>
      </w:r>
      <w:r w:rsidR="002D51A4" w:rsidRPr="00E02273">
        <w:rPr>
          <w:lang w:val="en-CA"/>
        </w:rPr>
        <w:t>substance</w:t>
      </w:r>
      <w:r w:rsidRPr="00E02273">
        <w:rPr>
          <w:lang w:val="en-CA"/>
        </w:rPr>
        <w:t xml:space="preserve"> of the existing re</w:t>
      </w:r>
      <w:r w:rsidR="002D51A4" w:rsidRPr="00E02273">
        <w:rPr>
          <w:lang w:val="en-CA"/>
        </w:rPr>
        <w:t xml:space="preserve">gime </w:t>
      </w:r>
      <w:r w:rsidRPr="00E02273">
        <w:rPr>
          <w:lang w:val="en-CA"/>
        </w:rPr>
        <w:t xml:space="preserve">and the first </w:t>
      </w:r>
      <w:r w:rsidR="00EC7001">
        <w:rPr>
          <w:lang w:val="en-CA"/>
        </w:rPr>
        <w:t>component</w:t>
      </w:r>
      <w:r w:rsidRPr="00E02273">
        <w:rPr>
          <w:lang w:val="en-CA"/>
        </w:rPr>
        <w:t xml:space="preserve"> of the </w:t>
      </w:r>
      <w:r w:rsidR="00866E58" w:rsidRPr="00E02273">
        <w:rPr>
          <w:i/>
          <w:lang w:val="en-CA"/>
        </w:rPr>
        <w:t>2019 Regulatory Amendments</w:t>
      </w:r>
      <w:r w:rsidR="002D51A4" w:rsidRPr="00E02273">
        <w:rPr>
          <w:lang w:val="en-CA"/>
        </w:rPr>
        <w:t xml:space="preserve"> </w:t>
      </w:r>
      <w:r w:rsidRPr="00E02273">
        <w:rPr>
          <w:lang w:val="en-CA"/>
        </w:rPr>
        <w:t xml:space="preserve">is essentially the same as that accepted by the </w:t>
      </w:r>
      <w:r w:rsidR="002D51A4" w:rsidRPr="00E02273">
        <w:rPr>
          <w:lang w:val="en-CA"/>
        </w:rPr>
        <w:t>trial</w:t>
      </w:r>
      <w:r w:rsidRPr="00E02273">
        <w:rPr>
          <w:lang w:val="en-CA"/>
        </w:rPr>
        <w:t xml:space="preserve"> </w:t>
      </w:r>
      <w:r w:rsidR="002D51A4" w:rsidRPr="00E02273">
        <w:rPr>
          <w:lang w:val="en-CA"/>
        </w:rPr>
        <w:t>judge.</w:t>
      </w:r>
      <w:r w:rsidRPr="00E02273">
        <w:rPr>
          <w:lang w:val="en-CA"/>
        </w:rPr>
        <w:t xml:space="preserve"> However, the </w:t>
      </w:r>
      <w:r w:rsidR="002D51A4" w:rsidRPr="00E02273">
        <w:rPr>
          <w:lang w:val="en-CA"/>
        </w:rPr>
        <w:t>characterization</w:t>
      </w:r>
      <w:r w:rsidRPr="00E02273">
        <w:rPr>
          <w:lang w:val="en-CA"/>
        </w:rPr>
        <w:t xml:space="preserve"> of the </w:t>
      </w:r>
      <w:r w:rsidR="002D51A4" w:rsidRPr="00E02273">
        <w:rPr>
          <w:lang w:val="en-CA"/>
        </w:rPr>
        <w:t>pith</w:t>
      </w:r>
      <w:r w:rsidRPr="00E02273">
        <w:rPr>
          <w:lang w:val="en-CA"/>
        </w:rPr>
        <w:t xml:space="preserve"> </w:t>
      </w:r>
      <w:r w:rsidR="002D51A4" w:rsidRPr="00E02273">
        <w:rPr>
          <w:lang w:val="en-CA"/>
        </w:rPr>
        <w:t>and</w:t>
      </w:r>
      <w:r w:rsidRPr="00E02273">
        <w:rPr>
          <w:lang w:val="en-CA"/>
        </w:rPr>
        <w:t xml:space="preserve"> </w:t>
      </w:r>
      <w:r w:rsidR="002D51A4" w:rsidRPr="00E02273">
        <w:rPr>
          <w:lang w:val="en-CA"/>
        </w:rPr>
        <w:t>substance</w:t>
      </w:r>
      <w:r w:rsidRPr="00E02273">
        <w:rPr>
          <w:lang w:val="en-CA"/>
        </w:rPr>
        <w:t xml:space="preserve"> of the s</w:t>
      </w:r>
      <w:r w:rsidR="002D51A4" w:rsidRPr="00E02273">
        <w:rPr>
          <w:lang w:val="en-CA"/>
        </w:rPr>
        <w:t xml:space="preserve">econd </w:t>
      </w:r>
      <w:r w:rsidR="00EC7001">
        <w:rPr>
          <w:lang w:val="en-CA"/>
        </w:rPr>
        <w:t>component</w:t>
      </w:r>
      <w:r w:rsidRPr="00E02273">
        <w:rPr>
          <w:lang w:val="en-CA"/>
        </w:rPr>
        <w:t xml:space="preserve"> of the </w:t>
      </w:r>
      <w:r w:rsidR="00866E58" w:rsidRPr="00E02273">
        <w:rPr>
          <w:i/>
          <w:lang w:val="en-CA"/>
        </w:rPr>
        <w:t>2019 Regulatory Amendments</w:t>
      </w:r>
      <w:r w:rsidR="002D51A4" w:rsidRPr="00E02273">
        <w:rPr>
          <w:lang w:val="en-CA"/>
        </w:rPr>
        <w:t xml:space="preserve"> diffe</w:t>
      </w:r>
      <w:r w:rsidRPr="00E02273">
        <w:rPr>
          <w:lang w:val="en-CA"/>
        </w:rPr>
        <w:t xml:space="preserve">rs from that accepted by the </w:t>
      </w:r>
      <w:r w:rsidR="002D51A4" w:rsidRPr="00E02273">
        <w:rPr>
          <w:lang w:val="en-CA"/>
        </w:rPr>
        <w:t xml:space="preserve">judge. </w:t>
      </w:r>
    </w:p>
    <w:p w14:paraId="60BB149C" w14:textId="29DA5FBF" w:rsidR="00B568AD" w:rsidRPr="00E02273" w:rsidRDefault="001268F6" w:rsidP="00C63E46">
      <w:pPr>
        <w:pStyle w:val="Paragraphe"/>
        <w:tabs>
          <w:tab w:val="clear" w:pos="4973"/>
          <w:tab w:val="num" w:pos="851"/>
        </w:tabs>
        <w:spacing w:line="240" w:lineRule="auto"/>
        <w:ind w:left="0"/>
        <w:rPr>
          <w:lang w:val="en-CA"/>
        </w:rPr>
      </w:pPr>
      <w:r w:rsidRPr="00E02273">
        <w:rPr>
          <w:lang w:val="en-CA"/>
        </w:rPr>
        <w:t xml:space="preserve">The </w:t>
      </w:r>
      <w:r w:rsidR="000D45E6" w:rsidRPr="00E02273">
        <w:rPr>
          <w:lang w:val="en-CA"/>
        </w:rPr>
        <w:t xml:space="preserve">reason for this </w:t>
      </w:r>
      <w:r w:rsidR="002D51A4" w:rsidRPr="00E02273">
        <w:rPr>
          <w:lang w:val="en-CA"/>
        </w:rPr>
        <w:t xml:space="preserve">divergence </w:t>
      </w:r>
      <w:r w:rsidR="000D45E6" w:rsidRPr="00E02273">
        <w:rPr>
          <w:lang w:val="en-CA"/>
        </w:rPr>
        <w:t xml:space="preserve">is </w:t>
      </w:r>
      <w:r w:rsidR="002D51A4" w:rsidRPr="00E02273">
        <w:rPr>
          <w:lang w:val="en-CA"/>
        </w:rPr>
        <w:t>large</w:t>
      </w:r>
      <w:r w:rsidR="000D45E6" w:rsidRPr="00E02273">
        <w:rPr>
          <w:lang w:val="en-CA"/>
        </w:rPr>
        <w:t>ly</w:t>
      </w:r>
      <w:r w:rsidR="008E3AA7" w:rsidRPr="00E02273">
        <w:rPr>
          <w:lang w:val="en-CA"/>
        </w:rPr>
        <w:t xml:space="preserve"> </w:t>
      </w:r>
      <w:r w:rsidR="000D45E6" w:rsidRPr="00E02273">
        <w:rPr>
          <w:lang w:val="en-CA"/>
        </w:rPr>
        <w:t xml:space="preserve">based on the </w:t>
      </w:r>
      <w:r w:rsidR="002D51A4" w:rsidRPr="00E02273">
        <w:rPr>
          <w:lang w:val="en-CA"/>
        </w:rPr>
        <w:t>trial</w:t>
      </w:r>
      <w:r w:rsidR="000D45E6" w:rsidRPr="00E02273">
        <w:rPr>
          <w:lang w:val="en-CA"/>
        </w:rPr>
        <w:t xml:space="preserve"> </w:t>
      </w:r>
      <w:r w:rsidR="002D51A4" w:rsidRPr="00E02273">
        <w:rPr>
          <w:lang w:val="en-CA"/>
        </w:rPr>
        <w:t>judge</w:t>
      </w:r>
      <w:r w:rsidR="000D45E6" w:rsidRPr="00E02273">
        <w:rPr>
          <w:lang w:val="en-CA"/>
        </w:rPr>
        <w:t>’s refusal to take into account in her c</w:t>
      </w:r>
      <w:r w:rsidR="002D51A4" w:rsidRPr="00E02273">
        <w:rPr>
          <w:lang w:val="en-CA"/>
        </w:rPr>
        <w:t>onstitution</w:t>
      </w:r>
      <w:r w:rsidR="000D45E6" w:rsidRPr="00E02273">
        <w:rPr>
          <w:lang w:val="en-CA"/>
        </w:rPr>
        <w:t>a</w:t>
      </w:r>
      <w:r w:rsidR="002D51A4" w:rsidRPr="00E02273">
        <w:rPr>
          <w:lang w:val="en-CA"/>
        </w:rPr>
        <w:t>l</w:t>
      </w:r>
      <w:r w:rsidR="000D45E6" w:rsidRPr="00E02273">
        <w:rPr>
          <w:lang w:val="en-CA"/>
        </w:rPr>
        <w:t xml:space="preserve"> analysis the part of the Regulatory Impact Analysis Statement concerning the purpose of the new </w:t>
      </w:r>
      <w:r w:rsidR="002D51A4" w:rsidRPr="00E02273">
        <w:rPr>
          <w:lang w:val="en-CA"/>
        </w:rPr>
        <w:t>fact</w:t>
      </w:r>
      <w:r w:rsidR="000D45E6" w:rsidRPr="00E02273">
        <w:rPr>
          <w:lang w:val="en-CA"/>
        </w:rPr>
        <w:t xml:space="preserve">ors as well as the Board’s new </w:t>
      </w:r>
      <w:r w:rsidR="002D51A4" w:rsidRPr="00E02273">
        <w:rPr>
          <w:lang w:val="en-CA"/>
        </w:rPr>
        <w:t>guidelines</w:t>
      </w:r>
      <w:r w:rsidR="000D45E6" w:rsidRPr="00E02273">
        <w:rPr>
          <w:lang w:val="en-CA"/>
        </w:rPr>
        <w:t xml:space="preserve">, which provide a detailed explanation of how these new </w:t>
      </w:r>
      <w:r w:rsidR="002D51A4" w:rsidRPr="00E02273">
        <w:rPr>
          <w:lang w:val="en-CA"/>
        </w:rPr>
        <w:t>fact</w:t>
      </w:r>
      <w:r w:rsidR="000D45E6" w:rsidRPr="00E02273">
        <w:rPr>
          <w:lang w:val="en-CA"/>
        </w:rPr>
        <w:t>ors will apply</w:t>
      </w:r>
      <w:r w:rsidR="002D51A4" w:rsidRPr="00E02273">
        <w:rPr>
          <w:lang w:val="en-CA"/>
        </w:rPr>
        <w:t xml:space="preserve">. </w:t>
      </w:r>
      <w:r w:rsidR="008E3AA7" w:rsidRPr="00E02273">
        <w:rPr>
          <w:lang w:val="en-CA"/>
        </w:rPr>
        <w:t xml:space="preserve">That being said, a review of the </w:t>
      </w:r>
      <w:r w:rsidR="002D51A4" w:rsidRPr="00E02273">
        <w:rPr>
          <w:lang w:val="en-CA"/>
        </w:rPr>
        <w:t>trial</w:t>
      </w:r>
      <w:r w:rsidR="008E3AA7" w:rsidRPr="00E02273">
        <w:rPr>
          <w:lang w:val="en-CA"/>
        </w:rPr>
        <w:t xml:space="preserve"> </w:t>
      </w:r>
      <w:r w:rsidR="002D51A4" w:rsidRPr="00E02273">
        <w:rPr>
          <w:lang w:val="en-CA"/>
        </w:rPr>
        <w:t>judge</w:t>
      </w:r>
      <w:r w:rsidR="008E3AA7" w:rsidRPr="00E02273">
        <w:rPr>
          <w:lang w:val="en-CA"/>
        </w:rPr>
        <w:t xml:space="preserve">’s reasons, taken as a whole, </w:t>
      </w:r>
      <w:r w:rsidR="00FA3D8F" w:rsidRPr="00E02273">
        <w:rPr>
          <w:lang w:val="en-CA"/>
        </w:rPr>
        <w:t xml:space="preserve">makes it clear that she would have characterized the </w:t>
      </w:r>
      <w:r w:rsidR="002D51A4" w:rsidRPr="00E02273">
        <w:rPr>
          <w:lang w:val="en-CA"/>
        </w:rPr>
        <w:t xml:space="preserve">second </w:t>
      </w:r>
      <w:r w:rsidR="00EC7001">
        <w:rPr>
          <w:lang w:val="en-CA"/>
        </w:rPr>
        <w:t>component</w:t>
      </w:r>
      <w:r w:rsidR="00FA3D8F" w:rsidRPr="00E02273">
        <w:rPr>
          <w:lang w:val="en-CA"/>
        </w:rPr>
        <w:t xml:space="preserve"> of the </w:t>
      </w:r>
      <w:r w:rsidR="00866E58" w:rsidRPr="00E02273">
        <w:rPr>
          <w:i/>
          <w:lang w:val="en-CA"/>
        </w:rPr>
        <w:t>2019 Regulatory Amendments</w:t>
      </w:r>
      <w:r w:rsidR="002D51A4" w:rsidRPr="00E02273">
        <w:rPr>
          <w:i/>
          <w:lang w:val="en-CA"/>
        </w:rPr>
        <w:t xml:space="preserve"> </w:t>
      </w:r>
      <w:r w:rsidR="00FA3D8F" w:rsidRPr="00E02273">
        <w:rPr>
          <w:lang w:val="en-CA"/>
        </w:rPr>
        <w:t xml:space="preserve">in the manner I propose </w:t>
      </w:r>
      <w:r w:rsidR="00284C62">
        <w:rPr>
          <w:lang w:val="en-CA"/>
        </w:rPr>
        <w:t xml:space="preserve">had </w:t>
      </w:r>
      <w:r w:rsidR="00FA3D8F" w:rsidRPr="00E02273">
        <w:rPr>
          <w:lang w:val="en-CA"/>
        </w:rPr>
        <w:t>she indeed taken them into account in her analysis</w:t>
      </w:r>
      <w:r w:rsidR="002D51A4" w:rsidRPr="00E02273">
        <w:rPr>
          <w:lang w:val="en-CA"/>
        </w:rPr>
        <w:t>.</w:t>
      </w:r>
      <w:r w:rsidR="00FA3D8F" w:rsidRPr="00E02273">
        <w:rPr>
          <w:lang w:val="en-CA"/>
        </w:rPr>
        <w:t xml:space="preserve"> Although the Regulatory Impact Analysis Statement, taking all its components into consideration, is itself sufficient to </w:t>
      </w:r>
      <w:r w:rsidR="002D51A4" w:rsidRPr="00E02273">
        <w:rPr>
          <w:lang w:val="en-CA"/>
        </w:rPr>
        <w:t>characteriz</w:t>
      </w:r>
      <w:r w:rsidR="00FA3D8F" w:rsidRPr="00E02273">
        <w:rPr>
          <w:lang w:val="en-CA"/>
        </w:rPr>
        <w:t xml:space="preserve">e the </w:t>
      </w:r>
      <w:r w:rsidR="002D51A4" w:rsidRPr="00E02273">
        <w:rPr>
          <w:lang w:val="en-CA"/>
        </w:rPr>
        <w:t>pith</w:t>
      </w:r>
      <w:r w:rsidR="00FA3D8F" w:rsidRPr="00E02273">
        <w:rPr>
          <w:lang w:val="en-CA"/>
        </w:rPr>
        <w:t xml:space="preserve"> </w:t>
      </w:r>
      <w:r w:rsidR="002D51A4" w:rsidRPr="00E02273">
        <w:rPr>
          <w:lang w:val="en-CA"/>
        </w:rPr>
        <w:t>and</w:t>
      </w:r>
      <w:r w:rsidR="00FA3D8F" w:rsidRPr="00E02273">
        <w:rPr>
          <w:lang w:val="en-CA"/>
        </w:rPr>
        <w:t xml:space="preserve"> </w:t>
      </w:r>
      <w:r w:rsidR="002D51A4" w:rsidRPr="00E02273">
        <w:rPr>
          <w:lang w:val="en-CA"/>
        </w:rPr>
        <w:t>substance</w:t>
      </w:r>
      <w:r w:rsidR="00FA3D8F" w:rsidRPr="00E02273">
        <w:rPr>
          <w:lang w:val="en-CA"/>
        </w:rPr>
        <w:t xml:space="preserve"> of the </w:t>
      </w:r>
      <w:r w:rsidR="002D51A4" w:rsidRPr="00E02273">
        <w:rPr>
          <w:lang w:val="en-CA"/>
        </w:rPr>
        <w:t xml:space="preserve">second </w:t>
      </w:r>
      <w:r w:rsidR="00EC7001">
        <w:rPr>
          <w:lang w:val="en-CA"/>
        </w:rPr>
        <w:t>component</w:t>
      </w:r>
      <w:r w:rsidR="00FA3D8F" w:rsidRPr="00E02273">
        <w:rPr>
          <w:lang w:val="en-CA"/>
        </w:rPr>
        <w:t xml:space="preserve"> of the </w:t>
      </w:r>
      <w:r w:rsidR="00866E58" w:rsidRPr="00E02273">
        <w:rPr>
          <w:i/>
          <w:lang w:val="en-CA"/>
        </w:rPr>
        <w:t>2019 Regulatory Amendments</w:t>
      </w:r>
      <w:r w:rsidR="002D51A4" w:rsidRPr="00E02273">
        <w:rPr>
          <w:lang w:val="en-CA"/>
        </w:rPr>
        <w:t xml:space="preserve">, </w:t>
      </w:r>
      <w:r w:rsidR="00FA3D8F" w:rsidRPr="00E02273">
        <w:rPr>
          <w:lang w:val="en-CA"/>
        </w:rPr>
        <w:t xml:space="preserve">the new </w:t>
      </w:r>
      <w:r w:rsidR="002D51A4" w:rsidRPr="00E02273">
        <w:rPr>
          <w:lang w:val="en-CA"/>
        </w:rPr>
        <w:t>guidelines confirm</w:t>
      </w:r>
      <w:r w:rsidR="00FA3D8F" w:rsidRPr="00E02273">
        <w:rPr>
          <w:lang w:val="en-CA"/>
        </w:rPr>
        <w:t xml:space="preserve"> and reinforce that </w:t>
      </w:r>
      <w:r w:rsidR="002D51A4" w:rsidRPr="00E02273">
        <w:rPr>
          <w:lang w:val="en-CA"/>
        </w:rPr>
        <w:t>characterization.</w:t>
      </w:r>
      <w:r w:rsidR="00FA3D8F" w:rsidRPr="00E02273">
        <w:rPr>
          <w:lang w:val="en-CA"/>
        </w:rPr>
        <w:t xml:space="preserve"> The </w:t>
      </w:r>
      <w:r w:rsidR="002D51A4" w:rsidRPr="00E02273">
        <w:rPr>
          <w:lang w:val="en-CA"/>
        </w:rPr>
        <w:t>trial</w:t>
      </w:r>
      <w:r w:rsidR="00FA3D8F" w:rsidRPr="00E02273">
        <w:rPr>
          <w:lang w:val="en-CA"/>
        </w:rPr>
        <w:t xml:space="preserve"> </w:t>
      </w:r>
      <w:r w:rsidR="002D51A4" w:rsidRPr="00E02273">
        <w:rPr>
          <w:lang w:val="en-CA"/>
        </w:rPr>
        <w:t>judge</w:t>
      </w:r>
      <w:r w:rsidR="00FA3D8F" w:rsidRPr="00E02273">
        <w:rPr>
          <w:lang w:val="en-CA"/>
        </w:rPr>
        <w:t xml:space="preserve"> should have taken the new </w:t>
      </w:r>
      <w:r w:rsidR="002D51A4" w:rsidRPr="00E02273">
        <w:rPr>
          <w:lang w:val="en-CA"/>
        </w:rPr>
        <w:t>guidelines</w:t>
      </w:r>
      <w:r w:rsidR="00FA3D8F" w:rsidRPr="00E02273">
        <w:rPr>
          <w:lang w:val="en-CA"/>
        </w:rPr>
        <w:t xml:space="preserve"> into account in her a</w:t>
      </w:r>
      <w:r w:rsidR="002D51A4" w:rsidRPr="00E02273">
        <w:rPr>
          <w:lang w:val="en-CA"/>
        </w:rPr>
        <w:t>nalys</w:t>
      </w:r>
      <w:r w:rsidR="00FA3D8F" w:rsidRPr="00E02273">
        <w:rPr>
          <w:lang w:val="en-CA"/>
        </w:rPr>
        <w:t xml:space="preserve">is, as </w:t>
      </w:r>
      <w:r w:rsidR="001F643D" w:rsidRPr="00E02273">
        <w:rPr>
          <w:lang w:val="en-CA"/>
        </w:rPr>
        <w:t xml:space="preserve">she in fact did </w:t>
      </w:r>
      <w:r w:rsidR="00303DB4">
        <w:rPr>
          <w:lang w:val="en-CA"/>
        </w:rPr>
        <w:t>with</w:t>
      </w:r>
      <w:r w:rsidR="00303DB4" w:rsidRPr="00E02273">
        <w:rPr>
          <w:lang w:val="en-CA"/>
        </w:rPr>
        <w:t xml:space="preserve"> </w:t>
      </w:r>
      <w:r w:rsidR="001F643D" w:rsidRPr="00E02273">
        <w:rPr>
          <w:lang w:val="en-CA"/>
        </w:rPr>
        <w:t xml:space="preserve">the current </w:t>
      </w:r>
      <w:r w:rsidR="002D51A4" w:rsidRPr="00E02273">
        <w:rPr>
          <w:lang w:val="en-CA"/>
        </w:rPr>
        <w:t>guidelines</w:t>
      </w:r>
      <w:r w:rsidR="001F643D" w:rsidRPr="00E02273">
        <w:rPr>
          <w:lang w:val="en-CA"/>
        </w:rPr>
        <w:t>.</w:t>
      </w:r>
      <w:r w:rsidR="002D51A4" w:rsidRPr="00E02273">
        <w:rPr>
          <w:rStyle w:val="Appelnotedebasdep"/>
          <w:lang w:val="en-CA"/>
        </w:rPr>
        <w:footnoteReference w:id="154"/>
      </w:r>
      <w:r w:rsidR="001F643D" w:rsidRPr="00E02273">
        <w:rPr>
          <w:lang w:val="en-CA"/>
        </w:rPr>
        <w:t xml:space="preserve"> Here is why</w:t>
      </w:r>
      <w:r w:rsidR="002D51A4" w:rsidRPr="00E02273">
        <w:rPr>
          <w:lang w:val="en-CA"/>
        </w:rPr>
        <w:t>.</w:t>
      </w:r>
    </w:p>
    <w:p w14:paraId="04128303" w14:textId="31A49E39" w:rsidR="00B568AD" w:rsidRPr="00E02273" w:rsidRDefault="00F17D31" w:rsidP="00C63E46">
      <w:pPr>
        <w:pStyle w:val="Paragraphe"/>
        <w:tabs>
          <w:tab w:val="clear" w:pos="4973"/>
          <w:tab w:val="num" w:pos="851"/>
        </w:tabs>
        <w:spacing w:line="240" w:lineRule="auto"/>
        <w:ind w:left="0"/>
        <w:rPr>
          <w:lang w:val="en-CA"/>
        </w:rPr>
      </w:pPr>
      <w:r w:rsidRPr="00E02273">
        <w:rPr>
          <w:lang w:val="en-CA"/>
        </w:rPr>
        <w:t xml:space="preserve">First, the Federal </w:t>
      </w:r>
      <w:r w:rsidR="002D51A4" w:rsidRPr="00E02273">
        <w:rPr>
          <w:lang w:val="en-CA"/>
        </w:rPr>
        <w:t>Cour</w:t>
      </w:r>
      <w:r w:rsidRPr="00E02273">
        <w:rPr>
          <w:lang w:val="en-CA"/>
        </w:rPr>
        <w:t>t of Appeal reminded us in</w:t>
      </w:r>
      <w:r w:rsidR="00E55D2E" w:rsidRPr="00E02273">
        <w:rPr>
          <w:lang w:val="en-CA"/>
        </w:rPr>
        <w:t xml:space="preserve"> 2021</w:t>
      </w:r>
      <w:r w:rsidR="00303DB4">
        <w:rPr>
          <w:lang w:val="en-CA"/>
        </w:rPr>
        <w:t>,</w:t>
      </w:r>
      <w:r w:rsidR="00E55D2E" w:rsidRPr="00E02273">
        <w:rPr>
          <w:lang w:val="en-CA"/>
        </w:rPr>
        <w:t xml:space="preserve"> in</w:t>
      </w:r>
      <w:r w:rsidRPr="00E02273">
        <w:rPr>
          <w:lang w:val="en-CA"/>
        </w:rPr>
        <w:t xml:space="preserve"> </w:t>
      </w:r>
      <w:r w:rsidR="002D51A4" w:rsidRPr="00E02273">
        <w:rPr>
          <w:i/>
          <w:lang w:val="en-CA"/>
        </w:rPr>
        <w:t>Alexion Pharmaceuticals</w:t>
      </w:r>
      <w:r w:rsidRPr="00E02273">
        <w:rPr>
          <w:lang w:val="en-CA"/>
        </w:rPr>
        <w:t xml:space="preserve">, that although the </w:t>
      </w:r>
      <w:r w:rsidR="002D51A4" w:rsidRPr="00E02273">
        <w:rPr>
          <w:lang w:val="en-CA"/>
        </w:rPr>
        <w:t>guidelines</w:t>
      </w:r>
      <w:r w:rsidRPr="00E02273">
        <w:rPr>
          <w:lang w:val="en-CA"/>
        </w:rPr>
        <w:t xml:space="preserve"> are not formally binding, the Board cannot </w:t>
      </w:r>
      <w:r w:rsidR="00AB6959">
        <w:rPr>
          <w:lang w:val="en-CA"/>
        </w:rPr>
        <w:t>set them aside</w:t>
      </w:r>
      <w:r w:rsidRPr="00E02273">
        <w:rPr>
          <w:lang w:val="en-CA"/>
        </w:rPr>
        <w:t xml:space="preserve"> without</w:t>
      </w:r>
      <w:r w:rsidR="002D51A4" w:rsidRPr="00E02273">
        <w:rPr>
          <w:lang w:val="en-CA"/>
        </w:rPr>
        <w:t xml:space="preserve"> justification</w:t>
      </w:r>
      <w:r w:rsidRPr="00E02273">
        <w:rPr>
          <w:lang w:val="en-CA"/>
        </w:rPr>
        <w:t>.</w:t>
      </w:r>
      <w:r w:rsidR="002D51A4" w:rsidRPr="00E02273">
        <w:rPr>
          <w:rStyle w:val="Appelnotedebasdep"/>
          <w:lang w:val="en-CA"/>
        </w:rPr>
        <w:footnoteReference w:id="155"/>
      </w:r>
      <w:r w:rsidR="002D51A4" w:rsidRPr="00E02273">
        <w:rPr>
          <w:lang w:val="en-CA"/>
        </w:rPr>
        <w:t xml:space="preserve"> </w:t>
      </w:r>
      <w:r w:rsidRPr="00E02273">
        <w:rPr>
          <w:lang w:val="en-CA"/>
        </w:rPr>
        <w:t xml:space="preserve">The new </w:t>
      </w:r>
      <w:r w:rsidR="002D51A4" w:rsidRPr="00E02273">
        <w:rPr>
          <w:lang w:val="en-CA"/>
        </w:rPr>
        <w:t>guidelines</w:t>
      </w:r>
      <w:r w:rsidRPr="00E02273">
        <w:rPr>
          <w:lang w:val="en-CA"/>
        </w:rPr>
        <w:t xml:space="preserve"> are therefore very </w:t>
      </w:r>
      <w:r w:rsidR="002D51A4" w:rsidRPr="00E02273">
        <w:rPr>
          <w:lang w:val="en-CA"/>
        </w:rPr>
        <w:t>important</w:t>
      </w:r>
      <w:r w:rsidRPr="00E02273">
        <w:rPr>
          <w:lang w:val="en-CA"/>
        </w:rPr>
        <w:t xml:space="preserve"> and </w:t>
      </w:r>
      <w:r w:rsidR="002D51A4" w:rsidRPr="00E02273">
        <w:rPr>
          <w:lang w:val="en-CA"/>
        </w:rPr>
        <w:t>particul</w:t>
      </w:r>
      <w:r w:rsidRPr="00E02273">
        <w:rPr>
          <w:lang w:val="en-CA"/>
        </w:rPr>
        <w:t>arly useful in</w:t>
      </w:r>
      <w:r w:rsidR="00AB6959">
        <w:rPr>
          <w:lang w:val="en-CA"/>
        </w:rPr>
        <w:t xml:space="preserve"> identifying</w:t>
      </w:r>
      <w:r w:rsidRPr="00E02273">
        <w:rPr>
          <w:lang w:val="en-CA"/>
        </w:rPr>
        <w:t xml:space="preserve"> the </w:t>
      </w:r>
      <w:r w:rsidR="002D51A4" w:rsidRPr="00E02273">
        <w:rPr>
          <w:lang w:val="en-CA"/>
        </w:rPr>
        <w:t>pith</w:t>
      </w:r>
      <w:r w:rsidRPr="00E02273">
        <w:rPr>
          <w:lang w:val="en-CA"/>
        </w:rPr>
        <w:t xml:space="preserve"> </w:t>
      </w:r>
      <w:r w:rsidR="002D51A4" w:rsidRPr="00E02273">
        <w:rPr>
          <w:lang w:val="en-CA"/>
        </w:rPr>
        <w:t>and</w:t>
      </w:r>
      <w:r w:rsidRPr="00E02273">
        <w:rPr>
          <w:lang w:val="en-CA"/>
        </w:rPr>
        <w:t xml:space="preserve"> </w:t>
      </w:r>
      <w:r w:rsidR="002D51A4" w:rsidRPr="00E02273">
        <w:rPr>
          <w:lang w:val="en-CA"/>
        </w:rPr>
        <w:t xml:space="preserve">substance </w:t>
      </w:r>
      <w:r w:rsidRPr="00E02273">
        <w:rPr>
          <w:lang w:val="en-CA"/>
        </w:rPr>
        <w:t xml:space="preserve">of the </w:t>
      </w:r>
      <w:r w:rsidR="00866E58" w:rsidRPr="00E02273">
        <w:rPr>
          <w:i/>
          <w:lang w:val="en-CA"/>
        </w:rPr>
        <w:t xml:space="preserve">2019 Regulatory </w:t>
      </w:r>
      <w:r w:rsidR="00866E58" w:rsidRPr="00E02273">
        <w:rPr>
          <w:i/>
          <w:lang w:val="en-CA"/>
        </w:rPr>
        <w:lastRenderedPageBreak/>
        <w:t>Amendments</w:t>
      </w:r>
      <w:r w:rsidR="002D51A4" w:rsidRPr="00E02273">
        <w:rPr>
          <w:lang w:val="en-CA"/>
        </w:rPr>
        <w:t xml:space="preserve"> </w:t>
      </w:r>
      <w:r w:rsidRPr="00E02273">
        <w:rPr>
          <w:lang w:val="en-CA"/>
        </w:rPr>
        <w:t xml:space="preserve">because they reflect their practical effects, which are in fact repeated in </w:t>
      </w:r>
      <w:r w:rsidR="00303DB4">
        <w:rPr>
          <w:lang w:val="en-CA"/>
        </w:rPr>
        <w:t xml:space="preserve">many </w:t>
      </w:r>
      <w:r w:rsidR="00303DB4" w:rsidRPr="00E02273">
        <w:rPr>
          <w:lang w:val="en-CA"/>
        </w:rPr>
        <w:t xml:space="preserve">passages </w:t>
      </w:r>
      <w:r w:rsidR="00303DB4">
        <w:rPr>
          <w:lang w:val="en-CA"/>
        </w:rPr>
        <w:t xml:space="preserve">of </w:t>
      </w:r>
      <w:r w:rsidRPr="00E02273">
        <w:rPr>
          <w:lang w:val="en-CA"/>
        </w:rPr>
        <w:t xml:space="preserve">the Regulatory Impact Analysis Statement that were not addressed by the </w:t>
      </w:r>
      <w:r w:rsidR="002D51A4" w:rsidRPr="00E02273">
        <w:rPr>
          <w:lang w:val="en-CA"/>
        </w:rPr>
        <w:t>judge.</w:t>
      </w:r>
    </w:p>
    <w:p w14:paraId="5538B180" w14:textId="196B0EFD" w:rsidR="00B568AD" w:rsidRPr="00E02273" w:rsidRDefault="00FD25D0" w:rsidP="00C63E46">
      <w:pPr>
        <w:pStyle w:val="Paragraphe"/>
        <w:tabs>
          <w:tab w:val="clear" w:pos="4973"/>
          <w:tab w:val="num" w:pos="851"/>
        </w:tabs>
        <w:spacing w:line="240" w:lineRule="auto"/>
        <w:ind w:left="0"/>
        <w:rPr>
          <w:lang w:val="en-CA"/>
        </w:rPr>
      </w:pPr>
      <w:r w:rsidRPr="00E02273">
        <w:rPr>
          <w:lang w:val="en-CA"/>
        </w:rPr>
        <w:t>I</w:t>
      </w:r>
      <w:r w:rsidR="002D51A4" w:rsidRPr="00E02273">
        <w:rPr>
          <w:lang w:val="en-CA"/>
        </w:rPr>
        <w:t>n</w:t>
      </w:r>
      <w:r w:rsidRPr="00E02273">
        <w:rPr>
          <w:lang w:val="en-CA"/>
        </w:rPr>
        <w:t xml:space="preserve"> </w:t>
      </w:r>
      <w:r w:rsidR="002D51A4" w:rsidRPr="00E02273">
        <w:rPr>
          <w:lang w:val="en-CA"/>
        </w:rPr>
        <w:t>addition,</w:t>
      </w:r>
      <w:r w:rsidRPr="00E02273">
        <w:rPr>
          <w:lang w:val="en-CA"/>
        </w:rPr>
        <w:t xml:space="preserve"> these are not simply internal </w:t>
      </w:r>
      <w:r w:rsidR="002D51A4" w:rsidRPr="00E02273">
        <w:rPr>
          <w:lang w:val="en-CA"/>
        </w:rPr>
        <w:t>administrative</w:t>
      </w:r>
      <w:r w:rsidRPr="00E02273">
        <w:rPr>
          <w:lang w:val="en-CA"/>
        </w:rPr>
        <w:t xml:space="preserve"> rules o</w:t>
      </w:r>
      <w:r w:rsidR="00303DB4">
        <w:rPr>
          <w:lang w:val="en-CA"/>
        </w:rPr>
        <w:t>r</w:t>
      </w:r>
      <w:r w:rsidRPr="00E02273">
        <w:rPr>
          <w:lang w:val="en-CA"/>
        </w:rPr>
        <w:t xml:space="preserve"> vague general </w:t>
      </w:r>
      <w:r w:rsidR="00BC35BA" w:rsidRPr="00E02273">
        <w:rPr>
          <w:lang w:val="en-CA"/>
        </w:rPr>
        <w:t>principles. On the contrary, although they are non-binding</w:t>
      </w:r>
      <w:r w:rsidR="002D51A4" w:rsidRPr="00E02273">
        <w:rPr>
          <w:lang w:val="en-CA"/>
        </w:rPr>
        <w:t>,</w:t>
      </w:r>
      <w:r w:rsidR="00BC35BA" w:rsidRPr="00E02273">
        <w:rPr>
          <w:lang w:val="en-CA"/>
        </w:rPr>
        <w:t xml:space="preserve"> the Board’s </w:t>
      </w:r>
      <w:r w:rsidR="002D51A4" w:rsidRPr="00E02273">
        <w:rPr>
          <w:lang w:val="en-CA"/>
        </w:rPr>
        <w:t>guidelines</w:t>
      </w:r>
      <w:r w:rsidR="00BC35BA" w:rsidRPr="00E02273">
        <w:rPr>
          <w:lang w:val="en-CA"/>
        </w:rPr>
        <w:t xml:space="preserve"> are </w:t>
      </w:r>
      <w:r w:rsidR="00303DB4">
        <w:rPr>
          <w:lang w:val="en-CA"/>
        </w:rPr>
        <w:t>prescribed</w:t>
      </w:r>
      <w:r w:rsidR="00BC35BA" w:rsidRPr="00E02273">
        <w:rPr>
          <w:lang w:val="en-CA"/>
        </w:rPr>
        <w:t xml:space="preserve"> by the </w:t>
      </w:r>
      <w:r w:rsidR="00BC35BA" w:rsidRPr="00E02273">
        <w:rPr>
          <w:i/>
          <w:lang w:val="en-CA"/>
        </w:rPr>
        <w:t xml:space="preserve">Patent Act </w:t>
      </w:r>
      <w:r w:rsidR="00BC35BA" w:rsidRPr="00E02273">
        <w:rPr>
          <w:lang w:val="en-CA"/>
        </w:rPr>
        <w:t>and are at the hear</w:t>
      </w:r>
      <w:r w:rsidR="00303DB4">
        <w:rPr>
          <w:lang w:val="en-CA"/>
        </w:rPr>
        <w:t>t</w:t>
      </w:r>
      <w:r w:rsidR="00BC35BA" w:rsidRPr="00E02273">
        <w:rPr>
          <w:lang w:val="en-CA"/>
        </w:rPr>
        <w:t xml:space="preserve"> of the excessive price control regime administered by the Board</w:t>
      </w:r>
      <w:r w:rsidR="002D51A4" w:rsidRPr="00E02273">
        <w:rPr>
          <w:lang w:val="en-CA"/>
        </w:rPr>
        <w:t xml:space="preserve">. </w:t>
      </w:r>
      <w:r w:rsidR="008C2E54" w:rsidRPr="00E02273">
        <w:rPr>
          <w:lang w:val="en-CA"/>
        </w:rPr>
        <w:t xml:space="preserve">As noted above, the </w:t>
      </w:r>
      <w:r w:rsidR="002D51A4" w:rsidRPr="00E02273">
        <w:rPr>
          <w:lang w:val="en-CA"/>
        </w:rPr>
        <w:t xml:space="preserve">guidelines </w:t>
      </w:r>
      <w:r w:rsidR="008C2E54" w:rsidRPr="00E02273">
        <w:rPr>
          <w:lang w:val="en-CA"/>
        </w:rPr>
        <w:t xml:space="preserve">are of such </w:t>
      </w:r>
      <w:r w:rsidR="002D51A4" w:rsidRPr="00E02273">
        <w:rPr>
          <w:lang w:val="en-CA"/>
        </w:rPr>
        <w:t xml:space="preserve">importance </w:t>
      </w:r>
      <w:r w:rsidR="008C2E54" w:rsidRPr="00E02273">
        <w:rPr>
          <w:lang w:val="en-CA"/>
        </w:rPr>
        <w:t xml:space="preserve">that the Board cannot adopt them without </w:t>
      </w:r>
      <w:r w:rsidR="002D51A4" w:rsidRPr="00E02273">
        <w:rPr>
          <w:lang w:val="en-CA"/>
        </w:rPr>
        <w:t>consult</w:t>
      </w:r>
      <w:r w:rsidR="008C2E54" w:rsidRPr="00E02273">
        <w:rPr>
          <w:lang w:val="en-CA"/>
        </w:rPr>
        <w:t xml:space="preserve">ing the federal </w:t>
      </w:r>
      <w:r w:rsidR="002D51A4" w:rsidRPr="00E02273">
        <w:rPr>
          <w:lang w:val="en-CA"/>
        </w:rPr>
        <w:t>minister respons</w:t>
      </w:r>
      <w:r w:rsidR="008C2E54" w:rsidRPr="00E02273">
        <w:rPr>
          <w:lang w:val="en-CA"/>
        </w:rPr>
        <w:t>i</w:t>
      </w:r>
      <w:r w:rsidR="002D51A4" w:rsidRPr="00E02273">
        <w:rPr>
          <w:lang w:val="en-CA"/>
        </w:rPr>
        <w:t xml:space="preserve">ble, </w:t>
      </w:r>
      <w:r w:rsidR="008C2E54" w:rsidRPr="00E02273">
        <w:rPr>
          <w:lang w:val="en-CA"/>
        </w:rPr>
        <w:t xml:space="preserve">all of the provincial health </w:t>
      </w:r>
      <w:r w:rsidR="002D51A4" w:rsidRPr="00E02273">
        <w:rPr>
          <w:lang w:val="en-CA"/>
        </w:rPr>
        <w:t>ministers,</w:t>
      </w:r>
      <w:r w:rsidR="008C2E54" w:rsidRPr="00E02273">
        <w:rPr>
          <w:lang w:val="en-CA"/>
        </w:rPr>
        <w:t xml:space="preserve"> and representatives of consumer </w:t>
      </w:r>
      <w:r w:rsidR="002D51A4" w:rsidRPr="00E02273">
        <w:rPr>
          <w:lang w:val="en-CA"/>
        </w:rPr>
        <w:t>groups</w:t>
      </w:r>
      <w:r w:rsidR="008C2E54" w:rsidRPr="00E02273">
        <w:rPr>
          <w:lang w:val="en-CA"/>
        </w:rPr>
        <w:t xml:space="preserve"> and the pharmaceutical industry in accordance with a process </w:t>
      </w:r>
      <w:r w:rsidR="002D51A4" w:rsidRPr="00E02273">
        <w:rPr>
          <w:lang w:val="en-CA"/>
        </w:rPr>
        <w:t>similar</w:t>
      </w:r>
      <w:r w:rsidR="008C2E54" w:rsidRPr="00E02273">
        <w:rPr>
          <w:lang w:val="en-CA"/>
        </w:rPr>
        <w:t xml:space="preserve"> to the one set out in the </w:t>
      </w:r>
      <w:r w:rsidR="008C2E54" w:rsidRPr="00E02273">
        <w:rPr>
          <w:i/>
          <w:lang w:val="en-CA"/>
        </w:rPr>
        <w:t xml:space="preserve">Patent Act </w:t>
      </w:r>
      <w:r w:rsidR="008C2E54" w:rsidRPr="00E02273">
        <w:rPr>
          <w:lang w:val="en-CA"/>
        </w:rPr>
        <w:t xml:space="preserve">for the </w:t>
      </w:r>
      <w:r w:rsidR="002D51A4" w:rsidRPr="00E02273">
        <w:rPr>
          <w:lang w:val="en-CA"/>
        </w:rPr>
        <w:t>adoption</w:t>
      </w:r>
      <w:r w:rsidR="008C2E54" w:rsidRPr="00E02273">
        <w:rPr>
          <w:lang w:val="en-CA"/>
        </w:rPr>
        <w:t xml:space="preserve"> by the G</w:t>
      </w:r>
      <w:r w:rsidR="002D51A4" w:rsidRPr="00E02273">
        <w:rPr>
          <w:lang w:val="en-CA"/>
        </w:rPr>
        <w:t>overn</w:t>
      </w:r>
      <w:r w:rsidR="008C2E54" w:rsidRPr="00E02273">
        <w:rPr>
          <w:lang w:val="en-CA"/>
        </w:rPr>
        <w:t>or in C</w:t>
      </w:r>
      <w:r w:rsidR="002D51A4" w:rsidRPr="00E02273">
        <w:rPr>
          <w:lang w:val="en-CA"/>
        </w:rPr>
        <w:t>ouncil</w:t>
      </w:r>
      <w:r w:rsidR="008C2E54" w:rsidRPr="00E02273">
        <w:rPr>
          <w:lang w:val="en-CA"/>
        </w:rPr>
        <w:t xml:space="preserve"> of important regulations </w:t>
      </w:r>
      <w:r w:rsidR="0043130C" w:rsidRPr="00E02273">
        <w:rPr>
          <w:lang w:val="en-CA"/>
        </w:rPr>
        <w:t>governing the regime</w:t>
      </w:r>
      <w:r w:rsidR="002D51A4" w:rsidRPr="00E02273">
        <w:rPr>
          <w:lang w:val="en-CA"/>
        </w:rPr>
        <w:t>.</w:t>
      </w:r>
    </w:p>
    <w:p w14:paraId="7AFE6A2A" w14:textId="3ECA30FC" w:rsidR="00B568AD" w:rsidRPr="00E02273" w:rsidRDefault="00356ECC" w:rsidP="00D57A2A">
      <w:pPr>
        <w:pStyle w:val="Paragraphe"/>
        <w:tabs>
          <w:tab w:val="clear" w:pos="4973"/>
          <w:tab w:val="num" w:pos="851"/>
        </w:tabs>
        <w:spacing w:line="240" w:lineRule="auto"/>
        <w:ind w:left="0"/>
        <w:rPr>
          <w:lang w:val="en-CA"/>
        </w:rPr>
      </w:pPr>
      <w:r w:rsidRPr="00E02273">
        <w:rPr>
          <w:lang w:val="en-CA"/>
        </w:rPr>
        <w:t xml:space="preserve">In this </w:t>
      </w:r>
      <w:r w:rsidR="002D51A4" w:rsidRPr="00E02273">
        <w:rPr>
          <w:lang w:val="en-CA"/>
        </w:rPr>
        <w:t>re</w:t>
      </w:r>
      <w:r w:rsidRPr="00E02273">
        <w:rPr>
          <w:lang w:val="en-CA"/>
        </w:rPr>
        <w:t>gard</w:t>
      </w:r>
      <w:r w:rsidR="002D51A4" w:rsidRPr="00E02273">
        <w:rPr>
          <w:lang w:val="en-CA"/>
        </w:rPr>
        <w:t xml:space="preserve">, </w:t>
      </w:r>
      <w:r w:rsidR="002D51A4" w:rsidRPr="00E02273">
        <w:rPr>
          <w:i/>
          <w:lang w:val="en-CA"/>
        </w:rPr>
        <w:t>Little Sisters</w:t>
      </w:r>
      <w:r w:rsidRPr="00E02273">
        <w:rPr>
          <w:lang w:val="en-CA"/>
        </w:rPr>
        <w:t>,</w:t>
      </w:r>
      <w:r w:rsidR="002D51A4" w:rsidRPr="00E02273">
        <w:rPr>
          <w:rStyle w:val="Appelnotedebasdep"/>
          <w:lang w:val="en-CA"/>
        </w:rPr>
        <w:footnoteReference w:id="156"/>
      </w:r>
      <w:r w:rsidR="002D51A4" w:rsidRPr="00E02273">
        <w:rPr>
          <w:i/>
          <w:lang w:val="en-CA"/>
        </w:rPr>
        <w:t xml:space="preserve"> </w:t>
      </w:r>
      <w:r w:rsidRPr="00E02273">
        <w:rPr>
          <w:lang w:val="en-CA"/>
        </w:rPr>
        <w:t xml:space="preserve">on which the </w:t>
      </w:r>
      <w:r w:rsidR="002D51A4" w:rsidRPr="00E02273">
        <w:rPr>
          <w:lang w:val="en-CA"/>
        </w:rPr>
        <w:t>trial</w:t>
      </w:r>
      <w:r w:rsidRPr="00E02273">
        <w:rPr>
          <w:lang w:val="en-CA"/>
        </w:rPr>
        <w:t xml:space="preserve"> </w:t>
      </w:r>
      <w:r w:rsidR="002D51A4" w:rsidRPr="00E02273">
        <w:rPr>
          <w:lang w:val="en-CA"/>
        </w:rPr>
        <w:t>judge</w:t>
      </w:r>
      <w:r w:rsidR="00780FDC" w:rsidRPr="00E02273">
        <w:rPr>
          <w:lang w:val="en-CA"/>
        </w:rPr>
        <w:t xml:space="preserve"> relied to </w:t>
      </w:r>
      <w:r w:rsidR="003D2B85">
        <w:rPr>
          <w:lang w:val="en-CA"/>
        </w:rPr>
        <w:t xml:space="preserve">exclude </w:t>
      </w:r>
      <w:r w:rsidR="00780FDC" w:rsidRPr="00E02273">
        <w:rPr>
          <w:lang w:val="en-CA"/>
        </w:rPr>
        <w:t xml:space="preserve">the </w:t>
      </w:r>
      <w:r w:rsidR="002D51A4" w:rsidRPr="00E02273">
        <w:rPr>
          <w:lang w:val="en-CA"/>
        </w:rPr>
        <w:t>guidelines</w:t>
      </w:r>
      <w:r w:rsidR="00780FDC" w:rsidRPr="00E02273">
        <w:rPr>
          <w:lang w:val="en-CA"/>
        </w:rPr>
        <w:t xml:space="preserve"> from her analysis</w:t>
      </w:r>
      <w:r w:rsidR="002D51A4" w:rsidRPr="00E02273">
        <w:rPr>
          <w:lang w:val="en-CA"/>
        </w:rPr>
        <w:t>,</w:t>
      </w:r>
      <w:r w:rsidR="00780FDC" w:rsidRPr="00E02273">
        <w:rPr>
          <w:lang w:val="en-CA"/>
        </w:rPr>
        <w:t xml:space="preserve"> does not have the scope she gave it. That judgment</w:t>
      </w:r>
      <w:r w:rsidR="008D772A" w:rsidRPr="00E02273">
        <w:rPr>
          <w:lang w:val="en-CA"/>
        </w:rPr>
        <w:t xml:space="preserve"> concerns the </w:t>
      </w:r>
      <w:r w:rsidR="002D51A4" w:rsidRPr="00E02273">
        <w:rPr>
          <w:lang w:val="en-CA"/>
        </w:rPr>
        <w:t xml:space="preserve">violation </w:t>
      </w:r>
      <w:r w:rsidR="008D772A" w:rsidRPr="00E02273">
        <w:rPr>
          <w:lang w:val="en-CA"/>
        </w:rPr>
        <w:t xml:space="preserve">of </w:t>
      </w:r>
      <w:r w:rsidR="002D51A4" w:rsidRPr="00E02273">
        <w:rPr>
          <w:lang w:val="en-CA"/>
        </w:rPr>
        <w:t>fundamental</w:t>
      </w:r>
      <w:r w:rsidR="008D772A" w:rsidRPr="00E02273">
        <w:rPr>
          <w:lang w:val="en-CA"/>
        </w:rPr>
        <w:t xml:space="preserve"> </w:t>
      </w:r>
      <w:r w:rsidR="002D51A4" w:rsidRPr="00E02273">
        <w:rPr>
          <w:lang w:val="en-CA"/>
        </w:rPr>
        <w:t>rights g</w:t>
      </w:r>
      <w:r w:rsidR="008D772A" w:rsidRPr="00E02273">
        <w:rPr>
          <w:lang w:val="en-CA"/>
        </w:rPr>
        <w:t>u</w:t>
      </w:r>
      <w:r w:rsidR="002D51A4" w:rsidRPr="00E02273">
        <w:rPr>
          <w:lang w:val="en-CA"/>
        </w:rPr>
        <w:t>arant</w:t>
      </w:r>
      <w:r w:rsidR="008D772A" w:rsidRPr="00E02273">
        <w:rPr>
          <w:lang w:val="en-CA"/>
        </w:rPr>
        <w:t xml:space="preserve">eed by the </w:t>
      </w:r>
      <w:r w:rsidR="002D51A4" w:rsidRPr="00E02273">
        <w:rPr>
          <w:i/>
          <w:lang w:val="en-CA"/>
        </w:rPr>
        <w:t>Canadian</w:t>
      </w:r>
      <w:r w:rsidR="008D772A" w:rsidRPr="00E02273">
        <w:rPr>
          <w:i/>
          <w:lang w:val="en-CA"/>
        </w:rPr>
        <w:t xml:space="preserve"> </w:t>
      </w:r>
      <w:r w:rsidR="002D51A4" w:rsidRPr="00E02273">
        <w:rPr>
          <w:i/>
          <w:lang w:val="en-CA"/>
        </w:rPr>
        <w:t>Charter</w:t>
      </w:r>
      <w:r w:rsidR="008D772A" w:rsidRPr="00E02273">
        <w:rPr>
          <w:i/>
          <w:lang w:val="en-CA"/>
        </w:rPr>
        <w:t xml:space="preserve"> </w:t>
      </w:r>
      <w:r w:rsidR="002D51A4" w:rsidRPr="00E02273">
        <w:rPr>
          <w:i/>
          <w:lang w:val="en-CA"/>
        </w:rPr>
        <w:t>of</w:t>
      </w:r>
      <w:r w:rsidR="008D772A" w:rsidRPr="00E02273">
        <w:rPr>
          <w:i/>
          <w:lang w:val="en-CA"/>
        </w:rPr>
        <w:t xml:space="preserve"> </w:t>
      </w:r>
      <w:r w:rsidR="002D51A4" w:rsidRPr="00E02273">
        <w:rPr>
          <w:i/>
          <w:lang w:val="en-CA"/>
        </w:rPr>
        <w:t>Rights</w:t>
      </w:r>
      <w:r w:rsidR="008D772A" w:rsidRPr="00E02273">
        <w:rPr>
          <w:i/>
          <w:lang w:val="en-CA"/>
        </w:rPr>
        <w:t xml:space="preserve"> </w:t>
      </w:r>
      <w:r w:rsidR="002D51A4" w:rsidRPr="00E02273">
        <w:rPr>
          <w:i/>
          <w:lang w:val="en-CA"/>
        </w:rPr>
        <w:t>and</w:t>
      </w:r>
      <w:r w:rsidR="008D772A" w:rsidRPr="00E02273">
        <w:rPr>
          <w:i/>
          <w:lang w:val="en-CA"/>
        </w:rPr>
        <w:t xml:space="preserve"> </w:t>
      </w:r>
      <w:r w:rsidR="002D51A4" w:rsidRPr="00E02273">
        <w:rPr>
          <w:i/>
          <w:lang w:val="en-CA"/>
        </w:rPr>
        <w:t>Freedoms</w:t>
      </w:r>
      <w:r w:rsidR="002D51A4" w:rsidRPr="00E02273">
        <w:rPr>
          <w:lang w:val="en-CA"/>
        </w:rPr>
        <w:t xml:space="preserve"> (</w:t>
      </w:r>
      <w:r w:rsidR="008D772A" w:rsidRPr="00E02273">
        <w:rPr>
          <w:lang w:val="en-CA"/>
        </w:rPr>
        <w:t>the “</w:t>
      </w:r>
      <w:r w:rsidR="002D51A4" w:rsidRPr="00AB6959">
        <w:rPr>
          <w:i/>
          <w:lang w:val="en-CA"/>
        </w:rPr>
        <w:t>Canadian</w:t>
      </w:r>
      <w:r w:rsidR="008D772A" w:rsidRPr="00AB6959">
        <w:rPr>
          <w:i/>
          <w:lang w:val="en-CA"/>
        </w:rPr>
        <w:t xml:space="preserve"> </w:t>
      </w:r>
      <w:r w:rsidR="002D51A4" w:rsidRPr="00AB6959">
        <w:rPr>
          <w:i/>
          <w:lang w:val="en-CA"/>
        </w:rPr>
        <w:t>Charter</w:t>
      </w:r>
      <w:r w:rsidR="008D772A" w:rsidRPr="00E02273">
        <w:rPr>
          <w:lang w:val="en-CA"/>
        </w:rPr>
        <w:t>”</w:t>
      </w:r>
      <w:r w:rsidR="002D51A4" w:rsidRPr="00E02273">
        <w:rPr>
          <w:lang w:val="en-CA"/>
        </w:rPr>
        <w:t>)</w:t>
      </w:r>
      <w:r w:rsidR="008D772A" w:rsidRPr="00E02273">
        <w:rPr>
          <w:lang w:val="en-CA"/>
        </w:rPr>
        <w:t xml:space="preserve">, not the </w:t>
      </w:r>
      <w:r w:rsidR="002D51A4" w:rsidRPr="00E02273">
        <w:rPr>
          <w:lang w:val="en-CA"/>
        </w:rPr>
        <w:t>pith</w:t>
      </w:r>
      <w:r w:rsidR="00613283" w:rsidRPr="00E02273">
        <w:rPr>
          <w:lang w:val="en-CA"/>
        </w:rPr>
        <w:t xml:space="preserve"> </w:t>
      </w:r>
      <w:r w:rsidR="002D51A4" w:rsidRPr="00E02273">
        <w:rPr>
          <w:lang w:val="en-CA"/>
        </w:rPr>
        <w:t>and</w:t>
      </w:r>
      <w:r w:rsidR="00613283" w:rsidRPr="00E02273">
        <w:rPr>
          <w:lang w:val="en-CA"/>
        </w:rPr>
        <w:t xml:space="preserve"> </w:t>
      </w:r>
      <w:r w:rsidR="002D51A4" w:rsidRPr="00E02273">
        <w:rPr>
          <w:lang w:val="en-CA"/>
        </w:rPr>
        <w:t>substance</w:t>
      </w:r>
      <w:r w:rsidR="00613283" w:rsidRPr="00E02273">
        <w:rPr>
          <w:lang w:val="en-CA"/>
        </w:rPr>
        <w:t xml:space="preserve"> of a statute or regulation whose </w:t>
      </w:r>
      <w:r w:rsidR="002D51A4" w:rsidRPr="00E02273">
        <w:rPr>
          <w:lang w:val="en-CA"/>
        </w:rPr>
        <w:t>constitutional</w:t>
      </w:r>
      <w:r w:rsidR="00613283" w:rsidRPr="00E02273">
        <w:rPr>
          <w:lang w:val="en-CA"/>
        </w:rPr>
        <w:t xml:space="preserve"> </w:t>
      </w:r>
      <w:r w:rsidR="002D51A4" w:rsidRPr="00E02273">
        <w:rPr>
          <w:lang w:val="en-CA"/>
        </w:rPr>
        <w:t>validity</w:t>
      </w:r>
      <w:r w:rsidR="00613283" w:rsidRPr="00E02273">
        <w:rPr>
          <w:lang w:val="en-CA"/>
        </w:rPr>
        <w:t xml:space="preserve"> is challenged </w:t>
      </w:r>
      <w:r w:rsidR="005E6A39" w:rsidRPr="00E02273">
        <w:rPr>
          <w:lang w:val="en-CA"/>
        </w:rPr>
        <w:t>on the basis</w:t>
      </w:r>
      <w:r w:rsidR="00613283" w:rsidRPr="00E02273">
        <w:rPr>
          <w:lang w:val="en-CA"/>
        </w:rPr>
        <w:t xml:space="preserve"> of the </w:t>
      </w:r>
      <w:r w:rsidR="002D51A4" w:rsidRPr="00E02273">
        <w:rPr>
          <w:lang w:val="en-CA"/>
        </w:rPr>
        <w:t>division</w:t>
      </w:r>
      <w:r w:rsidR="00613283" w:rsidRPr="00E02273">
        <w:rPr>
          <w:lang w:val="en-CA"/>
        </w:rPr>
        <w:t xml:space="preserve"> </w:t>
      </w:r>
      <w:r w:rsidR="002D51A4" w:rsidRPr="00E02273">
        <w:rPr>
          <w:lang w:val="en-CA"/>
        </w:rPr>
        <w:t>of</w:t>
      </w:r>
      <w:r w:rsidR="00613283" w:rsidRPr="00E02273">
        <w:rPr>
          <w:lang w:val="en-CA"/>
        </w:rPr>
        <w:t xml:space="preserve"> </w:t>
      </w:r>
      <w:r w:rsidR="002D51A4" w:rsidRPr="00E02273">
        <w:rPr>
          <w:lang w:val="en-CA"/>
        </w:rPr>
        <w:t xml:space="preserve">powers. </w:t>
      </w:r>
      <w:r w:rsidR="000B0980" w:rsidRPr="00E02273">
        <w:rPr>
          <w:lang w:val="en-CA"/>
        </w:rPr>
        <w:t xml:space="preserve">In that case, the Court had to decide whether the </w:t>
      </w:r>
      <w:r w:rsidR="002D51A4" w:rsidRPr="00E02273">
        <w:rPr>
          <w:lang w:val="en-CA"/>
        </w:rPr>
        <w:t>provision</w:t>
      </w:r>
      <w:r w:rsidR="000B0980" w:rsidRPr="00E02273">
        <w:rPr>
          <w:lang w:val="en-CA"/>
        </w:rPr>
        <w:t xml:space="preserve">s </w:t>
      </w:r>
      <w:r w:rsidR="002D51A4" w:rsidRPr="00E02273">
        <w:rPr>
          <w:lang w:val="en-CA"/>
        </w:rPr>
        <w:t>of</w:t>
      </w:r>
      <w:r w:rsidR="005E6A39" w:rsidRPr="00E02273">
        <w:rPr>
          <w:lang w:val="en-CA"/>
        </w:rPr>
        <w:t xml:space="preserve"> </w:t>
      </w:r>
      <w:r w:rsidR="002D51A4" w:rsidRPr="00E02273">
        <w:rPr>
          <w:lang w:val="en-CA"/>
        </w:rPr>
        <w:t>the</w:t>
      </w:r>
      <w:r w:rsidR="005E6A39" w:rsidRPr="00E02273">
        <w:rPr>
          <w:lang w:val="en-CA"/>
        </w:rPr>
        <w:t xml:space="preserve"> </w:t>
      </w:r>
      <w:r w:rsidR="005E6A39" w:rsidRPr="00E02273">
        <w:rPr>
          <w:i/>
          <w:lang w:val="en-CA"/>
        </w:rPr>
        <w:t xml:space="preserve">Customs </w:t>
      </w:r>
      <w:r w:rsidR="002D51A4" w:rsidRPr="00E02273">
        <w:rPr>
          <w:i/>
          <w:lang w:val="en-CA"/>
        </w:rPr>
        <w:t>Act</w:t>
      </w:r>
      <w:r w:rsidR="005E6A39" w:rsidRPr="00E02273">
        <w:rPr>
          <w:i/>
          <w:lang w:val="en-CA"/>
        </w:rPr>
        <w:t xml:space="preserve"> </w:t>
      </w:r>
      <w:r w:rsidR="005E6A39" w:rsidRPr="00E02273">
        <w:rPr>
          <w:lang w:val="en-CA"/>
        </w:rPr>
        <w:t>granting discretion to custom</w:t>
      </w:r>
      <w:r w:rsidR="00E84DC4" w:rsidRPr="00E02273">
        <w:rPr>
          <w:lang w:val="en-CA"/>
        </w:rPr>
        <w:t>s</w:t>
      </w:r>
      <w:r w:rsidR="005E6A39" w:rsidRPr="00E02273">
        <w:rPr>
          <w:lang w:val="en-CA"/>
        </w:rPr>
        <w:t xml:space="preserve"> officials to prohibit the entry into </w:t>
      </w:r>
      <w:r w:rsidR="002D51A4" w:rsidRPr="00E02273">
        <w:rPr>
          <w:lang w:val="en-CA"/>
        </w:rPr>
        <w:t xml:space="preserve">Canada </w:t>
      </w:r>
      <w:r w:rsidR="005E6A39" w:rsidRPr="00E02273">
        <w:rPr>
          <w:lang w:val="en-CA"/>
        </w:rPr>
        <w:t xml:space="preserve">of </w:t>
      </w:r>
      <w:r w:rsidR="002D51A4" w:rsidRPr="00E02273">
        <w:rPr>
          <w:lang w:val="en-CA"/>
        </w:rPr>
        <w:t>pornographi</w:t>
      </w:r>
      <w:r w:rsidR="005E6A39" w:rsidRPr="00E02273">
        <w:rPr>
          <w:lang w:val="en-CA"/>
        </w:rPr>
        <w:t>c material was un</w:t>
      </w:r>
      <w:r w:rsidR="002D51A4" w:rsidRPr="00E02273">
        <w:rPr>
          <w:lang w:val="en-CA"/>
        </w:rPr>
        <w:t>constitution</w:t>
      </w:r>
      <w:r w:rsidR="005E6A39" w:rsidRPr="00E02273">
        <w:rPr>
          <w:lang w:val="en-CA"/>
        </w:rPr>
        <w:t>a</w:t>
      </w:r>
      <w:r w:rsidR="002D51A4" w:rsidRPr="00E02273">
        <w:rPr>
          <w:lang w:val="en-CA"/>
        </w:rPr>
        <w:t>l</w:t>
      </w:r>
      <w:r w:rsidR="005E6A39" w:rsidRPr="00E02273">
        <w:rPr>
          <w:lang w:val="en-CA"/>
        </w:rPr>
        <w:t xml:space="preserve"> due to the fact that those officials discriminat</w:t>
      </w:r>
      <w:r w:rsidR="00B45CAA">
        <w:rPr>
          <w:lang w:val="en-CA"/>
        </w:rPr>
        <w:t>ed</w:t>
      </w:r>
      <w:r w:rsidR="005E6A39" w:rsidRPr="00E02273">
        <w:rPr>
          <w:lang w:val="en-CA"/>
        </w:rPr>
        <w:t xml:space="preserve"> against the gay and lesbian community, in </w:t>
      </w:r>
      <w:r w:rsidR="002D51A4" w:rsidRPr="00E02273">
        <w:rPr>
          <w:lang w:val="en-CA"/>
        </w:rPr>
        <w:t xml:space="preserve">violation </w:t>
      </w:r>
      <w:r w:rsidR="005E6A39" w:rsidRPr="00E02273">
        <w:rPr>
          <w:lang w:val="en-CA"/>
        </w:rPr>
        <w:t xml:space="preserve">of the </w:t>
      </w:r>
      <w:r w:rsidR="002D51A4" w:rsidRPr="00E02273">
        <w:rPr>
          <w:i/>
          <w:lang w:val="en-CA"/>
        </w:rPr>
        <w:t>Canadian</w:t>
      </w:r>
      <w:r w:rsidR="005E6A39" w:rsidRPr="00E02273">
        <w:rPr>
          <w:i/>
          <w:lang w:val="en-CA"/>
        </w:rPr>
        <w:t xml:space="preserve"> </w:t>
      </w:r>
      <w:r w:rsidR="002D51A4" w:rsidRPr="00E02273">
        <w:rPr>
          <w:i/>
          <w:lang w:val="en-CA"/>
        </w:rPr>
        <w:t>Charter</w:t>
      </w:r>
      <w:r w:rsidR="002D51A4" w:rsidRPr="00E02273">
        <w:rPr>
          <w:lang w:val="en-CA"/>
        </w:rPr>
        <w:t xml:space="preserve">. </w:t>
      </w:r>
      <w:r w:rsidR="00F520DB" w:rsidRPr="00E02273">
        <w:rPr>
          <w:lang w:val="en-CA"/>
        </w:rPr>
        <w:t xml:space="preserve">The </w:t>
      </w:r>
      <w:r w:rsidR="00F520DB" w:rsidRPr="00E02273">
        <w:rPr>
          <w:i/>
          <w:lang w:val="en-CA"/>
        </w:rPr>
        <w:t xml:space="preserve">Act </w:t>
      </w:r>
      <w:r w:rsidR="00F520DB" w:rsidRPr="00E02273">
        <w:rPr>
          <w:lang w:val="en-CA"/>
        </w:rPr>
        <w:t>provided n</w:t>
      </w:r>
      <w:r w:rsidR="005E6A39" w:rsidRPr="00E02273">
        <w:rPr>
          <w:lang w:val="en-CA"/>
        </w:rPr>
        <w:t xml:space="preserve">o policy or </w:t>
      </w:r>
      <w:r w:rsidR="002D51A4" w:rsidRPr="00E02273">
        <w:rPr>
          <w:lang w:val="en-CA"/>
        </w:rPr>
        <w:t>guideline</w:t>
      </w:r>
      <w:r w:rsidR="00F520DB" w:rsidRPr="00E02273">
        <w:rPr>
          <w:lang w:val="en-CA"/>
        </w:rPr>
        <w:t xml:space="preserve"> in this regard and none had been </w:t>
      </w:r>
      <w:r w:rsidR="002D51A4" w:rsidRPr="00E02273">
        <w:rPr>
          <w:lang w:val="en-CA"/>
        </w:rPr>
        <w:t>adopt</w:t>
      </w:r>
      <w:r w:rsidR="00F520DB" w:rsidRPr="00E02273">
        <w:rPr>
          <w:lang w:val="en-CA"/>
        </w:rPr>
        <w:t>ed to</w:t>
      </w:r>
      <w:r w:rsidR="00AB6959">
        <w:rPr>
          <w:lang w:val="en-CA"/>
        </w:rPr>
        <w:t xml:space="preserve"> guide</w:t>
      </w:r>
      <w:r w:rsidR="005E1A98" w:rsidRPr="00E02273">
        <w:rPr>
          <w:lang w:val="en-CA"/>
        </w:rPr>
        <w:t xml:space="preserve"> the officials’ </w:t>
      </w:r>
      <w:r w:rsidR="002D51A4" w:rsidRPr="00E02273">
        <w:rPr>
          <w:lang w:val="en-CA"/>
        </w:rPr>
        <w:t>discr</w:t>
      </w:r>
      <w:r w:rsidR="005E1A98" w:rsidRPr="00E02273">
        <w:rPr>
          <w:lang w:val="en-CA"/>
        </w:rPr>
        <w:t>e</w:t>
      </w:r>
      <w:r w:rsidR="002D51A4" w:rsidRPr="00E02273">
        <w:rPr>
          <w:lang w:val="en-CA"/>
        </w:rPr>
        <w:t xml:space="preserve">tion. Binnie </w:t>
      </w:r>
      <w:r w:rsidR="005E1A98" w:rsidRPr="00E02273">
        <w:rPr>
          <w:lang w:val="en-CA"/>
        </w:rPr>
        <w:t xml:space="preserve">J. found that that there was no cause to </w:t>
      </w:r>
      <w:r w:rsidR="002D51A4" w:rsidRPr="00E02273">
        <w:rPr>
          <w:lang w:val="en-CA"/>
        </w:rPr>
        <w:t>invalid</w:t>
      </w:r>
      <w:r w:rsidR="005E1A98" w:rsidRPr="00E02273">
        <w:rPr>
          <w:lang w:val="en-CA"/>
        </w:rPr>
        <w:t>at</w:t>
      </w:r>
      <w:r w:rsidR="002D51A4" w:rsidRPr="00E02273">
        <w:rPr>
          <w:lang w:val="en-CA"/>
        </w:rPr>
        <w:t>e</w:t>
      </w:r>
      <w:r w:rsidR="005E1A98" w:rsidRPr="00E02273">
        <w:rPr>
          <w:lang w:val="en-CA"/>
        </w:rPr>
        <w:t xml:space="preserve"> the </w:t>
      </w:r>
      <w:r w:rsidR="002D51A4" w:rsidRPr="00E02273">
        <w:rPr>
          <w:lang w:val="en-CA"/>
        </w:rPr>
        <w:t>statutory</w:t>
      </w:r>
      <w:r w:rsidR="005E1A98" w:rsidRPr="00E02273">
        <w:rPr>
          <w:lang w:val="en-CA"/>
        </w:rPr>
        <w:t xml:space="preserve"> </w:t>
      </w:r>
      <w:r w:rsidR="002D51A4" w:rsidRPr="00E02273">
        <w:rPr>
          <w:lang w:val="en-CA"/>
        </w:rPr>
        <w:t>provisions</w:t>
      </w:r>
      <w:r w:rsidR="005E1A98" w:rsidRPr="00E02273">
        <w:rPr>
          <w:lang w:val="en-CA"/>
        </w:rPr>
        <w:t xml:space="preserve"> </w:t>
      </w:r>
      <w:r w:rsidR="002D51A4" w:rsidRPr="00E02273">
        <w:rPr>
          <w:lang w:val="en-CA"/>
        </w:rPr>
        <w:t>at</w:t>
      </w:r>
      <w:r w:rsidR="005E1A98" w:rsidRPr="00E02273">
        <w:rPr>
          <w:lang w:val="en-CA"/>
        </w:rPr>
        <w:t xml:space="preserve"> </w:t>
      </w:r>
      <w:r w:rsidR="002D51A4" w:rsidRPr="00E02273">
        <w:rPr>
          <w:lang w:val="en-CA"/>
        </w:rPr>
        <w:t>issue</w:t>
      </w:r>
      <w:r w:rsidR="005E1A98" w:rsidRPr="00E02273">
        <w:rPr>
          <w:lang w:val="en-CA"/>
        </w:rPr>
        <w:t xml:space="preserve"> on the </w:t>
      </w:r>
      <w:r w:rsidR="002D51A4" w:rsidRPr="00E02273">
        <w:rPr>
          <w:lang w:val="en-CA"/>
        </w:rPr>
        <w:t>ground</w:t>
      </w:r>
      <w:r w:rsidR="005E1A98" w:rsidRPr="00E02273">
        <w:rPr>
          <w:lang w:val="en-CA"/>
        </w:rPr>
        <w:t xml:space="preserve"> that they </w:t>
      </w:r>
      <w:r w:rsidR="002D51A4" w:rsidRPr="00E02273">
        <w:rPr>
          <w:lang w:val="en-CA"/>
        </w:rPr>
        <w:t>viola</w:t>
      </w:r>
      <w:r w:rsidR="005E1A98" w:rsidRPr="00E02273">
        <w:rPr>
          <w:lang w:val="en-CA"/>
        </w:rPr>
        <w:t xml:space="preserve">ted the </w:t>
      </w:r>
      <w:r w:rsidR="002D51A4" w:rsidRPr="00E02273">
        <w:rPr>
          <w:i/>
          <w:lang w:val="en-CA"/>
        </w:rPr>
        <w:t>Canadian</w:t>
      </w:r>
      <w:r w:rsidR="005E1A98" w:rsidRPr="00E02273">
        <w:rPr>
          <w:i/>
          <w:lang w:val="en-CA"/>
        </w:rPr>
        <w:t xml:space="preserve"> </w:t>
      </w:r>
      <w:r w:rsidR="002D51A4" w:rsidRPr="00E02273">
        <w:rPr>
          <w:i/>
          <w:lang w:val="en-CA"/>
        </w:rPr>
        <w:t>Charter</w:t>
      </w:r>
      <w:r w:rsidR="002D51A4" w:rsidRPr="00E02273">
        <w:rPr>
          <w:lang w:val="en-CA"/>
        </w:rPr>
        <w:t xml:space="preserve"> </w:t>
      </w:r>
      <w:r w:rsidR="00E84DC4" w:rsidRPr="00E02273">
        <w:rPr>
          <w:lang w:val="en-CA"/>
        </w:rPr>
        <w:t>given that it was the customs officials</w:t>
      </w:r>
      <w:r w:rsidR="002F33F4">
        <w:rPr>
          <w:lang w:val="en-CA"/>
        </w:rPr>
        <w:t>’</w:t>
      </w:r>
      <w:r w:rsidR="00E84DC4" w:rsidRPr="00E02273">
        <w:rPr>
          <w:lang w:val="en-CA"/>
        </w:rPr>
        <w:t xml:space="preserve"> </w:t>
      </w:r>
      <w:r w:rsidR="002D51A4" w:rsidRPr="00E02273">
        <w:rPr>
          <w:lang w:val="en-CA"/>
        </w:rPr>
        <w:t>exerci</w:t>
      </w:r>
      <w:r w:rsidR="00E84DC4" w:rsidRPr="00E02273">
        <w:rPr>
          <w:lang w:val="en-CA"/>
        </w:rPr>
        <w:t>s</w:t>
      </w:r>
      <w:r w:rsidR="002D51A4" w:rsidRPr="00E02273">
        <w:rPr>
          <w:lang w:val="en-CA"/>
        </w:rPr>
        <w:t xml:space="preserve">e </w:t>
      </w:r>
      <w:r w:rsidR="00E84DC4" w:rsidRPr="00E02273">
        <w:rPr>
          <w:lang w:val="en-CA"/>
        </w:rPr>
        <w:t xml:space="preserve">of the </w:t>
      </w:r>
      <w:r w:rsidR="002D51A4" w:rsidRPr="00E02273">
        <w:rPr>
          <w:lang w:val="en-CA"/>
        </w:rPr>
        <w:t>discr</w:t>
      </w:r>
      <w:r w:rsidR="00E84DC4" w:rsidRPr="00E02273">
        <w:rPr>
          <w:lang w:val="en-CA"/>
        </w:rPr>
        <w:t>e</w:t>
      </w:r>
      <w:r w:rsidR="002D51A4" w:rsidRPr="00E02273">
        <w:rPr>
          <w:lang w:val="en-CA"/>
        </w:rPr>
        <w:t xml:space="preserve">tion </w:t>
      </w:r>
      <w:r w:rsidR="00E84DC4" w:rsidRPr="00E02273">
        <w:rPr>
          <w:lang w:val="en-CA"/>
        </w:rPr>
        <w:t xml:space="preserve">that was problematic, not the </w:t>
      </w:r>
      <w:r w:rsidR="002D51A4" w:rsidRPr="00E02273">
        <w:rPr>
          <w:lang w:val="en-CA"/>
        </w:rPr>
        <w:t>legislation</w:t>
      </w:r>
      <w:r w:rsidR="00E84DC4" w:rsidRPr="00E02273">
        <w:rPr>
          <w:lang w:val="en-CA"/>
        </w:rPr>
        <w:t xml:space="preserve"> itself</w:t>
      </w:r>
      <w:r w:rsidR="002D51A4" w:rsidRPr="00E02273">
        <w:rPr>
          <w:lang w:val="en-CA"/>
        </w:rPr>
        <w:t>.</w:t>
      </w:r>
    </w:p>
    <w:p w14:paraId="0D3BD854" w14:textId="13CF55B8" w:rsidR="00B568AD" w:rsidRPr="00E02273" w:rsidRDefault="002B02FC" w:rsidP="00D57A2A">
      <w:pPr>
        <w:pStyle w:val="Paragraphe"/>
        <w:tabs>
          <w:tab w:val="clear" w:pos="4973"/>
          <w:tab w:val="left" w:pos="993"/>
        </w:tabs>
        <w:spacing w:line="240" w:lineRule="auto"/>
        <w:ind w:left="0"/>
        <w:rPr>
          <w:lang w:val="en-CA"/>
        </w:rPr>
      </w:pPr>
      <w:r w:rsidRPr="00E02273">
        <w:rPr>
          <w:lang w:val="en-CA"/>
        </w:rPr>
        <w:t xml:space="preserve">Thus, </w:t>
      </w:r>
      <w:r w:rsidR="002D51A4" w:rsidRPr="00E02273">
        <w:rPr>
          <w:i/>
          <w:lang w:val="en-CA"/>
        </w:rPr>
        <w:t>Little Sisters</w:t>
      </w:r>
      <w:r w:rsidR="002D51A4" w:rsidRPr="00E02273">
        <w:rPr>
          <w:lang w:val="en-CA"/>
        </w:rPr>
        <w:t xml:space="preserve"> </w:t>
      </w:r>
      <w:r w:rsidR="00AB6959">
        <w:rPr>
          <w:lang w:val="en-CA"/>
        </w:rPr>
        <w:t xml:space="preserve">has no relevance to </w:t>
      </w:r>
      <w:r w:rsidR="002D51A4" w:rsidRPr="00E02273">
        <w:rPr>
          <w:lang w:val="en-CA"/>
        </w:rPr>
        <w:t>d</w:t>
      </w:r>
      <w:r w:rsidRPr="00E02273">
        <w:rPr>
          <w:lang w:val="en-CA"/>
        </w:rPr>
        <w:t>e</w:t>
      </w:r>
      <w:r w:rsidR="002D51A4" w:rsidRPr="00E02273">
        <w:rPr>
          <w:lang w:val="en-CA"/>
        </w:rPr>
        <w:t>termin</w:t>
      </w:r>
      <w:r w:rsidR="00AB6959">
        <w:rPr>
          <w:lang w:val="en-CA"/>
        </w:rPr>
        <w:t>ing</w:t>
      </w:r>
      <w:r w:rsidRPr="00E02273">
        <w:rPr>
          <w:lang w:val="en-CA"/>
        </w:rPr>
        <w:t xml:space="preserve"> the </w:t>
      </w:r>
      <w:r w:rsidR="002D51A4" w:rsidRPr="00E02273">
        <w:rPr>
          <w:lang w:val="en-CA"/>
        </w:rPr>
        <w:t>pith</w:t>
      </w:r>
      <w:r w:rsidRPr="00E02273">
        <w:rPr>
          <w:lang w:val="en-CA"/>
        </w:rPr>
        <w:t xml:space="preserve"> </w:t>
      </w:r>
      <w:r w:rsidR="002D51A4" w:rsidRPr="00E02273">
        <w:rPr>
          <w:lang w:val="en-CA"/>
        </w:rPr>
        <w:t>and</w:t>
      </w:r>
      <w:r w:rsidRPr="00E02273">
        <w:rPr>
          <w:lang w:val="en-CA"/>
        </w:rPr>
        <w:t xml:space="preserve"> </w:t>
      </w:r>
      <w:r w:rsidR="002D51A4" w:rsidRPr="00E02273">
        <w:rPr>
          <w:lang w:val="en-CA"/>
        </w:rPr>
        <w:t>substance</w:t>
      </w:r>
      <w:r w:rsidRPr="00E02273">
        <w:rPr>
          <w:lang w:val="en-CA"/>
        </w:rPr>
        <w:t xml:space="preserve"> of a statute or regulation for the purposes of s</w:t>
      </w:r>
      <w:r w:rsidR="00B45CAA">
        <w:rPr>
          <w:lang w:val="en-CA"/>
        </w:rPr>
        <w:t>ection</w:t>
      </w:r>
      <w:r w:rsidRPr="00E02273">
        <w:rPr>
          <w:lang w:val="en-CA"/>
        </w:rPr>
        <w:t xml:space="preserve">s </w:t>
      </w:r>
      <w:r w:rsidR="002D51A4" w:rsidRPr="00E02273">
        <w:rPr>
          <w:lang w:val="en-CA"/>
        </w:rPr>
        <w:t xml:space="preserve">91 </w:t>
      </w:r>
      <w:r w:rsidRPr="00E02273">
        <w:rPr>
          <w:lang w:val="en-CA"/>
        </w:rPr>
        <w:t>and</w:t>
      </w:r>
      <w:r w:rsidR="002D51A4" w:rsidRPr="00E02273">
        <w:rPr>
          <w:lang w:val="en-CA"/>
        </w:rPr>
        <w:t xml:space="preserve"> 92 </w:t>
      </w:r>
      <w:r w:rsidRPr="00E02273">
        <w:rPr>
          <w:lang w:val="en-CA"/>
        </w:rPr>
        <w:t xml:space="preserve">of the </w:t>
      </w:r>
      <w:r w:rsidR="002D51A4" w:rsidRPr="00E02273">
        <w:rPr>
          <w:i/>
          <w:lang w:val="en-CA"/>
        </w:rPr>
        <w:t>Constitution</w:t>
      </w:r>
      <w:r w:rsidRPr="00E02273">
        <w:rPr>
          <w:i/>
          <w:lang w:val="en-CA"/>
        </w:rPr>
        <w:t xml:space="preserve"> </w:t>
      </w:r>
      <w:r w:rsidR="002D51A4" w:rsidRPr="00E02273">
        <w:rPr>
          <w:i/>
          <w:lang w:val="en-CA"/>
        </w:rPr>
        <w:t>Act,</w:t>
      </w:r>
      <w:r w:rsidRPr="00E02273">
        <w:rPr>
          <w:i/>
          <w:lang w:val="en-CA"/>
        </w:rPr>
        <w:t xml:space="preserve"> </w:t>
      </w:r>
      <w:r w:rsidR="002D51A4" w:rsidRPr="00E02273">
        <w:rPr>
          <w:i/>
          <w:lang w:val="en-CA"/>
        </w:rPr>
        <w:t>1867</w:t>
      </w:r>
      <w:r w:rsidRPr="00E02273">
        <w:rPr>
          <w:lang w:val="en-CA"/>
        </w:rPr>
        <w:t xml:space="preserve">, </w:t>
      </w:r>
      <w:r w:rsidR="00E37DB4">
        <w:rPr>
          <w:lang w:val="en-CA"/>
        </w:rPr>
        <w:t xml:space="preserve">or </w:t>
      </w:r>
      <w:r w:rsidR="00AB6959">
        <w:rPr>
          <w:lang w:val="en-CA"/>
        </w:rPr>
        <w:t xml:space="preserve">to </w:t>
      </w:r>
      <w:r w:rsidR="00E37DB4">
        <w:rPr>
          <w:lang w:val="en-CA"/>
        </w:rPr>
        <w:t xml:space="preserve">the </w:t>
      </w:r>
      <w:r w:rsidR="002D51A4" w:rsidRPr="00E02273">
        <w:rPr>
          <w:lang w:val="en-CA"/>
        </w:rPr>
        <w:t>guidelines</w:t>
      </w:r>
      <w:r w:rsidRPr="00E02273">
        <w:rPr>
          <w:lang w:val="en-CA"/>
        </w:rPr>
        <w:t xml:space="preserve"> </w:t>
      </w:r>
      <w:r w:rsidR="00E37DB4">
        <w:rPr>
          <w:lang w:val="en-CA"/>
        </w:rPr>
        <w:t>prescribed</w:t>
      </w:r>
      <w:r w:rsidRPr="00E02273">
        <w:rPr>
          <w:lang w:val="en-CA"/>
        </w:rPr>
        <w:t xml:space="preserve"> by </w:t>
      </w:r>
      <w:r w:rsidR="00C126BF" w:rsidRPr="00E02273">
        <w:rPr>
          <w:lang w:val="en-CA"/>
        </w:rPr>
        <w:t>legislation</w:t>
      </w:r>
      <w:r w:rsidRPr="00E02273">
        <w:rPr>
          <w:lang w:val="en-CA"/>
        </w:rPr>
        <w:t xml:space="preserve"> and </w:t>
      </w:r>
      <w:r w:rsidR="002D51A4" w:rsidRPr="00E02273">
        <w:rPr>
          <w:lang w:val="en-CA"/>
        </w:rPr>
        <w:t>adopt</w:t>
      </w:r>
      <w:r w:rsidRPr="00E02273">
        <w:rPr>
          <w:lang w:val="en-CA"/>
        </w:rPr>
        <w:t xml:space="preserve">ed by a federal </w:t>
      </w:r>
      <w:r w:rsidR="002D51A4" w:rsidRPr="00E02273">
        <w:rPr>
          <w:lang w:val="en-CA"/>
        </w:rPr>
        <w:t>administrati</w:t>
      </w:r>
      <w:r w:rsidRPr="00E02273">
        <w:rPr>
          <w:lang w:val="en-CA"/>
        </w:rPr>
        <w:t xml:space="preserve">ve body further to </w:t>
      </w:r>
      <w:r w:rsidR="00C126BF" w:rsidRPr="00E02273">
        <w:rPr>
          <w:lang w:val="en-CA"/>
        </w:rPr>
        <w:t xml:space="preserve">extensive </w:t>
      </w:r>
      <w:r w:rsidR="002D51A4" w:rsidRPr="00E02273">
        <w:rPr>
          <w:lang w:val="en-CA"/>
        </w:rPr>
        <w:t>consultations</w:t>
      </w:r>
      <w:r w:rsidR="00C126BF" w:rsidRPr="00E02273">
        <w:rPr>
          <w:lang w:val="en-CA"/>
        </w:rPr>
        <w:t xml:space="preserve"> required by the legislation. </w:t>
      </w:r>
      <w:r w:rsidR="002D51A4" w:rsidRPr="00E02273">
        <w:rPr>
          <w:lang w:val="en-CA"/>
        </w:rPr>
        <w:t>With</w:t>
      </w:r>
      <w:r w:rsidR="00C126BF" w:rsidRPr="00E02273">
        <w:rPr>
          <w:lang w:val="en-CA"/>
        </w:rPr>
        <w:t xml:space="preserve"> </w:t>
      </w:r>
      <w:r w:rsidR="002D51A4" w:rsidRPr="00E02273">
        <w:rPr>
          <w:lang w:val="en-CA"/>
        </w:rPr>
        <w:t xml:space="preserve">respect, </w:t>
      </w:r>
      <w:r w:rsidR="002D51A4" w:rsidRPr="00E02273">
        <w:rPr>
          <w:i/>
          <w:lang w:val="en-CA"/>
        </w:rPr>
        <w:t>Little Sisters</w:t>
      </w:r>
      <w:r w:rsidR="002D51A4" w:rsidRPr="00E02273">
        <w:rPr>
          <w:lang w:val="en-CA"/>
        </w:rPr>
        <w:t xml:space="preserve"> </w:t>
      </w:r>
      <w:r w:rsidR="00C126BF" w:rsidRPr="00E02273">
        <w:rPr>
          <w:lang w:val="en-CA"/>
        </w:rPr>
        <w:t xml:space="preserve">appears to me to be of no </w:t>
      </w:r>
      <w:r w:rsidR="002D51A4" w:rsidRPr="00E02273">
        <w:rPr>
          <w:lang w:val="en-CA"/>
        </w:rPr>
        <w:t>relevance</w:t>
      </w:r>
      <w:r w:rsidR="00C126BF" w:rsidRPr="00E02273">
        <w:rPr>
          <w:lang w:val="en-CA"/>
        </w:rPr>
        <w:t xml:space="preserve"> to this case</w:t>
      </w:r>
      <w:r w:rsidR="002D51A4" w:rsidRPr="00E02273">
        <w:rPr>
          <w:lang w:val="en-CA"/>
        </w:rPr>
        <w:t>.</w:t>
      </w:r>
    </w:p>
    <w:p w14:paraId="4BE6C6C9" w14:textId="0BDBB722" w:rsidR="00B568AD" w:rsidRPr="00E02273" w:rsidRDefault="00E83184" w:rsidP="00D57A2A">
      <w:pPr>
        <w:pStyle w:val="Paragraphe"/>
        <w:tabs>
          <w:tab w:val="clear" w:pos="4973"/>
        </w:tabs>
        <w:spacing w:line="240" w:lineRule="auto"/>
        <w:ind w:left="0"/>
        <w:rPr>
          <w:lang w:val="en-CA"/>
        </w:rPr>
      </w:pPr>
      <w:r w:rsidRPr="00E02273">
        <w:rPr>
          <w:lang w:val="en-CA"/>
        </w:rPr>
        <w:t xml:space="preserve">As mentioned above, the </w:t>
      </w:r>
      <w:r w:rsidR="002D51A4" w:rsidRPr="00E02273">
        <w:rPr>
          <w:lang w:val="en-CA"/>
        </w:rPr>
        <w:t>pith</w:t>
      </w:r>
      <w:r w:rsidRPr="00E02273">
        <w:rPr>
          <w:lang w:val="en-CA"/>
        </w:rPr>
        <w:t xml:space="preserve"> </w:t>
      </w:r>
      <w:r w:rsidR="002D51A4" w:rsidRPr="00E02273">
        <w:rPr>
          <w:lang w:val="en-CA"/>
        </w:rPr>
        <w:t>and</w:t>
      </w:r>
      <w:r w:rsidRPr="00E02273">
        <w:rPr>
          <w:lang w:val="en-CA"/>
        </w:rPr>
        <w:t xml:space="preserve"> </w:t>
      </w:r>
      <w:r w:rsidR="002D51A4" w:rsidRPr="00E02273">
        <w:rPr>
          <w:lang w:val="en-CA"/>
        </w:rPr>
        <w:t>substance</w:t>
      </w:r>
      <w:r w:rsidRPr="00E02273">
        <w:rPr>
          <w:lang w:val="en-CA"/>
        </w:rPr>
        <w:t xml:space="preserve"> analysis allows us to </w:t>
      </w:r>
      <w:r w:rsidR="002D51A4" w:rsidRPr="00E02273">
        <w:rPr>
          <w:lang w:val="en-CA"/>
        </w:rPr>
        <w:t>v</w:t>
      </w:r>
      <w:r w:rsidRPr="00E02273">
        <w:rPr>
          <w:lang w:val="en-CA"/>
        </w:rPr>
        <w:t>e</w:t>
      </w:r>
      <w:r w:rsidR="002D51A4" w:rsidRPr="00E02273">
        <w:rPr>
          <w:lang w:val="en-CA"/>
        </w:rPr>
        <w:t>rif</w:t>
      </w:r>
      <w:r w:rsidRPr="00E02273">
        <w:rPr>
          <w:lang w:val="en-CA"/>
        </w:rPr>
        <w:t xml:space="preserve">y whether the true purpose of the impugned </w:t>
      </w:r>
      <w:r w:rsidR="002D51A4" w:rsidRPr="00E02273">
        <w:rPr>
          <w:lang w:val="en-CA"/>
        </w:rPr>
        <w:t>statutory</w:t>
      </w:r>
      <w:r w:rsidRPr="00E02273">
        <w:rPr>
          <w:lang w:val="en-CA"/>
        </w:rPr>
        <w:t xml:space="preserve"> or regulatory </w:t>
      </w:r>
      <w:r w:rsidR="002D51A4" w:rsidRPr="00E02273">
        <w:rPr>
          <w:lang w:val="en-CA"/>
        </w:rPr>
        <w:t>provisions</w:t>
      </w:r>
      <w:r w:rsidRPr="00E02273">
        <w:rPr>
          <w:lang w:val="en-CA"/>
        </w:rPr>
        <w:t xml:space="preserve"> falls outside the </w:t>
      </w:r>
      <w:r w:rsidR="00E37DB4">
        <w:rPr>
          <w:lang w:val="en-CA"/>
        </w:rPr>
        <w:t xml:space="preserve">area </w:t>
      </w:r>
      <w:r w:rsidRPr="00E02273">
        <w:rPr>
          <w:lang w:val="en-CA"/>
        </w:rPr>
        <w:t xml:space="preserve">of </w:t>
      </w:r>
      <w:r w:rsidR="002D51A4" w:rsidRPr="00E02273">
        <w:rPr>
          <w:lang w:val="en-CA"/>
        </w:rPr>
        <w:t>jurisdiction</w:t>
      </w:r>
      <w:r w:rsidRPr="00E02273">
        <w:rPr>
          <w:lang w:val="en-CA"/>
        </w:rPr>
        <w:t xml:space="preserve"> of the </w:t>
      </w:r>
      <w:r w:rsidR="00E37DB4">
        <w:rPr>
          <w:lang w:val="en-CA"/>
        </w:rPr>
        <w:t xml:space="preserve">enacting </w:t>
      </w:r>
      <w:r w:rsidR="002D51A4" w:rsidRPr="00E02273">
        <w:rPr>
          <w:lang w:val="en-CA"/>
        </w:rPr>
        <w:t>government.</w:t>
      </w:r>
      <w:r w:rsidRPr="00E02273">
        <w:rPr>
          <w:lang w:val="en-CA"/>
        </w:rPr>
        <w:t xml:space="preserve"> </w:t>
      </w:r>
      <w:r w:rsidR="009B5A44" w:rsidRPr="00E02273">
        <w:rPr>
          <w:lang w:val="en-CA"/>
        </w:rPr>
        <w:t>In my view, t</w:t>
      </w:r>
      <w:r w:rsidRPr="00E02273">
        <w:rPr>
          <w:lang w:val="en-CA"/>
        </w:rPr>
        <w:t xml:space="preserve">he </w:t>
      </w:r>
      <w:r w:rsidR="002D51A4" w:rsidRPr="00E02273">
        <w:rPr>
          <w:lang w:val="en-CA"/>
        </w:rPr>
        <w:t>guidelines d</w:t>
      </w:r>
      <w:r w:rsidRPr="00E02273">
        <w:rPr>
          <w:lang w:val="en-CA"/>
        </w:rPr>
        <w:t>eveloped by the admi</w:t>
      </w:r>
      <w:r w:rsidR="002D51A4" w:rsidRPr="00E02273">
        <w:rPr>
          <w:lang w:val="en-CA"/>
        </w:rPr>
        <w:t>nistrati</w:t>
      </w:r>
      <w:r w:rsidRPr="00E02273">
        <w:rPr>
          <w:lang w:val="en-CA"/>
        </w:rPr>
        <w:t xml:space="preserve">ve body </w:t>
      </w:r>
      <w:r w:rsidR="002D51A4" w:rsidRPr="00E02273">
        <w:rPr>
          <w:lang w:val="en-CA"/>
        </w:rPr>
        <w:t>respons</w:t>
      </w:r>
      <w:r w:rsidR="009B5A44" w:rsidRPr="00E02273">
        <w:rPr>
          <w:lang w:val="en-CA"/>
        </w:rPr>
        <w:t>i</w:t>
      </w:r>
      <w:r w:rsidR="002D51A4" w:rsidRPr="00E02273">
        <w:rPr>
          <w:lang w:val="en-CA"/>
        </w:rPr>
        <w:t xml:space="preserve">ble </w:t>
      </w:r>
      <w:r w:rsidRPr="00E02273">
        <w:rPr>
          <w:lang w:val="en-CA"/>
        </w:rPr>
        <w:t xml:space="preserve">for </w:t>
      </w:r>
      <w:r w:rsidR="002D51A4" w:rsidRPr="00E02273">
        <w:rPr>
          <w:lang w:val="en-CA"/>
        </w:rPr>
        <w:t>implement</w:t>
      </w:r>
      <w:r w:rsidR="00E37DB4">
        <w:rPr>
          <w:lang w:val="en-CA"/>
        </w:rPr>
        <w:t>ing</w:t>
      </w:r>
      <w:r w:rsidR="009B5A44" w:rsidRPr="00E02273">
        <w:rPr>
          <w:lang w:val="en-CA"/>
        </w:rPr>
        <w:t xml:space="preserve"> the impugned </w:t>
      </w:r>
      <w:r w:rsidR="002D51A4" w:rsidRPr="00E02273">
        <w:rPr>
          <w:lang w:val="en-CA"/>
        </w:rPr>
        <w:t>statutory</w:t>
      </w:r>
      <w:r w:rsidR="009B5A44" w:rsidRPr="00E02273">
        <w:rPr>
          <w:lang w:val="en-CA"/>
        </w:rPr>
        <w:t xml:space="preserve"> and regulatory </w:t>
      </w:r>
      <w:r w:rsidR="002D51A4" w:rsidRPr="00E02273">
        <w:rPr>
          <w:lang w:val="en-CA"/>
        </w:rPr>
        <w:t xml:space="preserve">provisions </w:t>
      </w:r>
      <w:r w:rsidR="009B5A44" w:rsidRPr="00E02273">
        <w:rPr>
          <w:lang w:val="en-CA"/>
        </w:rPr>
        <w:t xml:space="preserve">are particularly relevant for this purpose. This observation is </w:t>
      </w:r>
      <w:r w:rsidR="00E37DB4">
        <w:rPr>
          <w:lang w:val="en-CA"/>
        </w:rPr>
        <w:t>supported</w:t>
      </w:r>
      <w:r w:rsidR="00E37DB4" w:rsidRPr="00E02273">
        <w:rPr>
          <w:lang w:val="en-CA"/>
        </w:rPr>
        <w:t xml:space="preserve"> </w:t>
      </w:r>
      <w:r w:rsidR="009B5A44" w:rsidRPr="00E02273">
        <w:rPr>
          <w:lang w:val="en-CA"/>
        </w:rPr>
        <w:t xml:space="preserve">by the fact that in this case, the </w:t>
      </w:r>
      <w:r w:rsidR="002D51A4" w:rsidRPr="00E02273">
        <w:rPr>
          <w:lang w:val="en-CA"/>
        </w:rPr>
        <w:t>guidelines</w:t>
      </w:r>
      <w:r w:rsidR="009B5A44" w:rsidRPr="00E02273">
        <w:rPr>
          <w:lang w:val="en-CA"/>
        </w:rPr>
        <w:t xml:space="preserve"> are at the heart of the re</w:t>
      </w:r>
      <w:r w:rsidR="002D51A4" w:rsidRPr="00E02273">
        <w:rPr>
          <w:lang w:val="en-CA"/>
        </w:rPr>
        <w:t xml:space="preserve">gime </w:t>
      </w:r>
      <w:r w:rsidR="009B5A44" w:rsidRPr="00E02273">
        <w:rPr>
          <w:lang w:val="en-CA"/>
        </w:rPr>
        <w:t>a</w:t>
      </w:r>
      <w:r w:rsidR="002D51A4" w:rsidRPr="00E02273">
        <w:rPr>
          <w:lang w:val="en-CA"/>
        </w:rPr>
        <w:t>dminist</w:t>
      </w:r>
      <w:r w:rsidR="009B5A44" w:rsidRPr="00E02273">
        <w:rPr>
          <w:lang w:val="en-CA"/>
        </w:rPr>
        <w:t xml:space="preserve">ered by the </w:t>
      </w:r>
      <w:r w:rsidR="009B5A44" w:rsidRPr="00E02273">
        <w:rPr>
          <w:lang w:val="en-CA"/>
        </w:rPr>
        <w:lastRenderedPageBreak/>
        <w:t>Board</w:t>
      </w:r>
      <w:r w:rsidR="002D51A4" w:rsidRPr="00E02273">
        <w:rPr>
          <w:lang w:val="en-CA"/>
        </w:rPr>
        <w:t xml:space="preserve">. </w:t>
      </w:r>
      <w:r w:rsidR="009B5A44" w:rsidRPr="00E02273">
        <w:rPr>
          <w:lang w:val="en-CA"/>
        </w:rPr>
        <w:t xml:space="preserve">In </w:t>
      </w:r>
      <w:r w:rsidR="002D51A4" w:rsidRPr="00E02273">
        <w:rPr>
          <w:lang w:val="en-CA"/>
        </w:rPr>
        <w:t>addition,</w:t>
      </w:r>
      <w:r w:rsidR="009B5A44" w:rsidRPr="00E02273">
        <w:rPr>
          <w:lang w:val="en-CA"/>
        </w:rPr>
        <w:t xml:space="preserve"> the new </w:t>
      </w:r>
      <w:r w:rsidR="002D51A4" w:rsidRPr="00E02273">
        <w:rPr>
          <w:lang w:val="en-CA"/>
        </w:rPr>
        <w:t>guidelines adopt</w:t>
      </w:r>
      <w:r w:rsidR="009B5A44" w:rsidRPr="00E02273">
        <w:rPr>
          <w:lang w:val="en-CA"/>
        </w:rPr>
        <w:t xml:space="preserve">ed pursuant to the new regulatory context </w:t>
      </w:r>
      <w:r w:rsidR="002D51A4" w:rsidRPr="00E02273">
        <w:rPr>
          <w:lang w:val="en-CA"/>
        </w:rPr>
        <w:t>op</w:t>
      </w:r>
      <w:r w:rsidR="009B5A44" w:rsidRPr="00E02273">
        <w:rPr>
          <w:lang w:val="en-CA"/>
        </w:rPr>
        <w:t>e</w:t>
      </w:r>
      <w:r w:rsidR="002D51A4" w:rsidRPr="00E02273">
        <w:rPr>
          <w:lang w:val="en-CA"/>
        </w:rPr>
        <w:t>ration</w:t>
      </w:r>
      <w:r w:rsidR="009B5A44" w:rsidRPr="00E02273">
        <w:rPr>
          <w:lang w:val="en-CA"/>
        </w:rPr>
        <w:t>a</w:t>
      </w:r>
      <w:r w:rsidR="002D51A4" w:rsidRPr="00E02273">
        <w:rPr>
          <w:lang w:val="en-CA"/>
        </w:rPr>
        <w:t>li</w:t>
      </w:r>
      <w:r w:rsidR="009B5A44" w:rsidRPr="00E02273">
        <w:rPr>
          <w:lang w:val="en-CA"/>
        </w:rPr>
        <w:t>z</w:t>
      </w:r>
      <w:r w:rsidR="002D51A4" w:rsidRPr="00E02273">
        <w:rPr>
          <w:lang w:val="en-CA"/>
        </w:rPr>
        <w:t>e</w:t>
      </w:r>
      <w:r w:rsidR="009B5A44" w:rsidRPr="00E02273">
        <w:rPr>
          <w:lang w:val="en-CA"/>
        </w:rPr>
        <w:t xml:space="preserve"> the new regulatory factors</w:t>
      </w:r>
      <w:r w:rsidR="00CC07B1" w:rsidRPr="00E02273">
        <w:rPr>
          <w:lang w:val="en-CA"/>
        </w:rPr>
        <w:t xml:space="preserve"> in a manner that is entirely consistent with what is set out in the Regulatory Impact Analysis Statement</w:t>
      </w:r>
      <w:r w:rsidR="002D51A4" w:rsidRPr="00E02273">
        <w:rPr>
          <w:lang w:val="en-CA"/>
        </w:rPr>
        <w:t>.</w:t>
      </w:r>
    </w:p>
    <w:p w14:paraId="6F64F6AA" w14:textId="7CD44258" w:rsidR="00B568AD" w:rsidRPr="00E02273" w:rsidRDefault="003330AE" w:rsidP="00D57A2A">
      <w:pPr>
        <w:pStyle w:val="Paragraphe"/>
        <w:tabs>
          <w:tab w:val="clear" w:pos="4973"/>
          <w:tab w:val="num" w:pos="709"/>
        </w:tabs>
        <w:spacing w:line="240" w:lineRule="auto"/>
        <w:ind w:left="0"/>
        <w:rPr>
          <w:lang w:val="en-CA"/>
        </w:rPr>
      </w:pPr>
      <w:r w:rsidRPr="00E02273">
        <w:rPr>
          <w:lang w:val="en-CA"/>
        </w:rPr>
        <w:t xml:space="preserve">I do not see how, in the </w:t>
      </w:r>
      <w:r w:rsidR="002D51A4" w:rsidRPr="00E02273">
        <w:rPr>
          <w:lang w:val="en-CA"/>
        </w:rPr>
        <w:t>pith</w:t>
      </w:r>
      <w:r w:rsidRPr="00E02273">
        <w:rPr>
          <w:lang w:val="en-CA"/>
        </w:rPr>
        <w:t xml:space="preserve"> </w:t>
      </w:r>
      <w:r w:rsidR="002D51A4" w:rsidRPr="00E02273">
        <w:rPr>
          <w:lang w:val="en-CA"/>
        </w:rPr>
        <w:t>and</w:t>
      </w:r>
      <w:r w:rsidRPr="00E02273">
        <w:rPr>
          <w:lang w:val="en-CA"/>
        </w:rPr>
        <w:t xml:space="preserve"> substance analysis</w:t>
      </w:r>
      <w:r w:rsidR="002D51A4" w:rsidRPr="00E02273">
        <w:rPr>
          <w:lang w:val="en-CA"/>
        </w:rPr>
        <w:t>,</w:t>
      </w:r>
      <w:r w:rsidRPr="00E02273">
        <w:rPr>
          <w:lang w:val="en-CA"/>
        </w:rPr>
        <w:t xml:space="preserve"> </w:t>
      </w:r>
      <w:r w:rsidR="00E37DB4">
        <w:rPr>
          <w:lang w:val="en-CA"/>
        </w:rPr>
        <w:t>one may</w:t>
      </w:r>
      <w:r w:rsidRPr="00E02273">
        <w:rPr>
          <w:lang w:val="en-CA"/>
        </w:rPr>
        <w:t xml:space="preserve"> consider regulatory impact analysis statements</w:t>
      </w:r>
      <w:r w:rsidR="002D51A4" w:rsidRPr="00E02273">
        <w:rPr>
          <w:lang w:val="en-CA"/>
        </w:rPr>
        <w:t>, parl</w:t>
      </w:r>
      <w:r w:rsidRPr="00E02273">
        <w:rPr>
          <w:lang w:val="en-CA"/>
        </w:rPr>
        <w:t xml:space="preserve">iamentary speeches, and other statements made by the </w:t>
      </w:r>
      <w:r w:rsidR="002D51A4" w:rsidRPr="00E02273">
        <w:rPr>
          <w:lang w:val="en-CA"/>
        </w:rPr>
        <w:t>ministers respons</w:t>
      </w:r>
      <w:r w:rsidRPr="00E02273">
        <w:rPr>
          <w:lang w:val="en-CA"/>
        </w:rPr>
        <w:t>i</w:t>
      </w:r>
      <w:r w:rsidR="002D51A4" w:rsidRPr="00E02273">
        <w:rPr>
          <w:lang w:val="en-CA"/>
        </w:rPr>
        <w:t>ble</w:t>
      </w:r>
      <w:r w:rsidRPr="00E02273">
        <w:rPr>
          <w:lang w:val="en-CA"/>
        </w:rPr>
        <w:t xml:space="preserve"> </w:t>
      </w:r>
      <w:r w:rsidR="00681CAB" w:rsidRPr="00E02273">
        <w:rPr>
          <w:lang w:val="en-CA"/>
        </w:rPr>
        <w:t>regarding the</w:t>
      </w:r>
      <w:r w:rsidRPr="00E02273">
        <w:rPr>
          <w:lang w:val="en-CA"/>
        </w:rPr>
        <w:t xml:space="preserve"> </w:t>
      </w:r>
      <w:r w:rsidR="002D51A4" w:rsidRPr="00E02273">
        <w:rPr>
          <w:lang w:val="en-CA"/>
        </w:rPr>
        <w:t>impugned</w:t>
      </w:r>
      <w:r w:rsidRPr="00E02273">
        <w:rPr>
          <w:lang w:val="en-CA"/>
        </w:rPr>
        <w:t xml:space="preserve"> </w:t>
      </w:r>
      <w:r w:rsidR="002D51A4" w:rsidRPr="00E02273">
        <w:rPr>
          <w:lang w:val="en-CA"/>
        </w:rPr>
        <w:t>provisions</w:t>
      </w:r>
      <w:r w:rsidR="00681CAB" w:rsidRPr="00E02273">
        <w:rPr>
          <w:lang w:val="en-CA"/>
        </w:rPr>
        <w:t xml:space="preserve"> relevant as extrinsic evidence on the one hand</w:t>
      </w:r>
      <w:r w:rsidRPr="00E02273">
        <w:rPr>
          <w:lang w:val="en-CA"/>
        </w:rPr>
        <w:t xml:space="preserve">, and on the other </w:t>
      </w:r>
      <w:r w:rsidR="00E37DB4">
        <w:rPr>
          <w:lang w:val="en-CA"/>
        </w:rPr>
        <w:t xml:space="preserve">exclude the </w:t>
      </w:r>
      <w:r w:rsidR="002D51A4" w:rsidRPr="00E02273">
        <w:rPr>
          <w:lang w:val="en-CA"/>
        </w:rPr>
        <w:t>guidelines</w:t>
      </w:r>
      <w:r w:rsidR="00E37DB4">
        <w:rPr>
          <w:lang w:val="en-CA"/>
        </w:rPr>
        <w:t>,</w:t>
      </w:r>
      <w:r w:rsidR="00681CAB" w:rsidRPr="00E02273">
        <w:rPr>
          <w:lang w:val="en-CA"/>
        </w:rPr>
        <w:t xml:space="preserve"> whose adoption is provided for in the </w:t>
      </w:r>
      <w:r w:rsidR="00681CAB" w:rsidRPr="00E02273">
        <w:rPr>
          <w:i/>
          <w:lang w:val="en-CA"/>
        </w:rPr>
        <w:t xml:space="preserve">Act </w:t>
      </w:r>
      <w:r w:rsidR="00681CAB" w:rsidRPr="00E02273">
        <w:rPr>
          <w:lang w:val="en-CA"/>
        </w:rPr>
        <w:t xml:space="preserve">and whose </w:t>
      </w:r>
      <w:r w:rsidR="002D51A4" w:rsidRPr="00E02273">
        <w:rPr>
          <w:lang w:val="en-CA"/>
        </w:rPr>
        <w:t>implementation</w:t>
      </w:r>
      <w:r w:rsidR="00681CAB" w:rsidRPr="00E02273">
        <w:rPr>
          <w:lang w:val="en-CA"/>
        </w:rPr>
        <w:t xml:space="preserve"> is </w:t>
      </w:r>
      <w:r w:rsidR="00E37DB4">
        <w:rPr>
          <w:lang w:val="en-CA"/>
        </w:rPr>
        <w:t>closely</w:t>
      </w:r>
      <w:r w:rsidR="00E37DB4" w:rsidRPr="00E02273">
        <w:rPr>
          <w:lang w:val="en-CA"/>
        </w:rPr>
        <w:t xml:space="preserve"> </w:t>
      </w:r>
      <w:r w:rsidR="00E37DB4">
        <w:rPr>
          <w:lang w:val="en-CA"/>
        </w:rPr>
        <w:t xml:space="preserve">related </w:t>
      </w:r>
      <w:r w:rsidR="00681CAB" w:rsidRPr="00E02273">
        <w:rPr>
          <w:lang w:val="en-CA"/>
        </w:rPr>
        <w:t xml:space="preserve">to the purpose of the </w:t>
      </w:r>
      <w:r w:rsidR="002D51A4" w:rsidRPr="00E02273">
        <w:rPr>
          <w:lang w:val="en-CA"/>
        </w:rPr>
        <w:t>impugned</w:t>
      </w:r>
      <w:r w:rsidR="00681CAB" w:rsidRPr="00E02273">
        <w:rPr>
          <w:lang w:val="en-CA"/>
        </w:rPr>
        <w:t xml:space="preserve"> </w:t>
      </w:r>
      <w:r w:rsidR="002D51A4" w:rsidRPr="00E02273">
        <w:rPr>
          <w:lang w:val="en-CA"/>
        </w:rPr>
        <w:t>provisions,</w:t>
      </w:r>
      <w:r w:rsidR="00681CAB" w:rsidRPr="00E02273">
        <w:rPr>
          <w:lang w:val="en-CA"/>
        </w:rPr>
        <w:t xml:space="preserve"> on the </w:t>
      </w:r>
      <w:r w:rsidR="002D51A4" w:rsidRPr="00E02273">
        <w:rPr>
          <w:lang w:val="en-CA"/>
        </w:rPr>
        <w:t>ground</w:t>
      </w:r>
      <w:r w:rsidR="00681CAB" w:rsidRPr="00E02273">
        <w:rPr>
          <w:lang w:val="en-CA"/>
        </w:rPr>
        <w:t xml:space="preserve"> that they are not formal rules of law. In </w:t>
      </w:r>
      <w:r w:rsidR="002D51A4" w:rsidRPr="00E02273">
        <w:rPr>
          <w:lang w:val="en-CA"/>
        </w:rPr>
        <w:t>this</w:t>
      </w:r>
      <w:r w:rsidR="00681CAB" w:rsidRPr="00E02273">
        <w:rPr>
          <w:lang w:val="en-CA"/>
        </w:rPr>
        <w:t xml:space="preserve"> </w:t>
      </w:r>
      <w:r w:rsidR="002D51A4" w:rsidRPr="00E02273">
        <w:rPr>
          <w:lang w:val="en-CA"/>
        </w:rPr>
        <w:t xml:space="preserve">respect, </w:t>
      </w:r>
      <w:r w:rsidR="00681CAB" w:rsidRPr="00E02273">
        <w:rPr>
          <w:lang w:val="en-CA"/>
        </w:rPr>
        <w:t xml:space="preserve">the ministerial statements </w:t>
      </w:r>
      <w:r w:rsidR="00F0667E" w:rsidRPr="00E02273">
        <w:rPr>
          <w:lang w:val="en-CA"/>
        </w:rPr>
        <w:t xml:space="preserve">and </w:t>
      </w:r>
      <w:r w:rsidR="00681CAB" w:rsidRPr="00E02273">
        <w:rPr>
          <w:lang w:val="en-CA"/>
        </w:rPr>
        <w:t xml:space="preserve">regulatory impact analysis statements are also not rules of law, and yet it is </w:t>
      </w:r>
      <w:r w:rsidR="007604B2" w:rsidRPr="00E02273">
        <w:rPr>
          <w:lang w:val="en-CA"/>
        </w:rPr>
        <w:t>legitimate</w:t>
      </w:r>
      <w:r w:rsidR="002D51A4" w:rsidRPr="00E02273">
        <w:rPr>
          <w:lang w:val="en-CA"/>
        </w:rPr>
        <w:t xml:space="preserve"> </w:t>
      </w:r>
      <w:r w:rsidR="007604B2" w:rsidRPr="00E02273">
        <w:rPr>
          <w:lang w:val="en-CA"/>
        </w:rPr>
        <w:t xml:space="preserve">and sometimes even necessary to consider them in the </w:t>
      </w:r>
      <w:r w:rsidR="002D51A4" w:rsidRPr="00E02273">
        <w:rPr>
          <w:lang w:val="en-CA"/>
        </w:rPr>
        <w:t>pith</w:t>
      </w:r>
      <w:r w:rsidR="007604B2" w:rsidRPr="00E02273">
        <w:rPr>
          <w:lang w:val="en-CA"/>
        </w:rPr>
        <w:t xml:space="preserve"> </w:t>
      </w:r>
      <w:r w:rsidR="002D51A4" w:rsidRPr="00E02273">
        <w:rPr>
          <w:lang w:val="en-CA"/>
        </w:rPr>
        <w:t>and</w:t>
      </w:r>
      <w:r w:rsidR="007604B2" w:rsidRPr="00E02273">
        <w:rPr>
          <w:lang w:val="en-CA"/>
        </w:rPr>
        <w:t xml:space="preserve"> </w:t>
      </w:r>
      <w:r w:rsidR="002D51A4" w:rsidRPr="00E02273">
        <w:rPr>
          <w:lang w:val="en-CA"/>
        </w:rPr>
        <w:t>substance</w:t>
      </w:r>
      <w:r w:rsidR="007604B2" w:rsidRPr="00E02273">
        <w:rPr>
          <w:lang w:val="en-CA"/>
        </w:rPr>
        <w:t xml:space="preserve"> analysis</w:t>
      </w:r>
      <w:r w:rsidR="002D51A4" w:rsidRPr="00E02273">
        <w:rPr>
          <w:lang w:val="en-CA"/>
        </w:rPr>
        <w:t xml:space="preserve">. </w:t>
      </w:r>
    </w:p>
    <w:p w14:paraId="0F57DC4F" w14:textId="60F47D94" w:rsidR="00B568AD" w:rsidRPr="00E02273" w:rsidRDefault="00C40156" w:rsidP="00D57A2A">
      <w:pPr>
        <w:pStyle w:val="Paragraphe"/>
        <w:tabs>
          <w:tab w:val="clear" w:pos="4973"/>
          <w:tab w:val="num" w:pos="851"/>
        </w:tabs>
        <w:spacing w:line="240" w:lineRule="auto"/>
        <w:ind w:left="0"/>
        <w:rPr>
          <w:lang w:val="en-CA"/>
        </w:rPr>
      </w:pPr>
      <w:r w:rsidRPr="00E02273">
        <w:rPr>
          <w:lang w:val="en-CA"/>
        </w:rPr>
        <w:t xml:space="preserve">Although the </w:t>
      </w:r>
      <w:r w:rsidR="002D51A4" w:rsidRPr="00E02273">
        <w:rPr>
          <w:lang w:val="en-CA"/>
        </w:rPr>
        <w:t>guidelines</w:t>
      </w:r>
      <w:r w:rsidRPr="00E02273">
        <w:rPr>
          <w:lang w:val="en-CA"/>
        </w:rPr>
        <w:t xml:space="preserve"> may ev</w:t>
      </w:r>
      <w:r w:rsidR="002D51A4" w:rsidRPr="00E02273">
        <w:rPr>
          <w:lang w:val="en-CA"/>
        </w:rPr>
        <w:t>ol</w:t>
      </w:r>
      <w:r w:rsidRPr="00E02273">
        <w:rPr>
          <w:lang w:val="en-CA"/>
        </w:rPr>
        <w:t>v</w:t>
      </w:r>
      <w:r w:rsidR="002D51A4" w:rsidRPr="00E02273">
        <w:rPr>
          <w:lang w:val="en-CA"/>
        </w:rPr>
        <w:t>e</w:t>
      </w:r>
      <w:r w:rsidRPr="00E02273">
        <w:rPr>
          <w:lang w:val="en-CA"/>
        </w:rPr>
        <w:t xml:space="preserve"> ove</w:t>
      </w:r>
      <w:r w:rsidR="002D51A4" w:rsidRPr="00E02273">
        <w:rPr>
          <w:lang w:val="en-CA"/>
        </w:rPr>
        <w:t>r</w:t>
      </w:r>
      <w:r w:rsidRPr="00E02273">
        <w:rPr>
          <w:lang w:val="en-CA"/>
        </w:rPr>
        <w:t xml:space="preserve"> time further to the extensive </w:t>
      </w:r>
      <w:r w:rsidR="002D51A4" w:rsidRPr="00E02273">
        <w:rPr>
          <w:lang w:val="en-CA"/>
        </w:rPr>
        <w:t xml:space="preserve">consultation </w:t>
      </w:r>
      <w:r w:rsidR="00E37DB4">
        <w:rPr>
          <w:lang w:val="en-CA"/>
        </w:rPr>
        <w:t>prescribed</w:t>
      </w:r>
      <w:r w:rsidRPr="00E02273">
        <w:rPr>
          <w:lang w:val="en-CA"/>
        </w:rPr>
        <w:t xml:space="preserve"> by the </w:t>
      </w:r>
      <w:r w:rsidRPr="00E02273">
        <w:rPr>
          <w:i/>
          <w:lang w:val="en-CA"/>
        </w:rPr>
        <w:t>Act</w:t>
      </w:r>
      <w:r w:rsidRPr="00E02273">
        <w:rPr>
          <w:lang w:val="en-CA"/>
        </w:rPr>
        <w:t>, the fact rema</w:t>
      </w:r>
      <w:r w:rsidR="00F0667E" w:rsidRPr="00E02273">
        <w:rPr>
          <w:lang w:val="en-CA"/>
        </w:rPr>
        <w:t>in</w:t>
      </w:r>
      <w:r w:rsidRPr="00E02273">
        <w:rPr>
          <w:lang w:val="en-CA"/>
        </w:rPr>
        <w:t>s that they faithfully reflect the</w:t>
      </w:r>
      <w:r w:rsidR="00F0667E" w:rsidRPr="00E02273">
        <w:rPr>
          <w:lang w:val="en-CA"/>
        </w:rPr>
        <w:t xml:space="preserve"> Regulatory Impact Analysis Statement with respect to</w:t>
      </w:r>
      <w:r w:rsidRPr="00E02273">
        <w:rPr>
          <w:lang w:val="en-CA"/>
        </w:rPr>
        <w:t xml:space="preserve"> </w:t>
      </w:r>
      <w:r w:rsidR="00F0667E" w:rsidRPr="00E02273">
        <w:rPr>
          <w:lang w:val="en-CA"/>
        </w:rPr>
        <w:t xml:space="preserve">the purpose of the new </w:t>
      </w:r>
      <w:r w:rsidR="002D51A4" w:rsidRPr="00E02273">
        <w:rPr>
          <w:lang w:val="en-CA"/>
        </w:rPr>
        <w:t>fact</w:t>
      </w:r>
      <w:r w:rsidR="00F0667E" w:rsidRPr="00E02273">
        <w:rPr>
          <w:lang w:val="en-CA"/>
        </w:rPr>
        <w:t>o</w:t>
      </w:r>
      <w:r w:rsidR="002D51A4" w:rsidRPr="00E02273">
        <w:rPr>
          <w:lang w:val="en-CA"/>
        </w:rPr>
        <w:t>rs introdu</w:t>
      </w:r>
      <w:r w:rsidR="00F0667E" w:rsidRPr="00E02273">
        <w:rPr>
          <w:lang w:val="en-CA"/>
        </w:rPr>
        <w:t xml:space="preserve">ced by the new regulations and </w:t>
      </w:r>
      <w:r w:rsidR="002D51A4" w:rsidRPr="00E02273">
        <w:rPr>
          <w:lang w:val="en-CA"/>
        </w:rPr>
        <w:t>confirm</w:t>
      </w:r>
      <w:r w:rsidR="00F0667E" w:rsidRPr="00E02273">
        <w:rPr>
          <w:lang w:val="en-CA"/>
        </w:rPr>
        <w:t xml:space="preserve"> that purpose. As the </w:t>
      </w:r>
      <w:r w:rsidR="002D51A4" w:rsidRPr="00E02273">
        <w:rPr>
          <w:lang w:val="en-CA"/>
        </w:rPr>
        <w:t>judge</w:t>
      </w:r>
      <w:r w:rsidR="00F0667E" w:rsidRPr="00E02273">
        <w:rPr>
          <w:lang w:val="en-CA"/>
        </w:rPr>
        <w:t xml:space="preserve"> herself </w:t>
      </w:r>
      <w:r w:rsidR="00315BCF">
        <w:rPr>
          <w:lang w:val="en-CA"/>
        </w:rPr>
        <w:t xml:space="preserve">remarked </w:t>
      </w:r>
      <w:r w:rsidR="00F0667E" w:rsidRPr="00E02273">
        <w:rPr>
          <w:lang w:val="en-CA"/>
        </w:rPr>
        <w:t xml:space="preserve">in her analysis of the </w:t>
      </w:r>
      <w:r w:rsidR="002D51A4" w:rsidRPr="00E02273">
        <w:rPr>
          <w:lang w:val="en-CA"/>
        </w:rPr>
        <w:t>pith</w:t>
      </w:r>
      <w:r w:rsidR="00F0667E" w:rsidRPr="00E02273">
        <w:rPr>
          <w:lang w:val="en-CA"/>
        </w:rPr>
        <w:t xml:space="preserve"> </w:t>
      </w:r>
      <w:r w:rsidR="002D51A4" w:rsidRPr="00E02273">
        <w:rPr>
          <w:lang w:val="en-CA"/>
        </w:rPr>
        <w:t>and</w:t>
      </w:r>
      <w:r w:rsidR="00F0667E" w:rsidRPr="00E02273">
        <w:rPr>
          <w:lang w:val="en-CA"/>
        </w:rPr>
        <w:t xml:space="preserve"> </w:t>
      </w:r>
      <w:r w:rsidR="002D51A4" w:rsidRPr="00E02273">
        <w:rPr>
          <w:lang w:val="en-CA"/>
        </w:rPr>
        <w:t>substance</w:t>
      </w:r>
      <w:r w:rsidR="00C206B0" w:rsidRPr="00E02273">
        <w:rPr>
          <w:lang w:val="en-CA"/>
        </w:rPr>
        <w:t xml:space="preserve"> of</w:t>
      </w:r>
      <w:r w:rsidR="002D51A4" w:rsidRPr="00E02273">
        <w:rPr>
          <w:lang w:val="en-CA"/>
        </w:rPr>
        <w:t xml:space="preserve"> R</w:t>
      </w:r>
      <w:r w:rsidR="00C206B0" w:rsidRPr="00E02273">
        <w:rPr>
          <w:lang w:val="en-CA"/>
        </w:rPr>
        <w:t>e</w:t>
      </w:r>
      <w:r w:rsidR="002D51A4" w:rsidRPr="00E02273">
        <w:rPr>
          <w:lang w:val="en-CA"/>
        </w:rPr>
        <w:t>gime 1,</w:t>
      </w:r>
      <w:r w:rsidR="00B63DFB">
        <w:rPr>
          <w:lang w:val="en-CA"/>
        </w:rPr>
        <w:t xml:space="preserve"> [</w:t>
      </w:r>
      <w:r w:rsidR="00B63DFB">
        <w:rPr>
          <w:smallCaps/>
          <w:lang w:val="en-CA"/>
        </w:rPr>
        <w:t>translation</w:t>
      </w:r>
      <w:r w:rsidR="00B63DFB">
        <w:rPr>
          <w:lang w:val="en-CA"/>
        </w:rPr>
        <w:t>]</w:t>
      </w:r>
      <w:r w:rsidR="002D51A4" w:rsidRPr="00E02273">
        <w:rPr>
          <w:lang w:val="en-CA"/>
        </w:rPr>
        <w:t xml:space="preserve"> </w:t>
      </w:r>
      <w:r w:rsidR="00C206B0" w:rsidRPr="00E02273">
        <w:rPr>
          <w:lang w:val="en-CA"/>
        </w:rPr>
        <w:t>“[t]he Guidelines confirm this interpretation”.</w:t>
      </w:r>
      <w:r w:rsidR="002D51A4" w:rsidRPr="00E02273">
        <w:rPr>
          <w:rStyle w:val="Appelnotedebasdep"/>
          <w:lang w:val="en-CA"/>
        </w:rPr>
        <w:footnoteReference w:id="157"/>
      </w:r>
      <w:r w:rsidR="002D51A4" w:rsidRPr="00E02273">
        <w:rPr>
          <w:lang w:val="en-CA"/>
        </w:rPr>
        <w:t xml:space="preserve"> </w:t>
      </w:r>
    </w:p>
    <w:p w14:paraId="38AB829D" w14:textId="13EEBE23" w:rsidR="00B568AD" w:rsidRPr="00E02273" w:rsidRDefault="00F04FE9" w:rsidP="00D57A2A">
      <w:pPr>
        <w:pStyle w:val="Paragraphe"/>
        <w:tabs>
          <w:tab w:val="clear" w:pos="4973"/>
          <w:tab w:val="num" w:pos="851"/>
        </w:tabs>
        <w:spacing w:line="240" w:lineRule="auto"/>
        <w:ind w:left="0"/>
        <w:rPr>
          <w:lang w:val="en-CA"/>
        </w:rPr>
      </w:pPr>
      <w:r w:rsidRPr="00E02273">
        <w:rPr>
          <w:lang w:val="en-CA"/>
        </w:rPr>
        <w:t xml:space="preserve">In </w:t>
      </w:r>
      <w:r w:rsidR="002910E0" w:rsidRPr="00E02273">
        <w:rPr>
          <w:lang w:val="en-CA"/>
        </w:rPr>
        <w:t>fact</w:t>
      </w:r>
      <w:r w:rsidRPr="00E02273">
        <w:rPr>
          <w:lang w:val="en-CA"/>
        </w:rPr>
        <w:t xml:space="preserve">, the usefulness of the Board’s </w:t>
      </w:r>
      <w:r w:rsidR="002D51A4" w:rsidRPr="00E02273">
        <w:rPr>
          <w:lang w:val="en-CA"/>
        </w:rPr>
        <w:t>guidelines</w:t>
      </w:r>
      <w:r w:rsidRPr="00E02273">
        <w:rPr>
          <w:lang w:val="en-CA"/>
        </w:rPr>
        <w:t xml:space="preserve"> in determining the </w:t>
      </w:r>
      <w:r w:rsidR="002D51A4" w:rsidRPr="00E02273">
        <w:rPr>
          <w:lang w:val="en-CA"/>
        </w:rPr>
        <w:t>pith</w:t>
      </w:r>
      <w:r w:rsidRPr="00E02273">
        <w:rPr>
          <w:lang w:val="en-CA"/>
        </w:rPr>
        <w:t xml:space="preserve"> </w:t>
      </w:r>
      <w:r w:rsidR="002D51A4" w:rsidRPr="00E02273">
        <w:rPr>
          <w:lang w:val="en-CA"/>
        </w:rPr>
        <w:t>and</w:t>
      </w:r>
      <w:r w:rsidRPr="00E02273">
        <w:rPr>
          <w:lang w:val="en-CA"/>
        </w:rPr>
        <w:t xml:space="preserve"> </w:t>
      </w:r>
      <w:r w:rsidR="002D51A4" w:rsidRPr="00E02273">
        <w:rPr>
          <w:lang w:val="en-CA"/>
        </w:rPr>
        <w:t>substance</w:t>
      </w:r>
      <w:r w:rsidRPr="00E02273">
        <w:rPr>
          <w:lang w:val="en-CA"/>
        </w:rPr>
        <w:t xml:space="preserve"> of the </w:t>
      </w:r>
      <w:r w:rsidR="00866E58" w:rsidRPr="00E02273">
        <w:rPr>
          <w:i/>
          <w:lang w:val="en-CA"/>
        </w:rPr>
        <w:t>2019 Regulatory Amendments</w:t>
      </w:r>
      <w:r w:rsidR="002D51A4" w:rsidRPr="00E02273">
        <w:rPr>
          <w:i/>
          <w:lang w:val="en-CA"/>
        </w:rPr>
        <w:t xml:space="preserve"> </w:t>
      </w:r>
      <w:r w:rsidRPr="00E02273">
        <w:rPr>
          <w:lang w:val="en-CA"/>
        </w:rPr>
        <w:t xml:space="preserve">appears </w:t>
      </w:r>
      <w:r w:rsidR="002D51A4" w:rsidRPr="00E02273">
        <w:rPr>
          <w:lang w:val="en-CA"/>
        </w:rPr>
        <w:t>indisputable</w:t>
      </w:r>
      <w:r w:rsidRPr="00E02273">
        <w:rPr>
          <w:lang w:val="en-CA"/>
        </w:rPr>
        <w:t xml:space="preserve"> in this case</w:t>
      </w:r>
      <w:r w:rsidR="002D51A4" w:rsidRPr="00E02273">
        <w:rPr>
          <w:lang w:val="en-CA"/>
        </w:rPr>
        <w:t>, consid</w:t>
      </w:r>
      <w:r w:rsidRPr="00E02273">
        <w:rPr>
          <w:lang w:val="en-CA"/>
        </w:rPr>
        <w:t xml:space="preserve">ering that the new regulations are specifically intended to allow the Board to establish new </w:t>
      </w:r>
      <w:r w:rsidR="002D51A4" w:rsidRPr="00E02273">
        <w:rPr>
          <w:lang w:val="en-CA"/>
        </w:rPr>
        <w:t>guidelines</w:t>
      </w:r>
      <w:r w:rsidRPr="00E02273">
        <w:rPr>
          <w:lang w:val="en-CA"/>
        </w:rPr>
        <w:t xml:space="preserve"> to implement the new </w:t>
      </w:r>
      <w:r w:rsidR="002D51A4" w:rsidRPr="00E02273">
        <w:rPr>
          <w:lang w:val="en-CA"/>
        </w:rPr>
        <w:t>government</w:t>
      </w:r>
      <w:r w:rsidRPr="00E02273">
        <w:rPr>
          <w:lang w:val="en-CA"/>
        </w:rPr>
        <w:t xml:space="preserve"> policy on </w:t>
      </w:r>
      <w:r w:rsidR="00726092" w:rsidRPr="00E02273">
        <w:rPr>
          <w:lang w:val="en-CA"/>
        </w:rPr>
        <w:t xml:space="preserve">the </w:t>
      </w:r>
      <w:r w:rsidRPr="00E02273">
        <w:rPr>
          <w:lang w:val="en-CA"/>
        </w:rPr>
        <w:t>re</w:t>
      </w:r>
      <w:r w:rsidR="002D51A4" w:rsidRPr="00E02273">
        <w:rPr>
          <w:lang w:val="en-CA"/>
        </w:rPr>
        <w:t>duc</w:t>
      </w:r>
      <w:r w:rsidR="00726092" w:rsidRPr="00E02273">
        <w:rPr>
          <w:lang w:val="en-CA"/>
        </w:rPr>
        <w:t xml:space="preserve">tion of </w:t>
      </w:r>
      <w:r w:rsidRPr="00E02273">
        <w:rPr>
          <w:lang w:val="en-CA"/>
        </w:rPr>
        <w:t>patented medicine</w:t>
      </w:r>
      <w:r w:rsidR="00315BCF">
        <w:rPr>
          <w:lang w:val="en-CA"/>
        </w:rPr>
        <w:t xml:space="preserve"> prices</w:t>
      </w:r>
      <w:r w:rsidRPr="00E02273">
        <w:rPr>
          <w:lang w:val="en-CA"/>
        </w:rPr>
        <w:t>. Th</w:t>
      </w:r>
      <w:r w:rsidR="00726092" w:rsidRPr="00E02273">
        <w:rPr>
          <w:lang w:val="en-CA"/>
        </w:rPr>
        <w:t xml:space="preserve">is </w:t>
      </w:r>
      <w:r w:rsidRPr="00E02273">
        <w:rPr>
          <w:lang w:val="en-CA"/>
        </w:rPr>
        <w:t xml:space="preserve">is in fact expressly </w:t>
      </w:r>
      <w:r w:rsidR="002910E0" w:rsidRPr="00E02273">
        <w:rPr>
          <w:lang w:val="en-CA"/>
        </w:rPr>
        <w:t xml:space="preserve">set out in </w:t>
      </w:r>
      <w:r w:rsidRPr="00E02273">
        <w:rPr>
          <w:lang w:val="en-CA"/>
        </w:rPr>
        <w:t>the Regulatory Impact Analysis Statement</w:t>
      </w:r>
      <w:r w:rsidR="00726092" w:rsidRPr="00E02273">
        <w:rPr>
          <w:lang w:val="en-CA"/>
        </w:rPr>
        <w:t>: “</w:t>
      </w:r>
      <w:r w:rsidR="002910E0" w:rsidRPr="00E02273">
        <w:rPr>
          <w:lang w:val="en-CA"/>
        </w:rPr>
        <w:t>Under a modernized regulatory framework, the [Board] will have a stronger basis from which to modernize its Guidelines”.</w:t>
      </w:r>
      <w:r w:rsidR="002D51A4" w:rsidRPr="00E02273">
        <w:rPr>
          <w:rStyle w:val="Appelnotedebasdep"/>
          <w:lang w:val="en-CA"/>
        </w:rPr>
        <w:footnoteReference w:id="158"/>
      </w:r>
      <w:r w:rsidR="002D51A4" w:rsidRPr="00E02273">
        <w:rPr>
          <w:lang w:val="en-CA"/>
        </w:rPr>
        <w:t xml:space="preserve"> </w:t>
      </w:r>
    </w:p>
    <w:p w14:paraId="26BE988E" w14:textId="20276684" w:rsidR="00B568AD" w:rsidRPr="00E02273" w:rsidRDefault="002910E0" w:rsidP="00D57A2A">
      <w:pPr>
        <w:pStyle w:val="Paragraphe"/>
        <w:tabs>
          <w:tab w:val="clear" w:pos="4973"/>
          <w:tab w:val="num" w:pos="851"/>
        </w:tabs>
        <w:spacing w:line="240" w:lineRule="auto"/>
        <w:ind w:left="0"/>
        <w:rPr>
          <w:lang w:val="en-CA"/>
        </w:rPr>
      </w:pPr>
      <w:r w:rsidRPr="00E02273">
        <w:rPr>
          <w:lang w:val="en-CA"/>
        </w:rPr>
        <w:t>In my view, it would be un</w:t>
      </w:r>
      <w:r w:rsidR="002D51A4" w:rsidRPr="00E02273">
        <w:rPr>
          <w:lang w:val="en-CA"/>
        </w:rPr>
        <w:t xml:space="preserve">acceptable </w:t>
      </w:r>
      <w:r w:rsidRPr="00E02273">
        <w:rPr>
          <w:lang w:val="en-CA"/>
        </w:rPr>
        <w:t xml:space="preserve">for a </w:t>
      </w:r>
      <w:r w:rsidR="002D51A4" w:rsidRPr="00E02273">
        <w:rPr>
          <w:lang w:val="en-CA"/>
        </w:rPr>
        <w:t>regulatory</w:t>
      </w:r>
      <w:r w:rsidRPr="00E02273">
        <w:rPr>
          <w:lang w:val="en-CA"/>
        </w:rPr>
        <w:t xml:space="preserve"> regime to escape </w:t>
      </w:r>
      <w:r w:rsidR="002D51A4" w:rsidRPr="00E02273">
        <w:rPr>
          <w:lang w:val="en-CA"/>
        </w:rPr>
        <w:t>constitution</w:t>
      </w:r>
      <w:r w:rsidRPr="00E02273">
        <w:rPr>
          <w:lang w:val="en-CA"/>
        </w:rPr>
        <w:t>a</w:t>
      </w:r>
      <w:r w:rsidR="002D51A4" w:rsidRPr="00E02273">
        <w:rPr>
          <w:lang w:val="en-CA"/>
        </w:rPr>
        <w:t>l</w:t>
      </w:r>
      <w:r w:rsidRPr="00E02273">
        <w:rPr>
          <w:lang w:val="en-CA"/>
        </w:rPr>
        <w:t xml:space="preserve"> review on the </w:t>
      </w:r>
      <w:r w:rsidR="002D51A4" w:rsidRPr="00E02273">
        <w:rPr>
          <w:lang w:val="en-CA"/>
        </w:rPr>
        <w:t>ground</w:t>
      </w:r>
      <w:r w:rsidRPr="00E02273">
        <w:rPr>
          <w:lang w:val="en-CA"/>
        </w:rPr>
        <w:t xml:space="preserve"> that a court could not consider </w:t>
      </w:r>
      <w:r w:rsidR="002D51A4" w:rsidRPr="00E02273">
        <w:rPr>
          <w:lang w:val="en-CA"/>
        </w:rPr>
        <w:t>guidelines</w:t>
      </w:r>
      <w:r w:rsidRPr="00E02273">
        <w:rPr>
          <w:lang w:val="en-CA"/>
        </w:rPr>
        <w:t xml:space="preserve">, whose </w:t>
      </w:r>
      <w:r w:rsidR="002D51A4" w:rsidRPr="00E02273">
        <w:rPr>
          <w:lang w:val="en-CA"/>
        </w:rPr>
        <w:t xml:space="preserve">adoption </w:t>
      </w:r>
      <w:r w:rsidR="00CF08C9" w:rsidRPr="00E02273">
        <w:rPr>
          <w:lang w:val="en-CA"/>
        </w:rPr>
        <w:t xml:space="preserve">is </w:t>
      </w:r>
      <w:r w:rsidR="00315BCF">
        <w:rPr>
          <w:lang w:val="en-CA"/>
        </w:rPr>
        <w:t xml:space="preserve">prescribed </w:t>
      </w:r>
      <w:r w:rsidR="00CF08C9" w:rsidRPr="00E02273">
        <w:rPr>
          <w:lang w:val="en-CA"/>
        </w:rPr>
        <w:t xml:space="preserve">by the </w:t>
      </w:r>
      <w:r w:rsidR="00CF08C9" w:rsidRPr="00E02273">
        <w:rPr>
          <w:i/>
          <w:lang w:val="en-CA"/>
        </w:rPr>
        <w:t>Act</w:t>
      </w:r>
      <w:r w:rsidR="00CF08C9" w:rsidRPr="00E02273">
        <w:rPr>
          <w:lang w:val="en-CA"/>
        </w:rPr>
        <w:t>, and which</w:t>
      </w:r>
      <w:r w:rsidR="00410ECD" w:rsidRPr="00E02273">
        <w:rPr>
          <w:lang w:val="en-CA"/>
        </w:rPr>
        <w:t xml:space="preserve"> are indeed determinative in the </w:t>
      </w:r>
      <w:r w:rsidR="002D51A4" w:rsidRPr="00E02273">
        <w:rPr>
          <w:lang w:val="en-CA"/>
        </w:rPr>
        <w:t xml:space="preserve">application </w:t>
      </w:r>
      <w:r w:rsidR="009C4763" w:rsidRPr="00E02273">
        <w:rPr>
          <w:lang w:val="en-CA"/>
        </w:rPr>
        <w:t>of the re</w:t>
      </w:r>
      <w:r w:rsidR="002D51A4" w:rsidRPr="00E02273">
        <w:rPr>
          <w:lang w:val="en-CA"/>
        </w:rPr>
        <w:t xml:space="preserve">gime </w:t>
      </w:r>
      <w:r w:rsidR="009C4763" w:rsidRPr="00E02273">
        <w:rPr>
          <w:lang w:val="en-CA"/>
        </w:rPr>
        <w:t xml:space="preserve">as a while. In fact, </w:t>
      </w:r>
      <w:r w:rsidR="002D51A4" w:rsidRPr="00E02273">
        <w:rPr>
          <w:lang w:val="en-CA"/>
        </w:rPr>
        <w:t xml:space="preserve">Laskin </w:t>
      </w:r>
      <w:r w:rsidR="009D3BD1">
        <w:rPr>
          <w:lang w:val="en-CA"/>
        </w:rPr>
        <w:t xml:space="preserve">C.J. </w:t>
      </w:r>
      <w:r w:rsidR="009C4763" w:rsidRPr="00E02273">
        <w:rPr>
          <w:lang w:val="en-CA"/>
        </w:rPr>
        <w:t>noted this in 1979 in</w:t>
      </w:r>
      <w:r w:rsidR="002D51A4" w:rsidRPr="00E02273">
        <w:rPr>
          <w:lang w:val="en-CA"/>
        </w:rPr>
        <w:t xml:space="preserve"> </w:t>
      </w:r>
      <w:r w:rsidR="002D51A4" w:rsidRPr="00E02273">
        <w:rPr>
          <w:i/>
          <w:lang w:val="en-CA"/>
        </w:rPr>
        <w:t>Central Canada Potash</w:t>
      </w:r>
      <w:r w:rsidR="009C4763" w:rsidRPr="00E02273">
        <w:rPr>
          <w:lang w:val="en-CA"/>
        </w:rPr>
        <w:t>:</w:t>
      </w:r>
      <w:r w:rsidR="002D51A4" w:rsidRPr="00E02273">
        <w:rPr>
          <w:rStyle w:val="Appelnotedebasdep"/>
          <w:lang w:val="en-CA"/>
        </w:rPr>
        <w:footnoteReference w:id="159"/>
      </w:r>
    </w:p>
    <w:p w14:paraId="2EC213E0" w14:textId="77777777" w:rsidR="00E32D67" w:rsidRPr="00E02273" w:rsidRDefault="00E32D67" w:rsidP="00B568AD">
      <w:pPr>
        <w:pStyle w:val="Citationenretrait"/>
        <w:spacing w:line="240" w:lineRule="auto"/>
        <w:rPr>
          <w:lang w:val="en-CA"/>
        </w:rPr>
      </w:pPr>
      <w:r w:rsidRPr="00E02273">
        <w:rPr>
          <w:rFonts w:cs="Arial"/>
          <w:color w:val="000000"/>
          <w:lang w:val="en-CA"/>
        </w:rPr>
        <w:t xml:space="preserve">It is nothing new for this Court, or indeed, for any Court in this country seized of a constitutional issue, to go behind the words used by a Legislature and to see what it is that it is doing. </w:t>
      </w:r>
      <w:r w:rsidRPr="00E02273">
        <w:rPr>
          <w:rFonts w:cs="Arial"/>
          <w:color w:val="000000"/>
          <w:u w:val="single"/>
          <w:lang w:val="en-CA"/>
        </w:rPr>
        <w:t xml:space="preserve">It is especially important for Courts, called upon to interpret and apply a constitution which limits legislative power, to do so in a case where not </w:t>
      </w:r>
      <w:r w:rsidRPr="00E02273">
        <w:rPr>
          <w:rFonts w:cs="Arial"/>
          <w:color w:val="000000"/>
          <w:u w:val="single"/>
          <w:lang w:val="en-CA"/>
        </w:rPr>
        <w:lastRenderedPageBreak/>
        <w:t>only the authorizing legislation but regulations enacted pursuant thereto are themselves couched in generalities, and the bite of a scheme envisaged by the parent legislation and the delegated regulations is found in administrative directions</w:t>
      </w:r>
      <w:r w:rsidRPr="00E02273">
        <w:rPr>
          <w:rFonts w:cs="Arial"/>
          <w:color w:val="000000"/>
          <w:lang w:val="en-CA"/>
        </w:rPr>
        <w:t>.</w:t>
      </w:r>
      <w:r w:rsidRPr="00E02273">
        <w:rPr>
          <w:lang w:val="en-CA"/>
        </w:rPr>
        <w:t xml:space="preserve"> </w:t>
      </w:r>
    </w:p>
    <w:p w14:paraId="0C6CB424" w14:textId="699C4AB7" w:rsidR="00B568AD" w:rsidRPr="00E02273" w:rsidRDefault="002D51A4" w:rsidP="00B568AD">
      <w:pPr>
        <w:pStyle w:val="Citationenretrait"/>
        <w:spacing w:line="240" w:lineRule="auto"/>
        <w:jc w:val="right"/>
        <w:rPr>
          <w:lang w:val="en-CA"/>
        </w:rPr>
      </w:pPr>
      <w:r w:rsidRPr="00E02273">
        <w:rPr>
          <w:lang w:val="en-CA"/>
        </w:rPr>
        <w:t>[Emphasis</w:t>
      </w:r>
      <w:r w:rsidR="00E32D67" w:rsidRPr="00E02273">
        <w:rPr>
          <w:lang w:val="en-CA"/>
        </w:rPr>
        <w:t xml:space="preserve"> </w:t>
      </w:r>
      <w:r w:rsidRPr="00E02273">
        <w:rPr>
          <w:lang w:val="en-CA"/>
        </w:rPr>
        <w:t>added</w:t>
      </w:r>
      <w:r w:rsidR="00E32D67" w:rsidRPr="00E02273">
        <w:rPr>
          <w:lang w:val="en-CA"/>
        </w:rPr>
        <w:t>.</w:t>
      </w:r>
      <w:r w:rsidRPr="00E02273">
        <w:rPr>
          <w:lang w:val="en-CA"/>
        </w:rPr>
        <w:t>]</w:t>
      </w:r>
    </w:p>
    <w:p w14:paraId="41478BD7" w14:textId="38D7D652" w:rsidR="00B568AD" w:rsidRPr="00E02273" w:rsidRDefault="00AF4D1D" w:rsidP="00DE11D2">
      <w:pPr>
        <w:pStyle w:val="Paragraphe"/>
        <w:tabs>
          <w:tab w:val="num" w:pos="709"/>
        </w:tabs>
        <w:spacing w:line="240" w:lineRule="auto"/>
        <w:ind w:left="0"/>
        <w:rPr>
          <w:lang w:val="en-CA"/>
        </w:rPr>
      </w:pPr>
      <w:r w:rsidRPr="00E02273">
        <w:rPr>
          <w:lang w:val="en-CA"/>
        </w:rPr>
        <w:t xml:space="preserve">The </w:t>
      </w:r>
      <w:r w:rsidR="002D51A4" w:rsidRPr="00E02273">
        <w:rPr>
          <w:lang w:val="en-CA"/>
        </w:rPr>
        <w:t>courts</w:t>
      </w:r>
      <w:r w:rsidRPr="00E02273">
        <w:rPr>
          <w:lang w:val="en-CA"/>
        </w:rPr>
        <w:t xml:space="preserve"> must be able to assess the anticipated effects of regulations as established by the </w:t>
      </w:r>
      <w:r w:rsidR="002D51A4" w:rsidRPr="00E02273">
        <w:rPr>
          <w:lang w:val="en-CA"/>
        </w:rPr>
        <w:t>evidence.</w:t>
      </w:r>
      <w:r w:rsidRPr="00E02273">
        <w:rPr>
          <w:lang w:val="en-CA"/>
        </w:rPr>
        <w:t xml:space="preserve"> Otherwise, the </w:t>
      </w:r>
      <w:r w:rsidR="002D51A4" w:rsidRPr="00E02273">
        <w:rPr>
          <w:lang w:val="en-CA"/>
        </w:rPr>
        <w:t>credibility</w:t>
      </w:r>
      <w:r w:rsidRPr="00E02273">
        <w:rPr>
          <w:lang w:val="en-CA"/>
        </w:rPr>
        <w:t xml:space="preserve"> of the judicial review of their constitutionality could be called into </w:t>
      </w:r>
      <w:r w:rsidR="002D51A4" w:rsidRPr="00E02273">
        <w:rPr>
          <w:lang w:val="en-CA"/>
        </w:rPr>
        <w:t xml:space="preserve">question. </w:t>
      </w:r>
      <w:r w:rsidRPr="00E02273">
        <w:rPr>
          <w:lang w:val="en-CA"/>
        </w:rPr>
        <w:t xml:space="preserve">This observation is particularly </w:t>
      </w:r>
      <w:r w:rsidR="00F04F59" w:rsidRPr="00E02273">
        <w:rPr>
          <w:lang w:val="en-CA"/>
        </w:rPr>
        <w:t xml:space="preserve">acute in this case because the very purpose of the </w:t>
      </w:r>
      <w:r w:rsidR="002D51A4" w:rsidRPr="00E02273">
        <w:rPr>
          <w:lang w:val="en-CA"/>
        </w:rPr>
        <w:t xml:space="preserve">second </w:t>
      </w:r>
      <w:r w:rsidR="00EC7001">
        <w:rPr>
          <w:lang w:val="en-CA"/>
        </w:rPr>
        <w:t>component</w:t>
      </w:r>
      <w:r w:rsidR="00F04F59" w:rsidRPr="00E02273">
        <w:rPr>
          <w:lang w:val="en-CA"/>
        </w:rPr>
        <w:t xml:space="preserve"> of the </w:t>
      </w:r>
      <w:r w:rsidR="00F04F59" w:rsidRPr="00E02273">
        <w:rPr>
          <w:i/>
          <w:lang w:val="en-CA"/>
        </w:rPr>
        <w:t xml:space="preserve">2019 </w:t>
      </w:r>
      <w:r w:rsidR="003F65E5">
        <w:rPr>
          <w:i/>
          <w:lang w:val="en-CA"/>
        </w:rPr>
        <w:t xml:space="preserve">Regulatory </w:t>
      </w:r>
      <w:r w:rsidR="00F04F59" w:rsidRPr="00E02273">
        <w:rPr>
          <w:i/>
          <w:lang w:val="en-CA"/>
        </w:rPr>
        <w:t>Amendments</w:t>
      </w:r>
      <w:r w:rsidR="00F04F59" w:rsidRPr="00E02273">
        <w:rPr>
          <w:lang w:val="en-CA"/>
        </w:rPr>
        <w:t xml:space="preserve"> </w:t>
      </w:r>
      <w:r w:rsidR="00B52334" w:rsidRPr="00E02273">
        <w:rPr>
          <w:lang w:val="en-CA"/>
        </w:rPr>
        <w:t xml:space="preserve">is to achieve a result, a reduction in the price of patented medicines, by </w:t>
      </w:r>
      <w:r w:rsidR="00D92C4E">
        <w:rPr>
          <w:lang w:val="en-CA"/>
        </w:rPr>
        <w:t xml:space="preserve">a </w:t>
      </w:r>
      <w:r w:rsidR="00B52334" w:rsidRPr="00E02273">
        <w:rPr>
          <w:lang w:val="en-CA"/>
        </w:rPr>
        <w:t xml:space="preserve">specific means, arbitrary price reductions of </w:t>
      </w:r>
      <w:r w:rsidR="002D51A4" w:rsidRPr="00E02273">
        <w:rPr>
          <w:lang w:val="en-CA"/>
        </w:rPr>
        <w:t xml:space="preserve">20% </w:t>
      </w:r>
      <w:r w:rsidR="00B52334" w:rsidRPr="00E02273">
        <w:rPr>
          <w:lang w:val="en-CA"/>
        </w:rPr>
        <w:t>to</w:t>
      </w:r>
      <w:r w:rsidR="002D51A4" w:rsidRPr="00E02273">
        <w:rPr>
          <w:lang w:val="en-CA"/>
        </w:rPr>
        <w:t xml:space="preserve"> 50%</w:t>
      </w:r>
      <w:r w:rsidR="00B52334" w:rsidRPr="00E02273">
        <w:rPr>
          <w:lang w:val="en-CA"/>
        </w:rPr>
        <w:t xml:space="preserve"> in some cases and of </w:t>
      </w:r>
      <w:r w:rsidR="002D51A4" w:rsidRPr="00E02273">
        <w:rPr>
          <w:lang w:val="en-CA"/>
        </w:rPr>
        <w:t xml:space="preserve">25% </w:t>
      </w:r>
      <w:r w:rsidR="00B52334" w:rsidRPr="00E02273">
        <w:rPr>
          <w:lang w:val="en-CA"/>
        </w:rPr>
        <w:t xml:space="preserve">to </w:t>
      </w:r>
      <w:r w:rsidR="002D51A4" w:rsidRPr="00E02273">
        <w:rPr>
          <w:lang w:val="en-CA"/>
        </w:rPr>
        <w:t xml:space="preserve">35% </w:t>
      </w:r>
      <w:r w:rsidR="00B52334" w:rsidRPr="00E02273">
        <w:rPr>
          <w:lang w:val="en-CA"/>
        </w:rPr>
        <w:t>in others</w:t>
      </w:r>
      <w:r w:rsidR="002D51A4" w:rsidRPr="00E02273">
        <w:rPr>
          <w:lang w:val="en-CA"/>
        </w:rPr>
        <w:t>.</w:t>
      </w:r>
      <w:r w:rsidR="00B52334" w:rsidRPr="00E02273">
        <w:rPr>
          <w:lang w:val="en-CA"/>
        </w:rPr>
        <w:t xml:space="preserve"> Both the Regulatory Impact Analysis Statement and the new </w:t>
      </w:r>
      <w:r w:rsidR="002D51A4" w:rsidRPr="00E02273">
        <w:rPr>
          <w:lang w:val="en-CA"/>
        </w:rPr>
        <w:t>guidelines</w:t>
      </w:r>
      <w:r w:rsidR="00B52334" w:rsidRPr="00E02273">
        <w:rPr>
          <w:lang w:val="en-CA"/>
        </w:rPr>
        <w:t xml:space="preserve"> c</w:t>
      </w:r>
      <w:r w:rsidR="002D51A4" w:rsidRPr="00E02273">
        <w:rPr>
          <w:lang w:val="en-CA"/>
        </w:rPr>
        <w:t>onfirm</w:t>
      </w:r>
      <w:r w:rsidR="00B52334" w:rsidRPr="00E02273">
        <w:rPr>
          <w:lang w:val="en-CA"/>
        </w:rPr>
        <w:t xml:space="preserve"> this </w:t>
      </w:r>
      <w:r w:rsidR="00D92C4E">
        <w:rPr>
          <w:lang w:val="en-CA"/>
        </w:rPr>
        <w:t>unequivocally</w:t>
      </w:r>
      <w:r w:rsidR="002D51A4" w:rsidRPr="00E02273">
        <w:rPr>
          <w:lang w:val="en-CA"/>
        </w:rPr>
        <w:t>.</w:t>
      </w:r>
    </w:p>
    <w:p w14:paraId="70CC8ADF" w14:textId="3CDE8D1E" w:rsidR="00B568AD" w:rsidRPr="00E02273" w:rsidRDefault="0085058A" w:rsidP="00DE11D2">
      <w:pPr>
        <w:pStyle w:val="Paragraphe"/>
        <w:tabs>
          <w:tab w:val="num" w:pos="709"/>
        </w:tabs>
        <w:spacing w:line="240" w:lineRule="auto"/>
        <w:ind w:left="0"/>
        <w:rPr>
          <w:lang w:val="en-CA"/>
        </w:rPr>
      </w:pPr>
      <w:r w:rsidRPr="00E02273">
        <w:rPr>
          <w:lang w:val="en-CA"/>
        </w:rPr>
        <w:t xml:space="preserve">As </w:t>
      </w:r>
      <w:r w:rsidR="002D51A4" w:rsidRPr="00E02273">
        <w:rPr>
          <w:lang w:val="en-CA"/>
        </w:rPr>
        <w:t xml:space="preserve">Wagner </w:t>
      </w:r>
      <w:r w:rsidR="009D3BD1">
        <w:rPr>
          <w:lang w:val="en-CA"/>
        </w:rPr>
        <w:t xml:space="preserve">C.J. </w:t>
      </w:r>
      <w:r w:rsidRPr="00E02273">
        <w:rPr>
          <w:lang w:val="en-CA"/>
        </w:rPr>
        <w:t xml:space="preserve">recently </w:t>
      </w:r>
      <w:r w:rsidR="008D3B66">
        <w:rPr>
          <w:lang w:val="en-CA"/>
        </w:rPr>
        <w:t>observed</w:t>
      </w:r>
      <w:r w:rsidRPr="00E02273">
        <w:rPr>
          <w:lang w:val="en-CA"/>
        </w:rPr>
        <w:t xml:space="preserve"> in </w:t>
      </w:r>
      <w:r w:rsidR="00DE11D2" w:rsidRPr="00E02273">
        <w:rPr>
          <w:i/>
          <w:lang w:val="en-CA"/>
        </w:rPr>
        <w:t>References re Greenhouse Gas Pollution Pricing Act</w:t>
      </w:r>
      <w:r w:rsidR="00DE11D2" w:rsidRPr="00E02273">
        <w:rPr>
          <w:lang w:val="en-CA"/>
        </w:rPr>
        <w:t>,</w:t>
      </w:r>
      <w:r w:rsidR="002D51A4" w:rsidRPr="00E02273">
        <w:rPr>
          <w:rStyle w:val="Appelnotedebasdep"/>
          <w:lang w:val="en-CA"/>
        </w:rPr>
        <w:footnoteReference w:id="160"/>
      </w:r>
      <w:r w:rsidR="002D51A4" w:rsidRPr="00E02273">
        <w:rPr>
          <w:i/>
          <w:lang w:val="en-CA"/>
        </w:rPr>
        <w:t xml:space="preserve"> </w:t>
      </w:r>
      <w:r w:rsidR="00DE11D2" w:rsidRPr="00E02273">
        <w:rPr>
          <w:lang w:val="en-CA"/>
        </w:rPr>
        <w:t>in</w:t>
      </w:r>
      <w:r w:rsidR="00DE11D2" w:rsidRPr="00E02273">
        <w:rPr>
          <w:i/>
          <w:lang w:val="en-CA"/>
        </w:rPr>
        <w:t xml:space="preserve"> </w:t>
      </w:r>
      <w:r w:rsidR="00DE11D2" w:rsidRPr="00E02273">
        <w:rPr>
          <w:lang w:val="en-CA"/>
        </w:rPr>
        <w:t>an excerpt reproduced above</w:t>
      </w:r>
      <w:r w:rsidR="00B27018" w:rsidRPr="00E02273">
        <w:rPr>
          <w:lang w:val="en-CA"/>
        </w:rPr>
        <w:t>, “</w:t>
      </w:r>
      <w:r w:rsidR="00B27018" w:rsidRPr="00E02273">
        <w:rPr>
          <w:color w:val="000000"/>
          <w:lang w:val="en-CA"/>
        </w:rPr>
        <w:t>the choice of means may be so central to the legislative objective that the main thrust of a statute or provision, properly understood, is to achieve a result in a particular way, which would justify including the means in identifying the pith and substance”</w:t>
      </w:r>
      <w:r w:rsidR="002D51A4" w:rsidRPr="00E02273">
        <w:rPr>
          <w:lang w:val="en-CA"/>
        </w:rPr>
        <w:t>.</w:t>
      </w:r>
    </w:p>
    <w:p w14:paraId="71F8900F" w14:textId="68B333A8" w:rsidR="00B568AD" w:rsidRPr="00E02273" w:rsidRDefault="002D51A4" w:rsidP="00B568AD">
      <w:pPr>
        <w:pStyle w:val="Paragraphe"/>
        <w:numPr>
          <w:ilvl w:val="0"/>
          <w:numId w:val="0"/>
        </w:numPr>
        <w:spacing w:line="240" w:lineRule="auto"/>
        <w:ind w:firstLine="720"/>
        <w:rPr>
          <w:b/>
          <w:i/>
          <w:u w:val="single"/>
          <w:lang w:val="en-CA"/>
        </w:rPr>
      </w:pPr>
      <w:r w:rsidRPr="00B63DFB">
        <w:rPr>
          <w:b/>
          <w:u w:val="single"/>
          <w:lang w:val="en-CA"/>
        </w:rPr>
        <w:t>C</w:t>
      </w:r>
      <w:r w:rsidR="00B27018" w:rsidRPr="00B63DFB">
        <w:rPr>
          <w:b/>
          <w:u w:val="single"/>
          <w:lang w:val="en-CA"/>
        </w:rPr>
        <w:t xml:space="preserve"> </w:t>
      </w:r>
      <w:r w:rsidR="00B63DFB">
        <w:rPr>
          <w:b/>
          <w:u w:val="single"/>
          <w:lang w:val="en-CA"/>
        </w:rPr>
        <w:t>-</w:t>
      </w:r>
      <w:r w:rsidRPr="00E02273">
        <w:rPr>
          <w:b/>
          <w:u w:val="single"/>
          <w:lang w:val="en-CA"/>
        </w:rPr>
        <w:t xml:space="preserve"> </w:t>
      </w:r>
      <w:r w:rsidR="002E4749" w:rsidRPr="00E02273">
        <w:rPr>
          <w:b/>
          <w:i/>
          <w:u w:val="single"/>
          <w:lang w:val="en-CA"/>
        </w:rPr>
        <w:t>C</w:t>
      </w:r>
      <w:r w:rsidRPr="00E02273">
        <w:rPr>
          <w:b/>
          <w:i/>
          <w:u w:val="single"/>
          <w:lang w:val="en-CA"/>
        </w:rPr>
        <w:t>onstitution</w:t>
      </w:r>
      <w:r w:rsidR="002E4749" w:rsidRPr="00E02273">
        <w:rPr>
          <w:b/>
          <w:i/>
          <w:u w:val="single"/>
          <w:lang w:val="en-CA"/>
        </w:rPr>
        <w:t>a</w:t>
      </w:r>
      <w:r w:rsidRPr="00E02273">
        <w:rPr>
          <w:b/>
          <w:i/>
          <w:u w:val="single"/>
          <w:lang w:val="en-CA"/>
        </w:rPr>
        <w:t>l</w:t>
      </w:r>
      <w:r w:rsidR="002E4749" w:rsidRPr="00E02273">
        <w:rPr>
          <w:b/>
          <w:i/>
          <w:u w:val="single"/>
          <w:lang w:val="en-CA"/>
        </w:rPr>
        <w:t xml:space="preserve"> classification</w:t>
      </w:r>
    </w:p>
    <w:p w14:paraId="67BB83D0" w14:textId="153F1D56" w:rsidR="00B568AD" w:rsidRPr="00E02273" w:rsidRDefault="00650E15" w:rsidP="002E4749">
      <w:pPr>
        <w:pStyle w:val="Paragraphe"/>
        <w:tabs>
          <w:tab w:val="num" w:pos="709"/>
        </w:tabs>
        <w:spacing w:line="240" w:lineRule="auto"/>
        <w:ind w:left="0"/>
        <w:rPr>
          <w:lang w:val="en-CA"/>
        </w:rPr>
      </w:pPr>
      <w:r w:rsidRPr="00E02273">
        <w:rPr>
          <w:lang w:val="en-CA"/>
        </w:rPr>
        <w:t xml:space="preserve">At the </w:t>
      </w:r>
      <w:r w:rsidR="002D51A4" w:rsidRPr="00E02273">
        <w:rPr>
          <w:lang w:val="en-CA"/>
        </w:rPr>
        <w:t>second</w:t>
      </w:r>
      <w:r w:rsidRPr="00E02273">
        <w:rPr>
          <w:lang w:val="en-CA"/>
        </w:rPr>
        <w:t xml:space="preserve"> </w:t>
      </w:r>
      <w:r w:rsidR="002D51A4" w:rsidRPr="00E02273">
        <w:rPr>
          <w:lang w:val="en-CA"/>
        </w:rPr>
        <w:t>step</w:t>
      </w:r>
      <w:r w:rsidRPr="00E02273">
        <w:rPr>
          <w:lang w:val="en-CA"/>
        </w:rPr>
        <w:t xml:space="preserve"> of the </w:t>
      </w:r>
      <w:r w:rsidR="002D51A4" w:rsidRPr="00E02273">
        <w:rPr>
          <w:lang w:val="en-CA"/>
        </w:rPr>
        <w:t>analys</w:t>
      </w:r>
      <w:r w:rsidRPr="00E02273">
        <w:rPr>
          <w:lang w:val="en-CA"/>
        </w:rPr>
        <w:t>is</w:t>
      </w:r>
      <w:r w:rsidR="002D51A4" w:rsidRPr="00E02273">
        <w:rPr>
          <w:lang w:val="en-CA"/>
        </w:rPr>
        <w:t xml:space="preserve">, </w:t>
      </w:r>
      <w:r w:rsidRPr="00E02273">
        <w:rPr>
          <w:lang w:val="en-CA"/>
        </w:rPr>
        <w:t xml:space="preserve">the </w:t>
      </w:r>
      <w:r w:rsidR="002D51A4" w:rsidRPr="00E02273">
        <w:rPr>
          <w:lang w:val="en-CA"/>
        </w:rPr>
        <w:t>pith</w:t>
      </w:r>
      <w:r w:rsidRPr="00E02273">
        <w:rPr>
          <w:lang w:val="en-CA"/>
        </w:rPr>
        <w:t xml:space="preserve"> </w:t>
      </w:r>
      <w:r w:rsidR="002D51A4" w:rsidRPr="00E02273">
        <w:rPr>
          <w:lang w:val="en-CA"/>
        </w:rPr>
        <w:t>and</w:t>
      </w:r>
      <w:r w:rsidRPr="00E02273">
        <w:rPr>
          <w:lang w:val="en-CA"/>
        </w:rPr>
        <w:t xml:space="preserve"> </w:t>
      </w:r>
      <w:r w:rsidR="002D51A4" w:rsidRPr="00E02273">
        <w:rPr>
          <w:lang w:val="en-CA"/>
        </w:rPr>
        <w:t>substance</w:t>
      </w:r>
      <w:r w:rsidRPr="00E02273">
        <w:rPr>
          <w:lang w:val="en-CA"/>
        </w:rPr>
        <w:t xml:space="preserve"> of the </w:t>
      </w:r>
      <w:r w:rsidR="002D51A4" w:rsidRPr="00E02273">
        <w:rPr>
          <w:lang w:val="en-CA"/>
        </w:rPr>
        <w:t>impugned</w:t>
      </w:r>
      <w:r w:rsidRPr="00E02273">
        <w:rPr>
          <w:lang w:val="en-CA"/>
        </w:rPr>
        <w:t xml:space="preserve"> </w:t>
      </w:r>
      <w:r w:rsidR="002D51A4" w:rsidRPr="00E02273">
        <w:rPr>
          <w:lang w:val="en-CA"/>
        </w:rPr>
        <w:t>provision</w:t>
      </w:r>
      <w:r w:rsidRPr="00E02273">
        <w:rPr>
          <w:lang w:val="en-CA"/>
        </w:rPr>
        <w:t xml:space="preserve"> must be connected to one of the </w:t>
      </w:r>
      <w:r w:rsidR="00225307" w:rsidRPr="00E02273">
        <w:rPr>
          <w:lang w:val="en-CA"/>
        </w:rPr>
        <w:t>heads of power</w:t>
      </w:r>
      <w:r w:rsidR="002D51A4" w:rsidRPr="00E02273">
        <w:rPr>
          <w:lang w:val="en-CA"/>
        </w:rPr>
        <w:t xml:space="preserve"> </w:t>
      </w:r>
      <w:r w:rsidRPr="00E02273">
        <w:rPr>
          <w:lang w:val="en-CA"/>
        </w:rPr>
        <w:t>e</w:t>
      </w:r>
      <w:r w:rsidR="002D51A4" w:rsidRPr="00E02273">
        <w:rPr>
          <w:lang w:val="en-CA"/>
        </w:rPr>
        <w:t>num</w:t>
      </w:r>
      <w:r w:rsidRPr="00E02273">
        <w:rPr>
          <w:lang w:val="en-CA"/>
        </w:rPr>
        <w:t xml:space="preserve">erated in </w:t>
      </w:r>
      <w:r w:rsidR="002D51A4" w:rsidRPr="00E02273">
        <w:rPr>
          <w:lang w:val="en-CA"/>
        </w:rPr>
        <w:t xml:space="preserve">sections 91 </w:t>
      </w:r>
      <w:r w:rsidRPr="00E02273">
        <w:rPr>
          <w:lang w:val="en-CA"/>
        </w:rPr>
        <w:t>and</w:t>
      </w:r>
      <w:r w:rsidR="002D51A4" w:rsidRPr="00E02273">
        <w:rPr>
          <w:lang w:val="en-CA"/>
        </w:rPr>
        <w:t xml:space="preserve"> 92 </w:t>
      </w:r>
      <w:r w:rsidRPr="00E02273">
        <w:rPr>
          <w:lang w:val="en-CA"/>
        </w:rPr>
        <w:t xml:space="preserve">of the </w:t>
      </w:r>
      <w:r w:rsidR="002D51A4" w:rsidRPr="00E02273">
        <w:rPr>
          <w:i/>
          <w:lang w:val="en-CA"/>
        </w:rPr>
        <w:t>Constitution</w:t>
      </w:r>
      <w:r w:rsidRPr="00E02273">
        <w:rPr>
          <w:i/>
          <w:lang w:val="en-CA"/>
        </w:rPr>
        <w:t xml:space="preserve"> </w:t>
      </w:r>
      <w:r w:rsidR="002D51A4" w:rsidRPr="00E02273">
        <w:rPr>
          <w:i/>
          <w:lang w:val="en-CA"/>
        </w:rPr>
        <w:t>Act,</w:t>
      </w:r>
      <w:r w:rsidRPr="00E02273">
        <w:rPr>
          <w:i/>
          <w:lang w:val="en-CA"/>
        </w:rPr>
        <w:t xml:space="preserve"> </w:t>
      </w:r>
      <w:r w:rsidR="002D51A4" w:rsidRPr="00E02273">
        <w:rPr>
          <w:i/>
          <w:lang w:val="en-CA"/>
        </w:rPr>
        <w:t>1867</w:t>
      </w:r>
      <w:r w:rsidRPr="00E02273">
        <w:rPr>
          <w:lang w:val="en-CA"/>
        </w:rPr>
        <w:t xml:space="preserve">, to determine whether it falls within the </w:t>
      </w:r>
      <w:r w:rsidR="002D51A4" w:rsidRPr="00E02273">
        <w:rPr>
          <w:lang w:val="en-CA"/>
        </w:rPr>
        <w:t>jurisdiction</w:t>
      </w:r>
      <w:r w:rsidRPr="00E02273">
        <w:rPr>
          <w:lang w:val="en-CA"/>
        </w:rPr>
        <w:t xml:space="preserve"> of the federal </w:t>
      </w:r>
      <w:r w:rsidR="002D51A4" w:rsidRPr="00E02273">
        <w:rPr>
          <w:lang w:val="en-CA"/>
        </w:rPr>
        <w:t>government</w:t>
      </w:r>
      <w:r w:rsidRPr="00E02273">
        <w:rPr>
          <w:lang w:val="en-CA"/>
        </w:rPr>
        <w:t xml:space="preserve"> or that of the </w:t>
      </w:r>
      <w:r w:rsidR="002D51A4" w:rsidRPr="00E02273">
        <w:rPr>
          <w:lang w:val="en-CA"/>
        </w:rPr>
        <w:t>provinces</w:t>
      </w:r>
      <w:r w:rsidRPr="00E02273">
        <w:rPr>
          <w:lang w:val="en-CA"/>
        </w:rPr>
        <w:t>.</w:t>
      </w:r>
      <w:r w:rsidR="002D51A4" w:rsidRPr="00E02273">
        <w:rPr>
          <w:rStyle w:val="Appelnotedebasdep"/>
          <w:lang w:val="en-CA"/>
        </w:rPr>
        <w:footnoteReference w:id="161"/>
      </w:r>
      <w:r w:rsidR="002D51A4" w:rsidRPr="00E02273">
        <w:rPr>
          <w:lang w:val="en-CA"/>
        </w:rPr>
        <w:t xml:space="preserve"> </w:t>
      </w:r>
      <w:r w:rsidR="00225307" w:rsidRPr="00E02273">
        <w:rPr>
          <w:lang w:val="en-CA"/>
        </w:rPr>
        <w:t xml:space="preserve">There must be a </w:t>
      </w:r>
      <w:r w:rsidR="00857A16">
        <w:rPr>
          <w:lang w:val="en-CA"/>
        </w:rPr>
        <w:t xml:space="preserve">rational </w:t>
      </w:r>
      <w:r w:rsidR="00225307" w:rsidRPr="00E02273">
        <w:rPr>
          <w:lang w:val="en-CA"/>
        </w:rPr>
        <w:t xml:space="preserve">and </w:t>
      </w:r>
      <w:r w:rsidR="002D51A4" w:rsidRPr="00E02273">
        <w:rPr>
          <w:lang w:val="en-CA"/>
        </w:rPr>
        <w:t xml:space="preserve">direct </w:t>
      </w:r>
      <w:r w:rsidR="00225307" w:rsidRPr="00E02273">
        <w:rPr>
          <w:lang w:val="en-CA"/>
        </w:rPr>
        <w:t xml:space="preserve">connection between the </w:t>
      </w:r>
      <w:r w:rsidR="002D51A4" w:rsidRPr="00E02273">
        <w:rPr>
          <w:lang w:val="en-CA"/>
        </w:rPr>
        <w:t>pith</w:t>
      </w:r>
      <w:r w:rsidR="00225307" w:rsidRPr="00E02273">
        <w:rPr>
          <w:lang w:val="en-CA"/>
        </w:rPr>
        <w:t xml:space="preserve"> </w:t>
      </w:r>
      <w:r w:rsidR="002D51A4" w:rsidRPr="00E02273">
        <w:rPr>
          <w:lang w:val="en-CA"/>
        </w:rPr>
        <w:t>and</w:t>
      </w:r>
      <w:r w:rsidR="00225307" w:rsidRPr="00E02273">
        <w:rPr>
          <w:lang w:val="en-CA"/>
        </w:rPr>
        <w:t xml:space="preserve"> </w:t>
      </w:r>
      <w:r w:rsidR="002D51A4" w:rsidRPr="00E02273">
        <w:rPr>
          <w:lang w:val="en-CA"/>
        </w:rPr>
        <w:t>substance</w:t>
      </w:r>
      <w:r w:rsidR="00225307" w:rsidRPr="00E02273">
        <w:rPr>
          <w:lang w:val="en-CA"/>
        </w:rPr>
        <w:t xml:space="preserve"> of the p</w:t>
      </w:r>
      <w:r w:rsidR="002D51A4" w:rsidRPr="00E02273">
        <w:rPr>
          <w:lang w:val="en-CA"/>
        </w:rPr>
        <w:t>rovisions</w:t>
      </w:r>
      <w:r w:rsidR="00225307" w:rsidRPr="00E02273">
        <w:rPr>
          <w:lang w:val="en-CA"/>
        </w:rPr>
        <w:t xml:space="preserve"> </w:t>
      </w:r>
      <w:r w:rsidR="002D51A4" w:rsidRPr="00E02273">
        <w:rPr>
          <w:lang w:val="en-CA"/>
        </w:rPr>
        <w:t>at</w:t>
      </w:r>
      <w:r w:rsidR="00225307" w:rsidRPr="00E02273">
        <w:rPr>
          <w:lang w:val="en-CA"/>
        </w:rPr>
        <w:t xml:space="preserve"> </w:t>
      </w:r>
      <w:r w:rsidR="002D51A4" w:rsidRPr="00E02273">
        <w:rPr>
          <w:lang w:val="en-CA"/>
        </w:rPr>
        <w:t>issue</w:t>
      </w:r>
      <w:r w:rsidR="00225307" w:rsidRPr="00E02273">
        <w:rPr>
          <w:lang w:val="en-CA"/>
        </w:rPr>
        <w:t xml:space="preserve"> and an enumerated head of power </w:t>
      </w:r>
      <w:r w:rsidR="00333C44" w:rsidRPr="00E02273">
        <w:rPr>
          <w:lang w:val="en-CA"/>
        </w:rPr>
        <w:t xml:space="preserve">within which the </w:t>
      </w:r>
      <w:r w:rsidR="002D51A4" w:rsidRPr="00E02273">
        <w:rPr>
          <w:lang w:val="en-CA"/>
        </w:rPr>
        <w:t>legislation</w:t>
      </w:r>
      <w:r w:rsidR="00207B7F" w:rsidRPr="00E02273">
        <w:rPr>
          <w:lang w:val="en-CA"/>
        </w:rPr>
        <w:t xml:space="preserve"> falls</w:t>
      </w:r>
      <w:r w:rsidR="002D51A4" w:rsidRPr="00E02273">
        <w:rPr>
          <w:lang w:val="en-CA"/>
        </w:rPr>
        <w:t>.</w:t>
      </w:r>
    </w:p>
    <w:p w14:paraId="1FBC9FDA" w14:textId="30AD4757" w:rsidR="00B568AD" w:rsidRPr="00E02273" w:rsidRDefault="00207B7F" w:rsidP="002E4749">
      <w:pPr>
        <w:pStyle w:val="Paragraphe"/>
        <w:tabs>
          <w:tab w:val="num" w:pos="709"/>
        </w:tabs>
        <w:spacing w:line="240" w:lineRule="auto"/>
        <w:ind w:left="0"/>
        <w:rPr>
          <w:lang w:val="en-CA"/>
        </w:rPr>
      </w:pPr>
      <w:r w:rsidRPr="00E02273">
        <w:rPr>
          <w:lang w:val="en-CA"/>
        </w:rPr>
        <w:t xml:space="preserve">That being said, it is necessary to </w:t>
      </w:r>
      <w:r w:rsidR="00E11D85">
        <w:rPr>
          <w:lang w:val="en-CA"/>
        </w:rPr>
        <w:t>bear</w:t>
      </w:r>
      <w:r w:rsidR="00E11D85" w:rsidRPr="00E02273">
        <w:rPr>
          <w:lang w:val="en-CA"/>
        </w:rPr>
        <w:t xml:space="preserve"> </w:t>
      </w:r>
      <w:r w:rsidRPr="00E02273">
        <w:rPr>
          <w:lang w:val="en-CA"/>
        </w:rPr>
        <w:t xml:space="preserve">in mind that the </w:t>
      </w:r>
      <w:r w:rsidR="002D51A4" w:rsidRPr="00E02273">
        <w:rPr>
          <w:lang w:val="en-CA"/>
        </w:rPr>
        <w:t>Constitution</w:t>
      </w:r>
      <w:r w:rsidR="00756D8E" w:rsidRPr="00E02273">
        <w:rPr>
          <w:lang w:val="en-CA"/>
        </w:rPr>
        <w:t xml:space="preserve"> “</w:t>
      </w:r>
      <w:r w:rsidR="00756D8E" w:rsidRPr="00E02273">
        <w:rPr>
          <w:color w:val="000000"/>
          <w:lang w:val="en-CA"/>
        </w:rPr>
        <w:t>must be interpreted flexibly … to meet new social, political and historic realities”, while</w:t>
      </w:r>
      <w:r w:rsidR="005514FA" w:rsidRPr="00E02273">
        <w:rPr>
          <w:color w:val="000000"/>
          <w:lang w:val="en-CA"/>
        </w:rPr>
        <w:t xml:space="preserve"> remaining cons</w:t>
      </w:r>
      <w:r w:rsidR="00172CFA" w:rsidRPr="00E02273">
        <w:rPr>
          <w:color w:val="000000"/>
          <w:lang w:val="en-CA"/>
        </w:rPr>
        <w:t xml:space="preserve">istent with the </w:t>
      </w:r>
      <w:r w:rsidR="002D51A4" w:rsidRPr="00E02273">
        <w:rPr>
          <w:lang w:val="en-CA"/>
        </w:rPr>
        <w:t>principle</w:t>
      </w:r>
      <w:r w:rsidR="00172CFA" w:rsidRPr="00E02273">
        <w:rPr>
          <w:lang w:val="en-CA"/>
        </w:rPr>
        <w:t xml:space="preserve"> </w:t>
      </w:r>
      <w:r w:rsidR="002D51A4" w:rsidRPr="00E02273">
        <w:rPr>
          <w:lang w:val="en-CA"/>
        </w:rPr>
        <w:t>of</w:t>
      </w:r>
      <w:r w:rsidR="00172CFA" w:rsidRPr="00E02273">
        <w:rPr>
          <w:lang w:val="en-CA"/>
        </w:rPr>
        <w:t xml:space="preserve"> </w:t>
      </w:r>
      <w:r w:rsidR="002D51A4" w:rsidRPr="00E02273">
        <w:rPr>
          <w:lang w:val="en-CA"/>
        </w:rPr>
        <w:t>federalism</w:t>
      </w:r>
      <w:r w:rsidR="00172CFA" w:rsidRPr="00E02273">
        <w:rPr>
          <w:lang w:val="en-CA"/>
        </w:rPr>
        <w:t xml:space="preserve"> to ensure that “[c]</w:t>
      </w:r>
      <w:r w:rsidR="00172CFA" w:rsidRPr="00E02273">
        <w:rPr>
          <w:color w:val="000000"/>
          <w:lang w:val="en-CA"/>
        </w:rPr>
        <w:t>lasses of subjects … not be construed so broadly as to expand jurisdiction indefinitely”</w:t>
      </w:r>
      <w:r w:rsidR="00172CFA" w:rsidRPr="00E02273">
        <w:rPr>
          <w:lang w:val="en-CA"/>
        </w:rPr>
        <w:t>.</w:t>
      </w:r>
      <w:r w:rsidR="002D51A4" w:rsidRPr="00E02273">
        <w:rPr>
          <w:rStyle w:val="Appelnotedebasdep"/>
          <w:lang w:val="en-CA"/>
        </w:rPr>
        <w:footnoteReference w:id="162"/>
      </w:r>
    </w:p>
    <w:p w14:paraId="224D2725" w14:textId="505B1B2E" w:rsidR="00B568AD" w:rsidRPr="00E02273" w:rsidRDefault="006E0011" w:rsidP="0047699E">
      <w:pPr>
        <w:pStyle w:val="Paragraphe"/>
        <w:keepNext/>
        <w:numPr>
          <w:ilvl w:val="0"/>
          <w:numId w:val="0"/>
        </w:numPr>
        <w:spacing w:line="240" w:lineRule="auto"/>
        <w:ind w:left="720" w:firstLine="720"/>
        <w:rPr>
          <w:i/>
          <w:u w:val="single"/>
          <w:lang w:val="en-CA"/>
        </w:rPr>
      </w:pPr>
      <w:r w:rsidRPr="00E02273">
        <w:rPr>
          <w:i/>
          <w:u w:val="single"/>
          <w:lang w:val="en-CA"/>
        </w:rPr>
        <w:lastRenderedPageBreak/>
        <w:t xml:space="preserve">The regime </w:t>
      </w:r>
      <w:r w:rsidR="00E11D85">
        <w:rPr>
          <w:i/>
          <w:u w:val="single"/>
          <w:lang w:val="en-CA"/>
        </w:rPr>
        <w:t xml:space="preserve">prior to </w:t>
      </w:r>
      <w:r w:rsidRPr="00E02273">
        <w:rPr>
          <w:i/>
          <w:u w:val="single"/>
          <w:lang w:val="en-CA"/>
        </w:rPr>
        <w:t xml:space="preserve">the </w:t>
      </w:r>
      <w:r w:rsidR="00866E58" w:rsidRPr="00E02273">
        <w:rPr>
          <w:i/>
          <w:u w:val="single"/>
          <w:lang w:val="en-CA"/>
        </w:rPr>
        <w:t>2019 Regulatory Amendments</w:t>
      </w:r>
    </w:p>
    <w:p w14:paraId="04E36BB8" w14:textId="11027CDC" w:rsidR="00B568AD" w:rsidRPr="00E02273" w:rsidRDefault="006E0011" w:rsidP="0047699E">
      <w:pPr>
        <w:pStyle w:val="Paragraphe"/>
        <w:keepNext/>
        <w:tabs>
          <w:tab w:val="num" w:pos="709"/>
        </w:tabs>
        <w:spacing w:line="240" w:lineRule="auto"/>
        <w:ind w:left="0"/>
        <w:rPr>
          <w:lang w:val="en-CA"/>
        </w:rPr>
      </w:pPr>
      <w:r w:rsidRPr="00E02273">
        <w:rPr>
          <w:lang w:val="en-CA"/>
        </w:rPr>
        <w:t xml:space="preserve">The </w:t>
      </w:r>
      <w:r w:rsidR="002D51A4" w:rsidRPr="00E02273">
        <w:rPr>
          <w:lang w:val="en-CA"/>
        </w:rPr>
        <w:t>trial</w:t>
      </w:r>
      <w:r w:rsidRPr="00E02273">
        <w:rPr>
          <w:lang w:val="en-CA"/>
        </w:rPr>
        <w:t xml:space="preserve"> </w:t>
      </w:r>
      <w:r w:rsidR="002D51A4" w:rsidRPr="00E02273">
        <w:rPr>
          <w:lang w:val="en-CA"/>
        </w:rPr>
        <w:t>judge</w:t>
      </w:r>
      <w:r w:rsidRPr="00E02273">
        <w:rPr>
          <w:lang w:val="en-CA"/>
        </w:rPr>
        <w:t xml:space="preserve"> did not err in c</w:t>
      </w:r>
      <w:r w:rsidR="002D51A4" w:rsidRPr="00E02273">
        <w:rPr>
          <w:lang w:val="en-CA"/>
        </w:rPr>
        <w:t>onclu</w:t>
      </w:r>
      <w:r w:rsidRPr="00E02273">
        <w:rPr>
          <w:lang w:val="en-CA"/>
        </w:rPr>
        <w:t xml:space="preserve">ding that the </w:t>
      </w:r>
      <w:r w:rsidR="002D51A4" w:rsidRPr="00E02273">
        <w:rPr>
          <w:lang w:val="en-CA"/>
        </w:rPr>
        <w:t>impugned</w:t>
      </w:r>
      <w:r w:rsidRPr="00E02273">
        <w:rPr>
          <w:lang w:val="en-CA"/>
        </w:rPr>
        <w:t xml:space="preserve"> </w:t>
      </w:r>
      <w:r w:rsidR="002D51A4" w:rsidRPr="00E02273">
        <w:rPr>
          <w:lang w:val="en-CA"/>
        </w:rPr>
        <w:t>provision</w:t>
      </w:r>
      <w:r w:rsidRPr="00E02273">
        <w:rPr>
          <w:lang w:val="en-CA"/>
        </w:rPr>
        <w:t xml:space="preserve">s </w:t>
      </w:r>
      <w:r w:rsidR="002D51A4" w:rsidRPr="00E02273">
        <w:rPr>
          <w:lang w:val="en-CA"/>
        </w:rPr>
        <w:t>of</w:t>
      </w:r>
      <w:r w:rsidRPr="00E02273">
        <w:rPr>
          <w:lang w:val="en-CA"/>
        </w:rPr>
        <w:t xml:space="preserve"> the </w:t>
      </w:r>
      <w:r w:rsidRPr="00E02273">
        <w:rPr>
          <w:i/>
          <w:lang w:val="en-CA"/>
        </w:rPr>
        <w:t xml:space="preserve">Patent Act </w:t>
      </w:r>
      <w:r w:rsidRPr="00E02273">
        <w:rPr>
          <w:lang w:val="en-CA"/>
        </w:rPr>
        <w:t xml:space="preserve">as well as the </w:t>
      </w:r>
      <w:r w:rsidRPr="00E02273">
        <w:rPr>
          <w:i/>
          <w:lang w:val="en-CA"/>
        </w:rPr>
        <w:t>Patented Medicines Regulations</w:t>
      </w:r>
      <w:r w:rsidR="002D51A4" w:rsidRPr="00E02273">
        <w:rPr>
          <w:lang w:val="en-CA"/>
        </w:rPr>
        <w:t xml:space="preserve">, </w:t>
      </w:r>
      <w:r w:rsidRPr="00E02273">
        <w:rPr>
          <w:lang w:val="en-CA"/>
        </w:rPr>
        <w:t xml:space="preserve">as they read prior to the </w:t>
      </w:r>
      <w:r w:rsidR="00866E58" w:rsidRPr="00E02273">
        <w:rPr>
          <w:i/>
          <w:lang w:val="en-CA"/>
        </w:rPr>
        <w:t>2019 Regulatory Amendments</w:t>
      </w:r>
      <w:r w:rsidR="002D51A4" w:rsidRPr="00E02273">
        <w:rPr>
          <w:lang w:val="en-CA"/>
        </w:rPr>
        <w:t xml:space="preserve">, </w:t>
      </w:r>
      <w:r w:rsidRPr="00E02273">
        <w:rPr>
          <w:lang w:val="en-CA"/>
        </w:rPr>
        <w:t xml:space="preserve">fall within the </w:t>
      </w:r>
      <w:r w:rsidR="002D51A4" w:rsidRPr="00E02273">
        <w:rPr>
          <w:lang w:val="en-CA"/>
        </w:rPr>
        <w:t>federal</w:t>
      </w:r>
      <w:r w:rsidRPr="00E02273">
        <w:rPr>
          <w:lang w:val="en-CA"/>
        </w:rPr>
        <w:t xml:space="preserve"> </w:t>
      </w:r>
      <w:r w:rsidR="002D51A4" w:rsidRPr="00E02273">
        <w:rPr>
          <w:lang w:val="en-CA"/>
        </w:rPr>
        <w:t>jurisdiction</w:t>
      </w:r>
      <w:r w:rsidRPr="00E02273">
        <w:rPr>
          <w:lang w:val="en-CA"/>
        </w:rPr>
        <w:t xml:space="preserve"> over patents of </w:t>
      </w:r>
      <w:r w:rsidR="002D51A4" w:rsidRPr="00E02273">
        <w:rPr>
          <w:lang w:val="en-CA"/>
        </w:rPr>
        <w:t xml:space="preserve">invention </w:t>
      </w:r>
      <w:r w:rsidRPr="00E02273">
        <w:rPr>
          <w:lang w:val="en-CA"/>
        </w:rPr>
        <w:t>and discovery</w:t>
      </w:r>
      <w:r w:rsidR="002D51A4" w:rsidRPr="00E02273">
        <w:rPr>
          <w:lang w:val="en-CA"/>
        </w:rPr>
        <w:t xml:space="preserve">. </w:t>
      </w:r>
      <w:r w:rsidRPr="00E02273">
        <w:rPr>
          <w:lang w:val="en-CA"/>
        </w:rPr>
        <w:t xml:space="preserve">The </w:t>
      </w:r>
      <w:r w:rsidR="002D51A4" w:rsidRPr="00E02273">
        <w:rPr>
          <w:lang w:val="en-CA"/>
        </w:rPr>
        <w:t>pith</w:t>
      </w:r>
      <w:r w:rsidRPr="00E02273">
        <w:rPr>
          <w:lang w:val="en-CA"/>
        </w:rPr>
        <w:t xml:space="preserve"> </w:t>
      </w:r>
      <w:r w:rsidR="002D51A4" w:rsidRPr="00E02273">
        <w:rPr>
          <w:lang w:val="en-CA"/>
        </w:rPr>
        <w:t>and</w:t>
      </w:r>
      <w:r w:rsidRPr="00E02273">
        <w:rPr>
          <w:lang w:val="en-CA"/>
        </w:rPr>
        <w:t xml:space="preserve"> </w:t>
      </w:r>
      <w:r w:rsidR="002D51A4" w:rsidRPr="00E02273">
        <w:rPr>
          <w:lang w:val="en-CA"/>
        </w:rPr>
        <w:t>substance</w:t>
      </w:r>
      <w:r w:rsidRPr="00E02273">
        <w:rPr>
          <w:lang w:val="en-CA"/>
        </w:rPr>
        <w:t xml:space="preserve"> of these </w:t>
      </w:r>
      <w:r w:rsidR="002D51A4" w:rsidRPr="00E02273">
        <w:rPr>
          <w:lang w:val="en-CA"/>
        </w:rPr>
        <w:t>provisions,</w:t>
      </w:r>
      <w:r w:rsidR="00574335" w:rsidRPr="00E02273">
        <w:rPr>
          <w:lang w:val="en-CA"/>
        </w:rPr>
        <w:t xml:space="preserve"> that is, the </w:t>
      </w:r>
      <w:r w:rsidR="002D51A4" w:rsidRPr="00E02273">
        <w:rPr>
          <w:lang w:val="en-CA"/>
        </w:rPr>
        <w:t>contr</w:t>
      </w:r>
      <w:r w:rsidR="00574335" w:rsidRPr="00E02273">
        <w:rPr>
          <w:lang w:val="en-CA"/>
        </w:rPr>
        <w:t xml:space="preserve">ol of excessive prices charged for medicines to </w:t>
      </w:r>
      <w:r w:rsidR="00D101A6">
        <w:rPr>
          <w:lang w:val="en-CA"/>
        </w:rPr>
        <w:t>mitigate</w:t>
      </w:r>
      <w:r w:rsidR="00D101A6" w:rsidRPr="00E02273">
        <w:rPr>
          <w:lang w:val="en-CA"/>
        </w:rPr>
        <w:t xml:space="preserve"> </w:t>
      </w:r>
      <w:r w:rsidR="00574335" w:rsidRPr="00E02273">
        <w:rPr>
          <w:lang w:val="en-CA"/>
        </w:rPr>
        <w:t xml:space="preserve">the effect </w:t>
      </w:r>
      <w:r w:rsidR="00440F45" w:rsidRPr="00E02273">
        <w:rPr>
          <w:lang w:val="en-CA"/>
        </w:rPr>
        <w:t xml:space="preserve">on prices </w:t>
      </w:r>
      <w:r w:rsidR="00574335" w:rsidRPr="00E02273">
        <w:rPr>
          <w:lang w:val="en-CA"/>
        </w:rPr>
        <w:t xml:space="preserve">of the monopoly granted by </w:t>
      </w:r>
      <w:r w:rsidR="00D101A6">
        <w:rPr>
          <w:lang w:val="en-CA"/>
        </w:rPr>
        <w:t xml:space="preserve">the </w:t>
      </w:r>
      <w:r w:rsidR="00574335" w:rsidRPr="00E02273">
        <w:rPr>
          <w:lang w:val="en-CA"/>
        </w:rPr>
        <w:t xml:space="preserve">patent, is a subject matter that the </w:t>
      </w:r>
      <w:r w:rsidR="002D51A4" w:rsidRPr="00E02273">
        <w:rPr>
          <w:lang w:val="en-CA"/>
        </w:rPr>
        <w:t>case</w:t>
      </w:r>
      <w:r w:rsidR="00574335" w:rsidRPr="00E02273">
        <w:rPr>
          <w:lang w:val="en-CA"/>
        </w:rPr>
        <w:t xml:space="preserve"> </w:t>
      </w:r>
      <w:r w:rsidR="002D51A4" w:rsidRPr="00E02273">
        <w:rPr>
          <w:lang w:val="en-CA"/>
        </w:rPr>
        <w:t>law</w:t>
      </w:r>
      <w:r w:rsidR="00574335" w:rsidRPr="00E02273">
        <w:rPr>
          <w:lang w:val="en-CA"/>
        </w:rPr>
        <w:t xml:space="preserve"> has always recognized as falling</w:t>
      </w:r>
      <w:r w:rsidR="00C60898" w:rsidRPr="00E02273">
        <w:rPr>
          <w:lang w:val="en-CA"/>
        </w:rPr>
        <w:t xml:space="preserve"> within the </w:t>
      </w:r>
      <w:r w:rsidR="002D51A4" w:rsidRPr="00E02273">
        <w:rPr>
          <w:lang w:val="en-CA"/>
        </w:rPr>
        <w:t>federal</w:t>
      </w:r>
      <w:r w:rsidR="00C60898" w:rsidRPr="00E02273">
        <w:rPr>
          <w:lang w:val="en-CA"/>
        </w:rPr>
        <w:t xml:space="preserve"> </w:t>
      </w:r>
      <w:r w:rsidR="002D51A4" w:rsidRPr="00E02273">
        <w:rPr>
          <w:lang w:val="en-CA"/>
        </w:rPr>
        <w:t>jurisdiction</w:t>
      </w:r>
      <w:r w:rsidR="00C60898" w:rsidRPr="00E02273">
        <w:rPr>
          <w:lang w:val="en-CA"/>
        </w:rPr>
        <w:t xml:space="preserve"> over patents.</w:t>
      </w:r>
      <w:r w:rsidR="002D51A4" w:rsidRPr="00E02273">
        <w:rPr>
          <w:lang w:val="en-CA"/>
        </w:rPr>
        <w:t xml:space="preserve"> </w:t>
      </w:r>
      <w:r w:rsidR="00C60898" w:rsidRPr="00E02273">
        <w:rPr>
          <w:lang w:val="en-CA"/>
        </w:rPr>
        <w:t xml:space="preserve">There is no </w:t>
      </w:r>
      <w:r w:rsidR="006F579D" w:rsidRPr="00E02273">
        <w:rPr>
          <w:lang w:val="en-CA"/>
        </w:rPr>
        <w:t xml:space="preserve">reason to </w:t>
      </w:r>
      <w:r w:rsidR="002D51A4" w:rsidRPr="00E02273">
        <w:rPr>
          <w:lang w:val="en-CA"/>
        </w:rPr>
        <w:t>depart</w:t>
      </w:r>
      <w:r w:rsidR="006F579D" w:rsidRPr="00E02273">
        <w:rPr>
          <w:lang w:val="en-CA"/>
        </w:rPr>
        <w:t xml:space="preserve"> </w:t>
      </w:r>
      <w:r w:rsidR="002D51A4" w:rsidRPr="00E02273">
        <w:rPr>
          <w:lang w:val="en-CA"/>
        </w:rPr>
        <w:t>from</w:t>
      </w:r>
      <w:r w:rsidR="006F579D" w:rsidRPr="00E02273">
        <w:rPr>
          <w:lang w:val="en-CA"/>
        </w:rPr>
        <w:t xml:space="preserve"> </w:t>
      </w:r>
      <w:r w:rsidR="00D101A6">
        <w:rPr>
          <w:lang w:val="en-CA"/>
        </w:rPr>
        <w:t>these authorities</w:t>
      </w:r>
      <w:r w:rsidR="006F579D" w:rsidRPr="00E02273">
        <w:rPr>
          <w:lang w:val="en-CA"/>
        </w:rPr>
        <w:t xml:space="preserve"> as the appellant </w:t>
      </w:r>
      <w:r w:rsidR="002D51A4" w:rsidRPr="00E02273">
        <w:rPr>
          <w:lang w:val="en-CA"/>
        </w:rPr>
        <w:t>pharmaceutical</w:t>
      </w:r>
      <w:r w:rsidR="006F579D" w:rsidRPr="00E02273">
        <w:rPr>
          <w:lang w:val="en-CA"/>
        </w:rPr>
        <w:t xml:space="preserve"> </w:t>
      </w:r>
      <w:r w:rsidR="002D51A4" w:rsidRPr="00E02273">
        <w:rPr>
          <w:lang w:val="en-CA"/>
        </w:rPr>
        <w:t>companies</w:t>
      </w:r>
      <w:r w:rsidR="006F579D" w:rsidRPr="00E02273">
        <w:rPr>
          <w:lang w:val="en-CA"/>
        </w:rPr>
        <w:t xml:space="preserve"> suggest</w:t>
      </w:r>
      <w:r w:rsidR="002D51A4" w:rsidRPr="00E02273">
        <w:rPr>
          <w:lang w:val="en-CA"/>
        </w:rPr>
        <w:t xml:space="preserve">. </w:t>
      </w:r>
    </w:p>
    <w:p w14:paraId="23A82AF1" w14:textId="2BF007D3" w:rsidR="00B568AD" w:rsidRPr="00E02273" w:rsidRDefault="006F579D" w:rsidP="00AE7EFD">
      <w:pPr>
        <w:pStyle w:val="Paragraphe"/>
        <w:tabs>
          <w:tab w:val="num" w:pos="709"/>
        </w:tabs>
        <w:spacing w:line="240" w:lineRule="auto"/>
        <w:ind w:left="0"/>
        <w:rPr>
          <w:lang w:val="en-CA"/>
        </w:rPr>
      </w:pPr>
      <w:r w:rsidRPr="00E02273">
        <w:rPr>
          <w:lang w:val="en-CA"/>
        </w:rPr>
        <w:t>In 1970</w:t>
      </w:r>
      <w:r w:rsidR="00D101A6" w:rsidRPr="00D101A6">
        <w:rPr>
          <w:lang w:val="en-CA"/>
        </w:rPr>
        <w:t xml:space="preserve"> </w:t>
      </w:r>
      <w:r w:rsidR="00D101A6" w:rsidRPr="00E02273">
        <w:rPr>
          <w:lang w:val="en-CA"/>
        </w:rPr>
        <w:t xml:space="preserve">in </w:t>
      </w:r>
      <w:r w:rsidR="00D101A6" w:rsidRPr="00E02273">
        <w:rPr>
          <w:i/>
          <w:lang w:val="en-CA"/>
        </w:rPr>
        <w:t>American Home Products</w:t>
      </w:r>
      <w:r w:rsidR="0039598B" w:rsidRPr="00E02273">
        <w:rPr>
          <w:lang w:val="en-CA"/>
        </w:rPr>
        <w:t>,</w:t>
      </w:r>
      <w:r w:rsidRPr="00E02273">
        <w:rPr>
          <w:lang w:val="en-CA"/>
        </w:rPr>
        <w:t xml:space="preserve"> the Ontario Superior Court of Justice and the C</w:t>
      </w:r>
      <w:r w:rsidR="0039598B" w:rsidRPr="00E02273">
        <w:rPr>
          <w:lang w:val="en-CA"/>
        </w:rPr>
        <w:t>ourt of Appeal for Ontario found the compulsory licensing</w:t>
      </w:r>
      <w:r w:rsidR="00F4786E" w:rsidRPr="00E02273">
        <w:rPr>
          <w:lang w:val="en-CA"/>
        </w:rPr>
        <w:t xml:space="preserve"> regime for patented medicines, the precursor to the current regime, con</w:t>
      </w:r>
      <w:r w:rsidR="002D51A4" w:rsidRPr="00E02273">
        <w:rPr>
          <w:lang w:val="en-CA"/>
        </w:rPr>
        <w:t>stitutional</w:t>
      </w:r>
      <w:r w:rsidR="00F4786E" w:rsidRPr="00E02273">
        <w:rPr>
          <w:lang w:val="en-CA"/>
        </w:rPr>
        <w:t xml:space="preserve">ly </w:t>
      </w:r>
      <w:r w:rsidR="002D51A4" w:rsidRPr="00E02273">
        <w:rPr>
          <w:lang w:val="en-CA"/>
        </w:rPr>
        <w:t>valid</w:t>
      </w:r>
      <w:r w:rsidR="00F4786E" w:rsidRPr="00E02273">
        <w:rPr>
          <w:lang w:val="en-CA"/>
        </w:rPr>
        <w:t>,</w:t>
      </w:r>
      <w:r w:rsidR="002D51A4" w:rsidRPr="00E02273">
        <w:rPr>
          <w:rStyle w:val="Appelnotedebasdep"/>
          <w:lang w:val="en-CA"/>
        </w:rPr>
        <w:footnoteReference w:id="163"/>
      </w:r>
      <w:r w:rsidR="00F4786E" w:rsidRPr="00E02273">
        <w:rPr>
          <w:lang w:val="en-CA"/>
        </w:rPr>
        <w:t xml:space="preserve"> although the reasons given in both judgments are</w:t>
      </w:r>
      <w:r w:rsidR="002F72A9" w:rsidRPr="00E02273">
        <w:rPr>
          <w:lang w:val="en-CA"/>
        </w:rPr>
        <w:t xml:space="preserve"> sparse</w:t>
      </w:r>
      <w:r w:rsidR="002D51A4" w:rsidRPr="00E02273">
        <w:rPr>
          <w:lang w:val="en-CA"/>
        </w:rPr>
        <w:t>.</w:t>
      </w:r>
    </w:p>
    <w:p w14:paraId="058422C4" w14:textId="57772668" w:rsidR="00B568AD" w:rsidRPr="00E02273" w:rsidRDefault="00C0594E" w:rsidP="00AE7EFD">
      <w:pPr>
        <w:pStyle w:val="Paragraphe"/>
        <w:tabs>
          <w:tab w:val="num" w:pos="709"/>
        </w:tabs>
        <w:spacing w:line="240" w:lineRule="auto"/>
        <w:ind w:left="0"/>
        <w:rPr>
          <w:lang w:val="en-CA"/>
        </w:rPr>
      </w:pPr>
      <w:r w:rsidRPr="00E02273">
        <w:rPr>
          <w:lang w:val="en-CA"/>
        </w:rPr>
        <w:t xml:space="preserve">In 1986 in </w:t>
      </w:r>
      <w:r w:rsidR="002D51A4" w:rsidRPr="00E02273">
        <w:rPr>
          <w:i/>
          <w:lang w:val="en-CA"/>
        </w:rPr>
        <w:t>Smith, Kline &amp; French</w:t>
      </w:r>
      <w:r w:rsidRPr="00E02273">
        <w:rPr>
          <w:lang w:val="en-CA"/>
        </w:rPr>
        <w:t xml:space="preserve">, the </w:t>
      </w:r>
      <w:r w:rsidR="002D51A4" w:rsidRPr="00E02273">
        <w:rPr>
          <w:lang w:val="en-CA"/>
        </w:rPr>
        <w:t>Federal</w:t>
      </w:r>
      <w:r w:rsidRPr="00E02273">
        <w:rPr>
          <w:lang w:val="en-CA"/>
        </w:rPr>
        <w:t xml:space="preserve"> </w:t>
      </w:r>
      <w:r w:rsidR="002D51A4" w:rsidRPr="00E02273">
        <w:rPr>
          <w:lang w:val="en-CA"/>
        </w:rPr>
        <w:t>Court</w:t>
      </w:r>
      <w:r w:rsidRPr="00E02273">
        <w:rPr>
          <w:lang w:val="en-CA"/>
        </w:rPr>
        <w:t xml:space="preserve"> and the Federal Court of Appeal both </w:t>
      </w:r>
      <w:r w:rsidR="00D101A6">
        <w:rPr>
          <w:lang w:val="en-CA"/>
        </w:rPr>
        <w:t>reached</w:t>
      </w:r>
      <w:r w:rsidRPr="00E02273">
        <w:rPr>
          <w:lang w:val="en-CA"/>
        </w:rPr>
        <w:t xml:space="preserve"> the same </w:t>
      </w:r>
      <w:r w:rsidR="002D51A4" w:rsidRPr="00E02273">
        <w:rPr>
          <w:lang w:val="en-CA"/>
        </w:rPr>
        <w:t xml:space="preserve">conclusion </w:t>
      </w:r>
      <w:r w:rsidRPr="00E02273">
        <w:rPr>
          <w:lang w:val="en-CA"/>
        </w:rPr>
        <w:t xml:space="preserve">as the Manitoba </w:t>
      </w:r>
      <w:r w:rsidR="002D51A4" w:rsidRPr="00E02273">
        <w:rPr>
          <w:lang w:val="en-CA"/>
        </w:rPr>
        <w:t>courts</w:t>
      </w:r>
      <w:r w:rsidRPr="00E02273">
        <w:rPr>
          <w:lang w:val="en-CA"/>
        </w:rPr>
        <w:t>, for reasons whi</w:t>
      </w:r>
      <w:r w:rsidR="00D101A6">
        <w:rPr>
          <w:lang w:val="en-CA"/>
        </w:rPr>
        <w:t>c</w:t>
      </w:r>
      <w:r w:rsidRPr="00E02273">
        <w:rPr>
          <w:lang w:val="en-CA"/>
        </w:rPr>
        <w:t>h they set out in detail.</w:t>
      </w:r>
      <w:r w:rsidR="002D51A4" w:rsidRPr="00E02273">
        <w:rPr>
          <w:rStyle w:val="Appelnotedebasdep"/>
          <w:lang w:val="en-CA"/>
        </w:rPr>
        <w:footnoteReference w:id="164"/>
      </w:r>
      <w:r w:rsidRPr="00E02273">
        <w:rPr>
          <w:lang w:val="en-CA"/>
        </w:rPr>
        <w:t xml:space="preserve"> The plaintiffs in that case submitted that the pith and substance of the compulsory licensing regime for patented medicines fell within the </w:t>
      </w:r>
      <w:r w:rsidR="002D51A4" w:rsidRPr="00E02273">
        <w:rPr>
          <w:lang w:val="en-CA"/>
        </w:rPr>
        <w:t>provincial</w:t>
      </w:r>
      <w:r w:rsidRPr="00E02273">
        <w:rPr>
          <w:lang w:val="en-CA"/>
        </w:rPr>
        <w:t xml:space="preserve"> </w:t>
      </w:r>
      <w:r w:rsidR="002D51A4" w:rsidRPr="00E02273">
        <w:rPr>
          <w:lang w:val="en-CA"/>
        </w:rPr>
        <w:t>jurisdiction</w:t>
      </w:r>
      <w:r w:rsidRPr="00E02273">
        <w:rPr>
          <w:lang w:val="en-CA"/>
        </w:rPr>
        <w:t xml:space="preserve"> over property and </w:t>
      </w:r>
      <w:r w:rsidR="002D51A4" w:rsidRPr="00E02273">
        <w:rPr>
          <w:lang w:val="en-CA"/>
        </w:rPr>
        <w:t>civil</w:t>
      </w:r>
      <w:r w:rsidRPr="00E02273">
        <w:rPr>
          <w:lang w:val="en-CA"/>
        </w:rPr>
        <w:t xml:space="preserve"> </w:t>
      </w:r>
      <w:r w:rsidR="002D51A4" w:rsidRPr="00E02273">
        <w:rPr>
          <w:lang w:val="en-CA"/>
        </w:rPr>
        <w:t xml:space="preserve">rights </w:t>
      </w:r>
      <w:r w:rsidRPr="00E02273">
        <w:rPr>
          <w:lang w:val="en-CA"/>
        </w:rPr>
        <w:t xml:space="preserve">because its purpose and its effects concerned the regulation of </w:t>
      </w:r>
      <w:r w:rsidR="00FB6345">
        <w:rPr>
          <w:lang w:val="en-CA"/>
        </w:rPr>
        <w:t xml:space="preserve">medicine </w:t>
      </w:r>
      <w:r w:rsidRPr="00E02273">
        <w:rPr>
          <w:lang w:val="en-CA"/>
        </w:rPr>
        <w:t>price</w:t>
      </w:r>
      <w:r w:rsidR="00FB6345">
        <w:rPr>
          <w:lang w:val="en-CA"/>
        </w:rPr>
        <w:t>s</w:t>
      </w:r>
      <w:r w:rsidRPr="00E02273">
        <w:rPr>
          <w:lang w:val="en-CA"/>
        </w:rPr>
        <w:t xml:space="preserve">. Strayer J. of the Federal Court rejected that argument and found that the </w:t>
      </w:r>
      <w:r w:rsidR="002D51A4" w:rsidRPr="00E02273">
        <w:rPr>
          <w:lang w:val="en-CA"/>
        </w:rPr>
        <w:t>federal</w:t>
      </w:r>
      <w:r w:rsidRPr="00E02273">
        <w:rPr>
          <w:lang w:val="en-CA"/>
        </w:rPr>
        <w:t xml:space="preserve"> </w:t>
      </w:r>
      <w:r w:rsidR="002D51A4" w:rsidRPr="00E02273">
        <w:rPr>
          <w:lang w:val="en-CA"/>
        </w:rPr>
        <w:t>jurisdiction</w:t>
      </w:r>
      <w:r w:rsidRPr="00E02273">
        <w:rPr>
          <w:lang w:val="en-CA"/>
        </w:rPr>
        <w:t xml:space="preserve"> over patents of </w:t>
      </w:r>
      <w:r w:rsidR="002D51A4" w:rsidRPr="00E02273">
        <w:rPr>
          <w:lang w:val="en-CA"/>
        </w:rPr>
        <w:t>invention</w:t>
      </w:r>
      <w:r w:rsidRPr="00E02273">
        <w:rPr>
          <w:lang w:val="en-CA"/>
        </w:rPr>
        <w:t xml:space="preserve"> and discovery</w:t>
      </w:r>
      <w:r w:rsidR="00A70CA7" w:rsidRPr="00E02273">
        <w:rPr>
          <w:lang w:val="en-CA"/>
        </w:rPr>
        <w:t xml:space="preserve"> included the </w:t>
      </w:r>
      <w:r w:rsidR="002D51A4" w:rsidRPr="00E02273">
        <w:rPr>
          <w:lang w:val="en-CA"/>
        </w:rPr>
        <w:t>right</w:t>
      </w:r>
      <w:r w:rsidR="00A70CA7" w:rsidRPr="00E02273">
        <w:rPr>
          <w:lang w:val="en-CA"/>
        </w:rPr>
        <w:t xml:space="preserve"> to control the effects of the monopoly granted by </w:t>
      </w:r>
      <w:r w:rsidR="00D101A6">
        <w:rPr>
          <w:lang w:val="en-CA"/>
        </w:rPr>
        <w:t xml:space="preserve">the </w:t>
      </w:r>
      <w:r w:rsidR="00A70CA7" w:rsidRPr="00E02273">
        <w:rPr>
          <w:lang w:val="en-CA"/>
        </w:rPr>
        <w:t>patent on the price of patented medicines:</w:t>
      </w:r>
      <w:r w:rsidR="002D51A4" w:rsidRPr="00E02273">
        <w:rPr>
          <w:rStyle w:val="Appelnotedebasdep"/>
          <w:lang w:val="en-CA"/>
        </w:rPr>
        <w:footnoteReference w:id="165"/>
      </w:r>
    </w:p>
    <w:p w14:paraId="687895E6" w14:textId="1751661A" w:rsidR="00A7158B" w:rsidRPr="00E02273" w:rsidRDefault="00A7158B" w:rsidP="00B568AD">
      <w:pPr>
        <w:pStyle w:val="Citationenretrait"/>
        <w:spacing w:line="240" w:lineRule="auto"/>
        <w:rPr>
          <w:lang w:val="en-CA"/>
        </w:rPr>
      </w:pPr>
      <w:r w:rsidRPr="00E02273">
        <w:rPr>
          <w:lang w:val="en-CA"/>
        </w:rPr>
        <w:t xml:space="preserve">It appears to me that under its authority with respect to patents of invention and discovery, Parliament is entitled to regulate patents in a variety of ways. </w:t>
      </w:r>
      <w:r w:rsidRPr="00E02273">
        <w:rPr>
          <w:u w:val="single"/>
          <w:lang w:val="en-CA"/>
        </w:rPr>
        <w:t>Essentially, this power enables it to create a monopoly for one party and to exclude other parties from the use, manufacture, sale, or importation of products which are the subject of a patent</w:t>
      </w:r>
      <w:r w:rsidRPr="00E02273">
        <w:rPr>
          <w:lang w:val="en-CA"/>
        </w:rPr>
        <w:t>. … I can find no constitutional imperative that Parliament must exercise its authority over patents of invention and discovery in one way only, namely to grant the typical or conventional type of patent exclusivity to the patentee of any product whatsoever.</w:t>
      </w:r>
      <w:r w:rsidR="00A35574" w:rsidRPr="00E02273">
        <w:rPr>
          <w:lang w:val="en-CA"/>
        </w:rPr>
        <w:t xml:space="preserve"> …</w:t>
      </w:r>
    </w:p>
    <w:p w14:paraId="778F8568" w14:textId="6646A540" w:rsidR="00B568AD" w:rsidRPr="00E02273" w:rsidRDefault="002D51A4" w:rsidP="00B568AD">
      <w:pPr>
        <w:pStyle w:val="Citationenretrait"/>
        <w:spacing w:line="240" w:lineRule="auto"/>
        <w:rPr>
          <w:lang w:val="en-CA"/>
        </w:rPr>
      </w:pPr>
      <w:r w:rsidRPr="00E02273">
        <w:rPr>
          <w:lang w:val="en-CA"/>
        </w:rPr>
        <w:t>…</w:t>
      </w:r>
    </w:p>
    <w:p w14:paraId="0458F429" w14:textId="77777777" w:rsidR="000A2DA2" w:rsidRPr="00E02273" w:rsidRDefault="000A2DA2" w:rsidP="00B568AD">
      <w:pPr>
        <w:pStyle w:val="Citationenretrait"/>
        <w:spacing w:line="240" w:lineRule="auto"/>
        <w:rPr>
          <w:lang w:val="en-CA"/>
        </w:rPr>
      </w:pPr>
      <w:r w:rsidRPr="00E02273">
        <w:rPr>
          <w:lang w:val="en-CA"/>
        </w:rPr>
        <w:t xml:space="preserve">I therefore conclude that </w:t>
      </w:r>
      <w:r w:rsidRPr="00E02273">
        <w:rPr>
          <w:u w:val="single"/>
          <w:lang w:val="en-CA"/>
        </w:rPr>
        <w:t>this subsection</w:t>
      </w:r>
      <w:r w:rsidRPr="00E02273">
        <w:rPr>
          <w:lang w:val="en-CA"/>
        </w:rPr>
        <w:t xml:space="preserve">, by making the grant of a patent for medicine subject to compulsory licensing </w:t>
      </w:r>
      <w:r w:rsidRPr="00E02273">
        <w:rPr>
          <w:u w:val="single"/>
          <w:lang w:val="en-CA"/>
        </w:rPr>
        <w:t xml:space="preserve">is simply limiting the scope of the </w:t>
      </w:r>
      <w:r w:rsidRPr="00E02273">
        <w:rPr>
          <w:u w:val="single"/>
          <w:lang w:val="en-CA"/>
        </w:rPr>
        <w:lastRenderedPageBreak/>
        <w:t>property right, the monopoly, which Parliament is authorized but not obliged to grant</w:t>
      </w:r>
      <w:r w:rsidRPr="00E02273">
        <w:rPr>
          <w:lang w:val="en-CA"/>
        </w:rPr>
        <w:t xml:space="preserve">. </w:t>
      </w:r>
    </w:p>
    <w:p w14:paraId="4120540D" w14:textId="585DD8C2" w:rsidR="00B568AD" w:rsidRPr="00E02273" w:rsidRDefault="000A2DA2" w:rsidP="00B568AD">
      <w:pPr>
        <w:pStyle w:val="Citationenretrait"/>
        <w:spacing w:line="240" w:lineRule="auto"/>
        <w:rPr>
          <w:lang w:val="en-CA"/>
        </w:rPr>
      </w:pPr>
      <w:r w:rsidRPr="00E02273">
        <w:rPr>
          <w:lang w:val="en-CA"/>
        </w:rPr>
        <w:t>Nor do I think it can otherwise be characterized in any way in pith and substance a law in relation to property and civil rights. It is true that the grant of a compulsory licence affects incidentally, though in important ways, contractual and property rights of the patentee as well as those of the licensee. But subsection 41(4) is not a law in relation to "prices" as contended by the plaintiffs. It does not purport to fix prices. One of its principal objects is, obviously, to bring about a reduction in prices through competition, but the prices are to be fixed by the vendors of drugs. Merely because the exercise of a federal power affects prices does not make it invalid.</w:t>
      </w:r>
    </w:p>
    <w:p w14:paraId="10455895" w14:textId="116201E9" w:rsidR="00B568AD" w:rsidRPr="00E02273" w:rsidRDefault="002D51A4" w:rsidP="00B568AD">
      <w:pPr>
        <w:pStyle w:val="Citationenretrait"/>
        <w:spacing w:line="240" w:lineRule="auto"/>
        <w:jc w:val="right"/>
        <w:rPr>
          <w:lang w:val="en-CA"/>
        </w:rPr>
      </w:pPr>
      <w:r w:rsidRPr="00E02273">
        <w:rPr>
          <w:lang w:val="en-CA"/>
        </w:rPr>
        <w:t>[Emphasis</w:t>
      </w:r>
      <w:r w:rsidR="000A2DA2" w:rsidRPr="00E02273">
        <w:rPr>
          <w:lang w:val="en-CA"/>
        </w:rPr>
        <w:t xml:space="preserve"> </w:t>
      </w:r>
      <w:r w:rsidRPr="00E02273">
        <w:rPr>
          <w:lang w:val="en-CA"/>
        </w:rPr>
        <w:t>added</w:t>
      </w:r>
      <w:r w:rsidR="000A2DA2" w:rsidRPr="00E02273">
        <w:rPr>
          <w:lang w:val="en-CA"/>
        </w:rPr>
        <w:t>.</w:t>
      </w:r>
      <w:r w:rsidRPr="00E02273">
        <w:rPr>
          <w:lang w:val="en-CA"/>
        </w:rPr>
        <w:t>]</w:t>
      </w:r>
    </w:p>
    <w:p w14:paraId="4F640825" w14:textId="1714ED25" w:rsidR="00B568AD" w:rsidRPr="00E02273" w:rsidRDefault="00AD6316" w:rsidP="00AE7EFD">
      <w:pPr>
        <w:pStyle w:val="Paragraphe"/>
        <w:tabs>
          <w:tab w:val="num" w:pos="709"/>
        </w:tabs>
        <w:spacing w:line="240" w:lineRule="auto"/>
        <w:ind w:left="0"/>
        <w:rPr>
          <w:lang w:val="en-CA"/>
        </w:rPr>
      </w:pPr>
      <w:r w:rsidRPr="00E02273">
        <w:rPr>
          <w:lang w:val="en-CA"/>
        </w:rPr>
        <w:t xml:space="preserve">In </w:t>
      </w:r>
      <w:r w:rsidR="002D51A4" w:rsidRPr="00E02273">
        <w:rPr>
          <w:i/>
          <w:lang w:val="en-CA"/>
        </w:rPr>
        <w:t>Manitoba Society of Seniors</w:t>
      </w:r>
      <w:r w:rsidR="002D51A4" w:rsidRPr="00E02273">
        <w:rPr>
          <w:lang w:val="en-CA"/>
        </w:rPr>
        <w:t xml:space="preserve"> </w:t>
      </w:r>
      <w:r w:rsidR="00FB6345">
        <w:rPr>
          <w:lang w:val="en-CA"/>
        </w:rPr>
        <w:t>in</w:t>
      </w:r>
      <w:r w:rsidR="002D51A4" w:rsidRPr="00E02273">
        <w:rPr>
          <w:lang w:val="en-CA"/>
        </w:rPr>
        <w:t xml:space="preserve"> 1992</w:t>
      </w:r>
      <w:r w:rsidR="00D92105" w:rsidRPr="00E02273">
        <w:rPr>
          <w:lang w:val="en-CA"/>
        </w:rPr>
        <w:t>,</w:t>
      </w:r>
      <w:r w:rsidR="002D51A4" w:rsidRPr="00E02273">
        <w:rPr>
          <w:rStyle w:val="Appelnotedebasdep"/>
          <w:lang w:val="en-CA"/>
        </w:rPr>
        <w:footnoteReference w:id="166"/>
      </w:r>
      <w:r w:rsidR="002D51A4" w:rsidRPr="00E02273">
        <w:rPr>
          <w:i/>
          <w:lang w:val="en-CA"/>
        </w:rPr>
        <w:t xml:space="preserve"> </w:t>
      </w:r>
      <w:r w:rsidR="0013231B" w:rsidRPr="00E02273">
        <w:rPr>
          <w:lang w:val="en-CA"/>
        </w:rPr>
        <w:t xml:space="preserve">the </w:t>
      </w:r>
      <w:r w:rsidR="002D51A4" w:rsidRPr="00E02273">
        <w:rPr>
          <w:lang w:val="en-CA"/>
        </w:rPr>
        <w:t xml:space="preserve">Manitoba </w:t>
      </w:r>
      <w:r w:rsidR="0013231B" w:rsidRPr="00E02273">
        <w:rPr>
          <w:lang w:val="en-CA"/>
        </w:rPr>
        <w:t xml:space="preserve">Court of Queen’s Bench and the </w:t>
      </w:r>
      <w:r w:rsidR="002D51A4" w:rsidRPr="00E02273">
        <w:rPr>
          <w:lang w:val="en-CA"/>
        </w:rPr>
        <w:t xml:space="preserve">Manitoba </w:t>
      </w:r>
      <w:r w:rsidR="0013231B" w:rsidRPr="00E02273">
        <w:rPr>
          <w:lang w:val="en-CA"/>
        </w:rPr>
        <w:t xml:space="preserve">Court of Appeal </w:t>
      </w:r>
      <w:r w:rsidR="002D51A4" w:rsidRPr="00E02273">
        <w:rPr>
          <w:lang w:val="en-CA"/>
        </w:rPr>
        <w:t>confirm</w:t>
      </w:r>
      <w:r w:rsidR="00080AE0" w:rsidRPr="00E02273">
        <w:rPr>
          <w:lang w:val="en-CA"/>
        </w:rPr>
        <w:t xml:space="preserve">ed the </w:t>
      </w:r>
      <w:r w:rsidR="002D51A4" w:rsidRPr="00E02273">
        <w:rPr>
          <w:lang w:val="en-CA"/>
        </w:rPr>
        <w:t>constitutional</w:t>
      </w:r>
      <w:r w:rsidR="00080AE0" w:rsidRPr="00E02273">
        <w:rPr>
          <w:lang w:val="en-CA"/>
        </w:rPr>
        <w:t xml:space="preserve"> </w:t>
      </w:r>
      <w:r w:rsidR="002D51A4" w:rsidRPr="00E02273">
        <w:rPr>
          <w:lang w:val="en-CA"/>
        </w:rPr>
        <w:t>validity</w:t>
      </w:r>
      <w:r w:rsidR="00080AE0" w:rsidRPr="00E02273">
        <w:rPr>
          <w:lang w:val="en-CA"/>
        </w:rPr>
        <w:t xml:space="preserve"> of the re</w:t>
      </w:r>
      <w:r w:rsidR="002D51A4" w:rsidRPr="00E02273">
        <w:rPr>
          <w:lang w:val="en-CA"/>
        </w:rPr>
        <w:t xml:space="preserve">gime </w:t>
      </w:r>
      <w:r w:rsidR="00080AE0" w:rsidRPr="00E02273">
        <w:rPr>
          <w:lang w:val="en-CA"/>
        </w:rPr>
        <w:t>i</w:t>
      </w:r>
      <w:r w:rsidR="002D51A4" w:rsidRPr="00E02273">
        <w:rPr>
          <w:lang w:val="en-CA"/>
        </w:rPr>
        <w:t>ntrodu</w:t>
      </w:r>
      <w:r w:rsidR="00080AE0" w:rsidRPr="00E02273">
        <w:rPr>
          <w:lang w:val="en-CA"/>
        </w:rPr>
        <w:t xml:space="preserve">ced in </w:t>
      </w:r>
      <w:r w:rsidR="002D51A4" w:rsidRPr="00E02273">
        <w:rPr>
          <w:lang w:val="en-CA"/>
        </w:rPr>
        <w:t xml:space="preserve">1987 </w:t>
      </w:r>
      <w:r w:rsidR="00080AE0" w:rsidRPr="00E02273">
        <w:rPr>
          <w:lang w:val="en-CA"/>
        </w:rPr>
        <w:t xml:space="preserve">creating the Board and for the first time allowing a federal body to </w:t>
      </w:r>
      <w:r w:rsidR="0092205F" w:rsidRPr="00E02273">
        <w:rPr>
          <w:lang w:val="en-CA"/>
        </w:rPr>
        <w:t>impose restrictive mea</w:t>
      </w:r>
      <w:r w:rsidR="002D51A4" w:rsidRPr="00E02273">
        <w:rPr>
          <w:lang w:val="en-CA"/>
        </w:rPr>
        <w:t xml:space="preserve">sures </w:t>
      </w:r>
      <w:r w:rsidR="0092205F" w:rsidRPr="00E02273">
        <w:rPr>
          <w:lang w:val="en-CA"/>
        </w:rPr>
        <w:t xml:space="preserve">on prices to ensure that patented medicines are not sold at </w:t>
      </w:r>
      <w:r w:rsidR="002D51A4" w:rsidRPr="00E02273">
        <w:rPr>
          <w:lang w:val="en-CA"/>
        </w:rPr>
        <w:t>excessi</w:t>
      </w:r>
      <w:r w:rsidR="0092205F" w:rsidRPr="00E02273">
        <w:rPr>
          <w:lang w:val="en-CA"/>
        </w:rPr>
        <w:t>ve prices</w:t>
      </w:r>
      <w:r w:rsidR="002D51A4" w:rsidRPr="00E02273">
        <w:rPr>
          <w:lang w:val="en-CA"/>
        </w:rPr>
        <w:t>.</w:t>
      </w:r>
      <w:r w:rsidR="0092205F" w:rsidRPr="00E02273">
        <w:rPr>
          <w:lang w:val="en-CA"/>
        </w:rPr>
        <w:t xml:space="preserve"> In that case, the applicant challenged the </w:t>
      </w:r>
      <w:r w:rsidR="002D51A4" w:rsidRPr="00E02273">
        <w:rPr>
          <w:lang w:val="en-CA"/>
        </w:rPr>
        <w:t>constitutional</w:t>
      </w:r>
      <w:r w:rsidR="0092205F" w:rsidRPr="00E02273">
        <w:rPr>
          <w:lang w:val="en-CA"/>
        </w:rPr>
        <w:t xml:space="preserve"> </w:t>
      </w:r>
      <w:r w:rsidR="002D51A4" w:rsidRPr="00E02273">
        <w:rPr>
          <w:lang w:val="en-CA"/>
        </w:rPr>
        <w:t>validity</w:t>
      </w:r>
      <w:r w:rsidR="0092205F" w:rsidRPr="00E02273">
        <w:rPr>
          <w:lang w:val="en-CA"/>
        </w:rPr>
        <w:t xml:space="preserve"> of the 1987 </w:t>
      </w:r>
      <w:r w:rsidR="002D51A4" w:rsidRPr="00E02273">
        <w:rPr>
          <w:lang w:val="en-CA"/>
        </w:rPr>
        <w:t>legislative</w:t>
      </w:r>
      <w:r w:rsidR="0092205F" w:rsidRPr="00E02273">
        <w:rPr>
          <w:lang w:val="en-CA"/>
        </w:rPr>
        <w:t xml:space="preserve"> </w:t>
      </w:r>
      <w:r w:rsidR="002D51A4" w:rsidRPr="00E02273">
        <w:rPr>
          <w:lang w:val="en-CA"/>
        </w:rPr>
        <w:t>amendments</w:t>
      </w:r>
      <w:r w:rsidR="0092205F" w:rsidRPr="00E02273">
        <w:rPr>
          <w:lang w:val="en-CA"/>
        </w:rPr>
        <w:t xml:space="preserve"> on the ground that they </w:t>
      </w:r>
      <w:r w:rsidR="002D51A4" w:rsidRPr="00E02273">
        <w:rPr>
          <w:lang w:val="en-CA"/>
        </w:rPr>
        <w:t>introdu</w:t>
      </w:r>
      <w:r w:rsidR="0092205F" w:rsidRPr="00E02273">
        <w:rPr>
          <w:lang w:val="en-CA"/>
        </w:rPr>
        <w:t>ced a new</w:t>
      </w:r>
      <w:r w:rsidR="005F1741">
        <w:rPr>
          <w:lang w:val="en-CA"/>
        </w:rPr>
        <w:t xml:space="preserve"> price control</w:t>
      </w:r>
      <w:r w:rsidR="0092205F" w:rsidRPr="00E02273">
        <w:rPr>
          <w:lang w:val="en-CA"/>
        </w:rPr>
        <w:t xml:space="preserve"> regime </w:t>
      </w:r>
      <w:r w:rsidR="005F1741">
        <w:rPr>
          <w:lang w:val="en-CA"/>
        </w:rPr>
        <w:t xml:space="preserve">for </w:t>
      </w:r>
      <w:r w:rsidR="0092205F" w:rsidRPr="00E02273">
        <w:rPr>
          <w:lang w:val="en-CA"/>
        </w:rPr>
        <w:t xml:space="preserve">patented medicines, a matter that the </w:t>
      </w:r>
      <w:r w:rsidR="002D51A4" w:rsidRPr="00E02273">
        <w:rPr>
          <w:lang w:val="en-CA"/>
        </w:rPr>
        <w:t>applicants</w:t>
      </w:r>
      <w:r w:rsidR="00930074" w:rsidRPr="00E02273">
        <w:rPr>
          <w:lang w:val="en-CA"/>
        </w:rPr>
        <w:t xml:space="preserve"> argued fell within the </w:t>
      </w:r>
      <w:r w:rsidR="002D51A4" w:rsidRPr="00E02273">
        <w:rPr>
          <w:lang w:val="en-CA"/>
        </w:rPr>
        <w:t>exclusive</w:t>
      </w:r>
      <w:r w:rsidR="00930074" w:rsidRPr="00E02273">
        <w:rPr>
          <w:lang w:val="en-CA"/>
        </w:rPr>
        <w:t xml:space="preserve"> </w:t>
      </w:r>
      <w:r w:rsidR="002D51A4" w:rsidRPr="00E02273">
        <w:rPr>
          <w:lang w:val="en-CA"/>
        </w:rPr>
        <w:t>jurisdiction</w:t>
      </w:r>
      <w:r w:rsidR="00930074" w:rsidRPr="00E02273">
        <w:rPr>
          <w:lang w:val="en-CA"/>
        </w:rPr>
        <w:t xml:space="preserve"> of the </w:t>
      </w:r>
      <w:r w:rsidR="002D51A4" w:rsidRPr="00E02273">
        <w:rPr>
          <w:lang w:val="en-CA"/>
        </w:rPr>
        <w:t xml:space="preserve">provinces. Dureault </w:t>
      </w:r>
      <w:r w:rsidR="00930074" w:rsidRPr="00E02273">
        <w:rPr>
          <w:lang w:val="en-CA"/>
        </w:rPr>
        <w:t xml:space="preserve">J. rejected that argument, noting that the purpose of the </w:t>
      </w:r>
      <w:r w:rsidR="002D51A4" w:rsidRPr="00E02273">
        <w:rPr>
          <w:lang w:val="en-CA"/>
        </w:rPr>
        <w:t>legislative</w:t>
      </w:r>
      <w:r w:rsidR="00930074" w:rsidRPr="00E02273">
        <w:rPr>
          <w:lang w:val="en-CA"/>
        </w:rPr>
        <w:t xml:space="preserve"> </w:t>
      </w:r>
      <w:r w:rsidR="002D51A4" w:rsidRPr="00E02273">
        <w:rPr>
          <w:lang w:val="en-CA"/>
        </w:rPr>
        <w:t>amendments</w:t>
      </w:r>
      <w:r w:rsidR="00930074" w:rsidRPr="00E02273">
        <w:rPr>
          <w:lang w:val="en-CA"/>
        </w:rPr>
        <w:t xml:space="preserve"> was, one, to extend the rights of patent holders to medicines, and two, to establish </w:t>
      </w:r>
      <w:r w:rsidR="002D51A4" w:rsidRPr="00E02273">
        <w:rPr>
          <w:lang w:val="en-CA"/>
        </w:rPr>
        <w:t>m</w:t>
      </w:r>
      <w:r w:rsidR="00930074" w:rsidRPr="00E02273">
        <w:rPr>
          <w:lang w:val="en-CA"/>
        </w:rPr>
        <w:t>e</w:t>
      </w:r>
      <w:r w:rsidR="002D51A4" w:rsidRPr="00E02273">
        <w:rPr>
          <w:lang w:val="en-CA"/>
        </w:rPr>
        <w:t>c</w:t>
      </w:r>
      <w:r w:rsidR="00930074" w:rsidRPr="00E02273">
        <w:rPr>
          <w:lang w:val="en-CA"/>
        </w:rPr>
        <w:t>h</w:t>
      </w:r>
      <w:r w:rsidR="002D51A4" w:rsidRPr="00E02273">
        <w:rPr>
          <w:lang w:val="en-CA"/>
        </w:rPr>
        <w:t xml:space="preserve">anisms </w:t>
      </w:r>
      <w:r w:rsidR="00930074" w:rsidRPr="00E02273">
        <w:rPr>
          <w:lang w:val="en-CA"/>
        </w:rPr>
        <w:t xml:space="preserve">to control the adverse effects on the price of medicines resulting from the </w:t>
      </w:r>
      <w:r w:rsidR="00F75929" w:rsidRPr="00E02273">
        <w:rPr>
          <w:lang w:val="en-CA"/>
        </w:rPr>
        <w:t>strengthened monopoly granted by the enhanced patent</w:t>
      </w:r>
      <w:r w:rsidR="002D51A4" w:rsidRPr="00E02273">
        <w:rPr>
          <w:lang w:val="en-CA"/>
        </w:rPr>
        <w:t>.</w:t>
      </w:r>
      <w:r w:rsidR="00F75929" w:rsidRPr="00E02273">
        <w:rPr>
          <w:lang w:val="en-CA"/>
        </w:rPr>
        <w:t xml:space="preserve"> He stated the following:</w:t>
      </w:r>
      <w:r w:rsidR="002D51A4" w:rsidRPr="00E02273">
        <w:rPr>
          <w:rStyle w:val="Appelnotedebasdep"/>
          <w:lang w:val="en-CA"/>
        </w:rPr>
        <w:footnoteReference w:id="167"/>
      </w:r>
    </w:p>
    <w:p w14:paraId="4B99603D" w14:textId="1F84B988" w:rsidR="00B568AD" w:rsidRPr="00E02273" w:rsidRDefault="002D51A4" w:rsidP="00B568AD">
      <w:pPr>
        <w:pStyle w:val="Citationenretrait"/>
        <w:spacing w:before="240" w:after="180" w:line="240" w:lineRule="auto"/>
        <w:rPr>
          <w:rFonts w:ascii="Times New Roman" w:hAnsi="Times New Roman"/>
          <w:lang w:val="en-CA" w:eastAsia="fr-CA"/>
        </w:rPr>
      </w:pPr>
      <w:r w:rsidRPr="00E02273">
        <w:rPr>
          <w:spacing w:val="-9"/>
          <w:lang w:val="en-CA"/>
        </w:rPr>
        <w:t>[</w:t>
      </w:r>
      <w:bookmarkStart w:id="47" w:name="par21"/>
      <w:r w:rsidRPr="00E02273">
        <w:rPr>
          <w:spacing w:val="-9"/>
          <w:lang w:val="en-CA"/>
        </w:rPr>
        <w:t>21</w:t>
      </w:r>
      <w:bookmarkEnd w:id="47"/>
      <w:r w:rsidRPr="00E02273">
        <w:rPr>
          <w:spacing w:val="-9"/>
          <w:lang w:val="en-CA"/>
        </w:rPr>
        <w:t>]</w:t>
      </w:r>
      <w:r w:rsidRPr="00E02273">
        <w:rPr>
          <w:spacing w:val="-9"/>
          <w:sz w:val="14"/>
          <w:szCs w:val="14"/>
          <w:lang w:val="en-CA"/>
        </w:rPr>
        <w:tab/>
      </w:r>
      <w:r w:rsidRPr="00E02273">
        <w:rPr>
          <w:u w:val="single"/>
          <w:lang w:val="en-CA"/>
        </w:rPr>
        <w:t xml:space="preserve">The policy of the impugned amendments appears to </w:t>
      </w:r>
      <w:r w:rsidRPr="008D3B66">
        <w:rPr>
          <w:u w:val="single"/>
          <w:lang w:val="en-CA"/>
        </w:rPr>
        <w:t>me</w:t>
      </w:r>
      <w:r w:rsidRPr="00E02273">
        <w:rPr>
          <w:u w:val="single"/>
          <w:lang w:val="en-CA"/>
        </w:rPr>
        <w:t xml:space="preserve"> to be primarily directed at increasing patent protection or exclusivity for new inventions of medicines.</w:t>
      </w:r>
      <w:r w:rsidRPr="00E02273">
        <w:rPr>
          <w:lang w:val="en-CA"/>
        </w:rPr>
        <w:t xml:space="preserve"> It is intended to provide greater financial rewards for pharmaceutical firms developing new medicines. Ordinarily, it should foster greater research and development. That does not strike me as an improper use of the patent power. And while Parliament was not oblivious to the risk that patent exclusivity might result in excessive prices, it sought to deal with that incidental mischief by instituting the regulatory Board with its monitoring and reviewing powers.</w:t>
      </w:r>
    </w:p>
    <w:p w14:paraId="560DD41C" w14:textId="77777777" w:rsidR="00B568AD" w:rsidRPr="00E02273" w:rsidRDefault="002D51A4" w:rsidP="00B568AD">
      <w:pPr>
        <w:pStyle w:val="Citationenretrait"/>
        <w:spacing w:after="180" w:line="240" w:lineRule="auto"/>
        <w:rPr>
          <w:lang w:val="en-CA"/>
        </w:rPr>
      </w:pPr>
      <w:r w:rsidRPr="00E02273">
        <w:rPr>
          <w:spacing w:val="-9"/>
          <w:lang w:val="en-CA"/>
        </w:rPr>
        <w:t>[</w:t>
      </w:r>
      <w:bookmarkStart w:id="48" w:name="par22"/>
      <w:r w:rsidRPr="00E02273">
        <w:rPr>
          <w:spacing w:val="-9"/>
          <w:lang w:val="en-CA"/>
        </w:rPr>
        <w:t>22</w:t>
      </w:r>
      <w:bookmarkEnd w:id="48"/>
      <w:r w:rsidRPr="00E02273">
        <w:rPr>
          <w:spacing w:val="-9"/>
          <w:lang w:val="en-CA"/>
        </w:rPr>
        <w:t>]</w:t>
      </w:r>
      <w:r w:rsidRPr="00E02273">
        <w:rPr>
          <w:spacing w:val="-9"/>
          <w:sz w:val="14"/>
          <w:szCs w:val="14"/>
          <w:lang w:val="en-CA"/>
        </w:rPr>
        <w:tab/>
      </w:r>
      <w:r w:rsidRPr="00E02273">
        <w:rPr>
          <w:u w:val="single"/>
          <w:lang w:val="en-CA"/>
        </w:rPr>
        <w:t>The price review regime is but one component of the broader regime of patent exclusivity brought about by the impugned provisions and is essentially a device for dealing with excessive prices resulting from patent abuse.</w:t>
      </w:r>
      <w:r w:rsidRPr="00E02273">
        <w:rPr>
          <w:lang w:val="en-CA"/>
        </w:rPr>
        <w:t xml:space="preserve"> As indicated, the remedial actions are loss of patent exclusivity or reintroduction of competition </w:t>
      </w:r>
      <w:r w:rsidRPr="00E02273">
        <w:rPr>
          <w:lang w:val="en-CA"/>
        </w:rPr>
        <w:lastRenderedPageBreak/>
        <w:t xml:space="preserve">through compulsory licensing. How could such actions, directing a return to the earlier regime of immediate compulsory licensing, be considered anything but the valid exercise of patent power. The fact that, as a last resort, the Board may seek enforcement of its rollback orders through a superior court process does not change the fundamental nature of the legislation from the field of patent to that of property and civil rights, </w:t>
      </w:r>
      <w:r w:rsidRPr="00E02273">
        <w:rPr>
          <w:i/>
          <w:iCs/>
          <w:lang w:val="en-CA"/>
        </w:rPr>
        <w:t>i.e</w:t>
      </w:r>
      <w:r w:rsidRPr="00E02273">
        <w:rPr>
          <w:lang w:val="en-CA"/>
        </w:rPr>
        <w:t>., price control.</w:t>
      </w:r>
    </w:p>
    <w:p w14:paraId="6B8F08BE" w14:textId="77777777" w:rsidR="00B568AD" w:rsidRPr="00E02273" w:rsidRDefault="002D51A4" w:rsidP="00B568AD">
      <w:pPr>
        <w:pStyle w:val="Citationenretrait"/>
        <w:spacing w:after="180" w:line="240" w:lineRule="auto"/>
        <w:rPr>
          <w:u w:val="single"/>
          <w:lang w:val="en-CA"/>
        </w:rPr>
      </w:pPr>
      <w:r w:rsidRPr="00E02273">
        <w:rPr>
          <w:spacing w:val="-9"/>
          <w:lang w:val="en-CA"/>
        </w:rPr>
        <w:t>[</w:t>
      </w:r>
      <w:bookmarkStart w:id="49" w:name="par23"/>
      <w:r w:rsidRPr="00E02273">
        <w:rPr>
          <w:spacing w:val="-9"/>
          <w:lang w:val="en-CA"/>
        </w:rPr>
        <w:t>23</w:t>
      </w:r>
      <w:bookmarkEnd w:id="49"/>
      <w:r w:rsidRPr="00E02273">
        <w:rPr>
          <w:spacing w:val="-9"/>
          <w:lang w:val="en-CA"/>
        </w:rPr>
        <w:t>]</w:t>
      </w:r>
      <w:r w:rsidRPr="00E02273">
        <w:rPr>
          <w:spacing w:val="-9"/>
          <w:sz w:val="14"/>
          <w:szCs w:val="14"/>
          <w:lang w:val="en-CA"/>
        </w:rPr>
        <w:tab/>
      </w:r>
      <w:r w:rsidRPr="00E02273">
        <w:rPr>
          <w:lang w:val="en-CA"/>
        </w:rPr>
        <w:t xml:space="preserve">I conclude that in pith and substance the impugned amendments pertain to the field of patents of invention. </w:t>
      </w:r>
      <w:r w:rsidRPr="00E02273">
        <w:rPr>
          <w:u w:val="single"/>
          <w:lang w:val="en-CA"/>
        </w:rPr>
        <w:t>As the legislation reestablishes exclusivity for patented medicines to an extent not enjoyed since 1931, Parliament also provided for a mechanism to deal with price abuse that may incidentally occur as a result of these monopolies it created.</w:t>
      </w:r>
      <w:r w:rsidRPr="00E02273">
        <w:rPr>
          <w:lang w:val="en-CA"/>
        </w:rPr>
        <w:t xml:space="preserve"> The Board is only empowered to deal with the excessive prices of medicines patented under the new regime. It is not a scheme of general supervision of all patented pharmaceutical inventions. </w:t>
      </w:r>
      <w:r w:rsidRPr="00E02273">
        <w:rPr>
          <w:u w:val="single"/>
          <w:lang w:val="en-CA"/>
        </w:rPr>
        <w:t>It clearly deals with the potential abuse flowing incidentally from the newly created patent exclusivity.</w:t>
      </w:r>
      <w:r w:rsidRPr="00E02273">
        <w:rPr>
          <w:lang w:val="en-CA"/>
        </w:rPr>
        <w:t xml:space="preserve"> Any firm not wishing to submit to the Board's authority can do so by renouncing its right to obtain a patent. </w:t>
      </w:r>
      <w:r w:rsidRPr="00E02273">
        <w:rPr>
          <w:u w:val="single"/>
          <w:lang w:val="en-CA"/>
        </w:rPr>
        <w:t>Thus, the legislation is targeted to patent and patent abuse.</w:t>
      </w:r>
    </w:p>
    <w:p w14:paraId="694F414E" w14:textId="77777777" w:rsidR="00B568AD" w:rsidRPr="00E02273" w:rsidRDefault="002D51A4" w:rsidP="00B568AD">
      <w:pPr>
        <w:pStyle w:val="Citationenretrait"/>
        <w:spacing w:line="240" w:lineRule="auto"/>
        <w:rPr>
          <w:lang w:val="en-CA"/>
        </w:rPr>
      </w:pPr>
      <w:r w:rsidRPr="00E02273">
        <w:rPr>
          <w:spacing w:val="-9"/>
          <w:lang w:val="en-CA"/>
        </w:rPr>
        <w:t>[</w:t>
      </w:r>
      <w:bookmarkStart w:id="50" w:name="par24"/>
      <w:r w:rsidRPr="00E02273">
        <w:rPr>
          <w:spacing w:val="-9"/>
          <w:lang w:val="en-CA"/>
        </w:rPr>
        <w:t>24</w:t>
      </w:r>
      <w:bookmarkEnd w:id="50"/>
      <w:r w:rsidRPr="00E02273">
        <w:rPr>
          <w:spacing w:val="-9"/>
          <w:lang w:val="en-CA"/>
        </w:rPr>
        <w:t>]</w:t>
      </w:r>
      <w:r w:rsidRPr="00E02273">
        <w:rPr>
          <w:spacing w:val="-9"/>
          <w:sz w:val="14"/>
          <w:szCs w:val="14"/>
          <w:lang w:val="en-CA"/>
        </w:rPr>
        <w:tab/>
      </w:r>
      <w:r w:rsidRPr="00E02273">
        <w:rPr>
          <w:lang w:val="en-CA"/>
        </w:rPr>
        <w:t>I conclude that the impugned legislation was validly enacted by the Parliament of Canada pursuant to its constitutional power in the field of patents of invention. Accordingly, the application for the declaratory relief must be denied.</w:t>
      </w:r>
    </w:p>
    <w:p w14:paraId="208936EA" w14:textId="6EF5011F" w:rsidR="00B568AD" w:rsidRPr="00E02273" w:rsidRDefault="002D51A4" w:rsidP="00B568AD">
      <w:pPr>
        <w:pStyle w:val="Citationenretrait"/>
        <w:spacing w:line="240" w:lineRule="auto"/>
        <w:jc w:val="right"/>
        <w:rPr>
          <w:lang w:val="en-CA"/>
        </w:rPr>
      </w:pPr>
      <w:r w:rsidRPr="00E02273">
        <w:rPr>
          <w:lang w:val="en-CA"/>
        </w:rPr>
        <w:t>[Emphasis</w:t>
      </w:r>
      <w:r w:rsidR="00F75929" w:rsidRPr="00E02273">
        <w:rPr>
          <w:lang w:val="en-CA"/>
        </w:rPr>
        <w:t xml:space="preserve"> </w:t>
      </w:r>
      <w:r w:rsidRPr="00E02273">
        <w:rPr>
          <w:lang w:val="en-CA"/>
        </w:rPr>
        <w:t>added</w:t>
      </w:r>
      <w:r w:rsidR="00F75929" w:rsidRPr="00E02273">
        <w:rPr>
          <w:lang w:val="en-CA"/>
        </w:rPr>
        <w:t>.</w:t>
      </w:r>
      <w:r w:rsidRPr="00E02273">
        <w:rPr>
          <w:lang w:val="en-CA"/>
        </w:rPr>
        <w:t>]</w:t>
      </w:r>
    </w:p>
    <w:p w14:paraId="4B0C5FDC" w14:textId="5EBCA481" w:rsidR="00B568AD" w:rsidRPr="00E02273" w:rsidRDefault="00E12880" w:rsidP="00A21704">
      <w:pPr>
        <w:pStyle w:val="Paragraphe"/>
        <w:tabs>
          <w:tab w:val="num" w:pos="709"/>
        </w:tabs>
        <w:spacing w:line="240" w:lineRule="auto"/>
        <w:ind w:left="0"/>
        <w:rPr>
          <w:lang w:val="en-CA"/>
        </w:rPr>
      </w:pPr>
      <w:r w:rsidRPr="00E02273">
        <w:rPr>
          <w:lang w:val="en-CA"/>
        </w:rPr>
        <w:t>As for the re</w:t>
      </w:r>
      <w:r w:rsidR="002D51A4" w:rsidRPr="00E02273">
        <w:rPr>
          <w:lang w:val="en-CA"/>
        </w:rPr>
        <w:t xml:space="preserve">gime </w:t>
      </w:r>
      <w:r w:rsidRPr="00E02273">
        <w:rPr>
          <w:lang w:val="en-CA"/>
        </w:rPr>
        <w:t xml:space="preserve">in its current </w:t>
      </w:r>
      <w:r w:rsidR="002D51A4" w:rsidRPr="00E02273">
        <w:rPr>
          <w:lang w:val="en-CA"/>
        </w:rPr>
        <w:t>form</w:t>
      </w:r>
      <w:r w:rsidRPr="00E02273">
        <w:rPr>
          <w:lang w:val="en-CA"/>
        </w:rPr>
        <w:t xml:space="preserve">, which was </w:t>
      </w:r>
      <w:r w:rsidR="002D51A4" w:rsidRPr="00E02273">
        <w:rPr>
          <w:lang w:val="en-CA"/>
        </w:rPr>
        <w:t>introdu</w:t>
      </w:r>
      <w:r w:rsidRPr="00E02273">
        <w:rPr>
          <w:lang w:val="en-CA"/>
        </w:rPr>
        <w:t xml:space="preserve">ced into the </w:t>
      </w:r>
      <w:r w:rsidRPr="00E02273">
        <w:rPr>
          <w:i/>
          <w:lang w:val="en-CA"/>
        </w:rPr>
        <w:t xml:space="preserve">Patent Act </w:t>
      </w:r>
      <w:r w:rsidR="00DC4C89" w:rsidRPr="00E02273">
        <w:rPr>
          <w:lang w:val="en-CA"/>
        </w:rPr>
        <w:t xml:space="preserve">by the 1993 </w:t>
      </w:r>
      <w:r w:rsidR="002D51A4" w:rsidRPr="00E02273">
        <w:rPr>
          <w:lang w:val="en-CA"/>
        </w:rPr>
        <w:t>legislative</w:t>
      </w:r>
      <w:r w:rsidR="00DC4C89" w:rsidRPr="00E02273">
        <w:rPr>
          <w:lang w:val="en-CA"/>
        </w:rPr>
        <w:t xml:space="preserve"> </w:t>
      </w:r>
      <w:r w:rsidR="002D51A4" w:rsidRPr="00E02273">
        <w:rPr>
          <w:lang w:val="en-CA"/>
        </w:rPr>
        <w:t>amendments,</w:t>
      </w:r>
      <w:r w:rsidR="00DC4C89" w:rsidRPr="00E02273">
        <w:rPr>
          <w:lang w:val="en-CA"/>
        </w:rPr>
        <w:t xml:space="preserve"> the </w:t>
      </w:r>
      <w:r w:rsidR="002D51A4" w:rsidRPr="00E02273">
        <w:rPr>
          <w:lang w:val="en-CA"/>
        </w:rPr>
        <w:t>Federal</w:t>
      </w:r>
      <w:r w:rsidR="00DC4C89" w:rsidRPr="00E02273">
        <w:rPr>
          <w:lang w:val="en-CA"/>
        </w:rPr>
        <w:t xml:space="preserve"> </w:t>
      </w:r>
      <w:r w:rsidR="002D51A4" w:rsidRPr="00E02273">
        <w:rPr>
          <w:lang w:val="en-CA"/>
        </w:rPr>
        <w:t>Court</w:t>
      </w:r>
      <w:r w:rsidR="00DC4C89" w:rsidRPr="00E02273">
        <w:rPr>
          <w:lang w:val="en-CA"/>
        </w:rPr>
        <w:t xml:space="preserve">s </w:t>
      </w:r>
      <w:r w:rsidR="002D51A4" w:rsidRPr="00E02273">
        <w:rPr>
          <w:lang w:val="en-CA"/>
        </w:rPr>
        <w:t>confirm</w:t>
      </w:r>
      <w:r w:rsidR="00DC4C89" w:rsidRPr="00E02273">
        <w:rPr>
          <w:lang w:val="en-CA"/>
        </w:rPr>
        <w:t xml:space="preserve">ed its </w:t>
      </w:r>
      <w:r w:rsidR="002D51A4" w:rsidRPr="00E02273">
        <w:rPr>
          <w:lang w:val="en-CA"/>
        </w:rPr>
        <w:t>constitutional</w:t>
      </w:r>
      <w:r w:rsidR="00DC4C89" w:rsidRPr="00E02273">
        <w:rPr>
          <w:lang w:val="en-CA"/>
        </w:rPr>
        <w:t xml:space="preserve"> </w:t>
      </w:r>
      <w:r w:rsidR="002D51A4" w:rsidRPr="00E02273">
        <w:rPr>
          <w:lang w:val="en-CA"/>
        </w:rPr>
        <w:t xml:space="preserve">validity, </w:t>
      </w:r>
      <w:r w:rsidR="00DC4C89" w:rsidRPr="00E02273">
        <w:rPr>
          <w:lang w:val="en-CA"/>
        </w:rPr>
        <w:t xml:space="preserve">in particular in </w:t>
      </w:r>
      <w:r w:rsidR="002D51A4" w:rsidRPr="00E02273">
        <w:rPr>
          <w:i/>
          <w:lang w:val="en-CA"/>
        </w:rPr>
        <w:t>Sandoz/Ratiopharm</w:t>
      </w:r>
      <w:r w:rsidR="002D51A4" w:rsidRPr="00E02273">
        <w:rPr>
          <w:lang w:val="en-CA"/>
        </w:rPr>
        <w:t xml:space="preserve"> </w:t>
      </w:r>
      <w:r w:rsidR="00DC4C89" w:rsidRPr="00E02273">
        <w:rPr>
          <w:lang w:val="en-CA"/>
        </w:rPr>
        <w:t xml:space="preserve">in </w:t>
      </w:r>
      <w:r w:rsidR="002D51A4" w:rsidRPr="00E02273">
        <w:rPr>
          <w:lang w:val="en-CA"/>
        </w:rPr>
        <w:t xml:space="preserve">2015 </w:t>
      </w:r>
      <w:r w:rsidR="00DC4C89" w:rsidRPr="00E02273">
        <w:rPr>
          <w:lang w:val="en-CA"/>
        </w:rPr>
        <w:t xml:space="preserve">and </w:t>
      </w:r>
      <w:r w:rsidR="00B914B4">
        <w:rPr>
          <w:lang w:val="en-CA"/>
        </w:rPr>
        <w:t xml:space="preserve">in </w:t>
      </w:r>
      <w:r w:rsidR="002D51A4" w:rsidRPr="00E02273">
        <w:rPr>
          <w:i/>
          <w:lang w:val="en-CA"/>
        </w:rPr>
        <w:t xml:space="preserve">Alexion Pharmaceuticals </w:t>
      </w:r>
      <w:r w:rsidR="00DC4C89" w:rsidRPr="00E02273">
        <w:rPr>
          <w:lang w:val="en-CA"/>
        </w:rPr>
        <w:t>in</w:t>
      </w:r>
      <w:r w:rsidR="002D51A4" w:rsidRPr="00E02273">
        <w:rPr>
          <w:lang w:val="en-CA"/>
        </w:rPr>
        <w:t xml:space="preserve"> 2017</w:t>
      </w:r>
      <w:r w:rsidR="00DC4C89" w:rsidRPr="00E02273">
        <w:rPr>
          <w:lang w:val="en-CA"/>
        </w:rPr>
        <w:t>.</w:t>
      </w:r>
      <w:r w:rsidR="002D51A4" w:rsidRPr="00E02273">
        <w:rPr>
          <w:rStyle w:val="Appelnotedebasdep"/>
          <w:lang w:val="en-CA"/>
        </w:rPr>
        <w:footnoteReference w:id="168"/>
      </w:r>
      <w:r w:rsidR="002D51A4" w:rsidRPr="00E02273">
        <w:rPr>
          <w:lang w:val="en-CA"/>
        </w:rPr>
        <w:t xml:space="preserve"> </w:t>
      </w:r>
    </w:p>
    <w:p w14:paraId="34C6653F" w14:textId="48E9700F" w:rsidR="00B568AD" w:rsidRPr="00E02273" w:rsidRDefault="003823FA" w:rsidP="00A21704">
      <w:pPr>
        <w:pStyle w:val="Paragraphe"/>
        <w:tabs>
          <w:tab w:val="num" w:pos="709"/>
        </w:tabs>
        <w:spacing w:line="240" w:lineRule="auto"/>
        <w:ind w:left="0"/>
        <w:rPr>
          <w:lang w:val="en-CA"/>
        </w:rPr>
      </w:pPr>
      <w:r w:rsidRPr="00E02273">
        <w:rPr>
          <w:lang w:val="en-CA"/>
        </w:rPr>
        <w:t xml:space="preserve">The issue in </w:t>
      </w:r>
      <w:r w:rsidR="00D429B1" w:rsidRPr="00E02273">
        <w:rPr>
          <w:lang w:val="en-CA"/>
        </w:rPr>
        <w:t>the</w:t>
      </w:r>
      <w:r w:rsidRPr="00E02273">
        <w:rPr>
          <w:lang w:val="en-CA"/>
        </w:rPr>
        <w:t xml:space="preserve"> 2017 </w:t>
      </w:r>
      <w:r w:rsidR="002D51A4" w:rsidRPr="00E02273">
        <w:rPr>
          <w:i/>
          <w:lang w:val="en-CA"/>
        </w:rPr>
        <w:t xml:space="preserve">Sandoz/Ratiopharm </w:t>
      </w:r>
      <w:r w:rsidRPr="00E02273">
        <w:rPr>
          <w:lang w:val="en-CA"/>
        </w:rPr>
        <w:t xml:space="preserve">case concerned the Board’s </w:t>
      </w:r>
      <w:r w:rsidR="002D51A4" w:rsidRPr="00E02273">
        <w:rPr>
          <w:lang w:val="en-CA"/>
        </w:rPr>
        <w:t xml:space="preserve">jurisdiction </w:t>
      </w:r>
      <w:r w:rsidR="00D429B1" w:rsidRPr="00E02273">
        <w:rPr>
          <w:lang w:val="en-CA"/>
        </w:rPr>
        <w:t xml:space="preserve">over generic </w:t>
      </w:r>
      <w:r w:rsidR="002D51A4" w:rsidRPr="00E02273">
        <w:rPr>
          <w:lang w:val="en-CA"/>
        </w:rPr>
        <w:t>pharmaceutical</w:t>
      </w:r>
      <w:r w:rsidR="00D429B1" w:rsidRPr="00E02273">
        <w:rPr>
          <w:lang w:val="en-CA"/>
        </w:rPr>
        <w:t xml:space="preserve"> </w:t>
      </w:r>
      <w:r w:rsidR="002D51A4" w:rsidRPr="00E02273">
        <w:rPr>
          <w:lang w:val="en-CA"/>
        </w:rPr>
        <w:t>companies</w:t>
      </w:r>
      <w:r w:rsidR="00D429B1" w:rsidRPr="00E02273">
        <w:rPr>
          <w:lang w:val="en-CA"/>
        </w:rPr>
        <w:t xml:space="preserve"> that were subsidiaries of </w:t>
      </w:r>
      <w:r w:rsidR="00B4490E" w:rsidRPr="00E02273">
        <w:rPr>
          <w:lang w:val="en-CA"/>
        </w:rPr>
        <w:t>innovative</w:t>
      </w:r>
      <w:r w:rsidR="00204705" w:rsidRPr="00E02273">
        <w:rPr>
          <w:lang w:val="en-CA"/>
        </w:rPr>
        <w:t xml:space="preserve"> </w:t>
      </w:r>
      <w:r w:rsidR="00D429B1" w:rsidRPr="00E02273">
        <w:rPr>
          <w:lang w:val="en-CA"/>
        </w:rPr>
        <w:t>pharmaceutical</w:t>
      </w:r>
      <w:r w:rsidR="00204705" w:rsidRPr="00E02273">
        <w:rPr>
          <w:lang w:val="en-CA"/>
        </w:rPr>
        <w:t xml:space="preserve"> </w:t>
      </w:r>
      <w:r w:rsidR="00D429B1" w:rsidRPr="00E02273">
        <w:rPr>
          <w:lang w:val="en-CA"/>
        </w:rPr>
        <w:t>companies</w:t>
      </w:r>
      <w:r w:rsidR="00204705" w:rsidRPr="00E02273">
        <w:rPr>
          <w:lang w:val="en-CA"/>
        </w:rPr>
        <w:t xml:space="preserve"> that held patents on “generic” medicines marketed by their subsidiaries</w:t>
      </w:r>
      <w:r w:rsidR="002D51A4" w:rsidRPr="00E02273">
        <w:rPr>
          <w:lang w:val="en-CA"/>
        </w:rPr>
        <w:t>.</w:t>
      </w:r>
      <w:r w:rsidR="00204705" w:rsidRPr="00E02273">
        <w:rPr>
          <w:lang w:val="en-CA"/>
        </w:rPr>
        <w:t xml:space="preserve"> In the context of this dispute, </w:t>
      </w:r>
      <w:r w:rsidR="002D51A4" w:rsidRPr="00E02273">
        <w:rPr>
          <w:lang w:val="en-CA"/>
        </w:rPr>
        <w:t>pharmaceutical</w:t>
      </w:r>
      <w:r w:rsidR="00204705" w:rsidRPr="00E02273">
        <w:rPr>
          <w:lang w:val="en-CA"/>
        </w:rPr>
        <w:t xml:space="preserve"> </w:t>
      </w:r>
      <w:r w:rsidR="002D51A4" w:rsidRPr="00E02273">
        <w:rPr>
          <w:lang w:val="en-CA"/>
        </w:rPr>
        <w:t xml:space="preserve">company Sandoz Canada </w:t>
      </w:r>
      <w:r w:rsidR="004452AF" w:rsidRPr="00E02273">
        <w:rPr>
          <w:lang w:val="en-CA"/>
        </w:rPr>
        <w:t>I</w:t>
      </w:r>
      <w:r w:rsidR="002D51A4" w:rsidRPr="00E02273">
        <w:rPr>
          <w:lang w:val="en-CA"/>
        </w:rPr>
        <w:t>nc.</w:t>
      </w:r>
      <w:r w:rsidR="004452AF" w:rsidRPr="00E02273">
        <w:rPr>
          <w:lang w:val="en-CA"/>
        </w:rPr>
        <w:t xml:space="preserve"> submitted that the 1993 </w:t>
      </w:r>
      <w:r w:rsidR="002D51A4" w:rsidRPr="00E02273">
        <w:rPr>
          <w:lang w:val="en-CA"/>
        </w:rPr>
        <w:t>legislative</w:t>
      </w:r>
      <w:r w:rsidR="004452AF" w:rsidRPr="00E02273">
        <w:rPr>
          <w:lang w:val="en-CA"/>
        </w:rPr>
        <w:t xml:space="preserve"> </w:t>
      </w:r>
      <w:r w:rsidR="002D51A4" w:rsidRPr="00E02273">
        <w:rPr>
          <w:lang w:val="en-CA"/>
        </w:rPr>
        <w:t>amendments</w:t>
      </w:r>
      <w:r w:rsidR="004452AF" w:rsidRPr="00E02273">
        <w:rPr>
          <w:lang w:val="en-CA"/>
        </w:rPr>
        <w:t xml:space="preserve"> had the effect of </w:t>
      </w:r>
      <w:r w:rsidR="002D51A4" w:rsidRPr="00E02273">
        <w:rPr>
          <w:lang w:val="en-CA"/>
        </w:rPr>
        <w:t>introdu</w:t>
      </w:r>
      <w:r w:rsidR="004452AF" w:rsidRPr="00E02273">
        <w:rPr>
          <w:lang w:val="en-CA"/>
        </w:rPr>
        <w:t xml:space="preserve">cing a </w:t>
      </w:r>
      <w:r w:rsidR="005F1741">
        <w:rPr>
          <w:lang w:val="en-CA"/>
        </w:rPr>
        <w:t xml:space="preserve">price control </w:t>
      </w:r>
      <w:r w:rsidR="004452AF" w:rsidRPr="00E02273">
        <w:rPr>
          <w:lang w:val="en-CA"/>
        </w:rPr>
        <w:t xml:space="preserve">regime </w:t>
      </w:r>
      <w:r w:rsidR="005F1741">
        <w:rPr>
          <w:lang w:val="en-CA"/>
        </w:rPr>
        <w:t xml:space="preserve">for </w:t>
      </w:r>
      <w:r w:rsidR="004452AF" w:rsidRPr="00E02273">
        <w:rPr>
          <w:lang w:val="en-CA"/>
        </w:rPr>
        <w:t>medic</w:t>
      </w:r>
      <w:r w:rsidR="00BD0A13" w:rsidRPr="00E02273">
        <w:rPr>
          <w:lang w:val="en-CA"/>
        </w:rPr>
        <w:t>ines</w:t>
      </w:r>
      <w:r w:rsidR="004452AF" w:rsidRPr="00E02273">
        <w:rPr>
          <w:lang w:val="en-CA"/>
        </w:rPr>
        <w:t xml:space="preserve">, which fell within </w:t>
      </w:r>
      <w:r w:rsidR="00B914B4">
        <w:rPr>
          <w:lang w:val="en-CA"/>
        </w:rPr>
        <w:t xml:space="preserve">provincial </w:t>
      </w:r>
      <w:r w:rsidR="002D51A4" w:rsidRPr="00E02273">
        <w:rPr>
          <w:lang w:val="en-CA"/>
        </w:rPr>
        <w:t xml:space="preserve">jurisdiction. O’Reilly </w:t>
      </w:r>
      <w:r w:rsidR="00BD0A13" w:rsidRPr="00E02273">
        <w:rPr>
          <w:lang w:val="en-CA"/>
        </w:rPr>
        <w:t xml:space="preserve">J. of the </w:t>
      </w:r>
      <w:r w:rsidR="002D51A4" w:rsidRPr="00E02273">
        <w:rPr>
          <w:lang w:val="en-CA"/>
        </w:rPr>
        <w:t>Federal</w:t>
      </w:r>
      <w:r w:rsidR="00BD0A13" w:rsidRPr="00E02273">
        <w:rPr>
          <w:lang w:val="en-CA"/>
        </w:rPr>
        <w:t xml:space="preserve"> </w:t>
      </w:r>
      <w:r w:rsidR="002D51A4" w:rsidRPr="00E02273">
        <w:rPr>
          <w:lang w:val="en-CA"/>
        </w:rPr>
        <w:t>Court</w:t>
      </w:r>
      <w:r w:rsidR="00BD0A13" w:rsidRPr="00E02273">
        <w:rPr>
          <w:lang w:val="en-CA"/>
        </w:rPr>
        <w:t xml:space="preserve"> rejected this argument and found that the 1993 </w:t>
      </w:r>
      <w:r w:rsidR="002D51A4" w:rsidRPr="00E02273">
        <w:rPr>
          <w:lang w:val="en-CA"/>
        </w:rPr>
        <w:t>legislative</w:t>
      </w:r>
      <w:r w:rsidR="00BD0A13" w:rsidRPr="00E02273">
        <w:rPr>
          <w:lang w:val="en-CA"/>
        </w:rPr>
        <w:t xml:space="preserve"> </w:t>
      </w:r>
      <w:r w:rsidR="002D51A4" w:rsidRPr="00E02273">
        <w:rPr>
          <w:lang w:val="en-CA"/>
        </w:rPr>
        <w:t>amendments</w:t>
      </w:r>
      <w:r w:rsidR="00BD0A13" w:rsidRPr="00E02273">
        <w:rPr>
          <w:lang w:val="en-CA"/>
        </w:rPr>
        <w:t xml:space="preserve"> did not have the effect of fundamentally changing the </w:t>
      </w:r>
      <w:r w:rsidR="002D51A4" w:rsidRPr="00E02273">
        <w:rPr>
          <w:lang w:val="en-CA"/>
        </w:rPr>
        <w:t>federal</w:t>
      </w:r>
      <w:r w:rsidR="00BD0A13" w:rsidRPr="00E02273">
        <w:rPr>
          <w:lang w:val="en-CA"/>
        </w:rPr>
        <w:t xml:space="preserve"> regime in relation to the one </w:t>
      </w:r>
      <w:r w:rsidR="002D51A4" w:rsidRPr="00E02273">
        <w:rPr>
          <w:lang w:val="en-CA"/>
        </w:rPr>
        <w:t>introdu</w:t>
      </w:r>
      <w:r w:rsidR="00BD0A13" w:rsidRPr="00E02273">
        <w:rPr>
          <w:lang w:val="en-CA"/>
        </w:rPr>
        <w:t xml:space="preserve">ced in </w:t>
      </w:r>
      <w:r w:rsidR="002D51A4" w:rsidRPr="00E02273">
        <w:rPr>
          <w:lang w:val="en-CA"/>
        </w:rPr>
        <w:t>1987</w:t>
      </w:r>
      <w:r w:rsidR="00BD0A13" w:rsidRPr="00E02273">
        <w:rPr>
          <w:lang w:val="en-CA"/>
        </w:rPr>
        <w:t xml:space="preserve">, the </w:t>
      </w:r>
      <w:r w:rsidR="002D51A4" w:rsidRPr="00E02273">
        <w:rPr>
          <w:lang w:val="en-CA"/>
        </w:rPr>
        <w:t>constitutional</w:t>
      </w:r>
      <w:r w:rsidR="00BD0A13" w:rsidRPr="00E02273">
        <w:rPr>
          <w:lang w:val="en-CA"/>
        </w:rPr>
        <w:t xml:space="preserve"> </w:t>
      </w:r>
      <w:r w:rsidR="002D51A4" w:rsidRPr="00E02273">
        <w:rPr>
          <w:lang w:val="en-CA"/>
        </w:rPr>
        <w:t>validity</w:t>
      </w:r>
      <w:r w:rsidR="00BD0A13" w:rsidRPr="00E02273">
        <w:rPr>
          <w:lang w:val="en-CA"/>
        </w:rPr>
        <w:t xml:space="preserve"> of which was recognized in </w:t>
      </w:r>
      <w:r w:rsidR="002D51A4" w:rsidRPr="00E02273">
        <w:rPr>
          <w:i/>
          <w:lang w:val="en-CA"/>
        </w:rPr>
        <w:t>Manitoba Society of Seniors</w:t>
      </w:r>
      <w:r w:rsidR="00BD0A13" w:rsidRPr="00E02273">
        <w:rPr>
          <w:lang w:val="en-CA"/>
        </w:rPr>
        <w:t>:</w:t>
      </w:r>
      <w:r w:rsidR="002D51A4" w:rsidRPr="00E02273">
        <w:rPr>
          <w:rStyle w:val="Appelnotedebasdep"/>
          <w:lang w:val="en-CA"/>
        </w:rPr>
        <w:footnoteReference w:id="169"/>
      </w:r>
      <w:r w:rsidR="002D51A4" w:rsidRPr="00E02273">
        <w:rPr>
          <w:i/>
          <w:lang w:val="en-CA"/>
        </w:rPr>
        <w:t> </w:t>
      </w:r>
    </w:p>
    <w:p w14:paraId="3A26F210" w14:textId="2DBEB0A6" w:rsidR="00B568AD" w:rsidRPr="00E02273" w:rsidRDefault="002D51A4" w:rsidP="00B568AD">
      <w:pPr>
        <w:pStyle w:val="Citationenretrait"/>
        <w:spacing w:line="240" w:lineRule="auto"/>
        <w:rPr>
          <w:rFonts w:ascii="Times New Roman" w:hAnsi="Times New Roman"/>
          <w:lang w:val="en-CA" w:eastAsia="fr-CA"/>
        </w:rPr>
      </w:pPr>
      <w:r w:rsidRPr="00E02273">
        <w:rPr>
          <w:lang w:val="en-CA"/>
        </w:rPr>
        <w:lastRenderedPageBreak/>
        <w:t>[</w:t>
      </w:r>
      <w:bookmarkStart w:id="51" w:name="par35"/>
      <w:r w:rsidRPr="00E02273">
        <w:rPr>
          <w:lang w:val="en-CA"/>
        </w:rPr>
        <w:t>35</w:t>
      </w:r>
      <w:bookmarkEnd w:id="51"/>
      <w:r w:rsidRPr="00E02273">
        <w:rPr>
          <w:lang w:val="en-CA"/>
        </w:rPr>
        <w:t>]</w:t>
      </w:r>
      <w:r w:rsidRPr="00E02273">
        <w:rPr>
          <w:sz w:val="14"/>
          <w:szCs w:val="14"/>
          <w:lang w:val="en-CA"/>
        </w:rPr>
        <w:tab/>
      </w:r>
      <w:r w:rsidR="00B51C2B" w:rsidRPr="00E02273">
        <w:rPr>
          <w:color w:val="000000"/>
          <w:lang w:val="en-CA"/>
        </w:rPr>
        <w:t>Even though the relevant provisions of the Act have already been found to be constitutional (</w:t>
      </w:r>
      <w:r w:rsidR="00B51C2B" w:rsidRPr="00E02273">
        <w:rPr>
          <w:i/>
          <w:iCs/>
          <w:color w:val="000000"/>
          <w:lang w:val="en-CA"/>
        </w:rPr>
        <w:t>Manitoba Society of Seniors Inc</w:t>
      </w:r>
      <w:r w:rsidR="00B51C2B" w:rsidRPr="00E02273">
        <w:rPr>
          <w:color w:val="000000"/>
          <w:lang w:val="en-CA"/>
        </w:rPr>
        <w:t>), Sandoz argues that subsequent amendments to the Act relating to the Board’s powers now place those provisions beyond federal jurisdiction over patents, encroaching on provincial jurisdiction over Property and Civil Rights.</w:t>
      </w:r>
    </w:p>
    <w:p w14:paraId="032110EE" w14:textId="7171DAA2" w:rsidR="00B568AD" w:rsidRPr="00E02273" w:rsidRDefault="002D51A4" w:rsidP="00B568AD">
      <w:pPr>
        <w:pStyle w:val="Citationenretrait"/>
        <w:spacing w:line="240" w:lineRule="auto"/>
        <w:rPr>
          <w:lang w:val="en-CA"/>
        </w:rPr>
      </w:pPr>
      <w:r w:rsidRPr="00E02273">
        <w:rPr>
          <w:lang w:val="en-CA"/>
        </w:rPr>
        <w:t>[</w:t>
      </w:r>
      <w:bookmarkStart w:id="52" w:name="par36"/>
      <w:r w:rsidRPr="00E02273">
        <w:rPr>
          <w:lang w:val="en-CA"/>
        </w:rPr>
        <w:t>36</w:t>
      </w:r>
      <w:bookmarkEnd w:id="52"/>
      <w:r w:rsidRPr="00E02273">
        <w:rPr>
          <w:lang w:val="en-CA"/>
        </w:rPr>
        <w:t>]</w:t>
      </w:r>
      <w:r w:rsidRPr="00E02273">
        <w:rPr>
          <w:sz w:val="14"/>
          <w:szCs w:val="14"/>
          <w:lang w:val="en-CA"/>
        </w:rPr>
        <w:tab/>
      </w:r>
      <w:r w:rsidR="00B51C2B" w:rsidRPr="00E02273">
        <w:rPr>
          <w:color w:val="000000"/>
          <w:lang w:val="en-CA"/>
        </w:rPr>
        <w:t>Their purpose was to enable the Board </w:t>
      </w:r>
      <w:r w:rsidR="00B51C2B" w:rsidRPr="00E02273">
        <w:rPr>
          <w:rStyle w:val="quotechar"/>
          <w:color w:val="000000"/>
          <w:lang w:val="en-CA"/>
        </w:rPr>
        <w:t>“to influence the pricing of patented medicines to much the same extent that the competition fostered by compulsory licensing used to influence it”</w:t>
      </w:r>
      <w:r w:rsidR="00B51C2B" w:rsidRPr="00E02273">
        <w:rPr>
          <w:color w:val="000000"/>
          <w:lang w:val="en-CA"/>
        </w:rPr>
        <w:t>. Those amendments </w:t>
      </w:r>
      <w:r w:rsidR="00B51C2B" w:rsidRPr="00E02273">
        <w:rPr>
          <w:rStyle w:val="quotechar"/>
          <w:color w:val="000000"/>
          <w:lang w:val="en-CA"/>
        </w:rPr>
        <w:t>“strengthened the Board’s remedial and punitive powers”</w:t>
      </w:r>
      <w:r w:rsidR="00B51C2B" w:rsidRPr="00E02273">
        <w:rPr>
          <w:color w:val="000000"/>
          <w:lang w:val="en-CA"/>
        </w:rPr>
        <w:t> to offset the effect of abolishing the prior scheme of compulsory licensing (</w:t>
      </w:r>
      <w:r w:rsidR="00B51C2B" w:rsidRPr="00E02273">
        <w:rPr>
          <w:i/>
          <w:iCs/>
          <w:color w:val="000000"/>
          <w:lang w:val="en-CA"/>
        </w:rPr>
        <w:t>ICN Pharmaceuticals, Inc</w:t>
      </w:r>
      <w:r w:rsidR="00B51C2B" w:rsidRPr="00E02273">
        <w:rPr>
          <w:color w:val="000000"/>
          <w:lang w:val="en-CA"/>
        </w:rPr>
        <w:t> at para </w:t>
      </w:r>
      <w:r w:rsidR="00B51C2B" w:rsidRPr="00E02273">
        <w:rPr>
          <w:lang w:val="en-CA"/>
        </w:rPr>
        <w:t>12</w:t>
      </w:r>
      <w:r w:rsidR="00B51C2B" w:rsidRPr="00E02273">
        <w:rPr>
          <w:color w:val="000000"/>
          <w:lang w:val="en-CA"/>
        </w:rPr>
        <w:t>).</w:t>
      </w:r>
    </w:p>
    <w:p w14:paraId="26932805" w14:textId="5AE995A5" w:rsidR="00B568AD" w:rsidRPr="00E02273" w:rsidRDefault="002D51A4" w:rsidP="00B568AD">
      <w:pPr>
        <w:pStyle w:val="Citationenretrait"/>
        <w:spacing w:line="240" w:lineRule="auto"/>
        <w:rPr>
          <w:lang w:val="en-CA"/>
        </w:rPr>
      </w:pPr>
      <w:r w:rsidRPr="00E02273">
        <w:rPr>
          <w:lang w:val="en-CA"/>
        </w:rPr>
        <w:t>[</w:t>
      </w:r>
      <w:bookmarkStart w:id="53" w:name="par37"/>
      <w:r w:rsidRPr="00E02273">
        <w:rPr>
          <w:lang w:val="en-CA"/>
        </w:rPr>
        <w:t>37</w:t>
      </w:r>
      <w:bookmarkEnd w:id="53"/>
      <w:r w:rsidRPr="00E02273">
        <w:rPr>
          <w:lang w:val="en-CA"/>
        </w:rPr>
        <w:t>]</w:t>
      </w:r>
      <w:r w:rsidRPr="00E02273">
        <w:rPr>
          <w:sz w:val="14"/>
          <w:szCs w:val="14"/>
          <w:lang w:val="en-CA"/>
        </w:rPr>
        <w:tab/>
      </w:r>
      <w:r w:rsidR="00B51C2B" w:rsidRPr="00E02273">
        <w:rPr>
          <w:color w:val="000000"/>
          <w:lang w:val="en-CA"/>
        </w:rPr>
        <w:t>As I see it, the amendments giving the Board the power to address the pricing of patented medicines more directly through monetary remedies and penalties did not alter the basic purpose of the legislation or expand the Board’s mandate. Therefore, I see no basis for departing from the conclusion reached in </w:t>
      </w:r>
      <w:r w:rsidR="00B51C2B" w:rsidRPr="00E02273">
        <w:rPr>
          <w:i/>
          <w:iCs/>
          <w:color w:val="000000"/>
          <w:lang w:val="en-CA"/>
        </w:rPr>
        <w:t>Manitoba Society of Seniors Inc</w:t>
      </w:r>
      <w:r w:rsidR="00B51C2B" w:rsidRPr="00E02273">
        <w:rPr>
          <w:color w:val="000000"/>
          <w:lang w:val="en-CA"/>
        </w:rPr>
        <w:t> that the provisions of the </w:t>
      </w:r>
      <w:r w:rsidR="00B51C2B" w:rsidRPr="00E02273">
        <w:rPr>
          <w:i/>
          <w:iCs/>
          <w:color w:val="000000"/>
          <w:lang w:val="en-CA"/>
        </w:rPr>
        <w:t>Patent Act</w:t>
      </w:r>
      <w:r w:rsidR="00B51C2B" w:rsidRPr="00E02273">
        <w:rPr>
          <w:color w:val="000000"/>
          <w:lang w:val="en-CA"/>
        </w:rPr>
        <w:t> dealing with patented medicines, properly interpreted, fall within federal jurisdiction over patents of invention; they are constitutional.</w:t>
      </w:r>
    </w:p>
    <w:p w14:paraId="76730C13" w14:textId="71CACDDB" w:rsidR="00B568AD" w:rsidRPr="00E02273" w:rsidRDefault="002D51A4" w:rsidP="00A21704">
      <w:pPr>
        <w:pStyle w:val="Paragraphe"/>
        <w:tabs>
          <w:tab w:val="num" w:pos="709"/>
        </w:tabs>
        <w:spacing w:line="240" w:lineRule="auto"/>
        <w:ind w:left="0"/>
        <w:rPr>
          <w:lang w:val="en-CA"/>
        </w:rPr>
      </w:pPr>
      <w:r w:rsidRPr="00E02273">
        <w:rPr>
          <w:lang w:val="en-CA"/>
        </w:rPr>
        <w:t xml:space="preserve"> </w:t>
      </w:r>
      <w:r w:rsidR="00305A4E" w:rsidRPr="00E02273">
        <w:rPr>
          <w:lang w:val="en-CA"/>
        </w:rPr>
        <w:t>Th</w:t>
      </w:r>
      <w:r w:rsidR="00BA0B38" w:rsidRPr="00E02273">
        <w:rPr>
          <w:lang w:val="en-CA"/>
        </w:rPr>
        <w:t>e</w:t>
      </w:r>
      <w:r w:rsidRPr="00E02273">
        <w:rPr>
          <w:lang w:val="en-CA"/>
        </w:rPr>
        <w:t xml:space="preserve"> conclusion </w:t>
      </w:r>
      <w:r w:rsidR="00305A4E" w:rsidRPr="00E02273">
        <w:rPr>
          <w:lang w:val="en-CA"/>
        </w:rPr>
        <w:t xml:space="preserve">regarding the </w:t>
      </w:r>
      <w:r w:rsidRPr="00E02273">
        <w:rPr>
          <w:lang w:val="en-CA"/>
        </w:rPr>
        <w:t>constitutional</w:t>
      </w:r>
      <w:r w:rsidR="00305A4E" w:rsidRPr="00E02273">
        <w:rPr>
          <w:lang w:val="en-CA"/>
        </w:rPr>
        <w:t xml:space="preserve"> </w:t>
      </w:r>
      <w:r w:rsidRPr="00E02273">
        <w:rPr>
          <w:lang w:val="en-CA"/>
        </w:rPr>
        <w:t>validity</w:t>
      </w:r>
      <w:r w:rsidR="00305A4E" w:rsidRPr="00E02273">
        <w:rPr>
          <w:lang w:val="en-CA"/>
        </w:rPr>
        <w:t xml:space="preserve"> of the </w:t>
      </w:r>
      <w:r w:rsidRPr="00E02273">
        <w:rPr>
          <w:lang w:val="en-CA"/>
        </w:rPr>
        <w:t xml:space="preserve">1993 </w:t>
      </w:r>
      <w:r w:rsidR="007C0431" w:rsidRPr="00E02273">
        <w:rPr>
          <w:lang w:val="en-CA"/>
        </w:rPr>
        <w:t xml:space="preserve">regime was </w:t>
      </w:r>
      <w:r w:rsidRPr="00E02273">
        <w:rPr>
          <w:lang w:val="en-CA"/>
        </w:rPr>
        <w:t>confirm</w:t>
      </w:r>
      <w:r w:rsidR="007C0431" w:rsidRPr="00E02273">
        <w:rPr>
          <w:lang w:val="en-CA"/>
        </w:rPr>
        <w:t xml:space="preserve">ed by the Federal </w:t>
      </w:r>
      <w:r w:rsidRPr="00E02273">
        <w:rPr>
          <w:lang w:val="en-CA"/>
        </w:rPr>
        <w:t>Cour</w:t>
      </w:r>
      <w:r w:rsidR="007C0431" w:rsidRPr="00E02273">
        <w:rPr>
          <w:lang w:val="en-CA"/>
        </w:rPr>
        <w:t>t of A</w:t>
      </w:r>
      <w:r w:rsidRPr="00E02273">
        <w:rPr>
          <w:lang w:val="en-CA"/>
        </w:rPr>
        <w:t>ppe</w:t>
      </w:r>
      <w:r w:rsidR="007C0431" w:rsidRPr="00E02273">
        <w:rPr>
          <w:lang w:val="en-CA"/>
        </w:rPr>
        <w:t>a</w:t>
      </w:r>
      <w:r w:rsidRPr="00E02273">
        <w:rPr>
          <w:lang w:val="en-CA"/>
        </w:rPr>
        <w:t>l</w:t>
      </w:r>
      <w:r w:rsidR="007C0431" w:rsidRPr="00E02273">
        <w:rPr>
          <w:lang w:val="en-CA"/>
        </w:rPr>
        <w:t xml:space="preserve">. </w:t>
      </w:r>
      <w:r w:rsidRPr="00E02273">
        <w:rPr>
          <w:lang w:val="en-CA"/>
        </w:rPr>
        <w:t xml:space="preserve">Noël </w:t>
      </w:r>
      <w:r w:rsidR="004B2417">
        <w:rPr>
          <w:lang w:val="en-CA"/>
        </w:rPr>
        <w:t>C.J</w:t>
      </w:r>
      <w:r w:rsidR="009D3BD1">
        <w:rPr>
          <w:lang w:val="en-CA"/>
        </w:rPr>
        <w:t xml:space="preserve">. </w:t>
      </w:r>
      <w:r w:rsidR="007C0431" w:rsidRPr="00E02273">
        <w:rPr>
          <w:lang w:val="en-CA"/>
        </w:rPr>
        <w:t xml:space="preserve">noted that the reasoning in </w:t>
      </w:r>
      <w:r w:rsidRPr="00E02273">
        <w:rPr>
          <w:i/>
          <w:lang w:val="en-CA"/>
        </w:rPr>
        <w:t>Manitoba Society of Seniors</w:t>
      </w:r>
      <w:r w:rsidRPr="00E02273">
        <w:rPr>
          <w:lang w:val="en-CA"/>
        </w:rPr>
        <w:t xml:space="preserve"> </w:t>
      </w:r>
      <w:r w:rsidR="00BA0B38" w:rsidRPr="00E02273">
        <w:rPr>
          <w:lang w:val="en-CA"/>
        </w:rPr>
        <w:t xml:space="preserve">on the </w:t>
      </w:r>
      <w:r w:rsidRPr="00E02273">
        <w:rPr>
          <w:lang w:val="en-CA"/>
        </w:rPr>
        <w:t>constitutional</w:t>
      </w:r>
      <w:r w:rsidR="00BA0B38" w:rsidRPr="00E02273">
        <w:rPr>
          <w:lang w:val="en-CA"/>
        </w:rPr>
        <w:t xml:space="preserve"> </w:t>
      </w:r>
      <w:r w:rsidRPr="00E02273">
        <w:rPr>
          <w:lang w:val="en-CA"/>
        </w:rPr>
        <w:t>validity</w:t>
      </w:r>
      <w:r w:rsidR="00BA0B38" w:rsidRPr="00E02273">
        <w:rPr>
          <w:lang w:val="en-CA"/>
        </w:rPr>
        <w:t xml:space="preserve"> of the 1987 re</w:t>
      </w:r>
      <w:r w:rsidRPr="00E02273">
        <w:rPr>
          <w:lang w:val="en-CA"/>
        </w:rPr>
        <w:t xml:space="preserve">gime </w:t>
      </w:r>
      <w:r w:rsidR="00BA0B38" w:rsidRPr="00E02273">
        <w:rPr>
          <w:lang w:val="en-CA"/>
        </w:rPr>
        <w:t xml:space="preserve">remained </w:t>
      </w:r>
      <w:r w:rsidRPr="00E02273">
        <w:rPr>
          <w:lang w:val="en-CA"/>
        </w:rPr>
        <w:t xml:space="preserve">applicable </w:t>
      </w:r>
      <w:r w:rsidR="00BA0B38" w:rsidRPr="00E02273">
        <w:rPr>
          <w:lang w:val="en-CA"/>
        </w:rPr>
        <w:t>to the 1993</w:t>
      </w:r>
      <w:r w:rsidRPr="00E02273">
        <w:rPr>
          <w:lang w:val="en-CA"/>
        </w:rPr>
        <w:t xml:space="preserve"> r</w:t>
      </w:r>
      <w:r w:rsidR="00BA0B38" w:rsidRPr="00E02273">
        <w:rPr>
          <w:lang w:val="en-CA"/>
        </w:rPr>
        <w:t>e</w:t>
      </w:r>
      <w:r w:rsidRPr="00E02273">
        <w:rPr>
          <w:lang w:val="en-CA"/>
        </w:rPr>
        <w:t>gime</w:t>
      </w:r>
      <w:r w:rsidR="00BA0B38" w:rsidRPr="00E02273">
        <w:rPr>
          <w:lang w:val="en-CA"/>
        </w:rPr>
        <w:t>:</w:t>
      </w:r>
      <w:r w:rsidRPr="00E02273">
        <w:rPr>
          <w:rStyle w:val="Appelnotedebasdep"/>
          <w:lang w:val="en-CA"/>
        </w:rPr>
        <w:footnoteReference w:id="170"/>
      </w:r>
    </w:p>
    <w:p w14:paraId="36A337F4" w14:textId="64644299" w:rsidR="00B568AD" w:rsidRPr="00E02273" w:rsidRDefault="002D51A4" w:rsidP="00B568AD">
      <w:pPr>
        <w:pStyle w:val="Citationenretrait"/>
        <w:spacing w:line="240" w:lineRule="auto"/>
        <w:rPr>
          <w:lang w:val="en-CA" w:eastAsia="fr-CA"/>
        </w:rPr>
      </w:pPr>
      <w:r w:rsidRPr="00E02273">
        <w:rPr>
          <w:lang w:val="en-CA" w:eastAsia="fr-CA"/>
        </w:rPr>
        <w:t>[116]</w:t>
      </w:r>
      <w:r w:rsidRPr="00E02273">
        <w:rPr>
          <w:sz w:val="14"/>
          <w:szCs w:val="14"/>
          <w:lang w:val="en-CA" w:eastAsia="fr-CA"/>
        </w:rPr>
        <w:tab/>
      </w:r>
      <w:r w:rsidR="00DB6D3B" w:rsidRPr="00E02273">
        <w:rPr>
          <w:color w:val="000000"/>
          <w:lang w:val="en-CA"/>
        </w:rPr>
        <w:t>In my view, the Federal Court judge and the Board before him correctly held that the control of prices charged for patented medicines comes within the jurisdiction conferred on Parliament over patents under subsection 91(22) of the </w:t>
      </w:r>
      <w:r w:rsidR="00DB6D3B" w:rsidRPr="00E02273">
        <w:rPr>
          <w:i/>
          <w:iCs/>
          <w:color w:val="000000"/>
          <w:lang w:val="en-CA"/>
        </w:rPr>
        <w:t>Constitution Act 1867 </w:t>
      </w:r>
      <w:r w:rsidR="00DB6D3B" w:rsidRPr="00E02273">
        <w:rPr>
          <w:color w:val="000000"/>
          <w:lang w:val="en-CA"/>
        </w:rPr>
        <w:t xml:space="preserve">when applied to a patent holder or owner. The respondents recognize as much when they state that the Federal Court judge’s interpretation of “patentee” maintained the connection to the federal head of power, </w:t>
      </w:r>
      <w:r w:rsidR="00DB6D3B" w:rsidRPr="00B63DFB">
        <w:rPr>
          <w:color w:val="000000"/>
          <w:u w:val="single"/>
          <w:lang w:val="en-CA"/>
        </w:rPr>
        <w:t>such that the reasoning in </w:t>
      </w:r>
      <w:r w:rsidR="00DB6D3B" w:rsidRPr="00B63DFB">
        <w:rPr>
          <w:i/>
          <w:iCs/>
          <w:color w:val="000000"/>
          <w:u w:val="single"/>
          <w:lang w:val="en-CA"/>
        </w:rPr>
        <w:t>Manitoba Society</w:t>
      </w:r>
      <w:r w:rsidR="00DB6D3B" w:rsidRPr="00B63DFB">
        <w:rPr>
          <w:color w:val="000000"/>
          <w:u w:val="single"/>
          <w:lang w:val="en-CA"/>
        </w:rPr>
        <w:t> remained intact</w:t>
      </w:r>
      <w:r w:rsidR="00DB6D3B" w:rsidRPr="00E02273">
        <w:rPr>
          <w:color w:val="000000"/>
          <w:lang w:val="en-CA"/>
        </w:rPr>
        <w:t xml:space="preserve"> (respondents’ respective replies to the response by the Attorney General of Canada to the Notice of Constitutional Question (respondents’ replies) at para. 46).</w:t>
      </w:r>
    </w:p>
    <w:p w14:paraId="2EA659A4" w14:textId="2632CF88" w:rsidR="00B568AD" w:rsidRPr="00E02273" w:rsidRDefault="002D51A4" w:rsidP="00B568AD">
      <w:pPr>
        <w:pStyle w:val="Citationenretrait"/>
        <w:spacing w:line="240" w:lineRule="auto"/>
        <w:jc w:val="right"/>
        <w:rPr>
          <w:lang w:val="en-CA" w:eastAsia="fr-CA"/>
        </w:rPr>
      </w:pPr>
      <w:r w:rsidRPr="00E02273">
        <w:rPr>
          <w:lang w:val="en-CA" w:eastAsia="fr-CA"/>
        </w:rPr>
        <w:t>[Emphasis</w:t>
      </w:r>
      <w:r w:rsidR="00DB6D3B" w:rsidRPr="00E02273">
        <w:rPr>
          <w:lang w:val="en-CA" w:eastAsia="fr-CA"/>
        </w:rPr>
        <w:t xml:space="preserve"> </w:t>
      </w:r>
      <w:r w:rsidRPr="00E02273">
        <w:rPr>
          <w:lang w:val="en-CA" w:eastAsia="fr-CA"/>
        </w:rPr>
        <w:t>added</w:t>
      </w:r>
      <w:r w:rsidR="00DB6D3B" w:rsidRPr="00E02273">
        <w:rPr>
          <w:lang w:val="en-CA" w:eastAsia="fr-CA"/>
        </w:rPr>
        <w:t>.</w:t>
      </w:r>
      <w:r w:rsidRPr="00E02273">
        <w:rPr>
          <w:lang w:val="en-CA" w:eastAsia="fr-CA"/>
        </w:rPr>
        <w:t>]</w:t>
      </w:r>
    </w:p>
    <w:p w14:paraId="3EC9C5CA" w14:textId="41E726AD" w:rsidR="00B568AD" w:rsidRPr="00E02273" w:rsidRDefault="005858BE" w:rsidP="00A21704">
      <w:pPr>
        <w:pStyle w:val="Paragraphe"/>
        <w:tabs>
          <w:tab w:val="num" w:pos="709"/>
        </w:tabs>
        <w:spacing w:line="240" w:lineRule="auto"/>
        <w:ind w:left="0"/>
        <w:rPr>
          <w:lang w:val="en-CA"/>
        </w:rPr>
      </w:pPr>
      <w:r w:rsidRPr="00E02273">
        <w:rPr>
          <w:lang w:val="en-CA"/>
        </w:rPr>
        <w:t xml:space="preserve">In the 2017 judgment in </w:t>
      </w:r>
      <w:r w:rsidR="002D51A4" w:rsidRPr="00E02273">
        <w:rPr>
          <w:i/>
          <w:lang w:val="en-CA"/>
        </w:rPr>
        <w:t>Alexion Pharmaceuticals</w:t>
      </w:r>
      <w:r w:rsidRPr="00E02273">
        <w:rPr>
          <w:lang w:val="en-CA"/>
        </w:rPr>
        <w:t>,</w:t>
      </w:r>
      <w:r w:rsidR="002D51A4" w:rsidRPr="00E02273">
        <w:rPr>
          <w:lang w:val="en-CA"/>
        </w:rPr>
        <w:t xml:space="preserve"> </w:t>
      </w:r>
      <w:r w:rsidRPr="00E02273">
        <w:rPr>
          <w:lang w:val="en-CA"/>
        </w:rPr>
        <w:t xml:space="preserve">the </w:t>
      </w:r>
      <w:r w:rsidR="002D51A4" w:rsidRPr="00E02273">
        <w:rPr>
          <w:lang w:val="en-CA"/>
        </w:rPr>
        <w:t>pharmaceutical</w:t>
      </w:r>
      <w:r w:rsidRPr="00E02273">
        <w:rPr>
          <w:lang w:val="en-CA"/>
        </w:rPr>
        <w:t xml:space="preserve"> </w:t>
      </w:r>
      <w:r w:rsidR="002D51A4" w:rsidRPr="00E02273">
        <w:rPr>
          <w:lang w:val="en-CA"/>
        </w:rPr>
        <w:t>company</w:t>
      </w:r>
      <w:r w:rsidRPr="00E02273">
        <w:rPr>
          <w:lang w:val="en-CA"/>
        </w:rPr>
        <w:t xml:space="preserve"> in question wanted to once</w:t>
      </w:r>
      <w:r w:rsidR="00E45FFA" w:rsidRPr="00E02273">
        <w:rPr>
          <w:lang w:val="en-CA"/>
        </w:rPr>
        <w:t xml:space="preserve"> again </w:t>
      </w:r>
      <w:r w:rsidR="002D51A4" w:rsidRPr="00E02273">
        <w:rPr>
          <w:lang w:val="en-CA"/>
        </w:rPr>
        <w:t>contest</w:t>
      </w:r>
      <w:r w:rsidR="00E45FFA" w:rsidRPr="00E02273">
        <w:rPr>
          <w:lang w:val="en-CA"/>
        </w:rPr>
        <w:t xml:space="preserve"> the </w:t>
      </w:r>
      <w:r w:rsidR="002D51A4" w:rsidRPr="00E02273">
        <w:rPr>
          <w:lang w:val="en-CA"/>
        </w:rPr>
        <w:t>constitutional</w:t>
      </w:r>
      <w:r w:rsidR="00E45FFA" w:rsidRPr="00E02273">
        <w:rPr>
          <w:lang w:val="en-CA"/>
        </w:rPr>
        <w:t xml:space="preserve"> </w:t>
      </w:r>
      <w:r w:rsidR="002D51A4" w:rsidRPr="00E02273">
        <w:rPr>
          <w:lang w:val="en-CA"/>
        </w:rPr>
        <w:t>validity</w:t>
      </w:r>
      <w:r w:rsidR="00E45FFA" w:rsidRPr="00E02273">
        <w:rPr>
          <w:lang w:val="en-CA"/>
        </w:rPr>
        <w:t xml:space="preserve"> of the re</w:t>
      </w:r>
      <w:r w:rsidR="002D51A4" w:rsidRPr="00E02273">
        <w:rPr>
          <w:lang w:val="en-CA"/>
        </w:rPr>
        <w:t>gime administ</w:t>
      </w:r>
      <w:r w:rsidR="00E45FFA" w:rsidRPr="00E02273">
        <w:rPr>
          <w:lang w:val="en-CA"/>
        </w:rPr>
        <w:t xml:space="preserve">ered by the Board on the </w:t>
      </w:r>
      <w:r w:rsidR="002D51A4" w:rsidRPr="00E02273">
        <w:rPr>
          <w:lang w:val="en-CA"/>
        </w:rPr>
        <w:t>ground</w:t>
      </w:r>
      <w:r w:rsidR="00E45FFA" w:rsidRPr="00E02273">
        <w:rPr>
          <w:lang w:val="en-CA"/>
        </w:rPr>
        <w:t xml:space="preserve"> that i</w:t>
      </w:r>
      <w:r w:rsidR="001E5ED8" w:rsidRPr="00E02273">
        <w:rPr>
          <w:lang w:val="en-CA"/>
        </w:rPr>
        <w:t>t</w:t>
      </w:r>
      <w:r w:rsidR="00E45FFA" w:rsidRPr="00E02273">
        <w:rPr>
          <w:lang w:val="en-CA"/>
        </w:rPr>
        <w:t xml:space="preserve"> constituted </w:t>
      </w:r>
      <w:r w:rsidR="00F977C5">
        <w:rPr>
          <w:lang w:val="en-CA"/>
        </w:rPr>
        <w:t xml:space="preserve">price </w:t>
      </w:r>
      <w:r w:rsidR="009E6828" w:rsidRPr="00E02273">
        <w:rPr>
          <w:lang w:val="en-CA"/>
        </w:rPr>
        <w:t xml:space="preserve">control, which falls within the </w:t>
      </w:r>
      <w:r w:rsidR="002D51A4" w:rsidRPr="00E02273">
        <w:rPr>
          <w:lang w:val="en-CA"/>
        </w:rPr>
        <w:t>exclusive</w:t>
      </w:r>
      <w:r w:rsidR="009E6828" w:rsidRPr="00E02273">
        <w:rPr>
          <w:lang w:val="en-CA"/>
        </w:rPr>
        <w:t xml:space="preserve"> </w:t>
      </w:r>
      <w:r w:rsidR="002D51A4" w:rsidRPr="00E02273">
        <w:rPr>
          <w:lang w:val="en-CA"/>
        </w:rPr>
        <w:t>jurisdiction</w:t>
      </w:r>
      <w:r w:rsidR="009E6828" w:rsidRPr="00E02273">
        <w:rPr>
          <w:lang w:val="en-CA"/>
        </w:rPr>
        <w:t xml:space="preserve"> of the </w:t>
      </w:r>
      <w:r w:rsidR="002D51A4" w:rsidRPr="00E02273">
        <w:rPr>
          <w:lang w:val="en-CA"/>
        </w:rPr>
        <w:t xml:space="preserve">provinces. </w:t>
      </w:r>
      <w:r w:rsidR="009E6828" w:rsidRPr="00E02273">
        <w:rPr>
          <w:lang w:val="en-CA"/>
        </w:rPr>
        <w:t xml:space="preserve">The </w:t>
      </w:r>
      <w:r w:rsidR="002D51A4" w:rsidRPr="00E02273">
        <w:rPr>
          <w:lang w:val="en-CA"/>
        </w:rPr>
        <w:t>pharmaceutical</w:t>
      </w:r>
      <w:r w:rsidR="009E6828" w:rsidRPr="00E02273">
        <w:rPr>
          <w:lang w:val="en-CA"/>
        </w:rPr>
        <w:t xml:space="preserve"> </w:t>
      </w:r>
      <w:r w:rsidR="002D51A4" w:rsidRPr="00E02273">
        <w:rPr>
          <w:lang w:val="en-CA"/>
        </w:rPr>
        <w:t>company</w:t>
      </w:r>
      <w:r w:rsidR="009E6828" w:rsidRPr="00E02273">
        <w:rPr>
          <w:lang w:val="en-CA"/>
        </w:rPr>
        <w:t xml:space="preserve"> in fact presented</w:t>
      </w:r>
      <w:r w:rsidR="002D51A4" w:rsidRPr="00E02273">
        <w:rPr>
          <w:lang w:val="en-CA"/>
        </w:rPr>
        <w:t xml:space="preserve"> ab</w:t>
      </w:r>
      <w:r w:rsidR="009E6828" w:rsidRPr="00E02273">
        <w:rPr>
          <w:lang w:val="en-CA"/>
        </w:rPr>
        <w:t>u</w:t>
      </w:r>
      <w:r w:rsidR="002D51A4" w:rsidRPr="00E02273">
        <w:rPr>
          <w:lang w:val="en-CA"/>
        </w:rPr>
        <w:t>ndant</w:t>
      </w:r>
      <w:r w:rsidR="009E6828" w:rsidRPr="00E02273">
        <w:rPr>
          <w:lang w:val="en-CA"/>
        </w:rPr>
        <w:t xml:space="preserve"> evidence </w:t>
      </w:r>
      <w:r w:rsidR="001E5ED8" w:rsidRPr="00E02273">
        <w:rPr>
          <w:lang w:val="en-CA"/>
        </w:rPr>
        <w:t>o</w:t>
      </w:r>
      <w:r w:rsidR="009E6828" w:rsidRPr="00E02273">
        <w:rPr>
          <w:lang w:val="en-CA"/>
        </w:rPr>
        <w:t>n the issue to d</w:t>
      </w:r>
      <w:r w:rsidR="002D51A4" w:rsidRPr="00E02273">
        <w:rPr>
          <w:lang w:val="en-CA"/>
        </w:rPr>
        <w:t>istingu</w:t>
      </w:r>
      <w:r w:rsidR="009E6828" w:rsidRPr="00E02273">
        <w:rPr>
          <w:lang w:val="en-CA"/>
        </w:rPr>
        <w:t xml:space="preserve">ish its case from the one addressed in </w:t>
      </w:r>
      <w:r w:rsidR="002D51A4" w:rsidRPr="00E02273">
        <w:rPr>
          <w:i/>
          <w:lang w:val="en-CA"/>
        </w:rPr>
        <w:t>Sandoz/Ratiopharm</w:t>
      </w:r>
      <w:r w:rsidR="002D51A4" w:rsidRPr="00E02273">
        <w:rPr>
          <w:lang w:val="en-CA"/>
        </w:rPr>
        <w:t xml:space="preserve">. </w:t>
      </w:r>
      <w:r w:rsidR="001E5ED8" w:rsidRPr="00E02273">
        <w:rPr>
          <w:lang w:val="en-CA"/>
        </w:rPr>
        <w:t xml:space="preserve">The </w:t>
      </w:r>
      <w:r w:rsidR="002D51A4" w:rsidRPr="00E02273">
        <w:rPr>
          <w:lang w:val="en-CA"/>
        </w:rPr>
        <w:t>Attorney</w:t>
      </w:r>
      <w:r w:rsidR="00CE01E2" w:rsidRPr="00E02273">
        <w:rPr>
          <w:lang w:val="en-CA"/>
        </w:rPr>
        <w:t xml:space="preserve"> </w:t>
      </w:r>
      <w:r w:rsidR="002D51A4" w:rsidRPr="00E02273">
        <w:rPr>
          <w:lang w:val="en-CA"/>
        </w:rPr>
        <w:t>General</w:t>
      </w:r>
      <w:r w:rsidR="00CE01E2" w:rsidRPr="00E02273">
        <w:rPr>
          <w:lang w:val="en-CA"/>
        </w:rPr>
        <w:t xml:space="preserve"> </w:t>
      </w:r>
      <w:r w:rsidR="002D51A4" w:rsidRPr="00E02273">
        <w:rPr>
          <w:lang w:val="en-CA"/>
        </w:rPr>
        <w:t>of</w:t>
      </w:r>
      <w:r w:rsidR="00CE01E2" w:rsidRPr="00E02273">
        <w:rPr>
          <w:lang w:val="en-CA"/>
        </w:rPr>
        <w:t xml:space="preserve"> </w:t>
      </w:r>
      <w:r w:rsidR="002D51A4" w:rsidRPr="00E02273">
        <w:rPr>
          <w:lang w:val="en-CA"/>
        </w:rPr>
        <w:t>Canada</w:t>
      </w:r>
      <w:r w:rsidR="00CE01E2" w:rsidRPr="00E02273">
        <w:rPr>
          <w:lang w:val="en-CA"/>
        </w:rPr>
        <w:t xml:space="preserve"> opposed the </w:t>
      </w:r>
      <w:r w:rsidR="002D51A4" w:rsidRPr="00E02273">
        <w:rPr>
          <w:lang w:val="en-CA"/>
        </w:rPr>
        <w:t>application</w:t>
      </w:r>
      <w:r w:rsidR="00CE01E2" w:rsidRPr="00E02273">
        <w:rPr>
          <w:lang w:val="en-CA"/>
        </w:rPr>
        <w:t xml:space="preserve"> on the ground that the Federal Court of Appeal had definitively decided the issue in</w:t>
      </w:r>
      <w:r w:rsidR="002D51A4" w:rsidRPr="00E02273">
        <w:rPr>
          <w:lang w:val="en-CA"/>
        </w:rPr>
        <w:t xml:space="preserve"> </w:t>
      </w:r>
      <w:r w:rsidR="002D51A4" w:rsidRPr="00E02273">
        <w:rPr>
          <w:i/>
          <w:lang w:val="en-CA"/>
        </w:rPr>
        <w:lastRenderedPageBreak/>
        <w:t>Sandoz/Ratiopharm</w:t>
      </w:r>
      <w:r w:rsidR="002D51A4" w:rsidRPr="00E02273">
        <w:rPr>
          <w:lang w:val="en-CA"/>
        </w:rPr>
        <w:t xml:space="preserve">. </w:t>
      </w:r>
      <w:r w:rsidR="00CE01E2" w:rsidRPr="00E02273">
        <w:rPr>
          <w:lang w:val="en-CA"/>
        </w:rPr>
        <w:t>Pr</w:t>
      </w:r>
      <w:r w:rsidR="002D51A4" w:rsidRPr="00E02273">
        <w:rPr>
          <w:lang w:val="en-CA"/>
        </w:rPr>
        <w:t>ot</w:t>
      </w:r>
      <w:r w:rsidR="00CE01E2" w:rsidRPr="00E02273">
        <w:rPr>
          <w:lang w:val="en-CA"/>
        </w:rPr>
        <w:t>h</w:t>
      </w:r>
      <w:r w:rsidR="002D51A4" w:rsidRPr="00E02273">
        <w:rPr>
          <w:lang w:val="en-CA"/>
        </w:rPr>
        <w:t>onotar</w:t>
      </w:r>
      <w:r w:rsidR="00CE01E2" w:rsidRPr="00E02273">
        <w:rPr>
          <w:lang w:val="en-CA"/>
        </w:rPr>
        <w:t>y</w:t>
      </w:r>
      <w:r w:rsidR="002D51A4" w:rsidRPr="00E02273">
        <w:rPr>
          <w:lang w:val="en-CA"/>
        </w:rPr>
        <w:t xml:space="preserve"> Alto </w:t>
      </w:r>
      <w:r w:rsidR="00CE01E2" w:rsidRPr="00E02273">
        <w:rPr>
          <w:lang w:val="en-CA"/>
        </w:rPr>
        <w:t>granted the</w:t>
      </w:r>
      <w:r w:rsidR="002D51A4" w:rsidRPr="00E02273">
        <w:rPr>
          <w:lang w:val="en-CA"/>
        </w:rPr>
        <w:t xml:space="preserve"> Attorney</w:t>
      </w:r>
      <w:r w:rsidR="00CE01E2" w:rsidRPr="00E02273">
        <w:rPr>
          <w:lang w:val="en-CA"/>
        </w:rPr>
        <w:t xml:space="preserve"> </w:t>
      </w:r>
      <w:r w:rsidR="002D51A4" w:rsidRPr="00E02273">
        <w:rPr>
          <w:lang w:val="en-CA"/>
        </w:rPr>
        <w:t>General</w:t>
      </w:r>
      <w:r w:rsidR="00CE01E2" w:rsidRPr="00E02273">
        <w:rPr>
          <w:lang w:val="en-CA"/>
        </w:rPr>
        <w:t xml:space="preserve"> </w:t>
      </w:r>
      <w:r w:rsidR="002D51A4" w:rsidRPr="00E02273">
        <w:rPr>
          <w:lang w:val="en-CA"/>
        </w:rPr>
        <w:t>of</w:t>
      </w:r>
      <w:r w:rsidR="00CE01E2" w:rsidRPr="00E02273">
        <w:rPr>
          <w:lang w:val="en-CA"/>
        </w:rPr>
        <w:t xml:space="preserve"> </w:t>
      </w:r>
      <w:r w:rsidR="002D51A4" w:rsidRPr="00E02273">
        <w:rPr>
          <w:lang w:val="en-CA"/>
        </w:rPr>
        <w:t>Canada</w:t>
      </w:r>
      <w:r w:rsidR="00CE01E2" w:rsidRPr="00E02273">
        <w:rPr>
          <w:lang w:val="en-CA"/>
        </w:rPr>
        <w:t>’s application:</w:t>
      </w:r>
      <w:r w:rsidR="002D51A4" w:rsidRPr="00E02273">
        <w:rPr>
          <w:rStyle w:val="Appelnotedebasdep"/>
          <w:lang w:val="en-CA"/>
        </w:rPr>
        <w:footnoteReference w:id="171"/>
      </w:r>
    </w:p>
    <w:p w14:paraId="5DB5AEB9" w14:textId="4AC774AA" w:rsidR="00B568AD" w:rsidRPr="00E02273" w:rsidRDefault="002D51A4" w:rsidP="00B568AD">
      <w:pPr>
        <w:pStyle w:val="Citationenretrait"/>
        <w:spacing w:line="240" w:lineRule="auto"/>
        <w:rPr>
          <w:lang w:val="en-CA" w:eastAsia="fr-CA"/>
        </w:rPr>
      </w:pPr>
      <w:r w:rsidRPr="00E02273">
        <w:rPr>
          <w:lang w:val="en-CA" w:eastAsia="fr-CA"/>
        </w:rPr>
        <w:t>[</w:t>
      </w:r>
      <w:bookmarkStart w:id="54" w:name="par39"/>
      <w:r w:rsidRPr="00E02273">
        <w:rPr>
          <w:lang w:val="en-CA" w:eastAsia="fr-CA"/>
        </w:rPr>
        <w:t>39</w:t>
      </w:r>
      <w:bookmarkEnd w:id="54"/>
      <w:r w:rsidRPr="00E02273">
        <w:rPr>
          <w:lang w:val="en-CA" w:eastAsia="fr-CA"/>
        </w:rPr>
        <w:t>]</w:t>
      </w:r>
      <w:r w:rsidRPr="00E02273">
        <w:rPr>
          <w:sz w:val="14"/>
          <w:szCs w:val="14"/>
          <w:lang w:val="en-CA" w:eastAsia="fr-CA"/>
        </w:rPr>
        <w:tab/>
      </w:r>
      <w:r w:rsidR="00087F09" w:rsidRPr="00E02273">
        <w:rPr>
          <w:color w:val="000000"/>
          <w:lang w:val="en-CA"/>
        </w:rPr>
        <w:t>In my view, the Federal Court of Appeal has determined explicitly that the Impugned Provisions are constitutional. This decision is binding on this Court. It may very well be, that as </w:t>
      </w:r>
      <w:r w:rsidR="00087F09" w:rsidRPr="00E02273">
        <w:rPr>
          <w:lang w:val="en-CA"/>
        </w:rPr>
        <w:t>Alexion</w:t>
      </w:r>
      <w:r w:rsidR="00087F09" w:rsidRPr="00E02273">
        <w:rPr>
          <w:color w:val="000000"/>
          <w:lang w:val="en-CA"/>
        </w:rPr>
        <w:t> argues, none of these cases have conducted a proper pith and substance analysis nor has there been before those courts a full record which would include its legislative history and the impact of the Impugned Provisions. </w:t>
      </w:r>
      <w:r w:rsidR="00087F09" w:rsidRPr="00E02273">
        <w:rPr>
          <w:lang w:val="en-CA"/>
        </w:rPr>
        <w:t>Alexion</w:t>
      </w:r>
      <w:r w:rsidR="00087F09" w:rsidRPr="00E02273">
        <w:rPr>
          <w:color w:val="000000"/>
          <w:lang w:val="en-CA"/>
        </w:rPr>
        <w:t> endeavoured to distinguish both </w:t>
      </w:r>
      <w:r w:rsidR="00087F09" w:rsidRPr="00E02273">
        <w:rPr>
          <w:i/>
          <w:iCs/>
          <w:color w:val="000000"/>
          <w:lang w:val="en-CA"/>
        </w:rPr>
        <w:t>Manitoba Seniors</w:t>
      </w:r>
      <w:r w:rsidR="00087F09" w:rsidRPr="00E02273">
        <w:rPr>
          <w:color w:val="000000"/>
          <w:lang w:val="en-CA"/>
        </w:rPr>
        <w:t> and </w:t>
      </w:r>
      <w:r w:rsidR="00087F09" w:rsidRPr="00E02273">
        <w:rPr>
          <w:i/>
          <w:iCs/>
          <w:color w:val="000000"/>
          <w:lang w:val="en-CA"/>
        </w:rPr>
        <w:t>Sandoz</w:t>
      </w:r>
      <w:r w:rsidR="00087F09" w:rsidRPr="00E02273">
        <w:rPr>
          <w:color w:val="000000"/>
          <w:lang w:val="en-CA"/>
        </w:rPr>
        <w:t> with other inventive arguments. Notwithstanding these efforts to distinguish those cases, in my view, having carefully reviewed all of them, as far as this application is concerned, the Federal Court of Appeal’s conclusion on constitutionality prevails. Thus, this application is bereft of any chance of success and the motion of the AG should be granted.</w:t>
      </w:r>
      <w:r w:rsidRPr="00E02273">
        <w:rPr>
          <w:lang w:val="en-CA" w:eastAsia="fr-CA"/>
        </w:rPr>
        <w:t xml:space="preserve"> </w:t>
      </w:r>
    </w:p>
    <w:p w14:paraId="1DFCCEF8" w14:textId="636B4349" w:rsidR="00B568AD" w:rsidRPr="00E02273" w:rsidRDefault="002D51A4" w:rsidP="00A21704">
      <w:pPr>
        <w:pStyle w:val="Paragraphe"/>
        <w:tabs>
          <w:tab w:val="num" w:pos="709"/>
        </w:tabs>
        <w:spacing w:line="240" w:lineRule="auto"/>
        <w:ind w:left="0"/>
        <w:rPr>
          <w:lang w:val="en-CA"/>
        </w:rPr>
      </w:pPr>
      <w:r w:rsidRPr="00E02273">
        <w:rPr>
          <w:lang w:val="en-CA"/>
        </w:rPr>
        <w:t xml:space="preserve">Simpson </w:t>
      </w:r>
      <w:r w:rsidR="00F326E1" w:rsidRPr="00E02273">
        <w:rPr>
          <w:lang w:val="en-CA"/>
        </w:rPr>
        <w:t xml:space="preserve">J. of the </w:t>
      </w:r>
      <w:r w:rsidRPr="00E02273">
        <w:rPr>
          <w:lang w:val="en-CA"/>
        </w:rPr>
        <w:t>Federal</w:t>
      </w:r>
      <w:r w:rsidR="00F326E1" w:rsidRPr="00E02273">
        <w:rPr>
          <w:lang w:val="en-CA"/>
        </w:rPr>
        <w:t xml:space="preserve"> </w:t>
      </w:r>
      <w:r w:rsidRPr="00E02273">
        <w:rPr>
          <w:lang w:val="en-CA"/>
        </w:rPr>
        <w:t xml:space="preserve">Court </w:t>
      </w:r>
      <w:r w:rsidR="00F326E1" w:rsidRPr="00E02273">
        <w:rPr>
          <w:lang w:val="en-CA"/>
        </w:rPr>
        <w:t xml:space="preserve">dismissed the </w:t>
      </w:r>
      <w:r w:rsidRPr="00E02273">
        <w:rPr>
          <w:lang w:val="en-CA"/>
        </w:rPr>
        <w:t>appeal</w:t>
      </w:r>
      <w:r w:rsidR="00F326E1" w:rsidRPr="00E02273">
        <w:rPr>
          <w:lang w:val="en-CA"/>
        </w:rPr>
        <w:t xml:space="preserve"> of that </w:t>
      </w:r>
      <w:r w:rsidRPr="00E02273">
        <w:rPr>
          <w:lang w:val="en-CA"/>
        </w:rPr>
        <w:t>decision</w:t>
      </w:r>
      <w:r w:rsidR="00F326E1" w:rsidRPr="00E02273">
        <w:rPr>
          <w:lang w:val="en-CA"/>
        </w:rPr>
        <w:t>,</w:t>
      </w:r>
      <w:r w:rsidRPr="00E02273">
        <w:rPr>
          <w:rStyle w:val="Appelnotedebasdep"/>
          <w:lang w:val="en-CA"/>
        </w:rPr>
        <w:footnoteReference w:id="172"/>
      </w:r>
      <w:r w:rsidR="00F326E1" w:rsidRPr="00E02273">
        <w:rPr>
          <w:lang w:val="en-CA"/>
        </w:rPr>
        <w:t xml:space="preserve"> and the Federal Court of Appeal agreed. </w:t>
      </w:r>
      <w:r w:rsidRPr="00E02273">
        <w:rPr>
          <w:lang w:val="en-CA"/>
        </w:rPr>
        <w:t xml:space="preserve">Laskin </w:t>
      </w:r>
      <w:r w:rsidR="00C97C67" w:rsidRPr="00E02273">
        <w:rPr>
          <w:lang w:val="en-CA"/>
        </w:rPr>
        <w:t xml:space="preserve">J.A. reiterated that the Federal </w:t>
      </w:r>
      <w:r w:rsidRPr="00E02273">
        <w:rPr>
          <w:lang w:val="en-CA"/>
        </w:rPr>
        <w:t>Cour</w:t>
      </w:r>
      <w:r w:rsidR="00C97C67" w:rsidRPr="00E02273">
        <w:rPr>
          <w:lang w:val="en-CA"/>
        </w:rPr>
        <w:t xml:space="preserve">t of Appeal had “[decided] </w:t>
      </w:r>
      <w:r w:rsidR="00C97C67" w:rsidRPr="00E02273">
        <w:rPr>
          <w:color w:val="000000"/>
          <w:lang w:val="en-CA"/>
        </w:rPr>
        <w:t>in </w:t>
      </w:r>
      <w:r w:rsidR="00C97C67" w:rsidRPr="00E02273">
        <w:rPr>
          <w:i/>
          <w:iCs/>
          <w:color w:val="000000"/>
          <w:lang w:val="en-CA"/>
        </w:rPr>
        <w:t>Sandoz</w:t>
      </w:r>
      <w:r w:rsidR="00C97C67" w:rsidRPr="00E02273">
        <w:rPr>
          <w:color w:val="000000"/>
          <w:lang w:val="en-CA"/>
        </w:rPr>
        <w:t> that the price control scheme as a whole is constitutional”.</w:t>
      </w:r>
      <w:r w:rsidRPr="00E02273">
        <w:rPr>
          <w:rStyle w:val="Appelnotedebasdep"/>
          <w:lang w:val="en-CA"/>
        </w:rPr>
        <w:footnoteReference w:id="173"/>
      </w:r>
    </w:p>
    <w:p w14:paraId="069CB8D1" w14:textId="0DCF17D4" w:rsidR="00B568AD" w:rsidRPr="00E02273" w:rsidRDefault="0080310C" w:rsidP="00A21704">
      <w:pPr>
        <w:pStyle w:val="Paragraphe"/>
        <w:tabs>
          <w:tab w:val="num" w:pos="709"/>
        </w:tabs>
        <w:spacing w:line="240" w:lineRule="auto"/>
        <w:ind w:left="0"/>
        <w:rPr>
          <w:lang w:val="en-CA"/>
        </w:rPr>
      </w:pPr>
      <w:r w:rsidRPr="00E02273">
        <w:rPr>
          <w:lang w:val="en-CA"/>
        </w:rPr>
        <w:t xml:space="preserve">The appellant </w:t>
      </w:r>
      <w:r w:rsidR="002D51A4" w:rsidRPr="00E02273">
        <w:rPr>
          <w:lang w:val="en-CA"/>
        </w:rPr>
        <w:t>pharmaceutical</w:t>
      </w:r>
      <w:r w:rsidRPr="00E02273">
        <w:rPr>
          <w:lang w:val="en-CA"/>
        </w:rPr>
        <w:t xml:space="preserve"> </w:t>
      </w:r>
      <w:r w:rsidR="002D51A4" w:rsidRPr="00E02273">
        <w:rPr>
          <w:lang w:val="en-CA"/>
        </w:rPr>
        <w:t>companies</w:t>
      </w:r>
      <w:r w:rsidRPr="00E02273">
        <w:rPr>
          <w:lang w:val="en-CA"/>
        </w:rPr>
        <w:t xml:space="preserve"> nevertheless submit that all of this </w:t>
      </w:r>
      <w:r w:rsidR="002D51A4" w:rsidRPr="00E02273">
        <w:rPr>
          <w:lang w:val="en-CA"/>
        </w:rPr>
        <w:t>ab</w:t>
      </w:r>
      <w:r w:rsidRPr="00E02273">
        <w:rPr>
          <w:lang w:val="en-CA"/>
        </w:rPr>
        <w:t>u</w:t>
      </w:r>
      <w:r w:rsidR="002D51A4" w:rsidRPr="00E02273">
        <w:rPr>
          <w:lang w:val="en-CA"/>
        </w:rPr>
        <w:t>ndant</w:t>
      </w:r>
      <w:r w:rsidRPr="00E02273">
        <w:rPr>
          <w:lang w:val="en-CA"/>
        </w:rPr>
        <w:t xml:space="preserve"> </w:t>
      </w:r>
      <w:r w:rsidR="002D51A4" w:rsidRPr="00E02273">
        <w:rPr>
          <w:lang w:val="en-CA"/>
        </w:rPr>
        <w:t>case</w:t>
      </w:r>
      <w:r w:rsidRPr="00E02273">
        <w:rPr>
          <w:lang w:val="en-CA"/>
        </w:rPr>
        <w:t xml:space="preserve"> </w:t>
      </w:r>
      <w:r w:rsidR="002D51A4" w:rsidRPr="00E02273">
        <w:rPr>
          <w:lang w:val="en-CA"/>
        </w:rPr>
        <w:t>law</w:t>
      </w:r>
      <w:r w:rsidRPr="00E02273">
        <w:rPr>
          <w:lang w:val="en-CA"/>
        </w:rPr>
        <w:t xml:space="preserve"> could be set aside in view of the evidence they presented before the </w:t>
      </w:r>
      <w:r w:rsidR="002D51A4" w:rsidRPr="00E02273">
        <w:rPr>
          <w:lang w:val="en-CA"/>
        </w:rPr>
        <w:t>Superior</w:t>
      </w:r>
      <w:r w:rsidRPr="00E02273">
        <w:rPr>
          <w:lang w:val="en-CA"/>
        </w:rPr>
        <w:t xml:space="preserve"> </w:t>
      </w:r>
      <w:r w:rsidR="002D51A4" w:rsidRPr="00E02273">
        <w:rPr>
          <w:lang w:val="en-CA"/>
        </w:rPr>
        <w:t>Court</w:t>
      </w:r>
      <w:r w:rsidRPr="00E02273">
        <w:rPr>
          <w:lang w:val="en-CA"/>
        </w:rPr>
        <w:t xml:space="preserve"> supporting the </w:t>
      </w:r>
      <w:r w:rsidR="002D51A4" w:rsidRPr="00E02273">
        <w:rPr>
          <w:lang w:val="en-CA"/>
        </w:rPr>
        <w:t>conclu</w:t>
      </w:r>
      <w:r w:rsidRPr="00E02273">
        <w:rPr>
          <w:lang w:val="en-CA"/>
        </w:rPr>
        <w:t xml:space="preserve">sion that the </w:t>
      </w:r>
      <w:r w:rsidR="002D51A4" w:rsidRPr="00E02273">
        <w:rPr>
          <w:lang w:val="en-CA"/>
        </w:rPr>
        <w:t>pith</w:t>
      </w:r>
      <w:r w:rsidRPr="00E02273">
        <w:rPr>
          <w:lang w:val="en-CA"/>
        </w:rPr>
        <w:t xml:space="preserve"> </w:t>
      </w:r>
      <w:r w:rsidR="002D51A4" w:rsidRPr="00E02273">
        <w:rPr>
          <w:lang w:val="en-CA"/>
        </w:rPr>
        <w:t>and</w:t>
      </w:r>
      <w:r w:rsidRPr="00E02273">
        <w:rPr>
          <w:lang w:val="en-CA"/>
        </w:rPr>
        <w:t xml:space="preserve"> </w:t>
      </w:r>
      <w:r w:rsidR="002D51A4" w:rsidRPr="00E02273">
        <w:rPr>
          <w:lang w:val="en-CA"/>
        </w:rPr>
        <w:t>substance</w:t>
      </w:r>
      <w:r w:rsidRPr="00E02273">
        <w:rPr>
          <w:lang w:val="en-CA"/>
        </w:rPr>
        <w:t xml:space="preserve"> of </w:t>
      </w:r>
      <w:r w:rsidR="002D51A4" w:rsidRPr="00E02273">
        <w:rPr>
          <w:lang w:val="en-CA"/>
        </w:rPr>
        <w:t xml:space="preserve">sections 79 </w:t>
      </w:r>
      <w:r w:rsidRPr="00E02273">
        <w:rPr>
          <w:lang w:val="en-CA"/>
        </w:rPr>
        <w:t>to</w:t>
      </w:r>
      <w:r w:rsidR="002D51A4" w:rsidRPr="00E02273">
        <w:rPr>
          <w:lang w:val="en-CA"/>
        </w:rPr>
        <w:t xml:space="preserve"> 103 of</w:t>
      </w:r>
      <w:r w:rsidRPr="00E02273">
        <w:rPr>
          <w:lang w:val="en-CA"/>
        </w:rPr>
        <w:t xml:space="preserve"> </w:t>
      </w:r>
      <w:r w:rsidR="002D51A4" w:rsidRPr="00E02273">
        <w:rPr>
          <w:lang w:val="en-CA"/>
        </w:rPr>
        <w:t>the</w:t>
      </w:r>
      <w:r w:rsidRPr="00E02273">
        <w:rPr>
          <w:lang w:val="en-CA"/>
        </w:rPr>
        <w:t xml:space="preserve"> </w:t>
      </w:r>
      <w:r w:rsidRPr="00E02273">
        <w:rPr>
          <w:i/>
          <w:lang w:val="en-CA"/>
        </w:rPr>
        <w:t xml:space="preserve">Patent </w:t>
      </w:r>
      <w:r w:rsidR="002D51A4" w:rsidRPr="00E02273">
        <w:rPr>
          <w:i/>
          <w:lang w:val="en-CA"/>
        </w:rPr>
        <w:t>Act</w:t>
      </w:r>
      <w:r w:rsidRPr="00E02273">
        <w:rPr>
          <w:lang w:val="en-CA"/>
        </w:rPr>
        <w:t xml:space="preserve"> is not </w:t>
      </w:r>
      <w:r w:rsidR="005F1741">
        <w:rPr>
          <w:lang w:val="en-CA"/>
        </w:rPr>
        <w:t xml:space="preserve">the one </w:t>
      </w:r>
      <w:r w:rsidRPr="00E02273">
        <w:rPr>
          <w:lang w:val="en-CA"/>
        </w:rPr>
        <w:t xml:space="preserve">previously accepted by the </w:t>
      </w:r>
      <w:r w:rsidR="002D51A4" w:rsidRPr="00E02273">
        <w:rPr>
          <w:lang w:val="en-CA"/>
        </w:rPr>
        <w:t xml:space="preserve">courts. </w:t>
      </w:r>
      <w:r w:rsidR="0035703D" w:rsidRPr="00E02273">
        <w:rPr>
          <w:lang w:val="en-CA"/>
        </w:rPr>
        <w:t xml:space="preserve">They </w:t>
      </w:r>
      <w:r w:rsidR="005F1741">
        <w:rPr>
          <w:lang w:val="en-CA"/>
        </w:rPr>
        <w:t xml:space="preserve">failed to </w:t>
      </w:r>
      <w:r w:rsidR="0035703D" w:rsidRPr="00E02273">
        <w:rPr>
          <w:lang w:val="en-CA"/>
        </w:rPr>
        <w:t xml:space="preserve">convince the </w:t>
      </w:r>
      <w:r w:rsidR="002D51A4" w:rsidRPr="00E02273">
        <w:rPr>
          <w:lang w:val="en-CA"/>
        </w:rPr>
        <w:t>trial</w:t>
      </w:r>
      <w:r w:rsidR="0035703D" w:rsidRPr="00E02273">
        <w:rPr>
          <w:lang w:val="en-CA"/>
        </w:rPr>
        <w:t xml:space="preserve"> </w:t>
      </w:r>
      <w:r w:rsidR="002D51A4" w:rsidRPr="00E02273">
        <w:rPr>
          <w:lang w:val="en-CA"/>
        </w:rPr>
        <w:t>judge</w:t>
      </w:r>
      <w:r w:rsidR="0035703D" w:rsidRPr="00E02273">
        <w:rPr>
          <w:lang w:val="en-CA"/>
        </w:rPr>
        <w:t xml:space="preserve"> of this, however, nor </w:t>
      </w:r>
      <w:r w:rsidR="001A349A">
        <w:rPr>
          <w:lang w:val="en-CA"/>
        </w:rPr>
        <w:t>have</w:t>
      </w:r>
      <w:r w:rsidR="0035703D" w:rsidRPr="00E02273">
        <w:rPr>
          <w:lang w:val="en-CA"/>
        </w:rPr>
        <w:t xml:space="preserve"> they convince</w:t>
      </w:r>
      <w:r w:rsidR="001A349A">
        <w:rPr>
          <w:lang w:val="en-CA"/>
        </w:rPr>
        <w:t>d</w:t>
      </w:r>
      <w:r w:rsidR="0035703D" w:rsidRPr="00E02273">
        <w:rPr>
          <w:lang w:val="en-CA"/>
        </w:rPr>
        <w:t xml:space="preserve"> me. Accordingly, although the Court is not formally bound by this </w:t>
      </w:r>
      <w:r w:rsidR="002D51A4" w:rsidRPr="00E02273">
        <w:rPr>
          <w:lang w:val="en-CA"/>
        </w:rPr>
        <w:t>ab</w:t>
      </w:r>
      <w:r w:rsidR="0035703D" w:rsidRPr="00E02273">
        <w:rPr>
          <w:lang w:val="en-CA"/>
        </w:rPr>
        <w:t>u</w:t>
      </w:r>
      <w:r w:rsidR="002D51A4" w:rsidRPr="00E02273">
        <w:rPr>
          <w:lang w:val="en-CA"/>
        </w:rPr>
        <w:t>ndant</w:t>
      </w:r>
      <w:r w:rsidR="0035703D" w:rsidRPr="00E02273">
        <w:rPr>
          <w:lang w:val="en-CA"/>
        </w:rPr>
        <w:t xml:space="preserve"> </w:t>
      </w:r>
      <w:r w:rsidR="002D51A4" w:rsidRPr="00E02273">
        <w:rPr>
          <w:lang w:val="en-CA"/>
        </w:rPr>
        <w:t>case</w:t>
      </w:r>
      <w:r w:rsidR="0035703D" w:rsidRPr="00E02273">
        <w:rPr>
          <w:lang w:val="en-CA"/>
        </w:rPr>
        <w:t xml:space="preserve"> </w:t>
      </w:r>
      <w:r w:rsidR="002D51A4" w:rsidRPr="00E02273">
        <w:rPr>
          <w:lang w:val="en-CA"/>
        </w:rPr>
        <w:t>law</w:t>
      </w:r>
      <w:r w:rsidR="0035703D" w:rsidRPr="00E02273">
        <w:rPr>
          <w:lang w:val="en-CA"/>
        </w:rPr>
        <w:t>,</w:t>
      </w:r>
      <w:r w:rsidR="002D51A4" w:rsidRPr="00E02273">
        <w:rPr>
          <w:rStyle w:val="Appelnotedebasdep"/>
          <w:lang w:val="en-CA"/>
        </w:rPr>
        <w:footnoteReference w:id="174"/>
      </w:r>
      <w:r w:rsidR="0035703D" w:rsidRPr="00E02273">
        <w:rPr>
          <w:lang w:val="en-CA"/>
        </w:rPr>
        <w:t xml:space="preserve"> there is no reason to set it aside</w:t>
      </w:r>
      <w:r w:rsidR="002D51A4" w:rsidRPr="00E02273">
        <w:rPr>
          <w:lang w:val="en-CA"/>
        </w:rPr>
        <w:t>.</w:t>
      </w:r>
    </w:p>
    <w:p w14:paraId="456AF0A8" w14:textId="41086373" w:rsidR="00B568AD" w:rsidRPr="00E02273" w:rsidRDefault="009B6A71" w:rsidP="00A21704">
      <w:pPr>
        <w:pStyle w:val="Paragraphe"/>
        <w:tabs>
          <w:tab w:val="num" w:pos="709"/>
        </w:tabs>
        <w:spacing w:line="240" w:lineRule="auto"/>
        <w:ind w:left="0"/>
        <w:rPr>
          <w:lang w:val="en-CA"/>
        </w:rPr>
      </w:pPr>
      <w:r w:rsidRPr="00E02273">
        <w:rPr>
          <w:lang w:val="en-CA"/>
        </w:rPr>
        <w:t xml:space="preserve">In any event, even if I did not take that </w:t>
      </w:r>
      <w:r w:rsidR="002D51A4" w:rsidRPr="00E02273">
        <w:rPr>
          <w:lang w:val="en-CA"/>
        </w:rPr>
        <w:t>case</w:t>
      </w:r>
      <w:r w:rsidRPr="00E02273">
        <w:rPr>
          <w:lang w:val="en-CA"/>
        </w:rPr>
        <w:t xml:space="preserve"> law into account, I would nevertheless conclude that s</w:t>
      </w:r>
      <w:r w:rsidR="001A349A">
        <w:rPr>
          <w:lang w:val="en-CA"/>
        </w:rPr>
        <w:t>ections</w:t>
      </w:r>
      <w:r w:rsidRPr="00E02273">
        <w:rPr>
          <w:lang w:val="en-CA"/>
        </w:rPr>
        <w:t xml:space="preserve"> </w:t>
      </w:r>
      <w:r w:rsidR="002D51A4" w:rsidRPr="00E02273">
        <w:rPr>
          <w:lang w:val="en-CA"/>
        </w:rPr>
        <w:t xml:space="preserve">73 </w:t>
      </w:r>
      <w:r w:rsidRPr="00E02273">
        <w:rPr>
          <w:lang w:val="en-CA"/>
        </w:rPr>
        <w:t xml:space="preserve">to </w:t>
      </w:r>
      <w:r w:rsidR="002D51A4" w:rsidRPr="00E02273">
        <w:rPr>
          <w:lang w:val="en-CA"/>
        </w:rPr>
        <w:t xml:space="preserve">103 </w:t>
      </w:r>
      <w:r w:rsidRPr="00E02273">
        <w:rPr>
          <w:lang w:val="en-CA"/>
        </w:rPr>
        <w:t xml:space="preserve">of the </w:t>
      </w:r>
      <w:r w:rsidRPr="00E02273">
        <w:rPr>
          <w:i/>
          <w:lang w:val="en-CA"/>
        </w:rPr>
        <w:t xml:space="preserve">Patent Act </w:t>
      </w:r>
      <w:r w:rsidRPr="00E02273">
        <w:rPr>
          <w:lang w:val="en-CA"/>
        </w:rPr>
        <w:t xml:space="preserve">and the entire </w:t>
      </w:r>
      <w:r w:rsidRPr="00E02273">
        <w:rPr>
          <w:i/>
          <w:lang w:val="en-CA"/>
        </w:rPr>
        <w:t>Patented Medicines Regulations</w:t>
      </w:r>
      <w:r w:rsidRPr="00E02273">
        <w:rPr>
          <w:lang w:val="en-CA"/>
        </w:rPr>
        <w:t>,</w:t>
      </w:r>
      <w:r w:rsidRPr="00E02273">
        <w:rPr>
          <w:i/>
          <w:lang w:val="en-CA"/>
        </w:rPr>
        <w:t xml:space="preserve"> </w:t>
      </w:r>
      <w:r w:rsidRPr="00E02273">
        <w:rPr>
          <w:lang w:val="en-CA"/>
        </w:rPr>
        <w:t xml:space="preserve">in </w:t>
      </w:r>
      <w:r w:rsidR="001A349A">
        <w:rPr>
          <w:lang w:val="en-CA"/>
        </w:rPr>
        <w:t xml:space="preserve">their </w:t>
      </w:r>
      <w:r w:rsidRPr="00E02273">
        <w:rPr>
          <w:lang w:val="en-CA"/>
        </w:rPr>
        <w:t xml:space="preserve">current form, fall within the federal government’s </w:t>
      </w:r>
      <w:r w:rsidR="002D51A4" w:rsidRPr="00E02273">
        <w:rPr>
          <w:lang w:val="en-CA"/>
        </w:rPr>
        <w:t>jurisdiction</w:t>
      </w:r>
      <w:r w:rsidRPr="00E02273">
        <w:rPr>
          <w:lang w:val="en-CA"/>
        </w:rPr>
        <w:t xml:space="preserve"> over patents of </w:t>
      </w:r>
      <w:r w:rsidR="002D51A4" w:rsidRPr="00E02273">
        <w:rPr>
          <w:lang w:val="en-CA"/>
        </w:rPr>
        <w:t xml:space="preserve">invention </w:t>
      </w:r>
      <w:r w:rsidRPr="00E02273">
        <w:rPr>
          <w:lang w:val="en-CA"/>
        </w:rPr>
        <w:t xml:space="preserve">and discovery. Indeed, I agree with the </w:t>
      </w:r>
      <w:r w:rsidR="002D51A4" w:rsidRPr="00E02273">
        <w:rPr>
          <w:lang w:val="en-CA"/>
        </w:rPr>
        <w:t>trial</w:t>
      </w:r>
      <w:r w:rsidRPr="00E02273">
        <w:rPr>
          <w:lang w:val="en-CA"/>
        </w:rPr>
        <w:t xml:space="preserve"> </w:t>
      </w:r>
      <w:r w:rsidR="002D51A4" w:rsidRPr="00E02273">
        <w:rPr>
          <w:lang w:val="en-CA"/>
        </w:rPr>
        <w:t>judge</w:t>
      </w:r>
      <w:r w:rsidRPr="00E02273">
        <w:rPr>
          <w:lang w:val="en-CA"/>
        </w:rPr>
        <w:t>’s conclusion</w:t>
      </w:r>
      <w:r w:rsidR="002D51A4" w:rsidRPr="00E02273">
        <w:rPr>
          <w:rStyle w:val="Appelnotedebasdep"/>
          <w:lang w:val="en-CA" w:eastAsia="fr-CA"/>
        </w:rPr>
        <w:footnoteReference w:id="175"/>
      </w:r>
      <w:r w:rsidR="002D51A4" w:rsidRPr="00E02273">
        <w:rPr>
          <w:lang w:val="en-CA"/>
        </w:rPr>
        <w:t xml:space="preserve"> </w:t>
      </w:r>
      <w:r w:rsidR="00DE28B0" w:rsidRPr="00E02273">
        <w:rPr>
          <w:lang w:val="en-CA"/>
        </w:rPr>
        <w:t>that controlling the excessive prices charged for patented medicines res</w:t>
      </w:r>
      <w:r w:rsidR="002D51A4" w:rsidRPr="00E02273">
        <w:rPr>
          <w:lang w:val="en-CA" w:eastAsia="fr-CA"/>
        </w:rPr>
        <w:t>ult</w:t>
      </w:r>
      <w:r w:rsidR="00DE28B0" w:rsidRPr="00E02273">
        <w:rPr>
          <w:lang w:val="en-CA" w:eastAsia="fr-CA"/>
        </w:rPr>
        <w:t xml:space="preserve">ing from the </w:t>
      </w:r>
      <w:r w:rsidR="002D51A4" w:rsidRPr="00E02273">
        <w:rPr>
          <w:lang w:val="en-CA" w:eastAsia="fr-CA"/>
        </w:rPr>
        <w:t>monopol</w:t>
      </w:r>
      <w:r w:rsidR="00DE28B0" w:rsidRPr="00E02273">
        <w:rPr>
          <w:lang w:val="en-CA" w:eastAsia="fr-CA"/>
        </w:rPr>
        <w:t xml:space="preserve">y granted by </w:t>
      </w:r>
      <w:r w:rsidR="005F1741">
        <w:rPr>
          <w:lang w:val="en-CA" w:eastAsia="fr-CA"/>
        </w:rPr>
        <w:t xml:space="preserve">a </w:t>
      </w:r>
      <w:r w:rsidR="00DE28B0" w:rsidRPr="00E02273">
        <w:rPr>
          <w:lang w:val="en-CA" w:eastAsia="fr-CA"/>
        </w:rPr>
        <w:t xml:space="preserve">patent has a </w:t>
      </w:r>
      <w:r w:rsidR="00857A16">
        <w:rPr>
          <w:lang w:val="en-CA" w:eastAsia="fr-CA"/>
        </w:rPr>
        <w:t>rational</w:t>
      </w:r>
      <w:r w:rsidR="00DE28B0" w:rsidRPr="00E02273">
        <w:rPr>
          <w:lang w:val="en-CA" w:eastAsia="fr-CA"/>
        </w:rPr>
        <w:t xml:space="preserve">, real, and </w:t>
      </w:r>
      <w:r w:rsidR="002D51A4" w:rsidRPr="00E02273">
        <w:rPr>
          <w:lang w:val="en-CA" w:eastAsia="fr-CA"/>
        </w:rPr>
        <w:t xml:space="preserve">direct </w:t>
      </w:r>
      <w:r w:rsidR="00DE28B0" w:rsidRPr="00E02273">
        <w:rPr>
          <w:lang w:val="en-CA" w:eastAsia="fr-CA"/>
        </w:rPr>
        <w:t xml:space="preserve">connection with the </w:t>
      </w:r>
      <w:r w:rsidR="002D51A4" w:rsidRPr="00E02273">
        <w:rPr>
          <w:lang w:val="en-CA" w:eastAsia="fr-CA"/>
        </w:rPr>
        <w:t>federal</w:t>
      </w:r>
      <w:r w:rsidR="00DE28B0" w:rsidRPr="00E02273">
        <w:rPr>
          <w:lang w:val="en-CA" w:eastAsia="fr-CA"/>
        </w:rPr>
        <w:t xml:space="preserve"> </w:t>
      </w:r>
      <w:r w:rsidR="002D51A4" w:rsidRPr="00E02273">
        <w:rPr>
          <w:lang w:val="en-CA" w:eastAsia="fr-CA"/>
        </w:rPr>
        <w:t>jurisdiction</w:t>
      </w:r>
      <w:r w:rsidR="00DE28B0" w:rsidRPr="00E02273">
        <w:rPr>
          <w:lang w:val="en-CA" w:eastAsia="fr-CA"/>
        </w:rPr>
        <w:t xml:space="preserve"> over patents and does not </w:t>
      </w:r>
      <w:r w:rsidR="005F1741">
        <w:rPr>
          <w:lang w:val="en-CA" w:eastAsia="fr-CA"/>
        </w:rPr>
        <w:t xml:space="preserve">unconstitutionally </w:t>
      </w:r>
      <w:r w:rsidR="00DE28B0" w:rsidRPr="00E02273">
        <w:rPr>
          <w:lang w:val="en-CA" w:eastAsia="fr-CA"/>
        </w:rPr>
        <w:t xml:space="preserve">encroach on the </w:t>
      </w:r>
      <w:r w:rsidR="002D51A4" w:rsidRPr="00E02273">
        <w:rPr>
          <w:lang w:val="en-CA" w:eastAsia="fr-CA"/>
        </w:rPr>
        <w:t>jurisdiction</w:t>
      </w:r>
      <w:r w:rsidR="00DE28B0" w:rsidRPr="00E02273">
        <w:rPr>
          <w:lang w:val="en-CA" w:eastAsia="fr-CA"/>
        </w:rPr>
        <w:t xml:space="preserve"> of the </w:t>
      </w:r>
      <w:r w:rsidR="002D51A4" w:rsidRPr="00E02273">
        <w:rPr>
          <w:lang w:val="en-CA" w:eastAsia="fr-CA"/>
        </w:rPr>
        <w:t xml:space="preserve">provinces. </w:t>
      </w:r>
      <w:r w:rsidR="00DE28B0" w:rsidRPr="00E02273">
        <w:rPr>
          <w:lang w:val="en-CA" w:eastAsia="fr-CA"/>
        </w:rPr>
        <w:t>I will return to this i</w:t>
      </w:r>
      <w:r w:rsidR="005F1741">
        <w:rPr>
          <w:lang w:val="en-CA" w:eastAsia="fr-CA"/>
        </w:rPr>
        <w:t>n</w:t>
      </w:r>
      <w:r w:rsidR="00DE28B0" w:rsidRPr="00E02273">
        <w:rPr>
          <w:lang w:val="en-CA" w:eastAsia="fr-CA"/>
        </w:rPr>
        <w:t xml:space="preserve"> greater detail when I address the limit</w:t>
      </w:r>
      <w:r w:rsidR="005F1741">
        <w:rPr>
          <w:lang w:val="en-CA" w:eastAsia="fr-CA"/>
        </w:rPr>
        <w:t>s</w:t>
      </w:r>
      <w:r w:rsidR="00DE28B0" w:rsidRPr="00E02273">
        <w:rPr>
          <w:lang w:val="en-CA" w:eastAsia="fr-CA"/>
        </w:rPr>
        <w:t xml:space="preserve"> of the </w:t>
      </w:r>
      <w:r w:rsidR="002D51A4" w:rsidRPr="00E02273">
        <w:rPr>
          <w:lang w:val="en-CA" w:eastAsia="fr-CA"/>
        </w:rPr>
        <w:t>federal</w:t>
      </w:r>
      <w:r w:rsidR="00DE28B0" w:rsidRPr="00E02273">
        <w:rPr>
          <w:lang w:val="en-CA" w:eastAsia="fr-CA"/>
        </w:rPr>
        <w:t xml:space="preserve"> </w:t>
      </w:r>
      <w:r w:rsidR="002D51A4" w:rsidRPr="00E02273">
        <w:rPr>
          <w:lang w:val="en-CA" w:eastAsia="fr-CA"/>
        </w:rPr>
        <w:t>jurisdiction.</w:t>
      </w:r>
    </w:p>
    <w:p w14:paraId="329F48DB" w14:textId="1336A133" w:rsidR="00B568AD" w:rsidRPr="00E02273" w:rsidRDefault="00DE28B0" w:rsidP="0047699E">
      <w:pPr>
        <w:pStyle w:val="Paragraphe"/>
        <w:keepNext/>
        <w:numPr>
          <w:ilvl w:val="0"/>
          <w:numId w:val="0"/>
        </w:numPr>
        <w:spacing w:line="240" w:lineRule="auto"/>
        <w:ind w:left="720" w:firstLine="720"/>
        <w:rPr>
          <w:i/>
          <w:u w:val="single"/>
          <w:lang w:val="en-CA"/>
        </w:rPr>
      </w:pPr>
      <w:r w:rsidRPr="00E02273">
        <w:rPr>
          <w:i/>
          <w:u w:val="single"/>
          <w:lang w:val="en-CA"/>
        </w:rPr>
        <w:lastRenderedPageBreak/>
        <w:t>The</w:t>
      </w:r>
      <w:r w:rsidR="002D51A4" w:rsidRPr="00E02273">
        <w:rPr>
          <w:i/>
          <w:u w:val="single"/>
          <w:lang w:val="en-CA"/>
        </w:rPr>
        <w:t xml:space="preserve"> </w:t>
      </w:r>
      <w:r w:rsidR="00866E58" w:rsidRPr="00E02273">
        <w:rPr>
          <w:i/>
          <w:u w:val="single"/>
          <w:lang w:val="en-CA"/>
        </w:rPr>
        <w:t>2019 Regulatory Amendments</w:t>
      </w:r>
    </w:p>
    <w:p w14:paraId="23BABBA6" w14:textId="06A946CF" w:rsidR="00B568AD" w:rsidRPr="00E02273" w:rsidRDefault="00A9316F" w:rsidP="0047699E">
      <w:pPr>
        <w:pStyle w:val="Paragraphe"/>
        <w:keepNext/>
        <w:tabs>
          <w:tab w:val="clear" w:pos="4973"/>
          <w:tab w:val="num" w:pos="851"/>
        </w:tabs>
        <w:spacing w:line="240" w:lineRule="auto"/>
        <w:ind w:left="0"/>
        <w:rPr>
          <w:lang w:val="en-CA"/>
        </w:rPr>
      </w:pPr>
      <w:r w:rsidRPr="00E02273">
        <w:rPr>
          <w:lang w:val="en-CA"/>
        </w:rPr>
        <w:t xml:space="preserve">As noted above, the </w:t>
      </w:r>
      <w:r w:rsidR="002D51A4" w:rsidRPr="00E02273">
        <w:rPr>
          <w:lang w:val="en-CA"/>
        </w:rPr>
        <w:t>pith</w:t>
      </w:r>
      <w:r w:rsidRPr="00E02273">
        <w:rPr>
          <w:lang w:val="en-CA"/>
        </w:rPr>
        <w:t xml:space="preserve"> </w:t>
      </w:r>
      <w:r w:rsidR="002D51A4" w:rsidRPr="00E02273">
        <w:rPr>
          <w:lang w:val="en-CA"/>
        </w:rPr>
        <w:t>and</w:t>
      </w:r>
      <w:r w:rsidRPr="00E02273">
        <w:rPr>
          <w:lang w:val="en-CA"/>
        </w:rPr>
        <w:t xml:space="preserve"> </w:t>
      </w:r>
      <w:r w:rsidR="002D51A4" w:rsidRPr="00E02273">
        <w:rPr>
          <w:lang w:val="en-CA"/>
        </w:rPr>
        <w:t>substance</w:t>
      </w:r>
      <w:r w:rsidRPr="00E02273">
        <w:rPr>
          <w:lang w:val="en-CA"/>
        </w:rPr>
        <w:t xml:space="preserve"> of the </w:t>
      </w:r>
      <w:r w:rsidR="00866E58" w:rsidRPr="00E02273">
        <w:rPr>
          <w:i/>
          <w:lang w:val="en-CA"/>
        </w:rPr>
        <w:t>2019 Regulatory Amendments</w:t>
      </w:r>
      <w:r w:rsidRPr="00E02273">
        <w:rPr>
          <w:i/>
          <w:lang w:val="en-CA"/>
        </w:rPr>
        <w:t xml:space="preserve"> </w:t>
      </w:r>
      <w:r w:rsidRPr="00E02273">
        <w:rPr>
          <w:lang w:val="en-CA"/>
        </w:rPr>
        <w:t xml:space="preserve">has two </w:t>
      </w:r>
      <w:r w:rsidR="002D51A4" w:rsidRPr="00E02273">
        <w:rPr>
          <w:lang w:val="en-CA"/>
        </w:rPr>
        <w:t xml:space="preserve">aspects: (a) </w:t>
      </w:r>
      <w:r w:rsidRPr="00E02273">
        <w:rPr>
          <w:lang w:val="en-CA"/>
        </w:rPr>
        <w:t>first</w:t>
      </w:r>
      <w:r w:rsidR="002D51A4" w:rsidRPr="00E02273">
        <w:rPr>
          <w:lang w:val="en-CA"/>
        </w:rPr>
        <w:t xml:space="preserve">, </w:t>
      </w:r>
      <w:r w:rsidRPr="00E02273">
        <w:rPr>
          <w:lang w:val="en-CA"/>
        </w:rPr>
        <w:t xml:space="preserve">with the objective of reducing prices, to reinforce the existing </w:t>
      </w:r>
      <w:r w:rsidR="00170BFF">
        <w:rPr>
          <w:lang w:val="en-CA"/>
        </w:rPr>
        <w:t xml:space="preserve">excessive price control </w:t>
      </w:r>
      <w:r w:rsidRPr="00E02273">
        <w:rPr>
          <w:lang w:val="en-CA"/>
        </w:rPr>
        <w:t xml:space="preserve">regime by amending the list of foreign countries used to compare prices and </w:t>
      </w:r>
      <w:r w:rsidR="00170BFF">
        <w:rPr>
          <w:lang w:val="en-CA"/>
        </w:rPr>
        <w:t xml:space="preserve">by </w:t>
      </w:r>
      <w:r w:rsidRPr="00E02273">
        <w:rPr>
          <w:lang w:val="en-CA"/>
        </w:rPr>
        <w:t xml:space="preserve">taking into account the confidential rebates </w:t>
      </w:r>
      <w:r w:rsidR="00170BFF">
        <w:rPr>
          <w:lang w:val="en-CA"/>
        </w:rPr>
        <w:t xml:space="preserve">negotiated with </w:t>
      </w:r>
      <w:r w:rsidRPr="00E02273">
        <w:rPr>
          <w:lang w:val="en-CA"/>
        </w:rPr>
        <w:t xml:space="preserve">large public insurers; and (b) second, to impose </w:t>
      </w:r>
      <w:r w:rsidR="00626DB7" w:rsidRPr="00E02273">
        <w:rPr>
          <w:lang w:val="en-CA"/>
        </w:rPr>
        <w:t xml:space="preserve">additional </w:t>
      </w:r>
      <w:r w:rsidRPr="00E02273">
        <w:rPr>
          <w:lang w:val="en-CA"/>
        </w:rPr>
        <w:t xml:space="preserve">significant arbitrary price reductions so that patented medicines </w:t>
      </w:r>
      <w:r w:rsidR="00170BFF">
        <w:rPr>
          <w:lang w:val="en-CA"/>
        </w:rPr>
        <w:t xml:space="preserve">are </w:t>
      </w:r>
      <w:r w:rsidRPr="00E02273">
        <w:rPr>
          <w:lang w:val="en-CA"/>
        </w:rPr>
        <w:t>more affordable</w:t>
      </w:r>
      <w:r w:rsidR="002D51A4" w:rsidRPr="00E02273">
        <w:rPr>
          <w:lang w:val="en-CA"/>
        </w:rPr>
        <w:t>.</w:t>
      </w:r>
    </w:p>
    <w:p w14:paraId="4DBD8AB9" w14:textId="15FD3FBC" w:rsidR="00B568AD" w:rsidRPr="00E02273" w:rsidRDefault="00BC3730" w:rsidP="00C97C67">
      <w:pPr>
        <w:pStyle w:val="Paragraphe"/>
        <w:tabs>
          <w:tab w:val="clear" w:pos="4973"/>
          <w:tab w:val="num" w:pos="709"/>
        </w:tabs>
        <w:spacing w:line="240" w:lineRule="auto"/>
        <w:ind w:left="0"/>
        <w:rPr>
          <w:lang w:val="en-CA"/>
        </w:rPr>
      </w:pPr>
      <w:r w:rsidRPr="00E02273">
        <w:rPr>
          <w:lang w:val="en-CA"/>
        </w:rPr>
        <w:t xml:space="preserve">The constitutional </w:t>
      </w:r>
      <w:r w:rsidR="002D51A4" w:rsidRPr="00E02273">
        <w:rPr>
          <w:lang w:val="en-CA"/>
        </w:rPr>
        <w:t xml:space="preserve">classification </w:t>
      </w:r>
      <w:r w:rsidRPr="00E02273">
        <w:rPr>
          <w:lang w:val="en-CA"/>
        </w:rPr>
        <w:t xml:space="preserve">of these regulatory amendments must be conducted in light of the </w:t>
      </w:r>
      <w:r w:rsidR="002D51A4" w:rsidRPr="00E02273">
        <w:rPr>
          <w:lang w:val="en-CA"/>
        </w:rPr>
        <w:t>princip</w:t>
      </w:r>
      <w:r w:rsidRPr="00E02273">
        <w:rPr>
          <w:lang w:val="en-CA"/>
        </w:rPr>
        <w:t xml:space="preserve">le parameters defining the </w:t>
      </w:r>
      <w:r w:rsidR="002D51A4" w:rsidRPr="00E02273">
        <w:rPr>
          <w:lang w:val="en-CA"/>
        </w:rPr>
        <w:t>federal</w:t>
      </w:r>
      <w:r w:rsidRPr="00E02273">
        <w:rPr>
          <w:lang w:val="en-CA"/>
        </w:rPr>
        <w:t xml:space="preserve"> </w:t>
      </w:r>
      <w:r w:rsidR="002D51A4" w:rsidRPr="00E02273">
        <w:rPr>
          <w:lang w:val="en-CA"/>
        </w:rPr>
        <w:t>jurisdiction</w:t>
      </w:r>
      <w:r w:rsidRPr="00E02273">
        <w:rPr>
          <w:lang w:val="en-CA"/>
        </w:rPr>
        <w:t xml:space="preserve"> over the regulation of patented medicine</w:t>
      </w:r>
      <w:r w:rsidR="00170BFF">
        <w:rPr>
          <w:lang w:val="en-CA"/>
        </w:rPr>
        <w:t xml:space="preserve"> price</w:t>
      </w:r>
      <w:r w:rsidRPr="00E02273">
        <w:rPr>
          <w:lang w:val="en-CA"/>
        </w:rPr>
        <w:t xml:space="preserve">s, that is, </w:t>
      </w:r>
      <w:r w:rsidR="002D51A4" w:rsidRPr="00E02273">
        <w:rPr>
          <w:lang w:val="en-CA"/>
        </w:rPr>
        <w:t xml:space="preserve">(i) </w:t>
      </w:r>
      <w:r w:rsidRPr="00E02273">
        <w:rPr>
          <w:lang w:val="en-CA"/>
        </w:rPr>
        <w:t>a patented medicine</w:t>
      </w:r>
      <w:r w:rsidR="002D51A4" w:rsidRPr="00E02273">
        <w:rPr>
          <w:lang w:val="en-CA"/>
        </w:rPr>
        <w:t>; (ii)</w:t>
      </w:r>
      <w:r w:rsidR="00657FCA" w:rsidRPr="00E02273">
        <w:rPr>
          <w:lang w:val="en-CA"/>
        </w:rPr>
        <w:t xml:space="preserve"> the ex-factory price;</w:t>
      </w:r>
      <w:r w:rsidR="002D51A4" w:rsidRPr="00E02273">
        <w:rPr>
          <w:lang w:val="en-CA"/>
        </w:rPr>
        <w:t xml:space="preserve"> </w:t>
      </w:r>
      <w:r w:rsidR="00657FCA" w:rsidRPr="00E02273">
        <w:rPr>
          <w:lang w:val="en-CA"/>
        </w:rPr>
        <w:t>and</w:t>
      </w:r>
      <w:r w:rsidR="002D51A4" w:rsidRPr="00E02273">
        <w:rPr>
          <w:lang w:val="en-CA"/>
        </w:rPr>
        <w:t xml:space="preserve"> (iii) </w:t>
      </w:r>
      <w:r w:rsidR="00657FCA" w:rsidRPr="00E02273">
        <w:rPr>
          <w:lang w:val="en-CA"/>
        </w:rPr>
        <w:t xml:space="preserve">the </w:t>
      </w:r>
      <w:r w:rsidR="002D51A4" w:rsidRPr="00E02273">
        <w:rPr>
          <w:lang w:val="en-CA"/>
        </w:rPr>
        <w:t>contr</w:t>
      </w:r>
      <w:r w:rsidR="00657FCA" w:rsidRPr="00E02273">
        <w:rPr>
          <w:lang w:val="en-CA"/>
        </w:rPr>
        <w:t xml:space="preserve">ol of the effect on prices of the monopoly granted by </w:t>
      </w:r>
      <w:r w:rsidR="00170BFF">
        <w:rPr>
          <w:lang w:val="en-CA"/>
        </w:rPr>
        <w:t xml:space="preserve">the </w:t>
      </w:r>
      <w:r w:rsidR="00657FCA" w:rsidRPr="00E02273">
        <w:rPr>
          <w:lang w:val="en-CA"/>
        </w:rPr>
        <w:t>patent. That is what needs to be addressed now</w:t>
      </w:r>
      <w:r w:rsidR="002D51A4" w:rsidRPr="00E02273">
        <w:rPr>
          <w:lang w:val="en-CA"/>
        </w:rPr>
        <w:t>.</w:t>
      </w:r>
    </w:p>
    <w:p w14:paraId="7B7FB69E" w14:textId="70ED5C8F" w:rsidR="00B568AD" w:rsidRPr="00E02273" w:rsidRDefault="00262C17" w:rsidP="00B568AD">
      <w:pPr>
        <w:pStyle w:val="Paragraphe"/>
        <w:numPr>
          <w:ilvl w:val="0"/>
          <w:numId w:val="36"/>
        </w:numPr>
        <w:spacing w:line="240" w:lineRule="auto"/>
        <w:rPr>
          <w:u w:val="single"/>
          <w:lang w:val="en-CA"/>
        </w:rPr>
      </w:pPr>
      <w:r w:rsidRPr="00E02273">
        <w:rPr>
          <w:u w:val="single"/>
          <w:lang w:val="en-CA"/>
        </w:rPr>
        <w:t>Federal jurisdiction covers only patented medicines</w:t>
      </w:r>
    </w:p>
    <w:p w14:paraId="6D8DBC50" w14:textId="389E1F15" w:rsidR="00B568AD" w:rsidRPr="00E02273" w:rsidRDefault="00E83A0A" w:rsidP="00C97C67">
      <w:pPr>
        <w:pStyle w:val="Paragraphe"/>
        <w:tabs>
          <w:tab w:val="clear" w:pos="4973"/>
          <w:tab w:val="num" w:pos="709"/>
        </w:tabs>
        <w:spacing w:line="240" w:lineRule="auto"/>
        <w:ind w:left="0"/>
        <w:rPr>
          <w:lang w:val="en-CA"/>
        </w:rPr>
      </w:pPr>
      <w:r w:rsidRPr="00E02273">
        <w:rPr>
          <w:lang w:val="en-CA"/>
        </w:rPr>
        <w:t xml:space="preserve">It seems clear to me that the </w:t>
      </w:r>
      <w:r w:rsidR="002D51A4" w:rsidRPr="00E02273">
        <w:rPr>
          <w:lang w:val="en-CA"/>
        </w:rPr>
        <w:t>federal</w:t>
      </w:r>
      <w:r w:rsidRPr="00E02273">
        <w:rPr>
          <w:lang w:val="en-CA"/>
        </w:rPr>
        <w:t xml:space="preserve"> </w:t>
      </w:r>
      <w:r w:rsidR="002D51A4" w:rsidRPr="00E02273">
        <w:rPr>
          <w:lang w:val="en-CA"/>
        </w:rPr>
        <w:t>jurisdiction</w:t>
      </w:r>
      <w:r w:rsidRPr="00E02273">
        <w:rPr>
          <w:lang w:val="en-CA"/>
        </w:rPr>
        <w:t xml:space="preserve"> over patents of </w:t>
      </w:r>
      <w:r w:rsidR="002D51A4" w:rsidRPr="00E02273">
        <w:rPr>
          <w:lang w:val="en-CA"/>
        </w:rPr>
        <w:t xml:space="preserve">invention </w:t>
      </w:r>
      <w:r w:rsidRPr="00E02273">
        <w:rPr>
          <w:lang w:val="en-CA"/>
        </w:rPr>
        <w:t xml:space="preserve">and discovery cannot permit the federal </w:t>
      </w:r>
      <w:r w:rsidR="002D51A4" w:rsidRPr="00E02273">
        <w:rPr>
          <w:lang w:val="en-CA"/>
        </w:rPr>
        <w:t>government</w:t>
      </w:r>
      <w:r w:rsidRPr="00E02273">
        <w:rPr>
          <w:lang w:val="en-CA"/>
        </w:rPr>
        <w:t xml:space="preserve"> to control the price of medicines in general, but only those medicines that are subject to a </w:t>
      </w:r>
      <w:r w:rsidR="002D51A4" w:rsidRPr="00E02273">
        <w:rPr>
          <w:lang w:val="en-CA"/>
        </w:rPr>
        <w:t>monopol</w:t>
      </w:r>
      <w:r w:rsidRPr="00E02273">
        <w:rPr>
          <w:lang w:val="en-CA"/>
        </w:rPr>
        <w:t xml:space="preserve">y granted by the </w:t>
      </w:r>
      <w:r w:rsidRPr="00E02273">
        <w:rPr>
          <w:i/>
          <w:lang w:val="en-CA"/>
        </w:rPr>
        <w:t xml:space="preserve">Patent Act </w:t>
      </w:r>
      <w:r w:rsidRPr="00E02273">
        <w:rPr>
          <w:lang w:val="en-CA"/>
        </w:rPr>
        <w:t xml:space="preserve">by means of a patent. Thus, the </w:t>
      </w:r>
      <w:r w:rsidR="002D51A4" w:rsidRPr="00E02273">
        <w:rPr>
          <w:lang w:val="en-CA"/>
        </w:rPr>
        <w:t>federal</w:t>
      </w:r>
      <w:r w:rsidRPr="00E02273">
        <w:rPr>
          <w:lang w:val="en-CA"/>
        </w:rPr>
        <w:t xml:space="preserve"> </w:t>
      </w:r>
      <w:r w:rsidR="002D51A4" w:rsidRPr="00E02273">
        <w:rPr>
          <w:lang w:val="en-CA"/>
        </w:rPr>
        <w:t>jurisdiction</w:t>
      </w:r>
      <w:r w:rsidRPr="00E02273">
        <w:rPr>
          <w:lang w:val="en-CA"/>
        </w:rPr>
        <w:t xml:space="preserve"> over patents of </w:t>
      </w:r>
      <w:r w:rsidR="002D51A4" w:rsidRPr="00E02273">
        <w:rPr>
          <w:lang w:val="en-CA"/>
        </w:rPr>
        <w:t xml:space="preserve">invention </w:t>
      </w:r>
      <w:r w:rsidRPr="00E02273">
        <w:rPr>
          <w:lang w:val="en-CA"/>
        </w:rPr>
        <w:t xml:space="preserve">and discovery cannot permit the federal </w:t>
      </w:r>
      <w:r w:rsidR="002D51A4" w:rsidRPr="00E02273">
        <w:rPr>
          <w:lang w:val="en-CA"/>
        </w:rPr>
        <w:t xml:space="preserve">government </w:t>
      </w:r>
      <w:r w:rsidRPr="00E02273">
        <w:rPr>
          <w:lang w:val="en-CA"/>
        </w:rPr>
        <w:t xml:space="preserve">to regulate the price of </w:t>
      </w:r>
      <w:r w:rsidR="00750B21">
        <w:rPr>
          <w:lang w:val="en-CA"/>
        </w:rPr>
        <w:t xml:space="preserve">non-patented </w:t>
      </w:r>
      <w:r w:rsidRPr="00E02273">
        <w:rPr>
          <w:lang w:val="en-CA"/>
        </w:rPr>
        <w:t>medicines, either because the patent has expired or was never obtained</w:t>
      </w:r>
      <w:r w:rsidR="002D51A4" w:rsidRPr="00E02273">
        <w:rPr>
          <w:lang w:val="en-CA"/>
        </w:rPr>
        <w:t xml:space="preserve">. </w:t>
      </w:r>
    </w:p>
    <w:p w14:paraId="717E3F12" w14:textId="45580640" w:rsidR="00B568AD" w:rsidRPr="00E02273" w:rsidRDefault="00242A1D" w:rsidP="00C97C67">
      <w:pPr>
        <w:pStyle w:val="Paragraphe"/>
        <w:tabs>
          <w:tab w:val="clear" w:pos="4973"/>
          <w:tab w:val="num" w:pos="709"/>
        </w:tabs>
        <w:spacing w:line="240" w:lineRule="auto"/>
        <w:ind w:left="0"/>
        <w:rPr>
          <w:lang w:val="en-CA"/>
        </w:rPr>
      </w:pPr>
      <w:r w:rsidRPr="00E02273">
        <w:rPr>
          <w:lang w:val="en-CA"/>
        </w:rPr>
        <w:t xml:space="preserve">As federal </w:t>
      </w:r>
      <w:r w:rsidR="002D51A4" w:rsidRPr="00E02273">
        <w:rPr>
          <w:lang w:val="en-CA"/>
        </w:rPr>
        <w:t>Deputy</w:t>
      </w:r>
      <w:r w:rsidRPr="00E02273">
        <w:rPr>
          <w:lang w:val="en-CA"/>
        </w:rPr>
        <w:t xml:space="preserve"> </w:t>
      </w:r>
      <w:r w:rsidR="002D51A4" w:rsidRPr="00E02273">
        <w:rPr>
          <w:lang w:val="en-CA"/>
        </w:rPr>
        <w:t xml:space="preserve">Minister Jocelyne Bourgon </w:t>
      </w:r>
      <w:r w:rsidRPr="00E02273">
        <w:rPr>
          <w:lang w:val="en-CA"/>
        </w:rPr>
        <w:t xml:space="preserve">in fact stated in a </w:t>
      </w:r>
      <w:r w:rsidR="001C649F" w:rsidRPr="00E02273">
        <w:rPr>
          <w:lang w:val="en-CA"/>
        </w:rPr>
        <w:t>memora</w:t>
      </w:r>
      <w:r w:rsidR="009D7203">
        <w:rPr>
          <w:lang w:val="en-CA"/>
        </w:rPr>
        <w:t>n</w:t>
      </w:r>
      <w:r w:rsidR="001C649F" w:rsidRPr="00E02273">
        <w:rPr>
          <w:lang w:val="en-CA"/>
        </w:rPr>
        <w:t>dum</w:t>
      </w:r>
      <w:r w:rsidRPr="00E02273">
        <w:rPr>
          <w:lang w:val="en-CA"/>
        </w:rPr>
        <w:t xml:space="preserve"> </w:t>
      </w:r>
      <w:r w:rsidR="00AF5AC0" w:rsidRPr="00E02273">
        <w:rPr>
          <w:lang w:val="en-CA"/>
        </w:rPr>
        <w:t>on this issue addressed to the</w:t>
      </w:r>
      <w:r w:rsidRPr="00E02273">
        <w:rPr>
          <w:lang w:val="en-CA"/>
        </w:rPr>
        <w:t xml:space="preserve"> </w:t>
      </w:r>
      <w:r w:rsidR="002D51A4" w:rsidRPr="00E02273">
        <w:rPr>
          <w:lang w:val="en-CA"/>
        </w:rPr>
        <w:t>minister respons</w:t>
      </w:r>
      <w:r w:rsidRPr="00E02273">
        <w:rPr>
          <w:lang w:val="en-CA"/>
        </w:rPr>
        <w:t>i</w:t>
      </w:r>
      <w:r w:rsidR="002D51A4" w:rsidRPr="00E02273">
        <w:rPr>
          <w:lang w:val="en-CA"/>
        </w:rPr>
        <w:t>ble,</w:t>
      </w:r>
      <w:r w:rsidR="00AF5AC0" w:rsidRPr="00E02273">
        <w:rPr>
          <w:lang w:val="en-CA"/>
        </w:rPr>
        <w:t xml:space="preserve"> [</w:t>
      </w:r>
      <w:r w:rsidR="00AF5AC0" w:rsidRPr="00E02273">
        <w:rPr>
          <w:smallCaps/>
          <w:lang w:val="en-CA"/>
        </w:rPr>
        <w:t>translation</w:t>
      </w:r>
      <w:r w:rsidR="00AF5AC0" w:rsidRPr="00E02273">
        <w:rPr>
          <w:lang w:val="en-CA"/>
        </w:rPr>
        <w:t xml:space="preserve">] “constitutional grounds prevent expanding the Board’s </w:t>
      </w:r>
      <w:r w:rsidR="002D51A4" w:rsidRPr="00E02273">
        <w:rPr>
          <w:lang w:val="en-CA"/>
        </w:rPr>
        <w:t>mandat</w:t>
      </w:r>
      <w:r w:rsidR="00AF5AC0" w:rsidRPr="00E02273">
        <w:rPr>
          <w:lang w:val="en-CA"/>
        </w:rPr>
        <w:t>e</w:t>
      </w:r>
      <w:r w:rsidR="002D51A4" w:rsidRPr="00E02273">
        <w:rPr>
          <w:lang w:val="en-CA"/>
        </w:rPr>
        <w:t xml:space="preserve"> </w:t>
      </w:r>
      <w:r w:rsidR="00AF5AC0" w:rsidRPr="00E02273">
        <w:rPr>
          <w:lang w:val="en-CA"/>
        </w:rPr>
        <w:t>to include non-patented medicines”.</w:t>
      </w:r>
      <w:r w:rsidR="002D51A4" w:rsidRPr="00E02273">
        <w:rPr>
          <w:rStyle w:val="Appelnotedebasdep"/>
          <w:lang w:val="en-CA"/>
        </w:rPr>
        <w:footnoteReference w:id="176"/>
      </w:r>
      <w:r w:rsidR="002D51A4" w:rsidRPr="00E02273">
        <w:rPr>
          <w:lang w:val="en-CA"/>
        </w:rPr>
        <w:t xml:space="preserve"> </w:t>
      </w:r>
      <w:r w:rsidR="00AF5AC0" w:rsidRPr="00E02273">
        <w:rPr>
          <w:lang w:val="en-CA"/>
        </w:rPr>
        <w:t xml:space="preserve">None of the </w:t>
      </w:r>
      <w:r w:rsidR="002D51A4" w:rsidRPr="00E02273">
        <w:rPr>
          <w:lang w:val="en-CA"/>
        </w:rPr>
        <w:t xml:space="preserve">parties </w:t>
      </w:r>
      <w:r w:rsidR="00AF5AC0" w:rsidRPr="00E02273">
        <w:rPr>
          <w:lang w:val="en-CA"/>
        </w:rPr>
        <w:t xml:space="preserve">to the </w:t>
      </w:r>
      <w:r w:rsidR="002D51A4" w:rsidRPr="00E02273">
        <w:rPr>
          <w:lang w:val="en-CA"/>
        </w:rPr>
        <w:t>appeal</w:t>
      </w:r>
      <w:r w:rsidR="00AF5AC0" w:rsidRPr="00E02273">
        <w:rPr>
          <w:lang w:val="en-CA"/>
        </w:rPr>
        <w:t xml:space="preserve"> challenge this basic </w:t>
      </w:r>
      <w:r w:rsidR="002D51A4" w:rsidRPr="00E02273">
        <w:rPr>
          <w:lang w:val="en-CA"/>
        </w:rPr>
        <w:t>constitutional</w:t>
      </w:r>
      <w:r w:rsidR="00AF5AC0" w:rsidRPr="00E02273">
        <w:rPr>
          <w:lang w:val="en-CA"/>
        </w:rPr>
        <w:t xml:space="preserve"> </w:t>
      </w:r>
      <w:r w:rsidR="002D51A4" w:rsidRPr="00E02273">
        <w:rPr>
          <w:lang w:val="en-CA"/>
        </w:rPr>
        <w:t>principle.</w:t>
      </w:r>
    </w:p>
    <w:p w14:paraId="1346990B" w14:textId="50160F05" w:rsidR="00B568AD" w:rsidRPr="00E02273" w:rsidRDefault="000711A4" w:rsidP="00C97C67">
      <w:pPr>
        <w:pStyle w:val="Paragraphe"/>
        <w:tabs>
          <w:tab w:val="clear" w:pos="4973"/>
          <w:tab w:val="num" w:pos="709"/>
        </w:tabs>
        <w:spacing w:line="240" w:lineRule="auto"/>
        <w:ind w:left="0"/>
        <w:rPr>
          <w:lang w:val="en-CA"/>
        </w:rPr>
      </w:pPr>
      <w:r w:rsidRPr="00E02273">
        <w:rPr>
          <w:lang w:val="en-CA"/>
        </w:rPr>
        <w:t xml:space="preserve">In this </w:t>
      </w:r>
      <w:r w:rsidR="002D51A4" w:rsidRPr="00E02273">
        <w:rPr>
          <w:lang w:val="en-CA"/>
        </w:rPr>
        <w:t>context</w:t>
      </w:r>
      <w:r w:rsidRPr="00E02273">
        <w:rPr>
          <w:lang w:val="en-CA"/>
        </w:rPr>
        <w:t>,</w:t>
      </w:r>
      <w:r w:rsidR="002D51A4" w:rsidRPr="00E02273">
        <w:rPr>
          <w:lang w:val="en-CA"/>
        </w:rPr>
        <w:t xml:space="preserve"> </w:t>
      </w:r>
      <w:r w:rsidRPr="00E02273">
        <w:rPr>
          <w:lang w:val="en-CA"/>
        </w:rPr>
        <w:t xml:space="preserve">the </w:t>
      </w:r>
      <w:r w:rsidR="002D51A4" w:rsidRPr="00E02273">
        <w:rPr>
          <w:lang w:val="en-CA"/>
        </w:rPr>
        <w:t>appel</w:t>
      </w:r>
      <w:r w:rsidRPr="00E02273">
        <w:rPr>
          <w:lang w:val="en-CA"/>
        </w:rPr>
        <w:t>l</w:t>
      </w:r>
      <w:r w:rsidR="002D51A4" w:rsidRPr="00E02273">
        <w:rPr>
          <w:lang w:val="en-CA"/>
        </w:rPr>
        <w:t>ants</w:t>
      </w:r>
      <w:r w:rsidRPr="00E02273">
        <w:rPr>
          <w:lang w:val="en-CA"/>
        </w:rPr>
        <w:t xml:space="preserve"> suggest that subsection </w:t>
      </w:r>
      <w:r w:rsidR="002D51A4" w:rsidRPr="00E02273">
        <w:rPr>
          <w:lang w:val="en-CA"/>
        </w:rPr>
        <w:t xml:space="preserve">79(2) </w:t>
      </w:r>
      <w:r w:rsidRPr="00E02273">
        <w:rPr>
          <w:lang w:val="en-CA"/>
        </w:rPr>
        <w:t xml:space="preserve">of the </w:t>
      </w:r>
      <w:r w:rsidRPr="00E02273">
        <w:rPr>
          <w:i/>
          <w:lang w:val="en-CA"/>
        </w:rPr>
        <w:t xml:space="preserve">Patent Act </w:t>
      </w:r>
      <w:r w:rsidRPr="00E02273">
        <w:rPr>
          <w:lang w:val="en-CA"/>
        </w:rPr>
        <w:t>is un</w:t>
      </w:r>
      <w:r w:rsidR="002D51A4" w:rsidRPr="00E02273">
        <w:rPr>
          <w:lang w:val="en-CA"/>
        </w:rPr>
        <w:t>constitution</w:t>
      </w:r>
      <w:r w:rsidRPr="00E02273">
        <w:rPr>
          <w:lang w:val="en-CA"/>
        </w:rPr>
        <w:t xml:space="preserve">al because it allows the Board to regulate </w:t>
      </w:r>
      <w:r w:rsidR="00750B21">
        <w:rPr>
          <w:lang w:val="en-CA"/>
        </w:rPr>
        <w:t xml:space="preserve">non-patented </w:t>
      </w:r>
      <w:r w:rsidRPr="00E02273">
        <w:rPr>
          <w:lang w:val="en-CA"/>
        </w:rPr>
        <w:t>medicines.</w:t>
      </w:r>
      <w:r w:rsidR="002D51A4" w:rsidRPr="00E02273">
        <w:rPr>
          <w:rStyle w:val="Appelnotedebasdep"/>
          <w:lang w:val="en-CA"/>
        </w:rPr>
        <w:footnoteReference w:id="177"/>
      </w:r>
      <w:r w:rsidR="002D51A4" w:rsidRPr="00E02273">
        <w:rPr>
          <w:lang w:val="en-CA"/>
        </w:rPr>
        <w:t xml:space="preserve"> </w:t>
      </w:r>
      <w:r w:rsidR="008A3036" w:rsidRPr="00E02273">
        <w:rPr>
          <w:lang w:val="en-CA"/>
        </w:rPr>
        <w:t xml:space="preserve">This </w:t>
      </w:r>
      <w:r w:rsidR="002D51A4" w:rsidRPr="00E02273">
        <w:rPr>
          <w:lang w:val="en-CA"/>
        </w:rPr>
        <w:t>statutory</w:t>
      </w:r>
      <w:r w:rsidR="008A3036" w:rsidRPr="00E02273">
        <w:rPr>
          <w:lang w:val="en-CA"/>
        </w:rPr>
        <w:t xml:space="preserve"> </w:t>
      </w:r>
      <w:r w:rsidR="002D51A4" w:rsidRPr="00E02273">
        <w:rPr>
          <w:lang w:val="en-CA"/>
        </w:rPr>
        <w:t>provision</w:t>
      </w:r>
      <w:r w:rsidR="008A3036" w:rsidRPr="00E02273">
        <w:rPr>
          <w:lang w:val="en-CA"/>
        </w:rPr>
        <w:t xml:space="preserve"> permits the Board to act in regard to the price of a medicine </w:t>
      </w:r>
      <w:r w:rsidR="00E733AA" w:rsidRPr="00E02273">
        <w:rPr>
          <w:lang w:val="en-CA"/>
        </w:rPr>
        <w:t>if it pertains to a patented invention, that is, if the patented invention “is intended or capable of being used for medicine or for the preparation … of medicine”.</w:t>
      </w:r>
      <w:r w:rsidR="002D51A4" w:rsidRPr="00E02273">
        <w:rPr>
          <w:rStyle w:val="Appelnotedebasdep"/>
          <w:lang w:val="en-CA"/>
        </w:rPr>
        <w:footnoteReference w:id="178"/>
      </w:r>
      <w:r w:rsidR="00E733AA" w:rsidRPr="00E02273">
        <w:rPr>
          <w:lang w:val="en-CA"/>
        </w:rPr>
        <w:t xml:space="preserve"> Contrary to the assertions of the appellant </w:t>
      </w:r>
      <w:r w:rsidR="002D51A4" w:rsidRPr="00E02273">
        <w:rPr>
          <w:lang w:val="en-CA"/>
        </w:rPr>
        <w:t>pharmaceutical</w:t>
      </w:r>
      <w:r w:rsidR="00E733AA" w:rsidRPr="00E02273">
        <w:rPr>
          <w:lang w:val="en-CA"/>
        </w:rPr>
        <w:t xml:space="preserve"> </w:t>
      </w:r>
      <w:r w:rsidR="002D51A4" w:rsidRPr="00E02273">
        <w:rPr>
          <w:lang w:val="en-CA"/>
        </w:rPr>
        <w:t>companies</w:t>
      </w:r>
      <w:r w:rsidR="00E733AA" w:rsidRPr="00E02273">
        <w:rPr>
          <w:lang w:val="en-CA"/>
        </w:rPr>
        <w:t xml:space="preserve">, however, this </w:t>
      </w:r>
      <w:r w:rsidR="002D51A4" w:rsidRPr="00E02273">
        <w:rPr>
          <w:lang w:val="en-CA"/>
        </w:rPr>
        <w:t>statutory</w:t>
      </w:r>
      <w:r w:rsidR="00E733AA" w:rsidRPr="00E02273">
        <w:rPr>
          <w:lang w:val="en-CA"/>
        </w:rPr>
        <w:t xml:space="preserve"> </w:t>
      </w:r>
      <w:r w:rsidR="002D51A4" w:rsidRPr="00E02273">
        <w:rPr>
          <w:lang w:val="en-CA"/>
        </w:rPr>
        <w:t>provision</w:t>
      </w:r>
      <w:r w:rsidR="00E733AA" w:rsidRPr="00E02273">
        <w:rPr>
          <w:lang w:val="en-CA"/>
        </w:rPr>
        <w:t xml:space="preserve"> is not unc</w:t>
      </w:r>
      <w:r w:rsidR="002D51A4" w:rsidRPr="00E02273">
        <w:rPr>
          <w:lang w:val="en-CA"/>
        </w:rPr>
        <w:t>onstitutional.</w:t>
      </w:r>
    </w:p>
    <w:p w14:paraId="1669E615" w14:textId="5EE2D7F8" w:rsidR="00B568AD" w:rsidRPr="00E02273" w:rsidRDefault="00E733AA" w:rsidP="00C97C67">
      <w:pPr>
        <w:pStyle w:val="Paragraphe"/>
        <w:tabs>
          <w:tab w:val="clear" w:pos="4973"/>
          <w:tab w:val="num" w:pos="709"/>
        </w:tabs>
        <w:spacing w:line="240" w:lineRule="auto"/>
        <w:ind w:left="0"/>
        <w:rPr>
          <w:lang w:val="en-CA"/>
        </w:rPr>
      </w:pPr>
      <w:r w:rsidRPr="00E02273">
        <w:rPr>
          <w:lang w:val="en-CA"/>
        </w:rPr>
        <w:t xml:space="preserve">Indeed, the </w:t>
      </w:r>
      <w:r w:rsidR="002D51A4" w:rsidRPr="00E02273">
        <w:rPr>
          <w:lang w:val="en-CA"/>
        </w:rPr>
        <w:t>federal</w:t>
      </w:r>
      <w:r w:rsidRPr="00E02273">
        <w:rPr>
          <w:lang w:val="en-CA"/>
        </w:rPr>
        <w:t xml:space="preserve"> </w:t>
      </w:r>
      <w:r w:rsidR="002D51A4" w:rsidRPr="00E02273">
        <w:rPr>
          <w:lang w:val="en-CA"/>
        </w:rPr>
        <w:t>jurisdiction</w:t>
      </w:r>
      <w:r w:rsidR="00853F48" w:rsidRPr="00E02273">
        <w:rPr>
          <w:lang w:val="en-CA"/>
        </w:rPr>
        <w:t xml:space="preserve"> also extends to patent</w:t>
      </w:r>
      <w:r w:rsidR="00572FFF" w:rsidRPr="00E02273">
        <w:rPr>
          <w:lang w:val="en-CA"/>
        </w:rPr>
        <w:t xml:space="preserve">ed </w:t>
      </w:r>
      <w:r w:rsidR="002D51A4" w:rsidRPr="00E02273">
        <w:rPr>
          <w:lang w:val="en-CA"/>
        </w:rPr>
        <w:t xml:space="preserve">inventions </w:t>
      </w:r>
      <w:r w:rsidR="00572FFF" w:rsidRPr="00E02273">
        <w:rPr>
          <w:lang w:val="en-CA"/>
        </w:rPr>
        <w:t xml:space="preserve">that permit the making and marketing of medicines so that the patentee can logically benefit from the commercial </w:t>
      </w:r>
      <w:r w:rsidR="002D51A4" w:rsidRPr="00E02273">
        <w:rPr>
          <w:lang w:val="en-CA"/>
        </w:rPr>
        <w:t>a</w:t>
      </w:r>
      <w:r w:rsidR="00572FFF" w:rsidRPr="00E02273">
        <w:rPr>
          <w:lang w:val="en-CA"/>
        </w:rPr>
        <w:t>d</w:t>
      </w:r>
      <w:r w:rsidR="002D51A4" w:rsidRPr="00E02273">
        <w:rPr>
          <w:lang w:val="en-CA"/>
        </w:rPr>
        <w:t xml:space="preserve">vantage </w:t>
      </w:r>
      <w:r w:rsidR="000F5605">
        <w:rPr>
          <w:lang w:val="en-CA"/>
        </w:rPr>
        <w:t>conferr</w:t>
      </w:r>
      <w:r w:rsidR="000F5605" w:rsidRPr="00E02273">
        <w:rPr>
          <w:lang w:val="en-CA"/>
        </w:rPr>
        <w:t xml:space="preserve">ed </w:t>
      </w:r>
      <w:r w:rsidR="00572FFF" w:rsidRPr="00E02273">
        <w:rPr>
          <w:lang w:val="en-CA"/>
        </w:rPr>
        <w:t xml:space="preserve">by the </w:t>
      </w:r>
      <w:r w:rsidR="002D51A4" w:rsidRPr="00E02273">
        <w:rPr>
          <w:lang w:val="en-CA"/>
        </w:rPr>
        <w:t>monopol</w:t>
      </w:r>
      <w:r w:rsidR="00572FFF" w:rsidRPr="00E02273">
        <w:rPr>
          <w:lang w:val="en-CA"/>
        </w:rPr>
        <w:t>y</w:t>
      </w:r>
      <w:r w:rsidR="002D51A4" w:rsidRPr="00E02273">
        <w:rPr>
          <w:lang w:val="en-CA"/>
        </w:rPr>
        <w:t xml:space="preserve"> </w:t>
      </w:r>
      <w:r w:rsidR="00572FFF" w:rsidRPr="00E02273">
        <w:rPr>
          <w:lang w:val="en-CA"/>
        </w:rPr>
        <w:t xml:space="preserve">granted by the patent, whether or not </w:t>
      </w:r>
      <w:r w:rsidR="00572FFF" w:rsidRPr="00E02273">
        <w:rPr>
          <w:lang w:val="en-CA"/>
        </w:rPr>
        <w:lastRenderedPageBreak/>
        <w:t xml:space="preserve">the medicine itself is patented. It is the </w:t>
      </w:r>
      <w:r w:rsidR="002D51A4" w:rsidRPr="00E02273">
        <w:rPr>
          <w:i/>
          <w:u w:val="single"/>
          <w:lang w:val="en-CA"/>
        </w:rPr>
        <w:t>monopol</w:t>
      </w:r>
      <w:r w:rsidR="00572FFF" w:rsidRPr="00E02273">
        <w:rPr>
          <w:i/>
          <w:u w:val="single"/>
          <w:lang w:val="en-CA"/>
        </w:rPr>
        <w:t>y</w:t>
      </w:r>
      <w:r w:rsidR="002D51A4" w:rsidRPr="00E02273">
        <w:rPr>
          <w:i/>
          <w:lang w:val="en-CA"/>
        </w:rPr>
        <w:t xml:space="preserve"> </w:t>
      </w:r>
      <w:r w:rsidR="00572FFF" w:rsidRPr="00E02273">
        <w:rPr>
          <w:lang w:val="en-CA"/>
        </w:rPr>
        <w:t xml:space="preserve">granted by </w:t>
      </w:r>
      <w:r w:rsidR="000F5605">
        <w:rPr>
          <w:lang w:val="en-CA"/>
        </w:rPr>
        <w:t xml:space="preserve">a </w:t>
      </w:r>
      <w:r w:rsidR="00572FFF" w:rsidRPr="00E02273">
        <w:rPr>
          <w:lang w:val="en-CA"/>
        </w:rPr>
        <w:t xml:space="preserve">patent that permits the federal </w:t>
      </w:r>
      <w:r w:rsidR="002D51A4" w:rsidRPr="00E02273">
        <w:rPr>
          <w:lang w:val="en-CA"/>
        </w:rPr>
        <w:t>government</w:t>
      </w:r>
      <w:r w:rsidR="00572FFF" w:rsidRPr="00E02273">
        <w:rPr>
          <w:lang w:val="en-CA"/>
        </w:rPr>
        <w:t xml:space="preserve"> to act,</w:t>
      </w:r>
      <w:r w:rsidR="00D00D49" w:rsidRPr="00E02273">
        <w:rPr>
          <w:lang w:val="en-CA"/>
        </w:rPr>
        <w:t xml:space="preserve"> whether the </w:t>
      </w:r>
      <w:r w:rsidR="002D51A4" w:rsidRPr="00E02273">
        <w:rPr>
          <w:lang w:val="en-CA"/>
        </w:rPr>
        <w:t>monopol</w:t>
      </w:r>
      <w:r w:rsidR="00D00D49" w:rsidRPr="00E02273">
        <w:rPr>
          <w:lang w:val="en-CA"/>
        </w:rPr>
        <w:t xml:space="preserve">y is the result of a patent directly concerning the medicine itself </w:t>
      </w:r>
      <w:r w:rsidR="002D51A4" w:rsidRPr="00E02273">
        <w:rPr>
          <w:u w:val="single"/>
          <w:lang w:val="en-CA"/>
        </w:rPr>
        <w:t>o</w:t>
      </w:r>
      <w:r w:rsidR="00397270" w:rsidRPr="00E02273">
        <w:rPr>
          <w:u w:val="single"/>
          <w:lang w:val="en-CA"/>
        </w:rPr>
        <w:t>r</w:t>
      </w:r>
      <w:r w:rsidR="002D51A4" w:rsidRPr="00E02273">
        <w:rPr>
          <w:lang w:val="en-CA"/>
        </w:rPr>
        <w:t xml:space="preserve"> </w:t>
      </w:r>
      <w:r w:rsidR="00397270" w:rsidRPr="00E02273">
        <w:rPr>
          <w:lang w:val="en-CA"/>
        </w:rPr>
        <w:t xml:space="preserve">is rather the result of a patented </w:t>
      </w:r>
      <w:r w:rsidR="002D51A4" w:rsidRPr="00E02273">
        <w:rPr>
          <w:lang w:val="en-CA"/>
        </w:rPr>
        <w:t xml:space="preserve">invention </w:t>
      </w:r>
      <w:r w:rsidR="00397270" w:rsidRPr="00E02273">
        <w:rPr>
          <w:lang w:val="en-CA"/>
        </w:rPr>
        <w:t xml:space="preserve">that logically grants the same </w:t>
      </w:r>
      <w:r w:rsidR="002D51A4" w:rsidRPr="00E02273">
        <w:rPr>
          <w:lang w:val="en-CA"/>
        </w:rPr>
        <w:t xml:space="preserve">type </w:t>
      </w:r>
      <w:r w:rsidR="00397270" w:rsidRPr="00E02273">
        <w:rPr>
          <w:lang w:val="en-CA"/>
        </w:rPr>
        <w:t xml:space="preserve">of </w:t>
      </w:r>
      <w:r w:rsidR="002D51A4" w:rsidRPr="00E02273">
        <w:rPr>
          <w:lang w:val="en-CA"/>
        </w:rPr>
        <w:t>monopol</w:t>
      </w:r>
      <w:r w:rsidR="00397270" w:rsidRPr="00E02273">
        <w:rPr>
          <w:lang w:val="en-CA"/>
        </w:rPr>
        <w:t>y</w:t>
      </w:r>
      <w:r w:rsidR="002D51A4" w:rsidRPr="00E02273">
        <w:rPr>
          <w:lang w:val="en-CA"/>
        </w:rPr>
        <w:t xml:space="preserve">. </w:t>
      </w:r>
      <w:r w:rsidR="00397270" w:rsidRPr="00E02273">
        <w:rPr>
          <w:lang w:val="en-CA"/>
        </w:rPr>
        <w:t>That is i</w:t>
      </w:r>
      <w:r w:rsidR="002D51A4" w:rsidRPr="00E02273">
        <w:rPr>
          <w:lang w:val="en-CA"/>
        </w:rPr>
        <w:t>n</w:t>
      </w:r>
      <w:r w:rsidR="00397270" w:rsidRPr="00E02273">
        <w:rPr>
          <w:lang w:val="en-CA"/>
        </w:rPr>
        <w:t xml:space="preserve"> </w:t>
      </w:r>
      <w:r w:rsidR="002D51A4" w:rsidRPr="00E02273">
        <w:rPr>
          <w:lang w:val="en-CA"/>
        </w:rPr>
        <w:t>fact</w:t>
      </w:r>
      <w:r w:rsidR="00397270" w:rsidRPr="00E02273">
        <w:rPr>
          <w:lang w:val="en-CA"/>
        </w:rPr>
        <w:t xml:space="preserve"> what emerges clearly from the Federal Court of Appeal’s judgment in </w:t>
      </w:r>
      <w:r w:rsidR="002D51A4" w:rsidRPr="00E02273">
        <w:rPr>
          <w:i/>
          <w:iCs/>
          <w:lang w:val="en-CA"/>
        </w:rPr>
        <w:t>ICN Pharmaceuticals v. Canada</w:t>
      </w:r>
      <w:r w:rsidR="00397270" w:rsidRPr="00E02273">
        <w:rPr>
          <w:iCs/>
          <w:lang w:val="en-CA"/>
        </w:rPr>
        <w:t>:</w:t>
      </w:r>
      <w:r w:rsidR="002D51A4" w:rsidRPr="00E02273">
        <w:rPr>
          <w:rStyle w:val="Appelnotedebasdep"/>
          <w:lang w:val="en-CA"/>
        </w:rPr>
        <w:footnoteReference w:id="179"/>
      </w:r>
      <w:r w:rsidR="002D51A4" w:rsidRPr="00E02273">
        <w:rPr>
          <w:rFonts w:ascii="Times New Roman" w:hAnsi="Times New Roman"/>
          <w:szCs w:val="24"/>
          <w:lang w:val="en-CA" w:eastAsia="fr-CA"/>
        </w:rPr>
        <w:t xml:space="preserve"> </w:t>
      </w:r>
    </w:p>
    <w:p w14:paraId="77AC781C" w14:textId="658FBA88" w:rsidR="00B568AD" w:rsidRPr="00E02273" w:rsidRDefault="00397270" w:rsidP="00B568AD">
      <w:pPr>
        <w:pStyle w:val="Citationenretrait"/>
        <w:spacing w:line="240" w:lineRule="auto"/>
        <w:rPr>
          <w:lang w:val="en-CA"/>
        </w:rPr>
      </w:pPr>
      <w:r w:rsidRPr="00E02273">
        <w:rPr>
          <w:lang w:val="en-CA"/>
        </w:rPr>
        <w:t>That there must be a rational connection or nexus between the invention outlined in a patent and the medicine which is being sold in Canada cannot be doubted. Without such a statutory requirement the constitutional authority of Parliament to enact price control legislation would be in issue. The competence of Parliament to enact legislation which seeks to regulate the prices of goods, which legislation would otherwise intrude upon the legislative competence of the provinces to enact legislation affecting property and civil rights, arises from Parliament's jurisdiction to legislate with respect to patents …</w:t>
      </w:r>
    </w:p>
    <w:p w14:paraId="2E88CB20" w14:textId="367A8A52" w:rsidR="00B568AD" w:rsidRPr="00E02273" w:rsidRDefault="00EF5B9E" w:rsidP="00C97C67">
      <w:pPr>
        <w:pStyle w:val="Paragraphe"/>
        <w:tabs>
          <w:tab w:val="clear" w:pos="4973"/>
          <w:tab w:val="num" w:pos="709"/>
        </w:tabs>
        <w:spacing w:line="240" w:lineRule="auto"/>
        <w:ind w:left="0"/>
        <w:rPr>
          <w:lang w:val="en-CA"/>
        </w:rPr>
      </w:pPr>
      <w:r w:rsidRPr="00E02273">
        <w:rPr>
          <w:lang w:val="en-CA"/>
        </w:rPr>
        <w:t xml:space="preserve">According to the current version of the </w:t>
      </w:r>
      <w:r w:rsidRPr="00E02273">
        <w:rPr>
          <w:i/>
          <w:lang w:val="en-CA"/>
        </w:rPr>
        <w:t>Patent Act</w:t>
      </w:r>
      <w:r w:rsidRPr="00E02273">
        <w:rPr>
          <w:lang w:val="en-CA"/>
        </w:rPr>
        <w:t xml:space="preserve">, it is up to the Board to decide whether such </w:t>
      </w:r>
      <w:r w:rsidR="000F5605">
        <w:rPr>
          <w:lang w:val="en-CA"/>
        </w:rPr>
        <w:t>rational</w:t>
      </w:r>
      <w:r w:rsidR="000F5605" w:rsidRPr="00E02273">
        <w:rPr>
          <w:lang w:val="en-CA"/>
        </w:rPr>
        <w:t xml:space="preserve"> </w:t>
      </w:r>
      <w:r w:rsidRPr="00E02273">
        <w:rPr>
          <w:lang w:val="en-CA"/>
        </w:rPr>
        <w:t xml:space="preserve">connection </w:t>
      </w:r>
      <w:r w:rsidR="002D51A4" w:rsidRPr="00E02273">
        <w:rPr>
          <w:lang w:val="en-CA"/>
        </w:rPr>
        <w:t>exist</w:t>
      </w:r>
      <w:r w:rsidRPr="00E02273">
        <w:rPr>
          <w:lang w:val="en-CA"/>
        </w:rPr>
        <w:t>s in a given case</w:t>
      </w:r>
      <w:r w:rsidR="002D51A4" w:rsidRPr="00E02273">
        <w:rPr>
          <w:lang w:val="en-CA"/>
        </w:rPr>
        <w:t xml:space="preserve">. </w:t>
      </w:r>
      <w:r w:rsidRPr="00E02273">
        <w:rPr>
          <w:lang w:val="en-CA"/>
        </w:rPr>
        <w:t xml:space="preserve">The Board’s </w:t>
      </w:r>
      <w:r w:rsidR="002D51A4" w:rsidRPr="00E02273">
        <w:rPr>
          <w:lang w:val="en-CA"/>
        </w:rPr>
        <w:t>decisions</w:t>
      </w:r>
      <w:r w:rsidRPr="00E02273">
        <w:rPr>
          <w:lang w:val="en-CA"/>
        </w:rPr>
        <w:t xml:space="preserve"> </w:t>
      </w:r>
      <w:r w:rsidR="002D51A4" w:rsidRPr="00E02273">
        <w:rPr>
          <w:lang w:val="en-CA"/>
        </w:rPr>
        <w:t>in</w:t>
      </w:r>
      <w:r w:rsidRPr="00E02273">
        <w:rPr>
          <w:lang w:val="en-CA"/>
        </w:rPr>
        <w:t xml:space="preserve"> </w:t>
      </w:r>
      <w:r w:rsidR="002D51A4" w:rsidRPr="00E02273">
        <w:rPr>
          <w:lang w:val="en-CA"/>
        </w:rPr>
        <w:t>this</w:t>
      </w:r>
      <w:r w:rsidRPr="00E02273">
        <w:rPr>
          <w:lang w:val="en-CA"/>
        </w:rPr>
        <w:t xml:space="preserve"> </w:t>
      </w:r>
      <w:r w:rsidR="002D51A4" w:rsidRPr="00E02273">
        <w:rPr>
          <w:lang w:val="en-CA"/>
        </w:rPr>
        <w:t>respect</w:t>
      </w:r>
      <w:r w:rsidRPr="00E02273">
        <w:rPr>
          <w:lang w:val="en-CA"/>
        </w:rPr>
        <w:t xml:space="preserve"> are subject to judicial review by the </w:t>
      </w:r>
      <w:r w:rsidR="002D51A4" w:rsidRPr="00E02273">
        <w:rPr>
          <w:lang w:val="en-CA"/>
        </w:rPr>
        <w:t>Federal</w:t>
      </w:r>
      <w:r w:rsidR="00AD7F37" w:rsidRPr="00E02273">
        <w:rPr>
          <w:lang w:val="en-CA"/>
        </w:rPr>
        <w:t xml:space="preserve"> </w:t>
      </w:r>
      <w:r w:rsidR="002D51A4" w:rsidRPr="00E02273">
        <w:rPr>
          <w:lang w:val="en-CA"/>
        </w:rPr>
        <w:t>Court</w:t>
      </w:r>
      <w:r w:rsidR="00AD7F37" w:rsidRPr="00E02273">
        <w:rPr>
          <w:lang w:val="en-CA"/>
        </w:rPr>
        <w:t>s</w:t>
      </w:r>
      <w:r w:rsidR="002D51A4" w:rsidRPr="00E02273">
        <w:rPr>
          <w:lang w:val="en-CA"/>
        </w:rPr>
        <w:t xml:space="preserve">, </w:t>
      </w:r>
      <w:r w:rsidR="00AD7F37" w:rsidRPr="00E02273">
        <w:rPr>
          <w:lang w:val="en-CA"/>
        </w:rPr>
        <w:t xml:space="preserve">which fulfill that </w:t>
      </w:r>
      <w:r w:rsidR="002D51A4" w:rsidRPr="00E02273">
        <w:rPr>
          <w:lang w:val="en-CA"/>
        </w:rPr>
        <w:t>mandat</w:t>
      </w:r>
      <w:r w:rsidR="00AD7F37" w:rsidRPr="00E02273">
        <w:rPr>
          <w:lang w:val="en-CA"/>
        </w:rPr>
        <w:t>e.</w:t>
      </w:r>
      <w:r w:rsidR="002D51A4" w:rsidRPr="00E02273">
        <w:rPr>
          <w:rStyle w:val="Appelnotedebasdep"/>
          <w:lang w:val="en-CA"/>
        </w:rPr>
        <w:footnoteReference w:id="180"/>
      </w:r>
      <w:r w:rsidR="002D51A4" w:rsidRPr="00E02273">
        <w:rPr>
          <w:lang w:val="en-CA"/>
        </w:rPr>
        <w:t xml:space="preserve"> </w:t>
      </w:r>
      <w:r w:rsidR="00AD7F37" w:rsidRPr="00E02273">
        <w:rPr>
          <w:lang w:val="en-CA"/>
        </w:rPr>
        <w:t xml:space="preserve">Thus, the appellant </w:t>
      </w:r>
      <w:r w:rsidR="002D51A4" w:rsidRPr="00E02273">
        <w:rPr>
          <w:lang w:val="en-CA"/>
        </w:rPr>
        <w:t>pharmaceutical</w:t>
      </w:r>
      <w:r w:rsidR="00AD7F37" w:rsidRPr="00E02273">
        <w:rPr>
          <w:lang w:val="en-CA"/>
        </w:rPr>
        <w:t xml:space="preserve"> </w:t>
      </w:r>
      <w:r w:rsidR="002D51A4" w:rsidRPr="00E02273">
        <w:rPr>
          <w:lang w:val="en-CA"/>
        </w:rPr>
        <w:t>companies</w:t>
      </w:r>
      <w:r w:rsidR="00AD7F37" w:rsidRPr="00E02273">
        <w:rPr>
          <w:lang w:val="en-CA"/>
        </w:rPr>
        <w:t xml:space="preserve"> have not convinced me that the </w:t>
      </w:r>
      <w:r w:rsidR="002D51A4" w:rsidRPr="00E02273">
        <w:rPr>
          <w:lang w:val="en-CA"/>
        </w:rPr>
        <w:t>provisions</w:t>
      </w:r>
      <w:r w:rsidR="00AD7F37" w:rsidRPr="00E02273">
        <w:rPr>
          <w:lang w:val="en-CA"/>
        </w:rPr>
        <w:t xml:space="preserve"> of the current reg</w:t>
      </w:r>
      <w:r w:rsidR="002D51A4" w:rsidRPr="00E02273">
        <w:rPr>
          <w:lang w:val="en-CA"/>
        </w:rPr>
        <w:t xml:space="preserve">ime </w:t>
      </w:r>
      <w:r w:rsidR="00AD7F37" w:rsidRPr="00E02273">
        <w:rPr>
          <w:lang w:val="en-CA"/>
        </w:rPr>
        <w:t xml:space="preserve">or of the </w:t>
      </w:r>
      <w:r w:rsidR="00866E58" w:rsidRPr="00E02273">
        <w:rPr>
          <w:i/>
          <w:lang w:val="en-CA"/>
        </w:rPr>
        <w:t>2019 Regulatory Amendments</w:t>
      </w:r>
      <w:r w:rsidR="002D51A4" w:rsidRPr="00E02273">
        <w:rPr>
          <w:lang w:val="en-CA"/>
        </w:rPr>
        <w:t xml:space="preserve"> </w:t>
      </w:r>
      <w:r w:rsidR="00AD7F37" w:rsidRPr="00E02273">
        <w:rPr>
          <w:lang w:val="en-CA"/>
        </w:rPr>
        <w:t xml:space="preserve">are in </w:t>
      </w:r>
      <w:r w:rsidR="002D51A4" w:rsidRPr="00E02273">
        <w:rPr>
          <w:lang w:val="en-CA"/>
        </w:rPr>
        <w:t xml:space="preserve">part </w:t>
      </w:r>
      <w:r w:rsidR="00AD7F37" w:rsidRPr="00E02273">
        <w:rPr>
          <w:lang w:val="en-CA"/>
        </w:rPr>
        <w:t>un</w:t>
      </w:r>
      <w:r w:rsidR="002D51A4" w:rsidRPr="00E02273">
        <w:rPr>
          <w:lang w:val="en-CA"/>
        </w:rPr>
        <w:t>constitution</w:t>
      </w:r>
      <w:r w:rsidR="00AD7F37" w:rsidRPr="00E02273">
        <w:rPr>
          <w:lang w:val="en-CA"/>
        </w:rPr>
        <w:t>a</w:t>
      </w:r>
      <w:r w:rsidR="002D51A4" w:rsidRPr="00E02273">
        <w:rPr>
          <w:lang w:val="en-CA"/>
        </w:rPr>
        <w:t>l</w:t>
      </w:r>
      <w:r w:rsidR="00AD7F37" w:rsidRPr="00E02273">
        <w:rPr>
          <w:lang w:val="en-CA"/>
        </w:rPr>
        <w:t xml:space="preserve"> on the </w:t>
      </w:r>
      <w:r w:rsidR="002D51A4" w:rsidRPr="00E02273">
        <w:rPr>
          <w:lang w:val="en-CA"/>
        </w:rPr>
        <w:t>ground</w:t>
      </w:r>
      <w:r w:rsidR="00AD7F37" w:rsidRPr="00E02273">
        <w:rPr>
          <w:lang w:val="en-CA"/>
        </w:rPr>
        <w:t xml:space="preserve"> that they concern </w:t>
      </w:r>
      <w:r w:rsidR="00857A16">
        <w:rPr>
          <w:lang w:val="en-CA"/>
        </w:rPr>
        <w:t xml:space="preserve">non-patented </w:t>
      </w:r>
      <w:r w:rsidR="00AD7F37" w:rsidRPr="00E02273">
        <w:rPr>
          <w:lang w:val="en-CA"/>
        </w:rPr>
        <w:t>medicines</w:t>
      </w:r>
      <w:r w:rsidR="002D51A4" w:rsidRPr="00E02273">
        <w:rPr>
          <w:lang w:val="en-CA"/>
        </w:rPr>
        <w:t xml:space="preserve">. </w:t>
      </w:r>
    </w:p>
    <w:p w14:paraId="50E55554" w14:textId="42C3EF0B" w:rsidR="00B568AD" w:rsidRPr="001A349A" w:rsidRDefault="00AD7F37" w:rsidP="00B568AD">
      <w:pPr>
        <w:pStyle w:val="Paragraphe"/>
        <w:numPr>
          <w:ilvl w:val="0"/>
          <w:numId w:val="36"/>
        </w:numPr>
        <w:spacing w:line="240" w:lineRule="auto"/>
        <w:rPr>
          <w:u w:val="single"/>
          <w:lang w:val="en-CA"/>
        </w:rPr>
      </w:pPr>
      <w:r w:rsidRPr="001A349A">
        <w:rPr>
          <w:u w:val="single"/>
          <w:lang w:val="en-CA"/>
        </w:rPr>
        <w:t>F</w:t>
      </w:r>
      <w:r w:rsidR="002D51A4" w:rsidRPr="001A349A">
        <w:rPr>
          <w:u w:val="single"/>
          <w:lang w:val="en-CA"/>
        </w:rPr>
        <w:t>ederal</w:t>
      </w:r>
      <w:r w:rsidRPr="001A349A">
        <w:rPr>
          <w:u w:val="single"/>
          <w:lang w:val="en-CA"/>
        </w:rPr>
        <w:t xml:space="preserve"> </w:t>
      </w:r>
      <w:r w:rsidR="002D51A4" w:rsidRPr="001A349A">
        <w:rPr>
          <w:u w:val="single"/>
          <w:lang w:val="en-CA"/>
        </w:rPr>
        <w:t>jurisdiction</w:t>
      </w:r>
      <w:r w:rsidRPr="001A349A">
        <w:rPr>
          <w:u w:val="single"/>
          <w:lang w:val="en-CA"/>
        </w:rPr>
        <w:t xml:space="preserve"> over the price of patented medicines does not extend </w:t>
      </w:r>
      <w:r w:rsidR="001A349A">
        <w:rPr>
          <w:u w:val="single"/>
          <w:lang w:val="en-CA"/>
        </w:rPr>
        <w:t>beyond</w:t>
      </w:r>
      <w:r w:rsidRPr="001A349A">
        <w:rPr>
          <w:u w:val="single"/>
          <w:lang w:val="en-CA"/>
        </w:rPr>
        <w:t xml:space="preserve"> the ex-factory price</w:t>
      </w:r>
    </w:p>
    <w:p w14:paraId="09075508" w14:textId="60EA2F92" w:rsidR="00B568AD" w:rsidRPr="00E02273" w:rsidRDefault="00695DDE" w:rsidP="00C97C67">
      <w:pPr>
        <w:pStyle w:val="Paragraphe"/>
        <w:tabs>
          <w:tab w:val="clear" w:pos="4973"/>
          <w:tab w:val="num" w:pos="709"/>
        </w:tabs>
        <w:spacing w:line="240" w:lineRule="auto"/>
        <w:ind w:left="0"/>
        <w:rPr>
          <w:lang w:val="en-CA"/>
        </w:rPr>
      </w:pPr>
      <w:r w:rsidRPr="00E02273">
        <w:rPr>
          <w:lang w:val="en-CA"/>
        </w:rPr>
        <w:t>F</w:t>
      </w:r>
      <w:r w:rsidR="002D51A4" w:rsidRPr="00E02273">
        <w:rPr>
          <w:lang w:val="en-CA"/>
        </w:rPr>
        <w:t>ederal</w:t>
      </w:r>
      <w:r w:rsidRPr="00E02273">
        <w:rPr>
          <w:lang w:val="en-CA"/>
        </w:rPr>
        <w:t xml:space="preserve"> </w:t>
      </w:r>
      <w:r w:rsidR="002D51A4" w:rsidRPr="00E02273">
        <w:rPr>
          <w:lang w:val="en-CA"/>
        </w:rPr>
        <w:t>jurisdiction</w:t>
      </w:r>
      <w:r w:rsidRPr="00E02273">
        <w:rPr>
          <w:lang w:val="en-CA"/>
        </w:rPr>
        <w:t xml:space="preserve"> cannot extend beyond the ex-factory price, that is, the selling price of a medicine fixed by the patentee for a client to whom the patentee sells </w:t>
      </w:r>
      <w:r w:rsidR="002D51A4" w:rsidRPr="00E02273">
        <w:rPr>
          <w:lang w:val="en-CA"/>
        </w:rPr>
        <w:t>direct</w:t>
      </w:r>
      <w:r w:rsidRPr="00E02273">
        <w:rPr>
          <w:lang w:val="en-CA"/>
        </w:rPr>
        <w:t xml:space="preserve">ly, which excludes the subsequent resale price of the medicine, such as the sale by a </w:t>
      </w:r>
      <w:r w:rsidR="002D51A4" w:rsidRPr="00E02273">
        <w:rPr>
          <w:lang w:val="en-CA"/>
        </w:rPr>
        <w:t>pharmaci</w:t>
      </w:r>
      <w:r w:rsidRPr="00E02273">
        <w:rPr>
          <w:lang w:val="en-CA"/>
        </w:rPr>
        <w:t xml:space="preserve">st to a </w:t>
      </w:r>
      <w:r w:rsidR="002D51A4" w:rsidRPr="00E02273">
        <w:rPr>
          <w:lang w:val="en-CA"/>
        </w:rPr>
        <w:t xml:space="preserve">patient. </w:t>
      </w:r>
      <w:r w:rsidR="003A2C9B" w:rsidRPr="00E02273">
        <w:rPr>
          <w:lang w:val="en-CA"/>
        </w:rPr>
        <w:t>O</w:t>
      </w:r>
      <w:r w:rsidR="002D51A4" w:rsidRPr="00E02273">
        <w:rPr>
          <w:lang w:val="en-CA"/>
        </w:rPr>
        <w:t>therwise,</w:t>
      </w:r>
      <w:r w:rsidR="003A2C9B" w:rsidRPr="00E02273">
        <w:rPr>
          <w:lang w:val="en-CA"/>
        </w:rPr>
        <w:t xml:space="preserve"> the federal </w:t>
      </w:r>
      <w:r w:rsidR="002D51A4" w:rsidRPr="00E02273">
        <w:rPr>
          <w:lang w:val="en-CA"/>
        </w:rPr>
        <w:t>government</w:t>
      </w:r>
      <w:r w:rsidR="003A2C9B" w:rsidRPr="00E02273">
        <w:rPr>
          <w:lang w:val="en-CA"/>
        </w:rPr>
        <w:t xml:space="preserve"> would no longer be regulating within its </w:t>
      </w:r>
      <w:r w:rsidR="002D51A4" w:rsidRPr="00E02273">
        <w:rPr>
          <w:lang w:val="en-CA"/>
        </w:rPr>
        <w:t>jurisdiction</w:t>
      </w:r>
      <w:r w:rsidR="003A2C9B" w:rsidRPr="00E02273">
        <w:rPr>
          <w:lang w:val="en-CA"/>
        </w:rPr>
        <w:t xml:space="preserve"> over patents, </w:t>
      </w:r>
      <w:r w:rsidR="001A349A">
        <w:rPr>
          <w:lang w:val="en-CA"/>
        </w:rPr>
        <w:t xml:space="preserve">but would instead be regulating </w:t>
      </w:r>
      <w:r w:rsidR="002D51A4" w:rsidRPr="00E02273">
        <w:rPr>
          <w:lang w:val="en-CA"/>
        </w:rPr>
        <w:t>secondar</w:t>
      </w:r>
      <w:r w:rsidR="003A2C9B" w:rsidRPr="00E02273">
        <w:rPr>
          <w:lang w:val="en-CA"/>
        </w:rPr>
        <w:t xml:space="preserve">y sales, thereby encroaching on the </w:t>
      </w:r>
      <w:r w:rsidR="002D51A4" w:rsidRPr="00E02273">
        <w:rPr>
          <w:lang w:val="en-CA"/>
        </w:rPr>
        <w:t>provincial</w:t>
      </w:r>
      <w:r w:rsidR="003A2C9B" w:rsidRPr="00E02273">
        <w:rPr>
          <w:lang w:val="en-CA"/>
        </w:rPr>
        <w:t xml:space="preserve"> </w:t>
      </w:r>
      <w:r w:rsidR="002D51A4" w:rsidRPr="00E02273">
        <w:rPr>
          <w:lang w:val="en-CA"/>
        </w:rPr>
        <w:t>jurisdiction</w:t>
      </w:r>
      <w:r w:rsidR="003A2C9B" w:rsidRPr="00E02273">
        <w:rPr>
          <w:lang w:val="en-CA"/>
        </w:rPr>
        <w:t xml:space="preserve"> over property and </w:t>
      </w:r>
      <w:r w:rsidR="002D51A4" w:rsidRPr="00E02273">
        <w:rPr>
          <w:lang w:val="en-CA"/>
        </w:rPr>
        <w:t>civil</w:t>
      </w:r>
      <w:r w:rsidR="003A2C9B" w:rsidRPr="00E02273">
        <w:rPr>
          <w:lang w:val="en-CA"/>
        </w:rPr>
        <w:t xml:space="preserve"> </w:t>
      </w:r>
      <w:r w:rsidR="002D51A4" w:rsidRPr="00E02273">
        <w:rPr>
          <w:lang w:val="en-CA"/>
        </w:rPr>
        <w:t>rights,</w:t>
      </w:r>
      <w:r w:rsidR="001A4A72" w:rsidRPr="00E02273">
        <w:rPr>
          <w:lang w:val="en-CA"/>
        </w:rPr>
        <w:t xml:space="preserve"> </w:t>
      </w:r>
      <w:r w:rsidR="00D27F38">
        <w:rPr>
          <w:lang w:val="en-CA"/>
        </w:rPr>
        <w:t xml:space="preserve">which includes jurisdiction over </w:t>
      </w:r>
      <w:r w:rsidR="001A4A72" w:rsidRPr="00E02273">
        <w:rPr>
          <w:lang w:val="en-CA"/>
        </w:rPr>
        <w:t xml:space="preserve">commercial contracts, marketing, and the sale of </w:t>
      </w:r>
      <w:r w:rsidR="00D27F38">
        <w:rPr>
          <w:lang w:val="en-CA"/>
        </w:rPr>
        <w:t xml:space="preserve">patented or non-patented </w:t>
      </w:r>
      <w:r w:rsidR="001A4A72" w:rsidRPr="00E02273">
        <w:rPr>
          <w:lang w:val="en-CA"/>
        </w:rPr>
        <w:t>medicines.</w:t>
      </w:r>
      <w:r w:rsidR="002D51A4" w:rsidRPr="00E02273">
        <w:rPr>
          <w:rStyle w:val="Appelnotedebasdep"/>
          <w:lang w:val="en-CA"/>
        </w:rPr>
        <w:footnoteReference w:id="181"/>
      </w:r>
      <w:r w:rsidR="002D51A4" w:rsidRPr="00E02273">
        <w:rPr>
          <w:lang w:val="en-CA"/>
        </w:rPr>
        <w:t xml:space="preserve"> </w:t>
      </w:r>
    </w:p>
    <w:p w14:paraId="7955BB64" w14:textId="5D03D34F" w:rsidR="00B568AD" w:rsidRPr="00E02273" w:rsidRDefault="00C25255" w:rsidP="00C97C67">
      <w:pPr>
        <w:pStyle w:val="Paragraphe"/>
        <w:tabs>
          <w:tab w:val="clear" w:pos="4973"/>
          <w:tab w:val="num" w:pos="709"/>
        </w:tabs>
        <w:spacing w:line="240" w:lineRule="auto"/>
        <w:ind w:left="0"/>
        <w:rPr>
          <w:lang w:val="en-CA"/>
        </w:rPr>
      </w:pPr>
      <w:r>
        <w:rPr>
          <w:lang w:val="en-CA"/>
        </w:rPr>
        <w:lastRenderedPageBreak/>
        <w:t>In fact, t</w:t>
      </w:r>
      <w:r w:rsidR="0064697D" w:rsidRPr="00E02273">
        <w:rPr>
          <w:lang w:val="en-CA"/>
        </w:rPr>
        <w:t xml:space="preserve">his </w:t>
      </w:r>
      <w:r w:rsidR="002D51A4" w:rsidRPr="00E02273">
        <w:rPr>
          <w:lang w:val="en-CA"/>
        </w:rPr>
        <w:t>constitution</w:t>
      </w:r>
      <w:r w:rsidR="0064697D" w:rsidRPr="00E02273">
        <w:rPr>
          <w:lang w:val="en-CA"/>
        </w:rPr>
        <w:t>a</w:t>
      </w:r>
      <w:r w:rsidR="002D51A4" w:rsidRPr="00E02273">
        <w:rPr>
          <w:lang w:val="en-CA"/>
        </w:rPr>
        <w:t>l</w:t>
      </w:r>
      <w:r w:rsidR="0064697D" w:rsidRPr="00E02273">
        <w:rPr>
          <w:lang w:val="en-CA"/>
        </w:rPr>
        <w:t xml:space="preserve"> limit emerges from the very wording of the </w:t>
      </w:r>
      <w:r w:rsidR="0064697D" w:rsidRPr="00E02273">
        <w:rPr>
          <w:i/>
          <w:lang w:val="en-CA"/>
        </w:rPr>
        <w:t xml:space="preserve">Patent Act </w:t>
      </w:r>
      <w:r w:rsidR="0064697D" w:rsidRPr="00E02273">
        <w:rPr>
          <w:lang w:val="en-CA"/>
        </w:rPr>
        <w:t xml:space="preserve">because subsection </w:t>
      </w:r>
      <w:r w:rsidR="002D51A4" w:rsidRPr="00E02273">
        <w:rPr>
          <w:lang w:val="en-CA"/>
        </w:rPr>
        <w:t xml:space="preserve">83(1) </w:t>
      </w:r>
      <w:r w:rsidR="0064697D" w:rsidRPr="00E02273">
        <w:rPr>
          <w:lang w:val="en-CA"/>
        </w:rPr>
        <w:t xml:space="preserve">limits the Board’s </w:t>
      </w:r>
      <w:r w:rsidR="002D51A4" w:rsidRPr="00E02273">
        <w:rPr>
          <w:lang w:val="en-CA"/>
        </w:rPr>
        <w:t>jurisdiction</w:t>
      </w:r>
      <w:r w:rsidR="0064697D" w:rsidRPr="00E02273">
        <w:rPr>
          <w:lang w:val="en-CA"/>
        </w:rPr>
        <w:t xml:space="preserve"> to </w:t>
      </w:r>
      <w:r w:rsidR="002D51A4" w:rsidRPr="00E02273">
        <w:rPr>
          <w:lang w:val="en-CA"/>
        </w:rPr>
        <w:t>circumstances</w:t>
      </w:r>
      <w:r w:rsidR="0064697D" w:rsidRPr="00E02273">
        <w:rPr>
          <w:lang w:val="en-CA"/>
        </w:rPr>
        <w:t xml:space="preserve"> where</w:t>
      </w:r>
      <w:r w:rsidR="006F3312" w:rsidRPr="00E02273">
        <w:rPr>
          <w:lang w:val="en-CA"/>
        </w:rPr>
        <w:t xml:space="preserve"> “a rights holder for an invention pertaining to a medicine is selling the medicine in any market in Canada”</w:t>
      </w:r>
      <w:r w:rsidR="002D51A4" w:rsidRPr="00E02273">
        <w:rPr>
          <w:lang w:val="en-CA"/>
        </w:rPr>
        <w:t xml:space="preserve">. </w:t>
      </w:r>
      <w:r w:rsidR="00DB1F43" w:rsidRPr="00E02273">
        <w:rPr>
          <w:lang w:val="en-CA"/>
        </w:rPr>
        <w:t xml:space="preserve">This limit on the ex-factory price also appears in subparagraph </w:t>
      </w:r>
      <w:r w:rsidR="002D51A4" w:rsidRPr="00E02273">
        <w:rPr>
          <w:lang w:val="en-CA"/>
        </w:rPr>
        <w:t>4(1)</w:t>
      </w:r>
      <w:r w:rsidR="00DB1F43" w:rsidRPr="00E02273">
        <w:rPr>
          <w:lang w:val="en-CA"/>
        </w:rPr>
        <w:t>(</w:t>
      </w:r>
      <w:r w:rsidR="002D51A4" w:rsidRPr="00E02273">
        <w:rPr>
          <w:lang w:val="en-CA"/>
        </w:rPr>
        <w:t>f)(i)</w:t>
      </w:r>
      <w:r w:rsidR="00DB1F43" w:rsidRPr="00E02273">
        <w:rPr>
          <w:lang w:val="en-CA"/>
        </w:rPr>
        <w:t xml:space="preserve"> of the current version of the </w:t>
      </w:r>
      <w:r w:rsidR="00DB1F43" w:rsidRPr="00E02273">
        <w:rPr>
          <w:i/>
          <w:lang w:val="en-CA"/>
        </w:rPr>
        <w:t>Patented Medicines Regulations</w:t>
      </w:r>
      <w:r w:rsidR="00DB1F43" w:rsidRPr="00E02273">
        <w:rPr>
          <w:lang w:val="en-CA"/>
        </w:rPr>
        <w:t xml:space="preserve">, which requires information on the quantity of the medicine sold and the </w:t>
      </w:r>
      <w:r w:rsidR="00B45A05" w:rsidRPr="00E02273">
        <w:rPr>
          <w:lang w:val="en-CA"/>
        </w:rPr>
        <w:t>price at which “the medicine was sold by the rights holder or former rights holder”</w:t>
      </w:r>
      <w:r w:rsidR="002D51A4" w:rsidRPr="00E02273">
        <w:rPr>
          <w:lang w:val="en-CA"/>
        </w:rPr>
        <w:t xml:space="preserve">. </w:t>
      </w:r>
    </w:p>
    <w:p w14:paraId="6902E0F7" w14:textId="18E6288E" w:rsidR="00B568AD" w:rsidRPr="00E02273" w:rsidRDefault="00AF5217" w:rsidP="00C97C67">
      <w:pPr>
        <w:pStyle w:val="Paragraphe"/>
        <w:tabs>
          <w:tab w:val="clear" w:pos="4973"/>
          <w:tab w:val="num" w:pos="709"/>
        </w:tabs>
        <w:spacing w:line="240" w:lineRule="auto"/>
        <w:ind w:left="0"/>
        <w:rPr>
          <w:lang w:val="en-CA"/>
        </w:rPr>
      </w:pPr>
      <w:r w:rsidRPr="00E02273">
        <w:rPr>
          <w:lang w:val="en-CA"/>
        </w:rPr>
        <w:t xml:space="preserve">These statutory limits reflect the </w:t>
      </w:r>
      <w:r w:rsidR="002D51A4" w:rsidRPr="00E02273">
        <w:rPr>
          <w:lang w:val="en-CA"/>
        </w:rPr>
        <w:t>constitution</w:t>
      </w:r>
      <w:r w:rsidRPr="00E02273">
        <w:rPr>
          <w:lang w:val="en-CA"/>
        </w:rPr>
        <w:t xml:space="preserve">al constraints of the </w:t>
      </w:r>
      <w:r w:rsidR="002D51A4" w:rsidRPr="00E02273">
        <w:rPr>
          <w:lang w:val="en-CA"/>
        </w:rPr>
        <w:t>federal</w:t>
      </w:r>
      <w:r w:rsidRPr="00E02273">
        <w:rPr>
          <w:lang w:val="en-CA"/>
        </w:rPr>
        <w:t xml:space="preserve"> </w:t>
      </w:r>
      <w:r w:rsidR="002D51A4" w:rsidRPr="00E02273">
        <w:rPr>
          <w:lang w:val="en-CA"/>
        </w:rPr>
        <w:t>jurisdiction,</w:t>
      </w:r>
      <w:r w:rsidRPr="00E02273">
        <w:rPr>
          <w:lang w:val="en-CA"/>
        </w:rPr>
        <w:t xml:space="preserve"> as</w:t>
      </w:r>
      <w:r w:rsidR="007D1830" w:rsidRPr="00E02273">
        <w:rPr>
          <w:lang w:val="en-CA"/>
        </w:rPr>
        <w:t xml:space="preserve"> </w:t>
      </w:r>
      <w:r w:rsidR="002D51A4" w:rsidRPr="00E02273">
        <w:rPr>
          <w:lang w:val="en-CA"/>
        </w:rPr>
        <w:t>McTavish</w:t>
      </w:r>
      <w:r w:rsidR="007D1830" w:rsidRPr="00E02273">
        <w:rPr>
          <w:lang w:val="en-CA"/>
        </w:rPr>
        <w:t xml:space="preserve"> J.</w:t>
      </w:r>
      <w:r w:rsidR="002D51A4" w:rsidRPr="00E02273">
        <w:rPr>
          <w:lang w:val="en-CA"/>
        </w:rPr>
        <w:t>,</w:t>
      </w:r>
      <w:r w:rsidR="007D1830" w:rsidRPr="00E02273">
        <w:rPr>
          <w:lang w:val="en-CA"/>
        </w:rPr>
        <w:t xml:space="preserve"> then of the </w:t>
      </w:r>
      <w:r w:rsidR="002D51A4" w:rsidRPr="00E02273">
        <w:rPr>
          <w:lang w:val="en-CA"/>
        </w:rPr>
        <w:t>Federal</w:t>
      </w:r>
      <w:r w:rsidR="007D1830" w:rsidRPr="00E02273">
        <w:rPr>
          <w:lang w:val="en-CA"/>
        </w:rPr>
        <w:t xml:space="preserve"> </w:t>
      </w:r>
      <w:r w:rsidR="002D51A4" w:rsidRPr="00E02273">
        <w:rPr>
          <w:lang w:val="en-CA"/>
        </w:rPr>
        <w:t>Court,</w:t>
      </w:r>
      <w:r w:rsidR="007D1830" w:rsidRPr="00E02273">
        <w:rPr>
          <w:lang w:val="en-CA"/>
        </w:rPr>
        <w:t xml:space="preserve"> in fact concluded in </w:t>
      </w:r>
      <w:r w:rsidR="002D51A4" w:rsidRPr="00E02273">
        <w:rPr>
          <w:i/>
          <w:lang w:val="en-CA"/>
        </w:rPr>
        <w:t>Pfizer Canada</w:t>
      </w:r>
      <w:r w:rsidR="007D1830" w:rsidRPr="00E02273">
        <w:rPr>
          <w:lang w:val="en-CA"/>
        </w:rPr>
        <w:t>, rendered in</w:t>
      </w:r>
      <w:r w:rsidR="002D51A4" w:rsidRPr="00E02273">
        <w:rPr>
          <w:lang w:val="en-CA"/>
        </w:rPr>
        <w:t xml:space="preserve"> 2019</w:t>
      </w:r>
      <w:r w:rsidR="007D1830" w:rsidRPr="00E02273">
        <w:rPr>
          <w:lang w:val="en-CA"/>
        </w:rPr>
        <w:t>:</w:t>
      </w:r>
      <w:r w:rsidR="002D51A4" w:rsidRPr="00E02273">
        <w:rPr>
          <w:rStyle w:val="Appelnotedebasdep"/>
          <w:lang w:val="en-CA"/>
        </w:rPr>
        <w:footnoteReference w:id="182"/>
      </w:r>
      <w:r w:rsidR="002D51A4" w:rsidRPr="00E02273">
        <w:rPr>
          <w:lang w:val="en-CA"/>
        </w:rPr>
        <w:t xml:space="preserve">  </w:t>
      </w:r>
    </w:p>
    <w:p w14:paraId="2E7D4477" w14:textId="2915D0BA" w:rsidR="00B568AD" w:rsidRPr="00E02273" w:rsidRDefault="002D51A4" w:rsidP="00B568AD">
      <w:pPr>
        <w:pStyle w:val="Citationenretrait"/>
        <w:spacing w:line="240" w:lineRule="auto"/>
        <w:rPr>
          <w:lang w:val="en-CA"/>
        </w:rPr>
      </w:pPr>
      <w:r w:rsidRPr="00E02273">
        <w:rPr>
          <w:lang w:val="en-CA"/>
        </w:rPr>
        <w:t>[</w:t>
      </w:r>
      <w:bookmarkStart w:id="55" w:name="par61"/>
      <w:r w:rsidRPr="00E02273">
        <w:rPr>
          <w:lang w:val="en-CA"/>
        </w:rPr>
        <w:t>61</w:t>
      </w:r>
      <w:bookmarkEnd w:id="55"/>
      <w:r w:rsidRPr="00E02273">
        <w:rPr>
          <w:lang w:val="en-CA"/>
        </w:rPr>
        <w:t>]</w:t>
      </w:r>
      <w:r w:rsidRPr="00E02273">
        <w:rPr>
          <w:sz w:val="14"/>
          <w:szCs w:val="14"/>
          <w:lang w:val="en-CA"/>
        </w:rPr>
        <w:tab/>
      </w:r>
      <w:r w:rsidR="006444B4" w:rsidRPr="00E02273">
        <w:rPr>
          <w:rFonts w:cs="Arial"/>
          <w:color w:val="000000"/>
          <w:spacing w:val="-3"/>
          <w:lang w:val="en-CA"/>
        </w:rPr>
        <w:t>Similarly, during the legislative process leading up to the 1993 amendments to the </w:t>
      </w:r>
      <w:r w:rsidR="006444B4" w:rsidRPr="00E02273">
        <w:rPr>
          <w:rFonts w:cs="Arial"/>
          <w:i/>
          <w:iCs/>
          <w:color w:val="000000"/>
          <w:spacing w:val="-3"/>
          <w:lang w:val="en-CA"/>
        </w:rPr>
        <w:t>Patent Act</w:t>
      </w:r>
      <w:r w:rsidR="006444B4" w:rsidRPr="00E02273">
        <w:rPr>
          <w:rFonts w:cs="Arial"/>
          <w:color w:val="000000"/>
          <w:spacing w:val="-3"/>
          <w:lang w:val="en-CA"/>
        </w:rPr>
        <w:t xml:space="preserve">, Barbara Sparrow, the Parliamentary Secretary to the Minister of Health and National Welfare, noted that </w:t>
      </w:r>
      <w:r w:rsidR="006444B4" w:rsidRPr="00E02273">
        <w:rPr>
          <w:rFonts w:cs="Arial"/>
          <w:color w:val="000000"/>
          <w:spacing w:val="-3"/>
          <w:u w:val="single"/>
          <w:lang w:val="en-CA"/>
        </w:rPr>
        <w:t>federal jurisdiction was confined to the regulation of the “factory-gate” prices of patented medicines. It was the provinces that had jurisdiction over retail prices and dispensing fees for patented medicines</w:t>
      </w:r>
      <w:r w:rsidR="006444B4" w:rsidRPr="00E02273">
        <w:rPr>
          <w:rFonts w:cs="Arial"/>
          <w:color w:val="000000"/>
          <w:spacing w:val="-3"/>
          <w:lang w:val="en-CA"/>
        </w:rPr>
        <w:t>.</w:t>
      </w:r>
    </w:p>
    <w:p w14:paraId="16B84FD1" w14:textId="4B0EBB51" w:rsidR="00B568AD" w:rsidRPr="00E02273" w:rsidRDefault="002D51A4" w:rsidP="00B568AD">
      <w:pPr>
        <w:pStyle w:val="Citationenretrait"/>
        <w:spacing w:line="240" w:lineRule="auto"/>
        <w:rPr>
          <w:lang w:val="en-CA"/>
        </w:rPr>
      </w:pPr>
      <w:r w:rsidRPr="00E02273">
        <w:rPr>
          <w:lang w:val="en-CA"/>
        </w:rPr>
        <w:t>[</w:t>
      </w:r>
      <w:bookmarkStart w:id="56" w:name="par62"/>
      <w:r w:rsidRPr="00E02273">
        <w:rPr>
          <w:lang w:val="en-CA"/>
        </w:rPr>
        <w:t>62</w:t>
      </w:r>
      <w:bookmarkEnd w:id="56"/>
      <w:r w:rsidRPr="00E02273">
        <w:rPr>
          <w:lang w:val="en-CA"/>
        </w:rPr>
        <w:t>]</w:t>
      </w:r>
      <w:r w:rsidRPr="00E02273">
        <w:rPr>
          <w:sz w:val="14"/>
          <w:szCs w:val="14"/>
          <w:lang w:val="en-CA"/>
        </w:rPr>
        <w:tab/>
      </w:r>
      <w:r w:rsidR="006444B4" w:rsidRPr="00E02273">
        <w:rPr>
          <w:color w:val="000000"/>
          <w:spacing w:val="-3"/>
          <w:sz w:val="14"/>
          <w:szCs w:val="14"/>
          <w:lang w:val="en-CA"/>
        </w:rPr>
        <w:t> </w:t>
      </w:r>
      <w:r w:rsidR="006444B4" w:rsidRPr="00E02273">
        <w:rPr>
          <w:rFonts w:cs="Arial"/>
          <w:color w:val="000000"/>
          <w:spacing w:val="-3"/>
          <w:lang w:val="en-CA"/>
        </w:rPr>
        <w:t>The term “factory-gate” appears to be one that is generally understood in the industry to refer to the transaction between the patentee and the first purchaser of the patented medicine in question. As was noted earlier, this first purchaser is most commonly a wholesaler.</w:t>
      </w:r>
    </w:p>
    <w:p w14:paraId="37DABC73" w14:textId="60AF82E6" w:rsidR="00B568AD" w:rsidRPr="00E02273" w:rsidRDefault="002D51A4" w:rsidP="00B568AD">
      <w:pPr>
        <w:pStyle w:val="Citationenretrait"/>
        <w:spacing w:line="240" w:lineRule="auto"/>
        <w:rPr>
          <w:rFonts w:cs="Arial"/>
          <w:lang w:val="en-CA"/>
        </w:rPr>
      </w:pPr>
      <w:r w:rsidRPr="00E02273">
        <w:rPr>
          <w:lang w:val="en-CA"/>
        </w:rPr>
        <w:t>[</w:t>
      </w:r>
      <w:bookmarkStart w:id="57" w:name="par63"/>
      <w:r w:rsidRPr="00E02273">
        <w:rPr>
          <w:lang w:val="en-CA"/>
        </w:rPr>
        <w:t>63</w:t>
      </w:r>
      <w:bookmarkEnd w:id="57"/>
      <w:r w:rsidRPr="00E02273">
        <w:rPr>
          <w:lang w:val="en-CA"/>
        </w:rPr>
        <w:t>]</w:t>
      </w:r>
      <w:r w:rsidRPr="00E02273">
        <w:rPr>
          <w:lang w:val="en-CA"/>
        </w:rPr>
        <w:tab/>
      </w:r>
      <w:r w:rsidR="003A3333" w:rsidRPr="00E02273">
        <w:rPr>
          <w:rFonts w:cs="Arial"/>
          <w:color w:val="000000"/>
          <w:spacing w:val="-3"/>
          <w:lang w:val="en-CA"/>
        </w:rPr>
        <w:t>The Board itself understands that its jurisdiction is limited to the regulation of the factory-gate prices for patented medicines, and that it has no jurisdiction over prices subsequently charged by wholesalers and retailers. The Board also recognizes that it has no jurisdiction over matters such as whether the costs of patented medicines are covered by public drug plans: see the affidavit of Barbara Ouellet, the Board’s Executive Director, at paras. 4 and 5.</w:t>
      </w:r>
    </w:p>
    <w:p w14:paraId="5D7C521B" w14:textId="3525E131" w:rsidR="00B568AD" w:rsidRPr="00E02273" w:rsidRDefault="002D51A4" w:rsidP="00B568AD">
      <w:pPr>
        <w:pStyle w:val="Paragraphe"/>
        <w:numPr>
          <w:ilvl w:val="0"/>
          <w:numId w:val="0"/>
        </w:numPr>
        <w:spacing w:line="240" w:lineRule="auto"/>
        <w:rPr>
          <w:lang w:val="en-CA"/>
        </w:rPr>
      </w:pPr>
      <w:r w:rsidRPr="00E02273">
        <w:rPr>
          <w:lang w:val="en-CA"/>
        </w:rPr>
        <w:tab/>
        <w:t>…</w:t>
      </w:r>
    </w:p>
    <w:p w14:paraId="0566B6D8" w14:textId="2BBC6593" w:rsidR="00B568AD" w:rsidRPr="00E02273" w:rsidRDefault="002D51A4" w:rsidP="00B568AD">
      <w:pPr>
        <w:pStyle w:val="Citationenretrait"/>
        <w:spacing w:line="240" w:lineRule="auto"/>
        <w:rPr>
          <w:u w:val="single"/>
          <w:lang w:val="en-CA" w:eastAsia="fr-CA"/>
        </w:rPr>
      </w:pPr>
      <w:r w:rsidRPr="00E02273">
        <w:rPr>
          <w:lang w:val="en-CA" w:eastAsia="fr-CA"/>
        </w:rPr>
        <w:t>[</w:t>
      </w:r>
      <w:bookmarkStart w:id="58" w:name="par83"/>
      <w:r w:rsidRPr="00E02273">
        <w:rPr>
          <w:lang w:val="en-CA" w:eastAsia="fr-CA"/>
        </w:rPr>
        <w:t>83</w:t>
      </w:r>
      <w:bookmarkEnd w:id="58"/>
      <w:r w:rsidRPr="00E02273">
        <w:rPr>
          <w:lang w:val="en-CA" w:eastAsia="fr-CA"/>
        </w:rPr>
        <w:t>]</w:t>
      </w:r>
      <w:r w:rsidRPr="00E02273">
        <w:rPr>
          <w:sz w:val="14"/>
          <w:szCs w:val="14"/>
          <w:lang w:val="en-CA" w:eastAsia="fr-CA"/>
        </w:rPr>
        <w:tab/>
      </w:r>
      <w:r w:rsidR="003A3333" w:rsidRPr="00E02273">
        <w:rPr>
          <w:color w:val="000000"/>
          <w:kern w:val="0"/>
          <w:sz w:val="14"/>
          <w:szCs w:val="14"/>
          <w:lang w:val="en-CA"/>
        </w:rPr>
        <w:t> </w:t>
      </w:r>
      <w:r w:rsidR="003A3333" w:rsidRPr="00E02273">
        <w:rPr>
          <w:rFonts w:cs="Arial"/>
          <w:color w:val="000000"/>
          <w:kern w:val="0"/>
          <w:lang w:val="en-CA"/>
        </w:rPr>
        <w:t>I would also observe that my interpretation of the </w:t>
      </w:r>
      <w:r w:rsidR="003A3333" w:rsidRPr="00E02273">
        <w:rPr>
          <w:rFonts w:cs="Arial"/>
          <w:i/>
          <w:iCs/>
          <w:kern w:val="0"/>
          <w:lang w:val="en-CA"/>
        </w:rPr>
        <w:t>Patent Act</w:t>
      </w:r>
      <w:r w:rsidR="003A3333" w:rsidRPr="00E02273">
        <w:rPr>
          <w:rFonts w:cs="Arial"/>
          <w:kern w:val="0"/>
          <w:lang w:val="en-CA"/>
        </w:rPr>
        <w:t> </w:t>
      </w:r>
      <w:r w:rsidR="003A3333" w:rsidRPr="00E02273">
        <w:rPr>
          <w:rFonts w:cs="Arial"/>
          <w:color w:val="000000"/>
          <w:kern w:val="0"/>
          <w:lang w:val="en-CA"/>
        </w:rPr>
        <w:t>and the </w:t>
      </w:r>
      <w:r w:rsidR="003A3333" w:rsidRPr="00E02273">
        <w:rPr>
          <w:rFonts w:cs="Arial"/>
          <w:i/>
          <w:iCs/>
          <w:kern w:val="0"/>
          <w:lang w:val="en-CA"/>
        </w:rPr>
        <w:t>Patented Medicines Regulations</w:t>
      </w:r>
      <w:r w:rsidR="003A3333" w:rsidRPr="00E02273">
        <w:rPr>
          <w:rFonts w:cs="Arial"/>
          <w:kern w:val="0"/>
          <w:lang w:val="en-CA"/>
        </w:rPr>
        <w:t> </w:t>
      </w:r>
      <w:r w:rsidR="003A3333" w:rsidRPr="00E02273">
        <w:rPr>
          <w:rFonts w:cs="Arial"/>
          <w:color w:val="000000"/>
          <w:kern w:val="0"/>
          <w:lang w:val="en-CA"/>
        </w:rPr>
        <w:t xml:space="preserve">is consistent with </w:t>
      </w:r>
      <w:r w:rsidR="003A3333" w:rsidRPr="00E02273">
        <w:rPr>
          <w:rFonts w:cs="Arial"/>
          <w:color w:val="000000"/>
          <w:kern w:val="0"/>
          <w:u w:val="single"/>
          <w:lang w:val="en-CA"/>
        </w:rPr>
        <w:t>the constitutional limitation on the Board’s ability to look beyond the factory-gate price of patented medicines, to consider contractual arrangements involving patentees and entities further down the distribution chain</w:t>
      </w:r>
      <w:r w:rsidR="003A3333" w:rsidRPr="00E02273">
        <w:rPr>
          <w:rFonts w:cs="Arial"/>
          <w:color w:val="000000"/>
          <w:kern w:val="0"/>
          <w:lang w:val="en-CA"/>
        </w:rPr>
        <w:t>.</w:t>
      </w:r>
    </w:p>
    <w:p w14:paraId="50813890" w14:textId="268D049E" w:rsidR="00B568AD" w:rsidRPr="00E02273" w:rsidRDefault="002D51A4" w:rsidP="00B568AD">
      <w:pPr>
        <w:pStyle w:val="Citationenretrait"/>
        <w:spacing w:line="240" w:lineRule="auto"/>
        <w:jc w:val="right"/>
        <w:rPr>
          <w:lang w:val="en-CA" w:eastAsia="fr-CA"/>
        </w:rPr>
      </w:pPr>
      <w:r w:rsidRPr="00E02273">
        <w:rPr>
          <w:lang w:val="en-CA" w:eastAsia="fr-CA"/>
        </w:rPr>
        <w:t>[Emphasis</w:t>
      </w:r>
      <w:r w:rsidR="00193BCA" w:rsidRPr="00E02273">
        <w:rPr>
          <w:lang w:val="en-CA" w:eastAsia="fr-CA"/>
        </w:rPr>
        <w:t xml:space="preserve"> </w:t>
      </w:r>
      <w:r w:rsidRPr="00E02273">
        <w:rPr>
          <w:lang w:val="en-CA" w:eastAsia="fr-CA"/>
        </w:rPr>
        <w:t>added</w:t>
      </w:r>
      <w:r w:rsidR="00193BCA" w:rsidRPr="00E02273">
        <w:rPr>
          <w:lang w:val="en-CA" w:eastAsia="fr-CA"/>
        </w:rPr>
        <w:t>.</w:t>
      </w:r>
      <w:r w:rsidRPr="00E02273">
        <w:rPr>
          <w:lang w:val="en-CA" w:eastAsia="fr-CA"/>
        </w:rPr>
        <w:t>]</w:t>
      </w:r>
    </w:p>
    <w:p w14:paraId="0863B9B8" w14:textId="450F9018" w:rsidR="00B568AD" w:rsidRPr="00E02273" w:rsidRDefault="000E71D5" w:rsidP="00C97C67">
      <w:pPr>
        <w:pStyle w:val="Paragraphe"/>
        <w:tabs>
          <w:tab w:val="clear" w:pos="4973"/>
          <w:tab w:val="num" w:pos="709"/>
        </w:tabs>
        <w:spacing w:line="240" w:lineRule="auto"/>
        <w:ind w:left="0"/>
        <w:rPr>
          <w:lang w:val="en-CA"/>
        </w:rPr>
      </w:pPr>
      <w:r w:rsidRPr="00E02273">
        <w:rPr>
          <w:lang w:val="en-CA"/>
        </w:rPr>
        <w:t xml:space="preserve">The remarks of </w:t>
      </w:r>
      <w:r w:rsidR="002D51A4" w:rsidRPr="00E02273">
        <w:rPr>
          <w:lang w:val="en-CA"/>
        </w:rPr>
        <w:t xml:space="preserve">Noël </w:t>
      </w:r>
      <w:r w:rsidR="004B2417">
        <w:rPr>
          <w:lang w:val="en-CA"/>
        </w:rPr>
        <w:t>C.</w:t>
      </w:r>
      <w:r w:rsidR="009D3BD1">
        <w:rPr>
          <w:lang w:val="en-CA"/>
        </w:rPr>
        <w:t xml:space="preserve">J. </w:t>
      </w:r>
      <w:r w:rsidRPr="00E02273">
        <w:rPr>
          <w:lang w:val="en-CA"/>
        </w:rPr>
        <w:t xml:space="preserve">in </w:t>
      </w:r>
      <w:r w:rsidR="002D51A4" w:rsidRPr="00E02273">
        <w:rPr>
          <w:i/>
          <w:lang w:val="en-CA"/>
        </w:rPr>
        <w:t>Sandoz/Ratiopharm</w:t>
      </w:r>
      <w:r w:rsidR="002D51A4" w:rsidRPr="00E02273">
        <w:rPr>
          <w:lang w:val="en-CA"/>
        </w:rPr>
        <w:t xml:space="preserve"> </w:t>
      </w:r>
      <w:r w:rsidRPr="00E02273">
        <w:rPr>
          <w:lang w:val="en-CA"/>
        </w:rPr>
        <w:t>are consistent with this. That case involved the sales of a</w:t>
      </w:r>
      <w:r w:rsidR="00FD57F1" w:rsidRPr="00E02273">
        <w:rPr>
          <w:lang w:val="en-CA"/>
        </w:rPr>
        <w:t xml:space="preserve"> </w:t>
      </w:r>
      <w:r w:rsidR="00883942">
        <w:rPr>
          <w:lang w:val="en-CA"/>
        </w:rPr>
        <w:t>supposedly</w:t>
      </w:r>
      <w:r w:rsidR="00FD57F1" w:rsidRPr="00E02273">
        <w:rPr>
          <w:lang w:val="en-CA"/>
        </w:rPr>
        <w:t xml:space="preserve"> “generic”</w:t>
      </w:r>
      <w:r w:rsidRPr="00E02273">
        <w:rPr>
          <w:lang w:val="en-CA"/>
        </w:rPr>
        <w:t xml:space="preserve"> </w:t>
      </w:r>
      <w:r w:rsidR="002D51A4" w:rsidRPr="00E02273">
        <w:rPr>
          <w:lang w:val="en-CA"/>
        </w:rPr>
        <w:t>pharmaceuti</w:t>
      </w:r>
      <w:r w:rsidRPr="00E02273">
        <w:rPr>
          <w:lang w:val="en-CA"/>
        </w:rPr>
        <w:t>cal company</w:t>
      </w:r>
      <w:r w:rsidR="00FD57F1" w:rsidRPr="00E02273">
        <w:rPr>
          <w:lang w:val="en-CA"/>
        </w:rPr>
        <w:t xml:space="preserve"> </w:t>
      </w:r>
      <w:r w:rsidR="001B2750" w:rsidRPr="00E02273">
        <w:rPr>
          <w:lang w:val="en-CA"/>
        </w:rPr>
        <w:t xml:space="preserve">related to an </w:t>
      </w:r>
      <w:r w:rsidR="001B2750" w:rsidRPr="00E02273">
        <w:rPr>
          <w:lang w:val="en-CA"/>
        </w:rPr>
        <w:lastRenderedPageBreak/>
        <w:t>innovative pharmaceutical company that held the patents on the products,</w:t>
      </w:r>
      <w:r w:rsidR="002D51A4" w:rsidRPr="00E02273">
        <w:rPr>
          <w:rStyle w:val="Appelnotedebasdep"/>
          <w:lang w:val="en-CA"/>
        </w:rPr>
        <w:footnoteReference w:id="183"/>
      </w:r>
      <w:r w:rsidR="001B2750" w:rsidRPr="00E02273">
        <w:rPr>
          <w:lang w:val="en-CA"/>
        </w:rPr>
        <w:t xml:space="preserve"> which could have </w:t>
      </w:r>
      <w:r w:rsidR="00D27F38">
        <w:rPr>
          <w:lang w:val="en-CA"/>
        </w:rPr>
        <w:t xml:space="preserve">had </w:t>
      </w:r>
      <w:r w:rsidR="001B2750" w:rsidRPr="00E02273">
        <w:rPr>
          <w:lang w:val="en-CA"/>
        </w:rPr>
        <w:t xml:space="preserve">the effect of circumventing the </w:t>
      </w:r>
      <w:r w:rsidR="00D27F38">
        <w:rPr>
          <w:lang w:val="en-CA"/>
        </w:rPr>
        <w:t xml:space="preserve">excessive price control </w:t>
      </w:r>
      <w:r w:rsidR="001B2750" w:rsidRPr="00E02273">
        <w:rPr>
          <w:lang w:val="en-CA"/>
        </w:rPr>
        <w:t>re</w:t>
      </w:r>
      <w:r w:rsidR="002D51A4" w:rsidRPr="00E02273">
        <w:rPr>
          <w:lang w:val="en-CA"/>
        </w:rPr>
        <w:t xml:space="preserve">gime </w:t>
      </w:r>
      <w:r w:rsidR="001B2750" w:rsidRPr="00E02273">
        <w:rPr>
          <w:lang w:val="en-CA"/>
        </w:rPr>
        <w:t xml:space="preserve">set out in the </w:t>
      </w:r>
      <w:r w:rsidR="001B2750" w:rsidRPr="00E02273">
        <w:rPr>
          <w:i/>
          <w:lang w:val="en-CA"/>
        </w:rPr>
        <w:t>Patent Act.</w:t>
      </w:r>
      <w:r w:rsidR="001B2750" w:rsidRPr="00E02273">
        <w:rPr>
          <w:lang w:val="en-CA"/>
        </w:rPr>
        <w:t xml:space="preserve"> The judgment focusses largely on the </w:t>
      </w:r>
      <w:r w:rsidR="002D51A4" w:rsidRPr="00E02273">
        <w:rPr>
          <w:lang w:val="en-CA"/>
        </w:rPr>
        <w:t>d</w:t>
      </w:r>
      <w:r w:rsidR="001B2750" w:rsidRPr="00E02273">
        <w:rPr>
          <w:lang w:val="en-CA"/>
        </w:rPr>
        <w:t>e</w:t>
      </w:r>
      <w:r w:rsidR="002D51A4" w:rsidRPr="00E02273">
        <w:rPr>
          <w:lang w:val="en-CA"/>
        </w:rPr>
        <w:t xml:space="preserve">finition </w:t>
      </w:r>
      <w:r w:rsidR="005C4714" w:rsidRPr="00E02273">
        <w:rPr>
          <w:lang w:val="en-CA"/>
        </w:rPr>
        <w:t>of “patentee” or “patent holder” and does not call into question the notion of ex-factory price.</w:t>
      </w:r>
      <w:r w:rsidR="002D51A4" w:rsidRPr="00E02273">
        <w:rPr>
          <w:rStyle w:val="Appelnotedebasdep"/>
          <w:lang w:val="en-CA"/>
        </w:rPr>
        <w:footnoteReference w:id="184"/>
      </w:r>
    </w:p>
    <w:p w14:paraId="74D86D4E" w14:textId="5DD39886" w:rsidR="00B568AD" w:rsidRPr="00E02273" w:rsidRDefault="002D51A4" w:rsidP="00C97C67">
      <w:pPr>
        <w:pStyle w:val="Paragraphe"/>
        <w:tabs>
          <w:tab w:val="clear" w:pos="4973"/>
          <w:tab w:val="num" w:pos="709"/>
        </w:tabs>
        <w:spacing w:line="240" w:lineRule="auto"/>
        <w:ind w:left="0"/>
        <w:rPr>
          <w:lang w:val="en-CA"/>
        </w:rPr>
      </w:pPr>
      <w:r w:rsidRPr="00E02273">
        <w:rPr>
          <w:lang w:val="en-CA"/>
        </w:rPr>
        <w:t>Contra</w:t>
      </w:r>
      <w:r w:rsidR="008E5106" w:rsidRPr="00E02273">
        <w:rPr>
          <w:lang w:val="en-CA"/>
        </w:rPr>
        <w:t xml:space="preserve">ry to what the </w:t>
      </w:r>
      <w:r w:rsidRPr="00E02273">
        <w:rPr>
          <w:lang w:val="en-CA"/>
        </w:rPr>
        <w:t>Attorney</w:t>
      </w:r>
      <w:r w:rsidR="008E5106" w:rsidRPr="00E02273">
        <w:rPr>
          <w:lang w:val="en-CA"/>
        </w:rPr>
        <w:t xml:space="preserve"> </w:t>
      </w:r>
      <w:r w:rsidRPr="00E02273">
        <w:rPr>
          <w:lang w:val="en-CA"/>
        </w:rPr>
        <w:t>General</w:t>
      </w:r>
      <w:r w:rsidR="00F20B06" w:rsidRPr="00E02273">
        <w:rPr>
          <w:lang w:val="en-CA"/>
        </w:rPr>
        <w:t xml:space="preserve"> </w:t>
      </w:r>
      <w:r w:rsidRPr="00E02273">
        <w:rPr>
          <w:lang w:val="en-CA"/>
        </w:rPr>
        <w:t>of</w:t>
      </w:r>
      <w:r w:rsidR="00F20B06" w:rsidRPr="00E02273">
        <w:rPr>
          <w:lang w:val="en-CA"/>
        </w:rPr>
        <w:t xml:space="preserve"> </w:t>
      </w:r>
      <w:r w:rsidRPr="00E02273">
        <w:rPr>
          <w:lang w:val="en-CA"/>
        </w:rPr>
        <w:t>Canada</w:t>
      </w:r>
      <w:r w:rsidR="00F20B06" w:rsidRPr="00E02273">
        <w:rPr>
          <w:lang w:val="en-CA"/>
        </w:rPr>
        <w:t xml:space="preserve"> submits</w:t>
      </w:r>
      <w:r w:rsidRPr="00E02273">
        <w:rPr>
          <w:lang w:val="en-CA"/>
        </w:rPr>
        <w:t xml:space="preserve">, </w:t>
      </w:r>
      <w:r w:rsidRPr="00E02273">
        <w:rPr>
          <w:i/>
          <w:lang w:val="en-CA"/>
        </w:rPr>
        <w:t>Celgene</w:t>
      </w:r>
      <w:r w:rsidRPr="00E02273">
        <w:rPr>
          <w:rStyle w:val="Appelnotedebasdep"/>
          <w:lang w:val="en-CA"/>
        </w:rPr>
        <w:footnoteReference w:id="185"/>
      </w:r>
      <w:r w:rsidRPr="00E02273">
        <w:rPr>
          <w:i/>
          <w:lang w:val="en-CA"/>
        </w:rPr>
        <w:t xml:space="preserve"> </w:t>
      </w:r>
      <w:r w:rsidR="00F20B06" w:rsidRPr="00E02273">
        <w:rPr>
          <w:lang w:val="en-CA"/>
        </w:rPr>
        <w:t xml:space="preserve">does not support the </w:t>
      </w:r>
      <w:r w:rsidRPr="00E02273">
        <w:rPr>
          <w:lang w:val="en-CA"/>
        </w:rPr>
        <w:t>conclu</w:t>
      </w:r>
      <w:r w:rsidR="00F20B06" w:rsidRPr="00E02273">
        <w:rPr>
          <w:lang w:val="en-CA"/>
        </w:rPr>
        <w:t xml:space="preserve">sion that the </w:t>
      </w:r>
      <w:r w:rsidR="00B8073A" w:rsidRPr="00E02273">
        <w:rPr>
          <w:lang w:val="en-CA"/>
        </w:rPr>
        <w:t>federal government</w:t>
      </w:r>
      <w:r w:rsidR="00B8073A">
        <w:rPr>
          <w:lang w:val="en-CA"/>
        </w:rPr>
        <w:t>’s</w:t>
      </w:r>
      <w:r w:rsidR="00B8073A" w:rsidRPr="00E02273">
        <w:rPr>
          <w:lang w:val="en-CA"/>
        </w:rPr>
        <w:t xml:space="preserve"> </w:t>
      </w:r>
      <w:r w:rsidRPr="00E02273">
        <w:rPr>
          <w:lang w:val="en-CA"/>
        </w:rPr>
        <w:t>constitutional</w:t>
      </w:r>
      <w:r w:rsidR="00F20B06" w:rsidRPr="00E02273">
        <w:rPr>
          <w:lang w:val="en-CA"/>
        </w:rPr>
        <w:t xml:space="preserve"> </w:t>
      </w:r>
      <w:r w:rsidRPr="00E02273">
        <w:rPr>
          <w:lang w:val="en-CA"/>
        </w:rPr>
        <w:t>jurisdiction</w:t>
      </w:r>
      <w:r w:rsidR="00F20B06" w:rsidRPr="00E02273">
        <w:rPr>
          <w:lang w:val="en-CA"/>
        </w:rPr>
        <w:t xml:space="preserve"> </w:t>
      </w:r>
      <w:r w:rsidR="00562DF8" w:rsidRPr="00E02273">
        <w:rPr>
          <w:lang w:val="en-CA"/>
        </w:rPr>
        <w:t>over the control of excessive prices charged for patented medicines could extend beyond the ex-factory price. The judgment concerns the issue of whether a</w:t>
      </w:r>
      <w:r w:rsidR="001C679F" w:rsidRPr="00E02273">
        <w:rPr>
          <w:lang w:val="en-CA"/>
        </w:rPr>
        <w:t xml:space="preserve">n ex-factory sale concluded in the </w:t>
      </w:r>
      <w:r w:rsidRPr="00E02273">
        <w:rPr>
          <w:lang w:val="en-CA"/>
        </w:rPr>
        <w:t>United</w:t>
      </w:r>
      <w:r w:rsidR="001C679F" w:rsidRPr="00E02273">
        <w:rPr>
          <w:lang w:val="en-CA"/>
        </w:rPr>
        <w:t xml:space="preserve"> </w:t>
      </w:r>
      <w:r w:rsidRPr="00E02273">
        <w:rPr>
          <w:lang w:val="en-CA"/>
        </w:rPr>
        <w:t>States</w:t>
      </w:r>
      <w:r w:rsidR="001C679F" w:rsidRPr="00E02273">
        <w:rPr>
          <w:lang w:val="en-CA"/>
        </w:rPr>
        <w:t xml:space="preserve"> with Canadian clients could be considered an ex-factory sale in </w:t>
      </w:r>
      <w:r w:rsidRPr="00E02273">
        <w:rPr>
          <w:lang w:val="en-CA"/>
        </w:rPr>
        <w:t xml:space="preserve">Canada </w:t>
      </w:r>
      <w:r w:rsidR="001C679F" w:rsidRPr="00E02273">
        <w:rPr>
          <w:lang w:val="en-CA"/>
        </w:rPr>
        <w:t xml:space="preserve">for the purposes of the </w:t>
      </w:r>
      <w:r w:rsidR="001C679F" w:rsidRPr="00E02273">
        <w:rPr>
          <w:i/>
          <w:lang w:val="en-CA"/>
        </w:rPr>
        <w:t>Patented Medicines Regulations</w:t>
      </w:r>
      <w:r w:rsidRPr="00E02273">
        <w:rPr>
          <w:lang w:val="en-CA"/>
        </w:rPr>
        <w:t xml:space="preserve">. </w:t>
      </w:r>
      <w:r w:rsidR="001C679F" w:rsidRPr="00E02273">
        <w:rPr>
          <w:lang w:val="en-CA"/>
        </w:rPr>
        <w:t xml:space="preserve">It </w:t>
      </w:r>
      <w:r w:rsidR="00D27F38">
        <w:rPr>
          <w:lang w:val="en-CA"/>
        </w:rPr>
        <w:t xml:space="preserve">does not </w:t>
      </w:r>
      <w:r w:rsidR="001C679F" w:rsidRPr="00E02273">
        <w:rPr>
          <w:lang w:val="en-CA"/>
        </w:rPr>
        <w:t xml:space="preserve">extend the Board’s </w:t>
      </w:r>
      <w:r w:rsidRPr="00E02273">
        <w:rPr>
          <w:lang w:val="en-CA"/>
        </w:rPr>
        <w:t>jurisdiction</w:t>
      </w:r>
      <w:r w:rsidR="001C679F" w:rsidRPr="00E02273">
        <w:rPr>
          <w:lang w:val="en-CA"/>
        </w:rPr>
        <w:t xml:space="preserve"> to selling prices subsequent to the ex-factory price</w:t>
      </w:r>
      <w:r w:rsidRPr="00E02273">
        <w:rPr>
          <w:lang w:val="en-CA"/>
        </w:rPr>
        <w:t>.</w:t>
      </w:r>
    </w:p>
    <w:p w14:paraId="2DE642A5" w14:textId="4C7E0DF0" w:rsidR="00B568AD" w:rsidRPr="00E02273" w:rsidRDefault="000F1219" w:rsidP="00C97C67">
      <w:pPr>
        <w:pStyle w:val="Paragraphe"/>
        <w:tabs>
          <w:tab w:val="clear" w:pos="4973"/>
          <w:tab w:val="num" w:pos="709"/>
        </w:tabs>
        <w:spacing w:line="240" w:lineRule="auto"/>
        <w:ind w:left="0"/>
        <w:rPr>
          <w:lang w:val="en-CA"/>
        </w:rPr>
      </w:pPr>
      <w:r w:rsidRPr="00E02273">
        <w:rPr>
          <w:lang w:val="en-CA"/>
        </w:rPr>
        <w:t>I</w:t>
      </w:r>
      <w:r w:rsidR="002D51A4" w:rsidRPr="00E02273">
        <w:rPr>
          <w:lang w:val="en-CA"/>
        </w:rPr>
        <w:t>n</w:t>
      </w:r>
      <w:r w:rsidRPr="00E02273">
        <w:rPr>
          <w:lang w:val="en-CA"/>
        </w:rPr>
        <w:t xml:space="preserve"> </w:t>
      </w:r>
      <w:r w:rsidR="002D51A4" w:rsidRPr="00E02273">
        <w:rPr>
          <w:lang w:val="en-CA"/>
        </w:rPr>
        <w:t>fact,</w:t>
      </w:r>
      <w:r w:rsidRPr="00E02273">
        <w:rPr>
          <w:lang w:val="en-CA"/>
        </w:rPr>
        <w:t xml:space="preserve"> even in its new </w:t>
      </w:r>
      <w:r w:rsidR="002D51A4" w:rsidRPr="00E02273">
        <w:rPr>
          <w:lang w:val="en-CA"/>
        </w:rPr>
        <w:t>guidelines,</w:t>
      </w:r>
      <w:r w:rsidRPr="00E02273">
        <w:rPr>
          <w:lang w:val="en-CA"/>
        </w:rPr>
        <w:t xml:space="preserve"> the Board acknowledge</w:t>
      </w:r>
      <w:r w:rsidR="00B8073A">
        <w:rPr>
          <w:lang w:val="en-CA"/>
        </w:rPr>
        <w:t>s</w:t>
      </w:r>
      <w:r w:rsidRPr="00E02273">
        <w:rPr>
          <w:lang w:val="en-CA"/>
        </w:rPr>
        <w:t xml:space="preserve"> that it “has no authority over prices charged by parties other than patentees, such as prices charged by wholesalers or retailers, or over pharmacists’ professional fees”.</w:t>
      </w:r>
      <w:r w:rsidR="002D51A4" w:rsidRPr="00E02273">
        <w:rPr>
          <w:rStyle w:val="Appelnotedebasdep"/>
          <w:lang w:val="en-CA"/>
        </w:rPr>
        <w:footnoteReference w:id="186"/>
      </w:r>
    </w:p>
    <w:p w14:paraId="759790C6" w14:textId="5961573F" w:rsidR="00B568AD" w:rsidRPr="00E02273" w:rsidRDefault="00E26278" w:rsidP="00C97C67">
      <w:pPr>
        <w:pStyle w:val="Paragraphe"/>
        <w:tabs>
          <w:tab w:val="clear" w:pos="4973"/>
          <w:tab w:val="num" w:pos="709"/>
        </w:tabs>
        <w:spacing w:line="240" w:lineRule="auto"/>
        <w:ind w:left="0"/>
        <w:rPr>
          <w:lang w:val="en-CA"/>
        </w:rPr>
      </w:pPr>
      <w:r w:rsidRPr="00E02273">
        <w:rPr>
          <w:lang w:val="en-CA"/>
        </w:rPr>
        <w:t xml:space="preserve">However, </w:t>
      </w:r>
      <w:r w:rsidR="009D4902">
        <w:rPr>
          <w:lang w:val="en-CA"/>
        </w:rPr>
        <w:t xml:space="preserve">the </w:t>
      </w:r>
      <w:r w:rsidRPr="00E02273">
        <w:rPr>
          <w:lang w:val="en-CA"/>
        </w:rPr>
        <w:t xml:space="preserve">new paragraphs </w:t>
      </w:r>
      <w:r w:rsidR="002D51A4" w:rsidRPr="00E02273">
        <w:rPr>
          <w:lang w:val="en-CA"/>
        </w:rPr>
        <w:t>4(4)</w:t>
      </w:r>
      <w:r w:rsidRPr="00E02273">
        <w:rPr>
          <w:lang w:val="en-CA"/>
        </w:rPr>
        <w:t>(</w:t>
      </w:r>
      <w:r w:rsidR="002D51A4" w:rsidRPr="009D4902">
        <w:rPr>
          <w:lang w:val="en-CA"/>
        </w:rPr>
        <w:t>a</w:t>
      </w:r>
      <w:r w:rsidR="002D51A4" w:rsidRPr="00E02273">
        <w:rPr>
          <w:lang w:val="en-CA"/>
        </w:rPr>
        <w:t xml:space="preserve">) </w:t>
      </w:r>
      <w:r w:rsidRPr="00E02273">
        <w:rPr>
          <w:lang w:val="en-CA"/>
        </w:rPr>
        <w:t>and</w:t>
      </w:r>
      <w:r w:rsidR="002D51A4" w:rsidRPr="00E02273">
        <w:rPr>
          <w:lang w:val="en-CA"/>
        </w:rPr>
        <w:t xml:space="preserve"> </w:t>
      </w:r>
      <w:r w:rsidRPr="00E02273">
        <w:rPr>
          <w:lang w:val="en-CA"/>
        </w:rPr>
        <w:t>(</w:t>
      </w:r>
      <w:r w:rsidR="002D51A4" w:rsidRPr="009D4902">
        <w:rPr>
          <w:lang w:val="en-CA"/>
        </w:rPr>
        <w:t>b</w:t>
      </w:r>
      <w:r w:rsidR="002D51A4" w:rsidRPr="00E02273">
        <w:rPr>
          <w:lang w:val="en-CA"/>
        </w:rPr>
        <w:t xml:space="preserve">) </w:t>
      </w:r>
      <w:r w:rsidRPr="00E02273">
        <w:rPr>
          <w:lang w:val="en-CA"/>
        </w:rPr>
        <w:t xml:space="preserve">of the </w:t>
      </w:r>
      <w:r w:rsidRPr="00E02273">
        <w:rPr>
          <w:i/>
          <w:lang w:val="en-CA"/>
        </w:rPr>
        <w:t>Patented Medicines Regulations</w:t>
      </w:r>
      <w:r w:rsidRPr="00E02273">
        <w:rPr>
          <w:lang w:val="en-CA"/>
        </w:rPr>
        <w:t xml:space="preserve">, introduced by the </w:t>
      </w:r>
      <w:r w:rsidR="00866E58" w:rsidRPr="00E02273">
        <w:rPr>
          <w:i/>
          <w:lang w:val="en-CA"/>
        </w:rPr>
        <w:t>2019 Regulatory Amendments</w:t>
      </w:r>
      <w:r w:rsidR="002D51A4" w:rsidRPr="00E02273">
        <w:rPr>
          <w:lang w:val="en-CA"/>
        </w:rPr>
        <w:t xml:space="preserve">, </w:t>
      </w:r>
      <w:r w:rsidRPr="00E02273">
        <w:rPr>
          <w:lang w:val="en-CA"/>
        </w:rPr>
        <w:t xml:space="preserve">extend the </w:t>
      </w:r>
      <w:r w:rsidR="00B8073A">
        <w:rPr>
          <w:lang w:val="en-CA"/>
        </w:rPr>
        <w:t xml:space="preserve">Board’s </w:t>
      </w:r>
      <w:r w:rsidR="002D51A4" w:rsidRPr="00E02273">
        <w:rPr>
          <w:lang w:val="en-CA"/>
        </w:rPr>
        <w:t>jurisdiction</w:t>
      </w:r>
      <w:r w:rsidRPr="00E02273">
        <w:rPr>
          <w:lang w:val="en-CA"/>
        </w:rPr>
        <w:t xml:space="preserve"> beyond the ex-factory price</w:t>
      </w:r>
      <w:r w:rsidR="002D51A4" w:rsidRPr="00E02273">
        <w:rPr>
          <w:lang w:val="en-CA"/>
        </w:rPr>
        <w:t>.</w:t>
      </w:r>
      <w:r w:rsidRPr="00E02273">
        <w:rPr>
          <w:lang w:val="en-CA"/>
        </w:rPr>
        <w:t xml:space="preserve"> The </w:t>
      </w:r>
      <w:r w:rsidR="002D51A4" w:rsidRPr="00E02273">
        <w:rPr>
          <w:lang w:val="en-CA"/>
        </w:rPr>
        <w:t>Attorney</w:t>
      </w:r>
      <w:r w:rsidRPr="00E02273">
        <w:rPr>
          <w:lang w:val="en-CA"/>
        </w:rPr>
        <w:t xml:space="preserve"> </w:t>
      </w:r>
      <w:r w:rsidR="002D51A4" w:rsidRPr="00E02273">
        <w:rPr>
          <w:lang w:val="en-CA"/>
        </w:rPr>
        <w:t>General</w:t>
      </w:r>
      <w:r w:rsidRPr="00E02273">
        <w:rPr>
          <w:lang w:val="en-CA"/>
        </w:rPr>
        <w:t xml:space="preserve"> </w:t>
      </w:r>
      <w:r w:rsidR="002D51A4" w:rsidRPr="00E02273">
        <w:rPr>
          <w:lang w:val="en-CA"/>
        </w:rPr>
        <w:t>of</w:t>
      </w:r>
      <w:r w:rsidRPr="00E02273">
        <w:rPr>
          <w:lang w:val="en-CA"/>
        </w:rPr>
        <w:t xml:space="preserve"> </w:t>
      </w:r>
      <w:r w:rsidR="002D51A4" w:rsidRPr="00E02273">
        <w:rPr>
          <w:lang w:val="en-CA"/>
        </w:rPr>
        <w:t>Canada</w:t>
      </w:r>
      <w:r w:rsidRPr="00E02273">
        <w:rPr>
          <w:lang w:val="en-CA"/>
        </w:rPr>
        <w:t xml:space="preserve"> </w:t>
      </w:r>
      <w:r w:rsidR="00B8073A">
        <w:rPr>
          <w:lang w:val="en-CA"/>
        </w:rPr>
        <w:t xml:space="preserve">indeed acknowledges </w:t>
      </w:r>
      <w:r w:rsidRPr="00E02273">
        <w:rPr>
          <w:lang w:val="en-CA"/>
        </w:rPr>
        <w:t xml:space="preserve">that </w:t>
      </w:r>
      <w:r w:rsidR="00691264" w:rsidRPr="00E02273">
        <w:rPr>
          <w:lang w:val="en-CA"/>
        </w:rPr>
        <w:t>[</w:t>
      </w:r>
      <w:r w:rsidR="00691264" w:rsidRPr="00E02273">
        <w:rPr>
          <w:smallCaps/>
          <w:lang w:val="en-CA"/>
        </w:rPr>
        <w:t>translation</w:t>
      </w:r>
      <w:r w:rsidR="00691264" w:rsidRPr="00E02273">
        <w:rPr>
          <w:lang w:val="en-CA"/>
        </w:rPr>
        <w:t xml:space="preserve">] “the new </w:t>
      </w:r>
      <w:r w:rsidR="002D51A4" w:rsidRPr="00E02273">
        <w:rPr>
          <w:lang w:val="en-CA"/>
        </w:rPr>
        <w:t xml:space="preserve">provisions </w:t>
      </w:r>
      <w:r w:rsidR="00691264" w:rsidRPr="00E02273">
        <w:rPr>
          <w:lang w:val="en-CA"/>
        </w:rPr>
        <w:t>take into account price adjustments that occur beyond the firs</w:t>
      </w:r>
      <w:r w:rsidR="002D51A4" w:rsidRPr="00E02273">
        <w:rPr>
          <w:lang w:val="en-CA"/>
        </w:rPr>
        <w:t>t</w:t>
      </w:r>
      <w:r w:rsidR="00691264" w:rsidRPr="00E02273">
        <w:rPr>
          <w:lang w:val="en-CA"/>
        </w:rPr>
        <w:t xml:space="preserve"> point of sale, in particular between the patentee and third-party insurers”.</w:t>
      </w:r>
      <w:r w:rsidR="002D51A4" w:rsidRPr="00E02273">
        <w:rPr>
          <w:rStyle w:val="Appelnotedebasdep"/>
          <w:lang w:val="en-CA"/>
        </w:rPr>
        <w:footnoteReference w:id="187"/>
      </w:r>
      <w:r w:rsidR="00691264" w:rsidRPr="00E02273">
        <w:rPr>
          <w:lang w:val="en-CA"/>
        </w:rPr>
        <w:t xml:space="preserve"> Moreover, it should be noted that as a general rule, public and private insurers do not purchase patented medicines, but rather reimburse their cost. These insurers are therefore not </w:t>
      </w:r>
      <w:r w:rsidR="002D51A4" w:rsidRPr="00E02273">
        <w:rPr>
          <w:lang w:val="en-CA"/>
        </w:rPr>
        <w:t>part</w:t>
      </w:r>
      <w:r w:rsidR="00691264" w:rsidRPr="00E02273">
        <w:rPr>
          <w:lang w:val="en-CA"/>
        </w:rPr>
        <w:t>y</w:t>
      </w:r>
      <w:r w:rsidR="002D51A4" w:rsidRPr="00E02273">
        <w:rPr>
          <w:lang w:val="en-CA"/>
        </w:rPr>
        <w:t xml:space="preserve"> </w:t>
      </w:r>
      <w:r w:rsidR="00691264" w:rsidRPr="00E02273">
        <w:rPr>
          <w:lang w:val="en-CA"/>
        </w:rPr>
        <w:t>to the ex-factory sales.</w:t>
      </w:r>
      <w:r w:rsidR="002D51A4" w:rsidRPr="00E02273">
        <w:rPr>
          <w:rStyle w:val="Appelnotedebasdep"/>
          <w:lang w:val="en-CA"/>
        </w:rPr>
        <w:footnoteReference w:id="188"/>
      </w:r>
    </w:p>
    <w:p w14:paraId="5299FE27" w14:textId="3FA980FB" w:rsidR="00B568AD" w:rsidRPr="00E02273" w:rsidRDefault="00CB7004" w:rsidP="00C97C67">
      <w:pPr>
        <w:pStyle w:val="Paragraphe"/>
        <w:tabs>
          <w:tab w:val="clear" w:pos="4973"/>
          <w:tab w:val="num" w:pos="709"/>
        </w:tabs>
        <w:spacing w:line="240" w:lineRule="auto"/>
        <w:ind w:left="0"/>
        <w:rPr>
          <w:lang w:val="en-CA"/>
        </w:rPr>
      </w:pPr>
      <w:r w:rsidRPr="00E02273">
        <w:rPr>
          <w:lang w:val="en-CA"/>
        </w:rPr>
        <w:t>I</w:t>
      </w:r>
      <w:r w:rsidR="002D51A4" w:rsidRPr="00E02273">
        <w:rPr>
          <w:lang w:val="en-CA"/>
        </w:rPr>
        <w:t>n</w:t>
      </w:r>
      <w:r w:rsidRPr="00E02273">
        <w:rPr>
          <w:lang w:val="en-CA"/>
        </w:rPr>
        <w:t xml:space="preserve"> </w:t>
      </w:r>
      <w:r w:rsidR="002D51A4" w:rsidRPr="00E02273">
        <w:rPr>
          <w:lang w:val="en-CA"/>
        </w:rPr>
        <w:t>so</w:t>
      </w:r>
      <w:r w:rsidRPr="00E02273">
        <w:rPr>
          <w:lang w:val="en-CA"/>
        </w:rPr>
        <w:t xml:space="preserve"> </w:t>
      </w:r>
      <w:r w:rsidR="002D51A4" w:rsidRPr="00E02273">
        <w:rPr>
          <w:lang w:val="en-CA"/>
        </w:rPr>
        <w:t>doing,</w:t>
      </w:r>
      <w:r w:rsidRPr="00E02273">
        <w:rPr>
          <w:lang w:val="en-CA"/>
        </w:rPr>
        <w:t xml:space="preserve"> </w:t>
      </w:r>
      <w:r w:rsidR="009D4902">
        <w:rPr>
          <w:lang w:val="en-CA"/>
        </w:rPr>
        <w:t xml:space="preserve">the </w:t>
      </w:r>
      <w:r w:rsidRPr="00E02273">
        <w:rPr>
          <w:lang w:val="en-CA"/>
        </w:rPr>
        <w:t xml:space="preserve">new paragraphs </w:t>
      </w:r>
      <w:r w:rsidR="002D51A4" w:rsidRPr="00E02273">
        <w:rPr>
          <w:lang w:val="en-CA"/>
        </w:rPr>
        <w:t>4(4)</w:t>
      </w:r>
      <w:r w:rsidRPr="00E02273">
        <w:rPr>
          <w:lang w:val="en-CA"/>
        </w:rPr>
        <w:t>(</w:t>
      </w:r>
      <w:r w:rsidR="002D51A4" w:rsidRPr="009D4902">
        <w:rPr>
          <w:lang w:val="en-CA"/>
        </w:rPr>
        <w:t>a</w:t>
      </w:r>
      <w:r w:rsidR="002D51A4" w:rsidRPr="00E02273">
        <w:rPr>
          <w:lang w:val="en-CA"/>
        </w:rPr>
        <w:t xml:space="preserve">) </w:t>
      </w:r>
      <w:r w:rsidRPr="00E02273">
        <w:rPr>
          <w:lang w:val="en-CA"/>
        </w:rPr>
        <w:t>and (</w:t>
      </w:r>
      <w:r w:rsidR="002D51A4" w:rsidRPr="009D4902">
        <w:rPr>
          <w:lang w:val="en-CA"/>
        </w:rPr>
        <w:t>b</w:t>
      </w:r>
      <w:r w:rsidR="002D51A4" w:rsidRPr="00E02273">
        <w:rPr>
          <w:lang w:val="en-CA"/>
        </w:rPr>
        <w:t xml:space="preserve">) </w:t>
      </w:r>
      <w:r w:rsidRPr="00E02273">
        <w:rPr>
          <w:lang w:val="en-CA"/>
        </w:rPr>
        <w:t xml:space="preserve">of the </w:t>
      </w:r>
      <w:r w:rsidRPr="00E02273">
        <w:rPr>
          <w:i/>
          <w:lang w:val="en-CA"/>
        </w:rPr>
        <w:t>Patented Medicines Regulations</w:t>
      </w:r>
      <w:r w:rsidRPr="00E02273">
        <w:rPr>
          <w:lang w:val="en-CA"/>
        </w:rPr>
        <w:t xml:space="preserve">, </w:t>
      </w:r>
      <w:r w:rsidR="002D51A4" w:rsidRPr="00E02273">
        <w:rPr>
          <w:lang w:val="en-CA"/>
        </w:rPr>
        <w:t>introdu</w:t>
      </w:r>
      <w:r w:rsidRPr="00E02273">
        <w:rPr>
          <w:lang w:val="en-CA"/>
        </w:rPr>
        <w:t xml:space="preserve">ced by the </w:t>
      </w:r>
      <w:r w:rsidR="00866E58" w:rsidRPr="00E02273">
        <w:rPr>
          <w:i/>
          <w:lang w:val="en-CA"/>
        </w:rPr>
        <w:t>2019 Regulatory Amendments</w:t>
      </w:r>
      <w:r w:rsidR="002D51A4" w:rsidRPr="00E02273">
        <w:rPr>
          <w:lang w:val="en-CA"/>
        </w:rPr>
        <w:t>, exc</w:t>
      </w:r>
      <w:r w:rsidRPr="00E02273">
        <w:rPr>
          <w:lang w:val="en-CA"/>
        </w:rPr>
        <w:t xml:space="preserve">eed the </w:t>
      </w:r>
      <w:r w:rsidR="00B8073A" w:rsidRPr="00E02273">
        <w:rPr>
          <w:lang w:val="en-CA"/>
        </w:rPr>
        <w:t>federal government</w:t>
      </w:r>
      <w:r w:rsidR="00B8073A">
        <w:rPr>
          <w:lang w:val="en-CA"/>
        </w:rPr>
        <w:t>’s</w:t>
      </w:r>
      <w:r w:rsidR="00B8073A" w:rsidRPr="00E02273">
        <w:rPr>
          <w:lang w:val="en-CA"/>
        </w:rPr>
        <w:t xml:space="preserve"> </w:t>
      </w:r>
      <w:r w:rsidR="002D51A4" w:rsidRPr="00E02273">
        <w:rPr>
          <w:lang w:val="en-CA"/>
        </w:rPr>
        <w:t>constitutional</w:t>
      </w:r>
      <w:r w:rsidRPr="00E02273">
        <w:rPr>
          <w:lang w:val="en-CA"/>
        </w:rPr>
        <w:t xml:space="preserve"> </w:t>
      </w:r>
      <w:r w:rsidR="002D51A4" w:rsidRPr="00E02273">
        <w:rPr>
          <w:lang w:val="en-CA"/>
        </w:rPr>
        <w:t>jurisdiction</w:t>
      </w:r>
      <w:r w:rsidRPr="00E02273">
        <w:rPr>
          <w:lang w:val="en-CA"/>
        </w:rPr>
        <w:t xml:space="preserve"> in tha</w:t>
      </w:r>
      <w:r w:rsidR="00691376" w:rsidRPr="00E02273">
        <w:rPr>
          <w:lang w:val="en-CA"/>
        </w:rPr>
        <w:t>t</w:t>
      </w:r>
      <w:r w:rsidRPr="00E02273">
        <w:rPr>
          <w:lang w:val="en-CA"/>
        </w:rPr>
        <w:t xml:space="preserve"> they</w:t>
      </w:r>
      <w:r w:rsidR="00B23751">
        <w:rPr>
          <w:lang w:val="en-CA"/>
        </w:rPr>
        <w:t xml:space="preserve"> encroach on</w:t>
      </w:r>
      <w:r w:rsidR="00691376" w:rsidRPr="00E02273">
        <w:rPr>
          <w:lang w:val="en-CA"/>
        </w:rPr>
        <w:t xml:space="preserve"> areas of </w:t>
      </w:r>
      <w:r w:rsidR="002D51A4" w:rsidRPr="00E02273">
        <w:rPr>
          <w:lang w:val="en-CA"/>
        </w:rPr>
        <w:t>provincial</w:t>
      </w:r>
      <w:r w:rsidR="00691376" w:rsidRPr="00E02273">
        <w:rPr>
          <w:lang w:val="en-CA"/>
        </w:rPr>
        <w:t xml:space="preserve"> </w:t>
      </w:r>
      <w:r w:rsidR="002D51A4" w:rsidRPr="00E02273">
        <w:rPr>
          <w:lang w:val="en-CA"/>
        </w:rPr>
        <w:t>jurisdiction,</w:t>
      </w:r>
      <w:r w:rsidR="00691376" w:rsidRPr="00E02273">
        <w:rPr>
          <w:lang w:val="en-CA"/>
        </w:rPr>
        <w:t xml:space="preserve"> that is, commercial </w:t>
      </w:r>
      <w:r w:rsidR="002D51A4" w:rsidRPr="00E02273">
        <w:rPr>
          <w:lang w:val="en-CA"/>
        </w:rPr>
        <w:t>contra</w:t>
      </w:r>
      <w:r w:rsidR="00691376" w:rsidRPr="00E02273">
        <w:rPr>
          <w:lang w:val="en-CA"/>
        </w:rPr>
        <w:t>c</w:t>
      </w:r>
      <w:r w:rsidR="002D51A4" w:rsidRPr="00E02273">
        <w:rPr>
          <w:lang w:val="en-CA"/>
        </w:rPr>
        <w:t xml:space="preserve">ts, </w:t>
      </w:r>
      <w:r w:rsidR="00691376" w:rsidRPr="00E02273">
        <w:rPr>
          <w:lang w:val="en-CA"/>
        </w:rPr>
        <w:t>marketing, and sales of consumer products</w:t>
      </w:r>
      <w:r w:rsidR="002D51A4" w:rsidRPr="00E02273">
        <w:rPr>
          <w:lang w:val="en-CA"/>
        </w:rPr>
        <w:t xml:space="preserve">. </w:t>
      </w:r>
    </w:p>
    <w:p w14:paraId="78B812AE" w14:textId="018D0EE8" w:rsidR="00B568AD" w:rsidRPr="00E02273" w:rsidRDefault="00013E50" w:rsidP="00C97C67">
      <w:pPr>
        <w:pStyle w:val="Paragraphe"/>
        <w:tabs>
          <w:tab w:val="clear" w:pos="4973"/>
          <w:tab w:val="num" w:pos="709"/>
        </w:tabs>
        <w:spacing w:line="240" w:lineRule="auto"/>
        <w:ind w:left="0"/>
        <w:rPr>
          <w:lang w:val="en-CA"/>
        </w:rPr>
      </w:pPr>
      <w:r w:rsidRPr="00E02273">
        <w:rPr>
          <w:lang w:val="en-CA"/>
        </w:rPr>
        <w:lastRenderedPageBreak/>
        <w:t xml:space="preserve">I am therefore of the view that the </w:t>
      </w:r>
      <w:r w:rsidR="002D51A4" w:rsidRPr="00E02273">
        <w:rPr>
          <w:lang w:val="en-CA"/>
        </w:rPr>
        <w:t>trial</w:t>
      </w:r>
      <w:r w:rsidRPr="00E02273">
        <w:rPr>
          <w:lang w:val="en-CA"/>
        </w:rPr>
        <w:t xml:space="preserve"> </w:t>
      </w:r>
      <w:r w:rsidR="002D51A4" w:rsidRPr="00E02273">
        <w:rPr>
          <w:lang w:val="en-CA"/>
        </w:rPr>
        <w:t>judge</w:t>
      </w:r>
      <w:r w:rsidRPr="00E02273">
        <w:rPr>
          <w:lang w:val="en-CA"/>
        </w:rPr>
        <w:t xml:space="preserve"> was correct to conclude that </w:t>
      </w:r>
      <w:r w:rsidR="009D4902">
        <w:rPr>
          <w:lang w:val="en-CA"/>
        </w:rPr>
        <w:t xml:space="preserve">the </w:t>
      </w:r>
      <w:r w:rsidRPr="00E02273">
        <w:rPr>
          <w:lang w:val="en-CA"/>
        </w:rPr>
        <w:t xml:space="preserve">new paragraphs </w:t>
      </w:r>
      <w:r w:rsidR="002D51A4" w:rsidRPr="00E02273">
        <w:rPr>
          <w:lang w:val="en-CA"/>
        </w:rPr>
        <w:t>4(4)</w:t>
      </w:r>
      <w:r w:rsidRPr="00E02273">
        <w:rPr>
          <w:lang w:val="en-CA"/>
        </w:rPr>
        <w:t>(</w:t>
      </w:r>
      <w:r w:rsidR="002D51A4" w:rsidRPr="009D4902">
        <w:rPr>
          <w:lang w:val="en-CA"/>
        </w:rPr>
        <w:t>a</w:t>
      </w:r>
      <w:r w:rsidR="002D51A4" w:rsidRPr="00E02273">
        <w:rPr>
          <w:lang w:val="en-CA"/>
        </w:rPr>
        <w:t xml:space="preserve">) </w:t>
      </w:r>
      <w:r w:rsidRPr="00E02273">
        <w:rPr>
          <w:lang w:val="en-CA"/>
        </w:rPr>
        <w:t>and (</w:t>
      </w:r>
      <w:r w:rsidR="002D51A4" w:rsidRPr="009D4902">
        <w:rPr>
          <w:lang w:val="en-CA"/>
        </w:rPr>
        <w:t>b</w:t>
      </w:r>
      <w:r w:rsidR="002D51A4" w:rsidRPr="00E02273">
        <w:rPr>
          <w:lang w:val="en-CA"/>
        </w:rPr>
        <w:t xml:space="preserve">) </w:t>
      </w:r>
      <w:r w:rsidRPr="00E02273">
        <w:rPr>
          <w:lang w:val="en-CA"/>
        </w:rPr>
        <w:t xml:space="preserve">of the </w:t>
      </w:r>
      <w:r w:rsidRPr="00E02273">
        <w:rPr>
          <w:i/>
          <w:lang w:val="en-CA"/>
        </w:rPr>
        <w:t xml:space="preserve">Patented Medicines Regulations </w:t>
      </w:r>
      <w:r w:rsidRPr="00E02273">
        <w:rPr>
          <w:lang w:val="en-CA"/>
        </w:rPr>
        <w:t xml:space="preserve">are </w:t>
      </w:r>
      <w:r w:rsidR="002D51A4" w:rsidRPr="00E02273">
        <w:rPr>
          <w:i/>
          <w:lang w:val="en-CA"/>
        </w:rPr>
        <w:t>ultra</w:t>
      </w:r>
      <w:r w:rsidRPr="00E02273">
        <w:rPr>
          <w:i/>
          <w:lang w:val="en-CA"/>
        </w:rPr>
        <w:t xml:space="preserve"> </w:t>
      </w:r>
      <w:r w:rsidR="002D51A4" w:rsidRPr="00E02273">
        <w:rPr>
          <w:i/>
          <w:lang w:val="en-CA"/>
        </w:rPr>
        <w:t>vire</w:t>
      </w:r>
      <w:r w:rsidRPr="00E02273">
        <w:rPr>
          <w:i/>
          <w:lang w:val="en-CA"/>
        </w:rPr>
        <w:t xml:space="preserve">s </w:t>
      </w:r>
      <w:r w:rsidRPr="00E02273">
        <w:rPr>
          <w:lang w:val="en-CA"/>
        </w:rPr>
        <w:t xml:space="preserve">the </w:t>
      </w:r>
      <w:r w:rsidR="002D51A4" w:rsidRPr="00E02273">
        <w:rPr>
          <w:lang w:val="en-CA"/>
        </w:rPr>
        <w:t>federal</w:t>
      </w:r>
      <w:r w:rsidRPr="00E02273">
        <w:rPr>
          <w:lang w:val="en-CA"/>
        </w:rPr>
        <w:t xml:space="preserve"> </w:t>
      </w:r>
      <w:r w:rsidR="002D51A4" w:rsidRPr="00E02273">
        <w:rPr>
          <w:lang w:val="en-CA"/>
        </w:rPr>
        <w:t>jurisdiction</w:t>
      </w:r>
      <w:r w:rsidRPr="00E02273">
        <w:rPr>
          <w:lang w:val="en-CA"/>
        </w:rPr>
        <w:t xml:space="preserve"> over patents of </w:t>
      </w:r>
      <w:r w:rsidR="002D51A4" w:rsidRPr="00E02273">
        <w:rPr>
          <w:lang w:val="en-CA"/>
        </w:rPr>
        <w:t xml:space="preserve">invention </w:t>
      </w:r>
      <w:r w:rsidRPr="00E02273">
        <w:rPr>
          <w:lang w:val="en-CA"/>
        </w:rPr>
        <w:t>and discovery, but for different reasons</w:t>
      </w:r>
      <w:r w:rsidR="002D51A4" w:rsidRPr="00E02273">
        <w:rPr>
          <w:lang w:val="en-CA"/>
        </w:rPr>
        <w:t xml:space="preserve">. </w:t>
      </w:r>
    </w:p>
    <w:p w14:paraId="48B1885C" w14:textId="118BC5E8" w:rsidR="00B568AD" w:rsidRPr="00E02273" w:rsidRDefault="008204D3" w:rsidP="00C97C67">
      <w:pPr>
        <w:pStyle w:val="Paragraphe"/>
        <w:tabs>
          <w:tab w:val="clear" w:pos="4973"/>
          <w:tab w:val="num" w:pos="709"/>
        </w:tabs>
        <w:spacing w:line="240" w:lineRule="auto"/>
        <w:ind w:left="0"/>
        <w:rPr>
          <w:lang w:val="en-CA"/>
        </w:rPr>
      </w:pPr>
      <w:r w:rsidRPr="00E02273">
        <w:rPr>
          <w:lang w:val="en-CA"/>
        </w:rPr>
        <w:t xml:space="preserve">Moreover, I </w:t>
      </w:r>
      <w:r w:rsidR="002D51A4" w:rsidRPr="00E02273">
        <w:rPr>
          <w:lang w:val="en-CA"/>
        </w:rPr>
        <w:t>note</w:t>
      </w:r>
      <w:r w:rsidRPr="00E02273">
        <w:rPr>
          <w:lang w:val="en-CA"/>
        </w:rPr>
        <w:t xml:space="preserve"> that the judgment of </w:t>
      </w:r>
      <w:r w:rsidR="002D51A4" w:rsidRPr="00E02273">
        <w:rPr>
          <w:lang w:val="en-CA"/>
        </w:rPr>
        <w:t xml:space="preserve">Manson </w:t>
      </w:r>
      <w:r w:rsidRPr="00E02273">
        <w:rPr>
          <w:lang w:val="en-CA"/>
        </w:rPr>
        <w:t xml:space="preserve">J. of the </w:t>
      </w:r>
      <w:r w:rsidR="002D51A4" w:rsidRPr="00E02273">
        <w:rPr>
          <w:lang w:val="en-CA"/>
        </w:rPr>
        <w:t>Federal</w:t>
      </w:r>
      <w:r w:rsidRPr="00E02273">
        <w:rPr>
          <w:lang w:val="en-CA"/>
        </w:rPr>
        <w:t xml:space="preserve"> </w:t>
      </w:r>
      <w:r w:rsidR="002D51A4" w:rsidRPr="00E02273">
        <w:rPr>
          <w:lang w:val="en-CA"/>
        </w:rPr>
        <w:t>Court</w:t>
      </w:r>
      <w:r w:rsidRPr="00E02273">
        <w:rPr>
          <w:lang w:val="en-CA"/>
        </w:rPr>
        <w:t xml:space="preserve"> in </w:t>
      </w:r>
      <w:r w:rsidRPr="00E02273">
        <w:rPr>
          <w:i/>
          <w:lang w:val="en-CA"/>
        </w:rPr>
        <w:t xml:space="preserve">Innovative Medicines Canada </w:t>
      </w:r>
      <w:r w:rsidRPr="00E02273">
        <w:rPr>
          <w:lang w:val="en-CA"/>
        </w:rPr>
        <w:t xml:space="preserve">is consistent </w:t>
      </w:r>
      <w:r w:rsidR="00022643" w:rsidRPr="00E02273">
        <w:rPr>
          <w:lang w:val="en-CA"/>
        </w:rPr>
        <w:t xml:space="preserve">with this </w:t>
      </w:r>
      <w:r w:rsidR="002D51A4" w:rsidRPr="00E02273">
        <w:rPr>
          <w:lang w:val="en-CA"/>
        </w:rPr>
        <w:t xml:space="preserve">conclusion. </w:t>
      </w:r>
      <w:r w:rsidR="00022643" w:rsidRPr="00E02273">
        <w:rPr>
          <w:lang w:val="en-CA"/>
        </w:rPr>
        <w:t xml:space="preserve">Although that judgment concerns the </w:t>
      </w:r>
      <w:r w:rsidR="002D51A4" w:rsidRPr="00E02273">
        <w:rPr>
          <w:lang w:val="en-CA"/>
        </w:rPr>
        <w:t>incompatibilit</w:t>
      </w:r>
      <w:r w:rsidR="00022643" w:rsidRPr="00E02273">
        <w:rPr>
          <w:lang w:val="en-CA"/>
        </w:rPr>
        <w:t xml:space="preserve">y of </w:t>
      </w:r>
      <w:r w:rsidR="009D4902">
        <w:rPr>
          <w:lang w:val="en-CA"/>
        </w:rPr>
        <w:t xml:space="preserve">the </w:t>
      </w:r>
      <w:r w:rsidR="00022643" w:rsidRPr="00E02273">
        <w:rPr>
          <w:lang w:val="en-CA"/>
        </w:rPr>
        <w:t xml:space="preserve">new paragraphs </w:t>
      </w:r>
      <w:r w:rsidR="002D51A4" w:rsidRPr="00E02273">
        <w:rPr>
          <w:lang w:val="en-CA"/>
        </w:rPr>
        <w:t>(4)</w:t>
      </w:r>
      <w:r w:rsidR="00022643" w:rsidRPr="00E02273">
        <w:rPr>
          <w:lang w:val="en-CA"/>
        </w:rPr>
        <w:t>(</w:t>
      </w:r>
      <w:r w:rsidR="002D51A4" w:rsidRPr="009D4902">
        <w:rPr>
          <w:lang w:val="en-CA"/>
        </w:rPr>
        <w:t>a</w:t>
      </w:r>
      <w:r w:rsidR="002D51A4" w:rsidRPr="00E02273">
        <w:rPr>
          <w:lang w:val="en-CA"/>
        </w:rPr>
        <w:t xml:space="preserve">) </w:t>
      </w:r>
      <w:r w:rsidR="00022643" w:rsidRPr="00E02273">
        <w:rPr>
          <w:lang w:val="en-CA"/>
        </w:rPr>
        <w:t>and</w:t>
      </w:r>
      <w:r w:rsidR="002D51A4" w:rsidRPr="00E02273">
        <w:rPr>
          <w:lang w:val="en-CA"/>
        </w:rPr>
        <w:t xml:space="preserve"> </w:t>
      </w:r>
      <w:r w:rsidR="00022643" w:rsidRPr="00E02273">
        <w:rPr>
          <w:lang w:val="en-CA"/>
        </w:rPr>
        <w:t>(</w:t>
      </w:r>
      <w:r w:rsidR="002D51A4" w:rsidRPr="009D4902">
        <w:rPr>
          <w:lang w:val="en-CA"/>
        </w:rPr>
        <w:t>b</w:t>
      </w:r>
      <w:r w:rsidR="002D51A4" w:rsidRPr="00E02273">
        <w:rPr>
          <w:lang w:val="en-CA"/>
        </w:rPr>
        <w:t xml:space="preserve">) </w:t>
      </w:r>
      <w:r w:rsidR="00022643" w:rsidRPr="00E02273">
        <w:rPr>
          <w:lang w:val="en-CA"/>
        </w:rPr>
        <w:t xml:space="preserve">of the </w:t>
      </w:r>
      <w:r w:rsidR="00022643" w:rsidRPr="00E02273">
        <w:rPr>
          <w:i/>
          <w:lang w:val="en-CA"/>
        </w:rPr>
        <w:t xml:space="preserve">Regulations </w:t>
      </w:r>
      <w:r w:rsidR="00022643" w:rsidRPr="00E02273">
        <w:rPr>
          <w:lang w:val="en-CA"/>
        </w:rPr>
        <w:t xml:space="preserve">with the Board’s statutory mandate, the reasoning </w:t>
      </w:r>
      <w:r w:rsidR="00781EA1" w:rsidRPr="00E02273">
        <w:rPr>
          <w:lang w:val="en-CA"/>
        </w:rPr>
        <w:t xml:space="preserve">is </w:t>
      </w:r>
      <w:r w:rsidR="002D51A4" w:rsidRPr="00E02273">
        <w:rPr>
          <w:lang w:val="en-CA"/>
        </w:rPr>
        <w:t>relevant</w:t>
      </w:r>
      <w:r w:rsidR="00781EA1" w:rsidRPr="00E02273">
        <w:rPr>
          <w:lang w:val="en-CA"/>
        </w:rPr>
        <w:t xml:space="preserve"> to this case:</w:t>
      </w:r>
      <w:r w:rsidR="002D51A4" w:rsidRPr="00E02273">
        <w:rPr>
          <w:rStyle w:val="Appelnotedebasdep"/>
          <w:lang w:val="en-CA"/>
        </w:rPr>
        <w:footnoteReference w:id="189"/>
      </w:r>
      <w:r w:rsidR="002D51A4" w:rsidRPr="00E02273">
        <w:rPr>
          <w:lang w:val="en-CA"/>
        </w:rPr>
        <w:t> </w:t>
      </w:r>
    </w:p>
    <w:p w14:paraId="5DC901AB" w14:textId="1DF91264" w:rsidR="00B568AD" w:rsidRPr="00E02273" w:rsidRDefault="002D51A4" w:rsidP="00B568AD">
      <w:pPr>
        <w:pStyle w:val="Citationenretrait"/>
        <w:spacing w:line="240" w:lineRule="auto"/>
        <w:rPr>
          <w:rFonts w:ascii="Times New Roman" w:hAnsi="Times New Roman"/>
          <w:kern w:val="0"/>
          <w:u w:val="single"/>
          <w:lang w:val="en-CA" w:eastAsia="fr-CA"/>
        </w:rPr>
      </w:pPr>
      <w:r w:rsidRPr="00E02273">
        <w:rPr>
          <w:lang w:val="en-CA"/>
        </w:rPr>
        <w:t>[</w:t>
      </w:r>
      <w:bookmarkStart w:id="59" w:name="par196"/>
      <w:bookmarkEnd w:id="59"/>
      <w:r w:rsidRPr="00E02273">
        <w:rPr>
          <w:lang w:val="en-CA"/>
        </w:rPr>
        <w:t>196]</w:t>
      </w:r>
      <w:r w:rsidRPr="00E02273">
        <w:rPr>
          <w:sz w:val="14"/>
          <w:szCs w:val="14"/>
          <w:lang w:val="en-CA"/>
        </w:rPr>
        <w:tab/>
      </w:r>
      <w:r w:rsidR="005A0782" w:rsidRPr="00E02273">
        <w:rPr>
          <w:color w:val="000000"/>
          <w:kern w:val="0"/>
          <w:lang w:val="en-CA"/>
        </w:rPr>
        <w:t>I cannot accept the Respondent’s submission that </w:t>
      </w:r>
      <w:r w:rsidR="005A0782" w:rsidRPr="00E02273">
        <w:rPr>
          <w:rStyle w:val="Accentuation"/>
          <w:color w:val="000000"/>
          <w:kern w:val="0"/>
          <w:lang w:val="en-CA"/>
        </w:rPr>
        <w:t>Celgene </w:t>
      </w:r>
      <w:r w:rsidR="005A0782" w:rsidRPr="00E02273">
        <w:rPr>
          <w:color w:val="000000"/>
          <w:kern w:val="0"/>
          <w:lang w:val="en-CA"/>
        </w:rPr>
        <w:t>and </w:t>
      </w:r>
      <w:r w:rsidR="005A0782" w:rsidRPr="00E02273">
        <w:rPr>
          <w:rStyle w:val="Accentuation"/>
          <w:color w:val="000000"/>
          <w:kern w:val="0"/>
          <w:lang w:val="en-CA"/>
        </w:rPr>
        <w:t>Sandoz</w:t>
      </w:r>
      <w:r w:rsidR="005A0782" w:rsidRPr="00E02273">
        <w:rPr>
          <w:color w:val="000000"/>
          <w:kern w:val="0"/>
          <w:lang w:val="en-CA"/>
        </w:rPr>
        <w:t> generally instruct this Court to adopt a broad interpretation of the price at which a medicine is sold. Contrary to the Respondent’s suggestion that the Federal Court of Appeal in </w:t>
      </w:r>
      <w:r w:rsidR="005A0782" w:rsidRPr="00E02273">
        <w:rPr>
          <w:rStyle w:val="Accentuation"/>
          <w:color w:val="000000"/>
          <w:kern w:val="0"/>
          <w:lang w:val="en-CA"/>
        </w:rPr>
        <w:t>Sandoz</w:t>
      </w:r>
      <w:r w:rsidR="005A0782" w:rsidRPr="00E02273">
        <w:rPr>
          <w:color w:val="000000"/>
          <w:kern w:val="0"/>
          <w:lang w:val="en-CA"/>
        </w:rPr>
        <w:t> focused on the price </w:t>
      </w:r>
      <w:r w:rsidR="005A0782" w:rsidRPr="00E02273">
        <w:rPr>
          <w:rStyle w:val="Accentuation"/>
          <w:color w:val="000000"/>
          <w:kern w:val="0"/>
          <w:lang w:val="en-CA"/>
        </w:rPr>
        <w:t>obtained</w:t>
      </w:r>
      <w:r w:rsidR="005A0782" w:rsidRPr="00E02273">
        <w:rPr>
          <w:color w:val="000000"/>
          <w:kern w:val="0"/>
          <w:lang w:val="en-CA"/>
        </w:rPr>
        <w:t> by the patentee, the analysis in fact focused on the definition of </w:t>
      </w:r>
      <w:r w:rsidR="005A0782" w:rsidRPr="00E02273">
        <w:rPr>
          <w:rStyle w:val="citationcar0"/>
          <w:kern w:val="0"/>
          <w:lang w:val="en-CA"/>
        </w:rPr>
        <w:t>“patentee”</w:t>
      </w:r>
      <w:r w:rsidR="005A0782" w:rsidRPr="00E02273">
        <w:rPr>
          <w:color w:val="000000"/>
          <w:kern w:val="0"/>
          <w:lang w:val="en-CA"/>
        </w:rPr>
        <w:t> and the “</w:t>
      </w:r>
      <w:r w:rsidR="005A0782" w:rsidRPr="00E02273">
        <w:rPr>
          <w:rStyle w:val="citationcar0"/>
          <w:kern w:val="0"/>
          <w:lang w:val="en-CA"/>
        </w:rPr>
        <w:t>price </w:t>
      </w:r>
      <w:r w:rsidR="005A0782" w:rsidRPr="00E02273">
        <w:rPr>
          <w:rStyle w:val="Accentuation"/>
          <w:kern w:val="0"/>
          <w:lang w:val="en-CA"/>
        </w:rPr>
        <w:t>charged</w:t>
      </w:r>
      <w:r w:rsidR="005A0782" w:rsidRPr="00E02273">
        <w:rPr>
          <w:rStyle w:val="citationcar0"/>
          <w:kern w:val="0"/>
          <w:lang w:val="en-CA"/>
        </w:rPr>
        <w:t> by the patentee”</w:t>
      </w:r>
      <w:r w:rsidR="005A0782" w:rsidRPr="00E02273">
        <w:rPr>
          <w:color w:val="000000"/>
          <w:kern w:val="0"/>
          <w:lang w:val="en-CA"/>
        </w:rPr>
        <w:t> (</w:t>
      </w:r>
      <w:r w:rsidR="005A0782" w:rsidRPr="00E02273">
        <w:rPr>
          <w:rStyle w:val="Accentuation"/>
          <w:color w:val="000000"/>
          <w:kern w:val="0"/>
          <w:lang w:val="en-CA"/>
        </w:rPr>
        <w:t>Sandoz </w:t>
      </w:r>
      <w:r w:rsidR="005A0782" w:rsidRPr="00E02273">
        <w:rPr>
          <w:color w:val="000000"/>
          <w:kern w:val="0"/>
          <w:lang w:val="en-CA"/>
        </w:rPr>
        <w:t>at para </w:t>
      </w:r>
      <w:r w:rsidR="005A0782" w:rsidRPr="00E02273">
        <w:rPr>
          <w:kern w:val="0"/>
          <w:lang w:val="en-CA"/>
        </w:rPr>
        <w:t>76</w:t>
      </w:r>
      <w:r w:rsidR="005A0782" w:rsidRPr="00E02273">
        <w:rPr>
          <w:color w:val="000000"/>
          <w:kern w:val="0"/>
          <w:lang w:val="en-CA"/>
        </w:rPr>
        <w:t xml:space="preserve">, emphasis added). </w:t>
      </w:r>
      <w:r w:rsidR="005A0782" w:rsidRPr="00E02273">
        <w:rPr>
          <w:color w:val="000000"/>
          <w:kern w:val="0"/>
          <w:u w:val="single"/>
          <w:lang w:val="en-CA"/>
        </w:rPr>
        <w:t>In both </w:t>
      </w:r>
      <w:r w:rsidR="005A0782" w:rsidRPr="00E02273">
        <w:rPr>
          <w:rStyle w:val="Accentuation"/>
          <w:color w:val="000000"/>
          <w:kern w:val="0"/>
          <w:u w:val="single"/>
          <w:lang w:val="en-CA"/>
        </w:rPr>
        <w:t>Celgene </w:t>
      </w:r>
      <w:r w:rsidR="005A0782" w:rsidRPr="00E02273">
        <w:rPr>
          <w:color w:val="000000"/>
          <w:kern w:val="0"/>
          <w:u w:val="single"/>
          <w:lang w:val="en-CA"/>
        </w:rPr>
        <w:t>and </w:t>
      </w:r>
      <w:r w:rsidR="005A0782" w:rsidRPr="00E02273">
        <w:rPr>
          <w:rStyle w:val="Accentuation"/>
          <w:color w:val="000000"/>
          <w:kern w:val="0"/>
          <w:u w:val="single"/>
          <w:lang w:val="en-CA"/>
        </w:rPr>
        <w:t>Sandoz</w:t>
      </w:r>
      <w:r w:rsidR="005A0782" w:rsidRPr="00E02273">
        <w:rPr>
          <w:color w:val="000000"/>
          <w:kern w:val="0"/>
          <w:u w:val="single"/>
          <w:lang w:val="en-CA"/>
        </w:rPr>
        <w:t>, the Courts recognized that the Board’s jurisdiction is over sales made by patentees to customers</w:t>
      </w:r>
      <w:r w:rsidR="005A0782" w:rsidRPr="00E02273">
        <w:rPr>
          <w:color w:val="000000"/>
          <w:kern w:val="0"/>
          <w:lang w:val="en-CA"/>
        </w:rPr>
        <w:t>.</w:t>
      </w:r>
    </w:p>
    <w:p w14:paraId="0351EB92" w14:textId="60AF1008" w:rsidR="00B568AD" w:rsidRPr="00E02273" w:rsidRDefault="002D51A4" w:rsidP="00B568AD">
      <w:pPr>
        <w:pStyle w:val="Citationenretrait"/>
        <w:spacing w:line="240" w:lineRule="auto"/>
        <w:rPr>
          <w:lang w:val="en-CA"/>
        </w:rPr>
      </w:pPr>
      <w:r w:rsidRPr="00E02273">
        <w:rPr>
          <w:lang w:val="en-CA"/>
        </w:rPr>
        <w:t>[</w:t>
      </w:r>
      <w:bookmarkStart w:id="60" w:name="par197"/>
      <w:bookmarkEnd w:id="60"/>
      <w:r w:rsidRPr="00E02273">
        <w:rPr>
          <w:lang w:val="en-CA"/>
        </w:rPr>
        <w:t>197]</w:t>
      </w:r>
      <w:r w:rsidRPr="00E02273">
        <w:rPr>
          <w:lang w:val="en-CA"/>
        </w:rPr>
        <w:tab/>
      </w:r>
      <w:r w:rsidR="005A0782" w:rsidRPr="00E02273">
        <w:rPr>
          <w:color w:val="000000"/>
          <w:lang w:val="en-CA"/>
        </w:rPr>
        <w:t>Because the New Price Calculation directly links to paragraph 80(1)(b) of the </w:t>
      </w:r>
      <w:r w:rsidR="005A0782" w:rsidRPr="00E02273">
        <w:rPr>
          <w:rStyle w:val="Accentuation"/>
          <w:color w:val="000000"/>
          <w:lang w:val="en-CA"/>
        </w:rPr>
        <w:t>Patent Act, </w:t>
      </w:r>
      <w:r w:rsidR="005A0782" w:rsidRPr="00E02273">
        <w:rPr>
          <w:color w:val="000000"/>
          <w:u w:val="single"/>
          <w:lang w:val="en-CA"/>
        </w:rPr>
        <w:t>the Governor in Council’s regulation-making authority is limited to specifying information respecting the price at which the patentee sells the medicine</w:t>
      </w:r>
      <w:r w:rsidR="005A0782" w:rsidRPr="00E02273">
        <w:rPr>
          <w:color w:val="000000"/>
          <w:lang w:val="en-CA"/>
        </w:rPr>
        <w:t>. I adopt the words of Justice Mactavish that to interpret the term </w:t>
      </w:r>
      <w:r w:rsidR="005A0782" w:rsidRPr="00E02273">
        <w:rPr>
          <w:rStyle w:val="citationcar0"/>
          <w:lang w:val="en-CA"/>
        </w:rPr>
        <w:t>“sale”</w:t>
      </w:r>
      <w:r w:rsidR="005A0782" w:rsidRPr="00E02273">
        <w:rPr>
          <w:color w:val="000000"/>
          <w:lang w:val="en-CA"/>
        </w:rPr>
        <w:t> (or </w:t>
      </w:r>
      <w:r w:rsidR="005A0782" w:rsidRPr="00E02273">
        <w:rPr>
          <w:rStyle w:val="citationcar0"/>
          <w:lang w:val="en-CA"/>
        </w:rPr>
        <w:t>“sold”</w:t>
      </w:r>
      <w:r w:rsidR="005A0782" w:rsidRPr="00E02273">
        <w:rPr>
          <w:color w:val="000000"/>
          <w:lang w:val="en-CA"/>
        </w:rPr>
        <w:t>) in such a way as to encompass the relationship between patentees and third parties who do not purchase or take title of medicines from patentees would </w:t>
      </w:r>
      <w:r w:rsidR="005A0782" w:rsidRPr="00E02273">
        <w:rPr>
          <w:rStyle w:val="citationcar0"/>
          <w:lang w:val="en-CA"/>
        </w:rPr>
        <w:t>“do violence to the ordinary meaning of the term”</w:t>
      </w:r>
      <w:r w:rsidR="005A0782" w:rsidRPr="00E02273">
        <w:rPr>
          <w:color w:val="000000"/>
          <w:lang w:val="en-CA"/>
        </w:rPr>
        <w:t> (</w:t>
      </w:r>
      <w:r w:rsidR="005A0782" w:rsidRPr="00E02273">
        <w:rPr>
          <w:rStyle w:val="Accentuation"/>
          <w:color w:val="000000"/>
          <w:lang w:val="en-CA"/>
        </w:rPr>
        <w:t>Pfizer </w:t>
      </w:r>
      <w:r w:rsidR="005A0782" w:rsidRPr="00E02273">
        <w:rPr>
          <w:color w:val="000000"/>
          <w:lang w:val="en-CA"/>
        </w:rPr>
        <w:t>at para </w:t>
      </w:r>
      <w:r w:rsidR="005A0782" w:rsidRPr="00E02273">
        <w:rPr>
          <w:lang w:val="en-CA"/>
        </w:rPr>
        <w:t>78</w:t>
      </w:r>
      <w:r w:rsidR="005A0782" w:rsidRPr="00E02273">
        <w:rPr>
          <w:color w:val="000000"/>
          <w:lang w:val="en-CA"/>
        </w:rPr>
        <w:t>).</w:t>
      </w:r>
      <w:r w:rsidR="005A0782" w:rsidRPr="00E02273">
        <w:rPr>
          <w:lang w:val="en-CA"/>
        </w:rPr>
        <w:t xml:space="preserve"> </w:t>
      </w:r>
    </w:p>
    <w:p w14:paraId="78C6E979" w14:textId="37F0ED93" w:rsidR="00B568AD" w:rsidRPr="00E02273" w:rsidRDefault="002D51A4" w:rsidP="00B568AD">
      <w:pPr>
        <w:pStyle w:val="Citationenretrait"/>
        <w:spacing w:line="240" w:lineRule="auto"/>
        <w:rPr>
          <w:u w:val="single"/>
          <w:lang w:val="en-CA"/>
        </w:rPr>
      </w:pPr>
      <w:r w:rsidRPr="00E02273">
        <w:rPr>
          <w:lang w:val="en-CA"/>
        </w:rPr>
        <w:t>[</w:t>
      </w:r>
      <w:bookmarkStart w:id="61" w:name="par198"/>
      <w:bookmarkEnd w:id="61"/>
      <w:r w:rsidRPr="00E02273">
        <w:rPr>
          <w:lang w:val="en-CA"/>
        </w:rPr>
        <w:t>198]</w:t>
      </w:r>
      <w:r w:rsidRPr="00E02273">
        <w:rPr>
          <w:sz w:val="14"/>
          <w:szCs w:val="14"/>
          <w:lang w:val="en-CA"/>
        </w:rPr>
        <w:tab/>
      </w:r>
      <w:r w:rsidR="001B0E9D" w:rsidRPr="00E02273">
        <w:rPr>
          <w:color w:val="000000"/>
          <w:lang w:val="en-CA"/>
        </w:rPr>
        <w:t>Furthermore, the New Price Calculation is inconsistent with </w:t>
      </w:r>
      <w:r w:rsidR="001B0E9D" w:rsidRPr="00E02273">
        <w:rPr>
          <w:lang w:val="en-CA"/>
        </w:rPr>
        <w:t>subparagraph 4(1)</w:t>
      </w:r>
      <w:r w:rsidR="001B0E9D" w:rsidRPr="00E02273">
        <w:rPr>
          <w:color w:val="000000"/>
          <w:lang w:val="en-CA"/>
        </w:rPr>
        <w:t>(f)(i) of the </w:t>
      </w:r>
      <w:r w:rsidR="001B0E9D" w:rsidRPr="00E02273">
        <w:rPr>
          <w:rStyle w:val="Accentuation"/>
          <w:color w:val="000000"/>
          <w:lang w:val="en-CA"/>
        </w:rPr>
        <w:t>Regulations</w:t>
      </w:r>
      <w:r w:rsidR="001B0E9D" w:rsidRPr="00E02273">
        <w:rPr>
          <w:color w:val="000000"/>
          <w:lang w:val="en-CA"/>
        </w:rPr>
        <w:t>, which requires patentees to indicate the price at which a medicine was </w:t>
      </w:r>
      <w:r w:rsidR="001B0E9D" w:rsidRPr="00E02273">
        <w:rPr>
          <w:rStyle w:val="citationcar0"/>
          <w:lang w:val="en-CA"/>
        </w:rPr>
        <w:t>“sold by the patentee … to each class of customer”</w:t>
      </w:r>
      <w:r w:rsidR="001B0E9D" w:rsidRPr="00E02273">
        <w:rPr>
          <w:color w:val="000000"/>
          <w:lang w:val="en-CA"/>
        </w:rPr>
        <w:t xml:space="preserve">. </w:t>
      </w:r>
      <w:r w:rsidR="001B0E9D" w:rsidRPr="00E02273">
        <w:rPr>
          <w:color w:val="000000"/>
          <w:u w:val="single"/>
          <w:lang w:val="en-CA"/>
        </w:rPr>
        <w:t>Requiring patentees to take into account financial transactions with third parties who are not customers—and are</w:t>
      </w:r>
      <w:r w:rsidR="001F2ABF">
        <w:rPr>
          <w:rStyle w:val="Appelnotedebasdep"/>
          <w:color w:val="000000"/>
          <w:u w:val="single"/>
        </w:rPr>
        <w:footnoteReference w:id="190"/>
      </w:r>
      <w:r w:rsidR="001B0E9D" w:rsidRPr="00E02273">
        <w:rPr>
          <w:color w:val="000000"/>
          <w:u w:val="single"/>
          <w:lang w:val="en-CA"/>
        </w:rPr>
        <w:t xml:space="preserve"> strangers to the original sale transaction—exceeds the scope of the Governor in Council’s statutory mandate by untethering the price calculation from the sale of the patented medicine</w:t>
      </w:r>
      <w:r w:rsidR="001B0E9D" w:rsidRPr="00E02273">
        <w:rPr>
          <w:color w:val="000000"/>
          <w:lang w:val="en-CA"/>
        </w:rPr>
        <w:t>.</w:t>
      </w:r>
      <w:r w:rsidR="001B0E9D" w:rsidRPr="00E02273">
        <w:rPr>
          <w:lang w:val="en-CA"/>
        </w:rPr>
        <w:t xml:space="preserve"> </w:t>
      </w:r>
    </w:p>
    <w:p w14:paraId="01F7B1F6" w14:textId="6DCDA963" w:rsidR="00B568AD" w:rsidRPr="00E02273" w:rsidRDefault="002D51A4" w:rsidP="00B568AD">
      <w:pPr>
        <w:pStyle w:val="Citationenretrait"/>
        <w:spacing w:line="240" w:lineRule="auto"/>
        <w:rPr>
          <w:lang w:val="en-CA"/>
        </w:rPr>
      </w:pPr>
      <w:r w:rsidRPr="00E02273">
        <w:rPr>
          <w:lang w:val="en-CA"/>
        </w:rPr>
        <w:t>[</w:t>
      </w:r>
      <w:bookmarkStart w:id="62" w:name="par199"/>
      <w:bookmarkEnd w:id="62"/>
      <w:r w:rsidRPr="00E02273">
        <w:rPr>
          <w:lang w:val="en-CA"/>
        </w:rPr>
        <w:t>199]</w:t>
      </w:r>
      <w:r w:rsidRPr="00E02273">
        <w:rPr>
          <w:sz w:val="14"/>
          <w:szCs w:val="14"/>
          <w:lang w:val="en-CA"/>
        </w:rPr>
        <w:tab/>
      </w:r>
      <w:r w:rsidR="001B0E9D" w:rsidRPr="00E02273">
        <w:rPr>
          <w:color w:val="000000"/>
          <w:u w:val="single"/>
          <w:lang w:val="en-CA"/>
        </w:rPr>
        <w:t>It bears repeating that the Board’s mandate under the </w:t>
      </w:r>
      <w:r w:rsidR="001B0E9D" w:rsidRPr="00E02273">
        <w:rPr>
          <w:rStyle w:val="Accentuation"/>
          <w:color w:val="000000"/>
          <w:u w:val="single"/>
          <w:lang w:val="en-CA"/>
        </w:rPr>
        <w:t>Patent Act </w:t>
      </w:r>
      <w:r w:rsidR="001B0E9D" w:rsidRPr="00E02273">
        <w:rPr>
          <w:color w:val="000000"/>
          <w:u w:val="single"/>
          <w:lang w:val="en-CA"/>
        </w:rPr>
        <w:t>is not to set prices for patented medicines, and the Board does not regulate profits made by patentees.</w:t>
      </w:r>
      <w:r w:rsidR="001B0E9D" w:rsidRPr="00E02273">
        <w:rPr>
          <w:rStyle w:val="lev"/>
          <w:color w:val="000000"/>
          <w:u w:val="single"/>
          <w:lang w:val="en-CA"/>
        </w:rPr>
        <w:t> </w:t>
      </w:r>
      <w:r w:rsidR="001B0E9D" w:rsidRPr="00E02273">
        <w:rPr>
          <w:color w:val="000000"/>
          <w:u w:val="single"/>
          <w:lang w:val="en-CA"/>
        </w:rPr>
        <w:t>The Board’s mandate to control prices is only engaged where it finds a patentee has abused its monopoly by charging excessive prices</w:t>
      </w:r>
      <w:r w:rsidR="001B0E9D" w:rsidRPr="00E02273">
        <w:rPr>
          <w:color w:val="000000"/>
          <w:lang w:val="en-CA"/>
        </w:rPr>
        <w:t>. The Board’s role is </w:t>
      </w:r>
      <w:r w:rsidR="001B0E9D" w:rsidRPr="00E02273">
        <w:rPr>
          <w:rStyle w:val="citationcar0"/>
          <w:lang w:val="en-CA"/>
        </w:rPr>
        <w:t>“to monitor the </w:t>
      </w:r>
      <w:r w:rsidR="001B0E9D" w:rsidRPr="00E02273">
        <w:rPr>
          <w:rStyle w:val="Accentuation"/>
          <w:lang w:val="en-CA"/>
        </w:rPr>
        <w:t>prices charged by patentees</w:t>
      </w:r>
      <w:r w:rsidR="001B0E9D" w:rsidRPr="00E02273">
        <w:rPr>
          <w:rStyle w:val="citationcar0"/>
          <w:lang w:val="en-CA"/>
        </w:rPr>
        <w:t> for patented medicines, so as to ensure that these prices are not excessive”</w:t>
      </w:r>
      <w:r w:rsidR="001B0E9D" w:rsidRPr="00E02273">
        <w:rPr>
          <w:color w:val="000000"/>
          <w:lang w:val="en-CA"/>
        </w:rPr>
        <w:t> (</w:t>
      </w:r>
      <w:r w:rsidR="001B0E9D" w:rsidRPr="00E02273">
        <w:rPr>
          <w:rStyle w:val="Accentuation"/>
          <w:color w:val="000000"/>
          <w:lang w:val="en-CA"/>
        </w:rPr>
        <w:t>Pfizer </w:t>
      </w:r>
      <w:r w:rsidR="001B0E9D" w:rsidRPr="00E02273">
        <w:rPr>
          <w:color w:val="000000"/>
          <w:lang w:val="en-CA"/>
        </w:rPr>
        <w:t>at para </w:t>
      </w:r>
      <w:r w:rsidR="001B0E9D" w:rsidRPr="00E02273">
        <w:rPr>
          <w:lang w:val="en-CA"/>
        </w:rPr>
        <w:t>70</w:t>
      </w:r>
      <w:r w:rsidR="001B0E9D" w:rsidRPr="00E02273">
        <w:rPr>
          <w:color w:val="000000"/>
          <w:lang w:val="en-CA"/>
        </w:rPr>
        <w:t xml:space="preserve">, emphasis added). </w:t>
      </w:r>
      <w:r w:rsidR="001B0E9D" w:rsidRPr="00E02273">
        <w:rPr>
          <w:color w:val="000000"/>
          <w:lang w:val="en-CA"/>
        </w:rPr>
        <w:lastRenderedPageBreak/>
        <w:t>This interpretation of the Board’s role accords with the extrinsic evidence of legislative intent quoted above at paragraphs 85-87.</w:t>
      </w:r>
    </w:p>
    <w:p w14:paraId="1672DD3F" w14:textId="5371C0CF" w:rsidR="00B568AD" w:rsidRPr="00E02273" w:rsidRDefault="002D51A4" w:rsidP="00B568AD">
      <w:pPr>
        <w:pStyle w:val="Citationenretrait"/>
        <w:spacing w:after="240" w:line="240" w:lineRule="auto"/>
        <w:jc w:val="right"/>
        <w:rPr>
          <w:lang w:val="en-CA"/>
        </w:rPr>
      </w:pPr>
      <w:r w:rsidRPr="00E02273">
        <w:rPr>
          <w:lang w:val="en-CA"/>
        </w:rPr>
        <w:t>[Emphasis</w:t>
      </w:r>
      <w:r w:rsidR="001B0E9D" w:rsidRPr="00E02273">
        <w:rPr>
          <w:lang w:val="en-CA"/>
        </w:rPr>
        <w:t xml:space="preserve"> </w:t>
      </w:r>
      <w:r w:rsidRPr="00E02273">
        <w:rPr>
          <w:lang w:val="en-CA"/>
        </w:rPr>
        <w:t>added</w:t>
      </w:r>
      <w:r w:rsidR="001B0E9D" w:rsidRPr="00E02273">
        <w:rPr>
          <w:lang w:val="en-CA"/>
        </w:rPr>
        <w:t>.</w:t>
      </w:r>
      <w:r w:rsidRPr="00E02273">
        <w:rPr>
          <w:lang w:val="en-CA"/>
        </w:rPr>
        <w:t>]</w:t>
      </w:r>
    </w:p>
    <w:p w14:paraId="4F9E7A2D" w14:textId="2E04E177" w:rsidR="00B568AD" w:rsidRPr="00E02273" w:rsidRDefault="001B0E9D" w:rsidP="00B568AD">
      <w:pPr>
        <w:pStyle w:val="Citationenretrait"/>
        <w:numPr>
          <w:ilvl w:val="0"/>
          <w:numId w:val="36"/>
        </w:numPr>
        <w:spacing w:before="0" w:line="240" w:lineRule="auto"/>
        <w:rPr>
          <w:sz w:val="24"/>
          <w:szCs w:val="24"/>
          <w:u w:val="single"/>
          <w:lang w:val="en-CA"/>
        </w:rPr>
      </w:pPr>
      <w:r w:rsidRPr="00E02273">
        <w:rPr>
          <w:sz w:val="24"/>
          <w:szCs w:val="24"/>
          <w:u w:val="single"/>
          <w:lang w:val="en-CA"/>
        </w:rPr>
        <w:t xml:space="preserve">The </w:t>
      </w:r>
      <w:r w:rsidR="002D51A4" w:rsidRPr="003C0405">
        <w:rPr>
          <w:sz w:val="24"/>
          <w:szCs w:val="24"/>
          <w:u w:val="single"/>
          <w:lang w:val="en-CA"/>
        </w:rPr>
        <w:t>federal</w:t>
      </w:r>
      <w:r w:rsidRPr="003C0405">
        <w:rPr>
          <w:sz w:val="24"/>
          <w:szCs w:val="24"/>
          <w:u w:val="single"/>
          <w:lang w:val="en-CA"/>
        </w:rPr>
        <w:t xml:space="preserve"> </w:t>
      </w:r>
      <w:r w:rsidR="002D51A4" w:rsidRPr="003C0405">
        <w:rPr>
          <w:sz w:val="24"/>
          <w:szCs w:val="24"/>
          <w:u w:val="single"/>
          <w:lang w:val="en-CA"/>
        </w:rPr>
        <w:t>jurisdiction</w:t>
      </w:r>
      <w:r w:rsidRPr="003C0405">
        <w:rPr>
          <w:sz w:val="24"/>
          <w:szCs w:val="24"/>
          <w:u w:val="single"/>
          <w:lang w:val="en-CA"/>
        </w:rPr>
        <w:t xml:space="preserve"> concerns the </w:t>
      </w:r>
      <w:r w:rsidR="002D51A4" w:rsidRPr="00E02273">
        <w:rPr>
          <w:sz w:val="24"/>
          <w:szCs w:val="24"/>
          <w:u w:val="single"/>
          <w:lang w:val="en-CA"/>
        </w:rPr>
        <w:t>effe</w:t>
      </w:r>
      <w:r w:rsidR="00B907F6" w:rsidRPr="00E02273">
        <w:rPr>
          <w:sz w:val="24"/>
          <w:szCs w:val="24"/>
          <w:u w:val="single"/>
          <w:lang w:val="en-CA"/>
        </w:rPr>
        <w:t>c</w:t>
      </w:r>
      <w:r w:rsidR="002D51A4" w:rsidRPr="00E02273">
        <w:rPr>
          <w:sz w:val="24"/>
          <w:szCs w:val="24"/>
          <w:u w:val="single"/>
          <w:lang w:val="en-CA"/>
        </w:rPr>
        <w:t xml:space="preserve">ts </w:t>
      </w:r>
      <w:r w:rsidR="00B907F6" w:rsidRPr="00E02273">
        <w:rPr>
          <w:sz w:val="24"/>
          <w:szCs w:val="24"/>
          <w:u w:val="single"/>
          <w:lang w:val="en-CA"/>
        </w:rPr>
        <w:t xml:space="preserve">on prices of the monopoly granted by patents on medicines </w:t>
      </w:r>
    </w:p>
    <w:p w14:paraId="0DC1FB59" w14:textId="43AC7CBF" w:rsidR="00B568AD" w:rsidRPr="00E02273" w:rsidRDefault="00F343AF" w:rsidP="00440F45">
      <w:pPr>
        <w:pStyle w:val="Paragraphe"/>
        <w:tabs>
          <w:tab w:val="clear" w:pos="4973"/>
          <w:tab w:val="num" w:pos="709"/>
        </w:tabs>
        <w:spacing w:line="240" w:lineRule="auto"/>
        <w:ind w:left="0"/>
        <w:rPr>
          <w:lang w:val="en-CA"/>
        </w:rPr>
      </w:pPr>
      <w:r w:rsidRPr="00E02273">
        <w:rPr>
          <w:lang w:val="en-CA"/>
        </w:rPr>
        <w:t xml:space="preserve">Recall that the </w:t>
      </w:r>
      <w:r w:rsidR="002D51A4" w:rsidRPr="00E02273">
        <w:rPr>
          <w:lang w:val="en-CA"/>
        </w:rPr>
        <w:t>federal</w:t>
      </w:r>
      <w:r w:rsidRPr="00E02273">
        <w:rPr>
          <w:lang w:val="en-CA"/>
        </w:rPr>
        <w:t xml:space="preserve"> </w:t>
      </w:r>
      <w:r w:rsidR="002D51A4" w:rsidRPr="00E02273">
        <w:rPr>
          <w:lang w:val="en-CA"/>
        </w:rPr>
        <w:t>jurisdiction</w:t>
      </w:r>
      <w:r w:rsidRPr="00E02273">
        <w:rPr>
          <w:lang w:val="en-CA"/>
        </w:rPr>
        <w:t xml:space="preserve"> over patents is based on the </w:t>
      </w:r>
      <w:r w:rsidR="00B8073A">
        <w:rPr>
          <w:lang w:val="en-CA"/>
        </w:rPr>
        <w:t xml:space="preserve">very </w:t>
      </w:r>
      <w:r w:rsidRPr="00E02273">
        <w:rPr>
          <w:lang w:val="en-CA"/>
        </w:rPr>
        <w:t>concept of patent. It is thus well established that the patent represents a market agreed upon between the invent</w:t>
      </w:r>
      <w:r w:rsidR="00595251" w:rsidRPr="00E02273">
        <w:rPr>
          <w:lang w:val="en-CA"/>
        </w:rPr>
        <w:t>o</w:t>
      </w:r>
      <w:r w:rsidRPr="00E02273">
        <w:rPr>
          <w:lang w:val="en-CA"/>
        </w:rPr>
        <w:t xml:space="preserve">r and the </w:t>
      </w:r>
      <w:r w:rsidR="002D51A4" w:rsidRPr="00E02273">
        <w:rPr>
          <w:lang w:val="en-CA"/>
        </w:rPr>
        <w:t xml:space="preserve">public, </w:t>
      </w:r>
      <w:r w:rsidRPr="00E02273">
        <w:rPr>
          <w:lang w:val="en-CA"/>
        </w:rPr>
        <w:t>which, in exchange for the patent</w:t>
      </w:r>
      <w:r w:rsidR="00B8073A">
        <w:rPr>
          <w:lang w:val="en-CA"/>
        </w:rPr>
        <w:t xml:space="preserve"> monopoly</w:t>
      </w:r>
      <w:r w:rsidRPr="00E02273">
        <w:rPr>
          <w:lang w:val="en-CA"/>
        </w:rPr>
        <w:t xml:space="preserve">, requires the patentee to make </w:t>
      </w:r>
      <w:r w:rsidR="002D51A4" w:rsidRPr="00E02273">
        <w:rPr>
          <w:lang w:val="en-CA"/>
        </w:rPr>
        <w:t>publi</w:t>
      </w:r>
      <w:r w:rsidRPr="00E02273">
        <w:rPr>
          <w:lang w:val="en-CA"/>
        </w:rPr>
        <w:t xml:space="preserve">c the </w:t>
      </w:r>
      <w:r w:rsidR="00765437" w:rsidRPr="00E02273">
        <w:rPr>
          <w:lang w:val="en-CA"/>
        </w:rPr>
        <w:t xml:space="preserve">inventive </w:t>
      </w:r>
      <w:r w:rsidR="002D51A4" w:rsidRPr="00E02273">
        <w:rPr>
          <w:lang w:val="en-CA"/>
        </w:rPr>
        <w:t xml:space="preserve">solutions </w:t>
      </w:r>
      <w:r w:rsidR="00765437" w:rsidRPr="00E02273">
        <w:rPr>
          <w:lang w:val="en-CA"/>
        </w:rPr>
        <w:t xml:space="preserve">to </w:t>
      </w:r>
      <w:r w:rsidR="00B8073A">
        <w:rPr>
          <w:lang w:val="en-CA"/>
        </w:rPr>
        <w:t xml:space="preserve">practical </w:t>
      </w:r>
      <w:r w:rsidR="00765437" w:rsidRPr="00E02273">
        <w:rPr>
          <w:lang w:val="en-CA"/>
        </w:rPr>
        <w:t xml:space="preserve">problems through the disclosure of information </w:t>
      </w:r>
      <w:r w:rsidR="00B8073A">
        <w:rPr>
          <w:lang w:val="en-CA"/>
        </w:rPr>
        <w:t xml:space="preserve">that reveals how the invention </w:t>
      </w:r>
      <w:r w:rsidR="00765437" w:rsidRPr="00E02273">
        <w:rPr>
          <w:lang w:val="en-CA"/>
        </w:rPr>
        <w:t>function</w:t>
      </w:r>
      <w:r w:rsidR="00B8073A">
        <w:rPr>
          <w:lang w:val="en-CA"/>
        </w:rPr>
        <w:t>s</w:t>
      </w:r>
      <w:r w:rsidR="00765437" w:rsidRPr="00E02273">
        <w:rPr>
          <w:lang w:val="en-CA"/>
        </w:rPr>
        <w:t>.</w:t>
      </w:r>
      <w:r w:rsidR="002D51A4" w:rsidRPr="00E02273">
        <w:rPr>
          <w:rStyle w:val="Appelnotedebasdep"/>
          <w:lang w:val="en-CA"/>
        </w:rPr>
        <w:footnoteReference w:id="191"/>
      </w:r>
      <w:r w:rsidR="002D51A4" w:rsidRPr="00E02273">
        <w:rPr>
          <w:lang w:val="en-CA"/>
        </w:rPr>
        <w:t xml:space="preserve"> </w:t>
      </w:r>
    </w:p>
    <w:p w14:paraId="65D4477E" w14:textId="558C3139" w:rsidR="00B568AD" w:rsidRPr="00E02273" w:rsidRDefault="00556378" w:rsidP="00440F45">
      <w:pPr>
        <w:pStyle w:val="Paragraphe"/>
        <w:tabs>
          <w:tab w:val="clear" w:pos="4973"/>
          <w:tab w:val="num" w:pos="709"/>
        </w:tabs>
        <w:spacing w:line="240" w:lineRule="auto"/>
        <w:ind w:left="0"/>
        <w:rPr>
          <w:lang w:val="en-CA"/>
        </w:rPr>
      </w:pPr>
      <w:r w:rsidRPr="00E02273">
        <w:rPr>
          <w:lang w:val="en-CA"/>
        </w:rPr>
        <w:t xml:space="preserve">In certain cases, however, the </w:t>
      </w:r>
      <w:r w:rsidR="002D51A4" w:rsidRPr="00E02273">
        <w:rPr>
          <w:lang w:val="en-CA"/>
        </w:rPr>
        <w:t>monopol</w:t>
      </w:r>
      <w:r w:rsidRPr="00E02273">
        <w:rPr>
          <w:lang w:val="en-CA"/>
        </w:rPr>
        <w:t>y granted by the patent can have the effect of increasing the price of the patented product.</w:t>
      </w:r>
      <w:r w:rsidR="002D51A4" w:rsidRPr="00E02273">
        <w:rPr>
          <w:rStyle w:val="Appelnotedebasdep"/>
          <w:lang w:val="en-CA"/>
        </w:rPr>
        <w:footnoteReference w:id="192"/>
      </w:r>
      <w:r w:rsidRPr="00E02273">
        <w:rPr>
          <w:lang w:val="en-CA"/>
        </w:rPr>
        <w:t xml:space="preserve"> Although this</w:t>
      </w:r>
      <w:r w:rsidR="00D02145" w:rsidRPr="00E02273">
        <w:rPr>
          <w:lang w:val="en-CA"/>
        </w:rPr>
        <w:t xml:space="preserve"> p</w:t>
      </w:r>
      <w:r w:rsidR="002D51A4" w:rsidRPr="00E02273">
        <w:rPr>
          <w:lang w:val="en-CA"/>
        </w:rPr>
        <w:t>ossible effe</w:t>
      </w:r>
      <w:r w:rsidR="00D02145" w:rsidRPr="00E02273">
        <w:rPr>
          <w:lang w:val="en-CA"/>
        </w:rPr>
        <w:t>c</w:t>
      </w:r>
      <w:r w:rsidR="002D51A4" w:rsidRPr="00E02273">
        <w:rPr>
          <w:lang w:val="en-CA"/>
        </w:rPr>
        <w:t>t</w:t>
      </w:r>
      <w:r w:rsidR="00D02145" w:rsidRPr="00E02273">
        <w:rPr>
          <w:lang w:val="en-CA"/>
        </w:rPr>
        <w:t xml:space="preserve"> on prices resulting from the </w:t>
      </w:r>
      <w:r w:rsidR="002D51A4" w:rsidRPr="00E02273">
        <w:rPr>
          <w:lang w:val="en-CA"/>
        </w:rPr>
        <w:t>monopol</w:t>
      </w:r>
      <w:r w:rsidR="00D02145" w:rsidRPr="00E02273">
        <w:rPr>
          <w:lang w:val="en-CA"/>
        </w:rPr>
        <w:t xml:space="preserve">y may be socially </w:t>
      </w:r>
      <w:r w:rsidR="002D51A4" w:rsidRPr="00E02273">
        <w:rPr>
          <w:lang w:val="en-CA"/>
        </w:rPr>
        <w:t xml:space="preserve">acceptable </w:t>
      </w:r>
      <w:r w:rsidR="00D02145" w:rsidRPr="00E02273">
        <w:rPr>
          <w:lang w:val="en-CA"/>
        </w:rPr>
        <w:t xml:space="preserve">for most </w:t>
      </w:r>
      <w:r w:rsidR="00F32F06" w:rsidRPr="00E02273">
        <w:rPr>
          <w:lang w:val="en-CA"/>
        </w:rPr>
        <w:t xml:space="preserve">patented </w:t>
      </w:r>
      <w:r w:rsidR="00D02145" w:rsidRPr="00E02273">
        <w:rPr>
          <w:lang w:val="en-CA"/>
        </w:rPr>
        <w:t>products and processes, that is not always the case for patented medicines, since human health is at stake</w:t>
      </w:r>
      <w:r w:rsidR="002D51A4" w:rsidRPr="00E02273">
        <w:rPr>
          <w:lang w:val="en-CA"/>
        </w:rPr>
        <w:t xml:space="preserve">. </w:t>
      </w:r>
    </w:p>
    <w:p w14:paraId="1BC79587" w14:textId="079BD5E7" w:rsidR="00B568AD" w:rsidRPr="00E02273" w:rsidRDefault="001E1F8B" w:rsidP="00440F45">
      <w:pPr>
        <w:pStyle w:val="Paragraphe"/>
        <w:tabs>
          <w:tab w:val="clear" w:pos="4973"/>
          <w:tab w:val="num" w:pos="709"/>
        </w:tabs>
        <w:spacing w:line="240" w:lineRule="auto"/>
        <w:ind w:left="0"/>
        <w:rPr>
          <w:lang w:val="en-CA"/>
        </w:rPr>
      </w:pPr>
      <w:r w:rsidRPr="00E02273">
        <w:rPr>
          <w:lang w:val="en-CA"/>
        </w:rPr>
        <w:t>Pha</w:t>
      </w:r>
      <w:r w:rsidR="009D7203">
        <w:rPr>
          <w:lang w:val="en-CA"/>
        </w:rPr>
        <w:t>r</w:t>
      </w:r>
      <w:r w:rsidR="002D51A4" w:rsidRPr="00E02273">
        <w:rPr>
          <w:lang w:val="en-CA"/>
        </w:rPr>
        <w:t>maceuti</w:t>
      </w:r>
      <w:r w:rsidRPr="00E02273">
        <w:rPr>
          <w:lang w:val="en-CA"/>
        </w:rPr>
        <w:t xml:space="preserve">cal patents thus raise issues of </w:t>
      </w:r>
      <w:r w:rsidR="002D51A4" w:rsidRPr="00E02273">
        <w:rPr>
          <w:lang w:val="en-CA"/>
        </w:rPr>
        <w:t>public</w:t>
      </w:r>
      <w:r w:rsidRPr="00E02273">
        <w:rPr>
          <w:lang w:val="en-CA"/>
        </w:rPr>
        <w:t xml:space="preserve"> </w:t>
      </w:r>
      <w:r w:rsidR="002D51A4" w:rsidRPr="00E02273">
        <w:rPr>
          <w:lang w:val="en-CA"/>
        </w:rPr>
        <w:t>interest</w:t>
      </w:r>
      <w:r w:rsidRPr="00E02273">
        <w:rPr>
          <w:lang w:val="en-CA"/>
        </w:rPr>
        <w:t xml:space="preserve"> that </w:t>
      </w:r>
      <w:r w:rsidR="002D51A4" w:rsidRPr="00E02273">
        <w:rPr>
          <w:lang w:val="en-CA"/>
        </w:rPr>
        <w:t>distingu</w:t>
      </w:r>
      <w:r w:rsidRPr="00E02273">
        <w:rPr>
          <w:lang w:val="en-CA"/>
        </w:rPr>
        <w:t xml:space="preserve">ish them from patents on other </w:t>
      </w:r>
      <w:r w:rsidR="002D51A4" w:rsidRPr="00E02273">
        <w:rPr>
          <w:lang w:val="en-CA"/>
        </w:rPr>
        <w:t xml:space="preserve">types </w:t>
      </w:r>
      <w:r w:rsidRPr="00E02273">
        <w:rPr>
          <w:lang w:val="en-CA"/>
        </w:rPr>
        <w:t xml:space="preserve">of </w:t>
      </w:r>
      <w:r w:rsidR="002D51A4" w:rsidRPr="00E02273">
        <w:rPr>
          <w:lang w:val="en-CA"/>
        </w:rPr>
        <w:t>produ</w:t>
      </w:r>
      <w:r w:rsidRPr="00E02273">
        <w:rPr>
          <w:lang w:val="en-CA"/>
        </w:rPr>
        <w:t>c</w:t>
      </w:r>
      <w:r w:rsidR="002D51A4" w:rsidRPr="00E02273">
        <w:rPr>
          <w:lang w:val="en-CA"/>
        </w:rPr>
        <w:t>ts o</w:t>
      </w:r>
      <w:r w:rsidRPr="00E02273">
        <w:rPr>
          <w:lang w:val="en-CA"/>
        </w:rPr>
        <w:t>r processes</w:t>
      </w:r>
      <w:r w:rsidR="002D51A4" w:rsidRPr="00E02273">
        <w:rPr>
          <w:lang w:val="en-CA"/>
        </w:rPr>
        <w:t>.</w:t>
      </w:r>
      <w:r w:rsidRPr="00E02273">
        <w:rPr>
          <w:lang w:val="en-CA"/>
        </w:rPr>
        <w:t xml:space="preserve"> While the </w:t>
      </w:r>
      <w:r w:rsidR="002D51A4" w:rsidRPr="00E02273">
        <w:rPr>
          <w:lang w:val="en-CA"/>
        </w:rPr>
        <w:t>monopol</w:t>
      </w:r>
      <w:r w:rsidRPr="00E02273">
        <w:rPr>
          <w:lang w:val="en-CA"/>
        </w:rPr>
        <w:t xml:space="preserve">y granted by </w:t>
      </w:r>
      <w:r w:rsidR="00F32F06">
        <w:rPr>
          <w:lang w:val="en-CA"/>
        </w:rPr>
        <w:t xml:space="preserve">the </w:t>
      </w:r>
      <w:r w:rsidRPr="00E02273">
        <w:rPr>
          <w:lang w:val="en-CA"/>
        </w:rPr>
        <w:t xml:space="preserve">patent </w:t>
      </w:r>
      <w:r w:rsidR="00F32F06">
        <w:rPr>
          <w:lang w:val="en-CA"/>
        </w:rPr>
        <w:t xml:space="preserve">allows </w:t>
      </w:r>
      <w:r w:rsidRPr="00E02273">
        <w:rPr>
          <w:lang w:val="en-CA"/>
        </w:rPr>
        <w:t xml:space="preserve">innovative </w:t>
      </w:r>
      <w:r w:rsidR="002D51A4" w:rsidRPr="00E02273">
        <w:rPr>
          <w:lang w:val="en-CA"/>
        </w:rPr>
        <w:t>pharmaceutical</w:t>
      </w:r>
      <w:r w:rsidRPr="00E02273">
        <w:rPr>
          <w:lang w:val="en-CA"/>
        </w:rPr>
        <w:t xml:space="preserve"> </w:t>
      </w:r>
      <w:r w:rsidR="002D51A4" w:rsidRPr="00E02273">
        <w:rPr>
          <w:lang w:val="en-CA"/>
        </w:rPr>
        <w:t>companies</w:t>
      </w:r>
      <w:r w:rsidRPr="00E02273">
        <w:rPr>
          <w:lang w:val="en-CA"/>
        </w:rPr>
        <w:t xml:space="preserve"> to generate significant revenue to promote </w:t>
      </w:r>
      <w:r w:rsidR="002D51A4" w:rsidRPr="00E02273">
        <w:rPr>
          <w:lang w:val="en-CA"/>
        </w:rPr>
        <w:t>pharmaceuti</w:t>
      </w:r>
      <w:r w:rsidRPr="00E02273">
        <w:rPr>
          <w:lang w:val="en-CA"/>
        </w:rPr>
        <w:t>cal research and development</w:t>
      </w:r>
      <w:r w:rsidR="002D51A4" w:rsidRPr="00E02273">
        <w:rPr>
          <w:lang w:val="en-CA"/>
        </w:rPr>
        <w:t xml:space="preserve"> – </w:t>
      </w:r>
      <w:r w:rsidRPr="00E02273">
        <w:rPr>
          <w:lang w:val="en-CA"/>
        </w:rPr>
        <w:t xml:space="preserve">a highly important social </w:t>
      </w:r>
      <w:r w:rsidR="002D51A4" w:rsidRPr="00E02273">
        <w:rPr>
          <w:lang w:val="en-CA"/>
        </w:rPr>
        <w:t>objecti</w:t>
      </w:r>
      <w:r w:rsidRPr="00E02273">
        <w:rPr>
          <w:lang w:val="en-CA"/>
        </w:rPr>
        <w:t>ve</w:t>
      </w:r>
      <w:r w:rsidR="002D51A4" w:rsidRPr="00E02273">
        <w:rPr>
          <w:lang w:val="en-CA"/>
        </w:rPr>
        <w:t xml:space="preserve"> – </w:t>
      </w:r>
      <w:r w:rsidRPr="00E02273">
        <w:rPr>
          <w:lang w:val="en-CA"/>
        </w:rPr>
        <w:t xml:space="preserve">it can also have the effect of increasing the price of a patented medicine </w:t>
      </w:r>
      <w:r w:rsidR="002A608C" w:rsidRPr="00E02273">
        <w:rPr>
          <w:lang w:val="en-CA"/>
        </w:rPr>
        <w:t xml:space="preserve">in relation to what the </w:t>
      </w:r>
      <w:r w:rsidR="002D51A4" w:rsidRPr="00E02273">
        <w:rPr>
          <w:lang w:val="en-CA"/>
        </w:rPr>
        <w:t>pharmaceutical</w:t>
      </w:r>
      <w:r w:rsidR="002A608C" w:rsidRPr="00E02273">
        <w:rPr>
          <w:lang w:val="en-CA"/>
        </w:rPr>
        <w:t xml:space="preserve"> </w:t>
      </w:r>
      <w:r w:rsidR="002D51A4" w:rsidRPr="00E02273">
        <w:rPr>
          <w:lang w:val="en-CA"/>
        </w:rPr>
        <w:t>company</w:t>
      </w:r>
      <w:r w:rsidR="002A608C" w:rsidRPr="00E02273">
        <w:rPr>
          <w:lang w:val="en-CA"/>
        </w:rPr>
        <w:t xml:space="preserve"> could </w:t>
      </w:r>
      <w:r w:rsidR="002D51A4" w:rsidRPr="00E02273">
        <w:rPr>
          <w:lang w:val="en-CA"/>
        </w:rPr>
        <w:t>otherwise</w:t>
      </w:r>
      <w:r w:rsidR="002A608C" w:rsidRPr="00E02273">
        <w:rPr>
          <w:lang w:val="en-CA"/>
        </w:rPr>
        <w:t xml:space="preserve"> charge for the medicine in a competitive market free of any monopoly</w:t>
      </w:r>
      <w:r w:rsidR="002D51A4" w:rsidRPr="00E02273">
        <w:rPr>
          <w:lang w:val="en-CA"/>
        </w:rPr>
        <w:t xml:space="preserve">. </w:t>
      </w:r>
    </w:p>
    <w:p w14:paraId="52C00CF8" w14:textId="27FA2706" w:rsidR="00B568AD" w:rsidRPr="00E02273" w:rsidRDefault="006B2598" w:rsidP="00440F45">
      <w:pPr>
        <w:pStyle w:val="Paragraphe"/>
        <w:tabs>
          <w:tab w:val="clear" w:pos="4973"/>
          <w:tab w:val="num" w:pos="709"/>
        </w:tabs>
        <w:spacing w:line="240" w:lineRule="auto"/>
        <w:ind w:left="0"/>
        <w:rPr>
          <w:lang w:val="en-CA"/>
        </w:rPr>
      </w:pPr>
      <w:r w:rsidRPr="00E02273">
        <w:rPr>
          <w:lang w:val="en-CA"/>
        </w:rPr>
        <w:t xml:space="preserve">It is this </w:t>
      </w:r>
      <w:r w:rsidR="002D51A4" w:rsidRPr="00E02273">
        <w:rPr>
          <w:lang w:val="en-CA"/>
        </w:rPr>
        <w:t>public</w:t>
      </w:r>
      <w:r w:rsidRPr="00E02273">
        <w:rPr>
          <w:lang w:val="en-CA"/>
        </w:rPr>
        <w:t xml:space="preserve"> </w:t>
      </w:r>
      <w:r w:rsidR="002D51A4" w:rsidRPr="00E02273">
        <w:rPr>
          <w:lang w:val="en-CA"/>
        </w:rPr>
        <w:t>interest</w:t>
      </w:r>
      <w:r w:rsidRPr="00E02273">
        <w:rPr>
          <w:lang w:val="en-CA"/>
        </w:rPr>
        <w:t xml:space="preserve"> aspect specific to patented medicines that permits the federal </w:t>
      </w:r>
      <w:r w:rsidR="002D51A4" w:rsidRPr="00E02273">
        <w:rPr>
          <w:lang w:val="en-CA"/>
        </w:rPr>
        <w:t>government</w:t>
      </w:r>
      <w:r w:rsidRPr="00E02273">
        <w:rPr>
          <w:lang w:val="en-CA"/>
        </w:rPr>
        <w:t xml:space="preserve"> to regulate them to </w:t>
      </w:r>
      <w:r w:rsidR="006B6554">
        <w:rPr>
          <w:lang w:val="en-CA"/>
        </w:rPr>
        <w:t>mitigate</w:t>
      </w:r>
      <w:r w:rsidR="006B6554" w:rsidRPr="00E02273">
        <w:rPr>
          <w:lang w:val="en-CA"/>
        </w:rPr>
        <w:t xml:space="preserve"> </w:t>
      </w:r>
      <w:r w:rsidRPr="00E02273">
        <w:rPr>
          <w:lang w:val="en-CA"/>
        </w:rPr>
        <w:t xml:space="preserve">the effects on prices of the </w:t>
      </w:r>
      <w:r w:rsidR="002D51A4" w:rsidRPr="00E02273">
        <w:rPr>
          <w:lang w:val="en-CA"/>
        </w:rPr>
        <w:t>monopol</w:t>
      </w:r>
      <w:r w:rsidRPr="00E02273">
        <w:rPr>
          <w:lang w:val="en-CA"/>
        </w:rPr>
        <w:t xml:space="preserve">y granted by the patent in this particular </w:t>
      </w:r>
      <w:r w:rsidR="006B6554">
        <w:rPr>
          <w:lang w:val="en-CA"/>
        </w:rPr>
        <w:t>sector</w:t>
      </w:r>
      <w:r w:rsidRPr="00E02273">
        <w:rPr>
          <w:lang w:val="en-CA"/>
        </w:rPr>
        <w:t xml:space="preserve">. The </w:t>
      </w:r>
      <w:r w:rsidR="002D51A4" w:rsidRPr="00E02273">
        <w:rPr>
          <w:lang w:val="en-CA"/>
        </w:rPr>
        <w:t>monopol</w:t>
      </w:r>
      <w:r w:rsidRPr="00E02273">
        <w:rPr>
          <w:lang w:val="en-CA"/>
        </w:rPr>
        <w:t xml:space="preserve">y remains, thereby </w:t>
      </w:r>
      <w:r w:rsidR="0047452A" w:rsidRPr="00E02273">
        <w:rPr>
          <w:lang w:val="en-CA"/>
        </w:rPr>
        <w:t>e</w:t>
      </w:r>
      <w:r w:rsidRPr="00E02273">
        <w:rPr>
          <w:lang w:val="en-CA"/>
        </w:rPr>
        <w:t xml:space="preserve">nsuring </w:t>
      </w:r>
      <w:r w:rsidR="006B6554">
        <w:rPr>
          <w:lang w:val="en-CA"/>
        </w:rPr>
        <w:t xml:space="preserve">that the patentee has </w:t>
      </w:r>
      <w:r w:rsidR="0047452A" w:rsidRPr="00E02273">
        <w:rPr>
          <w:lang w:val="en-CA"/>
        </w:rPr>
        <w:t xml:space="preserve">an exclusive </w:t>
      </w:r>
      <w:r w:rsidR="002D51A4" w:rsidRPr="00E02273">
        <w:rPr>
          <w:lang w:val="en-CA"/>
        </w:rPr>
        <w:t xml:space="preserve">source </w:t>
      </w:r>
      <w:r w:rsidR="0047452A" w:rsidRPr="00E02273">
        <w:rPr>
          <w:lang w:val="en-CA"/>
        </w:rPr>
        <w:t>of revenu</w:t>
      </w:r>
      <w:r w:rsidR="00462D72" w:rsidRPr="00E02273">
        <w:rPr>
          <w:lang w:val="en-CA"/>
        </w:rPr>
        <w:t>e</w:t>
      </w:r>
      <w:r w:rsidR="0047452A" w:rsidRPr="00E02273">
        <w:rPr>
          <w:lang w:val="en-CA"/>
        </w:rPr>
        <w:t xml:space="preserve"> from the patented medicine</w:t>
      </w:r>
      <w:r w:rsidR="002D51A4" w:rsidRPr="00E02273">
        <w:rPr>
          <w:lang w:val="en-CA"/>
        </w:rPr>
        <w:t>,</w:t>
      </w:r>
      <w:r w:rsidR="0047452A" w:rsidRPr="00E02273">
        <w:rPr>
          <w:lang w:val="en-CA"/>
        </w:rPr>
        <w:t xml:space="preserve"> but the </w:t>
      </w:r>
      <w:r w:rsidR="006B6554">
        <w:rPr>
          <w:lang w:val="en-CA"/>
        </w:rPr>
        <w:t xml:space="preserve">price </w:t>
      </w:r>
      <w:r w:rsidR="0047452A" w:rsidRPr="00E02273">
        <w:rPr>
          <w:lang w:val="en-CA"/>
        </w:rPr>
        <w:t xml:space="preserve">increase that could result is controlled to prevent the patentee from unduly </w:t>
      </w:r>
      <w:r w:rsidR="002D51A4" w:rsidRPr="00E02273">
        <w:rPr>
          <w:lang w:val="en-CA"/>
        </w:rPr>
        <w:t>profit</w:t>
      </w:r>
      <w:r w:rsidR="0047452A" w:rsidRPr="00E02273">
        <w:rPr>
          <w:lang w:val="en-CA"/>
        </w:rPr>
        <w:t>ing at the expense of the public’s access to the medicine</w:t>
      </w:r>
      <w:r w:rsidR="002D51A4" w:rsidRPr="00E02273">
        <w:rPr>
          <w:lang w:val="en-CA"/>
        </w:rPr>
        <w:t xml:space="preserve">. </w:t>
      </w:r>
    </w:p>
    <w:p w14:paraId="2CBE7763" w14:textId="67130E0E" w:rsidR="00B568AD" w:rsidRPr="00E02273" w:rsidRDefault="003274CC" w:rsidP="00440F45">
      <w:pPr>
        <w:pStyle w:val="Paragraphe"/>
        <w:tabs>
          <w:tab w:val="clear" w:pos="4973"/>
          <w:tab w:val="num" w:pos="709"/>
        </w:tabs>
        <w:spacing w:line="240" w:lineRule="auto"/>
        <w:ind w:left="0"/>
        <w:rPr>
          <w:lang w:val="en-CA"/>
        </w:rPr>
      </w:pPr>
      <w:r w:rsidRPr="00E02273">
        <w:rPr>
          <w:lang w:val="en-CA"/>
        </w:rPr>
        <w:t>The distinctive</w:t>
      </w:r>
      <w:r w:rsidR="008853FF">
        <w:rPr>
          <w:lang w:val="en-CA"/>
        </w:rPr>
        <w:t>ness</w:t>
      </w:r>
      <w:r w:rsidRPr="00E02273">
        <w:rPr>
          <w:lang w:val="en-CA"/>
        </w:rPr>
        <w:t xml:space="preserve"> of patented medicines is reflected in the </w:t>
      </w:r>
      <w:r w:rsidR="002D51A4" w:rsidRPr="00E02273">
        <w:rPr>
          <w:lang w:val="en-CA"/>
        </w:rPr>
        <w:t>provisions</w:t>
      </w:r>
      <w:r w:rsidR="00293B45" w:rsidRPr="00E02273">
        <w:rPr>
          <w:lang w:val="en-CA"/>
        </w:rPr>
        <w:t xml:space="preserve"> of TRIPS</w:t>
      </w:r>
      <w:r w:rsidR="002D51A4" w:rsidRPr="00E02273">
        <w:rPr>
          <w:lang w:val="en-CA"/>
        </w:rPr>
        <w:t>.</w:t>
      </w:r>
      <w:r w:rsidR="00293B45" w:rsidRPr="00E02273">
        <w:rPr>
          <w:lang w:val="en-CA"/>
        </w:rPr>
        <w:t xml:space="preserve"> While that </w:t>
      </w:r>
      <w:r w:rsidR="00FC2639" w:rsidRPr="00E02273">
        <w:rPr>
          <w:lang w:val="en-CA"/>
        </w:rPr>
        <w:t xml:space="preserve">agreement requires member countries to extend their patent system to the </w:t>
      </w:r>
      <w:r w:rsidR="002D51A4" w:rsidRPr="00E02273">
        <w:rPr>
          <w:lang w:val="en-CA"/>
        </w:rPr>
        <w:t>pharmaceuti</w:t>
      </w:r>
      <w:r w:rsidR="00FC2639" w:rsidRPr="00E02273">
        <w:rPr>
          <w:lang w:val="en-CA"/>
        </w:rPr>
        <w:t>cal industry with respe</w:t>
      </w:r>
      <w:r w:rsidR="006963AD" w:rsidRPr="00E02273">
        <w:rPr>
          <w:lang w:val="en-CA"/>
        </w:rPr>
        <w:t>c</w:t>
      </w:r>
      <w:r w:rsidR="00FC2639" w:rsidRPr="00E02273">
        <w:rPr>
          <w:lang w:val="en-CA"/>
        </w:rPr>
        <w:t xml:space="preserve">t to both </w:t>
      </w:r>
      <w:r w:rsidR="006963AD" w:rsidRPr="00E02273">
        <w:rPr>
          <w:lang w:val="en-CA"/>
        </w:rPr>
        <w:t xml:space="preserve">manufacturing processes and the medicines themselves, </w:t>
      </w:r>
      <w:r w:rsidR="00C34A02" w:rsidRPr="00E02273">
        <w:rPr>
          <w:lang w:val="en-CA"/>
        </w:rPr>
        <w:t>paragraph</w:t>
      </w:r>
      <w:r w:rsidR="00B720CE" w:rsidRPr="00E02273">
        <w:rPr>
          <w:lang w:val="en-CA"/>
        </w:rPr>
        <w:t xml:space="preserve"> </w:t>
      </w:r>
      <w:r w:rsidR="002D51A4" w:rsidRPr="00E02273">
        <w:rPr>
          <w:lang w:val="en-CA"/>
        </w:rPr>
        <w:t xml:space="preserve">1 </w:t>
      </w:r>
      <w:r w:rsidR="007A260F">
        <w:rPr>
          <w:lang w:val="en-CA"/>
        </w:rPr>
        <w:t xml:space="preserve">of </w:t>
      </w:r>
      <w:r w:rsidR="002D63E0">
        <w:rPr>
          <w:lang w:val="en-CA"/>
        </w:rPr>
        <w:t>a</w:t>
      </w:r>
      <w:r w:rsidR="007A260F">
        <w:rPr>
          <w:lang w:val="en-CA"/>
        </w:rPr>
        <w:t xml:space="preserve">rticle 8 </w:t>
      </w:r>
      <w:r w:rsidR="00B720CE" w:rsidRPr="00E02273">
        <w:rPr>
          <w:lang w:val="en-CA"/>
        </w:rPr>
        <w:t xml:space="preserve">nevertheless allows member countries to </w:t>
      </w:r>
      <w:r w:rsidR="002D51A4" w:rsidRPr="00E02273">
        <w:rPr>
          <w:lang w:val="en-CA"/>
        </w:rPr>
        <w:t>adopt</w:t>
      </w:r>
      <w:r w:rsidR="00B720CE" w:rsidRPr="00E02273">
        <w:rPr>
          <w:lang w:val="en-CA"/>
        </w:rPr>
        <w:t xml:space="preserve"> </w:t>
      </w:r>
      <w:r w:rsidR="002D51A4" w:rsidRPr="00E02273">
        <w:rPr>
          <w:lang w:val="en-CA"/>
        </w:rPr>
        <w:t>me</w:t>
      </w:r>
      <w:r w:rsidR="00B720CE" w:rsidRPr="00E02273">
        <w:rPr>
          <w:lang w:val="en-CA"/>
        </w:rPr>
        <w:t>a</w:t>
      </w:r>
      <w:r w:rsidR="002D51A4" w:rsidRPr="00E02273">
        <w:rPr>
          <w:lang w:val="en-CA"/>
        </w:rPr>
        <w:t>sures</w:t>
      </w:r>
      <w:r w:rsidR="00B720CE" w:rsidRPr="00E02273">
        <w:rPr>
          <w:lang w:val="en-CA"/>
        </w:rPr>
        <w:t xml:space="preserve"> necessary to protect public health, provided that such measures are consistent </w:t>
      </w:r>
      <w:r w:rsidR="00B720CE" w:rsidRPr="00E02273">
        <w:rPr>
          <w:lang w:val="en-CA"/>
        </w:rPr>
        <w:lastRenderedPageBreak/>
        <w:t>with the provisions of the agreement</w:t>
      </w:r>
      <w:r w:rsidR="002D51A4" w:rsidRPr="00E02273">
        <w:rPr>
          <w:lang w:val="en-CA"/>
        </w:rPr>
        <w:t xml:space="preserve">. </w:t>
      </w:r>
      <w:r w:rsidR="00FE5F9C" w:rsidRPr="00E02273">
        <w:rPr>
          <w:lang w:val="en-CA"/>
        </w:rPr>
        <w:t xml:space="preserve">This </w:t>
      </w:r>
      <w:r w:rsidR="002D51A4" w:rsidRPr="00E02273">
        <w:rPr>
          <w:lang w:val="en-CA"/>
        </w:rPr>
        <w:t>distincti</w:t>
      </w:r>
      <w:r w:rsidR="00C34A02" w:rsidRPr="00E02273">
        <w:rPr>
          <w:lang w:val="en-CA"/>
        </w:rPr>
        <w:t>ve</w:t>
      </w:r>
      <w:r w:rsidR="008853FF">
        <w:rPr>
          <w:lang w:val="en-CA"/>
        </w:rPr>
        <w:t>ness</w:t>
      </w:r>
      <w:r w:rsidR="00C34A02" w:rsidRPr="00E02273">
        <w:rPr>
          <w:lang w:val="en-CA"/>
        </w:rPr>
        <w:t xml:space="preserve"> is also reflected in paragraph </w:t>
      </w:r>
      <w:r w:rsidR="002D51A4" w:rsidRPr="00E02273">
        <w:rPr>
          <w:lang w:val="en-CA"/>
        </w:rPr>
        <w:t xml:space="preserve">3 </w:t>
      </w:r>
      <w:r w:rsidR="00C34A02" w:rsidRPr="00E02273">
        <w:rPr>
          <w:lang w:val="en-CA"/>
        </w:rPr>
        <w:t xml:space="preserve">of </w:t>
      </w:r>
      <w:r w:rsidR="009B6E1D">
        <w:rPr>
          <w:lang w:val="en-CA"/>
        </w:rPr>
        <w:t>a</w:t>
      </w:r>
      <w:r w:rsidR="008853FF">
        <w:rPr>
          <w:lang w:val="en-CA"/>
        </w:rPr>
        <w:t xml:space="preserve">rticle 27 of </w:t>
      </w:r>
      <w:r w:rsidR="00C34A02" w:rsidRPr="00E02273">
        <w:rPr>
          <w:lang w:val="en-CA"/>
        </w:rPr>
        <w:t>TRIPS, which applies notwithstanding the general rules of the agreement and permits a State to exclude diagnostic, therapeutic, and surgical methods for the treatment of human</w:t>
      </w:r>
      <w:r w:rsidR="008853FF">
        <w:rPr>
          <w:lang w:val="en-CA"/>
        </w:rPr>
        <w:t>s</w:t>
      </w:r>
      <w:r w:rsidR="00C34A02" w:rsidRPr="00E02273">
        <w:rPr>
          <w:vertAlign w:val="superscript"/>
          <w:lang w:val="en-CA"/>
        </w:rPr>
        <w:t xml:space="preserve"> </w:t>
      </w:r>
      <w:r w:rsidR="00C34A02" w:rsidRPr="00E02273">
        <w:rPr>
          <w:lang w:val="en-CA"/>
        </w:rPr>
        <w:t>from patentability.</w:t>
      </w:r>
      <w:r w:rsidR="002D51A4" w:rsidRPr="00E02273">
        <w:rPr>
          <w:rStyle w:val="Appelnotedebasdep"/>
          <w:lang w:val="en-CA"/>
        </w:rPr>
        <w:footnoteReference w:id="193"/>
      </w:r>
      <w:r w:rsidR="002D51A4" w:rsidRPr="00E02273">
        <w:rPr>
          <w:lang w:val="en-CA"/>
        </w:rPr>
        <w:t xml:space="preserve"> </w:t>
      </w:r>
      <w:r w:rsidR="00C34A02" w:rsidRPr="00E02273">
        <w:rPr>
          <w:lang w:val="en-CA"/>
        </w:rPr>
        <w:t>The</w:t>
      </w:r>
      <w:r w:rsidR="00734976" w:rsidRPr="00E02273">
        <w:rPr>
          <w:lang w:val="en-CA"/>
        </w:rPr>
        <w:t xml:space="preserve"> Doha </w:t>
      </w:r>
      <w:r w:rsidR="002D51A4" w:rsidRPr="00E02273">
        <w:rPr>
          <w:i/>
          <w:iCs/>
          <w:lang w:val="en-CA"/>
        </w:rPr>
        <w:t>D</w:t>
      </w:r>
      <w:r w:rsidR="00734976" w:rsidRPr="00E02273">
        <w:rPr>
          <w:i/>
          <w:iCs/>
          <w:lang w:val="en-CA"/>
        </w:rPr>
        <w:t>e</w:t>
      </w:r>
      <w:r w:rsidR="002D51A4" w:rsidRPr="00E02273">
        <w:rPr>
          <w:i/>
          <w:iCs/>
          <w:lang w:val="en-CA"/>
        </w:rPr>
        <w:t xml:space="preserve">claration </w:t>
      </w:r>
      <w:r w:rsidR="00734976" w:rsidRPr="00E02273">
        <w:rPr>
          <w:i/>
          <w:iCs/>
          <w:lang w:val="en-CA"/>
        </w:rPr>
        <w:t>on the TRIPS agreement and public health</w:t>
      </w:r>
      <w:r w:rsidR="002D51A4" w:rsidRPr="00E02273">
        <w:rPr>
          <w:rStyle w:val="Appelnotedebasdep"/>
          <w:lang w:val="en-CA"/>
        </w:rPr>
        <w:footnoteReference w:id="194"/>
      </w:r>
      <w:r w:rsidR="002D51A4" w:rsidRPr="00E02273">
        <w:rPr>
          <w:i/>
          <w:iCs/>
          <w:lang w:val="en-CA"/>
        </w:rPr>
        <w:t xml:space="preserve"> </w:t>
      </w:r>
      <w:r w:rsidR="002D51A4" w:rsidRPr="00E02273">
        <w:rPr>
          <w:lang w:val="en-CA"/>
        </w:rPr>
        <w:t>in</w:t>
      </w:r>
      <w:r w:rsidR="00383282" w:rsidRPr="00E02273">
        <w:rPr>
          <w:lang w:val="en-CA"/>
        </w:rPr>
        <w:t xml:space="preserve"> </w:t>
      </w:r>
      <w:r w:rsidR="002D51A4" w:rsidRPr="00E02273">
        <w:rPr>
          <w:lang w:val="en-CA"/>
        </w:rPr>
        <w:t xml:space="preserve">fact </w:t>
      </w:r>
      <w:r w:rsidR="00383282" w:rsidRPr="00E02273">
        <w:rPr>
          <w:lang w:val="en-CA"/>
        </w:rPr>
        <w:t xml:space="preserve">notes </w:t>
      </w:r>
      <w:r w:rsidR="008853FF">
        <w:rPr>
          <w:lang w:val="en-CA"/>
        </w:rPr>
        <w:t>that it is important that</w:t>
      </w:r>
      <w:r w:rsidR="00383282" w:rsidRPr="00E02273">
        <w:rPr>
          <w:lang w:val="en-CA"/>
        </w:rPr>
        <w:t xml:space="preserve"> TRIPS be interpreted and implemented in a manner supportive of member countries’ right to protect public health and, in particular, to promote access to medicines for all</w:t>
      </w:r>
      <w:r w:rsidR="002D51A4" w:rsidRPr="00E02273">
        <w:rPr>
          <w:lang w:val="en-CA"/>
        </w:rPr>
        <w:t xml:space="preserve">. </w:t>
      </w:r>
    </w:p>
    <w:p w14:paraId="21F6DD05" w14:textId="1F3B788A" w:rsidR="00B568AD" w:rsidRPr="00E02273" w:rsidRDefault="00267787" w:rsidP="00440F45">
      <w:pPr>
        <w:pStyle w:val="Paragraphe"/>
        <w:tabs>
          <w:tab w:val="clear" w:pos="4973"/>
          <w:tab w:val="num" w:pos="709"/>
        </w:tabs>
        <w:spacing w:line="240" w:lineRule="auto"/>
        <w:ind w:left="0"/>
        <w:rPr>
          <w:lang w:val="en-CA"/>
        </w:rPr>
      </w:pPr>
      <w:r w:rsidRPr="00E02273">
        <w:rPr>
          <w:lang w:val="en-CA"/>
        </w:rPr>
        <w:t xml:space="preserve">This </w:t>
      </w:r>
      <w:r w:rsidR="002D51A4" w:rsidRPr="00E02273">
        <w:rPr>
          <w:lang w:val="en-CA"/>
        </w:rPr>
        <w:t>distincti</w:t>
      </w:r>
      <w:r w:rsidRPr="00E02273">
        <w:rPr>
          <w:lang w:val="en-CA"/>
        </w:rPr>
        <w:t>ve</w:t>
      </w:r>
      <w:r w:rsidR="008853FF">
        <w:rPr>
          <w:lang w:val="en-CA"/>
        </w:rPr>
        <w:t>ness</w:t>
      </w:r>
      <w:r w:rsidRPr="00E02273">
        <w:rPr>
          <w:lang w:val="en-CA"/>
        </w:rPr>
        <w:t xml:space="preserve"> is also reflected in sections </w:t>
      </w:r>
      <w:r w:rsidR="002D51A4" w:rsidRPr="00E02273">
        <w:rPr>
          <w:lang w:val="en-CA"/>
        </w:rPr>
        <w:t xml:space="preserve">21.01 </w:t>
      </w:r>
      <w:r w:rsidRPr="00E02273">
        <w:rPr>
          <w:lang w:val="en-CA"/>
        </w:rPr>
        <w:t>to</w:t>
      </w:r>
      <w:r w:rsidR="002D51A4" w:rsidRPr="00E02273">
        <w:rPr>
          <w:lang w:val="en-CA"/>
        </w:rPr>
        <w:t xml:space="preserve"> 21.1 </w:t>
      </w:r>
      <w:r w:rsidRPr="00E02273">
        <w:rPr>
          <w:lang w:val="en-CA"/>
        </w:rPr>
        <w:t xml:space="preserve">of the </w:t>
      </w:r>
      <w:r w:rsidRPr="00E02273">
        <w:rPr>
          <w:i/>
          <w:lang w:val="en-CA"/>
        </w:rPr>
        <w:t xml:space="preserve">Patent Act </w:t>
      </w:r>
      <w:r w:rsidRPr="00E02273">
        <w:rPr>
          <w:lang w:val="en-CA"/>
        </w:rPr>
        <w:t>concerning the use of patents on p</w:t>
      </w:r>
      <w:r w:rsidR="002D51A4" w:rsidRPr="00E02273">
        <w:rPr>
          <w:lang w:val="en-CA"/>
        </w:rPr>
        <w:t>harmaceuti</w:t>
      </w:r>
      <w:r w:rsidRPr="00E02273">
        <w:rPr>
          <w:lang w:val="en-CA"/>
        </w:rPr>
        <w:t>cal products for humanitarian purposes</w:t>
      </w:r>
      <w:r w:rsidR="002D51A4" w:rsidRPr="00E02273">
        <w:rPr>
          <w:rStyle w:val="Appelnotedebasdep"/>
          <w:lang w:val="en-CA"/>
        </w:rPr>
        <w:footnoteReference w:id="195"/>
      </w:r>
      <w:r w:rsidR="002D51A4" w:rsidRPr="00E02273">
        <w:rPr>
          <w:lang w:val="en-CA"/>
        </w:rPr>
        <w:t xml:space="preserve"> </w:t>
      </w:r>
      <w:r w:rsidRPr="00E02273">
        <w:rPr>
          <w:lang w:val="en-CA"/>
        </w:rPr>
        <w:t xml:space="preserve">and in </w:t>
      </w:r>
      <w:r w:rsidR="008853FF">
        <w:rPr>
          <w:lang w:val="en-CA"/>
        </w:rPr>
        <w:t xml:space="preserve">the </w:t>
      </w:r>
      <w:r w:rsidRPr="00E02273">
        <w:rPr>
          <w:lang w:val="en-CA"/>
        </w:rPr>
        <w:t xml:space="preserve">new section </w:t>
      </w:r>
      <w:r w:rsidR="002D51A4" w:rsidRPr="00E02273">
        <w:rPr>
          <w:lang w:val="en-CA"/>
        </w:rPr>
        <w:t xml:space="preserve">19.4 </w:t>
      </w:r>
      <w:r w:rsidRPr="00E02273">
        <w:rPr>
          <w:lang w:val="en-CA"/>
        </w:rPr>
        <w:t xml:space="preserve">of the </w:t>
      </w:r>
      <w:r w:rsidRPr="00E02273">
        <w:rPr>
          <w:i/>
          <w:lang w:val="en-CA"/>
        </w:rPr>
        <w:t xml:space="preserve">Patent </w:t>
      </w:r>
      <w:r w:rsidRPr="00E02273">
        <w:rPr>
          <w:lang w:val="en-CA"/>
        </w:rPr>
        <w:t>Act, which allows the use</w:t>
      </w:r>
      <w:r w:rsidR="005E4902" w:rsidRPr="00E02273">
        <w:rPr>
          <w:lang w:val="en-CA"/>
        </w:rPr>
        <w:t>, through compulsory licences,</w:t>
      </w:r>
      <w:r w:rsidRPr="00E02273">
        <w:rPr>
          <w:lang w:val="en-CA"/>
        </w:rPr>
        <w:t xml:space="preserve"> of patents necessary to respond to a public health emergency</w:t>
      </w:r>
      <w:r w:rsidR="005E4902" w:rsidRPr="00E02273">
        <w:rPr>
          <w:lang w:val="en-CA"/>
        </w:rPr>
        <w:t xml:space="preserve">, such as the </w:t>
      </w:r>
      <w:r w:rsidR="002D51A4" w:rsidRPr="00E02273">
        <w:rPr>
          <w:lang w:val="en-CA"/>
        </w:rPr>
        <w:t>COVID-19</w:t>
      </w:r>
      <w:r w:rsidR="005E4902" w:rsidRPr="00E02273">
        <w:rPr>
          <w:lang w:val="en-CA"/>
        </w:rPr>
        <w:t xml:space="preserve"> pandemic.</w:t>
      </w:r>
      <w:r w:rsidR="002D51A4" w:rsidRPr="00E02273">
        <w:rPr>
          <w:rStyle w:val="Appelnotedebasdep"/>
          <w:lang w:val="en-CA"/>
        </w:rPr>
        <w:footnoteReference w:id="196"/>
      </w:r>
      <w:r w:rsidR="002D51A4" w:rsidRPr="00E02273">
        <w:rPr>
          <w:lang w:val="en-CA"/>
        </w:rPr>
        <w:t xml:space="preserve"> </w:t>
      </w:r>
    </w:p>
    <w:p w14:paraId="1689CA4E" w14:textId="67CE64DF" w:rsidR="00B568AD" w:rsidRPr="00E02273" w:rsidRDefault="00FB1E81" w:rsidP="00440F45">
      <w:pPr>
        <w:pStyle w:val="Paragraphe"/>
        <w:tabs>
          <w:tab w:val="clear" w:pos="4973"/>
          <w:tab w:val="num" w:pos="709"/>
        </w:tabs>
        <w:spacing w:line="240" w:lineRule="auto"/>
        <w:ind w:left="0"/>
        <w:rPr>
          <w:lang w:val="en-CA"/>
        </w:rPr>
      </w:pPr>
      <w:r w:rsidRPr="00E02273">
        <w:rPr>
          <w:lang w:val="en-CA"/>
        </w:rPr>
        <w:t>The distinctive</w:t>
      </w:r>
      <w:r w:rsidR="008853FF">
        <w:rPr>
          <w:lang w:val="en-CA"/>
        </w:rPr>
        <w:t>ness</w:t>
      </w:r>
      <w:r w:rsidRPr="00E02273">
        <w:rPr>
          <w:lang w:val="en-CA"/>
        </w:rPr>
        <w:t xml:space="preserve"> of patented medicines appears from the </w:t>
      </w:r>
      <w:r w:rsidR="003A04F6" w:rsidRPr="00E02273">
        <w:rPr>
          <w:lang w:val="en-CA"/>
        </w:rPr>
        <w:t>historical e</w:t>
      </w:r>
      <w:r w:rsidR="002D51A4" w:rsidRPr="00E02273">
        <w:rPr>
          <w:lang w:val="en-CA"/>
        </w:rPr>
        <w:t>volution</w:t>
      </w:r>
      <w:r w:rsidR="003A04F6" w:rsidRPr="00E02273">
        <w:rPr>
          <w:lang w:val="en-CA"/>
        </w:rPr>
        <w:t xml:space="preserve"> of the </w:t>
      </w:r>
      <w:r w:rsidR="003A04F6" w:rsidRPr="00E02273">
        <w:rPr>
          <w:i/>
          <w:lang w:val="en-CA"/>
        </w:rPr>
        <w:t>Patent Act</w:t>
      </w:r>
      <w:r w:rsidR="003A04F6" w:rsidRPr="00E02273">
        <w:rPr>
          <w:lang w:val="en-CA"/>
        </w:rPr>
        <w:t xml:space="preserve">. Thus, as noted above, the medicines themselves were removed from patentability in </w:t>
      </w:r>
      <w:r w:rsidR="002D51A4" w:rsidRPr="00E02273">
        <w:rPr>
          <w:lang w:val="en-CA"/>
        </w:rPr>
        <w:t xml:space="preserve">Canada </w:t>
      </w:r>
      <w:r w:rsidR="003A04F6" w:rsidRPr="00E02273">
        <w:rPr>
          <w:lang w:val="en-CA"/>
        </w:rPr>
        <w:t xml:space="preserve">from </w:t>
      </w:r>
      <w:r w:rsidR="002D51A4" w:rsidRPr="00E02273">
        <w:rPr>
          <w:lang w:val="en-CA"/>
        </w:rPr>
        <w:t xml:space="preserve">1923 </w:t>
      </w:r>
      <w:r w:rsidR="003A04F6" w:rsidRPr="00E02273">
        <w:rPr>
          <w:lang w:val="en-CA"/>
        </w:rPr>
        <w:t>to</w:t>
      </w:r>
      <w:r w:rsidR="002D51A4" w:rsidRPr="00E02273">
        <w:rPr>
          <w:lang w:val="en-CA"/>
        </w:rPr>
        <w:t xml:space="preserve"> 1987.</w:t>
      </w:r>
      <w:r w:rsidR="003A04F6" w:rsidRPr="00E02273">
        <w:rPr>
          <w:lang w:val="en-CA"/>
        </w:rPr>
        <w:t xml:space="preserve"> </w:t>
      </w:r>
      <w:r w:rsidR="00B07DE9">
        <w:rPr>
          <w:lang w:val="en-CA"/>
        </w:rPr>
        <w:t>Drug m</w:t>
      </w:r>
      <w:r w:rsidR="00E30E3C" w:rsidRPr="00E02273">
        <w:rPr>
          <w:lang w:val="en-CA"/>
        </w:rPr>
        <w:t>anufacturing processes were subject to a strict compulsory licens</w:t>
      </w:r>
      <w:r w:rsidR="00FA7132">
        <w:rPr>
          <w:lang w:val="en-CA"/>
        </w:rPr>
        <w:t>ing regime</w:t>
      </w:r>
      <w:r w:rsidR="00E30E3C" w:rsidRPr="00E02273">
        <w:rPr>
          <w:lang w:val="en-CA"/>
        </w:rPr>
        <w:t xml:space="preserve"> established in the </w:t>
      </w:r>
      <w:r w:rsidR="002D51A4" w:rsidRPr="00E02273">
        <w:rPr>
          <w:lang w:val="en-CA"/>
        </w:rPr>
        <w:t>public</w:t>
      </w:r>
      <w:r w:rsidR="00E30E3C" w:rsidRPr="00E02273">
        <w:rPr>
          <w:lang w:val="en-CA"/>
        </w:rPr>
        <w:t xml:space="preserve"> </w:t>
      </w:r>
      <w:r w:rsidR="002D51A4" w:rsidRPr="00E02273">
        <w:rPr>
          <w:lang w:val="en-CA"/>
        </w:rPr>
        <w:t>interest</w:t>
      </w:r>
      <w:r w:rsidR="00E30E3C" w:rsidRPr="00E02273">
        <w:rPr>
          <w:lang w:val="en-CA"/>
        </w:rPr>
        <w:t xml:space="preserve">, </w:t>
      </w:r>
      <w:r w:rsidR="00FA7132">
        <w:rPr>
          <w:lang w:val="en-CA"/>
        </w:rPr>
        <w:t xml:space="preserve">whose </w:t>
      </w:r>
      <w:r w:rsidR="00E30E3C" w:rsidRPr="00E02273">
        <w:rPr>
          <w:lang w:val="en-CA"/>
        </w:rPr>
        <w:t>purpose was to ensure that prices remained competitive.</w:t>
      </w:r>
      <w:r w:rsidR="002D51A4" w:rsidRPr="00E02273">
        <w:rPr>
          <w:rStyle w:val="Appelnotedebasdep"/>
          <w:lang w:val="en-CA"/>
        </w:rPr>
        <w:footnoteReference w:id="197"/>
      </w:r>
      <w:r w:rsidR="002D51A4" w:rsidRPr="00E02273">
        <w:rPr>
          <w:lang w:val="en-CA"/>
        </w:rPr>
        <w:t xml:space="preserve"> </w:t>
      </w:r>
      <w:r w:rsidR="00D77630" w:rsidRPr="00E02273">
        <w:rPr>
          <w:lang w:val="en-CA"/>
        </w:rPr>
        <w:t>Since</w:t>
      </w:r>
      <w:r w:rsidR="002D51A4" w:rsidRPr="00E02273">
        <w:rPr>
          <w:lang w:val="en-CA"/>
        </w:rPr>
        <w:t xml:space="preserve"> 1987, </w:t>
      </w:r>
      <w:r w:rsidR="00D77630" w:rsidRPr="00E02273">
        <w:rPr>
          <w:lang w:val="en-CA"/>
        </w:rPr>
        <w:t xml:space="preserve">and especially since </w:t>
      </w:r>
      <w:r w:rsidR="002D51A4" w:rsidRPr="00E02273">
        <w:rPr>
          <w:lang w:val="en-CA"/>
        </w:rPr>
        <w:t xml:space="preserve">1993, </w:t>
      </w:r>
      <w:r w:rsidR="00D811CF" w:rsidRPr="00E02273">
        <w:rPr>
          <w:lang w:val="en-CA"/>
        </w:rPr>
        <w:t xml:space="preserve">still with the same </w:t>
      </w:r>
      <w:r w:rsidR="002D51A4" w:rsidRPr="00E02273">
        <w:rPr>
          <w:lang w:val="en-CA"/>
        </w:rPr>
        <w:t>public</w:t>
      </w:r>
      <w:r w:rsidR="00D811CF" w:rsidRPr="00E02273">
        <w:rPr>
          <w:lang w:val="en-CA"/>
        </w:rPr>
        <w:t xml:space="preserve"> </w:t>
      </w:r>
      <w:r w:rsidR="002D51A4" w:rsidRPr="00E02273">
        <w:rPr>
          <w:lang w:val="en-CA"/>
        </w:rPr>
        <w:t>i</w:t>
      </w:r>
      <w:r w:rsidR="00D811CF" w:rsidRPr="00E02273">
        <w:rPr>
          <w:lang w:val="en-CA"/>
        </w:rPr>
        <w:t xml:space="preserve">nterest objective, the Board </w:t>
      </w:r>
      <w:r w:rsidR="00EF4573">
        <w:rPr>
          <w:lang w:val="en-CA"/>
        </w:rPr>
        <w:t>can</w:t>
      </w:r>
      <w:r w:rsidR="00FA7132" w:rsidRPr="00E02273">
        <w:rPr>
          <w:lang w:val="en-CA"/>
        </w:rPr>
        <w:t xml:space="preserve"> </w:t>
      </w:r>
      <w:r w:rsidR="00D811CF" w:rsidRPr="00E02273">
        <w:rPr>
          <w:lang w:val="en-CA"/>
        </w:rPr>
        <w:t xml:space="preserve">control the price of patented medicines to ensure that they </w:t>
      </w:r>
      <w:r w:rsidR="00FA7132">
        <w:rPr>
          <w:lang w:val="en-CA"/>
        </w:rPr>
        <w:t>a</w:t>
      </w:r>
      <w:r w:rsidR="00D811CF" w:rsidRPr="00E02273">
        <w:rPr>
          <w:lang w:val="en-CA"/>
        </w:rPr>
        <w:t xml:space="preserve">re not </w:t>
      </w:r>
      <w:r w:rsidR="002D51A4" w:rsidRPr="00E02273">
        <w:rPr>
          <w:lang w:val="en-CA"/>
        </w:rPr>
        <w:t>excessi</w:t>
      </w:r>
      <w:r w:rsidR="00D811CF" w:rsidRPr="00E02273">
        <w:rPr>
          <w:lang w:val="en-CA"/>
        </w:rPr>
        <w:t xml:space="preserve">ve so as to </w:t>
      </w:r>
      <w:r w:rsidR="00FA7132">
        <w:rPr>
          <w:lang w:val="en-CA"/>
        </w:rPr>
        <w:t xml:space="preserve">mitigate </w:t>
      </w:r>
      <w:r w:rsidR="00D811CF" w:rsidRPr="00E02273">
        <w:rPr>
          <w:lang w:val="en-CA"/>
        </w:rPr>
        <w:t xml:space="preserve">the </w:t>
      </w:r>
      <w:r w:rsidR="002D51A4" w:rsidRPr="00E02273">
        <w:rPr>
          <w:lang w:val="en-CA"/>
        </w:rPr>
        <w:t>effe</w:t>
      </w:r>
      <w:r w:rsidR="00D811CF" w:rsidRPr="00E02273">
        <w:rPr>
          <w:lang w:val="en-CA"/>
        </w:rPr>
        <w:t>c</w:t>
      </w:r>
      <w:r w:rsidR="002D51A4" w:rsidRPr="00E02273">
        <w:rPr>
          <w:lang w:val="en-CA"/>
        </w:rPr>
        <w:t xml:space="preserve">ts </w:t>
      </w:r>
      <w:r w:rsidR="00D811CF" w:rsidRPr="00E02273">
        <w:rPr>
          <w:lang w:val="en-CA"/>
        </w:rPr>
        <w:t xml:space="preserve">on prices of the </w:t>
      </w:r>
      <w:r w:rsidR="002D51A4" w:rsidRPr="00E02273">
        <w:rPr>
          <w:lang w:val="en-CA"/>
        </w:rPr>
        <w:t>monopol</w:t>
      </w:r>
      <w:r w:rsidR="00D811CF" w:rsidRPr="00E02273">
        <w:rPr>
          <w:lang w:val="en-CA"/>
        </w:rPr>
        <w:t xml:space="preserve">y granted by </w:t>
      </w:r>
      <w:r w:rsidR="00FA7132">
        <w:rPr>
          <w:lang w:val="en-CA"/>
        </w:rPr>
        <w:t xml:space="preserve">the </w:t>
      </w:r>
      <w:r w:rsidR="00D811CF" w:rsidRPr="00E02273">
        <w:rPr>
          <w:lang w:val="en-CA"/>
        </w:rPr>
        <w:t xml:space="preserve">patent. This </w:t>
      </w:r>
      <w:r w:rsidR="00FA7132">
        <w:rPr>
          <w:lang w:val="en-CA"/>
        </w:rPr>
        <w:t>special</w:t>
      </w:r>
      <w:r w:rsidR="00FA7132" w:rsidRPr="00E02273">
        <w:rPr>
          <w:lang w:val="en-CA"/>
        </w:rPr>
        <w:t xml:space="preserve"> </w:t>
      </w:r>
      <w:r w:rsidR="00D811CF" w:rsidRPr="00E02273">
        <w:rPr>
          <w:lang w:val="en-CA"/>
        </w:rPr>
        <w:t xml:space="preserve">regime </w:t>
      </w:r>
      <w:r w:rsidR="00FA7132">
        <w:rPr>
          <w:lang w:val="en-CA"/>
        </w:rPr>
        <w:t>i</w:t>
      </w:r>
      <w:r w:rsidR="00D811CF" w:rsidRPr="00E02273">
        <w:rPr>
          <w:lang w:val="en-CA"/>
        </w:rPr>
        <w:t xml:space="preserve">s based, for the same purpose, on objective price comparisons with </w:t>
      </w:r>
      <w:r w:rsidR="00776D7A" w:rsidRPr="00E02273">
        <w:rPr>
          <w:lang w:val="en-CA"/>
        </w:rPr>
        <w:t xml:space="preserve">both </w:t>
      </w:r>
      <w:r w:rsidR="00D811CF" w:rsidRPr="00E02273">
        <w:rPr>
          <w:lang w:val="en-CA"/>
        </w:rPr>
        <w:t>price</w:t>
      </w:r>
      <w:r w:rsidR="00776D7A" w:rsidRPr="00E02273">
        <w:rPr>
          <w:lang w:val="en-CA"/>
        </w:rPr>
        <w:t>s</w:t>
      </w:r>
      <w:r w:rsidR="00D811CF" w:rsidRPr="00E02273">
        <w:rPr>
          <w:lang w:val="en-CA"/>
        </w:rPr>
        <w:t xml:space="preserve"> in countries other than Canada</w:t>
      </w:r>
      <w:r w:rsidR="00776D7A" w:rsidRPr="00E02273">
        <w:rPr>
          <w:lang w:val="en-CA"/>
        </w:rPr>
        <w:t xml:space="preserve"> </w:t>
      </w:r>
      <w:r w:rsidR="00D811CF" w:rsidRPr="00E02273">
        <w:rPr>
          <w:lang w:val="en-CA"/>
        </w:rPr>
        <w:t>and p</w:t>
      </w:r>
      <w:r w:rsidR="00776D7A" w:rsidRPr="00E02273">
        <w:rPr>
          <w:lang w:val="en-CA"/>
        </w:rPr>
        <w:t xml:space="preserve">rices for medicines in the same therapeutic class. We therefore note that for almost </w:t>
      </w:r>
      <w:r w:rsidR="002D51A4" w:rsidRPr="00E02273">
        <w:rPr>
          <w:lang w:val="en-CA"/>
        </w:rPr>
        <w:t xml:space="preserve">100 </w:t>
      </w:r>
      <w:r w:rsidR="00776D7A" w:rsidRPr="00E02273">
        <w:rPr>
          <w:lang w:val="en-CA"/>
        </w:rPr>
        <w:t xml:space="preserve">years, the </w:t>
      </w:r>
      <w:r w:rsidR="00776D7A" w:rsidRPr="00E02273">
        <w:rPr>
          <w:i/>
          <w:lang w:val="en-CA"/>
        </w:rPr>
        <w:t xml:space="preserve">Patent Act </w:t>
      </w:r>
      <w:r w:rsidR="00776D7A" w:rsidRPr="00E02273">
        <w:rPr>
          <w:lang w:val="en-CA"/>
        </w:rPr>
        <w:t xml:space="preserve">has provided a </w:t>
      </w:r>
      <w:r w:rsidR="002D51A4" w:rsidRPr="00E02273">
        <w:rPr>
          <w:lang w:val="en-CA"/>
        </w:rPr>
        <w:t>regulatory</w:t>
      </w:r>
      <w:r w:rsidR="00776D7A" w:rsidRPr="00E02273">
        <w:rPr>
          <w:lang w:val="en-CA"/>
        </w:rPr>
        <w:t xml:space="preserve"> regime for medicines that is </w:t>
      </w:r>
      <w:r w:rsidR="003C12FA" w:rsidRPr="00E02273">
        <w:rPr>
          <w:lang w:val="en-CA"/>
        </w:rPr>
        <w:t>separate</w:t>
      </w:r>
      <w:r w:rsidR="002D51A4" w:rsidRPr="00E02273">
        <w:rPr>
          <w:lang w:val="en-CA"/>
        </w:rPr>
        <w:t xml:space="preserve"> </w:t>
      </w:r>
      <w:r w:rsidR="00776D7A" w:rsidRPr="00E02273">
        <w:rPr>
          <w:lang w:val="en-CA"/>
        </w:rPr>
        <w:t xml:space="preserve">from the one </w:t>
      </w:r>
      <w:r w:rsidR="002D51A4" w:rsidRPr="00E02273">
        <w:rPr>
          <w:lang w:val="en-CA"/>
        </w:rPr>
        <w:t xml:space="preserve">applicable </w:t>
      </w:r>
      <w:r w:rsidR="00776D7A" w:rsidRPr="00E02273">
        <w:rPr>
          <w:lang w:val="en-CA"/>
        </w:rPr>
        <w:t xml:space="preserve">in cases of </w:t>
      </w:r>
      <w:r w:rsidR="002D51A4" w:rsidRPr="00E02273">
        <w:rPr>
          <w:lang w:val="en-CA"/>
        </w:rPr>
        <w:t>abus</w:t>
      </w:r>
      <w:r w:rsidR="00776D7A" w:rsidRPr="00E02273">
        <w:rPr>
          <w:lang w:val="en-CA"/>
        </w:rPr>
        <w:t>e of patent for other types of patented products.</w:t>
      </w:r>
      <w:r w:rsidR="002D51A4" w:rsidRPr="00E02273">
        <w:rPr>
          <w:rStyle w:val="Appelnotedebasdep"/>
          <w:lang w:val="en-CA"/>
        </w:rPr>
        <w:footnoteReference w:id="198"/>
      </w:r>
    </w:p>
    <w:p w14:paraId="3F22E2BC" w14:textId="087D27CD" w:rsidR="00B568AD" w:rsidRPr="00E02273" w:rsidRDefault="00ED194E" w:rsidP="00440F45">
      <w:pPr>
        <w:pStyle w:val="Paragraphe"/>
        <w:tabs>
          <w:tab w:val="clear" w:pos="4973"/>
          <w:tab w:val="num" w:pos="709"/>
        </w:tabs>
        <w:spacing w:line="240" w:lineRule="auto"/>
        <w:ind w:left="0"/>
        <w:rPr>
          <w:lang w:val="en-CA"/>
        </w:rPr>
      </w:pPr>
      <w:r w:rsidRPr="00E02273">
        <w:rPr>
          <w:lang w:val="en-CA"/>
        </w:rPr>
        <w:t xml:space="preserve">As </w:t>
      </w:r>
      <w:r w:rsidR="002D51A4" w:rsidRPr="00E02273">
        <w:rPr>
          <w:lang w:val="en-CA"/>
        </w:rPr>
        <w:t>Strayer</w:t>
      </w:r>
      <w:r w:rsidRPr="00E02273">
        <w:rPr>
          <w:lang w:val="en-CA"/>
        </w:rPr>
        <w:t xml:space="preserve"> J. confirmed in </w:t>
      </w:r>
      <w:r w:rsidR="002D51A4" w:rsidRPr="00E02273">
        <w:rPr>
          <w:i/>
          <w:lang w:val="en-CA"/>
        </w:rPr>
        <w:t>Smith, Kline</w:t>
      </w:r>
      <w:r w:rsidR="002D51A4" w:rsidRPr="00E02273">
        <w:rPr>
          <w:lang w:val="en-CA"/>
        </w:rPr>
        <w:t xml:space="preserve"> </w:t>
      </w:r>
      <w:r w:rsidR="002D51A4" w:rsidRPr="00E02273">
        <w:rPr>
          <w:i/>
          <w:lang w:val="en-CA"/>
        </w:rPr>
        <w:t>&amp; French</w:t>
      </w:r>
      <w:r w:rsidRPr="00E02273">
        <w:rPr>
          <w:lang w:val="en-CA"/>
        </w:rPr>
        <w:t>,</w:t>
      </w:r>
      <w:r w:rsidR="002D51A4" w:rsidRPr="00E02273">
        <w:rPr>
          <w:rStyle w:val="Appelnotedebasdep"/>
          <w:lang w:val="en-CA"/>
        </w:rPr>
        <w:footnoteReference w:id="199"/>
      </w:r>
      <w:r w:rsidRPr="00E02273">
        <w:rPr>
          <w:lang w:val="en-CA"/>
        </w:rPr>
        <w:t xml:space="preserve"> if the federal </w:t>
      </w:r>
      <w:r w:rsidR="002D51A4" w:rsidRPr="00E02273">
        <w:rPr>
          <w:lang w:val="en-CA"/>
        </w:rPr>
        <w:t>government</w:t>
      </w:r>
      <w:r w:rsidRPr="00E02273">
        <w:rPr>
          <w:lang w:val="en-CA"/>
        </w:rPr>
        <w:t xml:space="preserve"> can grant a </w:t>
      </w:r>
      <w:r w:rsidR="002D51A4" w:rsidRPr="00E02273">
        <w:rPr>
          <w:lang w:val="en-CA"/>
        </w:rPr>
        <w:t>monopol</w:t>
      </w:r>
      <w:r w:rsidRPr="00E02273">
        <w:rPr>
          <w:lang w:val="en-CA"/>
        </w:rPr>
        <w:t xml:space="preserve">y on a medicine through a patent, it certainly has </w:t>
      </w:r>
      <w:r w:rsidR="002D51A4" w:rsidRPr="00E02273">
        <w:rPr>
          <w:lang w:val="en-CA"/>
        </w:rPr>
        <w:t>jurisdiction</w:t>
      </w:r>
      <w:r w:rsidRPr="00E02273">
        <w:rPr>
          <w:lang w:val="en-CA"/>
        </w:rPr>
        <w:t xml:space="preserve"> to </w:t>
      </w:r>
      <w:r w:rsidR="007B3BB7" w:rsidRPr="00E02273">
        <w:rPr>
          <w:lang w:val="en-CA"/>
        </w:rPr>
        <w:t xml:space="preserve">counter </w:t>
      </w:r>
      <w:r w:rsidR="007B3BB7" w:rsidRPr="00E02273">
        <w:rPr>
          <w:lang w:val="en-CA"/>
        </w:rPr>
        <w:lastRenderedPageBreak/>
        <w:t xml:space="preserve">the </w:t>
      </w:r>
      <w:r w:rsidR="002D51A4" w:rsidRPr="00E02273">
        <w:rPr>
          <w:lang w:val="en-CA"/>
        </w:rPr>
        <w:t>effe</w:t>
      </w:r>
      <w:r w:rsidR="007B3BB7" w:rsidRPr="00E02273">
        <w:rPr>
          <w:lang w:val="en-CA"/>
        </w:rPr>
        <w:t>c</w:t>
      </w:r>
      <w:r w:rsidR="002D51A4" w:rsidRPr="00E02273">
        <w:rPr>
          <w:lang w:val="en-CA"/>
        </w:rPr>
        <w:t xml:space="preserve">ts </w:t>
      </w:r>
      <w:r w:rsidR="007B3BB7" w:rsidRPr="00E02273">
        <w:rPr>
          <w:lang w:val="en-CA"/>
        </w:rPr>
        <w:t xml:space="preserve">of that </w:t>
      </w:r>
      <w:r w:rsidR="002D51A4" w:rsidRPr="00E02273">
        <w:rPr>
          <w:lang w:val="en-CA"/>
        </w:rPr>
        <w:t>monopol</w:t>
      </w:r>
      <w:r w:rsidR="007B3BB7" w:rsidRPr="00E02273">
        <w:rPr>
          <w:lang w:val="en-CA"/>
        </w:rPr>
        <w:t xml:space="preserve">y through </w:t>
      </w:r>
      <w:r w:rsidR="002D51A4" w:rsidRPr="00E02273">
        <w:rPr>
          <w:lang w:val="en-CA"/>
        </w:rPr>
        <w:t>me</w:t>
      </w:r>
      <w:r w:rsidR="007B3BB7" w:rsidRPr="00E02273">
        <w:rPr>
          <w:lang w:val="en-CA"/>
        </w:rPr>
        <w:t>a</w:t>
      </w:r>
      <w:r w:rsidR="002D51A4" w:rsidRPr="00E02273">
        <w:rPr>
          <w:lang w:val="en-CA"/>
        </w:rPr>
        <w:t xml:space="preserve">sures </w:t>
      </w:r>
      <w:r w:rsidR="007B3BB7" w:rsidRPr="00E02273">
        <w:rPr>
          <w:lang w:val="en-CA"/>
        </w:rPr>
        <w:t xml:space="preserve">that </w:t>
      </w:r>
      <w:r w:rsidR="002D51A4" w:rsidRPr="00E02273">
        <w:rPr>
          <w:lang w:val="en-CA"/>
        </w:rPr>
        <w:t>favo</w:t>
      </w:r>
      <w:r w:rsidR="007B3BB7" w:rsidRPr="00E02273">
        <w:rPr>
          <w:lang w:val="en-CA"/>
        </w:rPr>
        <w:t>u</w:t>
      </w:r>
      <w:r w:rsidR="002D51A4" w:rsidRPr="00E02273">
        <w:rPr>
          <w:lang w:val="en-CA"/>
        </w:rPr>
        <w:t>r</w:t>
      </w:r>
      <w:r w:rsidR="007B3BB7" w:rsidRPr="00E02273">
        <w:rPr>
          <w:lang w:val="en-CA"/>
        </w:rPr>
        <w:t xml:space="preserve"> competitive prices for those medicines. </w:t>
      </w:r>
      <w:r w:rsidR="0064107F" w:rsidRPr="00E02273">
        <w:rPr>
          <w:lang w:val="en-CA"/>
        </w:rPr>
        <w:t xml:space="preserve">Although </w:t>
      </w:r>
      <w:r w:rsidR="002D51A4" w:rsidRPr="00E02273">
        <w:rPr>
          <w:lang w:val="en-CA"/>
        </w:rPr>
        <w:t xml:space="preserve">Strayer </w:t>
      </w:r>
      <w:r w:rsidR="0064107F" w:rsidRPr="00E02273">
        <w:rPr>
          <w:lang w:val="en-CA"/>
        </w:rPr>
        <w:t xml:space="preserve">J. drew that </w:t>
      </w:r>
      <w:r w:rsidR="002D51A4" w:rsidRPr="00E02273">
        <w:rPr>
          <w:lang w:val="en-CA"/>
        </w:rPr>
        <w:t xml:space="preserve">conclusion </w:t>
      </w:r>
      <w:r w:rsidR="0064107F" w:rsidRPr="00E02273">
        <w:rPr>
          <w:lang w:val="en-CA"/>
        </w:rPr>
        <w:t xml:space="preserve">in respect of a </w:t>
      </w:r>
      <w:r w:rsidR="002D51A4" w:rsidRPr="00E02273">
        <w:rPr>
          <w:lang w:val="en-CA"/>
        </w:rPr>
        <w:t>legislative</w:t>
      </w:r>
      <w:r w:rsidR="0064107F" w:rsidRPr="00E02273">
        <w:rPr>
          <w:lang w:val="en-CA"/>
        </w:rPr>
        <w:t xml:space="preserve"> regime </w:t>
      </w:r>
      <w:r w:rsidR="002D51A4" w:rsidRPr="00E02273">
        <w:rPr>
          <w:lang w:val="en-CA"/>
        </w:rPr>
        <w:t>concern</w:t>
      </w:r>
      <w:r w:rsidR="0064107F" w:rsidRPr="00E02273">
        <w:rPr>
          <w:lang w:val="en-CA"/>
        </w:rPr>
        <w:t>ing compulsory licences that was not intended to directly regulate excessive prices,</w:t>
      </w:r>
      <w:r w:rsidR="002D51A4" w:rsidRPr="00E02273">
        <w:rPr>
          <w:rStyle w:val="Appelnotedebasdep"/>
          <w:lang w:val="en-CA"/>
        </w:rPr>
        <w:footnoteReference w:id="200"/>
      </w:r>
      <w:r w:rsidR="00892F52" w:rsidRPr="00E02273">
        <w:rPr>
          <w:lang w:val="en-CA"/>
        </w:rPr>
        <w:t xml:space="preserve"> his remarks regarding the scope of the </w:t>
      </w:r>
      <w:r w:rsidR="002D51A4" w:rsidRPr="00E02273">
        <w:rPr>
          <w:lang w:val="en-CA"/>
        </w:rPr>
        <w:t>federal</w:t>
      </w:r>
      <w:r w:rsidR="00892F52" w:rsidRPr="00E02273">
        <w:rPr>
          <w:lang w:val="en-CA"/>
        </w:rPr>
        <w:t xml:space="preserve"> </w:t>
      </w:r>
      <w:r w:rsidR="002D51A4" w:rsidRPr="00E02273">
        <w:rPr>
          <w:lang w:val="en-CA"/>
        </w:rPr>
        <w:t>jurisdiction</w:t>
      </w:r>
      <w:r w:rsidR="00892F52" w:rsidRPr="00E02273">
        <w:rPr>
          <w:lang w:val="en-CA"/>
        </w:rPr>
        <w:t xml:space="preserve"> also apply to the control of excessive prices arising from the </w:t>
      </w:r>
      <w:r w:rsidR="002D51A4" w:rsidRPr="00E02273">
        <w:rPr>
          <w:lang w:val="en-CA"/>
        </w:rPr>
        <w:t>monopol</w:t>
      </w:r>
      <w:r w:rsidR="00892F52" w:rsidRPr="00E02273">
        <w:rPr>
          <w:lang w:val="en-CA"/>
        </w:rPr>
        <w:t xml:space="preserve">y granted by </w:t>
      </w:r>
      <w:r w:rsidR="00FA7132">
        <w:rPr>
          <w:lang w:val="en-CA"/>
        </w:rPr>
        <w:t xml:space="preserve">the </w:t>
      </w:r>
      <w:r w:rsidR="00892F52" w:rsidRPr="00E02273">
        <w:rPr>
          <w:lang w:val="en-CA"/>
        </w:rPr>
        <w:t>patent</w:t>
      </w:r>
      <w:r w:rsidR="002D51A4" w:rsidRPr="00E02273">
        <w:rPr>
          <w:lang w:val="en-CA"/>
        </w:rPr>
        <w:t xml:space="preserve">. </w:t>
      </w:r>
    </w:p>
    <w:p w14:paraId="38611C51" w14:textId="6A2B2EE6" w:rsidR="00B568AD" w:rsidRPr="00E02273" w:rsidRDefault="00D74F2D" w:rsidP="00440F45">
      <w:pPr>
        <w:pStyle w:val="Paragraphe"/>
        <w:tabs>
          <w:tab w:val="clear" w:pos="4973"/>
          <w:tab w:val="num" w:pos="709"/>
        </w:tabs>
        <w:spacing w:line="240" w:lineRule="auto"/>
        <w:ind w:left="0"/>
        <w:rPr>
          <w:lang w:val="en-CA"/>
        </w:rPr>
      </w:pPr>
      <w:r w:rsidRPr="00E02273">
        <w:rPr>
          <w:lang w:val="en-CA"/>
        </w:rPr>
        <w:t xml:space="preserve">This </w:t>
      </w:r>
      <w:r w:rsidR="002D51A4" w:rsidRPr="00E02273">
        <w:rPr>
          <w:lang w:val="en-CA"/>
        </w:rPr>
        <w:t>appro</w:t>
      </w:r>
      <w:r w:rsidRPr="00E02273">
        <w:rPr>
          <w:lang w:val="en-CA"/>
        </w:rPr>
        <w:t>a</w:t>
      </w:r>
      <w:r w:rsidR="002D51A4" w:rsidRPr="00E02273">
        <w:rPr>
          <w:lang w:val="en-CA"/>
        </w:rPr>
        <w:t>ch</w:t>
      </w:r>
      <w:r w:rsidRPr="00E02273">
        <w:rPr>
          <w:lang w:val="en-CA"/>
        </w:rPr>
        <w:t xml:space="preserve"> is also entirely consistent with that established by </w:t>
      </w:r>
      <w:r w:rsidR="002D51A4" w:rsidRPr="00E02273">
        <w:rPr>
          <w:lang w:val="en-CA"/>
        </w:rPr>
        <w:t xml:space="preserve">Abella </w:t>
      </w:r>
      <w:r w:rsidRPr="00E02273">
        <w:rPr>
          <w:lang w:val="en-CA"/>
        </w:rPr>
        <w:t xml:space="preserve">J. in </w:t>
      </w:r>
      <w:r w:rsidR="002D51A4" w:rsidRPr="00E02273">
        <w:rPr>
          <w:i/>
          <w:lang w:val="en-CA"/>
        </w:rPr>
        <w:t>Celgene</w:t>
      </w:r>
      <w:r w:rsidR="002D51A4" w:rsidRPr="00E02273">
        <w:rPr>
          <w:lang w:val="en-CA"/>
        </w:rPr>
        <w:t xml:space="preserve">. </w:t>
      </w:r>
      <w:r w:rsidRPr="00E02273">
        <w:rPr>
          <w:lang w:val="en-CA"/>
        </w:rPr>
        <w:t xml:space="preserve">Although that case did not concern the </w:t>
      </w:r>
      <w:r w:rsidR="00FA7132">
        <w:rPr>
          <w:lang w:val="en-CA"/>
        </w:rPr>
        <w:t xml:space="preserve">federal government’s </w:t>
      </w:r>
      <w:r w:rsidR="002D51A4" w:rsidRPr="00E02273">
        <w:rPr>
          <w:lang w:val="en-CA"/>
        </w:rPr>
        <w:t>constitutional</w:t>
      </w:r>
      <w:r w:rsidRPr="00E02273">
        <w:rPr>
          <w:lang w:val="en-CA"/>
        </w:rPr>
        <w:t xml:space="preserve"> </w:t>
      </w:r>
      <w:r w:rsidR="002D51A4" w:rsidRPr="00E02273">
        <w:rPr>
          <w:lang w:val="en-CA"/>
        </w:rPr>
        <w:t xml:space="preserve">jurisdiction, </w:t>
      </w:r>
      <w:r w:rsidR="000A3F0E" w:rsidRPr="00E02273">
        <w:rPr>
          <w:lang w:val="en-CA"/>
        </w:rPr>
        <w:t xml:space="preserve">it nevertheless states that the purpose of the </w:t>
      </w:r>
      <w:r w:rsidR="000A3F0E" w:rsidRPr="00E02273">
        <w:rPr>
          <w:i/>
          <w:lang w:val="en-CA"/>
        </w:rPr>
        <w:t xml:space="preserve">Act </w:t>
      </w:r>
      <w:r w:rsidR="000A3F0E" w:rsidRPr="00E02273">
        <w:rPr>
          <w:lang w:val="en-CA"/>
        </w:rPr>
        <w:t xml:space="preserve">is to control the </w:t>
      </w:r>
      <w:r w:rsidR="002D51A4" w:rsidRPr="00E02273">
        <w:rPr>
          <w:lang w:val="en-CA"/>
        </w:rPr>
        <w:t>monopol</w:t>
      </w:r>
      <w:r w:rsidR="000A3F0E" w:rsidRPr="00E02273">
        <w:rPr>
          <w:lang w:val="en-CA"/>
        </w:rPr>
        <w:t xml:space="preserve">y resulting from </w:t>
      </w:r>
      <w:r w:rsidR="00FA7132">
        <w:rPr>
          <w:lang w:val="en-CA"/>
        </w:rPr>
        <w:t xml:space="preserve">the </w:t>
      </w:r>
      <w:r w:rsidR="000A3F0E" w:rsidRPr="00E02273">
        <w:rPr>
          <w:lang w:val="en-CA"/>
        </w:rPr>
        <w:t xml:space="preserve">patent, which suggests that this legislative purpose falls within the </w:t>
      </w:r>
      <w:r w:rsidR="002D51A4" w:rsidRPr="00E02273">
        <w:rPr>
          <w:lang w:val="en-CA"/>
        </w:rPr>
        <w:t>federal</w:t>
      </w:r>
      <w:r w:rsidR="000A3F0E" w:rsidRPr="00E02273">
        <w:rPr>
          <w:lang w:val="en-CA"/>
        </w:rPr>
        <w:t xml:space="preserve"> </w:t>
      </w:r>
      <w:r w:rsidR="002D51A4" w:rsidRPr="00E02273">
        <w:rPr>
          <w:lang w:val="en-CA"/>
        </w:rPr>
        <w:t>jurisdiction</w:t>
      </w:r>
      <w:r w:rsidR="000A3F0E" w:rsidRPr="00E02273">
        <w:rPr>
          <w:lang w:val="en-CA"/>
        </w:rPr>
        <w:t xml:space="preserve"> over parents of inv</w:t>
      </w:r>
      <w:r w:rsidR="002D51A4" w:rsidRPr="00E02273">
        <w:rPr>
          <w:lang w:val="en-CA"/>
        </w:rPr>
        <w:t xml:space="preserve">ention </w:t>
      </w:r>
      <w:r w:rsidR="000A3F0E" w:rsidRPr="00E02273">
        <w:rPr>
          <w:lang w:val="en-CA"/>
        </w:rPr>
        <w:t>and discovery:</w:t>
      </w:r>
      <w:r w:rsidR="002D51A4" w:rsidRPr="00E02273">
        <w:rPr>
          <w:rStyle w:val="Appelnotedebasdep"/>
          <w:lang w:val="en-CA"/>
        </w:rPr>
        <w:footnoteReference w:id="201"/>
      </w:r>
      <w:r w:rsidR="002D51A4" w:rsidRPr="00E02273">
        <w:rPr>
          <w:lang w:val="en-CA"/>
        </w:rPr>
        <w:t> </w:t>
      </w:r>
    </w:p>
    <w:p w14:paraId="008816FD" w14:textId="3385D906" w:rsidR="00B568AD" w:rsidRPr="00E02273" w:rsidRDefault="002D51A4" w:rsidP="00B568AD">
      <w:pPr>
        <w:pStyle w:val="Citationenretrait"/>
        <w:spacing w:line="240" w:lineRule="auto"/>
        <w:rPr>
          <w:lang w:val="en-CA"/>
        </w:rPr>
      </w:pPr>
      <w:r w:rsidRPr="00E02273">
        <w:rPr>
          <w:lang w:val="en-CA"/>
        </w:rPr>
        <w:t>[28]</w:t>
      </w:r>
      <w:r w:rsidRPr="00E02273">
        <w:rPr>
          <w:sz w:val="14"/>
          <w:szCs w:val="14"/>
          <w:lang w:val="en-CA"/>
        </w:rPr>
        <w:tab/>
      </w:r>
      <w:r w:rsidR="006A5DA3" w:rsidRPr="00E02273">
        <w:rPr>
          <w:color w:val="000000"/>
          <w:lang w:val="en-CA"/>
        </w:rPr>
        <w:t>The Board’s consumer protection purpose was affirmed in </w:t>
      </w:r>
      <w:r w:rsidR="006A5DA3" w:rsidRPr="00E02273">
        <w:rPr>
          <w:i/>
          <w:iCs/>
          <w:color w:val="000000"/>
          <w:lang w:val="en-CA"/>
        </w:rPr>
        <w:t>ICN Pharmaceuticals Inc. v. Patented Medicine Prices Review Board</w:t>
      </w:r>
      <w:r w:rsidR="006A5DA3" w:rsidRPr="00E02273">
        <w:rPr>
          <w:color w:val="000000"/>
          <w:lang w:val="en-CA"/>
        </w:rPr>
        <w:t> (1996), 108 F.T.R. 190, aff’d [1997] 1 F.C. 32 (C.A.), where Cullen J. said:</w:t>
      </w:r>
    </w:p>
    <w:p w14:paraId="63583F90" w14:textId="2F9CBDD7" w:rsidR="00470A9B" w:rsidRPr="00E02273" w:rsidRDefault="00470A9B" w:rsidP="00F37230">
      <w:pPr>
        <w:pStyle w:val="Citationenretrait"/>
        <w:spacing w:line="240" w:lineRule="auto"/>
        <w:ind w:left="1020" w:firstLine="398"/>
        <w:rPr>
          <w:sz w:val="20"/>
          <w:lang w:val="en-CA"/>
        </w:rPr>
      </w:pPr>
      <w:r w:rsidRPr="00E02273">
        <w:rPr>
          <w:sz w:val="20"/>
          <w:lang w:val="en-CA"/>
        </w:rPr>
        <w:t>Sections 79 to 103 of the </w:t>
      </w:r>
      <w:r w:rsidRPr="00E02273">
        <w:rPr>
          <w:i/>
          <w:iCs/>
          <w:sz w:val="20"/>
          <w:lang w:val="en-CA"/>
        </w:rPr>
        <w:t>Patent Act</w:t>
      </w:r>
      <w:r w:rsidRPr="00E02273">
        <w:rPr>
          <w:sz w:val="20"/>
          <w:lang w:val="en-CA"/>
        </w:rPr>
        <w:t>, creating the Patented Medicine Prices Review Board, were enacted in response to the abolition of the compulsory licensing regime.</w:t>
      </w:r>
      <w:r w:rsidRPr="00E02273">
        <w:rPr>
          <w:i/>
          <w:iCs/>
          <w:sz w:val="20"/>
          <w:lang w:val="en-CA"/>
        </w:rPr>
        <w:t> </w:t>
      </w:r>
      <w:r w:rsidRPr="00E02273">
        <w:rPr>
          <w:sz w:val="20"/>
          <w:u w:val="single"/>
          <w:lang w:val="en-CA"/>
        </w:rPr>
        <w:t>Parliament’s intent was certainly to address the “mischief” that the patentee’s monopoly over pharmaceuticals during the exclusivity period might cause prices to rise to unacceptable levels.</w:t>
      </w:r>
      <w:r w:rsidRPr="00E02273">
        <w:rPr>
          <w:i/>
          <w:iCs/>
          <w:sz w:val="20"/>
          <w:lang w:val="en-CA"/>
        </w:rPr>
        <w:t> </w:t>
      </w:r>
      <w:r w:rsidRPr="00E02273">
        <w:rPr>
          <w:sz w:val="20"/>
          <w:lang w:val="en-CA"/>
        </w:rPr>
        <w:t>Accordingly, the words of these sections of the </w:t>
      </w:r>
      <w:r w:rsidRPr="00E02273">
        <w:rPr>
          <w:i/>
          <w:iCs/>
          <w:sz w:val="20"/>
          <w:lang w:val="en-CA"/>
        </w:rPr>
        <w:t>Patent Act</w:t>
      </w:r>
      <w:r w:rsidRPr="00E02273">
        <w:rPr>
          <w:sz w:val="20"/>
          <w:lang w:val="en-CA"/>
        </w:rPr>
        <w:t> should be read purposively . . . . [Emphasis added; para. 24.]</w:t>
      </w:r>
    </w:p>
    <w:p w14:paraId="1786EFCB" w14:textId="649A19D6" w:rsidR="00470A9B" w:rsidRPr="00E02273" w:rsidRDefault="002D51A4" w:rsidP="00470A9B">
      <w:pPr>
        <w:pStyle w:val="Citationenretrait"/>
        <w:spacing w:line="240" w:lineRule="auto"/>
        <w:rPr>
          <w:szCs w:val="14"/>
          <w:lang w:val="en-CA"/>
        </w:rPr>
      </w:pPr>
      <w:r w:rsidRPr="00E02273">
        <w:rPr>
          <w:lang w:val="en-CA"/>
        </w:rPr>
        <w:t>[29]</w:t>
      </w:r>
      <w:r w:rsidRPr="00E02273">
        <w:rPr>
          <w:sz w:val="14"/>
          <w:szCs w:val="14"/>
          <w:lang w:val="en-CA"/>
        </w:rPr>
        <w:tab/>
      </w:r>
      <w:r w:rsidR="00470A9B" w:rsidRPr="00E02273">
        <w:rPr>
          <w:szCs w:val="14"/>
          <w:lang w:val="en-CA"/>
        </w:rPr>
        <w:t xml:space="preserve">This is the approach to its mandate that the Board applied, one that took into paramount account its responsibility for ensuring </w:t>
      </w:r>
      <w:r w:rsidR="00470A9B" w:rsidRPr="00E02273">
        <w:rPr>
          <w:szCs w:val="14"/>
          <w:u w:val="single"/>
          <w:lang w:val="en-CA"/>
        </w:rPr>
        <w:t>that the monopoly</w:t>
      </w:r>
      <w:r w:rsidR="00470A9B" w:rsidRPr="00E02273">
        <w:rPr>
          <w:szCs w:val="14"/>
          <w:lang w:val="en-CA"/>
        </w:rPr>
        <w:t xml:space="preserve"> </w:t>
      </w:r>
      <w:r w:rsidR="00F37230" w:rsidRPr="00E02273">
        <w:rPr>
          <w:szCs w:val="14"/>
          <w:lang w:val="en-CA"/>
        </w:rPr>
        <w:t xml:space="preserve">[Emphasis added by the Court] </w:t>
      </w:r>
      <w:r w:rsidR="00470A9B" w:rsidRPr="00E02273">
        <w:rPr>
          <w:szCs w:val="14"/>
          <w:lang w:val="en-CA"/>
        </w:rPr>
        <w:t xml:space="preserve">that accompanies the granting of a patent </w:t>
      </w:r>
      <w:r w:rsidR="00470A9B" w:rsidRPr="00E02273">
        <w:rPr>
          <w:szCs w:val="14"/>
          <w:u w:val="single"/>
          <w:lang w:val="en-CA"/>
        </w:rPr>
        <w:t>is not abused to the financial detriment of Canadian patients and their insurers</w:t>
      </w:r>
      <w:r w:rsidR="00470A9B" w:rsidRPr="00E02273">
        <w:rPr>
          <w:szCs w:val="14"/>
          <w:lang w:val="en-CA"/>
        </w:rPr>
        <w:t> </w:t>
      </w:r>
      <w:r w:rsidR="00F37230" w:rsidRPr="00E02273">
        <w:rPr>
          <w:szCs w:val="14"/>
          <w:lang w:val="en-CA"/>
        </w:rPr>
        <w:t>[Emphasis added by the Court]:</w:t>
      </w:r>
    </w:p>
    <w:p w14:paraId="7B3A17FE" w14:textId="77777777" w:rsidR="00F37230" w:rsidRPr="00E02273" w:rsidRDefault="00F37230" w:rsidP="00B568AD">
      <w:pPr>
        <w:pStyle w:val="Citationenretrait"/>
        <w:spacing w:line="240" w:lineRule="auto"/>
        <w:ind w:left="1032" w:firstLine="408"/>
        <w:rPr>
          <w:sz w:val="20"/>
          <w:u w:val="single"/>
          <w:lang w:val="en-CA"/>
        </w:rPr>
      </w:pPr>
      <w:r w:rsidRPr="00556330">
        <w:rPr>
          <w:sz w:val="20"/>
          <w:u w:val="single"/>
          <w:lang w:val="en-CA"/>
        </w:rPr>
        <w:t>The mandate of the Board includes balancing the monopoly power held by the patentee of a medicine, with the interests of purchasers of those medicines</w:t>
      </w:r>
      <w:r w:rsidRPr="00E02273">
        <w:rPr>
          <w:sz w:val="20"/>
          <w:lang w:val="en-CA"/>
        </w:rPr>
        <w:t xml:space="preserve">.  The patentee of a medicine sold in Canada is subject to the jurisdiction of the Board, and this jurisdiction requires the patentee to report information to the Board concerning the price at which it has been selling the patented medicine in any market in Canada.  The Board compares this price to the price of comparable medicines, and to the price at which the medicine is sold in other countries, to determine whether or not its price in Canada is excessive. </w:t>
      </w:r>
      <w:r w:rsidRPr="00E02273">
        <w:rPr>
          <w:sz w:val="20"/>
          <w:u w:val="single"/>
          <w:lang w:val="en-CA"/>
        </w:rPr>
        <w:t xml:space="preserve">In consultation with industry, government and consumer stakeholders, the Board has developed detailed guidelines that patentees and Board Staff use to ensure that the prices of patented medicines in Canada are not excessive . . . . </w:t>
      </w:r>
      <w:r w:rsidRPr="00E02273">
        <w:rPr>
          <w:sz w:val="20"/>
          <w:lang w:val="en-CA"/>
        </w:rPr>
        <w:t>[Emphasis added; para. 5.]</w:t>
      </w:r>
    </w:p>
    <w:p w14:paraId="3308A122" w14:textId="4CC75FFF" w:rsidR="00B568AD" w:rsidRPr="00E02273" w:rsidRDefault="00F37230" w:rsidP="00B568AD">
      <w:pPr>
        <w:pStyle w:val="Citationenretrait"/>
        <w:spacing w:line="240" w:lineRule="auto"/>
        <w:jc w:val="right"/>
        <w:rPr>
          <w:szCs w:val="22"/>
          <w:lang w:val="en-CA"/>
        </w:rPr>
      </w:pPr>
      <w:r w:rsidRPr="00E02273">
        <w:rPr>
          <w:szCs w:val="22"/>
          <w:lang w:val="en-CA"/>
        </w:rPr>
        <w:t xml:space="preserve"> </w:t>
      </w:r>
      <w:r w:rsidR="002D51A4" w:rsidRPr="00E02273">
        <w:rPr>
          <w:szCs w:val="22"/>
          <w:lang w:val="en-CA"/>
        </w:rPr>
        <w:t>[</w:t>
      </w:r>
      <w:r w:rsidRPr="00E02273">
        <w:rPr>
          <w:szCs w:val="22"/>
          <w:lang w:val="en-CA"/>
        </w:rPr>
        <w:t xml:space="preserve">Emphasis in </w:t>
      </w:r>
      <w:r w:rsidR="002D51A4" w:rsidRPr="00E02273">
        <w:rPr>
          <w:szCs w:val="22"/>
          <w:lang w:val="en-CA"/>
        </w:rPr>
        <w:t>original,</w:t>
      </w:r>
      <w:r w:rsidRPr="00E02273">
        <w:rPr>
          <w:szCs w:val="22"/>
          <w:lang w:val="en-CA"/>
        </w:rPr>
        <w:t xml:space="preserve"> except where otherwise indicated.</w:t>
      </w:r>
      <w:r w:rsidR="002D51A4" w:rsidRPr="00E02273">
        <w:rPr>
          <w:szCs w:val="22"/>
          <w:lang w:val="en-CA"/>
        </w:rPr>
        <w:t>]</w:t>
      </w:r>
    </w:p>
    <w:p w14:paraId="6D1A70D6" w14:textId="7F74D346" w:rsidR="00B568AD" w:rsidRPr="00E02273" w:rsidRDefault="00D24794" w:rsidP="00F37230">
      <w:pPr>
        <w:pStyle w:val="Paragraphe"/>
        <w:tabs>
          <w:tab w:val="clear" w:pos="4973"/>
          <w:tab w:val="num" w:pos="709"/>
        </w:tabs>
        <w:spacing w:line="240" w:lineRule="auto"/>
        <w:ind w:left="0"/>
        <w:rPr>
          <w:lang w:val="en-CA"/>
        </w:rPr>
      </w:pPr>
      <w:r w:rsidRPr="00E02273">
        <w:rPr>
          <w:lang w:val="en-CA"/>
        </w:rPr>
        <w:t xml:space="preserve">Thus, the </w:t>
      </w:r>
      <w:r w:rsidR="002D51A4" w:rsidRPr="00E02273">
        <w:rPr>
          <w:lang w:val="en-CA"/>
        </w:rPr>
        <w:t>federal</w:t>
      </w:r>
      <w:r w:rsidR="0096186D" w:rsidRPr="00E02273">
        <w:rPr>
          <w:lang w:val="en-CA"/>
        </w:rPr>
        <w:t xml:space="preserve"> </w:t>
      </w:r>
      <w:r w:rsidR="002D51A4" w:rsidRPr="00E02273">
        <w:rPr>
          <w:lang w:val="en-CA"/>
        </w:rPr>
        <w:t>jurisdiction</w:t>
      </w:r>
      <w:r w:rsidR="0096186D" w:rsidRPr="00E02273">
        <w:rPr>
          <w:lang w:val="en-CA"/>
        </w:rPr>
        <w:t xml:space="preserve"> over the price of patented medicines concerns the </w:t>
      </w:r>
      <w:r w:rsidR="002D51A4" w:rsidRPr="00E02273">
        <w:rPr>
          <w:lang w:val="en-CA"/>
        </w:rPr>
        <w:t>effe</w:t>
      </w:r>
      <w:r w:rsidR="0096186D" w:rsidRPr="00E02273">
        <w:rPr>
          <w:lang w:val="en-CA"/>
        </w:rPr>
        <w:t>c</w:t>
      </w:r>
      <w:r w:rsidR="002D51A4" w:rsidRPr="00E02273">
        <w:rPr>
          <w:lang w:val="en-CA"/>
        </w:rPr>
        <w:t xml:space="preserve">ts </w:t>
      </w:r>
      <w:r w:rsidR="0096186D" w:rsidRPr="00E02273">
        <w:rPr>
          <w:lang w:val="en-CA"/>
        </w:rPr>
        <w:t xml:space="preserve">of the </w:t>
      </w:r>
      <w:r w:rsidR="002D51A4" w:rsidRPr="00E02273">
        <w:rPr>
          <w:lang w:val="en-CA"/>
        </w:rPr>
        <w:t>monopol</w:t>
      </w:r>
      <w:r w:rsidR="0096186D" w:rsidRPr="00E02273">
        <w:rPr>
          <w:lang w:val="en-CA"/>
        </w:rPr>
        <w:t xml:space="preserve">y granted by </w:t>
      </w:r>
      <w:r w:rsidR="00D101A6">
        <w:rPr>
          <w:lang w:val="en-CA"/>
        </w:rPr>
        <w:t xml:space="preserve">the </w:t>
      </w:r>
      <w:r w:rsidR="0096186D" w:rsidRPr="00E02273">
        <w:rPr>
          <w:lang w:val="en-CA"/>
        </w:rPr>
        <w:t xml:space="preserve">patent, not the effects on the market as a whole. </w:t>
      </w:r>
      <w:r w:rsidR="0096186D" w:rsidRPr="00E02273">
        <w:rPr>
          <w:lang w:val="en-CA"/>
        </w:rPr>
        <w:lastRenderedPageBreak/>
        <w:t xml:space="preserve">It therefore concerns the control of excessive prices resulting from the </w:t>
      </w:r>
      <w:r w:rsidR="002D51A4" w:rsidRPr="00E02273">
        <w:rPr>
          <w:lang w:val="en-CA"/>
        </w:rPr>
        <w:t>monopol</w:t>
      </w:r>
      <w:r w:rsidR="0096186D" w:rsidRPr="00E02273">
        <w:rPr>
          <w:lang w:val="en-CA"/>
        </w:rPr>
        <w:t>y.</w:t>
      </w:r>
      <w:r w:rsidR="002D51A4" w:rsidRPr="00E02273">
        <w:rPr>
          <w:rStyle w:val="Appelnotedebasdep"/>
          <w:lang w:val="en-CA"/>
        </w:rPr>
        <w:footnoteReference w:id="202"/>
      </w:r>
      <w:r w:rsidR="0096186D" w:rsidRPr="00E02273">
        <w:rPr>
          <w:lang w:val="en-CA"/>
        </w:rPr>
        <w:t xml:space="preserve"> This jurisdiction may be </w:t>
      </w:r>
      <w:r w:rsidR="002D51A4" w:rsidRPr="00E02273">
        <w:rPr>
          <w:lang w:val="en-CA"/>
        </w:rPr>
        <w:t>distingu</w:t>
      </w:r>
      <w:r w:rsidR="0096186D" w:rsidRPr="00E02273">
        <w:rPr>
          <w:lang w:val="en-CA"/>
        </w:rPr>
        <w:t xml:space="preserve">ished from that concerning </w:t>
      </w:r>
      <w:r w:rsidR="00FA7132">
        <w:rPr>
          <w:lang w:val="en-CA"/>
        </w:rPr>
        <w:t>patent</w:t>
      </w:r>
      <w:r w:rsidR="00FA7132" w:rsidRPr="00E02273">
        <w:rPr>
          <w:lang w:val="en-CA"/>
        </w:rPr>
        <w:t xml:space="preserve"> </w:t>
      </w:r>
      <w:r w:rsidR="002D51A4" w:rsidRPr="00E02273">
        <w:rPr>
          <w:lang w:val="en-CA"/>
        </w:rPr>
        <w:t>abus</w:t>
      </w:r>
      <w:r w:rsidR="0096186D" w:rsidRPr="00E02273">
        <w:rPr>
          <w:lang w:val="en-CA"/>
        </w:rPr>
        <w:t xml:space="preserve">e set out in </w:t>
      </w:r>
      <w:r w:rsidR="002D51A4" w:rsidRPr="00E02273">
        <w:rPr>
          <w:lang w:val="en-CA"/>
        </w:rPr>
        <w:t>sections</w:t>
      </w:r>
      <w:r w:rsidR="0096186D" w:rsidRPr="00E02273">
        <w:rPr>
          <w:lang w:val="en-CA"/>
        </w:rPr>
        <w:t xml:space="preserve"> </w:t>
      </w:r>
      <w:r w:rsidR="002D51A4" w:rsidRPr="00E02273">
        <w:rPr>
          <w:lang w:val="en-CA"/>
        </w:rPr>
        <w:t xml:space="preserve">65 </w:t>
      </w:r>
      <w:r w:rsidR="0096186D" w:rsidRPr="00E02273">
        <w:rPr>
          <w:lang w:val="en-CA"/>
        </w:rPr>
        <w:t>to</w:t>
      </w:r>
      <w:r w:rsidR="002D51A4" w:rsidRPr="00E02273">
        <w:rPr>
          <w:lang w:val="en-CA"/>
        </w:rPr>
        <w:t xml:space="preserve"> 71 </w:t>
      </w:r>
      <w:r w:rsidR="0096186D" w:rsidRPr="00E02273">
        <w:rPr>
          <w:lang w:val="en-CA"/>
        </w:rPr>
        <w:t>and</w:t>
      </w:r>
      <w:r w:rsidR="002D51A4" w:rsidRPr="00E02273">
        <w:rPr>
          <w:lang w:val="en-CA"/>
        </w:rPr>
        <w:t xml:space="preserve"> 127 </w:t>
      </w:r>
      <w:r w:rsidR="0096186D" w:rsidRPr="00E02273">
        <w:rPr>
          <w:lang w:val="en-CA"/>
        </w:rPr>
        <w:t xml:space="preserve">to </w:t>
      </w:r>
      <w:r w:rsidR="002D51A4" w:rsidRPr="00E02273">
        <w:rPr>
          <w:lang w:val="en-CA"/>
        </w:rPr>
        <w:t>128 of</w:t>
      </w:r>
      <w:r w:rsidR="0096186D" w:rsidRPr="00E02273">
        <w:rPr>
          <w:lang w:val="en-CA"/>
        </w:rPr>
        <w:t xml:space="preserve"> </w:t>
      </w:r>
      <w:r w:rsidR="002D51A4" w:rsidRPr="00E02273">
        <w:rPr>
          <w:lang w:val="en-CA"/>
        </w:rPr>
        <w:t>the</w:t>
      </w:r>
      <w:r w:rsidR="0096186D" w:rsidRPr="00E02273">
        <w:rPr>
          <w:lang w:val="en-CA"/>
        </w:rPr>
        <w:t xml:space="preserve"> </w:t>
      </w:r>
      <w:r w:rsidR="0096186D" w:rsidRPr="00E02273">
        <w:rPr>
          <w:i/>
          <w:lang w:val="en-CA"/>
        </w:rPr>
        <w:t>Patent Act</w:t>
      </w:r>
      <w:r w:rsidR="002D51A4" w:rsidRPr="00E02273">
        <w:rPr>
          <w:lang w:val="en-CA"/>
        </w:rPr>
        <w:t>,</w:t>
      </w:r>
      <w:r w:rsidR="0096186D" w:rsidRPr="00E02273">
        <w:rPr>
          <w:lang w:val="en-CA"/>
        </w:rPr>
        <w:t xml:space="preserve"> but it is based on a similar </w:t>
      </w:r>
      <w:r w:rsidR="002D51A4" w:rsidRPr="00E02273">
        <w:rPr>
          <w:lang w:val="en-CA"/>
        </w:rPr>
        <w:t xml:space="preserve">concept </w:t>
      </w:r>
      <w:r w:rsidR="0096186D" w:rsidRPr="00E02273">
        <w:rPr>
          <w:lang w:val="en-CA"/>
        </w:rPr>
        <w:t xml:space="preserve">that is reinforced by the particular </w:t>
      </w:r>
      <w:r w:rsidR="002D51A4" w:rsidRPr="00E02273">
        <w:rPr>
          <w:lang w:val="en-CA"/>
        </w:rPr>
        <w:t>public</w:t>
      </w:r>
      <w:r w:rsidR="0096186D" w:rsidRPr="00E02273">
        <w:rPr>
          <w:lang w:val="en-CA"/>
        </w:rPr>
        <w:t xml:space="preserve"> </w:t>
      </w:r>
      <w:r w:rsidR="002D51A4" w:rsidRPr="00E02273">
        <w:rPr>
          <w:lang w:val="en-CA"/>
        </w:rPr>
        <w:t>interest</w:t>
      </w:r>
      <w:r w:rsidR="0096186D" w:rsidRPr="00E02273">
        <w:rPr>
          <w:lang w:val="en-CA"/>
        </w:rPr>
        <w:t xml:space="preserve"> nature that patented medicines present. That is in fact what </w:t>
      </w:r>
      <w:r w:rsidR="002D51A4" w:rsidRPr="00E02273">
        <w:rPr>
          <w:lang w:val="en-CA"/>
        </w:rPr>
        <w:t>Deputy</w:t>
      </w:r>
      <w:r w:rsidR="007926DC" w:rsidRPr="00E02273">
        <w:rPr>
          <w:lang w:val="en-CA"/>
        </w:rPr>
        <w:t xml:space="preserve"> </w:t>
      </w:r>
      <w:r w:rsidR="002D51A4" w:rsidRPr="00E02273">
        <w:rPr>
          <w:lang w:val="en-CA"/>
        </w:rPr>
        <w:t xml:space="preserve">Minister Bourgon </w:t>
      </w:r>
      <w:r w:rsidR="007926DC" w:rsidRPr="00E02273">
        <w:rPr>
          <w:lang w:val="en-CA"/>
        </w:rPr>
        <w:t xml:space="preserve">stated in a memorandum dated </w:t>
      </w:r>
      <w:r w:rsidR="002D51A4" w:rsidRPr="00E02273">
        <w:rPr>
          <w:lang w:val="en-CA"/>
        </w:rPr>
        <w:t>November</w:t>
      </w:r>
      <w:r w:rsidR="00FA7132">
        <w:rPr>
          <w:lang w:val="en-CA"/>
        </w:rPr>
        <w:t> </w:t>
      </w:r>
      <w:r w:rsidR="007926DC" w:rsidRPr="00E02273">
        <w:rPr>
          <w:lang w:val="en-CA"/>
        </w:rPr>
        <w:t>30,</w:t>
      </w:r>
      <w:r w:rsidR="002D51A4" w:rsidRPr="00E02273">
        <w:rPr>
          <w:lang w:val="en-CA"/>
        </w:rPr>
        <w:t xml:space="preserve"> 1990</w:t>
      </w:r>
      <w:r w:rsidR="007926DC" w:rsidRPr="00E02273">
        <w:rPr>
          <w:lang w:val="en-CA"/>
        </w:rPr>
        <w:t xml:space="preserve">, to the federal </w:t>
      </w:r>
      <w:r w:rsidR="002D51A4" w:rsidRPr="00E02273">
        <w:rPr>
          <w:lang w:val="en-CA"/>
        </w:rPr>
        <w:t>minister</w:t>
      </w:r>
      <w:r w:rsidR="007926DC" w:rsidRPr="00E02273">
        <w:rPr>
          <w:lang w:val="en-CA"/>
        </w:rPr>
        <w:t xml:space="preserve"> </w:t>
      </w:r>
      <w:r w:rsidR="002D51A4" w:rsidRPr="00E02273">
        <w:rPr>
          <w:lang w:val="en-CA"/>
        </w:rPr>
        <w:t>respons</w:t>
      </w:r>
      <w:r w:rsidR="007926DC" w:rsidRPr="00E02273">
        <w:rPr>
          <w:lang w:val="en-CA"/>
        </w:rPr>
        <w:t>i</w:t>
      </w:r>
      <w:r w:rsidR="002D51A4" w:rsidRPr="00E02273">
        <w:rPr>
          <w:lang w:val="en-CA"/>
        </w:rPr>
        <w:t>ble</w:t>
      </w:r>
      <w:r w:rsidR="007926DC" w:rsidRPr="00E02273">
        <w:rPr>
          <w:lang w:val="en-CA"/>
        </w:rPr>
        <w:t>:</w:t>
      </w:r>
      <w:r w:rsidR="002D51A4" w:rsidRPr="00E02273">
        <w:rPr>
          <w:rStyle w:val="Appelnotedebasdep"/>
          <w:lang w:val="en-CA"/>
        </w:rPr>
        <w:footnoteReference w:id="203"/>
      </w:r>
      <w:r w:rsidR="002D51A4" w:rsidRPr="00E02273">
        <w:rPr>
          <w:lang w:val="en-CA"/>
        </w:rPr>
        <w:t> </w:t>
      </w:r>
    </w:p>
    <w:p w14:paraId="4FAE6F13" w14:textId="1985CC8D" w:rsidR="00D70CF7" w:rsidRPr="00E02273" w:rsidRDefault="00D70CF7" w:rsidP="00B568AD">
      <w:pPr>
        <w:pStyle w:val="Citationenretrait"/>
        <w:spacing w:line="240" w:lineRule="auto"/>
        <w:rPr>
          <w:lang w:val="en-CA"/>
        </w:rPr>
      </w:pPr>
      <w:r w:rsidRPr="00E02273">
        <w:rPr>
          <w:lang w:val="en-CA"/>
        </w:rPr>
        <w:t>[</w:t>
      </w:r>
      <w:r w:rsidRPr="00E02273">
        <w:rPr>
          <w:smallCaps/>
          <w:lang w:val="en-CA"/>
        </w:rPr>
        <w:t>translation</w:t>
      </w:r>
      <w:r w:rsidRPr="00E02273">
        <w:rPr>
          <w:lang w:val="en-CA"/>
        </w:rPr>
        <w:t>]</w:t>
      </w:r>
    </w:p>
    <w:p w14:paraId="2A67B9A1" w14:textId="331EDBD4" w:rsidR="00B568AD" w:rsidRPr="00E02273" w:rsidRDefault="00D70CF7" w:rsidP="00B568AD">
      <w:pPr>
        <w:pStyle w:val="Citationenretrait"/>
        <w:spacing w:line="240" w:lineRule="auto"/>
        <w:rPr>
          <w:lang w:val="en-CA"/>
        </w:rPr>
      </w:pPr>
      <w:r w:rsidRPr="00E02273">
        <w:rPr>
          <w:lang w:val="en-CA"/>
        </w:rPr>
        <w:t xml:space="preserve">In general, fixing prices is considered an issue of </w:t>
      </w:r>
      <w:r w:rsidR="002D51A4" w:rsidRPr="00E02273">
        <w:rPr>
          <w:lang w:val="en-CA"/>
        </w:rPr>
        <w:t>property</w:t>
      </w:r>
      <w:r w:rsidRPr="00E02273">
        <w:rPr>
          <w:lang w:val="en-CA"/>
        </w:rPr>
        <w:t xml:space="preserve"> and </w:t>
      </w:r>
      <w:r w:rsidR="002D51A4" w:rsidRPr="00E02273">
        <w:rPr>
          <w:lang w:val="en-CA"/>
        </w:rPr>
        <w:t>civil</w:t>
      </w:r>
      <w:r w:rsidRPr="00E02273">
        <w:rPr>
          <w:lang w:val="en-CA"/>
        </w:rPr>
        <w:t xml:space="preserve"> </w:t>
      </w:r>
      <w:r w:rsidR="002D51A4" w:rsidRPr="00E02273">
        <w:rPr>
          <w:lang w:val="en-CA"/>
        </w:rPr>
        <w:t xml:space="preserve">rights. </w:t>
      </w:r>
      <w:r w:rsidR="005E38E4" w:rsidRPr="00E02273">
        <w:rPr>
          <w:lang w:val="en-CA"/>
        </w:rPr>
        <w:t xml:space="preserve">This head of </w:t>
      </w:r>
      <w:r w:rsidR="00C36AD0">
        <w:rPr>
          <w:lang w:val="en-CA"/>
        </w:rPr>
        <w:t>power</w:t>
      </w:r>
      <w:r w:rsidR="002D51A4" w:rsidRPr="00E02273">
        <w:rPr>
          <w:lang w:val="en-CA"/>
        </w:rPr>
        <w:t xml:space="preserve"> </w:t>
      </w:r>
      <w:r w:rsidR="00745C5D" w:rsidRPr="00E02273">
        <w:rPr>
          <w:lang w:val="en-CA"/>
        </w:rPr>
        <w:t xml:space="preserve">belongs to the </w:t>
      </w:r>
      <w:r w:rsidR="002D51A4" w:rsidRPr="00E02273">
        <w:rPr>
          <w:lang w:val="en-CA"/>
        </w:rPr>
        <w:t>provinces</w:t>
      </w:r>
      <w:r w:rsidR="00745C5D" w:rsidRPr="00E02273">
        <w:rPr>
          <w:lang w:val="en-CA"/>
        </w:rPr>
        <w:t xml:space="preserve"> under </w:t>
      </w:r>
      <w:r w:rsidR="00D30228">
        <w:rPr>
          <w:lang w:val="en-CA"/>
        </w:rPr>
        <w:t>sub</w:t>
      </w:r>
      <w:r w:rsidR="00EC3659">
        <w:rPr>
          <w:lang w:val="en-CA"/>
        </w:rPr>
        <w:t>section</w:t>
      </w:r>
      <w:r w:rsidR="00EC3659" w:rsidRPr="00E02273">
        <w:rPr>
          <w:lang w:val="en-CA"/>
        </w:rPr>
        <w:t xml:space="preserve"> </w:t>
      </w:r>
      <w:r w:rsidR="002D51A4" w:rsidRPr="00E02273">
        <w:rPr>
          <w:lang w:val="en-CA"/>
        </w:rPr>
        <w:t xml:space="preserve">92(13) </w:t>
      </w:r>
      <w:r w:rsidR="00745C5D" w:rsidRPr="00E02273">
        <w:rPr>
          <w:lang w:val="en-CA"/>
        </w:rPr>
        <w:t xml:space="preserve">of the </w:t>
      </w:r>
      <w:r w:rsidR="002D51A4" w:rsidRPr="00E02273">
        <w:rPr>
          <w:i/>
          <w:lang w:val="en-CA"/>
        </w:rPr>
        <w:t>Constitution</w:t>
      </w:r>
      <w:r w:rsidR="00745C5D" w:rsidRPr="00E02273">
        <w:rPr>
          <w:i/>
          <w:lang w:val="en-CA"/>
        </w:rPr>
        <w:t xml:space="preserve"> </w:t>
      </w:r>
      <w:r w:rsidR="002D51A4" w:rsidRPr="00E02273">
        <w:rPr>
          <w:i/>
          <w:lang w:val="en-CA"/>
        </w:rPr>
        <w:t>Act,</w:t>
      </w:r>
      <w:r w:rsidR="00745C5D" w:rsidRPr="00E02273">
        <w:rPr>
          <w:i/>
          <w:lang w:val="en-CA"/>
        </w:rPr>
        <w:t xml:space="preserve"> </w:t>
      </w:r>
      <w:r w:rsidR="002D51A4" w:rsidRPr="00E02273">
        <w:rPr>
          <w:i/>
          <w:lang w:val="en-CA"/>
        </w:rPr>
        <w:t>1867</w:t>
      </w:r>
      <w:r w:rsidR="002D51A4" w:rsidRPr="00E02273">
        <w:rPr>
          <w:lang w:val="en-CA"/>
        </w:rPr>
        <w:t>.</w:t>
      </w:r>
    </w:p>
    <w:p w14:paraId="684920F0" w14:textId="0DDCBD43" w:rsidR="00B568AD" w:rsidRPr="00E02273" w:rsidRDefault="00745C5D" w:rsidP="00B568AD">
      <w:pPr>
        <w:pStyle w:val="Citationenretrait"/>
        <w:spacing w:line="240" w:lineRule="auto"/>
        <w:rPr>
          <w:lang w:val="en-CA"/>
        </w:rPr>
      </w:pPr>
      <w:r w:rsidRPr="00E02273">
        <w:rPr>
          <w:lang w:val="en-CA"/>
        </w:rPr>
        <w:t xml:space="preserve">Nevertheless, the </w:t>
      </w:r>
      <w:r w:rsidR="002D51A4" w:rsidRPr="00E02273">
        <w:rPr>
          <w:lang w:val="en-CA"/>
        </w:rPr>
        <w:t>courts</w:t>
      </w:r>
      <w:r w:rsidRPr="00E02273">
        <w:rPr>
          <w:lang w:val="en-CA"/>
        </w:rPr>
        <w:t xml:space="preserve"> have held that it is </w:t>
      </w:r>
      <w:r w:rsidR="002D51A4" w:rsidRPr="00E02273">
        <w:rPr>
          <w:lang w:val="en-CA"/>
        </w:rPr>
        <w:t xml:space="preserve">possible </w:t>
      </w:r>
      <w:r w:rsidRPr="00E02273">
        <w:rPr>
          <w:lang w:val="en-CA"/>
        </w:rPr>
        <w:t xml:space="preserve">and </w:t>
      </w:r>
      <w:r w:rsidR="002D51A4" w:rsidRPr="00E02273">
        <w:rPr>
          <w:lang w:val="en-CA"/>
        </w:rPr>
        <w:t>consistent</w:t>
      </w:r>
      <w:r w:rsidRPr="00E02273">
        <w:rPr>
          <w:lang w:val="en-CA"/>
        </w:rPr>
        <w:t xml:space="preserve"> </w:t>
      </w:r>
      <w:r w:rsidR="002D51A4" w:rsidRPr="00E02273">
        <w:rPr>
          <w:lang w:val="en-CA"/>
        </w:rPr>
        <w:t xml:space="preserve">with </w:t>
      </w:r>
      <w:r w:rsidRPr="00E02273">
        <w:rPr>
          <w:lang w:val="en-CA"/>
        </w:rPr>
        <w:t xml:space="preserve">the </w:t>
      </w:r>
      <w:r w:rsidR="002D51A4" w:rsidRPr="00E02273">
        <w:rPr>
          <w:lang w:val="en-CA"/>
        </w:rPr>
        <w:t>Constitution</w:t>
      </w:r>
      <w:r w:rsidRPr="00E02273">
        <w:rPr>
          <w:lang w:val="en-CA"/>
        </w:rPr>
        <w:t xml:space="preserve"> for the federal </w:t>
      </w:r>
      <w:r w:rsidR="002D51A4" w:rsidRPr="00E02273">
        <w:rPr>
          <w:lang w:val="en-CA"/>
        </w:rPr>
        <w:t>government</w:t>
      </w:r>
      <w:r w:rsidRPr="00E02273">
        <w:rPr>
          <w:lang w:val="en-CA"/>
        </w:rPr>
        <w:t xml:space="preserve"> to </w:t>
      </w:r>
      <w:r w:rsidR="002D51A4" w:rsidRPr="00E02273">
        <w:rPr>
          <w:lang w:val="en-CA"/>
        </w:rPr>
        <w:t xml:space="preserve">impose conditions </w:t>
      </w:r>
      <w:r w:rsidRPr="00E02273">
        <w:rPr>
          <w:lang w:val="en-CA"/>
        </w:rPr>
        <w:t xml:space="preserve">on the issuance of a patent to ensure that there is no </w:t>
      </w:r>
      <w:r w:rsidR="002D51A4" w:rsidRPr="00E02273">
        <w:rPr>
          <w:lang w:val="en-CA"/>
        </w:rPr>
        <w:t>abus</w:t>
      </w:r>
      <w:r w:rsidRPr="00E02273">
        <w:rPr>
          <w:lang w:val="en-CA"/>
        </w:rPr>
        <w:t xml:space="preserve">e of the </w:t>
      </w:r>
      <w:r w:rsidR="002D51A4" w:rsidRPr="00E02273">
        <w:rPr>
          <w:lang w:val="en-CA"/>
        </w:rPr>
        <w:t>monopol</w:t>
      </w:r>
      <w:r w:rsidRPr="00E02273">
        <w:rPr>
          <w:lang w:val="en-CA"/>
        </w:rPr>
        <w:t>y granted by the patent</w:t>
      </w:r>
      <w:r w:rsidR="002D51A4" w:rsidRPr="00E02273">
        <w:rPr>
          <w:lang w:val="en-CA"/>
        </w:rPr>
        <w:t xml:space="preserve">. </w:t>
      </w:r>
    </w:p>
    <w:p w14:paraId="58819404" w14:textId="63573D0B" w:rsidR="00B568AD" w:rsidRPr="00E02273" w:rsidRDefault="00E553F8" w:rsidP="00B568AD">
      <w:pPr>
        <w:pStyle w:val="Citationenretrait"/>
        <w:spacing w:line="240" w:lineRule="auto"/>
        <w:rPr>
          <w:lang w:val="en-CA"/>
        </w:rPr>
      </w:pPr>
      <w:r w:rsidRPr="00E02273">
        <w:rPr>
          <w:lang w:val="en-CA"/>
        </w:rPr>
        <w:t xml:space="preserve">It was </w:t>
      </w:r>
      <w:r w:rsidR="002D51A4" w:rsidRPr="00E02273">
        <w:rPr>
          <w:lang w:val="en-CA"/>
        </w:rPr>
        <w:t>from</w:t>
      </w:r>
      <w:r w:rsidRPr="00E02273">
        <w:rPr>
          <w:lang w:val="en-CA"/>
        </w:rPr>
        <w:t xml:space="preserve"> </w:t>
      </w:r>
      <w:r w:rsidR="002D51A4" w:rsidRPr="00E02273">
        <w:rPr>
          <w:lang w:val="en-CA"/>
        </w:rPr>
        <w:t>this</w:t>
      </w:r>
      <w:r w:rsidRPr="00E02273">
        <w:rPr>
          <w:lang w:val="en-CA"/>
        </w:rPr>
        <w:t xml:space="preserve"> </w:t>
      </w:r>
      <w:r w:rsidR="002D51A4" w:rsidRPr="00E02273">
        <w:rPr>
          <w:lang w:val="en-CA"/>
        </w:rPr>
        <w:t>perspective</w:t>
      </w:r>
      <w:r w:rsidRPr="00E02273">
        <w:rPr>
          <w:lang w:val="en-CA"/>
        </w:rPr>
        <w:t xml:space="preserve"> that the </w:t>
      </w:r>
      <w:r w:rsidRPr="00E02273">
        <w:rPr>
          <w:color w:val="000000"/>
          <w:lang w:val="en-CA"/>
        </w:rPr>
        <w:t xml:space="preserve">Patented Medicine Prices Review Board was created, pursuant to the </w:t>
      </w:r>
      <w:r w:rsidRPr="00E02273">
        <w:rPr>
          <w:i/>
          <w:color w:val="000000"/>
          <w:lang w:val="en-CA"/>
        </w:rPr>
        <w:t>Patent Act</w:t>
      </w:r>
      <w:r w:rsidRPr="00E02273">
        <w:rPr>
          <w:color w:val="000000"/>
          <w:lang w:val="en-CA"/>
        </w:rPr>
        <w:t xml:space="preserve">, to </w:t>
      </w:r>
      <w:r w:rsidR="00F1626C">
        <w:rPr>
          <w:lang w:val="en-CA"/>
        </w:rPr>
        <w:t>review</w:t>
      </w:r>
      <w:r w:rsidR="00F1626C" w:rsidRPr="00E02273">
        <w:rPr>
          <w:lang w:val="en-CA"/>
        </w:rPr>
        <w:t xml:space="preserve"> </w:t>
      </w:r>
      <w:r w:rsidRPr="00E02273">
        <w:rPr>
          <w:lang w:val="en-CA"/>
        </w:rPr>
        <w:t xml:space="preserve">the prices charged by </w:t>
      </w:r>
      <w:r w:rsidR="00F1626C">
        <w:rPr>
          <w:lang w:val="en-CA"/>
        </w:rPr>
        <w:t xml:space="preserve">patent </w:t>
      </w:r>
      <w:r w:rsidRPr="00E02273">
        <w:rPr>
          <w:lang w:val="en-CA"/>
        </w:rPr>
        <w:t xml:space="preserve">holders on medicines for patented medicines, and that it was </w:t>
      </w:r>
      <w:r w:rsidR="00F1626C">
        <w:rPr>
          <w:lang w:val="en-CA"/>
        </w:rPr>
        <w:t>vested with</w:t>
      </w:r>
      <w:r w:rsidR="00F1626C" w:rsidRPr="00E02273">
        <w:rPr>
          <w:lang w:val="en-CA"/>
        </w:rPr>
        <w:t xml:space="preserve"> </w:t>
      </w:r>
      <w:r w:rsidRPr="00E02273">
        <w:rPr>
          <w:lang w:val="en-CA"/>
        </w:rPr>
        <w:t>the power to order the reduction of the price of a medicine or to cancel the exclusivity pe</w:t>
      </w:r>
      <w:r w:rsidR="002D51A4" w:rsidRPr="00E02273">
        <w:rPr>
          <w:lang w:val="en-CA"/>
        </w:rPr>
        <w:t>riod</w:t>
      </w:r>
      <w:r w:rsidRPr="00E02273">
        <w:rPr>
          <w:lang w:val="en-CA"/>
        </w:rPr>
        <w:t xml:space="preserve"> of the medicine in </w:t>
      </w:r>
      <w:r w:rsidR="002D51A4" w:rsidRPr="00E02273">
        <w:rPr>
          <w:lang w:val="en-CA"/>
        </w:rPr>
        <w:t xml:space="preserve">question </w:t>
      </w:r>
      <w:r w:rsidRPr="00E02273">
        <w:rPr>
          <w:lang w:val="en-CA"/>
        </w:rPr>
        <w:t>and</w:t>
      </w:r>
      <w:r w:rsidR="002D51A4" w:rsidRPr="00E02273">
        <w:rPr>
          <w:lang w:val="en-CA"/>
        </w:rPr>
        <w:t>/o</w:t>
      </w:r>
      <w:r w:rsidRPr="00E02273">
        <w:rPr>
          <w:lang w:val="en-CA"/>
        </w:rPr>
        <w:t>r that of another medicine</w:t>
      </w:r>
      <w:r w:rsidR="00094320" w:rsidRPr="00E02273">
        <w:rPr>
          <w:lang w:val="en-CA"/>
        </w:rPr>
        <w:t xml:space="preserve"> for which the patent holder was </w:t>
      </w:r>
      <w:r w:rsidR="002D51A4" w:rsidRPr="00E02273">
        <w:rPr>
          <w:lang w:val="en-CA"/>
        </w:rPr>
        <w:t>issue</w:t>
      </w:r>
      <w:r w:rsidR="00094320" w:rsidRPr="00E02273">
        <w:rPr>
          <w:lang w:val="en-CA"/>
        </w:rPr>
        <w:t>d a patent</w:t>
      </w:r>
      <w:r w:rsidR="002D51A4" w:rsidRPr="00E02273">
        <w:rPr>
          <w:lang w:val="en-CA"/>
        </w:rPr>
        <w:t xml:space="preserve">. </w:t>
      </w:r>
    </w:p>
    <w:p w14:paraId="7E184ED1" w14:textId="45F167D9" w:rsidR="00B568AD" w:rsidRPr="00E02273" w:rsidRDefault="00094320" w:rsidP="008E6816">
      <w:pPr>
        <w:pStyle w:val="Paragraphe"/>
        <w:tabs>
          <w:tab w:val="clear" w:pos="4973"/>
          <w:tab w:val="num" w:pos="709"/>
        </w:tabs>
        <w:spacing w:line="240" w:lineRule="auto"/>
        <w:ind w:left="0"/>
        <w:rPr>
          <w:lang w:val="en-CA"/>
        </w:rPr>
      </w:pPr>
      <w:r w:rsidRPr="00E02273">
        <w:rPr>
          <w:lang w:val="en-CA"/>
        </w:rPr>
        <w:t xml:space="preserve">Is the new </w:t>
      </w:r>
      <w:r w:rsidR="00F1626C">
        <w:rPr>
          <w:lang w:val="en-CA"/>
        </w:rPr>
        <w:t xml:space="preserve">excessive price control </w:t>
      </w:r>
      <w:r w:rsidRPr="00E02273">
        <w:rPr>
          <w:lang w:val="en-CA"/>
        </w:rPr>
        <w:t xml:space="preserve">regime </w:t>
      </w:r>
      <w:r w:rsidR="002D51A4" w:rsidRPr="00E02273">
        <w:rPr>
          <w:lang w:val="en-CA"/>
        </w:rPr>
        <w:t>introdu</w:t>
      </w:r>
      <w:r w:rsidRPr="00E02273">
        <w:rPr>
          <w:lang w:val="en-CA"/>
        </w:rPr>
        <w:t xml:space="preserve">ced by the </w:t>
      </w:r>
      <w:r w:rsidR="00866E58" w:rsidRPr="00E02273">
        <w:rPr>
          <w:i/>
          <w:lang w:val="en-CA"/>
        </w:rPr>
        <w:t>2019 Regulatory Amendments</w:t>
      </w:r>
      <w:r w:rsidR="002D51A4" w:rsidRPr="00E02273">
        <w:rPr>
          <w:lang w:val="en-CA"/>
        </w:rPr>
        <w:t xml:space="preserve"> con</w:t>
      </w:r>
      <w:r w:rsidRPr="00E02273">
        <w:rPr>
          <w:lang w:val="en-CA"/>
        </w:rPr>
        <w:t xml:space="preserve">sistent with this </w:t>
      </w:r>
      <w:r w:rsidR="002D51A4" w:rsidRPr="00E02273">
        <w:rPr>
          <w:lang w:val="en-CA"/>
        </w:rPr>
        <w:t>constitution</w:t>
      </w:r>
      <w:r w:rsidRPr="00E02273">
        <w:rPr>
          <w:lang w:val="en-CA"/>
        </w:rPr>
        <w:t>a</w:t>
      </w:r>
      <w:r w:rsidR="002D51A4" w:rsidRPr="00E02273">
        <w:rPr>
          <w:lang w:val="en-CA"/>
        </w:rPr>
        <w:t>l</w:t>
      </w:r>
      <w:r w:rsidRPr="00E02273">
        <w:rPr>
          <w:lang w:val="en-CA"/>
        </w:rPr>
        <w:t xml:space="preserve"> limit</w:t>
      </w:r>
      <w:r w:rsidR="002D51A4" w:rsidRPr="00E02273">
        <w:rPr>
          <w:lang w:val="en-CA"/>
        </w:rPr>
        <w:t xml:space="preserve">? </w:t>
      </w:r>
      <w:r w:rsidR="007F04FC" w:rsidRPr="00E02273">
        <w:rPr>
          <w:lang w:val="en-CA"/>
        </w:rPr>
        <w:t xml:space="preserve">To answer this question, the new </w:t>
      </w:r>
      <w:r w:rsidR="002D51A4" w:rsidRPr="00E02273">
        <w:rPr>
          <w:lang w:val="en-CA"/>
        </w:rPr>
        <w:t>schedule</w:t>
      </w:r>
      <w:r w:rsidR="00D03EE2" w:rsidRPr="00E02273">
        <w:rPr>
          <w:lang w:val="en-CA"/>
        </w:rPr>
        <w:t xml:space="preserve"> of foreign countries used to compare prices and the new regulatory factors</w:t>
      </w:r>
      <w:r w:rsidR="00F1626C">
        <w:rPr>
          <w:lang w:val="en-CA"/>
        </w:rPr>
        <w:t xml:space="preserve"> should be discussed separately</w:t>
      </w:r>
      <w:r w:rsidR="002D51A4" w:rsidRPr="00E02273">
        <w:rPr>
          <w:lang w:val="en-CA"/>
        </w:rPr>
        <w:t>.</w:t>
      </w:r>
    </w:p>
    <w:p w14:paraId="0594A150" w14:textId="18FBAC5E" w:rsidR="00B568AD" w:rsidRPr="00E02273" w:rsidRDefault="00834CA4" w:rsidP="00B568AD">
      <w:pPr>
        <w:pStyle w:val="Paragraphe"/>
        <w:numPr>
          <w:ilvl w:val="0"/>
          <w:numId w:val="37"/>
        </w:numPr>
        <w:spacing w:line="240" w:lineRule="auto"/>
        <w:rPr>
          <w:i/>
          <w:lang w:val="en-CA"/>
        </w:rPr>
      </w:pPr>
      <w:r w:rsidRPr="00E02273">
        <w:rPr>
          <w:i/>
          <w:lang w:val="en-CA"/>
        </w:rPr>
        <w:t xml:space="preserve">The new </w:t>
      </w:r>
      <w:r w:rsidR="002D51A4" w:rsidRPr="00E02273">
        <w:rPr>
          <w:i/>
          <w:lang w:val="en-CA"/>
        </w:rPr>
        <w:t>schedule</w:t>
      </w:r>
      <w:r w:rsidRPr="00E02273">
        <w:rPr>
          <w:i/>
          <w:lang w:val="en-CA"/>
        </w:rPr>
        <w:t xml:space="preserve"> of foreign countries</w:t>
      </w:r>
    </w:p>
    <w:p w14:paraId="31FD376E" w14:textId="4B8614E2" w:rsidR="00B568AD" w:rsidRPr="00E02273" w:rsidRDefault="00834CA4" w:rsidP="008E6816">
      <w:pPr>
        <w:pStyle w:val="Paragraphe"/>
        <w:tabs>
          <w:tab w:val="clear" w:pos="4973"/>
          <w:tab w:val="num" w:pos="709"/>
        </w:tabs>
        <w:spacing w:line="240" w:lineRule="auto"/>
        <w:ind w:left="0"/>
        <w:rPr>
          <w:lang w:val="en-CA"/>
        </w:rPr>
      </w:pPr>
      <w:r w:rsidRPr="00E02273">
        <w:rPr>
          <w:lang w:val="en-CA"/>
        </w:rPr>
        <w:t xml:space="preserve">In addition to an objective </w:t>
      </w:r>
      <w:r w:rsidR="002D51A4" w:rsidRPr="00E02273">
        <w:rPr>
          <w:lang w:val="en-CA"/>
        </w:rPr>
        <w:t>comparison</w:t>
      </w:r>
      <w:r w:rsidRPr="00E02273">
        <w:rPr>
          <w:lang w:val="en-CA"/>
        </w:rPr>
        <w:t xml:space="preserve"> with the price of medicines in the same </w:t>
      </w:r>
      <w:r w:rsidR="002D51A4" w:rsidRPr="00E02273">
        <w:rPr>
          <w:lang w:val="en-CA"/>
        </w:rPr>
        <w:t>th</w:t>
      </w:r>
      <w:r w:rsidRPr="00E02273">
        <w:rPr>
          <w:lang w:val="en-CA"/>
        </w:rPr>
        <w:t>e</w:t>
      </w:r>
      <w:r w:rsidR="002D51A4" w:rsidRPr="00E02273">
        <w:rPr>
          <w:lang w:val="en-CA"/>
        </w:rPr>
        <w:t>rapeuti</w:t>
      </w:r>
      <w:r w:rsidRPr="00E02273">
        <w:rPr>
          <w:lang w:val="en-CA"/>
        </w:rPr>
        <w:t>c class, the re</w:t>
      </w:r>
      <w:r w:rsidR="002D51A4" w:rsidRPr="00E02273">
        <w:rPr>
          <w:lang w:val="en-CA"/>
        </w:rPr>
        <w:t xml:space="preserve">gime </w:t>
      </w:r>
      <w:r w:rsidRPr="00E02273">
        <w:rPr>
          <w:lang w:val="en-CA"/>
        </w:rPr>
        <w:t xml:space="preserve">established by the </w:t>
      </w:r>
      <w:r w:rsidRPr="00E02273">
        <w:rPr>
          <w:i/>
          <w:lang w:val="en-CA"/>
        </w:rPr>
        <w:t xml:space="preserve">Patent Act </w:t>
      </w:r>
      <w:r w:rsidR="003F4460" w:rsidRPr="00E02273">
        <w:rPr>
          <w:lang w:val="en-CA"/>
        </w:rPr>
        <w:t xml:space="preserve">is intended to ensure that the price of patented medicines sold in </w:t>
      </w:r>
      <w:r w:rsidR="002D51A4" w:rsidRPr="00E02273">
        <w:rPr>
          <w:lang w:val="en-CA"/>
        </w:rPr>
        <w:t xml:space="preserve">Canada </w:t>
      </w:r>
      <w:r w:rsidR="003F4460" w:rsidRPr="00E02273">
        <w:rPr>
          <w:lang w:val="en-CA"/>
        </w:rPr>
        <w:t xml:space="preserve">does not exceed those charged for the same medicines in foreign countries that are </w:t>
      </w:r>
      <w:r w:rsidR="002D51A4" w:rsidRPr="00E02273">
        <w:rPr>
          <w:lang w:val="en-CA"/>
        </w:rPr>
        <w:t>reasonably</w:t>
      </w:r>
      <w:r w:rsidR="003F4460" w:rsidRPr="00E02273">
        <w:rPr>
          <w:lang w:val="en-CA"/>
        </w:rPr>
        <w:t xml:space="preserve"> </w:t>
      </w:r>
      <w:r w:rsidR="002D51A4" w:rsidRPr="00E02273">
        <w:rPr>
          <w:lang w:val="en-CA"/>
        </w:rPr>
        <w:t>comparable</w:t>
      </w:r>
      <w:r w:rsidR="003F4460" w:rsidRPr="00E02273">
        <w:rPr>
          <w:lang w:val="en-CA"/>
        </w:rPr>
        <w:t xml:space="preserve"> to </w:t>
      </w:r>
      <w:r w:rsidR="002D51A4" w:rsidRPr="00E02273">
        <w:rPr>
          <w:lang w:val="en-CA"/>
        </w:rPr>
        <w:t xml:space="preserve">Canada. </w:t>
      </w:r>
      <w:r w:rsidR="00367C06">
        <w:rPr>
          <w:lang w:val="en-CA"/>
        </w:rPr>
        <w:t>Th</w:t>
      </w:r>
      <w:r w:rsidR="0007714F" w:rsidRPr="00E02273">
        <w:rPr>
          <w:lang w:val="en-CA"/>
        </w:rPr>
        <w:t xml:space="preserve">is method of controlling the </w:t>
      </w:r>
      <w:r w:rsidR="002D51A4" w:rsidRPr="00E02273">
        <w:rPr>
          <w:lang w:val="en-CA"/>
        </w:rPr>
        <w:t>monopol</w:t>
      </w:r>
      <w:r w:rsidR="0007714F" w:rsidRPr="00E02273">
        <w:rPr>
          <w:lang w:val="en-CA"/>
        </w:rPr>
        <w:t>y granted by the patent serves as a</w:t>
      </w:r>
      <w:r w:rsidR="000E43CC" w:rsidRPr="00E02273">
        <w:rPr>
          <w:lang w:val="en-CA"/>
        </w:rPr>
        <w:t>n alternative</w:t>
      </w:r>
      <w:r w:rsidR="0007714F" w:rsidRPr="00E02273">
        <w:rPr>
          <w:lang w:val="en-CA"/>
        </w:rPr>
        <w:t xml:space="preserve"> </w:t>
      </w:r>
      <w:r w:rsidR="002D51A4" w:rsidRPr="00E02273">
        <w:rPr>
          <w:lang w:val="en-CA"/>
        </w:rPr>
        <w:t xml:space="preserve">solution </w:t>
      </w:r>
      <w:r w:rsidR="0007714F" w:rsidRPr="00E02273">
        <w:rPr>
          <w:lang w:val="en-CA"/>
        </w:rPr>
        <w:t>to the compulsory licensing me</w:t>
      </w:r>
      <w:r w:rsidR="002D51A4" w:rsidRPr="00E02273">
        <w:rPr>
          <w:lang w:val="en-CA"/>
        </w:rPr>
        <w:t xml:space="preserve">thod. </w:t>
      </w:r>
      <w:r w:rsidR="000E43CC" w:rsidRPr="00E02273">
        <w:rPr>
          <w:lang w:val="en-CA"/>
        </w:rPr>
        <w:t xml:space="preserve">This alternative </w:t>
      </w:r>
      <w:r w:rsidR="002D51A4" w:rsidRPr="00E02273">
        <w:rPr>
          <w:lang w:val="en-CA"/>
        </w:rPr>
        <w:t xml:space="preserve">solution </w:t>
      </w:r>
      <w:r w:rsidR="000E43CC" w:rsidRPr="00E02273">
        <w:rPr>
          <w:lang w:val="en-CA"/>
        </w:rPr>
        <w:t xml:space="preserve">seeks to ensure that the price of patented medicines remain </w:t>
      </w:r>
      <w:r w:rsidR="002D51A4" w:rsidRPr="00E02273">
        <w:rPr>
          <w:lang w:val="en-CA"/>
        </w:rPr>
        <w:t>objective</w:t>
      </w:r>
      <w:r w:rsidR="000E43CC" w:rsidRPr="00E02273">
        <w:rPr>
          <w:lang w:val="en-CA"/>
        </w:rPr>
        <w:t xml:space="preserve">ly </w:t>
      </w:r>
      <w:r w:rsidR="002D51A4" w:rsidRPr="00E02273">
        <w:rPr>
          <w:lang w:val="en-CA"/>
        </w:rPr>
        <w:t>comp</w:t>
      </w:r>
      <w:r w:rsidR="000E43CC" w:rsidRPr="00E02273">
        <w:rPr>
          <w:lang w:val="en-CA"/>
        </w:rPr>
        <w:t>e</w:t>
      </w:r>
      <w:r w:rsidR="002D51A4" w:rsidRPr="00E02273">
        <w:rPr>
          <w:lang w:val="en-CA"/>
        </w:rPr>
        <w:t>titi</w:t>
      </w:r>
      <w:r w:rsidR="000E43CC" w:rsidRPr="00E02273">
        <w:rPr>
          <w:lang w:val="en-CA"/>
        </w:rPr>
        <w:t>ve</w:t>
      </w:r>
      <w:r w:rsidR="002D51A4" w:rsidRPr="00E02273">
        <w:rPr>
          <w:lang w:val="en-CA"/>
        </w:rPr>
        <w:t xml:space="preserve">, </w:t>
      </w:r>
      <w:r w:rsidR="000E43CC" w:rsidRPr="00E02273">
        <w:rPr>
          <w:lang w:val="en-CA"/>
        </w:rPr>
        <w:t xml:space="preserve">at least in relation to the price at which </w:t>
      </w:r>
      <w:r w:rsidR="000E43CC" w:rsidRPr="00E02273">
        <w:rPr>
          <w:lang w:val="en-CA"/>
        </w:rPr>
        <w:lastRenderedPageBreak/>
        <w:t xml:space="preserve">the same medicine or similar medicines are sold in countries that are </w:t>
      </w:r>
      <w:r w:rsidR="002D51A4" w:rsidRPr="00E02273">
        <w:rPr>
          <w:lang w:val="en-CA"/>
        </w:rPr>
        <w:t>reasonably comparable</w:t>
      </w:r>
      <w:r w:rsidR="000E43CC" w:rsidRPr="00E02273">
        <w:rPr>
          <w:lang w:val="en-CA"/>
        </w:rPr>
        <w:t xml:space="preserve"> to </w:t>
      </w:r>
      <w:r w:rsidR="002D51A4" w:rsidRPr="00E02273">
        <w:rPr>
          <w:lang w:val="en-CA"/>
        </w:rPr>
        <w:t>Canada.</w:t>
      </w:r>
    </w:p>
    <w:p w14:paraId="5A4447BB" w14:textId="68EDC6EB" w:rsidR="00B568AD" w:rsidRPr="00E02273" w:rsidRDefault="00C7035A" w:rsidP="008E6816">
      <w:pPr>
        <w:pStyle w:val="Paragraphe"/>
        <w:tabs>
          <w:tab w:val="clear" w:pos="4973"/>
          <w:tab w:val="num" w:pos="709"/>
        </w:tabs>
        <w:spacing w:line="240" w:lineRule="auto"/>
        <w:ind w:left="0"/>
        <w:rPr>
          <w:lang w:val="en-CA"/>
        </w:rPr>
      </w:pPr>
      <w:r w:rsidRPr="00E02273">
        <w:rPr>
          <w:lang w:val="en-CA"/>
        </w:rPr>
        <w:t>When this re</w:t>
      </w:r>
      <w:r w:rsidR="002D51A4" w:rsidRPr="00E02273">
        <w:rPr>
          <w:lang w:val="en-CA"/>
        </w:rPr>
        <w:t xml:space="preserve">gime </w:t>
      </w:r>
      <w:r w:rsidRPr="00E02273">
        <w:rPr>
          <w:lang w:val="en-CA"/>
        </w:rPr>
        <w:t xml:space="preserve">was first </w:t>
      </w:r>
      <w:r w:rsidR="002D51A4" w:rsidRPr="00E02273">
        <w:rPr>
          <w:lang w:val="en-CA"/>
        </w:rPr>
        <w:t>introdu</w:t>
      </w:r>
      <w:r w:rsidRPr="00E02273">
        <w:rPr>
          <w:lang w:val="en-CA"/>
        </w:rPr>
        <w:t>ced, the G</w:t>
      </w:r>
      <w:r w:rsidR="002D51A4" w:rsidRPr="00E02273">
        <w:rPr>
          <w:lang w:val="en-CA"/>
        </w:rPr>
        <w:t>overnment</w:t>
      </w:r>
      <w:r w:rsidRPr="00E02273">
        <w:rPr>
          <w:lang w:val="en-CA"/>
        </w:rPr>
        <w:t xml:space="preserve"> of </w:t>
      </w:r>
      <w:r w:rsidR="002D51A4" w:rsidRPr="00E02273">
        <w:rPr>
          <w:lang w:val="en-CA"/>
        </w:rPr>
        <w:t xml:space="preserve">Canada </w:t>
      </w:r>
      <w:r w:rsidRPr="00E02273">
        <w:rPr>
          <w:lang w:val="en-CA"/>
        </w:rPr>
        <w:t xml:space="preserve">also </w:t>
      </w:r>
      <w:r w:rsidR="00EF4573">
        <w:rPr>
          <w:lang w:val="en-CA"/>
        </w:rPr>
        <w:t xml:space="preserve">hoped </w:t>
      </w:r>
      <w:r w:rsidRPr="00E02273">
        <w:rPr>
          <w:lang w:val="en-CA"/>
        </w:rPr>
        <w:t xml:space="preserve">to encourage research and </w:t>
      </w:r>
      <w:r w:rsidR="002D51A4" w:rsidRPr="00E02273">
        <w:rPr>
          <w:lang w:val="en-CA"/>
        </w:rPr>
        <w:t>d</w:t>
      </w:r>
      <w:r w:rsidRPr="00E02273">
        <w:rPr>
          <w:lang w:val="en-CA"/>
        </w:rPr>
        <w:t>e</w:t>
      </w:r>
      <w:r w:rsidR="002D51A4" w:rsidRPr="00E02273">
        <w:rPr>
          <w:lang w:val="en-CA"/>
        </w:rPr>
        <w:t xml:space="preserve">velopment </w:t>
      </w:r>
      <w:r w:rsidRPr="00E02273">
        <w:rPr>
          <w:lang w:val="en-CA"/>
        </w:rPr>
        <w:t xml:space="preserve">in the </w:t>
      </w:r>
      <w:r w:rsidR="002D51A4" w:rsidRPr="00E02273">
        <w:rPr>
          <w:lang w:val="en-CA"/>
        </w:rPr>
        <w:t>pharmaceuti</w:t>
      </w:r>
      <w:r w:rsidRPr="00E02273">
        <w:rPr>
          <w:lang w:val="en-CA"/>
        </w:rPr>
        <w:t xml:space="preserve">cal sector in </w:t>
      </w:r>
      <w:r w:rsidR="002D51A4" w:rsidRPr="00E02273">
        <w:rPr>
          <w:lang w:val="en-CA"/>
        </w:rPr>
        <w:t xml:space="preserve">Canada, </w:t>
      </w:r>
      <w:r w:rsidRPr="00E02273">
        <w:rPr>
          <w:lang w:val="en-CA"/>
        </w:rPr>
        <w:t xml:space="preserve">as the </w:t>
      </w:r>
      <w:r w:rsidR="002D51A4" w:rsidRPr="00E02273">
        <w:rPr>
          <w:lang w:val="en-CA"/>
        </w:rPr>
        <w:t>Eastman</w:t>
      </w:r>
      <w:r w:rsidRPr="00E02273">
        <w:rPr>
          <w:lang w:val="en-CA"/>
        </w:rPr>
        <w:t xml:space="preserve"> </w:t>
      </w:r>
      <w:r w:rsidR="00EF4573">
        <w:rPr>
          <w:lang w:val="en-CA"/>
        </w:rPr>
        <w:t>R</w:t>
      </w:r>
      <w:r w:rsidRPr="00E02273">
        <w:rPr>
          <w:lang w:val="en-CA"/>
        </w:rPr>
        <w:t>eport in fact recommended</w:t>
      </w:r>
      <w:r w:rsidR="002D51A4" w:rsidRPr="00E02273">
        <w:rPr>
          <w:lang w:val="en-CA"/>
        </w:rPr>
        <w:t xml:space="preserve">. </w:t>
      </w:r>
      <w:r w:rsidR="00A12B93" w:rsidRPr="00E02273">
        <w:rPr>
          <w:lang w:val="en-CA"/>
        </w:rPr>
        <w:t xml:space="preserve">The </w:t>
      </w:r>
      <w:r w:rsidR="002D51A4" w:rsidRPr="00E02273">
        <w:rPr>
          <w:lang w:val="en-CA"/>
        </w:rPr>
        <w:t>list</w:t>
      </w:r>
      <w:r w:rsidR="00A12B93" w:rsidRPr="00E02273">
        <w:rPr>
          <w:lang w:val="en-CA"/>
        </w:rPr>
        <w:t xml:space="preserve"> of seven foreign countries used to compare prices was therefore establishe</w:t>
      </w:r>
      <w:r w:rsidR="00CE1C13" w:rsidRPr="00E02273">
        <w:rPr>
          <w:lang w:val="en-CA"/>
        </w:rPr>
        <w:t>d</w:t>
      </w:r>
      <w:r w:rsidR="00EF4573">
        <w:rPr>
          <w:lang w:val="en-CA"/>
        </w:rPr>
        <w:t>,</w:t>
      </w:r>
      <w:r w:rsidR="00A12B93" w:rsidRPr="00E02273">
        <w:rPr>
          <w:lang w:val="en-CA"/>
        </w:rPr>
        <w:t xml:space="preserve"> althou</w:t>
      </w:r>
      <w:r w:rsidR="00CE1C13" w:rsidRPr="00E02273">
        <w:rPr>
          <w:lang w:val="en-CA"/>
        </w:rPr>
        <w:t>g</w:t>
      </w:r>
      <w:r w:rsidR="00A12B93" w:rsidRPr="00E02273">
        <w:rPr>
          <w:lang w:val="en-CA"/>
        </w:rPr>
        <w:t>h it was very likely to generate prices for medicines sol</w:t>
      </w:r>
      <w:r w:rsidR="00CE1C13" w:rsidRPr="00E02273">
        <w:rPr>
          <w:lang w:val="en-CA"/>
        </w:rPr>
        <w:t>d</w:t>
      </w:r>
      <w:r w:rsidR="00A12B93" w:rsidRPr="00E02273">
        <w:rPr>
          <w:lang w:val="en-CA"/>
        </w:rPr>
        <w:t xml:space="preserve"> to </w:t>
      </w:r>
      <w:r w:rsidR="002D51A4" w:rsidRPr="00E02273">
        <w:rPr>
          <w:lang w:val="en-CA"/>
        </w:rPr>
        <w:t>Canadian</w:t>
      </w:r>
      <w:r w:rsidR="00A12B93" w:rsidRPr="00E02273">
        <w:rPr>
          <w:lang w:val="en-CA"/>
        </w:rPr>
        <w:t>s that exceeded those charged i</w:t>
      </w:r>
      <w:r w:rsidR="00CE1C13" w:rsidRPr="00E02273">
        <w:rPr>
          <w:lang w:val="en-CA"/>
        </w:rPr>
        <w:t>n</w:t>
      </w:r>
      <w:r w:rsidR="00A12B93" w:rsidRPr="00E02273">
        <w:rPr>
          <w:lang w:val="en-CA"/>
        </w:rPr>
        <w:t xml:space="preserve"> most other countries </w:t>
      </w:r>
      <w:r w:rsidR="002D51A4" w:rsidRPr="00E02273">
        <w:rPr>
          <w:lang w:val="en-CA"/>
        </w:rPr>
        <w:t>reasonably comparable</w:t>
      </w:r>
      <w:r w:rsidR="00A12B93" w:rsidRPr="00E02273">
        <w:rPr>
          <w:lang w:val="en-CA"/>
        </w:rPr>
        <w:t xml:space="preserve"> to </w:t>
      </w:r>
      <w:r w:rsidR="002D51A4" w:rsidRPr="00E02273">
        <w:rPr>
          <w:lang w:val="en-CA"/>
        </w:rPr>
        <w:t xml:space="preserve">Canada. </w:t>
      </w:r>
      <w:r w:rsidR="00A12B93" w:rsidRPr="00E02273">
        <w:rPr>
          <w:lang w:val="en-CA"/>
        </w:rPr>
        <w:t xml:space="preserve">The </w:t>
      </w:r>
      <w:r w:rsidR="002D51A4" w:rsidRPr="00E02273">
        <w:rPr>
          <w:lang w:val="en-CA"/>
        </w:rPr>
        <w:t>objecti</w:t>
      </w:r>
      <w:r w:rsidR="00A12B93" w:rsidRPr="00E02273">
        <w:rPr>
          <w:lang w:val="en-CA"/>
        </w:rPr>
        <w:t xml:space="preserve">ve was to </w:t>
      </w:r>
      <w:r w:rsidR="002D51A4" w:rsidRPr="00E02273">
        <w:rPr>
          <w:lang w:val="en-CA"/>
        </w:rPr>
        <w:t>encourage</w:t>
      </w:r>
      <w:r w:rsidR="00A12B93" w:rsidRPr="00E02273">
        <w:rPr>
          <w:lang w:val="en-CA"/>
        </w:rPr>
        <w:t xml:space="preserve"> the </w:t>
      </w:r>
      <w:r w:rsidR="002D51A4" w:rsidRPr="00E02273">
        <w:rPr>
          <w:lang w:val="en-CA"/>
        </w:rPr>
        <w:t>pharmaceuti</w:t>
      </w:r>
      <w:r w:rsidR="00A12B93" w:rsidRPr="00E02273">
        <w:rPr>
          <w:lang w:val="en-CA"/>
        </w:rPr>
        <w:t xml:space="preserve">cal industry to </w:t>
      </w:r>
      <w:r w:rsidR="002D51A4" w:rsidRPr="00E02273">
        <w:rPr>
          <w:lang w:val="en-CA"/>
        </w:rPr>
        <w:t>invest</w:t>
      </w:r>
      <w:r w:rsidR="00A12B93" w:rsidRPr="00E02273">
        <w:rPr>
          <w:lang w:val="en-CA"/>
        </w:rPr>
        <w:t xml:space="preserve"> in research and </w:t>
      </w:r>
      <w:r w:rsidR="002D51A4" w:rsidRPr="00E02273">
        <w:rPr>
          <w:lang w:val="en-CA"/>
        </w:rPr>
        <w:t>d</w:t>
      </w:r>
      <w:r w:rsidR="00A12B93" w:rsidRPr="00E02273">
        <w:rPr>
          <w:lang w:val="en-CA"/>
        </w:rPr>
        <w:t>e</w:t>
      </w:r>
      <w:r w:rsidR="002D51A4" w:rsidRPr="00E02273">
        <w:rPr>
          <w:lang w:val="en-CA"/>
        </w:rPr>
        <w:t xml:space="preserve">velopment </w:t>
      </w:r>
      <w:r w:rsidR="00A12B93" w:rsidRPr="00E02273">
        <w:rPr>
          <w:lang w:val="en-CA"/>
        </w:rPr>
        <w:t xml:space="preserve">in </w:t>
      </w:r>
      <w:r w:rsidR="002D51A4" w:rsidRPr="00E02273">
        <w:rPr>
          <w:lang w:val="en-CA"/>
        </w:rPr>
        <w:t xml:space="preserve">Canada. </w:t>
      </w:r>
    </w:p>
    <w:p w14:paraId="0880C9CC" w14:textId="34AF2624" w:rsidR="00B568AD" w:rsidRPr="00E02273" w:rsidRDefault="00CE1C13" w:rsidP="008E6816">
      <w:pPr>
        <w:pStyle w:val="Paragraphe"/>
        <w:tabs>
          <w:tab w:val="clear" w:pos="4973"/>
          <w:tab w:val="num" w:pos="709"/>
        </w:tabs>
        <w:spacing w:line="240" w:lineRule="auto"/>
        <w:ind w:left="0"/>
        <w:rPr>
          <w:lang w:val="en-CA"/>
        </w:rPr>
      </w:pPr>
      <w:r w:rsidRPr="00E02273">
        <w:rPr>
          <w:lang w:val="en-CA"/>
        </w:rPr>
        <w:t xml:space="preserve">Accordingly, the median prices of patented medicines in </w:t>
      </w:r>
      <w:r w:rsidR="002D51A4" w:rsidRPr="00E02273">
        <w:rPr>
          <w:lang w:val="en-CA"/>
        </w:rPr>
        <w:t xml:space="preserve">Canada </w:t>
      </w:r>
      <w:r w:rsidRPr="00E02273">
        <w:rPr>
          <w:lang w:val="en-CA"/>
        </w:rPr>
        <w:t xml:space="preserve">are in fact </w:t>
      </w:r>
      <w:r w:rsidR="00CC65AA" w:rsidRPr="00E02273">
        <w:rPr>
          <w:lang w:val="en-CA"/>
        </w:rPr>
        <w:t>lower than</w:t>
      </w:r>
      <w:r w:rsidRPr="00E02273">
        <w:rPr>
          <w:lang w:val="en-CA"/>
        </w:rPr>
        <w:t xml:space="preserve"> the median prices of patented medicines in the seven foreign comp</w:t>
      </w:r>
      <w:r w:rsidR="00CC65AA" w:rsidRPr="00E02273">
        <w:rPr>
          <w:lang w:val="en-CA"/>
        </w:rPr>
        <w:t xml:space="preserve">arator countries listed in the </w:t>
      </w:r>
      <w:r w:rsidR="002D51A4" w:rsidRPr="00E02273">
        <w:rPr>
          <w:lang w:val="en-CA"/>
        </w:rPr>
        <w:t>schedule</w:t>
      </w:r>
      <w:r w:rsidR="00CC65AA" w:rsidRPr="00E02273">
        <w:rPr>
          <w:lang w:val="en-CA"/>
        </w:rPr>
        <w:t xml:space="preserve"> to the </w:t>
      </w:r>
      <w:r w:rsidR="00CC65AA" w:rsidRPr="00E02273">
        <w:rPr>
          <w:i/>
          <w:lang w:val="en-CA"/>
        </w:rPr>
        <w:t>Patented Medicines Regulations</w:t>
      </w:r>
      <w:r w:rsidR="00CC65AA" w:rsidRPr="00E02273">
        <w:rPr>
          <w:lang w:val="en-CA"/>
        </w:rPr>
        <w:t>,</w:t>
      </w:r>
      <w:r w:rsidR="002D51A4" w:rsidRPr="00E02273">
        <w:rPr>
          <w:rStyle w:val="Appelnotedebasdep"/>
          <w:lang w:val="en-CA"/>
        </w:rPr>
        <w:footnoteReference w:id="204"/>
      </w:r>
      <w:r w:rsidR="00CC65AA" w:rsidRPr="00E02273">
        <w:rPr>
          <w:lang w:val="en-CA"/>
        </w:rPr>
        <w:t xml:space="preserve"> but higher than the median prices for </w:t>
      </w:r>
      <w:r w:rsidR="00EF4573">
        <w:rPr>
          <w:lang w:val="en-CA"/>
        </w:rPr>
        <w:t xml:space="preserve">all </w:t>
      </w:r>
      <w:r w:rsidR="00CC65AA" w:rsidRPr="00E02273">
        <w:rPr>
          <w:lang w:val="en-CA"/>
        </w:rPr>
        <w:t xml:space="preserve">Organisation for Economic Co-operation and Development </w:t>
      </w:r>
      <w:r w:rsidR="002D51A4" w:rsidRPr="00E02273">
        <w:rPr>
          <w:lang w:val="en-CA"/>
        </w:rPr>
        <w:t>(</w:t>
      </w:r>
      <w:r w:rsidR="00CC65AA" w:rsidRPr="00E02273">
        <w:rPr>
          <w:lang w:val="en-CA"/>
        </w:rPr>
        <w:t>“</w:t>
      </w:r>
      <w:r w:rsidR="002D51A4" w:rsidRPr="00E02273">
        <w:rPr>
          <w:lang w:val="en-CA"/>
        </w:rPr>
        <w:t>O</w:t>
      </w:r>
      <w:r w:rsidR="00CC65AA" w:rsidRPr="00E02273">
        <w:rPr>
          <w:lang w:val="en-CA"/>
        </w:rPr>
        <w:t>E</w:t>
      </w:r>
      <w:r w:rsidR="002D51A4" w:rsidRPr="00E02273">
        <w:rPr>
          <w:lang w:val="en-CA"/>
        </w:rPr>
        <w:t>CD</w:t>
      </w:r>
      <w:r w:rsidR="00CC65AA" w:rsidRPr="00E02273">
        <w:rPr>
          <w:lang w:val="en-CA"/>
        </w:rPr>
        <w:t>”</w:t>
      </w:r>
      <w:r w:rsidR="002D51A4" w:rsidRPr="00E02273">
        <w:rPr>
          <w:lang w:val="en-CA"/>
        </w:rPr>
        <w:t>)</w:t>
      </w:r>
      <w:r w:rsidR="00CC65AA" w:rsidRPr="00E02273">
        <w:rPr>
          <w:lang w:val="en-CA"/>
        </w:rPr>
        <w:t xml:space="preserve"> countries.</w:t>
      </w:r>
      <w:r w:rsidR="002D51A4" w:rsidRPr="00E02273">
        <w:rPr>
          <w:rStyle w:val="Appelnotedebasdep"/>
          <w:lang w:val="en-CA"/>
        </w:rPr>
        <w:footnoteReference w:id="205"/>
      </w:r>
      <w:r w:rsidR="00CC65AA" w:rsidRPr="00E02273">
        <w:rPr>
          <w:lang w:val="en-CA"/>
        </w:rPr>
        <w:t xml:space="preserve"> This is not surprising because it is one of the intended effects of the regime, which, in addition to protecting </w:t>
      </w:r>
      <w:r w:rsidR="002D51A4" w:rsidRPr="00E02273">
        <w:rPr>
          <w:lang w:val="en-CA"/>
        </w:rPr>
        <w:t>Canadian</w:t>
      </w:r>
      <w:r w:rsidR="00CC65AA" w:rsidRPr="00E02273">
        <w:rPr>
          <w:lang w:val="en-CA"/>
        </w:rPr>
        <w:t xml:space="preserve">s from excessive prices for patented medicines, also seeks to </w:t>
      </w:r>
      <w:r w:rsidR="002D51A4" w:rsidRPr="00E02273">
        <w:rPr>
          <w:lang w:val="en-CA"/>
        </w:rPr>
        <w:t>encourage</w:t>
      </w:r>
      <w:r w:rsidR="00CC65AA" w:rsidRPr="00E02273">
        <w:rPr>
          <w:lang w:val="en-CA"/>
        </w:rPr>
        <w:t xml:space="preserve"> pharmaceutical </w:t>
      </w:r>
      <w:r w:rsidR="002D51A4" w:rsidRPr="00E02273">
        <w:rPr>
          <w:lang w:val="en-CA"/>
        </w:rPr>
        <w:t>re</w:t>
      </w:r>
      <w:r w:rsidR="00CC65AA" w:rsidRPr="00E02273">
        <w:rPr>
          <w:lang w:val="en-CA"/>
        </w:rPr>
        <w:t xml:space="preserve">search and </w:t>
      </w:r>
      <w:r w:rsidR="002D51A4" w:rsidRPr="00E02273">
        <w:rPr>
          <w:lang w:val="en-CA"/>
        </w:rPr>
        <w:t>d</w:t>
      </w:r>
      <w:r w:rsidR="00CC65AA" w:rsidRPr="00E02273">
        <w:rPr>
          <w:lang w:val="en-CA"/>
        </w:rPr>
        <w:t>e</w:t>
      </w:r>
      <w:r w:rsidR="002D51A4" w:rsidRPr="00E02273">
        <w:rPr>
          <w:lang w:val="en-CA"/>
        </w:rPr>
        <w:t xml:space="preserve">velopment </w:t>
      </w:r>
      <w:r w:rsidR="00CC65AA" w:rsidRPr="00E02273">
        <w:rPr>
          <w:lang w:val="en-CA"/>
        </w:rPr>
        <w:t xml:space="preserve">in </w:t>
      </w:r>
      <w:r w:rsidR="002D51A4" w:rsidRPr="00E02273">
        <w:rPr>
          <w:lang w:val="en-CA"/>
        </w:rPr>
        <w:t>Canada.</w:t>
      </w:r>
    </w:p>
    <w:p w14:paraId="4FCA4A0F" w14:textId="407DB158" w:rsidR="00B568AD" w:rsidRPr="00E02273" w:rsidRDefault="00DE5205" w:rsidP="008E6816">
      <w:pPr>
        <w:pStyle w:val="Paragraphe"/>
        <w:tabs>
          <w:tab w:val="clear" w:pos="4973"/>
          <w:tab w:val="num" w:pos="709"/>
        </w:tabs>
        <w:spacing w:line="240" w:lineRule="auto"/>
        <w:ind w:left="0"/>
        <w:rPr>
          <w:lang w:val="en-CA"/>
        </w:rPr>
      </w:pPr>
      <w:r w:rsidRPr="00E02273">
        <w:rPr>
          <w:lang w:val="en-CA"/>
        </w:rPr>
        <w:t xml:space="preserve">Almost </w:t>
      </w:r>
      <w:r w:rsidR="002D51A4" w:rsidRPr="00E02273">
        <w:rPr>
          <w:lang w:val="en-CA"/>
        </w:rPr>
        <w:t xml:space="preserve">30 </w:t>
      </w:r>
      <w:r w:rsidRPr="00E02273">
        <w:rPr>
          <w:lang w:val="en-CA"/>
        </w:rPr>
        <w:t xml:space="preserve">years later, we note that the expected result in terms of pharmaceutical research </w:t>
      </w:r>
      <w:r w:rsidR="002D51A4" w:rsidRPr="00E02273">
        <w:rPr>
          <w:lang w:val="en-CA"/>
        </w:rPr>
        <w:t>an</w:t>
      </w:r>
      <w:r w:rsidRPr="00E02273">
        <w:rPr>
          <w:lang w:val="en-CA"/>
        </w:rPr>
        <w:t>d</w:t>
      </w:r>
      <w:r w:rsidR="002D51A4" w:rsidRPr="00E02273">
        <w:rPr>
          <w:lang w:val="en-CA"/>
        </w:rPr>
        <w:t xml:space="preserve"> d</w:t>
      </w:r>
      <w:r w:rsidRPr="00E02273">
        <w:rPr>
          <w:lang w:val="en-CA"/>
        </w:rPr>
        <w:t>e</w:t>
      </w:r>
      <w:r w:rsidR="002D51A4" w:rsidRPr="00E02273">
        <w:rPr>
          <w:lang w:val="en-CA"/>
        </w:rPr>
        <w:t xml:space="preserve">velopment </w:t>
      </w:r>
      <w:r w:rsidR="00EF4573">
        <w:rPr>
          <w:lang w:val="en-CA"/>
        </w:rPr>
        <w:t>has</w:t>
      </w:r>
      <w:r w:rsidR="00EF4573" w:rsidRPr="00E02273">
        <w:rPr>
          <w:lang w:val="en-CA"/>
        </w:rPr>
        <w:t xml:space="preserve"> </w:t>
      </w:r>
      <w:r w:rsidRPr="00E02273">
        <w:rPr>
          <w:lang w:val="en-CA"/>
        </w:rPr>
        <w:t xml:space="preserve">not </w:t>
      </w:r>
      <w:r w:rsidR="002D51A4" w:rsidRPr="00E02273">
        <w:rPr>
          <w:lang w:val="en-CA"/>
        </w:rPr>
        <w:t>mat</w:t>
      </w:r>
      <w:r w:rsidRPr="00E02273">
        <w:rPr>
          <w:lang w:val="en-CA"/>
        </w:rPr>
        <w:t>e</w:t>
      </w:r>
      <w:r w:rsidR="002D51A4" w:rsidRPr="00E02273">
        <w:rPr>
          <w:lang w:val="en-CA"/>
        </w:rPr>
        <w:t>riali</w:t>
      </w:r>
      <w:r w:rsidRPr="00E02273">
        <w:rPr>
          <w:lang w:val="en-CA"/>
        </w:rPr>
        <w:t>ze</w:t>
      </w:r>
      <w:r w:rsidR="00EF4573">
        <w:rPr>
          <w:lang w:val="en-CA"/>
        </w:rPr>
        <w:t>d</w:t>
      </w:r>
      <w:r w:rsidR="002D51A4" w:rsidRPr="00E02273">
        <w:rPr>
          <w:lang w:val="en-CA"/>
        </w:rPr>
        <w:t>.</w:t>
      </w:r>
      <w:r w:rsidR="00316E0A" w:rsidRPr="00E02273">
        <w:rPr>
          <w:lang w:val="en-CA"/>
        </w:rPr>
        <w:t xml:space="preserve"> This observation led the G</w:t>
      </w:r>
      <w:r w:rsidR="002D51A4" w:rsidRPr="00E02273">
        <w:rPr>
          <w:lang w:val="en-CA"/>
        </w:rPr>
        <w:t>overnment</w:t>
      </w:r>
      <w:r w:rsidR="00316E0A" w:rsidRPr="00E02273">
        <w:rPr>
          <w:lang w:val="en-CA"/>
        </w:rPr>
        <w:t xml:space="preserve"> of </w:t>
      </w:r>
      <w:r w:rsidR="002D51A4" w:rsidRPr="00E02273">
        <w:rPr>
          <w:lang w:val="en-CA"/>
        </w:rPr>
        <w:t xml:space="preserve">Canada </w:t>
      </w:r>
      <w:r w:rsidR="00316E0A" w:rsidRPr="00E02273">
        <w:rPr>
          <w:lang w:val="en-CA"/>
        </w:rPr>
        <w:t xml:space="preserve">to amend the </w:t>
      </w:r>
      <w:r w:rsidR="002D51A4" w:rsidRPr="00E02273">
        <w:rPr>
          <w:lang w:val="en-CA"/>
        </w:rPr>
        <w:t>list</w:t>
      </w:r>
      <w:r w:rsidR="00316E0A" w:rsidRPr="00E02273">
        <w:rPr>
          <w:lang w:val="en-CA"/>
        </w:rPr>
        <w:t xml:space="preserve"> of </w:t>
      </w:r>
      <w:r w:rsidR="002D51A4" w:rsidRPr="00E02273">
        <w:rPr>
          <w:lang w:val="en-CA"/>
        </w:rPr>
        <w:t>comparat</w:t>
      </w:r>
      <w:r w:rsidR="00316E0A" w:rsidRPr="00E02273">
        <w:rPr>
          <w:lang w:val="en-CA"/>
        </w:rPr>
        <w:t xml:space="preserve">or countries, as </w:t>
      </w:r>
      <w:r w:rsidR="002D51A4" w:rsidRPr="00E02273">
        <w:rPr>
          <w:lang w:val="en-CA"/>
        </w:rPr>
        <w:t>expl</w:t>
      </w:r>
      <w:r w:rsidR="00316E0A" w:rsidRPr="00E02273">
        <w:rPr>
          <w:lang w:val="en-CA"/>
        </w:rPr>
        <w:t xml:space="preserve">ained in the </w:t>
      </w:r>
      <w:r w:rsidR="00866E58" w:rsidRPr="00E02273">
        <w:rPr>
          <w:i/>
          <w:lang w:val="en-CA"/>
        </w:rPr>
        <w:t>2019 Regulatory Amendments</w:t>
      </w:r>
      <w:r w:rsidR="00CF2DDE" w:rsidRPr="00E02273">
        <w:rPr>
          <w:lang w:val="en-CA"/>
        </w:rPr>
        <w:t xml:space="preserve"> impact analysis statement:</w:t>
      </w:r>
      <w:r w:rsidR="002D51A4" w:rsidRPr="00E02273">
        <w:rPr>
          <w:rStyle w:val="Appelnotedebasdep"/>
          <w:lang w:val="en-CA"/>
        </w:rPr>
        <w:footnoteReference w:id="206"/>
      </w:r>
      <w:r w:rsidR="002D51A4" w:rsidRPr="00E02273">
        <w:rPr>
          <w:lang w:val="en-CA"/>
        </w:rPr>
        <w:t> </w:t>
      </w:r>
    </w:p>
    <w:p w14:paraId="1E880F12" w14:textId="0B6A1394" w:rsidR="00B568AD" w:rsidRPr="00E02273" w:rsidRDefault="002C465D" w:rsidP="00B568AD">
      <w:pPr>
        <w:pStyle w:val="Citationenretrait"/>
        <w:spacing w:line="240" w:lineRule="auto"/>
        <w:rPr>
          <w:lang w:val="en-CA"/>
        </w:rPr>
      </w:pPr>
      <w:r w:rsidRPr="00E02273">
        <w:rPr>
          <w:lang w:val="en-CA"/>
        </w:rPr>
        <w:t>The Regulations include a schedule of countries the PMPRB must look to when comparing prices in Canada with prices in other countries as required under subsection 85(1). At the time the original schedule was composed, it was believed that patent protection and price were key determinants of the locus of pharmaceutical R&amp;D investment globally. The choice was made to offer a comparable level of patent protection and pricing for patented medicines in Canada as existed in countries with a strong pharmaceutical industry presence on the assumption that Canada would come to enjoy comparable levels of R&amp;D. However, that policy presumption has proven flawed and is no longer considered to be the most appropriate basis for the composition of the countries listed in the schedule.</w:t>
      </w:r>
    </w:p>
    <w:p w14:paraId="64B6F569" w14:textId="315D4FB4" w:rsidR="00B568AD" w:rsidRPr="00E02273" w:rsidRDefault="007E675B" w:rsidP="00116102">
      <w:pPr>
        <w:pStyle w:val="Paragraphe"/>
        <w:tabs>
          <w:tab w:val="clear" w:pos="4973"/>
          <w:tab w:val="num" w:pos="709"/>
        </w:tabs>
        <w:spacing w:line="240" w:lineRule="auto"/>
        <w:ind w:left="0"/>
        <w:rPr>
          <w:lang w:val="en-CA"/>
        </w:rPr>
      </w:pPr>
      <w:r w:rsidRPr="00E02273">
        <w:rPr>
          <w:lang w:val="en-CA"/>
        </w:rPr>
        <w:lastRenderedPageBreak/>
        <w:t>In this regard, it is up to the G</w:t>
      </w:r>
      <w:r w:rsidR="002D51A4" w:rsidRPr="00E02273">
        <w:rPr>
          <w:lang w:val="en-CA"/>
        </w:rPr>
        <w:t>overnment</w:t>
      </w:r>
      <w:r w:rsidRPr="00E02273">
        <w:rPr>
          <w:lang w:val="en-CA"/>
        </w:rPr>
        <w:t xml:space="preserve"> of </w:t>
      </w:r>
      <w:r w:rsidR="002D51A4" w:rsidRPr="00E02273">
        <w:rPr>
          <w:lang w:val="en-CA"/>
        </w:rPr>
        <w:t xml:space="preserve">Canada </w:t>
      </w:r>
      <w:r w:rsidRPr="00E02273">
        <w:rPr>
          <w:lang w:val="en-CA"/>
        </w:rPr>
        <w:t xml:space="preserve">to establish the </w:t>
      </w:r>
      <w:r w:rsidR="002D51A4" w:rsidRPr="00E02273">
        <w:rPr>
          <w:lang w:val="en-CA"/>
        </w:rPr>
        <w:t>list</w:t>
      </w:r>
      <w:r w:rsidRPr="00E02273">
        <w:rPr>
          <w:lang w:val="en-CA"/>
        </w:rPr>
        <w:t xml:space="preserve"> of countries used for the </w:t>
      </w:r>
      <w:r w:rsidR="002D51A4" w:rsidRPr="00E02273">
        <w:rPr>
          <w:lang w:val="en-CA"/>
        </w:rPr>
        <w:t xml:space="preserve">objective </w:t>
      </w:r>
      <w:r w:rsidRPr="00E02273">
        <w:rPr>
          <w:lang w:val="en-CA"/>
        </w:rPr>
        <w:t xml:space="preserve">analysis of competitiveness with </w:t>
      </w:r>
      <w:r w:rsidR="002D51A4" w:rsidRPr="00E02273">
        <w:rPr>
          <w:lang w:val="en-CA"/>
        </w:rPr>
        <w:t>internationa</w:t>
      </w:r>
      <w:r w:rsidRPr="00E02273">
        <w:rPr>
          <w:lang w:val="en-CA"/>
        </w:rPr>
        <w:t xml:space="preserve">l prices. There is nothing from a </w:t>
      </w:r>
      <w:r w:rsidR="002D51A4" w:rsidRPr="00E02273">
        <w:rPr>
          <w:lang w:val="en-CA"/>
        </w:rPr>
        <w:t>constitutional</w:t>
      </w:r>
      <w:r w:rsidRPr="00E02273">
        <w:rPr>
          <w:lang w:val="en-CA"/>
        </w:rPr>
        <w:t xml:space="preserve"> standpoint that prevents it from </w:t>
      </w:r>
      <w:r w:rsidR="002D51A4" w:rsidRPr="00E02273">
        <w:rPr>
          <w:lang w:val="en-CA"/>
        </w:rPr>
        <w:t>exclu</w:t>
      </w:r>
      <w:r w:rsidRPr="00E02273">
        <w:rPr>
          <w:lang w:val="en-CA"/>
        </w:rPr>
        <w:t xml:space="preserve">ding a </w:t>
      </w:r>
      <w:r w:rsidR="002D51A4" w:rsidRPr="00E02273">
        <w:rPr>
          <w:lang w:val="en-CA"/>
        </w:rPr>
        <w:t>reasonably</w:t>
      </w:r>
      <w:r w:rsidR="00552750" w:rsidRPr="00E02273">
        <w:rPr>
          <w:lang w:val="en-CA"/>
        </w:rPr>
        <w:t xml:space="preserve"> </w:t>
      </w:r>
      <w:r w:rsidR="002D51A4" w:rsidRPr="00E02273">
        <w:rPr>
          <w:lang w:val="en-CA"/>
        </w:rPr>
        <w:t>comparable</w:t>
      </w:r>
      <w:r w:rsidRPr="00E02273">
        <w:rPr>
          <w:lang w:val="en-CA"/>
        </w:rPr>
        <w:t xml:space="preserve"> country</w:t>
      </w:r>
      <w:r w:rsidR="002D51A4" w:rsidRPr="00E02273">
        <w:rPr>
          <w:lang w:val="en-CA"/>
        </w:rPr>
        <w:t xml:space="preserve">, </w:t>
      </w:r>
      <w:r w:rsidR="00552750" w:rsidRPr="00E02273">
        <w:rPr>
          <w:lang w:val="en-CA"/>
        </w:rPr>
        <w:t xml:space="preserve">such as </w:t>
      </w:r>
      <w:r w:rsidR="002D51A4" w:rsidRPr="00E02273">
        <w:rPr>
          <w:lang w:val="en-CA"/>
        </w:rPr>
        <w:t>the</w:t>
      </w:r>
      <w:r w:rsidR="00552750" w:rsidRPr="00E02273">
        <w:rPr>
          <w:lang w:val="en-CA"/>
        </w:rPr>
        <w:t xml:space="preserve"> </w:t>
      </w:r>
      <w:r w:rsidR="002D51A4" w:rsidRPr="00E02273">
        <w:rPr>
          <w:lang w:val="en-CA"/>
        </w:rPr>
        <w:t>United</w:t>
      </w:r>
      <w:r w:rsidR="00552750" w:rsidRPr="00E02273">
        <w:rPr>
          <w:lang w:val="en-CA"/>
        </w:rPr>
        <w:t xml:space="preserve"> </w:t>
      </w:r>
      <w:r w:rsidR="002D51A4" w:rsidRPr="00E02273">
        <w:rPr>
          <w:lang w:val="en-CA"/>
        </w:rPr>
        <w:t>States,</w:t>
      </w:r>
      <w:r w:rsidR="00552750" w:rsidRPr="00E02273">
        <w:rPr>
          <w:lang w:val="en-CA"/>
        </w:rPr>
        <w:t xml:space="preserve"> and replacing it with another, such as Belgium, for example.</w:t>
      </w:r>
      <w:r w:rsidR="002D51A4" w:rsidRPr="00E02273">
        <w:rPr>
          <w:lang w:val="en-CA"/>
        </w:rPr>
        <w:t xml:space="preserve"> </w:t>
      </w:r>
      <w:r w:rsidR="00552750" w:rsidRPr="00E02273">
        <w:rPr>
          <w:lang w:val="en-CA"/>
        </w:rPr>
        <w:t xml:space="preserve">The </w:t>
      </w:r>
      <w:r w:rsidR="002D51A4" w:rsidRPr="00E02273">
        <w:rPr>
          <w:lang w:val="en-CA"/>
        </w:rPr>
        <w:t>fa</w:t>
      </w:r>
      <w:r w:rsidR="00371F8F" w:rsidRPr="00E02273">
        <w:rPr>
          <w:lang w:val="en-CA"/>
        </w:rPr>
        <w:t>c</w:t>
      </w:r>
      <w:r w:rsidR="002D51A4" w:rsidRPr="00E02273">
        <w:rPr>
          <w:lang w:val="en-CA"/>
        </w:rPr>
        <w:t xml:space="preserve">t </w:t>
      </w:r>
      <w:r w:rsidR="00371F8F" w:rsidRPr="00E02273">
        <w:rPr>
          <w:lang w:val="en-CA"/>
        </w:rPr>
        <w:t xml:space="preserve">that such </w:t>
      </w:r>
      <w:r w:rsidR="002D51A4" w:rsidRPr="00E02273">
        <w:rPr>
          <w:lang w:val="en-CA"/>
        </w:rPr>
        <w:t xml:space="preserve">substitution </w:t>
      </w:r>
      <w:r w:rsidR="00371F8F" w:rsidRPr="00E02273">
        <w:rPr>
          <w:lang w:val="en-CA"/>
        </w:rPr>
        <w:t xml:space="preserve">of </w:t>
      </w:r>
      <w:r w:rsidR="002D51A4" w:rsidRPr="00E02273">
        <w:rPr>
          <w:lang w:val="en-CA"/>
        </w:rPr>
        <w:t>reasonably comparable</w:t>
      </w:r>
      <w:r w:rsidR="00371F8F" w:rsidRPr="00E02273">
        <w:rPr>
          <w:lang w:val="en-CA"/>
        </w:rPr>
        <w:t xml:space="preserve"> countries could have the </w:t>
      </w:r>
      <w:r w:rsidR="002D51A4" w:rsidRPr="00E02273">
        <w:rPr>
          <w:lang w:val="en-CA"/>
        </w:rPr>
        <w:t>effe</w:t>
      </w:r>
      <w:r w:rsidR="00371F8F" w:rsidRPr="00E02273">
        <w:rPr>
          <w:lang w:val="en-CA"/>
        </w:rPr>
        <w:t>c</w:t>
      </w:r>
      <w:r w:rsidR="002D51A4" w:rsidRPr="00E02273">
        <w:rPr>
          <w:lang w:val="en-CA"/>
        </w:rPr>
        <w:t xml:space="preserve">t </w:t>
      </w:r>
      <w:r w:rsidR="00371F8F" w:rsidRPr="00E02273">
        <w:rPr>
          <w:lang w:val="en-CA"/>
        </w:rPr>
        <w:t xml:space="preserve">of reducing the price of medicines in </w:t>
      </w:r>
      <w:r w:rsidR="002D51A4" w:rsidRPr="00E02273">
        <w:rPr>
          <w:lang w:val="en-CA"/>
        </w:rPr>
        <w:t xml:space="preserve">Canada </w:t>
      </w:r>
      <w:r w:rsidR="00920B31" w:rsidRPr="00E02273">
        <w:rPr>
          <w:lang w:val="en-CA"/>
        </w:rPr>
        <w:t xml:space="preserve">is not </w:t>
      </w:r>
      <w:r w:rsidR="002D51A4" w:rsidRPr="00E02273">
        <w:rPr>
          <w:lang w:val="en-CA"/>
        </w:rPr>
        <w:t>relevant</w:t>
      </w:r>
      <w:r w:rsidR="00920B31" w:rsidRPr="00E02273">
        <w:rPr>
          <w:lang w:val="en-CA"/>
        </w:rPr>
        <w:t xml:space="preserve"> to the </w:t>
      </w:r>
      <w:r w:rsidR="002D51A4" w:rsidRPr="00E02273">
        <w:rPr>
          <w:lang w:val="en-CA"/>
        </w:rPr>
        <w:t>analys</w:t>
      </w:r>
      <w:r w:rsidR="00920B31" w:rsidRPr="00E02273">
        <w:rPr>
          <w:lang w:val="en-CA"/>
        </w:rPr>
        <w:t xml:space="preserve">is of the </w:t>
      </w:r>
      <w:r w:rsidR="00EF4573">
        <w:rPr>
          <w:lang w:val="en-CA"/>
        </w:rPr>
        <w:t xml:space="preserve">measure’s </w:t>
      </w:r>
      <w:r w:rsidR="002D51A4" w:rsidRPr="00E02273">
        <w:rPr>
          <w:lang w:val="en-CA"/>
        </w:rPr>
        <w:t>constitutional</w:t>
      </w:r>
      <w:r w:rsidR="00920B31" w:rsidRPr="00E02273">
        <w:rPr>
          <w:lang w:val="en-CA"/>
        </w:rPr>
        <w:t xml:space="preserve"> </w:t>
      </w:r>
      <w:r w:rsidR="002D51A4" w:rsidRPr="00E02273">
        <w:rPr>
          <w:lang w:val="en-CA"/>
        </w:rPr>
        <w:t xml:space="preserve">validity, </w:t>
      </w:r>
      <w:r w:rsidR="00920B31" w:rsidRPr="00E02273">
        <w:rPr>
          <w:lang w:val="en-CA"/>
        </w:rPr>
        <w:t>because the o</w:t>
      </w:r>
      <w:r w:rsidR="002D51A4" w:rsidRPr="00E02273">
        <w:rPr>
          <w:lang w:val="en-CA"/>
        </w:rPr>
        <w:t>bjecti</w:t>
      </w:r>
      <w:r w:rsidR="00920B31" w:rsidRPr="00E02273">
        <w:rPr>
          <w:lang w:val="en-CA"/>
        </w:rPr>
        <w:t>ve sought remains that of ensuring that prices in Canada are competitive in relation to those</w:t>
      </w:r>
      <w:r w:rsidR="00260C1F">
        <w:rPr>
          <w:lang w:val="en-CA"/>
        </w:rPr>
        <w:t xml:space="preserve"> in other countries</w:t>
      </w:r>
      <w:r w:rsidR="002D51A4" w:rsidRPr="00E02273">
        <w:rPr>
          <w:lang w:val="en-CA"/>
        </w:rPr>
        <w:t>.</w:t>
      </w:r>
      <w:r w:rsidR="00920B31" w:rsidRPr="00E02273">
        <w:rPr>
          <w:lang w:val="en-CA"/>
        </w:rPr>
        <w:t xml:space="preserve"> As we have seen, </w:t>
      </w:r>
      <w:r w:rsidR="00EF4573">
        <w:rPr>
          <w:lang w:val="en-CA"/>
        </w:rPr>
        <w:t>this</w:t>
      </w:r>
      <w:r w:rsidR="00920B31" w:rsidRPr="00E02273">
        <w:rPr>
          <w:lang w:val="en-CA"/>
        </w:rPr>
        <w:t xml:space="preserve"> legislative </w:t>
      </w:r>
      <w:r w:rsidR="002D51A4" w:rsidRPr="00E02273">
        <w:rPr>
          <w:lang w:val="en-CA"/>
        </w:rPr>
        <w:t>objecti</w:t>
      </w:r>
      <w:r w:rsidR="00920B31" w:rsidRPr="00E02273">
        <w:rPr>
          <w:lang w:val="en-CA"/>
        </w:rPr>
        <w:t xml:space="preserve">ve is directly connected to the </w:t>
      </w:r>
      <w:r w:rsidR="002D51A4" w:rsidRPr="00E02273">
        <w:rPr>
          <w:lang w:val="en-CA"/>
        </w:rPr>
        <w:t>federal</w:t>
      </w:r>
      <w:r w:rsidR="00920B31" w:rsidRPr="00E02273">
        <w:rPr>
          <w:lang w:val="en-CA"/>
        </w:rPr>
        <w:t xml:space="preserve"> </w:t>
      </w:r>
      <w:r w:rsidR="002D51A4" w:rsidRPr="00E02273">
        <w:rPr>
          <w:lang w:val="en-CA"/>
        </w:rPr>
        <w:t xml:space="preserve">jurisdiction </w:t>
      </w:r>
      <w:r w:rsidR="002A2C92" w:rsidRPr="00E02273">
        <w:rPr>
          <w:lang w:val="en-CA"/>
        </w:rPr>
        <w:t xml:space="preserve">over patents, because it seeks to control the </w:t>
      </w:r>
      <w:r w:rsidR="002D51A4" w:rsidRPr="00E02273">
        <w:rPr>
          <w:lang w:val="en-CA"/>
        </w:rPr>
        <w:t>effe</w:t>
      </w:r>
      <w:r w:rsidR="002A2C92" w:rsidRPr="00E02273">
        <w:rPr>
          <w:lang w:val="en-CA"/>
        </w:rPr>
        <w:t>c</w:t>
      </w:r>
      <w:r w:rsidR="002D51A4" w:rsidRPr="00E02273">
        <w:rPr>
          <w:lang w:val="en-CA"/>
        </w:rPr>
        <w:t xml:space="preserve">ts </w:t>
      </w:r>
      <w:r w:rsidR="002A2C92" w:rsidRPr="00E02273">
        <w:rPr>
          <w:lang w:val="en-CA"/>
        </w:rPr>
        <w:t xml:space="preserve">on prices of the </w:t>
      </w:r>
      <w:r w:rsidR="002D51A4" w:rsidRPr="00E02273">
        <w:rPr>
          <w:lang w:val="en-CA"/>
        </w:rPr>
        <w:t>monopol</w:t>
      </w:r>
      <w:r w:rsidR="002A2C92" w:rsidRPr="00E02273">
        <w:rPr>
          <w:lang w:val="en-CA"/>
        </w:rPr>
        <w:t xml:space="preserve">y granted by </w:t>
      </w:r>
      <w:r w:rsidR="00433184">
        <w:rPr>
          <w:lang w:val="en-CA"/>
        </w:rPr>
        <w:t xml:space="preserve">the </w:t>
      </w:r>
      <w:r w:rsidR="002A2C92" w:rsidRPr="00E02273">
        <w:rPr>
          <w:lang w:val="en-CA"/>
        </w:rPr>
        <w:t>patent</w:t>
      </w:r>
      <w:r w:rsidR="002D51A4" w:rsidRPr="00E02273">
        <w:rPr>
          <w:lang w:val="en-CA"/>
        </w:rPr>
        <w:t xml:space="preserve">. </w:t>
      </w:r>
    </w:p>
    <w:p w14:paraId="59F1AF1C" w14:textId="6EF40213" w:rsidR="00B568AD" w:rsidRPr="00E02273" w:rsidRDefault="00D72106" w:rsidP="00560BD2">
      <w:pPr>
        <w:pStyle w:val="Paragraphe"/>
        <w:tabs>
          <w:tab w:val="clear" w:pos="4973"/>
          <w:tab w:val="num" w:pos="709"/>
        </w:tabs>
        <w:spacing w:line="240" w:lineRule="auto"/>
        <w:ind w:left="0"/>
        <w:rPr>
          <w:lang w:val="en-CA"/>
        </w:rPr>
      </w:pPr>
      <w:r w:rsidRPr="00E02273">
        <w:rPr>
          <w:lang w:val="en-CA"/>
        </w:rPr>
        <w:t xml:space="preserve">In its choice of comparator countries, the federal </w:t>
      </w:r>
      <w:r w:rsidR="002D51A4" w:rsidRPr="00E02273">
        <w:rPr>
          <w:lang w:val="en-CA"/>
        </w:rPr>
        <w:t xml:space="preserve">government </w:t>
      </w:r>
      <w:r w:rsidRPr="00E02273">
        <w:rPr>
          <w:lang w:val="en-CA"/>
        </w:rPr>
        <w:t xml:space="preserve">may </w:t>
      </w:r>
      <w:r w:rsidR="00404E56" w:rsidRPr="00E02273">
        <w:rPr>
          <w:lang w:val="en-CA"/>
        </w:rPr>
        <w:t xml:space="preserve">consider the </w:t>
      </w:r>
      <w:r w:rsidR="002D51A4" w:rsidRPr="00E02273">
        <w:rPr>
          <w:lang w:val="en-CA"/>
        </w:rPr>
        <w:t>impact</w:t>
      </w:r>
      <w:r w:rsidR="00404E56" w:rsidRPr="00E02273">
        <w:rPr>
          <w:lang w:val="en-CA"/>
        </w:rPr>
        <w:t xml:space="preserve"> on research and de</w:t>
      </w:r>
      <w:r w:rsidR="002D51A4" w:rsidRPr="00E02273">
        <w:rPr>
          <w:lang w:val="en-CA"/>
        </w:rPr>
        <w:t xml:space="preserve">velopment, </w:t>
      </w:r>
      <w:r w:rsidR="00404E56" w:rsidRPr="00E02273">
        <w:rPr>
          <w:lang w:val="en-CA"/>
        </w:rPr>
        <w:t xml:space="preserve">both in </w:t>
      </w:r>
      <w:r w:rsidR="002D51A4" w:rsidRPr="00E02273">
        <w:rPr>
          <w:lang w:val="en-CA"/>
        </w:rPr>
        <w:t xml:space="preserve">Canada </w:t>
      </w:r>
      <w:r w:rsidR="00404E56" w:rsidRPr="00E02273">
        <w:rPr>
          <w:lang w:val="en-CA"/>
        </w:rPr>
        <w:t xml:space="preserve">and abroad, and </w:t>
      </w:r>
      <w:r w:rsidR="00433184">
        <w:rPr>
          <w:lang w:val="en-CA"/>
        </w:rPr>
        <w:t>adjust</w:t>
      </w:r>
      <w:r w:rsidR="00433184" w:rsidRPr="00E02273">
        <w:rPr>
          <w:lang w:val="en-CA"/>
        </w:rPr>
        <w:t xml:space="preserve"> </w:t>
      </w:r>
      <w:r w:rsidR="00C95016" w:rsidRPr="00E02273">
        <w:rPr>
          <w:lang w:val="en-CA"/>
        </w:rPr>
        <w:t>this choice on the basis of its policies in this regard, which may change over time</w:t>
      </w:r>
      <w:r w:rsidR="002D51A4" w:rsidRPr="00E02273">
        <w:rPr>
          <w:lang w:val="en-CA"/>
        </w:rPr>
        <w:t>.</w:t>
      </w:r>
      <w:r w:rsidR="00C95016" w:rsidRPr="00E02273">
        <w:rPr>
          <w:lang w:val="en-CA"/>
        </w:rPr>
        <w:t xml:space="preserve"> I</w:t>
      </w:r>
      <w:r w:rsidR="002D51A4" w:rsidRPr="00E02273">
        <w:rPr>
          <w:lang w:val="en-CA"/>
        </w:rPr>
        <w:t>n</w:t>
      </w:r>
      <w:r w:rsidR="00C95016" w:rsidRPr="00E02273">
        <w:rPr>
          <w:lang w:val="en-CA"/>
        </w:rPr>
        <w:t xml:space="preserve"> </w:t>
      </w:r>
      <w:r w:rsidR="002D51A4" w:rsidRPr="00E02273">
        <w:rPr>
          <w:lang w:val="en-CA"/>
        </w:rPr>
        <w:t>so</w:t>
      </w:r>
      <w:r w:rsidR="00C95016" w:rsidRPr="00E02273">
        <w:rPr>
          <w:lang w:val="en-CA"/>
        </w:rPr>
        <w:t xml:space="preserve"> </w:t>
      </w:r>
      <w:r w:rsidR="002D51A4" w:rsidRPr="00E02273">
        <w:rPr>
          <w:lang w:val="en-CA"/>
        </w:rPr>
        <w:t>doing,</w:t>
      </w:r>
      <w:r w:rsidR="00C95016" w:rsidRPr="00E02273">
        <w:rPr>
          <w:lang w:val="en-CA"/>
        </w:rPr>
        <w:t xml:space="preserve"> the federal </w:t>
      </w:r>
      <w:r w:rsidR="002D51A4" w:rsidRPr="00E02273">
        <w:rPr>
          <w:lang w:val="en-CA"/>
        </w:rPr>
        <w:t xml:space="preserve">government </w:t>
      </w:r>
      <w:r w:rsidR="00C95016" w:rsidRPr="00E02273">
        <w:rPr>
          <w:lang w:val="en-CA"/>
        </w:rPr>
        <w:t xml:space="preserve">is still acting within its </w:t>
      </w:r>
      <w:r w:rsidR="002D51A4" w:rsidRPr="00E02273">
        <w:rPr>
          <w:lang w:val="en-CA"/>
        </w:rPr>
        <w:t>jurisdiction</w:t>
      </w:r>
      <w:r w:rsidR="00C95016" w:rsidRPr="00E02273">
        <w:rPr>
          <w:lang w:val="en-CA"/>
        </w:rPr>
        <w:t xml:space="preserve"> over patents of </w:t>
      </w:r>
      <w:r w:rsidR="002D51A4" w:rsidRPr="00E02273">
        <w:rPr>
          <w:lang w:val="en-CA"/>
        </w:rPr>
        <w:t xml:space="preserve">invention </w:t>
      </w:r>
      <w:r w:rsidR="00C95016" w:rsidRPr="00E02273">
        <w:rPr>
          <w:lang w:val="en-CA"/>
        </w:rPr>
        <w:t xml:space="preserve">and discovery because that </w:t>
      </w:r>
      <w:r w:rsidR="002D51A4" w:rsidRPr="00E02273">
        <w:rPr>
          <w:lang w:val="en-CA"/>
        </w:rPr>
        <w:t>jurisdiction indubitabl</w:t>
      </w:r>
      <w:r w:rsidR="00C95016" w:rsidRPr="00E02273">
        <w:rPr>
          <w:lang w:val="en-CA"/>
        </w:rPr>
        <w:t xml:space="preserve">y includes a research and </w:t>
      </w:r>
      <w:r w:rsidR="002D51A4" w:rsidRPr="00E02273">
        <w:rPr>
          <w:lang w:val="en-CA"/>
        </w:rPr>
        <w:t>d</w:t>
      </w:r>
      <w:r w:rsidR="00C95016" w:rsidRPr="00E02273">
        <w:rPr>
          <w:lang w:val="en-CA"/>
        </w:rPr>
        <w:t>e</w:t>
      </w:r>
      <w:r w:rsidR="002D51A4" w:rsidRPr="00E02273">
        <w:rPr>
          <w:lang w:val="en-CA"/>
        </w:rPr>
        <w:t>velopment</w:t>
      </w:r>
      <w:r w:rsidR="00C95016" w:rsidRPr="00E02273">
        <w:rPr>
          <w:lang w:val="en-CA"/>
        </w:rPr>
        <w:t xml:space="preserve"> </w:t>
      </w:r>
      <w:r w:rsidR="00260C1F">
        <w:rPr>
          <w:lang w:val="en-CA"/>
        </w:rPr>
        <w:t>component</w:t>
      </w:r>
      <w:r w:rsidR="00C95016" w:rsidRPr="00E02273">
        <w:rPr>
          <w:lang w:val="en-CA"/>
        </w:rPr>
        <w:t xml:space="preserve">. It is </w:t>
      </w:r>
      <w:r w:rsidR="002D51A4" w:rsidRPr="00E02273">
        <w:rPr>
          <w:lang w:val="en-CA"/>
        </w:rPr>
        <w:t>in</w:t>
      </w:r>
      <w:r w:rsidR="00C95016" w:rsidRPr="00E02273">
        <w:rPr>
          <w:lang w:val="en-CA"/>
        </w:rPr>
        <w:t xml:space="preserve"> </w:t>
      </w:r>
      <w:r w:rsidR="002D51A4" w:rsidRPr="00E02273">
        <w:rPr>
          <w:lang w:val="en-CA"/>
        </w:rPr>
        <w:t>fact</w:t>
      </w:r>
      <w:r w:rsidR="00C95016" w:rsidRPr="00E02273">
        <w:rPr>
          <w:lang w:val="en-CA"/>
        </w:rPr>
        <w:t xml:space="preserve"> one of the foundations of this </w:t>
      </w:r>
      <w:r w:rsidR="002D51A4" w:rsidRPr="00E02273">
        <w:rPr>
          <w:lang w:val="en-CA"/>
        </w:rPr>
        <w:t>federal</w:t>
      </w:r>
      <w:r w:rsidR="00C95016" w:rsidRPr="00E02273">
        <w:rPr>
          <w:lang w:val="en-CA"/>
        </w:rPr>
        <w:t xml:space="preserve"> </w:t>
      </w:r>
      <w:r w:rsidR="002D51A4" w:rsidRPr="00E02273">
        <w:rPr>
          <w:lang w:val="en-CA"/>
        </w:rPr>
        <w:t>jurisdiction.</w:t>
      </w:r>
    </w:p>
    <w:p w14:paraId="27D7A994" w14:textId="43C30773" w:rsidR="00B568AD" w:rsidRPr="00E02273" w:rsidRDefault="00AE73D0" w:rsidP="00560BD2">
      <w:pPr>
        <w:pStyle w:val="Paragraphe"/>
        <w:tabs>
          <w:tab w:val="clear" w:pos="4973"/>
          <w:tab w:val="num" w:pos="709"/>
        </w:tabs>
        <w:spacing w:line="240" w:lineRule="auto"/>
        <w:ind w:left="0"/>
        <w:rPr>
          <w:lang w:val="en-CA"/>
        </w:rPr>
      </w:pPr>
      <w:r w:rsidRPr="00E02273">
        <w:rPr>
          <w:lang w:val="en-CA"/>
        </w:rPr>
        <w:t>The G</w:t>
      </w:r>
      <w:r w:rsidR="002D51A4" w:rsidRPr="00E02273">
        <w:rPr>
          <w:lang w:val="en-CA"/>
        </w:rPr>
        <w:t xml:space="preserve">overnment </w:t>
      </w:r>
      <w:r w:rsidRPr="00E02273">
        <w:rPr>
          <w:lang w:val="en-CA"/>
        </w:rPr>
        <w:t xml:space="preserve">of </w:t>
      </w:r>
      <w:r w:rsidR="002D51A4" w:rsidRPr="00E02273">
        <w:rPr>
          <w:lang w:val="en-CA"/>
        </w:rPr>
        <w:t>Canada</w:t>
      </w:r>
      <w:r w:rsidRPr="00E02273">
        <w:rPr>
          <w:lang w:val="en-CA"/>
        </w:rPr>
        <w:t>’s</w:t>
      </w:r>
      <w:r w:rsidR="002D51A4" w:rsidRPr="00E02273">
        <w:rPr>
          <w:lang w:val="en-CA"/>
        </w:rPr>
        <w:t xml:space="preserve"> </w:t>
      </w:r>
      <w:r w:rsidRPr="00E02273">
        <w:rPr>
          <w:lang w:val="en-CA"/>
        </w:rPr>
        <w:t xml:space="preserve">decision to amend the </w:t>
      </w:r>
      <w:r w:rsidR="002D51A4" w:rsidRPr="00E02273">
        <w:rPr>
          <w:lang w:val="en-CA"/>
        </w:rPr>
        <w:t xml:space="preserve">list </w:t>
      </w:r>
      <w:r w:rsidRPr="00E02273">
        <w:rPr>
          <w:lang w:val="en-CA"/>
        </w:rPr>
        <w:t>of comparator countries</w:t>
      </w:r>
      <w:r w:rsidR="00433184">
        <w:rPr>
          <w:lang w:val="en-CA"/>
        </w:rPr>
        <w:t>,</w:t>
      </w:r>
      <w:r w:rsidRPr="00E02273">
        <w:rPr>
          <w:lang w:val="en-CA"/>
        </w:rPr>
        <w:t xml:space="preserve"> due to </w:t>
      </w:r>
      <w:r w:rsidR="00C76C6A" w:rsidRPr="00E02273">
        <w:rPr>
          <w:lang w:val="en-CA"/>
        </w:rPr>
        <w:t xml:space="preserve">a reversal of its previous </w:t>
      </w:r>
      <w:r w:rsidR="002D51A4" w:rsidRPr="00E02273">
        <w:rPr>
          <w:lang w:val="en-CA"/>
        </w:rPr>
        <w:t>poli</w:t>
      </w:r>
      <w:r w:rsidR="00C76C6A" w:rsidRPr="00E02273">
        <w:rPr>
          <w:lang w:val="en-CA"/>
        </w:rPr>
        <w:t xml:space="preserve">cy encouraging pharmaceutical research and </w:t>
      </w:r>
      <w:r w:rsidR="002D51A4" w:rsidRPr="00E02273">
        <w:rPr>
          <w:lang w:val="en-CA"/>
        </w:rPr>
        <w:t>d</w:t>
      </w:r>
      <w:r w:rsidR="00C76C6A" w:rsidRPr="00E02273">
        <w:rPr>
          <w:lang w:val="en-CA"/>
        </w:rPr>
        <w:t>e</w:t>
      </w:r>
      <w:r w:rsidR="002D51A4" w:rsidRPr="00E02273">
        <w:rPr>
          <w:lang w:val="en-CA"/>
        </w:rPr>
        <w:t xml:space="preserve">velopment </w:t>
      </w:r>
      <w:r w:rsidR="00C76C6A" w:rsidRPr="00E02273">
        <w:rPr>
          <w:lang w:val="en-CA"/>
        </w:rPr>
        <w:t xml:space="preserve">in </w:t>
      </w:r>
      <w:r w:rsidR="002D51A4" w:rsidRPr="00E02273">
        <w:rPr>
          <w:lang w:val="en-CA"/>
        </w:rPr>
        <w:t xml:space="preserve">Canada, </w:t>
      </w:r>
      <w:r w:rsidR="00C76C6A" w:rsidRPr="00E02273">
        <w:rPr>
          <w:lang w:val="en-CA"/>
        </w:rPr>
        <w:t xml:space="preserve">is therefore </w:t>
      </w:r>
      <w:r w:rsidR="002D51A4" w:rsidRPr="00E02273">
        <w:rPr>
          <w:lang w:val="en-CA"/>
        </w:rPr>
        <w:t>constitution</w:t>
      </w:r>
      <w:r w:rsidR="00C76C6A" w:rsidRPr="00E02273">
        <w:rPr>
          <w:lang w:val="en-CA"/>
        </w:rPr>
        <w:t>a</w:t>
      </w:r>
      <w:r w:rsidR="002D51A4" w:rsidRPr="00E02273">
        <w:rPr>
          <w:lang w:val="en-CA"/>
        </w:rPr>
        <w:t>ll</w:t>
      </w:r>
      <w:r w:rsidR="00C76C6A" w:rsidRPr="00E02273">
        <w:rPr>
          <w:lang w:val="en-CA"/>
        </w:rPr>
        <w:t xml:space="preserve">y </w:t>
      </w:r>
      <w:r w:rsidR="002D51A4" w:rsidRPr="00E02273">
        <w:rPr>
          <w:lang w:val="en-CA"/>
        </w:rPr>
        <w:t>valid</w:t>
      </w:r>
      <w:r w:rsidR="00C76C6A" w:rsidRPr="00E02273">
        <w:rPr>
          <w:lang w:val="en-CA"/>
        </w:rPr>
        <w:t xml:space="preserve"> because it is based on </w:t>
      </w:r>
      <w:r w:rsidR="002D51A4" w:rsidRPr="00E02273">
        <w:rPr>
          <w:lang w:val="en-CA"/>
        </w:rPr>
        <w:t>consid</w:t>
      </w:r>
      <w:r w:rsidR="00C76C6A" w:rsidRPr="00E02273">
        <w:rPr>
          <w:lang w:val="en-CA"/>
        </w:rPr>
        <w:t>e</w:t>
      </w:r>
      <w:r w:rsidR="002D51A4" w:rsidRPr="00E02273">
        <w:rPr>
          <w:lang w:val="en-CA"/>
        </w:rPr>
        <w:t>rations</w:t>
      </w:r>
      <w:r w:rsidR="00C76C6A" w:rsidRPr="00E02273">
        <w:rPr>
          <w:lang w:val="en-CA"/>
        </w:rPr>
        <w:t xml:space="preserve"> that are clearly part of the </w:t>
      </w:r>
      <w:r w:rsidR="002D51A4" w:rsidRPr="00E02273">
        <w:rPr>
          <w:lang w:val="en-CA"/>
        </w:rPr>
        <w:t>federal</w:t>
      </w:r>
      <w:r w:rsidR="00C76C6A" w:rsidRPr="00E02273">
        <w:rPr>
          <w:lang w:val="en-CA"/>
        </w:rPr>
        <w:t xml:space="preserve"> </w:t>
      </w:r>
      <w:r w:rsidR="002D51A4" w:rsidRPr="00E02273">
        <w:rPr>
          <w:lang w:val="en-CA"/>
        </w:rPr>
        <w:t>jurisdiction</w:t>
      </w:r>
      <w:r w:rsidR="00C76C6A" w:rsidRPr="00E02273">
        <w:rPr>
          <w:lang w:val="en-CA"/>
        </w:rPr>
        <w:t xml:space="preserve"> over patents, </w:t>
      </w:r>
      <w:r w:rsidR="00D94444" w:rsidRPr="00E02273">
        <w:rPr>
          <w:lang w:val="en-CA"/>
        </w:rPr>
        <w:t xml:space="preserve">that is, taking into account research and </w:t>
      </w:r>
      <w:r w:rsidR="002D51A4" w:rsidRPr="00E02273">
        <w:rPr>
          <w:lang w:val="en-CA"/>
        </w:rPr>
        <w:t>d</w:t>
      </w:r>
      <w:r w:rsidR="00D94444" w:rsidRPr="00E02273">
        <w:rPr>
          <w:lang w:val="en-CA"/>
        </w:rPr>
        <w:t>e</w:t>
      </w:r>
      <w:r w:rsidR="002D51A4" w:rsidRPr="00E02273">
        <w:rPr>
          <w:lang w:val="en-CA"/>
        </w:rPr>
        <w:t xml:space="preserve">velopment </w:t>
      </w:r>
      <w:r w:rsidR="00D94444" w:rsidRPr="00E02273">
        <w:rPr>
          <w:lang w:val="en-CA"/>
        </w:rPr>
        <w:t xml:space="preserve">in </w:t>
      </w:r>
      <w:r w:rsidR="002D51A4" w:rsidRPr="00E02273">
        <w:rPr>
          <w:lang w:val="en-CA"/>
        </w:rPr>
        <w:t xml:space="preserve">Canada, </w:t>
      </w:r>
      <w:r w:rsidR="00D94444" w:rsidRPr="00E02273">
        <w:rPr>
          <w:lang w:val="en-CA"/>
        </w:rPr>
        <w:t xml:space="preserve">while controlling the adverse effects of the </w:t>
      </w:r>
      <w:r w:rsidR="002D51A4" w:rsidRPr="00E02273">
        <w:rPr>
          <w:lang w:val="en-CA"/>
        </w:rPr>
        <w:t>monopol</w:t>
      </w:r>
      <w:r w:rsidR="00D94444" w:rsidRPr="00E02273">
        <w:rPr>
          <w:lang w:val="en-CA"/>
        </w:rPr>
        <w:t>y granted by patents on the price of patented medicines</w:t>
      </w:r>
      <w:r w:rsidR="002D51A4" w:rsidRPr="00E02273">
        <w:rPr>
          <w:lang w:val="en-CA"/>
        </w:rPr>
        <w:t>.</w:t>
      </w:r>
    </w:p>
    <w:p w14:paraId="17915588" w14:textId="138A9BC5" w:rsidR="00B568AD" w:rsidRPr="00E02273" w:rsidRDefault="00A8130E" w:rsidP="00560BD2">
      <w:pPr>
        <w:pStyle w:val="Paragraphe"/>
        <w:tabs>
          <w:tab w:val="clear" w:pos="4973"/>
          <w:tab w:val="num" w:pos="709"/>
        </w:tabs>
        <w:spacing w:line="240" w:lineRule="auto"/>
        <w:ind w:left="0"/>
        <w:rPr>
          <w:lang w:val="en-CA"/>
        </w:rPr>
      </w:pPr>
      <w:r w:rsidRPr="00E02273">
        <w:rPr>
          <w:lang w:val="en-CA"/>
        </w:rPr>
        <w:t xml:space="preserve">That is why I cannot accept the </w:t>
      </w:r>
      <w:r w:rsidR="002D51A4" w:rsidRPr="00E02273">
        <w:rPr>
          <w:lang w:val="en-CA"/>
        </w:rPr>
        <w:t>submissions</w:t>
      </w:r>
      <w:r w:rsidRPr="00E02273">
        <w:rPr>
          <w:lang w:val="en-CA"/>
        </w:rPr>
        <w:t xml:space="preserve"> of the </w:t>
      </w:r>
      <w:r w:rsidR="002D51A4" w:rsidRPr="00E02273">
        <w:rPr>
          <w:lang w:val="en-CA"/>
        </w:rPr>
        <w:t>appel</w:t>
      </w:r>
      <w:r w:rsidRPr="00E02273">
        <w:rPr>
          <w:lang w:val="en-CA"/>
        </w:rPr>
        <w:t>l</w:t>
      </w:r>
      <w:r w:rsidR="002D51A4" w:rsidRPr="00E02273">
        <w:rPr>
          <w:lang w:val="en-CA"/>
        </w:rPr>
        <w:t>ants</w:t>
      </w:r>
      <w:r w:rsidRPr="00E02273">
        <w:rPr>
          <w:lang w:val="en-CA"/>
        </w:rPr>
        <w:t xml:space="preserve"> and the </w:t>
      </w:r>
      <w:r w:rsidR="002D51A4" w:rsidRPr="00E02273">
        <w:rPr>
          <w:lang w:val="en-CA"/>
        </w:rPr>
        <w:t>Attorney</w:t>
      </w:r>
      <w:r w:rsidRPr="00E02273">
        <w:rPr>
          <w:lang w:val="en-CA"/>
        </w:rPr>
        <w:t xml:space="preserve"> </w:t>
      </w:r>
      <w:r w:rsidR="002D51A4" w:rsidRPr="00E02273">
        <w:rPr>
          <w:lang w:val="en-CA"/>
        </w:rPr>
        <w:t>General</w:t>
      </w:r>
      <w:r w:rsidRPr="00E02273">
        <w:rPr>
          <w:lang w:val="en-CA"/>
        </w:rPr>
        <w:t xml:space="preserve"> </w:t>
      </w:r>
      <w:r w:rsidR="002D51A4" w:rsidRPr="00E02273">
        <w:rPr>
          <w:lang w:val="en-CA"/>
        </w:rPr>
        <w:t>of</w:t>
      </w:r>
      <w:r w:rsidRPr="00E02273">
        <w:rPr>
          <w:lang w:val="en-CA"/>
        </w:rPr>
        <w:t xml:space="preserve"> </w:t>
      </w:r>
      <w:r w:rsidR="002D51A4" w:rsidRPr="00E02273">
        <w:rPr>
          <w:lang w:val="en-CA"/>
        </w:rPr>
        <w:t xml:space="preserve">Quebec </w:t>
      </w:r>
      <w:r w:rsidRPr="00E02273">
        <w:rPr>
          <w:lang w:val="en-CA"/>
        </w:rPr>
        <w:t xml:space="preserve">to the effect that the new </w:t>
      </w:r>
      <w:r w:rsidR="002D51A4" w:rsidRPr="00E02273">
        <w:rPr>
          <w:lang w:val="en-CA"/>
        </w:rPr>
        <w:t>schedule</w:t>
      </w:r>
      <w:r w:rsidRPr="00E02273">
        <w:rPr>
          <w:lang w:val="en-CA"/>
        </w:rPr>
        <w:t xml:space="preserve"> of foreign countries </w:t>
      </w:r>
      <w:r w:rsidR="002D51A4" w:rsidRPr="00E02273">
        <w:rPr>
          <w:lang w:val="en-CA"/>
        </w:rPr>
        <w:t>introdu</w:t>
      </w:r>
      <w:r w:rsidRPr="00E02273">
        <w:rPr>
          <w:lang w:val="en-CA"/>
        </w:rPr>
        <w:t xml:space="preserve">ced into the </w:t>
      </w:r>
      <w:r w:rsidRPr="00E02273">
        <w:rPr>
          <w:i/>
          <w:lang w:val="en-CA"/>
        </w:rPr>
        <w:t>Patented Medici</w:t>
      </w:r>
      <w:r w:rsidR="00E06440" w:rsidRPr="00E02273">
        <w:rPr>
          <w:i/>
          <w:lang w:val="en-CA"/>
        </w:rPr>
        <w:t>n</w:t>
      </w:r>
      <w:r w:rsidRPr="00E02273">
        <w:rPr>
          <w:i/>
          <w:lang w:val="en-CA"/>
        </w:rPr>
        <w:t xml:space="preserve">es Regulations </w:t>
      </w:r>
      <w:r w:rsidRPr="00E02273">
        <w:rPr>
          <w:lang w:val="en-CA"/>
        </w:rPr>
        <w:t xml:space="preserve">by the </w:t>
      </w:r>
      <w:r w:rsidR="00866E58" w:rsidRPr="00E02273">
        <w:rPr>
          <w:i/>
          <w:lang w:val="en-CA"/>
        </w:rPr>
        <w:t>2019 Regulatory Amendments</w:t>
      </w:r>
      <w:r w:rsidR="002D51A4" w:rsidRPr="00E02273">
        <w:rPr>
          <w:lang w:val="en-CA"/>
        </w:rPr>
        <w:t xml:space="preserve"> </w:t>
      </w:r>
      <w:r w:rsidRPr="00E02273">
        <w:rPr>
          <w:lang w:val="en-CA"/>
        </w:rPr>
        <w:t xml:space="preserve">are </w:t>
      </w:r>
      <w:r w:rsidR="00433184">
        <w:rPr>
          <w:lang w:val="en-CA"/>
        </w:rPr>
        <w:t>un</w:t>
      </w:r>
      <w:r w:rsidR="002D51A4" w:rsidRPr="00E02273">
        <w:rPr>
          <w:lang w:val="en-CA"/>
        </w:rPr>
        <w:t>constitutional</w:t>
      </w:r>
      <w:r w:rsidRPr="00E02273">
        <w:rPr>
          <w:lang w:val="en-CA"/>
        </w:rPr>
        <w:t xml:space="preserve"> for the sole reason that they could cause a reduction in the price of patented medicines</w:t>
      </w:r>
      <w:r w:rsidR="002D51A4" w:rsidRPr="00E02273">
        <w:rPr>
          <w:lang w:val="en-CA"/>
        </w:rPr>
        <w:t xml:space="preserve">. </w:t>
      </w:r>
    </w:p>
    <w:p w14:paraId="3D8AEFD0" w14:textId="3E3FBC5B" w:rsidR="00B568AD" w:rsidRPr="00E02273" w:rsidRDefault="00A8130E" w:rsidP="00B568AD">
      <w:pPr>
        <w:pStyle w:val="Paragraphe"/>
        <w:numPr>
          <w:ilvl w:val="0"/>
          <w:numId w:val="37"/>
        </w:numPr>
        <w:spacing w:line="240" w:lineRule="auto"/>
        <w:rPr>
          <w:i/>
          <w:lang w:val="en-CA"/>
        </w:rPr>
      </w:pPr>
      <w:r w:rsidRPr="00E02273">
        <w:rPr>
          <w:i/>
          <w:lang w:val="en-CA"/>
        </w:rPr>
        <w:t>The new regulatory factors</w:t>
      </w:r>
    </w:p>
    <w:p w14:paraId="161EDB40" w14:textId="366A4994" w:rsidR="00B568AD" w:rsidRPr="00E02273" w:rsidRDefault="00D31006" w:rsidP="00560BD2">
      <w:pPr>
        <w:pStyle w:val="Paragraphe"/>
        <w:tabs>
          <w:tab w:val="clear" w:pos="4973"/>
          <w:tab w:val="num" w:pos="709"/>
        </w:tabs>
        <w:spacing w:line="240" w:lineRule="auto"/>
        <w:ind w:left="0"/>
        <w:rPr>
          <w:lang w:val="en-CA"/>
        </w:rPr>
      </w:pPr>
      <w:r w:rsidRPr="00E02273">
        <w:rPr>
          <w:lang w:val="en-CA"/>
        </w:rPr>
        <w:t xml:space="preserve">As we have seen, the new </w:t>
      </w:r>
      <w:r w:rsidR="002D51A4" w:rsidRPr="00E02273">
        <w:rPr>
          <w:lang w:val="en-CA"/>
        </w:rPr>
        <w:t>fact</w:t>
      </w:r>
      <w:r w:rsidRPr="00E02273">
        <w:rPr>
          <w:lang w:val="en-CA"/>
        </w:rPr>
        <w:t>ors</w:t>
      </w:r>
      <w:r w:rsidR="002D51A4" w:rsidRPr="00E02273">
        <w:rPr>
          <w:lang w:val="en-CA"/>
        </w:rPr>
        <w:t xml:space="preserve"> introdu</w:t>
      </w:r>
      <w:r w:rsidRPr="00E02273">
        <w:rPr>
          <w:lang w:val="en-CA"/>
        </w:rPr>
        <w:t xml:space="preserve">ced by the </w:t>
      </w:r>
      <w:r w:rsidR="00866E58" w:rsidRPr="00E02273">
        <w:rPr>
          <w:i/>
          <w:lang w:val="en-CA"/>
        </w:rPr>
        <w:t>2019 Regulatory Amendments</w:t>
      </w:r>
      <w:r w:rsidR="002D51A4" w:rsidRPr="00E02273">
        <w:rPr>
          <w:lang w:val="en-CA"/>
        </w:rPr>
        <w:t xml:space="preserve"> (</w:t>
      </w:r>
      <w:r w:rsidRPr="00E02273">
        <w:rPr>
          <w:lang w:val="en-CA"/>
        </w:rPr>
        <w:t xml:space="preserve">i.e., the </w:t>
      </w:r>
      <w:r w:rsidR="002D51A4" w:rsidRPr="00E02273">
        <w:rPr>
          <w:lang w:val="en-CA"/>
        </w:rPr>
        <w:t>pharmaco</w:t>
      </w:r>
      <w:r w:rsidRPr="00E02273">
        <w:rPr>
          <w:lang w:val="en-CA"/>
        </w:rPr>
        <w:t>e</w:t>
      </w:r>
      <w:r w:rsidR="002D51A4" w:rsidRPr="00E02273">
        <w:rPr>
          <w:lang w:val="en-CA"/>
        </w:rPr>
        <w:t>conomi</w:t>
      </w:r>
      <w:r w:rsidRPr="00E02273">
        <w:rPr>
          <w:lang w:val="en-CA"/>
        </w:rPr>
        <w:t xml:space="preserve">c value of the medicine in </w:t>
      </w:r>
      <w:r w:rsidR="002D51A4" w:rsidRPr="00E02273">
        <w:rPr>
          <w:lang w:val="en-CA"/>
        </w:rPr>
        <w:t xml:space="preserve">Canada, </w:t>
      </w:r>
      <w:r w:rsidRPr="00E02273">
        <w:rPr>
          <w:lang w:val="en-CA"/>
        </w:rPr>
        <w:t xml:space="preserve">the size of the market for the medicine in </w:t>
      </w:r>
      <w:r w:rsidR="002D51A4" w:rsidRPr="00E02273">
        <w:rPr>
          <w:lang w:val="en-CA"/>
        </w:rPr>
        <w:t>Canada</w:t>
      </w:r>
      <w:r w:rsidRPr="00E02273">
        <w:rPr>
          <w:lang w:val="en-CA"/>
        </w:rPr>
        <w:t xml:space="preserve">, and the gross domestic product per capita in </w:t>
      </w:r>
      <w:r w:rsidR="002D51A4" w:rsidRPr="00E02273">
        <w:rPr>
          <w:lang w:val="en-CA"/>
        </w:rPr>
        <w:t>Canada) impose</w:t>
      </w:r>
      <w:r w:rsidRPr="00E02273">
        <w:rPr>
          <w:lang w:val="en-CA"/>
        </w:rPr>
        <w:t xml:space="preserve"> arbitrary signi</w:t>
      </w:r>
      <w:r w:rsidR="00F22115" w:rsidRPr="00E02273">
        <w:rPr>
          <w:lang w:val="en-CA"/>
        </w:rPr>
        <w:t>f</w:t>
      </w:r>
      <w:r w:rsidRPr="00E02273">
        <w:rPr>
          <w:lang w:val="en-CA"/>
        </w:rPr>
        <w:t>icant re</w:t>
      </w:r>
      <w:r w:rsidR="002D51A4" w:rsidRPr="00E02273">
        <w:rPr>
          <w:lang w:val="en-CA"/>
        </w:rPr>
        <w:t xml:space="preserve">ductions </w:t>
      </w:r>
      <w:r w:rsidRPr="00E02273">
        <w:rPr>
          <w:lang w:val="en-CA"/>
        </w:rPr>
        <w:t xml:space="preserve">in the price of patented medicines in </w:t>
      </w:r>
      <w:r w:rsidR="002D51A4" w:rsidRPr="00E02273">
        <w:rPr>
          <w:lang w:val="en-CA"/>
        </w:rPr>
        <w:t xml:space="preserve">Canada, </w:t>
      </w:r>
      <w:r w:rsidRPr="00E02273">
        <w:rPr>
          <w:lang w:val="en-CA"/>
        </w:rPr>
        <w:t xml:space="preserve">irrespective of the </w:t>
      </w:r>
      <w:r w:rsidR="002D51A4" w:rsidRPr="00E02273">
        <w:rPr>
          <w:lang w:val="en-CA"/>
        </w:rPr>
        <w:t xml:space="preserve">international </w:t>
      </w:r>
      <w:r w:rsidRPr="00E02273">
        <w:rPr>
          <w:lang w:val="en-CA"/>
        </w:rPr>
        <w:t>market or any market factor</w:t>
      </w:r>
      <w:r w:rsidR="0048552B" w:rsidRPr="00E02273">
        <w:rPr>
          <w:lang w:val="en-CA"/>
        </w:rPr>
        <w:t xml:space="preserve">. In fact, only the affordability of the price is </w:t>
      </w:r>
      <w:r w:rsidR="002D51A4" w:rsidRPr="00E02273">
        <w:rPr>
          <w:lang w:val="en-CA"/>
        </w:rPr>
        <w:t>consid</w:t>
      </w:r>
      <w:r w:rsidR="0048552B" w:rsidRPr="00E02273">
        <w:rPr>
          <w:lang w:val="en-CA"/>
        </w:rPr>
        <w:t xml:space="preserve">ered in this regard. These new </w:t>
      </w:r>
      <w:r w:rsidR="002D51A4" w:rsidRPr="00E02273">
        <w:rPr>
          <w:lang w:val="en-CA"/>
        </w:rPr>
        <w:t>fact</w:t>
      </w:r>
      <w:r w:rsidR="0048552B" w:rsidRPr="00E02273">
        <w:rPr>
          <w:lang w:val="en-CA"/>
        </w:rPr>
        <w:t>o</w:t>
      </w:r>
      <w:r w:rsidR="002D51A4" w:rsidRPr="00E02273">
        <w:rPr>
          <w:lang w:val="en-CA"/>
        </w:rPr>
        <w:t xml:space="preserve">rs </w:t>
      </w:r>
      <w:r w:rsidR="0048552B" w:rsidRPr="00E02273">
        <w:rPr>
          <w:lang w:val="en-CA"/>
        </w:rPr>
        <w:t xml:space="preserve">are therefore used to </w:t>
      </w:r>
      <w:r w:rsidR="002D51A4" w:rsidRPr="00E02273">
        <w:rPr>
          <w:lang w:val="en-CA"/>
        </w:rPr>
        <w:t>fix</w:t>
      </w:r>
      <w:r w:rsidR="0048552B" w:rsidRPr="00E02273">
        <w:rPr>
          <w:lang w:val="en-CA"/>
        </w:rPr>
        <w:t xml:space="preserve"> a </w:t>
      </w:r>
      <w:r w:rsidR="00433184">
        <w:rPr>
          <w:lang w:val="en-CA"/>
        </w:rPr>
        <w:t>s</w:t>
      </w:r>
      <w:r w:rsidR="0048552B" w:rsidRPr="00E02273">
        <w:rPr>
          <w:lang w:val="en-CA"/>
        </w:rPr>
        <w:t xml:space="preserve">tate price. However, the </w:t>
      </w:r>
      <w:r w:rsidR="002D51A4" w:rsidRPr="00E02273">
        <w:rPr>
          <w:lang w:val="en-CA"/>
        </w:rPr>
        <w:t>imposition</w:t>
      </w:r>
      <w:r w:rsidR="0048552B" w:rsidRPr="00E02273">
        <w:rPr>
          <w:lang w:val="en-CA"/>
        </w:rPr>
        <w:t xml:space="preserve"> of a state price does not concern the regulation of</w:t>
      </w:r>
      <w:r w:rsidR="002D51A4" w:rsidRPr="00E02273">
        <w:rPr>
          <w:lang w:val="en-CA"/>
        </w:rPr>
        <w:t xml:space="preserve"> </w:t>
      </w:r>
      <w:r w:rsidR="0048552B" w:rsidRPr="00E02273">
        <w:rPr>
          <w:lang w:val="en-CA"/>
        </w:rPr>
        <w:t xml:space="preserve">the monopoly granted by </w:t>
      </w:r>
      <w:r w:rsidR="00433184">
        <w:rPr>
          <w:lang w:val="en-CA"/>
        </w:rPr>
        <w:t xml:space="preserve">the </w:t>
      </w:r>
      <w:r w:rsidR="0048552B" w:rsidRPr="00E02273">
        <w:rPr>
          <w:lang w:val="en-CA"/>
        </w:rPr>
        <w:t xml:space="preserve">patent. Rather, it </w:t>
      </w:r>
      <w:r w:rsidR="002D51A4" w:rsidRPr="00E02273">
        <w:rPr>
          <w:lang w:val="en-CA"/>
        </w:rPr>
        <w:t>concern</w:t>
      </w:r>
      <w:r w:rsidR="0048552B" w:rsidRPr="00E02273">
        <w:rPr>
          <w:lang w:val="en-CA"/>
        </w:rPr>
        <w:t xml:space="preserve">s the regulation of the market </w:t>
      </w:r>
      <w:r w:rsidR="0048552B" w:rsidRPr="00E02273">
        <w:rPr>
          <w:i/>
          <w:lang w:val="en-CA"/>
        </w:rPr>
        <w:t>per se</w:t>
      </w:r>
      <w:r w:rsidR="002D51A4" w:rsidRPr="00E02273">
        <w:rPr>
          <w:lang w:val="en-CA"/>
        </w:rPr>
        <w:t>.</w:t>
      </w:r>
    </w:p>
    <w:p w14:paraId="38CDF42D" w14:textId="3CA9ED53" w:rsidR="00B568AD" w:rsidRPr="00E02273" w:rsidRDefault="00984401" w:rsidP="00560BD2">
      <w:pPr>
        <w:pStyle w:val="Paragraphe"/>
        <w:tabs>
          <w:tab w:val="clear" w:pos="4973"/>
          <w:tab w:val="num" w:pos="709"/>
        </w:tabs>
        <w:spacing w:line="240" w:lineRule="auto"/>
        <w:ind w:left="0"/>
        <w:rPr>
          <w:lang w:val="en-CA"/>
        </w:rPr>
      </w:pPr>
      <w:r w:rsidRPr="00E02273">
        <w:rPr>
          <w:lang w:val="en-CA"/>
        </w:rPr>
        <w:lastRenderedPageBreak/>
        <w:t>It is worth repeating that these new factors will result in significant re</w:t>
      </w:r>
      <w:r w:rsidR="002D51A4" w:rsidRPr="00E02273">
        <w:rPr>
          <w:lang w:val="en-CA"/>
        </w:rPr>
        <w:t xml:space="preserve">ductions </w:t>
      </w:r>
      <w:r w:rsidRPr="00E02273">
        <w:rPr>
          <w:lang w:val="en-CA"/>
        </w:rPr>
        <w:t xml:space="preserve">to prices that have already been deemed not </w:t>
      </w:r>
      <w:r w:rsidR="002D51A4" w:rsidRPr="00E02273">
        <w:rPr>
          <w:lang w:val="en-CA"/>
        </w:rPr>
        <w:t>excessi</w:t>
      </w:r>
      <w:r w:rsidR="00D81D36" w:rsidRPr="00E02273">
        <w:rPr>
          <w:lang w:val="en-CA"/>
        </w:rPr>
        <w:t>ve</w:t>
      </w:r>
      <w:r w:rsidR="002D51A4" w:rsidRPr="00E02273">
        <w:rPr>
          <w:lang w:val="en-CA"/>
        </w:rPr>
        <w:t xml:space="preserve"> </w:t>
      </w:r>
      <w:r w:rsidR="00D81D36" w:rsidRPr="00E02273">
        <w:rPr>
          <w:lang w:val="en-CA"/>
        </w:rPr>
        <w:t xml:space="preserve">on the basis of the </w:t>
      </w:r>
      <w:r w:rsidR="002D51A4" w:rsidRPr="00E02273">
        <w:rPr>
          <w:lang w:val="en-CA"/>
        </w:rPr>
        <w:t>fact</w:t>
      </w:r>
      <w:r w:rsidR="00D81D36" w:rsidRPr="00E02273">
        <w:rPr>
          <w:lang w:val="en-CA"/>
        </w:rPr>
        <w:t>or</w:t>
      </w:r>
      <w:r w:rsidR="002D51A4" w:rsidRPr="00E02273">
        <w:rPr>
          <w:lang w:val="en-CA"/>
        </w:rPr>
        <w:t xml:space="preserve">s </w:t>
      </w:r>
      <w:r w:rsidR="00D81D36" w:rsidRPr="00E02273">
        <w:rPr>
          <w:lang w:val="en-CA"/>
        </w:rPr>
        <w:t xml:space="preserve">listed in the </w:t>
      </w:r>
      <w:r w:rsidR="00D81D36" w:rsidRPr="00E02273">
        <w:rPr>
          <w:i/>
          <w:lang w:val="en-CA"/>
        </w:rPr>
        <w:t xml:space="preserve">Patent Act </w:t>
      </w:r>
      <w:r w:rsidR="00D81D36" w:rsidRPr="00E02273">
        <w:rPr>
          <w:lang w:val="en-CA"/>
        </w:rPr>
        <w:t xml:space="preserve">itself. Therefore, the </w:t>
      </w:r>
      <w:r w:rsidR="002D51A4" w:rsidRPr="00E02273">
        <w:rPr>
          <w:lang w:val="en-CA"/>
        </w:rPr>
        <w:t>objecti</w:t>
      </w:r>
      <w:r w:rsidR="00D81D36" w:rsidRPr="00E02273">
        <w:rPr>
          <w:lang w:val="en-CA"/>
        </w:rPr>
        <w:t>ve sought by introdu</w:t>
      </w:r>
      <w:r w:rsidR="009E2392" w:rsidRPr="00E02273">
        <w:rPr>
          <w:lang w:val="en-CA"/>
        </w:rPr>
        <w:t>c</w:t>
      </w:r>
      <w:r w:rsidR="00D81D36" w:rsidRPr="00E02273">
        <w:rPr>
          <w:lang w:val="en-CA"/>
        </w:rPr>
        <w:t xml:space="preserve">ing these new </w:t>
      </w:r>
      <w:r w:rsidR="00433184">
        <w:rPr>
          <w:lang w:val="en-CA"/>
        </w:rPr>
        <w:t xml:space="preserve">regulatory </w:t>
      </w:r>
      <w:r w:rsidR="00D81D36" w:rsidRPr="00E02273">
        <w:rPr>
          <w:lang w:val="en-CA"/>
        </w:rPr>
        <w:t xml:space="preserve">factors is not to control </w:t>
      </w:r>
      <w:r w:rsidR="00C93DAE">
        <w:rPr>
          <w:lang w:val="en-CA"/>
        </w:rPr>
        <w:t xml:space="preserve">the </w:t>
      </w:r>
      <w:r w:rsidR="00D81D36" w:rsidRPr="00E02273">
        <w:rPr>
          <w:lang w:val="en-CA"/>
        </w:rPr>
        <w:t xml:space="preserve">effect on prices of the </w:t>
      </w:r>
      <w:r w:rsidR="002D51A4" w:rsidRPr="00E02273">
        <w:rPr>
          <w:lang w:val="en-CA"/>
        </w:rPr>
        <w:t>monopol</w:t>
      </w:r>
      <w:r w:rsidR="00D81D36" w:rsidRPr="00E02273">
        <w:rPr>
          <w:lang w:val="en-CA"/>
        </w:rPr>
        <w:t xml:space="preserve">y granted by </w:t>
      </w:r>
      <w:r w:rsidR="00170BFF">
        <w:rPr>
          <w:lang w:val="en-CA"/>
        </w:rPr>
        <w:t xml:space="preserve">the </w:t>
      </w:r>
      <w:r w:rsidR="00D81D36" w:rsidRPr="00E02273">
        <w:rPr>
          <w:lang w:val="en-CA"/>
        </w:rPr>
        <w:t xml:space="preserve">patent, but rather to reduce the price of patented medicines so that they are more affordable, </w:t>
      </w:r>
      <w:r w:rsidR="008963F0" w:rsidRPr="00E02273">
        <w:rPr>
          <w:lang w:val="en-CA"/>
        </w:rPr>
        <w:t>nothing more. Both the</w:t>
      </w:r>
      <w:r w:rsidR="00D42E2A" w:rsidRPr="00E02273">
        <w:rPr>
          <w:lang w:val="en-CA"/>
        </w:rPr>
        <w:t xml:space="preserve"> Regulatory Impact Analysis Statement and the Board’s new guidelines are clear </w:t>
      </w:r>
      <w:r w:rsidR="002D51A4" w:rsidRPr="00E02273">
        <w:rPr>
          <w:lang w:val="en-CA"/>
        </w:rPr>
        <w:t>in</w:t>
      </w:r>
      <w:r w:rsidR="00D42E2A" w:rsidRPr="00E02273">
        <w:rPr>
          <w:lang w:val="en-CA"/>
        </w:rPr>
        <w:t xml:space="preserve"> </w:t>
      </w:r>
      <w:r w:rsidR="002D51A4" w:rsidRPr="00E02273">
        <w:rPr>
          <w:lang w:val="en-CA"/>
        </w:rPr>
        <w:t>this</w:t>
      </w:r>
      <w:r w:rsidR="00D42E2A" w:rsidRPr="00E02273">
        <w:rPr>
          <w:lang w:val="en-CA"/>
        </w:rPr>
        <w:t xml:space="preserve"> </w:t>
      </w:r>
      <w:r w:rsidR="002D51A4" w:rsidRPr="00E02273">
        <w:rPr>
          <w:lang w:val="en-CA"/>
        </w:rPr>
        <w:t>respect.</w:t>
      </w:r>
    </w:p>
    <w:p w14:paraId="501D3897" w14:textId="51E98342" w:rsidR="00B568AD" w:rsidRPr="00E02273" w:rsidRDefault="002C7BE4" w:rsidP="00560BD2">
      <w:pPr>
        <w:pStyle w:val="Paragraphe"/>
        <w:tabs>
          <w:tab w:val="clear" w:pos="4973"/>
          <w:tab w:val="num" w:pos="709"/>
        </w:tabs>
        <w:spacing w:line="240" w:lineRule="auto"/>
        <w:ind w:left="0"/>
        <w:rPr>
          <w:lang w:val="en-CA"/>
        </w:rPr>
      </w:pPr>
      <w:r w:rsidRPr="00E02273">
        <w:rPr>
          <w:lang w:val="en-CA"/>
        </w:rPr>
        <w:t xml:space="preserve">As the </w:t>
      </w:r>
      <w:r w:rsidR="002D51A4" w:rsidRPr="00E02273">
        <w:rPr>
          <w:lang w:val="en-CA"/>
        </w:rPr>
        <w:t>trial</w:t>
      </w:r>
      <w:r w:rsidRPr="00E02273">
        <w:rPr>
          <w:lang w:val="en-CA"/>
        </w:rPr>
        <w:t xml:space="preserve"> </w:t>
      </w:r>
      <w:r w:rsidR="002D51A4" w:rsidRPr="00E02273">
        <w:rPr>
          <w:lang w:val="en-CA"/>
        </w:rPr>
        <w:t>judge</w:t>
      </w:r>
      <w:r w:rsidRPr="00E02273">
        <w:rPr>
          <w:lang w:val="en-CA"/>
        </w:rPr>
        <w:t xml:space="preserve"> </w:t>
      </w:r>
      <w:r w:rsidR="002D51A4" w:rsidRPr="00E02273">
        <w:rPr>
          <w:lang w:val="en-CA"/>
        </w:rPr>
        <w:t>conclu</w:t>
      </w:r>
      <w:r w:rsidRPr="00E02273">
        <w:rPr>
          <w:lang w:val="en-CA"/>
        </w:rPr>
        <w:t>ded</w:t>
      </w:r>
      <w:r w:rsidR="002D51A4" w:rsidRPr="00E02273">
        <w:rPr>
          <w:lang w:val="en-CA"/>
        </w:rPr>
        <w:t xml:space="preserve">, </w:t>
      </w:r>
      <w:r w:rsidRPr="00E02273">
        <w:rPr>
          <w:lang w:val="en-CA"/>
        </w:rPr>
        <w:t xml:space="preserve">and rightly so, if it were necessary to take into account the Board’s new </w:t>
      </w:r>
      <w:r w:rsidR="002D51A4" w:rsidRPr="00E02273">
        <w:rPr>
          <w:lang w:val="en-CA"/>
        </w:rPr>
        <w:t>guidelines,</w:t>
      </w:r>
      <w:r w:rsidR="00841483" w:rsidRPr="00E02273">
        <w:rPr>
          <w:lang w:val="en-CA"/>
        </w:rPr>
        <w:t xml:space="preserve"> the new </w:t>
      </w:r>
      <w:r w:rsidR="002D51A4" w:rsidRPr="00E02273">
        <w:rPr>
          <w:lang w:val="en-CA"/>
        </w:rPr>
        <w:t>fact</w:t>
      </w:r>
      <w:r w:rsidR="00841483" w:rsidRPr="00E02273">
        <w:rPr>
          <w:lang w:val="en-CA"/>
        </w:rPr>
        <w:t xml:space="preserve">ors </w:t>
      </w:r>
      <w:r w:rsidR="00433184">
        <w:rPr>
          <w:lang w:val="en-CA"/>
        </w:rPr>
        <w:t>prescribed</w:t>
      </w:r>
      <w:r w:rsidR="00841483" w:rsidRPr="00E02273">
        <w:rPr>
          <w:lang w:val="en-CA"/>
        </w:rPr>
        <w:t xml:space="preserve"> in the </w:t>
      </w:r>
      <w:r w:rsidR="00E06440" w:rsidRPr="00E02273">
        <w:rPr>
          <w:i/>
          <w:lang w:val="en-CA"/>
        </w:rPr>
        <w:t>Regulations</w:t>
      </w:r>
      <w:r w:rsidR="00841483" w:rsidRPr="00E02273">
        <w:rPr>
          <w:lang w:val="en-CA"/>
        </w:rPr>
        <w:t xml:space="preserve"> would be unconstitutional because they [</w:t>
      </w:r>
      <w:r w:rsidR="00841483" w:rsidRPr="00E02273">
        <w:rPr>
          <w:smallCaps/>
          <w:lang w:val="en-CA"/>
        </w:rPr>
        <w:t>translation</w:t>
      </w:r>
      <w:r w:rsidR="00841483" w:rsidRPr="00E02273">
        <w:rPr>
          <w:lang w:val="en-CA"/>
        </w:rPr>
        <w:t>] “raise concerns that in implementing the Amendments, the Board is moving away from the control of excessive prices to embrace the outright control of prices (a power it does not have)”.</w:t>
      </w:r>
      <w:r w:rsidR="002D51A4" w:rsidRPr="00E02273">
        <w:rPr>
          <w:rStyle w:val="Appelnotedebasdep"/>
          <w:lang w:val="en-CA"/>
        </w:rPr>
        <w:footnoteReference w:id="207"/>
      </w:r>
      <w:r w:rsidR="002D51A4" w:rsidRPr="00E02273">
        <w:rPr>
          <w:lang w:val="en-CA"/>
        </w:rPr>
        <w:t xml:space="preserve"> </w:t>
      </w:r>
    </w:p>
    <w:p w14:paraId="0C10D552" w14:textId="67BD6D25" w:rsidR="00B568AD" w:rsidRPr="00E02273" w:rsidRDefault="00C4224B" w:rsidP="00560BD2">
      <w:pPr>
        <w:pStyle w:val="Paragraphe"/>
        <w:tabs>
          <w:tab w:val="clear" w:pos="4973"/>
          <w:tab w:val="num" w:pos="709"/>
        </w:tabs>
        <w:spacing w:line="240" w:lineRule="auto"/>
        <w:ind w:left="0"/>
        <w:rPr>
          <w:lang w:val="en-CA"/>
        </w:rPr>
      </w:pPr>
      <w:r w:rsidRPr="00E02273">
        <w:rPr>
          <w:lang w:val="en-CA"/>
        </w:rPr>
        <w:t xml:space="preserve">Although the </w:t>
      </w:r>
      <w:r w:rsidR="002D51A4" w:rsidRPr="00E02273">
        <w:rPr>
          <w:lang w:val="en-CA"/>
        </w:rPr>
        <w:t>trial</w:t>
      </w:r>
      <w:r w:rsidRPr="00E02273">
        <w:rPr>
          <w:lang w:val="en-CA"/>
        </w:rPr>
        <w:t xml:space="preserve"> judge </w:t>
      </w:r>
      <w:r w:rsidR="002D51A4" w:rsidRPr="00E02273">
        <w:rPr>
          <w:lang w:val="en-CA"/>
        </w:rPr>
        <w:t>reco</w:t>
      </w:r>
      <w:r w:rsidR="007F6607" w:rsidRPr="00E02273">
        <w:rPr>
          <w:lang w:val="en-CA"/>
        </w:rPr>
        <w:t>gnized the unc</w:t>
      </w:r>
      <w:r w:rsidR="002D51A4" w:rsidRPr="00E02273">
        <w:rPr>
          <w:lang w:val="en-CA"/>
        </w:rPr>
        <w:t>onstitution</w:t>
      </w:r>
      <w:r w:rsidR="007F6607" w:rsidRPr="00E02273">
        <w:rPr>
          <w:lang w:val="en-CA"/>
        </w:rPr>
        <w:t>a</w:t>
      </w:r>
      <w:r w:rsidR="002D51A4" w:rsidRPr="00E02273">
        <w:rPr>
          <w:lang w:val="en-CA"/>
        </w:rPr>
        <w:t>l</w:t>
      </w:r>
      <w:r w:rsidR="00433184">
        <w:rPr>
          <w:lang w:val="en-CA"/>
        </w:rPr>
        <w:t>ity</w:t>
      </w:r>
      <w:r w:rsidR="007F6607" w:rsidRPr="00E02273">
        <w:rPr>
          <w:lang w:val="en-CA"/>
        </w:rPr>
        <w:t xml:space="preserve"> of the arbitrary price reductions of </w:t>
      </w:r>
      <w:r w:rsidR="002D51A4" w:rsidRPr="00E02273">
        <w:rPr>
          <w:lang w:val="en-CA"/>
        </w:rPr>
        <w:t>20%</w:t>
      </w:r>
      <w:r w:rsidR="007F6607" w:rsidRPr="00E02273">
        <w:rPr>
          <w:lang w:val="en-CA"/>
        </w:rPr>
        <w:t xml:space="preserve"> to</w:t>
      </w:r>
      <w:r w:rsidR="002D51A4" w:rsidRPr="00E02273">
        <w:rPr>
          <w:lang w:val="en-CA"/>
        </w:rPr>
        <w:t xml:space="preserve"> 50%</w:t>
      </w:r>
      <w:r w:rsidR="007F6607" w:rsidRPr="00E02273">
        <w:rPr>
          <w:lang w:val="en-CA"/>
        </w:rPr>
        <w:t xml:space="preserve"> in some cases</w:t>
      </w:r>
      <w:r w:rsidR="00C93DAE">
        <w:rPr>
          <w:lang w:val="en-CA"/>
        </w:rPr>
        <w:t>,</w:t>
      </w:r>
      <w:r w:rsidR="007F6607" w:rsidRPr="00E02273">
        <w:rPr>
          <w:lang w:val="en-CA"/>
        </w:rPr>
        <w:t xml:space="preserve"> and </w:t>
      </w:r>
      <w:r w:rsidR="002D51A4" w:rsidRPr="00E02273">
        <w:rPr>
          <w:lang w:val="en-CA"/>
        </w:rPr>
        <w:t xml:space="preserve">25% </w:t>
      </w:r>
      <w:r w:rsidR="007F6607" w:rsidRPr="00E02273">
        <w:rPr>
          <w:lang w:val="en-CA"/>
        </w:rPr>
        <w:t>to</w:t>
      </w:r>
      <w:r w:rsidR="002D51A4" w:rsidRPr="00E02273">
        <w:rPr>
          <w:lang w:val="en-CA"/>
        </w:rPr>
        <w:t xml:space="preserve"> 35%</w:t>
      </w:r>
      <w:r w:rsidR="007F6607" w:rsidRPr="00E02273">
        <w:rPr>
          <w:lang w:val="en-CA"/>
        </w:rPr>
        <w:t xml:space="preserve"> in others, as a result of the direct </w:t>
      </w:r>
      <w:r w:rsidR="002D51A4" w:rsidRPr="00E02273">
        <w:rPr>
          <w:lang w:val="en-CA"/>
        </w:rPr>
        <w:t xml:space="preserve">application </w:t>
      </w:r>
      <w:r w:rsidR="007F6607" w:rsidRPr="00E02273">
        <w:rPr>
          <w:lang w:val="en-CA"/>
        </w:rPr>
        <w:t xml:space="preserve">of the new regulatory factors, she stated that she was </w:t>
      </w:r>
      <w:r w:rsidR="00433184">
        <w:rPr>
          <w:lang w:val="en-CA"/>
        </w:rPr>
        <w:t xml:space="preserve">nonetheless </w:t>
      </w:r>
      <w:r w:rsidR="007F6607" w:rsidRPr="00E02273">
        <w:rPr>
          <w:lang w:val="en-CA"/>
        </w:rPr>
        <w:t>of the view that these new factors were not</w:t>
      </w:r>
      <w:r w:rsidR="00A4343E" w:rsidRPr="00E02273">
        <w:rPr>
          <w:lang w:val="en-CA"/>
        </w:rPr>
        <w:t xml:space="preserve">, in themselves, the </w:t>
      </w:r>
      <w:r w:rsidR="002D51A4" w:rsidRPr="00E02273">
        <w:rPr>
          <w:lang w:val="en-CA"/>
        </w:rPr>
        <w:t xml:space="preserve">source </w:t>
      </w:r>
      <w:r w:rsidR="00A4343E" w:rsidRPr="00E02273">
        <w:rPr>
          <w:lang w:val="en-CA"/>
        </w:rPr>
        <w:t>of the uncon</w:t>
      </w:r>
      <w:r w:rsidR="002D51A4" w:rsidRPr="00E02273">
        <w:rPr>
          <w:lang w:val="en-CA"/>
        </w:rPr>
        <w:t>stitution</w:t>
      </w:r>
      <w:r w:rsidR="00A4343E" w:rsidRPr="00E02273">
        <w:rPr>
          <w:lang w:val="en-CA"/>
        </w:rPr>
        <w:t>ality</w:t>
      </w:r>
      <w:r w:rsidR="002D51A4" w:rsidRPr="00E02273">
        <w:rPr>
          <w:lang w:val="en-CA"/>
        </w:rPr>
        <w:t>.</w:t>
      </w:r>
      <w:r w:rsidR="00A4343E" w:rsidRPr="00E02273">
        <w:rPr>
          <w:lang w:val="en-CA"/>
        </w:rPr>
        <w:t xml:space="preserve"> In her view, the un</w:t>
      </w:r>
      <w:r w:rsidR="002D51A4" w:rsidRPr="00E02273">
        <w:rPr>
          <w:lang w:val="en-CA"/>
        </w:rPr>
        <w:t>constitution</w:t>
      </w:r>
      <w:r w:rsidR="00A4343E" w:rsidRPr="00E02273">
        <w:rPr>
          <w:lang w:val="en-CA"/>
        </w:rPr>
        <w:t xml:space="preserve">ality is instead a result of the </w:t>
      </w:r>
      <w:r w:rsidR="002D51A4" w:rsidRPr="00E02273">
        <w:rPr>
          <w:lang w:val="en-CA"/>
        </w:rPr>
        <w:t>implementation</w:t>
      </w:r>
      <w:r w:rsidR="00A4343E" w:rsidRPr="00E02273">
        <w:rPr>
          <w:lang w:val="en-CA"/>
        </w:rPr>
        <w:t xml:space="preserve"> of the new </w:t>
      </w:r>
      <w:r w:rsidR="002D51A4" w:rsidRPr="00E02273">
        <w:rPr>
          <w:lang w:val="en-CA"/>
        </w:rPr>
        <w:t>fact</w:t>
      </w:r>
      <w:r w:rsidR="00A4343E" w:rsidRPr="00E02273">
        <w:rPr>
          <w:lang w:val="en-CA"/>
        </w:rPr>
        <w:t>ors p</w:t>
      </w:r>
      <w:r w:rsidR="002D51A4" w:rsidRPr="00E02273">
        <w:rPr>
          <w:lang w:val="en-CA"/>
        </w:rPr>
        <w:t>ropose</w:t>
      </w:r>
      <w:r w:rsidR="00A4343E" w:rsidRPr="00E02273">
        <w:rPr>
          <w:lang w:val="en-CA"/>
        </w:rPr>
        <w:t xml:space="preserve">d by the Board in its new </w:t>
      </w:r>
      <w:r w:rsidR="002D51A4" w:rsidRPr="00E02273">
        <w:rPr>
          <w:lang w:val="en-CA"/>
        </w:rPr>
        <w:t>guidelines,</w:t>
      </w:r>
      <w:r w:rsidR="00A4343E" w:rsidRPr="00E02273">
        <w:rPr>
          <w:lang w:val="en-CA"/>
        </w:rPr>
        <w:t xml:space="preserve"> which, however, </w:t>
      </w:r>
      <w:r w:rsidR="00721026">
        <w:rPr>
          <w:lang w:val="en-CA"/>
        </w:rPr>
        <w:t>we</w:t>
      </w:r>
      <w:r w:rsidR="00A4343E" w:rsidRPr="00E02273">
        <w:rPr>
          <w:lang w:val="en-CA"/>
        </w:rPr>
        <w:t xml:space="preserve">re irrelevant to the </w:t>
      </w:r>
      <w:r w:rsidR="002D51A4" w:rsidRPr="00E02273">
        <w:rPr>
          <w:lang w:val="en-CA"/>
        </w:rPr>
        <w:t>constitution</w:t>
      </w:r>
      <w:r w:rsidR="00A4343E" w:rsidRPr="00E02273">
        <w:rPr>
          <w:lang w:val="en-CA"/>
        </w:rPr>
        <w:t>a</w:t>
      </w:r>
      <w:r w:rsidR="002D51A4" w:rsidRPr="00E02273">
        <w:rPr>
          <w:lang w:val="en-CA"/>
        </w:rPr>
        <w:t>l</w:t>
      </w:r>
      <w:r w:rsidR="00A4343E" w:rsidRPr="00E02273">
        <w:rPr>
          <w:lang w:val="en-CA"/>
        </w:rPr>
        <w:t xml:space="preserve"> analysis. For the reasons expressed above, it is not possible to simply </w:t>
      </w:r>
      <w:r w:rsidR="00721026">
        <w:rPr>
          <w:lang w:val="en-CA"/>
        </w:rPr>
        <w:t xml:space="preserve">exclude </w:t>
      </w:r>
      <w:r w:rsidR="00A4343E" w:rsidRPr="00E02273">
        <w:rPr>
          <w:lang w:val="en-CA"/>
        </w:rPr>
        <w:t xml:space="preserve">the new </w:t>
      </w:r>
      <w:r w:rsidR="002D51A4" w:rsidRPr="00E02273">
        <w:rPr>
          <w:lang w:val="en-CA"/>
        </w:rPr>
        <w:t>guidelines</w:t>
      </w:r>
      <w:r w:rsidR="00A4343E" w:rsidRPr="00E02273">
        <w:rPr>
          <w:lang w:val="en-CA"/>
        </w:rPr>
        <w:t xml:space="preserve"> from the </w:t>
      </w:r>
      <w:r w:rsidR="002D51A4" w:rsidRPr="00E02273">
        <w:rPr>
          <w:lang w:val="en-CA"/>
        </w:rPr>
        <w:t>constitution</w:t>
      </w:r>
      <w:r w:rsidR="00A4343E" w:rsidRPr="00E02273">
        <w:rPr>
          <w:lang w:val="en-CA"/>
        </w:rPr>
        <w:t>a</w:t>
      </w:r>
      <w:r w:rsidR="002D51A4" w:rsidRPr="00E02273">
        <w:rPr>
          <w:lang w:val="en-CA"/>
        </w:rPr>
        <w:t>l</w:t>
      </w:r>
      <w:r w:rsidR="00A4343E" w:rsidRPr="00E02273">
        <w:rPr>
          <w:lang w:val="en-CA"/>
        </w:rPr>
        <w:t xml:space="preserve"> analysis, as they are </w:t>
      </w:r>
      <w:r w:rsidR="00721026">
        <w:rPr>
          <w:lang w:val="en-CA"/>
        </w:rPr>
        <w:t>unquestionably</w:t>
      </w:r>
      <w:r w:rsidR="00721026" w:rsidRPr="00E02273">
        <w:rPr>
          <w:lang w:val="en-CA"/>
        </w:rPr>
        <w:t xml:space="preserve"> </w:t>
      </w:r>
      <w:r w:rsidR="00FE20F7" w:rsidRPr="00E02273">
        <w:rPr>
          <w:lang w:val="en-CA"/>
        </w:rPr>
        <w:t>connected</w:t>
      </w:r>
      <w:r w:rsidR="002D51A4" w:rsidRPr="00E02273">
        <w:rPr>
          <w:lang w:val="en-CA"/>
        </w:rPr>
        <w:t>.</w:t>
      </w:r>
    </w:p>
    <w:p w14:paraId="7CD463CE" w14:textId="747AE2CE" w:rsidR="00B568AD" w:rsidRPr="00E02273" w:rsidRDefault="00655395" w:rsidP="00560BD2">
      <w:pPr>
        <w:pStyle w:val="Paragraphe"/>
        <w:tabs>
          <w:tab w:val="clear" w:pos="4973"/>
          <w:tab w:val="num" w:pos="709"/>
        </w:tabs>
        <w:spacing w:line="240" w:lineRule="auto"/>
        <w:ind w:left="0"/>
        <w:rPr>
          <w:lang w:val="en-CA"/>
        </w:rPr>
      </w:pPr>
      <w:r w:rsidRPr="00E02273">
        <w:rPr>
          <w:lang w:val="en-CA"/>
        </w:rPr>
        <w:t xml:space="preserve">Indeed, the </w:t>
      </w:r>
      <w:r w:rsidR="002D51A4" w:rsidRPr="00E02273">
        <w:rPr>
          <w:lang w:val="en-CA"/>
        </w:rPr>
        <w:t>trial</w:t>
      </w:r>
      <w:r w:rsidRPr="00E02273">
        <w:rPr>
          <w:lang w:val="en-CA"/>
        </w:rPr>
        <w:t xml:space="preserve"> </w:t>
      </w:r>
      <w:r w:rsidR="002D51A4" w:rsidRPr="00E02273">
        <w:rPr>
          <w:lang w:val="en-CA"/>
        </w:rPr>
        <w:t>judge</w:t>
      </w:r>
      <w:r w:rsidRPr="00E02273">
        <w:rPr>
          <w:lang w:val="en-CA"/>
        </w:rPr>
        <w:t xml:space="preserve">’s approach does not take into account the fact that the very reason the new </w:t>
      </w:r>
      <w:r w:rsidR="00272943" w:rsidRPr="00E02273">
        <w:rPr>
          <w:lang w:val="en-CA"/>
        </w:rPr>
        <w:t xml:space="preserve">factors </w:t>
      </w:r>
      <w:r w:rsidRPr="00E02273">
        <w:rPr>
          <w:lang w:val="en-CA"/>
        </w:rPr>
        <w:t>were</w:t>
      </w:r>
      <w:r w:rsidR="002D51A4" w:rsidRPr="00E02273">
        <w:rPr>
          <w:lang w:val="en-CA"/>
        </w:rPr>
        <w:t xml:space="preserve"> introdu</w:t>
      </w:r>
      <w:r w:rsidRPr="00E02273">
        <w:rPr>
          <w:lang w:val="en-CA"/>
        </w:rPr>
        <w:t xml:space="preserve">ced into the </w:t>
      </w:r>
      <w:r w:rsidR="00E06440" w:rsidRPr="00E02273">
        <w:rPr>
          <w:i/>
          <w:lang w:val="en-CA"/>
        </w:rPr>
        <w:t>Regulations</w:t>
      </w:r>
      <w:r w:rsidRPr="00E02273">
        <w:rPr>
          <w:lang w:val="en-CA"/>
        </w:rPr>
        <w:t xml:space="preserve"> was precisely to impose arbitrary price re</w:t>
      </w:r>
      <w:r w:rsidR="002D51A4" w:rsidRPr="00E02273">
        <w:rPr>
          <w:lang w:val="en-CA"/>
        </w:rPr>
        <w:t>ductions</w:t>
      </w:r>
      <w:r w:rsidRPr="00E02273">
        <w:rPr>
          <w:lang w:val="en-CA"/>
        </w:rPr>
        <w:t xml:space="preserve">. The </w:t>
      </w:r>
      <w:r w:rsidR="00555BD1" w:rsidRPr="00E02273">
        <w:rPr>
          <w:lang w:val="en-CA"/>
        </w:rPr>
        <w:t xml:space="preserve">Impact Analysis Statement </w:t>
      </w:r>
      <w:r w:rsidR="00272943" w:rsidRPr="00E02273">
        <w:rPr>
          <w:lang w:val="en-CA"/>
        </w:rPr>
        <w:t xml:space="preserve">concerning the new </w:t>
      </w:r>
      <w:r w:rsidR="00272943" w:rsidRPr="00E02273">
        <w:rPr>
          <w:i/>
          <w:lang w:val="en-CA"/>
        </w:rPr>
        <w:t>Regulations</w:t>
      </w:r>
      <w:r w:rsidR="00E06440" w:rsidRPr="00E02273">
        <w:rPr>
          <w:i/>
          <w:lang w:val="en-CA"/>
        </w:rPr>
        <w:t xml:space="preserve"> </w:t>
      </w:r>
      <w:r w:rsidR="00E06440" w:rsidRPr="00E02273">
        <w:rPr>
          <w:lang w:val="en-CA"/>
        </w:rPr>
        <w:t xml:space="preserve">is clear </w:t>
      </w:r>
      <w:r w:rsidR="002D51A4" w:rsidRPr="00E02273">
        <w:rPr>
          <w:lang w:val="en-CA"/>
        </w:rPr>
        <w:t>in</w:t>
      </w:r>
      <w:r w:rsidR="00E06440" w:rsidRPr="00E02273">
        <w:rPr>
          <w:lang w:val="en-CA"/>
        </w:rPr>
        <w:t xml:space="preserve"> </w:t>
      </w:r>
      <w:r w:rsidR="002D51A4" w:rsidRPr="00E02273">
        <w:rPr>
          <w:lang w:val="en-CA"/>
        </w:rPr>
        <w:t>this</w:t>
      </w:r>
      <w:r w:rsidR="00E06440" w:rsidRPr="00E02273">
        <w:rPr>
          <w:lang w:val="en-CA"/>
        </w:rPr>
        <w:t xml:space="preserve"> </w:t>
      </w:r>
      <w:r w:rsidR="002D51A4" w:rsidRPr="00E02273">
        <w:rPr>
          <w:lang w:val="en-CA"/>
        </w:rPr>
        <w:t>respect</w:t>
      </w:r>
      <w:r w:rsidR="00E06440" w:rsidRPr="00E02273">
        <w:rPr>
          <w:lang w:val="en-CA"/>
        </w:rPr>
        <w:t>:</w:t>
      </w:r>
      <w:r w:rsidR="002D51A4" w:rsidRPr="00E02273">
        <w:rPr>
          <w:rStyle w:val="Appelnotedebasdep"/>
          <w:lang w:val="en-CA"/>
        </w:rPr>
        <w:footnoteReference w:id="208"/>
      </w:r>
    </w:p>
    <w:p w14:paraId="7B05DECD" w14:textId="05927DFF" w:rsidR="00B568AD" w:rsidRPr="00E02273" w:rsidRDefault="00735836" w:rsidP="00B568AD">
      <w:pPr>
        <w:pStyle w:val="Citationenretrait"/>
        <w:spacing w:line="240" w:lineRule="auto"/>
        <w:rPr>
          <w:lang w:val="en-CA"/>
        </w:rPr>
      </w:pPr>
      <w:r w:rsidRPr="00E02273">
        <w:rPr>
          <w:lang w:val="en-CA"/>
        </w:rPr>
        <w:t>The new price regulatory factors are expected to lower patented medicine spending by $3.8 billion …</w:t>
      </w:r>
    </w:p>
    <w:p w14:paraId="042B68D2" w14:textId="1DF86951" w:rsidR="00735836" w:rsidRPr="00E02273" w:rsidRDefault="00735836" w:rsidP="00B568AD">
      <w:pPr>
        <w:pStyle w:val="Citationenretrait"/>
        <w:spacing w:line="240" w:lineRule="auto"/>
        <w:rPr>
          <w:lang w:val="en-CA"/>
        </w:rPr>
      </w:pPr>
      <w:r w:rsidRPr="00E02273">
        <w:rPr>
          <w:lang w:val="en-CA"/>
        </w:rPr>
        <w:t xml:space="preserve">In calculating these benefits, only new high-priority medicines were assessed against the new price regulatory factors. </w:t>
      </w:r>
      <w:r w:rsidRPr="00E02273">
        <w:rPr>
          <w:u w:val="single"/>
          <w:lang w:val="en-CA"/>
        </w:rPr>
        <w:t>The application of the new factors meant that the price of new high-priority medicines was reduced by 40% on average relative to the baseline forecasts</w:t>
      </w:r>
      <w:r w:rsidRPr="00E02273">
        <w:rPr>
          <w:lang w:val="en-CA"/>
        </w:rPr>
        <w:t xml:space="preserve">. This would lead to a 5.4% reduction in projected patented medicine revenues by year 10. </w:t>
      </w:r>
    </w:p>
    <w:p w14:paraId="0BB5681B" w14:textId="77777777" w:rsidR="00735836" w:rsidRPr="00E02273" w:rsidRDefault="00735836" w:rsidP="00B568AD">
      <w:pPr>
        <w:pStyle w:val="Citationenretrait"/>
        <w:spacing w:line="240" w:lineRule="auto"/>
        <w:rPr>
          <w:lang w:val="en-CA"/>
        </w:rPr>
      </w:pPr>
      <w:r w:rsidRPr="00E02273">
        <w:rPr>
          <w:lang w:val="en-CA"/>
        </w:rPr>
        <w:t xml:space="preserve">The 40% average reduction in price for high-priority medicines assumes that the PMPRB would apply a $50,000 cost-per-QALY threshold for medicines for standard diseases (including cancer), a $150,000 threshold for medicines for rare diseases, and a $35,000 threshold for medicines with a high-prevalence </w:t>
      </w:r>
      <w:r w:rsidRPr="00E02273">
        <w:rPr>
          <w:lang w:val="en-CA"/>
        </w:rPr>
        <w:lastRenderedPageBreak/>
        <w:t xml:space="preserve">population. </w:t>
      </w:r>
      <w:r w:rsidRPr="00E02273">
        <w:rPr>
          <w:u w:val="single"/>
          <w:lang w:val="en-CA"/>
        </w:rPr>
        <w:t>The 40% impact was calculated following the application of anticipatory Guidelines’ tests on a basket of 70 medicines that were launched in Canada between 2010–2015 and were used as a proxy for high-priority medicines. The 40% reduction represents an average across all 70 medicines, which was then projected forward as the necessary reduction for all new high-priority medicines that are expected to be sold in Canada for the first 10 years after the Amendments come-into-force</w:t>
      </w:r>
      <w:r w:rsidRPr="00E02273">
        <w:rPr>
          <w:lang w:val="en-CA"/>
        </w:rPr>
        <w:t xml:space="preserve">. </w:t>
      </w:r>
    </w:p>
    <w:p w14:paraId="30A3C164" w14:textId="00FC3F4F" w:rsidR="00B568AD" w:rsidRPr="00E02273" w:rsidRDefault="002D51A4" w:rsidP="00B568AD">
      <w:pPr>
        <w:pStyle w:val="Citationenretrait"/>
        <w:spacing w:line="240" w:lineRule="auto"/>
        <w:jc w:val="right"/>
        <w:rPr>
          <w:lang w:val="en-CA"/>
        </w:rPr>
      </w:pPr>
      <w:r w:rsidRPr="00E02273">
        <w:rPr>
          <w:u w:val="single"/>
          <w:lang w:val="en-CA"/>
        </w:rPr>
        <w:t>[</w:t>
      </w:r>
      <w:r w:rsidRPr="00E02273">
        <w:rPr>
          <w:lang w:val="en-CA"/>
        </w:rPr>
        <w:t>Emphasis</w:t>
      </w:r>
      <w:r w:rsidR="00735836" w:rsidRPr="00E02273">
        <w:rPr>
          <w:lang w:val="en-CA"/>
        </w:rPr>
        <w:t xml:space="preserve"> </w:t>
      </w:r>
      <w:r w:rsidRPr="00E02273">
        <w:rPr>
          <w:lang w:val="en-CA"/>
        </w:rPr>
        <w:t>added</w:t>
      </w:r>
      <w:r w:rsidR="00735836" w:rsidRPr="00E02273">
        <w:rPr>
          <w:lang w:val="en-CA"/>
        </w:rPr>
        <w:t>.</w:t>
      </w:r>
      <w:r w:rsidRPr="00E02273">
        <w:rPr>
          <w:lang w:val="en-CA"/>
        </w:rPr>
        <w:t>]</w:t>
      </w:r>
    </w:p>
    <w:p w14:paraId="153EEAEE" w14:textId="61D75943" w:rsidR="00B568AD" w:rsidRPr="00E02273" w:rsidRDefault="0093409D" w:rsidP="00560BD2">
      <w:pPr>
        <w:pStyle w:val="Paragraphe"/>
        <w:tabs>
          <w:tab w:val="clear" w:pos="4973"/>
          <w:tab w:val="num" w:pos="709"/>
        </w:tabs>
        <w:spacing w:line="240" w:lineRule="auto"/>
        <w:ind w:left="0"/>
        <w:rPr>
          <w:lang w:val="en-CA"/>
        </w:rPr>
      </w:pPr>
      <w:r w:rsidRPr="00E02273">
        <w:rPr>
          <w:lang w:val="en-CA"/>
        </w:rPr>
        <w:t xml:space="preserve">It is clear from a reading of the Regulatory Impact Analysis Statement that the very purpose of the new </w:t>
      </w:r>
      <w:r w:rsidR="002D51A4" w:rsidRPr="00E02273">
        <w:rPr>
          <w:lang w:val="en-CA"/>
        </w:rPr>
        <w:t>fact</w:t>
      </w:r>
      <w:r w:rsidRPr="00E02273">
        <w:rPr>
          <w:lang w:val="en-CA"/>
        </w:rPr>
        <w:t>o</w:t>
      </w:r>
      <w:r w:rsidR="002D51A4" w:rsidRPr="00E02273">
        <w:rPr>
          <w:lang w:val="en-CA"/>
        </w:rPr>
        <w:t xml:space="preserve">rs – </w:t>
      </w:r>
      <w:r w:rsidRPr="00E02273">
        <w:rPr>
          <w:lang w:val="en-CA"/>
        </w:rPr>
        <w:t xml:space="preserve">their </w:t>
      </w:r>
      <w:r w:rsidR="002D51A4" w:rsidRPr="00E02273">
        <w:rPr>
          <w:lang w:val="en-CA"/>
        </w:rPr>
        <w:t>pith</w:t>
      </w:r>
      <w:r w:rsidRPr="00E02273">
        <w:rPr>
          <w:lang w:val="en-CA"/>
        </w:rPr>
        <w:t xml:space="preserve"> </w:t>
      </w:r>
      <w:r w:rsidR="002D51A4" w:rsidRPr="00E02273">
        <w:rPr>
          <w:lang w:val="en-CA"/>
        </w:rPr>
        <w:t>and</w:t>
      </w:r>
      <w:r w:rsidRPr="00E02273">
        <w:rPr>
          <w:lang w:val="en-CA"/>
        </w:rPr>
        <w:t xml:space="preserve"> </w:t>
      </w:r>
      <w:r w:rsidR="002D51A4" w:rsidRPr="00E02273">
        <w:rPr>
          <w:lang w:val="en-CA"/>
        </w:rPr>
        <w:t xml:space="preserve">substance – </w:t>
      </w:r>
      <w:r w:rsidRPr="00E02273">
        <w:rPr>
          <w:lang w:val="en-CA"/>
        </w:rPr>
        <w:t xml:space="preserve">is to </w:t>
      </w:r>
      <w:r w:rsidR="002D51A4" w:rsidRPr="00E02273">
        <w:rPr>
          <w:lang w:val="en-CA"/>
        </w:rPr>
        <w:t>impose</w:t>
      </w:r>
      <w:r w:rsidRPr="00E02273">
        <w:rPr>
          <w:lang w:val="en-CA"/>
        </w:rPr>
        <w:t xml:space="preserve"> significant </w:t>
      </w:r>
      <w:r w:rsidR="002D51A4" w:rsidRPr="00E02273">
        <w:rPr>
          <w:lang w:val="en-CA"/>
        </w:rPr>
        <w:t>arbitra</w:t>
      </w:r>
      <w:r w:rsidRPr="00E02273">
        <w:rPr>
          <w:lang w:val="en-CA"/>
        </w:rPr>
        <w:t xml:space="preserve">ry </w:t>
      </w:r>
      <w:r w:rsidR="00F323E8" w:rsidRPr="00E02273">
        <w:rPr>
          <w:lang w:val="en-CA"/>
        </w:rPr>
        <w:t xml:space="preserve">reductions in the price of patented medicines. The Board’s </w:t>
      </w:r>
      <w:r w:rsidR="002D51A4" w:rsidRPr="00E02273">
        <w:rPr>
          <w:lang w:val="en-CA"/>
        </w:rPr>
        <w:t>guidelines</w:t>
      </w:r>
      <w:r w:rsidR="00F323E8" w:rsidRPr="00E02273">
        <w:rPr>
          <w:lang w:val="en-CA"/>
        </w:rPr>
        <w:t xml:space="preserve"> are therefore not </w:t>
      </w:r>
      <w:r w:rsidR="002D51A4" w:rsidRPr="00E02273">
        <w:rPr>
          <w:lang w:val="en-CA"/>
        </w:rPr>
        <w:t>distinct</w:t>
      </w:r>
      <w:r w:rsidR="00F323E8" w:rsidRPr="00E02273">
        <w:rPr>
          <w:lang w:val="en-CA"/>
        </w:rPr>
        <w:t xml:space="preserve"> from the new regulatory factors; they rather faithfully reflect their </w:t>
      </w:r>
      <w:r w:rsidR="002D51A4" w:rsidRPr="00E02273">
        <w:rPr>
          <w:lang w:val="en-CA"/>
        </w:rPr>
        <w:t>pith</w:t>
      </w:r>
      <w:r w:rsidR="00F323E8" w:rsidRPr="00E02273">
        <w:rPr>
          <w:lang w:val="en-CA"/>
        </w:rPr>
        <w:t xml:space="preserve"> </w:t>
      </w:r>
      <w:r w:rsidR="002D51A4" w:rsidRPr="00E02273">
        <w:rPr>
          <w:lang w:val="en-CA"/>
        </w:rPr>
        <w:t>and</w:t>
      </w:r>
      <w:r w:rsidR="00F323E8" w:rsidRPr="00E02273">
        <w:rPr>
          <w:lang w:val="en-CA"/>
        </w:rPr>
        <w:t xml:space="preserve"> </w:t>
      </w:r>
      <w:r w:rsidR="002D51A4" w:rsidRPr="00E02273">
        <w:rPr>
          <w:lang w:val="en-CA"/>
        </w:rPr>
        <w:t>substance.</w:t>
      </w:r>
    </w:p>
    <w:p w14:paraId="29C75885" w14:textId="3BC4A244" w:rsidR="00B568AD" w:rsidRPr="00E02273" w:rsidRDefault="00DA2871" w:rsidP="00560BD2">
      <w:pPr>
        <w:pStyle w:val="Paragraphe"/>
        <w:tabs>
          <w:tab w:val="clear" w:pos="4973"/>
          <w:tab w:val="num" w:pos="709"/>
        </w:tabs>
        <w:spacing w:line="240" w:lineRule="auto"/>
        <w:ind w:left="0"/>
        <w:rPr>
          <w:lang w:val="en-CA"/>
        </w:rPr>
      </w:pPr>
      <w:r w:rsidRPr="00E02273">
        <w:rPr>
          <w:lang w:val="en-CA"/>
        </w:rPr>
        <w:t>Moreover, the Attorney General of Canada, who is well aware of the constitutional precarious</w:t>
      </w:r>
      <w:r w:rsidR="00721026">
        <w:rPr>
          <w:lang w:val="en-CA"/>
        </w:rPr>
        <w:t>ness</w:t>
      </w:r>
      <w:r w:rsidRPr="00E02273">
        <w:rPr>
          <w:lang w:val="en-CA"/>
        </w:rPr>
        <w:t xml:space="preserve"> of the new regulatory </w:t>
      </w:r>
      <w:r w:rsidR="002D51A4" w:rsidRPr="00E02273">
        <w:rPr>
          <w:lang w:val="en-CA"/>
        </w:rPr>
        <w:t>fact</w:t>
      </w:r>
      <w:r w:rsidRPr="00E02273">
        <w:rPr>
          <w:lang w:val="en-CA"/>
        </w:rPr>
        <w:t>o</w:t>
      </w:r>
      <w:r w:rsidR="002D51A4" w:rsidRPr="00E02273">
        <w:rPr>
          <w:lang w:val="en-CA"/>
        </w:rPr>
        <w:t>rs</w:t>
      </w:r>
      <w:r w:rsidRPr="00E02273">
        <w:rPr>
          <w:lang w:val="en-CA"/>
        </w:rPr>
        <w:t>,</w:t>
      </w:r>
      <w:r w:rsidR="002D51A4" w:rsidRPr="00E02273">
        <w:rPr>
          <w:lang w:val="en-CA"/>
        </w:rPr>
        <w:t xml:space="preserve"> propose</w:t>
      </w:r>
      <w:r w:rsidRPr="00E02273">
        <w:rPr>
          <w:lang w:val="en-CA"/>
        </w:rPr>
        <w:t xml:space="preserve">s that we </w:t>
      </w:r>
      <w:r w:rsidR="002D51A4" w:rsidRPr="00E02273">
        <w:rPr>
          <w:lang w:val="en-CA"/>
        </w:rPr>
        <w:t>adopt</w:t>
      </w:r>
      <w:r w:rsidRPr="00E02273">
        <w:rPr>
          <w:lang w:val="en-CA"/>
        </w:rPr>
        <w:t xml:space="preserve"> a new </w:t>
      </w:r>
      <w:r w:rsidR="002D51A4" w:rsidRPr="00E02273">
        <w:rPr>
          <w:lang w:val="en-CA"/>
        </w:rPr>
        <w:t>interpretation</w:t>
      </w:r>
      <w:r w:rsidRPr="00E02273">
        <w:rPr>
          <w:lang w:val="en-CA"/>
        </w:rPr>
        <w:t xml:space="preserve"> of the </w:t>
      </w:r>
      <w:r w:rsidR="002D51A4" w:rsidRPr="00E02273">
        <w:rPr>
          <w:lang w:val="en-CA"/>
        </w:rPr>
        <w:t>federal</w:t>
      </w:r>
      <w:r w:rsidRPr="00E02273">
        <w:rPr>
          <w:lang w:val="en-CA"/>
        </w:rPr>
        <w:t xml:space="preserve"> </w:t>
      </w:r>
      <w:r w:rsidR="002D51A4" w:rsidRPr="00E02273">
        <w:rPr>
          <w:lang w:val="en-CA"/>
        </w:rPr>
        <w:t>jurisdiction</w:t>
      </w:r>
      <w:r w:rsidRPr="00E02273">
        <w:rPr>
          <w:lang w:val="en-CA"/>
        </w:rPr>
        <w:t xml:space="preserve"> over patents of </w:t>
      </w:r>
      <w:r w:rsidR="002D51A4" w:rsidRPr="00E02273">
        <w:rPr>
          <w:lang w:val="en-CA"/>
        </w:rPr>
        <w:t xml:space="preserve">invention </w:t>
      </w:r>
      <w:r w:rsidRPr="00E02273">
        <w:rPr>
          <w:lang w:val="en-CA"/>
        </w:rPr>
        <w:t xml:space="preserve">and discovery that would extend this </w:t>
      </w:r>
      <w:r w:rsidR="002D51A4" w:rsidRPr="00E02273">
        <w:rPr>
          <w:lang w:val="en-CA"/>
        </w:rPr>
        <w:t>federal</w:t>
      </w:r>
      <w:r w:rsidRPr="00E02273">
        <w:rPr>
          <w:lang w:val="en-CA"/>
        </w:rPr>
        <w:t xml:space="preserve"> </w:t>
      </w:r>
      <w:r w:rsidR="002D51A4" w:rsidRPr="00E02273">
        <w:rPr>
          <w:lang w:val="en-CA"/>
        </w:rPr>
        <w:t>jurisdiction</w:t>
      </w:r>
      <w:r w:rsidRPr="00E02273">
        <w:rPr>
          <w:lang w:val="en-CA"/>
        </w:rPr>
        <w:t xml:space="preserve"> to controlling the price of all patented products, including medicines, in all </w:t>
      </w:r>
      <w:r w:rsidR="002D51A4" w:rsidRPr="00E02273">
        <w:rPr>
          <w:lang w:val="en-CA"/>
        </w:rPr>
        <w:t>circumstances</w:t>
      </w:r>
      <w:r w:rsidRPr="00E02273">
        <w:rPr>
          <w:lang w:val="en-CA"/>
        </w:rPr>
        <w:t xml:space="preserve"> where the federal </w:t>
      </w:r>
      <w:r w:rsidR="002D51A4" w:rsidRPr="00E02273">
        <w:rPr>
          <w:lang w:val="en-CA"/>
        </w:rPr>
        <w:t>government</w:t>
      </w:r>
      <w:r w:rsidRPr="00E02273">
        <w:rPr>
          <w:lang w:val="en-CA"/>
        </w:rPr>
        <w:t xml:space="preserve"> deems it appropriate to intervene</w:t>
      </w:r>
      <w:r w:rsidR="002D51A4" w:rsidRPr="00E02273">
        <w:rPr>
          <w:lang w:val="en-CA"/>
        </w:rPr>
        <w:t xml:space="preserve">. </w:t>
      </w:r>
    </w:p>
    <w:p w14:paraId="5F9BB8A9" w14:textId="104A7CB7" w:rsidR="00B568AD" w:rsidRPr="00E02273" w:rsidRDefault="003F5DB1" w:rsidP="00560BD2">
      <w:pPr>
        <w:pStyle w:val="Paragraphe"/>
        <w:tabs>
          <w:tab w:val="clear" w:pos="4973"/>
          <w:tab w:val="num" w:pos="709"/>
        </w:tabs>
        <w:spacing w:line="240" w:lineRule="auto"/>
        <w:ind w:left="0"/>
        <w:rPr>
          <w:lang w:val="en-CA"/>
        </w:rPr>
      </w:pPr>
      <w:r w:rsidRPr="00E02273">
        <w:rPr>
          <w:lang w:val="en-CA"/>
        </w:rPr>
        <w:t xml:space="preserve">The </w:t>
      </w:r>
      <w:r w:rsidR="002D51A4" w:rsidRPr="00E02273">
        <w:rPr>
          <w:lang w:val="en-CA"/>
        </w:rPr>
        <w:t>Attorney</w:t>
      </w:r>
      <w:r w:rsidRPr="00E02273">
        <w:rPr>
          <w:lang w:val="en-CA"/>
        </w:rPr>
        <w:t xml:space="preserve"> </w:t>
      </w:r>
      <w:r w:rsidR="002D51A4" w:rsidRPr="00E02273">
        <w:rPr>
          <w:lang w:val="en-CA"/>
        </w:rPr>
        <w:t>General</w:t>
      </w:r>
      <w:r w:rsidRPr="00E02273">
        <w:rPr>
          <w:lang w:val="en-CA"/>
        </w:rPr>
        <w:t xml:space="preserve"> </w:t>
      </w:r>
      <w:r w:rsidR="002D51A4" w:rsidRPr="00E02273">
        <w:rPr>
          <w:lang w:val="en-CA"/>
        </w:rPr>
        <w:t>of</w:t>
      </w:r>
      <w:r w:rsidRPr="00E02273">
        <w:rPr>
          <w:lang w:val="en-CA"/>
        </w:rPr>
        <w:t xml:space="preserve"> </w:t>
      </w:r>
      <w:r w:rsidR="002D51A4" w:rsidRPr="00E02273">
        <w:rPr>
          <w:lang w:val="en-CA"/>
        </w:rPr>
        <w:t>Canada</w:t>
      </w:r>
      <w:r w:rsidRPr="00E02273">
        <w:rPr>
          <w:lang w:val="en-CA"/>
        </w:rPr>
        <w:t xml:space="preserve"> thus submits that the federal </w:t>
      </w:r>
      <w:r w:rsidR="002D51A4" w:rsidRPr="00E02273">
        <w:rPr>
          <w:lang w:val="en-CA"/>
        </w:rPr>
        <w:t>government</w:t>
      </w:r>
      <w:r w:rsidRPr="00E02273">
        <w:rPr>
          <w:lang w:val="en-CA"/>
        </w:rPr>
        <w:t xml:space="preserve"> may regulate all aspects of the price of patented medicines because patentees can always </w:t>
      </w:r>
      <w:r w:rsidR="00721026">
        <w:rPr>
          <w:lang w:val="en-CA"/>
        </w:rPr>
        <w:t>avoid it</w:t>
      </w:r>
      <w:r w:rsidRPr="00E02273">
        <w:rPr>
          <w:lang w:val="en-CA"/>
        </w:rPr>
        <w:t xml:space="preserve"> by </w:t>
      </w:r>
      <w:r w:rsidR="002D51A4" w:rsidRPr="00E02273">
        <w:rPr>
          <w:lang w:val="en-CA"/>
        </w:rPr>
        <w:t>abandon</w:t>
      </w:r>
      <w:r w:rsidRPr="00E02273">
        <w:rPr>
          <w:lang w:val="en-CA"/>
        </w:rPr>
        <w:t xml:space="preserve">ing their existing </w:t>
      </w:r>
      <w:r w:rsidR="002D51A4" w:rsidRPr="00E02273">
        <w:rPr>
          <w:lang w:val="en-CA"/>
        </w:rPr>
        <w:t>Canadian</w:t>
      </w:r>
      <w:r w:rsidRPr="00E02273">
        <w:rPr>
          <w:lang w:val="en-CA"/>
        </w:rPr>
        <w:t xml:space="preserve"> patents or by not patenting their products and processes in </w:t>
      </w:r>
      <w:r w:rsidR="002D51A4" w:rsidRPr="00E02273">
        <w:rPr>
          <w:lang w:val="en-CA"/>
        </w:rPr>
        <w:t>Canada</w:t>
      </w:r>
      <w:r w:rsidRPr="00E02273">
        <w:rPr>
          <w:lang w:val="en-CA"/>
        </w:rPr>
        <w:t>.</w:t>
      </w:r>
      <w:r w:rsidR="002D51A4" w:rsidRPr="00E02273">
        <w:rPr>
          <w:rStyle w:val="Appelnotedebasdep"/>
          <w:lang w:val="en-CA"/>
        </w:rPr>
        <w:footnoteReference w:id="209"/>
      </w:r>
      <w:r w:rsidRPr="00E02273">
        <w:rPr>
          <w:lang w:val="en-CA"/>
        </w:rPr>
        <w:t xml:space="preserve"> The </w:t>
      </w:r>
      <w:r w:rsidR="00884097">
        <w:rPr>
          <w:lang w:val="en-CA"/>
        </w:rPr>
        <w:t>Attorney General</w:t>
      </w:r>
      <w:r w:rsidR="00884097" w:rsidRPr="00E02273">
        <w:rPr>
          <w:lang w:val="en-CA"/>
        </w:rPr>
        <w:t xml:space="preserve"> </w:t>
      </w:r>
      <w:r w:rsidR="00884097">
        <w:rPr>
          <w:lang w:val="en-CA"/>
        </w:rPr>
        <w:t xml:space="preserve">of Canada </w:t>
      </w:r>
      <w:r w:rsidR="005116B0" w:rsidRPr="00E02273">
        <w:rPr>
          <w:lang w:val="en-CA"/>
        </w:rPr>
        <w:t xml:space="preserve">argues that the </w:t>
      </w:r>
      <w:r w:rsidRPr="00E02273">
        <w:rPr>
          <w:lang w:val="en-CA"/>
        </w:rPr>
        <w:t xml:space="preserve">connection between the </w:t>
      </w:r>
      <w:r w:rsidR="002D51A4" w:rsidRPr="00E02273">
        <w:rPr>
          <w:lang w:val="en-CA"/>
        </w:rPr>
        <w:t>federal</w:t>
      </w:r>
      <w:r w:rsidR="005116B0" w:rsidRPr="00E02273">
        <w:rPr>
          <w:lang w:val="en-CA"/>
        </w:rPr>
        <w:t xml:space="preserve"> </w:t>
      </w:r>
      <w:r w:rsidR="002D51A4" w:rsidRPr="00E02273">
        <w:rPr>
          <w:lang w:val="en-CA"/>
        </w:rPr>
        <w:t>jurisdiction</w:t>
      </w:r>
      <w:r w:rsidR="005116B0" w:rsidRPr="00E02273">
        <w:rPr>
          <w:lang w:val="en-CA"/>
        </w:rPr>
        <w:t xml:space="preserve"> over patents and the federal regulation of prices is thus established by the mere fact that patentees continue to maintain their patents, despite the effects of the r</w:t>
      </w:r>
      <w:r w:rsidR="002D51A4" w:rsidRPr="00E02273">
        <w:rPr>
          <w:lang w:val="en-CA"/>
        </w:rPr>
        <w:t>egulatory</w:t>
      </w:r>
      <w:r w:rsidR="005116B0" w:rsidRPr="00E02273">
        <w:rPr>
          <w:lang w:val="en-CA"/>
        </w:rPr>
        <w:t xml:space="preserve"> regime attached to them</w:t>
      </w:r>
      <w:r w:rsidR="002D51A4" w:rsidRPr="00E02273">
        <w:rPr>
          <w:lang w:val="en-CA"/>
        </w:rPr>
        <w:t>.</w:t>
      </w:r>
    </w:p>
    <w:p w14:paraId="74081D22" w14:textId="4DD4216D" w:rsidR="00B568AD" w:rsidRPr="00E02273" w:rsidRDefault="005116B0" w:rsidP="00560BD2">
      <w:pPr>
        <w:pStyle w:val="Paragraphe"/>
        <w:tabs>
          <w:tab w:val="clear" w:pos="4973"/>
          <w:tab w:val="num" w:pos="709"/>
        </w:tabs>
        <w:spacing w:line="240" w:lineRule="auto"/>
        <w:ind w:left="0"/>
        <w:rPr>
          <w:lang w:val="en-CA"/>
        </w:rPr>
      </w:pPr>
      <w:r w:rsidRPr="00E02273">
        <w:rPr>
          <w:lang w:val="en-CA"/>
        </w:rPr>
        <w:t xml:space="preserve">If it were to be accepted, </w:t>
      </w:r>
      <w:r w:rsidR="00FA0F37" w:rsidRPr="00E02273">
        <w:rPr>
          <w:lang w:val="en-CA"/>
        </w:rPr>
        <w:t xml:space="preserve">however, </w:t>
      </w:r>
      <w:r w:rsidRPr="00E02273">
        <w:rPr>
          <w:lang w:val="en-CA"/>
        </w:rPr>
        <w:t xml:space="preserve">such a </w:t>
      </w:r>
      <w:r w:rsidR="00FA0F37" w:rsidRPr="00E02273">
        <w:rPr>
          <w:lang w:val="en-CA"/>
        </w:rPr>
        <w:t xml:space="preserve">novel </w:t>
      </w:r>
      <w:r w:rsidRPr="00E02273">
        <w:rPr>
          <w:lang w:val="en-CA"/>
        </w:rPr>
        <w:t>interpretation</w:t>
      </w:r>
      <w:r w:rsidR="00FA0F37" w:rsidRPr="00E02273">
        <w:rPr>
          <w:lang w:val="en-CA"/>
        </w:rPr>
        <w:t xml:space="preserve"> of the </w:t>
      </w:r>
      <w:r w:rsidR="002D51A4" w:rsidRPr="00E02273">
        <w:rPr>
          <w:lang w:val="en-CA"/>
        </w:rPr>
        <w:t>federal</w:t>
      </w:r>
      <w:r w:rsidR="00FA0F37" w:rsidRPr="00E02273">
        <w:rPr>
          <w:lang w:val="en-CA"/>
        </w:rPr>
        <w:t xml:space="preserve"> </w:t>
      </w:r>
      <w:r w:rsidR="002D51A4" w:rsidRPr="00E02273">
        <w:rPr>
          <w:lang w:val="en-CA"/>
        </w:rPr>
        <w:t>jurisdiction</w:t>
      </w:r>
      <w:r w:rsidR="00FA0F37" w:rsidRPr="00E02273">
        <w:rPr>
          <w:lang w:val="en-CA"/>
        </w:rPr>
        <w:t xml:space="preserve"> over patents would subvert the </w:t>
      </w:r>
      <w:r w:rsidR="002D51A4" w:rsidRPr="00E02273">
        <w:rPr>
          <w:lang w:val="en-CA"/>
        </w:rPr>
        <w:t>constitution</w:t>
      </w:r>
      <w:r w:rsidR="00FA0F37" w:rsidRPr="00E02273">
        <w:rPr>
          <w:lang w:val="en-CA"/>
        </w:rPr>
        <w:t>a</w:t>
      </w:r>
      <w:r w:rsidR="002D51A4" w:rsidRPr="00E02273">
        <w:rPr>
          <w:lang w:val="en-CA"/>
        </w:rPr>
        <w:t>l</w:t>
      </w:r>
      <w:r w:rsidR="00FA0F37" w:rsidRPr="00E02273">
        <w:rPr>
          <w:lang w:val="en-CA"/>
        </w:rPr>
        <w:t xml:space="preserve"> balance, because the federal </w:t>
      </w:r>
      <w:r w:rsidR="002D51A4" w:rsidRPr="00E02273">
        <w:rPr>
          <w:lang w:val="en-CA"/>
        </w:rPr>
        <w:t>government</w:t>
      </w:r>
      <w:r w:rsidR="00FA0F37" w:rsidRPr="00E02273">
        <w:rPr>
          <w:lang w:val="en-CA"/>
        </w:rPr>
        <w:t xml:space="preserve"> could then </w:t>
      </w:r>
      <w:r w:rsidR="002D51A4" w:rsidRPr="00E02273">
        <w:rPr>
          <w:lang w:val="en-CA"/>
        </w:rPr>
        <w:t>invo</w:t>
      </w:r>
      <w:r w:rsidR="00FA0F37" w:rsidRPr="00E02273">
        <w:rPr>
          <w:lang w:val="en-CA"/>
        </w:rPr>
        <w:t xml:space="preserve">ke its </w:t>
      </w:r>
      <w:r w:rsidR="002D51A4" w:rsidRPr="00E02273">
        <w:rPr>
          <w:lang w:val="en-CA"/>
        </w:rPr>
        <w:t>jurisdiction</w:t>
      </w:r>
      <w:r w:rsidR="00FA0F37" w:rsidRPr="00E02273">
        <w:rPr>
          <w:lang w:val="en-CA"/>
        </w:rPr>
        <w:t xml:space="preserve"> over patents to regulate all aspects of the price of all patented products, at its </w:t>
      </w:r>
      <w:r w:rsidR="002D51A4" w:rsidRPr="00E02273">
        <w:rPr>
          <w:lang w:val="en-CA"/>
        </w:rPr>
        <w:t>discr</w:t>
      </w:r>
      <w:r w:rsidR="00FA0F37" w:rsidRPr="00E02273">
        <w:rPr>
          <w:lang w:val="en-CA"/>
        </w:rPr>
        <w:t>e</w:t>
      </w:r>
      <w:r w:rsidR="002D51A4" w:rsidRPr="00E02273">
        <w:rPr>
          <w:lang w:val="en-CA"/>
        </w:rPr>
        <w:t>tion.</w:t>
      </w:r>
      <w:r w:rsidR="00B91374" w:rsidRPr="00E02273">
        <w:rPr>
          <w:lang w:val="en-CA"/>
        </w:rPr>
        <w:t xml:space="preserve"> In fact, the </w:t>
      </w:r>
      <w:r w:rsidR="002D51A4" w:rsidRPr="00E02273">
        <w:rPr>
          <w:lang w:val="en-CA"/>
        </w:rPr>
        <w:t>Attorney</w:t>
      </w:r>
      <w:r w:rsidR="00B91374" w:rsidRPr="00E02273">
        <w:rPr>
          <w:lang w:val="en-CA"/>
        </w:rPr>
        <w:t xml:space="preserve"> </w:t>
      </w:r>
      <w:r w:rsidR="002D51A4" w:rsidRPr="00E02273">
        <w:rPr>
          <w:lang w:val="en-CA"/>
        </w:rPr>
        <w:t>General</w:t>
      </w:r>
      <w:r w:rsidR="00B91374" w:rsidRPr="00E02273">
        <w:rPr>
          <w:lang w:val="en-CA"/>
        </w:rPr>
        <w:t xml:space="preserve"> </w:t>
      </w:r>
      <w:r w:rsidR="002D51A4" w:rsidRPr="00E02273">
        <w:rPr>
          <w:lang w:val="en-CA"/>
        </w:rPr>
        <w:t>of</w:t>
      </w:r>
      <w:r w:rsidR="00B91374" w:rsidRPr="00E02273">
        <w:rPr>
          <w:lang w:val="en-CA"/>
        </w:rPr>
        <w:t xml:space="preserve"> </w:t>
      </w:r>
      <w:r w:rsidR="002D51A4" w:rsidRPr="00E02273">
        <w:rPr>
          <w:lang w:val="en-CA"/>
        </w:rPr>
        <w:t>Canada</w:t>
      </w:r>
      <w:r w:rsidR="00B91374" w:rsidRPr="00E02273">
        <w:rPr>
          <w:lang w:val="en-CA"/>
        </w:rPr>
        <w:t xml:space="preserve">’s representatives </w:t>
      </w:r>
      <w:r w:rsidR="002D51A4" w:rsidRPr="00E02273">
        <w:rPr>
          <w:lang w:val="en-CA"/>
        </w:rPr>
        <w:t>confirm</w:t>
      </w:r>
      <w:r w:rsidR="00B91374" w:rsidRPr="00E02273">
        <w:rPr>
          <w:lang w:val="en-CA"/>
        </w:rPr>
        <w:t xml:space="preserve">ed at the appeal </w:t>
      </w:r>
      <w:r w:rsidR="002D51A4" w:rsidRPr="00E02273">
        <w:rPr>
          <w:lang w:val="en-CA"/>
        </w:rPr>
        <w:t>hearing</w:t>
      </w:r>
      <w:r w:rsidR="00B91374" w:rsidRPr="00E02273">
        <w:rPr>
          <w:lang w:val="en-CA"/>
        </w:rPr>
        <w:t xml:space="preserve"> that the </w:t>
      </w:r>
      <w:r w:rsidR="00852C67">
        <w:rPr>
          <w:lang w:val="en-CA"/>
        </w:rPr>
        <w:t xml:space="preserve">position argued </w:t>
      </w:r>
      <w:r w:rsidR="00B91374" w:rsidRPr="00E02273">
        <w:rPr>
          <w:lang w:val="en-CA"/>
        </w:rPr>
        <w:t xml:space="preserve">with respect to the extent of the </w:t>
      </w:r>
      <w:r w:rsidR="002D51A4" w:rsidRPr="00E02273">
        <w:rPr>
          <w:lang w:val="en-CA"/>
        </w:rPr>
        <w:t>federal</w:t>
      </w:r>
      <w:r w:rsidR="00B91374" w:rsidRPr="00E02273">
        <w:rPr>
          <w:lang w:val="en-CA"/>
        </w:rPr>
        <w:t xml:space="preserve"> </w:t>
      </w:r>
      <w:r w:rsidR="002D51A4" w:rsidRPr="00E02273">
        <w:rPr>
          <w:lang w:val="en-CA"/>
        </w:rPr>
        <w:t>jurisdiction</w:t>
      </w:r>
      <w:r w:rsidR="00B91374" w:rsidRPr="00E02273">
        <w:rPr>
          <w:lang w:val="en-CA"/>
        </w:rPr>
        <w:t xml:space="preserve"> over </w:t>
      </w:r>
      <w:r w:rsidR="00852C67">
        <w:rPr>
          <w:lang w:val="en-CA"/>
        </w:rPr>
        <w:t xml:space="preserve">price </w:t>
      </w:r>
      <w:r w:rsidR="00B91374" w:rsidRPr="00E02273">
        <w:rPr>
          <w:lang w:val="en-CA"/>
        </w:rPr>
        <w:t xml:space="preserve">control was not limited to medicines, but extended to all patented products, irrespective of their </w:t>
      </w:r>
      <w:r w:rsidR="002D51A4" w:rsidRPr="00E02273">
        <w:rPr>
          <w:lang w:val="en-CA"/>
        </w:rPr>
        <w:t>nature.</w:t>
      </w:r>
    </w:p>
    <w:p w14:paraId="76529736" w14:textId="745E950F" w:rsidR="00B568AD" w:rsidRPr="00E02273" w:rsidRDefault="00A96527" w:rsidP="00560BD2">
      <w:pPr>
        <w:pStyle w:val="Paragraphe"/>
        <w:tabs>
          <w:tab w:val="clear" w:pos="4973"/>
          <w:tab w:val="num" w:pos="709"/>
        </w:tabs>
        <w:spacing w:line="240" w:lineRule="auto"/>
        <w:ind w:left="0"/>
        <w:rPr>
          <w:lang w:val="en-CA"/>
        </w:rPr>
      </w:pPr>
      <w:r w:rsidRPr="00E02273">
        <w:rPr>
          <w:lang w:val="en-CA"/>
        </w:rPr>
        <w:t xml:space="preserve">It should be recalled that, with a few </w:t>
      </w:r>
      <w:r w:rsidR="002D51A4" w:rsidRPr="00E02273">
        <w:rPr>
          <w:lang w:val="en-CA"/>
        </w:rPr>
        <w:t xml:space="preserve">exceptions, </w:t>
      </w:r>
      <w:r w:rsidRPr="00E02273">
        <w:rPr>
          <w:lang w:val="en-CA"/>
        </w:rPr>
        <w:t xml:space="preserve">the </w:t>
      </w:r>
      <w:r w:rsidR="002D51A4" w:rsidRPr="00E02273">
        <w:rPr>
          <w:lang w:val="en-CA"/>
        </w:rPr>
        <w:t>provinces</w:t>
      </w:r>
      <w:r w:rsidRPr="00E02273">
        <w:rPr>
          <w:lang w:val="en-CA"/>
        </w:rPr>
        <w:t xml:space="preserve"> have jurisdiction to</w:t>
      </w:r>
      <w:r w:rsidR="00E743EB" w:rsidRPr="00E02273">
        <w:rPr>
          <w:lang w:val="en-CA"/>
        </w:rPr>
        <w:t xml:space="preserve"> regulate prices in an</w:t>
      </w:r>
      <w:r w:rsidR="002D51A4" w:rsidRPr="00E02273">
        <w:rPr>
          <w:lang w:val="en-CA"/>
        </w:rPr>
        <w:t xml:space="preserve"> industr</w:t>
      </w:r>
      <w:r w:rsidR="00E743EB" w:rsidRPr="00E02273">
        <w:rPr>
          <w:lang w:val="en-CA"/>
        </w:rPr>
        <w:t>y</w:t>
      </w:r>
      <w:r w:rsidR="002D51A4" w:rsidRPr="00E02273">
        <w:rPr>
          <w:lang w:val="en-CA"/>
        </w:rPr>
        <w:t xml:space="preserve">. </w:t>
      </w:r>
      <w:r w:rsidR="00E743EB" w:rsidRPr="00E02273">
        <w:rPr>
          <w:lang w:val="en-CA"/>
        </w:rPr>
        <w:t xml:space="preserve">As </w:t>
      </w:r>
      <w:r w:rsidR="002D51A4" w:rsidRPr="00E02273">
        <w:rPr>
          <w:lang w:val="en-CA"/>
        </w:rPr>
        <w:t xml:space="preserve">Beetz </w:t>
      </w:r>
      <w:r w:rsidR="00E743EB" w:rsidRPr="00E02273">
        <w:rPr>
          <w:lang w:val="en-CA"/>
        </w:rPr>
        <w:t xml:space="preserve">J. noted in </w:t>
      </w:r>
      <w:r w:rsidR="00E743EB" w:rsidRPr="00E02273">
        <w:rPr>
          <w:i/>
          <w:lang w:val="en-CA"/>
        </w:rPr>
        <w:t>Re: Anti-Inflation Act</w:t>
      </w:r>
      <w:r w:rsidR="00E743EB" w:rsidRPr="00E02273">
        <w:rPr>
          <w:lang w:val="en-CA"/>
        </w:rPr>
        <w:t>,</w:t>
      </w:r>
      <w:r w:rsidR="002D51A4" w:rsidRPr="00E02273">
        <w:rPr>
          <w:rStyle w:val="Appelnotedebasdep"/>
          <w:lang w:val="en-CA"/>
        </w:rPr>
        <w:footnoteReference w:id="210"/>
      </w:r>
      <w:r w:rsidR="002D51A4" w:rsidRPr="00E02273">
        <w:rPr>
          <w:lang w:val="en-CA"/>
        </w:rPr>
        <w:t xml:space="preserve"> </w:t>
      </w:r>
      <w:r w:rsidR="00E743EB" w:rsidRPr="00E02273">
        <w:rPr>
          <w:lang w:val="en-CA"/>
        </w:rPr>
        <w:t xml:space="preserve">the </w:t>
      </w:r>
      <w:r w:rsidR="002D51A4" w:rsidRPr="00E02273">
        <w:rPr>
          <w:lang w:val="en-CA"/>
        </w:rPr>
        <w:t>contr</w:t>
      </w:r>
      <w:r w:rsidR="00E743EB" w:rsidRPr="00E02273">
        <w:rPr>
          <w:lang w:val="en-CA"/>
        </w:rPr>
        <w:t>o</w:t>
      </w:r>
      <w:r w:rsidR="002D51A4" w:rsidRPr="00E02273">
        <w:rPr>
          <w:lang w:val="en-CA"/>
        </w:rPr>
        <w:t>l</w:t>
      </w:r>
      <w:r w:rsidR="00023158" w:rsidRPr="00E02273">
        <w:rPr>
          <w:lang w:val="en-CA"/>
        </w:rPr>
        <w:t xml:space="preserve"> </w:t>
      </w:r>
      <w:r w:rsidR="00023158" w:rsidRPr="00E02273">
        <w:rPr>
          <w:lang w:val="en-CA"/>
        </w:rPr>
        <w:lastRenderedPageBreak/>
        <w:t xml:space="preserve">and regulation of local trade and </w:t>
      </w:r>
      <w:r w:rsidR="007716D5" w:rsidRPr="00E02273">
        <w:rPr>
          <w:lang w:val="en-CA"/>
        </w:rPr>
        <w:t>commodity</w:t>
      </w:r>
      <w:r w:rsidR="00023158" w:rsidRPr="00E02273">
        <w:rPr>
          <w:lang w:val="en-CA"/>
        </w:rPr>
        <w:t xml:space="preserve"> pricing lies, with few exceptions, within </w:t>
      </w:r>
      <w:r w:rsidR="002D51A4" w:rsidRPr="00E02273">
        <w:rPr>
          <w:lang w:val="en-CA"/>
        </w:rPr>
        <w:t>provincial</w:t>
      </w:r>
      <w:r w:rsidR="00023158" w:rsidRPr="00E02273">
        <w:rPr>
          <w:lang w:val="en-CA"/>
        </w:rPr>
        <w:t xml:space="preserve"> </w:t>
      </w:r>
      <w:r w:rsidR="002D51A4" w:rsidRPr="00E02273">
        <w:rPr>
          <w:lang w:val="en-CA"/>
        </w:rPr>
        <w:t>jurisdiction</w:t>
      </w:r>
      <w:r w:rsidR="00023158" w:rsidRPr="00E02273">
        <w:rPr>
          <w:lang w:val="en-CA"/>
        </w:rPr>
        <w:t>:</w:t>
      </w:r>
      <w:r w:rsidR="002D51A4" w:rsidRPr="00E02273">
        <w:rPr>
          <w:rStyle w:val="Appelnotedebasdep"/>
          <w:lang w:val="en-CA"/>
        </w:rPr>
        <w:footnoteReference w:id="211"/>
      </w:r>
    </w:p>
    <w:p w14:paraId="376EBE1C" w14:textId="77777777" w:rsidR="00E743EB" w:rsidRPr="00E02273" w:rsidRDefault="00E743EB" w:rsidP="00B568AD">
      <w:pPr>
        <w:pStyle w:val="Citationenretrait"/>
        <w:spacing w:line="240" w:lineRule="auto"/>
        <w:rPr>
          <w:lang w:val="en-CA"/>
        </w:rPr>
      </w:pPr>
      <w:r w:rsidRPr="00E02273">
        <w:rPr>
          <w:rFonts w:cs="Arial"/>
          <w:color w:val="000000"/>
          <w:lang w:val="en-CA"/>
        </w:rPr>
        <w:t>The control and regulation of local trade and of commodity pricing and of profit margins in the provincial sectors have consistently been held to lie, short of a national emergency, within exclusive provincial jurisdiction.</w:t>
      </w:r>
      <w:r w:rsidRPr="00E02273">
        <w:rPr>
          <w:lang w:val="en-CA"/>
        </w:rPr>
        <w:t xml:space="preserve"> </w:t>
      </w:r>
    </w:p>
    <w:p w14:paraId="1AFB0667" w14:textId="2203B40C" w:rsidR="00B568AD" w:rsidRPr="00E02273" w:rsidRDefault="001F5EBD" w:rsidP="007602DA">
      <w:pPr>
        <w:pStyle w:val="Paragraphe"/>
        <w:tabs>
          <w:tab w:val="clear" w:pos="4973"/>
          <w:tab w:val="num" w:pos="709"/>
        </w:tabs>
        <w:spacing w:line="240" w:lineRule="auto"/>
        <w:ind w:left="0"/>
        <w:rPr>
          <w:lang w:val="en-CA"/>
        </w:rPr>
      </w:pPr>
      <w:r w:rsidRPr="00E02273">
        <w:rPr>
          <w:lang w:val="en-CA"/>
        </w:rPr>
        <w:t xml:space="preserve">Moreover, it has long been recognized that the federal </w:t>
      </w:r>
      <w:r w:rsidR="002D51A4" w:rsidRPr="00E02273">
        <w:rPr>
          <w:lang w:val="en-CA"/>
        </w:rPr>
        <w:t>government</w:t>
      </w:r>
      <w:r w:rsidRPr="00E02273">
        <w:rPr>
          <w:lang w:val="en-CA"/>
        </w:rPr>
        <w:t xml:space="preserve"> cannot regulate an entire </w:t>
      </w:r>
      <w:r w:rsidR="002D51A4" w:rsidRPr="00E02273">
        <w:rPr>
          <w:lang w:val="en-CA"/>
        </w:rPr>
        <w:t>industr</w:t>
      </w:r>
      <w:r w:rsidRPr="00E02273">
        <w:rPr>
          <w:lang w:val="en-CA"/>
        </w:rPr>
        <w:t>y sole</w:t>
      </w:r>
      <w:r w:rsidR="008067F4">
        <w:rPr>
          <w:lang w:val="en-CA"/>
        </w:rPr>
        <w:t>ly</w:t>
      </w:r>
      <w:r w:rsidRPr="00E02273">
        <w:rPr>
          <w:lang w:val="en-CA"/>
        </w:rPr>
        <w:t xml:space="preserve"> </w:t>
      </w:r>
      <w:r w:rsidR="00E755DC">
        <w:rPr>
          <w:lang w:val="en-CA"/>
        </w:rPr>
        <w:t xml:space="preserve">because </w:t>
      </w:r>
      <w:r w:rsidRPr="00E02273">
        <w:rPr>
          <w:lang w:val="en-CA"/>
        </w:rPr>
        <w:t xml:space="preserve">a </w:t>
      </w:r>
      <w:r w:rsidR="00D61488" w:rsidRPr="00E02273">
        <w:rPr>
          <w:lang w:val="en-CA"/>
        </w:rPr>
        <w:t xml:space="preserve">federal </w:t>
      </w:r>
      <w:r w:rsidR="002D51A4" w:rsidRPr="00E02273">
        <w:rPr>
          <w:lang w:val="en-CA"/>
        </w:rPr>
        <w:t>licence, aut</w:t>
      </w:r>
      <w:r w:rsidR="00D61488" w:rsidRPr="00E02273">
        <w:rPr>
          <w:lang w:val="en-CA"/>
        </w:rPr>
        <w:t>h</w:t>
      </w:r>
      <w:r w:rsidR="002D51A4" w:rsidRPr="00E02273">
        <w:rPr>
          <w:lang w:val="en-CA"/>
        </w:rPr>
        <w:t>ori</w:t>
      </w:r>
      <w:r w:rsidR="00D61488" w:rsidRPr="00E02273">
        <w:rPr>
          <w:lang w:val="en-CA"/>
        </w:rPr>
        <w:t>z</w:t>
      </w:r>
      <w:r w:rsidR="002D51A4" w:rsidRPr="00E02273">
        <w:rPr>
          <w:lang w:val="en-CA"/>
        </w:rPr>
        <w:t>ation</w:t>
      </w:r>
      <w:r w:rsidR="00D61488" w:rsidRPr="00E02273">
        <w:rPr>
          <w:lang w:val="en-CA"/>
        </w:rPr>
        <w:t>, or permit is required to allow that indust</w:t>
      </w:r>
      <w:r w:rsidR="00B74560" w:rsidRPr="00E02273">
        <w:rPr>
          <w:lang w:val="en-CA"/>
        </w:rPr>
        <w:t>r</w:t>
      </w:r>
      <w:r w:rsidR="00D61488" w:rsidRPr="00E02273">
        <w:rPr>
          <w:lang w:val="en-CA"/>
        </w:rPr>
        <w:t>y to function</w:t>
      </w:r>
      <w:r w:rsidR="002D51A4" w:rsidRPr="00E02273">
        <w:rPr>
          <w:lang w:val="en-CA"/>
        </w:rPr>
        <w:t xml:space="preserve">. </w:t>
      </w:r>
      <w:r w:rsidR="00B74560" w:rsidRPr="00E02273">
        <w:rPr>
          <w:lang w:val="en-CA"/>
        </w:rPr>
        <w:t xml:space="preserve">Thus, on several </w:t>
      </w:r>
      <w:r w:rsidR="007716D5" w:rsidRPr="00E02273">
        <w:rPr>
          <w:lang w:val="en-CA"/>
        </w:rPr>
        <w:t>occasions</w:t>
      </w:r>
      <w:r w:rsidR="00B74560" w:rsidRPr="00E02273">
        <w:rPr>
          <w:lang w:val="en-CA"/>
        </w:rPr>
        <w:t xml:space="preserve">, the Privy Council dismissed the federal </w:t>
      </w:r>
      <w:r w:rsidR="002D51A4" w:rsidRPr="00E02273">
        <w:rPr>
          <w:lang w:val="en-CA"/>
        </w:rPr>
        <w:t>government</w:t>
      </w:r>
      <w:r w:rsidR="00B74560" w:rsidRPr="00E02273">
        <w:rPr>
          <w:lang w:val="en-CA"/>
        </w:rPr>
        <w:t xml:space="preserve">’s attempts to expand its jurisdiction over trade and commerce through the granting of </w:t>
      </w:r>
      <w:r w:rsidR="002D51A4" w:rsidRPr="00E02273">
        <w:rPr>
          <w:lang w:val="en-CA"/>
        </w:rPr>
        <w:t xml:space="preserve">licences, </w:t>
      </w:r>
      <w:r w:rsidR="00B74560" w:rsidRPr="00E02273">
        <w:rPr>
          <w:lang w:val="en-CA"/>
        </w:rPr>
        <w:t xml:space="preserve">at the expense of property and </w:t>
      </w:r>
      <w:r w:rsidR="002D51A4" w:rsidRPr="00E02273">
        <w:rPr>
          <w:lang w:val="en-CA"/>
        </w:rPr>
        <w:t>civil</w:t>
      </w:r>
      <w:r w:rsidR="00B74560" w:rsidRPr="00E02273">
        <w:rPr>
          <w:lang w:val="en-CA"/>
        </w:rPr>
        <w:t xml:space="preserve"> </w:t>
      </w:r>
      <w:r w:rsidR="002D51A4" w:rsidRPr="00E02273">
        <w:rPr>
          <w:lang w:val="en-CA"/>
        </w:rPr>
        <w:t>rights</w:t>
      </w:r>
      <w:r w:rsidR="00B74560" w:rsidRPr="00E02273">
        <w:rPr>
          <w:lang w:val="en-CA"/>
        </w:rPr>
        <w:t>.</w:t>
      </w:r>
      <w:r w:rsidR="002D51A4" w:rsidRPr="00E02273">
        <w:rPr>
          <w:rStyle w:val="Appelnotedebasdep"/>
          <w:lang w:val="en-CA"/>
        </w:rPr>
        <w:footnoteReference w:id="212"/>
      </w:r>
      <w:r w:rsidR="002D51A4" w:rsidRPr="00E02273">
        <w:rPr>
          <w:lang w:val="en-CA"/>
        </w:rPr>
        <w:t xml:space="preserve"> </w:t>
      </w:r>
      <w:r w:rsidR="00B74560" w:rsidRPr="00E02273">
        <w:rPr>
          <w:lang w:val="en-CA"/>
        </w:rPr>
        <w:t xml:space="preserve">Similarly, the </w:t>
      </w:r>
      <w:r w:rsidR="002D51A4" w:rsidRPr="00E02273">
        <w:rPr>
          <w:lang w:val="en-CA"/>
        </w:rPr>
        <w:t>Supreme</w:t>
      </w:r>
      <w:r w:rsidR="007716D5" w:rsidRPr="00E02273">
        <w:rPr>
          <w:lang w:val="en-CA"/>
        </w:rPr>
        <w:t xml:space="preserve"> </w:t>
      </w:r>
      <w:r w:rsidR="002D51A4" w:rsidRPr="00E02273">
        <w:rPr>
          <w:lang w:val="en-CA"/>
        </w:rPr>
        <w:t>Court</w:t>
      </w:r>
      <w:r w:rsidR="007716D5" w:rsidRPr="00E02273">
        <w:rPr>
          <w:lang w:val="en-CA"/>
        </w:rPr>
        <w:t xml:space="preserve"> refused to expand the </w:t>
      </w:r>
      <w:r w:rsidR="002D51A4" w:rsidRPr="00E02273">
        <w:rPr>
          <w:lang w:val="en-CA"/>
        </w:rPr>
        <w:t>federal</w:t>
      </w:r>
      <w:r w:rsidR="007716D5" w:rsidRPr="00E02273">
        <w:rPr>
          <w:lang w:val="en-CA"/>
        </w:rPr>
        <w:t xml:space="preserve"> </w:t>
      </w:r>
      <w:r w:rsidR="002D51A4" w:rsidRPr="00E02273">
        <w:rPr>
          <w:lang w:val="en-CA"/>
        </w:rPr>
        <w:t>jurisdiction</w:t>
      </w:r>
      <w:r w:rsidR="007716D5" w:rsidRPr="00E02273">
        <w:rPr>
          <w:lang w:val="en-CA"/>
        </w:rPr>
        <w:t xml:space="preserve"> over the regulation of fisheries to the licensing of fish canneries or to the regulation of trade processes once the resource had been extracted and converted into a commodity</w:t>
      </w:r>
      <w:r w:rsidR="002D51A4" w:rsidRPr="00E02273">
        <w:rPr>
          <w:lang w:val="en-CA"/>
        </w:rPr>
        <w:t>,</w:t>
      </w:r>
      <w:r w:rsidR="007716D5" w:rsidRPr="00E02273">
        <w:rPr>
          <w:lang w:val="en-CA"/>
        </w:rPr>
        <w:t xml:space="preserve"> </w:t>
      </w:r>
      <w:r w:rsidR="008049BE" w:rsidRPr="00E02273">
        <w:rPr>
          <w:lang w:val="en-CA"/>
        </w:rPr>
        <w:t xml:space="preserve">as that stage fell within </w:t>
      </w:r>
      <w:r w:rsidR="00E755DC">
        <w:rPr>
          <w:lang w:val="en-CA"/>
        </w:rPr>
        <w:t xml:space="preserve">provincial </w:t>
      </w:r>
      <w:r w:rsidR="002D51A4" w:rsidRPr="00E02273">
        <w:rPr>
          <w:lang w:val="en-CA"/>
        </w:rPr>
        <w:t>jurisdiction</w:t>
      </w:r>
      <w:r w:rsidR="008049BE" w:rsidRPr="00E02273">
        <w:rPr>
          <w:lang w:val="en-CA"/>
        </w:rPr>
        <w:t>.</w:t>
      </w:r>
      <w:r w:rsidR="002D51A4" w:rsidRPr="00E02273">
        <w:rPr>
          <w:rStyle w:val="Appelnotedebasdep"/>
          <w:lang w:val="en-CA"/>
        </w:rPr>
        <w:footnoteReference w:id="213"/>
      </w:r>
      <w:r w:rsidR="002D51A4" w:rsidRPr="00E02273">
        <w:rPr>
          <w:lang w:val="en-CA"/>
        </w:rPr>
        <w:t xml:space="preserve"> </w:t>
      </w:r>
    </w:p>
    <w:p w14:paraId="2B316128" w14:textId="78F18EB2" w:rsidR="00B568AD" w:rsidRPr="00E02273" w:rsidRDefault="005213B7" w:rsidP="007602DA">
      <w:pPr>
        <w:pStyle w:val="Paragraphe"/>
        <w:tabs>
          <w:tab w:val="clear" w:pos="4973"/>
          <w:tab w:val="num" w:pos="709"/>
        </w:tabs>
        <w:spacing w:line="240" w:lineRule="auto"/>
        <w:ind w:left="0"/>
        <w:rPr>
          <w:lang w:val="en-CA"/>
        </w:rPr>
      </w:pPr>
      <w:r w:rsidRPr="00E02273">
        <w:rPr>
          <w:lang w:val="en-CA"/>
        </w:rPr>
        <w:t>Overall</w:t>
      </w:r>
      <w:r w:rsidR="003C6B01" w:rsidRPr="00E02273">
        <w:rPr>
          <w:lang w:val="en-CA"/>
        </w:rPr>
        <w:t xml:space="preserve">, the </w:t>
      </w:r>
      <w:r w:rsidR="002D51A4" w:rsidRPr="00E02273">
        <w:rPr>
          <w:lang w:val="en-CA"/>
        </w:rPr>
        <w:t>Attorney</w:t>
      </w:r>
      <w:r w:rsidR="003C6B01" w:rsidRPr="00E02273">
        <w:rPr>
          <w:lang w:val="en-CA"/>
        </w:rPr>
        <w:t xml:space="preserve"> </w:t>
      </w:r>
      <w:r w:rsidR="002D51A4" w:rsidRPr="00E02273">
        <w:rPr>
          <w:lang w:val="en-CA"/>
        </w:rPr>
        <w:t>General</w:t>
      </w:r>
      <w:r w:rsidR="003C6B01" w:rsidRPr="00E02273">
        <w:rPr>
          <w:lang w:val="en-CA"/>
        </w:rPr>
        <w:t xml:space="preserve"> </w:t>
      </w:r>
      <w:r w:rsidR="002D51A4" w:rsidRPr="00E02273">
        <w:rPr>
          <w:lang w:val="en-CA"/>
        </w:rPr>
        <w:t>of</w:t>
      </w:r>
      <w:r w:rsidR="003C6B01" w:rsidRPr="00E02273">
        <w:rPr>
          <w:lang w:val="en-CA"/>
        </w:rPr>
        <w:t xml:space="preserve"> </w:t>
      </w:r>
      <w:r w:rsidR="002D51A4" w:rsidRPr="00E02273">
        <w:rPr>
          <w:lang w:val="en-CA"/>
        </w:rPr>
        <w:t>Canada</w:t>
      </w:r>
      <w:r w:rsidR="003C6B01" w:rsidRPr="00E02273">
        <w:rPr>
          <w:lang w:val="en-CA"/>
        </w:rPr>
        <w:t xml:space="preserve">’s argument that the federal </w:t>
      </w:r>
      <w:r w:rsidR="002D51A4" w:rsidRPr="00E02273">
        <w:rPr>
          <w:lang w:val="en-CA"/>
        </w:rPr>
        <w:t>government</w:t>
      </w:r>
      <w:r w:rsidR="003C6B01" w:rsidRPr="00E02273">
        <w:rPr>
          <w:lang w:val="en-CA"/>
        </w:rPr>
        <w:t xml:space="preserve"> can regulate all </w:t>
      </w:r>
      <w:r w:rsidR="00F3323D" w:rsidRPr="00E02273">
        <w:rPr>
          <w:lang w:val="en-CA"/>
        </w:rPr>
        <w:t xml:space="preserve">aspects of </w:t>
      </w:r>
      <w:r w:rsidR="003C6B01" w:rsidRPr="00E02273">
        <w:rPr>
          <w:lang w:val="en-CA"/>
        </w:rPr>
        <w:t xml:space="preserve">the price of patented medicines </w:t>
      </w:r>
      <w:r w:rsidR="00F3323D" w:rsidRPr="00E02273">
        <w:rPr>
          <w:lang w:val="en-CA"/>
        </w:rPr>
        <w:t xml:space="preserve">seems </w:t>
      </w:r>
      <w:r w:rsidR="007977F8">
        <w:rPr>
          <w:lang w:val="en-CA"/>
        </w:rPr>
        <w:t xml:space="preserve">completely contrary to </w:t>
      </w:r>
      <w:r w:rsidR="00F3323D" w:rsidRPr="00E02273">
        <w:rPr>
          <w:lang w:val="en-CA"/>
        </w:rPr>
        <w:t xml:space="preserve">the body of </w:t>
      </w:r>
      <w:r w:rsidR="002D51A4" w:rsidRPr="00E02273">
        <w:rPr>
          <w:lang w:val="en-CA"/>
        </w:rPr>
        <w:t>Canadian</w:t>
      </w:r>
      <w:r w:rsidR="00F3323D" w:rsidRPr="00E02273">
        <w:rPr>
          <w:lang w:val="en-CA"/>
        </w:rPr>
        <w:t xml:space="preserve"> case law on the matter and </w:t>
      </w:r>
      <w:r w:rsidR="002D51A4" w:rsidRPr="00E02273">
        <w:rPr>
          <w:lang w:val="en-CA"/>
        </w:rPr>
        <w:t>constitu</w:t>
      </w:r>
      <w:r w:rsidR="00F3323D" w:rsidRPr="00E02273">
        <w:rPr>
          <w:lang w:val="en-CA"/>
        </w:rPr>
        <w:t>t</w:t>
      </w:r>
      <w:r w:rsidR="002D51A4" w:rsidRPr="00E02273">
        <w:rPr>
          <w:lang w:val="en-CA"/>
        </w:rPr>
        <w:t>e</w:t>
      </w:r>
      <w:r w:rsidR="00F3323D" w:rsidRPr="00E02273">
        <w:rPr>
          <w:lang w:val="en-CA"/>
        </w:rPr>
        <w:t xml:space="preserve">s a novel </w:t>
      </w:r>
      <w:r w:rsidR="002D51A4" w:rsidRPr="00E02273">
        <w:rPr>
          <w:lang w:val="en-CA"/>
        </w:rPr>
        <w:t>appro</w:t>
      </w:r>
      <w:r w:rsidR="00F3323D" w:rsidRPr="00E02273">
        <w:rPr>
          <w:lang w:val="en-CA"/>
        </w:rPr>
        <w:t>a</w:t>
      </w:r>
      <w:r w:rsidR="002D51A4" w:rsidRPr="00E02273">
        <w:rPr>
          <w:lang w:val="en-CA"/>
        </w:rPr>
        <w:t>ch</w:t>
      </w:r>
      <w:r w:rsidR="00F3323D" w:rsidRPr="00E02273">
        <w:rPr>
          <w:lang w:val="en-CA"/>
        </w:rPr>
        <w:t xml:space="preserve"> to the </w:t>
      </w:r>
      <w:r w:rsidR="002D51A4" w:rsidRPr="00E02273">
        <w:rPr>
          <w:lang w:val="en-CA"/>
        </w:rPr>
        <w:t>division</w:t>
      </w:r>
      <w:r w:rsidR="00F3323D" w:rsidRPr="00E02273">
        <w:rPr>
          <w:lang w:val="en-CA"/>
        </w:rPr>
        <w:t xml:space="preserve"> </w:t>
      </w:r>
      <w:r w:rsidR="002D51A4" w:rsidRPr="00E02273">
        <w:rPr>
          <w:lang w:val="en-CA"/>
        </w:rPr>
        <w:t>of</w:t>
      </w:r>
      <w:r w:rsidR="00F3323D" w:rsidRPr="00E02273">
        <w:rPr>
          <w:lang w:val="en-CA"/>
        </w:rPr>
        <w:t xml:space="preserve"> </w:t>
      </w:r>
      <w:r w:rsidR="002D51A4" w:rsidRPr="00E02273">
        <w:rPr>
          <w:lang w:val="en-CA"/>
        </w:rPr>
        <w:t xml:space="preserve">powers. </w:t>
      </w:r>
    </w:p>
    <w:p w14:paraId="2068F6CD" w14:textId="503A0F26" w:rsidR="00B568AD" w:rsidRPr="00E02273" w:rsidRDefault="00F5141A" w:rsidP="007602DA">
      <w:pPr>
        <w:pStyle w:val="Paragraphe"/>
        <w:tabs>
          <w:tab w:val="clear" w:pos="4973"/>
          <w:tab w:val="num" w:pos="709"/>
        </w:tabs>
        <w:spacing w:line="240" w:lineRule="auto"/>
        <w:ind w:left="0"/>
        <w:rPr>
          <w:lang w:val="en-CA"/>
        </w:rPr>
      </w:pPr>
      <w:r w:rsidRPr="00E02273">
        <w:rPr>
          <w:lang w:val="en-CA"/>
        </w:rPr>
        <w:t xml:space="preserve">This novel </w:t>
      </w:r>
      <w:r w:rsidR="002D51A4" w:rsidRPr="00E02273">
        <w:rPr>
          <w:lang w:val="en-CA"/>
        </w:rPr>
        <w:t>appro</w:t>
      </w:r>
      <w:r w:rsidRPr="00E02273">
        <w:rPr>
          <w:lang w:val="en-CA"/>
        </w:rPr>
        <w:t>a</w:t>
      </w:r>
      <w:r w:rsidR="002D51A4" w:rsidRPr="00E02273">
        <w:rPr>
          <w:lang w:val="en-CA"/>
        </w:rPr>
        <w:t>ch</w:t>
      </w:r>
      <w:r w:rsidRPr="00E02273">
        <w:rPr>
          <w:lang w:val="en-CA"/>
        </w:rPr>
        <w:t xml:space="preserve"> seeks to considerably expand the </w:t>
      </w:r>
      <w:r w:rsidR="002D51A4" w:rsidRPr="00E02273">
        <w:rPr>
          <w:lang w:val="en-CA"/>
        </w:rPr>
        <w:t>federal</w:t>
      </w:r>
      <w:r w:rsidRPr="00E02273">
        <w:rPr>
          <w:lang w:val="en-CA"/>
        </w:rPr>
        <w:t xml:space="preserve"> </w:t>
      </w:r>
      <w:r w:rsidR="002D51A4" w:rsidRPr="00E02273">
        <w:rPr>
          <w:lang w:val="en-CA"/>
        </w:rPr>
        <w:t>jurisdiction</w:t>
      </w:r>
      <w:r w:rsidRPr="00E02273">
        <w:rPr>
          <w:lang w:val="en-CA"/>
        </w:rPr>
        <w:t xml:space="preserve"> over patents of </w:t>
      </w:r>
      <w:r w:rsidR="002D51A4" w:rsidRPr="00E02273">
        <w:rPr>
          <w:lang w:val="en-CA"/>
        </w:rPr>
        <w:t xml:space="preserve">invention </w:t>
      </w:r>
      <w:r w:rsidRPr="00E02273">
        <w:rPr>
          <w:lang w:val="en-CA"/>
        </w:rPr>
        <w:t xml:space="preserve">and discovery to provide </w:t>
      </w:r>
      <w:r w:rsidR="002D51A4" w:rsidRPr="00E02273">
        <w:rPr>
          <w:lang w:val="en-CA"/>
        </w:rPr>
        <w:t>constitutional</w:t>
      </w:r>
      <w:r w:rsidRPr="00E02273">
        <w:rPr>
          <w:lang w:val="en-CA"/>
        </w:rPr>
        <w:t xml:space="preserve"> justification for the arbitrary price reductions for patented medicines </w:t>
      </w:r>
      <w:r w:rsidR="007977F8">
        <w:rPr>
          <w:lang w:val="en-CA"/>
        </w:rPr>
        <w:t>prescribed</w:t>
      </w:r>
      <w:r w:rsidR="007977F8" w:rsidRPr="00E02273">
        <w:rPr>
          <w:lang w:val="en-CA"/>
        </w:rPr>
        <w:t xml:space="preserve"> </w:t>
      </w:r>
      <w:r w:rsidRPr="00E02273">
        <w:rPr>
          <w:lang w:val="en-CA"/>
        </w:rPr>
        <w:t xml:space="preserve">by the </w:t>
      </w:r>
      <w:r w:rsidR="00866E58" w:rsidRPr="00E02273">
        <w:rPr>
          <w:i/>
          <w:lang w:val="en-CA"/>
        </w:rPr>
        <w:t>2019 Regulatory Amendments</w:t>
      </w:r>
      <w:r w:rsidR="002D51A4" w:rsidRPr="00E02273">
        <w:rPr>
          <w:lang w:val="en-CA"/>
        </w:rPr>
        <w:t xml:space="preserve">. </w:t>
      </w:r>
    </w:p>
    <w:p w14:paraId="75D0E3F2" w14:textId="5A6E7175" w:rsidR="00B568AD" w:rsidRPr="00E02273" w:rsidRDefault="005213B7" w:rsidP="007602DA">
      <w:pPr>
        <w:pStyle w:val="Paragraphe"/>
        <w:tabs>
          <w:tab w:val="clear" w:pos="4973"/>
          <w:tab w:val="num" w:pos="709"/>
        </w:tabs>
        <w:spacing w:line="240" w:lineRule="auto"/>
        <w:ind w:left="0"/>
        <w:rPr>
          <w:lang w:val="en-CA"/>
        </w:rPr>
      </w:pPr>
      <w:r w:rsidRPr="00E02273">
        <w:rPr>
          <w:lang w:val="en-CA"/>
        </w:rPr>
        <w:t>In short</w:t>
      </w:r>
      <w:r w:rsidR="002D51A4" w:rsidRPr="00E02273">
        <w:rPr>
          <w:lang w:val="en-CA"/>
        </w:rPr>
        <w:t xml:space="preserve">, </w:t>
      </w:r>
      <w:r w:rsidR="00D24E1D" w:rsidRPr="00E02273">
        <w:rPr>
          <w:lang w:val="en-CA"/>
        </w:rPr>
        <w:t xml:space="preserve">under the guise of its </w:t>
      </w:r>
      <w:r w:rsidR="002D51A4" w:rsidRPr="00E02273">
        <w:rPr>
          <w:lang w:val="en-CA"/>
        </w:rPr>
        <w:t>jurisdiction</w:t>
      </w:r>
      <w:r w:rsidR="00D24E1D" w:rsidRPr="00E02273">
        <w:rPr>
          <w:lang w:val="en-CA"/>
        </w:rPr>
        <w:t xml:space="preserve"> over patents, the G</w:t>
      </w:r>
      <w:r w:rsidR="002D51A4" w:rsidRPr="00E02273">
        <w:rPr>
          <w:lang w:val="en-CA"/>
        </w:rPr>
        <w:t>overnment</w:t>
      </w:r>
      <w:r w:rsidR="00D24E1D" w:rsidRPr="00E02273">
        <w:rPr>
          <w:lang w:val="en-CA"/>
        </w:rPr>
        <w:t xml:space="preserve"> of </w:t>
      </w:r>
      <w:r w:rsidR="002D51A4" w:rsidRPr="00E02273">
        <w:rPr>
          <w:lang w:val="en-CA"/>
        </w:rPr>
        <w:t xml:space="preserve">Canada </w:t>
      </w:r>
      <w:r w:rsidR="00D24E1D" w:rsidRPr="00E02273">
        <w:rPr>
          <w:lang w:val="en-CA"/>
        </w:rPr>
        <w:t>simply seek</w:t>
      </w:r>
      <w:r w:rsidR="007977F8">
        <w:rPr>
          <w:lang w:val="en-CA"/>
        </w:rPr>
        <w:t>s</w:t>
      </w:r>
      <w:r w:rsidR="00D24E1D" w:rsidRPr="00E02273">
        <w:rPr>
          <w:lang w:val="en-CA"/>
        </w:rPr>
        <w:t xml:space="preserve"> to regulate the price of patented medicines to </w:t>
      </w:r>
      <w:r w:rsidR="002D51A4" w:rsidRPr="00E02273">
        <w:rPr>
          <w:lang w:val="en-CA"/>
        </w:rPr>
        <w:t>impose</w:t>
      </w:r>
      <w:r w:rsidR="00D24E1D" w:rsidRPr="00E02273">
        <w:rPr>
          <w:lang w:val="en-CA"/>
        </w:rPr>
        <w:t xml:space="preserve"> significant price reductions by </w:t>
      </w:r>
      <w:r w:rsidR="002D51A4" w:rsidRPr="00E02273">
        <w:rPr>
          <w:lang w:val="en-CA"/>
        </w:rPr>
        <w:t>introdu</w:t>
      </w:r>
      <w:r w:rsidR="00D24E1D" w:rsidRPr="00E02273">
        <w:rPr>
          <w:lang w:val="en-CA"/>
        </w:rPr>
        <w:t xml:space="preserve">cing new factors that have little or nothing to do with the </w:t>
      </w:r>
      <w:r w:rsidR="002D51A4" w:rsidRPr="00E02273">
        <w:rPr>
          <w:lang w:val="en-CA"/>
        </w:rPr>
        <w:t>monopol</w:t>
      </w:r>
      <w:r w:rsidR="00D24E1D" w:rsidRPr="00E02273">
        <w:rPr>
          <w:lang w:val="en-CA"/>
        </w:rPr>
        <w:t>y granted by patents</w:t>
      </w:r>
      <w:r w:rsidR="002D51A4" w:rsidRPr="00E02273">
        <w:rPr>
          <w:lang w:val="en-CA"/>
        </w:rPr>
        <w:t xml:space="preserve">. </w:t>
      </w:r>
    </w:p>
    <w:p w14:paraId="69C5B412" w14:textId="78A11357" w:rsidR="00B568AD" w:rsidRPr="00E02273" w:rsidRDefault="007977F8" w:rsidP="007602DA">
      <w:pPr>
        <w:pStyle w:val="Paragraphe"/>
        <w:tabs>
          <w:tab w:val="clear" w:pos="4973"/>
          <w:tab w:val="num" w:pos="709"/>
        </w:tabs>
        <w:spacing w:line="240" w:lineRule="auto"/>
        <w:ind w:left="0"/>
        <w:rPr>
          <w:lang w:val="en-CA"/>
        </w:rPr>
      </w:pPr>
      <w:r>
        <w:rPr>
          <w:lang w:val="en-CA"/>
        </w:rPr>
        <w:t>T</w:t>
      </w:r>
      <w:r w:rsidR="00D24E1D" w:rsidRPr="00E02273">
        <w:rPr>
          <w:lang w:val="en-CA"/>
        </w:rPr>
        <w:t xml:space="preserve">he fact that the Board may in </w:t>
      </w:r>
      <w:r w:rsidR="002D51A4" w:rsidRPr="00E02273">
        <w:rPr>
          <w:lang w:val="en-CA"/>
        </w:rPr>
        <w:t>certain rare cas</w:t>
      </w:r>
      <w:r w:rsidR="00D24E1D" w:rsidRPr="00E02273">
        <w:rPr>
          <w:lang w:val="en-CA"/>
        </w:rPr>
        <w:t xml:space="preserve">es </w:t>
      </w:r>
      <w:r>
        <w:rPr>
          <w:lang w:val="en-CA"/>
        </w:rPr>
        <w:t xml:space="preserve">exclude </w:t>
      </w:r>
      <w:r w:rsidR="00D24E1D" w:rsidRPr="00E02273">
        <w:rPr>
          <w:lang w:val="en-CA"/>
        </w:rPr>
        <w:t xml:space="preserve">the </w:t>
      </w:r>
      <w:r w:rsidR="002D51A4" w:rsidRPr="00E02273">
        <w:rPr>
          <w:lang w:val="en-CA"/>
        </w:rPr>
        <w:t xml:space="preserve">application </w:t>
      </w:r>
      <w:r w:rsidR="00631BCF" w:rsidRPr="00E02273">
        <w:rPr>
          <w:lang w:val="en-CA"/>
        </w:rPr>
        <w:t xml:space="preserve">of its new </w:t>
      </w:r>
      <w:r w:rsidR="002D51A4" w:rsidRPr="00E02273">
        <w:rPr>
          <w:lang w:val="en-CA"/>
        </w:rPr>
        <w:t>guidelines</w:t>
      </w:r>
      <w:r w:rsidR="00631BCF" w:rsidRPr="00E02273">
        <w:rPr>
          <w:lang w:val="en-CA"/>
        </w:rPr>
        <w:t xml:space="preserve"> </w:t>
      </w:r>
      <w:r>
        <w:rPr>
          <w:lang w:val="en-CA"/>
        </w:rPr>
        <w:t>also can</w:t>
      </w:r>
      <w:r w:rsidR="00631BCF" w:rsidRPr="00E02273">
        <w:rPr>
          <w:lang w:val="en-CA"/>
        </w:rPr>
        <w:t xml:space="preserve">not </w:t>
      </w:r>
      <w:r w:rsidR="002D51A4" w:rsidRPr="00E02273">
        <w:rPr>
          <w:lang w:val="en-CA"/>
        </w:rPr>
        <w:t>valid</w:t>
      </w:r>
      <w:r w:rsidR="00631BCF" w:rsidRPr="00E02273">
        <w:rPr>
          <w:lang w:val="en-CA"/>
        </w:rPr>
        <w:t>at</w:t>
      </w:r>
      <w:r w:rsidR="002D51A4" w:rsidRPr="00E02273">
        <w:rPr>
          <w:lang w:val="en-CA"/>
        </w:rPr>
        <w:t>e</w:t>
      </w:r>
      <w:r w:rsidR="00631BCF" w:rsidRPr="00E02273">
        <w:rPr>
          <w:lang w:val="en-CA"/>
        </w:rPr>
        <w:t xml:space="preserve"> the </w:t>
      </w:r>
      <w:r w:rsidR="002D51A4" w:rsidRPr="00E02273">
        <w:rPr>
          <w:lang w:val="en-CA"/>
        </w:rPr>
        <w:t>constitutional</w:t>
      </w:r>
      <w:r w:rsidR="00631BCF" w:rsidRPr="00E02273">
        <w:rPr>
          <w:lang w:val="en-CA"/>
        </w:rPr>
        <w:t>ity of the new price control regime resulting from the new regulatory factors</w:t>
      </w:r>
      <w:r w:rsidR="002D51A4" w:rsidRPr="00E02273">
        <w:rPr>
          <w:lang w:val="en-CA"/>
        </w:rPr>
        <w:t xml:space="preserve">. </w:t>
      </w:r>
      <w:r w:rsidR="00631BCF" w:rsidRPr="00E02273">
        <w:rPr>
          <w:lang w:val="en-CA"/>
        </w:rPr>
        <w:t xml:space="preserve">Indeed, it is clear that the federal </w:t>
      </w:r>
      <w:r w:rsidR="002D51A4" w:rsidRPr="00E02273">
        <w:rPr>
          <w:lang w:val="en-CA"/>
        </w:rPr>
        <w:t>government</w:t>
      </w:r>
      <w:r w:rsidR="00631BCF" w:rsidRPr="00E02273">
        <w:rPr>
          <w:lang w:val="en-CA"/>
        </w:rPr>
        <w:t xml:space="preserve"> is trying to give the Board a new role so as to </w:t>
      </w:r>
      <w:r w:rsidR="002D51A4" w:rsidRPr="00E02273">
        <w:rPr>
          <w:lang w:val="en-CA"/>
        </w:rPr>
        <w:t>substitu</w:t>
      </w:r>
      <w:r w:rsidR="00631BCF" w:rsidRPr="00E02273">
        <w:rPr>
          <w:lang w:val="en-CA"/>
        </w:rPr>
        <w:t>t</w:t>
      </w:r>
      <w:r w:rsidR="002D51A4" w:rsidRPr="00E02273">
        <w:rPr>
          <w:lang w:val="en-CA"/>
        </w:rPr>
        <w:t>e</w:t>
      </w:r>
      <w:r w:rsidR="00631BCF" w:rsidRPr="00E02273">
        <w:rPr>
          <w:lang w:val="en-CA"/>
        </w:rPr>
        <w:t xml:space="preserve"> it for the provincial bodies</w:t>
      </w:r>
      <w:r>
        <w:rPr>
          <w:lang w:val="en-CA"/>
        </w:rPr>
        <w:t>,</w:t>
      </w:r>
      <w:r w:rsidR="00631BCF" w:rsidRPr="00E02273">
        <w:rPr>
          <w:lang w:val="en-CA"/>
        </w:rPr>
        <w:t xml:space="preserve"> such as the </w:t>
      </w:r>
      <w:r w:rsidR="002D51A4" w:rsidRPr="00E02273">
        <w:rPr>
          <w:lang w:val="en-CA"/>
        </w:rPr>
        <w:t>INESSS</w:t>
      </w:r>
      <w:r w:rsidR="00631BCF" w:rsidRPr="00E02273">
        <w:rPr>
          <w:lang w:val="en-CA"/>
        </w:rPr>
        <w:t xml:space="preserve">, and for the provincial health </w:t>
      </w:r>
      <w:r w:rsidR="002D51A4" w:rsidRPr="00E02273">
        <w:rPr>
          <w:lang w:val="en-CA"/>
        </w:rPr>
        <w:t xml:space="preserve">ministers. </w:t>
      </w:r>
      <w:r w:rsidR="00631BCF" w:rsidRPr="00E02273">
        <w:rPr>
          <w:lang w:val="en-CA"/>
        </w:rPr>
        <w:t xml:space="preserve">Thus, the Board could then play a greater, determinative role when choosing between </w:t>
      </w:r>
      <w:r w:rsidR="00643894" w:rsidRPr="00E02273">
        <w:rPr>
          <w:lang w:val="en-CA"/>
        </w:rPr>
        <w:t xml:space="preserve">pharmaceutical </w:t>
      </w:r>
      <w:r w:rsidR="00631BCF" w:rsidRPr="00E02273">
        <w:rPr>
          <w:lang w:val="en-CA"/>
        </w:rPr>
        <w:t xml:space="preserve">treatments </w:t>
      </w:r>
      <w:r w:rsidR="00643894" w:rsidRPr="00E02273">
        <w:rPr>
          <w:lang w:val="en-CA"/>
        </w:rPr>
        <w:t xml:space="preserve">that are </w:t>
      </w:r>
      <w:r w:rsidR="00643894" w:rsidRPr="00E02273">
        <w:rPr>
          <w:lang w:val="en-CA"/>
        </w:rPr>
        <w:lastRenderedPageBreak/>
        <w:t xml:space="preserve">innovative but costly and </w:t>
      </w:r>
      <w:r w:rsidR="002D51A4" w:rsidRPr="00E02273">
        <w:rPr>
          <w:lang w:val="en-CA"/>
        </w:rPr>
        <w:t>tradition</w:t>
      </w:r>
      <w:r w:rsidR="00643894" w:rsidRPr="00E02273">
        <w:rPr>
          <w:lang w:val="en-CA"/>
        </w:rPr>
        <w:t>a</w:t>
      </w:r>
      <w:r w:rsidR="002D51A4" w:rsidRPr="00E02273">
        <w:rPr>
          <w:lang w:val="en-CA"/>
        </w:rPr>
        <w:t>l</w:t>
      </w:r>
      <w:r w:rsidR="00643894" w:rsidRPr="00E02273">
        <w:rPr>
          <w:lang w:val="en-CA"/>
        </w:rPr>
        <w:t xml:space="preserve"> treatments that may be just as </w:t>
      </w:r>
      <w:r w:rsidR="002D51A4" w:rsidRPr="00E02273">
        <w:rPr>
          <w:lang w:val="en-CA"/>
        </w:rPr>
        <w:t>(o</w:t>
      </w:r>
      <w:r w:rsidR="00643894" w:rsidRPr="00E02273">
        <w:rPr>
          <w:lang w:val="en-CA"/>
        </w:rPr>
        <w:t>r even more</w:t>
      </w:r>
      <w:r w:rsidR="002D51A4" w:rsidRPr="00E02273">
        <w:rPr>
          <w:lang w:val="en-CA"/>
        </w:rPr>
        <w:t>) co</w:t>
      </w:r>
      <w:r w:rsidR="00643894" w:rsidRPr="00E02273">
        <w:rPr>
          <w:lang w:val="en-CA"/>
        </w:rPr>
        <w:t xml:space="preserve">stly for the provincial health </w:t>
      </w:r>
      <w:r w:rsidR="002D51A4" w:rsidRPr="00E02273">
        <w:rPr>
          <w:lang w:val="en-CA"/>
        </w:rPr>
        <w:t>syst</w:t>
      </w:r>
      <w:r w:rsidR="00643894" w:rsidRPr="00E02273">
        <w:rPr>
          <w:lang w:val="en-CA"/>
        </w:rPr>
        <w:t>e</w:t>
      </w:r>
      <w:r w:rsidR="002D51A4" w:rsidRPr="00E02273">
        <w:rPr>
          <w:lang w:val="en-CA"/>
        </w:rPr>
        <w:t xml:space="preserve">ms. </w:t>
      </w:r>
    </w:p>
    <w:p w14:paraId="609A0BCD" w14:textId="566E1D8C" w:rsidR="00B568AD" w:rsidRPr="00E02273" w:rsidRDefault="00643894" w:rsidP="007602DA">
      <w:pPr>
        <w:pStyle w:val="Paragraphe"/>
        <w:tabs>
          <w:tab w:val="clear" w:pos="4973"/>
          <w:tab w:val="num" w:pos="709"/>
        </w:tabs>
        <w:spacing w:line="240" w:lineRule="auto"/>
        <w:ind w:left="0"/>
        <w:rPr>
          <w:lang w:val="en-CA"/>
        </w:rPr>
      </w:pPr>
      <w:r w:rsidRPr="00E02273">
        <w:rPr>
          <w:lang w:val="en-CA"/>
        </w:rPr>
        <w:t xml:space="preserve">The Regulatory Impact Analysis Statement is in fact quite </w:t>
      </w:r>
      <w:r w:rsidR="002D51A4" w:rsidRPr="00E02273">
        <w:rPr>
          <w:lang w:val="en-CA"/>
        </w:rPr>
        <w:t>explicit</w:t>
      </w:r>
      <w:r w:rsidRPr="00E02273">
        <w:rPr>
          <w:lang w:val="en-CA"/>
        </w:rPr>
        <w:t xml:space="preserve"> in this </w:t>
      </w:r>
      <w:r w:rsidR="002D51A4" w:rsidRPr="00E02273">
        <w:rPr>
          <w:lang w:val="en-CA"/>
        </w:rPr>
        <w:t>respect</w:t>
      </w:r>
      <w:r w:rsidRPr="00E02273">
        <w:rPr>
          <w:lang w:val="en-CA"/>
        </w:rPr>
        <w:t>:</w:t>
      </w:r>
      <w:r w:rsidR="002D51A4" w:rsidRPr="00E02273">
        <w:rPr>
          <w:rStyle w:val="Appelnotedebasdep"/>
          <w:lang w:val="en-CA"/>
        </w:rPr>
        <w:footnoteReference w:id="214"/>
      </w:r>
    </w:p>
    <w:p w14:paraId="6D669253" w14:textId="77777777" w:rsidR="00471FAD" w:rsidRPr="00E02273" w:rsidRDefault="00471FAD" w:rsidP="00B568AD">
      <w:pPr>
        <w:pStyle w:val="Citationenretrait"/>
        <w:spacing w:line="240" w:lineRule="auto"/>
        <w:rPr>
          <w:lang w:val="en-CA"/>
        </w:rPr>
      </w:pPr>
      <w:r w:rsidRPr="00E02273">
        <w:rPr>
          <w:lang w:val="en-CA"/>
        </w:rPr>
        <w:t>The Amendments add three new price regulatory factors that, in addition to those already specified in subsection 85(1) of the </w:t>
      </w:r>
      <w:r w:rsidRPr="00E02273">
        <w:rPr>
          <w:i/>
          <w:iCs/>
          <w:lang w:val="en-CA"/>
        </w:rPr>
        <w:t>Patent Act</w:t>
      </w:r>
      <w:r w:rsidRPr="00E02273">
        <w:rPr>
          <w:lang w:val="en-CA"/>
        </w:rPr>
        <w:t xml:space="preserve">, are to be considered by the PMPRB. The new factors include: pharmacoeconomic value; market size; and gross domestic product (GDP) and GDP per capita in Canada. The need for these new factors arises from the limitations of evaluating whether a price is excessive on the basis of unit price information alone. </w:t>
      </w:r>
      <w:r w:rsidRPr="00E02273">
        <w:rPr>
          <w:u w:val="single"/>
          <w:lang w:val="en-CA"/>
        </w:rPr>
        <w:t xml:space="preserve">Unit price divorced from overall cost to consumers does not capture key inputs in determining whether a medicine represents </w:t>
      </w:r>
      <w:r w:rsidRPr="00E02273">
        <w:rPr>
          <w:b/>
          <w:u w:val="single"/>
          <w:lang w:val="en-CA"/>
        </w:rPr>
        <w:t xml:space="preserve">reasonable value for money </w:t>
      </w:r>
      <w:r w:rsidRPr="007E1F92">
        <w:rPr>
          <w:u w:val="single"/>
          <w:lang w:val="en-CA"/>
        </w:rPr>
        <w:t>or</w:t>
      </w:r>
      <w:r w:rsidRPr="00E02273">
        <w:rPr>
          <w:b/>
          <w:u w:val="single"/>
          <w:lang w:val="en-CA"/>
        </w:rPr>
        <w:t xml:space="preserve"> the ability of constrained health budgets to absorb new costs without rationing access or displacing other needed treatments</w:t>
      </w:r>
      <w:r w:rsidRPr="00E02273">
        <w:rPr>
          <w:lang w:val="en-CA"/>
        </w:rPr>
        <w:t xml:space="preserve">. These are critical considerations in an era marked by an aging population and a burgeoning number of medicines with annual average treatment costs in the tens of thousands and hundreds of thousands of dollars. </w:t>
      </w:r>
    </w:p>
    <w:p w14:paraId="3B344A04" w14:textId="2230453D" w:rsidR="00B568AD" w:rsidRPr="00E02273" w:rsidRDefault="002D51A4" w:rsidP="00B568AD">
      <w:pPr>
        <w:pStyle w:val="Citationenretrait"/>
        <w:spacing w:line="240" w:lineRule="auto"/>
        <w:rPr>
          <w:lang w:val="en-CA"/>
        </w:rPr>
      </w:pPr>
      <w:r w:rsidRPr="00E02273">
        <w:rPr>
          <w:lang w:val="en-CA"/>
        </w:rPr>
        <w:t>…</w:t>
      </w:r>
    </w:p>
    <w:p w14:paraId="7A149227" w14:textId="77777777" w:rsidR="00471FAD" w:rsidRPr="00E02273" w:rsidRDefault="00471FAD" w:rsidP="00B568AD">
      <w:pPr>
        <w:pStyle w:val="Citationenretrait"/>
        <w:spacing w:line="240" w:lineRule="auto"/>
        <w:rPr>
          <w:lang w:val="en-CA"/>
        </w:rPr>
      </w:pPr>
      <w:r w:rsidRPr="00E02273">
        <w:rPr>
          <w:lang w:val="en-CA"/>
        </w:rPr>
        <w:t xml:space="preserve">In a public health care system, a new medicine will only improve health outcomes overall if its additional health benefits exceed the </w:t>
      </w:r>
      <w:r w:rsidRPr="00E02273">
        <w:rPr>
          <w:u w:val="single"/>
          <w:lang w:val="en-CA"/>
        </w:rPr>
        <w:t>opportunity costs</w:t>
      </w:r>
      <w:r w:rsidRPr="00E02273">
        <w:rPr>
          <w:lang w:val="en-CA"/>
        </w:rPr>
        <w:t xml:space="preserve"> associated with the additional resources required to pay for it. </w:t>
      </w:r>
      <w:r w:rsidRPr="00E02273">
        <w:rPr>
          <w:u w:val="single"/>
          <w:lang w:val="en-CA"/>
        </w:rPr>
        <w:t>Opportunity cost is measured by reference to the estimated health foregone by other patients within the health care system when fixed and fully allocated resources are used to adopt a new medicine. Such an assessment of health opportunity cost reflects the maximum a health care system can pay for the health benefits that a new medicine offers without reducing total population health</w:t>
      </w:r>
      <w:r w:rsidRPr="00E02273">
        <w:rPr>
          <w:lang w:val="en-CA"/>
        </w:rPr>
        <w:t xml:space="preserve">. This is referred to as a supply-side threshold and requires knowledge of the marginal cost of a QALY within that health system (i.e. the point at which spending on a new medicine for one set of patients in the public system will result in the loss of one QALY for another set of patients in the system). </w:t>
      </w:r>
    </w:p>
    <w:p w14:paraId="3C4C7DF1" w14:textId="1B7471CB" w:rsidR="00B568AD" w:rsidRPr="00E02273" w:rsidRDefault="002D51A4" w:rsidP="00B568AD">
      <w:pPr>
        <w:pStyle w:val="Citationenretrait"/>
        <w:spacing w:line="240" w:lineRule="auto"/>
        <w:rPr>
          <w:lang w:val="en-CA"/>
        </w:rPr>
      </w:pPr>
      <w:r w:rsidRPr="00E02273">
        <w:rPr>
          <w:lang w:val="en-CA"/>
        </w:rPr>
        <w:t>…</w:t>
      </w:r>
    </w:p>
    <w:p w14:paraId="732FA3E4" w14:textId="58E04AFB" w:rsidR="00471FAD" w:rsidRPr="00E02273" w:rsidRDefault="002D51A4" w:rsidP="007E1F92">
      <w:pPr>
        <w:pStyle w:val="Citationenretrait"/>
        <w:keepNext/>
        <w:spacing w:line="240" w:lineRule="auto"/>
        <w:rPr>
          <w:lang w:val="en-CA"/>
        </w:rPr>
      </w:pPr>
      <w:r w:rsidRPr="00E02273">
        <w:rPr>
          <w:lang w:val="en-CA"/>
        </w:rPr>
        <w:t xml:space="preserve">… </w:t>
      </w:r>
      <w:r w:rsidR="00471FAD" w:rsidRPr="00E02273">
        <w:rPr>
          <w:lang w:val="en-CA"/>
        </w:rPr>
        <w:t xml:space="preserve">Requiring the [Board] to consider the pharmacoeconomic value of these medicines </w:t>
      </w:r>
      <w:r w:rsidR="00471FAD" w:rsidRPr="00E02273">
        <w:rPr>
          <w:b/>
          <w:u w:val="single"/>
          <w:lang w:val="en-CA"/>
        </w:rPr>
        <w:t>will ensure that the concept of opportunity cost is taken into account</w:t>
      </w:r>
      <w:r w:rsidR="00471FAD" w:rsidRPr="00E02273">
        <w:rPr>
          <w:lang w:val="en-CA"/>
        </w:rPr>
        <w:t xml:space="preserve"> in determining whether their price is excessive. Given that the private market for pharmaceuticals in Canada is an offshoot of the public system and cannot function without it, </w:t>
      </w:r>
      <w:r w:rsidR="00471FAD" w:rsidRPr="00E02273">
        <w:rPr>
          <w:u w:val="single"/>
          <w:lang w:val="en-CA"/>
        </w:rPr>
        <w:t xml:space="preserve">the policy intent is for the [Board] to </w:t>
      </w:r>
      <w:r w:rsidR="00471FAD" w:rsidRPr="00E02273">
        <w:rPr>
          <w:b/>
          <w:u w:val="single"/>
          <w:lang w:val="en-CA"/>
        </w:rPr>
        <w:t xml:space="preserve">adopt the </w:t>
      </w:r>
      <w:r w:rsidR="00471FAD" w:rsidRPr="00E02273">
        <w:rPr>
          <w:b/>
          <w:u w:val="single"/>
          <w:lang w:val="en-CA"/>
        </w:rPr>
        <w:lastRenderedPageBreak/>
        <w:t>perspective of the public health care system</w:t>
      </w:r>
      <w:r w:rsidR="00471FAD" w:rsidRPr="00E02273">
        <w:rPr>
          <w:u w:val="single"/>
          <w:lang w:val="en-CA"/>
        </w:rPr>
        <w:t xml:space="preserve"> and </w:t>
      </w:r>
      <w:r w:rsidR="00471FAD" w:rsidRPr="00E02273">
        <w:rPr>
          <w:b/>
          <w:u w:val="single"/>
          <w:lang w:val="en-CA"/>
        </w:rPr>
        <w:t>favour a supply-side cost-effectiveness threshold in estimating opportunity cost</w:t>
      </w:r>
      <w:r w:rsidR="00471FAD" w:rsidRPr="00E02273">
        <w:rPr>
          <w:lang w:val="en-CA"/>
        </w:rPr>
        <w:t xml:space="preserve">. </w:t>
      </w:r>
    </w:p>
    <w:p w14:paraId="543A0A40" w14:textId="3EF2D287" w:rsidR="00B568AD" w:rsidRPr="00E02273" w:rsidRDefault="002D51A4" w:rsidP="007E1F92">
      <w:pPr>
        <w:pStyle w:val="Citationenretrait"/>
        <w:keepNext/>
        <w:spacing w:line="240" w:lineRule="auto"/>
        <w:jc w:val="right"/>
        <w:rPr>
          <w:lang w:val="en-CA"/>
        </w:rPr>
      </w:pPr>
      <w:r w:rsidRPr="00E02273">
        <w:rPr>
          <w:lang w:val="en-CA"/>
        </w:rPr>
        <w:t>[</w:t>
      </w:r>
      <w:r w:rsidR="00471FAD" w:rsidRPr="00E02273">
        <w:rPr>
          <w:lang w:val="en-CA"/>
        </w:rPr>
        <w:t>E</w:t>
      </w:r>
      <w:r w:rsidRPr="00E02273">
        <w:rPr>
          <w:lang w:val="en-CA"/>
        </w:rPr>
        <w:t>mphasis</w:t>
      </w:r>
      <w:r w:rsidR="00471FAD" w:rsidRPr="00E02273">
        <w:rPr>
          <w:lang w:val="en-CA"/>
        </w:rPr>
        <w:t xml:space="preserve"> added.</w:t>
      </w:r>
      <w:r w:rsidRPr="00E02273">
        <w:rPr>
          <w:lang w:val="en-CA"/>
        </w:rPr>
        <w:t>]</w:t>
      </w:r>
    </w:p>
    <w:p w14:paraId="51A80E38" w14:textId="07A03E9F" w:rsidR="00B568AD" w:rsidRPr="00E02273" w:rsidRDefault="008B236E" w:rsidP="007602DA">
      <w:pPr>
        <w:pStyle w:val="Paragraphe"/>
        <w:tabs>
          <w:tab w:val="clear" w:pos="4973"/>
          <w:tab w:val="num" w:pos="709"/>
        </w:tabs>
        <w:spacing w:line="240" w:lineRule="auto"/>
        <w:ind w:left="0"/>
        <w:rPr>
          <w:lang w:val="en-CA"/>
        </w:rPr>
      </w:pPr>
      <w:r w:rsidRPr="00E02273">
        <w:rPr>
          <w:lang w:val="en-CA"/>
        </w:rPr>
        <w:t xml:space="preserve">It could not be </w:t>
      </w:r>
      <w:r w:rsidR="00052993" w:rsidRPr="00E02273">
        <w:rPr>
          <w:lang w:val="en-CA"/>
        </w:rPr>
        <w:t>stated more</w:t>
      </w:r>
      <w:r w:rsidRPr="00E02273">
        <w:rPr>
          <w:lang w:val="en-CA"/>
        </w:rPr>
        <w:t xml:space="preserve"> clear</w:t>
      </w:r>
      <w:r w:rsidR="00052993" w:rsidRPr="00E02273">
        <w:rPr>
          <w:lang w:val="en-CA"/>
        </w:rPr>
        <w:t>ly</w:t>
      </w:r>
      <w:r w:rsidR="002D51A4" w:rsidRPr="00E02273">
        <w:rPr>
          <w:lang w:val="en-CA"/>
        </w:rPr>
        <w:t xml:space="preserve">. </w:t>
      </w:r>
    </w:p>
    <w:p w14:paraId="3736536F" w14:textId="5091DDA6" w:rsidR="00B568AD" w:rsidRPr="00E02273" w:rsidRDefault="00910405" w:rsidP="007602DA">
      <w:pPr>
        <w:pStyle w:val="Paragraphe"/>
        <w:tabs>
          <w:tab w:val="clear" w:pos="4973"/>
          <w:tab w:val="num" w:pos="709"/>
        </w:tabs>
        <w:spacing w:line="240" w:lineRule="auto"/>
        <w:ind w:left="0"/>
        <w:rPr>
          <w:lang w:val="en-CA"/>
        </w:rPr>
      </w:pPr>
      <w:r w:rsidRPr="00E02273">
        <w:rPr>
          <w:lang w:val="en-CA"/>
        </w:rPr>
        <w:t xml:space="preserve">In summary, federal control of the price of patented medicines is constitutionally valid to the extent that its </w:t>
      </w:r>
      <w:r w:rsidR="002D51A4" w:rsidRPr="00E02273">
        <w:rPr>
          <w:lang w:val="en-CA"/>
        </w:rPr>
        <w:t>pith</w:t>
      </w:r>
      <w:r w:rsidR="00F31BED" w:rsidRPr="00E02273">
        <w:rPr>
          <w:lang w:val="en-CA"/>
        </w:rPr>
        <w:t xml:space="preserve"> </w:t>
      </w:r>
      <w:r w:rsidR="002D51A4" w:rsidRPr="00E02273">
        <w:rPr>
          <w:lang w:val="en-CA"/>
        </w:rPr>
        <w:t>and</w:t>
      </w:r>
      <w:r w:rsidR="00F31BED" w:rsidRPr="00E02273">
        <w:rPr>
          <w:lang w:val="en-CA"/>
        </w:rPr>
        <w:t xml:space="preserve"> </w:t>
      </w:r>
      <w:r w:rsidR="002D51A4" w:rsidRPr="00E02273">
        <w:rPr>
          <w:lang w:val="en-CA"/>
        </w:rPr>
        <w:t>substance</w:t>
      </w:r>
      <w:r w:rsidR="00F31BED" w:rsidRPr="00E02273">
        <w:rPr>
          <w:lang w:val="en-CA"/>
        </w:rPr>
        <w:t xml:space="preserve"> is to </w:t>
      </w:r>
      <w:r w:rsidR="007977F8">
        <w:rPr>
          <w:lang w:val="en-CA"/>
        </w:rPr>
        <w:t>prevent</w:t>
      </w:r>
      <w:r w:rsidR="007977F8" w:rsidRPr="00E02273">
        <w:rPr>
          <w:lang w:val="en-CA"/>
        </w:rPr>
        <w:t xml:space="preserve"> </w:t>
      </w:r>
      <w:r w:rsidR="00F31BED" w:rsidRPr="00E02273">
        <w:rPr>
          <w:lang w:val="en-CA"/>
        </w:rPr>
        <w:t xml:space="preserve">the adverse effects on prices of the </w:t>
      </w:r>
      <w:r w:rsidR="002D51A4" w:rsidRPr="00E02273">
        <w:rPr>
          <w:lang w:val="en-CA"/>
        </w:rPr>
        <w:t>monopol</w:t>
      </w:r>
      <w:r w:rsidR="00F31BED" w:rsidRPr="00E02273">
        <w:rPr>
          <w:lang w:val="en-CA"/>
        </w:rPr>
        <w:t xml:space="preserve">y granted by </w:t>
      </w:r>
      <w:r w:rsidR="00170BFF">
        <w:rPr>
          <w:lang w:val="en-CA"/>
        </w:rPr>
        <w:t xml:space="preserve">the </w:t>
      </w:r>
      <w:r w:rsidR="00F31BED" w:rsidRPr="00E02273">
        <w:rPr>
          <w:lang w:val="en-CA"/>
        </w:rPr>
        <w:t>patent. Conversely</w:t>
      </w:r>
      <w:r w:rsidR="002D51A4" w:rsidRPr="00E02273">
        <w:rPr>
          <w:lang w:val="en-CA"/>
        </w:rPr>
        <w:t>,</w:t>
      </w:r>
      <w:r w:rsidR="00F31BED" w:rsidRPr="00E02273">
        <w:rPr>
          <w:lang w:val="en-CA"/>
        </w:rPr>
        <w:t xml:space="preserve"> such control is unc</w:t>
      </w:r>
      <w:r w:rsidR="002D51A4" w:rsidRPr="00E02273">
        <w:rPr>
          <w:lang w:val="en-CA"/>
        </w:rPr>
        <w:t>onstitution</w:t>
      </w:r>
      <w:r w:rsidR="00F31BED" w:rsidRPr="00E02273">
        <w:rPr>
          <w:lang w:val="en-CA"/>
        </w:rPr>
        <w:t>a</w:t>
      </w:r>
      <w:r w:rsidR="002D51A4" w:rsidRPr="00E02273">
        <w:rPr>
          <w:lang w:val="en-CA"/>
        </w:rPr>
        <w:t>l</w:t>
      </w:r>
      <w:r w:rsidR="00F31BED" w:rsidRPr="00E02273">
        <w:rPr>
          <w:lang w:val="en-CA"/>
        </w:rPr>
        <w:t xml:space="preserve"> when it is no longer intended to </w:t>
      </w:r>
      <w:r w:rsidR="002D51A4" w:rsidRPr="00E02273">
        <w:rPr>
          <w:lang w:val="en-CA"/>
        </w:rPr>
        <w:t>contr</w:t>
      </w:r>
      <w:r w:rsidR="00F31BED" w:rsidRPr="00E02273">
        <w:rPr>
          <w:lang w:val="en-CA"/>
        </w:rPr>
        <w:t xml:space="preserve">ol </w:t>
      </w:r>
      <w:r w:rsidR="002F37D4" w:rsidRPr="00E02273">
        <w:rPr>
          <w:lang w:val="en-CA"/>
        </w:rPr>
        <w:t xml:space="preserve">the effect on prices of the </w:t>
      </w:r>
      <w:r w:rsidR="002D51A4" w:rsidRPr="00E02273">
        <w:rPr>
          <w:lang w:val="en-CA"/>
        </w:rPr>
        <w:t>monopol</w:t>
      </w:r>
      <w:r w:rsidR="002F37D4" w:rsidRPr="00E02273">
        <w:rPr>
          <w:lang w:val="en-CA"/>
        </w:rPr>
        <w:t>y granted by patent</w:t>
      </w:r>
      <w:r w:rsidR="002D51A4" w:rsidRPr="00E02273">
        <w:rPr>
          <w:lang w:val="en-CA"/>
        </w:rPr>
        <w:t xml:space="preserve">. </w:t>
      </w:r>
    </w:p>
    <w:p w14:paraId="3A2BA20A" w14:textId="0F304089" w:rsidR="00B568AD" w:rsidRPr="00E02273" w:rsidRDefault="002F37D4" w:rsidP="007602DA">
      <w:pPr>
        <w:pStyle w:val="Paragraphe"/>
        <w:tabs>
          <w:tab w:val="clear" w:pos="4973"/>
          <w:tab w:val="num" w:pos="709"/>
        </w:tabs>
        <w:spacing w:line="240" w:lineRule="auto"/>
        <w:ind w:left="0"/>
        <w:rPr>
          <w:lang w:val="en-CA"/>
        </w:rPr>
      </w:pPr>
      <w:r w:rsidRPr="00E02273">
        <w:rPr>
          <w:lang w:val="en-CA"/>
        </w:rPr>
        <w:t xml:space="preserve">While it is necessary to give the heads </w:t>
      </w:r>
      <w:r w:rsidR="001C410D" w:rsidRPr="00E02273">
        <w:rPr>
          <w:lang w:val="en-CA"/>
        </w:rPr>
        <w:t xml:space="preserve">of power a flexible and progressive </w:t>
      </w:r>
      <w:r w:rsidRPr="00E02273">
        <w:rPr>
          <w:lang w:val="en-CA"/>
        </w:rPr>
        <w:t>interpretation</w:t>
      </w:r>
      <w:r w:rsidR="001C410D" w:rsidRPr="00E02273">
        <w:rPr>
          <w:lang w:val="en-CA"/>
        </w:rPr>
        <w:t xml:space="preserve"> to take into account the changes in C</w:t>
      </w:r>
      <w:r w:rsidR="002D51A4" w:rsidRPr="00E02273">
        <w:rPr>
          <w:lang w:val="en-CA"/>
        </w:rPr>
        <w:t>anadi</w:t>
      </w:r>
      <w:r w:rsidR="001C410D" w:rsidRPr="00E02273">
        <w:rPr>
          <w:lang w:val="en-CA"/>
        </w:rPr>
        <w:t>a</w:t>
      </w:r>
      <w:r w:rsidR="002D51A4" w:rsidRPr="00E02273">
        <w:rPr>
          <w:lang w:val="en-CA"/>
        </w:rPr>
        <w:t>n</w:t>
      </w:r>
      <w:r w:rsidR="001C410D" w:rsidRPr="00E02273">
        <w:rPr>
          <w:lang w:val="en-CA"/>
        </w:rPr>
        <w:t xml:space="preserve"> society, it must nevertheless be rooted in the natural limits fixed by </w:t>
      </w:r>
      <w:r w:rsidR="002D51A4" w:rsidRPr="00E02273">
        <w:rPr>
          <w:lang w:val="en-CA"/>
        </w:rPr>
        <w:t xml:space="preserve">sections 91 </w:t>
      </w:r>
      <w:r w:rsidR="001C410D" w:rsidRPr="00E02273">
        <w:rPr>
          <w:lang w:val="en-CA"/>
        </w:rPr>
        <w:t>and</w:t>
      </w:r>
      <w:r w:rsidR="002D51A4" w:rsidRPr="00E02273">
        <w:rPr>
          <w:lang w:val="en-CA"/>
        </w:rPr>
        <w:t xml:space="preserve"> 92 </w:t>
      </w:r>
      <w:r w:rsidR="001C410D" w:rsidRPr="00E02273">
        <w:rPr>
          <w:lang w:val="en-CA"/>
        </w:rPr>
        <w:t xml:space="preserve">of the </w:t>
      </w:r>
      <w:r w:rsidR="002D51A4" w:rsidRPr="00E02273">
        <w:rPr>
          <w:i/>
          <w:lang w:val="en-CA"/>
        </w:rPr>
        <w:t>Constitution</w:t>
      </w:r>
      <w:r w:rsidR="001C410D" w:rsidRPr="00E02273">
        <w:rPr>
          <w:i/>
          <w:lang w:val="en-CA"/>
        </w:rPr>
        <w:t xml:space="preserve"> </w:t>
      </w:r>
      <w:r w:rsidR="002D51A4" w:rsidRPr="00E02273">
        <w:rPr>
          <w:i/>
          <w:lang w:val="en-CA"/>
        </w:rPr>
        <w:t>Act,</w:t>
      </w:r>
      <w:r w:rsidR="001C410D" w:rsidRPr="00E02273">
        <w:rPr>
          <w:i/>
          <w:lang w:val="en-CA"/>
        </w:rPr>
        <w:t xml:space="preserve"> </w:t>
      </w:r>
      <w:r w:rsidR="002D51A4" w:rsidRPr="00E02273">
        <w:rPr>
          <w:i/>
          <w:lang w:val="en-CA"/>
        </w:rPr>
        <w:t>1867</w:t>
      </w:r>
      <w:r w:rsidR="001C410D" w:rsidRPr="00E02273">
        <w:rPr>
          <w:lang w:val="en-CA"/>
        </w:rPr>
        <w:t xml:space="preserve">, and must seek to preserve the balance between the </w:t>
      </w:r>
      <w:r w:rsidR="002D51A4" w:rsidRPr="00E02273">
        <w:rPr>
          <w:lang w:val="en-CA"/>
        </w:rPr>
        <w:t>federal</w:t>
      </w:r>
      <w:r w:rsidR="001C410D" w:rsidRPr="00E02273">
        <w:rPr>
          <w:lang w:val="en-CA"/>
        </w:rPr>
        <w:t xml:space="preserve"> and provincial </w:t>
      </w:r>
      <w:r w:rsidR="002D51A4" w:rsidRPr="00E02273">
        <w:rPr>
          <w:lang w:val="en-CA"/>
        </w:rPr>
        <w:t>jurisdictions</w:t>
      </w:r>
      <w:r w:rsidR="001C410D" w:rsidRPr="00E02273">
        <w:rPr>
          <w:lang w:val="en-CA"/>
        </w:rPr>
        <w:t>.</w:t>
      </w:r>
      <w:r w:rsidR="002D51A4" w:rsidRPr="00E02273">
        <w:rPr>
          <w:rStyle w:val="Appelnotedebasdep"/>
          <w:lang w:val="en-CA"/>
        </w:rPr>
        <w:footnoteReference w:id="215"/>
      </w:r>
      <w:r w:rsidR="002D51A4" w:rsidRPr="00E02273">
        <w:rPr>
          <w:lang w:val="en-CA"/>
        </w:rPr>
        <w:t xml:space="preserve"> </w:t>
      </w:r>
      <w:r w:rsidR="006F04E7" w:rsidRPr="00E02273">
        <w:rPr>
          <w:lang w:val="en-CA"/>
        </w:rPr>
        <w:t>However, by imposing arbitrary price reductions of up to 20% to 50% in certain cases, and of 25% to 35% in others</w:t>
      </w:r>
      <w:r w:rsidR="00544254" w:rsidRPr="00E02273">
        <w:rPr>
          <w:lang w:val="en-CA"/>
        </w:rPr>
        <w:t>, on prices already deemed no</w:t>
      </w:r>
      <w:r w:rsidR="007E1F92">
        <w:rPr>
          <w:lang w:val="en-CA"/>
        </w:rPr>
        <w:t>t to be</w:t>
      </w:r>
      <w:r w:rsidR="00544254" w:rsidRPr="00E02273">
        <w:rPr>
          <w:lang w:val="en-CA"/>
        </w:rPr>
        <w:t xml:space="preserve"> </w:t>
      </w:r>
      <w:r w:rsidR="002D51A4" w:rsidRPr="00E02273">
        <w:rPr>
          <w:lang w:val="en-CA"/>
        </w:rPr>
        <w:t>excessi</w:t>
      </w:r>
      <w:r w:rsidR="00544254" w:rsidRPr="00E02273">
        <w:rPr>
          <w:lang w:val="en-CA"/>
        </w:rPr>
        <w:t xml:space="preserve">ve, the federal </w:t>
      </w:r>
      <w:r w:rsidR="002D51A4" w:rsidRPr="00E02273">
        <w:rPr>
          <w:lang w:val="en-CA"/>
        </w:rPr>
        <w:t>government</w:t>
      </w:r>
      <w:r w:rsidR="00544254" w:rsidRPr="00E02273">
        <w:rPr>
          <w:lang w:val="en-CA"/>
        </w:rPr>
        <w:t xml:space="preserve"> is no longer acting within its </w:t>
      </w:r>
      <w:r w:rsidR="002D51A4" w:rsidRPr="00E02273">
        <w:rPr>
          <w:lang w:val="en-CA"/>
        </w:rPr>
        <w:t>jurisdiction</w:t>
      </w:r>
      <w:r w:rsidR="00544254" w:rsidRPr="00E02273">
        <w:rPr>
          <w:lang w:val="en-CA"/>
        </w:rPr>
        <w:t xml:space="preserve"> over patents of </w:t>
      </w:r>
      <w:r w:rsidR="002D51A4" w:rsidRPr="00E02273">
        <w:rPr>
          <w:lang w:val="en-CA"/>
        </w:rPr>
        <w:t xml:space="preserve">invention </w:t>
      </w:r>
      <w:r w:rsidR="00544254" w:rsidRPr="00E02273">
        <w:rPr>
          <w:lang w:val="en-CA"/>
        </w:rPr>
        <w:t xml:space="preserve">and discovery because it </w:t>
      </w:r>
      <w:r w:rsidR="00C86193">
        <w:rPr>
          <w:lang w:val="en-CA"/>
        </w:rPr>
        <w:t xml:space="preserve">does not want </w:t>
      </w:r>
      <w:r w:rsidR="00544254" w:rsidRPr="00E02273">
        <w:rPr>
          <w:lang w:val="en-CA"/>
        </w:rPr>
        <w:t xml:space="preserve">to regulate the effects on prices of the </w:t>
      </w:r>
      <w:r w:rsidR="002D51A4" w:rsidRPr="00E02273">
        <w:rPr>
          <w:lang w:val="en-CA"/>
        </w:rPr>
        <w:t>monopol</w:t>
      </w:r>
      <w:r w:rsidR="00544254" w:rsidRPr="00E02273">
        <w:rPr>
          <w:lang w:val="en-CA"/>
        </w:rPr>
        <w:t xml:space="preserve">y granted by </w:t>
      </w:r>
      <w:r w:rsidR="00C86193">
        <w:rPr>
          <w:lang w:val="en-CA"/>
        </w:rPr>
        <w:t xml:space="preserve">the </w:t>
      </w:r>
      <w:r w:rsidR="00544254" w:rsidRPr="00E02273">
        <w:rPr>
          <w:lang w:val="en-CA"/>
        </w:rPr>
        <w:t xml:space="preserve">patent, but rather the market itself. In </w:t>
      </w:r>
      <w:r w:rsidR="002D51A4" w:rsidRPr="00E02273">
        <w:rPr>
          <w:lang w:val="en-CA"/>
        </w:rPr>
        <w:t xml:space="preserve">addition, </w:t>
      </w:r>
      <w:r w:rsidR="00544254" w:rsidRPr="00E02273">
        <w:rPr>
          <w:lang w:val="en-CA"/>
        </w:rPr>
        <w:t>by giving the Bo</w:t>
      </w:r>
      <w:r w:rsidR="007E1F92">
        <w:rPr>
          <w:lang w:val="en-CA"/>
        </w:rPr>
        <w:t>ard a new, determinative role in</w:t>
      </w:r>
      <w:r w:rsidR="00544254" w:rsidRPr="00E02273">
        <w:rPr>
          <w:lang w:val="en-CA"/>
        </w:rPr>
        <w:t xml:space="preserve"> the </w:t>
      </w:r>
      <w:r w:rsidR="002D51A4" w:rsidRPr="00E02273">
        <w:rPr>
          <w:lang w:val="en-CA"/>
        </w:rPr>
        <w:t>optimi</w:t>
      </w:r>
      <w:r w:rsidR="00544254" w:rsidRPr="00E02273">
        <w:rPr>
          <w:lang w:val="en-CA"/>
        </w:rPr>
        <w:t>z</w:t>
      </w:r>
      <w:r w:rsidR="002D51A4" w:rsidRPr="00E02273">
        <w:rPr>
          <w:lang w:val="en-CA"/>
        </w:rPr>
        <w:t xml:space="preserve">ation </w:t>
      </w:r>
      <w:r w:rsidR="00544254" w:rsidRPr="00E02273">
        <w:rPr>
          <w:lang w:val="en-CA"/>
        </w:rPr>
        <w:t xml:space="preserve">of provincial resources and provincial health </w:t>
      </w:r>
      <w:r w:rsidR="002D51A4" w:rsidRPr="00E02273">
        <w:rPr>
          <w:lang w:val="en-CA"/>
        </w:rPr>
        <w:t>budgets</w:t>
      </w:r>
      <w:r w:rsidR="00544254" w:rsidRPr="00E02273">
        <w:rPr>
          <w:lang w:val="en-CA"/>
        </w:rPr>
        <w:t xml:space="preserve">, the federal </w:t>
      </w:r>
      <w:r w:rsidR="002D51A4" w:rsidRPr="00E02273">
        <w:rPr>
          <w:lang w:val="en-CA"/>
        </w:rPr>
        <w:t xml:space="preserve">government </w:t>
      </w:r>
      <w:r w:rsidR="00D54003" w:rsidRPr="00E02273">
        <w:rPr>
          <w:lang w:val="en-CA"/>
        </w:rPr>
        <w:t>is directly intruding into provincial heads of power</w:t>
      </w:r>
      <w:r w:rsidR="002D51A4" w:rsidRPr="00E02273">
        <w:rPr>
          <w:lang w:val="en-CA"/>
        </w:rPr>
        <w:t>.</w:t>
      </w:r>
    </w:p>
    <w:p w14:paraId="36F435DF" w14:textId="77777777" w:rsidR="00B568AD" w:rsidRPr="00E02273" w:rsidRDefault="002D51A4" w:rsidP="00B568AD">
      <w:pPr>
        <w:pStyle w:val="Paragraphe"/>
        <w:numPr>
          <w:ilvl w:val="0"/>
          <w:numId w:val="0"/>
        </w:numPr>
        <w:spacing w:line="240" w:lineRule="auto"/>
        <w:rPr>
          <w:b/>
          <w:u w:val="single"/>
          <w:lang w:val="en-CA"/>
        </w:rPr>
      </w:pPr>
      <w:r w:rsidRPr="00E02273">
        <w:rPr>
          <w:b/>
          <w:u w:val="single"/>
          <w:lang w:val="en-CA"/>
        </w:rPr>
        <w:t>VII - CONCLUSION</w:t>
      </w:r>
    </w:p>
    <w:p w14:paraId="51C3767D" w14:textId="1A4452D1" w:rsidR="00B568AD" w:rsidRPr="00E02273" w:rsidRDefault="004B2EA9" w:rsidP="007602DA">
      <w:pPr>
        <w:pStyle w:val="Paragraphe"/>
        <w:tabs>
          <w:tab w:val="clear" w:pos="4973"/>
          <w:tab w:val="num" w:pos="709"/>
        </w:tabs>
        <w:spacing w:line="240" w:lineRule="auto"/>
        <w:ind w:left="0"/>
        <w:rPr>
          <w:lang w:val="en-CA"/>
        </w:rPr>
      </w:pPr>
      <w:r w:rsidRPr="00E02273">
        <w:rPr>
          <w:lang w:val="en-CA"/>
        </w:rPr>
        <w:t xml:space="preserve">I therefore </w:t>
      </w:r>
      <w:r w:rsidR="002D51A4" w:rsidRPr="00E02273">
        <w:rPr>
          <w:lang w:val="en-CA"/>
        </w:rPr>
        <w:t xml:space="preserve">propose </w:t>
      </w:r>
      <w:r w:rsidRPr="00E02273">
        <w:rPr>
          <w:lang w:val="en-CA"/>
        </w:rPr>
        <w:t xml:space="preserve">that the </w:t>
      </w:r>
      <w:r w:rsidR="002D51A4" w:rsidRPr="00E02273">
        <w:rPr>
          <w:lang w:val="en-CA"/>
        </w:rPr>
        <w:t xml:space="preserve">Court </w:t>
      </w:r>
      <w:r w:rsidRPr="00E02273">
        <w:rPr>
          <w:lang w:val="en-CA"/>
        </w:rPr>
        <w:t xml:space="preserve">allow the appeal in </w:t>
      </w:r>
      <w:r w:rsidR="002D51A4" w:rsidRPr="00E02273">
        <w:rPr>
          <w:lang w:val="en-CA"/>
        </w:rPr>
        <w:t>part</w:t>
      </w:r>
      <w:r w:rsidRPr="00E02273">
        <w:rPr>
          <w:lang w:val="en-CA"/>
        </w:rPr>
        <w:t xml:space="preserve"> and dismiss the </w:t>
      </w:r>
      <w:r w:rsidR="002D51A4" w:rsidRPr="00E02273">
        <w:rPr>
          <w:lang w:val="en-CA"/>
        </w:rPr>
        <w:t>incident</w:t>
      </w:r>
      <w:r w:rsidRPr="00E02273">
        <w:rPr>
          <w:lang w:val="en-CA"/>
        </w:rPr>
        <w:t xml:space="preserve">al </w:t>
      </w:r>
      <w:r w:rsidR="002D51A4" w:rsidRPr="00E02273">
        <w:rPr>
          <w:lang w:val="en-CA"/>
        </w:rPr>
        <w:t>appeal,</w:t>
      </w:r>
      <w:r w:rsidRPr="00E02273">
        <w:rPr>
          <w:lang w:val="en-CA"/>
        </w:rPr>
        <w:t xml:space="preserve"> with </w:t>
      </w:r>
      <w:r w:rsidR="002D51A4" w:rsidRPr="00E02273">
        <w:rPr>
          <w:lang w:val="en-CA"/>
        </w:rPr>
        <w:t>legal</w:t>
      </w:r>
      <w:r w:rsidRPr="00E02273">
        <w:rPr>
          <w:lang w:val="en-CA"/>
        </w:rPr>
        <w:t xml:space="preserve"> </w:t>
      </w:r>
      <w:r w:rsidR="002D51A4" w:rsidRPr="00E02273">
        <w:rPr>
          <w:lang w:val="en-CA"/>
        </w:rPr>
        <w:t>costs</w:t>
      </w:r>
      <w:r w:rsidRPr="00E02273">
        <w:rPr>
          <w:lang w:val="en-CA"/>
        </w:rPr>
        <w:t xml:space="preserve"> on </w:t>
      </w:r>
      <w:r w:rsidR="002D51A4" w:rsidRPr="00E02273">
        <w:rPr>
          <w:lang w:val="en-CA"/>
        </w:rPr>
        <w:t>appeal</w:t>
      </w:r>
      <w:r w:rsidRPr="00E02273">
        <w:rPr>
          <w:lang w:val="en-CA"/>
        </w:rPr>
        <w:t xml:space="preserve"> and at </w:t>
      </w:r>
      <w:r w:rsidR="002D51A4" w:rsidRPr="00E02273">
        <w:rPr>
          <w:lang w:val="en-CA"/>
        </w:rPr>
        <w:t>trial</w:t>
      </w:r>
      <w:r w:rsidRPr="00E02273">
        <w:rPr>
          <w:lang w:val="en-CA"/>
        </w:rPr>
        <w:t xml:space="preserve"> in favour of the </w:t>
      </w:r>
      <w:r w:rsidR="002D51A4" w:rsidRPr="00E02273">
        <w:rPr>
          <w:lang w:val="en-CA"/>
        </w:rPr>
        <w:t>appel</w:t>
      </w:r>
      <w:r w:rsidRPr="00E02273">
        <w:rPr>
          <w:lang w:val="en-CA"/>
        </w:rPr>
        <w:t>l</w:t>
      </w:r>
      <w:r w:rsidR="002D51A4" w:rsidRPr="00E02273">
        <w:rPr>
          <w:lang w:val="en-CA"/>
        </w:rPr>
        <w:t>ants.</w:t>
      </w:r>
    </w:p>
    <w:p w14:paraId="52A58861" w14:textId="0BB8EB98" w:rsidR="00B568AD" w:rsidRPr="00E02273" w:rsidRDefault="004B2EA9" w:rsidP="007602DA">
      <w:pPr>
        <w:pStyle w:val="Paragraphe"/>
        <w:tabs>
          <w:tab w:val="clear" w:pos="4973"/>
          <w:tab w:val="num" w:pos="709"/>
        </w:tabs>
        <w:spacing w:line="240" w:lineRule="auto"/>
        <w:ind w:left="0"/>
        <w:rPr>
          <w:lang w:val="en-CA"/>
        </w:rPr>
      </w:pPr>
      <w:r w:rsidRPr="00E02273">
        <w:rPr>
          <w:lang w:val="en-CA"/>
        </w:rPr>
        <w:t xml:space="preserve">I therefore </w:t>
      </w:r>
      <w:r w:rsidR="002D51A4" w:rsidRPr="00E02273">
        <w:rPr>
          <w:lang w:val="en-CA"/>
        </w:rPr>
        <w:t xml:space="preserve">propose </w:t>
      </w:r>
      <w:r w:rsidRPr="00E02273">
        <w:rPr>
          <w:lang w:val="en-CA"/>
        </w:rPr>
        <w:t xml:space="preserve">to </w:t>
      </w:r>
      <w:r w:rsidR="00F70CB2" w:rsidRPr="00E02273">
        <w:rPr>
          <w:lang w:val="en-CA"/>
        </w:rPr>
        <w:t xml:space="preserve">reverse the trial </w:t>
      </w:r>
      <w:r w:rsidR="002D51A4" w:rsidRPr="00E02273">
        <w:rPr>
          <w:lang w:val="en-CA"/>
        </w:rPr>
        <w:t>judgment</w:t>
      </w:r>
      <w:r w:rsidR="00F70CB2" w:rsidRPr="00E02273">
        <w:rPr>
          <w:lang w:val="en-CA"/>
        </w:rPr>
        <w:t xml:space="preserve"> in part </w:t>
      </w:r>
      <w:r w:rsidR="00B7769B" w:rsidRPr="00E02273">
        <w:rPr>
          <w:lang w:val="en-CA"/>
        </w:rPr>
        <w:t xml:space="preserve">to </w:t>
      </w:r>
      <w:r w:rsidR="002D51A4" w:rsidRPr="00E02273">
        <w:rPr>
          <w:lang w:val="en-CA"/>
        </w:rPr>
        <w:t xml:space="preserve">replace paragraphs [432] </w:t>
      </w:r>
      <w:r w:rsidR="00B7769B" w:rsidRPr="00E02273">
        <w:rPr>
          <w:lang w:val="en-CA"/>
        </w:rPr>
        <w:t xml:space="preserve">and </w:t>
      </w:r>
      <w:r w:rsidR="002D51A4" w:rsidRPr="00E02273">
        <w:rPr>
          <w:lang w:val="en-CA"/>
        </w:rPr>
        <w:t xml:space="preserve">[433] </w:t>
      </w:r>
      <w:r w:rsidR="00B7769B" w:rsidRPr="00E02273">
        <w:rPr>
          <w:lang w:val="en-CA"/>
        </w:rPr>
        <w:t>with the following</w:t>
      </w:r>
      <w:r w:rsidR="002D51A4" w:rsidRPr="00E02273">
        <w:rPr>
          <w:lang w:val="en-CA"/>
        </w:rPr>
        <w:t>:</w:t>
      </w:r>
    </w:p>
    <w:p w14:paraId="1282990B" w14:textId="258D1779" w:rsidR="00765A81" w:rsidRPr="00765A81" w:rsidRDefault="00765A81" w:rsidP="00B568AD">
      <w:pPr>
        <w:pStyle w:val="Citationenretrait"/>
        <w:spacing w:line="240" w:lineRule="auto"/>
        <w:rPr>
          <w:rStyle w:val="Citationintgre"/>
          <w:i w:val="0"/>
          <w:lang w:val="en-CA"/>
        </w:rPr>
      </w:pPr>
      <w:r>
        <w:rPr>
          <w:rStyle w:val="Citationintgre"/>
          <w:i w:val="0"/>
          <w:lang w:val="en-CA"/>
        </w:rPr>
        <w:t>[</w:t>
      </w:r>
      <w:r>
        <w:rPr>
          <w:rStyle w:val="Citationintgre"/>
          <w:i w:val="0"/>
          <w:smallCaps/>
          <w:lang w:val="en-CA"/>
        </w:rPr>
        <w:t>translation</w:t>
      </w:r>
      <w:r>
        <w:rPr>
          <w:rStyle w:val="Citationintgre"/>
          <w:i w:val="0"/>
          <w:lang w:val="en-CA"/>
        </w:rPr>
        <w:t>]</w:t>
      </w:r>
    </w:p>
    <w:p w14:paraId="46F9FE00" w14:textId="35FBA8AC" w:rsidR="00601117" w:rsidRPr="00E02273" w:rsidRDefault="002D51A4" w:rsidP="00B568AD">
      <w:pPr>
        <w:pStyle w:val="Citationenretrait"/>
        <w:spacing w:line="240" w:lineRule="auto"/>
        <w:rPr>
          <w:rStyle w:val="Citationintgre"/>
          <w:i w:val="0"/>
          <w:lang w:val="en-CA"/>
        </w:rPr>
      </w:pPr>
      <w:r w:rsidRPr="00E02273">
        <w:rPr>
          <w:rStyle w:val="Citationintgre"/>
          <w:i w:val="0"/>
          <w:lang w:val="en-CA"/>
        </w:rPr>
        <w:t>[432]</w:t>
      </w:r>
      <w:r w:rsidRPr="00E02273">
        <w:rPr>
          <w:rStyle w:val="Citationintgre"/>
          <w:i w:val="0"/>
          <w:lang w:val="en-CA"/>
        </w:rPr>
        <w:tab/>
      </w:r>
      <w:r w:rsidR="00601117" w:rsidRPr="00E02273">
        <w:rPr>
          <w:rStyle w:val="Citationintgre"/>
          <w:b/>
          <w:i w:val="0"/>
          <w:lang w:val="en-CA"/>
        </w:rPr>
        <w:t>DECLARES</w:t>
      </w:r>
      <w:r w:rsidR="00601117" w:rsidRPr="00E02273">
        <w:rPr>
          <w:rStyle w:val="Citationintgre"/>
          <w:i w:val="0"/>
          <w:lang w:val="en-CA"/>
        </w:rPr>
        <w:t xml:space="preserve"> valid: (i) the entire </w:t>
      </w:r>
      <w:r w:rsidR="00601117" w:rsidRPr="00E02273">
        <w:rPr>
          <w:rStyle w:val="Citationintgre"/>
          <w:lang w:val="en-CA"/>
        </w:rPr>
        <w:t>Patented Medicines Regulations</w:t>
      </w:r>
      <w:r w:rsidR="00601117" w:rsidRPr="00E02273">
        <w:rPr>
          <w:rStyle w:val="Citationintgre"/>
          <w:i w:val="0"/>
          <w:lang w:val="en-CA"/>
        </w:rPr>
        <w:t xml:space="preserve">, SOR/94-688 and (ii) the amendments to the </w:t>
      </w:r>
      <w:r w:rsidR="00601117" w:rsidRPr="00E02273">
        <w:rPr>
          <w:rStyle w:val="Citationintgre"/>
          <w:lang w:val="en-CA"/>
        </w:rPr>
        <w:t>Regulations</w:t>
      </w:r>
      <w:r w:rsidR="00601117" w:rsidRPr="00E02273">
        <w:rPr>
          <w:rStyle w:val="Citationintgre"/>
          <w:i w:val="0"/>
          <w:lang w:val="en-CA"/>
        </w:rPr>
        <w:t xml:space="preserve"> published in the </w:t>
      </w:r>
      <w:r w:rsidR="00601117" w:rsidRPr="008067F4">
        <w:rPr>
          <w:rStyle w:val="Citationintgre"/>
          <w:lang w:val="en-CA"/>
        </w:rPr>
        <w:t>Canada Gazette</w:t>
      </w:r>
      <w:r w:rsidR="00601117" w:rsidRPr="00E02273">
        <w:rPr>
          <w:rStyle w:val="Citationintgre"/>
          <w:i w:val="0"/>
          <w:lang w:val="en-CA"/>
        </w:rPr>
        <w:t>, Part II, on August 21, 2019 (</w:t>
      </w:r>
      <w:r w:rsidR="00601117" w:rsidRPr="00E02273">
        <w:rPr>
          <w:rStyle w:val="Citationintgre"/>
          <w:lang w:val="en-CA"/>
        </w:rPr>
        <w:t>Regulations Amending the Patented Medicines Regulations (Additional Factors and Information Reporting Requirements)</w:t>
      </w:r>
      <w:r w:rsidR="003F0E5E" w:rsidRPr="00765A81">
        <w:rPr>
          <w:rStyle w:val="Citationintgre"/>
          <w:i w:val="0"/>
          <w:lang w:val="en-CA"/>
        </w:rPr>
        <w:t>,</w:t>
      </w:r>
      <w:r w:rsidR="00601117" w:rsidRPr="00E02273">
        <w:rPr>
          <w:rStyle w:val="Citationintgre"/>
          <w:i w:val="0"/>
          <w:lang w:val="en-CA"/>
        </w:rPr>
        <w:t xml:space="preserve"> SOR/2019-298), except </w:t>
      </w:r>
      <w:r w:rsidR="00601117" w:rsidRPr="00E02273">
        <w:rPr>
          <w:rStyle w:val="Citationintgre"/>
          <w:i w:val="0"/>
          <w:u w:val="single"/>
          <w:lang w:val="en-CA"/>
        </w:rPr>
        <w:t>subsection 3(4) introducing</w:t>
      </w:r>
      <w:r w:rsidR="00601117" w:rsidRPr="00E02273">
        <w:rPr>
          <w:rStyle w:val="Citationintgre"/>
          <w:i w:val="0"/>
          <w:lang w:val="en-CA"/>
        </w:rPr>
        <w:t xml:space="preserve"> the new </w:t>
      </w:r>
      <w:r w:rsidR="00601117" w:rsidRPr="00E02273">
        <w:rPr>
          <w:rStyle w:val="Citationintgre"/>
          <w:i w:val="0"/>
          <w:u w:val="single"/>
          <w:lang w:val="en-CA"/>
        </w:rPr>
        <w:t>paragraphs</w:t>
      </w:r>
      <w:r w:rsidR="00601117" w:rsidRPr="00E02273">
        <w:rPr>
          <w:rStyle w:val="Citationintgre"/>
          <w:i w:val="0"/>
          <w:lang w:val="en-CA"/>
        </w:rPr>
        <w:t xml:space="preserve"> 4(4)(a) and 4(4)(b)</w:t>
      </w:r>
      <w:r w:rsidR="00BF0AFC" w:rsidRPr="00E02273">
        <w:rPr>
          <w:rStyle w:val="Citationintgre"/>
          <w:i w:val="0"/>
          <w:lang w:val="en-CA"/>
        </w:rPr>
        <w:t xml:space="preserve"> </w:t>
      </w:r>
      <w:r w:rsidR="00BF0AFC" w:rsidRPr="00E02273">
        <w:rPr>
          <w:rStyle w:val="Citationintgre"/>
          <w:i w:val="0"/>
          <w:u w:val="single"/>
          <w:lang w:val="en-CA"/>
        </w:rPr>
        <w:t xml:space="preserve">and section 4 introducing the new sections 4.1 to 4.4 into the </w:t>
      </w:r>
      <w:r w:rsidR="00BF0AFC" w:rsidRPr="00E02273">
        <w:rPr>
          <w:rStyle w:val="Citationintgre"/>
          <w:u w:val="single"/>
          <w:lang w:val="en-CA"/>
        </w:rPr>
        <w:t>Patented Medicines Regulations</w:t>
      </w:r>
      <w:r w:rsidR="00BF0AFC" w:rsidRPr="00E02273">
        <w:rPr>
          <w:rStyle w:val="Citationintgre"/>
          <w:i w:val="0"/>
          <w:u w:val="single"/>
          <w:lang w:val="en-CA"/>
        </w:rPr>
        <w:t>, SOR/94-688</w:t>
      </w:r>
      <w:r w:rsidR="00601117" w:rsidRPr="00E02273">
        <w:rPr>
          <w:rStyle w:val="Citationintgre"/>
          <w:i w:val="0"/>
          <w:lang w:val="en-CA"/>
        </w:rPr>
        <w:t>;</w:t>
      </w:r>
    </w:p>
    <w:p w14:paraId="1622EF4B" w14:textId="4D82E706" w:rsidR="00B568AD" w:rsidRPr="00E02273" w:rsidRDefault="002D51A4" w:rsidP="00B568AD">
      <w:pPr>
        <w:pStyle w:val="Citationenretrait"/>
        <w:spacing w:line="240" w:lineRule="auto"/>
        <w:rPr>
          <w:rStyle w:val="Citationintgre"/>
          <w:i w:val="0"/>
          <w:lang w:val="en-CA"/>
        </w:rPr>
      </w:pPr>
      <w:r w:rsidRPr="00E02273">
        <w:rPr>
          <w:rStyle w:val="Citationintgre"/>
          <w:i w:val="0"/>
          <w:lang w:val="en-CA"/>
        </w:rPr>
        <w:lastRenderedPageBreak/>
        <w:t>[433]</w:t>
      </w:r>
      <w:r w:rsidRPr="00E02273">
        <w:rPr>
          <w:rStyle w:val="Citationintgre"/>
          <w:i w:val="0"/>
          <w:lang w:val="en-CA"/>
        </w:rPr>
        <w:tab/>
      </w:r>
      <w:r w:rsidR="0041409F" w:rsidRPr="00E02273">
        <w:rPr>
          <w:rStyle w:val="Citationintgre"/>
          <w:b/>
          <w:i w:val="0"/>
          <w:lang w:val="en-CA"/>
        </w:rPr>
        <w:t>DECLARES</w:t>
      </w:r>
      <w:r w:rsidR="0041409F" w:rsidRPr="00E02273">
        <w:rPr>
          <w:rStyle w:val="Citationintgre"/>
          <w:i w:val="0"/>
          <w:lang w:val="en-CA"/>
        </w:rPr>
        <w:t xml:space="preserve"> </w:t>
      </w:r>
      <w:r w:rsidR="0041409F" w:rsidRPr="008067F4">
        <w:rPr>
          <w:rStyle w:val="Citationintgre"/>
          <w:lang w:val="en-CA"/>
        </w:rPr>
        <w:t>ultra vires</w:t>
      </w:r>
      <w:r w:rsidR="0041409F" w:rsidRPr="00E02273">
        <w:rPr>
          <w:rStyle w:val="Citationintgre"/>
          <w:i w:val="0"/>
          <w:lang w:val="en-CA"/>
        </w:rPr>
        <w:t xml:space="preserve">, invalid, null, and without effect </w:t>
      </w:r>
      <w:r w:rsidR="0041409F" w:rsidRPr="00E02273">
        <w:rPr>
          <w:rStyle w:val="Citationintgre"/>
          <w:i w:val="0"/>
          <w:u w:val="single"/>
          <w:lang w:val="en-CA"/>
        </w:rPr>
        <w:t xml:space="preserve">subsection 3(4) and section 4 of the </w:t>
      </w:r>
      <w:r w:rsidR="0041409F" w:rsidRPr="00E02273">
        <w:rPr>
          <w:rStyle w:val="Citationintgre"/>
          <w:u w:val="single"/>
          <w:lang w:val="en-CA"/>
        </w:rPr>
        <w:t>Regulations Amending the Patented Medicines Regulations (Additional Factors and Information Reporting Requirements)</w:t>
      </w:r>
      <w:r w:rsidR="003F0E5E">
        <w:rPr>
          <w:rStyle w:val="Citationintgre"/>
          <w:u w:val="single"/>
          <w:lang w:val="en-CA"/>
        </w:rPr>
        <w:t>,</w:t>
      </w:r>
      <w:r w:rsidR="0041409F" w:rsidRPr="00E02273">
        <w:rPr>
          <w:rStyle w:val="Citationintgre"/>
          <w:i w:val="0"/>
          <w:u w:val="single"/>
          <w:lang w:val="en-CA"/>
        </w:rPr>
        <w:t xml:space="preserve"> SOR/2019 introducing</w:t>
      </w:r>
      <w:r w:rsidR="0041409F" w:rsidRPr="00E02273">
        <w:rPr>
          <w:rStyle w:val="Citationintgre"/>
          <w:i w:val="0"/>
          <w:lang w:val="en-CA"/>
        </w:rPr>
        <w:t xml:space="preserve"> the new </w:t>
      </w:r>
      <w:r w:rsidR="0041409F" w:rsidRPr="00E02273">
        <w:rPr>
          <w:rStyle w:val="Citationintgre"/>
          <w:i w:val="0"/>
          <w:u w:val="single"/>
          <w:lang w:val="en-CA"/>
        </w:rPr>
        <w:t>paragraphs</w:t>
      </w:r>
      <w:r w:rsidR="0041409F" w:rsidRPr="00E02273">
        <w:rPr>
          <w:rStyle w:val="Citationintgre"/>
          <w:i w:val="0"/>
          <w:lang w:val="en-CA"/>
        </w:rPr>
        <w:t xml:space="preserve"> 4(4)(a) and 4(4)(b) </w:t>
      </w:r>
      <w:r w:rsidR="0041409F" w:rsidRPr="00E02273">
        <w:rPr>
          <w:rStyle w:val="Citationintgre"/>
          <w:i w:val="0"/>
          <w:u w:val="single"/>
          <w:lang w:val="en-CA"/>
        </w:rPr>
        <w:t xml:space="preserve">and the new sections </w:t>
      </w:r>
      <w:r w:rsidR="00CE6684" w:rsidRPr="00E02273">
        <w:rPr>
          <w:rStyle w:val="Citationintgre"/>
          <w:i w:val="0"/>
          <w:u w:val="single"/>
          <w:lang w:val="en-CA"/>
        </w:rPr>
        <w:t xml:space="preserve">4.1 to 4.4 into the </w:t>
      </w:r>
      <w:r w:rsidR="00CE6684" w:rsidRPr="00E02273">
        <w:rPr>
          <w:rStyle w:val="Citationintgre"/>
          <w:u w:val="single"/>
          <w:lang w:val="en-CA"/>
        </w:rPr>
        <w:t>Patented Medicines Regulations</w:t>
      </w:r>
      <w:r w:rsidR="00CE6684" w:rsidRPr="00E02273">
        <w:rPr>
          <w:rStyle w:val="Citationintgre"/>
          <w:i w:val="0"/>
          <w:u w:val="single"/>
          <w:lang w:val="en-CA"/>
        </w:rPr>
        <w:t>, SOR/94-688</w:t>
      </w:r>
      <w:r w:rsidR="0041409F" w:rsidRPr="00E02273">
        <w:rPr>
          <w:rStyle w:val="Citationintgre"/>
          <w:i w:val="0"/>
          <w:lang w:val="en-CA"/>
        </w:rPr>
        <w:t>;</w:t>
      </w:r>
    </w:p>
    <w:p w14:paraId="5542D507" w14:textId="77777777" w:rsidR="00B568AD" w:rsidRPr="00E02273" w:rsidRDefault="00B568AD" w:rsidP="00B568AD">
      <w:pPr>
        <w:pStyle w:val="Citationenretrait"/>
        <w:spacing w:line="240" w:lineRule="auto"/>
        <w:rPr>
          <w:lang w:val="en-CA"/>
        </w:rPr>
      </w:pPr>
    </w:p>
    <w:tbl>
      <w:tblPr>
        <w:tblW w:w="0" w:type="auto"/>
        <w:tblInd w:w="70" w:type="dxa"/>
        <w:tblLayout w:type="fixed"/>
        <w:tblCellMar>
          <w:left w:w="70" w:type="dxa"/>
          <w:right w:w="70" w:type="dxa"/>
        </w:tblCellMar>
        <w:tblLook w:val="0000" w:firstRow="0" w:lastRow="0" w:firstColumn="0" w:lastColumn="0" w:noHBand="0" w:noVBand="0"/>
      </w:tblPr>
      <w:tblGrid>
        <w:gridCol w:w="4735"/>
        <w:gridCol w:w="4625"/>
      </w:tblGrid>
      <w:tr w:rsidR="00F145CD" w:rsidRPr="003F65E5" w14:paraId="37505ADF" w14:textId="77777777" w:rsidTr="00B568AD">
        <w:trPr>
          <w:cantSplit/>
          <w:trHeight w:val="513"/>
        </w:trPr>
        <w:tc>
          <w:tcPr>
            <w:tcW w:w="9360" w:type="dxa"/>
            <w:gridSpan w:val="2"/>
          </w:tcPr>
          <w:p w14:paraId="7FF36400" w14:textId="77777777" w:rsidR="00B568AD" w:rsidRPr="00E02273" w:rsidRDefault="00B568AD" w:rsidP="00B568AD">
            <w:pPr>
              <w:spacing w:line="240" w:lineRule="auto"/>
              <w:rPr>
                <w:lang w:val="en-CA"/>
              </w:rPr>
            </w:pPr>
          </w:p>
        </w:tc>
      </w:tr>
      <w:tr w:rsidR="00F145CD" w:rsidRPr="003F65E5" w14:paraId="28EB62AA" w14:textId="77777777" w:rsidTr="00B568AD">
        <w:tblPrEx>
          <w:tblCellMar>
            <w:left w:w="0" w:type="dxa"/>
            <w:right w:w="0" w:type="dxa"/>
          </w:tblCellMar>
        </w:tblPrEx>
        <w:trPr>
          <w:cantSplit/>
          <w:trHeight w:val="277"/>
        </w:trPr>
        <w:tc>
          <w:tcPr>
            <w:tcW w:w="4735" w:type="dxa"/>
            <w:vMerge w:val="restart"/>
          </w:tcPr>
          <w:p w14:paraId="20BAF50E" w14:textId="77777777" w:rsidR="00B568AD" w:rsidRPr="00E02273" w:rsidRDefault="00B568AD" w:rsidP="00B568AD">
            <w:pPr>
              <w:spacing w:line="240" w:lineRule="auto"/>
              <w:rPr>
                <w:lang w:val="en-CA"/>
              </w:rPr>
            </w:pPr>
          </w:p>
        </w:tc>
        <w:tc>
          <w:tcPr>
            <w:tcW w:w="4625" w:type="dxa"/>
            <w:tcBorders>
              <w:bottom w:val="single" w:sz="8" w:space="0" w:color="auto"/>
            </w:tcBorders>
          </w:tcPr>
          <w:p w14:paraId="3F57DDF9" w14:textId="77777777" w:rsidR="00B568AD" w:rsidRPr="00E02273" w:rsidRDefault="00B568AD" w:rsidP="00B568AD">
            <w:pPr>
              <w:spacing w:line="240" w:lineRule="auto"/>
              <w:rPr>
                <w:lang w:val="en-CA"/>
              </w:rPr>
            </w:pPr>
          </w:p>
        </w:tc>
      </w:tr>
      <w:tr w:rsidR="00F145CD" w:rsidRPr="00E02273" w14:paraId="50504F12" w14:textId="77777777" w:rsidTr="00B568AD">
        <w:tblPrEx>
          <w:tblCellMar>
            <w:left w:w="0" w:type="dxa"/>
            <w:right w:w="0" w:type="dxa"/>
          </w:tblCellMar>
        </w:tblPrEx>
        <w:trPr>
          <w:cantSplit/>
          <w:trHeight w:val="276"/>
        </w:trPr>
        <w:tc>
          <w:tcPr>
            <w:tcW w:w="4735" w:type="dxa"/>
            <w:vMerge/>
          </w:tcPr>
          <w:p w14:paraId="6934D8FD" w14:textId="77777777" w:rsidR="00B568AD" w:rsidRPr="00E02273" w:rsidRDefault="00B568AD" w:rsidP="00B568AD">
            <w:pPr>
              <w:spacing w:line="240" w:lineRule="auto"/>
              <w:rPr>
                <w:lang w:val="en-CA"/>
              </w:rPr>
            </w:pPr>
          </w:p>
        </w:tc>
        <w:tc>
          <w:tcPr>
            <w:tcW w:w="4625" w:type="dxa"/>
          </w:tcPr>
          <w:p w14:paraId="2B755BD2" w14:textId="77AE071A" w:rsidR="00B568AD" w:rsidRPr="005219AB" w:rsidRDefault="002D51A4" w:rsidP="007602DA">
            <w:pPr>
              <w:spacing w:line="240" w:lineRule="auto"/>
            </w:pPr>
            <w:r w:rsidRPr="005219AB">
              <w:t>ROBERT M. MAINVILLE, J.A.</w:t>
            </w:r>
          </w:p>
        </w:tc>
      </w:tr>
      <w:bookmarkEnd w:id="15"/>
    </w:tbl>
    <w:p w14:paraId="33F63FD4" w14:textId="2C026CBB" w:rsidR="00B568AD" w:rsidRPr="005219AB" w:rsidRDefault="00B568AD" w:rsidP="00B568AD">
      <w:pPr>
        <w:spacing w:line="240" w:lineRule="auto"/>
      </w:pPr>
    </w:p>
    <w:sectPr w:rsidR="00B568AD" w:rsidRPr="005219AB" w:rsidSect="00B568AD">
      <w:headerReference w:type="default" r:id="rId14"/>
      <w:pgSz w:w="12242" w:h="15842" w:code="1"/>
      <w:pgMar w:top="1440" w:right="1008" w:bottom="1440" w:left="1872" w:header="1440" w:footer="792"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EA9D9" w14:textId="77777777" w:rsidR="00605EB6" w:rsidRDefault="00605EB6">
      <w:pPr>
        <w:spacing w:line="240" w:lineRule="auto"/>
      </w:pPr>
      <w:r>
        <w:separator/>
      </w:r>
    </w:p>
  </w:endnote>
  <w:endnote w:type="continuationSeparator" w:id="0">
    <w:p w14:paraId="10143210" w14:textId="77777777" w:rsidR="00605EB6" w:rsidRDefault="00605E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BA056" w14:textId="77777777" w:rsidR="003F65E5" w:rsidRDefault="003F65E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37F78" w14:textId="77777777" w:rsidR="003F65E5" w:rsidRDefault="003F65E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B7425" w14:textId="77777777" w:rsidR="003F65E5" w:rsidRDefault="003F65E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5FF68" w14:textId="77777777" w:rsidR="00605EB6" w:rsidRDefault="00605EB6">
      <w:r>
        <w:separator/>
      </w:r>
    </w:p>
  </w:footnote>
  <w:footnote w:type="continuationSeparator" w:id="0">
    <w:p w14:paraId="7BC34843" w14:textId="77777777" w:rsidR="00605EB6" w:rsidRDefault="00605EB6">
      <w:r>
        <w:continuationSeparator/>
      </w:r>
    </w:p>
  </w:footnote>
  <w:footnote w:id="1">
    <w:p w14:paraId="246BC63B" w14:textId="65D8E6F7"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Merck Canada inc. c. Procureur general du Canada</w:t>
      </w:r>
      <w:r w:rsidRPr="00E02273">
        <w:rPr>
          <w:lang w:val="en-CA"/>
        </w:rPr>
        <w:t>, 2020 QCCS 4541 (the “trial judgment”).</w:t>
      </w:r>
    </w:p>
  </w:footnote>
  <w:footnote w:id="2">
    <w:p w14:paraId="55A07DB4" w14:textId="43EBE5D0"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Patent Act</w:t>
      </w:r>
      <w:r w:rsidRPr="00E02273">
        <w:rPr>
          <w:lang w:val="en-CA"/>
        </w:rPr>
        <w:t>, R.S.C. 1985, c. P-4.</w:t>
      </w:r>
    </w:p>
  </w:footnote>
  <w:footnote w:id="3">
    <w:p w14:paraId="09034C0B" w14:textId="21975245"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Patented Medicines Regulations</w:t>
      </w:r>
      <w:r w:rsidRPr="00E02273">
        <w:rPr>
          <w:lang w:val="en-CA"/>
        </w:rPr>
        <w:t xml:space="preserve">, SOR/94-688, published in the </w:t>
      </w:r>
      <w:r w:rsidRPr="00E02273">
        <w:rPr>
          <w:i/>
          <w:lang w:val="en-CA"/>
        </w:rPr>
        <w:t>Canada Gazette</w:t>
      </w:r>
      <w:r w:rsidRPr="00E02273">
        <w:rPr>
          <w:lang w:val="en-CA"/>
        </w:rPr>
        <w:t xml:space="preserve">, Part II (1947–1997), </w:t>
      </w:r>
      <w:r>
        <w:rPr>
          <w:lang w:val="en-CA"/>
        </w:rPr>
        <w:t>V</w:t>
      </w:r>
      <w:r w:rsidRPr="00E02273">
        <w:rPr>
          <w:lang w:val="en-CA"/>
        </w:rPr>
        <w:t xml:space="preserve">ol. 128, No. 24, Supplement, November 30, 1994, at 3851. There are several </w:t>
      </w:r>
      <w:r>
        <w:rPr>
          <w:lang w:val="en-CA"/>
        </w:rPr>
        <w:t xml:space="preserve">earlier </w:t>
      </w:r>
      <w:r w:rsidRPr="00E02273">
        <w:rPr>
          <w:lang w:val="en-CA"/>
        </w:rPr>
        <w:t xml:space="preserve">versions of these </w:t>
      </w:r>
      <w:r w:rsidRPr="00E02273">
        <w:rPr>
          <w:i/>
          <w:lang w:val="en-CA"/>
        </w:rPr>
        <w:t>Regulations</w:t>
      </w:r>
      <w:r w:rsidRPr="00E02273">
        <w:rPr>
          <w:lang w:val="en-CA"/>
        </w:rPr>
        <w:t xml:space="preserve">: SOR 94-688, in force from March 22, 2006, to March 5, 2008; SOR 94-688, in force from March 6, 2008, to June 30, 2008; SOR 94-688, in force from July 1, 2008, to December 31, 2013; SOR 94-688, in force from January 1, 2014, to July 29, 2021. </w:t>
      </w:r>
    </w:p>
  </w:footnote>
  <w:footnote w:id="4">
    <w:p w14:paraId="5E88F9D1" w14:textId="5A49F8A2"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bCs/>
          <w:i/>
          <w:lang w:val="en-CA"/>
        </w:rPr>
        <w:t>Regulations Amending the Patented Medicines Regulations (Additional Factors and Information Reporting Requirements)</w:t>
      </w:r>
      <w:r w:rsidRPr="00E02273">
        <w:rPr>
          <w:lang w:val="en-CA"/>
        </w:rPr>
        <w:t xml:space="preserve">, SOR/2019-298, published in the </w:t>
      </w:r>
      <w:r w:rsidRPr="00E02273">
        <w:rPr>
          <w:i/>
          <w:lang w:val="en-CA"/>
        </w:rPr>
        <w:t>Canada Gazette</w:t>
      </w:r>
      <w:r w:rsidRPr="00E02273">
        <w:rPr>
          <w:lang w:val="en-CA"/>
        </w:rPr>
        <w:t xml:space="preserve">, Part II, </w:t>
      </w:r>
      <w:r>
        <w:rPr>
          <w:lang w:val="en-CA"/>
        </w:rPr>
        <w:t>V</w:t>
      </w:r>
      <w:r w:rsidRPr="00E02273">
        <w:rPr>
          <w:lang w:val="en-CA"/>
        </w:rPr>
        <w:t xml:space="preserve">ol. 153, No. 17, at 5940.  </w:t>
      </w:r>
    </w:p>
  </w:footnote>
  <w:footnote w:id="5">
    <w:p w14:paraId="47E4AD21" w14:textId="2DC88C3D"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bCs/>
          <w:i/>
          <w:lang w:val="en-CA"/>
        </w:rPr>
        <w:t>Regulations Amending the Regulations Amending the Patented Medicines Regulations (Additional Factors and Information Reporting Requirements)</w:t>
      </w:r>
      <w:r w:rsidRPr="00E02273">
        <w:rPr>
          <w:i/>
          <w:lang w:val="en-CA"/>
        </w:rPr>
        <w:t xml:space="preserve">, </w:t>
      </w:r>
      <w:r w:rsidRPr="00E02273">
        <w:rPr>
          <w:lang w:val="en-CA"/>
        </w:rPr>
        <w:t xml:space="preserve">SOR 2020-126, s. 2(3), published in the </w:t>
      </w:r>
      <w:r w:rsidRPr="00E02273">
        <w:rPr>
          <w:i/>
          <w:lang w:val="en-CA"/>
        </w:rPr>
        <w:t>Canada Gazette</w:t>
      </w:r>
      <w:r w:rsidRPr="00E02273">
        <w:rPr>
          <w:lang w:val="en-CA"/>
        </w:rPr>
        <w:t xml:space="preserve">, Part II, </w:t>
      </w:r>
      <w:r>
        <w:rPr>
          <w:lang w:val="en-CA"/>
        </w:rPr>
        <w:t>V</w:t>
      </w:r>
      <w:r w:rsidRPr="00E02273">
        <w:rPr>
          <w:lang w:val="en-CA"/>
        </w:rPr>
        <w:t xml:space="preserve">ol. 154, No. 12, at 1189; </w:t>
      </w:r>
      <w:r w:rsidRPr="00E02273">
        <w:rPr>
          <w:bCs/>
          <w:i/>
          <w:lang w:val="en-CA"/>
        </w:rPr>
        <w:t>Regulations Amending the Regulations Amending the Patented Medicines Regulations (Additional Factors and Information Reporting Requirements)</w:t>
      </w:r>
      <w:r w:rsidRPr="00E02273">
        <w:rPr>
          <w:lang w:val="en-CA"/>
        </w:rPr>
        <w:t>,</w:t>
      </w:r>
      <w:r w:rsidRPr="00E02273">
        <w:rPr>
          <w:i/>
          <w:lang w:val="en-CA"/>
        </w:rPr>
        <w:t xml:space="preserve"> </w:t>
      </w:r>
      <w:r w:rsidRPr="00E02273">
        <w:rPr>
          <w:lang w:val="en-CA"/>
        </w:rPr>
        <w:t xml:space="preserve">SOR 2020-298, s. 1(3), published in the </w:t>
      </w:r>
      <w:r w:rsidRPr="00E02273">
        <w:rPr>
          <w:i/>
          <w:lang w:val="en-CA"/>
        </w:rPr>
        <w:t>Canada Gazette</w:t>
      </w:r>
      <w:r w:rsidRPr="00E02273">
        <w:rPr>
          <w:lang w:val="en-CA"/>
        </w:rPr>
        <w:t xml:space="preserve">, Part II, </w:t>
      </w:r>
      <w:r>
        <w:rPr>
          <w:lang w:val="en-CA"/>
        </w:rPr>
        <w:t>V</w:t>
      </w:r>
      <w:r w:rsidRPr="00E02273">
        <w:rPr>
          <w:lang w:val="en-CA"/>
        </w:rPr>
        <w:t xml:space="preserve">ol. 155, No. 2, at 75; </w:t>
      </w:r>
      <w:r w:rsidRPr="00E02273">
        <w:rPr>
          <w:bCs/>
          <w:i/>
          <w:lang w:val="en-CA"/>
        </w:rPr>
        <w:t>Regulations Amending the Regulations Amending the Patented Medicines Regulations (Additional Factors and Information Reporting Requirements)</w:t>
      </w:r>
      <w:r w:rsidRPr="00E02273">
        <w:rPr>
          <w:lang w:val="en-CA"/>
        </w:rPr>
        <w:t xml:space="preserve">, SOR 2021-162, s. 1(3), published in the </w:t>
      </w:r>
      <w:r w:rsidRPr="00E02273">
        <w:rPr>
          <w:i/>
          <w:lang w:val="en-CA"/>
        </w:rPr>
        <w:t>Canada Gazette</w:t>
      </w:r>
      <w:r w:rsidRPr="00E02273">
        <w:rPr>
          <w:lang w:val="en-CA"/>
        </w:rPr>
        <w:t xml:space="preserve">, Part II, </w:t>
      </w:r>
      <w:r>
        <w:rPr>
          <w:lang w:val="en-CA"/>
        </w:rPr>
        <w:t>V</w:t>
      </w:r>
      <w:r w:rsidRPr="00E02273">
        <w:rPr>
          <w:lang w:val="en-CA"/>
        </w:rPr>
        <w:t xml:space="preserve">ol. 155, No. 14, at 2325. </w:t>
      </w:r>
    </w:p>
  </w:footnote>
  <w:footnote w:id="6">
    <w:p w14:paraId="2AD29B8A" w14:textId="485C73C6"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bCs/>
          <w:i/>
          <w:lang w:val="en-CA"/>
        </w:rPr>
        <w:t>Regulations Amending the Regulations Amending the Patented Medicines Regulations (Additional Factors and Information Reporting Requirements)</w:t>
      </w:r>
      <w:r w:rsidRPr="00E02273">
        <w:rPr>
          <w:lang w:val="en-CA"/>
        </w:rPr>
        <w:t xml:space="preserve">, SOR 2021-273, December 21, 2021, published on January 5, 2022, in the </w:t>
      </w:r>
      <w:r w:rsidRPr="00E02273">
        <w:rPr>
          <w:i/>
          <w:lang w:val="en-CA"/>
        </w:rPr>
        <w:t>Canada Gazette</w:t>
      </w:r>
      <w:r w:rsidRPr="00E02273">
        <w:rPr>
          <w:lang w:val="en-CA"/>
        </w:rPr>
        <w:t xml:space="preserve">, Part II, </w:t>
      </w:r>
      <w:r>
        <w:rPr>
          <w:lang w:val="en-CA"/>
        </w:rPr>
        <w:t>V</w:t>
      </w:r>
      <w:r w:rsidRPr="00E02273">
        <w:rPr>
          <w:lang w:val="en-CA"/>
        </w:rPr>
        <w:t>ol. 156, No. 1, at 293.</w:t>
      </w:r>
    </w:p>
  </w:footnote>
  <w:footnote w:id="7">
    <w:p w14:paraId="6CA5BAB9" w14:textId="519718D2"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iCs/>
          <w:color w:val="000000"/>
          <w:lang w:val="en-CA"/>
        </w:rPr>
        <w:t>Act respecting Patents of Invention</w:t>
      </w:r>
      <w:r w:rsidRPr="00E02273">
        <w:rPr>
          <w:lang w:val="en-CA"/>
        </w:rPr>
        <w:t>, S.C. 1869, c. 11.</w:t>
      </w:r>
    </w:p>
  </w:footnote>
  <w:footnote w:id="8">
    <w:p w14:paraId="2CF930E3" w14:textId="1CCE1344"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Ibid.</w:t>
      </w:r>
      <w:r w:rsidRPr="00E02273">
        <w:rPr>
          <w:lang w:val="en-CA"/>
        </w:rPr>
        <w:t>, s. 28.</w:t>
      </w:r>
    </w:p>
  </w:footnote>
  <w:footnote w:id="9">
    <w:p w14:paraId="6ED53AAC" w14:textId="01192D6F"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An Act to Amend and Consolidate the Acts Relating to Patents of Invention</w:t>
      </w:r>
      <w:r w:rsidRPr="00E02273">
        <w:rPr>
          <w:lang w:val="en-CA"/>
        </w:rPr>
        <w:t>, S.C. 1923, c. 23.</w:t>
      </w:r>
    </w:p>
  </w:footnote>
  <w:footnote w:id="10">
    <w:p w14:paraId="0538B9E5" w14:textId="48C4FE9E"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 xml:space="preserve">Ibid. </w:t>
      </w:r>
      <w:r w:rsidRPr="00E02273">
        <w:rPr>
          <w:lang w:val="en-CA"/>
        </w:rPr>
        <w:t xml:space="preserve">at </w:t>
      </w:r>
      <w:r>
        <w:rPr>
          <w:lang w:val="en-CA"/>
        </w:rPr>
        <w:t>s</w:t>
      </w:r>
      <w:r w:rsidRPr="00E02273">
        <w:rPr>
          <w:lang w:val="en-CA"/>
        </w:rPr>
        <w:t>. 17(1).</w:t>
      </w:r>
    </w:p>
  </w:footnote>
  <w:footnote w:id="11">
    <w:p w14:paraId="6C403EC3" w14:textId="4B182F37"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 xml:space="preserve">Ibid. </w:t>
      </w:r>
      <w:r w:rsidRPr="00E02273">
        <w:rPr>
          <w:lang w:val="en-CA"/>
        </w:rPr>
        <w:t xml:space="preserve">at </w:t>
      </w:r>
      <w:r>
        <w:rPr>
          <w:lang w:val="en-CA"/>
        </w:rPr>
        <w:t>s</w:t>
      </w:r>
      <w:r w:rsidRPr="00E02273">
        <w:rPr>
          <w:lang w:val="en-CA"/>
        </w:rPr>
        <w:t>. 17(2).</w:t>
      </w:r>
    </w:p>
  </w:footnote>
  <w:footnote w:id="12">
    <w:p w14:paraId="77B49DFF" w14:textId="3F86BAEA"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Smith, Kline &amp; French Laboratories v. Canada (Attorney General)</w:t>
      </w:r>
      <w:r w:rsidRPr="00E02273">
        <w:rPr>
          <w:lang w:val="en-CA"/>
        </w:rPr>
        <w:t>, [1986] 1 F.C. 274, 1985 CanLII 3151 at para. 8 of the CanLII ed.</w:t>
      </w:r>
    </w:p>
  </w:footnote>
  <w:footnote w:id="13">
    <w:p w14:paraId="671E33D9" w14:textId="0C033AFD"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t xml:space="preserve">Harry C. Eastman, Commissioner, </w:t>
      </w:r>
      <w:r w:rsidRPr="00E02273">
        <w:rPr>
          <w:i/>
          <w:lang w:val="en-CA"/>
        </w:rPr>
        <w:t xml:space="preserve">Report of The Commission of Inquiry on the Pharmaceutical Industry </w:t>
      </w:r>
      <w:r w:rsidRPr="00E02273">
        <w:rPr>
          <w:lang w:val="en-CA"/>
        </w:rPr>
        <w:t>(1985) at xxxiv (“Eastman Report”).</w:t>
      </w:r>
    </w:p>
  </w:footnote>
  <w:footnote w:id="14">
    <w:p w14:paraId="0CB8018C" w14:textId="7A33A104"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Hoffman-LaRoche v. Bell-Craig Pharmaceutical Division of L.D. Craig Ltd.</w:t>
      </w:r>
      <w:r w:rsidRPr="00E02273">
        <w:rPr>
          <w:lang w:val="en-CA"/>
        </w:rPr>
        <w:t xml:space="preserve">, [1966] S.C.R. 313 at 319. See also </w:t>
      </w:r>
      <w:r w:rsidRPr="00E02273">
        <w:rPr>
          <w:i/>
          <w:lang w:val="en-CA"/>
        </w:rPr>
        <w:t>Eli Lilly and Co. v. U. Chemicals Ltd.</w:t>
      </w:r>
      <w:r w:rsidRPr="00E02273">
        <w:rPr>
          <w:lang w:val="en-CA"/>
        </w:rPr>
        <w:t>, [1977] 1 S.C.R. 536 at 545.</w:t>
      </w:r>
    </w:p>
  </w:footnote>
  <w:footnote w:id="15">
    <w:p w14:paraId="0A20190D" w14:textId="346E4CA8"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An Act to Amend and Consolidate the Acts Relating to Patents of Invention</w:t>
      </w:r>
      <w:r w:rsidRPr="00E02273">
        <w:rPr>
          <w:lang w:val="en-CA"/>
        </w:rPr>
        <w:t>, S.C. 1923, c. 23, s. 40.</w:t>
      </w:r>
    </w:p>
  </w:footnote>
  <w:footnote w:id="16">
    <w:p w14:paraId="0C6DBC40" w14:textId="7EC401F5"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Patent Act</w:t>
      </w:r>
      <w:r w:rsidRPr="00E02273">
        <w:rPr>
          <w:lang w:val="en-CA"/>
        </w:rPr>
        <w:t>, R.S.C. 1985, c. P-4, ss. 65–71.</w:t>
      </w:r>
    </w:p>
  </w:footnote>
  <w:footnote w:id="17">
    <w:p w14:paraId="68DBA363" w14:textId="5950B5ED"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An Act to Amend and Consolidate the Acts Relating to Patents of Invention</w:t>
      </w:r>
      <w:r w:rsidRPr="00E02273">
        <w:rPr>
          <w:lang w:val="en-CA"/>
        </w:rPr>
        <w:t xml:space="preserve">, S.C. 1923, c. 23, </w:t>
      </w:r>
      <w:r>
        <w:rPr>
          <w:lang w:val="en-CA"/>
        </w:rPr>
        <w:t>s</w:t>
      </w:r>
      <w:r w:rsidRPr="00E02273">
        <w:rPr>
          <w:lang w:val="en-CA"/>
        </w:rPr>
        <w:t>. 40(1)</w:t>
      </w:r>
      <w:r w:rsidRPr="00E02273">
        <w:rPr>
          <w:i/>
          <w:lang w:val="en-CA"/>
        </w:rPr>
        <w:t>(</w:t>
      </w:r>
      <w:r w:rsidRPr="00943BD8">
        <w:rPr>
          <w:lang w:val="en-CA"/>
        </w:rPr>
        <w:t>c</w:t>
      </w:r>
      <w:r w:rsidRPr="00E02273">
        <w:rPr>
          <w:lang w:val="en-CA"/>
        </w:rPr>
        <w:t>).</w:t>
      </w:r>
    </w:p>
  </w:footnote>
  <w:footnote w:id="18">
    <w:p w14:paraId="4D17F963" w14:textId="77777777" w:rsidR="00EC7001" w:rsidRPr="00E02273" w:rsidRDefault="00EC7001" w:rsidP="00B568AD">
      <w:pPr>
        <w:pStyle w:val="Notedebasdepage"/>
        <w:rPr>
          <w:i/>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Ibid.</w:t>
      </w:r>
    </w:p>
  </w:footnote>
  <w:footnote w:id="19">
    <w:p w14:paraId="2BC71E70" w14:textId="77777777"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Parke-Davis and Co. v. The Comptroller General et al</w:t>
      </w:r>
      <w:r w:rsidRPr="00E02273">
        <w:rPr>
          <w:lang w:val="en-CA"/>
        </w:rPr>
        <w:t xml:space="preserve">. (1954) 71 R.P.C. 169 (H.L.). </w:t>
      </w:r>
    </w:p>
  </w:footnote>
  <w:footnote w:id="20">
    <w:p w14:paraId="10E76F81" w14:textId="2130EE59"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 xml:space="preserve">Ibid. </w:t>
      </w:r>
      <w:r w:rsidRPr="00E02273">
        <w:rPr>
          <w:lang w:val="en-CA"/>
        </w:rPr>
        <w:t>at 327.</w:t>
      </w:r>
    </w:p>
  </w:footnote>
  <w:footnote w:id="21">
    <w:p w14:paraId="19AD5FEA" w14:textId="1118AEB7"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t xml:space="preserve">Canada, </w:t>
      </w:r>
      <w:r w:rsidRPr="00E02273">
        <w:rPr>
          <w:rFonts w:ascii="Helvetica" w:hAnsi="Helvetica"/>
          <w:shd w:val="clear" w:color="auto" w:fill="F5F5F5"/>
          <w:lang w:val="en-CA"/>
        </w:rPr>
        <w:t>Royal Commission on Patents, Copyright, Trade Marks and Industrial Designs</w:t>
      </w:r>
      <w:r w:rsidRPr="00E02273">
        <w:rPr>
          <w:lang w:val="en-CA"/>
        </w:rPr>
        <w:t xml:space="preserve">, </w:t>
      </w:r>
      <w:r w:rsidRPr="00E02273">
        <w:rPr>
          <w:rFonts w:ascii="Helvetica" w:hAnsi="Helvetica"/>
          <w:i/>
          <w:shd w:val="clear" w:color="auto" w:fill="F9F9F9"/>
          <w:lang w:val="en-CA"/>
        </w:rPr>
        <w:t>Report on patents of invention</w:t>
      </w:r>
      <w:r w:rsidRPr="00E02273">
        <w:rPr>
          <w:i/>
          <w:lang w:val="en-CA"/>
        </w:rPr>
        <w:t xml:space="preserve"> </w:t>
      </w:r>
      <w:r w:rsidRPr="00E02273">
        <w:rPr>
          <w:lang w:val="en-CA"/>
        </w:rPr>
        <w:t>(Ottawa: Queen’s Printer, 1960) at 93–98.</w:t>
      </w:r>
    </w:p>
  </w:footnote>
  <w:footnote w:id="22">
    <w:p w14:paraId="2B454264" w14:textId="24F13697"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t xml:space="preserve">Canada, Department of Justice, Restrictive Trade Practices Commission, </w:t>
      </w:r>
      <w:r w:rsidRPr="00E02273">
        <w:rPr>
          <w:i/>
          <w:lang w:val="en-CA"/>
        </w:rPr>
        <w:t xml:space="preserve">Report Concerning the Manufacture, Distribution and Sale of Drugs </w:t>
      </w:r>
      <w:r w:rsidRPr="00E02273">
        <w:rPr>
          <w:lang w:val="en-CA"/>
        </w:rPr>
        <w:t>(Ottawa: Queen’s Printer, 1963) at 516–524.</w:t>
      </w:r>
    </w:p>
  </w:footnote>
  <w:footnote w:id="23">
    <w:p w14:paraId="1B10BA84" w14:textId="282A6FF3"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t xml:space="preserve">Canada, Royal Commission on Health Services, </w:t>
      </w:r>
      <w:r w:rsidRPr="00E02273">
        <w:rPr>
          <w:i/>
          <w:lang w:val="en-CA"/>
        </w:rPr>
        <w:t xml:space="preserve">Report of the Royal Commission on Health Services </w:t>
      </w:r>
      <w:r w:rsidRPr="00E02273">
        <w:rPr>
          <w:lang w:val="en-CA"/>
        </w:rPr>
        <w:t xml:space="preserve">(Ottawa: Queen’s Printer, 1964), Vol. 1 at 701–709 and recommendations 67–69 at 43. </w:t>
      </w:r>
    </w:p>
  </w:footnote>
  <w:footnote w:id="24">
    <w:p w14:paraId="6BD018AA" w14:textId="2C8B606A"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t xml:space="preserve">Canada, House of Commons, </w:t>
      </w:r>
      <w:r w:rsidRPr="00E02273">
        <w:rPr>
          <w:i/>
          <w:lang w:val="en-CA"/>
        </w:rPr>
        <w:t xml:space="preserve">Special Committee on Drug Costs and Prices </w:t>
      </w:r>
      <w:r w:rsidRPr="00E02273">
        <w:rPr>
          <w:lang w:val="en-CA"/>
        </w:rPr>
        <w:t xml:space="preserve">(Ottawa: Queen’s Printer, 1966). </w:t>
      </w:r>
    </w:p>
  </w:footnote>
  <w:footnote w:id="25">
    <w:p w14:paraId="294F333C" w14:textId="243DE998"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Patent Act</w:t>
      </w:r>
      <w:r w:rsidRPr="00E02273">
        <w:rPr>
          <w:lang w:val="en-CA"/>
        </w:rPr>
        <w:t xml:space="preserve">, R.S. 1969, c. 203, s. 41. </w:t>
      </w:r>
    </w:p>
  </w:footnote>
  <w:footnote w:id="26">
    <w:p w14:paraId="5E6D59D7" w14:textId="469DFAB8"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t xml:space="preserve">Eastman Report at 19–20. </w:t>
      </w:r>
    </w:p>
  </w:footnote>
  <w:footnote w:id="27">
    <w:p w14:paraId="241C6D2A" w14:textId="07BA4FC8"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bookmarkStart w:id="16" w:name="_Hlk88668821"/>
      <w:r w:rsidRPr="00E02273">
        <w:rPr>
          <w:i/>
          <w:lang w:val="en-CA"/>
        </w:rPr>
        <w:t>Patent Act</w:t>
      </w:r>
      <w:r w:rsidRPr="00E02273">
        <w:rPr>
          <w:lang w:val="en-CA"/>
        </w:rPr>
        <w:t xml:space="preserve">, R.S. 1969, c. 203, </w:t>
      </w:r>
      <w:bookmarkEnd w:id="16"/>
      <w:r w:rsidRPr="00E02273">
        <w:rPr>
          <w:lang w:val="en-CA"/>
        </w:rPr>
        <w:t>s. 41(4).</w:t>
      </w:r>
    </w:p>
  </w:footnote>
  <w:footnote w:id="28">
    <w:p w14:paraId="7194B8D9" w14:textId="0D1E38A2"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 xml:space="preserve">American Home Products Corp. v. Commissioner of Patents </w:t>
      </w:r>
      <w:r w:rsidRPr="00E02273">
        <w:rPr>
          <w:lang w:val="en-CA"/>
        </w:rPr>
        <w:t xml:space="preserve">(1970), 62 C.P.R. 155, [1970] O.J. No. 191 (QL) (Ont. C.A.) at 160–161; </w:t>
      </w:r>
      <w:r w:rsidRPr="00E02273">
        <w:rPr>
          <w:i/>
          <w:lang w:val="en-CA"/>
        </w:rPr>
        <w:t>Lilly v. S &amp; U Chemicals Ltd.</w:t>
      </w:r>
      <w:r w:rsidRPr="00E02273">
        <w:rPr>
          <w:lang w:val="en-CA"/>
        </w:rPr>
        <w:t xml:space="preserve">, (1973), 9 C.P.R. (2d) 17 at 18; </w:t>
      </w:r>
      <w:r w:rsidRPr="00E02273">
        <w:rPr>
          <w:i/>
          <w:lang w:val="en-CA"/>
        </w:rPr>
        <w:t>Smith, Kline &amp; French Laboratories v. Canada (Attorney General)</w:t>
      </w:r>
      <w:r w:rsidRPr="00E02273">
        <w:rPr>
          <w:lang w:val="en-CA"/>
        </w:rPr>
        <w:t xml:space="preserve">, [1986] 1 F.C. 274 (F.C.), 1985 CanLII 3151; </w:t>
      </w:r>
      <w:r w:rsidRPr="00E02273">
        <w:rPr>
          <w:i/>
          <w:lang w:val="en-CA"/>
        </w:rPr>
        <w:t>Smith, Kline &amp; French Laboratories v. Canada (Attorney General)</w:t>
      </w:r>
      <w:r w:rsidRPr="00E02273">
        <w:rPr>
          <w:lang w:val="en-CA"/>
        </w:rPr>
        <w:t>, [1986] 2 F.C. 359, 1986 CanLII 3976 (F.C.A.).</w:t>
      </w:r>
    </w:p>
  </w:footnote>
  <w:footnote w:id="29">
    <w:p w14:paraId="71845FCE" w14:textId="011ADF24"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Frank W. Horner v. Hoffman-La Roche Ltd.</w:t>
      </w:r>
      <w:r w:rsidRPr="00E02273">
        <w:rPr>
          <w:lang w:val="en-CA"/>
        </w:rPr>
        <w:t xml:space="preserve"> (1970), 61 C.P.R. 243, 1970 LNCPAT 11 (QL) at paras. 18–19 [cited to QL].</w:t>
      </w:r>
    </w:p>
  </w:footnote>
  <w:footnote w:id="30">
    <w:p w14:paraId="7E5C4F27" w14:textId="5F5BCFF3"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Smith, Kline &amp; French Laboratories v. Canada (Attorney General)</w:t>
      </w:r>
      <w:r w:rsidRPr="00E02273">
        <w:rPr>
          <w:lang w:val="en-CA"/>
        </w:rPr>
        <w:t>, [1986] 1 F.</w:t>
      </w:r>
      <w:r>
        <w:rPr>
          <w:lang w:val="en-CA"/>
        </w:rPr>
        <w:t>C.</w:t>
      </w:r>
      <w:r w:rsidRPr="00E02273">
        <w:rPr>
          <w:lang w:val="en-CA"/>
        </w:rPr>
        <w:t xml:space="preserve"> 274 (F.C.), 1985 CanLII 3151 at paras. 16 and 43 [cited to CanLII].</w:t>
      </w:r>
    </w:p>
  </w:footnote>
  <w:footnote w:id="31">
    <w:p w14:paraId="36558BF8" w14:textId="03795A7E"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t xml:space="preserve">Eastman Report at xvii, xviii, and 348–349; </w:t>
      </w:r>
      <w:r w:rsidRPr="00E02273">
        <w:rPr>
          <w:i/>
          <w:lang w:val="en-CA"/>
        </w:rPr>
        <w:t>Manitoba Society of Seniors Inc. v. Canada (Attorney General)</w:t>
      </w:r>
      <w:r w:rsidRPr="00E02273">
        <w:rPr>
          <w:lang w:val="en-CA"/>
        </w:rPr>
        <w:t xml:space="preserve"> (1991), 35 C.P.R. (3d) 1224 (Man. Q.B.) at para. 6; </w:t>
      </w:r>
      <w:r w:rsidRPr="00E02273">
        <w:rPr>
          <w:i/>
          <w:lang w:val="en-CA"/>
        </w:rPr>
        <w:t>Smith, Kline &amp; French Laboratories v. Canada (Attorney General)</w:t>
      </w:r>
      <w:r w:rsidRPr="00E02273">
        <w:rPr>
          <w:lang w:val="en-CA"/>
        </w:rPr>
        <w:t>, [1986] 1 F.C. 274 (F.C.), 1985 CanLII 3151 at para. 10 [cited to CanLII].</w:t>
      </w:r>
    </w:p>
  </w:footnote>
  <w:footnote w:id="32">
    <w:p w14:paraId="0AE78C3A" w14:textId="3F290B95"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iCs/>
          <w:color w:val="000000"/>
          <w:lang w:val="en-CA"/>
        </w:rPr>
        <w:t>Act to amend the Patent Act and to provide for certain matters in relation thereto</w:t>
      </w:r>
      <w:r w:rsidRPr="00E02273">
        <w:rPr>
          <w:lang w:val="en-CA"/>
        </w:rPr>
        <w:t>, S.C. 1987, c. 41.</w:t>
      </w:r>
    </w:p>
  </w:footnote>
  <w:footnote w:id="33">
    <w:p w14:paraId="6FFB4C75" w14:textId="363BF15E"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Ibid.</w:t>
      </w:r>
      <w:r w:rsidRPr="00E02273">
        <w:rPr>
          <w:lang w:val="en-CA"/>
        </w:rPr>
        <w:t xml:space="preserve">, s. 14, repealing and replacing s. 41(1) of the </w:t>
      </w:r>
      <w:r w:rsidRPr="00E02273">
        <w:rPr>
          <w:i/>
          <w:lang w:val="en-CA"/>
        </w:rPr>
        <w:t xml:space="preserve">Patent Act </w:t>
      </w:r>
      <w:r w:rsidRPr="00E02273">
        <w:rPr>
          <w:lang w:val="en-CA"/>
        </w:rPr>
        <w:t>as it then read.</w:t>
      </w:r>
    </w:p>
  </w:footnote>
  <w:footnote w:id="34">
    <w:p w14:paraId="16B117F9" w14:textId="4A08756D"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Ibid.</w:t>
      </w:r>
      <w:r w:rsidRPr="00E02273">
        <w:rPr>
          <w:lang w:val="en-CA"/>
        </w:rPr>
        <w:t>, s. 15 introducing s. 41.11 in</w:t>
      </w:r>
      <w:r>
        <w:rPr>
          <w:lang w:val="en-CA"/>
        </w:rPr>
        <w:t>to</w:t>
      </w:r>
      <w:r w:rsidRPr="00E02273">
        <w:rPr>
          <w:lang w:val="en-CA"/>
        </w:rPr>
        <w:t xml:space="preserve"> the </w:t>
      </w:r>
      <w:r w:rsidRPr="00E02273">
        <w:rPr>
          <w:i/>
          <w:lang w:val="en-CA"/>
        </w:rPr>
        <w:t xml:space="preserve">Patent Act </w:t>
      </w:r>
      <w:r w:rsidRPr="00E02273">
        <w:rPr>
          <w:lang w:val="en-CA"/>
        </w:rPr>
        <w:t>as it then read.</w:t>
      </w:r>
    </w:p>
  </w:footnote>
  <w:footnote w:id="35">
    <w:p w14:paraId="22F15B7D" w14:textId="2A908D94"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Ibid.</w:t>
      </w:r>
      <w:r w:rsidRPr="00E02273">
        <w:rPr>
          <w:lang w:val="en-CA"/>
        </w:rPr>
        <w:t>, s. 15 introducing ss. 41.18 to 41.24 in</w:t>
      </w:r>
      <w:r>
        <w:rPr>
          <w:lang w:val="en-CA"/>
        </w:rPr>
        <w:t>to</w:t>
      </w:r>
      <w:r w:rsidRPr="00E02273">
        <w:rPr>
          <w:lang w:val="en-CA"/>
        </w:rPr>
        <w:t xml:space="preserve"> the </w:t>
      </w:r>
      <w:r w:rsidRPr="00E02273">
        <w:rPr>
          <w:i/>
          <w:lang w:val="en-CA"/>
        </w:rPr>
        <w:t xml:space="preserve">Patent Act </w:t>
      </w:r>
      <w:r w:rsidRPr="00E02273">
        <w:rPr>
          <w:lang w:val="en-CA"/>
        </w:rPr>
        <w:t>as it then read.</w:t>
      </w:r>
    </w:p>
  </w:footnote>
  <w:footnote w:id="36">
    <w:p w14:paraId="204F8E73" w14:textId="51DBE471"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Ibid.</w:t>
      </w:r>
      <w:r w:rsidRPr="00E02273">
        <w:rPr>
          <w:lang w:val="en-CA"/>
        </w:rPr>
        <w:t>, s. 15 introducing s. 41.15 in</w:t>
      </w:r>
      <w:r>
        <w:rPr>
          <w:lang w:val="en-CA"/>
        </w:rPr>
        <w:t>to</w:t>
      </w:r>
      <w:r w:rsidRPr="00E02273">
        <w:rPr>
          <w:lang w:val="en-CA"/>
        </w:rPr>
        <w:t xml:space="preserve"> the </w:t>
      </w:r>
      <w:r w:rsidRPr="00E02273">
        <w:rPr>
          <w:i/>
          <w:lang w:val="en-CA"/>
        </w:rPr>
        <w:t xml:space="preserve">Patent Act </w:t>
      </w:r>
      <w:r w:rsidRPr="00E02273">
        <w:rPr>
          <w:lang w:val="en-CA"/>
        </w:rPr>
        <w:t>as it then read.</w:t>
      </w:r>
    </w:p>
  </w:footnote>
  <w:footnote w:id="37">
    <w:p w14:paraId="2718828F" w14:textId="0A7DBFE2"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Ibid.</w:t>
      </w:r>
      <w:r w:rsidRPr="00E02273">
        <w:rPr>
          <w:lang w:val="en-CA"/>
        </w:rPr>
        <w:t>, s. 15 introducing ss. 41.15(1)(1.1) and 41.25(1) in</w:t>
      </w:r>
      <w:r>
        <w:rPr>
          <w:lang w:val="en-CA"/>
        </w:rPr>
        <w:t>to</w:t>
      </w:r>
      <w:r w:rsidRPr="00E02273">
        <w:rPr>
          <w:lang w:val="en-CA"/>
        </w:rPr>
        <w:t xml:space="preserve"> the </w:t>
      </w:r>
      <w:r w:rsidRPr="00E02273">
        <w:rPr>
          <w:i/>
          <w:lang w:val="en-CA"/>
        </w:rPr>
        <w:t xml:space="preserve">Patent Act </w:t>
      </w:r>
      <w:r w:rsidRPr="00E02273">
        <w:rPr>
          <w:lang w:val="en-CA"/>
        </w:rPr>
        <w:t xml:space="preserve">as it then read. </w:t>
      </w:r>
    </w:p>
  </w:footnote>
  <w:footnote w:id="38">
    <w:p w14:paraId="725564F0" w14:textId="084DCF63"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Ibid.</w:t>
      </w:r>
      <w:r w:rsidRPr="00E02273">
        <w:rPr>
          <w:lang w:val="en-CA"/>
        </w:rPr>
        <w:t>, s. 15 introducing s. 41.15(2) in</w:t>
      </w:r>
      <w:r>
        <w:rPr>
          <w:lang w:val="en-CA"/>
        </w:rPr>
        <w:t>to</w:t>
      </w:r>
      <w:r w:rsidRPr="00E02273">
        <w:rPr>
          <w:lang w:val="en-CA"/>
        </w:rPr>
        <w:t xml:space="preserve"> the </w:t>
      </w:r>
      <w:r w:rsidRPr="00E02273">
        <w:rPr>
          <w:i/>
          <w:lang w:val="en-CA"/>
        </w:rPr>
        <w:t xml:space="preserve">Patent Act </w:t>
      </w:r>
      <w:r w:rsidRPr="00E02273">
        <w:rPr>
          <w:lang w:val="en-CA"/>
        </w:rPr>
        <w:t>as it then read.</w:t>
      </w:r>
    </w:p>
  </w:footnote>
  <w:footnote w:id="39">
    <w:p w14:paraId="510E45D8" w14:textId="1338077D"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Ibid.</w:t>
      </w:r>
      <w:r w:rsidRPr="00E02273">
        <w:rPr>
          <w:lang w:val="en-CA"/>
        </w:rPr>
        <w:t>, s. 15 introducing s. 41.15(5) in</w:t>
      </w:r>
      <w:r>
        <w:rPr>
          <w:lang w:val="en-CA"/>
        </w:rPr>
        <w:t>to</w:t>
      </w:r>
      <w:r w:rsidRPr="00E02273">
        <w:rPr>
          <w:lang w:val="en-CA"/>
        </w:rPr>
        <w:t xml:space="preserve"> the </w:t>
      </w:r>
      <w:r w:rsidRPr="00E02273">
        <w:rPr>
          <w:i/>
          <w:lang w:val="en-CA"/>
        </w:rPr>
        <w:t xml:space="preserve">Patent Act </w:t>
      </w:r>
      <w:r w:rsidRPr="00E02273">
        <w:rPr>
          <w:lang w:val="en-CA"/>
        </w:rPr>
        <w:t>as it then read.</w:t>
      </w:r>
    </w:p>
  </w:footnote>
  <w:footnote w:id="40">
    <w:p w14:paraId="2B9A56A6" w14:textId="4DB72791"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Ibid.</w:t>
      </w:r>
      <w:r w:rsidRPr="00E02273">
        <w:rPr>
          <w:lang w:val="en-CA"/>
        </w:rPr>
        <w:t xml:space="preserve">, s. 15 introducing s. 41.15(6) into the </w:t>
      </w:r>
      <w:r w:rsidRPr="00E02273">
        <w:rPr>
          <w:i/>
          <w:lang w:val="en-CA"/>
        </w:rPr>
        <w:t xml:space="preserve">Patent Act </w:t>
      </w:r>
      <w:r w:rsidRPr="00E02273">
        <w:rPr>
          <w:lang w:val="en-CA"/>
        </w:rPr>
        <w:t>as it then read.</w:t>
      </w:r>
    </w:p>
  </w:footnote>
  <w:footnote w:id="41">
    <w:p w14:paraId="5AFAD65A" w14:textId="221FAA1E"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Patent Act,</w:t>
      </w:r>
      <w:r w:rsidRPr="00E02273">
        <w:rPr>
          <w:lang w:val="en-CA"/>
        </w:rPr>
        <w:t xml:space="preserve"> R.S.C. 1985, c. P-4, ss. 85(1) and (2).</w:t>
      </w:r>
    </w:p>
  </w:footnote>
  <w:footnote w:id="42">
    <w:p w14:paraId="63FE0F70" w14:textId="236E527B"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Manitoba Society of Seniors Inc. v. Canada (Attorney General)</w:t>
      </w:r>
      <w:r w:rsidRPr="00E02273">
        <w:rPr>
          <w:lang w:val="en-CA"/>
        </w:rPr>
        <w:t xml:space="preserve"> (1991), 77 D.L.R. (4</w:t>
      </w:r>
      <w:r w:rsidRPr="00E02273">
        <w:rPr>
          <w:vertAlign w:val="superscript"/>
          <w:lang w:val="en-CA"/>
        </w:rPr>
        <w:t>th</w:t>
      </w:r>
      <w:r w:rsidRPr="00E02273">
        <w:rPr>
          <w:lang w:val="en-CA"/>
        </w:rPr>
        <w:t xml:space="preserve">) 485, 1991 CanLII 8289 (Man. Q.B.); aff’d </w:t>
      </w:r>
      <w:r w:rsidRPr="00E02273">
        <w:rPr>
          <w:i/>
          <w:lang w:val="en-CA"/>
        </w:rPr>
        <w:t>Manitoba Society of Seniors Inc. v. Canada (Attorney General)</w:t>
      </w:r>
      <w:r w:rsidRPr="00E02273">
        <w:rPr>
          <w:lang w:val="en-CA"/>
        </w:rPr>
        <w:t xml:space="preserve"> (1992) 45 C.P.R. (3d) 194, 1992 CanLII 8541 (Man. C.A.).</w:t>
      </w:r>
    </w:p>
  </w:footnote>
  <w:footnote w:id="43">
    <w:p w14:paraId="24A3263D" w14:textId="1746ADFD"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Patent Act Amendment Act, 1992</w:t>
      </w:r>
      <w:r w:rsidRPr="00E02273">
        <w:rPr>
          <w:lang w:val="en-CA"/>
        </w:rPr>
        <w:t>, S.C. 1993, c. 2.</w:t>
      </w:r>
    </w:p>
  </w:footnote>
  <w:footnote w:id="44">
    <w:p w14:paraId="21FEB0E1" w14:textId="249909B0"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iCs/>
          <w:lang w:val="en-CA"/>
        </w:rPr>
        <w:t>Agreement on Trade-Related Aspects of Intellectual Property Rights</w:t>
      </w:r>
      <w:r w:rsidRPr="00E02273">
        <w:rPr>
          <w:lang w:val="en-CA"/>
        </w:rPr>
        <w:t>, April 15, 1994, 1869 U.N.T.S. 332 (Annex 1C of the Marrakesh Agreement Establishing the World Trade Organization), art. 27.</w:t>
      </w:r>
    </w:p>
  </w:footnote>
  <w:footnote w:id="45">
    <w:p w14:paraId="42D45C7D" w14:textId="449AF559"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iCs/>
          <w:color w:val="000000"/>
          <w:lang w:val="en-CA"/>
        </w:rPr>
        <w:t>North American Free Trade Agreement Between the Government of Canada, the Government of the United Mexican States and the Government of the United States of America</w:t>
      </w:r>
      <w:r w:rsidRPr="00E02273">
        <w:rPr>
          <w:color w:val="000000"/>
          <w:lang w:val="en-CA"/>
        </w:rPr>
        <w:t xml:space="preserve">, Can T.S. 1994, No. 2, art. </w:t>
      </w:r>
      <w:r w:rsidRPr="00E02273">
        <w:rPr>
          <w:lang w:val="en-CA"/>
        </w:rPr>
        <w:t xml:space="preserve">1709(10).  </w:t>
      </w:r>
    </w:p>
  </w:footnote>
  <w:footnote w:id="46">
    <w:p w14:paraId="67ECFC74" w14:textId="7FCDE72C"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t xml:space="preserve">As Robertson J. noted in </w:t>
      </w:r>
      <w:r w:rsidRPr="00E02273">
        <w:rPr>
          <w:i/>
          <w:lang w:val="en-CA"/>
        </w:rPr>
        <w:t>ICN Pharmaceuticals, Inc. v. Canada (Staff of the Patented Medicine Prices Review Board)</w:t>
      </w:r>
      <w:r w:rsidRPr="00E02273">
        <w:rPr>
          <w:lang w:val="en-CA"/>
        </w:rPr>
        <w:t xml:space="preserve">, 1996 CanLII 4089 (FCA), [1997] 1 F.C. 32 (FCA) at para. 8 [cited to CanLII]: “The most recent legislation affecting patented medicines were enacted in 1993: </w:t>
      </w:r>
      <w:r w:rsidRPr="00E02273">
        <w:rPr>
          <w:i/>
          <w:lang w:val="en-CA"/>
        </w:rPr>
        <w:t>Patent Act Amendment Act, 1992</w:t>
      </w:r>
      <w:r w:rsidRPr="00E02273">
        <w:rPr>
          <w:lang w:val="en-CA"/>
        </w:rPr>
        <w:t xml:space="preserve">, S.C. 1993, c. 2 and the </w:t>
      </w:r>
      <w:r w:rsidRPr="00E02273">
        <w:rPr>
          <w:i/>
          <w:lang w:val="en-CA"/>
        </w:rPr>
        <w:t>Patented Medicines (Notice of Compliance) Regulations</w:t>
      </w:r>
      <w:r w:rsidRPr="00E02273">
        <w:rPr>
          <w:lang w:val="en-CA"/>
        </w:rPr>
        <w:t>, SOR/93-133 (the NOC Regulations). A primary motivation for these amendments was Canada's involvement in GATT and NAFTA negotiations: see Horton, at pages 150-153; and Marusyk, at page 162. As Canada was the only major industrialized nation to have a system of compulsory licensing, it was felt that its patent laws should be brought into line with those of other industrialized countries: see Horton, at page 153; and Government of Canada News Release, NR-10770/92-21, at page 3.</w:t>
      </w:r>
      <w:r>
        <w:rPr>
          <w:lang w:val="en-CA"/>
        </w:rPr>
        <w:t>”</w:t>
      </w:r>
      <w:r w:rsidRPr="00E02273">
        <w:rPr>
          <w:lang w:val="en-CA"/>
        </w:rPr>
        <w:t> </w:t>
      </w:r>
    </w:p>
  </w:footnote>
  <w:footnote w:id="47">
    <w:p w14:paraId="099DCE34" w14:textId="593C6447"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Patent Act Amendment Act</w:t>
      </w:r>
      <w:r w:rsidRPr="00E02273">
        <w:rPr>
          <w:lang w:val="en-CA"/>
        </w:rPr>
        <w:t xml:space="preserve">, S.C. 1993, c. 2, s. 7 introducing s. 83(1) into the </w:t>
      </w:r>
      <w:r w:rsidRPr="00E02273">
        <w:rPr>
          <w:i/>
          <w:lang w:val="en-CA"/>
        </w:rPr>
        <w:t xml:space="preserve">Patent Act </w:t>
      </w:r>
      <w:r w:rsidRPr="00E02273">
        <w:rPr>
          <w:lang w:val="en-CA"/>
        </w:rPr>
        <w:t>as it then read.</w:t>
      </w:r>
    </w:p>
  </w:footnote>
  <w:footnote w:id="48">
    <w:p w14:paraId="05FC4F20" w14:textId="0107F575"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Ibid.</w:t>
      </w:r>
      <w:r w:rsidRPr="00E02273">
        <w:rPr>
          <w:lang w:val="en-CA"/>
        </w:rPr>
        <w:t xml:space="preserve">, introducing ss. 83(2) to (5) into the </w:t>
      </w:r>
      <w:r w:rsidRPr="00E02273">
        <w:rPr>
          <w:i/>
          <w:lang w:val="en-CA"/>
        </w:rPr>
        <w:t xml:space="preserve">Patent Act </w:t>
      </w:r>
      <w:r w:rsidRPr="00E02273">
        <w:rPr>
          <w:lang w:val="en-CA"/>
        </w:rPr>
        <w:t>as it then read.</w:t>
      </w:r>
    </w:p>
  </w:footnote>
  <w:footnote w:id="49">
    <w:p w14:paraId="3B7434E0" w14:textId="3BA469DE"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Ibid.</w:t>
      </w:r>
      <w:r w:rsidRPr="00E02273">
        <w:rPr>
          <w:lang w:val="en-CA"/>
        </w:rPr>
        <w:t xml:space="preserve">, introducing s. 82 into the </w:t>
      </w:r>
      <w:r w:rsidRPr="00E02273">
        <w:rPr>
          <w:i/>
          <w:lang w:val="en-CA"/>
        </w:rPr>
        <w:t xml:space="preserve">Patent Act </w:t>
      </w:r>
      <w:r w:rsidRPr="00E02273">
        <w:rPr>
          <w:lang w:val="en-CA"/>
        </w:rPr>
        <w:t>as it then read.</w:t>
      </w:r>
    </w:p>
  </w:footnote>
  <w:footnote w:id="50">
    <w:p w14:paraId="741D3C54" w14:textId="046F2D43"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Canada (Attorney General) v. Sandoz Canada Inc. and Ratiopharm Inc. (now Teva Canada Limited</w:t>
      </w:r>
      <w:r w:rsidRPr="00E02273">
        <w:rPr>
          <w:lang w:val="en-CA"/>
        </w:rPr>
        <w:t xml:space="preserve">), 2015 FCA 249 at paras. 109–122; aff’g on this point </w:t>
      </w:r>
      <w:r w:rsidRPr="00E02273">
        <w:rPr>
          <w:i/>
          <w:lang w:val="en-CA"/>
        </w:rPr>
        <w:t>Sandoz Canada Inc. v. Canada (Attorney General)</w:t>
      </w:r>
      <w:r w:rsidRPr="00E02273">
        <w:rPr>
          <w:lang w:val="en-CA"/>
        </w:rPr>
        <w:t xml:space="preserve">, 2014 FC 501 at paras. 35–37. See also </w:t>
      </w:r>
      <w:r w:rsidRPr="00E02273">
        <w:rPr>
          <w:i/>
          <w:lang w:val="en-CA"/>
        </w:rPr>
        <w:t>Alexion Pharmaceuticals Inc. v. Canada (Attorney General])</w:t>
      </w:r>
      <w:r w:rsidRPr="00E02273">
        <w:rPr>
          <w:lang w:val="en-CA"/>
        </w:rPr>
        <w:t>, 2017 FCA 241 at para. 63.</w:t>
      </w:r>
    </w:p>
  </w:footnote>
  <w:footnote w:id="51">
    <w:p w14:paraId="20A0633F" w14:textId="0C57D2AC"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Canada–European Union Comprehensive Economic and Trade Agreement Implementation Act</w:t>
      </w:r>
      <w:r w:rsidRPr="00E02273">
        <w:rPr>
          <w:lang w:val="en-CA"/>
        </w:rPr>
        <w:t>, S.C. 2017, c. 6.</w:t>
      </w:r>
    </w:p>
  </w:footnote>
  <w:footnote w:id="52">
    <w:p w14:paraId="440C1DC3" w14:textId="1322C21A"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Food and Drugs Act</w:t>
      </w:r>
      <w:r w:rsidRPr="00E02273">
        <w:rPr>
          <w:lang w:val="en-CA"/>
        </w:rPr>
        <w:t xml:space="preserve">, R.S.C. 1985, c. F-27 and </w:t>
      </w:r>
      <w:r w:rsidRPr="00E02273">
        <w:rPr>
          <w:i/>
          <w:lang w:val="en-CA"/>
        </w:rPr>
        <w:t>Food and Drug Regulations</w:t>
      </w:r>
      <w:r w:rsidRPr="00E02273">
        <w:rPr>
          <w:lang w:val="en-CA"/>
        </w:rPr>
        <w:t>, C.R.C., c. 870, Part C, Division 8.</w:t>
      </w:r>
    </w:p>
  </w:footnote>
  <w:footnote w:id="53">
    <w:p w14:paraId="1FDE8C52" w14:textId="4FC78AB2"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Canada–European Union Comprehensive Economic and Trade Agreement Implementation Act</w:t>
      </w:r>
      <w:r w:rsidRPr="00E02273">
        <w:rPr>
          <w:lang w:val="en-CA"/>
        </w:rPr>
        <w:t xml:space="preserve">, S.C. 2017, c. 6, </w:t>
      </w:r>
      <w:r>
        <w:rPr>
          <w:lang w:val="en-CA"/>
        </w:rPr>
        <w:t>s</w:t>
      </w:r>
      <w:r w:rsidRPr="00E02273">
        <w:rPr>
          <w:lang w:val="en-CA"/>
        </w:rPr>
        <w:t xml:space="preserve">. 59, introducing ss. 127 and 128 into the </w:t>
      </w:r>
      <w:r w:rsidRPr="00E02273">
        <w:rPr>
          <w:i/>
          <w:lang w:val="en-CA"/>
        </w:rPr>
        <w:t>Patent Act</w:t>
      </w:r>
      <w:r w:rsidRPr="00E02273">
        <w:rPr>
          <w:lang w:val="en-CA"/>
        </w:rPr>
        <w:t>.</w:t>
      </w:r>
    </w:p>
  </w:footnote>
  <w:footnote w:id="54">
    <w:p w14:paraId="37B9EE65" w14:textId="33312B52"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Free World Trust v. Électro Santé Inc.</w:t>
      </w:r>
      <w:r w:rsidRPr="00E02273">
        <w:rPr>
          <w:lang w:val="en-CA"/>
        </w:rPr>
        <w:t xml:space="preserve">, 2000 SCC 66 at para. 42; </w:t>
      </w:r>
      <w:r w:rsidRPr="00E02273">
        <w:rPr>
          <w:i/>
          <w:lang w:val="en-CA"/>
        </w:rPr>
        <w:t>Harvard College v. Canada (Commissioner of Patents)</w:t>
      </w:r>
      <w:r w:rsidRPr="00E02273">
        <w:rPr>
          <w:lang w:val="en-CA"/>
        </w:rPr>
        <w:t xml:space="preserve">, 2002 SCC 76 at para. 185; </w:t>
      </w:r>
      <w:r w:rsidRPr="00E02273">
        <w:rPr>
          <w:i/>
          <w:lang w:val="en-CA"/>
        </w:rPr>
        <w:t>Apotex Inc. v. Welcome Foundation Ltd.</w:t>
      </w:r>
      <w:r w:rsidRPr="00E02273">
        <w:rPr>
          <w:lang w:val="en-CA"/>
        </w:rPr>
        <w:t>, 2002 SCC 77 at para. 37.</w:t>
      </w:r>
    </w:p>
  </w:footnote>
  <w:footnote w:id="55">
    <w:p w14:paraId="72FB72E7" w14:textId="3509C1D6" w:rsidR="00EC7001" w:rsidRPr="00E02273" w:rsidRDefault="00EC7001" w:rsidP="00B568AD">
      <w:pPr>
        <w:pStyle w:val="Notedebasdepage"/>
        <w:tabs>
          <w:tab w:val="left" w:pos="579"/>
        </w:tabs>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Monsanto Canada Inc. v. Scheimeser</w:t>
      </w:r>
      <w:r w:rsidRPr="00E02273">
        <w:rPr>
          <w:lang w:val="en-CA"/>
        </w:rPr>
        <w:t>, 2004 SCC 34 at para. 36.</w:t>
      </w:r>
    </w:p>
  </w:footnote>
  <w:footnote w:id="56">
    <w:p w14:paraId="3373FC6F" w14:textId="3952AEF3"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Celotex Corp. v. Donnacona Paper Co.</w:t>
      </w:r>
      <w:r w:rsidRPr="00E02273">
        <w:rPr>
          <w:lang w:val="en-CA"/>
        </w:rPr>
        <w:t xml:space="preserve">, [1939] Ex. C.R. 128, 2 C.P.R. 26; </w:t>
      </w:r>
      <w:r w:rsidRPr="00E02273">
        <w:rPr>
          <w:i/>
          <w:lang w:val="en-CA"/>
        </w:rPr>
        <w:t>Gordon Johnson Co. v. Callwood</w:t>
      </w:r>
      <w:r w:rsidRPr="00E02273">
        <w:rPr>
          <w:lang w:val="en-CA"/>
        </w:rPr>
        <w:t xml:space="preserve">, [1960] Ex. C.R. 466; </w:t>
      </w:r>
      <w:r w:rsidRPr="00E02273">
        <w:rPr>
          <w:i/>
          <w:lang w:val="en-CA"/>
        </w:rPr>
        <w:t>Thorpharm Inc. v. Canada (Commissioner of Patents)</w:t>
      </w:r>
      <w:r w:rsidRPr="00E02273">
        <w:rPr>
          <w:lang w:val="en-CA"/>
        </w:rPr>
        <w:t>, 2004 F.C. 673.</w:t>
      </w:r>
    </w:p>
  </w:footnote>
  <w:footnote w:id="57">
    <w:p w14:paraId="03A7F330" w14:textId="073F57BC"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Patent Act</w:t>
      </w:r>
      <w:r w:rsidRPr="00E02273">
        <w:rPr>
          <w:lang w:val="en-CA"/>
        </w:rPr>
        <w:t>, s. 65(2).</w:t>
      </w:r>
    </w:p>
  </w:footnote>
  <w:footnote w:id="58">
    <w:p w14:paraId="5D292924" w14:textId="673EDEED"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Ibid.</w:t>
      </w:r>
      <w:r w:rsidRPr="00E02273">
        <w:rPr>
          <w:lang w:val="en-CA"/>
        </w:rPr>
        <w:t>,</w:t>
      </w:r>
      <w:r w:rsidRPr="00E02273">
        <w:rPr>
          <w:i/>
          <w:lang w:val="en-CA"/>
        </w:rPr>
        <w:t xml:space="preserve"> </w:t>
      </w:r>
      <w:r w:rsidRPr="00E02273">
        <w:rPr>
          <w:lang w:val="en-CA"/>
        </w:rPr>
        <w:t>ss. 66(1)(</w:t>
      </w:r>
      <w:r w:rsidRPr="00943BD8">
        <w:rPr>
          <w:lang w:val="en-CA"/>
        </w:rPr>
        <w:t>a</w:t>
      </w:r>
      <w:r w:rsidRPr="00E02273">
        <w:rPr>
          <w:lang w:val="en-CA"/>
        </w:rPr>
        <w:t>) and (</w:t>
      </w:r>
      <w:r w:rsidRPr="00943BD8">
        <w:rPr>
          <w:lang w:val="en-CA"/>
        </w:rPr>
        <w:t>b</w:t>
      </w:r>
      <w:r w:rsidRPr="00E02273">
        <w:rPr>
          <w:lang w:val="en-CA"/>
        </w:rPr>
        <w:t>) and s. 66(4).</w:t>
      </w:r>
    </w:p>
  </w:footnote>
  <w:footnote w:id="59">
    <w:p w14:paraId="0F1C2678" w14:textId="542FDF2E"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Ibid.</w:t>
      </w:r>
      <w:r w:rsidRPr="00E02273">
        <w:rPr>
          <w:lang w:val="en-CA"/>
        </w:rPr>
        <w:t>, s. 66(1)(</w:t>
      </w:r>
      <w:r w:rsidRPr="00943BD8">
        <w:rPr>
          <w:lang w:val="en-CA"/>
        </w:rPr>
        <w:t>d</w:t>
      </w:r>
      <w:r w:rsidRPr="00E02273">
        <w:rPr>
          <w:lang w:val="en-CA"/>
        </w:rPr>
        <w:t>).</w:t>
      </w:r>
    </w:p>
  </w:footnote>
  <w:footnote w:id="60">
    <w:p w14:paraId="45FC7BA5" w14:textId="004C89ED"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iCs/>
          <w:lang w:val="en-CA"/>
        </w:rPr>
        <w:t>Canada (Commissioner of Patents) v. Farbwerke Hoechst Aktien-Gesellschaft Vormals Meister Lucius &amp; Bruning</w:t>
      </w:r>
      <w:r w:rsidRPr="00E02273">
        <w:rPr>
          <w:lang w:val="en-CA"/>
        </w:rPr>
        <w:t xml:space="preserve">, [1964] S.C.R. 49 at 56;  </w:t>
      </w:r>
      <w:r w:rsidRPr="00E02273">
        <w:rPr>
          <w:i/>
          <w:lang w:val="en-CA"/>
        </w:rPr>
        <w:t>Parke, Davis &amp; Co. v. Fine Chemicals of Canada Ltd</w:t>
      </w:r>
      <w:r w:rsidRPr="00E02273">
        <w:rPr>
          <w:lang w:val="en-CA"/>
        </w:rPr>
        <w:t>., 1959 CanLII 52 (SCC), [1959] S.C.R. 219 at 222.</w:t>
      </w:r>
      <w:r w:rsidRPr="00E02273">
        <w:rPr>
          <w:u w:val="single"/>
          <w:lang w:val="en-CA"/>
        </w:rPr>
        <w:t xml:space="preserve"> </w:t>
      </w:r>
    </w:p>
  </w:footnote>
  <w:footnote w:id="61">
    <w:p w14:paraId="02204FAC" w14:textId="01E9CC41"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Patent Act</w:t>
      </w:r>
      <w:r w:rsidRPr="00E02273">
        <w:rPr>
          <w:lang w:val="en-CA"/>
        </w:rPr>
        <w:t>, R.S.C. 1985, c. P-4, ss. 83 and 85(1).</w:t>
      </w:r>
    </w:p>
  </w:footnote>
  <w:footnote w:id="62">
    <w:p w14:paraId="2C9D2E16" w14:textId="259C2F29"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t xml:space="preserve">Subsection 80(1) refers to “rights holder”, which is defined in s. 79(2) as “in respect of an invention pertaining to a medicine, a patentee and the person for the time being entitled to the benefit of a certificate of supplementary protection for that invention, and includes, if any other person is entitled to exercise rights in relation to the certificate, that other person in respect of those rights.” For the purposes of these reasons, I use the term “patentee” to refer to all rights holders as defined in the </w:t>
      </w:r>
      <w:r w:rsidRPr="00E02273">
        <w:rPr>
          <w:i/>
          <w:lang w:val="en-CA"/>
        </w:rPr>
        <w:t>Act</w:t>
      </w:r>
      <w:r w:rsidRPr="00E02273">
        <w:rPr>
          <w:lang w:val="en-CA"/>
        </w:rPr>
        <w:t>.</w:t>
      </w:r>
    </w:p>
  </w:footnote>
  <w:footnote w:id="63">
    <w:p w14:paraId="24FDC91A" w14:textId="29D97AB6"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Patent Act</w:t>
      </w:r>
      <w:r w:rsidRPr="00E02273">
        <w:rPr>
          <w:lang w:val="en-CA"/>
        </w:rPr>
        <w:t>,</w:t>
      </w:r>
      <w:r w:rsidRPr="00E02273">
        <w:rPr>
          <w:i/>
          <w:lang w:val="en-CA"/>
        </w:rPr>
        <w:t xml:space="preserve"> </w:t>
      </w:r>
      <w:r w:rsidRPr="00E02273">
        <w:rPr>
          <w:lang w:val="en-CA"/>
        </w:rPr>
        <w:t>ss. 80(1)(</w:t>
      </w:r>
      <w:r w:rsidRPr="00943BD8">
        <w:rPr>
          <w:lang w:val="en-CA"/>
        </w:rPr>
        <w:t>a</w:t>
      </w:r>
      <w:r w:rsidRPr="00E02273">
        <w:rPr>
          <w:lang w:val="en-CA"/>
        </w:rPr>
        <w:t>) and (2)(</w:t>
      </w:r>
      <w:r w:rsidRPr="00943BD8">
        <w:rPr>
          <w:lang w:val="en-CA"/>
        </w:rPr>
        <w:t>a</w:t>
      </w:r>
      <w:r w:rsidRPr="00E02273">
        <w:rPr>
          <w:lang w:val="en-CA"/>
        </w:rPr>
        <w:t>);</w:t>
      </w:r>
      <w:r w:rsidRPr="00E02273">
        <w:rPr>
          <w:i/>
          <w:lang w:val="en-CA"/>
        </w:rPr>
        <w:t xml:space="preserve"> Patented Medicines Regulations</w:t>
      </w:r>
      <w:r w:rsidRPr="00E02273">
        <w:rPr>
          <w:lang w:val="en-CA"/>
        </w:rPr>
        <w:t>, s. 3.</w:t>
      </w:r>
    </w:p>
  </w:footnote>
  <w:footnote w:id="64">
    <w:p w14:paraId="3718C363" w14:textId="11427D32"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Patent Act</w:t>
      </w:r>
      <w:r w:rsidRPr="00E02273">
        <w:rPr>
          <w:lang w:val="en-CA"/>
        </w:rPr>
        <w:t>, ss. 80(1)(</w:t>
      </w:r>
      <w:r w:rsidRPr="00943BD8">
        <w:rPr>
          <w:lang w:val="en-CA"/>
        </w:rPr>
        <w:t>b</w:t>
      </w:r>
      <w:r w:rsidRPr="00E02273">
        <w:rPr>
          <w:lang w:val="en-CA"/>
        </w:rPr>
        <w:t>) and (2)(</w:t>
      </w:r>
      <w:r w:rsidRPr="00943BD8">
        <w:rPr>
          <w:lang w:val="en-CA"/>
        </w:rPr>
        <w:t>b</w:t>
      </w:r>
      <w:r w:rsidRPr="00E02273">
        <w:rPr>
          <w:lang w:val="en-CA"/>
        </w:rPr>
        <w:t xml:space="preserve">), </w:t>
      </w:r>
      <w:r w:rsidRPr="00E02273">
        <w:rPr>
          <w:i/>
          <w:lang w:val="en-CA"/>
        </w:rPr>
        <w:t>Patented Medicines Regulations</w:t>
      </w:r>
      <w:r w:rsidRPr="00E02273">
        <w:rPr>
          <w:lang w:val="en-CA"/>
        </w:rPr>
        <w:t>, s. 4 and Schedule.</w:t>
      </w:r>
    </w:p>
  </w:footnote>
  <w:footnote w:id="65">
    <w:p w14:paraId="4C0C77BE" w14:textId="0A5EB9B7"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Patent Act</w:t>
      </w:r>
      <w:r w:rsidRPr="00E02273">
        <w:rPr>
          <w:lang w:val="en-CA"/>
        </w:rPr>
        <w:t>, s. 83(1);</w:t>
      </w:r>
      <w:r w:rsidRPr="00E02273">
        <w:rPr>
          <w:i/>
          <w:lang w:val="en-CA"/>
        </w:rPr>
        <w:t xml:space="preserve"> Patented Medicines Regulations</w:t>
      </w:r>
      <w:r w:rsidRPr="00E02273">
        <w:rPr>
          <w:lang w:val="en-CA"/>
        </w:rPr>
        <w:t>, ss. 4(1)(</w:t>
      </w:r>
      <w:r w:rsidRPr="00943BD8">
        <w:rPr>
          <w:lang w:val="en-CA"/>
        </w:rPr>
        <w:t>f</w:t>
      </w:r>
      <w:r w:rsidRPr="00E02273">
        <w:rPr>
          <w:lang w:val="en-CA"/>
        </w:rPr>
        <w:t>), 4(4)(</w:t>
      </w:r>
      <w:r w:rsidRPr="00943BD8">
        <w:rPr>
          <w:lang w:val="en-CA"/>
        </w:rPr>
        <w:t>a</w:t>
      </w:r>
      <w:r w:rsidRPr="00E02273">
        <w:rPr>
          <w:lang w:val="en-CA"/>
        </w:rPr>
        <w:t>) and (</w:t>
      </w:r>
      <w:r w:rsidRPr="00943BD8">
        <w:rPr>
          <w:lang w:val="en-CA"/>
        </w:rPr>
        <w:t>b</w:t>
      </w:r>
      <w:r w:rsidRPr="00E02273">
        <w:rPr>
          <w:lang w:val="en-CA"/>
        </w:rPr>
        <w:t xml:space="preserve">), and 4(9).  </w:t>
      </w:r>
    </w:p>
  </w:footnote>
  <w:footnote w:id="66">
    <w:p w14:paraId="155A9881" w14:textId="00CDD01F"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Patent Act</w:t>
      </w:r>
      <w:r w:rsidRPr="00E02273">
        <w:rPr>
          <w:lang w:val="en-CA"/>
        </w:rPr>
        <w:t>, s. 85(1).</w:t>
      </w:r>
    </w:p>
  </w:footnote>
  <w:footnote w:id="67">
    <w:p w14:paraId="4F995698" w14:textId="3E5964B5"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Patent Act</w:t>
      </w:r>
      <w:r w:rsidRPr="00E02273">
        <w:rPr>
          <w:lang w:val="en-CA"/>
        </w:rPr>
        <w:t>, s. 85(2).</w:t>
      </w:r>
    </w:p>
  </w:footnote>
  <w:footnote w:id="68">
    <w:p w14:paraId="489BD4DE" w14:textId="7166CFA7"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Ibid.</w:t>
      </w:r>
      <w:r w:rsidRPr="00E02273">
        <w:rPr>
          <w:lang w:val="en-CA"/>
        </w:rPr>
        <w:t>, s. 85(3).</w:t>
      </w:r>
    </w:p>
  </w:footnote>
  <w:footnote w:id="69">
    <w:p w14:paraId="1D4225B6" w14:textId="37866020"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Ibid.</w:t>
      </w:r>
      <w:r w:rsidRPr="00E02273">
        <w:rPr>
          <w:lang w:val="en-CA"/>
        </w:rPr>
        <w:t>, s. 83(1).</w:t>
      </w:r>
    </w:p>
  </w:footnote>
  <w:footnote w:id="70">
    <w:p w14:paraId="0DAD8186" w14:textId="05871C72"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Ibid.</w:t>
      </w:r>
      <w:r w:rsidRPr="00E02273">
        <w:rPr>
          <w:lang w:val="en-CA"/>
        </w:rPr>
        <w:t>, s. 83(2). See also s. 83(3) in connection with former rights holders.</w:t>
      </w:r>
    </w:p>
  </w:footnote>
  <w:footnote w:id="71">
    <w:p w14:paraId="544EB351" w14:textId="0A1FFF49"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Ibid.</w:t>
      </w:r>
      <w:r w:rsidRPr="00E02273">
        <w:rPr>
          <w:lang w:val="en-CA"/>
        </w:rPr>
        <w:t>, s. 83(4).</w:t>
      </w:r>
    </w:p>
  </w:footnote>
  <w:footnote w:id="72">
    <w:p w14:paraId="6A4208C2" w14:textId="2D79525D"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Ibid.</w:t>
      </w:r>
      <w:r w:rsidRPr="00E02273">
        <w:rPr>
          <w:lang w:val="en-CA"/>
        </w:rPr>
        <w:t>, s. 96(5).</w:t>
      </w:r>
    </w:p>
  </w:footnote>
  <w:footnote w:id="73">
    <w:p w14:paraId="0256EE9F" w14:textId="6DF05183"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Ibid.</w:t>
      </w:r>
      <w:r w:rsidRPr="00E02273">
        <w:rPr>
          <w:lang w:val="en-CA"/>
        </w:rPr>
        <w:t>, s. 101(2).</w:t>
      </w:r>
    </w:p>
  </w:footnote>
  <w:footnote w:id="74">
    <w:p w14:paraId="5C0CEBB4" w14:textId="2C880C37"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t>Exhibit P-39: Affidavit of Susan Kokakis dated December 4, 2019, at para. 50; Exhibit P-40: Affidavit of Beena Kuriakose dated December 4, 2019, at para. 69; Exhibit P-43: Affidavit of Carole Bradley-Kennedy dated December 5, 2019, at para. 63; Exhibit P-45: Affidavit of Kirk Duguid dated December</w:t>
      </w:r>
      <w:r>
        <w:rPr>
          <w:lang w:val="en-CA"/>
        </w:rPr>
        <w:t> </w:t>
      </w:r>
      <w:r w:rsidRPr="00E02273">
        <w:rPr>
          <w:lang w:val="en-CA"/>
        </w:rPr>
        <w:t>5, 2019, at para. 79; Exhibit P-46: Affidavit of Dake Toki dated December 5, 2019, at para. 54.</w:t>
      </w:r>
    </w:p>
  </w:footnote>
  <w:footnote w:id="75">
    <w:p w14:paraId="76BB3D18" w14:textId="46EB801B"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t xml:space="preserve">Because the new regulatory </w:t>
      </w:r>
      <w:r>
        <w:rPr>
          <w:lang w:val="en-CA"/>
        </w:rPr>
        <w:t>regime</w:t>
      </w:r>
      <w:r w:rsidRPr="00E02273">
        <w:rPr>
          <w:lang w:val="en-CA"/>
        </w:rPr>
        <w:t xml:space="preserve"> will come into force only on July 1, 2022, I will refer to the guidelines applicable as of the date of this judgment as the [</w:t>
      </w:r>
      <w:r w:rsidRPr="00E02273">
        <w:rPr>
          <w:smallCaps/>
          <w:lang w:val="en-CA"/>
        </w:rPr>
        <w:t>translation</w:t>
      </w:r>
      <w:r w:rsidRPr="00E02273">
        <w:rPr>
          <w:lang w:val="en-CA"/>
        </w:rPr>
        <w:t>] “current” guidelines as opposed to the [</w:t>
      </w:r>
      <w:r w:rsidRPr="00E02273">
        <w:rPr>
          <w:smallCaps/>
          <w:lang w:val="en-CA"/>
        </w:rPr>
        <w:t>translation</w:t>
      </w:r>
      <w:r w:rsidRPr="00E02273">
        <w:rPr>
          <w:lang w:val="en-CA"/>
        </w:rPr>
        <w:t xml:space="preserve">] “new” guidelines that will apply when the new </w:t>
      </w:r>
      <w:r>
        <w:rPr>
          <w:lang w:val="en-CA"/>
        </w:rPr>
        <w:t xml:space="preserve">regime </w:t>
      </w:r>
      <w:r w:rsidRPr="00E02273">
        <w:rPr>
          <w:lang w:val="en-CA"/>
        </w:rPr>
        <w:t>comes into force.</w:t>
      </w:r>
    </w:p>
  </w:footnote>
  <w:footnote w:id="76">
    <w:p w14:paraId="0823B75C" w14:textId="731CD668"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t xml:space="preserve">Canada, Patented Medicine Prices Review Board, </w:t>
      </w:r>
      <w:r w:rsidRPr="00E02273">
        <w:rPr>
          <w:i/>
          <w:iCs/>
          <w:lang w:val="en-CA"/>
        </w:rPr>
        <w:t>Compendium of Policies, Guidelines and Procedures</w:t>
      </w:r>
      <w:r w:rsidRPr="00E02273">
        <w:rPr>
          <w:lang w:val="en-CA"/>
        </w:rPr>
        <w:t>, updated February 2017, at 9–10.</w:t>
      </w:r>
    </w:p>
  </w:footnote>
  <w:footnote w:id="77">
    <w:p w14:paraId="5D3DFECA" w14:textId="6E04FC81"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Patented Medicines Regulations</w:t>
      </w:r>
      <w:r w:rsidRPr="00E02273">
        <w:rPr>
          <w:lang w:val="en-CA"/>
        </w:rPr>
        <w:t>, s. 4(1)(</w:t>
      </w:r>
      <w:r w:rsidRPr="008663D3">
        <w:rPr>
          <w:lang w:val="en-CA"/>
        </w:rPr>
        <w:t>f</w:t>
      </w:r>
      <w:r w:rsidRPr="00E02273">
        <w:rPr>
          <w:lang w:val="en-CA"/>
        </w:rPr>
        <w:t>)(iii) and Schedule.</w:t>
      </w:r>
    </w:p>
  </w:footnote>
  <w:footnote w:id="78">
    <w:p w14:paraId="2E647854" w14:textId="4430E100"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Regulations Amending the Patented Medicines Regulations (Additional Factors and Information Reporting Requirements)</w:t>
      </w:r>
      <w:r w:rsidRPr="00E02273">
        <w:rPr>
          <w:lang w:val="en-CA"/>
        </w:rPr>
        <w:t>,</w:t>
      </w:r>
      <w:r w:rsidRPr="00E02273">
        <w:rPr>
          <w:i/>
          <w:lang w:val="en-CA"/>
        </w:rPr>
        <w:t xml:space="preserve"> </w:t>
      </w:r>
      <w:r w:rsidRPr="00E02273">
        <w:rPr>
          <w:lang w:val="en-CA"/>
        </w:rPr>
        <w:t xml:space="preserve">SOR/2019-298, </w:t>
      </w:r>
      <w:r w:rsidRPr="00293F6A">
        <w:rPr>
          <w:i/>
          <w:lang w:val="en-CA"/>
        </w:rPr>
        <w:t>Canada Gazette</w:t>
      </w:r>
      <w:r w:rsidRPr="00E02273">
        <w:rPr>
          <w:lang w:val="en-CA"/>
        </w:rPr>
        <w:t xml:space="preserve">, Part II, </w:t>
      </w:r>
      <w:r>
        <w:rPr>
          <w:lang w:val="en-CA"/>
        </w:rPr>
        <w:t>V</w:t>
      </w:r>
      <w:r w:rsidRPr="00E02273">
        <w:rPr>
          <w:lang w:val="en-CA"/>
        </w:rPr>
        <w:t>ol. 153, No. 17, August 21, 2019, at 5950–5951.</w:t>
      </w:r>
    </w:p>
  </w:footnote>
  <w:footnote w:id="79">
    <w:p w14:paraId="5F690C66" w14:textId="73BCC50B"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t>Exhibit D-2: Affidavit of Guillaume Couillard, March 13, 2020, at paras. 62–79.</w:t>
      </w:r>
    </w:p>
  </w:footnote>
  <w:footnote w:id="80">
    <w:p w14:paraId="5C0D95BF" w14:textId="06995C73"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Regulations Amending the Patented Medicines Regulations (Additional Factors and Information Reporting Requirements)</w:t>
      </w:r>
      <w:r w:rsidRPr="00E02273">
        <w:rPr>
          <w:lang w:val="en-CA"/>
        </w:rPr>
        <w:t>,</w:t>
      </w:r>
      <w:r w:rsidRPr="00E02273">
        <w:rPr>
          <w:i/>
          <w:lang w:val="en-CA"/>
        </w:rPr>
        <w:t xml:space="preserve"> </w:t>
      </w:r>
      <w:r w:rsidRPr="00E02273">
        <w:rPr>
          <w:lang w:val="en-CA"/>
        </w:rPr>
        <w:t xml:space="preserve">SOR/2019-298, </w:t>
      </w:r>
      <w:r w:rsidRPr="00293F6A">
        <w:rPr>
          <w:i/>
          <w:lang w:val="en-CA"/>
        </w:rPr>
        <w:t>Canada Gazette</w:t>
      </w:r>
      <w:r w:rsidRPr="00E02273">
        <w:rPr>
          <w:lang w:val="en-CA"/>
        </w:rPr>
        <w:t xml:space="preserve">, Part II, </w:t>
      </w:r>
      <w:r>
        <w:rPr>
          <w:lang w:val="en-CA"/>
        </w:rPr>
        <w:t>V</w:t>
      </w:r>
      <w:r w:rsidRPr="00E02273">
        <w:rPr>
          <w:lang w:val="en-CA"/>
        </w:rPr>
        <w:t xml:space="preserve">ol. 153, No. 17, August 21, 2019, at 5940 </w:t>
      </w:r>
      <w:r w:rsidRPr="00E02273">
        <w:rPr>
          <w:i/>
          <w:lang w:val="en-CA"/>
        </w:rPr>
        <w:t>et seq</w:t>
      </w:r>
      <w:r w:rsidRPr="00E02273">
        <w:rPr>
          <w:lang w:val="en-CA"/>
        </w:rPr>
        <w:t xml:space="preserve">., s. 4, introducing s. 4.4 into the </w:t>
      </w:r>
      <w:r w:rsidRPr="00E02273">
        <w:rPr>
          <w:i/>
          <w:lang w:val="en-CA"/>
        </w:rPr>
        <w:t>Patented Medicines Regulations.</w:t>
      </w:r>
    </w:p>
  </w:footnote>
  <w:footnote w:id="81">
    <w:p w14:paraId="1036A16C" w14:textId="026BBF88"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Regulations Amending the Patented Medicines Regulations (Additional Factors and Information Reporting Requirements)</w:t>
      </w:r>
      <w:r w:rsidRPr="00E02273">
        <w:rPr>
          <w:lang w:val="en-CA"/>
        </w:rPr>
        <w:t xml:space="preserve">, SOR/2019-298, </w:t>
      </w:r>
      <w:r>
        <w:rPr>
          <w:lang w:val="en-CA"/>
        </w:rPr>
        <w:t xml:space="preserve">Regulatory Impact Analysis Statement, </w:t>
      </w:r>
      <w:r w:rsidRPr="00293F6A">
        <w:rPr>
          <w:i/>
          <w:lang w:val="en-CA"/>
        </w:rPr>
        <w:t>Canada Gazette</w:t>
      </w:r>
      <w:r w:rsidRPr="00E02273">
        <w:rPr>
          <w:lang w:val="en-CA"/>
        </w:rPr>
        <w:t xml:space="preserve">, Part II, </w:t>
      </w:r>
      <w:r>
        <w:rPr>
          <w:lang w:val="en-CA"/>
        </w:rPr>
        <w:t>V</w:t>
      </w:r>
      <w:r w:rsidRPr="00E02273">
        <w:rPr>
          <w:lang w:val="en-CA"/>
        </w:rPr>
        <w:t>ol. 153, No. 17, August 21, 2019, at 5967 (“Regulatory Impact Analysis Statement”).</w:t>
      </w:r>
    </w:p>
  </w:footnote>
  <w:footnote w:id="82">
    <w:p w14:paraId="1ADB6854" w14:textId="3290D831"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Regulations Amending the Patented Medicines Regulations (Additional Factors and Information Reporting Requirements)</w:t>
      </w:r>
      <w:r w:rsidRPr="00E02273">
        <w:rPr>
          <w:lang w:val="en-CA"/>
        </w:rPr>
        <w:t>,</w:t>
      </w:r>
      <w:r w:rsidRPr="00E02273">
        <w:rPr>
          <w:i/>
          <w:lang w:val="en-CA"/>
        </w:rPr>
        <w:t xml:space="preserve"> </w:t>
      </w:r>
      <w:r w:rsidRPr="00E02273">
        <w:rPr>
          <w:lang w:val="en-CA"/>
        </w:rPr>
        <w:t xml:space="preserve">SOR/2019-298, </w:t>
      </w:r>
      <w:r w:rsidRPr="00293F6A">
        <w:rPr>
          <w:i/>
          <w:lang w:val="en-CA"/>
        </w:rPr>
        <w:t>Canada Gazette</w:t>
      </w:r>
      <w:r w:rsidRPr="00E02273">
        <w:rPr>
          <w:lang w:val="en-CA"/>
        </w:rPr>
        <w:t xml:space="preserve">, Part II, </w:t>
      </w:r>
      <w:r>
        <w:rPr>
          <w:lang w:val="en-CA"/>
        </w:rPr>
        <w:t>V</w:t>
      </w:r>
      <w:r w:rsidRPr="00E02273">
        <w:rPr>
          <w:lang w:val="en-CA"/>
        </w:rPr>
        <w:t xml:space="preserve">ol.153, No. 17, August 21, 2019, at 5940 </w:t>
      </w:r>
      <w:r w:rsidRPr="00E02273">
        <w:rPr>
          <w:i/>
          <w:lang w:val="en-CA"/>
        </w:rPr>
        <w:t>et seq</w:t>
      </w:r>
      <w:r w:rsidRPr="00E02273">
        <w:rPr>
          <w:lang w:val="en-CA"/>
        </w:rPr>
        <w:t xml:space="preserve">., s. 6, replacing the schedule to the </w:t>
      </w:r>
      <w:r w:rsidRPr="00E02273">
        <w:rPr>
          <w:i/>
          <w:lang w:val="en-CA"/>
        </w:rPr>
        <w:t>Patented Medicines Regulations</w:t>
      </w:r>
      <w:r w:rsidRPr="00E02273">
        <w:rPr>
          <w:lang w:val="en-CA"/>
        </w:rPr>
        <w:t>.</w:t>
      </w:r>
    </w:p>
  </w:footnote>
  <w:footnote w:id="83">
    <w:p w14:paraId="6E3E2BEA" w14:textId="27ABBEA8"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t xml:space="preserve">Regulatory Impact Analysis Statement, </w:t>
      </w:r>
      <w:r w:rsidRPr="00293F6A">
        <w:rPr>
          <w:i/>
          <w:lang w:val="en-CA"/>
        </w:rPr>
        <w:t>Canada Gazette</w:t>
      </w:r>
      <w:r w:rsidRPr="00E02273">
        <w:rPr>
          <w:lang w:val="en-CA"/>
        </w:rPr>
        <w:t xml:space="preserve">, Part II, </w:t>
      </w:r>
      <w:r>
        <w:rPr>
          <w:lang w:val="en-CA"/>
        </w:rPr>
        <w:t>V</w:t>
      </w:r>
      <w:r w:rsidRPr="00E02273">
        <w:rPr>
          <w:lang w:val="en-CA"/>
        </w:rPr>
        <w:t>ol. 153, No. 17, August 21, 2019, at 5968.</w:t>
      </w:r>
    </w:p>
  </w:footnote>
  <w:footnote w:id="84">
    <w:p w14:paraId="6227A232" w14:textId="01A55827"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Regulations Amending the Patented Medicines Regulations (Additional Factors and Information Reporting Requirements)</w:t>
      </w:r>
      <w:r w:rsidRPr="00E02273">
        <w:rPr>
          <w:lang w:val="en-CA"/>
        </w:rPr>
        <w:t xml:space="preserve">, SOR/2019-298, </w:t>
      </w:r>
      <w:r w:rsidRPr="00293F6A">
        <w:rPr>
          <w:i/>
          <w:lang w:val="en-CA"/>
        </w:rPr>
        <w:t>Canada Gazette</w:t>
      </w:r>
      <w:r w:rsidRPr="00E02273">
        <w:rPr>
          <w:lang w:val="en-CA"/>
        </w:rPr>
        <w:t xml:space="preserve">, Part II, </w:t>
      </w:r>
      <w:r>
        <w:rPr>
          <w:lang w:val="en-CA"/>
        </w:rPr>
        <w:t>V</w:t>
      </w:r>
      <w:r w:rsidRPr="00E02273">
        <w:rPr>
          <w:lang w:val="en-CA"/>
        </w:rPr>
        <w:t xml:space="preserve">ol. 153, No. 17, August 21, 2019, at 5940 </w:t>
      </w:r>
      <w:r w:rsidRPr="00E02273">
        <w:rPr>
          <w:i/>
          <w:lang w:val="en-CA"/>
        </w:rPr>
        <w:t>et seq</w:t>
      </w:r>
      <w:r w:rsidRPr="00E02273">
        <w:rPr>
          <w:lang w:val="en-CA"/>
        </w:rPr>
        <w:t>., s. 3(4) replacing ss. 4(4)(</w:t>
      </w:r>
      <w:r w:rsidRPr="00293F6A">
        <w:rPr>
          <w:lang w:val="en-CA"/>
        </w:rPr>
        <w:t>a</w:t>
      </w:r>
      <w:r w:rsidRPr="00E02273">
        <w:rPr>
          <w:lang w:val="en-CA"/>
        </w:rPr>
        <w:t>) and (</w:t>
      </w:r>
      <w:r w:rsidRPr="00293F6A">
        <w:rPr>
          <w:lang w:val="en-CA"/>
        </w:rPr>
        <w:t>b</w:t>
      </w:r>
      <w:r w:rsidRPr="00E02273">
        <w:rPr>
          <w:lang w:val="en-CA"/>
        </w:rPr>
        <w:t xml:space="preserve">) of the </w:t>
      </w:r>
      <w:r w:rsidRPr="00E02273">
        <w:rPr>
          <w:i/>
          <w:lang w:val="en-CA"/>
        </w:rPr>
        <w:t>Patented Medicines Regulations</w:t>
      </w:r>
      <w:r w:rsidRPr="00E02273">
        <w:rPr>
          <w:lang w:val="en-CA"/>
        </w:rPr>
        <w:t>.</w:t>
      </w:r>
    </w:p>
  </w:footnote>
  <w:footnote w:id="85">
    <w:p w14:paraId="2586517A" w14:textId="51667D89"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t xml:space="preserve">Regulatory Impact Analysis Statement, </w:t>
      </w:r>
      <w:r w:rsidRPr="00293F6A">
        <w:rPr>
          <w:i/>
          <w:lang w:val="en-CA"/>
        </w:rPr>
        <w:t>Canada Gazette</w:t>
      </w:r>
      <w:r w:rsidRPr="00E02273">
        <w:rPr>
          <w:lang w:val="en-CA"/>
        </w:rPr>
        <w:t xml:space="preserve">, Part II, </w:t>
      </w:r>
      <w:r>
        <w:rPr>
          <w:lang w:val="en-CA"/>
        </w:rPr>
        <w:t>V</w:t>
      </w:r>
      <w:r w:rsidRPr="00E02273">
        <w:rPr>
          <w:lang w:val="en-CA"/>
        </w:rPr>
        <w:t>ol. 153, No. 17, August 21, 2019, at 5969.</w:t>
      </w:r>
    </w:p>
  </w:footnote>
  <w:footnote w:id="86">
    <w:p w14:paraId="2CF06BB8" w14:textId="4CEC1EED"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t>Quality-adjusted life year (“QALY”).</w:t>
      </w:r>
    </w:p>
  </w:footnote>
  <w:footnote w:id="87">
    <w:p w14:paraId="1E6146BD" w14:textId="140DA25A" w:rsidR="00EC7001" w:rsidRPr="00E02273" w:rsidRDefault="00EC7001" w:rsidP="00B568AD">
      <w:pPr>
        <w:pStyle w:val="Notedebasdepage"/>
        <w:rPr>
          <w:i/>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Regulations Amending the Patented Medicines Regulations (Additional Factors and Information Reporting Requirements)</w:t>
      </w:r>
      <w:r w:rsidRPr="00E02273">
        <w:rPr>
          <w:lang w:val="en-CA"/>
        </w:rPr>
        <w:t xml:space="preserve">, SOR/2019-298, </w:t>
      </w:r>
      <w:r w:rsidRPr="00293F6A">
        <w:rPr>
          <w:i/>
          <w:lang w:val="en-CA"/>
        </w:rPr>
        <w:t>Canada Gazette</w:t>
      </w:r>
      <w:r w:rsidRPr="00E02273">
        <w:rPr>
          <w:lang w:val="en-CA"/>
        </w:rPr>
        <w:t xml:space="preserve">, Part II, </w:t>
      </w:r>
      <w:r>
        <w:rPr>
          <w:lang w:val="en-CA"/>
        </w:rPr>
        <w:t>V</w:t>
      </w:r>
      <w:r w:rsidRPr="00E02273">
        <w:rPr>
          <w:lang w:val="en-CA"/>
        </w:rPr>
        <w:t xml:space="preserve">ol. 153, No. 17, August 21, 2019, at 5940 </w:t>
      </w:r>
      <w:r w:rsidRPr="00E02273">
        <w:rPr>
          <w:i/>
          <w:lang w:val="en-CA"/>
        </w:rPr>
        <w:t>et seq</w:t>
      </w:r>
      <w:r w:rsidRPr="00E02273">
        <w:rPr>
          <w:lang w:val="en-CA"/>
        </w:rPr>
        <w:t xml:space="preserve">., s. 4 introducing s. 4.1 into the </w:t>
      </w:r>
      <w:r w:rsidRPr="00E02273">
        <w:rPr>
          <w:i/>
          <w:lang w:val="en-CA"/>
        </w:rPr>
        <w:t>Patented Medicines Regulations.</w:t>
      </w:r>
    </w:p>
  </w:footnote>
  <w:footnote w:id="88">
    <w:p w14:paraId="14E392C9" w14:textId="53777D46"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Ibid.</w:t>
      </w:r>
      <w:r w:rsidRPr="00E02273">
        <w:rPr>
          <w:lang w:val="en-CA"/>
        </w:rPr>
        <w:t xml:space="preserve">, s. 4 introducing s. 4.1(5) into the </w:t>
      </w:r>
      <w:r w:rsidRPr="00E02273">
        <w:rPr>
          <w:i/>
          <w:lang w:val="en-CA"/>
        </w:rPr>
        <w:t>Patented Medicines Regulations.</w:t>
      </w:r>
    </w:p>
  </w:footnote>
  <w:footnote w:id="89">
    <w:p w14:paraId="7982DF7D" w14:textId="5ED15695"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Ibid.</w:t>
      </w:r>
      <w:r w:rsidRPr="00E02273">
        <w:rPr>
          <w:lang w:val="en-CA"/>
        </w:rPr>
        <w:t xml:space="preserve">, s. 4 introducing s. 4.2 into the </w:t>
      </w:r>
      <w:r w:rsidRPr="00E02273">
        <w:rPr>
          <w:i/>
          <w:lang w:val="en-CA"/>
        </w:rPr>
        <w:t>Patented Medicines Regulations</w:t>
      </w:r>
      <w:r w:rsidRPr="00E02273">
        <w:rPr>
          <w:lang w:val="en-CA"/>
        </w:rPr>
        <w:t>.</w:t>
      </w:r>
    </w:p>
  </w:footnote>
  <w:footnote w:id="90">
    <w:p w14:paraId="2CC4C0A3" w14:textId="6D3B61EB"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t xml:space="preserve">New </w:t>
      </w:r>
      <w:r w:rsidRPr="00293F6A">
        <w:rPr>
          <w:i/>
          <w:lang w:val="en-CA"/>
        </w:rPr>
        <w:t>Guidelines of the Patented Medicine Prices Review Board</w:t>
      </w:r>
      <w:r w:rsidRPr="00E02273">
        <w:rPr>
          <w:lang w:val="en-CA"/>
        </w:rPr>
        <w:t>, at paras. 55–66, Appendices A and C.</w:t>
      </w:r>
    </w:p>
  </w:footnote>
  <w:footnote w:id="91">
    <w:p w14:paraId="131EFB5E" w14:textId="05B99EEA"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Ibid.</w:t>
      </w:r>
      <w:r w:rsidRPr="00E02273">
        <w:rPr>
          <w:lang w:val="en-CA"/>
        </w:rPr>
        <w:t>, Appendix D.</w:t>
      </w:r>
    </w:p>
  </w:footnote>
  <w:footnote w:id="92">
    <w:p w14:paraId="269E09EF" w14:textId="026DED98"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t xml:space="preserve">Regulatory Impact Analysis Statement, </w:t>
      </w:r>
      <w:r w:rsidRPr="00293F6A">
        <w:rPr>
          <w:i/>
          <w:lang w:val="en-CA"/>
        </w:rPr>
        <w:t>Canada Gazette</w:t>
      </w:r>
      <w:r w:rsidRPr="00E02273">
        <w:rPr>
          <w:lang w:val="en-CA"/>
        </w:rPr>
        <w:t xml:space="preserve">, Part II, </w:t>
      </w:r>
      <w:r>
        <w:rPr>
          <w:lang w:val="en-CA"/>
        </w:rPr>
        <w:t>V</w:t>
      </w:r>
      <w:r w:rsidRPr="00E02273">
        <w:rPr>
          <w:lang w:val="en-CA"/>
        </w:rPr>
        <w:t>ol. 153, No. 17, August 21, 2019, at 5971.</w:t>
      </w:r>
    </w:p>
  </w:footnote>
  <w:footnote w:id="93">
    <w:p w14:paraId="17EFE5ED" w14:textId="2B6BEBAC" w:rsidR="00EC7001" w:rsidRPr="005219AB" w:rsidRDefault="00EC7001" w:rsidP="00B568AD">
      <w:pPr>
        <w:pStyle w:val="Notedebasdepage"/>
      </w:pPr>
      <w:r w:rsidRPr="00E02273">
        <w:rPr>
          <w:rStyle w:val="Appelnotedebasdep"/>
          <w:lang w:val="en-CA"/>
        </w:rPr>
        <w:footnoteRef/>
      </w:r>
      <w:r w:rsidRPr="005219AB">
        <w:t xml:space="preserve"> </w:t>
      </w:r>
      <w:r w:rsidRPr="005219AB">
        <w:tab/>
        <w:t>Trial judgment at paras. 85–86.</w:t>
      </w:r>
    </w:p>
  </w:footnote>
  <w:footnote w:id="94">
    <w:p w14:paraId="69546F3D" w14:textId="1889C9B7" w:rsidR="00EC7001" w:rsidRPr="005219AB" w:rsidRDefault="00EC7001" w:rsidP="00B568AD">
      <w:pPr>
        <w:pStyle w:val="Notedebasdepage"/>
      </w:pPr>
      <w:r w:rsidRPr="00E02273">
        <w:rPr>
          <w:rStyle w:val="Appelnotedebasdep"/>
          <w:lang w:val="en-CA"/>
        </w:rPr>
        <w:footnoteRef/>
      </w:r>
      <w:r w:rsidRPr="005219AB">
        <w:t xml:space="preserve"> </w:t>
      </w:r>
      <w:r w:rsidRPr="005219AB">
        <w:tab/>
      </w:r>
      <w:r w:rsidRPr="005219AB">
        <w:rPr>
          <w:i/>
        </w:rPr>
        <w:t>Act respecting the Institut national d'excellence en santé et en services sociaux</w:t>
      </w:r>
      <w:r w:rsidRPr="005219AB">
        <w:t>, CQLR c. I-13.03, s. 7.</w:t>
      </w:r>
    </w:p>
  </w:footnote>
  <w:footnote w:id="95">
    <w:p w14:paraId="673C7590" w14:textId="394BF705"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Regulation respecting the conditions governing the accreditation of manufacturers and wholesalers of medications</w:t>
      </w:r>
      <w:r w:rsidRPr="00E02273">
        <w:rPr>
          <w:lang w:val="en-CA"/>
        </w:rPr>
        <w:t xml:space="preserve">, CQLR, c. A-29.01, r. 2. See also the </w:t>
      </w:r>
      <w:r w:rsidRPr="00E02273">
        <w:rPr>
          <w:i/>
          <w:lang w:val="en-CA"/>
        </w:rPr>
        <w:t>Act respecting health services and social services</w:t>
      </w:r>
      <w:r w:rsidRPr="00E02273">
        <w:rPr>
          <w:lang w:val="en-CA"/>
        </w:rPr>
        <w:t xml:space="preserve">, CQLR, c. S-4.2, s. 116, and the </w:t>
      </w:r>
      <w:r w:rsidRPr="00E02273">
        <w:rPr>
          <w:i/>
          <w:lang w:val="en-CA"/>
        </w:rPr>
        <w:t>Act respecting prescription drug insurance</w:t>
      </w:r>
      <w:r w:rsidRPr="00E02273">
        <w:rPr>
          <w:lang w:val="en-CA"/>
        </w:rPr>
        <w:t>, CQLR, c. A-29.01, s. 80.</w:t>
      </w:r>
    </w:p>
  </w:footnote>
  <w:footnote w:id="96">
    <w:p w14:paraId="1576FF90" w14:textId="08384128"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Act respecting prescription drug insurance</w:t>
      </w:r>
      <w:r w:rsidRPr="00E02273">
        <w:rPr>
          <w:lang w:val="en-CA"/>
        </w:rPr>
        <w:t>, CQLR, c. A-29.01, s. 60.0.1.</w:t>
      </w:r>
    </w:p>
  </w:footnote>
  <w:footnote w:id="97">
    <w:p w14:paraId="11370085" w14:textId="73FAF9A3"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t>Trial judgment at para. 409.</w:t>
      </w:r>
    </w:p>
  </w:footnote>
  <w:footnote w:id="98">
    <w:p w14:paraId="061BB38E" w14:textId="71EC1884"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t>The pharmaceutical companies also sought a declaration of invalidity with respect to all the Board’s policies, guidelines, and procedures. The trial judge did not address that application, and it is not contemplated by this appeal.</w:t>
      </w:r>
    </w:p>
  </w:footnote>
  <w:footnote w:id="99">
    <w:p w14:paraId="6FC3FBC4" w14:textId="77C00F25"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t>Amended application dated February 19, 2020, at para. 133.</w:t>
      </w:r>
    </w:p>
  </w:footnote>
  <w:footnote w:id="100">
    <w:p w14:paraId="4C9E7C59" w14:textId="0CE2A4B3"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t>Trial judgment at paras. 239–242.</w:t>
      </w:r>
    </w:p>
  </w:footnote>
  <w:footnote w:id="101">
    <w:p w14:paraId="77153CC4" w14:textId="707717CF"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Ibid.</w:t>
      </w:r>
      <w:r w:rsidRPr="00E02273">
        <w:rPr>
          <w:lang w:val="en-CA"/>
        </w:rPr>
        <w:t xml:space="preserve"> at paras. 256</w:t>
      </w:r>
      <w:r w:rsidRPr="00E02273">
        <w:rPr>
          <w:rFonts w:cs="Arial"/>
          <w:lang w:val="en-CA"/>
        </w:rPr>
        <w:t>–</w:t>
      </w:r>
      <w:r w:rsidRPr="00E02273">
        <w:rPr>
          <w:lang w:val="en-CA"/>
        </w:rPr>
        <w:t xml:space="preserve">260. </w:t>
      </w:r>
    </w:p>
  </w:footnote>
  <w:footnote w:id="102">
    <w:p w14:paraId="04C934A0" w14:textId="5249C7B5"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Ibid.</w:t>
      </w:r>
      <w:r w:rsidRPr="00E02273">
        <w:rPr>
          <w:lang w:val="en-CA"/>
        </w:rPr>
        <w:t xml:space="preserve"> at para. 261: [</w:t>
      </w:r>
      <w:r w:rsidRPr="00E02273">
        <w:rPr>
          <w:smallCaps/>
          <w:lang w:val="en-CA"/>
        </w:rPr>
        <w:t>translation</w:t>
      </w:r>
      <w:r w:rsidRPr="00E02273">
        <w:rPr>
          <w:lang w:val="en-CA"/>
        </w:rPr>
        <w:t xml:space="preserve">] “In light of all these elements, the Court finds that the pith and substance of Regime 1 is to control </w:t>
      </w:r>
      <w:r>
        <w:rPr>
          <w:lang w:val="en-CA"/>
        </w:rPr>
        <w:t xml:space="preserve">the </w:t>
      </w:r>
      <w:r w:rsidRPr="00E02273">
        <w:rPr>
          <w:lang w:val="en-CA"/>
        </w:rPr>
        <w:t>prices of patented medicines to ensure that they are below a threshold that the Board deems excessive. The objective was to prevent overly high prices due to the complete abolition of the patented medicines compulsory licensing regime.”</w:t>
      </w:r>
    </w:p>
  </w:footnote>
  <w:footnote w:id="103">
    <w:p w14:paraId="35F496B2" w14:textId="633C58EC"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Ibid.</w:t>
      </w:r>
      <w:r w:rsidRPr="00E02273">
        <w:rPr>
          <w:lang w:val="en-CA"/>
        </w:rPr>
        <w:t xml:space="preserve"> at para. 263.</w:t>
      </w:r>
    </w:p>
  </w:footnote>
  <w:footnote w:id="104">
    <w:p w14:paraId="034609D4" w14:textId="0A563601"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Ibid.</w:t>
      </w:r>
      <w:r w:rsidRPr="00E02273">
        <w:rPr>
          <w:lang w:val="en-CA"/>
        </w:rPr>
        <w:t xml:space="preserve"> at para. 271.</w:t>
      </w:r>
    </w:p>
  </w:footnote>
  <w:footnote w:id="105">
    <w:p w14:paraId="30F3B15B" w14:textId="78207F84"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Ibid.</w:t>
      </w:r>
      <w:r w:rsidRPr="00E02273">
        <w:rPr>
          <w:lang w:val="en-CA"/>
        </w:rPr>
        <w:t xml:space="preserve"> at paras. 273–274</w:t>
      </w:r>
    </w:p>
  </w:footnote>
  <w:footnote w:id="106">
    <w:p w14:paraId="0FE7B167" w14:textId="77927B9C"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Ibid.</w:t>
      </w:r>
      <w:r w:rsidRPr="00E02273">
        <w:rPr>
          <w:lang w:val="en-CA"/>
        </w:rPr>
        <w:t xml:space="preserve"> at para</w:t>
      </w:r>
      <w:r>
        <w:rPr>
          <w:lang w:val="en-CA"/>
        </w:rPr>
        <w:t>s</w:t>
      </w:r>
      <w:r w:rsidRPr="00E02273">
        <w:rPr>
          <w:lang w:val="en-CA"/>
        </w:rPr>
        <w:t>. 279 and 282–286.</w:t>
      </w:r>
    </w:p>
  </w:footnote>
  <w:footnote w:id="107">
    <w:p w14:paraId="468D6F85" w14:textId="4097120C"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Ibid.</w:t>
      </w:r>
      <w:r w:rsidRPr="00E02273">
        <w:rPr>
          <w:lang w:val="en-CA"/>
        </w:rPr>
        <w:t xml:space="preserve"> </w:t>
      </w:r>
      <w:r>
        <w:rPr>
          <w:lang w:val="en-CA"/>
        </w:rPr>
        <w:t xml:space="preserve">at </w:t>
      </w:r>
      <w:r w:rsidRPr="00E02273">
        <w:rPr>
          <w:lang w:val="en-CA"/>
        </w:rPr>
        <w:t>par</w:t>
      </w:r>
      <w:r>
        <w:rPr>
          <w:lang w:val="en-CA"/>
        </w:rPr>
        <w:t>a</w:t>
      </w:r>
      <w:r w:rsidRPr="00E02273">
        <w:rPr>
          <w:lang w:val="en-CA"/>
        </w:rPr>
        <w:t>. 287.</w:t>
      </w:r>
    </w:p>
  </w:footnote>
  <w:footnote w:id="108">
    <w:p w14:paraId="3AFC1683" w14:textId="4EC8594B"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 xml:space="preserve">Ibid. </w:t>
      </w:r>
      <w:r w:rsidRPr="00E02273">
        <w:rPr>
          <w:lang w:val="en-CA"/>
        </w:rPr>
        <w:t>at para. 364.</w:t>
      </w:r>
    </w:p>
  </w:footnote>
  <w:footnote w:id="109">
    <w:p w14:paraId="73F86738" w14:textId="00E18257"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 xml:space="preserve">Ibid. </w:t>
      </w:r>
      <w:r w:rsidRPr="00E02273">
        <w:rPr>
          <w:lang w:val="en-CA"/>
        </w:rPr>
        <w:t>at paras. 372–376.</w:t>
      </w:r>
    </w:p>
  </w:footnote>
  <w:footnote w:id="110">
    <w:p w14:paraId="1B9CC210" w14:textId="1D8521C1"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 xml:space="preserve">Ibid. </w:t>
      </w:r>
      <w:r w:rsidRPr="00E02273">
        <w:rPr>
          <w:lang w:val="en-CA"/>
        </w:rPr>
        <w:t>at paras. 384</w:t>
      </w:r>
      <w:r w:rsidRPr="00E02273">
        <w:rPr>
          <w:rFonts w:cs="Arial"/>
          <w:lang w:val="en-CA"/>
        </w:rPr>
        <w:t>–</w:t>
      </w:r>
      <w:r w:rsidRPr="00E02273">
        <w:rPr>
          <w:lang w:val="en-CA"/>
        </w:rPr>
        <w:t>386.</w:t>
      </w:r>
    </w:p>
  </w:footnote>
  <w:footnote w:id="111">
    <w:p w14:paraId="67CD96E2" w14:textId="08DFD854"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 xml:space="preserve">Ibid. </w:t>
      </w:r>
      <w:r w:rsidRPr="00E02273">
        <w:rPr>
          <w:lang w:val="en-CA"/>
        </w:rPr>
        <w:t>at para. 388.</w:t>
      </w:r>
    </w:p>
  </w:footnote>
  <w:footnote w:id="112">
    <w:p w14:paraId="55224959" w14:textId="6F4C92D1"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 xml:space="preserve">Ibid. </w:t>
      </w:r>
      <w:r w:rsidRPr="00E02273">
        <w:rPr>
          <w:lang w:val="en-CA"/>
        </w:rPr>
        <w:t>at paras. 391–395.</w:t>
      </w:r>
    </w:p>
  </w:footnote>
  <w:footnote w:id="113">
    <w:p w14:paraId="1F64AEBB" w14:textId="7D2A53FF"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 xml:space="preserve">Ibid. </w:t>
      </w:r>
      <w:r w:rsidRPr="00E02273">
        <w:rPr>
          <w:lang w:val="en-CA"/>
        </w:rPr>
        <w:t>at para. 397.</w:t>
      </w:r>
    </w:p>
  </w:footnote>
  <w:footnote w:id="114">
    <w:p w14:paraId="748FF5C6" w14:textId="6818BA06"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 xml:space="preserve">Ibid. </w:t>
      </w:r>
      <w:r w:rsidRPr="00E02273">
        <w:rPr>
          <w:lang w:val="en-CA"/>
        </w:rPr>
        <w:t>at paras. 400–402.</w:t>
      </w:r>
    </w:p>
  </w:footnote>
  <w:footnote w:id="115">
    <w:p w14:paraId="51D4B5D3" w14:textId="14894B73"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 xml:space="preserve">Ibid. </w:t>
      </w:r>
      <w:r w:rsidRPr="00E02273">
        <w:rPr>
          <w:lang w:val="en-CA"/>
        </w:rPr>
        <w:t>at paras. 403 and 406.</w:t>
      </w:r>
    </w:p>
  </w:footnote>
  <w:footnote w:id="116">
    <w:p w14:paraId="68503418" w14:textId="2E63226E"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 xml:space="preserve">Ibid. </w:t>
      </w:r>
      <w:r w:rsidRPr="00E02273">
        <w:rPr>
          <w:lang w:val="en-CA"/>
        </w:rPr>
        <w:t>at para. 411.</w:t>
      </w:r>
    </w:p>
  </w:footnote>
  <w:footnote w:id="117">
    <w:p w14:paraId="67EB71C1" w14:textId="7299BF07"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t>Arguments in the Attorney General of Canada’s brief at para. 5.</w:t>
      </w:r>
    </w:p>
  </w:footnote>
  <w:footnote w:id="118">
    <w:p w14:paraId="4E77EEAD" w14:textId="03BEE9C6"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 xml:space="preserve">Ibid. </w:t>
      </w:r>
      <w:r w:rsidRPr="00E02273">
        <w:rPr>
          <w:lang w:val="en-CA"/>
        </w:rPr>
        <w:t>at para. 6.</w:t>
      </w:r>
    </w:p>
  </w:footnote>
  <w:footnote w:id="119">
    <w:p w14:paraId="6A0C3C76" w14:textId="2BC592D1"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t>Arguments in the Attorney General of Quebec’s brief at para. 91.</w:t>
      </w:r>
    </w:p>
  </w:footnote>
  <w:footnote w:id="120">
    <w:p w14:paraId="72785DFF" w14:textId="2B630D2C"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 xml:space="preserve">Ibid. </w:t>
      </w:r>
      <w:r w:rsidRPr="00E02273">
        <w:rPr>
          <w:lang w:val="en-CA"/>
        </w:rPr>
        <w:t>at para. 92.</w:t>
      </w:r>
    </w:p>
  </w:footnote>
  <w:footnote w:id="121">
    <w:p w14:paraId="0EBAE565" w14:textId="2DA67152"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 xml:space="preserve">Ibid. </w:t>
      </w:r>
      <w:r w:rsidRPr="00E02273">
        <w:rPr>
          <w:lang w:val="en-CA"/>
        </w:rPr>
        <w:t>at para. 101.</w:t>
      </w:r>
    </w:p>
  </w:footnote>
  <w:footnote w:id="122">
    <w:p w14:paraId="32FEFA95" w14:textId="3BB2F9CC"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t>Arguments in the Canadian Association for Rare Disorders’ brief at para. 67.</w:t>
      </w:r>
    </w:p>
  </w:footnote>
  <w:footnote w:id="123">
    <w:p w14:paraId="7ADFE404" w14:textId="3B51A4EE"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Innovative Medicines Canada v. Canada (Attorney General)</w:t>
      </w:r>
      <w:r w:rsidRPr="00E02273">
        <w:rPr>
          <w:lang w:val="en-CA"/>
        </w:rPr>
        <w:t>, 2020 FC 725, notice of appeal filed with the Federal Court of Appeal.</w:t>
      </w:r>
    </w:p>
  </w:footnote>
  <w:footnote w:id="124">
    <w:p w14:paraId="7A3B6F00" w14:textId="737364D1"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iCs/>
          <w:color w:val="000000"/>
          <w:lang w:val="en-CA"/>
        </w:rPr>
        <w:t>North American Free Trade Agreement Between the Government of Canada, the Government of the United Mexican States and the Government of the United States of America</w:t>
      </w:r>
      <w:r w:rsidRPr="00E02273">
        <w:rPr>
          <w:color w:val="000000"/>
          <w:lang w:val="en-CA"/>
        </w:rPr>
        <w:t>, Can T.S. 1994 No. 2.</w:t>
      </w:r>
    </w:p>
  </w:footnote>
  <w:footnote w:id="125">
    <w:p w14:paraId="551E5573" w14:textId="7145E32E"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iCs/>
          <w:lang w:val="en-CA"/>
        </w:rPr>
        <w:t>Agreement on Trade-Related Aspects of Intellectual Property Rights</w:t>
      </w:r>
      <w:r w:rsidRPr="00E02273">
        <w:rPr>
          <w:lang w:val="en-CA"/>
        </w:rPr>
        <w:t xml:space="preserve">, April 15, 1994, 1869 U.N.T.S. 332 (Annex 1C of the Marrakesh Agreement Establishing the World Trade Organization). </w:t>
      </w:r>
    </w:p>
  </w:footnote>
  <w:footnote w:id="126">
    <w:p w14:paraId="07C0FFC3" w14:textId="2634D45B" w:rsidR="00EC7001" w:rsidRPr="00E02273" w:rsidRDefault="00EC7001" w:rsidP="00B568AD">
      <w:pPr>
        <w:pStyle w:val="Notedebasdepage"/>
        <w:rPr>
          <w:rFonts w:cs="Arial"/>
          <w:lang w:val="en-CA"/>
        </w:rPr>
      </w:pPr>
      <w:r w:rsidRPr="00E02273">
        <w:rPr>
          <w:rStyle w:val="Appelnotedebasdep"/>
          <w:lang w:val="en-CA"/>
        </w:rPr>
        <w:footnoteRef/>
      </w:r>
      <w:r w:rsidRPr="00E02273">
        <w:rPr>
          <w:rFonts w:cs="Arial"/>
          <w:lang w:val="en-CA"/>
        </w:rPr>
        <w:t xml:space="preserve"> </w:t>
      </w:r>
      <w:r w:rsidRPr="00E02273">
        <w:rPr>
          <w:rFonts w:cs="Arial"/>
          <w:color w:val="000000"/>
          <w:lang w:val="en-CA"/>
        </w:rPr>
        <w:t> </w:t>
      </w:r>
      <w:r w:rsidRPr="00E02273">
        <w:rPr>
          <w:rFonts w:cs="Arial"/>
          <w:i/>
          <w:iCs/>
          <w:color w:val="000000"/>
          <w:lang w:val="en-CA"/>
        </w:rPr>
        <w:t xml:space="preserve">Consolidated Fastfrate Inc. </w:t>
      </w:r>
      <w:r w:rsidRPr="00E02273">
        <w:rPr>
          <w:rFonts w:cs="Arial"/>
          <w:i/>
          <w:iCs/>
          <w:lang w:val="en-CA"/>
        </w:rPr>
        <w:t>v</w:t>
      </w:r>
      <w:r w:rsidRPr="00E02273">
        <w:rPr>
          <w:rFonts w:cs="Arial"/>
          <w:i/>
          <w:iCs/>
          <w:color w:val="000000"/>
          <w:lang w:val="en-CA"/>
        </w:rPr>
        <w:t xml:space="preserve">. Western Canada Council of </w:t>
      </w:r>
      <w:r w:rsidRPr="00E02273">
        <w:rPr>
          <w:rFonts w:cs="Arial"/>
          <w:i/>
          <w:iCs/>
          <w:lang w:val="en-CA"/>
        </w:rPr>
        <w:t>Teamsters</w:t>
      </w:r>
      <w:r w:rsidRPr="00E02273">
        <w:rPr>
          <w:rFonts w:cs="Arial"/>
          <w:lang w:val="en-CA"/>
        </w:rPr>
        <w:t>, </w:t>
      </w:r>
      <w:r w:rsidRPr="00E02273">
        <w:rPr>
          <w:rStyle w:val="Lienhypertexte"/>
          <w:rFonts w:cs="Arial"/>
          <w:color w:val="auto"/>
          <w:u w:val="none"/>
          <w:lang w:val="en-CA"/>
        </w:rPr>
        <w:t>2009 SCC 53</w:t>
      </w:r>
      <w:r w:rsidRPr="00E02273">
        <w:rPr>
          <w:rFonts w:cs="Arial"/>
          <w:lang w:val="en-CA"/>
        </w:rPr>
        <w:t>, [2009] 3 S.C.R. 407 at para. </w:t>
      </w:r>
      <w:r w:rsidRPr="00E02273">
        <w:rPr>
          <w:rStyle w:val="Lienhypertexte"/>
          <w:rFonts w:cs="Arial"/>
          <w:color w:val="auto"/>
          <w:u w:val="none"/>
          <w:lang w:val="en-CA"/>
        </w:rPr>
        <w:t>26</w:t>
      </w:r>
      <w:r w:rsidRPr="00E02273">
        <w:rPr>
          <w:rFonts w:cs="Arial"/>
          <w:lang w:val="en-CA"/>
        </w:rPr>
        <w:t xml:space="preserve">; </w:t>
      </w:r>
      <w:r w:rsidRPr="00E02273">
        <w:rPr>
          <w:i/>
          <w:lang w:val="en-CA"/>
        </w:rPr>
        <w:t>Canada (Attorney General) v. Bedford</w:t>
      </w:r>
      <w:r w:rsidRPr="00E02273">
        <w:rPr>
          <w:lang w:val="en-CA"/>
        </w:rPr>
        <w:t>, 2013 SCC 72,</w:t>
      </w:r>
      <w:r w:rsidRPr="00E02273">
        <w:rPr>
          <w:i/>
          <w:lang w:val="en-CA"/>
        </w:rPr>
        <w:t xml:space="preserve"> </w:t>
      </w:r>
      <w:r w:rsidRPr="00E02273">
        <w:rPr>
          <w:lang w:val="en-CA"/>
        </w:rPr>
        <w:t>[2013] 3 S.C.R. 1101 at para</w:t>
      </w:r>
      <w:r>
        <w:rPr>
          <w:lang w:val="en-CA"/>
        </w:rPr>
        <w:t>s</w:t>
      </w:r>
      <w:r w:rsidRPr="00E02273">
        <w:rPr>
          <w:lang w:val="en-CA"/>
        </w:rPr>
        <w:t xml:space="preserve">. </w:t>
      </w:r>
      <w:r w:rsidRPr="005219AB">
        <w:t xml:space="preserve">53–56; </w:t>
      </w:r>
      <w:r w:rsidRPr="005219AB">
        <w:rPr>
          <w:i/>
        </w:rPr>
        <w:t>Danson v. Ontario (Attorney General)</w:t>
      </w:r>
      <w:r w:rsidRPr="005219AB">
        <w:t>,</w:t>
      </w:r>
      <w:r w:rsidRPr="005219AB">
        <w:rPr>
          <w:i/>
        </w:rPr>
        <w:t xml:space="preserve"> </w:t>
      </w:r>
      <w:r w:rsidRPr="005219AB">
        <w:t xml:space="preserve">[1990] 2 S.C.R. 1086 at 1099; </w:t>
      </w:r>
      <w:r w:rsidRPr="005219AB">
        <w:rPr>
          <w:rFonts w:cs="Arial"/>
          <w:i/>
          <w:iCs/>
          <w:shd w:val="clear" w:color="auto" w:fill="FFFFFF"/>
        </w:rPr>
        <w:t>Procureur general du Québec c. Association canadienne des télécommunications sans fil</w:t>
      </w:r>
      <w:r w:rsidRPr="005219AB">
        <w:rPr>
          <w:rFonts w:cs="Arial"/>
          <w:shd w:val="clear" w:color="auto" w:fill="FFFFFF"/>
        </w:rPr>
        <w:t xml:space="preserve">, 2021 QCCA 730 at para. </w:t>
      </w:r>
      <w:r w:rsidRPr="00293F6A">
        <w:rPr>
          <w:rFonts w:cs="Arial"/>
          <w:shd w:val="clear" w:color="auto" w:fill="FFFFFF"/>
        </w:rPr>
        <w:t xml:space="preserve">62; </w:t>
      </w:r>
      <w:r w:rsidRPr="00E86D0B">
        <w:rPr>
          <w:rFonts w:cs="Arial"/>
          <w:i/>
          <w:iCs/>
          <w:shd w:val="clear" w:color="auto" w:fill="FFFFFF"/>
        </w:rPr>
        <w:t>Procureur général du Québec</w:t>
      </w:r>
      <w:r w:rsidRPr="00293F6A">
        <w:rPr>
          <w:rFonts w:cs="Arial"/>
          <w:i/>
          <w:iCs/>
          <w:shd w:val="clear" w:color="auto" w:fill="FFFFFF"/>
        </w:rPr>
        <w:t xml:space="preserve"> c. Murray-Hall, </w:t>
      </w:r>
      <w:r w:rsidRPr="00293F6A">
        <w:rPr>
          <w:rFonts w:cs="Arial"/>
          <w:shd w:val="clear" w:color="auto" w:fill="FFFFFF"/>
        </w:rPr>
        <w:t xml:space="preserve">2021 QCCA 1325 at para. </w:t>
      </w:r>
      <w:r w:rsidRPr="00E02273">
        <w:rPr>
          <w:rFonts w:cs="Arial"/>
          <w:shd w:val="clear" w:color="auto" w:fill="FFFFFF"/>
          <w:lang w:val="en-CA"/>
        </w:rPr>
        <w:t xml:space="preserve">25, leave to appeal to S.C.C. requested, 39774. </w:t>
      </w:r>
    </w:p>
  </w:footnote>
  <w:footnote w:id="127">
    <w:p w14:paraId="12208D4C" w14:textId="1D9ECFC2"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Reference re Genetic Non</w:t>
      </w:r>
      <w:r w:rsidRPr="00E02273">
        <w:rPr>
          <w:i/>
          <w:lang w:val="en-CA"/>
        </w:rPr>
        <w:noBreakHyphen/>
        <w:t>Discrimination Act</w:t>
      </w:r>
      <w:r w:rsidRPr="00E02273">
        <w:rPr>
          <w:lang w:val="en-CA"/>
        </w:rPr>
        <w:t xml:space="preserve">, 2020 SCC 17 at paras. 26–29; </w:t>
      </w:r>
      <w:r w:rsidRPr="00E02273">
        <w:rPr>
          <w:i/>
          <w:lang w:val="en-CA"/>
        </w:rPr>
        <w:br/>
        <w:t>Reference re Pan</w:t>
      </w:r>
      <w:r w:rsidRPr="00E02273">
        <w:rPr>
          <w:i/>
          <w:lang w:val="en-CA"/>
        </w:rPr>
        <w:noBreakHyphen/>
        <w:t>Canadian Securities Regulation</w:t>
      </w:r>
      <w:r w:rsidRPr="00E02273">
        <w:rPr>
          <w:lang w:val="en-CA"/>
        </w:rPr>
        <w:t xml:space="preserve">, 2018 SCC 48 at para. 86; </w:t>
      </w:r>
      <w:r w:rsidRPr="00E02273">
        <w:rPr>
          <w:i/>
          <w:lang w:val="en-CA"/>
        </w:rPr>
        <w:t>Canadian Western Bank v. Alberta</w:t>
      </w:r>
      <w:r w:rsidRPr="00E02273">
        <w:rPr>
          <w:lang w:val="en-CA"/>
        </w:rPr>
        <w:t>, 2007 SCC 22 at para. 25.</w:t>
      </w:r>
    </w:p>
  </w:footnote>
  <w:footnote w:id="128">
    <w:p w14:paraId="05D94B98" w14:textId="6AF62895"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Canadian Western Bank v. Alberta</w:t>
      </w:r>
      <w:r w:rsidRPr="00E02273">
        <w:rPr>
          <w:lang w:val="en-CA"/>
        </w:rPr>
        <w:t>, 2007 SCC 22</w:t>
      </w:r>
      <w:r>
        <w:rPr>
          <w:lang w:val="en-CA"/>
        </w:rPr>
        <w:t>,</w:t>
      </w:r>
      <w:r w:rsidRPr="00E02273">
        <w:rPr>
          <w:lang w:val="en-CA"/>
        </w:rPr>
        <w:t xml:space="preserve"> [2007] 2 S.C.R. 3 at paras. 27 to 30.</w:t>
      </w:r>
    </w:p>
  </w:footnote>
  <w:footnote w:id="129">
    <w:p w14:paraId="7C35B56C" w14:textId="709F5389"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R. v. Morgentaler</w:t>
      </w:r>
      <w:r w:rsidRPr="00E02273">
        <w:rPr>
          <w:lang w:val="en-CA"/>
        </w:rPr>
        <w:t>, [1993] 3 S.C.R. 463 at 482–483.</w:t>
      </w:r>
    </w:p>
  </w:footnote>
  <w:footnote w:id="130">
    <w:p w14:paraId="337DDAB5" w14:textId="5B60D240"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Quebec (Attorney General) v. Lacombe</w:t>
      </w:r>
      <w:r w:rsidRPr="00E02273">
        <w:rPr>
          <w:lang w:val="en-CA"/>
        </w:rPr>
        <w:t>, 2010 SCC 38</w:t>
      </w:r>
      <w:r>
        <w:rPr>
          <w:lang w:val="en-CA"/>
        </w:rPr>
        <w:t>,</w:t>
      </w:r>
      <w:r w:rsidRPr="00E02273">
        <w:rPr>
          <w:lang w:val="en-CA"/>
        </w:rPr>
        <w:t xml:space="preserve"> [2010] 2 S.C.R. 453 at para. 36; </w:t>
      </w:r>
      <w:r w:rsidRPr="00E02273">
        <w:rPr>
          <w:i/>
          <w:lang w:val="en-CA"/>
        </w:rPr>
        <w:t>Canadian Western Bank v. Alberta</w:t>
      </w:r>
      <w:r w:rsidRPr="00E02273">
        <w:rPr>
          <w:lang w:val="en-CA"/>
        </w:rPr>
        <w:t>, 2007 SCC 22</w:t>
      </w:r>
      <w:r>
        <w:rPr>
          <w:lang w:val="en-CA"/>
        </w:rPr>
        <w:t>,</w:t>
      </w:r>
      <w:r w:rsidRPr="00E02273">
        <w:rPr>
          <w:lang w:val="en-CA"/>
        </w:rPr>
        <w:t xml:space="preserve"> [2007] 2 S.C.R. 3 at paras. 28 and 29.</w:t>
      </w:r>
    </w:p>
  </w:footnote>
  <w:footnote w:id="131">
    <w:p w14:paraId="7E3C2FEF" w14:textId="78183DA8" w:rsidR="00EC7001" w:rsidRPr="00E02273" w:rsidRDefault="00EC7001" w:rsidP="00B568AD">
      <w:pPr>
        <w:pStyle w:val="Notedebasdepage"/>
        <w:rPr>
          <w:lang w:val="en-CA"/>
        </w:rPr>
      </w:pPr>
      <w:r w:rsidRPr="00E02273">
        <w:rPr>
          <w:rStyle w:val="Appelnotedebasdep"/>
          <w:lang w:val="en-CA"/>
        </w:rPr>
        <w:footnoteRef/>
      </w:r>
      <w:r w:rsidRPr="00E00634">
        <w:rPr>
          <w:lang w:val="en-CA"/>
        </w:rPr>
        <w:t xml:space="preserve"> </w:t>
      </w:r>
      <w:r w:rsidRPr="00E00634">
        <w:rPr>
          <w:lang w:val="en-CA"/>
        </w:rPr>
        <w:tab/>
      </w:r>
      <w:r w:rsidRPr="00E00634">
        <w:rPr>
          <w:i/>
          <w:lang w:val="en-CA"/>
        </w:rPr>
        <w:t>Transport Desgagnés Inc. v. Wärtsilä Canada Inc</w:t>
      </w:r>
      <w:r w:rsidRPr="00261D3B">
        <w:rPr>
          <w:lang w:val="en-CA"/>
        </w:rPr>
        <w:t xml:space="preserve">., 2019 SCC 58 at para. </w:t>
      </w:r>
      <w:r w:rsidRPr="00E02273">
        <w:rPr>
          <w:lang w:val="en-CA"/>
        </w:rPr>
        <w:t xml:space="preserve">90 </w:t>
      </w:r>
      <w:r w:rsidRPr="00E02273">
        <w:rPr>
          <w:i/>
          <w:lang w:val="en-CA"/>
        </w:rPr>
        <w:t>et seq</w:t>
      </w:r>
      <w:r w:rsidRPr="00E02273">
        <w:rPr>
          <w:lang w:val="en-CA"/>
        </w:rPr>
        <w:t xml:space="preserve">.; </w:t>
      </w:r>
      <w:r w:rsidRPr="00E02273">
        <w:rPr>
          <w:i/>
          <w:lang w:val="en-CA"/>
        </w:rPr>
        <w:t>Canada (Attorney General) v. PHS Community Services Society</w:t>
      </w:r>
      <w:r w:rsidRPr="00E02273">
        <w:rPr>
          <w:lang w:val="en-CA"/>
        </w:rPr>
        <w:t>, 2011 SCC 44</w:t>
      </w:r>
      <w:r>
        <w:rPr>
          <w:lang w:val="en-CA"/>
        </w:rPr>
        <w:t>,</w:t>
      </w:r>
      <w:r w:rsidRPr="00E02273">
        <w:rPr>
          <w:lang w:val="en-CA"/>
        </w:rPr>
        <w:t xml:space="preserve"> [2011] 3 S.C.R. 134 at para. 58; </w:t>
      </w:r>
      <w:r w:rsidRPr="00E02273">
        <w:rPr>
          <w:i/>
          <w:lang w:val="en-CA"/>
        </w:rPr>
        <w:t>Canadian Western Bank v. Alberta</w:t>
      </w:r>
      <w:r w:rsidRPr="00E02273">
        <w:rPr>
          <w:lang w:val="en-CA"/>
        </w:rPr>
        <w:t>, 2007 SCC 22</w:t>
      </w:r>
      <w:r>
        <w:rPr>
          <w:lang w:val="en-CA"/>
        </w:rPr>
        <w:t>,</w:t>
      </w:r>
      <w:r w:rsidRPr="00E02273">
        <w:rPr>
          <w:lang w:val="en-CA"/>
        </w:rPr>
        <w:t xml:space="preserve"> [2007] 2 S.C.R. 3 at par</w:t>
      </w:r>
      <w:r>
        <w:rPr>
          <w:lang w:val="en-CA"/>
        </w:rPr>
        <w:t>a</w:t>
      </w:r>
      <w:r w:rsidRPr="00E02273">
        <w:rPr>
          <w:lang w:val="en-CA"/>
        </w:rPr>
        <w:t xml:space="preserve">. 33 </w:t>
      </w:r>
      <w:r w:rsidRPr="00E02273">
        <w:rPr>
          <w:i/>
          <w:lang w:val="en-CA"/>
        </w:rPr>
        <w:t>et seq</w:t>
      </w:r>
      <w:r w:rsidRPr="00E02273">
        <w:rPr>
          <w:lang w:val="en-CA"/>
        </w:rPr>
        <w:t>.</w:t>
      </w:r>
    </w:p>
  </w:footnote>
  <w:footnote w:id="132">
    <w:p w14:paraId="6607F063" w14:textId="40EC33AA"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Reference re Genetic Non</w:t>
      </w:r>
      <w:r w:rsidRPr="00E02273">
        <w:rPr>
          <w:i/>
          <w:lang w:val="en-CA"/>
        </w:rPr>
        <w:noBreakHyphen/>
        <w:t>Discrimination Act</w:t>
      </w:r>
      <w:r w:rsidRPr="00E02273">
        <w:rPr>
          <w:lang w:val="en-CA"/>
        </w:rPr>
        <w:t xml:space="preserve">, 2020 SCC 17 at para. 28; </w:t>
      </w:r>
      <w:r w:rsidRPr="00E02273">
        <w:rPr>
          <w:i/>
          <w:lang w:val="en-CA"/>
        </w:rPr>
        <w:t>Quebec (Attorney General) v. Canada (Attorney General)</w:t>
      </w:r>
      <w:r w:rsidRPr="00E02273">
        <w:rPr>
          <w:lang w:val="en-CA"/>
        </w:rPr>
        <w:t>, 2015 SCC 14, [2015] 1 S.C.R. 693 at</w:t>
      </w:r>
      <w:r w:rsidRPr="00E02273">
        <w:rPr>
          <w:i/>
          <w:lang w:val="en-CA"/>
        </w:rPr>
        <w:t> </w:t>
      </w:r>
      <w:r w:rsidRPr="00E02273">
        <w:rPr>
          <w:lang w:val="en-CA"/>
        </w:rPr>
        <w:t>para. 29.</w:t>
      </w:r>
    </w:p>
  </w:footnote>
  <w:footnote w:id="133">
    <w:p w14:paraId="599DFCE0" w14:textId="2C1EF2DF"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Reference re Assisted Human Reproduction Act</w:t>
      </w:r>
      <w:r w:rsidRPr="00E02273">
        <w:rPr>
          <w:lang w:val="en-CA"/>
        </w:rPr>
        <w:t xml:space="preserve">, 2010 SCC 61 at para. 184; </w:t>
      </w:r>
      <w:r w:rsidRPr="00E02273">
        <w:rPr>
          <w:i/>
          <w:lang w:val="en-CA"/>
        </w:rPr>
        <w:t>Friends of the Oldman River Society v. Canada (Minister of Transport)</w:t>
      </w:r>
      <w:r w:rsidRPr="00E02273">
        <w:rPr>
          <w:lang w:val="en-CA"/>
        </w:rPr>
        <w:t>, [1992] 1 S.C.R. 3 at 62.</w:t>
      </w:r>
    </w:p>
  </w:footnote>
  <w:footnote w:id="134">
    <w:p w14:paraId="1CFB0155" w14:textId="697E1D66"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Ward v. Canada (Attorney General)</w:t>
      </w:r>
      <w:r w:rsidRPr="00E02273">
        <w:rPr>
          <w:lang w:val="en-CA"/>
        </w:rPr>
        <w:t>, 2002 SCC 17 at para. 17.</w:t>
      </w:r>
    </w:p>
  </w:footnote>
  <w:footnote w:id="135">
    <w:p w14:paraId="646ED931" w14:textId="46A91464"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Reference re Genetic Non</w:t>
      </w:r>
      <w:r w:rsidRPr="00E02273">
        <w:rPr>
          <w:i/>
          <w:lang w:val="en-CA"/>
        </w:rPr>
        <w:noBreakHyphen/>
        <w:t>Discrimination Act</w:t>
      </w:r>
      <w:r w:rsidRPr="00E02273">
        <w:rPr>
          <w:lang w:val="en-CA"/>
        </w:rPr>
        <w:t xml:space="preserve">, 2020 SCC 17 at para. 30; </w:t>
      </w:r>
      <w:r w:rsidRPr="00E02273">
        <w:rPr>
          <w:i/>
          <w:lang w:val="en-CA"/>
        </w:rPr>
        <w:t>Quebec (Attorney General) v. Lacombe</w:t>
      </w:r>
      <w:r w:rsidRPr="00E02273">
        <w:rPr>
          <w:lang w:val="en-CA"/>
        </w:rPr>
        <w:t>, 2010 SCC 38, [2010] 2 S.C.R. 453 at</w:t>
      </w:r>
      <w:r w:rsidRPr="00E02273">
        <w:rPr>
          <w:i/>
          <w:lang w:val="en-CA"/>
        </w:rPr>
        <w:t xml:space="preserve"> </w:t>
      </w:r>
      <w:r w:rsidRPr="00E02273">
        <w:rPr>
          <w:lang w:val="en-CA"/>
        </w:rPr>
        <w:t>para. 20.</w:t>
      </w:r>
    </w:p>
  </w:footnote>
  <w:footnote w:id="136">
    <w:p w14:paraId="0B8F194D" w14:textId="076501FD"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Kitkatla Band v. British Columbia (Minister of Small Business, Tourism and Culture)</w:t>
      </w:r>
      <w:r w:rsidRPr="00E02273">
        <w:rPr>
          <w:lang w:val="en-CA"/>
        </w:rPr>
        <w:t>, 2002 SCC 31, [2002] 2 S.C.R. 146 at paras. 53–54.</w:t>
      </w:r>
    </w:p>
  </w:footnote>
  <w:footnote w:id="137">
    <w:p w14:paraId="0BCA530D" w14:textId="1BC1D6D7"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Canadian Western Bank v. Alberta</w:t>
      </w:r>
      <w:r w:rsidRPr="00E02273">
        <w:rPr>
          <w:lang w:val="en-CA"/>
        </w:rPr>
        <w:t>, 2007 SCC 22</w:t>
      </w:r>
      <w:r>
        <w:rPr>
          <w:lang w:val="en-CA"/>
        </w:rPr>
        <w:t>,</w:t>
      </w:r>
      <w:r w:rsidRPr="00E02273">
        <w:rPr>
          <w:lang w:val="en-CA"/>
        </w:rPr>
        <w:t xml:space="preserve"> [2007] 2 S.C.R. 3 at para. 27.</w:t>
      </w:r>
    </w:p>
  </w:footnote>
  <w:footnote w:id="138">
    <w:p w14:paraId="6BE0D66A" w14:textId="12961951"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References re Greenhouse Gas Pollution Pricing Act</w:t>
      </w:r>
      <w:r w:rsidRPr="00E02273">
        <w:rPr>
          <w:lang w:val="en-CA"/>
        </w:rPr>
        <w:t>, 2021 SCC 11 at paras. 51–56.</w:t>
      </w:r>
    </w:p>
  </w:footnote>
  <w:footnote w:id="139">
    <w:p w14:paraId="2B8E7F4B" w14:textId="364D52BF"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 xml:space="preserve">Ibid. </w:t>
      </w:r>
      <w:r w:rsidRPr="00E02273">
        <w:rPr>
          <w:lang w:val="en-CA"/>
        </w:rPr>
        <w:t>at paras. 52–55.</w:t>
      </w:r>
    </w:p>
  </w:footnote>
  <w:footnote w:id="140">
    <w:p w14:paraId="14B6318C" w14:textId="621B00B8"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Manitoba Society of Seniors Inc. v. Canada (Attorney General)</w:t>
      </w:r>
      <w:r w:rsidRPr="00E02273">
        <w:rPr>
          <w:lang w:val="en-CA"/>
        </w:rPr>
        <w:t xml:space="preserve"> (1991), 77 D.L.R. (4th) 485, 1991 CanLII 8289 (Man. Q.B.) at para. 23 [cited to CanLII], aff’d (1992) 45 C.P.R. (3d) 194, 1992 CanLII 8541 (Man. C.A.).</w:t>
      </w:r>
    </w:p>
  </w:footnote>
  <w:footnote w:id="141">
    <w:p w14:paraId="2C977E69" w14:textId="4F70F4D5"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t xml:space="preserve">See in particular </w:t>
      </w:r>
      <w:r w:rsidRPr="00E02273">
        <w:rPr>
          <w:i/>
          <w:lang w:val="en-CA"/>
        </w:rPr>
        <w:t>ICN Pharmaceuticals, Inc. v. Canada (Staff of the Patented Medicine Prices Review Board)</w:t>
      </w:r>
      <w:r w:rsidRPr="00E02273">
        <w:rPr>
          <w:lang w:val="en-CA"/>
        </w:rPr>
        <w:t xml:space="preserve">, (1996) 108 F.T.R. 190, [1996] F.C.J. No. 206 (QL) at para. 24 [cited to QL], aff’d [1997] 1 F.C. 32 (C.A.); </w:t>
      </w:r>
      <w:r w:rsidRPr="00E02273">
        <w:rPr>
          <w:i/>
          <w:lang w:val="en-CA"/>
        </w:rPr>
        <w:t>Celgene Corp. v. Canada (Attorney General)</w:t>
      </w:r>
      <w:r w:rsidRPr="00E02273">
        <w:rPr>
          <w:lang w:val="en-CA"/>
        </w:rPr>
        <w:t xml:space="preserve">, 2011 SCC 1, [2011] 1 S.C.R. 3 at paras. 28–29; </w:t>
      </w:r>
      <w:r w:rsidRPr="00E02273">
        <w:rPr>
          <w:i/>
          <w:lang w:val="en-CA"/>
        </w:rPr>
        <w:t>Canada (Attorney General) v. Sandoz Canada Inc. and Ratiopharm Inc. (now Teva Canada Limited</w:t>
      </w:r>
      <w:r w:rsidRPr="00E02273">
        <w:rPr>
          <w:lang w:val="en-CA"/>
        </w:rPr>
        <w:t xml:space="preserve">), 2015 FCA 249 at para. 116; </w:t>
      </w:r>
      <w:r w:rsidRPr="00E02273">
        <w:rPr>
          <w:i/>
          <w:lang w:val="en-CA"/>
        </w:rPr>
        <w:t>Innovative Medicines Canada v. Canada (Attorney General)</w:t>
      </w:r>
      <w:r w:rsidRPr="00E02273">
        <w:rPr>
          <w:lang w:val="en-CA"/>
        </w:rPr>
        <w:t xml:space="preserve">, 2020 FC 725 at paras. 76–89; </w:t>
      </w:r>
      <w:r w:rsidRPr="00E02273">
        <w:rPr>
          <w:i/>
          <w:lang w:val="en-CA"/>
        </w:rPr>
        <w:t>Alexion Pharmaceuticals Inc. v. Canada (Attorney General)</w:t>
      </w:r>
      <w:r w:rsidRPr="00E02273">
        <w:rPr>
          <w:lang w:val="en-CA"/>
        </w:rPr>
        <w:t>, 2021 FCA 157 at paras. 49–50.</w:t>
      </w:r>
    </w:p>
  </w:footnote>
  <w:footnote w:id="142">
    <w:p w14:paraId="4AD93E9D" w14:textId="4BF367AD" w:rsidR="00EC7001" w:rsidRPr="00E02273" w:rsidRDefault="00EC7001" w:rsidP="00B568AD">
      <w:pPr>
        <w:pStyle w:val="Notedebasdepage"/>
        <w:rPr>
          <w:i/>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ICN Pharmaceuticals, Inc. v. Canada (Staff of the Patented Medicine Prices Review Board)</w:t>
      </w:r>
      <w:r w:rsidRPr="00E02273">
        <w:rPr>
          <w:lang w:val="en-CA"/>
        </w:rPr>
        <w:t xml:space="preserve">, (1996) 108 F.T.R. 190, [1996] F.C.J. No. 206 (QL) at para. 24 [cited to QL], aff’d [1997] 1 F.C. 32 (C.A.), cited with approval in </w:t>
      </w:r>
      <w:r w:rsidRPr="00E02273">
        <w:rPr>
          <w:i/>
          <w:lang w:val="en-CA"/>
        </w:rPr>
        <w:t>Celgene Corp. v. Canada (Attorney General)</w:t>
      </w:r>
      <w:r w:rsidRPr="00E02273">
        <w:rPr>
          <w:lang w:val="en-CA"/>
        </w:rPr>
        <w:t>, 2011 SCC 1, [2011] 1 S.C.R. 3 at para. 28.</w:t>
      </w:r>
    </w:p>
  </w:footnote>
  <w:footnote w:id="143">
    <w:p w14:paraId="0B43D6EB" w14:textId="79C752AB"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RJR-MacDonald Inc. v. Canada (Attorney General)</w:t>
      </w:r>
      <w:r w:rsidRPr="00E02273">
        <w:rPr>
          <w:lang w:val="en-CA"/>
        </w:rPr>
        <w:t xml:space="preserve">, [1994] 1 S.C.R. 311 at 352–353; </w:t>
      </w:r>
      <w:r w:rsidRPr="00E02273">
        <w:rPr>
          <w:i/>
          <w:lang w:val="en-CA"/>
        </w:rPr>
        <w:t>Friesen v. Canada</w:t>
      </w:r>
      <w:r w:rsidRPr="00E02273">
        <w:rPr>
          <w:lang w:val="en-CA"/>
        </w:rPr>
        <w:t xml:space="preserve">, [1995] 3 S.C.R. 103 at para. 63; </w:t>
      </w:r>
      <w:r w:rsidRPr="00E02273">
        <w:rPr>
          <w:i/>
          <w:lang w:val="en-CA"/>
        </w:rPr>
        <w:t>Bristol-Myers Squibb Co. v. Canada (Attorney General)</w:t>
      </w:r>
      <w:r w:rsidRPr="00E02273">
        <w:rPr>
          <w:lang w:val="en-CA"/>
        </w:rPr>
        <w:t>, 2005 SCC 26, [2005] 1 S.C.R. 533 at</w:t>
      </w:r>
      <w:r w:rsidRPr="00E02273">
        <w:rPr>
          <w:i/>
          <w:lang w:val="en-CA"/>
        </w:rPr>
        <w:t xml:space="preserve"> </w:t>
      </w:r>
      <w:r w:rsidRPr="00E02273">
        <w:rPr>
          <w:lang w:val="en-CA"/>
        </w:rPr>
        <w:t xml:space="preserve">paras. 156–157; </w:t>
      </w:r>
      <w:r w:rsidRPr="00E02273">
        <w:rPr>
          <w:i/>
          <w:lang w:val="en-CA"/>
        </w:rPr>
        <w:t>Merck &amp; Co. v. Canada (Attorney General)</w:t>
      </w:r>
      <w:r w:rsidRPr="00E02273">
        <w:rPr>
          <w:lang w:val="en-CA"/>
        </w:rPr>
        <w:t xml:space="preserve">, </w:t>
      </w:r>
      <w:r>
        <w:rPr>
          <w:rFonts w:cs="Arial"/>
          <w:lang w:val="en-CA"/>
        </w:rPr>
        <w:t>[</w:t>
      </w:r>
      <w:r w:rsidRPr="00E02273">
        <w:rPr>
          <w:lang w:val="en-CA"/>
        </w:rPr>
        <w:t>1999</w:t>
      </w:r>
      <w:r>
        <w:rPr>
          <w:rFonts w:cs="Arial"/>
          <w:lang w:val="en-CA"/>
        </w:rPr>
        <w:t>]</w:t>
      </w:r>
      <w:r w:rsidRPr="00E02273">
        <w:rPr>
          <w:lang w:val="en-CA"/>
        </w:rPr>
        <w:t xml:space="preserve"> 176 F.T.R. 21, [1999] F.C.J. No. 1825 (QL), at para. 51 [cited to QL], aff’d [2000] F.C.A. No. 380 (QL), leave to appeal to SCC refused, 27861; </w:t>
      </w:r>
      <w:r w:rsidRPr="00E02273">
        <w:rPr>
          <w:i/>
          <w:lang w:val="en-CA"/>
        </w:rPr>
        <w:t>AstraZeneca Canada Inc.</w:t>
      </w:r>
      <w:r>
        <w:rPr>
          <w:i/>
          <w:lang w:val="en-CA"/>
        </w:rPr>
        <w:t xml:space="preserve"> </w:t>
      </w:r>
      <w:r w:rsidRPr="00E02273">
        <w:rPr>
          <w:i/>
          <w:lang w:val="en-CA"/>
        </w:rPr>
        <w:t>v. Canada (Minister of Health)</w:t>
      </w:r>
      <w:r w:rsidRPr="00E02273">
        <w:rPr>
          <w:lang w:val="en-CA"/>
        </w:rPr>
        <w:t>,  2004 F</w:t>
      </w:r>
      <w:r>
        <w:rPr>
          <w:lang w:val="en-CA"/>
        </w:rPr>
        <w:t>C</w:t>
      </w:r>
      <w:r w:rsidRPr="00E02273">
        <w:rPr>
          <w:lang w:val="en-CA"/>
        </w:rPr>
        <w:t xml:space="preserve"> 736, [2004] F.C.J. No. 883 (QL) at para. 23 [cited to QL];</w:t>
      </w:r>
      <w:r w:rsidRPr="00E02273">
        <w:rPr>
          <w:i/>
          <w:lang w:val="en-CA"/>
        </w:rPr>
        <w:t xml:space="preserve"> Bayer Inc. v. Canada (Attorney General)</w:t>
      </w:r>
      <w:r w:rsidRPr="00E02273">
        <w:rPr>
          <w:lang w:val="en-CA"/>
        </w:rPr>
        <w:t xml:space="preserve"> (1999), 87 C.P.R. (3d) 293 (F.C.A.), [1999] F.C.J. No. 826 (QL) at para. 10 [cited to QL].</w:t>
      </w:r>
    </w:p>
  </w:footnote>
  <w:footnote w:id="144">
    <w:p w14:paraId="4498AC98" w14:textId="6C44EDBD"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t xml:space="preserve">Regulatory Impact Analysis Statement, </w:t>
      </w:r>
      <w:r w:rsidRPr="00293F6A">
        <w:rPr>
          <w:i/>
          <w:lang w:val="en-CA"/>
        </w:rPr>
        <w:t>Canada Gazette</w:t>
      </w:r>
      <w:r w:rsidRPr="00E02273">
        <w:rPr>
          <w:lang w:val="en-CA"/>
        </w:rPr>
        <w:t xml:space="preserve">, Part II, </w:t>
      </w:r>
      <w:r>
        <w:rPr>
          <w:lang w:val="en-CA"/>
        </w:rPr>
        <w:t>V</w:t>
      </w:r>
      <w:r w:rsidRPr="00E02273">
        <w:rPr>
          <w:lang w:val="en-CA"/>
        </w:rPr>
        <w:t>ol. 153, No. 17, August 21, 2019, at 5950–5949.</w:t>
      </w:r>
    </w:p>
  </w:footnote>
  <w:footnote w:id="145">
    <w:p w14:paraId="3022180A" w14:textId="354C4085"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 xml:space="preserve">Ibid. </w:t>
      </w:r>
      <w:r w:rsidRPr="00E02273">
        <w:rPr>
          <w:lang w:val="en-CA"/>
        </w:rPr>
        <w:t>at 5954.</w:t>
      </w:r>
    </w:p>
  </w:footnote>
  <w:footnote w:id="146">
    <w:p w14:paraId="270102CA" w14:textId="26D4BF4B"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 xml:space="preserve">Ibid. </w:t>
      </w:r>
      <w:r w:rsidRPr="00E02273">
        <w:rPr>
          <w:lang w:val="en-CA"/>
        </w:rPr>
        <w:t>at 5955.</w:t>
      </w:r>
    </w:p>
  </w:footnote>
  <w:footnote w:id="147">
    <w:p w14:paraId="6CD4B9F9" w14:textId="2993381C"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 xml:space="preserve">Ibid. </w:t>
      </w:r>
      <w:r w:rsidRPr="00E02273">
        <w:rPr>
          <w:lang w:val="en-CA"/>
        </w:rPr>
        <w:t>at 5957.</w:t>
      </w:r>
    </w:p>
  </w:footnote>
  <w:footnote w:id="148">
    <w:p w14:paraId="37EF874F" w14:textId="17E24A5A"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 xml:space="preserve">Ibid. </w:t>
      </w:r>
      <w:r w:rsidRPr="00E02273">
        <w:rPr>
          <w:lang w:val="en-CA"/>
        </w:rPr>
        <w:t>at 5963.</w:t>
      </w:r>
    </w:p>
  </w:footnote>
  <w:footnote w:id="149">
    <w:p w14:paraId="7B26B34B" w14:textId="1AC5C447" w:rsidR="00EC7001" w:rsidRPr="00E02273" w:rsidRDefault="00EC7001" w:rsidP="006E3390">
      <w:pPr>
        <w:pStyle w:val="Notedebasdepage"/>
        <w:rPr>
          <w:lang w:val="en-CA"/>
        </w:rPr>
      </w:pPr>
      <w:r w:rsidRPr="00E02273">
        <w:rPr>
          <w:rStyle w:val="Appelnotedebasdep"/>
          <w:lang w:val="en-CA"/>
        </w:rPr>
        <w:footnoteRef/>
      </w:r>
      <w:r w:rsidRPr="00E02273">
        <w:rPr>
          <w:lang w:val="en-CA"/>
        </w:rPr>
        <w:t xml:space="preserve"> </w:t>
      </w:r>
      <w:r w:rsidRPr="00E02273">
        <w:rPr>
          <w:lang w:val="en-CA"/>
        </w:rPr>
        <w:tab/>
        <w:t xml:space="preserve">Exhibit P-164: Health Canada, News release, </w:t>
      </w:r>
      <w:r w:rsidRPr="00E02273">
        <w:rPr>
          <w:bCs/>
          <w:i/>
          <w:lang w:val="en-CA"/>
        </w:rPr>
        <w:t>Government of Canada Announces Changes to Lower Drug Prices</w:t>
      </w:r>
      <w:r w:rsidRPr="00E02273">
        <w:rPr>
          <w:bCs/>
          <w:lang w:val="en-CA"/>
        </w:rPr>
        <w:t xml:space="preserve">, </w:t>
      </w:r>
      <w:r w:rsidRPr="00E02273">
        <w:rPr>
          <w:lang w:val="en-CA"/>
        </w:rPr>
        <w:t>August 9, 2019.</w:t>
      </w:r>
    </w:p>
  </w:footnote>
  <w:footnote w:id="150">
    <w:p w14:paraId="16B93D09" w14:textId="227AF67F"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Ibid.</w:t>
      </w:r>
    </w:p>
  </w:footnote>
  <w:footnote w:id="151">
    <w:p w14:paraId="5B672E40" w14:textId="70B7B6D6" w:rsidR="00EC7001" w:rsidRPr="00E02273" w:rsidRDefault="00EC7001" w:rsidP="00850CC3">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bCs/>
          <w:i/>
          <w:lang w:val="en-CA"/>
        </w:rPr>
        <w:t>Regulations Amending the Patented Medicines Regulations (Additional Factors and Information Reporting Requirements)</w:t>
      </w:r>
      <w:r w:rsidRPr="00E02273">
        <w:rPr>
          <w:bCs/>
          <w:lang w:val="en-CA"/>
        </w:rPr>
        <w:t>,</w:t>
      </w:r>
      <w:r w:rsidRPr="00E02273">
        <w:rPr>
          <w:bCs/>
          <w:i/>
          <w:lang w:val="en-CA"/>
        </w:rPr>
        <w:t> </w:t>
      </w:r>
      <w:r w:rsidRPr="00E02273">
        <w:rPr>
          <w:bCs/>
          <w:lang w:val="en-CA"/>
        </w:rPr>
        <w:t>SOR/2019-298, s.</w:t>
      </w:r>
      <w:r w:rsidRPr="00E02273">
        <w:rPr>
          <w:lang w:val="en-CA"/>
        </w:rPr>
        <w:t xml:space="preserve"> 4 introducing new s. 4.4 into the </w:t>
      </w:r>
      <w:r w:rsidRPr="00E02273">
        <w:rPr>
          <w:i/>
          <w:lang w:val="en-CA"/>
        </w:rPr>
        <w:t>Patented Medicines Regulations</w:t>
      </w:r>
      <w:r w:rsidRPr="00E02273">
        <w:rPr>
          <w:lang w:val="en-CA"/>
        </w:rPr>
        <w:t xml:space="preserve">, </w:t>
      </w:r>
      <w:r>
        <w:rPr>
          <w:lang w:val="en-CA"/>
        </w:rPr>
        <w:t>SOR</w:t>
      </w:r>
      <w:r w:rsidRPr="00E02273">
        <w:rPr>
          <w:lang w:val="en-CA"/>
        </w:rPr>
        <w:t>/94-688.</w:t>
      </w:r>
    </w:p>
  </w:footnote>
  <w:footnote w:id="152">
    <w:p w14:paraId="20663EFE" w14:textId="01BAF110"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t xml:space="preserve">New </w:t>
      </w:r>
      <w:r>
        <w:rPr>
          <w:lang w:val="en-CA"/>
        </w:rPr>
        <w:t>g</w:t>
      </w:r>
      <w:r w:rsidRPr="00E02273">
        <w:rPr>
          <w:lang w:val="en-CA"/>
        </w:rPr>
        <w:t>uidelines at paras. 55–66 and Appendix C.</w:t>
      </w:r>
    </w:p>
  </w:footnote>
  <w:footnote w:id="153">
    <w:p w14:paraId="0D8B65C7" w14:textId="77E13230"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Ibid.</w:t>
      </w:r>
      <w:r w:rsidRPr="00E02273">
        <w:rPr>
          <w:lang w:val="en-CA"/>
        </w:rPr>
        <w:t>, Appendix D.</w:t>
      </w:r>
    </w:p>
  </w:footnote>
  <w:footnote w:id="154">
    <w:p w14:paraId="37CC2C0E" w14:textId="4E913372"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t>Trial judgment at paras. 240–242.</w:t>
      </w:r>
    </w:p>
  </w:footnote>
  <w:footnote w:id="155">
    <w:p w14:paraId="2EC2E7BC" w14:textId="5BDD6A4F" w:rsidR="00EC7001" w:rsidRPr="00E02273" w:rsidRDefault="00EC7001" w:rsidP="00B568AD">
      <w:pPr>
        <w:pStyle w:val="Notedebasdepage"/>
        <w:rPr>
          <w:rFonts w:cs="Arial"/>
          <w:lang w:val="en-CA"/>
        </w:rPr>
      </w:pPr>
      <w:r w:rsidRPr="00E02273">
        <w:rPr>
          <w:rStyle w:val="Appelnotedebasdep"/>
          <w:lang w:val="en-CA"/>
        </w:rPr>
        <w:footnoteRef/>
      </w:r>
      <w:r w:rsidRPr="00E02273">
        <w:rPr>
          <w:rFonts w:cs="Arial"/>
          <w:lang w:val="en-CA"/>
        </w:rPr>
        <w:t xml:space="preserve"> </w:t>
      </w:r>
      <w:r w:rsidRPr="00E02273">
        <w:rPr>
          <w:rFonts w:cs="Arial"/>
          <w:lang w:val="en-CA"/>
        </w:rPr>
        <w:tab/>
      </w:r>
      <w:r w:rsidRPr="00E02273">
        <w:rPr>
          <w:rFonts w:cs="Arial"/>
          <w:i/>
          <w:iCs/>
          <w:lang w:val="en-CA"/>
        </w:rPr>
        <w:t>Alexion Pharmaceuticals Inc. v. Canada (Attorney General)</w:t>
      </w:r>
      <w:r w:rsidRPr="00E02273">
        <w:rPr>
          <w:rFonts w:cs="Arial"/>
          <w:lang w:val="en-CA"/>
        </w:rPr>
        <w:t>, 2021 FCA 157 at</w:t>
      </w:r>
      <w:r w:rsidRPr="00E02273">
        <w:rPr>
          <w:rFonts w:cs="Arial"/>
          <w:i/>
          <w:iCs/>
          <w:lang w:val="en-CA"/>
        </w:rPr>
        <w:t xml:space="preserve"> </w:t>
      </w:r>
      <w:r w:rsidRPr="00E02273">
        <w:rPr>
          <w:rFonts w:cs="Arial"/>
          <w:lang w:val="en-CA"/>
        </w:rPr>
        <w:t xml:space="preserve">paras. 57–63, relying in part on </w:t>
      </w:r>
      <w:r w:rsidRPr="00E02273">
        <w:rPr>
          <w:rFonts w:cs="Arial"/>
          <w:i/>
          <w:lang w:val="en-CA"/>
        </w:rPr>
        <w:t>Canada (Minister of Citizenship and Immigration) v. Vavilov</w:t>
      </w:r>
      <w:r w:rsidRPr="00E02273">
        <w:rPr>
          <w:rFonts w:cs="Arial"/>
          <w:lang w:val="en-CA"/>
        </w:rPr>
        <w:t>, 2019 SCC 65 at para. 131.</w:t>
      </w:r>
    </w:p>
  </w:footnote>
  <w:footnote w:id="156">
    <w:p w14:paraId="0640D830" w14:textId="17AFE6A1"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Little Sisters Book and Art Emporium v. Canada (Minister of Justice)</w:t>
      </w:r>
      <w:r w:rsidRPr="00E02273">
        <w:rPr>
          <w:lang w:val="en-CA"/>
        </w:rPr>
        <w:t>, 2000 SCC 69, [2000] 2 S.C.R. 1120.</w:t>
      </w:r>
    </w:p>
  </w:footnote>
  <w:footnote w:id="157">
    <w:p w14:paraId="00B26875" w14:textId="37A98776"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t>Trial judgment at para. 242.</w:t>
      </w:r>
    </w:p>
  </w:footnote>
  <w:footnote w:id="158">
    <w:p w14:paraId="575DFAC3" w14:textId="35F2B647"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Regulations Amending the Patented Medicines Regulations (Additional Factors and Information Reporting Requirements)</w:t>
      </w:r>
      <w:r w:rsidRPr="00E02273">
        <w:rPr>
          <w:lang w:val="en-CA"/>
        </w:rPr>
        <w:t xml:space="preserve">, SOR/2019-298, published in the </w:t>
      </w:r>
      <w:r w:rsidRPr="00293F6A">
        <w:rPr>
          <w:i/>
          <w:lang w:val="en-CA"/>
        </w:rPr>
        <w:t>Canada Gazette</w:t>
      </w:r>
      <w:r w:rsidRPr="00E02273">
        <w:rPr>
          <w:lang w:val="en-CA"/>
        </w:rPr>
        <w:t xml:space="preserve">, Part II, </w:t>
      </w:r>
      <w:r>
        <w:rPr>
          <w:lang w:val="en-CA"/>
        </w:rPr>
        <w:t>V</w:t>
      </w:r>
      <w:r w:rsidRPr="00E02273">
        <w:rPr>
          <w:lang w:val="en-CA"/>
        </w:rPr>
        <w:t>ol. 153, No. 17, August 21, 2019, at 5950–5962.</w:t>
      </w:r>
    </w:p>
  </w:footnote>
  <w:footnote w:id="159">
    <w:p w14:paraId="4B69F5C3" w14:textId="3E81DE9D"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Central Canada Potash Co. Ltd. et al. v. Government of Saskatchewan</w:t>
      </w:r>
      <w:r w:rsidRPr="00E02273">
        <w:rPr>
          <w:lang w:val="en-CA"/>
        </w:rPr>
        <w:t>, [1979] 1 S.C.R. 42 at 76.</w:t>
      </w:r>
    </w:p>
  </w:footnote>
  <w:footnote w:id="160">
    <w:p w14:paraId="3B0626DC" w14:textId="43464FFF" w:rsidR="00EC7001" w:rsidRPr="00E02273" w:rsidRDefault="00EC7001" w:rsidP="00B568AD">
      <w:pPr>
        <w:pStyle w:val="Notedebasdepage"/>
        <w:rPr>
          <w:rFonts w:cs="Arial"/>
          <w:lang w:val="en-CA"/>
        </w:rPr>
      </w:pPr>
      <w:r w:rsidRPr="00E02273">
        <w:rPr>
          <w:rStyle w:val="Appelnotedebasdep"/>
          <w:lang w:val="en-CA"/>
        </w:rPr>
        <w:footnoteRef/>
      </w:r>
      <w:r w:rsidRPr="00E02273">
        <w:rPr>
          <w:lang w:val="en-CA"/>
        </w:rPr>
        <w:t xml:space="preserve"> </w:t>
      </w:r>
      <w:r w:rsidRPr="00E02273">
        <w:rPr>
          <w:lang w:val="en-CA"/>
        </w:rPr>
        <w:tab/>
        <w:t xml:space="preserve">In this respect, see </w:t>
      </w:r>
      <w:r w:rsidRPr="00E02273">
        <w:rPr>
          <w:i/>
          <w:lang w:val="en-CA"/>
        </w:rPr>
        <w:t>References re Greenhouse Gas Pollution Pricing Act</w:t>
      </w:r>
      <w:r w:rsidRPr="00E02273">
        <w:rPr>
          <w:lang w:val="en-CA"/>
        </w:rPr>
        <w:t xml:space="preserve">, 2021 SCC 11 at para. 55. </w:t>
      </w:r>
    </w:p>
  </w:footnote>
  <w:footnote w:id="161">
    <w:p w14:paraId="760DAAC6" w14:textId="370228B1"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Reference re Firearms Act (Can.)</w:t>
      </w:r>
      <w:r w:rsidRPr="00E02273">
        <w:rPr>
          <w:lang w:val="en-CA"/>
        </w:rPr>
        <w:t xml:space="preserve">, 2000 SCC 31, [2000] 1 S.C.R. 783 at para. 15; </w:t>
      </w:r>
      <w:r w:rsidRPr="00E02273">
        <w:rPr>
          <w:i/>
          <w:lang w:val="en-CA"/>
        </w:rPr>
        <w:t>Quebec (Attorney General) v. Lacombe</w:t>
      </w:r>
      <w:r w:rsidRPr="00E02273">
        <w:rPr>
          <w:lang w:val="en-CA"/>
        </w:rPr>
        <w:t xml:space="preserve">, 2010 SCC 38, [2010] 2 S.C.R. 38 at para. 24; </w:t>
      </w:r>
      <w:r w:rsidRPr="00E02273">
        <w:rPr>
          <w:i/>
          <w:lang w:val="en-CA"/>
        </w:rPr>
        <w:t>Reference re Pan</w:t>
      </w:r>
      <w:r w:rsidRPr="00E02273">
        <w:rPr>
          <w:i/>
          <w:lang w:val="en-CA"/>
        </w:rPr>
        <w:noBreakHyphen/>
        <w:t>Canadian Securities Regulation</w:t>
      </w:r>
      <w:r w:rsidRPr="00E02273">
        <w:rPr>
          <w:lang w:val="en-CA"/>
        </w:rPr>
        <w:t xml:space="preserve">, 2018 SCC 48, [2018] 3 S.C.R. 189 at para. 86. </w:t>
      </w:r>
    </w:p>
  </w:footnote>
  <w:footnote w:id="162">
    <w:p w14:paraId="055D5A81" w14:textId="38BD0965" w:rsidR="00EC7001" w:rsidRPr="00E02273" w:rsidRDefault="00EC7001" w:rsidP="00B568AD">
      <w:pPr>
        <w:pStyle w:val="Notedebasdepage"/>
        <w:rPr>
          <w:i/>
          <w:iCs/>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Ward v. Canada (Attorney General)</w:t>
      </w:r>
      <w:r w:rsidRPr="00E02273">
        <w:rPr>
          <w:lang w:val="en-CA"/>
        </w:rPr>
        <w:t xml:space="preserve">, 2002 SCC 17, [2002] 1 S.C.R. 559 at para. 30. See also </w:t>
      </w:r>
      <w:r w:rsidRPr="00E02273">
        <w:rPr>
          <w:i/>
          <w:iCs/>
          <w:lang w:val="en-CA"/>
        </w:rPr>
        <w:t>Transport Desgagnés Inc.</w:t>
      </w:r>
      <w:r>
        <w:rPr>
          <w:i/>
          <w:iCs/>
          <w:lang w:val="en-CA"/>
        </w:rPr>
        <w:t xml:space="preserve"> </w:t>
      </w:r>
      <w:r w:rsidRPr="00E02273">
        <w:rPr>
          <w:i/>
          <w:iCs/>
          <w:lang w:val="en-CA"/>
        </w:rPr>
        <w:t>v. Wärtsilä Canada Inc.</w:t>
      </w:r>
      <w:r w:rsidRPr="00E02273">
        <w:rPr>
          <w:lang w:val="en-CA"/>
        </w:rPr>
        <w:t xml:space="preserve">, 2019 SCC 58 at para. 48.  </w:t>
      </w:r>
    </w:p>
  </w:footnote>
  <w:footnote w:id="163">
    <w:p w14:paraId="6965C1FB" w14:textId="7D800490"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American Home Products Corp. v. Commissioner of Patents</w:t>
      </w:r>
      <w:r w:rsidRPr="00E02273">
        <w:rPr>
          <w:lang w:val="en-CA"/>
        </w:rPr>
        <w:t xml:space="preserve">, [1969] O.J. </w:t>
      </w:r>
      <w:r>
        <w:rPr>
          <w:lang w:val="en-CA"/>
        </w:rPr>
        <w:t>N</w:t>
      </w:r>
      <w:r w:rsidRPr="00E02273">
        <w:rPr>
          <w:lang w:val="en-CA"/>
        </w:rPr>
        <w:t>o</w:t>
      </w:r>
      <w:r w:rsidR="00293F6A">
        <w:rPr>
          <w:lang w:val="en-CA"/>
        </w:rPr>
        <w:t>.</w:t>
      </w:r>
      <w:r w:rsidRPr="00E02273">
        <w:rPr>
          <w:lang w:val="en-CA"/>
        </w:rPr>
        <w:t xml:space="preserve"> 805 (QL) (Ont. Sup. Ct. J.), aff’d 62 C.P.R. 155, [1970] O.J. No. 191 (QL) (Ont. C.A.). </w:t>
      </w:r>
    </w:p>
  </w:footnote>
  <w:footnote w:id="164">
    <w:p w14:paraId="7FCFA015" w14:textId="4D754A4E"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Smith, Kline &amp; French Laboratories v. Canada (Attorney General)</w:t>
      </w:r>
      <w:r w:rsidRPr="00E02273">
        <w:rPr>
          <w:lang w:val="en-CA"/>
        </w:rPr>
        <w:t xml:space="preserve">, [1986] 1 F.C. 274 (F.C.), 1985 CanLII 3151, aff’d </w:t>
      </w:r>
      <w:r w:rsidRPr="00E02273">
        <w:rPr>
          <w:i/>
          <w:lang w:val="en-CA"/>
        </w:rPr>
        <w:t>Smith, Kline &amp; French Laboratories v. Canada (Attorney General)</w:t>
      </w:r>
      <w:r w:rsidRPr="00E02273">
        <w:rPr>
          <w:lang w:val="en-CA"/>
        </w:rPr>
        <w:t>, [1986] 2 F.C. 359, 1986 CanLII 3976 (F.C.A.).</w:t>
      </w:r>
    </w:p>
  </w:footnote>
  <w:footnote w:id="165">
    <w:p w14:paraId="5B3D4707" w14:textId="727B9DC5"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Smith, Kline &amp; French Laboratories v. Canada (Attorney General)</w:t>
      </w:r>
      <w:r w:rsidRPr="00E02273">
        <w:rPr>
          <w:lang w:val="en-CA"/>
        </w:rPr>
        <w:t>, [1986] 1 F.C. 274, 1985 CanLII 3151 (FC) at 294–295 and 296 [cited to F.C.].</w:t>
      </w:r>
    </w:p>
  </w:footnote>
  <w:footnote w:id="166">
    <w:p w14:paraId="58DACC0E" w14:textId="571ED5EF"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Manitoba Society of Seniors Inc. v. Canada (Attorney General)</w:t>
      </w:r>
      <w:r w:rsidRPr="00E02273">
        <w:rPr>
          <w:lang w:val="en-CA"/>
        </w:rPr>
        <w:t xml:space="preserve"> (1991), 77 D.L.R. (4th) 485, 1991 CanLII 8289 (Man. Q.B.), aff’d </w:t>
      </w:r>
      <w:r w:rsidRPr="00E02273">
        <w:rPr>
          <w:i/>
          <w:lang w:val="en-CA"/>
        </w:rPr>
        <w:t>Manitoba Society of Seniors Inc. v. Canada (Attorney General)</w:t>
      </w:r>
      <w:r w:rsidRPr="00E02273">
        <w:rPr>
          <w:lang w:val="en-CA"/>
        </w:rPr>
        <w:t xml:space="preserve"> (1992) 45 C.P.R. (3d) 194, 1992 CanLII 8541 (Man. C.A.).</w:t>
      </w:r>
    </w:p>
  </w:footnote>
  <w:footnote w:id="167">
    <w:p w14:paraId="5CD3203B" w14:textId="0AF504D4"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Manitoba Society of Seniors Inc. v. Canada (Attorney General)</w:t>
      </w:r>
      <w:r w:rsidRPr="00E02273">
        <w:rPr>
          <w:lang w:val="en-CA"/>
        </w:rPr>
        <w:t xml:space="preserve"> (1991), 77 D.L.R. (4th) 485, 1991 CanLII 8289 (Man. Q.B.) at paras. 21–24 [cited to CanLII].</w:t>
      </w:r>
    </w:p>
  </w:footnote>
  <w:footnote w:id="168">
    <w:p w14:paraId="2A886DE6" w14:textId="018AF416"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Canada (Attorney General) v. Sandoz Canada Inc. and Ratiopharm Inc. (now Teva Canada Limited</w:t>
      </w:r>
      <w:r w:rsidRPr="00E02273">
        <w:rPr>
          <w:lang w:val="en-CA"/>
        </w:rPr>
        <w:t xml:space="preserve">), 2015 FCA 249, rev’g </w:t>
      </w:r>
      <w:r w:rsidRPr="00E02273">
        <w:rPr>
          <w:i/>
          <w:lang w:val="en-CA"/>
        </w:rPr>
        <w:t>Sandoz Canada Inc. v. Canada (Attorney General)</w:t>
      </w:r>
      <w:r w:rsidRPr="00E02273">
        <w:rPr>
          <w:lang w:val="en-CA"/>
        </w:rPr>
        <w:t>, 2014 F</w:t>
      </w:r>
      <w:r>
        <w:rPr>
          <w:lang w:val="en-CA"/>
        </w:rPr>
        <w:t>C</w:t>
      </w:r>
      <w:r w:rsidRPr="00E02273">
        <w:rPr>
          <w:lang w:val="en-CA"/>
        </w:rPr>
        <w:t xml:space="preserve"> 501 and </w:t>
      </w:r>
      <w:r w:rsidRPr="00E02273">
        <w:rPr>
          <w:i/>
          <w:lang w:val="en-CA"/>
        </w:rPr>
        <w:t>Ratiopharm Inc. v. Canada (Attorney General)</w:t>
      </w:r>
      <w:r w:rsidRPr="00E02273">
        <w:rPr>
          <w:lang w:val="en-CA"/>
        </w:rPr>
        <w:t xml:space="preserve">, 2014 FC 502; </w:t>
      </w:r>
      <w:r w:rsidRPr="00E02273">
        <w:rPr>
          <w:i/>
          <w:lang w:val="en-CA"/>
        </w:rPr>
        <w:t>Alexion Pharmaceuticals Inc. v. Canada (Attorney General)</w:t>
      </w:r>
      <w:r w:rsidRPr="00E02273">
        <w:rPr>
          <w:lang w:val="en-CA"/>
        </w:rPr>
        <w:t>, 2017 FCA 241, aff’g</w:t>
      </w:r>
      <w:r w:rsidRPr="00E02273">
        <w:rPr>
          <w:i/>
          <w:lang w:val="en-CA"/>
        </w:rPr>
        <w:t xml:space="preserve"> Alexion Pharmaceuticals Inc. v. Canada (Attorney General)</w:t>
      </w:r>
      <w:r w:rsidRPr="00E02273">
        <w:rPr>
          <w:lang w:val="en-CA"/>
        </w:rPr>
        <w:t xml:space="preserve">, 2017 FC 22 and </w:t>
      </w:r>
      <w:r w:rsidRPr="00E02273">
        <w:rPr>
          <w:i/>
          <w:lang w:val="en-CA"/>
        </w:rPr>
        <w:t>Alexion Pharmaceuticals Inc. v. Canada (Attorney General)</w:t>
      </w:r>
      <w:r w:rsidRPr="00E02273">
        <w:rPr>
          <w:lang w:val="en-CA"/>
        </w:rPr>
        <w:t>, 2016 FC 716.</w:t>
      </w:r>
    </w:p>
  </w:footnote>
  <w:footnote w:id="169">
    <w:p w14:paraId="4EECCAB3" w14:textId="1E53659A"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Sandoz Canada Inc. v. Canada (Attorney General)</w:t>
      </w:r>
      <w:r w:rsidRPr="00E02273">
        <w:rPr>
          <w:lang w:val="en-CA"/>
        </w:rPr>
        <w:t>, 2014 FC 501 at paras. 35–37.</w:t>
      </w:r>
    </w:p>
  </w:footnote>
  <w:footnote w:id="170">
    <w:p w14:paraId="6D290D11" w14:textId="1E4462E8"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Canada (Attorney General) v. Sandoz Canada Inc. and Ratiopharm Inc. (now Teva Canada Limited</w:t>
      </w:r>
      <w:r w:rsidRPr="00E02273">
        <w:rPr>
          <w:lang w:val="en-CA"/>
        </w:rPr>
        <w:t>), 2015 FCA 249 at para. 116.</w:t>
      </w:r>
    </w:p>
  </w:footnote>
  <w:footnote w:id="171">
    <w:p w14:paraId="5AE72F6C" w14:textId="77B938AC"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Alexion Pharmaceuticals Inc. v. Canada (Attorney General)</w:t>
      </w:r>
      <w:r w:rsidRPr="00E02273">
        <w:rPr>
          <w:lang w:val="en-CA"/>
        </w:rPr>
        <w:t>, 2016 FC 716 at para. 39.</w:t>
      </w:r>
    </w:p>
  </w:footnote>
  <w:footnote w:id="172">
    <w:p w14:paraId="721331F3" w14:textId="0BDAD9A1"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Alexion Pharmaceuticals Inc. v. Canada (Attorney General)</w:t>
      </w:r>
      <w:r w:rsidRPr="00E02273">
        <w:rPr>
          <w:lang w:val="en-CA"/>
        </w:rPr>
        <w:t>, 2017 FC 22 at</w:t>
      </w:r>
      <w:r w:rsidRPr="00E02273">
        <w:rPr>
          <w:i/>
          <w:lang w:val="en-CA"/>
        </w:rPr>
        <w:t xml:space="preserve"> </w:t>
      </w:r>
      <w:r w:rsidRPr="00E02273">
        <w:rPr>
          <w:lang w:val="en-CA"/>
        </w:rPr>
        <w:t>para. 23.</w:t>
      </w:r>
    </w:p>
  </w:footnote>
  <w:footnote w:id="173">
    <w:p w14:paraId="657030CF" w14:textId="326B1FB7" w:rsidR="00EC7001" w:rsidRPr="00E02273" w:rsidRDefault="00EC7001" w:rsidP="00B568AD">
      <w:pPr>
        <w:pStyle w:val="Notedebasdepage"/>
        <w:rPr>
          <w:i/>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Alexion Pharmaceuticals Inc. v. Canada (Attorney General)</w:t>
      </w:r>
      <w:r w:rsidRPr="00E02273">
        <w:rPr>
          <w:lang w:val="en-CA"/>
        </w:rPr>
        <w:t>, 2017 FCA 241 at para. 63.</w:t>
      </w:r>
    </w:p>
  </w:footnote>
  <w:footnote w:id="174">
    <w:p w14:paraId="1C0D6705" w14:textId="2BA40B65"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R. c. Lapointe</w:t>
      </w:r>
      <w:r w:rsidRPr="00E02273">
        <w:rPr>
          <w:lang w:val="en-CA"/>
        </w:rPr>
        <w:t>, 2021 QCCA 360 at para. 32</w:t>
      </w:r>
    </w:p>
  </w:footnote>
  <w:footnote w:id="175">
    <w:p w14:paraId="4935DAEC" w14:textId="3A2A1EE3"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t>Trial judgment at para. 385.</w:t>
      </w:r>
    </w:p>
  </w:footnote>
  <w:footnote w:id="176">
    <w:p w14:paraId="321C5ABD" w14:textId="0453EDE4"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t>Exhibit P-221: Memoran</w:t>
      </w:r>
      <w:r>
        <w:rPr>
          <w:lang w:val="en-CA"/>
        </w:rPr>
        <w:t>d</w:t>
      </w:r>
      <w:r w:rsidRPr="00E02273">
        <w:rPr>
          <w:lang w:val="en-CA"/>
        </w:rPr>
        <w:t xml:space="preserve">um dated November 30, 1990, from Deputy Minister Jocelyne Bourgon to the Minister of Consumer and Corporate Affairs Canada at 3. </w:t>
      </w:r>
    </w:p>
  </w:footnote>
  <w:footnote w:id="177">
    <w:p w14:paraId="04D1D7AF" w14:textId="2474D0B9"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t>Arguments in the appellant’s brief at paras. 23 and 81–83.</w:t>
      </w:r>
    </w:p>
  </w:footnote>
  <w:footnote w:id="178">
    <w:p w14:paraId="014C11F2" w14:textId="301EF717"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Patent Act</w:t>
      </w:r>
      <w:r w:rsidRPr="00E02273">
        <w:rPr>
          <w:lang w:val="en-CA"/>
        </w:rPr>
        <w:t xml:space="preserve">, </w:t>
      </w:r>
      <w:r>
        <w:rPr>
          <w:lang w:val="en-CA"/>
        </w:rPr>
        <w:t>s</w:t>
      </w:r>
      <w:r w:rsidRPr="00E02273">
        <w:rPr>
          <w:lang w:val="en-CA"/>
        </w:rPr>
        <w:t>. 79(2).</w:t>
      </w:r>
    </w:p>
  </w:footnote>
  <w:footnote w:id="179">
    <w:p w14:paraId="5E591B52" w14:textId="344A7007"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ICN Pharmaceuticals, Inc. v. Canada (Staff of the Patented Medicine Prices Review Board)</w:t>
      </w:r>
      <w:r w:rsidRPr="00E02273">
        <w:rPr>
          <w:lang w:val="en-CA"/>
        </w:rPr>
        <w:t>, 1996 CanLII 4089 (FCA), [1997] 1 F.C. 32 (F</w:t>
      </w:r>
      <w:r>
        <w:rPr>
          <w:lang w:val="en-CA"/>
        </w:rPr>
        <w:t>.</w:t>
      </w:r>
      <w:r w:rsidRPr="00E02273">
        <w:rPr>
          <w:lang w:val="en-CA"/>
        </w:rPr>
        <w:t>C</w:t>
      </w:r>
      <w:r>
        <w:rPr>
          <w:lang w:val="en-CA"/>
        </w:rPr>
        <w:t>.</w:t>
      </w:r>
      <w:r w:rsidRPr="00E02273">
        <w:rPr>
          <w:lang w:val="en-CA"/>
        </w:rPr>
        <w:t>A</w:t>
      </w:r>
      <w:r>
        <w:rPr>
          <w:lang w:val="en-CA"/>
        </w:rPr>
        <w:t>.</w:t>
      </w:r>
      <w:r w:rsidRPr="00E02273">
        <w:rPr>
          <w:lang w:val="en-CA"/>
        </w:rPr>
        <w:t>) at para. 55 [cited to CanLII].</w:t>
      </w:r>
    </w:p>
  </w:footnote>
  <w:footnote w:id="180">
    <w:p w14:paraId="1B7A11A7" w14:textId="4741E162"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ICN Pharmaceuticals, Inc. v. Canada (Staff of the Patented Medicine Prices Review Board</w:t>
      </w:r>
      <w:r w:rsidRPr="00E02273">
        <w:rPr>
          <w:lang w:val="en-CA"/>
        </w:rPr>
        <w:t>), 1996 CanLII 4089 (F</w:t>
      </w:r>
      <w:r>
        <w:rPr>
          <w:lang w:val="en-CA"/>
        </w:rPr>
        <w:t>.</w:t>
      </w:r>
      <w:r w:rsidRPr="00E02273">
        <w:rPr>
          <w:lang w:val="en-CA"/>
        </w:rPr>
        <w:t>C</w:t>
      </w:r>
      <w:r>
        <w:rPr>
          <w:lang w:val="en-CA"/>
        </w:rPr>
        <w:t>.</w:t>
      </w:r>
      <w:r w:rsidRPr="00E02273">
        <w:rPr>
          <w:lang w:val="en-CA"/>
        </w:rPr>
        <w:t>A</w:t>
      </w:r>
      <w:r>
        <w:rPr>
          <w:lang w:val="en-CA"/>
        </w:rPr>
        <w:t>.</w:t>
      </w:r>
      <w:r w:rsidRPr="00E02273">
        <w:rPr>
          <w:lang w:val="en-CA"/>
        </w:rPr>
        <w:t>), [1997] 1 F.C. 32 (F</w:t>
      </w:r>
      <w:r>
        <w:rPr>
          <w:lang w:val="en-CA"/>
        </w:rPr>
        <w:t>.</w:t>
      </w:r>
      <w:r w:rsidRPr="00E02273">
        <w:rPr>
          <w:lang w:val="en-CA"/>
        </w:rPr>
        <w:t>C</w:t>
      </w:r>
      <w:r>
        <w:rPr>
          <w:lang w:val="en-CA"/>
        </w:rPr>
        <w:t>.</w:t>
      </w:r>
      <w:r w:rsidRPr="00E02273">
        <w:rPr>
          <w:lang w:val="en-CA"/>
        </w:rPr>
        <w:t>A</w:t>
      </w:r>
      <w:r>
        <w:rPr>
          <w:lang w:val="en-CA"/>
        </w:rPr>
        <w:t>.</w:t>
      </w:r>
      <w:r w:rsidRPr="00E02273">
        <w:rPr>
          <w:lang w:val="en-CA"/>
        </w:rPr>
        <w:t xml:space="preserve">); </w:t>
      </w:r>
      <w:r w:rsidRPr="00E02273">
        <w:rPr>
          <w:i/>
          <w:lang w:val="en-CA"/>
        </w:rPr>
        <w:t>Canada (Attorney General) v. Galderma Canada Inc.</w:t>
      </w:r>
      <w:r w:rsidRPr="00E02273">
        <w:rPr>
          <w:lang w:val="en-CA"/>
        </w:rPr>
        <w:t>, 2019 FCA 196.</w:t>
      </w:r>
    </w:p>
  </w:footnote>
  <w:footnote w:id="181">
    <w:p w14:paraId="3503F216" w14:textId="6FEB9947"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Re Board of Commerce Act</w:t>
      </w:r>
      <w:r w:rsidRPr="00E02273">
        <w:rPr>
          <w:lang w:val="en-CA"/>
        </w:rPr>
        <w:t>,</w:t>
      </w:r>
      <w:r w:rsidRPr="00E02273">
        <w:rPr>
          <w:i/>
          <w:lang w:val="en-CA"/>
        </w:rPr>
        <w:t xml:space="preserve"> 1919</w:t>
      </w:r>
      <w:r w:rsidRPr="00E02273">
        <w:rPr>
          <w:lang w:val="en-CA"/>
        </w:rPr>
        <w:t xml:space="preserve">, [1922] 1 A.C. 191; </w:t>
      </w:r>
      <w:r w:rsidRPr="00E02273">
        <w:rPr>
          <w:i/>
          <w:lang w:val="en-CA"/>
        </w:rPr>
        <w:t>Re: Anti-Inflation Act</w:t>
      </w:r>
      <w:r w:rsidRPr="00E02273">
        <w:rPr>
          <w:lang w:val="en-CA"/>
        </w:rPr>
        <w:t xml:space="preserve">, [1976] 2 S.C.R. 373 at 441–442, 452–453. See also </w:t>
      </w:r>
      <w:r w:rsidRPr="00E02273">
        <w:rPr>
          <w:i/>
          <w:lang w:val="en-CA"/>
        </w:rPr>
        <w:t>Home Oil Distributors Ltd. et al. v. A.G. British Columbia et al</w:t>
      </w:r>
      <w:r w:rsidRPr="00E02273">
        <w:rPr>
          <w:lang w:val="en-CA"/>
        </w:rPr>
        <w:t xml:space="preserve">., [1940] S.C.R. 444; </w:t>
      </w:r>
      <w:r w:rsidRPr="00E02273">
        <w:rPr>
          <w:i/>
          <w:lang w:val="en-CA"/>
        </w:rPr>
        <w:t>Carnation Co. Ltd. v. The Quebec Agricultural Marketing Board et al.</w:t>
      </w:r>
      <w:r w:rsidRPr="00E02273">
        <w:rPr>
          <w:lang w:val="en-CA"/>
        </w:rPr>
        <w:t xml:space="preserve">, [1968] S.C.R. 238; </w:t>
      </w:r>
      <w:r w:rsidRPr="00E02273">
        <w:rPr>
          <w:i/>
          <w:lang w:val="en-CA"/>
        </w:rPr>
        <w:t>A.G. Can. v. A.G. Alta (Insurance Reference)</w:t>
      </w:r>
      <w:r w:rsidRPr="00E02273">
        <w:rPr>
          <w:lang w:val="en-CA"/>
        </w:rPr>
        <w:t xml:space="preserve">, [1916] 1 A.C. 588; </w:t>
      </w:r>
      <w:r w:rsidRPr="00E02273">
        <w:rPr>
          <w:i/>
          <w:lang w:val="en-CA"/>
        </w:rPr>
        <w:t>Re Insurance Act of Can</w:t>
      </w:r>
      <w:r w:rsidRPr="00E02273">
        <w:rPr>
          <w:lang w:val="en-CA"/>
        </w:rPr>
        <w:t xml:space="preserve">., [1932] A.C. 41; </w:t>
      </w:r>
      <w:r w:rsidRPr="00E02273">
        <w:rPr>
          <w:i/>
          <w:lang w:val="en-CA"/>
        </w:rPr>
        <w:t>Re Board of Commerce Act</w:t>
      </w:r>
      <w:r w:rsidRPr="00E02273">
        <w:rPr>
          <w:lang w:val="en-CA"/>
        </w:rPr>
        <w:t xml:space="preserve">, [1922] 1 A.C. 191; </w:t>
      </w:r>
      <w:r w:rsidRPr="00E02273">
        <w:rPr>
          <w:i/>
          <w:lang w:val="en-CA"/>
        </w:rPr>
        <w:t>A.G. Canada v. A.G. Ontario (Unemployment Insurance Reference)</w:t>
      </w:r>
      <w:r w:rsidRPr="00E02273">
        <w:rPr>
          <w:lang w:val="en-CA"/>
        </w:rPr>
        <w:t xml:space="preserve">, [1937] A.C. 355; </w:t>
      </w:r>
      <w:r w:rsidRPr="00E02273">
        <w:rPr>
          <w:i/>
          <w:lang w:val="en-CA"/>
        </w:rPr>
        <w:t>Re: Anti-Inflation Act</w:t>
      </w:r>
      <w:r w:rsidRPr="00E02273">
        <w:rPr>
          <w:lang w:val="en-CA"/>
        </w:rPr>
        <w:t xml:space="preserve">, [1976] 2 S.C.R. 373; </w:t>
      </w:r>
      <w:r w:rsidRPr="00E02273">
        <w:rPr>
          <w:i/>
          <w:lang w:val="en-CA"/>
        </w:rPr>
        <w:t>Labatt Breweries of Canada Ltd. v. Attorney General of Canada</w:t>
      </w:r>
      <w:r w:rsidRPr="00E02273">
        <w:rPr>
          <w:lang w:val="en-CA"/>
        </w:rPr>
        <w:t xml:space="preserve">, [1980] 1 S.C.R. 914 at 942–944; </w:t>
      </w:r>
      <w:r w:rsidRPr="00E02273">
        <w:rPr>
          <w:i/>
          <w:lang w:val="en-CA"/>
        </w:rPr>
        <w:t>Reference re Securities Act</w:t>
      </w:r>
      <w:r w:rsidRPr="00E02273">
        <w:rPr>
          <w:lang w:val="en-CA"/>
        </w:rPr>
        <w:t>, 2011 SCC 66.</w:t>
      </w:r>
    </w:p>
  </w:footnote>
  <w:footnote w:id="182">
    <w:p w14:paraId="736AF53B" w14:textId="293C65D1"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Pfizer Canada Inc. v. Canada (Attorney General)</w:t>
      </w:r>
      <w:r w:rsidRPr="00E02273">
        <w:rPr>
          <w:lang w:val="en-CA"/>
        </w:rPr>
        <w:t xml:space="preserve">, 2009 FC 719 at paras. 61–63 and 83. See also </w:t>
      </w:r>
      <w:r w:rsidRPr="00E02273">
        <w:rPr>
          <w:i/>
          <w:lang w:val="en-CA"/>
        </w:rPr>
        <w:t>Innovative Medicines Canada v. Canada (Attorney General)</w:t>
      </w:r>
      <w:r w:rsidRPr="00E02273">
        <w:rPr>
          <w:lang w:val="en-CA"/>
        </w:rPr>
        <w:t>, 2020 FC 725 at paras. 176–177.</w:t>
      </w:r>
    </w:p>
  </w:footnote>
  <w:footnote w:id="183">
    <w:p w14:paraId="694EBDF6" w14:textId="64A86036"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Canada (Attorney General) v. Sandoz Canada Inc. and Ratiopharm Inc. (now Teva Canada Limited</w:t>
      </w:r>
      <w:r w:rsidRPr="00E02273">
        <w:rPr>
          <w:lang w:val="en-CA"/>
        </w:rPr>
        <w:t>), 2015 FCA 249 at paras. 72–79.</w:t>
      </w:r>
    </w:p>
  </w:footnote>
  <w:footnote w:id="184">
    <w:p w14:paraId="0CDA6501" w14:textId="0FC69D8E"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 xml:space="preserve">Ibid. </w:t>
      </w:r>
      <w:r w:rsidRPr="00E02273">
        <w:rPr>
          <w:lang w:val="en-CA"/>
        </w:rPr>
        <w:t>at paras. 2 and 74–79</w:t>
      </w:r>
      <w:r>
        <w:rPr>
          <w:lang w:val="en-CA"/>
        </w:rPr>
        <w:t>.</w:t>
      </w:r>
    </w:p>
  </w:footnote>
  <w:footnote w:id="185">
    <w:p w14:paraId="31619AA6" w14:textId="31172E83"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Celgene Corp. v. Canada (Attorney General)</w:t>
      </w:r>
      <w:r w:rsidRPr="00E02273">
        <w:rPr>
          <w:lang w:val="en-CA"/>
        </w:rPr>
        <w:t>, 2011 SCC 1, [2011] 1 S.C.R. 3.</w:t>
      </w:r>
    </w:p>
  </w:footnote>
  <w:footnote w:id="186">
    <w:p w14:paraId="0876B07E" w14:textId="58644A01"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t>New Board guidelines at para. 15 concerning the applicable legal framework.</w:t>
      </w:r>
    </w:p>
  </w:footnote>
  <w:footnote w:id="187">
    <w:p w14:paraId="4C5D919D" w14:textId="11806DA7"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t>Arguments in the Attorney General of Canada’s brief at para. 235.</w:t>
      </w:r>
    </w:p>
  </w:footnote>
  <w:footnote w:id="188">
    <w:p w14:paraId="3CA80495" w14:textId="63F11D0C"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Pfizer Canada Inc. v. Canada (Attorney General)</w:t>
      </w:r>
      <w:r w:rsidRPr="00E02273">
        <w:rPr>
          <w:lang w:val="en-CA"/>
        </w:rPr>
        <w:t xml:space="preserve">, 2009 FC 719 at para. 73; </w:t>
      </w:r>
      <w:r w:rsidRPr="00E02273">
        <w:rPr>
          <w:i/>
          <w:lang w:val="en-CA"/>
        </w:rPr>
        <w:t>Innovative Medicines Canada v. Canada (Attorney General)</w:t>
      </w:r>
      <w:r w:rsidRPr="00E02273">
        <w:rPr>
          <w:lang w:val="en-CA"/>
        </w:rPr>
        <w:t>, 2020 FC 725 at</w:t>
      </w:r>
      <w:r w:rsidRPr="00E02273">
        <w:rPr>
          <w:i/>
          <w:lang w:val="en-CA"/>
        </w:rPr>
        <w:t xml:space="preserve"> </w:t>
      </w:r>
      <w:r w:rsidRPr="00E02273">
        <w:rPr>
          <w:lang w:val="en-CA"/>
        </w:rPr>
        <w:t>paras. 166–170; Exhibit P-152, NP-B: Expert report of Neil Palmer at para. 29: “In this context, it is important to distinguish rebates from discounts. A discount is an “on-invoice” reduction off the list price paid by a purchaser and visible to the purchaser at the time of purchase. Public drug plans do not purchase drugs from manufacturers rather, they reimburse the citizens who are purchasing the drugs”.</w:t>
      </w:r>
    </w:p>
  </w:footnote>
  <w:footnote w:id="189">
    <w:p w14:paraId="14C4AC16" w14:textId="11DD35B6" w:rsidR="00EC7001" w:rsidRPr="00E02273" w:rsidRDefault="00EC7001" w:rsidP="00A17439">
      <w:pPr>
        <w:pStyle w:val="Notedebasdepage"/>
        <w:ind w:left="426" w:hanging="426"/>
        <w:rPr>
          <w:lang w:val="en-CA"/>
        </w:rPr>
      </w:pPr>
      <w:r w:rsidRPr="00E02273">
        <w:rPr>
          <w:rStyle w:val="Appelnotedebasdep"/>
          <w:lang w:val="en-CA"/>
        </w:rPr>
        <w:footnoteRef/>
      </w:r>
      <w:r w:rsidRPr="00E02273">
        <w:rPr>
          <w:lang w:val="en-CA"/>
        </w:rPr>
        <w:t xml:space="preserve"> </w:t>
      </w:r>
      <w:r w:rsidRPr="00E02273">
        <w:rPr>
          <w:i/>
          <w:lang w:val="en-CA"/>
        </w:rPr>
        <w:t>Innovative Medicines Canada v. Canada (Attorney General)</w:t>
      </w:r>
      <w:r w:rsidRPr="00E02273">
        <w:rPr>
          <w:lang w:val="en-CA"/>
        </w:rPr>
        <w:t>, 2020 FC 725 at</w:t>
      </w:r>
      <w:r w:rsidRPr="00E02273">
        <w:rPr>
          <w:i/>
          <w:lang w:val="en-CA"/>
        </w:rPr>
        <w:t xml:space="preserve"> </w:t>
      </w:r>
      <w:r w:rsidRPr="00E02273">
        <w:rPr>
          <w:lang w:val="en-CA"/>
        </w:rPr>
        <w:t>paras. 196–198.</w:t>
      </w:r>
    </w:p>
  </w:footnote>
  <w:footnote w:id="190">
    <w:p w14:paraId="30D6E410" w14:textId="72962EC9" w:rsidR="00EC7001" w:rsidRPr="001F2ABF" w:rsidRDefault="00EC7001">
      <w:pPr>
        <w:pStyle w:val="Notedebasdepage"/>
        <w:rPr>
          <w:lang w:val="en-CA"/>
        </w:rPr>
      </w:pPr>
      <w:r>
        <w:rPr>
          <w:rStyle w:val="Appelnotedebasdep"/>
        </w:rPr>
        <w:footnoteRef/>
      </w:r>
      <w:r w:rsidRPr="001F2ABF">
        <w:rPr>
          <w:lang w:val="en-CA"/>
        </w:rPr>
        <w:t xml:space="preserve"> </w:t>
      </w:r>
      <w:r>
        <w:rPr>
          <w:lang w:val="en-CA"/>
        </w:rPr>
        <w:t>The French translation of this part of the sentence that appears in the Federal Court Reporter reads as follows: “</w:t>
      </w:r>
      <w:r w:rsidRPr="003B1D92">
        <w:rPr>
          <w:i/>
          <w:color w:val="000000"/>
          <w:lang w:val="en-CA"/>
        </w:rPr>
        <w:t xml:space="preserve">et qui </w:t>
      </w:r>
      <w:r w:rsidRPr="003B1D92">
        <w:rPr>
          <w:i/>
          <w:color w:val="000000"/>
          <w:u w:val="single"/>
          <w:lang w:val="en-CA"/>
        </w:rPr>
        <w:t>ne sont pas</w:t>
      </w:r>
      <w:r w:rsidRPr="003B1D92">
        <w:rPr>
          <w:i/>
          <w:color w:val="000000"/>
          <w:lang w:val="en-CA"/>
        </w:rPr>
        <w:t xml:space="preserve"> étrangers à la transaction de vente initiale</w:t>
      </w:r>
      <w:r>
        <w:rPr>
          <w:color w:val="000000"/>
          <w:lang w:val="en-CA"/>
        </w:rPr>
        <w:t xml:space="preserve">” [Emphasis added]. </w:t>
      </w:r>
      <w:r w:rsidRPr="003B1D92">
        <w:rPr>
          <w:color w:val="000000"/>
        </w:rPr>
        <w:t>This translation is incorrect, however, and should read</w:t>
      </w:r>
      <w:r w:rsidRPr="001F2ABF">
        <w:rPr>
          <w:color w:val="000000"/>
        </w:rPr>
        <w:t xml:space="preserve"> “</w:t>
      </w:r>
      <w:r w:rsidRPr="001F2ABF">
        <w:rPr>
          <w:i/>
          <w:color w:val="000000"/>
        </w:rPr>
        <w:t>et qui [sont] étrangers à la transaction de vente initiale</w:t>
      </w:r>
      <w:r w:rsidRPr="001F2ABF">
        <w:rPr>
          <w:color w:val="000000"/>
        </w:rPr>
        <w:t>”</w:t>
      </w:r>
      <w:r>
        <w:rPr>
          <w:color w:val="000000"/>
        </w:rPr>
        <w:t xml:space="preserve">. </w:t>
      </w:r>
      <w:r w:rsidRPr="001F2ABF">
        <w:rPr>
          <w:color w:val="000000"/>
          <w:lang w:val="en-CA"/>
        </w:rPr>
        <w:t xml:space="preserve">The sentence was therefore corrected in the original French version of this judgment to faithfully reflect the original </w:t>
      </w:r>
      <w:r>
        <w:rPr>
          <w:color w:val="000000"/>
          <w:lang w:val="en-CA"/>
        </w:rPr>
        <w:t>English version of the judgment cited.</w:t>
      </w:r>
    </w:p>
  </w:footnote>
  <w:footnote w:id="191">
    <w:p w14:paraId="26F5A7D5" w14:textId="087C2194"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iCs/>
          <w:lang w:val="en-CA"/>
        </w:rPr>
        <w:t>Apotex Inc. v. Wellcome Foundation Ltd</w:t>
      </w:r>
      <w:r w:rsidRPr="00E02273">
        <w:rPr>
          <w:lang w:val="en-CA"/>
        </w:rPr>
        <w:t xml:space="preserve">., 2002 SCC 77, [2002] 4 S.C.R. 153 at para. 37. See also </w:t>
      </w:r>
      <w:r w:rsidRPr="00E02273">
        <w:rPr>
          <w:i/>
          <w:iCs/>
          <w:lang w:val="en-CA"/>
        </w:rPr>
        <w:t>Whirlpool Corp. v. Camco Inc</w:t>
      </w:r>
      <w:r w:rsidRPr="00E02273">
        <w:rPr>
          <w:lang w:val="en-CA"/>
        </w:rPr>
        <w:t xml:space="preserve">., 2000 SCC 67, [2000] 2 S.C.R. 1067 at para. 37; </w:t>
      </w:r>
      <w:r w:rsidRPr="00E02273">
        <w:rPr>
          <w:i/>
          <w:lang w:val="en-CA"/>
        </w:rPr>
        <w:t>Free World Trust v. Électro Santé Inc.</w:t>
      </w:r>
      <w:r w:rsidRPr="00E02273">
        <w:rPr>
          <w:lang w:val="en-CA"/>
        </w:rPr>
        <w:t>, 2000 SCC 66</w:t>
      </w:r>
      <w:r>
        <w:rPr>
          <w:lang w:val="en-CA"/>
        </w:rPr>
        <w:t>,</w:t>
      </w:r>
      <w:r w:rsidRPr="00E02273">
        <w:rPr>
          <w:lang w:val="en-CA"/>
        </w:rPr>
        <w:t xml:space="preserve"> [2000] 2 S.C.R. 1024 at para. 13. </w:t>
      </w:r>
    </w:p>
  </w:footnote>
  <w:footnote w:id="192">
    <w:p w14:paraId="393470D1" w14:textId="759323B4" w:rsidR="00EC7001" w:rsidRPr="00E02273" w:rsidRDefault="00EC7001" w:rsidP="00B568AD">
      <w:pPr>
        <w:pStyle w:val="Notedebasdepage"/>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2"/>
        </w:tabs>
        <w:rPr>
          <w:i/>
          <w:iCs/>
          <w:lang w:val="en-CA"/>
        </w:rPr>
      </w:pPr>
      <w:r w:rsidRPr="00E02273">
        <w:rPr>
          <w:rStyle w:val="Appelnotedebasdep"/>
          <w:lang w:val="en-CA"/>
        </w:rPr>
        <w:footnoteRef/>
      </w:r>
      <w:r w:rsidRPr="00E02273">
        <w:rPr>
          <w:lang w:val="en-CA"/>
        </w:rPr>
        <w:t xml:space="preserve"> </w:t>
      </w:r>
      <w:r w:rsidRPr="00E02273">
        <w:rPr>
          <w:lang w:val="en-CA"/>
        </w:rPr>
        <w:tab/>
      </w:r>
      <w:r w:rsidRPr="00E02273">
        <w:rPr>
          <w:i/>
          <w:iCs/>
          <w:lang w:val="en-CA"/>
        </w:rPr>
        <w:t>Apotex Inc. v. Wellcome Foundation Ltd</w:t>
      </w:r>
      <w:r w:rsidRPr="00E02273">
        <w:rPr>
          <w:lang w:val="en-CA"/>
        </w:rPr>
        <w:t xml:space="preserve">., 2002 SCC 77, [2002] 4 S.C.R. 153 at para. 37. </w:t>
      </w:r>
      <w:r w:rsidRPr="00E02273">
        <w:rPr>
          <w:lang w:val="en-CA"/>
        </w:rPr>
        <w:tab/>
      </w:r>
    </w:p>
  </w:footnote>
  <w:footnote w:id="193">
    <w:p w14:paraId="2BD8E4FC" w14:textId="6FBB4D52"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iCs/>
          <w:lang w:val="en-CA"/>
        </w:rPr>
        <w:t>Agreement on Trade-Related Aspects of Intellectual Property Rights</w:t>
      </w:r>
      <w:r w:rsidRPr="00E02273">
        <w:rPr>
          <w:lang w:val="en-CA"/>
        </w:rPr>
        <w:t xml:space="preserve">, April 15, 1994, 1869 U.N.T.S. 332 (Annex 1C of the Marrakesh Agreement Establishing the World Trade Organization), </w:t>
      </w:r>
      <w:r>
        <w:rPr>
          <w:lang w:val="en-CA"/>
        </w:rPr>
        <w:t xml:space="preserve">para. 3 of </w:t>
      </w:r>
      <w:r w:rsidRPr="00E02273">
        <w:rPr>
          <w:lang w:val="en-CA"/>
        </w:rPr>
        <w:t xml:space="preserve">art. 27. </w:t>
      </w:r>
    </w:p>
  </w:footnote>
  <w:footnote w:id="194">
    <w:p w14:paraId="3AD54FF8" w14:textId="47AFD1BF" w:rsidR="00EC7001" w:rsidRPr="00E02273" w:rsidRDefault="00EC7001" w:rsidP="00B568AD">
      <w:pPr>
        <w:pStyle w:val="Notedebasdepage"/>
        <w:jc w:val="left"/>
        <w:rPr>
          <w:lang w:val="en-CA"/>
        </w:rPr>
      </w:pPr>
      <w:r w:rsidRPr="00E02273">
        <w:rPr>
          <w:rStyle w:val="Appelnotedebasdep"/>
          <w:lang w:val="en-CA"/>
        </w:rPr>
        <w:footnoteRef/>
      </w:r>
      <w:r w:rsidRPr="00E02273">
        <w:rPr>
          <w:lang w:val="en-CA"/>
        </w:rPr>
        <w:t xml:space="preserve"> </w:t>
      </w:r>
      <w:r w:rsidRPr="00E02273">
        <w:rPr>
          <w:lang w:val="en-CA"/>
        </w:rPr>
        <w:tab/>
        <w:t xml:space="preserve">WTO, Doha </w:t>
      </w:r>
      <w:r w:rsidRPr="00E02273">
        <w:rPr>
          <w:i/>
          <w:iCs/>
          <w:lang w:val="en-CA"/>
        </w:rPr>
        <w:t>Declaration on the TRIPS agreement and public health</w:t>
      </w:r>
      <w:r w:rsidRPr="00E02273">
        <w:rPr>
          <w:lang w:val="en-CA"/>
        </w:rPr>
        <w:t>, November 14, 2001.</w:t>
      </w:r>
    </w:p>
  </w:footnote>
  <w:footnote w:id="195">
    <w:p w14:paraId="2469AE51" w14:textId="0475A917"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t xml:space="preserve">See also the </w:t>
      </w:r>
      <w:r w:rsidRPr="00E02273">
        <w:rPr>
          <w:i/>
          <w:lang w:val="en-CA"/>
        </w:rPr>
        <w:t>Use of Patented Products for International Humanitarian Purposes Regulations</w:t>
      </w:r>
      <w:r w:rsidRPr="00E02273">
        <w:rPr>
          <w:lang w:val="en-CA"/>
        </w:rPr>
        <w:t>, SOR/2005-143.</w:t>
      </w:r>
    </w:p>
  </w:footnote>
  <w:footnote w:id="196">
    <w:p w14:paraId="05512F5F" w14:textId="501457CF" w:rsidR="00EC7001" w:rsidRPr="00E02273" w:rsidRDefault="00EC7001" w:rsidP="00B568AD">
      <w:pPr>
        <w:pStyle w:val="Notedebasdepage"/>
        <w:rPr>
          <w:i/>
          <w:lang w:val="en-CA"/>
        </w:rPr>
      </w:pPr>
      <w:r w:rsidRPr="00E02273">
        <w:rPr>
          <w:rStyle w:val="Appelnotedebasdep"/>
          <w:lang w:val="en-CA"/>
        </w:rPr>
        <w:footnoteRef/>
      </w:r>
      <w:r w:rsidRPr="00E02273">
        <w:rPr>
          <w:lang w:val="en-CA"/>
        </w:rPr>
        <w:t xml:space="preserve">  </w:t>
      </w:r>
      <w:r w:rsidRPr="00E02273">
        <w:rPr>
          <w:i/>
          <w:lang w:val="en-CA"/>
        </w:rPr>
        <w:t>COVID-19 Emergency Response Act</w:t>
      </w:r>
      <w:r w:rsidRPr="00E02273">
        <w:rPr>
          <w:lang w:val="en-CA"/>
        </w:rPr>
        <w:t xml:space="preserve">, S.C. 2020, c. 5, s. 51 introducing s. 19.4 into the </w:t>
      </w:r>
      <w:r w:rsidRPr="00E02273">
        <w:rPr>
          <w:i/>
          <w:lang w:val="en-CA"/>
        </w:rPr>
        <w:t>Patent Act.</w:t>
      </w:r>
    </w:p>
  </w:footnote>
  <w:footnote w:id="197">
    <w:p w14:paraId="1693101A" w14:textId="26ED7CD6"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t xml:space="preserve">See </w:t>
      </w:r>
      <w:r w:rsidRPr="00E02273">
        <w:rPr>
          <w:i/>
          <w:lang w:val="en-CA"/>
        </w:rPr>
        <w:t>Hoffman-LaRoche v. Bell-Craig Pharmaceutical Division of L.D. Craig Ltd.</w:t>
      </w:r>
      <w:r w:rsidRPr="00E02273">
        <w:rPr>
          <w:lang w:val="en-CA"/>
        </w:rPr>
        <w:t xml:space="preserve">, [1966] S.C.R. 313 at 319; </w:t>
      </w:r>
      <w:r w:rsidRPr="00E02273">
        <w:rPr>
          <w:i/>
          <w:lang w:val="en-CA"/>
        </w:rPr>
        <w:t>Eli Lilly and Co. v. U. Chemicals Ltd.</w:t>
      </w:r>
      <w:r w:rsidRPr="00E02273">
        <w:rPr>
          <w:lang w:val="en-CA"/>
        </w:rPr>
        <w:t xml:space="preserve">, [1977] 1 S.C.R. 536 at 545; </w:t>
      </w:r>
      <w:r w:rsidRPr="00E02273">
        <w:rPr>
          <w:i/>
          <w:lang w:val="en-CA"/>
        </w:rPr>
        <w:t>Frank W. Horner v. Hoffman-La Roche Ltd.</w:t>
      </w:r>
      <w:r w:rsidRPr="00E02273">
        <w:rPr>
          <w:lang w:val="en-CA"/>
        </w:rPr>
        <w:t xml:space="preserve"> (1970), 61 C.P.R. 243, 1970 LNCPAT 11 (QL) at paras. 18–19 [cited to QL];</w:t>
      </w:r>
      <w:r w:rsidRPr="00E02273">
        <w:rPr>
          <w:i/>
          <w:lang w:val="en-CA"/>
        </w:rPr>
        <w:t xml:space="preserve"> Parke, Davis &amp; Co. v. Fine Chemicals of Canada Ltd.</w:t>
      </w:r>
      <w:r w:rsidRPr="00E02273">
        <w:rPr>
          <w:lang w:val="en-CA"/>
        </w:rPr>
        <w:t>, [1959] S.C.R. 219 at</w:t>
      </w:r>
      <w:r w:rsidRPr="00E02273">
        <w:rPr>
          <w:rFonts w:cs="Arial"/>
          <w:color w:val="212121"/>
          <w:shd w:val="clear" w:color="auto" w:fill="FFFFFF"/>
          <w:lang w:val="en-CA"/>
        </w:rPr>
        <w:t xml:space="preserve"> 222;</w:t>
      </w:r>
      <w:r w:rsidRPr="00E02273">
        <w:rPr>
          <w:i/>
          <w:lang w:val="en-CA"/>
        </w:rPr>
        <w:t xml:space="preserve"> Canada (Commissioner of Patents) v. Farbwerke Hoechst Aktien-Gesellschaft Vormals Meister Lucius &amp; Bruning</w:t>
      </w:r>
      <w:r w:rsidRPr="00E02273">
        <w:rPr>
          <w:lang w:val="en-CA"/>
        </w:rPr>
        <w:t>, [1964] S.C.R. 49 at 56.</w:t>
      </w:r>
    </w:p>
  </w:footnote>
  <w:footnote w:id="198">
    <w:p w14:paraId="22DD7EF4" w14:textId="7903ABF0"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t>This separate regime is now set out in ss. 79</w:t>
      </w:r>
      <w:r w:rsidRPr="00E02273">
        <w:rPr>
          <w:rFonts w:cs="Arial"/>
          <w:lang w:val="en-CA"/>
        </w:rPr>
        <w:t>–</w:t>
      </w:r>
      <w:r w:rsidRPr="00E02273">
        <w:rPr>
          <w:lang w:val="en-CA"/>
        </w:rPr>
        <w:t xml:space="preserve">103 of the </w:t>
      </w:r>
      <w:r w:rsidRPr="00E02273">
        <w:rPr>
          <w:i/>
          <w:lang w:val="en-CA"/>
        </w:rPr>
        <w:t xml:space="preserve">Patent Act </w:t>
      </w:r>
      <w:r w:rsidRPr="00E02273">
        <w:rPr>
          <w:lang w:val="en-CA"/>
        </w:rPr>
        <w:t xml:space="preserve">and is </w:t>
      </w:r>
      <w:r>
        <w:rPr>
          <w:lang w:val="en-CA"/>
        </w:rPr>
        <w:t>distinct</w:t>
      </w:r>
      <w:r w:rsidRPr="00E02273">
        <w:rPr>
          <w:lang w:val="en-CA"/>
        </w:rPr>
        <w:t xml:space="preserve"> from the regime concerning abuse of patent set out in ss. 65–71 and 127–128 of the </w:t>
      </w:r>
      <w:r w:rsidRPr="00E02273">
        <w:rPr>
          <w:i/>
          <w:lang w:val="en-CA"/>
        </w:rPr>
        <w:t>Act</w:t>
      </w:r>
      <w:r w:rsidRPr="00E02273">
        <w:rPr>
          <w:lang w:val="en-CA"/>
        </w:rPr>
        <w:t>.</w:t>
      </w:r>
    </w:p>
  </w:footnote>
  <w:footnote w:id="199">
    <w:p w14:paraId="265C1163" w14:textId="028F89CE"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Smith, Kline &amp; French Laboratories v. Canada (Attorney General)</w:t>
      </w:r>
      <w:r w:rsidRPr="00E02273">
        <w:rPr>
          <w:lang w:val="en-CA"/>
        </w:rPr>
        <w:t xml:space="preserve">, [1986] 1 F.C. 274, 1985 CanLII 3151 (F.C.) at paras. 42–43 [cited to CanLII], aff’d </w:t>
      </w:r>
      <w:r w:rsidRPr="00E02273">
        <w:rPr>
          <w:i/>
          <w:lang w:val="en-CA"/>
        </w:rPr>
        <w:t>Smith, Kline &amp; French Laboratories v. Canada (Attorney General)</w:t>
      </w:r>
      <w:r w:rsidRPr="00E02273">
        <w:rPr>
          <w:lang w:val="en-CA"/>
        </w:rPr>
        <w:t xml:space="preserve">, [1986] 2 F.C. 359, 1986 CanLII 3976 (F.C.A.). </w:t>
      </w:r>
    </w:p>
  </w:footnote>
  <w:footnote w:id="200">
    <w:p w14:paraId="3513C607" w14:textId="063690CD"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 xml:space="preserve">Ibid. </w:t>
      </w:r>
      <w:r w:rsidRPr="00E02273">
        <w:rPr>
          <w:lang w:val="en-CA"/>
        </w:rPr>
        <w:t>at para. 51.</w:t>
      </w:r>
    </w:p>
  </w:footnote>
  <w:footnote w:id="201">
    <w:p w14:paraId="52A0C3D2" w14:textId="74A5C4AA"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Celgene Corp. v. Canada (Attorney General)</w:t>
      </w:r>
      <w:r w:rsidRPr="00E02273">
        <w:rPr>
          <w:lang w:val="en-CA"/>
        </w:rPr>
        <w:t>, 2011 SCC 1, [2011] 1 S.C.R. 3 at paras. 28–29.</w:t>
      </w:r>
    </w:p>
  </w:footnote>
  <w:footnote w:id="202">
    <w:p w14:paraId="7C8541DA" w14:textId="23D00708"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t xml:space="preserve">In fact, Stratas J.A. of the Federal Court of Appeal agreed with this conclusion in an </w:t>
      </w:r>
      <w:r w:rsidRPr="00E02273">
        <w:rPr>
          <w:i/>
          <w:lang w:val="en-CA"/>
        </w:rPr>
        <w:t>obiter</w:t>
      </w:r>
      <w:r w:rsidRPr="00E02273">
        <w:rPr>
          <w:lang w:val="en-CA"/>
        </w:rPr>
        <w:t xml:space="preserve"> </w:t>
      </w:r>
      <w:r w:rsidR="003B517B">
        <w:rPr>
          <w:lang w:val="en-CA"/>
        </w:rPr>
        <w:t xml:space="preserve">remark </w:t>
      </w:r>
      <w:r>
        <w:rPr>
          <w:lang w:val="en-CA"/>
        </w:rPr>
        <w:t xml:space="preserve">in </w:t>
      </w:r>
      <w:r w:rsidRPr="00E02273">
        <w:rPr>
          <w:lang w:val="en-CA"/>
        </w:rPr>
        <w:t xml:space="preserve">the recent judgment in </w:t>
      </w:r>
      <w:r w:rsidRPr="00E02273">
        <w:rPr>
          <w:i/>
          <w:lang w:val="en-CA"/>
        </w:rPr>
        <w:t>Alexion Pharmaceutic</w:t>
      </w:r>
      <w:r>
        <w:rPr>
          <w:i/>
          <w:lang w:val="en-CA"/>
        </w:rPr>
        <w:t>a</w:t>
      </w:r>
      <w:r w:rsidRPr="00E02273">
        <w:rPr>
          <w:i/>
          <w:lang w:val="en-CA"/>
        </w:rPr>
        <w:t>ls Inc. v. Canada (Attorney General)</w:t>
      </w:r>
      <w:r w:rsidRPr="00E02273">
        <w:rPr>
          <w:lang w:val="en-CA"/>
        </w:rPr>
        <w:t xml:space="preserve">, 2021 FCA 157 at para. 49: “Were the excessive pricing provisions of the federal </w:t>
      </w:r>
      <w:r w:rsidRPr="00E02273">
        <w:rPr>
          <w:i/>
          <w:lang w:val="en-CA"/>
        </w:rPr>
        <w:t>Patent Act</w:t>
      </w:r>
      <w:r w:rsidRPr="00E02273">
        <w:rPr>
          <w:lang w:val="en-CA"/>
        </w:rPr>
        <w:t xml:space="preserve"> aimed at reasonable pricing, price-regulation or consumer protection at large, they would be constitutionally suspect”.</w:t>
      </w:r>
    </w:p>
  </w:footnote>
  <w:footnote w:id="203">
    <w:p w14:paraId="1F3C3DFC" w14:textId="5CC10BBB"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t>Exhibit P-221: Memorandum dated November 30, 1990, from Deputy Minister Jocelyne Bourgon to the Minister of Consumer and Corporate Affairs Canada at 1 and 2.</w:t>
      </w:r>
    </w:p>
  </w:footnote>
  <w:footnote w:id="204">
    <w:p w14:paraId="6522B4B3" w14:textId="6948D386"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t>PMPRB Annual Report 2017, figure 22; Exhibit P-152, NP-B: Expert Report of Neil Palmer at para. 109 and figure 9.</w:t>
      </w:r>
    </w:p>
  </w:footnote>
  <w:footnote w:id="205">
    <w:p w14:paraId="7F7B3427" w14:textId="29B0C413"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t xml:space="preserve">PMPRB Annual Report 2017, figure 23; Regulatory Impact Analysis Statement, </w:t>
      </w:r>
      <w:r w:rsidRPr="003B1D92">
        <w:rPr>
          <w:i/>
          <w:lang w:val="en-CA"/>
        </w:rPr>
        <w:t>Canada Gazette</w:t>
      </w:r>
      <w:r w:rsidRPr="00E02273">
        <w:rPr>
          <w:lang w:val="en-CA"/>
        </w:rPr>
        <w:t xml:space="preserve">, Part II, </w:t>
      </w:r>
      <w:r>
        <w:rPr>
          <w:lang w:val="en-CA"/>
        </w:rPr>
        <w:t>V</w:t>
      </w:r>
      <w:r w:rsidRPr="00E02273">
        <w:rPr>
          <w:lang w:val="en-CA"/>
        </w:rPr>
        <w:t>ol. 153, No. 17, August 21, 2019, at 5952: “In 2017, median OECD prices for patented medicines were on average 19% below those in Canada”. The expert Palmer harshly criticized the methodology used to obtain this percentage of 19%, while suggesting that the median prices for the entire group of OECD countries are lower than in Canada, but to a lesser degree: Expert Report of Neil Palmer at para. 130 and figure 12.1, paras. 150–157.</w:t>
      </w:r>
    </w:p>
  </w:footnote>
  <w:footnote w:id="206">
    <w:p w14:paraId="348CC969" w14:textId="4D709D95"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t xml:space="preserve">Regulatory Impact Analysis Statement, </w:t>
      </w:r>
      <w:r w:rsidRPr="003B1D92">
        <w:rPr>
          <w:i/>
          <w:lang w:val="en-CA"/>
        </w:rPr>
        <w:t>Canada Gazette</w:t>
      </w:r>
      <w:r w:rsidRPr="00E02273">
        <w:rPr>
          <w:lang w:val="en-CA"/>
        </w:rPr>
        <w:t xml:space="preserve">, Part II, </w:t>
      </w:r>
      <w:r>
        <w:rPr>
          <w:lang w:val="en-CA"/>
        </w:rPr>
        <w:t>V</w:t>
      </w:r>
      <w:r w:rsidRPr="00E02273">
        <w:rPr>
          <w:lang w:val="en-CA"/>
        </w:rPr>
        <w:t>ol. 153, No. 17, August 21, 2019, at 5953.</w:t>
      </w:r>
    </w:p>
  </w:footnote>
  <w:footnote w:id="207">
    <w:p w14:paraId="181783C2" w14:textId="33B3FAB7"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t>Trial judgment at para. 400.</w:t>
      </w:r>
    </w:p>
  </w:footnote>
  <w:footnote w:id="208">
    <w:p w14:paraId="59266F4F" w14:textId="742F0EB0"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t xml:space="preserve">Regulatory Impact Analysis Statement, </w:t>
      </w:r>
      <w:r w:rsidRPr="003B1D92">
        <w:rPr>
          <w:i/>
          <w:lang w:val="en-CA"/>
        </w:rPr>
        <w:t>Canada Gazette</w:t>
      </w:r>
      <w:r w:rsidRPr="00E02273">
        <w:rPr>
          <w:lang w:val="en-CA"/>
        </w:rPr>
        <w:t xml:space="preserve">, Part II, </w:t>
      </w:r>
      <w:r>
        <w:rPr>
          <w:lang w:val="en-CA"/>
        </w:rPr>
        <w:t>V</w:t>
      </w:r>
      <w:r w:rsidRPr="00E02273">
        <w:rPr>
          <w:lang w:val="en-CA"/>
        </w:rPr>
        <w:t>ol. 153, No. 17, August 21, 2019, at 5967–5968.</w:t>
      </w:r>
    </w:p>
  </w:footnote>
  <w:footnote w:id="209">
    <w:p w14:paraId="32890EA1" w14:textId="09DF9813"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t>Arguments in the Attorney General of Canada’s brief at para. 6.</w:t>
      </w:r>
    </w:p>
  </w:footnote>
  <w:footnote w:id="210">
    <w:p w14:paraId="4F0303AA" w14:textId="47371F1A"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 xml:space="preserve">Re: Anti-Inflation Act, </w:t>
      </w:r>
      <w:r w:rsidRPr="00E02273">
        <w:rPr>
          <w:lang w:val="en-CA"/>
        </w:rPr>
        <w:t>[1976] 2 S.C.R. 373 at 441.</w:t>
      </w:r>
      <w:r w:rsidRPr="00E02273">
        <w:rPr>
          <w:rFonts w:cs="Arial"/>
          <w:color w:val="000000"/>
          <w:lang w:val="en-CA"/>
        </w:rPr>
        <w:t xml:space="preserve"> See also Peter. W. Hogg, </w:t>
      </w:r>
      <w:r w:rsidRPr="00E02273">
        <w:rPr>
          <w:rFonts w:cs="Arial"/>
          <w:i/>
          <w:iCs/>
          <w:color w:val="000000"/>
          <w:lang w:val="en-CA"/>
        </w:rPr>
        <w:t>Constitutional Law of Canada</w:t>
      </w:r>
      <w:r w:rsidRPr="00E02273">
        <w:rPr>
          <w:rFonts w:cs="Arial"/>
          <w:color w:val="000000"/>
          <w:lang w:val="en-CA"/>
        </w:rPr>
        <w:t xml:space="preserve">, </w:t>
      </w:r>
      <w:r>
        <w:rPr>
          <w:rFonts w:cs="Arial"/>
          <w:color w:val="000000"/>
          <w:lang w:val="en-CA"/>
        </w:rPr>
        <w:t>V</w:t>
      </w:r>
      <w:r w:rsidRPr="00E02273">
        <w:rPr>
          <w:rFonts w:cs="Arial"/>
          <w:color w:val="000000"/>
          <w:lang w:val="en-CA"/>
        </w:rPr>
        <w:t>ol. 1, 5th ed. (Scarborough, Ont.: Thomson/Carswell, 2007) (loose-leaf updated 2021) at para. § 21.8.</w:t>
      </w:r>
    </w:p>
  </w:footnote>
  <w:footnote w:id="211">
    <w:p w14:paraId="41B06E0B" w14:textId="63285110"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r>
      <w:r w:rsidRPr="00E02273">
        <w:rPr>
          <w:i/>
          <w:lang w:val="en-CA"/>
        </w:rPr>
        <w:t xml:space="preserve">Ibid. </w:t>
      </w:r>
      <w:r w:rsidRPr="00E02273">
        <w:rPr>
          <w:lang w:val="en-CA"/>
        </w:rPr>
        <w:t>at 441. Although Beetz J. was dissenting in that case, the principle cited that he set out is not the subject of controversy.</w:t>
      </w:r>
    </w:p>
  </w:footnote>
  <w:footnote w:id="212">
    <w:p w14:paraId="287A7B4F" w14:textId="77777777" w:rsidR="00EC7001" w:rsidRPr="00E02273" w:rsidRDefault="00EC7001" w:rsidP="00B568AD">
      <w:pPr>
        <w:pStyle w:val="Notedebasdepage"/>
        <w:rPr>
          <w:rFonts w:cs="Arial"/>
          <w:lang w:val="en-CA"/>
        </w:rPr>
      </w:pPr>
      <w:r w:rsidRPr="00E02273">
        <w:rPr>
          <w:rStyle w:val="Appelnotedebasdep"/>
          <w:rFonts w:cs="Arial"/>
          <w:lang w:val="en-CA"/>
        </w:rPr>
        <w:footnoteRef/>
      </w:r>
      <w:r w:rsidRPr="00E02273">
        <w:rPr>
          <w:rFonts w:cs="Arial"/>
          <w:lang w:val="en-CA"/>
        </w:rPr>
        <w:t xml:space="preserve"> </w:t>
      </w:r>
      <w:r w:rsidRPr="00E02273">
        <w:rPr>
          <w:rFonts w:cs="Arial"/>
          <w:lang w:val="en-CA"/>
        </w:rPr>
        <w:tab/>
      </w:r>
      <w:r w:rsidRPr="00E02273">
        <w:rPr>
          <w:rFonts w:cs="Arial"/>
          <w:i/>
          <w:lang w:val="en-CA"/>
        </w:rPr>
        <w:t xml:space="preserve">A.G. Can. v. A.G. Alberta </w:t>
      </w:r>
      <w:r w:rsidRPr="00E02273">
        <w:rPr>
          <w:rFonts w:cs="Arial"/>
          <w:lang w:val="en-CA"/>
        </w:rPr>
        <w:t xml:space="preserve">(Insurance Reference), [1916] 1 A.C. 588; </w:t>
      </w:r>
      <w:r w:rsidRPr="00E02273">
        <w:rPr>
          <w:rFonts w:cs="Arial"/>
          <w:i/>
          <w:lang w:val="en-CA"/>
        </w:rPr>
        <w:t>Re Insurance Act of Can.</w:t>
      </w:r>
      <w:r w:rsidRPr="00E02273">
        <w:rPr>
          <w:rFonts w:cs="Arial"/>
          <w:lang w:val="en-CA"/>
        </w:rPr>
        <w:t xml:space="preserve">, [1932] A.C. 41; </w:t>
      </w:r>
      <w:r w:rsidRPr="00E02273">
        <w:rPr>
          <w:rFonts w:cs="Arial"/>
          <w:i/>
          <w:lang w:val="en-CA"/>
        </w:rPr>
        <w:t>A.G. Canada v. A.G. Ontario</w:t>
      </w:r>
      <w:r w:rsidRPr="00E02273">
        <w:rPr>
          <w:rFonts w:cs="Arial"/>
          <w:lang w:val="en-CA"/>
        </w:rPr>
        <w:t xml:space="preserve"> (</w:t>
      </w:r>
      <w:r w:rsidRPr="00E02273">
        <w:rPr>
          <w:rFonts w:cs="Arial"/>
          <w:i/>
          <w:lang w:val="en-CA"/>
        </w:rPr>
        <w:t>Unemployment Insurance Reference</w:t>
      </w:r>
      <w:r w:rsidRPr="00E02273">
        <w:rPr>
          <w:rFonts w:cs="Arial"/>
          <w:lang w:val="en-CA"/>
        </w:rPr>
        <w:t>), [1937] A.C. 355.</w:t>
      </w:r>
    </w:p>
  </w:footnote>
  <w:footnote w:id="213">
    <w:p w14:paraId="7DD93AF8" w14:textId="5CCC56A9" w:rsidR="00EC7001" w:rsidRPr="00E02273" w:rsidRDefault="00EC7001" w:rsidP="00B568AD">
      <w:pPr>
        <w:pStyle w:val="Notedebasdepage"/>
        <w:rPr>
          <w:rFonts w:cs="Arial"/>
          <w:lang w:val="en-CA"/>
        </w:rPr>
      </w:pPr>
      <w:r w:rsidRPr="00E02273">
        <w:rPr>
          <w:rStyle w:val="Appelnotedebasdep"/>
          <w:rFonts w:cs="Arial"/>
          <w:lang w:val="en-CA"/>
        </w:rPr>
        <w:footnoteRef/>
      </w:r>
      <w:r w:rsidRPr="00E02273">
        <w:rPr>
          <w:rFonts w:cs="Arial"/>
          <w:lang w:val="en-CA"/>
        </w:rPr>
        <w:t xml:space="preserve"> </w:t>
      </w:r>
      <w:r w:rsidRPr="00E02273">
        <w:rPr>
          <w:rFonts w:cs="Arial"/>
          <w:lang w:val="en-CA"/>
        </w:rPr>
        <w:tab/>
      </w:r>
      <w:r w:rsidRPr="00E02273">
        <w:rPr>
          <w:rFonts w:cs="Arial"/>
          <w:i/>
          <w:lang w:val="en-CA"/>
        </w:rPr>
        <w:t>Reference re Fisheries Act, 1914 (Canada)</w:t>
      </w:r>
      <w:r w:rsidRPr="00E02273">
        <w:rPr>
          <w:rFonts w:cs="Arial"/>
          <w:lang w:val="en-CA"/>
        </w:rPr>
        <w:t xml:space="preserve">, [1928] S.C.R. 457, aff’d on this point by the Privy Council, </w:t>
      </w:r>
      <w:r w:rsidRPr="00E02273">
        <w:rPr>
          <w:rFonts w:cs="Arial"/>
          <w:i/>
          <w:lang w:val="en-CA"/>
        </w:rPr>
        <w:t>Reference as to Constitutional Validity of Certain Sections of Fisheries Act, 1914</w:t>
      </w:r>
      <w:r w:rsidRPr="00E02273">
        <w:rPr>
          <w:rFonts w:cs="Arial"/>
          <w:lang w:val="en-CA"/>
        </w:rPr>
        <w:t>,  [1930] A.C. 111.</w:t>
      </w:r>
    </w:p>
  </w:footnote>
  <w:footnote w:id="214">
    <w:p w14:paraId="64C597BB" w14:textId="009A1E0B" w:rsidR="00EC7001" w:rsidRPr="00E02273" w:rsidRDefault="00EC7001" w:rsidP="00B568AD">
      <w:pPr>
        <w:pStyle w:val="Notedebasdepage"/>
        <w:rPr>
          <w:lang w:val="en-CA"/>
        </w:rPr>
      </w:pPr>
      <w:r w:rsidRPr="00E02273">
        <w:rPr>
          <w:rStyle w:val="Appelnotedebasdep"/>
          <w:lang w:val="en-CA"/>
        </w:rPr>
        <w:footnoteRef/>
      </w:r>
      <w:r w:rsidRPr="00E02273">
        <w:rPr>
          <w:lang w:val="en-CA"/>
        </w:rPr>
        <w:t xml:space="preserve"> </w:t>
      </w:r>
      <w:r w:rsidRPr="00E02273">
        <w:rPr>
          <w:lang w:val="en-CA"/>
        </w:rPr>
        <w:tab/>
        <w:t xml:space="preserve">Regulatory Impact Analysis Statement, </w:t>
      </w:r>
      <w:r w:rsidRPr="003B1D92">
        <w:rPr>
          <w:i/>
          <w:lang w:val="en-CA"/>
        </w:rPr>
        <w:t>Canada Gazette</w:t>
      </w:r>
      <w:r w:rsidRPr="00E02273">
        <w:rPr>
          <w:lang w:val="en-CA"/>
        </w:rPr>
        <w:t xml:space="preserve">, Part II, </w:t>
      </w:r>
      <w:r>
        <w:rPr>
          <w:lang w:val="en-CA"/>
        </w:rPr>
        <w:t>V</w:t>
      </w:r>
      <w:r w:rsidRPr="00E02273">
        <w:rPr>
          <w:lang w:val="en-CA"/>
        </w:rPr>
        <w:t>ol. 153, No. 17, August 21, 2019, at 5954–5955.</w:t>
      </w:r>
    </w:p>
  </w:footnote>
  <w:footnote w:id="215">
    <w:p w14:paraId="0B5AC617" w14:textId="40FDA2A4" w:rsidR="00EC7001" w:rsidRPr="00E02273" w:rsidRDefault="00EC7001" w:rsidP="00B568AD">
      <w:pPr>
        <w:pStyle w:val="Notedebasdepage"/>
        <w:rPr>
          <w:lang w:val="en-CA"/>
        </w:rPr>
      </w:pPr>
      <w:r w:rsidRPr="00E02273">
        <w:rPr>
          <w:rStyle w:val="Appelnotedebasdep"/>
          <w:lang w:val="en-CA"/>
        </w:rPr>
        <w:footnoteRef/>
      </w:r>
      <w:r w:rsidRPr="005219AB">
        <w:t xml:space="preserve"> </w:t>
      </w:r>
      <w:r w:rsidRPr="005219AB">
        <w:tab/>
      </w:r>
      <w:r w:rsidRPr="005219AB">
        <w:rPr>
          <w:i/>
        </w:rPr>
        <w:t>Marcotte v. Fédération des caisses Desjardins du Québec</w:t>
      </w:r>
      <w:r w:rsidRPr="005219AB">
        <w:t xml:space="preserve">, 2014 SCC 57, [2014] 2 S.C.R. 805 at para. </w:t>
      </w:r>
      <w:r w:rsidRPr="00E02273">
        <w:rPr>
          <w:lang w:val="en-CA"/>
        </w:rPr>
        <w:t xml:space="preserve">20; </w:t>
      </w:r>
      <w:r w:rsidRPr="00E02273">
        <w:rPr>
          <w:i/>
          <w:lang w:val="en-CA"/>
        </w:rPr>
        <w:t>Canada (Attorney General) v. Hislop</w:t>
      </w:r>
      <w:r w:rsidRPr="00E02273">
        <w:rPr>
          <w:lang w:val="en-CA"/>
        </w:rPr>
        <w:t xml:space="preserve">, 2007 SCC 10, [2007] 1 S.C.R. 429 at para. 94; see also, in the context of interpreting the </w:t>
      </w:r>
      <w:r w:rsidRPr="00E02273">
        <w:rPr>
          <w:i/>
          <w:lang w:val="en-CA"/>
        </w:rPr>
        <w:t>Canadian Charter</w:t>
      </w:r>
      <w:r w:rsidRPr="00E02273">
        <w:rPr>
          <w:lang w:val="en-CA"/>
        </w:rPr>
        <w:t xml:space="preserve">: </w:t>
      </w:r>
      <w:r w:rsidRPr="00E02273">
        <w:rPr>
          <w:i/>
          <w:lang w:val="en-CA"/>
        </w:rPr>
        <w:t>Quebec (Attorney General) v. 9147-0732 Québec inc.</w:t>
      </w:r>
      <w:r w:rsidRPr="00E02273">
        <w:rPr>
          <w:lang w:val="en-CA"/>
        </w:rPr>
        <w:t>, 2020 SCC 32 at paras. 8–13.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3750D" w14:textId="77777777" w:rsidR="003F65E5" w:rsidRDefault="003F65E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76463" w14:textId="601FA2CF" w:rsidR="00EC7001" w:rsidRDefault="00EC7001" w:rsidP="00B568AD">
    <w:pPr>
      <w:tabs>
        <w:tab w:val="center" w:pos="4709"/>
        <w:tab w:val="right" w:pos="9360"/>
      </w:tabs>
      <w:spacing w:line="360" w:lineRule="auto"/>
      <w:ind w:right="524"/>
    </w:pPr>
    <w:r>
      <w:t xml:space="preserve">500-09-029316-213 </w:t>
    </w:r>
    <w:r>
      <w:tab/>
    </w:r>
    <w:r>
      <w:tab/>
    </w:r>
    <w:r w:rsidRPr="009C7EF9">
      <w:t>PAGE:</w:t>
    </w:r>
    <w:r>
      <w:t xml:space="preserve"> </w:t>
    </w:r>
    <w:r>
      <w:fldChar w:fldCharType="begin"/>
    </w:r>
    <w:r>
      <w:instrText xml:space="preserve"> PAGE </w:instrText>
    </w:r>
    <w:r>
      <w:fldChar w:fldCharType="separate"/>
    </w:r>
    <w:r w:rsidR="00ED5EAD">
      <w:rPr>
        <w:noProof/>
      </w:rPr>
      <w:t>4</w:t>
    </w:r>
    <w:r>
      <w:fldChar w:fldCharType="end"/>
    </w:r>
  </w:p>
  <w:p w14:paraId="32A2E42F" w14:textId="77777777" w:rsidR="00EC7001" w:rsidRDefault="00EC7001" w:rsidP="00B568AD">
    <w:pPr>
      <w:tabs>
        <w:tab w:val="center" w:pos="4709"/>
        <w:tab w:val="right" w:pos="9360"/>
      </w:tabs>
      <w:spacing w:line="360" w:lineRule="auto"/>
      <w:ind w:right="52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7062E" w14:textId="6A1A31D2" w:rsidR="00EC7001" w:rsidRPr="00971A08" w:rsidRDefault="00EC7001">
    <w:pPr>
      <w:pStyle w:val="En-tte"/>
      <w:rPr>
        <w:rFonts w:cs="Arial"/>
        <w:sz w:val="32"/>
        <w:lang w:val="en-CA"/>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2B4D4" w14:textId="792B6C43" w:rsidR="00EC7001" w:rsidRDefault="00EC7001" w:rsidP="00B568AD">
    <w:pPr>
      <w:tabs>
        <w:tab w:val="center" w:pos="4709"/>
        <w:tab w:val="right" w:pos="9360"/>
      </w:tabs>
      <w:spacing w:line="360" w:lineRule="auto"/>
      <w:ind w:right="524"/>
    </w:pPr>
    <w:bookmarkStart w:id="63" w:name="EntDossier"/>
    <w:r>
      <w:t>500-09-029316-213</w:t>
    </w:r>
    <w:bookmarkEnd w:id="63"/>
    <w:r>
      <w:t xml:space="preserve"> </w:t>
    </w:r>
    <w:r>
      <w:tab/>
    </w:r>
    <w:r>
      <w:tab/>
    </w:r>
    <w:r w:rsidRPr="009C7EF9">
      <w:t>PAGE:</w:t>
    </w:r>
    <w:r>
      <w:t xml:space="preserve"> </w:t>
    </w:r>
    <w:r>
      <w:fldChar w:fldCharType="begin"/>
    </w:r>
    <w:r>
      <w:instrText xml:space="preserve"> PAGE </w:instrText>
    </w:r>
    <w:r>
      <w:fldChar w:fldCharType="separate"/>
    </w:r>
    <w:r w:rsidR="00ED5EAD">
      <w:rPr>
        <w:noProof/>
      </w:rPr>
      <w:t>21</w:t>
    </w:r>
    <w:r>
      <w:fldChar w:fldCharType="end"/>
    </w:r>
  </w:p>
  <w:p w14:paraId="333FE0FD" w14:textId="77777777" w:rsidR="00EC7001" w:rsidRDefault="00EC7001" w:rsidP="00B568AD">
    <w:pPr>
      <w:tabs>
        <w:tab w:val="center" w:pos="4709"/>
        <w:tab w:val="right" w:pos="9360"/>
      </w:tabs>
      <w:spacing w:line="360" w:lineRule="auto"/>
      <w:ind w:right="52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15:restartNumberingAfterBreak="0">
    <w:nsid w:val="FFFFFF7C"/>
    <w:multiLevelType w:val="singleLevel"/>
    <w:tmpl w:val="780E1E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F12EA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F2647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51C3B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EAB82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1219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8070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6436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DCE6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834AE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40614"/>
    <w:multiLevelType w:val="multilevel"/>
    <w:tmpl w:val="AD5C3D3E"/>
    <w:lvl w:ilvl="0">
      <w:start w:val="1"/>
      <w:numFmt w:val="bullet"/>
      <w:lvlText w:val=""/>
      <w:lvlPicBulletId w:val="3"/>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C640906"/>
    <w:multiLevelType w:val="multilevel"/>
    <w:tmpl w:val="CF603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2E5FBA"/>
    <w:multiLevelType w:val="hybridMultilevel"/>
    <w:tmpl w:val="DF6A7148"/>
    <w:lvl w:ilvl="0" w:tplc="AE9C32E6">
      <w:start w:val="1"/>
      <w:numFmt w:val="lowerLetter"/>
      <w:lvlText w:val="(%1)"/>
      <w:lvlJc w:val="left"/>
      <w:pPr>
        <w:ind w:left="720" w:hanging="360"/>
      </w:pPr>
      <w:rPr>
        <w:rFonts w:hint="default"/>
      </w:rPr>
    </w:lvl>
    <w:lvl w:ilvl="1" w:tplc="EB2EF39E" w:tentative="1">
      <w:start w:val="1"/>
      <w:numFmt w:val="lowerLetter"/>
      <w:lvlText w:val="%2."/>
      <w:lvlJc w:val="left"/>
      <w:pPr>
        <w:ind w:left="1440" w:hanging="360"/>
      </w:pPr>
    </w:lvl>
    <w:lvl w:ilvl="2" w:tplc="92DEB662" w:tentative="1">
      <w:start w:val="1"/>
      <w:numFmt w:val="lowerRoman"/>
      <w:lvlText w:val="%3."/>
      <w:lvlJc w:val="right"/>
      <w:pPr>
        <w:ind w:left="2160" w:hanging="180"/>
      </w:pPr>
    </w:lvl>
    <w:lvl w:ilvl="3" w:tplc="7108BB72" w:tentative="1">
      <w:start w:val="1"/>
      <w:numFmt w:val="decimal"/>
      <w:lvlText w:val="%4."/>
      <w:lvlJc w:val="left"/>
      <w:pPr>
        <w:ind w:left="2880" w:hanging="360"/>
      </w:pPr>
    </w:lvl>
    <w:lvl w:ilvl="4" w:tplc="8EB2B7E2" w:tentative="1">
      <w:start w:val="1"/>
      <w:numFmt w:val="lowerLetter"/>
      <w:lvlText w:val="%5."/>
      <w:lvlJc w:val="left"/>
      <w:pPr>
        <w:ind w:left="3600" w:hanging="360"/>
      </w:pPr>
    </w:lvl>
    <w:lvl w:ilvl="5" w:tplc="D97E4338" w:tentative="1">
      <w:start w:val="1"/>
      <w:numFmt w:val="lowerRoman"/>
      <w:lvlText w:val="%6."/>
      <w:lvlJc w:val="right"/>
      <w:pPr>
        <w:ind w:left="4320" w:hanging="180"/>
      </w:pPr>
    </w:lvl>
    <w:lvl w:ilvl="6" w:tplc="08ECAC86" w:tentative="1">
      <w:start w:val="1"/>
      <w:numFmt w:val="decimal"/>
      <w:lvlText w:val="%7."/>
      <w:lvlJc w:val="left"/>
      <w:pPr>
        <w:ind w:left="5040" w:hanging="360"/>
      </w:pPr>
    </w:lvl>
    <w:lvl w:ilvl="7" w:tplc="457C1484" w:tentative="1">
      <w:start w:val="1"/>
      <w:numFmt w:val="lowerLetter"/>
      <w:lvlText w:val="%8."/>
      <w:lvlJc w:val="left"/>
      <w:pPr>
        <w:ind w:left="5760" w:hanging="360"/>
      </w:pPr>
    </w:lvl>
    <w:lvl w:ilvl="8" w:tplc="74229D08" w:tentative="1">
      <w:start w:val="1"/>
      <w:numFmt w:val="lowerRoman"/>
      <w:lvlText w:val="%9."/>
      <w:lvlJc w:val="right"/>
      <w:pPr>
        <w:ind w:left="6480" w:hanging="180"/>
      </w:pPr>
    </w:lvl>
  </w:abstractNum>
  <w:abstractNum w:abstractNumId="13" w15:restartNumberingAfterBreak="0">
    <w:nsid w:val="28BB52DE"/>
    <w:multiLevelType w:val="multilevel"/>
    <w:tmpl w:val="D5A23E46"/>
    <w:lvl w:ilvl="0">
      <w:start w:val="1"/>
      <w:numFmt w:val="decimal"/>
      <w:pStyle w:val="Paragraphe"/>
      <w:lvlText w:val="[%1]"/>
      <w:lvlJc w:val="left"/>
      <w:pPr>
        <w:tabs>
          <w:tab w:val="num" w:pos="4973"/>
        </w:tabs>
        <w:ind w:left="4253" w:firstLine="0"/>
      </w:pPr>
      <w:rPr>
        <w:rFonts w:hint="default"/>
        <w:lang w:val="en-CA"/>
      </w:rPr>
    </w:lvl>
    <w:lvl w:ilvl="1">
      <w:start w:val="1"/>
      <w:numFmt w:val="decimal"/>
      <w:pStyle w:val="Sous-paragraphe"/>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2EC50506"/>
    <w:multiLevelType w:val="multilevel"/>
    <w:tmpl w:val="AAF4E9F6"/>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FF76EA"/>
    <w:multiLevelType w:val="hybridMultilevel"/>
    <w:tmpl w:val="96F60988"/>
    <w:lvl w:ilvl="0" w:tplc="D902BA08">
      <w:start w:val="1"/>
      <w:numFmt w:val="lowerRoman"/>
      <w:lvlText w:val="(%1)"/>
      <w:lvlJc w:val="left"/>
      <w:pPr>
        <w:ind w:left="2160" w:hanging="720"/>
      </w:pPr>
      <w:rPr>
        <w:rFonts w:hint="default"/>
      </w:rPr>
    </w:lvl>
    <w:lvl w:ilvl="1" w:tplc="63CAD1FA" w:tentative="1">
      <w:start w:val="1"/>
      <w:numFmt w:val="lowerLetter"/>
      <w:lvlText w:val="%2."/>
      <w:lvlJc w:val="left"/>
      <w:pPr>
        <w:ind w:left="2520" w:hanging="360"/>
      </w:pPr>
    </w:lvl>
    <w:lvl w:ilvl="2" w:tplc="19B0E654" w:tentative="1">
      <w:start w:val="1"/>
      <w:numFmt w:val="lowerRoman"/>
      <w:lvlText w:val="%3."/>
      <w:lvlJc w:val="right"/>
      <w:pPr>
        <w:ind w:left="3240" w:hanging="180"/>
      </w:pPr>
    </w:lvl>
    <w:lvl w:ilvl="3" w:tplc="C24EC638" w:tentative="1">
      <w:start w:val="1"/>
      <w:numFmt w:val="decimal"/>
      <w:lvlText w:val="%4."/>
      <w:lvlJc w:val="left"/>
      <w:pPr>
        <w:ind w:left="3960" w:hanging="360"/>
      </w:pPr>
    </w:lvl>
    <w:lvl w:ilvl="4" w:tplc="08120840" w:tentative="1">
      <w:start w:val="1"/>
      <w:numFmt w:val="lowerLetter"/>
      <w:lvlText w:val="%5."/>
      <w:lvlJc w:val="left"/>
      <w:pPr>
        <w:ind w:left="4680" w:hanging="360"/>
      </w:pPr>
    </w:lvl>
    <w:lvl w:ilvl="5" w:tplc="D24C4982" w:tentative="1">
      <w:start w:val="1"/>
      <w:numFmt w:val="lowerRoman"/>
      <w:lvlText w:val="%6."/>
      <w:lvlJc w:val="right"/>
      <w:pPr>
        <w:ind w:left="5400" w:hanging="180"/>
      </w:pPr>
    </w:lvl>
    <w:lvl w:ilvl="6" w:tplc="8D6A8624" w:tentative="1">
      <w:start w:val="1"/>
      <w:numFmt w:val="decimal"/>
      <w:lvlText w:val="%7."/>
      <w:lvlJc w:val="left"/>
      <w:pPr>
        <w:ind w:left="6120" w:hanging="360"/>
      </w:pPr>
    </w:lvl>
    <w:lvl w:ilvl="7" w:tplc="A058FDB4" w:tentative="1">
      <w:start w:val="1"/>
      <w:numFmt w:val="lowerLetter"/>
      <w:lvlText w:val="%8."/>
      <w:lvlJc w:val="left"/>
      <w:pPr>
        <w:ind w:left="6840" w:hanging="360"/>
      </w:pPr>
    </w:lvl>
    <w:lvl w:ilvl="8" w:tplc="6E2CFF16" w:tentative="1">
      <w:start w:val="1"/>
      <w:numFmt w:val="lowerRoman"/>
      <w:lvlText w:val="%9."/>
      <w:lvlJc w:val="right"/>
      <w:pPr>
        <w:ind w:left="7560" w:hanging="180"/>
      </w:pPr>
    </w:lvl>
  </w:abstractNum>
  <w:abstractNum w:abstractNumId="16" w15:restartNumberingAfterBreak="0">
    <w:nsid w:val="36633822"/>
    <w:multiLevelType w:val="hybridMultilevel"/>
    <w:tmpl w:val="831081E6"/>
    <w:lvl w:ilvl="0" w:tplc="A95CDAE6">
      <w:start w:val="1"/>
      <w:numFmt w:val="lowerLetter"/>
      <w:lvlText w:val="(%1)"/>
      <w:lvlJc w:val="left"/>
      <w:pPr>
        <w:ind w:left="1800" w:hanging="360"/>
      </w:pPr>
      <w:rPr>
        <w:rFonts w:hint="default"/>
      </w:rPr>
    </w:lvl>
    <w:lvl w:ilvl="1" w:tplc="369C64C6" w:tentative="1">
      <w:start w:val="1"/>
      <w:numFmt w:val="lowerLetter"/>
      <w:lvlText w:val="%2."/>
      <w:lvlJc w:val="left"/>
      <w:pPr>
        <w:ind w:left="2520" w:hanging="360"/>
      </w:pPr>
    </w:lvl>
    <w:lvl w:ilvl="2" w:tplc="88E42792" w:tentative="1">
      <w:start w:val="1"/>
      <w:numFmt w:val="lowerRoman"/>
      <w:lvlText w:val="%3."/>
      <w:lvlJc w:val="right"/>
      <w:pPr>
        <w:ind w:left="3240" w:hanging="180"/>
      </w:pPr>
    </w:lvl>
    <w:lvl w:ilvl="3" w:tplc="51ACCDC8" w:tentative="1">
      <w:start w:val="1"/>
      <w:numFmt w:val="decimal"/>
      <w:lvlText w:val="%4."/>
      <w:lvlJc w:val="left"/>
      <w:pPr>
        <w:ind w:left="3960" w:hanging="360"/>
      </w:pPr>
    </w:lvl>
    <w:lvl w:ilvl="4" w:tplc="1764C404" w:tentative="1">
      <w:start w:val="1"/>
      <w:numFmt w:val="lowerLetter"/>
      <w:lvlText w:val="%5."/>
      <w:lvlJc w:val="left"/>
      <w:pPr>
        <w:ind w:left="4680" w:hanging="360"/>
      </w:pPr>
    </w:lvl>
    <w:lvl w:ilvl="5" w:tplc="8AC8B3D6" w:tentative="1">
      <w:start w:val="1"/>
      <w:numFmt w:val="lowerRoman"/>
      <w:lvlText w:val="%6."/>
      <w:lvlJc w:val="right"/>
      <w:pPr>
        <w:ind w:left="5400" w:hanging="180"/>
      </w:pPr>
    </w:lvl>
    <w:lvl w:ilvl="6" w:tplc="9C0605F6" w:tentative="1">
      <w:start w:val="1"/>
      <w:numFmt w:val="decimal"/>
      <w:lvlText w:val="%7."/>
      <w:lvlJc w:val="left"/>
      <w:pPr>
        <w:ind w:left="6120" w:hanging="360"/>
      </w:pPr>
    </w:lvl>
    <w:lvl w:ilvl="7" w:tplc="1D70A280" w:tentative="1">
      <w:start w:val="1"/>
      <w:numFmt w:val="lowerLetter"/>
      <w:lvlText w:val="%8."/>
      <w:lvlJc w:val="left"/>
      <w:pPr>
        <w:ind w:left="6840" w:hanging="360"/>
      </w:pPr>
    </w:lvl>
    <w:lvl w:ilvl="8" w:tplc="AC3ADABC" w:tentative="1">
      <w:start w:val="1"/>
      <w:numFmt w:val="lowerRoman"/>
      <w:lvlText w:val="%9."/>
      <w:lvlJc w:val="right"/>
      <w:pPr>
        <w:ind w:left="7560" w:hanging="180"/>
      </w:pPr>
    </w:lvl>
  </w:abstractNum>
  <w:abstractNum w:abstractNumId="17" w15:restartNumberingAfterBreak="0">
    <w:nsid w:val="3A662040"/>
    <w:multiLevelType w:val="multilevel"/>
    <w:tmpl w:val="03D42B9A"/>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833DC6"/>
    <w:multiLevelType w:val="hybridMultilevel"/>
    <w:tmpl w:val="97563C02"/>
    <w:lvl w:ilvl="0" w:tplc="9B405FB0">
      <w:start w:val="1"/>
      <w:numFmt w:val="lowerLetter"/>
      <w:lvlText w:val="(%1)"/>
      <w:lvlJc w:val="left"/>
      <w:pPr>
        <w:ind w:left="720" w:hanging="360"/>
      </w:pPr>
      <w:rPr>
        <w:rFonts w:hint="default"/>
      </w:rPr>
    </w:lvl>
    <w:lvl w:ilvl="1" w:tplc="4ACE2802" w:tentative="1">
      <w:start w:val="1"/>
      <w:numFmt w:val="lowerLetter"/>
      <w:lvlText w:val="%2."/>
      <w:lvlJc w:val="left"/>
      <w:pPr>
        <w:ind w:left="1440" w:hanging="360"/>
      </w:pPr>
    </w:lvl>
    <w:lvl w:ilvl="2" w:tplc="5AE6B2E4" w:tentative="1">
      <w:start w:val="1"/>
      <w:numFmt w:val="lowerRoman"/>
      <w:lvlText w:val="%3."/>
      <w:lvlJc w:val="right"/>
      <w:pPr>
        <w:ind w:left="2160" w:hanging="180"/>
      </w:pPr>
    </w:lvl>
    <w:lvl w:ilvl="3" w:tplc="4F2A4D32" w:tentative="1">
      <w:start w:val="1"/>
      <w:numFmt w:val="decimal"/>
      <w:lvlText w:val="%4."/>
      <w:lvlJc w:val="left"/>
      <w:pPr>
        <w:ind w:left="2880" w:hanging="360"/>
      </w:pPr>
    </w:lvl>
    <w:lvl w:ilvl="4" w:tplc="ED66E368" w:tentative="1">
      <w:start w:val="1"/>
      <w:numFmt w:val="lowerLetter"/>
      <w:lvlText w:val="%5."/>
      <w:lvlJc w:val="left"/>
      <w:pPr>
        <w:ind w:left="3600" w:hanging="360"/>
      </w:pPr>
    </w:lvl>
    <w:lvl w:ilvl="5" w:tplc="BD948502" w:tentative="1">
      <w:start w:val="1"/>
      <w:numFmt w:val="lowerRoman"/>
      <w:lvlText w:val="%6."/>
      <w:lvlJc w:val="right"/>
      <w:pPr>
        <w:ind w:left="4320" w:hanging="180"/>
      </w:pPr>
    </w:lvl>
    <w:lvl w:ilvl="6" w:tplc="2C5C363C" w:tentative="1">
      <w:start w:val="1"/>
      <w:numFmt w:val="decimal"/>
      <w:lvlText w:val="%7."/>
      <w:lvlJc w:val="left"/>
      <w:pPr>
        <w:ind w:left="5040" w:hanging="360"/>
      </w:pPr>
    </w:lvl>
    <w:lvl w:ilvl="7" w:tplc="F382585E" w:tentative="1">
      <w:start w:val="1"/>
      <w:numFmt w:val="lowerLetter"/>
      <w:lvlText w:val="%8."/>
      <w:lvlJc w:val="left"/>
      <w:pPr>
        <w:ind w:left="5760" w:hanging="360"/>
      </w:pPr>
    </w:lvl>
    <w:lvl w:ilvl="8" w:tplc="984AD676" w:tentative="1">
      <w:start w:val="1"/>
      <w:numFmt w:val="lowerRoman"/>
      <w:lvlText w:val="%9."/>
      <w:lvlJc w:val="right"/>
      <w:pPr>
        <w:ind w:left="6480" w:hanging="180"/>
      </w:pPr>
    </w:lvl>
  </w:abstractNum>
  <w:abstractNum w:abstractNumId="19" w15:restartNumberingAfterBreak="0">
    <w:nsid w:val="4683455C"/>
    <w:multiLevelType w:val="hybridMultilevel"/>
    <w:tmpl w:val="01E07054"/>
    <w:lvl w:ilvl="0" w:tplc="595A2D08">
      <w:start w:val="1"/>
      <w:numFmt w:val="lowerLetter"/>
      <w:lvlText w:val="%1)"/>
      <w:lvlJc w:val="left"/>
      <w:pPr>
        <w:ind w:left="1440" w:hanging="360"/>
      </w:pPr>
    </w:lvl>
    <w:lvl w:ilvl="1" w:tplc="0FA69E50" w:tentative="1">
      <w:start w:val="1"/>
      <w:numFmt w:val="lowerLetter"/>
      <w:lvlText w:val="%2."/>
      <w:lvlJc w:val="left"/>
      <w:pPr>
        <w:ind w:left="2160" w:hanging="360"/>
      </w:pPr>
    </w:lvl>
    <w:lvl w:ilvl="2" w:tplc="FEE2E524" w:tentative="1">
      <w:start w:val="1"/>
      <w:numFmt w:val="lowerRoman"/>
      <w:lvlText w:val="%3."/>
      <w:lvlJc w:val="right"/>
      <w:pPr>
        <w:ind w:left="2880" w:hanging="180"/>
      </w:pPr>
    </w:lvl>
    <w:lvl w:ilvl="3" w:tplc="117AF490" w:tentative="1">
      <w:start w:val="1"/>
      <w:numFmt w:val="decimal"/>
      <w:lvlText w:val="%4."/>
      <w:lvlJc w:val="left"/>
      <w:pPr>
        <w:ind w:left="3600" w:hanging="360"/>
      </w:pPr>
    </w:lvl>
    <w:lvl w:ilvl="4" w:tplc="FF58829E" w:tentative="1">
      <w:start w:val="1"/>
      <w:numFmt w:val="lowerLetter"/>
      <w:lvlText w:val="%5."/>
      <w:lvlJc w:val="left"/>
      <w:pPr>
        <w:ind w:left="4320" w:hanging="360"/>
      </w:pPr>
    </w:lvl>
    <w:lvl w:ilvl="5" w:tplc="48D8112E" w:tentative="1">
      <w:start w:val="1"/>
      <w:numFmt w:val="lowerRoman"/>
      <w:lvlText w:val="%6."/>
      <w:lvlJc w:val="right"/>
      <w:pPr>
        <w:ind w:left="5040" w:hanging="180"/>
      </w:pPr>
    </w:lvl>
    <w:lvl w:ilvl="6" w:tplc="8BE43A3A" w:tentative="1">
      <w:start w:val="1"/>
      <w:numFmt w:val="decimal"/>
      <w:lvlText w:val="%7."/>
      <w:lvlJc w:val="left"/>
      <w:pPr>
        <w:ind w:left="5760" w:hanging="360"/>
      </w:pPr>
    </w:lvl>
    <w:lvl w:ilvl="7" w:tplc="4686145E" w:tentative="1">
      <w:start w:val="1"/>
      <w:numFmt w:val="lowerLetter"/>
      <w:lvlText w:val="%8."/>
      <w:lvlJc w:val="left"/>
      <w:pPr>
        <w:ind w:left="6480" w:hanging="360"/>
      </w:pPr>
    </w:lvl>
    <w:lvl w:ilvl="8" w:tplc="DAE2A378" w:tentative="1">
      <w:start w:val="1"/>
      <w:numFmt w:val="lowerRoman"/>
      <w:lvlText w:val="%9."/>
      <w:lvlJc w:val="right"/>
      <w:pPr>
        <w:ind w:left="7200" w:hanging="180"/>
      </w:pPr>
    </w:lvl>
  </w:abstractNum>
  <w:abstractNum w:abstractNumId="20" w15:restartNumberingAfterBreak="0">
    <w:nsid w:val="48390612"/>
    <w:multiLevelType w:val="hybridMultilevel"/>
    <w:tmpl w:val="3BCA1C30"/>
    <w:lvl w:ilvl="0" w:tplc="B48E620E">
      <w:start w:val="1"/>
      <w:numFmt w:val="lowerLetter"/>
      <w:lvlText w:val="(%1)"/>
      <w:lvlJc w:val="left"/>
      <w:pPr>
        <w:ind w:left="1080" w:hanging="360"/>
      </w:pPr>
      <w:rPr>
        <w:rFonts w:hint="default"/>
        <w:i w:val="0"/>
      </w:rPr>
    </w:lvl>
    <w:lvl w:ilvl="1" w:tplc="4FC0F02C" w:tentative="1">
      <w:start w:val="1"/>
      <w:numFmt w:val="lowerLetter"/>
      <w:lvlText w:val="%2."/>
      <w:lvlJc w:val="left"/>
      <w:pPr>
        <w:ind w:left="1800" w:hanging="360"/>
      </w:pPr>
    </w:lvl>
    <w:lvl w:ilvl="2" w:tplc="86665D12" w:tentative="1">
      <w:start w:val="1"/>
      <w:numFmt w:val="lowerRoman"/>
      <w:lvlText w:val="%3."/>
      <w:lvlJc w:val="right"/>
      <w:pPr>
        <w:ind w:left="2520" w:hanging="180"/>
      </w:pPr>
    </w:lvl>
    <w:lvl w:ilvl="3" w:tplc="E11EF970" w:tentative="1">
      <w:start w:val="1"/>
      <w:numFmt w:val="decimal"/>
      <w:lvlText w:val="%4."/>
      <w:lvlJc w:val="left"/>
      <w:pPr>
        <w:ind w:left="3240" w:hanging="360"/>
      </w:pPr>
    </w:lvl>
    <w:lvl w:ilvl="4" w:tplc="C5AE46F4" w:tentative="1">
      <w:start w:val="1"/>
      <w:numFmt w:val="lowerLetter"/>
      <w:lvlText w:val="%5."/>
      <w:lvlJc w:val="left"/>
      <w:pPr>
        <w:ind w:left="3960" w:hanging="360"/>
      </w:pPr>
    </w:lvl>
    <w:lvl w:ilvl="5" w:tplc="4AB458AE" w:tentative="1">
      <w:start w:val="1"/>
      <w:numFmt w:val="lowerRoman"/>
      <w:lvlText w:val="%6."/>
      <w:lvlJc w:val="right"/>
      <w:pPr>
        <w:ind w:left="4680" w:hanging="180"/>
      </w:pPr>
    </w:lvl>
    <w:lvl w:ilvl="6" w:tplc="5D34141A" w:tentative="1">
      <w:start w:val="1"/>
      <w:numFmt w:val="decimal"/>
      <w:lvlText w:val="%7."/>
      <w:lvlJc w:val="left"/>
      <w:pPr>
        <w:ind w:left="5400" w:hanging="360"/>
      </w:pPr>
    </w:lvl>
    <w:lvl w:ilvl="7" w:tplc="AD982810" w:tentative="1">
      <w:start w:val="1"/>
      <w:numFmt w:val="lowerLetter"/>
      <w:lvlText w:val="%8."/>
      <w:lvlJc w:val="left"/>
      <w:pPr>
        <w:ind w:left="6120" w:hanging="360"/>
      </w:pPr>
    </w:lvl>
    <w:lvl w:ilvl="8" w:tplc="5A0E5230" w:tentative="1">
      <w:start w:val="1"/>
      <w:numFmt w:val="lowerRoman"/>
      <w:lvlText w:val="%9."/>
      <w:lvlJc w:val="right"/>
      <w:pPr>
        <w:ind w:left="6840" w:hanging="180"/>
      </w:pPr>
    </w:lvl>
  </w:abstractNum>
  <w:abstractNum w:abstractNumId="21" w15:restartNumberingAfterBreak="0">
    <w:nsid w:val="498E1502"/>
    <w:multiLevelType w:val="multilevel"/>
    <w:tmpl w:val="55D43D44"/>
    <w:lvl w:ilvl="0">
      <w:start w:val="1"/>
      <w:numFmt w:val="bullet"/>
      <w:lvlText w:val=""/>
      <w:lvlPicBulletId w:val="2"/>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9D1B84"/>
    <w:multiLevelType w:val="multilevel"/>
    <w:tmpl w:val="2766DEE4"/>
    <w:lvl w:ilvl="0">
      <w:start w:val="1"/>
      <w:numFmt w:val="bullet"/>
      <w:lvlText w:val=""/>
      <w:lvlJc w:val="left"/>
      <w:pPr>
        <w:tabs>
          <w:tab w:val="num" w:pos="792"/>
        </w:tabs>
        <w:ind w:left="792" w:hanging="72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5C6F524A"/>
    <w:multiLevelType w:val="hybridMultilevel"/>
    <w:tmpl w:val="D53AC844"/>
    <w:lvl w:ilvl="0" w:tplc="73B2EF36">
      <w:start w:val="1"/>
      <w:numFmt w:val="lowerLetter"/>
      <w:lvlText w:val="(%1)"/>
      <w:lvlJc w:val="left"/>
      <w:pPr>
        <w:ind w:left="2520" w:hanging="360"/>
      </w:pPr>
      <w:rPr>
        <w:rFonts w:hint="default"/>
      </w:rPr>
    </w:lvl>
    <w:lvl w:ilvl="1" w:tplc="69F8D904" w:tentative="1">
      <w:start w:val="1"/>
      <w:numFmt w:val="lowerLetter"/>
      <w:lvlText w:val="%2."/>
      <w:lvlJc w:val="left"/>
      <w:pPr>
        <w:ind w:left="3240" w:hanging="360"/>
      </w:pPr>
    </w:lvl>
    <w:lvl w:ilvl="2" w:tplc="EB2E0576" w:tentative="1">
      <w:start w:val="1"/>
      <w:numFmt w:val="lowerRoman"/>
      <w:lvlText w:val="%3."/>
      <w:lvlJc w:val="right"/>
      <w:pPr>
        <w:ind w:left="3960" w:hanging="180"/>
      </w:pPr>
    </w:lvl>
    <w:lvl w:ilvl="3" w:tplc="BD969514" w:tentative="1">
      <w:start w:val="1"/>
      <w:numFmt w:val="decimal"/>
      <w:lvlText w:val="%4."/>
      <w:lvlJc w:val="left"/>
      <w:pPr>
        <w:ind w:left="4680" w:hanging="360"/>
      </w:pPr>
    </w:lvl>
    <w:lvl w:ilvl="4" w:tplc="C4020DBE" w:tentative="1">
      <w:start w:val="1"/>
      <w:numFmt w:val="lowerLetter"/>
      <w:lvlText w:val="%5."/>
      <w:lvlJc w:val="left"/>
      <w:pPr>
        <w:ind w:left="5400" w:hanging="360"/>
      </w:pPr>
    </w:lvl>
    <w:lvl w:ilvl="5" w:tplc="87EA87CA" w:tentative="1">
      <w:start w:val="1"/>
      <w:numFmt w:val="lowerRoman"/>
      <w:lvlText w:val="%6."/>
      <w:lvlJc w:val="right"/>
      <w:pPr>
        <w:ind w:left="6120" w:hanging="180"/>
      </w:pPr>
    </w:lvl>
    <w:lvl w:ilvl="6" w:tplc="F620AF52" w:tentative="1">
      <w:start w:val="1"/>
      <w:numFmt w:val="decimal"/>
      <w:lvlText w:val="%7."/>
      <w:lvlJc w:val="left"/>
      <w:pPr>
        <w:ind w:left="6840" w:hanging="360"/>
      </w:pPr>
    </w:lvl>
    <w:lvl w:ilvl="7" w:tplc="70CE1646" w:tentative="1">
      <w:start w:val="1"/>
      <w:numFmt w:val="lowerLetter"/>
      <w:lvlText w:val="%8."/>
      <w:lvlJc w:val="left"/>
      <w:pPr>
        <w:ind w:left="7560" w:hanging="360"/>
      </w:pPr>
    </w:lvl>
    <w:lvl w:ilvl="8" w:tplc="B8B219D8" w:tentative="1">
      <w:start w:val="1"/>
      <w:numFmt w:val="lowerRoman"/>
      <w:lvlText w:val="%9."/>
      <w:lvlJc w:val="right"/>
      <w:pPr>
        <w:ind w:left="8280" w:hanging="180"/>
      </w:pPr>
    </w:lvl>
  </w:abstractNum>
  <w:abstractNum w:abstractNumId="24" w15:restartNumberingAfterBreak="0">
    <w:nsid w:val="5F272ACE"/>
    <w:multiLevelType w:val="hybridMultilevel"/>
    <w:tmpl w:val="30129B00"/>
    <w:lvl w:ilvl="0" w:tplc="DD12A9A6">
      <w:start w:val="1"/>
      <w:numFmt w:val="upperLetter"/>
      <w:lvlText w:val="%1-"/>
      <w:lvlJc w:val="left"/>
      <w:pPr>
        <w:ind w:left="720" w:hanging="360"/>
      </w:pPr>
      <w:rPr>
        <w:rFonts w:hint="default"/>
      </w:rPr>
    </w:lvl>
    <w:lvl w:ilvl="1" w:tplc="B274B43C" w:tentative="1">
      <w:start w:val="1"/>
      <w:numFmt w:val="lowerLetter"/>
      <w:lvlText w:val="%2."/>
      <w:lvlJc w:val="left"/>
      <w:pPr>
        <w:ind w:left="1440" w:hanging="360"/>
      </w:pPr>
    </w:lvl>
    <w:lvl w:ilvl="2" w:tplc="19342F6A" w:tentative="1">
      <w:start w:val="1"/>
      <w:numFmt w:val="lowerRoman"/>
      <w:lvlText w:val="%3."/>
      <w:lvlJc w:val="right"/>
      <w:pPr>
        <w:ind w:left="2160" w:hanging="180"/>
      </w:pPr>
    </w:lvl>
    <w:lvl w:ilvl="3" w:tplc="6C3CC7C0" w:tentative="1">
      <w:start w:val="1"/>
      <w:numFmt w:val="decimal"/>
      <w:lvlText w:val="%4."/>
      <w:lvlJc w:val="left"/>
      <w:pPr>
        <w:ind w:left="2880" w:hanging="360"/>
      </w:pPr>
    </w:lvl>
    <w:lvl w:ilvl="4" w:tplc="C9844E52" w:tentative="1">
      <w:start w:val="1"/>
      <w:numFmt w:val="lowerLetter"/>
      <w:lvlText w:val="%5."/>
      <w:lvlJc w:val="left"/>
      <w:pPr>
        <w:ind w:left="3600" w:hanging="360"/>
      </w:pPr>
    </w:lvl>
    <w:lvl w:ilvl="5" w:tplc="1AC8D664" w:tentative="1">
      <w:start w:val="1"/>
      <w:numFmt w:val="lowerRoman"/>
      <w:lvlText w:val="%6."/>
      <w:lvlJc w:val="right"/>
      <w:pPr>
        <w:ind w:left="4320" w:hanging="180"/>
      </w:pPr>
    </w:lvl>
    <w:lvl w:ilvl="6" w:tplc="699CE644" w:tentative="1">
      <w:start w:val="1"/>
      <w:numFmt w:val="decimal"/>
      <w:lvlText w:val="%7."/>
      <w:lvlJc w:val="left"/>
      <w:pPr>
        <w:ind w:left="5040" w:hanging="360"/>
      </w:pPr>
    </w:lvl>
    <w:lvl w:ilvl="7" w:tplc="676864A0" w:tentative="1">
      <w:start w:val="1"/>
      <w:numFmt w:val="lowerLetter"/>
      <w:lvlText w:val="%8."/>
      <w:lvlJc w:val="left"/>
      <w:pPr>
        <w:ind w:left="5760" w:hanging="360"/>
      </w:pPr>
    </w:lvl>
    <w:lvl w:ilvl="8" w:tplc="C42A2648" w:tentative="1">
      <w:start w:val="1"/>
      <w:numFmt w:val="lowerRoman"/>
      <w:lvlText w:val="%9."/>
      <w:lvlJc w:val="right"/>
      <w:pPr>
        <w:ind w:left="6480" w:hanging="180"/>
      </w:pPr>
    </w:lvl>
  </w:abstractNum>
  <w:abstractNum w:abstractNumId="25" w15:restartNumberingAfterBreak="0">
    <w:nsid w:val="5F6041FB"/>
    <w:multiLevelType w:val="hybridMultilevel"/>
    <w:tmpl w:val="B4FE20CE"/>
    <w:lvl w:ilvl="0" w:tplc="1078225E">
      <w:start w:val="1"/>
      <w:numFmt w:val="lowerLetter"/>
      <w:lvlText w:val="(%1)"/>
      <w:lvlJc w:val="left"/>
      <w:pPr>
        <w:ind w:left="1440" w:hanging="72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6" w15:restartNumberingAfterBreak="0">
    <w:nsid w:val="609C0DCC"/>
    <w:multiLevelType w:val="multilevel"/>
    <w:tmpl w:val="F11C8164"/>
    <w:lvl w:ilvl="0">
      <w:start w:val="1"/>
      <w:numFmt w:val="decimal"/>
      <w:lvlText w:val="[%1]"/>
      <w:lvlJc w:val="left"/>
      <w:pPr>
        <w:tabs>
          <w:tab w:val="num" w:pos="360"/>
        </w:tabs>
        <w:ind w:left="0" w:firstLine="0"/>
      </w:pPr>
      <w:rPr>
        <w:rFonts w:ascii="Arial" w:hAnsi="Arial" w:hint="default"/>
        <w:b w:val="0"/>
        <w:i w:val="0"/>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63D9440F"/>
    <w:multiLevelType w:val="hybridMultilevel"/>
    <w:tmpl w:val="5726CAB6"/>
    <w:lvl w:ilvl="0" w:tplc="971E0224">
      <w:start w:val="1"/>
      <w:numFmt w:val="upperLetter"/>
      <w:lvlText w:val="%1-"/>
      <w:lvlJc w:val="left"/>
      <w:pPr>
        <w:ind w:left="720" w:hanging="360"/>
      </w:pPr>
      <w:rPr>
        <w:rFonts w:hint="default"/>
      </w:rPr>
    </w:lvl>
    <w:lvl w:ilvl="1" w:tplc="995E1410" w:tentative="1">
      <w:start w:val="1"/>
      <w:numFmt w:val="lowerLetter"/>
      <w:lvlText w:val="%2."/>
      <w:lvlJc w:val="left"/>
      <w:pPr>
        <w:ind w:left="1440" w:hanging="360"/>
      </w:pPr>
    </w:lvl>
    <w:lvl w:ilvl="2" w:tplc="04F2F3D8" w:tentative="1">
      <w:start w:val="1"/>
      <w:numFmt w:val="lowerRoman"/>
      <w:lvlText w:val="%3."/>
      <w:lvlJc w:val="right"/>
      <w:pPr>
        <w:ind w:left="2160" w:hanging="180"/>
      </w:pPr>
    </w:lvl>
    <w:lvl w:ilvl="3" w:tplc="461E6602" w:tentative="1">
      <w:start w:val="1"/>
      <w:numFmt w:val="decimal"/>
      <w:lvlText w:val="%4."/>
      <w:lvlJc w:val="left"/>
      <w:pPr>
        <w:ind w:left="2880" w:hanging="360"/>
      </w:pPr>
    </w:lvl>
    <w:lvl w:ilvl="4" w:tplc="D96E032C" w:tentative="1">
      <w:start w:val="1"/>
      <w:numFmt w:val="lowerLetter"/>
      <w:lvlText w:val="%5."/>
      <w:lvlJc w:val="left"/>
      <w:pPr>
        <w:ind w:left="3600" w:hanging="360"/>
      </w:pPr>
    </w:lvl>
    <w:lvl w:ilvl="5" w:tplc="F9E8CDFA" w:tentative="1">
      <w:start w:val="1"/>
      <w:numFmt w:val="lowerRoman"/>
      <w:lvlText w:val="%6."/>
      <w:lvlJc w:val="right"/>
      <w:pPr>
        <w:ind w:left="4320" w:hanging="180"/>
      </w:pPr>
    </w:lvl>
    <w:lvl w:ilvl="6" w:tplc="95B84372" w:tentative="1">
      <w:start w:val="1"/>
      <w:numFmt w:val="decimal"/>
      <w:lvlText w:val="%7."/>
      <w:lvlJc w:val="left"/>
      <w:pPr>
        <w:ind w:left="5040" w:hanging="360"/>
      </w:pPr>
    </w:lvl>
    <w:lvl w:ilvl="7" w:tplc="E438BBBA" w:tentative="1">
      <w:start w:val="1"/>
      <w:numFmt w:val="lowerLetter"/>
      <w:lvlText w:val="%8."/>
      <w:lvlJc w:val="left"/>
      <w:pPr>
        <w:ind w:left="5760" w:hanging="360"/>
      </w:pPr>
    </w:lvl>
    <w:lvl w:ilvl="8" w:tplc="64DA5DE4" w:tentative="1">
      <w:start w:val="1"/>
      <w:numFmt w:val="lowerRoman"/>
      <w:lvlText w:val="%9."/>
      <w:lvlJc w:val="right"/>
      <w:pPr>
        <w:ind w:left="6480" w:hanging="180"/>
      </w:pPr>
    </w:lvl>
  </w:abstractNum>
  <w:abstractNum w:abstractNumId="28" w15:restartNumberingAfterBreak="0">
    <w:nsid w:val="6BA31604"/>
    <w:multiLevelType w:val="hybridMultilevel"/>
    <w:tmpl w:val="4866E7D2"/>
    <w:lvl w:ilvl="0" w:tplc="AFC0FC38">
      <w:start w:val="1"/>
      <w:numFmt w:val="lowerLetter"/>
      <w:lvlText w:val="(%1)"/>
      <w:lvlJc w:val="left"/>
      <w:pPr>
        <w:ind w:left="1080" w:hanging="360"/>
      </w:pPr>
      <w:rPr>
        <w:rFonts w:hint="default"/>
      </w:rPr>
    </w:lvl>
    <w:lvl w:ilvl="1" w:tplc="74708498" w:tentative="1">
      <w:start w:val="1"/>
      <w:numFmt w:val="lowerLetter"/>
      <w:lvlText w:val="%2."/>
      <w:lvlJc w:val="left"/>
      <w:pPr>
        <w:ind w:left="1800" w:hanging="360"/>
      </w:pPr>
    </w:lvl>
    <w:lvl w:ilvl="2" w:tplc="1BA6F2D8" w:tentative="1">
      <w:start w:val="1"/>
      <w:numFmt w:val="lowerRoman"/>
      <w:lvlText w:val="%3."/>
      <w:lvlJc w:val="right"/>
      <w:pPr>
        <w:ind w:left="2520" w:hanging="180"/>
      </w:pPr>
    </w:lvl>
    <w:lvl w:ilvl="3" w:tplc="04466C0C" w:tentative="1">
      <w:start w:val="1"/>
      <w:numFmt w:val="decimal"/>
      <w:lvlText w:val="%4."/>
      <w:lvlJc w:val="left"/>
      <w:pPr>
        <w:ind w:left="3240" w:hanging="360"/>
      </w:pPr>
    </w:lvl>
    <w:lvl w:ilvl="4" w:tplc="8C30ADD0" w:tentative="1">
      <w:start w:val="1"/>
      <w:numFmt w:val="lowerLetter"/>
      <w:lvlText w:val="%5."/>
      <w:lvlJc w:val="left"/>
      <w:pPr>
        <w:ind w:left="3960" w:hanging="360"/>
      </w:pPr>
    </w:lvl>
    <w:lvl w:ilvl="5" w:tplc="AE78C154" w:tentative="1">
      <w:start w:val="1"/>
      <w:numFmt w:val="lowerRoman"/>
      <w:lvlText w:val="%6."/>
      <w:lvlJc w:val="right"/>
      <w:pPr>
        <w:ind w:left="4680" w:hanging="180"/>
      </w:pPr>
    </w:lvl>
    <w:lvl w:ilvl="6" w:tplc="4336E814" w:tentative="1">
      <w:start w:val="1"/>
      <w:numFmt w:val="decimal"/>
      <w:lvlText w:val="%7."/>
      <w:lvlJc w:val="left"/>
      <w:pPr>
        <w:ind w:left="5400" w:hanging="360"/>
      </w:pPr>
    </w:lvl>
    <w:lvl w:ilvl="7" w:tplc="D44C10D6" w:tentative="1">
      <w:start w:val="1"/>
      <w:numFmt w:val="lowerLetter"/>
      <w:lvlText w:val="%8."/>
      <w:lvlJc w:val="left"/>
      <w:pPr>
        <w:ind w:left="6120" w:hanging="360"/>
      </w:pPr>
    </w:lvl>
    <w:lvl w:ilvl="8" w:tplc="347E31AE" w:tentative="1">
      <w:start w:val="1"/>
      <w:numFmt w:val="lowerRoman"/>
      <w:lvlText w:val="%9."/>
      <w:lvlJc w:val="right"/>
      <w:pPr>
        <w:ind w:left="6840" w:hanging="180"/>
      </w:pPr>
    </w:lvl>
  </w:abstractNum>
  <w:num w:numId="1">
    <w:abstractNumId w:val="26"/>
  </w:num>
  <w:num w:numId="2">
    <w:abstractNumId w:val="26"/>
  </w:num>
  <w:num w:numId="3">
    <w:abstractNumId w:val="26"/>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6"/>
  </w:num>
  <w:num w:numId="15">
    <w:abstractNumId w:val="26"/>
  </w:num>
  <w:num w:numId="16">
    <w:abstractNumId w:val="26"/>
  </w:num>
  <w:num w:numId="17">
    <w:abstractNumId w:val="22"/>
  </w:num>
  <w:num w:numId="18">
    <w:abstractNumId w:val="13"/>
  </w:num>
  <w:num w:numId="19">
    <w:abstractNumId w:val="11"/>
  </w:num>
  <w:num w:numId="20">
    <w:abstractNumId w:val="16"/>
  </w:num>
  <w:num w:numId="21">
    <w:abstractNumId w:val="27"/>
  </w:num>
  <w:num w:numId="22">
    <w:abstractNumId w:val="24"/>
  </w:num>
  <w:num w:numId="23">
    <w:abstractNumId w:val="14"/>
  </w:num>
  <w:num w:numId="24">
    <w:abstractNumId w:val="17"/>
  </w:num>
  <w:num w:numId="25">
    <w:abstractNumId w:val="21"/>
  </w:num>
  <w:num w:numId="26">
    <w:abstractNumId w:val="10"/>
  </w:num>
  <w:num w:numId="27">
    <w:abstractNumId w:val="12"/>
  </w:num>
  <w:num w:numId="28">
    <w:abstractNumId w:val="18"/>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20"/>
  </w:num>
  <w:num w:numId="32">
    <w:abstractNumId w:val="28"/>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23"/>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3"/>
  </w:num>
  <w:num w:numId="41">
    <w:abstractNumId w:val="13"/>
  </w:num>
  <w:num w:numId="42">
    <w:abstractNumId w:val="13"/>
  </w:num>
  <w:num w:numId="43">
    <w:abstractNumId w:val="13"/>
  </w:num>
  <w:num w:numId="44">
    <w:abstractNumId w:val="13"/>
  </w:num>
  <w:num w:numId="45">
    <w:abstractNumId w:val="13"/>
  </w:num>
  <w:num w:numId="46">
    <w:abstractNumId w:val="13"/>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nNBChoix" w:val="3"/>
    <w:docVar w:name="MotifJuge1" w:val="MOTIFS DU JUGE"/>
    <w:docVar w:name="MotifJuge2" w:val="MOTIFS DU JUGE"/>
    <w:docVar w:name="MotifJuge3" w:val="MOTIFS DU JUGE"/>
    <w:docVar w:name="NomFamJuge1" w:val="MAINVILLE"/>
    <w:docVar w:name="NomFamJuge2" w:val="MOORE"/>
    <w:docVar w:name="NomFamJuge3" w:val="COURNOYER"/>
    <w:docVar w:name="NomFamJuge4" w:val="MAILHOT"/>
    <w:docVar w:name="NomFamJuge5" w:val="BAUDOUIN"/>
    <w:docVar w:name="QteJuge1" w:val=", J.C.A."/>
    <w:docVar w:name="QteJuge2" w:val=", J.C.A."/>
    <w:docVar w:name="QteJuge3" w:val=", J.C.A."/>
    <w:docVar w:name="stPremiereFois" w:val="Non"/>
  </w:docVars>
  <w:rsids>
    <w:rsidRoot w:val="00F145CD"/>
    <w:rsid w:val="00001573"/>
    <w:rsid w:val="000022C1"/>
    <w:rsid w:val="00006963"/>
    <w:rsid w:val="00006A65"/>
    <w:rsid w:val="00013E50"/>
    <w:rsid w:val="000160EC"/>
    <w:rsid w:val="00020C9E"/>
    <w:rsid w:val="00022643"/>
    <w:rsid w:val="00023158"/>
    <w:rsid w:val="00026602"/>
    <w:rsid w:val="00030400"/>
    <w:rsid w:val="00036BA1"/>
    <w:rsid w:val="000410D0"/>
    <w:rsid w:val="00044D7D"/>
    <w:rsid w:val="00045E83"/>
    <w:rsid w:val="00050408"/>
    <w:rsid w:val="00052993"/>
    <w:rsid w:val="00066932"/>
    <w:rsid w:val="000711A4"/>
    <w:rsid w:val="00073A96"/>
    <w:rsid w:val="0007513F"/>
    <w:rsid w:val="00075CA2"/>
    <w:rsid w:val="0007649E"/>
    <w:rsid w:val="0007714F"/>
    <w:rsid w:val="00080AE0"/>
    <w:rsid w:val="00087F09"/>
    <w:rsid w:val="00090F01"/>
    <w:rsid w:val="00093926"/>
    <w:rsid w:val="00094320"/>
    <w:rsid w:val="000963E8"/>
    <w:rsid w:val="000A2B7D"/>
    <w:rsid w:val="000A2DA2"/>
    <w:rsid w:val="000A3057"/>
    <w:rsid w:val="000A352F"/>
    <w:rsid w:val="000A3CFB"/>
    <w:rsid w:val="000A3F0E"/>
    <w:rsid w:val="000A3FB1"/>
    <w:rsid w:val="000A53D4"/>
    <w:rsid w:val="000B0980"/>
    <w:rsid w:val="000B240B"/>
    <w:rsid w:val="000B2B35"/>
    <w:rsid w:val="000B2ECB"/>
    <w:rsid w:val="000B5BA4"/>
    <w:rsid w:val="000B5D76"/>
    <w:rsid w:val="000C0BF7"/>
    <w:rsid w:val="000C25BA"/>
    <w:rsid w:val="000C3412"/>
    <w:rsid w:val="000C48C2"/>
    <w:rsid w:val="000C60E3"/>
    <w:rsid w:val="000D03C4"/>
    <w:rsid w:val="000D0AB6"/>
    <w:rsid w:val="000D2294"/>
    <w:rsid w:val="000D45E6"/>
    <w:rsid w:val="000D5A10"/>
    <w:rsid w:val="000D601A"/>
    <w:rsid w:val="000D6BEC"/>
    <w:rsid w:val="000D715D"/>
    <w:rsid w:val="000E26B1"/>
    <w:rsid w:val="000E3679"/>
    <w:rsid w:val="000E43CC"/>
    <w:rsid w:val="000E5E97"/>
    <w:rsid w:val="000E71D5"/>
    <w:rsid w:val="000E75B6"/>
    <w:rsid w:val="000F067C"/>
    <w:rsid w:val="000F0EA0"/>
    <w:rsid w:val="000F1040"/>
    <w:rsid w:val="000F1219"/>
    <w:rsid w:val="000F1547"/>
    <w:rsid w:val="000F1B60"/>
    <w:rsid w:val="000F2CBA"/>
    <w:rsid w:val="000F2EC4"/>
    <w:rsid w:val="000F373A"/>
    <w:rsid w:val="000F5605"/>
    <w:rsid w:val="000F79D4"/>
    <w:rsid w:val="00107467"/>
    <w:rsid w:val="001127C4"/>
    <w:rsid w:val="00116102"/>
    <w:rsid w:val="00116BA3"/>
    <w:rsid w:val="001171D1"/>
    <w:rsid w:val="0012066F"/>
    <w:rsid w:val="00122A7A"/>
    <w:rsid w:val="0012446C"/>
    <w:rsid w:val="00125293"/>
    <w:rsid w:val="001268F6"/>
    <w:rsid w:val="0013231B"/>
    <w:rsid w:val="001332E7"/>
    <w:rsid w:val="001355FA"/>
    <w:rsid w:val="00146098"/>
    <w:rsid w:val="001466E0"/>
    <w:rsid w:val="001512CB"/>
    <w:rsid w:val="001555C4"/>
    <w:rsid w:val="00155E82"/>
    <w:rsid w:val="00157397"/>
    <w:rsid w:val="0016000C"/>
    <w:rsid w:val="001608B4"/>
    <w:rsid w:val="001615E0"/>
    <w:rsid w:val="00170A62"/>
    <w:rsid w:val="00170B4B"/>
    <w:rsid w:val="00170BFF"/>
    <w:rsid w:val="00171199"/>
    <w:rsid w:val="00172CFA"/>
    <w:rsid w:val="00174CED"/>
    <w:rsid w:val="00175278"/>
    <w:rsid w:val="0018003B"/>
    <w:rsid w:val="00181292"/>
    <w:rsid w:val="00184D03"/>
    <w:rsid w:val="00186304"/>
    <w:rsid w:val="0019081D"/>
    <w:rsid w:val="0019187E"/>
    <w:rsid w:val="0019250D"/>
    <w:rsid w:val="00192CDB"/>
    <w:rsid w:val="00193840"/>
    <w:rsid w:val="00193BCA"/>
    <w:rsid w:val="00194053"/>
    <w:rsid w:val="00197420"/>
    <w:rsid w:val="001A2DB9"/>
    <w:rsid w:val="001A349A"/>
    <w:rsid w:val="001A4A72"/>
    <w:rsid w:val="001A6EB5"/>
    <w:rsid w:val="001B05EE"/>
    <w:rsid w:val="001B0E9D"/>
    <w:rsid w:val="001B2750"/>
    <w:rsid w:val="001B528D"/>
    <w:rsid w:val="001B69B9"/>
    <w:rsid w:val="001B7683"/>
    <w:rsid w:val="001C0DAE"/>
    <w:rsid w:val="001C1904"/>
    <w:rsid w:val="001C1AF5"/>
    <w:rsid w:val="001C2493"/>
    <w:rsid w:val="001C27F5"/>
    <w:rsid w:val="001C320C"/>
    <w:rsid w:val="001C368D"/>
    <w:rsid w:val="001C36C1"/>
    <w:rsid w:val="001C410D"/>
    <w:rsid w:val="001C649F"/>
    <w:rsid w:val="001C679F"/>
    <w:rsid w:val="001D0B72"/>
    <w:rsid w:val="001D2134"/>
    <w:rsid w:val="001D22C8"/>
    <w:rsid w:val="001D5DCD"/>
    <w:rsid w:val="001E0400"/>
    <w:rsid w:val="001E1F8B"/>
    <w:rsid w:val="001E5ED8"/>
    <w:rsid w:val="001F2ABF"/>
    <w:rsid w:val="001F2E28"/>
    <w:rsid w:val="001F42D5"/>
    <w:rsid w:val="001F4816"/>
    <w:rsid w:val="001F5EBD"/>
    <w:rsid w:val="001F643D"/>
    <w:rsid w:val="001F7107"/>
    <w:rsid w:val="001F7655"/>
    <w:rsid w:val="00200924"/>
    <w:rsid w:val="0020152B"/>
    <w:rsid w:val="00202CB0"/>
    <w:rsid w:val="00204705"/>
    <w:rsid w:val="0020691F"/>
    <w:rsid w:val="00207B7F"/>
    <w:rsid w:val="00207E19"/>
    <w:rsid w:val="002121C7"/>
    <w:rsid w:val="0021261A"/>
    <w:rsid w:val="00217386"/>
    <w:rsid w:val="00221322"/>
    <w:rsid w:val="00223D83"/>
    <w:rsid w:val="002252DD"/>
    <w:rsid w:val="00225307"/>
    <w:rsid w:val="002277C3"/>
    <w:rsid w:val="00234160"/>
    <w:rsid w:val="0023712B"/>
    <w:rsid w:val="00237B50"/>
    <w:rsid w:val="0024134B"/>
    <w:rsid w:val="00242A1D"/>
    <w:rsid w:val="0024487E"/>
    <w:rsid w:val="00245F96"/>
    <w:rsid w:val="00246C30"/>
    <w:rsid w:val="00247A54"/>
    <w:rsid w:val="002503AF"/>
    <w:rsid w:val="00255954"/>
    <w:rsid w:val="0025773A"/>
    <w:rsid w:val="00260C1F"/>
    <w:rsid w:val="00260C70"/>
    <w:rsid w:val="0026165C"/>
    <w:rsid w:val="00261D3B"/>
    <w:rsid w:val="00262C17"/>
    <w:rsid w:val="00265E9C"/>
    <w:rsid w:val="002660FB"/>
    <w:rsid w:val="00266139"/>
    <w:rsid w:val="00267682"/>
    <w:rsid w:val="00267787"/>
    <w:rsid w:val="00267D63"/>
    <w:rsid w:val="00267DDB"/>
    <w:rsid w:val="00272943"/>
    <w:rsid w:val="00273A48"/>
    <w:rsid w:val="00277A01"/>
    <w:rsid w:val="0028242B"/>
    <w:rsid w:val="002845E8"/>
    <w:rsid w:val="00284C62"/>
    <w:rsid w:val="002905C2"/>
    <w:rsid w:val="002910E0"/>
    <w:rsid w:val="00291239"/>
    <w:rsid w:val="00291811"/>
    <w:rsid w:val="00293B45"/>
    <w:rsid w:val="00293F6A"/>
    <w:rsid w:val="00294A3E"/>
    <w:rsid w:val="002963AD"/>
    <w:rsid w:val="002A020D"/>
    <w:rsid w:val="002A0CF6"/>
    <w:rsid w:val="002A1009"/>
    <w:rsid w:val="002A2C92"/>
    <w:rsid w:val="002A608C"/>
    <w:rsid w:val="002B02FC"/>
    <w:rsid w:val="002B0EAD"/>
    <w:rsid w:val="002B1660"/>
    <w:rsid w:val="002B7D62"/>
    <w:rsid w:val="002C0D5A"/>
    <w:rsid w:val="002C465D"/>
    <w:rsid w:val="002C52C5"/>
    <w:rsid w:val="002C591C"/>
    <w:rsid w:val="002C7BE4"/>
    <w:rsid w:val="002D0C37"/>
    <w:rsid w:val="002D3733"/>
    <w:rsid w:val="002D51A4"/>
    <w:rsid w:val="002D63E0"/>
    <w:rsid w:val="002E3DF3"/>
    <w:rsid w:val="002E4749"/>
    <w:rsid w:val="002E4B2D"/>
    <w:rsid w:val="002F20AB"/>
    <w:rsid w:val="002F2155"/>
    <w:rsid w:val="002F33F4"/>
    <w:rsid w:val="002F37D4"/>
    <w:rsid w:val="002F48F5"/>
    <w:rsid w:val="002F5AED"/>
    <w:rsid w:val="002F72A9"/>
    <w:rsid w:val="0030019C"/>
    <w:rsid w:val="0030383F"/>
    <w:rsid w:val="00303DB4"/>
    <w:rsid w:val="00305A4E"/>
    <w:rsid w:val="00306D3B"/>
    <w:rsid w:val="003075CA"/>
    <w:rsid w:val="00313DFB"/>
    <w:rsid w:val="00315BCF"/>
    <w:rsid w:val="00316E0A"/>
    <w:rsid w:val="00320ECE"/>
    <w:rsid w:val="003214FC"/>
    <w:rsid w:val="00321CB4"/>
    <w:rsid w:val="00322A34"/>
    <w:rsid w:val="00322B97"/>
    <w:rsid w:val="00322FF1"/>
    <w:rsid w:val="00323F1C"/>
    <w:rsid w:val="00326DBB"/>
    <w:rsid w:val="00326DEB"/>
    <w:rsid w:val="003274CC"/>
    <w:rsid w:val="003315D3"/>
    <w:rsid w:val="003330AE"/>
    <w:rsid w:val="0033322F"/>
    <w:rsid w:val="00333C44"/>
    <w:rsid w:val="00335917"/>
    <w:rsid w:val="00336596"/>
    <w:rsid w:val="003365F4"/>
    <w:rsid w:val="003375E5"/>
    <w:rsid w:val="00337B4A"/>
    <w:rsid w:val="00341F90"/>
    <w:rsid w:val="003448B5"/>
    <w:rsid w:val="003453C7"/>
    <w:rsid w:val="00350EB3"/>
    <w:rsid w:val="00351DA7"/>
    <w:rsid w:val="003521B8"/>
    <w:rsid w:val="0035498D"/>
    <w:rsid w:val="00355F1D"/>
    <w:rsid w:val="003562A3"/>
    <w:rsid w:val="00356503"/>
    <w:rsid w:val="00356ECC"/>
    <w:rsid w:val="0035703D"/>
    <w:rsid w:val="00362AA9"/>
    <w:rsid w:val="00367AEE"/>
    <w:rsid w:val="00367C06"/>
    <w:rsid w:val="00371F8F"/>
    <w:rsid w:val="00376F69"/>
    <w:rsid w:val="003774F5"/>
    <w:rsid w:val="00377EB2"/>
    <w:rsid w:val="00377F03"/>
    <w:rsid w:val="0038219C"/>
    <w:rsid w:val="003823FA"/>
    <w:rsid w:val="0038311A"/>
    <w:rsid w:val="00383282"/>
    <w:rsid w:val="003835DB"/>
    <w:rsid w:val="00386E06"/>
    <w:rsid w:val="003878CC"/>
    <w:rsid w:val="00387F19"/>
    <w:rsid w:val="003900C6"/>
    <w:rsid w:val="003911C1"/>
    <w:rsid w:val="00392535"/>
    <w:rsid w:val="00393F88"/>
    <w:rsid w:val="003952DE"/>
    <w:rsid w:val="0039598B"/>
    <w:rsid w:val="00397270"/>
    <w:rsid w:val="00397A28"/>
    <w:rsid w:val="003A04F6"/>
    <w:rsid w:val="003A12EB"/>
    <w:rsid w:val="003A2C9B"/>
    <w:rsid w:val="003A3333"/>
    <w:rsid w:val="003B1D92"/>
    <w:rsid w:val="003B4904"/>
    <w:rsid w:val="003B517B"/>
    <w:rsid w:val="003B61D0"/>
    <w:rsid w:val="003C0405"/>
    <w:rsid w:val="003C12FA"/>
    <w:rsid w:val="003C3BA1"/>
    <w:rsid w:val="003C4FE4"/>
    <w:rsid w:val="003C58D1"/>
    <w:rsid w:val="003C6B01"/>
    <w:rsid w:val="003D106B"/>
    <w:rsid w:val="003D1DEF"/>
    <w:rsid w:val="003D2B85"/>
    <w:rsid w:val="003D3621"/>
    <w:rsid w:val="003E336C"/>
    <w:rsid w:val="003E3DF9"/>
    <w:rsid w:val="003E5FA9"/>
    <w:rsid w:val="003E6723"/>
    <w:rsid w:val="003F0E5E"/>
    <w:rsid w:val="003F4460"/>
    <w:rsid w:val="003F4681"/>
    <w:rsid w:val="003F5DB1"/>
    <w:rsid w:val="003F65E5"/>
    <w:rsid w:val="00401661"/>
    <w:rsid w:val="004044C9"/>
    <w:rsid w:val="00404E56"/>
    <w:rsid w:val="00410E76"/>
    <w:rsid w:val="00410ECD"/>
    <w:rsid w:val="004114AC"/>
    <w:rsid w:val="004127F1"/>
    <w:rsid w:val="0041409F"/>
    <w:rsid w:val="00414351"/>
    <w:rsid w:val="00414410"/>
    <w:rsid w:val="00414C34"/>
    <w:rsid w:val="00414DCB"/>
    <w:rsid w:val="004222BC"/>
    <w:rsid w:val="00423B22"/>
    <w:rsid w:val="00423C76"/>
    <w:rsid w:val="00426CB9"/>
    <w:rsid w:val="0043130C"/>
    <w:rsid w:val="00433184"/>
    <w:rsid w:val="00440B1F"/>
    <w:rsid w:val="00440D02"/>
    <w:rsid w:val="00440F45"/>
    <w:rsid w:val="0044310D"/>
    <w:rsid w:val="00443E02"/>
    <w:rsid w:val="00444730"/>
    <w:rsid w:val="004452AF"/>
    <w:rsid w:val="00446A8E"/>
    <w:rsid w:val="00447518"/>
    <w:rsid w:val="004504CF"/>
    <w:rsid w:val="004526D5"/>
    <w:rsid w:val="00453196"/>
    <w:rsid w:val="00456E9B"/>
    <w:rsid w:val="004570B8"/>
    <w:rsid w:val="00460429"/>
    <w:rsid w:val="00460D76"/>
    <w:rsid w:val="00462185"/>
    <w:rsid w:val="00462D72"/>
    <w:rsid w:val="0046448B"/>
    <w:rsid w:val="00465065"/>
    <w:rsid w:val="004651C1"/>
    <w:rsid w:val="004668F5"/>
    <w:rsid w:val="0046752E"/>
    <w:rsid w:val="00467567"/>
    <w:rsid w:val="0047095D"/>
    <w:rsid w:val="00470A9B"/>
    <w:rsid w:val="00471FAD"/>
    <w:rsid w:val="0047204B"/>
    <w:rsid w:val="00473050"/>
    <w:rsid w:val="00473F6A"/>
    <w:rsid w:val="0047452A"/>
    <w:rsid w:val="00474F0B"/>
    <w:rsid w:val="0047699E"/>
    <w:rsid w:val="00476EF0"/>
    <w:rsid w:val="00477F35"/>
    <w:rsid w:val="0048070A"/>
    <w:rsid w:val="00480CEB"/>
    <w:rsid w:val="00482B85"/>
    <w:rsid w:val="00484C09"/>
    <w:rsid w:val="0048552B"/>
    <w:rsid w:val="00487F63"/>
    <w:rsid w:val="004914A7"/>
    <w:rsid w:val="00493616"/>
    <w:rsid w:val="00494751"/>
    <w:rsid w:val="00495C42"/>
    <w:rsid w:val="004961D9"/>
    <w:rsid w:val="00497AA1"/>
    <w:rsid w:val="004A0A11"/>
    <w:rsid w:val="004A0CB2"/>
    <w:rsid w:val="004A20E7"/>
    <w:rsid w:val="004A37A8"/>
    <w:rsid w:val="004A57BC"/>
    <w:rsid w:val="004A697C"/>
    <w:rsid w:val="004A6D6E"/>
    <w:rsid w:val="004A7E73"/>
    <w:rsid w:val="004B1D40"/>
    <w:rsid w:val="004B2417"/>
    <w:rsid w:val="004B2EA9"/>
    <w:rsid w:val="004C0DF1"/>
    <w:rsid w:val="004C0E0F"/>
    <w:rsid w:val="004C2086"/>
    <w:rsid w:val="004C35CB"/>
    <w:rsid w:val="004C6B29"/>
    <w:rsid w:val="004C7CB9"/>
    <w:rsid w:val="004D12B4"/>
    <w:rsid w:val="004D1B2F"/>
    <w:rsid w:val="004D23FF"/>
    <w:rsid w:val="004E09F5"/>
    <w:rsid w:val="004F0A5A"/>
    <w:rsid w:val="004F0FB3"/>
    <w:rsid w:val="004F1EB2"/>
    <w:rsid w:val="004F22C4"/>
    <w:rsid w:val="004F2EC7"/>
    <w:rsid w:val="004F6A0F"/>
    <w:rsid w:val="004F73CC"/>
    <w:rsid w:val="005020B1"/>
    <w:rsid w:val="00503B49"/>
    <w:rsid w:val="00503E0B"/>
    <w:rsid w:val="005054B8"/>
    <w:rsid w:val="00505566"/>
    <w:rsid w:val="00506312"/>
    <w:rsid w:val="0050669D"/>
    <w:rsid w:val="005116B0"/>
    <w:rsid w:val="0051434E"/>
    <w:rsid w:val="00515B37"/>
    <w:rsid w:val="00520240"/>
    <w:rsid w:val="005213B7"/>
    <w:rsid w:val="005219AB"/>
    <w:rsid w:val="005247F6"/>
    <w:rsid w:val="00527D24"/>
    <w:rsid w:val="00530664"/>
    <w:rsid w:val="005313FB"/>
    <w:rsid w:val="00536735"/>
    <w:rsid w:val="00541765"/>
    <w:rsid w:val="00541894"/>
    <w:rsid w:val="005422F4"/>
    <w:rsid w:val="00544254"/>
    <w:rsid w:val="00545009"/>
    <w:rsid w:val="00546640"/>
    <w:rsid w:val="005514FA"/>
    <w:rsid w:val="00552750"/>
    <w:rsid w:val="005535E3"/>
    <w:rsid w:val="00555BD1"/>
    <w:rsid w:val="00556330"/>
    <w:rsid w:val="00556378"/>
    <w:rsid w:val="00560BD2"/>
    <w:rsid w:val="00562DF8"/>
    <w:rsid w:val="00572FFF"/>
    <w:rsid w:val="00574335"/>
    <w:rsid w:val="00575B61"/>
    <w:rsid w:val="00575BB4"/>
    <w:rsid w:val="005762AA"/>
    <w:rsid w:val="0058133D"/>
    <w:rsid w:val="00584BE0"/>
    <w:rsid w:val="005858BE"/>
    <w:rsid w:val="005926AF"/>
    <w:rsid w:val="00592A67"/>
    <w:rsid w:val="00595251"/>
    <w:rsid w:val="005974A7"/>
    <w:rsid w:val="005A0782"/>
    <w:rsid w:val="005A753E"/>
    <w:rsid w:val="005A769F"/>
    <w:rsid w:val="005B476E"/>
    <w:rsid w:val="005B4D0C"/>
    <w:rsid w:val="005B6DF2"/>
    <w:rsid w:val="005C1AA1"/>
    <w:rsid w:val="005C4714"/>
    <w:rsid w:val="005C5C41"/>
    <w:rsid w:val="005C617E"/>
    <w:rsid w:val="005D104F"/>
    <w:rsid w:val="005D6883"/>
    <w:rsid w:val="005D6EC9"/>
    <w:rsid w:val="005E1446"/>
    <w:rsid w:val="005E1A98"/>
    <w:rsid w:val="005E362B"/>
    <w:rsid w:val="005E38E4"/>
    <w:rsid w:val="005E4902"/>
    <w:rsid w:val="005E5002"/>
    <w:rsid w:val="005E5DDA"/>
    <w:rsid w:val="005E5DEC"/>
    <w:rsid w:val="005E6A39"/>
    <w:rsid w:val="005E715F"/>
    <w:rsid w:val="005E77A1"/>
    <w:rsid w:val="005F03B5"/>
    <w:rsid w:val="005F1741"/>
    <w:rsid w:val="005F1EE2"/>
    <w:rsid w:val="005F23F7"/>
    <w:rsid w:val="005F2D7D"/>
    <w:rsid w:val="005F3806"/>
    <w:rsid w:val="005F502B"/>
    <w:rsid w:val="005F579B"/>
    <w:rsid w:val="005F7929"/>
    <w:rsid w:val="00600C7E"/>
    <w:rsid w:val="00601117"/>
    <w:rsid w:val="006054E3"/>
    <w:rsid w:val="00605EB6"/>
    <w:rsid w:val="006108C9"/>
    <w:rsid w:val="00611A61"/>
    <w:rsid w:val="00612DFB"/>
    <w:rsid w:val="00613283"/>
    <w:rsid w:val="00615DF0"/>
    <w:rsid w:val="00616BE2"/>
    <w:rsid w:val="006213E2"/>
    <w:rsid w:val="00625CF2"/>
    <w:rsid w:val="00626DB7"/>
    <w:rsid w:val="00630D02"/>
    <w:rsid w:val="00631069"/>
    <w:rsid w:val="00631BCF"/>
    <w:rsid w:val="006323E5"/>
    <w:rsid w:val="0063449B"/>
    <w:rsid w:val="0063634A"/>
    <w:rsid w:val="006363E1"/>
    <w:rsid w:val="0064107F"/>
    <w:rsid w:val="00643894"/>
    <w:rsid w:val="00644238"/>
    <w:rsid w:val="006444B4"/>
    <w:rsid w:val="006446D7"/>
    <w:rsid w:val="0064697D"/>
    <w:rsid w:val="00650DDB"/>
    <w:rsid w:val="00650E15"/>
    <w:rsid w:val="00651AB8"/>
    <w:rsid w:val="006525DF"/>
    <w:rsid w:val="00653256"/>
    <w:rsid w:val="00655395"/>
    <w:rsid w:val="0065672C"/>
    <w:rsid w:val="00657FCA"/>
    <w:rsid w:val="00663449"/>
    <w:rsid w:val="0066522E"/>
    <w:rsid w:val="00665984"/>
    <w:rsid w:val="00665C07"/>
    <w:rsid w:val="0067549C"/>
    <w:rsid w:val="0068052E"/>
    <w:rsid w:val="006816EF"/>
    <w:rsid w:val="00681CAB"/>
    <w:rsid w:val="00684F17"/>
    <w:rsid w:val="0068611C"/>
    <w:rsid w:val="00686BE4"/>
    <w:rsid w:val="0069008B"/>
    <w:rsid w:val="00691264"/>
    <w:rsid w:val="00691376"/>
    <w:rsid w:val="00691C6C"/>
    <w:rsid w:val="0069484B"/>
    <w:rsid w:val="00695DDE"/>
    <w:rsid w:val="006963AD"/>
    <w:rsid w:val="00697C96"/>
    <w:rsid w:val="006A0151"/>
    <w:rsid w:val="006A5670"/>
    <w:rsid w:val="006A57E6"/>
    <w:rsid w:val="006A5DA3"/>
    <w:rsid w:val="006A63B6"/>
    <w:rsid w:val="006B0E0E"/>
    <w:rsid w:val="006B2598"/>
    <w:rsid w:val="006B3E96"/>
    <w:rsid w:val="006B6554"/>
    <w:rsid w:val="006C20FF"/>
    <w:rsid w:val="006C33FA"/>
    <w:rsid w:val="006C40AC"/>
    <w:rsid w:val="006D08CA"/>
    <w:rsid w:val="006D0905"/>
    <w:rsid w:val="006D4782"/>
    <w:rsid w:val="006D4851"/>
    <w:rsid w:val="006D512D"/>
    <w:rsid w:val="006E0011"/>
    <w:rsid w:val="006E0FDB"/>
    <w:rsid w:val="006E2F62"/>
    <w:rsid w:val="006E3390"/>
    <w:rsid w:val="006E4837"/>
    <w:rsid w:val="006E6E8F"/>
    <w:rsid w:val="006E709F"/>
    <w:rsid w:val="006F04E7"/>
    <w:rsid w:val="006F3312"/>
    <w:rsid w:val="006F33CB"/>
    <w:rsid w:val="006F579D"/>
    <w:rsid w:val="006F72E1"/>
    <w:rsid w:val="00701A88"/>
    <w:rsid w:val="00703288"/>
    <w:rsid w:val="00703DEC"/>
    <w:rsid w:val="0070659C"/>
    <w:rsid w:val="00707180"/>
    <w:rsid w:val="00707871"/>
    <w:rsid w:val="007100D0"/>
    <w:rsid w:val="007122D9"/>
    <w:rsid w:val="00714EC4"/>
    <w:rsid w:val="00715CDA"/>
    <w:rsid w:val="00721026"/>
    <w:rsid w:val="00724400"/>
    <w:rsid w:val="007256BF"/>
    <w:rsid w:val="00726092"/>
    <w:rsid w:val="007341EC"/>
    <w:rsid w:val="007347AB"/>
    <w:rsid w:val="00734976"/>
    <w:rsid w:val="00735836"/>
    <w:rsid w:val="0073665C"/>
    <w:rsid w:val="00737961"/>
    <w:rsid w:val="007379D3"/>
    <w:rsid w:val="00737E5F"/>
    <w:rsid w:val="007431A6"/>
    <w:rsid w:val="00745C5D"/>
    <w:rsid w:val="00745C77"/>
    <w:rsid w:val="00745FC8"/>
    <w:rsid w:val="007470F1"/>
    <w:rsid w:val="00750B21"/>
    <w:rsid w:val="00751966"/>
    <w:rsid w:val="00754614"/>
    <w:rsid w:val="007546E4"/>
    <w:rsid w:val="00756D8E"/>
    <w:rsid w:val="007602DA"/>
    <w:rsid w:val="007604B2"/>
    <w:rsid w:val="00763E36"/>
    <w:rsid w:val="007649DB"/>
    <w:rsid w:val="00765437"/>
    <w:rsid w:val="00765A81"/>
    <w:rsid w:val="0076762F"/>
    <w:rsid w:val="00767C28"/>
    <w:rsid w:val="0077162A"/>
    <w:rsid w:val="007716D5"/>
    <w:rsid w:val="00771898"/>
    <w:rsid w:val="00771911"/>
    <w:rsid w:val="00773819"/>
    <w:rsid w:val="00773847"/>
    <w:rsid w:val="00776D7A"/>
    <w:rsid w:val="00777AFF"/>
    <w:rsid w:val="00780FDC"/>
    <w:rsid w:val="00781029"/>
    <w:rsid w:val="007815FC"/>
    <w:rsid w:val="00781EA1"/>
    <w:rsid w:val="0078435E"/>
    <w:rsid w:val="00785A11"/>
    <w:rsid w:val="007863A3"/>
    <w:rsid w:val="00790844"/>
    <w:rsid w:val="007913B8"/>
    <w:rsid w:val="007926DC"/>
    <w:rsid w:val="0079340E"/>
    <w:rsid w:val="00796262"/>
    <w:rsid w:val="00797678"/>
    <w:rsid w:val="007977F8"/>
    <w:rsid w:val="007A0A0A"/>
    <w:rsid w:val="007A260F"/>
    <w:rsid w:val="007A5D44"/>
    <w:rsid w:val="007B2BCD"/>
    <w:rsid w:val="007B3BB7"/>
    <w:rsid w:val="007B4636"/>
    <w:rsid w:val="007B7FB9"/>
    <w:rsid w:val="007C0431"/>
    <w:rsid w:val="007C1517"/>
    <w:rsid w:val="007C29C6"/>
    <w:rsid w:val="007C2D18"/>
    <w:rsid w:val="007C3833"/>
    <w:rsid w:val="007C3E1A"/>
    <w:rsid w:val="007C491B"/>
    <w:rsid w:val="007C66D5"/>
    <w:rsid w:val="007C7E1D"/>
    <w:rsid w:val="007D1830"/>
    <w:rsid w:val="007D313B"/>
    <w:rsid w:val="007D7BE6"/>
    <w:rsid w:val="007E1F92"/>
    <w:rsid w:val="007E223F"/>
    <w:rsid w:val="007E24F5"/>
    <w:rsid w:val="007E675B"/>
    <w:rsid w:val="007E6C71"/>
    <w:rsid w:val="007F0182"/>
    <w:rsid w:val="007F04FC"/>
    <w:rsid w:val="007F0E4F"/>
    <w:rsid w:val="007F4D02"/>
    <w:rsid w:val="007F5C81"/>
    <w:rsid w:val="007F6607"/>
    <w:rsid w:val="0080066D"/>
    <w:rsid w:val="00800BCF"/>
    <w:rsid w:val="008010EC"/>
    <w:rsid w:val="008012F9"/>
    <w:rsid w:val="00802543"/>
    <w:rsid w:val="0080310C"/>
    <w:rsid w:val="0080349C"/>
    <w:rsid w:val="008049BE"/>
    <w:rsid w:val="00805060"/>
    <w:rsid w:val="00805816"/>
    <w:rsid w:val="008067F4"/>
    <w:rsid w:val="0080697F"/>
    <w:rsid w:val="00806DAF"/>
    <w:rsid w:val="008111B5"/>
    <w:rsid w:val="0081216D"/>
    <w:rsid w:val="00813F57"/>
    <w:rsid w:val="00815FAE"/>
    <w:rsid w:val="00816326"/>
    <w:rsid w:val="008169E5"/>
    <w:rsid w:val="008204D3"/>
    <w:rsid w:val="008226A0"/>
    <w:rsid w:val="00825BA3"/>
    <w:rsid w:val="0083159A"/>
    <w:rsid w:val="00833189"/>
    <w:rsid w:val="00833379"/>
    <w:rsid w:val="00834CA4"/>
    <w:rsid w:val="0083667F"/>
    <w:rsid w:val="0083761D"/>
    <w:rsid w:val="0083776C"/>
    <w:rsid w:val="0083783A"/>
    <w:rsid w:val="00841483"/>
    <w:rsid w:val="00843F6F"/>
    <w:rsid w:val="00844EA6"/>
    <w:rsid w:val="00846108"/>
    <w:rsid w:val="00847869"/>
    <w:rsid w:val="00850109"/>
    <w:rsid w:val="0085058A"/>
    <w:rsid w:val="00850CC3"/>
    <w:rsid w:val="00851F32"/>
    <w:rsid w:val="00852293"/>
    <w:rsid w:val="00852C67"/>
    <w:rsid w:val="00853F48"/>
    <w:rsid w:val="00854DBA"/>
    <w:rsid w:val="00857A16"/>
    <w:rsid w:val="00862ADA"/>
    <w:rsid w:val="008663D3"/>
    <w:rsid w:val="00866E58"/>
    <w:rsid w:val="00880C38"/>
    <w:rsid w:val="00881B73"/>
    <w:rsid w:val="00882633"/>
    <w:rsid w:val="00882672"/>
    <w:rsid w:val="00883942"/>
    <w:rsid w:val="00884097"/>
    <w:rsid w:val="008853FF"/>
    <w:rsid w:val="00886BC8"/>
    <w:rsid w:val="00890639"/>
    <w:rsid w:val="008906E5"/>
    <w:rsid w:val="00892F52"/>
    <w:rsid w:val="00893D94"/>
    <w:rsid w:val="008963F0"/>
    <w:rsid w:val="008A1825"/>
    <w:rsid w:val="008A1861"/>
    <w:rsid w:val="008A2031"/>
    <w:rsid w:val="008A2938"/>
    <w:rsid w:val="008A3036"/>
    <w:rsid w:val="008A3783"/>
    <w:rsid w:val="008A3C85"/>
    <w:rsid w:val="008B236E"/>
    <w:rsid w:val="008B327E"/>
    <w:rsid w:val="008B4129"/>
    <w:rsid w:val="008B50B7"/>
    <w:rsid w:val="008B5B61"/>
    <w:rsid w:val="008B6384"/>
    <w:rsid w:val="008B6A1D"/>
    <w:rsid w:val="008C1D14"/>
    <w:rsid w:val="008C2E54"/>
    <w:rsid w:val="008D1A62"/>
    <w:rsid w:val="008D3B66"/>
    <w:rsid w:val="008D772A"/>
    <w:rsid w:val="008E16D1"/>
    <w:rsid w:val="008E2071"/>
    <w:rsid w:val="008E23BF"/>
    <w:rsid w:val="008E3AA7"/>
    <w:rsid w:val="008E4E2A"/>
    <w:rsid w:val="008E4F2E"/>
    <w:rsid w:val="008E5106"/>
    <w:rsid w:val="008E6816"/>
    <w:rsid w:val="008E7278"/>
    <w:rsid w:val="008F120D"/>
    <w:rsid w:val="008F14D8"/>
    <w:rsid w:val="008F47EA"/>
    <w:rsid w:val="008F59BC"/>
    <w:rsid w:val="0090066E"/>
    <w:rsid w:val="0090103C"/>
    <w:rsid w:val="0090409E"/>
    <w:rsid w:val="00904187"/>
    <w:rsid w:val="009057CF"/>
    <w:rsid w:val="00905DDC"/>
    <w:rsid w:val="00910405"/>
    <w:rsid w:val="00912043"/>
    <w:rsid w:val="00914836"/>
    <w:rsid w:val="0091561C"/>
    <w:rsid w:val="009156BC"/>
    <w:rsid w:val="00917511"/>
    <w:rsid w:val="00920B31"/>
    <w:rsid w:val="0092205F"/>
    <w:rsid w:val="00923D01"/>
    <w:rsid w:val="00923F49"/>
    <w:rsid w:val="00926AFB"/>
    <w:rsid w:val="00930074"/>
    <w:rsid w:val="00931E2D"/>
    <w:rsid w:val="00932433"/>
    <w:rsid w:val="009327AB"/>
    <w:rsid w:val="0093409D"/>
    <w:rsid w:val="00934C79"/>
    <w:rsid w:val="00934F5A"/>
    <w:rsid w:val="00935C44"/>
    <w:rsid w:val="00942054"/>
    <w:rsid w:val="00943BD8"/>
    <w:rsid w:val="00943E6B"/>
    <w:rsid w:val="00944A3F"/>
    <w:rsid w:val="00945D37"/>
    <w:rsid w:val="00945D45"/>
    <w:rsid w:val="0094637D"/>
    <w:rsid w:val="0095034F"/>
    <w:rsid w:val="00951EE6"/>
    <w:rsid w:val="00953B6A"/>
    <w:rsid w:val="009559A5"/>
    <w:rsid w:val="0095634C"/>
    <w:rsid w:val="00960D6B"/>
    <w:rsid w:val="0096186D"/>
    <w:rsid w:val="00963BD5"/>
    <w:rsid w:val="00966693"/>
    <w:rsid w:val="00971A08"/>
    <w:rsid w:val="00974C8E"/>
    <w:rsid w:val="0097625B"/>
    <w:rsid w:val="00976919"/>
    <w:rsid w:val="00980250"/>
    <w:rsid w:val="009814EE"/>
    <w:rsid w:val="00982833"/>
    <w:rsid w:val="0098307A"/>
    <w:rsid w:val="00984401"/>
    <w:rsid w:val="0098521C"/>
    <w:rsid w:val="009861D0"/>
    <w:rsid w:val="00991B72"/>
    <w:rsid w:val="00991EDD"/>
    <w:rsid w:val="00992808"/>
    <w:rsid w:val="00993400"/>
    <w:rsid w:val="009A08C4"/>
    <w:rsid w:val="009A1682"/>
    <w:rsid w:val="009A19C4"/>
    <w:rsid w:val="009A3347"/>
    <w:rsid w:val="009A6311"/>
    <w:rsid w:val="009B3A5B"/>
    <w:rsid w:val="009B5A44"/>
    <w:rsid w:val="009B6A71"/>
    <w:rsid w:val="009B6E1D"/>
    <w:rsid w:val="009C256C"/>
    <w:rsid w:val="009C4763"/>
    <w:rsid w:val="009C5206"/>
    <w:rsid w:val="009C7EF9"/>
    <w:rsid w:val="009D03B4"/>
    <w:rsid w:val="009D2871"/>
    <w:rsid w:val="009D39CD"/>
    <w:rsid w:val="009D3BD1"/>
    <w:rsid w:val="009D4902"/>
    <w:rsid w:val="009D4DDB"/>
    <w:rsid w:val="009D62D9"/>
    <w:rsid w:val="009D7203"/>
    <w:rsid w:val="009D7702"/>
    <w:rsid w:val="009E2392"/>
    <w:rsid w:val="009E25EF"/>
    <w:rsid w:val="009E5A8E"/>
    <w:rsid w:val="009E6828"/>
    <w:rsid w:val="009E6D0A"/>
    <w:rsid w:val="009F0E8E"/>
    <w:rsid w:val="009F1E72"/>
    <w:rsid w:val="009F2ED3"/>
    <w:rsid w:val="009F60C3"/>
    <w:rsid w:val="009F69AB"/>
    <w:rsid w:val="009F712F"/>
    <w:rsid w:val="00A009F1"/>
    <w:rsid w:val="00A029BC"/>
    <w:rsid w:val="00A03553"/>
    <w:rsid w:val="00A063E5"/>
    <w:rsid w:val="00A10E3D"/>
    <w:rsid w:val="00A12B93"/>
    <w:rsid w:val="00A17439"/>
    <w:rsid w:val="00A17CD5"/>
    <w:rsid w:val="00A21704"/>
    <w:rsid w:val="00A22022"/>
    <w:rsid w:val="00A247E1"/>
    <w:rsid w:val="00A25BD0"/>
    <w:rsid w:val="00A26075"/>
    <w:rsid w:val="00A26636"/>
    <w:rsid w:val="00A27151"/>
    <w:rsid w:val="00A275BD"/>
    <w:rsid w:val="00A27D32"/>
    <w:rsid w:val="00A31BE1"/>
    <w:rsid w:val="00A34B9F"/>
    <w:rsid w:val="00A35574"/>
    <w:rsid w:val="00A357E8"/>
    <w:rsid w:val="00A36100"/>
    <w:rsid w:val="00A40C5E"/>
    <w:rsid w:val="00A410C7"/>
    <w:rsid w:val="00A4343E"/>
    <w:rsid w:val="00A45264"/>
    <w:rsid w:val="00A47625"/>
    <w:rsid w:val="00A47FD2"/>
    <w:rsid w:val="00A508FC"/>
    <w:rsid w:val="00A524E4"/>
    <w:rsid w:val="00A53D65"/>
    <w:rsid w:val="00A55371"/>
    <w:rsid w:val="00A57A6A"/>
    <w:rsid w:val="00A60337"/>
    <w:rsid w:val="00A63B23"/>
    <w:rsid w:val="00A70CA7"/>
    <w:rsid w:val="00A7158B"/>
    <w:rsid w:val="00A8130E"/>
    <w:rsid w:val="00A81C72"/>
    <w:rsid w:val="00A82315"/>
    <w:rsid w:val="00A84E1A"/>
    <w:rsid w:val="00A85B24"/>
    <w:rsid w:val="00A86FD0"/>
    <w:rsid w:val="00A87480"/>
    <w:rsid w:val="00A92814"/>
    <w:rsid w:val="00A9316F"/>
    <w:rsid w:val="00A96527"/>
    <w:rsid w:val="00A9750B"/>
    <w:rsid w:val="00AA351A"/>
    <w:rsid w:val="00AA61CB"/>
    <w:rsid w:val="00AB0316"/>
    <w:rsid w:val="00AB2CA6"/>
    <w:rsid w:val="00AB3BB7"/>
    <w:rsid w:val="00AB6959"/>
    <w:rsid w:val="00AB7C7B"/>
    <w:rsid w:val="00AC00FE"/>
    <w:rsid w:val="00AC139D"/>
    <w:rsid w:val="00AC2531"/>
    <w:rsid w:val="00AC700E"/>
    <w:rsid w:val="00AD03D8"/>
    <w:rsid w:val="00AD20E9"/>
    <w:rsid w:val="00AD257E"/>
    <w:rsid w:val="00AD3960"/>
    <w:rsid w:val="00AD6316"/>
    <w:rsid w:val="00AD72D3"/>
    <w:rsid w:val="00AD7F37"/>
    <w:rsid w:val="00AE087D"/>
    <w:rsid w:val="00AE3C54"/>
    <w:rsid w:val="00AE5044"/>
    <w:rsid w:val="00AE524A"/>
    <w:rsid w:val="00AE73D0"/>
    <w:rsid w:val="00AE7460"/>
    <w:rsid w:val="00AE7C29"/>
    <w:rsid w:val="00AE7DD9"/>
    <w:rsid w:val="00AE7EFD"/>
    <w:rsid w:val="00AF061B"/>
    <w:rsid w:val="00AF322D"/>
    <w:rsid w:val="00AF3648"/>
    <w:rsid w:val="00AF4D1D"/>
    <w:rsid w:val="00AF5217"/>
    <w:rsid w:val="00AF5AC0"/>
    <w:rsid w:val="00AF6003"/>
    <w:rsid w:val="00AF7432"/>
    <w:rsid w:val="00AF7EB9"/>
    <w:rsid w:val="00B002CF"/>
    <w:rsid w:val="00B01A0A"/>
    <w:rsid w:val="00B0270E"/>
    <w:rsid w:val="00B07DE9"/>
    <w:rsid w:val="00B16FCE"/>
    <w:rsid w:val="00B20268"/>
    <w:rsid w:val="00B2159C"/>
    <w:rsid w:val="00B22EEC"/>
    <w:rsid w:val="00B23751"/>
    <w:rsid w:val="00B249BC"/>
    <w:rsid w:val="00B27018"/>
    <w:rsid w:val="00B30415"/>
    <w:rsid w:val="00B30AE7"/>
    <w:rsid w:val="00B32953"/>
    <w:rsid w:val="00B42161"/>
    <w:rsid w:val="00B42385"/>
    <w:rsid w:val="00B42EA5"/>
    <w:rsid w:val="00B4490E"/>
    <w:rsid w:val="00B45A05"/>
    <w:rsid w:val="00B45CAA"/>
    <w:rsid w:val="00B469EC"/>
    <w:rsid w:val="00B46BCB"/>
    <w:rsid w:val="00B47E57"/>
    <w:rsid w:val="00B5112D"/>
    <w:rsid w:val="00B51C2B"/>
    <w:rsid w:val="00B52334"/>
    <w:rsid w:val="00B53E72"/>
    <w:rsid w:val="00B54902"/>
    <w:rsid w:val="00B56798"/>
    <w:rsid w:val="00B568AD"/>
    <w:rsid w:val="00B572B8"/>
    <w:rsid w:val="00B57E1B"/>
    <w:rsid w:val="00B637E1"/>
    <w:rsid w:val="00B63DFB"/>
    <w:rsid w:val="00B6442C"/>
    <w:rsid w:val="00B703AC"/>
    <w:rsid w:val="00B71E73"/>
    <w:rsid w:val="00B720CE"/>
    <w:rsid w:val="00B72603"/>
    <w:rsid w:val="00B7282B"/>
    <w:rsid w:val="00B73159"/>
    <w:rsid w:val="00B7359F"/>
    <w:rsid w:val="00B74560"/>
    <w:rsid w:val="00B7769B"/>
    <w:rsid w:val="00B8073A"/>
    <w:rsid w:val="00B81DC5"/>
    <w:rsid w:val="00B82F64"/>
    <w:rsid w:val="00B846B2"/>
    <w:rsid w:val="00B84805"/>
    <w:rsid w:val="00B87121"/>
    <w:rsid w:val="00B878A8"/>
    <w:rsid w:val="00B879A7"/>
    <w:rsid w:val="00B907F6"/>
    <w:rsid w:val="00B91374"/>
    <w:rsid w:val="00B914B4"/>
    <w:rsid w:val="00B91C4F"/>
    <w:rsid w:val="00B95CCD"/>
    <w:rsid w:val="00B960DC"/>
    <w:rsid w:val="00B972EC"/>
    <w:rsid w:val="00BA0B38"/>
    <w:rsid w:val="00BA205B"/>
    <w:rsid w:val="00BA4D74"/>
    <w:rsid w:val="00BB567D"/>
    <w:rsid w:val="00BB68A0"/>
    <w:rsid w:val="00BB711E"/>
    <w:rsid w:val="00BC11BF"/>
    <w:rsid w:val="00BC1628"/>
    <w:rsid w:val="00BC1E80"/>
    <w:rsid w:val="00BC2BDA"/>
    <w:rsid w:val="00BC35BA"/>
    <w:rsid w:val="00BC3730"/>
    <w:rsid w:val="00BC3C38"/>
    <w:rsid w:val="00BD0A13"/>
    <w:rsid w:val="00BD1AD0"/>
    <w:rsid w:val="00BD421E"/>
    <w:rsid w:val="00BD4BA8"/>
    <w:rsid w:val="00BD74FB"/>
    <w:rsid w:val="00BD7DE3"/>
    <w:rsid w:val="00BE6202"/>
    <w:rsid w:val="00BF0AFC"/>
    <w:rsid w:val="00BF2769"/>
    <w:rsid w:val="00BF4616"/>
    <w:rsid w:val="00BF7B50"/>
    <w:rsid w:val="00C00B1F"/>
    <w:rsid w:val="00C0594E"/>
    <w:rsid w:val="00C074E9"/>
    <w:rsid w:val="00C126BF"/>
    <w:rsid w:val="00C164E5"/>
    <w:rsid w:val="00C206B0"/>
    <w:rsid w:val="00C20F1D"/>
    <w:rsid w:val="00C21D12"/>
    <w:rsid w:val="00C23B33"/>
    <w:rsid w:val="00C25255"/>
    <w:rsid w:val="00C34A02"/>
    <w:rsid w:val="00C3698F"/>
    <w:rsid w:val="00C36AD0"/>
    <w:rsid w:val="00C40156"/>
    <w:rsid w:val="00C410DB"/>
    <w:rsid w:val="00C4224B"/>
    <w:rsid w:val="00C4299A"/>
    <w:rsid w:val="00C43999"/>
    <w:rsid w:val="00C52FF9"/>
    <w:rsid w:val="00C538BE"/>
    <w:rsid w:val="00C60898"/>
    <w:rsid w:val="00C6112C"/>
    <w:rsid w:val="00C63256"/>
    <w:rsid w:val="00C6359C"/>
    <w:rsid w:val="00C63C8B"/>
    <w:rsid w:val="00C63E46"/>
    <w:rsid w:val="00C63FE4"/>
    <w:rsid w:val="00C7035A"/>
    <w:rsid w:val="00C724B9"/>
    <w:rsid w:val="00C75937"/>
    <w:rsid w:val="00C76C6A"/>
    <w:rsid w:val="00C81CCB"/>
    <w:rsid w:val="00C824E3"/>
    <w:rsid w:val="00C8277C"/>
    <w:rsid w:val="00C82D6A"/>
    <w:rsid w:val="00C86193"/>
    <w:rsid w:val="00C90314"/>
    <w:rsid w:val="00C90F73"/>
    <w:rsid w:val="00C91707"/>
    <w:rsid w:val="00C91D7B"/>
    <w:rsid w:val="00C91ED4"/>
    <w:rsid w:val="00C93DAE"/>
    <w:rsid w:val="00C94F03"/>
    <w:rsid w:val="00C95016"/>
    <w:rsid w:val="00C9603E"/>
    <w:rsid w:val="00C973C7"/>
    <w:rsid w:val="00C97C67"/>
    <w:rsid w:val="00CA057C"/>
    <w:rsid w:val="00CA329D"/>
    <w:rsid w:val="00CA3696"/>
    <w:rsid w:val="00CA6BCA"/>
    <w:rsid w:val="00CB4ABD"/>
    <w:rsid w:val="00CB54BE"/>
    <w:rsid w:val="00CB7004"/>
    <w:rsid w:val="00CB7B22"/>
    <w:rsid w:val="00CC07B1"/>
    <w:rsid w:val="00CC27EA"/>
    <w:rsid w:val="00CC366D"/>
    <w:rsid w:val="00CC521F"/>
    <w:rsid w:val="00CC65AA"/>
    <w:rsid w:val="00CC676E"/>
    <w:rsid w:val="00CC7E86"/>
    <w:rsid w:val="00CE01E2"/>
    <w:rsid w:val="00CE1B31"/>
    <w:rsid w:val="00CE1C13"/>
    <w:rsid w:val="00CE60E1"/>
    <w:rsid w:val="00CE6684"/>
    <w:rsid w:val="00CF08C9"/>
    <w:rsid w:val="00CF2981"/>
    <w:rsid w:val="00CF2DDE"/>
    <w:rsid w:val="00CF5784"/>
    <w:rsid w:val="00CF636E"/>
    <w:rsid w:val="00CF74F0"/>
    <w:rsid w:val="00CF7BCA"/>
    <w:rsid w:val="00CF7C9A"/>
    <w:rsid w:val="00D00796"/>
    <w:rsid w:val="00D00D49"/>
    <w:rsid w:val="00D00EFB"/>
    <w:rsid w:val="00D02145"/>
    <w:rsid w:val="00D02817"/>
    <w:rsid w:val="00D03EE2"/>
    <w:rsid w:val="00D059AD"/>
    <w:rsid w:val="00D06AB6"/>
    <w:rsid w:val="00D06DD4"/>
    <w:rsid w:val="00D101A6"/>
    <w:rsid w:val="00D11FED"/>
    <w:rsid w:val="00D1352D"/>
    <w:rsid w:val="00D1390E"/>
    <w:rsid w:val="00D178C7"/>
    <w:rsid w:val="00D2261E"/>
    <w:rsid w:val="00D24794"/>
    <w:rsid w:val="00D24E1D"/>
    <w:rsid w:val="00D25CCC"/>
    <w:rsid w:val="00D26336"/>
    <w:rsid w:val="00D27F38"/>
    <w:rsid w:val="00D30228"/>
    <w:rsid w:val="00D303B6"/>
    <w:rsid w:val="00D31006"/>
    <w:rsid w:val="00D32376"/>
    <w:rsid w:val="00D32B96"/>
    <w:rsid w:val="00D334F7"/>
    <w:rsid w:val="00D340F4"/>
    <w:rsid w:val="00D34FCD"/>
    <w:rsid w:val="00D36237"/>
    <w:rsid w:val="00D406A4"/>
    <w:rsid w:val="00D429B1"/>
    <w:rsid w:val="00D42E2A"/>
    <w:rsid w:val="00D47023"/>
    <w:rsid w:val="00D504EE"/>
    <w:rsid w:val="00D53C20"/>
    <w:rsid w:val="00D54003"/>
    <w:rsid w:val="00D55C4A"/>
    <w:rsid w:val="00D5718F"/>
    <w:rsid w:val="00D576E9"/>
    <w:rsid w:val="00D57A2A"/>
    <w:rsid w:val="00D611FA"/>
    <w:rsid w:val="00D61488"/>
    <w:rsid w:val="00D65FD1"/>
    <w:rsid w:val="00D6695C"/>
    <w:rsid w:val="00D67597"/>
    <w:rsid w:val="00D67BCD"/>
    <w:rsid w:val="00D70827"/>
    <w:rsid w:val="00D70CF7"/>
    <w:rsid w:val="00D72106"/>
    <w:rsid w:val="00D74F2D"/>
    <w:rsid w:val="00D77630"/>
    <w:rsid w:val="00D811CF"/>
    <w:rsid w:val="00D81D36"/>
    <w:rsid w:val="00D8284D"/>
    <w:rsid w:val="00D8604C"/>
    <w:rsid w:val="00D873B2"/>
    <w:rsid w:val="00D915AA"/>
    <w:rsid w:val="00D92105"/>
    <w:rsid w:val="00D92C4E"/>
    <w:rsid w:val="00D94444"/>
    <w:rsid w:val="00D9620D"/>
    <w:rsid w:val="00DA172B"/>
    <w:rsid w:val="00DA2871"/>
    <w:rsid w:val="00DA32BA"/>
    <w:rsid w:val="00DA796E"/>
    <w:rsid w:val="00DB0FBA"/>
    <w:rsid w:val="00DB1F43"/>
    <w:rsid w:val="00DB374B"/>
    <w:rsid w:val="00DB4969"/>
    <w:rsid w:val="00DB520B"/>
    <w:rsid w:val="00DB6D3B"/>
    <w:rsid w:val="00DC124B"/>
    <w:rsid w:val="00DC20D2"/>
    <w:rsid w:val="00DC25AC"/>
    <w:rsid w:val="00DC2CF5"/>
    <w:rsid w:val="00DC49D6"/>
    <w:rsid w:val="00DC4C89"/>
    <w:rsid w:val="00DC6DB5"/>
    <w:rsid w:val="00DD0202"/>
    <w:rsid w:val="00DD0E35"/>
    <w:rsid w:val="00DD390D"/>
    <w:rsid w:val="00DD4212"/>
    <w:rsid w:val="00DD4DE6"/>
    <w:rsid w:val="00DD4EA6"/>
    <w:rsid w:val="00DE0076"/>
    <w:rsid w:val="00DE11D2"/>
    <w:rsid w:val="00DE1304"/>
    <w:rsid w:val="00DE28B0"/>
    <w:rsid w:val="00DE44C8"/>
    <w:rsid w:val="00DE5205"/>
    <w:rsid w:val="00DE79D5"/>
    <w:rsid w:val="00DF0E01"/>
    <w:rsid w:val="00DF3F5D"/>
    <w:rsid w:val="00DF5667"/>
    <w:rsid w:val="00E00634"/>
    <w:rsid w:val="00E00F62"/>
    <w:rsid w:val="00E02273"/>
    <w:rsid w:val="00E0355A"/>
    <w:rsid w:val="00E0490B"/>
    <w:rsid w:val="00E06086"/>
    <w:rsid w:val="00E06440"/>
    <w:rsid w:val="00E11159"/>
    <w:rsid w:val="00E11D85"/>
    <w:rsid w:val="00E12880"/>
    <w:rsid w:val="00E173BF"/>
    <w:rsid w:val="00E2563B"/>
    <w:rsid w:val="00E258CA"/>
    <w:rsid w:val="00E25F81"/>
    <w:rsid w:val="00E26278"/>
    <w:rsid w:val="00E30E3C"/>
    <w:rsid w:val="00E32D67"/>
    <w:rsid w:val="00E37A40"/>
    <w:rsid w:val="00E37DB4"/>
    <w:rsid w:val="00E40C79"/>
    <w:rsid w:val="00E4287B"/>
    <w:rsid w:val="00E44FE3"/>
    <w:rsid w:val="00E45FFA"/>
    <w:rsid w:val="00E4667E"/>
    <w:rsid w:val="00E51A47"/>
    <w:rsid w:val="00E52311"/>
    <w:rsid w:val="00E54C1D"/>
    <w:rsid w:val="00E5533A"/>
    <w:rsid w:val="00E553F8"/>
    <w:rsid w:val="00E5578B"/>
    <w:rsid w:val="00E55D2E"/>
    <w:rsid w:val="00E62AE4"/>
    <w:rsid w:val="00E630DF"/>
    <w:rsid w:val="00E65B68"/>
    <w:rsid w:val="00E66D83"/>
    <w:rsid w:val="00E72024"/>
    <w:rsid w:val="00E733AA"/>
    <w:rsid w:val="00E743EB"/>
    <w:rsid w:val="00E755DC"/>
    <w:rsid w:val="00E81FA8"/>
    <w:rsid w:val="00E83184"/>
    <w:rsid w:val="00E83A0A"/>
    <w:rsid w:val="00E84DC4"/>
    <w:rsid w:val="00E85A66"/>
    <w:rsid w:val="00E92EBC"/>
    <w:rsid w:val="00E94B49"/>
    <w:rsid w:val="00E95BAF"/>
    <w:rsid w:val="00E97A25"/>
    <w:rsid w:val="00EA0B98"/>
    <w:rsid w:val="00EA2FCB"/>
    <w:rsid w:val="00EA3999"/>
    <w:rsid w:val="00EA468F"/>
    <w:rsid w:val="00EA52FC"/>
    <w:rsid w:val="00EA5432"/>
    <w:rsid w:val="00EA7316"/>
    <w:rsid w:val="00EB51F9"/>
    <w:rsid w:val="00EB7400"/>
    <w:rsid w:val="00EC27D8"/>
    <w:rsid w:val="00EC2FB1"/>
    <w:rsid w:val="00EC3659"/>
    <w:rsid w:val="00EC7001"/>
    <w:rsid w:val="00EC7236"/>
    <w:rsid w:val="00ED194E"/>
    <w:rsid w:val="00ED3914"/>
    <w:rsid w:val="00ED50A9"/>
    <w:rsid w:val="00ED5EAD"/>
    <w:rsid w:val="00EE1CFB"/>
    <w:rsid w:val="00EE229A"/>
    <w:rsid w:val="00EE368E"/>
    <w:rsid w:val="00EE7D3C"/>
    <w:rsid w:val="00EF1127"/>
    <w:rsid w:val="00EF404D"/>
    <w:rsid w:val="00EF4573"/>
    <w:rsid w:val="00EF5B9E"/>
    <w:rsid w:val="00EF6E0A"/>
    <w:rsid w:val="00F00B02"/>
    <w:rsid w:val="00F00F75"/>
    <w:rsid w:val="00F0429D"/>
    <w:rsid w:val="00F04E3E"/>
    <w:rsid w:val="00F04F59"/>
    <w:rsid w:val="00F04FE9"/>
    <w:rsid w:val="00F05047"/>
    <w:rsid w:val="00F0667E"/>
    <w:rsid w:val="00F076DF"/>
    <w:rsid w:val="00F145CD"/>
    <w:rsid w:val="00F15FB8"/>
    <w:rsid w:val="00F1626C"/>
    <w:rsid w:val="00F17D31"/>
    <w:rsid w:val="00F20B06"/>
    <w:rsid w:val="00F22115"/>
    <w:rsid w:val="00F31BED"/>
    <w:rsid w:val="00F323E8"/>
    <w:rsid w:val="00F326E1"/>
    <w:rsid w:val="00F32F06"/>
    <w:rsid w:val="00F3323D"/>
    <w:rsid w:val="00F343AF"/>
    <w:rsid w:val="00F37230"/>
    <w:rsid w:val="00F42BD6"/>
    <w:rsid w:val="00F4511F"/>
    <w:rsid w:val="00F452D4"/>
    <w:rsid w:val="00F454F2"/>
    <w:rsid w:val="00F4786E"/>
    <w:rsid w:val="00F47A34"/>
    <w:rsid w:val="00F47CD7"/>
    <w:rsid w:val="00F5141A"/>
    <w:rsid w:val="00F520DB"/>
    <w:rsid w:val="00F52126"/>
    <w:rsid w:val="00F5435F"/>
    <w:rsid w:val="00F603A3"/>
    <w:rsid w:val="00F6051B"/>
    <w:rsid w:val="00F65491"/>
    <w:rsid w:val="00F67865"/>
    <w:rsid w:val="00F70CB2"/>
    <w:rsid w:val="00F71DEE"/>
    <w:rsid w:val="00F75929"/>
    <w:rsid w:val="00F75957"/>
    <w:rsid w:val="00F77A67"/>
    <w:rsid w:val="00F81222"/>
    <w:rsid w:val="00F86868"/>
    <w:rsid w:val="00F87F81"/>
    <w:rsid w:val="00F91CBF"/>
    <w:rsid w:val="00F952B4"/>
    <w:rsid w:val="00F972B8"/>
    <w:rsid w:val="00F977C5"/>
    <w:rsid w:val="00FA02BE"/>
    <w:rsid w:val="00FA0F37"/>
    <w:rsid w:val="00FA19F8"/>
    <w:rsid w:val="00FA3D8F"/>
    <w:rsid w:val="00FA7132"/>
    <w:rsid w:val="00FA7BE2"/>
    <w:rsid w:val="00FB0312"/>
    <w:rsid w:val="00FB1E81"/>
    <w:rsid w:val="00FB2DC9"/>
    <w:rsid w:val="00FB3E99"/>
    <w:rsid w:val="00FB52B7"/>
    <w:rsid w:val="00FB60CB"/>
    <w:rsid w:val="00FB6345"/>
    <w:rsid w:val="00FC079C"/>
    <w:rsid w:val="00FC2639"/>
    <w:rsid w:val="00FC3085"/>
    <w:rsid w:val="00FC349A"/>
    <w:rsid w:val="00FC4B92"/>
    <w:rsid w:val="00FC6569"/>
    <w:rsid w:val="00FD1510"/>
    <w:rsid w:val="00FD25D0"/>
    <w:rsid w:val="00FD3E8A"/>
    <w:rsid w:val="00FD49E0"/>
    <w:rsid w:val="00FD57F1"/>
    <w:rsid w:val="00FE1C1B"/>
    <w:rsid w:val="00FE20F7"/>
    <w:rsid w:val="00FE284D"/>
    <w:rsid w:val="00FE2940"/>
    <w:rsid w:val="00FE5F9C"/>
    <w:rsid w:val="00FF43E6"/>
    <w:rsid w:val="00FF540B"/>
    <w:rsid w:val="00FF7F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B3CC4A"/>
  <w15:chartTrackingRefBased/>
  <w15:docId w15:val="{594E03F0-FB87-472E-823F-DA1BC95E5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0" w:lineRule="exact"/>
    </w:pPr>
    <w:rPr>
      <w:rFonts w:ascii="Arial" w:hAnsi="Arial"/>
      <w:sz w:val="24"/>
      <w:lang w:eastAsia="fr-FR"/>
    </w:rPr>
  </w:style>
  <w:style w:type="paragraph" w:styleId="Titre1">
    <w:name w:val="heading 1"/>
    <w:basedOn w:val="Normal"/>
    <w:next w:val="Normal"/>
    <w:qFormat/>
    <w:pPr>
      <w:keepNext/>
      <w:spacing w:before="240" w:after="60" w:line="500" w:lineRule="exact"/>
      <w:outlineLvl w:val="0"/>
    </w:pPr>
    <w:rPr>
      <w:b/>
      <w:kern w:val="28"/>
      <w:sz w:val="28"/>
    </w:rPr>
  </w:style>
  <w:style w:type="paragraph" w:styleId="Titre2">
    <w:name w:val="heading 2"/>
    <w:basedOn w:val="Normal"/>
    <w:next w:val="Normal"/>
    <w:qFormat/>
    <w:pPr>
      <w:keepNext/>
      <w:spacing w:before="240" w:after="60"/>
      <w:outlineLvl w:val="1"/>
    </w:pPr>
    <w:rPr>
      <w:b/>
      <w:i/>
    </w:rPr>
  </w:style>
  <w:style w:type="paragraph" w:styleId="Titre3">
    <w:name w:val="heading 3"/>
    <w:basedOn w:val="Normal"/>
    <w:next w:val="Normal"/>
    <w:qFormat/>
    <w:pPr>
      <w:keepNext/>
      <w:spacing w:before="240" w:after="60"/>
      <w:outlineLvl w:val="2"/>
    </w:pPr>
  </w:style>
  <w:style w:type="paragraph" w:styleId="Titre4">
    <w:name w:val="heading 4"/>
    <w:basedOn w:val="Normal"/>
    <w:next w:val="Normal"/>
    <w:qFormat/>
    <w:pPr>
      <w:keepNext/>
      <w:spacing w:before="240" w:after="60"/>
      <w:outlineLvl w:val="3"/>
    </w:pPr>
    <w:rPr>
      <w:b/>
    </w:rPr>
  </w:style>
  <w:style w:type="paragraph" w:styleId="Titre5">
    <w:name w:val="heading 5"/>
    <w:basedOn w:val="Normal"/>
    <w:next w:val="Normal"/>
    <w:qFormat/>
    <w:pPr>
      <w:spacing w:before="240" w:after="60"/>
      <w:outlineLvl w:val="4"/>
    </w:pPr>
    <w:rPr>
      <w:sz w:val="22"/>
    </w:rPr>
  </w:style>
  <w:style w:type="paragraph" w:styleId="Titre6">
    <w:name w:val="heading 6"/>
    <w:basedOn w:val="Normal"/>
    <w:next w:val="Normal"/>
    <w:qFormat/>
    <w:pPr>
      <w:spacing w:before="240" w:after="60"/>
      <w:outlineLvl w:val="5"/>
    </w:pPr>
    <w:rPr>
      <w:i/>
      <w:sz w:val="22"/>
    </w:rPr>
  </w:style>
  <w:style w:type="paragraph" w:styleId="Titre7">
    <w:name w:val="heading 7"/>
    <w:basedOn w:val="Normal"/>
    <w:next w:val="Normal"/>
    <w:qFormat/>
    <w:pPr>
      <w:spacing w:before="240" w:after="60"/>
      <w:outlineLvl w:val="6"/>
    </w:pPr>
    <w:rPr>
      <w:sz w:val="20"/>
    </w:rPr>
  </w:style>
  <w:style w:type="paragraph" w:styleId="Titre8">
    <w:name w:val="heading 8"/>
    <w:basedOn w:val="Normal"/>
    <w:next w:val="Normal"/>
    <w:qFormat/>
    <w:pPr>
      <w:spacing w:before="240" w:after="60"/>
      <w:outlineLvl w:val="7"/>
    </w:pPr>
    <w:rPr>
      <w:i/>
      <w:sz w:val="20"/>
    </w:rPr>
  </w:style>
  <w:style w:type="paragraph" w:styleId="Titre9">
    <w:name w:val="heading 9"/>
    <w:basedOn w:val="Normal"/>
    <w:next w:val="Normal"/>
    <w:qFormat/>
    <w:p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basedOn w:val="Normal"/>
    <w:link w:val="ParagrapheCar"/>
    <w:pPr>
      <w:numPr>
        <w:numId w:val="18"/>
      </w:numPr>
      <w:tabs>
        <w:tab w:val="num" w:pos="360"/>
      </w:tabs>
      <w:spacing w:before="120" w:after="120" w:line="500" w:lineRule="exact"/>
      <w:jc w:val="both"/>
    </w:pPr>
    <w:rPr>
      <w:kern w:val="28"/>
    </w:rPr>
  </w:style>
  <w:style w:type="paragraph" w:customStyle="1" w:styleId="Citationenretrait">
    <w:name w:val="Citation en retrait"/>
    <w:basedOn w:val="Normal"/>
    <w:link w:val="CitationenretraitCar"/>
    <w:pPr>
      <w:spacing w:before="120" w:after="120"/>
      <w:ind w:left="720" w:right="720"/>
      <w:jc w:val="both"/>
    </w:pPr>
    <w:rPr>
      <w:kern w:val="24"/>
      <w:sz w:val="22"/>
    </w:rPr>
  </w:style>
  <w:style w:type="character" w:customStyle="1" w:styleId="Citationintgre">
    <w:name w:val="Citation intégrée"/>
    <w:rPr>
      <w:rFonts w:ascii="Arial" w:hAnsi="Arial"/>
      <w:i/>
      <w:noProof w:val="0"/>
      <w:sz w:val="22"/>
      <w:lang w:val="fr-CA"/>
    </w:rPr>
  </w:style>
  <w:style w:type="paragraph" w:styleId="Corpsdetexte">
    <w:name w:val="Body Text"/>
    <w:basedOn w:val="Normal"/>
    <w:semiHidden/>
    <w:pPr>
      <w:spacing w:after="120"/>
    </w:pPr>
  </w:style>
  <w:style w:type="paragraph" w:styleId="Notedebasdepage">
    <w:name w:val="footnote text"/>
    <w:basedOn w:val="Normal"/>
    <w:link w:val="NotedebasdepageCar"/>
    <w:uiPriority w:val="99"/>
    <w:semiHidden/>
    <w:pPr>
      <w:spacing w:line="240" w:lineRule="auto"/>
      <w:ind w:left="360" w:hanging="360"/>
      <w:jc w:val="both"/>
    </w:pPr>
    <w:rPr>
      <w:sz w:val="20"/>
    </w:rPr>
  </w:style>
  <w:style w:type="paragraph" w:styleId="Notedefin">
    <w:name w:val="endnote text"/>
    <w:basedOn w:val="Normal"/>
    <w:semiHidden/>
    <w:pPr>
      <w:ind w:left="-360"/>
      <w:jc w:val="both"/>
    </w:pPr>
    <w:rPr>
      <w:sz w:val="20"/>
    </w:rPr>
  </w:style>
  <w:style w:type="paragraph" w:customStyle="1" w:styleId="zSoquijlblCour">
    <w:name w:val="zSoquij_lblCour"/>
    <w:basedOn w:val="Normal"/>
    <w:pPr>
      <w:spacing w:line="500" w:lineRule="exact"/>
      <w:jc w:val="center"/>
    </w:pPr>
    <w:rPr>
      <w:b/>
      <w:sz w:val="36"/>
    </w:rPr>
  </w:style>
  <w:style w:type="paragraph" w:customStyle="1" w:styleId="zSoquijlblPays">
    <w:name w:val="zSoquij_lblPays"/>
    <w:basedOn w:val="Normal"/>
  </w:style>
  <w:style w:type="paragraph" w:customStyle="1" w:styleId="zSoquijlblProvince">
    <w:name w:val="zSoquij_lblProvince"/>
    <w:basedOn w:val="Normal"/>
  </w:style>
  <w:style w:type="paragraph" w:customStyle="1" w:styleId="zSoquijlblGreffe">
    <w:name w:val="zSoquij_lblGreffe"/>
    <w:basedOn w:val="Normal"/>
  </w:style>
  <w:style w:type="paragraph" w:customStyle="1" w:styleId="zSoquijdatGreffe">
    <w:name w:val="zSoquij_datGreffe"/>
    <w:basedOn w:val="Normal"/>
  </w:style>
  <w:style w:type="paragraph" w:customStyle="1" w:styleId="zSoquijdatDivision">
    <w:name w:val="zSoquij_datDivision"/>
    <w:basedOn w:val="Normal"/>
    <w:pPr>
      <w:jc w:val="center"/>
    </w:pPr>
    <w:rPr>
      <w:sz w:val="22"/>
    </w:rPr>
  </w:style>
  <w:style w:type="paragraph" w:customStyle="1" w:styleId="zSoquijlblNoDossier">
    <w:name w:val="zSoquij_lblNoDossier"/>
    <w:basedOn w:val="Normal"/>
  </w:style>
  <w:style w:type="paragraph" w:customStyle="1" w:styleId="zSoquijdatNoDossier">
    <w:name w:val="zSoquij_datNoDossier"/>
    <w:basedOn w:val="Normal"/>
  </w:style>
  <w:style w:type="paragraph" w:customStyle="1" w:styleId="zSoquijdatNoDossierAnt">
    <w:name w:val="zSoquij_datNoDossierAnt"/>
    <w:basedOn w:val="Normal"/>
    <w:pPr>
      <w:ind w:left="950"/>
    </w:pPr>
  </w:style>
  <w:style w:type="paragraph" w:customStyle="1" w:styleId="zSoquijdatDateJugement">
    <w:name w:val="zSoquij_datDateJugement"/>
    <w:basedOn w:val="Normal"/>
  </w:style>
  <w:style w:type="paragraph" w:customStyle="1" w:styleId="zSoquijlblDateJugement">
    <w:name w:val="zSoquij_lblDateJugement"/>
    <w:basedOn w:val="Normal"/>
  </w:style>
  <w:style w:type="paragraph" w:customStyle="1" w:styleId="zSoquijlblJuge">
    <w:name w:val="zSoquij_lblJuge"/>
    <w:basedOn w:val="Normal"/>
    <w:rPr>
      <w:b/>
    </w:rPr>
  </w:style>
  <w:style w:type="paragraph" w:customStyle="1" w:styleId="zSoquijdatQteJuge">
    <w:name w:val="zSoquij_datQteJuge"/>
    <w:basedOn w:val="Normal"/>
    <w:rPr>
      <w:b/>
    </w:rPr>
  </w:style>
  <w:style w:type="paragraph" w:customStyle="1" w:styleId="zSoquijdatJuge">
    <w:name w:val="zSoquij_datJuge"/>
    <w:basedOn w:val="Normal"/>
    <w:rPr>
      <w:b/>
    </w:rPr>
  </w:style>
  <w:style w:type="paragraph" w:customStyle="1" w:styleId="zSoquijdatNomPartieDem">
    <w:name w:val="zSoquij_datNomPartieDem"/>
    <w:basedOn w:val="Normal"/>
    <w:rPr>
      <w:b/>
      <w:bCs/>
    </w:rPr>
  </w:style>
  <w:style w:type="paragraph" w:customStyle="1" w:styleId="zSoquijdatQtePartieDem">
    <w:name w:val="zSoquij_datQtePartieDem"/>
    <w:basedOn w:val="Normal"/>
    <w:pPr>
      <w:ind w:left="708"/>
    </w:pPr>
  </w:style>
  <w:style w:type="paragraph" w:customStyle="1" w:styleId="zSoquijlblLienParties">
    <w:name w:val="zSoquij_lblLienParties"/>
    <w:basedOn w:val="Normal"/>
  </w:style>
  <w:style w:type="paragraph" w:customStyle="1" w:styleId="zSoquijdatNomPartieDef">
    <w:name w:val="zSoquij_datNomPartieDef"/>
    <w:basedOn w:val="Normal"/>
    <w:rPr>
      <w:b/>
      <w:bCs/>
    </w:rPr>
  </w:style>
  <w:style w:type="paragraph" w:customStyle="1" w:styleId="zSoquijdatQtePartieDef">
    <w:name w:val="zSoquij_datQtePartieDef"/>
    <w:basedOn w:val="Normal"/>
    <w:pPr>
      <w:ind w:left="708"/>
    </w:pPr>
  </w:style>
  <w:style w:type="paragraph" w:customStyle="1" w:styleId="zSoquijlblTypeDocument">
    <w:name w:val="zSoquij_lblTypeDocument"/>
    <w:basedOn w:val="Normal"/>
    <w:pPr>
      <w:jc w:val="center"/>
    </w:pPr>
  </w:style>
  <w:style w:type="paragraph" w:customStyle="1" w:styleId="zSoquijlblProcureurDem">
    <w:name w:val="zSoquij_lblProcureurDem"/>
    <w:basedOn w:val="Normal"/>
  </w:style>
  <w:style w:type="paragraph" w:customStyle="1" w:styleId="zSoquijlblProcureurDef">
    <w:name w:val="zSoquij_lblProcureurDef"/>
    <w:basedOn w:val="Normal"/>
  </w:style>
  <w:style w:type="paragraph" w:customStyle="1" w:styleId="zSoquijlblDateAudience">
    <w:name w:val="zSoquij_lblDateAudience"/>
    <w:basedOn w:val="Normal"/>
  </w:style>
  <w:style w:type="paragraph" w:customStyle="1" w:styleId="zSoquijdatDateAudience">
    <w:name w:val="zSoquij_datDateAudience"/>
    <w:basedOn w:val="Normal"/>
  </w:style>
  <w:style w:type="paragraph" w:customStyle="1" w:styleId="zSoquijlblNomChambre">
    <w:name w:val="zSoquij_lblNomChambre"/>
    <w:basedOn w:val="Normal"/>
  </w:style>
  <w:style w:type="paragraph" w:customStyle="1" w:styleId="zSoquijlblOpinionJuge">
    <w:name w:val="zSoquij_lblOpinionJuge"/>
    <w:basedOn w:val="Normal"/>
    <w:pPr>
      <w:jc w:val="center"/>
    </w:pPr>
  </w:style>
  <w:style w:type="character" w:customStyle="1" w:styleId="zSoquijlblEntNoDossier">
    <w:name w:val="zSoquij_lblEntNoDossier"/>
    <w:basedOn w:val="Policepardfaut"/>
    <w:rPr>
      <w:noProof w:val="0"/>
      <w:lang w:val="fr-CA"/>
    </w:rPr>
  </w:style>
  <w:style w:type="paragraph" w:customStyle="1" w:styleId="zSoquijlblTitrePartie">
    <w:name w:val="zSoquij_lblTitrePartie"/>
    <w:basedOn w:val="Normal"/>
  </w:style>
  <w:style w:type="paragraph" w:customStyle="1" w:styleId="zSoquijdatIdJuge">
    <w:name w:val="zSoquij_datIdJuge"/>
    <w:basedOn w:val="Normal"/>
    <w:pPr>
      <w:jc w:val="right"/>
    </w:pPr>
  </w:style>
  <w:style w:type="paragraph" w:customStyle="1" w:styleId="Sous-paragraphe">
    <w:name w:val="Sous-paragraphe"/>
    <w:basedOn w:val="Normal"/>
    <w:pPr>
      <w:widowControl w:val="0"/>
      <w:numPr>
        <w:ilvl w:val="1"/>
        <w:numId w:val="18"/>
      </w:numPr>
      <w:spacing w:after="120"/>
      <w:jc w:val="both"/>
    </w:pPr>
    <w:rPr>
      <w:kern w:val="28"/>
    </w:rPr>
  </w:style>
  <w:style w:type="paragraph" w:customStyle="1" w:styleId="zSoquijdatNomProcureurDem">
    <w:name w:val="zSoquij_datNomProcureurDem"/>
    <w:basedOn w:val="zSoquijlblProcureurDem"/>
    <w:pPr>
      <w:keepNext/>
    </w:pPr>
  </w:style>
  <w:style w:type="paragraph" w:customStyle="1" w:styleId="zSoquijdatNomProcureurDef">
    <w:name w:val="zSoquij_datNomProcureurDef"/>
    <w:basedOn w:val="zSoquijlblProcureurDef"/>
    <w:pPr>
      <w:keepNext/>
    </w:pPr>
  </w:style>
  <w:style w:type="paragraph" w:customStyle="1" w:styleId="zSoquijdatCabinetProcureurDem">
    <w:name w:val="zSoquij_datCabinetProcureurDem"/>
    <w:basedOn w:val="Normal"/>
    <w:pPr>
      <w:keepNext/>
    </w:pPr>
  </w:style>
  <w:style w:type="paragraph" w:customStyle="1" w:styleId="zSoquijdatCabinetProcureurDef">
    <w:name w:val="zSoquij_datCabinetProcureurDef"/>
    <w:basedOn w:val="zSoquijlblProcureurDef"/>
    <w:pPr>
      <w:keepNext/>
    </w:pPr>
  </w:style>
  <w:style w:type="paragraph" w:styleId="En-tte">
    <w:name w:val="header"/>
    <w:basedOn w:val="Normal"/>
    <w:semiHidden/>
    <w:pPr>
      <w:tabs>
        <w:tab w:val="center" w:pos="4320"/>
        <w:tab w:val="right" w:pos="8640"/>
      </w:tabs>
    </w:pPr>
  </w:style>
  <w:style w:type="paragraph" w:styleId="Pieddepage">
    <w:name w:val="footer"/>
    <w:basedOn w:val="Normal"/>
    <w:semiHidden/>
    <w:pPr>
      <w:tabs>
        <w:tab w:val="center" w:pos="4320"/>
        <w:tab w:val="right" w:pos="8640"/>
      </w:tabs>
    </w:pPr>
  </w:style>
  <w:style w:type="paragraph" w:customStyle="1" w:styleId="Tableaudroiteanglais">
    <w:name w:val="Tableau droite anglais"/>
    <w:basedOn w:val="Tableaugauchefranais"/>
    <w:pPr>
      <w:ind w:left="144" w:right="720"/>
      <w:jc w:val="both"/>
    </w:pPr>
    <w:rPr>
      <w:lang w:val="en-CA"/>
    </w:rPr>
  </w:style>
  <w:style w:type="paragraph" w:customStyle="1" w:styleId="Tableaugauchefranais">
    <w:name w:val="Tableau gauche français"/>
    <w:basedOn w:val="Normal"/>
    <w:pPr>
      <w:ind w:left="720" w:right="144"/>
    </w:pPr>
    <w:rPr>
      <w:sz w:val="22"/>
    </w:rPr>
  </w:style>
  <w:style w:type="character" w:styleId="Appelnotedebasdep">
    <w:name w:val="footnote reference"/>
    <w:uiPriority w:val="99"/>
    <w:semiHidden/>
    <w:rPr>
      <w:noProof w:val="0"/>
      <w:vertAlign w:val="superscript"/>
      <w:lang w:val="fr-CA"/>
    </w:rPr>
  </w:style>
  <w:style w:type="paragraph" w:styleId="Corpsdetexte3">
    <w:name w:val="Body Text 3"/>
    <w:basedOn w:val="Normal"/>
    <w:semiHidden/>
    <w:pPr>
      <w:spacing w:after="120"/>
    </w:pPr>
    <w:rPr>
      <w:sz w:val="16"/>
    </w:rPr>
  </w:style>
  <w:style w:type="paragraph" w:customStyle="1" w:styleId="zSoquijdatRepertorie">
    <w:name w:val="zSoquij_datRepertorie"/>
    <w:basedOn w:val="zSoquijlblCour"/>
    <w:pPr>
      <w:spacing w:line="240" w:lineRule="auto"/>
      <w:jc w:val="left"/>
    </w:pPr>
    <w:rPr>
      <w:sz w:val="22"/>
    </w:rPr>
  </w:style>
  <w:style w:type="paragraph" w:customStyle="1" w:styleId="zSoquijdatRefNeutre">
    <w:name w:val="zSoquij_datRefNeutre"/>
    <w:basedOn w:val="zSoquijlblCour"/>
    <w:pPr>
      <w:spacing w:line="240" w:lineRule="auto"/>
      <w:jc w:val="left"/>
    </w:pPr>
    <w:rPr>
      <w:sz w:val="22"/>
    </w:rPr>
  </w:style>
  <w:style w:type="table" w:styleId="Grilledutableau">
    <w:name w:val="Table Grid"/>
    <w:basedOn w:val="TableauNormal"/>
    <w:uiPriority w:val="39"/>
    <w:rsid w:val="00E20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E3239"/>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3239"/>
    <w:rPr>
      <w:rFonts w:ascii="Segoe UI" w:hAnsi="Segoe UI" w:cs="Segoe UI"/>
      <w:sz w:val="18"/>
      <w:szCs w:val="18"/>
      <w:lang w:eastAsia="fr-FR"/>
    </w:rPr>
  </w:style>
  <w:style w:type="character" w:styleId="Lienhypertexte">
    <w:name w:val="Hyperlink"/>
    <w:basedOn w:val="Policepardfaut"/>
    <w:uiPriority w:val="99"/>
    <w:unhideWhenUsed/>
    <w:rsid w:val="00184418"/>
    <w:rPr>
      <w:color w:val="0000FF"/>
      <w:u w:val="single"/>
    </w:rPr>
  </w:style>
  <w:style w:type="paragraph" w:customStyle="1" w:styleId="paragraphe0">
    <w:name w:val="paragraphe"/>
    <w:basedOn w:val="Normal"/>
    <w:rsid w:val="00184418"/>
    <w:pPr>
      <w:spacing w:before="100" w:beforeAutospacing="1" w:after="100" w:afterAutospacing="1" w:line="240" w:lineRule="auto"/>
    </w:pPr>
    <w:rPr>
      <w:rFonts w:ascii="Times New Roman" w:hAnsi="Times New Roman"/>
      <w:szCs w:val="24"/>
      <w:lang w:eastAsia="fr-CA"/>
    </w:rPr>
  </w:style>
  <w:style w:type="character" w:customStyle="1" w:styleId="reflex2-link">
    <w:name w:val="reflex2-link"/>
    <w:basedOn w:val="Policepardfaut"/>
    <w:rsid w:val="00184418"/>
  </w:style>
  <w:style w:type="character" w:customStyle="1" w:styleId="ParagrapheCar">
    <w:name w:val="Paragraphe Car"/>
    <w:link w:val="Paragraphe"/>
    <w:rsid w:val="005C1A3C"/>
    <w:rPr>
      <w:rFonts w:ascii="Arial" w:hAnsi="Arial"/>
      <w:kern w:val="28"/>
      <w:sz w:val="24"/>
      <w:lang w:eastAsia="fr-FR"/>
    </w:rPr>
  </w:style>
  <w:style w:type="character" w:customStyle="1" w:styleId="CitationenretraitCar">
    <w:name w:val="Citation en retrait Car"/>
    <w:basedOn w:val="Policepardfaut"/>
    <w:link w:val="Citationenretrait"/>
    <w:rsid w:val="005C1A3C"/>
    <w:rPr>
      <w:rFonts w:ascii="Arial" w:hAnsi="Arial"/>
      <w:kern w:val="24"/>
      <w:sz w:val="22"/>
      <w:lang w:eastAsia="fr-FR"/>
    </w:rPr>
  </w:style>
  <w:style w:type="paragraph" w:styleId="Rvision">
    <w:name w:val="Revision"/>
    <w:hidden/>
    <w:uiPriority w:val="99"/>
    <w:semiHidden/>
    <w:rsid w:val="009A7065"/>
    <w:rPr>
      <w:rFonts w:ascii="Arial" w:hAnsi="Arial"/>
      <w:sz w:val="24"/>
      <w:lang w:eastAsia="fr-FR"/>
    </w:rPr>
  </w:style>
  <w:style w:type="paragraph" w:styleId="NormalWeb">
    <w:name w:val="Normal (Web)"/>
    <w:basedOn w:val="Normal"/>
    <w:uiPriority w:val="99"/>
    <w:semiHidden/>
    <w:unhideWhenUsed/>
    <w:rsid w:val="00D20612"/>
    <w:pPr>
      <w:spacing w:before="100" w:beforeAutospacing="1" w:after="100" w:afterAutospacing="1" w:line="240" w:lineRule="auto"/>
    </w:pPr>
    <w:rPr>
      <w:rFonts w:ascii="Times New Roman" w:hAnsi="Times New Roman"/>
      <w:szCs w:val="24"/>
      <w:lang w:eastAsia="fr-CA"/>
    </w:rPr>
  </w:style>
  <w:style w:type="character" w:customStyle="1" w:styleId="ssbf1">
    <w:name w:val="ss_bf1"/>
    <w:basedOn w:val="Policepardfaut"/>
    <w:rsid w:val="00D20612"/>
    <w:rPr>
      <w:b/>
      <w:bCs/>
      <w:color w:val="212121"/>
    </w:rPr>
  </w:style>
  <w:style w:type="character" w:customStyle="1" w:styleId="sectionlabel">
    <w:name w:val="sectionlabel"/>
    <w:basedOn w:val="Policepardfaut"/>
    <w:rsid w:val="00D20612"/>
    <w:rPr>
      <w:b/>
      <w:bCs/>
      <w:color w:val="000000"/>
    </w:rPr>
  </w:style>
  <w:style w:type="paragraph" w:customStyle="1" w:styleId="paragraph">
    <w:name w:val="paragraph"/>
    <w:basedOn w:val="Normal"/>
    <w:rsid w:val="00D20612"/>
    <w:pPr>
      <w:spacing w:before="168" w:after="120" w:line="240" w:lineRule="auto"/>
      <w:ind w:left="360"/>
    </w:pPr>
    <w:rPr>
      <w:rFonts w:ascii="Times New Roman" w:hAnsi="Times New Roman"/>
      <w:szCs w:val="24"/>
      <w:lang w:eastAsia="fr-CA"/>
    </w:rPr>
  </w:style>
  <w:style w:type="paragraph" w:customStyle="1" w:styleId="subparagraph">
    <w:name w:val="subparagraph"/>
    <w:basedOn w:val="Normal"/>
    <w:rsid w:val="00D20612"/>
    <w:pPr>
      <w:spacing w:before="168" w:after="120" w:line="240" w:lineRule="auto"/>
      <w:ind w:left="720"/>
    </w:pPr>
    <w:rPr>
      <w:rFonts w:ascii="Times New Roman" w:hAnsi="Times New Roman"/>
      <w:szCs w:val="24"/>
      <w:lang w:eastAsia="fr-CA"/>
    </w:rPr>
  </w:style>
  <w:style w:type="character" w:customStyle="1" w:styleId="lawlabel2">
    <w:name w:val="lawlabel2"/>
    <w:basedOn w:val="Policepardfaut"/>
    <w:rsid w:val="00D20612"/>
    <w:rPr>
      <w:b/>
      <w:bCs/>
      <w:color w:val="000000"/>
    </w:rPr>
  </w:style>
  <w:style w:type="paragraph" w:customStyle="1" w:styleId="subsection">
    <w:name w:val="subsection"/>
    <w:basedOn w:val="Normal"/>
    <w:rsid w:val="00D20612"/>
    <w:pPr>
      <w:spacing w:before="168" w:after="120" w:line="240" w:lineRule="auto"/>
    </w:pPr>
    <w:rPr>
      <w:rFonts w:ascii="Times New Roman" w:hAnsi="Times New Roman"/>
      <w:szCs w:val="24"/>
      <w:lang w:eastAsia="fr-CA"/>
    </w:rPr>
  </w:style>
  <w:style w:type="character" w:styleId="DfinitionHTML">
    <w:name w:val="HTML Definition"/>
    <w:basedOn w:val="Policepardfaut"/>
    <w:uiPriority w:val="99"/>
    <w:semiHidden/>
    <w:unhideWhenUsed/>
    <w:rsid w:val="00D20612"/>
    <w:rPr>
      <w:i/>
      <w:iCs/>
    </w:rPr>
  </w:style>
  <w:style w:type="paragraph" w:styleId="Citation">
    <w:name w:val="Quote"/>
    <w:basedOn w:val="Normal"/>
    <w:next w:val="Normal"/>
    <w:link w:val="CitationCar"/>
    <w:uiPriority w:val="29"/>
    <w:qFormat/>
    <w:rsid w:val="00D20612"/>
    <w:pPr>
      <w:spacing w:before="200" w:after="160" w:line="259" w:lineRule="auto"/>
      <w:ind w:left="864" w:right="864"/>
      <w:jc w:val="center"/>
    </w:pPr>
    <w:rPr>
      <w:rFonts w:asciiTheme="minorHAnsi" w:eastAsiaTheme="minorHAnsi" w:hAnsiTheme="minorHAnsi" w:cstheme="minorBidi"/>
      <w:i/>
      <w:iCs/>
      <w:color w:val="404040" w:themeColor="text1" w:themeTint="BF"/>
      <w:sz w:val="22"/>
      <w:szCs w:val="22"/>
      <w:lang w:eastAsia="en-US"/>
    </w:rPr>
  </w:style>
  <w:style w:type="character" w:customStyle="1" w:styleId="CitationCar">
    <w:name w:val="Citation Car"/>
    <w:basedOn w:val="Policepardfaut"/>
    <w:link w:val="Citation"/>
    <w:uiPriority w:val="29"/>
    <w:rsid w:val="00D20612"/>
    <w:rPr>
      <w:rFonts w:asciiTheme="minorHAnsi" w:eastAsiaTheme="minorHAnsi" w:hAnsiTheme="minorHAnsi" w:cstheme="minorBidi"/>
      <w:i/>
      <w:iCs/>
      <w:color w:val="404040" w:themeColor="text1" w:themeTint="BF"/>
      <w:sz w:val="22"/>
      <w:szCs w:val="22"/>
      <w:lang w:eastAsia="en-US"/>
    </w:rPr>
  </w:style>
  <w:style w:type="character" w:customStyle="1" w:styleId="NotedebasdepageCar">
    <w:name w:val="Note de bas de page Car"/>
    <w:basedOn w:val="Policepardfaut"/>
    <w:link w:val="Notedebasdepage"/>
    <w:uiPriority w:val="99"/>
    <w:semiHidden/>
    <w:rsid w:val="00D20612"/>
    <w:rPr>
      <w:rFonts w:ascii="Arial" w:hAnsi="Arial"/>
      <w:lang w:eastAsia="fr-FR"/>
    </w:rPr>
  </w:style>
  <w:style w:type="character" w:styleId="Marquedecommentaire">
    <w:name w:val="annotation reference"/>
    <w:basedOn w:val="Policepardfaut"/>
    <w:uiPriority w:val="99"/>
    <w:semiHidden/>
    <w:unhideWhenUsed/>
    <w:rsid w:val="00D20612"/>
    <w:rPr>
      <w:sz w:val="16"/>
      <w:szCs w:val="16"/>
    </w:rPr>
  </w:style>
  <w:style w:type="paragraph" w:styleId="Commentaire">
    <w:name w:val="annotation text"/>
    <w:basedOn w:val="Normal"/>
    <w:link w:val="CommentaireCar"/>
    <w:uiPriority w:val="99"/>
    <w:semiHidden/>
    <w:unhideWhenUsed/>
    <w:rsid w:val="00D20612"/>
    <w:pPr>
      <w:spacing w:line="240" w:lineRule="auto"/>
    </w:pPr>
    <w:rPr>
      <w:sz w:val="20"/>
    </w:rPr>
  </w:style>
  <w:style w:type="character" w:customStyle="1" w:styleId="CommentaireCar">
    <w:name w:val="Commentaire Car"/>
    <w:basedOn w:val="Policepardfaut"/>
    <w:link w:val="Commentaire"/>
    <w:uiPriority w:val="99"/>
    <w:semiHidden/>
    <w:rsid w:val="00D20612"/>
    <w:rPr>
      <w:rFonts w:ascii="Arial" w:hAnsi="Arial"/>
      <w:lang w:eastAsia="fr-FR"/>
    </w:rPr>
  </w:style>
  <w:style w:type="paragraph" w:styleId="Objetducommentaire">
    <w:name w:val="annotation subject"/>
    <w:basedOn w:val="Commentaire"/>
    <w:next w:val="Commentaire"/>
    <w:link w:val="ObjetducommentaireCar"/>
    <w:uiPriority w:val="99"/>
    <w:semiHidden/>
    <w:unhideWhenUsed/>
    <w:rsid w:val="00D20612"/>
    <w:rPr>
      <w:b/>
      <w:bCs/>
    </w:rPr>
  </w:style>
  <w:style w:type="character" w:customStyle="1" w:styleId="ObjetducommentaireCar">
    <w:name w:val="Objet du commentaire Car"/>
    <w:basedOn w:val="CommentaireCar"/>
    <w:link w:val="Objetducommentaire"/>
    <w:uiPriority w:val="99"/>
    <w:semiHidden/>
    <w:rsid w:val="00D20612"/>
    <w:rPr>
      <w:rFonts w:ascii="Arial" w:hAnsi="Arial"/>
      <w:b/>
      <w:bCs/>
      <w:lang w:eastAsia="fr-FR"/>
    </w:rPr>
  </w:style>
  <w:style w:type="paragraph" w:customStyle="1" w:styleId="paragnum">
    <w:name w:val="paragnum"/>
    <w:basedOn w:val="Normal"/>
    <w:rsid w:val="00D20612"/>
    <w:pPr>
      <w:spacing w:before="100" w:beforeAutospacing="1" w:after="100" w:afterAutospacing="1" w:line="240" w:lineRule="auto"/>
    </w:pPr>
    <w:rPr>
      <w:rFonts w:ascii="Times New Roman" w:hAnsi="Times New Roman"/>
      <w:szCs w:val="24"/>
      <w:lang w:eastAsia="fr-CA"/>
    </w:rPr>
  </w:style>
  <w:style w:type="character" w:customStyle="1" w:styleId="citationcar0">
    <w:name w:val="citationcar"/>
    <w:basedOn w:val="Policepardfaut"/>
    <w:rsid w:val="00D20612"/>
  </w:style>
  <w:style w:type="paragraph" w:customStyle="1" w:styleId="citation11">
    <w:name w:val="citation11"/>
    <w:basedOn w:val="Normal"/>
    <w:rsid w:val="00D20612"/>
    <w:pPr>
      <w:spacing w:after="720" w:line="240" w:lineRule="auto"/>
      <w:ind w:left="1166"/>
      <w:jc w:val="both"/>
    </w:pPr>
    <w:rPr>
      <w:rFonts w:ascii="Times New Roman" w:hAnsi="Times New Roman"/>
      <w:szCs w:val="24"/>
      <w:lang w:eastAsia="fr-CA"/>
    </w:rPr>
  </w:style>
  <w:style w:type="paragraph" w:customStyle="1" w:styleId="reasonsnumbering-altn1">
    <w:name w:val="reasonsnumbering-altn1"/>
    <w:basedOn w:val="Normal"/>
    <w:rsid w:val="00D20612"/>
    <w:pPr>
      <w:spacing w:after="480" w:line="480" w:lineRule="auto"/>
      <w:jc w:val="both"/>
    </w:pPr>
    <w:rPr>
      <w:rFonts w:ascii="Times New Roman" w:hAnsi="Times New Roman"/>
      <w:szCs w:val="24"/>
      <w:lang w:eastAsia="fr-CA"/>
    </w:rPr>
  </w:style>
  <w:style w:type="character" w:customStyle="1" w:styleId="decisia-reflex2-icon3">
    <w:name w:val="decisia-reflex2-icon3"/>
    <w:basedOn w:val="Policepardfaut"/>
    <w:rsid w:val="00D20612"/>
    <w:rPr>
      <w:vanish/>
      <w:webHidden w:val="0"/>
      <w:sz w:val="19"/>
      <w:szCs w:val="19"/>
      <w:specVanish w:val="0"/>
    </w:rPr>
  </w:style>
  <w:style w:type="paragraph" w:customStyle="1" w:styleId="11">
    <w:name w:val="11"/>
    <w:basedOn w:val="Normal"/>
    <w:rsid w:val="00D20612"/>
    <w:pPr>
      <w:autoSpaceDE w:val="0"/>
      <w:autoSpaceDN w:val="0"/>
      <w:spacing w:line="240" w:lineRule="auto"/>
      <w:ind w:hanging="720"/>
    </w:pPr>
    <w:rPr>
      <w:rFonts w:ascii="Times New Roman" w:hAnsi="Times New Roman"/>
      <w:szCs w:val="24"/>
      <w:lang w:eastAsia="fr-CA"/>
    </w:rPr>
  </w:style>
  <w:style w:type="character" w:customStyle="1" w:styleId="solexhl">
    <w:name w:val="solexhl"/>
    <w:basedOn w:val="Policepardfaut"/>
    <w:rsid w:val="00D20612"/>
  </w:style>
  <w:style w:type="character" w:styleId="Appeldenotedefin">
    <w:name w:val="endnote reference"/>
    <w:basedOn w:val="Policepardfaut"/>
    <w:uiPriority w:val="99"/>
    <w:semiHidden/>
    <w:unhideWhenUsed/>
    <w:rsid w:val="00D20612"/>
    <w:rPr>
      <w:vertAlign w:val="superscript"/>
    </w:rPr>
  </w:style>
  <w:style w:type="paragraph" w:styleId="Paragraphedeliste">
    <w:name w:val="List Paragraph"/>
    <w:basedOn w:val="Normal"/>
    <w:uiPriority w:val="34"/>
    <w:qFormat/>
    <w:rsid w:val="00D20612"/>
    <w:pPr>
      <w:ind w:left="720"/>
      <w:contextualSpacing/>
    </w:pPr>
  </w:style>
  <w:style w:type="paragraph" w:customStyle="1" w:styleId="paranondepar-altn1">
    <w:name w:val="paranondepar-altn1"/>
    <w:basedOn w:val="Normal"/>
    <w:rsid w:val="00D20612"/>
    <w:pPr>
      <w:spacing w:before="480" w:after="480" w:line="480" w:lineRule="auto"/>
      <w:jc w:val="both"/>
    </w:pPr>
    <w:rPr>
      <w:rFonts w:ascii="Times New Roman" w:hAnsi="Times New Roman"/>
      <w:szCs w:val="24"/>
      <w:lang w:eastAsia="fr-CA"/>
    </w:rPr>
  </w:style>
  <w:style w:type="character" w:customStyle="1" w:styleId="quotechar">
    <w:name w:val="quotechar"/>
    <w:basedOn w:val="Policepardfaut"/>
    <w:rsid w:val="00D20612"/>
  </w:style>
  <w:style w:type="character" w:styleId="Accentuation">
    <w:name w:val="Emphasis"/>
    <w:basedOn w:val="Policepardfaut"/>
    <w:uiPriority w:val="20"/>
    <w:qFormat/>
    <w:rsid w:val="00D20612"/>
    <w:rPr>
      <w:i/>
      <w:iCs/>
    </w:rPr>
  </w:style>
  <w:style w:type="character" w:styleId="Lienhypertextesuivivisit">
    <w:name w:val="FollowedHyperlink"/>
    <w:basedOn w:val="Policepardfaut"/>
    <w:uiPriority w:val="99"/>
    <w:semiHidden/>
    <w:unhideWhenUsed/>
    <w:rsid w:val="00D70827"/>
    <w:rPr>
      <w:color w:val="954F72" w:themeColor="followedHyperlink"/>
      <w:u w:val="single"/>
    </w:rPr>
  </w:style>
  <w:style w:type="character" w:styleId="lev">
    <w:name w:val="Strong"/>
    <w:basedOn w:val="Policepardfaut"/>
    <w:uiPriority w:val="22"/>
    <w:qFormat/>
    <w:rsid w:val="001B0E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478915">
      <w:bodyDiv w:val="1"/>
      <w:marLeft w:val="0"/>
      <w:marRight w:val="0"/>
      <w:marTop w:val="0"/>
      <w:marBottom w:val="0"/>
      <w:divBdr>
        <w:top w:val="none" w:sz="0" w:space="0" w:color="auto"/>
        <w:left w:val="none" w:sz="0" w:space="0" w:color="auto"/>
        <w:bottom w:val="none" w:sz="0" w:space="0" w:color="auto"/>
        <w:right w:val="none" w:sz="0" w:space="0" w:color="auto"/>
      </w:divBdr>
    </w:div>
    <w:div w:id="433012929">
      <w:bodyDiv w:val="1"/>
      <w:marLeft w:val="0"/>
      <w:marRight w:val="0"/>
      <w:marTop w:val="0"/>
      <w:marBottom w:val="0"/>
      <w:divBdr>
        <w:top w:val="none" w:sz="0" w:space="0" w:color="auto"/>
        <w:left w:val="none" w:sz="0" w:space="0" w:color="auto"/>
        <w:bottom w:val="none" w:sz="0" w:space="0" w:color="auto"/>
        <w:right w:val="none" w:sz="0" w:space="0" w:color="auto"/>
      </w:divBdr>
    </w:div>
    <w:div w:id="485559481">
      <w:bodyDiv w:val="1"/>
      <w:marLeft w:val="0"/>
      <w:marRight w:val="0"/>
      <w:marTop w:val="0"/>
      <w:marBottom w:val="0"/>
      <w:divBdr>
        <w:top w:val="none" w:sz="0" w:space="0" w:color="auto"/>
        <w:left w:val="none" w:sz="0" w:space="0" w:color="auto"/>
        <w:bottom w:val="none" w:sz="0" w:space="0" w:color="auto"/>
        <w:right w:val="none" w:sz="0" w:space="0" w:color="auto"/>
      </w:divBdr>
    </w:div>
    <w:div w:id="789202617">
      <w:bodyDiv w:val="1"/>
      <w:marLeft w:val="0"/>
      <w:marRight w:val="0"/>
      <w:marTop w:val="0"/>
      <w:marBottom w:val="0"/>
      <w:divBdr>
        <w:top w:val="none" w:sz="0" w:space="0" w:color="auto"/>
        <w:left w:val="none" w:sz="0" w:space="0" w:color="auto"/>
        <w:bottom w:val="none" w:sz="0" w:space="0" w:color="auto"/>
        <w:right w:val="none" w:sz="0" w:space="0" w:color="auto"/>
      </w:divBdr>
    </w:div>
    <w:div w:id="790706226">
      <w:bodyDiv w:val="1"/>
      <w:marLeft w:val="0"/>
      <w:marRight w:val="0"/>
      <w:marTop w:val="0"/>
      <w:marBottom w:val="0"/>
      <w:divBdr>
        <w:top w:val="none" w:sz="0" w:space="0" w:color="auto"/>
        <w:left w:val="none" w:sz="0" w:space="0" w:color="auto"/>
        <w:bottom w:val="none" w:sz="0" w:space="0" w:color="auto"/>
        <w:right w:val="none" w:sz="0" w:space="0" w:color="auto"/>
      </w:divBdr>
    </w:div>
    <w:div w:id="935988851">
      <w:bodyDiv w:val="1"/>
      <w:marLeft w:val="0"/>
      <w:marRight w:val="0"/>
      <w:marTop w:val="0"/>
      <w:marBottom w:val="0"/>
      <w:divBdr>
        <w:top w:val="none" w:sz="0" w:space="0" w:color="auto"/>
        <w:left w:val="none" w:sz="0" w:space="0" w:color="auto"/>
        <w:bottom w:val="none" w:sz="0" w:space="0" w:color="auto"/>
        <w:right w:val="none" w:sz="0" w:space="0" w:color="auto"/>
      </w:divBdr>
    </w:div>
    <w:div w:id="1129472675">
      <w:bodyDiv w:val="1"/>
      <w:marLeft w:val="0"/>
      <w:marRight w:val="0"/>
      <w:marTop w:val="0"/>
      <w:marBottom w:val="0"/>
      <w:divBdr>
        <w:top w:val="none" w:sz="0" w:space="0" w:color="auto"/>
        <w:left w:val="none" w:sz="0" w:space="0" w:color="auto"/>
        <w:bottom w:val="none" w:sz="0" w:space="0" w:color="auto"/>
        <w:right w:val="none" w:sz="0" w:space="0" w:color="auto"/>
      </w:divBdr>
    </w:div>
    <w:div w:id="1593856476">
      <w:bodyDiv w:val="1"/>
      <w:marLeft w:val="0"/>
      <w:marRight w:val="0"/>
      <w:marTop w:val="0"/>
      <w:marBottom w:val="0"/>
      <w:divBdr>
        <w:top w:val="none" w:sz="0" w:space="0" w:color="auto"/>
        <w:left w:val="none" w:sz="0" w:space="0" w:color="auto"/>
        <w:bottom w:val="none" w:sz="0" w:space="0" w:color="auto"/>
        <w:right w:val="none" w:sz="0" w:space="0" w:color="auto"/>
      </w:divBdr>
    </w:div>
    <w:div w:id="1948387245">
      <w:bodyDiv w:val="1"/>
      <w:marLeft w:val="0"/>
      <w:marRight w:val="0"/>
      <w:marTop w:val="0"/>
      <w:marBottom w:val="0"/>
      <w:divBdr>
        <w:top w:val="none" w:sz="0" w:space="0" w:color="auto"/>
        <w:left w:val="none" w:sz="0" w:space="0" w:color="auto"/>
        <w:bottom w:val="none" w:sz="0" w:space="0" w:color="auto"/>
        <w:right w:val="none" w:sz="0" w:space="0" w:color="auto"/>
      </w:divBdr>
    </w:div>
    <w:div w:id="213910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D6CC6-CE46-437C-98DD-7946A1079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74</Pages>
  <Words>26912</Words>
  <Characters>148018</Characters>
  <Application>Microsoft Office Word</Application>
  <DocSecurity>0</DocSecurity>
  <Lines>1233</Lines>
  <Paragraphs>349</Paragraphs>
  <ScaleCrop>false</ScaleCrop>
  <HeadingPairs>
    <vt:vector size="2" baseType="variant">
      <vt:variant>
        <vt:lpstr>Titre</vt:lpstr>
      </vt:variant>
      <vt:variant>
        <vt:i4>1</vt:i4>
      </vt:variant>
    </vt:vector>
  </HeadingPairs>
  <TitlesOfParts>
    <vt:vector size="1" baseType="lpstr">
      <vt:lpstr>Gabarit de jugement pour la cour d'appel</vt:lpstr>
    </vt:vector>
  </TitlesOfParts>
  <Manager>Patrice Tardif</Manager>
  <Company>MJQ</Company>
  <LinksUpToDate>false</LinksUpToDate>
  <CharactersWithSpaces>174581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Gabarit de jugement pour la cour d'appel</dc:title>
  <dc:creator>Manon Beaudry</dc:creator>
  <cp:lastModifiedBy>Gauthier, François</cp:lastModifiedBy>
  <cp:revision>2</cp:revision>
  <cp:lastPrinted>2022-02-17T12:57:00Z</cp:lastPrinted>
  <dcterms:created xsi:type="dcterms:W3CDTF">2023-01-24T21:25:00Z</dcterms:created>
  <dcterms:modified xsi:type="dcterms:W3CDTF">2023-01-24T21:25:00Z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quij_Cour">
    <vt:lpwstr>CA</vt:lpwstr>
  </property>
  <property fmtid="{D5CDD505-2E9C-101B-9397-08002B2CF9AE}" pid="3" name="Soquij_DateModification">
    <vt:lpwstr>04-26-2001</vt:lpwstr>
  </property>
  <property fmtid="{D5CDD505-2E9C-101B-9397-08002B2CF9AE}" pid="4" name="Soquij_Langue">
    <vt:lpwstr>Fra</vt:lpwstr>
  </property>
  <property fmtid="{D5CDD505-2E9C-101B-9397-08002B2CF9AE}" pid="5" name="Soquij_Modele">
    <vt:lpwstr>Edj</vt:lpwstr>
  </property>
  <property fmtid="{D5CDD505-2E9C-101B-9397-08002B2CF9AE}" pid="6" name="Soquij_ModifiePar">
    <vt:lpwstr>renste</vt:lpwstr>
  </property>
  <property fmtid="{D5CDD505-2E9C-101B-9397-08002B2CF9AE}" pid="7" name="Soquij_Version">
    <vt:lpwstr>1.6</vt:lpwstr>
  </property>
</Properties>
</file>