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5" w:type="dxa"/>
        <w:tblLayout w:type="fixed"/>
        <w:tblCellMar>
          <w:left w:w="70" w:type="dxa"/>
          <w:right w:w="70" w:type="dxa"/>
        </w:tblCellMar>
        <w:tblLook w:val="0000" w:firstRow="0" w:lastRow="0" w:firstColumn="0" w:lastColumn="0" w:noHBand="0" w:noVBand="0"/>
      </w:tblPr>
      <w:tblGrid>
        <w:gridCol w:w="1036"/>
        <w:gridCol w:w="69"/>
        <w:gridCol w:w="45"/>
        <w:gridCol w:w="5940"/>
        <w:gridCol w:w="2415"/>
      </w:tblGrid>
      <w:tr w:rsidR="00121A72" w14:paraId="261EEC50" w14:textId="77777777">
        <w:trPr>
          <w:trHeight w:val="360"/>
        </w:trPr>
        <w:tc>
          <w:tcPr>
            <w:tcW w:w="7090" w:type="dxa"/>
            <w:gridSpan w:val="4"/>
          </w:tcPr>
          <w:p w14:paraId="261EEC4E" w14:textId="47D16EE0" w:rsidR="00121A72" w:rsidRPr="00894780" w:rsidRDefault="00894780" w:rsidP="00894780">
            <w:pPr>
              <w:pStyle w:val="zSoquijdatRepertorie"/>
              <w:rPr>
                <w:rFonts w:cs="Arial"/>
              </w:rPr>
            </w:pPr>
            <w:r>
              <w:rPr>
                <w:rFonts w:cs="Arial"/>
              </w:rPr>
              <w:t>Québec Mérite Mieux c. Ville de Québec</w:t>
            </w:r>
          </w:p>
        </w:tc>
        <w:tc>
          <w:tcPr>
            <w:tcW w:w="2415" w:type="dxa"/>
          </w:tcPr>
          <w:p w14:paraId="261EEC4F" w14:textId="053D5AAF" w:rsidR="00121A72" w:rsidRPr="005F5483" w:rsidRDefault="005F5483" w:rsidP="005F5483">
            <w:pPr>
              <w:pStyle w:val="zSoquijdatRefNeutre"/>
              <w:jc w:val="right"/>
              <w:rPr>
                <w:rFonts w:cs="Arial"/>
              </w:rPr>
            </w:pPr>
            <w:r w:rsidRPr="005F5483">
              <w:rPr>
                <w:rFonts w:cs="Arial"/>
              </w:rPr>
              <w:t>2023 QCCS 68</w:t>
            </w:r>
          </w:p>
        </w:tc>
      </w:tr>
      <w:tr w:rsidR="00121A72" w14:paraId="261EEC52" w14:textId="77777777">
        <w:trPr>
          <w:trHeight w:val="900"/>
        </w:trPr>
        <w:tc>
          <w:tcPr>
            <w:tcW w:w="9505" w:type="dxa"/>
            <w:gridSpan w:val="5"/>
            <w:vAlign w:val="bottom"/>
          </w:tcPr>
          <w:p w14:paraId="615844F7" w14:textId="77777777" w:rsidR="00121A72" w:rsidRDefault="00121A72" w:rsidP="00D26929">
            <w:pPr>
              <w:pStyle w:val="zSoquijlblCour"/>
            </w:pPr>
            <w:r>
              <w:t>COUR SUPÉRIEURE</w:t>
            </w:r>
          </w:p>
          <w:p w14:paraId="261EEC51" w14:textId="70A33F9C" w:rsidR="007D6689" w:rsidRDefault="007D6689" w:rsidP="00BC48B9">
            <w:pPr>
              <w:pStyle w:val="zSoquijlblCour"/>
            </w:pPr>
            <w:r>
              <w:rPr>
                <w:sz w:val="24"/>
                <w:szCs w:val="24"/>
              </w:rPr>
              <w:t>(</w:t>
            </w:r>
            <w:r w:rsidR="0059293B">
              <w:rPr>
                <w:smallCaps/>
                <w:sz w:val="24"/>
                <w:szCs w:val="24"/>
              </w:rPr>
              <w:t>c</w:t>
            </w:r>
            <w:r w:rsidRPr="0059293B">
              <w:rPr>
                <w:smallCaps/>
                <w:sz w:val="24"/>
                <w:szCs w:val="24"/>
              </w:rPr>
              <w:t xml:space="preserve">hambre </w:t>
            </w:r>
            <w:r w:rsidR="00BC48B9" w:rsidRPr="0059293B">
              <w:rPr>
                <w:smallCaps/>
                <w:sz w:val="24"/>
                <w:szCs w:val="24"/>
              </w:rPr>
              <w:t>civile</w:t>
            </w:r>
            <w:r w:rsidRPr="0059293B">
              <w:rPr>
                <w:sz w:val="24"/>
                <w:szCs w:val="24"/>
              </w:rPr>
              <w:t>)</w:t>
            </w:r>
          </w:p>
        </w:tc>
      </w:tr>
      <w:tr w:rsidR="00121A72" w14:paraId="261EEC54" w14:textId="77777777">
        <w:trPr>
          <w:trHeight w:val="540"/>
        </w:trPr>
        <w:tc>
          <w:tcPr>
            <w:tcW w:w="9505" w:type="dxa"/>
            <w:gridSpan w:val="5"/>
          </w:tcPr>
          <w:p w14:paraId="261EEC53" w14:textId="77777777" w:rsidR="00121A72" w:rsidRDefault="00121A72" w:rsidP="00D26929">
            <w:pPr>
              <w:pStyle w:val="zSoquijdatDivision"/>
            </w:pPr>
          </w:p>
        </w:tc>
      </w:tr>
      <w:tr w:rsidR="00121A72" w14:paraId="261EEC56" w14:textId="77777777">
        <w:tc>
          <w:tcPr>
            <w:tcW w:w="9505" w:type="dxa"/>
            <w:gridSpan w:val="5"/>
          </w:tcPr>
          <w:p w14:paraId="261EEC55" w14:textId="77777777" w:rsidR="00121A72" w:rsidRPr="00C025FC" w:rsidRDefault="00121A72" w:rsidP="00D26929">
            <w:pPr>
              <w:pStyle w:val="zSoquijlblPays"/>
            </w:pPr>
            <w:r w:rsidRPr="00C025FC">
              <w:t>CANADA</w:t>
            </w:r>
          </w:p>
        </w:tc>
      </w:tr>
      <w:tr w:rsidR="00121A72" w14:paraId="261EEC58" w14:textId="77777777">
        <w:tc>
          <w:tcPr>
            <w:tcW w:w="9505" w:type="dxa"/>
            <w:gridSpan w:val="5"/>
          </w:tcPr>
          <w:p w14:paraId="261EEC57" w14:textId="77777777" w:rsidR="00121A72" w:rsidRPr="00EB47C6" w:rsidRDefault="00121A72" w:rsidP="00D26929">
            <w:pPr>
              <w:pStyle w:val="zSoquijlblProvince"/>
            </w:pPr>
            <w:r w:rsidRPr="00EB47C6">
              <w:t xml:space="preserve">PROVINCE DE </w:t>
            </w:r>
            <w:r w:rsidRPr="000B5F49">
              <w:t>QUÉBEC</w:t>
            </w:r>
          </w:p>
        </w:tc>
      </w:tr>
      <w:tr w:rsidR="00A47760" w14:paraId="0B8AC486" w14:textId="77777777">
        <w:tc>
          <w:tcPr>
            <w:tcW w:w="9505" w:type="dxa"/>
            <w:gridSpan w:val="5"/>
          </w:tcPr>
          <w:p w14:paraId="46C4EB7C" w14:textId="65A1FF4D" w:rsidR="00A47760" w:rsidRPr="00EB47C6" w:rsidRDefault="00A47760" w:rsidP="00D26929">
            <w:pPr>
              <w:pStyle w:val="zSoquijlblProvince"/>
            </w:pPr>
            <w:r w:rsidRPr="00BC48B9">
              <w:t>DISTRICT D</w:t>
            </w:r>
            <w:r>
              <w:t>e québec</w:t>
            </w:r>
          </w:p>
        </w:tc>
      </w:tr>
      <w:tr w:rsidR="00121A72" w14:paraId="261EEC5E" w14:textId="77777777">
        <w:tblPrEx>
          <w:tblCellMar>
            <w:left w:w="0" w:type="dxa"/>
            <w:right w:w="0" w:type="dxa"/>
          </w:tblCellMar>
        </w:tblPrEx>
        <w:trPr>
          <w:cantSplit/>
        </w:trPr>
        <w:tc>
          <w:tcPr>
            <w:tcW w:w="1150" w:type="dxa"/>
            <w:gridSpan w:val="3"/>
          </w:tcPr>
          <w:p w14:paraId="261EEC5C" w14:textId="77777777" w:rsidR="00121A72" w:rsidRDefault="00121A72" w:rsidP="00D26929">
            <w:pPr>
              <w:pStyle w:val="zSoquijlblLocalite"/>
            </w:pPr>
          </w:p>
        </w:tc>
        <w:tc>
          <w:tcPr>
            <w:tcW w:w="8355" w:type="dxa"/>
            <w:gridSpan w:val="2"/>
          </w:tcPr>
          <w:p w14:paraId="261EEC5D" w14:textId="77777777" w:rsidR="00121A72" w:rsidRDefault="00121A72" w:rsidP="00D26929">
            <w:pPr>
              <w:pStyle w:val="zSoquijdatLocalite"/>
            </w:pPr>
          </w:p>
        </w:tc>
      </w:tr>
      <w:tr w:rsidR="00121A72" w14:paraId="261EEC60" w14:textId="77777777">
        <w:trPr>
          <w:trHeight w:val="540"/>
        </w:trPr>
        <w:tc>
          <w:tcPr>
            <w:tcW w:w="9505" w:type="dxa"/>
            <w:gridSpan w:val="5"/>
          </w:tcPr>
          <w:p w14:paraId="261EEC5F" w14:textId="77777777" w:rsidR="00121A72" w:rsidRDefault="00121A72" w:rsidP="00D26929">
            <w:pPr>
              <w:pStyle w:val="zSoquijlblNomChambre"/>
            </w:pPr>
          </w:p>
        </w:tc>
      </w:tr>
      <w:tr w:rsidR="00121A72" w14:paraId="261EEC63" w14:textId="77777777">
        <w:tc>
          <w:tcPr>
            <w:tcW w:w="1105" w:type="dxa"/>
            <w:gridSpan w:val="2"/>
          </w:tcPr>
          <w:p w14:paraId="261EEC61" w14:textId="77777777" w:rsidR="00121A72" w:rsidRDefault="00121A72" w:rsidP="00D26929">
            <w:pPr>
              <w:pStyle w:val="zSoquijlblNoDossier"/>
            </w:pPr>
            <w:r>
              <w:t>N° :</w:t>
            </w:r>
          </w:p>
        </w:tc>
        <w:tc>
          <w:tcPr>
            <w:tcW w:w="8400" w:type="dxa"/>
            <w:gridSpan w:val="3"/>
          </w:tcPr>
          <w:p w14:paraId="261EEC62" w14:textId="1B5FD2CE" w:rsidR="00121A72" w:rsidRDefault="00C27553" w:rsidP="00382C45">
            <w:pPr>
              <w:pStyle w:val="zSoquijdatNoDossier"/>
              <w:ind w:left="-69"/>
            </w:pPr>
            <w:r>
              <w:t>200</w:t>
            </w:r>
            <w:r w:rsidR="00EB47C6" w:rsidRPr="00BC48B9">
              <w:t>-</w:t>
            </w:r>
            <w:r w:rsidR="00102E59">
              <w:t>17-033703-224</w:t>
            </w:r>
          </w:p>
        </w:tc>
      </w:tr>
      <w:tr w:rsidR="00121A72" w14:paraId="261EEC66" w14:textId="77777777">
        <w:tblPrEx>
          <w:tblCellMar>
            <w:left w:w="0" w:type="dxa"/>
            <w:right w:w="0" w:type="dxa"/>
          </w:tblCellMar>
        </w:tblPrEx>
        <w:trPr>
          <w:cantSplit/>
        </w:trPr>
        <w:tc>
          <w:tcPr>
            <w:tcW w:w="1105" w:type="dxa"/>
            <w:gridSpan w:val="2"/>
          </w:tcPr>
          <w:p w14:paraId="261EEC64" w14:textId="77777777" w:rsidR="00121A72" w:rsidRDefault="00121A72" w:rsidP="00D26929">
            <w:pPr>
              <w:pStyle w:val="zSoquijlblGreffe"/>
            </w:pPr>
          </w:p>
        </w:tc>
        <w:tc>
          <w:tcPr>
            <w:tcW w:w="8400" w:type="dxa"/>
            <w:gridSpan w:val="3"/>
          </w:tcPr>
          <w:p w14:paraId="261EEC65" w14:textId="5509711C" w:rsidR="00121A72" w:rsidRDefault="00121A72" w:rsidP="00D26929">
            <w:pPr>
              <w:pStyle w:val="zSoquijdatNoDossierAnt"/>
            </w:pPr>
          </w:p>
        </w:tc>
      </w:tr>
      <w:tr w:rsidR="00121A72" w14:paraId="261EEC68" w14:textId="77777777">
        <w:trPr>
          <w:cantSplit/>
          <w:trHeight w:val="235"/>
        </w:trPr>
        <w:tc>
          <w:tcPr>
            <w:tcW w:w="9505" w:type="dxa"/>
            <w:gridSpan w:val="5"/>
          </w:tcPr>
          <w:p w14:paraId="261EEC67" w14:textId="77777777" w:rsidR="00121A72" w:rsidRDefault="00121A72" w:rsidP="00D26929"/>
        </w:tc>
      </w:tr>
      <w:tr w:rsidR="00121A72" w14:paraId="261EEC6B" w14:textId="77777777">
        <w:tc>
          <w:tcPr>
            <w:tcW w:w="1036" w:type="dxa"/>
          </w:tcPr>
          <w:p w14:paraId="261EEC69" w14:textId="77777777" w:rsidR="00121A72" w:rsidRDefault="00121A72" w:rsidP="00D26929">
            <w:pPr>
              <w:pStyle w:val="zSoquijlblDateJugement"/>
            </w:pPr>
            <w:r>
              <w:t>DATE :</w:t>
            </w:r>
          </w:p>
        </w:tc>
        <w:tc>
          <w:tcPr>
            <w:tcW w:w="8469" w:type="dxa"/>
            <w:gridSpan w:val="4"/>
          </w:tcPr>
          <w:p w14:paraId="261EEC6A" w14:textId="5FF71A84" w:rsidR="00121A72" w:rsidRDefault="00FB2EAA" w:rsidP="00382C45">
            <w:pPr>
              <w:pStyle w:val="zSoquijdatDateJugement"/>
            </w:pPr>
            <w:r>
              <w:t xml:space="preserve">17 </w:t>
            </w:r>
            <w:r w:rsidR="005D10E4">
              <w:t>janvier 2023</w:t>
            </w:r>
          </w:p>
        </w:tc>
      </w:tr>
      <w:tr w:rsidR="00121A72" w14:paraId="261EEC6D" w14:textId="77777777">
        <w:tc>
          <w:tcPr>
            <w:tcW w:w="9505" w:type="dxa"/>
            <w:gridSpan w:val="5"/>
          </w:tcPr>
          <w:p w14:paraId="261EEC6C" w14:textId="77777777" w:rsidR="00121A72" w:rsidRDefault="00121A72" w:rsidP="00D26929">
            <w:pPr>
              <w:ind w:left="14" w:right="-67"/>
            </w:pPr>
            <w:r>
              <w:t>______________________________________________________________________</w:t>
            </w:r>
          </w:p>
        </w:tc>
      </w:tr>
      <w:tr w:rsidR="00121A72" w14:paraId="261EEC6F" w14:textId="77777777">
        <w:tc>
          <w:tcPr>
            <w:tcW w:w="9505" w:type="dxa"/>
            <w:gridSpan w:val="5"/>
          </w:tcPr>
          <w:p w14:paraId="261EEC6E" w14:textId="77777777" w:rsidR="00121A72" w:rsidRDefault="00121A72" w:rsidP="00D26929"/>
        </w:tc>
      </w:tr>
      <w:tr w:rsidR="00BB0A71" w14:paraId="261EEC73" w14:textId="77777777" w:rsidTr="00E96F45">
        <w:tblPrEx>
          <w:tblCellMar>
            <w:left w:w="0" w:type="dxa"/>
            <w:right w:w="0" w:type="dxa"/>
          </w:tblCellMar>
        </w:tblPrEx>
        <w:tc>
          <w:tcPr>
            <w:tcW w:w="9505" w:type="dxa"/>
            <w:gridSpan w:val="5"/>
          </w:tcPr>
          <w:p w14:paraId="261EEC72" w14:textId="2AB9AA01" w:rsidR="00BB0A71" w:rsidRDefault="00BB0A71" w:rsidP="00D26929">
            <w:pPr>
              <w:pStyle w:val="zSoquijdatJuge"/>
            </w:pPr>
            <w:r>
              <w:t>SOUS LA PRÉSIDENCE DE L’HONORABLE CLÉMENT SAMSON, J.C.S.</w:t>
            </w:r>
          </w:p>
        </w:tc>
      </w:tr>
      <w:tr w:rsidR="00121A72" w14:paraId="261EEC75" w14:textId="77777777">
        <w:tc>
          <w:tcPr>
            <w:tcW w:w="9505" w:type="dxa"/>
            <w:gridSpan w:val="5"/>
          </w:tcPr>
          <w:p w14:paraId="261EEC74" w14:textId="77777777" w:rsidR="00121A72" w:rsidRDefault="00121A72" w:rsidP="00D26929">
            <w:pPr>
              <w:ind w:left="14" w:right="-67"/>
            </w:pPr>
            <w:r>
              <w:t>______________________________________________________________________</w:t>
            </w:r>
          </w:p>
        </w:tc>
      </w:tr>
      <w:tr w:rsidR="00121A72" w14:paraId="261EEC77" w14:textId="77777777">
        <w:tc>
          <w:tcPr>
            <w:tcW w:w="9505" w:type="dxa"/>
            <w:gridSpan w:val="5"/>
          </w:tcPr>
          <w:p w14:paraId="261EEC76" w14:textId="77777777" w:rsidR="00121A72" w:rsidRDefault="00121A72" w:rsidP="00D26929">
            <w:pPr>
              <w:pStyle w:val="zSoquijlblTitrePartie"/>
            </w:pPr>
          </w:p>
        </w:tc>
      </w:tr>
      <w:tr w:rsidR="000709F6" w14:paraId="4C846EA7" w14:textId="77777777">
        <w:tc>
          <w:tcPr>
            <w:tcW w:w="9505" w:type="dxa"/>
            <w:gridSpan w:val="5"/>
          </w:tcPr>
          <w:p w14:paraId="3F417078" w14:textId="5B9AB97C" w:rsidR="000709F6" w:rsidRDefault="00102E59" w:rsidP="00382C45">
            <w:pPr>
              <w:pStyle w:val="zSoquijdatNomPartieDem"/>
            </w:pPr>
            <w:r>
              <w:t>QUÉBEC MÉRITE MIEUX</w:t>
            </w:r>
          </w:p>
        </w:tc>
      </w:tr>
      <w:tr w:rsidR="00102E59" w14:paraId="4E7C05EE" w14:textId="77777777">
        <w:tc>
          <w:tcPr>
            <w:tcW w:w="9505" w:type="dxa"/>
            <w:gridSpan w:val="5"/>
          </w:tcPr>
          <w:p w14:paraId="550C2889" w14:textId="73CA389A" w:rsidR="00102E59" w:rsidRPr="00102E59" w:rsidRDefault="003223BE" w:rsidP="00382C45">
            <w:pPr>
              <w:pStyle w:val="zSoquijdatNomPartieDem"/>
              <w:rPr>
                <w:b w:val="0"/>
                <w:bCs w:val="0"/>
              </w:rPr>
            </w:pPr>
            <w:r>
              <w:rPr>
                <w:b w:val="0"/>
                <w:bCs w:val="0"/>
              </w:rPr>
              <w:t>e</w:t>
            </w:r>
            <w:r w:rsidR="005C06BE" w:rsidRPr="00102E59">
              <w:rPr>
                <w:b w:val="0"/>
                <w:bCs w:val="0"/>
              </w:rPr>
              <w:t>t</w:t>
            </w:r>
          </w:p>
        </w:tc>
      </w:tr>
      <w:tr w:rsidR="00102E59" w14:paraId="5A37E60C" w14:textId="77777777">
        <w:tc>
          <w:tcPr>
            <w:tcW w:w="9505" w:type="dxa"/>
            <w:gridSpan w:val="5"/>
          </w:tcPr>
          <w:p w14:paraId="3F166BF2" w14:textId="42D69253" w:rsidR="00102E59" w:rsidRPr="00102E59" w:rsidRDefault="00102E59" w:rsidP="00382C45">
            <w:pPr>
              <w:pStyle w:val="zSoquijdatNomPartieDem"/>
              <w:rPr>
                <w:szCs w:val="24"/>
              </w:rPr>
            </w:pPr>
            <w:r>
              <w:rPr>
                <w:szCs w:val="24"/>
              </w:rPr>
              <w:t>DORIS CHABOT</w:t>
            </w:r>
          </w:p>
        </w:tc>
      </w:tr>
      <w:tr w:rsidR="00102E59" w14:paraId="1BDC294A" w14:textId="77777777">
        <w:tc>
          <w:tcPr>
            <w:tcW w:w="9505" w:type="dxa"/>
            <w:gridSpan w:val="5"/>
          </w:tcPr>
          <w:p w14:paraId="20093252" w14:textId="4B7DEB01" w:rsidR="00102E59" w:rsidRDefault="003223BE" w:rsidP="00382C45">
            <w:pPr>
              <w:pStyle w:val="zSoquijdatNomPartieDem"/>
              <w:rPr>
                <w:szCs w:val="24"/>
              </w:rPr>
            </w:pPr>
            <w:r>
              <w:rPr>
                <w:b w:val="0"/>
                <w:bCs w:val="0"/>
              </w:rPr>
              <w:t>e</w:t>
            </w:r>
            <w:r w:rsidR="00102E59" w:rsidRPr="00102E59">
              <w:rPr>
                <w:b w:val="0"/>
                <w:bCs w:val="0"/>
              </w:rPr>
              <w:t>t</w:t>
            </w:r>
          </w:p>
        </w:tc>
      </w:tr>
      <w:tr w:rsidR="00102E59" w14:paraId="706747DB" w14:textId="77777777">
        <w:tc>
          <w:tcPr>
            <w:tcW w:w="9505" w:type="dxa"/>
            <w:gridSpan w:val="5"/>
          </w:tcPr>
          <w:p w14:paraId="006CFE60" w14:textId="2D9E451A" w:rsidR="00102E59" w:rsidRDefault="00102E59" w:rsidP="00102E59">
            <w:pPr>
              <w:pStyle w:val="zSoquijdatNomPartieDem"/>
            </w:pPr>
            <w:r>
              <w:t>DONALD CHARETTE</w:t>
            </w:r>
          </w:p>
        </w:tc>
      </w:tr>
      <w:tr w:rsidR="00102E59" w14:paraId="00CE6B68" w14:textId="77777777">
        <w:tc>
          <w:tcPr>
            <w:tcW w:w="9505" w:type="dxa"/>
            <w:gridSpan w:val="5"/>
          </w:tcPr>
          <w:p w14:paraId="667710DA" w14:textId="6FAE2E1A" w:rsidR="00102E59" w:rsidRDefault="003223BE" w:rsidP="00102E59">
            <w:pPr>
              <w:pStyle w:val="zSoquijdatNomPartieDem"/>
            </w:pPr>
            <w:r>
              <w:rPr>
                <w:b w:val="0"/>
                <w:bCs w:val="0"/>
              </w:rPr>
              <w:t>e</w:t>
            </w:r>
            <w:r w:rsidR="00102E59" w:rsidRPr="00102E59">
              <w:rPr>
                <w:b w:val="0"/>
                <w:bCs w:val="0"/>
              </w:rPr>
              <w:t>t</w:t>
            </w:r>
          </w:p>
        </w:tc>
      </w:tr>
      <w:tr w:rsidR="00102E59" w14:paraId="00889FBA" w14:textId="77777777">
        <w:tc>
          <w:tcPr>
            <w:tcW w:w="9505" w:type="dxa"/>
            <w:gridSpan w:val="5"/>
          </w:tcPr>
          <w:p w14:paraId="06658AC0" w14:textId="17E5FB62" w:rsidR="00102E59" w:rsidRDefault="00102E59" w:rsidP="00102E59">
            <w:pPr>
              <w:pStyle w:val="zSoquijdatNomPartieDem"/>
            </w:pPr>
            <w:r>
              <w:rPr>
                <w:szCs w:val="24"/>
              </w:rPr>
              <w:t>MARC ROUSSIN</w:t>
            </w:r>
          </w:p>
        </w:tc>
      </w:tr>
      <w:tr w:rsidR="00102E59" w14:paraId="0B0C45C8" w14:textId="77777777">
        <w:tc>
          <w:tcPr>
            <w:tcW w:w="9505" w:type="dxa"/>
            <w:gridSpan w:val="5"/>
          </w:tcPr>
          <w:p w14:paraId="7DBE5D3F" w14:textId="090B02FE" w:rsidR="00102E59" w:rsidRDefault="003223BE" w:rsidP="00102E59">
            <w:pPr>
              <w:pStyle w:val="zSoquijdatNomPartieDem"/>
            </w:pPr>
            <w:r>
              <w:rPr>
                <w:b w:val="0"/>
                <w:bCs w:val="0"/>
              </w:rPr>
              <w:t>e</w:t>
            </w:r>
            <w:r w:rsidR="00102E59" w:rsidRPr="00102E59">
              <w:rPr>
                <w:b w:val="0"/>
                <w:bCs w:val="0"/>
              </w:rPr>
              <w:t>t</w:t>
            </w:r>
          </w:p>
        </w:tc>
      </w:tr>
      <w:tr w:rsidR="00102E59" w14:paraId="3BE94A8D" w14:textId="77777777">
        <w:tc>
          <w:tcPr>
            <w:tcW w:w="9505" w:type="dxa"/>
            <w:gridSpan w:val="5"/>
          </w:tcPr>
          <w:p w14:paraId="3A2F1945" w14:textId="088F6975" w:rsidR="00102E59" w:rsidRDefault="00102E59" w:rsidP="00102E59">
            <w:pPr>
              <w:pStyle w:val="zSoquijdatNomPartieDem"/>
            </w:pPr>
            <w:r>
              <w:t>JEAN-MICHEL THÉRIAULT</w:t>
            </w:r>
          </w:p>
        </w:tc>
      </w:tr>
      <w:tr w:rsidR="00102E59" w14:paraId="02182EB6" w14:textId="77777777">
        <w:tc>
          <w:tcPr>
            <w:tcW w:w="9505" w:type="dxa"/>
            <w:gridSpan w:val="5"/>
          </w:tcPr>
          <w:p w14:paraId="715918C5" w14:textId="3F0C9084" w:rsidR="00102E59" w:rsidRDefault="003223BE" w:rsidP="00102E59">
            <w:pPr>
              <w:pStyle w:val="zSoquijdatNomPartieDem"/>
            </w:pPr>
            <w:r>
              <w:rPr>
                <w:b w:val="0"/>
                <w:bCs w:val="0"/>
              </w:rPr>
              <w:t>e</w:t>
            </w:r>
            <w:r w:rsidR="00102E59" w:rsidRPr="00102E59">
              <w:rPr>
                <w:b w:val="0"/>
                <w:bCs w:val="0"/>
              </w:rPr>
              <w:t>t</w:t>
            </w:r>
          </w:p>
        </w:tc>
      </w:tr>
      <w:tr w:rsidR="00102E59" w14:paraId="5016BC77" w14:textId="77777777">
        <w:tc>
          <w:tcPr>
            <w:tcW w:w="9505" w:type="dxa"/>
            <w:gridSpan w:val="5"/>
          </w:tcPr>
          <w:p w14:paraId="6A8A20BC" w14:textId="6CF3A95D" w:rsidR="00102E59" w:rsidRDefault="00102E59" w:rsidP="00102E59">
            <w:pPr>
              <w:pStyle w:val="zSoquijdatNomPartieDem"/>
            </w:pPr>
            <w:r>
              <w:rPr>
                <w:szCs w:val="24"/>
              </w:rPr>
              <w:t>ROLAND COUTURE</w:t>
            </w:r>
          </w:p>
        </w:tc>
      </w:tr>
      <w:tr w:rsidR="00102E59" w14:paraId="4733C6E6" w14:textId="77777777">
        <w:tc>
          <w:tcPr>
            <w:tcW w:w="9505" w:type="dxa"/>
            <w:gridSpan w:val="5"/>
          </w:tcPr>
          <w:p w14:paraId="170F7622" w14:textId="03CE394B" w:rsidR="00102E59" w:rsidRDefault="003223BE" w:rsidP="00102E59">
            <w:pPr>
              <w:pStyle w:val="zSoquijdatNomPartieDem"/>
              <w:rPr>
                <w:szCs w:val="24"/>
              </w:rPr>
            </w:pPr>
            <w:r>
              <w:rPr>
                <w:b w:val="0"/>
                <w:bCs w:val="0"/>
              </w:rPr>
              <w:t>e</w:t>
            </w:r>
            <w:r w:rsidR="005C06BE" w:rsidRPr="00102E59">
              <w:rPr>
                <w:b w:val="0"/>
                <w:bCs w:val="0"/>
              </w:rPr>
              <w:t>t</w:t>
            </w:r>
          </w:p>
        </w:tc>
      </w:tr>
      <w:tr w:rsidR="00102E59" w14:paraId="4D0E0CBD" w14:textId="77777777">
        <w:tc>
          <w:tcPr>
            <w:tcW w:w="9505" w:type="dxa"/>
            <w:gridSpan w:val="5"/>
          </w:tcPr>
          <w:p w14:paraId="19542B4E" w14:textId="34F18A36" w:rsidR="00102E59" w:rsidRDefault="00102E59" w:rsidP="00102E59">
            <w:pPr>
              <w:pStyle w:val="zSoquijdatNomPartieDem"/>
            </w:pPr>
            <w:r>
              <w:t>YVES MASSICOTTE</w:t>
            </w:r>
          </w:p>
        </w:tc>
      </w:tr>
      <w:tr w:rsidR="00102E59" w14:paraId="40276D51" w14:textId="77777777">
        <w:tc>
          <w:tcPr>
            <w:tcW w:w="9505" w:type="dxa"/>
            <w:gridSpan w:val="5"/>
          </w:tcPr>
          <w:p w14:paraId="284A2984" w14:textId="4671853F" w:rsidR="00102E59" w:rsidRDefault="003223BE" w:rsidP="00102E59">
            <w:pPr>
              <w:pStyle w:val="zSoquijdatNomPartieDem"/>
            </w:pPr>
            <w:r>
              <w:rPr>
                <w:b w:val="0"/>
                <w:bCs w:val="0"/>
              </w:rPr>
              <w:t>e</w:t>
            </w:r>
            <w:r w:rsidR="005C06BE" w:rsidRPr="00102E59">
              <w:rPr>
                <w:b w:val="0"/>
                <w:bCs w:val="0"/>
              </w:rPr>
              <w:t>t</w:t>
            </w:r>
          </w:p>
        </w:tc>
      </w:tr>
      <w:tr w:rsidR="00102E59" w14:paraId="2AB4FF12" w14:textId="77777777">
        <w:tc>
          <w:tcPr>
            <w:tcW w:w="9505" w:type="dxa"/>
            <w:gridSpan w:val="5"/>
          </w:tcPr>
          <w:p w14:paraId="7F2E3505" w14:textId="7C62B9C9" w:rsidR="00102E59" w:rsidRDefault="00102E59" w:rsidP="00102E59">
            <w:pPr>
              <w:pStyle w:val="zSoquijdatNomPartieDem"/>
            </w:pPr>
            <w:r>
              <w:rPr>
                <w:szCs w:val="24"/>
              </w:rPr>
              <w:t>DANIELLE CHAPLEAU</w:t>
            </w:r>
          </w:p>
        </w:tc>
      </w:tr>
      <w:tr w:rsidR="00102E59" w14:paraId="1A69CA8B" w14:textId="77777777">
        <w:tc>
          <w:tcPr>
            <w:tcW w:w="9505" w:type="dxa"/>
            <w:gridSpan w:val="5"/>
          </w:tcPr>
          <w:p w14:paraId="69DB3AC0" w14:textId="1BA6D3B3" w:rsidR="00102E59" w:rsidRDefault="003223BE" w:rsidP="00102E59">
            <w:pPr>
              <w:pStyle w:val="zSoquijdatNomPartieDem"/>
            </w:pPr>
            <w:r>
              <w:rPr>
                <w:b w:val="0"/>
                <w:bCs w:val="0"/>
              </w:rPr>
              <w:t>e</w:t>
            </w:r>
            <w:r w:rsidR="00102E59" w:rsidRPr="00102E59">
              <w:rPr>
                <w:b w:val="0"/>
                <w:bCs w:val="0"/>
              </w:rPr>
              <w:t>t</w:t>
            </w:r>
            <w:r w:rsidR="005C06BE">
              <w:rPr>
                <w:b w:val="0"/>
                <w:bCs w:val="0"/>
              </w:rPr>
              <w:t xml:space="preserve"> </w:t>
            </w:r>
          </w:p>
        </w:tc>
      </w:tr>
      <w:tr w:rsidR="00102E59" w14:paraId="65F85843" w14:textId="77777777">
        <w:tc>
          <w:tcPr>
            <w:tcW w:w="9505" w:type="dxa"/>
            <w:gridSpan w:val="5"/>
          </w:tcPr>
          <w:p w14:paraId="33F55631" w14:textId="54BBC3C0" w:rsidR="00102E59" w:rsidRDefault="00102E59" w:rsidP="00102E59">
            <w:pPr>
              <w:pStyle w:val="zSoquijdatNomPartieDem"/>
            </w:pPr>
            <w:r>
              <w:t>JEAN-PIERRE DU SAULT</w:t>
            </w:r>
          </w:p>
        </w:tc>
      </w:tr>
      <w:tr w:rsidR="00102E59" w14:paraId="6FB49360" w14:textId="77777777">
        <w:tc>
          <w:tcPr>
            <w:tcW w:w="9505" w:type="dxa"/>
            <w:gridSpan w:val="5"/>
          </w:tcPr>
          <w:p w14:paraId="75F2690A" w14:textId="2666F9E7" w:rsidR="00102E59" w:rsidRDefault="003223BE" w:rsidP="00102E59">
            <w:pPr>
              <w:pStyle w:val="zSoquijdatNomPartieDem"/>
            </w:pPr>
            <w:r>
              <w:rPr>
                <w:b w:val="0"/>
                <w:bCs w:val="0"/>
              </w:rPr>
              <w:t>e</w:t>
            </w:r>
            <w:r w:rsidR="00102E59" w:rsidRPr="00102E59">
              <w:rPr>
                <w:b w:val="0"/>
                <w:bCs w:val="0"/>
              </w:rPr>
              <w:t>t</w:t>
            </w:r>
            <w:r w:rsidR="005C06BE">
              <w:rPr>
                <w:b w:val="0"/>
                <w:bCs w:val="0"/>
              </w:rPr>
              <w:t xml:space="preserve"> </w:t>
            </w:r>
          </w:p>
        </w:tc>
      </w:tr>
      <w:tr w:rsidR="00102E59" w14:paraId="5E72A1A4" w14:textId="77777777">
        <w:tc>
          <w:tcPr>
            <w:tcW w:w="9505" w:type="dxa"/>
            <w:gridSpan w:val="5"/>
          </w:tcPr>
          <w:p w14:paraId="65F0B592" w14:textId="4A0F9D7C" w:rsidR="00102E59" w:rsidRDefault="00E61785" w:rsidP="00102E59">
            <w:pPr>
              <w:pStyle w:val="zSoquijdatNomPartieDem"/>
            </w:pPr>
            <w:r>
              <w:rPr>
                <w:szCs w:val="24"/>
              </w:rPr>
              <w:t>MARIE DE LA CHEVROTIÈRE</w:t>
            </w:r>
          </w:p>
        </w:tc>
      </w:tr>
      <w:tr w:rsidR="00102E59" w14:paraId="5B2C7B7F" w14:textId="77777777">
        <w:tc>
          <w:tcPr>
            <w:tcW w:w="9505" w:type="dxa"/>
            <w:gridSpan w:val="5"/>
          </w:tcPr>
          <w:p w14:paraId="48936F95" w14:textId="7931121F" w:rsidR="00102E59" w:rsidRDefault="003223BE" w:rsidP="00102E59">
            <w:pPr>
              <w:pStyle w:val="zSoquijdatNomPartieDem"/>
            </w:pPr>
            <w:r>
              <w:rPr>
                <w:b w:val="0"/>
                <w:bCs w:val="0"/>
              </w:rPr>
              <w:t>e</w:t>
            </w:r>
            <w:r w:rsidR="005C06BE" w:rsidRPr="00102E59">
              <w:rPr>
                <w:b w:val="0"/>
                <w:bCs w:val="0"/>
              </w:rPr>
              <w:t>t</w:t>
            </w:r>
          </w:p>
        </w:tc>
      </w:tr>
      <w:tr w:rsidR="00102E59" w14:paraId="094A99A7" w14:textId="77777777">
        <w:tc>
          <w:tcPr>
            <w:tcW w:w="9505" w:type="dxa"/>
            <w:gridSpan w:val="5"/>
          </w:tcPr>
          <w:p w14:paraId="02B23291" w14:textId="076D2461" w:rsidR="00102E59" w:rsidRDefault="00E61785" w:rsidP="00102E59">
            <w:pPr>
              <w:pStyle w:val="zSoquijdatNomPartieDem"/>
            </w:pPr>
            <w:r>
              <w:t>CHRISTIANE ST-MARTIN</w:t>
            </w:r>
          </w:p>
        </w:tc>
      </w:tr>
      <w:tr w:rsidR="00102E59" w14:paraId="410BB68D" w14:textId="77777777">
        <w:tc>
          <w:tcPr>
            <w:tcW w:w="9505" w:type="dxa"/>
            <w:gridSpan w:val="5"/>
          </w:tcPr>
          <w:p w14:paraId="6390B20E" w14:textId="5E60DF5A" w:rsidR="00102E59" w:rsidRDefault="003223BE" w:rsidP="00102E59">
            <w:pPr>
              <w:pStyle w:val="zSoquijdatNomPartieDem"/>
            </w:pPr>
            <w:r>
              <w:rPr>
                <w:b w:val="0"/>
                <w:bCs w:val="0"/>
              </w:rPr>
              <w:t>e</w:t>
            </w:r>
            <w:r w:rsidR="00102E59" w:rsidRPr="00102E59">
              <w:rPr>
                <w:b w:val="0"/>
                <w:bCs w:val="0"/>
              </w:rPr>
              <w:t>t</w:t>
            </w:r>
            <w:r w:rsidR="005C06BE">
              <w:rPr>
                <w:b w:val="0"/>
                <w:bCs w:val="0"/>
              </w:rPr>
              <w:t xml:space="preserve"> </w:t>
            </w:r>
          </w:p>
        </w:tc>
      </w:tr>
      <w:tr w:rsidR="00102E59" w14:paraId="261EEC7D" w14:textId="77777777">
        <w:tc>
          <w:tcPr>
            <w:tcW w:w="9505" w:type="dxa"/>
            <w:gridSpan w:val="5"/>
          </w:tcPr>
          <w:p w14:paraId="261EEC7C" w14:textId="373E54A5" w:rsidR="00102E59" w:rsidRDefault="00E61785" w:rsidP="00E61785">
            <w:pPr>
              <w:pStyle w:val="zSoquijdatNomPartieDem"/>
            </w:pPr>
            <w:r>
              <w:t>DENIS LEMAY</w:t>
            </w:r>
          </w:p>
        </w:tc>
      </w:tr>
      <w:tr w:rsidR="00E61785" w14:paraId="6ACA4141" w14:textId="77777777">
        <w:tc>
          <w:tcPr>
            <w:tcW w:w="9505" w:type="dxa"/>
            <w:gridSpan w:val="5"/>
          </w:tcPr>
          <w:p w14:paraId="65B1A315" w14:textId="60811C64" w:rsidR="00E61785" w:rsidRPr="00E61785" w:rsidRDefault="003223BE" w:rsidP="00E61785">
            <w:pPr>
              <w:pStyle w:val="zSoquijdatNomPartieDem"/>
            </w:pPr>
            <w:r>
              <w:rPr>
                <w:b w:val="0"/>
                <w:bCs w:val="0"/>
              </w:rPr>
              <w:t>e</w:t>
            </w:r>
            <w:r w:rsidR="00E61785" w:rsidRPr="00102E59">
              <w:rPr>
                <w:b w:val="0"/>
                <w:bCs w:val="0"/>
              </w:rPr>
              <w:t>t</w:t>
            </w:r>
            <w:r w:rsidR="005C06BE">
              <w:rPr>
                <w:b w:val="0"/>
                <w:bCs w:val="0"/>
              </w:rPr>
              <w:t xml:space="preserve"> </w:t>
            </w:r>
          </w:p>
        </w:tc>
      </w:tr>
      <w:tr w:rsidR="00E61785" w14:paraId="40A09426" w14:textId="77777777">
        <w:tc>
          <w:tcPr>
            <w:tcW w:w="9505" w:type="dxa"/>
            <w:gridSpan w:val="5"/>
          </w:tcPr>
          <w:p w14:paraId="7424BE2C" w14:textId="1006028A" w:rsidR="00E61785" w:rsidRPr="00E61785" w:rsidRDefault="00E61785" w:rsidP="00E61785">
            <w:pPr>
              <w:pStyle w:val="zSoquijdatNomPartieDem"/>
            </w:pPr>
            <w:r>
              <w:t>GÉRARD GOSSELIN</w:t>
            </w:r>
          </w:p>
        </w:tc>
      </w:tr>
      <w:tr w:rsidR="00E61785" w14:paraId="64F3701E" w14:textId="77777777">
        <w:tc>
          <w:tcPr>
            <w:tcW w:w="9505" w:type="dxa"/>
            <w:gridSpan w:val="5"/>
          </w:tcPr>
          <w:p w14:paraId="4AACDEFD" w14:textId="136341C0" w:rsidR="00E61785" w:rsidRPr="00E61785" w:rsidRDefault="003223BE" w:rsidP="00E61785">
            <w:pPr>
              <w:pStyle w:val="zSoquijdatNomPartieDem"/>
            </w:pPr>
            <w:r>
              <w:rPr>
                <w:b w:val="0"/>
                <w:bCs w:val="0"/>
              </w:rPr>
              <w:lastRenderedPageBreak/>
              <w:t>e</w:t>
            </w:r>
            <w:r w:rsidR="00E61785" w:rsidRPr="00102E59">
              <w:rPr>
                <w:b w:val="0"/>
                <w:bCs w:val="0"/>
              </w:rPr>
              <w:t>t</w:t>
            </w:r>
            <w:r w:rsidR="005C06BE">
              <w:rPr>
                <w:b w:val="0"/>
                <w:bCs w:val="0"/>
              </w:rPr>
              <w:t xml:space="preserve"> </w:t>
            </w:r>
          </w:p>
        </w:tc>
      </w:tr>
      <w:tr w:rsidR="00E61785" w14:paraId="65382A8D" w14:textId="77777777">
        <w:tc>
          <w:tcPr>
            <w:tcW w:w="9505" w:type="dxa"/>
            <w:gridSpan w:val="5"/>
          </w:tcPr>
          <w:p w14:paraId="5E61B3B6" w14:textId="6BE5F722" w:rsidR="00E61785" w:rsidRPr="00E61785" w:rsidRDefault="00E61785" w:rsidP="00E61785">
            <w:pPr>
              <w:pStyle w:val="zSoquijdatNomPartieDem"/>
            </w:pPr>
            <w:r>
              <w:t xml:space="preserve">9070-1772 QUÉBEC INC., </w:t>
            </w:r>
            <w:r w:rsidRPr="00E61785">
              <w:rPr>
                <w:b w:val="0"/>
                <w:bCs w:val="0"/>
              </w:rPr>
              <w:t>faisant affaires sous la raison sociale</w:t>
            </w:r>
            <w:r>
              <w:t xml:space="preserve"> RESTAURANT TRATTORIA LA SCALLA (1998)</w:t>
            </w:r>
          </w:p>
        </w:tc>
      </w:tr>
      <w:tr w:rsidR="00E61785" w14:paraId="4D31CFE8" w14:textId="77777777">
        <w:tc>
          <w:tcPr>
            <w:tcW w:w="9505" w:type="dxa"/>
            <w:gridSpan w:val="5"/>
          </w:tcPr>
          <w:p w14:paraId="649BEF22" w14:textId="6701AE9E" w:rsidR="00E61785" w:rsidRPr="00E61785" w:rsidRDefault="00E61785" w:rsidP="00E61785">
            <w:pPr>
              <w:pStyle w:val="zSoquijdatNomPartieDem"/>
            </w:pPr>
            <w:r w:rsidRPr="00102E59">
              <w:rPr>
                <w:b w:val="0"/>
                <w:bCs w:val="0"/>
              </w:rPr>
              <w:t>et</w:t>
            </w:r>
          </w:p>
        </w:tc>
      </w:tr>
      <w:tr w:rsidR="00E61785" w14:paraId="7768F4D3" w14:textId="77777777">
        <w:tc>
          <w:tcPr>
            <w:tcW w:w="9505" w:type="dxa"/>
            <w:gridSpan w:val="5"/>
          </w:tcPr>
          <w:p w14:paraId="188668A3" w14:textId="3D5E4CB8" w:rsidR="00E61785" w:rsidRPr="00E61785" w:rsidRDefault="00E61785" w:rsidP="00E61785">
            <w:pPr>
              <w:pStyle w:val="zSoquijdatNomPartieDem"/>
            </w:pPr>
            <w:r>
              <w:t>MARC-ANTOINE MUNOZ</w:t>
            </w:r>
          </w:p>
        </w:tc>
      </w:tr>
      <w:tr w:rsidR="00E61785" w14:paraId="1E56E418" w14:textId="77777777">
        <w:tc>
          <w:tcPr>
            <w:tcW w:w="9505" w:type="dxa"/>
            <w:gridSpan w:val="5"/>
          </w:tcPr>
          <w:p w14:paraId="0ABA0B79" w14:textId="20A599A2" w:rsidR="00E61785" w:rsidRPr="00E61785" w:rsidRDefault="003223BE" w:rsidP="00E61785">
            <w:pPr>
              <w:pStyle w:val="zSoquijdatNomPartieDem"/>
            </w:pPr>
            <w:r>
              <w:rPr>
                <w:b w:val="0"/>
                <w:bCs w:val="0"/>
              </w:rPr>
              <w:t>e</w:t>
            </w:r>
            <w:r w:rsidR="00E61785" w:rsidRPr="00102E59">
              <w:rPr>
                <w:b w:val="0"/>
                <w:bCs w:val="0"/>
              </w:rPr>
              <w:t>t</w:t>
            </w:r>
            <w:r w:rsidR="005C06BE">
              <w:rPr>
                <w:b w:val="0"/>
                <w:bCs w:val="0"/>
              </w:rPr>
              <w:t xml:space="preserve"> </w:t>
            </w:r>
          </w:p>
        </w:tc>
      </w:tr>
      <w:tr w:rsidR="00E61785" w14:paraId="422A19F6" w14:textId="77777777">
        <w:tc>
          <w:tcPr>
            <w:tcW w:w="9505" w:type="dxa"/>
            <w:gridSpan w:val="5"/>
          </w:tcPr>
          <w:p w14:paraId="3D8F6BDF" w14:textId="507AFB5D" w:rsidR="00E61785" w:rsidRPr="00E61785" w:rsidRDefault="00E61785" w:rsidP="00E61785">
            <w:pPr>
              <w:pStyle w:val="zSoquijdatNomPartieDem"/>
            </w:pPr>
            <w:r>
              <w:t>2621-7133 QUÉ</w:t>
            </w:r>
            <w:r w:rsidR="00C43884">
              <w:t>B</w:t>
            </w:r>
            <w:r>
              <w:t>EC INC</w:t>
            </w:r>
            <w:r w:rsidR="00C43884">
              <w:t>.</w:t>
            </w:r>
            <w:r>
              <w:t xml:space="preserve">, </w:t>
            </w:r>
            <w:r w:rsidRPr="00E61785">
              <w:rPr>
                <w:b w:val="0"/>
                <w:bCs w:val="0"/>
              </w:rPr>
              <w:t>faisant affaires sous la raison sociale</w:t>
            </w:r>
            <w:r>
              <w:t xml:space="preserve"> PUB GALWAY</w:t>
            </w:r>
          </w:p>
        </w:tc>
      </w:tr>
      <w:tr w:rsidR="00E61785" w14:paraId="5CBE3026" w14:textId="77777777">
        <w:tc>
          <w:tcPr>
            <w:tcW w:w="9505" w:type="dxa"/>
            <w:gridSpan w:val="5"/>
          </w:tcPr>
          <w:p w14:paraId="6D07BBD8" w14:textId="001435E4" w:rsidR="00E61785" w:rsidRPr="00E61785" w:rsidRDefault="003223BE" w:rsidP="00E61785">
            <w:pPr>
              <w:pStyle w:val="zSoquijdatNomPartieDem"/>
            </w:pPr>
            <w:r>
              <w:rPr>
                <w:b w:val="0"/>
                <w:bCs w:val="0"/>
              </w:rPr>
              <w:t>e</w:t>
            </w:r>
            <w:r w:rsidR="00E61785" w:rsidRPr="00102E59">
              <w:rPr>
                <w:b w:val="0"/>
                <w:bCs w:val="0"/>
              </w:rPr>
              <w:t>t</w:t>
            </w:r>
            <w:r w:rsidR="005C06BE">
              <w:rPr>
                <w:b w:val="0"/>
                <w:bCs w:val="0"/>
              </w:rPr>
              <w:t xml:space="preserve"> </w:t>
            </w:r>
          </w:p>
        </w:tc>
      </w:tr>
      <w:tr w:rsidR="00E61785" w14:paraId="3023F2B7" w14:textId="77777777">
        <w:tc>
          <w:tcPr>
            <w:tcW w:w="9505" w:type="dxa"/>
            <w:gridSpan w:val="5"/>
          </w:tcPr>
          <w:p w14:paraId="0735A5BD" w14:textId="1DE446F1" w:rsidR="00E61785" w:rsidRPr="00E61785" w:rsidRDefault="00E61785" w:rsidP="00E61785">
            <w:pPr>
              <w:pStyle w:val="zSoquijdatNomPartieDem"/>
            </w:pPr>
            <w:r>
              <w:t>YVES LEDOUX</w:t>
            </w:r>
          </w:p>
        </w:tc>
      </w:tr>
      <w:tr w:rsidR="00E61785" w14:paraId="35D7AE4F" w14:textId="77777777">
        <w:tc>
          <w:tcPr>
            <w:tcW w:w="9505" w:type="dxa"/>
            <w:gridSpan w:val="5"/>
          </w:tcPr>
          <w:p w14:paraId="75897844" w14:textId="77777777" w:rsidR="00E61785" w:rsidRPr="00E61785" w:rsidRDefault="00E61785" w:rsidP="00E61785">
            <w:pPr>
              <w:pStyle w:val="zSoquijdatNomPartieDem"/>
            </w:pPr>
          </w:p>
        </w:tc>
      </w:tr>
      <w:tr w:rsidR="00E61785" w14:paraId="7FD5E96E" w14:textId="77777777">
        <w:tc>
          <w:tcPr>
            <w:tcW w:w="9505" w:type="dxa"/>
            <w:gridSpan w:val="5"/>
          </w:tcPr>
          <w:p w14:paraId="57FF7FC7" w14:textId="5CF9FEAD" w:rsidR="00E61785" w:rsidRPr="00E61785" w:rsidRDefault="00E61785" w:rsidP="00E61785">
            <w:pPr>
              <w:pStyle w:val="zSoquijdatQtePartieDef"/>
            </w:pPr>
            <w:r>
              <w:t>Demandeurs</w:t>
            </w:r>
          </w:p>
        </w:tc>
      </w:tr>
      <w:tr w:rsidR="00E61785" w14:paraId="261EEC7F" w14:textId="77777777">
        <w:tc>
          <w:tcPr>
            <w:tcW w:w="9505" w:type="dxa"/>
            <w:gridSpan w:val="5"/>
          </w:tcPr>
          <w:p w14:paraId="261EEC7E" w14:textId="77777777" w:rsidR="00E61785" w:rsidRDefault="00E61785" w:rsidP="00E61785">
            <w:pPr>
              <w:pStyle w:val="zSoquijlblLienParties"/>
            </w:pPr>
            <w:r>
              <w:t>c.</w:t>
            </w:r>
          </w:p>
        </w:tc>
      </w:tr>
      <w:tr w:rsidR="00E61785" w14:paraId="3A27716F" w14:textId="77777777">
        <w:tc>
          <w:tcPr>
            <w:tcW w:w="9505" w:type="dxa"/>
            <w:gridSpan w:val="5"/>
          </w:tcPr>
          <w:p w14:paraId="6AD64BD1" w14:textId="77777777" w:rsidR="00E61785" w:rsidRDefault="00E61785" w:rsidP="00E61785">
            <w:pPr>
              <w:pStyle w:val="zSoquijlblLienParties"/>
            </w:pPr>
          </w:p>
        </w:tc>
      </w:tr>
      <w:tr w:rsidR="00E61785" w14:paraId="261EEC81" w14:textId="77777777">
        <w:tc>
          <w:tcPr>
            <w:tcW w:w="9505" w:type="dxa"/>
            <w:gridSpan w:val="5"/>
          </w:tcPr>
          <w:p w14:paraId="261EEC80" w14:textId="0436409B" w:rsidR="00E61785" w:rsidRDefault="00E61785" w:rsidP="00E61785">
            <w:pPr>
              <w:pStyle w:val="zSoquijdatNomPartieDef"/>
            </w:pPr>
            <w:r>
              <w:t>VILLE DE QUÉBEC</w:t>
            </w:r>
          </w:p>
        </w:tc>
      </w:tr>
      <w:tr w:rsidR="00E61785" w14:paraId="2C157E91" w14:textId="77777777">
        <w:tc>
          <w:tcPr>
            <w:tcW w:w="9505" w:type="dxa"/>
            <w:gridSpan w:val="5"/>
          </w:tcPr>
          <w:p w14:paraId="23CDDFF5" w14:textId="73AD808E" w:rsidR="00E61785" w:rsidRDefault="003223BE" w:rsidP="00E61785">
            <w:pPr>
              <w:pStyle w:val="zSoquijdatNomPartieDef"/>
            </w:pPr>
            <w:r>
              <w:rPr>
                <w:b w:val="0"/>
                <w:bCs w:val="0"/>
              </w:rPr>
              <w:t>e</w:t>
            </w:r>
            <w:r w:rsidR="00E61785" w:rsidRPr="00102E59">
              <w:rPr>
                <w:b w:val="0"/>
                <w:bCs w:val="0"/>
              </w:rPr>
              <w:t>t</w:t>
            </w:r>
            <w:r w:rsidR="002A2D92">
              <w:rPr>
                <w:b w:val="0"/>
                <w:bCs w:val="0"/>
              </w:rPr>
              <w:t xml:space="preserve"> </w:t>
            </w:r>
          </w:p>
        </w:tc>
      </w:tr>
      <w:tr w:rsidR="00E61785" w14:paraId="2C675859" w14:textId="77777777">
        <w:tc>
          <w:tcPr>
            <w:tcW w:w="9505" w:type="dxa"/>
            <w:gridSpan w:val="5"/>
          </w:tcPr>
          <w:p w14:paraId="5D47F3F8" w14:textId="71D13D1A" w:rsidR="00E61785" w:rsidRDefault="00E61785" w:rsidP="00E61785">
            <w:pPr>
              <w:pStyle w:val="zSoquijdatNomPartieDef"/>
            </w:pPr>
            <w:r>
              <w:t>CONSEIL D'AGGLOMÉRATION DE LA VILLE DE QUÉBEC</w:t>
            </w:r>
          </w:p>
        </w:tc>
      </w:tr>
      <w:tr w:rsidR="00E61785" w14:paraId="5AE86A9A" w14:textId="77777777">
        <w:tc>
          <w:tcPr>
            <w:tcW w:w="9505" w:type="dxa"/>
            <w:gridSpan w:val="5"/>
          </w:tcPr>
          <w:p w14:paraId="45CCBFD7" w14:textId="736D358B" w:rsidR="00E61785" w:rsidRDefault="003223BE" w:rsidP="00E61785">
            <w:pPr>
              <w:pStyle w:val="zSoquijdatNomPartieDef"/>
            </w:pPr>
            <w:r>
              <w:rPr>
                <w:b w:val="0"/>
                <w:bCs w:val="0"/>
              </w:rPr>
              <w:t>e</w:t>
            </w:r>
            <w:r w:rsidR="00E61785">
              <w:rPr>
                <w:b w:val="0"/>
                <w:bCs w:val="0"/>
              </w:rPr>
              <w:t>t</w:t>
            </w:r>
            <w:r w:rsidR="002A2D92">
              <w:rPr>
                <w:b w:val="0"/>
                <w:bCs w:val="0"/>
              </w:rPr>
              <w:t xml:space="preserve"> </w:t>
            </w:r>
          </w:p>
        </w:tc>
      </w:tr>
      <w:tr w:rsidR="00E61785" w14:paraId="07FE2F9A" w14:textId="77777777">
        <w:tc>
          <w:tcPr>
            <w:tcW w:w="9505" w:type="dxa"/>
            <w:gridSpan w:val="5"/>
          </w:tcPr>
          <w:p w14:paraId="1BFB0511" w14:textId="2A9D8735" w:rsidR="00E61785" w:rsidRDefault="00E61785" w:rsidP="00E61785">
            <w:pPr>
              <w:pStyle w:val="zSoquijdatNomPartieDef"/>
            </w:pPr>
            <w:r>
              <w:t>PROCUREUR GÉNÉRAL DU QUÉBEC</w:t>
            </w:r>
          </w:p>
        </w:tc>
      </w:tr>
      <w:tr w:rsidR="00E61785" w14:paraId="196F537A" w14:textId="77777777">
        <w:tc>
          <w:tcPr>
            <w:tcW w:w="9505" w:type="dxa"/>
            <w:gridSpan w:val="5"/>
          </w:tcPr>
          <w:p w14:paraId="6B50E508" w14:textId="77777777" w:rsidR="00E61785" w:rsidRDefault="00E61785" w:rsidP="00E61785">
            <w:pPr>
              <w:pStyle w:val="zSoquijdatNomPartieDef"/>
            </w:pPr>
          </w:p>
        </w:tc>
      </w:tr>
      <w:tr w:rsidR="00E61785" w14:paraId="261EEC83" w14:textId="77777777">
        <w:tc>
          <w:tcPr>
            <w:tcW w:w="9505" w:type="dxa"/>
            <w:gridSpan w:val="5"/>
          </w:tcPr>
          <w:p w14:paraId="261EEC82" w14:textId="49C14DD2" w:rsidR="00E61785" w:rsidRDefault="00E61785" w:rsidP="00E61785">
            <w:pPr>
              <w:pStyle w:val="zSoquijdatQtePartieDef"/>
            </w:pPr>
            <w:r>
              <w:t>Défendeurs</w:t>
            </w:r>
          </w:p>
        </w:tc>
      </w:tr>
      <w:tr w:rsidR="00E61785" w14:paraId="261EEC85" w14:textId="77777777">
        <w:tc>
          <w:tcPr>
            <w:tcW w:w="9505" w:type="dxa"/>
            <w:gridSpan w:val="5"/>
          </w:tcPr>
          <w:p w14:paraId="261EEC84" w14:textId="6A5A9236" w:rsidR="00E61785" w:rsidRPr="00E61785" w:rsidRDefault="002A2D92" w:rsidP="00E61785">
            <w:pPr>
              <w:ind w:left="14" w:right="-95"/>
            </w:pPr>
            <w:r w:rsidRPr="00E61785">
              <w:t>E</w:t>
            </w:r>
            <w:r w:rsidR="00E61785" w:rsidRPr="00E61785">
              <w:t>t</w:t>
            </w:r>
            <w:r>
              <w:t xml:space="preserve"> </w:t>
            </w:r>
          </w:p>
        </w:tc>
      </w:tr>
      <w:tr w:rsidR="00E61785" w14:paraId="2AE7C3C6" w14:textId="77777777">
        <w:tc>
          <w:tcPr>
            <w:tcW w:w="9505" w:type="dxa"/>
            <w:gridSpan w:val="5"/>
          </w:tcPr>
          <w:p w14:paraId="66D8EC22" w14:textId="050FB918" w:rsidR="00E61785" w:rsidRPr="00E61785" w:rsidRDefault="00E61785" w:rsidP="00E61785">
            <w:pPr>
              <w:ind w:left="14" w:right="-95"/>
              <w:rPr>
                <w:b/>
                <w:bCs/>
              </w:rPr>
            </w:pPr>
            <w:r w:rsidRPr="00E61785">
              <w:rPr>
                <w:b/>
                <w:bCs/>
              </w:rPr>
              <w:t>PROCUREUR GÉNÉRAL DU CANADA</w:t>
            </w:r>
          </w:p>
        </w:tc>
      </w:tr>
      <w:tr w:rsidR="00E61785" w14:paraId="02790503" w14:textId="77777777">
        <w:tc>
          <w:tcPr>
            <w:tcW w:w="9505" w:type="dxa"/>
            <w:gridSpan w:val="5"/>
          </w:tcPr>
          <w:p w14:paraId="2160325E" w14:textId="77777777" w:rsidR="00E61785" w:rsidRDefault="00E61785" w:rsidP="00E61785">
            <w:pPr>
              <w:ind w:left="14" w:right="-95"/>
            </w:pPr>
          </w:p>
        </w:tc>
      </w:tr>
      <w:tr w:rsidR="00E61785" w14:paraId="261EEC87" w14:textId="77777777">
        <w:tc>
          <w:tcPr>
            <w:tcW w:w="9505" w:type="dxa"/>
            <w:gridSpan w:val="5"/>
          </w:tcPr>
          <w:p w14:paraId="261EEC86" w14:textId="617332EE" w:rsidR="00E61785" w:rsidRDefault="00E61785" w:rsidP="00E61785">
            <w:pPr>
              <w:pStyle w:val="zSoquijdatQtePartieDef"/>
            </w:pPr>
            <w:r>
              <w:t>Mis en cause</w:t>
            </w:r>
          </w:p>
        </w:tc>
      </w:tr>
      <w:tr w:rsidR="00E61785" w14:paraId="261EEC89" w14:textId="77777777">
        <w:tc>
          <w:tcPr>
            <w:tcW w:w="9505" w:type="dxa"/>
            <w:gridSpan w:val="5"/>
          </w:tcPr>
          <w:p w14:paraId="261EEC88" w14:textId="77777777" w:rsidR="00E61785" w:rsidRDefault="00E61785" w:rsidP="00E61785">
            <w:pPr>
              <w:ind w:left="14" w:right="-95"/>
            </w:pPr>
            <w:r>
              <w:t>______________________________________________________________________</w:t>
            </w:r>
          </w:p>
        </w:tc>
      </w:tr>
      <w:tr w:rsidR="00E61785" w14:paraId="261EEC8B" w14:textId="77777777">
        <w:tc>
          <w:tcPr>
            <w:tcW w:w="9505" w:type="dxa"/>
            <w:gridSpan w:val="5"/>
          </w:tcPr>
          <w:p w14:paraId="261EEC8A" w14:textId="77777777" w:rsidR="00E61785" w:rsidRDefault="00E61785" w:rsidP="00E61785">
            <w:pPr>
              <w:jc w:val="center"/>
            </w:pPr>
          </w:p>
        </w:tc>
      </w:tr>
      <w:tr w:rsidR="00E61785" w14:paraId="261EEC8D" w14:textId="77777777">
        <w:tc>
          <w:tcPr>
            <w:tcW w:w="9505" w:type="dxa"/>
            <w:gridSpan w:val="5"/>
          </w:tcPr>
          <w:p w14:paraId="261EEC8C" w14:textId="77777777" w:rsidR="00E61785" w:rsidRDefault="00E61785" w:rsidP="00E61785">
            <w:pPr>
              <w:pStyle w:val="zSoquijlblTypeDocument"/>
            </w:pPr>
            <w:r w:rsidRPr="00896D6A">
              <w:rPr>
                <w:b/>
              </w:rPr>
              <w:t>JUGEMENT</w:t>
            </w:r>
          </w:p>
        </w:tc>
      </w:tr>
      <w:tr w:rsidR="00E61785" w14:paraId="261EEC8F" w14:textId="77777777">
        <w:tc>
          <w:tcPr>
            <w:tcW w:w="9505" w:type="dxa"/>
            <w:gridSpan w:val="5"/>
          </w:tcPr>
          <w:p w14:paraId="261EEC8E" w14:textId="77777777" w:rsidR="00E61785" w:rsidRDefault="00E61785" w:rsidP="00E61785">
            <w:pPr>
              <w:ind w:left="14" w:right="-70"/>
            </w:pPr>
            <w:r>
              <w:t>______________________________________________________________________</w:t>
            </w:r>
          </w:p>
        </w:tc>
      </w:tr>
      <w:tr w:rsidR="00E61785" w14:paraId="261EEC91" w14:textId="77777777">
        <w:tc>
          <w:tcPr>
            <w:tcW w:w="9505" w:type="dxa"/>
            <w:gridSpan w:val="5"/>
          </w:tcPr>
          <w:p w14:paraId="261EEC90" w14:textId="77777777" w:rsidR="00E61785" w:rsidRDefault="00E61785" w:rsidP="00E61785"/>
        </w:tc>
      </w:tr>
    </w:tbl>
    <w:p w14:paraId="261EEC93" w14:textId="679A8A80" w:rsidR="005F42A4" w:rsidRDefault="008A4BFD" w:rsidP="00D26929">
      <w:pPr>
        <w:pStyle w:val="Paragrdouble"/>
        <w:spacing w:line="240" w:lineRule="auto"/>
      </w:pPr>
      <w:r>
        <w:t xml:space="preserve"> </w:t>
      </w:r>
      <w:r>
        <w:tab/>
      </w:r>
      <w:r w:rsidR="00E61785">
        <w:t xml:space="preserve">Le Tribunal est saisi d'une demande introductive en contrôle judiciaire, jugement déclaratoire, </w:t>
      </w:r>
      <w:r w:rsidR="001B7413">
        <w:t xml:space="preserve">en </w:t>
      </w:r>
      <w:r w:rsidR="00E61785">
        <w:t xml:space="preserve">nullité, </w:t>
      </w:r>
      <w:r w:rsidR="000228D6">
        <w:t>in</w:t>
      </w:r>
      <w:r w:rsidR="009661DC">
        <w:t>opér</w:t>
      </w:r>
      <w:r w:rsidR="000228D6">
        <w:t>abilité</w:t>
      </w:r>
      <w:r w:rsidR="00E61785">
        <w:t xml:space="preserve"> et </w:t>
      </w:r>
      <w:r w:rsidR="000228D6">
        <w:t>inconstitutionnalité de lois, décret</w:t>
      </w:r>
      <w:r w:rsidR="001B7413">
        <w:t>s</w:t>
      </w:r>
      <w:r w:rsidR="000228D6">
        <w:t xml:space="preserve"> et règlements</w:t>
      </w:r>
      <w:r w:rsidR="001625F2">
        <w:t>, d’une demande en</w:t>
      </w:r>
      <w:r w:rsidR="000228D6">
        <w:t xml:space="preserve"> injonction et </w:t>
      </w:r>
      <w:r w:rsidR="00F87BB5">
        <w:t xml:space="preserve">d'un </w:t>
      </w:r>
      <w:r w:rsidR="000228D6">
        <w:t xml:space="preserve">recours en réparation en vertu des </w:t>
      </w:r>
      <w:r w:rsidR="001625F2">
        <w:t>C</w:t>
      </w:r>
      <w:r w:rsidR="000228D6">
        <w:t xml:space="preserve">hartes </w:t>
      </w:r>
      <w:r w:rsidR="3A665D50">
        <w:t>canadienne et québécoise</w:t>
      </w:r>
      <w:r w:rsidR="000228D6">
        <w:t xml:space="preserve"> qui comprend une demande de dommages et intérêts</w:t>
      </w:r>
      <w:r w:rsidR="008E7A48">
        <w:t xml:space="preserve"> et dommages exemplaires</w:t>
      </w:r>
      <w:r w:rsidR="000228D6">
        <w:t>.</w:t>
      </w:r>
    </w:p>
    <w:p w14:paraId="62D60F6E" w14:textId="60402196" w:rsidR="005B7E32" w:rsidRDefault="008A4BFD" w:rsidP="00D26929">
      <w:pPr>
        <w:pStyle w:val="Paragrdouble"/>
        <w:spacing w:line="240" w:lineRule="auto"/>
      </w:pPr>
      <w:r>
        <w:t xml:space="preserve"> </w:t>
      </w:r>
      <w:r>
        <w:tab/>
      </w:r>
      <w:r w:rsidR="00221C96">
        <w:t xml:space="preserve">Pour les motifs qui suivent, le recours des demandeurs est </w:t>
      </w:r>
      <w:r w:rsidR="00A24E10">
        <w:t>rejeté.</w:t>
      </w:r>
    </w:p>
    <w:p w14:paraId="30997D8C" w14:textId="37EBF2F5" w:rsidR="00085EDC" w:rsidRDefault="00085EDC" w:rsidP="00D26929">
      <w:pPr>
        <w:pStyle w:val="Paragrdouble"/>
        <w:spacing w:line="240" w:lineRule="auto"/>
      </w:pPr>
      <w:r>
        <w:t xml:space="preserve"> </w:t>
      </w:r>
      <w:r>
        <w:tab/>
        <w:t>Vu la quantité importante d’éléments analysés, une table des matières suit.</w:t>
      </w:r>
    </w:p>
    <w:p w14:paraId="1755638B" w14:textId="77777777" w:rsidR="005B7E32" w:rsidRDefault="005B7E32">
      <w:pPr>
        <w:rPr>
          <w:kern w:val="28"/>
        </w:rPr>
      </w:pPr>
      <w:r>
        <w:br w:type="page"/>
      </w:r>
    </w:p>
    <w:bookmarkStart w:id="0" w:name="_Toc430945544"/>
    <w:bookmarkStart w:id="1" w:name="_Toc124755329"/>
    <w:p w14:paraId="09E03409" w14:textId="77777777" w:rsidR="005B58B6" w:rsidRDefault="005B58B6" w:rsidP="005B58B6">
      <w:pPr>
        <w:pStyle w:val="TM2"/>
        <w:tabs>
          <w:tab w:val="left" w:pos="720"/>
          <w:tab w:val="right" w:leader="underscore" w:pos="9352"/>
        </w:tabs>
        <w:rPr>
          <w:rFonts w:eastAsiaTheme="minorEastAsia" w:cstheme="minorBidi"/>
          <w:b w:val="0"/>
          <w:bCs w:val="0"/>
          <w:noProof/>
          <w:lang w:eastAsia="fr-CA"/>
        </w:rPr>
      </w:pPr>
      <w:r>
        <w:rPr>
          <w:b w:val="0"/>
          <w:bCs w:val="0"/>
          <w:smallCaps/>
          <w:sz w:val="20"/>
        </w:rPr>
        <w:lastRenderedPageBreak/>
        <w:fldChar w:fldCharType="begin"/>
      </w:r>
      <w:r>
        <w:rPr>
          <w:b w:val="0"/>
          <w:bCs w:val="0"/>
          <w:smallCaps/>
          <w:sz w:val="20"/>
        </w:rPr>
        <w:instrText xml:space="preserve"> TOC \o "1-5" \u </w:instrText>
      </w:r>
      <w:r>
        <w:rPr>
          <w:b w:val="0"/>
          <w:bCs w:val="0"/>
          <w:smallCaps/>
          <w:sz w:val="20"/>
        </w:rPr>
        <w:fldChar w:fldCharType="separate"/>
      </w:r>
      <w:r>
        <w:rPr>
          <w:noProof/>
        </w:rPr>
        <w:t>1.</w:t>
      </w:r>
      <w:r>
        <w:rPr>
          <w:rFonts w:eastAsiaTheme="minorEastAsia" w:cstheme="minorBidi"/>
          <w:b w:val="0"/>
          <w:bCs w:val="0"/>
          <w:noProof/>
          <w:lang w:eastAsia="fr-CA"/>
        </w:rPr>
        <w:tab/>
      </w:r>
      <w:r>
        <w:rPr>
          <w:noProof/>
        </w:rPr>
        <w:t>LE CONTEXTE</w:t>
      </w:r>
      <w:r>
        <w:rPr>
          <w:noProof/>
        </w:rPr>
        <w:tab/>
      </w:r>
      <w:r>
        <w:rPr>
          <w:noProof/>
        </w:rPr>
        <w:fldChar w:fldCharType="begin"/>
      </w:r>
      <w:r>
        <w:rPr>
          <w:noProof/>
        </w:rPr>
        <w:instrText xml:space="preserve"> PAGEREF _Toc124755329 \h </w:instrText>
      </w:r>
      <w:r>
        <w:rPr>
          <w:noProof/>
        </w:rPr>
      </w:r>
      <w:r>
        <w:rPr>
          <w:noProof/>
        </w:rPr>
        <w:fldChar w:fldCharType="separate"/>
      </w:r>
      <w:r>
        <w:rPr>
          <w:noProof/>
        </w:rPr>
        <w:t>4</w:t>
      </w:r>
      <w:r>
        <w:rPr>
          <w:noProof/>
        </w:rPr>
        <w:fldChar w:fldCharType="end"/>
      </w:r>
    </w:p>
    <w:p w14:paraId="7938EFFE" w14:textId="77777777" w:rsidR="005B58B6" w:rsidRDefault="005B58B6" w:rsidP="005B58B6">
      <w:pPr>
        <w:pStyle w:val="TM3"/>
        <w:tabs>
          <w:tab w:val="left" w:pos="960"/>
          <w:tab w:val="right" w:leader="underscore" w:pos="9352"/>
        </w:tabs>
        <w:rPr>
          <w:rFonts w:eastAsiaTheme="minorEastAsia" w:cstheme="minorBidi"/>
          <w:noProof/>
          <w:sz w:val="22"/>
          <w:szCs w:val="22"/>
          <w:lang w:eastAsia="fr-CA"/>
        </w:rPr>
      </w:pPr>
      <w:r>
        <w:rPr>
          <w:rFonts w:cs="Arial"/>
          <w:noProof/>
        </w:rPr>
        <w:t>1.1</w:t>
      </w:r>
      <w:r>
        <w:rPr>
          <w:rFonts w:eastAsiaTheme="minorEastAsia" w:cstheme="minorBidi"/>
          <w:noProof/>
          <w:sz w:val="22"/>
          <w:szCs w:val="22"/>
          <w:lang w:eastAsia="fr-CA"/>
        </w:rPr>
        <w:tab/>
      </w:r>
      <w:r>
        <w:rPr>
          <w:rFonts w:cs="Arial"/>
          <w:noProof/>
        </w:rPr>
        <w:t>Les parties</w:t>
      </w:r>
      <w:r>
        <w:rPr>
          <w:noProof/>
        </w:rPr>
        <w:tab/>
      </w:r>
      <w:r>
        <w:rPr>
          <w:noProof/>
        </w:rPr>
        <w:fldChar w:fldCharType="begin"/>
      </w:r>
      <w:r>
        <w:rPr>
          <w:noProof/>
        </w:rPr>
        <w:instrText xml:space="preserve"> PAGEREF _Toc124755330 \h </w:instrText>
      </w:r>
      <w:r>
        <w:rPr>
          <w:noProof/>
        </w:rPr>
      </w:r>
      <w:r>
        <w:rPr>
          <w:noProof/>
        </w:rPr>
        <w:fldChar w:fldCharType="separate"/>
      </w:r>
      <w:r>
        <w:rPr>
          <w:noProof/>
        </w:rPr>
        <w:t>4</w:t>
      </w:r>
      <w:r>
        <w:rPr>
          <w:noProof/>
        </w:rPr>
        <w:fldChar w:fldCharType="end"/>
      </w:r>
    </w:p>
    <w:p w14:paraId="185BE25B" w14:textId="77777777" w:rsidR="005B58B6" w:rsidRDefault="005B58B6" w:rsidP="005B58B6">
      <w:pPr>
        <w:pStyle w:val="TM3"/>
        <w:tabs>
          <w:tab w:val="left" w:pos="960"/>
          <w:tab w:val="right" w:leader="underscore" w:pos="9352"/>
        </w:tabs>
        <w:rPr>
          <w:rFonts w:eastAsiaTheme="minorEastAsia" w:cstheme="minorBidi"/>
          <w:noProof/>
          <w:sz w:val="22"/>
          <w:szCs w:val="22"/>
          <w:lang w:eastAsia="fr-CA"/>
        </w:rPr>
      </w:pPr>
      <w:r>
        <w:rPr>
          <w:rFonts w:cs="Arial"/>
          <w:noProof/>
        </w:rPr>
        <w:t>1.2</w:t>
      </w:r>
      <w:r>
        <w:rPr>
          <w:rFonts w:eastAsiaTheme="minorEastAsia" w:cstheme="minorBidi"/>
          <w:noProof/>
          <w:sz w:val="22"/>
          <w:szCs w:val="22"/>
          <w:lang w:eastAsia="fr-CA"/>
        </w:rPr>
        <w:tab/>
      </w:r>
      <w:r>
        <w:rPr>
          <w:rFonts w:cs="Arial"/>
          <w:noProof/>
        </w:rPr>
        <w:t>Quatre dates importantes</w:t>
      </w:r>
      <w:r>
        <w:rPr>
          <w:noProof/>
        </w:rPr>
        <w:tab/>
      </w:r>
      <w:r>
        <w:rPr>
          <w:noProof/>
        </w:rPr>
        <w:fldChar w:fldCharType="begin"/>
      </w:r>
      <w:r>
        <w:rPr>
          <w:noProof/>
        </w:rPr>
        <w:instrText xml:space="preserve"> PAGEREF _Toc124755331 \h </w:instrText>
      </w:r>
      <w:r>
        <w:rPr>
          <w:noProof/>
        </w:rPr>
      </w:r>
      <w:r>
        <w:rPr>
          <w:noProof/>
        </w:rPr>
        <w:fldChar w:fldCharType="separate"/>
      </w:r>
      <w:r>
        <w:rPr>
          <w:noProof/>
        </w:rPr>
        <w:t>5</w:t>
      </w:r>
      <w:r>
        <w:rPr>
          <w:noProof/>
        </w:rPr>
        <w:fldChar w:fldCharType="end"/>
      </w:r>
    </w:p>
    <w:p w14:paraId="180772EF" w14:textId="77777777" w:rsidR="005B58B6" w:rsidRDefault="005B58B6" w:rsidP="005B58B6">
      <w:pPr>
        <w:pStyle w:val="TM3"/>
        <w:tabs>
          <w:tab w:val="left" w:pos="960"/>
          <w:tab w:val="right" w:leader="underscore" w:pos="9352"/>
        </w:tabs>
        <w:rPr>
          <w:rFonts w:eastAsiaTheme="minorEastAsia" w:cstheme="minorBidi"/>
          <w:noProof/>
          <w:sz w:val="22"/>
          <w:szCs w:val="22"/>
          <w:lang w:eastAsia="fr-CA"/>
        </w:rPr>
      </w:pPr>
      <w:r>
        <w:rPr>
          <w:rFonts w:cs="Arial"/>
          <w:noProof/>
        </w:rPr>
        <w:t>1.3</w:t>
      </w:r>
      <w:r>
        <w:rPr>
          <w:rFonts w:eastAsiaTheme="minorEastAsia" w:cstheme="minorBidi"/>
          <w:noProof/>
          <w:sz w:val="22"/>
          <w:szCs w:val="22"/>
          <w:lang w:eastAsia="fr-CA"/>
        </w:rPr>
        <w:tab/>
      </w:r>
      <w:r>
        <w:rPr>
          <w:rFonts w:cs="Arial"/>
          <w:noProof/>
        </w:rPr>
        <w:t>Les procédures</w:t>
      </w:r>
      <w:r>
        <w:rPr>
          <w:noProof/>
        </w:rPr>
        <w:tab/>
      </w:r>
      <w:r>
        <w:rPr>
          <w:noProof/>
        </w:rPr>
        <w:fldChar w:fldCharType="begin"/>
      </w:r>
      <w:r>
        <w:rPr>
          <w:noProof/>
        </w:rPr>
        <w:instrText xml:space="preserve"> PAGEREF _Toc124755332 \h </w:instrText>
      </w:r>
      <w:r>
        <w:rPr>
          <w:noProof/>
        </w:rPr>
      </w:r>
      <w:r>
        <w:rPr>
          <w:noProof/>
        </w:rPr>
        <w:fldChar w:fldCharType="separate"/>
      </w:r>
      <w:r>
        <w:rPr>
          <w:noProof/>
        </w:rPr>
        <w:t>6</w:t>
      </w:r>
      <w:r>
        <w:rPr>
          <w:noProof/>
        </w:rPr>
        <w:fldChar w:fldCharType="end"/>
      </w:r>
    </w:p>
    <w:p w14:paraId="70D1054D"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1.3.1</w:t>
      </w:r>
      <w:r>
        <w:rPr>
          <w:rFonts w:eastAsiaTheme="minorEastAsia" w:cstheme="minorBidi"/>
          <w:noProof/>
          <w:sz w:val="22"/>
          <w:szCs w:val="22"/>
          <w:lang w:eastAsia="fr-CA"/>
        </w:rPr>
        <w:tab/>
      </w:r>
      <w:r>
        <w:rPr>
          <w:noProof/>
        </w:rPr>
        <w:t>Conclusions recherchées à l’encontre de la Ville de Québec</w:t>
      </w:r>
      <w:r>
        <w:rPr>
          <w:noProof/>
        </w:rPr>
        <w:tab/>
      </w:r>
      <w:r>
        <w:rPr>
          <w:noProof/>
        </w:rPr>
        <w:fldChar w:fldCharType="begin"/>
      </w:r>
      <w:r>
        <w:rPr>
          <w:noProof/>
        </w:rPr>
        <w:instrText xml:space="preserve"> PAGEREF _Toc124755333 \h </w:instrText>
      </w:r>
      <w:r>
        <w:rPr>
          <w:noProof/>
        </w:rPr>
      </w:r>
      <w:r>
        <w:rPr>
          <w:noProof/>
        </w:rPr>
        <w:fldChar w:fldCharType="separate"/>
      </w:r>
      <w:r>
        <w:rPr>
          <w:noProof/>
        </w:rPr>
        <w:t>7</w:t>
      </w:r>
      <w:r>
        <w:rPr>
          <w:noProof/>
        </w:rPr>
        <w:fldChar w:fldCharType="end"/>
      </w:r>
    </w:p>
    <w:p w14:paraId="1DC549F2"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1.3.2</w:t>
      </w:r>
      <w:r>
        <w:rPr>
          <w:rFonts w:eastAsiaTheme="minorEastAsia" w:cstheme="minorBidi"/>
          <w:noProof/>
          <w:sz w:val="22"/>
          <w:szCs w:val="22"/>
          <w:lang w:eastAsia="fr-CA"/>
        </w:rPr>
        <w:tab/>
      </w:r>
      <w:r>
        <w:rPr>
          <w:noProof/>
        </w:rPr>
        <w:t>Conclusions recherchées à l’encontre du gouvernement du Québec</w:t>
      </w:r>
      <w:r>
        <w:rPr>
          <w:noProof/>
        </w:rPr>
        <w:tab/>
      </w:r>
      <w:r>
        <w:rPr>
          <w:noProof/>
        </w:rPr>
        <w:fldChar w:fldCharType="begin"/>
      </w:r>
      <w:r>
        <w:rPr>
          <w:noProof/>
        </w:rPr>
        <w:instrText xml:space="preserve"> PAGEREF _Toc124755334 \h </w:instrText>
      </w:r>
      <w:r>
        <w:rPr>
          <w:noProof/>
        </w:rPr>
      </w:r>
      <w:r>
        <w:rPr>
          <w:noProof/>
        </w:rPr>
        <w:fldChar w:fldCharType="separate"/>
      </w:r>
      <w:r>
        <w:rPr>
          <w:noProof/>
        </w:rPr>
        <w:t>7</w:t>
      </w:r>
      <w:r>
        <w:rPr>
          <w:noProof/>
        </w:rPr>
        <w:fldChar w:fldCharType="end"/>
      </w:r>
    </w:p>
    <w:p w14:paraId="34B27CD7"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1.3.3</w:t>
      </w:r>
      <w:r>
        <w:rPr>
          <w:rFonts w:eastAsiaTheme="minorEastAsia" w:cstheme="minorBidi"/>
          <w:noProof/>
          <w:sz w:val="22"/>
          <w:szCs w:val="22"/>
          <w:lang w:eastAsia="fr-CA"/>
        </w:rPr>
        <w:tab/>
      </w:r>
      <w:r>
        <w:rPr>
          <w:noProof/>
        </w:rPr>
        <w:t>Position des défendeurs et du mis en cause</w:t>
      </w:r>
      <w:r>
        <w:rPr>
          <w:noProof/>
        </w:rPr>
        <w:tab/>
      </w:r>
      <w:r>
        <w:rPr>
          <w:noProof/>
        </w:rPr>
        <w:fldChar w:fldCharType="begin"/>
      </w:r>
      <w:r>
        <w:rPr>
          <w:noProof/>
        </w:rPr>
        <w:instrText xml:space="preserve"> PAGEREF _Toc124755335 \h </w:instrText>
      </w:r>
      <w:r>
        <w:rPr>
          <w:noProof/>
        </w:rPr>
      </w:r>
      <w:r>
        <w:rPr>
          <w:noProof/>
        </w:rPr>
        <w:fldChar w:fldCharType="separate"/>
      </w:r>
      <w:r>
        <w:rPr>
          <w:noProof/>
        </w:rPr>
        <w:t>8</w:t>
      </w:r>
      <w:r>
        <w:rPr>
          <w:noProof/>
        </w:rPr>
        <w:fldChar w:fldCharType="end"/>
      </w:r>
    </w:p>
    <w:p w14:paraId="3E6C1939" w14:textId="77777777" w:rsidR="005B58B6" w:rsidRDefault="005B58B6" w:rsidP="005B58B6">
      <w:pPr>
        <w:pStyle w:val="TM2"/>
        <w:tabs>
          <w:tab w:val="left" w:pos="720"/>
          <w:tab w:val="right" w:leader="underscore" w:pos="9352"/>
        </w:tabs>
        <w:rPr>
          <w:rFonts w:eastAsiaTheme="minorEastAsia" w:cstheme="minorBidi"/>
          <w:b w:val="0"/>
          <w:bCs w:val="0"/>
          <w:noProof/>
          <w:lang w:eastAsia="fr-CA"/>
        </w:rPr>
      </w:pPr>
      <w:r>
        <w:rPr>
          <w:noProof/>
        </w:rPr>
        <w:t>2.</w:t>
      </w:r>
      <w:r>
        <w:rPr>
          <w:rFonts w:eastAsiaTheme="minorEastAsia" w:cstheme="minorBidi"/>
          <w:b w:val="0"/>
          <w:bCs w:val="0"/>
          <w:noProof/>
          <w:lang w:eastAsia="fr-CA"/>
        </w:rPr>
        <w:tab/>
      </w:r>
      <w:r>
        <w:rPr>
          <w:noProof/>
        </w:rPr>
        <w:t>L’ANALYSE</w:t>
      </w:r>
      <w:r>
        <w:rPr>
          <w:noProof/>
        </w:rPr>
        <w:tab/>
      </w:r>
      <w:r>
        <w:rPr>
          <w:noProof/>
        </w:rPr>
        <w:fldChar w:fldCharType="begin"/>
      </w:r>
      <w:r>
        <w:rPr>
          <w:noProof/>
        </w:rPr>
        <w:instrText xml:space="preserve"> PAGEREF _Toc124755336 \h </w:instrText>
      </w:r>
      <w:r>
        <w:rPr>
          <w:noProof/>
        </w:rPr>
      </w:r>
      <w:r>
        <w:rPr>
          <w:noProof/>
        </w:rPr>
        <w:fldChar w:fldCharType="separate"/>
      </w:r>
      <w:r>
        <w:rPr>
          <w:noProof/>
        </w:rPr>
        <w:t>9</w:t>
      </w:r>
      <w:r>
        <w:rPr>
          <w:noProof/>
        </w:rPr>
        <w:fldChar w:fldCharType="end"/>
      </w:r>
    </w:p>
    <w:p w14:paraId="541086BC" w14:textId="77777777" w:rsidR="005B58B6" w:rsidRDefault="005B58B6" w:rsidP="005B58B6">
      <w:pPr>
        <w:pStyle w:val="TM3"/>
        <w:tabs>
          <w:tab w:val="left" w:pos="960"/>
          <w:tab w:val="right" w:leader="underscore" w:pos="9352"/>
        </w:tabs>
        <w:rPr>
          <w:rFonts w:eastAsiaTheme="minorEastAsia" w:cstheme="minorBidi"/>
          <w:noProof/>
          <w:sz w:val="22"/>
          <w:szCs w:val="22"/>
          <w:lang w:eastAsia="fr-CA"/>
        </w:rPr>
      </w:pPr>
      <w:r>
        <w:rPr>
          <w:noProof/>
        </w:rPr>
        <w:t>2.1</w:t>
      </w:r>
      <w:r>
        <w:rPr>
          <w:rFonts w:eastAsiaTheme="minorEastAsia" w:cstheme="minorBidi"/>
          <w:noProof/>
          <w:sz w:val="22"/>
          <w:szCs w:val="22"/>
          <w:lang w:eastAsia="fr-CA"/>
        </w:rPr>
        <w:tab/>
      </w:r>
      <w:r>
        <w:rPr>
          <w:noProof/>
        </w:rPr>
        <w:t>Les rapports d’expertise</w:t>
      </w:r>
      <w:r>
        <w:rPr>
          <w:noProof/>
        </w:rPr>
        <w:tab/>
      </w:r>
      <w:r>
        <w:rPr>
          <w:noProof/>
        </w:rPr>
        <w:fldChar w:fldCharType="begin"/>
      </w:r>
      <w:r>
        <w:rPr>
          <w:noProof/>
        </w:rPr>
        <w:instrText xml:space="preserve"> PAGEREF _Toc124755337 \h </w:instrText>
      </w:r>
      <w:r>
        <w:rPr>
          <w:noProof/>
        </w:rPr>
      </w:r>
      <w:r>
        <w:rPr>
          <w:noProof/>
        </w:rPr>
        <w:fldChar w:fldCharType="separate"/>
      </w:r>
      <w:r>
        <w:rPr>
          <w:noProof/>
        </w:rPr>
        <w:t>10</w:t>
      </w:r>
      <w:r>
        <w:rPr>
          <w:noProof/>
        </w:rPr>
        <w:fldChar w:fldCharType="end"/>
      </w:r>
    </w:p>
    <w:p w14:paraId="190DAAC6"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2.1.1</w:t>
      </w:r>
      <w:r>
        <w:rPr>
          <w:rFonts w:eastAsiaTheme="minorEastAsia" w:cstheme="minorBidi"/>
          <w:noProof/>
          <w:sz w:val="22"/>
          <w:szCs w:val="22"/>
          <w:lang w:eastAsia="fr-CA"/>
        </w:rPr>
        <w:tab/>
      </w:r>
      <w:r>
        <w:rPr>
          <w:noProof/>
        </w:rPr>
        <w:t>La demande de rejet des expertises</w:t>
      </w:r>
      <w:r>
        <w:rPr>
          <w:noProof/>
        </w:rPr>
        <w:tab/>
      </w:r>
      <w:r>
        <w:rPr>
          <w:noProof/>
        </w:rPr>
        <w:fldChar w:fldCharType="begin"/>
      </w:r>
      <w:r>
        <w:rPr>
          <w:noProof/>
        </w:rPr>
        <w:instrText xml:space="preserve"> PAGEREF _Toc124755338 \h </w:instrText>
      </w:r>
      <w:r>
        <w:rPr>
          <w:noProof/>
        </w:rPr>
      </w:r>
      <w:r>
        <w:rPr>
          <w:noProof/>
        </w:rPr>
        <w:fldChar w:fldCharType="separate"/>
      </w:r>
      <w:r>
        <w:rPr>
          <w:noProof/>
        </w:rPr>
        <w:t>10</w:t>
      </w:r>
      <w:r>
        <w:rPr>
          <w:noProof/>
        </w:rPr>
        <w:fldChar w:fldCharType="end"/>
      </w:r>
    </w:p>
    <w:p w14:paraId="3C5D248E"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2.1.2</w:t>
      </w:r>
      <w:r>
        <w:rPr>
          <w:rFonts w:eastAsiaTheme="minorEastAsia" w:cstheme="minorBidi"/>
          <w:noProof/>
          <w:sz w:val="22"/>
          <w:szCs w:val="22"/>
          <w:lang w:eastAsia="fr-CA"/>
        </w:rPr>
        <w:tab/>
      </w:r>
      <w:r>
        <w:rPr>
          <w:noProof/>
        </w:rPr>
        <w:t>Les assises légales de l’expertise</w:t>
      </w:r>
      <w:r>
        <w:rPr>
          <w:noProof/>
        </w:rPr>
        <w:tab/>
      </w:r>
      <w:r>
        <w:rPr>
          <w:noProof/>
        </w:rPr>
        <w:fldChar w:fldCharType="begin"/>
      </w:r>
      <w:r>
        <w:rPr>
          <w:noProof/>
        </w:rPr>
        <w:instrText xml:space="preserve"> PAGEREF _Toc124755339 \h </w:instrText>
      </w:r>
      <w:r>
        <w:rPr>
          <w:noProof/>
        </w:rPr>
      </w:r>
      <w:r>
        <w:rPr>
          <w:noProof/>
        </w:rPr>
        <w:fldChar w:fldCharType="separate"/>
      </w:r>
      <w:r>
        <w:rPr>
          <w:noProof/>
        </w:rPr>
        <w:t>11</w:t>
      </w:r>
      <w:r>
        <w:rPr>
          <w:noProof/>
        </w:rPr>
        <w:fldChar w:fldCharType="end"/>
      </w:r>
    </w:p>
    <w:p w14:paraId="5C501F05"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2.1.3</w:t>
      </w:r>
      <w:r>
        <w:rPr>
          <w:rFonts w:eastAsiaTheme="minorEastAsia" w:cstheme="minorBidi"/>
          <w:noProof/>
          <w:sz w:val="22"/>
          <w:szCs w:val="22"/>
          <w:lang w:eastAsia="fr-CA"/>
        </w:rPr>
        <w:tab/>
      </w:r>
      <w:r>
        <w:rPr>
          <w:noProof/>
        </w:rPr>
        <w:t>Que retenir de ces experts?</w:t>
      </w:r>
      <w:r>
        <w:rPr>
          <w:noProof/>
        </w:rPr>
        <w:tab/>
      </w:r>
      <w:r>
        <w:rPr>
          <w:noProof/>
        </w:rPr>
        <w:fldChar w:fldCharType="begin"/>
      </w:r>
      <w:r>
        <w:rPr>
          <w:noProof/>
        </w:rPr>
        <w:instrText xml:space="preserve"> PAGEREF _Toc124755340 \h </w:instrText>
      </w:r>
      <w:r>
        <w:rPr>
          <w:noProof/>
        </w:rPr>
      </w:r>
      <w:r>
        <w:rPr>
          <w:noProof/>
        </w:rPr>
        <w:fldChar w:fldCharType="separate"/>
      </w:r>
      <w:r>
        <w:rPr>
          <w:noProof/>
        </w:rPr>
        <w:t>12</w:t>
      </w:r>
      <w:r>
        <w:rPr>
          <w:noProof/>
        </w:rPr>
        <w:fldChar w:fldCharType="end"/>
      </w:r>
    </w:p>
    <w:p w14:paraId="08C2EEF1" w14:textId="77777777" w:rsidR="005B58B6" w:rsidRDefault="005B58B6" w:rsidP="005B58B6">
      <w:pPr>
        <w:pStyle w:val="TM3"/>
        <w:tabs>
          <w:tab w:val="left" w:pos="960"/>
          <w:tab w:val="right" w:leader="underscore" w:pos="9352"/>
        </w:tabs>
        <w:rPr>
          <w:rFonts w:eastAsiaTheme="minorEastAsia" w:cstheme="minorBidi"/>
          <w:noProof/>
          <w:sz w:val="22"/>
          <w:szCs w:val="22"/>
          <w:lang w:eastAsia="fr-CA"/>
        </w:rPr>
      </w:pPr>
      <w:r>
        <w:rPr>
          <w:noProof/>
        </w:rPr>
        <w:t>2.2</w:t>
      </w:r>
      <w:r>
        <w:rPr>
          <w:rFonts w:eastAsiaTheme="minorEastAsia" w:cstheme="minorBidi"/>
          <w:noProof/>
          <w:sz w:val="22"/>
          <w:szCs w:val="22"/>
          <w:lang w:eastAsia="fr-CA"/>
        </w:rPr>
        <w:tab/>
      </w:r>
      <w:r>
        <w:rPr>
          <w:noProof/>
        </w:rPr>
        <w:t>La demande de nullité du décret 655-2022</w:t>
      </w:r>
      <w:r>
        <w:rPr>
          <w:noProof/>
        </w:rPr>
        <w:tab/>
      </w:r>
      <w:r>
        <w:rPr>
          <w:noProof/>
        </w:rPr>
        <w:fldChar w:fldCharType="begin"/>
      </w:r>
      <w:r>
        <w:rPr>
          <w:noProof/>
        </w:rPr>
        <w:instrText xml:space="preserve"> PAGEREF _Toc124755341 \h </w:instrText>
      </w:r>
      <w:r>
        <w:rPr>
          <w:noProof/>
        </w:rPr>
      </w:r>
      <w:r>
        <w:rPr>
          <w:noProof/>
        </w:rPr>
        <w:fldChar w:fldCharType="separate"/>
      </w:r>
      <w:r>
        <w:rPr>
          <w:noProof/>
        </w:rPr>
        <w:t>14</w:t>
      </w:r>
      <w:r>
        <w:rPr>
          <w:noProof/>
        </w:rPr>
        <w:fldChar w:fldCharType="end"/>
      </w:r>
    </w:p>
    <w:p w14:paraId="39554B26"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2.2.1</w:t>
      </w:r>
      <w:r>
        <w:rPr>
          <w:rFonts w:eastAsiaTheme="minorEastAsia" w:cstheme="minorBidi"/>
          <w:noProof/>
          <w:sz w:val="22"/>
          <w:szCs w:val="22"/>
          <w:lang w:eastAsia="fr-CA"/>
        </w:rPr>
        <w:tab/>
      </w:r>
      <w:r>
        <w:rPr>
          <w:noProof/>
        </w:rPr>
        <w:t>Le délai pour introduire le recours</w:t>
      </w:r>
      <w:r>
        <w:rPr>
          <w:noProof/>
        </w:rPr>
        <w:tab/>
      </w:r>
      <w:r>
        <w:rPr>
          <w:noProof/>
        </w:rPr>
        <w:fldChar w:fldCharType="begin"/>
      </w:r>
      <w:r>
        <w:rPr>
          <w:noProof/>
        </w:rPr>
        <w:instrText xml:space="preserve"> PAGEREF _Toc124755342 \h </w:instrText>
      </w:r>
      <w:r>
        <w:rPr>
          <w:noProof/>
        </w:rPr>
      </w:r>
      <w:r>
        <w:rPr>
          <w:noProof/>
        </w:rPr>
        <w:fldChar w:fldCharType="separate"/>
      </w:r>
      <w:r>
        <w:rPr>
          <w:noProof/>
        </w:rPr>
        <w:t>15</w:t>
      </w:r>
      <w:r>
        <w:rPr>
          <w:noProof/>
        </w:rPr>
        <w:fldChar w:fldCharType="end"/>
      </w:r>
    </w:p>
    <w:p w14:paraId="1830C21B"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2.2.2</w:t>
      </w:r>
      <w:r>
        <w:rPr>
          <w:rFonts w:eastAsiaTheme="minorEastAsia" w:cstheme="minorBidi"/>
          <w:noProof/>
          <w:sz w:val="22"/>
          <w:szCs w:val="22"/>
          <w:lang w:eastAsia="fr-CA"/>
        </w:rPr>
        <w:tab/>
      </w:r>
      <w:r>
        <w:rPr>
          <w:noProof/>
        </w:rPr>
        <w:t>Les motifs de contestation du décret</w:t>
      </w:r>
      <w:r>
        <w:rPr>
          <w:noProof/>
        </w:rPr>
        <w:tab/>
      </w:r>
      <w:r>
        <w:rPr>
          <w:noProof/>
        </w:rPr>
        <w:fldChar w:fldCharType="begin"/>
      </w:r>
      <w:r>
        <w:rPr>
          <w:noProof/>
        </w:rPr>
        <w:instrText xml:space="preserve"> PAGEREF _Toc124755343 \h </w:instrText>
      </w:r>
      <w:r>
        <w:rPr>
          <w:noProof/>
        </w:rPr>
      </w:r>
      <w:r>
        <w:rPr>
          <w:noProof/>
        </w:rPr>
        <w:fldChar w:fldCharType="separate"/>
      </w:r>
      <w:r>
        <w:rPr>
          <w:noProof/>
        </w:rPr>
        <w:t>18</w:t>
      </w:r>
      <w:r>
        <w:rPr>
          <w:noProof/>
        </w:rPr>
        <w:fldChar w:fldCharType="end"/>
      </w:r>
    </w:p>
    <w:p w14:paraId="21933C5C"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2.2.3</w:t>
      </w:r>
      <w:r>
        <w:rPr>
          <w:rFonts w:eastAsiaTheme="minorEastAsia" w:cstheme="minorBidi"/>
          <w:noProof/>
          <w:sz w:val="22"/>
          <w:szCs w:val="22"/>
          <w:lang w:eastAsia="fr-CA"/>
        </w:rPr>
        <w:tab/>
      </w:r>
      <w:r>
        <w:rPr>
          <w:noProof/>
        </w:rPr>
        <w:t>Le cadre juridique de cette demande de nullité du décret</w:t>
      </w:r>
      <w:r>
        <w:rPr>
          <w:noProof/>
        </w:rPr>
        <w:tab/>
      </w:r>
      <w:r>
        <w:rPr>
          <w:noProof/>
        </w:rPr>
        <w:fldChar w:fldCharType="begin"/>
      </w:r>
      <w:r>
        <w:rPr>
          <w:noProof/>
        </w:rPr>
        <w:instrText xml:space="preserve"> PAGEREF _Toc124755344 \h </w:instrText>
      </w:r>
      <w:r>
        <w:rPr>
          <w:noProof/>
        </w:rPr>
      </w:r>
      <w:r>
        <w:rPr>
          <w:noProof/>
        </w:rPr>
        <w:fldChar w:fldCharType="separate"/>
      </w:r>
      <w:r>
        <w:rPr>
          <w:noProof/>
        </w:rPr>
        <w:t>19</w:t>
      </w:r>
      <w:r>
        <w:rPr>
          <w:noProof/>
        </w:rPr>
        <w:fldChar w:fldCharType="end"/>
      </w:r>
    </w:p>
    <w:p w14:paraId="287F51E4" w14:textId="77777777" w:rsidR="005B58B6" w:rsidRDefault="005B58B6" w:rsidP="005B58B6">
      <w:pPr>
        <w:pStyle w:val="TM5"/>
        <w:tabs>
          <w:tab w:val="left" w:pos="1920"/>
          <w:tab w:val="right" w:leader="underscore" w:pos="9352"/>
        </w:tabs>
        <w:rPr>
          <w:rFonts w:eastAsiaTheme="minorEastAsia" w:cstheme="minorBidi"/>
          <w:noProof/>
          <w:sz w:val="22"/>
          <w:szCs w:val="22"/>
          <w:lang w:eastAsia="fr-CA"/>
        </w:rPr>
      </w:pPr>
      <w:r>
        <w:rPr>
          <w:noProof/>
        </w:rPr>
        <w:t>2.2.3.1</w:t>
      </w:r>
      <w:r>
        <w:rPr>
          <w:rFonts w:eastAsiaTheme="minorEastAsia" w:cstheme="minorBidi"/>
          <w:noProof/>
          <w:sz w:val="22"/>
          <w:szCs w:val="22"/>
          <w:lang w:eastAsia="fr-CA"/>
        </w:rPr>
        <w:tab/>
      </w:r>
      <w:r>
        <w:rPr>
          <w:noProof/>
        </w:rPr>
        <w:t>La compétence du gouvernement d’émettre un décret en matière environnementale et le processus suivi</w:t>
      </w:r>
      <w:r>
        <w:rPr>
          <w:noProof/>
        </w:rPr>
        <w:tab/>
      </w:r>
      <w:r>
        <w:rPr>
          <w:noProof/>
        </w:rPr>
        <w:fldChar w:fldCharType="begin"/>
      </w:r>
      <w:r>
        <w:rPr>
          <w:noProof/>
        </w:rPr>
        <w:instrText xml:space="preserve"> PAGEREF _Toc124755345 \h </w:instrText>
      </w:r>
      <w:r>
        <w:rPr>
          <w:noProof/>
        </w:rPr>
      </w:r>
      <w:r>
        <w:rPr>
          <w:noProof/>
        </w:rPr>
        <w:fldChar w:fldCharType="separate"/>
      </w:r>
      <w:r>
        <w:rPr>
          <w:noProof/>
        </w:rPr>
        <w:t>22</w:t>
      </w:r>
      <w:r>
        <w:rPr>
          <w:noProof/>
        </w:rPr>
        <w:fldChar w:fldCharType="end"/>
      </w:r>
    </w:p>
    <w:p w14:paraId="377561B5" w14:textId="77777777" w:rsidR="005B58B6" w:rsidRDefault="005B58B6" w:rsidP="005B58B6">
      <w:pPr>
        <w:pStyle w:val="TM5"/>
        <w:tabs>
          <w:tab w:val="left" w:pos="1920"/>
          <w:tab w:val="right" w:leader="underscore" w:pos="9352"/>
        </w:tabs>
        <w:rPr>
          <w:rFonts w:eastAsiaTheme="minorEastAsia" w:cstheme="minorBidi"/>
          <w:noProof/>
          <w:sz w:val="22"/>
          <w:szCs w:val="22"/>
          <w:lang w:eastAsia="fr-CA"/>
        </w:rPr>
      </w:pPr>
      <w:r>
        <w:rPr>
          <w:noProof/>
        </w:rPr>
        <w:t>2.2.3.2</w:t>
      </w:r>
      <w:r>
        <w:rPr>
          <w:rFonts w:eastAsiaTheme="minorEastAsia" w:cstheme="minorBidi"/>
          <w:noProof/>
          <w:sz w:val="22"/>
          <w:szCs w:val="22"/>
          <w:lang w:eastAsia="fr-CA"/>
        </w:rPr>
        <w:tab/>
      </w:r>
      <w:r>
        <w:rPr>
          <w:noProof/>
        </w:rPr>
        <w:t>L’analyse du contenu de la décision du 6 avril 2022</w:t>
      </w:r>
      <w:r>
        <w:rPr>
          <w:noProof/>
        </w:rPr>
        <w:tab/>
      </w:r>
      <w:r>
        <w:rPr>
          <w:noProof/>
        </w:rPr>
        <w:fldChar w:fldCharType="begin"/>
      </w:r>
      <w:r>
        <w:rPr>
          <w:noProof/>
        </w:rPr>
        <w:instrText xml:space="preserve"> PAGEREF _Toc124755346 \h </w:instrText>
      </w:r>
      <w:r>
        <w:rPr>
          <w:noProof/>
        </w:rPr>
      </w:r>
      <w:r>
        <w:rPr>
          <w:noProof/>
        </w:rPr>
        <w:fldChar w:fldCharType="separate"/>
      </w:r>
      <w:r>
        <w:rPr>
          <w:noProof/>
        </w:rPr>
        <w:t>25</w:t>
      </w:r>
      <w:r>
        <w:rPr>
          <w:noProof/>
        </w:rPr>
        <w:fldChar w:fldCharType="end"/>
      </w:r>
    </w:p>
    <w:p w14:paraId="2D323A57"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2.2.4</w:t>
      </w:r>
      <w:r>
        <w:rPr>
          <w:rFonts w:eastAsiaTheme="minorEastAsia" w:cstheme="minorBidi"/>
          <w:noProof/>
          <w:sz w:val="22"/>
          <w:szCs w:val="22"/>
          <w:lang w:eastAsia="fr-CA"/>
        </w:rPr>
        <w:tab/>
      </w:r>
      <w:r>
        <w:rPr>
          <w:noProof/>
        </w:rPr>
        <w:t xml:space="preserve">Le non-respect du </w:t>
      </w:r>
      <w:r>
        <w:rPr>
          <w:i/>
          <w:iCs/>
          <w:noProof/>
        </w:rPr>
        <w:t>Règlement sur les exemptions de publication intégrale des décrets</w:t>
      </w:r>
      <w:r>
        <w:rPr>
          <w:noProof/>
        </w:rPr>
        <w:tab/>
      </w:r>
      <w:r>
        <w:rPr>
          <w:noProof/>
        </w:rPr>
        <w:fldChar w:fldCharType="begin"/>
      </w:r>
      <w:r>
        <w:rPr>
          <w:noProof/>
        </w:rPr>
        <w:instrText xml:space="preserve"> PAGEREF _Toc124755347 \h </w:instrText>
      </w:r>
      <w:r>
        <w:rPr>
          <w:noProof/>
        </w:rPr>
      </w:r>
      <w:r>
        <w:rPr>
          <w:noProof/>
        </w:rPr>
        <w:fldChar w:fldCharType="separate"/>
      </w:r>
      <w:r>
        <w:rPr>
          <w:noProof/>
        </w:rPr>
        <w:t>41</w:t>
      </w:r>
      <w:r>
        <w:rPr>
          <w:noProof/>
        </w:rPr>
        <w:fldChar w:fldCharType="end"/>
      </w:r>
    </w:p>
    <w:p w14:paraId="7AF4F06C"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2.2.5</w:t>
      </w:r>
      <w:r>
        <w:rPr>
          <w:rFonts w:eastAsiaTheme="minorEastAsia" w:cstheme="minorBidi"/>
          <w:noProof/>
          <w:sz w:val="22"/>
          <w:szCs w:val="22"/>
          <w:lang w:eastAsia="fr-CA"/>
        </w:rPr>
        <w:tab/>
      </w:r>
      <w:r>
        <w:rPr>
          <w:noProof/>
        </w:rPr>
        <w:t>Conclusions quant à la demande de nullité du décret 655-2022</w:t>
      </w:r>
      <w:r>
        <w:rPr>
          <w:noProof/>
        </w:rPr>
        <w:tab/>
      </w:r>
      <w:r>
        <w:rPr>
          <w:noProof/>
        </w:rPr>
        <w:fldChar w:fldCharType="begin"/>
      </w:r>
      <w:r>
        <w:rPr>
          <w:noProof/>
        </w:rPr>
        <w:instrText xml:space="preserve"> PAGEREF _Toc124755348 \h </w:instrText>
      </w:r>
      <w:r>
        <w:rPr>
          <w:noProof/>
        </w:rPr>
      </w:r>
      <w:r>
        <w:rPr>
          <w:noProof/>
        </w:rPr>
        <w:fldChar w:fldCharType="separate"/>
      </w:r>
      <w:r>
        <w:rPr>
          <w:noProof/>
        </w:rPr>
        <w:t>43</w:t>
      </w:r>
      <w:r>
        <w:rPr>
          <w:noProof/>
        </w:rPr>
        <w:fldChar w:fldCharType="end"/>
      </w:r>
    </w:p>
    <w:p w14:paraId="21B850C1" w14:textId="77777777" w:rsidR="005B58B6" w:rsidRDefault="005B58B6" w:rsidP="005B58B6">
      <w:pPr>
        <w:pStyle w:val="TM3"/>
        <w:tabs>
          <w:tab w:val="left" w:pos="960"/>
          <w:tab w:val="right" w:leader="underscore" w:pos="9352"/>
        </w:tabs>
        <w:rPr>
          <w:rFonts w:eastAsiaTheme="minorEastAsia" w:cstheme="minorBidi"/>
          <w:noProof/>
          <w:sz w:val="22"/>
          <w:szCs w:val="22"/>
          <w:lang w:eastAsia="fr-CA"/>
        </w:rPr>
      </w:pPr>
      <w:r>
        <w:rPr>
          <w:noProof/>
        </w:rPr>
        <w:t>2.3</w:t>
      </w:r>
      <w:r>
        <w:rPr>
          <w:rFonts w:eastAsiaTheme="minorEastAsia" w:cstheme="minorBidi"/>
          <w:noProof/>
          <w:sz w:val="22"/>
          <w:szCs w:val="22"/>
          <w:lang w:eastAsia="fr-CA"/>
        </w:rPr>
        <w:tab/>
      </w:r>
      <w:r>
        <w:rPr>
          <w:noProof/>
        </w:rPr>
        <w:t xml:space="preserve">Le droit à l’injonction en vertu de la </w:t>
      </w:r>
      <w:r>
        <w:rPr>
          <w:i/>
          <w:iCs/>
          <w:noProof/>
        </w:rPr>
        <w:t>Loi sur la qualité de l’environnement</w:t>
      </w:r>
      <w:r>
        <w:rPr>
          <w:noProof/>
        </w:rPr>
        <w:tab/>
      </w:r>
      <w:r>
        <w:rPr>
          <w:noProof/>
        </w:rPr>
        <w:fldChar w:fldCharType="begin"/>
      </w:r>
      <w:r>
        <w:rPr>
          <w:noProof/>
        </w:rPr>
        <w:instrText xml:space="preserve"> PAGEREF _Toc124755349 \h </w:instrText>
      </w:r>
      <w:r>
        <w:rPr>
          <w:noProof/>
        </w:rPr>
      </w:r>
      <w:r>
        <w:rPr>
          <w:noProof/>
        </w:rPr>
        <w:fldChar w:fldCharType="separate"/>
      </w:r>
      <w:r>
        <w:rPr>
          <w:noProof/>
        </w:rPr>
        <w:t>44</w:t>
      </w:r>
      <w:r>
        <w:rPr>
          <w:noProof/>
        </w:rPr>
        <w:fldChar w:fldCharType="end"/>
      </w:r>
    </w:p>
    <w:p w14:paraId="36FEB6C8" w14:textId="77777777" w:rsidR="005B58B6" w:rsidRDefault="005B58B6" w:rsidP="005B58B6">
      <w:pPr>
        <w:pStyle w:val="TM3"/>
        <w:tabs>
          <w:tab w:val="left" w:pos="960"/>
          <w:tab w:val="right" w:leader="underscore" w:pos="9352"/>
        </w:tabs>
        <w:rPr>
          <w:rFonts w:eastAsiaTheme="minorEastAsia" w:cstheme="minorBidi"/>
          <w:noProof/>
          <w:sz w:val="22"/>
          <w:szCs w:val="22"/>
          <w:lang w:eastAsia="fr-CA"/>
        </w:rPr>
      </w:pPr>
      <w:r>
        <w:rPr>
          <w:noProof/>
        </w:rPr>
        <w:t>2.4</w:t>
      </w:r>
      <w:r>
        <w:rPr>
          <w:rFonts w:eastAsiaTheme="minorEastAsia" w:cstheme="minorBidi"/>
          <w:noProof/>
          <w:sz w:val="22"/>
          <w:szCs w:val="22"/>
          <w:lang w:eastAsia="fr-CA"/>
        </w:rPr>
        <w:tab/>
      </w:r>
      <w:r>
        <w:rPr>
          <w:noProof/>
        </w:rPr>
        <w:t>Les dispositions légales dont la constitutionnalité est contestée</w:t>
      </w:r>
      <w:r>
        <w:rPr>
          <w:noProof/>
        </w:rPr>
        <w:tab/>
      </w:r>
      <w:r>
        <w:rPr>
          <w:noProof/>
        </w:rPr>
        <w:fldChar w:fldCharType="begin"/>
      </w:r>
      <w:r>
        <w:rPr>
          <w:noProof/>
        </w:rPr>
        <w:instrText xml:space="preserve"> PAGEREF _Toc124755350 \h </w:instrText>
      </w:r>
      <w:r>
        <w:rPr>
          <w:noProof/>
        </w:rPr>
      </w:r>
      <w:r>
        <w:rPr>
          <w:noProof/>
        </w:rPr>
        <w:fldChar w:fldCharType="separate"/>
      </w:r>
      <w:r>
        <w:rPr>
          <w:noProof/>
        </w:rPr>
        <w:t>45</w:t>
      </w:r>
      <w:r>
        <w:rPr>
          <w:noProof/>
        </w:rPr>
        <w:fldChar w:fldCharType="end"/>
      </w:r>
    </w:p>
    <w:p w14:paraId="64B6F91C"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lang w:val="fr-FR"/>
        </w:rPr>
        <w:t>2.4.1</w:t>
      </w:r>
      <w:r>
        <w:rPr>
          <w:rFonts w:eastAsiaTheme="minorEastAsia" w:cstheme="minorBidi"/>
          <w:noProof/>
          <w:sz w:val="22"/>
          <w:szCs w:val="22"/>
          <w:lang w:eastAsia="fr-CA"/>
        </w:rPr>
        <w:tab/>
      </w:r>
      <w:r>
        <w:rPr>
          <w:noProof/>
          <w:lang w:val="fr-FR"/>
        </w:rPr>
        <w:t xml:space="preserve">L’article 4 de la </w:t>
      </w:r>
      <w:r>
        <w:rPr>
          <w:i/>
          <w:iCs/>
          <w:noProof/>
          <w:lang w:val="fr-FR"/>
        </w:rPr>
        <w:t>Loi visant principalement à reconnaître que les municipalités sont des gouvernements de proximité et à augmenter à ce titre leur autonomie et leurs pouvoirs</w:t>
      </w:r>
      <w:r>
        <w:rPr>
          <w:noProof/>
          <w:lang w:val="fr-FR"/>
        </w:rPr>
        <w:t xml:space="preserve"> et le </w:t>
      </w:r>
      <w:r>
        <w:rPr>
          <w:i/>
          <w:iCs/>
          <w:noProof/>
          <w:lang w:val="fr-FR"/>
        </w:rPr>
        <w:t>Règlement sur la participation publique en matière d’aménagement et d’urbanisme</w:t>
      </w:r>
      <w:r>
        <w:rPr>
          <w:noProof/>
        </w:rPr>
        <w:tab/>
      </w:r>
      <w:r>
        <w:rPr>
          <w:noProof/>
        </w:rPr>
        <w:fldChar w:fldCharType="begin"/>
      </w:r>
      <w:r>
        <w:rPr>
          <w:noProof/>
        </w:rPr>
        <w:instrText xml:space="preserve"> PAGEREF _Toc124755351 \h </w:instrText>
      </w:r>
      <w:r>
        <w:rPr>
          <w:noProof/>
        </w:rPr>
      </w:r>
      <w:r>
        <w:rPr>
          <w:noProof/>
        </w:rPr>
        <w:fldChar w:fldCharType="separate"/>
      </w:r>
      <w:r>
        <w:rPr>
          <w:noProof/>
        </w:rPr>
        <w:t>46</w:t>
      </w:r>
      <w:r>
        <w:rPr>
          <w:noProof/>
        </w:rPr>
        <w:fldChar w:fldCharType="end"/>
      </w:r>
    </w:p>
    <w:p w14:paraId="5A7F9AEF"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2.4.2</w:t>
      </w:r>
      <w:r>
        <w:rPr>
          <w:rFonts w:eastAsiaTheme="minorEastAsia" w:cstheme="minorBidi"/>
          <w:noProof/>
          <w:sz w:val="22"/>
          <w:szCs w:val="22"/>
          <w:lang w:eastAsia="fr-CA"/>
        </w:rPr>
        <w:tab/>
      </w:r>
      <w:r>
        <w:rPr>
          <w:noProof/>
        </w:rPr>
        <w:t>L’article 74.5.2 de la Charte de la Ville</w:t>
      </w:r>
      <w:r>
        <w:rPr>
          <w:noProof/>
        </w:rPr>
        <w:tab/>
      </w:r>
      <w:r>
        <w:rPr>
          <w:noProof/>
        </w:rPr>
        <w:fldChar w:fldCharType="begin"/>
      </w:r>
      <w:r>
        <w:rPr>
          <w:noProof/>
        </w:rPr>
        <w:instrText xml:space="preserve"> PAGEREF _Toc124755352 \h </w:instrText>
      </w:r>
      <w:r>
        <w:rPr>
          <w:noProof/>
        </w:rPr>
      </w:r>
      <w:r>
        <w:rPr>
          <w:noProof/>
        </w:rPr>
        <w:fldChar w:fldCharType="separate"/>
      </w:r>
      <w:r>
        <w:rPr>
          <w:noProof/>
        </w:rPr>
        <w:t>49</w:t>
      </w:r>
      <w:r>
        <w:rPr>
          <w:noProof/>
        </w:rPr>
        <w:fldChar w:fldCharType="end"/>
      </w:r>
    </w:p>
    <w:p w14:paraId="6C67B503" w14:textId="77777777" w:rsidR="005B58B6" w:rsidRDefault="005B58B6" w:rsidP="005B58B6">
      <w:pPr>
        <w:pStyle w:val="TM3"/>
        <w:tabs>
          <w:tab w:val="left" w:pos="960"/>
          <w:tab w:val="right" w:leader="underscore" w:pos="9352"/>
        </w:tabs>
        <w:rPr>
          <w:rFonts w:eastAsiaTheme="minorEastAsia" w:cstheme="minorBidi"/>
          <w:noProof/>
          <w:sz w:val="22"/>
          <w:szCs w:val="22"/>
          <w:lang w:eastAsia="fr-CA"/>
        </w:rPr>
      </w:pPr>
      <w:r>
        <w:rPr>
          <w:noProof/>
        </w:rPr>
        <w:t>2.5</w:t>
      </w:r>
      <w:r>
        <w:rPr>
          <w:rFonts w:eastAsiaTheme="minorEastAsia" w:cstheme="minorBidi"/>
          <w:noProof/>
          <w:sz w:val="22"/>
          <w:szCs w:val="22"/>
          <w:lang w:eastAsia="fr-CA"/>
        </w:rPr>
        <w:tab/>
      </w:r>
      <w:r>
        <w:rPr>
          <w:noProof/>
        </w:rPr>
        <w:t>Le droit à l’injonction pour faire cesser tous travaux relatifs au tramway</w:t>
      </w:r>
      <w:r>
        <w:rPr>
          <w:noProof/>
        </w:rPr>
        <w:tab/>
      </w:r>
      <w:r>
        <w:rPr>
          <w:noProof/>
        </w:rPr>
        <w:fldChar w:fldCharType="begin"/>
      </w:r>
      <w:r>
        <w:rPr>
          <w:noProof/>
        </w:rPr>
        <w:instrText xml:space="preserve"> PAGEREF _Toc124755353 \h </w:instrText>
      </w:r>
      <w:r>
        <w:rPr>
          <w:noProof/>
        </w:rPr>
      </w:r>
      <w:r>
        <w:rPr>
          <w:noProof/>
        </w:rPr>
        <w:fldChar w:fldCharType="separate"/>
      </w:r>
      <w:r>
        <w:rPr>
          <w:noProof/>
        </w:rPr>
        <w:t>50</w:t>
      </w:r>
      <w:r>
        <w:rPr>
          <w:noProof/>
        </w:rPr>
        <w:fldChar w:fldCharType="end"/>
      </w:r>
    </w:p>
    <w:p w14:paraId="61982D66"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2.5.1</w:t>
      </w:r>
      <w:r>
        <w:rPr>
          <w:rFonts w:eastAsiaTheme="minorEastAsia" w:cstheme="minorBidi"/>
          <w:noProof/>
          <w:sz w:val="22"/>
          <w:szCs w:val="22"/>
          <w:lang w:eastAsia="fr-CA"/>
        </w:rPr>
        <w:tab/>
      </w:r>
      <w:r>
        <w:rPr>
          <w:noProof/>
        </w:rPr>
        <w:t>Le pouvoir de la Ville de se doter d’un tramway</w:t>
      </w:r>
      <w:r>
        <w:rPr>
          <w:noProof/>
        </w:rPr>
        <w:tab/>
      </w:r>
      <w:r>
        <w:rPr>
          <w:noProof/>
        </w:rPr>
        <w:fldChar w:fldCharType="begin"/>
      </w:r>
      <w:r>
        <w:rPr>
          <w:noProof/>
        </w:rPr>
        <w:instrText xml:space="preserve"> PAGEREF _Toc124755354 \h </w:instrText>
      </w:r>
      <w:r>
        <w:rPr>
          <w:noProof/>
        </w:rPr>
      </w:r>
      <w:r>
        <w:rPr>
          <w:noProof/>
        </w:rPr>
        <w:fldChar w:fldCharType="separate"/>
      </w:r>
      <w:r>
        <w:rPr>
          <w:noProof/>
        </w:rPr>
        <w:t>50</w:t>
      </w:r>
      <w:r>
        <w:rPr>
          <w:noProof/>
        </w:rPr>
        <w:fldChar w:fldCharType="end"/>
      </w:r>
    </w:p>
    <w:p w14:paraId="26127EE5"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2.5.2</w:t>
      </w:r>
      <w:r>
        <w:rPr>
          <w:rFonts w:eastAsiaTheme="minorEastAsia" w:cstheme="minorBidi"/>
          <w:noProof/>
          <w:sz w:val="22"/>
          <w:szCs w:val="22"/>
          <w:lang w:eastAsia="fr-CA"/>
        </w:rPr>
        <w:tab/>
      </w:r>
      <w:r>
        <w:rPr>
          <w:noProof/>
        </w:rPr>
        <w:t>Les droits démocratiques des demandeurs</w:t>
      </w:r>
      <w:r>
        <w:rPr>
          <w:noProof/>
        </w:rPr>
        <w:tab/>
      </w:r>
      <w:r>
        <w:rPr>
          <w:noProof/>
        </w:rPr>
        <w:fldChar w:fldCharType="begin"/>
      </w:r>
      <w:r>
        <w:rPr>
          <w:noProof/>
        </w:rPr>
        <w:instrText xml:space="preserve"> PAGEREF _Toc124755355 \h </w:instrText>
      </w:r>
      <w:r>
        <w:rPr>
          <w:noProof/>
        </w:rPr>
      </w:r>
      <w:r>
        <w:rPr>
          <w:noProof/>
        </w:rPr>
        <w:fldChar w:fldCharType="separate"/>
      </w:r>
      <w:r>
        <w:rPr>
          <w:noProof/>
        </w:rPr>
        <w:t>52</w:t>
      </w:r>
      <w:r>
        <w:rPr>
          <w:noProof/>
        </w:rPr>
        <w:fldChar w:fldCharType="end"/>
      </w:r>
    </w:p>
    <w:p w14:paraId="2E9ACCB1" w14:textId="77777777" w:rsidR="005B58B6" w:rsidRDefault="005B58B6" w:rsidP="005B58B6">
      <w:pPr>
        <w:pStyle w:val="TM5"/>
        <w:tabs>
          <w:tab w:val="left" w:pos="1920"/>
          <w:tab w:val="right" w:leader="underscore" w:pos="9352"/>
        </w:tabs>
        <w:rPr>
          <w:rFonts w:eastAsiaTheme="minorEastAsia" w:cstheme="minorBidi"/>
          <w:noProof/>
          <w:sz w:val="22"/>
          <w:szCs w:val="22"/>
          <w:lang w:eastAsia="fr-CA"/>
        </w:rPr>
      </w:pPr>
      <w:r>
        <w:rPr>
          <w:noProof/>
        </w:rPr>
        <w:t>2.5.2.1</w:t>
      </w:r>
      <w:r>
        <w:rPr>
          <w:rFonts w:eastAsiaTheme="minorEastAsia" w:cstheme="minorBidi"/>
          <w:noProof/>
          <w:sz w:val="22"/>
          <w:szCs w:val="22"/>
          <w:lang w:eastAsia="fr-CA"/>
        </w:rPr>
        <w:tab/>
      </w:r>
      <w:r>
        <w:rPr>
          <w:noProof/>
        </w:rPr>
        <w:t>Le droit du citoyen de s’exprimer par le biais d’un référendum à travers le prisme des Chartes</w:t>
      </w:r>
      <w:r>
        <w:rPr>
          <w:noProof/>
        </w:rPr>
        <w:tab/>
      </w:r>
      <w:r>
        <w:rPr>
          <w:noProof/>
        </w:rPr>
        <w:fldChar w:fldCharType="begin"/>
      </w:r>
      <w:r>
        <w:rPr>
          <w:noProof/>
        </w:rPr>
        <w:instrText xml:space="preserve"> PAGEREF _Toc124755356 \h </w:instrText>
      </w:r>
      <w:r>
        <w:rPr>
          <w:noProof/>
        </w:rPr>
      </w:r>
      <w:r>
        <w:rPr>
          <w:noProof/>
        </w:rPr>
        <w:fldChar w:fldCharType="separate"/>
      </w:r>
      <w:r>
        <w:rPr>
          <w:noProof/>
        </w:rPr>
        <w:t>53</w:t>
      </w:r>
      <w:r>
        <w:rPr>
          <w:noProof/>
        </w:rPr>
        <w:fldChar w:fldCharType="end"/>
      </w:r>
    </w:p>
    <w:p w14:paraId="03AB704E" w14:textId="77777777" w:rsidR="005B58B6" w:rsidRDefault="005B58B6" w:rsidP="005B58B6">
      <w:pPr>
        <w:pStyle w:val="TM5"/>
        <w:tabs>
          <w:tab w:val="left" w:pos="1920"/>
          <w:tab w:val="right" w:leader="underscore" w:pos="9352"/>
        </w:tabs>
        <w:rPr>
          <w:rFonts w:eastAsiaTheme="minorEastAsia" w:cstheme="minorBidi"/>
          <w:noProof/>
          <w:sz w:val="22"/>
          <w:szCs w:val="22"/>
          <w:lang w:eastAsia="fr-CA"/>
        </w:rPr>
      </w:pPr>
      <w:r>
        <w:rPr>
          <w:noProof/>
        </w:rPr>
        <w:t>2.5.2.2</w:t>
      </w:r>
      <w:r>
        <w:rPr>
          <w:rFonts w:eastAsiaTheme="minorEastAsia" w:cstheme="minorBidi"/>
          <w:noProof/>
          <w:sz w:val="22"/>
          <w:szCs w:val="22"/>
          <w:lang w:eastAsia="fr-CA"/>
        </w:rPr>
        <w:tab/>
      </w:r>
      <w:r>
        <w:rPr>
          <w:noProof/>
        </w:rPr>
        <w:t>Les principes constitutionnels non-écrits</w:t>
      </w:r>
      <w:r>
        <w:rPr>
          <w:noProof/>
        </w:rPr>
        <w:tab/>
      </w:r>
      <w:r>
        <w:rPr>
          <w:noProof/>
        </w:rPr>
        <w:fldChar w:fldCharType="begin"/>
      </w:r>
      <w:r>
        <w:rPr>
          <w:noProof/>
        </w:rPr>
        <w:instrText xml:space="preserve"> PAGEREF _Toc124755357 \h </w:instrText>
      </w:r>
      <w:r>
        <w:rPr>
          <w:noProof/>
        </w:rPr>
      </w:r>
      <w:r>
        <w:rPr>
          <w:noProof/>
        </w:rPr>
        <w:fldChar w:fldCharType="separate"/>
      </w:r>
      <w:r>
        <w:rPr>
          <w:noProof/>
        </w:rPr>
        <w:t>56</w:t>
      </w:r>
      <w:r>
        <w:rPr>
          <w:noProof/>
        </w:rPr>
        <w:fldChar w:fldCharType="end"/>
      </w:r>
    </w:p>
    <w:p w14:paraId="6300172E" w14:textId="77777777" w:rsidR="005B58B6" w:rsidRDefault="005B58B6" w:rsidP="005B58B6">
      <w:pPr>
        <w:pStyle w:val="TM5"/>
        <w:tabs>
          <w:tab w:val="left" w:pos="1920"/>
          <w:tab w:val="right" w:leader="underscore" w:pos="9352"/>
        </w:tabs>
        <w:rPr>
          <w:rFonts w:eastAsiaTheme="minorEastAsia" w:cstheme="minorBidi"/>
          <w:noProof/>
          <w:sz w:val="22"/>
          <w:szCs w:val="22"/>
          <w:lang w:eastAsia="fr-CA"/>
        </w:rPr>
      </w:pPr>
      <w:r>
        <w:rPr>
          <w:noProof/>
        </w:rPr>
        <w:t>2.5.2.3</w:t>
      </w:r>
      <w:r>
        <w:rPr>
          <w:rFonts w:eastAsiaTheme="minorEastAsia" w:cstheme="minorBidi"/>
          <w:noProof/>
          <w:sz w:val="22"/>
          <w:szCs w:val="22"/>
          <w:lang w:eastAsia="fr-CA"/>
        </w:rPr>
        <w:tab/>
      </w:r>
      <w:r>
        <w:rPr>
          <w:noProof/>
        </w:rPr>
        <w:t>Le référendum : pour corriger des promesses électorales soi-disant non tenues</w:t>
      </w:r>
      <w:r>
        <w:rPr>
          <w:noProof/>
        </w:rPr>
        <w:tab/>
      </w:r>
      <w:r>
        <w:rPr>
          <w:noProof/>
        </w:rPr>
        <w:fldChar w:fldCharType="begin"/>
      </w:r>
      <w:r>
        <w:rPr>
          <w:noProof/>
        </w:rPr>
        <w:instrText xml:space="preserve"> PAGEREF _Toc124755358 \h </w:instrText>
      </w:r>
      <w:r>
        <w:rPr>
          <w:noProof/>
        </w:rPr>
      </w:r>
      <w:r>
        <w:rPr>
          <w:noProof/>
        </w:rPr>
        <w:fldChar w:fldCharType="separate"/>
      </w:r>
      <w:r>
        <w:rPr>
          <w:noProof/>
        </w:rPr>
        <w:t>57</w:t>
      </w:r>
      <w:r>
        <w:rPr>
          <w:noProof/>
        </w:rPr>
        <w:fldChar w:fldCharType="end"/>
      </w:r>
    </w:p>
    <w:p w14:paraId="15863E6B" w14:textId="77777777" w:rsidR="005B58B6" w:rsidRDefault="005B58B6" w:rsidP="005B58B6">
      <w:pPr>
        <w:pStyle w:val="TM3"/>
        <w:tabs>
          <w:tab w:val="left" w:pos="960"/>
          <w:tab w:val="right" w:leader="underscore" w:pos="9352"/>
        </w:tabs>
        <w:rPr>
          <w:rFonts w:eastAsiaTheme="minorEastAsia" w:cstheme="minorBidi"/>
          <w:noProof/>
          <w:sz w:val="22"/>
          <w:szCs w:val="22"/>
          <w:lang w:eastAsia="fr-CA"/>
        </w:rPr>
      </w:pPr>
      <w:r>
        <w:rPr>
          <w:noProof/>
        </w:rPr>
        <w:t>2.6</w:t>
      </w:r>
      <w:r>
        <w:rPr>
          <w:rFonts w:eastAsiaTheme="minorEastAsia" w:cstheme="minorBidi"/>
          <w:noProof/>
          <w:sz w:val="22"/>
          <w:szCs w:val="22"/>
          <w:lang w:eastAsia="fr-CA"/>
        </w:rPr>
        <w:tab/>
      </w:r>
      <w:r>
        <w:rPr>
          <w:noProof/>
        </w:rPr>
        <w:t>L’inconstitutionnalité de l’article 7 LRSVQ</w:t>
      </w:r>
      <w:r>
        <w:rPr>
          <w:noProof/>
        </w:rPr>
        <w:tab/>
      </w:r>
      <w:r>
        <w:rPr>
          <w:noProof/>
        </w:rPr>
        <w:fldChar w:fldCharType="begin"/>
      </w:r>
      <w:r>
        <w:rPr>
          <w:noProof/>
        </w:rPr>
        <w:instrText xml:space="preserve"> PAGEREF _Toc124755359 \h </w:instrText>
      </w:r>
      <w:r>
        <w:rPr>
          <w:noProof/>
        </w:rPr>
      </w:r>
      <w:r>
        <w:rPr>
          <w:noProof/>
        </w:rPr>
        <w:fldChar w:fldCharType="separate"/>
      </w:r>
      <w:r>
        <w:rPr>
          <w:noProof/>
        </w:rPr>
        <w:t>60</w:t>
      </w:r>
      <w:r>
        <w:rPr>
          <w:noProof/>
        </w:rPr>
        <w:fldChar w:fldCharType="end"/>
      </w:r>
    </w:p>
    <w:p w14:paraId="5A154844"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2.6.1</w:t>
      </w:r>
      <w:r>
        <w:rPr>
          <w:rFonts w:eastAsiaTheme="minorEastAsia" w:cstheme="minorBidi"/>
          <w:noProof/>
          <w:sz w:val="22"/>
          <w:szCs w:val="22"/>
          <w:lang w:eastAsia="fr-CA"/>
        </w:rPr>
        <w:tab/>
      </w:r>
      <w:r>
        <w:rPr>
          <w:noProof/>
        </w:rPr>
        <w:t xml:space="preserve">Contestation en regard de l’article 96 de la </w:t>
      </w:r>
      <w:r>
        <w:rPr>
          <w:i/>
          <w:iCs/>
          <w:noProof/>
        </w:rPr>
        <w:t>Loi constitutionnelle de 1867</w:t>
      </w:r>
      <w:r>
        <w:rPr>
          <w:noProof/>
        </w:rPr>
        <w:tab/>
      </w:r>
      <w:r>
        <w:rPr>
          <w:noProof/>
        </w:rPr>
        <w:fldChar w:fldCharType="begin"/>
      </w:r>
      <w:r>
        <w:rPr>
          <w:noProof/>
        </w:rPr>
        <w:instrText xml:space="preserve"> PAGEREF _Toc124755360 \h </w:instrText>
      </w:r>
      <w:r>
        <w:rPr>
          <w:noProof/>
        </w:rPr>
      </w:r>
      <w:r>
        <w:rPr>
          <w:noProof/>
        </w:rPr>
        <w:fldChar w:fldCharType="separate"/>
      </w:r>
      <w:r>
        <w:rPr>
          <w:noProof/>
        </w:rPr>
        <w:t>61</w:t>
      </w:r>
      <w:r>
        <w:rPr>
          <w:noProof/>
        </w:rPr>
        <w:fldChar w:fldCharType="end"/>
      </w:r>
    </w:p>
    <w:p w14:paraId="7D8237C9"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2.6.2</w:t>
      </w:r>
      <w:r>
        <w:rPr>
          <w:rFonts w:eastAsiaTheme="minorEastAsia" w:cstheme="minorBidi"/>
          <w:noProof/>
          <w:sz w:val="22"/>
          <w:szCs w:val="22"/>
          <w:lang w:eastAsia="fr-CA"/>
        </w:rPr>
        <w:tab/>
      </w:r>
      <w:r>
        <w:rPr>
          <w:noProof/>
        </w:rPr>
        <w:t>Contestation en regard de certaines dispositions de la Charte québécoise et de la Charte canadienne</w:t>
      </w:r>
      <w:r>
        <w:rPr>
          <w:noProof/>
        </w:rPr>
        <w:tab/>
      </w:r>
      <w:r>
        <w:rPr>
          <w:noProof/>
        </w:rPr>
        <w:fldChar w:fldCharType="begin"/>
      </w:r>
      <w:r>
        <w:rPr>
          <w:noProof/>
        </w:rPr>
        <w:instrText xml:space="preserve"> PAGEREF _Toc124755361 \h </w:instrText>
      </w:r>
      <w:r>
        <w:rPr>
          <w:noProof/>
        </w:rPr>
      </w:r>
      <w:r>
        <w:rPr>
          <w:noProof/>
        </w:rPr>
        <w:fldChar w:fldCharType="separate"/>
      </w:r>
      <w:r>
        <w:rPr>
          <w:noProof/>
        </w:rPr>
        <w:t>65</w:t>
      </w:r>
      <w:r>
        <w:rPr>
          <w:noProof/>
        </w:rPr>
        <w:fldChar w:fldCharType="end"/>
      </w:r>
    </w:p>
    <w:p w14:paraId="07A3071E" w14:textId="77777777" w:rsidR="005B58B6" w:rsidRDefault="005B58B6" w:rsidP="005B58B6">
      <w:pPr>
        <w:pStyle w:val="TM3"/>
        <w:tabs>
          <w:tab w:val="left" w:pos="960"/>
          <w:tab w:val="right" w:leader="underscore" w:pos="9352"/>
        </w:tabs>
        <w:rPr>
          <w:rFonts w:eastAsiaTheme="minorEastAsia" w:cstheme="minorBidi"/>
          <w:noProof/>
          <w:sz w:val="22"/>
          <w:szCs w:val="22"/>
          <w:lang w:eastAsia="fr-CA"/>
        </w:rPr>
      </w:pPr>
      <w:r>
        <w:rPr>
          <w:noProof/>
        </w:rPr>
        <w:t>2.7</w:t>
      </w:r>
      <w:r>
        <w:rPr>
          <w:rFonts w:eastAsiaTheme="minorEastAsia" w:cstheme="minorBidi"/>
          <w:noProof/>
          <w:sz w:val="22"/>
          <w:szCs w:val="22"/>
          <w:lang w:eastAsia="fr-CA"/>
        </w:rPr>
        <w:tab/>
      </w:r>
      <w:r>
        <w:rPr>
          <w:noProof/>
        </w:rPr>
        <w:t>Le règlement d’urbanisme R.A.V.Q. 1349 et le droit de voter lors d’un référendum</w:t>
      </w:r>
      <w:r>
        <w:rPr>
          <w:noProof/>
        </w:rPr>
        <w:tab/>
      </w:r>
      <w:r>
        <w:rPr>
          <w:noProof/>
        </w:rPr>
        <w:fldChar w:fldCharType="begin"/>
      </w:r>
      <w:r>
        <w:rPr>
          <w:noProof/>
        </w:rPr>
        <w:instrText xml:space="preserve"> PAGEREF _Toc124755362 \h </w:instrText>
      </w:r>
      <w:r>
        <w:rPr>
          <w:noProof/>
        </w:rPr>
      </w:r>
      <w:r>
        <w:rPr>
          <w:noProof/>
        </w:rPr>
        <w:fldChar w:fldCharType="separate"/>
      </w:r>
      <w:r>
        <w:rPr>
          <w:noProof/>
        </w:rPr>
        <w:t>68</w:t>
      </w:r>
      <w:r>
        <w:rPr>
          <w:noProof/>
        </w:rPr>
        <w:fldChar w:fldCharType="end"/>
      </w:r>
    </w:p>
    <w:p w14:paraId="1454CF5C"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2.7.1</w:t>
      </w:r>
      <w:r>
        <w:rPr>
          <w:rFonts w:eastAsiaTheme="minorEastAsia" w:cstheme="minorBidi"/>
          <w:noProof/>
          <w:sz w:val="22"/>
          <w:szCs w:val="22"/>
          <w:lang w:eastAsia="fr-CA"/>
        </w:rPr>
        <w:tab/>
      </w:r>
      <w:r>
        <w:rPr>
          <w:noProof/>
        </w:rPr>
        <w:t>La portée de l’article 74.4 de la Charte de la Ville</w:t>
      </w:r>
      <w:r>
        <w:rPr>
          <w:noProof/>
        </w:rPr>
        <w:tab/>
      </w:r>
      <w:r>
        <w:rPr>
          <w:noProof/>
        </w:rPr>
        <w:fldChar w:fldCharType="begin"/>
      </w:r>
      <w:r>
        <w:rPr>
          <w:noProof/>
        </w:rPr>
        <w:instrText xml:space="preserve"> PAGEREF _Toc124755363 \h </w:instrText>
      </w:r>
      <w:r>
        <w:rPr>
          <w:noProof/>
        </w:rPr>
      </w:r>
      <w:r>
        <w:rPr>
          <w:noProof/>
        </w:rPr>
        <w:fldChar w:fldCharType="separate"/>
      </w:r>
      <w:r>
        <w:rPr>
          <w:noProof/>
        </w:rPr>
        <w:t>68</w:t>
      </w:r>
      <w:r>
        <w:rPr>
          <w:noProof/>
        </w:rPr>
        <w:fldChar w:fldCharType="end"/>
      </w:r>
    </w:p>
    <w:p w14:paraId="14A3BE83"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2.7.2</w:t>
      </w:r>
      <w:r>
        <w:rPr>
          <w:rFonts w:eastAsiaTheme="minorEastAsia" w:cstheme="minorBidi"/>
          <w:noProof/>
          <w:sz w:val="22"/>
          <w:szCs w:val="22"/>
          <w:lang w:eastAsia="fr-CA"/>
        </w:rPr>
        <w:tab/>
      </w:r>
      <w:r>
        <w:rPr>
          <w:noProof/>
        </w:rPr>
        <w:t xml:space="preserve">La portée du </w:t>
      </w:r>
      <w:r>
        <w:rPr>
          <w:i/>
          <w:iCs/>
          <w:noProof/>
        </w:rPr>
        <w:t>Règlement sur la politique de consultation publique</w:t>
      </w:r>
      <w:r>
        <w:rPr>
          <w:noProof/>
        </w:rPr>
        <w:tab/>
      </w:r>
      <w:r>
        <w:rPr>
          <w:noProof/>
        </w:rPr>
        <w:fldChar w:fldCharType="begin"/>
      </w:r>
      <w:r>
        <w:rPr>
          <w:noProof/>
        </w:rPr>
        <w:instrText xml:space="preserve"> PAGEREF _Toc124755364 \h </w:instrText>
      </w:r>
      <w:r>
        <w:rPr>
          <w:noProof/>
        </w:rPr>
      </w:r>
      <w:r>
        <w:rPr>
          <w:noProof/>
        </w:rPr>
        <w:fldChar w:fldCharType="separate"/>
      </w:r>
      <w:r>
        <w:rPr>
          <w:noProof/>
        </w:rPr>
        <w:t>77</w:t>
      </w:r>
      <w:r>
        <w:rPr>
          <w:noProof/>
        </w:rPr>
        <w:fldChar w:fldCharType="end"/>
      </w:r>
    </w:p>
    <w:p w14:paraId="68D06301" w14:textId="77777777" w:rsidR="005B58B6" w:rsidRDefault="005B58B6" w:rsidP="005B58B6">
      <w:pPr>
        <w:pStyle w:val="TM3"/>
        <w:tabs>
          <w:tab w:val="left" w:pos="960"/>
          <w:tab w:val="right" w:leader="underscore" w:pos="9352"/>
        </w:tabs>
        <w:rPr>
          <w:rFonts w:eastAsiaTheme="minorEastAsia" w:cstheme="minorBidi"/>
          <w:noProof/>
          <w:sz w:val="22"/>
          <w:szCs w:val="22"/>
          <w:lang w:eastAsia="fr-CA"/>
        </w:rPr>
      </w:pPr>
      <w:r>
        <w:rPr>
          <w:noProof/>
        </w:rPr>
        <w:t>2.8</w:t>
      </w:r>
      <w:r>
        <w:rPr>
          <w:rFonts w:eastAsiaTheme="minorEastAsia" w:cstheme="minorBidi"/>
          <w:noProof/>
          <w:sz w:val="22"/>
          <w:szCs w:val="22"/>
          <w:lang w:eastAsia="fr-CA"/>
        </w:rPr>
        <w:tab/>
      </w:r>
      <w:r>
        <w:rPr>
          <w:noProof/>
        </w:rPr>
        <w:t>Les violations des droits fondamentaux</w:t>
      </w:r>
      <w:r>
        <w:rPr>
          <w:noProof/>
        </w:rPr>
        <w:tab/>
      </w:r>
      <w:r>
        <w:rPr>
          <w:noProof/>
        </w:rPr>
        <w:fldChar w:fldCharType="begin"/>
      </w:r>
      <w:r>
        <w:rPr>
          <w:noProof/>
        </w:rPr>
        <w:instrText xml:space="preserve"> PAGEREF _Toc124755365 \h </w:instrText>
      </w:r>
      <w:r>
        <w:rPr>
          <w:noProof/>
        </w:rPr>
      </w:r>
      <w:r>
        <w:rPr>
          <w:noProof/>
        </w:rPr>
        <w:fldChar w:fldCharType="separate"/>
      </w:r>
      <w:r>
        <w:rPr>
          <w:noProof/>
        </w:rPr>
        <w:t>78</w:t>
      </w:r>
      <w:r>
        <w:rPr>
          <w:noProof/>
        </w:rPr>
        <w:fldChar w:fldCharType="end"/>
      </w:r>
    </w:p>
    <w:p w14:paraId="1D731F24"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2.8.1</w:t>
      </w:r>
      <w:r>
        <w:rPr>
          <w:rFonts w:eastAsiaTheme="minorEastAsia" w:cstheme="minorBidi"/>
          <w:noProof/>
          <w:sz w:val="22"/>
          <w:szCs w:val="22"/>
          <w:lang w:eastAsia="fr-CA"/>
        </w:rPr>
        <w:tab/>
      </w:r>
      <w:r>
        <w:rPr>
          <w:noProof/>
        </w:rPr>
        <w:t>Atteinte aux droits à la vie, à la santé, à la liberté et à la sécurité</w:t>
      </w:r>
      <w:r>
        <w:rPr>
          <w:noProof/>
        </w:rPr>
        <w:tab/>
      </w:r>
      <w:r>
        <w:rPr>
          <w:noProof/>
        </w:rPr>
        <w:fldChar w:fldCharType="begin"/>
      </w:r>
      <w:r>
        <w:rPr>
          <w:noProof/>
        </w:rPr>
        <w:instrText xml:space="preserve"> PAGEREF _Toc124755366 \h </w:instrText>
      </w:r>
      <w:r>
        <w:rPr>
          <w:noProof/>
        </w:rPr>
      </w:r>
      <w:r>
        <w:rPr>
          <w:noProof/>
        </w:rPr>
        <w:fldChar w:fldCharType="separate"/>
      </w:r>
      <w:r>
        <w:rPr>
          <w:noProof/>
        </w:rPr>
        <w:t>78</w:t>
      </w:r>
      <w:r>
        <w:rPr>
          <w:noProof/>
        </w:rPr>
        <w:fldChar w:fldCharType="end"/>
      </w:r>
    </w:p>
    <w:p w14:paraId="647E72A1"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2.8.2</w:t>
      </w:r>
      <w:r>
        <w:rPr>
          <w:rFonts w:eastAsiaTheme="minorEastAsia" w:cstheme="minorBidi"/>
          <w:noProof/>
          <w:sz w:val="22"/>
          <w:szCs w:val="22"/>
          <w:lang w:eastAsia="fr-CA"/>
        </w:rPr>
        <w:tab/>
      </w:r>
      <w:r>
        <w:rPr>
          <w:noProof/>
        </w:rPr>
        <w:t>Atteinte au droit à la jouissance de sa propriété</w:t>
      </w:r>
      <w:r>
        <w:rPr>
          <w:noProof/>
        </w:rPr>
        <w:tab/>
      </w:r>
      <w:r>
        <w:rPr>
          <w:noProof/>
        </w:rPr>
        <w:fldChar w:fldCharType="begin"/>
      </w:r>
      <w:r>
        <w:rPr>
          <w:noProof/>
        </w:rPr>
        <w:instrText xml:space="preserve"> PAGEREF _Toc124755367 \h </w:instrText>
      </w:r>
      <w:r>
        <w:rPr>
          <w:noProof/>
        </w:rPr>
      </w:r>
      <w:r>
        <w:rPr>
          <w:noProof/>
        </w:rPr>
        <w:fldChar w:fldCharType="separate"/>
      </w:r>
      <w:r>
        <w:rPr>
          <w:noProof/>
        </w:rPr>
        <w:t>79</w:t>
      </w:r>
      <w:r>
        <w:rPr>
          <w:noProof/>
        </w:rPr>
        <w:fldChar w:fldCharType="end"/>
      </w:r>
    </w:p>
    <w:p w14:paraId="6200806C" w14:textId="77777777" w:rsidR="005B58B6" w:rsidRDefault="005B58B6" w:rsidP="005B58B6">
      <w:pPr>
        <w:pStyle w:val="TM4"/>
        <w:tabs>
          <w:tab w:val="left" w:pos="1440"/>
          <w:tab w:val="right" w:leader="underscore" w:pos="9352"/>
        </w:tabs>
        <w:rPr>
          <w:rFonts w:eastAsiaTheme="minorEastAsia" w:cstheme="minorBidi"/>
          <w:noProof/>
          <w:sz w:val="22"/>
          <w:szCs w:val="22"/>
          <w:lang w:eastAsia="fr-CA"/>
        </w:rPr>
      </w:pPr>
      <w:r>
        <w:rPr>
          <w:noProof/>
        </w:rPr>
        <w:t>2.8.3</w:t>
      </w:r>
      <w:r>
        <w:rPr>
          <w:rFonts w:eastAsiaTheme="minorEastAsia" w:cstheme="minorBidi"/>
          <w:noProof/>
          <w:sz w:val="22"/>
          <w:szCs w:val="22"/>
          <w:lang w:eastAsia="fr-CA"/>
        </w:rPr>
        <w:tab/>
      </w:r>
      <w:r>
        <w:rPr>
          <w:noProof/>
        </w:rPr>
        <w:t>Atteinte à la liberté économique et sociale</w:t>
      </w:r>
      <w:r>
        <w:rPr>
          <w:noProof/>
        </w:rPr>
        <w:tab/>
      </w:r>
      <w:r>
        <w:rPr>
          <w:noProof/>
        </w:rPr>
        <w:fldChar w:fldCharType="begin"/>
      </w:r>
      <w:r>
        <w:rPr>
          <w:noProof/>
        </w:rPr>
        <w:instrText xml:space="preserve"> PAGEREF _Toc124755368 \h </w:instrText>
      </w:r>
      <w:r>
        <w:rPr>
          <w:noProof/>
        </w:rPr>
      </w:r>
      <w:r>
        <w:rPr>
          <w:noProof/>
        </w:rPr>
        <w:fldChar w:fldCharType="separate"/>
      </w:r>
      <w:r>
        <w:rPr>
          <w:noProof/>
        </w:rPr>
        <w:t>80</w:t>
      </w:r>
      <w:r>
        <w:rPr>
          <w:noProof/>
        </w:rPr>
        <w:fldChar w:fldCharType="end"/>
      </w:r>
    </w:p>
    <w:p w14:paraId="484BABB1" w14:textId="77777777" w:rsidR="005B58B6" w:rsidRDefault="005B58B6" w:rsidP="005B58B6">
      <w:pPr>
        <w:pStyle w:val="TM3"/>
        <w:tabs>
          <w:tab w:val="left" w:pos="960"/>
          <w:tab w:val="right" w:leader="underscore" w:pos="9352"/>
        </w:tabs>
        <w:rPr>
          <w:rFonts w:eastAsiaTheme="minorEastAsia" w:cstheme="minorBidi"/>
          <w:noProof/>
          <w:sz w:val="22"/>
          <w:szCs w:val="22"/>
          <w:lang w:eastAsia="fr-CA"/>
        </w:rPr>
      </w:pPr>
      <w:r>
        <w:rPr>
          <w:noProof/>
        </w:rPr>
        <w:t>2.9</w:t>
      </w:r>
      <w:r>
        <w:rPr>
          <w:rFonts w:eastAsiaTheme="minorEastAsia" w:cstheme="minorBidi"/>
          <w:noProof/>
          <w:sz w:val="22"/>
          <w:szCs w:val="22"/>
          <w:lang w:eastAsia="fr-CA"/>
        </w:rPr>
        <w:tab/>
      </w:r>
      <w:r>
        <w:rPr>
          <w:noProof/>
        </w:rPr>
        <w:t>Dommages-intérêts réclamés</w:t>
      </w:r>
      <w:r>
        <w:rPr>
          <w:noProof/>
        </w:rPr>
        <w:tab/>
      </w:r>
      <w:r>
        <w:rPr>
          <w:noProof/>
        </w:rPr>
        <w:fldChar w:fldCharType="begin"/>
      </w:r>
      <w:r>
        <w:rPr>
          <w:noProof/>
        </w:rPr>
        <w:instrText xml:space="preserve"> PAGEREF _Toc124755369 \h </w:instrText>
      </w:r>
      <w:r>
        <w:rPr>
          <w:noProof/>
        </w:rPr>
      </w:r>
      <w:r>
        <w:rPr>
          <w:noProof/>
        </w:rPr>
        <w:fldChar w:fldCharType="separate"/>
      </w:r>
      <w:r>
        <w:rPr>
          <w:noProof/>
        </w:rPr>
        <w:t>81</w:t>
      </w:r>
      <w:r>
        <w:rPr>
          <w:noProof/>
        </w:rPr>
        <w:fldChar w:fldCharType="end"/>
      </w:r>
    </w:p>
    <w:p w14:paraId="1A0673D4" w14:textId="77777777" w:rsidR="005B58B6" w:rsidRDefault="005B58B6" w:rsidP="005B58B6">
      <w:pPr>
        <w:pStyle w:val="TM3"/>
        <w:tabs>
          <w:tab w:val="left" w:pos="1200"/>
          <w:tab w:val="right" w:leader="underscore" w:pos="9352"/>
        </w:tabs>
        <w:rPr>
          <w:rFonts w:eastAsiaTheme="minorEastAsia" w:cstheme="minorBidi"/>
          <w:noProof/>
          <w:sz w:val="22"/>
          <w:szCs w:val="22"/>
          <w:lang w:eastAsia="fr-CA"/>
        </w:rPr>
      </w:pPr>
      <w:r>
        <w:rPr>
          <w:noProof/>
        </w:rPr>
        <w:t>2.10</w:t>
      </w:r>
      <w:r>
        <w:rPr>
          <w:rFonts w:eastAsiaTheme="minorEastAsia" w:cstheme="minorBidi"/>
          <w:noProof/>
          <w:sz w:val="22"/>
          <w:szCs w:val="22"/>
          <w:lang w:eastAsia="fr-CA"/>
        </w:rPr>
        <w:tab/>
      </w:r>
      <w:r>
        <w:rPr>
          <w:noProof/>
        </w:rPr>
        <w:t>Commentaires divers</w:t>
      </w:r>
      <w:r>
        <w:rPr>
          <w:noProof/>
        </w:rPr>
        <w:tab/>
      </w:r>
      <w:r>
        <w:rPr>
          <w:noProof/>
        </w:rPr>
        <w:fldChar w:fldCharType="begin"/>
      </w:r>
      <w:r>
        <w:rPr>
          <w:noProof/>
        </w:rPr>
        <w:instrText xml:space="preserve"> PAGEREF _Toc124755370 \h </w:instrText>
      </w:r>
      <w:r>
        <w:rPr>
          <w:noProof/>
        </w:rPr>
      </w:r>
      <w:r>
        <w:rPr>
          <w:noProof/>
        </w:rPr>
        <w:fldChar w:fldCharType="separate"/>
      </w:r>
      <w:r>
        <w:rPr>
          <w:noProof/>
        </w:rPr>
        <w:t>81</w:t>
      </w:r>
      <w:r>
        <w:rPr>
          <w:noProof/>
        </w:rPr>
        <w:fldChar w:fldCharType="end"/>
      </w:r>
    </w:p>
    <w:p w14:paraId="04964D48" w14:textId="77777777" w:rsidR="005B58B6" w:rsidRDefault="005B58B6" w:rsidP="005B58B6">
      <w:pPr>
        <w:pStyle w:val="TM2"/>
        <w:tabs>
          <w:tab w:val="left" w:pos="720"/>
          <w:tab w:val="right" w:leader="underscore" w:pos="9352"/>
        </w:tabs>
        <w:rPr>
          <w:rFonts w:eastAsiaTheme="minorEastAsia" w:cstheme="minorBidi"/>
          <w:b w:val="0"/>
          <w:bCs w:val="0"/>
          <w:noProof/>
          <w:lang w:eastAsia="fr-CA"/>
        </w:rPr>
      </w:pPr>
      <w:r>
        <w:rPr>
          <w:noProof/>
        </w:rPr>
        <w:t>3.</w:t>
      </w:r>
      <w:r>
        <w:rPr>
          <w:rFonts w:eastAsiaTheme="minorEastAsia" w:cstheme="minorBidi"/>
          <w:b w:val="0"/>
          <w:bCs w:val="0"/>
          <w:noProof/>
          <w:lang w:eastAsia="fr-CA"/>
        </w:rPr>
        <w:tab/>
      </w:r>
      <w:r>
        <w:rPr>
          <w:noProof/>
        </w:rPr>
        <w:t>LES CONCLUSIONS</w:t>
      </w:r>
      <w:r>
        <w:rPr>
          <w:noProof/>
        </w:rPr>
        <w:tab/>
      </w:r>
      <w:r>
        <w:rPr>
          <w:noProof/>
        </w:rPr>
        <w:fldChar w:fldCharType="begin"/>
      </w:r>
      <w:r>
        <w:rPr>
          <w:noProof/>
        </w:rPr>
        <w:instrText xml:space="preserve"> PAGEREF _Toc124755371 \h </w:instrText>
      </w:r>
      <w:r>
        <w:rPr>
          <w:noProof/>
        </w:rPr>
      </w:r>
      <w:r>
        <w:rPr>
          <w:noProof/>
        </w:rPr>
        <w:fldChar w:fldCharType="separate"/>
      </w:r>
      <w:r>
        <w:rPr>
          <w:noProof/>
        </w:rPr>
        <w:t>83</w:t>
      </w:r>
      <w:r>
        <w:rPr>
          <w:noProof/>
        </w:rPr>
        <w:fldChar w:fldCharType="end"/>
      </w:r>
    </w:p>
    <w:p w14:paraId="236CF0C3" w14:textId="744A88AF" w:rsidR="00DC602A" w:rsidRPr="00DC602A" w:rsidRDefault="005B58B6" w:rsidP="005B58B6">
      <w:pPr>
        <w:pStyle w:val="Titre2"/>
      </w:pPr>
      <w:r>
        <w:rPr>
          <w:rFonts w:asciiTheme="minorHAnsi" w:hAnsiTheme="minorHAnsi" w:cstheme="minorHAnsi"/>
          <w:b w:val="0"/>
          <w:bCs/>
          <w:smallCaps/>
          <w:sz w:val="20"/>
          <w:szCs w:val="22"/>
        </w:rPr>
        <w:lastRenderedPageBreak/>
        <w:fldChar w:fldCharType="end"/>
      </w:r>
      <w:r>
        <w:t xml:space="preserve"> </w:t>
      </w:r>
      <w:r w:rsidR="008A4532">
        <w:t>LE CONTEXTE</w:t>
      </w:r>
      <w:bookmarkEnd w:id="0"/>
      <w:bookmarkEnd w:id="1"/>
    </w:p>
    <w:p w14:paraId="255D3EEF" w14:textId="03D66231" w:rsidR="00DC602A" w:rsidRPr="0059119E" w:rsidRDefault="00DC602A" w:rsidP="00A02BD4">
      <w:pPr>
        <w:pStyle w:val="Titre3"/>
        <w:rPr>
          <w:rFonts w:cs="Arial"/>
        </w:rPr>
      </w:pPr>
      <w:bookmarkStart w:id="2" w:name="_Toc124755330"/>
      <w:r w:rsidRPr="0059119E">
        <w:rPr>
          <w:rFonts w:cs="Arial"/>
        </w:rPr>
        <w:t>Les parties</w:t>
      </w:r>
      <w:bookmarkEnd w:id="2"/>
    </w:p>
    <w:p w14:paraId="0544255A" w14:textId="10274145" w:rsidR="00DC602A" w:rsidRPr="0059119E" w:rsidRDefault="00DC602A" w:rsidP="00DC602A">
      <w:pPr>
        <w:pStyle w:val="Paragraphe"/>
        <w:numPr>
          <w:ilvl w:val="0"/>
          <w:numId w:val="1"/>
        </w:numPr>
        <w:tabs>
          <w:tab w:val="clear" w:pos="360"/>
          <w:tab w:val="left" w:pos="709"/>
        </w:tabs>
        <w:spacing w:line="240" w:lineRule="auto"/>
        <w:rPr>
          <w:rFonts w:cs="Arial"/>
        </w:rPr>
      </w:pPr>
      <w:r w:rsidRPr="0059119E">
        <w:rPr>
          <w:rFonts w:cs="Arial"/>
        </w:rPr>
        <w:t xml:space="preserve">Depuis </w:t>
      </w:r>
      <w:r w:rsidR="00811C89">
        <w:rPr>
          <w:rFonts w:cs="Arial"/>
        </w:rPr>
        <w:t>plusieurs</w:t>
      </w:r>
      <w:r w:rsidRPr="0059119E">
        <w:rPr>
          <w:rFonts w:cs="Arial"/>
        </w:rPr>
        <w:t xml:space="preserve"> années, la Ville de Québec</w:t>
      </w:r>
      <w:r w:rsidR="00C33966">
        <w:rPr>
          <w:rFonts w:cs="Arial"/>
        </w:rPr>
        <w:t xml:space="preserve"> </w:t>
      </w:r>
      <w:r w:rsidR="00485B8F">
        <w:rPr>
          <w:rFonts w:cs="Arial"/>
        </w:rPr>
        <w:t>(</w:t>
      </w:r>
      <w:r w:rsidR="00C33966">
        <w:rPr>
          <w:rFonts w:cs="Arial"/>
        </w:rPr>
        <w:t>Ville)</w:t>
      </w:r>
      <w:r w:rsidRPr="0059119E">
        <w:rPr>
          <w:rFonts w:cs="Arial"/>
        </w:rPr>
        <w:t xml:space="preserve"> caresse le projet de se doter d’un système structurant de transport en commun. Le choix final </w:t>
      </w:r>
      <w:r w:rsidR="339ACBC0" w:rsidRPr="08ECA469">
        <w:rPr>
          <w:rFonts w:cs="Arial"/>
        </w:rPr>
        <w:t>s’arrêt</w:t>
      </w:r>
      <w:r w:rsidR="00AA6981">
        <w:rPr>
          <w:rFonts w:cs="Arial"/>
        </w:rPr>
        <w:t>e</w:t>
      </w:r>
      <w:r w:rsidR="339ACBC0" w:rsidRPr="08ECA469">
        <w:rPr>
          <w:rFonts w:cs="Arial"/>
        </w:rPr>
        <w:t xml:space="preserve"> sur </w:t>
      </w:r>
      <w:r w:rsidRPr="0059119E">
        <w:rPr>
          <w:rFonts w:cs="Arial"/>
        </w:rPr>
        <w:t xml:space="preserve">un tramway appelé à traverser la ville </w:t>
      </w:r>
      <w:r w:rsidRPr="08ECA469">
        <w:rPr>
          <w:rFonts w:cs="Arial"/>
        </w:rPr>
        <w:t>d’</w:t>
      </w:r>
      <w:r w:rsidR="1BC51FAD" w:rsidRPr="08ECA469">
        <w:rPr>
          <w:rFonts w:cs="Arial"/>
        </w:rPr>
        <w:t>e</w:t>
      </w:r>
      <w:r w:rsidRPr="08ECA469">
        <w:rPr>
          <w:rFonts w:cs="Arial"/>
        </w:rPr>
        <w:t>st</w:t>
      </w:r>
      <w:r w:rsidRPr="0059119E">
        <w:rPr>
          <w:rFonts w:cs="Arial"/>
        </w:rPr>
        <w:t xml:space="preserve"> en </w:t>
      </w:r>
      <w:r w:rsidR="09878594" w:rsidRPr="08ECA469">
        <w:rPr>
          <w:rFonts w:cs="Arial"/>
        </w:rPr>
        <w:t>o</w:t>
      </w:r>
      <w:r w:rsidRPr="08ECA469">
        <w:rPr>
          <w:rFonts w:cs="Arial"/>
        </w:rPr>
        <w:t>uest</w:t>
      </w:r>
      <w:r w:rsidRPr="0059119E">
        <w:rPr>
          <w:rFonts w:cs="Arial"/>
        </w:rPr>
        <w:t xml:space="preserve"> sur une vingtaine de kilomètres.</w:t>
      </w:r>
    </w:p>
    <w:p w14:paraId="4D5FA372" w14:textId="77777777" w:rsidR="00F6670D" w:rsidRDefault="00DC602A" w:rsidP="00DC602A">
      <w:pPr>
        <w:pStyle w:val="Paragraphe"/>
        <w:numPr>
          <w:ilvl w:val="0"/>
          <w:numId w:val="1"/>
        </w:numPr>
        <w:tabs>
          <w:tab w:val="clear" w:pos="360"/>
          <w:tab w:val="left" w:pos="709"/>
        </w:tabs>
        <w:spacing w:line="240" w:lineRule="auto"/>
        <w:rPr>
          <w:rFonts w:cs="Arial"/>
        </w:rPr>
      </w:pPr>
      <w:r w:rsidRPr="0059119E">
        <w:rPr>
          <w:rFonts w:cs="Arial"/>
        </w:rPr>
        <w:t xml:space="preserve">Le gouvernement du Québec </w:t>
      </w:r>
      <w:r w:rsidR="00A9534D">
        <w:rPr>
          <w:rFonts w:cs="Arial"/>
        </w:rPr>
        <w:t xml:space="preserve">(représenté par </w:t>
      </w:r>
      <w:r w:rsidR="0015289C">
        <w:rPr>
          <w:rFonts w:cs="Arial"/>
        </w:rPr>
        <w:t xml:space="preserve">le Procureur général du Québec, ici désigné « PGQ ») </w:t>
      </w:r>
      <w:r w:rsidRPr="0059119E">
        <w:rPr>
          <w:rFonts w:cs="Arial"/>
        </w:rPr>
        <w:t xml:space="preserve">supporte financièrement les travaux </w:t>
      </w:r>
      <w:r w:rsidR="001C0D3B">
        <w:rPr>
          <w:rFonts w:cs="Arial"/>
        </w:rPr>
        <w:t xml:space="preserve">préliminaires </w:t>
      </w:r>
      <w:r w:rsidRPr="0059119E">
        <w:rPr>
          <w:rFonts w:cs="Arial"/>
        </w:rPr>
        <w:t xml:space="preserve">de mise en place du tramway. </w:t>
      </w:r>
      <w:r w:rsidR="00681A83">
        <w:rPr>
          <w:rFonts w:cs="Arial"/>
        </w:rPr>
        <w:t>I</w:t>
      </w:r>
      <w:r w:rsidR="0077027E">
        <w:rPr>
          <w:rFonts w:cs="Arial"/>
        </w:rPr>
        <w:t>l</w:t>
      </w:r>
      <w:r w:rsidR="00E06F8E">
        <w:rPr>
          <w:rFonts w:cs="Arial"/>
        </w:rPr>
        <w:t xml:space="preserve"> est</w:t>
      </w:r>
      <w:r w:rsidR="00681A83">
        <w:rPr>
          <w:rFonts w:cs="Arial"/>
        </w:rPr>
        <w:t xml:space="preserve"> aussi</w:t>
      </w:r>
      <w:r w:rsidR="00E06F8E">
        <w:rPr>
          <w:rFonts w:cs="Arial"/>
        </w:rPr>
        <w:t xml:space="preserve"> responsable d’émettre</w:t>
      </w:r>
      <w:r w:rsidRPr="0059119E">
        <w:rPr>
          <w:rFonts w:cs="Arial"/>
        </w:rPr>
        <w:t xml:space="preserve"> les autorisations environnementales nécessaires. </w:t>
      </w:r>
    </w:p>
    <w:p w14:paraId="2259AEF6" w14:textId="48294BEB" w:rsidR="00DC602A" w:rsidRPr="0059119E" w:rsidRDefault="004B6F8C" w:rsidP="00DC602A">
      <w:pPr>
        <w:pStyle w:val="Paragraphe"/>
        <w:numPr>
          <w:ilvl w:val="0"/>
          <w:numId w:val="1"/>
        </w:numPr>
        <w:tabs>
          <w:tab w:val="clear" w:pos="360"/>
          <w:tab w:val="left" w:pos="709"/>
        </w:tabs>
        <w:spacing w:line="240" w:lineRule="auto"/>
        <w:rPr>
          <w:rFonts w:cs="Arial"/>
        </w:rPr>
      </w:pPr>
      <w:r>
        <w:rPr>
          <w:rFonts w:cs="Arial"/>
        </w:rPr>
        <w:t>Le m</w:t>
      </w:r>
      <w:r w:rsidR="00F6670D">
        <w:rPr>
          <w:rFonts w:cs="Arial"/>
        </w:rPr>
        <w:t xml:space="preserve">is en cause, Procureur général du Canada, ayant un </w:t>
      </w:r>
      <w:r w:rsidR="004B2041">
        <w:rPr>
          <w:rFonts w:cs="Arial"/>
        </w:rPr>
        <w:t xml:space="preserve">éventuel </w:t>
      </w:r>
      <w:r w:rsidR="00F6670D">
        <w:rPr>
          <w:rFonts w:cs="Arial"/>
        </w:rPr>
        <w:t xml:space="preserve">rôle </w:t>
      </w:r>
      <w:r w:rsidR="004B2041">
        <w:rPr>
          <w:rFonts w:cs="Arial"/>
        </w:rPr>
        <w:t>dans le financement de ce projet, a joué un rôle e</w:t>
      </w:r>
      <w:r w:rsidR="00345A1F">
        <w:rPr>
          <w:rFonts w:cs="Arial"/>
        </w:rPr>
        <w:t>ffacé tout au cours des différentes étapes de ce dossier judiciaire.</w:t>
      </w:r>
    </w:p>
    <w:p w14:paraId="6599CEDC" w14:textId="3D55A716" w:rsidR="00DC602A" w:rsidRDefault="002C50C0" w:rsidP="00DC602A">
      <w:pPr>
        <w:pStyle w:val="Paragraphe"/>
        <w:numPr>
          <w:ilvl w:val="0"/>
          <w:numId w:val="1"/>
        </w:numPr>
        <w:tabs>
          <w:tab w:val="clear" w:pos="360"/>
          <w:tab w:val="left" w:pos="709"/>
        </w:tabs>
        <w:spacing w:line="240" w:lineRule="auto"/>
        <w:rPr>
          <w:rFonts w:cs="Arial"/>
        </w:rPr>
      </w:pPr>
      <w:r>
        <w:rPr>
          <w:rFonts w:cs="Arial"/>
        </w:rPr>
        <w:t xml:space="preserve">Dans plus de 150 paragraphes de la </w:t>
      </w:r>
      <w:r w:rsidR="3E57E956" w:rsidRPr="08ECA469">
        <w:rPr>
          <w:rFonts w:cs="Arial"/>
        </w:rPr>
        <w:t>demande</w:t>
      </w:r>
      <w:r>
        <w:rPr>
          <w:rFonts w:cs="Arial"/>
        </w:rPr>
        <w:t xml:space="preserve"> introductive d’instance modifiée, l</w:t>
      </w:r>
      <w:r w:rsidR="00DC602A" w:rsidRPr="0059119E">
        <w:rPr>
          <w:rFonts w:cs="Arial"/>
        </w:rPr>
        <w:t xml:space="preserve">es demandeurs se décrivent comme des citoyens qui veulent être consultés par voie référendaire sur ce projet de transport structurant. </w:t>
      </w:r>
      <w:r w:rsidR="006B0640">
        <w:rPr>
          <w:rFonts w:cs="Arial"/>
        </w:rPr>
        <w:t xml:space="preserve">Ils se disent d’accord </w:t>
      </w:r>
      <w:r w:rsidR="00542388">
        <w:rPr>
          <w:rFonts w:cs="Arial"/>
        </w:rPr>
        <w:t xml:space="preserve">avec la mise </w:t>
      </w:r>
      <w:r w:rsidR="00201249">
        <w:rPr>
          <w:rFonts w:cs="Arial"/>
        </w:rPr>
        <w:t xml:space="preserve">en place </w:t>
      </w:r>
      <w:r w:rsidR="00542388">
        <w:rPr>
          <w:rFonts w:cs="Arial"/>
        </w:rPr>
        <w:t xml:space="preserve">d’un réseau structurant, mais désapprouvent le choix du tramway. </w:t>
      </w:r>
      <w:r w:rsidR="00DC602A" w:rsidRPr="0059119E">
        <w:rPr>
          <w:rFonts w:cs="Arial"/>
        </w:rPr>
        <w:t>Ils se disent soucieux de la préservation</w:t>
      </w:r>
      <w:r w:rsidR="006713A6">
        <w:rPr>
          <w:rFonts w:cs="Arial"/>
        </w:rPr>
        <w:t xml:space="preserve"> de leur </w:t>
      </w:r>
      <w:r w:rsidR="00DC602A" w:rsidRPr="0059119E">
        <w:rPr>
          <w:rFonts w:cs="Arial"/>
        </w:rPr>
        <w:t>milieu de vie, de la sauvegarde du cachet historique et patrimonial de leur ville et de la protection de l’environnement. De plus, ils craignent que les travaux se fassent sans respect pour les normes environnementales.</w:t>
      </w:r>
    </w:p>
    <w:p w14:paraId="6814C08F" w14:textId="77777777" w:rsidR="00490825" w:rsidRDefault="00957B4B" w:rsidP="00DC602A">
      <w:pPr>
        <w:pStyle w:val="Paragraphe"/>
        <w:numPr>
          <w:ilvl w:val="0"/>
          <w:numId w:val="1"/>
        </w:numPr>
        <w:tabs>
          <w:tab w:val="clear" w:pos="360"/>
          <w:tab w:val="left" w:pos="709"/>
        </w:tabs>
        <w:spacing w:line="240" w:lineRule="auto"/>
        <w:rPr>
          <w:rFonts w:cs="Arial"/>
        </w:rPr>
      </w:pPr>
      <w:r>
        <w:rPr>
          <w:rFonts w:cs="Arial"/>
        </w:rPr>
        <w:t xml:space="preserve">Les demandeurs reprochent à la Ville de ne pas avoir considéré les </w:t>
      </w:r>
      <w:r w:rsidR="0027320A">
        <w:rPr>
          <w:rFonts w:cs="Arial"/>
        </w:rPr>
        <w:t>autres</w:t>
      </w:r>
      <w:r>
        <w:rPr>
          <w:rFonts w:cs="Arial"/>
        </w:rPr>
        <w:t xml:space="preserve"> modes de transport structurant et d’avoir trop rapidement conclu </w:t>
      </w:r>
      <w:r w:rsidR="0027320A">
        <w:rPr>
          <w:rFonts w:cs="Arial"/>
        </w:rPr>
        <w:t>à la nécessité d’un tramway.</w:t>
      </w:r>
      <w:r w:rsidR="00605CC6">
        <w:rPr>
          <w:rFonts w:cs="Arial"/>
        </w:rPr>
        <w:t xml:space="preserve"> </w:t>
      </w:r>
    </w:p>
    <w:p w14:paraId="7E396360" w14:textId="543749BD" w:rsidR="002121CA" w:rsidRDefault="0070138C" w:rsidP="00DC602A">
      <w:pPr>
        <w:pStyle w:val="Paragraphe"/>
        <w:numPr>
          <w:ilvl w:val="0"/>
          <w:numId w:val="1"/>
        </w:numPr>
        <w:tabs>
          <w:tab w:val="clear" w:pos="360"/>
          <w:tab w:val="left" w:pos="709"/>
        </w:tabs>
        <w:spacing w:line="240" w:lineRule="auto"/>
        <w:rPr>
          <w:rFonts w:cs="Arial"/>
        </w:rPr>
      </w:pPr>
      <w:r>
        <w:rPr>
          <w:rFonts w:cs="Arial"/>
        </w:rPr>
        <w:t>Les promesses formulées lors des campagnes électorales</w:t>
      </w:r>
      <w:r w:rsidR="00D25326">
        <w:rPr>
          <w:rFonts w:cs="Arial"/>
        </w:rPr>
        <w:t xml:space="preserve"> quant au rejet du tramway et à l’imposition de conditions n’auraient</w:t>
      </w:r>
      <w:r>
        <w:rPr>
          <w:rFonts w:cs="Arial"/>
        </w:rPr>
        <w:t xml:space="preserve"> </w:t>
      </w:r>
      <w:r w:rsidR="00D25326">
        <w:rPr>
          <w:rFonts w:cs="Arial"/>
        </w:rPr>
        <w:t xml:space="preserve">pas été respectées au lendemain des élections. </w:t>
      </w:r>
      <w:r w:rsidR="00605CC6">
        <w:rPr>
          <w:rFonts w:cs="Arial"/>
        </w:rPr>
        <w:t>Pour plusieurs demandeurs, ce mode de transport n’est pas adapté aux besoins des citoyens de Québec.</w:t>
      </w:r>
    </w:p>
    <w:p w14:paraId="20F37F2D" w14:textId="5C57CBC8" w:rsidR="00573B8A" w:rsidRDefault="00573B8A" w:rsidP="00DC602A">
      <w:pPr>
        <w:pStyle w:val="Paragraphe"/>
        <w:numPr>
          <w:ilvl w:val="0"/>
          <w:numId w:val="1"/>
        </w:numPr>
        <w:tabs>
          <w:tab w:val="clear" w:pos="360"/>
          <w:tab w:val="left" w:pos="709"/>
        </w:tabs>
        <w:spacing w:line="240" w:lineRule="auto"/>
        <w:rPr>
          <w:rFonts w:cs="Arial"/>
        </w:rPr>
      </w:pPr>
      <w:r>
        <w:rPr>
          <w:rFonts w:cs="Arial"/>
        </w:rPr>
        <w:t xml:space="preserve">Les </w:t>
      </w:r>
      <w:r w:rsidR="00D14F45">
        <w:rPr>
          <w:rFonts w:cs="Arial"/>
        </w:rPr>
        <w:t xml:space="preserve">motifs qui poussent les demandeurs à agir sont </w:t>
      </w:r>
      <w:r w:rsidR="00F4188F">
        <w:rPr>
          <w:rFonts w:cs="Arial"/>
        </w:rPr>
        <w:t xml:space="preserve">divers et </w:t>
      </w:r>
      <w:r w:rsidR="00D14F45">
        <w:rPr>
          <w:rFonts w:cs="Arial"/>
        </w:rPr>
        <w:t>multiples</w:t>
      </w:r>
      <w:r w:rsidR="00E76D80">
        <w:rPr>
          <w:rFonts w:cs="Arial"/>
        </w:rPr>
        <w:t>; ils convergent vers une remise en cause des décisions des autorités publiques d’aller de l’avant avec le projet de tramway</w:t>
      </w:r>
      <w:r w:rsidR="00AA71EF">
        <w:rPr>
          <w:rFonts w:cs="Arial"/>
        </w:rPr>
        <w:t>, du moins tel qu’il est</w:t>
      </w:r>
      <w:r w:rsidR="00E76D80">
        <w:rPr>
          <w:rFonts w:cs="Arial"/>
        </w:rPr>
        <w:t>.</w:t>
      </w:r>
    </w:p>
    <w:p w14:paraId="72EE9D53" w14:textId="0B18FF77" w:rsidR="005D5E27" w:rsidRPr="0059119E" w:rsidRDefault="005D5E27" w:rsidP="00DC602A">
      <w:pPr>
        <w:pStyle w:val="Paragraphe"/>
        <w:numPr>
          <w:ilvl w:val="0"/>
          <w:numId w:val="1"/>
        </w:numPr>
        <w:tabs>
          <w:tab w:val="clear" w:pos="360"/>
          <w:tab w:val="left" w:pos="709"/>
        </w:tabs>
        <w:spacing w:line="240" w:lineRule="auto"/>
        <w:rPr>
          <w:rFonts w:cs="Arial"/>
        </w:rPr>
      </w:pPr>
      <w:r>
        <w:rPr>
          <w:rFonts w:cs="Arial"/>
        </w:rPr>
        <w:t>Leurs craintes sont légitimes</w:t>
      </w:r>
      <w:r w:rsidR="00683E0D">
        <w:rPr>
          <w:rFonts w:cs="Arial"/>
        </w:rPr>
        <w:t xml:space="preserve"> et l</w:t>
      </w:r>
      <w:r w:rsidR="00FF0C40">
        <w:rPr>
          <w:rFonts w:cs="Arial"/>
        </w:rPr>
        <w:t>eur démarche judiciaire</w:t>
      </w:r>
      <w:r w:rsidR="00683E0D">
        <w:rPr>
          <w:rFonts w:cs="Arial"/>
        </w:rPr>
        <w:t xml:space="preserve">, animée </w:t>
      </w:r>
      <w:r w:rsidR="00073943">
        <w:rPr>
          <w:rFonts w:cs="Arial"/>
        </w:rPr>
        <w:t>par un</w:t>
      </w:r>
      <w:r w:rsidR="004020E7">
        <w:rPr>
          <w:rFonts w:cs="Arial"/>
        </w:rPr>
        <w:t xml:space="preserve">e résolution pacifique de leur </w:t>
      </w:r>
      <w:r w:rsidR="00766AEF">
        <w:rPr>
          <w:rFonts w:cs="Arial"/>
        </w:rPr>
        <w:t>différend</w:t>
      </w:r>
      <w:r w:rsidR="00683E0D">
        <w:rPr>
          <w:rFonts w:cs="Arial"/>
        </w:rPr>
        <w:t>.</w:t>
      </w:r>
      <w:r w:rsidR="00FF0C40">
        <w:rPr>
          <w:rFonts w:cs="Arial"/>
        </w:rPr>
        <w:t xml:space="preserve"> </w:t>
      </w:r>
      <w:r w:rsidR="005B034A">
        <w:rPr>
          <w:rFonts w:cs="Arial"/>
        </w:rPr>
        <w:t>Dans une société démocratique comme la nôtre, l</w:t>
      </w:r>
      <w:r w:rsidR="000A6E93">
        <w:rPr>
          <w:rFonts w:cs="Arial"/>
        </w:rPr>
        <w:t>eurs arguments méritent respect.</w:t>
      </w:r>
      <w:r w:rsidR="007A4B64">
        <w:rPr>
          <w:rFonts w:cs="Arial"/>
        </w:rPr>
        <w:t xml:space="preserve"> Le Tribunal </w:t>
      </w:r>
      <w:r w:rsidR="00361865">
        <w:rPr>
          <w:rFonts w:cs="Arial"/>
        </w:rPr>
        <w:t xml:space="preserve">désire donner une réponse juridique </w:t>
      </w:r>
      <w:r w:rsidR="00344FAC">
        <w:rPr>
          <w:rFonts w:cs="Arial"/>
        </w:rPr>
        <w:t>à la hauteur du sérieux de leur démarche.</w:t>
      </w:r>
    </w:p>
    <w:p w14:paraId="58A1B04D" w14:textId="2E03D89F" w:rsidR="00DC602A" w:rsidRPr="0059119E" w:rsidRDefault="00DC602A" w:rsidP="00A02BD4">
      <w:pPr>
        <w:pStyle w:val="Titre3"/>
        <w:rPr>
          <w:rFonts w:cs="Arial"/>
        </w:rPr>
      </w:pPr>
      <w:bookmarkStart w:id="3" w:name="_Toc124755331"/>
      <w:r w:rsidRPr="0059119E">
        <w:rPr>
          <w:rFonts w:cs="Arial"/>
        </w:rPr>
        <w:lastRenderedPageBreak/>
        <w:t>Quatre dates importantes</w:t>
      </w:r>
      <w:r w:rsidR="00EC39D9">
        <w:rPr>
          <w:rStyle w:val="Appelnotedebasdep"/>
          <w:rFonts w:cs="Arial"/>
        </w:rPr>
        <w:footnoteReference w:id="2"/>
      </w:r>
      <w:bookmarkEnd w:id="3"/>
    </w:p>
    <w:p w14:paraId="4DF566C5" w14:textId="77777777" w:rsidR="00DC602A" w:rsidRPr="0059119E" w:rsidRDefault="00DC602A" w:rsidP="00DC602A">
      <w:pPr>
        <w:pStyle w:val="Paragraphe"/>
        <w:numPr>
          <w:ilvl w:val="0"/>
          <w:numId w:val="1"/>
        </w:numPr>
        <w:tabs>
          <w:tab w:val="clear" w:pos="360"/>
          <w:tab w:val="left" w:pos="709"/>
        </w:tabs>
        <w:spacing w:line="240" w:lineRule="auto"/>
        <w:rPr>
          <w:rFonts w:cs="Arial"/>
        </w:rPr>
      </w:pPr>
      <w:r w:rsidRPr="0059119E">
        <w:rPr>
          <w:rFonts w:cs="Arial"/>
        </w:rPr>
        <w:t>Pour ancrer ce projet dans le temps, rappelons quatre dates importantes.</w:t>
      </w:r>
    </w:p>
    <w:p w14:paraId="5A746383" w14:textId="7626A8B5" w:rsidR="00DC602A" w:rsidRPr="0059119E" w:rsidRDefault="00DC602A" w:rsidP="00DC602A">
      <w:pPr>
        <w:pStyle w:val="Paragraphe"/>
        <w:numPr>
          <w:ilvl w:val="0"/>
          <w:numId w:val="1"/>
        </w:numPr>
        <w:tabs>
          <w:tab w:val="clear" w:pos="360"/>
          <w:tab w:val="left" w:pos="709"/>
        </w:tabs>
        <w:spacing w:line="240" w:lineRule="auto"/>
        <w:rPr>
          <w:rFonts w:cs="Arial"/>
        </w:rPr>
      </w:pPr>
      <w:r w:rsidRPr="0059119E">
        <w:rPr>
          <w:rFonts w:cs="Arial"/>
        </w:rPr>
        <w:t xml:space="preserve">Le </w:t>
      </w:r>
      <w:r w:rsidRPr="0059119E">
        <w:rPr>
          <w:rFonts w:cs="Arial"/>
          <w:b/>
          <w:bCs/>
        </w:rPr>
        <w:t>16 mars 2018</w:t>
      </w:r>
      <w:r w:rsidRPr="0059119E">
        <w:rPr>
          <w:rFonts w:cs="Arial"/>
        </w:rPr>
        <w:t xml:space="preserve">, le premier ministre du Québec et le maire de Québec signent une entente par laquelle le gouvernement québécois s’engage à participer à un projet de transport structurant pour la </w:t>
      </w:r>
      <w:r>
        <w:rPr>
          <w:rFonts w:cs="Arial"/>
        </w:rPr>
        <w:t>V</w:t>
      </w:r>
      <w:r w:rsidRPr="0059119E">
        <w:rPr>
          <w:rFonts w:cs="Arial"/>
        </w:rPr>
        <w:t>ille de Québec</w:t>
      </w:r>
      <w:r w:rsidR="00262C14">
        <w:rPr>
          <w:rFonts w:cs="Arial"/>
        </w:rPr>
        <w:t>,</w:t>
      </w:r>
      <w:r w:rsidRPr="0059119E">
        <w:rPr>
          <w:rFonts w:cs="Arial"/>
        </w:rPr>
        <w:t xml:space="preserve"> alors </w:t>
      </w:r>
      <w:r w:rsidR="004A4800">
        <w:rPr>
          <w:rFonts w:cs="Arial"/>
        </w:rPr>
        <w:t xml:space="preserve">sommairement </w:t>
      </w:r>
      <w:r w:rsidRPr="0059119E">
        <w:rPr>
          <w:rFonts w:cs="Arial"/>
        </w:rPr>
        <w:t>évalué à 3 milliards de dollars. Le projet est différent de celui faisant l’objet de l’autorisation qui viendra en 2022. Pour comprendre la dynamique de l’époque, il est utile de reproduire certains paragraphes du préambule</w:t>
      </w:r>
      <w:r w:rsidR="1AF58BD6" w:rsidRPr="08ECA469">
        <w:rPr>
          <w:rFonts w:cs="Arial"/>
        </w:rPr>
        <w:t xml:space="preserve"> de cette entente</w:t>
      </w:r>
      <w:r w:rsidRPr="08ECA469">
        <w:rPr>
          <w:rFonts w:cs="Arial"/>
        </w:rPr>
        <w:t> :</w:t>
      </w:r>
    </w:p>
    <w:p w14:paraId="3E1A9186" w14:textId="77777777" w:rsidR="00DC602A" w:rsidRPr="0059119E" w:rsidRDefault="00DC602A" w:rsidP="00A02BD4">
      <w:pPr>
        <w:pStyle w:val="Paragraphe"/>
        <w:tabs>
          <w:tab w:val="clear" w:pos="1636"/>
          <w:tab w:val="left" w:pos="709"/>
        </w:tabs>
        <w:spacing w:line="240" w:lineRule="auto"/>
        <w:ind w:left="708" w:right="610"/>
        <w:rPr>
          <w:rFonts w:cs="Arial"/>
          <w:sz w:val="22"/>
          <w:szCs w:val="18"/>
        </w:rPr>
      </w:pPr>
      <w:r w:rsidRPr="0059119E">
        <w:rPr>
          <w:rFonts w:cs="Arial"/>
          <w:sz w:val="22"/>
          <w:szCs w:val="18"/>
        </w:rPr>
        <w:t>CONSIDÉRANT QUE depuis huit années, la Ville de Québec travaille à doter son territoire de services de transport collectif propres à mieux servir ses citoyens et à réduire la congestion routière;</w:t>
      </w:r>
    </w:p>
    <w:p w14:paraId="1C4DA1F7" w14:textId="05019EAA" w:rsidR="00DC602A" w:rsidRPr="0059119E" w:rsidRDefault="00DC602A" w:rsidP="00A02BD4">
      <w:pPr>
        <w:pStyle w:val="Paragraphe"/>
        <w:tabs>
          <w:tab w:val="clear" w:pos="1636"/>
          <w:tab w:val="left" w:pos="709"/>
        </w:tabs>
        <w:spacing w:line="240" w:lineRule="auto"/>
        <w:ind w:left="708" w:right="610"/>
        <w:rPr>
          <w:rFonts w:cs="Arial"/>
          <w:sz w:val="22"/>
          <w:szCs w:val="18"/>
        </w:rPr>
      </w:pPr>
      <w:r w:rsidRPr="0059119E">
        <w:rPr>
          <w:rFonts w:cs="Arial"/>
          <w:sz w:val="22"/>
          <w:szCs w:val="18"/>
        </w:rPr>
        <w:t>CONSIDÉRANT QUE la mise en place d’un réseau de transport collectif structurant est la solution privilégiée par la Ville de Québec et le RTC</w:t>
      </w:r>
      <w:r w:rsidR="006B7C1D">
        <w:rPr>
          <w:rStyle w:val="Appelnotedebasdep"/>
          <w:rFonts w:cs="Arial"/>
          <w:sz w:val="22"/>
          <w:szCs w:val="18"/>
        </w:rPr>
        <w:footnoteReference w:id="3"/>
      </w:r>
      <w:r w:rsidRPr="0059119E">
        <w:rPr>
          <w:rFonts w:cs="Arial"/>
          <w:sz w:val="22"/>
          <w:szCs w:val="18"/>
        </w:rPr>
        <w:t xml:space="preserve"> pour améliorer les conditions de transport sur ce territoire, et ce, à la suite des études réalisées ainsi que des consultations publiques menées en 2017;</w:t>
      </w:r>
    </w:p>
    <w:p w14:paraId="694B43DD" w14:textId="351A7B13" w:rsidR="00DC602A" w:rsidRPr="0059119E" w:rsidRDefault="00DC602A" w:rsidP="00A02BD4">
      <w:pPr>
        <w:pStyle w:val="Paragraphe"/>
        <w:tabs>
          <w:tab w:val="clear" w:pos="1636"/>
          <w:tab w:val="left" w:pos="709"/>
        </w:tabs>
        <w:spacing w:line="240" w:lineRule="auto"/>
        <w:ind w:left="708" w:right="610"/>
        <w:rPr>
          <w:rFonts w:cs="Arial"/>
          <w:sz w:val="22"/>
          <w:szCs w:val="22"/>
        </w:rPr>
      </w:pPr>
      <w:r w:rsidRPr="08ECA469">
        <w:rPr>
          <w:rFonts w:cs="Arial"/>
          <w:sz w:val="22"/>
          <w:szCs w:val="22"/>
        </w:rPr>
        <w:t>CONSIDÉRANT QUE ce projet répond à la vision du gouvernement en matière de mobilité durable;</w:t>
      </w:r>
      <w:r w:rsidR="00ED4913">
        <w:rPr>
          <w:rStyle w:val="Appelnotedebasdep"/>
          <w:rFonts w:cs="Arial"/>
          <w:sz w:val="22"/>
          <w:szCs w:val="22"/>
        </w:rPr>
        <w:footnoteReference w:id="4"/>
      </w:r>
    </w:p>
    <w:p w14:paraId="07776BE7" w14:textId="77777777" w:rsidR="00DC602A" w:rsidRPr="0059119E" w:rsidRDefault="00DC602A" w:rsidP="00DC602A">
      <w:pPr>
        <w:pStyle w:val="Paragraphe"/>
        <w:numPr>
          <w:ilvl w:val="0"/>
          <w:numId w:val="1"/>
        </w:numPr>
        <w:tabs>
          <w:tab w:val="clear" w:pos="360"/>
          <w:tab w:val="left" w:pos="709"/>
        </w:tabs>
        <w:spacing w:line="240" w:lineRule="auto"/>
        <w:rPr>
          <w:rFonts w:cs="Arial"/>
        </w:rPr>
      </w:pPr>
      <w:r w:rsidRPr="0059119E">
        <w:rPr>
          <w:rFonts w:cs="Arial"/>
        </w:rPr>
        <w:t xml:space="preserve">L’annexe jointe à cette entente décrit ce réseau comme incluant une ligne de </w:t>
      </w:r>
      <w:r w:rsidRPr="00680F08">
        <w:rPr>
          <w:rFonts w:cs="Arial"/>
          <w:b/>
          <w:bCs/>
        </w:rPr>
        <w:t>tramway</w:t>
      </w:r>
      <w:r w:rsidRPr="0059119E">
        <w:rPr>
          <w:rFonts w:cs="Arial"/>
        </w:rPr>
        <w:t xml:space="preserve"> de 23 k</w:t>
      </w:r>
      <w:r>
        <w:rPr>
          <w:rFonts w:cs="Arial"/>
        </w:rPr>
        <w:t>ilomètres</w:t>
      </w:r>
      <w:r w:rsidRPr="0059119E">
        <w:rPr>
          <w:rFonts w:cs="Arial"/>
        </w:rPr>
        <w:t xml:space="preserve">. </w:t>
      </w:r>
    </w:p>
    <w:p w14:paraId="0B731EA4" w14:textId="1B723DBA" w:rsidR="00DC602A" w:rsidRPr="0059119E" w:rsidRDefault="00DC602A" w:rsidP="00DC602A">
      <w:pPr>
        <w:pStyle w:val="Paragraphe"/>
        <w:numPr>
          <w:ilvl w:val="0"/>
          <w:numId w:val="1"/>
        </w:numPr>
        <w:tabs>
          <w:tab w:val="clear" w:pos="360"/>
          <w:tab w:val="left" w:pos="709"/>
        </w:tabs>
        <w:spacing w:line="240" w:lineRule="auto"/>
        <w:rPr>
          <w:rFonts w:cs="Arial"/>
        </w:rPr>
      </w:pPr>
      <w:r w:rsidRPr="0059119E">
        <w:rPr>
          <w:rFonts w:cs="Arial"/>
        </w:rPr>
        <w:t xml:space="preserve">Le </w:t>
      </w:r>
      <w:r w:rsidRPr="0059119E">
        <w:rPr>
          <w:rFonts w:cs="Arial"/>
          <w:b/>
          <w:bCs/>
        </w:rPr>
        <w:t>14 juin 2019</w:t>
      </w:r>
      <w:r w:rsidRPr="0059119E">
        <w:rPr>
          <w:rFonts w:cs="Arial"/>
        </w:rPr>
        <w:t xml:space="preserve">, l’Assemblée nationale adopte la </w:t>
      </w:r>
      <w:r w:rsidRPr="0059119E">
        <w:rPr>
          <w:rFonts w:cs="Arial"/>
          <w:i/>
          <w:iCs/>
        </w:rPr>
        <w:t>Loi concernant le Réseau structurant de transport en commun de la Ville de Québec</w:t>
      </w:r>
      <w:r w:rsidRPr="00007CEC">
        <w:rPr>
          <w:rStyle w:val="Appelnotedebasdep"/>
          <w:rFonts w:cs="Arial"/>
          <w:iCs/>
        </w:rPr>
        <w:footnoteReference w:id="5"/>
      </w:r>
      <w:r w:rsidR="00B92862">
        <w:rPr>
          <w:rFonts w:cs="Arial"/>
          <w:i/>
          <w:iCs/>
        </w:rPr>
        <w:t xml:space="preserve"> </w:t>
      </w:r>
      <w:r w:rsidR="00B92862">
        <w:rPr>
          <w:rFonts w:cs="Arial"/>
        </w:rPr>
        <w:t>(LRSVQ)</w:t>
      </w:r>
      <w:r w:rsidRPr="0059119E">
        <w:rPr>
          <w:rFonts w:cs="Arial"/>
        </w:rPr>
        <w:t>. Son article premier définit l’objectif visé :</w:t>
      </w:r>
    </w:p>
    <w:p w14:paraId="5A6B2303" w14:textId="77777777" w:rsidR="00DC602A" w:rsidRPr="0059119E" w:rsidRDefault="00DC602A" w:rsidP="00A02BD4">
      <w:pPr>
        <w:pStyle w:val="Paragraphe"/>
        <w:tabs>
          <w:tab w:val="clear" w:pos="1636"/>
          <w:tab w:val="left" w:pos="709"/>
        </w:tabs>
        <w:spacing w:line="240" w:lineRule="auto"/>
        <w:ind w:left="708" w:right="610"/>
        <w:rPr>
          <w:rFonts w:cs="Arial"/>
          <w:sz w:val="22"/>
          <w:szCs w:val="18"/>
        </w:rPr>
      </w:pPr>
      <w:r w:rsidRPr="0059119E">
        <w:rPr>
          <w:rFonts w:cs="Arial"/>
          <w:sz w:val="22"/>
          <w:szCs w:val="18"/>
        </w:rPr>
        <w:t>1. La présente</w:t>
      </w:r>
      <w:r>
        <w:rPr>
          <w:rFonts w:cs="Arial"/>
          <w:sz w:val="22"/>
          <w:szCs w:val="18"/>
        </w:rPr>
        <w:t xml:space="preserve"> </w:t>
      </w:r>
      <w:r w:rsidRPr="0059119E">
        <w:rPr>
          <w:rFonts w:cs="Arial"/>
          <w:sz w:val="22"/>
          <w:szCs w:val="18"/>
        </w:rPr>
        <w:t>loi</w:t>
      </w:r>
      <w:r>
        <w:rPr>
          <w:rFonts w:cs="Arial"/>
          <w:sz w:val="22"/>
          <w:szCs w:val="18"/>
        </w:rPr>
        <w:t xml:space="preserve"> </w:t>
      </w:r>
      <w:r w:rsidRPr="0059119E">
        <w:rPr>
          <w:rFonts w:cs="Arial"/>
          <w:sz w:val="22"/>
          <w:szCs w:val="18"/>
        </w:rPr>
        <w:t>a pour objet de permettre la réalisation du projet de</w:t>
      </w:r>
      <w:r>
        <w:rPr>
          <w:rFonts w:cs="Arial"/>
          <w:sz w:val="22"/>
          <w:szCs w:val="18"/>
        </w:rPr>
        <w:t xml:space="preserve"> </w:t>
      </w:r>
      <w:r w:rsidRPr="0059119E">
        <w:rPr>
          <w:rFonts w:cs="Arial"/>
          <w:sz w:val="22"/>
          <w:szCs w:val="18"/>
        </w:rPr>
        <w:t>transport</w:t>
      </w:r>
      <w:r>
        <w:rPr>
          <w:rFonts w:cs="Arial"/>
          <w:sz w:val="22"/>
          <w:szCs w:val="18"/>
        </w:rPr>
        <w:t xml:space="preserve"> </w:t>
      </w:r>
      <w:r w:rsidRPr="0059119E">
        <w:rPr>
          <w:rFonts w:cs="Arial"/>
          <w:sz w:val="22"/>
          <w:szCs w:val="18"/>
        </w:rPr>
        <w:t>collectif annoncé publiquement par la</w:t>
      </w:r>
      <w:r>
        <w:rPr>
          <w:rFonts w:cs="Arial"/>
          <w:sz w:val="22"/>
          <w:szCs w:val="18"/>
        </w:rPr>
        <w:t xml:space="preserve"> </w:t>
      </w:r>
      <w:r w:rsidRPr="0059119E">
        <w:rPr>
          <w:rFonts w:cs="Arial"/>
          <w:sz w:val="22"/>
          <w:szCs w:val="18"/>
        </w:rPr>
        <w:t>Ville</w:t>
      </w:r>
      <w:r>
        <w:rPr>
          <w:rFonts w:cs="Arial"/>
          <w:sz w:val="22"/>
          <w:szCs w:val="18"/>
        </w:rPr>
        <w:t xml:space="preserve"> </w:t>
      </w:r>
      <w:r w:rsidRPr="0059119E">
        <w:rPr>
          <w:rFonts w:cs="Arial"/>
          <w:sz w:val="22"/>
          <w:szCs w:val="18"/>
        </w:rPr>
        <w:t>de</w:t>
      </w:r>
      <w:r>
        <w:rPr>
          <w:rFonts w:cs="Arial"/>
          <w:sz w:val="22"/>
          <w:szCs w:val="18"/>
        </w:rPr>
        <w:t xml:space="preserve"> </w:t>
      </w:r>
      <w:r w:rsidRPr="0059119E">
        <w:rPr>
          <w:rFonts w:cs="Arial"/>
          <w:sz w:val="22"/>
          <w:szCs w:val="18"/>
        </w:rPr>
        <w:t>Québec</w:t>
      </w:r>
      <w:r>
        <w:rPr>
          <w:rFonts w:cs="Arial"/>
          <w:sz w:val="22"/>
          <w:szCs w:val="18"/>
        </w:rPr>
        <w:t xml:space="preserve"> </w:t>
      </w:r>
      <w:r w:rsidRPr="0059119E">
        <w:rPr>
          <w:rFonts w:cs="Arial"/>
          <w:sz w:val="22"/>
          <w:szCs w:val="18"/>
        </w:rPr>
        <w:t>comme le « Réseau</w:t>
      </w:r>
      <w:r>
        <w:rPr>
          <w:rFonts w:cs="Arial"/>
          <w:sz w:val="22"/>
          <w:szCs w:val="18"/>
        </w:rPr>
        <w:t xml:space="preserve"> </w:t>
      </w:r>
      <w:r w:rsidRPr="0059119E">
        <w:rPr>
          <w:rFonts w:cs="Arial"/>
          <w:sz w:val="22"/>
          <w:szCs w:val="18"/>
        </w:rPr>
        <w:t>structurant</w:t>
      </w:r>
      <w:r>
        <w:rPr>
          <w:rFonts w:cs="Arial"/>
          <w:sz w:val="22"/>
          <w:szCs w:val="18"/>
        </w:rPr>
        <w:t xml:space="preserve"> </w:t>
      </w:r>
      <w:r w:rsidRPr="0059119E">
        <w:rPr>
          <w:rFonts w:cs="Arial"/>
          <w:sz w:val="22"/>
          <w:szCs w:val="18"/>
        </w:rPr>
        <w:t>de</w:t>
      </w:r>
      <w:r>
        <w:rPr>
          <w:rFonts w:cs="Arial"/>
          <w:sz w:val="22"/>
          <w:szCs w:val="18"/>
        </w:rPr>
        <w:t xml:space="preserve"> </w:t>
      </w:r>
      <w:r w:rsidRPr="0059119E">
        <w:rPr>
          <w:rFonts w:cs="Arial"/>
          <w:sz w:val="22"/>
          <w:szCs w:val="18"/>
        </w:rPr>
        <w:t>transport</w:t>
      </w:r>
      <w:r>
        <w:rPr>
          <w:rFonts w:cs="Arial"/>
          <w:sz w:val="22"/>
          <w:szCs w:val="18"/>
        </w:rPr>
        <w:t xml:space="preserve"> </w:t>
      </w:r>
      <w:r w:rsidRPr="0059119E">
        <w:rPr>
          <w:rFonts w:cs="Arial"/>
          <w:sz w:val="22"/>
          <w:szCs w:val="18"/>
        </w:rPr>
        <w:t>en</w:t>
      </w:r>
      <w:r>
        <w:rPr>
          <w:rFonts w:cs="Arial"/>
          <w:sz w:val="22"/>
          <w:szCs w:val="18"/>
        </w:rPr>
        <w:t xml:space="preserve"> </w:t>
      </w:r>
      <w:r w:rsidRPr="0059119E">
        <w:rPr>
          <w:rFonts w:cs="Arial"/>
          <w:sz w:val="22"/>
          <w:szCs w:val="18"/>
        </w:rPr>
        <w:t>commun</w:t>
      </w:r>
      <w:r>
        <w:rPr>
          <w:rFonts w:cs="Arial"/>
          <w:sz w:val="22"/>
          <w:szCs w:val="18"/>
        </w:rPr>
        <w:t xml:space="preserve"> </w:t>
      </w:r>
      <w:r w:rsidRPr="0059119E">
        <w:rPr>
          <w:rFonts w:cs="Arial"/>
          <w:sz w:val="22"/>
          <w:szCs w:val="18"/>
        </w:rPr>
        <w:t>de la</w:t>
      </w:r>
      <w:r>
        <w:rPr>
          <w:rFonts w:cs="Arial"/>
          <w:sz w:val="22"/>
          <w:szCs w:val="18"/>
        </w:rPr>
        <w:t xml:space="preserve"> </w:t>
      </w:r>
      <w:r w:rsidRPr="0059119E">
        <w:rPr>
          <w:rFonts w:cs="Arial"/>
          <w:sz w:val="22"/>
          <w:szCs w:val="18"/>
        </w:rPr>
        <w:t>Ville</w:t>
      </w:r>
      <w:r>
        <w:rPr>
          <w:rFonts w:cs="Arial"/>
          <w:sz w:val="22"/>
          <w:szCs w:val="18"/>
        </w:rPr>
        <w:t xml:space="preserve"> </w:t>
      </w:r>
      <w:r w:rsidRPr="0059119E">
        <w:rPr>
          <w:rFonts w:cs="Arial"/>
          <w:sz w:val="22"/>
          <w:szCs w:val="18"/>
        </w:rPr>
        <w:t>de</w:t>
      </w:r>
      <w:r>
        <w:rPr>
          <w:rFonts w:cs="Arial"/>
          <w:sz w:val="22"/>
          <w:szCs w:val="18"/>
        </w:rPr>
        <w:t xml:space="preserve"> </w:t>
      </w:r>
      <w:r w:rsidRPr="0059119E">
        <w:rPr>
          <w:rFonts w:cs="Arial"/>
          <w:sz w:val="22"/>
          <w:szCs w:val="18"/>
        </w:rPr>
        <w:t>Québec », lequel inclut un tramway.</w:t>
      </w:r>
    </w:p>
    <w:p w14:paraId="5B2B1516" w14:textId="77777777" w:rsidR="00DC602A" w:rsidRPr="0059119E" w:rsidRDefault="00DC602A" w:rsidP="00A02BD4">
      <w:pPr>
        <w:pStyle w:val="Paragraphe"/>
        <w:tabs>
          <w:tab w:val="clear" w:pos="1636"/>
          <w:tab w:val="left" w:pos="709"/>
        </w:tabs>
        <w:spacing w:line="240" w:lineRule="auto"/>
        <w:ind w:left="708" w:right="610"/>
        <w:rPr>
          <w:rFonts w:cs="Arial"/>
          <w:sz w:val="22"/>
          <w:szCs w:val="18"/>
        </w:rPr>
      </w:pPr>
      <w:r w:rsidRPr="0059119E">
        <w:rPr>
          <w:rFonts w:cs="Arial"/>
          <w:sz w:val="22"/>
          <w:szCs w:val="18"/>
        </w:rPr>
        <w:t>Elle prévoit également les modalités de transfert de ce</w:t>
      </w:r>
      <w:r>
        <w:rPr>
          <w:rFonts w:cs="Arial"/>
          <w:sz w:val="22"/>
          <w:szCs w:val="18"/>
        </w:rPr>
        <w:t xml:space="preserve"> </w:t>
      </w:r>
      <w:r w:rsidRPr="0059119E">
        <w:rPr>
          <w:rFonts w:cs="Arial"/>
          <w:sz w:val="22"/>
          <w:szCs w:val="18"/>
        </w:rPr>
        <w:t>réseau</w:t>
      </w:r>
      <w:r>
        <w:rPr>
          <w:rFonts w:cs="Arial"/>
          <w:sz w:val="22"/>
          <w:szCs w:val="18"/>
        </w:rPr>
        <w:t xml:space="preserve"> </w:t>
      </w:r>
      <w:r w:rsidRPr="0059119E">
        <w:rPr>
          <w:rFonts w:cs="Arial"/>
          <w:sz w:val="22"/>
          <w:szCs w:val="18"/>
        </w:rPr>
        <w:t>à la Société de</w:t>
      </w:r>
      <w:r>
        <w:rPr>
          <w:rFonts w:cs="Arial"/>
          <w:sz w:val="22"/>
          <w:szCs w:val="18"/>
        </w:rPr>
        <w:t xml:space="preserve"> </w:t>
      </w:r>
      <w:r w:rsidRPr="0059119E">
        <w:rPr>
          <w:rFonts w:cs="Arial"/>
          <w:sz w:val="22"/>
          <w:szCs w:val="18"/>
        </w:rPr>
        <w:t>transport</w:t>
      </w:r>
      <w:r>
        <w:rPr>
          <w:rFonts w:cs="Arial"/>
          <w:sz w:val="22"/>
          <w:szCs w:val="18"/>
        </w:rPr>
        <w:t xml:space="preserve"> </w:t>
      </w:r>
      <w:r w:rsidRPr="0059119E">
        <w:rPr>
          <w:rFonts w:cs="Arial"/>
          <w:sz w:val="22"/>
          <w:szCs w:val="18"/>
        </w:rPr>
        <w:t>de</w:t>
      </w:r>
      <w:r>
        <w:rPr>
          <w:rFonts w:cs="Arial"/>
          <w:sz w:val="22"/>
          <w:szCs w:val="18"/>
        </w:rPr>
        <w:t xml:space="preserve"> </w:t>
      </w:r>
      <w:r w:rsidRPr="0059119E">
        <w:rPr>
          <w:rFonts w:cs="Arial"/>
          <w:sz w:val="22"/>
          <w:szCs w:val="18"/>
        </w:rPr>
        <w:t>Québec</w:t>
      </w:r>
      <w:r>
        <w:rPr>
          <w:rFonts w:cs="Arial"/>
          <w:sz w:val="22"/>
          <w:szCs w:val="18"/>
        </w:rPr>
        <w:t xml:space="preserve"> </w:t>
      </w:r>
      <w:r w:rsidRPr="0059119E">
        <w:rPr>
          <w:rFonts w:cs="Arial"/>
          <w:sz w:val="22"/>
          <w:szCs w:val="18"/>
        </w:rPr>
        <w:t>afin qu’elle l’exploite.</w:t>
      </w:r>
    </w:p>
    <w:p w14:paraId="1ED4D585" w14:textId="50EE7CA5" w:rsidR="00DC602A" w:rsidRDefault="00DC602A" w:rsidP="00DC602A">
      <w:pPr>
        <w:pStyle w:val="Paragraphe"/>
        <w:numPr>
          <w:ilvl w:val="0"/>
          <w:numId w:val="1"/>
        </w:numPr>
        <w:tabs>
          <w:tab w:val="clear" w:pos="360"/>
          <w:tab w:val="left" w:pos="709"/>
        </w:tabs>
        <w:spacing w:line="240" w:lineRule="auto"/>
        <w:rPr>
          <w:rFonts w:cs="Arial"/>
        </w:rPr>
      </w:pPr>
      <w:r w:rsidRPr="0059119E">
        <w:rPr>
          <w:rFonts w:cs="Arial"/>
        </w:rPr>
        <w:t xml:space="preserve">Le </w:t>
      </w:r>
      <w:r w:rsidRPr="0059119E">
        <w:rPr>
          <w:rFonts w:cs="Arial"/>
          <w:b/>
          <w:bCs/>
        </w:rPr>
        <w:t>5 novembre 2020</w:t>
      </w:r>
      <w:r w:rsidRPr="0059119E">
        <w:rPr>
          <w:rFonts w:cs="Arial"/>
        </w:rPr>
        <w:t>, après avoir mené des consultations publiques, le Bureau d’audience</w:t>
      </w:r>
      <w:r>
        <w:rPr>
          <w:rFonts w:cs="Arial"/>
        </w:rPr>
        <w:t>s</w:t>
      </w:r>
      <w:r w:rsidRPr="0059119E">
        <w:rPr>
          <w:rFonts w:cs="Arial"/>
        </w:rPr>
        <w:t xml:space="preserve"> publique</w:t>
      </w:r>
      <w:r>
        <w:rPr>
          <w:rFonts w:cs="Arial"/>
        </w:rPr>
        <w:t>s</w:t>
      </w:r>
      <w:r w:rsidRPr="0059119E">
        <w:rPr>
          <w:rFonts w:cs="Arial"/>
        </w:rPr>
        <w:t xml:space="preserve"> sur l’environnement (BAPE)</w:t>
      </w:r>
      <w:r w:rsidR="00DE3CCC">
        <w:rPr>
          <w:rFonts w:cs="Arial"/>
        </w:rPr>
        <w:t>, cré</w:t>
      </w:r>
      <w:r w:rsidR="5666BBED">
        <w:rPr>
          <w:rFonts w:cs="Arial"/>
        </w:rPr>
        <w:t>é</w:t>
      </w:r>
      <w:r w:rsidR="00DE3CCC">
        <w:rPr>
          <w:rFonts w:cs="Arial"/>
        </w:rPr>
        <w:t xml:space="preserve"> en vertu de la </w:t>
      </w:r>
      <w:r w:rsidR="00DE3CCC">
        <w:rPr>
          <w:rFonts w:cs="Arial"/>
          <w:i/>
          <w:iCs/>
        </w:rPr>
        <w:t xml:space="preserve">Loi sur la qualité </w:t>
      </w:r>
      <w:r w:rsidR="00DE3CCC">
        <w:rPr>
          <w:rFonts w:cs="Arial"/>
          <w:i/>
          <w:iCs/>
        </w:rPr>
        <w:lastRenderedPageBreak/>
        <w:t>de l’environnement</w:t>
      </w:r>
      <w:r w:rsidR="002F1DD3" w:rsidRPr="00713F60">
        <w:rPr>
          <w:rStyle w:val="Appelnotedebasdep"/>
          <w:rFonts w:cs="Arial"/>
        </w:rPr>
        <w:footnoteReference w:id="6"/>
      </w:r>
      <w:r w:rsidR="002F1DD3">
        <w:rPr>
          <w:rFonts w:cs="Arial"/>
        </w:rPr>
        <w:t xml:space="preserve"> (LQE)</w:t>
      </w:r>
      <w:r w:rsidR="009D588C">
        <w:rPr>
          <w:rFonts w:cs="Arial"/>
        </w:rPr>
        <w:t>,</w:t>
      </w:r>
      <w:r w:rsidRPr="0059119E">
        <w:rPr>
          <w:rFonts w:cs="Arial"/>
        </w:rPr>
        <w:t xml:space="preserve"> recommande de ne pas aller de l’avant avec le projet de tramway</w:t>
      </w:r>
      <w:r w:rsidR="00211184">
        <w:rPr>
          <w:rFonts w:cs="Arial"/>
        </w:rPr>
        <w:t>. Voici quelques extraits de ce rapport de plus de 400 pages</w:t>
      </w:r>
      <w:r w:rsidR="00211184">
        <w:rPr>
          <w:rStyle w:val="Appelnotedebasdep"/>
          <w:rFonts w:cs="Arial"/>
        </w:rPr>
        <w:footnoteReference w:id="7"/>
      </w:r>
      <w:r w:rsidR="00EE3462">
        <w:rPr>
          <w:rFonts w:cs="Arial"/>
        </w:rPr>
        <w:t> :</w:t>
      </w:r>
    </w:p>
    <w:p w14:paraId="78BE7D2C" w14:textId="290F8D90" w:rsidR="006D770B" w:rsidRDefault="00984A1E" w:rsidP="005C14A5">
      <w:pPr>
        <w:pStyle w:val="Paragrdouble"/>
        <w:numPr>
          <w:ilvl w:val="0"/>
          <w:numId w:val="8"/>
        </w:numPr>
        <w:spacing w:line="240" w:lineRule="auto"/>
        <w:rPr>
          <w:rFonts w:cs="Arial"/>
        </w:rPr>
      </w:pPr>
      <w:r>
        <w:rPr>
          <w:rFonts w:cs="Arial"/>
        </w:rPr>
        <w:t xml:space="preserve">« </w:t>
      </w:r>
      <w:r w:rsidR="00A165F6">
        <w:rPr>
          <w:rFonts w:cs="Arial"/>
        </w:rPr>
        <w:t>…</w:t>
      </w:r>
      <w:r>
        <w:rPr>
          <w:rFonts w:cs="Arial"/>
        </w:rPr>
        <w:t>un réseau structurant de transport en commun pour la ville de Québec est souhaitable</w:t>
      </w:r>
      <w:r w:rsidR="006D770B">
        <w:rPr>
          <w:rFonts w:cs="Arial"/>
        </w:rPr>
        <w:t>, et constate que de nombreuses études se sont penchées sur sa configuration et ses modalités de réalisation au cours des dernières années »</w:t>
      </w:r>
      <w:r w:rsidR="00405834">
        <w:rPr>
          <w:rFonts w:cs="Arial"/>
        </w:rPr>
        <w:t>;</w:t>
      </w:r>
    </w:p>
    <w:p w14:paraId="7713E18F" w14:textId="246666BF" w:rsidR="00405834" w:rsidRDefault="00984A1E" w:rsidP="005C14A5">
      <w:pPr>
        <w:pStyle w:val="Paragrdouble"/>
        <w:numPr>
          <w:ilvl w:val="0"/>
          <w:numId w:val="8"/>
        </w:numPr>
        <w:spacing w:line="240" w:lineRule="auto"/>
        <w:rPr>
          <w:rFonts w:cs="Arial"/>
        </w:rPr>
      </w:pPr>
      <w:r>
        <w:rPr>
          <w:rFonts w:cs="Arial"/>
        </w:rPr>
        <w:t xml:space="preserve">« </w:t>
      </w:r>
      <w:r w:rsidR="00405834">
        <w:rPr>
          <w:rFonts w:cs="Arial"/>
        </w:rPr>
        <w:t>L</w:t>
      </w:r>
      <w:r>
        <w:rPr>
          <w:rFonts w:cs="Arial"/>
        </w:rPr>
        <w:t>e projet présenté</w:t>
      </w:r>
      <w:r w:rsidR="00405834">
        <w:rPr>
          <w:rFonts w:cs="Arial"/>
        </w:rPr>
        <w:t>, tout spécialement quant à la technologie retenue, soit le tramway, et du tracé privilégié, n’apparaît toutefois pas optimal au regard des besoins de mobilité de la ville et de la région de Québec »;</w:t>
      </w:r>
    </w:p>
    <w:p w14:paraId="44414E73" w14:textId="58DFF789" w:rsidR="00EE3462" w:rsidRPr="008B4E4F" w:rsidRDefault="00B5158F" w:rsidP="005C14A5">
      <w:pPr>
        <w:pStyle w:val="Paragrdouble"/>
        <w:numPr>
          <w:ilvl w:val="0"/>
          <w:numId w:val="8"/>
        </w:numPr>
        <w:spacing w:line="240" w:lineRule="auto"/>
        <w:rPr>
          <w:rFonts w:cs="Arial"/>
        </w:rPr>
      </w:pPr>
      <w:r>
        <w:rPr>
          <w:rFonts w:cs="Arial"/>
        </w:rPr>
        <w:t>«</w:t>
      </w:r>
      <w:r w:rsidR="006875B9">
        <w:rPr>
          <w:rFonts w:cs="Arial"/>
        </w:rPr>
        <w:t xml:space="preserve"> Des questions subsistent néanmoins quant à la pertinence du tramway comme mode de transport, à la complexité de son intense insertion dans la trame urbaine, au choix des secteurs desservis et à la proportion des investissements requis par la construction du tunnel »;</w:t>
      </w:r>
    </w:p>
    <w:p w14:paraId="661011B3" w14:textId="19E4CBD0" w:rsidR="00DC602A" w:rsidRPr="0059119E" w:rsidRDefault="00DC602A" w:rsidP="00DC602A">
      <w:pPr>
        <w:pStyle w:val="Paragraphe"/>
        <w:numPr>
          <w:ilvl w:val="0"/>
          <w:numId w:val="1"/>
        </w:numPr>
        <w:tabs>
          <w:tab w:val="clear" w:pos="360"/>
          <w:tab w:val="left" w:pos="709"/>
        </w:tabs>
        <w:spacing w:line="240" w:lineRule="auto"/>
        <w:rPr>
          <w:rFonts w:cs="Arial"/>
        </w:rPr>
      </w:pPr>
      <w:r w:rsidRPr="0059119E">
        <w:rPr>
          <w:rFonts w:cs="Arial"/>
        </w:rPr>
        <w:t xml:space="preserve">En dépit de cet avis, le </w:t>
      </w:r>
      <w:r w:rsidRPr="0059119E">
        <w:rPr>
          <w:rFonts w:cs="Arial"/>
          <w:b/>
          <w:bCs/>
        </w:rPr>
        <w:t>6 avril 2022</w:t>
      </w:r>
      <w:r w:rsidRPr="0059119E">
        <w:rPr>
          <w:rFonts w:cs="Arial"/>
        </w:rPr>
        <w:t xml:space="preserve">, le gouvernement du Québec adopte le </w:t>
      </w:r>
      <w:r w:rsidR="2B2A82B8" w:rsidRPr="00B57B76">
        <w:rPr>
          <w:rFonts w:cs="Arial"/>
          <w:i/>
          <w:iCs/>
        </w:rPr>
        <w:t>D</w:t>
      </w:r>
      <w:r w:rsidRPr="00B57B76">
        <w:rPr>
          <w:rFonts w:cs="Arial"/>
          <w:i/>
          <w:iCs/>
        </w:rPr>
        <w:t>écret</w:t>
      </w:r>
      <w:r w:rsidRPr="00B57B76">
        <w:rPr>
          <w:rFonts w:cs="Arial"/>
          <w:i/>
        </w:rPr>
        <w:t xml:space="preserve"> 655-2022 concernant la délivrance d’une autorisation à la Ville de Québec pour le projet de construction d’un tramway entre les secteurs Chaudière et </w:t>
      </w:r>
      <w:r w:rsidR="64CF28C6" w:rsidRPr="08ECA469">
        <w:rPr>
          <w:rFonts w:cs="Arial"/>
          <w:i/>
          <w:iCs/>
        </w:rPr>
        <w:t>D</w:t>
      </w:r>
      <w:r w:rsidRPr="007B1D94">
        <w:rPr>
          <w:rFonts w:cs="Arial"/>
          <w:i/>
          <w:iCs/>
        </w:rPr>
        <w:t>’Estimauville</w:t>
      </w:r>
      <w:r w:rsidRPr="007B1D94">
        <w:rPr>
          <w:rFonts w:cs="Arial"/>
          <w:i/>
        </w:rPr>
        <w:t xml:space="preserve"> sur le territoire de la </w:t>
      </w:r>
      <w:r w:rsidR="6FF27924" w:rsidRPr="08ECA469">
        <w:rPr>
          <w:rFonts w:cs="Arial"/>
          <w:i/>
          <w:iCs/>
        </w:rPr>
        <w:t>v</w:t>
      </w:r>
      <w:r w:rsidRPr="007B1D94">
        <w:rPr>
          <w:rFonts w:cs="Arial"/>
          <w:i/>
          <w:iCs/>
        </w:rPr>
        <w:t>ille</w:t>
      </w:r>
      <w:r w:rsidRPr="007B1D94">
        <w:rPr>
          <w:rFonts w:cs="Arial"/>
          <w:i/>
        </w:rPr>
        <w:t xml:space="preserve"> de Québec</w:t>
      </w:r>
      <w:r w:rsidR="00F04F7A">
        <w:rPr>
          <w:rStyle w:val="Appelnotedebasdep"/>
          <w:rFonts w:cs="Arial"/>
          <w:i/>
        </w:rPr>
        <w:footnoteReference w:id="8"/>
      </w:r>
      <w:r w:rsidRPr="0059119E">
        <w:rPr>
          <w:rFonts w:cs="Arial"/>
        </w:rPr>
        <w:t>.</w:t>
      </w:r>
    </w:p>
    <w:p w14:paraId="1183FDAF" w14:textId="0FF5BA39" w:rsidR="00DC602A" w:rsidRDefault="00DC602A" w:rsidP="00DC602A">
      <w:pPr>
        <w:pStyle w:val="Paragraphe"/>
        <w:numPr>
          <w:ilvl w:val="0"/>
          <w:numId w:val="1"/>
        </w:numPr>
        <w:tabs>
          <w:tab w:val="clear" w:pos="360"/>
          <w:tab w:val="left" w:pos="709"/>
        </w:tabs>
        <w:spacing w:line="240" w:lineRule="auto"/>
        <w:rPr>
          <w:rFonts w:cs="Arial"/>
        </w:rPr>
      </w:pPr>
      <w:r w:rsidRPr="0059119E">
        <w:rPr>
          <w:rFonts w:cs="Arial"/>
        </w:rPr>
        <w:t>Au cours de ces étapes, la Ville de Québec, notamment par son conseil</w:t>
      </w:r>
      <w:r w:rsidR="005532C8">
        <w:rPr>
          <w:rFonts w:cs="Arial"/>
        </w:rPr>
        <w:t xml:space="preserve"> et le conseil d’agglomération</w:t>
      </w:r>
      <w:r w:rsidR="003F052F">
        <w:rPr>
          <w:rStyle w:val="Appelnotedebasdep"/>
          <w:rFonts w:cs="Arial"/>
        </w:rPr>
        <w:footnoteReference w:id="9"/>
      </w:r>
      <w:r w:rsidRPr="0059119E">
        <w:rPr>
          <w:rFonts w:cs="Arial"/>
        </w:rPr>
        <w:t>, adopte différents règlements.</w:t>
      </w:r>
    </w:p>
    <w:p w14:paraId="7904D0E0" w14:textId="4D09B636" w:rsidR="00C13836" w:rsidRDefault="00C13836" w:rsidP="00DC602A">
      <w:pPr>
        <w:pStyle w:val="Paragraphe"/>
        <w:numPr>
          <w:ilvl w:val="0"/>
          <w:numId w:val="1"/>
        </w:numPr>
        <w:tabs>
          <w:tab w:val="clear" w:pos="360"/>
          <w:tab w:val="left" w:pos="709"/>
        </w:tabs>
        <w:spacing w:line="240" w:lineRule="auto"/>
        <w:rPr>
          <w:rFonts w:cs="Arial"/>
        </w:rPr>
      </w:pPr>
      <w:r>
        <w:rPr>
          <w:rFonts w:cs="Arial"/>
        </w:rPr>
        <w:t xml:space="preserve">Nous reviendrons plus loin sur </w:t>
      </w:r>
      <w:r w:rsidR="006A240D">
        <w:rPr>
          <w:rFonts w:cs="Arial"/>
        </w:rPr>
        <w:t xml:space="preserve">tous les autres faits qui </w:t>
      </w:r>
      <w:r w:rsidR="00012F13">
        <w:rPr>
          <w:rFonts w:cs="Arial"/>
        </w:rPr>
        <w:t xml:space="preserve">ont </w:t>
      </w:r>
      <w:r w:rsidR="006A240D">
        <w:rPr>
          <w:rFonts w:cs="Arial"/>
        </w:rPr>
        <w:t xml:space="preserve">précédé </w:t>
      </w:r>
      <w:r w:rsidR="00787C13">
        <w:rPr>
          <w:rFonts w:cs="Arial"/>
        </w:rPr>
        <w:t xml:space="preserve">et entouré </w:t>
      </w:r>
      <w:r w:rsidR="00E87107">
        <w:rPr>
          <w:rFonts w:cs="Arial"/>
        </w:rPr>
        <w:t>ces dates.</w:t>
      </w:r>
    </w:p>
    <w:p w14:paraId="641BEB59" w14:textId="6BAB2AA7" w:rsidR="00AB6BF1" w:rsidRPr="0059119E" w:rsidRDefault="00AB6BF1" w:rsidP="00DC602A">
      <w:pPr>
        <w:pStyle w:val="Paragraphe"/>
        <w:numPr>
          <w:ilvl w:val="0"/>
          <w:numId w:val="1"/>
        </w:numPr>
        <w:tabs>
          <w:tab w:val="clear" w:pos="360"/>
          <w:tab w:val="left" w:pos="709"/>
        </w:tabs>
        <w:spacing w:line="240" w:lineRule="auto"/>
        <w:rPr>
          <w:rFonts w:cs="Arial"/>
        </w:rPr>
      </w:pPr>
      <w:r>
        <w:rPr>
          <w:rFonts w:cs="Arial"/>
        </w:rPr>
        <w:t xml:space="preserve">Au terme de ces décisions et des travaux planifiés, </w:t>
      </w:r>
      <w:r w:rsidR="009510E8">
        <w:rPr>
          <w:rFonts w:cs="Arial"/>
        </w:rPr>
        <w:t xml:space="preserve">si tout </w:t>
      </w:r>
      <w:r w:rsidR="00EE6827">
        <w:rPr>
          <w:rFonts w:cs="Arial"/>
        </w:rPr>
        <w:t>allait</w:t>
      </w:r>
      <w:r w:rsidR="009510E8">
        <w:rPr>
          <w:rFonts w:cs="Arial"/>
        </w:rPr>
        <w:t xml:space="preserve"> bien, </w:t>
      </w:r>
      <w:r>
        <w:rPr>
          <w:rFonts w:cs="Arial"/>
        </w:rPr>
        <w:t xml:space="preserve">le tramway devrait rouler le </w:t>
      </w:r>
      <w:r w:rsidR="00A7487C">
        <w:rPr>
          <w:rFonts w:cs="Arial"/>
        </w:rPr>
        <w:t>15 août 2028</w:t>
      </w:r>
      <w:r w:rsidR="00A7487C">
        <w:rPr>
          <w:rStyle w:val="Appelnotedebasdep"/>
          <w:rFonts w:cs="Arial"/>
        </w:rPr>
        <w:footnoteReference w:id="10"/>
      </w:r>
      <w:r w:rsidR="00A7487C">
        <w:rPr>
          <w:rFonts w:cs="Arial"/>
        </w:rPr>
        <w:t>.</w:t>
      </w:r>
    </w:p>
    <w:p w14:paraId="261EEC95" w14:textId="0071DABC" w:rsidR="005F42A4" w:rsidRDefault="00E10DE3" w:rsidP="00D26929">
      <w:pPr>
        <w:pStyle w:val="Paragrdouble"/>
        <w:spacing w:line="240" w:lineRule="auto"/>
      </w:pPr>
      <w:r>
        <w:t>Le</w:t>
      </w:r>
      <w:r w:rsidR="00E87107">
        <w:t>s principaux éléments de</w:t>
      </w:r>
      <w:r>
        <w:t xml:space="preserve"> décor ainsi</w:t>
      </w:r>
      <w:r w:rsidR="008579C4">
        <w:t xml:space="preserve"> </w:t>
      </w:r>
      <w:r w:rsidR="00DE03D8">
        <w:t>plantés</w:t>
      </w:r>
      <w:r w:rsidR="008579C4">
        <w:t>, voyons la démarche judiciaire des demandeurs</w:t>
      </w:r>
      <w:r w:rsidR="0058220D">
        <w:t>.</w:t>
      </w:r>
    </w:p>
    <w:p w14:paraId="04C52DCB" w14:textId="0D3B062F" w:rsidR="0058220D" w:rsidRPr="00B43DCA" w:rsidRDefault="00F53AC7" w:rsidP="00B43DCA">
      <w:pPr>
        <w:pStyle w:val="Titre3"/>
        <w:ind w:left="1162"/>
        <w:rPr>
          <w:rFonts w:cs="Arial"/>
        </w:rPr>
      </w:pPr>
      <w:bookmarkStart w:id="4" w:name="_Toc124755332"/>
      <w:r w:rsidRPr="00B43DCA">
        <w:rPr>
          <w:rFonts w:cs="Arial"/>
        </w:rPr>
        <w:t>Les procédures</w:t>
      </w:r>
      <w:bookmarkEnd w:id="4"/>
      <w:r w:rsidRPr="00B43DCA">
        <w:rPr>
          <w:rFonts w:cs="Arial"/>
        </w:rPr>
        <w:t xml:space="preserve"> </w:t>
      </w:r>
    </w:p>
    <w:p w14:paraId="553D30A3" w14:textId="2714FFED" w:rsidR="00416A7B" w:rsidRDefault="00416A7B" w:rsidP="00D26929">
      <w:pPr>
        <w:pStyle w:val="Paragrdouble"/>
        <w:spacing w:line="240" w:lineRule="auto"/>
      </w:pPr>
      <w:r>
        <w:t>L</w:t>
      </w:r>
      <w:r w:rsidR="00221C81">
        <w:t>e</w:t>
      </w:r>
      <w:r>
        <w:t xml:space="preserve"> tir groupé des demandeurs vise la Ville et le gouvernement du Québec. </w:t>
      </w:r>
    </w:p>
    <w:p w14:paraId="0AB5033C" w14:textId="4751EE77" w:rsidR="00841AA3" w:rsidRDefault="00841AA3" w:rsidP="00841AA3">
      <w:pPr>
        <w:pStyle w:val="Titre4"/>
      </w:pPr>
      <w:bookmarkStart w:id="5" w:name="_Toc124755333"/>
      <w:r>
        <w:lastRenderedPageBreak/>
        <w:t xml:space="preserve">Conclusions recherchées </w:t>
      </w:r>
      <w:r w:rsidR="00082BC5">
        <w:t>à l’en</w:t>
      </w:r>
      <w:r>
        <w:t>contre</w:t>
      </w:r>
      <w:r w:rsidR="00082BC5">
        <w:t xml:space="preserve"> de</w:t>
      </w:r>
      <w:r>
        <w:t xml:space="preserve"> la Ville de Québec</w:t>
      </w:r>
      <w:bookmarkEnd w:id="5"/>
    </w:p>
    <w:p w14:paraId="0C3C984A" w14:textId="68BBB814" w:rsidR="00841AA3" w:rsidRDefault="00841AA3" w:rsidP="00841AA3">
      <w:pPr>
        <w:pStyle w:val="Paragrdouble"/>
        <w:spacing w:line="240" w:lineRule="auto"/>
      </w:pPr>
      <w:r>
        <w:t>En ce qui regarde la Ville, les demandeurs lui reprochent </w:t>
      </w:r>
      <w:r w:rsidR="00A707B5">
        <w:t>les faits suivants</w:t>
      </w:r>
      <w:r>
        <w:t>:</w:t>
      </w:r>
    </w:p>
    <w:p w14:paraId="3B9A48AE" w14:textId="6AAC1627" w:rsidR="00841AA3" w:rsidRDefault="00FA1B9C" w:rsidP="00FF402E">
      <w:pPr>
        <w:pStyle w:val="Sous-paragraphe"/>
        <w:numPr>
          <w:ilvl w:val="0"/>
          <w:numId w:val="17"/>
        </w:numPr>
      </w:pPr>
      <w:r>
        <w:t>D’avoir</w:t>
      </w:r>
      <w:r w:rsidR="00841AA3">
        <w:t xml:space="preserve"> illégalement adopté le règlement d’urbanisme </w:t>
      </w:r>
      <w:r w:rsidR="6D50FA7C" w:rsidRPr="08ECA469">
        <w:rPr>
          <w:i/>
          <w:iCs/>
        </w:rPr>
        <w:t>Règlement de l’agglomération sur la réalisation d’un projet de tramway,</w:t>
      </w:r>
      <w:r w:rsidR="00841AA3">
        <w:t xml:space="preserve"> R.A.V.Q. 1349 en vertu d’une disposition législative de la </w:t>
      </w:r>
      <w:r w:rsidR="00841AA3" w:rsidRPr="0081528F">
        <w:rPr>
          <w:i/>
          <w:iCs/>
        </w:rPr>
        <w:t>Charte de la Ville de Québec</w:t>
      </w:r>
      <w:r w:rsidR="00841AA3">
        <w:rPr>
          <w:i/>
          <w:iCs/>
        </w:rPr>
        <w:t>, capitale nationale du Québec</w:t>
      </w:r>
      <w:r w:rsidR="00841AA3" w:rsidRPr="0003253A">
        <w:rPr>
          <w:rStyle w:val="Appelnotedebasdep"/>
        </w:rPr>
        <w:footnoteReference w:id="11"/>
      </w:r>
      <w:r w:rsidR="00841AA3">
        <w:t xml:space="preserve"> (</w:t>
      </w:r>
      <w:r w:rsidR="00841AA3" w:rsidRPr="0003253A">
        <w:t>Charte de la Ville</w:t>
      </w:r>
      <w:r w:rsidR="00841AA3">
        <w:t>) qui ne l’habilite pas à ce faire</w:t>
      </w:r>
      <w:r w:rsidR="005C0A4F">
        <w:t xml:space="preserve">. </w:t>
      </w:r>
      <w:r w:rsidR="005C0A4F" w:rsidRPr="001625DA">
        <w:t>Le remède recherché est une déclaration d’inopérabilité</w:t>
      </w:r>
      <w:r w:rsidR="00FE0B5A">
        <w:t>, à défaut de nullité</w:t>
      </w:r>
      <w:r w:rsidR="00841AA3">
        <w:t>;</w:t>
      </w:r>
    </w:p>
    <w:p w14:paraId="44B1D3DA" w14:textId="21D17B1E" w:rsidR="007C1D7C" w:rsidRDefault="0075104E" w:rsidP="00FF402E">
      <w:pPr>
        <w:pStyle w:val="Sous-paragraphe"/>
        <w:numPr>
          <w:ilvl w:val="0"/>
          <w:numId w:val="17"/>
        </w:numPr>
      </w:pPr>
      <w:r>
        <w:t xml:space="preserve">D’avoir </w:t>
      </w:r>
      <w:r w:rsidR="006F4618">
        <w:t>illégalement a</w:t>
      </w:r>
      <w:r>
        <w:t xml:space="preserve">dopté </w:t>
      </w:r>
      <w:r w:rsidR="00E21999">
        <w:t xml:space="preserve">le </w:t>
      </w:r>
      <w:r w:rsidR="3B64E808">
        <w:t>r</w:t>
      </w:r>
      <w:r w:rsidR="00E21999">
        <w:t xml:space="preserve">èglement R.V.Q. 2705 </w:t>
      </w:r>
      <w:r w:rsidR="3AA9AE3C">
        <w:t>édictant</w:t>
      </w:r>
      <w:r w:rsidR="00E21999">
        <w:t xml:space="preserve"> la </w:t>
      </w:r>
      <w:r w:rsidR="00E21999">
        <w:rPr>
          <w:i/>
          <w:iCs/>
        </w:rPr>
        <w:t>Politique de participation publique de la Ville de Qué</w:t>
      </w:r>
      <w:r w:rsidR="0073681D">
        <w:rPr>
          <w:i/>
          <w:iCs/>
        </w:rPr>
        <w:t>b</w:t>
      </w:r>
      <w:r w:rsidR="00E21999">
        <w:rPr>
          <w:i/>
          <w:iCs/>
        </w:rPr>
        <w:t>ec</w:t>
      </w:r>
      <w:r w:rsidR="0073681D">
        <w:t xml:space="preserve"> </w:t>
      </w:r>
      <w:r w:rsidR="006F4618">
        <w:t xml:space="preserve">et ne pas l’avoir respecté afin de contourner la nécessité de tenir un référendum sur </w:t>
      </w:r>
      <w:r w:rsidR="0060616C">
        <w:t xml:space="preserve">le projet </w:t>
      </w:r>
      <w:r w:rsidR="006F4618">
        <w:t>d</w:t>
      </w:r>
      <w:r w:rsidR="0060616C">
        <w:t>e</w:t>
      </w:r>
      <w:r w:rsidR="006F4618">
        <w:t xml:space="preserve"> tramway</w:t>
      </w:r>
      <w:r w:rsidR="007A46CA">
        <w:t>.</w:t>
      </w:r>
      <w:r w:rsidR="007A46CA" w:rsidRPr="007A46CA">
        <w:t xml:space="preserve"> </w:t>
      </w:r>
      <w:r w:rsidR="007A46CA" w:rsidRPr="001625DA">
        <w:t>Le remède recherché est une déclaration d’inopérabilité</w:t>
      </w:r>
      <w:r w:rsidR="00FE0B5A">
        <w:t>, à défaut de nullité</w:t>
      </w:r>
      <w:r w:rsidR="00082BC5">
        <w:t>;</w:t>
      </w:r>
    </w:p>
    <w:p w14:paraId="4184C2EF" w14:textId="7A847539" w:rsidR="001447F2" w:rsidRDefault="001447F2" w:rsidP="001447F2">
      <w:pPr>
        <w:pStyle w:val="Sous-paragraphe"/>
        <w:numPr>
          <w:ilvl w:val="0"/>
          <w:numId w:val="17"/>
        </w:numPr>
      </w:pPr>
      <w:r>
        <w:t>De ne pas avoir la légitimité politique de réaliser ce projet alors que les élus ont traversé des campagnes électorales en évoquant la possibilité d’imposer des conditions à la réalisation de ce projet, ou pire, en se prononçant contre ce projet. Et par conséquence</w:t>
      </w:r>
      <w:r w:rsidR="00640A6C">
        <w:t xml:space="preserve"> à cela et aux conclusions précédentes recherchées,</w:t>
      </w:r>
      <w:r>
        <w:t xml:space="preserve"> </w:t>
      </w:r>
      <w:r w:rsidR="008760F3">
        <w:t>l</w:t>
      </w:r>
      <w:r>
        <w:t>e remède recherché est un de déclaration d’illégalité du projet ou une déclaration afin d’imposer la tenue d’un référendum</w:t>
      </w:r>
      <w:r w:rsidR="00082BC5">
        <w:t>.</w:t>
      </w:r>
    </w:p>
    <w:p w14:paraId="145915D8" w14:textId="77777777" w:rsidR="0061105D" w:rsidRDefault="00C704C9" w:rsidP="0061105D">
      <w:pPr>
        <w:pStyle w:val="Paragrdouble"/>
        <w:spacing w:line="240" w:lineRule="auto"/>
      </w:pPr>
      <w:r>
        <w:t>De manière subsidiaire, les demandeurs désirent que le Tribunal déclare illégal « le projet actuel de tramway à Québec avec un tracé qui emprunte le Boulevard René-Lévesque notamment ».</w:t>
      </w:r>
      <w:r w:rsidR="0061105D" w:rsidRPr="0061105D">
        <w:t xml:space="preserve"> </w:t>
      </w:r>
    </w:p>
    <w:p w14:paraId="736D20F2" w14:textId="0E012885" w:rsidR="00C704C9" w:rsidRDefault="0061105D" w:rsidP="0061105D">
      <w:pPr>
        <w:pStyle w:val="Paragrdouble"/>
        <w:spacing w:line="240" w:lineRule="auto"/>
      </w:pPr>
      <w:r>
        <w:t xml:space="preserve">Leur demande d’injonction vise à faire cesser tous les travaux relatifs à la mise en chantier et à la construction du projet de tramway jusqu’à la tenue d’un référendum décisif ou, à défaut, consultatif ou, à défaut « </w:t>
      </w:r>
      <w:r w:rsidRPr="00203098">
        <w:t>jusqu’à ce que les défendeurs se soumettent à une étude comparative des moyens de transport collectif incluant le tramway, le métro léger et le bus électrique intelligent ».</w:t>
      </w:r>
    </w:p>
    <w:p w14:paraId="44689296" w14:textId="34677DAE" w:rsidR="002141F3" w:rsidRDefault="002141F3" w:rsidP="002141F3">
      <w:pPr>
        <w:pStyle w:val="Titre4"/>
      </w:pPr>
      <w:bookmarkStart w:id="6" w:name="_Toc124755334"/>
      <w:r>
        <w:t>Conclusions recherchées à l’encontre du gouvernement du Québec</w:t>
      </w:r>
      <w:bookmarkEnd w:id="6"/>
    </w:p>
    <w:p w14:paraId="2FB5C94C" w14:textId="53CC5410" w:rsidR="006510DC" w:rsidRDefault="006673D1" w:rsidP="00FD6EB6">
      <w:pPr>
        <w:pStyle w:val="Paragrdouble"/>
        <w:spacing w:line="240" w:lineRule="auto"/>
      </w:pPr>
      <w:r>
        <w:t>E</w:t>
      </w:r>
      <w:r w:rsidR="0058220D">
        <w:t xml:space="preserve">n ce qui regarde </w:t>
      </w:r>
      <w:r w:rsidR="001C004D">
        <w:t>l’état québécois, les demandeurs lui reprochent</w:t>
      </w:r>
      <w:r w:rsidR="004701BA">
        <w:t> :</w:t>
      </w:r>
    </w:p>
    <w:p w14:paraId="5C0C3A09" w14:textId="01D1FC50" w:rsidR="000D48EA" w:rsidRDefault="000D48EA" w:rsidP="00FF402E">
      <w:pPr>
        <w:pStyle w:val="Sous-paragraphe"/>
        <w:numPr>
          <w:ilvl w:val="0"/>
          <w:numId w:val="18"/>
        </w:numPr>
      </w:pPr>
      <w:r>
        <w:t xml:space="preserve">D’avoir adopté l’article 7 (2) et 7 </w:t>
      </w:r>
      <w:r>
        <w:rPr>
          <w:i/>
          <w:iCs/>
        </w:rPr>
        <w:t>in fine</w:t>
      </w:r>
      <w:r>
        <w:t xml:space="preserve"> </w:t>
      </w:r>
      <w:r w:rsidRPr="00D764BC">
        <w:t>LRSVQ</w:t>
      </w:r>
      <w:r>
        <w:t xml:space="preserve"> qui contrevient à la </w:t>
      </w:r>
      <w:r w:rsidRPr="000D48EA">
        <w:rPr>
          <w:i/>
          <w:iCs/>
        </w:rPr>
        <w:t>Loi constitutionnelle de 1867</w:t>
      </w:r>
      <w:r>
        <w:t xml:space="preserve">, laquelle attribue des pouvoirs à la Cour supérieure. La LRSVQ les lui retirerait illégalement. </w:t>
      </w:r>
      <w:bookmarkStart w:id="7" w:name="_Hlk121647132"/>
      <w:r>
        <w:t xml:space="preserve">De plus, ces passages de l’article 7 contreviendraient à plusieurs dispositions des </w:t>
      </w:r>
      <w:r w:rsidRPr="00603EFB">
        <w:t xml:space="preserve">Chartes canadienne </w:t>
      </w:r>
      <w:r w:rsidRPr="009C14BD">
        <w:t>et</w:t>
      </w:r>
      <w:r w:rsidRPr="00603EFB">
        <w:t xml:space="preserve"> </w:t>
      </w:r>
      <w:r w:rsidRPr="00603EFB">
        <w:lastRenderedPageBreak/>
        <w:t>québécoise</w:t>
      </w:r>
      <w:r>
        <w:rPr>
          <w:rStyle w:val="Appelnotedebasdep"/>
        </w:rPr>
        <w:footnoteReference w:id="12"/>
      </w:r>
      <w:r>
        <w:t xml:space="preserve">. Le recours en est un en déclaration </w:t>
      </w:r>
      <w:r w:rsidR="00523A5A">
        <w:t>d’inopérabilité</w:t>
      </w:r>
      <w:r w:rsidR="00347FDF">
        <w:t xml:space="preserve"> et d’i</w:t>
      </w:r>
      <w:r>
        <w:t>nconstitutionnalité</w:t>
      </w:r>
      <w:bookmarkEnd w:id="7"/>
      <w:r>
        <w:t>;</w:t>
      </w:r>
    </w:p>
    <w:p w14:paraId="1227C879" w14:textId="07E55E1D" w:rsidR="000D48EA" w:rsidRDefault="000D48EA" w:rsidP="00FF402E">
      <w:pPr>
        <w:pStyle w:val="Sous-paragraphe"/>
        <w:numPr>
          <w:ilvl w:val="0"/>
          <w:numId w:val="18"/>
        </w:numPr>
      </w:pPr>
      <w:r>
        <w:t xml:space="preserve">D’avoir illégalement adopté l’article 19.7 LQE car il retirerait des pouvoirs à la Cour supérieure en matière de respect de l’environnement. Le recours en est un en déclaration </w:t>
      </w:r>
      <w:r w:rsidR="00450C3B">
        <w:t xml:space="preserve">d’inopérabilité et </w:t>
      </w:r>
      <w:r>
        <w:t>d’inconstitutionnalité;</w:t>
      </w:r>
    </w:p>
    <w:p w14:paraId="485962E3" w14:textId="4BDB4239" w:rsidR="007B67B0" w:rsidRDefault="007B67B0" w:rsidP="00FF402E">
      <w:pPr>
        <w:pStyle w:val="Sous-paragraphe"/>
        <w:numPr>
          <w:ilvl w:val="0"/>
          <w:numId w:val="18"/>
        </w:numPr>
      </w:pPr>
      <w:r>
        <w:t>D’avoir adopté le 6 avril 2022 les décrets 655-2022 et 662-2022</w:t>
      </w:r>
      <w:r>
        <w:rPr>
          <w:rStyle w:val="Appelnotedebasdep"/>
        </w:rPr>
        <w:footnoteReference w:id="13"/>
      </w:r>
      <w:r w:rsidR="009C6EAB">
        <w:t>.</w:t>
      </w:r>
      <w:r>
        <w:t xml:space="preserve"> </w:t>
      </w:r>
      <w:r w:rsidR="009C6EAB">
        <w:t>L</w:t>
      </w:r>
      <w:r>
        <w:t xml:space="preserve">e Conseil des ministres </w:t>
      </w:r>
      <w:r w:rsidR="009C6EAB">
        <w:t xml:space="preserve">aurait </w:t>
      </w:r>
      <w:r>
        <w:t xml:space="preserve">abusé de son pouvoir discrétionnaire et agi de manière excessive et déraisonnable, notamment en </w:t>
      </w:r>
      <w:r w:rsidR="00975D92">
        <w:t>allant</w:t>
      </w:r>
      <w:r>
        <w:t xml:space="preserve"> à l’encontre des recommandations du B</w:t>
      </w:r>
      <w:r w:rsidR="006673D1">
        <w:t>APE</w:t>
      </w:r>
      <w:r>
        <w:t xml:space="preserve">. </w:t>
      </w:r>
      <w:r w:rsidR="00FF092D">
        <w:t>De</w:t>
      </w:r>
      <w:r w:rsidR="00D42D62">
        <w:t xml:space="preserve"> </w:t>
      </w:r>
      <w:r w:rsidR="00FF092D">
        <w:t>plus</w:t>
      </w:r>
      <w:r w:rsidR="00D42D62">
        <w:t>, l</w:t>
      </w:r>
      <w:r w:rsidR="00FF092D">
        <w:t xml:space="preserve">e </w:t>
      </w:r>
      <w:r w:rsidR="00FF092D" w:rsidRPr="00FF092D">
        <w:rPr>
          <w:i/>
          <w:iCs/>
        </w:rPr>
        <w:t>Règlement sur les exemptions de publications intégrales des décrets</w:t>
      </w:r>
      <w:r w:rsidR="00FF092D" w:rsidRPr="003B6F58">
        <w:rPr>
          <w:rStyle w:val="Appelnotedebasdep"/>
        </w:rPr>
        <w:footnoteReference w:id="14"/>
      </w:r>
      <w:r w:rsidR="00FF092D">
        <w:t xml:space="preserve"> n’a</w:t>
      </w:r>
      <w:r w:rsidR="00D42D62">
        <w:t>urait</w:t>
      </w:r>
      <w:r w:rsidR="00FF092D">
        <w:t xml:space="preserve"> pas été respecté. </w:t>
      </w:r>
      <w:r w:rsidR="00975D92">
        <w:t>L</w:t>
      </w:r>
      <w:r>
        <w:t>a nullité</w:t>
      </w:r>
      <w:r w:rsidR="00975D92">
        <w:t xml:space="preserve"> du décret 655-2022</w:t>
      </w:r>
      <w:r>
        <w:t xml:space="preserve"> est recherchée;</w:t>
      </w:r>
    </w:p>
    <w:p w14:paraId="6F99BD3F" w14:textId="57843C75" w:rsidR="004701BA" w:rsidRPr="001625DA" w:rsidRDefault="00AE4772" w:rsidP="00FF402E">
      <w:pPr>
        <w:pStyle w:val="Sous-paragraphe"/>
        <w:numPr>
          <w:ilvl w:val="0"/>
          <w:numId w:val="18"/>
        </w:numPr>
      </w:pPr>
      <w:r w:rsidRPr="001625DA">
        <w:t>D</w:t>
      </w:r>
      <w:r w:rsidR="003E45F5" w:rsidRPr="001625DA">
        <w:t>’avoir illégalement adopté</w:t>
      </w:r>
      <w:r w:rsidR="004701BA" w:rsidRPr="001625DA">
        <w:t xml:space="preserve"> l’article 74.5.2. de la </w:t>
      </w:r>
      <w:r w:rsidR="004701BA" w:rsidRPr="003B6F58">
        <w:t>Charte de la Ville</w:t>
      </w:r>
      <w:r w:rsidR="007F3B35" w:rsidRPr="001625DA">
        <w:rPr>
          <w:i/>
          <w:iCs/>
        </w:rPr>
        <w:t xml:space="preserve">. </w:t>
      </w:r>
      <w:r w:rsidR="001625DA" w:rsidRPr="001625DA">
        <w:t>Le remède recherché est une déclaration d’inopérabilité</w:t>
      </w:r>
      <w:r w:rsidR="004701BA" w:rsidRPr="001625DA">
        <w:t>;</w:t>
      </w:r>
    </w:p>
    <w:p w14:paraId="3080D9C0" w14:textId="18D243F6" w:rsidR="006A139D" w:rsidRPr="00820AAA" w:rsidRDefault="003F5A43" w:rsidP="00FF402E">
      <w:pPr>
        <w:pStyle w:val="Sous-paragraphe"/>
        <w:numPr>
          <w:ilvl w:val="0"/>
          <w:numId w:val="18"/>
        </w:numPr>
      </w:pPr>
      <w:r w:rsidRPr="08ECA469">
        <w:t xml:space="preserve">D’avoir </w:t>
      </w:r>
      <w:r w:rsidR="0087762A" w:rsidRPr="08ECA469">
        <w:t>illégalement adopté</w:t>
      </w:r>
      <w:r w:rsidR="006A139D" w:rsidRPr="00820AAA">
        <w:rPr>
          <w:szCs w:val="24"/>
        </w:rPr>
        <w:t xml:space="preserve"> </w:t>
      </w:r>
      <w:r w:rsidR="006212AF" w:rsidRPr="08ECA469">
        <w:rPr>
          <w:rFonts w:cs="Arial"/>
        </w:rPr>
        <w:t xml:space="preserve">l’article 4 de la </w:t>
      </w:r>
      <w:r w:rsidR="006212AF" w:rsidRPr="08ECA469">
        <w:rPr>
          <w:rFonts w:eastAsia="Arial" w:cs="Arial"/>
          <w:i/>
          <w:color w:val="000000"/>
        </w:rPr>
        <w:t>Loi visant principalement à reconnaître que les municipalités sont des gouvernements de proximité et à augmenter à ce titre leur autonomie et leurs pouvoirs</w:t>
      </w:r>
      <w:r w:rsidR="002811F0" w:rsidRPr="003B6F58">
        <w:rPr>
          <w:rStyle w:val="Appelnotedebasdep"/>
          <w:rFonts w:eastAsia="Arial" w:cs="Arial"/>
          <w:color w:val="000000"/>
        </w:rPr>
        <w:footnoteReference w:id="15"/>
      </w:r>
      <w:r w:rsidR="000237F3" w:rsidRPr="08ECA469">
        <w:rPr>
          <w:rFonts w:eastAsia="Arial" w:cs="Arial"/>
          <w:i/>
          <w:color w:val="000000"/>
        </w:rPr>
        <w:t>,</w:t>
      </w:r>
      <w:r w:rsidR="00FB0A38" w:rsidRPr="08ECA469">
        <w:rPr>
          <w:rFonts w:eastAsia="Arial" w:cs="Arial"/>
          <w:color w:val="000000"/>
        </w:rPr>
        <w:t xml:space="preserve"> </w:t>
      </w:r>
      <w:r w:rsidR="00DA70A3" w:rsidRPr="08ECA469">
        <w:rPr>
          <w:rFonts w:eastAsia="Arial" w:cs="Arial"/>
          <w:color w:val="000000"/>
        </w:rPr>
        <w:t>limitant ainsi les droits démocratiques des demandeur</w:t>
      </w:r>
      <w:r w:rsidR="003720C6" w:rsidRPr="08ECA469">
        <w:rPr>
          <w:rFonts w:eastAsia="Arial" w:cs="Arial"/>
          <w:color w:val="000000"/>
        </w:rPr>
        <w:t xml:space="preserve">s. </w:t>
      </w:r>
      <w:r w:rsidR="003720C6" w:rsidRPr="001625DA">
        <w:t>Le remède recherché est une déclaration d’inopérabilité;</w:t>
      </w:r>
    </w:p>
    <w:p w14:paraId="19B89D27" w14:textId="04C01D92" w:rsidR="00965124" w:rsidRDefault="007F2A20" w:rsidP="00FF402E">
      <w:pPr>
        <w:pStyle w:val="Sous-paragraphe"/>
        <w:numPr>
          <w:ilvl w:val="0"/>
          <w:numId w:val="18"/>
        </w:numPr>
      </w:pPr>
      <w:r w:rsidRPr="005C3059">
        <w:t>D’avoir illégalement adopté</w:t>
      </w:r>
      <w:r w:rsidR="00965124" w:rsidRPr="005C3059">
        <w:t xml:space="preserve"> le </w:t>
      </w:r>
      <w:r w:rsidR="00965124" w:rsidRPr="005C3059">
        <w:rPr>
          <w:i/>
          <w:iCs/>
        </w:rPr>
        <w:t>Règlement de participation publique en matière d’aménagement et d’urbanisme</w:t>
      </w:r>
      <w:r w:rsidR="00965124" w:rsidRPr="005C3059">
        <w:rPr>
          <w:rStyle w:val="Appelnotedebasdep"/>
        </w:rPr>
        <w:footnoteReference w:id="16"/>
      </w:r>
      <w:r w:rsidR="00D446F7" w:rsidRPr="005C3059">
        <w:rPr>
          <w:iCs/>
        </w:rPr>
        <w:t xml:space="preserve"> , allant ainsi à l’encontre des droits démocratiques des demandeurs.</w:t>
      </w:r>
      <w:r w:rsidR="003720C6" w:rsidRPr="003720C6">
        <w:t xml:space="preserve"> </w:t>
      </w:r>
      <w:r w:rsidR="003720C6" w:rsidRPr="001625DA">
        <w:t>Le remède recherché est une déclaration d’inopérabilité</w:t>
      </w:r>
      <w:r w:rsidR="003720C6">
        <w:t>.</w:t>
      </w:r>
    </w:p>
    <w:p w14:paraId="12F698F0" w14:textId="3352E0A9" w:rsidR="00F4382C" w:rsidRPr="005C3059" w:rsidRDefault="009C31D3" w:rsidP="00FF402E">
      <w:pPr>
        <w:pStyle w:val="Sous-paragraphe"/>
        <w:numPr>
          <w:ilvl w:val="0"/>
          <w:numId w:val="18"/>
        </w:numPr>
      </w:pPr>
      <w:r>
        <w:t xml:space="preserve">Subsidiairement à </w:t>
      </w:r>
      <w:r w:rsidR="00AA276B">
        <w:t>toutes c</w:t>
      </w:r>
      <w:r>
        <w:t>es déclarations d’inopérabilité</w:t>
      </w:r>
      <w:r w:rsidR="00497EEB">
        <w:t xml:space="preserve">, les demandeurs </w:t>
      </w:r>
      <w:r w:rsidR="002911D5">
        <w:t>désirent que ces dispositions soient déclarées nu</w:t>
      </w:r>
      <w:r w:rsidR="00422517">
        <w:t>lles</w:t>
      </w:r>
      <w:r w:rsidR="00AA276B">
        <w:t>.</w:t>
      </w:r>
    </w:p>
    <w:p w14:paraId="3BDEBE54" w14:textId="67CE0D12" w:rsidR="000A5BAF" w:rsidRDefault="000A5BAF" w:rsidP="000A5BAF">
      <w:pPr>
        <w:pStyle w:val="Titre4"/>
      </w:pPr>
      <w:bookmarkStart w:id="8" w:name="_Toc124755335"/>
      <w:r>
        <w:t>Position des défendeurs et du mis en cause</w:t>
      </w:r>
      <w:bookmarkEnd w:id="8"/>
    </w:p>
    <w:p w14:paraId="287F2004" w14:textId="69FAEFD6" w:rsidR="00F53AC7" w:rsidRDefault="00B43DCA" w:rsidP="00D26929">
      <w:pPr>
        <w:pStyle w:val="Paragrdouble"/>
        <w:spacing w:line="240" w:lineRule="auto"/>
      </w:pPr>
      <w:r>
        <w:t>Non seulement les parties défenderesses contestent-elles la position des demandeurs</w:t>
      </w:r>
      <w:r w:rsidR="00666B04">
        <w:t>, affirmant qu’elles ont agi légalement</w:t>
      </w:r>
      <w:r>
        <w:t>, mais il y a lieu de retenir que le P</w:t>
      </w:r>
      <w:r w:rsidR="6AD66054">
        <w:t>GQ</w:t>
      </w:r>
      <w:r w:rsidR="00FD7E97">
        <w:t xml:space="preserve"> </w:t>
      </w:r>
      <w:r>
        <w:t xml:space="preserve"> </w:t>
      </w:r>
      <w:r>
        <w:lastRenderedPageBreak/>
        <w:t xml:space="preserve">conteste l’action en nullité </w:t>
      </w:r>
      <w:r w:rsidR="000E7C01">
        <w:t>à l</w:t>
      </w:r>
      <w:r w:rsidR="00C1333D">
        <w:t>’en</w:t>
      </w:r>
      <w:r w:rsidR="000E7C01">
        <w:t>contre du</w:t>
      </w:r>
      <w:r w:rsidR="00C1333D">
        <w:t xml:space="preserve"> décret 655-2022 </w:t>
      </w:r>
      <w:r>
        <w:t xml:space="preserve">soutenant que les demandeurs ont tardé à intenter leur recours et qu’ils devraient être déboutés </w:t>
      </w:r>
      <w:r w:rsidR="00C1333D">
        <w:t>quant à cet aspect</w:t>
      </w:r>
      <w:r>
        <w:t>.</w:t>
      </w:r>
    </w:p>
    <w:p w14:paraId="73C0EE2F" w14:textId="77777777" w:rsidR="00FE598C" w:rsidRDefault="00FE598C" w:rsidP="00FE598C">
      <w:pPr>
        <w:pStyle w:val="Paragrdouble"/>
        <w:spacing w:line="240" w:lineRule="auto"/>
      </w:pPr>
      <w:r>
        <w:t>Les défendeurs prétendent que les demandeurs recherchent une solution qui ne relève pas de la juridiction du Tribunal, savoir qu’il ne peut se substituer à une décision de nature politique ou d’opportunité.</w:t>
      </w:r>
    </w:p>
    <w:p w14:paraId="3B289FFC" w14:textId="4E69AC2C" w:rsidR="00281752" w:rsidRDefault="00281752" w:rsidP="00D26929">
      <w:pPr>
        <w:pStyle w:val="Paragrdouble"/>
        <w:spacing w:line="240" w:lineRule="auto"/>
      </w:pPr>
      <w:r>
        <w:t>Le mis en cause</w:t>
      </w:r>
      <w:r w:rsidR="00D212D9">
        <w:t xml:space="preserve"> est interpellé à ce titre par les demandeurs puisqu’il contribuera</w:t>
      </w:r>
      <w:r w:rsidR="00DA3380">
        <w:t>it financièrement à ce projet.</w:t>
      </w:r>
      <w:r w:rsidR="00782E39">
        <w:t xml:space="preserve"> Le mis en cause </w:t>
      </w:r>
      <w:r w:rsidR="00DB05E6">
        <w:t>a été présent à toutes les étapes de ce dossier mais n’</w:t>
      </w:r>
      <w:r w:rsidR="007C05B2">
        <w:t>est pas intervenu.</w:t>
      </w:r>
    </w:p>
    <w:p w14:paraId="409D5F0F" w14:textId="04A16CCF" w:rsidR="00640E9F" w:rsidRDefault="00640E9F" w:rsidP="00D26929">
      <w:pPr>
        <w:pStyle w:val="Paragrdouble"/>
        <w:spacing w:line="240" w:lineRule="auto"/>
      </w:pPr>
      <w:r>
        <w:t xml:space="preserve">Les demandeurs poursuivent le </w:t>
      </w:r>
      <w:r w:rsidR="0A6C2677">
        <w:t>c</w:t>
      </w:r>
      <w:r>
        <w:t xml:space="preserve">onseil d’agglomération. </w:t>
      </w:r>
      <w:r w:rsidR="00F63827">
        <w:t xml:space="preserve">Au même titre que le conseil </w:t>
      </w:r>
      <w:r w:rsidR="0B8D362A">
        <w:t>de la ville</w:t>
      </w:r>
      <w:r w:rsidR="00553D16">
        <w:t>, c</w:t>
      </w:r>
      <w:r>
        <w:t>e dernier n’a pas de personnalité juridique</w:t>
      </w:r>
      <w:r w:rsidR="00D2005C">
        <w:t>; il est intégré plus largement dans la personne morale Ville de Québec</w:t>
      </w:r>
      <w:r w:rsidR="007C05B2">
        <w:t>. I</w:t>
      </w:r>
      <w:r>
        <w:t xml:space="preserve">l n’est pas utile de statuer </w:t>
      </w:r>
      <w:r w:rsidR="00EE6827">
        <w:t xml:space="preserve">directement </w:t>
      </w:r>
      <w:r>
        <w:t>à son égard dans le cadre du présent jugement.</w:t>
      </w:r>
    </w:p>
    <w:p w14:paraId="261EEC9B" w14:textId="59C9F9E0" w:rsidR="00CE1CAF" w:rsidRDefault="008A4532" w:rsidP="00D26929">
      <w:pPr>
        <w:pStyle w:val="Titre2"/>
      </w:pPr>
      <w:bookmarkStart w:id="9" w:name="_Toc430945546"/>
      <w:bookmarkStart w:id="10" w:name="_Toc124755336"/>
      <w:r>
        <w:t>L’ANALYSE</w:t>
      </w:r>
      <w:bookmarkEnd w:id="9"/>
      <w:bookmarkEnd w:id="10"/>
    </w:p>
    <w:p w14:paraId="5B687B0D" w14:textId="0C713AD1" w:rsidR="0021001C" w:rsidRDefault="008E3051" w:rsidP="00A06856">
      <w:pPr>
        <w:pStyle w:val="Paragrdouble"/>
        <w:spacing w:line="240" w:lineRule="auto"/>
      </w:pPr>
      <w:r>
        <w:t>Plusieurs</w:t>
      </w:r>
      <w:r w:rsidR="00C95DA6">
        <w:t xml:space="preserve"> arguments soulevés par les demandeurs</w:t>
      </w:r>
      <w:r w:rsidR="00773E1E">
        <w:t xml:space="preserve"> se recoupent dans leurs documents de plaidoirie.</w:t>
      </w:r>
      <w:r>
        <w:t xml:space="preserve"> Le Tribunal les segmente afin de les analyser chacun en profondeur. Par exemple,</w:t>
      </w:r>
      <w:r w:rsidR="00F974EB">
        <w:t xml:space="preserve"> le droit des citoyens de s’adresser à la Cour supérieure pour contester le droit de l’expropriant se retrouve parfois </w:t>
      </w:r>
      <w:r w:rsidR="00677E98">
        <w:t>accolée</w:t>
      </w:r>
      <w:r w:rsidR="008D4DA2">
        <w:t xml:space="preserve"> à l’expression démocratique du citoyen</w:t>
      </w:r>
      <w:r w:rsidR="00E74655">
        <w:rPr>
          <w:rStyle w:val="Appelnotedebasdep"/>
        </w:rPr>
        <w:footnoteReference w:id="17"/>
      </w:r>
      <w:r w:rsidR="008D4DA2">
        <w:t>. Le Tribunal n’en fait pas un reproche à personne, mais pour les fins de ce jugement, il y a lieu</w:t>
      </w:r>
      <w:r w:rsidR="00F356C7">
        <w:t xml:space="preserve"> de procéder</w:t>
      </w:r>
      <w:r w:rsidR="00E74655">
        <w:t xml:space="preserve"> à une analyse minutieuse, argument par argument</w:t>
      </w:r>
      <w:r w:rsidR="00EE6827">
        <w:t> :</w:t>
      </w:r>
    </w:p>
    <w:p w14:paraId="6EEA0F15" w14:textId="14E999B0" w:rsidR="00EE6827" w:rsidRDefault="00EE6827" w:rsidP="00EE6827">
      <w:pPr>
        <w:pStyle w:val="Paragrdouble"/>
        <w:numPr>
          <w:ilvl w:val="0"/>
          <w:numId w:val="29"/>
        </w:numPr>
        <w:spacing w:line="240" w:lineRule="auto"/>
      </w:pPr>
      <w:r>
        <w:t>L’objection aux expertises;</w:t>
      </w:r>
    </w:p>
    <w:p w14:paraId="60B9BDFE" w14:textId="4F4879E7" w:rsidR="00EE6827" w:rsidRDefault="00EE6827" w:rsidP="00EE6827">
      <w:pPr>
        <w:pStyle w:val="Paragrdouble"/>
        <w:numPr>
          <w:ilvl w:val="0"/>
          <w:numId w:val="29"/>
        </w:numPr>
        <w:spacing w:line="240" w:lineRule="auto"/>
      </w:pPr>
      <w:r>
        <w:t xml:space="preserve">La demande </w:t>
      </w:r>
      <w:r w:rsidR="007F42FA">
        <w:t>de nullité</w:t>
      </w:r>
      <w:r>
        <w:t xml:space="preserve"> du décret 655-2022 et le délai pour l’introduire;</w:t>
      </w:r>
    </w:p>
    <w:p w14:paraId="4EEC3DC2" w14:textId="2275BBF8" w:rsidR="00EE6827" w:rsidRDefault="00EE6827" w:rsidP="00EE6827">
      <w:pPr>
        <w:pStyle w:val="Paragrdouble"/>
        <w:numPr>
          <w:ilvl w:val="0"/>
          <w:numId w:val="29"/>
        </w:numPr>
        <w:spacing w:line="240" w:lineRule="auto"/>
      </w:pPr>
      <w:r>
        <w:t xml:space="preserve">Le droit à l’injonction en vertu de la </w:t>
      </w:r>
      <w:r>
        <w:rPr>
          <w:i/>
          <w:iCs/>
        </w:rPr>
        <w:t>Loi sur la qualité de l’environnement</w:t>
      </w:r>
      <w:r>
        <w:t>;</w:t>
      </w:r>
    </w:p>
    <w:p w14:paraId="4839468D" w14:textId="1489F198" w:rsidR="00EE6827" w:rsidRDefault="00EE6827" w:rsidP="00EE6827">
      <w:pPr>
        <w:pStyle w:val="Paragrdouble"/>
        <w:numPr>
          <w:ilvl w:val="0"/>
          <w:numId w:val="29"/>
        </w:numPr>
        <w:spacing w:line="240" w:lineRule="auto"/>
      </w:pPr>
      <w:r>
        <w:t xml:space="preserve">Le droit à l’injonction pour faire cesser tous travaux relatifs au tramway à travers le prisme des </w:t>
      </w:r>
      <w:r w:rsidRPr="00F04F7A">
        <w:t>Chartes;</w:t>
      </w:r>
    </w:p>
    <w:p w14:paraId="5F50EA28" w14:textId="2BDAFA2B" w:rsidR="00EE6827" w:rsidRDefault="00EE6827" w:rsidP="00EE6827">
      <w:pPr>
        <w:pStyle w:val="Paragrdouble"/>
        <w:numPr>
          <w:ilvl w:val="0"/>
          <w:numId w:val="29"/>
        </w:numPr>
        <w:spacing w:line="240" w:lineRule="auto"/>
      </w:pPr>
      <w:r>
        <w:t>L’inconstitutionnalité de l’article 7 LRSVQ;</w:t>
      </w:r>
    </w:p>
    <w:p w14:paraId="0AA388AD" w14:textId="1E6BAD36" w:rsidR="00EE6827" w:rsidRDefault="004A6545" w:rsidP="00EE6827">
      <w:pPr>
        <w:pStyle w:val="Paragrdouble"/>
        <w:numPr>
          <w:ilvl w:val="0"/>
          <w:numId w:val="29"/>
        </w:numPr>
        <w:spacing w:line="240" w:lineRule="auto"/>
      </w:pPr>
      <w:r>
        <w:t xml:space="preserve">La contestation du règlement d’urbanisme </w:t>
      </w:r>
      <w:r w:rsidR="00082BC5">
        <w:t>1349 R.A.V.Q.</w:t>
      </w:r>
      <w:r>
        <w:t>;</w:t>
      </w:r>
    </w:p>
    <w:p w14:paraId="74975130" w14:textId="77777777" w:rsidR="00082BC5" w:rsidRPr="00EE6827" w:rsidRDefault="00082BC5" w:rsidP="00082BC5">
      <w:pPr>
        <w:pStyle w:val="Paragrdouble"/>
        <w:numPr>
          <w:ilvl w:val="0"/>
          <w:numId w:val="29"/>
        </w:numPr>
        <w:spacing w:line="240" w:lineRule="auto"/>
      </w:pPr>
      <w:r>
        <w:t xml:space="preserve">L’inconstitutionnalité de dispositions de la </w:t>
      </w:r>
      <w:r>
        <w:rPr>
          <w:i/>
          <w:iCs/>
        </w:rPr>
        <w:t xml:space="preserve">Loi sur l’aménagement et l’urbanisme </w:t>
      </w:r>
      <w:r>
        <w:t xml:space="preserve">et de la </w:t>
      </w:r>
      <w:r w:rsidRPr="00F04F7A">
        <w:t>Charte de la Ville</w:t>
      </w:r>
      <w:r>
        <w:rPr>
          <w:i/>
          <w:iCs/>
        </w:rPr>
        <w:t>;</w:t>
      </w:r>
    </w:p>
    <w:p w14:paraId="1FF007F0" w14:textId="5D356B4D" w:rsidR="004A6545" w:rsidRDefault="004A6545" w:rsidP="00EE6827">
      <w:pPr>
        <w:pStyle w:val="Paragrdouble"/>
        <w:numPr>
          <w:ilvl w:val="0"/>
          <w:numId w:val="29"/>
        </w:numPr>
        <w:spacing w:line="240" w:lineRule="auto"/>
      </w:pPr>
      <w:r>
        <w:lastRenderedPageBreak/>
        <w:t>Les violations des droits fondamentaux des demandeurs;</w:t>
      </w:r>
    </w:p>
    <w:p w14:paraId="656259F6" w14:textId="4ED2144B" w:rsidR="004A6545" w:rsidRDefault="004A6545" w:rsidP="00EE6827">
      <w:pPr>
        <w:pStyle w:val="Paragrdouble"/>
        <w:numPr>
          <w:ilvl w:val="0"/>
          <w:numId w:val="29"/>
        </w:numPr>
        <w:spacing w:line="240" w:lineRule="auto"/>
      </w:pPr>
      <w:r>
        <w:t>Les demandes de dommages-intérêts.</w:t>
      </w:r>
    </w:p>
    <w:p w14:paraId="12298F8B" w14:textId="2F8738D1" w:rsidR="00720890" w:rsidRDefault="000A2563" w:rsidP="00720890">
      <w:pPr>
        <w:pStyle w:val="Paragrdouble"/>
        <w:spacing w:line="240" w:lineRule="auto"/>
      </w:pPr>
      <w:r>
        <w:t xml:space="preserve">L’article 52 (1) de la Charte canadienne prescrit </w:t>
      </w:r>
      <w:r w:rsidR="003D7791">
        <w:t>qu’une règle de droit qui ir</w:t>
      </w:r>
      <w:r w:rsidR="006525F4">
        <w:t>a</w:t>
      </w:r>
      <w:r w:rsidR="003D7791">
        <w:t xml:space="preserve">it à l’encontre </w:t>
      </w:r>
      <w:r w:rsidR="001226B2">
        <w:t xml:space="preserve">d’une </w:t>
      </w:r>
      <w:r w:rsidR="005010B6">
        <w:t xml:space="preserve">de ses </w:t>
      </w:r>
      <w:r w:rsidR="001226B2">
        <w:t>dis</w:t>
      </w:r>
      <w:r w:rsidR="005010B6">
        <w:t>positions</w:t>
      </w:r>
      <w:r w:rsidR="005673C1">
        <w:t xml:space="preserve"> serait inopérant</w:t>
      </w:r>
      <w:r w:rsidR="007E04D5">
        <w:t xml:space="preserve">e. </w:t>
      </w:r>
      <w:r w:rsidR="00496542">
        <w:t>L</w:t>
      </w:r>
      <w:r w:rsidR="005E54EC">
        <w:t xml:space="preserve">es demandeurs </w:t>
      </w:r>
      <w:r w:rsidR="00C65419">
        <w:t xml:space="preserve">désirent que le Tribunal </w:t>
      </w:r>
      <w:r w:rsidR="00A04CA2">
        <w:t>conclu</w:t>
      </w:r>
      <w:r w:rsidR="00173A4B">
        <w:t>e</w:t>
      </w:r>
      <w:r w:rsidR="00A04CA2">
        <w:t xml:space="preserve"> subsidiairement à la nullité de ces dispositions. </w:t>
      </w:r>
      <w:r w:rsidR="00BA00D4">
        <w:t>L</w:t>
      </w:r>
      <w:r w:rsidR="00DB42CB">
        <w:t>e Tribunal conçoit difficilement qu’il pourrait conclure qu’une disposition</w:t>
      </w:r>
      <w:r w:rsidR="007C08FC">
        <w:t xml:space="preserve"> dans le présent dossier ne soit inopposable qu’à l’encontre des demandeurs uniquement. O</w:t>
      </w:r>
      <w:r w:rsidR="00BF0EE6">
        <w:t xml:space="preserve">u bien un article de loi ou un règlement est nul </w:t>
      </w:r>
      <w:r w:rsidR="005D0726">
        <w:t>pour l</w:t>
      </w:r>
      <w:r w:rsidR="006233BC">
        <w:t>’ensemble de la population</w:t>
      </w:r>
      <w:r w:rsidR="007E05E1">
        <w:t xml:space="preserve"> ou bien il ne l’est pas.</w:t>
      </w:r>
      <w:r w:rsidR="00DB42CB">
        <w:t xml:space="preserve"> </w:t>
      </w:r>
      <w:r w:rsidR="00781679">
        <w:t xml:space="preserve">Ces conclusions sont </w:t>
      </w:r>
      <w:r w:rsidR="009625EE">
        <w:t xml:space="preserve">donc </w:t>
      </w:r>
      <w:r w:rsidR="00781679">
        <w:t>traitées simultanément.</w:t>
      </w:r>
    </w:p>
    <w:p w14:paraId="1C13294A" w14:textId="7AAF51CF" w:rsidR="007D7CA2" w:rsidRDefault="008706F7" w:rsidP="00B43DCA">
      <w:pPr>
        <w:pStyle w:val="Titre3"/>
      </w:pPr>
      <w:bookmarkStart w:id="11" w:name="_Toc124755337"/>
      <w:r>
        <w:t>Les rapports d’expertise</w:t>
      </w:r>
      <w:bookmarkEnd w:id="11"/>
    </w:p>
    <w:p w14:paraId="740FDA46" w14:textId="5FD6826C" w:rsidR="002418A6" w:rsidRDefault="007D7CA2" w:rsidP="007D7CA2">
      <w:pPr>
        <w:pStyle w:val="Paragrdouble"/>
        <w:spacing w:line="240" w:lineRule="auto"/>
      </w:pPr>
      <w:r>
        <w:t xml:space="preserve">Les demandeurs ont </w:t>
      </w:r>
      <w:r w:rsidR="008201B5">
        <w:t>produit deux rapports d’expertise</w:t>
      </w:r>
      <w:r w:rsidR="001D2056">
        <w:t xml:space="preserve">, l’un </w:t>
      </w:r>
      <w:r w:rsidR="00BA5258">
        <w:t>de</w:t>
      </w:r>
      <w:r w:rsidR="001D2056">
        <w:t xml:space="preserve"> Madame Fanny Tremblay-Racicot et l’autre </w:t>
      </w:r>
      <w:r w:rsidR="00BA5258">
        <w:t>de</w:t>
      </w:r>
      <w:r w:rsidR="001D2056">
        <w:t xml:space="preserve"> Messieurs Clément Gosselin et Denis Poussart. </w:t>
      </w:r>
      <w:r w:rsidR="0089537F">
        <w:t>Les demandeurs ont f</w:t>
      </w:r>
      <w:r>
        <w:t xml:space="preserve">ait entendre </w:t>
      </w:r>
      <w:r w:rsidR="0089537F">
        <w:t>les</w:t>
      </w:r>
      <w:r>
        <w:t xml:space="preserve"> experts</w:t>
      </w:r>
      <w:r w:rsidR="0089537F">
        <w:t xml:space="preserve"> Tremblay-Racicot et Gosselin</w:t>
      </w:r>
      <w:r w:rsidR="00B744AD">
        <w:t xml:space="preserve">. </w:t>
      </w:r>
    </w:p>
    <w:p w14:paraId="43921C81" w14:textId="7737CBB2" w:rsidR="007D7CA2" w:rsidRDefault="002418A6" w:rsidP="007D7CA2">
      <w:pPr>
        <w:pStyle w:val="Paragrdouble"/>
        <w:spacing w:line="240" w:lineRule="auto"/>
      </w:pPr>
      <w:r>
        <w:t>Bien avant l’audition</w:t>
      </w:r>
      <w:r w:rsidR="0010798B">
        <w:t xml:space="preserve"> et dans les délais prescrits</w:t>
      </w:r>
      <w:r>
        <w:t>, l</w:t>
      </w:r>
      <w:r w:rsidR="00B744AD">
        <w:t xml:space="preserve">a Ville et le PGQ </w:t>
      </w:r>
      <w:r w:rsidR="00A33E0F">
        <w:t>ont</w:t>
      </w:r>
      <w:r w:rsidR="00B744AD">
        <w:t xml:space="preserve"> formulé une </w:t>
      </w:r>
      <w:r w:rsidR="00B8791D">
        <w:t xml:space="preserve">demande </w:t>
      </w:r>
      <w:r w:rsidR="0010798B">
        <w:t xml:space="preserve">écrite </w:t>
      </w:r>
      <w:r w:rsidR="00B8791D">
        <w:t>de</w:t>
      </w:r>
      <w:r w:rsidR="006261E5">
        <w:t xml:space="preserve"> rejet des expertises et une objection</w:t>
      </w:r>
      <w:r w:rsidR="00B744AD">
        <w:t xml:space="preserve"> </w:t>
      </w:r>
      <w:r w:rsidR="0A8FE383">
        <w:t>aux</w:t>
      </w:r>
      <w:r w:rsidR="00B744AD">
        <w:t xml:space="preserve"> témoignages</w:t>
      </w:r>
      <w:r w:rsidR="08B44C90">
        <w:t xml:space="preserve"> des auteurs</w:t>
      </w:r>
      <w:r w:rsidR="00615419">
        <w:t>.</w:t>
      </w:r>
    </w:p>
    <w:p w14:paraId="582B1F6A" w14:textId="6CA566AB" w:rsidR="002418A6" w:rsidRDefault="002418A6" w:rsidP="002418A6">
      <w:pPr>
        <w:pStyle w:val="Paragrdouble"/>
        <w:spacing w:line="240" w:lineRule="auto"/>
      </w:pPr>
      <w:r>
        <w:t>Pour faciliter un déroulement plus efficace de l’audience, le Tribunal a entendu</w:t>
      </w:r>
      <w:r w:rsidR="00637119">
        <w:t xml:space="preserve"> sous réserve</w:t>
      </w:r>
      <w:r>
        <w:t xml:space="preserve"> le témoignage de ces personnes sur leurs compétences et sur le contenu de leurs rapports. Il n’y </w:t>
      </w:r>
      <w:r w:rsidR="44F0D2CA">
        <w:t>a</w:t>
      </w:r>
      <w:r>
        <w:t xml:space="preserve"> eu</w:t>
      </w:r>
      <w:r w:rsidR="005F0CFA">
        <w:t>, à toutes fins pratiques, pas de contre-interrogatoire de ces deux experts.</w:t>
      </w:r>
    </w:p>
    <w:p w14:paraId="5D1F4757" w14:textId="213B8579" w:rsidR="005F0CFA" w:rsidRDefault="005F0CFA" w:rsidP="002418A6">
      <w:pPr>
        <w:pStyle w:val="Paragrdouble"/>
        <w:spacing w:line="240" w:lineRule="auto"/>
      </w:pPr>
      <w:r>
        <w:t>Les parties ont plaidé la demande de rejet d’expertise en même temps que le mérite</w:t>
      </w:r>
      <w:r w:rsidR="00DB4E8A">
        <w:t xml:space="preserve"> de cette affaire.</w:t>
      </w:r>
    </w:p>
    <w:p w14:paraId="4310CCDC" w14:textId="73846835" w:rsidR="00CF1842" w:rsidRDefault="00CF1842" w:rsidP="00DB4E8A">
      <w:pPr>
        <w:pStyle w:val="Titre4"/>
      </w:pPr>
      <w:bookmarkStart w:id="12" w:name="_Toc124755338"/>
      <w:r>
        <w:t>La demande de rejet des expertises</w:t>
      </w:r>
      <w:bookmarkEnd w:id="12"/>
      <w:r>
        <w:t xml:space="preserve"> </w:t>
      </w:r>
    </w:p>
    <w:p w14:paraId="76F61A88" w14:textId="54426EA8" w:rsidR="006F43CD" w:rsidRDefault="000553FA" w:rsidP="006F43CD">
      <w:pPr>
        <w:pStyle w:val="Paragrdouble"/>
        <w:spacing w:line="240" w:lineRule="auto"/>
      </w:pPr>
      <w:r>
        <w:t xml:space="preserve">En regard du rapport de Madame </w:t>
      </w:r>
      <w:r w:rsidR="47E64FDC">
        <w:t>Fanny</w:t>
      </w:r>
      <w:r>
        <w:t xml:space="preserve"> Tremblay-Racicot, l</w:t>
      </w:r>
      <w:r w:rsidR="006F43CD">
        <w:t>es parties défenderesses soutiennent que :</w:t>
      </w:r>
    </w:p>
    <w:p w14:paraId="5418A1E0" w14:textId="33876EB8" w:rsidR="00F35B44" w:rsidRDefault="00AB485D" w:rsidP="00A33E0F">
      <w:pPr>
        <w:pStyle w:val="Sous-paragraphe"/>
        <w:numPr>
          <w:ilvl w:val="0"/>
          <w:numId w:val="19"/>
        </w:numPr>
      </w:pPr>
      <w:r>
        <w:t>Madame Tremblay-Racicot se substitu</w:t>
      </w:r>
      <w:r w:rsidR="000553FA">
        <w:t>e</w:t>
      </w:r>
      <w:r>
        <w:t xml:space="preserve"> au Tribunal en déclarant</w:t>
      </w:r>
      <w:r w:rsidR="00F35B44">
        <w:t xml:space="preserve"> le tramway comme une solution déraisonnable, contraire à l’intérêt public et mal justifié</w:t>
      </w:r>
      <w:r w:rsidR="00E802D4">
        <w:t>e</w:t>
      </w:r>
      <w:r w:rsidR="00F35B44">
        <w:t>;</w:t>
      </w:r>
    </w:p>
    <w:p w14:paraId="605B257A" w14:textId="4A955377" w:rsidR="00AB62F8" w:rsidRDefault="00B52F8F" w:rsidP="00A33E0F">
      <w:pPr>
        <w:pStyle w:val="Sous-paragraphe"/>
        <w:numPr>
          <w:ilvl w:val="0"/>
          <w:numId w:val="19"/>
        </w:numPr>
      </w:pPr>
      <w:r>
        <w:t>Son</w:t>
      </w:r>
      <w:r w:rsidR="00F35B44">
        <w:t xml:space="preserve"> expertise n’est pas une opinion objective</w:t>
      </w:r>
      <w:r w:rsidR="00BC18A0">
        <w:t xml:space="preserve"> puisqu’elle est truffée d’affirmations chocs</w:t>
      </w:r>
      <w:r w:rsidR="00AB62F8">
        <w:t>;</w:t>
      </w:r>
    </w:p>
    <w:p w14:paraId="5A8B76BB" w14:textId="1D532326" w:rsidR="000B178E" w:rsidRDefault="00B52F8F" w:rsidP="00A33E0F">
      <w:pPr>
        <w:pStyle w:val="Sous-paragraphe"/>
        <w:numPr>
          <w:ilvl w:val="0"/>
          <w:numId w:val="19"/>
        </w:numPr>
      </w:pPr>
      <w:r>
        <w:t>Elle</w:t>
      </w:r>
      <w:r w:rsidR="00AB62F8">
        <w:t xml:space="preserve"> conteste le choix politique</w:t>
      </w:r>
      <w:r w:rsidR="000B178E">
        <w:t xml:space="preserve"> relati</w:t>
      </w:r>
      <w:r w:rsidR="00CE4538">
        <w:t>f</w:t>
      </w:r>
      <w:r w:rsidR="000B178E">
        <w:t xml:space="preserve"> au mode de transport de même que le comportement des candidats politiques lors des campagnes électorales;</w:t>
      </w:r>
    </w:p>
    <w:p w14:paraId="13CF175D" w14:textId="22AF3E55" w:rsidR="006F43CD" w:rsidRDefault="00B52F8F" w:rsidP="00A33E0F">
      <w:pPr>
        <w:pStyle w:val="Sous-paragraphe"/>
        <w:numPr>
          <w:ilvl w:val="0"/>
          <w:numId w:val="19"/>
        </w:numPr>
      </w:pPr>
      <w:r>
        <w:t>Ses</w:t>
      </w:r>
      <w:r w:rsidR="00A4335D">
        <w:t xml:space="preserve"> constats ne sont pas en lien avec son champ d’expertise </w:t>
      </w:r>
      <w:r w:rsidR="000F634D">
        <w:t>limité</w:t>
      </w:r>
      <w:r w:rsidR="00A4335D">
        <w:t xml:space="preserve"> au « transport et aménagement urbain »</w:t>
      </w:r>
      <w:r w:rsidR="00A72FC3">
        <w:t>.</w:t>
      </w:r>
    </w:p>
    <w:p w14:paraId="68793A0E" w14:textId="3EB2B5B0" w:rsidR="001E04C2" w:rsidRDefault="00B75B5D" w:rsidP="006F43CD">
      <w:pPr>
        <w:pStyle w:val="Paragrdouble"/>
        <w:spacing w:line="240" w:lineRule="auto"/>
      </w:pPr>
      <w:r>
        <w:lastRenderedPageBreak/>
        <w:t>En regard du rapport d’expertise de M</w:t>
      </w:r>
      <w:r w:rsidR="72AA1B18">
        <w:t>essieurs</w:t>
      </w:r>
      <w:r>
        <w:t xml:space="preserve"> </w:t>
      </w:r>
      <w:r w:rsidR="09BBF77E">
        <w:t xml:space="preserve">Clément </w:t>
      </w:r>
      <w:r>
        <w:t xml:space="preserve">Gosselin et </w:t>
      </w:r>
      <w:r w:rsidR="400C7427">
        <w:t>Denis</w:t>
      </w:r>
      <w:r>
        <w:t xml:space="preserve"> Poussart, les parties défenderesses sont d’avis qu’il</w:t>
      </w:r>
      <w:r w:rsidR="000F634D">
        <w:t>s</w:t>
      </w:r>
      <w:r>
        <w:t xml:space="preserve"> se prononce</w:t>
      </w:r>
      <w:r w:rsidR="000F634D">
        <w:t>nt</w:t>
      </w:r>
      <w:r>
        <w:t xml:space="preserve"> davantage sur des questions d’opportunité politique</w:t>
      </w:r>
      <w:r w:rsidR="001E04C2">
        <w:t xml:space="preserve"> qui ne sont pas du ressort du Tribunal :</w:t>
      </w:r>
    </w:p>
    <w:p w14:paraId="429B8A30" w14:textId="1DF026AF" w:rsidR="001209F5" w:rsidRDefault="00B52F8F" w:rsidP="00A33E0F">
      <w:pPr>
        <w:pStyle w:val="Sous-paragraphe"/>
        <w:numPr>
          <w:ilvl w:val="0"/>
          <w:numId w:val="19"/>
        </w:numPr>
      </w:pPr>
      <w:r>
        <w:t>Ils</w:t>
      </w:r>
      <w:r w:rsidR="001209F5">
        <w:t xml:space="preserve"> se prononce</w:t>
      </w:r>
      <w:r w:rsidR="00773E95">
        <w:t>nt</w:t>
      </w:r>
      <w:r w:rsidR="001209F5">
        <w:t xml:space="preserve"> sur d’autres modes de transport que le tramway, ces conclusions n’étant pas susceptibles d’éclairer le Tribunal quant à la légalité des décisions contestées;</w:t>
      </w:r>
    </w:p>
    <w:p w14:paraId="262D98BD" w14:textId="2F28B743" w:rsidR="004A3909" w:rsidRDefault="00BB2902" w:rsidP="00A33E0F">
      <w:pPr>
        <w:pStyle w:val="Sous-paragraphe"/>
        <w:numPr>
          <w:ilvl w:val="0"/>
          <w:numId w:val="19"/>
        </w:numPr>
      </w:pPr>
      <w:r>
        <w:t>Ils</w:t>
      </w:r>
      <w:r w:rsidR="00773E95">
        <w:t xml:space="preserve"> se substituent au Tribunal en affirmant que le tramway</w:t>
      </w:r>
      <w:r w:rsidR="004A3909">
        <w:t xml:space="preserve"> est une « solution déraisonnable et injustifiable »;</w:t>
      </w:r>
    </w:p>
    <w:p w14:paraId="3F4AAB6F" w14:textId="0594B43D" w:rsidR="00054B76" w:rsidRDefault="00B52F8F" w:rsidP="00A33E0F">
      <w:pPr>
        <w:pStyle w:val="Sous-paragraphe"/>
        <w:numPr>
          <w:ilvl w:val="0"/>
          <w:numId w:val="19"/>
        </w:numPr>
      </w:pPr>
      <w:r>
        <w:t>Le</w:t>
      </w:r>
      <w:r w:rsidR="0004275B">
        <w:t xml:space="preserve"> rapport d’expertise ne se fonde sur aucune donnée technique ou scientifique</w:t>
      </w:r>
      <w:r w:rsidR="00054B76">
        <w:t>, rendant le rapport inutile pour éclairer un Tribunal;</w:t>
      </w:r>
    </w:p>
    <w:p w14:paraId="7E935662" w14:textId="33B58C54" w:rsidR="006F43CD" w:rsidRPr="006F43CD" w:rsidRDefault="00B52F8F" w:rsidP="00A33E0F">
      <w:pPr>
        <w:pStyle w:val="Sous-paragraphe"/>
        <w:numPr>
          <w:ilvl w:val="0"/>
          <w:numId w:val="19"/>
        </w:numPr>
      </w:pPr>
      <w:r>
        <w:t>Ces</w:t>
      </w:r>
      <w:r w:rsidR="000E4FD7">
        <w:t xml:space="preserve"> experts font preuve d’un manque de neutralité flagrant par leur conduite militante.</w:t>
      </w:r>
    </w:p>
    <w:p w14:paraId="5FA0E70C" w14:textId="2605B983" w:rsidR="00DB4E8A" w:rsidRDefault="00DB4E8A" w:rsidP="00DB4E8A">
      <w:pPr>
        <w:pStyle w:val="Titre4"/>
      </w:pPr>
      <w:bookmarkStart w:id="13" w:name="_Toc124755339"/>
      <w:r>
        <w:t>Les assises légales de l’expertise</w:t>
      </w:r>
      <w:bookmarkEnd w:id="13"/>
    </w:p>
    <w:p w14:paraId="084ABB5A" w14:textId="1E71BDF6" w:rsidR="000B56C2" w:rsidRDefault="000320D7" w:rsidP="000B56C2">
      <w:pPr>
        <w:pStyle w:val="Paragrdouble"/>
        <w:spacing w:line="240" w:lineRule="auto"/>
      </w:pPr>
      <w:r>
        <w:t xml:space="preserve">Le </w:t>
      </w:r>
      <w:r w:rsidR="00341F22" w:rsidRPr="00341F22">
        <w:rPr>
          <w:i/>
          <w:iCs/>
        </w:rPr>
        <w:t>C</w:t>
      </w:r>
      <w:r w:rsidRPr="00341F22">
        <w:rPr>
          <w:i/>
          <w:iCs/>
        </w:rPr>
        <w:t>ode de procédure civile</w:t>
      </w:r>
      <w:r>
        <w:t xml:space="preserve"> définit </w:t>
      </w:r>
      <w:r w:rsidR="009D58C9">
        <w:t>le but d’</w:t>
      </w:r>
      <w:r>
        <w:t>un rapport d’expertise</w:t>
      </w:r>
      <w:r w:rsidR="000B56C2">
        <w:t xml:space="preserve"> :</w:t>
      </w:r>
    </w:p>
    <w:p w14:paraId="6B1AA839" w14:textId="6239C141" w:rsidR="00285A49" w:rsidRPr="008432BE" w:rsidRDefault="00285A49" w:rsidP="00852F34">
      <w:pPr>
        <w:pStyle w:val="Paragraphe"/>
        <w:tabs>
          <w:tab w:val="clear" w:pos="1636"/>
          <w:tab w:val="left" w:pos="709"/>
        </w:tabs>
        <w:spacing w:line="240" w:lineRule="auto"/>
        <w:ind w:left="708" w:right="610"/>
        <w:rPr>
          <w:rFonts w:cs="Arial"/>
          <w:sz w:val="22"/>
          <w:szCs w:val="22"/>
          <w:lang w:eastAsia="fr-CA"/>
        </w:rPr>
      </w:pPr>
      <w:r w:rsidRPr="008432BE">
        <w:rPr>
          <w:rFonts w:cs="Arial"/>
          <w:b/>
          <w:bCs/>
          <w:sz w:val="22"/>
          <w:szCs w:val="22"/>
          <w:lang w:eastAsia="fr-CA"/>
        </w:rPr>
        <w:t xml:space="preserve">231. </w:t>
      </w:r>
      <w:r w:rsidRPr="008432BE">
        <w:rPr>
          <w:rFonts w:cs="Arial"/>
          <w:sz w:val="22"/>
          <w:szCs w:val="22"/>
          <w:lang w:eastAsia="fr-CA"/>
        </w:rPr>
        <w:t xml:space="preserve">L’expertise a pour </w:t>
      </w:r>
      <w:r w:rsidRPr="008432BE">
        <w:rPr>
          <w:rFonts w:cs="Arial"/>
          <w:sz w:val="22"/>
          <w:szCs w:val="22"/>
        </w:rPr>
        <w:t>but</w:t>
      </w:r>
      <w:r w:rsidRPr="008432BE">
        <w:rPr>
          <w:rFonts w:cs="Arial"/>
          <w:sz w:val="22"/>
          <w:szCs w:val="22"/>
          <w:lang w:eastAsia="fr-CA"/>
        </w:rPr>
        <w:t xml:space="preserve"> d’éclairer le tribunal et de l’aider dans l’appréciation d’une preuve en faisant</w:t>
      </w:r>
      <w:r w:rsidR="00852F34" w:rsidRPr="008432BE">
        <w:rPr>
          <w:rFonts w:cs="Arial"/>
          <w:sz w:val="22"/>
          <w:szCs w:val="22"/>
          <w:lang w:eastAsia="fr-CA"/>
        </w:rPr>
        <w:t xml:space="preserve"> </w:t>
      </w:r>
      <w:r w:rsidRPr="008432BE">
        <w:rPr>
          <w:rFonts w:cs="Arial"/>
          <w:sz w:val="22"/>
          <w:szCs w:val="22"/>
          <w:lang w:eastAsia="fr-CA"/>
        </w:rPr>
        <w:t xml:space="preserve">appel à une personne </w:t>
      </w:r>
      <w:r w:rsidRPr="008432BE">
        <w:rPr>
          <w:rFonts w:cs="Arial"/>
          <w:sz w:val="22"/>
          <w:szCs w:val="22"/>
        </w:rPr>
        <w:t>compétente</w:t>
      </w:r>
      <w:r w:rsidRPr="008432BE">
        <w:rPr>
          <w:rFonts w:cs="Arial"/>
          <w:sz w:val="22"/>
          <w:szCs w:val="22"/>
          <w:lang w:eastAsia="fr-CA"/>
        </w:rPr>
        <w:t xml:space="preserve"> dans la discipline ou la matière concernée.</w:t>
      </w:r>
    </w:p>
    <w:p w14:paraId="024B408A" w14:textId="77777777" w:rsidR="008432BE" w:rsidRPr="008432BE" w:rsidRDefault="00285A49" w:rsidP="008432BE">
      <w:pPr>
        <w:pStyle w:val="Paragraphe"/>
        <w:tabs>
          <w:tab w:val="clear" w:pos="1636"/>
          <w:tab w:val="left" w:pos="709"/>
        </w:tabs>
        <w:spacing w:line="240" w:lineRule="auto"/>
        <w:ind w:left="708" w:right="610"/>
        <w:rPr>
          <w:rFonts w:cs="Arial"/>
          <w:sz w:val="22"/>
          <w:szCs w:val="22"/>
          <w:lang w:eastAsia="fr-CA"/>
        </w:rPr>
      </w:pPr>
      <w:r w:rsidRPr="008432BE">
        <w:rPr>
          <w:rFonts w:cs="Arial"/>
          <w:sz w:val="22"/>
          <w:szCs w:val="22"/>
          <w:lang w:eastAsia="fr-CA"/>
        </w:rPr>
        <w:t xml:space="preserve">L’expertise </w:t>
      </w:r>
      <w:r w:rsidRPr="008432BE">
        <w:rPr>
          <w:rFonts w:cs="Arial"/>
          <w:sz w:val="22"/>
          <w:szCs w:val="22"/>
        </w:rPr>
        <w:t>consiste</w:t>
      </w:r>
      <w:r w:rsidRPr="008432BE">
        <w:rPr>
          <w:rFonts w:cs="Arial"/>
          <w:sz w:val="22"/>
          <w:szCs w:val="22"/>
          <w:lang w:eastAsia="fr-CA"/>
        </w:rPr>
        <w:t xml:space="preserve">, en tenant compte des faits </w:t>
      </w:r>
      <w:r w:rsidRPr="008432BE">
        <w:rPr>
          <w:rFonts w:cs="Arial"/>
          <w:sz w:val="22"/>
          <w:szCs w:val="22"/>
        </w:rPr>
        <w:t>relatifs</w:t>
      </w:r>
      <w:r w:rsidRPr="008432BE">
        <w:rPr>
          <w:rFonts w:cs="Arial"/>
          <w:sz w:val="22"/>
          <w:szCs w:val="22"/>
          <w:lang w:eastAsia="fr-CA"/>
        </w:rPr>
        <w:t xml:space="preserve"> au litige, à donner un avis sur des éléments liés à</w:t>
      </w:r>
      <w:r w:rsidR="00852F34" w:rsidRPr="008432BE">
        <w:rPr>
          <w:rFonts w:cs="Arial"/>
          <w:sz w:val="22"/>
          <w:szCs w:val="22"/>
          <w:lang w:eastAsia="fr-CA"/>
        </w:rPr>
        <w:t xml:space="preserve"> </w:t>
      </w:r>
      <w:r w:rsidRPr="008432BE">
        <w:rPr>
          <w:rFonts w:cs="Arial"/>
          <w:sz w:val="22"/>
          <w:szCs w:val="22"/>
          <w:lang w:eastAsia="fr-CA"/>
        </w:rPr>
        <w:t>l’intégrité, l’état, la capacité ou l’adaptation d’une personne à certaines situations de fait, ou sur des éléments</w:t>
      </w:r>
      <w:r w:rsidR="00852F34" w:rsidRPr="008432BE">
        <w:rPr>
          <w:rFonts w:cs="Arial"/>
          <w:sz w:val="22"/>
          <w:szCs w:val="22"/>
          <w:lang w:eastAsia="fr-CA"/>
        </w:rPr>
        <w:t xml:space="preserve"> </w:t>
      </w:r>
      <w:r w:rsidRPr="008432BE">
        <w:rPr>
          <w:rFonts w:cs="Arial"/>
          <w:sz w:val="22"/>
          <w:szCs w:val="22"/>
          <w:lang w:eastAsia="fr-CA"/>
        </w:rPr>
        <w:t>factuels ou matériels liés à la preuve. Elle peut aussi consister en l’établissement ou la vérification de comptes</w:t>
      </w:r>
      <w:r w:rsidR="00852F34" w:rsidRPr="008432BE">
        <w:rPr>
          <w:rFonts w:cs="Arial"/>
          <w:sz w:val="22"/>
          <w:szCs w:val="22"/>
          <w:lang w:eastAsia="fr-CA"/>
        </w:rPr>
        <w:t xml:space="preserve"> </w:t>
      </w:r>
      <w:r w:rsidRPr="008432BE">
        <w:rPr>
          <w:rFonts w:cs="Arial"/>
          <w:sz w:val="22"/>
          <w:szCs w:val="22"/>
          <w:lang w:eastAsia="fr-CA"/>
        </w:rPr>
        <w:t>ou d’autres données ou porter sur la liquidation ou le partage de biens. Elle peut également consister en la</w:t>
      </w:r>
      <w:r w:rsidR="008432BE" w:rsidRPr="008432BE">
        <w:rPr>
          <w:rFonts w:cs="Arial"/>
          <w:sz w:val="22"/>
          <w:szCs w:val="22"/>
          <w:lang w:eastAsia="fr-CA"/>
        </w:rPr>
        <w:t xml:space="preserve"> </w:t>
      </w:r>
      <w:r w:rsidRPr="008432BE">
        <w:rPr>
          <w:rFonts w:cs="Arial"/>
          <w:sz w:val="22"/>
          <w:szCs w:val="22"/>
          <w:lang w:eastAsia="fr-CA"/>
        </w:rPr>
        <w:t>vérification de l’état ou de la situation de certains lieux ou biens.</w:t>
      </w:r>
    </w:p>
    <w:p w14:paraId="3F35AF3D" w14:textId="599D4ACB" w:rsidR="00096F5B" w:rsidRDefault="00096F5B" w:rsidP="008432BE">
      <w:pPr>
        <w:pStyle w:val="Paragrdouble"/>
        <w:spacing w:line="240" w:lineRule="auto"/>
      </w:pPr>
      <w:r>
        <w:t>Il définit également les qualités attendues d’un expert :</w:t>
      </w:r>
    </w:p>
    <w:p w14:paraId="52463B4A" w14:textId="13DBF51B" w:rsidR="00096F5B" w:rsidRPr="00096F5B" w:rsidRDefault="00096F5B" w:rsidP="00096F5B">
      <w:pPr>
        <w:pStyle w:val="Paragraphe"/>
        <w:tabs>
          <w:tab w:val="clear" w:pos="1636"/>
          <w:tab w:val="left" w:pos="709"/>
        </w:tabs>
        <w:spacing w:line="240" w:lineRule="auto"/>
        <w:ind w:left="708" w:right="610"/>
        <w:rPr>
          <w:sz w:val="22"/>
          <w:szCs w:val="18"/>
        </w:rPr>
      </w:pPr>
      <w:r w:rsidRPr="006F6F60">
        <w:rPr>
          <w:b/>
          <w:bCs/>
          <w:sz w:val="22"/>
          <w:szCs w:val="18"/>
        </w:rPr>
        <w:t>22</w:t>
      </w:r>
      <w:r w:rsidRPr="00096F5B">
        <w:rPr>
          <w:sz w:val="22"/>
          <w:szCs w:val="18"/>
        </w:rPr>
        <w:t>. L’expert dont les services ont été retenus par l’une des parties ou qui leur est commun ou qui est</w:t>
      </w:r>
      <w:r>
        <w:rPr>
          <w:sz w:val="22"/>
          <w:szCs w:val="18"/>
        </w:rPr>
        <w:t xml:space="preserve"> </w:t>
      </w:r>
      <w:r w:rsidRPr="00096F5B">
        <w:rPr>
          <w:sz w:val="22"/>
          <w:szCs w:val="18"/>
        </w:rPr>
        <w:t>commis par le tribunal a pour mission, qu’il agisse dans une affaire contentieuse ou non contentieuse,</w:t>
      </w:r>
      <w:r>
        <w:rPr>
          <w:sz w:val="22"/>
          <w:szCs w:val="18"/>
        </w:rPr>
        <w:t xml:space="preserve"> </w:t>
      </w:r>
      <w:r w:rsidRPr="00096F5B">
        <w:rPr>
          <w:sz w:val="22"/>
          <w:szCs w:val="18"/>
        </w:rPr>
        <w:t>d’éclairer le tribunal dans sa prise de décision. Cette mission prime les intérêts des parties.</w:t>
      </w:r>
    </w:p>
    <w:p w14:paraId="23D01C3C" w14:textId="6B5D61F8" w:rsidR="00096F5B" w:rsidRDefault="00096F5B" w:rsidP="00096F5B">
      <w:pPr>
        <w:pStyle w:val="Paragraphe"/>
        <w:tabs>
          <w:tab w:val="clear" w:pos="1636"/>
          <w:tab w:val="left" w:pos="709"/>
        </w:tabs>
        <w:spacing w:line="240" w:lineRule="auto"/>
        <w:ind w:left="708" w:right="610"/>
        <w:rPr>
          <w:sz w:val="22"/>
          <w:szCs w:val="18"/>
        </w:rPr>
      </w:pPr>
      <w:r w:rsidRPr="00096F5B">
        <w:rPr>
          <w:sz w:val="22"/>
          <w:szCs w:val="18"/>
        </w:rPr>
        <w:t>L’expert doit accomplir sa mission avec objectivité, impartialité et rigueur.</w:t>
      </w:r>
    </w:p>
    <w:p w14:paraId="2B486320" w14:textId="2576E723" w:rsidR="00DB4E8A" w:rsidRPr="007B6070" w:rsidRDefault="009B6911" w:rsidP="00DB4E8A">
      <w:pPr>
        <w:pStyle w:val="Paragrdouble"/>
        <w:spacing w:line="240" w:lineRule="auto"/>
      </w:pPr>
      <w:r w:rsidRPr="007B6070">
        <w:t>Le but</w:t>
      </w:r>
      <w:r w:rsidR="00877449" w:rsidRPr="007B6070">
        <w:t xml:space="preserve"> du témoignage d’un expert est d’aider </w:t>
      </w:r>
      <w:r w:rsidR="00082BC5">
        <w:t xml:space="preserve">de manière objective </w:t>
      </w:r>
      <w:r w:rsidR="00877449" w:rsidRPr="007B6070">
        <w:t>le Tribunal dans une spécialité qui ne relève pas du droit.</w:t>
      </w:r>
    </w:p>
    <w:p w14:paraId="14289A75" w14:textId="7D819D13" w:rsidR="00615419" w:rsidRDefault="00087BB0" w:rsidP="00615419">
      <w:pPr>
        <w:pStyle w:val="Titre4"/>
      </w:pPr>
      <w:bookmarkStart w:id="14" w:name="_Toc124755340"/>
      <w:r>
        <w:lastRenderedPageBreak/>
        <w:t>Que retenir de ces</w:t>
      </w:r>
      <w:r w:rsidR="00615419">
        <w:t xml:space="preserve"> experts</w:t>
      </w:r>
      <w:r>
        <w:t>?</w:t>
      </w:r>
      <w:bookmarkEnd w:id="14"/>
    </w:p>
    <w:p w14:paraId="4E0C9C88" w14:textId="4C09E6EB" w:rsidR="00437936" w:rsidRDefault="009D7E56" w:rsidP="007D7CA2">
      <w:pPr>
        <w:pStyle w:val="Paragrdouble"/>
        <w:spacing w:line="240" w:lineRule="auto"/>
      </w:pPr>
      <w:r w:rsidRPr="008A5392">
        <w:t xml:space="preserve">Madame Racicot-Tremblay </w:t>
      </w:r>
      <w:r w:rsidR="00E87EB9" w:rsidRPr="008A5392">
        <w:t>est</w:t>
      </w:r>
      <w:r w:rsidR="00437936">
        <w:t xml:space="preserve"> </w:t>
      </w:r>
      <w:r w:rsidR="00E87EB9" w:rsidRPr="008A5392">
        <w:t>une chercheu</w:t>
      </w:r>
      <w:r w:rsidR="00C060B0">
        <w:t>s</w:t>
      </w:r>
      <w:r w:rsidR="00E87EB9" w:rsidRPr="008A5392">
        <w:t xml:space="preserve">e qui a réalisé </w:t>
      </w:r>
      <w:r w:rsidR="008A5392" w:rsidRPr="008A5392">
        <w:t>d</w:t>
      </w:r>
      <w:r w:rsidR="008A5392">
        <w:t xml:space="preserve">es études récentes en matière de mobilité collective. Docteure en études urbaines, elle </w:t>
      </w:r>
      <w:r w:rsidR="00437936">
        <w:t>a obtenu de nombreuses bourses et distinctions.</w:t>
      </w:r>
      <w:r w:rsidR="00CD5B34">
        <w:t xml:space="preserve"> Sa compétence </w:t>
      </w:r>
      <w:r w:rsidR="00D970A5">
        <w:t>en transport et aménagement urbain</w:t>
      </w:r>
      <w:r w:rsidR="008300F5">
        <w:t xml:space="preserve"> </w:t>
      </w:r>
      <w:r w:rsidR="00CD5B34">
        <w:t>est indéniable.</w:t>
      </w:r>
    </w:p>
    <w:p w14:paraId="02945632" w14:textId="2A0628F6" w:rsidR="009D7E56" w:rsidRDefault="00E87EB9" w:rsidP="007D7CA2">
      <w:pPr>
        <w:pStyle w:val="Paragrdouble"/>
        <w:spacing w:line="240" w:lineRule="auto"/>
      </w:pPr>
      <w:r w:rsidRPr="008A5392">
        <w:t xml:space="preserve"> </w:t>
      </w:r>
      <w:r w:rsidR="0007250F">
        <w:t>Toutefois, contrairement à la retenue</w:t>
      </w:r>
      <w:r w:rsidR="000D57E0">
        <w:t xml:space="preserve"> et aux nuances</w:t>
      </w:r>
      <w:r w:rsidR="0007250F">
        <w:t xml:space="preserve"> qu’un Tribunal apprécie</w:t>
      </w:r>
      <w:r w:rsidR="00FB7608">
        <w:t xml:space="preserve"> d’un expert, </w:t>
      </w:r>
      <w:r w:rsidR="0033229F">
        <w:t xml:space="preserve">Madame Racicot-Tremblay </w:t>
      </w:r>
      <w:r w:rsidR="00C849F2">
        <w:t xml:space="preserve">utilise des </w:t>
      </w:r>
      <w:r w:rsidR="00742C21">
        <w:t>déclarations</w:t>
      </w:r>
      <w:r w:rsidR="00082BC5">
        <w:t xml:space="preserve"> </w:t>
      </w:r>
      <w:r w:rsidR="00742C21">
        <w:t>chocs</w:t>
      </w:r>
      <w:r w:rsidR="00670E59">
        <w:rPr>
          <w:rStyle w:val="Appelnotedebasdep"/>
        </w:rPr>
        <w:footnoteReference w:id="18"/>
      </w:r>
      <w:r w:rsidR="00742C21">
        <w:t xml:space="preserve"> et </w:t>
      </w:r>
      <w:r w:rsidR="0033229F">
        <w:t xml:space="preserve">est catégorique sur le caractère déraisonnable </w:t>
      </w:r>
      <w:r w:rsidR="00F20B4A">
        <w:t xml:space="preserve">du choix du tramway comme mode de transport collectif pour la </w:t>
      </w:r>
      <w:r w:rsidR="086C6F39">
        <w:t>V</w:t>
      </w:r>
      <w:r w:rsidR="00F20B4A">
        <w:t>ille de Québec.</w:t>
      </w:r>
      <w:r w:rsidR="003652D4">
        <w:t xml:space="preserve"> Elle livre </w:t>
      </w:r>
      <w:r w:rsidR="00F4762E">
        <w:t>son</w:t>
      </w:r>
      <w:r w:rsidR="003652D4">
        <w:t xml:space="preserve"> opinion</w:t>
      </w:r>
      <w:r w:rsidR="00F4762E">
        <w:t xml:space="preserve"> quant au choix de mode de transport collectif et le processus qui a mené à ce choix</w:t>
      </w:r>
      <w:r w:rsidR="000D57E0">
        <w:t>. Ainsi, commence son rapport</w:t>
      </w:r>
      <w:r w:rsidR="00502D8C">
        <w:rPr>
          <w:rStyle w:val="Appelnotedebasdep"/>
        </w:rPr>
        <w:footnoteReference w:id="19"/>
      </w:r>
      <w:r w:rsidR="00F4762E">
        <w:t> :</w:t>
      </w:r>
    </w:p>
    <w:p w14:paraId="586634CC" w14:textId="55E86916" w:rsidR="00C37057" w:rsidRDefault="00464C72" w:rsidP="00113F09">
      <w:pPr>
        <w:pStyle w:val="Paragraphe"/>
        <w:tabs>
          <w:tab w:val="clear" w:pos="1636"/>
          <w:tab w:val="left" w:pos="709"/>
        </w:tabs>
        <w:spacing w:line="240" w:lineRule="auto"/>
        <w:ind w:left="708" w:right="610"/>
        <w:rPr>
          <w:sz w:val="22"/>
          <w:szCs w:val="18"/>
        </w:rPr>
      </w:pPr>
      <w:r>
        <w:rPr>
          <w:sz w:val="22"/>
          <w:szCs w:val="18"/>
        </w:rPr>
        <w:t>E</w:t>
      </w:r>
      <w:r w:rsidR="00F835F9">
        <w:rPr>
          <w:sz w:val="22"/>
          <w:szCs w:val="18"/>
        </w:rPr>
        <w:t>n tenant compte de l’urgence climatique, de la nécessaire acceptabilité sociale, des principes sous-jacents de la démocratie et de l’intérêt général des citoyens, croyez-vous que le projet actuel d’un tramway à Québec est déraisonnable et injustifiable comme moyen de transport collectif dans cette ville, autant dans son choix que dans sa faisabilité</w:t>
      </w:r>
      <w:r w:rsidR="00BE1382">
        <w:rPr>
          <w:sz w:val="22"/>
          <w:szCs w:val="18"/>
        </w:rPr>
        <w:t xml:space="preserve"> ?</w:t>
      </w:r>
      <w:r w:rsidR="00BE1382" w:rsidRPr="006A69F9">
        <w:rPr>
          <w:sz w:val="22"/>
          <w:szCs w:val="18"/>
        </w:rPr>
        <w:t xml:space="preserve"> …</w:t>
      </w:r>
      <w:r w:rsidR="00C37057" w:rsidRPr="006A69F9">
        <w:rPr>
          <w:sz w:val="22"/>
          <w:szCs w:val="18"/>
        </w:rPr>
        <w:t xml:space="preserve"> je suis d’avis que le projet de tramway à Québec</w:t>
      </w:r>
      <w:r w:rsidR="00477E22" w:rsidRPr="006A69F9">
        <w:rPr>
          <w:sz w:val="22"/>
          <w:szCs w:val="18"/>
        </w:rPr>
        <w:t xml:space="preserve"> est déraisonnable, contraire à l’intérêt public et mal justifié.</w:t>
      </w:r>
    </w:p>
    <w:p w14:paraId="77B037D5" w14:textId="61005846" w:rsidR="00FB7608" w:rsidRPr="00E206BD" w:rsidRDefault="000D39A1" w:rsidP="000D57E0">
      <w:pPr>
        <w:pStyle w:val="Paragrdouble"/>
        <w:spacing w:line="240" w:lineRule="auto"/>
      </w:pPr>
      <w:r>
        <w:t>Sur une base</w:t>
      </w:r>
      <w:r w:rsidR="000A7530" w:rsidRPr="00E206BD">
        <w:t xml:space="preserve"> volontaire, </w:t>
      </w:r>
      <w:r w:rsidR="004D6288" w:rsidRPr="00E206BD">
        <w:t>Madame Racicot-Tremblay s’est aussi exprimée publiquement</w:t>
      </w:r>
      <w:r w:rsidR="0002616D" w:rsidRPr="00E206BD">
        <w:t xml:space="preserve"> à l’encontre du </w:t>
      </w:r>
      <w:r w:rsidR="006020DC" w:rsidRPr="00E206BD">
        <w:t>mode de transport choisi.</w:t>
      </w:r>
      <w:r w:rsidR="000A7530" w:rsidRPr="00E206BD">
        <w:t xml:space="preserve"> </w:t>
      </w:r>
      <w:r w:rsidR="7C798B03">
        <w:t>Ce faisant</w:t>
      </w:r>
      <w:r w:rsidR="00C52EAA" w:rsidRPr="00E206BD">
        <w:t>,</w:t>
      </w:r>
      <w:r w:rsidR="00D16DE5" w:rsidRPr="00E206BD">
        <w:t xml:space="preserve"> elle a agi avec un certain militantisme, ce qui est habituellement contraire</w:t>
      </w:r>
      <w:r w:rsidR="00E206BD" w:rsidRPr="00E206BD">
        <w:t xml:space="preserve"> à ce qui est attendu d’un expert neutre qui se présente devant la Cour :</w:t>
      </w:r>
      <w:r w:rsidR="006020DC" w:rsidRPr="00E206BD">
        <w:t xml:space="preserve"> </w:t>
      </w:r>
    </w:p>
    <w:p w14:paraId="59365B77" w14:textId="54B89F2D" w:rsidR="00F4762E" w:rsidRPr="006A69F9" w:rsidRDefault="000B64A9" w:rsidP="00113F09">
      <w:pPr>
        <w:pStyle w:val="Paragraphe"/>
        <w:tabs>
          <w:tab w:val="clear" w:pos="1636"/>
          <w:tab w:val="left" w:pos="709"/>
        </w:tabs>
        <w:spacing w:line="240" w:lineRule="auto"/>
        <w:ind w:left="708" w:right="610"/>
        <w:rPr>
          <w:sz w:val="22"/>
          <w:szCs w:val="22"/>
        </w:rPr>
      </w:pPr>
      <w:r w:rsidRPr="08ECA469">
        <w:rPr>
          <w:sz w:val="22"/>
          <w:szCs w:val="22"/>
        </w:rPr>
        <w:t>L’analyse que j’ai produite à l’occasion de la commission d’enquête du Bureau d’audiences publiques sur l’environnement (BAPE)</w:t>
      </w:r>
      <w:r w:rsidR="00626579" w:rsidRPr="08ECA469">
        <w:rPr>
          <w:sz w:val="22"/>
          <w:szCs w:val="22"/>
        </w:rPr>
        <w:t>, laquelle recommande de ne pas réaliser le projet de tramway</w:t>
      </w:r>
      <w:r w:rsidR="00D55EDB" w:rsidRPr="08ECA469">
        <w:rPr>
          <w:sz w:val="22"/>
          <w:szCs w:val="22"/>
        </w:rPr>
        <w:t xml:space="preserve"> tel que présenté à l’époque</w:t>
      </w:r>
      <w:r w:rsidR="000976DC" w:rsidRPr="08ECA469">
        <w:rPr>
          <w:sz w:val="22"/>
          <w:szCs w:val="22"/>
        </w:rPr>
        <w:t xml:space="preserve">, notamment </w:t>
      </w:r>
      <w:r w:rsidR="00691B38" w:rsidRPr="08ECA469">
        <w:rPr>
          <w:sz w:val="22"/>
          <w:szCs w:val="22"/>
        </w:rPr>
        <w:t>pour des raisons liées à son ma</w:t>
      </w:r>
      <w:r w:rsidR="00054D76" w:rsidRPr="08ECA469">
        <w:rPr>
          <w:sz w:val="22"/>
          <w:szCs w:val="22"/>
        </w:rPr>
        <w:t>n</w:t>
      </w:r>
      <w:r w:rsidR="00691B38" w:rsidRPr="08ECA469">
        <w:rPr>
          <w:sz w:val="22"/>
          <w:szCs w:val="22"/>
        </w:rPr>
        <w:t>que d’intégration à l’aménagement du territoire et au cadre bâti existant.</w:t>
      </w:r>
      <w:r w:rsidR="00D55EDB" w:rsidRPr="08ECA469">
        <w:rPr>
          <w:sz w:val="22"/>
          <w:szCs w:val="22"/>
        </w:rPr>
        <w:t xml:space="preserve"> </w:t>
      </w:r>
      <w:r w:rsidR="00C56F0D">
        <w:rPr>
          <w:rStyle w:val="Appelnotedebasdep"/>
          <w:sz w:val="22"/>
          <w:szCs w:val="22"/>
        </w:rPr>
        <w:footnoteReference w:id="20"/>
      </w:r>
    </w:p>
    <w:p w14:paraId="0BBAA38D" w14:textId="2C7B8382" w:rsidR="00113F09" w:rsidRPr="006A69F9" w:rsidRDefault="008A3891" w:rsidP="00113F09">
      <w:pPr>
        <w:pStyle w:val="Paragraphe"/>
        <w:tabs>
          <w:tab w:val="clear" w:pos="1636"/>
          <w:tab w:val="left" w:pos="709"/>
        </w:tabs>
        <w:spacing w:line="240" w:lineRule="auto"/>
        <w:ind w:left="708" w:right="610"/>
        <w:rPr>
          <w:sz w:val="22"/>
          <w:szCs w:val="22"/>
        </w:rPr>
      </w:pPr>
      <w:r w:rsidRPr="08ECA469">
        <w:rPr>
          <w:sz w:val="22"/>
          <w:szCs w:val="22"/>
        </w:rPr>
        <w:t>Le projet de tramway repose sur des études d’opportunité incomplètes qui ont écarté la solution la plus sobre en émissions de GES et la moins onéreuse, soit la refonte et l’amélioration du service d’autobus.</w:t>
      </w:r>
      <w:r w:rsidR="000A1C52">
        <w:rPr>
          <w:rStyle w:val="Appelnotedebasdep"/>
          <w:sz w:val="22"/>
          <w:szCs w:val="22"/>
        </w:rPr>
        <w:footnoteReference w:id="21"/>
      </w:r>
    </w:p>
    <w:p w14:paraId="3288E1D3" w14:textId="1BC6DDBB" w:rsidR="005E576A" w:rsidRPr="006A69F9" w:rsidRDefault="00821720" w:rsidP="005E576A">
      <w:pPr>
        <w:pStyle w:val="Paragraphe"/>
        <w:tabs>
          <w:tab w:val="clear" w:pos="1636"/>
          <w:tab w:val="left" w:pos="709"/>
        </w:tabs>
        <w:spacing w:line="240" w:lineRule="auto"/>
        <w:ind w:left="708" w:right="610"/>
        <w:rPr>
          <w:sz w:val="22"/>
          <w:szCs w:val="22"/>
        </w:rPr>
      </w:pPr>
      <w:r w:rsidRPr="08ECA469">
        <w:rPr>
          <w:sz w:val="22"/>
          <w:szCs w:val="22"/>
        </w:rPr>
        <w:t>D’abord, le tramway et sa stra</w:t>
      </w:r>
      <w:r w:rsidR="005E576A" w:rsidRPr="08ECA469">
        <w:rPr>
          <w:sz w:val="22"/>
          <w:szCs w:val="22"/>
        </w:rPr>
        <w:t>t</w:t>
      </w:r>
      <w:r w:rsidRPr="08ECA469">
        <w:rPr>
          <w:sz w:val="22"/>
          <w:szCs w:val="22"/>
        </w:rPr>
        <w:t>é</w:t>
      </w:r>
      <w:r w:rsidR="005E576A" w:rsidRPr="08ECA469">
        <w:rPr>
          <w:sz w:val="22"/>
          <w:szCs w:val="22"/>
        </w:rPr>
        <w:t>g</w:t>
      </w:r>
      <w:r w:rsidRPr="08ECA469">
        <w:rPr>
          <w:sz w:val="22"/>
          <w:szCs w:val="22"/>
        </w:rPr>
        <w:t>ie de rabattement</w:t>
      </w:r>
      <w:r w:rsidR="005E576A" w:rsidRPr="08ECA469">
        <w:rPr>
          <w:sz w:val="22"/>
          <w:szCs w:val="22"/>
        </w:rPr>
        <w:t xml:space="preserve"> entraineront un plus grand nombre de correspondances, ce qui rend le réseau plus vulnérable</w:t>
      </w:r>
      <w:r w:rsidR="525C9F88" w:rsidRPr="08ECA469">
        <w:rPr>
          <w:sz w:val="22"/>
          <w:szCs w:val="22"/>
        </w:rPr>
        <w:t xml:space="preserve"> [</w:t>
      </w:r>
      <w:r w:rsidR="00BE1382" w:rsidRPr="08ECA469">
        <w:rPr>
          <w:sz w:val="22"/>
          <w:szCs w:val="22"/>
        </w:rPr>
        <w:t>…</w:t>
      </w:r>
      <w:r w:rsidR="572FD267" w:rsidRPr="08ECA469">
        <w:rPr>
          <w:sz w:val="22"/>
          <w:szCs w:val="22"/>
        </w:rPr>
        <w:t>].</w:t>
      </w:r>
      <w:r w:rsidR="00C56F0D">
        <w:rPr>
          <w:rStyle w:val="Appelnotedebasdep"/>
          <w:sz w:val="22"/>
          <w:szCs w:val="22"/>
        </w:rPr>
        <w:footnoteReference w:id="22"/>
      </w:r>
    </w:p>
    <w:p w14:paraId="359D9C84" w14:textId="38A99C56" w:rsidR="00AC27BE" w:rsidRDefault="00AC27BE" w:rsidP="007D7CA2">
      <w:pPr>
        <w:pStyle w:val="Paragrdouble"/>
        <w:spacing w:line="240" w:lineRule="auto"/>
      </w:pPr>
      <w:r>
        <w:t>Lors de son témoignage, Madame Racicot-Tremblay</w:t>
      </w:r>
      <w:r w:rsidR="00F419F5">
        <w:t xml:space="preserve"> a insisté sur le fait que le choix du mode de transport a été initialement dicté avant que les études </w:t>
      </w:r>
      <w:r w:rsidR="004A00D5">
        <w:t xml:space="preserve">des modes </w:t>
      </w:r>
      <w:r w:rsidR="004A00D5">
        <w:lastRenderedPageBreak/>
        <w:t>alternatifs</w:t>
      </w:r>
      <w:r w:rsidR="003F0FF3">
        <w:t xml:space="preserve"> </w:t>
      </w:r>
      <w:r w:rsidR="00F419F5">
        <w:t>ne commencent</w:t>
      </w:r>
      <w:r w:rsidR="00B81826">
        <w:t>, ce qui fausserait tout le travail réalisé par le gouvernement et la Ville.</w:t>
      </w:r>
      <w:r w:rsidR="00597ABE">
        <w:t xml:space="preserve"> Interrogé par le Tribunal sur </w:t>
      </w:r>
      <w:r w:rsidR="00604C2A">
        <w:t xml:space="preserve">son analyse de </w:t>
      </w:r>
      <w:r w:rsidR="00597ABE">
        <w:t>la preuve déposée par les parties défenderesses quant au processus qui a mené</w:t>
      </w:r>
      <w:r w:rsidR="00637119">
        <w:t>,</w:t>
      </w:r>
      <w:r w:rsidR="00597ABE">
        <w:t xml:space="preserve"> </w:t>
      </w:r>
      <w:r w:rsidR="00637119">
        <w:t xml:space="preserve">après de nombreuses années d’études et de consultations, </w:t>
      </w:r>
      <w:r w:rsidR="00597ABE">
        <w:t>au choix</w:t>
      </w:r>
      <w:r w:rsidR="00354FDE">
        <w:t xml:space="preserve"> retenu</w:t>
      </w:r>
      <w:r w:rsidR="002B52DF">
        <w:t xml:space="preserve"> comme mode de transport structurant, Madame Racicot-Tremblay reconnaît n’en avoir pas pris connaissance.</w:t>
      </w:r>
      <w:r w:rsidR="00C348C0">
        <w:t xml:space="preserve"> Avec respect, si cette preuve lui avait été présentée, peut-être aurait-elle été plus nuancée dans s</w:t>
      </w:r>
      <w:r w:rsidR="00082BC5">
        <w:t>es</w:t>
      </w:r>
      <w:r w:rsidR="00C348C0">
        <w:t xml:space="preserve"> propos?</w:t>
      </w:r>
    </w:p>
    <w:p w14:paraId="6349322A" w14:textId="422413B1" w:rsidR="001B3973" w:rsidRDefault="00A81259" w:rsidP="001B3973">
      <w:pPr>
        <w:pStyle w:val="Paragrdouble"/>
        <w:spacing w:line="240" w:lineRule="auto"/>
      </w:pPr>
      <w:r>
        <w:t>L</w:t>
      </w:r>
      <w:r w:rsidR="001B3973">
        <w:t xml:space="preserve">e Tribunal note que </w:t>
      </w:r>
      <w:r>
        <w:t>cette</w:t>
      </w:r>
      <w:r w:rsidR="001B3973">
        <w:t xml:space="preserve"> preuve qu’ont voulu administrer les demandeurs pour démontrer le choix irrationnel de la Ville et du gouvernement est notamment contredite par la déclaration sous serment de Monsieur Mathieu Grondin, directeur général à la Direction générale de la Capitale et de l’Est du Québec du ministère des </w:t>
      </w:r>
      <w:r w:rsidR="6BF53055">
        <w:t>T</w:t>
      </w:r>
      <w:r w:rsidR="001B3973">
        <w:t>ransports :</w:t>
      </w:r>
    </w:p>
    <w:p w14:paraId="7B0D52B3" w14:textId="77777777" w:rsidR="001B3973" w:rsidRPr="00CC2EDE" w:rsidRDefault="001B3973" w:rsidP="001B3973">
      <w:pPr>
        <w:pStyle w:val="Paragraphe"/>
        <w:tabs>
          <w:tab w:val="clear" w:pos="1636"/>
          <w:tab w:val="left" w:pos="709"/>
        </w:tabs>
        <w:spacing w:line="240" w:lineRule="auto"/>
        <w:ind w:left="708" w:right="610"/>
        <w:rPr>
          <w:sz w:val="22"/>
          <w:szCs w:val="18"/>
        </w:rPr>
      </w:pPr>
      <w:r w:rsidRPr="00CC2EDE">
        <w:rPr>
          <w:sz w:val="22"/>
          <w:szCs w:val="18"/>
        </w:rPr>
        <w:t xml:space="preserve">39. L’ensemble des analyses effectuées par la Direction générale de la Capitale, avant, pendant et après les audiences publiques du BAPE, permettent d’affirmer que le projet de tramway sur le territoire de la Ville rencontre les orientations gouvernementales, notamment, quant au choix du mode de transport, aux secteurs desservis, à la nécessité des travaux d’insertion et à l’enveloppe budgétaire consentie au projet; </w:t>
      </w:r>
    </w:p>
    <w:p w14:paraId="1519E16A" w14:textId="6E38D1C7" w:rsidR="00604C2A" w:rsidRDefault="00604C2A" w:rsidP="006B68BD">
      <w:pPr>
        <w:pStyle w:val="Paragrdouble"/>
        <w:spacing w:line="240" w:lineRule="auto"/>
      </w:pPr>
      <w:r>
        <w:t>De plus,</w:t>
      </w:r>
      <w:r w:rsidR="00866DCA">
        <w:t xml:space="preserve"> lors de son témoignage,</w:t>
      </w:r>
      <w:r w:rsidR="00082BC5">
        <w:t xml:space="preserve"> après l’avoir décrié, </w:t>
      </w:r>
      <w:r w:rsidR="00866DCA">
        <w:t xml:space="preserve"> elle a reconnu qu’il n’existe pas, du moins au Québec, un processus obligatoire pour le choix</w:t>
      </w:r>
      <w:r w:rsidR="0086689A">
        <w:t xml:space="preserve"> d’un tel projet municipal d’envergure. À travers le monde, seulement</w:t>
      </w:r>
      <w:r w:rsidR="009A6669">
        <w:t xml:space="preserve"> </w:t>
      </w:r>
      <w:r w:rsidR="41E1EA29">
        <w:t>deux</w:t>
      </w:r>
      <w:r w:rsidR="009A6669">
        <w:t xml:space="preserve"> projets sur 1000 utilisent le processus</w:t>
      </w:r>
      <w:r w:rsidR="0086689A">
        <w:t xml:space="preserve"> </w:t>
      </w:r>
      <w:r w:rsidR="00C35FD2">
        <w:t>qu’elle recommande; on ne peut affirmer</w:t>
      </w:r>
      <w:r w:rsidR="00691365">
        <w:t xml:space="preserve"> que, sans égard à la preuve faite en défense, par le biais de ce témoignage d’experts, les demandeurs ont démontré au Tribunal que les parties défenderesses ont agi</w:t>
      </w:r>
      <w:r w:rsidR="006B68BD">
        <w:t xml:space="preserve"> de manière déraisonnable.</w:t>
      </w:r>
    </w:p>
    <w:p w14:paraId="201B0B31" w14:textId="6141B767" w:rsidR="00464C72" w:rsidRDefault="003F0FF3" w:rsidP="00A02BD4">
      <w:pPr>
        <w:pStyle w:val="Paragrdouble"/>
        <w:spacing w:line="240" w:lineRule="auto"/>
      </w:pPr>
      <w:r>
        <w:t>Avec</w:t>
      </w:r>
      <w:r w:rsidR="00831ADA">
        <w:t xml:space="preserve"> le plus grand respect que le Tribunal peut avoir pour ce témoin</w:t>
      </w:r>
      <w:r w:rsidR="008405D9">
        <w:t xml:space="preserve"> et ses compétences</w:t>
      </w:r>
      <w:r w:rsidR="00831ADA">
        <w:t>, cette opinion demeure une opinion avec laquelle le Tribunal ne peut juger des questions de droit qui se posent à lui.</w:t>
      </w:r>
      <w:r w:rsidR="00ED1630">
        <w:t xml:space="preserve"> </w:t>
      </w:r>
    </w:p>
    <w:p w14:paraId="1BCCD204" w14:textId="517F3231" w:rsidR="002D465A" w:rsidRDefault="002D465A" w:rsidP="007D7CA2">
      <w:pPr>
        <w:pStyle w:val="Paragrdouble"/>
        <w:spacing w:line="240" w:lineRule="auto"/>
      </w:pPr>
      <w:r>
        <w:t>Messieurs Poussart et Gosselin</w:t>
      </w:r>
      <w:r w:rsidR="000C0FD5">
        <w:t xml:space="preserve"> sont compétents </w:t>
      </w:r>
      <w:r w:rsidR="008405D9">
        <w:t xml:space="preserve">et </w:t>
      </w:r>
      <w:r w:rsidR="00D21FDF">
        <w:t xml:space="preserve">ont été </w:t>
      </w:r>
      <w:r w:rsidR="000C0FD5">
        <w:t>décorés</w:t>
      </w:r>
      <w:r w:rsidR="00D21FDF">
        <w:t xml:space="preserve"> pour leurs travaux</w:t>
      </w:r>
      <w:r w:rsidR="000C0FD5">
        <w:t>.</w:t>
      </w:r>
    </w:p>
    <w:p w14:paraId="13C661A0" w14:textId="52BD9CB9" w:rsidR="00A732F9" w:rsidRDefault="000C0FD5" w:rsidP="00A02BD4">
      <w:pPr>
        <w:pStyle w:val="Paragrdouble"/>
        <w:spacing w:line="240" w:lineRule="auto"/>
      </w:pPr>
      <w:r>
        <w:t>Monsieur Poussart est professeur émérite à la Faculté des sciences et de génie de l’Université Laval.</w:t>
      </w:r>
      <w:r w:rsidR="00A732F9">
        <w:t xml:space="preserve"> Il a obtenu son doctorat en génie électrique.</w:t>
      </w:r>
      <w:r w:rsidR="00D21FDF">
        <w:t xml:space="preserve"> </w:t>
      </w:r>
      <w:r w:rsidR="00515EBA">
        <w:t>Il</w:t>
      </w:r>
      <w:r w:rsidR="00164DD7">
        <w:t xml:space="preserve"> </w:t>
      </w:r>
      <w:r w:rsidR="008B2319">
        <w:t>est</w:t>
      </w:r>
      <w:r w:rsidR="00751A55">
        <w:t xml:space="preserve"> passionné par la problématique de la compréhension des systèmes complexes.</w:t>
      </w:r>
      <w:r w:rsidR="00695378">
        <w:t xml:space="preserve"> Il dit avoir exploré la synergie dans les rapports de la personne avec les technologies.</w:t>
      </w:r>
    </w:p>
    <w:p w14:paraId="3E2669B9" w14:textId="156D5588" w:rsidR="00D37F0B" w:rsidRDefault="00D37F0B" w:rsidP="007D7CA2">
      <w:pPr>
        <w:pStyle w:val="Paragrdouble"/>
        <w:spacing w:line="240" w:lineRule="auto"/>
      </w:pPr>
      <w:r>
        <w:t>Il écrit dans son rapport</w:t>
      </w:r>
      <w:r w:rsidR="00166BFF">
        <w:t xml:space="preserve"> qu’il a pris des mesures et les dimensions obtenues sont « </w:t>
      </w:r>
      <w:r w:rsidR="007C5C74">
        <w:t>m</w:t>
      </w:r>
      <w:r w:rsidR="00166BFF">
        <w:t>atériellement et irrémédiablement incompatibles avec l’implantation d’un tramway</w:t>
      </w:r>
      <w:r w:rsidR="007C5C74">
        <w:t xml:space="preserve"> qui respecterait les lois e</w:t>
      </w:r>
      <w:r w:rsidR="003F0FF3">
        <w:t>t</w:t>
      </w:r>
      <w:r w:rsidR="007C5C74">
        <w:t xml:space="preserve"> règlements en matière de sécurité publique ».</w:t>
      </w:r>
      <w:r w:rsidR="00BE3937">
        <w:t xml:space="preserve"> </w:t>
      </w:r>
      <w:r w:rsidR="00C57D35">
        <w:t>Les véhicules d’urgence</w:t>
      </w:r>
      <w:r w:rsidR="00EC6F19">
        <w:t xml:space="preserve"> et de services d’utilité publique</w:t>
      </w:r>
      <w:r w:rsidR="00C57D35">
        <w:t xml:space="preserve"> </w:t>
      </w:r>
      <w:r w:rsidR="00EB5F17">
        <w:t xml:space="preserve">ne pourraient </w:t>
      </w:r>
      <w:r w:rsidR="00D21FDF">
        <w:t xml:space="preserve">pas </w:t>
      </w:r>
      <w:r w:rsidR="00EB5F17">
        <w:t>facilement circuler.</w:t>
      </w:r>
      <w:r w:rsidR="004308BF">
        <w:t xml:space="preserve"> Il est d’</w:t>
      </w:r>
      <w:r w:rsidR="00FF5BF9">
        <w:t>a</w:t>
      </w:r>
      <w:r w:rsidR="004308BF">
        <w:t>vis qu’une version du tramway sur pne</w:t>
      </w:r>
      <w:r w:rsidR="00FF5BF9">
        <w:t>umatique à batteries serait préférable.</w:t>
      </w:r>
    </w:p>
    <w:p w14:paraId="54379177" w14:textId="763D5332" w:rsidR="00695378" w:rsidRDefault="00695378" w:rsidP="007D7CA2">
      <w:pPr>
        <w:pStyle w:val="Paragrdouble"/>
        <w:spacing w:line="240" w:lineRule="auto"/>
      </w:pPr>
      <w:r>
        <w:lastRenderedPageBreak/>
        <w:t>Monsieur</w:t>
      </w:r>
      <w:r w:rsidR="0034446F">
        <w:t xml:space="preserve"> </w:t>
      </w:r>
      <w:r>
        <w:t>Gosselin</w:t>
      </w:r>
      <w:r w:rsidR="005E79B9">
        <w:t>, professeur</w:t>
      </w:r>
      <w:r w:rsidR="00C90A34">
        <w:t xml:space="preserve"> étoilé</w:t>
      </w:r>
      <w:r w:rsidR="005E79B9">
        <w:t xml:space="preserve"> au département de génie mécanique de l’Université Laval, enseigne, publie et est reconnu pour ses compétences</w:t>
      </w:r>
      <w:r w:rsidR="00C90A34">
        <w:t xml:space="preserve"> scientifiques.</w:t>
      </w:r>
      <w:r w:rsidR="007E4816">
        <w:t xml:space="preserve"> Contrairement</w:t>
      </w:r>
      <w:r w:rsidR="00892566">
        <w:t xml:space="preserve"> à</w:t>
      </w:r>
      <w:r w:rsidR="007E4816">
        <w:t xml:space="preserve"> Monsieur Poussart, le </w:t>
      </w:r>
      <w:r w:rsidR="00892566">
        <w:t>Tribunal a pu</w:t>
      </w:r>
      <w:r w:rsidR="00895116">
        <w:t xml:space="preserve"> entendre ce témoin.</w:t>
      </w:r>
    </w:p>
    <w:p w14:paraId="54391C9D" w14:textId="72D7D185" w:rsidR="00895116" w:rsidRDefault="00895116" w:rsidP="00895116">
      <w:pPr>
        <w:pStyle w:val="Paragrdouble"/>
        <w:spacing w:line="240" w:lineRule="auto"/>
      </w:pPr>
      <w:r>
        <w:t xml:space="preserve">Messieurs Poussart et Gosselin ont conjointement fourni une opinion à titre d’ingénieurs. Ils livrent une évaluation entre les autobus électriques de nouvelle génération, un métro léger souterrain et un tramway. Au terme de leur analyse </w:t>
      </w:r>
      <w:r w:rsidR="003F0FF3">
        <w:t>résumée en</w:t>
      </w:r>
      <w:r>
        <w:t xml:space="preserve"> moins de 8 pages, ils concluent que l’autobus électrique devrait être le premier choix et que le tramway est une solution déraisonnable et injustifiable. </w:t>
      </w:r>
      <w:r w:rsidR="003E3028">
        <w:t xml:space="preserve">Lors de son témoignage, </w:t>
      </w:r>
      <w:r w:rsidR="00CB1EBC">
        <w:t xml:space="preserve">pour démontrer que la </w:t>
      </w:r>
      <w:r w:rsidR="009B68F3">
        <w:t>V</w:t>
      </w:r>
      <w:r w:rsidR="00CB1EBC">
        <w:t xml:space="preserve">ille </w:t>
      </w:r>
      <w:r w:rsidR="009B68F3">
        <w:t xml:space="preserve">aurait pu tenir compte d’autres moyens </w:t>
      </w:r>
      <w:r w:rsidR="00EF659E">
        <w:t xml:space="preserve">de transport structurant, </w:t>
      </w:r>
      <w:r w:rsidR="003E3028">
        <w:t>Monsieur Gosselin a également présenté</w:t>
      </w:r>
      <w:r w:rsidR="00C21196">
        <w:t xml:space="preserve"> une capsule-vidéo présentant</w:t>
      </w:r>
      <w:r w:rsidR="003E3028">
        <w:t xml:space="preserve"> la solution du tramway sur roues</w:t>
      </w:r>
      <w:r w:rsidR="00CB1EBC">
        <w:t>.</w:t>
      </w:r>
    </w:p>
    <w:p w14:paraId="342508BF" w14:textId="3F0252DE" w:rsidR="00895116" w:rsidRDefault="007502CA" w:rsidP="007D7CA2">
      <w:pPr>
        <w:pStyle w:val="Paragrdouble"/>
        <w:spacing w:line="240" w:lineRule="auto"/>
      </w:pPr>
      <w:r>
        <w:t>Monsieur Gosselin n’a pas comparu devant le BAPE</w:t>
      </w:r>
      <w:r w:rsidR="005B161D">
        <w:t xml:space="preserve">, mais a tout de même transmis une lettre aux élus municipaux et provinciaux pour désapprouver le choix du </w:t>
      </w:r>
      <w:r w:rsidR="000B427B">
        <w:t>tramway</w:t>
      </w:r>
      <w:r w:rsidR="00D20100">
        <w:t xml:space="preserve">. Ce faisant, il a adopté une approche partisane qui, en temps normal, nuirait à </w:t>
      </w:r>
      <w:r w:rsidR="00710196">
        <w:t xml:space="preserve">la force probante de </w:t>
      </w:r>
      <w:r w:rsidR="00D20100">
        <w:t>son témoignage.</w:t>
      </w:r>
    </w:p>
    <w:p w14:paraId="6B391B19" w14:textId="1B0B37F4" w:rsidR="000B427B" w:rsidRDefault="00A86F74" w:rsidP="007D7CA2">
      <w:pPr>
        <w:pStyle w:val="Paragrdouble"/>
        <w:spacing w:line="240" w:lineRule="auto"/>
      </w:pPr>
      <w:r>
        <w:t>Les défenderesses ont fait remarquer</w:t>
      </w:r>
      <w:r w:rsidR="00746348">
        <w:t xml:space="preserve"> à juste titre</w:t>
      </w:r>
      <w:r>
        <w:t xml:space="preserve"> que, dans leur analyse, </w:t>
      </w:r>
      <w:r w:rsidR="000B427B">
        <w:t>Messieurs Poussart et Gosselin</w:t>
      </w:r>
      <w:r w:rsidR="003F1C23">
        <w:t>, en comparant</w:t>
      </w:r>
      <w:r w:rsidR="003434DF">
        <w:t xml:space="preserve"> un métro sous terre et le projet de tramway pour lequel ils indiquent que le </w:t>
      </w:r>
      <w:r w:rsidR="00BC3480">
        <w:t xml:space="preserve">seul </w:t>
      </w:r>
      <w:r w:rsidR="003434DF">
        <w:t>tunnel</w:t>
      </w:r>
      <w:r w:rsidR="00BC3480">
        <w:t xml:space="preserve"> du projet ferait environ </w:t>
      </w:r>
      <w:r w:rsidR="6E117441">
        <w:t>deux</w:t>
      </w:r>
      <w:r w:rsidR="00BC3480">
        <w:t xml:space="preserve"> k</w:t>
      </w:r>
      <w:r w:rsidR="53A825B6">
        <w:t>ilo</w:t>
      </w:r>
      <w:r w:rsidR="00BC3480">
        <w:t>m</w:t>
      </w:r>
      <w:r w:rsidR="1877A298">
        <w:t>ètres</w:t>
      </w:r>
      <w:r w:rsidR="00BC3480">
        <w:t>, attribuent la même note au niveau des coûts</w:t>
      </w:r>
      <w:r w:rsidR="00374F4D">
        <w:t xml:space="preserve"> et investissements</w:t>
      </w:r>
      <w:r w:rsidR="002B27C7">
        <w:t xml:space="preserve"> qu’un tunnel de 20 kilomètres</w:t>
      </w:r>
      <w:r w:rsidR="00374F4D">
        <w:t>. Ils indiquent qu’il en coûterait environ 200 millions de dollars par kilomètre</w:t>
      </w:r>
      <w:r w:rsidR="00BD2BDF">
        <w:t xml:space="preserve"> pour </w:t>
      </w:r>
      <w:r w:rsidR="002B27C7">
        <w:t xml:space="preserve">creuser </w:t>
      </w:r>
      <w:r w:rsidR="00BD2BDF">
        <w:t xml:space="preserve">un tunnel. Convenons qu’un projet de </w:t>
      </w:r>
      <w:r w:rsidR="1DB43686">
        <w:t>deux</w:t>
      </w:r>
      <w:r w:rsidR="00BD2BDF">
        <w:t xml:space="preserve"> k</w:t>
      </w:r>
      <w:r w:rsidR="6105B95A">
        <w:t>ilo</w:t>
      </w:r>
      <w:r w:rsidR="00BD2BDF">
        <w:t>m</w:t>
      </w:r>
      <w:r w:rsidR="00467879">
        <w:t>ètres</w:t>
      </w:r>
      <w:r w:rsidR="00BD2BDF">
        <w:t xml:space="preserve"> </w:t>
      </w:r>
      <w:r w:rsidR="000D5537">
        <w:t xml:space="preserve">sous terre </w:t>
      </w:r>
      <w:r w:rsidR="00BD2BDF">
        <w:t>est passablement moins coûteux à cet égard qu’un projet d’une vingtaine de kilomètres</w:t>
      </w:r>
      <w:r w:rsidR="007B02DF">
        <w:t>. Or,</w:t>
      </w:r>
      <w:r w:rsidR="00421424">
        <w:t xml:space="preserve"> cette exp</w:t>
      </w:r>
      <w:r w:rsidR="007B02DF">
        <w:t>ertise</w:t>
      </w:r>
      <w:r w:rsidR="00421424">
        <w:t xml:space="preserve"> ne le fait pas ressortir</w:t>
      </w:r>
      <w:r w:rsidR="00BD2BDF">
        <w:t>.</w:t>
      </w:r>
    </w:p>
    <w:p w14:paraId="45FE3336" w14:textId="4C040DFF" w:rsidR="00615419" w:rsidRDefault="000B49C8" w:rsidP="007D7CA2">
      <w:pPr>
        <w:pStyle w:val="Paragrdouble"/>
        <w:spacing w:line="240" w:lineRule="auto"/>
      </w:pPr>
      <w:r>
        <w:t xml:space="preserve">Les commentaires avisés de Monsieur Gosselin en regard de la </w:t>
      </w:r>
      <w:r w:rsidR="008503ED">
        <w:t>circulation des véhicules d’urgence semblent avoir été tenus compte</w:t>
      </w:r>
      <w:r w:rsidR="00EE3069">
        <w:t xml:space="preserve"> dans les études réalisées par la Ville.</w:t>
      </w:r>
    </w:p>
    <w:p w14:paraId="71DB9317" w14:textId="28EAD10B" w:rsidR="00EE3069" w:rsidRDefault="00EE3069" w:rsidP="007D7CA2">
      <w:pPr>
        <w:pStyle w:val="Paragrdouble"/>
        <w:spacing w:line="240" w:lineRule="auto"/>
      </w:pPr>
      <w:r>
        <w:t>Bien qu</w:t>
      </w:r>
      <w:r w:rsidR="00447C37">
        <w:t>’</w:t>
      </w:r>
      <w:r>
        <w:t>intéressant</w:t>
      </w:r>
      <w:r w:rsidR="00447C37">
        <w:t>, le rapport de Messieurs Poussart et Gosselin n’est pas utile au Tribunal qui doit décider de la légalité du processus qui a mené au choix du tramway</w:t>
      </w:r>
      <w:r w:rsidR="1B0A1B29">
        <w:t xml:space="preserve"> et de la décision quant à ce mode de transport</w:t>
      </w:r>
      <w:r w:rsidR="00447C37">
        <w:t>.</w:t>
      </w:r>
    </w:p>
    <w:p w14:paraId="5EBCADC1" w14:textId="712B48DC" w:rsidR="00164DD7" w:rsidRPr="008A5392" w:rsidRDefault="00610AEB" w:rsidP="007D7CA2">
      <w:pPr>
        <w:pStyle w:val="Paragrdouble"/>
        <w:spacing w:line="240" w:lineRule="auto"/>
      </w:pPr>
      <w:r>
        <w:t>Le Tribunal rejette donc les rapports et les témoignages de ces témoins experts</w:t>
      </w:r>
      <w:r w:rsidR="009F5F68">
        <w:t xml:space="preserve">, </w:t>
      </w:r>
      <w:r w:rsidR="00421424">
        <w:t>avec respect pour</w:t>
      </w:r>
      <w:r w:rsidR="009F5F68">
        <w:t xml:space="preserve"> leurs compétences évidentes</w:t>
      </w:r>
      <w:r>
        <w:t>.</w:t>
      </w:r>
    </w:p>
    <w:p w14:paraId="524C0444" w14:textId="254A248F" w:rsidR="004F2DF2" w:rsidRDefault="004F2DF2" w:rsidP="00303B65">
      <w:pPr>
        <w:pStyle w:val="Titre3"/>
      </w:pPr>
      <w:bookmarkStart w:id="15" w:name="_Toc124755341"/>
      <w:r>
        <w:t>La demande</w:t>
      </w:r>
      <w:r w:rsidR="00D372CB">
        <w:t xml:space="preserve"> </w:t>
      </w:r>
      <w:r w:rsidR="003062B4">
        <w:t>d</w:t>
      </w:r>
      <w:r w:rsidR="007F42FA">
        <w:t xml:space="preserve">e </w:t>
      </w:r>
      <w:r>
        <w:t>nul</w:t>
      </w:r>
      <w:r w:rsidR="00C42D59">
        <w:t>lité</w:t>
      </w:r>
      <w:r>
        <w:t xml:space="preserve"> du décret 655-2022</w:t>
      </w:r>
      <w:bookmarkEnd w:id="15"/>
    </w:p>
    <w:p w14:paraId="44EB361E" w14:textId="47774DFE" w:rsidR="001E6930" w:rsidRDefault="00097862" w:rsidP="001E6930">
      <w:pPr>
        <w:pStyle w:val="Paragrdouble"/>
        <w:spacing w:line="240" w:lineRule="auto"/>
      </w:pPr>
      <w:r>
        <w:t>S</w:t>
      </w:r>
      <w:r w:rsidR="000C02E7">
        <w:t>ans vouloir minimiser les autres arguments des demandeurs,</w:t>
      </w:r>
      <w:r w:rsidR="005966F5">
        <w:t xml:space="preserve"> l’essentiel du temps consacré</w:t>
      </w:r>
      <w:r w:rsidR="00BE66E3">
        <w:t xml:space="preserve"> à débattre des questions soumises au Tribunal vise </w:t>
      </w:r>
      <w:r w:rsidR="00C42D59">
        <w:t>la n</w:t>
      </w:r>
      <w:r w:rsidR="00BE66E3">
        <w:t xml:space="preserve">ullité du décret </w:t>
      </w:r>
      <w:r>
        <w:t>adopté par le Conseil des ministres le 6 avril 2022</w:t>
      </w:r>
      <w:r w:rsidR="00CD5A3C">
        <w:t xml:space="preserve"> suivant l</w:t>
      </w:r>
      <w:r w:rsidR="00D208A6">
        <w:t xml:space="preserve">’article </w:t>
      </w:r>
      <w:r w:rsidR="0023453E">
        <w:t>31.</w:t>
      </w:r>
      <w:r w:rsidR="007D5A54">
        <w:t>5</w:t>
      </w:r>
      <w:r w:rsidR="00D208A6">
        <w:t xml:space="preserve"> LQE et autorisant les travaux </w:t>
      </w:r>
      <w:r w:rsidR="00CD5A3C">
        <w:t>p</w:t>
      </w:r>
      <w:r>
        <w:t>réparatoires du projet de tramway.</w:t>
      </w:r>
    </w:p>
    <w:p w14:paraId="5D0D6BD4" w14:textId="7F633DE4" w:rsidR="00B50CA6" w:rsidRPr="0059119E" w:rsidRDefault="00B50CA6" w:rsidP="00B50CA6">
      <w:pPr>
        <w:pStyle w:val="Paragraphe"/>
        <w:numPr>
          <w:ilvl w:val="0"/>
          <w:numId w:val="1"/>
        </w:numPr>
        <w:tabs>
          <w:tab w:val="clear" w:pos="360"/>
          <w:tab w:val="left" w:pos="709"/>
        </w:tabs>
        <w:spacing w:line="240" w:lineRule="auto"/>
        <w:rPr>
          <w:rFonts w:cs="Arial"/>
        </w:rPr>
      </w:pPr>
      <w:r w:rsidRPr="0059119E">
        <w:rPr>
          <w:rFonts w:cs="Arial"/>
        </w:rPr>
        <w:lastRenderedPageBreak/>
        <w:t xml:space="preserve">Essentiellement, le décret </w:t>
      </w:r>
      <w:r>
        <w:rPr>
          <w:rFonts w:cs="Arial"/>
        </w:rPr>
        <w:t xml:space="preserve">de </w:t>
      </w:r>
      <w:r w:rsidR="00EC7259">
        <w:rPr>
          <w:rFonts w:cs="Arial"/>
        </w:rPr>
        <w:t>10</w:t>
      </w:r>
      <w:r>
        <w:rPr>
          <w:rFonts w:cs="Arial"/>
        </w:rPr>
        <w:t xml:space="preserve"> pages </w:t>
      </w:r>
      <w:r w:rsidRPr="0059119E">
        <w:rPr>
          <w:rFonts w:cs="Arial"/>
        </w:rPr>
        <w:t>sous étude énonce ce qui suit :</w:t>
      </w:r>
    </w:p>
    <w:p w14:paraId="66EE7D67" w14:textId="77777777" w:rsidR="00B50CA6" w:rsidRPr="0059119E" w:rsidRDefault="00B50CA6" w:rsidP="00B50CA6">
      <w:pPr>
        <w:spacing w:before="120" w:after="120" w:line="280" w:lineRule="atLeast"/>
        <w:ind w:left="708" w:right="752"/>
        <w:jc w:val="both"/>
        <w:rPr>
          <w:rFonts w:cs="Arial"/>
          <w:sz w:val="22"/>
          <w:szCs w:val="22"/>
        </w:rPr>
      </w:pPr>
      <w:r w:rsidRPr="00F26B15">
        <w:rPr>
          <w:rFonts w:cs="Arial"/>
          <w:sz w:val="22"/>
          <w:szCs w:val="22"/>
        </w:rPr>
        <w:t>ATTENDU que, en vertu du premier alinéa de l’article 31.6 de la Loi sur la qualité de l’environnement, le gouvernement peut, dans son autorisation, soustraire tout ou partie d’un projet de l’application de l’article 22 de cette loi aux conditions qu’il détermine;</w:t>
      </w:r>
    </w:p>
    <w:p w14:paraId="56079230" w14:textId="2D4D5A05" w:rsidR="2F076BB5" w:rsidRDefault="2F076BB5" w:rsidP="70DC77BA">
      <w:pPr>
        <w:spacing w:before="120" w:after="120" w:line="280" w:lineRule="atLeast"/>
        <w:ind w:left="708" w:right="752"/>
        <w:jc w:val="both"/>
        <w:rPr>
          <w:rFonts w:cs="Arial"/>
          <w:sz w:val="22"/>
          <w:szCs w:val="22"/>
        </w:rPr>
      </w:pPr>
      <w:r w:rsidRPr="00F26B15">
        <w:rPr>
          <w:rFonts w:cs="Arial"/>
          <w:sz w:val="22"/>
          <w:szCs w:val="22"/>
        </w:rPr>
        <w:t>(…)</w:t>
      </w:r>
    </w:p>
    <w:p w14:paraId="1561D9DB" w14:textId="77777777" w:rsidR="009122DA" w:rsidRDefault="00B50CA6" w:rsidP="00B50CA6">
      <w:pPr>
        <w:spacing w:before="120" w:after="120" w:line="280" w:lineRule="atLeast"/>
        <w:ind w:left="708" w:right="752"/>
        <w:jc w:val="both"/>
        <w:rPr>
          <w:rFonts w:cs="Arial"/>
          <w:sz w:val="22"/>
          <w:szCs w:val="22"/>
        </w:rPr>
      </w:pPr>
      <w:r w:rsidRPr="00FF3A71">
        <w:rPr>
          <w:rFonts w:cs="Arial"/>
          <w:sz w:val="22"/>
          <w:szCs w:val="22"/>
        </w:rPr>
        <w:t xml:space="preserve">ATTENDU qu’il y a lieu d’autoriser la réalisation du projet de construction d’un tramway entre les secteurs Chaudière et </w:t>
      </w:r>
      <w:r w:rsidR="4F025532" w:rsidRPr="00FF3A71">
        <w:rPr>
          <w:rFonts w:cs="Arial"/>
          <w:sz w:val="22"/>
          <w:szCs w:val="22"/>
        </w:rPr>
        <w:t>D</w:t>
      </w:r>
      <w:r w:rsidRPr="00FF3A71">
        <w:rPr>
          <w:rFonts w:cs="Arial"/>
          <w:sz w:val="22"/>
          <w:szCs w:val="22"/>
        </w:rPr>
        <w:t xml:space="preserve">’Estimauville sur le territoire de la </w:t>
      </w:r>
      <w:r w:rsidR="1BA86508" w:rsidRPr="00FF3A71">
        <w:rPr>
          <w:rFonts w:cs="Arial"/>
          <w:sz w:val="22"/>
          <w:szCs w:val="22"/>
        </w:rPr>
        <w:t>v</w:t>
      </w:r>
      <w:r w:rsidRPr="00FF3A71">
        <w:rPr>
          <w:rFonts w:cs="Arial"/>
          <w:sz w:val="22"/>
          <w:szCs w:val="22"/>
        </w:rPr>
        <w:t>ille de Québec, avec un tracé entre le pôle Saint-Roch et le pôle d’Estimauville, à certaines conditions;</w:t>
      </w:r>
    </w:p>
    <w:p w14:paraId="51BE917A" w14:textId="4F2D3BF4" w:rsidR="00B50CA6" w:rsidRPr="00FF3A71" w:rsidRDefault="00B50CA6" w:rsidP="00B50CA6">
      <w:pPr>
        <w:spacing w:before="120" w:after="120" w:line="280" w:lineRule="atLeast"/>
        <w:ind w:left="708" w:right="752"/>
        <w:jc w:val="both"/>
        <w:rPr>
          <w:rFonts w:cs="Arial"/>
          <w:sz w:val="22"/>
          <w:szCs w:val="22"/>
        </w:rPr>
      </w:pPr>
      <w:r w:rsidRPr="00FF3A71">
        <w:rPr>
          <w:rFonts w:cs="Arial"/>
          <w:sz w:val="22"/>
          <w:szCs w:val="22"/>
        </w:rPr>
        <w:t>IL EST ORDONNÉ, en conséquence, sur la recommandation du ministre de l’Environnement et de la Lutte contre les changements climatiques :</w:t>
      </w:r>
    </w:p>
    <w:p w14:paraId="16DFE7AA" w14:textId="138BF29B" w:rsidR="00B50CA6" w:rsidRPr="00FF3A71" w:rsidRDefault="00B50CA6" w:rsidP="00B50CA6">
      <w:pPr>
        <w:spacing w:before="120" w:after="120" w:line="280" w:lineRule="atLeast"/>
        <w:ind w:left="708" w:right="752"/>
        <w:jc w:val="both"/>
        <w:rPr>
          <w:rFonts w:cs="Arial"/>
          <w:sz w:val="22"/>
          <w:szCs w:val="22"/>
        </w:rPr>
      </w:pPr>
      <w:r w:rsidRPr="00FF3A71">
        <w:rPr>
          <w:rFonts w:cs="Arial"/>
          <w:sz w:val="22"/>
          <w:szCs w:val="22"/>
        </w:rPr>
        <w:t xml:space="preserve">Qu’une autorisation soit délivrée à la Ville de Québec pour le projet de la construction d’un tramway entre les secteurs Chaudière et </w:t>
      </w:r>
      <w:r w:rsidR="5B41AA89" w:rsidRPr="00FF3A71">
        <w:rPr>
          <w:rFonts w:cs="Arial"/>
          <w:sz w:val="22"/>
          <w:szCs w:val="22"/>
        </w:rPr>
        <w:t>D</w:t>
      </w:r>
      <w:r w:rsidRPr="00FF3A71">
        <w:rPr>
          <w:rFonts w:cs="Arial"/>
          <w:sz w:val="22"/>
          <w:szCs w:val="22"/>
        </w:rPr>
        <w:t xml:space="preserve">’Estimauville sur le territoire de la </w:t>
      </w:r>
      <w:r w:rsidR="748ED9A1" w:rsidRPr="00FF3A71">
        <w:rPr>
          <w:rFonts w:cs="Arial"/>
          <w:sz w:val="22"/>
          <w:szCs w:val="22"/>
        </w:rPr>
        <w:t>v</w:t>
      </w:r>
      <w:r w:rsidRPr="00FF3A71">
        <w:rPr>
          <w:rFonts w:cs="Arial"/>
          <w:sz w:val="22"/>
          <w:szCs w:val="22"/>
        </w:rPr>
        <w:t>ille de Québec, et ce, aux conditions suivantes :</w:t>
      </w:r>
    </w:p>
    <w:p w14:paraId="26C71F47" w14:textId="77777777" w:rsidR="00B50CA6" w:rsidRPr="009122DA" w:rsidRDefault="00B50CA6" w:rsidP="0013736D">
      <w:pPr>
        <w:spacing w:before="120" w:line="280" w:lineRule="atLeast"/>
        <w:ind w:left="708" w:right="752"/>
        <w:jc w:val="both"/>
        <w:rPr>
          <w:rFonts w:cs="Arial"/>
          <w:b/>
          <w:sz w:val="22"/>
          <w:szCs w:val="22"/>
        </w:rPr>
      </w:pPr>
      <w:r w:rsidRPr="009122DA">
        <w:rPr>
          <w:rFonts w:cs="Arial"/>
          <w:b/>
          <w:sz w:val="22"/>
          <w:szCs w:val="22"/>
        </w:rPr>
        <w:t>CONDITION 1 :</w:t>
      </w:r>
    </w:p>
    <w:p w14:paraId="4007BB50" w14:textId="77777777" w:rsidR="00B50CA6" w:rsidRPr="009122DA" w:rsidRDefault="00B50CA6" w:rsidP="009122DA">
      <w:pPr>
        <w:spacing w:after="120" w:line="280" w:lineRule="atLeast"/>
        <w:ind w:left="708" w:right="752"/>
        <w:jc w:val="both"/>
        <w:rPr>
          <w:rFonts w:cs="Arial"/>
          <w:sz w:val="22"/>
          <w:szCs w:val="22"/>
        </w:rPr>
      </w:pPr>
      <w:r w:rsidRPr="009122DA">
        <w:rPr>
          <w:rFonts w:cs="Arial"/>
          <w:sz w:val="22"/>
          <w:szCs w:val="22"/>
        </w:rPr>
        <w:t>DISPOSITIONS GÉNÉRALES</w:t>
      </w:r>
    </w:p>
    <w:p w14:paraId="03A9C1B6" w14:textId="1D9BB012" w:rsidR="00B50CA6" w:rsidRPr="009122DA" w:rsidRDefault="00B50CA6" w:rsidP="00B50CA6">
      <w:pPr>
        <w:spacing w:before="120" w:after="120" w:line="280" w:lineRule="atLeast"/>
        <w:ind w:left="708" w:right="752"/>
        <w:jc w:val="both"/>
        <w:rPr>
          <w:rFonts w:cs="Arial"/>
          <w:sz w:val="22"/>
          <w:szCs w:val="22"/>
        </w:rPr>
      </w:pPr>
      <w:r w:rsidRPr="009122DA">
        <w:rPr>
          <w:rFonts w:cs="Arial"/>
          <w:sz w:val="22"/>
          <w:szCs w:val="22"/>
        </w:rPr>
        <w:t xml:space="preserve">Sous réserve des autres conditions prévues à la présente autorisation, le projet de construction d’un tramway entre les secteurs Chaudière et </w:t>
      </w:r>
      <w:r w:rsidR="1C4037DF" w:rsidRPr="70DC77BA">
        <w:rPr>
          <w:rFonts w:cs="Arial"/>
          <w:sz w:val="22"/>
          <w:szCs w:val="22"/>
        </w:rPr>
        <w:t>D</w:t>
      </w:r>
      <w:r w:rsidRPr="009122DA">
        <w:rPr>
          <w:rFonts w:cs="Arial"/>
          <w:sz w:val="22"/>
          <w:szCs w:val="22"/>
        </w:rPr>
        <w:t xml:space="preserve">’Estimauville sur le territoire de la </w:t>
      </w:r>
      <w:r w:rsidR="79A1AA0C" w:rsidRPr="70DC77BA">
        <w:rPr>
          <w:rFonts w:cs="Arial"/>
          <w:sz w:val="22"/>
          <w:szCs w:val="22"/>
        </w:rPr>
        <w:t>v</w:t>
      </w:r>
      <w:r w:rsidRPr="009122DA">
        <w:rPr>
          <w:rFonts w:cs="Arial"/>
          <w:sz w:val="22"/>
          <w:szCs w:val="22"/>
        </w:rPr>
        <w:t>ille de Québec doit être conforme aux modalités et aux mesures prévues dans les documents suivants :</w:t>
      </w:r>
    </w:p>
    <w:p w14:paraId="227907D6" w14:textId="171625E0" w:rsidR="00B50CA6" w:rsidRPr="009122DA" w:rsidRDefault="00B50CA6" w:rsidP="00B50CA6">
      <w:pPr>
        <w:spacing w:before="120" w:after="120" w:line="280" w:lineRule="atLeast"/>
        <w:ind w:left="708" w:right="752"/>
        <w:jc w:val="both"/>
        <w:rPr>
          <w:rFonts w:cs="Arial"/>
          <w:sz w:val="22"/>
          <w:szCs w:val="22"/>
        </w:rPr>
      </w:pPr>
      <w:r w:rsidRPr="009122DA">
        <w:rPr>
          <w:rFonts w:cs="Arial"/>
          <w:sz w:val="22"/>
          <w:szCs w:val="22"/>
        </w:rPr>
        <w:t>(Sont ensuite énumérés les titres et référence</w:t>
      </w:r>
      <w:r w:rsidR="00961D3D" w:rsidRPr="009122DA">
        <w:rPr>
          <w:rFonts w:cs="Arial"/>
          <w:sz w:val="22"/>
          <w:szCs w:val="22"/>
        </w:rPr>
        <w:t>s</w:t>
      </w:r>
      <w:r w:rsidRPr="009122DA">
        <w:rPr>
          <w:rFonts w:cs="Arial"/>
          <w:sz w:val="22"/>
          <w:szCs w:val="22"/>
        </w:rPr>
        <w:t xml:space="preserve"> de 47 documents dont le nombre de pages varie </w:t>
      </w:r>
      <w:r w:rsidR="003B0097" w:rsidRPr="009122DA">
        <w:rPr>
          <w:rFonts w:cs="Arial"/>
          <w:sz w:val="22"/>
          <w:szCs w:val="22"/>
        </w:rPr>
        <w:t xml:space="preserve">pour chacun </w:t>
      </w:r>
      <w:r w:rsidRPr="009122DA">
        <w:rPr>
          <w:rFonts w:cs="Arial"/>
          <w:sz w:val="22"/>
          <w:szCs w:val="22"/>
        </w:rPr>
        <w:t>entre 1 et 821 pages</w:t>
      </w:r>
      <w:r w:rsidR="008E0E9C" w:rsidRPr="009122DA">
        <w:rPr>
          <w:rFonts w:cs="Arial"/>
          <w:sz w:val="22"/>
          <w:szCs w:val="22"/>
        </w:rPr>
        <w:t>.</w:t>
      </w:r>
      <w:r w:rsidRPr="009122DA">
        <w:rPr>
          <w:rFonts w:cs="Arial"/>
          <w:sz w:val="22"/>
          <w:szCs w:val="22"/>
        </w:rPr>
        <w:t>)</w:t>
      </w:r>
    </w:p>
    <w:p w14:paraId="75F8B89C" w14:textId="248576A5" w:rsidR="00BC1E71" w:rsidRPr="001E6930" w:rsidRDefault="00BC1E71" w:rsidP="001E6930">
      <w:pPr>
        <w:pStyle w:val="Paragrdouble"/>
        <w:spacing w:line="240" w:lineRule="auto"/>
      </w:pPr>
      <w:r>
        <w:t>Avant de discuter plus avant de la demande de nullité du décret</w:t>
      </w:r>
      <w:r w:rsidR="00953500">
        <w:t>, il convient de disposer d’un argument soulevé par le PGQ</w:t>
      </w:r>
      <w:r w:rsidR="003D26A7">
        <w:t xml:space="preserve"> relatif au délai</w:t>
      </w:r>
      <w:r w:rsidR="001D5109">
        <w:t xml:space="preserve"> d’introduction du recours</w:t>
      </w:r>
      <w:r w:rsidR="00953500">
        <w:t>.</w:t>
      </w:r>
    </w:p>
    <w:p w14:paraId="10A53F89" w14:textId="130CC076" w:rsidR="004F2DF2" w:rsidRPr="004F2DF2" w:rsidRDefault="004F2DF2" w:rsidP="004F2DF2">
      <w:pPr>
        <w:pStyle w:val="Titre4"/>
      </w:pPr>
      <w:bookmarkStart w:id="16" w:name="_Toc124755342"/>
      <w:r>
        <w:t>Le délai pour introduire le recours</w:t>
      </w:r>
      <w:bookmarkEnd w:id="16"/>
    </w:p>
    <w:p w14:paraId="460EC006" w14:textId="779DB142" w:rsidR="001E6930" w:rsidRDefault="001E6930" w:rsidP="001E6930">
      <w:pPr>
        <w:pStyle w:val="Paragrdouble"/>
        <w:spacing w:line="240" w:lineRule="auto"/>
      </w:pPr>
      <w:r>
        <w:t>Une action directe en nullité, comme c’est le cas pour les pourvois en contrôle judiciaire, peut être rejetée pour des motifs discrétionnaires, notamment pour le manque de diligence à intenter le recours</w:t>
      </w:r>
      <w:r w:rsidR="001D5109">
        <w:rPr>
          <w:rStyle w:val="Appelnotedebasdep"/>
        </w:rPr>
        <w:footnoteReference w:id="23"/>
      </w:r>
      <w:r>
        <w:t>.</w:t>
      </w:r>
    </w:p>
    <w:p w14:paraId="78F4A02B" w14:textId="77777777" w:rsidR="00643216" w:rsidRDefault="004F2DF2" w:rsidP="004F2DF2">
      <w:pPr>
        <w:pStyle w:val="Paragrdouble"/>
        <w:spacing w:line="240" w:lineRule="auto"/>
      </w:pPr>
      <w:r>
        <w:lastRenderedPageBreak/>
        <w:t xml:space="preserve">Un pourvoi en contrôle judiciaire doit être introduit dans un délai raisonnable comme le prescrit le </w:t>
      </w:r>
      <w:r w:rsidRPr="00114FBB">
        <w:rPr>
          <w:i/>
          <w:iCs/>
        </w:rPr>
        <w:t>Code de procédure civile</w:t>
      </w:r>
      <w:r>
        <w:rPr>
          <w:rStyle w:val="Appelnotedebasdep"/>
        </w:rPr>
        <w:footnoteReference w:id="24"/>
      </w:r>
      <w:r>
        <w:t>.</w:t>
      </w:r>
      <w:r w:rsidR="00ED501D">
        <w:t xml:space="preserve"> </w:t>
      </w:r>
    </w:p>
    <w:p w14:paraId="4067E51F" w14:textId="4E9DC774" w:rsidR="004F2DF2" w:rsidRDefault="00ED501D" w:rsidP="004F2DF2">
      <w:pPr>
        <w:pStyle w:val="Paragrdouble"/>
        <w:spacing w:line="240" w:lineRule="auto"/>
      </w:pPr>
      <w:r>
        <w:t xml:space="preserve">Règle générale, la jurisprudence a </w:t>
      </w:r>
      <w:r w:rsidR="00983119">
        <w:t>interprété ce délai comme étant de 30 jours</w:t>
      </w:r>
      <w:r w:rsidR="002E0AE6" w:rsidRPr="08ECA469">
        <w:rPr>
          <w:rStyle w:val="Appelnotedebasdep"/>
          <w:rFonts w:cs="Arial"/>
          <w:bdr w:val="none" w:sz="0" w:space="0" w:color="auto" w:frame="1"/>
          <w:lang w:eastAsia="fr-CA"/>
        </w:rPr>
        <w:footnoteReference w:id="25"/>
      </w:r>
      <w:r w:rsidR="00983119">
        <w:t>.</w:t>
      </w:r>
    </w:p>
    <w:p w14:paraId="53D0263F" w14:textId="481DF257" w:rsidR="00AE19FA" w:rsidRDefault="00AE19FA" w:rsidP="00AE19FA">
      <w:pPr>
        <w:pStyle w:val="Paragrdouble"/>
        <w:spacing w:line="240" w:lineRule="auto"/>
      </w:pPr>
      <w:r>
        <w:t xml:space="preserve">Le Tribunal jouit </w:t>
      </w:r>
      <w:r w:rsidR="00AA4011">
        <w:t xml:space="preserve">toutefois </w:t>
      </w:r>
      <w:r>
        <w:t>d’une discrétion judiciaire</w:t>
      </w:r>
      <w:r w:rsidRPr="08ECA469">
        <w:rPr>
          <w:rStyle w:val="Appelnotedebasdep"/>
          <w:rFonts w:cs="Arial"/>
          <w:bdr w:val="none" w:sz="0" w:space="0" w:color="auto" w:frame="1"/>
          <w:lang w:eastAsia="fr-CA"/>
        </w:rPr>
        <w:footnoteReference w:id="26"/>
      </w:r>
      <w:r>
        <w:t xml:space="preserve"> justifiée par des circonstances exceptionnelles</w:t>
      </w:r>
      <w:r w:rsidRPr="08ECA469">
        <w:rPr>
          <w:rStyle w:val="Appelnotedebasdep"/>
          <w:rFonts w:cs="Arial"/>
          <w:lang w:eastAsia="fr-CA"/>
        </w:rPr>
        <w:footnoteReference w:id="27"/>
      </w:r>
      <w:r>
        <w:t xml:space="preserve"> que la partie demanderesse doit </w:t>
      </w:r>
      <w:r w:rsidR="705B5625">
        <w:t>expliquer</w:t>
      </w:r>
      <w:r>
        <w:rPr>
          <w:rStyle w:val="Appelnotedebasdep"/>
        </w:rPr>
        <w:footnoteReference w:id="28"/>
      </w:r>
      <w:r>
        <w:t>. Le Tribunal doit dès lors analyser toutes les circonstances</w:t>
      </w:r>
      <w:r>
        <w:rPr>
          <w:rStyle w:val="Appelnotedebasdep"/>
        </w:rPr>
        <w:footnoteReference w:id="29"/>
      </w:r>
      <w:r>
        <w:t>.</w:t>
      </w:r>
      <w:r w:rsidR="00BC65A3" w:rsidRPr="00BC65A3">
        <w:t xml:space="preserve"> </w:t>
      </w:r>
      <w:r w:rsidR="00BC65A3" w:rsidRPr="006132AC">
        <w:rPr>
          <w:lang w:val="fr-FR"/>
        </w:rPr>
        <w:t>Il s’agit d’une question mixte de droit et de faits</w:t>
      </w:r>
      <w:r w:rsidR="00BC65A3" w:rsidRPr="006132AC">
        <w:rPr>
          <w:vertAlign w:val="superscript"/>
          <w:lang w:val="fr-FR"/>
        </w:rPr>
        <w:footnoteReference w:id="30"/>
      </w:r>
      <w:r w:rsidR="00BC65A3" w:rsidRPr="006132AC">
        <w:rPr>
          <w:lang w:val="fr-FR"/>
        </w:rPr>
        <w:t>.</w:t>
      </w:r>
    </w:p>
    <w:p w14:paraId="42836366" w14:textId="77777777" w:rsidR="00985CD7" w:rsidRDefault="00F4162B" w:rsidP="004F2DF2">
      <w:pPr>
        <w:pStyle w:val="Paragrdouble"/>
        <w:spacing w:line="240" w:lineRule="auto"/>
      </w:pPr>
      <w:r>
        <w:t xml:space="preserve">Le décret adopté le 6 avril 2022 a été publié le </w:t>
      </w:r>
      <w:r w:rsidR="00AD66E2">
        <w:t>20 avril 2022.</w:t>
      </w:r>
      <w:r w:rsidR="00124210">
        <w:t xml:space="preserve"> La procédure des demandeurs a été signifiée le 7 juillet</w:t>
      </w:r>
      <w:r w:rsidR="00ED501D">
        <w:t xml:space="preserve"> 2022, soit 78 jours </w:t>
      </w:r>
      <w:r w:rsidR="0027188C">
        <w:t>après la publication du décret</w:t>
      </w:r>
      <w:r w:rsidR="006132AC">
        <w:t xml:space="preserve">. </w:t>
      </w:r>
      <w:r w:rsidR="00562984">
        <w:t xml:space="preserve">Avant sa publication, la preuve ne permet de croire que les demandeurs avaient idée de ce qu’il contenait. </w:t>
      </w:r>
    </w:p>
    <w:p w14:paraId="155C1466" w14:textId="3EF0EBCF" w:rsidR="00F4162B" w:rsidRDefault="006132AC" w:rsidP="004F2DF2">
      <w:pPr>
        <w:pStyle w:val="Paragrdouble"/>
        <w:spacing w:line="240" w:lineRule="auto"/>
      </w:pPr>
      <w:r>
        <w:t>Alors</w:t>
      </w:r>
      <w:r w:rsidR="00985CD7">
        <w:t>,</w:t>
      </w:r>
      <w:r>
        <w:t xml:space="preserve"> qu</w:t>
      </w:r>
      <w:r w:rsidR="00985CD7">
        <w:t>elle est la preuve dont dispose le Tribunal pour justifier ces 78 jours</w:t>
      </w:r>
      <w:r>
        <w:t>?</w:t>
      </w:r>
    </w:p>
    <w:p w14:paraId="17257C2F" w14:textId="7D57F60B" w:rsidR="00643216" w:rsidRDefault="00643216" w:rsidP="004F2DF2">
      <w:pPr>
        <w:pStyle w:val="Paragrdouble"/>
        <w:spacing w:line="240" w:lineRule="auto"/>
      </w:pPr>
      <w:r>
        <w:t xml:space="preserve">D’abord, </w:t>
      </w:r>
      <w:r w:rsidR="00BF4544">
        <w:t>le pourvoi en contrôle judiciaire du décret est accompagné de nombreux recours qui auraient chacun</w:t>
      </w:r>
      <w:r w:rsidR="0079686C">
        <w:t>,</w:t>
      </w:r>
      <w:r w:rsidR="00BF4544">
        <w:t xml:space="preserve"> de manière indépendante</w:t>
      </w:r>
      <w:r w:rsidR="0079686C">
        <w:t>,</w:t>
      </w:r>
      <w:r w:rsidR="00BF4544">
        <w:t xml:space="preserve"> pu être institués dans des dossiers différents : un pourvoi en contrôle judiciaire d’un décret, une demande d’inconstitutionnalité </w:t>
      </w:r>
      <w:r w:rsidR="00AB7146">
        <w:t>de dispositions législatives</w:t>
      </w:r>
      <w:r w:rsidR="00BF4544">
        <w:t>, une demande de nullité d’un règlement municipal</w:t>
      </w:r>
      <w:r w:rsidR="007E5D74">
        <w:t>, une demande d’injonction au sens de la LQE</w:t>
      </w:r>
      <w:r w:rsidR="00F60070">
        <w:t>, une demande en dommages</w:t>
      </w:r>
      <w:r w:rsidR="51B3794B">
        <w:t>-intérêts</w:t>
      </w:r>
      <w:r w:rsidR="00F60070">
        <w:t xml:space="preserve"> </w:t>
      </w:r>
      <w:r w:rsidR="4E51DC38">
        <w:t xml:space="preserve">compensatoires </w:t>
      </w:r>
      <w:r w:rsidR="00F60070">
        <w:t>et</w:t>
      </w:r>
      <w:r w:rsidR="007E442D">
        <w:t xml:space="preserve"> </w:t>
      </w:r>
      <w:r w:rsidR="00F60070">
        <w:t>punitifs</w:t>
      </w:r>
      <w:r w:rsidR="00BF4544">
        <w:t xml:space="preserve"> et une demande d’injonction interlocutoire provisoire. </w:t>
      </w:r>
    </w:p>
    <w:p w14:paraId="02AEF273" w14:textId="104D0B40" w:rsidR="00CD0845" w:rsidRDefault="00513FBE" w:rsidP="004F2DF2">
      <w:pPr>
        <w:pStyle w:val="Paragrdouble"/>
        <w:spacing w:line="240" w:lineRule="auto"/>
      </w:pPr>
      <w:r>
        <w:t>Signalons que l</w:t>
      </w:r>
      <w:r w:rsidR="00BF4544">
        <w:t xml:space="preserve">’exigence du délai raisonnable ne joue pas </w:t>
      </w:r>
      <w:r>
        <w:t>en regard</w:t>
      </w:r>
      <w:r w:rsidR="00BF4544">
        <w:t xml:space="preserve"> des questions constitutionnelles (pouvoir de la Cour supérieure versus expropriation) </w:t>
      </w:r>
      <w:r w:rsidR="002902A1">
        <w:t xml:space="preserve">ou </w:t>
      </w:r>
      <w:r w:rsidR="00BF4544">
        <w:t xml:space="preserve">ayant trait à la </w:t>
      </w:r>
      <w:r w:rsidR="00BF4544" w:rsidRPr="000F3C5D">
        <w:rPr>
          <w:i/>
        </w:rPr>
        <w:lastRenderedPageBreak/>
        <w:t>Charte des droits et libertés de la personne</w:t>
      </w:r>
      <w:r w:rsidR="00BF4544" w:rsidRPr="00F04F7A">
        <w:t xml:space="preserve"> </w:t>
      </w:r>
      <w:r w:rsidR="00F86250" w:rsidRPr="00F04F7A">
        <w:t>ou à la C</w:t>
      </w:r>
      <w:r w:rsidR="00F86250" w:rsidRPr="000F3C5D">
        <w:rPr>
          <w:i/>
        </w:rPr>
        <w:t xml:space="preserve">harte canadienne </w:t>
      </w:r>
      <w:r w:rsidR="76CBE7EF" w:rsidRPr="70DC77BA">
        <w:rPr>
          <w:i/>
          <w:iCs/>
        </w:rPr>
        <w:t>des</w:t>
      </w:r>
      <w:r w:rsidR="00F86250" w:rsidRPr="70DC77BA">
        <w:rPr>
          <w:i/>
          <w:iCs/>
        </w:rPr>
        <w:t xml:space="preserve"> </w:t>
      </w:r>
      <w:r w:rsidR="00F86250" w:rsidRPr="000F3C5D">
        <w:rPr>
          <w:i/>
        </w:rPr>
        <w:t>droits et libertés</w:t>
      </w:r>
      <w:r w:rsidR="00F86250">
        <w:rPr>
          <w:i/>
        </w:rPr>
        <w:t xml:space="preserve"> </w:t>
      </w:r>
      <w:r w:rsidR="00BF4544">
        <w:rPr>
          <w:iCs/>
        </w:rPr>
        <w:t>(droit de vote et référendum)</w:t>
      </w:r>
      <w:r w:rsidR="00BF4544" w:rsidRPr="08ECA469">
        <w:rPr>
          <w:rStyle w:val="Appelnotedebasdep"/>
          <w:rFonts w:cs="Arial"/>
          <w:lang w:eastAsia="fr-CA"/>
        </w:rPr>
        <w:footnoteReference w:id="31"/>
      </w:r>
      <w:r w:rsidR="00BF4544">
        <w:t>.</w:t>
      </w:r>
      <w:r w:rsidR="00F35706">
        <w:t xml:space="preserve"> </w:t>
      </w:r>
    </w:p>
    <w:p w14:paraId="7F84C824" w14:textId="7D44DE47" w:rsidR="00E14D0D" w:rsidRDefault="00CD0845" w:rsidP="004F2DF2">
      <w:pPr>
        <w:pStyle w:val="Paragrdouble"/>
        <w:spacing w:line="240" w:lineRule="auto"/>
      </w:pPr>
      <w:r>
        <w:t xml:space="preserve">Certains aspects de ce litige n’étant pas soumis à la règle du délai raisonnable, </w:t>
      </w:r>
      <w:r w:rsidR="00082BC5">
        <w:t xml:space="preserve">cela </w:t>
      </w:r>
      <w:r>
        <w:t>fait en sorte que le Tribunal devrait statuer quant à ces objets. L’approche intégrée prônée par les demandeurs fait épargner des ressources judiciaires et favorise pour partie le rejet de l’argument de retard dans le dépôt du pourvoi.</w:t>
      </w:r>
    </w:p>
    <w:p w14:paraId="1971CD7D" w14:textId="68C5189E" w:rsidR="00614A36" w:rsidRDefault="00614A36" w:rsidP="00614A36">
      <w:pPr>
        <w:pStyle w:val="Paragrdouble"/>
        <w:spacing w:line="240" w:lineRule="auto"/>
      </w:pPr>
      <w:r>
        <w:t>La nature de l’organisme demandeur milite en faveur d’un délai raisonnable plus long comme en a déjà décidé la jurisprudence</w:t>
      </w:r>
      <w:r w:rsidRPr="08ECA469">
        <w:rPr>
          <w:rStyle w:val="Appelnotedebasdep"/>
          <w:rFonts w:cs="Arial"/>
          <w:lang w:eastAsia="fr-CA"/>
        </w:rPr>
        <w:footnoteReference w:id="32"/>
      </w:r>
      <w:r>
        <w:t xml:space="preserve">. La demanderesse Québec </w:t>
      </w:r>
      <w:r w:rsidR="120A6D8A">
        <w:t>M</w:t>
      </w:r>
      <w:r>
        <w:t xml:space="preserve">érite </w:t>
      </w:r>
      <w:r w:rsidR="3CB38B01">
        <w:t>M</w:t>
      </w:r>
      <w:r>
        <w:t>ieux a été officiellement créée le 1</w:t>
      </w:r>
      <w:r w:rsidRPr="004F2DF2">
        <w:rPr>
          <w:vertAlign w:val="superscript"/>
        </w:rPr>
        <w:t>er</w:t>
      </w:r>
      <w:r>
        <w:t xml:space="preserve"> juin 2022, soit 41 jours après la publication du décret qui a donné le feu vert à une importante étape de la mise en place du projet du tramway.</w:t>
      </w:r>
      <w:r w:rsidRPr="00DD51B8">
        <w:t xml:space="preserve"> </w:t>
      </w:r>
    </w:p>
    <w:p w14:paraId="3916EA28" w14:textId="303349C2" w:rsidR="00614A36" w:rsidRDefault="00614A36" w:rsidP="00614A36">
      <w:pPr>
        <w:pStyle w:val="Paragrdouble"/>
        <w:spacing w:line="240" w:lineRule="auto"/>
      </w:pPr>
      <w:r>
        <w:t>Pour créer cette personne morale, ses initiateurs ont dû réunir des membres et définir les objectifs de cet organisme à but non lucratif.</w:t>
      </w:r>
    </w:p>
    <w:p w14:paraId="477F2E2C" w14:textId="0ED08917" w:rsidR="00614A36" w:rsidRDefault="00614A36" w:rsidP="00614A36">
      <w:pPr>
        <w:pStyle w:val="Paragrdouble"/>
        <w:spacing w:line="240" w:lineRule="auto"/>
      </w:pPr>
      <w:r>
        <w:t xml:space="preserve">Est-il aussi besoin de spécifier que le travail des administrateurs de Québec </w:t>
      </w:r>
      <w:r w:rsidR="009E2494">
        <w:t>M</w:t>
      </w:r>
      <w:r>
        <w:t xml:space="preserve">érite </w:t>
      </w:r>
      <w:r w:rsidR="009E2494">
        <w:t>M</w:t>
      </w:r>
      <w:r>
        <w:t>ieux est bénévole et les personnes qui se portent personnellement demandeurs ne bénéficient pas d’une formation juridique</w:t>
      </w:r>
      <w:r w:rsidR="008E11D5">
        <w:t xml:space="preserve"> contrairement au</w:t>
      </w:r>
      <w:r w:rsidR="002A7D38">
        <w:t>x faits établis</w:t>
      </w:r>
      <w:r w:rsidR="00D774F6">
        <w:t xml:space="preserve"> dans l’affaire </w:t>
      </w:r>
      <w:r w:rsidR="00D774F6" w:rsidRPr="00900B3F">
        <w:rPr>
          <w:i/>
          <w:iCs/>
        </w:rPr>
        <w:t>Conseil régional de l'environnement de Montréal</w:t>
      </w:r>
      <w:r w:rsidR="00D774F6">
        <w:t xml:space="preserve"> c. </w:t>
      </w:r>
      <w:r w:rsidR="00D774F6" w:rsidRPr="00900B3F">
        <w:rPr>
          <w:i/>
          <w:iCs/>
        </w:rPr>
        <w:t>Québec (Procureur général</w:t>
      </w:r>
      <w:r w:rsidR="00D774F6">
        <w:t>)</w:t>
      </w:r>
      <w:r w:rsidR="00B65F79">
        <w:rPr>
          <w:rStyle w:val="Appelnotedebasdep"/>
        </w:rPr>
        <w:footnoteReference w:id="33"/>
      </w:r>
      <w:r w:rsidR="00D774F6">
        <w:t xml:space="preserve"> </w:t>
      </w:r>
      <w:r w:rsidR="00B65F79">
        <w:t>à laquelle le PGQ a référé le Tribunal</w:t>
      </w:r>
      <w:r w:rsidR="008F7402">
        <w:t>. I</w:t>
      </w:r>
      <w:r w:rsidR="00CE2C64">
        <w:t>l ne s’agit pas d’un organisme</w:t>
      </w:r>
      <w:r w:rsidR="006D588E">
        <w:t xml:space="preserve"> connu dans le monde de la protection de l’environnement formé de personnes qui connaissent les règles spécifiques à ce domaine</w:t>
      </w:r>
      <w:r>
        <w:t>.</w:t>
      </w:r>
      <w:r w:rsidR="000C443B">
        <w:t xml:space="preserve"> </w:t>
      </w:r>
    </w:p>
    <w:p w14:paraId="695D536F" w14:textId="50D54270" w:rsidR="00614A36" w:rsidRDefault="00E74D26" w:rsidP="00614A36">
      <w:pPr>
        <w:pStyle w:val="Paragrdouble"/>
        <w:spacing w:line="240" w:lineRule="auto"/>
      </w:pPr>
      <w:r>
        <w:t xml:space="preserve">Une vingtaine de </w:t>
      </w:r>
      <w:r w:rsidR="00614A36">
        <w:t xml:space="preserve">demandeurs se joignent à Québec </w:t>
      </w:r>
      <w:r w:rsidR="09E0F26C">
        <w:t>M</w:t>
      </w:r>
      <w:r w:rsidR="00614A36">
        <w:t xml:space="preserve">érite </w:t>
      </w:r>
      <w:r w:rsidR="10365D0C">
        <w:t>M</w:t>
      </w:r>
      <w:r w:rsidR="00614A36">
        <w:t>ieux, lesquels poursuivent un même but pour des motifs qui ne sont pas les mêmes.</w:t>
      </w:r>
    </w:p>
    <w:p w14:paraId="0D2CA6EB" w14:textId="7EE3B648" w:rsidR="00176D45" w:rsidRDefault="00694FD6" w:rsidP="000846DF">
      <w:pPr>
        <w:pStyle w:val="Paragrdouble"/>
        <w:spacing w:line="240" w:lineRule="auto"/>
      </w:pPr>
      <w:r>
        <w:t>La saine gestion des deniers publics fait partie des motifs qui permettent au Tribunal de prolonger le délai de 30 jours</w:t>
      </w:r>
      <w:r w:rsidRPr="00561ADD">
        <w:rPr>
          <w:rStyle w:val="Appelnotedebasdep"/>
          <w:rFonts w:cs="Arial"/>
          <w:szCs w:val="24"/>
          <w:lang w:eastAsia="fr-CA"/>
        </w:rPr>
        <w:footnoteReference w:id="34"/>
      </w:r>
      <w:r>
        <w:t xml:space="preserve">. </w:t>
      </w:r>
      <w:r w:rsidR="000F0DF5">
        <w:t>Le décret attaqué a trait à l’autorisation des travaux préliminaires pour le tramway</w:t>
      </w:r>
      <w:r w:rsidR="00C50B1C">
        <w:t xml:space="preserve">. Si le Tribunal rejetait le recours des demandeurs quant à cet aspect, le Tribunal est </w:t>
      </w:r>
      <w:r w:rsidR="006A5311">
        <w:t xml:space="preserve">aussi </w:t>
      </w:r>
      <w:r w:rsidR="00C50B1C">
        <w:t>conscient que, pour les travaux de réalisation, un autre décret sera vraisemblablement nécessaire et celui-ci pourrait être contesté</w:t>
      </w:r>
      <w:r w:rsidR="00C77A36">
        <w:t xml:space="preserve"> dans les délais. À ce moment, les coûts engendrés par le projet de tramway seraient plus élevés et</w:t>
      </w:r>
      <w:r w:rsidR="009D2810">
        <w:t xml:space="preserve">, un jugement qui </w:t>
      </w:r>
      <w:r w:rsidR="008C1BE4">
        <w:t>annulerait le nouveau décret serait plus dommageable pour l’ensemble des citoyens. Cet argument ne vaut pas</w:t>
      </w:r>
      <w:r w:rsidR="00346BEF">
        <w:t xml:space="preserve"> s’il ne s’inscrivait pas dans un contexte</w:t>
      </w:r>
      <w:r w:rsidR="00CA6311">
        <w:t xml:space="preserve"> plus large</w:t>
      </w:r>
      <w:r w:rsidR="00346BEF">
        <w:t xml:space="preserve"> comme celui dont il est ici fait état.</w:t>
      </w:r>
    </w:p>
    <w:p w14:paraId="10F606ED" w14:textId="74D9AFB5" w:rsidR="00AD66E2" w:rsidRDefault="00D86D93" w:rsidP="004F2DF2">
      <w:pPr>
        <w:pStyle w:val="Paragrdouble"/>
        <w:spacing w:line="240" w:lineRule="auto"/>
      </w:pPr>
      <w:r>
        <w:lastRenderedPageBreak/>
        <w:t>L</w:t>
      </w:r>
      <w:r w:rsidR="00AD66E2">
        <w:t xml:space="preserve">a complexité </w:t>
      </w:r>
      <w:r w:rsidR="00AF2F43">
        <w:t xml:space="preserve">du décret </w:t>
      </w:r>
      <w:r w:rsidR="00E74D26">
        <w:t xml:space="preserve">attaqué </w:t>
      </w:r>
      <w:r w:rsidR="00AD66E2">
        <w:t>est relativement importante : 18 conditions</w:t>
      </w:r>
      <w:r w:rsidR="006A4A85">
        <w:t>, 47 documents</w:t>
      </w:r>
      <w:r w:rsidR="004B0671">
        <w:t xml:space="preserve"> fournis par la Ville faisant 6000 pages</w:t>
      </w:r>
      <w:r w:rsidR="00614A36">
        <w:t>, accessibles</w:t>
      </w:r>
      <w:r w:rsidR="00082BC5">
        <w:t>, mais à trouver</w:t>
      </w:r>
      <w:r w:rsidR="00614A36">
        <w:t xml:space="preserve"> sur Internet</w:t>
      </w:r>
      <w:r w:rsidR="00292122">
        <w:t xml:space="preserve"> </w:t>
      </w:r>
      <w:r w:rsidR="00B73532">
        <w:t>parmi plusieurs autres</w:t>
      </w:r>
      <w:r w:rsidR="004B0671">
        <w:t>.</w:t>
      </w:r>
      <w:r w:rsidR="00E74D26">
        <w:t xml:space="preserve"> Tous les autres aspects</w:t>
      </w:r>
      <w:r w:rsidR="00044A4C">
        <w:t xml:space="preserve"> de ce dossier sont supportés par une preuve abondante.</w:t>
      </w:r>
    </w:p>
    <w:p w14:paraId="6D4A3689" w14:textId="62EBBA39" w:rsidR="00624AE8" w:rsidRDefault="00624AE8" w:rsidP="004F2DF2">
      <w:pPr>
        <w:pStyle w:val="Paragrdouble"/>
        <w:spacing w:line="240" w:lineRule="auto"/>
      </w:pPr>
      <w:r>
        <w:t xml:space="preserve">Québec </w:t>
      </w:r>
      <w:r w:rsidR="1439FC14">
        <w:t>M</w:t>
      </w:r>
      <w:r>
        <w:t xml:space="preserve">érite </w:t>
      </w:r>
      <w:r w:rsidR="60E00BE9">
        <w:t>M</w:t>
      </w:r>
      <w:r>
        <w:t xml:space="preserve">ieux a d’abord contacté un avocat qui a refusé de prendre le mandat. Un second a été approché, lequel a finalement </w:t>
      </w:r>
      <w:r w:rsidR="003A0B31">
        <w:t>référé aux avocats qui ont agi au dossier.</w:t>
      </w:r>
    </w:p>
    <w:p w14:paraId="31CC33A5" w14:textId="77777777" w:rsidR="008D4425" w:rsidRDefault="008D4425" w:rsidP="008D4425">
      <w:pPr>
        <w:pStyle w:val="Paragrdouble"/>
        <w:spacing w:line="240" w:lineRule="auto"/>
      </w:pPr>
      <w:r>
        <w:t xml:space="preserve">Les questions soulevées par les avocats des demandeurs démontrent un travail exceptionnel d’analyse. </w:t>
      </w:r>
    </w:p>
    <w:p w14:paraId="75D122FE" w14:textId="5D223AC8" w:rsidR="001109E1" w:rsidRDefault="003F4CA0" w:rsidP="008D4425">
      <w:pPr>
        <w:pStyle w:val="Paragrdouble"/>
        <w:spacing w:line="240" w:lineRule="auto"/>
      </w:pPr>
      <w:r>
        <w:t>Le 27 juin 2022, u</w:t>
      </w:r>
      <w:r w:rsidR="001109E1">
        <w:t>ne opinion juridique a été obtenue et, pour donner une dernière chance aux autorités publiques, une mise en demeure</w:t>
      </w:r>
      <w:r w:rsidR="00C60A60">
        <w:rPr>
          <w:rStyle w:val="Appelnotedebasdep"/>
        </w:rPr>
        <w:footnoteReference w:id="35"/>
      </w:r>
      <w:r w:rsidR="001109E1">
        <w:t xml:space="preserve"> a été transmise.</w:t>
      </w:r>
    </w:p>
    <w:p w14:paraId="2D7EB3A8" w14:textId="6A276DC8" w:rsidR="006132AC" w:rsidRDefault="00DD51B8" w:rsidP="006132AC">
      <w:pPr>
        <w:pStyle w:val="Paragrdouble"/>
        <w:spacing w:line="240" w:lineRule="auto"/>
      </w:pPr>
      <w:r>
        <w:t>Le financement d’un tel recours est fondé sur la participation citoyenne.</w:t>
      </w:r>
      <w:r w:rsidR="004F2DF2">
        <w:t xml:space="preserve"> </w:t>
      </w:r>
      <w:r w:rsidR="00917915">
        <w:t xml:space="preserve">La preuve démontre </w:t>
      </w:r>
      <w:r w:rsidR="00D464BC">
        <w:t xml:space="preserve">que </w:t>
      </w:r>
      <w:r w:rsidR="00A4322B">
        <w:t>3 200 personnes ont participé au financement de ce recours.</w:t>
      </w:r>
    </w:p>
    <w:p w14:paraId="0B3811E3" w14:textId="056FAE5B" w:rsidR="000846DF" w:rsidRDefault="00A4322B" w:rsidP="00A4322B">
      <w:pPr>
        <w:pStyle w:val="Paragrdouble"/>
        <w:spacing w:line="240" w:lineRule="auto"/>
      </w:pPr>
      <w:r>
        <w:t xml:space="preserve">Le Tribunal reconnaît que les demandeurs ont fait preuve d’ingéniosité et de persévérance. </w:t>
      </w:r>
      <w:r w:rsidR="00F40F51">
        <w:t>Ils n’ont pas dormi sur leurs droits</w:t>
      </w:r>
      <w:r w:rsidR="00F40F51">
        <w:rPr>
          <w:rStyle w:val="Appelnotedebasdep"/>
        </w:rPr>
        <w:footnoteReference w:id="36"/>
      </w:r>
      <w:r w:rsidR="00F40F51">
        <w:t>.</w:t>
      </w:r>
    </w:p>
    <w:p w14:paraId="3469D491" w14:textId="2342B4B5" w:rsidR="004F2DF2" w:rsidRDefault="00A4322B" w:rsidP="00A4322B">
      <w:pPr>
        <w:pStyle w:val="Paragrdouble"/>
        <w:spacing w:line="240" w:lineRule="auto"/>
      </w:pPr>
      <w:r>
        <w:t>L</w:t>
      </w:r>
      <w:r w:rsidR="006132AC">
        <w:t>e Tribunal est d’avis que le présent dossier est exceptionnel.</w:t>
      </w:r>
      <w:r w:rsidR="00C30575">
        <w:t xml:space="preserve"> Le recours des demandeurs a été intenté dans un délai raisonnable.</w:t>
      </w:r>
    </w:p>
    <w:p w14:paraId="7CCF46A5" w14:textId="113A9449" w:rsidR="00C23572" w:rsidRDefault="00C23572" w:rsidP="00C23572">
      <w:pPr>
        <w:pStyle w:val="Titre4"/>
      </w:pPr>
      <w:bookmarkStart w:id="17" w:name="_Toc124755343"/>
      <w:r>
        <w:t>L</w:t>
      </w:r>
      <w:r w:rsidR="00331B34">
        <w:t>es motifs</w:t>
      </w:r>
      <w:r w:rsidR="00096ECB">
        <w:t xml:space="preserve"> de contestation du</w:t>
      </w:r>
      <w:r>
        <w:t xml:space="preserve"> décret</w:t>
      </w:r>
      <w:bookmarkEnd w:id="17"/>
    </w:p>
    <w:p w14:paraId="397BD367" w14:textId="5AD0D5EF" w:rsidR="00C23572" w:rsidRDefault="00AA11B5" w:rsidP="00C23572">
      <w:pPr>
        <w:pStyle w:val="Paragrdouble"/>
        <w:spacing w:line="240" w:lineRule="auto"/>
      </w:pPr>
      <w:r>
        <w:t xml:space="preserve">Les demandeurs </w:t>
      </w:r>
      <w:r w:rsidR="007838A4">
        <w:t>soumettent que ce décret constitue « une injustice, un abus de droit, un abus du pouvoir discrétionnaire et un excès de compétence, en raison</w:t>
      </w:r>
      <w:r w:rsidR="008418C4">
        <w:t xml:space="preserve"> de </w:t>
      </w:r>
      <w:r w:rsidR="008418C4">
        <w:rPr>
          <w:rFonts w:cs="Arial"/>
        </w:rPr>
        <w:t>[</w:t>
      </w:r>
      <w:r w:rsidR="008418C4">
        <w:t>son</w:t>
      </w:r>
      <w:r w:rsidR="008418C4">
        <w:rPr>
          <w:rFonts w:cs="Arial"/>
        </w:rPr>
        <w:t>]</w:t>
      </w:r>
      <w:r w:rsidR="008418C4">
        <w:t xml:space="preserve"> caractère déraisonnable, injustifiable et irrationnel</w:t>
      </w:r>
      <w:r w:rsidR="004B79AA">
        <w:t xml:space="preserve"> </w:t>
      </w:r>
      <w:r w:rsidR="008418C4">
        <w:t>équival</w:t>
      </w:r>
      <w:r w:rsidR="00FF190C">
        <w:t>a</w:t>
      </w:r>
      <w:r w:rsidR="008418C4">
        <w:t>nt à mauvaise foi »</w:t>
      </w:r>
      <w:r w:rsidR="008D5C97">
        <w:t xml:space="preserve">. De sa conception à son autorisation le 6 avril 2022, </w:t>
      </w:r>
      <w:r w:rsidR="000D32FC">
        <w:t xml:space="preserve">le décret serait fondé sur « le manque de vérité, de transparence, d’honnêteté, et d’imputabilité, justifiant la Cour de déclarer nul le décret </w:t>
      </w:r>
      <w:r w:rsidR="00147DB3">
        <w:t>655-2022 et le règlement RAVQ 1349 »</w:t>
      </w:r>
      <w:r w:rsidR="002515B0">
        <w:rPr>
          <w:rStyle w:val="Appelnotedebasdep"/>
        </w:rPr>
        <w:footnoteReference w:id="37"/>
      </w:r>
      <w:r w:rsidR="008418C4">
        <w:t>.</w:t>
      </w:r>
    </w:p>
    <w:p w14:paraId="5DEA7D73" w14:textId="019AA355" w:rsidR="008730F1" w:rsidRDefault="00DE2B69" w:rsidP="00C23572">
      <w:pPr>
        <w:pStyle w:val="Paragrdouble"/>
        <w:spacing w:line="240" w:lineRule="auto"/>
      </w:pPr>
      <w:r>
        <w:t>Plus spécifiquement, les demandeurs</w:t>
      </w:r>
      <w:r w:rsidR="008730F1">
        <w:t xml:space="preserve"> reprochent au gouvernement :</w:t>
      </w:r>
    </w:p>
    <w:p w14:paraId="47F4B529" w14:textId="142ABB93" w:rsidR="008730F1" w:rsidRDefault="008730F1" w:rsidP="005C14A5">
      <w:pPr>
        <w:pStyle w:val="Paragrdouble"/>
        <w:numPr>
          <w:ilvl w:val="0"/>
          <w:numId w:val="7"/>
        </w:numPr>
        <w:spacing w:line="240" w:lineRule="auto"/>
      </w:pPr>
      <w:r>
        <w:t>de n’avoir pu se prononcer par référendum sur le projet de tramway;</w:t>
      </w:r>
    </w:p>
    <w:p w14:paraId="605965C4" w14:textId="486823CF" w:rsidR="00AB118D" w:rsidRDefault="00AB118D" w:rsidP="005C14A5">
      <w:pPr>
        <w:pStyle w:val="Paragrdouble"/>
        <w:numPr>
          <w:ilvl w:val="0"/>
          <w:numId w:val="7"/>
        </w:numPr>
        <w:spacing w:line="240" w:lineRule="auto"/>
      </w:pPr>
      <w:r>
        <w:t>de n’avoir jamais pu participer à des consultations publiques en amont de la prise de décision sur le sujet le 16 mars 2018;</w:t>
      </w:r>
    </w:p>
    <w:p w14:paraId="35BD5854" w14:textId="68CF64FB" w:rsidR="00AB118D" w:rsidRDefault="00AB118D" w:rsidP="005C14A5">
      <w:pPr>
        <w:pStyle w:val="Paragrdouble"/>
        <w:numPr>
          <w:ilvl w:val="0"/>
          <w:numId w:val="7"/>
        </w:numPr>
        <w:spacing w:line="240" w:lineRule="auto"/>
      </w:pPr>
      <w:r>
        <w:t xml:space="preserve">d’ignorer </w:t>
      </w:r>
      <w:r w:rsidR="00555183">
        <w:t>l’absence</w:t>
      </w:r>
      <w:r>
        <w:t xml:space="preserve"> d’acceptabilité sociale relativement à ce projet;</w:t>
      </w:r>
    </w:p>
    <w:p w14:paraId="5C1AABE6" w14:textId="6F52C03F" w:rsidR="0010192E" w:rsidRDefault="0010192E" w:rsidP="005C14A5">
      <w:pPr>
        <w:pStyle w:val="Paragrdouble"/>
        <w:numPr>
          <w:ilvl w:val="0"/>
          <w:numId w:val="7"/>
        </w:numPr>
        <w:spacing w:line="240" w:lineRule="auto"/>
      </w:pPr>
      <w:r>
        <w:lastRenderedPageBreak/>
        <w:t>d’écarter les conclusions du rapport du BAPE;</w:t>
      </w:r>
    </w:p>
    <w:p w14:paraId="31990112" w14:textId="655699DA" w:rsidR="00B80ECA" w:rsidRDefault="00B80ECA" w:rsidP="005C14A5">
      <w:pPr>
        <w:pStyle w:val="Paragrdouble"/>
        <w:numPr>
          <w:ilvl w:val="0"/>
          <w:numId w:val="7"/>
        </w:numPr>
        <w:spacing w:line="240" w:lineRule="auto"/>
      </w:pPr>
      <w:r>
        <w:t>de ne pas tenir compte de la hausse des coûts de ce projet conçu en violation des règles d</w:t>
      </w:r>
      <w:r w:rsidR="005A277D">
        <w:t>e l’art</w:t>
      </w:r>
      <w:r>
        <w:t xml:space="preserve"> en matière d’ingénierie;</w:t>
      </w:r>
    </w:p>
    <w:p w14:paraId="61D8B20C" w14:textId="3F4A3BBC" w:rsidR="00512F58" w:rsidRDefault="00512F58" w:rsidP="005C14A5">
      <w:pPr>
        <w:pStyle w:val="Paragrdouble"/>
        <w:numPr>
          <w:ilvl w:val="0"/>
          <w:numId w:val="7"/>
        </w:numPr>
        <w:spacing w:line="240" w:lineRule="auto"/>
      </w:pPr>
      <w:r>
        <w:t xml:space="preserve">en se déchargeant sur la </w:t>
      </w:r>
      <w:r w:rsidR="003532F9">
        <w:t>V</w:t>
      </w:r>
      <w:r>
        <w:t>ille quant à l’obligation de résultat en matière d’acceptabilité sociale;</w:t>
      </w:r>
    </w:p>
    <w:p w14:paraId="45E4CE38" w14:textId="095E245A" w:rsidR="00DE2B69" w:rsidRDefault="004A643F" w:rsidP="005C14A5">
      <w:pPr>
        <w:pStyle w:val="Paragrdouble"/>
        <w:numPr>
          <w:ilvl w:val="0"/>
          <w:numId w:val="7"/>
        </w:numPr>
        <w:spacing w:line="240" w:lineRule="auto"/>
      </w:pPr>
      <w:r>
        <w:t>en ne prévoyant</w:t>
      </w:r>
      <w:r w:rsidR="003532F9">
        <w:t xml:space="preserve"> aucune condition sur les coûts limites du projet</w:t>
      </w:r>
      <w:r w:rsidR="00B93403">
        <w:t>.</w:t>
      </w:r>
    </w:p>
    <w:p w14:paraId="114E79F7" w14:textId="2EE8DD31" w:rsidR="00B93403" w:rsidRDefault="005A277D" w:rsidP="00C23572">
      <w:pPr>
        <w:pStyle w:val="Paragrdouble"/>
        <w:spacing w:line="240" w:lineRule="auto"/>
      </w:pPr>
      <w:r>
        <w:t xml:space="preserve">Puisqu’il n’y a eu aucune preuve administrée en regard des coûts, en violation </w:t>
      </w:r>
      <w:r w:rsidR="009C3BA9">
        <w:t>« </w:t>
      </w:r>
      <w:r>
        <w:t>des règles de l’art</w:t>
      </w:r>
      <w:r w:rsidR="005F73F0">
        <w:t xml:space="preserve"> en matière d’ingénierie</w:t>
      </w:r>
      <w:r w:rsidR="009C3BA9">
        <w:t xml:space="preserve"> »</w:t>
      </w:r>
      <w:r w:rsidR="005F73F0">
        <w:t>, le Tribunal dispose immédiatement de cet argument et le rejette. Voyons pour le reste.</w:t>
      </w:r>
    </w:p>
    <w:p w14:paraId="424347BD" w14:textId="0F5CC407" w:rsidR="00C37086" w:rsidRDefault="00517C48" w:rsidP="00C8713C">
      <w:pPr>
        <w:pStyle w:val="Titre4"/>
      </w:pPr>
      <w:bookmarkStart w:id="18" w:name="_Toc124755344"/>
      <w:r>
        <w:t>Le cadre juridique de cette demande de nullité</w:t>
      </w:r>
      <w:r w:rsidR="00C37086">
        <w:t xml:space="preserve"> du décret</w:t>
      </w:r>
      <w:bookmarkEnd w:id="18"/>
    </w:p>
    <w:p w14:paraId="618B801E" w14:textId="53F798C5" w:rsidR="00B74746" w:rsidRDefault="00B74746" w:rsidP="00C23572">
      <w:pPr>
        <w:pStyle w:val="Paragrdouble"/>
        <w:spacing w:line="240" w:lineRule="auto"/>
      </w:pPr>
      <w:r>
        <w:t>La Cour supérieure a un r</w:t>
      </w:r>
      <w:r w:rsidR="00B759FF">
        <w:t>ô</w:t>
      </w:r>
      <w:r>
        <w:t>le de contrôle et de surveillance sur tout ce qui se passe sur le territoire québécois</w:t>
      </w:r>
      <w:r w:rsidR="00071986">
        <w:t xml:space="preserve">, </w:t>
      </w:r>
      <w:r w:rsidR="00630957">
        <w:t xml:space="preserve">allant </w:t>
      </w:r>
      <w:r w:rsidR="00071986">
        <w:t xml:space="preserve">des tribunaux administratifs jusqu’au Conseil des ministres. </w:t>
      </w:r>
    </w:p>
    <w:p w14:paraId="17CA1D9C" w14:textId="18C3D39C" w:rsidR="00D41156" w:rsidRDefault="00C17638" w:rsidP="00C23572">
      <w:pPr>
        <w:pStyle w:val="Paragrdouble"/>
        <w:spacing w:line="240" w:lineRule="auto"/>
      </w:pPr>
      <w:r>
        <w:t>La Cour suprême</w:t>
      </w:r>
      <w:r w:rsidR="007373CF">
        <w:t xml:space="preserve"> a établi une norme de contrôle unique pour tous les décideurs, allant d’</w:t>
      </w:r>
      <w:r w:rsidR="00D41156">
        <w:t xml:space="preserve">un tribunal administratif </w:t>
      </w:r>
      <w:r w:rsidR="003B4A72">
        <w:t>aux plus hauts décideurs politiques. L</w:t>
      </w:r>
      <w:r w:rsidR="00436C11">
        <w:t xml:space="preserve">a </w:t>
      </w:r>
      <w:r w:rsidR="00D41156">
        <w:t>norme</w:t>
      </w:r>
      <w:r w:rsidR="002664FD">
        <w:t xml:space="preserve"> de la «</w:t>
      </w:r>
      <w:r w:rsidR="000B52C8">
        <w:t> </w:t>
      </w:r>
      <w:r w:rsidR="002664FD">
        <w:t>décision raisonnable »</w:t>
      </w:r>
      <w:r w:rsidR="00DB118C">
        <w:t xml:space="preserve"> est </w:t>
      </w:r>
      <w:r w:rsidR="00EF6A42">
        <w:t>défin</w:t>
      </w:r>
      <w:r w:rsidR="002664FD">
        <w:t>i</w:t>
      </w:r>
      <w:r w:rsidR="00F52B66">
        <w:t>e</w:t>
      </w:r>
      <w:r w:rsidR="002664FD">
        <w:t xml:space="preserve"> dans les arrêts-phares </w:t>
      </w:r>
      <w:r w:rsidR="002664FD" w:rsidRPr="004B11FD">
        <w:rPr>
          <w:i/>
          <w:iCs/>
        </w:rPr>
        <w:t>Dunsmuir</w:t>
      </w:r>
      <w:r w:rsidR="003A6F19">
        <w:rPr>
          <w:rStyle w:val="Appelnotedebasdep"/>
        </w:rPr>
        <w:footnoteReference w:id="38"/>
      </w:r>
      <w:r w:rsidR="002664FD">
        <w:t xml:space="preserve"> </w:t>
      </w:r>
      <w:r w:rsidR="00210EDB">
        <w:t>et</w:t>
      </w:r>
      <w:r w:rsidR="002664FD">
        <w:t xml:space="preserve"> </w:t>
      </w:r>
      <w:r w:rsidR="002664FD" w:rsidRPr="004B11FD">
        <w:rPr>
          <w:i/>
          <w:iCs/>
        </w:rPr>
        <w:t>Vav</w:t>
      </w:r>
      <w:r w:rsidR="006E1BA5" w:rsidRPr="004B11FD">
        <w:rPr>
          <w:i/>
          <w:iCs/>
        </w:rPr>
        <w:t>i</w:t>
      </w:r>
      <w:r w:rsidR="002664FD" w:rsidRPr="004B11FD">
        <w:rPr>
          <w:i/>
          <w:iCs/>
        </w:rPr>
        <w:t>lov</w:t>
      </w:r>
      <w:r w:rsidR="003A6F19">
        <w:rPr>
          <w:rStyle w:val="Appelnotedebasdep"/>
        </w:rPr>
        <w:footnoteReference w:id="39"/>
      </w:r>
      <w:r w:rsidR="008C5F99">
        <w:rPr>
          <w:i/>
          <w:iCs/>
        </w:rPr>
        <w:t>.</w:t>
      </w:r>
      <w:r w:rsidR="008B7873">
        <w:rPr>
          <w:i/>
          <w:iCs/>
        </w:rPr>
        <w:t> </w:t>
      </w:r>
    </w:p>
    <w:p w14:paraId="27644721" w14:textId="6488C2CB" w:rsidR="00A432CF" w:rsidRDefault="00344F69" w:rsidP="00A432CF">
      <w:pPr>
        <w:pStyle w:val="Paragrdouble"/>
        <w:spacing w:line="240" w:lineRule="auto"/>
      </w:pPr>
      <w:r>
        <w:t>L</w:t>
      </w:r>
      <w:r w:rsidR="00A432CF">
        <w:t xml:space="preserve">’arrêt </w:t>
      </w:r>
      <w:r w:rsidR="00A432CF" w:rsidRPr="00786D3A">
        <w:rPr>
          <w:i/>
          <w:iCs/>
        </w:rPr>
        <w:t>Vavilov</w:t>
      </w:r>
      <w:r w:rsidR="00A432CF">
        <w:t xml:space="preserve"> </w:t>
      </w:r>
      <w:r w:rsidR="002112DB">
        <w:t>rappelle</w:t>
      </w:r>
      <w:r w:rsidR="004828AA">
        <w:t xml:space="preserve"> à la Cour supérieure </w:t>
      </w:r>
      <w:r w:rsidR="00E42A3D">
        <w:t>le</w:t>
      </w:r>
      <w:r w:rsidR="004828AA">
        <w:t xml:space="preserve"> vaste éventail de décideurs </w:t>
      </w:r>
      <w:r w:rsidR="00B91A64">
        <w:t>soumis à son pouvoir de contrôle</w:t>
      </w:r>
      <w:r w:rsidR="40572B47">
        <w:t xml:space="preserve"> </w:t>
      </w:r>
      <w:r w:rsidR="004828AA">
        <w:t>:</w:t>
      </w:r>
    </w:p>
    <w:p w14:paraId="4D09843F" w14:textId="77777777" w:rsidR="00A432CF" w:rsidRPr="000B0D41" w:rsidRDefault="00A432CF" w:rsidP="00A432CF">
      <w:pPr>
        <w:pStyle w:val="Paragraphe"/>
        <w:tabs>
          <w:tab w:val="clear" w:pos="1636"/>
          <w:tab w:val="left" w:pos="709"/>
        </w:tabs>
        <w:spacing w:line="240" w:lineRule="auto"/>
        <w:ind w:left="708" w:right="610"/>
        <w:rPr>
          <w:sz w:val="22"/>
          <w:szCs w:val="18"/>
        </w:rPr>
      </w:pPr>
      <w:r w:rsidRPr="000B0D41">
        <w:rPr>
          <w:sz w:val="22"/>
          <w:szCs w:val="18"/>
        </w:rPr>
        <w:t xml:space="preserve">C. </w:t>
      </w:r>
      <w:r w:rsidRPr="000B0D41">
        <w:rPr>
          <w:i/>
          <w:iCs/>
          <w:sz w:val="22"/>
          <w:szCs w:val="18"/>
        </w:rPr>
        <w:t>La norme de la décision raisonnable est une norme unique qui tient compte du contexte</w:t>
      </w:r>
    </w:p>
    <w:p w14:paraId="012334C4" w14:textId="77777777" w:rsidR="00A432CF" w:rsidRDefault="00A432CF" w:rsidP="00A432CF">
      <w:pPr>
        <w:pStyle w:val="Paragraphe"/>
        <w:tabs>
          <w:tab w:val="clear" w:pos="1636"/>
          <w:tab w:val="left" w:pos="709"/>
        </w:tabs>
        <w:spacing w:line="240" w:lineRule="auto"/>
        <w:ind w:left="708" w:right="610"/>
        <w:rPr>
          <w:sz w:val="22"/>
          <w:szCs w:val="18"/>
        </w:rPr>
      </w:pPr>
      <w:r w:rsidRPr="000B0D41">
        <w:rPr>
          <w:sz w:val="22"/>
          <w:szCs w:val="18"/>
        </w:rPr>
        <w:t xml:space="preserve">[88] Lorsqu’on tente d’élaborer une méthode cohérente et unifiée de contrôle judiciaire, la diversité des décisions et </w:t>
      </w:r>
      <w:r w:rsidRPr="006E1BCE">
        <w:rPr>
          <w:sz w:val="22"/>
          <w:szCs w:val="18"/>
        </w:rPr>
        <w:t xml:space="preserve">des décideurs que doit prendre en compte cette méthode pose en soi un défi inéluctable. </w:t>
      </w:r>
      <w:r w:rsidRPr="006E1BCE">
        <w:rPr>
          <w:sz w:val="22"/>
          <w:szCs w:val="18"/>
          <w:u w:val="single"/>
        </w:rPr>
        <w:t>Les décideurs</w:t>
      </w:r>
      <w:r w:rsidRPr="006E1BCE">
        <w:rPr>
          <w:sz w:val="22"/>
          <w:szCs w:val="18"/>
        </w:rPr>
        <w:t xml:space="preserve"> dont les décisions peuvent faire l’objet d’un contrôle judiciaire </w:t>
      </w:r>
      <w:r w:rsidRPr="006E1BCE">
        <w:rPr>
          <w:sz w:val="22"/>
          <w:szCs w:val="18"/>
          <w:u w:val="single"/>
        </w:rPr>
        <w:t>vont des tribunaux spécialisés</w:t>
      </w:r>
      <w:r w:rsidRPr="006E1BCE">
        <w:rPr>
          <w:sz w:val="22"/>
          <w:szCs w:val="18"/>
        </w:rPr>
        <w:t xml:space="preserve"> exerçant des attributions judiciaires </w:t>
      </w:r>
      <w:r w:rsidRPr="006E1BCE">
        <w:rPr>
          <w:sz w:val="22"/>
          <w:szCs w:val="18"/>
          <w:u w:val="single"/>
        </w:rPr>
        <w:t>aux organismes de réglementation indépendants, aux ministres, aux décideurs de première ligne et plus encore.</w:t>
      </w:r>
      <w:r w:rsidRPr="006E1BCE">
        <w:rPr>
          <w:sz w:val="22"/>
          <w:szCs w:val="18"/>
        </w:rPr>
        <w:t xml:space="preserve"> Leurs décisions varient en complexité et en importance, allant des décisions banales à celles qui changent le cours d’une vie. </w:t>
      </w:r>
      <w:r w:rsidRPr="006E1BCE">
        <w:rPr>
          <w:sz w:val="22"/>
          <w:szCs w:val="18"/>
          <w:u w:val="single"/>
        </w:rPr>
        <w:t>Elles visent, d’une part, des questions « hautement politiques » et, d’autre part, des questions de « droit pur ».</w:t>
      </w:r>
      <w:r w:rsidRPr="006E1BCE">
        <w:rPr>
          <w:sz w:val="22"/>
          <w:szCs w:val="18"/>
        </w:rPr>
        <w:t xml:space="preserve"> Ces</w:t>
      </w:r>
      <w:r w:rsidRPr="000B0D41">
        <w:rPr>
          <w:sz w:val="22"/>
          <w:szCs w:val="18"/>
        </w:rPr>
        <w:t xml:space="preserve"> décisions font parfois intervenir des considérations techniques complexes. À d’autres moments, le bon sens et la logique ordinaire suffisent.</w:t>
      </w:r>
    </w:p>
    <w:p w14:paraId="1E686A23" w14:textId="2DC21AD0" w:rsidR="0006109D" w:rsidRPr="000B0D41" w:rsidRDefault="0006109D" w:rsidP="00A432CF">
      <w:pPr>
        <w:pStyle w:val="Paragraphe"/>
        <w:tabs>
          <w:tab w:val="clear" w:pos="1636"/>
          <w:tab w:val="left" w:pos="709"/>
        </w:tabs>
        <w:spacing w:line="240" w:lineRule="auto"/>
        <w:ind w:left="708" w:right="610"/>
        <w:rPr>
          <w:sz w:val="22"/>
          <w:szCs w:val="18"/>
        </w:rPr>
      </w:pPr>
      <w:r>
        <w:rPr>
          <w:sz w:val="22"/>
          <w:szCs w:val="18"/>
        </w:rPr>
        <w:t>(notre soulignement)</w:t>
      </w:r>
    </w:p>
    <w:p w14:paraId="054A7332" w14:textId="567585A7" w:rsidR="00354FFC" w:rsidRDefault="000B5350" w:rsidP="00C23572">
      <w:pPr>
        <w:pStyle w:val="Paragrdouble"/>
        <w:spacing w:line="240" w:lineRule="auto"/>
      </w:pPr>
      <w:r>
        <w:lastRenderedPageBreak/>
        <w:t>La Cour suprême</w:t>
      </w:r>
      <w:r w:rsidR="00CB1D9E">
        <w:t xml:space="preserve"> </w:t>
      </w:r>
      <w:r w:rsidR="007A74AA">
        <w:t xml:space="preserve">tient à préciser que </w:t>
      </w:r>
      <w:r w:rsidR="004A04C8">
        <w:t>même les éléments de contexte</w:t>
      </w:r>
      <w:r w:rsidR="007B300A">
        <w:t xml:space="preserve"> entourant une décision</w:t>
      </w:r>
      <w:r w:rsidR="00EC5335">
        <w:t xml:space="preserve"> ne changent</w:t>
      </w:r>
      <w:r w:rsidR="00A43742">
        <w:t xml:space="preserve"> </w:t>
      </w:r>
      <w:r w:rsidR="003C669B">
        <w:t xml:space="preserve">pas </w:t>
      </w:r>
      <w:r w:rsidR="00A43742">
        <w:t xml:space="preserve">l’examen à travers </w:t>
      </w:r>
      <w:r w:rsidR="00082BC5">
        <w:t>l</w:t>
      </w:r>
      <w:r w:rsidR="00A43742">
        <w:t>e prisme</w:t>
      </w:r>
      <w:r w:rsidR="00B70C4F">
        <w:t> </w:t>
      </w:r>
      <w:r w:rsidR="00082BC5">
        <w:t xml:space="preserve">de la norme de la « décision raisonnable » </w:t>
      </w:r>
      <w:r w:rsidR="00B70C4F">
        <w:t>:</w:t>
      </w:r>
    </w:p>
    <w:p w14:paraId="60467560" w14:textId="7B4A8F54" w:rsidR="001C512E" w:rsidRDefault="009E0050" w:rsidP="001C512E">
      <w:pPr>
        <w:pStyle w:val="Paragraphe"/>
        <w:tabs>
          <w:tab w:val="clear" w:pos="1636"/>
          <w:tab w:val="left" w:pos="709"/>
        </w:tabs>
        <w:spacing w:line="240" w:lineRule="auto"/>
        <w:ind w:left="708" w:right="610"/>
        <w:rPr>
          <w:rFonts w:cs="Arial"/>
          <w:sz w:val="22"/>
          <w:szCs w:val="22"/>
        </w:rPr>
      </w:pPr>
      <w:r w:rsidRPr="009E0050">
        <w:rPr>
          <w:rStyle w:val="ssbf"/>
          <w:rFonts w:cs="Arial"/>
          <w:color w:val="212121"/>
          <w:sz w:val="22"/>
          <w:szCs w:val="22"/>
          <w:bdr w:val="none" w:sz="0" w:space="0" w:color="auto" w:frame="1"/>
        </w:rPr>
        <w:t xml:space="preserve">[89] </w:t>
      </w:r>
      <w:r w:rsidRPr="003258C2">
        <w:rPr>
          <w:rStyle w:val="ssbf"/>
          <w:rFonts w:cs="Arial"/>
          <w:color w:val="212121"/>
          <w:sz w:val="22"/>
          <w:szCs w:val="22"/>
          <w:u w:val="single"/>
          <w:bdr w:val="none" w:sz="0" w:space="0" w:color="auto" w:frame="1"/>
        </w:rPr>
        <w:t>Malgré</w:t>
      </w:r>
      <w:r w:rsidR="001C512E" w:rsidRPr="003258C2">
        <w:rPr>
          <w:rFonts w:cs="Arial"/>
          <w:sz w:val="22"/>
          <w:szCs w:val="22"/>
          <w:u w:val="single"/>
        </w:rPr>
        <w:t xml:space="preserve"> cette diversité, la norme de la décision raisonnable demeure une norme unique</w:t>
      </w:r>
      <w:r w:rsidR="001C512E" w:rsidRPr="00072A8B">
        <w:rPr>
          <w:rFonts w:cs="Arial"/>
          <w:sz w:val="22"/>
          <w:szCs w:val="22"/>
          <w:u w:val="single"/>
        </w:rPr>
        <w:t>, et les</w:t>
      </w:r>
      <w:r w:rsidR="001C512E" w:rsidRPr="00F95563">
        <w:rPr>
          <w:rFonts w:cs="Arial"/>
          <w:sz w:val="22"/>
          <w:szCs w:val="22"/>
          <w:u w:val="single"/>
        </w:rPr>
        <w:t xml:space="preserve"> éléments du contexte entourant une décision n'altèrent pas cette norme ou le degré d'examen que doit appliquer une cour de révision</w:t>
      </w:r>
      <w:r w:rsidR="001C512E" w:rsidRPr="001C512E">
        <w:rPr>
          <w:rFonts w:cs="Arial"/>
          <w:sz w:val="22"/>
          <w:szCs w:val="22"/>
        </w:rPr>
        <w:t>. Le contexte particulier d'une décision circonscrit plutôt la latitude du décideur administratif en matière de décision raisonnable dans un cas donné. C'est ce que l'on entend quand on affirme que "[l]a raisonnabilité constitue une norme unique qui s'adapte au contexte" : </w:t>
      </w:r>
      <w:r w:rsidR="001C512E" w:rsidRPr="001C512E">
        <w:rPr>
          <w:rStyle w:val="ssit"/>
          <w:rFonts w:cs="Arial"/>
          <w:i/>
          <w:iCs/>
          <w:color w:val="212121"/>
          <w:sz w:val="22"/>
          <w:szCs w:val="22"/>
          <w:bdr w:val="none" w:sz="0" w:space="0" w:color="auto" w:frame="1"/>
        </w:rPr>
        <w:t>Khosa</w:t>
      </w:r>
      <w:r w:rsidR="001C512E" w:rsidRPr="001C512E">
        <w:rPr>
          <w:rFonts w:cs="Arial"/>
          <w:sz w:val="22"/>
          <w:szCs w:val="22"/>
        </w:rPr>
        <w:t>, par. 59; </w:t>
      </w:r>
      <w:r w:rsidR="001C512E" w:rsidRPr="001C512E">
        <w:rPr>
          <w:rStyle w:val="ssit"/>
          <w:rFonts w:cs="Arial"/>
          <w:i/>
          <w:iCs/>
          <w:color w:val="212121"/>
          <w:sz w:val="22"/>
          <w:szCs w:val="22"/>
          <w:bdr w:val="none" w:sz="0" w:space="0" w:color="auto" w:frame="1"/>
        </w:rPr>
        <w:t>Catalyst</w:t>
      </w:r>
      <w:r w:rsidR="001C512E" w:rsidRPr="001C512E">
        <w:rPr>
          <w:rFonts w:cs="Arial"/>
          <w:sz w:val="22"/>
          <w:szCs w:val="22"/>
        </w:rPr>
        <w:t>, par. 18; </w:t>
      </w:r>
      <w:r w:rsidR="001C512E" w:rsidRPr="001C512E">
        <w:rPr>
          <w:rStyle w:val="ssit"/>
          <w:rFonts w:cs="Arial"/>
          <w:i/>
          <w:iCs/>
          <w:color w:val="212121"/>
          <w:sz w:val="22"/>
          <w:szCs w:val="22"/>
          <w:bdr w:val="none" w:sz="0" w:space="0" w:color="auto" w:frame="1"/>
        </w:rPr>
        <w:t>Halifax (Regional Municipality) c. Nouvelle-Écosse (Human Rights Commission</w:t>
      </w:r>
      <w:r w:rsidR="001C512E" w:rsidRPr="00CF1C03">
        <w:rPr>
          <w:rStyle w:val="ssit"/>
          <w:rFonts w:cs="Arial"/>
          <w:i/>
          <w:iCs/>
          <w:sz w:val="22"/>
          <w:szCs w:val="22"/>
          <w:bdr w:val="none" w:sz="0" w:space="0" w:color="auto" w:frame="1"/>
        </w:rPr>
        <w:t>)</w:t>
      </w:r>
      <w:r w:rsidR="001C512E" w:rsidRPr="00CF1C03">
        <w:rPr>
          <w:rFonts w:cs="Arial"/>
          <w:sz w:val="22"/>
          <w:szCs w:val="22"/>
        </w:rPr>
        <w:t>, </w:t>
      </w:r>
      <w:r w:rsidR="001C512E" w:rsidRPr="00CF1C03">
        <w:rPr>
          <w:rFonts w:cs="Arial"/>
          <w:sz w:val="22"/>
          <w:szCs w:val="22"/>
          <w:bdr w:val="none" w:sz="0" w:space="0" w:color="auto" w:frame="1"/>
        </w:rPr>
        <w:t>2012 CSC 10</w:t>
      </w:r>
      <w:r w:rsidR="001C512E" w:rsidRPr="00CF1C03">
        <w:rPr>
          <w:rFonts w:cs="Arial"/>
          <w:sz w:val="22"/>
          <w:szCs w:val="22"/>
        </w:rPr>
        <w:t>, </w:t>
      </w:r>
      <w:r w:rsidR="001C512E" w:rsidRPr="00CF1C03">
        <w:rPr>
          <w:rFonts w:cs="Arial"/>
          <w:sz w:val="22"/>
          <w:szCs w:val="22"/>
          <w:bdr w:val="none" w:sz="0" w:space="0" w:color="auto" w:frame="1"/>
        </w:rPr>
        <w:t>[2012] 1 R.C.S. 364</w:t>
      </w:r>
      <w:r w:rsidR="001C512E" w:rsidRPr="00CF1C03">
        <w:rPr>
          <w:rFonts w:cs="Arial"/>
          <w:sz w:val="22"/>
          <w:szCs w:val="22"/>
        </w:rPr>
        <w:t>, par. 44; </w:t>
      </w:r>
      <w:r w:rsidR="001C512E" w:rsidRPr="00CF1C03">
        <w:rPr>
          <w:rStyle w:val="ssit"/>
          <w:rFonts w:cs="Arial"/>
          <w:i/>
          <w:iCs/>
          <w:sz w:val="22"/>
          <w:szCs w:val="22"/>
          <w:bdr w:val="none" w:sz="0" w:space="0" w:color="auto" w:frame="1"/>
        </w:rPr>
        <w:t>Wilson</w:t>
      </w:r>
      <w:r w:rsidR="001C512E" w:rsidRPr="00CF1C03">
        <w:rPr>
          <w:rFonts w:cs="Arial"/>
          <w:sz w:val="22"/>
          <w:szCs w:val="22"/>
        </w:rPr>
        <w:t>, par. 22, la juge Abella; </w:t>
      </w:r>
      <w:r w:rsidR="001C512E" w:rsidRPr="00CF1C03">
        <w:rPr>
          <w:rStyle w:val="ssit"/>
          <w:rFonts w:cs="Arial"/>
          <w:i/>
          <w:iCs/>
          <w:sz w:val="22"/>
          <w:szCs w:val="22"/>
          <w:bdr w:val="none" w:sz="0" w:space="0" w:color="auto" w:frame="1"/>
        </w:rPr>
        <w:t>Canada (Procureur général) c. Igloo Vikski Inc.</w:t>
      </w:r>
      <w:r w:rsidR="001C512E" w:rsidRPr="00CF1C03">
        <w:rPr>
          <w:rFonts w:cs="Arial"/>
          <w:sz w:val="22"/>
          <w:szCs w:val="22"/>
        </w:rPr>
        <w:t>, </w:t>
      </w:r>
      <w:r w:rsidR="001C512E" w:rsidRPr="00CF1C03">
        <w:rPr>
          <w:rFonts w:cs="Arial"/>
          <w:sz w:val="22"/>
          <w:szCs w:val="22"/>
          <w:bdr w:val="none" w:sz="0" w:space="0" w:color="auto" w:frame="1"/>
        </w:rPr>
        <w:t>2016 CSC 38</w:t>
      </w:r>
      <w:r w:rsidR="001C512E" w:rsidRPr="00CF1C03">
        <w:rPr>
          <w:rFonts w:cs="Arial"/>
          <w:sz w:val="22"/>
          <w:szCs w:val="22"/>
        </w:rPr>
        <w:t>, </w:t>
      </w:r>
      <w:r w:rsidR="001C512E" w:rsidRPr="00CF1C03">
        <w:rPr>
          <w:rFonts w:cs="Arial"/>
          <w:sz w:val="22"/>
          <w:szCs w:val="22"/>
          <w:bdr w:val="none" w:sz="0" w:space="0" w:color="auto" w:frame="1"/>
        </w:rPr>
        <w:t>[2016] 2 R.C.S. 80</w:t>
      </w:r>
      <w:r w:rsidR="001C512E" w:rsidRPr="00CF1C03">
        <w:rPr>
          <w:rFonts w:cs="Arial"/>
          <w:sz w:val="22"/>
          <w:szCs w:val="22"/>
        </w:rPr>
        <w:t>, par. 57, la juge Côté, dissidente mais non sur ce point; </w:t>
      </w:r>
      <w:r w:rsidR="001C512E" w:rsidRPr="00CF1C03">
        <w:rPr>
          <w:rStyle w:val="ssit"/>
          <w:rFonts w:cs="Arial"/>
          <w:i/>
          <w:iCs/>
          <w:sz w:val="22"/>
          <w:szCs w:val="22"/>
          <w:bdr w:val="none" w:sz="0" w:space="0" w:color="auto" w:frame="1"/>
        </w:rPr>
        <w:t>Law Society of British Columbia c. Trinity Western University</w:t>
      </w:r>
      <w:r w:rsidR="001C512E" w:rsidRPr="00CF1C03">
        <w:rPr>
          <w:rFonts w:cs="Arial"/>
          <w:sz w:val="22"/>
          <w:szCs w:val="22"/>
        </w:rPr>
        <w:t>, </w:t>
      </w:r>
      <w:r w:rsidR="001C512E" w:rsidRPr="00CF1C03">
        <w:rPr>
          <w:rFonts w:cs="Arial"/>
          <w:sz w:val="22"/>
          <w:szCs w:val="22"/>
          <w:bdr w:val="none" w:sz="0" w:space="0" w:color="auto" w:frame="1"/>
        </w:rPr>
        <w:t>2018 CSC 32</w:t>
      </w:r>
      <w:r w:rsidR="001C512E" w:rsidRPr="00CF1C03">
        <w:rPr>
          <w:rFonts w:cs="Arial"/>
          <w:sz w:val="22"/>
          <w:szCs w:val="22"/>
        </w:rPr>
        <w:t>, </w:t>
      </w:r>
      <w:r w:rsidR="001C512E" w:rsidRPr="00CF1C03">
        <w:rPr>
          <w:rFonts w:cs="Arial"/>
          <w:sz w:val="22"/>
          <w:szCs w:val="22"/>
          <w:bdr w:val="none" w:sz="0" w:space="0" w:color="auto" w:frame="1"/>
        </w:rPr>
        <w:t>[2018] 2 R.C.S. 293</w:t>
      </w:r>
      <w:r w:rsidR="001C512E" w:rsidRPr="00CF1C03">
        <w:rPr>
          <w:rFonts w:cs="Arial"/>
          <w:sz w:val="22"/>
          <w:szCs w:val="22"/>
        </w:rPr>
        <w:t>, par</w:t>
      </w:r>
      <w:r w:rsidR="001C512E" w:rsidRPr="001C512E">
        <w:rPr>
          <w:rFonts w:cs="Arial"/>
          <w:sz w:val="22"/>
          <w:szCs w:val="22"/>
        </w:rPr>
        <w:t>. 53.</w:t>
      </w:r>
    </w:p>
    <w:p w14:paraId="7D8E6CF8" w14:textId="08E002B5" w:rsidR="006C1278" w:rsidRDefault="006C1278" w:rsidP="001C512E">
      <w:pPr>
        <w:pStyle w:val="Paragraphe"/>
        <w:tabs>
          <w:tab w:val="clear" w:pos="1636"/>
          <w:tab w:val="left" w:pos="709"/>
        </w:tabs>
        <w:spacing w:line="240" w:lineRule="auto"/>
        <w:ind w:left="708" w:right="610"/>
        <w:rPr>
          <w:rFonts w:cs="Arial"/>
          <w:sz w:val="22"/>
          <w:szCs w:val="22"/>
        </w:rPr>
      </w:pPr>
      <w:r>
        <w:rPr>
          <w:rStyle w:val="ssbf"/>
          <w:rFonts w:cs="Arial"/>
          <w:color w:val="212121"/>
          <w:sz w:val="22"/>
          <w:szCs w:val="22"/>
          <w:bdr w:val="none" w:sz="0" w:space="0" w:color="auto" w:frame="1"/>
        </w:rPr>
        <w:t xml:space="preserve">(notre </w:t>
      </w:r>
      <w:r w:rsidR="003E2D86">
        <w:rPr>
          <w:rStyle w:val="ssbf"/>
          <w:rFonts w:cs="Arial"/>
          <w:color w:val="212121"/>
          <w:sz w:val="22"/>
          <w:szCs w:val="22"/>
          <w:bdr w:val="none" w:sz="0" w:space="0" w:color="auto" w:frame="1"/>
        </w:rPr>
        <w:t>soulignement</w:t>
      </w:r>
      <w:r w:rsidR="00D4461C">
        <w:rPr>
          <w:rStyle w:val="ssbf"/>
          <w:rFonts w:cs="Arial"/>
          <w:color w:val="212121"/>
          <w:sz w:val="22"/>
          <w:szCs w:val="22"/>
          <w:bdr w:val="none" w:sz="0" w:space="0" w:color="auto" w:frame="1"/>
        </w:rPr>
        <w:t>)</w:t>
      </w:r>
    </w:p>
    <w:p w14:paraId="1797D3CE" w14:textId="1EC32A7E" w:rsidR="006C1278" w:rsidRPr="0032071B" w:rsidRDefault="00672437" w:rsidP="00D4461C">
      <w:pPr>
        <w:pStyle w:val="Paragrdouble"/>
        <w:spacing w:line="240" w:lineRule="auto"/>
        <w:rPr>
          <w:rFonts w:cs="Arial"/>
          <w:szCs w:val="24"/>
          <w:lang w:eastAsia="fr-CA"/>
        </w:rPr>
      </w:pPr>
      <w:r w:rsidRPr="0032071B">
        <w:rPr>
          <w:rFonts w:cs="Arial"/>
          <w:szCs w:val="24"/>
          <w:lang w:eastAsia="fr-CA"/>
        </w:rPr>
        <w:t xml:space="preserve">Si le contexte ne change pas </w:t>
      </w:r>
      <w:r w:rsidR="00B8187F" w:rsidRPr="0032071B">
        <w:rPr>
          <w:rFonts w:cs="Arial"/>
          <w:szCs w:val="24"/>
          <w:lang w:eastAsia="fr-CA"/>
        </w:rPr>
        <w:t>l</w:t>
      </w:r>
      <w:r w:rsidR="005275AC" w:rsidRPr="0032071B">
        <w:rPr>
          <w:rFonts w:cs="Arial"/>
          <w:szCs w:val="24"/>
          <w:lang w:eastAsia="fr-CA"/>
        </w:rPr>
        <w:t>e cadre analytique de la norme de la décision raison</w:t>
      </w:r>
      <w:r w:rsidR="008300CD" w:rsidRPr="0032071B">
        <w:rPr>
          <w:rFonts w:cs="Arial"/>
          <w:szCs w:val="24"/>
          <w:lang w:eastAsia="fr-CA"/>
        </w:rPr>
        <w:t xml:space="preserve">nable, </w:t>
      </w:r>
      <w:r w:rsidR="00FD4C2C" w:rsidRPr="0032071B">
        <w:rPr>
          <w:rFonts w:cs="Arial"/>
          <w:szCs w:val="24"/>
          <w:lang w:eastAsia="fr-CA"/>
        </w:rPr>
        <w:t>le Tribunal doit toutefois te</w:t>
      </w:r>
      <w:r w:rsidR="007464CA" w:rsidRPr="0032071B">
        <w:rPr>
          <w:rFonts w:cs="Arial"/>
          <w:szCs w:val="24"/>
          <w:lang w:eastAsia="fr-CA"/>
        </w:rPr>
        <w:t>nir</w:t>
      </w:r>
      <w:r w:rsidR="006C7446" w:rsidRPr="0032071B">
        <w:rPr>
          <w:rFonts w:cs="Arial"/>
          <w:szCs w:val="24"/>
          <w:lang w:eastAsia="fr-CA"/>
        </w:rPr>
        <w:t xml:space="preserve"> compte d</w:t>
      </w:r>
      <w:r w:rsidR="007464CA" w:rsidRPr="0032071B">
        <w:rPr>
          <w:rFonts w:cs="Arial"/>
          <w:szCs w:val="24"/>
          <w:lang w:eastAsia="fr-CA"/>
        </w:rPr>
        <w:t>e l’étendue des pouvoirs du décideur</w:t>
      </w:r>
      <w:r w:rsidR="00CC2F0F" w:rsidRPr="0032071B">
        <w:rPr>
          <w:rFonts w:cs="Arial"/>
          <w:szCs w:val="24"/>
          <w:lang w:eastAsia="fr-CA"/>
        </w:rPr>
        <w:t xml:space="preserve"> dont la décision est analysée :</w:t>
      </w:r>
    </w:p>
    <w:p w14:paraId="0F5B2593" w14:textId="29EF056B" w:rsidR="001C512E" w:rsidRDefault="009E0050" w:rsidP="00954069">
      <w:pPr>
        <w:pStyle w:val="Paragraphe"/>
        <w:tabs>
          <w:tab w:val="clear" w:pos="1636"/>
          <w:tab w:val="left" w:pos="709"/>
        </w:tabs>
        <w:spacing w:line="240" w:lineRule="auto"/>
        <w:ind w:left="708" w:right="610"/>
        <w:rPr>
          <w:rFonts w:cs="Arial"/>
          <w:sz w:val="22"/>
          <w:szCs w:val="22"/>
        </w:rPr>
      </w:pPr>
      <w:r w:rsidRPr="009E0050">
        <w:rPr>
          <w:rStyle w:val="ssbf"/>
          <w:rFonts w:cs="Arial"/>
          <w:color w:val="212121"/>
          <w:sz w:val="22"/>
          <w:szCs w:val="22"/>
          <w:bdr w:val="none" w:sz="0" w:space="0" w:color="auto" w:frame="1"/>
        </w:rPr>
        <w:t>[</w:t>
      </w:r>
      <w:r w:rsidR="001C512E" w:rsidRPr="009E0050">
        <w:rPr>
          <w:rStyle w:val="ssbf"/>
          <w:rFonts w:cs="Arial"/>
          <w:color w:val="212121"/>
          <w:sz w:val="22"/>
          <w:szCs w:val="22"/>
          <w:bdr w:val="none" w:sz="0" w:space="0" w:color="auto" w:frame="1"/>
        </w:rPr>
        <w:t>9</w:t>
      </w:r>
      <w:r w:rsidRPr="009E0050">
        <w:rPr>
          <w:rStyle w:val="ssbf"/>
          <w:rFonts w:cs="Arial"/>
          <w:color w:val="212121"/>
          <w:sz w:val="22"/>
          <w:szCs w:val="22"/>
          <w:bdr w:val="none" w:sz="0" w:space="0" w:color="auto" w:frame="1"/>
        </w:rPr>
        <w:t xml:space="preserve">0]   </w:t>
      </w:r>
      <w:r w:rsidR="001C512E" w:rsidRPr="009E0050">
        <w:rPr>
          <w:rFonts w:cs="Arial"/>
          <w:sz w:val="22"/>
          <w:szCs w:val="22"/>
        </w:rPr>
        <w:t>La</w:t>
      </w:r>
      <w:r w:rsidR="001C512E" w:rsidRPr="001C512E">
        <w:rPr>
          <w:rFonts w:cs="Arial"/>
          <w:sz w:val="22"/>
          <w:szCs w:val="22"/>
        </w:rPr>
        <w:t xml:space="preserve"> méthode de contrôle selon la norme de la décision raisonnable que nous décrivons dans les présents motifs tient compte de la diversité des décisions administratives en reconnaissant que ce qui est raisonnable dans un cas donné dépend toujours des contraintes juridiques et factuelles propres au contexte de la décision particulière sous examen. </w:t>
      </w:r>
      <w:r w:rsidR="001C512E" w:rsidRPr="00C36120">
        <w:rPr>
          <w:rFonts w:cs="Arial"/>
          <w:sz w:val="22"/>
          <w:szCs w:val="22"/>
          <w:u w:val="single"/>
        </w:rPr>
        <w:t>Ces contraintes d'ordre contextuel cernent les limites et les contours de l'espace à l'intérieur duquel le décideur peut agir, ainsi que les types de solution qu'il peut retenir</w:t>
      </w:r>
      <w:r w:rsidR="001C512E" w:rsidRPr="001C512E">
        <w:rPr>
          <w:rFonts w:cs="Arial"/>
          <w:sz w:val="22"/>
          <w:szCs w:val="22"/>
        </w:rPr>
        <w:t xml:space="preserve">. Le fait que ces contraintes d'ordre contextuel imposées au décideur administratif puissent varier d'une décision à l'autre ne pose pas problème pour la norme de la décision raisonnable parce que </w:t>
      </w:r>
      <w:r w:rsidR="001C512E" w:rsidRPr="00B57BFE">
        <w:rPr>
          <w:rFonts w:cs="Arial"/>
          <w:sz w:val="22"/>
          <w:szCs w:val="22"/>
          <w:u w:val="single"/>
        </w:rPr>
        <w:t>chaque décision doit être à la fois justifiée par l'organisme administratif et évaluée par la cour de révision en fonction de son propre contexte particulier</w:t>
      </w:r>
      <w:r w:rsidR="001C512E" w:rsidRPr="001C512E">
        <w:rPr>
          <w:rFonts w:cs="Arial"/>
          <w:sz w:val="22"/>
          <w:szCs w:val="22"/>
        </w:rPr>
        <w:t>.</w:t>
      </w:r>
    </w:p>
    <w:p w14:paraId="2DF5ADCB" w14:textId="1245E058" w:rsidR="00B96241" w:rsidRPr="00954069" w:rsidRDefault="00C411E1" w:rsidP="00954069">
      <w:pPr>
        <w:pStyle w:val="Paragraphe"/>
        <w:tabs>
          <w:tab w:val="clear" w:pos="1636"/>
          <w:tab w:val="left" w:pos="709"/>
        </w:tabs>
        <w:spacing w:line="240" w:lineRule="auto"/>
        <w:ind w:left="708" w:right="610"/>
        <w:rPr>
          <w:rFonts w:cs="Arial"/>
          <w:sz w:val="22"/>
          <w:szCs w:val="22"/>
        </w:rPr>
      </w:pPr>
      <w:r>
        <w:rPr>
          <w:rStyle w:val="ssbf"/>
          <w:rFonts w:cs="Arial"/>
          <w:color w:val="212121"/>
          <w:sz w:val="22"/>
          <w:szCs w:val="22"/>
          <w:bdr w:val="none" w:sz="0" w:space="0" w:color="auto" w:frame="1"/>
        </w:rPr>
        <w:t>(notre soulignement)</w:t>
      </w:r>
    </w:p>
    <w:p w14:paraId="24352340" w14:textId="68EE51DB" w:rsidR="00D6641C" w:rsidRDefault="00CB1B62" w:rsidP="00CB1B62">
      <w:pPr>
        <w:pStyle w:val="Paragrdouble"/>
        <w:spacing w:line="240" w:lineRule="auto"/>
      </w:pPr>
      <w:r>
        <w:t>C’est dire que</w:t>
      </w:r>
      <w:r w:rsidR="00436C11">
        <w:t xml:space="preserve"> </w:t>
      </w:r>
      <w:r w:rsidR="003D7882">
        <w:t>la Cour supérieure peut réviser une décision du Conseil des ministres comme elle le ferait pour une décision d’un tribunal administratif</w:t>
      </w:r>
      <w:r w:rsidR="00A13857">
        <w:t>, tout en</w:t>
      </w:r>
      <w:r w:rsidR="008E60C0">
        <w:t xml:space="preserve"> tenant compte </w:t>
      </w:r>
      <w:r w:rsidR="00220206">
        <w:t xml:space="preserve">toutefois </w:t>
      </w:r>
      <w:r w:rsidR="008E60C0">
        <w:t>du très vaste pouvoir qu’il détient</w:t>
      </w:r>
      <w:r w:rsidR="003D7882">
        <w:t xml:space="preserve">. </w:t>
      </w:r>
    </w:p>
    <w:p w14:paraId="29E3765C" w14:textId="7A64B998" w:rsidR="000D408A" w:rsidRDefault="007F2422" w:rsidP="00A02BD4">
      <w:pPr>
        <w:pStyle w:val="Paragrdouble"/>
        <w:spacing w:line="240" w:lineRule="auto"/>
      </w:pPr>
      <w:r>
        <w:t>Dans ce contexte</w:t>
      </w:r>
      <w:r w:rsidR="00D6641C">
        <w:t>, l</w:t>
      </w:r>
      <w:r w:rsidR="00F526E4">
        <w:t xml:space="preserve">e </w:t>
      </w:r>
      <w:r w:rsidR="00436C11" w:rsidRPr="003E69F7">
        <w:rPr>
          <w:i/>
          <w:iCs/>
        </w:rPr>
        <w:t>C</w:t>
      </w:r>
      <w:r w:rsidR="00F526E4" w:rsidRPr="003E69F7">
        <w:rPr>
          <w:i/>
          <w:iCs/>
        </w:rPr>
        <w:t>ode de procédure civile</w:t>
      </w:r>
      <w:r w:rsidR="000C053A">
        <w:t xml:space="preserve"> </w:t>
      </w:r>
      <w:r w:rsidR="00480B6A">
        <w:t>précise</w:t>
      </w:r>
      <w:r w:rsidR="000C053A">
        <w:t xml:space="preserve"> </w:t>
      </w:r>
      <w:r w:rsidR="003D4449">
        <w:t xml:space="preserve">le </w:t>
      </w:r>
      <w:r w:rsidR="00907904">
        <w:t xml:space="preserve">pouvoir de </w:t>
      </w:r>
      <w:r w:rsidR="003D4449">
        <w:t>contrôle et de surveillance</w:t>
      </w:r>
      <w:r w:rsidR="000C053A">
        <w:t>, notamment le pouvoir de contrôle judiciaire contre le gouvernement</w:t>
      </w:r>
      <w:r w:rsidR="00D050B5">
        <w:t xml:space="preserve"> aux «</w:t>
      </w:r>
      <w:r w:rsidR="00336BBE">
        <w:t> </w:t>
      </w:r>
      <w:r w:rsidR="00D050B5">
        <w:t>défaut ou excès de compétence »</w:t>
      </w:r>
      <w:r w:rsidR="00D050B5">
        <w:rPr>
          <w:rStyle w:val="Appelnotedebasdep"/>
        </w:rPr>
        <w:footnoteReference w:id="40"/>
      </w:r>
      <w:r w:rsidR="00D050B5">
        <w:t>.</w:t>
      </w:r>
      <w:r w:rsidR="003E69F7">
        <w:t xml:space="preserve"> </w:t>
      </w:r>
      <w:r w:rsidR="003A5BC7">
        <w:t xml:space="preserve">Cette dernière notion </w:t>
      </w:r>
      <w:r w:rsidR="00373DBB">
        <w:t xml:space="preserve">est reprise en regard des </w:t>
      </w:r>
      <w:r w:rsidR="00373DBB">
        <w:lastRenderedPageBreak/>
        <w:t xml:space="preserve">pouvoirs de la Cour supérieure </w:t>
      </w:r>
      <w:r w:rsidR="000D408A">
        <w:t>dans le cadre des pourvois en contrôle judiciaire</w:t>
      </w:r>
      <w:r w:rsidR="006A0529">
        <w:t xml:space="preserve"> à l’encontre </w:t>
      </w:r>
      <w:r w:rsidR="000B0F24">
        <w:t xml:space="preserve">des règlements adoptés en vertu d’une loi du Québec </w:t>
      </w:r>
      <w:r w:rsidR="00C60C42">
        <w:t xml:space="preserve">ou </w:t>
      </w:r>
      <w:r w:rsidR="000B0F24">
        <w:t>d’un décret gouvernemental</w:t>
      </w:r>
      <w:r w:rsidR="00F8738F">
        <w:rPr>
          <w:rStyle w:val="Appelnotedebasdep"/>
        </w:rPr>
        <w:footnoteReference w:id="41"/>
      </w:r>
      <w:r w:rsidR="000D408A">
        <w:t>.</w:t>
      </w:r>
    </w:p>
    <w:p w14:paraId="18D57E45" w14:textId="5452A30E" w:rsidR="00E34493" w:rsidRDefault="00A5251C" w:rsidP="00492BEC">
      <w:pPr>
        <w:pStyle w:val="Paragrdouble"/>
        <w:spacing w:line="240" w:lineRule="auto"/>
      </w:pPr>
      <w:r>
        <w:t>Les questions que le Tribunal doit se poser </w:t>
      </w:r>
      <w:r w:rsidR="00082BC5">
        <w:t xml:space="preserve">sont </w:t>
      </w:r>
      <w:r>
        <w:t xml:space="preserve">: </w:t>
      </w:r>
    </w:p>
    <w:p w14:paraId="480E09A0" w14:textId="77777777" w:rsidR="00E34493" w:rsidRDefault="00E05E1E" w:rsidP="00E34493">
      <w:pPr>
        <w:pStyle w:val="Paragrdouble"/>
        <w:numPr>
          <w:ilvl w:val="0"/>
          <w:numId w:val="35"/>
        </w:numPr>
        <w:spacing w:line="240" w:lineRule="auto"/>
      </w:pPr>
      <w:r>
        <w:t>Le gouvernement a</w:t>
      </w:r>
      <w:r w:rsidR="00EE2ECD">
        <w:t>-t</w:t>
      </w:r>
      <w:r>
        <w:t>-il compétence pour émettre le décret 655-2022</w:t>
      </w:r>
      <w:r w:rsidR="00474B1C">
        <w:t xml:space="preserve">? </w:t>
      </w:r>
    </w:p>
    <w:p w14:paraId="09ACE865" w14:textId="526A0351" w:rsidR="00492BEC" w:rsidRDefault="00474B1C" w:rsidP="00E34493">
      <w:pPr>
        <w:pStyle w:val="Paragrdouble"/>
        <w:numPr>
          <w:ilvl w:val="0"/>
          <w:numId w:val="35"/>
        </w:numPr>
        <w:spacing w:line="240" w:lineRule="auto"/>
      </w:pPr>
      <w:r>
        <w:t xml:space="preserve">Si oui, </w:t>
      </w:r>
      <w:r w:rsidR="008B4E74">
        <w:t xml:space="preserve">y </w:t>
      </w:r>
      <w:r>
        <w:t>a-t-il</w:t>
      </w:r>
      <w:r w:rsidR="001D2950">
        <w:t xml:space="preserve"> défaut ou excès de compétence de sa part </w:t>
      </w:r>
      <w:r>
        <w:t>?</w:t>
      </w:r>
    </w:p>
    <w:p w14:paraId="1B6A1D05" w14:textId="0EBFC1F1" w:rsidR="00B45B56" w:rsidRDefault="003A6068" w:rsidP="00B45B56">
      <w:pPr>
        <w:pStyle w:val="Paragrdouble"/>
        <w:numPr>
          <w:ilvl w:val="0"/>
          <w:numId w:val="0"/>
        </w:numPr>
        <w:spacing w:line="240" w:lineRule="auto"/>
        <w:jc w:val="center"/>
      </w:pPr>
      <w:r>
        <w:t>________________________</w:t>
      </w:r>
    </w:p>
    <w:p w14:paraId="21AD97BD" w14:textId="70E38C2A" w:rsidR="00752EBF" w:rsidRDefault="00A747D3" w:rsidP="00492BEC">
      <w:pPr>
        <w:pStyle w:val="Paragrdouble"/>
        <w:spacing w:line="240" w:lineRule="auto"/>
      </w:pPr>
      <w:r>
        <w:t>Avant de répondre à ces questions</w:t>
      </w:r>
      <w:r w:rsidR="005D707A">
        <w:t xml:space="preserve"> et comme il l’a fait à toutes les occasions </w:t>
      </w:r>
      <w:r w:rsidR="006C7789">
        <w:t>possibles</w:t>
      </w:r>
      <w:r w:rsidR="005D707A">
        <w:t xml:space="preserve"> dans ce dossier</w:t>
      </w:r>
      <w:r>
        <w:t>, le Tribunal tient à rappeler la place occupée par les tribunaux dans notre société :</w:t>
      </w:r>
      <w:r w:rsidR="00752EBF">
        <w:t xml:space="preserve"> ils n’ont pas un rôle politique</w:t>
      </w:r>
      <w:r w:rsidR="00DB4208">
        <w:t>, ils n’ont pas à décider ce qui est bon pour la population.</w:t>
      </w:r>
      <w:r w:rsidR="00752EBF">
        <w:t xml:space="preserve"> </w:t>
      </w:r>
      <w:r w:rsidR="00F44CD1">
        <w:t>Le Tribunal</w:t>
      </w:r>
      <w:r w:rsidR="00752EBF">
        <w:t xml:space="preserve"> doit s’assurer de la légalité des décisions prises.</w:t>
      </w:r>
    </w:p>
    <w:p w14:paraId="7BA8D2E6" w14:textId="1D8F70EE" w:rsidR="00997874" w:rsidRDefault="00752EBF" w:rsidP="00492BEC">
      <w:pPr>
        <w:pStyle w:val="Paragrdouble"/>
        <w:spacing w:line="240" w:lineRule="auto"/>
      </w:pPr>
      <w:r>
        <w:t>Dans</w:t>
      </w:r>
      <w:r w:rsidR="00AB50DB">
        <w:t xml:space="preserve"> </w:t>
      </w:r>
      <w:r w:rsidR="00DB72A2">
        <w:t>l’</w:t>
      </w:r>
      <w:r w:rsidR="00AB50DB">
        <w:t>arrêt</w:t>
      </w:r>
      <w:r w:rsidR="00DB72A2">
        <w:t xml:space="preserve"> </w:t>
      </w:r>
      <w:r w:rsidR="00DB72A2">
        <w:rPr>
          <w:i/>
          <w:iCs/>
        </w:rPr>
        <w:t>Bellefleur</w:t>
      </w:r>
      <w:r w:rsidR="00EE2CB1">
        <w:rPr>
          <w:rStyle w:val="Appelnotedebasdep"/>
        </w:rPr>
        <w:footnoteReference w:id="42"/>
      </w:r>
      <w:r w:rsidR="009823D7">
        <w:t>,</w:t>
      </w:r>
      <w:r w:rsidR="007040C1">
        <w:t xml:space="preserve"> bien avant que la Cour suprême précise la norme de la décision raisonnable et ses pourtours dans l’arrêt </w:t>
      </w:r>
      <w:r w:rsidR="007040C1" w:rsidRPr="007040C1">
        <w:rPr>
          <w:i/>
          <w:iCs/>
        </w:rPr>
        <w:t>Vavilov</w:t>
      </w:r>
      <w:r w:rsidR="007040C1">
        <w:t xml:space="preserve">, </w:t>
      </w:r>
      <w:r w:rsidR="00997874" w:rsidRPr="007040C1">
        <w:t>la</w:t>
      </w:r>
      <w:r w:rsidR="00997874">
        <w:t xml:space="preserve"> Cour d’appel </w:t>
      </w:r>
      <w:r w:rsidR="007666B4">
        <w:t>a tenu</w:t>
      </w:r>
      <w:r w:rsidR="00997874">
        <w:t xml:space="preserve"> à rappeler ce rôle et rien que ce rôle</w:t>
      </w:r>
      <w:r w:rsidR="00DB72A2">
        <w:t> </w:t>
      </w:r>
      <w:r w:rsidR="00997874">
        <w:t>:</w:t>
      </w:r>
    </w:p>
    <w:p w14:paraId="14333546" w14:textId="76F610C3" w:rsidR="00F44F9F" w:rsidRDefault="6648F2C5" w:rsidP="008115C3">
      <w:pPr>
        <w:pStyle w:val="Paragraphe"/>
        <w:tabs>
          <w:tab w:val="clear" w:pos="1636"/>
          <w:tab w:val="left" w:pos="709"/>
        </w:tabs>
        <w:spacing w:line="240" w:lineRule="auto"/>
        <w:ind w:left="708" w:right="610"/>
        <w:rPr>
          <w:sz w:val="22"/>
          <w:szCs w:val="22"/>
        </w:rPr>
      </w:pPr>
      <w:r w:rsidRPr="6C71DF8D">
        <w:rPr>
          <w:sz w:val="22"/>
          <w:szCs w:val="22"/>
        </w:rPr>
        <w:t xml:space="preserve">[107] </w:t>
      </w:r>
      <w:r w:rsidR="00CB6979" w:rsidRPr="6C71DF8D">
        <w:rPr>
          <w:sz w:val="22"/>
          <w:szCs w:val="22"/>
        </w:rPr>
        <w:t>Dans notre tradition, les tribunaux judiciaires ont un pouvoir de contrôle sur la légalité des actes de l’Administration. Cette réalité juridique bien reconnue est saine en démocratie, puisque ce pouvoir représente, pour le citoyen ordinaire, l’ultime protection contre l’arbitraire politique ou administratif. Par contre, le rôle des tribunaux reste limité.</w:t>
      </w:r>
      <w:r w:rsidR="00965EB3" w:rsidRPr="6C71DF8D">
        <w:rPr>
          <w:sz w:val="22"/>
          <w:szCs w:val="22"/>
        </w:rPr>
        <w:t xml:space="preserve"> Ils n’ont pas pour mission de remplacer le pouvoir législatif, exécutif ou l’</w:t>
      </w:r>
      <w:r w:rsidR="000C387B" w:rsidRPr="6C71DF8D">
        <w:rPr>
          <w:sz w:val="22"/>
          <w:szCs w:val="22"/>
        </w:rPr>
        <w:t>A</w:t>
      </w:r>
      <w:r w:rsidR="00965EB3" w:rsidRPr="6C71DF8D">
        <w:rPr>
          <w:sz w:val="22"/>
          <w:szCs w:val="22"/>
        </w:rPr>
        <w:t>dministration ou de s’y substituer. À l’endroit du pouvoir législatif, ils peuvent seulement contrôler la cons</w:t>
      </w:r>
      <w:r w:rsidR="000C387B" w:rsidRPr="6C71DF8D">
        <w:rPr>
          <w:sz w:val="22"/>
          <w:szCs w:val="22"/>
        </w:rPr>
        <w:t>titutionnalité</w:t>
      </w:r>
      <w:r w:rsidR="00965EB3" w:rsidRPr="6C71DF8D">
        <w:rPr>
          <w:sz w:val="22"/>
          <w:szCs w:val="22"/>
        </w:rPr>
        <w:t xml:space="preserve"> de la loi. </w:t>
      </w:r>
      <w:r w:rsidR="00965EB3" w:rsidRPr="6C71DF8D">
        <w:rPr>
          <w:sz w:val="22"/>
          <w:szCs w:val="22"/>
          <w:u w:val="single"/>
        </w:rPr>
        <w:t>À l’endroit du pouvoir exécutif et administratif, leur tâche e</w:t>
      </w:r>
      <w:r w:rsidR="0028037E" w:rsidRPr="6C71DF8D">
        <w:rPr>
          <w:sz w:val="22"/>
          <w:szCs w:val="22"/>
          <w:u w:val="single"/>
        </w:rPr>
        <w:t>s</w:t>
      </w:r>
      <w:r w:rsidR="00965EB3" w:rsidRPr="6C71DF8D">
        <w:rPr>
          <w:sz w:val="22"/>
          <w:szCs w:val="22"/>
          <w:u w:val="single"/>
        </w:rPr>
        <w:t>t de s’assurer que la loi, et donc la volonté du parlement, a bel et bien été suivi</w:t>
      </w:r>
      <w:r w:rsidR="0028037E" w:rsidRPr="6C71DF8D">
        <w:rPr>
          <w:sz w:val="22"/>
          <w:szCs w:val="22"/>
          <w:u w:val="single"/>
        </w:rPr>
        <w:t>e</w:t>
      </w:r>
      <w:r w:rsidR="00965EB3" w:rsidRPr="6C71DF8D">
        <w:rPr>
          <w:sz w:val="22"/>
          <w:szCs w:val="22"/>
          <w:u w:val="single"/>
        </w:rPr>
        <w:t xml:space="preserve"> et respecté</w:t>
      </w:r>
      <w:r w:rsidR="0028037E" w:rsidRPr="6C71DF8D">
        <w:rPr>
          <w:sz w:val="22"/>
          <w:szCs w:val="22"/>
          <w:u w:val="single"/>
        </w:rPr>
        <w:t>e</w:t>
      </w:r>
      <w:r w:rsidR="006528F5" w:rsidRPr="6C71DF8D">
        <w:rPr>
          <w:sz w:val="22"/>
          <w:szCs w:val="22"/>
          <w:u w:val="single"/>
        </w:rPr>
        <w:t>. Ils ne peuvent et ne doivent pas s’ériger en arbitre de l’opportunité, de la rationalité, de la prudence ou de la sagesse des décisions politiques ou administratives</w:t>
      </w:r>
      <w:r w:rsidR="006528F5" w:rsidRPr="6C71DF8D">
        <w:rPr>
          <w:sz w:val="22"/>
          <w:szCs w:val="22"/>
        </w:rPr>
        <w:t>.</w:t>
      </w:r>
    </w:p>
    <w:p w14:paraId="4537D9C9" w14:textId="32A59DF5" w:rsidR="001C3A0D" w:rsidRDefault="001C3A0D" w:rsidP="008115C3">
      <w:pPr>
        <w:pStyle w:val="Paragraphe"/>
        <w:tabs>
          <w:tab w:val="clear" w:pos="1636"/>
          <w:tab w:val="left" w:pos="709"/>
        </w:tabs>
        <w:spacing w:line="240" w:lineRule="auto"/>
        <w:ind w:left="708" w:right="610"/>
        <w:rPr>
          <w:sz w:val="22"/>
          <w:szCs w:val="18"/>
        </w:rPr>
      </w:pPr>
      <w:r>
        <w:rPr>
          <w:sz w:val="22"/>
          <w:szCs w:val="18"/>
        </w:rPr>
        <w:t>(notre soulignement)</w:t>
      </w:r>
    </w:p>
    <w:p w14:paraId="4A5A13D0" w14:textId="6DF51E50" w:rsidR="004932FA" w:rsidRPr="004B03E2" w:rsidRDefault="004932FA" w:rsidP="004932FA">
      <w:pPr>
        <w:pStyle w:val="Paragraphe"/>
        <w:numPr>
          <w:ilvl w:val="0"/>
          <w:numId w:val="1"/>
        </w:numPr>
        <w:tabs>
          <w:tab w:val="clear" w:pos="360"/>
          <w:tab w:val="left" w:pos="709"/>
        </w:tabs>
        <w:spacing w:line="240" w:lineRule="auto"/>
        <w:rPr>
          <w:szCs w:val="24"/>
        </w:rPr>
      </w:pPr>
      <w:r w:rsidRPr="004B03E2">
        <w:rPr>
          <w:szCs w:val="24"/>
        </w:rPr>
        <w:t xml:space="preserve">Cet enseignement </w:t>
      </w:r>
      <w:r w:rsidR="0063450A" w:rsidRPr="004B03E2">
        <w:rPr>
          <w:szCs w:val="24"/>
        </w:rPr>
        <w:t xml:space="preserve">qui tient compte </w:t>
      </w:r>
      <w:r w:rsidR="00F12BAD" w:rsidRPr="004B03E2">
        <w:rPr>
          <w:szCs w:val="24"/>
        </w:rPr>
        <w:t>des « contours de l'espace à l'intérieur duquel le décideur peut agir, ainsi que les types de solution qu'il peut retenir</w:t>
      </w:r>
      <w:r w:rsidR="004D3BC7" w:rsidRPr="004B03E2">
        <w:rPr>
          <w:szCs w:val="24"/>
        </w:rPr>
        <w:t xml:space="preserve"> »</w:t>
      </w:r>
      <w:r w:rsidR="00F12BAD" w:rsidRPr="004B03E2">
        <w:rPr>
          <w:szCs w:val="24"/>
        </w:rPr>
        <w:t xml:space="preserve"> </w:t>
      </w:r>
      <w:r w:rsidRPr="004B03E2">
        <w:rPr>
          <w:szCs w:val="24"/>
        </w:rPr>
        <w:t>cadre</w:t>
      </w:r>
      <w:r w:rsidR="00F94D59" w:rsidRPr="004B03E2">
        <w:rPr>
          <w:szCs w:val="24"/>
        </w:rPr>
        <w:t xml:space="preserve"> </w:t>
      </w:r>
      <w:r w:rsidR="00222572" w:rsidRPr="004B03E2">
        <w:rPr>
          <w:szCs w:val="24"/>
        </w:rPr>
        <w:t>parfaitement</w:t>
      </w:r>
      <w:r w:rsidR="00F94D59" w:rsidRPr="004B03E2">
        <w:rPr>
          <w:szCs w:val="24"/>
        </w:rPr>
        <w:t xml:space="preserve"> dans le contexte établi par l</w:t>
      </w:r>
      <w:r w:rsidR="00F206E4" w:rsidRPr="004B03E2">
        <w:rPr>
          <w:szCs w:val="24"/>
        </w:rPr>
        <w:t xml:space="preserve">’arrêt </w:t>
      </w:r>
      <w:r w:rsidR="00F206E4" w:rsidRPr="004B03E2">
        <w:rPr>
          <w:i/>
          <w:szCs w:val="24"/>
        </w:rPr>
        <w:t>Vavilov</w:t>
      </w:r>
      <w:r w:rsidR="00F206E4" w:rsidRPr="004B03E2">
        <w:rPr>
          <w:szCs w:val="24"/>
        </w:rPr>
        <w:t>.</w:t>
      </w:r>
    </w:p>
    <w:p w14:paraId="401CE943" w14:textId="7F772B58" w:rsidR="003A6068" w:rsidRDefault="003A6068" w:rsidP="003A6068">
      <w:pPr>
        <w:pStyle w:val="Paragraphe"/>
        <w:tabs>
          <w:tab w:val="clear" w:pos="1636"/>
          <w:tab w:val="left" w:pos="709"/>
        </w:tabs>
        <w:spacing w:line="240" w:lineRule="auto"/>
        <w:ind w:left="708" w:right="610"/>
        <w:jc w:val="center"/>
        <w:rPr>
          <w:sz w:val="22"/>
          <w:szCs w:val="18"/>
        </w:rPr>
      </w:pPr>
      <w:r>
        <w:rPr>
          <w:sz w:val="22"/>
          <w:szCs w:val="18"/>
        </w:rPr>
        <w:lastRenderedPageBreak/>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t>__________________________</w:t>
      </w:r>
    </w:p>
    <w:p w14:paraId="513E5C99" w14:textId="082481E2" w:rsidR="00AA1EB5" w:rsidRDefault="009B7012" w:rsidP="007273BC">
      <w:pPr>
        <w:pStyle w:val="Paragraphe"/>
        <w:numPr>
          <w:ilvl w:val="0"/>
          <w:numId w:val="1"/>
        </w:numPr>
        <w:tabs>
          <w:tab w:val="clear" w:pos="360"/>
          <w:tab w:val="left" w:pos="709"/>
        </w:tabs>
        <w:spacing w:line="240" w:lineRule="auto"/>
      </w:pPr>
      <w:r>
        <w:t>Répondons</w:t>
      </w:r>
      <w:r w:rsidR="009A5C42">
        <w:t xml:space="preserve"> maintenant </w:t>
      </w:r>
      <w:r w:rsidR="005612FC">
        <w:t>aux</w:t>
      </w:r>
      <w:r w:rsidR="009A5C42">
        <w:t xml:space="preserve"> deux </w:t>
      </w:r>
      <w:r w:rsidR="00A6644A">
        <w:t>questions plus haut posées</w:t>
      </w:r>
      <w:r w:rsidR="009A5C42">
        <w:t xml:space="preserve"> au cas qui nous occupe.</w:t>
      </w:r>
    </w:p>
    <w:p w14:paraId="6BC22307" w14:textId="710498F9" w:rsidR="00492BEC" w:rsidRDefault="00CA4A6B" w:rsidP="00492BEC">
      <w:pPr>
        <w:pStyle w:val="Titre5"/>
      </w:pPr>
      <w:bookmarkStart w:id="19" w:name="_Toc124755345"/>
      <w:r w:rsidRPr="00CA4A6B">
        <w:t>La compétence du gouvernement d’émettre un décret en matière environnementale</w:t>
      </w:r>
      <w:r w:rsidR="00474FAA">
        <w:t xml:space="preserve"> et le processus suivi</w:t>
      </w:r>
      <w:bookmarkEnd w:id="19"/>
      <w:r>
        <w:t xml:space="preserve"> </w:t>
      </w:r>
    </w:p>
    <w:p w14:paraId="78023E48" w14:textId="77777777" w:rsidR="00885BAB" w:rsidRDefault="00885BAB" w:rsidP="00885BAB">
      <w:pPr>
        <w:pStyle w:val="Paragrdouble"/>
        <w:spacing w:line="240" w:lineRule="auto"/>
      </w:pPr>
      <w:r>
        <w:t xml:space="preserve">Le premier test que doit subir la décision attaquée a trait à la compétence du décideur : </w:t>
      </w:r>
    </w:p>
    <w:p w14:paraId="091C3D2E" w14:textId="5D844754" w:rsidR="00885BAB" w:rsidRDefault="00885BAB" w:rsidP="00885BAB">
      <w:pPr>
        <w:pStyle w:val="Paragraphe"/>
        <w:tabs>
          <w:tab w:val="clear" w:pos="1636"/>
          <w:tab w:val="left" w:pos="709"/>
        </w:tabs>
        <w:spacing w:line="240" w:lineRule="auto"/>
        <w:ind w:left="708" w:right="610"/>
        <w:rPr>
          <w:sz w:val="22"/>
          <w:szCs w:val="22"/>
        </w:rPr>
      </w:pPr>
      <w:r w:rsidRPr="00CF598D">
        <w:rPr>
          <w:sz w:val="22"/>
          <w:szCs w:val="22"/>
        </w:rPr>
        <w:t>En premier lieu il faut, je pense, évaluer la marge</w:t>
      </w:r>
      <w:r>
        <w:rPr>
          <w:sz w:val="22"/>
          <w:szCs w:val="22"/>
        </w:rPr>
        <w:t xml:space="preserve"> </w:t>
      </w:r>
      <w:r w:rsidRPr="00CF598D">
        <w:rPr>
          <w:sz w:val="22"/>
          <w:szCs w:val="22"/>
        </w:rPr>
        <w:t>d'exercice de la discrétion ministérielle.</w:t>
      </w:r>
      <w:r>
        <w:rPr>
          <w:sz w:val="22"/>
          <w:szCs w:val="22"/>
        </w:rPr>
        <w:t xml:space="preserve"> </w:t>
      </w:r>
      <w:r w:rsidRPr="00CF598D">
        <w:rPr>
          <w:sz w:val="22"/>
          <w:szCs w:val="22"/>
        </w:rPr>
        <w:t>Si elle est restreinte</w:t>
      </w:r>
      <w:r>
        <w:rPr>
          <w:sz w:val="22"/>
          <w:szCs w:val="22"/>
        </w:rPr>
        <w:t xml:space="preserve"> </w:t>
      </w:r>
      <w:r w:rsidRPr="00CF598D">
        <w:rPr>
          <w:sz w:val="22"/>
          <w:szCs w:val="22"/>
        </w:rPr>
        <w:t>parce</w:t>
      </w:r>
      <w:r>
        <w:rPr>
          <w:sz w:val="22"/>
          <w:szCs w:val="22"/>
        </w:rPr>
        <w:t xml:space="preserve"> </w:t>
      </w:r>
      <w:r w:rsidRPr="00CF598D">
        <w:rPr>
          <w:sz w:val="22"/>
          <w:szCs w:val="22"/>
        </w:rPr>
        <w:t>que</w:t>
      </w:r>
      <w:r>
        <w:rPr>
          <w:sz w:val="22"/>
          <w:szCs w:val="22"/>
        </w:rPr>
        <w:t xml:space="preserve"> </w:t>
      </w:r>
      <w:r w:rsidRPr="00CF598D">
        <w:rPr>
          <w:sz w:val="22"/>
          <w:szCs w:val="22"/>
        </w:rPr>
        <w:t>le</w:t>
      </w:r>
      <w:r>
        <w:rPr>
          <w:sz w:val="22"/>
          <w:szCs w:val="22"/>
        </w:rPr>
        <w:t xml:space="preserve"> </w:t>
      </w:r>
      <w:r w:rsidRPr="00CF598D">
        <w:rPr>
          <w:sz w:val="22"/>
          <w:szCs w:val="22"/>
        </w:rPr>
        <w:t>législateur</w:t>
      </w:r>
      <w:r>
        <w:rPr>
          <w:sz w:val="22"/>
          <w:szCs w:val="22"/>
        </w:rPr>
        <w:t xml:space="preserve"> </w:t>
      </w:r>
      <w:r w:rsidRPr="00CF598D">
        <w:rPr>
          <w:sz w:val="22"/>
          <w:szCs w:val="22"/>
        </w:rPr>
        <w:t>l'a</w:t>
      </w:r>
      <w:r>
        <w:rPr>
          <w:sz w:val="22"/>
          <w:szCs w:val="22"/>
        </w:rPr>
        <w:t xml:space="preserve"> </w:t>
      </w:r>
      <w:r w:rsidRPr="00CF598D">
        <w:rPr>
          <w:sz w:val="22"/>
          <w:szCs w:val="22"/>
        </w:rPr>
        <w:t>ainsi</w:t>
      </w:r>
      <w:r>
        <w:rPr>
          <w:sz w:val="22"/>
          <w:szCs w:val="22"/>
        </w:rPr>
        <w:t xml:space="preserve"> </w:t>
      </w:r>
      <w:r w:rsidRPr="00CF598D">
        <w:rPr>
          <w:sz w:val="22"/>
          <w:szCs w:val="22"/>
        </w:rPr>
        <w:t>voulu,</w:t>
      </w:r>
      <w:r>
        <w:rPr>
          <w:sz w:val="22"/>
          <w:szCs w:val="22"/>
        </w:rPr>
        <w:t xml:space="preserve"> </w:t>
      </w:r>
      <w:r w:rsidRPr="00CF598D">
        <w:rPr>
          <w:sz w:val="22"/>
          <w:szCs w:val="22"/>
        </w:rPr>
        <w:t>en</w:t>
      </w:r>
      <w:r>
        <w:rPr>
          <w:sz w:val="22"/>
          <w:szCs w:val="22"/>
        </w:rPr>
        <w:t xml:space="preserve"> </w:t>
      </w:r>
      <w:r w:rsidRPr="00CF598D">
        <w:rPr>
          <w:sz w:val="22"/>
          <w:szCs w:val="22"/>
        </w:rPr>
        <w:t>lui</w:t>
      </w:r>
      <w:r>
        <w:rPr>
          <w:sz w:val="22"/>
          <w:szCs w:val="22"/>
        </w:rPr>
        <w:t xml:space="preserve"> </w:t>
      </w:r>
      <w:r w:rsidRPr="00CF598D">
        <w:rPr>
          <w:sz w:val="22"/>
          <w:szCs w:val="22"/>
        </w:rPr>
        <w:t>imposant</w:t>
      </w:r>
      <w:r>
        <w:rPr>
          <w:sz w:val="22"/>
          <w:szCs w:val="22"/>
        </w:rPr>
        <w:t xml:space="preserve"> </w:t>
      </w:r>
      <w:r w:rsidRPr="00CF598D">
        <w:rPr>
          <w:sz w:val="22"/>
          <w:szCs w:val="22"/>
        </w:rPr>
        <w:t>un</w:t>
      </w:r>
      <w:r>
        <w:rPr>
          <w:sz w:val="22"/>
          <w:szCs w:val="22"/>
        </w:rPr>
        <w:t xml:space="preserve"> </w:t>
      </w:r>
      <w:r w:rsidRPr="00CF598D">
        <w:rPr>
          <w:sz w:val="22"/>
          <w:szCs w:val="22"/>
        </w:rPr>
        <w:t>encadrement sévère, la tâche du tribunal sera plus facile.</w:t>
      </w:r>
      <w:r>
        <w:rPr>
          <w:sz w:val="22"/>
          <w:szCs w:val="22"/>
        </w:rPr>
        <w:t xml:space="preserve"> </w:t>
      </w:r>
      <w:r w:rsidRPr="00CF598D">
        <w:rPr>
          <w:sz w:val="22"/>
          <w:szCs w:val="22"/>
        </w:rPr>
        <w:t>Le</w:t>
      </w:r>
      <w:r>
        <w:rPr>
          <w:sz w:val="22"/>
          <w:szCs w:val="22"/>
        </w:rPr>
        <w:t xml:space="preserve"> </w:t>
      </w:r>
      <w:r w:rsidRPr="00CF598D">
        <w:rPr>
          <w:sz w:val="22"/>
          <w:szCs w:val="22"/>
        </w:rPr>
        <w:t>contrôle</w:t>
      </w:r>
      <w:r>
        <w:rPr>
          <w:sz w:val="22"/>
          <w:szCs w:val="22"/>
        </w:rPr>
        <w:t xml:space="preserve"> </w:t>
      </w:r>
      <w:r w:rsidRPr="00CF598D">
        <w:rPr>
          <w:sz w:val="22"/>
          <w:szCs w:val="22"/>
        </w:rPr>
        <w:t>pourra,</w:t>
      </w:r>
      <w:r>
        <w:rPr>
          <w:sz w:val="22"/>
          <w:szCs w:val="22"/>
        </w:rPr>
        <w:t xml:space="preserve"> </w:t>
      </w:r>
      <w:r w:rsidRPr="00CF598D">
        <w:rPr>
          <w:sz w:val="22"/>
          <w:szCs w:val="22"/>
        </w:rPr>
        <w:t>en</w:t>
      </w:r>
      <w:r>
        <w:rPr>
          <w:sz w:val="22"/>
          <w:szCs w:val="22"/>
        </w:rPr>
        <w:t xml:space="preserve"> </w:t>
      </w:r>
      <w:r w:rsidRPr="00CF598D">
        <w:rPr>
          <w:sz w:val="22"/>
          <w:szCs w:val="22"/>
        </w:rPr>
        <w:t>effet,</w:t>
      </w:r>
      <w:r>
        <w:rPr>
          <w:sz w:val="22"/>
          <w:szCs w:val="22"/>
        </w:rPr>
        <w:t xml:space="preserve"> </w:t>
      </w:r>
      <w:r w:rsidRPr="00CF598D">
        <w:rPr>
          <w:sz w:val="22"/>
          <w:szCs w:val="22"/>
        </w:rPr>
        <w:t>s'effectuer</w:t>
      </w:r>
      <w:r>
        <w:rPr>
          <w:sz w:val="22"/>
          <w:szCs w:val="22"/>
        </w:rPr>
        <w:t xml:space="preserve"> </w:t>
      </w:r>
      <w:r w:rsidRPr="00CF598D">
        <w:rPr>
          <w:sz w:val="22"/>
          <w:szCs w:val="22"/>
        </w:rPr>
        <w:t>par</w:t>
      </w:r>
      <w:r>
        <w:rPr>
          <w:sz w:val="22"/>
          <w:szCs w:val="22"/>
        </w:rPr>
        <w:t xml:space="preserve"> </w:t>
      </w:r>
      <w:r w:rsidRPr="00CF598D">
        <w:rPr>
          <w:sz w:val="22"/>
          <w:szCs w:val="22"/>
        </w:rPr>
        <w:t>rapport</w:t>
      </w:r>
      <w:r>
        <w:rPr>
          <w:sz w:val="22"/>
          <w:szCs w:val="22"/>
        </w:rPr>
        <w:t xml:space="preserve"> </w:t>
      </w:r>
      <w:r w:rsidRPr="00CF598D">
        <w:rPr>
          <w:sz w:val="22"/>
          <w:szCs w:val="22"/>
        </w:rPr>
        <w:t>à</w:t>
      </w:r>
      <w:r>
        <w:rPr>
          <w:sz w:val="22"/>
          <w:szCs w:val="22"/>
        </w:rPr>
        <w:t xml:space="preserve"> </w:t>
      </w:r>
      <w:r w:rsidRPr="00CF598D">
        <w:rPr>
          <w:sz w:val="22"/>
          <w:szCs w:val="22"/>
        </w:rPr>
        <w:t>des</w:t>
      </w:r>
      <w:r>
        <w:rPr>
          <w:sz w:val="22"/>
          <w:szCs w:val="22"/>
        </w:rPr>
        <w:t xml:space="preserve"> </w:t>
      </w:r>
      <w:r w:rsidRPr="00CF598D">
        <w:rPr>
          <w:sz w:val="22"/>
          <w:szCs w:val="22"/>
        </w:rPr>
        <w:t>conditions, des impératifs ou des règles déjà précisés.</w:t>
      </w:r>
      <w:r>
        <w:rPr>
          <w:sz w:val="22"/>
          <w:szCs w:val="22"/>
        </w:rPr>
        <w:t xml:space="preserve"> </w:t>
      </w:r>
      <w:r w:rsidRPr="00CF598D">
        <w:rPr>
          <w:sz w:val="22"/>
          <w:szCs w:val="22"/>
        </w:rPr>
        <w:t>Si, au</w:t>
      </w:r>
      <w:r>
        <w:rPr>
          <w:sz w:val="22"/>
          <w:szCs w:val="22"/>
        </w:rPr>
        <w:t xml:space="preserve"> </w:t>
      </w:r>
      <w:r w:rsidRPr="00CF598D">
        <w:rPr>
          <w:sz w:val="22"/>
          <w:szCs w:val="22"/>
        </w:rPr>
        <w:t>contraire, elle est large, il deviendra plus difficile au juge de</w:t>
      </w:r>
      <w:r>
        <w:rPr>
          <w:sz w:val="22"/>
          <w:szCs w:val="22"/>
        </w:rPr>
        <w:t xml:space="preserve"> </w:t>
      </w:r>
      <w:r w:rsidRPr="00CF598D">
        <w:rPr>
          <w:sz w:val="22"/>
          <w:szCs w:val="22"/>
        </w:rPr>
        <w:t>trancher, faute de points de repère spécifiques.</w:t>
      </w:r>
      <w:r>
        <w:rPr>
          <w:sz w:val="22"/>
          <w:szCs w:val="22"/>
        </w:rPr>
        <w:t xml:space="preserve"> </w:t>
      </w:r>
      <w:r w:rsidRPr="00CF598D">
        <w:rPr>
          <w:sz w:val="22"/>
          <w:szCs w:val="22"/>
        </w:rPr>
        <w:t>Le tribunal devra</w:t>
      </w:r>
      <w:r>
        <w:rPr>
          <w:sz w:val="22"/>
          <w:szCs w:val="22"/>
        </w:rPr>
        <w:t xml:space="preserve"> </w:t>
      </w:r>
      <w:r w:rsidRPr="00CF598D">
        <w:rPr>
          <w:sz w:val="22"/>
          <w:szCs w:val="22"/>
        </w:rPr>
        <w:t>se garder alors de poser un jugement de valeur et de substituer</w:t>
      </w:r>
      <w:r>
        <w:rPr>
          <w:sz w:val="22"/>
          <w:szCs w:val="22"/>
        </w:rPr>
        <w:t xml:space="preserve"> </w:t>
      </w:r>
      <w:r w:rsidRPr="00CF598D">
        <w:rPr>
          <w:sz w:val="22"/>
          <w:szCs w:val="22"/>
        </w:rPr>
        <w:t>purement et simplement son opinion à celle de l'Administration, en</w:t>
      </w:r>
      <w:r>
        <w:rPr>
          <w:sz w:val="22"/>
          <w:szCs w:val="22"/>
        </w:rPr>
        <w:t xml:space="preserve"> </w:t>
      </w:r>
      <w:r w:rsidRPr="00CF598D">
        <w:rPr>
          <w:sz w:val="22"/>
          <w:szCs w:val="22"/>
        </w:rPr>
        <w:t>un mot de juger l'Administration plutôt que l'acte administratif</w:t>
      </w:r>
      <w:r>
        <w:rPr>
          <w:sz w:val="22"/>
          <w:szCs w:val="22"/>
        </w:rPr>
        <w:t xml:space="preserve"> </w:t>
      </w:r>
      <w:r w:rsidRPr="00CF598D">
        <w:rPr>
          <w:sz w:val="22"/>
          <w:szCs w:val="22"/>
        </w:rPr>
        <w:t>!!</w:t>
      </w:r>
      <w:r>
        <w:rPr>
          <w:rStyle w:val="Appelnotedebasdep"/>
          <w:sz w:val="22"/>
          <w:szCs w:val="22"/>
        </w:rPr>
        <w:footnoteReference w:id="43"/>
      </w:r>
    </w:p>
    <w:p w14:paraId="1B63CC47" w14:textId="77777777" w:rsidR="00885BAB" w:rsidRPr="00A21513" w:rsidRDefault="00885BAB" w:rsidP="00885BAB">
      <w:pPr>
        <w:pStyle w:val="Paragrdouble"/>
        <w:spacing w:line="240" w:lineRule="auto"/>
        <w:rPr>
          <w:szCs w:val="24"/>
        </w:rPr>
      </w:pPr>
      <w:r w:rsidRPr="00A21513">
        <w:rPr>
          <w:szCs w:val="24"/>
        </w:rPr>
        <w:t>L’examen de la compétence est habituellement complété par une vérification de la procédure déterminée par la loi. Est-ce que le décideur a suivi le processus imposé par la loi?</w:t>
      </w:r>
    </w:p>
    <w:p w14:paraId="5A981D4F" w14:textId="7577C3CF" w:rsidR="00DA60F8" w:rsidRPr="0059119E" w:rsidRDefault="00DA60F8" w:rsidP="00DA60F8">
      <w:pPr>
        <w:pStyle w:val="Paragraphe"/>
        <w:numPr>
          <w:ilvl w:val="0"/>
          <w:numId w:val="1"/>
        </w:numPr>
        <w:tabs>
          <w:tab w:val="clear" w:pos="360"/>
          <w:tab w:val="left" w:pos="709"/>
        </w:tabs>
        <w:spacing w:line="240" w:lineRule="auto"/>
        <w:rPr>
          <w:rFonts w:cs="Arial"/>
        </w:rPr>
      </w:pPr>
      <w:r w:rsidRPr="0059119E">
        <w:rPr>
          <w:rFonts w:cs="Arial"/>
        </w:rPr>
        <w:t>Dans le chapitre</w:t>
      </w:r>
      <w:r w:rsidR="00562CB1">
        <w:rPr>
          <w:rFonts w:cs="Arial"/>
        </w:rPr>
        <w:t xml:space="preserve"> de </w:t>
      </w:r>
      <w:r w:rsidR="0086315B">
        <w:rPr>
          <w:rFonts w:cs="Arial"/>
        </w:rPr>
        <w:t xml:space="preserve">la </w:t>
      </w:r>
      <w:r w:rsidR="0086315B" w:rsidRPr="0089017B">
        <w:rPr>
          <w:rFonts w:cs="Arial"/>
        </w:rPr>
        <w:t>LQE</w:t>
      </w:r>
      <w:r w:rsidRPr="0059119E">
        <w:rPr>
          <w:rFonts w:cs="Arial"/>
        </w:rPr>
        <w:t xml:space="preserve"> traitant des responsabilités en matière de protection de l’environnement, un</w:t>
      </w:r>
      <w:r w:rsidR="00562CB1">
        <w:rPr>
          <w:rFonts w:cs="Arial"/>
        </w:rPr>
        <w:t>e</w:t>
      </w:r>
      <w:r w:rsidR="0086315B">
        <w:rPr>
          <w:rFonts w:cs="Arial"/>
        </w:rPr>
        <w:t xml:space="preserve"> section</w:t>
      </w:r>
      <w:r w:rsidRPr="0059119E">
        <w:rPr>
          <w:rFonts w:cs="Arial"/>
        </w:rPr>
        <w:t xml:space="preserve"> traite des autorisations que peut donner le ministre</w:t>
      </w:r>
      <w:r w:rsidR="00E705DB">
        <w:rPr>
          <w:rStyle w:val="Appelnotedebasdep"/>
          <w:rFonts w:cs="Arial"/>
        </w:rPr>
        <w:footnoteReference w:id="44"/>
      </w:r>
      <w:r w:rsidRPr="0059119E">
        <w:rPr>
          <w:rFonts w:cs="Arial"/>
        </w:rPr>
        <w:t xml:space="preserve"> en regard de projets spécifiques</w:t>
      </w:r>
      <w:r w:rsidR="0089017B">
        <w:rPr>
          <w:rFonts w:cs="Arial"/>
        </w:rPr>
        <w:t>. C’est le cas</w:t>
      </w:r>
      <w:r w:rsidRPr="0059119E">
        <w:rPr>
          <w:rFonts w:cs="Arial"/>
        </w:rPr>
        <w:t xml:space="preserve"> des établissements industriels, </w:t>
      </w:r>
      <w:r w:rsidR="00C95F62">
        <w:rPr>
          <w:rFonts w:cs="Arial"/>
        </w:rPr>
        <w:t xml:space="preserve">de </w:t>
      </w:r>
      <w:r w:rsidRPr="0059119E">
        <w:rPr>
          <w:rFonts w:cs="Arial"/>
        </w:rPr>
        <w:t xml:space="preserve">la gestion des matières dangereuses ou </w:t>
      </w:r>
      <w:r w:rsidR="00C95F62">
        <w:rPr>
          <w:rFonts w:cs="Arial"/>
        </w:rPr>
        <w:t xml:space="preserve">de </w:t>
      </w:r>
      <w:r w:rsidRPr="0059119E">
        <w:rPr>
          <w:rFonts w:cs="Arial"/>
        </w:rPr>
        <w:t>l’élimination des matières résiduelles.</w:t>
      </w:r>
    </w:p>
    <w:p w14:paraId="18A95650" w14:textId="5E078F1B" w:rsidR="00DA60F8" w:rsidRPr="0059119E" w:rsidRDefault="00DA60F8" w:rsidP="00DA60F8">
      <w:pPr>
        <w:pStyle w:val="Paragraphe"/>
        <w:numPr>
          <w:ilvl w:val="0"/>
          <w:numId w:val="1"/>
        </w:numPr>
        <w:tabs>
          <w:tab w:val="clear" w:pos="360"/>
          <w:tab w:val="left" w:pos="709"/>
        </w:tabs>
        <w:spacing w:line="240" w:lineRule="auto"/>
        <w:rPr>
          <w:rFonts w:cs="Arial"/>
        </w:rPr>
      </w:pPr>
      <w:r w:rsidRPr="0059119E">
        <w:rPr>
          <w:rFonts w:cs="Arial"/>
        </w:rPr>
        <w:t>Une autre section de ce chapitre</w:t>
      </w:r>
      <w:r w:rsidRPr="0059119E">
        <w:rPr>
          <w:rStyle w:val="Appelnotedebasdep"/>
          <w:rFonts w:cs="Arial"/>
        </w:rPr>
        <w:footnoteReference w:id="45"/>
      </w:r>
      <w:r w:rsidRPr="0059119E">
        <w:rPr>
          <w:rFonts w:cs="Arial"/>
        </w:rPr>
        <w:t xml:space="preserve"> traite des projets (dont la liste est prévue par règlement) qui nécessitent l’émission d’un décret émis par le </w:t>
      </w:r>
      <w:r w:rsidR="003B3739">
        <w:rPr>
          <w:rFonts w:cs="Arial"/>
        </w:rPr>
        <w:t>gouvern</w:t>
      </w:r>
      <w:r w:rsidR="008A7F7B">
        <w:rPr>
          <w:rFonts w:cs="Arial"/>
        </w:rPr>
        <w:t>e</w:t>
      </w:r>
      <w:r w:rsidR="003B3739">
        <w:rPr>
          <w:rFonts w:cs="Arial"/>
        </w:rPr>
        <w:t>ment</w:t>
      </w:r>
      <w:r w:rsidRPr="0059119E">
        <w:rPr>
          <w:rFonts w:cs="Arial"/>
        </w:rPr>
        <w:t>, et sur recommandation du ministre.</w:t>
      </w:r>
    </w:p>
    <w:p w14:paraId="2BC2723E" w14:textId="77777777" w:rsidR="00DA60F8" w:rsidRPr="0059119E" w:rsidRDefault="00DA60F8" w:rsidP="00DA60F8">
      <w:pPr>
        <w:pStyle w:val="Paragraphe"/>
        <w:numPr>
          <w:ilvl w:val="0"/>
          <w:numId w:val="1"/>
        </w:numPr>
        <w:tabs>
          <w:tab w:val="clear" w:pos="360"/>
          <w:tab w:val="left" w:pos="709"/>
        </w:tabs>
        <w:spacing w:line="240" w:lineRule="auto"/>
        <w:rPr>
          <w:rFonts w:cs="Arial"/>
        </w:rPr>
      </w:pPr>
      <w:r w:rsidRPr="0059119E">
        <w:rPr>
          <w:rFonts w:cs="Arial"/>
        </w:rPr>
        <w:t xml:space="preserve">Le </w:t>
      </w:r>
      <w:r w:rsidRPr="0059119E">
        <w:rPr>
          <w:rFonts w:cs="Arial"/>
          <w:i/>
          <w:iCs/>
        </w:rPr>
        <w:t>Règlement relatif à l’évaluation et l’examen des impacts sur l’environnement de certains projets</w:t>
      </w:r>
      <w:r w:rsidRPr="0091282A">
        <w:rPr>
          <w:rStyle w:val="Appelnotedebasdep"/>
          <w:rFonts w:cs="Arial"/>
        </w:rPr>
        <w:footnoteReference w:id="46"/>
      </w:r>
      <w:r w:rsidRPr="0059119E">
        <w:rPr>
          <w:rFonts w:cs="Arial"/>
          <w:i/>
          <w:iCs/>
        </w:rPr>
        <w:t xml:space="preserve"> </w:t>
      </w:r>
      <w:r w:rsidRPr="0059119E">
        <w:rPr>
          <w:rFonts w:cs="Arial"/>
        </w:rPr>
        <w:t xml:space="preserve">prescrit la liste des projets soumis à la procédure d’évaluation et </w:t>
      </w:r>
      <w:r w:rsidRPr="0059119E">
        <w:rPr>
          <w:rFonts w:cs="Arial"/>
        </w:rPr>
        <w:lastRenderedPageBreak/>
        <w:t xml:space="preserve">d’examen des impacts sur l’environnement dont la responsabilité relève du gouvernement et non pas du ministre uniquement. </w:t>
      </w:r>
    </w:p>
    <w:p w14:paraId="232BE055" w14:textId="0330FFAA" w:rsidR="005A030C" w:rsidRPr="00E930D1" w:rsidRDefault="00DA60F8" w:rsidP="00E930D1">
      <w:pPr>
        <w:pStyle w:val="Paragraphe"/>
        <w:numPr>
          <w:ilvl w:val="0"/>
          <w:numId w:val="1"/>
        </w:numPr>
        <w:tabs>
          <w:tab w:val="clear" w:pos="360"/>
          <w:tab w:val="left" w:pos="709"/>
        </w:tabs>
        <w:spacing w:line="240" w:lineRule="auto"/>
        <w:rPr>
          <w:rFonts w:cs="Arial"/>
        </w:rPr>
      </w:pPr>
      <w:r w:rsidRPr="0059119E">
        <w:rPr>
          <w:rFonts w:cs="Arial"/>
        </w:rPr>
        <w:t>Parmi les projets énumérés, on retrouve « la construction ou le prolongement d’un système de transport collectif guidé ou sur rail »</w:t>
      </w:r>
      <w:r w:rsidRPr="0059119E">
        <w:rPr>
          <w:rStyle w:val="Appelnotedebasdep"/>
          <w:rFonts w:cs="Arial"/>
        </w:rPr>
        <w:footnoteReference w:id="47"/>
      </w:r>
      <w:r w:rsidRPr="0059119E">
        <w:rPr>
          <w:rFonts w:cs="Arial"/>
        </w:rPr>
        <w:t>. Le projet de tramway est donc visé par ce règlement et, conséquemment, pour voir le jour, il doit recevoir une approbation gouvernementale</w:t>
      </w:r>
      <w:r w:rsidR="00B27EC9">
        <w:rPr>
          <w:rFonts w:cs="Arial"/>
        </w:rPr>
        <w:t>, sur recommandation du ministre</w:t>
      </w:r>
      <w:r w:rsidRPr="0059119E">
        <w:rPr>
          <w:rFonts w:cs="Arial"/>
        </w:rPr>
        <w:t>.</w:t>
      </w:r>
    </w:p>
    <w:p w14:paraId="7CD535F6" w14:textId="098756F5" w:rsidR="00017C29" w:rsidRDefault="00CA4A6B" w:rsidP="00C23572">
      <w:pPr>
        <w:pStyle w:val="Paragrdouble"/>
        <w:spacing w:line="240" w:lineRule="auto"/>
      </w:pPr>
      <w:r>
        <w:t xml:space="preserve">L’article 31.5 </w:t>
      </w:r>
      <w:r w:rsidRPr="00F048B7">
        <w:t>LQE</w:t>
      </w:r>
      <w:r w:rsidR="003F3D93">
        <w:t xml:space="preserve"> accorde ce pouvoir spécifique </w:t>
      </w:r>
      <w:r w:rsidR="00891675">
        <w:t>au gouvernement ou, dit plus clairement, au Conseil des ministres</w:t>
      </w:r>
      <w:r w:rsidR="00705A5E">
        <w:t xml:space="preserve">. Voyons le processus </w:t>
      </w:r>
      <w:r w:rsidR="00BD15E8">
        <w:t xml:space="preserve">qui mène </w:t>
      </w:r>
      <w:r w:rsidR="002403BC">
        <w:t>à une décision par le</w:t>
      </w:r>
      <w:r w:rsidR="00BD15E8">
        <w:t xml:space="preserve"> Conseil des ministres</w:t>
      </w:r>
      <w:r w:rsidR="03FBBA0D">
        <w:t xml:space="preserve"> </w:t>
      </w:r>
      <w:r w:rsidR="003F3D93">
        <w:t>:</w:t>
      </w:r>
      <w:r>
        <w:t xml:space="preserve"> </w:t>
      </w:r>
    </w:p>
    <w:p w14:paraId="4C3B68B1" w14:textId="007AFF81" w:rsidR="003F3D93" w:rsidRPr="009E0F31" w:rsidRDefault="005F5483" w:rsidP="003F3D93">
      <w:pPr>
        <w:pStyle w:val="Paragraphe"/>
        <w:tabs>
          <w:tab w:val="clear" w:pos="1636"/>
          <w:tab w:val="left" w:pos="709"/>
        </w:tabs>
        <w:spacing w:line="240" w:lineRule="auto"/>
        <w:ind w:left="708" w:right="610"/>
        <w:rPr>
          <w:sz w:val="22"/>
          <w:szCs w:val="22"/>
        </w:rPr>
      </w:pPr>
      <w:hyperlink r:id="rId11" w:anchor="se:31_5" w:history="1">
        <w:r w:rsidR="00A100C4">
          <w:rPr>
            <w:sz w:val="22"/>
            <w:szCs w:val="22"/>
          </w:rPr>
          <w:t>31.5.</w:t>
        </w:r>
      </w:hyperlink>
      <w:r w:rsidR="003F3D93" w:rsidRPr="009E0F31">
        <w:rPr>
          <w:sz w:val="22"/>
          <w:szCs w:val="22"/>
        </w:rPr>
        <w:t> Le ministre transmet sa recommandation au gouvernement après l’analyse du projet, à la fin de l’évaluation environnementale. Il peut toutefois la transmettre avant la fin de l’évaluation environnementale lorsque l’initiateur du projet n’a pas répondu à ses demandes en vertu de l’</w:t>
      </w:r>
      <w:hyperlink r:id="rId12" w:anchor="art31.4" w:history="1">
        <w:r w:rsidR="00A100C4">
          <w:rPr>
            <w:sz w:val="22"/>
            <w:szCs w:val="22"/>
          </w:rPr>
          <w:t>article 31.4</w:t>
        </w:r>
      </w:hyperlink>
      <w:r w:rsidR="003F3D93" w:rsidRPr="009E0F31">
        <w:rPr>
          <w:sz w:val="22"/>
          <w:szCs w:val="22"/>
        </w:rPr>
        <w:t>.</w:t>
      </w:r>
    </w:p>
    <w:p w14:paraId="1E2C1CC1" w14:textId="27EEF225" w:rsidR="003F3D93" w:rsidRPr="009E0F31" w:rsidRDefault="00EB2FFC" w:rsidP="003F3D93">
      <w:pPr>
        <w:pStyle w:val="Paragraphe"/>
        <w:tabs>
          <w:tab w:val="clear" w:pos="1636"/>
          <w:tab w:val="left" w:pos="709"/>
        </w:tabs>
        <w:spacing w:line="240" w:lineRule="auto"/>
        <w:ind w:left="708" w:right="610"/>
        <w:rPr>
          <w:sz w:val="22"/>
          <w:szCs w:val="22"/>
        </w:rPr>
      </w:pPr>
      <w:r w:rsidRPr="009E0F31">
        <w:rPr>
          <w:sz w:val="22"/>
          <w:szCs w:val="22"/>
        </w:rPr>
        <w:t>(…)</w:t>
      </w:r>
    </w:p>
    <w:p w14:paraId="1D57D269" w14:textId="77777777" w:rsidR="003F3D93" w:rsidRPr="009E0F31" w:rsidRDefault="003F3D93" w:rsidP="003F3D93">
      <w:pPr>
        <w:pStyle w:val="Paragraphe"/>
        <w:tabs>
          <w:tab w:val="clear" w:pos="1636"/>
          <w:tab w:val="left" w:pos="709"/>
        </w:tabs>
        <w:spacing w:line="240" w:lineRule="auto"/>
        <w:ind w:left="708" w:right="610"/>
        <w:rPr>
          <w:sz w:val="22"/>
          <w:szCs w:val="22"/>
        </w:rPr>
      </w:pPr>
      <w:r w:rsidRPr="009E0F31">
        <w:rPr>
          <w:sz w:val="22"/>
          <w:szCs w:val="22"/>
        </w:rPr>
        <w:t>Le gouvernement ou tout comité de ministres dont fait partie le ministre autorisé par le gouvernement à agir à sa place peut délivrer une autorisation pour la réalisation du projet, avec ou sans modification et aux conditions, restrictions ou interdictions qu’il détermine, ou refuser de délivrer l’autorisation. Il peut aussi décider que la procédure se poursuive malgré la transmission d’une recommandation défavorable du ministre avant la fin de la procédure.</w:t>
      </w:r>
    </w:p>
    <w:p w14:paraId="4D2FC5C2" w14:textId="77777777" w:rsidR="003F3D93" w:rsidRPr="009E0F31" w:rsidRDefault="003F3D93" w:rsidP="003F3D93">
      <w:pPr>
        <w:pStyle w:val="Paragraphe"/>
        <w:tabs>
          <w:tab w:val="clear" w:pos="1636"/>
          <w:tab w:val="left" w:pos="709"/>
        </w:tabs>
        <w:spacing w:line="240" w:lineRule="auto"/>
        <w:ind w:left="708" w:right="610"/>
        <w:rPr>
          <w:sz w:val="22"/>
          <w:szCs w:val="22"/>
        </w:rPr>
      </w:pPr>
      <w:r w:rsidRPr="009E0F31">
        <w:rPr>
          <w:sz w:val="22"/>
          <w:szCs w:val="22"/>
        </w:rPr>
        <w:t>Le gouvernement ou le comité de ministres peut, s’il le juge nécessaire pour assurer une protection adéquate de l’environnement, de la santé de l’être humain ou des autres espèces vivantes et sur la recommandation du ministre, fixer dans cette autorisation toute norme ou toute condition, restriction ou interdiction différente de celles prescrites par un règlement pris en vertu de la présente loi.</w:t>
      </w:r>
    </w:p>
    <w:p w14:paraId="127EF541" w14:textId="4E33B0D1" w:rsidR="004A633A" w:rsidRPr="009E0F31" w:rsidRDefault="003F3D93" w:rsidP="004A633A">
      <w:pPr>
        <w:pStyle w:val="Paragraphe"/>
        <w:tabs>
          <w:tab w:val="clear" w:pos="1636"/>
          <w:tab w:val="left" w:pos="709"/>
        </w:tabs>
        <w:spacing w:line="240" w:lineRule="auto"/>
        <w:ind w:left="708" w:right="610"/>
        <w:rPr>
          <w:sz w:val="22"/>
          <w:szCs w:val="22"/>
        </w:rPr>
      </w:pPr>
      <w:r w:rsidRPr="009E0F31">
        <w:rPr>
          <w:sz w:val="22"/>
          <w:szCs w:val="22"/>
        </w:rPr>
        <w:t>La décision est communiquée à l’initiateur du projet dans les meilleurs délais.</w:t>
      </w:r>
    </w:p>
    <w:p w14:paraId="15921203" w14:textId="7BC33AC4" w:rsidR="00BE06CD" w:rsidRDefault="00BB05F8" w:rsidP="00C23572">
      <w:pPr>
        <w:pStyle w:val="Paragrdouble"/>
        <w:spacing w:line="240" w:lineRule="auto"/>
      </w:pPr>
      <w:r>
        <w:t>Au</w:t>
      </w:r>
      <w:r w:rsidR="00BE06CD">
        <w:t xml:space="preserve"> cours d</w:t>
      </w:r>
      <w:r>
        <w:t>u</w:t>
      </w:r>
      <w:r w:rsidR="00BE06CD">
        <w:t xml:space="preserve"> chemine</w:t>
      </w:r>
      <w:r w:rsidR="00BA1B7F">
        <w:t>me</w:t>
      </w:r>
      <w:r w:rsidR="00BE06CD">
        <w:t>nt</w:t>
      </w:r>
      <w:r>
        <w:t xml:space="preserve"> du projet</w:t>
      </w:r>
      <w:r w:rsidR="00BE06CD">
        <w:t>,</w:t>
      </w:r>
      <w:r w:rsidR="00BA1B7F">
        <w:t xml:space="preserve"> le ministre </w:t>
      </w:r>
      <w:r w:rsidR="000E5843">
        <w:t>peut mandater le</w:t>
      </w:r>
      <w:r w:rsidR="00BA1B7F">
        <w:t xml:space="preserve"> BAPE</w:t>
      </w:r>
      <w:r w:rsidR="003D2000">
        <w:t xml:space="preserve"> pour tenir une audience publique</w:t>
      </w:r>
      <w:r w:rsidR="00C31CF3">
        <w:t>.</w:t>
      </w:r>
      <w:r w:rsidR="006C3DFD">
        <w:t xml:space="preserve"> Par la suite, le BAPE fait rapport au ministre de </w:t>
      </w:r>
      <w:r w:rsidR="00082BC5">
        <w:t>s</w:t>
      </w:r>
      <w:r w:rsidR="006C3DFD">
        <w:t>es constatations ainsi que de l’analyse qu’il en a faite.</w:t>
      </w:r>
    </w:p>
    <w:p w14:paraId="61F91481" w14:textId="606B75C6" w:rsidR="00B40509" w:rsidRDefault="00F7160C" w:rsidP="00C23572">
      <w:pPr>
        <w:pStyle w:val="Paragrdouble"/>
        <w:spacing w:line="240" w:lineRule="auto"/>
      </w:pPr>
      <w:r>
        <w:t xml:space="preserve">Le rapport du BAPE </w:t>
      </w:r>
      <w:r w:rsidR="000E0775">
        <w:t>ne li</w:t>
      </w:r>
      <w:r w:rsidR="004C504E">
        <w:t>e</w:t>
      </w:r>
      <w:r w:rsidR="000E0775">
        <w:t xml:space="preserve"> pas le ministre et encore moins le gouvernement comme l’enseigne la jurisprudence</w:t>
      </w:r>
      <w:r w:rsidR="00DF24D3">
        <w:t> :</w:t>
      </w:r>
    </w:p>
    <w:p w14:paraId="66B5958B" w14:textId="77777777" w:rsidR="00EA566C" w:rsidRPr="00EA566C" w:rsidRDefault="00EA566C" w:rsidP="00EA566C">
      <w:pPr>
        <w:pStyle w:val="Paragraphe"/>
        <w:tabs>
          <w:tab w:val="clear" w:pos="1636"/>
          <w:tab w:val="left" w:pos="709"/>
        </w:tabs>
        <w:spacing w:line="240" w:lineRule="auto"/>
        <w:ind w:left="708" w:right="610"/>
        <w:rPr>
          <w:sz w:val="22"/>
          <w:szCs w:val="18"/>
          <w:lang w:eastAsia="fr-CA"/>
        </w:rPr>
      </w:pPr>
      <w:r w:rsidRPr="00EA566C">
        <w:rPr>
          <w:sz w:val="22"/>
          <w:szCs w:val="18"/>
          <w:lang w:eastAsia="fr-CA"/>
        </w:rPr>
        <w:t>[143]</w:t>
      </w:r>
      <w:r w:rsidRPr="00EA566C">
        <w:rPr>
          <w:rFonts w:ascii="Times New Roman" w:hAnsi="Times New Roman"/>
          <w:sz w:val="12"/>
          <w:szCs w:val="12"/>
          <w:lang w:eastAsia="fr-CA"/>
        </w:rPr>
        <w:t xml:space="preserve">     </w:t>
      </w:r>
      <w:r w:rsidRPr="00EA566C">
        <w:rPr>
          <w:sz w:val="22"/>
          <w:szCs w:val="18"/>
          <w:lang w:eastAsia="fr-CA"/>
        </w:rPr>
        <w:t xml:space="preserve">En fin de compte, il convient de citer à nouveau la Cour d’appel dans </w:t>
      </w:r>
      <w:r w:rsidRPr="00EA566C">
        <w:rPr>
          <w:i/>
          <w:iCs/>
          <w:sz w:val="22"/>
          <w:szCs w:val="18"/>
          <w:lang w:eastAsia="fr-CA"/>
        </w:rPr>
        <w:t>Bellefleur</w:t>
      </w:r>
      <w:r w:rsidRPr="00EA566C">
        <w:rPr>
          <w:sz w:val="22"/>
          <w:szCs w:val="18"/>
          <w:lang w:eastAsia="fr-CA"/>
        </w:rPr>
        <w:t xml:space="preserve">, qui s’exprime sur la latitude du </w:t>
      </w:r>
      <w:r w:rsidRPr="00EA566C">
        <w:rPr>
          <w:sz w:val="22"/>
          <w:szCs w:val="18"/>
        </w:rPr>
        <w:t>gouvernement</w:t>
      </w:r>
      <w:r w:rsidRPr="00EA566C">
        <w:rPr>
          <w:sz w:val="22"/>
          <w:szCs w:val="18"/>
          <w:lang w:eastAsia="fr-CA"/>
        </w:rPr>
        <w:t xml:space="preserve"> en regard des éléments qu’il peut considérer lors de l’adoption d’un décret sous l’article 31.5 </w:t>
      </w:r>
      <w:r w:rsidRPr="00EA566C">
        <w:rPr>
          <w:i/>
          <w:iCs/>
          <w:sz w:val="22"/>
          <w:szCs w:val="18"/>
          <w:lang w:eastAsia="fr-CA"/>
        </w:rPr>
        <w:t>LQE</w:t>
      </w:r>
      <w:r w:rsidRPr="00EA566C">
        <w:rPr>
          <w:sz w:val="22"/>
          <w:szCs w:val="18"/>
          <w:lang w:eastAsia="fr-CA"/>
        </w:rPr>
        <w:t> :</w:t>
      </w:r>
    </w:p>
    <w:p w14:paraId="5F36EDE7" w14:textId="78336541" w:rsidR="00EA566C" w:rsidRPr="00EA566C" w:rsidRDefault="00EA566C" w:rsidP="00EA566C">
      <w:pPr>
        <w:pStyle w:val="Paragrdouble"/>
        <w:numPr>
          <w:ilvl w:val="0"/>
          <w:numId w:val="0"/>
        </w:numPr>
        <w:spacing w:line="240" w:lineRule="auto"/>
        <w:ind w:left="1462" w:right="998"/>
        <w:rPr>
          <w:sz w:val="22"/>
          <w:szCs w:val="18"/>
          <w:lang w:eastAsia="fr-CA"/>
        </w:rPr>
      </w:pPr>
      <w:r w:rsidRPr="00EA566C">
        <w:rPr>
          <w:sz w:val="22"/>
          <w:szCs w:val="18"/>
          <w:lang w:eastAsia="fr-CA"/>
        </w:rPr>
        <w:lastRenderedPageBreak/>
        <w:t>Le Ministre jouit d'une large discrétion sur le déroulement de l'ensemble de l'opération, presque du «</w:t>
      </w:r>
      <w:r w:rsidR="00521B5A">
        <w:rPr>
          <w:sz w:val="22"/>
          <w:szCs w:val="18"/>
          <w:lang w:eastAsia="fr-CA"/>
        </w:rPr>
        <w:t xml:space="preserve"> </w:t>
      </w:r>
      <w:r w:rsidRPr="00EA566C">
        <w:rPr>
          <w:sz w:val="22"/>
          <w:szCs w:val="18"/>
          <w:lang w:eastAsia="fr-CA"/>
        </w:rPr>
        <w:t>bon plaisir</w:t>
      </w:r>
      <w:r w:rsidR="00521B5A">
        <w:rPr>
          <w:sz w:val="22"/>
          <w:szCs w:val="18"/>
          <w:lang w:eastAsia="fr-CA"/>
        </w:rPr>
        <w:t xml:space="preserve"> </w:t>
      </w:r>
      <w:r w:rsidRPr="00EA566C">
        <w:rPr>
          <w:sz w:val="22"/>
          <w:szCs w:val="18"/>
          <w:lang w:eastAsia="fr-CA"/>
        </w:rPr>
        <w:t xml:space="preserve">» du Prince. Sans revenir sur l'analyse faite plus haut, </w:t>
      </w:r>
      <w:r w:rsidRPr="00EA566C">
        <w:rPr>
          <w:sz w:val="22"/>
          <w:szCs w:val="18"/>
          <w:u w:val="single"/>
          <w:lang w:eastAsia="fr-CA"/>
        </w:rPr>
        <w:t>la seule véritable obligation du Ministre, sur le strict plan formel, dans le processus complexe aboutissant à sa prise de décision est, en réalité, de rendre publique l'étude d'impact et de tenir une audience publique si la chose lui est demandée</w:t>
      </w:r>
      <w:r w:rsidRPr="00EA566C">
        <w:rPr>
          <w:sz w:val="22"/>
          <w:szCs w:val="18"/>
          <w:lang w:eastAsia="fr-CA"/>
        </w:rPr>
        <w:t xml:space="preserve"> </w:t>
      </w:r>
      <w:r w:rsidRPr="00EA566C">
        <w:rPr>
          <w:sz w:val="22"/>
          <w:szCs w:val="18"/>
          <w:u w:val="single"/>
          <w:lang w:eastAsia="fr-CA"/>
        </w:rPr>
        <w:t>(art. 31.3)</w:t>
      </w:r>
      <w:r w:rsidRPr="00EA566C">
        <w:rPr>
          <w:sz w:val="22"/>
          <w:szCs w:val="18"/>
          <w:lang w:eastAsia="fr-CA"/>
        </w:rPr>
        <w:t xml:space="preserve"> et ne lui apparaît pas comme frivole.</w:t>
      </w:r>
    </w:p>
    <w:p w14:paraId="5951B326" w14:textId="77777777" w:rsidR="00EA566C" w:rsidRPr="00EA566C" w:rsidRDefault="00EA566C" w:rsidP="00EA566C">
      <w:pPr>
        <w:pStyle w:val="Paragrdouble"/>
        <w:numPr>
          <w:ilvl w:val="0"/>
          <w:numId w:val="0"/>
        </w:numPr>
        <w:spacing w:line="240" w:lineRule="auto"/>
        <w:ind w:left="1462" w:right="998"/>
        <w:rPr>
          <w:sz w:val="22"/>
          <w:szCs w:val="22"/>
          <w:lang w:eastAsia="fr-CA"/>
        </w:rPr>
      </w:pPr>
      <w:r w:rsidRPr="0091282A">
        <w:rPr>
          <w:sz w:val="22"/>
          <w:szCs w:val="22"/>
          <w:u w:val="single"/>
          <w:lang w:eastAsia="fr-CA"/>
        </w:rPr>
        <w:t>Le</w:t>
      </w:r>
      <w:r w:rsidRPr="6C71DF8D">
        <w:rPr>
          <w:sz w:val="22"/>
          <w:szCs w:val="22"/>
          <w:u w:val="single"/>
          <w:lang w:eastAsia="fr-CA"/>
        </w:rPr>
        <w:t xml:space="preserve"> mécanisme prévu et donc voulu par le législateur semble être de caractère essentiellement consultatif</w:t>
      </w:r>
      <w:r w:rsidRPr="6C71DF8D">
        <w:rPr>
          <w:sz w:val="22"/>
          <w:szCs w:val="22"/>
          <w:lang w:eastAsia="fr-CA"/>
        </w:rPr>
        <w:t>, puisque la discrétion du Ministre s'exerce à l'endroit du contenu de l'étude d'impact (art. 31.2); de la nécessité d'études complémentaires (art. 31), de la recevabilité ou non de l'étude d'impact et du besoin de tenir des audiences publiques (Art. 31.3.</w:t>
      </w:r>
    </w:p>
    <w:p w14:paraId="2E5298CA" w14:textId="71663828" w:rsidR="00EA566C" w:rsidRPr="00EA566C" w:rsidRDefault="00EA566C" w:rsidP="00EA566C">
      <w:pPr>
        <w:pStyle w:val="Paragrdouble"/>
        <w:numPr>
          <w:ilvl w:val="0"/>
          <w:numId w:val="0"/>
        </w:numPr>
        <w:spacing w:line="240" w:lineRule="auto"/>
        <w:ind w:left="1462" w:right="998"/>
        <w:rPr>
          <w:sz w:val="22"/>
          <w:szCs w:val="18"/>
          <w:lang w:eastAsia="fr-CA"/>
        </w:rPr>
      </w:pPr>
      <w:r w:rsidRPr="00EA566C">
        <w:rPr>
          <w:sz w:val="22"/>
          <w:szCs w:val="18"/>
          <w:lang w:eastAsia="fr-CA"/>
        </w:rPr>
        <w:t> Les</w:t>
      </w:r>
      <w:r w:rsidR="00A762B9" w:rsidRPr="00EA566C">
        <w:rPr>
          <w:sz w:val="22"/>
          <w:szCs w:val="18"/>
          <w:lang w:eastAsia="fr-CA"/>
        </w:rPr>
        <w:t xml:space="preserve"> « adjuvants</w:t>
      </w:r>
      <w:r w:rsidR="00D324BA">
        <w:rPr>
          <w:sz w:val="22"/>
          <w:szCs w:val="18"/>
          <w:lang w:eastAsia="fr-CA"/>
        </w:rPr>
        <w:t xml:space="preserve"> </w:t>
      </w:r>
      <w:r w:rsidRPr="00EA566C">
        <w:rPr>
          <w:sz w:val="22"/>
          <w:szCs w:val="18"/>
          <w:lang w:eastAsia="fr-CA"/>
        </w:rPr>
        <w:t>» au Ministre, soit le B.A.P.E. et les services du M.E.N.V.I.Q., ont pour leur part un rôle simplement consultatif, puisque celui-ci peut passer outre leurs constatations, leurs suggestions ou leurs recommandations, selon le cas. Le poids de ces organismes est donc largement politique dans le premier cas et administratif dans le second. D'ailleurs l'existence d'une divergence de vue entre le Ministre et les organes consultatifs ne serait pas suffisante pour entacher la décision ministérielle d'illégalité (Monsanto Canada Inc. c. Minister of Agriculture of Canada, [1989] 34 Admin. L.R. 297 (C.A.F.).</w:t>
      </w:r>
      <w:r w:rsidR="00AF49F2" w:rsidRPr="00EA566C">
        <w:rPr>
          <w:sz w:val="22"/>
          <w:szCs w:val="18"/>
          <w:lang w:eastAsia="fr-CA"/>
        </w:rPr>
        <w:t xml:space="preserve"> </w:t>
      </w:r>
    </w:p>
    <w:p w14:paraId="31BC4B02" w14:textId="54B3C463" w:rsidR="00EA566C" w:rsidRPr="00EA566C" w:rsidRDefault="00D324BA" w:rsidP="00EA566C">
      <w:pPr>
        <w:pStyle w:val="Paragrdouble"/>
        <w:numPr>
          <w:ilvl w:val="0"/>
          <w:numId w:val="0"/>
        </w:numPr>
        <w:spacing w:line="240" w:lineRule="auto"/>
        <w:rPr>
          <w:sz w:val="22"/>
          <w:szCs w:val="18"/>
          <w:lang w:eastAsia="fr-CA"/>
        </w:rPr>
      </w:pPr>
      <w:r>
        <w:rPr>
          <w:sz w:val="22"/>
          <w:szCs w:val="18"/>
          <w:lang w:eastAsia="fr-CA"/>
        </w:rPr>
        <w:t xml:space="preserve"> </w:t>
      </w:r>
      <w:r>
        <w:rPr>
          <w:sz w:val="22"/>
          <w:szCs w:val="18"/>
          <w:lang w:eastAsia="fr-CA"/>
        </w:rPr>
        <w:tab/>
      </w:r>
      <w:r>
        <w:rPr>
          <w:sz w:val="22"/>
          <w:szCs w:val="18"/>
          <w:lang w:eastAsia="fr-CA"/>
        </w:rPr>
        <w:tab/>
      </w:r>
      <w:r w:rsidR="00EA566C" w:rsidRPr="00EA566C">
        <w:rPr>
          <w:sz w:val="22"/>
          <w:szCs w:val="18"/>
          <w:lang w:eastAsia="fr-CA"/>
        </w:rPr>
        <w:t>(Soulignements ajoutés)</w:t>
      </w:r>
    </w:p>
    <w:p w14:paraId="1F966C76" w14:textId="6CDF94F7" w:rsidR="00EA566C" w:rsidRPr="00EA566C" w:rsidRDefault="00EA566C" w:rsidP="00EA566C">
      <w:pPr>
        <w:pStyle w:val="Paragraphe"/>
        <w:tabs>
          <w:tab w:val="clear" w:pos="1636"/>
          <w:tab w:val="left" w:pos="709"/>
        </w:tabs>
        <w:spacing w:line="240" w:lineRule="auto"/>
        <w:ind w:left="708" w:right="610"/>
        <w:rPr>
          <w:sz w:val="22"/>
          <w:szCs w:val="18"/>
          <w:lang w:eastAsia="fr-CA"/>
        </w:rPr>
      </w:pPr>
      <w:r w:rsidRPr="00EA566C">
        <w:rPr>
          <w:sz w:val="22"/>
          <w:szCs w:val="22"/>
          <w:lang w:eastAsia="fr-CA"/>
        </w:rPr>
        <w:t>[144]</w:t>
      </w:r>
      <w:r w:rsidRPr="00EA566C">
        <w:rPr>
          <w:rFonts w:ascii="Times New Roman" w:hAnsi="Times New Roman"/>
          <w:sz w:val="12"/>
          <w:szCs w:val="12"/>
          <w:lang w:eastAsia="fr-CA"/>
        </w:rPr>
        <w:t xml:space="preserve">     </w:t>
      </w:r>
      <w:r w:rsidRPr="00EA566C">
        <w:rPr>
          <w:sz w:val="22"/>
          <w:szCs w:val="22"/>
          <w:lang w:eastAsia="fr-CA"/>
        </w:rPr>
        <w:t xml:space="preserve">En l’espèce, il ressort de la preuve que cette discrétion s’est exercée en convergence avec les recommandations des </w:t>
      </w:r>
      <w:r w:rsidRPr="00EA566C">
        <w:rPr>
          <w:sz w:val="22"/>
          <w:szCs w:val="22"/>
        </w:rPr>
        <w:t>représentants</w:t>
      </w:r>
      <w:r w:rsidRPr="00EA566C">
        <w:rPr>
          <w:sz w:val="22"/>
          <w:szCs w:val="22"/>
          <w:lang w:eastAsia="fr-CA"/>
        </w:rPr>
        <w:t xml:space="preserve"> du MEQ, alors que la Cour d’appel reconnaît qu’un exercice de la discrétion qui divergerait de la résultante du processus consultatif ne permettrait pas en soi de conclure que la décision est viciée.</w:t>
      </w:r>
      <w:r w:rsidR="00A764E0">
        <w:rPr>
          <w:rStyle w:val="Appelnotedebasdep"/>
          <w:sz w:val="22"/>
          <w:szCs w:val="22"/>
          <w:lang w:eastAsia="fr-CA"/>
        </w:rPr>
        <w:footnoteReference w:id="48"/>
      </w:r>
    </w:p>
    <w:p w14:paraId="58F3E613" w14:textId="5B0CCD52" w:rsidR="00D47CFF" w:rsidRDefault="006D7D9D" w:rsidP="00635907">
      <w:pPr>
        <w:pStyle w:val="Paragrdouble"/>
        <w:spacing w:line="240" w:lineRule="auto"/>
      </w:pPr>
      <w:r>
        <w:t>Sur l’aspect à proprement parler</w:t>
      </w:r>
      <w:r w:rsidR="00213056">
        <w:t xml:space="preserve"> de l’obligation qu’aurait le gouvernement de suivre les recommandations du BAPE,</w:t>
      </w:r>
      <w:r w:rsidR="0034267B">
        <w:t xml:space="preserve"> la Cour d’appel est formelle : il s’agit d’un processus de consultation</w:t>
      </w:r>
      <w:r w:rsidR="02D60FC5">
        <w:t xml:space="preserve"> </w:t>
      </w:r>
      <w:r w:rsidR="321A5D40">
        <w:t>:</w:t>
      </w:r>
    </w:p>
    <w:p w14:paraId="7F3B420B" w14:textId="555840E6" w:rsidR="0034267B" w:rsidRPr="000638A9" w:rsidRDefault="000638A9" w:rsidP="000638A9">
      <w:pPr>
        <w:pStyle w:val="Paragraphe"/>
        <w:tabs>
          <w:tab w:val="clear" w:pos="1636"/>
          <w:tab w:val="left" w:pos="709"/>
        </w:tabs>
        <w:spacing w:line="240" w:lineRule="auto"/>
        <w:ind w:left="708" w:right="610"/>
        <w:rPr>
          <w:sz w:val="22"/>
          <w:szCs w:val="22"/>
          <w:lang w:eastAsia="fr-CA"/>
        </w:rPr>
      </w:pPr>
      <w:r w:rsidRPr="00D324BA">
        <w:rPr>
          <w:sz w:val="22"/>
          <w:szCs w:val="22"/>
          <w:u w:val="single"/>
          <w:lang w:eastAsia="fr-CA"/>
        </w:rPr>
        <w:t>Ce processus administratif de prise de décision, d'apparence très démocratique, est donc au fond un simple processus de consultation</w:t>
      </w:r>
      <w:r w:rsidRPr="000638A9">
        <w:rPr>
          <w:sz w:val="22"/>
          <w:szCs w:val="22"/>
          <w:lang w:eastAsia="fr-CA"/>
        </w:rPr>
        <w:t xml:space="preserve">, complexe certes, </w:t>
      </w:r>
      <w:r w:rsidRPr="00D324BA">
        <w:rPr>
          <w:sz w:val="22"/>
          <w:szCs w:val="22"/>
          <w:u w:val="single"/>
          <w:lang w:eastAsia="fr-CA"/>
        </w:rPr>
        <w:t>mais sans aucune véritable contrainte juridique pour l'administration autre que le respect de la procédure prévue par le législateur</w:t>
      </w:r>
      <w:r w:rsidRPr="000638A9">
        <w:rPr>
          <w:sz w:val="22"/>
          <w:szCs w:val="22"/>
          <w:lang w:eastAsia="fr-CA"/>
        </w:rPr>
        <w:t xml:space="preserve">. Il a pour but de fournir un éclairage à la décision du Ministre pour asseoir la recommandation qu'il présentera au gouvernement. Le Ministre n'a donc, d'après la loi et les règlements, que fort peu de contrainte juridique directe relativement à l'expertise qui lui est présentée ou à l'information qui </w:t>
      </w:r>
      <w:r w:rsidRPr="000638A9">
        <w:rPr>
          <w:sz w:val="22"/>
          <w:szCs w:val="22"/>
          <w:lang w:eastAsia="fr-CA"/>
        </w:rPr>
        <w:lastRenderedPageBreak/>
        <w:t>lui est fournie et le gouvernement lui,</w:t>
      </w:r>
      <w:r w:rsidR="0017248A">
        <w:rPr>
          <w:sz w:val="22"/>
          <w:szCs w:val="22"/>
          <w:lang w:eastAsia="fr-CA"/>
        </w:rPr>
        <w:t xml:space="preserve"> </w:t>
      </w:r>
      <w:r w:rsidRPr="000638A9">
        <w:rPr>
          <w:sz w:val="22"/>
          <w:szCs w:val="22"/>
          <w:lang w:eastAsia="fr-CA"/>
        </w:rPr>
        <w:t>second niveau d'appréciation discrétionnaire, n'en a formellement aucune.</w:t>
      </w:r>
      <w:r w:rsidR="0017248A">
        <w:rPr>
          <w:rStyle w:val="Appelnotedebasdep"/>
          <w:sz w:val="22"/>
          <w:szCs w:val="22"/>
          <w:lang w:eastAsia="fr-CA"/>
        </w:rPr>
        <w:footnoteReference w:id="49"/>
      </w:r>
    </w:p>
    <w:p w14:paraId="2B1C7DAE" w14:textId="6F623C38" w:rsidR="00ED1FDC" w:rsidRDefault="00ED1FDC" w:rsidP="00C23572">
      <w:pPr>
        <w:pStyle w:val="Paragrdouble"/>
        <w:spacing w:line="240" w:lineRule="auto"/>
      </w:pPr>
      <w:r>
        <w:t xml:space="preserve">Ce n’est pas parce que le BAPE </w:t>
      </w:r>
      <w:r w:rsidR="0036677B">
        <w:t>a un rôle consultatif que le Tribunal doit toutefois se contenter</w:t>
      </w:r>
      <w:r w:rsidR="00361C9D">
        <w:t xml:space="preserve"> de mettre un couvercle sur la procédure des </w:t>
      </w:r>
      <w:r w:rsidR="00B71001">
        <w:t xml:space="preserve">demandeurs. </w:t>
      </w:r>
    </w:p>
    <w:p w14:paraId="4131AE15" w14:textId="31DC4200" w:rsidR="0074583B" w:rsidRDefault="00C527CF" w:rsidP="00C23572">
      <w:pPr>
        <w:pStyle w:val="Paragrdouble"/>
        <w:spacing w:line="240" w:lineRule="auto"/>
      </w:pPr>
      <w:r>
        <w:t xml:space="preserve">Quant au premier test, </w:t>
      </w:r>
      <w:r w:rsidR="003838F9">
        <w:t xml:space="preserve">concluons : </w:t>
      </w:r>
      <w:r>
        <w:t>le Conseil des ministres était parfaitement en droit d’adopter le décret 655-2022</w:t>
      </w:r>
      <w:r w:rsidR="00720993">
        <w:t xml:space="preserve"> et le processus imposé par la LQE est respecté.</w:t>
      </w:r>
    </w:p>
    <w:p w14:paraId="038A552B" w14:textId="37336A1C" w:rsidR="00AF0AA3" w:rsidRDefault="00501E34" w:rsidP="00501E34">
      <w:pPr>
        <w:pStyle w:val="Titre5"/>
      </w:pPr>
      <w:bookmarkStart w:id="20" w:name="_Ref123555001"/>
      <w:bookmarkStart w:id="21" w:name="_Toc124755346"/>
      <w:r>
        <w:t>L’an</w:t>
      </w:r>
      <w:r w:rsidR="0078229A">
        <w:t>a</w:t>
      </w:r>
      <w:r>
        <w:t xml:space="preserve">lyse </w:t>
      </w:r>
      <w:r w:rsidR="0026621B">
        <w:t xml:space="preserve">du contenu </w:t>
      </w:r>
      <w:r>
        <w:t>de la décision du 6 avril 2022</w:t>
      </w:r>
      <w:bookmarkEnd w:id="20"/>
      <w:bookmarkEnd w:id="21"/>
    </w:p>
    <w:p w14:paraId="6F17A9C8" w14:textId="644B5ECC" w:rsidR="00B4412C" w:rsidRPr="00A21513" w:rsidRDefault="00B4412C" w:rsidP="00B4412C">
      <w:pPr>
        <w:pStyle w:val="Paragrdouble"/>
        <w:spacing w:line="240" w:lineRule="auto"/>
        <w:rPr>
          <w:szCs w:val="24"/>
        </w:rPr>
      </w:pPr>
      <w:r w:rsidRPr="00A21513">
        <w:rPr>
          <w:szCs w:val="24"/>
        </w:rPr>
        <w:t>Le second test relatif au « défaut de la décision » a trait au contenu de la décision attaquée. Comme l’écrit la Cour d’appel, ce test doit se garder de poser un regard sur l</w:t>
      </w:r>
      <w:r w:rsidR="00FA373D">
        <w:rPr>
          <w:szCs w:val="24"/>
        </w:rPr>
        <w:t xml:space="preserve">’opportunité </w:t>
      </w:r>
      <w:r w:rsidRPr="00A21513">
        <w:rPr>
          <w:szCs w:val="24"/>
        </w:rPr>
        <w:t>de la décision, si ce n’est que pour s’assurer que la décision n’est pas fantaisiste :</w:t>
      </w:r>
    </w:p>
    <w:p w14:paraId="79D94E32" w14:textId="157707C5" w:rsidR="00B4412C" w:rsidRPr="00CF598D" w:rsidRDefault="00B4412C" w:rsidP="00B4412C">
      <w:pPr>
        <w:pStyle w:val="Paragraphe"/>
        <w:tabs>
          <w:tab w:val="clear" w:pos="1636"/>
          <w:tab w:val="left" w:pos="709"/>
        </w:tabs>
        <w:spacing w:line="240" w:lineRule="auto"/>
        <w:ind w:left="708" w:right="610"/>
        <w:rPr>
          <w:sz w:val="22"/>
          <w:szCs w:val="22"/>
        </w:rPr>
      </w:pPr>
      <w:r w:rsidRPr="6C71DF8D">
        <w:rPr>
          <w:sz w:val="22"/>
          <w:szCs w:val="22"/>
        </w:rPr>
        <w:t xml:space="preserve">En second lieu, il faut considérer les bases sur lesquelles la décision a pu être prise et ses sources, puisque c'est en définitive ce qui sépare une décision discrétionnaire mais légale, d'une décision arbitraire et donc illégale. La première est fondée sur certaines données objectives, même incomplètes, ou sur certains éléments ou normes existants, alors que la seconde relève de </w:t>
      </w:r>
      <w:bookmarkStart w:id="22" w:name="_Hlk124328076"/>
      <w:r w:rsidRPr="6C71DF8D">
        <w:rPr>
          <w:sz w:val="22"/>
          <w:szCs w:val="22"/>
        </w:rPr>
        <w:t>la fantaisie, du caprice, de l'ignorance volontaire, du bon plaisir ou de la négligence</w:t>
      </w:r>
      <w:bookmarkEnd w:id="22"/>
      <w:r w:rsidRPr="6C71DF8D">
        <w:rPr>
          <w:sz w:val="22"/>
          <w:szCs w:val="22"/>
        </w:rPr>
        <w:t>.</w:t>
      </w:r>
      <w:r>
        <w:rPr>
          <w:rStyle w:val="Appelnotedebasdep"/>
          <w:sz w:val="22"/>
          <w:szCs w:val="22"/>
        </w:rPr>
        <w:footnoteReference w:id="50"/>
      </w:r>
    </w:p>
    <w:p w14:paraId="2099CDC6" w14:textId="77777777" w:rsidR="00B4412C" w:rsidRDefault="00B4412C" w:rsidP="00B4412C">
      <w:pPr>
        <w:pStyle w:val="Paragraphe"/>
        <w:numPr>
          <w:ilvl w:val="0"/>
          <w:numId w:val="1"/>
        </w:numPr>
        <w:tabs>
          <w:tab w:val="clear" w:pos="360"/>
          <w:tab w:val="left" w:pos="709"/>
        </w:tabs>
        <w:spacing w:line="240" w:lineRule="auto"/>
      </w:pPr>
      <w:r>
        <w:t xml:space="preserve">Dans l’arrêt </w:t>
      </w:r>
      <w:r w:rsidRPr="00AF4B12">
        <w:rPr>
          <w:i/>
          <w:iCs/>
        </w:rPr>
        <w:t>Québec (Procureur général)</w:t>
      </w:r>
      <w:r>
        <w:t xml:space="preserve"> c. </w:t>
      </w:r>
      <w:r w:rsidRPr="00AF4B12">
        <w:rPr>
          <w:i/>
          <w:iCs/>
        </w:rPr>
        <w:t>Germain Blanchard ltée</w:t>
      </w:r>
      <w:r w:rsidRPr="00251082">
        <w:rPr>
          <w:rStyle w:val="Appelnotedebasdep"/>
        </w:rPr>
        <w:footnoteReference w:id="51"/>
      </w:r>
      <w:r>
        <w:t>, la Cour d’appel réitère les règles d’examen des décisions gouvernementales et précise les questions qui ont trait au caractère propre de la décision :</w:t>
      </w:r>
    </w:p>
    <w:p w14:paraId="4777F747" w14:textId="77777777" w:rsidR="00B4412C" w:rsidRPr="00A41967" w:rsidRDefault="00B4412C" w:rsidP="00B4412C">
      <w:pPr>
        <w:pStyle w:val="Paragraphe"/>
        <w:tabs>
          <w:tab w:val="clear" w:pos="1636"/>
          <w:tab w:val="left" w:pos="709"/>
        </w:tabs>
        <w:spacing w:line="240" w:lineRule="auto"/>
        <w:ind w:left="708" w:right="610"/>
        <w:rPr>
          <w:sz w:val="22"/>
          <w:szCs w:val="18"/>
        </w:rPr>
      </w:pPr>
      <w:r w:rsidRPr="00A41967">
        <w:rPr>
          <w:sz w:val="22"/>
          <w:szCs w:val="18"/>
        </w:rPr>
        <w:t>[45]   Le juge de la Cour supérieure a donc commis une erreur en n'examinant pas, selon l'approche pragmatique et fonctionnelle, si le gouvernement avait validement exercé son pouvoir discrétionnaire en refusant à l'intimée le certificat d'autorisation qu'elle demandait.</w:t>
      </w:r>
    </w:p>
    <w:p w14:paraId="60562A2B" w14:textId="77777777" w:rsidR="00B4412C" w:rsidRPr="00AF4B12" w:rsidRDefault="00B4412C" w:rsidP="00B4412C">
      <w:pPr>
        <w:pStyle w:val="Paragraphe"/>
        <w:tabs>
          <w:tab w:val="clear" w:pos="1636"/>
          <w:tab w:val="left" w:pos="709"/>
        </w:tabs>
        <w:spacing w:line="240" w:lineRule="auto"/>
        <w:ind w:left="708" w:right="610"/>
        <w:rPr>
          <w:sz w:val="22"/>
          <w:szCs w:val="18"/>
        </w:rPr>
      </w:pPr>
      <w:r w:rsidRPr="00AF4B12">
        <w:rPr>
          <w:sz w:val="22"/>
          <w:szCs w:val="18"/>
        </w:rPr>
        <w:t xml:space="preserve">[46]   Le rôle des tribunaux judiciaires reste très limité face à l'exercice par le gouvernement de son pouvoir discrétionnaire.  La juge L'Heureux-Dubé a rappelé, dans l'arrêt </w:t>
      </w:r>
      <w:r w:rsidRPr="00796294">
        <w:rPr>
          <w:i/>
          <w:iCs/>
          <w:sz w:val="22"/>
          <w:szCs w:val="18"/>
        </w:rPr>
        <w:t>Laurentides Motels</w:t>
      </w:r>
      <w:r w:rsidRPr="00AF4B12">
        <w:rPr>
          <w:sz w:val="22"/>
          <w:szCs w:val="18"/>
        </w:rPr>
        <w:t xml:space="preserve"> c. </w:t>
      </w:r>
      <w:r w:rsidRPr="00796294">
        <w:rPr>
          <w:i/>
          <w:iCs/>
          <w:sz w:val="22"/>
          <w:szCs w:val="18"/>
        </w:rPr>
        <w:t>Beauport (Ville</w:t>
      </w:r>
      <w:r w:rsidRPr="00AF4B12">
        <w:rPr>
          <w:sz w:val="22"/>
          <w:szCs w:val="18"/>
        </w:rPr>
        <w:t>), que le pouvoir discrétionnaire est nécessaire pour donner à l'autorité publique toute la latitude voulue pour prendre des décisions de nature politique dont l'autorité doit être comptable non aux tribunaux, mais à l'électorat ou à la législature.  Les tribunaux n'ont pas pour mission de remplacer le pouvoir exécutif ou de s'y substituer.</w:t>
      </w:r>
    </w:p>
    <w:p w14:paraId="649CA97B" w14:textId="77777777" w:rsidR="00B4412C" w:rsidRPr="00AF4B12" w:rsidRDefault="00B4412C" w:rsidP="00B4412C">
      <w:pPr>
        <w:pStyle w:val="Paragraphe"/>
        <w:tabs>
          <w:tab w:val="clear" w:pos="1636"/>
          <w:tab w:val="left" w:pos="709"/>
        </w:tabs>
        <w:spacing w:line="240" w:lineRule="auto"/>
        <w:ind w:left="708" w:right="610"/>
        <w:rPr>
          <w:sz w:val="22"/>
          <w:szCs w:val="18"/>
        </w:rPr>
      </w:pPr>
      <w:r w:rsidRPr="00AF4B12">
        <w:rPr>
          <w:sz w:val="22"/>
          <w:szCs w:val="18"/>
        </w:rPr>
        <w:t>[47] Il a été depuis longtemps admis que l'on ne peut attaquer l'exercice du pouvoir discrétionnaire d'une autorité publique que si:</w:t>
      </w:r>
    </w:p>
    <w:p w14:paraId="691EC92B" w14:textId="77777777" w:rsidR="00B4412C" w:rsidRPr="00AF4B12" w:rsidRDefault="00B4412C" w:rsidP="00B4412C">
      <w:pPr>
        <w:pStyle w:val="Paragraphe"/>
        <w:tabs>
          <w:tab w:val="clear" w:pos="1636"/>
          <w:tab w:val="left" w:pos="709"/>
        </w:tabs>
        <w:spacing w:line="240" w:lineRule="auto"/>
        <w:ind w:left="1462" w:right="610"/>
        <w:rPr>
          <w:sz w:val="22"/>
          <w:szCs w:val="18"/>
        </w:rPr>
      </w:pPr>
      <w:r w:rsidRPr="00AF4B12">
        <w:rPr>
          <w:sz w:val="22"/>
          <w:szCs w:val="18"/>
        </w:rPr>
        <w:lastRenderedPageBreak/>
        <w:t>-         l'auteur a agi sans compétence ou autrement excédé sa compétence;</w:t>
      </w:r>
    </w:p>
    <w:p w14:paraId="5D186FA1" w14:textId="77777777" w:rsidR="00B4412C" w:rsidRPr="00AF4B12" w:rsidRDefault="00B4412C" w:rsidP="00B4412C">
      <w:pPr>
        <w:pStyle w:val="Paragraphe"/>
        <w:tabs>
          <w:tab w:val="clear" w:pos="1636"/>
          <w:tab w:val="left" w:pos="709"/>
        </w:tabs>
        <w:spacing w:line="240" w:lineRule="auto"/>
        <w:ind w:left="1462" w:right="610"/>
        <w:rPr>
          <w:sz w:val="22"/>
          <w:szCs w:val="18"/>
        </w:rPr>
      </w:pPr>
      <w:r w:rsidRPr="00AF4B12">
        <w:rPr>
          <w:sz w:val="22"/>
          <w:szCs w:val="18"/>
        </w:rPr>
        <w:t>-         l'auteur ne s'est pas conformé à la procédure prescrite, aux règles de la justice naturelle ou au principe de l'équité procédurale;</w:t>
      </w:r>
    </w:p>
    <w:p w14:paraId="0D7F5ABE" w14:textId="77777777" w:rsidR="00B4412C" w:rsidRPr="00AF4B12" w:rsidRDefault="00B4412C" w:rsidP="00B4412C">
      <w:pPr>
        <w:pStyle w:val="Paragraphe"/>
        <w:tabs>
          <w:tab w:val="clear" w:pos="1636"/>
          <w:tab w:val="left" w:pos="709"/>
        </w:tabs>
        <w:spacing w:line="240" w:lineRule="auto"/>
        <w:ind w:left="1462" w:right="610"/>
        <w:rPr>
          <w:sz w:val="22"/>
          <w:szCs w:val="18"/>
        </w:rPr>
      </w:pPr>
      <w:r w:rsidRPr="00AF4B12">
        <w:rPr>
          <w:sz w:val="22"/>
          <w:szCs w:val="18"/>
        </w:rPr>
        <w:t>-         l'auteur a poursuivi une finalité impropre, a agi de mauvaise foi ou par malice ou de façon discriminatoire;</w:t>
      </w:r>
    </w:p>
    <w:p w14:paraId="69C8EA09" w14:textId="77777777" w:rsidR="00B4412C" w:rsidRDefault="00B4412C" w:rsidP="00B4412C">
      <w:pPr>
        <w:pStyle w:val="Paragraphe"/>
        <w:tabs>
          <w:tab w:val="clear" w:pos="1636"/>
          <w:tab w:val="left" w:pos="709"/>
        </w:tabs>
        <w:spacing w:line="240" w:lineRule="auto"/>
        <w:ind w:left="1462" w:right="610"/>
        <w:rPr>
          <w:sz w:val="22"/>
          <w:szCs w:val="18"/>
        </w:rPr>
      </w:pPr>
      <w:r w:rsidRPr="00AF4B12">
        <w:rPr>
          <w:sz w:val="22"/>
          <w:szCs w:val="18"/>
        </w:rPr>
        <w:t xml:space="preserve">-         l'auteur a agi de façon injuste notamment en omettant d'examiner les faits ou de façon déraisonnable ou absurde. </w:t>
      </w:r>
    </w:p>
    <w:p w14:paraId="5BC75241" w14:textId="77777777" w:rsidR="00B4412C" w:rsidRDefault="00B4412C" w:rsidP="00B4412C">
      <w:pPr>
        <w:pStyle w:val="Paragraphe"/>
        <w:tabs>
          <w:tab w:val="clear" w:pos="1636"/>
          <w:tab w:val="left" w:pos="709"/>
        </w:tabs>
        <w:spacing w:line="240" w:lineRule="auto"/>
        <w:ind w:left="708" w:right="610"/>
        <w:rPr>
          <w:sz w:val="22"/>
          <w:szCs w:val="18"/>
        </w:rPr>
      </w:pPr>
      <w:r>
        <w:rPr>
          <w:sz w:val="22"/>
          <w:szCs w:val="18"/>
        </w:rPr>
        <w:t>(…)</w:t>
      </w:r>
    </w:p>
    <w:p w14:paraId="08AB728A" w14:textId="77777777" w:rsidR="00B4412C" w:rsidRPr="00070C6D" w:rsidRDefault="00B4412C" w:rsidP="00B4412C">
      <w:pPr>
        <w:pStyle w:val="Paragraphe"/>
        <w:tabs>
          <w:tab w:val="left" w:pos="709"/>
        </w:tabs>
        <w:spacing w:line="240" w:lineRule="auto"/>
        <w:ind w:left="708" w:right="610"/>
        <w:rPr>
          <w:sz w:val="22"/>
          <w:szCs w:val="22"/>
        </w:rPr>
      </w:pPr>
      <w:r w:rsidRPr="3A1CE63A">
        <w:rPr>
          <w:sz w:val="22"/>
          <w:szCs w:val="22"/>
        </w:rPr>
        <w:t>[52]   L'intégration du contrôle judiciaire de décisions comportant un large pouvoir discrétionnaire dans l'analyse pragmatique et fonctionnelle en raison d'erreurs de droit rend possible un contrôle plus nuancé, mais comme le précise la juge L'Heureux-Dubé au paragr. 56 de l'arrêt Baker, cette intégration ne devrait pas être considérée comme une diminution du niveau de retenue accordé aux décisions de nature hautement discrétionnaire.  En fait, écrit-elle:</w:t>
      </w:r>
    </w:p>
    <w:p w14:paraId="3455D354" w14:textId="77777777" w:rsidR="00B4412C" w:rsidRDefault="00B4412C" w:rsidP="00B4412C">
      <w:pPr>
        <w:pStyle w:val="Paragraphe"/>
        <w:tabs>
          <w:tab w:val="clear" w:pos="1636"/>
          <w:tab w:val="left" w:pos="709"/>
        </w:tabs>
        <w:spacing w:line="240" w:lineRule="auto"/>
        <w:ind w:left="1462" w:right="610"/>
        <w:rPr>
          <w:sz w:val="22"/>
          <w:szCs w:val="18"/>
        </w:rPr>
      </w:pPr>
      <w:r w:rsidRPr="00070C6D">
        <w:rPr>
          <w:sz w:val="22"/>
          <w:szCs w:val="18"/>
        </w:rPr>
        <w:t>[…] des normes de contrôle judiciaire empreintes de retenue peuvent donner au décideur discrétionnaire une grande liberté d'action dans la détermination des</w:t>
      </w:r>
      <w:r>
        <w:rPr>
          <w:sz w:val="22"/>
          <w:szCs w:val="18"/>
        </w:rPr>
        <w:t xml:space="preserve"> </w:t>
      </w:r>
      <w:r w:rsidRPr="00070C6D">
        <w:rPr>
          <w:sz w:val="22"/>
          <w:szCs w:val="18"/>
        </w:rPr>
        <w:t>«</w:t>
      </w:r>
      <w:r>
        <w:rPr>
          <w:sz w:val="22"/>
          <w:szCs w:val="18"/>
        </w:rPr>
        <w:t xml:space="preserve"> </w:t>
      </w:r>
      <w:r w:rsidRPr="00070C6D">
        <w:rPr>
          <w:sz w:val="22"/>
          <w:szCs w:val="18"/>
        </w:rPr>
        <w:t>objectifs appropriés</w:t>
      </w:r>
      <w:r>
        <w:rPr>
          <w:sz w:val="22"/>
          <w:szCs w:val="18"/>
        </w:rPr>
        <w:t xml:space="preserve"> </w:t>
      </w:r>
      <w:r w:rsidRPr="00070C6D">
        <w:rPr>
          <w:sz w:val="22"/>
          <w:szCs w:val="18"/>
        </w:rPr>
        <w:t>» ou des «</w:t>
      </w:r>
      <w:r>
        <w:rPr>
          <w:sz w:val="22"/>
          <w:szCs w:val="18"/>
        </w:rPr>
        <w:t> </w:t>
      </w:r>
      <w:r w:rsidRPr="00070C6D">
        <w:rPr>
          <w:sz w:val="22"/>
          <w:szCs w:val="18"/>
        </w:rPr>
        <w:t>considérations pertinentes</w:t>
      </w:r>
      <w:r>
        <w:rPr>
          <w:sz w:val="22"/>
          <w:szCs w:val="18"/>
        </w:rPr>
        <w:t> </w:t>
      </w:r>
      <w:r w:rsidRPr="00070C6D">
        <w:rPr>
          <w:sz w:val="22"/>
          <w:szCs w:val="18"/>
        </w:rPr>
        <w:t>».  La démarche pragmatique et fonctionnelle peut tenir compte du fait que plus le pouvoir discrétionnaire accordé à un décideur est grand, plus les tribunaux devraient hésiter à intervenir dans la manière dont les décideurs ont choisi entre diverses options.  Toutefois, même si, en général, il sera accordé un grand respect aux décisions discrétionnaires, il faut que le pouvoir discrétionnaire soit exercé conformément aux limites imposées dans la loi, aux principes de la primauté du droit, aux principes du droit administratif, aux valeurs fondamentales de la société canadienne, et aux principes de la Charte.</w:t>
      </w:r>
    </w:p>
    <w:p w14:paraId="5B990406" w14:textId="77777777" w:rsidR="00B4412C" w:rsidRPr="00AF4B12" w:rsidRDefault="00B4412C" w:rsidP="00B4412C">
      <w:pPr>
        <w:pStyle w:val="Paragraphe"/>
        <w:tabs>
          <w:tab w:val="clear" w:pos="1636"/>
          <w:tab w:val="left" w:pos="709"/>
        </w:tabs>
        <w:spacing w:line="240" w:lineRule="auto"/>
        <w:ind w:left="0" w:right="610"/>
        <w:rPr>
          <w:sz w:val="22"/>
          <w:szCs w:val="18"/>
        </w:rPr>
      </w:pPr>
      <w:r>
        <w:rPr>
          <w:sz w:val="22"/>
          <w:szCs w:val="18"/>
        </w:rPr>
        <w:t xml:space="preserve">             (références omises)</w:t>
      </w:r>
    </w:p>
    <w:p w14:paraId="183C3119" w14:textId="77777777" w:rsidR="00B4412C" w:rsidRDefault="00B4412C" w:rsidP="00B4412C">
      <w:pPr>
        <w:pStyle w:val="Paragraphe"/>
        <w:numPr>
          <w:ilvl w:val="0"/>
          <w:numId w:val="1"/>
        </w:numPr>
        <w:tabs>
          <w:tab w:val="clear" w:pos="360"/>
          <w:tab w:val="left" w:pos="709"/>
        </w:tabs>
        <w:spacing w:line="240" w:lineRule="auto"/>
      </w:pPr>
      <w:r w:rsidRPr="00133081">
        <w:t xml:space="preserve">Plus récemment, </w:t>
      </w:r>
      <w:r>
        <w:t xml:space="preserve">pour exemplifier ce second test, dans l’arrêt </w:t>
      </w:r>
      <w:r w:rsidRPr="00363A27">
        <w:rPr>
          <w:i/>
          <w:iCs/>
        </w:rPr>
        <w:t>Ville de Québec</w:t>
      </w:r>
      <w:r w:rsidRPr="00133081">
        <w:t xml:space="preserve"> c</w:t>
      </w:r>
      <w:r>
        <w:t>.</w:t>
      </w:r>
      <w:r w:rsidRPr="00133081">
        <w:t xml:space="preserve"> </w:t>
      </w:r>
      <w:r w:rsidRPr="00363A27">
        <w:rPr>
          <w:i/>
          <w:iCs/>
        </w:rPr>
        <w:t>Galy</w:t>
      </w:r>
      <w:r w:rsidRPr="00CC7EFB">
        <w:rPr>
          <w:rStyle w:val="Appelnotedebasdep"/>
        </w:rPr>
        <w:footnoteReference w:id="52"/>
      </w:r>
      <w:r>
        <w:t>, la Cour d’appel l’a ainsi illustré :</w:t>
      </w:r>
    </w:p>
    <w:p w14:paraId="58345A88" w14:textId="77777777" w:rsidR="00B4412C" w:rsidRPr="0021379B" w:rsidRDefault="00B4412C" w:rsidP="00B4412C">
      <w:pPr>
        <w:pStyle w:val="Paragraphe"/>
        <w:tabs>
          <w:tab w:val="clear" w:pos="1636"/>
          <w:tab w:val="left" w:pos="709"/>
        </w:tabs>
        <w:spacing w:line="240" w:lineRule="auto"/>
        <w:ind w:left="708" w:right="610"/>
        <w:rPr>
          <w:sz w:val="22"/>
          <w:szCs w:val="18"/>
        </w:rPr>
      </w:pPr>
      <w:r w:rsidRPr="00FE3DFB">
        <w:rPr>
          <w:sz w:val="22"/>
          <w:szCs w:val="18"/>
        </w:rPr>
        <w:t xml:space="preserve">[77] La preuve révèle que les objectifs d’exploitation du territoire et d’uniformisation des zones de fortes pentes ont été présents tout au long du processus d’adoption réglementaire. </w:t>
      </w:r>
      <w:r w:rsidRPr="007429B6">
        <w:rPr>
          <w:sz w:val="22"/>
          <w:szCs w:val="18"/>
          <w:u w:val="single"/>
        </w:rPr>
        <w:t>Cela est conséquent avec la discrétion dont dispose la Ville en la matière et le contrôle judiciaire de cette discrétion ne doit pas en devenir une d’opportunité</w:t>
      </w:r>
      <w:r w:rsidRPr="00FE3DFB">
        <w:rPr>
          <w:sz w:val="22"/>
          <w:szCs w:val="18"/>
        </w:rPr>
        <w:t> :</w:t>
      </w:r>
    </w:p>
    <w:p w14:paraId="6B81F410" w14:textId="77777777" w:rsidR="00B4412C" w:rsidRPr="00FE3DFB" w:rsidRDefault="00B4412C" w:rsidP="00B4412C">
      <w:pPr>
        <w:pStyle w:val="Paragraphe"/>
        <w:tabs>
          <w:tab w:val="clear" w:pos="1636"/>
          <w:tab w:val="left" w:pos="709"/>
        </w:tabs>
        <w:spacing w:line="240" w:lineRule="auto"/>
        <w:ind w:left="1418" w:right="857"/>
        <w:rPr>
          <w:sz w:val="22"/>
          <w:szCs w:val="22"/>
        </w:rPr>
      </w:pPr>
      <w:r w:rsidRPr="6C71DF8D">
        <w:rPr>
          <w:sz w:val="22"/>
          <w:szCs w:val="22"/>
        </w:rPr>
        <w:t xml:space="preserve">Toutefois, ce rôle de surveillance de l’administration par la Cour supérieure ne s’étend pas à l’étude, la vérification et le contrôle de l’opportunité de la décision de l’administration. Cela est vrai dans le cas </w:t>
      </w:r>
      <w:r w:rsidRPr="6C71DF8D">
        <w:rPr>
          <w:sz w:val="22"/>
          <w:szCs w:val="22"/>
        </w:rPr>
        <w:lastRenderedPageBreak/>
        <w:t>des municipalités. En effet, dans l’exercice de son pouvoir en matière de zonage et d’urbanisme, elles jouissent d’une large discrétion</w:t>
      </w:r>
      <w:r w:rsidRPr="00F71AB1">
        <w:rPr>
          <w:sz w:val="22"/>
          <w:szCs w:val="22"/>
        </w:rPr>
        <w:t>.</w:t>
      </w:r>
      <w:r w:rsidRPr="6C71DF8D">
        <w:rPr>
          <w:sz w:val="22"/>
          <w:szCs w:val="22"/>
          <w:u w:val="single"/>
        </w:rPr>
        <w:t xml:space="preserve"> L’objectif de la loi est de laisser aux élus le soin de concevoir le plan de développement le plus efficace et harmonieux pour leur ville ou village. Ces choix sont politiques au sens véritable de ce terme et les tribunaux ne doivent pas intervenir</w:t>
      </w:r>
      <w:r w:rsidRPr="6C71DF8D">
        <w:rPr>
          <w:sz w:val="22"/>
          <w:szCs w:val="22"/>
        </w:rPr>
        <w:t>.</w:t>
      </w:r>
    </w:p>
    <w:p w14:paraId="737CEFC9" w14:textId="77777777" w:rsidR="00B4412C" w:rsidRPr="00C52B23" w:rsidRDefault="00B4412C" w:rsidP="00B4412C">
      <w:pPr>
        <w:pStyle w:val="Paragraphe"/>
        <w:tabs>
          <w:tab w:val="clear" w:pos="1636"/>
          <w:tab w:val="left" w:pos="709"/>
        </w:tabs>
        <w:spacing w:line="240" w:lineRule="auto"/>
        <w:ind w:left="0"/>
        <w:rPr>
          <w:sz w:val="22"/>
        </w:rPr>
      </w:pPr>
      <w:r>
        <w:t xml:space="preserve"> </w:t>
      </w:r>
      <w:r>
        <w:tab/>
      </w:r>
      <w:r>
        <w:rPr>
          <w:sz w:val="22"/>
        </w:rPr>
        <w:t>(références omises et notre soulignement)</w:t>
      </w:r>
    </w:p>
    <w:p w14:paraId="1B07FA77" w14:textId="77777777" w:rsidR="00B4412C" w:rsidRDefault="00B4412C" w:rsidP="00B4412C">
      <w:pPr>
        <w:pStyle w:val="Paragraphe"/>
        <w:numPr>
          <w:ilvl w:val="0"/>
          <w:numId w:val="1"/>
        </w:numPr>
        <w:tabs>
          <w:tab w:val="clear" w:pos="360"/>
          <w:tab w:val="left" w:pos="709"/>
        </w:tabs>
        <w:spacing w:line="240" w:lineRule="auto"/>
      </w:pPr>
      <w:r>
        <w:t>Que retenir de ces enseignements?</w:t>
      </w:r>
    </w:p>
    <w:p w14:paraId="44686D50" w14:textId="253CC1EC" w:rsidR="00D53920" w:rsidRDefault="00B4412C" w:rsidP="00B4412C">
      <w:pPr>
        <w:pStyle w:val="Paragraphe"/>
        <w:numPr>
          <w:ilvl w:val="0"/>
          <w:numId w:val="1"/>
        </w:numPr>
        <w:tabs>
          <w:tab w:val="clear" w:pos="360"/>
          <w:tab w:val="left" w:pos="709"/>
        </w:tabs>
        <w:spacing w:line="240" w:lineRule="auto"/>
      </w:pPr>
      <w:r>
        <w:t>Le Tribunal doit</w:t>
      </w:r>
      <w:r w:rsidR="5D76E151">
        <w:t xml:space="preserve"> s’assurer que</w:t>
      </w:r>
      <w:r w:rsidR="00D53920">
        <w:t> :</w:t>
      </w:r>
    </w:p>
    <w:p w14:paraId="498F38BD" w14:textId="2E58E780" w:rsidR="00780470" w:rsidRDefault="00B4412C" w:rsidP="00D53920">
      <w:pPr>
        <w:pStyle w:val="Paragraphe"/>
        <w:numPr>
          <w:ilvl w:val="0"/>
          <w:numId w:val="36"/>
        </w:numPr>
        <w:tabs>
          <w:tab w:val="left" w:pos="709"/>
        </w:tabs>
        <w:spacing w:line="240" w:lineRule="auto"/>
      </w:pPr>
      <w:r>
        <w:t xml:space="preserve">la décision </w:t>
      </w:r>
      <w:r w:rsidR="00C42E1B">
        <w:t xml:space="preserve">ne relève pas de « </w:t>
      </w:r>
      <w:r w:rsidR="00780470" w:rsidRPr="00780470">
        <w:t>la fantaisie, du caprice, de l'ignorance volontaire, du bon plaisir ou de la négligence</w:t>
      </w:r>
      <w:r w:rsidR="00C42E1B">
        <w:t xml:space="preserve"> »;</w:t>
      </w:r>
    </w:p>
    <w:p w14:paraId="6BB420C1" w14:textId="61813FE7" w:rsidR="00B644AF" w:rsidRDefault="00780470" w:rsidP="00D53920">
      <w:pPr>
        <w:pStyle w:val="Paragraphe"/>
        <w:numPr>
          <w:ilvl w:val="0"/>
          <w:numId w:val="36"/>
        </w:numPr>
        <w:tabs>
          <w:tab w:val="left" w:pos="709"/>
        </w:tabs>
        <w:spacing w:line="240" w:lineRule="auto"/>
      </w:pPr>
      <w:r>
        <w:t xml:space="preserve">la décision </w:t>
      </w:r>
      <w:r w:rsidR="00B4412C">
        <w:t>n’a pas été prise de mauvaise foi, de façon malicieuse ou discriminatoire</w:t>
      </w:r>
      <w:r w:rsidR="00B644AF">
        <w:t>;</w:t>
      </w:r>
    </w:p>
    <w:p w14:paraId="3C9D5EE9" w14:textId="367D5A62" w:rsidR="00B4412C" w:rsidRDefault="00B4412C" w:rsidP="00D53920">
      <w:pPr>
        <w:pStyle w:val="Paragraphe"/>
        <w:numPr>
          <w:ilvl w:val="0"/>
          <w:numId w:val="36"/>
        </w:numPr>
        <w:tabs>
          <w:tab w:val="left" w:pos="709"/>
        </w:tabs>
        <w:spacing w:line="240" w:lineRule="auto"/>
      </w:pPr>
      <w:r>
        <w:t xml:space="preserve">la décision </w:t>
      </w:r>
      <w:r w:rsidR="61A02A2B">
        <w:t>tient</w:t>
      </w:r>
      <w:r>
        <w:t xml:space="preserve"> compte des objectifs poursuivis par le pouvoir habilitant</w:t>
      </w:r>
      <w:r w:rsidR="007061EC">
        <w:t>;</w:t>
      </w:r>
    </w:p>
    <w:p w14:paraId="6B13B2BA" w14:textId="6DBC89D8" w:rsidR="007061EC" w:rsidRDefault="007061EC" w:rsidP="00D53920">
      <w:pPr>
        <w:pStyle w:val="Paragraphe"/>
        <w:numPr>
          <w:ilvl w:val="0"/>
          <w:numId w:val="36"/>
        </w:numPr>
        <w:tabs>
          <w:tab w:val="left" w:pos="709"/>
        </w:tabs>
        <w:spacing w:line="240" w:lineRule="auto"/>
      </w:pPr>
      <w:r w:rsidRPr="007061EC">
        <w:t>les règles de justice naturelle et d’équité procédurale ont été suivies.</w:t>
      </w:r>
    </w:p>
    <w:p w14:paraId="2EE8AEA8" w14:textId="5C3BFC29" w:rsidR="00B07A21" w:rsidRDefault="006779A4" w:rsidP="00BA7A52">
      <w:pPr>
        <w:pStyle w:val="Paragrdouble"/>
        <w:spacing w:line="240" w:lineRule="auto"/>
      </w:pPr>
      <w:r>
        <w:t>Qu’en est-il?</w:t>
      </w:r>
    </w:p>
    <w:p w14:paraId="42AAFEBF" w14:textId="12D2753F" w:rsidR="00C773D0" w:rsidRDefault="00482EA5" w:rsidP="00BA7A52">
      <w:pPr>
        <w:pStyle w:val="Paragrdouble"/>
        <w:spacing w:line="240" w:lineRule="auto"/>
      </w:pPr>
      <w:r>
        <w:t>La preuve abondante permet de circonscrire les tenants et aboutissants de cette décision. À travers des déclarations sous serment</w:t>
      </w:r>
      <w:r w:rsidR="00797A68">
        <w:t xml:space="preserve"> déposées par les autorités gouvernementales, est retracé le cheminement de ce dossier qui a reçu un feu vert </w:t>
      </w:r>
      <w:r w:rsidR="00E562C4">
        <w:t>pour la réalisation de la première étape de la mise en place de ce projet.</w:t>
      </w:r>
    </w:p>
    <w:p w14:paraId="38661474" w14:textId="0E20DFB8" w:rsidR="00981CBF" w:rsidRDefault="00981CBF" w:rsidP="00BA7A52">
      <w:pPr>
        <w:pStyle w:val="Paragrdouble"/>
        <w:spacing w:line="240" w:lineRule="auto"/>
      </w:pPr>
      <w:r>
        <w:t>Les demandeurs ont commenté cette preuve et c’est ce que nous verrons</w:t>
      </w:r>
      <w:r w:rsidR="00375567">
        <w:t xml:space="preserve"> au fur et à mesure de son analyse.</w:t>
      </w:r>
    </w:p>
    <w:p w14:paraId="25C4AC34" w14:textId="10E1D4BD" w:rsidR="004A2FE4" w:rsidRDefault="0078229A" w:rsidP="00BA7A52">
      <w:pPr>
        <w:pStyle w:val="Paragrdouble"/>
        <w:spacing w:line="240" w:lineRule="auto"/>
      </w:pPr>
      <w:r>
        <w:t>À la lumière des reproches formulés par les demandeurs</w:t>
      </w:r>
      <w:r w:rsidR="00A048C7">
        <w:t xml:space="preserve"> en regard du processus qui a mené à l’adoption du décret 65</w:t>
      </w:r>
      <w:r w:rsidR="00380061">
        <w:t>5</w:t>
      </w:r>
      <w:r w:rsidR="00A048C7">
        <w:t xml:space="preserve">-2022, </w:t>
      </w:r>
      <w:r w:rsidR="004A2FE4">
        <w:t xml:space="preserve">voyons </w:t>
      </w:r>
      <w:r w:rsidR="00D72321">
        <w:t xml:space="preserve">la preuve </w:t>
      </w:r>
      <w:r w:rsidR="004A2FE4">
        <w:t>administrée</w:t>
      </w:r>
      <w:r w:rsidR="00BA7A52">
        <w:t>.</w:t>
      </w:r>
    </w:p>
    <w:p w14:paraId="000E6E03" w14:textId="49823950" w:rsidR="00DD2372" w:rsidRDefault="00375567" w:rsidP="00DC4AA9">
      <w:pPr>
        <w:pStyle w:val="Paragrdouble"/>
        <w:spacing w:line="240" w:lineRule="auto"/>
      </w:pPr>
      <w:r>
        <w:t>Un constat s’impose : l</w:t>
      </w:r>
      <w:r w:rsidR="00B11162">
        <w:t xml:space="preserve">es demandeurs </w:t>
      </w:r>
      <w:r w:rsidR="008308BA">
        <w:t>ont une lecture limitée</w:t>
      </w:r>
      <w:r w:rsidR="00E66BFD">
        <w:t xml:space="preserve"> dans le temps</w:t>
      </w:r>
      <w:r w:rsidR="008308BA">
        <w:t xml:space="preserve"> du dossier de réseau structurant de transport ; ils </w:t>
      </w:r>
      <w:r w:rsidR="00B11162">
        <w:t xml:space="preserve">ne considèrent </w:t>
      </w:r>
      <w:r w:rsidR="00A70D94">
        <w:t xml:space="preserve">au mieux </w:t>
      </w:r>
      <w:r w:rsidR="006C63B0">
        <w:t>les</w:t>
      </w:r>
      <w:r w:rsidR="00B11162">
        <w:t xml:space="preserve"> événements </w:t>
      </w:r>
      <w:r w:rsidR="006C63B0">
        <w:t>qu’</w:t>
      </w:r>
      <w:r w:rsidR="00B11162">
        <w:t>à compter des élections municipales de 2017</w:t>
      </w:r>
      <w:r w:rsidR="00B11162">
        <w:rPr>
          <w:rStyle w:val="Appelnotedebasdep"/>
        </w:rPr>
        <w:footnoteReference w:id="53"/>
      </w:r>
      <w:r w:rsidR="00B11162">
        <w:t xml:space="preserve">. </w:t>
      </w:r>
      <w:r w:rsidR="00082BC5">
        <w:t>Or, l</w:t>
      </w:r>
      <w:r w:rsidR="00965EB2">
        <w:t xml:space="preserve">es déclarations sous serment des </w:t>
      </w:r>
      <w:r w:rsidR="00965EB2">
        <w:lastRenderedPageBreak/>
        <w:t>témoins des parties défenderesses</w:t>
      </w:r>
      <w:r w:rsidR="00576F38">
        <w:t xml:space="preserve"> </w:t>
      </w:r>
      <w:r w:rsidR="0065002A">
        <w:t>se télescopent</w:t>
      </w:r>
      <w:r w:rsidR="00DD2372">
        <w:t xml:space="preserve">; elles </w:t>
      </w:r>
      <w:r w:rsidR="00576F38">
        <w:t xml:space="preserve">retracent le chemin parcouru </w:t>
      </w:r>
      <w:r w:rsidR="006B620F">
        <w:t xml:space="preserve">depuis 2005 </w:t>
      </w:r>
      <w:r w:rsidR="00576F38">
        <w:t xml:space="preserve">qui a mené </w:t>
      </w:r>
      <w:r w:rsidR="00E36D08">
        <w:t>à l’adoption du décret 655-2022</w:t>
      </w:r>
      <w:r w:rsidR="00576F38">
        <w:t xml:space="preserve">. </w:t>
      </w:r>
    </w:p>
    <w:p w14:paraId="1DD49409" w14:textId="42D20396" w:rsidR="00DF14C7" w:rsidRDefault="006B620F" w:rsidP="007D0AC7">
      <w:pPr>
        <w:pStyle w:val="Paragrdouble"/>
        <w:spacing w:line="240" w:lineRule="auto"/>
      </w:pPr>
      <w:r>
        <w:t>L</w:t>
      </w:r>
      <w:r w:rsidR="007122E8">
        <w:t>e tramway hante les discussions</w:t>
      </w:r>
      <w:r w:rsidR="00F534B1">
        <w:t xml:space="preserve"> depuis </w:t>
      </w:r>
      <w:r w:rsidR="0012633E">
        <w:t xml:space="preserve">bien </w:t>
      </w:r>
      <w:r>
        <w:t>longtemps</w:t>
      </w:r>
      <w:r w:rsidR="00F534B1">
        <w:t>.</w:t>
      </w:r>
    </w:p>
    <w:p w14:paraId="78CAD50B" w14:textId="4D967A9E" w:rsidR="00994243" w:rsidRDefault="00F534B1" w:rsidP="00C23572">
      <w:pPr>
        <w:pStyle w:val="Paragrdouble"/>
        <w:spacing w:line="240" w:lineRule="auto"/>
      </w:pPr>
      <w:r>
        <w:t>Monsieur Benoît Carrier œuvre pour le Réseau de transport de la Capitale depuis 2005</w:t>
      </w:r>
      <w:r w:rsidR="00182F63">
        <w:t>, année où il a obtenu une maîtrise en aménagement du territoire. Son essai de maîtrise portait sur l’impact d’un tramway pour structurer une ville.</w:t>
      </w:r>
      <w:r w:rsidR="00240330">
        <w:t xml:space="preserve"> Sa déclaration sous serment</w:t>
      </w:r>
      <w:r w:rsidR="00D75644">
        <w:t xml:space="preserve"> apporte la lumière sur la genèse de ce projet</w:t>
      </w:r>
      <w:r w:rsidR="5C21A7B9">
        <w:t xml:space="preserve"> </w:t>
      </w:r>
      <w:r w:rsidR="0567B073">
        <w:t>:</w:t>
      </w:r>
    </w:p>
    <w:p w14:paraId="202541AA" w14:textId="516AA1B9" w:rsidR="00460217" w:rsidRDefault="00994243" w:rsidP="0054267A">
      <w:pPr>
        <w:pStyle w:val="Paragrdouble"/>
        <w:numPr>
          <w:ilvl w:val="0"/>
          <w:numId w:val="4"/>
        </w:numPr>
        <w:spacing w:line="240" w:lineRule="auto"/>
      </w:pPr>
      <w:bookmarkStart w:id="23" w:name="_Ref123548345"/>
      <w:r>
        <w:t xml:space="preserve">Dès 2005, le Réseau de transport de la Capitale adopte </w:t>
      </w:r>
      <w:r w:rsidR="00380283">
        <w:t>le</w:t>
      </w:r>
      <w:r>
        <w:t xml:space="preserve"> plan stratégique de développement 2005-2014</w:t>
      </w:r>
      <w:r w:rsidR="00930141">
        <w:t>, lequel vise à mettre en place un réseau structurant de transport en commun, incluant un tramway « à l’horizon 2021 ». Monsieur Carrier rappelle que cette orientation découle d’une étude d’opportunité</w:t>
      </w:r>
      <w:r w:rsidR="00AB3211">
        <w:t xml:space="preserve"> réalisé</w:t>
      </w:r>
      <w:r w:rsidR="004F6E9F">
        <w:t>e</w:t>
      </w:r>
      <w:r w:rsidR="00AB3211">
        <w:t xml:space="preserve"> en 2003 par une firme d’ingénieurs sur la faisabilité technique d’un </w:t>
      </w:r>
      <w:r w:rsidR="00D9041D">
        <w:t xml:space="preserve">projet de </w:t>
      </w:r>
      <w:r w:rsidR="00AB3211">
        <w:t>tramway à Québec.</w:t>
      </w:r>
      <w:bookmarkEnd w:id="23"/>
    </w:p>
    <w:p w14:paraId="69F42933" w14:textId="313D4B99" w:rsidR="000524DC" w:rsidRDefault="00537EBE" w:rsidP="0054267A">
      <w:pPr>
        <w:pStyle w:val="Paragrdouble"/>
        <w:numPr>
          <w:ilvl w:val="0"/>
          <w:numId w:val="4"/>
        </w:numPr>
        <w:spacing w:line="240" w:lineRule="auto"/>
      </w:pPr>
      <w:r>
        <w:t xml:space="preserve">Le 15 janvier 2009, la </w:t>
      </w:r>
      <w:r w:rsidR="006F2453">
        <w:t>Ville</w:t>
      </w:r>
      <w:r>
        <w:t xml:space="preserve"> crée un groupe de travail sur la mobilité durable afin de coordonner à plus grande échelle </w:t>
      </w:r>
      <w:r w:rsidR="00851C71">
        <w:t>la réflexion sur la planification des transports et le développement urbain.</w:t>
      </w:r>
      <w:r w:rsidR="000524DC">
        <w:t xml:space="preserve"> Ce groupe de travail est présidé par le maire de Québec, Monsieur </w:t>
      </w:r>
      <w:r w:rsidR="00050055">
        <w:t xml:space="preserve">Régis </w:t>
      </w:r>
      <w:r w:rsidR="000524DC">
        <w:t xml:space="preserve">Labeaume. Le mandat est de développer des orientations dans le but de guider l’urbanisation </w:t>
      </w:r>
      <w:r w:rsidR="00EC66A4">
        <w:t xml:space="preserve">de la </w:t>
      </w:r>
      <w:r w:rsidR="0075514E">
        <w:t>v</w:t>
      </w:r>
      <w:r w:rsidR="00EC66A4">
        <w:t xml:space="preserve">ille </w:t>
      </w:r>
      <w:r w:rsidR="000524DC">
        <w:t xml:space="preserve">et le développement </w:t>
      </w:r>
      <w:r w:rsidR="00EC66A4">
        <w:t>de ses transports en commun.</w:t>
      </w:r>
      <w:r w:rsidR="00C60901">
        <w:t xml:space="preserve"> Une équipe de fonctionnaires accompagne ce groupe de travail. Il </w:t>
      </w:r>
      <w:r w:rsidR="007B56D7">
        <w:t>est</w:t>
      </w:r>
      <w:r w:rsidR="00C60901">
        <w:t xml:space="preserve"> alors question</w:t>
      </w:r>
      <w:r w:rsidR="006A237A">
        <w:t xml:space="preserve"> de tous les types de transport collectif, un métrobus, un système rapide par bus, un tramway ou un métro.</w:t>
      </w:r>
    </w:p>
    <w:p w14:paraId="01FA244C" w14:textId="7F69E878" w:rsidR="00D53D8A" w:rsidRDefault="00A97F8A" w:rsidP="0054267A">
      <w:pPr>
        <w:pStyle w:val="Paragrdouble"/>
        <w:numPr>
          <w:ilvl w:val="0"/>
          <w:numId w:val="4"/>
        </w:numPr>
        <w:spacing w:line="240" w:lineRule="auto"/>
      </w:pPr>
      <w:r>
        <w:t xml:space="preserve">Au printemps et à l’été 2009, la </w:t>
      </w:r>
      <w:r w:rsidR="007B56D7">
        <w:t>V</w:t>
      </w:r>
      <w:r>
        <w:t>ille tient des consultations publiques préliminaires sur les enjeux et les orientations en matière d’urbanisme et de transport dans une perspective de développement durable.</w:t>
      </w:r>
      <w:r w:rsidR="00B42B82">
        <w:t xml:space="preserve"> Cette consultation s’adresse aux citoyens, au</w:t>
      </w:r>
      <w:r w:rsidR="00841368">
        <w:t>x</w:t>
      </w:r>
      <w:r w:rsidR="00B42B82">
        <w:t xml:space="preserve"> conseil</w:t>
      </w:r>
      <w:r w:rsidR="00841368">
        <w:t>s</w:t>
      </w:r>
      <w:r w:rsidR="00B42B82">
        <w:t xml:space="preserve"> de quartier et aux organismes préoccupés par le développement de la ville.</w:t>
      </w:r>
    </w:p>
    <w:p w14:paraId="6BAD8396" w14:textId="1D082D2C" w:rsidR="00A73269" w:rsidRDefault="00D53D8A" w:rsidP="0054267A">
      <w:pPr>
        <w:pStyle w:val="Paragrdouble"/>
        <w:numPr>
          <w:ilvl w:val="0"/>
          <w:numId w:val="4"/>
        </w:numPr>
        <w:spacing w:line="240" w:lineRule="auto"/>
      </w:pPr>
      <w:r>
        <w:t>Ce processus de consultation est constitué de trois activités, soit une tournée d’information et d’échange avec la population lors de quatre séances publiques, une consultation en ligne tenue pendant plusieurs mois</w:t>
      </w:r>
      <w:r w:rsidR="00A73269">
        <w:t xml:space="preserve"> et le dépôt de mémoire</w:t>
      </w:r>
      <w:r w:rsidR="00841368">
        <w:t>s</w:t>
      </w:r>
      <w:r w:rsidR="00A73269">
        <w:t xml:space="preserve"> à l’intention du groupe de travail. 300 personnes participent à cette consultation.</w:t>
      </w:r>
    </w:p>
    <w:p w14:paraId="46742801" w14:textId="0185B1E1" w:rsidR="00370A43" w:rsidRDefault="00A73269" w:rsidP="0054267A">
      <w:pPr>
        <w:pStyle w:val="Paragrdouble"/>
        <w:numPr>
          <w:ilvl w:val="0"/>
          <w:numId w:val="4"/>
        </w:numPr>
        <w:spacing w:line="240" w:lineRule="auto"/>
      </w:pPr>
      <w:r>
        <w:t xml:space="preserve">En décembre 2009, la </w:t>
      </w:r>
      <w:r w:rsidR="00841368">
        <w:t>V</w:t>
      </w:r>
      <w:r>
        <w:t>ille produit</w:t>
      </w:r>
      <w:r w:rsidR="00370A43">
        <w:t xml:space="preserve"> un rapport de consultation sur la mobilité durable. Ce rapport est remis aux membres du groupe de travail afin d’enrichir leur réflexion.</w:t>
      </w:r>
    </w:p>
    <w:p w14:paraId="24139D3F" w14:textId="4BA2D340" w:rsidR="00DF14E3" w:rsidRDefault="00370A43" w:rsidP="0054267A">
      <w:pPr>
        <w:pStyle w:val="Paragrdouble"/>
        <w:numPr>
          <w:ilvl w:val="0"/>
          <w:numId w:val="4"/>
        </w:numPr>
        <w:spacing w:line="240" w:lineRule="auto"/>
      </w:pPr>
      <w:r>
        <w:lastRenderedPageBreak/>
        <w:t>À l’hiver et au printemps 2010, les travaux d</w:t>
      </w:r>
      <w:r w:rsidR="00C06FB0">
        <w:t>e ce</w:t>
      </w:r>
      <w:r>
        <w:t xml:space="preserve"> groupe se poursuivent</w:t>
      </w:r>
      <w:r w:rsidR="00DF14E3">
        <w:t xml:space="preserve"> et des villes européennes et américaines sont visitées afin d’y étudier les systèmes de tramway.</w:t>
      </w:r>
    </w:p>
    <w:p w14:paraId="244563E6" w14:textId="7DA28E29" w:rsidR="00201AEE" w:rsidRDefault="00DF14E3" w:rsidP="0054267A">
      <w:pPr>
        <w:pStyle w:val="Paragrdouble"/>
        <w:numPr>
          <w:ilvl w:val="0"/>
          <w:numId w:val="4"/>
        </w:numPr>
        <w:spacing w:line="240" w:lineRule="auto"/>
      </w:pPr>
      <w:r>
        <w:t xml:space="preserve">En juin 2010, le projet de </w:t>
      </w:r>
      <w:r w:rsidR="00AF3CBF" w:rsidRPr="00AF3CBF">
        <w:rPr>
          <w:i/>
          <w:iCs/>
        </w:rPr>
        <w:t>P</w:t>
      </w:r>
      <w:r w:rsidRPr="00AF3CBF">
        <w:rPr>
          <w:i/>
          <w:iCs/>
        </w:rPr>
        <w:t>lan de mobilité durable</w:t>
      </w:r>
      <w:r w:rsidR="00AF3CBF">
        <w:t xml:space="preserve"> propose de renforcer l’efficacité du transport en commun en implantant un tramway. Ce document est rendu public.</w:t>
      </w:r>
    </w:p>
    <w:p w14:paraId="4C22019F" w14:textId="3B81A79F" w:rsidR="003B0210" w:rsidRDefault="00B7228A" w:rsidP="0054267A">
      <w:pPr>
        <w:pStyle w:val="Paragrdouble"/>
        <w:numPr>
          <w:ilvl w:val="0"/>
          <w:numId w:val="4"/>
        </w:numPr>
        <w:spacing w:line="240" w:lineRule="auto"/>
      </w:pPr>
      <w:r>
        <w:t>De nouveau, à l’automne 2010, ce plan fait l’objet de consultations publiques, savoir une consultation en ligne, quatre séances publiques de consultation et des audiences publiques</w:t>
      </w:r>
      <w:r w:rsidR="000075AA">
        <w:t xml:space="preserve"> au cours desquelles les personnes intéressées peuvent formuler des recommandations. Près de 2000 personnes réponde</w:t>
      </w:r>
      <w:r w:rsidR="000B62A7">
        <w:t>nt</w:t>
      </w:r>
      <w:r w:rsidR="000075AA">
        <w:t xml:space="preserve"> au questionnaire, 600 participent aux séances publiques de consultation</w:t>
      </w:r>
      <w:r w:rsidR="000B62A7">
        <w:t>,</w:t>
      </w:r>
      <w:r w:rsidR="000075AA">
        <w:t xml:space="preserve"> 85 mémoire</w:t>
      </w:r>
      <w:r w:rsidR="000B62A7">
        <w:t>s</w:t>
      </w:r>
      <w:r w:rsidR="000075AA">
        <w:t xml:space="preserve"> sont déposés et 55 de ceux-ci</w:t>
      </w:r>
      <w:r w:rsidR="003B0210">
        <w:t xml:space="preserve"> font l’objet d’une présentation lors des audiences publiques.</w:t>
      </w:r>
    </w:p>
    <w:p w14:paraId="1AFF83A3" w14:textId="6C6BE7BD" w:rsidR="003B0210" w:rsidRDefault="003B0210" w:rsidP="0054267A">
      <w:pPr>
        <w:pStyle w:val="Paragrdouble"/>
        <w:numPr>
          <w:ilvl w:val="0"/>
          <w:numId w:val="4"/>
        </w:numPr>
        <w:spacing w:line="240" w:lineRule="auto"/>
      </w:pPr>
      <w:r>
        <w:t>De nouveau, les résultats de cette consultation sont soumis aux membres du groupe de travail.</w:t>
      </w:r>
      <w:r w:rsidR="00835A32">
        <w:t xml:space="preserve"> Le </w:t>
      </w:r>
      <w:r w:rsidR="001021B4" w:rsidRPr="001021B4">
        <w:rPr>
          <w:i/>
          <w:iCs/>
        </w:rPr>
        <w:t>R</w:t>
      </w:r>
      <w:r w:rsidR="00835A32" w:rsidRPr="001021B4">
        <w:rPr>
          <w:i/>
          <w:iCs/>
        </w:rPr>
        <w:t xml:space="preserve">apport de consultation sur le projet de </w:t>
      </w:r>
      <w:r w:rsidR="001021B4" w:rsidRPr="001021B4">
        <w:rPr>
          <w:i/>
          <w:iCs/>
        </w:rPr>
        <w:t>P</w:t>
      </w:r>
      <w:r w:rsidR="00835A32" w:rsidRPr="001021B4">
        <w:rPr>
          <w:i/>
          <w:iCs/>
        </w:rPr>
        <w:t>lan de mobilité durabl</w:t>
      </w:r>
      <w:r w:rsidR="000B62A7">
        <w:rPr>
          <w:i/>
          <w:iCs/>
        </w:rPr>
        <w:t>e</w:t>
      </w:r>
      <w:r w:rsidR="009D13CB" w:rsidRPr="00BD3BC8">
        <w:rPr>
          <w:rStyle w:val="Appelnotedebasdep"/>
        </w:rPr>
        <w:footnoteReference w:id="54"/>
      </w:r>
      <w:r w:rsidR="001021B4">
        <w:t xml:space="preserve"> fait état des principaux points de vue exprimés par la population. </w:t>
      </w:r>
    </w:p>
    <w:p w14:paraId="3BEB5846" w14:textId="77777777" w:rsidR="00686A5E" w:rsidRDefault="00EB0809" w:rsidP="0054267A">
      <w:pPr>
        <w:pStyle w:val="Paragrdouble"/>
        <w:numPr>
          <w:ilvl w:val="0"/>
          <w:numId w:val="4"/>
        </w:numPr>
        <w:spacing w:line="240" w:lineRule="auto"/>
      </w:pPr>
      <w:r>
        <w:t>En novembre 2011</w:t>
      </w:r>
      <w:r w:rsidR="0084378C">
        <w:t>,</w:t>
      </w:r>
      <w:r>
        <w:t xml:space="preserve"> le conseil d’agglomération de la </w:t>
      </w:r>
      <w:r w:rsidR="00FD39F3">
        <w:t>V</w:t>
      </w:r>
      <w:r>
        <w:t>ille prend acte de ce rapport</w:t>
      </w:r>
      <w:r w:rsidR="00FD39F3">
        <w:t xml:space="preserve"> et en autorise sa diffusion.</w:t>
      </w:r>
      <w:r w:rsidR="00E36D0B">
        <w:t xml:space="preserve"> </w:t>
      </w:r>
    </w:p>
    <w:p w14:paraId="6EBCC2D4" w14:textId="45DDD408" w:rsidR="001021B4" w:rsidRDefault="00E36D0B" w:rsidP="0054267A">
      <w:pPr>
        <w:pStyle w:val="Paragrdouble"/>
        <w:numPr>
          <w:ilvl w:val="0"/>
          <w:numId w:val="4"/>
        </w:numPr>
        <w:spacing w:line="240" w:lineRule="auto"/>
      </w:pPr>
      <w:r>
        <w:t>Quelques jours plus tard, le groupe de travail</w:t>
      </w:r>
      <w:r w:rsidR="000D56D7">
        <w:t xml:space="preserve"> formule 66 recommandations dont la mise en place d’un système intégré de transport collectif de deux lignes de tramway, dont une</w:t>
      </w:r>
      <w:r w:rsidR="00251077">
        <w:t xml:space="preserve"> inter-rives (Québec-Lévis).</w:t>
      </w:r>
    </w:p>
    <w:p w14:paraId="05A33B83" w14:textId="6F302F44" w:rsidR="00B02994" w:rsidRDefault="00CC0B6F" w:rsidP="0054267A">
      <w:pPr>
        <w:pStyle w:val="Paragrdouble"/>
        <w:numPr>
          <w:ilvl w:val="0"/>
          <w:numId w:val="4"/>
        </w:numPr>
        <w:spacing w:line="240" w:lineRule="auto"/>
      </w:pPr>
      <w:r>
        <w:t xml:space="preserve">Le conseil d’agglomération met alors en place une structure de coordination pour la mise en œuvre du </w:t>
      </w:r>
      <w:r w:rsidR="00521DA4" w:rsidRPr="00521DA4">
        <w:rPr>
          <w:i/>
          <w:iCs/>
        </w:rPr>
        <w:t>P</w:t>
      </w:r>
      <w:r w:rsidRPr="00521DA4">
        <w:rPr>
          <w:i/>
          <w:iCs/>
        </w:rPr>
        <w:t>lan de mobilité durable</w:t>
      </w:r>
      <w:r w:rsidR="00521DA4">
        <w:t xml:space="preserve"> afin, notamment, d’orienter et de diriger les études et les travaux relatifs au tramway.</w:t>
      </w:r>
      <w:r w:rsidR="00511A1D">
        <w:t xml:space="preserve"> Cette structure est composée d’un comité d’orientation formé des décideurs politiques</w:t>
      </w:r>
      <w:r w:rsidR="00035884">
        <w:t xml:space="preserve"> et d’un expert en transport, d’un comité directeur formé de directeurs d’unité</w:t>
      </w:r>
      <w:r w:rsidR="007A4AF4">
        <w:t>s</w:t>
      </w:r>
      <w:r w:rsidR="00035884">
        <w:t xml:space="preserve"> administrative</w:t>
      </w:r>
      <w:r w:rsidR="007A4AF4">
        <w:t>s</w:t>
      </w:r>
      <w:r w:rsidR="00035884">
        <w:t xml:space="preserve"> de la </w:t>
      </w:r>
      <w:r w:rsidR="006F2453">
        <w:t>Ville</w:t>
      </w:r>
      <w:r w:rsidR="00035884">
        <w:t xml:space="preserve"> et du Réseau de transport de la Capitale et de comités </w:t>
      </w:r>
      <w:r w:rsidR="00B02994">
        <w:t>formé</w:t>
      </w:r>
      <w:r w:rsidR="004D7EF9">
        <w:t>s</w:t>
      </w:r>
      <w:r w:rsidR="00B02994">
        <w:t xml:space="preserve"> de personnes de la </w:t>
      </w:r>
      <w:r w:rsidR="004D7EF9">
        <w:t>V</w:t>
      </w:r>
      <w:r w:rsidR="00B02994">
        <w:t xml:space="preserve">ille ainsi que de la </w:t>
      </w:r>
      <w:r w:rsidR="006F2453">
        <w:t>Ville</w:t>
      </w:r>
      <w:r w:rsidR="00B02994">
        <w:t xml:space="preserve"> de Lévis et de la </w:t>
      </w:r>
      <w:r w:rsidR="004D7EF9">
        <w:t>S</w:t>
      </w:r>
      <w:r w:rsidR="00B02994">
        <w:t>ociété de transport de Lévis.</w:t>
      </w:r>
    </w:p>
    <w:p w14:paraId="2724522D" w14:textId="014B5103" w:rsidR="00521DA4" w:rsidRDefault="004979E6" w:rsidP="0054267A">
      <w:pPr>
        <w:pStyle w:val="Paragrdouble"/>
        <w:numPr>
          <w:ilvl w:val="0"/>
          <w:numId w:val="4"/>
        </w:numPr>
        <w:spacing w:line="240" w:lineRule="auto"/>
      </w:pPr>
      <w:r>
        <w:t>L’un de ses comités de projet est chargé de l’étude de faisabilité d’un projet de tramway entre les deux rives.</w:t>
      </w:r>
    </w:p>
    <w:p w14:paraId="1D2D79BE" w14:textId="77777777" w:rsidR="00C253D5" w:rsidRDefault="00A971EA" w:rsidP="0054267A">
      <w:pPr>
        <w:pStyle w:val="Paragrdouble"/>
        <w:numPr>
          <w:ilvl w:val="0"/>
          <w:numId w:val="4"/>
        </w:numPr>
        <w:spacing w:line="240" w:lineRule="auto"/>
      </w:pPr>
      <w:r>
        <w:t xml:space="preserve">D’études </w:t>
      </w:r>
      <w:r w:rsidR="00D36E28">
        <w:t>en rapports, de réunions en échanges, les modes de transport</w:t>
      </w:r>
      <w:r w:rsidR="008D0E77">
        <w:t xml:space="preserve"> par autobus et par tramway sont évalués et discutés avec l’aide de nombreuses firmes spécialisées</w:t>
      </w:r>
      <w:r w:rsidR="00C253D5">
        <w:t>.</w:t>
      </w:r>
    </w:p>
    <w:p w14:paraId="63EBC961" w14:textId="59AB47D4" w:rsidR="00AF3CBF" w:rsidRDefault="00C253D5" w:rsidP="0054267A">
      <w:pPr>
        <w:pStyle w:val="Paragrdouble"/>
        <w:numPr>
          <w:ilvl w:val="0"/>
          <w:numId w:val="4"/>
        </w:numPr>
        <w:spacing w:line="240" w:lineRule="auto"/>
      </w:pPr>
      <w:r>
        <w:lastRenderedPageBreak/>
        <w:t>Au début de l’année 2014, le comité d’orientation demande au comité de projet d’explorer d’autres alternatives technologiques moins coûteuses que le tramway puisque le financement public</w:t>
      </w:r>
      <w:r w:rsidR="000672A9">
        <w:t xml:space="preserve"> serait insuffisant. Ainsi,</w:t>
      </w:r>
      <w:r w:rsidR="00F355C8">
        <w:t xml:space="preserve"> les experts cherchent une solution moins coûteuse à travers des systèmes de transport</w:t>
      </w:r>
      <w:r w:rsidR="002E16EA">
        <w:t xml:space="preserve"> mis en place en Europe. C’est alors que le comité technique recommande d’analyser des variantes du système rapide par bus</w:t>
      </w:r>
      <w:r w:rsidR="003F3BE7">
        <w:t xml:space="preserve"> qui tiendrait compte de différents types d’alimentation électrique et de plate-forme pour les usagers.</w:t>
      </w:r>
    </w:p>
    <w:p w14:paraId="1253A5B2" w14:textId="1F12071A" w:rsidR="00280659" w:rsidRDefault="00411D80" w:rsidP="0054267A">
      <w:pPr>
        <w:pStyle w:val="Paragrdouble"/>
        <w:numPr>
          <w:ilvl w:val="0"/>
          <w:numId w:val="4"/>
        </w:numPr>
        <w:spacing w:line="240" w:lineRule="auto"/>
      </w:pPr>
      <w:r>
        <w:t>Le 2 mars 2015, une étude conclut à la pertinence d’un projet de réseau structurant de transport en commun pour répondre aux besoins des citoyens des deux rives. L’étude conclut que le tramway</w:t>
      </w:r>
      <w:r w:rsidR="004120A4">
        <w:t xml:space="preserve"> et</w:t>
      </w:r>
      <w:r>
        <w:t xml:space="preserve"> le système rapide par bus</w:t>
      </w:r>
      <w:r w:rsidR="000B709F">
        <w:t xml:space="preserve"> sont tous deux réalisables sur le plan technique, mais que le système rapide par bu</w:t>
      </w:r>
      <w:r w:rsidR="000370EB">
        <w:t>s a</w:t>
      </w:r>
      <w:r w:rsidR="000B709F">
        <w:t xml:space="preserve">tteint un point de charge maximum </w:t>
      </w:r>
      <w:r w:rsidR="00280659">
        <w:t xml:space="preserve">et </w:t>
      </w:r>
      <w:r w:rsidR="000370EB">
        <w:t xml:space="preserve">sa capacité risque de </w:t>
      </w:r>
      <w:r w:rsidR="00280659">
        <w:t xml:space="preserve">ne </w:t>
      </w:r>
      <w:r w:rsidR="000370EB">
        <w:t xml:space="preserve">pas </w:t>
      </w:r>
      <w:r w:rsidR="00280659">
        <w:t>répond</w:t>
      </w:r>
      <w:r w:rsidR="000370EB">
        <w:t>re dans le temps aux besoins grandissants</w:t>
      </w:r>
      <w:r w:rsidR="00280659">
        <w:t>.</w:t>
      </w:r>
    </w:p>
    <w:p w14:paraId="7B566F23" w14:textId="6175C5EA" w:rsidR="00FA0EF2" w:rsidRDefault="003F0BFD" w:rsidP="0054267A">
      <w:pPr>
        <w:pStyle w:val="Paragrdouble"/>
        <w:numPr>
          <w:ilvl w:val="0"/>
          <w:numId w:val="4"/>
        </w:numPr>
        <w:spacing w:line="240" w:lineRule="auto"/>
      </w:pPr>
      <w:r>
        <w:t xml:space="preserve">De cette étude, les autorités des </w:t>
      </w:r>
      <w:r w:rsidR="43DF8960">
        <w:t>v</w:t>
      </w:r>
      <w:r w:rsidR="006F2453">
        <w:t>ille</w:t>
      </w:r>
      <w:r>
        <w:t>s de Québec et de Lévis annonce</w:t>
      </w:r>
      <w:r w:rsidR="00D7245D">
        <w:t>nt</w:t>
      </w:r>
      <w:r>
        <w:t xml:space="preserve"> qu’elle</w:t>
      </w:r>
      <w:r w:rsidR="00021A1B">
        <w:t>s</w:t>
      </w:r>
      <w:r>
        <w:t xml:space="preserve"> choisisse</w:t>
      </w:r>
      <w:r w:rsidR="00D7245D">
        <w:t>nt</w:t>
      </w:r>
      <w:r>
        <w:t xml:space="preserve"> de privilégier la mise en place d’un système rapide par bus pour répondre à moindre coût aux besoins à moyen terme.</w:t>
      </w:r>
      <w:r w:rsidR="00FA0EF2">
        <w:t xml:space="preserve"> Un bureau de projet est alors mis en place sous la gouverne des </w:t>
      </w:r>
      <w:r w:rsidR="65B7193D">
        <w:t>v</w:t>
      </w:r>
      <w:r w:rsidR="006F2453">
        <w:t>ille</w:t>
      </w:r>
      <w:r w:rsidR="00FA0EF2">
        <w:t>s des deux rives du fleuve.</w:t>
      </w:r>
      <w:r w:rsidR="00F52FBF">
        <w:t xml:space="preserve"> L’idée du tramway</w:t>
      </w:r>
      <w:r w:rsidR="00E64FBC">
        <w:t xml:space="preserve"> n’est pas pour autant </w:t>
      </w:r>
      <w:r w:rsidR="00D7245D">
        <w:t>abandonnée</w:t>
      </w:r>
      <w:r w:rsidR="006B733D">
        <w:t xml:space="preserve"> car un système rapide par bus peut être éventuellement transformé en tramway puisque l’emprise nécessaire à ce dernier est moins large</w:t>
      </w:r>
      <w:r w:rsidR="00283CFB">
        <w:t xml:space="preserve"> que celui nécessaire à un autobus.</w:t>
      </w:r>
    </w:p>
    <w:p w14:paraId="4A6CC523" w14:textId="4A17FE74" w:rsidR="00966418" w:rsidRDefault="00283CFB" w:rsidP="0054267A">
      <w:pPr>
        <w:pStyle w:val="Paragrdouble"/>
        <w:numPr>
          <w:ilvl w:val="0"/>
          <w:numId w:val="4"/>
        </w:numPr>
        <w:spacing w:line="240" w:lineRule="auto"/>
      </w:pPr>
      <w:r>
        <w:t>En mars 2016, le</w:t>
      </w:r>
      <w:r w:rsidR="1D89CDA8">
        <w:t>s travaux du</w:t>
      </w:r>
      <w:r>
        <w:t xml:space="preserve"> </w:t>
      </w:r>
      <w:r w:rsidR="0013736D">
        <w:t>B</w:t>
      </w:r>
      <w:r>
        <w:t xml:space="preserve">ureau d’études du système rapide par bus </w:t>
      </w:r>
      <w:r w:rsidR="009423F3">
        <w:t>s</w:t>
      </w:r>
      <w:r w:rsidR="00650E4C">
        <w:t>e</w:t>
      </w:r>
      <w:r w:rsidR="009423F3">
        <w:t xml:space="preserve"> met</w:t>
      </w:r>
      <w:r w:rsidR="2AD63588">
        <w:t>tent</w:t>
      </w:r>
      <w:r w:rsidR="009423F3">
        <w:t xml:space="preserve"> en route</w:t>
      </w:r>
      <w:r w:rsidR="00562BBA">
        <w:t xml:space="preserve"> </w:t>
      </w:r>
      <w:r w:rsidR="00012065">
        <w:t>et plusieurs professionnels y travaille</w:t>
      </w:r>
      <w:r w:rsidR="009423F3">
        <w:t>nt</w:t>
      </w:r>
      <w:r w:rsidR="00012065">
        <w:t>.</w:t>
      </w:r>
    </w:p>
    <w:p w14:paraId="7EB8CAF5" w14:textId="61AE30A3" w:rsidR="00D92B12" w:rsidRDefault="00F319C1" w:rsidP="0054267A">
      <w:pPr>
        <w:pStyle w:val="Paragrdouble"/>
        <w:numPr>
          <w:ilvl w:val="0"/>
          <w:numId w:val="4"/>
        </w:numPr>
        <w:spacing w:line="240" w:lineRule="auto"/>
      </w:pPr>
      <w:r>
        <w:t>Au printemps</w:t>
      </w:r>
      <w:r w:rsidR="00D92B12">
        <w:t xml:space="preserve"> 2017,</w:t>
      </w:r>
      <w:r w:rsidR="004B526C">
        <w:t xml:space="preserve"> compte tenu des coûts importants qui s’annoncent à la lumière du réseau de système rapide par bus qui doit y être déployé, la </w:t>
      </w:r>
      <w:r w:rsidR="006F2453">
        <w:t>Ville</w:t>
      </w:r>
      <w:r w:rsidR="004B526C">
        <w:t xml:space="preserve"> de Lévis se retire</w:t>
      </w:r>
      <w:r>
        <w:t>.</w:t>
      </w:r>
    </w:p>
    <w:p w14:paraId="229612E2" w14:textId="55C52600" w:rsidR="00E22DDC" w:rsidRDefault="00F319C1" w:rsidP="0054267A">
      <w:pPr>
        <w:pStyle w:val="Paragrdouble"/>
        <w:numPr>
          <w:ilvl w:val="0"/>
          <w:numId w:val="4"/>
        </w:numPr>
        <w:spacing w:line="240" w:lineRule="auto"/>
      </w:pPr>
      <w:r>
        <w:t>Quelques jours plus tard,</w:t>
      </w:r>
      <w:r w:rsidR="00E22DDC">
        <w:t xml:space="preserve"> la </w:t>
      </w:r>
      <w:r w:rsidR="00562BBA">
        <w:t>V</w:t>
      </w:r>
      <w:r w:rsidR="00E22DDC">
        <w:t>ille annonce la fin du projet de service rapide par bus entre les deux rives, mais réitère sa volonté de se doter d’un réseau structurant de transport en commun.</w:t>
      </w:r>
    </w:p>
    <w:p w14:paraId="6A6CECA4" w14:textId="1FC3F2CE" w:rsidR="00F319C1" w:rsidRDefault="002B6F78" w:rsidP="0054267A">
      <w:pPr>
        <w:pStyle w:val="Paragrdouble"/>
        <w:numPr>
          <w:ilvl w:val="0"/>
          <w:numId w:val="4"/>
        </w:numPr>
        <w:spacing w:line="240" w:lineRule="auto"/>
      </w:pPr>
      <w:r>
        <w:t>Le 31 mai 2017,</w:t>
      </w:r>
      <w:r w:rsidR="00D9552F">
        <w:t xml:space="preserve"> la </w:t>
      </w:r>
      <w:r w:rsidR="006F2453">
        <w:t>Ville</w:t>
      </w:r>
      <w:r w:rsidR="00D9552F">
        <w:t xml:space="preserve"> </w:t>
      </w:r>
      <w:r w:rsidR="004A59F3">
        <w:t>crée</w:t>
      </w:r>
      <w:r w:rsidR="00D9552F">
        <w:t xml:space="preserve"> un nouveau comité consultatif sur la mobilité durable</w:t>
      </w:r>
      <w:r w:rsidR="004A59F3">
        <w:t xml:space="preserve"> à partir des enjeux identifiés dans le </w:t>
      </w:r>
      <w:r w:rsidR="004A59F3" w:rsidRPr="004A59F3">
        <w:rPr>
          <w:i/>
          <w:iCs/>
        </w:rPr>
        <w:t>Plan de mobilité durable</w:t>
      </w:r>
      <w:r w:rsidR="004A59F3">
        <w:t>.</w:t>
      </w:r>
    </w:p>
    <w:p w14:paraId="4BE1DE72" w14:textId="0A635C75" w:rsidR="00BB0986" w:rsidRDefault="00BC435C" w:rsidP="0054267A">
      <w:pPr>
        <w:pStyle w:val="Paragrdouble"/>
        <w:numPr>
          <w:ilvl w:val="0"/>
          <w:numId w:val="4"/>
        </w:numPr>
        <w:spacing w:line="240" w:lineRule="auto"/>
      </w:pPr>
      <w:r>
        <w:t xml:space="preserve">Au cours de l’été 2017, une nouvelle consultation publique sur la mobilité durable et le réseau structurant de transport en commun est organisé par la </w:t>
      </w:r>
      <w:r w:rsidR="00105985">
        <w:t>V</w:t>
      </w:r>
      <w:r>
        <w:t>ille. Pour améliorer la participation citoyenne, un organisme indépendant</w:t>
      </w:r>
      <w:r w:rsidR="00FC72CD">
        <w:t xml:space="preserve"> est engagé</w:t>
      </w:r>
      <w:r w:rsidR="00105985">
        <w:t>. Il</w:t>
      </w:r>
      <w:r w:rsidR="00FC72CD">
        <w:t xml:space="preserve"> aura notamment la mission de rédiger le rapport final de consultation qui sera présenté en décembre 2017.</w:t>
      </w:r>
      <w:r w:rsidR="00701603">
        <w:t xml:space="preserve"> Cette consultation comprendra une consultation en ligne, quatre séances publiques de consultation et six audiences publiques au cours duquel des mémoires pourront être présentés.</w:t>
      </w:r>
    </w:p>
    <w:p w14:paraId="7F11672B" w14:textId="1DED2EC4" w:rsidR="005A0A8F" w:rsidRDefault="00BB0986" w:rsidP="0054267A">
      <w:pPr>
        <w:pStyle w:val="Paragrdouble"/>
        <w:numPr>
          <w:ilvl w:val="0"/>
          <w:numId w:val="4"/>
        </w:numPr>
        <w:spacing w:line="240" w:lineRule="auto"/>
      </w:pPr>
      <w:r>
        <w:lastRenderedPageBreak/>
        <w:t>Au terme de ce processus, plus de 11 000 personnes répond</w:t>
      </w:r>
      <w:r w:rsidR="007D0AC7">
        <w:t>ent</w:t>
      </w:r>
      <w:r>
        <w:t xml:space="preserve"> au sondage en ligne, 650 participent aux séances publiques et 143 mémoires sont déposés. De façon générale, tous conviennent </w:t>
      </w:r>
      <w:r w:rsidR="005A0A8F">
        <w:t xml:space="preserve">que la </w:t>
      </w:r>
      <w:r w:rsidR="006F2453">
        <w:t>Ville</w:t>
      </w:r>
      <w:r w:rsidR="005A0A8F">
        <w:t xml:space="preserve"> doit se doter d’un réseau structurant de transport en commun.</w:t>
      </w:r>
    </w:p>
    <w:p w14:paraId="0CCC43C6" w14:textId="614D35C5" w:rsidR="00E57529" w:rsidRDefault="008540F4" w:rsidP="0054267A">
      <w:pPr>
        <w:pStyle w:val="Paragrdouble"/>
        <w:numPr>
          <w:ilvl w:val="0"/>
          <w:numId w:val="4"/>
        </w:numPr>
        <w:spacing w:line="240" w:lineRule="auto"/>
      </w:pPr>
      <w:r>
        <w:t xml:space="preserve">En septembre 2017, </w:t>
      </w:r>
      <w:r w:rsidR="002D0E27">
        <w:t>le RTC</w:t>
      </w:r>
      <w:r>
        <w:t xml:space="preserve"> tient </w:t>
      </w:r>
      <w:r w:rsidR="002D0E27">
        <w:t xml:space="preserve">à </w:t>
      </w:r>
      <w:r>
        <w:t>son tour une consultation publique : 312 participants assistent aux six rencontres publiques</w:t>
      </w:r>
      <w:r w:rsidR="00E57529">
        <w:t xml:space="preserve"> et un sondage rejoint plus de 1200 personnes.</w:t>
      </w:r>
    </w:p>
    <w:p w14:paraId="0EFC811E" w14:textId="4F6EB286" w:rsidR="00A246E7" w:rsidRDefault="00E57529" w:rsidP="0054267A">
      <w:pPr>
        <w:pStyle w:val="Paragrdouble"/>
        <w:numPr>
          <w:ilvl w:val="0"/>
          <w:numId w:val="4"/>
        </w:numPr>
        <w:spacing w:line="240" w:lineRule="auto"/>
      </w:pPr>
      <w:r>
        <w:t xml:space="preserve">Au même moment, se tient </w:t>
      </w:r>
      <w:r w:rsidR="78366FBC">
        <w:t>le</w:t>
      </w:r>
      <w:r>
        <w:t xml:space="preserve"> </w:t>
      </w:r>
      <w:r w:rsidR="00D863FD">
        <w:t>S</w:t>
      </w:r>
      <w:r>
        <w:t>ommet sur la mobilité</w:t>
      </w:r>
      <w:r w:rsidR="003377B5">
        <w:t xml:space="preserve"> durable auquel les citoyens peuvent </w:t>
      </w:r>
      <w:r w:rsidR="001F1C8B">
        <w:t>assister</w:t>
      </w:r>
      <w:r w:rsidR="003377B5">
        <w:t xml:space="preserve">. L’événement s’adresse toutefois aux acteurs économiques et aux décideurs de la </w:t>
      </w:r>
      <w:r w:rsidR="006F2453">
        <w:t>ville</w:t>
      </w:r>
      <w:r w:rsidR="003377B5">
        <w:t>.</w:t>
      </w:r>
      <w:r w:rsidR="00A246E7">
        <w:t xml:space="preserve"> 413 personnes assistent à l’événement alors que plus de 5600 le suivent en Web diffusion.</w:t>
      </w:r>
    </w:p>
    <w:p w14:paraId="3F0D3C5E" w14:textId="0B634589" w:rsidR="00F16DCF" w:rsidRDefault="00F0147B" w:rsidP="0054267A">
      <w:pPr>
        <w:pStyle w:val="Paragrdouble"/>
        <w:numPr>
          <w:ilvl w:val="0"/>
          <w:numId w:val="4"/>
        </w:numPr>
        <w:spacing w:line="240" w:lineRule="auto"/>
      </w:pPr>
      <w:r>
        <w:t>Débute alors la campagne électorale municipale de l’automne 2017.</w:t>
      </w:r>
      <w:r w:rsidR="002375FC">
        <w:t xml:space="preserve"> Les travaux du comité consultatif sont alors interrompus,</w:t>
      </w:r>
      <w:r w:rsidR="00C156B4">
        <w:t xml:space="preserve"> mais le personnel de la </w:t>
      </w:r>
      <w:r w:rsidR="33B9DB05">
        <w:t>v</w:t>
      </w:r>
      <w:r w:rsidR="00C156B4">
        <w:t xml:space="preserve">ille continue à alimenter les réflexions </w:t>
      </w:r>
      <w:r w:rsidR="001A5CC6">
        <w:t>de façon</w:t>
      </w:r>
      <w:r w:rsidR="00C156B4">
        <w:t xml:space="preserve"> que, au lendemain de l’élection,</w:t>
      </w:r>
      <w:r w:rsidR="00DC0686">
        <w:t xml:space="preserve"> une proposition pourra être soumise au maire</w:t>
      </w:r>
      <w:r w:rsidR="00B63F4B">
        <w:t xml:space="preserve"> qui sera élu</w:t>
      </w:r>
      <w:r w:rsidR="00DC0686">
        <w:t>.</w:t>
      </w:r>
      <w:r w:rsidR="00F16DCF">
        <w:t xml:space="preserve"> Dans sa déclaration sous serment, Monsieur Carrier prend soin de spécifier qu’il n’a reçu aucune balise ou contrainte quant au choix d</w:t>
      </w:r>
      <w:r w:rsidR="00CC2B89">
        <w:t>u</w:t>
      </w:r>
      <w:r w:rsidR="00F16DCF">
        <w:t xml:space="preserve"> mode de transport collectif.</w:t>
      </w:r>
      <w:r w:rsidR="00C84329">
        <w:t xml:space="preserve"> Toutes les études</w:t>
      </w:r>
      <w:r w:rsidR="00836929">
        <w:t xml:space="preserve"> antérieures sont alors remises sur la table.</w:t>
      </w:r>
    </w:p>
    <w:p w14:paraId="21564706" w14:textId="5B45D90C" w:rsidR="00FC72CD" w:rsidRDefault="00EE38C7" w:rsidP="0054267A">
      <w:pPr>
        <w:pStyle w:val="Paragrdouble"/>
        <w:numPr>
          <w:ilvl w:val="0"/>
          <w:numId w:val="4"/>
        </w:numPr>
        <w:spacing w:line="240" w:lineRule="auto"/>
      </w:pPr>
      <w:r>
        <w:t>Entre la fin de l’été 2017 et le 21 décembre 2017, Monsieur Carrier n’a aucun contact avec le maire Labeaume</w:t>
      </w:r>
      <w:r w:rsidR="000068AD">
        <w:t xml:space="preserve"> qui sera réélu le </w:t>
      </w:r>
      <w:r w:rsidR="005824D2">
        <w:t>5</w:t>
      </w:r>
      <w:r w:rsidR="000068AD">
        <w:t xml:space="preserve"> novembre 2017</w:t>
      </w:r>
      <w:r w:rsidR="00E937EE">
        <w:t>.</w:t>
      </w:r>
    </w:p>
    <w:p w14:paraId="726D4268" w14:textId="24BC6E19" w:rsidR="00880C84" w:rsidRDefault="00E937EE" w:rsidP="0054267A">
      <w:pPr>
        <w:pStyle w:val="Paragrdouble"/>
        <w:numPr>
          <w:ilvl w:val="0"/>
          <w:numId w:val="4"/>
        </w:numPr>
        <w:spacing w:line="240" w:lineRule="auto"/>
      </w:pPr>
      <w:r>
        <w:t xml:space="preserve">Le 21 décembre 2017, en présence du directeur général de la </w:t>
      </w:r>
      <w:r w:rsidR="5533CDFC">
        <w:t>v</w:t>
      </w:r>
      <w:r>
        <w:t>ille</w:t>
      </w:r>
      <w:r w:rsidR="00453D20">
        <w:t xml:space="preserve"> et de Monsieur André Caron, à titre de directeur de la coordination des travaux de conception du projet de réseau structurant de transport en commun, Monsieur Carrier rencontre Monsieur Labeaume</w:t>
      </w:r>
      <w:r w:rsidR="008434BB">
        <w:t>. C’est alors qu’il est proposé au maire que la colonne vertébrale de ce nouveau réseau structurant de transport soit un tramway</w:t>
      </w:r>
      <w:r w:rsidR="00880C84">
        <w:t>.</w:t>
      </w:r>
    </w:p>
    <w:p w14:paraId="7D71FE90" w14:textId="77777777" w:rsidR="005571CA" w:rsidRDefault="00880C84" w:rsidP="0054267A">
      <w:pPr>
        <w:pStyle w:val="Paragrdouble"/>
        <w:numPr>
          <w:ilvl w:val="0"/>
          <w:numId w:val="4"/>
        </w:numPr>
        <w:spacing w:line="240" w:lineRule="auto"/>
      </w:pPr>
      <w:r>
        <w:t>Au cours de l’hiver 2018, à la demande du maire, cette recommandation est formulée au comité consultatif qui reprend ses travaux.</w:t>
      </w:r>
      <w:r w:rsidR="00684D4A">
        <w:t xml:space="preserve"> Le travail d’analyse avec le comité consultatif</w:t>
      </w:r>
      <w:r w:rsidR="005571CA">
        <w:t xml:space="preserve"> ne résulte en aucun rapport formel.</w:t>
      </w:r>
    </w:p>
    <w:p w14:paraId="40D86B50" w14:textId="649771FF" w:rsidR="00DC0686" w:rsidRDefault="002D4E46" w:rsidP="0054267A">
      <w:pPr>
        <w:pStyle w:val="Paragrdouble"/>
        <w:numPr>
          <w:ilvl w:val="0"/>
          <w:numId w:val="4"/>
        </w:numPr>
        <w:spacing w:line="240" w:lineRule="auto"/>
      </w:pPr>
      <w:r>
        <w:t xml:space="preserve">Entre la mi-février et la mi-mars </w:t>
      </w:r>
      <w:r w:rsidR="005571CA">
        <w:t xml:space="preserve">2018, Messieurs Labeaume, Carrier, </w:t>
      </w:r>
      <w:r w:rsidR="00007C45">
        <w:t xml:space="preserve">Caron et </w:t>
      </w:r>
      <w:r w:rsidR="002136BC">
        <w:t xml:space="preserve">André </w:t>
      </w:r>
      <w:r w:rsidR="005571CA">
        <w:t>Legault</w:t>
      </w:r>
      <w:r w:rsidR="005625C7">
        <w:t xml:space="preserve">, directeur </w:t>
      </w:r>
      <w:r w:rsidR="00007C45">
        <w:t>général de la Ville,</w:t>
      </w:r>
      <w:r w:rsidR="005571CA">
        <w:t xml:space="preserve"> </w:t>
      </w:r>
      <w:r w:rsidR="00100AB8">
        <w:t>se rendent rencontr</w:t>
      </w:r>
      <w:r>
        <w:t>er</w:t>
      </w:r>
      <w:r w:rsidR="00100AB8">
        <w:t xml:space="preserve"> le premier ministre, Monsieur Philippe Couillard, </w:t>
      </w:r>
      <w:r w:rsidR="001A10E1">
        <w:t xml:space="preserve">ainsi que le </w:t>
      </w:r>
      <w:r w:rsidR="00100AB8">
        <w:t xml:space="preserve">président du </w:t>
      </w:r>
      <w:r>
        <w:t>C</w:t>
      </w:r>
      <w:r w:rsidR="00100AB8">
        <w:t xml:space="preserve">onseil du trésor </w:t>
      </w:r>
      <w:r w:rsidR="001A10E1">
        <w:t>et</w:t>
      </w:r>
      <w:r w:rsidR="00100AB8">
        <w:t xml:space="preserve"> des députés de la région de la </w:t>
      </w:r>
      <w:r w:rsidR="001A10E1">
        <w:t>C</w:t>
      </w:r>
      <w:r w:rsidR="00100AB8">
        <w:t>apitale</w:t>
      </w:r>
      <w:r w:rsidR="009F09DC">
        <w:t>-</w:t>
      </w:r>
      <w:r w:rsidR="00100AB8">
        <w:t>nationale.</w:t>
      </w:r>
    </w:p>
    <w:p w14:paraId="2B5C1EA7" w14:textId="1FE6B9E7" w:rsidR="00D51013" w:rsidRDefault="002D4E46" w:rsidP="0054267A">
      <w:pPr>
        <w:pStyle w:val="Paragrdouble"/>
        <w:numPr>
          <w:ilvl w:val="0"/>
          <w:numId w:val="4"/>
        </w:numPr>
        <w:spacing w:line="240" w:lineRule="auto"/>
      </w:pPr>
      <w:r>
        <w:t>Le 16 mars 2018,</w:t>
      </w:r>
      <w:r w:rsidR="00D51013">
        <w:t xml:space="preserve"> une entente de principe est signée entre le gouvernement du Québec et la </w:t>
      </w:r>
      <w:r w:rsidR="006F2453">
        <w:t>Ville</w:t>
      </w:r>
      <w:r w:rsidR="00D51013">
        <w:t xml:space="preserve"> concernant le financement d’un projet de rése</w:t>
      </w:r>
      <w:r w:rsidR="00516247">
        <w:t>au</w:t>
      </w:r>
      <w:r w:rsidR="00D51013">
        <w:t xml:space="preserve"> structurant de transport en commun par tramway.</w:t>
      </w:r>
    </w:p>
    <w:p w14:paraId="5C62269D" w14:textId="468F6F08" w:rsidR="004A59F3" w:rsidRDefault="00D51013" w:rsidP="0054267A">
      <w:pPr>
        <w:pStyle w:val="Paragrdouble"/>
        <w:numPr>
          <w:ilvl w:val="0"/>
          <w:numId w:val="4"/>
        </w:numPr>
        <w:spacing w:line="240" w:lineRule="auto"/>
      </w:pPr>
      <w:r>
        <w:lastRenderedPageBreak/>
        <w:t xml:space="preserve">Quelques jours plus tard, les membres du conseil </w:t>
      </w:r>
      <w:r w:rsidR="00FB077A">
        <w:t>de la ville</w:t>
      </w:r>
      <w:r w:rsidR="002E03D6">
        <w:t>, pendant plusieurs heures, reçoivent la présentation du réseau structurant de transport en commun</w:t>
      </w:r>
      <w:r w:rsidR="00454E6E">
        <w:t xml:space="preserve"> et échangent sur la question.</w:t>
      </w:r>
    </w:p>
    <w:p w14:paraId="73920D4C" w14:textId="2CD5F660" w:rsidR="0023644E" w:rsidRDefault="00454E6E" w:rsidP="0054267A">
      <w:pPr>
        <w:pStyle w:val="Paragrdouble"/>
        <w:numPr>
          <w:ilvl w:val="0"/>
          <w:numId w:val="4"/>
        </w:numPr>
        <w:spacing w:line="240" w:lineRule="auto"/>
      </w:pPr>
      <w:r>
        <w:t>Le 4 avril 2018, le conseil d’agglomération ratifie l’entente</w:t>
      </w:r>
      <w:r w:rsidR="0023644E">
        <w:t xml:space="preserve"> entre le gouvernement du Québec et la </w:t>
      </w:r>
      <w:r w:rsidR="00516247">
        <w:t>V</w:t>
      </w:r>
      <w:r w:rsidR="0023644E">
        <w:t>ille.</w:t>
      </w:r>
    </w:p>
    <w:p w14:paraId="22DD810F" w14:textId="3F717FAD" w:rsidR="00687544" w:rsidRDefault="0023644E" w:rsidP="0054267A">
      <w:pPr>
        <w:pStyle w:val="Paragrdouble"/>
        <w:numPr>
          <w:ilvl w:val="0"/>
          <w:numId w:val="4"/>
        </w:numPr>
        <w:spacing w:line="240" w:lineRule="auto"/>
      </w:pPr>
      <w:r>
        <w:t xml:space="preserve">En avril 2018, une nouvelle démarche </w:t>
      </w:r>
      <w:r w:rsidR="00E41364">
        <w:t>publique</w:t>
      </w:r>
      <w:r>
        <w:t xml:space="preserve"> est entreprise par la </w:t>
      </w:r>
      <w:r w:rsidR="00402B89">
        <w:t>V</w:t>
      </w:r>
      <w:r>
        <w:t xml:space="preserve">ille et le </w:t>
      </w:r>
      <w:r w:rsidR="00516247">
        <w:t>RTC</w:t>
      </w:r>
      <w:r w:rsidR="00823681">
        <w:t>. Des outils de communication sont développés pour faire connaître le projet en question. Cinq séances publiques d’information</w:t>
      </w:r>
      <w:r w:rsidR="002E5958">
        <w:t xml:space="preserve"> et</w:t>
      </w:r>
      <w:r w:rsidR="00823681">
        <w:t xml:space="preserve"> de consultation sont tenues. Des kiosques </w:t>
      </w:r>
      <w:r w:rsidR="00AC0774">
        <w:t>sont animés par des spécialistes</w:t>
      </w:r>
      <w:r w:rsidR="00013CAA">
        <w:t xml:space="preserve"> et les citoyens peuvent poser leurs questions et recevoir des réponses précises. Finalement, un questionnaire</w:t>
      </w:r>
      <w:r w:rsidR="00AC0774">
        <w:t xml:space="preserve"> est mis</w:t>
      </w:r>
      <w:r w:rsidR="00013CAA">
        <w:t xml:space="preserve"> en ligne</w:t>
      </w:r>
      <w:r w:rsidR="00C361D1">
        <w:t>. 5000 personnes participent aux séances publiques d’information et de consultation et 5200 répond</w:t>
      </w:r>
      <w:r w:rsidR="00A23215">
        <w:t>ent</w:t>
      </w:r>
      <w:r w:rsidR="00C361D1">
        <w:t xml:space="preserve"> au questionnaire.</w:t>
      </w:r>
      <w:r w:rsidR="00687544">
        <w:t xml:space="preserve"> De plus, une dizaine de citoyens ou d’organismes déposent des rapports écrits sur le projet</w:t>
      </w:r>
      <w:r w:rsidR="00A23215">
        <w:t>. T</w:t>
      </w:r>
      <w:r w:rsidR="00687544">
        <w:t>outes ces informations sont communiquées au comité consultatif.</w:t>
      </w:r>
    </w:p>
    <w:p w14:paraId="15553138" w14:textId="4F0F72E5" w:rsidR="001B2EA0" w:rsidRDefault="00687544" w:rsidP="0054267A">
      <w:pPr>
        <w:pStyle w:val="Paragrdouble"/>
        <w:numPr>
          <w:ilvl w:val="0"/>
          <w:numId w:val="4"/>
        </w:numPr>
        <w:spacing w:line="240" w:lineRule="auto"/>
      </w:pPr>
      <w:r>
        <w:t>En juin 2018,</w:t>
      </w:r>
      <w:r w:rsidR="00A23215">
        <w:t xml:space="preserve"> un</w:t>
      </w:r>
      <w:r>
        <w:t xml:space="preserve"> rapport de consultation publique</w:t>
      </w:r>
      <w:r w:rsidR="001B2EA0">
        <w:t xml:space="preserve"> est produit et remis aux membres du comité consultatif. Une majorité de citoyens se déclare satisfait du projet de réseau structurant de transport en commun proposé.</w:t>
      </w:r>
    </w:p>
    <w:p w14:paraId="3C507C98" w14:textId="201A17D0" w:rsidR="008122B5" w:rsidRDefault="00920477" w:rsidP="0054267A">
      <w:pPr>
        <w:pStyle w:val="Paragrdouble"/>
        <w:numPr>
          <w:ilvl w:val="0"/>
          <w:numId w:val="4"/>
        </w:numPr>
        <w:spacing w:line="240" w:lineRule="auto"/>
      </w:pPr>
      <w:r>
        <w:t xml:space="preserve">Le 14 juin 2018, </w:t>
      </w:r>
      <w:r w:rsidR="001D1FB5">
        <w:t>RTC</w:t>
      </w:r>
      <w:r>
        <w:t xml:space="preserve"> dévoile son plan stratégique 2018-2027</w:t>
      </w:r>
      <w:r w:rsidR="008122B5">
        <w:t xml:space="preserve"> par lequel le réseau structurant de transport en commun </w:t>
      </w:r>
      <w:r w:rsidR="00184A7A">
        <w:t>serait</w:t>
      </w:r>
      <w:r w:rsidR="008122B5">
        <w:t xml:space="preserve"> renforc</w:t>
      </w:r>
      <w:r w:rsidR="001D1FB5">
        <w:t>é</w:t>
      </w:r>
      <w:r w:rsidR="008122B5">
        <w:t xml:space="preserve"> grâce au tramway.</w:t>
      </w:r>
    </w:p>
    <w:p w14:paraId="5081E4C5" w14:textId="2F604EC1" w:rsidR="00454E6E" w:rsidRDefault="00706574" w:rsidP="0054267A">
      <w:pPr>
        <w:pStyle w:val="Paragrdouble"/>
        <w:numPr>
          <w:ilvl w:val="0"/>
          <w:numId w:val="4"/>
        </w:numPr>
        <w:spacing w:line="240" w:lineRule="auto"/>
      </w:pPr>
      <w:r>
        <w:t xml:space="preserve">À l’automne 2018, est mis en place le </w:t>
      </w:r>
      <w:r w:rsidR="00447824">
        <w:t>B</w:t>
      </w:r>
      <w:r>
        <w:t>ureau de projet du réseau structurant de transport en commun.</w:t>
      </w:r>
    </w:p>
    <w:p w14:paraId="4D2D9E9F" w14:textId="73DCD123" w:rsidR="00482277" w:rsidRDefault="007D7967" w:rsidP="0054267A">
      <w:pPr>
        <w:pStyle w:val="Paragrdouble"/>
        <w:numPr>
          <w:ilvl w:val="0"/>
          <w:numId w:val="4"/>
        </w:numPr>
        <w:spacing w:line="240" w:lineRule="auto"/>
      </w:pPr>
      <w:r>
        <w:t>En juin 2019, sont tenu</w:t>
      </w:r>
      <w:r w:rsidR="00184A7A">
        <w:t>e</w:t>
      </w:r>
      <w:r>
        <w:t>s des séances</w:t>
      </w:r>
      <w:r w:rsidR="00F75FBB">
        <w:t xml:space="preserve"> publiques d’information pour tenir informé</w:t>
      </w:r>
      <w:r w:rsidR="00184A7A">
        <w:t>e</w:t>
      </w:r>
      <w:r w:rsidR="00F75FBB">
        <w:t xml:space="preserve"> la population. 1025 personnes participent à ces séances.</w:t>
      </w:r>
      <w:r w:rsidR="00CB129C">
        <w:t xml:space="preserve"> Le plus grand nombre de commentaires a trait à l’insertion du tramway dans le paysage urbain de Québec. Un rapport de ces séances d’information e</w:t>
      </w:r>
      <w:r w:rsidR="00184A7A">
        <w:t>s</w:t>
      </w:r>
      <w:r w:rsidR="00CB129C">
        <w:t>t produit en juin 2019</w:t>
      </w:r>
      <w:r w:rsidR="00482277">
        <w:t xml:space="preserve"> et remis à la direction du bureau de projet.</w:t>
      </w:r>
    </w:p>
    <w:p w14:paraId="6CFB9D98" w14:textId="3F3CDC48" w:rsidR="00F14639" w:rsidRPr="00F14639" w:rsidRDefault="00E47BE6" w:rsidP="00980B0C">
      <w:pPr>
        <w:pStyle w:val="Paragrdouble"/>
        <w:spacing w:line="240" w:lineRule="auto"/>
      </w:pPr>
      <w:r>
        <w:t>Dans leur plaidoirie, les demandeurs soulèvent</w:t>
      </w:r>
      <w:r w:rsidR="00CB7E10">
        <w:t xml:space="preserve"> certaines lacunes d</w:t>
      </w:r>
      <w:r w:rsidR="41B26FC7">
        <w:t>ans</w:t>
      </w:r>
      <w:r w:rsidR="00CB7E10">
        <w:t xml:space="preserve"> la déclaration sous serment de Monsieur Carrier </w:t>
      </w:r>
      <w:r w:rsidR="00217892">
        <w:t xml:space="preserve">du 14 octobre 2022 </w:t>
      </w:r>
      <w:r w:rsidR="00CB7E10">
        <w:t>qui, dans une deuxième déclaration sous serment</w:t>
      </w:r>
      <w:r w:rsidR="002E3131">
        <w:t xml:space="preserve"> obtenue le 14 novembre 2022, </w:t>
      </w:r>
      <w:r w:rsidR="00BC4469">
        <w:t>précise certains faits</w:t>
      </w:r>
      <w:r w:rsidR="00DD7A0B">
        <w:t>, ou parfois les contredit</w:t>
      </w:r>
      <w:r w:rsidR="00BC4469">
        <w:t>.</w:t>
      </w:r>
      <w:r w:rsidR="00DD7A0B">
        <w:t xml:space="preserve"> Les imperfections</w:t>
      </w:r>
      <w:r w:rsidR="00182860">
        <w:t xml:space="preserve"> relevées ne sont pas suffisantes pour permettre au Tribunal d’écarter</w:t>
      </w:r>
      <w:r w:rsidR="002B7385">
        <w:t xml:space="preserve"> les importantes</w:t>
      </w:r>
      <w:r w:rsidR="0054594F">
        <w:t xml:space="preserve"> informations </w:t>
      </w:r>
      <w:r w:rsidR="002B7385">
        <w:t>que ce témoin apporte.</w:t>
      </w:r>
      <w:r w:rsidR="00BC4469">
        <w:t xml:space="preserve"> </w:t>
      </w:r>
    </w:p>
    <w:p w14:paraId="587E7ABF" w14:textId="2E4A5193" w:rsidR="0054267A" w:rsidRDefault="00DF5BE1" w:rsidP="00980B0C">
      <w:pPr>
        <w:pStyle w:val="Paragrdouble"/>
        <w:spacing w:line="240" w:lineRule="auto"/>
      </w:pPr>
      <w:r>
        <w:t xml:space="preserve">Il est utile de </w:t>
      </w:r>
      <w:r w:rsidR="004056C0">
        <w:t>lire en</w:t>
      </w:r>
      <w:r>
        <w:t xml:space="preserve"> parallèle la déclaration de Monsieur Carrier avec </w:t>
      </w:r>
      <w:r w:rsidR="00E550E1">
        <w:t>un p</w:t>
      </w:r>
      <w:r>
        <w:t>assage</w:t>
      </w:r>
      <w:r w:rsidR="00E550E1">
        <w:t xml:space="preserve"> contenu dans le rapport du BAPE</w:t>
      </w:r>
      <w:r w:rsidR="00215979">
        <w:t>.</w:t>
      </w:r>
      <w:r w:rsidR="0057223E">
        <w:t xml:space="preserve"> En mai </w:t>
      </w:r>
      <w:r w:rsidR="00B30A32">
        <w:t>2017, soit à quelque</w:t>
      </w:r>
      <w:r w:rsidR="4A9A6D72">
        <w:t>s</w:t>
      </w:r>
      <w:r w:rsidR="00B30A32">
        <w:t xml:space="preserve"> mois des élections municipales,</w:t>
      </w:r>
      <w:r w:rsidR="006C63BF">
        <w:t xml:space="preserve"> à la suite de </w:t>
      </w:r>
      <w:r w:rsidR="006C63BF" w:rsidRPr="6C71DF8D">
        <w:t>l’abandon du projet de système rapide par bus</w:t>
      </w:r>
      <w:r w:rsidR="00F71A22" w:rsidRPr="00915C6A">
        <w:rPr>
          <w:szCs w:val="24"/>
        </w:rPr>
        <w:t>,</w:t>
      </w:r>
      <w:r w:rsidR="0057223E" w:rsidRPr="6C71DF8D">
        <w:t xml:space="preserve"> la </w:t>
      </w:r>
      <w:r w:rsidR="4B55A73E" w:rsidRPr="6C71DF8D">
        <w:t>V</w:t>
      </w:r>
      <w:r w:rsidR="0057223E" w:rsidRPr="6C71DF8D">
        <w:t>ille confie à une organisation indépendante le mandat de tenir des consultations publiques sur la mobilité durable</w:t>
      </w:r>
      <w:r w:rsidR="003B571A" w:rsidRPr="6C71DF8D">
        <w:t xml:space="preserve">. Lors de ces consultations, </w:t>
      </w:r>
      <w:r w:rsidR="11AA8A28" w:rsidRPr="6C71DF8D">
        <w:t>i</w:t>
      </w:r>
      <w:r w:rsidR="00134686" w:rsidRPr="6C71DF8D">
        <w:t xml:space="preserve">l </w:t>
      </w:r>
      <w:r w:rsidR="006135AE" w:rsidRPr="6C71DF8D">
        <w:t xml:space="preserve">ne sera proposé </w:t>
      </w:r>
      <w:r w:rsidR="00134686" w:rsidRPr="6C71DF8D">
        <w:t>aucun mode ni de tracé précis</w:t>
      </w:r>
      <w:r w:rsidR="00F53DEF" w:rsidRPr="00915C6A">
        <w:rPr>
          <w:szCs w:val="24"/>
        </w:rPr>
        <w:t>.</w:t>
      </w:r>
      <w:r w:rsidR="007D6034" w:rsidRPr="6C71DF8D">
        <w:t xml:space="preserve"> À des questions ouvertes, </w:t>
      </w:r>
      <w:r w:rsidR="00CE3E3F" w:rsidRPr="00915C6A">
        <w:rPr>
          <w:szCs w:val="24"/>
        </w:rPr>
        <w:t xml:space="preserve">« </w:t>
      </w:r>
      <w:r w:rsidR="00980B0C" w:rsidRPr="6C71DF8D">
        <w:rPr>
          <w:rFonts w:cs="Arial"/>
          <w:lang w:eastAsia="fr-CA"/>
        </w:rPr>
        <w:t xml:space="preserve">les mémoires suggèrent un tramway deux fois plus </w:t>
      </w:r>
      <w:r w:rsidR="00980B0C" w:rsidRPr="6C71DF8D">
        <w:rPr>
          <w:rFonts w:cs="Arial"/>
          <w:lang w:eastAsia="fr-CA"/>
        </w:rPr>
        <w:lastRenderedPageBreak/>
        <w:t>souvent que le</w:t>
      </w:r>
      <w:r w:rsidR="00980B0C" w:rsidRPr="00915C6A">
        <w:rPr>
          <w:szCs w:val="24"/>
        </w:rPr>
        <w:t xml:space="preserve"> </w:t>
      </w:r>
      <w:r w:rsidR="00CE3E3F" w:rsidRPr="6C71DF8D">
        <w:t>[système rapide par bus] »</w:t>
      </w:r>
      <w:r w:rsidR="00CE3E3F" w:rsidRPr="6C71DF8D">
        <w:rPr>
          <w:rStyle w:val="Appelnotedebasdep"/>
        </w:rPr>
        <w:footnoteReference w:id="55"/>
      </w:r>
      <w:r w:rsidR="00CE3E3F" w:rsidRPr="00915C6A">
        <w:rPr>
          <w:szCs w:val="24"/>
        </w:rPr>
        <w:t>.</w:t>
      </w:r>
      <w:r w:rsidR="00D32B72" w:rsidRPr="6C71DF8D">
        <w:t xml:space="preserve"> Quant aux tracés,</w:t>
      </w:r>
      <w:r w:rsidR="00A33443" w:rsidRPr="6C71DF8D">
        <w:t xml:space="preserve"> le </w:t>
      </w:r>
      <w:r w:rsidR="00004488" w:rsidRPr="6C71DF8D">
        <w:t>BAPE</w:t>
      </w:r>
      <w:r w:rsidR="00A33443" w:rsidRPr="6C71DF8D">
        <w:t xml:space="preserve"> résume ainsi la consultation menée par la Ville : </w:t>
      </w:r>
    </w:p>
    <w:p w14:paraId="37EB09FA" w14:textId="377C1BD4" w:rsidR="00A33443" w:rsidRPr="00A33443" w:rsidRDefault="00A33443" w:rsidP="00A33443">
      <w:pPr>
        <w:pStyle w:val="Paragraphe"/>
        <w:tabs>
          <w:tab w:val="clear" w:pos="1636"/>
          <w:tab w:val="left" w:pos="709"/>
        </w:tabs>
        <w:spacing w:line="240" w:lineRule="auto"/>
        <w:ind w:left="708" w:right="610"/>
        <w:rPr>
          <w:sz w:val="20"/>
        </w:rPr>
      </w:pPr>
      <w:r w:rsidRPr="00B30958">
        <w:rPr>
          <w:sz w:val="22"/>
          <w:szCs w:val="22"/>
        </w:rPr>
        <w:t>Pour ce qui est du tracé, le rapport mentionne que 40 % des auteurs des mémoires souhaitent que les pôles de la Cité (Saint- Roch et la colline Parlementaire) et de Sainte-Foy soient « les points focaux de la desserte », mais qu’il n’y a pas de consensus sur le tracé du réseau.</w:t>
      </w:r>
    </w:p>
    <w:p w14:paraId="597AC58C" w14:textId="18E19660" w:rsidR="00B74005" w:rsidRDefault="00A35736" w:rsidP="00C23572">
      <w:pPr>
        <w:pStyle w:val="Paragrdouble"/>
        <w:spacing w:line="240" w:lineRule="auto"/>
      </w:pPr>
      <w:r>
        <w:t>L</w:t>
      </w:r>
      <w:r w:rsidR="00B74005">
        <w:t xml:space="preserve">e BAPE conclut </w:t>
      </w:r>
      <w:r>
        <w:t>donc</w:t>
      </w:r>
      <w:r w:rsidR="00B74005">
        <w:t xml:space="preserve"> :</w:t>
      </w:r>
    </w:p>
    <w:p w14:paraId="5E96A9F4" w14:textId="3B3454A3" w:rsidR="005D23B2" w:rsidRPr="00C559CA" w:rsidRDefault="00E03E86" w:rsidP="00917943">
      <w:pPr>
        <w:pStyle w:val="Paragraphe"/>
        <w:tabs>
          <w:tab w:val="clear" w:pos="1636"/>
          <w:tab w:val="left" w:pos="709"/>
        </w:tabs>
        <w:spacing w:line="240" w:lineRule="auto"/>
        <w:ind w:left="708" w:right="610"/>
        <w:rPr>
          <w:sz w:val="22"/>
          <w:szCs w:val="22"/>
        </w:rPr>
      </w:pPr>
      <w:r w:rsidRPr="00C559CA">
        <w:rPr>
          <w:sz w:val="22"/>
          <w:szCs w:val="22"/>
        </w:rPr>
        <w:t xml:space="preserve">La commission note néanmoins que les rapports et les bilans de ces deux consultations publiques </w:t>
      </w:r>
      <w:r w:rsidR="00DC6293" w:rsidRPr="00C559CA">
        <w:rPr>
          <w:sz w:val="22"/>
          <w:szCs w:val="22"/>
        </w:rPr>
        <w:t xml:space="preserve">et </w:t>
      </w:r>
      <w:r w:rsidRPr="00C559CA">
        <w:rPr>
          <w:sz w:val="22"/>
          <w:szCs w:val="22"/>
        </w:rPr>
        <w:t xml:space="preserve">du sommet international ne permettent pas de conclure que projet de tramway avec un tracé en Haute-Ville était le choix </w:t>
      </w:r>
      <w:r w:rsidRPr="00917943">
        <w:rPr>
          <w:sz w:val="22"/>
          <w:szCs w:val="22"/>
          <w:lang w:eastAsia="fr-CA"/>
        </w:rPr>
        <w:t>privilégié</w:t>
      </w:r>
      <w:r w:rsidRPr="00C559CA">
        <w:rPr>
          <w:sz w:val="22"/>
          <w:szCs w:val="22"/>
        </w:rPr>
        <w:t xml:space="preserve"> par les participants.</w:t>
      </w:r>
      <w:r w:rsidR="00917943" w:rsidRPr="00C559CA">
        <w:rPr>
          <w:rStyle w:val="Appelnotedebasdep"/>
          <w:sz w:val="22"/>
          <w:szCs w:val="22"/>
        </w:rPr>
        <w:footnoteReference w:id="56"/>
      </w:r>
    </w:p>
    <w:p w14:paraId="497192F1" w14:textId="4679FB90" w:rsidR="00DC6293" w:rsidRDefault="00B12D41" w:rsidP="00C23572">
      <w:pPr>
        <w:pStyle w:val="Paragrdouble"/>
        <w:spacing w:line="240" w:lineRule="auto"/>
      </w:pPr>
      <w:r>
        <w:t xml:space="preserve">Ces </w:t>
      </w:r>
      <w:r w:rsidR="00693C7C">
        <w:t xml:space="preserve">rapports </w:t>
      </w:r>
      <w:r w:rsidR="00CF2967">
        <w:t xml:space="preserve">auxquels réfère le BAPE </w:t>
      </w:r>
      <w:r w:rsidR="00693C7C">
        <w:t>auraient</w:t>
      </w:r>
      <w:r w:rsidR="008E543A">
        <w:t xml:space="preserve"> quand même</w:t>
      </w:r>
      <w:r w:rsidR="00693C7C">
        <w:t xml:space="preserve"> influencé</w:t>
      </w:r>
      <w:r w:rsidR="00AA625F">
        <w:t xml:space="preserve"> la Ville dans ses choix</w:t>
      </w:r>
      <w:r w:rsidR="00497F66">
        <w:t xml:space="preserve"> soumis à l’administration municipale élue en 2017</w:t>
      </w:r>
      <w:r w:rsidR="00AA625F">
        <w:t xml:space="preserve">. </w:t>
      </w:r>
      <w:r w:rsidR="008E543A">
        <w:t xml:space="preserve">Le Tribunal retient malgré tout que </w:t>
      </w:r>
      <w:r w:rsidR="000635F8">
        <w:t>p</w:t>
      </w:r>
      <w:r w:rsidR="00AA625F">
        <w:t xml:space="preserve">lus de personnes favorisaient le tramway au </w:t>
      </w:r>
      <w:r w:rsidR="58AEE2B4">
        <w:t>système</w:t>
      </w:r>
      <w:r w:rsidR="00AA625F">
        <w:t xml:space="preserve"> rapide par bus</w:t>
      </w:r>
      <w:r w:rsidR="00C90B6D">
        <w:t xml:space="preserve">, mais il ne semble pas qu’il y avait un fort consensus quant au tracé en Haute-Ville. </w:t>
      </w:r>
    </w:p>
    <w:p w14:paraId="703DD160" w14:textId="60265406" w:rsidR="00300748" w:rsidRDefault="00C128AE" w:rsidP="00C23572">
      <w:pPr>
        <w:pStyle w:val="Paragrdouble"/>
        <w:spacing w:line="240" w:lineRule="auto"/>
      </w:pPr>
      <w:r>
        <w:t>Par sa déclaration sous serment</w:t>
      </w:r>
      <w:r w:rsidR="00791E26">
        <w:t xml:space="preserve"> du 19 octobre 2022</w:t>
      </w:r>
      <w:r w:rsidR="00005FD9">
        <w:t xml:space="preserve">, Monsieur Daniel </w:t>
      </w:r>
      <w:r w:rsidR="00395178">
        <w:t>Genest</w:t>
      </w:r>
      <w:r w:rsidR="00005FD9">
        <w:t xml:space="preserve">, directeur du </w:t>
      </w:r>
      <w:r w:rsidR="00B5592E">
        <w:t>B</w:t>
      </w:r>
      <w:r w:rsidR="00005FD9">
        <w:t>ureau de projet du tramway</w:t>
      </w:r>
      <w:r w:rsidR="00622F5C">
        <w:t>,</w:t>
      </w:r>
      <w:r w:rsidR="000468C7">
        <w:t xml:space="preserve"> prend le relais de</w:t>
      </w:r>
      <w:r w:rsidR="00622F5C">
        <w:t xml:space="preserve"> </w:t>
      </w:r>
      <w:r w:rsidR="004961B1">
        <w:t xml:space="preserve">la chronologie des événements réalisée </w:t>
      </w:r>
      <w:r w:rsidR="78721204">
        <w:t>jusque-là</w:t>
      </w:r>
      <w:r w:rsidR="004961B1">
        <w:t xml:space="preserve"> par </w:t>
      </w:r>
      <w:r w:rsidR="00622F5C">
        <w:t>Monsieur Carrier</w:t>
      </w:r>
      <w:r w:rsidR="068B0457">
        <w:t xml:space="preserve"> :</w:t>
      </w:r>
    </w:p>
    <w:p w14:paraId="4E78D901" w14:textId="51F30C08" w:rsidR="00622F5C" w:rsidRDefault="004F68D1" w:rsidP="005C14A5">
      <w:pPr>
        <w:pStyle w:val="Paragrdouble"/>
        <w:numPr>
          <w:ilvl w:val="0"/>
          <w:numId w:val="4"/>
        </w:numPr>
        <w:spacing w:line="240" w:lineRule="auto"/>
      </w:pPr>
      <w:r>
        <w:t>À compter de son entrée en fonction le 19 mars 2019,</w:t>
      </w:r>
      <w:r w:rsidR="005E4689">
        <w:t xml:space="preserve"> Monsieur Genest </w:t>
      </w:r>
      <w:r w:rsidR="00E54D36">
        <w:t xml:space="preserve">prend charge du dossier dont </w:t>
      </w:r>
      <w:r w:rsidR="00565878">
        <w:t>l’avis</w:t>
      </w:r>
      <w:r w:rsidR="00E54D36">
        <w:t xml:space="preserve"> de dépôt de projet auprès du gouvernement avait été</w:t>
      </w:r>
      <w:r w:rsidR="007C5582">
        <w:t xml:space="preserve"> donné </w:t>
      </w:r>
      <w:r w:rsidR="00E54D36">
        <w:t>le 23 janvier 2019</w:t>
      </w:r>
      <w:r w:rsidR="509B2DF8">
        <w:t>.</w:t>
      </w:r>
    </w:p>
    <w:p w14:paraId="05DED4B2" w14:textId="74218331" w:rsidR="00132EB7" w:rsidRDefault="5AFCCD82" w:rsidP="005C14A5">
      <w:pPr>
        <w:pStyle w:val="Paragrdouble"/>
        <w:numPr>
          <w:ilvl w:val="0"/>
          <w:numId w:val="4"/>
        </w:numPr>
        <w:spacing w:line="240" w:lineRule="auto"/>
      </w:pPr>
      <w:r>
        <w:t>Le</w:t>
      </w:r>
      <w:r w:rsidR="008F0575">
        <w:t xml:space="preserve"> 6 mai 2019, </w:t>
      </w:r>
      <w:r w:rsidR="00DD2524">
        <w:t xml:space="preserve">même si l’entente entre la </w:t>
      </w:r>
      <w:r w:rsidR="00542310">
        <w:t>V</w:t>
      </w:r>
      <w:r w:rsidR="00DD2524">
        <w:t>ille et le gouvernement signé</w:t>
      </w:r>
      <w:r w:rsidR="5B4A4E11">
        <w:t>e</w:t>
      </w:r>
      <w:r w:rsidR="00DD2524">
        <w:t xml:space="preserve"> au printemps 2018 prévoyait le support financier de ce dernier pour la mise en place d’un tramway, </w:t>
      </w:r>
      <w:r w:rsidR="00542310">
        <w:t>la Ville</w:t>
      </w:r>
      <w:r w:rsidR="008F0575">
        <w:t xml:space="preserve"> donne mandat à la firme SYSTRA pour réaliser une étude comparative des divers modes de transport</w:t>
      </w:r>
      <w:r w:rsidR="00132EB7">
        <w:t xml:space="preserve"> pour le transport en commun de Québec</w:t>
      </w:r>
      <w:r w:rsidR="1B627894">
        <w:t>.</w:t>
      </w:r>
    </w:p>
    <w:p w14:paraId="794E94A9" w14:textId="44B2EB68" w:rsidR="00565878" w:rsidRDefault="4A9F0810" w:rsidP="005C14A5">
      <w:pPr>
        <w:pStyle w:val="Paragrdouble"/>
        <w:numPr>
          <w:ilvl w:val="0"/>
          <w:numId w:val="4"/>
        </w:numPr>
        <w:spacing w:line="240" w:lineRule="auto"/>
      </w:pPr>
      <w:r>
        <w:t>Quelques</w:t>
      </w:r>
      <w:r w:rsidR="00996912">
        <w:t xml:space="preserve"> jours plus tard,</w:t>
      </w:r>
      <w:r w:rsidR="003133AF">
        <w:t xml:space="preserve"> la Ville donne mandat à deux professeurs universitaires de Montréal pour contre</w:t>
      </w:r>
      <w:r w:rsidR="0030685E">
        <w:t>-</w:t>
      </w:r>
      <w:r w:rsidR="003133AF">
        <w:t>vérifier l’analyse qui sera faite par SYSTRA</w:t>
      </w:r>
      <w:r w:rsidR="413B2895">
        <w:t>.</w:t>
      </w:r>
    </w:p>
    <w:p w14:paraId="0F4A4833" w14:textId="1EFDD152" w:rsidR="003133AF" w:rsidRDefault="2492512E" w:rsidP="005C14A5">
      <w:pPr>
        <w:pStyle w:val="Paragrdouble"/>
        <w:numPr>
          <w:ilvl w:val="0"/>
          <w:numId w:val="4"/>
        </w:numPr>
        <w:spacing w:line="240" w:lineRule="auto"/>
      </w:pPr>
      <w:r>
        <w:t>Cette</w:t>
      </w:r>
      <w:r w:rsidR="0053013F">
        <w:t xml:space="preserve"> expertise et </w:t>
      </w:r>
      <w:r w:rsidR="00983299">
        <w:t>sa</w:t>
      </w:r>
      <w:r w:rsidR="0053013F">
        <w:t xml:space="preserve"> contre-expertise</w:t>
      </w:r>
      <w:r w:rsidR="00983299">
        <w:t xml:space="preserve"> produite</w:t>
      </w:r>
      <w:r w:rsidR="0030685E">
        <w:t>s</w:t>
      </w:r>
      <w:r w:rsidR="00983299">
        <w:t xml:space="preserve"> en octobre 2019</w:t>
      </w:r>
      <w:r w:rsidR="0053013F">
        <w:t>, tou</w:t>
      </w:r>
      <w:r w:rsidR="0030685E">
        <w:t>te</w:t>
      </w:r>
      <w:r w:rsidR="0053013F">
        <w:t>s deux favorables</w:t>
      </w:r>
      <w:r w:rsidR="00277A75">
        <w:t xml:space="preserve"> au projet de tramway,</w:t>
      </w:r>
      <w:r w:rsidR="0053013F">
        <w:t xml:space="preserve"> seront transmises</w:t>
      </w:r>
      <w:r w:rsidR="00277A75">
        <w:t xml:space="preserve"> au ministère de l’Environnement</w:t>
      </w:r>
      <w:r w:rsidR="59876957">
        <w:t>.</w:t>
      </w:r>
    </w:p>
    <w:p w14:paraId="5C686797" w14:textId="522F0EC7" w:rsidR="008C238F" w:rsidRDefault="1BB77F98" w:rsidP="005C14A5">
      <w:pPr>
        <w:pStyle w:val="Paragrdouble"/>
        <w:numPr>
          <w:ilvl w:val="0"/>
          <w:numId w:val="4"/>
        </w:numPr>
        <w:spacing w:line="240" w:lineRule="auto"/>
      </w:pPr>
      <w:r>
        <w:lastRenderedPageBreak/>
        <w:t>À</w:t>
      </w:r>
      <w:r w:rsidR="000063C7">
        <w:t xml:space="preserve"> la fin de l’été 2019,</w:t>
      </w:r>
      <w:r w:rsidR="008C238F">
        <w:t xml:space="preserve"> un</w:t>
      </w:r>
      <w:r w:rsidR="000063C7">
        <w:t xml:space="preserve"> comité de réalisation du projet est mis en place, lequel est composé de décideurs politiques, de représentants de la </w:t>
      </w:r>
      <w:r w:rsidR="008F6E0C">
        <w:t>V</w:t>
      </w:r>
      <w:r w:rsidR="000063C7">
        <w:t>ille,</w:t>
      </w:r>
      <w:r w:rsidR="008F6E0C">
        <w:t xml:space="preserve"> du RTC, du ministère des </w:t>
      </w:r>
      <w:r w:rsidR="3071195D">
        <w:t>T</w:t>
      </w:r>
      <w:r w:rsidR="008F6E0C">
        <w:t>ransports et de la Société québécoise des infrastructures</w:t>
      </w:r>
      <w:r w:rsidR="63200767">
        <w:t>.</w:t>
      </w:r>
    </w:p>
    <w:p w14:paraId="3301C413" w14:textId="2EAE18A1" w:rsidR="00DC0EEC" w:rsidRDefault="2C761037" w:rsidP="005C14A5">
      <w:pPr>
        <w:pStyle w:val="Paragrdouble"/>
        <w:numPr>
          <w:ilvl w:val="0"/>
          <w:numId w:val="4"/>
        </w:numPr>
        <w:spacing w:line="240" w:lineRule="auto"/>
      </w:pPr>
      <w:r>
        <w:t>En</w:t>
      </w:r>
      <w:r w:rsidR="008C238F">
        <w:t xml:space="preserve"> décembre 2019, pendant trois jours, l’étude d’impact e</w:t>
      </w:r>
      <w:r w:rsidR="00DC0EEC">
        <w:t>s</w:t>
      </w:r>
      <w:r w:rsidR="008C238F">
        <w:t>t présenté</w:t>
      </w:r>
      <w:r w:rsidR="00DC0EEC">
        <w:t>e</w:t>
      </w:r>
      <w:r w:rsidR="008C238F">
        <w:t xml:space="preserve"> aux membres du conseil </w:t>
      </w:r>
      <w:r w:rsidR="00FB077A">
        <w:t>de la Ville</w:t>
      </w:r>
      <w:r w:rsidR="36E8DB85">
        <w:t>.</w:t>
      </w:r>
    </w:p>
    <w:p w14:paraId="642A73E7" w14:textId="05AA40CB" w:rsidR="004F79A9" w:rsidRDefault="3D901EE2" w:rsidP="005C14A5">
      <w:pPr>
        <w:pStyle w:val="Paragrdouble"/>
        <w:numPr>
          <w:ilvl w:val="0"/>
          <w:numId w:val="4"/>
        </w:numPr>
        <w:spacing w:line="240" w:lineRule="auto"/>
      </w:pPr>
      <w:r>
        <w:t>À</w:t>
      </w:r>
      <w:r w:rsidR="006B11CA">
        <w:t xml:space="preserve"> l’hiver 2020,</w:t>
      </w:r>
      <w:r w:rsidR="00E57F00">
        <w:t xml:space="preserve"> afin de contenir les coûts, un</w:t>
      </w:r>
      <w:r w:rsidR="00D21861">
        <w:t xml:space="preserve"> travail d’</w:t>
      </w:r>
      <w:r w:rsidR="00E57F00">
        <w:t>actualisation</w:t>
      </w:r>
      <w:r w:rsidR="00D21861">
        <w:t xml:space="preserve"> est réalisé et des portions coûteuses du projet sont retranchées</w:t>
      </w:r>
      <w:r w:rsidR="40086480">
        <w:t>.</w:t>
      </w:r>
    </w:p>
    <w:p w14:paraId="2110E78B" w14:textId="7D2E42DF" w:rsidR="00FB14D8" w:rsidRDefault="5CD0DE00" w:rsidP="005C14A5">
      <w:pPr>
        <w:pStyle w:val="Paragrdouble"/>
        <w:numPr>
          <w:ilvl w:val="0"/>
          <w:numId w:val="4"/>
        </w:numPr>
        <w:spacing w:line="240" w:lineRule="auto"/>
      </w:pPr>
      <w:r>
        <w:t>Au</w:t>
      </w:r>
      <w:r w:rsidR="004F79A9">
        <w:t xml:space="preserve"> début de l’été 2020, </w:t>
      </w:r>
      <w:r w:rsidR="00F721B1">
        <w:t xml:space="preserve">au cours de plusieurs heures de séances, </w:t>
      </w:r>
      <w:r w:rsidR="004F79A9">
        <w:t xml:space="preserve">le conseil </w:t>
      </w:r>
      <w:r w:rsidR="00AA3C68">
        <w:t>de la Ville</w:t>
      </w:r>
      <w:r w:rsidR="004F79A9">
        <w:t xml:space="preserve"> est saisi d’un projet révisé</w:t>
      </w:r>
      <w:r w:rsidR="00127CE4">
        <w:t xml:space="preserve"> du tramway</w:t>
      </w:r>
      <w:r w:rsidR="62729549">
        <w:t>.</w:t>
      </w:r>
    </w:p>
    <w:p w14:paraId="523AC0DC" w14:textId="016FC128" w:rsidR="00316ECE" w:rsidRDefault="5D2E7AE6" w:rsidP="005C14A5">
      <w:pPr>
        <w:pStyle w:val="Paragrdouble"/>
        <w:numPr>
          <w:ilvl w:val="0"/>
          <w:numId w:val="4"/>
        </w:numPr>
        <w:spacing w:line="240" w:lineRule="auto"/>
      </w:pPr>
      <w:r>
        <w:t>Lors</w:t>
      </w:r>
      <w:r w:rsidR="00316ECE">
        <w:t xml:space="preserve"> des audiences devant le BAPE, les représentants du Bureau de projet du tramway y participent activement</w:t>
      </w:r>
      <w:r w:rsidR="4805090A">
        <w:t>.</w:t>
      </w:r>
    </w:p>
    <w:p w14:paraId="255C905D" w14:textId="798C7061" w:rsidR="00277A75" w:rsidRDefault="290E9C34" w:rsidP="005C14A5">
      <w:pPr>
        <w:pStyle w:val="Paragrdouble"/>
        <w:numPr>
          <w:ilvl w:val="0"/>
          <w:numId w:val="4"/>
        </w:numPr>
        <w:spacing w:line="240" w:lineRule="auto"/>
      </w:pPr>
      <w:r>
        <w:t>À</w:t>
      </w:r>
      <w:r w:rsidR="00D466AF">
        <w:t xml:space="preserve"> </w:t>
      </w:r>
      <w:r w:rsidR="005D429B">
        <w:t>la suite du rapport du BAPE,</w:t>
      </w:r>
      <w:r w:rsidR="003B4C3E">
        <w:t xml:space="preserve"> les 91</w:t>
      </w:r>
      <w:r w:rsidR="00F7040F">
        <w:t xml:space="preserve"> avis </w:t>
      </w:r>
      <w:r w:rsidR="003C6343">
        <w:t>s</w:t>
      </w:r>
      <w:r w:rsidR="00F7040F">
        <w:t>ont analysés et</w:t>
      </w:r>
      <w:r w:rsidR="003C6343">
        <w:t xml:space="preserve">, </w:t>
      </w:r>
      <w:r w:rsidR="00F7040F">
        <w:t xml:space="preserve">pour plusieurs, des engagements </w:t>
      </w:r>
      <w:r w:rsidR="003C6343">
        <w:t>s</w:t>
      </w:r>
      <w:r w:rsidR="00F7040F">
        <w:t>ont souscrits par la Ville auprès du gouvernement</w:t>
      </w:r>
      <w:r w:rsidR="00E37CFC">
        <w:rPr>
          <w:rStyle w:val="Appelnotedebasdep"/>
        </w:rPr>
        <w:footnoteReference w:id="57"/>
      </w:r>
      <w:r w:rsidR="51A0BA0C" w:rsidRPr="4FD1AEB1">
        <w:rPr>
          <w:rStyle w:val="Appelnotedebasdep"/>
        </w:rPr>
        <w:t>.</w:t>
      </w:r>
    </w:p>
    <w:p w14:paraId="27CF6F0D" w14:textId="43E20617" w:rsidR="00D466AF" w:rsidRDefault="28B0FF4E" w:rsidP="005C14A5">
      <w:pPr>
        <w:pStyle w:val="Paragrdouble"/>
        <w:numPr>
          <w:ilvl w:val="0"/>
          <w:numId w:val="4"/>
        </w:numPr>
        <w:spacing w:line="240" w:lineRule="auto"/>
      </w:pPr>
      <w:r>
        <w:t>Compte</w:t>
      </w:r>
      <w:r w:rsidR="00B21DD8">
        <w:t xml:space="preserve"> tenu des données relatives à l’achalandage, </w:t>
      </w:r>
      <w:r w:rsidR="00BD7CAD">
        <w:t>en janvier 2021</w:t>
      </w:r>
      <w:r w:rsidR="00483D0E">
        <w:t>,</w:t>
      </w:r>
      <w:r w:rsidR="00BD7CAD">
        <w:t xml:space="preserve"> </w:t>
      </w:r>
      <w:r w:rsidR="00B21DD8">
        <w:t>Messieurs Genest et Carrier</w:t>
      </w:r>
      <w:r w:rsidR="009149E6">
        <w:t xml:space="preserve"> recommand</w:t>
      </w:r>
      <w:r w:rsidR="007A1A09">
        <w:t>ent</w:t>
      </w:r>
      <w:r w:rsidR="009149E6">
        <w:t xml:space="preserve"> au directeur général de la </w:t>
      </w:r>
      <w:r w:rsidR="40C1F0BF">
        <w:t>v</w:t>
      </w:r>
      <w:r w:rsidR="009149E6">
        <w:t xml:space="preserve">ille et </w:t>
      </w:r>
      <w:r w:rsidR="007A1A09">
        <w:t>au</w:t>
      </w:r>
      <w:r w:rsidR="009149E6">
        <w:t xml:space="preserve"> maire de modifier le tracé du tramway dans sa section </w:t>
      </w:r>
      <w:r w:rsidR="7432E4FE">
        <w:t>e</w:t>
      </w:r>
      <w:r w:rsidR="009149E6">
        <w:t>st</w:t>
      </w:r>
      <w:r w:rsidR="6DB52D94">
        <w:t>.</w:t>
      </w:r>
    </w:p>
    <w:p w14:paraId="40F2BC52" w14:textId="36AF405F" w:rsidR="00EF3151" w:rsidRDefault="5378E87D" w:rsidP="005C14A5">
      <w:pPr>
        <w:pStyle w:val="Paragrdouble"/>
        <w:numPr>
          <w:ilvl w:val="0"/>
          <w:numId w:val="4"/>
        </w:numPr>
        <w:spacing w:line="240" w:lineRule="auto"/>
      </w:pPr>
      <w:r>
        <w:t>L</w:t>
      </w:r>
      <w:r w:rsidR="00086888">
        <w:t>a</w:t>
      </w:r>
      <w:r w:rsidR="00704E66">
        <w:t xml:space="preserve"> ville fait de nombreux efforts </w:t>
      </w:r>
      <w:r w:rsidR="00AB186F">
        <w:t>amplement détaillés</w:t>
      </w:r>
      <w:r w:rsidR="00AB186F">
        <w:rPr>
          <w:rStyle w:val="Appelnotedebasdep"/>
        </w:rPr>
        <w:footnoteReference w:id="58"/>
      </w:r>
      <w:r w:rsidR="00AB186F">
        <w:t xml:space="preserve"> </w:t>
      </w:r>
      <w:r w:rsidR="00704E66">
        <w:t>afin de stimuler la participation publique à ce projet</w:t>
      </w:r>
      <w:r w:rsidR="00D93DD9">
        <w:t>,</w:t>
      </w:r>
      <w:r w:rsidR="00087E7C">
        <w:t xml:space="preserve"> de favoriser la plus grande sécurité</w:t>
      </w:r>
      <w:r w:rsidR="00087E7C">
        <w:rPr>
          <w:rStyle w:val="Appelnotedebasdep"/>
        </w:rPr>
        <w:footnoteReference w:id="59"/>
      </w:r>
      <w:r w:rsidR="009E3D20">
        <w:t xml:space="preserve"> et</w:t>
      </w:r>
      <w:r w:rsidR="004438D4">
        <w:t xml:space="preserve"> </w:t>
      </w:r>
      <w:r w:rsidR="00554EBD">
        <w:t>de minimiser les impacts sur la foresterie urbaine</w:t>
      </w:r>
      <w:r w:rsidR="00554EBD">
        <w:rPr>
          <w:rStyle w:val="Appelnotedebasdep"/>
        </w:rPr>
        <w:footnoteReference w:id="60"/>
      </w:r>
      <w:r w:rsidR="009E3D20">
        <w:t>.</w:t>
      </w:r>
    </w:p>
    <w:p w14:paraId="3451BC50" w14:textId="769A7755" w:rsidR="00930415" w:rsidRDefault="00AE09C5" w:rsidP="00C23572">
      <w:pPr>
        <w:pStyle w:val="Paragrdouble"/>
        <w:spacing w:line="240" w:lineRule="auto"/>
      </w:pPr>
      <w:r>
        <w:t>À la suite du long cheminement du dossier du transport collectif structurant</w:t>
      </w:r>
      <w:r w:rsidR="000E1A01">
        <w:t xml:space="preserve"> au sein de l’administration municipale</w:t>
      </w:r>
      <w:r>
        <w:t xml:space="preserve">, </w:t>
      </w:r>
      <w:r w:rsidR="00930415">
        <w:t xml:space="preserve">le gouvernement </w:t>
      </w:r>
      <w:r w:rsidR="00546ED8">
        <w:t>du Québec re</w:t>
      </w:r>
      <w:r w:rsidR="00741874">
        <w:t xml:space="preserve">çoit les premières études pour donner suite à l’entente </w:t>
      </w:r>
      <w:r w:rsidR="00F0183E">
        <w:t xml:space="preserve">qui avait été </w:t>
      </w:r>
      <w:r w:rsidR="00741874">
        <w:t>signé</w:t>
      </w:r>
      <w:r w:rsidR="00F0183E">
        <w:t>e</w:t>
      </w:r>
      <w:r w:rsidR="00741874">
        <w:t xml:space="preserve"> le </w:t>
      </w:r>
      <w:r w:rsidR="00F0183E">
        <w:t>16 mars 2018.</w:t>
      </w:r>
    </w:p>
    <w:p w14:paraId="4F655412" w14:textId="23DD8DB4" w:rsidR="00E765B1" w:rsidRDefault="00E765B1" w:rsidP="00C23572">
      <w:pPr>
        <w:pStyle w:val="Paragrdouble"/>
        <w:spacing w:line="240" w:lineRule="auto"/>
      </w:pPr>
      <w:r>
        <w:t>La</w:t>
      </w:r>
      <w:r w:rsidR="00261690">
        <w:t xml:space="preserve"> déclaration sous serment de Madame Marie</w:t>
      </w:r>
      <w:r>
        <w:t>-</w:t>
      </w:r>
      <w:r w:rsidR="00261690">
        <w:t xml:space="preserve">Emmanuelle </w:t>
      </w:r>
      <w:r>
        <w:t>R</w:t>
      </w:r>
      <w:r w:rsidR="00261690">
        <w:t>ail, chef</w:t>
      </w:r>
      <w:r>
        <w:t>fe</w:t>
      </w:r>
      <w:r w:rsidR="00261690">
        <w:t xml:space="preserve"> d’équipe et coordonnatrice d’expertise pour les projets de transport collectif et ferroviaire au </w:t>
      </w:r>
      <w:r w:rsidR="009D163D">
        <w:t>ministère de l’Environnement</w:t>
      </w:r>
      <w:r w:rsidR="00082BC5">
        <w:t>,</w:t>
      </w:r>
      <w:r w:rsidR="00261690">
        <w:t xml:space="preserve"> </w:t>
      </w:r>
      <w:r w:rsidR="001235B3">
        <w:t>jette</w:t>
      </w:r>
      <w:r w:rsidR="00261690">
        <w:t xml:space="preserve"> un regard éclairant sur le processus suivi par le gouvernement</w:t>
      </w:r>
      <w:r>
        <w:t xml:space="preserve"> jusqu’à l’adoption du décret</w:t>
      </w:r>
      <w:r w:rsidR="00AB368E">
        <w:t> </w:t>
      </w:r>
      <w:r>
        <w:t>:</w:t>
      </w:r>
    </w:p>
    <w:p w14:paraId="5EA7CF63" w14:textId="17880257" w:rsidR="00AB368E" w:rsidRDefault="00AB368E" w:rsidP="005C14A5">
      <w:pPr>
        <w:pStyle w:val="Paragrdouble"/>
        <w:numPr>
          <w:ilvl w:val="0"/>
          <w:numId w:val="4"/>
        </w:numPr>
        <w:spacing w:line="240" w:lineRule="auto"/>
      </w:pPr>
      <w:r>
        <w:t>Sa référence à la</w:t>
      </w:r>
      <w:r w:rsidR="001F1D07">
        <w:t xml:space="preserve"> procédure d’évaluation</w:t>
      </w:r>
      <w:r w:rsidR="001F1D07">
        <w:rPr>
          <w:rStyle w:val="Appelnotedebasdep"/>
        </w:rPr>
        <w:footnoteReference w:id="61"/>
      </w:r>
      <w:r w:rsidR="001F1D07">
        <w:t xml:space="preserve"> </w:t>
      </w:r>
      <w:r w:rsidR="009265A0">
        <w:t xml:space="preserve">des projets permet de </w:t>
      </w:r>
      <w:r w:rsidR="00AC17CF">
        <w:t>clarifier</w:t>
      </w:r>
      <w:r w:rsidR="009265A0">
        <w:t xml:space="preserve"> le rôle du BAPE qui est un maillon dans l</w:t>
      </w:r>
      <w:r w:rsidR="002A053F">
        <w:t xml:space="preserve">e processus mis en place et qui mène à une recommandation au Conseil des ministres. En fait, pendant </w:t>
      </w:r>
      <w:r w:rsidR="33A96242">
        <w:t xml:space="preserve">que </w:t>
      </w:r>
      <w:r w:rsidR="002A053F">
        <w:t xml:space="preserve">se déroule le processus mené par le BAPE, </w:t>
      </w:r>
      <w:r w:rsidR="006F7F28">
        <w:t xml:space="preserve">une équipe de professionnels du ministère de </w:t>
      </w:r>
      <w:r w:rsidR="006F7F28">
        <w:lastRenderedPageBreak/>
        <w:t>l’Environnement s’active pour évaluer</w:t>
      </w:r>
      <w:r w:rsidR="009E3827">
        <w:t xml:space="preserve"> le projet</w:t>
      </w:r>
      <w:r w:rsidR="006F7F28">
        <w:t xml:space="preserve"> et échange</w:t>
      </w:r>
      <w:r w:rsidR="002D2A5E">
        <w:t>r avec d’autres ministères</w:t>
      </w:r>
      <w:r w:rsidR="009E3827">
        <w:t>. Le rapport de ces fonctionnaires</w:t>
      </w:r>
      <w:r w:rsidR="00BA71DE">
        <w:t xml:space="preserve"> et celui du BAPE sont déposés sur le bureau du ministre qui </w:t>
      </w:r>
      <w:r w:rsidR="00F74CAD">
        <w:t>les prend en considération pour formuler sa recommandation à ses collègues</w:t>
      </w:r>
      <w:r w:rsidR="5761D633">
        <w:t>.</w:t>
      </w:r>
    </w:p>
    <w:p w14:paraId="6B820450" w14:textId="1AD3C9CD" w:rsidR="000E4AD3" w:rsidRDefault="57AB190E" w:rsidP="00D26F83">
      <w:pPr>
        <w:pStyle w:val="Paragrdouble"/>
        <w:numPr>
          <w:ilvl w:val="0"/>
          <w:numId w:val="4"/>
        </w:numPr>
        <w:spacing w:line="240" w:lineRule="auto"/>
      </w:pPr>
      <w:r>
        <w:t>Le</w:t>
      </w:r>
      <w:r w:rsidR="00455A9D">
        <w:t xml:space="preserve"> 23 janvier 2019, la </w:t>
      </w:r>
      <w:r w:rsidR="00F536A3">
        <w:t>V</w:t>
      </w:r>
      <w:r w:rsidR="00455A9D">
        <w:t>ille transmet</w:t>
      </w:r>
      <w:r w:rsidR="00F536A3">
        <w:t xml:space="preserve"> à son ministère un avis de projet conformément à l’article 31.2 LQE, pour la construction d’un tramway allant du secteur </w:t>
      </w:r>
      <w:r w:rsidR="00D96266">
        <w:t>C</w:t>
      </w:r>
      <w:r w:rsidR="00F536A3">
        <w:t>haudière</w:t>
      </w:r>
      <w:r w:rsidR="000E4AD3">
        <w:t xml:space="preserve"> au secteur Charlesbourg</w:t>
      </w:r>
      <w:r w:rsidR="127340CA">
        <w:t>.</w:t>
      </w:r>
    </w:p>
    <w:p w14:paraId="495EBD96" w14:textId="49F16FC0" w:rsidR="00F048B8" w:rsidRDefault="2E60EFB1" w:rsidP="005C14A5">
      <w:pPr>
        <w:pStyle w:val="Paragrdouble"/>
        <w:numPr>
          <w:ilvl w:val="0"/>
          <w:numId w:val="4"/>
        </w:numPr>
        <w:spacing w:line="240" w:lineRule="auto"/>
      </w:pPr>
      <w:r>
        <w:t>Dès</w:t>
      </w:r>
      <w:r w:rsidR="000E4AD3">
        <w:t xml:space="preserve"> le 31 janvier 2019, son ministère transmet à la </w:t>
      </w:r>
      <w:r w:rsidR="006F2453">
        <w:t>Ville</w:t>
      </w:r>
      <w:r w:rsidR="00F048B8">
        <w:t xml:space="preserve"> ce qui est attendu d’une étude d’impact conformément aux exigences réglementaires</w:t>
      </w:r>
      <w:r w:rsidR="5BD76C2C">
        <w:t>.</w:t>
      </w:r>
    </w:p>
    <w:p w14:paraId="12766E32" w14:textId="4E58EE05" w:rsidR="00267065" w:rsidRDefault="12138ECB" w:rsidP="005C14A5">
      <w:pPr>
        <w:pStyle w:val="Paragrdouble"/>
        <w:numPr>
          <w:ilvl w:val="0"/>
          <w:numId w:val="4"/>
        </w:numPr>
        <w:spacing w:line="240" w:lineRule="auto"/>
      </w:pPr>
      <w:r>
        <w:t>Le</w:t>
      </w:r>
      <w:r w:rsidR="00990620">
        <w:t xml:space="preserve"> 9 janvier 2019, la </w:t>
      </w:r>
      <w:r w:rsidR="006F2453">
        <w:t>Ville</w:t>
      </w:r>
      <w:r w:rsidR="00990620">
        <w:t xml:space="preserve"> publie un avis annonçant le début de l’évaluation environnementale et invite toute personne </w:t>
      </w:r>
      <w:r w:rsidR="00DF64A8">
        <w:t>à</w:t>
      </w:r>
      <w:r w:rsidR="00990620">
        <w:t xml:space="preserve"> faire part au ministre de </w:t>
      </w:r>
      <w:r w:rsidR="00DF64A8">
        <w:t>s</w:t>
      </w:r>
      <w:r w:rsidR="00990620">
        <w:t>es observations</w:t>
      </w:r>
      <w:r w:rsidR="00267065">
        <w:t xml:space="preserve"> sur les enjeux que l’étude d’impact devra aborder</w:t>
      </w:r>
      <w:r w:rsidR="57D499E1">
        <w:t>.</w:t>
      </w:r>
    </w:p>
    <w:p w14:paraId="3D3450BF" w14:textId="6E8A0E24" w:rsidR="00B85D81" w:rsidRDefault="1B00D997" w:rsidP="005C14A5">
      <w:pPr>
        <w:pStyle w:val="Paragrdouble"/>
        <w:numPr>
          <w:ilvl w:val="0"/>
          <w:numId w:val="4"/>
        </w:numPr>
        <w:spacing w:line="240" w:lineRule="auto"/>
      </w:pPr>
      <w:r>
        <w:t>L</w:t>
      </w:r>
      <w:r w:rsidR="00267065">
        <w:t>e 29 mars 2019, le ministre publi</w:t>
      </w:r>
      <w:r w:rsidR="00B85D81">
        <w:t>e</w:t>
      </w:r>
      <w:r w:rsidR="00267065">
        <w:t xml:space="preserve"> au </w:t>
      </w:r>
      <w:r w:rsidR="00B85D81">
        <w:t>R</w:t>
      </w:r>
      <w:r w:rsidR="00267065">
        <w:t>egistre des évaluations environnementales</w:t>
      </w:r>
      <w:r w:rsidR="00B85D81">
        <w:t xml:space="preserve"> un document portant sur les observations quant aux enjeux que l’étude d’impact devra aborder </w:t>
      </w:r>
      <w:r w:rsidR="001269A4">
        <w:rPr>
          <w:rStyle w:val="Appelnotedebasdep"/>
        </w:rPr>
        <w:footnoteReference w:id="62"/>
      </w:r>
      <w:r w:rsidR="2288DC8F" w:rsidRPr="4FD1AEB1">
        <w:rPr>
          <w:rStyle w:val="Appelnotedebasdep"/>
        </w:rPr>
        <w:t>.</w:t>
      </w:r>
    </w:p>
    <w:p w14:paraId="73304B3B" w14:textId="6BFF7C43" w:rsidR="001C0DA6" w:rsidRDefault="3449CAFB" w:rsidP="005C14A5">
      <w:pPr>
        <w:pStyle w:val="Paragrdouble"/>
        <w:numPr>
          <w:ilvl w:val="0"/>
          <w:numId w:val="4"/>
        </w:numPr>
        <w:spacing w:line="240" w:lineRule="auto"/>
      </w:pPr>
      <w:r>
        <w:t>L</w:t>
      </w:r>
      <w:r w:rsidR="00013263">
        <w:t>e 11 décembre 2019</w:t>
      </w:r>
      <w:r w:rsidR="007242CC">
        <w:t>,</w:t>
      </w:r>
      <w:r w:rsidR="00013263">
        <w:t xml:space="preserve"> la </w:t>
      </w:r>
      <w:r w:rsidR="006F2453">
        <w:t>Ville</w:t>
      </w:r>
      <w:r w:rsidR="00013263">
        <w:t xml:space="preserve"> transmet</w:t>
      </w:r>
      <w:r w:rsidR="00D219EB">
        <w:t xml:space="preserve"> l’étude d’impact</w:t>
      </w:r>
      <w:r w:rsidR="00B9652A">
        <w:rPr>
          <w:rStyle w:val="Appelnotedebasdep"/>
        </w:rPr>
        <w:footnoteReference w:id="63"/>
      </w:r>
      <w:r w:rsidR="00D219EB">
        <w:t>, laquelle comporte une description des solutions de rechange et des variantes du projet</w:t>
      </w:r>
      <w:r w:rsidR="00C56B75">
        <w:t xml:space="preserve"> et la description détaillée du choix retenu, savoir le tramway.</w:t>
      </w:r>
      <w:r w:rsidR="001C0DA6">
        <w:t xml:space="preserve"> Les divers documents constituant cette étude sont </w:t>
      </w:r>
      <w:r w:rsidR="007242CC">
        <w:t>rendus publics</w:t>
      </w:r>
      <w:r w:rsidR="001C0DA6">
        <w:t xml:space="preserve"> quelques jours plus tard par le ministre dans le </w:t>
      </w:r>
      <w:r w:rsidR="7967D7D8">
        <w:t>r</w:t>
      </w:r>
      <w:r w:rsidR="001C0DA6">
        <w:t>egistre</w:t>
      </w:r>
      <w:r w:rsidR="4E6BF585">
        <w:t>.</w:t>
      </w:r>
    </w:p>
    <w:p w14:paraId="3387EEE7" w14:textId="4CA4DE4B" w:rsidR="000C1B90" w:rsidRDefault="63EB7DD2" w:rsidP="005C14A5">
      <w:pPr>
        <w:pStyle w:val="Paragrdouble"/>
        <w:numPr>
          <w:ilvl w:val="0"/>
          <w:numId w:val="4"/>
        </w:numPr>
        <w:spacing w:line="240" w:lineRule="auto"/>
      </w:pPr>
      <w:r>
        <w:t>Le</w:t>
      </w:r>
      <w:r w:rsidR="00084886">
        <w:t xml:space="preserve"> 14 mai 2020, le ministre demande au </w:t>
      </w:r>
      <w:r w:rsidR="00D078B3">
        <w:t>BAPE</w:t>
      </w:r>
      <w:r w:rsidR="00084886">
        <w:t xml:space="preserve"> de tenir</w:t>
      </w:r>
      <w:r w:rsidR="000C1B90">
        <w:t xml:space="preserve"> une audience sur le projet</w:t>
      </w:r>
      <w:r w:rsidR="1B12055B">
        <w:t>.</w:t>
      </w:r>
    </w:p>
    <w:p w14:paraId="42554D9B" w14:textId="6BF0C5D9" w:rsidR="002566FA" w:rsidRDefault="2EB2C86E" w:rsidP="005C14A5">
      <w:pPr>
        <w:pStyle w:val="Paragrdouble"/>
        <w:numPr>
          <w:ilvl w:val="0"/>
          <w:numId w:val="4"/>
        </w:numPr>
        <w:spacing w:line="240" w:lineRule="auto"/>
      </w:pPr>
      <w:r>
        <w:t>Les</w:t>
      </w:r>
      <w:r w:rsidR="00BF3BDD">
        <w:t xml:space="preserve"> audiences publiques débutent le 6 juillet 2020 et </w:t>
      </w:r>
      <w:r w:rsidR="004A1AA2">
        <w:t xml:space="preserve">les travaux du BAPE </w:t>
      </w:r>
      <w:r w:rsidR="00BF3BDD">
        <w:t xml:space="preserve">se terminent par </w:t>
      </w:r>
      <w:r w:rsidR="004A1AA2">
        <w:t xml:space="preserve">un </w:t>
      </w:r>
      <w:r w:rsidR="00BF3BDD">
        <w:t>rapport déposé</w:t>
      </w:r>
      <w:r w:rsidR="002566FA">
        <w:t xml:space="preserve"> le </w:t>
      </w:r>
      <w:r w:rsidR="006150D2">
        <w:t>5</w:t>
      </w:r>
      <w:r w:rsidR="002566FA">
        <w:t xml:space="preserve"> novembre 2020</w:t>
      </w:r>
      <w:r w:rsidR="4CECEC0B">
        <w:t>.</w:t>
      </w:r>
    </w:p>
    <w:p w14:paraId="376FD0D0" w14:textId="0EE31789" w:rsidR="009E7AB7" w:rsidRDefault="30EF2A8E" w:rsidP="005C14A5">
      <w:pPr>
        <w:pStyle w:val="Paragrdouble"/>
        <w:numPr>
          <w:ilvl w:val="0"/>
          <w:numId w:val="4"/>
        </w:numPr>
        <w:spacing w:line="240" w:lineRule="auto"/>
      </w:pPr>
      <w:r>
        <w:t>Au</w:t>
      </w:r>
      <w:r w:rsidR="00BC69A0">
        <w:t xml:space="preserve"> cours des audiences, des questions</w:t>
      </w:r>
      <w:r w:rsidR="00A843C5">
        <w:t xml:space="preserve"> relatives aux activités commerciales</w:t>
      </w:r>
      <w:r w:rsidR="0093158C">
        <w:t>, au bruit et aux îlots de chaleur</w:t>
      </w:r>
      <w:r w:rsidR="00BC69A0">
        <w:t xml:space="preserve"> sont soulevées par les participants et, conformément</w:t>
      </w:r>
      <w:r w:rsidR="00ED7B7C">
        <w:t xml:space="preserve"> au processus habituel</w:t>
      </w:r>
      <w:r w:rsidR="00BC69A0">
        <w:t>,</w:t>
      </w:r>
      <w:r w:rsidR="006150D2">
        <w:t xml:space="preserve"> </w:t>
      </w:r>
      <w:r w:rsidR="00ED7B7C">
        <w:t>c</w:t>
      </w:r>
      <w:r w:rsidR="006150D2">
        <w:t xml:space="preserve">es préoccupations sont </w:t>
      </w:r>
      <w:r w:rsidR="00437D26">
        <w:t xml:space="preserve">immédiatement </w:t>
      </w:r>
      <w:r w:rsidR="006150D2">
        <w:t xml:space="preserve">communiquées par le ministère à la </w:t>
      </w:r>
      <w:r w:rsidR="00ED7B7C">
        <w:t>V</w:t>
      </w:r>
      <w:r w:rsidR="006150D2">
        <w:t>ille</w:t>
      </w:r>
      <w:r w:rsidR="000E27CF">
        <w:rPr>
          <w:rStyle w:val="Appelnotedebasdep"/>
        </w:rPr>
        <w:footnoteReference w:id="64"/>
      </w:r>
      <w:r w:rsidR="4AA6441B" w:rsidRPr="4FD1AEB1">
        <w:rPr>
          <w:rStyle w:val="Appelnotedebasdep"/>
        </w:rPr>
        <w:t>.</w:t>
      </w:r>
    </w:p>
    <w:p w14:paraId="60B86022" w14:textId="4F7B5FB9" w:rsidR="00F22A44" w:rsidRDefault="3564C087" w:rsidP="005C14A5">
      <w:pPr>
        <w:pStyle w:val="Paragrdouble"/>
        <w:numPr>
          <w:ilvl w:val="0"/>
          <w:numId w:val="4"/>
        </w:numPr>
        <w:spacing w:line="240" w:lineRule="auto"/>
      </w:pPr>
      <w:r>
        <w:t>L</w:t>
      </w:r>
      <w:r w:rsidR="00960CE5">
        <w:t>e 9 novembre 2020, le rapport est rendu public. Il conclut «</w:t>
      </w:r>
      <w:r w:rsidR="00D95B3B">
        <w:t xml:space="preserve"> que la Communauté métropolitaine de Québec doit se doter d’un réseau performant de transport collectif qui soit structurant à l’échelle du territoire, mais qu’il est nécessaire que la Ville procède à une nouvelle analyse des options permettant, le cas échéant, de développer un projet qui répond davantage aux défis de mobilité sur le </w:t>
      </w:r>
      <w:r w:rsidR="00D95B3B">
        <w:lastRenderedPageBreak/>
        <w:t>territoire, dans une perspective régionale</w:t>
      </w:r>
      <w:r w:rsidR="00E17CFB">
        <w:t xml:space="preserve"> »</w:t>
      </w:r>
      <w:r w:rsidR="17861AF6">
        <w:t>.</w:t>
      </w:r>
      <w:r w:rsidR="00E17CFB">
        <w:t xml:space="preserve"> Ce faisant,</w:t>
      </w:r>
      <w:r w:rsidR="00F22A44">
        <w:t xml:space="preserve"> le </w:t>
      </w:r>
      <w:r w:rsidR="00AD490C">
        <w:t>BAPE</w:t>
      </w:r>
      <w:r w:rsidR="00F22A44">
        <w:t xml:space="preserve"> recommande que le projet ne soit pas autorisé tel que présenté</w:t>
      </w:r>
      <w:r w:rsidR="38409659">
        <w:t>.</w:t>
      </w:r>
    </w:p>
    <w:p w14:paraId="4CCCF50D" w14:textId="5B8208D5" w:rsidR="0024332B" w:rsidRDefault="067D380F" w:rsidP="005C14A5">
      <w:pPr>
        <w:pStyle w:val="Paragrdouble"/>
        <w:numPr>
          <w:ilvl w:val="0"/>
          <w:numId w:val="4"/>
        </w:numPr>
        <w:spacing w:line="240" w:lineRule="auto"/>
      </w:pPr>
      <w:r>
        <w:t>L</w:t>
      </w:r>
      <w:r w:rsidR="00AB0CC3">
        <w:t xml:space="preserve">es 91 avis du BAPE sont alors tenus compte par le ministère. Des vérifications sont </w:t>
      </w:r>
      <w:r w:rsidR="00413BC8">
        <w:t>faites avec la Ville afin de s’assurer de l’acceptabilité sociale</w:t>
      </w:r>
      <w:r w:rsidR="0035489D">
        <w:t xml:space="preserve"> du projet</w:t>
      </w:r>
      <w:r w:rsidR="61C375BD">
        <w:t>.</w:t>
      </w:r>
    </w:p>
    <w:p w14:paraId="79384F55" w14:textId="742C05C2" w:rsidR="00030E97" w:rsidRDefault="21A92C61" w:rsidP="005C14A5">
      <w:pPr>
        <w:pStyle w:val="Paragrdouble"/>
        <w:numPr>
          <w:ilvl w:val="0"/>
          <w:numId w:val="4"/>
        </w:numPr>
        <w:spacing w:line="240" w:lineRule="auto"/>
      </w:pPr>
      <w:r>
        <w:t>L</w:t>
      </w:r>
      <w:r w:rsidR="004B3A06">
        <w:t>es 27 novembre et 17 décembre 2020</w:t>
      </w:r>
      <w:r w:rsidR="004C5FA0">
        <w:rPr>
          <w:rStyle w:val="Appelnotedebasdep"/>
        </w:rPr>
        <w:footnoteReference w:id="65"/>
      </w:r>
      <w:r w:rsidR="004B3A06">
        <w:t xml:space="preserve">, </w:t>
      </w:r>
      <w:r w:rsidR="00F22A44">
        <w:t>à la lumière de ce rapport,</w:t>
      </w:r>
      <w:r w:rsidR="007E4B12">
        <w:t xml:space="preserve"> le ministre demande à la </w:t>
      </w:r>
      <w:r w:rsidR="006F2453">
        <w:t>Ville</w:t>
      </w:r>
      <w:r w:rsidR="007E4B12">
        <w:t xml:space="preserve"> de répondre à des questions</w:t>
      </w:r>
      <w:r w:rsidR="00030E97">
        <w:t xml:space="preserve"> précises</w:t>
      </w:r>
      <w:r w:rsidR="051C2DEF">
        <w:t>.</w:t>
      </w:r>
    </w:p>
    <w:p w14:paraId="005C402A" w14:textId="05EC2DBA" w:rsidR="00F15C8F" w:rsidRDefault="261EC25A" w:rsidP="005C14A5">
      <w:pPr>
        <w:pStyle w:val="Paragrdouble"/>
        <w:numPr>
          <w:ilvl w:val="0"/>
          <w:numId w:val="4"/>
        </w:numPr>
        <w:spacing w:line="240" w:lineRule="auto"/>
      </w:pPr>
      <w:r>
        <w:t>A</w:t>
      </w:r>
      <w:r w:rsidR="00030E97">
        <w:t>insi,</w:t>
      </w:r>
      <w:r w:rsidR="00A112CF">
        <w:t xml:space="preserve"> jusqu’au printemps 2021, la </w:t>
      </w:r>
      <w:r w:rsidR="0035489D">
        <w:t>V</w:t>
      </w:r>
      <w:r w:rsidR="00A112CF">
        <w:t>ille fournit des réponses à toutes les questions posées</w:t>
      </w:r>
      <w:r w:rsidR="00553926">
        <w:rPr>
          <w:rStyle w:val="Appelnotedebasdep"/>
        </w:rPr>
        <w:footnoteReference w:id="66"/>
      </w:r>
      <w:r w:rsidR="00137E3C">
        <w:t xml:space="preserve"> et souscrit à </w:t>
      </w:r>
      <w:r w:rsidR="0046183B">
        <w:t>24</w:t>
      </w:r>
      <w:r w:rsidR="00137E3C">
        <w:t xml:space="preserve"> engagements</w:t>
      </w:r>
      <w:r w:rsidR="00C0666D">
        <w:t xml:space="preserve"> soulevés par le rapport</w:t>
      </w:r>
      <w:r w:rsidR="001B034C">
        <w:t>, allant des installations sanitaires dans les principaux pôles d’échange</w:t>
      </w:r>
      <w:r w:rsidR="00E63C70">
        <w:t xml:space="preserve"> jusqu’à la coupe d’arbres</w:t>
      </w:r>
      <w:r w:rsidR="008B681C">
        <w:t xml:space="preserve"> en passant</w:t>
      </w:r>
      <w:r w:rsidR="00F15C8F">
        <w:t xml:space="preserve"> par la diminution de la vitesse de circulation sur certains axes</w:t>
      </w:r>
      <w:r w:rsidR="00EA177F">
        <w:t>. En fait, ces engagements de la Ville devien</w:t>
      </w:r>
      <w:r w:rsidR="00EA6ACE">
        <w:t>dro</w:t>
      </w:r>
      <w:r w:rsidR="00EA177F">
        <w:t xml:space="preserve">nt des conditions </w:t>
      </w:r>
      <w:r w:rsidR="00EA6ACE">
        <w:t>contenues au décret d’avril 2022</w:t>
      </w:r>
      <w:r w:rsidR="0DA9BCFB">
        <w:t>.</w:t>
      </w:r>
    </w:p>
    <w:p w14:paraId="0F1198DE" w14:textId="50A2F377" w:rsidR="00C0666D" w:rsidRDefault="04E1D9FD" w:rsidP="005C14A5">
      <w:pPr>
        <w:pStyle w:val="Paragrdouble"/>
        <w:numPr>
          <w:ilvl w:val="0"/>
          <w:numId w:val="4"/>
        </w:numPr>
        <w:spacing w:line="240" w:lineRule="auto"/>
      </w:pPr>
      <w:r>
        <w:t>Le</w:t>
      </w:r>
      <w:r w:rsidR="006D0857">
        <w:t xml:space="preserve"> 6 avril 2021, la Ville </w:t>
      </w:r>
      <w:r w:rsidR="00043A97">
        <w:t xml:space="preserve">modifie le tracé en retirant le terminus de Charlesbourg </w:t>
      </w:r>
      <w:r w:rsidR="002206A7">
        <w:t>en faveur du</w:t>
      </w:r>
      <w:r w:rsidR="00043A97">
        <w:t xml:space="preserve"> terminus d’Estimauville</w:t>
      </w:r>
      <w:r w:rsidR="0012007B">
        <w:rPr>
          <w:rStyle w:val="Appelnotedebasdep"/>
        </w:rPr>
        <w:footnoteReference w:id="67"/>
      </w:r>
      <w:r w:rsidR="09EE5161" w:rsidRPr="4FD1AEB1">
        <w:rPr>
          <w:rStyle w:val="Appelnotedebasdep"/>
        </w:rPr>
        <w:t>.</w:t>
      </w:r>
    </w:p>
    <w:p w14:paraId="28884E40" w14:textId="6C33B178" w:rsidR="000754FE" w:rsidRDefault="09D16174" w:rsidP="005C14A5">
      <w:pPr>
        <w:pStyle w:val="Paragrdouble"/>
        <w:numPr>
          <w:ilvl w:val="0"/>
          <w:numId w:val="4"/>
        </w:numPr>
        <w:spacing w:line="240" w:lineRule="auto"/>
      </w:pPr>
      <w:r>
        <w:t>S</w:t>
      </w:r>
      <w:r w:rsidR="006A73B2">
        <w:t xml:space="preserve">i l’on fait fi de certains avis du </w:t>
      </w:r>
      <w:r w:rsidR="00540932">
        <w:t>BAPE</w:t>
      </w:r>
      <w:r w:rsidR="006A73B2">
        <w:t xml:space="preserve"> identifié</w:t>
      </w:r>
      <w:r w:rsidR="22FB2997">
        <w:t>s</w:t>
      </w:r>
      <w:r w:rsidR="006A73B2">
        <w:t xml:space="preserve"> comme étant « hors mandat »</w:t>
      </w:r>
      <w:r w:rsidR="00FB3D5E">
        <w:t xml:space="preserve"> par le ministère</w:t>
      </w:r>
      <w:r w:rsidR="000F2ECB">
        <w:rPr>
          <w:rStyle w:val="Appelnotedebasdep"/>
        </w:rPr>
        <w:footnoteReference w:id="68"/>
      </w:r>
      <w:r w:rsidR="000754FE">
        <w:t xml:space="preserve">, la Ville répond à toutes les exigences ou commentaires formulés dans le rapport du </w:t>
      </w:r>
      <w:r w:rsidR="00F36BFB">
        <w:t>5</w:t>
      </w:r>
      <w:r w:rsidR="000754FE">
        <w:t xml:space="preserve"> novembre 2020</w:t>
      </w:r>
      <w:r w:rsidR="481232B7">
        <w:t>.</w:t>
      </w:r>
    </w:p>
    <w:p w14:paraId="3CD149DC" w14:textId="39725481" w:rsidR="00D95B3B" w:rsidRDefault="61879BEB" w:rsidP="005C14A5">
      <w:pPr>
        <w:pStyle w:val="Paragrdouble"/>
        <w:numPr>
          <w:ilvl w:val="0"/>
          <w:numId w:val="4"/>
        </w:numPr>
        <w:spacing w:line="240" w:lineRule="auto"/>
      </w:pPr>
      <w:r>
        <w:t>À</w:t>
      </w:r>
      <w:r w:rsidR="00F36BFB">
        <w:t xml:space="preserve"> la lumière</w:t>
      </w:r>
      <w:r w:rsidR="008A7F6D">
        <w:t xml:space="preserve"> de ce qui précède, le ministre formule sa recommandation au </w:t>
      </w:r>
      <w:r w:rsidR="008B331B">
        <w:t>C</w:t>
      </w:r>
      <w:r w:rsidR="008A7F6D">
        <w:t>onseil des ministres, conformément à l’article 31.5 LQE</w:t>
      </w:r>
      <w:r w:rsidR="7631ADCD">
        <w:t>.</w:t>
      </w:r>
    </w:p>
    <w:p w14:paraId="45A176D4" w14:textId="60B8BFE3" w:rsidR="008A7F6D" w:rsidRPr="00D95B3B" w:rsidRDefault="58EED945" w:rsidP="005C14A5">
      <w:pPr>
        <w:pStyle w:val="Paragrdouble"/>
        <w:numPr>
          <w:ilvl w:val="0"/>
          <w:numId w:val="4"/>
        </w:numPr>
        <w:spacing w:line="240" w:lineRule="auto"/>
      </w:pPr>
      <w:r>
        <w:t>L</w:t>
      </w:r>
      <w:r w:rsidR="003456BC">
        <w:t>e 6 avril 2022, le décret 655-2022</w:t>
      </w:r>
      <w:r w:rsidR="00EA693D">
        <w:t xml:space="preserve"> est adopté par le Conseil des ministres, faisant ainsi référence</w:t>
      </w:r>
      <w:r w:rsidR="00F306CD">
        <w:t xml:space="preserve"> à tous les engagements souscrits par la </w:t>
      </w:r>
      <w:r w:rsidR="006F2453">
        <w:t>Ville</w:t>
      </w:r>
      <w:r w:rsidR="00F306CD">
        <w:t>, lequel décret intègre, par référence,</w:t>
      </w:r>
      <w:r w:rsidR="00DD55D6">
        <w:t xml:space="preserve"> ce</w:t>
      </w:r>
      <w:r w:rsidR="0073087F">
        <w:t>ux</w:t>
      </w:r>
      <w:r w:rsidR="00DD55D6">
        <w:t xml:space="preserve"> contenu</w:t>
      </w:r>
      <w:r w:rsidR="0073087F">
        <w:t>s</w:t>
      </w:r>
      <w:r w:rsidR="00DD55D6">
        <w:t xml:space="preserve"> dans pas moins de 6000 pages.</w:t>
      </w:r>
    </w:p>
    <w:p w14:paraId="4E67B7F3" w14:textId="2AA64AF9" w:rsidR="004923A9" w:rsidRDefault="00324C06" w:rsidP="00C23572">
      <w:pPr>
        <w:pStyle w:val="Paragrdouble"/>
        <w:spacing w:line="240" w:lineRule="auto"/>
      </w:pPr>
      <w:r>
        <w:t>Bref,</w:t>
      </w:r>
      <w:r w:rsidR="00FD75A5">
        <w:t xml:space="preserve"> avant la tenue de la consultation, le ministre avait posé des questions à la </w:t>
      </w:r>
      <w:r w:rsidR="006F2453">
        <w:t>Ville</w:t>
      </w:r>
      <w:r w:rsidR="00FD75A5">
        <w:t xml:space="preserve">. À la suite de la publication du rapport, le ministre a exigé des engagements de la part de la </w:t>
      </w:r>
      <w:r w:rsidR="005222B5">
        <w:t>V</w:t>
      </w:r>
      <w:r w:rsidR="00FD75A5">
        <w:t>ille</w:t>
      </w:r>
      <w:r w:rsidR="006F59CF">
        <w:t xml:space="preserve"> et les a obtenus</w:t>
      </w:r>
      <w:r w:rsidR="00A6040B">
        <w:t>.</w:t>
      </w:r>
      <w:r w:rsidR="00927E17">
        <w:t xml:space="preserve"> Dans ce dialogue Gouvernement-Ville, signalons que la modification du tracé du tramway dans sa section </w:t>
      </w:r>
      <w:r w:rsidR="452E3780">
        <w:t>e</w:t>
      </w:r>
      <w:r w:rsidR="00927E17">
        <w:t xml:space="preserve">st </w:t>
      </w:r>
      <w:r w:rsidR="008F23E4">
        <w:t xml:space="preserve">permet, de l’avis de Madame Rail, « </w:t>
      </w:r>
      <w:r w:rsidR="00FE162A">
        <w:t>de mieux répondre à la demande anticipée »</w:t>
      </w:r>
      <w:r w:rsidR="00FE162A">
        <w:rPr>
          <w:rStyle w:val="Appelnotedebasdep"/>
        </w:rPr>
        <w:footnoteReference w:id="69"/>
      </w:r>
      <w:r w:rsidR="00FE162A">
        <w:t>.</w:t>
      </w:r>
    </w:p>
    <w:p w14:paraId="44B0E570" w14:textId="4F56329F" w:rsidR="006623EA" w:rsidRDefault="00120EBA" w:rsidP="00C23572">
      <w:pPr>
        <w:pStyle w:val="Paragrdouble"/>
        <w:spacing w:line="240" w:lineRule="auto"/>
      </w:pPr>
      <w:r>
        <w:lastRenderedPageBreak/>
        <w:t>Que doit-on retenir de toute cette preuve soutenue par des déclarations sous serment et de</w:t>
      </w:r>
      <w:r w:rsidR="008B6EAB">
        <w:t>s</w:t>
      </w:r>
      <w:r>
        <w:t xml:space="preserve"> nombreux documents annex</w:t>
      </w:r>
      <w:r w:rsidR="5A614EAB">
        <w:t>é</w:t>
      </w:r>
      <w:r>
        <w:t>s ?</w:t>
      </w:r>
    </w:p>
    <w:p w14:paraId="75E0A464" w14:textId="1BB56C26" w:rsidR="00C32784" w:rsidRDefault="00955058" w:rsidP="00C23572">
      <w:pPr>
        <w:pStyle w:val="Paragrdouble"/>
        <w:spacing w:line="240" w:lineRule="auto"/>
      </w:pPr>
      <w:r w:rsidRPr="00955058">
        <w:rPr>
          <w:i/>
          <w:iCs/>
        </w:rPr>
        <w:t>Le choix du tramway et de son tracé</w:t>
      </w:r>
      <w:r>
        <w:t>.</w:t>
      </w:r>
      <w:r w:rsidR="0033050F">
        <w:t xml:space="preserve"> Les questions les plus cruciales ont trait au choix du mode de transport et de son tracé.</w:t>
      </w:r>
      <w:r w:rsidR="005F6A24">
        <w:t xml:space="preserve"> Les demandeurs sont d’avis qu</w:t>
      </w:r>
      <w:r w:rsidR="00011BE3">
        <w:t>’à cet égard, l</w:t>
      </w:r>
      <w:r w:rsidR="005F6A24">
        <w:t>e BAPE « émet des constat</w:t>
      </w:r>
      <w:r w:rsidR="0062077F">
        <w:t>s</w:t>
      </w:r>
      <w:r w:rsidR="005F6A24">
        <w:t xml:space="preserve"> troublant</w:t>
      </w:r>
      <w:r w:rsidR="0062077F">
        <w:t>s</w:t>
      </w:r>
      <w:r w:rsidR="005F6A24">
        <w:t xml:space="preserve"> relativement à la prétendue participation citoyenne invoquée par la ville défenderesse pour échapper à l’approbation référendaire</w:t>
      </w:r>
      <w:r w:rsidR="00011BE3">
        <w:t> </w:t>
      </w:r>
      <w:r w:rsidR="005F6A24">
        <w:t>»</w:t>
      </w:r>
      <w:r w:rsidR="005F6A24">
        <w:rPr>
          <w:rStyle w:val="Appelnotedebasdep"/>
        </w:rPr>
        <w:footnoteReference w:id="70"/>
      </w:r>
      <w:r w:rsidR="005F6A24">
        <w:t>.</w:t>
      </w:r>
    </w:p>
    <w:p w14:paraId="3A71CED6" w14:textId="0A465CED" w:rsidR="00043D10" w:rsidRDefault="009313A9" w:rsidP="00C9029B">
      <w:pPr>
        <w:pStyle w:val="Paragrdouble"/>
        <w:spacing w:line="240" w:lineRule="auto"/>
      </w:pPr>
      <w:r>
        <w:t>Avec respect, il ne faut pas qualifier de « troublant »</w:t>
      </w:r>
      <w:r w:rsidR="00F433A2">
        <w:t xml:space="preserve"> ce que le BAPE a constaté.</w:t>
      </w:r>
      <w:r w:rsidR="00C9029B">
        <w:t xml:space="preserve"> À la l</w:t>
      </w:r>
      <w:r w:rsidR="00F433A2">
        <w:t>umière de la preuve documentaire dont le Tribunal dispose</w:t>
      </w:r>
      <w:r w:rsidR="00C9029B">
        <w:t>, le choix</w:t>
      </w:r>
      <w:r w:rsidR="00F30047">
        <w:t xml:space="preserve"> </w:t>
      </w:r>
      <w:r w:rsidR="00DD71A8">
        <w:t>préféré par la population quant a</w:t>
      </w:r>
      <w:r w:rsidR="00F30047">
        <w:t xml:space="preserve">u mode de transport par tramway semble l’emporter sur le système rapide par bus </w:t>
      </w:r>
      <w:r w:rsidR="00D7592A">
        <w:t>mais</w:t>
      </w:r>
      <w:r w:rsidR="00F30047">
        <w:t xml:space="preserve">, quant au tracé, il faisait </w:t>
      </w:r>
      <w:r w:rsidR="00C95D4E">
        <w:t>moins l’objet d’un consensus</w:t>
      </w:r>
      <w:r w:rsidR="00B045D6">
        <w:t xml:space="preserve">. </w:t>
      </w:r>
      <w:r w:rsidR="00D7592A">
        <w:t>Rappelons qu’</w:t>
      </w:r>
      <w:r w:rsidR="00C95D4E">
        <w:t>il n’appartient pas au Tribunal de faire les choix au nom des élus.</w:t>
      </w:r>
      <w:r w:rsidR="000D2F4B">
        <w:t xml:space="preserve"> Rappelons-le pour la nième fois : </w:t>
      </w:r>
      <w:r w:rsidR="00BE34C7">
        <w:t>le Tribunal doit seulement s’assurer que la décision est légale</w:t>
      </w:r>
      <w:r w:rsidR="2B7F1354">
        <w:t>, il n’est pas question de contrôler l’opportunité de la décision.</w:t>
      </w:r>
    </w:p>
    <w:p w14:paraId="6FF0B5C2" w14:textId="4273C568" w:rsidR="00FA51D4" w:rsidRDefault="006B12E4" w:rsidP="00C23572">
      <w:pPr>
        <w:pStyle w:val="Paragrdouble"/>
        <w:spacing w:line="240" w:lineRule="auto"/>
      </w:pPr>
      <w:r w:rsidRPr="006B12E4">
        <w:rPr>
          <w:i/>
          <w:iCs/>
        </w:rPr>
        <w:t>Les consultations de la Ville</w:t>
      </w:r>
      <w:r>
        <w:t xml:space="preserve">. </w:t>
      </w:r>
      <w:r w:rsidR="00D154A5">
        <w:t>Les demandeurs font grand état de l’absence de consultation de la population.</w:t>
      </w:r>
      <w:r w:rsidR="005500DB">
        <w:t xml:space="preserve"> </w:t>
      </w:r>
      <w:r w:rsidR="00501B3A">
        <w:t>L</w:t>
      </w:r>
      <w:r w:rsidR="005500DB">
        <w:t>’ensemble de la preuve incluant le cheminement du dossier du transport structurant à Québec depuis une vingtaine d’années</w:t>
      </w:r>
      <w:r w:rsidR="00F17F30">
        <w:t xml:space="preserve"> démontre plutôt le contraire</w:t>
      </w:r>
      <w:r w:rsidR="00904980">
        <w:t>.</w:t>
      </w:r>
      <w:r w:rsidR="00522D84">
        <w:t xml:space="preserve"> Un grand nombre de consultations ont eu lieu au fil des années</w:t>
      </w:r>
      <w:r w:rsidR="000B0954">
        <w:t xml:space="preserve"> et le tramway est souvent revenu sur la sellette</w:t>
      </w:r>
      <w:r w:rsidR="00501B3A">
        <w:t>.</w:t>
      </w:r>
      <w:r w:rsidR="00F17F30">
        <w:t xml:space="preserve"> </w:t>
      </w:r>
    </w:p>
    <w:p w14:paraId="41E2D00A" w14:textId="76473635" w:rsidR="00BF6C41" w:rsidRDefault="00F17F30" w:rsidP="00C23572">
      <w:pPr>
        <w:pStyle w:val="Paragrdouble"/>
        <w:spacing w:line="240" w:lineRule="auto"/>
      </w:pPr>
      <w:r>
        <w:t>Il est vrai toutefois</w:t>
      </w:r>
      <w:r w:rsidR="00876160">
        <w:t xml:space="preserve"> que les séances tenues au cours des deux dernières années ont peut-être pri</w:t>
      </w:r>
      <w:r w:rsidR="00C8744D">
        <w:t>s</w:t>
      </w:r>
      <w:r w:rsidR="00876160">
        <w:t xml:space="preserve"> la forme de soirées d’information</w:t>
      </w:r>
      <w:r w:rsidR="0048250D">
        <w:rPr>
          <w:rStyle w:val="Appelnotedebasdep"/>
        </w:rPr>
        <w:footnoteReference w:id="71"/>
      </w:r>
      <w:r w:rsidR="00A23285">
        <w:t xml:space="preserve"> puisque, dès le printemps 2018, le choix du tramway avait été retenu</w:t>
      </w:r>
      <w:r w:rsidR="00C8744D">
        <w:t xml:space="preserve"> et que les consultations portaient davantage sur des questions d’</w:t>
      </w:r>
      <w:r w:rsidR="00B65B03">
        <w:t>intégration urbaine</w:t>
      </w:r>
      <w:r w:rsidR="005E6558">
        <w:rPr>
          <w:rStyle w:val="Appelnotedebasdep"/>
        </w:rPr>
        <w:footnoteReference w:id="72"/>
      </w:r>
      <w:r w:rsidR="00D71393">
        <w:t>.</w:t>
      </w:r>
      <w:r w:rsidR="00082BC5">
        <w:t xml:space="preserve"> Les demandeurs semblent s’être intéressés au dossier du tramway quand le train avait quitté la gare. </w:t>
      </w:r>
    </w:p>
    <w:p w14:paraId="7FE1E499" w14:textId="244625EC" w:rsidR="005B0DDC" w:rsidRDefault="006C480D" w:rsidP="00C23572">
      <w:pPr>
        <w:pStyle w:val="Paragrdouble"/>
        <w:spacing w:line="240" w:lineRule="auto"/>
      </w:pPr>
      <w:r w:rsidRPr="4FD1AEB1">
        <w:rPr>
          <w:i/>
          <w:iCs/>
        </w:rPr>
        <w:t>Les solutions alternatives</w:t>
      </w:r>
      <w:r>
        <w:t xml:space="preserve">. </w:t>
      </w:r>
      <w:r w:rsidR="00864E78">
        <w:t>L’une des plus importantes critiques</w:t>
      </w:r>
      <w:r w:rsidR="00B651B6">
        <w:t xml:space="preserve"> formulées par les demandeurs a trait au fait que la Ville aurait trop rapidement conclu que le mode de transport structurant nécessaire</w:t>
      </w:r>
      <w:r w:rsidR="005B0DDC">
        <w:t xml:space="preserve"> était le tramway.</w:t>
      </w:r>
    </w:p>
    <w:p w14:paraId="7A726116" w14:textId="3023EF90" w:rsidR="00BF3B34" w:rsidRDefault="000E11E7" w:rsidP="005222B5">
      <w:pPr>
        <w:pStyle w:val="Paragrdouble"/>
        <w:spacing w:line="240" w:lineRule="auto"/>
      </w:pPr>
      <w:r>
        <w:t>En réponse à cette critique, la déclaration sous serment</w:t>
      </w:r>
      <w:r w:rsidR="00DF441D">
        <w:t xml:space="preserve"> de Monsieur Mathieu Grondin, directeur général à la </w:t>
      </w:r>
      <w:r w:rsidR="3934DC43">
        <w:t>D</w:t>
      </w:r>
      <w:r w:rsidR="00DF441D">
        <w:t xml:space="preserve">irection générale de la </w:t>
      </w:r>
      <w:r w:rsidR="38880B5B">
        <w:t>C</w:t>
      </w:r>
      <w:r w:rsidR="00DF441D">
        <w:t>apitale et de l’</w:t>
      </w:r>
      <w:r w:rsidR="357970A9">
        <w:t>e</w:t>
      </w:r>
      <w:r w:rsidR="00DF441D">
        <w:t xml:space="preserve">st du Québec au ministère des </w:t>
      </w:r>
      <w:r w:rsidR="533A16E0">
        <w:t>T</w:t>
      </w:r>
      <w:r w:rsidR="00DF441D">
        <w:t>ransports</w:t>
      </w:r>
      <w:r w:rsidR="00080A54">
        <w:t>,</w:t>
      </w:r>
      <w:r w:rsidR="006735F4">
        <w:t xml:space="preserve"> s’ajoutant </w:t>
      </w:r>
      <w:r w:rsidR="00756D84">
        <w:t xml:space="preserve">à celle de Monsieur Benoît Carrier de la </w:t>
      </w:r>
      <w:r w:rsidR="006F2453">
        <w:t>Ville</w:t>
      </w:r>
      <w:r w:rsidR="00756D84">
        <w:t xml:space="preserve"> de Québec</w:t>
      </w:r>
      <w:r w:rsidR="006735F4">
        <w:t>, permet de comprendre le processus gouvernemental</w:t>
      </w:r>
      <w:r w:rsidR="00F553FB">
        <w:t xml:space="preserve"> :</w:t>
      </w:r>
    </w:p>
    <w:p w14:paraId="110380BB" w14:textId="77777777" w:rsidR="00BF3B34" w:rsidRPr="00BF3B34" w:rsidRDefault="00BF3B34" w:rsidP="00BF3B34">
      <w:pPr>
        <w:pStyle w:val="Paragraphe"/>
        <w:tabs>
          <w:tab w:val="clear" w:pos="1636"/>
          <w:tab w:val="left" w:pos="709"/>
        </w:tabs>
        <w:spacing w:line="240" w:lineRule="auto"/>
        <w:ind w:left="708" w:right="610"/>
        <w:rPr>
          <w:sz w:val="22"/>
          <w:szCs w:val="18"/>
          <w:lang w:eastAsia="fr-CA"/>
        </w:rPr>
      </w:pPr>
      <w:r w:rsidRPr="00BF3B34">
        <w:rPr>
          <w:sz w:val="22"/>
          <w:szCs w:val="18"/>
          <w:lang w:eastAsia="fr-CA"/>
        </w:rPr>
        <w:t xml:space="preserve">19. À cet effet, </w:t>
      </w:r>
      <w:r w:rsidRPr="005A1A07">
        <w:rPr>
          <w:sz w:val="22"/>
          <w:szCs w:val="18"/>
          <w:u w:val="single"/>
          <w:lang w:eastAsia="fr-CA"/>
        </w:rPr>
        <w:t>le MTQ a fait appel à des firmes externes</w:t>
      </w:r>
      <w:r w:rsidRPr="00BF3B34">
        <w:rPr>
          <w:sz w:val="22"/>
          <w:szCs w:val="18"/>
          <w:lang w:eastAsia="fr-CA"/>
        </w:rPr>
        <w:t xml:space="preserve">, dont l’expertise est reconnue, et ce, </w:t>
      </w:r>
      <w:r w:rsidRPr="005A1A07">
        <w:rPr>
          <w:sz w:val="22"/>
          <w:szCs w:val="18"/>
          <w:u w:val="single"/>
          <w:lang w:eastAsia="fr-CA"/>
        </w:rPr>
        <w:t>afin d’obtenir leur avis à l’égard</w:t>
      </w:r>
      <w:r w:rsidRPr="00BF3B34">
        <w:rPr>
          <w:sz w:val="22"/>
          <w:szCs w:val="18"/>
          <w:lang w:eastAsia="fr-CA"/>
        </w:rPr>
        <w:t xml:space="preserve"> de différents éléments d’importance </w:t>
      </w:r>
      <w:r w:rsidRPr="005A1A07">
        <w:rPr>
          <w:sz w:val="22"/>
          <w:szCs w:val="18"/>
          <w:lang w:eastAsia="fr-CA"/>
        </w:rPr>
        <w:t>tels que</w:t>
      </w:r>
      <w:r w:rsidRPr="005A1A07">
        <w:rPr>
          <w:sz w:val="22"/>
          <w:szCs w:val="18"/>
          <w:u w:val="single"/>
          <w:lang w:eastAsia="fr-CA"/>
        </w:rPr>
        <w:t xml:space="preserve"> le choix du mode de transport</w:t>
      </w:r>
      <w:r w:rsidRPr="00BF3B34">
        <w:rPr>
          <w:sz w:val="22"/>
          <w:szCs w:val="18"/>
          <w:lang w:eastAsia="fr-CA"/>
        </w:rPr>
        <w:t xml:space="preserve">, l’achalandage, ainsi que la desserte des banlieues; </w:t>
      </w:r>
    </w:p>
    <w:p w14:paraId="0C63ED67" w14:textId="0EBC3056" w:rsidR="004C5CC4" w:rsidRPr="00EE08C4" w:rsidRDefault="00BF3B34" w:rsidP="00EE08C4">
      <w:pPr>
        <w:pStyle w:val="Paragraphe"/>
        <w:tabs>
          <w:tab w:val="clear" w:pos="1636"/>
          <w:tab w:val="left" w:pos="709"/>
        </w:tabs>
        <w:spacing w:line="240" w:lineRule="auto"/>
        <w:ind w:left="708" w:right="610"/>
        <w:rPr>
          <w:sz w:val="22"/>
          <w:szCs w:val="18"/>
          <w:lang w:eastAsia="fr-CA"/>
        </w:rPr>
      </w:pPr>
      <w:r w:rsidRPr="00BF3B34">
        <w:rPr>
          <w:sz w:val="22"/>
          <w:szCs w:val="18"/>
          <w:lang w:eastAsia="fr-CA"/>
        </w:rPr>
        <w:lastRenderedPageBreak/>
        <w:t xml:space="preserve">20. </w:t>
      </w:r>
      <w:r w:rsidRPr="00305750">
        <w:rPr>
          <w:sz w:val="22"/>
          <w:szCs w:val="18"/>
          <w:u w:val="single"/>
          <w:lang w:eastAsia="fr-CA"/>
        </w:rPr>
        <w:t>La firme française Ingérop</w:t>
      </w:r>
      <w:r w:rsidRPr="00BF3B34">
        <w:rPr>
          <w:sz w:val="22"/>
          <w:szCs w:val="18"/>
          <w:lang w:eastAsia="fr-CA"/>
        </w:rPr>
        <w:t xml:space="preserve">, spécialisée dans le domaine des transports urbains tous modes confondus, </w:t>
      </w:r>
      <w:r w:rsidRPr="00305750">
        <w:rPr>
          <w:sz w:val="22"/>
          <w:szCs w:val="18"/>
          <w:u w:val="single"/>
          <w:lang w:eastAsia="fr-CA"/>
        </w:rPr>
        <w:t>a été mandatée par le MTQ pour étudier</w:t>
      </w:r>
      <w:r w:rsidRPr="00BF3B34">
        <w:rPr>
          <w:sz w:val="22"/>
          <w:szCs w:val="18"/>
          <w:lang w:eastAsia="fr-CA"/>
        </w:rPr>
        <w:t xml:space="preserve"> notamment les aspects de vibration et </w:t>
      </w:r>
      <w:r w:rsidRPr="00305750">
        <w:rPr>
          <w:sz w:val="22"/>
          <w:szCs w:val="18"/>
          <w:u w:val="single"/>
          <w:lang w:eastAsia="fr-CA"/>
        </w:rPr>
        <w:t>de mode de transport</w:t>
      </w:r>
      <w:r w:rsidRPr="00BF3B34">
        <w:rPr>
          <w:sz w:val="22"/>
          <w:szCs w:val="18"/>
          <w:lang w:eastAsia="fr-CA"/>
        </w:rPr>
        <w:t xml:space="preserve">; </w:t>
      </w:r>
    </w:p>
    <w:p w14:paraId="70973453" w14:textId="77777777" w:rsidR="004C5CC4" w:rsidRPr="004C5CC4" w:rsidRDefault="004C5CC4" w:rsidP="004C5CC4">
      <w:pPr>
        <w:pStyle w:val="Paragraphe"/>
        <w:tabs>
          <w:tab w:val="clear" w:pos="1636"/>
          <w:tab w:val="left" w:pos="709"/>
        </w:tabs>
        <w:spacing w:line="240" w:lineRule="auto"/>
        <w:ind w:left="708" w:right="610"/>
        <w:rPr>
          <w:sz w:val="22"/>
          <w:szCs w:val="18"/>
          <w:lang w:eastAsia="fr-CA"/>
        </w:rPr>
      </w:pPr>
      <w:r w:rsidRPr="004C5CC4">
        <w:rPr>
          <w:sz w:val="22"/>
          <w:szCs w:val="18"/>
          <w:lang w:eastAsia="fr-CA"/>
        </w:rPr>
        <w:t xml:space="preserve">21. Dans les avis techniques produits en juillet 2020 (en liasse sous PGQ-21), avant l’audience du BAPE, </w:t>
      </w:r>
      <w:r w:rsidRPr="00EE08C4">
        <w:rPr>
          <w:sz w:val="22"/>
          <w:szCs w:val="18"/>
          <w:u w:val="single"/>
          <w:lang w:eastAsia="fr-CA"/>
        </w:rPr>
        <w:t>Ingérop confirme notamment</w:t>
      </w:r>
      <w:r w:rsidRPr="004C5CC4">
        <w:rPr>
          <w:sz w:val="22"/>
          <w:szCs w:val="18"/>
          <w:lang w:eastAsia="fr-CA"/>
        </w:rPr>
        <w:t xml:space="preserve"> : </w:t>
      </w:r>
    </w:p>
    <w:p w14:paraId="73BF3EEC" w14:textId="77777777" w:rsidR="004C5CC4" w:rsidRPr="004C5CC4" w:rsidRDefault="004C5CC4" w:rsidP="004C5CC4">
      <w:pPr>
        <w:pStyle w:val="Paragraphe"/>
        <w:tabs>
          <w:tab w:val="clear" w:pos="1636"/>
          <w:tab w:val="left" w:pos="709"/>
        </w:tabs>
        <w:spacing w:line="240" w:lineRule="auto"/>
        <w:ind w:left="708" w:right="610"/>
        <w:rPr>
          <w:sz w:val="22"/>
          <w:szCs w:val="18"/>
          <w:lang w:eastAsia="fr-CA"/>
        </w:rPr>
      </w:pPr>
      <w:r w:rsidRPr="004C5CC4">
        <w:rPr>
          <w:sz w:val="22"/>
          <w:szCs w:val="18"/>
          <w:lang w:eastAsia="fr-CA"/>
        </w:rPr>
        <w:t xml:space="preserve">- </w:t>
      </w:r>
      <w:r w:rsidRPr="00EE08C4">
        <w:rPr>
          <w:sz w:val="22"/>
          <w:szCs w:val="18"/>
          <w:u w:val="single"/>
          <w:lang w:eastAsia="fr-CA"/>
        </w:rPr>
        <w:t>que les analyses menées par SYSTRA et confirmées par le HEC Montréal quant aux modes de transport sélectionnés sont de bonne qualité</w:t>
      </w:r>
      <w:r w:rsidRPr="004C5CC4">
        <w:rPr>
          <w:sz w:val="22"/>
          <w:szCs w:val="18"/>
          <w:lang w:eastAsia="fr-CA"/>
        </w:rPr>
        <w:t xml:space="preserve">; </w:t>
      </w:r>
    </w:p>
    <w:p w14:paraId="0ADDDDCC" w14:textId="3A2D5F9E" w:rsidR="004C5CC4" w:rsidRPr="004C5CC4" w:rsidRDefault="004C5CC4" w:rsidP="004C5CC4">
      <w:pPr>
        <w:pStyle w:val="Paragraphe"/>
        <w:tabs>
          <w:tab w:val="clear" w:pos="1636"/>
          <w:tab w:val="left" w:pos="709"/>
        </w:tabs>
        <w:spacing w:line="240" w:lineRule="auto"/>
        <w:ind w:left="708" w:right="610"/>
        <w:rPr>
          <w:sz w:val="22"/>
          <w:szCs w:val="18"/>
          <w:lang w:eastAsia="fr-CA"/>
        </w:rPr>
      </w:pPr>
      <w:r w:rsidRPr="004C5CC4">
        <w:rPr>
          <w:sz w:val="22"/>
          <w:szCs w:val="18"/>
          <w:lang w:eastAsia="fr-CA"/>
        </w:rPr>
        <w:t xml:space="preserve">- </w:t>
      </w:r>
      <w:r w:rsidRPr="00CB5055">
        <w:rPr>
          <w:sz w:val="22"/>
          <w:szCs w:val="18"/>
          <w:u w:val="single"/>
          <w:lang w:eastAsia="fr-CA"/>
        </w:rPr>
        <w:t>qu’il aurait conclu dans le même sens que les analyses menées par SYSTRA et le HEC Montréal quant aux mode de transport sélectionné</w:t>
      </w:r>
      <w:r w:rsidRPr="004C5CC4">
        <w:rPr>
          <w:sz w:val="22"/>
          <w:szCs w:val="18"/>
          <w:lang w:eastAsia="fr-CA"/>
        </w:rPr>
        <w:t xml:space="preserve">; </w:t>
      </w:r>
    </w:p>
    <w:p w14:paraId="7C928A89" w14:textId="77777777" w:rsidR="004C5CC4" w:rsidRPr="004C5CC4" w:rsidRDefault="004C5CC4" w:rsidP="004C5CC4">
      <w:pPr>
        <w:pStyle w:val="Paragraphe"/>
        <w:tabs>
          <w:tab w:val="clear" w:pos="1636"/>
          <w:tab w:val="left" w:pos="709"/>
        </w:tabs>
        <w:spacing w:line="240" w:lineRule="auto"/>
        <w:ind w:left="708" w:right="610"/>
        <w:rPr>
          <w:sz w:val="22"/>
          <w:szCs w:val="18"/>
          <w:lang w:eastAsia="fr-CA"/>
        </w:rPr>
      </w:pPr>
      <w:r w:rsidRPr="004C5CC4">
        <w:rPr>
          <w:sz w:val="22"/>
          <w:szCs w:val="18"/>
          <w:lang w:eastAsia="fr-CA"/>
        </w:rPr>
        <w:t xml:space="preserve">- que de retenir </w:t>
      </w:r>
      <w:r w:rsidRPr="00692C71">
        <w:rPr>
          <w:sz w:val="22"/>
          <w:szCs w:val="18"/>
          <w:u w:val="single"/>
          <w:lang w:eastAsia="fr-CA"/>
        </w:rPr>
        <w:t xml:space="preserve">le mode SRB, </w:t>
      </w:r>
      <w:r w:rsidRPr="00692C71">
        <w:rPr>
          <w:sz w:val="22"/>
          <w:szCs w:val="18"/>
          <w:lang w:eastAsia="fr-CA"/>
        </w:rPr>
        <w:t>qui</w:t>
      </w:r>
      <w:r w:rsidRPr="00692C71">
        <w:rPr>
          <w:sz w:val="22"/>
          <w:szCs w:val="18"/>
          <w:u w:val="single"/>
          <w:lang w:eastAsia="fr-CA"/>
        </w:rPr>
        <w:t xml:space="preserve"> ne dispose pas de marge de progression de capacité</w:t>
      </w:r>
      <w:r w:rsidRPr="004C5CC4">
        <w:rPr>
          <w:sz w:val="22"/>
          <w:szCs w:val="18"/>
          <w:lang w:eastAsia="fr-CA"/>
        </w:rPr>
        <w:t xml:space="preserve"> par rapport à la demande attendue, serait de s’exposer à ne pas répondre à la croissance future de la demande : ce ne serait pas un choix d’avenir; </w:t>
      </w:r>
    </w:p>
    <w:p w14:paraId="1CD9A926" w14:textId="77777777" w:rsidR="004C5CC4" w:rsidRPr="004C5CC4" w:rsidRDefault="004C5CC4" w:rsidP="004C5CC4">
      <w:pPr>
        <w:pStyle w:val="Paragraphe"/>
        <w:tabs>
          <w:tab w:val="clear" w:pos="1636"/>
          <w:tab w:val="left" w:pos="709"/>
        </w:tabs>
        <w:spacing w:line="240" w:lineRule="auto"/>
        <w:ind w:left="708" w:right="610"/>
        <w:rPr>
          <w:sz w:val="22"/>
          <w:szCs w:val="18"/>
          <w:lang w:eastAsia="fr-CA"/>
        </w:rPr>
      </w:pPr>
      <w:r w:rsidRPr="004C5CC4">
        <w:rPr>
          <w:sz w:val="22"/>
          <w:szCs w:val="18"/>
          <w:lang w:eastAsia="fr-CA"/>
        </w:rPr>
        <w:t xml:space="preserve">- que </w:t>
      </w:r>
      <w:r w:rsidRPr="00692C71">
        <w:rPr>
          <w:sz w:val="22"/>
          <w:szCs w:val="18"/>
          <w:u w:val="single"/>
          <w:lang w:eastAsia="fr-CA"/>
        </w:rPr>
        <w:t>le choix du mode tramway sur l’axe principal est pertinent</w:t>
      </w:r>
      <w:r w:rsidRPr="004C5CC4">
        <w:rPr>
          <w:sz w:val="22"/>
          <w:szCs w:val="18"/>
          <w:lang w:eastAsia="fr-CA"/>
        </w:rPr>
        <w:t xml:space="preserve">; </w:t>
      </w:r>
    </w:p>
    <w:p w14:paraId="653AE88D" w14:textId="77777777" w:rsidR="004C5CC4" w:rsidRPr="004C5CC4" w:rsidRDefault="004C5CC4" w:rsidP="004C5CC4">
      <w:pPr>
        <w:pStyle w:val="Paragraphe"/>
        <w:tabs>
          <w:tab w:val="clear" w:pos="1636"/>
          <w:tab w:val="left" w:pos="709"/>
        </w:tabs>
        <w:spacing w:line="240" w:lineRule="auto"/>
        <w:ind w:left="708" w:right="610"/>
        <w:rPr>
          <w:sz w:val="22"/>
          <w:szCs w:val="18"/>
          <w:lang w:eastAsia="fr-CA"/>
        </w:rPr>
      </w:pPr>
      <w:r w:rsidRPr="004C5CC4">
        <w:rPr>
          <w:sz w:val="22"/>
          <w:szCs w:val="18"/>
          <w:lang w:eastAsia="fr-CA"/>
        </w:rPr>
        <w:t xml:space="preserve">- qu’un métro, léger ou non, coûterait beaucoup plus cher pour atteindre les mêmes objectifs; </w:t>
      </w:r>
    </w:p>
    <w:p w14:paraId="1FF84995" w14:textId="77777777" w:rsidR="004C5CC4" w:rsidRDefault="004C5CC4" w:rsidP="004C5CC4">
      <w:pPr>
        <w:pStyle w:val="Paragraphe"/>
        <w:tabs>
          <w:tab w:val="clear" w:pos="1636"/>
          <w:tab w:val="left" w:pos="709"/>
        </w:tabs>
        <w:spacing w:line="240" w:lineRule="auto"/>
        <w:ind w:left="708" w:right="610"/>
        <w:rPr>
          <w:sz w:val="22"/>
          <w:szCs w:val="18"/>
          <w:lang w:eastAsia="fr-CA"/>
        </w:rPr>
      </w:pPr>
      <w:r w:rsidRPr="004C5CC4">
        <w:rPr>
          <w:sz w:val="22"/>
          <w:szCs w:val="18"/>
          <w:lang w:eastAsia="fr-CA"/>
        </w:rPr>
        <w:t xml:space="preserve">- que les méthodes d’atténuation des vibrations proposées par la Ville lors de l’exploitation répondent aux normes en vigueur dans le monde; </w:t>
      </w:r>
    </w:p>
    <w:p w14:paraId="5C4CA24A" w14:textId="69CFA81C" w:rsidR="00EE08C4" w:rsidRPr="004C5CC4" w:rsidRDefault="00EE08C4" w:rsidP="004C5CC4">
      <w:pPr>
        <w:pStyle w:val="Paragraphe"/>
        <w:tabs>
          <w:tab w:val="clear" w:pos="1636"/>
          <w:tab w:val="left" w:pos="709"/>
        </w:tabs>
        <w:spacing w:line="240" w:lineRule="auto"/>
        <w:ind w:left="708" w:right="610"/>
        <w:rPr>
          <w:sz w:val="22"/>
          <w:szCs w:val="18"/>
          <w:lang w:eastAsia="fr-CA"/>
        </w:rPr>
      </w:pPr>
      <w:r>
        <w:rPr>
          <w:sz w:val="22"/>
          <w:szCs w:val="18"/>
          <w:lang w:eastAsia="fr-CA"/>
        </w:rPr>
        <w:t>(…)</w:t>
      </w:r>
    </w:p>
    <w:p w14:paraId="23205796" w14:textId="77777777" w:rsidR="006452F1" w:rsidRPr="006452F1" w:rsidRDefault="006452F1" w:rsidP="006452F1">
      <w:pPr>
        <w:pStyle w:val="Paragraphe"/>
        <w:tabs>
          <w:tab w:val="clear" w:pos="1636"/>
          <w:tab w:val="left" w:pos="709"/>
        </w:tabs>
        <w:spacing w:line="240" w:lineRule="auto"/>
        <w:ind w:left="708" w:right="610"/>
        <w:rPr>
          <w:sz w:val="22"/>
          <w:szCs w:val="18"/>
          <w:lang w:eastAsia="fr-CA"/>
        </w:rPr>
      </w:pPr>
      <w:r w:rsidRPr="006452F1">
        <w:rPr>
          <w:sz w:val="22"/>
          <w:szCs w:val="18"/>
          <w:lang w:eastAsia="fr-CA"/>
        </w:rPr>
        <w:t xml:space="preserve">31. C’est dans ce contexte que </w:t>
      </w:r>
      <w:r w:rsidRPr="00305750">
        <w:rPr>
          <w:sz w:val="22"/>
          <w:szCs w:val="18"/>
          <w:u w:val="single"/>
          <w:lang w:eastAsia="fr-CA"/>
        </w:rPr>
        <w:t>ma direction a fait part de ses commentaires</w:t>
      </w:r>
      <w:r w:rsidRPr="006452F1">
        <w:rPr>
          <w:sz w:val="22"/>
          <w:szCs w:val="18"/>
          <w:lang w:eastAsia="fr-CA"/>
        </w:rPr>
        <w:t xml:space="preserve"> au MELCC, notamment </w:t>
      </w:r>
      <w:r w:rsidRPr="00305750">
        <w:rPr>
          <w:sz w:val="22"/>
          <w:szCs w:val="18"/>
          <w:u w:val="single"/>
          <w:lang w:eastAsia="fr-CA"/>
        </w:rPr>
        <w:t>sur</w:t>
      </w:r>
      <w:r w:rsidRPr="006452F1">
        <w:rPr>
          <w:sz w:val="22"/>
          <w:szCs w:val="18"/>
          <w:lang w:eastAsia="fr-CA"/>
        </w:rPr>
        <w:t xml:space="preserve"> trois grands thèmes considérés comme importants dans l’évaluation du projet soit </w:t>
      </w:r>
      <w:r w:rsidRPr="00305750">
        <w:rPr>
          <w:sz w:val="22"/>
          <w:szCs w:val="18"/>
          <w:u w:val="single"/>
          <w:lang w:eastAsia="fr-CA"/>
        </w:rPr>
        <w:t>le mode de transport</w:t>
      </w:r>
      <w:r w:rsidRPr="006452F1">
        <w:rPr>
          <w:sz w:val="22"/>
          <w:szCs w:val="18"/>
          <w:lang w:eastAsia="fr-CA"/>
        </w:rPr>
        <w:t xml:space="preserve">, l’achalandage et le tracé; </w:t>
      </w:r>
    </w:p>
    <w:p w14:paraId="2ACCCE4A" w14:textId="77777777" w:rsidR="006452F1" w:rsidRPr="006452F1" w:rsidRDefault="006452F1" w:rsidP="006452F1">
      <w:pPr>
        <w:pStyle w:val="Paragraphe"/>
        <w:tabs>
          <w:tab w:val="clear" w:pos="1636"/>
          <w:tab w:val="left" w:pos="709"/>
        </w:tabs>
        <w:spacing w:line="240" w:lineRule="auto"/>
        <w:ind w:left="708" w:right="610"/>
        <w:rPr>
          <w:sz w:val="22"/>
          <w:szCs w:val="18"/>
          <w:lang w:eastAsia="fr-CA"/>
        </w:rPr>
      </w:pPr>
      <w:r w:rsidRPr="006452F1">
        <w:rPr>
          <w:sz w:val="22"/>
          <w:szCs w:val="18"/>
          <w:lang w:eastAsia="fr-CA"/>
        </w:rPr>
        <w:t xml:space="preserve">32. En plus des analyses effectuées par la Ville, le MTQ a consulté les firmes Ingérop et Civilia, et l’expert Charoud qui confirment la pertinence du mode tramway sur l’axe principal (pièces PGQ-21, P-18B, P-18C); </w:t>
      </w:r>
    </w:p>
    <w:p w14:paraId="0E12BA96" w14:textId="77777777" w:rsidR="006452F1" w:rsidRPr="006452F1" w:rsidRDefault="006452F1" w:rsidP="006452F1">
      <w:pPr>
        <w:pStyle w:val="Paragraphe"/>
        <w:tabs>
          <w:tab w:val="clear" w:pos="1636"/>
          <w:tab w:val="left" w:pos="709"/>
        </w:tabs>
        <w:spacing w:line="240" w:lineRule="auto"/>
        <w:ind w:left="708" w:right="610"/>
        <w:rPr>
          <w:sz w:val="22"/>
          <w:szCs w:val="18"/>
          <w:lang w:eastAsia="fr-CA"/>
        </w:rPr>
      </w:pPr>
      <w:r w:rsidRPr="006452F1">
        <w:rPr>
          <w:sz w:val="22"/>
          <w:szCs w:val="18"/>
          <w:lang w:eastAsia="fr-CA"/>
        </w:rPr>
        <w:t xml:space="preserve">33. </w:t>
      </w:r>
      <w:r w:rsidRPr="00CF0DF1">
        <w:rPr>
          <w:sz w:val="22"/>
          <w:szCs w:val="18"/>
          <w:u w:val="single"/>
          <w:lang w:eastAsia="fr-CA"/>
        </w:rPr>
        <w:t>Malgré les avis du BAPE portant sur l’analyse comparative des modes de transport et l’exclusion du SRB, le MTQ, s’appuyant sur les analyses des experts consultés, a répondu que la Ville avait suffisamment analysé les différents modes et que le choix du mode tramway sur l’axe principal n’était pas remis en question. Une étude supplémentaire n’était donc pas jugée nécessaire;</w:t>
      </w:r>
      <w:r w:rsidRPr="006452F1">
        <w:rPr>
          <w:sz w:val="22"/>
          <w:szCs w:val="18"/>
          <w:lang w:eastAsia="fr-CA"/>
        </w:rPr>
        <w:t xml:space="preserve"> </w:t>
      </w:r>
    </w:p>
    <w:p w14:paraId="7F8CCDD3" w14:textId="6AA309B0" w:rsidR="006452F1" w:rsidRPr="006452F1" w:rsidRDefault="006452F1" w:rsidP="006452F1">
      <w:pPr>
        <w:pStyle w:val="Paragraphe"/>
        <w:tabs>
          <w:tab w:val="clear" w:pos="1636"/>
          <w:tab w:val="left" w:pos="709"/>
        </w:tabs>
        <w:spacing w:line="240" w:lineRule="auto"/>
        <w:ind w:left="708" w:right="610"/>
        <w:rPr>
          <w:sz w:val="22"/>
          <w:szCs w:val="18"/>
          <w:lang w:eastAsia="fr-CA"/>
        </w:rPr>
      </w:pPr>
      <w:r w:rsidRPr="006452F1">
        <w:rPr>
          <w:sz w:val="22"/>
          <w:szCs w:val="18"/>
          <w:lang w:eastAsia="fr-CA"/>
        </w:rPr>
        <w:t>34. Malgré la proposition du BAPE d’analyser davantage l’option de trains légers sur rails pour rejoindre une plus grande clientèle, notamment celle des banlieues, le MTQ a plutôt proposé, dans le cadre du projet du R</w:t>
      </w:r>
      <w:r w:rsidR="004C31B8">
        <w:rPr>
          <w:sz w:val="22"/>
          <w:szCs w:val="18"/>
          <w:lang w:eastAsia="fr-CA"/>
        </w:rPr>
        <w:t>T</w:t>
      </w:r>
      <w:r w:rsidRPr="006452F1">
        <w:rPr>
          <w:sz w:val="22"/>
          <w:szCs w:val="18"/>
          <w:lang w:eastAsia="fr-CA"/>
        </w:rPr>
        <w:t xml:space="preserve">C, la mise en place de voies réservées (pièce PGQ-22); </w:t>
      </w:r>
    </w:p>
    <w:p w14:paraId="57C126D7" w14:textId="77777777" w:rsidR="006452F1" w:rsidRPr="006452F1" w:rsidRDefault="006452F1" w:rsidP="006452F1">
      <w:pPr>
        <w:pStyle w:val="Paragraphe"/>
        <w:tabs>
          <w:tab w:val="clear" w:pos="1636"/>
          <w:tab w:val="left" w:pos="709"/>
        </w:tabs>
        <w:spacing w:line="240" w:lineRule="auto"/>
        <w:ind w:left="708" w:right="610"/>
        <w:rPr>
          <w:sz w:val="22"/>
          <w:szCs w:val="18"/>
          <w:lang w:eastAsia="fr-CA"/>
        </w:rPr>
      </w:pPr>
      <w:r w:rsidRPr="006452F1">
        <w:rPr>
          <w:sz w:val="22"/>
          <w:szCs w:val="18"/>
          <w:lang w:eastAsia="fr-CA"/>
        </w:rPr>
        <w:t xml:space="preserve">35. Malgré les avis du BAPE relatifs à l’achalandage en période de pointe, le MTQ a considéré que l’étude d’achalandage réalisée par la firme Civilia (rapport P-18B), combinée à celles de la Ville, était suffisante et satisfaisante; </w:t>
      </w:r>
    </w:p>
    <w:p w14:paraId="27FBE471" w14:textId="77777777" w:rsidR="006452F1" w:rsidRPr="006452F1" w:rsidRDefault="006452F1" w:rsidP="006452F1">
      <w:pPr>
        <w:pStyle w:val="Paragraphe"/>
        <w:tabs>
          <w:tab w:val="clear" w:pos="1636"/>
          <w:tab w:val="left" w:pos="709"/>
        </w:tabs>
        <w:spacing w:line="240" w:lineRule="auto"/>
        <w:ind w:left="708" w:right="610"/>
        <w:rPr>
          <w:sz w:val="22"/>
          <w:szCs w:val="18"/>
          <w:lang w:eastAsia="fr-CA"/>
        </w:rPr>
      </w:pPr>
      <w:r w:rsidRPr="006452F1">
        <w:rPr>
          <w:sz w:val="22"/>
          <w:szCs w:val="18"/>
          <w:lang w:eastAsia="fr-CA"/>
        </w:rPr>
        <w:lastRenderedPageBreak/>
        <w:t xml:space="preserve">36. </w:t>
      </w:r>
      <w:r w:rsidRPr="00335E2E">
        <w:rPr>
          <w:sz w:val="22"/>
          <w:szCs w:val="18"/>
          <w:u w:val="single"/>
          <w:lang w:eastAsia="fr-CA"/>
        </w:rPr>
        <w:t>De plus, le MTQ s’est appuyé sur l’expert Charoud qui, au moment de la réalisation de son mandat, a pris connaissance des études de la Ville, des contributions des autres experts mobilisés par le projet et par le MTQ</w:t>
      </w:r>
      <w:r w:rsidRPr="006452F1">
        <w:rPr>
          <w:sz w:val="22"/>
          <w:szCs w:val="18"/>
          <w:lang w:eastAsia="fr-CA"/>
        </w:rPr>
        <w:t xml:space="preserve">, ainsi que des échanges dans le cadre de l’audience du BAPE; </w:t>
      </w:r>
    </w:p>
    <w:p w14:paraId="0FCF5DFF" w14:textId="65F47852" w:rsidR="00F553FB" w:rsidRDefault="006452F1" w:rsidP="000219CD">
      <w:pPr>
        <w:pStyle w:val="Paragraphe"/>
        <w:tabs>
          <w:tab w:val="clear" w:pos="1636"/>
          <w:tab w:val="left" w:pos="709"/>
        </w:tabs>
        <w:spacing w:line="240" w:lineRule="auto"/>
        <w:ind w:left="708" w:right="610"/>
        <w:rPr>
          <w:sz w:val="22"/>
          <w:szCs w:val="22"/>
          <w:lang w:eastAsia="fr-CA"/>
        </w:rPr>
      </w:pPr>
      <w:r w:rsidRPr="4FD1AEB1">
        <w:rPr>
          <w:sz w:val="22"/>
          <w:szCs w:val="22"/>
          <w:lang w:eastAsia="fr-CA"/>
        </w:rPr>
        <w:t xml:space="preserve">37. L’expert Charoud a également questionné un certain nombre de variantes de tracé pour justifier de la pertinence de celui-ci. Il conclut que les axes desservis par le tramway et le trambus se rendant à d’Estimauville sont bel et bien les zones ayant la plus grande concentration de déplacements, et que le projet est justifié en regard de sa faisabilité, son calendrier et son coût; </w:t>
      </w:r>
    </w:p>
    <w:p w14:paraId="11E807B9" w14:textId="12E21D95" w:rsidR="00AF671C" w:rsidRPr="000219CD" w:rsidRDefault="00AF671C" w:rsidP="000219CD">
      <w:pPr>
        <w:pStyle w:val="Paragraphe"/>
        <w:tabs>
          <w:tab w:val="clear" w:pos="1636"/>
          <w:tab w:val="left" w:pos="709"/>
        </w:tabs>
        <w:spacing w:line="240" w:lineRule="auto"/>
        <w:ind w:left="708" w:right="610"/>
        <w:rPr>
          <w:sz w:val="22"/>
          <w:szCs w:val="22"/>
          <w:lang w:eastAsia="fr-CA"/>
        </w:rPr>
      </w:pPr>
      <w:r>
        <w:rPr>
          <w:sz w:val="22"/>
          <w:szCs w:val="22"/>
          <w:lang w:eastAsia="fr-CA"/>
        </w:rPr>
        <w:t>(notre soulignement)</w:t>
      </w:r>
    </w:p>
    <w:p w14:paraId="2CD632D2" w14:textId="786FE1D8" w:rsidR="004D061D" w:rsidRDefault="00131A5D" w:rsidP="000A0E86">
      <w:pPr>
        <w:pStyle w:val="Paragrdouble"/>
        <w:spacing w:line="240" w:lineRule="auto"/>
      </w:pPr>
      <w:r>
        <w:t>En</w:t>
      </w:r>
      <w:r w:rsidR="00D133FA">
        <w:t xml:space="preserve"> cours d’instance, même si cela n’avait pas été allégué dans la procédure des demandeurs, il fut prétendu que</w:t>
      </w:r>
      <w:r w:rsidR="00682364">
        <w:t xml:space="preserve"> la </w:t>
      </w:r>
      <w:r w:rsidR="00682364" w:rsidRPr="4FD1AEB1">
        <w:rPr>
          <w:i/>
          <w:iCs/>
        </w:rPr>
        <w:t>Directive sur la gestion des projets majeurs d’infrastructures publiques</w:t>
      </w:r>
      <w:r w:rsidR="00C975ED" w:rsidRPr="00453937">
        <w:rPr>
          <w:rStyle w:val="Appelnotedebasdep"/>
        </w:rPr>
        <w:footnoteReference w:id="73"/>
      </w:r>
      <w:r>
        <w:t xml:space="preserve"> </w:t>
      </w:r>
      <w:r w:rsidR="006D6EF3">
        <w:t xml:space="preserve">adoptée </w:t>
      </w:r>
      <w:r w:rsidR="006D5BAD">
        <w:t xml:space="preserve">sous l’emprise de la </w:t>
      </w:r>
      <w:r w:rsidR="006D5BAD" w:rsidRPr="4FD1AEB1">
        <w:rPr>
          <w:i/>
          <w:iCs/>
        </w:rPr>
        <w:t>Loi sur les infrastructures publiques</w:t>
      </w:r>
      <w:r w:rsidR="006D5BAD" w:rsidRPr="00453937">
        <w:rPr>
          <w:rStyle w:val="Appelnotedebasdep"/>
        </w:rPr>
        <w:footnoteReference w:id="74"/>
      </w:r>
      <w:r w:rsidR="006D5BAD">
        <w:t>, n’avait pas été suivie.</w:t>
      </w:r>
      <w:r w:rsidR="003358F7">
        <w:t xml:space="preserve"> </w:t>
      </w:r>
      <w:r w:rsidR="006253AF">
        <w:t xml:space="preserve">Comme le fait remarquer le PGQ, </w:t>
      </w:r>
      <w:r w:rsidR="00267BCE">
        <w:t xml:space="preserve">à l’exception </w:t>
      </w:r>
      <w:r w:rsidR="000A0E86">
        <w:t xml:space="preserve">des articles 7 et 8, </w:t>
      </w:r>
      <w:r w:rsidR="008A6314">
        <w:t>il est trop tôt</w:t>
      </w:r>
      <w:r w:rsidR="006A4952">
        <w:t xml:space="preserve"> pour discuter de cette directive car elle vise la </w:t>
      </w:r>
      <w:r w:rsidR="005D1BC7">
        <w:t xml:space="preserve">« </w:t>
      </w:r>
      <w:r w:rsidR="006A4952">
        <w:t>gestion rigoureuse des projets majeurs d’infrastructures publiques</w:t>
      </w:r>
      <w:r w:rsidR="005D1BC7">
        <w:t xml:space="preserve"> »</w:t>
      </w:r>
      <w:r w:rsidR="00C521D4">
        <w:rPr>
          <w:rStyle w:val="Appelnotedebasdep"/>
        </w:rPr>
        <w:footnoteReference w:id="75"/>
      </w:r>
      <w:r w:rsidR="005D1BC7">
        <w:t xml:space="preserve"> lors de leur réalisation</w:t>
      </w:r>
      <w:r w:rsidR="00C521D4">
        <w:t xml:space="preserve">. La Ville </w:t>
      </w:r>
      <w:r w:rsidR="00521487">
        <w:t>n’exécutant</w:t>
      </w:r>
      <w:r w:rsidR="00C521D4">
        <w:t xml:space="preserve"> qu</w:t>
      </w:r>
      <w:r w:rsidR="00521487">
        <w:t>e les</w:t>
      </w:r>
      <w:r w:rsidR="00C521D4">
        <w:t xml:space="preserve"> travaux préliminaires, elle ne trouve pas application</w:t>
      </w:r>
      <w:r w:rsidR="008B6F7F">
        <w:t xml:space="preserve"> de façon </w:t>
      </w:r>
      <w:r w:rsidR="008F7CB4">
        <w:t>immédiate</w:t>
      </w:r>
      <w:r w:rsidR="00C521D4">
        <w:t>.</w:t>
      </w:r>
      <w:r w:rsidR="000A0E86">
        <w:t xml:space="preserve"> Quant à </w:t>
      </w:r>
      <w:r w:rsidR="00C74BB5">
        <w:t xml:space="preserve">ces articles </w:t>
      </w:r>
      <w:r w:rsidR="000A0E86">
        <w:t>qui traite</w:t>
      </w:r>
      <w:r w:rsidR="00C74BB5">
        <w:t>nt</w:t>
      </w:r>
      <w:r w:rsidR="000A0E86">
        <w:t xml:space="preserve"> d’un avant-projet</w:t>
      </w:r>
      <w:r w:rsidR="008B6F7F">
        <w:t>, les conditions sont respectées</w:t>
      </w:r>
      <w:r w:rsidR="0034709A">
        <w:t xml:space="preserve"> à la lumière de l’entente signée par le premier ministre </w:t>
      </w:r>
      <w:r w:rsidR="201FC442">
        <w:t xml:space="preserve">Monsieur </w:t>
      </w:r>
      <w:r w:rsidR="0034709A">
        <w:t>Philippe Couillard le 16 mars 2018.</w:t>
      </w:r>
    </w:p>
    <w:p w14:paraId="482CABC6" w14:textId="73D2CD1A" w:rsidR="00ED3FFE" w:rsidRDefault="00567B33" w:rsidP="00C23572">
      <w:pPr>
        <w:pStyle w:val="Paragrdouble"/>
        <w:spacing w:line="240" w:lineRule="auto"/>
      </w:pPr>
      <w:r>
        <w:t>À</w:t>
      </w:r>
      <w:r w:rsidR="004743A1">
        <w:t xml:space="preserve"> la lumière des informations reçues du ministère des </w:t>
      </w:r>
      <w:r w:rsidR="1AE54F2E">
        <w:t>T</w:t>
      </w:r>
      <w:r w:rsidR="004743A1">
        <w:t>ransports,</w:t>
      </w:r>
      <w:r w:rsidR="005E05AB">
        <w:t xml:space="preserve"> Madame Rail </w:t>
      </w:r>
      <w:r w:rsidR="009320AC">
        <w:t>dépose</w:t>
      </w:r>
      <w:r w:rsidR="005E05AB">
        <w:t xml:space="preserve"> auprès du ministre un rapport qui reprend chacun des</w:t>
      </w:r>
      <w:r w:rsidR="009320AC">
        <w:t xml:space="preserve"> 91</w:t>
      </w:r>
      <w:r w:rsidR="005E05AB">
        <w:t xml:space="preserve"> avis du BAPE</w:t>
      </w:r>
      <w:r>
        <w:t xml:space="preserve"> et les commente. </w:t>
      </w:r>
      <w:r w:rsidR="00BF737A">
        <w:t>En regard de cette question relative au</w:t>
      </w:r>
      <w:r w:rsidR="00ED3FFE">
        <w:t>x « alternatives », elle écrit :</w:t>
      </w:r>
    </w:p>
    <w:p w14:paraId="3A378031" w14:textId="7713A884" w:rsidR="00F6606D" w:rsidRPr="00DF3411" w:rsidRDefault="00DF3411" w:rsidP="00DF3411">
      <w:pPr>
        <w:pStyle w:val="Paragraphe"/>
        <w:tabs>
          <w:tab w:val="clear" w:pos="1636"/>
          <w:tab w:val="left" w:pos="709"/>
        </w:tabs>
        <w:spacing w:line="240" w:lineRule="auto"/>
        <w:ind w:left="708" w:right="610"/>
        <w:rPr>
          <w:sz w:val="22"/>
          <w:szCs w:val="18"/>
          <w:lang w:eastAsia="fr-CA"/>
        </w:rPr>
      </w:pPr>
      <w:r w:rsidRPr="00DF3411">
        <w:rPr>
          <w:sz w:val="22"/>
          <w:szCs w:val="18"/>
          <w:lang w:eastAsia="fr-CA"/>
        </w:rPr>
        <w:t>C’est</w:t>
      </w:r>
      <w:r w:rsidR="00F6606D" w:rsidRPr="00DF3411">
        <w:rPr>
          <w:sz w:val="22"/>
          <w:szCs w:val="18"/>
          <w:lang w:eastAsia="fr-CA"/>
        </w:rPr>
        <w:t xml:space="preserve"> une évaluation sommaire qui est demandée par la direction ministérielle. Ce qui a été fourni par la VdQ</w:t>
      </w:r>
      <w:r w:rsidR="00922736">
        <w:rPr>
          <w:rStyle w:val="Appelnotedebasdep"/>
          <w:sz w:val="22"/>
          <w:szCs w:val="18"/>
          <w:lang w:eastAsia="fr-CA"/>
        </w:rPr>
        <w:footnoteReference w:id="76"/>
      </w:r>
      <w:r w:rsidR="00F6606D" w:rsidRPr="00DF3411">
        <w:rPr>
          <w:sz w:val="22"/>
          <w:szCs w:val="18"/>
          <w:lang w:eastAsia="fr-CA"/>
        </w:rPr>
        <w:t xml:space="preserve"> est conforme aux exigences habituelles.</w:t>
      </w:r>
    </w:p>
    <w:p w14:paraId="76D97698" w14:textId="42F33E19" w:rsidR="00F6606D" w:rsidRPr="00DF3411" w:rsidRDefault="00F6606D" w:rsidP="00DF3411">
      <w:pPr>
        <w:pStyle w:val="Paragraphe"/>
        <w:tabs>
          <w:tab w:val="clear" w:pos="1636"/>
          <w:tab w:val="left" w:pos="709"/>
        </w:tabs>
        <w:spacing w:line="240" w:lineRule="auto"/>
        <w:ind w:left="708" w:right="610"/>
        <w:rPr>
          <w:sz w:val="22"/>
          <w:szCs w:val="18"/>
          <w:lang w:eastAsia="fr-CA"/>
        </w:rPr>
      </w:pPr>
      <w:r w:rsidRPr="00DF3411">
        <w:rPr>
          <w:sz w:val="22"/>
          <w:szCs w:val="18"/>
          <w:lang w:eastAsia="fr-CA"/>
        </w:rPr>
        <w:t xml:space="preserve">En réponse, la VdQ </w:t>
      </w:r>
      <w:r w:rsidR="00DF3411">
        <w:rPr>
          <w:sz w:val="22"/>
          <w:szCs w:val="18"/>
          <w:lang w:eastAsia="fr-CA"/>
        </w:rPr>
        <w:t>a</w:t>
      </w:r>
      <w:r w:rsidRPr="00DF3411">
        <w:rPr>
          <w:sz w:val="22"/>
          <w:szCs w:val="18"/>
          <w:lang w:eastAsia="fr-CA"/>
        </w:rPr>
        <w:t xml:space="preserve"> répété que le travail a été fait dès le dépôt du </w:t>
      </w:r>
      <w:r w:rsidR="003A67F4">
        <w:rPr>
          <w:sz w:val="22"/>
          <w:szCs w:val="18"/>
          <w:lang w:eastAsia="fr-CA"/>
        </w:rPr>
        <w:t>P</w:t>
      </w:r>
      <w:r w:rsidRPr="00DF3411">
        <w:rPr>
          <w:sz w:val="22"/>
          <w:szCs w:val="18"/>
          <w:lang w:eastAsia="fr-CA"/>
        </w:rPr>
        <w:t>lan de mobilité durable en 2011 (voir réponse à l</w:t>
      </w:r>
      <w:r w:rsidR="003A67F4">
        <w:rPr>
          <w:sz w:val="22"/>
          <w:szCs w:val="18"/>
          <w:lang w:eastAsia="fr-CA"/>
        </w:rPr>
        <w:t>’avis</w:t>
      </w:r>
      <w:r w:rsidRPr="00DF3411">
        <w:rPr>
          <w:sz w:val="22"/>
          <w:szCs w:val="18"/>
          <w:lang w:eastAsia="fr-CA"/>
        </w:rPr>
        <w:t xml:space="preserve"> 16). Les autres technologies ne sont pas adaptées aux besoins.</w:t>
      </w:r>
    </w:p>
    <w:p w14:paraId="7CD99D0D" w14:textId="2287FE78" w:rsidR="00ED3FFE" w:rsidRPr="00DF3411" w:rsidRDefault="00DF3411" w:rsidP="00DF3411">
      <w:pPr>
        <w:pStyle w:val="Paragraphe"/>
        <w:tabs>
          <w:tab w:val="clear" w:pos="1636"/>
          <w:tab w:val="left" w:pos="709"/>
        </w:tabs>
        <w:spacing w:line="240" w:lineRule="auto"/>
        <w:ind w:left="708" w:right="610"/>
        <w:rPr>
          <w:sz w:val="22"/>
          <w:szCs w:val="22"/>
          <w:lang w:eastAsia="fr-CA"/>
        </w:rPr>
      </w:pPr>
      <w:r w:rsidRPr="4FD1AEB1">
        <w:rPr>
          <w:sz w:val="22"/>
          <w:szCs w:val="22"/>
          <w:lang w:eastAsia="fr-CA"/>
        </w:rPr>
        <w:t>Le MTQ s’est dit satisfait de cette réponse. Il considère l’analyse des solutions de rechange complète.</w:t>
      </w:r>
      <w:r w:rsidR="00C048A2">
        <w:rPr>
          <w:rStyle w:val="Appelnotedebasdep"/>
          <w:sz w:val="22"/>
          <w:szCs w:val="22"/>
          <w:lang w:eastAsia="fr-CA"/>
        </w:rPr>
        <w:footnoteReference w:id="77"/>
      </w:r>
    </w:p>
    <w:p w14:paraId="7871A762" w14:textId="04635069" w:rsidR="003A442C" w:rsidRDefault="0088170F" w:rsidP="00C23572">
      <w:pPr>
        <w:pStyle w:val="Paragrdouble"/>
        <w:spacing w:line="240" w:lineRule="auto"/>
      </w:pPr>
      <w:r>
        <w:t xml:space="preserve">Bref, les spécialistes du ministère des Transports </w:t>
      </w:r>
      <w:r w:rsidR="00335EA6">
        <w:t>se sont appuyés sur les expertises des firmes Ingérop et Civilia</w:t>
      </w:r>
      <w:r w:rsidR="004E08F0">
        <w:t xml:space="preserve"> pour valider les études menées par la Ville,</w:t>
      </w:r>
      <w:r w:rsidR="007B49A8">
        <w:t xml:space="preserve"> qui </w:t>
      </w:r>
      <w:r w:rsidR="007B49A8">
        <w:lastRenderedPageBreak/>
        <w:t>s’était adressé</w:t>
      </w:r>
      <w:r w:rsidR="00447B75">
        <w:t>e</w:t>
      </w:r>
      <w:r w:rsidR="007B49A8">
        <w:t xml:space="preserve"> à </w:t>
      </w:r>
      <w:r w:rsidR="00B43426">
        <w:t>la firme SYSTRA</w:t>
      </w:r>
      <w:r w:rsidR="007B49A8">
        <w:t xml:space="preserve"> et</w:t>
      </w:r>
      <w:r w:rsidR="00EF6042">
        <w:t xml:space="preserve"> qui a fait </w:t>
      </w:r>
      <w:r w:rsidR="00B43426">
        <w:t>contre-vérifi</w:t>
      </w:r>
      <w:r w:rsidR="00EF6042">
        <w:t>er le tout</w:t>
      </w:r>
      <w:r w:rsidR="00B43426">
        <w:t xml:space="preserve"> par deux experts</w:t>
      </w:r>
      <w:r w:rsidR="003A442C">
        <w:t xml:space="preserve"> universitaires</w:t>
      </w:r>
      <w:r w:rsidR="00EF6042">
        <w:t xml:space="preserve"> de Montréal</w:t>
      </w:r>
      <w:r w:rsidR="003A442C">
        <w:t>.</w:t>
      </w:r>
    </w:p>
    <w:p w14:paraId="4F8ECF23" w14:textId="00B825CD" w:rsidR="006F59CF" w:rsidRDefault="003A442C" w:rsidP="00C23572">
      <w:pPr>
        <w:pStyle w:val="Paragrdouble"/>
        <w:spacing w:line="240" w:lineRule="auto"/>
      </w:pPr>
      <w:r>
        <w:t>Pour le Tribunal, il ne s’agit pas de mettre en opposition</w:t>
      </w:r>
      <w:r w:rsidR="00D518C6">
        <w:t xml:space="preserve"> les experts que les demandeurs ont fait entendre à l’encontre de toutes ces expertises déposées au dossier de la Cour pour décider si le mode</w:t>
      </w:r>
      <w:r w:rsidR="00490F10">
        <w:t xml:space="preserve"> choisi par les autorités publiques convient. Le Tribunal doit simplement se demand</w:t>
      </w:r>
      <w:r w:rsidR="00EE6461">
        <w:t>er</w:t>
      </w:r>
      <w:r w:rsidR="00490F10">
        <w:t xml:space="preserve"> si l</w:t>
      </w:r>
      <w:r w:rsidR="0045563D">
        <w:t>a décision d</w:t>
      </w:r>
      <w:r w:rsidR="00490F10">
        <w:t>es autorités publiques, et</w:t>
      </w:r>
      <w:r w:rsidR="00EE6461">
        <w:t xml:space="preserve"> spécifiquement </w:t>
      </w:r>
      <w:r w:rsidR="00D01DE3">
        <w:t>du</w:t>
      </w:r>
      <w:r w:rsidR="00490F10">
        <w:t xml:space="preserve"> gouvernement du Québec</w:t>
      </w:r>
      <w:r w:rsidR="003340BA">
        <w:t xml:space="preserve"> </w:t>
      </w:r>
      <w:r w:rsidR="0086033F">
        <w:t>d</w:t>
      </w:r>
      <w:r w:rsidR="003340BA">
        <w:t>’adopt</w:t>
      </w:r>
      <w:r w:rsidR="0086033F">
        <w:t>er</w:t>
      </w:r>
      <w:r w:rsidR="003340BA">
        <w:t xml:space="preserve"> </w:t>
      </w:r>
      <w:r w:rsidR="00F53DF7">
        <w:t>le</w:t>
      </w:r>
      <w:r w:rsidR="003340BA">
        <w:t xml:space="preserve"> décret 655-2022 le 6 avril 2022</w:t>
      </w:r>
      <w:r w:rsidR="00EE6461">
        <w:t xml:space="preserve">, </w:t>
      </w:r>
      <w:r w:rsidR="00F53DF7">
        <w:t>est raisonnable</w:t>
      </w:r>
      <w:r w:rsidR="00400A1A">
        <w:t xml:space="preserve">. À la lumière de l’ensemble de la preuve, la réponse est </w:t>
      </w:r>
      <w:r w:rsidR="00D15146">
        <w:t>oui</w:t>
      </w:r>
      <w:r w:rsidR="00400A1A">
        <w:t>.</w:t>
      </w:r>
    </w:p>
    <w:p w14:paraId="5A642A64" w14:textId="7D796407" w:rsidR="001A379A" w:rsidRDefault="00B02593" w:rsidP="00B37694">
      <w:pPr>
        <w:pStyle w:val="Paragrdouble"/>
        <w:spacing w:line="240" w:lineRule="auto"/>
      </w:pPr>
      <w:r w:rsidRPr="00B02593">
        <w:rPr>
          <w:i/>
          <w:iCs/>
        </w:rPr>
        <w:t>L’acceptabilité sociale</w:t>
      </w:r>
      <w:r>
        <w:t xml:space="preserve">. </w:t>
      </w:r>
      <w:r w:rsidR="00B37694">
        <w:t>L’acceptabilité sociale n’est pas</w:t>
      </w:r>
      <w:r w:rsidR="0010630C">
        <w:t xml:space="preserve"> expressément</w:t>
      </w:r>
      <w:r w:rsidR="00B37694">
        <w:t xml:space="preserve"> un critère </w:t>
      </w:r>
      <w:r w:rsidR="00510D93">
        <w:t>exigé</w:t>
      </w:r>
      <w:r w:rsidR="00B37694">
        <w:t xml:space="preserve"> par la législation</w:t>
      </w:r>
      <w:r w:rsidR="00D85AB0">
        <w:t xml:space="preserve"> pour autoriser un projet</w:t>
      </w:r>
      <w:r w:rsidR="0010630C">
        <w:t xml:space="preserve">. </w:t>
      </w:r>
    </w:p>
    <w:p w14:paraId="77B71F04" w14:textId="7FC0137A" w:rsidR="00B91576" w:rsidRDefault="00A7685A" w:rsidP="00B37694">
      <w:pPr>
        <w:pStyle w:val="Paragrdouble"/>
        <w:spacing w:line="240" w:lineRule="auto"/>
      </w:pPr>
      <w:r>
        <w:t>Contrairement</w:t>
      </w:r>
      <w:r w:rsidR="008F184F">
        <w:t xml:space="preserve"> aux dispositions </w:t>
      </w:r>
      <w:r w:rsidR="00890A6F">
        <w:t xml:space="preserve">de la LQE </w:t>
      </w:r>
      <w:r w:rsidR="008F184F">
        <w:t>applicables à la région de la Baie-James et du Nord québécois</w:t>
      </w:r>
      <w:r w:rsidR="008979F4">
        <w:rPr>
          <w:rStyle w:val="Appelnotedebasdep"/>
        </w:rPr>
        <w:footnoteReference w:id="78"/>
      </w:r>
      <w:r w:rsidR="00890A6F">
        <w:t xml:space="preserve">, la notion d’acceptabilité sociale n’est pas implicitement intégrée </w:t>
      </w:r>
      <w:r w:rsidR="008979F4">
        <w:t>pour les projets</w:t>
      </w:r>
      <w:r w:rsidR="00326DF2">
        <w:t xml:space="preserve"> comme </w:t>
      </w:r>
      <w:r w:rsidR="230ECA4C">
        <w:t>celui</w:t>
      </w:r>
      <w:r w:rsidR="00326DF2">
        <w:t xml:space="preserve"> sous étude.</w:t>
      </w:r>
      <w:r w:rsidR="00890A6F">
        <w:t xml:space="preserve"> </w:t>
      </w:r>
    </w:p>
    <w:p w14:paraId="71C64BB3" w14:textId="73B9C02F" w:rsidR="00B37694" w:rsidRDefault="00D85AB0" w:rsidP="00B37694">
      <w:pPr>
        <w:pStyle w:val="Paragrdouble"/>
        <w:spacing w:line="240" w:lineRule="auto"/>
      </w:pPr>
      <w:r>
        <w:t>L</w:t>
      </w:r>
      <w:r w:rsidR="00B37694">
        <w:t xml:space="preserve">e gouvernement </w:t>
      </w:r>
      <w:r>
        <w:t>peut toutefois en</w:t>
      </w:r>
      <w:r w:rsidR="00B37694">
        <w:t xml:space="preserve"> prendre compte</w:t>
      </w:r>
      <w:r w:rsidR="00B2631E">
        <w:t xml:space="preserve"> lorsqu’il exerce ses pouvoirs au sens de l’article 31.5 LQE</w:t>
      </w:r>
      <w:r w:rsidR="00B37694">
        <w:t xml:space="preserve">. Et même si cela était un critère, celui-ci n’équivaudrait pas à la tenue obligatoire d’un référendum comme le suggèrent les demandeurs. </w:t>
      </w:r>
    </w:p>
    <w:p w14:paraId="2BAD4D09" w14:textId="59D50AA0" w:rsidR="001E555D" w:rsidRDefault="00112B10" w:rsidP="00B37694">
      <w:pPr>
        <w:pStyle w:val="Paragrdouble"/>
        <w:spacing w:line="240" w:lineRule="auto"/>
      </w:pPr>
      <w:r>
        <w:t xml:space="preserve">Dans le présent dossier, le gouvernement demande à la </w:t>
      </w:r>
      <w:r w:rsidR="00F85121">
        <w:t>V</w:t>
      </w:r>
      <w:r>
        <w:t>ille</w:t>
      </w:r>
      <w:r w:rsidR="00F85121">
        <w:t xml:space="preserve"> d</w:t>
      </w:r>
      <w:r w:rsidR="00516A1F">
        <w:t>e s</w:t>
      </w:r>
      <w:r w:rsidR="00F85121">
        <w:t>’assurer</w:t>
      </w:r>
      <w:r w:rsidR="00516A1F">
        <w:t xml:space="preserve"> de</w:t>
      </w:r>
      <w:r w:rsidR="00F85121">
        <w:t xml:space="preserve"> l’acceptabilité sociale de ce projet, ni plus ni moins</w:t>
      </w:r>
      <w:r w:rsidR="0000311C">
        <w:rPr>
          <w:rStyle w:val="Appelnotedebasdep"/>
        </w:rPr>
        <w:footnoteReference w:id="79"/>
      </w:r>
      <w:r w:rsidR="00F85121">
        <w:t>.</w:t>
      </w:r>
    </w:p>
    <w:p w14:paraId="5F53075D" w14:textId="020136CD" w:rsidR="00B37694" w:rsidRDefault="00431A0C" w:rsidP="00B37694">
      <w:pPr>
        <w:pStyle w:val="Paragrdouble"/>
        <w:spacing w:line="240" w:lineRule="auto"/>
      </w:pPr>
      <w:r>
        <w:t>Dans un dossier qui ressemble</w:t>
      </w:r>
      <w:r w:rsidR="00450F8B">
        <w:t xml:space="preserve"> à la présente affaire</w:t>
      </w:r>
      <w:r w:rsidR="00B37694">
        <w:t xml:space="preserve">, </w:t>
      </w:r>
      <w:r w:rsidR="00450F8B">
        <w:t>soit</w:t>
      </w:r>
      <w:r w:rsidR="00B37694">
        <w:t xml:space="preserve"> l’affaire </w:t>
      </w:r>
      <w:r w:rsidR="00B37694" w:rsidRPr="4FD1AEB1">
        <w:rPr>
          <w:i/>
          <w:iCs/>
        </w:rPr>
        <w:t>Arbour</w:t>
      </w:r>
      <w:r w:rsidR="00B37694">
        <w:t xml:space="preserve"> c. </w:t>
      </w:r>
      <w:r w:rsidR="00B37694" w:rsidRPr="4FD1AEB1">
        <w:rPr>
          <w:i/>
          <w:iCs/>
        </w:rPr>
        <w:t>Procureure générale du Québec</w:t>
      </w:r>
      <w:r w:rsidR="00B37694" w:rsidRPr="00516A1F">
        <w:rPr>
          <w:rStyle w:val="Appelnotedebasdep"/>
        </w:rPr>
        <w:footnoteReference w:id="80"/>
      </w:r>
      <w:r w:rsidR="00B37694" w:rsidRPr="4FD1AEB1">
        <w:rPr>
          <w:i/>
          <w:iCs/>
        </w:rPr>
        <w:t xml:space="preserve">, </w:t>
      </w:r>
      <w:r w:rsidR="00B37694">
        <w:t>Madame la juge Anne Jacob écrit</w:t>
      </w:r>
      <w:r w:rsidR="00450F8B">
        <w:t xml:space="preserve"> ce passage qui mérite réflexion</w:t>
      </w:r>
      <w:r w:rsidR="00B37694">
        <w:t xml:space="preserve"> :</w:t>
      </w:r>
    </w:p>
    <w:p w14:paraId="0F4E6603" w14:textId="77777777" w:rsidR="00B37694" w:rsidRPr="004A7E71" w:rsidRDefault="00B37694" w:rsidP="00B37694">
      <w:pPr>
        <w:pStyle w:val="Paragraphe"/>
        <w:tabs>
          <w:tab w:val="clear" w:pos="1636"/>
          <w:tab w:val="left" w:pos="709"/>
        </w:tabs>
        <w:spacing w:line="240" w:lineRule="auto"/>
        <w:ind w:left="708" w:right="610"/>
        <w:rPr>
          <w:sz w:val="22"/>
          <w:szCs w:val="18"/>
          <w:lang w:eastAsia="fr-CA"/>
        </w:rPr>
      </w:pPr>
      <w:r w:rsidRPr="004A7E71">
        <w:rPr>
          <w:sz w:val="22"/>
          <w:szCs w:val="18"/>
          <w:lang w:eastAsia="fr-CA"/>
        </w:rPr>
        <w:t>4e motif :        La notion d’acceptabilité sociale du projet</w:t>
      </w:r>
    </w:p>
    <w:p w14:paraId="4DAC31CB" w14:textId="77777777" w:rsidR="00B37694" w:rsidRPr="004A7E71" w:rsidRDefault="00B37694" w:rsidP="00B37694">
      <w:pPr>
        <w:pStyle w:val="Paragraphe"/>
        <w:tabs>
          <w:tab w:val="clear" w:pos="1636"/>
          <w:tab w:val="left" w:pos="709"/>
        </w:tabs>
        <w:spacing w:line="240" w:lineRule="auto"/>
        <w:ind w:left="708" w:right="610"/>
        <w:rPr>
          <w:sz w:val="22"/>
          <w:szCs w:val="18"/>
          <w:lang w:eastAsia="fr-CA"/>
        </w:rPr>
      </w:pPr>
      <w:r w:rsidRPr="004A7E71">
        <w:rPr>
          <w:sz w:val="22"/>
          <w:szCs w:val="18"/>
          <w:lang w:eastAsia="fr-CA"/>
        </w:rPr>
        <w:t>[194]     Les demandeurs affirment que le ministre a omis de s’assurer de l’acceptabilité sociale du projet. Les défenderesses prétendent l’inverse.</w:t>
      </w:r>
    </w:p>
    <w:p w14:paraId="61FF1522" w14:textId="77777777" w:rsidR="00B37694" w:rsidRPr="004A7E71" w:rsidRDefault="00B37694" w:rsidP="00B37694">
      <w:pPr>
        <w:pStyle w:val="Paragraphe"/>
        <w:tabs>
          <w:tab w:val="clear" w:pos="1636"/>
          <w:tab w:val="left" w:pos="709"/>
        </w:tabs>
        <w:spacing w:line="240" w:lineRule="auto"/>
        <w:ind w:left="708" w:right="610"/>
        <w:rPr>
          <w:sz w:val="22"/>
          <w:szCs w:val="18"/>
          <w:lang w:eastAsia="fr-CA"/>
        </w:rPr>
      </w:pPr>
      <w:r w:rsidRPr="004A7E71">
        <w:rPr>
          <w:sz w:val="22"/>
          <w:szCs w:val="18"/>
          <w:lang w:eastAsia="fr-CA"/>
        </w:rPr>
        <w:t xml:space="preserve">[195]     Dans la présente affaire, le ministre, en exigeant des avis sur la recevabilité de l’étude d’impact, s’est soumis à une étape additionnelle que la LQE ne lui impose pas. </w:t>
      </w:r>
    </w:p>
    <w:p w14:paraId="11DA91C5" w14:textId="0F4EDBE1" w:rsidR="00B37694" w:rsidRPr="004A7E71" w:rsidRDefault="00B37694" w:rsidP="00B37694">
      <w:pPr>
        <w:pStyle w:val="Paragraphe"/>
        <w:tabs>
          <w:tab w:val="clear" w:pos="1636"/>
          <w:tab w:val="left" w:pos="709"/>
        </w:tabs>
        <w:spacing w:line="240" w:lineRule="auto"/>
        <w:ind w:left="708" w:right="610"/>
        <w:rPr>
          <w:sz w:val="22"/>
          <w:szCs w:val="18"/>
          <w:lang w:eastAsia="fr-CA"/>
        </w:rPr>
      </w:pPr>
      <w:r w:rsidRPr="004A7E71">
        <w:rPr>
          <w:sz w:val="22"/>
          <w:szCs w:val="18"/>
          <w:lang w:eastAsia="fr-CA"/>
        </w:rPr>
        <w:t xml:space="preserve">[196]     Dans un premier temps, l’étude d’impact a été considérée </w:t>
      </w:r>
      <w:r w:rsidRPr="00266F95">
        <w:rPr>
          <w:b/>
          <w:bCs/>
          <w:sz w:val="22"/>
          <w:szCs w:val="18"/>
          <w:lang w:eastAsia="fr-CA"/>
        </w:rPr>
        <w:t>recevable</w:t>
      </w:r>
      <w:r w:rsidRPr="004A7E71">
        <w:rPr>
          <w:sz w:val="22"/>
          <w:szCs w:val="18"/>
          <w:lang w:eastAsia="fr-CA"/>
        </w:rPr>
        <w:t xml:space="preserve"> par un vaste réseau de ministères et d’organismes. Elle a subséquemment été considérée </w:t>
      </w:r>
      <w:r w:rsidRPr="00266F95">
        <w:rPr>
          <w:b/>
          <w:bCs/>
          <w:sz w:val="22"/>
          <w:szCs w:val="18"/>
          <w:lang w:eastAsia="fr-CA"/>
        </w:rPr>
        <w:t>acceptable</w:t>
      </w:r>
      <w:r w:rsidRPr="004A7E71">
        <w:rPr>
          <w:sz w:val="22"/>
          <w:szCs w:val="18"/>
          <w:lang w:eastAsia="fr-CA"/>
        </w:rPr>
        <w:t xml:space="preserve"> tant par ce réseau que par les services internes du MDDELCC</w:t>
      </w:r>
      <w:r w:rsidR="00DD5504">
        <w:rPr>
          <w:sz w:val="22"/>
          <w:szCs w:val="18"/>
          <w:lang w:eastAsia="fr-CA"/>
        </w:rPr>
        <w:t>.</w:t>
      </w:r>
    </w:p>
    <w:p w14:paraId="0916F2EF" w14:textId="77777777" w:rsidR="00B37694" w:rsidRPr="004A7E71" w:rsidRDefault="00B37694" w:rsidP="00B37694">
      <w:pPr>
        <w:pStyle w:val="Paragraphe"/>
        <w:tabs>
          <w:tab w:val="clear" w:pos="1636"/>
          <w:tab w:val="left" w:pos="709"/>
        </w:tabs>
        <w:spacing w:line="240" w:lineRule="auto"/>
        <w:ind w:left="708" w:right="610"/>
        <w:rPr>
          <w:sz w:val="22"/>
          <w:szCs w:val="18"/>
          <w:lang w:eastAsia="fr-CA"/>
        </w:rPr>
      </w:pPr>
      <w:r w:rsidRPr="004A7E71">
        <w:rPr>
          <w:sz w:val="22"/>
          <w:szCs w:val="18"/>
          <w:lang w:eastAsia="fr-CA"/>
        </w:rPr>
        <w:lastRenderedPageBreak/>
        <w:t>[197]     Acceptabilité sociale ne signifie pas unanimité sociale. Il serait même utopique de tendre vers cet objectif lorsqu’un projet comporte des impacts environnementaux variables selon les divers secteurs d’un même territoire.</w:t>
      </w:r>
    </w:p>
    <w:p w14:paraId="50726F6C" w14:textId="77777777" w:rsidR="00B37694" w:rsidRPr="004A7E71" w:rsidRDefault="00B37694" w:rsidP="00B37694">
      <w:pPr>
        <w:pStyle w:val="Paragraphe"/>
        <w:tabs>
          <w:tab w:val="clear" w:pos="1636"/>
          <w:tab w:val="left" w:pos="709"/>
        </w:tabs>
        <w:spacing w:line="240" w:lineRule="auto"/>
        <w:ind w:left="708" w:right="610"/>
        <w:rPr>
          <w:sz w:val="22"/>
          <w:szCs w:val="18"/>
          <w:lang w:eastAsia="fr-CA"/>
        </w:rPr>
      </w:pPr>
      <w:r w:rsidRPr="004A7E71">
        <w:rPr>
          <w:sz w:val="22"/>
          <w:szCs w:val="18"/>
          <w:lang w:eastAsia="fr-CA"/>
        </w:rPr>
        <w:t xml:space="preserve">[198]     Ce projet d’envergure traverse plus de 22 municipalités, 8 MRC, la communauté urbaine de Montréal et l’agglomération de Montréal. Aucun autre groupe n’a requis son interruption par voie judiciaire. </w:t>
      </w:r>
    </w:p>
    <w:p w14:paraId="09C2B457" w14:textId="7EBBB469" w:rsidR="00A1536C" w:rsidRDefault="004A3667" w:rsidP="00B5433B">
      <w:pPr>
        <w:pStyle w:val="Paragrdouble"/>
        <w:spacing w:line="240" w:lineRule="auto"/>
      </w:pPr>
      <w:r w:rsidRPr="4FD1AEB1">
        <w:rPr>
          <w:i/>
          <w:iCs/>
        </w:rPr>
        <w:t>Quelques commentaires relatifs</w:t>
      </w:r>
      <w:r w:rsidR="00CA2E09" w:rsidRPr="4FD1AEB1">
        <w:rPr>
          <w:i/>
          <w:iCs/>
        </w:rPr>
        <w:t xml:space="preserve"> à divers autres arguments soulevés par les demandeurs</w:t>
      </w:r>
      <w:r w:rsidR="00CA2E09">
        <w:t xml:space="preserve">. Dans leurs plaidoiries, les demandeurs </w:t>
      </w:r>
      <w:r w:rsidR="003A7DD4">
        <w:t>discutent de</w:t>
      </w:r>
      <w:r w:rsidR="00CA2E09">
        <w:t xml:space="preserve"> « </w:t>
      </w:r>
      <w:r w:rsidR="002B39AA">
        <w:t xml:space="preserve">l’élément humain que </w:t>
      </w:r>
      <w:r w:rsidR="00CA2E09">
        <w:t>l’État n’a jamais tenu compte</w:t>
      </w:r>
      <w:r w:rsidR="002B39AA">
        <w:t xml:space="preserve"> dans son décret 655-2022 »</w:t>
      </w:r>
      <w:r w:rsidR="00AD36FF">
        <w:t xml:space="preserve"> comme si le </w:t>
      </w:r>
      <w:r w:rsidR="006D061A">
        <w:t>C</w:t>
      </w:r>
      <w:r w:rsidR="00AD36FF">
        <w:t>onseil des ministres avait totalement</w:t>
      </w:r>
      <w:r w:rsidR="00946A50">
        <w:t xml:space="preserve"> ignoré l’impact de sa décision sur les citoyens</w:t>
      </w:r>
      <w:r w:rsidR="00931215">
        <w:t xml:space="preserve"> qui vivront avec les contraintes du tramway</w:t>
      </w:r>
      <w:r w:rsidR="002B39AA">
        <w:t>.</w:t>
      </w:r>
      <w:r w:rsidR="00946A50">
        <w:t xml:space="preserve"> Cette affirmation est un peu grossière</w:t>
      </w:r>
      <w:r w:rsidR="00372070">
        <w:t xml:space="preserve"> à la lumière</w:t>
      </w:r>
      <w:r w:rsidR="00BA677A">
        <w:t xml:space="preserve"> de l’ensemble des facteurs tenus compte par le BAPE, la </w:t>
      </w:r>
      <w:r w:rsidR="00931215">
        <w:t>V</w:t>
      </w:r>
      <w:r w:rsidR="00BA677A">
        <w:t>ille et le ministère de l’</w:t>
      </w:r>
      <w:r w:rsidR="002D74B1">
        <w:t>E</w:t>
      </w:r>
      <w:r w:rsidR="00BA677A">
        <w:t>nvironnement</w:t>
      </w:r>
      <w:r w:rsidR="002D74B1">
        <w:t>. Au demeurant,</w:t>
      </w:r>
      <w:r w:rsidR="00AE28D1">
        <w:t xml:space="preserve"> le citoyen appelé à bénéficier d’un tramway qui le transportera d’</w:t>
      </w:r>
      <w:r w:rsidR="5479D8E5">
        <w:t>e</w:t>
      </w:r>
      <w:r w:rsidR="00AE28D1">
        <w:t xml:space="preserve">st en </w:t>
      </w:r>
      <w:r w:rsidR="63B6C78E">
        <w:t>o</w:t>
      </w:r>
      <w:r w:rsidR="00AE28D1">
        <w:t>uest à Québec</w:t>
      </w:r>
      <w:r w:rsidR="001366CA">
        <w:t xml:space="preserve"> est parfois oublié tant </w:t>
      </w:r>
      <w:r w:rsidR="00B5433B">
        <w:t>l</w:t>
      </w:r>
      <w:r w:rsidR="001366CA">
        <w:t xml:space="preserve">’emphase </w:t>
      </w:r>
      <w:r w:rsidR="00290E99">
        <w:t>est</w:t>
      </w:r>
      <w:r w:rsidR="001366CA">
        <w:t xml:space="preserve"> mise sur les contraintes caus</w:t>
      </w:r>
      <w:r w:rsidR="006D061A">
        <w:t>é</w:t>
      </w:r>
      <w:r w:rsidR="070DDA88">
        <w:t>e</w:t>
      </w:r>
      <w:r w:rsidR="006D061A">
        <w:t>s</w:t>
      </w:r>
      <w:r w:rsidR="001366CA">
        <w:t xml:space="preserve"> par le moyen de transport.</w:t>
      </w:r>
      <w:r w:rsidR="004A7A1C">
        <w:t xml:space="preserve"> La preuve ne permet pas de donner raison </w:t>
      </w:r>
      <w:r w:rsidR="00290E99">
        <w:t xml:space="preserve">aux </w:t>
      </w:r>
      <w:r w:rsidR="004A7A1C">
        <w:t>demandeurs sur cette question.</w:t>
      </w:r>
    </w:p>
    <w:p w14:paraId="0ED1484A" w14:textId="18D5A9C3" w:rsidR="00D42D62" w:rsidRDefault="00D42D62" w:rsidP="00433604">
      <w:pPr>
        <w:pStyle w:val="Titre4"/>
      </w:pPr>
      <w:bookmarkStart w:id="24" w:name="_Toc124755347"/>
      <w:r>
        <w:t xml:space="preserve">Le non-respect du </w:t>
      </w:r>
      <w:r w:rsidRPr="00F04F7A">
        <w:rPr>
          <w:i/>
          <w:iCs/>
        </w:rPr>
        <w:t>Règlement sur les exemptions de publication intégrale des décrets</w:t>
      </w:r>
      <w:bookmarkEnd w:id="24"/>
    </w:p>
    <w:p w14:paraId="06AA804C" w14:textId="02051F01" w:rsidR="006A3D19" w:rsidRPr="006A3D19" w:rsidRDefault="00D42D62" w:rsidP="4FD1AEB1">
      <w:pPr>
        <w:pStyle w:val="Paragrdouble"/>
        <w:spacing w:line="240" w:lineRule="auto"/>
        <w:rPr>
          <w:sz w:val="22"/>
          <w:szCs w:val="22"/>
          <w:lang w:eastAsia="en-US"/>
        </w:rPr>
      </w:pPr>
      <w:r>
        <w:t xml:space="preserve"> </w:t>
      </w:r>
      <w:r w:rsidR="005D223E">
        <w:t>Une question incidente s’est posée en regard de l’analyse du décret 655-20</w:t>
      </w:r>
      <w:r w:rsidR="39487CF8">
        <w:t>2</w:t>
      </w:r>
      <w:r w:rsidR="005D223E">
        <w:t>2</w:t>
      </w:r>
      <w:r w:rsidR="006A3D19">
        <w:t xml:space="preserve">. Est-ce que sa publication est conforme à la législation? Si la réponse était négative, </w:t>
      </w:r>
      <w:r w:rsidR="00EA5237">
        <w:t>elle pourrait influer sur sa légalité.</w:t>
      </w:r>
    </w:p>
    <w:p w14:paraId="0DCEF43C" w14:textId="6D1EEB6A" w:rsidR="00D42D62" w:rsidRDefault="00D42D62" w:rsidP="4FD1AEB1">
      <w:pPr>
        <w:pStyle w:val="Paragrdouble"/>
        <w:spacing w:line="240" w:lineRule="auto"/>
        <w:rPr>
          <w:sz w:val="22"/>
          <w:szCs w:val="22"/>
          <w:lang w:eastAsia="en-US"/>
        </w:rPr>
      </w:pPr>
      <w:r>
        <w:t xml:space="preserve">Les demandeurs sont d’avis que le décret 655-2022 est illégal étant donné le non-respect des formalités prévues à l’article 1 du </w:t>
      </w:r>
      <w:r w:rsidRPr="4FD1AEB1">
        <w:rPr>
          <w:i/>
          <w:iCs/>
        </w:rPr>
        <w:t>Règlement sur les exemptions de publication intégrale des décrets</w:t>
      </w:r>
      <w:r w:rsidRPr="00E46BA8">
        <w:t xml:space="preserve">, lequel est adopté suivant les dispositions de </w:t>
      </w:r>
      <w:r>
        <w:t xml:space="preserve">l’article 11.2 de la </w:t>
      </w:r>
      <w:r w:rsidRPr="4FD1AEB1">
        <w:rPr>
          <w:i/>
          <w:iCs/>
        </w:rPr>
        <w:t>Loi sur l’exécutif</w:t>
      </w:r>
      <w:r w:rsidRPr="00D00F7A">
        <w:rPr>
          <w:rStyle w:val="Appelnotedebasdep"/>
        </w:rPr>
        <w:footnoteReference w:id="81"/>
      </w:r>
      <w:r>
        <w:t>. D’après eux, le gouvernement du Québec avait deux choix</w:t>
      </w:r>
      <w:r w:rsidR="006E24AF">
        <w:t> </w:t>
      </w:r>
      <w:r>
        <w:t xml:space="preserve">: publier intégralement le décret 655-2022 avec les documents joints en annexe, ou se prévaloir de l’exemption prévue à l’article 1 du </w:t>
      </w:r>
      <w:r w:rsidR="3406816F">
        <w:t>r</w:t>
      </w:r>
      <w:r>
        <w:t>èglement et publier un avis d’adoption du décret indiquant ses titre, date d’adoption, numéro et nombre de pages. Ayant opté pour la publication intégrale, d’après eux, le gouvernement ne pouvait uniquement référer à des documents sans les joindre en annexe.</w:t>
      </w:r>
    </w:p>
    <w:p w14:paraId="577C61DC" w14:textId="77777777" w:rsidR="00D42D62" w:rsidRPr="0001458B" w:rsidRDefault="00D42D62" w:rsidP="00D42D62">
      <w:pPr>
        <w:pStyle w:val="Paragrdouble"/>
        <w:spacing w:line="240" w:lineRule="auto"/>
        <w:rPr>
          <w:rFonts w:eastAsiaTheme="minorHAnsi"/>
        </w:rPr>
      </w:pPr>
      <w:r>
        <w:t xml:space="preserve">De son côté, le PGQ plaide qu’il n’existe aucune obligation légale pour le gouvernement d’annexer et de publier les documents auquel fait référence un décret publié à la </w:t>
      </w:r>
      <w:r w:rsidRPr="00C371AA">
        <w:rPr>
          <w:i/>
          <w:iCs/>
        </w:rPr>
        <w:t>Gazette officielle du Québec</w:t>
      </w:r>
      <w:r>
        <w:t>.</w:t>
      </w:r>
    </w:p>
    <w:p w14:paraId="59C31A60" w14:textId="77777777" w:rsidR="00D42D62" w:rsidRDefault="00D42D62" w:rsidP="00D42D62">
      <w:pPr>
        <w:pStyle w:val="Paragrdouble"/>
        <w:spacing w:line="240" w:lineRule="auto"/>
        <w:rPr>
          <w:rFonts w:eastAsiaTheme="minorHAnsi"/>
        </w:rPr>
      </w:pPr>
      <w:r>
        <w:t>Qu’en est-il?</w:t>
      </w:r>
    </w:p>
    <w:p w14:paraId="2CD7AC78" w14:textId="77777777" w:rsidR="00D42D62" w:rsidRDefault="00D42D62" w:rsidP="00D42D62">
      <w:pPr>
        <w:pStyle w:val="Paragrdouble"/>
        <w:spacing w:line="240" w:lineRule="auto"/>
      </w:pPr>
      <w:r>
        <w:t xml:space="preserve">Dans les faits, seul le décret 655-2022 qui compte 10 pages a été publié. Il fait référence à 47 documents contenant plus de 6 000 pages. </w:t>
      </w:r>
    </w:p>
    <w:p w14:paraId="69003808" w14:textId="77777777" w:rsidR="00D42D62" w:rsidRDefault="00D42D62" w:rsidP="00D42D62">
      <w:pPr>
        <w:pStyle w:val="Paragrdouble"/>
        <w:spacing w:line="240" w:lineRule="auto"/>
      </w:pPr>
      <w:r>
        <w:lastRenderedPageBreak/>
        <w:t>Le PGQ fait remarquer que cette façon de faire est similaire à d’autres décrets faisant référence à des documents annexés. Serait-ce à dire que les autres décrets ainsi publiés seraient aussi illégaux?</w:t>
      </w:r>
    </w:p>
    <w:p w14:paraId="48726CD6" w14:textId="77777777" w:rsidR="00D42D62" w:rsidRDefault="00D42D62" w:rsidP="00D42D62">
      <w:pPr>
        <w:pStyle w:val="Paragrdouble"/>
        <w:spacing w:line="240" w:lineRule="auto"/>
      </w:pPr>
      <w:r>
        <w:t>Le texte du décret 655-2022 fait du respect par la Ville de ces documents des conditions à l’autorisation donnée pour les travaux préparatoires du tramway :</w:t>
      </w:r>
    </w:p>
    <w:p w14:paraId="68C63717" w14:textId="77777777" w:rsidR="00D42D62" w:rsidRPr="00AC6B5D" w:rsidRDefault="00D42D62" w:rsidP="00D42D62">
      <w:pPr>
        <w:spacing w:before="120" w:after="120" w:line="280" w:lineRule="atLeast"/>
        <w:ind w:left="1428" w:right="752"/>
        <w:jc w:val="both"/>
        <w:rPr>
          <w:rFonts w:cs="Arial"/>
          <w:sz w:val="22"/>
          <w:szCs w:val="18"/>
          <w:lang w:val="fr-FR" w:eastAsia="fr-CA"/>
        </w:rPr>
      </w:pPr>
      <w:r w:rsidRPr="00AC6B5D">
        <w:rPr>
          <w:rFonts w:cs="Arial"/>
          <w:sz w:val="22"/>
          <w:szCs w:val="18"/>
          <w:lang w:val="fr-FR" w:eastAsia="fr-CA"/>
        </w:rPr>
        <w:t>Sous réserve des autres conditions prévues à la présente autorisation, le projet de construction d’un tramway entre les secteurs Chaudière et D’Estimauville sur le territoire de la ville de Québec doit être conforme aux modalités et aux mesures prévues dans les documents suivants :</w:t>
      </w:r>
    </w:p>
    <w:p w14:paraId="173C5608" w14:textId="77777777" w:rsidR="00D42D62" w:rsidRDefault="00D42D62" w:rsidP="00D42D62">
      <w:pPr>
        <w:pStyle w:val="Paragrdouble"/>
        <w:spacing w:line="240" w:lineRule="auto"/>
      </w:pPr>
      <w:r>
        <w:t xml:space="preserve">Quelle est la portée des obligations de publication au sens de la </w:t>
      </w:r>
      <w:r w:rsidRPr="008F330D">
        <w:rPr>
          <w:i/>
          <w:iCs/>
        </w:rPr>
        <w:t>Loi sur l’exécutif</w:t>
      </w:r>
      <w:r>
        <w:t xml:space="preserve">? </w:t>
      </w:r>
    </w:p>
    <w:p w14:paraId="00BD413C" w14:textId="77777777" w:rsidR="00D42D62" w:rsidRDefault="00D42D62" w:rsidP="00D42D62">
      <w:pPr>
        <w:pStyle w:val="Paragrdouble"/>
        <w:spacing w:line="240" w:lineRule="auto"/>
      </w:pPr>
      <w:r>
        <w:t>Plusieurs arguments militent en faveur de la légalité de la publication du décret 655-2022.</w:t>
      </w:r>
    </w:p>
    <w:p w14:paraId="777C437B" w14:textId="622F9465" w:rsidR="00D42D62" w:rsidRDefault="00D42D62" w:rsidP="00D42D62">
      <w:pPr>
        <w:pStyle w:val="Paragrdouble"/>
        <w:spacing w:line="240" w:lineRule="auto"/>
      </w:pPr>
      <w:r>
        <w:t xml:space="preserve">D’abord, les articles de cette loi et de son règlement d’application ne font aucunement référence à une obligation pour le gouvernement d’annexer les documents </w:t>
      </w:r>
      <w:r w:rsidR="00CC4CED">
        <w:t>auxquels réfère</w:t>
      </w:r>
      <w:r>
        <w:t xml:space="preserve"> le décret. </w:t>
      </w:r>
    </w:p>
    <w:p w14:paraId="7535B7B9" w14:textId="77777777" w:rsidR="00D42D62" w:rsidRDefault="00D42D62" w:rsidP="00D42D62">
      <w:pPr>
        <w:pStyle w:val="Paragrdouble"/>
        <w:spacing w:line="240" w:lineRule="auto"/>
      </w:pPr>
      <w:r>
        <w:t xml:space="preserve">Ensuite, l’intention du législateur est de faire en sorte que soient publiques les décisions prises par l’exécutif en autant que la décision ne soit pas trop longue. En vertu de l’article 11.2 de la </w:t>
      </w:r>
      <w:r w:rsidRPr="001D48AA">
        <w:rPr>
          <w:i/>
          <w:iCs/>
        </w:rPr>
        <w:t>Loi sur l’exécutif</w:t>
      </w:r>
      <w:r>
        <w:t xml:space="preserve"> et du règlement d’application, le gouvernement peut substituer, dans le cas où le décret fait plus de 10 pages, la publication du texte intégral par un avis d’adoption indiquant le titre du décret, la date où il a été pris, son numéro et son nombre de pages.  </w:t>
      </w:r>
    </w:p>
    <w:p w14:paraId="28D62B1F" w14:textId="77777777" w:rsidR="00D42D62" w:rsidRDefault="00D42D62" w:rsidP="00D42D62">
      <w:pPr>
        <w:pStyle w:val="Paragrdouble"/>
        <w:spacing w:line="240" w:lineRule="auto"/>
      </w:pPr>
      <w:r>
        <w:t xml:space="preserve">C’est donc dire que, dans le cas qui nous occupe, si le décret de 10 pages avait eu quelques lignes de plus et que la </w:t>
      </w:r>
      <w:r w:rsidRPr="009321BD">
        <w:rPr>
          <w:i/>
          <w:iCs/>
        </w:rPr>
        <w:t>Gazette officielle du Québec</w:t>
      </w:r>
      <w:r>
        <w:t xml:space="preserve"> n’avait publié que le titre du décret, sa date d’adoption et son nombre de pages, tout aurait été légal. Or, parce qu’il est trop court de quelques lignes, les demandeurs prétendent que les 6000 pages auraient dû être publiées. Convenons du caractère incongru de cette approche. À la lumière de cette situation, l’esprit de cette législation est sûrement de faire connaître la décision du gouvernement en autant qu’elle soit brève (10 pages et moins), sans qu’il ne soit nécessaire de publier les annexes.</w:t>
      </w:r>
    </w:p>
    <w:p w14:paraId="3B4101EE" w14:textId="77777777" w:rsidR="00D42D62" w:rsidRDefault="00D42D62" w:rsidP="00D42D62">
      <w:pPr>
        <w:pStyle w:val="Paragrdouble"/>
        <w:spacing w:line="240" w:lineRule="auto"/>
      </w:pPr>
      <w:r>
        <w:t>Puisque d’importantes décisions du Conseil des ministres sont souvent assorties d’annexes, cela reviendrait à dire que le public devrait se contenter du titre et de ses dates d’adoption dans ces cas. Cela serait illogique. L’esprit du législateur n’est sûrement pas de rendre opaque l’administration publique pour les décisions importantes. Au contraire.</w:t>
      </w:r>
    </w:p>
    <w:p w14:paraId="47F3CDBE" w14:textId="77777777" w:rsidR="00D42D62" w:rsidRDefault="00D42D62" w:rsidP="00D42D62">
      <w:pPr>
        <w:pStyle w:val="Paragrdouble"/>
        <w:spacing w:line="240" w:lineRule="auto"/>
      </w:pPr>
      <w:r>
        <w:t xml:space="preserve">Bien qu’il soit sensible à la préoccupation des demandeurs concernant l’accès aux documents cités, le Tribunal ne peut souscrire à l’argument suivant lequel telle obligation </w:t>
      </w:r>
      <w:r>
        <w:lastRenderedPageBreak/>
        <w:t>existerait, en l’absence d’une disposition législative claire à cet effet. Le silence de la loi ou du règlement n’équivaut pas à une obligation de faire.</w:t>
      </w:r>
    </w:p>
    <w:p w14:paraId="0D4F55DF" w14:textId="110696C0" w:rsidR="00D42D62" w:rsidRDefault="00D42D62" w:rsidP="00D42D62">
      <w:pPr>
        <w:pStyle w:val="Paragrdouble"/>
        <w:spacing w:line="240" w:lineRule="auto"/>
      </w:pPr>
      <w:r>
        <w:t>Par conséquent, l</w:t>
      </w:r>
      <w:r w:rsidR="00433604">
        <w:t>a publication du</w:t>
      </w:r>
      <w:r>
        <w:t xml:space="preserve"> décret 655-2022 respecte les exigences de la </w:t>
      </w:r>
      <w:r>
        <w:rPr>
          <w:i/>
          <w:iCs/>
        </w:rPr>
        <w:t>Loi sur l’exécutif</w:t>
      </w:r>
      <w:r>
        <w:t xml:space="preserve"> et du </w:t>
      </w:r>
      <w:r>
        <w:rPr>
          <w:i/>
          <w:iCs/>
        </w:rPr>
        <w:t>Règlement sur les exemptions de publication intégrale des décrets</w:t>
      </w:r>
      <w:r>
        <w:t>.</w:t>
      </w:r>
    </w:p>
    <w:p w14:paraId="574A5A0B" w14:textId="0773CF99" w:rsidR="00242692" w:rsidRDefault="00242692" w:rsidP="00650AF6">
      <w:pPr>
        <w:pStyle w:val="Titre4"/>
      </w:pPr>
      <w:bookmarkStart w:id="25" w:name="_Toc124755348"/>
      <w:r>
        <w:t xml:space="preserve">Conclusions quant </w:t>
      </w:r>
      <w:r w:rsidR="006067B9">
        <w:t>à la demande d</w:t>
      </w:r>
      <w:r w:rsidR="008E3951">
        <w:t>e nullité</w:t>
      </w:r>
      <w:r w:rsidR="006067B9">
        <w:t xml:space="preserve"> du décret 655-2022</w:t>
      </w:r>
      <w:bookmarkEnd w:id="25"/>
    </w:p>
    <w:p w14:paraId="07FAE14F" w14:textId="7EFB5819" w:rsidR="00757062" w:rsidRDefault="0008245A" w:rsidP="00C23572">
      <w:pPr>
        <w:pStyle w:val="Paragrdouble"/>
        <w:spacing w:line="240" w:lineRule="auto"/>
      </w:pPr>
      <w:r>
        <w:t>En conclusion</w:t>
      </w:r>
      <w:r w:rsidR="00757062">
        <w:t xml:space="preserve"> </w:t>
      </w:r>
      <w:r w:rsidR="005A5A2E">
        <w:t>quant à la demande de nullité du</w:t>
      </w:r>
      <w:r w:rsidR="00757062">
        <w:t xml:space="preserve"> décret 655-2022, le Tribunal rejette </w:t>
      </w:r>
      <w:r w:rsidR="00B12DCB">
        <w:t>c</w:t>
      </w:r>
      <w:r w:rsidR="00757062">
        <w:t>e recours des demandeurs pour les motifs suivants :</w:t>
      </w:r>
    </w:p>
    <w:p w14:paraId="31A15D05" w14:textId="47D508EC" w:rsidR="00C53255" w:rsidRDefault="002E2E71" w:rsidP="005C14A5">
      <w:pPr>
        <w:pStyle w:val="Paragrdouble"/>
        <w:numPr>
          <w:ilvl w:val="0"/>
          <w:numId w:val="8"/>
        </w:numPr>
        <w:spacing w:line="240" w:lineRule="auto"/>
      </w:pPr>
      <w:r>
        <w:t xml:space="preserve"> </w:t>
      </w:r>
      <w:r w:rsidR="00EC2945">
        <w:t>A</w:t>
      </w:r>
      <w:r>
        <w:t>u sens de l’article 31</w:t>
      </w:r>
      <w:r w:rsidR="00EC2945">
        <w:t>.5</w:t>
      </w:r>
      <w:r>
        <w:t xml:space="preserve"> </w:t>
      </w:r>
      <w:r w:rsidR="00EC2945">
        <w:t>LQE, le Conseil des ministres avait le pouvoir</w:t>
      </w:r>
      <w:r w:rsidR="00676CE9">
        <w:t xml:space="preserve"> de se prononcer sur le projet de tramway de Québec. </w:t>
      </w:r>
    </w:p>
    <w:p w14:paraId="60365687" w14:textId="311C9C35" w:rsidR="00EC2945" w:rsidRDefault="00676CE9" w:rsidP="005C14A5">
      <w:pPr>
        <w:pStyle w:val="Paragrdouble"/>
        <w:numPr>
          <w:ilvl w:val="0"/>
          <w:numId w:val="8"/>
        </w:numPr>
        <w:spacing w:line="240" w:lineRule="auto"/>
      </w:pPr>
      <w:r>
        <w:t xml:space="preserve">De plus, la procédure décisionnelle a été suivie. </w:t>
      </w:r>
    </w:p>
    <w:p w14:paraId="4222A8E2" w14:textId="23ECABCE" w:rsidR="009533A8" w:rsidRDefault="009533A8" w:rsidP="005C14A5">
      <w:pPr>
        <w:pStyle w:val="Paragrdouble"/>
        <w:numPr>
          <w:ilvl w:val="0"/>
          <w:numId w:val="8"/>
        </w:numPr>
        <w:spacing w:line="240" w:lineRule="auto"/>
      </w:pPr>
      <w:r>
        <w:t>Les règles de justice naturelle et d’équité procédurale n’ont pas été enfreinte</w:t>
      </w:r>
      <w:r w:rsidR="004E4C0A">
        <w:t>s.</w:t>
      </w:r>
    </w:p>
    <w:p w14:paraId="6E395995" w14:textId="77933F61" w:rsidR="00CB5055" w:rsidRDefault="00CB5055" w:rsidP="005C14A5">
      <w:pPr>
        <w:pStyle w:val="Paragrdouble"/>
        <w:numPr>
          <w:ilvl w:val="0"/>
          <w:numId w:val="8"/>
        </w:numPr>
        <w:spacing w:line="240" w:lineRule="auto"/>
      </w:pPr>
      <w:r>
        <w:t>La décision du Conseil des ministres d’autoriser les travaux préliminaires s’inspire aussi de l’esprit de la loi (LRSVQ) de doter la Ville de Québec d’un réseau structurant de transport, incluant un tramway.</w:t>
      </w:r>
    </w:p>
    <w:p w14:paraId="7F68B772" w14:textId="79B9F6AE" w:rsidR="00E57745" w:rsidRDefault="00E57745" w:rsidP="005C14A5">
      <w:pPr>
        <w:pStyle w:val="Paragrdouble"/>
        <w:numPr>
          <w:ilvl w:val="0"/>
          <w:numId w:val="8"/>
        </w:numPr>
        <w:spacing w:line="240" w:lineRule="auto"/>
      </w:pPr>
      <w:r>
        <w:t xml:space="preserve">De nombreuses consultations publiques ont permis aux citoyens de Québec au cours des 20 dernières années </w:t>
      </w:r>
      <w:r w:rsidR="1E59ECDE">
        <w:t xml:space="preserve">de se faire entendre </w:t>
      </w:r>
      <w:r>
        <w:t>sur le projet de réseau structurant de transport en commun et le tramway a fait l’objet de nombreuses discussions</w:t>
      </w:r>
      <w:r w:rsidR="00C53255">
        <w:t>.</w:t>
      </w:r>
    </w:p>
    <w:p w14:paraId="77E190C5" w14:textId="7B8C2690" w:rsidR="00E57745" w:rsidRDefault="00E57745" w:rsidP="005C14A5">
      <w:pPr>
        <w:pStyle w:val="Paragrdouble"/>
        <w:numPr>
          <w:ilvl w:val="0"/>
          <w:numId w:val="8"/>
        </w:numPr>
        <w:spacing w:line="240" w:lineRule="auto"/>
      </w:pPr>
      <w:r>
        <w:t xml:space="preserve">Bien des études, supportées par de nombreux experts, ont permis de conclure que le </w:t>
      </w:r>
      <w:r w:rsidR="3625F3A2">
        <w:t>système</w:t>
      </w:r>
      <w:r>
        <w:t xml:space="preserve"> rapide par bus aurait, à terme, des contraintes de capacité, alors que le tramway constitue un mode de transport plus adapté aux</w:t>
      </w:r>
      <w:r w:rsidR="005C50BB">
        <w:t xml:space="preserve"> besoins </w:t>
      </w:r>
      <w:r w:rsidR="008A35A3">
        <w:t xml:space="preserve">actuels et futurs </w:t>
      </w:r>
      <w:r w:rsidR="005C50BB">
        <w:t>des</w:t>
      </w:r>
      <w:r>
        <w:t xml:space="preserve"> citoyens de Québec</w:t>
      </w:r>
      <w:r w:rsidR="00C53255">
        <w:t>.</w:t>
      </w:r>
    </w:p>
    <w:p w14:paraId="360294CA" w14:textId="20CBCBFC" w:rsidR="00780C8E" w:rsidRDefault="00853CD9" w:rsidP="005C14A5">
      <w:pPr>
        <w:pStyle w:val="Paragrdouble"/>
        <w:numPr>
          <w:ilvl w:val="0"/>
          <w:numId w:val="8"/>
        </w:numPr>
        <w:spacing w:line="240" w:lineRule="auto"/>
      </w:pPr>
      <w:r>
        <w:t>À la suite du rapport du BAPE, l</w:t>
      </w:r>
      <w:r w:rsidR="00780C8E">
        <w:t>e processus rigoureux mené par le ministère de l’</w:t>
      </w:r>
      <w:r>
        <w:t>E</w:t>
      </w:r>
      <w:r w:rsidR="00780C8E">
        <w:t>nvironnement, avec la collaboration d’autres ministères, a permis à la Ville de prendre des engagements</w:t>
      </w:r>
      <w:r w:rsidR="009471BF">
        <w:t xml:space="preserve"> qui répondent en partie</w:t>
      </w:r>
      <w:r w:rsidR="008A35A3">
        <w:t xml:space="preserve"> du moins</w:t>
      </w:r>
      <w:r w:rsidR="009471BF">
        <w:t xml:space="preserve"> aux appréhensions exprimées</w:t>
      </w:r>
      <w:r w:rsidR="008A35A3">
        <w:t>.</w:t>
      </w:r>
    </w:p>
    <w:p w14:paraId="1E1B7848" w14:textId="35A53D76" w:rsidR="00E72801" w:rsidRDefault="00E72801" w:rsidP="005C14A5">
      <w:pPr>
        <w:pStyle w:val="Paragrdouble"/>
        <w:numPr>
          <w:ilvl w:val="0"/>
          <w:numId w:val="8"/>
        </w:numPr>
        <w:spacing w:line="240" w:lineRule="auto"/>
      </w:pPr>
      <w:r>
        <w:t xml:space="preserve">Il était parfaitement possible au Conseil des ministres </w:t>
      </w:r>
      <w:r w:rsidR="00AB493A">
        <w:t xml:space="preserve">de </w:t>
      </w:r>
      <w:r w:rsidR="00C43BF2">
        <w:t xml:space="preserve">ne pas </w:t>
      </w:r>
      <w:r w:rsidR="00AB493A">
        <w:t xml:space="preserve">tenir compte </w:t>
      </w:r>
      <w:r w:rsidR="001761DB">
        <w:t xml:space="preserve">des conclusions </w:t>
      </w:r>
      <w:r w:rsidR="00AB493A">
        <w:t>du</w:t>
      </w:r>
      <w:r>
        <w:t xml:space="preserve"> rapport du BAPE, celui-ci faisant partie d’un ensemble d’informations dont il a tenu compte dans son analyse</w:t>
      </w:r>
      <w:r w:rsidR="00F71354">
        <w:t>.</w:t>
      </w:r>
    </w:p>
    <w:p w14:paraId="31C85A2A" w14:textId="4AB0643D" w:rsidR="002B6E1D" w:rsidRDefault="00624C81" w:rsidP="005C14A5">
      <w:pPr>
        <w:pStyle w:val="Paragrdouble"/>
        <w:numPr>
          <w:ilvl w:val="0"/>
          <w:numId w:val="8"/>
        </w:numPr>
        <w:spacing w:line="240" w:lineRule="auto"/>
      </w:pPr>
      <w:r>
        <w:t>Le décret</w:t>
      </w:r>
      <w:r w:rsidR="002B6E1D">
        <w:t xml:space="preserve"> n’a pas été adopté à des fins impropres, non prévues à la </w:t>
      </w:r>
      <w:r w:rsidR="2F0CB954">
        <w:t>l</w:t>
      </w:r>
      <w:r w:rsidR="002B6E1D">
        <w:t xml:space="preserve">oi, de mauvaise foi, selon des principes erronés en tenant compte de considérations </w:t>
      </w:r>
      <w:r w:rsidR="00C533F1">
        <w:t>non pertinentes ou d’une façon discriminatoire ou injuste, arbitraire ou déraisonnable</w:t>
      </w:r>
      <w:r w:rsidR="00F71354">
        <w:t>.</w:t>
      </w:r>
    </w:p>
    <w:p w14:paraId="4D6F418B" w14:textId="6BC2AAF9" w:rsidR="00B835FB" w:rsidRDefault="00197AD1" w:rsidP="005C14A5">
      <w:pPr>
        <w:pStyle w:val="Paragrdouble"/>
        <w:numPr>
          <w:ilvl w:val="0"/>
          <w:numId w:val="8"/>
        </w:numPr>
        <w:spacing w:line="240" w:lineRule="auto"/>
      </w:pPr>
      <w:r>
        <w:lastRenderedPageBreak/>
        <w:t>Le décret 655-2022</w:t>
      </w:r>
      <w:r w:rsidR="00A50FD2">
        <w:t xml:space="preserve"> </w:t>
      </w:r>
      <w:r w:rsidR="00D973C7">
        <w:t>est une</w:t>
      </w:r>
      <w:r w:rsidR="00A50FD2">
        <w:t xml:space="preserve"> décision prise</w:t>
      </w:r>
      <w:r w:rsidR="00616C41">
        <w:t xml:space="preserve"> par le Conseil des ministres</w:t>
      </w:r>
      <w:r w:rsidR="00A23DC3">
        <w:t>, bénéficiant d’une large discrétion</w:t>
      </w:r>
      <w:r w:rsidR="00F71354">
        <w:t>.</w:t>
      </w:r>
    </w:p>
    <w:p w14:paraId="1F9DE372" w14:textId="7319FA37" w:rsidR="00A82ABE" w:rsidRPr="00C23572" w:rsidRDefault="00B835FB" w:rsidP="005C14A5">
      <w:pPr>
        <w:pStyle w:val="Paragrdouble"/>
        <w:numPr>
          <w:ilvl w:val="0"/>
          <w:numId w:val="8"/>
        </w:numPr>
        <w:spacing w:line="240" w:lineRule="auto"/>
      </w:pPr>
      <w:r>
        <w:t>La</w:t>
      </w:r>
      <w:r w:rsidR="00DF1879">
        <w:t xml:space="preserve"> preuve satisfait </w:t>
      </w:r>
      <w:r w:rsidR="00F71354">
        <w:t xml:space="preserve">amplement </w:t>
      </w:r>
      <w:r w:rsidR="00DF1879">
        <w:t>le Tribunal</w:t>
      </w:r>
      <w:r>
        <w:t xml:space="preserve"> quant à </w:t>
      </w:r>
      <w:r w:rsidR="00E8731F">
        <w:t>l</w:t>
      </w:r>
      <w:r>
        <w:t>a légalité</w:t>
      </w:r>
      <w:r w:rsidR="00E8731F">
        <w:t xml:space="preserve"> du décret 655-2022</w:t>
      </w:r>
      <w:r w:rsidR="00F52BFB">
        <w:t>.</w:t>
      </w:r>
    </w:p>
    <w:p w14:paraId="4AA984C7" w14:textId="5FE86B2C" w:rsidR="00D970C4" w:rsidRDefault="00D970C4" w:rsidP="00D970C4">
      <w:pPr>
        <w:pStyle w:val="Titre3"/>
      </w:pPr>
      <w:bookmarkStart w:id="26" w:name="_Toc124755349"/>
      <w:r>
        <w:t xml:space="preserve">Le droit à l’injonction en vertu de la </w:t>
      </w:r>
      <w:r w:rsidRPr="00882184">
        <w:rPr>
          <w:i/>
          <w:iCs/>
        </w:rPr>
        <w:t>Loi sur la qualité de l’environnement</w:t>
      </w:r>
      <w:bookmarkEnd w:id="26"/>
    </w:p>
    <w:p w14:paraId="6457A5AD" w14:textId="6C0250CC" w:rsidR="00D970C4" w:rsidRDefault="00D970C4" w:rsidP="00D970C4">
      <w:pPr>
        <w:pStyle w:val="Paragrdouble"/>
        <w:spacing w:line="240" w:lineRule="auto"/>
      </w:pPr>
      <w:r>
        <w:t xml:space="preserve">La construction éventuelle de l’infrastructure nécessaire pour faire rouler un tramway à Québec modifiera, à n’en pas douter, le paysage de la </w:t>
      </w:r>
      <w:r w:rsidR="1FC49C4D">
        <w:t>V</w:t>
      </w:r>
      <w:r>
        <w:t>ille de Québec. Sans égard à l’objectif ultime de donner aux citoyens de Québec un moyen de transport collectif nouveau et différent de tout ce qui existe actuellement, tout cela se fera au prix de contraintes sur l’environnement et le paysage.</w:t>
      </w:r>
    </w:p>
    <w:p w14:paraId="117BCBEC" w14:textId="4AE48A94" w:rsidR="00D970C4" w:rsidRDefault="00D970C4" w:rsidP="00D970C4">
      <w:pPr>
        <w:pStyle w:val="Paragrdouble"/>
        <w:spacing w:line="240" w:lineRule="auto"/>
      </w:pPr>
      <w:r>
        <w:t xml:space="preserve">Coupe d’arbres, modification des voies de circulation, création de quais, bref, tout ce qu’invoquent les demandeurs est, probablement du moins en partie, vrai. </w:t>
      </w:r>
      <w:r w:rsidR="00543C42">
        <w:t>La preuve révèle aussi</w:t>
      </w:r>
      <w:r>
        <w:t xml:space="preserve"> que la Ville fera d’importants efforts pour amoindrir les effets temporaires du chantier de construction de ces infrastructures et les conséquences permanentes des contraintes de ce nouveau mode de transport comme en font foi les documents déposés par la Ville auprès du ministère de l’Environnement.</w:t>
      </w:r>
    </w:p>
    <w:p w14:paraId="554AC9B1" w14:textId="14506CD3" w:rsidR="00D970C4" w:rsidRDefault="00D970C4" w:rsidP="00D970C4">
      <w:pPr>
        <w:pStyle w:val="Paragrdouble"/>
        <w:spacing w:line="240" w:lineRule="auto"/>
      </w:pPr>
      <w:r>
        <w:t xml:space="preserve">Au terme des échanges d’informations et d’engagements de la Ville de Québec avec ce ministère, le gouvernement a donné une autorisation au sens de l’article 31.5 LQE. </w:t>
      </w:r>
    </w:p>
    <w:p w14:paraId="3128648B" w14:textId="15A7BEE6" w:rsidR="00D970C4" w:rsidRDefault="00D970C4" w:rsidP="00D970C4">
      <w:pPr>
        <w:pStyle w:val="Paragrdouble"/>
        <w:spacing w:line="240" w:lineRule="auto"/>
      </w:pPr>
      <w:r>
        <w:t>Se fondant sur ces faits, quelles sont les positions des parties</w:t>
      </w:r>
      <w:r w:rsidR="00CB5055">
        <w:t xml:space="preserve"> en regard de la constitutionnalité de l’article 19.7 LQE </w:t>
      </w:r>
      <w:r>
        <w:t xml:space="preserve">? </w:t>
      </w:r>
    </w:p>
    <w:p w14:paraId="75A5E8C8" w14:textId="77777777" w:rsidR="00D970C4" w:rsidRDefault="00D970C4" w:rsidP="00D970C4">
      <w:pPr>
        <w:pStyle w:val="Paragrdouble"/>
        <w:spacing w:line="240" w:lineRule="auto"/>
      </w:pPr>
      <w:r>
        <w:t xml:space="preserve">Les demandeurs invoquent la disposition-phare de la </w:t>
      </w:r>
      <w:r>
        <w:rPr>
          <w:i/>
          <w:iCs/>
        </w:rPr>
        <w:t>Loi sur la qualité de l’environnement </w:t>
      </w:r>
      <w:r>
        <w:t>:</w:t>
      </w:r>
    </w:p>
    <w:p w14:paraId="78E03B03" w14:textId="6410B6D4" w:rsidR="00D970C4" w:rsidRPr="00E43815" w:rsidRDefault="00D970C4" w:rsidP="00D970C4">
      <w:pPr>
        <w:pStyle w:val="Paragraphe"/>
        <w:tabs>
          <w:tab w:val="clear" w:pos="1636"/>
          <w:tab w:val="left" w:pos="709"/>
        </w:tabs>
        <w:spacing w:line="240" w:lineRule="auto"/>
        <w:ind w:left="708" w:right="610"/>
        <w:rPr>
          <w:sz w:val="22"/>
          <w:szCs w:val="22"/>
        </w:rPr>
      </w:pPr>
      <w:r w:rsidRPr="00E43815">
        <w:rPr>
          <w:sz w:val="22"/>
          <w:szCs w:val="22"/>
        </w:rPr>
        <w:t>19.1 Toute personne a droit à la qualité de l’environnement, à sa protection et à la sauvegarde des espèces vivantes qui y habitent, dans la mesure prévue par la présente loi, les règlements, les ordonnances, les approbations et les autorisations délivrées en vertu de l’un ou l’autre des articles de la présente loi</w:t>
      </w:r>
      <w:r w:rsidR="009C32AD">
        <w:rPr>
          <w:sz w:val="22"/>
          <w:szCs w:val="22"/>
        </w:rPr>
        <w:t xml:space="preserve"> </w:t>
      </w:r>
      <w:r w:rsidR="6A8CF655" w:rsidRPr="6970308A">
        <w:rPr>
          <w:sz w:val="22"/>
          <w:szCs w:val="22"/>
        </w:rPr>
        <w:t>[</w:t>
      </w:r>
      <w:r w:rsidRPr="6970308A">
        <w:rPr>
          <w:sz w:val="22"/>
          <w:szCs w:val="22"/>
        </w:rPr>
        <w:t>…</w:t>
      </w:r>
      <w:r w:rsidR="2AEA0B85" w:rsidRPr="6970308A">
        <w:rPr>
          <w:sz w:val="22"/>
          <w:szCs w:val="22"/>
        </w:rPr>
        <w:t>].</w:t>
      </w:r>
    </w:p>
    <w:p w14:paraId="4D44D3C1" w14:textId="42AD12F8" w:rsidR="00D970C4" w:rsidRDefault="00D970C4" w:rsidP="00D970C4">
      <w:pPr>
        <w:pStyle w:val="Paragrdouble"/>
        <w:spacing w:line="240" w:lineRule="auto"/>
      </w:pPr>
      <w:r>
        <w:t xml:space="preserve">En cas de contravention, </w:t>
      </w:r>
      <w:r w:rsidR="00EF4A65">
        <w:t>suivant l</w:t>
      </w:r>
      <w:r w:rsidR="009F234B">
        <w:t xml:space="preserve">’article 19.2, </w:t>
      </w:r>
      <w:r>
        <w:t>la Cour supérieure a juridiction pour accorder une injonction</w:t>
      </w:r>
      <w:r>
        <w:rPr>
          <w:rStyle w:val="Appelnotedebasdep"/>
        </w:rPr>
        <w:footnoteReference w:id="82"/>
      </w:r>
      <w:r>
        <w:t>.</w:t>
      </w:r>
    </w:p>
    <w:p w14:paraId="647C8215" w14:textId="77777777" w:rsidR="00D970C4" w:rsidRDefault="00D970C4" w:rsidP="00D970C4">
      <w:pPr>
        <w:pStyle w:val="Paragrdouble"/>
        <w:spacing w:line="240" w:lineRule="auto"/>
      </w:pPr>
      <w:r>
        <w:t>Les demandeurs prétendent toutefois que ce pouvoir est illégalement limité par l’article 19.7, allant à l’encontre des pouvoirs généraux reconnus à la Cour supérieure :</w:t>
      </w:r>
    </w:p>
    <w:p w14:paraId="179739D8" w14:textId="77777777" w:rsidR="00D970C4" w:rsidRPr="004C30E5" w:rsidRDefault="00D970C4" w:rsidP="00D970C4">
      <w:pPr>
        <w:pStyle w:val="Paragraphe"/>
        <w:tabs>
          <w:tab w:val="clear" w:pos="1636"/>
          <w:tab w:val="left" w:pos="709"/>
        </w:tabs>
        <w:spacing w:line="240" w:lineRule="auto"/>
        <w:ind w:left="708" w:right="610"/>
        <w:rPr>
          <w:sz w:val="22"/>
          <w:szCs w:val="22"/>
        </w:rPr>
      </w:pPr>
      <w:r w:rsidRPr="004C30E5">
        <w:rPr>
          <w:sz w:val="22"/>
          <w:szCs w:val="22"/>
        </w:rPr>
        <w:lastRenderedPageBreak/>
        <w:t>19.7 Les articles 19.2 à 19.6 ne s’appliquent pas dans le cas où un projet, un plan de réhabilitation d’un terrain ou un programme d’assainissement a été autorisé ou approuvé en vertu de la présente loi, ni dans le cas où une attestation d’assainissement a été délivrée en vertu de la présente loi, sauf dans le cas d’un acte non conforme aux dispositions d’une autorisation, d’un plan de réhabilitation, d’un programme d’assainissement, d’une attestation d’assainissement ou de tout règlement applicable.</w:t>
      </w:r>
    </w:p>
    <w:p w14:paraId="1F92E19F" w14:textId="43E730B5" w:rsidR="00D970C4" w:rsidRDefault="00D970C4" w:rsidP="00D970C4">
      <w:pPr>
        <w:pStyle w:val="Paragrdouble"/>
        <w:spacing w:line="240" w:lineRule="auto"/>
      </w:pPr>
      <w:r>
        <w:t>Les demandeurs ont tort. Ces dispositions</w:t>
      </w:r>
      <w:r w:rsidR="2B4D61A3">
        <w:t xml:space="preserve"> de la</w:t>
      </w:r>
      <w:r>
        <w:t xml:space="preserve"> loi n’enlèvent rien au pouvoir général de la Cour supérieure d’exercer son pouvoir de contrôle et de surveillance sur toutes les activités qui se tiennent au Québec ou d’émettre des injonctions</w:t>
      </w:r>
      <w:r>
        <w:rPr>
          <w:rStyle w:val="Appelnotedebasdep"/>
        </w:rPr>
        <w:footnoteReference w:id="83"/>
      </w:r>
      <w:r>
        <w:t>. Cette loi crée des contraintes afin de protéger l’environnement : elle oblige tout citoyen à demander des autorisations en regard de travaux qui, définis par la législation et la réglementation, pourraient affecter l’environnement. En fait, cette loi déclare que la Cour supérieure est le Tribunal chargé de son respect: elle ne lui en enlève aucun pouvoir.</w:t>
      </w:r>
    </w:p>
    <w:p w14:paraId="60E6558B" w14:textId="649770CE" w:rsidR="00D970C4" w:rsidRDefault="00D970C4" w:rsidP="00D970C4">
      <w:pPr>
        <w:pStyle w:val="Paragrdouble"/>
        <w:spacing w:line="240" w:lineRule="auto"/>
      </w:pPr>
      <w:r>
        <w:t>Pour nous convaincre que cette loi est contraignante pour tout promoteur de projet qui pourrait affecter l’environnement et qu’elle attribue des pouvoirs à la Cour supérieure d’en assurer le respect, imaginons un instant que la LQE n’existe pas. Ce serait dire alors que la Ville pourrait réaliser le projet de tramway sans être contrainte par une loi d’assurer le respect de la</w:t>
      </w:r>
      <w:r w:rsidR="00E177B6">
        <w:t xml:space="preserve"> qualité de</w:t>
      </w:r>
      <w:r>
        <w:t xml:space="preserve"> vie des citoyens et de la nature environnante. Quelle serait alors le pouvoir de la Cour supérieure sinon que de faire respecter le droit au voisinage au sens de l’article 976 du </w:t>
      </w:r>
      <w:r w:rsidRPr="00700BEF">
        <w:rPr>
          <w:i/>
          <w:iCs/>
        </w:rPr>
        <w:t>Code civil du Québec</w:t>
      </w:r>
      <w:r>
        <w:t>?</w:t>
      </w:r>
    </w:p>
    <w:p w14:paraId="7F6CABF4" w14:textId="7DF05AE0" w:rsidR="00D970C4" w:rsidRDefault="007B79E6" w:rsidP="00D970C4">
      <w:pPr>
        <w:pStyle w:val="Paragrdouble"/>
        <w:spacing w:line="240" w:lineRule="auto"/>
      </w:pPr>
      <w:r>
        <w:t>Bref</w:t>
      </w:r>
      <w:r w:rsidR="00D970C4">
        <w:t>, la LQE pose les balises d’un développement environnemental harmonieux et la Cour supérieure est chargée du respect de celles-ci.</w:t>
      </w:r>
    </w:p>
    <w:p w14:paraId="070DB684" w14:textId="1764C796" w:rsidR="00D970C4" w:rsidRDefault="00D970C4" w:rsidP="00D970C4">
      <w:pPr>
        <w:pStyle w:val="Paragrdouble"/>
        <w:spacing w:line="240" w:lineRule="auto"/>
      </w:pPr>
      <w:r>
        <w:t xml:space="preserve">Dès lors que le décret autorisant les travaux préparatoires du tramway </w:t>
      </w:r>
      <w:r w:rsidR="00101960">
        <w:t xml:space="preserve">est </w:t>
      </w:r>
      <w:r w:rsidR="008E01F6">
        <w:t xml:space="preserve">légalement </w:t>
      </w:r>
      <w:r w:rsidR="00101960">
        <w:t>émis</w:t>
      </w:r>
      <w:r>
        <w:t>, les demandeurs ne peuvent se prévaloir de l’article 19.2 LQE pour obtenir une injonction contre les autorités gouvernementales</w:t>
      </w:r>
      <w:r w:rsidR="006C1BF5">
        <w:t xml:space="preserve"> ou les promoteurs du projet</w:t>
      </w:r>
      <w:r>
        <w:t>.</w:t>
      </w:r>
      <w:r w:rsidR="00D677B9">
        <w:t xml:space="preserve"> Cette disposition n’enlève rien au pouvoir de la Cour supérieure</w:t>
      </w:r>
      <w:r w:rsidR="00032C6E">
        <w:t xml:space="preserve"> reconnu en 1867.</w:t>
      </w:r>
    </w:p>
    <w:p w14:paraId="4F270CAE" w14:textId="0D32C8AE" w:rsidR="00892C70" w:rsidRDefault="00C00CC7" w:rsidP="00F04F7A">
      <w:pPr>
        <w:pStyle w:val="Titre3"/>
      </w:pPr>
      <w:bookmarkStart w:id="27" w:name="_Toc124755350"/>
      <w:r>
        <w:t>Les dispositions légales dont la constitutionnalité est contestée</w:t>
      </w:r>
      <w:bookmarkEnd w:id="27"/>
    </w:p>
    <w:p w14:paraId="71460ED4" w14:textId="2A88A407" w:rsidR="00BC5670" w:rsidRDefault="00BC5670" w:rsidP="00461419">
      <w:pPr>
        <w:pStyle w:val="Paragraphe"/>
        <w:numPr>
          <w:ilvl w:val="0"/>
          <w:numId w:val="1"/>
        </w:numPr>
        <w:tabs>
          <w:tab w:val="clear" w:pos="360"/>
          <w:tab w:val="left" w:pos="709"/>
        </w:tabs>
        <w:spacing w:line="240" w:lineRule="auto"/>
      </w:pPr>
      <w:r>
        <w:t xml:space="preserve">Les demandeurs </w:t>
      </w:r>
      <w:r w:rsidR="007D3076">
        <w:t>contestent</w:t>
      </w:r>
      <w:r>
        <w:t xml:space="preserve"> les dispositions suivantes </w:t>
      </w:r>
      <w:r w:rsidR="007D3076">
        <w:t>qui auraient</w:t>
      </w:r>
      <w:r>
        <w:t xml:space="preserve"> pour effet d’interdire ou, du moins, de ne pas obliger la tenue d’un référendum consultatif préalable à la décision d’autoriser le projet de tramway à Québec</w:t>
      </w:r>
      <w:r w:rsidR="00BF5B38">
        <w:t>, savoir</w:t>
      </w:r>
      <w:r>
        <w:t xml:space="preserve"> :</w:t>
      </w:r>
    </w:p>
    <w:p w14:paraId="27B3E064" w14:textId="77777777" w:rsidR="00BC5670" w:rsidRDefault="00BC5670" w:rsidP="005C14A5">
      <w:pPr>
        <w:pStyle w:val="Paragrdouble"/>
        <w:numPr>
          <w:ilvl w:val="0"/>
          <w:numId w:val="10"/>
        </w:numPr>
        <w:spacing w:line="240" w:lineRule="auto"/>
      </w:pPr>
      <w:r>
        <w:t xml:space="preserve">les articles 80.1 à 80.3 de la </w:t>
      </w:r>
      <w:r w:rsidRPr="4FD1AEB1">
        <w:rPr>
          <w:i/>
          <w:iCs/>
        </w:rPr>
        <w:t>Loi sur l’aménagement et l’urbanisme</w:t>
      </w:r>
      <w:r>
        <w:t xml:space="preserve"> (LAU)</w:t>
      </w:r>
      <w:r>
        <w:rPr>
          <w:rStyle w:val="Appelnotedebasdep"/>
        </w:rPr>
        <w:footnoteReference w:id="84"/>
      </w:r>
      <w:r>
        <w:t>;</w:t>
      </w:r>
    </w:p>
    <w:p w14:paraId="55C681B7" w14:textId="09351A0D" w:rsidR="002D3901" w:rsidRPr="00130E23" w:rsidRDefault="002D3901" w:rsidP="002D3901">
      <w:pPr>
        <w:pStyle w:val="Paragrdouble"/>
        <w:numPr>
          <w:ilvl w:val="0"/>
          <w:numId w:val="10"/>
        </w:numPr>
        <w:spacing w:line="240" w:lineRule="auto"/>
      </w:pPr>
      <w:r>
        <w:t xml:space="preserve">le </w:t>
      </w:r>
      <w:r w:rsidRPr="0023608B">
        <w:rPr>
          <w:i/>
          <w:iCs/>
        </w:rPr>
        <w:t>Règlement sur la participation publique en matière d’aménagement et d’urbanisme</w:t>
      </w:r>
      <w:r>
        <w:rPr>
          <w:i/>
          <w:iCs/>
        </w:rPr>
        <w:t>;</w:t>
      </w:r>
    </w:p>
    <w:p w14:paraId="3AB41C18" w14:textId="69694041" w:rsidR="00BC5670" w:rsidRDefault="00BC5670" w:rsidP="005C14A5">
      <w:pPr>
        <w:pStyle w:val="Paragrdouble"/>
        <w:numPr>
          <w:ilvl w:val="0"/>
          <w:numId w:val="10"/>
        </w:numPr>
        <w:spacing w:line="240" w:lineRule="auto"/>
      </w:pPr>
      <w:r>
        <w:lastRenderedPageBreak/>
        <w:t xml:space="preserve">l’article 74.5.2 de la </w:t>
      </w:r>
      <w:r w:rsidRPr="00F04F7A">
        <w:t>Charte de la Ville</w:t>
      </w:r>
      <w:r w:rsidR="002D3901">
        <w:t>.</w:t>
      </w:r>
    </w:p>
    <w:p w14:paraId="7EA48180" w14:textId="1C80ACB1" w:rsidR="00BC5670" w:rsidRPr="00BC5670" w:rsidRDefault="00C00CC7" w:rsidP="008E6A9A">
      <w:pPr>
        <w:pStyle w:val="Paragraphe"/>
        <w:numPr>
          <w:ilvl w:val="0"/>
          <w:numId w:val="1"/>
        </w:numPr>
        <w:tabs>
          <w:tab w:val="clear" w:pos="360"/>
          <w:tab w:val="left" w:pos="709"/>
        </w:tabs>
        <w:spacing w:line="240" w:lineRule="auto"/>
      </w:pPr>
      <w:r>
        <w:t xml:space="preserve">Examinons la </w:t>
      </w:r>
      <w:r w:rsidRPr="008E6A9A">
        <w:t>constitutionnalité</w:t>
      </w:r>
      <w:r w:rsidR="0006502B">
        <w:rPr>
          <w:rFonts w:cs="Arial"/>
        </w:rPr>
        <w:t xml:space="preserve"> de ces dispositions.</w:t>
      </w:r>
    </w:p>
    <w:p w14:paraId="5B2F3503" w14:textId="36FC5EB6" w:rsidR="00F15244" w:rsidRDefault="00F15244" w:rsidP="00121305">
      <w:pPr>
        <w:pStyle w:val="Titre4"/>
        <w:jc w:val="both"/>
        <w:rPr>
          <w:lang w:val="fr-FR"/>
        </w:rPr>
      </w:pPr>
      <w:bookmarkStart w:id="28" w:name="_Ref121990991"/>
      <w:bookmarkStart w:id="29" w:name="_Toc124755351"/>
      <w:r>
        <w:rPr>
          <w:lang w:val="fr-FR"/>
        </w:rPr>
        <w:t xml:space="preserve">L’article 4 </w:t>
      </w:r>
      <w:bookmarkStart w:id="30" w:name="_Hlk123296103"/>
      <w:r>
        <w:rPr>
          <w:lang w:val="fr-FR"/>
        </w:rPr>
        <w:t xml:space="preserve">de la </w:t>
      </w:r>
      <w:bookmarkStart w:id="31" w:name="_Hlk123298026"/>
      <w:r w:rsidRPr="5A7F0EA4">
        <w:rPr>
          <w:i/>
          <w:iCs/>
          <w:lang w:val="fr-FR"/>
        </w:rPr>
        <w:t>Loi visant principalement à reconnaître que les municipalités sont des gouvernements de proximité et à augmenter à ce titre leur autonomie et leurs pouvoirs</w:t>
      </w:r>
      <w:bookmarkEnd w:id="28"/>
      <w:bookmarkEnd w:id="30"/>
      <w:bookmarkEnd w:id="31"/>
      <w:r w:rsidR="00632921" w:rsidRPr="5A7F0EA4">
        <w:rPr>
          <w:rStyle w:val="Appelnotedebasdep"/>
          <w:i/>
          <w:iCs/>
          <w:lang w:val="fr-FR"/>
        </w:rPr>
        <w:footnoteReference w:id="85"/>
      </w:r>
      <w:r>
        <w:rPr>
          <w:lang w:val="fr-FR"/>
        </w:rPr>
        <w:t xml:space="preserve"> </w:t>
      </w:r>
      <w:r w:rsidR="001442A4">
        <w:rPr>
          <w:lang w:val="fr-FR"/>
        </w:rPr>
        <w:t xml:space="preserve">et </w:t>
      </w:r>
      <w:r w:rsidR="00700019">
        <w:rPr>
          <w:lang w:val="fr-FR"/>
        </w:rPr>
        <w:t xml:space="preserve">le </w:t>
      </w:r>
      <w:r w:rsidR="00713E09" w:rsidRPr="5A7F0EA4">
        <w:rPr>
          <w:i/>
          <w:iCs/>
          <w:lang w:val="fr-FR"/>
        </w:rPr>
        <w:t>R</w:t>
      </w:r>
      <w:r w:rsidR="00700019" w:rsidRPr="5A7F0EA4">
        <w:rPr>
          <w:i/>
          <w:iCs/>
          <w:lang w:val="fr-FR"/>
        </w:rPr>
        <w:t>èglement sur la participation publique en matière d’aménagement et d’urbanisme</w:t>
      </w:r>
      <w:bookmarkEnd w:id="29"/>
      <w:r w:rsidR="00700019">
        <w:rPr>
          <w:lang w:val="fr-FR"/>
        </w:rPr>
        <w:t xml:space="preserve"> </w:t>
      </w:r>
    </w:p>
    <w:p w14:paraId="3D11A84E" w14:textId="21248C37" w:rsidR="00F15244" w:rsidRPr="00EC4747" w:rsidRDefault="003F5782" w:rsidP="00F15244">
      <w:pPr>
        <w:pStyle w:val="Paragraphe"/>
        <w:numPr>
          <w:ilvl w:val="0"/>
          <w:numId w:val="1"/>
        </w:numPr>
        <w:tabs>
          <w:tab w:val="clear" w:pos="360"/>
          <w:tab w:val="left" w:pos="709"/>
        </w:tabs>
        <w:spacing w:line="240" w:lineRule="auto"/>
        <w:rPr>
          <w:rFonts w:cs="Arial"/>
        </w:rPr>
      </w:pPr>
      <w:r w:rsidRPr="5A7F0EA4">
        <w:rPr>
          <w:rFonts w:cs="Arial"/>
          <w:lang w:val="fr-FR"/>
        </w:rPr>
        <w:t>L’</w:t>
      </w:r>
      <w:r w:rsidR="00F15244" w:rsidRPr="5A7F0EA4">
        <w:rPr>
          <w:rFonts w:cs="Arial"/>
        </w:rPr>
        <w:t>article</w:t>
      </w:r>
      <w:r w:rsidRPr="5A7F0EA4">
        <w:rPr>
          <w:rFonts w:cs="Arial"/>
        </w:rPr>
        <w:t xml:space="preserve"> 4</w:t>
      </w:r>
      <w:r w:rsidR="00F15244" w:rsidRPr="5A7F0EA4">
        <w:rPr>
          <w:rFonts w:cs="Arial"/>
        </w:rPr>
        <w:t xml:space="preserve"> </w:t>
      </w:r>
      <w:r w:rsidR="008566F8" w:rsidRPr="5A7F0EA4">
        <w:rPr>
          <w:rFonts w:cs="Arial"/>
        </w:rPr>
        <w:t xml:space="preserve">de la </w:t>
      </w:r>
      <w:r w:rsidR="00086DDB" w:rsidRPr="5A7F0EA4">
        <w:rPr>
          <w:rFonts w:cs="Arial"/>
          <w:i/>
          <w:iCs/>
        </w:rPr>
        <w:t>Loi sur l’autonomie des municipalités</w:t>
      </w:r>
      <w:r w:rsidR="008566F8" w:rsidRPr="5A7F0EA4">
        <w:rPr>
          <w:rFonts w:cs="Arial"/>
        </w:rPr>
        <w:t xml:space="preserve"> </w:t>
      </w:r>
      <w:r w:rsidR="00F15244" w:rsidRPr="5A7F0EA4">
        <w:rPr>
          <w:rFonts w:cs="Arial"/>
        </w:rPr>
        <w:t xml:space="preserve">introduit de nouveaux articles à la LAU qui, d’après les demandeurs, seraient inopérants. </w:t>
      </w:r>
      <w:r w:rsidR="00A06912" w:rsidRPr="5A7F0EA4">
        <w:rPr>
          <w:rFonts w:cs="Arial"/>
        </w:rPr>
        <w:t>Les nouveaux articles introduits à la LAU auraient</w:t>
      </w:r>
      <w:r w:rsidR="008C6213" w:rsidRPr="5A7F0EA4">
        <w:rPr>
          <w:rFonts w:cs="Arial"/>
        </w:rPr>
        <w:t xml:space="preserve"> permis au gouvernement d’adopter le </w:t>
      </w:r>
      <w:r w:rsidR="008C6213" w:rsidRPr="5A7F0EA4">
        <w:rPr>
          <w:rFonts w:cs="Arial"/>
          <w:i/>
          <w:iCs/>
        </w:rPr>
        <w:t>Règlement sur la participation publique en matière d’aménagement et d’urbanisme</w:t>
      </w:r>
      <w:r w:rsidR="00291137" w:rsidRPr="5A7F0EA4">
        <w:rPr>
          <w:rFonts w:cs="Arial"/>
          <w:i/>
          <w:iCs/>
        </w:rPr>
        <w:t xml:space="preserve">. </w:t>
      </w:r>
      <w:r w:rsidR="00291137" w:rsidRPr="5A7F0EA4">
        <w:rPr>
          <w:rFonts w:cs="Arial"/>
        </w:rPr>
        <w:t>S</w:t>
      </w:r>
      <w:r w:rsidR="005C25F6" w:rsidRPr="5A7F0EA4">
        <w:rPr>
          <w:lang w:val="fr-FR"/>
        </w:rPr>
        <w:t>i la modification</w:t>
      </w:r>
      <w:r w:rsidR="00BB1B27" w:rsidRPr="5A7F0EA4">
        <w:rPr>
          <w:lang w:val="fr-FR"/>
        </w:rPr>
        <w:t xml:space="preserve"> de la LAU est légale, son règlement d’application et le règlement adopté par la </w:t>
      </w:r>
      <w:r w:rsidR="00E175F5" w:rsidRPr="5A7F0EA4">
        <w:rPr>
          <w:lang w:val="fr-FR"/>
        </w:rPr>
        <w:t>V</w:t>
      </w:r>
      <w:r w:rsidR="00BB1B27" w:rsidRPr="5A7F0EA4">
        <w:rPr>
          <w:lang w:val="fr-FR"/>
        </w:rPr>
        <w:t>ille</w:t>
      </w:r>
      <w:r w:rsidR="0049306D" w:rsidRPr="5A7F0EA4">
        <w:rPr>
          <w:lang w:val="fr-FR"/>
        </w:rPr>
        <w:t xml:space="preserve"> dans la foulée de ces changements législatifs</w:t>
      </w:r>
      <w:r w:rsidR="00BB1B27" w:rsidRPr="5A7F0EA4">
        <w:rPr>
          <w:lang w:val="fr-FR"/>
        </w:rPr>
        <w:t xml:space="preserve"> risque</w:t>
      </w:r>
      <w:r w:rsidR="00D12B3F" w:rsidRPr="5A7F0EA4">
        <w:rPr>
          <w:lang w:val="fr-FR"/>
        </w:rPr>
        <w:t>raient</w:t>
      </w:r>
      <w:r w:rsidR="00BB1B27" w:rsidRPr="5A7F0EA4">
        <w:rPr>
          <w:lang w:val="fr-FR"/>
        </w:rPr>
        <w:t xml:space="preserve"> fort d’être eux aussi légaux</w:t>
      </w:r>
      <w:r w:rsidR="00E175F5" w:rsidRPr="5A7F0EA4">
        <w:rPr>
          <w:lang w:val="fr-FR"/>
        </w:rPr>
        <w:t>; c’est pourquoi il convient d’en disposer les uns à la suite des autres</w:t>
      </w:r>
      <w:r w:rsidR="00BB1B27" w:rsidRPr="5A7F0EA4">
        <w:rPr>
          <w:lang w:val="fr-FR"/>
        </w:rPr>
        <w:t>.</w:t>
      </w:r>
    </w:p>
    <w:p w14:paraId="4B33B138" w14:textId="60250039" w:rsidR="00583FFF" w:rsidRDefault="00EC4747" w:rsidP="00F15244">
      <w:pPr>
        <w:pStyle w:val="Paragraphe"/>
        <w:numPr>
          <w:ilvl w:val="0"/>
          <w:numId w:val="1"/>
        </w:numPr>
        <w:tabs>
          <w:tab w:val="clear" w:pos="360"/>
          <w:tab w:val="left" w:pos="709"/>
        </w:tabs>
        <w:spacing w:line="240" w:lineRule="auto"/>
        <w:rPr>
          <w:rFonts w:cs="Arial"/>
        </w:rPr>
      </w:pPr>
      <w:r>
        <w:rPr>
          <w:rFonts w:cs="Arial"/>
        </w:rPr>
        <w:t xml:space="preserve">L’un des arguments de la </w:t>
      </w:r>
      <w:r w:rsidR="00F142B8">
        <w:rPr>
          <w:rFonts w:cs="Arial"/>
        </w:rPr>
        <w:t>V</w:t>
      </w:r>
      <w:r>
        <w:rPr>
          <w:rFonts w:cs="Arial"/>
        </w:rPr>
        <w:t>ille</w:t>
      </w:r>
      <w:r w:rsidR="00583FFF">
        <w:rPr>
          <w:rFonts w:cs="Arial"/>
        </w:rPr>
        <w:t xml:space="preserve"> et qui permettrait au Tribunal de disposer de cette question se </w:t>
      </w:r>
      <w:r w:rsidR="002C1D0D">
        <w:rPr>
          <w:rFonts w:cs="Arial"/>
        </w:rPr>
        <w:t xml:space="preserve">résume </w:t>
      </w:r>
      <w:r w:rsidR="00583FFF">
        <w:rPr>
          <w:rFonts w:cs="Arial"/>
        </w:rPr>
        <w:t>ainsi</w:t>
      </w:r>
      <w:r w:rsidR="00211C42">
        <w:rPr>
          <w:rFonts w:cs="Arial"/>
        </w:rPr>
        <w:t xml:space="preserve"> résume : la Ville ne se prévaut pas de ces articles, à quoi bon faire un débat sur cette question? :</w:t>
      </w:r>
    </w:p>
    <w:p w14:paraId="710410B5" w14:textId="0BA25814" w:rsidR="00EC4747" w:rsidRDefault="00161FC2" w:rsidP="00161FC2">
      <w:pPr>
        <w:spacing w:before="120" w:after="120" w:line="280" w:lineRule="atLeast"/>
        <w:ind w:left="1428" w:right="752"/>
        <w:jc w:val="both"/>
        <w:rPr>
          <w:rFonts w:cs="Arial"/>
          <w:sz w:val="22"/>
          <w:szCs w:val="18"/>
          <w:lang w:val="fr-FR" w:eastAsia="fr-CA"/>
        </w:rPr>
      </w:pPr>
      <w:r w:rsidRPr="00161FC2">
        <w:rPr>
          <w:rFonts w:cs="Arial"/>
          <w:sz w:val="22"/>
          <w:szCs w:val="22"/>
          <w:lang w:val="fr-FR" w:eastAsia="fr-CA"/>
        </w:rPr>
        <w:t>L</w:t>
      </w:r>
      <w:r w:rsidR="00583FFF" w:rsidRPr="00161FC2">
        <w:rPr>
          <w:rFonts w:cs="Arial"/>
          <w:sz w:val="22"/>
          <w:szCs w:val="22"/>
          <w:lang w:val="fr-FR" w:eastAsia="fr-CA"/>
        </w:rPr>
        <w:t xml:space="preserve">a </w:t>
      </w:r>
      <w:r>
        <w:rPr>
          <w:rFonts w:cs="Arial"/>
          <w:sz w:val="22"/>
          <w:szCs w:val="22"/>
          <w:lang w:val="fr-FR" w:eastAsia="fr-CA"/>
        </w:rPr>
        <w:t>V</w:t>
      </w:r>
      <w:r w:rsidR="00583FFF" w:rsidRPr="00161FC2">
        <w:rPr>
          <w:rFonts w:cs="Arial"/>
          <w:sz w:val="22"/>
          <w:szCs w:val="22"/>
          <w:lang w:val="fr-FR" w:eastAsia="fr-CA"/>
        </w:rPr>
        <w:t>ille de Québec a décidé de ne pas se prévaloir du régime d’exclusion prévue aux articles 80.1 et suivants LAU</w:t>
      </w:r>
      <w:r w:rsidRPr="00161FC2">
        <w:rPr>
          <w:rFonts w:cs="Arial"/>
          <w:sz w:val="22"/>
          <w:szCs w:val="22"/>
          <w:lang w:val="fr-FR" w:eastAsia="fr-CA"/>
        </w:rPr>
        <w:t xml:space="preserve">, ce qui implique </w:t>
      </w:r>
      <w:r w:rsidR="00561B59">
        <w:rPr>
          <w:rFonts w:cs="Arial"/>
          <w:sz w:val="22"/>
          <w:szCs w:val="22"/>
          <w:lang w:val="fr-FR" w:eastAsia="fr-CA"/>
        </w:rPr>
        <w:t xml:space="preserve">que </w:t>
      </w:r>
      <w:r w:rsidRPr="00161FC2">
        <w:rPr>
          <w:rFonts w:cs="Arial"/>
          <w:sz w:val="22"/>
          <w:szCs w:val="22"/>
          <w:lang w:val="fr-FR" w:eastAsia="fr-CA"/>
        </w:rPr>
        <w:t>les actes en matière d’urbanisme qui sont susceptibles d’approbation référendaire le demeurent.</w:t>
      </w:r>
      <w:r>
        <w:rPr>
          <w:rStyle w:val="Appelnotedebasdep"/>
          <w:rFonts w:cs="Arial"/>
          <w:sz w:val="22"/>
          <w:szCs w:val="22"/>
          <w:lang w:val="fr-FR" w:eastAsia="fr-CA"/>
        </w:rPr>
        <w:footnoteReference w:id="86"/>
      </w:r>
    </w:p>
    <w:p w14:paraId="04B3DCEE" w14:textId="1223E5E3" w:rsidR="000F6C78" w:rsidRPr="002D3901" w:rsidRDefault="007911D4" w:rsidP="000F6C78">
      <w:pPr>
        <w:pStyle w:val="Paragraphe"/>
        <w:numPr>
          <w:ilvl w:val="0"/>
          <w:numId w:val="1"/>
        </w:numPr>
        <w:tabs>
          <w:tab w:val="clear" w:pos="360"/>
          <w:tab w:val="left" w:pos="709"/>
        </w:tabs>
        <w:spacing w:line="240" w:lineRule="auto"/>
        <w:rPr>
          <w:rFonts w:cs="Arial"/>
          <w:lang w:val="fr-FR" w:eastAsia="fr-CA"/>
        </w:rPr>
      </w:pPr>
      <w:r w:rsidRPr="002D3901">
        <w:rPr>
          <w:rFonts w:cs="Arial"/>
          <w:lang w:val="fr-FR" w:eastAsia="fr-CA"/>
        </w:rPr>
        <w:t>En</w:t>
      </w:r>
      <w:r w:rsidR="008F3298" w:rsidRPr="002D3901">
        <w:rPr>
          <w:rFonts w:cs="Arial"/>
          <w:lang w:val="fr-FR" w:eastAsia="fr-CA"/>
        </w:rPr>
        <w:t xml:space="preserve"> principe, </w:t>
      </w:r>
      <w:r w:rsidR="006840AC">
        <w:rPr>
          <w:rFonts w:cs="Arial"/>
          <w:lang w:val="fr-FR" w:eastAsia="fr-CA"/>
        </w:rPr>
        <w:t xml:space="preserve">la </w:t>
      </w:r>
      <w:r w:rsidR="2F7B1DCC">
        <w:rPr>
          <w:rFonts w:cs="Arial"/>
          <w:lang w:val="fr-FR" w:eastAsia="fr-CA"/>
        </w:rPr>
        <w:t>V</w:t>
      </w:r>
      <w:r w:rsidR="006840AC">
        <w:rPr>
          <w:rFonts w:cs="Arial"/>
          <w:lang w:val="fr-FR" w:eastAsia="fr-CA"/>
        </w:rPr>
        <w:t>ille a raison. I</w:t>
      </w:r>
      <w:r w:rsidR="008F3298" w:rsidRPr="002D3901">
        <w:rPr>
          <w:rFonts w:cs="Arial"/>
          <w:lang w:val="fr-FR" w:eastAsia="fr-CA"/>
        </w:rPr>
        <w:t>l n’est pas nécessaire de se prononcer sur cette question</w:t>
      </w:r>
      <w:r w:rsidR="008828BA" w:rsidRPr="002D3901">
        <w:rPr>
          <w:rFonts w:cs="Arial"/>
          <w:lang w:val="fr-FR" w:eastAsia="fr-CA"/>
        </w:rPr>
        <w:t xml:space="preserve"> car théorique</w:t>
      </w:r>
      <w:r w:rsidR="003402B9">
        <w:rPr>
          <w:rStyle w:val="Appelnotedebasdep"/>
          <w:rFonts w:cs="Arial"/>
          <w:lang w:val="fr-FR" w:eastAsia="fr-CA"/>
        </w:rPr>
        <w:footnoteReference w:id="87"/>
      </w:r>
      <w:r w:rsidR="008828BA" w:rsidRPr="002D3901">
        <w:rPr>
          <w:rFonts w:cs="Arial"/>
          <w:lang w:val="fr-FR" w:eastAsia="fr-CA"/>
        </w:rPr>
        <w:t>. Toutefois, puisque cette affaire pourrait être portée en appel, la Cour d’appel pourrait être intéressé</w:t>
      </w:r>
      <w:r w:rsidR="00561B59">
        <w:rPr>
          <w:rFonts w:cs="Arial"/>
          <w:lang w:val="fr-FR" w:eastAsia="fr-CA"/>
        </w:rPr>
        <w:t>e</w:t>
      </w:r>
      <w:r w:rsidR="008828BA" w:rsidRPr="002D3901">
        <w:rPr>
          <w:rFonts w:cs="Arial"/>
          <w:lang w:val="fr-FR" w:eastAsia="fr-CA"/>
        </w:rPr>
        <w:t xml:space="preserve"> de connaître la réponse de la Cour.</w:t>
      </w:r>
    </w:p>
    <w:p w14:paraId="6972879C" w14:textId="0636E905" w:rsidR="00F15244" w:rsidRDefault="00086DDB" w:rsidP="00F15244">
      <w:pPr>
        <w:pStyle w:val="Paragraphe"/>
        <w:numPr>
          <w:ilvl w:val="0"/>
          <w:numId w:val="1"/>
        </w:numPr>
        <w:tabs>
          <w:tab w:val="clear" w:pos="360"/>
          <w:tab w:val="left" w:pos="709"/>
        </w:tabs>
        <w:spacing w:line="240" w:lineRule="auto"/>
        <w:rPr>
          <w:rFonts w:cs="Arial"/>
        </w:rPr>
      </w:pPr>
      <w:r w:rsidRPr="5A7F0EA4">
        <w:rPr>
          <w:rFonts w:cs="Arial"/>
          <w:i/>
          <w:iCs/>
        </w:rPr>
        <w:t>Loi sur l’autonomie des municipalités</w:t>
      </w:r>
      <w:r w:rsidR="0049306D" w:rsidRPr="5A7F0EA4">
        <w:rPr>
          <w:rFonts w:cs="Arial"/>
        </w:rPr>
        <w:t xml:space="preserve">. </w:t>
      </w:r>
      <w:r w:rsidR="00F15244" w:rsidRPr="5A7F0EA4">
        <w:rPr>
          <w:rFonts w:cs="Arial"/>
        </w:rPr>
        <w:t>L</w:t>
      </w:r>
      <w:r w:rsidR="00CC5DEC" w:rsidRPr="5A7F0EA4">
        <w:rPr>
          <w:rFonts w:cs="Arial"/>
        </w:rPr>
        <w:t xml:space="preserve">’article 4 de la </w:t>
      </w:r>
      <w:r w:rsidRPr="5A7F0EA4">
        <w:rPr>
          <w:rFonts w:cs="Arial"/>
          <w:i/>
          <w:iCs/>
        </w:rPr>
        <w:t>Loi sur l’autonomie des municipalités</w:t>
      </w:r>
      <w:r w:rsidR="00CC5DEC" w:rsidRPr="5A7F0EA4">
        <w:rPr>
          <w:rFonts w:cs="Arial"/>
        </w:rPr>
        <w:t xml:space="preserve"> introduit l</w:t>
      </w:r>
      <w:r w:rsidR="00F15244" w:rsidRPr="5A7F0EA4">
        <w:rPr>
          <w:rFonts w:cs="Arial"/>
        </w:rPr>
        <w:t>es nouveaux articles 80.1 à 80.3 LAU se lisent ainsi :</w:t>
      </w:r>
    </w:p>
    <w:p w14:paraId="69C94C41" w14:textId="77777777" w:rsidR="00F15244" w:rsidRPr="007415B8" w:rsidRDefault="00F15244" w:rsidP="00F15244">
      <w:pPr>
        <w:spacing w:before="120" w:after="120" w:line="280" w:lineRule="atLeast"/>
        <w:ind w:left="1428" w:right="752"/>
        <w:jc w:val="both"/>
        <w:rPr>
          <w:rFonts w:cs="Arial"/>
          <w:sz w:val="22"/>
          <w:szCs w:val="18"/>
          <w:lang w:val="fr-FR" w:eastAsia="fr-CA"/>
        </w:rPr>
      </w:pPr>
      <w:r w:rsidRPr="007415B8">
        <w:rPr>
          <w:rFonts w:cs="Arial"/>
          <w:sz w:val="22"/>
          <w:szCs w:val="18"/>
          <w:lang w:val="fr-FR" w:eastAsia="fr-CA"/>
        </w:rPr>
        <w:t xml:space="preserve">80.1. Toute municipalité locale peut adopter une politique de participation publique qui contient des mesures complémentaires à celles qui sont prévues dans la présente loi et qui vise à favoriser la diffusion de l’information, la consultation et la participation active des citoyens au processus décisionnel en matière d’aménagement et d’urbanisme. </w:t>
      </w:r>
    </w:p>
    <w:p w14:paraId="6A7F389F" w14:textId="77777777" w:rsidR="00F15244" w:rsidRPr="007415B8" w:rsidRDefault="00F15244" w:rsidP="00F15244">
      <w:pPr>
        <w:spacing w:before="120" w:after="120" w:line="280" w:lineRule="atLeast"/>
        <w:ind w:left="1428" w:right="752"/>
        <w:jc w:val="both"/>
        <w:rPr>
          <w:rFonts w:cs="Arial"/>
          <w:sz w:val="22"/>
          <w:szCs w:val="18"/>
          <w:lang w:val="fr-FR" w:eastAsia="fr-CA"/>
        </w:rPr>
      </w:pPr>
      <w:r w:rsidRPr="007415B8">
        <w:rPr>
          <w:rFonts w:cs="Arial"/>
          <w:sz w:val="22"/>
          <w:szCs w:val="18"/>
          <w:lang w:val="fr-FR" w:eastAsia="fr-CA"/>
        </w:rPr>
        <w:lastRenderedPageBreak/>
        <w:t>80.2. Lorsque la politique de participation publique de la municipalité respecte les exigences du règlement pris en vertu de l’article 80.3, aucun acte adopté par le conseil de celle-ci en vertu de la présente loi n’est susceptible d’approbation référendaire.</w:t>
      </w:r>
    </w:p>
    <w:p w14:paraId="2DAC11E4" w14:textId="77777777" w:rsidR="00F15244" w:rsidRPr="007415B8" w:rsidRDefault="00F15244" w:rsidP="00F15244">
      <w:pPr>
        <w:spacing w:before="120" w:after="120" w:line="280" w:lineRule="atLeast"/>
        <w:ind w:left="1428" w:right="752"/>
        <w:jc w:val="both"/>
        <w:rPr>
          <w:rFonts w:cs="Arial"/>
          <w:sz w:val="22"/>
          <w:szCs w:val="18"/>
          <w:lang w:val="fr-FR" w:eastAsia="fr-CA"/>
        </w:rPr>
      </w:pPr>
      <w:r w:rsidRPr="007415B8">
        <w:rPr>
          <w:rFonts w:cs="Arial"/>
          <w:sz w:val="22"/>
          <w:szCs w:val="18"/>
          <w:lang w:val="fr-FR" w:eastAsia="fr-CA"/>
        </w:rPr>
        <w:t>80.3. Le ministre fixe, par règlement, toute exigence relative à la participation publique dans le cadre de l’application de la présente loi et au contenu d’une politique de participation publique.</w:t>
      </w:r>
    </w:p>
    <w:p w14:paraId="3D372169" w14:textId="77777777" w:rsidR="00F15244" w:rsidRPr="007415B8" w:rsidRDefault="00F15244" w:rsidP="00F15244">
      <w:pPr>
        <w:spacing w:before="120" w:after="120" w:line="280" w:lineRule="atLeast"/>
        <w:ind w:left="1428" w:right="752"/>
        <w:jc w:val="both"/>
        <w:rPr>
          <w:rFonts w:cs="Arial"/>
          <w:sz w:val="22"/>
          <w:szCs w:val="18"/>
          <w:lang w:val="fr-FR" w:eastAsia="fr-CA"/>
        </w:rPr>
      </w:pPr>
      <w:r w:rsidRPr="007415B8">
        <w:rPr>
          <w:rFonts w:cs="Arial"/>
          <w:sz w:val="22"/>
          <w:szCs w:val="18"/>
          <w:lang w:val="fr-FR" w:eastAsia="fr-CA"/>
        </w:rPr>
        <w:t xml:space="preserve">Le règlement vise notamment les objectifs suivants : </w:t>
      </w:r>
    </w:p>
    <w:p w14:paraId="07097ADC" w14:textId="77777777" w:rsidR="00F15244" w:rsidRPr="007415B8" w:rsidRDefault="00F15244" w:rsidP="00F15244">
      <w:pPr>
        <w:spacing w:before="120" w:after="120" w:line="280" w:lineRule="atLeast"/>
        <w:ind w:left="1428" w:right="752"/>
        <w:jc w:val="both"/>
        <w:rPr>
          <w:rFonts w:cs="Arial"/>
          <w:sz w:val="22"/>
          <w:szCs w:val="18"/>
          <w:lang w:val="fr-FR" w:eastAsia="fr-CA"/>
        </w:rPr>
      </w:pPr>
      <w:r w:rsidRPr="007415B8">
        <w:rPr>
          <w:rFonts w:cs="Arial"/>
          <w:sz w:val="22"/>
          <w:szCs w:val="18"/>
          <w:lang w:val="fr-FR" w:eastAsia="fr-CA"/>
        </w:rPr>
        <w:t>1° la transparence du processus décisionnel;</w:t>
      </w:r>
    </w:p>
    <w:p w14:paraId="11BB08DD" w14:textId="77777777" w:rsidR="00F15244" w:rsidRPr="007415B8" w:rsidRDefault="00F15244" w:rsidP="00F15244">
      <w:pPr>
        <w:spacing w:before="120" w:after="120" w:line="280" w:lineRule="atLeast"/>
        <w:ind w:left="1428" w:right="752"/>
        <w:jc w:val="both"/>
        <w:rPr>
          <w:rFonts w:cs="Arial"/>
          <w:sz w:val="22"/>
          <w:szCs w:val="18"/>
          <w:lang w:val="fr-FR" w:eastAsia="fr-CA"/>
        </w:rPr>
      </w:pPr>
      <w:r w:rsidRPr="007415B8">
        <w:rPr>
          <w:rFonts w:cs="Arial"/>
          <w:sz w:val="22"/>
          <w:szCs w:val="18"/>
          <w:lang w:val="fr-FR" w:eastAsia="fr-CA"/>
        </w:rPr>
        <w:t>2° la consultation des citoyens en amont de la prise de décision; (…)</w:t>
      </w:r>
    </w:p>
    <w:p w14:paraId="4F4FCFF0" w14:textId="77777777" w:rsidR="00F15244" w:rsidRPr="002B51A9" w:rsidRDefault="00F15244" w:rsidP="00F15244">
      <w:pPr>
        <w:pStyle w:val="Paragrdouble"/>
        <w:spacing w:line="240" w:lineRule="auto"/>
      </w:pPr>
      <w:r>
        <w:t>D’après les demandeurs, c</w:t>
      </w:r>
      <w:r w:rsidRPr="002B51A9">
        <w:t xml:space="preserve">es articles visant à remplacer les référendums </w:t>
      </w:r>
      <w:r>
        <w:t>obligatoires dans</w:t>
      </w:r>
      <w:r w:rsidRPr="002B51A9">
        <w:t xml:space="preserve"> les municipalités par une politique de consultation irai</w:t>
      </w:r>
      <w:r>
        <w:t>en</w:t>
      </w:r>
      <w:r w:rsidRPr="002B51A9">
        <w:t xml:space="preserve">t à l’encontre du droit des citoyens de participer à la vie municipale. Cela </w:t>
      </w:r>
      <w:r>
        <w:t>serait contraire à</w:t>
      </w:r>
      <w:r w:rsidRPr="002B51A9">
        <w:t xml:space="preserve"> la liberté d’expression liée aux valeurs démocratiques des citoyens</w:t>
      </w:r>
      <w:r>
        <w:t xml:space="preserve"> prévues aux articles 3, 9.1, 22, 44 et 52 de la Charte québécoise, à la liberté d’expression politique prévue aux articles 2 (b), 3 et 52 de la Charte canadienne</w:t>
      </w:r>
      <w:r w:rsidRPr="002B51A9">
        <w:t>.</w:t>
      </w:r>
    </w:p>
    <w:p w14:paraId="43E9193B" w14:textId="2DA2DB52" w:rsidR="00F15244" w:rsidRDefault="00F15244" w:rsidP="00F15244">
      <w:pPr>
        <w:pStyle w:val="Paragrdouble"/>
        <w:spacing w:line="240" w:lineRule="auto"/>
      </w:pPr>
      <w:r>
        <w:t xml:space="preserve">Par voie de conséquence, si ces mesures législatives étaient déclarées inopérantes, devraient donc être déclarés inopérants le </w:t>
      </w:r>
      <w:r w:rsidRPr="5A7F0EA4">
        <w:rPr>
          <w:i/>
          <w:iCs/>
        </w:rPr>
        <w:t xml:space="preserve">Règlement sur la participation publique en matière d’aménagement et d’urbanisme </w:t>
      </w:r>
      <w:r>
        <w:t xml:space="preserve">et le </w:t>
      </w:r>
      <w:r w:rsidR="29148768" w:rsidRPr="009E61D0">
        <w:t>r</w:t>
      </w:r>
      <w:r w:rsidRPr="009E61D0">
        <w:t>èglement R.V.Q. 2705</w:t>
      </w:r>
      <w:r w:rsidRPr="5A7F0EA4">
        <w:rPr>
          <w:i/>
          <w:iCs/>
        </w:rPr>
        <w:t xml:space="preserve"> </w:t>
      </w:r>
      <w:r w:rsidR="16147291" w:rsidRPr="5A7F0EA4">
        <w:t>édictant</w:t>
      </w:r>
      <w:r w:rsidRPr="5A7F0EA4">
        <w:rPr>
          <w:i/>
          <w:iCs/>
        </w:rPr>
        <w:t xml:space="preserve"> </w:t>
      </w:r>
      <w:r w:rsidRPr="009E61D0">
        <w:t>la</w:t>
      </w:r>
      <w:r w:rsidRPr="5A7F0EA4">
        <w:rPr>
          <w:i/>
          <w:iCs/>
        </w:rPr>
        <w:t xml:space="preserve"> </w:t>
      </w:r>
      <w:r w:rsidR="142BC285" w:rsidRPr="5A7F0EA4">
        <w:rPr>
          <w:i/>
          <w:iCs/>
        </w:rPr>
        <w:t>P</w:t>
      </w:r>
      <w:r w:rsidRPr="5A7F0EA4">
        <w:rPr>
          <w:i/>
          <w:iCs/>
        </w:rPr>
        <w:t>olitique de participation publique de la Ville</w:t>
      </w:r>
      <w:r w:rsidR="2DCAC8FD" w:rsidRPr="5A7F0EA4">
        <w:rPr>
          <w:i/>
          <w:iCs/>
        </w:rPr>
        <w:t xml:space="preserve"> de Québec</w:t>
      </w:r>
      <w:r>
        <w:t>.</w:t>
      </w:r>
    </w:p>
    <w:p w14:paraId="6079CD9D" w14:textId="7C62A3EE" w:rsidR="00F15244" w:rsidRDefault="00F15244" w:rsidP="00F15244">
      <w:pPr>
        <w:pStyle w:val="Paragrdouble"/>
        <w:spacing w:line="240" w:lineRule="auto"/>
      </w:pPr>
      <w:r>
        <w:t xml:space="preserve">Cela dit, prenons une à une les dispositions des </w:t>
      </w:r>
      <w:r w:rsidRPr="00F04F7A">
        <w:t>Chartes</w:t>
      </w:r>
      <w:r>
        <w:t xml:space="preserve"> qu</w:t>
      </w:r>
      <w:r w:rsidR="00BE6DE9">
        <w:t>e les demandeurs</w:t>
      </w:r>
      <w:r>
        <w:t xml:space="preserve"> considère</w:t>
      </w:r>
      <w:r w:rsidR="00BE6DE9">
        <w:t>nt</w:t>
      </w:r>
      <w:r>
        <w:t xml:space="preserve"> viol</w:t>
      </w:r>
      <w:r w:rsidR="00BE6DE9">
        <w:t>ées</w:t>
      </w:r>
      <w:r>
        <w:t xml:space="preserve"> par le fait qu’un référendum n’est pas tenu sur le projet de tramway.</w:t>
      </w:r>
    </w:p>
    <w:p w14:paraId="3BD1F06E" w14:textId="5BC4A48A" w:rsidR="00F15244" w:rsidRDefault="00F15244" w:rsidP="00F15244">
      <w:pPr>
        <w:pStyle w:val="Paragrdouble"/>
        <w:spacing w:line="240" w:lineRule="auto"/>
      </w:pPr>
      <w:r>
        <w:t xml:space="preserve">D’abord, l’article 3 de la Charte québécoise est un article clé qui assoit le droit de toute personne </w:t>
      </w:r>
      <w:r w:rsidR="47BAFA84">
        <w:t>à</w:t>
      </w:r>
      <w:r>
        <w:t xml:space="preserve"> « la liberté de conscience, la liberté de religion, la liberté d’opinion, la liberté d’expression, la liberté de réunion pacifique et la liberté d’association ». Non seulement </w:t>
      </w:r>
      <w:r w:rsidR="0023056D">
        <w:t>c</w:t>
      </w:r>
      <w:r>
        <w:t>es droits n’ont-ils pas été violé</w:t>
      </w:r>
      <w:r w:rsidR="259EFB99">
        <w:t>s</w:t>
      </w:r>
      <w:r>
        <w:t xml:space="preserve"> par quelques dispositions que ce soit, mais les demandeurs, par les témoignages de Madame Chabot et Monsieur Charette, </w:t>
      </w:r>
      <w:r w:rsidR="0023056D">
        <w:t xml:space="preserve">administrent </w:t>
      </w:r>
      <w:r>
        <w:t>une preuve contraire, savoir qu’ils ont exercé leur droit d’expression à divers moments.</w:t>
      </w:r>
    </w:p>
    <w:p w14:paraId="00017120" w14:textId="21E9347A" w:rsidR="00F15244" w:rsidRDefault="00F15244" w:rsidP="00F15244">
      <w:pPr>
        <w:pStyle w:val="Paragrdouble"/>
        <w:spacing w:line="240" w:lineRule="auto"/>
      </w:pPr>
      <w:r>
        <w:t>L</w:t>
      </w:r>
      <w:r w:rsidR="5BED73B7">
        <w:t>es</w:t>
      </w:r>
      <w:r>
        <w:t xml:space="preserve"> disposition</w:t>
      </w:r>
      <w:r w:rsidR="53C0E40A">
        <w:t>s</w:t>
      </w:r>
      <w:r>
        <w:t xml:space="preserve"> fondamentale</w:t>
      </w:r>
      <w:r w:rsidR="36CB6F37">
        <w:t>s</w:t>
      </w:r>
      <w:r>
        <w:t xml:space="preserve"> traitant des valeurs démocratiques dans la Charte québécoise se li</w:t>
      </w:r>
      <w:r w:rsidR="51FD9A16">
        <w:t>sen</w:t>
      </w:r>
      <w:r>
        <w:t>t ainsi :</w:t>
      </w:r>
    </w:p>
    <w:p w14:paraId="525D7ED6" w14:textId="77777777" w:rsidR="00F15244" w:rsidRPr="00447F67" w:rsidRDefault="00F15244" w:rsidP="00F15244">
      <w:pPr>
        <w:spacing w:before="120" w:after="120" w:line="280" w:lineRule="atLeast"/>
        <w:ind w:left="1428" w:right="752"/>
        <w:jc w:val="both"/>
        <w:rPr>
          <w:rFonts w:cs="Arial"/>
          <w:sz w:val="22"/>
          <w:szCs w:val="18"/>
          <w:lang w:val="fr-FR" w:eastAsia="fr-CA"/>
        </w:rPr>
      </w:pPr>
      <w:r w:rsidRPr="008809C6">
        <w:rPr>
          <w:rFonts w:cs="Arial"/>
          <w:b/>
          <w:bCs/>
          <w:sz w:val="22"/>
          <w:szCs w:val="18"/>
          <w:lang w:val="fr-FR" w:eastAsia="fr-CA"/>
        </w:rPr>
        <w:t>Article 9.1</w:t>
      </w:r>
      <w:r>
        <w:rPr>
          <w:rFonts w:cs="Arial"/>
          <w:sz w:val="22"/>
          <w:szCs w:val="18"/>
          <w:lang w:val="fr-FR" w:eastAsia="fr-CA"/>
        </w:rPr>
        <w:t xml:space="preserve"> Les</w:t>
      </w:r>
      <w:r w:rsidRPr="00447F67">
        <w:rPr>
          <w:rFonts w:cs="Arial"/>
          <w:sz w:val="22"/>
          <w:szCs w:val="18"/>
          <w:lang w:val="fr-FR" w:eastAsia="fr-CA"/>
        </w:rPr>
        <w:t xml:space="preserve"> droits et libertés de la personne s’exercent dans le respect des valeurs démocratiques, de la laïcité de l’État, de l’importance accordée à la protection du français, de l’ordre public et du bien-être général des citoyens du Québec.</w:t>
      </w:r>
    </w:p>
    <w:p w14:paraId="67D7CA02" w14:textId="77777777" w:rsidR="00F15244" w:rsidRDefault="00F15244" w:rsidP="00F15244">
      <w:pPr>
        <w:spacing w:before="120" w:after="120" w:line="280" w:lineRule="atLeast"/>
        <w:ind w:left="1428" w:right="752"/>
        <w:jc w:val="both"/>
        <w:rPr>
          <w:rFonts w:cs="Arial"/>
          <w:sz w:val="22"/>
          <w:szCs w:val="18"/>
          <w:lang w:val="fr-FR" w:eastAsia="fr-CA"/>
        </w:rPr>
      </w:pPr>
      <w:r w:rsidRPr="00447F67">
        <w:rPr>
          <w:rFonts w:cs="Arial"/>
          <w:sz w:val="22"/>
          <w:szCs w:val="18"/>
          <w:lang w:val="fr-FR" w:eastAsia="fr-CA"/>
        </w:rPr>
        <w:lastRenderedPageBreak/>
        <w:t>La loi peut, à cet égard, en fixer la portée et en aménager l’exercice.</w:t>
      </w:r>
    </w:p>
    <w:p w14:paraId="5C6D9680" w14:textId="77777777" w:rsidR="00F15244" w:rsidRPr="002B1127" w:rsidRDefault="00F15244" w:rsidP="00F15244">
      <w:pPr>
        <w:spacing w:before="120" w:after="120" w:line="280" w:lineRule="atLeast"/>
        <w:ind w:left="1428" w:right="752"/>
        <w:jc w:val="both"/>
        <w:rPr>
          <w:rFonts w:cs="Arial"/>
          <w:sz w:val="22"/>
          <w:szCs w:val="18"/>
          <w:lang w:val="fr-FR" w:eastAsia="fr-CA"/>
        </w:rPr>
      </w:pPr>
      <w:r w:rsidRPr="002B1127">
        <w:rPr>
          <w:rFonts w:cs="Arial"/>
          <w:b/>
          <w:bCs/>
          <w:sz w:val="22"/>
          <w:szCs w:val="18"/>
          <w:lang w:val="fr-FR" w:eastAsia="fr-CA"/>
        </w:rPr>
        <w:t>Article 22</w:t>
      </w:r>
      <w:r>
        <w:rPr>
          <w:rFonts w:cs="Arial"/>
          <w:b/>
          <w:bCs/>
          <w:sz w:val="22"/>
          <w:szCs w:val="18"/>
          <w:lang w:val="fr-FR" w:eastAsia="fr-CA"/>
        </w:rPr>
        <w:t xml:space="preserve"> </w:t>
      </w:r>
      <w:r w:rsidRPr="002B1127">
        <w:rPr>
          <w:rFonts w:cs="Arial"/>
          <w:sz w:val="22"/>
          <w:szCs w:val="18"/>
          <w:lang w:val="fr-FR" w:eastAsia="fr-CA"/>
        </w:rPr>
        <w:t>Toute personne légalement habilitée et qualifiée a droit de se porter candidat lors d’une élection et a droit d’y voter.</w:t>
      </w:r>
    </w:p>
    <w:p w14:paraId="73339C4A" w14:textId="77777777" w:rsidR="00F15244" w:rsidRDefault="00F15244" w:rsidP="00F15244">
      <w:pPr>
        <w:pStyle w:val="Paragrdouble"/>
        <w:spacing w:line="240" w:lineRule="auto"/>
      </w:pPr>
      <w:r>
        <w:t xml:space="preserve">La </w:t>
      </w:r>
      <w:r w:rsidRPr="00F04F7A">
        <w:t>Charte canadienne</w:t>
      </w:r>
      <w:r>
        <w:t xml:space="preserve"> a un équivalent dont il convient de discuter simultanément :</w:t>
      </w:r>
    </w:p>
    <w:p w14:paraId="1DFFC363" w14:textId="77777777" w:rsidR="00F15244" w:rsidRPr="00A51865" w:rsidRDefault="00F15244" w:rsidP="00F15244">
      <w:pPr>
        <w:spacing w:before="120" w:after="120" w:line="280" w:lineRule="atLeast"/>
        <w:ind w:left="1428" w:right="752"/>
        <w:jc w:val="both"/>
        <w:rPr>
          <w:rFonts w:cs="Arial"/>
          <w:sz w:val="22"/>
          <w:szCs w:val="18"/>
          <w:lang w:val="fr-FR" w:eastAsia="fr-CA"/>
        </w:rPr>
      </w:pPr>
      <w:r w:rsidRPr="003C6DBE">
        <w:rPr>
          <w:rFonts w:cs="Arial"/>
          <w:b/>
          <w:bCs/>
          <w:sz w:val="22"/>
          <w:szCs w:val="18"/>
          <w:lang w:val="fr-FR" w:eastAsia="fr-CA"/>
        </w:rPr>
        <w:t>Article 3</w:t>
      </w:r>
      <w:r w:rsidRPr="003C6DBE">
        <w:rPr>
          <w:rFonts w:cs="Arial"/>
          <w:sz w:val="22"/>
          <w:szCs w:val="18"/>
          <w:lang w:val="fr-FR" w:eastAsia="fr-CA"/>
        </w:rPr>
        <w:t xml:space="preserve"> </w:t>
      </w:r>
      <w:r>
        <w:rPr>
          <w:rFonts w:cs="Arial"/>
          <w:sz w:val="22"/>
          <w:szCs w:val="18"/>
          <w:lang w:val="fr-FR" w:eastAsia="fr-CA"/>
        </w:rPr>
        <w:t>T</w:t>
      </w:r>
      <w:r w:rsidRPr="003C6DBE">
        <w:rPr>
          <w:rFonts w:cs="Arial"/>
          <w:sz w:val="22"/>
          <w:szCs w:val="18"/>
          <w:lang w:val="fr-FR" w:eastAsia="fr-CA"/>
        </w:rPr>
        <w:t>out citoyen canadien a le droit de vote et est éligible aux élections législatives fédérales ou provinciales.</w:t>
      </w:r>
    </w:p>
    <w:p w14:paraId="77F77438" w14:textId="64F86DA5" w:rsidR="00F15244" w:rsidRDefault="00F15244" w:rsidP="00F15244">
      <w:pPr>
        <w:pStyle w:val="Paragrdouble"/>
        <w:spacing w:line="240" w:lineRule="auto"/>
      </w:pPr>
      <w:r>
        <w:t xml:space="preserve">Avec le temps, </w:t>
      </w:r>
      <w:r w:rsidR="2550F877">
        <w:t>les tribunaux ont</w:t>
      </w:r>
      <w:r>
        <w:t xml:space="preserve"> jugé que ce dernier article ne garantit pas le droit de voter à un référendum</w:t>
      </w:r>
      <w:r>
        <w:rPr>
          <w:rStyle w:val="Appelnotedebasdep"/>
        </w:rPr>
        <w:footnoteReference w:id="88"/>
      </w:r>
      <w:r>
        <w:t xml:space="preserve">. Il a pour seul objet d’accorder à tous les citoyens le droit de jouer un rôle important dans l’élection des députés chargés de rédiger des lois. Bien plus, </w:t>
      </w:r>
      <w:r w:rsidR="7C9B011E">
        <w:t xml:space="preserve">il ressort de </w:t>
      </w:r>
      <w:r>
        <w:t xml:space="preserve">la jurisprudence que l’article 3 de la </w:t>
      </w:r>
      <w:r w:rsidRPr="00F04F7A">
        <w:t>Charte Canadienne</w:t>
      </w:r>
      <w:r>
        <w:t xml:space="preserve"> ne </w:t>
      </w:r>
      <w:r w:rsidR="113E0313">
        <w:t>s‘appliquait</w:t>
      </w:r>
      <w:r>
        <w:t xml:space="preserve"> pas aux élections municipales</w:t>
      </w:r>
      <w:r>
        <w:rPr>
          <w:rStyle w:val="Appelnotedebasdep"/>
        </w:rPr>
        <w:footnoteReference w:id="89"/>
      </w:r>
      <w:r>
        <w:t xml:space="preserve">. Si le droit de vote de la </w:t>
      </w:r>
      <w:r w:rsidRPr="00F04F7A">
        <w:t>Charte canadienne</w:t>
      </w:r>
      <w:r>
        <w:t xml:space="preserve"> n’a pas de conséquence sur les référendums et les élections municipales, il serait illogique de créer un droit avec une expression de même nature de la </w:t>
      </w:r>
      <w:r w:rsidRPr="00F04F7A">
        <w:t>Charte québécoise</w:t>
      </w:r>
      <w:r>
        <w:t>.</w:t>
      </w:r>
    </w:p>
    <w:p w14:paraId="6B327E94" w14:textId="77777777" w:rsidR="00F15244" w:rsidRDefault="00F15244" w:rsidP="00F15244">
      <w:pPr>
        <w:pStyle w:val="Paragrdouble"/>
        <w:spacing w:line="240" w:lineRule="auto"/>
      </w:pPr>
      <w:r>
        <w:t xml:space="preserve">Est aussi invoqué l’article 44 de la </w:t>
      </w:r>
      <w:r w:rsidRPr="00F04F7A">
        <w:t>Charte québécoise</w:t>
      </w:r>
      <w:r>
        <w:t> :</w:t>
      </w:r>
    </w:p>
    <w:p w14:paraId="0B2EE5E3" w14:textId="75C87401" w:rsidR="00F15244" w:rsidRPr="002241F6" w:rsidRDefault="00F15244" w:rsidP="00F15244">
      <w:pPr>
        <w:spacing w:before="120" w:after="120" w:line="280" w:lineRule="atLeast"/>
        <w:ind w:left="1428" w:right="752"/>
        <w:jc w:val="both"/>
        <w:rPr>
          <w:rFonts w:cs="Arial"/>
          <w:sz w:val="22"/>
          <w:szCs w:val="18"/>
          <w:lang w:val="fr-FR" w:eastAsia="fr-CA"/>
        </w:rPr>
      </w:pPr>
      <w:r w:rsidRPr="002241F6">
        <w:rPr>
          <w:rFonts w:cs="Arial"/>
          <w:b/>
          <w:bCs/>
          <w:sz w:val="22"/>
          <w:szCs w:val="18"/>
          <w:lang w:val="fr-FR" w:eastAsia="fr-CA"/>
        </w:rPr>
        <w:t>Article 44</w:t>
      </w:r>
      <w:r w:rsidR="004F4E4F">
        <w:rPr>
          <w:rFonts w:cs="Arial"/>
          <w:b/>
          <w:bCs/>
          <w:sz w:val="22"/>
          <w:szCs w:val="18"/>
          <w:lang w:val="fr-FR" w:eastAsia="fr-CA"/>
        </w:rPr>
        <w:t>.</w:t>
      </w:r>
      <w:r>
        <w:rPr>
          <w:rFonts w:cs="Arial"/>
          <w:sz w:val="22"/>
          <w:szCs w:val="18"/>
          <w:lang w:val="fr-FR" w:eastAsia="fr-CA"/>
        </w:rPr>
        <w:t xml:space="preserve"> </w:t>
      </w:r>
      <w:r w:rsidRPr="002241F6">
        <w:rPr>
          <w:rFonts w:cs="Arial"/>
          <w:sz w:val="22"/>
          <w:szCs w:val="18"/>
          <w:lang w:val="fr-FR" w:eastAsia="fr-CA"/>
        </w:rPr>
        <w:t>Toute personne a droit à l’information, dans la mesure prévue par la loi.</w:t>
      </w:r>
    </w:p>
    <w:p w14:paraId="2135DB28" w14:textId="06A87185" w:rsidR="00F15244" w:rsidRDefault="00F15244" w:rsidP="00F15244">
      <w:pPr>
        <w:pStyle w:val="Paragrdouble"/>
        <w:spacing w:line="240" w:lineRule="auto"/>
      </w:pPr>
      <w:r>
        <w:t xml:space="preserve">Aucun fait ne permet d’associer l’adoption des articles 80.1 à 80.3 de cette loi avec une quelconque contravention à cet article de </w:t>
      </w:r>
      <w:r w:rsidR="004F4E4F">
        <w:t>cette</w:t>
      </w:r>
      <w:r>
        <w:t xml:space="preserve"> </w:t>
      </w:r>
      <w:r w:rsidRPr="00F04F7A">
        <w:t>Charte</w:t>
      </w:r>
      <w:r>
        <w:t>.</w:t>
      </w:r>
    </w:p>
    <w:p w14:paraId="2A254F05" w14:textId="2CFEDFB1" w:rsidR="00F15244" w:rsidRDefault="00F15244" w:rsidP="00F15244">
      <w:pPr>
        <w:pStyle w:val="Paragrdouble"/>
        <w:spacing w:line="240" w:lineRule="auto"/>
      </w:pPr>
      <w:r>
        <w:t xml:space="preserve">Les demandeurs associent faussement le droit à l’expression au droit de voter par référendum. Dans les faits, les demandeurs ont exprimé sans contrainte toute leurs réticences face au projet de tramway. Se servir </w:t>
      </w:r>
      <w:r w:rsidR="00276280">
        <w:t>de la liberté</w:t>
      </w:r>
      <w:r>
        <w:t xml:space="preserve"> </w:t>
      </w:r>
      <w:r w:rsidR="00276280">
        <w:t>d</w:t>
      </w:r>
      <w:r>
        <w:t xml:space="preserve">’expression comme levier pour obtenir un référendum, ni la loi ni les </w:t>
      </w:r>
      <w:r w:rsidRPr="00F04F7A">
        <w:t>Chartes</w:t>
      </w:r>
      <w:r>
        <w:t xml:space="preserve"> ne le prévoient. Face à un regroupement forcé de municipalité, des citoyens avaient demandé au Tribunal d’imposer un référendum et il fut refusé en ces termes :</w:t>
      </w:r>
    </w:p>
    <w:p w14:paraId="74554336" w14:textId="7079FBE9" w:rsidR="00F15244" w:rsidRDefault="00F15244" w:rsidP="00F15244">
      <w:pPr>
        <w:spacing w:before="120" w:after="120" w:line="280" w:lineRule="atLeast"/>
        <w:ind w:left="1428" w:right="752"/>
        <w:jc w:val="both"/>
        <w:rPr>
          <w:rFonts w:cs="Arial"/>
          <w:sz w:val="22"/>
          <w:szCs w:val="22"/>
          <w:lang w:val="fr-FR" w:eastAsia="fr-CA"/>
        </w:rPr>
      </w:pPr>
      <w:r w:rsidRPr="5A7F0EA4">
        <w:rPr>
          <w:rFonts w:cs="Arial"/>
          <w:sz w:val="22"/>
          <w:szCs w:val="22"/>
          <w:lang w:val="fr-FR" w:eastAsia="fr-CA"/>
        </w:rPr>
        <w:t>67 Dans la présente affaire, l'Assemblée nationale a décidé par la Loi 88 qu'il y aurait fusion de quatre municipalités et a prescrit que cette fusion se ferait par décret après que certaines formalités aient été respectées. Les formalités prévues ne comprennent pas de consultation par voie de référendum.</w:t>
      </w:r>
      <w:r w:rsidR="009E61D0">
        <w:rPr>
          <w:rStyle w:val="Appelnotedebasdep"/>
          <w:rFonts w:cs="Arial"/>
          <w:sz w:val="22"/>
          <w:szCs w:val="22"/>
          <w:lang w:val="fr-FR" w:eastAsia="fr-CA"/>
        </w:rPr>
        <w:footnoteReference w:id="90"/>
      </w:r>
    </w:p>
    <w:p w14:paraId="06006B01" w14:textId="390FC675" w:rsidR="00F15244" w:rsidRDefault="00F15244" w:rsidP="00F15244">
      <w:pPr>
        <w:pStyle w:val="Paragrdouble"/>
        <w:spacing w:line="240" w:lineRule="auto"/>
      </w:pPr>
      <w:r>
        <w:t xml:space="preserve">En conclusion, les articles 80.1 à 80.3 de la </w:t>
      </w:r>
      <w:r w:rsidRPr="5A7F0EA4">
        <w:rPr>
          <w:i/>
          <w:iCs/>
        </w:rPr>
        <w:t xml:space="preserve">Loi </w:t>
      </w:r>
      <w:r w:rsidR="00903B35" w:rsidRPr="5A7F0EA4">
        <w:rPr>
          <w:i/>
          <w:iCs/>
        </w:rPr>
        <w:t xml:space="preserve">sur l’autonomie des municipalités </w:t>
      </w:r>
      <w:r>
        <w:t xml:space="preserve">ne violent pas les droits démocratiques en regard de la </w:t>
      </w:r>
      <w:r w:rsidR="0099691B">
        <w:t>C</w:t>
      </w:r>
      <w:r>
        <w:t xml:space="preserve">harte québécoise </w:t>
      </w:r>
      <w:r w:rsidR="0099691B">
        <w:t xml:space="preserve">ou </w:t>
      </w:r>
      <w:r>
        <w:t xml:space="preserve">de la </w:t>
      </w:r>
      <w:r w:rsidR="0099691B">
        <w:t>C</w:t>
      </w:r>
      <w:r>
        <w:t xml:space="preserve">harte </w:t>
      </w:r>
      <w:r w:rsidR="10C9F1BA">
        <w:t>canadienne</w:t>
      </w:r>
      <w:r>
        <w:t xml:space="preserve">. Le droit au référendum n’est pas protégé par les dispositions de ces </w:t>
      </w:r>
      <w:r>
        <w:lastRenderedPageBreak/>
        <w:t xml:space="preserve">Chartes. Le législateur pouvait modifier, comme il l’entendait, la tenue de référendums obligatoires. </w:t>
      </w:r>
    </w:p>
    <w:p w14:paraId="5915A68E" w14:textId="054A36A5" w:rsidR="00F15244" w:rsidRPr="00DB1DA0" w:rsidRDefault="00F15244" w:rsidP="00F15244">
      <w:pPr>
        <w:pStyle w:val="Paragrdouble"/>
        <w:spacing w:line="240" w:lineRule="auto"/>
      </w:pPr>
      <w:r>
        <w:t>Par voie de conséquence,</w:t>
      </w:r>
      <w:r w:rsidRPr="00336D67">
        <w:t xml:space="preserve"> </w:t>
      </w:r>
      <w:r w:rsidRPr="00DB1DA0">
        <w:t xml:space="preserve">le </w:t>
      </w:r>
      <w:r w:rsidRPr="00DB1DA0">
        <w:rPr>
          <w:i/>
          <w:iCs/>
        </w:rPr>
        <w:t xml:space="preserve">Règlement sur la participation publique en matière d’aménagement </w:t>
      </w:r>
      <w:r w:rsidRPr="00336D67">
        <w:t xml:space="preserve">dont la validité </w:t>
      </w:r>
      <w:r w:rsidR="009517EE">
        <w:t>est</w:t>
      </w:r>
      <w:r w:rsidRPr="00336D67">
        <w:t xml:space="preserve"> remise en doute </w:t>
      </w:r>
      <w:r w:rsidR="00443203">
        <w:t>pour les mêmes motifs est</w:t>
      </w:r>
      <w:r w:rsidRPr="00336D67">
        <w:t xml:space="preserve"> valide.</w:t>
      </w:r>
    </w:p>
    <w:p w14:paraId="549F8737" w14:textId="149D3029" w:rsidR="00F15244" w:rsidRDefault="00F15244" w:rsidP="00452CE5">
      <w:pPr>
        <w:pStyle w:val="Titre4"/>
      </w:pPr>
      <w:bookmarkStart w:id="32" w:name="_Toc124755352"/>
      <w:r>
        <w:t xml:space="preserve">L’article 74.5.2 de la </w:t>
      </w:r>
      <w:r w:rsidRPr="00192F64">
        <w:t>Charte de la Ville</w:t>
      </w:r>
      <w:bookmarkEnd w:id="32"/>
    </w:p>
    <w:p w14:paraId="07133D33" w14:textId="10499179" w:rsidR="00F15244" w:rsidRPr="009627F0" w:rsidRDefault="00F15244" w:rsidP="00F15244">
      <w:pPr>
        <w:pStyle w:val="Paragrdouble"/>
        <w:spacing w:line="240" w:lineRule="auto"/>
      </w:pPr>
      <w:r>
        <w:t xml:space="preserve">Adopté le 15 juin 2017, l’article 74.5.2 de la Charte de la Ville permet </w:t>
      </w:r>
      <w:r w:rsidR="00846821">
        <w:t xml:space="preserve">à </w:t>
      </w:r>
      <w:r w:rsidR="09286359">
        <w:t>celle-ci</w:t>
      </w:r>
      <w:r w:rsidR="00846821">
        <w:t xml:space="preserve"> </w:t>
      </w:r>
      <w:r>
        <w:t xml:space="preserve">de ne pas être assujettie à l’approbation référendaire lorsque la politique de participation citoyenne adoptée par le conseil </w:t>
      </w:r>
      <w:r w:rsidR="755926B5">
        <w:t>de la ville</w:t>
      </w:r>
      <w:r>
        <w:t xml:space="preserve"> respecte les exigences du règlement adopté en vertu de l’article 80.3 LAU :</w:t>
      </w:r>
    </w:p>
    <w:p w14:paraId="081F7671" w14:textId="77777777" w:rsidR="00F15244" w:rsidRPr="007415B8" w:rsidRDefault="00F15244" w:rsidP="00F15244">
      <w:pPr>
        <w:spacing w:before="120" w:after="120" w:line="280" w:lineRule="atLeast"/>
        <w:ind w:left="1428" w:right="752"/>
        <w:jc w:val="both"/>
        <w:rPr>
          <w:rFonts w:cs="Arial"/>
          <w:sz w:val="22"/>
          <w:szCs w:val="18"/>
          <w:lang w:val="fr-FR" w:eastAsia="fr-CA"/>
        </w:rPr>
      </w:pPr>
      <w:r w:rsidRPr="00710F26">
        <w:rPr>
          <w:rFonts w:cs="Arial"/>
          <w:b/>
          <w:bCs/>
          <w:sz w:val="22"/>
          <w:szCs w:val="18"/>
          <w:lang w:val="fr-FR" w:eastAsia="fr-CA"/>
        </w:rPr>
        <w:t>74.5.2.</w:t>
      </w:r>
      <w:r w:rsidRPr="007415B8">
        <w:rPr>
          <w:rFonts w:cs="Arial"/>
          <w:sz w:val="22"/>
          <w:szCs w:val="18"/>
          <w:lang w:val="fr-FR" w:eastAsia="fr-CA"/>
        </w:rPr>
        <w:t xml:space="preserve"> Le conseil de la ville adopte, pour l’ensemble de son territoire, la politique de participation publique prévue à l’article 80.1 de la Loi sur l’aménagement et l’urbanisme (chapitre A-19.1).</w:t>
      </w:r>
    </w:p>
    <w:p w14:paraId="3A0F8745" w14:textId="77777777" w:rsidR="00F15244" w:rsidRPr="007415B8" w:rsidRDefault="00F15244" w:rsidP="00F15244">
      <w:pPr>
        <w:spacing w:before="120" w:after="120" w:line="280" w:lineRule="atLeast"/>
        <w:ind w:left="1428" w:right="752"/>
        <w:jc w:val="both"/>
        <w:rPr>
          <w:rFonts w:cs="Arial"/>
          <w:sz w:val="22"/>
          <w:szCs w:val="18"/>
          <w:lang w:val="fr-FR" w:eastAsia="fr-CA"/>
        </w:rPr>
      </w:pPr>
      <w:r w:rsidRPr="007415B8">
        <w:rPr>
          <w:rFonts w:cs="Arial"/>
          <w:sz w:val="22"/>
          <w:szCs w:val="18"/>
          <w:lang w:val="fr-FR" w:eastAsia="fr-CA"/>
        </w:rPr>
        <w:t>Lorsque la politique de participation publique de la ville respecte les exigences du règlement pris en vertu de l’article 80.3 de cette loi, ne sont pas assujettis à l’approbation référendaire prévue par cette loi les actes de la ville qui autrement y seraient soumis, qu’ils soient adoptés en vertu de la Loi sur l’aménagement et l’urbanisme ou de la présente charte.</w:t>
      </w:r>
    </w:p>
    <w:p w14:paraId="7F1CA0B9" w14:textId="77777777" w:rsidR="00A450AB" w:rsidRDefault="00F15244" w:rsidP="00F15244">
      <w:pPr>
        <w:pStyle w:val="Paragrdouble"/>
        <w:spacing w:line="240" w:lineRule="auto"/>
      </w:pPr>
      <w:r w:rsidRPr="009627F0">
        <w:t>Cet article devrait, d’après les demandeurs, être déclaré inopérant car contraire à la liberté d’expression liée aux valeurs démocratiques des citoyens qui ont le droit, en amont, d’être consulté</w:t>
      </w:r>
      <w:r w:rsidR="009C25D9">
        <w:t>s</w:t>
      </w:r>
      <w:r w:rsidRPr="009627F0">
        <w:t xml:space="preserve"> par la voie d’un référendum.</w:t>
      </w:r>
      <w:r>
        <w:t xml:space="preserve"> </w:t>
      </w:r>
    </w:p>
    <w:p w14:paraId="167F7A5D" w14:textId="69A548A1" w:rsidR="00E348F4" w:rsidRDefault="00E348F4" w:rsidP="00E348F4">
      <w:pPr>
        <w:pStyle w:val="Paragrdouble"/>
        <w:spacing w:line="240" w:lineRule="auto"/>
      </w:pPr>
      <w:r>
        <w:t xml:space="preserve">Pour les mêmes motifs que ceux invoqués en regard des articles 80.1 à 80.3 LAU, sur les articles 74.4 et 74.5, la Ville coupe court au débat et rejette les arguments car selon elle, la question serait théorique, la </w:t>
      </w:r>
      <w:r w:rsidR="7BE12CD6">
        <w:t>V</w:t>
      </w:r>
      <w:r>
        <w:t>ille ne se prévalant pas de ce nouvel article 74.5.2.  :</w:t>
      </w:r>
    </w:p>
    <w:p w14:paraId="33860658" w14:textId="77777777" w:rsidR="00E348F4" w:rsidRPr="00192F64" w:rsidRDefault="00E348F4" w:rsidP="5A7F0EA4">
      <w:pPr>
        <w:spacing w:before="120" w:after="120" w:line="280" w:lineRule="atLeast"/>
        <w:ind w:left="1428" w:right="752"/>
        <w:jc w:val="both"/>
        <w:rPr>
          <w:sz w:val="22"/>
          <w:szCs w:val="22"/>
          <w:shd w:val="clear" w:color="auto" w:fill="FFFFFF"/>
        </w:rPr>
      </w:pPr>
      <w:r w:rsidRPr="00192F64">
        <w:rPr>
          <w:sz w:val="22"/>
          <w:szCs w:val="22"/>
          <w:shd w:val="clear" w:color="auto" w:fill="FFFFFF"/>
        </w:rPr>
        <w:t xml:space="preserve">Évidemment, demeure exemptée du processus d’approbation référendaire les actes qui le sont en vertu d’autres dispositions législatives, comme les articles 74.4, 74.5 et 74.5.1 de la </w:t>
      </w:r>
      <w:r w:rsidRPr="00192F64">
        <w:rPr>
          <w:i/>
          <w:iCs/>
          <w:sz w:val="22"/>
          <w:szCs w:val="22"/>
          <w:shd w:val="clear" w:color="auto" w:fill="FFFFFF"/>
        </w:rPr>
        <w:t>Charte de la Ville</w:t>
      </w:r>
      <w:r w:rsidRPr="00192F64">
        <w:rPr>
          <w:sz w:val="22"/>
          <w:szCs w:val="22"/>
          <w:shd w:val="clear" w:color="auto" w:fill="FFFFFF"/>
        </w:rPr>
        <w:t>.</w:t>
      </w:r>
      <w:r w:rsidRPr="00192F64">
        <w:rPr>
          <w:rStyle w:val="Appelnotedebasdep"/>
          <w:sz w:val="22"/>
          <w:szCs w:val="22"/>
          <w:shd w:val="clear" w:color="auto" w:fill="FFFFFF"/>
        </w:rPr>
        <w:footnoteReference w:id="91"/>
      </w:r>
    </w:p>
    <w:p w14:paraId="00C54114" w14:textId="58BCD0F6" w:rsidR="00F15244" w:rsidRDefault="00F15244" w:rsidP="00F15244">
      <w:pPr>
        <w:pStyle w:val="Paragrdouble"/>
        <w:spacing w:line="240" w:lineRule="auto"/>
      </w:pPr>
      <w:r>
        <w:t>Pour les motifs énoncés au sous-chapitre précédent</w:t>
      </w:r>
      <w:r w:rsidR="00A450AB">
        <w:t xml:space="preserve"> (savoir que la Ville prétend ne pas s’être prévalue de cet article dans le dossier du tramway)</w:t>
      </w:r>
      <w:r>
        <w:t xml:space="preserve">, </w:t>
      </w:r>
      <w:r w:rsidR="00990F85">
        <w:t>le caractère théorique de la demande est le même et le Tr</w:t>
      </w:r>
      <w:r w:rsidR="006C1505">
        <w:t>i</w:t>
      </w:r>
      <w:r w:rsidR="00990F85">
        <w:t xml:space="preserve">bunal pourrait se contenter </w:t>
      </w:r>
      <w:r w:rsidR="006C1505">
        <w:t>de rejeter ces arguments sur cette base. Et p</w:t>
      </w:r>
      <w:r>
        <w:t xml:space="preserve">uisque les mêmes articles des </w:t>
      </w:r>
      <w:r w:rsidR="009C4D27" w:rsidRPr="00F04F7A">
        <w:t>C</w:t>
      </w:r>
      <w:r w:rsidRPr="00F04F7A">
        <w:t>hartes</w:t>
      </w:r>
      <w:r>
        <w:t xml:space="preserve"> sont invoqués pour requérir un référendum, les mêmes motifs de rejet s’appliquent.</w:t>
      </w:r>
    </w:p>
    <w:p w14:paraId="019E3A0D" w14:textId="4BDB5D75" w:rsidR="00606A74" w:rsidRDefault="00FE47B5" w:rsidP="00F15244">
      <w:pPr>
        <w:pStyle w:val="Paragrdouble"/>
        <w:spacing w:line="240" w:lineRule="auto"/>
      </w:pPr>
      <w:r w:rsidRPr="00FE47B5">
        <w:t>Sans égard au fait que ce débat est effectivement théorique et qu’il ne serait pas approprié que le Tribunal y réponde</w:t>
      </w:r>
      <w:r w:rsidR="00032445">
        <w:t xml:space="preserve"> en détails</w:t>
      </w:r>
      <w:r w:rsidRPr="00FE47B5">
        <w:t>,</w:t>
      </w:r>
      <w:r w:rsidR="00032445">
        <w:t xml:space="preserve"> pour les mêmes motifs que ceux énoncés </w:t>
      </w:r>
      <w:r w:rsidR="00032445">
        <w:lastRenderedPageBreak/>
        <w:t>plus haut</w:t>
      </w:r>
      <w:r w:rsidR="00606A74">
        <w:t>, cette demande de déclarer inopérant l’article 74.5.2 serait rejetée pour les motifs suivants :</w:t>
      </w:r>
    </w:p>
    <w:p w14:paraId="7A2472F3" w14:textId="625B7B69" w:rsidR="007A1B26" w:rsidRDefault="007A1B26" w:rsidP="00E8731F">
      <w:pPr>
        <w:pStyle w:val="Paragrdouble"/>
        <w:numPr>
          <w:ilvl w:val="0"/>
          <w:numId w:val="14"/>
        </w:numPr>
        <w:spacing w:line="240" w:lineRule="auto"/>
      </w:pPr>
      <w:r>
        <w:t>Les</w:t>
      </w:r>
      <w:r w:rsidR="00864969">
        <w:t xml:space="preserve"> </w:t>
      </w:r>
      <w:r>
        <w:t>C</w:t>
      </w:r>
      <w:r w:rsidR="00864969">
        <w:t>hartes québécoise et canadienne</w:t>
      </w:r>
      <w:r>
        <w:t xml:space="preserve"> ne visent pas le palier municipal pas plus qu’</w:t>
      </w:r>
      <w:r w:rsidR="00CB5055">
        <w:t>elles</w:t>
      </w:r>
      <w:r>
        <w:t xml:space="preserve"> ne protège</w:t>
      </w:r>
      <w:r w:rsidR="00CB5055">
        <w:t>nt</w:t>
      </w:r>
      <w:r>
        <w:t xml:space="preserve"> le droit à un référendum;</w:t>
      </w:r>
    </w:p>
    <w:p w14:paraId="176E433B" w14:textId="3EF01BF7" w:rsidR="00565DB1" w:rsidRPr="00FE47B5" w:rsidRDefault="004045D8" w:rsidP="00E348F4">
      <w:pPr>
        <w:pStyle w:val="Paragrdouble"/>
        <w:numPr>
          <w:ilvl w:val="0"/>
          <w:numId w:val="14"/>
        </w:numPr>
        <w:spacing w:line="240" w:lineRule="auto"/>
      </w:pPr>
      <w:r>
        <w:t>L</w:t>
      </w:r>
      <w:r w:rsidR="003F7718">
        <w:t>’esprit qui se dégage</w:t>
      </w:r>
      <w:r>
        <w:t xml:space="preserve"> des modifications apportées aux lois municipales afin de substituer les référendums municipaux par des consultations</w:t>
      </w:r>
      <w:r w:rsidR="00AE2D42">
        <w:t xml:space="preserve"> s’appliquent également à la Ville</w:t>
      </w:r>
      <w:r w:rsidR="003C5761">
        <w:t xml:space="preserve"> qui</w:t>
      </w:r>
      <w:r w:rsidR="00345EF5">
        <w:t xml:space="preserve">, </w:t>
      </w:r>
      <w:r w:rsidR="00F372C6">
        <w:t>sans qu’elle n’y soit tenue</w:t>
      </w:r>
      <w:r w:rsidR="003C5761">
        <w:t>, en respectant son règlement adopté en 2003, a tenu sur une base volontaire de nombreuses</w:t>
      </w:r>
      <w:r w:rsidR="006320BE">
        <w:t xml:space="preserve"> consultations sur les modes de transport en commun.</w:t>
      </w:r>
    </w:p>
    <w:p w14:paraId="6CA490EF" w14:textId="29F461F9" w:rsidR="00FA782A" w:rsidRDefault="00FA782A" w:rsidP="00FA782A">
      <w:pPr>
        <w:pStyle w:val="Titre3"/>
      </w:pPr>
      <w:bookmarkStart w:id="33" w:name="_Toc124755353"/>
      <w:r>
        <w:t>Le droit à l’injonction pour faire cesser tous travaux relatifs au tramway</w:t>
      </w:r>
      <w:bookmarkEnd w:id="33"/>
    </w:p>
    <w:p w14:paraId="00590FDF" w14:textId="77777777" w:rsidR="00FA782A" w:rsidRDefault="00FA782A" w:rsidP="00FA782A">
      <w:pPr>
        <w:pStyle w:val="Paragrdouble"/>
        <w:spacing w:line="240" w:lineRule="auto"/>
      </w:pPr>
      <w:r>
        <w:t>Parmi les conclusions les plus importantes recherchées par les demandeurs se trouve celle qui consiste à demander au Tribunal d’ordonner à la Ville « de cesser ou de faire cesser immédiatement tous travaux et interventions sur son territoire, reliés à la mise en chantier et à la construction du projet de tramway », et ce jusqu’à ce qu’un référendum décisif ou consultatif ou que soit tenu un référendum à la suite d’une étude comparative des divers moyens de transport collectif.</w:t>
      </w:r>
    </w:p>
    <w:p w14:paraId="73C298FA" w14:textId="77777777" w:rsidR="00FA782A" w:rsidRPr="00207FC2" w:rsidRDefault="00FA782A" w:rsidP="00FA782A">
      <w:pPr>
        <w:pStyle w:val="Paragrdouble"/>
        <w:spacing w:line="240" w:lineRule="auto"/>
      </w:pPr>
      <w:r>
        <w:t>Cette conclusion soulève les questions portant sur le pouvoir de la Ville de se doter d’un tramway et sur la pouvoir de ce Tribunal d’ordonner la tenue d’un référendum. Ces deux questions sont traitées tour à tour dans ce chapitre.</w:t>
      </w:r>
    </w:p>
    <w:p w14:paraId="0B73AD28" w14:textId="0FD22E8B" w:rsidR="00FA782A" w:rsidRDefault="00FA782A" w:rsidP="00FA782A">
      <w:pPr>
        <w:pStyle w:val="Titre4"/>
      </w:pPr>
      <w:bookmarkStart w:id="34" w:name="_Ref123485901"/>
      <w:bookmarkStart w:id="35" w:name="_Toc124755354"/>
      <w:r>
        <w:t>Le pouvoir de la Ville de se doter d’un tramway</w:t>
      </w:r>
      <w:bookmarkEnd w:id="34"/>
      <w:bookmarkEnd w:id="35"/>
    </w:p>
    <w:p w14:paraId="6FC67C78" w14:textId="2937F829" w:rsidR="00FA782A" w:rsidRDefault="00FA782A" w:rsidP="00FA782A">
      <w:pPr>
        <w:pStyle w:val="Paragrdouble"/>
        <w:spacing w:line="240" w:lineRule="auto"/>
      </w:pPr>
      <w:r>
        <w:t>En fait, les demandeurs ne contestent pas le pouvoir de la Ville de se doter d’un tramway; ils souhaitent davantage rattacher l’exercice de ce pouvoir à la tenue d’un référendum.</w:t>
      </w:r>
    </w:p>
    <w:p w14:paraId="2CA1F67D" w14:textId="77777777" w:rsidR="00FA782A" w:rsidRDefault="00FA782A" w:rsidP="00FA782A">
      <w:pPr>
        <w:pStyle w:val="Paragrdouble"/>
        <w:spacing w:line="240" w:lineRule="auto"/>
      </w:pPr>
      <w:r>
        <w:t>Avant d’analyser la condition que les demandeurs voudraient imposer à la Ville, il convient d’examiner le cadre législatif et réglementaire qui supporte le projet du tramway.</w:t>
      </w:r>
    </w:p>
    <w:p w14:paraId="5C79ECA7" w14:textId="6337F34A" w:rsidR="00FA782A" w:rsidRDefault="00FA782A" w:rsidP="00FA782A">
      <w:pPr>
        <w:pStyle w:val="Paragrdouble"/>
        <w:spacing w:line="240" w:lineRule="auto"/>
      </w:pPr>
      <w:r>
        <w:t xml:space="preserve">D’abord, l’entente signée par les autorités de la Ville et du gouvernement le 16 mars 2018, et entérinée par les instances appropriées, n’a pas été contestée par les demandeurs. Le projet de tramway est au cœur de cette entente. Convenons que demander un référendum sur le choix du mode de transport </w:t>
      </w:r>
      <w:r w:rsidR="2DFE5ACE">
        <w:t>quatre</w:t>
      </w:r>
      <w:r>
        <w:t xml:space="preserve"> ans après cette signature est inusité, mais il faut examiner en détails le pouvoir de la Ville.</w:t>
      </w:r>
    </w:p>
    <w:p w14:paraId="4C78BB4D" w14:textId="64BCF491" w:rsidR="00FA782A" w:rsidRDefault="00FA782A" w:rsidP="00FA782A">
      <w:pPr>
        <w:pStyle w:val="Paragrdouble"/>
        <w:spacing w:line="240" w:lineRule="auto"/>
      </w:pPr>
      <w:r>
        <w:t xml:space="preserve">L’article 1 LRSVQ est on ne peut plus précis : il permet la réalisation du projet de transport collectif de la ville, </w:t>
      </w:r>
      <w:r w:rsidRPr="5A7F0EA4">
        <w:rPr>
          <w:u w:val="single"/>
        </w:rPr>
        <w:t>lequel inclut un tramway</w:t>
      </w:r>
      <w:r>
        <w:t xml:space="preserve">. L’article 2 confie à la Ville la compétence pour réaliser le réseau de transport collectif, y compris d’acquérir tout bien requis pour la construction et l’exploitation de ce réseau et de percer un tunnel sous tout </w:t>
      </w:r>
      <w:r>
        <w:lastRenderedPageBreak/>
        <w:t xml:space="preserve">immeuble. Mis à part des portions de son article 7, cette loi </w:t>
      </w:r>
      <w:r w:rsidR="00CB5055">
        <w:t xml:space="preserve">adoptée le 14 juin 2019 </w:t>
      </w:r>
      <w:r>
        <w:t>n’est pas aujourd’hui contestée par les demandeurs.</w:t>
      </w:r>
    </w:p>
    <w:p w14:paraId="4EB663BF" w14:textId="77777777" w:rsidR="00FA782A" w:rsidRDefault="00FA782A" w:rsidP="00FA782A">
      <w:pPr>
        <w:pStyle w:val="Paragrdouble"/>
        <w:spacing w:line="240" w:lineRule="auto"/>
      </w:pPr>
      <w:r>
        <w:t xml:space="preserve">Ensuite, le </w:t>
      </w:r>
      <w:r w:rsidRPr="5A7F0EA4">
        <w:rPr>
          <w:i/>
          <w:iCs/>
        </w:rPr>
        <w:t xml:space="preserve">Règlement de l'agglomération sur la phase de planification, de conception et de préparation des plans et devis ainsi que d'autres travaux et démarches préparatoires </w:t>
      </w:r>
      <w:r w:rsidRPr="00922AD9">
        <w:t xml:space="preserve">à </w:t>
      </w:r>
      <w:r w:rsidRPr="5A7F0EA4">
        <w:rPr>
          <w:i/>
          <w:iCs/>
        </w:rPr>
        <w:t xml:space="preserve">la réalisation du réseau structurant de transport en commun de la Ville de Québec et sur l'emprunt nécessaire au paiement des coûts qui y sont rattachés, </w:t>
      </w:r>
      <w:r w:rsidRPr="00922AD9">
        <w:t>R.A.V.Q. 1291</w:t>
      </w:r>
      <w:r>
        <w:rPr>
          <w:rStyle w:val="Appelnotedebasdep"/>
        </w:rPr>
        <w:footnoteReference w:id="92"/>
      </w:r>
      <w:r>
        <w:t xml:space="preserve"> adopté le 18 septembre 2019 et engageant une dépense de 215 000 000 $ pour la préparation des plans et devis et les démarches préparatoires n’est pas contesté par les demandeurs.</w:t>
      </w:r>
    </w:p>
    <w:p w14:paraId="461D6A02" w14:textId="77777777" w:rsidR="00FA782A" w:rsidRDefault="00FA782A" w:rsidP="00FA782A">
      <w:pPr>
        <w:pStyle w:val="Paragrdouble"/>
        <w:spacing w:line="240" w:lineRule="auto"/>
      </w:pPr>
      <w:r>
        <w:t xml:space="preserve">Le </w:t>
      </w:r>
      <w:r w:rsidRPr="5A7F0EA4">
        <w:rPr>
          <w:i/>
          <w:iCs/>
        </w:rPr>
        <w:t>Règlement de l’agglomération sur la réalisation du réseau structurant de transport en commun de la ville de Québec et sur l’emprunt nécessaire au paiement des coûts qui y sont rattachés</w:t>
      </w:r>
      <w:r w:rsidRPr="006F2453">
        <w:t xml:space="preserve"> </w:t>
      </w:r>
      <w:r>
        <w:t>R.A.V.Q. 1342</w:t>
      </w:r>
      <w:r>
        <w:rPr>
          <w:rStyle w:val="Appelnotedebasdep"/>
        </w:rPr>
        <w:footnoteReference w:id="93"/>
      </w:r>
      <w:r>
        <w:t xml:space="preserve"> adopté le 8 juillet 2020 autorise tous les travaux nécessaires à la réalisation du réseau structurant de transport de même que l’octroi des contrats de services professionnels, l’embauche et le louage de personnel, l’acquisition de gré à gré ou par voie d’expropriation de tout droit de propriété et l’acquittement de toute dépense, pour lesquels une dépense de 3 084 700 000 $ est autorisée. Ce règlement n’est pas davantage contesté par les demandeurs.</w:t>
      </w:r>
    </w:p>
    <w:p w14:paraId="71789D79" w14:textId="77777777" w:rsidR="00FA782A" w:rsidRDefault="00FA782A" w:rsidP="00FA782A">
      <w:pPr>
        <w:pStyle w:val="Paragrdouble"/>
        <w:spacing w:line="240" w:lineRule="auto"/>
      </w:pPr>
      <w:r>
        <w:t>Ce sont pourtant d’autres règlements municipaux cruciaux.</w:t>
      </w:r>
    </w:p>
    <w:p w14:paraId="3B3E277D" w14:textId="77777777" w:rsidR="00FA782A" w:rsidRDefault="00FA782A" w:rsidP="00FA782A">
      <w:pPr>
        <w:pStyle w:val="Paragrdouble"/>
        <w:spacing w:line="240" w:lineRule="auto"/>
      </w:pPr>
      <w:r>
        <w:t>Nulle part dans la loi une obligation est faite à la Ville de consulter la population par référendum. Nulle part dans ces derniers règlements la Ville ne s’astreint-elle à la tenue d’un référendum.</w:t>
      </w:r>
    </w:p>
    <w:p w14:paraId="5A7DBC0D" w14:textId="77777777" w:rsidR="00FA782A" w:rsidRDefault="00FA782A" w:rsidP="00FA782A">
      <w:pPr>
        <w:pStyle w:val="Paragrdouble"/>
        <w:spacing w:line="240" w:lineRule="auto"/>
      </w:pPr>
      <w:r>
        <w:t xml:space="preserve">Dans la </w:t>
      </w:r>
      <w:r w:rsidRPr="00F04F7A">
        <w:t>Charte de la Ville,</w:t>
      </w:r>
      <w:r>
        <w:t xml:space="preserve"> l’article 128 exempte la Ville de se soumettre à un référendum pour la réalisation de travaux financés par emprunt quand ils sont sujets à la charge de l’ensemble des contribuables.</w:t>
      </w:r>
    </w:p>
    <w:p w14:paraId="24A4302B" w14:textId="50E1D6C8" w:rsidR="00FA782A" w:rsidRDefault="00FA782A" w:rsidP="00FA782A">
      <w:pPr>
        <w:pStyle w:val="Paragrdouble"/>
        <w:spacing w:line="240" w:lineRule="auto"/>
      </w:pPr>
      <w:r>
        <w:t xml:space="preserve">Alors quelle disposition </w:t>
      </w:r>
      <w:r w:rsidR="004F3951">
        <w:t>permettrait au Tribunal d’ordonner</w:t>
      </w:r>
      <w:r>
        <w:t xml:space="preserve"> la tenue d’un référendum? Les demandeurs ne peuvent en identifier une seule.</w:t>
      </w:r>
    </w:p>
    <w:p w14:paraId="49D8953F" w14:textId="7F99C572" w:rsidR="00FA782A" w:rsidRDefault="00FA782A" w:rsidP="00FA782A">
      <w:pPr>
        <w:pStyle w:val="Paragrdouble"/>
        <w:spacing w:line="240" w:lineRule="auto"/>
      </w:pPr>
      <w:r>
        <w:t xml:space="preserve">Dans ce contexte, </w:t>
      </w:r>
      <w:r w:rsidR="007E3A32">
        <w:t>sans égard aux</w:t>
      </w:r>
      <w:r>
        <w:t xml:space="preserve"> contestations constitutionnelles de certaines dispositions</w:t>
      </w:r>
      <w:r w:rsidR="007E3A32">
        <w:t xml:space="preserve"> dont il est que</w:t>
      </w:r>
      <w:r w:rsidR="00206150">
        <w:t>s</w:t>
      </w:r>
      <w:r w:rsidR="007E3A32">
        <w:t xml:space="preserve">tion plus </w:t>
      </w:r>
      <w:r w:rsidR="00206150">
        <w:t>loin</w:t>
      </w:r>
      <w:r>
        <w:t xml:space="preserve">, le Tribunal devrait appliquer un enseignement de la Cour suprême dans l’arrêt </w:t>
      </w:r>
      <w:r w:rsidRPr="5A7F0EA4">
        <w:rPr>
          <w:i/>
          <w:iCs/>
        </w:rPr>
        <w:t xml:space="preserve">Baier </w:t>
      </w:r>
      <w:r>
        <w:t xml:space="preserve">c. </w:t>
      </w:r>
      <w:r w:rsidRPr="5A7F0EA4">
        <w:rPr>
          <w:i/>
          <w:iCs/>
        </w:rPr>
        <w:t>Alberta</w:t>
      </w:r>
      <w:r w:rsidRPr="005C209E">
        <w:rPr>
          <w:rStyle w:val="Appelnotedebasdep"/>
        </w:rPr>
        <w:footnoteReference w:id="94"/>
      </w:r>
      <w:r w:rsidR="0A6EF10A" w:rsidRPr="5A7F0EA4">
        <w:rPr>
          <w:rStyle w:val="Appelnotedebasdep"/>
        </w:rPr>
        <w:t xml:space="preserve"> </w:t>
      </w:r>
      <w:r>
        <w:t>et placer les demandeurs dans un cul-de-sac juridique :</w:t>
      </w:r>
    </w:p>
    <w:p w14:paraId="14E27180" w14:textId="631A2502" w:rsidR="00FA782A" w:rsidRDefault="6DC88B3C" w:rsidP="00FA782A">
      <w:pPr>
        <w:pStyle w:val="Paragrdouble"/>
        <w:numPr>
          <w:ilvl w:val="0"/>
          <w:numId w:val="0"/>
        </w:numPr>
        <w:spacing w:line="240" w:lineRule="auto"/>
        <w:ind w:left="731" w:right="573"/>
        <w:rPr>
          <w:sz w:val="22"/>
          <w:szCs w:val="22"/>
        </w:rPr>
      </w:pPr>
      <w:r w:rsidRPr="5A7F0EA4">
        <w:rPr>
          <w:sz w:val="22"/>
          <w:szCs w:val="22"/>
        </w:rPr>
        <w:t xml:space="preserve">[24] (…) </w:t>
      </w:r>
      <w:r w:rsidR="00FA782A" w:rsidRPr="5A7F0EA4">
        <w:rPr>
          <w:sz w:val="22"/>
          <w:szCs w:val="22"/>
        </w:rPr>
        <w:t>Appliquant l’arrêt Haig, la Cour a jugé qu’il n’y avait pas eu violation de l’al. 2b). Comme tout autre référendum, un référendum municipal est une mesure créée par une loi et tout droit de voter à ce référendum doit être prévu par la loi en question.</w:t>
      </w:r>
    </w:p>
    <w:p w14:paraId="4E28E649" w14:textId="77777777" w:rsidR="00FA782A" w:rsidRDefault="00FA782A" w:rsidP="00FA782A">
      <w:pPr>
        <w:pStyle w:val="Paragrdouble"/>
        <w:spacing w:line="240" w:lineRule="auto"/>
        <w:rPr>
          <w:szCs w:val="18"/>
        </w:rPr>
      </w:pPr>
      <w:r w:rsidRPr="003F0E24">
        <w:rPr>
          <w:szCs w:val="18"/>
        </w:rPr>
        <w:lastRenderedPageBreak/>
        <w:t>Le</w:t>
      </w:r>
      <w:r>
        <w:rPr>
          <w:szCs w:val="18"/>
        </w:rPr>
        <w:t>s démarches</w:t>
      </w:r>
      <w:r w:rsidRPr="003F0E24">
        <w:rPr>
          <w:szCs w:val="18"/>
        </w:rPr>
        <w:t xml:space="preserve"> de la Ville </w:t>
      </w:r>
      <w:r>
        <w:rPr>
          <w:szCs w:val="18"/>
        </w:rPr>
        <w:t>pour</w:t>
      </w:r>
      <w:r w:rsidRPr="003F0E24">
        <w:rPr>
          <w:szCs w:val="18"/>
        </w:rPr>
        <w:t xml:space="preserve"> se doter d’un tramway</w:t>
      </w:r>
      <w:r>
        <w:rPr>
          <w:szCs w:val="18"/>
        </w:rPr>
        <w:t xml:space="preserve"> sont prévues à la loi et la Ville a respecté les étapes requises. Et ces démarches ne prévoient pas la tenue d’un référendum.</w:t>
      </w:r>
    </w:p>
    <w:p w14:paraId="12174D7F" w14:textId="541F3A18" w:rsidR="00FA782A" w:rsidRDefault="00FA782A" w:rsidP="00FA782A">
      <w:pPr>
        <w:pStyle w:val="Titre4"/>
      </w:pPr>
      <w:bookmarkStart w:id="36" w:name="_Toc124755355"/>
      <w:r>
        <w:t>Les droits démocratiques des demandeurs</w:t>
      </w:r>
      <w:bookmarkEnd w:id="36"/>
    </w:p>
    <w:p w14:paraId="2304C5D9" w14:textId="77777777" w:rsidR="00FA782A" w:rsidRPr="00D805A9" w:rsidRDefault="00FA782A" w:rsidP="00FA782A">
      <w:pPr>
        <w:pStyle w:val="Paragrdouble"/>
        <w:spacing w:line="240" w:lineRule="auto"/>
      </w:pPr>
      <w:r>
        <w:t>Ne contestant pas en soi le droit de la Ville de pouvoir mettre en place un tramway, l</w:t>
      </w:r>
      <w:r w:rsidRPr="00D805A9">
        <w:t>es demandeurs prétendent que leur droit fondamental d’expression démocratique lors des élections tenues en 2017, 2018 et 2021 a été bafoué en ce que les engagements électoraux des élus n’ont pas été respectés :</w:t>
      </w:r>
    </w:p>
    <w:p w14:paraId="0926DEF7" w14:textId="745417B4" w:rsidR="00FA782A" w:rsidRPr="00372F5C" w:rsidRDefault="1F007A51" w:rsidP="00FA782A">
      <w:pPr>
        <w:pStyle w:val="Paragrdouble"/>
        <w:numPr>
          <w:ilvl w:val="0"/>
          <w:numId w:val="6"/>
        </w:numPr>
        <w:spacing w:line="240" w:lineRule="auto"/>
      </w:pPr>
      <w:r>
        <w:t>Lors</w:t>
      </w:r>
      <w:r w:rsidR="00FA782A">
        <w:t xml:space="preserve"> des élections municipales de 2017, le candidat à la mairie Régis Labeaume se serait exprimé contre la mise en place d’un tramway à titre de réponse aux besoins d’un réseau de transport structurant et que, au lendemain de l’élection, une fois élu, il aurait adopté la position inverse;</w:t>
      </w:r>
    </w:p>
    <w:p w14:paraId="334467FF" w14:textId="5150A3A3" w:rsidR="00FA782A" w:rsidRPr="00372F5C" w:rsidRDefault="6703FDA7" w:rsidP="00FA782A">
      <w:pPr>
        <w:pStyle w:val="Paragrdouble"/>
        <w:numPr>
          <w:ilvl w:val="0"/>
          <w:numId w:val="6"/>
        </w:numPr>
        <w:spacing w:line="240" w:lineRule="auto"/>
      </w:pPr>
      <w:r>
        <w:t>Lors</w:t>
      </w:r>
      <w:r w:rsidR="00FA782A">
        <w:t xml:space="preserve"> des élections provinciales de 2018, la Coalition Avenir Québec aurait accepté de supporter le projet de tramway en autant que quatre conditions importantes soient respectées et que, à la suite de l’élection de ce parti, lors de l’adoption du décret 655-2022 en avril 2022, celles-ci auraient été mises de côté;</w:t>
      </w:r>
    </w:p>
    <w:p w14:paraId="6256794D" w14:textId="6624D27A" w:rsidR="00FA782A" w:rsidRPr="00372F5C" w:rsidRDefault="48311511" w:rsidP="00FA782A">
      <w:pPr>
        <w:pStyle w:val="Paragrdouble"/>
        <w:numPr>
          <w:ilvl w:val="0"/>
          <w:numId w:val="6"/>
        </w:numPr>
        <w:spacing w:line="240" w:lineRule="auto"/>
      </w:pPr>
      <w:r>
        <w:t>Finalement</w:t>
      </w:r>
      <w:r w:rsidR="00FA782A">
        <w:t>, lors des élections municipales de 2021, le candidat à la mairie Bruno Marchand aurait déclaré supporter le projet de tramway en autant que 10 conditions viennent améliorer le projet et que, après son élection, il aurait accepté d’écarter celles-ci.</w:t>
      </w:r>
    </w:p>
    <w:p w14:paraId="2A786CBF" w14:textId="67EB079B" w:rsidR="00FA782A" w:rsidRDefault="00FA782A" w:rsidP="00FA782A">
      <w:pPr>
        <w:pStyle w:val="Paragrdouble"/>
        <w:spacing w:line="240" w:lineRule="auto"/>
      </w:pPr>
      <w:r>
        <w:t xml:space="preserve">Le droit de voter par référendum est soutenu par les demandeurs sous l’angle de dispositions contenues dans les Chartes ou dans les principes constitutionnels non-écrits. D’après les demandeurs, ils bénéficient de la liberté d’expression et ont </w:t>
      </w:r>
      <w:r w:rsidR="27B4F167">
        <w:t xml:space="preserve">le </w:t>
      </w:r>
      <w:r>
        <w:t>droit de manifester leur choix lors des élections. Mais lorsque les candidats ne font pas ce qu’ils promettent, la sanction devrait être la tenue d’un référendum pour valider ou invalider un projet.</w:t>
      </w:r>
    </w:p>
    <w:p w14:paraId="68F092D5" w14:textId="54530F1F" w:rsidR="00FA782A" w:rsidRDefault="00FA782A" w:rsidP="00FA782A">
      <w:pPr>
        <w:pStyle w:val="Paragrdouble"/>
        <w:spacing w:line="240" w:lineRule="auto"/>
      </w:pPr>
      <w:r>
        <w:t xml:space="preserve">Pour soutenir cette audacieuse position, les demandeurs n’ont pas été en mesure de soumettre à ce sujet un quelconque </w:t>
      </w:r>
      <w:r w:rsidR="00693BFB">
        <w:t>précédent</w:t>
      </w:r>
      <w:r>
        <w:t xml:space="preserve"> jurisprudentiel à travers le Canada. Cela n’empêche pas les demandeurs de soumettre cette question dans le présent dossier qu’il convient de traiter ainsi :</w:t>
      </w:r>
    </w:p>
    <w:p w14:paraId="703DDF1A" w14:textId="77777777" w:rsidR="00FA782A" w:rsidRDefault="00FA782A" w:rsidP="00FA782A">
      <w:pPr>
        <w:pStyle w:val="Paragrdouble"/>
        <w:numPr>
          <w:ilvl w:val="0"/>
          <w:numId w:val="11"/>
        </w:numPr>
        <w:spacing w:line="240" w:lineRule="auto"/>
      </w:pPr>
      <w:r>
        <w:t xml:space="preserve">Le droit au référendum municipal au sens des </w:t>
      </w:r>
      <w:r w:rsidRPr="00F04F7A">
        <w:t>Chartes</w:t>
      </w:r>
      <w:r>
        <w:t>;</w:t>
      </w:r>
    </w:p>
    <w:p w14:paraId="10A4CD9A" w14:textId="77777777" w:rsidR="00FA782A" w:rsidRDefault="00FA782A" w:rsidP="00FA782A">
      <w:pPr>
        <w:pStyle w:val="Paragrdouble"/>
        <w:numPr>
          <w:ilvl w:val="0"/>
          <w:numId w:val="11"/>
        </w:numPr>
        <w:spacing w:line="240" w:lineRule="auto"/>
      </w:pPr>
      <w:r>
        <w:t>Le droit au référendum municipal au sens des principes constitutionnels non-écrits;</w:t>
      </w:r>
    </w:p>
    <w:p w14:paraId="1D7048D1" w14:textId="77777777" w:rsidR="00FA782A" w:rsidRDefault="00FA782A" w:rsidP="00FA782A">
      <w:pPr>
        <w:pStyle w:val="Paragrdouble"/>
        <w:numPr>
          <w:ilvl w:val="0"/>
          <w:numId w:val="11"/>
        </w:numPr>
        <w:spacing w:line="240" w:lineRule="auto"/>
      </w:pPr>
      <w:r>
        <w:t>Le référendum : pour corriger des promesses électorales soi-disant non tenues.</w:t>
      </w:r>
    </w:p>
    <w:p w14:paraId="77A6326B" w14:textId="5F85A4FF" w:rsidR="00FA782A" w:rsidRDefault="00FA782A" w:rsidP="00FA782A">
      <w:pPr>
        <w:pStyle w:val="Titre5"/>
      </w:pPr>
      <w:bookmarkStart w:id="37" w:name="_Toc124755356"/>
      <w:r>
        <w:lastRenderedPageBreak/>
        <w:t>Le droit du citoyen de s’exprimer par le biais d’un référendum à travers le prisme des Chartes</w:t>
      </w:r>
      <w:bookmarkEnd w:id="37"/>
    </w:p>
    <w:p w14:paraId="3DE9316D" w14:textId="77777777" w:rsidR="00FA782A" w:rsidRDefault="00FA782A" w:rsidP="00FA782A">
      <w:pPr>
        <w:pStyle w:val="Paragrdouble"/>
        <w:spacing w:line="240" w:lineRule="auto"/>
      </w:pPr>
      <w:r>
        <w:t xml:space="preserve">Débutons par le droit au référendum municipal que proposeraient les </w:t>
      </w:r>
      <w:r w:rsidRPr="00F04F7A">
        <w:t>Chartes</w:t>
      </w:r>
      <w:r>
        <w:t>.</w:t>
      </w:r>
    </w:p>
    <w:p w14:paraId="3619F47F" w14:textId="721A2764" w:rsidR="00FA782A" w:rsidRDefault="00FA782A" w:rsidP="00FA782A">
      <w:pPr>
        <w:pStyle w:val="Paragrdouble"/>
        <w:spacing w:line="240" w:lineRule="auto"/>
      </w:pPr>
      <w:r w:rsidRPr="5A7F0EA4">
        <w:rPr>
          <w:i/>
          <w:iCs/>
        </w:rPr>
        <w:t>La liberté d’expression</w:t>
      </w:r>
      <w:r>
        <w:t xml:space="preserve">. Le droit à l’expression est ainsi défini dans la </w:t>
      </w:r>
      <w:r w:rsidRPr="00F04F7A">
        <w:t>Charte canadienne</w:t>
      </w:r>
      <w:r w:rsidRPr="00693BFB">
        <w:rPr>
          <w:rStyle w:val="Appelnotedebasdep"/>
        </w:rPr>
        <w:footnoteReference w:id="95"/>
      </w:r>
      <w:r w:rsidR="119E385E" w:rsidRPr="1772CC32">
        <w:rPr>
          <w:rStyle w:val="Appelnotedebasdep"/>
        </w:rPr>
        <w:t xml:space="preserve"> </w:t>
      </w:r>
      <w:r>
        <w:t>:</w:t>
      </w:r>
    </w:p>
    <w:p w14:paraId="1CC57412" w14:textId="77777777" w:rsidR="00FA782A" w:rsidRPr="00163A65" w:rsidRDefault="00FA782A" w:rsidP="00FA782A">
      <w:pPr>
        <w:pStyle w:val="Paragrdouble"/>
        <w:numPr>
          <w:ilvl w:val="0"/>
          <w:numId w:val="0"/>
        </w:numPr>
        <w:spacing w:line="240" w:lineRule="auto"/>
        <w:ind w:left="731" w:right="573"/>
        <w:rPr>
          <w:sz w:val="22"/>
          <w:szCs w:val="22"/>
          <w:lang w:eastAsia="fr-CA"/>
        </w:rPr>
      </w:pPr>
      <w:r w:rsidRPr="5A7F0EA4">
        <w:rPr>
          <w:sz w:val="22"/>
          <w:szCs w:val="22"/>
          <w:lang w:eastAsia="fr-CA"/>
        </w:rPr>
        <w:t>2. Chacun a les libertés fondamentales suivantes :</w:t>
      </w:r>
    </w:p>
    <w:p w14:paraId="18BC4730" w14:textId="0575B5A4" w:rsidR="432A419B" w:rsidRDefault="432A419B" w:rsidP="5A7F0EA4">
      <w:pPr>
        <w:pStyle w:val="Paragrdouble"/>
        <w:numPr>
          <w:ilvl w:val="0"/>
          <w:numId w:val="0"/>
        </w:numPr>
        <w:spacing w:line="240" w:lineRule="auto"/>
        <w:ind w:right="573"/>
        <w:rPr>
          <w:sz w:val="22"/>
          <w:szCs w:val="22"/>
          <w:lang w:eastAsia="fr-CA"/>
        </w:rPr>
      </w:pPr>
      <w:r w:rsidRPr="5A7F0EA4">
        <w:rPr>
          <w:sz w:val="22"/>
          <w:szCs w:val="22"/>
          <w:lang w:eastAsia="fr-CA"/>
        </w:rPr>
        <w:t xml:space="preserve">     </w:t>
      </w:r>
      <w:r>
        <w:tab/>
      </w:r>
      <w:r>
        <w:tab/>
      </w:r>
      <w:r>
        <w:tab/>
      </w:r>
      <w:r w:rsidRPr="5A7F0EA4">
        <w:rPr>
          <w:sz w:val="22"/>
          <w:szCs w:val="22"/>
          <w:lang w:eastAsia="fr-CA"/>
        </w:rPr>
        <w:t>[…]</w:t>
      </w:r>
    </w:p>
    <w:p w14:paraId="5E029866" w14:textId="77777777" w:rsidR="00FA782A" w:rsidRPr="00163A65" w:rsidRDefault="00FA782A" w:rsidP="00FA782A">
      <w:pPr>
        <w:pStyle w:val="Paragrdouble"/>
        <w:numPr>
          <w:ilvl w:val="0"/>
          <w:numId w:val="0"/>
        </w:numPr>
        <w:spacing w:line="240" w:lineRule="auto"/>
        <w:ind w:left="1134" w:right="573" w:hanging="403"/>
        <w:rPr>
          <w:sz w:val="22"/>
          <w:szCs w:val="22"/>
          <w:lang w:eastAsia="fr-CA"/>
        </w:rPr>
      </w:pPr>
      <w:r>
        <w:rPr>
          <w:sz w:val="22"/>
          <w:szCs w:val="22"/>
          <w:lang w:eastAsia="fr-CA"/>
        </w:rPr>
        <w:t xml:space="preserve">b. </w:t>
      </w:r>
      <w:r>
        <w:rPr>
          <w:sz w:val="22"/>
          <w:szCs w:val="22"/>
          <w:lang w:eastAsia="fr-CA"/>
        </w:rPr>
        <w:tab/>
      </w:r>
      <w:r w:rsidRPr="00163A65">
        <w:rPr>
          <w:sz w:val="22"/>
          <w:szCs w:val="22"/>
          <w:lang w:eastAsia="fr-CA"/>
        </w:rPr>
        <w:t>liberté de pensée, de croyance, d’opinion et d’expression, y compris la liberté de la presse et des autres moyens de communication.</w:t>
      </w:r>
    </w:p>
    <w:p w14:paraId="249D744C" w14:textId="77777777" w:rsidR="00FA782A" w:rsidRDefault="00FA782A" w:rsidP="00FA782A">
      <w:pPr>
        <w:pStyle w:val="Paragrdouble"/>
        <w:spacing w:line="240" w:lineRule="auto"/>
      </w:pPr>
      <w:r>
        <w:t>La liberté d’expression est le socle d’une société libre et démocratique. Elle permet à chaque citoyen de faire valoir son point de vue à tout moment. Cette protection veut « encourager la recherche de la vérité au moyen d’un échange ouvert d’idées et favoriser l’épanouissement personnel des individus »</w:t>
      </w:r>
      <w:r>
        <w:rPr>
          <w:rStyle w:val="Appelnotedebasdep"/>
        </w:rPr>
        <w:footnoteReference w:id="96"/>
      </w:r>
      <w:r>
        <w:t> :</w:t>
      </w:r>
    </w:p>
    <w:p w14:paraId="47834906" w14:textId="77777777" w:rsidR="00FA782A" w:rsidRPr="00530F23" w:rsidRDefault="00FA782A" w:rsidP="00FA782A">
      <w:pPr>
        <w:pStyle w:val="Paragrdouble"/>
        <w:numPr>
          <w:ilvl w:val="0"/>
          <w:numId w:val="0"/>
        </w:numPr>
        <w:spacing w:line="240" w:lineRule="auto"/>
        <w:ind w:left="731" w:right="573"/>
        <w:rPr>
          <w:rFonts w:ascii="Times New Roman" w:hAnsi="Times New Roman"/>
          <w:sz w:val="22"/>
          <w:szCs w:val="22"/>
          <w:lang w:eastAsia="fr-CA"/>
        </w:rPr>
      </w:pPr>
      <w:r w:rsidRPr="00530F23">
        <w:rPr>
          <w:sz w:val="22"/>
          <w:szCs w:val="22"/>
        </w:rPr>
        <w:t xml:space="preserve">12       Le droit des citoyens </w:t>
      </w:r>
      <w:r w:rsidRPr="00530F23">
        <w:rPr>
          <w:sz w:val="22"/>
          <w:szCs w:val="22"/>
          <w:lang w:eastAsia="fr-CA"/>
        </w:rPr>
        <w:t>de</w:t>
      </w:r>
      <w:r w:rsidRPr="00530F23">
        <w:rPr>
          <w:sz w:val="22"/>
          <w:szCs w:val="22"/>
        </w:rPr>
        <w:t xml:space="preserve"> discuter de certaines idées et d’en débattre représente le fondement même de la démocratie; voir </w:t>
      </w:r>
      <w:r w:rsidRPr="5A7F0EA4">
        <w:rPr>
          <w:i/>
          <w:iCs/>
          <w:sz w:val="22"/>
          <w:szCs w:val="22"/>
        </w:rPr>
        <w:t>Reference re Alberta Statutes</w:t>
      </w:r>
      <w:r w:rsidRPr="00530F23">
        <w:rPr>
          <w:sz w:val="22"/>
          <w:szCs w:val="22"/>
        </w:rPr>
        <w:t xml:space="preserve">, [1938] R.C.S. 100, p. 145-146.  Pour cette raison, la Cour suprême du Canada a constamment protégé le droit de chaque citoyen de participer au débat politique.  Comme l’a dit le juge en chef Dickson dans </w:t>
      </w:r>
      <w:r w:rsidRPr="5A7F0EA4">
        <w:rPr>
          <w:i/>
          <w:iCs/>
          <w:sz w:val="22"/>
          <w:szCs w:val="22"/>
        </w:rPr>
        <w:t>R. c. Keegstra</w:t>
      </w:r>
      <w:r w:rsidRPr="00530F23">
        <w:rPr>
          <w:sz w:val="22"/>
          <w:szCs w:val="22"/>
        </w:rPr>
        <w:t>, [1990] 3 R.C.S. 697, p. 764, « [l]’État ne saurait en conséquence entraver l’expression d’une opinion politique ni la condamner sans nuire jusqu’à un certain point au caractère ouvert de la démocratie canadienne et au principe connexe de l’égalité de tous. »</w:t>
      </w:r>
      <w:r w:rsidRPr="00530F23">
        <w:rPr>
          <w:rStyle w:val="Appelnotedebasdep"/>
          <w:sz w:val="22"/>
          <w:szCs w:val="22"/>
        </w:rPr>
        <w:footnoteReference w:id="97"/>
      </w:r>
    </w:p>
    <w:p w14:paraId="1295349D" w14:textId="2BB46D89" w:rsidR="00FA782A" w:rsidRDefault="00FA782A" w:rsidP="00FA782A">
      <w:pPr>
        <w:pStyle w:val="Paragrdouble"/>
        <w:spacing w:line="240" w:lineRule="auto"/>
      </w:pPr>
      <w:r>
        <w:t xml:space="preserve">Incidemment, la preuve démontre que les demandeurs ont utilisé de nombreux moyens d’expression, allant de la participation à des manifestations, à de l’affichage, à l’usage de sites Internet, y compris la publication d’une centaine de capsules vidéo, la participation aux consultations du BAPE, </w:t>
      </w:r>
      <w:r w:rsidR="00CB5055">
        <w:t>ainsi que</w:t>
      </w:r>
      <w:r>
        <w:t xml:space="preserve"> des pétitions transmises aux élus provinciaux ou municipaux. Leur droit à l’expression n’a pas été brimé. Bien au contraire.</w:t>
      </w:r>
    </w:p>
    <w:p w14:paraId="01101ED1" w14:textId="77777777" w:rsidR="00FA782A" w:rsidRPr="00D805A9" w:rsidRDefault="00FA782A" w:rsidP="00FA782A">
      <w:pPr>
        <w:pStyle w:val="Paragrdouble"/>
        <w:spacing w:line="240" w:lineRule="auto"/>
      </w:pPr>
      <w:r w:rsidRPr="5A7F0EA4">
        <w:rPr>
          <w:i/>
          <w:iCs/>
        </w:rPr>
        <w:t>Les droits démocratiques</w:t>
      </w:r>
      <w:r>
        <w:t>. En parallèle et parfois de façon complémentaire, existe également la reconnaissance des droits démocratiques des Canadiens.</w:t>
      </w:r>
      <w:r w:rsidRPr="007A2EE6">
        <w:t xml:space="preserve"> </w:t>
      </w:r>
      <w:r w:rsidRPr="00D805A9">
        <w:t>L</w:t>
      </w:r>
      <w:r>
        <w:t xml:space="preserve">a </w:t>
      </w:r>
      <w:r w:rsidRPr="00F04F7A">
        <w:t>Charte canadienne</w:t>
      </w:r>
      <w:r w:rsidRPr="00E54D14">
        <w:rPr>
          <w:rStyle w:val="Appelnotedebasdep"/>
        </w:rPr>
        <w:footnoteReference w:id="98"/>
      </w:r>
      <w:r>
        <w:t xml:space="preserve"> prescrit que l</w:t>
      </w:r>
      <w:r w:rsidRPr="00D805A9">
        <w:t>es Canadiens ont le droit de se porter candidat et le droit de voter lors des élections :</w:t>
      </w:r>
    </w:p>
    <w:p w14:paraId="627AD8BE" w14:textId="77777777" w:rsidR="00FA782A" w:rsidRPr="001C5B84" w:rsidRDefault="00FA782A" w:rsidP="00FA782A">
      <w:pPr>
        <w:pStyle w:val="Paragrdouble"/>
        <w:numPr>
          <w:ilvl w:val="0"/>
          <w:numId w:val="0"/>
        </w:numPr>
        <w:spacing w:line="240" w:lineRule="auto"/>
        <w:ind w:left="731" w:right="573"/>
        <w:rPr>
          <w:sz w:val="22"/>
          <w:szCs w:val="22"/>
          <w:lang w:eastAsia="fr-CA"/>
        </w:rPr>
      </w:pPr>
      <w:r w:rsidRPr="001C5B84">
        <w:rPr>
          <w:sz w:val="22"/>
          <w:szCs w:val="22"/>
          <w:lang w:eastAsia="fr-CA"/>
        </w:rPr>
        <w:lastRenderedPageBreak/>
        <w:t>3. Tout citoyen canadien a le droit de vote et est éligible aux élections législatives fédérales ou provinciales.</w:t>
      </w:r>
    </w:p>
    <w:p w14:paraId="1DD9E04C" w14:textId="77777777" w:rsidR="00FA782A" w:rsidRDefault="00FA782A" w:rsidP="00FA782A">
      <w:pPr>
        <w:pStyle w:val="Paragrdouble"/>
        <w:spacing w:line="240" w:lineRule="auto"/>
      </w:pPr>
      <w:r>
        <w:t>Cet article protège le droit de jouer un rôle dans le processus électoral</w:t>
      </w:r>
      <w:r>
        <w:rPr>
          <w:rStyle w:val="Appelnotedebasdep"/>
        </w:rPr>
        <w:footnoteReference w:id="99"/>
      </w:r>
      <w:r>
        <w:t xml:space="preserve">. Comme l’a reconnu la Cour suprême dans le </w:t>
      </w:r>
      <w:r w:rsidRPr="5A7F0EA4">
        <w:rPr>
          <w:i/>
          <w:iCs/>
        </w:rPr>
        <w:t>Renvoi : Circ. électorales provinciales (Sask.)</w:t>
      </w:r>
      <w:r w:rsidRPr="00E54D14">
        <w:rPr>
          <w:rStyle w:val="Appelnotedebasdep"/>
        </w:rPr>
        <w:footnoteReference w:id="100"/>
      </w:r>
      <w:r>
        <w:t>, les droits démocratiques ont trait à la démocratie représentative :</w:t>
      </w:r>
    </w:p>
    <w:p w14:paraId="4A7E786F" w14:textId="77777777" w:rsidR="00FA782A" w:rsidRPr="00F478D2" w:rsidRDefault="00FA782A" w:rsidP="00FA782A">
      <w:pPr>
        <w:pStyle w:val="Paragrdouble"/>
        <w:numPr>
          <w:ilvl w:val="0"/>
          <w:numId w:val="0"/>
        </w:numPr>
        <w:spacing w:line="240" w:lineRule="auto"/>
        <w:ind w:left="731" w:right="573"/>
        <w:rPr>
          <w:sz w:val="22"/>
          <w:szCs w:val="22"/>
          <w:lang w:val="fr-FR" w:eastAsia="fr-CA"/>
        </w:rPr>
      </w:pPr>
      <w:r w:rsidRPr="00860CB8">
        <w:rPr>
          <w:sz w:val="22"/>
          <w:szCs w:val="22"/>
          <w:lang w:val="fr-FR" w:eastAsia="fr-CA"/>
        </w:rPr>
        <w:t xml:space="preserve">Je conclus que l'objet du droit de vote garanti à l'art. 3 de la </w:t>
      </w:r>
      <w:r w:rsidRPr="00860CB8">
        <w:rPr>
          <w:i/>
          <w:iCs/>
          <w:sz w:val="22"/>
          <w:szCs w:val="22"/>
          <w:lang w:val="fr-FR" w:eastAsia="fr-CA"/>
        </w:rPr>
        <w:t>Charte</w:t>
      </w:r>
      <w:r w:rsidRPr="00860CB8">
        <w:rPr>
          <w:sz w:val="22"/>
          <w:szCs w:val="22"/>
          <w:lang w:val="fr-FR" w:eastAsia="fr-CA"/>
        </w:rPr>
        <w:t xml:space="preserve"> n'est pas l'égalité du pouvoir électoral en soi mais le droit à une "représentation effective".  Notre démocratie est une démocratie représentative.  Chaque </w:t>
      </w:r>
      <w:r w:rsidRPr="00860CB8">
        <w:rPr>
          <w:sz w:val="22"/>
          <w:szCs w:val="22"/>
          <w:lang w:eastAsia="fr-CA"/>
        </w:rPr>
        <w:t>citoyen</w:t>
      </w:r>
      <w:r w:rsidRPr="00860CB8">
        <w:rPr>
          <w:sz w:val="22"/>
          <w:szCs w:val="22"/>
          <w:lang w:val="fr-FR" w:eastAsia="fr-CA"/>
        </w:rPr>
        <w:t xml:space="preserve"> a le droit d'être </w:t>
      </w:r>
      <w:r w:rsidRPr="00860CB8">
        <w:rPr>
          <w:sz w:val="22"/>
          <w:szCs w:val="22"/>
          <w:u w:val="single"/>
          <w:lang w:val="fr-FR" w:eastAsia="fr-CA"/>
        </w:rPr>
        <w:t>représenté</w:t>
      </w:r>
      <w:r w:rsidRPr="00860CB8">
        <w:rPr>
          <w:sz w:val="22"/>
          <w:szCs w:val="22"/>
          <w:lang w:val="fr-FR" w:eastAsia="fr-CA"/>
        </w:rPr>
        <w:t xml:space="preserve"> au sein du gouvernement.  La représentation suppose la possibilité pour les électeurs d'avoir voix aux délibérations du gouvernement aussi bien que leur droit d'attirer l'attention de leur député sur leurs griefs et leurs préoccupations; comme il est dit dans l'arrêt </w:t>
      </w:r>
      <w:r w:rsidRPr="00860CB8">
        <w:rPr>
          <w:i/>
          <w:iCs/>
          <w:sz w:val="22"/>
          <w:szCs w:val="22"/>
          <w:lang w:val="fr-FR" w:eastAsia="fr-CA"/>
        </w:rPr>
        <w:t>Dixon v. B.C. (A.G.)</w:t>
      </w:r>
      <w:r w:rsidRPr="00860CB8">
        <w:rPr>
          <w:sz w:val="22"/>
          <w:szCs w:val="22"/>
          <w:lang w:val="fr-FR" w:eastAsia="fr-CA"/>
        </w:rPr>
        <w:t>, [1989] 4 W.W.R. 393, à la p. 413, les représentants élus exercent deux rôles - un rôle législatif et celui que l'on qualifie de "ombudsman."</w:t>
      </w:r>
    </w:p>
    <w:p w14:paraId="70DF1655" w14:textId="77777777" w:rsidR="00FA782A" w:rsidRDefault="00FA782A" w:rsidP="00FA782A">
      <w:pPr>
        <w:pStyle w:val="Paragrdouble"/>
        <w:spacing w:line="240" w:lineRule="auto"/>
      </w:pPr>
      <w:r>
        <w:t>Ces droits démocratiques de se présenter comme candidat et de voter aux élections ne visent que les élections législatives fédérale et provinciales</w:t>
      </w:r>
      <w:r>
        <w:rPr>
          <w:rStyle w:val="Appelnotedebasdep"/>
        </w:rPr>
        <w:footnoteReference w:id="101"/>
      </w:r>
      <w:r>
        <w:t xml:space="preserve">. </w:t>
      </w:r>
    </w:p>
    <w:p w14:paraId="3968BD2E" w14:textId="3782D702" w:rsidR="00FA782A" w:rsidRDefault="00FA782A" w:rsidP="00FA782A">
      <w:pPr>
        <w:pStyle w:val="Paragrdouble"/>
        <w:spacing w:line="240" w:lineRule="auto"/>
      </w:pPr>
      <w:r>
        <w:t xml:space="preserve">Dans l’affaire </w:t>
      </w:r>
      <w:r w:rsidRPr="5A7F0EA4">
        <w:rPr>
          <w:i/>
          <w:iCs/>
        </w:rPr>
        <w:t>Siemens</w:t>
      </w:r>
      <w:r>
        <w:t xml:space="preserve"> c. </w:t>
      </w:r>
      <w:r w:rsidRPr="5A7F0EA4">
        <w:rPr>
          <w:i/>
          <w:iCs/>
        </w:rPr>
        <w:t>Manitoba (Procureur général)</w:t>
      </w:r>
      <w:r>
        <w:rPr>
          <w:rStyle w:val="Appelnotedebasdep"/>
        </w:rPr>
        <w:footnoteReference w:id="102"/>
      </w:r>
      <w:r>
        <w:t xml:space="preserve">, la Cour suprême reprenant ses enseignements de l’arrêt </w:t>
      </w:r>
      <w:r w:rsidRPr="5A7F0EA4">
        <w:rPr>
          <w:i/>
          <w:iCs/>
        </w:rPr>
        <w:t xml:space="preserve">Haig, </w:t>
      </w:r>
      <w:r w:rsidRPr="0019713F">
        <w:t>rappelle qu’il</w:t>
      </w:r>
      <w:r w:rsidRPr="5A7F0EA4">
        <w:rPr>
          <w:i/>
          <w:iCs/>
        </w:rPr>
        <w:t xml:space="preserve"> </w:t>
      </w:r>
      <w:r w:rsidRPr="0019713F">
        <w:t>« n’existe aucun droit constitutionnel de voter à un référendum ».</w:t>
      </w:r>
    </w:p>
    <w:p w14:paraId="022E62C2" w14:textId="77777777" w:rsidR="00FA782A" w:rsidRDefault="00FA782A" w:rsidP="00FA782A">
      <w:pPr>
        <w:pStyle w:val="Paragrdouble"/>
        <w:spacing w:line="240" w:lineRule="auto"/>
      </w:pPr>
      <w:r>
        <w:t>D’autres arrêts des tribunaux canadiens ont statué que cette disposition ne vise pas les référendums</w:t>
      </w:r>
      <w:r>
        <w:rPr>
          <w:rStyle w:val="Appelnotedebasdep"/>
        </w:rPr>
        <w:footnoteReference w:id="103"/>
      </w:r>
      <w:r>
        <w:t xml:space="preserve"> ni les élections municipales</w:t>
      </w:r>
      <w:r>
        <w:rPr>
          <w:rStyle w:val="Appelnotedebasdep"/>
        </w:rPr>
        <w:footnoteReference w:id="104"/>
      </w:r>
      <w:r>
        <w:t xml:space="preserve"> et qu’au surplus, même face à une législation fédérale ou provinciale, il n’existe pas de droit formel de voter lors d’un référendum.</w:t>
      </w:r>
    </w:p>
    <w:p w14:paraId="488F662C" w14:textId="77777777" w:rsidR="00FA782A" w:rsidRDefault="00FA782A" w:rsidP="00FA782A">
      <w:pPr>
        <w:pStyle w:val="Paragrdouble"/>
        <w:spacing w:line="240" w:lineRule="auto"/>
      </w:pPr>
      <w:r w:rsidRPr="5A7F0EA4">
        <w:rPr>
          <w:i/>
          <w:iCs/>
        </w:rPr>
        <w:t>Le rôle des Chartes n’est pas de créer de nouveaux droits</w:t>
      </w:r>
      <w:r>
        <w:t>. Non seulement les Chartes ne sont-elles d’aucun secours pour générer un droit démocratique à la tenue d’un référendum, mais elles n’ont pas été adoptées pour créer de nouveaux droits ; elles ont une mission de défense des droits fondamentaux et non de création de nouvelles fonctions pour en assurer leur promotion. Elles réparent plutôt que construisent.</w:t>
      </w:r>
    </w:p>
    <w:p w14:paraId="404F7A95" w14:textId="77777777" w:rsidR="00FA782A" w:rsidRDefault="00FA782A" w:rsidP="00FA782A">
      <w:pPr>
        <w:pStyle w:val="Paragrdouble"/>
        <w:spacing w:line="240" w:lineRule="auto"/>
      </w:pPr>
      <w:r>
        <w:t>Dans la Charte canadienne, l’article 1 rappelle le but de son adoption :</w:t>
      </w:r>
    </w:p>
    <w:p w14:paraId="441E7361" w14:textId="77777777" w:rsidR="00FA782A" w:rsidRDefault="00FA782A" w:rsidP="00FA782A">
      <w:pPr>
        <w:spacing w:before="120" w:after="120" w:line="280" w:lineRule="atLeast"/>
        <w:ind w:left="1428" w:right="752"/>
        <w:jc w:val="both"/>
        <w:rPr>
          <w:rFonts w:cs="Arial"/>
          <w:sz w:val="22"/>
          <w:szCs w:val="18"/>
          <w:lang w:val="fr-FR" w:eastAsia="fr-CA"/>
        </w:rPr>
      </w:pPr>
      <w:r w:rsidRPr="006A02F9">
        <w:rPr>
          <w:rFonts w:cs="Arial"/>
          <w:sz w:val="22"/>
          <w:szCs w:val="18"/>
          <w:lang w:val="fr-FR" w:eastAsia="fr-CA"/>
        </w:rPr>
        <w:t>1 La </w:t>
      </w:r>
      <w:r w:rsidRPr="006A02F9">
        <w:rPr>
          <w:rFonts w:cs="Arial"/>
          <w:i/>
          <w:iCs/>
          <w:sz w:val="22"/>
          <w:szCs w:val="18"/>
          <w:lang w:val="fr-FR" w:eastAsia="fr-CA"/>
        </w:rPr>
        <w:t>Charte canadienne des droits et libertés</w:t>
      </w:r>
      <w:r w:rsidRPr="006A02F9">
        <w:rPr>
          <w:rFonts w:cs="Arial"/>
          <w:sz w:val="22"/>
          <w:szCs w:val="18"/>
          <w:lang w:val="fr-FR" w:eastAsia="fr-CA"/>
        </w:rPr>
        <w:t xml:space="preserve"> garantit les droits et libertés qui y sont énoncés. </w:t>
      </w:r>
      <w:r w:rsidRPr="006A02F9">
        <w:rPr>
          <w:rFonts w:cs="Arial"/>
          <w:sz w:val="22"/>
          <w:szCs w:val="18"/>
          <w:u w:val="single"/>
          <w:lang w:val="fr-FR" w:eastAsia="fr-CA"/>
        </w:rPr>
        <w:t>Ils ne peuvent être restreints que par une règle de droit</w:t>
      </w:r>
      <w:r w:rsidRPr="006A02F9">
        <w:rPr>
          <w:rFonts w:cs="Arial"/>
          <w:sz w:val="22"/>
          <w:szCs w:val="18"/>
          <w:lang w:val="fr-FR" w:eastAsia="fr-CA"/>
        </w:rPr>
        <w:t xml:space="preserve">, </w:t>
      </w:r>
      <w:r w:rsidRPr="006A02F9">
        <w:rPr>
          <w:rFonts w:cs="Arial"/>
          <w:sz w:val="22"/>
          <w:szCs w:val="18"/>
          <w:lang w:val="fr-FR" w:eastAsia="fr-CA"/>
        </w:rPr>
        <w:lastRenderedPageBreak/>
        <w:t>dans des limites qui soient raisonnables et dont la justification puisse se démontrer dans le cadre d’une société libre et démocratique.</w:t>
      </w:r>
    </w:p>
    <w:p w14:paraId="5F3D347E" w14:textId="77777777" w:rsidR="00FA782A" w:rsidRPr="006A02F9" w:rsidRDefault="00FA782A" w:rsidP="00FA782A">
      <w:pPr>
        <w:spacing w:before="120" w:after="120" w:line="280" w:lineRule="atLeast"/>
        <w:ind w:left="1428" w:right="752"/>
        <w:jc w:val="both"/>
        <w:rPr>
          <w:rFonts w:cs="Arial"/>
          <w:sz w:val="22"/>
          <w:szCs w:val="18"/>
          <w:lang w:val="fr-FR" w:eastAsia="fr-CA"/>
        </w:rPr>
      </w:pPr>
      <w:r>
        <w:rPr>
          <w:rFonts w:cs="Arial"/>
          <w:sz w:val="22"/>
          <w:szCs w:val="18"/>
          <w:lang w:val="fr-FR" w:eastAsia="fr-CA"/>
        </w:rPr>
        <w:t>(notre soulignement)</w:t>
      </w:r>
    </w:p>
    <w:p w14:paraId="4A13A0F6" w14:textId="77777777" w:rsidR="00FA782A" w:rsidRDefault="00FA782A" w:rsidP="00FA782A">
      <w:pPr>
        <w:pStyle w:val="Paragrdouble"/>
        <w:spacing w:line="240" w:lineRule="auto"/>
      </w:pPr>
      <w:r>
        <w:t>Dans le préambule de la Charte québécoise, cette notion y apparaît également:</w:t>
      </w:r>
    </w:p>
    <w:p w14:paraId="6E12D960" w14:textId="77777777" w:rsidR="00FA782A" w:rsidRDefault="00FA782A" w:rsidP="00FA782A">
      <w:pPr>
        <w:spacing w:before="120" w:after="120" w:line="280" w:lineRule="atLeast"/>
        <w:ind w:left="1428" w:right="752"/>
        <w:jc w:val="both"/>
        <w:rPr>
          <w:rFonts w:cs="Arial"/>
          <w:sz w:val="22"/>
          <w:szCs w:val="18"/>
          <w:lang w:val="fr-FR" w:eastAsia="fr-CA"/>
        </w:rPr>
      </w:pPr>
      <w:r w:rsidRPr="000A51BE">
        <w:rPr>
          <w:rFonts w:cs="Arial"/>
          <w:b/>
          <w:bCs/>
          <w:sz w:val="22"/>
          <w:szCs w:val="18"/>
          <w:lang w:val="fr-FR" w:eastAsia="fr-CA"/>
        </w:rPr>
        <w:t>CONSIDÉRANT</w:t>
      </w:r>
      <w:r w:rsidRPr="000A51BE">
        <w:rPr>
          <w:rFonts w:cs="Arial"/>
          <w:sz w:val="22"/>
          <w:szCs w:val="18"/>
          <w:lang w:val="fr-FR" w:eastAsia="fr-CA"/>
        </w:rPr>
        <w:t xml:space="preserve"> qu’il y a lieu d’affirmer solennellement dans une Charte les libertés et droits </w:t>
      </w:r>
      <w:r w:rsidRPr="008B4475">
        <w:rPr>
          <w:rFonts w:cs="Arial"/>
          <w:sz w:val="22"/>
          <w:szCs w:val="18"/>
          <w:lang w:val="fr-FR" w:eastAsia="fr-CA"/>
        </w:rPr>
        <w:t>fondamentaux</w:t>
      </w:r>
      <w:r w:rsidRPr="000A51BE">
        <w:rPr>
          <w:rFonts w:cs="Arial"/>
          <w:sz w:val="22"/>
          <w:szCs w:val="18"/>
          <w:lang w:val="fr-FR" w:eastAsia="fr-CA"/>
        </w:rPr>
        <w:t xml:space="preserve"> de la personne afin que ceux-ci soient garantis par la volonté collective et </w:t>
      </w:r>
      <w:r w:rsidRPr="00531678">
        <w:rPr>
          <w:rFonts w:cs="Arial"/>
          <w:sz w:val="22"/>
          <w:szCs w:val="18"/>
          <w:u w:val="single"/>
          <w:lang w:val="fr-FR" w:eastAsia="fr-CA"/>
        </w:rPr>
        <w:t>mieux protégés contre toute violation</w:t>
      </w:r>
      <w:r>
        <w:rPr>
          <w:rFonts w:cs="Arial"/>
          <w:sz w:val="22"/>
          <w:szCs w:val="18"/>
          <w:lang w:val="fr-FR" w:eastAsia="fr-CA"/>
        </w:rPr>
        <w:t> </w:t>
      </w:r>
      <w:r w:rsidRPr="000A51BE">
        <w:rPr>
          <w:rFonts w:cs="Arial"/>
          <w:sz w:val="22"/>
          <w:szCs w:val="18"/>
          <w:lang w:val="fr-FR" w:eastAsia="fr-CA"/>
        </w:rPr>
        <w:t>;</w:t>
      </w:r>
    </w:p>
    <w:p w14:paraId="642A3A2C" w14:textId="77777777" w:rsidR="00FA782A" w:rsidRPr="00531678" w:rsidRDefault="00FA782A" w:rsidP="00FA782A">
      <w:pPr>
        <w:spacing w:before="120" w:after="120" w:line="280" w:lineRule="atLeast"/>
        <w:ind w:left="1428" w:right="752"/>
        <w:jc w:val="both"/>
        <w:rPr>
          <w:rFonts w:cs="Arial"/>
          <w:sz w:val="22"/>
          <w:szCs w:val="18"/>
          <w:lang w:val="fr-FR" w:eastAsia="fr-CA"/>
        </w:rPr>
      </w:pPr>
      <w:r w:rsidRPr="008B4475">
        <w:rPr>
          <w:rFonts w:cs="Arial"/>
          <w:sz w:val="22"/>
          <w:szCs w:val="18"/>
          <w:lang w:val="fr-FR" w:eastAsia="fr-CA"/>
        </w:rPr>
        <w:t>(notre soulignement)</w:t>
      </w:r>
    </w:p>
    <w:p w14:paraId="4306A564" w14:textId="317F3115" w:rsidR="00FA782A" w:rsidRPr="00F9694A" w:rsidRDefault="00FA782A" w:rsidP="00FA782A">
      <w:pPr>
        <w:pStyle w:val="Paragrdouble"/>
        <w:spacing w:line="240" w:lineRule="auto"/>
      </w:pPr>
      <w:r>
        <w:t xml:space="preserve">Deuxièmement, sous l’angle du législateur, celui-ci accorde des droits à des citoyens, il peut aussi les modifier; il n’appartient pas à un tribunal de créer des droits.  Dans l’arrêt </w:t>
      </w:r>
      <w:r w:rsidRPr="5A7F0EA4">
        <w:rPr>
          <w:i/>
          <w:iCs/>
        </w:rPr>
        <w:t>Chapman</w:t>
      </w:r>
      <w:r>
        <w:t xml:space="preserve"> c. </w:t>
      </w:r>
      <w:r w:rsidRPr="5A7F0EA4">
        <w:rPr>
          <w:i/>
          <w:iCs/>
        </w:rPr>
        <w:t>Procureure générale du Québec</w:t>
      </w:r>
      <w:r w:rsidRPr="00E54D14">
        <w:rPr>
          <w:rStyle w:val="Appelnotedebasdep"/>
        </w:rPr>
        <w:footnoteReference w:id="105"/>
      </w:r>
      <w:r w:rsidRPr="00F9694A">
        <w:t xml:space="preserve">, la Cour d’appel réitère le principe bien connu de la souveraineté parlementaire à l’effet qu’une assemblée législative peut adopter </w:t>
      </w:r>
      <w:r>
        <w:t xml:space="preserve">ou </w:t>
      </w:r>
      <w:r w:rsidRPr="00F9694A">
        <w:t>abroger une loi à son gré dans les limites des pouvoirs que lui confère la constitution :</w:t>
      </w:r>
    </w:p>
    <w:p w14:paraId="7103CD62" w14:textId="77777777" w:rsidR="00FA782A" w:rsidRDefault="00FA782A" w:rsidP="00FA782A">
      <w:pPr>
        <w:spacing w:before="120" w:after="120" w:line="280" w:lineRule="atLeast"/>
        <w:ind w:left="1428" w:right="752"/>
        <w:jc w:val="both"/>
        <w:rPr>
          <w:color w:val="000000"/>
          <w:sz w:val="22"/>
          <w:szCs w:val="18"/>
          <w:lang w:eastAsia="fr-CA"/>
        </w:rPr>
      </w:pPr>
      <w:r w:rsidRPr="00122829">
        <w:rPr>
          <w:sz w:val="22"/>
          <w:szCs w:val="18"/>
          <w:lang w:eastAsia="fr-CA"/>
        </w:rPr>
        <w:t>[38]</w:t>
      </w:r>
      <w:r w:rsidRPr="00122829">
        <w:rPr>
          <w:rFonts w:ascii="Times New Roman" w:hAnsi="Times New Roman"/>
          <w:sz w:val="12"/>
          <w:szCs w:val="12"/>
          <w:lang w:eastAsia="fr-CA"/>
        </w:rPr>
        <w:t xml:space="preserve">        </w:t>
      </w:r>
      <w:r w:rsidRPr="00122829">
        <w:rPr>
          <w:sz w:val="22"/>
          <w:szCs w:val="18"/>
          <w:lang w:eastAsia="fr-CA"/>
        </w:rPr>
        <w:t xml:space="preserve">La Cour suprême rappelle, </w:t>
      </w:r>
      <w:r w:rsidRPr="00A23977">
        <w:rPr>
          <w:rFonts w:cs="Arial"/>
          <w:sz w:val="22"/>
          <w:szCs w:val="18"/>
          <w:lang w:val="fr-FR" w:eastAsia="fr-CA"/>
        </w:rPr>
        <w:t>encore</w:t>
      </w:r>
      <w:r w:rsidRPr="00A23977">
        <w:rPr>
          <w:lang w:eastAsia="fr-CA"/>
        </w:rPr>
        <w:t xml:space="preserve"> </w:t>
      </w:r>
      <w:r w:rsidRPr="00122829">
        <w:rPr>
          <w:sz w:val="22"/>
          <w:szCs w:val="18"/>
          <w:lang w:eastAsia="fr-CA"/>
        </w:rPr>
        <w:t xml:space="preserve">très récemment dans le </w:t>
      </w:r>
      <w:r w:rsidRPr="00122829">
        <w:rPr>
          <w:i/>
          <w:iCs/>
          <w:sz w:val="22"/>
          <w:szCs w:val="18"/>
          <w:lang w:eastAsia="fr-CA"/>
        </w:rPr>
        <w:t>Renvoi relatif à la réglementation pancanadienne des valeurs mobilières</w:t>
      </w:r>
      <w:r w:rsidRPr="00122829">
        <w:rPr>
          <w:sz w:val="22"/>
          <w:szCs w:val="18"/>
          <w:lang w:eastAsia="fr-CA"/>
        </w:rPr>
        <w:t xml:space="preserve"> que, si ce n’est des limites constitutionnelles</w:t>
      </w:r>
      <w:bookmarkStart w:id="38" w:name="_Ref530559615"/>
      <w:bookmarkEnd w:id="38"/>
      <w:r w:rsidRPr="00122829">
        <w:rPr>
          <w:sz w:val="22"/>
          <w:szCs w:val="18"/>
          <w:lang w:eastAsia="fr-CA"/>
        </w:rPr>
        <w:t xml:space="preserve">, « le pouvoir de la législature de faire des lois ne connaît aucune limite ou contrainte juridique » et que « [d]ans sa forme traditionnelle, la souveraineté parlementaire signifie que la législature jouit du pouvoir </w:t>
      </w:r>
      <w:r w:rsidRPr="00122829">
        <w:rPr>
          <w:i/>
          <w:iCs/>
          <w:sz w:val="22"/>
          <w:szCs w:val="18"/>
          <w:lang w:eastAsia="fr-CA"/>
        </w:rPr>
        <w:t xml:space="preserve">exclusif </w:t>
      </w:r>
      <w:r w:rsidRPr="00122829">
        <w:rPr>
          <w:sz w:val="22"/>
          <w:szCs w:val="18"/>
          <w:lang w:eastAsia="fr-CA"/>
        </w:rPr>
        <w:t>d’adopter, de modifier et d’abroger des lois comme elle l’entend et aucun sujet n’échappe à son pouvoir de légiférer ». Ainsi, l’opportunité d’une loi échappe en principe au contrôle judiciaire. La Cour suprême enseigne aussi que « </w:t>
      </w:r>
      <w:r w:rsidRPr="00122829">
        <w:rPr>
          <w:color w:val="000000"/>
          <w:sz w:val="22"/>
          <w:szCs w:val="18"/>
          <w:lang w:eastAsia="fr-CA"/>
        </w:rPr>
        <w:t>les tribunaux ne doivent pas s’interroger sur la sagesse d’une loi : ils doivent uniquement se prononcer sur sa légalité ».</w:t>
      </w:r>
    </w:p>
    <w:p w14:paraId="39EB238F" w14:textId="77777777" w:rsidR="00FA782A" w:rsidRPr="00122829" w:rsidRDefault="00FA782A" w:rsidP="00FA782A">
      <w:pPr>
        <w:spacing w:before="120" w:after="120" w:line="280" w:lineRule="atLeast"/>
        <w:ind w:left="1428" w:right="752"/>
        <w:jc w:val="both"/>
        <w:rPr>
          <w:sz w:val="22"/>
          <w:szCs w:val="18"/>
          <w:lang w:eastAsia="fr-CA"/>
        </w:rPr>
      </w:pPr>
      <w:r>
        <w:rPr>
          <w:color w:val="000000"/>
          <w:sz w:val="22"/>
          <w:szCs w:val="18"/>
          <w:lang w:eastAsia="fr-CA"/>
        </w:rPr>
        <w:t>(références omises)</w:t>
      </w:r>
    </w:p>
    <w:p w14:paraId="0CC001A4" w14:textId="77777777" w:rsidR="00FA782A" w:rsidRDefault="00FA782A" w:rsidP="00FA782A">
      <w:pPr>
        <w:pStyle w:val="Paragrdouble"/>
        <w:spacing w:line="240" w:lineRule="auto"/>
      </w:pPr>
      <w:r>
        <w:t>Le droit de voter sur des projets municipaux ne peut reposer que sur un texte de loi clair, mais ne peut être créé par la simple magie des Chartes.</w:t>
      </w:r>
    </w:p>
    <w:p w14:paraId="3D0B9824" w14:textId="77777777" w:rsidR="00FA782A" w:rsidRDefault="00FA782A" w:rsidP="00FA782A">
      <w:pPr>
        <w:pStyle w:val="Paragrdouble"/>
        <w:spacing w:line="240" w:lineRule="auto"/>
      </w:pPr>
      <w:r>
        <w:t>Ainsi donc, si les droits démocratiques protégés par les Chartes sont limités aux élections et non aux référendums pour les législatures fédérale et provinciales, le Tribunal ne saurait trouver appui dans les Chartes eu égard au remède recherché par les demandeurs, savoir l’imposition d’un référendum auprès des citoyens de la Ville de Québec.</w:t>
      </w:r>
    </w:p>
    <w:p w14:paraId="00D87353" w14:textId="77777777" w:rsidR="00FA782A" w:rsidRDefault="00FA782A" w:rsidP="00FA782A">
      <w:pPr>
        <w:pStyle w:val="Paragrdouble"/>
        <w:spacing w:line="240" w:lineRule="auto"/>
      </w:pPr>
      <w:r>
        <w:lastRenderedPageBreak/>
        <w:t>Le Tribunal ne peut donc pas imposer la tenue d’un référendum municipal à partir des textes des Chartes : ce sont des textes qui protègent les citoyens face à l’adoption de textes législatifs qui vont à l’encontre de leurs droits fondamentaux, mais qui n’autorisent pas les tribunaux à se substituer aux élus.</w:t>
      </w:r>
    </w:p>
    <w:p w14:paraId="0ACCED41" w14:textId="4B0DBC1D" w:rsidR="00FA782A" w:rsidRDefault="00FA782A" w:rsidP="00FA782A">
      <w:pPr>
        <w:pStyle w:val="Titre5"/>
      </w:pPr>
      <w:bookmarkStart w:id="39" w:name="_Toc124755357"/>
      <w:r>
        <w:t>Les principes constitutionnels non-écrits</w:t>
      </w:r>
      <w:bookmarkEnd w:id="39"/>
    </w:p>
    <w:p w14:paraId="72B68FA2" w14:textId="77777777" w:rsidR="00FA782A" w:rsidRDefault="00FA782A" w:rsidP="00FA782A">
      <w:pPr>
        <w:pStyle w:val="Paragrdouble"/>
        <w:spacing w:line="240" w:lineRule="auto"/>
      </w:pPr>
      <w:r>
        <w:t>Les demandeurs invoquent le principe non-écrit de la démocratie pour que soient interprétés les textes constitutionnels et les lois et, ce faisant, se crée un droit de consultation de la population sur des projets de la nature du tramway.</w:t>
      </w:r>
    </w:p>
    <w:p w14:paraId="60B127F5" w14:textId="77777777" w:rsidR="00FA782A" w:rsidRDefault="00FA782A" w:rsidP="00FA782A">
      <w:pPr>
        <w:pStyle w:val="Paragrdouble"/>
        <w:spacing w:line="240" w:lineRule="auto"/>
      </w:pPr>
      <w:r>
        <w:t xml:space="preserve">Les principes constitutionnels non-écrits ont notamment été reconnus dans le </w:t>
      </w:r>
      <w:r w:rsidRPr="5A7F0EA4">
        <w:rPr>
          <w:i/>
          <w:iCs/>
        </w:rPr>
        <w:t>Renvoi relatif à la sécession du Québec</w:t>
      </w:r>
      <w:r>
        <w:rPr>
          <w:rStyle w:val="Appelnotedebasdep"/>
        </w:rPr>
        <w:footnoteReference w:id="106"/>
      </w:r>
      <w:r>
        <w:t xml:space="preserve">. </w:t>
      </w:r>
    </w:p>
    <w:p w14:paraId="0756CC08" w14:textId="778AC5CC" w:rsidR="00FA782A" w:rsidRDefault="00FA782A" w:rsidP="00FA782A">
      <w:pPr>
        <w:pStyle w:val="Paragrdouble"/>
        <w:spacing w:line="240" w:lineRule="auto"/>
      </w:pPr>
      <w:r>
        <w:t>Plus récemment</w:t>
      </w:r>
      <w:r w:rsidR="71D5CB5F">
        <w:t xml:space="preserve"> </w:t>
      </w:r>
      <w:r>
        <w:t xml:space="preserve">dans l’affaire </w:t>
      </w:r>
      <w:r w:rsidRPr="5A7F0EA4">
        <w:rPr>
          <w:i/>
          <w:iCs/>
        </w:rPr>
        <w:t>Toronto (Cité)</w:t>
      </w:r>
      <w:r>
        <w:t xml:space="preserve"> c. </w:t>
      </w:r>
      <w:r w:rsidRPr="5A7F0EA4">
        <w:rPr>
          <w:i/>
          <w:iCs/>
        </w:rPr>
        <w:t>Ontario (Procureur général)</w:t>
      </w:r>
      <w:r>
        <w:rPr>
          <w:rStyle w:val="Appelnotedebasdep"/>
        </w:rPr>
        <w:footnoteReference w:id="107"/>
      </w:r>
      <w:r w:rsidRPr="5A7F0EA4">
        <w:rPr>
          <w:i/>
          <w:iCs/>
        </w:rPr>
        <w:t xml:space="preserve"> </w:t>
      </w:r>
      <w:r w:rsidRPr="007A67AF">
        <w:t>la Cour suprême</w:t>
      </w:r>
      <w:r>
        <w:t xml:space="preserve"> rappelle le rôle joué par ces principes :</w:t>
      </w:r>
    </w:p>
    <w:p w14:paraId="27DE0335" w14:textId="77777777" w:rsidR="00FA782A" w:rsidRPr="005520DE" w:rsidRDefault="00FA782A" w:rsidP="00FA782A">
      <w:pPr>
        <w:spacing w:before="120" w:after="120" w:line="280" w:lineRule="atLeast"/>
        <w:ind w:left="1428" w:right="752"/>
        <w:jc w:val="both"/>
        <w:rPr>
          <w:sz w:val="22"/>
          <w:szCs w:val="22"/>
          <w:lang w:eastAsia="fr-CA"/>
        </w:rPr>
      </w:pPr>
      <w:r w:rsidRPr="005520DE">
        <w:rPr>
          <w:sz w:val="22"/>
          <w:szCs w:val="22"/>
          <w:lang w:eastAsia="fr-CA"/>
        </w:rPr>
        <w:t>[55]   </w:t>
      </w:r>
      <w:r w:rsidRPr="007A36CD">
        <w:rPr>
          <w:sz w:val="22"/>
          <w:szCs w:val="22"/>
          <w:u w:val="single"/>
          <w:lang w:eastAsia="fr-CA"/>
        </w:rPr>
        <w:t xml:space="preserve">Premièrement, ils </w:t>
      </w:r>
      <w:r w:rsidRPr="007A36CD">
        <w:rPr>
          <w:rFonts w:cs="Arial"/>
          <w:sz w:val="22"/>
          <w:szCs w:val="22"/>
          <w:u w:val="single"/>
          <w:lang w:val="fr-FR" w:eastAsia="fr-CA"/>
        </w:rPr>
        <w:t>peuvent</w:t>
      </w:r>
      <w:r w:rsidRPr="007A36CD">
        <w:rPr>
          <w:sz w:val="22"/>
          <w:szCs w:val="22"/>
          <w:u w:val="single"/>
          <w:lang w:eastAsia="fr-CA"/>
        </w:rPr>
        <w:t xml:space="preserve"> être utilisés pour interpréter les dispositions constitutionnelles. En effet, il s’agit du « plein effet juridique » que notre Cour a décrit dans le </w:t>
      </w:r>
      <w:r w:rsidRPr="007A36CD">
        <w:rPr>
          <w:i/>
          <w:iCs/>
          <w:sz w:val="22"/>
          <w:szCs w:val="22"/>
          <w:u w:val="single"/>
          <w:lang w:eastAsia="fr-CA"/>
        </w:rPr>
        <w:t>Renvoi relatif à la sécession</w:t>
      </w:r>
      <w:r w:rsidRPr="007A36CD">
        <w:rPr>
          <w:sz w:val="22"/>
          <w:szCs w:val="22"/>
          <w:u w:val="single"/>
          <w:lang w:eastAsia="fr-CA"/>
        </w:rPr>
        <w:t xml:space="preserve"> (par. 54).</w:t>
      </w:r>
      <w:r w:rsidRPr="005520DE">
        <w:rPr>
          <w:sz w:val="22"/>
          <w:szCs w:val="22"/>
          <w:lang w:eastAsia="fr-CA"/>
        </w:rPr>
        <w:t xml:space="preserve"> Sous cet angle, les principes constitutionnels non écrits de l’indépendance de la magistrature et de la primauté du droit ont servi à interpréter les art. 96 à 100 de la </w:t>
      </w:r>
      <w:r w:rsidRPr="005520DE">
        <w:rPr>
          <w:i/>
          <w:iCs/>
          <w:sz w:val="22"/>
          <w:szCs w:val="22"/>
          <w:lang w:eastAsia="fr-CA"/>
        </w:rPr>
        <w:t>Loi constitutionnelle de 1867</w:t>
      </w:r>
      <w:r w:rsidRPr="005520DE">
        <w:rPr>
          <w:sz w:val="22"/>
          <w:szCs w:val="22"/>
          <w:lang w:eastAsia="fr-CA"/>
        </w:rPr>
        <w:t>, qui en sont venus à garantir la compétence fondamentale des cours qui entrent dans le champ d’application de ces dispositions (</w:t>
      </w:r>
      <w:r w:rsidRPr="005520DE">
        <w:rPr>
          <w:i/>
          <w:iCs/>
          <w:sz w:val="22"/>
          <w:szCs w:val="22"/>
          <w:lang w:eastAsia="fr-CA"/>
        </w:rPr>
        <w:t>Renvoi relatif aux juges de la Cour provinciale</w:t>
      </w:r>
      <w:r w:rsidRPr="005520DE">
        <w:rPr>
          <w:sz w:val="22"/>
          <w:szCs w:val="22"/>
          <w:lang w:eastAsia="fr-CA"/>
        </w:rPr>
        <w:t xml:space="preserve">, par. 88-89; </w:t>
      </w:r>
      <w:r w:rsidRPr="005520DE">
        <w:rPr>
          <w:i/>
          <w:iCs/>
          <w:sz w:val="22"/>
          <w:szCs w:val="22"/>
          <w:lang w:eastAsia="fr-CA"/>
        </w:rPr>
        <w:t>MacMillan Bloedel</w:t>
      </w:r>
      <w:r w:rsidRPr="005520DE">
        <w:rPr>
          <w:sz w:val="22"/>
          <w:szCs w:val="22"/>
          <w:lang w:eastAsia="fr-CA"/>
        </w:rPr>
        <w:t xml:space="preserve">, par. 10-11 et 27-28; </w:t>
      </w:r>
      <w:r w:rsidRPr="005520DE">
        <w:rPr>
          <w:i/>
          <w:iCs/>
          <w:sz w:val="22"/>
          <w:szCs w:val="22"/>
          <w:lang w:eastAsia="fr-CA"/>
        </w:rPr>
        <w:t>Trial Lawyers Association of British Columbia c. Colombie-Britannique (Procureur général)</w:t>
      </w:r>
      <w:r w:rsidRPr="005520DE">
        <w:rPr>
          <w:sz w:val="22"/>
          <w:szCs w:val="22"/>
          <w:lang w:eastAsia="fr-CA"/>
        </w:rPr>
        <w:t xml:space="preserve">, 2014 CSC 59, [2014] 3 R.C.S. 31, par. 29-33). </w:t>
      </w:r>
      <w:r w:rsidRPr="00F04CE7">
        <w:rPr>
          <w:sz w:val="22"/>
          <w:szCs w:val="22"/>
          <w:u w:val="single"/>
          <w:lang w:eastAsia="fr-CA"/>
        </w:rPr>
        <w:t xml:space="preserve">Lorsqu’on les applique à des droits garantis par la </w:t>
      </w:r>
      <w:r w:rsidRPr="00F04CE7">
        <w:rPr>
          <w:i/>
          <w:iCs/>
          <w:sz w:val="22"/>
          <w:szCs w:val="22"/>
          <w:u w:val="single"/>
          <w:lang w:eastAsia="fr-CA"/>
        </w:rPr>
        <w:t>Charte</w:t>
      </w:r>
      <w:r w:rsidRPr="00F04CE7">
        <w:rPr>
          <w:sz w:val="22"/>
          <w:szCs w:val="22"/>
          <w:u w:val="single"/>
          <w:lang w:eastAsia="fr-CA"/>
        </w:rPr>
        <w:t xml:space="preserve">, les principes non écrits aident les tribunaux à procéder à une interprétation téléologique, en les éclairant sur « la nature et [les] objectifs plus larges de la </w:t>
      </w:r>
      <w:r w:rsidRPr="00F04CE7">
        <w:rPr>
          <w:i/>
          <w:iCs/>
          <w:sz w:val="22"/>
          <w:szCs w:val="22"/>
          <w:u w:val="single"/>
          <w:lang w:eastAsia="fr-CA"/>
        </w:rPr>
        <w:t xml:space="preserve">Charte </w:t>
      </w:r>
      <w:r w:rsidRPr="00F04CE7">
        <w:rPr>
          <w:sz w:val="22"/>
          <w:szCs w:val="22"/>
          <w:u w:val="single"/>
          <w:lang w:eastAsia="fr-CA"/>
        </w:rPr>
        <w:t>elle-même, [les] termes choisis pour énoncer [le] droit ou [la] liberté, [et les] origines historiques des concepts enchâssés</w:t>
      </w:r>
      <w:r w:rsidRPr="005520DE">
        <w:rPr>
          <w:sz w:val="22"/>
          <w:szCs w:val="22"/>
          <w:lang w:eastAsia="fr-CA"/>
        </w:rPr>
        <w:t> » (</w:t>
      </w:r>
      <w:r w:rsidRPr="005520DE">
        <w:rPr>
          <w:i/>
          <w:iCs/>
          <w:sz w:val="22"/>
          <w:szCs w:val="22"/>
          <w:lang w:eastAsia="fr-CA"/>
        </w:rPr>
        <w:t>Québec (Procureure générale)</w:t>
      </w:r>
      <w:r w:rsidRPr="005520DE">
        <w:rPr>
          <w:sz w:val="22"/>
          <w:szCs w:val="22"/>
          <w:lang w:eastAsia="fr-CA"/>
        </w:rPr>
        <w:t xml:space="preserve">, par. 7, citant </w:t>
      </w:r>
      <w:r w:rsidRPr="005520DE">
        <w:rPr>
          <w:i/>
          <w:iCs/>
          <w:sz w:val="22"/>
          <w:szCs w:val="22"/>
          <w:lang w:eastAsia="fr-CA"/>
        </w:rPr>
        <w:t>Big M Drug Mart Ltd.</w:t>
      </w:r>
      <w:r w:rsidRPr="005520DE">
        <w:rPr>
          <w:sz w:val="22"/>
          <w:szCs w:val="22"/>
          <w:lang w:eastAsia="fr-CA"/>
        </w:rPr>
        <w:t xml:space="preserve">, p. 344; voir aussi </w:t>
      </w:r>
      <w:r w:rsidRPr="005520DE">
        <w:rPr>
          <w:i/>
          <w:iCs/>
          <w:sz w:val="22"/>
          <w:szCs w:val="22"/>
          <w:lang w:eastAsia="fr-CA"/>
        </w:rPr>
        <w:t>R. c. Poulin</w:t>
      </w:r>
      <w:r w:rsidRPr="005520DE">
        <w:rPr>
          <w:sz w:val="22"/>
          <w:szCs w:val="22"/>
          <w:lang w:eastAsia="fr-CA"/>
        </w:rPr>
        <w:t>,</w:t>
      </w:r>
      <w:r w:rsidRPr="005520DE">
        <w:rPr>
          <w:i/>
          <w:iCs/>
          <w:sz w:val="22"/>
          <w:szCs w:val="22"/>
          <w:lang w:eastAsia="fr-CA"/>
        </w:rPr>
        <w:t xml:space="preserve"> </w:t>
      </w:r>
      <w:r w:rsidRPr="005520DE">
        <w:rPr>
          <w:sz w:val="22"/>
          <w:szCs w:val="22"/>
          <w:lang w:eastAsia="fr-CA"/>
        </w:rPr>
        <w:t>2019 CSC 47, par. 32).</w:t>
      </w:r>
    </w:p>
    <w:p w14:paraId="0B2DD9DB" w14:textId="77777777" w:rsidR="00FA782A" w:rsidRDefault="00FA782A" w:rsidP="00FA782A">
      <w:pPr>
        <w:spacing w:before="120" w:after="120" w:line="280" w:lineRule="atLeast"/>
        <w:ind w:left="1428" w:right="752"/>
        <w:jc w:val="both"/>
        <w:rPr>
          <w:sz w:val="22"/>
          <w:szCs w:val="22"/>
          <w:lang w:eastAsia="fr-CA"/>
        </w:rPr>
      </w:pPr>
      <w:r w:rsidRPr="005520DE">
        <w:rPr>
          <w:sz w:val="22"/>
          <w:szCs w:val="22"/>
          <w:lang w:eastAsia="fr-CA"/>
        </w:rPr>
        <w:t xml:space="preserve">[56] </w:t>
      </w:r>
      <w:r w:rsidRPr="00F04CE7">
        <w:rPr>
          <w:sz w:val="22"/>
          <w:szCs w:val="22"/>
          <w:u w:val="single"/>
          <w:lang w:eastAsia="fr-CA"/>
        </w:rPr>
        <w:t xml:space="preserve">Deuxièmement, et de façon </w:t>
      </w:r>
      <w:r w:rsidRPr="00F04CE7">
        <w:rPr>
          <w:rFonts w:cs="Arial"/>
          <w:sz w:val="22"/>
          <w:szCs w:val="22"/>
          <w:u w:val="single"/>
          <w:lang w:val="fr-FR" w:eastAsia="fr-CA"/>
        </w:rPr>
        <w:t>connexe</w:t>
      </w:r>
      <w:r w:rsidRPr="00F04CE7">
        <w:rPr>
          <w:sz w:val="22"/>
          <w:szCs w:val="22"/>
          <w:u w:val="single"/>
          <w:lang w:eastAsia="fr-CA"/>
        </w:rPr>
        <w:t xml:space="preserve">, on peut recourir aux principes non écrits pour </w:t>
      </w:r>
      <w:r w:rsidRPr="00F04CE7">
        <w:rPr>
          <w:rFonts w:cs="Arial"/>
          <w:sz w:val="22"/>
          <w:szCs w:val="22"/>
          <w:u w:val="single"/>
          <w:lang w:val="fr-FR" w:eastAsia="fr-CA"/>
        </w:rPr>
        <w:t>élaborer</w:t>
      </w:r>
      <w:r w:rsidRPr="00F04CE7">
        <w:rPr>
          <w:sz w:val="22"/>
          <w:szCs w:val="22"/>
          <w:u w:val="single"/>
          <w:lang w:eastAsia="fr-CA"/>
        </w:rPr>
        <w:t xml:space="preserve"> des doctrines structurelles non énoncées dans la Constitution écrite proprement dite, mais nécessaires pour sa cohérence, et qui découlent implicitement de son architecture</w:t>
      </w:r>
      <w:r w:rsidRPr="005520DE">
        <w:rPr>
          <w:sz w:val="22"/>
          <w:szCs w:val="22"/>
          <w:lang w:eastAsia="fr-CA"/>
        </w:rPr>
        <w:t xml:space="preserve">. Ainsi, les doctrines structurelles peuvent combler des lacunes et répondre à des questions importantes sur lesquelles le texte de la Constitution est muet, comme le </w:t>
      </w:r>
      <w:r w:rsidRPr="005520DE">
        <w:rPr>
          <w:sz w:val="22"/>
          <w:szCs w:val="22"/>
          <w:lang w:eastAsia="fr-CA"/>
        </w:rPr>
        <w:lastRenderedPageBreak/>
        <w:t>font la doctrine de la reconnaissance totale (</w:t>
      </w:r>
      <w:r w:rsidRPr="005520DE">
        <w:rPr>
          <w:i/>
          <w:iCs/>
          <w:sz w:val="22"/>
          <w:szCs w:val="22"/>
          <w:lang w:eastAsia="fr-CA"/>
        </w:rPr>
        <w:t>Morguard Investments Ltd. c. De Savoye</w:t>
      </w:r>
      <w:r w:rsidRPr="005520DE">
        <w:rPr>
          <w:sz w:val="22"/>
          <w:szCs w:val="22"/>
          <w:lang w:eastAsia="fr-CA"/>
        </w:rPr>
        <w:t xml:space="preserve">, [1990] 3 R.C.S. 1077; </w:t>
      </w:r>
      <w:r w:rsidRPr="005520DE">
        <w:rPr>
          <w:i/>
          <w:iCs/>
          <w:sz w:val="22"/>
          <w:szCs w:val="22"/>
          <w:lang w:eastAsia="fr-CA"/>
        </w:rPr>
        <w:t>Hunt c. T&amp;N plc</w:t>
      </w:r>
      <w:r w:rsidRPr="005520DE">
        <w:rPr>
          <w:sz w:val="22"/>
          <w:szCs w:val="22"/>
          <w:lang w:eastAsia="fr-CA"/>
        </w:rPr>
        <w:t>, [1993] 4 R.C.S. 289); la doctrine de la prépondérance (</w:t>
      </w:r>
      <w:r w:rsidRPr="005520DE">
        <w:rPr>
          <w:i/>
          <w:iCs/>
          <w:sz w:val="22"/>
          <w:szCs w:val="22"/>
          <w:lang w:eastAsia="fr-CA"/>
        </w:rPr>
        <w:t>Huson c. The Township of South Norwich</w:t>
      </w:r>
      <w:r w:rsidRPr="005520DE">
        <w:rPr>
          <w:sz w:val="22"/>
          <w:szCs w:val="22"/>
          <w:lang w:eastAsia="fr-CA"/>
        </w:rPr>
        <w:t xml:space="preserve"> (1895), 24 R.C.S. 145); la réparation que constitue la déclaration d’invalidité dont l’effet est suspendu (</w:t>
      </w:r>
      <w:r w:rsidRPr="005520DE">
        <w:rPr>
          <w:i/>
          <w:iCs/>
          <w:sz w:val="22"/>
          <w:szCs w:val="22"/>
          <w:lang w:eastAsia="fr-CA"/>
        </w:rPr>
        <w:t>Renvoi relatif aux droits linguistiques au Manitoba</w:t>
      </w:r>
      <w:r w:rsidRPr="005520DE">
        <w:rPr>
          <w:sz w:val="22"/>
          <w:szCs w:val="22"/>
          <w:lang w:eastAsia="fr-CA"/>
        </w:rPr>
        <w:t>, [1985] 1 R.C.S. 721); et l’obligation de négocier qui pourrait suivre une déclaration de sécession prononcée par une province (</w:t>
      </w:r>
      <w:r w:rsidRPr="005520DE">
        <w:rPr>
          <w:i/>
          <w:iCs/>
          <w:sz w:val="22"/>
          <w:szCs w:val="22"/>
          <w:lang w:eastAsia="fr-CA"/>
        </w:rPr>
        <w:t>Renvoi relatif à la sécession</w:t>
      </w:r>
      <w:r w:rsidRPr="005520DE">
        <w:rPr>
          <w:sz w:val="22"/>
          <w:szCs w:val="22"/>
          <w:lang w:eastAsia="fr-CA"/>
        </w:rPr>
        <w:t>).</w:t>
      </w:r>
    </w:p>
    <w:p w14:paraId="790B529D" w14:textId="77777777" w:rsidR="00FA782A" w:rsidRPr="005E438E" w:rsidRDefault="00FA782A" w:rsidP="00FA782A">
      <w:pPr>
        <w:spacing w:before="120" w:after="120" w:line="280" w:lineRule="atLeast"/>
        <w:ind w:left="1428" w:right="752"/>
        <w:jc w:val="both"/>
        <w:rPr>
          <w:sz w:val="22"/>
          <w:szCs w:val="22"/>
          <w:lang w:eastAsia="fr-CA"/>
        </w:rPr>
      </w:pPr>
      <w:r>
        <w:rPr>
          <w:sz w:val="22"/>
          <w:szCs w:val="22"/>
          <w:lang w:eastAsia="fr-CA"/>
        </w:rPr>
        <w:t>(notre soulignement)</w:t>
      </w:r>
    </w:p>
    <w:p w14:paraId="426D49BF" w14:textId="35403B63" w:rsidR="00FA782A" w:rsidRDefault="00FA782A" w:rsidP="00FA782A">
      <w:pPr>
        <w:pStyle w:val="Paragrdouble"/>
        <w:spacing w:line="240" w:lineRule="auto"/>
      </w:pPr>
      <w:r>
        <w:t>Ces principes non-écrits</w:t>
      </w:r>
      <w:r w:rsidR="00CB5055">
        <w:t xml:space="preserve">, étant limités à titre d’outil d’interprétation des dispositions constitutionnelles ou d’outil pour colmater des espaces dans la Constitution afin d’en assurer sa cohérence, </w:t>
      </w:r>
      <w:r>
        <w:t xml:space="preserve"> n’autorisent pas les tribunaux à se substituer au législateur qui a pleine discrétion pour encadrer la démocratie municipale.</w:t>
      </w:r>
    </w:p>
    <w:p w14:paraId="75B2EFD6" w14:textId="77777777" w:rsidR="00FA782A" w:rsidRDefault="00FA782A" w:rsidP="00FA782A">
      <w:pPr>
        <w:pStyle w:val="Paragrdouble"/>
        <w:spacing w:line="240" w:lineRule="auto"/>
      </w:pPr>
      <w:r>
        <w:t>Les principes non-écrits ne peuvent davantage servir d’appui à des élections ou des référendums municipaux puisque les institutions municipales n’ont pas « de statut constitutionnel » comme le rappelle la Cour suprême :</w:t>
      </w:r>
    </w:p>
    <w:p w14:paraId="6CA7E192" w14:textId="0FF93B94" w:rsidR="00FA782A" w:rsidRPr="006440CC" w:rsidRDefault="21058746" w:rsidP="00FA782A">
      <w:pPr>
        <w:spacing w:before="120" w:after="120" w:line="280" w:lineRule="atLeast"/>
        <w:ind w:left="1428" w:right="752"/>
        <w:jc w:val="both"/>
        <w:rPr>
          <w:sz w:val="22"/>
          <w:szCs w:val="22"/>
          <w:lang w:eastAsia="fr-CA"/>
        </w:rPr>
      </w:pPr>
      <w:r w:rsidRPr="006440CC">
        <w:rPr>
          <w:sz w:val="22"/>
          <w:szCs w:val="22"/>
          <w:lang w:eastAsia="fr-CA"/>
        </w:rPr>
        <w:t xml:space="preserve">[84] (…) </w:t>
      </w:r>
      <w:r w:rsidR="00FA782A" w:rsidRPr="006440CC">
        <w:rPr>
          <w:sz w:val="22"/>
          <w:szCs w:val="22"/>
          <w:lang w:eastAsia="fr-CA"/>
        </w:rPr>
        <w:t>Il ressort clairement du texte de notre Constitution que les institutions municipales n’ont pas de statut constitutionnel, ce qui ne laisse aucune question d’interprétation constitutionnelle à trancher et, partant, aucun rôle à jouer pour les principes non écrits.</w:t>
      </w:r>
      <w:r w:rsidR="00FA782A">
        <w:rPr>
          <w:rStyle w:val="Appelnotedebasdep"/>
          <w:sz w:val="22"/>
          <w:szCs w:val="22"/>
          <w:lang w:eastAsia="fr-CA"/>
        </w:rPr>
        <w:footnoteReference w:id="108"/>
      </w:r>
    </w:p>
    <w:p w14:paraId="7F858F8D" w14:textId="04B1AE5A" w:rsidR="00FA782A" w:rsidRPr="00F1150F" w:rsidRDefault="00FA782A" w:rsidP="00FA782A">
      <w:pPr>
        <w:pStyle w:val="Paragrdouble"/>
        <w:spacing w:line="240" w:lineRule="auto"/>
      </w:pPr>
      <w:r>
        <w:t>Avec respect, le Tribunal est d’avis que le remède recherché par les demandeurs ne peut prendre appui sur le</w:t>
      </w:r>
      <w:r w:rsidR="4B426C6E">
        <w:t>s</w:t>
      </w:r>
      <w:r>
        <w:t xml:space="preserve"> principe</w:t>
      </w:r>
      <w:r w:rsidR="06A1C604">
        <w:t>s</w:t>
      </w:r>
      <w:r>
        <w:t xml:space="preserve"> non-écrit</w:t>
      </w:r>
      <w:r w:rsidR="27A93113">
        <w:t>s</w:t>
      </w:r>
      <w:r>
        <w:t xml:space="preserve"> </w:t>
      </w:r>
      <w:r w:rsidR="00CB5055">
        <w:t>contenus dans</w:t>
      </w:r>
      <w:r>
        <w:t xml:space="preserve"> la </w:t>
      </w:r>
      <w:r w:rsidRPr="5A7F0EA4">
        <w:rPr>
          <w:i/>
          <w:iCs/>
        </w:rPr>
        <w:t>Loi constitutionnelle de 1867</w:t>
      </w:r>
      <w:r>
        <w:t>.</w:t>
      </w:r>
    </w:p>
    <w:p w14:paraId="41E11B9E" w14:textId="453CAE0A" w:rsidR="00FA782A" w:rsidRDefault="00FA782A" w:rsidP="00FA782A">
      <w:pPr>
        <w:pStyle w:val="Titre5"/>
      </w:pPr>
      <w:bookmarkStart w:id="40" w:name="_Toc124755358"/>
      <w:r>
        <w:t>Le référendum : pour corriger des promesses électorales soi-disant non tenues</w:t>
      </w:r>
      <w:bookmarkEnd w:id="40"/>
    </w:p>
    <w:p w14:paraId="73ED5EED" w14:textId="77777777" w:rsidR="00FA782A" w:rsidRDefault="00FA782A" w:rsidP="00FA782A">
      <w:pPr>
        <w:pStyle w:val="Paragrdouble"/>
        <w:spacing w:line="240" w:lineRule="auto"/>
      </w:pPr>
      <w:r>
        <w:t>Voyons la question sous l’angle des « promesses électorales » non respectées, une fois le candidat élu. Le référendum serait, d’après les demandeurs, une sanction ou solution à un déficit démocratique.</w:t>
      </w:r>
    </w:p>
    <w:p w14:paraId="745FA4D4" w14:textId="77777777" w:rsidR="00FA782A" w:rsidRDefault="00FA782A" w:rsidP="00FA782A">
      <w:pPr>
        <w:pStyle w:val="Paragrdouble"/>
        <w:spacing w:line="240" w:lineRule="auto"/>
      </w:pPr>
      <w:r>
        <w:t>Cette question est nouvelle.</w:t>
      </w:r>
    </w:p>
    <w:p w14:paraId="1443473D" w14:textId="21D314C7" w:rsidR="00FA782A" w:rsidRDefault="00FA782A" w:rsidP="00FA782A">
      <w:pPr>
        <w:pStyle w:val="Paragrdouble"/>
        <w:spacing w:line="240" w:lineRule="auto"/>
      </w:pPr>
      <w:r>
        <w:t>Convenons que les demandeurs voudraient que le Tribunal sanctionne les élus comme si on traitait d’une question de droit civil, à l’</w:t>
      </w:r>
      <w:r w:rsidR="01592DC5">
        <w:t>i</w:t>
      </w:r>
      <w:r>
        <w:t xml:space="preserve">nstar du consentement libre et éclairé à un contrat vicié par de fausses représentations. </w:t>
      </w:r>
    </w:p>
    <w:p w14:paraId="7410AA20" w14:textId="39D0DEE6" w:rsidR="00FA782A" w:rsidRDefault="00FA782A" w:rsidP="00FA782A">
      <w:pPr>
        <w:pStyle w:val="Paragrdouble"/>
        <w:spacing w:line="240" w:lineRule="auto"/>
      </w:pPr>
      <w:r>
        <w:lastRenderedPageBreak/>
        <w:t xml:space="preserve">Si tant est qu’il s’agissait d’une question de droit civil, le Tribunal fait remarquer qu’il existe une règle </w:t>
      </w:r>
      <w:r w:rsidR="15BDC086">
        <w:t xml:space="preserve">au </w:t>
      </w:r>
      <w:r w:rsidR="15BDC086" w:rsidRPr="5A7F0EA4">
        <w:rPr>
          <w:i/>
          <w:iCs/>
        </w:rPr>
        <w:t xml:space="preserve">Code de procédure civile </w:t>
      </w:r>
      <w:r>
        <w:t>qui interdit de prendre une mesure qui touche les droits d’une partie sans que celle-ci n’ait été entendue</w:t>
      </w:r>
      <w:r w:rsidR="1C63B6E9">
        <w:t xml:space="preserve"> </w:t>
      </w:r>
      <w:r w:rsidR="13944D5E">
        <w:t>:</w:t>
      </w:r>
    </w:p>
    <w:p w14:paraId="3E5B8BF4" w14:textId="77777777" w:rsidR="00FA782A" w:rsidRPr="002D3366" w:rsidRDefault="00FA782A" w:rsidP="00FA782A">
      <w:pPr>
        <w:pStyle w:val="Paragrdouble"/>
        <w:numPr>
          <w:ilvl w:val="0"/>
          <w:numId w:val="0"/>
        </w:numPr>
        <w:spacing w:line="240" w:lineRule="auto"/>
        <w:ind w:left="731" w:right="573"/>
        <w:rPr>
          <w:sz w:val="22"/>
          <w:szCs w:val="22"/>
          <w:lang w:eastAsia="fr-CA"/>
        </w:rPr>
      </w:pPr>
      <w:r w:rsidRPr="002D3366">
        <w:rPr>
          <w:sz w:val="22"/>
          <w:szCs w:val="22"/>
          <w:lang w:eastAsia="fr-CA"/>
        </w:rPr>
        <w:t>17. Le tribunal ne peut se prononcer sur une demande ou, s’il agit d’office, prendre une mesure qui touche</w:t>
      </w:r>
      <w:r>
        <w:rPr>
          <w:sz w:val="22"/>
          <w:szCs w:val="22"/>
          <w:lang w:eastAsia="fr-CA"/>
        </w:rPr>
        <w:t xml:space="preserve"> </w:t>
      </w:r>
      <w:r w:rsidRPr="002D3366">
        <w:rPr>
          <w:sz w:val="22"/>
          <w:szCs w:val="22"/>
          <w:lang w:eastAsia="fr-CA"/>
        </w:rPr>
        <w:t>les droits d’une partie sans que celle-ci ait été entendue ou dûment appelée.</w:t>
      </w:r>
    </w:p>
    <w:p w14:paraId="5914F312" w14:textId="77777777" w:rsidR="00FA782A" w:rsidRDefault="00FA782A" w:rsidP="00FA782A">
      <w:pPr>
        <w:pStyle w:val="Paragrdouble"/>
        <w:spacing w:line="240" w:lineRule="auto"/>
      </w:pPr>
      <w:r>
        <w:t xml:space="preserve">Bien que les parties aient accepté de procéder par le dépôt de multiples documents, notamment des articles de journaux, cela ne veut pas dire que le Tribunal puisse condamner leurs gestes sans les entendre. </w:t>
      </w:r>
    </w:p>
    <w:p w14:paraId="0CEC1318" w14:textId="77777777" w:rsidR="00381954" w:rsidRDefault="00381954" w:rsidP="00381954">
      <w:pPr>
        <w:pStyle w:val="Paragrdouble"/>
        <w:spacing w:line="240" w:lineRule="auto"/>
      </w:pPr>
      <w:r w:rsidRPr="3B6B4641">
        <w:rPr>
          <w:i/>
          <w:iCs/>
        </w:rPr>
        <w:t>Un candidat n’engage pas la Ville</w:t>
      </w:r>
      <w:r>
        <w:t>. En fait, face à cette approche des demandeurs, le Tribunal donne raison aux arguments des avocats de la Ville et du PGQ qui l’invitent à la plus grande prudence. Entre le candidat et l’élu, il y a tout un monde.</w:t>
      </w:r>
    </w:p>
    <w:p w14:paraId="57A54194" w14:textId="77777777" w:rsidR="00381954" w:rsidRDefault="00381954" w:rsidP="00381954">
      <w:pPr>
        <w:pStyle w:val="Paragrdouble"/>
        <w:spacing w:line="240" w:lineRule="auto"/>
      </w:pPr>
      <w:r>
        <w:t>Une fois élus, les candidats municipaux s’expriment collectivement à travers des résolutions et des règlements municipaux, les élus à l’Assemblée nationale à travers des lois et règlements. La délibération collective constitue l’aulne de la démocratie. Le candidat élu, avec les meilleures intentions du monde, ne pourrait à lui seul décider du sort d’un dossier, tel le tramway.</w:t>
      </w:r>
    </w:p>
    <w:p w14:paraId="79D1BE01" w14:textId="69035869" w:rsidR="00381954" w:rsidRDefault="00381954" w:rsidP="00381954">
      <w:pPr>
        <w:pStyle w:val="Paragrdouble"/>
        <w:spacing w:line="240" w:lineRule="auto"/>
      </w:pPr>
      <w:r>
        <w:t>Pour nous en convaincre, la jurisprudence a déjà décidé que le comportement fautif d’un élu n’invalide pas la décision d’une municipalité à laquelle il a participé</w:t>
      </w:r>
      <w:r>
        <w:rPr>
          <w:rStyle w:val="Appelnotedebasdep"/>
        </w:rPr>
        <w:footnoteReference w:id="109"/>
      </w:r>
      <w:r>
        <w:t>. Comment un candidat, s’il est élu ultérieurement, pourrait-il le faire?</w:t>
      </w:r>
    </w:p>
    <w:p w14:paraId="13BDD4CE" w14:textId="1D03F7C5" w:rsidR="00FA782A" w:rsidRDefault="00FA782A" w:rsidP="00FA782A">
      <w:pPr>
        <w:pStyle w:val="Paragrdouble"/>
        <w:spacing w:line="240" w:lineRule="auto"/>
      </w:pPr>
      <w:r w:rsidRPr="5A7F0EA4">
        <w:rPr>
          <w:i/>
          <w:iCs/>
        </w:rPr>
        <w:t>La lecture des faits diffère</w:t>
      </w:r>
      <w:r>
        <w:t xml:space="preserve">. Les demandeurs désirent que le Tribunal se prononce sur des promesses électorales faites par des personnes qui n’ont pas été appelées à titre de partie au présent dossier. Par exemple, d’après le témoignage de </w:t>
      </w:r>
      <w:r w:rsidR="5B272F18">
        <w:t>M</w:t>
      </w:r>
      <w:r>
        <w:t>onsieur Charette, le candidat à la mairie, Monsieur Régis Labeaume, était sans nuances et déclarait ne pas vouloir d’un tramway pendant la campagne électorale de 2017. Or, à la lecture de l’interrogatoire écrit de Monsieur André Legault</w:t>
      </w:r>
      <w:r>
        <w:rPr>
          <w:rStyle w:val="Appelnotedebasdep"/>
        </w:rPr>
        <w:footnoteReference w:id="110"/>
      </w:r>
      <w:r>
        <w:t>, la réponse mérite des nuances. Les demandeurs ont invité le Tribunal à prendre connaissance de la volumineuse preuve documentaire (incluant aussi des vidéos) pour soutenir leurs dires. Or, à l’écoute de cette preuve, des nuances ont été faites et cela doit être tenu compte; le Tribunal a pu entendre Monsieur Labeaume exprimer son point de vue nuancé sur la question</w:t>
      </w:r>
      <w:r>
        <w:rPr>
          <w:rStyle w:val="Appelnotedebasdep"/>
        </w:rPr>
        <w:footnoteReference w:id="111"/>
      </w:r>
      <w:r>
        <w:t xml:space="preserve">. Autre exemple, un chapitre de la procédure des demandeurs est intitulé : « La conduite fautive du maire actuel Bruno Marchand ». Les demandeurs ne le poursuivent pas, mais ils voudraient que le Tribunal le condamne indirectement, ce qu’il ne fera à l’évidence pas. </w:t>
      </w:r>
    </w:p>
    <w:p w14:paraId="74999F73" w14:textId="02E597BC" w:rsidR="00FA782A" w:rsidRPr="00C417F6" w:rsidRDefault="00FA782A" w:rsidP="00FA782A">
      <w:pPr>
        <w:pStyle w:val="Paragrdouble"/>
        <w:spacing w:line="240" w:lineRule="auto"/>
      </w:pPr>
      <w:r>
        <w:lastRenderedPageBreak/>
        <w:t xml:space="preserve">Au passage, les demandeurs voudraient que le Tribunal sanctionne les élus de la </w:t>
      </w:r>
      <w:r w:rsidR="00CB5055">
        <w:t>V</w:t>
      </w:r>
      <w:r>
        <w:t xml:space="preserve">ille en ordonnant la tenue d’un référendum. Dans le présent dossier, lors de l’audience, le Tribunal a fait remarquer aux demandeurs qu’à l’automne 2021, les citoyens de Québec ont appuyé de façon générale des candidats à la mairie favorables au projet de tramway dans une proportion de plus de 73%. </w:t>
      </w:r>
    </w:p>
    <w:p w14:paraId="37D8D907" w14:textId="77777777" w:rsidR="00FA782A" w:rsidRDefault="00FA782A" w:rsidP="00FA782A">
      <w:pPr>
        <w:pStyle w:val="Paragrdouble"/>
        <w:spacing w:line="240" w:lineRule="auto"/>
      </w:pPr>
      <w:r w:rsidRPr="5A7F0EA4">
        <w:rPr>
          <w:i/>
          <w:iCs/>
        </w:rPr>
        <w:t>L’élu et le bien commun</w:t>
      </w:r>
      <w:r>
        <w:t>. Le travail d’un élu est plus complexe qu’il n’y paraît. Sans égard à ce qui précède, la fonction politique de l’élu est d’abord de veiller au bien commun. Il peut arriver qu’après avoir été nouvellement élu, ou même réélu, une personne apprenne des fonctionnaires ou d’experts, des choses qu’elle ne connaissait pas pendant la campagne électorale. Si ce qu’elle apprend justifie de modifier sa position, doit-elle obstinément poursuivre alors avec l’orientation qui l’animait avant l’élection ou bien doit-elle se rendre à l’évidence avec un raisonnement avisé? Il n’appartient pas au Tribunal de répondre à cette question.</w:t>
      </w:r>
    </w:p>
    <w:p w14:paraId="150ABFA8" w14:textId="77777777" w:rsidR="00FA782A" w:rsidRPr="00D805A9" w:rsidRDefault="00FA782A" w:rsidP="00FA782A">
      <w:pPr>
        <w:pStyle w:val="Paragrdouble"/>
        <w:spacing w:line="240" w:lineRule="auto"/>
      </w:pPr>
      <w:r w:rsidRPr="5A7F0EA4">
        <w:rPr>
          <w:i/>
          <w:iCs/>
        </w:rPr>
        <w:t>Le difficile travail d’un élu</w:t>
      </w:r>
      <w:r>
        <w:t xml:space="preserve">. La fonction politique est aussi celle de prises de positions en tenant compte d’un ensemble </w:t>
      </w:r>
      <w:r w:rsidRPr="5A7F0EA4">
        <w:rPr>
          <w:b/>
          <w:bCs/>
        </w:rPr>
        <w:t>évolutif</w:t>
      </w:r>
      <w:r>
        <w:t xml:space="preserve"> de facteurs sociaux, économiques, environnementaux et même politiques tenant compte des autres paliers de gouvernement. </w:t>
      </w:r>
    </w:p>
    <w:p w14:paraId="586748E7" w14:textId="77777777" w:rsidR="00FA782A" w:rsidRPr="00C52DE3" w:rsidRDefault="00FA782A" w:rsidP="00FA782A">
      <w:pPr>
        <w:pStyle w:val="Paragrdouble"/>
        <w:spacing w:line="240" w:lineRule="auto"/>
      </w:pPr>
      <w:r w:rsidRPr="5A7F0EA4">
        <w:rPr>
          <w:i/>
          <w:iCs/>
        </w:rPr>
        <w:t>La sanction par le peuple</w:t>
      </w:r>
      <w:r>
        <w:t>. Finalement, la fonction politique est à durée fixe. Au terme d’un mandat de 4 ans, l’élu municipal peut en plus être sanctionné pour ses décisions prises précédemment.</w:t>
      </w:r>
    </w:p>
    <w:p w14:paraId="0D649A97" w14:textId="003EFBA4" w:rsidR="00FA782A" w:rsidRDefault="00FA782A" w:rsidP="00FA782A">
      <w:pPr>
        <w:pStyle w:val="Paragrdouble"/>
        <w:spacing w:line="240" w:lineRule="auto"/>
      </w:pPr>
      <w:r w:rsidRPr="5A7F0EA4">
        <w:rPr>
          <w:i/>
          <w:iCs/>
        </w:rPr>
        <w:t>Le rôle des tribunaux et les candidats élus</w:t>
      </w:r>
      <w:r>
        <w:t>. Prenons du recul quant aux fonctions démocratiques et judiciaires. Nous vivons heureusement dans une « société libre et démocratique »</w:t>
      </w:r>
      <w:r>
        <w:rPr>
          <w:rStyle w:val="Appelnotedebasdep"/>
        </w:rPr>
        <w:footnoteReference w:id="112"/>
      </w:r>
      <w:r>
        <w:t xml:space="preserve">. La démocratie vient en amont des règles de droit; c’est la démocratie qui choisit les personnes, lesquelles, réunies en assemblée délibérante, exerceront leurs pouvoirs. Elles établiront la règle de droit. Entrent alors en jeu les tribunaux. À moins que la règle de droit n’ait été édictée en dehors du cadre constitutif de l’assemblée délibérante, </w:t>
      </w:r>
      <w:r w:rsidR="00CB5055">
        <w:t>les tribunaux</w:t>
      </w:r>
      <w:r>
        <w:t xml:space="preserve"> interpréteront cette règle de droit en regard des personnes qui se retrouveront en face d’eux. </w:t>
      </w:r>
      <w:r w:rsidR="00CB5055">
        <w:t>Exception faite de dispositions relevant des lois électorales</w:t>
      </w:r>
      <w:r>
        <w:t>, les tribunaux interviennent en aval de la démocratie. Le présent dossier lui demande d’intervenir en amont.</w:t>
      </w:r>
    </w:p>
    <w:p w14:paraId="678B5012" w14:textId="56E30394" w:rsidR="00FA782A" w:rsidRDefault="00FA782A" w:rsidP="00FA782A">
      <w:pPr>
        <w:pStyle w:val="Paragrdouble"/>
        <w:spacing w:line="240" w:lineRule="auto"/>
      </w:pPr>
      <w:r>
        <w:t xml:space="preserve">Il n’existe pas de loi qui donne aux tribunaux le pouvoir de sanctionner les manquements de l’exercice démocratique. </w:t>
      </w:r>
      <w:r w:rsidR="00CB5055">
        <w:t>En clair, ce que demandent les demandeurs serait néfaste pour la démocratie.</w:t>
      </w:r>
    </w:p>
    <w:p w14:paraId="668BABBD" w14:textId="77777777" w:rsidR="00FA782A" w:rsidRDefault="00FA782A" w:rsidP="00FA782A">
      <w:pPr>
        <w:pStyle w:val="Paragrdouble"/>
        <w:spacing w:line="240" w:lineRule="auto"/>
      </w:pPr>
      <w:r>
        <w:t>Les tribunaux seraient mal avisés de créer des règles qui les placeraient entre l’électeur et l’assemblée délibérante.</w:t>
      </w:r>
    </w:p>
    <w:p w14:paraId="7D224B0F" w14:textId="77777777" w:rsidR="00FA782A" w:rsidRDefault="00FA782A" w:rsidP="00FA782A">
      <w:pPr>
        <w:pStyle w:val="Paragrdouble"/>
        <w:spacing w:line="240" w:lineRule="auto"/>
      </w:pPr>
      <w:r>
        <w:t>Bref, le Tribunal rejette la demande de référendum pour les motifs suivants :</w:t>
      </w:r>
    </w:p>
    <w:p w14:paraId="27A67789" w14:textId="5AF95B24" w:rsidR="00FA782A" w:rsidRDefault="00FA782A" w:rsidP="00FA782A">
      <w:pPr>
        <w:pStyle w:val="Paragrdouble"/>
        <w:numPr>
          <w:ilvl w:val="0"/>
          <w:numId w:val="8"/>
        </w:numPr>
        <w:spacing w:line="240" w:lineRule="auto"/>
      </w:pPr>
      <w:r>
        <w:lastRenderedPageBreak/>
        <w:t xml:space="preserve">Ni les </w:t>
      </w:r>
      <w:r w:rsidRPr="00F04F7A">
        <w:t>Chartes canadienne et québécoise</w:t>
      </w:r>
      <w:r>
        <w:t>, ni les principes constitutionnels non-écrits n’</w:t>
      </w:r>
      <w:r w:rsidR="00C13355">
        <w:t>impos</w:t>
      </w:r>
      <w:r w:rsidR="002B0957">
        <w:t>ent</w:t>
      </w:r>
      <w:r>
        <w:t xml:space="preserve"> la tenue obligatoire d’un référendum à moins qu’une loi ne le prévoie expressément, ce qui n’est pas le cas en l’occurrence;</w:t>
      </w:r>
    </w:p>
    <w:p w14:paraId="38448AA0" w14:textId="77777777" w:rsidR="00FA782A" w:rsidRPr="006B7EB4" w:rsidRDefault="00FA782A" w:rsidP="00FA782A">
      <w:pPr>
        <w:pStyle w:val="Paragrdouble"/>
        <w:numPr>
          <w:ilvl w:val="0"/>
          <w:numId w:val="8"/>
        </w:numPr>
        <w:spacing w:line="240" w:lineRule="auto"/>
      </w:pPr>
      <w:r>
        <w:t>Les tribunaux n’ont pas de rôle à jouer dans la relation entre le citoyen qui a exercé son droit de vote et l’élu.</w:t>
      </w:r>
    </w:p>
    <w:p w14:paraId="7DA5D67E" w14:textId="60B0A028" w:rsidR="002B2A58" w:rsidRDefault="00F85AAE" w:rsidP="00B43DCA">
      <w:pPr>
        <w:pStyle w:val="Titre3"/>
      </w:pPr>
      <w:bookmarkStart w:id="41" w:name="_Toc124755359"/>
      <w:r>
        <w:t>L’inconstitu</w:t>
      </w:r>
      <w:r w:rsidR="002B2A58">
        <w:t xml:space="preserve">tionnalité de l’article </w:t>
      </w:r>
      <w:r w:rsidR="00FF5A9A">
        <w:t>7</w:t>
      </w:r>
      <w:r w:rsidR="002B2A58">
        <w:t xml:space="preserve"> LRS</w:t>
      </w:r>
      <w:r w:rsidR="00203EE7">
        <w:t>V</w:t>
      </w:r>
      <w:r w:rsidR="000728D5">
        <w:t>Q</w:t>
      </w:r>
      <w:bookmarkEnd w:id="41"/>
    </w:p>
    <w:p w14:paraId="6F914076" w14:textId="6B888699" w:rsidR="002B2A58" w:rsidRDefault="00A707A1" w:rsidP="002B2A58">
      <w:pPr>
        <w:pStyle w:val="Paragrdouble"/>
        <w:spacing w:line="240" w:lineRule="auto"/>
      </w:pPr>
      <w:r>
        <w:t>L</w:t>
      </w:r>
      <w:r w:rsidR="000C0A38">
        <w:t xml:space="preserve">es demandeurs soutiennent que le deuxième paragraphe du deuxième alinéa de l’article </w:t>
      </w:r>
      <w:r>
        <w:t>7</w:t>
      </w:r>
      <w:r w:rsidR="000C0AFA">
        <w:t xml:space="preserve"> et son dernier paragraphe</w:t>
      </w:r>
      <w:r w:rsidR="000C0A38">
        <w:t xml:space="preserve"> de la </w:t>
      </w:r>
      <w:r w:rsidR="00887C56">
        <w:t>LRSVQ</w:t>
      </w:r>
      <w:r>
        <w:t xml:space="preserve"> contrevien</w:t>
      </w:r>
      <w:r w:rsidR="000C0AFA">
        <w:t>nen</w:t>
      </w:r>
      <w:r>
        <w:t xml:space="preserve">t à l’article 96 de la </w:t>
      </w:r>
      <w:r w:rsidR="00887C56" w:rsidRPr="5A7F0EA4">
        <w:rPr>
          <w:i/>
          <w:iCs/>
        </w:rPr>
        <w:t>L</w:t>
      </w:r>
      <w:r w:rsidRPr="5A7F0EA4">
        <w:rPr>
          <w:i/>
          <w:iCs/>
        </w:rPr>
        <w:t>oi constitutionnelle de 1867</w:t>
      </w:r>
      <w:r>
        <w:t xml:space="preserve"> car il</w:t>
      </w:r>
      <w:r w:rsidR="00367259">
        <w:t>s</w:t>
      </w:r>
      <w:r>
        <w:t xml:space="preserve"> retirerai</w:t>
      </w:r>
      <w:r w:rsidR="00367259">
        <w:t>en</w:t>
      </w:r>
      <w:r>
        <w:t>t une compétence à la Cour supérieure en matière d’expropriation</w:t>
      </w:r>
      <w:r w:rsidR="004B47D8">
        <w:t> :</w:t>
      </w:r>
    </w:p>
    <w:p w14:paraId="76B29E00" w14:textId="256E1475" w:rsidR="006A1E13" w:rsidRPr="007E4251" w:rsidRDefault="006A1E13" w:rsidP="006A1E13">
      <w:pPr>
        <w:spacing w:before="120" w:after="120" w:line="280" w:lineRule="atLeast"/>
        <w:ind w:left="1428" w:right="752"/>
        <w:jc w:val="both"/>
        <w:rPr>
          <w:rFonts w:cs="Arial"/>
          <w:sz w:val="22"/>
          <w:szCs w:val="18"/>
          <w:lang w:val="fr-FR" w:eastAsia="fr-CA"/>
        </w:rPr>
      </w:pPr>
      <w:r w:rsidRPr="007E4251">
        <w:rPr>
          <w:rFonts w:cs="Arial"/>
          <w:sz w:val="22"/>
          <w:szCs w:val="18"/>
          <w:lang w:val="fr-FR" w:eastAsia="fr-CA"/>
        </w:rPr>
        <w:t xml:space="preserve">7. Sous réserve des </w:t>
      </w:r>
      <w:hyperlink r:id="rId13" w:history="1">
        <w:r w:rsidR="00A100C4">
          <w:rPr>
            <w:rFonts w:cs="Arial"/>
            <w:sz w:val="22"/>
            <w:szCs w:val="18"/>
            <w:lang w:val="fr-FR" w:eastAsia="fr-CA"/>
          </w:rPr>
          <w:t>articles 571</w:t>
        </w:r>
      </w:hyperlink>
      <w:r w:rsidRPr="007E4251">
        <w:rPr>
          <w:rFonts w:cs="Arial"/>
          <w:sz w:val="22"/>
          <w:szCs w:val="18"/>
          <w:lang w:val="fr-FR" w:eastAsia="fr-CA"/>
        </w:rPr>
        <w:t xml:space="preserve"> et</w:t>
      </w:r>
      <w:hyperlink r:id="rId14" w:history="1">
        <w:r w:rsidR="00A100C4">
          <w:rPr>
            <w:rFonts w:cs="Arial"/>
            <w:sz w:val="22"/>
            <w:szCs w:val="18"/>
            <w:lang w:val="fr-FR" w:eastAsia="fr-CA"/>
          </w:rPr>
          <w:t xml:space="preserve"> 572</w:t>
        </w:r>
      </w:hyperlink>
      <w:r w:rsidRPr="007E4251">
        <w:rPr>
          <w:rFonts w:cs="Arial"/>
          <w:sz w:val="22"/>
          <w:szCs w:val="18"/>
          <w:lang w:val="fr-FR" w:eastAsia="fr-CA"/>
        </w:rPr>
        <w:t xml:space="preserve"> de la </w:t>
      </w:r>
      <w:hyperlink r:id="rId15" w:history="1">
        <w:r w:rsidR="00A100C4">
          <w:rPr>
            <w:rFonts w:cs="Arial"/>
            <w:sz w:val="22"/>
            <w:szCs w:val="18"/>
            <w:lang w:val="fr-FR" w:eastAsia="fr-CA"/>
          </w:rPr>
          <w:t>Loi sur les cités et villes (</w:t>
        </w:r>
      </w:hyperlink>
      <w:hyperlink r:id="rId16" w:history="1">
        <w:r w:rsidR="00A100C4">
          <w:rPr>
            <w:rFonts w:cs="Arial"/>
            <w:sz w:val="22"/>
            <w:szCs w:val="18"/>
            <w:lang w:val="fr-FR" w:eastAsia="fr-CA"/>
          </w:rPr>
          <w:t>chapitre C-19</w:t>
        </w:r>
      </w:hyperlink>
      <w:r w:rsidRPr="007E4251">
        <w:rPr>
          <w:rFonts w:cs="Arial"/>
          <w:sz w:val="22"/>
          <w:szCs w:val="18"/>
          <w:lang w:val="fr-FR" w:eastAsia="fr-CA"/>
        </w:rPr>
        <w:t>), la Ville de Québec peut, dans le cadre de la réalisation du Réseau, exproprier tout bien nécessaire pour la construction et l’exploitation de ce réseau.</w:t>
      </w:r>
    </w:p>
    <w:p w14:paraId="3D6466E1" w14:textId="77777777" w:rsidR="006A1E13" w:rsidRPr="007E4251" w:rsidRDefault="006A1E13" w:rsidP="006A1E13">
      <w:pPr>
        <w:spacing w:before="120" w:after="120" w:line="280" w:lineRule="atLeast"/>
        <w:ind w:left="1428" w:right="752"/>
        <w:jc w:val="both"/>
        <w:rPr>
          <w:rFonts w:cs="Arial"/>
          <w:sz w:val="22"/>
          <w:szCs w:val="18"/>
          <w:lang w:val="fr-FR" w:eastAsia="fr-CA"/>
        </w:rPr>
      </w:pPr>
      <w:r w:rsidRPr="007E4251">
        <w:rPr>
          <w:rFonts w:cs="Arial"/>
          <w:sz w:val="22"/>
          <w:szCs w:val="18"/>
          <w:lang w:val="fr-FR" w:eastAsia="fr-CA"/>
        </w:rPr>
        <w:t>En cas d’expropriation permise par le premier alinéa :</w:t>
      </w:r>
    </w:p>
    <w:p w14:paraId="4FCB8966" w14:textId="5CC55B82" w:rsidR="006A1E13" w:rsidRPr="007E4251" w:rsidRDefault="006A1E13" w:rsidP="006A1E13">
      <w:pPr>
        <w:spacing w:before="120" w:after="120" w:line="280" w:lineRule="atLeast"/>
        <w:ind w:left="1428" w:right="752"/>
        <w:jc w:val="both"/>
        <w:rPr>
          <w:rFonts w:cs="Arial"/>
          <w:sz w:val="22"/>
          <w:szCs w:val="18"/>
          <w:lang w:val="fr-FR" w:eastAsia="fr-CA"/>
        </w:rPr>
      </w:pPr>
      <w:r w:rsidRPr="007E4251">
        <w:rPr>
          <w:rFonts w:cs="Arial"/>
          <w:sz w:val="22"/>
          <w:szCs w:val="18"/>
          <w:lang w:val="fr-FR" w:eastAsia="fr-CA"/>
        </w:rPr>
        <w:t>1°   l’avis d’expropriation doit, en plus des mentions prévues à l’</w:t>
      </w:r>
      <w:hyperlink r:id="rId17" w:history="1">
        <w:r w:rsidR="00A100C4">
          <w:rPr>
            <w:rFonts w:cs="Arial"/>
            <w:sz w:val="22"/>
            <w:szCs w:val="18"/>
            <w:lang w:val="fr-FR" w:eastAsia="fr-CA"/>
          </w:rPr>
          <w:t>article 40</w:t>
        </w:r>
      </w:hyperlink>
      <w:r w:rsidRPr="007E4251">
        <w:rPr>
          <w:rFonts w:cs="Arial"/>
          <w:sz w:val="22"/>
          <w:szCs w:val="18"/>
          <w:lang w:val="fr-FR" w:eastAsia="fr-CA"/>
        </w:rPr>
        <w:t xml:space="preserve"> de la </w:t>
      </w:r>
      <w:hyperlink r:id="rId18" w:history="1">
        <w:r w:rsidR="00A100C4">
          <w:rPr>
            <w:rFonts w:cs="Arial"/>
            <w:sz w:val="22"/>
            <w:szCs w:val="18"/>
            <w:lang w:val="fr-FR" w:eastAsia="fr-CA"/>
          </w:rPr>
          <w:t>Loi sur l’expropriation (</w:t>
        </w:r>
      </w:hyperlink>
      <w:hyperlink r:id="rId19" w:history="1">
        <w:r w:rsidR="00A100C4">
          <w:rPr>
            <w:rFonts w:cs="Arial"/>
            <w:sz w:val="22"/>
            <w:szCs w:val="18"/>
            <w:lang w:val="fr-FR" w:eastAsia="fr-CA"/>
          </w:rPr>
          <w:t>chapitre E-24</w:t>
        </w:r>
      </w:hyperlink>
      <w:r w:rsidRPr="007E4251">
        <w:rPr>
          <w:rFonts w:cs="Arial"/>
          <w:sz w:val="22"/>
          <w:szCs w:val="18"/>
          <w:lang w:val="fr-FR" w:eastAsia="fr-CA"/>
        </w:rPr>
        <w:t>), indiquer la date à laquelle l’exproprié, le locataire ou l’occupant de bonne foi devra avoir quitté les lieux;</w:t>
      </w:r>
    </w:p>
    <w:p w14:paraId="4E62E8B8" w14:textId="77777777" w:rsidR="006A1E13" w:rsidRPr="007E4251" w:rsidRDefault="006A1E13" w:rsidP="006A1E13">
      <w:pPr>
        <w:spacing w:before="120" w:after="120" w:line="280" w:lineRule="atLeast"/>
        <w:ind w:left="1428" w:right="752"/>
        <w:jc w:val="both"/>
        <w:rPr>
          <w:rFonts w:cs="Arial"/>
          <w:sz w:val="22"/>
          <w:szCs w:val="18"/>
          <w:lang w:val="fr-FR" w:eastAsia="fr-CA"/>
        </w:rPr>
      </w:pPr>
      <w:r w:rsidRPr="007E4251">
        <w:rPr>
          <w:rFonts w:cs="Arial"/>
          <w:sz w:val="22"/>
          <w:szCs w:val="18"/>
          <w:lang w:val="fr-FR" w:eastAsia="fr-CA"/>
        </w:rPr>
        <w:t>2°   </w:t>
      </w:r>
      <w:r w:rsidRPr="007E4251">
        <w:rPr>
          <w:rFonts w:cs="Arial"/>
          <w:sz w:val="22"/>
          <w:szCs w:val="18"/>
          <w:u w:val="single"/>
          <w:lang w:val="fr-FR" w:eastAsia="fr-CA"/>
        </w:rPr>
        <w:t>le droit de l’expropriant à l’expropriation ne peut être contesté</w:t>
      </w:r>
      <w:r w:rsidRPr="007E4251">
        <w:rPr>
          <w:rFonts w:cs="Arial"/>
          <w:sz w:val="22"/>
          <w:szCs w:val="18"/>
          <w:lang w:val="fr-FR" w:eastAsia="fr-CA"/>
        </w:rPr>
        <w:t xml:space="preserve"> et le délai de 30 jours prévu à l’article 46 de cette loi est remplacé par un délai de 90 jours qui débute à compter de la signification de l’avis d’expropriation;</w:t>
      </w:r>
    </w:p>
    <w:p w14:paraId="2A11BAAA" w14:textId="3EDA4CF9" w:rsidR="00D8385A" w:rsidRPr="007E4251" w:rsidRDefault="00874B8B" w:rsidP="006A1E13">
      <w:pPr>
        <w:spacing w:before="120" w:after="120" w:line="280" w:lineRule="atLeast"/>
        <w:ind w:left="1428" w:right="752"/>
        <w:jc w:val="both"/>
        <w:rPr>
          <w:rFonts w:cs="Arial"/>
          <w:sz w:val="22"/>
          <w:szCs w:val="18"/>
          <w:lang w:val="fr-FR" w:eastAsia="fr-CA"/>
        </w:rPr>
      </w:pPr>
      <w:r w:rsidRPr="007E4251">
        <w:rPr>
          <w:rFonts w:cs="Arial"/>
          <w:sz w:val="22"/>
          <w:szCs w:val="18"/>
          <w:lang w:val="fr-FR" w:eastAsia="fr-CA"/>
        </w:rPr>
        <w:t>(…)</w:t>
      </w:r>
    </w:p>
    <w:p w14:paraId="25208E04" w14:textId="67A90888" w:rsidR="00874B8B" w:rsidRPr="007E4251" w:rsidRDefault="00874B8B" w:rsidP="00874B8B">
      <w:pPr>
        <w:spacing w:before="120" w:after="120" w:line="280" w:lineRule="atLeast"/>
        <w:ind w:left="1428" w:right="752"/>
        <w:jc w:val="both"/>
        <w:rPr>
          <w:rFonts w:cs="Arial"/>
          <w:sz w:val="22"/>
          <w:szCs w:val="18"/>
          <w:u w:val="single"/>
          <w:lang w:eastAsia="fr-CA"/>
        </w:rPr>
      </w:pPr>
      <w:r w:rsidRPr="007E4251">
        <w:rPr>
          <w:rFonts w:cs="Arial"/>
          <w:sz w:val="22"/>
          <w:szCs w:val="18"/>
          <w:u w:val="single"/>
          <w:lang w:eastAsia="fr-CA"/>
        </w:rPr>
        <w:t>En conséquence, ne s’appliquent pas à une telle expropriation la partie du paragraphe 3° du premier alinéa de l’article 40 qui suit «</w:t>
      </w:r>
      <w:r w:rsidR="007E4251" w:rsidRPr="007E4251">
        <w:rPr>
          <w:rFonts w:cs="Arial"/>
          <w:sz w:val="22"/>
          <w:szCs w:val="18"/>
          <w:u w:val="single"/>
          <w:lang w:eastAsia="fr-CA"/>
        </w:rPr>
        <w:t> </w:t>
      </w:r>
      <w:r w:rsidRPr="007E4251">
        <w:rPr>
          <w:rFonts w:cs="Arial"/>
          <w:sz w:val="22"/>
          <w:szCs w:val="18"/>
          <w:u w:val="single"/>
          <w:lang w:eastAsia="fr-CA"/>
        </w:rPr>
        <w:t xml:space="preserve">Tribunal », les articles 44 à 44.3, la première phrase de l’article 53.2, l’article 53.3, le paragraphe 2° de l’article 53.4 et les articles 53.5, 53.7 et 53.14 de la </w:t>
      </w:r>
      <w:r w:rsidRPr="007E4251">
        <w:rPr>
          <w:rFonts w:cs="Arial"/>
          <w:i/>
          <w:iCs/>
          <w:sz w:val="22"/>
          <w:szCs w:val="18"/>
          <w:u w:val="single"/>
          <w:lang w:eastAsia="fr-CA"/>
        </w:rPr>
        <w:t>Loi sur l’expropriation</w:t>
      </w:r>
      <w:r w:rsidRPr="007E4251">
        <w:rPr>
          <w:rFonts w:cs="Arial"/>
          <w:sz w:val="22"/>
          <w:szCs w:val="18"/>
          <w:u w:val="single"/>
          <w:lang w:eastAsia="fr-CA"/>
        </w:rPr>
        <w:t>; ses autres dispositions s’appliquent avec les adaptations nécessaires.</w:t>
      </w:r>
    </w:p>
    <w:p w14:paraId="4386AC71" w14:textId="77777777" w:rsidR="006A1E13" w:rsidRPr="007E4251" w:rsidRDefault="006A1E13" w:rsidP="006A1E13">
      <w:pPr>
        <w:spacing w:before="120" w:after="120" w:line="280" w:lineRule="atLeast"/>
        <w:ind w:left="1428" w:right="752"/>
        <w:jc w:val="both"/>
        <w:rPr>
          <w:rFonts w:cs="Arial"/>
          <w:sz w:val="22"/>
          <w:szCs w:val="18"/>
          <w:lang w:val="fr-FR" w:eastAsia="fr-CA"/>
        </w:rPr>
      </w:pPr>
      <w:r w:rsidRPr="007E4251">
        <w:rPr>
          <w:rFonts w:cs="Arial"/>
          <w:sz w:val="22"/>
          <w:szCs w:val="18"/>
          <w:lang w:val="fr-FR" w:eastAsia="fr-CA"/>
        </w:rPr>
        <w:t>(notre soulignement)</w:t>
      </w:r>
    </w:p>
    <w:p w14:paraId="2CF2471C" w14:textId="4AC042FD" w:rsidR="00F66B25" w:rsidRDefault="00F66B25" w:rsidP="002B2A58">
      <w:pPr>
        <w:pStyle w:val="Paragrdouble"/>
        <w:spacing w:line="240" w:lineRule="auto"/>
      </w:pPr>
      <w:r>
        <w:t>Dans leur avis transmis au PGQ, les demandeurs écrivent :</w:t>
      </w:r>
    </w:p>
    <w:p w14:paraId="675F1EBF" w14:textId="77777777" w:rsidR="00F66B25" w:rsidRPr="00F66B25" w:rsidRDefault="00F66B25" w:rsidP="00F66B25">
      <w:pPr>
        <w:pStyle w:val="Paragrdouble"/>
        <w:numPr>
          <w:ilvl w:val="0"/>
          <w:numId w:val="0"/>
        </w:numPr>
        <w:spacing w:line="240" w:lineRule="auto"/>
        <w:ind w:left="731" w:right="573"/>
        <w:rPr>
          <w:sz w:val="22"/>
          <w:szCs w:val="18"/>
        </w:rPr>
      </w:pPr>
      <w:r w:rsidRPr="00F66B25">
        <w:rPr>
          <w:sz w:val="22"/>
          <w:szCs w:val="18"/>
        </w:rPr>
        <w:t xml:space="preserve">L’article </w:t>
      </w:r>
      <w:bookmarkStart w:id="42" w:name="_Hlk123216148"/>
      <w:r w:rsidRPr="00F66B25">
        <w:rPr>
          <w:sz w:val="22"/>
          <w:szCs w:val="18"/>
        </w:rPr>
        <w:t xml:space="preserve">7 (2e) et 7 in fine </w:t>
      </w:r>
      <w:bookmarkEnd w:id="42"/>
      <w:r w:rsidRPr="00F66B25">
        <w:rPr>
          <w:sz w:val="22"/>
          <w:szCs w:val="18"/>
        </w:rPr>
        <w:t>doivent être déclarés inconstitutionnels parce que contraire :</w:t>
      </w:r>
    </w:p>
    <w:p w14:paraId="66CE5BC8" w14:textId="77777777" w:rsidR="00F66B25" w:rsidRPr="00F66B25" w:rsidRDefault="00F66B25" w:rsidP="005C14A5">
      <w:pPr>
        <w:pStyle w:val="Paragrdouble"/>
        <w:numPr>
          <w:ilvl w:val="0"/>
          <w:numId w:val="5"/>
        </w:numPr>
        <w:spacing w:line="240" w:lineRule="auto"/>
        <w:ind w:right="573"/>
        <w:rPr>
          <w:sz w:val="22"/>
          <w:szCs w:val="18"/>
        </w:rPr>
      </w:pPr>
      <w:r w:rsidRPr="00F66B25">
        <w:rPr>
          <w:sz w:val="22"/>
          <w:szCs w:val="18"/>
        </w:rPr>
        <w:lastRenderedPageBreak/>
        <w:t xml:space="preserve">aux dispositions de l’article 96 de la </w:t>
      </w:r>
      <w:r w:rsidRPr="003D3BCF">
        <w:rPr>
          <w:i/>
          <w:iCs/>
          <w:sz w:val="22"/>
          <w:szCs w:val="18"/>
        </w:rPr>
        <w:t>Loi constitutionnelle de 1867</w:t>
      </w:r>
      <w:r w:rsidRPr="00F66B25">
        <w:rPr>
          <w:sz w:val="22"/>
          <w:szCs w:val="18"/>
        </w:rPr>
        <w:t>;</w:t>
      </w:r>
    </w:p>
    <w:p w14:paraId="4F2D8758" w14:textId="77777777" w:rsidR="00F66B25" w:rsidRPr="00F66B25" w:rsidRDefault="00F66B25" w:rsidP="005C14A5">
      <w:pPr>
        <w:pStyle w:val="Paragrdouble"/>
        <w:numPr>
          <w:ilvl w:val="0"/>
          <w:numId w:val="5"/>
        </w:numPr>
        <w:spacing w:line="240" w:lineRule="auto"/>
        <w:ind w:right="573"/>
        <w:rPr>
          <w:sz w:val="22"/>
          <w:szCs w:val="18"/>
        </w:rPr>
      </w:pPr>
      <w:r w:rsidRPr="00F66B25">
        <w:rPr>
          <w:sz w:val="22"/>
          <w:szCs w:val="18"/>
        </w:rPr>
        <w:t xml:space="preserve">à la protection de la liberté, de l’intégrité, de la sécurité et de la santé de la personne, prévue à l’article 1 de la </w:t>
      </w:r>
      <w:r w:rsidRPr="00F04F7A">
        <w:rPr>
          <w:sz w:val="22"/>
          <w:szCs w:val="18"/>
        </w:rPr>
        <w:t>Charte québécoise</w:t>
      </w:r>
      <w:r w:rsidRPr="00F66B25">
        <w:rPr>
          <w:sz w:val="22"/>
          <w:szCs w:val="18"/>
        </w:rPr>
        <w:t>;</w:t>
      </w:r>
    </w:p>
    <w:p w14:paraId="12CE40CE" w14:textId="79676E69" w:rsidR="00F66B25" w:rsidRPr="00F66B25" w:rsidRDefault="00F66B25" w:rsidP="005C14A5">
      <w:pPr>
        <w:pStyle w:val="Paragrdouble"/>
        <w:numPr>
          <w:ilvl w:val="0"/>
          <w:numId w:val="5"/>
        </w:numPr>
        <w:spacing w:line="240" w:lineRule="auto"/>
        <w:ind w:right="573"/>
        <w:rPr>
          <w:sz w:val="22"/>
          <w:szCs w:val="22"/>
        </w:rPr>
      </w:pPr>
      <w:r w:rsidRPr="5A7F0EA4">
        <w:rPr>
          <w:sz w:val="22"/>
          <w:szCs w:val="22"/>
        </w:rPr>
        <w:t xml:space="preserve">à la liberté d’expression judiciaire, prévue à l’article 3 de la </w:t>
      </w:r>
      <w:r w:rsidRPr="007B2CA0">
        <w:rPr>
          <w:sz w:val="22"/>
          <w:szCs w:val="22"/>
        </w:rPr>
        <w:t>Charte québécoise</w:t>
      </w:r>
      <w:r w:rsidRPr="5A7F0EA4">
        <w:rPr>
          <w:sz w:val="22"/>
          <w:szCs w:val="22"/>
        </w:rPr>
        <w:t>;</w:t>
      </w:r>
    </w:p>
    <w:p w14:paraId="0D98E63F" w14:textId="77777777" w:rsidR="00F66B25" w:rsidRPr="00F66B25" w:rsidRDefault="00F66B25" w:rsidP="005C14A5">
      <w:pPr>
        <w:pStyle w:val="Paragrdouble"/>
        <w:numPr>
          <w:ilvl w:val="0"/>
          <w:numId w:val="5"/>
        </w:numPr>
        <w:spacing w:line="240" w:lineRule="auto"/>
        <w:ind w:right="573"/>
        <w:rPr>
          <w:sz w:val="22"/>
          <w:szCs w:val="18"/>
        </w:rPr>
      </w:pPr>
      <w:r w:rsidRPr="00F66B25">
        <w:rPr>
          <w:sz w:val="22"/>
          <w:szCs w:val="18"/>
        </w:rPr>
        <w:t xml:space="preserve">aux dispositions des articles 6, 7, et 8 de la </w:t>
      </w:r>
      <w:r w:rsidRPr="00F04F7A">
        <w:rPr>
          <w:sz w:val="22"/>
          <w:szCs w:val="18"/>
        </w:rPr>
        <w:t>Charte québécoise</w:t>
      </w:r>
      <w:r w:rsidRPr="00F66B25">
        <w:rPr>
          <w:sz w:val="22"/>
          <w:szCs w:val="18"/>
        </w:rPr>
        <w:t xml:space="preserve"> et  à celles des articles 7 et 8 de la </w:t>
      </w:r>
      <w:r w:rsidRPr="00F04F7A">
        <w:rPr>
          <w:sz w:val="22"/>
          <w:szCs w:val="18"/>
        </w:rPr>
        <w:t>Charte canadienne</w:t>
      </w:r>
      <w:r w:rsidRPr="00F66B25">
        <w:rPr>
          <w:sz w:val="22"/>
          <w:szCs w:val="18"/>
        </w:rPr>
        <w:t xml:space="preserve"> relativement à la libre jouissance de la propriété;</w:t>
      </w:r>
    </w:p>
    <w:p w14:paraId="64F0C49A" w14:textId="77777777" w:rsidR="00F66B25" w:rsidRPr="00F66B25" w:rsidRDefault="00F66B25" w:rsidP="005C14A5">
      <w:pPr>
        <w:pStyle w:val="Paragrdouble"/>
        <w:numPr>
          <w:ilvl w:val="0"/>
          <w:numId w:val="5"/>
        </w:numPr>
        <w:spacing w:line="240" w:lineRule="auto"/>
        <w:ind w:right="573"/>
        <w:rPr>
          <w:sz w:val="22"/>
          <w:szCs w:val="18"/>
        </w:rPr>
      </w:pPr>
      <w:r w:rsidRPr="00F66B25">
        <w:rPr>
          <w:sz w:val="22"/>
          <w:szCs w:val="18"/>
        </w:rPr>
        <w:t xml:space="preserve">aux valeurs démocratiques et au bien-être général des citoyens du Québec, prévus à l’article 9.1 de la </w:t>
      </w:r>
      <w:r w:rsidRPr="00F04F7A">
        <w:rPr>
          <w:sz w:val="22"/>
          <w:szCs w:val="18"/>
        </w:rPr>
        <w:t>Charte québécoise</w:t>
      </w:r>
      <w:r w:rsidRPr="00F66B25">
        <w:rPr>
          <w:sz w:val="22"/>
          <w:szCs w:val="18"/>
        </w:rPr>
        <w:t xml:space="preserve">; </w:t>
      </w:r>
    </w:p>
    <w:p w14:paraId="0BD5FA2B" w14:textId="77777777" w:rsidR="00F66B25" w:rsidRPr="00F66B25" w:rsidRDefault="00F66B25" w:rsidP="005C14A5">
      <w:pPr>
        <w:pStyle w:val="Paragrdouble"/>
        <w:numPr>
          <w:ilvl w:val="0"/>
          <w:numId w:val="5"/>
        </w:numPr>
        <w:spacing w:line="240" w:lineRule="auto"/>
        <w:ind w:right="573"/>
        <w:rPr>
          <w:sz w:val="22"/>
          <w:szCs w:val="18"/>
        </w:rPr>
      </w:pPr>
      <w:r w:rsidRPr="00F66B25">
        <w:rPr>
          <w:sz w:val="22"/>
          <w:szCs w:val="18"/>
        </w:rPr>
        <w:t xml:space="preserve">aux dispositions de l’article 52 de la </w:t>
      </w:r>
      <w:r w:rsidRPr="00F04F7A">
        <w:rPr>
          <w:sz w:val="22"/>
          <w:szCs w:val="18"/>
        </w:rPr>
        <w:t>Charte québécoise</w:t>
      </w:r>
      <w:r w:rsidRPr="00F66B25">
        <w:rPr>
          <w:sz w:val="22"/>
          <w:szCs w:val="18"/>
        </w:rPr>
        <w:t>;</w:t>
      </w:r>
    </w:p>
    <w:p w14:paraId="11C03B26" w14:textId="77777777" w:rsidR="00F66B25" w:rsidRPr="00F66B25" w:rsidRDefault="00F66B25" w:rsidP="005C14A5">
      <w:pPr>
        <w:pStyle w:val="Paragrdouble"/>
        <w:numPr>
          <w:ilvl w:val="0"/>
          <w:numId w:val="5"/>
        </w:numPr>
        <w:spacing w:line="240" w:lineRule="auto"/>
        <w:ind w:right="573"/>
        <w:rPr>
          <w:sz w:val="22"/>
          <w:szCs w:val="18"/>
        </w:rPr>
      </w:pPr>
      <w:r w:rsidRPr="00F66B25">
        <w:rPr>
          <w:sz w:val="22"/>
          <w:szCs w:val="18"/>
        </w:rPr>
        <w:t xml:space="preserve">aux dispositions de l’article 1 de la </w:t>
      </w:r>
      <w:r w:rsidRPr="00F04F7A">
        <w:rPr>
          <w:sz w:val="22"/>
          <w:szCs w:val="18"/>
        </w:rPr>
        <w:t>Charte canadienne</w:t>
      </w:r>
      <w:r w:rsidRPr="00F66B25">
        <w:rPr>
          <w:sz w:val="22"/>
          <w:szCs w:val="18"/>
        </w:rPr>
        <w:t xml:space="preserve"> portant sur la raisonnabilité et la justifiabilité de toute restriction envers des droits fondamentaux;</w:t>
      </w:r>
    </w:p>
    <w:p w14:paraId="649947AA" w14:textId="37423EA8" w:rsidR="00F66B25" w:rsidRPr="008428B4" w:rsidRDefault="00F66B25" w:rsidP="005C14A5">
      <w:pPr>
        <w:pStyle w:val="Paragrdouble"/>
        <w:numPr>
          <w:ilvl w:val="0"/>
          <w:numId w:val="5"/>
        </w:numPr>
        <w:spacing w:line="240" w:lineRule="auto"/>
        <w:ind w:right="573"/>
        <w:rPr>
          <w:sz w:val="22"/>
          <w:szCs w:val="18"/>
        </w:rPr>
      </w:pPr>
      <w:r w:rsidRPr="00F66B25">
        <w:rPr>
          <w:sz w:val="22"/>
          <w:szCs w:val="18"/>
        </w:rPr>
        <w:t xml:space="preserve">aux dispositions de l’article 52(1) de la </w:t>
      </w:r>
      <w:r w:rsidRPr="00F04F7A">
        <w:rPr>
          <w:sz w:val="22"/>
          <w:szCs w:val="18"/>
        </w:rPr>
        <w:t>Charte canadienne</w:t>
      </w:r>
      <w:r w:rsidR="00CB5055">
        <w:rPr>
          <w:sz w:val="22"/>
          <w:szCs w:val="18"/>
        </w:rPr>
        <w:t>.</w:t>
      </w:r>
    </w:p>
    <w:p w14:paraId="0ED8B96C" w14:textId="3B2EC44E" w:rsidR="004B6EC2" w:rsidRDefault="00B63B69" w:rsidP="004B6EC2">
      <w:pPr>
        <w:pStyle w:val="Titre4"/>
      </w:pPr>
      <w:bookmarkStart w:id="43" w:name="_Toc124755360"/>
      <w:r>
        <w:t xml:space="preserve">Contestation en regard de l’article 96 de la </w:t>
      </w:r>
      <w:r w:rsidRPr="00B63B69">
        <w:rPr>
          <w:i/>
          <w:iCs/>
        </w:rPr>
        <w:t>Loi constitutionnelle de 1867</w:t>
      </w:r>
      <w:bookmarkEnd w:id="43"/>
    </w:p>
    <w:p w14:paraId="34315855" w14:textId="77777777" w:rsidR="0093673E" w:rsidRDefault="003118E4" w:rsidP="002B2A58">
      <w:pPr>
        <w:pStyle w:val="Paragrdouble"/>
        <w:spacing w:line="240" w:lineRule="auto"/>
      </w:pPr>
      <w:r>
        <w:t>C</w:t>
      </w:r>
      <w:r w:rsidR="007C025D">
        <w:t xml:space="preserve">ette question </w:t>
      </w:r>
      <w:r>
        <w:t xml:space="preserve">a déjà été posée en regard de </w:t>
      </w:r>
      <w:r w:rsidR="004E75CA">
        <w:t xml:space="preserve">la </w:t>
      </w:r>
      <w:r w:rsidR="00813562" w:rsidRPr="5A7F0EA4">
        <w:rPr>
          <w:i/>
          <w:iCs/>
        </w:rPr>
        <w:t>L</w:t>
      </w:r>
      <w:r w:rsidR="004E75CA" w:rsidRPr="5A7F0EA4">
        <w:rPr>
          <w:i/>
          <w:iCs/>
        </w:rPr>
        <w:t>oi concernant le réseau électrique métropolitain</w:t>
      </w:r>
      <w:r w:rsidR="00B5032C" w:rsidRPr="007B2CA0">
        <w:rPr>
          <w:rStyle w:val="Appelnotedebasdep"/>
        </w:rPr>
        <w:footnoteReference w:id="113"/>
      </w:r>
      <w:r w:rsidR="004E75CA">
        <w:t xml:space="preserve"> </w:t>
      </w:r>
      <w:r>
        <w:t xml:space="preserve">qui </w:t>
      </w:r>
      <w:r w:rsidR="004E75CA">
        <w:t>prévoit à son article 8</w:t>
      </w:r>
      <w:r w:rsidR="002E0247">
        <w:t xml:space="preserve"> un</w:t>
      </w:r>
      <w:r w:rsidR="004E75CA">
        <w:t xml:space="preserve"> mécanisme similaire</w:t>
      </w:r>
      <w:r w:rsidR="0093673E">
        <w:t>.</w:t>
      </w:r>
    </w:p>
    <w:p w14:paraId="7BB0736A" w14:textId="29C0B493" w:rsidR="0093673E" w:rsidRDefault="0093673E" w:rsidP="0093673E">
      <w:pPr>
        <w:pStyle w:val="Paragrdouble"/>
        <w:spacing w:line="240" w:lineRule="auto"/>
      </w:pPr>
      <w:r>
        <w:t>D</w:t>
      </w:r>
      <w:r w:rsidR="004E75CA">
        <w:t>ans une décision</w:t>
      </w:r>
      <w:r w:rsidR="00884AAE">
        <w:t xml:space="preserve"> de notre Cour de 2018</w:t>
      </w:r>
      <w:r w:rsidR="0022205E">
        <w:rPr>
          <w:rStyle w:val="Appelnotedebasdep"/>
        </w:rPr>
        <w:footnoteReference w:id="114"/>
      </w:r>
      <w:r w:rsidR="00884AAE">
        <w:t>, cet argument avait été rejeté</w:t>
      </w:r>
      <w:r>
        <w:t xml:space="preserve"> en ces termes </w:t>
      </w:r>
      <w:r w:rsidR="00FA68F4">
        <w:t xml:space="preserve">par monsieur le juge Michel Yergeau </w:t>
      </w:r>
      <w:r>
        <w:t>:</w:t>
      </w:r>
    </w:p>
    <w:p w14:paraId="5CC5E700" w14:textId="77777777" w:rsidR="004A10E2" w:rsidRPr="004A10E2" w:rsidRDefault="004A10E2" w:rsidP="00404FC7">
      <w:pPr>
        <w:spacing w:before="120" w:after="120" w:line="280" w:lineRule="atLeast"/>
        <w:ind w:left="1428" w:right="752"/>
        <w:jc w:val="both"/>
        <w:rPr>
          <w:sz w:val="22"/>
          <w:szCs w:val="18"/>
          <w:lang w:val="fr-FR" w:eastAsia="fr-CA"/>
        </w:rPr>
      </w:pPr>
      <w:r w:rsidRPr="00950A88">
        <w:rPr>
          <w:b/>
          <w:bCs/>
          <w:sz w:val="22"/>
          <w:szCs w:val="18"/>
          <w:lang w:val="fr-FR" w:eastAsia="fr-CA"/>
        </w:rPr>
        <w:t>4.10</w:t>
      </w:r>
      <w:r w:rsidRPr="00950A88">
        <w:rPr>
          <w:rFonts w:cs="Arial"/>
          <w:b/>
          <w:bCs/>
          <w:sz w:val="22"/>
          <w:szCs w:val="18"/>
          <w:lang w:val="fr-FR" w:eastAsia="fr-CA"/>
        </w:rPr>
        <w:t>.</w:t>
      </w:r>
      <w:r w:rsidRPr="00404FC7">
        <w:rPr>
          <w:rFonts w:cs="Arial"/>
          <w:b/>
          <w:bCs/>
          <w:sz w:val="22"/>
          <w:szCs w:val="18"/>
          <w:lang w:val="fr-FR" w:eastAsia="fr-CA"/>
        </w:rPr>
        <w:t xml:space="preserve">     Conclusion sur le pourvoi en contrôle judiciaire</w:t>
      </w:r>
    </w:p>
    <w:p w14:paraId="2F3BDFBD" w14:textId="77777777" w:rsidR="004A10E2" w:rsidRPr="004A10E2" w:rsidRDefault="004A10E2" w:rsidP="00404FC7">
      <w:pPr>
        <w:spacing w:before="120" w:after="120" w:line="280" w:lineRule="atLeast"/>
        <w:ind w:left="1428" w:right="752"/>
        <w:jc w:val="both"/>
        <w:rPr>
          <w:sz w:val="22"/>
          <w:szCs w:val="18"/>
          <w:lang w:val="fr-FR" w:eastAsia="fr-CA"/>
        </w:rPr>
      </w:pPr>
      <w:r w:rsidRPr="004A10E2">
        <w:rPr>
          <w:sz w:val="22"/>
          <w:szCs w:val="18"/>
          <w:lang w:val="fr-FR" w:eastAsia="fr-CA"/>
        </w:rPr>
        <w:t xml:space="preserve">[112]    Réduite à sa plus simple expression, la proposition de Canada inc. est que a) l’article 8 </w:t>
      </w:r>
      <w:r w:rsidRPr="004A10E2">
        <w:rPr>
          <w:i/>
          <w:iCs/>
          <w:sz w:val="22"/>
          <w:szCs w:val="18"/>
          <w:lang w:val="fr-FR" w:eastAsia="fr-CA"/>
        </w:rPr>
        <w:t>LCREM</w:t>
      </w:r>
      <w:r w:rsidRPr="004A10E2">
        <w:rPr>
          <w:sz w:val="22"/>
          <w:szCs w:val="18"/>
          <w:lang w:val="fr-FR" w:eastAsia="fr-CA"/>
        </w:rPr>
        <w:t xml:space="preserve"> soustrait la décision d’exproprier le lot 158 au pouvoir de surveillance et de contrôle de la Cour supérieure et </w:t>
      </w:r>
      <w:r w:rsidRPr="00404FC7">
        <w:rPr>
          <w:rFonts w:cs="Arial"/>
          <w:sz w:val="22"/>
          <w:szCs w:val="18"/>
          <w:lang w:val="fr-FR" w:eastAsia="fr-CA"/>
        </w:rPr>
        <w:t>que</w:t>
      </w:r>
      <w:r w:rsidRPr="004A10E2">
        <w:rPr>
          <w:sz w:val="22"/>
          <w:szCs w:val="18"/>
          <w:lang w:val="fr-FR" w:eastAsia="fr-CA"/>
        </w:rPr>
        <w:t xml:space="preserve"> ce faisant b) il transforme le ministre des Transports en Cour supérieure au sens de l’article 96 de la Constitution.</w:t>
      </w:r>
    </w:p>
    <w:p w14:paraId="61974806" w14:textId="52D2DC9D" w:rsidR="0093673E" w:rsidRPr="00AC0F84" w:rsidRDefault="004A10E2" w:rsidP="00AC0F84">
      <w:pPr>
        <w:spacing w:before="120" w:after="120" w:line="280" w:lineRule="atLeast"/>
        <w:ind w:left="1428" w:right="752"/>
        <w:jc w:val="both"/>
        <w:rPr>
          <w:sz w:val="22"/>
          <w:szCs w:val="18"/>
          <w:lang w:val="fr-FR" w:eastAsia="fr-CA"/>
        </w:rPr>
      </w:pPr>
      <w:r w:rsidRPr="004A10E2">
        <w:rPr>
          <w:sz w:val="22"/>
          <w:szCs w:val="18"/>
          <w:lang w:val="fr-FR" w:eastAsia="fr-CA"/>
        </w:rPr>
        <w:t xml:space="preserve">[113]    En appliquant les critères de rejet et d’irrecevabilité précédemment exposés, cette proposition, dérivée d’une lecture orientée de la loi, se révèle sans fondement et n’a aucune chance de succès. Le texte de l’article 8 ne crée pas, en conjonction avec l’article 5 </w:t>
      </w:r>
      <w:r w:rsidRPr="004A10E2">
        <w:rPr>
          <w:i/>
          <w:iCs/>
          <w:sz w:val="22"/>
          <w:szCs w:val="18"/>
          <w:lang w:val="fr-FR" w:eastAsia="fr-CA"/>
        </w:rPr>
        <w:t>LCREM</w:t>
      </w:r>
      <w:r w:rsidRPr="004A10E2">
        <w:rPr>
          <w:sz w:val="22"/>
          <w:szCs w:val="18"/>
          <w:lang w:val="fr-FR" w:eastAsia="fr-CA"/>
        </w:rPr>
        <w:t xml:space="preserve">, une clause privative absolue ayant la portée de celle faisant l’objet de l’arrêt </w:t>
      </w:r>
      <w:r w:rsidRPr="004A10E2">
        <w:rPr>
          <w:i/>
          <w:iCs/>
          <w:sz w:val="22"/>
          <w:szCs w:val="18"/>
          <w:lang w:val="fr-FR" w:eastAsia="fr-CA"/>
        </w:rPr>
        <w:t>Crevier</w:t>
      </w:r>
      <w:r w:rsidRPr="004A10E2">
        <w:rPr>
          <w:sz w:val="22"/>
          <w:szCs w:val="18"/>
          <w:lang w:val="fr-FR" w:eastAsia="fr-CA"/>
        </w:rPr>
        <w:t xml:space="preserve"> de la Cour suprême. La législature peut modifier en tout temps la </w:t>
      </w:r>
      <w:r w:rsidRPr="004A10E2">
        <w:rPr>
          <w:i/>
          <w:iCs/>
          <w:sz w:val="22"/>
          <w:szCs w:val="18"/>
          <w:lang w:val="fr-FR" w:eastAsia="fr-CA"/>
        </w:rPr>
        <w:t xml:space="preserve">Loi sur l’expropriation </w:t>
      </w:r>
      <w:r w:rsidRPr="004A10E2">
        <w:rPr>
          <w:sz w:val="22"/>
          <w:szCs w:val="18"/>
          <w:lang w:val="fr-FR" w:eastAsia="fr-CA"/>
        </w:rPr>
        <w:t xml:space="preserve">et rendre certaines de ses dispositions inapplicables dans certaines circonstances. Retirer à l’exproprié le moyen statutaire de contester le droit de l’expropriant à l’expropriation en vertu de l’article 44 </w:t>
      </w:r>
      <w:r w:rsidRPr="004A10E2">
        <w:rPr>
          <w:i/>
          <w:iCs/>
          <w:sz w:val="22"/>
          <w:szCs w:val="18"/>
          <w:lang w:val="fr-FR" w:eastAsia="fr-CA"/>
        </w:rPr>
        <w:t>LE</w:t>
      </w:r>
      <w:r w:rsidRPr="004A10E2">
        <w:rPr>
          <w:sz w:val="22"/>
          <w:szCs w:val="18"/>
          <w:lang w:val="fr-FR" w:eastAsia="fr-CA"/>
        </w:rPr>
        <w:t xml:space="preserve"> ne peut pas en droit être confondu avec l’abolition du droit de se pourvoir en contrôle judiciaire.</w:t>
      </w:r>
    </w:p>
    <w:p w14:paraId="3EE927F8" w14:textId="2BCCE1ED" w:rsidR="00DF25E4" w:rsidRPr="0059119E" w:rsidRDefault="00DF25E4" w:rsidP="00B80049">
      <w:pPr>
        <w:pStyle w:val="Paragraphe"/>
        <w:numPr>
          <w:ilvl w:val="0"/>
          <w:numId w:val="1"/>
        </w:numPr>
        <w:tabs>
          <w:tab w:val="clear" w:pos="360"/>
          <w:tab w:val="left" w:pos="709"/>
        </w:tabs>
        <w:spacing w:before="240" w:line="240" w:lineRule="auto"/>
        <w:rPr>
          <w:rFonts w:cs="Arial"/>
        </w:rPr>
      </w:pPr>
      <w:r w:rsidRPr="0059119E">
        <w:rPr>
          <w:rFonts w:cs="Arial"/>
        </w:rPr>
        <w:t xml:space="preserve">À la lumière du </w:t>
      </w:r>
      <w:bookmarkStart w:id="45" w:name="_Hlk123214076"/>
      <w:r w:rsidRPr="5A7F0EA4">
        <w:rPr>
          <w:rFonts w:cs="Arial"/>
          <w:i/>
          <w:iCs/>
        </w:rPr>
        <w:t>Renvoi relatif au Code de procédure civile (Qc), art. 35</w:t>
      </w:r>
      <w:bookmarkEnd w:id="45"/>
      <w:r w:rsidRPr="007B2CA0">
        <w:rPr>
          <w:rStyle w:val="Appelnotedebasdep"/>
          <w:rFonts w:cs="Arial"/>
        </w:rPr>
        <w:footnoteReference w:id="115"/>
      </w:r>
      <w:r w:rsidRPr="5A7F0EA4">
        <w:rPr>
          <w:rFonts w:cs="Arial"/>
          <w:i/>
          <w:iCs/>
        </w:rPr>
        <w:t xml:space="preserve"> </w:t>
      </w:r>
      <w:r w:rsidR="00B80049">
        <w:rPr>
          <w:rFonts w:cs="Arial"/>
        </w:rPr>
        <w:t>(</w:t>
      </w:r>
      <w:r w:rsidR="00B80049" w:rsidRPr="5A7F0EA4">
        <w:rPr>
          <w:rFonts w:cs="Arial"/>
          <w:i/>
          <w:iCs/>
        </w:rPr>
        <w:t>Renvoi</w:t>
      </w:r>
      <w:r w:rsidR="001037B5" w:rsidRPr="001037B5">
        <w:rPr>
          <w:rFonts w:cs="Arial"/>
        </w:rPr>
        <w:t>)</w:t>
      </w:r>
      <w:r w:rsidR="001037B5" w:rsidRPr="5A7F0EA4">
        <w:rPr>
          <w:rFonts w:cs="Arial"/>
          <w:i/>
          <w:iCs/>
        </w:rPr>
        <w:t xml:space="preserve"> </w:t>
      </w:r>
      <w:r w:rsidRPr="0059119E">
        <w:rPr>
          <w:rFonts w:cs="Arial"/>
        </w:rPr>
        <w:t>rendu par la Cour suprême le 30 juin 2021, les demandeurs prétendent que le jugement rendu par la Cour supérieure trois ans plus tôt n’aurait pas été le même. Les demandeurs sont d’avis que la Cour supérieure possède deux compétences distinctes: une juridiction matérielle et le pouvoir de contrôle et surveillance. D’après eux, Monsieur le juge Yergeau ne s’est pas prononcé sur le fait qu’une pareille disposition irait à l’encontre de la juridiction matérielle de la Cour.</w:t>
      </w:r>
    </w:p>
    <w:p w14:paraId="05FCF1EB" w14:textId="737FCCD4" w:rsidR="004342C6" w:rsidRDefault="00847B2C" w:rsidP="00C1118B">
      <w:pPr>
        <w:pStyle w:val="Paragraphe"/>
        <w:numPr>
          <w:ilvl w:val="0"/>
          <w:numId w:val="1"/>
        </w:numPr>
        <w:tabs>
          <w:tab w:val="clear" w:pos="360"/>
          <w:tab w:val="left" w:pos="709"/>
        </w:tabs>
        <w:spacing w:line="240" w:lineRule="auto"/>
        <w:rPr>
          <w:rFonts w:cs="Arial"/>
        </w:rPr>
      </w:pPr>
      <w:r>
        <w:rPr>
          <w:rFonts w:cs="Arial"/>
        </w:rPr>
        <w:t>En réponse à cet argument, l</w:t>
      </w:r>
      <w:r w:rsidR="00C1118B" w:rsidRPr="0059119E">
        <w:rPr>
          <w:rFonts w:cs="Arial"/>
        </w:rPr>
        <w:t xml:space="preserve">e </w:t>
      </w:r>
      <w:r>
        <w:rPr>
          <w:rFonts w:cs="Arial"/>
        </w:rPr>
        <w:t xml:space="preserve">PGQ </w:t>
      </w:r>
      <w:r w:rsidR="00C047BA">
        <w:rPr>
          <w:rFonts w:cs="Arial"/>
        </w:rPr>
        <w:t>est d’avis que</w:t>
      </w:r>
      <w:r w:rsidR="00C1118B" w:rsidRPr="0059119E">
        <w:rPr>
          <w:rFonts w:cs="Arial"/>
        </w:rPr>
        <w:t xml:space="preserve"> « [l]’objectif de cette disposition est notamment d’éviter la suspension des procédures d’expropriation prévues à l’article 44 al. 2 de la </w:t>
      </w:r>
      <w:r w:rsidR="00C1118B" w:rsidRPr="5A7F0EA4">
        <w:rPr>
          <w:rFonts w:cs="Arial"/>
          <w:i/>
          <w:iCs/>
        </w:rPr>
        <w:t>Loi sur l’expropriation</w:t>
      </w:r>
      <w:r w:rsidR="00C1118B" w:rsidRPr="0059119E">
        <w:rPr>
          <w:rFonts w:cs="Arial"/>
        </w:rPr>
        <w:t xml:space="preserve"> »</w:t>
      </w:r>
      <w:r w:rsidR="0068260E">
        <w:rPr>
          <w:rStyle w:val="Appelnotedebasdep"/>
          <w:rFonts w:cs="Arial"/>
        </w:rPr>
        <w:footnoteReference w:id="116"/>
      </w:r>
      <w:r w:rsidR="00AE6646">
        <w:rPr>
          <w:rFonts w:cs="Arial"/>
        </w:rPr>
        <w:t xml:space="preserve">. </w:t>
      </w:r>
      <w:r w:rsidR="00096310">
        <w:rPr>
          <w:rFonts w:cs="Arial"/>
        </w:rPr>
        <w:t>Cette disposition ne retire</w:t>
      </w:r>
      <w:r w:rsidR="00CB2540">
        <w:rPr>
          <w:rFonts w:cs="Arial"/>
        </w:rPr>
        <w:t>rait</w:t>
      </w:r>
      <w:r w:rsidR="00096310">
        <w:rPr>
          <w:rFonts w:cs="Arial"/>
        </w:rPr>
        <w:t xml:space="preserve"> aucun pouvoir à la Cour supérieure.</w:t>
      </w:r>
    </w:p>
    <w:p w14:paraId="622B6798" w14:textId="6948D5D7" w:rsidR="00820356" w:rsidRDefault="00820356" w:rsidP="00C1118B">
      <w:pPr>
        <w:pStyle w:val="Paragraphe"/>
        <w:numPr>
          <w:ilvl w:val="0"/>
          <w:numId w:val="1"/>
        </w:numPr>
        <w:tabs>
          <w:tab w:val="clear" w:pos="360"/>
          <w:tab w:val="left" w:pos="709"/>
        </w:tabs>
        <w:spacing w:line="240" w:lineRule="auto"/>
        <w:rPr>
          <w:rFonts w:cs="Arial"/>
        </w:rPr>
      </w:pPr>
      <w:r w:rsidRPr="5A7F0EA4">
        <w:rPr>
          <w:rFonts w:cs="Arial"/>
        </w:rPr>
        <w:t>Voyons ce qu’il en est.</w:t>
      </w:r>
    </w:p>
    <w:p w14:paraId="212D63F6" w14:textId="508C47AF" w:rsidR="001944FE" w:rsidRDefault="003677A1" w:rsidP="00C1118B">
      <w:pPr>
        <w:pStyle w:val="Paragraphe"/>
        <w:numPr>
          <w:ilvl w:val="0"/>
          <w:numId w:val="1"/>
        </w:numPr>
        <w:tabs>
          <w:tab w:val="clear" w:pos="360"/>
          <w:tab w:val="left" w:pos="709"/>
        </w:tabs>
        <w:spacing w:line="240" w:lineRule="auto"/>
        <w:rPr>
          <w:rFonts w:cs="Arial"/>
        </w:rPr>
      </w:pPr>
      <w:r>
        <w:rPr>
          <w:rFonts w:cs="Arial"/>
        </w:rPr>
        <w:t>D’abord, re</w:t>
      </w:r>
      <w:r w:rsidR="00D85EF4">
        <w:rPr>
          <w:rFonts w:cs="Arial"/>
        </w:rPr>
        <w:t xml:space="preserve">cadrons le rôle joué par </w:t>
      </w:r>
      <w:r w:rsidR="00AE6646">
        <w:rPr>
          <w:rFonts w:cs="Arial"/>
        </w:rPr>
        <w:t>la</w:t>
      </w:r>
      <w:r w:rsidR="004342C6">
        <w:rPr>
          <w:rFonts w:cs="Arial"/>
        </w:rPr>
        <w:t xml:space="preserve"> </w:t>
      </w:r>
      <w:r w:rsidR="004342C6" w:rsidRPr="5A7F0EA4">
        <w:rPr>
          <w:rFonts w:cs="Arial"/>
          <w:i/>
          <w:iCs/>
        </w:rPr>
        <w:t>Loi sur l’expropriation</w:t>
      </w:r>
      <w:r w:rsidR="00845C68" w:rsidRPr="007B2CA0">
        <w:rPr>
          <w:rStyle w:val="Appelnotedebasdep"/>
          <w:rFonts w:cs="Arial"/>
        </w:rPr>
        <w:footnoteReference w:id="117"/>
      </w:r>
      <w:r w:rsidR="001944FE" w:rsidRPr="5A7F0EA4">
        <w:rPr>
          <w:rFonts w:cs="Arial"/>
          <w:i/>
          <w:iCs/>
        </w:rPr>
        <w:t>.</w:t>
      </w:r>
      <w:r w:rsidR="00AE6646">
        <w:rPr>
          <w:rFonts w:cs="Arial"/>
        </w:rPr>
        <w:t xml:space="preserve"> </w:t>
      </w:r>
      <w:r w:rsidR="00814202">
        <w:rPr>
          <w:rFonts w:cs="Arial"/>
        </w:rPr>
        <w:t>Il s’agit d’abord et avant tout</w:t>
      </w:r>
      <w:r w:rsidR="008D7305">
        <w:rPr>
          <w:rFonts w:cs="Arial"/>
        </w:rPr>
        <w:t xml:space="preserve"> d’une loi procédurale</w:t>
      </w:r>
      <w:r w:rsidR="00176443">
        <w:rPr>
          <w:rStyle w:val="Appelnotedebasdep"/>
          <w:rFonts w:cs="Arial"/>
        </w:rPr>
        <w:footnoteReference w:id="118"/>
      </w:r>
      <w:r w:rsidR="008D7305">
        <w:rPr>
          <w:rFonts w:cs="Arial"/>
        </w:rPr>
        <w:t xml:space="preserve"> qui encadre les expropriations</w:t>
      </w:r>
      <w:r w:rsidR="004837BF">
        <w:rPr>
          <w:rFonts w:cs="Arial"/>
        </w:rPr>
        <w:t xml:space="preserve"> </w:t>
      </w:r>
      <w:r w:rsidR="006111EB">
        <w:rPr>
          <w:rFonts w:cs="Arial"/>
        </w:rPr>
        <w:t>« permises par les lois du Québec »</w:t>
      </w:r>
      <w:r w:rsidR="006111EB">
        <w:rPr>
          <w:rStyle w:val="Appelnotedebasdep"/>
          <w:rFonts w:cs="Arial"/>
        </w:rPr>
        <w:footnoteReference w:id="119"/>
      </w:r>
      <w:r w:rsidR="008D7305">
        <w:rPr>
          <w:rFonts w:cs="Arial"/>
        </w:rPr>
        <w:t>.</w:t>
      </w:r>
      <w:r w:rsidR="00CC3AAD">
        <w:rPr>
          <w:rFonts w:cs="Arial"/>
        </w:rPr>
        <w:t xml:space="preserve"> </w:t>
      </w:r>
      <w:r w:rsidR="00897E2C">
        <w:rPr>
          <w:rFonts w:cs="Arial"/>
        </w:rPr>
        <w:t>Les demandeurs ne remettent pas en cause les dispositions de cette loi qui prévoit</w:t>
      </w:r>
      <w:r w:rsidR="009D3B63">
        <w:rPr>
          <w:rFonts w:cs="Arial"/>
        </w:rPr>
        <w:t xml:space="preserve"> que le Tribunal administratif du Québec a juridiction</w:t>
      </w:r>
      <w:r w:rsidR="00FD5A37">
        <w:rPr>
          <w:rFonts w:cs="Arial"/>
        </w:rPr>
        <w:t xml:space="preserve"> pour encadrer</w:t>
      </w:r>
      <w:r w:rsidR="00B06DA6">
        <w:rPr>
          <w:rFonts w:cs="Arial"/>
        </w:rPr>
        <w:t xml:space="preserve"> le différend relatif à l’indemnisation découlant du pouvoir des autorités publiques d’exproprier.</w:t>
      </w:r>
    </w:p>
    <w:p w14:paraId="7796E0E0" w14:textId="6FA07E8F" w:rsidR="003656B9" w:rsidRDefault="00E5731C" w:rsidP="00C1118B">
      <w:pPr>
        <w:pStyle w:val="Paragraphe"/>
        <w:numPr>
          <w:ilvl w:val="0"/>
          <w:numId w:val="1"/>
        </w:numPr>
        <w:tabs>
          <w:tab w:val="clear" w:pos="360"/>
          <w:tab w:val="left" w:pos="709"/>
        </w:tabs>
        <w:spacing w:line="240" w:lineRule="auto"/>
        <w:rPr>
          <w:rFonts w:cs="Arial"/>
        </w:rPr>
      </w:pPr>
      <w:r>
        <w:rPr>
          <w:rFonts w:cs="Arial"/>
        </w:rPr>
        <w:t>Intervien</w:t>
      </w:r>
      <w:r w:rsidR="00F93766">
        <w:rPr>
          <w:rFonts w:cs="Arial"/>
        </w:rPr>
        <w:t>nen</w:t>
      </w:r>
      <w:r>
        <w:rPr>
          <w:rFonts w:cs="Arial"/>
        </w:rPr>
        <w:t>t alors l</w:t>
      </w:r>
      <w:r w:rsidR="009A749E">
        <w:rPr>
          <w:rFonts w:cs="Arial"/>
        </w:rPr>
        <w:t xml:space="preserve">es </w:t>
      </w:r>
      <w:r>
        <w:rPr>
          <w:rFonts w:cs="Arial"/>
        </w:rPr>
        <w:t>article</w:t>
      </w:r>
      <w:r w:rsidR="009A749E">
        <w:rPr>
          <w:rFonts w:cs="Arial"/>
        </w:rPr>
        <w:t>s</w:t>
      </w:r>
      <w:r>
        <w:rPr>
          <w:rFonts w:cs="Arial"/>
        </w:rPr>
        <w:t xml:space="preserve"> 44</w:t>
      </w:r>
      <w:r w:rsidR="009A749E">
        <w:rPr>
          <w:rFonts w:cs="Arial"/>
        </w:rPr>
        <w:t xml:space="preserve"> et suivants</w:t>
      </w:r>
      <w:r>
        <w:rPr>
          <w:rFonts w:cs="Arial"/>
        </w:rPr>
        <w:t xml:space="preserve"> qui prévoi</w:t>
      </w:r>
      <w:r w:rsidR="009A749E">
        <w:rPr>
          <w:rFonts w:cs="Arial"/>
        </w:rPr>
        <w:t>en</w:t>
      </w:r>
      <w:r>
        <w:rPr>
          <w:rFonts w:cs="Arial"/>
        </w:rPr>
        <w:t>t qu’un exproprié peut contester le droit de l’expropriant à l’expropriation au moyen d’une demande adressée à la Cour supérieure.</w:t>
      </w:r>
      <w:r w:rsidR="00DB2214">
        <w:rPr>
          <w:rFonts w:cs="Arial"/>
        </w:rPr>
        <w:t xml:space="preserve"> Cette contestation suspend en principe les procédures d’expropriation</w:t>
      </w:r>
      <w:r w:rsidR="0089153B">
        <w:rPr>
          <w:rStyle w:val="Appelnotedebasdep"/>
          <w:rFonts w:cs="Arial"/>
        </w:rPr>
        <w:footnoteReference w:id="120"/>
      </w:r>
      <w:r w:rsidR="00DB2214">
        <w:rPr>
          <w:rFonts w:cs="Arial"/>
        </w:rPr>
        <w:t>.</w:t>
      </w:r>
      <w:r w:rsidR="00A03A41">
        <w:rPr>
          <w:rFonts w:cs="Arial"/>
        </w:rPr>
        <w:t xml:space="preserve"> Ce sont ces articles qui, par le truchement</w:t>
      </w:r>
      <w:r w:rsidR="00705897">
        <w:rPr>
          <w:rFonts w:cs="Arial"/>
        </w:rPr>
        <w:t xml:space="preserve"> de l’article 7 LRSVQ,</w:t>
      </w:r>
      <w:r w:rsidR="00FA366B">
        <w:rPr>
          <w:rFonts w:cs="Arial"/>
        </w:rPr>
        <w:t xml:space="preserve"> ne bénéficie</w:t>
      </w:r>
      <w:r w:rsidR="003521F1">
        <w:rPr>
          <w:rFonts w:cs="Arial"/>
        </w:rPr>
        <w:t>nt</w:t>
      </w:r>
      <w:r w:rsidR="00FA366B">
        <w:rPr>
          <w:rFonts w:cs="Arial"/>
        </w:rPr>
        <w:t xml:space="preserve"> plus aux expropriés.</w:t>
      </w:r>
      <w:r w:rsidR="00100FB3">
        <w:rPr>
          <w:rFonts w:cs="Arial"/>
        </w:rPr>
        <w:t xml:space="preserve"> Les demandeurs concluent que le</w:t>
      </w:r>
      <w:r w:rsidR="00CA4802">
        <w:rPr>
          <w:rFonts w:cs="Arial"/>
        </w:rPr>
        <w:t>ur droit de pouvoir s’adresser à</w:t>
      </w:r>
      <w:r w:rsidR="00100FB3">
        <w:rPr>
          <w:rFonts w:cs="Arial"/>
        </w:rPr>
        <w:t xml:space="preserve"> la Cour supérieure </w:t>
      </w:r>
      <w:r w:rsidR="0016636B">
        <w:rPr>
          <w:rFonts w:cs="Arial"/>
        </w:rPr>
        <w:t>est inconstitutionnellement affecté.</w:t>
      </w:r>
    </w:p>
    <w:p w14:paraId="7630A579" w14:textId="635475F4" w:rsidR="00AB4303" w:rsidRDefault="00885B18" w:rsidP="00C1118B">
      <w:pPr>
        <w:pStyle w:val="Paragraphe"/>
        <w:numPr>
          <w:ilvl w:val="0"/>
          <w:numId w:val="1"/>
        </w:numPr>
        <w:tabs>
          <w:tab w:val="clear" w:pos="360"/>
          <w:tab w:val="left" w:pos="709"/>
        </w:tabs>
        <w:spacing w:line="240" w:lineRule="auto"/>
        <w:rPr>
          <w:rFonts w:cs="Arial"/>
        </w:rPr>
      </w:pPr>
      <w:r w:rsidRPr="5A7F0EA4">
        <w:rPr>
          <w:rFonts w:cs="Arial"/>
        </w:rPr>
        <w:t>Le Tribunal partage la lecture que fait Monsieur le juge Yergeau qui réaffirme que le pouvoir de contrôle judiciaire n’est aucunement affecté</w:t>
      </w:r>
      <w:r w:rsidR="00AB4303" w:rsidRPr="5A7F0EA4">
        <w:rPr>
          <w:rFonts w:cs="Arial"/>
        </w:rPr>
        <w:t xml:space="preserve"> par une semblable disposition :</w:t>
      </w:r>
    </w:p>
    <w:p w14:paraId="383C59F5" w14:textId="77777777" w:rsidR="00F64845" w:rsidRPr="00FE2432" w:rsidRDefault="00F64845" w:rsidP="00F64845">
      <w:pPr>
        <w:spacing w:before="120" w:after="120" w:line="280" w:lineRule="atLeast"/>
        <w:ind w:left="1428" w:right="752"/>
        <w:jc w:val="both"/>
        <w:rPr>
          <w:sz w:val="22"/>
          <w:szCs w:val="18"/>
          <w:lang w:eastAsia="fr-CA"/>
        </w:rPr>
      </w:pPr>
      <w:r w:rsidRPr="00FE2432">
        <w:rPr>
          <w:sz w:val="22"/>
          <w:szCs w:val="18"/>
          <w:lang w:eastAsia="fr-CA"/>
        </w:rPr>
        <w:t>[89]</w:t>
      </w:r>
      <w:r w:rsidRPr="00FE2432">
        <w:rPr>
          <w:rFonts w:ascii="Times New Roman" w:hAnsi="Times New Roman"/>
          <w:sz w:val="12"/>
          <w:szCs w:val="12"/>
          <w:lang w:eastAsia="fr-CA"/>
        </w:rPr>
        <w:t xml:space="preserve">       </w:t>
      </w:r>
      <w:r w:rsidRPr="00FE2432">
        <w:rPr>
          <w:sz w:val="22"/>
          <w:szCs w:val="18"/>
          <w:lang w:eastAsia="fr-CA"/>
        </w:rPr>
        <w:t xml:space="preserve">Cela dit, rien n’autorise le Tribunal à voir dans le retrait du moyen statutaire énoncé à l’article 44 </w:t>
      </w:r>
      <w:r w:rsidRPr="00FE2432">
        <w:rPr>
          <w:i/>
          <w:iCs/>
          <w:sz w:val="22"/>
          <w:szCs w:val="18"/>
          <w:lang w:eastAsia="fr-CA"/>
        </w:rPr>
        <w:t>LE</w:t>
      </w:r>
      <w:r w:rsidRPr="00FE2432">
        <w:rPr>
          <w:sz w:val="22"/>
          <w:szCs w:val="18"/>
          <w:lang w:eastAsia="fr-CA"/>
        </w:rPr>
        <w:t xml:space="preserve"> à des fins spécifiques une clause privative absolue dépouillant l’exproprié de son droit de se pourvoir malgré tout en contrôle judiciaire de la décision du ministre des Transports en vertu du pouvoir général prévu à l’article 34, al. 1 C.p.c. </w:t>
      </w:r>
    </w:p>
    <w:p w14:paraId="7E53D0B6" w14:textId="77777777" w:rsidR="00F64845" w:rsidRPr="00FE2432" w:rsidRDefault="00F64845" w:rsidP="00F64845">
      <w:pPr>
        <w:spacing w:before="120" w:after="120" w:line="280" w:lineRule="atLeast"/>
        <w:ind w:left="1428" w:right="752"/>
        <w:jc w:val="both"/>
        <w:rPr>
          <w:sz w:val="22"/>
          <w:szCs w:val="18"/>
          <w:lang w:eastAsia="fr-CA"/>
        </w:rPr>
      </w:pPr>
      <w:r w:rsidRPr="00FE2432">
        <w:rPr>
          <w:sz w:val="22"/>
          <w:szCs w:val="18"/>
          <w:lang w:eastAsia="fr-CA"/>
        </w:rPr>
        <w:t>[90]</w:t>
      </w:r>
      <w:r w:rsidRPr="00FE2432">
        <w:rPr>
          <w:rFonts w:ascii="Times New Roman" w:hAnsi="Times New Roman"/>
          <w:sz w:val="12"/>
          <w:szCs w:val="12"/>
          <w:lang w:eastAsia="fr-CA"/>
        </w:rPr>
        <w:t xml:space="preserve">       </w:t>
      </w:r>
      <w:r w:rsidRPr="00FE2432">
        <w:rPr>
          <w:sz w:val="22"/>
          <w:szCs w:val="18"/>
          <w:lang w:eastAsia="fr-CA"/>
        </w:rPr>
        <w:t>Le moyen procédural prévu à l’article 44 ne peut pas être tenu pour un avatar du pouvoir de contrôle judiciaire : supprimer le recours à celui-là n’abroge pas celui-ci. Il s’agit de deux moyens distincts par nature, un statutaire, direct et spécifique, l’autre général, inhérent aux pouvoirs de la Cour supérieure et de surcroît, constitutionnalisé. Entre deux interprétations possibles, il faut choisir celle qui évite l’invalidité :</w:t>
      </w:r>
    </w:p>
    <w:p w14:paraId="707AD112" w14:textId="6F70170D" w:rsidR="00F64845" w:rsidRPr="00FE2432" w:rsidRDefault="00F64845" w:rsidP="00FE2432">
      <w:pPr>
        <w:spacing w:before="120" w:after="120" w:line="280" w:lineRule="atLeast"/>
        <w:ind w:left="2193" w:right="752"/>
        <w:jc w:val="both"/>
        <w:rPr>
          <w:sz w:val="22"/>
          <w:szCs w:val="18"/>
          <w:lang w:eastAsia="fr-CA"/>
        </w:rPr>
      </w:pPr>
      <w:r w:rsidRPr="00FE2432">
        <w:rPr>
          <w:sz w:val="22"/>
          <w:szCs w:val="18"/>
          <w:lang w:eastAsia="fr-CA"/>
        </w:rPr>
        <w:t>[…] il faut interpréter les textes comme si la législature du Québec ne légifère pas contrairement à la constitution.</w:t>
      </w:r>
      <w:r w:rsidR="00855C83" w:rsidRPr="00FE2432">
        <w:rPr>
          <w:sz w:val="22"/>
          <w:szCs w:val="18"/>
          <w:lang w:eastAsia="fr-CA"/>
        </w:rPr>
        <w:t xml:space="preserve"> </w:t>
      </w:r>
    </w:p>
    <w:p w14:paraId="75E29C8F" w14:textId="06FA1F3C" w:rsidR="0016636B" w:rsidRDefault="00F64845" w:rsidP="00F64845">
      <w:pPr>
        <w:spacing w:before="120" w:after="120" w:line="280" w:lineRule="atLeast"/>
        <w:ind w:left="1428" w:right="752"/>
        <w:jc w:val="both"/>
        <w:rPr>
          <w:sz w:val="22"/>
          <w:szCs w:val="18"/>
          <w:lang w:eastAsia="fr-CA"/>
        </w:rPr>
      </w:pPr>
      <w:r w:rsidRPr="00FE2432">
        <w:rPr>
          <w:sz w:val="22"/>
          <w:szCs w:val="18"/>
          <w:lang w:eastAsia="fr-CA"/>
        </w:rPr>
        <w:t>[91]</w:t>
      </w:r>
      <w:r w:rsidRPr="00FE2432">
        <w:rPr>
          <w:rFonts w:ascii="Times New Roman" w:hAnsi="Times New Roman"/>
          <w:sz w:val="12"/>
          <w:szCs w:val="12"/>
          <w:lang w:eastAsia="fr-CA"/>
        </w:rPr>
        <w:t xml:space="preserve">       </w:t>
      </w:r>
      <w:r w:rsidRPr="00FE2432">
        <w:rPr>
          <w:sz w:val="22"/>
          <w:szCs w:val="18"/>
          <w:lang w:eastAsia="fr-CA"/>
        </w:rPr>
        <w:t>Par contre, on ne doit pas dénaturer une loi d’une législature sous prétexte que la bonne interprétation du texte de loi conduirait à la conclusion qu’elle a été adoptée d’une façon inconstitutionnelle. Ce qui n’est pas le cas ici.</w:t>
      </w:r>
    </w:p>
    <w:p w14:paraId="59625943" w14:textId="2749844D" w:rsidR="00855C83" w:rsidRPr="00FE2432" w:rsidRDefault="00855C83" w:rsidP="00F64845">
      <w:pPr>
        <w:spacing w:before="120" w:after="120" w:line="280" w:lineRule="atLeast"/>
        <w:ind w:left="1428" w:right="752"/>
        <w:jc w:val="both"/>
        <w:rPr>
          <w:sz w:val="22"/>
          <w:szCs w:val="18"/>
          <w:lang w:eastAsia="fr-CA"/>
        </w:rPr>
      </w:pPr>
      <w:r>
        <w:rPr>
          <w:sz w:val="22"/>
          <w:szCs w:val="18"/>
          <w:lang w:eastAsia="fr-CA"/>
        </w:rPr>
        <w:t xml:space="preserve">(référence omise) </w:t>
      </w:r>
    </w:p>
    <w:p w14:paraId="799F347D" w14:textId="036A7A4B" w:rsidR="0026584C" w:rsidRDefault="00C0731A" w:rsidP="00C1118B">
      <w:pPr>
        <w:pStyle w:val="Paragraphe"/>
        <w:numPr>
          <w:ilvl w:val="0"/>
          <w:numId w:val="1"/>
        </w:numPr>
        <w:tabs>
          <w:tab w:val="clear" w:pos="360"/>
          <w:tab w:val="left" w:pos="709"/>
        </w:tabs>
        <w:spacing w:line="240" w:lineRule="auto"/>
        <w:rPr>
          <w:rFonts w:cs="Arial"/>
        </w:rPr>
      </w:pPr>
      <w:r w:rsidRPr="5A7F0EA4">
        <w:rPr>
          <w:rFonts w:cs="Arial"/>
        </w:rPr>
        <w:t>E</w:t>
      </w:r>
      <w:r w:rsidR="00970F66" w:rsidRPr="5A7F0EA4">
        <w:rPr>
          <w:rFonts w:cs="Arial"/>
        </w:rPr>
        <w:t>n clair, grâce au pouvoir de surveillance</w:t>
      </w:r>
      <w:r w:rsidRPr="5A7F0EA4">
        <w:rPr>
          <w:rFonts w:cs="Arial"/>
        </w:rPr>
        <w:t xml:space="preserve"> inaltéré de la Cour supérieure, les citoyens, dont les demandeurs, conservent leur droit</w:t>
      </w:r>
      <w:r w:rsidR="003C66D4" w:rsidRPr="5A7F0EA4">
        <w:rPr>
          <w:rFonts w:cs="Arial"/>
        </w:rPr>
        <w:t xml:space="preserve"> de faire réviser toute décision d’expropriation entreprise par la </w:t>
      </w:r>
      <w:r w:rsidR="00C84784" w:rsidRPr="5A7F0EA4">
        <w:rPr>
          <w:rFonts w:cs="Arial"/>
        </w:rPr>
        <w:t>Ville.</w:t>
      </w:r>
    </w:p>
    <w:p w14:paraId="329F3846" w14:textId="746A8C73" w:rsidR="00C6688C" w:rsidRDefault="00C6688C" w:rsidP="00C1118B">
      <w:pPr>
        <w:pStyle w:val="Paragraphe"/>
        <w:numPr>
          <w:ilvl w:val="0"/>
          <w:numId w:val="1"/>
        </w:numPr>
        <w:tabs>
          <w:tab w:val="clear" w:pos="360"/>
          <w:tab w:val="left" w:pos="709"/>
        </w:tabs>
        <w:spacing w:line="240" w:lineRule="auto"/>
        <w:rPr>
          <w:rFonts w:cs="Arial"/>
        </w:rPr>
      </w:pPr>
      <w:r w:rsidRPr="5A7F0EA4">
        <w:rPr>
          <w:rFonts w:cs="Arial"/>
        </w:rPr>
        <w:t xml:space="preserve">Et si tant </w:t>
      </w:r>
      <w:r w:rsidR="2C121CA3" w:rsidRPr="5A7F0EA4">
        <w:rPr>
          <w:rFonts w:cs="Arial"/>
        </w:rPr>
        <w:t xml:space="preserve">est </w:t>
      </w:r>
      <w:r w:rsidRPr="5A7F0EA4">
        <w:rPr>
          <w:rFonts w:cs="Arial"/>
        </w:rPr>
        <w:t xml:space="preserve">que la </w:t>
      </w:r>
      <w:r w:rsidR="002119F5" w:rsidRPr="5A7F0EA4">
        <w:rPr>
          <w:rFonts w:cs="Arial"/>
        </w:rPr>
        <w:t xml:space="preserve">LRSVQ retire la suspension automatique des procédures d’expropriation, rappelons que la Cour supérieure peut, en tout temps, </w:t>
      </w:r>
      <w:r w:rsidR="006B601F" w:rsidRPr="5A7F0EA4">
        <w:rPr>
          <w:rFonts w:cs="Arial"/>
        </w:rPr>
        <w:t>émettre une ordonnance de sauvegarde qui aurait le même effet, exception faite qu’au lieu d’une suspension automatique, ce serait une suspension ordonnée par la Cour supérieure à la demande de l’exproprié.</w:t>
      </w:r>
    </w:p>
    <w:p w14:paraId="36BCE6B3" w14:textId="3FE2D135" w:rsidR="00215C64" w:rsidRDefault="00215C64" w:rsidP="00C1118B">
      <w:pPr>
        <w:pStyle w:val="Paragraphe"/>
        <w:numPr>
          <w:ilvl w:val="0"/>
          <w:numId w:val="1"/>
        </w:numPr>
        <w:tabs>
          <w:tab w:val="clear" w:pos="360"/>
          <w:tab w:val="left" w:pos="709"/>
        </w:tabs>
        <w:spacing w:line="240" w:lineRule="auto"/>
        <w:rPr>
          <w:rFonts w:cs="Arial"/>
        </w:rPr>
      </w:pPr>
      <w:r w:rsidRPr="5A7F0EA4">
        <w:rPr>
          <w:rFonts w:cs="Arial"/>
        </w:rPr>
        <w:t>Existe-t-il</w:t>
      </w:r>
      <w:r w:rsidR="005A0A88" w:rsidRPr="5A7F0EA4">
        <w:rPr>
          <w:rFonts w:cs="Arial"/>
        </w:rPr>
        <w:t xml:space="preserve">, malgré la reconnaissance que le pouvoir </w:t>
      </w:r>
      <w:r w:rsidRPr="5A7F0EA4">
        <w:rPr>
          <w:rFonts w:cs="Arial"/>
        </w:rPr>
        <w:t>de la Cour supérieure</w:t>
      </w:r>
      <w:r w:rsidR="005A0A88" w:rsidRPr="5A7F0EA4">
        <w:rPr>
          <w:rFonts w:cs="Arial"/>
        </w:rPr>
        <w:t xml:space="preserve"> de contrôle et surveillance ne soit pas affecté par l’article 7 </w:t>
      </w:r>
      <w:r w:rsidR="009177BF" w:rsidRPr="5A7F0EA4">
        <w:rPr>
          <w:rFonts w:cs="Arial"/>
        </w:rPr>
        <w:t>LRSVQ,</w:t>
      </w:r>
      <w:r w:rsidRPr="5A7F0EA4">
        <w:rPr>
          <w:rFonts w:cs="Arial"/>
        </w:rPr>
        <w:t xml:space="preserve"> </w:t>
      </w:r>
      <w:r w:rsidR="009177BF" w:rsidRPr="5A7F0EA4">
        <w:rPr>
          <w:rFonts w:cs="Arial"/>
        </w:rPr>
        <w:t xml:space="preserve">un </w:t>
      </w:r>
      <w:r w:rsidR="0079660D" w:rsidRPr="5A7F0EA4">
        <w:rPr>
          <w:rFonts w:cs="Arial"/>
        </w:rPr>
        <w:t xml:space="preserve">« </w:t>
      </w:r>
      <w:r w:rsidR="009177BF" w:rsidRPr="5A7F0EA4">
        <w:rPr>
          <w:rFonts w:cs="Arial"/>
        </w:rPr>
        <w:t>autre</w:t>
      </w:r>
      <w:r w:rsidR="0079660D" w:rsidRPr="5A7F0EA4">
        <w:rPr>
          <w:rFonts w:cs="Arial"/>
        </w:rPr>
        <w:t xml:space="preserve"> »</w:t>
      </w:r>
      <w:r w:rsidR="009177BF" w:rsidRPr="5A7F0EA4">
        <w:rPr>
          <w:rFonts w:cs="Arial"/>
        </w:rPr>
        <w:t xml:space="preserve"> pouvoir </w:t>
      </w:r>
      <w:r w:rsidR="00852E1C" w:rsidRPr="5A7F0EA4">
        <w:rPr>
          <w:rFonts w:cs="Arial"/>
        </w:rPr>
        <w:t>constitutionnalisé</w:t>
      </w:r>
      <w:r w:rsidR="009177BF" w:rsidRPr="5A7F0EA4">
        <w:rPr>
          <w:rFonts w:cs="Arial"/>
        </w:rPr>
        <w:t xml:space="preserve"> de la Cour supérieure qui serait </w:t>
      </w:r>
      <w:r w:rsidR="00C84784" w:rsidRPr="5A7F0EA4">
        <w:rPr>
          <w:rFonts w:cs="Arial"/>
        </w:rPr>
        <w:t>réduit par</w:t>
      </w:r>
      <w:r w:rsidR="00852E1C" w:rsidRPr="5A7F0EA4">
        <w:rPr>
          <w:rFonts w:cs="Arial"/>
        </w:rPr>
        <w:t xml:space="preserve"> ce même article?</w:t>
      </w:r>
    </w:p>
    <w:p w14:paraId="62482AAC" w14:textId="1516BE4B" w:rsidR="00C1118B" w:rsidRPr="0059119E" w:rsidRDefault="00C1118B" w:rsidP="00C1118B">
      <w:pPr>
        <w:pStyle w:val="Paragraphe"/>
        <w:numPr>
          <w:ilvl w:val="0"/>
          <w:numId w:val="1"/>
        </w:numPr>
        <w:tabs>
          <w:tab w:val="clear" w:pos="360"/>
          <w:tab w:val="left" w:pos="709"/>
        </w:tabs>
        <w:spacing w:line="240" w:lineRule="auto"/>
        <w:rPr>
          <w:rFonts w:cs="Arial"/>
        </w:rPr>
      </w:pPr>
      <w:r w:rsidRPr="5A7F0EA4">
        <w:rPr>
          <w:rFonts w:cs="Arial"/>
        </w:rPr>
        <w:t xml:space="preserve">Dans </w:t>
      </w:r>
      <w:r w:rsidR="003677A1" w:rsidRPr="5A7F0EA4">
        <w:rPr>
          <w:rFonts w:cs="Arial"/>
        </w:rPr>
        <w:t>l</w:t>
      </w:r>
      <w:r w:rsidRPr="5A7F0EA4">
        <w:rPr>
          <w:rFonts w:cs="Arial"/>
        </w:rPr>
        <w:t xml:space="preserve">e </w:t>
      </w:r>
      <w:r w:rsidRPr="5A7F0EA4">
        <w:rPr>
          <w:rFonts w:cs="Arial"/>
          <w:i/>
          <w:iCs/>
        </w:rPr>
        <w:t>Renvoi</w:t>
      </w:r>
      <w:r w:rsidRPr="5A7F0EA4">
        <w:rPr>
          <w:rFonts w:cs="Arial"/>
        </w:rPr>
        <w:t>, la Cour suprême rappelle le rôle joué historiquement par les Cours supérieures, savoir celui de tribunal de juridiction générale, c’est-à-dire leur capacité de connaître des affaires que la loi n’attribue pas exclusivement à d’autres tribunaux</w:t>
      </w:r>
      <w:r w:rsidR="40109B9E" w:rsidRPr="1772CC32">
        <w:rPr>
          <w:rFonts w:cs="Arial"/>
        </w:rPr>
        <w:t xml:space="preserve"> </w:t>
      </w:r>
      <w:r w:rsidRPr="5A7F0EA4">
        <w:rPr>
          <w:rFonts w:cs="Arial"/>
        </w:rPr>
        <w:t>:</w:t>
      </w:r>
    </w:p>
    <w:p w14:paraId="059A0000" w14:textId="77777777" w:rsidR="00C1118B" w:rsidRPr="004902BC" w:rsidRDefault="00C1118B" w:rsidP="00C1118B">
      <w:pPr>
        <w:spacing w:before="120" w:after="120" w:line="280" w:lineRule="atLeast"/>
        <w:ind w:left="1428" w:right="752"/>
        <w:jc w:val="both"/>
        <w:rPr>
          <w:rFonts w:cs="Arial"/>
          <w:sz w:val="22"/>
          <w:szCs w:val="18"/>
          <w:lang w:val="fr-FR" w:eastAsia="fr-CA"/>
        </w:rPr>
      </w:pPr>
      <w:r w:rsidRPr="004902BC">
        <w:rPr>
          <w:rFonts w:cs="Arial"/>
          <w:sz w:val="22"/>
          <w:szCs w:val="18"/>
          <w:lang w:val="fr-FR" w:eastAsia="fr-CA"/>
        </w:rPr>
        <w:t xml:space="preserve">[86] </w:t>
      </w:r>
      <w:r w:rsidRPr="004902BC">
        <w:rPr>
          <w:rFonts w:cs="Arial"/>
          <w:sz w:val="22"/>
          <w:szCs w:val="18"/>
          <w:u w:val="single"/>
          <w:lang w:val="fr-FR" w:eastAsia="fr-CA"/>
        </w:rPr>
        <w:t>C’est pourquoi une compétence générale en droit privé doit s’accompagner d’une juridiction matérielle suffisamment étendue pour préserver le rôle des cours supérieures de développer la jurisprudence en matière de droit privé</w:t>
      </w:r>
      <w:r w:rsidRPr="004902BC">
        <w:rPr>
          <w:rFonts w:cs="Arial"/>
          <w:sz w:val="22"/>
          <w:szCs w:val="18"/>
          <w:lang w:val="fr-FR" w:eastAsia="fr-CA"/>
        </w:rPr>
        <w:t xml:space="preserve"> (N. Lyon, « Is Amendment of Section 96 Really Necessary? » (1987), </w:t>
      </w:r>
      <w:r w:rsidRPr="004902BC">
        <w:rPr>
          <w:rFonts w:cs="Arial"/>
          <w:i/>
          <w:iCs/>
          <w:sz w:val="22"/>
          <w:szCs w:val="18"/>
          <w:lang w:val="fr-FR" w:eastAsia="fr-CA"/>
        </w:rPr>
        <w:t>36 R.D. U.N.-B</w:t>
      </w:r>
      <w:r w:rsidRPr="004902BC">
        <w:rPr>
          <w:rFonts w:cs="Arial"/>
          <w:sz w:val="22"/>
          <w:szCs w:val="18"/>
          <w:lang w:val="fr-FR" w:eastAsia="fr-CA"/>
        </w:rPr>
        <w:t xml:space="preserve">. 79, p. 83-84). </w:t>
      </w:r>
      <w:r w:rsidRPr="004902BC">
        <w:rPr>
          <w:rFonts w:cs="Arial"/>
          <w:sz w:val="22"/>
          <w:szCs w:val="18"/>
          <w:u w:val="single"/>
          <w:lang w:val="fr-FR" w:eastAsia="fr-CA"/>
        </w:rPr>
        <w:t>À notre avis, cela requiert un engagement appréciable — sans nécessairement être dominant — dans la résolution des litiges relevant des branches les plus fondamentales du droit privé comme le droit des biens, le droit successoral ou le droit des obligations.</w:t>
      </w:r>
      <w:r w:rsidRPr="004902BC">
        <w:rPr>
          <w:rFonts w:cs="Arial"/>
          <w:sz w:val="22"/>
          <w:szCs w:val="18"/>
          <w:lang w:val="fr-FR" w:eastAsia="fr-CA"/>
        </w:rPr>
        <w:t xml:space="preserve"> Une province peut confier des portions ou des ramifications de ces domaines à des tribunaux dont elle nomme les juges, sous réserve des restrictions imposées par le test du </w:t>
      </w:r>
      <w:r w:rsidRPr="004902BC">
        <w:rPr>
          <w:rFonts w:cs="Arial"/>
          <w:i/>
          <w:iCs/>
          <w:sz w:val="22"/>
          <w:szCs w:val="18"/>
          <w:lang w:val="fr-FR" w:eastAsia="fr-CA"/>
        </w:rPr>
        <w:t>Renvoi sur la location résidentielle</w:t>
      </w:r>
      <w:r w:rsidRPr="004902BC">
        <w:rPr>
          <w:rFonts w:cs="Arial"/>
          <w:sz w:val="22"/>
          <w:szCs w:val="18"/>
          <w:lang w:val="fr-FR" w:eastAsia="fr-CA"/>
        </w:rPr>
        <w:t>. Mais si, ce faisant, elle restreint de façon importante l’engagement de la cour supérieure, elle « transform[e] la nature même [de cette cour], la réduisant à quelque chose de moins qu’une cour supérieure » (</w:t>
      </w:r>
      <w:r w:rsidRPr="004902BC">
        <w:rPr>
          <w:rFonts w:cs="Arial"/>
          <w:i/>
          <w:iCs/>
          <w:sz w:val="22"/>
          <w:szCs w:val="18"/>
          <w:lang w:val="fr-FR" w:eastAsia="fr-CA"/>
        </w:rPr>
        <w:t>MacMillan Bloedel</w:t>
      </w:r>
      <w:r w:rsidRPr="004902BC">
        <w:rPr>
          <w:rFonts w:cs="Arial"/>
          <w:sz w:val="22"/>
          <w:szCs w:val="18"/>
          <w:lang w:val="fr-FR" w:eastAsia="fr-CA"/>
        </w:rPr>
        <w:t>, par. 1). En somme, une province qui lui retire un aspect de sa compétence fondamentale contrevient à l’art. 96 — une disposition dont l’objet réside dans le « maintien de la primauté du droit par la protection du rôle des tribunaux » (</w:t>
      </w:r>
      <w:r w:rsidRPr="004902BC">
        <w:rPr>
          <w:rFonts w:cs="Arial"/>
          <w:i/>
          <w:iCs/>
          <w:sz w:val="22"/>
          <w:szCs w:val="18"/>
          <w:lang w:val="fr-FR" w:eastAsia="fr-CA"/>
        </w:rPr>
        <w:t xml:space="preserve">Renvoi relatif à la rémunération des juges </w:t>
      </w:r>
      <w:r w:rsidRPr="004902BC">
        <w:rPr>
          <w:rFonts w:cs="Arial"/>
          <w:sz w:val="22"/>
          <w:szCs w:val="18"/>
          <w:lang w:val="fr-FR" w:eastAsia="fr-CA"/>
        </w:rPr>
        <w:t xml:space="preserve">(1997), par. 88 (nous soulignons); </w:t>
      </w:r>
      <w:r w:rsidRPr="004902BC">
        <w:rPr>
          <w:rFonts w:cs="Arial"/>
          <w:i/>
          <w:iCs/>
          <w:sz w:val="22"/>
          <w:szCs w:val="18"/>
          <w:lang w:val="fr-FR" w:eastAsia="fr-CA"/>
        </w:rPr>
        <w:t>Trial Lawyers</w:t>
      </w:r>
      <w:r w:rsidRPr="004902BC">
        <w:rPr>
          <w:rFonts w:cs="Arial"/>
          <w:sz w:val="22"/>
          <w:szCs w:val="18"/>
          <w:lang w:val="fr-FR" w:eastAsia="fr-CA"/>
        </w:rPr>
        <w:t xml:space="preserve">, par. 39). </w:t>
      </w:r>
      <w:r w:rsidRPr="004902BC">
        <w:rPr>
          <w:rFonts w:cs="Arial"/>
          <w:sz w:val="22"/>
          <w:szCs w:val="18"/>
          <w:u w:val="single"/>
          <w:lang w:val="fr-FR" w:eastAsia="fr-CA"/>
        </w:rPr>
        <w:t>Dans tous les cas, la ligne à ne pas franchir dépend d’une analyse contextuelle et multifactorielle</w:t>
      </w:r>
      <w:r w:rsidRPr="004902BC">
        <w:rPr>
          <w:rFonts w:cs="Arial"/>
          <w:sz w:val="22"/>
          <w:szCs w:val="18"/>
          <w:lang w:val="fr-FR" w:eastAsia="fr-CA"/>
        </w:rPr>
        <w:t>.</w:t>
      </w:r>
    </w:p>
    <w:p w14:paraId="7FFEA89C" w14:textId="77777777" w:rsidR="00C1118B" w:rsidRPr="004902BC" w:rsidRDefault="00C1118B" w:rsidP="00C1118B">
      <w:pPr>
        <w:spacing w:before="120" w:after="120" w:line="280" w:lineRule="atLeast"/>
        <w:ind w:left="1428" w:right="752"/>
        <w:jc w:val="both"/>
        <w:rPr>
          <w:rFonts w:cs="Arial"/>
          <w:sz w:val="22"/>
          <w:szCs w:val="18"/>
          <w:lang w:val="fr-FR" w:eastAsia="fr-CA"/>
        </w:rPr>
      </w:pPr>
      <w:r w:rsidRPr="004902BC">
        <w:rPr>
          <w:rFonts w:cs="Arial"/>
          <w:sz w:val="22"/>
          <w:szCs w:val="18"/>
          <w:lang w:val="fr-FR" w:eastAsia="fr-CA"/>
        </w:rPr>
        <w:t>(notre soulignement)</w:t>
      </w:r>
    </w:p>
    <w:p w14:paraId="77E2663B" w14:textId="36A6D147" w:rsidR="00C1118B" w:rsidRDefault="00477175" w:rsidP="002B2A58">
      <w:pPr>
        <w:pStyle w:val="Paragrdouble"/>
        <w:spacing w:line="240" w:lineRule="auto"/>
      </w:pPr>
      <w:r>
        <w:t>C</w:t>
      </w:r>
      <w:r w:rsidR="00D37E04">
        <w:t>ela dit</w:t>
      </w:r>
      <w:r>
        <w:t xml:space="preserve">, </w:t>
      </w:r>
      <w:r w:rsidR="001037B5">
        <w:t xml:space="preserve">le </w:t>
      </w:r>
      <w:r w:rsidR="001037B5" w:rsidRPr="5A7F0EA4">
        <w:rPr>
          <w:i/>
          <w:iCs/>
        </w:rPr>
        <w:t>Renvoi</w:t>
      </w:r>
      <w:r w:rsidR="001037B5">
        <w:t xml:space="preserve"> </w:t>
      </w:r>
      <w:r w:rsidR="007B3C14">
        <w:t>ne modifie pas fondamentalement le processus d’analyse pour décider si une loi restreint ou pas les pouvoirs de la Cour supérieure.</w:t>
      </w:r>
      <w:r w:rsidR="00974478">
        <w:t xml:space="preserve"> Le </w:t>
      </w:r>
      <w:r w:rsidR="00852617" w:rsidRPr="5A7F0EA4">
        <w:rPr>
          <w:i/>
          <w:iCs/>
        </w:rPr>
        <w:t>R</w:t>
      </w:r>
      <w:r w:rsidR="00974478" w:rsidRPr="5A7F0EA4">
        <w:rPr>
          <w:i/>
          <w:iCs/>
        </w:rPr>
        <w:t>envoi</w:t>
      </w:r>
      <w:r w:rsidR="00974478">
        <w:t xml:space="preserve"> utilise d’abord le test en trois volets tels que défini dans le </w:t>
      </w:r>
      <w:r w:rsidR="00974478" w:rsidRPr="5A7F0EA4">
        <w:rPr>
          <w:i/>
          <w:iCs/>
        </w:rPr>
        <w:t xml:space="preserve">Renvoi sur la </w:t>
      </w:r>
      <w:r w:rsidR="07E2A36C" w:rsidRPr="5A7F0EA4">
        <w:rPr>
          <w:i/>
          <w:iCs/>
        </w:rPr>
        <w:t>L</w:t>
      </w:r>
      <w:r w:rsidR="00974478" w:rsidRPr="5A7F0EA4">
        <w:rPr>
          <w:i/>
          <w:iCs/>
        </w:rPr>
        <w:t>oi de 1979 sur la location résidentielle</w:t>
      </w:r>
      <w:r w:rsidR="00974478" w:rsidRPr="007B2CA0">
        <w:rPr>
          <w:rStyle w:val="Appelnotedebasdep"/>
        </w:rPr>
        <w:footnoteReference w:id="121"/>
      </w:r>
      <w:r w:rsidR="0066425E">
        <w:t>.</w:t>
      </w:r>
    </w:p>
    <w:p w14:paraId="402CB87C" w14:textId="237A022A" w:rsidR="000113BE" w:rsidRDefault="005B22F7" w:rsidP="002B2A58">
      <w:pPr>
        <w:pStyle w:val="Paragrdouble"/>
        <w:spacing w:line="240" w:lineRule="auto"/>
      </w:pPr>
      <w:r>
        <w:t xml:space="preserve">Le </w:t>
      </w:r>
      <w:r w:rsidR="005A0D5A">
        <w:t>volet du test portant</w:t>
      </w:r>
      <w:r>
        <w:t xml:space="preserve"> sur les compétences historiques</w:t>
      </w:r>
      <w:r w:rsidR="005A0D5A">
        <w:t xml:space="preserve"> consiste à se demander si la juridiction transférée</w:t>
      </w:r>
      <w:r w:rsidR="00CF7FC6">
        <w:t xml:space="preserve"> affaibli</w:t>
      </w:r>
      <w:r w:rsidR="009F5CC9">
        <w:t>t</w:t>
      </w:r>
      <w:r w:rsidR="00CF7FC6">
        <w:t xml:space="preserve"> le rôle de la Cour supérieure d’une </w:t>
      </w:r>
      <w:r w:rsidR="00D5456C">
        <w:t xml:space="preserve">façon </w:t>
      </w:r>
      <w:r w:rsidR="00CF7FC6">
        <w:t>telle qu’elle ne puisse accomplir le rôle qui lui avait été dévolu en 1867</w:t>
      </w:r>
      <w:r w:rsidR="00D45B52">
        <w:rPr>
          <w:rStyle w:val="Appelnotedebasdep"/>
        </w:rPr>
        <w:footnoteReference w:id="122"/>
      </w:r>
      <w:r w:rsidR="00CF7FC6">
        <w:t>. À cet égard, il est nécessaire</w:t>
      </w:r>
      <w:r w:rsidR="009F5CC9">
        <w:t xml:space="preserve"> que la Cour dispose d’une preuve historique portant sur ces compétences. </w:t>
      </w:r>
      <w:r w:rsidR="000113BE">
        <w:t>Or, le fardeau de la preuve incombe au</w:t>
      </w:r>
      <w:r w:rsidR="00DA0677">
        <w:t>x</w:t>
      </w:r>
      <w:r w:rsidR="000113BE">
        <w:t xml:space="preserve"> demandeur</w:t>
      </w:r>
      <w:r w:rsidR="00DA0677">
        <w:t>s</w:t>
      </w:r>
      <w:r w:rsidR="000113BE">
        <w:t xml:space="preserve"> et le Tribunal ne bénéficie d’aucune preuve à cet égard.</w:t>
      </w:r>
    </w:p>
    <w:p w14:paraId="00CADDF8" w14:textId="6F4EDCD9" w:rsidR="005E2BBB" w:rsidRDefault="00B2511E" w:rsidP="002B2A58">
      <w:pPr>
        <w:pStyle w:val="Paragrdouble"/>
        <w:spacing w:line="240" w:lineRule="auto"/>
      </w:pPr>
      <w:r>
        <w:t>Bien plus, il faut également que la loi dont on attaque la constitutionnalité contienne un transfert de juridiction. Or,</w:t>
      </w:r>
      <w:r w:rsidR="00A461E9">
        <w:t xml:space="preserve"> aucun transfert de juridiction n’est allégué</w:t>
      </w:r>
      <w:r w:rsidR="001202E8">
        <w:t xml:space="preserve"> : le seul effet réel</w:t>
      </w:r>
      <w:r w:rsidR="00546B54">
        <w:t xml:space="preserve"> </w:t>
      </w:r>
      <w:r w:rsidR="00852617">
        <w:t xml:space="preserve">de l’article </w:t>
      </w:r>
      <w:r w:rsidR="00DA0677">
        <w:t>7</w:t>
      </w:r>
      <w:r w:rsidR="00852617">
        <w:t xml:space="preserve"> LRSVQ </w:t>
      </w:r>
      <w:r w:rsidR="00546B54">
        <w:t>est de faire porter sur les épaules de l’exproprié</w:t>
      </w:r>
      <w:r w:rsidR="00CB2C48">
        <w:t>, lorsqu’il conteste le pouvoir de l’expropriant,</w:t>
      </w:r>
      <w:r w:rsidR="00546B54">
        <w:t xml:space="preserve"> la responsabilité de demander</w:t>
      </w:r>
      <w:r w:rsidR="00CB2C48">
        <w:t xml:space="preserve"> le sursis du processus d’expropriation</w:t>
      </w:r>
      <w:r w:rsidR="00852617">
        <w:t>.</w:t>
      </w:r>
    </w:p>
    <w:p w14:paraId="7CBD1DC4" w14:textId="3F7B6E0A" w:rsidR="006255DC" w:rsidRDefault="00DD3579" w:rsidP="002B2A58">
      <w:pPr>
        <w:pStyle w:val="Paragrdouble"/>
        <w:spacing w:line="240" w:lineRule="auto"/>
      </w:pPr>
      <w:r>
        <w:t>Par la suite,</w:t>
      </w:r>
      <w:r w:rsidR="009443B8">
        <w:t xml:space="preserve"> la Cour suprême nous invite à évaluer l’étendue de la compétence attribuée à un </w:t>
      </w:r>
      <w:r w:rsidR="31F480E5">
        <w:t>t</w:t>
      </w:r>
      <w:r w:rsidR="009443B8">
        <w:t xml:space="preserve">ribunal </w:t>
      </w:r>
      <w:r w:rsidR="001423D2">
        <w:t xml:space="preserve">autre </w:t>
      </w:r>
      <w:r w:rsidR="009443B8">
        <w:t>que la Cour supérieure.</w:t>
      </w:r>
      <w:r w:rsidR="008774F1">
        <w:t xml:space="preserve"> Certains </w:t>
      </w:r>
      <w:r w:rsidR="009443B8">
        <w:t>facteurs d’analyse développés par la Cour</w:t>
      </w:r>
      <w:r w:rsidR="00773318">
        <w:t xml:space="preserve"> suprême</w:t>
      </w:r>
      <w:r w:rsidR="008774F1">
        <w:rPr>
          <w:rStyle w:val="Appelnotedebasdep"/>
        </w:rPr>
        <w:footnoteReference w:id="123"/>
      </w:r>
      <w:r w:rsidR="00773318">
        <w:t xml:space="preserve"> </w:t>
      </w:r>
      <w:r w:rsidR="006255DC">
        <w:t>sommairement</w:t>
      </w:r>
      <w:r w:rsidR="00FD5AFA">
        <w:t xml:space="preserve"> analysés </w:t>
      </w:r>
      <w:r w:rsidR="006255DC">
        <w:t>amène</w:t>
      </w:r>
      <w:r w:rsidR="00FD5AFA">
        <w:t>nt</w:t>
      </w:r>
      <w:r w:rsidR="006255DC">
        <w:t xml:space="preserve"> le Tribunal à conclure ainsi :</w:t>
      </w:r>
    </w:p>
    <w:p w14:paraId="08CEE01D" w14:textId="57F49939" w:rsidR="006B5731" w:rsidRDefault="0056513C" w:rsidP="005C14A5">
      <w:pPr>
        <w:pStyle w:val="Paragrdouble"/>
        <w:numPr>
          <w:ilvl w:val="0"/>
          <w:numId w:val="9"/>
        </w:numPr>
        <w:spacing w:line="240" w:lineRule="auto"/>
      </w:pPr>
      <w:r>
        <w:t>E</w:t>
      </w:r>
      <w:r w:rsidR="00E32BFF">
        <w:t>st-ce que le changement proposé trans</w:t>
      </w:r>
      <w:r w:rsidR="007E1338">
        <w:t>fère « de vastes domaines de la compétence</w:t>
      </w:r>
      <w:r>
        <w:t xml:space="preserve"> en matière contractuelle, délictuelle et criminelle »? Contrairement </w:t>
      </w:r>
      <w:r w:rsidR="00DA4E47">
        <w:t xml:space="preserve">à </w:t>
      </w:r>
      <w:r>
        <w:t xml:space="preserve">ce qui fut décidé dans le </w:t>
      </w:r>
      <w:r w:rsidR="002D0571" w:rsidRPr="3B6B4641">
        <w:rPr>
          <w:i/>
          <w:iCs/>
        </w:rPr>
        <w:t>R</w:t>
      </w:r>
      <w:r w:rsidRPr="3B6B4641">
        <w:rPr>
          <w:i/>
          <w:iCs/>
        </w:rPr>
        <w:t>envoi</w:t>
      </w:r>
      <w:r w:rsidR="002D0571">
        <w:t>, nous sommes loin d’un pan complet de compétence générale en droit privé</w:t>
      </w:r>
      <w:r w:rsidR="00943FE7">
        <w:t xml:space="preserve">. </w:t>
      </w:r>
      <w:r w:rsidR="00CB5055">
        <w:t xml:space="preserve">En l’absence de preuve </w:t>
      </w:r>
      <w:r w:rsidR="00D5456C">
        <w:t>contraire, l</w:t>
      </w:r>
      <w:r w:rsidR="00AB188E">
        <w:t xml:space="preserve">a Cour supérieure conserve ainsi </w:t>
      </w:r>
      <w:r w:rsidR="00FF18EC">
        <w:t>un volume de litiges suffisant pour lui permettre d’exercer une influence sur l’évolution de la jurisprudence en matière civile</w:t>
      </w:r>
      <w:r w:rsidR="005873CB">
        <w:t xml:space="preserve"> et même en matière d’expropriation</w:t>
      </w:r>
      <w:r w:rsidR="00FF18EC">
        <w:t xml:space="preserve">. </w:t>
      </w:r>
      <w:r w:rsidR="00D5456C">
        <w:t xml:space="preserve"> L</w:t>
      </w:r>
      <w:r w:rsidR="006B5731">
        <w:t>e Tribunal est d’avis que le premier facteur n’est pas rencontré.</w:t>
      </w:r>
    </w:p>
    <w:p w14:paraId="45211344" w14:textId="630C7223" w:rsidR="005B22F7" w:rsidRDefault="00240BA3" w:rsidP="005C14A5">
      <w:pPr>
        <w:pStyle w:val="Paragrdouble"/>
        <w:numPr>
          <w:ilvl w:val="0"/>
          <w:numId w:val="9"/>
        </w:numPr>
        <w:spacing w:line="240" w:lineRule="auto"/>
      </w:pPr>
      <w:r>
        <w:t>Est-ce que le nombre de dossiers</w:t>
      </w:r>
      <w:r w:rsidR="003127D3">
        <w:t xml:space="preserve"> affectés par cette disposition légale affecte</w:t>
      </w:r>
      <w:r w:rsidR="00BB0090">
        <w:t xml:space="preserve"> le rôle de pivot du système judiciaire québécois que joue la Cour supérieure? </w:t>
      </w:r>
      <w:r w:rsidR="0031462F">
        <w:t>Le simple retrait de l’automatisme</w:t>
      </w:r>
      <w:r w:rsidR="00397B6E">
        <w:t xml:space="preserve"> visant à suspendre le processus d’expropriation n’est, à </w:t>
      </w:r>
      <w:r w:rsidR="00ED2FFD">
        <w:t>défaut</w:t>
      </w:r>
      <w:r w:rsidR="00397B6E">
        <w:t xml:space="preserve"> de preuve contraire, peu significatif</w:t>
      </w:r>
      <w:r w:rsidR="00A66CB8">
        <w:t xml:space="preserve"> sur le rôle joué par la Cour supérieure en cette matière.</w:t>
      </w:r>
    </w:p>
    <w:p w14:paraId="6C96D2A4" w14:textId="741A5F79" w:rsidR="0066425E" w:rsidRPr="00616189" w:rsidRDefault="009E6464" w:rsidP="002B2A58">
      <w:pPr>
        <w:pStyle w:val="Paragrdouble"/>
        <w:spacing w:line="240" w:lineRule="auto"/>
      </w:pPr>
      <w:r>
        <w:t xml:space="preserve">Le Tribunal est d’avis que le </w:t>
      </w:r>
      <w:r w:rsidR="00FB5A71" w:rsidRPr="3B6B4641">
        <w:rPr>
          <w:i/>
          <w:iCs/>
        </w:rPr>
        <w:t>R</w:t>
      </w:r>
      <w:r w:rsidRPr="3B6B4641">
        <w:rPr>
          <w:i/>
          <w:iCs/>
        </w:rPr>
        <w:t>envoi</w:t>
      </w:r>
      <w:r>
        <w:t xml:space="preserve"> n’a pas modifié l’état substantiel du </w:t>
      </w:r>
      <w:r w:rsidR="3D095780">
        <w:t>pouvoir</w:t>
      </w:r>
      <w:r>
        <w:t xml:space="preserve"> de surveillance</w:t>
      </w:r>
      <w:r w:rsidR="00AE530C">
        <w:t xml:space="preserve"> ni de toute autre compétence matérielle</w:t>
      </w:r>
      <w:r>
        <w:t xml:space="preserve"> de la Cour supérieure</w:t>
      </w:r>
      <w:r w:rsidR="003E51B5">
        <w:t xml:space="preserve"> et la décision rendue dans l’affaire </w:t>
      </w:r>
      <w:r w:rsidR="003E51B5" w:rsidRPr="3B6B4641">
        <w:rPr>
          <w:i/>
          <w:iCs/>
        </w:rPr>
        <w:t xml:space="preserve">8811571 Canada inc. </w:t>
      </w:r>
      <w:r w:rsidR="003E51B5">
        <w:t>c</w:t>
      </w:r>
      <w:r w:rsidR="003E51B5" w:rsidRPr="3B6B4641">
        <w:rPr>
          <w:i/>
          <w:iCs/>
        </w:rPr>
        <w:t>. Procureure générale du Québec</w:t>
      </w:r>
      <w:r w:rsidR="00F6092F">
        <w:t xml:space="preserve"> s’applique : l’article </w:t>
      </w:r>
      <w:r w:rsidR="00F6092F" w:rsidRPr="3B6B4641">
        <w:rPr>
          <w:sz w:val="22"/>
          <w:szCs w:val="22"/>
        </w:rPr>
        <w:t xml:space="preserve">7 (2e) et 7 </w:t>
      </w:r>
      <w:r w:rsidR="00F6092F" w:rsidRPr="3B6B4641">
        <w:rPr>
          <w:i/>
          <w:iCs/>
          <w:sz w:val="22"/>
          <w:szCs w:val="22"/>
        </w:rPr>
        <w:t xml:space="preserve">in fine </w:t>
      </w:r>
      <w:r w:rsidR="00616189">
        <w:t xml:space="preserve">ne sont pas inconstitutionnels en regard de l’article 96 de la </w:t>
      </w:r>
      <w:r w:rsidR="00616189" w:rsidRPr="3B6B4641">
        <w:rPr>
          <w:i/>
          <w:iCs/>
        </w:rPr>
        <w:t>Loi constitutionnelle de 1867.</w:t>
      </w:r>
    </w:p>
    <w:p w14:paraId="32CE1E0C" w14:textId="3F72B322" w:rsidR="00A707A1" w:rsidRPr="00F04F7A" w:rsidRDefault="00F1762A" w:rsidP="00F1762A">
      <w:pPr>
        <w:pStyle w:val="Titre4"/>
      </w:pPr>
      <w:bookmarkStart w:id="46" w:name="_Toc124755361"/>
      <w:r>
        <w:t xml:space="preserve">Contestation en regard de certaines dispositions de la </w:t>
      </w:r>
      <w:r w:rsidRPr="00F04F7A">
        <w:t>Charte québécoise et de la Charte canadienne</w:t>
      </w:r>
      <w:bookmarkEnd w:id="46"/>
    </w:p>
    <w:p w14:paraId="43318C9D" w14:textId="6F83A71E" w:rsidR="00460CB6" w:rsidRDefault="00460CB6" w:rsidP="002B2A58">
      <w:pPr>
        <w:pStyle w:val="Paragrdouble"/>
        <w:spacing w:line="240" w:lineRule="auto"/>
      </w:pPr>
      <w:r>
        <w:t>L</w:t>
      </w:r>
      <w:r w:rsidR="00883F18">
        <w:t>es demandeurs allèguent</w:t>
      </w:r>
      <w:r w:rsidR="0037058A">
        <w:t xml:space="preserve"> que l’article 7 LRSVQ </w:t>
      </w:r>
      <w:r>
        <w:t>est inconstitutionnel car il entre en conflit avec les dispositions suivantes :</w:t>
      </w:r>
    </w:p>
    <w:p w14:paraId="0F1157C8" w14:textId="77777777" w:rsidR="006C609C" w:rsidRPr="00ED2FFD" w:rsidRDefault="00460CB6" w:rsidP="5A7F0EA4">
      <w:pPr>
        <w:pStyle w:val="Paragrdouble"/>
        <w:numPr>
          <w:ilvl w:val="0"/>
          <w:numId w:val="0"/>
        </w:numPr>
        <w:spacing w:line="240" w:lineRule="auto"/>
        <w:ind w:left="731"/>
        <w:rPr>
          <w:b/>
          <w:bCs/>
          <w:i/>
          <w:iCs/>
        </w:rPr>
      </w:pPr>
      <w:r w:rsidRPr="00ED2FFD">
        <w:rPr>
          <w:b/>
          <w:bCs/>
          <w:i/>
          <w:iCs/>
        </w:rPr>
        <w:t>Charte québécoise des</w:t>
      </w:r>
      <w:r w:rsidR="006C609C" w:rsidRPr="00ED2FFD">
        <w:rPr>
          <w:b/>
          <w:bCs/>
          <w:i/>
          <w:iCs/>
        </w:rPr>
        <w:t xml:space="preserve"> droits et libertés de la personne</w:t>
      </w:r>
    </w:p>
    <w:p w14:paraId="681562A1" w14:textId="36B741FF" w:rsidR="006C609C" w:rsidRPr="006C609C" w:rsidRDefault="005F5483" w:rsidP="006C609C">
      <w:pPr>
        <w:spacing w:before="120" w:after="120" w:line="280" w:lineRule="atLeast"/>
        <w:ind w:left="1428" w:right="752"/>
        <w:jc w:val="both"/>
        <w:rPr>
          <w:rFonts w:cs="Arial"/>
          <w:sz w:val="22"/>
          <w:szCs w:val="18"/>
          <w:lang w:val="fr-FR" w:eastAsia="fr-CA"/>
        </w:rPr>
      </w:pPr>
      <w:hyperlink r:id="rId20" w:anchor="se:1" w:history="1">
        <w:r w:rsidR="00A100C4">
          <w:rPr>
            <w:rFonts w:cs="Arial"/>
            <w:sz w:val="22"/>
            <w:szCs w:val="18"/>
            <w:lang w:val="fr-FR" w:eastAsia="fr-CA"/>
          </w:rPr>
          <w:t>1.</w:t>
        </w:r>
      </w:hyperlink>
      <w:r w:rsidR="006C609C" w:rsidRPr="006C609C">
        <w:rPr>
          <w:rFonts w:cs="Arial"/>
          <w:sz w:val="22"/>
          <w:szCs w:val="18"/>
          <w:lang w:val="fr-FR" w:eastAsia="fr-CA"/>
        </w:rPr>
        <w:t> Tout être humain a droit à la vie, ainsi qu’à la sûreté, à l’intégrité et à la liberté de sa personne.</w:t>
      </w:r>
    </w:p>
    <w:p w14:paraId="1775A1BE" w14:textId="77777777" w:rsidR="006C609C" w:rsidRPr="006C609C" w:rsidRDefault="006C609C" w:rsidP="006C609C">
      <w:pPr>
        <w:spacing w:before="120" w:after="120" w:line="280" w:lineRule="atLeast"/>
        <w:ind w:left="1428" w:right="752"/>
        <w:jc w:val="both"/>
        <w:rPr>
          <w:rFonts w:cs="Arial"/>
          <w:sz w:val="22"/>
          <w:szCs w:val="18"/>
          <w:lang w:val="fr-FR" w:eastAsia="fr-CA"/>
        </w:rPr>
      </w:pPr>
      <w:r w:rsidRPr="006C609C">
        <w:rPr>
          <w:rFonts w:cs="Arial"/>
          <w:sz w:val="22"/>
          <w:szCs w:val="18"/>
          <w:lang w:val="fr-FR" w:eastAsia="fr-CA"/>
        </w:rPr>
        <w:t>Il possède également la personnalité juridique.</w:t>
      </w:r>
    </w:p>
    <w:p w14:paraId="5B9ACCC8" w14:textId="524F62F4" w:rsidR="00A828FF" w:rsidRPr="00A828FF" w:rsidRDefault="005F5483" w:rsidP="00A828FF">
      <w:pPr>
        <w:spacing w:before="120" w:after="120" w:line="280" w:lineRule="atLeast"/>
        <w:ind w:left="1428" w:right="752"/>
        <w:jc w:val="both"/>
        <w:rPr>
          <w:rFonts w:cs="Arial"/>
          <w:sz w:val="22"/>
          <w:szCs w:val="18"/>
          <w:lang w:val="fr-FR" w:eastAsia="fr-CA"/>
        </w:rPr>
      </w:pPr>
      <w:hyperlink r:id="rId21" w:anchor="se:6" w:history="1">
        <w:r w:rsidR="00A100C4">
          <w:rPr>
            <w:rFonts w:cs="Arial"/>
            <w:sz w:val="22"/>
            <w:szCs w:val="18"/>
            <w:lang w:val="fr-FR" w:eastAsia="fr-CA"/>
          </w:rPr>
          <w:t>6.</w:t>
        </w:r>
      </w:hyperlink>
      <w:r w:rsidR="00A828FF" w:rsidRPr="00A828FF">
        <w:rPr>
          <w:rFonts w:cs="Arial"/>
          <w:sz w:val="22"/>
          <w:szCs w:val="18"/>
          <w:lang w:val="fr-FR" w:eastAsia="fr-CA"/>
        </w:rPr>
        <w:t> Toute personne a droit à la jouissance paisible et à la libre disposition de ses biens, sauf dans la mesure prévue par la loi.</w:t>
      </w:r>
    </w:p>
    <w:p w14:paraId="0C72567B" w14:textId="2F53C821" w:rsidR="00A828FF" w:rsidRPr="00A828FF" w:rsidRDefault="005F5483" w:rsidP="00B03D61">
      <w:pPr>
        <w:spacing w:before="120" w:after="120" w:line="280" w:lineRule="atLeast"/>
        <w:ind w:left="1428" w:right="752"/>
        <w:jc w:val="both"/>
        <w:rPr>
          <w:rFonts w:cs="Arial"/>
          <w:sz w:val="22"/>
          <w:szCs w:val="18"/>
          <w:lang w:val="fr-FR" w:eastAsia="fr-CA"/>
        </w:rPr>
      </w:pPr>
      <w:hyperlink r:id="rId22" w:anchor="se:7" w:history="1">
        <w:r w:rsidR="00A100C4">
          <w:rPr>
            <w:rFonts w:cs="Arial"/>
            <w:sz w:val="22"/>
            <w:szCs w:val="18"/>
            <w:lang w:val="fr-FR" w:eastAsia="fr-CA"/>
          </w:rPr>
          <w:t>7.</w:t>
        </w:r>
      </w:hyperlink>
      <w:r w:rsidR="00A828FF" w:rsidRPr="00A828FF">
        <w:rPr>
          <w:rFonts w:cs="Arial"/>
          <w:sz w:val="22"/>
          <w:szCs w:val="18"/>
          <w:lang w:val="fr-FR" w:eastAsia="fr-CA"/>
        </w:rPr>
        <w:t> La demeure est inviolable.</w:t>
      </w:r>
    </w:p>
    <w:p w14:paraId="196C67A8" w14:textId="4BE58F59" w:rsidR="00A828FF" w:rsidRDefault="005F5483" w:rsidP="00A828FF">
      <w:pPr>
        <w:spacing w:before="120" w:after="120" w:line="280" w:lineRule="atLeast"/>
        <w:ind w:left="1428" w:right="752"/>
        <w:jc w:val="both"/>
        <w:rPr>
          <w:rFonts w:cs="Arial"/>
          <w:sz w:val="22"/>
          <w:szCs w:val="18"/>
          <w:lang w:val="fr-FR" w:eastAsia="fr-CA"/>
        </w:rPr>
      </w:pPr>
      <w:hyperlink r:id="rId23" w:anchor="se:8" w:history="1">
        <w:r w:rsidR="00A100C4">
          <w:rPr>
            <w:rFonts w:cs="Arial"/>
            <w:sz w:val="22"/>
            <w:szCs w:val="18"/>
            <w:lang w:val="fr-FR" w:eastAsia="fr-CA"/>
          </w:rPr>
          <w:t>8.</w:t>
        </w:r>
      </w:hyperlink>
      <w:r w:rsidR="00A828FF" w:rsidRPr="00A828FF">
        <w:rPr>
          <w:rFonts w:cs="Arial"/>
          <w:sz w:val="22"/>
          <w:szCs w:val="18"/>
          <w:lang w:val="fr-FR" w:eastAsia="fr-CA"/>
        </w:rPr>
        <w:t> Nul ne peut pénétrer chez autrui ni y prendre quoi que ce soit sans son consentement exprès ou tacite.</w:t>
      </w:r>
    </w:p>
    <w:p w14:paraId="033F7490" w14:textId="77777777" w:rsidR="00A46562" w:rsidRPr="00A46562" w:rsidRDefault="00A46562" w:rsidP="00A46562">
      <w:pPr>
        <w:spacing w:before="120" w:after="120" w:line="280" w:lineRule="atLeast"/>
        <w:ind w:left="1428" w:right="752"/>
        <w:jc w:val="both"/>
        <w:rPr>
          <w:rFonts w:cs="Arial"/>
          <w:sz w:val="22"/>
          <w:szCs w:val="18"/>
          <w:lang w:val="fr-FR" w:eastAsia="fr-CA"/>
        </w:rPr>
      </w:pPr>
      <w:r w:rsidRPr="00A46562">
        <w:rPr>
          <w:rFonts w:cs="Arial"/>
          <w:sz w:val="22"/>
          <w:szCs w:val="18"/>
          <w:lang w:val="fr-FR" w:eastAsia="fr-CA"/>
        </w:rPr>
        <w:t>9.1. Les droits et libertés de la personne s’exercent dans le respect des valeurs démocratiques, de la laïcité de l’État, de l’importance accordée à la protection du français, de l’ordre public et du bien-être général des citoyens du Québec.</w:t>
      </w:r>
    </w:p>
    <w:p w14:paraId="56D39150" w14:textId="346764BF" w:rsidR="00A46562" w:rsidRDefault="00A46562" w:rsidP="00A46562">
      <w:pPr>
        <w:spacing w:before="120" w:after="120" w:line="280" w:lineRule="atLeast"/>
        <w:ind w:left="1428" w:right="752"/>
        <w:jc w:val="both"/>
        <w:rPr>
          <w:rFonts w:cs="Arial"/>
          <w:sz w:val="22"/>
          <w:szCs w:val="18"/>
          <w:lang w:val="fr-FR" w:eastAsia="fr-CA"/>
        </w:rPr>
      </w:pPr>
      <w:r w:rsidRPr="00A46562">
        <w:rPr>
          <w:rFonts w:cs="Arial"/>
          <w:sz w:val="22"/>
          <w:szCs w:val="18"/>
          <w:lang w:val="fr-FR" w:eastAsia="fr-CA"/>
        </w:rPr>
        <w:t>La loi peut, à cet égard, en fixer la portée et en aménager l’exercice.</w:t>
      </w:r>
    </w:p>
    <w:p w14:paraId="22C93C1A" w14:textId="4207F1CB" w:rsidR="00A46562" w:rsidRPr="00A828FF" w:rsidRDefault="001A115F" w:rsidP="00A46562">
      <w:pPr>
        <w:spacing w:before="120" w:after="120" w:line="280" w:lineRule="atLeast"/>
        <w:ind w:left="1428" w:right="752"/>
        <w:jc w:val="both"/>
        <w:rPr>
          <w:rFonts w:cs="Arial"/>
          <w:sz w:val="22"/>
          <w:szCs w:val="18"/>
          <w:lang w:val="fr-FR" w:eastAsia="fr-CA"/>
        </w:rPr>
      </w:pPr>
      <w:r w:rsidRPr="001A115F">
        <w:rPr>
          <w:rFonts w:cs="Arial"/>
          <w:sz w:val="22"/>
          <w:szCs w:val="18"/>
          <w:lang w:val="fr-FR" w:eastAsia="fr-CA"/>
        </w:rPr>
        <w:t>52. Aucune disposition d’une loi, même postérieure à la Charte, ne peut déroger aux articles 1 à 38, sauf dans la mesure prévue par ces articles, à moins que cette loi n’énonce expressément que cette disposition s’applique malgré la Charte.</w:t>
      </w:r>
    </w:p>
    <w:p w14:paraId="6C267299" w14:textId="76ACFFAF" w:rsidR="00460CB6" w:rsidRPr="00ED2FFD" w:rsidRDefault="00157BE5" w:rsidP="5A7F0EA4">
      <w:pPr>
        <w:pStyle w:val="Paragrdouble"/>
        <w:numPr>
          <w:ilvl w:val="0"/>
          <w:numId w:val="0"/>
        </w:numPr>
        <w:spacing w:line="240" w:lineRule="auto"/>
        <w:ind w:left="731"/>
        <w:rPr>
          <w:b/>
          <w:bCs/>
          <w:i/>
          <w:iCs/>
        </w:rPr>
      </w:pPr>
      <w:r w:rsidRPr="00ED2FFD">
        <w:rPr>
          <w:b/>
          <w:bCs/>
          <w:i/>
          <w:iCs/>
        </w:rPr>
        <w:t>Charte canadienne des droits et libertés</w:t>
      </w:r>
    </w:p>
    <w:p w14:paraId="0F88B877" w14:textId="4997DED6" w:rsidR="00BC0EF6" w:rsidRDefault="00BC0EF6" w:rsidP="00D85675">
      <w:pPr>
        <w:spacing w:before="120" w:after="120" w:line="280" w:lineRule="atLeast"/>
        <w:ind w:left="1428" w:right="752"/>
        <w:jc w:val="both"/>
        <w:rPr>
          <w:rFonts w:cs="Arial"/>
          <w:sz w:val="22"/>
          <w:szCs w:val="22"/>
          <w:lang w:val="fr-FR" w:eastAsia="fr-CA"/>
        </w:rPr>
      </w:pPr>
      <w:r w:rsidRPr="5A7F0EA4">
        <w:rPr>
          <w:rFonts w:cs="Arial"/>
          <w:sz w:val="22"/>
          <w:szCs w:val="22"/>
          <w:lang w:val="fr-FR" w:eastAsia="fr-CA"/>
        </w:rPr>
        <w:t>1</w:t>
      </w:r>
      <w:r w:rsidR="52A20E4C" w:rsidRPr="5A7F0EA4">
        <w:rPr>
          <w:rFonts w:cs="Arial"/>
          <w:sz w:val="22"/>
          <w:szCs w:val="22"/>
          <w:lang w:val="fr-FR" w:eastAsia="fr-CA"/>
        </w:rPr>
        <w:t>.</w:t>
      </w:r>
      <w:r w:rsidRPr="5A7F0EA4">
        <w:rPr>
          <w:rFonts w:cs="Arial"/>
          <w:sz w:val="22"/>
          <w:szCs w:val="22"/>
          <w:lang w:val="fr-FR" w:eastAsia="fr-CA"/>
        </w:rPr>
        <w:t xml:space="preserve"> La Charte canadienne des droits et libertés garantit les droits et libertés qui y sont énoncés. Ils ne peuvent être restreints que par une règle de droit, dans des limites qui soient raisonnables et dont la justification puisse se démontrer dans le cadre d’une société libre et démocratique. </w:t>
      </w:r>
    </w:p>
    <w:p w14:paraId="0C04D4A5" w14:textId="28AF1426" w:rsidR="00D85675" w:rsidRPr="00D85675" w:rsidRDefault="00D85675" w:rsidP="00D85675">
      <w:pPr>
        <w:spacing w:before="120" w:after="120" w:line="280" w:lineRule="atLeast"/>
        <w:ind w:left="1428" w:right="752"/>
        <w:jc w:val="both"/>
        <w:rPr>
          <w:rFonts w:cs="Arial"/>
          <w:sz w:val="22"/>
          <w:szCs w:val="22"/>
          <w:lang w:val="fr-FR" w:eastAsia="fr-CA"/>
        </w:rPr>
      </w:pPr>
      <w:r w:rsidRPr="5A7F0EA4">
        <w:rPr>
          <w:rFonts w:cs="Arial"/>
          <w:sz w:val="22"/>
          <w:szCs w:val="22"/>
          <w:lang w:val="fr-FR" w:eastAsia="fr-CA"/>
        </w:rPr>
        <w:t>7</w:t>
      </w:r>
      <w:r w:rsidR="6FF97D2E" w:rsidRPr="5A7F0EA4">
        <w:rPr>
          <w:rFonts w:cs="Arial"/>
          <w:sz w:val="22"/>
          <w:szCs w:val="22"/>
          <w:lang w:val="fr-FR" w:eastAsia="fr-CA"/>
        </w:rPr>
        <w:t>.</w:t>
      </w:r>
      <w:r w:rsidRPr="5A7F0EA4">
        <w:rPr>
          <w:rFonts w:cs="Arial"/>
          <w:sz w:val="22"/>
          <w:szCs w:val="22"/>
          <w:lang w:val="fr-FR" w:eastAsia="fr-CA"/>
        </w:rPr>
        <w:t xml:space="preserve"> Chacun a droit à la vie, à la liberté et à la sécurité de sa personne; il ne peut être porté atteinte à ce droit qu’en conformité avec les principes de justice fondamentale.</w:t>
      </w:r>
    </w:p>
    <w:p w14:paraId="197C5DAE" w14:textId="305E7431" w:rsidR="001015D7" w:rsidRDefault="00D85675" w:rsidP="00D85675">
      <w:pPr>
        <w:spacing w:before="120" w:after="120" w:line="280" w:lineRule="atLeast"/>
        <w:ind w:left="1428" w:right="752"/>
        <w:jc w:val="both"/>
        <w:rPr>
          <w:rFonts w:cs="Arial"/>
          <w:sz w:val="22"/>
          <w:szCs w:val="18"/>
          <w:lang w:val="fr-FR" w:eastAsia="fr-CA"/>
        </w:rPr>
      </w:pPr>
      <w:r w:rsidRPr="00D85675">
        <w:rPr>
          <w:rFonts w:cs="Arial"/>
          <w:sz w:val="22"/>
          <w:szCs w:val="18"/>
          <w:lang w:val="fr-FR" w:eastAsia="fr-CA"/>
        </w:rPr>
        <w:t>8 Chacun a droit à la protection contre les fouilles, les perquisitions ou les saisies abusives.</w:t>
      </w:r>
    </w:p>
    <w:p w14:paraId="202CE9EC" w14:textId="5FA4BF28" w:rsidR="00D85675" w:rsidRPr="00D85675" w:rsidRDefault="001760B4" w:rsidP="00D85675">
      <w:pPr>
        <w:spacing w:before="120" w:after="120" w:line="280" w:lineRule="atLeast"/>
        <w:ind w:left="1428" w:right="752"/>
        <w:jc w:val="both"/>
        <w:rPr>
          <w:rFonts w:cs="Arial"/>
          <w:sz w:val="22"/>
          <w:szCs w:val="22"/>
          <w:lang w:val="fr-FR" w:eastAsia="fr-CA"/>
        </w:rPr>
      </w:pPr>
      <w:r w:rsidRPr="5A7F0EA4">
        <w:rPr>
          <w:rFonts w:cs="Arial"/>
          <w:sz w:val="22"/>
          <w:szCs w:val="22"/>
          <w:lang w:val="fr-FR" w:eastAsia="fr-CA"/>
        </w:rPr>
        <w:t>52</w:t>
      </w:r>
      <w:r w:rsidR="58DCA062" w:rsidRPr="5A7F0EA4">
        <w:rPr>
          <w:rFonts w:cs="Arial"/>
          <w:sz w:val="22"/>
          <w:szCs w:val="22"/>
          <w:lang w:val="fr-FR" w:eastAsia="fr-CA"/>
        </w:rPr>
        <w:t>.</w:t>
      </w:r>
      <w:r w:rsidRPr="5A7F0EA4">
        <w:rPr>
          <w:rFonts w:cs="Arial"/>
          <w:sz w:val="22"/>
          <w:szCs w:val="22"/>
          <w:lang w:val="fr-FR" w:eastAsia="fr-CA"/>
        </w:rPr>
        <w:t xml:space="preserve"> (1) La Constitution du Canada est la loi suprême du Canada; elle rend inopérantes les dispositions incompatibles de toute autre règle de droit.</w:t>
      </w:r>
    </w:p>
    <w:p w14:paraId="4CE31DDD" w14:textId="4BEB04E4" w:rsidR="00091C60" w:rsidRDefault="00D9543C" w:rsidP="002B2A58">
      <w:pPr>
        <w:pStyle w:val="Paragrdouble"/>
        <w:spacing w:line="240" w:lineRule="auto"/>
      </w:pPr>
      <w:r>
        <w:t xml:space="preserve">À n’en pas douter, la </w:t>
      </w:r>
      <w:r w:rsidR="00091C60">
        <w:t>C</w:t>
      </w:r>
      <w:r>
        <w:t xml:space="preserve">harte canadienne et la </w:t>
      </w:r>
      <w:r w:rsidR="00091C60">
        <w:t>C</w:t>
      </w:r>
      <w:r>
        <w:t>harte québécoise permette</w:t>
      </w:r>
      <w:r w:rsidR="007D2EED">
        <w:t>nt</w:t>
      </w:r>
      <w:r>
        <w:t xml:space="preserve"> d’invalider des lois qui vont à l’encontre des droits reconnus, mais dans la mesure</w:t>
      </w:r>
      <w:r w:rsidR="00091C60">
        <w:t xml:space="preserve"> elle-même parfois restreinte par les dispositions de ces </w:t>
      </w:r>
      <w:r w:rsidR="00FE4154">
        <w:t>C</w:t>
      </w:r>
      <w:r w:rsidR="00091C60">
        <w:t>hartes.</w:t>
      </w:r>
    </w:p>
    <w:p w14:paraId="3FF2A1B8" w14:textId="76E15E83" w:rsidR="0080439F" w:rsidRDefault="007A4F9D" w:rsidP="002B2A58">
      <w:pPr>
        <w:pStyle w:val="Paragrdouble"/>
        <w:spacing w:line="240" w:lineRule="auto"/>
      </w:pPr>
      <w:r>
        <w:t xml:space="preserve"> Le fardeau de démontrer </w:t>
      </w:r>
      <w:r w:rsidR="00303237">
        <w:t xml:space="preserve">les motifs de l’invalidation repose sur les épaules de la personne qui s’en croit victime. </w:t>
      </w:r>
      <w:r w:rsidR="00BD5D65">
        <w:t>L’invalidation d’une loi</w:t>
      </w:r>
      <w:r w:rsidR="00704D74">
        <w:t xml:space="preserve"> doit se faire en regard de faits précis qui démontrent la coexistence impossible entre la disposition législative contestée et l’une ou l’autre</w:t>
      </w:r>
      <w:r>
        <w:t xml:space="preserve"> disposition d’une des deux </w:t>
      </w:r>
      <w:r w:rsidR="00F2025F">
        <w:t>C</w:t>
      </w:r>
      <w:r>
        <w:t>hartes.</w:t>
      </w:r>
    </w:p>
    <w:p w14:paraId="1B109AF7" w14:textId="77777777" w:rsidR="001D6FD6" w:rsidRDefault="008F7581" w:rsidP="002B2A58">
      <w:pPr>
        <w:pStyle w:val="Paragrdouble"/>
        <w:spacing w:line="240" w:lineRule="auto"/>
      </w:pPr>
      <w:r>
        <w:t xml:space="preserve">Comme nous le rappelle la Cour suprême dans l’affaire </w:t>
      </w:r>
      <w:r w:rsidRPr="5A7F0EA4">
        <w:rPr>
          <w:i/>
          <w:iCs/>
        </w:rPr>
        <w:t>R</w:t>
      </w:r>
      <w:r>
        <w:t xml:space="preserve">. c. </w:t>
      </w:r>
      <w:r w:rsidRPr="5A7F0EA4">
        <w:rPr>
          <w:i/>
          <w:iCs/>
        </w:rPr>
        <w:t>Conway</w:t>
      </w:r>
      <w:r w:rsidRPr="00ED2FFD">
        <w:rPr>
          <w:rStyle w:val="Appelnotedebasdep"/>
        </w:rPr>
        <w:footnoteReference w:id="124"/>
      </w:r>
      <w:r w:rsidRPr="5A7F0EA4">
        <w:rPr>
          <w:i/>
          <w:iCs/>
        </w:rPr>
        <w:t xml:space="preserve">, </w:t>
      </w:r>
      <w:r w:rsidR="001D6FD6" w:rsidRPr="001D6FD6">
        <w:t>le fardeau de la preuve repose sur la victime</w:t>
      </w:r>
      <w:r w:rsidR="001D6FD6">
        <w:t xml:space="preserve"> en regard de faits concrets :</w:t>
      </w:r>
    </w:p>
    <w:p w14:paraId="548A42C8" w14:textId="0EB46227" w:rsidR="003C7AC8" w:rsidRPr="00581DD3" w:rsidRDefault="5ABDA667" w:rsidP="00581DD3">
      <w:pPr>
        <w:spacing w:before="120" w:after="120" w:line="280" w:lineRule="atLeast"/>
        <w:ind w:left="1428" w:right="752"/>
        <w:jc w:val="both"/>
        <w:rPr>
          <w:rFonts w:cs="Arial"/>
          <w:sz w:val="22"/>
          <w:szCs w:val="22"/>
        </w:rPr>
      </w:pPr>
      <w:r w:rsidRPr="5A7F0EA4">
        <w:rPr>
          <w:rFonts w:cs="Arial"/>
          <w:sz w:val="22"/>
          <w:szCs w:val="22"/>
          <w:lang w:val="fr-FR" w:eastAsia="fr-CA"/>
        </w:rPr>
        <w:t xml:space="preserve">[…] </w:t>
      </w:r>
      <w:r w:rsidR="00581DD3" w:rsidRPr="5A7F0EA4">
        <w:rPr>
          <w:rFonts w:cs="Arial"/>
          <w:sz w:val="22"/>
          <w:szCs w:val="22"/>
          <w:lang w:val="fr-FR" w:eastAsia="fr-CA"/>
        </w:rPr>
        <w:t>Toutefois</w:t>
      </w:r>
      <w:r w:rsidR="00581DD3" w:rsidRPr="5A7F0EA4">
        <w:rPr>
          <w:rFonts w:cs="Arial"/>
          <w:sz w:val="22"/>
          <w:szCs w:val="22"/>
          <w:lang w:eastAsia="fr-CA"/>
        </w:rPr>
        <w:t xml:space="preserve">, comme c'est le cas pour d'autres droits énoncés dans la </w:t>
      </w:r>
      <w:r w:rsidR="00581DD3" w:rsidRPr="5A7F0EA4">
        <w:rPr>
          <w:rFonts w:cs="Arial"/>
          <w:i/>
          <w:iCs/>
          <w:sz w:val="22"/>
          <w:szCs w:val="22"/>
          <w:lang w:eastAsia="fr-CA"/>
        </w:rPr>
        <w:t>Charte</w:t>
      </w:r>
      <w:r w:rsidR="00581DD3" w:rsidRPr="5A7F0EA4">
        <w:rPr>
          <w:rFonts w:cs="Arial"/>
          <w:sz w:val="22"/>
          <w:szCs w:val="22"/>
          <w:lang w:eastAsia="fr-CA"/>
        </w:rPr>
        <w:t xml:space="preserve">, quiconque prétend avoir été victime d'une violation de ses droits a le fardeau de persuader la cour que les circonstances relèvent du champ de protection envisagé par la disposition pertinente de la </w:t>
      </w:r>
      <w:r w:rsidR="00581DD3" w:rsidRPr="5A7F0EA4">
        <w:rPr>
          <w:rFonts w:cs="Arial"/>
          <w:i/>
          <w:iCs/>
          <w:sz w:val="22"/>
          <w:szCs w:val="22"/>
          <w:lang w:eastAsia="fr-CA"/>
        </w:rPr>
        <w:t>Charte</w:t>
      </w:r>
      <w:r w:rsidR="00581DD3" w:rsidRPr="5A7F0EA4">
        <w:rPr>
          <w:rFonts w:cs="Arial"/>
          <w:sz w:val="22"/>
          <w:szCs w:val="22"/>
          <w:lang w:eastAsia="fr-CA"/>
        </w:rPr>
        <w:t>. </w:t>
      </w:r>
      <w:r w:rsidR="60A00AA9" w:rsidRPr="5A7F0EA4">
        <w:rPr>
          <w:rFonts w:cs="Arial"/>
          <w:sz w:val="22"/>
          <w:szCs w:val="22"/>
          <w:lang w:eastAsia="fr-CA"/>
        </w:rPr>
        <w:t>[…]</w:t>
      </w:r>
    </w:p>
    <w:p w14:paraId="71223587" w14:textId="6E3D542A" w:rsidR="00303237" w:rsidRDefault="002772DD" w:rsidP="002B2A58">
      <w:pPr>
        <w:pStyle w:val="Paragrdouble"/>
        <w:spacing w:line="240" w:lineRule="auto"/>
      </w:pPr>
      <w:r>
        <w:t>Plus récemment, la Cour suprême rappelait cette règle dans l’affaire</w:t>
      </w:r>
      <w:r w:rsidR="00A91870">
        <w:t xml:space="preserve"> </w:t>
      </w:r>
      <w:r w:rsidR="00A91870" w:rsidRPr="5A7F0EA4">
        <w:rPr>
          <w:i/>
          <w:iCs/>
        </w:rPr>
        <w:t>Chaoulli</w:t>
      </w:r>
      <w:r w:rsidR="00A91870">
        <w:t xml:space="preserve"> c. </w:t>
      </w:r>
      <w:r w:rsidR="00A91870" w:rsidRPr="5A7F0EA4">
        <w:rPr>
          <w:i/>
          <w:iCs/>
        </w:rPr>
        <w:t>Québec (Procureur général</w:t>
      </w:r>
      <w:r w:rsidR="00A91870">
        <w:t>)</w:t>
      </w:r>
      <w:r w:rsidR="00A8549B">
        <w:rPr>
          <w:rStyle w:val="Appelnotedebasdep"/>
        </w:rPr>
        <w:footnoteReference w:id="125"/>
      </w:r>
      <w:r w:rsidR="00724879">
        <w:t> :</w:t>
      </w:r>
    </w:p>
    <w:p w14:paraId="3B447144" w14:textId="6EC34015" w:rsidR="00724879" w:rsidRPr="00724879" w:rsidRDefault="00724879" w:rsidP="00724879">
      <w:pPr>
        <w:spacing w:before="120" w:after="120" w:line="280" w:lineRule="atLeast"/>
        <w:ind w:left="1428" w:right="752"/>
        <w:jc w:val="both"/>
        <w:rPr>
          <w:rFonts w:cs="Arial"/>
          <w:sz w:val="22"/>
          <w:szCs w:val="22"/>
          <w:lang w:eastAsia="fr-CA"/>
        </w:rPr>
      </w:pPr>
      <w:r w:rsidRPr="00EE2372">
        <w:rPr>
          <w:rFonts w:cs="Arial"/>
          <w:b/>
          <w:bCs/>
          <w:sz w:val="22"/>
          <w:szCs w:val="22"/>
          <w:lang w:eastAsia="fr-CA"/>
        </w:rPr>
        <w:t>35</w:t>
      </w:r>
      <w:r w:rsidRPr="00724879">
        <w:rPr>
          <w:rFonts w:cs="Arial"/>
          <w:sz w:val="22"/>
          <w:szCs w:val="22"/>
          <w:lang w:eastAsia="fr-CA"/>
        </w:rPr>
        <w:t xml:space="preserve"> Il est clair qu’une contestation fondée sur une charte, qu’il s’agisse de la </w:t>
      </w:r>
      <w:r w:rsidRPr="00307978">
        <w:rPr>
          <w:rFonts w:cs="Arial"/>
          <w:i/>
          <w:iCs/>
          <w:sz w:val="22"/>
          <w:szCs w:val="22"/>
          <w:lang w:eastAsia="fr-CA"/>
        </w:rPr>
        <w:t>Charte canadienne</w:t>
      </w:r>
      <w:r w:rsidRPr="00724879">
        <w:rPr>
          <w:rFonts w:cs="Arial"/>
          <w:sz w:val="22"/>
          <w:szCs w:val="22"/>
          <w:lang w:eastAsia="fr-CA"/>
        </w:rPr>
        <w:t xml:space="preserve"> ou de la </w:t>
      </w:r>
      <w:r w:rsidRPr="00307978">
        <w:rPr>
          <w:rFonts w:cs="Arial"/>
          <w:i/>
          <w:iCs/>
          <w:sz w:val="22"/>
          <w:szCs w:val="22"/>
          <w:lang w:eastAsia="fr-CA"/>
        </w:rPr>
        <w:t>Charte québécoise</w:t>
      </w:r>
      <w:r w:rsidRPr="00724879">
        <w:rPr>
          <w:rFonts w:cs="Arial"/>
          <w:sz w:val="22"/>
          <w:szCs w:val="22"/>
          <w:lang w:eastAsia="fr-CA"/>
        </w:rPr>
        <w:t>, doit reposer sur un fondement factuel concret :</w:t>
      </w:r>
      <w:r w:rsidR="00307978">
        <w:rPr>
          <w:rFonts w:cs="Arial"/>
          <w:sz w:val="22"/>
          <w:szCs w:val="22"/>
          <w:lang w:eastAsia="fr-CA"/>
        </w:rPr>
        <w:t xml:space="preserve"> </w:t>
      </w:r>
      <w:r w:rsidRPr="00307978">
        <w:rPr>
          <w:rFonts w:cs="Arial"/>
          <w:i/>
          <w:iCs/>
          <w:sz w:val="22"/>
          <w:szCs w:val="22"/>
          <w:lang w:eastAsia="fr-CA"/>
        </w:rPr>
        <w:t>Operation Dismantle Inc</w:t>
      </w:r>
      <w:r w:rsidRPr="00724879">
        <w:rPr>
          <w:rFonts w:cs="Arial"/>
          <w:sz w:val="22"/>
          <w:szCs w:val="22"/>
          <w:lang w:eastAsia="fr-CA"/>
        </w:rPr>
        <w:t xml:space="preserve">. c. </w:t>
      </w:r>
      <w:r w:rsidRPr="00307978">
        <w:rPr>
          <w:rFonts w:cs="Arial"/>
          <w:i/>
          <w:iCs/>
          <w:sz w:val="22"/>
          <w:szCs w:val="22"/>
          <w:lang w:eastAsia="fr-CA"/>
        </w:rPr>
        <w:t>La Reine</w:t>
      </w:r>
      <w:r w:rsidRPr="00724879">
        <w:rPr>
          <w:rFonts w:cs="Arial"/>
          <w:sz w:val="22"/>
          <w:szCs w:val="22"/>
          <w:lang w:eastAsia="fr-CA"/>
        </w:rPr>
        <w:t>, [1985] 1 R.C.S. 441. La question n’est pas de déterminer</w:t>
      </w:r>
      <w:r w:rsidR="00307978">
        <w:rPr>
          <w:rFonts w:cs="Arial"/>
          <w:sz w:val="22"/>
          <w:szCs w:val="22"/>
          <w:lang w:eastAsia="fr-CA"/>
        </w:rPr>
        <w:t xml:space="preserve"> </w:t>
      </w:r>
      <w:r w:rsidRPr="00724879">
        <w:rPr>
          <w:rFonts w:cs="Arial"/>
          <w:sz w:val="22"/>
          <w:szCs w:val="22"/>
          <w:lang w:eastAsia="fr-CA"/>
        </w:rPr>
        <w:t>si les appelants peuvent invoquer une atteinte qui leur est propre. Les questions soulevées</w:t>
      </w:r>
      <w:r w:rsidR="00307978">
        <w:rPr>
          <w:rFonts w:cs="Arial"/>
          <w:sz w:val="22"/>
          <w:szCs w:val="22"/>
          <w:lang w:eastAsia="fr-CA"/>
        </w:rPr>
        <w:t xml:space="preserve"> </w:t>
      </w:r>
      <w:r w:rsidRPr="00724879">
        <w:rPr>
          <w:rFonts w:cs="Arial"/>
          <w:sz w:val="22"/>
          <w:szCs w:val="22"/>
          <w:lang w:eastAsia="fr-CA"/>
        </w:rPr>
        <w:t xml:space="preserve">touchent à l’intérêt public, et le test établi dans l’arrêt </w:t>
      </w:r>
      <w:r w:rsidRPr="00EE7FC8">
        <w:rPr>
          <w:rFonts w:cs="Arial"/>
          <w:i/>
          <w:iCs/>
          <w:sz w:val="22"/>
          <w:szCs w:val="22"/>
          <w:lang w:eastAsia="fr-CA"/>
        </w:rPr>
        <w:t xml:space="preserve">Ministre de la Justice du Canada </w:t>
      </w:r>
      <w:r w:rsidRPr="00724879">
        <w:rPr>
          <w:rFonts w:cs="Arial"/>
          <w:sz w:val="22"/>
          <w:szCs w:val="22"/>
          <w:lang w:eastAsia="fr-CA"/>
        </w:rPr>
        <w:t>c.</w:t>
      </w:r>
      <w:r w:rsidR="00EE7FC8">
        <w:rPr>
          <w:rFonts w:cs="Arial"/>
          <w:sz w:val="22"/>
          <w:szCs w:val="22"/>
          <w:lang w:eastAsia="fr-CA"/>
        </w:rPr>
        <w:t xml:space="preserve"> </w:t>
      </w:r>
      <w:r w:rsidRPr="00EE7FC8">
        <w:rPr>
          <w:rFonts w:cs="Arial"/>
          <w:i/>
          <w:iCs/>
          <w:sz w:val="22"/>
          <w:szCs w:val="22"/>
          <w:lang w:eastAsia="fr-CA"/>
        </w:rPr>
        <w:t>Borowski</w:t>
      </w:r>
      <w:r w:rsidRPr="00724879">
        <w:rPr>
          <w:rFonts w:cs="Arial"/>
          <w:sz w:val="22"/>
          <w:szCs w:val="22"/>
          <w:lang w:eastAsia="fr-CA"/>
        </w:rPr>
        <w:t>, [1981] 2 R.C.S. 575, s’applique. La question doit être sérieuse, les demandeurs</w:t>
      </w:r>
      <w:r w:rsidR="00EE7FC8">
        <w:rPr>
          <w:rFonts w:cs="Arial"/>
          <w:sz w:val="22"/>
          <w:szCs w:val="22"/>
          <w:lang w:eastAsia="fr-CA"/>
        </w:rPr>
        <w:t xml:space="preserve"> </w:t>
      </w:r>
      <w:r w:rsidRPr="00724879">
        <w:rPr>
          <w:rFonts w:cs="Arial"/>
          <w:sz w:val="22"/>
          <w:szCs w:val="22"/>
          <w:lang w:eastAsia="fr-CA"/>
        </w:rPr>
        <w:t>doivent être touchés directement ou avoir un intérêt véritable en tant que citoyens et il ne doit</w:t>
      </w:r>
      <w:r w:rsidR="00EE7FC8">
        <w:rPr>
          <w:rFonts w:cs="Arial"/>
          <w:sz w:val="22"/>
          <w:szCs w:val="22"/>
          <w:lang w:eastAsia="fr-CA"/>
        </w:rPr>
        <w:t xml:space="preserve"> </w:t>
      </w:r>
      <w:r w:rsidRPr="00724879">
        <w:rPr>
          <w:rFonts w:cs="Arial"/>
          <w:sz w:val="22"/>
          <w:szCs w:val="22"/>
          <w:lang w:eastAsia="fr-CA"/>
        </w:rPr>
        <w:t>pas exister d’autre moyen efficace à leur disposition.</w:t>
      </w:r>
    </w:p>
    <w:p w14:paraId="15B6B85D" w14:textId="5A9E2A46" w:rsidR="00F537B2" w:rsidRDefault="00D5456C" w:rsidP="002B2A58">
      <w:pPr>
        <w:pStyle w:val="Paragrdouble"/>
        <w:spacing w:line="240" w:lineRule="auto"/>
      </w:pPr>
      <w:bookmarkStart w:id="47" w:name="_Ref123301203"/>
      <w:r>
        <w:t>Finalement, l</w:t>
      </w:r>
      <w:r w:rsidR="003C70A7">
        <w:t xml:space="preserve">’arrêt jurisprudentiel auquel réfère </w:t>
      </w:r>
      <w:r w:rsidR="00A645D9">
        <w:t xml:space="preserve">la Cour suprême dans </w:t>
      </w:r>
      <w:r w:rsidR="00A645D9" w:rsidRPr="5A7F0EA4">
        <w:rPr>
          <w:i/>
          <w:iCs/>
        </w:rPr>
        <w:t>Chaouilli</w:t>
      </w:r>
      <w:r w:rsidR="00F537B2" w:rsidRPr="5A7F0EA4">
        <w:rPr>
          <w:i/>
          <w:iCs/>
        </w:rPr>
        <w:t xml:space="preserve"> </w:t>
      </w:r>
      <w:r w:rsidR="00F537B2">
        <w:t>est explicite sur le rejet d’une preuve fondée sur des hypothèses ou suppositions :</w:t>
      </w:r>
      <w:bookmarkEnd w:id="47"/>
    </w:p>
    <w:p w14:paraId="699EFE68" w14:textId="4E465B10" w:rsidR="00A645D9" w:rsidRDefault="00042B16" w:rsidP="00535E77">
      <w:pPr>
        <w:spacing w:before="120" w:after="120" w:line="280" w:lineRule="atLeast"/>
        <w:ind w:left="1428" w:right="752"/>
        <w:jc w:val="both"/>
        <w:rPr>
          <w:rFonts w:cs="Arial"/>
          <w:sz w:val="22"/>
          <w:szCs w:val="22"/>
          <w:lang w:eastAsia="fr-CA"/>
        </w:rPr>
      </w:pPr>
      <w:r w:rsidRPr="00EE2372">
        <w:rPr>
          <w:rFonts w:cs="Arial"/>
          <w:b/>
          <w:bCs/>
          <w:sz w:val="22"/>
          <w:szCs w:val="22"/>
          <w:lang w:eastAsia="fr-CA"/>
        </w:rPr>
        <w:t xml:space="preserve">29 </w:t>
      </w:r>
      <w:r w:rsidRPr="0000613D">
        <w:rPr>
          <w:rFonts w:cs="Arial"/>
          <w:sz w:val="22"/>
          <w:szCs w:val="22"/>
          <w:lang w:eastAsia="fr-CA"/>
        </w:rPr>
        <w:t xml:space="preserve">Je ne crois pas que l'acte contesté en l'espèce puisse être qualifié de contraire à l'obligation que la </w:t>
      </w:r>
      <w:r w:rsidRPr="5A7F0EA4">
        <w:rPr>
          <w:rFonts w:cs="Arial"/>
          <w:i/>
          <w:iCs/>
          <w:sz w:val="22"/>
          <w:szCs w:val="22"/>
          <w:lang w:eastAsia="fr-CA"/>
        </w:rPr>
        <w:t>Charte</w:t>
      </w:r>
      <w:r w:rsidRPr="0000613D">
        <w:rPr>
          <w:rFonts w:cs="Arial"/>
          <w:sz w:val="22"/>
          <w:szCs w:val="22"/>
          <w:lang w:eastAsia="fr-CA"/>
        </w:rPr>
        <w:t xml:space="preserve"> impose au pouvoir exécutif. L'article 7 de la </w:t>
      </w:r>
      <w:r w:rsidRPr="5A7F0EA4">
        <w:rPr>
          <w:rFonts w:cs="Arial"/>
          <w:i/>
          <w:iCs/>
          <w:sz w:val="22"/>
          <w:szCs w:val="22"/>
          <w:lang w:eastAsia="fr-CA"/>
        </w:rPr>
        <w:t>Charte</w:t>
      </w:r>
      <w:r w:rsidRPr="0000613D">
        <w:rPr>
          <w:rFonts w:cs="Arial"/>
          <w:sz w:val="22"/>
          <w:szCs w:val="22"/>
          <w:lang w:eastAsia="fr-CA"/>
        </w:rPr>
        <w:t xml:space="preserve"> ne saurait raisonnablement être interprété comme imposant au gouvernement l'obligation de ne pas accomplir des actes qui pourraient avoir pour conséquence de porter atteinte ou de menacer de porter atteinte à la vie des individus et à la sécurité de leur personne. </w:t>
      </w:r>
      <w:r w:rsidRPr="00962A0A">
        <w:rPr>
          <w:rFonts w:cs="Arial"/>
          <w:sz w:val="22"/>
          <w:szCs w:val="22"/>
          <w:u w:val="single"/>
          <w:lang w:eastAsia="fr-CA"/>
        </w:rPr>
        <w:t>Une obligation du cabinet fédéral ne peut être créée par des conjectures et des hypothèses sur les effets possibles de l'action gouvernementale. Une telle obligation ne naît, à mon avis, que lorsqu'on peut dire qu'il pourrait être démontré qu'une atteinte à la vie et à la sécurité de la personne résulte de l'acte gouvernemental attaqué</w:t>
      </w:r>
      <w:r w:rsidRPr="0000613D">
        <w:rPr>
          <w:rFonts w:cs="Arial"/>
          <w:sz w:val="22"/>
          <w:szCs w:val="22"/>
          <w:lang w:eastAsia="fr-CA"/>
        </w:rPr>
        <w:t>.</w:t>
      </w:r>
      <w:r w:rsidR="0000613D">
        <w:rPr>
          <w:rStyle w:val="Appelnotedebasdep"/>
          <w:rFonts w:cs="Arial"/>
          <w:sz w:val="22"/>
          <w:szCs w:val="22"/>
          <w:lang w:eastAsia="fr-CA"/>
        </w:rPr>
        <w:footnoteReference w:id="126"/>
      </w:r>
    </w:p>
    <w:p w14:paraId="6C7CD2C5" w14:textId="389A006D" w:rsidR="00962A0A" w:rsidRPr="00535E77" w:rsidRDefault="00C169A0" w:rsidP="00535E77">
      <w:pPr>
        <w:spacing w:before="120" w:after="120" w:line="280" w:lineRule="atLeast"/>
        <w:ind w:left="1428" w:right="752"/>
        <w:jc w:val="both"/>
        <w:rPr>
          <w:rFonts w:cs="Arial"/>
          <w:sz w:val="22"/>
          <w:szCs w:val="22"/>
          <w:lang w:eastAsia="fr-CA"/>
        </w:rPr>
      </w:pPr>
      <w:r>
        <w:rPr>
          <w:rFonts w:cs="Arial"/>
          <w:sz w:val="22"/>
          <w:szCs w:val="22"/>
          <w:lang w:eastAsia="fr-CA"/>
        </w:rPr>
        <w:t>(notre soulignement)</w:t>
      </w:r>
    </w:p>
    <w:p w14:paraId="4C909DC9" w14:textId="79285085" w:rsidR="000956C7" w:rsidRDefault="00EE7FC8" w:rsidP="00E433DF">
      <w:pPr>
        <w:pStyle w:val="Paragrdouble"/>
        <w:spacing w:line="240" w:lineRule="auto"/>
      </w:pPr>
      <w:r>
        <w:t>La procédure des demandeurs</w:t>
      </w:r>
      <w:r w:rsidR="008D23CB">
        <w:t xml:space="preserve"> identifie </w:t>
      </w:r>
      <w:r w:rsidR="00993A7B">
        <w:t>deux</w:t>
      </w:r>
      <w:r w:rsidR="00446B2F">
        <w:t xml:space="preserve"> demander</w:t>
      </w:r>
      <w:r w:rsidR="00993A7B">
        <w:t>e</w:t>
      </w:r>
      <w:r w:rsidR="00446B2F">
        <w:t>s</w:t>
      </w:r>
      <w:r w:rsidR="00993A7B">
        <w:t>ses</w:t>
      </w:r>
      <w:r w:rsidR="00446B2F">
        <w:t xml:space="preserve"> qui</w:t>
      </w:r>
      <w:r w:rsidR="00BD672A">
        <w:t xml:space="preserve"> réfèrent aux </w:t>
      </w:r>
      <w:r w:rsidR="008D4822">
        <w:t>avis d’expropriation</w:t>
      </w:r>
      <w:r w:rsidR="00446B2F">
        <w:t xml:space="preserve">. </w:t>
      </w:r>
      <w:r w:rsidR="00121D15">
        <w:t xml:space="preserve">Madame Doris Chabot </w:t>
      </w:r>
      <w:r w:rsidR="00947F8D">
        <w:t>allègue qu’elle vit un stress majeur devant l’incertitude d’une menace d’expropriation.</w:t>
      </w:r>
      <w:r w:rsidR="00326A0F">
        <w:t xml:space="preserve"> Madame Danielle Chapleau a reçu</w:t>
      </w:r>
      <w:r w:rsidR="00BF40BE">
        <w:t xml:space="preserve"> un avis d’expropriation partielle le 6 août 2022 et, depuis ce temps, déclare vivre dans l’incertitude</w:t>
      </w:r>
      <w:r w:rsidR="00A21EF1">
        <w:t xml:space="preserve"> et subir les incohérences et contradictions répétées des fonctionnaires de la </w:t>
      </w:r>
      <w:r w:rsidR="5C552171">
        <w:t>v</w:t>
      </w:r>
      <w:r w:rsidR="00A21EF1">
        <w:t>ille.</w:t>
      </w:r>
    </w:p>
    <w:p w14:paraId="5A2CD2AF" w14:textId="78B5C289" w:rsidR="00E433DF" w:rsidRDefault="00EB04A1" w:rsidP="00E433DF">
      <w:pPr>
        <w:pStyle w:val="Paragrdouble"/>
        <w:spacing w:line="240" w:lineRule="auto"/>
      </w:pPr>
      <w:r>
        <w:t>La menace d’expropriation</w:t>
      </w:r>
      <w:r w:rsidR="001F6A6A">
        <w:t xml:space="preserve"> constitue une conjecture ou hypothèse à partir de laquelle le Tribunal ne saurait se prononcer. </w:t>
      </w:r>
      <w:r w:rsidR="00935C53">
        <w:t>Quant à l’avis d’expropriation de Madame Chapleau</w:t>
      </w:r>
      <w:r w:rsidR="00EE2C3A">
        <w:t xml:space="preserve">, le Tribunal ne saurait faire le lien avec </w:t>
      </w:r>
      <w:r w:rsidR="00E21F31">
        <w:t>son</w:t>
      </w:r>
      <w:r w:rsidR="00EE2C3A">
        <w:t xml:space="preserve"> droit à la vie et à sa sécurité</w:t>
      </w:r>
      <w:r w:rsidR="00325EA1">
        <w:t> : toute procédure devant le Tribunal risque de créer de l’incertitude auprès de tout citoyen</w:t>
      </w:r>
      <w:r w:rsidR="00EE2C3A">
        <w:t>.</w:t>
      </w:r>
      <w:r w:rsidR="00EE37DF">
        <w:t xml:space="preserve"> La preuve ne démontre pas d’acharnement particulier à l’égard de cette demanderesse.</w:t>
      </w:r>
      <w:r w:rsidR="00E21F31">
        <w:t xml:space="preserve"> </w:t>
      </w:r>
    </w:p>
    <w:p w14:paraId="61D3DFE5" w14:textId="1E6CECEB" w:rsidR="000956C7" w:rsidRDefault="000956C7" w:rsidP="002B2A58">
      <w:pPr>
        <w:pStyle w:val="Paragrdouble"/>
        <w:spacing w:line="240" w:lineRule="auto"/>
      </w:pPr>
      <w:r>
        <w:t>Quant à la jouissance paisible et à la libre disposition de ses biens, rappelons que ce droit est limité par l’expression « sauf dans la mesure prévue par la loi ».</w:t>
      </w:r>
      <w:r w:rsidR="00D758FF">
        <w:t xml:space="preserve"> Le droit à l’expropriation pour des fins publi</w:t>
      </w:r>
      <w:r w:rsidR="00D5456C">
        <w:t>que</w:t>
      </w:r>
      <w:r w:rsidR="00D758FF">
        <w:t>s s’inscrit</w:t>
      </w:r>
      <w:r w:rsidR="00BB05F3">
        <w:t xml:space="preserve"> dans cette réserve contenue à la Charte québécoise.</w:t>
      </w:r>
      <w:r w:rsidR="004C4357">
        <w:t xml:space="preserve"> </w:t>
      </w:r>
      <w:r w:rsidR="00BB05F3">
        <w:t xml:space="preserve"> </w:t>
      </w:r>
      <w:r w:rsidR="00797887">
        <w:t>A</w:t>
      </w:r>
      <w:r w:rsidR="00BB05F3">
        <w:t xml:space="preserve">u surplus, </w:t>
      </w:r>
      <w:r w:rsidR="00797887">
        <w:t>a</w:t>
      </w:r>
      <w:r w:rsidR="004C4357">
        <w:t>ucun demandeur n’a été privé</w:t>
      </w:r>
      <w:r w:rsidR="0053377E">
        <w:t xml:space="preserve"> de s’adresser à la Cour supérieure pour contester l’expropriation de son bien</w:t>
      </w:r>
      <w:r w:rsidR="00015720">
        <w:t>.</w:t>
      </w:r>
    </w:p>
    <w:p w14:paraId="4B0CA60D" w14:textId="7C20667A" w:rsidR="00724879" w:rsidRDefault="00472C73" w:rsidP="002B2A58">
      <w:pPr>
        <w:pStyle w:val="Paragrdouble"/>
        <w:spacing w:line="240" w:lineRule="auto"/>
      </w:pPr>
      <w:r>
        <w:t>Quant aux notions</w:t>
      </w:r>
      <w:r w:rsidR="00C6032E">
        <w:t xml:space="preserve"> de pénétration illégale dans la résidence d’autrui </w:t>
      </w:r>
      <w:r w:rsidR="00F061B3">
        <w:t xml:space="preserve">ou à des fouilles, perquisitions ou saisies abusives, </w:t>
      </w:r>
      <w:r w:rsidR="00C6032E">
        <w:t>ou du bien-être général des citoyens du Québec, la preuve n’est associée</w:t>
      </w:r>
      <w:r w:rsidR="00F210B6">
        <w:t xml:space="preserve"> </w:t>
      </w:r>
      <w:r w:rsidR="00EE2C3A">
        <w:t xml:space="preserve">à </w:t>
      </w:r>
      <w:r w:rsidR="00F210B6">
        <w:t>aucun événement qui se rapprocherait de près ou de loin à ce</w:t>
      </w:r>
      <w:r w:rsidR="2CE52784">
        <w:t>s</w:t>
      </w:r>
      <w:r w:rsidR="00F210B6">
        <w:t xml:space="preserve"> notion</w:t>
      </w:r>
      <w:r w:rsidR="0771340F">
        <w:t>s</w:t>
      </w:r>
      <w:r w:rsidR="00F210B6">
        <w:t>.</w:t>
      </w:r>
    </w:p>
    <w:p w14:paraId="6683A03C" w14:textId="1254223B" w:rsidR="00F061B3" w:rsidRPr="002B2A58" w:rsidRDefault="00F061B3" w:rsidP="002B2A58">
      <w:pPr>
        <w:pStyle w:val="Paragrdouble"/>
        <w:spacing w:line="240" w:lineRule="auto"/>
      </w:pPr>
      <w:r>
        <w:t>Bref, la demande de contestation</w:t>
      </w:r>
      <w:r w:rsidR="004D5C95">
        <w:t xml:space="preserve"> constitutionnelle de l’article 7 L</w:t>
      </w:r>
      <w:r w:rsidR="432CE501">
        <w:t>R</w:t>
      </w:r>
      <w:r w:rsidR="004D5C95">
        <w:t>SVQ est rejetée.</w:t>
      </w:r>
    </w:p>
    <w:p w14:paraId="261EEC9D" w14:textId="48060793" w:rsidR="00AF1575" w:rsidRDefault="00B43DCA" w:rsidP="00B43DCA">
      <w:pPr>
        <w:pStyle w:val="Titre3"/>
      </w:pPr>
      <w:bookmarkStart w:id="48" w:name="_Ref123291305"/>
      <w:bookmarkStart w:id="49" w:name="_Toc124755362"/>
      <w:r>
        <w:t>Le règlement d’urbanisme</w:t>
      </w:r>
      <w:r w:rsidR="00770149">
        <w:t xml:space="preserve"> </w:t>
      </w:r>
      <w:r w:rsidR="008B7FB9">
        <w:t xml:space="preserve">R.A.V.Q. 1349 </w:t>
      </w:r>
      <w:r w:rsidR="00770149">
        <w:t>et l</w:t>
      </w:r>
      <w:r w:rsidR="0013461C">
        <w:t>e</w:t>
      </w:r>
      <w:r w:rsidR="00770149">
        <w:t xml:space="preserve"> </w:t>
      </w:r>
      <w:bookmarkEnd w:id="48"/>
      <w:r w:rsidR="00E22BF6">
        <w:t>droit de voter</w:t>
      </w:r>
      <w:r w:rsidR="0026331C">
        <w:t xml:space="preserve"> lors d’un référendum</w:t>
      </w:r>
      <w:bookmarkEnd w:id="49"/>
    </w:p>
    <w:p w14:paraId="1C3629CE" w14:textId="3C47A7B0" w:rsidR="006F1DD0" w:rsidRDefault="00482D9B" w:rsidP="00A500FD">
      <w:pPr>
        <w:pStyle w:val="Paragrdouble"/>
        <w:spacing w:line="240" w:lineRule="auto"/>
      </w:pPr>
      <w:r>
        <w:t xml:space="preserve">Les demandeurs </w:t>
      </w:r>
      <w:r w:rsidR="00083854">
        <w:t xml:space="preserve">estiment que le </w:t>
      </w:r>
      <w:r w:rsidR="65BEA6D9">
        <w:t>r</w:t>
      </w:r>
      <w:r w:rsidR="00083854">
        <w:t xml:space="preserve">èglement </w:t>
      </w:r>
      <w:r w:rsidR="005616F8">
        <w:t xml:space="preserve">R.A.V.Q. </w:t>
      </w:r>
      <w:r w:rsidR="00083854">
        <w:t>1349</w:t>
      </w:r>
      <w:r w:rsidR="009E3481">
        <w:rPr>
          <w:rStyle w:val="Appelnotedebasdep"/>
        </w:rPr>
        <w:footnoteReference w:id="127"/>
      </w:r>
      <w:r w:rsidR="00083854">
        <w:t xml:space="preserve"> de la Ville enfreint la </w:t>
      </w:r>
      <w:r w:rsidR="0050742D" w:rsidRPr="00F04F7A">
        <w:t>Charte</w:t>
      </w:r>
      <w:r w:rsidR="00083854" w:rsidRPr="00F04F7A">
        <w:t xml:space="preserve"> de la Vill</w:t>
      </w:r>
      <w:r w:rsidR="00032623" w:rsidRPr="00F04F7A">
        <w:t>e</w:t>
      </w:r>
      <w:r w:rsidR="00032623">
        <w:t xml:space="preserve"> en ce que l’organe interne de la Ville</w:t>
      </w:r>
      <w:r w:rsidR="004E7D50">
        <w:t xml:space="preserve"> apte pour modifier les dispositions d’urbanisme n’était pas le </w:t>
      </w:r>
      <w:r w:rsidR="726F0E3A">
        <w:t>c</w:t>
      </w:r>
      <w:r w:rsidR="004E7D50">
        <w:t xml:space="preserve">onseil </w:t>
      </w:r>
      <w:r w:rsidR="00086DDB">
        <w:t>d’agglomération</w:t>
      </w:r>
      <w:r w:rsidR="00572844">
        <w:t xml:space="preserve"> comme ce fut le cas</w:t>
      </w:r>
      <w:r w:rsidR="004E7D50">
        <w:t xml:space="preserve">, mais bien les arrondissements de quartiers </w:t>
      </w:r>
      <w:r w:rsidR="00572844">
        <w:t xml:space="preserve">qui seront </w:t>
      </w:r>
      <w:r w:rsidR="004E7D50">
        <w:t>traversés par les rails du tramway</w:t>
      </w:r>
      <w:r w:rsidR="00083854">
        <w:t xml:space="preserve">. </w:t>
      </w:r>
    </w:p>
    <w:p w14:paraId="06B2C0B4" w14:textId="4AA2F2AE" w:rsidR="00AD00CD" w:rsidRDefault="00AD00CD" w:rsidP="00A500FD">
      <w:pPr>
        <w:pStyle w:val="Paragrdouble"/>
        <w:spacing w:line="240" w:lineRule="auto"/>
      </w:pPr>
      <w:r>
        <w:t xml:space="preserve">À cela, la Ville répond que sa loi constitutive </w:t>
      </w:r>
      <w:r w:rsidR="003C5D64">
        <w:t>contient une exception à la règle.</w:t>
      </w:r>
    </w:p>
    <w:p w14:paraId="47C46157" w14:textId="1670336A" w:rsidR="003C5D64" w:rsidRDefault="00EE539B" w:rsidP="00A500FD">
      <w:pPr>
        <w:pStyle w:val="Paragrdouble"/>
        <w:spacing w:line="240" w:lineRule="auto"/>
      </w:pPr>
      <w:r>
        <w:t xml:space="preserve">De plus, les demandeurs plaident que la Ville n’a pas respecté </w:t>
      </w:r>
      <w:r w:rsidR="000B67F7">
        <w:t xml:space="preserve">son propre </w:t>
      </w:r>
      <w:r w:rsidR="000B67F7" w:rsidRPr="5A7F0EA4">
        <w:rPr>
          <w:i/>
          <w:iCs/>
        </w:rPr>
        <w:t xml:space="preserve">Règlement </w:t>
      </w:r>
      <w:r w:rsidR="00474BCB" w:rsidRPr="5A7F0EA4">
        <w:rPr>
          <w:i/>
          <w:iCs/>
        </w:rPr>
        <w:t>sur la politique de consultation publique</w:t>
      </w:r>
      <w:r w:rsidR="7EA59B8D" w:rsidRPr="5A7F0EA4">
        <w:rPr>
          <w:i/>
          <w:iCs/>
        </w:rPr>
        <w:t>,</w:t>
      </w:r>
      <w:r w:rsidR="00474BCB">
        <w:t xml:space="preserve"> R.V.Q. 204</w:t>
      </w:r>
      <w:r w:rsidR="003C5D64">
        <w:t>, ce que conteste la Ville</w:t>
      </w:r>
      <w:r w:rsidR="00474BCB">
        <w:t xml:space="preserve">. </w:t>
      </w:r>
    </w:p>
    <w:p w14:paraId="257DB6F7" w14:textId="731D57F6" w:rsidR="001C1BED" w:rsidRDefault="00474BCB" w:rsidP="00A500FD">
      <w:pPr>
        <w:pStyle w:val="Paragrdouble"/>
        <w:spacing w:line="240" w:lineRule="auto"/>
      </w:pPr>
      <w:r>
        <w:t xml:space="preserve">Traitons </w:t>
      </w:r>
      <w:r w:rsidR="008C66E0">
        <w:t>c</w:t>
      </w:r>
      <w:r>
        <w:t>es questions une à une</w:t>
      </w:r>
      <w:r w:rsidR="002A462A">
        <w:t>.</w:t>
      </w:r>
    </w:p>
    <w:p w14:paraId="5FD2F76A" w14:textId="7DCFF5FC" w:rsidR="002A462A" w:rsidRDefault="002A462A" w:rsidP="002A462A">
      <w:pPr>
        <w:pStyle w:val="Titre4"/>
      </w:pPr>
      <w:bookmarkStart w:id="50" w:name="_Toc124755363"/>
      <w:r>
        <w:t xml:space="preserve">La portée de l’article 74.4 de la </w:t>
      </w:r>
      <w:r w:rsidRPr="00F04F7A">
        <w:t>Charte de la Ville</w:t>
      </w:r>
      <w:bookmarkEnd w:id="50"/>
    </w:p>
    <w:p w14:paraId="5B5C9E55" w14:textId="7928CCF4" w:rsidR="00572844" w:rsidRDefault="0042514C" w:rsidP="00847F85">
      <w:pPr>
        <w:pStyle w:val="Paragrdouble"/>
        <w:spacing w:line="240" w:lineRule="auto"/>
      </w:pPr>
      <w:r>
        <w:t>La</w:t>
      </w:r>
      <w:r w:rsidR="005A3F43">
        <w:t xml:space="preserve"> Ville prétend que l</w:t>
      </w:r>
      <w:r w:rsidR="007A1ED3">
        <w:t xml:space="preserve">es </w:t>
      </w:r>
      <w:r w:rsidR="005A3F43">
        <w:t>article</w:t>
      </w:r>
      <w:r w:rsidR="007A1ED3">
        <w:t>s</w:t>
      </w:r>
      <w:r w:rsidR="005A3F43">
        <w:t xml:space="preserve"> 74.4</w:t>
      </w:r>
      <w:r w:rsidR="007A1ED3">
        <w:t xml:space="preserve"> et 74.5</w:t>
      </w:r>
      <w:r w:rsidR="005A3F43">
        <w:t xml:space="preserve"> de </w:t>
      </w:r>
      <w:r w:rsidR="00572844">
        <w:t>s</w:t>
      </w:r>
      <w:r w:rsidR="005A3F43">
        <w:t>a Charte</w:t>
      </w:r>
      <w:r w:rsidR="007A1ED3">
        <w:t xml:space="preserve"> contiennent une exception à la règle exposée par les demandeurs</w:t>
      </w:r>
      <w:r w:rsidR="00572844">
        <w:t>.</w:t>
      </w:r>
      <w:r w:rsidR="00DF2BC2">
        <w:t xml:space="preserve"> </w:t>
      </w:r>
    </w:p>
    <w:p w14:paraId="5E56A5E4" w14:textId="18ECD48F" w:rsidR="00E005C3" w:rsidRDefault="00086DDB" w:rsidP="00E005C3">
      <w:pPr>
        <w:pStyle w:val="Paragrdouble"/>
        <w:spacing w:line="240" w:lineRule="auto"/>
      </w:pPr>
      <w:r>
        <w:t xml:space="preserve">Pour éviter toute ambiguïté, </w:t>
      </w:r>
      <w:r w:rsidR="00AF1DF5">
        <w:t xml:space="preserve">clarifions </w:t>
      </w:r>
      <w:r>
        <w:t>la portée d</w:t>
      </w:r>
      <w:r w:rsidR="00AF1DF5">
        <w:t>u</w:t>
      </w:r>
      <w:r>
        <w:t xml:space="preserve"> règlement</w:t>
      </w:r>
      <w:r w:rsidR="00AF1DF5">
        <w:t xml:space="preserve"> contesté</w:t>
      </w:r>
      <w:r>
        <w:t xml:space="preserve">. </w:t>
      </w:r>
    </w:p>
    <w:p w14:paraId="0C3FF830" w14:textId="23F8E24E" w:rsidR="002A092A" w:rsidRDefault="00E005C3" w:rsidP="00847F85">
      <w:pPr>
        <w:pStyle w:val="Paragrdouble"/>
        <w:spacing w:line="240" w:lineRule="auto"/>
      </w:pPr>
      <w:r w:rsidRPr="5A7F0EA4">
        <w:rPr>
          <w:i/>
          <w:iCs/>
        </w:rPr>
        <w:t>La portée du règlement</w:t>
      </w:r>
      <w:r>
        <w:t xml:space="preserve">. </w:t>
      </w:r>
      <w:r w:rsidR="00086DDB">
        <w:t>Les demandeurs estiment qu’il ne s’agit pas seulement d’un règlement modifiant le zonage et l’urbanisme</w:t>
      </w:r>
      <w:r w:rsidR="00F412B6">
        <w:t xml:space="preserve"> comme le prétend la Ville</w:t>
      </w:r>
      <w:r w:rsidR="00086DDB">
        <w:t xml:space="preserve">, mais qu’il s’agit d’une autorisation pour la réalisation du projet de tramway. </w:t>
      </w:r>
    </w:p>
    <w:p w14:paraId="357A996A" w14:textId="73F3D4CB" w:rsidR="00F03647" w:rsidRDefault="00086DDB" w:rsidP="00847F85">
      <w:pPr>
        <w:pStyle w:val="Paragrdouble"/>
        <w:spacing w:line="240" w:lineRule="auto"/>
      </w:pPr>
      <w:r>
        <w:t>Il est vrai que, à première vue, ce règlement autorise la mise en place d’un tramway puisqu</w:t>
      </w:r>
      <w:r w:rsidR="00F412B6">
        <w:t>e l’objet</w:t>
      </w:r>
      <w:r>
        <w:t xml:space="preserve"> est </w:t>
      </w:r>
      <w:r w:rsidR="00F412B6">
        <w:t>ainsi d</w:t>
      </w:r>
      <w:r>
        <w:t>écrit</w:t>
      </w:r>
      <w:r w:rsidR="00F412B6">
        <w:t> :</w:t>
      </w:r>
      <w:r>
        <w:t xml:space="preserve"> « La réalisation du projet de tramway (…) est autorisée sur le site d’intervention illustrée aux plans de l’annexe I du présent règlement, selon les conditions prescrites au chapitre II</w:t>
      </w:r>
      <w:r w:rsidR="00B517B6">
        <w:t xml:space="preserve"> </w:t>
      </w:r>
      <w:r>
        <w:t xml:space="preserve">». </w:t>
      </w:r>
      <w:r w:rsidR="00A85BB9">
        <w:t>En fait, ce texte relève de l’urbanisme puisque l’annexe 1 auquel réfère le règlement décrit l’assise au sol du trajet que parcourra le tramway d’</w:t>
      </w:r>
      <w:r w:rsidR="361F2A36">
        <w:t>e</w:t>
      </w:r>
      <w:r w:rsidR="00A85BB9">
        <w:t xml:space="preserve">st en </w:t>
      </w:r>
      <w:r w:rsidR="128E799A">
        <w:t>o</w:t>
      </w:r>
      <w:r w:rsidR="00A85BB9">
        <w:t xml:space="preserve">uest. Et au chapitre II sont décrites les normes d’urbanisme applicables sur ce parcours. </w:t>
      </w:r>
      <w:r w:rsidR="00F03647">
        <w:t xml:space="preserve">Autrement dit, </w:t>
      </w:r>
      <w:r w:rsidR="00500BFB">
        <w:t>il faut lire : « La réalisation du projet de tramway</w:t>
      </w:r>
      <w:r w:rsidR="00E72345">
        <w:t xml:space="preserve"> doit se conformer aux normes d’urbanisme </w:t>
      </w:r>
      <w:r w:rsidR="0051030F">
        <w:t>contenues dans ce règlement »</w:t>
      </w:r>
      <w:r w:rsidR="5703DE91">
        <w:t>.</w:t>
      </w:r>
    </w:p>
    <w:p w14:paraId="74E929D0" w14:textId="1AE5D0E2" w:rsidR="007B0914" w:rsidRDefault="00610EC0" w:rsidP="007B0914">
      <w:pPr>
        <w:pStyle w:val="Paragrdouble"/>
        <w:spacing w:line="240" w:lineRule="auto"/>
      </w:pPr>
      <w:r w:rsidRPr="5A7F0EA4">
        <w:rPr>
          <w:i/>
          <w:iCs/>
        </w:rPr>
        <w:t>Les vrais règlements qui autorisent le projet de tramway</w:t>
      </w:r>
      <w:r>
        <w:t xml:space="preserve">. </w:t>
      </w:r>
      <w:r w:rsidR="007B0914">
        <w:t xml:space="preserve">Les règlements autorisant la </w:t>
      </w:r>
      <w:r w:rsidR="007B0914" w:rsidRPr="5A7F0EA4">
        <w:rPr>
          <w:b/>
          <w:bCs/>
        </w:rPr>
        <w:t>réalisation</w:t>
      </w:r>
      <w:r w:rsidR="007B0914">
        <w:t xml:space="preserve"> des travaux du projet de tramway sont plus amplement décrits au chapitre </w:t>
      </w:r>
      <w:r w:rsidR="00A100C4">
        <w:t>2.5.1</w:t>
      </w:r>
      <w:r w:rsidR="007B0914">
        <w:t xml:space="preserve">. </w:t>
      </w:r>
    </w:p>
    <w:p w14:paraId="59B8CD75" w14:textId="6C3762FC" w:rsidR="00CE4368" w:rsidRDefault="007D416F" w:rsidP="00847F85">
      <w:pPr>
        <w:pStyle w:val="Paragrdouble"/>
        <w:spacing w:line="240" w:lineRule="auto"/>
      </w:pPr>
      <w:r>
        <w:t xml:space="preserve"> </w:t>
      </w:r>
      <w:r w:rsidR="000E76EC" w:rsidRPr="5A7F0EA4">
        <w:rPr>
          <w:i/>
          <w:iCs/>
        </w:rPr>
        <w:t>Les</w:t>
      </w:r>
      <w:r w:rsidRPr="5A7F0EA4">
        <w:rPr>
          <w:i/>
          <w:iCs/>
        </w:rPr>
        <w:t xml:space="preserve"> motifs justifiant l’adoption </w:t>
      </w:r>
      <w:r w:rsidR="000E76EC" w:rsidRPr="5A7F0EA4">
        <w:rPr>
          <w:i/>
          <w:iCs/>
        </w:rPr>
        <w:t>de ce règlement d’urbanisme</w:t>
      </w:r>
      <w:r w:rsidR="000E76EC">
        <w:t xml:space="preserve">. </w:t>
      </w:r>
      <w:r w:rsidR="347680A9">
        <w:t>L</w:t>
      </w:r>
      <w:r w:rsidR="00092665">
        <w:t xml:space="preserve">es motifs qui ont incité la </w:t>
      </w:r>
      <w:r w:rsidR="00B5779B">
        <w:t>V</w:t>
      </w:r>
      <w:r w:rsidR="00092665">
        <w:t>ille à procéder</w:t>
      </w:r>
      <w:r w:rsidR="0085108C">
        <w:t xml:space="preserve"> par l’adoption du règlement</w:t>
      </w:r>
      <w:r>
        <w:t xml:space="preserve"> </w:t>
      </w:r>
      <w:r w:rsidR="0085108C">
        <w:t>d’urbanisme R.A.V.Q. 1349 se r</w:t>
      </w:r>
      <w:r w:rsidR="00250B8E">
        <w:t>etrouvent dans la déclaration sous serment de Monsieur François Trudel, directeur du service de la planification de l’aménagement et de l’environnement</w:t>
      </w:r>
      <w:r w:rsidR="00153D40">
        <w:t> :</w:t>
      </w:r>
    </w:p>
    <w:p w14:paraId="778B2C7B" w14:textId="23DD4579" w:rsidR="001869F6" w:rsidRPr="00ED04F6" w:rsidRDefault="00F47448" w:rsidP="00153D40">
      <w:pPr>
        <w:pStyle w:val="Paragrdouble"/>
        <w:numPr>
          <w:ilvl w:val="0"/>
          <w:numId w:val="0"/>
        </w:numPr>
        <w:spacing w:line="240" w:lineRule="auto"/>
        <w:ind w:left="731" w:right="573"/>
        <w:rPr>
          <w:sz w:val="22"/>
          <w:szCs w:val="22"/>
        </w:rPr>
      </w:pPr>
      <w:r w:rsidRPr="00ED04F6">
        <w:rPr>
          <w:sz w:val="22"/>
          <w:szCs w:val="22"/>
        </w:rPr>
        <w:t>5. Plus spécifiquement, à l’égard des règlements de zonage de la ville, il appert que le tracé du tramway</w:t>
      </w:r>
      <w:r w:rsidR="001869F6" w:rsidRPr="00ED04F6">
        <w:rPr>
          <w:sz w:val="22"/>
          <w:szCs w:val="22"/>
        </w:rPr>
        <w:t xml:space="preserve"> traverse environ 156 zones et concerne environ 313 zones contiguës, lesquels sont localisées dans trois arrondissements;</w:t>
      </w:r>
    </w:p>
    <w:p w14:paraId="7C8F4FCC" w14:textId="3F738021" w:rsidR="001869F6" w:rsidRPr="00ED04F6" w:rsidRDefault="001869F6" w:rsidP="00153D40">
      <w:pPr>
        <w:pStyle w:val="Paragrdouble"/>
        <w:numPr>
          <w:ilvl w:val="0"/>
          <w:numId w:val="0"/>
        </w:numPr>
        <w:spacing w:line="240" w:lineRule="auto"/>
        <w:ind w:left="731" w:right="573"/>
        <w:rPr>
          <w:sz w:val="22"/>
          <w:szCs w:val="22"/>
        </w:rPr>
      </w:pPr>
      <w:r w:rsidRPr="00ED04F6">
        <w:rPr>
          <w:sz w:val="22"/>
          <w:szCs w:val="22"/>
        </w:rPr>
        <w:t xml:space="preserve">6. L’adoption d’un cadre réglementaire adapté à la nature du projet est donc apparue nécessaire, sans quoi de multiples modifications à la réglementation relevant de la compétence de diverses instances décisionnelles municipales (conseil de ville, conseil d’arrondissement, </w:t>
      </w:r>
      <w:r w:rsidR="00E61F98" w:rsidRPr="00ED04F6">
        <w:rPr>
          <w:sz w:val="22"/>
          <w:szCs w:val="22"/>
        </w:rPr>
        <w:t>C</w:t>
      </w:r>
      <w:r w:rsidRPr="00ED04F6">
        <w:rPr>
          <w:sz w:val="22"/>
          <w:szCs w:val="22"/>
        </w:rPr>
        <w:t>ommission d’urbanisme et de conservation de Québec) serait requise</w:t>
      </w:r>
      <w:r w:rsidR="00E61F98" w:rsidRPr="00ED04F6">
        <w:rPr>
          <w:sz w:val="22"/>
          <w:szCs w:val="22"/>
        </w:rPr>
        <w:t>s</w:t>
      </w:r>
      <w:r w:rsidRPr="00ED04F6">
        <w:rPr>
          <w:sz w:val="22"/>
          <w:szCs w:val="22"/>
        </w:rPr>
        <w:t>;</w:t>
      </w:r>
    </w:p>
    <w:p w14:paraId="753B69E6" w14:textId="7ABF0A65" w:rsidR="00153D40" w:rsidRPr="00ED04F6" w:rsidRDefault="00E61F98" w:rsidP="00153D40">
      <w:pPr>
        <w:pStyle w:val="Paragrdouble"/>
        <w:numPr>
          <w:ilvl w:val="0"/>
          <w:numId w:val="0"/>
        </w:numPr>
        <w:spacing w:line="240" w:lineRule="auto"/>
        <w:ind w:left="731" w:right="573"/>
        <w:rPr>
          <w:sz w:val="22"/>
          <w:szCs w:val="22"/>
        </w:rPr>
      </w:pPr>
      <w:r w:rsidRPr="00ED04F6">
        <w:rPr>
          <w:sz w:val="22"/>
          <w:szCs w:val="22"/>
        </w:rPr>
        <w:t>7. E</w:t>
      </w:r>
      <w:r w:rsidR="001869F6" w:rsidRPr="00ED04F6">
        <w:rPr>
          <w:sz w:val="22"/>
          <w:szCs w:val="22"/>
        </w:rPr>
        <w:t xml:space="preserve">n conséquence, j’ai recommandé au conseil d’agglomération d’adopter un règlement </w:t>
      </w:r>
      <w:r w:rsidR="00BF7B08" w:rsidRPr="00ED04F6">
        <w:rPr>
          <w:sz w:val="22"/>
          <w:szCs w:val="22"/>
        </w:rPr>
        <w:t xml:space="preserve">en </w:t>
      </w:r>
      <w:r w:rsidR="001869F6" w:rsidRPr="00ED04F6">
        <w:rPr>
          <w:sz w:val="22"/>
          <w:szCs w:val="22"/>
        </w:rPr>
        <w:t xml:space="preserve">vertu de </w:t>
      </w:r>
      <w:r w:rsidRPr="00ED04F6">
        <w:rPr>
          <w:sz w:val="22"/>
          <w:szCs w:val="22"/>
        </w:rPr>
        <w:t>l’</w:t>
      </w:r>
      <w:r w:rsidR="001869F6" w:rsidRPr="00ED04F6">
        <w:rPr>
          <w:sz w:val="22"/>
          <w:szCs w:val="22"/>
        </w:rPr>
        <w:t>article 74</w:t>
      </w:r>
      <w:r w:rsidRPr="00ED04F6">
        <w:rPr>
          <w:sz w:val="22"/>
          <w:szCs w:val="22"/>
        </w:rPr>
        <w:t>.4</w:t>
      </w:r>
      <w:r w:rsidR="001869F6" w:rsidRPr="00ED04F6">
        <w:rPr>
          <w:sz w:val="22"/>
          <w:szCs w:val="22"/>
        </w:rPr>
        <w:t xml:space="preserve"> de la </w:t>
      </w:r>
      <w:r w:rsidRPr="00ED04F6">
        <w:rPr>
          <w:i/>
          <w:sz w:val="22"/>
          <w:szCs w:val="22"/>
        </w:rPr>
        <w:t>C</w:t>
      </w:r>
      <w:r w:rsidR="001869F6" w:rsidRPr="00ED04F6">
        <w:rPr>
          <w:i/>
          <w:sz w:val="22"/>
          <w:szCs w:val="22"/>
        </w:rPr>
        <w:t xml:space="preserve">harte de la </w:t>
      </w:r>
      <w:r w:rsidRPr="00ED04F6">
        <w:rPr>
          <w:i/>
          <w:sz w:val="22"/>
          <w:szCs w:val="22"/>
        </w:rPr>
        <w:t>V</w:t>
      </w:r>
      <w:r w:rsidR="001869F6" w:rsidRPr="00ED04F6">
        <w:rPr>
          <w:i/>
          <w:sz w:val="22"/>
          <w:szCs w:val="22"/>
        </w:rPr>
        <w:t>ille de Québec</w:t>
      </w:r>
      <w:r w:rsidR="001869F6" w:rsidRPr="00ED04F6">
        <w:rPr>
          <w:sz w:val="22"/>
          <w:szCs w:val="22"/>
        </w:rPr>
        <w:t>, s’agissant d’apporter des modifications réglementaires visant un équipement collectif ou une grande infrastructure;</w:t>
      </w:r>
    </w:p>
    <w:p w14:paraId="66C3FE42" w14:textId="1AA60A49" w:rsidR="00341217" w:rsidRDefault="00E01AD4" w:rsidP="00847F85">
      <w:pPr>
        <w:pStyle w:val="Paragrdouble"/>
        <w:spacing w:line="240" w:lineRule="auto"/>
      </w:pPr>
      <w:r>
        <w:t>Monsieur Trudel explique que ce règlement modifi</w:t>
      </w:r>
      <w:r w:rsidR="5B20429D">
        <w:t>e</w:t>
      </w:r>
      <w:r>
        <w:t xml:space="preserve"> les règles d’urbanisme applicable</w:t>
      </w:r>
      <w:r w:rsidR="0487FFD0">
        <w:t>s</w:t>
      </w:r>
      <w:r w:rsidR="0044666D">
        <w:t xml:space="preserve"> afin de permettre l’implantation des infrastructures, comme les stations, les locaux techniques, les pôles d’échanges et le centre d’exploitation. </w:t>
      </w:r>
      <w:r w:rsidR="00A90FED">
        <w:t>À la suite d’un avis de motion donné le 4 mai 2022, une assemblée publique de consultation a eu lieu à laquelle ont participé 136 personnes</w:t>
      </w:r>
      <w:r w:rsidR="009651A5">
        <w:t xml:space="preserve"> dont un certain nombre de demandeurs. 57 personnes ont transmis des commentaires ou des questions. Un rapport de démarche de participation publique a été déposé au conseil d’agglomération et le règlement a par la suite été adopté</w:t>
      </w:r>
      <w:r w:rsidR="00300F09">
        <w:t xml:space="preserve"> le 6 juillet pour une entrée en vigueur le 7 juillet 2022.</w:t>
      </w:r>
    </w:p>
    <w:p w14:paraId="747E5F7E" w14:textId="2D750919" w:rsidR="00A1496A" w:rsidRPr="0081594A" w:rsidRDefault="00A1496A" w:rsidP="00A1496A">
      <w:pPr>
        <w:pStyle w:val="Paragrdouble"/>
        <w:spacing w:line="240" w:lineRule="auto"/>
      </w:pPr>
      <w:r>
        <w:t xml:space="preserve">Pour démontrer que l’utilisation de l’article 74.4 n’est pas un cas isolé utilisé pour contourner de façon intentionnelle l’esprit de la loi, Monsieur François Trudel explique que cet article a été utilisé dans 120 projets </w:t>
      </w:r>
      <w:r w:rsidR="00A02BFA">
        <w:t xml:space="preserve">de la Ville </w:t>
      </w:r>
      <w:r>
        <w:t xml:space="preserve">depuis 2003. </w:t>
      </w:r>
    </w:p>
    <w:p w14:paraId="230EAB61" w14:textId="71252E20" w:rsidR="00572844" w:rsidRDefault="0017533A" w:rsidP="00847F85">
      <w:pPr>
        <w:pStyle w:val="Paragrdouble"/>
        <w:spacing w:line="240" w:lineRule="auto"/>
      </w:pPr>
      <w:r w:rsidRPr="3B6B4641">
        <w:rPr>
          <w:i/>
          <w:iCs/>
        </w:rPr>
        <w:t>L</w:t>
      </w:r>
      <w:r w:rsidR="00BE58E0" w:rsidRPr="3B6B4641">
        <w:rPr>
          <w:i/>
          <w:iCs/>
        </w:rPr>
        <w:t xml:space="preserve">e rôle de l’article 74.4 </w:t>
      </w:r>
      <w:r w:rsidR="11FDDD62" w:rsidRPr="3B6B4641">
        <w:rPr>
          <w:i/>
          <w:iCs/>
        </w:rPr>
        <w:t>(</w:t>
      </w:r>
      <w:r w:rsidR="00BE58E0" w:rsidRPr="3B6B4641">
        <w:rPr>
          <w:i/>
          <w:iCs/>
        </w:rPr>
        <w:t>2) de la Charte de la Ville</w:t>
      </w:r>
      <w:r w:rsidR="00BE58E0">
        <w:t xml:space="preserve">. </w:t>
      </w:r>
      <w:r w:rsidR="00572844">
        <w:t>L</w:t>
      </w:r>
      <w:r w:rsidR="00DF2BC2">
        <w:t xml:space="preserve">es demandeurs sont d’avis que l’article 74.4 </w:t>
      </w:r>
      <w:r w:rsidR="0E44BF41">
        <w:t>(</w:t>
      </w:r>
      <w:r w:rsidR="00DF2BC2">
        <w:t xml:space="preserve">2) </w:t>
      </w:r>
      <w:r w:rsidR="00A85BB9">
        <w:t>de la Charte de la Ville</w:t>
      </w:r>
      <w:r w:rsidR="00A85BB9" w:rsidRPr="3B6B4641">
        <w:rPr>
          <w:i/>
          <w:iCs/>
        </w:rPr>
        <w:t xml:space="preserve"> </w:t>
      </w:r>
      <w:r w:rsidR="00DF2BC2">
        <w:t>est une disposition habilitante</w:t>
      </w:r>
      <w:r w:rsidR="0065402F">
        <w:t xml:space="preserve"> qui doit se lire restrictivement afin de favoriser le droit des citoyens d’exprimer leur droit de vote dans le cadre d’un référendum.</w:t>
      </w:r>
    </w:p>
    <w:p w14:paraId="3D1593AD" w14:textId="77B33FD8" w:rsidR="00677227" w:rsidRDefault="00677227" w:rsidP="00677227">
      <w:pPr>
        <w:pStyle w:val="Paragrdouble"/>
        <w:spacing w:line="240" w:lineRule="auto"/>
      </w:pPr>
      <w:r>
        <w:t xml:space="preserve">D’entrée de jeu, ne perdons pas </w:t>
      </w:r>
      <w:r w:rsidR="60B8E4EA">
        <w:t xml:space="preserve">de </w:t>
      </w:r>
      <w:r>
        <w:t>vue que, contrairement à ce que plaident les demandeurs, une abondante jurisprudence favorise l’interprétation des lois municipales de façon large, fondée sur l’objet</w:t>
      </w:r>
      <w:r>
        <w:rPr>
          <w:rStyle w:val="Appelnotedebasdep"/>
          <w:sz w:val="22"/>
          <w:szCs w:val="22"/>
        </w:rPr>
        <w:footnoteReference w:id="128"/>
      </w:r>
      <w:r>
        <w:t>.</w:t>
      </w:r>
    </w:p>
    <w:p w14:paraId="4DF66A66" w14:textId="7C0A4CD3" w:rsidR="00844E2A" w:rsidRDefault="00572844" w:rsidP="00847F85">
      <w:pPr>
        <w:pStyle w:val="Paragrdouble"/>
        <w:spacing w:line="240" w:lineRule="auto"/>
      </w:pPr>
      <w:r>
        <w:t xml:space="preserve">La question </w:t>
      </w:r>
      <w:r w:rsidR="00A404D2">
        <w:t>qui doit trouver réponse</w:t>
      </w:r>
      <w:r>
        <w:t xml:space="preserve"> s’énonce comme suit :</w:t>
      </w:r>
    </w:p>
    <w:p w14:paraId="5F4261F0" w14:textId="5EA7D616" w:rsidR="00572844" w:rsidRPr="00572844" w:rsidRDefault="00572844" w:rsidP="00572844">
      <w:pPr>
        <w:pStyle w:val="Paragrdouble"/>
        <w:numPr>
          <w:ilvl w:val="0"/>
          <w:numId w:val="0"/>
        </w:numPr>
        <w:spacing w:line="240" w:lineRule="auto"/>
        <w:ind w:left="731" w:right="573"/>
        <w:rPr>
          <w:sz w:val="22"/>
          <w:szCs w:val="22"/>
        </w:rPr>
      </w:pPr>
      <w:r w:rsidRPr="3B6B4641">
        <w:rPr>
          <w:sz w:val="22"/>
          <w:szCs w:val="22"/>
        </w:rPr>
        <w:t xml:space="preserve">Le tramway </w:t>
      </w:r>
      <w:r w:rsidR="00A85BB9" w:rsidRPr="3B6B4641">
        <w:rPr>
          <w:sz w:val="22"/>
          <w:szCs w:val="22"/>
        </w:rPr>
        <w:t>constitue-</w:t>
      </w:r>
      <w:r w:rsidRPr="3B6B4641">
        <w:rPr>
          <w:sz w:val="22"/>
          <w:szCs w:val="22"/>
        </w:rPr>
        <w:t xml:space="preserve">t-il une « grande infrastructure » au sens de l’article 74.4 </w:t>
      </w:r>
      <w:r w:rsidR="4D6AD8C1" w:rsidRPr="3B6B4641">
        <w:rPr>
          <w:sz w:val="22"/>
          <w:szCs w:val="22"/>
        </w:rPr>
        <w:t>(</w:t>
      </w:r>
      <w:r w:rsidRPr="3B6B4641">
        <w:rPr>
          <w:sz w:val="22"/>
          <w:szCs w:val="22"/>
        </w:rPr>
        <w:t>2) de la Charte de la Ville?</w:t>
      </w:r>
    </w:p>
    <w:p w14:paraId="006914FE" w14:textId="0D90C722" w:rsidR="00F07A92" w:rsidRDefault="00F07A92" w:rsidP="001E2E9F">
      <w:pPr>
        <w:pStyle w:val="Paragrdouble"/>
        <w:spacing w:line="240" w:lineRule="auto"/>
      </w:pPr>
      <w:r>
        <w:t>La Ville a invité le Tribunal à considérer</w:t>
      </w:r>
      <w:r w:rsidR="0060581A">
        <w:t xml:space="preserve"> l’alinéa précédent qui la dispenserait aussi de référendum </w:t>
      </w:r>
      <w:r w:rsidR="00F2404D">
        <w:t xml:space="preserve">si l’on devait considérer le tramway comme un « équipement collectif ou institutionnel ». Considérant la réponse </w:t>
      </w:r>
      <w:r w:rsidR="00B645D1">
        <w:t>donnée par le Tribunal en regard de la notion de « grandes infrastructures », il n’est pas utile d’en disposer, bien que l’argument de la Ville soit intéressant.</w:t>
      </w:r>
    </w:p>
    <w:p w14:paraId="28B8F0F0" w14:textId="01AEF8B3" w:rsidR="00B43DCA" w:rsidRDefault="00A404D2" w:rsidP="001E2E9F">
      <w:pPr>
        <w:pStyle w:val="Paragrdouble"/>
        <w:spacing w:line="240" w:lineRule="auto"/>
      </w:pPr>
      <w:r>
        <w:t>Pour comprendre la portée de cette question, v</w:t>
      </w:r>
      <w:r w:rsidR="001411DA">
        <w:t>oyons d’abord l</w:t>
      </w:r>
      <w:r w:rsidR="001C0F00">
        <w:t xml:space="preserve">es </w:t>
      </w:r>
      <w:r w:rsidR="00B43DCA">
        <w:t>article</w:t>
      </w:r>
      <w:r w:rsidR="001C0F00">
        <w:t>s</w:t>
      </w:r>
      <w:r w:rsidR="00B43DCA">
        <w:t xml:space="preserve"> 74.4</w:t>
      </w:r>
      <w:r w:rsidR="001C0F00">
        <w:t xml:space="preserve"> et 74.5</w:t>
      </w:r>
      <w:r w:rsidR="00B43DCA">
        <w:t xml:space="preserve"> de la Charte de la Ville </w:t>
      </w:r>
      <w:r w:rsidR="001E2E9F">
        <w:t xml:space="preserve">dans </w:t>
      </w:r>
      <w:r w:rsidR="001C0F00">
        <w:t>leur</w:t>
      </w:r>
      <w:r w:rsidR="001E2E9F">
        <w:t xml:space="preserve"> entièreté</w:t>
      </w:r>
      <w:r w:rsidR="001C0F00">
        <w:t xml:space="preserve">. Ces articles se situent dans le chapitre traitant des compétences, dans la section </w:t>
      </w:r>
      <w:r w:rsidR="00064CEB">
        <w:t xml:space="preserve">définissant les pouvoirs du </w:t>
      </w:r>
      <w:r w:rsidR="317E87DD">
        <w:t>c</w:t>
      </w:r>
      <w:r w:rsidR="00064CEB">
        <w:t xml:space="preserve">onseil </w:t>
      </w:r>
      <w:r w:rsidR="399A1FF8">
        <w:t>de la ville</w:t>
      </w:r>
      <w:r w:rsidR="00064CEB">
        <w:t>. Par opposition, les pouvoirs des conseils d’arrondissement se trouvent aux articles 113 et suivants</w:t>
      </w:r>
      <w:r w:rsidR="000825D5">
        <w:t>, lesquels comprennent les pouvoirs en matière d’urbanisme de façon générale</w:t>
      </w:r>
      <w:r w:rsidR="001E2E9F">
        <w:t> </w:t>
      </w:r>
      <w:r w:rsidR="00B43DCA">
        <w:t xml:space="preserve">: </w:t>
      </w:r>
    </w:p>
    <w:p w14:paraId="497CC605" w14:textId="74C946BA" w:rsidR="00B43DCA" w:rsidRPr="00B43DCA" w:rsidRDefault="00B43DCA" w:rsidP="00B43DCA">
      <w:pPr>
        <w:pStyle w:val="Paragrdouble"/>
        <w:numPr>
          <w:ilvl w:val="0"/>
          <w:numId w:val="0"/>
        </w:numPr>
        <w:spacing w:line="240" w:lineRule="auto"/>
        <w:ind w:left="731" w:right="573"/>
        <w:rPr>
          <w:sz w:val="22"/>
          <w:szCs w:val="18"/>
        </w:rPr>
      </w:pPr>
      <w:r w:rsidRPr="00572844">
        <w:rPr>
          <w:b/>
          <w:bCs/>
          <w:sz w:val="22"/>
          <w:szCs w:val="18"/>
        </w:rPr>
        <w:t>74.4</w:t>
      </w:r>
      <w:r w:rsidRPr="00B43DCA">
        <w:rPr>
          <w:sz w:val="22"/>
          <w:szCs w:val="18"/>
        </w:rPr>
        <w:t>. Malgré tout règlement adopté par un conseil d’arrondissement, le conseil de la ville peut, par règlement, permettre la réalisation d’un projet qui est relatif:</w:t>
      </w:r>
    </w:p>
    <w:p w14:paraId="52C59C8F" w14:textId="77777777" w:rsidR="00B43DCA" w:rsidRPr="00B43DCA" w:rsidRDefault="00B43DCA" w:rsidP="00B43DCA">
      <w:pPr>
        <w:pStyle w:val="Paragrdouble"/>
        <w:numPr>
          <w:ilvl w:val="0"/>
          <w:numId w:val="0"/>
        </w:numPr>
        <w:spacing w:line="240" w:lineRule="auto"/>
        <w:ind w:left="731" w:right="573"/>
        <w:rPr>
          <w:sz w:val="22"/>
          <w:szCs w:val="18"/>
        </w:rPr>
      </w:pPr>
      <w:r w:rsidRPr="00B43DCA">
        <w:rPr>
          <w:sz w:val="22"/>
          <w:szCs w:val="18"/>
        </w:rPr>
        <w:t>1°  à un équipement collectif ou institutionnel, tel un équipement culturel, un hôpital, une université, un collège, un centre des congrès, un établissement de détention, un cimetière, un parc régional ou un jardin botanique;</w:t>
      </w:r>
    </w:p>
    <w:p w14:paraId="021405A0" w14:textId="77777777" w:rsidR="00B43DCA" w:rsidRPr="00B43DCA" w:rsidRDefault="00B43DCA" w:rsidP="00B43DCA">
      <w:pPr>
        <w:pStyle w:val="Paragrdouble"/>
        <w:numPr>
          <w:ilvl w:val="0"/>
          <w:numId w:val="0"/>
        </w:numPr>
        <w:spacing w:line="240" w:lineRule="auto"/>
        <w:ind w:left="731" w:right="573"/>
        <w:rPr>
          <w:sz w:val="22"/>
          <w:szCs w:val="18"/>
        </w:rPr>
      </w:pPr>
      <w:r w:rsidRPr="00B43DCA">
        <w:rPr>
          <w:sz w:val="22"/>
          <w:szCs w:val="18"/>
        </w:rPr>
        <w:t xml:space="preserve">2°  </w:t>
      </w:r>
      <w:r w:rsidRPr="00FA07F3">
        <w:rPr>
          <w:sz w:val="22"/>
          <w:szCs w:val="18"/>
          <w:u w:val="single"/>
        </w:rPr>
        <w:t xml:space="preserve">à de grandes </w:t>
      </w:r>
      <w:r w:rsidRPr="003E367A">
        <w:rPr>
          <w:sz w:val="22"/>
          <w:szCs w:val="18"/>
          <w:u w:val="single"/>
        </w:rPr>
        <w:t>infrastructures, tel un aéroport, un port, une gare, une cour ou une gare de triage ou un établissement d’assainissement, de filtration ou d’épuration des eaux</w:t>
      </w:r>
      <w:r w:rsidRPr="00B43DCA">
        <w:rPr>
          <w:sz w:val="22"/>
          <w:szCs w:val="18"/>
        </w:rPr>
        <w:t>;</w:t>
      </w:r>
    </w:p>
    <w:p w14:paraId="55287F46" w14:textId="77777777" w:rsidR="00B43DCA" w:rsidRPr="00B43DCA" w:rsidRDefault="00B43DCA" w:rsidP="00B43DCA">
      <w:pPr>
        <w:pStyle w:val="Paragrdouble"/>
        <w:numPr>
          <w:ilvl w:val="0"/>
          <w:numId w:val="0"/>
        </w:numPr>
        <w:spacing w:line="240" w:lineRule="auto"/>
        <w:ind w:left="731" w:right="573"/>
        <w:rPr>
          <w:sz w:val="22"/>
          <w:szCs w:val="18"/>
        </w:rPr>
      </w:pPr>
      <w:r w:rsidRPr="00B43DCA">
        <w:rPr>
          <w:sz w:val="22"/>
          <w:szCs w:val="18"/>
        </w:rPr>
        <w:t>3°  à un établissement résidentiel, commercial ou industriel dont la superficie de plancher est supérieure à 25 000 m2;</w:t>
      </w:r>
    </w:p>
    <w:p w14:paraId="0DA78A75" w14:textId="027BE783" w:rsidR="00B43DCA" w:rsidRPr="00B43DCA" w:rsidRDefault="00B43DCA" w:rsidP="00B43DCA">
      <w:pPr>
        <w:pStyle w:val="Paragrdouble"/>
        <w:numPr>
          <w:ilvl w:val="0"/>
          <w:numId w:val="0"/>
        </w:numPr>
        <w:spacing w:line="240" w:lineRule="auto"/>
        <w:ind w:left="731" w:right="573"/>
        <w:rPr>
          <w:sz w:val="22"/>
          <w:szCs w:val="18"/>
        </w:rPr>
      </w:pPr>
      <w:r w:rsidRPr="00B43DCA">
        <w:rPr>
          <w:sz w:val="22"/>
          <w:szCs w:val="18"/>
        </w:rPr>
        <w:t xml:space="preserve">4°  à de l’habitation destinée à des personnes ayant besoin d’aide, de protection, de soins ou d’hébergement, notamment dans le cadre d’un programme de logement social mis en </w:t>
      </w:r>
      <w:r w:rsidR="006C41D3" w:rsidRPr="00B43DCA">
        <w:rPr>
          <w:sz w:val="22"/>
          <w:szCs w:val="18"/>
        </w:rPr>
        <w:t>œuvre</w:t>
      </w:r>
      <w:r w:rsidRPr="00B43DCA">
        <w:rPr>
          <w:sz w:val="22"/>
          <w:szCs w:val="18"/>
        </w:rPr>
        <w:t xml:space="preserve"> en vertu de la Loi sur la Société d’habitation du Québec (chapitre S-8</w:t>
      </w:r>
    </w:p>
    <w:p w14:paraId="54EF4EBB" w14:textId="49724375" w:rsidR="00B43DCA" w:rsidRPr="00B43DCA" w:rsidRDefault="00B43DCA" w:rsidP="00B43DCA">
      <w:pPr>
        <w:pStyle w:val="Paragrdouble"/>
        <w:numPr>
          <w:ilvl w:val="0"/>
          <w:numId w:val="0"/>
        </w:numPr>
        <w:spacing w:line="240" w:lineRule="auto"/>
        <w:ind w:left="731" w:right="573"/>
        <w:rPr>
          <w:sz w:val="22"/>
          <w:szCs w:val="18"/>
        </w:rPr>
      </w:pPr>
      <w:r w:rsidRPr="00B43DCA">
        <w:rPr>
          <w:sz w:val="22"/>
          <w:szCs w:val="18"/>
        </w:rPr>
        <w:t>5°  à un immeuble patrimonial classé ou cité conformément à la Loi sur le patrimoine culturel (chapitre P-9.002) ou dont le site envisagé est situé dans un site patrimonial classé, déclaré ou cité au sens de cette loi.</w:t>
      </w:r>
    </w:p>
    <w:p w14:paraId="1719FF6E" w14:textId="77777777" w:rsidR="005C14A5" w:rsidRDefault="00B43DCA" w:rsidP="005C14A5">
      <w:pPr>
        <w:pStyle w:val="Paragrdouble"/>
        <w:numPr>
          <w:ilvl w:val="0"/>
          <w:numId w:val="0"/>
        </w:numPr>
        <w:spacing w:line="240" w:lineRule="auto"/>
        <w:ind w:left="731" w:right="573"/>
        <w:rPr>
          <w:sz w:val="22"/>
          <w:szCs w:val="18"/>
        </w:rPr>
      </w:pPr>
      <w:r w:rsidRPr="00B43DCA">
        <w:rPr>
          <w:sz w:val="22"/>
          <w:szCs w:val="18"/>
        </w:rPr>
        <w:t>Un règlement adopté en vertu du premier alinéa ne peut contenir que les règles d’urbanisme nécessaires à la réalisation du projet. Il a pour effet de modifier tout règlement en vigueur adopté par le conseil d’arrondissement, dans la mesure qu’il doit prévoir de manière précise et spécifique.</w:t>
      </w:r>
    </w:p>
    <w:p w14:paraId="0D1F1C5B" w14:textId="5CE78432" w:rsidR="005A4CC4" w:rsidRPr="005A4CC4" w:rsidRDefault="005C14A5" w:rsidP="005C14A5">
      <w:pPr>
        <w:pStyle w:val="Paragrdouble"/>
        <w:numPr>
          <w:ilvl w:val="0"/>
          <w:numId w:val="0"/>
        </w:numPr>
        <w:spacing w:line="240" w:lineRule="auto"/>
        <w:ind w:left="731" w:right="573"/>
        <w:rPr>
          <w:sz w:val="22"/>
          <w:szCs w:val="18"/>
        </w:rPr>
      </w:pPr>
      <w:r w:rsidRPr="005C14A5">
        <w:rPr>
          <w:b/>
          <w:bCs/>
          <w:sz w:val="22"/>
          <w:szCs w:val="18"/>
        </w:rPr>
        <w:t>74.5</w:t>
      </w:r>
      <w:r>
        <w:rPr>
          <w:sz w:val="22"/>
          <w:szCs w:val="18"/>
        </w:rPr>
        <w:t xml:space="preserve"> </w:t>
      </w:r>
      <w:r w:rsidR="005A4CC4" w:rsidRPr="00572844">
        <w:rPr>
          <w:sz w:val="22"/>
          <w:szCs w:val="18"/>
        </w:rPr>
        <w:t>Malgré le troisième alinéa de l’article 123 de la Loi sur l’aménagement et l’urbanisme (</w:t>
      </w:r>
      <w:hyperlink r:id="rId24" w:tgtFrame="_blank" w:history="1">
        <w:r w:rsidR="00A100C4">
          <w:rPr>
            <w:sz w:val="22"/>
            <w:szCs w:val="18"/>
          </w:rPr>
          <w:t>chapitre A-19.1</w:t>
        </w:r>
      </w:hyperlink>
      <w:r w:rsidR="005A4CC4" w:rsidRPr="00572844">
        <w:rPr>
          <w:sz w:val="22"/>
          <w:szCs w:val="18"/>
        </w:rPr>
        <w:t>), un règlement adopté par le conseil de la ville en vertu de l’article 74.4 n’est pas susceptible d’approbation référendaire, sauf dans le cas d’un règlement permettant la réalisation d’un projet visé au paragraphe 5° du premier alinéa de cet article.</w:t>
      </w:r>
    </w:p>
    <w:p w14:paraId="7D8F9650" w14:textId="77777777" w:rsidR="005A4CC4" w:rsidRDefault="005A4CC4" w:rsidP="005A4CC4">
      <w:pPr>
        <w:pStyle w:val="Paragrdouble"/>
        <w:numPr>
          <w:ilvl w:val="0"/>
          <w:numId w:val="0"/>
        </w:numPr>
        <w:spacing w:line="240" w:lineRule="auto"/>
        <w:ind w:left="731" w:right="573"/>
        <w:rPr>
          <w:sz w:val="22"/>
          <w:szCs w:val="18"/>
        </w:rPr>
      </w:pPr>
      <w:r w:rsidRPr="00572844">
        <w:rPr>
          <w:sz w:val="22"/>
          <w:szCs w:val="18"/>
        </w:rPr>
        <w:t>Les articles 124 à 127 de la Loi sur l’aménagement et l’urbanisme ne s’appliquent pas à un règlement permettant la réalisation d’un projet visé au paragraphe 4° du premier alinéa de l’article 74.4.</w:t>
      </w:r>
    </w:p>
    <w:p w14:paraId="728AEF43" w14:textId="3FD6786D" w:rsidR="00FA07F3" w:rsidRPr="005A4CC4" w:rsidRDefault="00FA07F3" w:rsidP="005A4CC4">
      <w:pPr>
        <w:pStyle w:val="Paragrdouble"/>
        <w:numPr>
          <w:ilvl w:val="0"/>
          <w:numId w:val="0"/>
        </w:numPr>
        <w:spacing w:line="240" w:lineRule="auto"/>
        <w:ind w:left="731" w:right="573"/>
        <w:rPr>
          <w:sz w:val="22"/>
          <w:szCs w:val="18"/>
        </w:rPr>
      </w:pPr>
      <w:r>
        <w:rPr>
          <w:sz w:val="22"/>
          <w:szCs w:val="18"/>
        </w:rPr>
        <w:t>(notre soulignement)</w:t>
      </w:r>
    </w:p>
    <w:p w14:paraId="516A82D5" w14:textId="693655E8" w:rsidR="00842C4E" w:rsidRDefault="00D54835" w:rsidP="0013477C">
      <w:pPr>
        <w:pStyle w:val="Paragraphe"/>
        <w:numPr>
          <w:ilvl w:val="0"/>
          <w:numId w:val="1"/>
        </w:numPr>
        <w:tabs>
          <w:tab w:val="left" w:pos="709"/>
        </w:tabs>
        <w:spacing w:line="240" w:lineRule="auto"/>
        <w:rPr>
          <w:rFonts w:cs="Arial"/>
        </w:rPr>
      </w:pPr>
      <w:r w:rsidRPr="5A7F0EA4">
        <w:rPr>
          <w:rFonts w:cs="Arial"/>
        </w:rPr>
        <w:t xml:space="preserve">Pour comprendre </w:t>
      </w:r>
      <w:r w:rsidR="00842C4E" w:rsidRPr="5A7F0EA4">
        <w:rPr>
          <w:rFonts w:cs="Arial"/>
        </w:rPr>
        <w:t>le raisonnement en lien avec cette demande, quelques remarques préliminaires s’imposent.</w:t>
      </w:r>
    </w:p>
    <w:p w14:paraId="341E2D30" w14:textId="308794D7" w:rsidR="00842C4E" w:rsidRDefault="00842C4E" w:rsidP="0013477C">
      <w:pPr>
        <w:pStyle w:val="Paragraphe"/>
        <w:numPr>
          <w:ilvl w:val="0"/>
          <w:numId w:val="1"/>
        </w:numPr>
        <w:tabs>
          <w:tab w:val="left" w:pos="709"/>
        </w:tabs>
        <w:spacing w:line="240" w:lineRule="auto"/>
        <w:rPr>
          <w:rFonts w:cs="Arial"/>
        </w:rPr>
      </w:pPr>
      <w:r>
        <w:rPr>
          <w:rFonts w:cs="Arial"/>
        </w:rPr>
        <w:t>D’abord, l</w:t>
      </w:r>
      <w:r w:rsidRPr="00842C4E">
        <w:rPr>
          <w:rFonts w:cs="Arial"/>
        </w:rPr>
        <w:t xml:space="preserve">’article 74.5.1 al. 2 prévoit que, lorsque la décision de réaliser un projet relève de la compétence du conseil d'agglomération, c'est ce dernier qui exerce le pouvoir prévu à l'article 74.4. L’article 19 de la </w:t>
      </w:r>
      <w:r w:rsidRPr="5A7F0EA4">
        <w:rPr>
          <w:rFonts w:cs="Arial"/>
          <w:i/>
          <w:iCs/>
        </w:rPr>
        <w:t>Loi sur l'exercice de certaines compétences municipales dans certaines agglomérations</w:t>
      </w:r>
      <w:r w:rsidR="00046C6A" w:rsidRPr="00B04827">
        <w:rPr>
          <w:rStyle w:val="Appelnotedebasdep"/>
          <w:rFonts w:cs="Arial"/>
        </w:rPr>
        <w:footnoteReference w:id="129"/>
      </w:r>
      <w:r w:rsidRPr="00842C4E">
        <w:rPr>
          <w:rFonts w:cs="Arial"/>
        </w:rPr>
        <w:t xml:space="preserve"> accorde au conseil d'agglomération la responsabilité du « transport collectif des personnes ». Cela explique pourquoi, dans le cadre de ses compétences, le conseil d'agglomération a voté le </w:t>
      </w:r>
      <w:r w:rsidR="3F7C843A" w:rsidRPr="00842C4E">
        <w:rPr>
          <w:rFonts w:cs="Arial"/>
        </w:rPr>
        <w:t>r</w:t>
      </w:r>
      <w:r w:rsidRPr="00842C4E">
        <w:rPr>
          <w:rFonts w:cs="Arial"/>
        </w:rPr>
        <w:t xml:space="preserve">èglement R.A.V.Q. 1349 le 6 juillet 2022. </w:t>
      </w:r>
      <w:r w:rsidR="00473263">
        <w:rPr>
          <w:rFonts w:cs="Arial"/>
        </w:rPr>
        <w:t>Cela n’empêche pas que l</w:t>
      </w:r>
      <w:r w:rsidRPr="00842C4E">
        <w:rPr>
          <w:rFonts w:cs="Arial"/>
        </w:rPr>
        <w:t>a question demeure entière en regard de la notion de « grandes infrastructures ».</w:t>
      </w:r>
    </w:p>
    <w:p w14:paraId="08C1B8F5" w14:textId="4710E689" w:rsidR="00061BC0" w:rsidRDefault="003335C1" w:rsidP="0013477C">
      <w:pPr>
        <w:pStyle w:val="Paragraphe"/>
        <w:numPr>
          <w:ilvl w:val="0"/>
          <w:numId w:val="1"/>
        </w:numPr>
        <w:tabs>
          <w:tab w:val="left" w:pos="709"/>
        </w:tabs>
        <w:spacing w:line="240" w:lineRule="auto"/>
        <w:rPr>
          <w:rFonts w:cs="Arial"/>
        </w:rPr>
      </w:pPr>
      <w:r w:rsidRPr="5A7F0EA4">
        <w:rPr>
          <w:rFonts w:cs="Arial"/>
        </w:rPr>
        <w:t xml:space="preserve">Deuxièmement, </w:t>
      </w:r>
      <w:r w:rsidR="00511311" w:rsidRPr="5A7F0EA4">
        <w:rPr>
          <w:rFonts w:cs="Arial"/>
        </w:rPr>
        <w:t xml:space="preserve">pour les fins de cette discussion, </w:t>
      </w:r>
      <w:r w:rsidR="00A77BEE" w:rsidRPr="5A7F0EA4">
        <w:rPr>
          <w:rFonts w:cs="Arial"/>
        </w:rPr>
        <w:t>en regard de</w:t>
      </w:r>
      <w:r w:rsidR="30B74605" w:rsidRPr="5A7F0EA4">
        <w:rPr>
          <w:rFonts w:cs="Arial"/>
        </w:rPr>
        <w:t>s</w:t>
      </w:r>
      <w:r w:rsidR="00A77BEE" w:rsidRPr="5A7F0EA4">
        <w:rPr>
          <w:rFonts w:cs="Arial"/>
        </w:rPr>
        <w:t xml:space="preserve"> questions d’urbanisme</w:t>
      </w:r>
      <w:r w:rsidR="00614995" w:rsidRPr="5A7F0EA4">
        <w:rPr>
          <w:rFonts w:cs="Arial"/>
        </w:rPr>
        <w:t xml:space="preserve"> et d’aménagement</w:t>
      </w:r>
      <w:r w:rsidR="00120F07" w:rsidRPr="5A7F0EA4">
        <w:rPr>
          <w:rFonts w:cs="Arial"/>
        </w:rPr>
        <w:t xml:space="preserve">, ce ne sont pas tant les </w:t>
      </w:r>
      <w:r w:rsidR="00EB2D18" w:rsidRPr="5A7F0EA4">
        <w:rPr>
          <w:rFonts w:cs="Arial"/>
        </w:rPr>
        <w:t>trains</w:t>
      </w:r>
      <w:r w:rsidR="00120F07" w:rsidRPr="5A7F0EA4">
        <w:rPr>
          <w:rFonts w:cs="Arial"/>
        </w:rPr>
        <w:t xml:space="preserve"> électriques qui circuleront en travers de la ville,</w:t>
      </w:r>
      <w:r w:rsidR="00511311" w:rsidRPr="5A7F0EA4">
        <w:rPr>
          <w:rFonts w:cs="Arial"/>
        </w:rPr>
        <w:t xml:space="preserve"> mais bien la pose des rails et la construction d’un tunnel et de plus d’une trentaine de quais</w:t>
      </w:r>
      <w:r w:rsidR="00061BC0" w:rsidRPr="5A7F0EA4">
        <w:rPr>
          <w:rFonts w:cs="Arial"/>
        </w:rPr>
        <w:t xml:space="preserve"> le long du parcours d’une vingtaine de kilomètres.</w:t>
      </w:r>
    </w:p>
    <w:p w14:paraId="0B2A60D7" w14:textId="1485054C" w:rsidR="00687A06" w:rsidRDefault="00061BC0" w:rsidP="0013477C">
      <w:pPr>
        <w:pStyle w:val="Paragraphe"/>
        <w:numPr>
          <w:ilvl w:val="0"/>
          <w:numId w:val="1"/>
        </w:numPr>
        <w:tabs>
          <w:tab w:val="left" w:pos="709"/>
        </w:tabs>
        <w:spacing w:line="240" w:lineRule="auto"/>
        <w:rPr>
          <w:rFonts w:cs="Arial"/>
        </w:rPr>
      </w:pPr>
      <w:r w:rsidRPr="5A7F0EA4">
        <w:rPr>
          <w:rFonts w:cs="Arial"/>
        </w:rPr>
        <w:t>Ces précisions étant faites</w:t>
      </w:r>
      <w:r w:rsidR="009B6020" w:rsidRPr="5A7F0EA4">
        <w:rPr>
          <w:rFonts w:cs="Arial"/>
        </w:rPr>
        <w:t>, revenons à la notion de « grandes infrastructures ».</w:t>
      </w:r>
    </w:p>
    <w:p w14:paraId="1AEEAE7F" w14:textId="695DE015" w:rsidR="0013477C" w:rsidRPr="0059119E" w:rsidRDefault="0013477C" w:rsidP="0013477C">
      <w:pPr>
        <w:pStyle w:val="Paragraphe"/>
        <w:numPr>
          <w:ilvl w:val="0"/>
          <w:numId w:val="1"/>
        </w:numPr>
        <w:tabs>
          <w:tab w:val="left" w:pos="709"/>
        </w:tabs>
        <w:spacing w:line="240" w:lineRule="auto"/>
        <w:rPr>
          <w:rFonts w:cs="Arial"/>
        </w:rPr>
      </w:pPr>
      <w:r w:rsidRPr="0059119E">
        <w:rPr>
          <w:rFonts w:cs="Arial"/>
        </w:rPr>
        <w:t xml:space="preserve">Comme l’enseigne la Cour suprême dans </w:t>
      </w:r>
      <w:r w:rsidRPr="5A7F0EA4">
        <w:rPr>
          <w:rFonts w:cs="Arial"/>
          <w:i/>
          <w:iCs/>
        </w:rPr>
        <w:t>Conseil scolaire francophone de la Colombie-Britannique</w:t>
      </w:r>
      <w:r w:rsidRPr="0059119E">
        <w:rPr>
          <w:rFonts w:cs="Arial"/>
        </w:rPr>
        <w:t xml:space="preserve"> c. </w:t>
      </w:r>
      <w:r w:rsidRPr="5A7F0EA4">
        <w:rPr>
          <w:rFonts w:cs="Arial"/>
          <w:i/>
          <w:iCs/>
        </w:rPr>
        <w:t>Colombie-Britannique</w:t>
      </w:r>
      <w:r w:rsidRPr="00B04827">
        <w:rPr>
          <w:rStyle w:val="Appelnotedebasdep"/>
          <w:rFonts w:cs="Arial"/>
        </w:rPr>
        <w:footnoteReference w:id="130"/>
      </w:r>
      <w:r w:rsidRPr="0059119E">
        <w:rPr>
          <w:rFonts w:cs="Arial"/>
        </w:rPr>
        <w:t>, lors de l’interprétation d’une disposition législative, les tribunaux doivent « porte[r] attention à la structure grammaticale de la disposition ». C’est ce à quoi invitent les demandeurs.</w:t>
      </w:r>
    </w:p>
    <w:p w14:paraId="3E79355E" w14:textId="19D5765D" w:rsidR="00C64A4E" w:rsidRDefault="002B412D" w:rsidP="00CD54BE">
      <w:pPr>
        <w:pStyle w:val="Paragrdouble"/>
        <w:spacing w:line="240" w:lineRule="auto"/>
      </w:pPr>
      <w:r w:rsidRPr="5A7F0EA4">
        <w:rPr>
          <w:i/>
          <w:iCs/>
        </w:rPr>
        <w:t>L’intention du législateur</w:t>
      </w:r>
      <w:r w:rsidR="00521A4B" w:rsidRPr="5A7F0EA4">
        <w:rPr>
          <w:i/>
          <w:iCs/>
        </w:rPr>
        <w:t xml:space="preserve"> et le </w:t>
      </w:r>
      <w:r w:rsidR="007A79AE" w:rsidRPr="5A7F0EA4">
        <w:rPr>
          <w:i/>
          <w:iCs/>
        </w:rPr>
        <w:t>Règlement sur la politique de consultation publique</w:t>
      </w:r>
      <w:r>
        <w:t xml:space="preserve">. </w:t>
      </w:r>
      <w:r w:rsidR="00C64A4E">
        <w:t>Il est parfois utile de se reporter à l’adoption de</w:t>
      </w:r>
      <w:r w:rsidR="0087242C">
        <w:t xml:space="preserve">s articles de lois contestés pour aider le Tribunal </w:t>
      </w:r>
      <w:r w:rsidR="0003799F">
        <w:t>à comprendre les moti</w:t>
      </w:r>
      <w:r w:rsidR="00D5456C">
        <w:t>vation</w:t>
      </w:r>
      <w:r w:rsidR="0003799F">
        <w:t xml:space="preserve">s </w:t>
      </w:r>
      <w:r w:rsidR="00D5456C">
        <w:t>du</w:t>
      </w:r>
      <w:r w:rsidR="0003799F">
        <w:t xml:space="preserve"> législateur. En 2003, </w:t>
      </w:r>
      <w:r w:rsidR="00415F40">
        <w:t xml:space="preserve">alors que le tramway ne semblait pas un projet </w:t>
      </w:r>
      <w:r w:rsidR="005976F7">
        <w:t>vraisemblable</w:t>
      </w:r>
      <w:r w:rsidR="00012153">
        <w:rPr>
          <w:rStyle w:val="Appelnotedebasdep"/>
        </w:rPr>
        <w:footnoteReference w:id="131"/>
      </w:r>
      <w:r w:rsidR="005976F7">
        <w:t xml:space="preserve">, </w:t>
      </w:r>
      <w:r w:rsidR="006607BC">
        <w:t xml:space="preserve">le </w:t>
      </w:r>
      <w:r w:rsidR="0024235C">
        <w:t xml:space="preserve">ministre des Affaires municipales présente ainsi </w:t>
      </w:r>
      <w:r w:rsidR="00E43601">
        <w:t>l’</w:t>
      </w:r>
      <w:r w:rsidR="00C578EE">
        <w:t xml:space="preserve">avènement du nouvel article 74.4 de la Charte de la Ville : </w:t>
      </w:r>
    </w:p>
    <w:p w14:paraId="7CBF1D71" w14:textId="57E20B14" w:rsidR="000D4D61" w:rsidRDefault="000E088F" w:rsidP="0024235C">
      <w:pPr>
        <w:pStyle w:val="Paragrdouble"/>
        <w:numPr>
          <w:ilvl w:val="0"/>
          <w:numId w:val="0"/>
        </w:numPr>
        <w:spacing w:line="240" w:lineRule="auto"/>
        <w:ind w:left="731" w:right="573"/>
        <w:rPr>
          <w:sz w:val="22"/>
          <w:szCs w:val="18"/>
        </w:rPr>
      </w:pPr>
      <w:r w:rsidRPr="0024235C">
        <w:rPr>
          <w:sz w:val="22"/>
          <w:szCs w:val="22"/>
        </w:rPr>
        <w:t>Toutefois, comme à Montréal et à Longueuil, il est nécessaire de laisser au conseil de la ville un minimum de pouvoir en cette matière. C'est ce que fait l'article 74.4. Il donne au conseil de la ville le pouvoir</w:t>
      </w:r>
      <w:r w:rsidR="00C578EE">
        <w:rPr>
          <w:sz w:val="22"/>
          <w:szCs w:val="22"/>
        </w:rPr>
        <w:t xml:space="preserve"> </w:t>
      </w:r>
      <w:r w:rsidR="000D4D61" w:rsidRPr="0024235C">
        <w:rPr>
          <w:sz w:val="22"/>
          <w:szCs w:val="22"/>
        </w:rPr>
        <w:t xml:space="preserve">de modifier des règlements </w:t>
      </w:r>
      <w:r w:rsidR="000D4D61" w:rsidRPr="00D81F32">
        <w:rPr>
          <w:sz w:val="22"/>
          <w:szCs w:val="22"/>
          <w:u w:val="single"/>
        </w:rPr>
        <w:t>afin de permettre la réalisation de certains projets qualifiés d'importants ou de structurants</w:t>
      </w:r>
      <w:r w:rsidR="000D4D61" w:rsidRPr="0024235C">
        <w:rPr>
          <w:sz w:val="22"/>
          <w:szCs w:val="22"/>
        </w:rPr>
        <w:t>. Cette disposition est jugée nécessaire</w:t>
      </w:r>
      <w:r w:rsidRPr="0024235C">
        <w:rPr>
          <w:sz w:val="22"/>
          <w:szCs w:val="22"/>
        </w:rPr>
        <w:t xml:space="preserve"> </w:t>
      </w:r>
      <w:r w:rsidR="000D4D61" w:rsidRPr="00D81F32">
        <w:rPr>
          <w:sz w:val="22"/>
          <w:szCs w:val="22"/>
          <w:u w:val="single"/>
        </w:rPr>
        <w:t>afin d'éviter que soit bloquée l'implantation sur le territoire de la ville de certains types de projets qui seraient considérés comme d'importance majeure pour</w:t>
      </w:r>
      <w:r w:rsidR="0024235C" w:rsidRPr="00D81F32">
        <w:rPr>
          <w:sz w:val="22"/>
          <w:szCs w:val="22"/>
          <w:u w:val="single"/>
        </w:rPr>
        <w:t xml:space="preserve"> </w:t>
      </w:r>
      <w:r w:rsidR="000D4D61" w:rsidRPr="00D81F32">
        <w:rPr>
          <w:sz w:val="22"/>
          <w:szCs w:val="22"/>
          <w:u w:val="single"/>
        </w:rPr>
        <w:t>la ville</w:t>
      </w:r>
      <w:r w:rsidR="006607BC" w:rsidRPr="0024235C">
        <w:rPr>
          <w:sz w:val="22"/>
          <w:szCs w:val="22"/>
        </w:rPr>
        <w:t>.</w:t>
      </w:r>
      <w:r w:rsidR="00C578EE">
        <w:rPr>
          <w:rStyle w:val="Appelnotedebasdep"/>
          <w:sz w:val="22"/>
          <w:szCs w:val="22"/>
        </w:rPr>
        <w:footnoteReference w:id="132"/>
      </w:r>
    </w:p>
    <w:p w14:paraId="0D3BD276" w14:textId="361536DB" w:rsidR="00D81F32" w:rsidRPr="0024235C" w:rsidRDefault="00155F1D" w:rsidP="0024235C">
      <w:pPr>
        <w:pStyle w:val="Paragrdouble"/>
        <w:numPr>
          <w:ilvl w:val="0"/>
          <w:numId w:val="0"/>
        </w:numPr>
        <w:spacing w:line="240" w:lineRule="auto"/>
        <w:ind w:left="731" w:right="573"/>
        <w:rPr>
          <w:sz w:val="22"/>
          <w:szCs w:val="18"/>
        </w:rPr>
      </w:pPr>
      <w:r>
        <w:rPr>
          <w:sz w:val="22"/>
          <w:szCs w:val="18"/>
        </w:rPr>
        <w:t>(notre soulignement)</w:t>
      </w:r>
    </w:p>
    <w:p w14:paraId="0DFF2625" w14:textId="5C65BD38" w:rsidR="001341A8" w:rsidRDefault="0034626D" w:rsidP="00CD54BE">
      <w:pPr>
        <w:pStyle w:val="Paragrdouble"/>
        <w:spacing w:line="240" w:lineRule="auto"/>
      </w:pPr>
      <w:r>
        <w:t>Les demandeurs prétendent</w:t>
      </w:r>
      <w:r w:rsidR="00A44A8A">
        <w:t xml:space="preserve"> que</w:t>
      </w:r>
      <w:r w:rsidR="00FF237C">
        <w:t>, lors de ce débat tenu le 12 décembre 2003,</w:t>
      </w:r>
      <w:r w:rsidR="00A44A8A">
        <w:t xml:space="preserve"> le législateur a tenu compte du fait</w:t>
      </w:r>
      <w:r w:rsidR="00545088">
        <w:t xml:space="preserve"> qu’à cette même époque, en 2003, la </w:t>
      </w:r>
      <w:r w:rsidR="008449F3">
        <w:t>V</w:t>
      </w:r>
      <w:r w:rsidR="00545088">
        <w:t>ille</w:t>
      </w:r>
      <w:r w:rsidR="003A131E">
        <w:t xml:space="preserve"> avait</w:t>
      </w:r>
      <w:r w:rsidR="00FF237C">
        <w:t xml:space="preserve"> déjà</w:t>
      </w:r>
      <w:r w:rsidR="003A131E">
        <w:t xml:space="preserve"> adopté le </w:t>
      </w:r>
      <w:r w:rsidR="00B97B8E" w:rsidRPr="5A7F0EA4">
        <w:rPr>
          <w:i/>
          <w:iCs/>
        </w:rPr>
        <w:t>R</w:t>
      </w:r>
      <w:r w:rsidR="003A131E" w:rsidRPr="5A7F0EA4">
        <w:rPr>
          <w:i/>
          <w:iCs/>
        </w:rPr>
        <w:t>èglement sur la politique de consultation publique</w:t>
      </w:r>
      <w:r w:rsidR="0080390D">
        <w:t xml:space="preserve">, </w:t>
      </w:r>
      <w:r w:rsidR="6831E165">
        <w:t>r</w:t>
      </w:r>
      <w:r w:rsidR="0080390D">
        <w:t>èglement R</w:t>
      </w:r>
      <w:r w:rsidR="00B97B8E">
        <w:t>.</w:t>
      </w:r>
      <w:r w:rsidR="0080390D">
        <w:t>V.Q. 204</w:t>
      </w:r>
      <w:r w:rsidR="00B97B8E">
        <w:rPr>
          <w:rStyle w:val="Appelnotedebasdep"/>
        </w:rPr>
        <w:footnoteReference w:id="133"/>
      </w:r>
      <w:r w:rsidR="00B97B8E">
        <w:t xml:space="preserve">, lequel </w:t>
      </w:r>
      <w:r w:rsidR="001C4398">
        <w:t>était</w:t>
      </w:r>
      <w:r w:rsidR="00B97B8E">
        <w:t xml:space="preserve"> entré en vigueur le 6 novembre 2003.</w:t>
      </w:r>
      <w:r w:rsidR="00A702DA">
        <w:t xml:space="preserve"> </w:t>
      </w:r>
      <w:r w:rsidR="00A90178">
        <w:t>D’après eux, l’intention du législateur «</w:t>
      </w:r>
      <w:r w:rsidR="00404B6F">
        <w:t> </w:t>
      </w:r>
      <w:r w:rsidR="0027724A">
        <w:t>n’était pas d’éliminer les référendums</w:t>
      </w:r>
      <w:r w:rsidR="00494A83">
        <w:t xml:space="preserve"> obligatoires </w:t>
      </w:r>
      <w:r w:rsidR="0027724A">
        <w:t>tels que reconnues par le règlement P-38, pour toute modification au règlement de zonage et d’urbanisme</w:t>
      </w:r>
      <w:r w:rsidR="005B2EEB">
        <w:t xml:space="preserve"> ».</w:t>
      </w:r>
    </w:p>
    <w:p w14:paraId="5CB87FF2" w14:textId="77777777" w:rsidR="002A0825" w:rsidRDefault="00735DEE" w:rsidP="00CD54BE">
      <w:pPr>
        <w:pStyle w:val="Paragrdouble"/>
        <w:spacing w:line="240" w:lineRule="auto"/>
      </w:pPr>
      <w:r>
        <w:t>Avec respect,</w:t>
      </w:r>
      <w:r w:rsidR="002A0825">
        <w:t xml:space="preserve"> le Tribunal ne fait pas la même lecture des événements de 2003 :</w:t>
      </w:r>
    </w:p>
    <w:p w14:paraId="2561EBAC" w14:textId="2D2A8FB9" w:rsidR="007A2487" w:rsidRDefault="00C77CF7" w:rsidP="00E8731F">
      <w:pPr>
        <w:pStyle w:val="Paragrdouble"/>
        <w:numPr>
          <w:ilvl w:val="0"/>
          <w:numId w:val="13"/>
        </w:numPr>
        <w:spacing w:line="240" w:lineRule="auto"/>
      </w:pPr>
      <w:r>
        <w:t>Le</w:t>
      </w:r>
      <w:r w:rsidR="00CC2E83">
        <w:t xml:space="preserve"> </w:t>
      </w:r>
      <w:r w:rsidR="44C6EE03">
        <w:t>r</w:t>
      </w:r>
      <w:r w:rsidR="00CC2E83">
        <w:t>èglement de 2003 sur la consultation publique est un cadre général</w:t>
      </w:r>
      <w:r w:rsidR="00B21C7F">
        <w:t xml:space="preserve"> pour l’exercice des droits d’expression et de participation par les citoyens de Québec.</w:t>
      </w:r>
      <w:r w:rsidR="0025167A">
        <w:t xml:space="preserve"> Il se veut « un instrument d’enrichissement et de bonification du processus décisionnel ».</w:t>
      </w:r>
      <w:r w:rsidR="00F37522">
        <w:t xml:space="preserve"> Le règlement précise qu’une consultation publique «</w:t>
      </w:r>
      <w:r w:rsidR="00D5456C">
        <w:t> </w:t>
      </w:r>
      <w:r w:rsidR="00F37522">
        <w:t>ne remet [pas] en cause les prérogatives du conseil de la ville, du conseil d’arrondissement ou du comité exécutif en tant qu’instances décisionnelles</w:t>
      </w:r>
      <w:r w:rsidR="007A2487">
        <w:t xml:space="preserve"> ».</w:t>
      </w:r>
    </w:p>
    <w:p w14:paraId="011D8EFA" w14:textId="69B52109" w:rsidR="00F04A28" w:rsidRDefault="00534B6B" w:rsidP="00E8731F">
      <w:pPr>
        <w:pStyle w:val="Paragrdouble"/>
        <w:numPr>
          <w:ilvl w:val="0"/>
          <w:numId w:val="13"/>
        </w:numPr>
        <w:spacing w:line="240" w:lineRule="auto"/>
      </w:pPr>
      <w:r>
        <w:t>Ce règlement reconnaît que</w:t>
      </w:r>
      <w:r w:rsidR="00560D39">
        <w:t>,</w:t>
      </w:r>
      <w:r>
        <w:t xml:space="preserve"> lorsqu’une loi impose une consultation obligatoire, la </w:t>
      </w:r>
      <w:r w:rsidR="00BE5065">
        <w:t>p</w:t>
      </w:r>
      <w:r>
        <w:t>olitique</w:t>
      </w:r>
      <w:r w:rsidR="008276A7">
        <w:t xml:space="preserve"> municipale</w:t>
      </w:r>
      <w:r w:rsidR="00CA7C1A">
        <w:t xml:space="preserve"> de consultation publique</w:t>
      </w:r>
      <w:r>
        <w:t xml:space="preserve"> cède le pas </w:t>
      </w:r>
      <w:r w:rsidR="00CA7C1A">
        <w:t>devant</w:t>
      </w:r>
      <w:r>
        <w:t xml:space="preserve"> la loi ;</w:t>
      </w:r>
      <w:r w:rsidR="00F04A28">
        <w:t xml:space="preserve"> la politique ne vient que bonifier le processus de consultation prévue à la loi.</w:t>
      </w:r>
    </w:p>
    <w:p w14:paraId="5E55F275" w14:textId="77777777" w:rsidR="00ED1436" w:rsidRDefault="00F04A28" w:rsidP="00E8731F">
      <w:pPr>
        <w:pStyle w:val="Paragrdouble"/>
        <w:numPr>
          <w:ilvl w:val="0"/>
          <w:numId w:val="13"/>
        </w:numPr>
        <w:spacing w:line="240" w:lineRule="auto"/>
      </w:pPr>
      <w:r>
        <w:t>C’est dans cet esprit</w:t>
      </w:r>
      <w:r w:rsidR="00745A13">
        <w:t xml:space="preserve"> que la </w:t>
      </w:r>
      <w:r w:rsidR="00E07921">
        <w:t>V</w:t>
      </w:r>
      <w:r w:rsidR="00745A13">
        <w:t>ille et le RTC ont tenu des séances de consultation de la population avant qu’en 2018, le choix du tramway</w:t>
      </w:r>
      <w:r w:rsidR="00E07921">
        <w:t xml:space="preserve"> soit privilégié.</w:t>
      </w:r>
    </w:p>
    <w:p w14:paraId="110FE2DE" w14:textId="2D104BA6" w:rsidR="000F161D" w:rsidRPr="000F161D" w:rsidRDefault="00980887" w:rsidP="00E8731F">
      <w:pPr>
        <w:pStyle w:val="Paragrdouble"/>
        <w:numPr>
          <w:ilvl w:val="0"/>
          <w:numId w:val="13"/>
        </w:numPr>
        <w:spacing w:line="240" w:lineRule="auto"/>
      </w:pPr>
      <w:r>
        <w:t>Dans ce contexte, l</w:t>
      </w:r>
      <w:r w:rsidR="00E07921">
        <w:t xml:space="preserve">ors de l’adoption des modifications à la </w:t>
      </w:r>
      <w:r w:rsidR="00EB60B0" w:rsidRPr="00F04F7A">
        <w:t>C</w:t>
      </w:r>
      <w:r w:rsidR="00E07921" w:rsidRPr="00F04F7A">
        <w:t xml:space="preserve">harte de la </w:t>
      </w:r>
      <w:r w:rsidR="00EB60B0" w:rsidRPr="00F04F7A">
        <w:t>V</w:t>
      </w:r>
      <w:r w:rsidR="00E07921" w:rsidRPr="00F04F7A">
        <w:t>ille</w:t>
      </w:r>
      <w:r w:rsidR="00EB60B0">
        <w:t xml:space="preserve"> en décembre 2003,</w:t>
      </w:r>
      <w:r w:rsidR="00AB0CE0">
        <w:t xml:space="preserve"> il serait contraire à la logique que le législateur </w:t>
      </w:r>
      <w:r w:rsidR="006020B2">
        <w:t>ait</w:t>
      </w:r>
      <w:r w:rsidR="00AB0CE0">
        <w:t xml:space="preserve"> tenu compte d’un</w:t>
      </w:r>
      <w:r w:rsidR="00347EF5">
        <w:t xml:space="preserve"> règlement</w:t>
      </w:r>
      <w:r w:rsidR="00AB0CE0">
        <w:t xml:space="preserve"> adopté quelques mois plus tôt</w:t>
      </w:r>
      <w:r w:rsidR="006020B2">
        <w:t xml:space="preserve"> pour renoncer à encadrer législativement</w:t>
      </w:r>
      <w:r w:rsidR="00C95EDA">
        <w:t xml:space="preserve"> les modifications des règlements d’urbanisme</w:t>
      </w:r>
      <w:r w:rsidR="00DD2160">
        <w:t xml:space="preserve"> : un règlement municipal est beaucoup plus facile à changer qu’une loi.</w:t>
      </w:r>
      <w:r w:rsidR="004460D9">
        <w:t xml:space="preserve"> Le législateur </w:t>
      </w:r>
      <w:r w:rsidR="00E25A2D">
        <w:t>a</w:t>
      </w:r>
      <w:r w:rsidR="004460D9">
        <w:t xml:space="preserve"> agi en toute connaissance de cause</w:t>
      </w:r>
      <w:r w:rsidR="00E25A2D">
        <w:t> :</w:t>
      </w:r>
      <w:r w:rsidR="00C265DA">
        <w:t xml:space="preserve"> il voulait éviter de bloquer l’implantation de certains projets d’envergure majeure pour la Ville.</w:t>
      </w:r>
    </w:p>
    <w:p w14:paraId="5E71B007" w14:textId="0B10B8DD" w:rsidR="006964CD" w:rsidRPr="006964CD" w:rsidRDefault="00C93E49" w:rsidP="00CD54BE">
      <w:pPr>
        <w:pStyle w:val="Paragrdouble"/>
        <w:spacing w:line="240" w:lineRule="auto"/>
      </w:pPr>
      <w:r>
        <w:t xml:space="preserve">Mais l’intention du législateur </w:t>
      </w:r>
      <w:r w:rsidR="00C51C51">
        <w:t xml:space="preserve">exprimé lors de l’adoption </w:t>
      </w:r>
      <w:r w:rsidR="00E25A2D">
        <w:t xml:space="preserve">de l’article 74.4 de la Charte de la Ville </w:t>
      </w:r>
      <w:r w:rsidR="00C51C51">
        <w:t xml:space="preserve">par l’Assemblée nationale </w:t>
      </w:r>
      <w:r>
        <w:t>ne li</w:t>
      </w:r>
      <w:r w:rsidR="00C51C51">
        <w:t>e</w:t>
      </w:r>
      <w:r>
        <w:t xml:space="preserve"> pas le Tribunal quant à la portée des mots utilisés</w:t>
      </w:r>
      <w:r w:rsidR="00C51C51">
        <w:t>.</w:t>
      </w:r>
      <w:r w:rsidR="000D2E65">
        <w:t xml:space="preserve"> Il convient quand même de s’assurer </w:t>
      </w:r>
      <w:r w:rsidR="00BB3719">
        <w:t>que les intentions se reflètent dans le vocabulaire de la loi.</w:t>
      </w:r>
    </w:p>
    <w:p w14:paraId="3FF8EFBC" w14:textId="7B80A3EF" w:rsidR="00CD54BE" w:rsidRPr="00CD54BE" w:rsidRDefault="003C59C9" w:rsidP="00CD54BE">
      <w:pPr>
        <w:pStyle w:val="Paragrdouble"/>
        <w:spacing w:line="240" w:lineRule="auto"/>
      </w:pPr>
      <w:r w:rsidRPr="5A7F0EA4">
        <w:rPr>
          <w:i/>
          <w:iCs/>
        </w:rPr>
        <w:t>Les définitions des mots</w:t>
      </w:r>
      <w:r>
        <w:t xml:space="preserve">. </w:t>
      </w:r>
      <w:r w:rsidR="00CD54BE">
        <w:t>Prenons les mots pour ce qu’ils disent. Venons-en à l’expression « de grandes infrastructures, tel ». Il y a 3 mots importants</w:t>
      </w:r>
      <w:r w:rsidR="0595EAB1">
        <w:t xml:space="preserve"> :</w:t>
      </w:r>
    </w:p>
    <w:p w14:paraId="4C11CEB8" w14:textId="2A25F6C2" w:rsidR="00CD54BE" w:rsidRPr="00CD54BE" w:rsidRDefault="00CD54BE" w:rsidP="00E8731F">
      <w:pPr>
        <w:pStyle w:val="Paragrdouble"/>
        <w:numPr>
          <w:ilvl w:val="0"/>
          <w:numId w:val="12"/>
        </w:numPr>
        <w:spacing w:line="240" w:lineRule="auto"/>
      </w:pPr>
      <w:r w:rsidRPr="00CD54BE">
        <w:t xml:space="preserve">« Grandes » réfère à l’importance du projet. Dans le cas du tramway, l’expression « grande » est presque trop limitative tant toutes les parties conviennent de l’envergure du projet. Même </w:t>
      </w:r>
      <w:r w:rsidR="008A1F8F">
        <w:t xml:space="preserve">le titre de </w:t>
      </w:r>
      <w:r w:rsidRPr="00CD54BE">
        <w:t xml:space="preserve">la loi adoptée par l’Assemblée nationale contient un qualificatif qui démontre l’importance du projet : « </w:t>
      </w:r>
      <w:r w:rsidRPr="00CD54BE">
        <w:rPr>
          <w:i/>
          <w:iCs/>
        </w:rPr>
        <w:t xml:space="preserve">Loi concernant le réseau </w:t>
      </w:r>
      <w:r w:rsidRPr="00CD54BE">
        <w:rPr>
          <w:i/>
          <w:iCs/>
          <w:u w:val="single"/>
        </w:rPr>
        <w:t>structurant</w:t>
      </w:r>
      <w:r w:rsidRPr="00CD54BE">
        <w:rPr>
          <w:i/>
          <w:iCs/>
        </w:rPr>
        <w:t xml:space="preserve"> de transport en commun de la Ville de Québec</w:t>
      </w:r>
      <w:r w:rsidR="004E6EAF">
        <w:t> </w:t>
      </w:r>
      <w:r w:rsidRPr="00CD54BE">
        <w:t>».</w:t>
      </w:r>
    </w:p>
    <w:p w14:paraId="6234575C" w14:textId="519F3919" w:rsidR="00CD54BE" w:rsidRPr="00E47906" w:rsidRDefault="00CD54BE" w:rsidP="00E8731F">
      <w:pPr>
        <w:pStyle w:val="Paragrdouble"/>
        <w:numPr>
          <w:ilvl w:val="0"/>
          <w:numId w:val="12"/>
        </w:numPr>
        <w:spacing w:line="240" w:lineRule="auto"/>
      </w:pPr>
      <w:r w:rsidRPr="00E47906">
        <w:t>« Infrastructures » réfère à un « ensemble des éléments constituant la base nécessaire à l’édification et au fonctionnement d’un système, abstrait ou concret »</w:t>
      </w:r>
      <w:r w:rsidRPr="00E47906">
        <w:rPr>
          <w:vertAlign w:val="superscript"/>
        </w:rPr>
        <w:footnoteReference w:id="134"/>
      </w:r>
      <w:r w:rsidRPr="00E47906">
        <w:t>. Le dictionnaire Le Petit Robert</w:t>
      </w:r>
      <w:r w:rsidRPr="00E47906">
        <w:rPr>
          <w:vertAlign w:val="superscript"/>
        </w:rPr>
        <w:footnoteReference w:id="135"/>
      </w:r>
      <w:r w:rsidRPr="00E47906">
        <w:t xml:space="preserve"> définit ainsi ce mot :</w:t>
      </w:r>
    </w:p>
    <w:p w14:paraId="0D08618E" w14:textId="77777777" w:rsidR="00CD54BE" w:rsidRPr="00A56D4D" w:rsidRDefault="00CD54BE" w:rsidP="00A56D4D">
      <w:pPr>
        <w:pStyle w:val="Paragrdouble"/>
        <w:numPr>
          <w:ilvl w:val="0"/>
          <w:numId w:val="0"/>
        </w:numPr>
        <w:spacing w:line="240" w:lineRule="auto"/>
        <w:ind w:left="1462"/>
        <w:rPr>
          <w:sz w:val="22"/>
          <w:szCs w:val="18"/>
        </w:rPr>
      </w:pPr>
      <w:r w:rsidRPr="00A56D4D">
        <w:rPr>
          <w:sz w:val="22"/>
          <w:szCs w:val="18"/>
        </w:rPr>
        <w:t>Parties inférieures d'une construction. V. Fondation. - Ensemble des terrassements et ouvrages qui concourent à l'établissement de la plate-forme d'une voie de chemin de fer (remblais, souterrains, tunnels, passages à niveau, ponts, viaducs, etc.) d’une route.</w:t>
      </w:r>
    </w:p>
    <w:p w14:paraId="1593451A" w14:textId="77777777" w:rsidR="00CD54BE" w:rsidRPr="00CD54BE" w:rsidRDefault="00CD54BE" w:rsidP="00E47906">
      <w:pPr>
        <w:pStyle w:val="Paragrdouble"/>
        <w:numPr>
          <w:ilvl w:val="0"/>
          <w:numId w:val="0"/>
        </w:numPr>
        <w:spacing w:line="240" w:lineRule="auto"/>
        <w:ind w:left="1134"/>
      </w:pPr>
      <w:r w:rsidRPr="00CD54BE">
        <w:t xml:space="preserve">Convenons que des rails et les autres équipements électriques pour faire rouler des trains correspondent parfaitement à ces définitions. </w:t>
      </w:r>
    </w:p>
    <w:p w14:paraId="4DCEB8FB" w14:textId="77777777" w:rsidR="00CD54BE" w:rsidRDefault="00CD54BE" w:rsidP="00E47906">
      <w:pPr>
        <w:pStyle w:val="Paragrdouble"/>
        <w:numPr>
          <w:ilvl w:val="0"/>
          <w:numId w:val="0"/>
        </w:numPr>
        <w:spacing w:line="240" w:lineRule="auto"/>
        <w:ind w:left="1134"/>
      </w:pPr>
      <w:r w:rsidRPr="00CD54BE">
        <w:t xml:space="preserve">Au passage, le mot « infrastructure » contient le préfixe latin </w:t>
      </w:r>
      <w:r w:rsidRPr="00A27B29">
        <w:rPr>
          <w:i/>
          <w:iCs/>
        </w:rPr>
        <w:t>infra</w:t>
      </w:r>
      <w:r w:rsidRPr="00CD54BE">
        <w:t xml:space="preserve"> qui signifie « </w:t>
      </w:r>
      <w:r w:rsidRPr="00E47906">
        <w:t>en-dessous de », ce qui converge à une même idée : les rails seraient des infrastructures.</w:t>
      </w:r>
    </w:p>
    <w:p w14:paraId="0E9B5A6A" w14:textId="77777777" w:rsidR="00CD54BE" w:rsidRPr="00CD54BE" w:rsidRDefault="00CD54BE" w:rsidP="00E8731F">
      <w:pPr>
        <w:pStyle w:val="Paragrdouble"/>
        <w:numPr>
          <w:ilvl w:val="0"/>
          <w:numId w:val="12"/>
        </w:numPr>
        <w:spacing w:line="240" w:lineRule="auto"/>
      </w:pPr>
      <w:r w:rsidRPr="00CD54BE">
        <w:t xml:space="preserve">« Tel » est un mode d’écriture rattaché à l’exemple, de façon à mieux comprendre ce à quoi réfère l’expression « grandes infrastructures ». </w:t>
      </w:r>
      <w:r w:rsidRPr="005E5ABA">
        <w:rPr>
          <w:b/>
          <w:bCs/>
        </w:rPr>
        <w:t>C’est ici que les opinions divergent</w:t>
      </w:r>
      <w:r w:rsidRPr="00CD54BE">
        <w:t>.</w:t>
      </w:r>
    </w:p>
    <w:p w14:paraId="69624DD7" w14:textId="183079DB" w:rsidR="00530E11" w:rsidRPr="00C81CB8" w:rsidRDefault="00530E11" w:rsidP="00530E11">
      <w:pPr>
        <w:pStyle w:val="Paragrdouble"/>
        <w:spacing w:line="240" w:lineRule="auto"/>
      </w:pPr>
      <w:r>
        <w:t xml:space="preserve">Les friands du latin trouvent ici matière à débat : l’article 74.4 </w:t>
      </w:r>
      <w:r w:rsidR="7E478934">
        <w:t>(</w:t>
      </w:r>
      <w:r>
        <w:t xml:space="preserve">2) doit-il être interprété suivant la règle </w:t>
      </w:r>
      <w:r w:rsidRPr="3B6B4641">
        <w:rPr>
          <w:i/>
          <w:iCs/>
        </w:rPr>
        <w:t>ejusdem generis</w:t>
      </w:r>
      <w:r>
        <w:t xml:space="preserve"> ou suivant la règle </w:t>
      </w:r>
      <w:r w:rsidRPr="3B6B4641">
        <w:rPr>
          <w:i/>
          <w:iCs/>
        </w:rPr>
        <w:t>sui generis</w:t>
      </w:r>
      <w:r>
        <w:t xml:space="preserve">? Dit plus simplement, la liste des projets contenus à l’article 74.4 </w:t>
      </w:r>
      <w:r w:rsidR="07207C5D">
        <w:t>(</w:t>
      </w:r>
      <w:r>
        <w:t xml:space="preserve">2) est-elle limitative comme le prétendent les demandeurs (à savoir les adeptes de la règle </w:t>
      </w:r>
      <w:r w:rsidRPr="3B6B4641">
        <w:rPr>
          <w:i/>
          <w:iCs/>
        </w:rPr>
        <w:t>ejusdem generis</w:t>
      </w:r>
      <w:r>
        <w:t xml:space="preserve">) ou ouverte à d’autres projets comme le prétend la Ville (encline à appliquer la règle </w:t>
      </w:r>
      <w:r w:rsidRPr="3B6B4641">
        <w:rPr>
          <w:i/>
          <w:iCs/>
        </w:rPr>
        <w:t>sui generis</w:t>
      </w:r>
      <w:r>
        <w:t xml:space="preserve">)? </w:t>
      </w:r>
    </w:p>
    <w:p w14:paraId="78E85731" w14:textId="15377FCB" w:rsidR="00CD54BE" w:rsidRPr="00CD54BE" w:rsidRDefault="00CD54BE" w:rsidP="00CD54BE">
      <w:pPr>
        <w:pStyle w:val="Paragrdouble"/>
        <w:spacing w:line="240" w:lineRule="auto"/>
      </w:pPr>
      <w:r>
        <w:t xml:space="preserve">L’argument des demandeurs prend son importance en ce que les projets d’infrastructure mentionnés (un aéroport, un port, une gare, une cour ou une gare de triage ou un établissement d’assainissement, de filtration ou d’épuration des eaux) sont toujours rattachés à des espaces circonscrits, disparates par ailleurs. </w:t>
      </w:r>
      <w:r w:rsidR="007034D1">
        <w:t>Dans cet esprit</w:t>
      </w:r>
      <w:r w:rsidR="00CC6A88">
        <w:t>,</w:t>
      </w:r>
      <w:r w:rsidR="007034D1">
        <w:t xml:space="preserve"> </w:t>
      </w:r>
      <w:r w:rsidR="00CC6A88">
        <w:t>on remarque que n</w:t>
      </w:r>
      <w:r>
        <w:t>ulle part n’apparaissent des projets d’autoroute à titre de « grande infrastructure ». En limitant les exemples, le législateur n’a-t-il pas voulu être restrictif dans les projets d’infrastructure exemptés d’une approbation référendaire?</w:t>
      </w:r>
    </w:p>
    <w:p w14:paraId="33BE8CEE" w14:textId="1CFED481" w:rsidR="00977D48" w:rsidRPr="002514FF" w:rsidRDefault="007A70B7" w:rsidP="008418AF">
      <w:pPr>
        <w:pStyle w:val="Paragrdouble"/>
        <w:spacing w:line="240" w:lineRule="auto"/>
        <w:rPr>
          <w:rFonts w:cs="Arial"/>
          <w:szCs w:val="24"/>
        </w:rPr>
      </w:pPr>
      <w:r w:rsidRPr="002514FF">
        <w:rPr>
          <w:szCs w:val="24"/>
        </w:rPr>
        <w:t xml:space="preserve">Les demandeurs se fondent sur de la jurisprudence comme dans l’affaire </w:t>
      </w:r>
      <w:r w:rsidR="00977D48" w:rsidRPr="002514FF">
        <w:rPr>
          <w:rFonts w:cs="Arial"/>
          <w:i/>
          <w:iCs/>
          <w:color w:val="000000"/>
          <w:szCs w:val="24"/>
        </w:rPr>
        <w:t xml:space="preserve">Renault </w:t>
      </w:r>
      <w:r w:rsidR="00977D48" w:rsidRPr="002514FF">
        <w:rPr>
          <w:rFonts w:cs="Arial"/>
          <w:color w:val="000000"/>
          <w:szCs w:val="24"/>
        </w:rPr>
        <w:t>c.</w:t>
      </w:r>
      <w:r w:rsidR="00977D48" w:rsidRPr="002514FF">
        <w:rPr>
          <w:rFonts w:cs="Arial"/>
          <w:i/>
          <w:iCs/>
          <w:color w:val="000000"/>
          <w:szCs w:val="24"/>
        </w:rPr>
        <w:t xml:space="preserve"> Bell Asbestos Mines Ltd</w:t>
      </w:r>
      <w:r w:rsidR="00977D48" w:rsidRPr="002514FF">
        <w:rPr>
          <w:rStyle w:val="Appelnotedebasdep"/>
          <w:rFonts w:cs="Arial"/>
          <w:color w:val="000000"/>
          <w:szCs w:val="24"/>
        </w:rPr>
        <w:footnoteReference w:id="136"/>
      </w:r>
      <w:r w:rsidR="00977D48" w:rsidRPr="002514FF">
        <w:rPr>
          <w:rFonts w:cs="Arial"/>
          <w:i/>
          <w:iCs/>
          <w:color w:val="000000"/>
          <w:szCs w:val="24"/>
        </w:rPr>
        <w:t xml:space="preserve"> </w:t>
      </w:r>
      <w:r w:rsidR="00977D48" w:rsidRPr="002514FF">
        <w:rPr>
          <w:rFonts w:cs="Arial"/>
          <w:szCs w:val="24"/>
        </w:rPr>
        <w:t>:</w:t>
      </w:r>
    </w:p>
    <w:p w14:paraId="3031427B" w14:textId="7A4E8A2C" w:rsidR="00977D48" w:rsidRPr="00977D48" w:rsidRDefault="00977D48" w:rsidP="00977D48">
      <w:pPr>
        <w:pStyle w:val="Paragrdouble"/>
        <w:numPr>
          <w:ilvl w:val="0"/>
          <w:numId w:val="0"/>
        </w:numPr>
        <w:spacing w:line="240" w:lineRule="auto"/>
        <w:ind w:left="731" w:right="573"/>
        <w:rPr>
          <w:sz w:val="22"/>
          <w:szCs w:val="18"/>
        </w:rPr>
      </w:pPr>
      <w:r w:rsidRPr="00977D48">
        <w:rPr>
          <w:sz w:val="22"/>
          <w:szCs w:val="18"/>
        </w:rPr>
        <w:t>La règle </w:t>
      </w:r>
      <w:r w:rsidRPr="00977D48">
        <w:rPr>
          <w:i/>
          <w:iCs/>
          <w:sz w:val="22"/>
          <w:szCs w:val="18"/>
        </w:rPr>
        <w:t>ejusdem generis</w:t>
      </w:r>
      <w:r w:rsidRPr="00977D48">
        <w:rPr>
          <w:sz w:val="22"/>
          <w:szCs w:val="18"/>
        </w:rPr>
        <w:t> signifie que le terme générique ou collectif qui complète une énumération se restreint à des choses de même genre que celles qui sont énumérées, même si, de par sa nature, ce terme générique ou collectif, cette expression générale, est susceptible d'embrasser beaucoup plus.</w:t>
      </w:r>
    </w:p>
    <w:p w14:paraId="048C59F1" w14:textId="7C1686E5" w:rsidR="003B0B1F" w:rsidRPr="00C81CB8" w:rsidRDefault="00760774" w:rsidP="000825D5">
      <w:pPr>
        <w:pStyle w:val="Paragrdouble"/>
        <w:spacing w:line="240" w:lineRule="auto"/>
      </w:pPr>
      <w:r>
        <w:t>Exprimons</w:t>
      </w:r>
      <w:r w:rsidR="00983414">
        <w:t xml:space="preserve"> ce questionnement</w:t>
      </w:r>
      <w:r w:rsidR="004C1982">
        <w:t xml:space="preserve"> de manière spécifique. L</w:t>
      </w:r>
      <w:r w:rsidR="00607640">
        <w:t xml:space="preserve">’article 74.4 </w:t>
      </w:r>
      <w:r w:rsidR="61233320">
        <w:t>(</w:t>
      </w:r>
      <w:r w:rsidR="00607640">
        <w:t xml:space="preserve">2), à l’instar du paragraphe précédent, est composé </w:t>
      </w:r>
      <w:r w:rsidR="00AD7EE6">
        <w:t>de termes spécifiques</w:t>
      </w:r>
      <w:r w:rsidR="009C77AA">
        <w:t>, à</w:t>
      </w:r>
      <w:r w:rsidR="00AD7EE6">
        <w:t xml:space="preserve"> </w:t>
      </w:r>
      <w:r w:rsidR="000679B5">
        <w:t>savoir</w:t>
      </w:r>
      <w:r w:rsidR="00AD7EE6">
        <w:t xml:space="preserve"> « un aéroport, un port, une gare, une cour ou une gare de triage ou un établissement d’assainissement, de filtration ou d’épuration des eaux</w:t>
      </w:r>
      <w:r w:rsidR="000679B5">
        <w:t xml:space="preserve"> » et</w:t>
      </w:r>
      <w:r w:rsidR="00D5456C">
        <w:t>, coiffé au départ,</w:t>
      </w:r>
      <w:r w:rsidR="000679B5">
        <w:t xml:space="preserve"> d’une expression générale</w:t>
      </w:r>
      <w:r w:rsidR="009C77AA">
        <w:t>, à savoir</w:t>
      </w:r>
      <w:r w:rsidR="000679B5">
        <w:t xml:space="preserve"> « grandes infrastructures ». </w:t>
      </w:r>
      <w:r w:rsidR="006E65D0">
        <w:t>Est-ce que l</w:t>
      </w:r>
      <w:r w:rsidR="00224B01">
        <w:t>’expression</w:t>
      </w:r>
      <w:r w:rsidR="006E65D0">
        <w:t xml:space="preserve"> </w:t>
      </w:r>
      <w:r w:rsidR="00745963">
        <w:t>« grandes infrastructures » se limite aux aéroports, ports, etc</w:t>
      </w:r>
      <w:r w:rsidR="00842301">
        <w:t>.? Ou si elle embrasse plus large?</w:t>
      </w:r>
    </w:p>
    <w:p w14:paraId="5C240D58" w14:textId="3B57DBC1" w:rsidR="00B331C7" w:rsidRPr="00B331C7" w:rsidRDefault="00BE18EB" w:rsidP="000825D5">
      <w:pPr>
        <w:pStyle w:val="Paragrdouble"/>
        <w:spacing w:line="240" w:lineRule="auto"/>
      </w:pPr>
      <w:r w:rsidRPr="00B331C7">
        <w:t xml:space="preserve">Dans l’affaire </w:t>
      </w:r>
      <w:r w:rsidRPr="5A7F0EA4">
        <w:rPr>
          <w:i/>
          <w:iCs/>
        </w:rPr>
        <w:t xml:space="preserve">Banque </w:t>
      </w:r>
      <w:r w:rsidR="4EF7ADA7" w:rsidRPr="5A7F0EA4">
        <w:rPr>
          <w:i/>
          <w:iCs/>
        </w:rPr>
        <w:t>n</w:t>
      </w:r>
      <w:r w:rsidRPr="5A7F0EA4">
        <w:rPr>
          <w:i/>
          <w:iCs/>
        </w:rPr>
        <w:t>ationale de Grèce (Canada)</w:t>
      </w:r>
      <w:r w:rsidRPr="00B331C7">
        <w:t xml:space="preserve"> c. </w:t>
      </w:r>
      <w:r w:rsidRPr="5A7F0EA4">
        <w:rPr>
          <w:i/>
          <w:iCs/>
        </w:rPr>
        <w:t>Katsikonouris</w:t>
      </w:r>
      <w:r w:rsidRPr="00B331C7">
        <w:rPr>
          <w:rStyle w:val="Appelnotedebasdep"/>
        </w:rPr>
        <w:footnoteReference w:id="137"/>
      </w:r>
      <w:r w:rsidR="00377DC2" w:rsidRPr="00B331C7">
        <w:t>, la Cour suprême a reconnu que, pour que des termes généraux soi</w:t>
      </w:r>
      <w:r w:rsidR="00B331C7" w:rsidRPr="00B331C7">
        <w:t>en</w:t>
      </w:r>
      <w:r w:rsidR="00377DC2" w:rsidRPr="00B331C7">
        <w:t>t limités</w:t>
      </w:r>
      <w:r w:rsidR="00B331C7" w:rsidRPr="00B331C7">
        <w:t>, il faut que ceci se retrouve à la fin de l’énumération et non au début :</w:t>
      </w:r>
    </w:p>
    <w:p w14:paraId="6C27542D" w14:textId="517C1F9D" w:rsidR="00B331C7" w:rsidRPr="004C1982" w:rsidRDefault="00B331C7" w:rsidP="00735E16">
      <w:pPr>
        <w:pStyle w:val="Paragrdouble"/>
        <w:numPr>
          <w:ilvl w:val="0"/>
          <w:numId w:val="0"/>
        </w:numPr>
        <w:spacing w:line="240" w:lineRule="auto"/>
        <w:ind w:left="731" w:right="573"/>
        <w:rPr>
          <w:rFonts w:cs="Arial"/>
          <w:sz w:val="22"/>
          <w:szCs w:val="18"/>
          <w:lang w:eastAsia="fr-CA"/>
        </w:rPr>
      </w:pPr>
      <w:r w:rsidRPr="004C1982">
        <w:rPr>
          <w:rFonts w:cs="Arial"/>
          <w:sz w:val="22"/>
          <w:szCs w:val="18"/>
          <w:lang w:eastAsia="fr-CA"/>
        </w:rPr>
        <w:t xml:space="preserve">Le professeur Driedger, à la p. 111 de son ouvrage </w:t>
      </w:r>
      <w:r w:rsidRPr="004C1982">
        <w:rPr>
          <w:rFonts w:cs="Arial"/>
          <w:i/>
          <w:iCs/>
          <w:sz w:val="22"/>
          <w:szCs w:val="18"/>
          <w:lang w:eastAsia="fr-CA"/>
        </w:rPr>
        <w:t>Construction of Statutes</w:t>
      </w:r>
      <w:r w:rsidRPr="004C1982">
        <w:rPr>
          <w:rFonts w:cs="Arial"/>
          <w:sz w:val="22"/>
          <w:szCs w:val="18"/>
          <w:lang w:eastAsia="fr-CA"/>
        </w:rPr>
        <w:t xml:space="preserve"> (2</w:t>
      </w:r>
      <w:r w:rsidRPr="004C1982">
        <w:rPr>
          <w:rFonts w:cs="Arial"/>
          <w:sz w:val="22"/>
          <w:szCs w:val="18"/>
          <w:vertAlign w:val="superscript"/>
          <w:lang w:eastAsia="fr-CA"/>
        </w:rPr>
        <w:t>e</w:t>
      </w:r>
      <w:r w:rsidRPr="004C1982">
        <w:rPr>
          <w:rFonts w:cs="Arial"/>
          <w:sz w:val="22"/>
          <w:szCs w:val="18"/>
          <w:lang w:eastAsia="fr-CA"/>
        </w:rPr>
        <w:t xml:space="preserve"> éd. 1983), souligne la définition de la règle énoncée par le lord chancelier Halsbury dans l'arrêt </w:t>
      </w:r>
      <w:r w:rsidRPr="004C1982">
        <w:rPr>
          <w:rFonts w:cs="Arial"/>
          <w:i/>
          <w:iCs/>
          <w:sz w:val="22"/>
          <w:szCs w:val="18"/>
          <w:lang w:eastAsia="fr-CA"/>
        </w:rPr>
        <w:t>Thames and Mersey Marine Insurance Co. v. Hamilton, Fraser &amp; Co.</w:t>
      </w:r>
      <w:r w:rsidRPr="004C1982">
        <w:rPr>
          <w:rFonts w:cs="Arial"/>
          <w:sz w:val="22"/>
          <w:szCs w:val="18"/>
          <w:lang w:eastAsia="fr-CA"/>
        </w:rPr>
        <w:t xml:space="preserve"> (1887), 12 App. Cas. 484, à la p. 490.  Le lord chancelier Halsbury fait remarquer que </w:t>
      </w:r>
      <w:r w:rsidRPr="004C1982">
        <w:rPr>
          <w:rFonts w:cs="Arial"/>
          <w:b/>
          <w:bCs/>
          <w:sz w:val="22"/>
          <w:szCs w:val="18"/>
          <w:lang w:eastAsia="fr-CA"/>
        </w:rPr>
        <w:t xml:space="preserve">la règle est fondée sur la notion selon laquelle [TRADUCTION] "les termes généraux peuvent </w:t>
      </w:r>
      <w:r w:rsidRPr="004C1982">
        <w:rPr>
          <w:rFonts w:cs="Arial"/>
          <w:b/>
          <w:bCs/>
          <w:sz w:val="22"/>
          <w:szCs w:val="18"/>
        </w:rPr>
        <w:t>être</w:t>
      </w:r>
      <w:r w:rsidRPr="004C1982">
        <w:rPr>
          <w:rFonts w:cs="Arial"/>
          <w:b/>
          <w:bCs/>
          <w:sz w:val="22"/>
          <w:szCs w:val="18"/>
          <w:lang w:eastAsia="fr-CA"/>
        </w:rPr>
        <w:t xml:space="preserve"> limités au même genre que les termes précis qui les ont précédés".</w:t>
      </w:r>
      <w:r w:rsidRPr="004C1982">
        <w:rPr>
          <w:rFonts w:cs="Arial"/>
          <w:sz w:val="22"/>
          <w:szCs w:val="18"/>
          <w:lang w:eastAsia="fr-CA"/>
        </w:rPr>
        <w:t xml:space="preserve">  Il convient également de citer une illustration du fonctionnement de la règle donnée par le professeur Côté dans son ouvrage </w:t>
      </w:r>
      <w:r w:rsidRPr="004C1982">
        <w:rPr>
          <w:rFonts w:cs="Arial"/>
          <w:i/>
          <w:iCs/>
          <w:sz w:val="22"/>
          <w:szCs w:val="18"/>
          <w:lang w:eastAsia="fr-CA"/>
        </w:rPr>
        <w:t>Interprétation des lois</w:t>
      </w:r>
      <w:r w:rsidRPr="004C1982">
        <w:rPr>
          <w:rFonts w:cs="Arial"/>
          <w:sz w:val="22"/>
          <w:szCs w:val="18"/>
          <w:lang w:eastAsia="fr-CA"/>
        </w:rPr>
        <w:t xml:space="preserve"> (1982), à la p. 372.  Le professeur Côté cite les remarques du juge Turgeon dans l'arrêt </w:t>
      </w:r>
      <w:r w:rsidRPr="004C1982">
        <w:rPr>
          <w:rFonts w:cs="Arial"/>
          <w:i/>
          <w:iCs/>
          <w:sz w:val="22"/>
          <w:szCs w:val="18"/>
          <w:lang w:eastAsia="fr-CA"/>
        </w:rPr>
        <w:t>Renault c. Bell Asbestos Mines Ltd.</w:t>
      </w:r>
      <w:r w:rsidRPr="004C1982">
        <w:rPr>
          <w:rFonts w:cs="Arial"/>
          <w:sz w:val="22"/>
          <w:szCs w:val="18"/>
          <w:lang w:eastAsia="fr-CA"/>
        </w:rPr>
        <w:t xml:space="preserve">, [1980] C.A. </w:t>
      </w:r>
      <w:r w:rsidR="008B426C" w:rsidRPr="004C1982">
        <w:rPr>
          <w:rFonts w:cs="Arial"/>
          <w:sz w:val="22"/>
          <w:szCs w:val="18"/>
          <w:lang w:eastAsia="fr-CA"/>
        </w:rPr>
        <w:t>370,</w:t>
      </w:r>
      <w:r w:rsidRPr="004C1982">
        <w:rPr>
          <w:rFonts w:cs="Arial"/>
          <w:sz w:val="22"/>
          <w:szCs w:val="18"/>
          <w:lang w:eastAsia="fr-CA"/>
        </w:rPr>
        <w:t xml:space="preserve"> à la p. 372.  Les observations vont dans le même sens que celles du lord chancelier Halsbury, bien que j'attire l'attention sur la remarque importante du juge Turgeon:</w:t>
      </w:r>
    </w:p>
    <w:p w14:paraId="07C34BE7" w14:textId="0D17B295" w:rsidR="00B331C7" w:rsidRPr="004C1982" w:rsidRDefault="00B331C7" w:rsidP="00527C49">
      <w:pPr>
        <w:pStyle w:val="Paragrdouble"/>
        <w:numPr>
          <w:ilvl w:val="0"/>
          <w:numId w:val="0"/>
        </w:numPr>
        <w:spacing w:line="240" w:lineRule="auto"/>
        <w:ind w:left="1462" w:right="573"/>
        <w:rPr>
          <w:rFonts w:cs="Arial"/>
          <w:sz w:val="22"/>
          <w:szCs w:val="18"/>
          <w:lang w:eastAsia="fr-CA"/>
        </w:rPr>
      </w:pPr>
      <w:r w:rsidRPr="004C1982">
        <w:rPr>
          <w:rFonts w:cs="Arial"/>
          <w:sz w:val="22"/>
          <w:szCs w:val="18"/>
          <w:lang w:eastAsia="fr-CA"/>
        </w:rPr>
        <w:t xml:space="preserve">Autrement dit, pour que la règle </w:t>
      </w:r>
      <w:r w:rsidRPr="004C1982">
        <w:rPr>
          <w:rFonts w:cs="Arial"/>
          <w:sz w:val="22"/>
          <w:szCs w:val="18"/>
        </w:rPr>
        <w:t>s'applique</w:t>
      </w:r>
      <w:r w:rsidRPr="004C1982">
        <w:rPr>
          <w:rFonts w:cs="Arial"/>
          <w:sz w:val="22"/>
          <w:szCs w:val="18"/>
          <w:lang w:eastAsia="fr-CA"/>
        </w:rPr>
        <w:t xml:space="preserve">, </w:t>
      </w:r>
      <w:r w:rsidRPr="004C1982">
        <w:rPr>
          <w:rFonts w:cs="Arial"/>
          <w:sz w:val="22"/>
          <w:szCs w:val="18"/>
          <w:u w:val="single"/>
          <w:lang w:eastAsia="fr-CA"/>
        </w:rPr>
        <w:t>il faut absolument que l'on retrouve une classe ou une catégorie précédant les termes généraux</w:t>
      </w:r>
      <w:r w:rsidRPr="004C1982">
        <w:rPr>
          <w:rFonts w:cs="Arial"/>
          <w:sz w:val="22"/>
          <w:szCs w:val="18"/>
          <w:lang w:eastAsia="fr-CA"/>
        </w:rPr>
        <w:t>, si l'on veut les restreindre à cette classe ou cette catégorie.  [Je souligne.]</w:t>
      </w:r>
    </w:p>
    <w:p w14:paraId="6A437F02" w14:textId="1777273F" w:rsidR="00B331C7" w:rsidRPr="004C1982" w:rsidRDefault="00B331C7" w:rsidP="00735E16">
      <w:pPr>
        <w:pStyle w:val="Paragrdouble"/>
        <w:numPr>
          <w:ilvl w:val="0"/>
          <w:numId w:val="0"/>
        </w:numPr>
        <w:spacing w:line="240" w:lineRule="auto"/>
        <w:ind w:left="731" w:right="573"/>
        <w:rPr>
          <w:rFonts w:cs="Arial"/>
          <w:sz w:val="22"/>
          <w:szCs w:val="22"/>
          <w:lang w:eastAsia="fr-CA"/>
        </w:rPr>
      </w:pPr>
      <w:r w:rsidRPr="5A7F0EA4">
        <w:rPr>
          <w:rFonts w:cs="Arial"/>
          <w:sz w:val="22"/>
          <w:szCs w:val="22"/>
          <w:lang w:eastAsia="fr-CA"/>
        </w:rPr>
        <w:t xml:space="preserve">En l'espèce, évidemment, </w:t>
      </w:r>
      <w:r w:rsidRPr="5A7F0EA4">
        <w:rPr>
          <w:rFonts w:cs="Arial"/>
          <w:b/>
          <w:bCs/>
          <w:sz w:val="22"/>
          <w:szCs w:val="22"/>
          <w:lang w:eastAsia="fr-CA"/>
        </w:rPr>
        <w:t xml:space="preserve">cette condition préalable à l'application de la règle n'est pas remplie car, dans la clause visée, les termes </w:t>
      </w:r>
      <w:r w:rsidRPr="5A7F0EA4">
        <w:rPr>
          <w:rFonts w:cs="Arial"/>
          <w:b/>
          <w:bCs/>
          <w:sz w:val="22"/>
          <w:szCs w:val="22"/>
        </w:rPr>
        <w:t>généraux</w:t>
      </w:r>
      <w:r w:rsidRPr="5A7F0EA4">
        <w:rPr>
          <w:rFonts w:cs="Arial"/>
          <w:b/>
          <w:bCs/>
          <w:sz w:val="22"/>
          <w:szCs w:val="22"/>
          <w:lang w:eastAsia="fr-CA"/>
        </w:rPr>
        <w:t xml:space="preserve"> précèdent l'énumération précise au lieu de la suivre</w:t>
      </w:r>
      <w:r w:rsidRPr="5A7F0EA4">
        <w:rPr>
          <w:rFonts w:cs="Arial"/>
          <w:sz w:val="22"/>
          <w:szCs w:val="22"/>
          <w:lang w:eastAsia="fr-CA"/>
        </w:rPr>
        <w:t xml:space="preserve">.  La clause indique que la protection relative à l'intérêt du créancier hypothécaire est valide nonobstant les "déclarations" et ensuite fournit des exemples de celles-ci.  La justification rationnelle de l'application de la règle </w:t>
      </w:r>
      <w:r w:rsidRPr="5A7F0EA4">
        <w:rPr>
          <w:rFonts w:cs="Arial"/>
          <w:i/>
          <w:iCs/>
          <w:sz w:val="22"/>
          <w:szCs w:val="22"/>
          <w:lang w:eastAsia="fr-CA"/>
        </w:rPr>
        <w:t>ejusdem generis</w:t>
      </w:r>
      <w:r w:rsidRPr="5A7F0EA4">
        <w:rPr>
          <w:rFonts w:cs="Arial"/>
          <w:sz w:val="22"/>
          <w:szCs w:val="22"/>
          <w:lang w:eastAsia="fr-CA"/>
        </w:rPr>
        <w:t xml:space="preserve"> est donc absente.  </w:t>
      </w:r>
      <w:r w:rsidRPr="5A7F0EA4">
        <w:rPr>
          <w:rFonts w:cs="Arial"/>
          <w:b/>
          <w:bCs/>
          <w:sz w:val="22"/>
          <w:szCs w:val="22"/>
          <w:lang w:eastAsia="fr-CA"/>
        </w:rPr>
        <w:t>Quel que soit le document particulier qui est interprété</w:t>
      </w:r>
      <w:r w:rsidRPr="5A7F0EA4">
        <w:rPr>
          <w:rFonts w:cs="Arial"/>
          <w:sz w:val="22"/>
          <w:szCs w:val="22"/>
          <w:lang w:eastAsia="fr-CA"/>
        </w:rPr>
        <w:t xml:space="preserve">, lorsque l'on trouve une clause qui énonce une liste de termes précis suivie d'un terme général, </w:t>
      </w:r>
      <w:r w:rsidRPr="5A7F0EA4">
        <w:rPr>
          <w:rFonts w:cs="Arial"/>
          <w:b/>
          <w:bCs/>
          <w:sz w:val="22"/>
          <w:szCs w:val="22"/>
          <w:lang w:eastAsia="fr-CA"/>
        </w:rPr>
        <w:t>il conviendra normalement de limiter le terme général au genre de l'énumération restreinte qui le précède.  Toutefois, il serait illogique de procéder de la même manière lorsqu'un terme général précède une énumération d'exemples précis.</w:t>
      </w:r>
      <w:r w:rsidRPr="5A7F0EA4">
        <w:rPr>
          <w:rFonts w:cs="Arial"/>
          <w:sz w:val="22"/>
          <w:szCs w:val="22"/>
          <w:lang w:eastAsia="fr-CA"/>
        </w:rPr>
        <w:t> </w:t>
      </w:r>
      <w:r w:rsidR="4FCD77EC" w:rsidRPr="5A7F0EA4">
        <w:rPr>
          <w:rFonts w:cs="Arial"/>
          <w:sz w:val="22"/>
          <w:szCs w:val="22"/>
          <w:lang w:eastAsia="fr-CA"/>
        </w:rPr>
        <w:t>[…]</w:t>
      </w:r>
    </w:p>
    <w:p w14:paraId="0AA45A3A" w14:textId="6E7D1973" w:rsidR="00572844" w:rsidRPr="00F87D78" w:rsidRDefault="00C36BF9" w:rsidP="00B331C7">
      <w:pPr>
        <w:pStyle w:val="Paragrdouble"/>
        <w:numPr>
          <w:ilvl w:val="0"/>
          <w:numId w:val="0"/>
        </w:numPr>
        <w:spacing w:line="240" w:lineRule="auto"/>
        <w:rPr>
          <w:sz w:val="22"/>
          <w:szCs w:val="18"/>
        </w:rPr>
      </w:pPr>
      <w:r>
        <w:rPr>
          <w:sz w:val="22"/>
          <w:szCs w:val="18"/>
        </w:rPr>
        <w:tab/>
        <w:t>(nos caractères gras)</w:t>
      </w:r>
    </w:p>
    <w:p w14:paraId="3375C5EB" w14:textId="09BEB9B7" w:rsidR="00EB7B10" w:rsidRDefault="00781641" w:rsidP="00EB7B10">
      <w:pPr>
        <w:pStyle w:val="Paragrdouble"/>
        <w:spacing w:line="240" w:lineRule="auto"/>
      </w:pPr>
      <w:r>
        <w:t xml:space="preserve"> </w:t>
      </w:r>
      <w:r w:rsidR="00EB7B10">
        <w:t xml:space="preserve">À la lumière de la position majoritaire des juges de la </w:t>
      </w:r>
      <w:r w:rsidR="0097463C">
        <w:t>Cour suprême</w:t>
      </w:r>
      <w:r w:rsidR="00EB7B10">
        <w:t xml:space="preserve">, il appert que, pour que les demandeurs aient raison, il aurait fallu que l’expression « grandes infrastructures » se retrouve après l’énumération. En d’autres termes, il aurait fallu que le législateur écrive plutôt quelque chose du genre: « un aéroport, un port, une gare, une cour ou une gare de triage ou un établissement d’assainissement, de filtration ou d’épuration des eaux, soit de grandes infrastructures ». </w:t>
      </w:r>
    </w:p>
    <w:p w14:paraId="76B02D82" w14:textId="6B162575" w:rsidR="00A56700" w:rsidRDefault="00885E3D" w:rsidP="000825D5">
      <w:pPr>
        <w:pStyle w:val="Paragrdouble"/>
        <w:spacing w:line="240" w:lineRule="auto"/>
      </w:pPr>
      <w:r>
        <w:t>L</w:t>
      </w:r>
      <w:r w:rsidR="00781641">
        <w:t xml:space="preserve">es demandeurs </w:t>
      </w:r>
      <w:r w:rsidR="00637DD1">
        <w:t>attire</w:t>
      </w:r>
      <w:r w:rsidR="00631DE0">
        <w:t>nt</w:t>
      </w:r>
      <w:r w:rsidR="00637DD1">
        <w:t xml:space="preserve"> l’attention du Tribunal sur la position minoritaire exprimée par deux des trois juges du Québec, soit les honorables L’Heureux-Dubé et Gonthier</w:t>
      </w:r>
      <w:r w:rsidR="00D518E9">
        <w:t>,</w:t>
      </w:r>
      <w:r w:rsidR="00844826">
        <w:t xml:space="preserve"> </w:t>
      </w:r>
      <w:r w:rsidR="00D518E9">
        <w:t>à l’effet que</w:t>
      </w:r>
      <w:r w:rsidR="00844826">
        <w:t>,</w:t>
      </w:r>
      <w:r w:rsidR="00D518E9">
        <w:t xml:space="preserve"> par l’application de la règle d’interprétation </w:t>
      </w:r>
      <w:r w:rsidR="00D518E9" w:rsidRPr="5A7F0EA4">
        <w:rPr>
          <w:i/>
          <w:iCs/>
        </w:rPr>
        <w:t>ejusdem generis</w:t>
      </w:r>
      <w:r w:rsidR="00834384" w:rsidRPr="5A7F0EA4">
        <w:rPr>
          <w:i/>
          <w:iCs/>
        </w:rPr>
        <w:t>,</w:t>
      </w:r>
      <w:r w:rsidR="00844826" w:rsidRPr="5A7F0EA4">
        <w:rPr>
          <w:i/>
          <w:iCs/>
        </w:rPr>
        <w:t xml:space="preserve"> </w:t>
      </w:r>
      <w:r w:rsidR="00844826" w:rsidRPr="00E718CE">
        <w:t>« la généralité d’un terme peut être restreinte par une suite de termes</w:t>
      </w:r>
      <w:r w:rsidR="00C04DF9" w:rsidRPr="00E718CE">
        <w:t xml:space="preserve"> qui le précèdent</w:t>
      </w:r>
      <w:r w:rsidR="00844826" w:rsidRPr="00E718CE">
        <w:t xml:space="preserve"> </w:t>
      </w:r>
      <w:r w:rsidR="00C04DF9" w:rsidRPr="00E718CE">
        <w:t>ou le suivent »</w:t>
      </w:r>
      <w:r w:rsidR="00C04DF9" w:rsidRPr="5A7F0EA4">
        <w:rPr>
          <w:i/>
          <w:iCs/>
        </w:rPr>
        <w:t>.</w:t>
      </w:r>
      <w:r w:rsidR="00851E8F">
        <w:t xml:space="preserve"> </w:t>
      </w:r>
      <w:r w:rsidR="00AE710F">
        <w:t>L’exercice fait</w:t>
      </w:r>
      <w:r w:rsidR="004B3042">
        <w:t xml:space="preserve"> par les juges minoritaires consiste à chercher le commun dénominateur qui transcende</w:t>
      </w:r>
      <w:r w:rsidR="000244BB">
        <w:t xml:space="preserve"> les expressions données à titre d’exemple.</w:t>
      </w:r>
      <w:r w:rsidR="00631DE0">
        <w:t xml:space="preserve"> </w:t>
      </w:r>
      <w:r w:rsidR="00662DC6">
        <w:t>Dans le présent dossier,</w:t>
      </w:r>
      <w:r w:rsidR="003B5C71">
        <w:t xml:space="preserve"> cela revient à se demander ce qu’ont en commun</w:t>
      </w:r>
      <w:r w:rsidR="001332AF">
        <w:t xml:space="preserve"> un aéroport, un port et un établissement d’assainissement des eaux</w:t>
      </w:r>
      <w:r w:rsidR="00C735A6">
        <w:t xml:space="preserve">. </w:t>
      </w:r>
      <w:r w:rsidR="009A0D10">
        <w:t>Réponse : c</w:t>
      </w:r>
      <w:r w:rsidR="00CD614E">
        <w:t xml:space="preserve">e sont des constructions pour </w:t>
      </w:r>
      <w:r w:rsidR="00C725A1">
        <w:t>le bien de toute la communauté</w:t>
      </w:r>
      <w:r w:rsidR="00BF5241">
        <w:t>,</w:t>
      </w:r>
      <w:r w:rsidR="00C725A1">
        <w:t xml:space="preserve"> de tous acabits</w:t>
      </w:r>
      <w:r w:rsidR="00BF5241">
        <w:t xml:space="preserve"> et qui nécessite</w:t>
      </w:r>
      <w:r w:rsidR="00EB7B10">
        <w:t>nt</w:t>
      </w:r>
      <w:r w:rsidR="00BF5241">
        <w:t xml:space="preserve"> d’importants investissements publics</w:t>
      </w:r>
      <w:r w:rsidR="00677B75">
        <w:t>.</w:t>
      </w:r>
      <w:r w:rsidR="00866676">
        <w:t xml:space="preserve"> Et</w:t>
      </w:r>
      <w:r w:rsidR="00582BD9">
        <w:t>, à la lu</w:t>
      </w:r>
      <w:r w:rsidR="001B0EFF">
        <w:t>mière de cette réponse,</w:t>
      </w:r>
      <w:r w:rsidR="00866676">
        <w:t xml:space="preserve"> </w:t>
      </w:r>
      <w:r w:rsidR="007B1B61">
        <w:t xml:space="preserve">pourquoi </w:t>
      </w:r>
      <w:r w:rsidR="00866676">
        <w:t>le tramway</w:t>
      </w:r>
      <w:r w:rsidR="00D65133">
        <w:t xml:space="preserve"> </w:t>
      </w:r>
      <w:r w:rsidR="007B1B61">
        <w:t>n’en</w:t>
      </w:r>
      <w:r w:rsidR="00D65133">
        <w:t xml:space="preserve"> f</w:t>
      </w:r>
      <w:r w:rsidR="007B1B61">
        <w:t>era</w:t>
      </w:r>
      <w:r w:rsidR="00D65133">
        <w:t>it</w:t>
      </w:r>
      <w:r w:rsidR="007B1B61">
        <w:t>-il pas</w:t>
      </w:r>
      <w:r w:rsidR="00D65133">
        <w:t xml:space="preserve"> partie</w:t>
      </w:r>
      <w:r w:rsidR="007B1B61">
        <w:t>?</w:t>
      </w:r>
    </w:p>
    <w:p w14:paraId="54BA8509" w14:textId="77777777" w:rsidR="00F64BFD" w:rsidRPr="00C81CB8" w:rsidRDefault="00F64BFD" w:rsidP="00F64BFD">
      <w:pPr>
        <w:pStyle w:val="Paragrdouble"/>
        <w:spacing w:line="240" w:lineRule="auto"/>
      </w:pPr>
      <w:r>
        <w:t>Bref, dans le présent dossier, que l’on adhère à la position majoritaire ou à la position minoritaire, l’expression « grandes infrastructures » doit être lue de façon libérale afin de pouvoir y introduire d’autres « grandes infrastructures » qui ne sont pas précisées dans la liste de cet article de loi.</w:t>
      </w:r>
    </w:p>
    <w:p w14:paraId="7AB45D41" w14:textId="34965900" w:rsidR="00060F35" w:rsidRDefault="00F64BFD" w:rsidP="00060F35">
      <w:pPr>
        <w:pStyle w:val="Paragrdouble"/>
        <w:spacing w:line="240" w:lineRule="auto"/>
      </w:pPr>
      <w:r>
        <w:t>En terminant</w:t>
      </w:r>
      <w:r w:rsidR="00060F35">
        <w:t xml:space="preserve">, dans les exemples donnés, on retrouve la notion de « gare de triage », à savoir l’installation de rails multiples posés les uns près des autres, sur une certaine distance. Si une gare de triage est une grande infrastructure, pourquoi le déploiement de rails sur une vingtaine de kilomètres au cœur de la ville avec la construction d’une trentaine de quais, d’un système aérien d’alimentation électrique et un tunnel de </w:t>
      </w:r>
      <w:r w:rsidR="2FFF21F7">
        <w:t>deux</w:t>
      </w:r>
      <w:r w:rsidR="00060F35">
        <w:t xml:space="preserve"> kilomètres ne constitueraient-ils pas aussi une grande infrastructure?</w:t>
      </w:r>
    </w:p>
    <w:p w14:paraId="60F9FA74" w14:textId="041EFE29" w:rsidR="00B51CA6" w:rsidRPr="00A0765B" w:rsidRDefault="00060F35" w:rsidP="00A02BD4">
      <w:pPr>
        <w:pStyle w:val="Paragrdouble"/>
        <w:spacing w:line="240" w:lineRule="auto"/>
        <w:rPr>
          <w:sz w:val="22"/>
          <w:szCs w:val="18"/>
        </w:rPr>
      </w:pPr>
      <w:r>
        <w:t>En conclusion, l</w:t>
      </w:r>
      <w:r w:rsidR="00852D60">
        <w:t>e projet de tramway est couvert par l’expression « grandes infrastructures »</w:t>
      </w:r>
      <w:r w:rsidR="00FF2586">
        <w:t xml:space="preserve"> de l’article 74</w:t>
      </w:r>
      <w:r w:rsidR="00EE2070">
        <w:t>.4</w:t>
      </w:r>
      <w:r w:rsidR="00FF2586">
        <w:t xml:space="preserve"> de la Charte de la Ville. Conséquemment, ce projet est exempt d’un référendum.</w:t>
      </w:r>
    </w:p>
    <w:p w14:paraId="19A3CEF2" w14:textId="77777777" w:rsidR="00931A2A" w:rsidRPr="00931A2A" w:rsidRDefault="00A0765B" w:rsidP="00A02BD4">
      <w:pPr>
        <w:pStyle w:val="Paragrdouble"/>
        <w:spacing w:line="240" w:lineRule="auto"/>
        <w:rPr>
          <w:sz w:val="22"/>
          <w:szCs w:val="18"/>
        </w:rPr>
      </w:pPr>
      <w:r>
        <w:t>En terminant,</w:t>
      </w:r>
      <w:r w:rsidR="009459C5">
        <w:t xml:space="preserve"> un mot</w:t>
      </w:r>
      <w:r w:rsidR="004D6455">
        <w:t xml:space="preserve"> sur </w:t>
      </w:r>
      <w:r w:rsidR="00931A2A">
        <w:t>des</w:t>
      </w:r>
      <w:r w:rsidR="004D6455">
        <w:t xml:space="preserve"> argument</w:t>
      </w:r>
      <w:r w:rsidR="00931A2A">
        <w:t>s</w:t>
      </w:r>
      <w:r w:rsidR="004D6455">
        <w:t xml:space="preserve"> supporté</w:t>
      </w:r>
      <w:r w:rsidR="00931A2A">
        <w:t>s</w:t>
      </w:r>
      <w:r w:rsidR="004D6455">
        <w:t xml:space="preserve"> par les demandeurs. </w:t>
      </w:r>
    </w:p>
    <w:p w14:paraId="164DC8F5" w14:textId="5BA56821" w:rsidR="00CC087E" w:rsidRPr="00CC087E" w:rsidRDefault="00931A2A" w:rsidP="00A02BD4">
      <w:pPr>
        <w:pStyle w:val="Paragrdouble"/>
        <w:spacing w:line="240" w:lineRule="auto"/>
        <w:rPr>
          <w:sz w:val="22"/>
          <w:szCs w:val="22"/>
        </w:rPr>
      </w:pPr>
      <w:r w:rsidRPr="5A7F0EA4">
        <w:rPr>
          <w:i/>
          <w:iCs/>
        </w:rPr>
        <w:t>L’estoppel by conduct</w:t>
      </w:r>
      <w:r>
        <w:rPr>
          <w:szCs w:val="18"/>
        </w:rPr>
        <w:t xml:space="preserve">. </w:t>
      </w:r>
      <w:r w:rsidR="004D6455" w:rsidRPr="4FD1AEB1">
        <w:t xml:space="preserve">Lors de leurs plaidoiries, </w:t>
      </w:r>
      <w:r w:rsidR="00374E0A" w:rsidRPr="4FD1AEB1">
        <w:t xml:space="preserve">se fondant sur </w:t>
      </w:r>
      <w:r w:rsidR="00202BF9" w:rsidRPr="4FD1AEB1">
        <w:t>le jugement dans l’afffaire</w:t>
      </w:r>
      <w:r w:rsidR="00374E0A">
        <w:rPr>
          <w:szCs w:val="18"/>
        </w:rPr>
        <w:t xml:space="preserve"> </w:t>
      </w:r>
      <w:r w:rsidR="00374E0A" w:rsidRPr="5A7F0EA4">
        <w:rPr>
          <w:i/>
          <w:iCs/>
        </w:rPr>
        <w:t xml:space="preserve">Stevenson </w:t>
      </w:r>
      <w:r w:rsidR="00020416" w:rsidRPr="4FD1AEB1">
        <w:t xml:space="preserve">c. </w:t>
      </w:r>
      <w:r w:rsidR="00020416" w:rsidRPr="5A7F0EA4">
        <w:rPr>
          <w:i/>
          <w:iCs/>
        </w:rPr>
        <w:t>Canada (Procureur général)</w:t>
      </w:r>
      <w:r w:rsidR="00020416" w:rsidRPr="00E718CE">
        <w:rPr>
          <w:rStyle w:val="Appelnotedebasdep"/>
        </w:rPr>
        <w:footnoteReference w:id="138"/>
      </w:r>
      <w:r w:rsidR="00020416" w:rsidRPr="5A7F0EA4">
        <w:rPr>
          <w:i/>
          <w:iCs/>
        </w:rPr>
        <w:t xml:space="preserve"> </w:t>
      </w:r>
      <w:r w:rsidR="004D6455" w:rsidRPr="4FD1AEB1">
        <w:t xml:space="preserve">les demandeurs ont prétendu que la </w:t>
      </w:r>
      <w:r w:rsidR="00044D74" w:rsidRPr="4FD1AEB1">
        <w:t>V</w:t>
      </w:r>
      <w:r w:rsidR="004D6455" w:rsidRPr="4FD1AEB1">
        <w:t>ille n’a jamais invoqué</w:t>
      </w:r>
      <w:r w:rsidR="006860E5">
        <w:rPr>
          <w:szCs w:val="18"/>
        </w:rPr>
        <w:t>,</w:t>
      </w:r>
      <w:r w:rsidR="008C0E7E" w:rsidRPr="4FD1AEB1">
        <w:t xml:space="preserve"> avant le dépôt de leur procédure</w:t>
      </w:r>
      <w:r w:rsidR="006860E5">
        <w:rPr>
          <w:szCs w:val="18"/>
        </w:rPr>
        <w:t>,</w:t>
      </w:r>
      <w:r w:rsidR="008C0E7E" w:rsidRPr="4FD1AEB1">
        <w:t xml:space="preserve"> l’article 74.4</w:t>
      </w:r>
      <w:r w:rsidR="00C24262" w:rsidRPr="4FD1AEB1">
        <w:t xml:space="preserve"> de la Charte de la Ville</w:t>
      </w:r>
      <w:r w:rsidR="00C24262">
        <w:rPr>
          <w:szCs w:val="18"/>
        </w:rPr>
        <w:t>,</w:t>
      </w:r>
      <w:r w:rsidR="00044D74" w:rsidRPr="4FD1AEB1">
        <w:t xml:space="preserve"> se contentant de s’en remettre </w:t>
      </w:r>
      <w:r w:rsidR="00BA3864" w:rsidRPr="4FD1AEB1">
        <w:t>à la</w:t>
      </w:r>
      <w:r w:rsidR="00044D74" w:rsidRPr="4FD1AEB1">
        <w:t xml:space="preserve"> politique de consultation publique mise en place en 2003</w:t>
      </w:r>
      <w:r w:rsidR="00BA3864" w:rsidRPr="4FD1AEB1">
        <w:t xml:space="preserve"> et modifiée en 2017.</w:t>
      </w:r>
      <w:r w:rsidR="00C24262">
        <w:rPr>
          <w:szCs w:val="18"/>
        </w:rPr>
        <w:t xml:space="preserve"> </w:t>
      </w:r>
      <w:r w:rsidR="00BA3864" w:rsidRPr="4FD1AEB1">
        <w:t>Ce faisant,</w:t>
      </w:r>
      <w:r w:rsidR="007F45BD" w:rsidRPr="4FD1AEB1">
        <w:t xml:space="preserve"> optant pour la consultation publique, elle aurait renoncé, </w:t>
      </w:r>
      <w:r w:rsidR="00922D04" w:rsidRPr="4FD1AEB1">
        <w:t>suivant</w:t>
      </w:r>
      <w:r w:rsidR="007F45BD" w:rsidRPr="4FD1AEB1">
        <w:t xml:space="preserve"> la théorie de</w:t>
      </w:r>
      <w:r w:rsidR="00BF1D73" w:rsidRPr="4FD1AEB1">
        <w:t xml:space="preserve"> l’</w:t>
      </w:r>
      <w:r w:rsidR="00BF1D73" w:rsidRPr="5A7F0EA4">
        <w:rPr>
          <w:i/>
          <w:iCs/>
        </w:rPr>
        <w:t>Estoppel by conduct</w:t>
      </w:r>
      <w:r w:rsidR="00BF1D73">
        <w:rPr>
          <w:szCs w:val="18"/>
        </w:rPr>
        <w:t xml:space="preserve">, </w:t>
      </w:r>
      <w:r w:rsidR="00696AEF" w:rsidRPr="4FD1AEB1">
        <w:t xml:space="preserve">à invoquer </w:t>
      </w:r>
      <w:r w:rsidR="00CC087E" w:rsidRPr="4FD1AEB1">
        <w:t xml:space="preserve">cet </w:t>
      </w:r>
      <w:r w:rsidR="00696AEF" w:rsidRPr="4FD1AEB1">
        <w:t>article 74.4.</w:t>
      </w:r>
      <w:r w:rsidR="00104C86" w:rsidRPr="4FD1AEB1">
        <w:t xml:space="preserve"> En d’autres termes, la Ville aurait fait son lit.</w:t>
      </w:r>
      <w:r w:rsidR="002A7B6D">
        <w:rPr>
          <w:szCs w:val="18"/>
        </w:rPr>
        <w:t xml:space="preserve"> </w:t>
      </w:r>
    </w:p>
    <w:p w14:paraId="60F66F9F" w14:textId="6C77C9DC" w:rsidR="00A0765B" w:rsidRPr="007A4F45" w:rsidRDefault="002A7B6D" w:rsidP="00A02BD4">
      <w:pPr>
        <w:pStyle w:val="Paragrdouble"/>
        <w:spacing w:line="240" w:lineRule="auto"/>
        <w:rPr>
          <w:sz w:val="22"/>
          <w:szCs w:val="18"/>
        </w:rPr>
      </w:pPr>
      <w:r w:rsidRPr="4FD1AEB1">
        <w:t>Cette approche n’est pas appropriée</w:t>
      </w:r>
      <w:r w:rsidR="00FF3D28" w:rsidRPr="4FD1AEB1">
        <w:t xml:space="preserve"> car</w:t>
      </w:r>
      <w:r w:rsidR="000450BF">
        <w:rPr>
          <w:szCs w:val="18"/>
        </w:rPr>
        <w:t>,</w:t>
      </w:r>
      <w:r w:rsidR="00FF3D28" w:rsidRPr="4FD1AEB1">
        <w:t xml:space="preserve"> en fait, la </w:t>
      </w:r>
      <w:r w:rsidR="00FC700C" w:rsidRPr="4FD1AEB1">
        <w:t>V</w:t>
      </w:r>
      <w:r w:rsidR="00FF3D28" w:rsidRPr="4FD1AEB1">
        <w:t>ille bénéficiant du pouvoir de modifier, sans</w:t>
      </w:r>
      <w:r w:rsidR="00FC700C" w:rsidRPr="4FD1AEB1">
        <w:t xml:space="preserve"> consultation, son règlement d’urbanisme</w:t>
      </w:r>
      <w:r w:rsidR="00F76F4B" w:rsidRPr="4FD1AEB1">
        <w:t xml:space="preserve">, elle pouvait, sur une base volontaire, tenir également des consultations : l’un n’empêche pas l’autre. </w:t>
      </w:r>
      <w:r w:rsidR="00340AEB" w:rsidRPr="4FD1AEB1">
        <w:t xml:space="preserve">De plus, pour que cet argument soit reçu, il doit y avoir eu </w:t>
      </w:r>
      <w:r w:rsidR="00A56A66" w:rsidRPr="4FD1AEB1">
        <w:t>une renonciation non-équivoque à l’invoquer</w:t>
      </w:r>
      <w:r w:rsidR="00A56A66" w:rsidRPr="4FD1AEB1">
        <w:rPr>
          <w:rStyle w:val="Appelnotedebasdep"/>
        </w:rPr>
        <w:footnoteReference w:id="139"/>
      </w:r>
      <w:r w:rsidR="00A56A66" w:rsidRPr="4FD1AEB1">
        <w:t xml:space="preserve">, ce qui n’est davantage pas le cas. </w:t>
      </w:r>
      <w:r w:rsidR="00F76F4B" w:rsidRPr="4FD1AEB1">
        <w:t>Cette théorie</w:t>
      </w:r>
      <w:r w:rsidR="00D56FA8" w:rsidRPr="4FD1AEB1">
        <w:t xml:space="preserve"> ne trouve pas application eu égard aux circonstances.</w:t>
      </w:r>
      <w:r w:rsidR="00030875">
        <w:rPr>
          <w:szCs w:val="18"/>
        </w:rPr>
        <w:t xml:space="preserve"> </w:t>
      </w:r>
    </w:p>
    <w:p w14:paraId="6732CB4D" w14:textId="462E6160" w:rsidR="00F45C44" w:rsidRPr="00F45C44" w:rsidRDefault="00931A2A" w:rsidP="00A02BD4">
      <w:pPr>
        <w:pStyle w:val="Paragrdouble"/>
        <w:spacing w:line="240" w:lineRule="auto"/>
        <w:rPr>
          <w:sz w:val="22"/>
          <w:szCs w:val="22"/>
        </w:rPr>
      </w:pPr>
      <w:r w:rsidRPr="5A7F0EA4">
        <w:rPr>
          <w:i/>
          <w:iCs/>
        </w:rPr>
        <w:t>Le droit acquis au référendum.</w:t>
      </w:r>
      <w:r>
        <w:rPr>
          <w:szCs w:val="18"/>
        </w:rPr>
        <w:t xml:space="preserve"> </w:t>
      </w:r>
      <w:r w:rsidR="001E6E87" w:rsidRPr="08ECA469">
        <w:t>Se fondant</w:t>
      </w:r>
      <w:r w:rsidR="0013278D" w:rsidRPr="08ECA469">
        <w:t xml:space="preserve"> sur des préceptes énoncés par la Cour suprême dans l’arrêt </w:t>
      </w:r>
      <w:r w:rsidR="0013278D" w:rsidRPr="5A7F0EA4">
        <w:rPr>
          <w:i/>
          <w:iCs/>
        </w:rPr>
        <w:t>Haig</w:t>
      </w:r>
      <w:r w:rsidR="0013278D" w:rsidRPr="00E718CE">
        <w:rPr>
          <w:rStyle w:val="Appelnotedebasdep"/>
        </w:rPr>
        <w:footnoteReference w:id="140"/>
      </w:r>
      <w:r w:rsidR="0013278D">
        <w:rPr>
          <w:szCs w:val="18"/>
        </w:rPr>
        <w:t xml:space="preserve">, </w:t>
      </w:r>
      <w:r w:rsidR="00967623" w:rsidRPr="08ECA469">
        <w:t>les demandeurs soutiennent que, lorsque le législateur a choisi la voie d’un référendum</w:t>
      </w:r>
      <w:r w:rsidR="00C84EE0" w:rsidRPr="08ECA469">
        <w:t>, il ne peut reculer</w:t>
      </w:r>
      <w:r w:rsidR="00F406D9">
        <w:rPr>
          <w:szCs w:val="18"/>
        </w:rPr>
        <w:t>.</w:t>
      </w:r>
      <w:r w:rsidR="00F45C44" w:rsidRPr="08ECA469">
        <w:t xml:space="preserve"> Ils s</w:t>
      </w:r>
      <w:r w:rsidR="007C1B5F" w:rsidRPr="08ECA469">
        <w:t>eraie</w:t>
      </w:r>
      <w:r w:rsidR="00F45C44" w:rsidRPr="08ECA469">
        <w:t>nt</w:t>
      </w:r>
      <w:r w:rsidR="007C1B5F" w:rsidRPr="08ECA469">
        <w:t xml:space="preserve"> d’après eux</w:t>
      </w:r>
      <w:r w:rsidR="00F45C44" w:rsidRPr="08ECA469">
        <w:t xml:space="preserve"> en droit d’exiger la tenue d’un référendum</w:t>
      </w:r>
      <w:r w:rsidR="008A54D9" w:rsidRPr="08ECA469">
        <w:t>. Bien qu’ils prennent appui sur le fait</w:t>
      </w:r>
      <w:r w:rsidR="00776C2E" w:rsidRPr="08ECA469">
        <w:t xml:space="preserve"> qu’en matière d’urbanisme il est possible d’exiger la tenue d’un référendum, les commentaires des demandeurs élargissent ce droit à celui de demander un référendum quant au projet de tramway.</w:t>
      </w:r>
      <w:r w:rsidR="00282DCD">
        <w:rPr>
          <w:szCs w:val="18"/>
        </w:rPr>
        <w:t xml:space="preserve"> </w:t>
      </w:r>
    </w:p>
    <w:p w14:paraId="4B9C8874" w14:textId="7FE9149C" w:rsidR="00931A2A" w:rsidRPr="000E5E60" w:rsidRDefault="00494307" w:rsidP="00A02BD4">
      <w:pPr>
        <w:pStyle w:val="Paragrdouble"/>
        <w:spacing w:line="240" w:lineRule="auto"/>
        <w:rPr>
          <w:sz w:val="22"/>
          <w:szCs w:val="22"/>
        </w:rPr>
      </w:pPr>
      <w:r w:rsidRPr="08ECA469">
        <w:t xml:space="preserve">Se fondant sur l’arrêt </w:t>
      </w:r>
      <w:r w:rsidRPr="5A7F0EA4">
        <w:rPr>
          <w:i/>
          <w:iCs/>
        </w:rPr>
        <w:t>Gust</w:t>
      </w:r>
      <w:r w:rsidR="00DB6A0B" w:rsidRPr="5A7F0EA4">
        <w:rPr>
          <w:i/>
          <w:iCs/>
        </w:rPr>
        <w:t xml:space="preserve">avson Drilling (1964) </w:t>
      </w:r>
      <w:r w:rsidR="00DB6A0B" w:rsidRPr="00E718CE">
        <w:rPr>
          <w:i/>
          <w:iCs/>
        </w:rPr>
        <w:t>Ltd</w:t>
      </w:r>
      <w:r w:rsidR="50ACAF5E" w:rsidRPr="00E718CE">
        <w:rPr>
          <w:i/>
          <w:iCs/>
        </w:rPr>
        <w:t>.</w:t>
      </w:r>
      <w:r w:rsidR="00DB6A0B" w:rsidRPr="08ECA469">
        <w:t xml:space="preserve"> c. </w:t>
      </w:r>
      <w:r w:rsidR="00DB6A0B" w:rsidRPr="5A7F0EA4">
        <w:rPr>
          <w:i/>
          <w:iCs/>
        </w:rPr>
        <w:t>Ministre du Revenu national</w:t>
      </w:r>
      <w:r w:rsidR="00DB6A0B" w:rsidRPr="00E718CE">
        <w:rPr>
          <w:rStyle w:val="Appelnotedebasdep"/>
        </w:rPr>
        <w:footnoteReference w:id="141"/>
      </w:r>
      <w:r w:rsidR="00DB6A0B" w:rsidRPr="5A7F0EA4">
        <w:rPr>
          <w:i/>
          <w:iCs/>
        </w:rPr>
        <w:t xml:space="preserve">, </w:t>
      </w:r>
      <w:r w:rsidRPr="08ECA469">
        <w:t>l</w:t>
      </w:r>
      <w:r w:rsidR="00282DCD" w:rsidRPr="08ECA469">
        <w:t>e Tribunal ne partage pas</w:t>
      </w:r>
      <w:r w:rsidRPr="08ECA469">
        <w:t xml:space="preserve"> cette opinion :</w:t>
      </w:r>
    </w:p>
    <w:p w14:paraId="3E9D9701" w14:textId="02C185C9" w:rsidR="000E5E60" w:rsidRDefault="0042570C" w:rsidP="0042570C">
      <w:pPr>
        <w:pStyle w:val="Paragrdouble"/>
        <w:numPr>
          <w:ilvl w:val="0"/>
          <w:numId w:val="0"/>
        </w:numPr>
        <w:spacing w:line="240" w:lineRule="auto"/>
        <w:ind w:left="731" w:right="573"/>
        <w:rPr>
          <w:rFonts w:cs="Arial"/>
          <w:sz w:val="22"/>
          <w:szCs w:val="22"/>
          <w:lang w:eastAsia="fr-CA"/>
        </w:rPr>
      </w:pPr>
      <w:r w:rsidRPr="5A7F0EA4">
        <w:rPr>
          <w:rFonts w:cs="Arial"/>
          <w:sz w:val="22"/>
          <w:szCs w:val="22"/>
          <w:lang w:eastAsia="fr-CA"/>
        </w:rPr>
        <w:t>Personne</w:t>
      </w:r>
      <w:r w:rsidR="000A36E4" w:rsidRPr="5A7F0EA4">
        <w:rPr>
          <w:rFonts w:cs="Arial"/>
          <w:sz w:val="22"/>
          <w:szCs w:val="22"/>
          <w:lang w:eastAsia="fr-CA"/>
        </w:rPr>
        <w:t xml:space="preserve"> n’a le droit acquis de se prévaloir de la loi telle qu’</w:t>
      </w:r>
      <w:r w:rsidR="715A3CC5" w:rsidRPr="5A7F0EA4">
        <w:rPr>
          <w:rFonts w:cs="Arial"/>
          <w:sz w:val="22"/>
          <w:szCs w:val="22"/>
          <w:lang w:eastAsia="fr-CA"/>
        </w:rPr>
        <w:t>elle</w:t>
      </w:r>
      <w:r w:rsidR="000A36E4" w:rsidRPr="5A7F0EA4">
        <w:rPr>
          <w:rFonts w:cs="Arial"/>
          <w:sz w:val="22"/>
          <w:szCs w:val="22"/>
          <w:lang w:eastAsia="fr-CA"/>
        </w:rPr>
        <w:t xml:space="preserve"> existait dans le passé</w:t>
      </w:r>
      <w:r w:rsidR="74A0A999" w:rsidRPr="5A7F0EA4">
        <w:rPr>
          <w:rFonts w:cs="Arial"/>
          <w:sz w:val="22"/>
          <w:szCs w:val="22"/>
          <w:lang w:eastAsia="fr-CA"/>
        </w:rPr>
        <w:t xml:space="preserve"> [</w:t>
      </w:r>
      <w:r w:rsidR="000A36E4" w:rsidRPr="5A7F0EA4">
        <w:rPr>
          <w:rFonts w:cs="Arial"/>
          <w:sz w:val="22"/>
          <w:szCs w:val="22"/>
          <w:lang w:eastAsia="fr-CA"/>
        </w:rPr>
        <w:t>…</w:t>
      </w:r>
      <w:r w:rsidR="4CF19CCA" w:rsidRPr="5A7F0EA4">
        <w:rPr>
          <w:rFonts w:cs="Arial"/>
          <w:sz w:val="22"/>
          <w:szCs w:val="22"/>
          <w:lang w:eastAsia="fr-CA"/>
        </w:rPr>
        <w:t>]</w:t>
      </w:r>
      <w:r w:rsidRPr="5A7F0EA4">
        <w:rPr>
          <w:rFonts w:cs="Arial"/>
          <w:sz w:val="22"/>
          <w:szCs w:val="22"/>
          <w:lang w:eastAsia="fr-CA"/>
        </w:rPr>
        <w:t xml:space="preserve"> le simple </w:t>
      </w:r>
      <w:r w:rsidR="525999DA" w:rsidRPr="5A7F0EA4">
        <w:rPr>
          <w:rFonts w:cs="Arial"/>
          <w:sz w:val="22"/>
          <w:szCs w:val="22"/>
          <w:lang w:eastAsia="fr-CA"/>
        </w:rPr>
        <w:t>droit</w:t>
      </w:r>
      <w:r w:rsidRPr="5A7F0EA4">
        <w:rPr>
          <w:rFonts w:cs="Arial"/>
          <w:sz w:val="22"/>
          <w:szCs w:val="22"/>
          <w:lang w:eastAsia="fr-CA"/>
        </w:rPr>
        <w:t xml:space="preserve"> de se prévaloir d’un texte législatif abrogé</w:t>
      </w:r>
      <w:r w:rsidR="52916115" w:rsidRPr="5A7F0EA4">
        <w:rPr>
          <w:rFonts w:cs="Arial"/>
          <w:sz w:val="22"/>
          <w:szCs w:val="22"/>
          <w:lang w:eastAsia="fr-CA"/>
        </w:rPr>
        <w:t>,</w:t>
      </w:r>
      <w:r w:rsidRPr="5A7F0EA4">
        <w:rPr>
          <w:rFonts w:cs="Arial"/>
          <w:sz w:val="22"/>
          <w:szCs w:val="22"/>
          <w:lang w:eastAsia="fr-CA"/>
        </w:rPr>
        <w:t xml:space="preserve"> dont jouissent les </w:t>
      </w:r>
      <w:r w:rsidR="1207CA2D" w:rsidRPr="5A7F0EA4">
        <w:rPr>
          <w:rFonts w:cs="Arial"/>
          <w:sz w:val="22"/>
          <w:szCs w:val="22"/>
          <w:lang w:eastAsia="fr-CA"/>
        </w:rPr>
        <w:t>membres</w:t>
      </w:r>
      <w:r w:rsidRPr="5A7F0EA4">
        <w:rPr>
          <w:rFonts w:cs="Arial"/>
          <w:sz w:val="22"/>
          <w:szCs w:val="22"/>
          <w:lang w:eastAsia="fr-CA"/>
        </w:rPr>
        <w:t xml:space="preserve"> de la communauté ou une catégorie d’entre eux, à la date de l</w:t>
      </w:r>
      <w:r w:rsidR="321DC8A2" w:rsidRPr="5A7F0EA4">
        <w:rPr>
          <w:rFonts w:cs="Arial"/>
          <w:sz w:val="22"/>
          <w:szCs w:val="22"/>
          <w:lang w:eastAsia="fr-CA"/>
        </w:rPr>
        <w:t>'abrogation</w:t>
      </w:r>
      <w:r w:rsidRPr="5A7F0EA4">
        <w:rPr>
          <w:rFonts w:cs="Arial"/>
          <w:sz w:val="22"/>
          <w:szCs w:val="22"/>
          <w:lang w:eastAsia="fr-CA"/>
        </w:rPr>
        <w:t xml:space="preserve"> d’une loi, ne peut être considéré comme un droit acquis</w:t>
      </w:r>
      <w:r w:rsidR="7123A2B0" w:rsidRPr="5A7F0EA4">
        <w:rPr>
          <w:rFonts w:cs="Arial"/>
          <w:sz w:val="22"/>
          <w:szCs w:val="22"/>
          <w:lang w:eastAsia="fr-CA"/>
        </w:rPr>
        <w:t xml:space="preserve"> […]</w:t>
      </w:r>
      <w:r w:rsidRPr="5A7F0EA4">
        <w:rPr>
          <w:rFonts w:cs="Arial"/>
          <w:sz w:val="22"/>
          <w:szCs w:val="22"/>
          <w:lang w:eastAsia="fr-CA"/>
        </w:rPr>
        <w:t>.</w:t>
      </w:r>
    </w:p>
    <w:p w14:paraId="2175E4FA" w14:textId="1DA80F5A" w:rsidR="0007075E" w:rsidRPr="00741049" w:rsidRDefault="00E92135" w:rsidP="00A02BD4">
      <w:pPr>
        <w:pStyle w:val="Paragraphe"/>
        <w:numPr>
          <w:ilvl w:val="0"/>
          <w:numId w:val="1"/>
        </w:numPr>
        <w:tabs>
          <w:tab w:val="clear" w:pos="360"/>
          <w:tab w:val="left" w:pos="709"/>
        </w:tabs>
        <w:spacing w:line="240" w:lineRule="auto"/>
        <w:rPr>
          <w:rFonts w:cs="Arial"/>
          <w:lang w:eastAsia="fr-CA"/>
        </w:rPr>
      </w:pPr>
      <w:r w:rsidRPr="5A7F0EA4">
        <w:rPr>
          <w:rFonts w:cs="Arial"/>
          <w:lang w:eastAsia="fr-CA"/>
        </w:rPr>
        <w:t>Monsieur le juge Claude Tellier</w:t>
      </w:r>
      <w:r w:rsidR="009C53C6" w:rsidRPr="5A7F0EA4">
        <w:rPr>
          <w:rFonts w:cs="Arial"/>
          <w:lang w:eastAsia="fr-CA"/>
        </w:rPr>
        <w:t xml:space="preserve"> a aussi rappelé</w:t>
      </w:r>
      <w:r w:rsidRPr="5A7F0EA4">
        <w:rPr>
          <w:rFonts w:cs="Arial"/>
          <w:lang w:eastAsia="fr-CA"/>
        </w:rPr>
        <w:t xml:space="preserve"> </w:t>
      </w:r>
      <w:r w:rsidR="004B24FA" w:rsidRPr="5A7F0EA4">
        <w:rPr>
          <w:rFonts w:cs="Arial"/>
          <w:lang w:eastAsia="fr-CA"/>
        </w:rPr>
        <w:t>ce principe qu’il n’existe pas de droit acquis à des lois :</w:t>
      </w:r>
    </w:p>
    <w:p w14:paraId="0E594F76" w14:textId="0C13624A" w:rsidR="0007075E" w:rsidRPr="0042570C" w:rsidRDefault="0007075E" w:rsidP="0025305B">
      <w:pPr>
        <w:pStyle w:val="Paragrdouble"/>
        <w:numPr>
          <w:ilvl w:val="0"/>
          <w:numId w:val="0"/>
        </w:numPr>
        <w:spacing w:line="240" w:lineRule="auto"/>
        <w:ind w:left="731" w:right="573"/>
        <w:rPr>
          <w:rFonts w:cs="Arial"/>
          <w:sz w:val="22"/>
          <w:szCs w:val="18"/>
          <w:lang w:eastAsia="fr-CA"/>
        </w:rPr>
      </w:pPr>
      <w:r w:rsidRPr="0007075E">
        <w:rPr>
          <w:rFonts w:cs="Arial"/>
          <w:sz w:val="22"/>
          <w:szCs w:val="22"/>
          <w:lang w:eastAsia="fr-CA"/>
        </w:rPr>
        <w:t>[51]</w:t>
      </w:r>
      <w:r w:rsidR="00040FC0">
        <w:rPr>
          <w:rFonts w:cs="Arial"/>
          <w:sz w:val="22"/>
          <w:szCs w:val="22"/>
          <w:lang w:eastAsia="fr-CA"/>
        </w:rPr>
        <w:t xml:space="preserve"> </w:t>
      </w:r>
      <w:r w:rsidRPr="0007075E">
        <w:rPr>
          <w:rFonts w:cs="Arial"/>
          <w:sz w:val="22"/>
          <w:szCs w:val="22"/>
          <w:lang w:eastAsia="fr-CA"/>
        </w:rPr>
        <w:t>Conclure autrement équivaudrait à dire que l'Assemblée nationale a renoncé</w:t>
      </w:r>
      <w:r w:rsidR="006B0620">
        <w:rPr>
          <w:rFonts w:cs="Arial"/>
          <w:sz w:val="22"/>
          <w:szCs w:val="22"/>
          <w:lang w:eastAsia="fr-CA"/>
        </w:rPr>
        <w:t xml:space="preserve"> </w:t>
      </w:r>
      <w:r w:rsidRPr="0007075E">
        <w:rPr>
          <w:rFonts w:cs="Arial"/>
          <w:sz w:val="22"/>
          <w:szCs w:val="22"/>
          <w:lang w:eastAsia="fr-CA"/>
        </w:rPr>
        <w:t>pour toujours à sa compétence pour modifier cette loi dans l'avenir et que les droits</w:t>
      </w:r>
      <w:r w:rsidR="006B0620">
        <w:rPr>
          <w:rFonts w:cs="Arial"/>
          <w:sz w:val="22"/>
          <w:szCs w:val="22"/>
          <w:lang w:eastAsia="fr-CA"/>
        </w:rPr>
        <w:t xml:space="preserve"> </w:t>
      </w:r>
      <w:r w:rsidRPr="0007075E">
        <w:rPr>
          <w:rFonts w:cs="Arial"/>
          <w:sz w:val="22"/>
          <w:szCs w:val="22"/>
          <w:lang w:eastAsia="fr-CA"/>
        </w:rPr>
        <w:t>revendiqués par les parties demanderesses sont dorénavant immuables. En d'autres</w:t>
      </w:r>
      <w:r w:rsidR="006B0620">
        <w:rPr>
          <w:rFonts w:cs="Arial"/>
          <w:sz w:val="22"/>
          <w:szCs w:val="22"/>
          <w:lang w:eastAsia="fr-CA"/>
        </w:rPr>
        <w:t xml:space="preserve"> </w:t>
      </w:r>
      <w:r w:rsidRPr="0007075E">
        <w:rPr>
          <w:rFonts w:cs="Arial"/>
          <w:sz w:val="22"/>
          <w:szCs w:val="22"/>
          <w:lang w:eastAsia="fr-CA"/>
        </w:rPr>
        <w:t>termes, les droits revendiqués par les parties demanderesses auraient acquis une</w:t>
      </w:r>
      <w:r w:rsidR="006B0620">
        <w:rPr>
          <w:rFonts w:cs="Arial"/>
          <w:sz w:val="22"/>
          <w:szCs w:val="22"/>
          <w:lang w:eastAsia="fr-CA"/>
        </w:rPr>
        <w:t xml:space="preserve"> </w:t>
      </w:r>
      <w:r w:rsidRPr="0007075E">
        <w:rPr>
          <w:rFonts w:cs="Arial"/>
          <w:sz w:val="22"/>
          <w:szCs w:val="22"/>
          <w:lang w:eastAsia="fr-CA"/>
        </w:rPr>
        <w:t>valeur quasi-constitutionnelle, ce qui ne peut être le cas car cela empêcherait toute</w:t>
      </w:r>
      <w:r w:rsidR="006B0620">
        <w:rPr>
          <w:rFonts w:cs="Arial"/>
          <w:sz w:val="22"/>
          <w:szCs w:val="22"/>
          <w:lang w:eastAsia="fr-CA"/>
        </w:rPr>
        <w:t xml:space="preserve"> </w:t>
      </w:r>
      <w:r w:rsidRPr="0007075E">
        <w:rPr>
          <w:rFonts w:cs="Arial"/>
          <w:sz w:val="22"/>
          <w:szCs w:val="22"/>
          <w:lang w:eastAsia="fr-CA"/>
        </w:rPr>
        <w:t>évolution du droit et de la société. L'Assemblée nationale ne peut s'engager à l'avance</w:t>
      </w:r>
      <w:r w:rsidR="006B0620">
        <w:rPr>
          <w:rFonts w:cs="Arial"/>
          <w:sz w:val="22"/>
          <w:szCs w:val="22"/>
          <w:lang w:eastAsia="fr-CA"/>
        </w:rPr>
        <w:t xml:space="preserve"> </w:t>
      </w:r>
      <w:r w:rsidRPr="0007075E">
        <w:rPr>
          <w:rFonts w:cs="Arial"/>
          <w:sz w:val="22"/>
          <w:szCs w:val="22"/>
          <w:lang w:eastAsia="fr-CA"/>
        </w:rPr>
        <w:t>qu'elle ne passerait jamais plus de lois en matière municipale.</w:t>
      </w:r>
      <w:r w:rsidR="004B24FA">
        <w:rPr>
          <w:rStyle w:val="Appelnotedebasdep"/>
          <w:rFonts w:cs="Arial"/>
          <w:sz w:val="22"/>
          <w:szCs w:val="22"/>
          <w:lang w:eastAsia="fr-CA"/>
        </w:rPr>
        <w:footnoteReference w:id="142"/>
      </w:r>
    </w:p>
    <w:p w14:paraId="39ECC36A" w14:textId="24239A2C" w:rsidR="004227A9" w:rsidRPr="004227A9" w:rsidRDefault="004227A9" w:rsidP="000C0CDC">
      <w:pPr>
        <w:pStyle w:val="Titre4"/>
      </w:pPr>
      <w:bookmarkStart w:id="51" w:name="_Toc124755364"/>
      <w:r>
        <w:t xml:space="preserve">La portée du </w:t>
      </w:r>
      <w:r w:rsidR="000C0CDC" w:rsidRPr="000C0CDC">
        <w:rPr>
          <w:i/>
          <w:iCs/>
        </w:rPr>
        <w:t>R</w:t>
      </w:r>
      <w:r w:rsidRPr="000C0CDC">
        <w:rPr>
          <w:i/>
          <w:iCs/>
        </w:rPr>
        <w:t>èglement sur la politique de consultation publique</w:t>
      </w:r>
      <w:bookmarkEnd w:id="51"/>
    </w:p>
    <w:p w14:paraId="102EC962" w14:textId="7A2B6847" w:rsidR="004227A9" w:rsidRDefault="002A2D2D" w:rsidP="00A02BD4">
      <w:pPr>
        <w:pStyle w:val="Paragrdouble"/>
        <w:spacing w:line="240" w:lineRule="auto"/>
      </w:pPr>
      <w:r w:rsidRPr="002A2D2D">
        <w:t>L</w:t>
      </w:r>
      <w:r w:rsidR="00940039" w:rsidRPr="002A2D2D">
        <w:t>es demandeurs allèguent</w:t>
      </w:r>
      <w:r w:rsidR="002F5569" w:rsidRPr="002A2D2D">
        <w:t xml:space="preserve"> que le projet de tramway «</w:t>
      </w:r>
      <w:r w:rsidRPr="002A2D2D">
        <w:t xml:space="preserve"> n’élimine aucunement l’obligation minimale d’un référendum consultatif prévu au règlement de 2003 »</w:t>
      </w:r>
      <w:r>
        <w:rPr>
          <w:rStyle w:val="Appelnotedebasdep"/>
        </w:rPr>
        <w:footnoteReference w:id="143"/>
      </w:r>
      <w:r w:rsidRPr="002A2D2D">
        <w:t>.</w:t>
      </w:r>
    </w:p>
    <w:p w14:paraId="125056DE" w14:textId="533F7711" w:rsidR="00980A63" w:rsidRDefault="00B342B1" w:rsidP="00A02BD4">
      <w:pPr>
        <w:pStyle w:val="Paragrdouble"/>
        <w:spacing w:line="240" w:lineRule="auto"/>
      </w:pPr>
      <w:r>
        <w:t>D’après l’article 4 de ce règlement,</w:t>
      </w:r>
      <w:r w:rsidR="00F12992">
        <w:t xml:space="preserve"> est soumis à la consultation préalable tout projet de règlement « concernant un équipement collectif ».</w:t>
      </w:r>
      <w:r w:rsidR="00CF6C10">
        <w:t xml:space="preserve"> Sans que ce ne soit explicite dans la position de la </w:t>
      </w:r>
      <w:r w:rsidR="00886159">
        <w:t>V</w:t>
      </w:r>
      <w:r w:rsidR="00CF6C10">
        <w:t xml:space="preserve">ille, </w:t>
      </w:r>
      <w:r w:rsidR="00980A63">
        <w:t xml:space="preserve">pour le tramway, </w:t>
      </w:r>
      <w:r w:rsidR="00CF6C10">
        <w:t>elle se serait elle-même astreinte à cette politique</w:t>
      </w:r>
      <w:r w:rsidR="00980A63">
        <w:t xml:space="preserve"> qui a finalement été remplacée en 2017.</w:t>
      </w:r>
      <w:r w:rsidR="00402F38">
        <w:t xml:space="preserve"> </w:t>
      </w:r>
      <w:r w:rsidR="00980A63">
        <w:t>Pour preuve, les nombreuses consultations tenues</w:t>
      </w:r>
      <w:r w:rsidR="00402F38">
        <w:t xml:space="preserve"> sur le projet de transport structurant au cours des années (voir chapitre </w:t>
      </w:r>
      <w:r w:rsidR="00A100C4">
        <w:t>2.2.3.2</w:t>
      </w:r>
      <w:r w:rsidR="00402F38">
        <w:t>)</w:t>
      </w:r>
      <w:r w:rsidR="00CF6451">
        <w:t>.</w:t>
      </w:r>
    </w:p>
    <w:p w14:paraId="0DF3FEDC" w14:textId="114928FD" w:rsidR="004D121A" w:rsidRDefault="004D121A" w:rsidP="004D121A">
      <w:pPr>
        <w:pStyle w:val="Paragrdouble"/>
        <w:spacing w:line="240" w:lineRule="auto"/>
      </w:pPr>
      <w:r>
        <w:t xml:space="preserve">Conformément à l’article 69.1 de la </w:t>
      </w:r>
      <w:r w:rsidRPr="00F04F7A">
        <w:t>Charte de la Ville</w:t>
      </w:r>
      <w:r>
        <w:t>, le conseil peut soumettre un enjeu ou une problématique à un référendum consultatif</w:t>
      </w:r>
      <w:r w:rsidR="007F3FB9">
        <w:rPr>
          <w:rStyle w:val="Appelnotedebasdep"/>
        </w:rPr>
        <w:footnoteReference w:id="144"/>
      </w:r>
      <w:r>
        <w:t>.</w:t>
      </w:r>
      <w:r w:rsidR="008D650D">
        <w:t xml:space="preserve"> La nouvelle mouture de ce règlement</w:t>
      </w:r>
      <w:r w:rsidR="000B7A6F">
        <w:t xml:space="preserve"> entré</w:t>
      </w:r>
      <w:r w:rsidR="005567D9">
        <w:t>e</w:t>
      </w:r>
      <w:r w:rsidR="000B7A6F">
        <w:t xml:space="preserve"> en vigueur le 1</w:t>
      </w:r>
      <w:r w:rsidR="000B7A6F" w:rsidRPr="000B7A6F">
        <w:rPr>
          <w:vertAlign w:val="superscript"/>
        </w:rPr>
        <w:t>er</w:t>
      </w:r>
      <w:r w:rsidR="000B7A6F">
        <w:t xml:space="preserve"> mai 2021</w:t>
      </w:r>
      <w:r w:rsidR="00A62BFC">
        <w:rPr>
          <w:rStyle w:val="Appelnotedebasdep"/>
        </w:rPr>
        <w:footnoteReference w:id="145"/>
      </w:r>
      <w:r w:rsidR="000B7A6F">
        <w:t xml:space="preserve"> prévoit également</w:t>
      </w:r>
      <w:r w:rsidR="00A62BFC">
        <w:t xml:space="preserve"> la tenue d’un référendum consultatif « dans les dossiers pour lesquels les autres mesures de participation publique ne permettent pas de fournir un éclairage adéquat ».</w:t>
      </w:r>
    </w:p>
    <w:p w14:paraId="75465085" w14:textId="0723AEB6" w:rsidR="006B2E81" w:rsidRPr="002A2D2D" w:rsidRDefault="006B2E81" w:rsidP="006B2E81">
      <w:pPr>
        <w:pStyle w:val="Paragrdouble"/>
        <w:spacing w:line="240" w:lineRule="auto"/>
      </w:pPr>
      <w:r>
        <w:t xml:space="preserve">Les références à un « référendum » sont tantôt pour indiquer que la </w:t>
      </w:r>
      <w:r w:rsidR="00D5456C">
        <w:t>V</w:t>
      </w:r>
      <w:r>
        <w:t>ille respectera la loi, tantôt pour indiquer que « le conseil de ville peut (…) soumettre à un référendum consultatif une question, une problématique ou un enjeu qui est de sa compétence ». Nulle part il y a obligation de tenir un référendum sur un projet, quelle qu’en soit l’importance.</w:t>
      </w:r>
    </w:p>
    <w:p w14:paraId="7C7775ED" w14:textId="54DC45FF" w:rsidR="004D121A" w:rsidRDefault="0027576F" w:rsidP="00A02BD4">
      <w:pPr>
        <w:pStyle w:val="Paragrdouble"/>
        <w:spacing w:line="240" w:lineRule="auto"/>
      </w:pPr>
      <w:r>
        <w:t xml:space="preserve">Le 6 mai </w:t>
      </w:r>
      <w:r w:rsidR="00B030A7">
        <w:t>2019, considérant</w:t>
      </w:r>
      <w:r w:rsidR="009D69D7">
        <w:t xml:space="preserve"> cette politique, le conseil </w:t>
      </w:r>
      <w:r w:rsidR="51A183BC">
        <w:t>de la ville</w:t>
      </w:r>
      <w:r w:rsidR="009D69D7">
        <w:t xml:space="preserve"> eut à se prononcer sur une proposition</w:t>
      </w:r>
      <w:r w:rsidR="00407D8D">
        <w:t xml:space="preserve"> pour la tenue d’un tel référendum consultatif. Cette proposition a été </w:t>
      </w:r>
      <w:r w:rsidR="002C4C77">
        <w:t>rejetée</w:t>
      </w:r>
      <w:r w:rsidR="002C4C77">
        <w:rPr>
          <w:rStyle w:val="Appelnotedebasdep"/>
        </w:rPr>
        <w:footnoteReference w:id="146"/>
      </w:r>
      <w:r w:rsidR="002C4C77">
        <w:t>.</w:t>
      </w:r>
    </w:p>
    <w:p w14:paraId="0AF6149E" w14:textId="7F26780D" w:rsidR="00B34D14" w:rsidRDefault="006D4080" w:rsidP="006D4080">
      <w:pPr>
        <w:pStyle w:val="Titre3"/>
      </w:pPr>
      <w:bookmarkStart w:id="52" w:name="_Toc124755365"/>
      <w:r>
        <w:t>Les violations des droits fondamentaux</w:t>
      </w:r>
      <w:bookmarkEnd w:id="52"/>
    </w:p>
    <w:p w14:paraId="68218D2B" w14:textId="217623E0" w:rsidR="00B34D14" w:rsidRPr="00E67A6D" w:rsidRDefault="00E67A6D" w:rsidP="000825D5">
      <w:pPr>
        <w:pStyle w:val="Paragrdouble"/>
        <w:spacing w:line="240" w:lineRule="auto"/>
      </w:pPr>
      <w:r>
        <w:t>Les</w:t>
      </w:r>
      <w:r w:rsidR="00274D91">
        <w:t xml:space="preserve"> demandeurs</w:t>
      </w:r>
      <w:r>
        <w:t xml:space="preserve"> invoquent leurs droits fondamentaux de façon transversale à travers la </w:t>
      </w:r>
      <w:r w:rsidR="10ED6305">
        <w:t>demande</w:t>
      </w:r>
      <w:r>
        <w:t xml:space="preserve"> introductive d’instance modifiée</w:t>
      </w:r>
      <w:r w:rsidR="00416E03">
        <w:t>.</w:t>
      </w:r>
      <w:r w:rsidR="00D71239">
        <w:t xml:space="preserve"> </w:t>
      </w:r>
      <w:r w:rsidR="006360CB">
        <w:t>Leur droit</w:t>
      </w:r>
      <w:r w:rsidR="002D54C9">
        <w:t xml:space="preserve"> à l’expression démocratique parsème leurs allégations et le Tribunal croit appropri</w:t>
      </w:r>
      <w:r w:rsidR="00642F1C">
        <w:t>é d’y répondre de façon directe.</w:t>
      </w:r>
    </w:p>
    <w:p w14:paraId="51FF9848" w14:textId="77777777" w:rsidR="00A05987" w:rsidRPr="0059119E" w:rsidRDefault="00A05987" w:rsidP="00A05987">
      <w:pPr>
        <w:pStyle w:val="Paragraphe"/>
        <w:numPr>
          <w:ilvl w:val="0"/>
          <w:numId w:val="1"/>
        </w:numPr>
        <w:tabs>
          <w:tab w:val="clear" w:pos="360"/>
          <w:tab w:val="left" w:pos="709"/>
        </w:tabs>
        <w:spacing w:line="240" w:lineRule="auto"/>
        <w:rPr>
          <w:rFonts w:cs="Arial"/>
        </w:rPr>
      </w:pPr>
      <w:bookmarkStart w:id="53" w:name="_Ref124748728"/>
      <w:r w:rsidRPr="0059119E">
        <w:rPr>
          <w:rFonts w:cs="Arial"/>
        </w:rPr>
        <w:t xml:space="preserve">Ces allégations ne reposent sur aucun fait suffisamment supporté à ce stade-ci pour conclure à une démocratie bafouée. Comme le rappelle la Cour suprême dans </w:t>
      </w:r>
      <w:r w:rsidRPr="5A7F0EA4">
        <w:rPr>
          <w:rFonts w:cs="Arial"/>
          <w:i/>
          <w:iCs/>
        </w:rPr>
        <w:t>S.L</w:t>
      </w:r>
      <w:r w:rsidRPr="0059119E">
        <w:rPr>
          <w:rFonts w:cs="Arial"/>
        </w:rPr>
        <w:t xml:space="preserve">. c. </w:t>
      </w:r>
      <w:r w:rsidRPr="5A7F0EA4">
        <w:rPr>
          <w:rFonts w:cs="Arial"/>
          <w:i/>
          <w:iCs/>
        </w:rPr>
        <w:t>Commission scolaire des Chênes</w:t>
      </w:r>
      <w:r w:rsidRPr="00B030A7">
        <w:rPr>
          <w:rStyle w:val="Appelnotedebasdep"/>
          <w:rFonts w:cs="Arial"/>
        </w:rPr>
        <w:footnoteReference w:id="147"/>
      </w:r>
      <w:r w:rsidRPr="0059119E">
        <w:rPr>
          <w:rFonts w:cs="Arial"/>
        </w:rPr>
        <w:t>, il ne suffit pas d’alléguer que les droits sont enfreints, cela doit reposer sur des faits objectivement démontrables :</w:t>
      </w:r>
      <w:bookmarkEnd w:id="53"/>
    </w:p>
    <w:p w14:paraId="5581D7A6" w14:textId="63AA45FC" w:rsidR="00A05987" w:rsidRPr="00AC6B5D" w:rsidRDefault="00A05987" w:rsidP="00A05987">
      <w:pPr>
        <w:spacing w:before="120" w:after="120" w:line="280" w:lineRule="atLeast"/>
        <w:ind w:left="1428" w:right="752"/>
        <w:jc w:val="both"/>
        <w:rPr>
          <w:rFonts w:cs="Arial"/>
          <w:sz w:val="22"/>
          <w:szCs w:val="22"/>
          <w:lang w:val="fr-FR" w:eastAsia="fr-CA"/>
        </w:rPr>
      </w:pPr>
      <w:r w:rsidRPr="5A7F0EA4">
        <w:rPr>
          <w:rFonts w:cs="Arial"/>
          <w:sz w:val="22"/>
          <w:szCs w:val="22"/>
          <w:lang w:val="fr-FR" w:eastAsia="fr-CA"/>
        </w:rPr>
        <w:t>[23] À l’étape de la preuve de l’atteinte, cependant, il ne suffit pas que la personne déclare que ses droits sont enfreints.  Il lui incombe de prouver l’atteinte suivant la prépondérance des probabilités. Cette preuve peut certes prendre toutes les formes reconnues par la loi, mais elle doit néanmoins reposer sur des faits objectivement démontrables.</w:t>
      </w:r>
      <w:r w:rsidR="1D5DCA07" w:rsidRPr="5A7F0EA4">
        <w:rPr>
          <w:rFonts w:cs="Arial"/>
          <w:sz w:val="22"/>
          <w:szCs w:val="22"/>
          <w:lang w:val="fr-FR" w:eastAsia="fr-CA"/>
        </w:rPr>
        <w:t xml:space="preserve"> […]</w:t>
      </w:r>
    </w:p>
    <w:p w14:paraId="63A0FFF3" w14:textId="6E862EEB" w:rsidR="00EE205C" w:rsidRDefault="00AD7DA3" w:rsidP="00EE205C">
      <w:pPr>
        <w:pStyle w:val="Paragrdouble"/>
        <w:spacing w:line="240" w:lineRule="auto"/>
      </w:pPr>
      <w:r>
        <w:t>Analysons la portée de ces droits fondamentaux qu’ils considèrent bafoués, même si aucune preuve précise</w:t>
      </w:r>
      <w:r w:rsidR="002B26B8">
        <w:t xml:space="preserve"> ne permet d’en supporter la violation.</w:t>
      </w:r>
    </w:p>
    <w:p w14:paraId="6FCF14C2" w14:textId="5B82870E" w:rsidR="00A41117" w:rsidRDefault="00A41117" w:rsidP="00A41117">
      <w:pPr>
        <w:pStyle w:val="Titre4"/>
      </w:pPr>
      <w:bookmarkStart w:id="54" w:name="_Toc124755366"/>
      <w:r>
        <w:t>Atteinte au</w:t>
      </w:r>
      <w:r w:rsidR="00F04F7A">
        <w:t>x</w:t>
      </w:r>
      <w:r>
        <w:t xml:space="preserve"> droit</w:t>
      </w:r>
      <w:r w:rsidR="00F04F7A">
        <w:t>s</w:t>
      </w:r>
      <w:r>
        <w:t xml:space="preserve"> à la vie, à la santé</w:t>
      </w:r>
      <w:r w:rsidR="1366B910">
        <w:t>,</w:t>
      </w:r>
      <w:r>
        <w:t xml:space="preserve"> à la liberté et à la sécurité</w:t>
      </w:r>
      <w:bookmarkEnd w:id="54"/>
    </w:p>
    <w:p w14:paraId="765C3FD3" w14:textId="1F711D55" w:rsidR="00A41117" w:rsidRDefault="00A41117" w:rsidP="00A41117">
      <w:pPr>
        <w:pStyle w:val="Paragrdouble"/>
        <w:spacing w:line="240" w:lineRule="auto"/>
      </w:pPr>
      <w:r>
        <w:t>Les demandeurs sont d’avis que le projet de tramway menace leur santé par la création d’îlots de chaleur, ce qui aggraverait les effets des changements climatiques, sans compter les problèmes de santé physique d’ordre cardiovasculaire et pulmonaire, tel qu’il fut démontré devant le BAPE. Cela pourrait également affecter leur santé mentale, engendrer</w:t>
      </w:r>
      <w:r w:rsidR="00B94F68">
        <w:t xml:space="preserve"> </w:t>
      </w:r>
      <w:r>
        <w:t>de l’anxiété et du stress accru.</w:t>
      </w:r>
    </w:p>
    <w:p w14:paraId="4C096A7A" w14:textId="77777777" w:rsidR="00A41117" w:rsidRDefault="00A41117" w:rsidP="00A41117">
      <w:pPr>
        <w:pStyle w:val="Paragrdouble"/>
        <w:spacing w:line="240" w:lineRule="auto"/>
      </w:pPr>
      <w:r>
        <w:t>Ils invoquent l’article 1 de la Charte québécoise qui protège le droit à la vie, à la sûreté, à l’intégrité et à la liberté de sa personne. Au paragraphe 87 de l’avis d’inconstitutionnalité modifié déposé par les demandeurs le 12 septembre 2022, ces derniers ajoutent que leur droit à la vie, à la liberté et à la sécurité serait atteint au sens de l’article 7 de la Charte canadienne.</w:t>
      </w:r>
    </w:p>
    <w:p w14:paraId="69C638EA" w14:textId="376C42F1" w:rsidR="0048552C" w:rsidRDefault="00984543" w:rsidP="00A41117">
      <w:pPr>
        <w:pStyle w:val="Paragrdouble"/>
        <w:spacing w:line="240" w:lineRule="auto"/>
      </w:pPr>
      <w:r>
        <w:t>D’abord, le rapport du BAPE est une pièce et non un rapport d’expertise</w:t>
      </w:r>
      <w:r w:rsidR="0048552C">
        <w:t xml:space="preserve">. </w:t>
      </w:r>
    </w:p>
    <w:p w14:paraId="2046A8A8" w14:textId="0CD698FA" w:rsidR="00A41117" w:rsidRDefault="00A41117" w:rsidP="00A41117">
      <w:pPr>
        <w:pStyle w:val="Paragrdouble"/>
        <w:spacing w:line="240" w:lineRule="auto"/>
      </w:pPr>
      <w:r>
        <w:t>Ce ne sont</w:t>
      </w:r>
      <w:r w:rsidR="005D4C3E">
        <w:t xml:space="preserve"> donc</w:t>
      </w:r>
      <w:r>
        <w:t xml:space="preserve"> là que des hypothèses et, comme il a été rappelé au</w:t>
      </w:r>
      <w:r w:rsidR="00D5456C">
        <w:t>x</w:t>
      </w:r>
      <w:r>
        <w:t xml:space="preserve"> paragraphe</w:t>
      </w:r>
      <w:r w:rsidR="00D5456C">
        <w:t>s</w:t>
      </w:r>
      <w:r>
        <w:t xml:space="preserve"> </w:t>
      </w:r>
      <w:r w:rsidR="00A100C4">
        <w:t>[277]</w:t>
      </w:r>
      <w:r w:rsidR="00D5456C">
        <w:t xml:space="preserve"> et </w:t>
      </w:r>
      <w:r w:rsidR="00A100C4">
        <w:t>[332]</w:t>
      </w:r>
      <w:r>
        <w:t xml:space="preserve">, pour contester la légalité d’une disposition légale, encore faut-il qu’une preuve </w:t>
      </w:r>
      <w:r w:rsidR="007D4E54">
        <w:t>probante</w:t>
      </w:r>
      <w:r>
        <w:t xml:space="preserve"> soit administrée pour démontrer que la santé physique des personnes serait remise en cause par le passage d’un tramway</w:t>
      </w:r>
      <w:r>
        <w:rPr>
          <w:rStyle w:val="Appelnotedebasdep"/>
        </w:rPr>
        <w:footnoteReference w:id="148"/>
      </w:r>
      <w:r>
        <w:t>.</w:t>
      </w:r>
    </w:p>
    <w:p w14:paraId="51C102CE" w14:textId="77777777" w:rsidR="00A41117" w:rsidRDefault="00A41117" w:rsidP="00A41117">
      <w:pPr>
        <w:pStyle w:val="Paragrdouble"/>
        <w:spacing w:line="240" w:lineRule="auto"/>
      </w:pPr>
      <w:r>
        <w:t>Bien plus, encore faut-il que ce soit une atteinte grave</w:t>
      </w:r>
      <w:r>
        <w:rPr>
          <w:rStyle w:val="Appelnotedebasdep"/>
        </w:rPr>
        <w:footnoteReference w:id="149"/>
      </w:r>
      <w:r>
        <w:t xml:space="preserve"> et permanente</w:t>
      </w:r>
      <w:r>
        <w:rPr>
          <w:rStyle w:val="Appelnotedebasdep"/>
        </w:rPr>
        <w:footnoteReference w:id="150"/>
      </w:r>
      <w:r>
        <w:t>, et non un simple stress ou un quelconque inconvénient.</w:t>
      </w:r>
    </w:p>
    <w:p w14:paraId="74958781" w14:textId="5F8E9401" w:rsidR="00A41117" w:rsidRDefault="00A41117" w:rsidP="0060535A">
      <w:pPr>
        <w:pStyle w:val="Paragrdouble"/>
        <w:spacing w:line="240" w:lineRule="auto"/>
      </w:pPr>
      <w:r>
        <w:t>De plus, quant à évoquer des hypothèses,</w:t>
      </w:r>
      <w:r w:rsidR="0060535A">
        <w:t xml:space="preserve"> si une preuve probante avait été administrée par les demandeurs,</w:t>
      </w:r>
      <w:r>
        <w:t xml:space="preserve"> encore fau</w:t>
      </w:r>
      <w:r w:rsidR="0097755B">
        <w:t>drai</w:t>
      </w:r>
      <w:r>
        <w:t xml:space="preserve">t-il tenir compte de ce que la Ville entend faire quant à la sécurité des personnes. Les paragraphes 43 à 45 de la déclaration sous serment du 19 octobre 2022 de Monsieur Daniel Genest, directeur du </w:t>
      </w:r>
      <w:r w:rsidR="00B5592E">
        <w:t>B</w:t>
      </w:r>
      <w:r>
        <w:t xml:space="preserve">ureau de projet du tramway, démontrent le souci de la Ville de prendre en compte la sécurité de </w:t>
      </w:r>
      <w:r w:rsidR="00D5456C">
        <w:t>ses</w:t>
      </w:r>
      <w:r>
        <w:t xml:space="preserve"> citoyens. Il serait trop fastidieux de reproduire ces longs paragraphes</w:t>
      </w:r>
      <w:r w:rsidR="00CF0816">
        <w:t xml:space="preserve"> qui font quelques pages</w:t>
      </w:r>
      <w:r>
        <w:t>.</w:t>
      </w:r>
    </w:p>
    <w:p w14:paraId="277C4492" w14:textId="77777777" w:rsidR="00A41117" w:rsidRDefault="00A41117" w:rsidP="00A41117">
      <w:pPr>
        <w:pStyle w:val="Paragrdouble"/>
        <w:spacing w:line="240" w:lineRule="auto"/>
      </w:pPr>
      <w:r>
        <w:t>La preuve administrée devant le Tribunal ne permet aucunement de conclure que ces droits soient affectés. Ce ne sont que des craintes.</w:t>
      </w:r>
    </w:p>
    <w:p w14:paraId="62071531" w14:textId="00BBBF0A" w:rsidR="00A41117" w:rsidRDefault="00A41117" w:rsidP="00A41117">
      <w:pPr>
        <w:pStyle w:val="Titre4"/>
      </w:pPr>
      <w:bookmarkStart w:id="55" w:name="_Toc124755367"/>
      <w:r>
        <w:t>Atteinte au droit à la jouissance de sa propriété</w:t>
      </w:r>
      <w:bookmarkEnd w:id="55"/>
    </w:p>
    <w:p w14:paraId="44C4E705" w14:textId="77777777" w:rsidR="00A41117" w:rsidRDefault="00A41117" w:rsidP="00A41117">
      <w:pPr>
        <w:pStyle w:val="Paragrdouble"/>
        <w:spacing w:line="240" w:lineRule="auto"/>
      </w:pPr>
      <w:r>
        <w:t>Les demandeurs sont d’avis que leur droit de propriété sera affecté par la construction du tramway et que, par la suite, cela affectera la valeur de leur résidence.</w:t>
      </w:r>
    </w:p>
    <w:p w14:paraId="50DF8C13" w14:textId="77777777" w:rsidR="00A41117" w:rsidRPr="00BB2F24" w:rsidRDefault="00A41117" w:rsidP="00A41117">
      <w:pPr>
        <w:pStyle w:val="Paragrdouble"/>
        <w:spacing w:line="240" w:lineRule="auto"/>
      </w:pPr>
      <w:r>
        <w:t>La preuve ne permet pas de tirer ces conclusions.</w:t>
      </w:r>
    </w:p>
    <w:p w14:paraId="2B0D85E7" w14:textId="00BB397A" w:rsidR="00A41117" w:rsidRDefault="00A41117" w:rsidP="00A41117">
      <w:pPr>
        <w:pStyle w:val="Paragrdouble"/>
        <w:spacing w:line="240" w:lineRule="auto"/>
      </w:pPr>
      <w:r>
        <w:t>Il est vraisemblable que</w:t>
      </w:r>
      <w:r w:rsidR="4A545214">
        <w:t xml:space="preserve"> </w:t>
      </w:r>
      <w:r>
        <w:t>la construction de la ligne de tramway et de ses quais nuira à la jouissance paisible des résidents vivant à proximité et que cela aura également une conséquence sur les automobilistes qui voudront circuler sur ces voies pendant la construction. À la suite de la mise en opération du tramway, ce nouvel équipement modifiera vraisemblablement le flux de circulation.</w:t>
      </w:r>
    </w:p>
    <w:p w14:paraId="40D6AFF5" w14:textId="077351F0" w:rsidR="00A41117" w:rsidRDefault="00A41117" w:rsidP="00A41117">
      <w:pPr>
        <w:pStyle w:val="Paragrdouble"/>
        <w:spacing w:line="240" w:lineRule="auto"/>
      </w:pPr>
      <w:r>
        <w:t xml:space="preserve">D’abord, cela équivaudrait à dire que toute construction devrait être prohibée car cela nuirait à la jouissance des résidences des gens qui demeurent à proximité. En théorie, on pourrait croire que les demandeurs ont raison. Mais le droit de propriété n’est pas absolu comme </w:t>
      </w:r>
      <w:r w:rsidR="00474113">
        <w:t xml:space="preserve">le prétendent </w:t>
      </w:r>
      <w:r>
        <w:t>les demandeurs.</w:t>
      </w:r>
    </w:p>
    <w:p w14:paraId="77A2C5B5" w14:textId="69E92A0D" w:rsidR="00E84744" w:rsidRDefault="00E84744" w:rsidP="00A41117">
      <w:pPr>
        <w:pStyle w:val="Paragrdouble"/>
        <w:spacing w:line="240" w:lineRule="auto"/>
      </w:pPr>
      <w:r>
        <w:t xml:space="preserve">Le droit à la libre jouissance des lieux n’est pas absolu car l’article </w:t>
      </w:r>
      <w:r w:rsidR="007E40A8">
        <w:t>6 de la Charte québécoise souffre d’un important tempérament : « sauf dans la mesure prévue par la loi ».</w:t>
      </w:r>
    </w:p>
    <w:p w14:paraId="072916F6" w14:textId="7BD0C300" w:rsidR="00A41117" w:rsidRDefault="00014BE7" w:rsidP="00A41117">
      <w:pPr>
        <w:pStyle w:val="Paragrdouble"/>
        <w:spacing w:line="240" w:lineRule="auto"/>
      </w:pPr>
      <w:r>
        <w:t>Dans ce contexte, r</w:t>
      </w:r>
      <w:r w:rsidR="00A41117">
        <w:t xml:space="preserve">appelons que le </w:t>
      </w:r>
      <w:r w:rsidR="00A41117" w:rsidRPr="5A7F0EA4">
        <w:rPr>
          <w:i/>
          <w:iCs/>
        </w:rPr>
        <w:t>Code civil du Québec</w:t>
      </w:r>
      <w:r w:rsidR="00A41117">
        <w:t xml:space="preserve"> contient un grand nombre de dispositions sur les règles de voisinage, notamment le fait que les voisins doivent accepter les inconvénients normaux du voisinage qui n’excèdent pas les limites de la tolérance suivant la nature ou la situation de leurs fonds</w:t>
      </w:r>
      <w:r w:rsidR="00A41117">
        <w:rPr>
          <w:rStyle w:val="Appelnotedebasdep"/>
        </w:rPr>
        <w:footnoteReference w:id="151"/>
      </w:r>
      <w:r w:rsidR="00A41117">
        <w:t>. Cette modulation du droit de propriété vaut sous plusieurs aspects de la relation entre des voisins, que l’on pense à l’écoulement des eaux, aux arbres</w:t>
      </w:r>
      <w:r w:rsidR="00A86199">
        <w:t>,</w:t>
      </w:r>
      <w:r w:rsidR="00A41117">
        <w:t xml:space="preserve"> à leurs racines et branches, l’accès au fonds d’autrui, aux vues ainsi qu’aux clôtures et ouvrages mitoyens.</w:t>
      </w:r>
      <w:r w:rsidR="00A86199">
        <w:t xml:space="preserve"> </w:t>
      </w:r>
      <w:r w:rsidR="00E0738A">
        <w:t>Tout citoyen a, un jour ou l’autre, connu des chantiers de construction de routes</w:t>
      </w:r>
      <w:r w:rsidR="001E126D">
        <w:t xml:space="preserve"> qui ont affecté son confort; mais cela ne veut pas dire que c’est un inconvénient anormal de voisinage.</w:t>
      </w:r>
    </w:p>
    <w:p w14:paraId="4E627D62" w14:textId="1436E63F" w:rsidR="00A41117" w:rsidRDefault="00014BE7" w:rsidP="00A41117">
      <w:pPr>
        <w:pStyle w:val="Paragrdouble"/>
        <w:spacing w:line="240" w:lineRule="auto"/>
      </w:pPr>
      <w:r>
        <w:t>De plus, le droit à l’expropri</w:t>
      </w:r>
      <w:r w:rsidR="00D929F0">
        <w:t xml:space="preserve">ation est un droit qui jouit de la réserve « sauf dans la mesure prévue par la loi ». </w:t>
      </w:r>
      <w:r w:rsidR="00A41117">
        <w:t>Il est à prévoir que certaines propriétés seront légalement expropriées, en tout ou en partie, et qu’une indemnité fera l’objet d’une entente ou d’une décision judiciaire. Ceux qui ne seront pas expropriés et qui auraient des prétentions que la quiétude de leur foyer sera inexorablement compromise pourraient aussi s’adresser aux tribunaux.</w:t>
      </w:r>
      <w:r w:rsidR="0073376E">
        <w:t xml:space="preserve"> Pour le moment, ce n’est que conjectures.</w:t>
      </w:r>
    </w:p>
    <w:p w14:paraId="33710446" w14:textId="15C7D6C8" w:rsidR="00A41117" w:rsidRDefault="00F04A4D" w:rsidP="00A41117">
      <w:pPr>
        <w:pStyle w:val="Paragrdouble"/>
        <w:spacing w:line="240" w:lineRule="auto"/>
      </w:pPr>
      <w:r>
        <w:t xml:space="preserve">Donc, </w:t>
      </w:r>
      <w:r w:rsidR="00A41117">
        <w:t xml:space="preserve">ce n’est </w:t>
      </w:r>
      <w:r>
        <w:t xml:space="preserve">pas </w:t>
      </w:r>
      <w:r w:rsidR="00A41117">
        <w:t xml:space="preserve">parce que, potentiellement, un citoyen – qui n’est pas nécessairement demandeur en l’instance </w:t>
      </w:r>
      <w:r w:rsidR="009A2F21">
        <w:t>-,</w:t>
      </w:r>
      <w:r w:rsidR="00A41117">
        <w:t xml:space="preserve"> serait privé de son bien que le recours des demandeurs, de nature préventive, devrait être accueilli.</w:t>
      </w:r>
    </w:p>
    <w:p w14:paraId="11BDCBF2" w14:textId="77FA05AA" w:rsidR="00A41117" w:rsidRDefault="00A41117" w:rsidP="00A41117">
      <w:pPr>
        <w:pStyle w:val="Paragrdouble"/>
        <w:spacing w:line="240" w:lineRule="auto"/>
      </w:pPr>
      <w:r>
        <w:t>Du reste, le Tribunal fait remarquer que le droit à la propriété privée n’est pas expressément protégé par l</w:t>
      </w:r>
      <w:r w:rsidR="006E1E72">
        <w:t>a</w:t>
      </w:r>
      <w:r>
        <w:t xml:space="preserve"> </w:t>
      </w:r>
      <w:r w:rsidRPr="006E1E72">
        <w:t>Charte</w:t>
      </w:r>
      <w:r w:rsidR="006E1E72">
        <w:t xml:space="preserve"> fédérale</w:t>
      </w:r>
      <w:r w:rsidRPr="006E1E72">
        <w:rPr>
          <w:rStyle w:val="Appelnotedebasdep"/>
        </w:rPr>
        <w:footnoteReference w:id="152"/>
      </w:r>
      <w:r>
        <w:t>. La protection contre les fouilles et le principe de l’inviolabilité d’une résidence n’ont rien à voir avec la propriété privée.</w:t>
      </w:r>
    </w:p>
    <w:p w14:paraId="3945C693" w14:textId="77777777" w:rsidR="00A41117" w:rsidRDefault="00A41117" w:rsidP="00A41117">
      <w:pPr>
        <w:pStyle w:val="Paragrdouble"/>
        <w:spacing w:line="240" w:lineRule="auto"/>
      </w:pPr>
      <w:r>
        <w:t>Le Tribunal ne trouve pas appui dans la preuve eu égard à des craintes que les inconvénients seront excessifs eu égard aux circonstances. Ce moyen est rejeté.</w:t>
      </w:r>
    </w:p>
    <w:p w14:paraId="4E49D30E" w14:textId="20C8BD43" w:rsidR="00A41117" w:rsidRDefault="00A41117" w:rsidP="00A41117">
      <w:pPr>
        <w:pStyle w:val="Titre4"/>
      </w:pPr>
      <w:bookmarkStart w:id="56" w:name="_Toc124755368"/>
      <w:r>
        <w:t>Atteinte à la liberté économique et sociale</w:t>
      </w:r>
      <w:bookmarkEnd w:id="56"/>
    </w:p>
    <w:p w14:paraId="01329BF4" w14:textId="77777777" w:rsidR="00A41117" w:rsidRDefault="00A41117" w:rsidP="00A41117">
      <w:pPr>
        <w:pStyle w:val="Paragrdouble"/>
        <w:spacing w:line="240" w:lineRule="auto"/>
      </w:pPr>
      <w:r>
        <w:t>Les demandeurs allèguent que leur droit de propriété sera affecté pendant la construction et avec l’opération du tramway. Ils sont d’avis que leur résidence sera plus difficile à vendre à un « prix raisonnablement envisagé ».</w:t>
      </w:r>
    </w:p>
    <w:p w14:paraId="3C738C01" w14:textId="73C2E7A5" w:rsidR="00A41117" w:rsidRDefault="00A41117" w:rsidP="00DB73EA">
      <w:pPr>
        <w:pStyle w:val="Paragrdouble"/>
        <w:spacing w:line="240" w:lineRule="auto"/>
      </w:pPr>
      <w:r>
        <w:t>La preuve est totalement muette cet égard et le Tribunal rejette tout argument basé sur cette allégation.</w:t>
      </w:r>
    </w:p>
    <w:p w14:paraId="4BEDB676" w14:textId="28523393" w:rsidR="00773BE3" w:rsidRDefault="00255171" w:rsidP="006A45E3">
      <w:pPr>
        <w:pStyle w:val="Titre3"/>
      </w:pPr>
      <w:bookmarkStart w:id="57" w:name="_Toc124755369"/>
      <w:r>
        <w:t>Dommages-intérêts réclamés</w:t>
      </w:r>
      <w:bookmarkEnd w:id="57"/>
    </w:p>
    <w:p w14:paraId="0112F16E" w14:textId="7ED30C60" w:rsidR="00255171" w:rsidRDefault="009C4336" w:rsidP="00255171">
      <w:pPr>
        <w:pStyle w:val="Paragrdouble"/>
        <w:spacing w:line="240" w:lineRule="auto"/>
      </w:pPr>
      <w:r>
        <w:t>D</w:t>
      </w:r>
      <w:r w:rsidR="0040464A">
        <w:t>es dommages</w:t>
      </w:r>
      <w:r w:rsidR="4DD90D5A">
        <w:t>-</w:t>
      </w:r>
      <w:r w:rsidR="0040464A">
        <w:t>intérêts</w:t>
      </w:r>
      <w:r>
        <w:t xml:space="preserve"> et des dommages exemplaires sont réclamés aux parties défenderesses.</w:t>
      </w:r>
    </w:p>
    <w:p w14:paraId="5BAD9D03" w14:textId="7995C593" w:rsidR="009C4336" w:rsidRPr="004C4FDF" w:rsidRDefault="00E438AE" w:rsidP="00255171">
      <w:pPr>
        <w:pStyle w:val="Paragrdouble"/>
        <w:spacing w:line="240" w:lineRule="auto"/>
      </w:pPr>
      <w:r>
        <w:t>Les parties défenderesses sont poursuivies pour</w:t>
      </w:r>
      <w:r w:rsidR="001B5C78">
        <w:t xml:space="preserve"> « abus de droit et </w:t>
      </w:r>
      <w:r w:rsidR="001B5C78" w:rsidRPr="5A7F0EA4">
        <w:rPr>
          <w:rFonts w:cs="Arial"/>
        </w:rPr>
        <w:t>[leurs] nombreuses décisions illégales et irrationnelles</w:t>
      </w:r>
      <w:r w:rsidR="004C4FDF" w:rsidRPr="5A7F0EA4">
        <w:rPr>
          <w:rFonts w:cs="Arial"/>
        </w:rPr>
        <w:t xml:space="preserve"> prises à [leurs] risques et périls ».</w:t>
      </w:r>
    </w:p>
    <w:p w14:paraId="2DCAE5D0" w14:textId="4DA2E7E4" w:rsidR="004C4FDF" w:rsidRDefault="008C3C83" w:rsidP="00255171">
      <w:pPr>
        <w:pStyle w:val="Paragrdouble"/>
        <w:spacing w:line="240" w:lineRule="auto"/>
      </w:pPr>
      <w:r>
        <w:t>Les demandeurs</w:t>
      </w:r>
      <w:r w:rsidR="009652B9">
        <w:t xml:space="preserve"> réclament le remboursement de leurs frais judiciaires et extrajudiciaires</w:t>
      </w:r>
      <w:r w:rsidR="00363862">
        <w:t xml:space="preserve"> ainsi que des dommages exemplaires de 500 000 $ eu égard à la conduite</w:t>
      </w:r>
      <w:r w:rsidR="00582596">
        <w:t xml:space="preserve"> « hautement répréhensible et antidémocratique des défendeurs depuis plusieurs années ».</w:t>
      </w:r>
    </w:p>
    <w:p w14:paraId="6E8FE781" w14:textId="77777777" w:rsidR="0070780D" w:rsidRDefault="00FD7F31" w:rsidP="00255171">
      <w:pPr>
        <w:pStyle w:val="Paragrdouble"/>
        <w:spacing w:line="240" w:lineRule="auto"/>
      </w:pPr>
      <w:r>
        <w:t>Considérant que le Tribunal est d’avis que les parties défenderesses n’ont commis aucune faute et n’ont pas fait preuve d’abus de droit</w:t>
      </w:r>
      <w:r w:rsidR="0070780D">
        <w:t>, la demande d’indemnisation doit être rejetée.</w:t>
      </w:r>
    </w:p>
    <w:p w14:paraId="632DD4C1" w14:textId="2DC07A4C" w:rsidR="00FD7F31" w:rsidRPr="00255171" w:rsidRDefault="0070780D" w:rsidP="00255171">
      <w:pPr>
        <w:pStyle w:val="Paragrdouble"/>
        <w:spacing w:line="240" w:lineRule="auto"/>
      </w:pPr>
      <w:r>
        <w:t>Il est d’usage que</w:t>
      </w:r>
      <w:r w:rsidR="00486CC7">
        <w:t>,</w:t>
      </w:r>
      <w:r>
        <w:t xml:space="preserve"> sans égard à la responsabilité, un </w:t>
      </w:r>
      <w:r w:rsidR="00F514BB">
        <w:t>t</w:t>
      </w:r>
      <w:r>
        <w:t>ribunal d’instance quantifie le quantum</w:t>
      </w:r>
      <w:r w:rsidR="00F24C24">
        <w:t xml:space="preserve"> réclamé. Dans le présent cas, le Tribunal se refuse à se prêter à cet exercice</w:t>
      </w:r>
      <w:r w:rsidR="00DA7C7B">
        <w:t xml:space="preserve"> et accepterait de le faire</w:t>
      </w:r>
      <w:r w:rsidR="00486CC7">
        <w:t xml:space="preserve"> si, après une inscription en appel, la Cour d’appel</w:t>
      </w:r>
      <w:r w:rsidR="003D0187">
        <w:t xml:space="preserve"> le demandait. Une réouverture d’enquête serait nécessaire.</w:t>
      </w:r>
    </w:p>
    <w:p w14:paraId="6ADCC414" w14:textId="21E77BAC" w:rsidR="006A45E3" w:rsidRDefault="0E23026A" w:rsidP="006A45E3">
      <w:pPr>
        <w:pStyle w:val="Titre3"/>
      </w:pPr>
      <w:r>
        <w:t xml:space="preserve"> </w:t>
      </w:r>
      <w:bookmarkStart w:id="58" w:name="_Toc124755370"/>
      <w:r w:rsidR="006A45E3">
        <w:t>Commentaires divers</w:t>
      </w:r>
      <w:bookmarkEnd w:id="58"/>
    </w:p>
    <w:p w14:paraId="60F92A17" w14:textId="3299BF71" w:rsidR="007004F4" w:rsidRDefault="00507E12" w:rsidP="000825D5">
      <w:pPr>
        <w:pStyle w:val="Paragrdouble"/>
        <w:spacing w:line="240" w:lineRule="auto"/>
      </w:pPr>
      <w:r w:rsidRPr="3B6B4641">
        <w:rPr>
          <w:i/>
          <w:iCs/>
        </w:rPr>
        <w:t>La réputation des groupes environnementaux</w:t>
      </w:r>
      <w:r>
        <w:t xml:space="preserve">. </w:t>
      </w:r>
      <w:r w:rsidR="0009223D" w:rsidRPr="00E452DC">
        <w:t>À</w:t>
      </w:r>
      <w:r w:rsidR="00BD2933" w:rsidRPr="00E452DC">
        <w:t xml:space="preserve"> de nombreuses reprises, les demandeurs tentent d’écorcher</w:t>
      </w:r>
      <w:r w:rsidR="0009223D" w:rsidRPr="00E452DC">
        <w:t xml:space="preserve"> des groupes environnementaux qui, d’après eux, </w:t>
      </w:r>
      <w:r w:rsidR="00D73D68" w:rsidRPr="00E452DC">
        <w:t xml:space="preserve">à cause du financement qu’ils reçoivent de la Ville, </w:t>
      </w:r>
      <w:r w:rsidR="0009223D" w:rsidRPr="00E452DC">
        <w:t>souscriraient au projet de tramway</w:t>
      </w:r>
      <w:r w:rsidR="000E04A5" w:rsidRPr="00E452DC">
        <w:t xml:space="preserve"> et</w:t>
      </w:r>
      <w:r w:rsidR="00CF6994">
        <w:t>,</w:t>
      </w:r>
      <w:r w:rsidR="000E04A5" w:rsidRPr="00E452DC">
        <w:t xml:space="preserve"> même, bloqueraient les pétitions mises en place par Québec </w:t>
      </w:r>
      <w:r w:rsidR="79C6853B" w:rsidRPr="00E452DC">
        <w:t>M</w:t>
      </w:r>
      <w:r w:rsidR="000E04A5" w:rsidRPr="00E452DC">
        <w:t xml:space="preserve">érite </w:t>
      </w:r>
      <w:r w:rsidR="47AC5591" w:rsidRPr="00E452DC">
        <w:t>M</w:t>
      </w:r>
      <w:r w:rsidR="000E04A5" w:rsidRPr="00E452DC">
        <w:t>ieux</w:t>
      </w:r>
      <w:r w:rsidR="00D73D68" w:rsidRPr="00E452DC">
        <w:t xml:space="preserve">. </w:t>
      </w:r>
      <w:r w:rsidR="00B709C0" w:rsidRPr="00E452DC">
        <w:t>La preuve ne permet pas de tirer de telles conclusions</w:t>
      </w:r>
      <w:r w:rsidR="00097143" w:rsidRPr="00E452DC">
        <w:t>; le Tribunal conçoit qu’il est possible de favoriser l’environnement et la mise en place d’un système de transport en commun</w:t>
      </w:r>
      <w:r w:rsidR="00CB27E1" w:rsidRPr="00E452DC">
        <w:t xml:space="preserve">, même si ce dernier </w:t>
      </w:r>
      <w:r w:rsidR="009A2F21">
        <w:t>peut</w:t>
      </w:r>
      <w:r w:rsidR="00CB27E1" w:rsidRPr="00E452DC">
        <w:t>, au moment de sa construction,</w:t>
      </w:r>
      <w:r w:rsidR="00EB535A" w:rsidRPr="00E452DC">
        <w:t xml:space="preserve"> avoir des effets néfastes à court terme.</w:t>
      </w:r>
      <w:r w:rsidR="00AA7378" w:rsidRPr="00E452DC">
        <w:t xml:space="preserve"> </w:t>
      </w:r>
      <w:r w:rsidR="00297D0C">
        <w:t xml:space="preserve">De plus, </w:t>
      </w:r>
      <w:r w:rsidR="006742BD">
        <w:t xml:space="preserve">on ne peut inférer </w:t>
      </w:r>
      <w:r w:rsidR="001C1DD8">
        <w:t>que, parce que des membres d’un comité consultatif touchent des indemnités pour participer à des réunions</w:t>
      </w:r>
      <w:r w:rsidR="009C28BF">
        <w:rPr>
          <w:rStyle w:val="Appelnotedebasdep"/>
        </w:rPr>
        <w:footnoteReference w:id="153"/>
      </w:r>
      <w:r w:rsidR="001C1DD8">
        <w:t xml:space="preserve">, </w:t>
      </w:r>
      <w:r w:rsidR="009C28BF">
        <w:t xml:space="preserve">ils aient perdu toute objectivité. </w:t>
      </w:r>
      <w:r w:rsidR="00AA7378" w:rsidRPr="00E452DC">
        <w:t>Les allégations de conflit d’intérêts</w:t>
      </w:r>
      <w:r w:rsidR="007004F4" w:rsidRPr="00E452DC">
        <w:t xml:space="preserve"> ne sont pas supportées.</w:t>
      </w:r>
      <w:r w:rsidR="00AE0A50">
        <w:t xml:space="preserve"> </w:t>
      </w:r>
    </w:p>
    <w:p w14:paraId="669D9CAD" w14:textId="03F0D46A" w:rsidR="00C43EA5" w:rsidRPr="00E452DC" w:rsidRDefault="00CC5412" w:rsidP="000825D5">
      <w:pPr>
        <w:pStyle w:val="Paragrdouble"/>
        <w:spacing w:line="240" w:lineRule="auto"/>
      </w:pPr>
      <w:r w:rsidRPr="5A7F0EA4">
        <w:rPr>
          <w:i/>
          <w:iCs/>
        </w:rPr>
        <w:t>La présence de lobbyistes</w:t>
      </w:r>
      <w:r>
        <w:t xml:space="preserve">. </w:t>
      </w:r>
      <w:r w:rsidR="00AE0A50">
        <w:t>La preuve ne permet pas davantage</w:t>
      </w:r>
      <w:r w:rsidR="00315C87">
        <w:t xml:space="preserve"> de supporter</w:t>
      </w:r>
      <w:r w:rsidR="009119B7">
        <w:t xml:space="preserve"> certaines allégations contenues dans les plaidoiries des demandeurs à l’effet que le gouvernement a agi sous la dictée</w:t>
      </w:r>
      <w:r w:rsidR="00992E87">
        <w:t xml:space="preserve"> « de nombreux lobbyistes »</w:t>
      </w:r>
      <w:r w:rsidR="00992E87">
        <w:rPr>
          <w:rStyle w:val="Appelnotedebasdep"/>
        </w:rPr>
        <w:footnoteReference w:id="154"/>
      </w:r>
      <w:r w:rsidR="00992E87">
        <w:t xml:space="preserve">. </w:t>
      </w:r>
      <w:r w:rsidR="00ED206E">
        <w:t xml:space="preserve">En fait, les documents de plaidoirie des demandeurs démontrent que deux entreprises </w:t>
      </w:r>
      <w:r w:rsidR="001074E9">
        <w:t xml:space="preserve">se sont légalement inscrites au </w:t>
      </w:r>
      <w:r w:rsidR="1995F10A">
        <w:t>R</w:t>
      </w:r>
      <w:r w:rsidR="001074E9">
        <w:t xml:space="preserve">egistre des lobbyistes du Québec, </w:t>
      </w:r>
      <w:r w:rsidR="00972F99">
        <w:t xml:space="preserve">pour la construction d’un tramway à Québec, </w:t>
      </w:r>
      <w:r w:rsidR="001074E9">
        <w:t>l’une pour la période allant de 2010 à 2015 et l’autre en 2013</w:t>
      </w:r>
      <w:r w:rsidR="001074E9">
        <w:rPr>
          <w:rStyle w:val="Appelnotedebasdep"/>
        </w:rPr>
        <w:footnoteReference w:id="155"/>
      </w:r>
      <w:r w:rsidR="001074E9">
        <w:t xml:space="preserve">. </w:t>
      </w:r>
      <w:r w:rsidR="00E5098F">
        <w:t>Cela démontre au contraire qu’à cette</w:t>
      </w:r>
      <w:r w:rsidR="00C90552">
        <w:t xml:space="preserve"> époque,</w:t>
      </w:r>
      <w:r w:rsidR="0076214A">
        <w:t xml:space="preserve"> la consultation</w:t>
      </w:r>
      <w:r w:rsidR="00647FB4">
        <w:t xml:space="preserve"> de la population quant à la construction d’un tramway était bien réelle, bien avant que les demandeurs</w:t>
      </w:r>
      <w:r w:rsidR="00B11AEF">
        <w:t>, si l’on se fie à leur déclaration sous serment</w:t>
      </w:r>
      <w:r w:rsidR="00C90552">
        <w:t>, s’y intéressent</w:t>
      </w:r>
      <w:r w:rsidR="0068029A">
        <w:t>.</w:t>
      </w:r>
      <w:r w:rsidR="00E5098F">
        <w:t xml:space="preserve"> </w:t>
      </w:r>
      <w:r w:rsidR="00992E87">
        <w:t>Il n’y a pas un iota de preuve</w:t>
      </w:r>
      <w:r w:rsidR="0068029A">
        <w:t xml:space="preserve"> à l’effet que le gouvernement ait agi sous la dictée de ces lobbyistes</w:t>
      </w:r>
      <w:r w:rsidR="00992E87">
        <w:t>.</w:t>
      </w:r>
    </w:p>
    <w:p w14:paraId="1BBEFC81" w14:textId="2FFE5F9A" w:rsidR="001B0E81" w:rsidRPr="00E452DC" w:rsidRDefault="00452294" w:rsidP="000825D5">
      <w:pPr>
        <w:pStyle w:val="Paragrdouble"/>
        <w:spacing w:line="240" w:lineRule="auto"/>
      </w:pPr>
      <w:r w:rsidRPr="5A7F0EA4">
        <w:rPr>
          <w:i/>
          <w:iCs/>
        </w:rPr>
        <w:t>Un conflit d’intérêts et un complot</w:t>
      </w:r>
      <w:r>
        <w:t xml:space="preserve">. </w:t>
      </w:r>
      <w:r w:rsidR="00852F97">
        <w:t xml:space="preserve">Lors de leurs plaidoiries, les demandeurs laissent sous-entendre </w:t>
      </w:r>
      <w:r w:rsidR="00795D2F">
        <w:t xml:space="preserve">qu’il y a </w:t>
      </w:r>
      <w:r w:rsidR="00104156">
        <w:t>des irrégularités en regard de la présence d’un ingénieur</w:t>
      </w:r>
      <w:r w:rsidR="00774768">
        <w:t xml:space="preserve"> qui aurait donné son avis au ministère des </w:t>
      </w:r>
      <w:r w:rsidR="00AA4257">
        <w:t>T</w:t>
      </w:r>
      <w:r w:rsidR="00774768">
        <w:t xml:space="preserve">ransports quant au projet de tramway, que cet ingénieur aurait </w:t>
      </w:r>
      <w:r w:rsidR="00AA4257">
        <w:t xml:space="preserve">ensuite </w:t>
      </w:r>
      <w:r w:rsidR="00774768">
        <w:t xml:space="preserve">été nommé au conseil d’administration de la </w:t>
      </w:r>
      <w:r w:rsidR="00AA4257">
        <w:t>C</w:t>
      </w:r>
      <w:r w:rsidR="00774768">
        <w:t>aisse de dépôt et de placement du Québec et que, finalement, cette dernière aurait investi dans la seule entreprise susceptible</w:t>
      </w:r>
      <w:r w:rsidR="0048664A">
        <w:t xml:space="preserve"> de déposer une soumission pour la construction du tramway</w:t>
      </w:r>
      <w:r w:rsidR="00795D2F">
        <w:t>. L</w:t>
      </w:r>
      <w:r w:rsidR="00351162">
        <w:t xml:space="preserve">e Tribunal tient à écarter </w:t>
      </w:r>
      <w:r w:rsidR="00C875A4">
        <w:t>c</w:t>
      </w:r>
      <w:r w:rsidR="00351162">
        <w:t>es sous-entendus qui peuvent avoir un impact sur la crédibilité d’un processus</w:t>
      </w:r>
      <w:r w:rsidR="00C875A4">
        <w:t xml:space="preserve"> et d’un individu</w:t>
      </w:r>
      <w:r w:rsidR="00351162">
        <w:t>. Ce n’est pas</w:t>
      </w:r>
      <w:r w:rsidR="00696C41">
        <w:t xml:space="preserve"> parce qu’un expert compétent fait des recommandations au ministère des </w:t>
      </w:r>
      <w:r w:rsidR="60B1C4E0">
        <w:t>T</w:t>
      </w:r>
      <w:r w:rsidR="00696C41">
        <w:t>ransports</w:t>
      </w:r>
      <w:r w:rsidR="00991770">
        <w:t xml:space="preserve"> qu’il ne peut siéger au conseil d’administration d’une société d’État</w:t>
      </w:r>
      <w:r w:rsidR="003C1CCE">
        <w:t>. A</w:t>
      </w:r>
      <w:r w:rsidR="004C213E">
        <w:t xml:space="preserve">u contraire, </w:t>
      </w:r>
      <w:r w:rsidR="003C1CCE">
        <w:t xml:space="preserve">si tel est le cas, </w:t>
      </w:r>
      <w:r w:rsidR="004C213E">
        <w:t>il peut s’agir d’un atout pour cette dernière de compter sur les éclairages avisés</w:t>
      </w:r>
      <w:r w:rsidR="00E436E4">
        <w:t xml:space="preserve"> de personnes de différentes formations scientifiques</w:t>
      </w:r>
      <w:r w:rsidR="00991770">
        <w:t>. Si tant est</w:t>
      </w:r>
      <w:r w:rsidR="00515F46">
        <w:t xml:space="preserve"> que cette société d’État aurait investi dans une entreprise susceptible</w:t>
      </w:r>
      <w:r w:rsidR="0012190B">
        <w:t xml:space="preserve"> de construire le tramway de Québec, rien n’indique</w:t>
      </w:r>
      <w:r w:rsidR="00803DC4">
        <w:t xml:space="preserve"> que cet administrateur</w:t>
      </w:r>
      <w:r w:rsidR="005974DD">
        <w:t xml:space="preserve"> a participé à la décision d’investissement. </w:t>
      </w:r>
      <w:r w:rsidR="001025D5">
        <w:t>Plusieurs questions se posent avant de tirer des conclusions ou de faire de tels sous-entendus</w:t>
      </w:r>
      <w:r w:rsidR="006A77FF">
        <w:t>, dont notamment : «</w:t>
      </w:r>
      <w:r w:rsidR="00D5456C">
        <w:t> </w:t>
      </w:r>
      <w:r w:rsidR="006A77FF">
        <w:t>C</w:t>
      </w:r>
      <w:r w:rsidR="001025D5">
        <w:t xml:space="preserve">ette décision </w:t>
      </w:r>
      <w:r w:rsidR="005974DD">
        <w:t>était-elle prise avant même qu’il soit nommé</w:t>
      </w:r>
      <w:r w:rsidR="001025D5">
        <w:t xml:space="preserve">? </w:t>
      </w:r>
      <w:r w:rsidR="00A25405">
        <w:t xml:space="preserve">A-t-il participé à la décision? </w:t>
      </w:r>
      <w:r w:rsidR="00A31469">
        <w:t>Quel intérêt cet administrateur a-t-il?</w:t>
      </w:r>
      <w:r w:rsidR="00A25405">
        <w:t xml:space="preserve"> </w:t>
      </w:r>
      <w:r w:rsidR="006A77FF">
        <w:t>»</w:t>
      </w:r>
      <w:r w:rsidR="00921A2D">
        <w:t>.</w:t>
      </w:r>
      <w:r w:rsidR="00A31469">
        <w:t xml:space="preserve"> Bref, </w:t>
      </w:r>
      <w:r w:rsidR="00647A75">
        <w:t xml:space="preserve">des sous-entendus de conflit d’intérêts qui tiennent avec de la ficelle. </w:t>
      </w:r>
      <w:r w:rsidR="003B5180">
        <w:t xml:space="preserve">Le Tribunal rejette ces insinuations. </w:t>
      </w:r>
    </w:p>
    <w:p w14:paraId="484C9F95" w14:textId="64512CAB" w:rsidR="00111319" w:rsidRPr="00DB73EA" w:rsidRDefault="0077471F" w:rsidP="00DB73EA">
      <w:pPr>
        <w:pStyle w:val="Paragrdouble"/>
        <w:spacing w:line="240" w:lineRule="auto"/>
      </w:pPr>
      <w:r w:rsidRPr="00E452DC">
        <w:t>Sous le chapitre</w:t>
      </w:r>
      <w:r w:rsidR="00D71A46" w:rsidRPr="00E452DC">
        <w:t xml:space="preserve"> « Apparences de conflit d’intérêts », </w:t>
      </w:r>
      <w:r w:rsidR="001E0F48" w:rsidRPr="00E452DC">
        <w:t>l’étude réalisée par la société SYSTRA est qualifiée de « douteuse ».</w:t>
      </w:r>
      <w:r w:rsidR="00887C14" w:rsidRPr="00E452DC">
        <w:t xml:space="preserve"> </w:t>
      </w:r>
      <w:r w:rsidR="00D71A46" w:rsidRPr="00E452DC">
        <w:t> </w:t>
      </w:r>
      <w:r w:rsidR="00887C14" w:rsidRPr="00E452DC">
        <w:t>De telles apparences</w:t>
      </w:r>
      <w:r w:rsidR="00866894" w:rsidRPr="00E452DC">
        <w:t xml:space="preserve"> s’évanouissent à la lecture des explications données par Monsieur </w:t>
      </w:r>
      <w:r w:rsidR="004D0E1A">
        <w:t xml:space="preserve">Daniel </w:t>
      </w:r>
      <w:r w:rsidR="00866894" w:rsidRPr="00E452DC">
        <w:t xml:space="preserve">Genest, directeur du </w:t>
      </w:r>
      <w:r w:rsidR="00F92DFE">
        <w:t>B</w:t>
      </w:r>
      <w:r w:rsidR="00866894" w:rsidRPr="00E452DC">
        <w:t>ureau du projet du tramway</w:t>
      </w:r>
      <w:r w:rsidR="00C04796" w:rsidRPr="00E452DC">
        <w:t xml:space="preserve">. </w:t>
      </w:r>
      <w:r w:rsidR="00692098" w:rsidRPr="00E452DC">
        <w:t xml:space="preserve">En mai 2019, la </w:t>
      </w:r>
      <w:r w:rsidR="007E6824" w:rsidRPr="00E452DC">
        <w:t>V</w:t>
      </w:r>
      <w:r w:rsidR="00692098" w:rsidRPr="00E452DC">
        <w:t>ille donne mandat à cette firme d’ingénierie de réaliser « une analyse comparative des principaux modes de transport lourd sur rail, soit le tramway, le train léger sur rail</w:t>
      </w:r>
      <w:r w:rsidR="009A4EAA" w:rsidRPr="00E452DC">
        <w:t>, le monorail et le métro en souterrain dans le but de répondre à une demande du ministère de l’</w:t>
      </w:r>
      <w:r w:rsidR="53711E15" w:rsidRPr="00E452DC">
        <w:t>E</w:t>
      </w:r>
      <w:r w:rsidR="009A4EAA" w:rsidRPr="00E452DC">
        <w:t>nvironnement en regard du mode le plus approprié à titre de réseau</w:t>
      </w:r>
      <w:r w:rsidR="00F0103B" w:rsidRPr="00E452DC">
        <w:t xml:space="preserve"> structurant de transport pour Québec</w:t>
      </w:r>
      <w:r w:rsidR="001058FF">
        <w:t xml:space="preserve"> »</w:t>
      </w:r>
      <w:r w:rsidR="001058FF">
        <w:rPr>
          <w:rStyle w:val="Appelnotedebasdep"/>
        </w:rPr>
        <w:footnoteReference w:id="156"/>
      </w:r>
      <w:r w:rsidR="00F0103B" w:rsidRPr="00E452DC">
        <w:t>. Deux équipes indépendantes</w:t>
      </w:r>
      <w:r w:rsidR="00AD3EE3" w:rsidRPr="00E452DC">
        <w:t xml:space="preserve"> de cette firme sont créées : l’une pour assurer le mandat de cette analyse comparative et l’autre</w:t>
      </w:r>
      <w:r w:rsidR="00647756" w:rsidRPr="00E452DC">
        <w:t xml:space="preserve"> quant à la conception de référence du tramway. Cette firme est même informée que son étude</w:t>
      </w:r>
      <w:r w:rsidR="008F086D" w:rsidRPr="00E452DC">
        <w:t xml:space="preserve"> fera l’objet d’une validation par un expert indépendant. En fait, ce seront deux experts indépendants qui feront la contre-expertise de ce rapport produit par</w:t>
      </w:r>
      <w:r w:rsidR="001442E2" w:rsidRPr="00E452DC">
        <w:t xml:space="preserve"> SYSTRA. Au terme de leurs travaux,</w:t>
      </w:r>
      <w:r w:rsidR="00160D4B" w:rsidRPr="00E452DC">
        <w:t xml:space="preserve"> tant l’équipe de SYSTRA chargé</w:t>
      </w:r>
      <w:r w:rsidR="00A0508C" w:rsidRPr="00E452DC">
        <w:t>e</w:t>
      </w:r>
      <w:r w:rsidR="00160D4B" w:rsidRPr="00E452DC">
        <w:t xml:space="preserve"> de l’étude comparative que les deux experts indépendants conclu</w:t>
      </w:r>
      <w:r w:rsidR="00A0508C" w:rsidRPr="00E452DC">
        <w:t>ent</w:t>
      </w:r>
      <w:r w:rsidR="00160D4B" w:rsidRPr="00E452DC">
        <w:t xml:space="preserve"> à la validité du choix du tramway comme mode de transport structurant pour Québec. La preuve ne permet donc pas</w:t>
      </w:r>
      <w:r w:rsidR="00D17A3C" w:rsidRPr="00E452DC">
        <w:t xml:space="preserve"> de tirer les conclusions de conflit d’intérêts allégué</w:t>
      </w:r>
      <w:r w:rsidR="00454064" w:rsidRPr="00E452DC">
        <w:t>e</w:t>
      </w:r>
      <w:r w:rsidR="00D17A3C" w:rsidRPr="00E452DC">
        <w:t>s</w:t>
      </w:r>
      <w:r w:rsidR="00454064" w:rsidRPr="00E452DC">
        <w:t xml:space="preserve"> par les demandeurs</w:t>
      </w:r>
      <w:r w:rsidR="0082602C">
        <w:t>. C</w:t>
      </w:r>
      <w:r w:rsidR="00C95D8D">
        <w:t>’est trop facile</w:t>
      </w:r>
      <w:r w:rsidR="0082602C">
        <w:t xml:space="preserve"> de l’invoquer</w:t>
      </w:r>
      <w:r w:rsidR="00454064" w:rsidRPr="00E452DC">
        <w:t>.</w:t>
      </w:r>
    </w:p>
    <w:p w14:paraId="261EEC9F" w14:textId="77777777" w:rsidR="00AF1575" w:rsidRDefault="008A4532" w:rsidP="00D26929">
      <w:pPr>
        <w:pStyle w:val="Titre2"/>
      </w:pPr>
      <w:bookmarkStart w:id="59" w:name="_Toc430945547"/>
      <w:bookmarkStart w:id="60" w:name="_Toc124755371"/>
      <w:r>
        <w:t>LES CONCLUSIONS</w:t>
      </w:r>
      <w:bookmarkEnd w:id="59"/>
      <w:bookmarkEnd w:id="60"/>
    </w:p>
    <w:p w14:paraId="261EECA0" w14:textId="74A06041" w:rsidR="00CF51ED" w:rsidRDefault="00675C7F" w:rsidP="00D26929">
      <w:pPr>
        <w:pStyle w:val="Paragrdouble"/>
        <w:spacing w:line="240" w:lineRule="auto"/>
      </w:pPr>
      <w:r>
        <w:t>L</w:t>
      </w:r>
      <w:r w:rsidR="00870349">
        <w:t>es demandeurs</w:t>
      </w:r>
      <w:r>
        <w:t xml:space="preserve"> ont introduit leur recours dans un délai raisonnable comme l’exige la loi.</w:t>
      </w:r>
    </w:p>
    <w:p w14:paraId="32B4F582" w14:textId="1995420F" w:rsidR="00896D6A" w:rsidRDefault="00675C7F" w:rsidP="00D26929">
      <w:pPr>
        <w:pStyle w:val="Paragrdouble"/>
        <w:spacing w:line="240" w:lineRule="auto"/>
      </w:pPr>
      <w:r>
        <w:t>En regard de la demande</w:t>
      </w:r>
      <w:r w:rsidR="003046E8">
        <w:t xml:space="preserve"> de nullité du décret 655-2022, </w:t>
      </w:r>
      <w:r w:rsidR="00EE028D">
        <w:t xml:space="preserve">le </w:t>
      </w:r>
      <w:r w:rsidR="00926EF9">
        <w:t>C</w:t>
      </w:r>
      <w:r w:rsidR="00EE028D">
        <w:t xml:space="preserve">onseil des ministres avait le pouvoir de se prononcer sur le projet de tramway de Québec au sens des dispositions de la </w:t>
      </w:r>
      <w:r w:rsidR="00EE028D" w:rsidRPr="5A7F0EA4">
        <w:rPr>
          <w:i/>
          <w:iCs/>
        </w:rPr>
        <w:t>Loi sur la qualité de l’environnement</w:t>
      </w:r>
      <w:r w:rsidR="00EE028D">
        <w:t>.</w:t>
      </w:r>
    </w:p>
    <w:p w14:paraId="74539383" w14:textId="26A47B89" w:rsidR="00896D6A" w:rsidRDefault="0027352A" w:rsidP="00D26929">
      <w:pPr>
        <w:pStyle w:val="Paragrdouble"/>
        <w:spacing w:line="240" w:lineRule="auto"/>
      </w:pPr>
      <w:r>
        <w:t>C</w:t>
      </w:r>
      <w:r w:rsidR="00926EF9">
        <w:t xml:space="preserve">e processus a été </w:t>
      </w:r>
      <w:r w:rsidR="6EC9667E">
        <w:t>réalisé</w:t>
      </w:r>
      <w:r w:rsidR="00926EF9">
        <w:t xml:space="preserve"> suivant les dispositions de cette loi.</w:t>
      </w:r>
    </w:p>
    <w:p w14:paraId="6EAB2C95" w14:textId="4F522838" w:rsidR="00743682" w:rsidRDefault="00926EF9" w:rsidP="00D26929">
      <w:pPr>
        <w:pStyle w:val="Paragrdouble"/>
        <w:spacing w:line="240" w:lineRule="auto"/>
      </w:pPr>
      <w:r>
        <w:t xml:space="preserve">Le </w:t>
      </w:r>
      <w:r w:rsidR="00743682">
        <w:t>C</w:t>
      </w:r>
      <w:r>
        <w:t>onseil des ministres possède la discrétion politique</w:t>
      </w:r>
      <w:r w:rsidR="00743682">
        <w:t xml:space="preserve"> pour adopter une telle </w:t>
      </w:r>
      <w:r w:rsidR="2928E60C">
        <w:t>décision</w:t>
      </w:r>
      <w:r w:rsidR="00743682">
        <w:t xml:space="preserve">, y compris même de ne pas être lié par les conclusions </w:t>
      </w:r>
      <w:r w:rsidR="00892D29">
        <w:t xml:space="preserve">du rapport </w:t>
      </w:r>
      <w:r w:rsidR="00743682">
        <w:t>du Bureau d’audiences publiques sur l’environnement.</w:t>
      </w:r>
    </w:p>
    <w:p w14:paraId="34970D30" w14:textId="47CE3514" w:rsidR="00237FED" w:rsidRDefault="00892D29" w:rsidP="00D26929">
      <w:pPr>
        <w:pStyle w:val="Paragrdouble"/>
        <w:spacing w:line="240" w:lineRule="auto"/>
      </w:pPr>
      <w:r>
        <w:t>La preuve</w:t>
      </w:r>
      <w:r w:rsidR="00C725D2">
        <w:t>,</w:t>
      </w:r>
      <w:r>
        <w:t xml:space="preserve"> plus que nécessaire</w:t>
      </w:r>
      <w:r w:rsidR="00C725D2">
        <w:t xml:space="preserve"> au sens de la jurisprudence,</w:t>
      </w:r>
      <w:r>
        <w:t xml:space="preserve"> </w:t>
      </w:r>
      <w:r w:rsidR="00C725D2">
        <w:t>a</w:t>
      </w:r>
      <w:r>
        <w:t xml:space="preserve"> démontr</w:t>
      </w:r>
      <w:r w:rsidR="00C725D2">
        <w:t>é</w:t>
      </w:r>
      <w:r>
        <w:t xml:space="preserve"> le sérieux </w:t>
      </w:r>
      <w:r w:rsidR="00D5456C">
        <w:t>du gouvernement du Québec</w:t>
      </w:r>
      <w:r w:rsidR="00237FED">
        <w:t xml:space="preserve"> dans l’analyse du dossier du tramway.</w:t>
      </w:r>
    </w:p>
    <w:p w14:paraId="39BD5C55" w14:textId="77777777" w:rsidR="00D81E7E" w:rsidRDefault="00D81E7E" w:rsidP="00D26929">
      <w:pPr>
        <w:pStyle w:val="Paragrdouble"/>
        <w:spacing w:line="240" w:lineRule="auto"/>
      </w:pPr>
      <w:r>
        <w:t>Le décret 655-2022 est donc légal.</w:t>
      </w:r>
    </w:p>
    <w:p w14:paraId="6A4EFC1E" w14:textId="5E66F484" w:rsidR="00926EF9" w:rsidRDefault="00D81E7E" w:rsidP="00D26929">
      <w:pPr>
        <w:pStyle w:val="Paragrdouble"/>
        <w:spacing w:line="240" w:lineRule="auto"/>
      </w:pPr>
      <w:r>
        <w:t>La demande de déclarer inconstitutionnel l’article 19</w:t>
      </w:r>
      <w:r w:rsidR="0017003A">
        <w:t xml:space="preserve">.7 de la </w:t>
      </w:r>
      <w:r w:rsidR="0017003A" w:rsidRPr="5A7F0EA4">
        <w:rPr>
          <w:i/>
          <w:iCs/>
        </w:rPr>
        <w:t>Loi sur la qualité de l’environnement</w:t>
      </w:r>
      <w:r w:rsidR="00CF19F5">
        <w:t xml:space="preserve"> est rejetée puisque la Cour supérieure n’est privée</w:t>
      </w:r>
      <w:r w:rsidR="00662142">
        <w:t xml:space="preserve"> d’aucun pouvoir</w:t>
      </w:r>
      <w:r w:rsidR="00E75FD3">
        <w:t xml:space="preserve"> au sens de la </w:t>
      </w:r>
      <w:r w:rsidR="00E75FD3" w:rsidRPr="5A7F0EA4">
        <w:rPr>
          <w:i/>
          <w:iCs/>
        </w:rPr>
        <w:t>Loi constitutionnelle de 1867</w:t>
      </w:r>
      <w:r w:rsidR="00662142">
        <w:t>.</w:t>
      </w:r>
    </w:p>
    <w:p w14:paraId="2E655DD8" w14:textId="6DB7A145" w:rsidR="00662142" w:rsidRDefault="00CB628B" w:rsidP="00D26929">
      <w:pPr>
        <w:pStyle w:val="Paragrdouble"/>
        <w:spacing w:line="240" w:lineRule="auto"/>
      </w:pPr>
      <w:r>
        <w:t>Les demandeurs échouent dans leur demande d’obtenir la tenue d’un référendum puisqu</w:t>
      </w:r>
      <w:r w:rsidR="002379FA">
        <w:t>’aucune</w:t>
      </w:r>
      <w:r>
        <w:t xml:space="preserve"> loi</w:t>
      </w:r>
      <w:r w:rsidR="00B51EE3">
        <w:t xml:space="preserve">, notamment la </w:t>
      </w:r>
      <w:r w:rsidR="009E4DDB" w:rsidRPr="5A7F0EA4">
        <w:rPr>
          <w:i/>
          <w:iCs/>
        </w:rPr>
        <w:t>L</w:t>
      </w:r>
      <w:r w:rsidR="00B51EE3" w:rsidRPr="5A7F0EA4">
        <w:rPr>
          <w:i/>
          <w:iCs/>
        </w:rPr>
        <w:t>oi</w:t>
      </w:r>
      <w:r w:rsidR="009E4DDB" w:rsidRPr="5A7F0EA4">
        <w:rPr>
          <w:i/>
          <w:iCs/>
        </w:rPr>
        <w:t xml:space="preserve"> concernant </w:t>
      </w:r>
      <w:r w:rsidR="00B51EE3" w:rsidRPr="5A7F0EA4">
        <w:rPr>
          <w:i/>
          <w:iCs/>
        </w:rPr>
        <w:t xml:space="preserve">le </w:t>
      </w:r>
      <w:r w:rsidR="009E4DDB" w:rsidRPr="5A7F0EA4">
        <w:rPr>
          <w:i/>
          <w:iCs/>
        </w:rPr>
        <w:t>R</w:t>
      </w:r>
      <w:r w:rsidR="00B51EE3" w:rsidRPr="5A7F0EA4">
        <w:rPr>
          <w:i/>
          <w:iCs/>
        </w:rPr>
        <w:t xml:space="preserve">éseau structurant </w:t>
      </w:r>
      <w:r w:rsidR="009E4DDB" w:rsidRPr="5A7F0EA4">
        <w:rPr>
          <w:i/>
          <w:iCs/>
        </w:rPr>
        <w:t xml:space="preserve">de transport en commun </w:t>
      </w:r>
      <w:r w:rsidR="00B51EE3" w:rsidRPr="5A7F0EA4">
        <w:rPr>
          <w:i/>
          <w:iCs/>
        </w:rPr>
        <w:t xml:space="preserve">de la </w:t>
      </w:r>
      <w:r w:rsidR="00A11A2D" w:rsidRPr="5A7F0EA4">
        <w:rPr>
          <w:i/>
          <w:iCs/>
        </w:rPr>
        <w:t>V</w:t>
      </w:r>
      <w:r w:rsidR="00B51EE3" w:rsidRPr="5A7F0EA4">
        <w:rPr>
          <w:i/>
          <w:iCs/>
        </w:rPr>
        <w:t>ille de Québec</w:t>
      </w:r>
      <w:r w:rsidR="00A11A2D" w:rsidRPr="5A7F0EA4">
        <w:rPr>
          <w:i/>
          <w:iCs/>
        </w:rPr>
        <w:t>,</w:t>
      </w:r>
      <w:r>
        <w:t xml:space="preserve"> ni les droits fondamentaux contenus dans les </w:t>
      </w:r>
      <w:r w:rsidR="00082383">
        <w:t>C</w:t>
      </w:r>
      <w:r>
        <w:t>hartes canadienne et québécoise</w:t>
      </w:r>
      <w:r w:rsidR="00082383">
        <w:t xml:space="preserve"> ne l’imposent.</w:t>
      </w:r>
    </w:p>
    <w:p w14:paraId="5B16C5B0" w14:textId="2A8ECCA3" w:rsidR="00082383" w:rsidRDefault="0039595F" w:rsidP="00D26929">
      <w:pPr>
        <w:pStyle w:val="Paragrdouble"/>
        <w:spacing w:line="240" w:lineRule="auto"/>
      </w:pPr>
      <w:r>
        <w:t>Les tribunaux n’ont aucun pouvoir pour</w:t>
      </w:r>
      <w:r w:rsidR="00764E37">
        <w:t xml:space="preserve"> intervenir </w:t>
      </w:r>
      <w:r w:rsidR="00940F1A">
        <w:t>en regard du manquement</w:t>
      </w:r>
      <w:r w:rsidR="00D15B60">
        <w:t xml:space="preserve"> à des engagements électoraux</w:t>
      </w:r>
      <w:r w:rsidR="00764E37">
        <w:t>.</w:t>
      </w:r>
      <w:r w:rsidR="00763724">
        <w:t xml:space="preserve"> </w:t>
      </w:r>
    </w:p>
    <w:p w14:paraId="1873ECB0" w14:textId="43ADE4DC" w:rsidR="003521CA" w:rsidRDefault="003521CA" w:rsidP="003521CA">
      <w:pPr>
        <w:pStyle w:val="Paragrdouble"/>
        <w:spacing w:line="240" w:lineRule="auto"/>
      </w:pPr>
      <w:r>
        <w:t xml:space="preserve">La </w:t>
      </w:r>
      <w:r w:rsidRPr="5A7F0EA4">
        <w:rPr>
          <w:i/>
          <w:iCs/>
        </w:rPr>
        <w:t>Loi concernant le Réseau structurant de transport en commun de la Ville de Québec</w:t>
      </w:r>
      <w:r>
        <w:t xml:space="preserve"> n’affect</w:t>
      </w:r>
      <w:r w:rsidR="00763724">
        <w:t>e</w:t>
      </w:r>
      <w:r>
        <w:t xml:space="preserve"> en rien les pouvoirs de la Cour supérieure en matière d’expropriation.</w:t>
      </w:r>
    </w:p>
    <w:p w14:paraId="778F236E" w14:textId="11F2578D" w:rsidR="00080CAC" w:rsidRDefault="00091B3C" w:rsidP="00D26929">
      <w:pPr>
        <w:pStyle w:val="Paragrdouble"/>
        <w:spacing w:line="240" w:lineRule="auto"/>
      </w:pPr>
      <w:r>
        <w:t>La</w:t>
      </w:r>
      <w:r w:rsidR="005700AD" w:rsidRPr="5A7F0EA4">
        <w:rPr>
          <w:i/>
          <w:iCs/>
        </w:rPr>
        <w:t xml:space="preserve"> </w:t>
      </w:r>
      <w:r w:rsidR="005700AD" w:rsidRPr="00C213C1">
        <w:t xml:space="preserve">Charte de la </w:t>
      </w:r>
      <w:r w:rsidR="00820AEB" w:rsidRPr="00C213C1">
        <w:t>V</w:t>
      </w:r>
      <w:r w:rsidR="005700AD" w:rsidRPr="00C213C1">
        <w:t>ille</w:t>
      </w:r>
      <w:r w:rsidR="005700AD" w:rsidRPr="5A7F0EA4">
        <w:t xml:space="preserve"> autorise le conseil d’agglomération d’adopter un règlement d’urbanisme</w:t>
      </w:r>
      <w:r w:rsidR="00303B2D">
        <w:t xml:space="preserve"> pour permettre la réalisation </w:t>
      </w:r>
      <w:r w:rsidR="00032274">
        <w:t xml:space="preserve">du projet </w:t>
      </w:r>
      <w:r w:rsidR="00303B2D">
        <w:t>d</w:t>
      </w:r>
      <w:r w:rsidR="00032274">
        <w:t>e</w:t>
      </w:r>
      <w:r w:rsidR="00303B2D">
        <w:t xml:space="preserve"> tramway.</w:t>
      </w:r>
    </w:p>
    <w:p w14:paraId="017CCB76" w14:textId="2D7709B4" w:rsidR="00B52DC2" w:rsidRDefault="003521CA" w:rsidP="00D26929">
      <w:pPr>
        <w:pStyle w:val="Paragrdouble"/>
        <w:spacing w:line="240" w:lineRule="auto"/>
      </w:pPr>
      <w:r>
        <w:t>De façon générale,</w:t>
      </w:r>
      <w:r w:rsidR="00114F66">
        <w:t xml:space="preserve"> les demandeurs échouent dans leur contestation du projet de tramway</w:t>
      </w:r>
      <w:r w:rsidR="00272DFA">
        <w:t xml:space="preserve"> en regard d’une atteinte quelconque à leurs droits fondamentaux protégés par la </w:t>
      </w:r>
      <w:r w:rsidR="00B637A9" w:rsidRPr="008D0E34">
        <w:rPr>
          <w:i/>
          <w:iCs/>
        </w:rPr>
        <w:t>C</w:t>
      </w:r>
      <w:r w:rsidR="00272DFA" w:rsidRPr="008D0E34">
        <w:rPr>
          <w:i/>
          <w:iCs/>
        </w:rPr>
        <w:t xml:space="preserve">harte canadienne des droits et libertés </w:t>
      </w:r>
      <w:r w:rsidR="00272DFA">
        <w:t xml:space="preserve">et la </w:t>
      </w:r>
      <w:r w:rsidR="00955C92" w:rsidRPr="008D0E34">
        <w:rPr>
          <w:i/>
          <w:iCs/>
        </w:rPr>
        <w:t>C</w:t>
      </w:r>
      <w:r w:rsidR="00272DFA" w:rsidRPr="008D0E34">
        <w:rPr>
          <w:i/>
          <w:iCs/>
        </w:rPr>
        <w:t>harte des</w:t>
      </w:r>
      <w:r w:rsidR="00955C92" w:rsidRPr="008D0E34">
        <w:rPr>
          <w:i/>
          <w:iCs/>
        </w:rPr>
        <w:t xml:space="preserve"> droits et libertés</w:t>
      </w:r>
      <w:r w:rsidR="00272DFA" w:rsidRPr="008D0E34">
        <w:rPr>
          <w:i/>
          <w:iCs/>
        </w:rPr>
        <w:t xml:space="preserve"> de la personne</w:t>
      </w:r>
      <w:r w:rsidR="00272DFA">
        <w:t>.</w:t>
      </w:r>
    </w:p>
    <w:p w14:paraId="0208DCFB" w14:textId="434D6334" w:rsidR="00896D6A" w:rsidRDefault="0053290D" w:rsidP="00D26929">
      <w:pPr>
        <w:pStyle w:val="Paragrdouble"/>
        <w:spacing w:line="240" w:lineRule="auto"/>
      </w:pPr>
      <w:r>
        <w:t xml:space="preserve">La demande de dommages-intérêts </w:t>
      </w:r>
      <w:r w:rsidR="142E0CD3">
        <w:t xml:space="preserve">compensatoires </w:t>
      </w:r>
      <w:r>
        <w:t>et punitifs, vu l’absence de faute, est rejetée.</w:t>
      </w:r>
    </w:p>
    <w:p w14:paraId="0AE3A181" w14:textId="3B553E8F" w:rsidR="00D5456C" w:rsidRDefault="00D5456C" w:rsidP="00D26929">
      <w:pPr>
        <w:pStyle w:val="Paragrdouble"/>
        <w:spacing w:line="240" w:lineRule="auto"/>
      </w:pPr>
      <w:r>
        <w:t>Bref, rien dans le recours des demandeurs ne pose obstacle au projet de tramway de la Ville de Québec.</w:t>
      </w:r>
    </w:p>
    <w:p w14:paraId="504DD5BB" w14:textId="77777777" w:rsidR="00D5456C" w:rsidRPr="00CF51ED" w:rsidRDefault="00D5456C" w:rsidP="00D5456C">
      <w:pPr>
        <w:pStyle w:val="Paragrdouble"/>
        <w:numPr>
          <w:ilvl w:val="0"/>
          <w:numId w:val="0"/>
        </w:numPr>
        <w:spacing w:line="240" w:lineRule="auto"/>
      </w:pPr>
    </w:p>
    <w:p w14:paraId="261EECA1" w14:textId="77777777" w:rsidR="00CF51ED" w:rsidRPr="000D65CC" w:rsidRDefault="00007687" w:rsidP="000D65CC">
      <w:pPr>
        <w:rPr>
          <w:b/>
          <w:bCs/>
        </w:rPr>
      </w:pPr>
      <w:bookmarkStart w:id="61" w:name="_Toc430945548"/>
      <w:r w:rsidRPr="000D65CC">
        <w:rPr>
          <w:b/>
          <w:bCs/>
        </w:rPr>
        <w:t xml:space="preserve">POUR CES MOTIFS, </w:t>
      </w:r>
      <w:r w:rsidR="008A4532" w:rsidRPr="000D65CC">
        <w:rPr>
          <w:b/>
          <w:bCs/>
        </w:rPr>
        <w:t>LE TRIBUNAL :</w:t>
      </w:r>
      <w:bookmarkEnd w:id="61"/>
    </w:p>
    <w:p w14:paraId="261EECA4" w14:textId="5F62123F" w:rsidR="00CF51ED" w:rsidRPr="00CF51ED" w:rsidRDefault="00A86219" w:rsidP="00A02BD4">
      <w:pPr>
        <w:pStyle w:val="Paragrdouble"/>
        <w:spacing w:line="240" w:lineRule="auto"/>
      </w:pPr>
      <w:r w:rsidRPr="3B6B4641">
        <w:rPr>
          <w:b/>
          <w:bCs/>
        </w:rPr>
        <w:t>REJETTE</w:t>
      </w:r>
      <w:r>
        <w:t xml:space="preserve"> la </w:t>
      </w:r>
      <w:r w:rsidR="216C5FB5">
        <w:t>demande</w:t>
      </w:r>
      <w:r>
        <w:t xml:space="preserve"> introductive des demandeurs;</w:t>
      </w:r>
    </w:p>
    <w:p w14:paraId="261EECA6" w14:textId="7829C370" w:rsidR="00CF51ED" w:rsidRPr="00CF51ED" w:rsidRDefault="007D6689" w:rsidP="00D26929">
      <w:pPr>
        <w:pStyle w:val="Paragrdouble"/>
        <w:spacing w:line="240" w:lineRule="auto"/>
      </w:pPr>
      <w:r w:rsidRPr="3B6B4641">
        <w:rPr>
          <w:b/>
          <w:bCs/>
        </w:rPr>
        <w:t>LE TOUT</w:t>
      </w:r>
      <w:r>
        <w:t xml:space="preserve">, </w:t>
      </w:r>
      <w:r w:rsidR="0016287A">
        <w:t>avec les</w:t>
      </w:r>
      <w:r>
        <w:t xml:space="preserve"> frais de justice.</w:t>
      </w:r>
    </w:p>
    <w:tbl>
      <w:tblPr>
        <w:tblW w:w="9505" w:type="dxa"/>
        <w:tblLayout w:type="fixed"/>
        <w:tblCellMar>
          <w:left w:w="70" w:type="dxa"/>
          <w:right w:w="70" w:type="dxa"/>
        </w:tblCellMar>
        <w:tblLook w:val="0000" w:firstRow="0" w:lastRow="0" w:firstColumn="0" w:lastColumn="0" w:noHBand="0" w:noVBand="0"/>
      </w:tblPr>
      <w:tblGrid>
        <w:gridCol w:w="2197"/>
        <w:gridCol w:w="2670"/>
        <w:gridCol w:w="4638"/>
      </w:tblGrid>
      <w:tr w:rsidR="00121A72" w14:paraId="261EECA8" w14:textId="77777777" w:rsidTr="00BA153A">
        <w:trPr>
          <w:trHeight w:val="576"/>
        </w:trPr>
        <w:tc>
          <w:tcPr>
            <w:tcW w:w="9505" w:type="dxa"/>
            <w:gridSpan w:val="3"/>
          </w:tcPr>
          <w:p w14:paraId="261EECA7" w14:textId="77777777" w:rsidR="00121A72" w:rsidRDefault="00121A72" w:rsidP="00D26929">
            <w:pPr>
              <w:keepNext/>
              <w:keepLines/>
            </w:pPr>
          </w:p>
        </w:tc>
      </w:tr>
      <w:tr w:rsidR="00A86219" w14:paraId="18C93E34" w14:textId="77777777" w:rsidTr="00BA153A">
        <w:trPr>
          <w:trHeight w:val="576"/>
        </w:trPr>
        <w:tc>
          <w:tcPr>
            <w:tcW w:w="9505" w:type="dxa"/>
            <w:gridSpan w:val="3"/>
          </w:tcPr>
          <w:p w14:paraId="19BD9351" w14:textId="77777777" w:rsidR="00A86219" w:rsidRDefault="00A86219" w:rsidP="00D26929">
            <w:pPr>
              <w:keepNext/>
              <w:keepLines/>
            </w:pPr>
          </w:p>
        </w:tc>
      </w:tr>
      <w:tr w:rsidR="00121A72" w:rsidRPr="00F4770B" w14:paraId="261EECAB" w14:textId="77777777" w:rsidTr="00A86219">
        <w:tblPrEx>
          <w:tblCellMar>
            <w:left w:w="0" w:type="dxa"/>
            <w:right w:w="0" w:type="dxa"/>
          </w:tblCellMar>
        </w:tblPrEx>
        <w:trPr>
          <w:cantSplit/>
        </w:trPr>
        <w:tc>
          <w:tcPr>
            <w:tcW w:w="4867" w:type="dxa"/>
            <w:gridSpan w:val="2"/>
          </w:tcPr>
          <w:p w14:paraId="261EECA9" w14:textId="77777777" w:rsidR="00121A72" w:rsidRDefault="00121A72" w:rsidP="00D26929"/>
        </w:tc>
        <w:tc>
          <w:tcPr>
            <w:tcW w:w="4638" w:type="dxa"/>
          </w:tcPr>
          <w:p w14:paraId="261EECAA" w14:textId="5EEF1095" w:rsidR="00121A72" w:rsidRPr="00F4770B" w:rsidRDefault="007D6689" w:rsidP="00F87BB5">
            <w:pPr>
              <w:pStyle w:val="zSoquijdatSignature3Juge"/>
              <w:spacing w:before="120"/>
            </w:pPr>
            <w:r w:rsidRPr="00610FD8">
              <w:rPr>
                <w:b/>
                <w:caps/>
              </w:rPr>
              <w:t xml:space="preserve">clément samson, </w:t>
            </w:r>
            <w:r w:rsidRPr="006E4D48">
              <w:rPr>
                <w:b/>
              </w:rPr>
              <w:t>j.c.s.</w:t>
            </w:r>
          </w:p>
        </w:tc>
      </w:tr>
      <w:tr w:rsidR="00121A72" w:rsidRPr="00F4770B" w14:paraId="261EECAD" w14:textId="77777777" w:rsidTr="00BA153A">
        <w:tc>
          <w:tcPr>
            <w:tcW w:w="9505" w:type="dxa"/>
            <w:gridSpan w:val="3"/>
          </w:tcPr>
          <w:p w14:paraId="261EECAC" w14:textId="77777777" w:rsidR="00121A72" w:rsidRPr="00F4770B" w:rsidRDefault="00121A72" w:rsidP="00D26929"/>
        </w:tc>
      </w:tr>
      <w:tr w:rsidR="00121A72" w14:paraId="261EECAF" w14:textId="77777777" w:rsidTr="00BA153A">
        <w:trPr>
          <w:cantSplit/>
        </w:trPr>
        <w:tc>
          <w:tcPr>
            <w:tcW w:w="9505" w:type="dxa"/>
            <w:gridSpan w:val="3"/>
          </w:tcPr>
          <w:p w14:paraId="53E76264" w14:textId="77777777" w:rsidR="00121A72" w:rsidRDefault="0059293B" w:rsidP="00D26929">
            <w:pPr>
              <w:pStyle w:val="zSoquijdatNomProcureurDem"/>
              <w:rPr>
                <w:b/>
                <w:bCs/>
              </w:rPr>
            </w:pPr>
            <w:r w:rsidRPr="0059293B">
              <w:rPr>
                <w:b/>
                <w:bCs/>
              </w:rPr>
              <w:t>M</w:t>
            </w:r>
            <w:r w:rsidRPr="0059293B">
              <w:rPr>
                <w:b/>
                <w:bCs/>
                <w:vertAlign w:val="superscript"/>
              </w:rPr>
              <w:t>e</w:t>
            </w:r>
            <w:r w:rsidRPr="0059293B">
              <w:rPr>
                <w:b/>
                <w:bCs/>
              </w:rPr>
              <w:t xml:space="preserve"> </w:t>
            </w:r>
            <w:r w:rsidR="00125D0D">
              <w:rPr>
                <w:b/>
                <w:bCs/>
              </w:rPr>
              <w:t>Guy Bertrand</w:t>
            </w:r>
          </w:p>
          <w:p w14:paraId="261EECAE" w14:textId="5363FBB1" w:rsidR="00E96F45" w:rsidRPr="00125D0D" w:rsidRDefault="00125D0D" w:rsidP="790444E9">
            <w:pPr>
              <w:pStyle w:val="zSoquijdatNomProcureurDem"/>
              <w:spacing w:line="259" w:lineRule="auto"/>
              <w:rPr>
                <w:b/>
                <w:bCs/>
              </w:rPr>
            </w:pPr>
            <w:r w:rsidRPr="0059293B">
              <w:rPr>
                <w:b/>
                <w:bCs/>
              </w:rPr>
              <w:t>M</w:t>
            </w:r>
            <w:r w:rsidRPr="0059293B">
              <w:rPr>
                <w:b/>
                <w:bCs/>
                <w:vertAlign w:val="superscript"/>
              </w:rPr>
              <w:t>e</w:t>
            </w:r>
            <w:r>
              <w:rPr>
                <w:b/>
                <w:bCs/>
                <w:vertAlign w:val="superscript"/>
              </w:rPr>
              <w:t xml:space="preserve"> </w:t>
            </w:r>
            <w:r>
              <w:rPr>
                <w:b/>
                <w:bCs/>
              </w:rPr>
              <w:t>Dominique Bertrand</w:t>
            </w:r>
          </w:p>
        </w:tc>
      </w:tr>
      <w:tr w:rsidR="00121A72" w14:paraId="261EECB1" w14:textId="77777777" w:rsidTr="00BA153A">
        <w:trPr>
          <w:cantSplit/>
        </w:trPr>
        <w:tc>
          <w:tcPr>
            <w:tcW w:w="9505" w:type="dxa"/>
            <w:gridSpan w:val="3"/>
          </w:tcPr>
          <w:p w14:paraId="261EECB0" w14:textId="3EC99AFD" w:rsidR="00121A72" w:rsidRPr="0059293B" w:rsidRDefault="00125D0D" w:rsidP="00D26929">
            <w:pPr>
              <w:pStyle w:val="zSoquijdatCabinetProcureurDem"/>
              <w:rPr>
                <w:i/>
                <w:iCs/>
              </w:rPr>
            </w:pPr>
            <w:r>
              <w:rPr>
                <w:i/>
                <w:iCs/>
              </w:rPr>
              <w:t>Cabinet Guy Bertrand</w:t>
            </w:r>
          </w:p>
        </w:tc>
      </w:tr>
      <w:tr w:rsidR="00121A72" w14:paraId="261EECB3" w14:textId="77777777" w:rsidTr="00BA153A">
        <w:trPr>
          <w:cantSplit/>
        </w:trPr>
        <w:tc>
          <w:tcPr>
            <w:tcW w:w="9505" w:type="dxa"/>
            <w:gridSpan w:val="3"/>
          </w:tcPr>
          <w:p w14:paraId="66061276" w14:textId="59F50743" w:rsidR="00121A72" w:rsidRDefault="0059293B" w:rsidP="00BC48B9">
            <w:pPr>
              <w:pStyle w:val="zSoquijlblProcureurDem"/>
            </w:pPr>
            <w:r>
              <w:t>Courriel</w:t>
            </w:r>
            <w:r w:rsidR="00125D0D">
              <w:t>s</w:t>
            </w:r>
            <w:r>
              <w:t>:</w:t>
            </w:r>
            <w:r w:rsidR="00125D0D">
              <w:tab/>
            </w:r>
            <w:hyperlink r:id="rId25" w:history="1">
              <w:r w:rsidR="00A100C4">
                <w:rPr>
                  <w:rStyle w:val="Hyperlien"/>
                </w:rPr>
                <w:t>gbertrand@cabinetguybertrand.com</w:t>
              </w:r>
            </w:hyperlink>
          </w:p>
          <w:p w14:paraId="73B7D30A" w14:textId="1AACF3A9" w:rsidR="00125D0D" w:rsidRDefault="00125D0D" w:rsidP="00BC48B9">
            <w:pPr>
              <w:pStyle w:val="zSoquijlblProcureurDem"/>
              <w:rPr>
                <w:rStyle w:val="Hyperlien"/>
              </w:rPr>
            </w:pPr>
            <w:r>
              <w:tab/>
            </w:r>
            <w:r>
              <w:tab/>
            </w:r>
            <w:hyperlink r:id="rId26" w:history="1">
              <w:r w:rsidR="00A100C4">
                <w:rPr>
                  <w:rStyle w:val="Hyperlien"/>
                </w:rPr>
                <w:t>dbertrand@cabinetguybertrand.com</w:t>
              </w:r>
            </w:hyperlink>
          </w:p>
          <w:p w14:paraId="261EECB2" w14:textId="0C7B843A" w:rsidR="00E96F45" w:rsidRDefault="00E96F45" w:rsidP="00BC48B9">
            <w:pPr>
              <w:pStyle w:val="zSoquijlblProcureurDem"/>
            </w:pPr>
          </w:p>
        </w:tc>
      </w:tr>
      <w:tr w:rsidR="00121A72" w:rsidRPr="00BC48B9" w14:paraId="261EECB5" w14:textId="77777777" w:rsidTr="00BA153A">
        <w:trPr>
          <w:cantSplit/>
        </w:trPr>
        <w:tc>
          <w:tcPr>
            <w:tcW w:w="9505" w:type="dxa"/>
            <w:gridSpan w:val="3"/>
          </w:tcPr>
          <w:p w14:paraId="261EECB4" w14:textId="0E624C3F" w:rsidR="00121A72" w:rsidRPr="0059293B" w:rsidRDefault="0059293B" w:rsidP="00D26929">
            <w:pPr>
              <w:rPr>
                <w:iCs/>
              </w:rPr>
            </w:pPr>
            <w:r w:rsidRPr="0059293B">
              <w:rPr>
                <w:iCs/>
              </w:rPr>
              <w:t xml:space="preserve">Avocats pour </w:t>
            </w:r>
            <w:r w:rsidR="00F87BB5">
              <w:rPr>
                <w:iCs/>
              </w:rPr>
              <w:t>les demandeurs</w:t>
            </w:r>
          </w:p>
        </w:tc>
      </w:tr>
      <w:tr w:rsidR="00896D6A" w14:paraId="0E1FEE92" w14:textId="77777777" w:rsidTr="00BA153A">
        <w:trPr>
          <w:cantSplit/>
        </w:trPr>
        <w:tc>
          <w:tcPr>
            <w:tcW w:w="9505" w:type="dxa"/>
            <w:gridSpan w:val="3"/>
          </w:tcPr>
          <w:p w14:paraId="43C8EC59" w14:textId="77777777" w:rsidR="00896D6A" w:rsidRDefault="00896D6A" w:rsidP="00D26929"/>
        </w:tc>
      </w:tr>
      <w:tr w:rsidR="0059293B" w14:paraId="5287018F" w14:textId="77777777" w:rsidTr="00BA153A">
        <w:trPr>
          <w:cantSplit/>
        </w:trPr>
        <w:tc>
          <w:tcPr>
            <w:tcW w:w="9505" w:type="dxa"/>
            <w:gridSpan w:val="3"/>
          </w:tcPr>
          <w:p w14:paraId="2210EF98" w14:textId="013E70AD" w:rsidR="0059293B" w:rsidRDefault="0059293B" w:rsidP="0059293B">
            <w:pPr>
              <w:rPr>
                <w:b/>
                <w:bCs/>
              </w:rPr>
            </w:pPr>
          </w:p>
          <w:p w14:paraId="36220783" w14:textId="07F24E57" w:rsidR="00125D0D" w:rsidRPr="00125D0D" w:rsidRDefault="00125D0D" w:rsidP="0059293B">
            <w:r w:rsidRPr="0059293B">
              <w:rPr>
                <w:b/>
                <w:bCs/>
              </w:rPr>
              <w:t>M</w:t>
            </w:r>
            <w:r w:rsidRPr="0059293B">
              <w:rPr>
                <w:b/>
                <w:bCs/>
                <w:vertAlign w:val="superscript"/>
              </w:rPr>
              <w:t>e</w:t>
            </w:r>
            <w:r>
              <w:rPr>
                <w:b/>
                <w:bCs/>
                <w:vertAlign w:val="superscript"/>
              </w:rPr>
              <w:t xml:space="preserve"> </w:t>
            </w:r>
            <w:r>
              <w:rPr>
                <w:b/>
                <w:bCs/>
              </w:rPr>
              <w:t>Marc DesRosiers</w:t>
            </w:r>
          </w:p>
        </w:tc>
      </w:tr>
      <w:tr w:rsidR="0059293B" w14:paraId="261EECB7" w14:textId="77777777" w:rsidTr="00BA153A">
        <w:trPr>
          <w:cantSplit/>
        </w:trPr>
        <w:tc>
          <w:tcPr>
            <w:tcW w:w="9505" w:type="dxa"/>
            <w:gridSpan w:val="3"/>
          </w:tcPr>
          <w:p w14:paraId="5B353B2F" w14:textId="77777777" w:rsidR="00C55EB2" w:rsidRDefault="00C55EB2" w:rsidP="0059293B">
            <w:pPr>
              <w:pStyle w:val="zSoquijdatNomProcureurDef"/>
              <w:rPr>
                <w:i/>
                <w:iCs/>
              </w:rPr>
            </w:pPr>
            <w:r w:rsidRPr="0059293B">
              <w:rPr>
                <w:b/>
                <w:bCs/>
              </w:rPr>
              <w:t>M</w:t>
            </w:r>
            <w:r w:rsidRPr="0059293B">
              <w:rPr>
                <w:b/>
                <w:bCs/>
                <w:vertAlign w:val="superscript"/>
              </w:rPr>
              <w:t>e</w:t>
            </w:r>
            <w:r w:rsidRPr="0059293B">
              <w:rPr>
                <w:b/>
                <w:bCs/>
              </w:rPr>
              <w:t xml:space="preserve"> </w:t>
            </w:r>
            <w:r>
              <w:rPr>
                <w:b/>
                <w:bCs/>
              </w:rPr>
              <w:t>Kathy Lévesque</w:t>
            </w:r>
            <w:r>
              <w:rPr>
                <w:i/>
                <w:iCs/>
              </w:rPr>
              <w:t xml:space="preserve"> </w:t>
            </w:r>
          </w:p>
          <w:p w14:paraId="261EECB6" w14:textId="3B19789F" w:rsidR="0059293B" w:rsidRDefault="00125D0D" w:rsidP="0059293B">
            <w:pPr>
              <w:pStyle w:val="zSoquijdatNomProcureurDef"/>
            </w:pPr>
            <w:r>
              <w:rPr>
                <w:i/>
                <w:iCs/>
              </w:rPr>
              <w:t>Giasson et associés (Ville de Québec)</w:t>
            </w:r>
          </w:p>
        </w:tc>
      </w:tr>
      <w:tr w:rsidR="0059293B" w:rsidRPr="00BC48B9" w14:paraId="261EECB9" w14:textId="77777777" w:rsidTr="00BA153A">
        <w:trPr>
          <w:cantSplit/>
        </w:trPr>
        <w:tc>
          <w:tcPr>
            <w:tcW w:w="9505" w:type="dxa"/>
            <w:gridSpan w:val="3"/>
          </w:tcPr>
          <w:p w14:paraId="1D56B340" w14:textId="0ABDF991" w:rsidR="00D5456C" w:rsidRDefault="0059293B" w:rsidP="00C43884">
            <w:pPr>
              <w:pStyle w:val="zSoquijdatCabinetProcureurDef"/>
              <w:rPr>
                <w:rStyle w:val="Hyperlien"/>
              </w:rPr>
            </w:pPr>
            <w:r>
              <w:t>Courriel</w:t>
            </w:r>
            <w:r w:rsidR="00125D0D">
              <w:t>s</w:t>
            </w:r>
            <w:r>
              <w:t>:</w:t>
            </w:r>
            <w:r w:rsidR="00125D0D">
              <w:tab/>
            </w:r>
            <w:hyperlink r:id="rId27" w:history="1">
              <w:r w:rsidR="00A100C4">
                <w:rPr>
                  <w:rStyle w:val="Hyperlien"/>
                </w:rPr>
                <w:t>marc.desrosiers@ville.quebec.qc.ca</w:t>
              </w:r>
            </w:hyperlink>
          </w:p>
          <w:p w14:paraId="261EECB8" w14:textId="0B1C92E0" w:rsidR="0059293B" w:rsidRPr="00D5456C" w:rsidRDefault="00D5456C" w:rsidP="00C43884">
            <w:pPr>
              <w:pStyle w:val="zSoquijdatCabinetProcureurDef"/>
            </w:pPr>
            <w:r>
              <w:t xml:space="preserve">                      </w:t>
            </w:r>
            <w:hyperlink r:id="rId28" w:history="1">
              <w:r w:rsidR="00A100C4">
                <w:rPr>
                  <w:rStyle w:val="Hyperlien"/>
                </w:rPr>
                <w:t>kathy.levesque@ville.quebec.qc.ca</w:t>
              </w:r>
            </w:hyperlink>
          </w:p>
        </w:tc>
      </w:tr>
      <w:tr w:rsidR="0059293B" w14:paraId="261EECBB" w14:textId="77777777" w:rsidTr="00BA153A">
        <w:trPr>
          <w:cantSplit/>
        </w:trPr>
        <w:tc>
          <w:tcPr>
            <w:tcW w:w="9505" w:type="dxa"/>
            <w:gridSpan w:val="3"/>
          </w:tcPr>
          <w:p w14:paraId="261EECBA" w14:textId="7B82547D" w:rsidR="0059293B" w:rsidRDefault="0059293B" w:rsidP="0059293B">
            <w:pPr>
              <w:pStyle w:val="zSoquijlblProcureurDef"/>
            </w:pPr>
            <w:r w:rsidRPr="0059293B">
              <w:rPr>
                <w:iCs/>
              </w:rPr>
              <w:t xml:space="preserve">Avocats pour </w:t>
            </w:r>
            <w:r w:rsidR="00F87BB5">
              <w:rPr>
                <w:iCs/>
              </w:rPr>
              <w:t>les défendeurs</w:t>
            </w:r>
            <w:r w:rsidR="00C43884">
              <w:rPr>
                <w:iCs/>
              </w:rPr>
              <w:t xml:space="preserve"> Ville de Québec et C</w:t>
            </w:r>
            <w:r w:rsidR="00C43884" w:rsidRPr="00C43884">
              <w:rPr>
                <w:iCs/>
              </w:rPr>
              <w:t xml:space="preserve">onseil d'agglomération de la </w:t>
            </w:r>
            <w:r w:rsidR="00C43884">
              <w:rPr>
                <w:iCs/>
              </w:rPr>
              <w:t>V</w:t>
            </w:r>
            <w:r w:rsidR="00C43884" w:rsidRPr="00C43884">
              <w:rPr>
                <w:iCs/>
              </w:rPr>
              <w:t>ille de Québec</w:t>
            </w:r>
          </w:p>
        </w:tc>
      </w:tr>
      <w:tr w:rsidR="00125D0D" w14:paraId="4205CB57" w14:textId="77777777" w:rsidTr="00BA153A">
        <w:trPr>
          <w:cantSplit/>
        </w:trPr>
        <w:tc>
          <w:tcPr>
            <w:tcW w:w="9505" w:type="dxa"/>
            <w:gridSpan w:val="3"/>
          </w:tcPr>
          <w:p w14:paraId="694CCA9D" w14:textId="77777777" w:rsidR="00125D0D" w:rsidRPr="0059293B" w:rsidRDefault="00125D0D" w:rsidP="0059293B">
            <w:pPr>
              <w:pStyle w:val="zSoquijlblProcureurDef"/>
              <w:rPr>
                <w:iCs/>
              </w:rPr>
            </w:pPr>
          </w:p>
        </w:tc>
      </w:tr>
      <w:tr w:rsidR="00125D0D" w14:paraId="4529821C" w14:textId="77777777" w:rsidTr="00BA153A">
        <w:trPr>
          <w:cantSplit/>
        </w:trPr>
        <w:tc>
          <w:tcPr>
            <w:tcW w:w="9505" w:type="dxa"/>
            <w:gridSpan w:val="3"/>
          </w:tcPr>
          <w:p w14:paraId="442F992F" w14:textId="77777777" w:rsidR="00125D0D" w:rsidRPr="00402E65" w:rsidRDefault="00125D0D" w:rsidP="00125D0D">
            <w:pPr>
              <w:pStyle w:val="zSoquijlblProcureurDef"/>
              <w:rPr>
                <w:b/>
                <w:iCs/>
              </w:rPr>
            </w:pPr>
            <w:r w:rsidRPr="00402E65">
              <w:rPr>
                <w:b/>
                <w:iCs/>
              </w:rPr>
              <w:t>M</w:t>
            </w:r>
            <w:r w:rsidRPr="00402E65">
              <w:rPr>
                <w:b/>
                <w:iCs/>
                <w:vertAlign w:val="superscript"/>
              </w:rPr>
              <w:t>e</w:t>
            </w:r>
            <w:r w:rsidRPr="00402E65">
              <w:rPr>
                <w:b/>
                <w:iCs/>
              </w:rPr>
              <w:t xml:space="preserve"> Gabrielle Ferland-Gagnon</w:t>
            </w:r>
          </w:p>
          <w:p w14:paraId="6F060DAE" w14:textId="77777777" w:rsidR="00125D0D" w:rsidRDefault="00125D0D" w:rsidP="00125D0D">
            <w:pPr>
              <w:pStyle w:val="zSoquijlblProcureurDef"/>
              <w:rPr>
                <w:b/>
                <w:iCs/>
              </w:rPr>
            </w:pPr>
            <w:r w:rsidRPr="00402E65">
              <w:rPr>
                <w:b/>
                <w:iCs/>
              </w:rPr>
              <w:t>M</w:t>
            </w:r>
            <w:r w:rsidRPr="00402E65">
              <w:rPr>
                <w:b/>
                <w:iCs/>
                <w:vertAlign w:val="superscript"/>
              </w:rPr>
              <w:t>e</w:t>
            </w:r>
            <w:r w:rsidRPr="00402E65">
              <w:rPr>
                <w:b/>
                <w:iCs/>
              </w:rPr>
              <w:t xml:space="preserve"> </w:t>
            </w:r>
            <w:r w:rsidR="00402E65" w:rsidRPr="00402E65">
              <w:rPr>
                <w:b/>
                <w:iCs/>
              </w:rPr>
              <w:t>Camille Guay-Bilodeau</w:t>
            </w:r>
          </w:p>
          <w:p w14:paraId="580A609E" w14:textId="19172237" w:rsidR="00093090" w:rsidRDefault="00093090" w:rsidP="00125D0D">
            <w:pPr>
              <w:pStyle w:val="zSoquijlblProcureurDef"/>
              <w:rPr>
                <w:b/>
                <w:iCs/>
              </w:rPr>
            </w:pPr>
            <w:r>
              <w:rPr>
                <w:b/>
                <w:iCs/>
              </w:rPr>
              <w:t>M</w:t>
            </w:r>
            <w:r w:rsidR="00B3166C">
              <w:rPr>
                <w:rFonts w:ascii="Arial Gras" w:hAnsi="Arial Gras"/>
                <w:b/>
                <w:iCs/>
                <w:vertAlign w:val="superscript"/>
              </w:rPr>
              <w:t>e</w:t>
            </w:r>
            <w:r>
              <w:rPr>
                <w:b/>
                <w:iCs/>
              </w:rPr>
              <w:t xml:space="preserve"> Charles Moreau</w:t>
            </w:r>
          </w:p>
          <w:p w14:paraId="43378D03" w14:textId="3980EA2F" w:rsidR="00125D0D" w:rsidRPr="00402E65" w:rsidRDefault="001E7576" w:rsidP="00125D0D">
            <w:pPr>
              <w:pStyle w:val="zSoquijlblProcureurDef"/>
              <w:rPr>
                <w:b/>
                <w:iCs/>
                <w:highlight w:val="yellow"/>
              </w:rPr>
            </w:pPr>
            <w:r>
              <w:rPr>
                <w:b/>
                <w:iCs/>
              </w:rPr>
              <w:t>M</w:t>
            </w:r>
            <w:r w:rsidRPr="00B3166C">
              <w:rPr>
                <w:rFonts w:ascii="Arial Gras" w:hAnsi="Arial Gras"/>
                <w:b/>
                <w:iCs/>
                <w:vertAlign w:val="superscript"/>
              </w:rPr>
              <w:t>e</w:t>
            </w:r>
            <w:r>
              <w:rPr>
                <w:b/>
                <w:iCs/>
              </w:rPr>
              <w:t xml:space="preserve"> Bruno Sylvestre</w:t>
            </w:r>
          </w:p>
        </w:tc>
      </w:tr>
      <w:tr w:rsidR="00C43884" w14:paraId="18EACC94" w14:textId="77777777" w:rsidTr="00BA153A">
        <w:trPr>
          <w:cantSplit/>
        </w:trPr>
        <w:tc>
          <w:tcPr>
            <w:tcW w:w="9505" w:type="dxa"/>
            <w:gridSpan w:val="3"/>
          </w:tcPr>
          <w:p w14:paraId="03B02E3F" w14:textId="64F17B4D" w:rsidR="00C43884" w:rsidRPr="0059293B" w:rsidRDefault="00C43884" w:rsidP="00C43884">
            <w:pPr>
              <w:pStyle w:val="zSoquijlblProcureurDef"/>
              <w:rPr>
                <w:iCs/>
              </w:rPr>
            </w:pPr>
            <w:r>
              <w:rPr>
                <w:i/>
                <w:iCs/>
              </w:rPr>
              <w:t>Lavoie Rousseau (Justice-Québec)</w:t>
            </w:r>
          </w:p>
        </w:tc>
      </w:tr>
      <w:tr w:rsidR="00C43884" w14:paraId="57D6E709" w14:textId="77777777" w:rsidTr="00BA153A">
        <w:trPr>
          <w:cantSplit/>
        </w:trPr>
        <w:tc>
          <w:tcPr>
            <w:tcW w:w="9505" w:type="dxa"/>
            <w:gridSpan w:val="3"/>
          </w:tcPr>
          <w:p w14:paraId="597E9539" w14:textId="1A85F943" w:rsidR="00C27820" w:rsidRDefault="00C43884" w:rsidP="00C27820">
            <w:pPr>
              <w:pStyle w:val="zSoquijdatCabinetProcureurDef"/>
            </w:pPr>
            <w:r>
              <w:t>Courriels:</w:t>
            </w:r>
            <w:r>
              <w:tab/>
            </w:r>
            <w:hyperlink r:id="rId29" w:history="1">
              <w:r w:rsidR="00A100C4">
                <w:rPr>
                  <w:rStyle w:val="Hyperlien"/>
                </w:rPr>
                <w:t>gabrielle.ferland-gagnon@justice.gouv.qc.ca</w:t>
              </w:r>
            </w:hyperlink>
          </w:p>
          <w:p w14:paraId="682F9F18" w14:textId="59A41E01" w:rsidR="00C27820" w:rsidRDefault="00C27820" w:rsidP="00C27820">
            <w:pPr>
              <w:pStyle w:val="zSoquijdatCabinetProcureurDef"/>
            </w:pPr>
            <w:r>
              <w:t xml:space="preserve">                      </w:t>
            </w:r>
            <w:hyperlink r:id="rId30" w:history="1">
              <w:r w:rsidR="00A100C4">
                <w:rPr>
                  <w:rStyle w:val="Hyperlien"/>
                </w:rPr>
                <w:t>camille.guay-bilodeau@justice.gouv.qc.ca</w:t>
              </w:r>
            </w:hyperlink>
          </w:p>
          <w:p w14:paraId="05F7516F" w14:textId="4D6FCC4D" w:rsidR="00C27820" w:rsidRDefault="00C27820" w:rsidP="00C27820">
            <w:pPr>
              <w:pStyle w:val="zSoquijdatCabinetProcureurDef"/>
            </w:pPr>
            <w:r>
              <w:t xml:space="preserve">                      </w:t>
            </w:r>
            <w:hyperlink r:id="rId31" w:history="1">
              <w:r w:rsidR="00A100C4">
                <w:rPr>
                  <w:rStyle w:val="Hyperlien"/>
                </w:rPr>
                <w:t>charles.moreau@environnement.gouv.qc.ca</w:t>
              </w:r>
            </w:hyperlink>
          </w:p>
          <w:p w14:paraId="36FE60DE" w14:textId="1B42AA11" w:rsidR="00C43884" w:rsidRPr="0059293B" w:rsidRDefault="00C27820" w:rsidP="00C43884">
            <w:pPr>
              <w:pStyle w:val="zSoquijlblProcureurDef"/>
              <w:rPr>
                <w:iCs/>
              </w:rPr>
            </w:pPr>
            <w:r>
              <w:t xml:space="preserve">                      </w:t>
            </w:r>
            <w:hyperlink r:id="rId32" w:history="1">
              <w:r w:rsidR="00A100C4">
                <w:rPr>
                  <w:rStyle w:val="Hyperlien"/>
                </w:rPr>
                <w:t>bruno.sylvestre@environnement.gouv.qc.ca</w:t>
              </w:r>
            </w:hyperlink>
          </w:p>
        </w:tc>
      </w:tr>
      <w:tr w:rsidR="00C43884" w14:paraId="688E0C14" w14:textId="77777777" w:rsidTr="00BA153A">
        <w:trPr>
          <w:cantSplit/>
        </w:trPr>
        <w:tc>
          <w:tcPr>
            <w:tcW w:w="9505" w:type="dxa"/>
            <w:gridSpan w:val="3"/>
          </w:tcPr>
          <w:p w14:paraId="1100D8E9" w14:textId="7F1A83E1" w:rsidR="00C43884" w:rsidRPr="0059293B" w:rsidRDefault="00C43884" w:rsidP="00C43884">
            <w:pPr>
              <w:pStyle w:val="zSoquijlblProcureurDef"/>
              <w:rPr>
                <w:iCs/>
              </w:rPr>
            </w:pPr>
            <w:r w:rsidRPr="0059293B">
              <w:rPr>
                <w:iCs/>
              </w:rPr>
              <w:t xml:space="preserve">Avocats pour </w:t>
            </w:r>
            <w:r w:rsidR="00F87BB5">
              <w:rPr>
                <w:iCs/>
              </w:rPr>
              <w:t>le défendeur</w:t>
            </w:r>
            <w:r>
              <w:rPr>
                <w:iCs/>
              </w:rPr>
              <w:t xml:space="preserve"> Procureur général du Québec</w:t>
            </w:r>
          </w:p>
        </w:tc>
      </w:tr>
      <w:tr w:rsidR="00C43884" w14:paraId="2025E467" w14:textId="77777777" w:rsidTr="00BA153A">
        <w:trPr>
          <w:cantSplit/>
        </w:trPr>
        <w:tc>
          <w:tcPr>
            <w:tcW w:w="9505" w:type="dxa"/>
            <w:gridSpan w:val="3"/>
          </w:tcPr>
          <w:p w14:paraId="28D22017" w14:textId="77777777" w:rsidR="00C43884" w:rsidRPr="0059293B" w:rsidRDefault="00C43884" w:rsidP="00C43884">
            <w:pPr>
              <w:pStyle w:val="zSoquijlblProcureurDef"/>
              <w:rPr>
                <w:iCs/>
              </w:rPr>
            </w:pPr>
          </w:p>
        </w:tc>
      </w:tr>
      <w:tr w:rsidR="00C43884" w14:paraId="0DFC778E" w14:textId="77777777" w:rsidTr="00BA153A">
        <w:trPr>
          <w:cantSplit/>
        </w:trPr>
        <w:tc>
          <w:tcPr>
            <w:tcW w:w="9505" w:type="dxa"/>
            <w:gridSpan w:val="3"/>
          </w:tcPr>
          <w:p w14:paraId="771CB125" w14:textId="77777777" w:rsidR="00C43884" w:rsidRDefault="00C43884" w:rsidP="00C43884">
            <w:pPr>
              <w:rPr>
                <w:b/>
                <w:bCs/>
              </w:rPr>
            </w:pPr>
            <w:r w:rsidRPr="0059293B">
              <w:rPr>
                <w:b/>
                <w:bCs/>
              </w:rPr>
              <w:t>M</w:t>
            </w:r>
            <w:r w:rsidRPr="00312275">
              <w:rPr>
                <w:b/>
                <w:bCs/>
                <w:vertAlign w:val="superscript"/>
              </w:rPr>
              <w:t>e</w:t>
            </w:r>
            <w:r w:rsidRPr="0059293B">
              <w:rPr>
                <w:b/>
                <w:bCs/>
              </w:rPr>
              <w:t xml:space="preserve"> </w:t>
            </w:r>
            <w:r>
              <w:rPr>
                <w:b/>
                <w:bCs/>
              </w:rPr>
              <w:t>Jean-Marcel Seck</w:t>
            </w:r>
          </w:p>
          <w:p w14:paraId="2EDA7663" w14:textId="128381B4" w:rsidR="00455B5D" w:rsidRPr="00C43884" w:rsidRDefault="00455B5D" w:rsidP="00C43884">
            <w:pPr>
              <w:rPr>
                <w:b/>
                <w:bCs/>
              </w:rPr>
            </w:pPr>
            <w:r w:rsidRPr="00312275">
              <w:rPr>
                <w:b/>
                <w:bCs/>
              </w:rPr>
              <w:t>M</w:t>
            </w:r>
            <w:r w:rsidRPr="00053275">
              <w:rPr>
                <w:rFonts w:ascii="Arial Gras" w:hAnsi="Arial Gras"/>
                <w:b/>
                <w:bCs/>
                <w:vertAlign w:val="superscript"/>
              </w:rPr>
              <w:t>e</w:t>
            </w:r>
            <w:r w:rsidRPr="00312275">
              <w:rPr>
                <w:b/>
                <w:bCs/>
              </w:rPr>
              <w:t xml:space="preserve"> </w:t>
            </w:r>
            <w:r w:rsidR="00EE5135" w:rsidRPr="00312275">
              <w:rPr>
                <w:b/>
                <w:bCs/>
              </w:rPr>
              <w:t>Joshua Wilner</w:t>
            </w:r>
          </w:p>
        </w:tc>
      </w:tr>
      <w:tr w:rsidR="00C43884" w14:paraId="0C25AB56" w14:textId="77777777" w:rsidTr="00BA153A">
        <w:trPr>
          <w:cantSplit/>
        </w:trPr>
        <w:tc>
          <w:tcPr>
            <w:tcW w:w="9505" w:type="dxa"/>
            <w:gridSpan w:val="3"/>
          </w:tcPr>
          <w:p w14:paraId="2E5EF690" w14:textId="42ED2809" w:rsidR="00C43884" w:rsidRPr="0059293B" w:rsidRDefault="00C43884" w:rsidP="00C43884">
            <w:pPr>
              <w:pStyle w:val="zSoquijlblProcureurDef"/>
              <w:rPr>
                <w:iCs/>
              </w:rPr>
            </w:pPr>
            <w:r>
              <w:rPr>
                <w:rFonts w:cs="Arial"/>
                <w:i/>
                <w:iCs/>
              </w:rPr>
              <w:t>Ministère de la justice du Canada</w:t>
            </w:r>
          </w:p>
        </w:tc>
      </w:tr>
      <w:tr w:rsidR="00C43884" w14:paraId="08ACD27C" w14:textId="77777777" w:rsidTr="00BA153A">
        <w:trPr>
          <w:cantSplit/>
        </w:trPr>
        <w:tc>
          <w:tcPr>
            <w:tcW w:w="9505" w:type="dxa"/>
            <w:gridSpan w:val="3"/>
          </w:tcPr>
          <w:p w14:paraId="498D809B" w14:textId="28C36B41" w:rsidR="00C43884" w:rsidRDefault="00C43884" w:rsidP="00C43884">
            <w:pPr>
              <w:pStyle w:val="zSoquijlblProcureurDef"/>
              <w:rPr>
                <w:rStyle w:val="Hyperlien"/>
                <w:rFonts w:cs="Arial"/>
              </w:rPr>
            </w:pPr>
            <w:r>
              <w:rPr>
                <w:rFonts w:cs="Arial"/>
              </w:rPr>
              <w:t xml:space="preserve">Courriel: </w:t>
            </w:r>
            <w:r w:rsidR="00B93C85">
              <w:rPr>
                <w:rFonts w:cs="Arial"/>
              </w:rPr>
              <w:t xml:space="preserve">      </w:t>
            </w:r>
            <w:r>
              <w:rPr>
                <w:rFonts w:cs="Arial"/>
              </w:rPr>
              <w:t xml:space="preserve"> </w:t>
            </w:r>
            <w:hyperlink r:id="rId33" w:history="1">
              <w:r w:rsidR="00A100C4">
                <w:rPr>
                  <w:rStyle w:val="Hyperlien"/>
                  <w:rFonts w:cs="Arial"/>
                </w:rPr>
                <w:t>jean-marcel.seck@justice.gc.ca</w:t>
              </w:r>
            </w:hyperlink>
          </w:p>
          <w:p w14:paraId="18E0F1E6" w14:textId="5D6688A6" w:rsidR="008B207C" w:rsidRPr="0059293B" w:rsidRDefault="00312275" w:rsidP="00C43884">
            <w:pPr>
              <w:pStyle w:val="zSoquijlblProcureurDef"/>
              <w:rPr>
                <w:iCs/>
              </w:rPr>
            </w:pPr>
            <w:r>
              <w:rPr>
                <w:rStyle w:val="Hyperlien"/>
                <w:rFonts w:cs="Arial"/>
                <w:u w:val="none"/>
              </w:rPr>
              <w:t xml:space="preserve">               </w:t>
            </w:r>
            <w:r w:rsidR="00B93C85">
              <w:rPr>
                <w:rStyle w:val="Hyperlien"/>
                <w:rFonts w:cs="Arial"/>
                <w:u w:val="none"/>
              </w:rPr>
              <w:t xml:space="preserve">       </w:t>
            </w:r>
            <w:r>
              <w:rPr>
                <w:rStyle w:val="Hyperlien"/>
                <w:rFonts w:cs="Arial"/>
              </w:rPr>
              <w:t>j</w:t>
            </w:r>
            <w:r w:rsidR="008B207C">
              <w:rPr>
                <w:rStyle w:val="Hyperlien"/>
                <w:rFonts w:cs="Arial"/>
              </w:rPr>
              <w:t>oshua.wilner@justice.g</w:t>
            </w:r>
            <w:r>
              <w:rPr>
                <w:rStyle w:val="Hyperlien"/>
                <w:rFonts w:cs="Arial"/>
              </w:rPr>
              <w:t>c</w:t>
            </w:r>
            <w:r w:rsidR="008B207C">
              <w:rPr>
                <w:rStyle w:val="Hyperlien"/>
                <w:rFonts w:cs="Arial"/>
              </w:rPr>
              <w:t>.ca</w:t>
            </w:r>
          </w:p>
        </w:tc>
      </w:tr>
      <w:tr w:rsidR="00C43884" w14:paraId="290B11FD" w14:textId="77777777" w:rsidTr="00BA153A">
        <w:trPr>
          <w:cantSplit/>
        </w:trPr>
        <w:tc>
          <w:tcPr>
            <w:tcW w:w="9505" w:type="dxa"/>
            <w:gridSpan w:val="3"/>
          </w:tcPr>
          <w:p w14:paraId="5EC0E481" w14:textId="75CA0585" w:rsidR="00C43884" w:rsidRPr="0059293B" w:rsidRDefault="00C43884" w:rsidP="00C43884">
            <w:pPr>
              <w:pStyle w:val="zSoquijlblProcureurDef"/>
              <w:rPr>
                <w:iCs/>
              </w:rPr>
            </w:pPr>
            <w:r w:rsidRPr="0059293B">
              <w:rPr>
                <w:iCs/>
              </w:rPr>
              <w:t xml:space="preserve">Avocats pour </w:t>
            </w:r>
            <w:r>
              <w:rPr>
                <w:iCs/>
              </w:rPr>
              <w:t xml:space="preserve">le mis en cause </w:t>
            </w:r>
          </w:p>
        </w:tc>
      </w:tr>
      <w:tr w:rsidR="00C43884" w14:paraId="2F1D3F06" w14:textId="77777777" w:rsidTr="00BA153A">
        <w:tc>
          <w:tcPr>
            <w:tcW w:w="9505" w:type="dxa"/>
            <w:gridSpan w:val="3"/>
          </w:tcPr>
          <w:p w14:paraId="57E2B3EC" w14:textId="77777777" w:rsidR="00C43884" w:rsidRDefault="00C43884" w:rsidP="00C43884"/>
        </w:tc>
      </w:tr>
      <w:tr w:rsidR="00C43884" w14:paraId="261EECC0" w14:textId="77777777" w:rsidTr="00BA153A">
        <w:tc>
          <w:tcPr>
            <w:tcW w:w="2197" w:type="dxa"/>
          </w:tcPr>
          <w:p w14:paraId="261EECBE" w14:textId="77777777" w:rsidR="00C43884" w:rsidRDefault="00C43884" w:rsidP="00C43884">
            <w:pPr>
              <w:pStyle w:val="zSoquijlblDateAudience"/>
            </w:pPr>
            <w:r>
              <w:t>Date d’audience :</w:t>
            </w:r>
          </w:p>
        </w:tc>
        <w:tc>
          <w:tcPr>
            <w:tcW w:w="7308" w:type="dxa"/>
            <w:gridSpan w:val="2"/>
          </w:tcPr>
          <w:p w14:paraId="261EECBF" w14:textId="483143A3" w:rsidR="003A0A11" w:rsidRDefault="005719FE" w:rsidP="002C22A4">
            <w:pPr>
              <w:pStyle w:val="zSoquijdatDateAudience"/>
            </w:pPr>
            <w:r>
              <w:t>5, 6, 7 et 8 décembre</w:t>
            </w:r>
            <w:r w:rsidR="00C43884">
              <w:t xml:space="preserve"> 2022</w:t>
            </w:r>
          </w:p>
        </w:tc>
      </w:tr>
    </w:tbl>
    <w:p w14:paraId="57311126" w14:textId="6B97BA82" w:rsidR="00C14F3C" w:rsidRPr="004426AA" w:rsidRDefault="00C14F3C" w:rsidP="002C22A4">
      <w:pPr>
        <w:pStyle w:val="Titre2"/>
        <w:numPr>
          <w:ilvl w:val="0"/>
          <w:numId w:val="0"/>
        </w:numPr>
      </w:pPr>
    </w:p>
    <w:sectPr w:rsidR="00C14F3C" w:rsidRPr="004426AA" w:rsidSect="00F94C29">
      <w:headerReference w:type="default" r:id="rId34"/>
      <w:footerReference w:type="even" r:id="rId35"/>
      <w:footnotePr>
        <w:numRestart w:val="eachSect"/>
      </w:footnotePr>
      <w:pgSz w:w="12242" w:h="15842" w:code="1"/>
      <w:pgMar w:top="1440" w:right="1009" w:bottom="1440" w:left="1871" w:header="1440"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4393" w14:textId="77777777" w:rsidR="00A510B3" w:rsidRDefault="00A510B3">
      <w:r>
        <w:separator/>
      </w:r>
    </w:p>
  </w:endnote>
  <w:endnote w:type="continuationSeparator" w:id="0">
    <w:p w14:paraId="0A50C84E" w14:textId="77777777" w:rsidR="00A510B3" w:rsidRDefault="00A510B3">
      <w:r>
        <w:continuationSeparator/>
      </w:r>
    </w:p>
  </w:endnote>
  <w:endnote w:type="continuationNotice" w:id="1">
    <w:p w14:paraId="04C6B3A5" w14:textId="77777777" w:rsidR="00A510B3" w:rsidRDefault="00A51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Gras">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ECD6" w14:textId="77777777" w:rsidR="00E96F45" w:rsidRDefault="00E96F45">
    <w:pPr>
      <w:framePr w:wrap="around" w:vAnchor="text" w:hAnchor="margin" w:xAlign="right" w:y="1"/>
    </w:pPr>
    <w:r>
      <w:fldChar w:fldCharType="begin"/>
    </w:r>
    <w:r>
      <w:instrText xml:space="preserve">PAGE  </w:instrText>
    </w:r>
    <w:r>
      <w:fldChar w:fldCharType="end"/>
    </w:r>
  </w:p>
  <w:p w14:paraId="261EECD7" w14:textId="77777777" w:rsidR="00E96F45" w:rsidRDefault="00E96F45">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A6F6" w14:textId="77777777" w:rsidR="00A510B3" w:rsidRDefault="00A510B3">
      <w:r>
        <w:separator/>
      </w:r>
    </w:p>
  </w:footnote>
  <w:footnote w:type="continuationSeparator" w:id="0">
    <w:p w14:paraId="511AA5A0" w14:textId="77777777" w:rsidR="00A510B3" w:rsidRDefault="00A510B3">
      <w:r>
        <w:continuationSeparator/>
      </w:r>
    </w:p>
  </w:footnote>
  <w:footnote w:type="continuationNotice" w:id="1">
    <w:p w14:paraId="66AEE639" w14:textId="77777777" w:rsidR="00A510B3" w:rsidRDefault="00A510B3"/>
  </w:footnote>
  <w:footnote w:id="2">
    <w:p w14:paraId="3F3B02DB" w14:textId="3778B403" w:rsidR="00EC39D9" w:rsidRDefault="00EC39D9">
      <w:pPr>
        <w:pStyle w:val="Notedebasdepage"/>
      </w:pPr>
      <w:r>
        <w:rPr>
          <w:rStyle w:val="Appelnotedebasdep"/>
        </w:rPr>
        <w:footnoteRef/>
      </w:r>
      <w:r>
        <w:t xml:space="preserve">  </w:t>
      </w:r>
      <w:r>
        <w:tab/>
        <w:t xml:space="preserve">Le présent jugement reprend </w:t>
      </w:r>
      <w:r w:rsidR="003F1640">
        <w:t>quelques</w:t>
      </w:r>
      <w:r>
        <w:t xml:space="preserve"> passages du jugement rendu le 21 juillet 2022 en regard d‘une demande d’injonction interlocutoire</w:t>
      </w:r>
      <w:r w:rsidR="00262C14">
        <w:t xml:space="preserve"> provisoire</w:t>
      </w:r>
      <w:r>
        <w:t>.</w:t>
      </w:r>
    </w:p>
  </w:footnote>
  <w:footnote w:id="3">
    <w:p w14:paraId="18E53FD0" w14:textId="37669188" w:rsidR="006B7C1D" w:rsidRDefault="006B7C1D">
      <w:pPr>
        <w:pStyle w:val="Notedebasdepage"/>
      </w:pPr>
      <w:r>
        <w:rPr>
          <w:rStyle w:val="Appelnotedebasdep"/>
        </w:rPr>
        <w:footnoteRef/>
      </w:r>
      <w:r>
        <w:t xml:space="preserve">  </w:t>
      </w:r>
      <w:r>
        <w:tab/>
        <w:t>Réseau de transport de la Capitale</w:t>
      </w:r>
      <w:r w:rsidR="00AB0371">
        <w:t xml:space="preserve"> (RTC)</w:t>
      </w:r>
      <w:r>
        <w:t>.</w:t>
      </w:r>
    </w:p>
  </w:footnote>
  <w:footnote w:id="4">
    <w:p w14:paraId="53F06842" w14:textId="63E35BCF" w:rsidR="00ED4913" w:rsidRDefault="00ED4913">
      <w:pPr>
        <w:pStyle w:val="Notedebasdepage"/>
      </w:pPr>
      <w:r>
        <w:rPr>
          <w:rStyle w:val="Appelnotedebasdep"/>
        </w:rPr>
        <w:footnoteRef/>
      </w:r>
      <w:r>
        <w:t xml:space="preserve">  </w:t>
      </w:r>
      <w:r>
        <w:tab/>
        <w:t>P-31.</w:t>
      </w:r>
    </w:p>
  </w:footnote>
  <w:footnote w:id="5">
    <w:p w14:paraId="0FA7ED81" w14:textId="46EFC4C2" w:rsidR="00DC602A" w:rsidRDefault="00DC602A">
      <w:pPr>
        <w:pStyle w:val="Notedebasdepage"/>
      </w:pPr>
      <w:r>
        <w:rPr>
          <w:rStyle w:val="Appelnotedebasdep"/>
        </w:rPr>
        <w:footnoteRef/>
      </w:r>
      <w:r>
        <w:t xml:space="preserve"> </w:t>
      </w:r>
      <w:r w:rsidR="006B7C1D">
        <w:t xml:space="preserve"> </w:t>
      </w:r>
      <w:r w:rsidR="006B7C1D">
        <w:tab/>
      </w:r>
      <w:r>
        <w:t>RLRQ, c. R-25.03.</w:t>
      </w:r>
    </w:p>
  </w:footnote>
  <w:footnote w:id="6">
    <w:p w14:paraId="64BEEEF9" w14:textId="6DFF95BC" w:rsidR="002F1DD3" w:rsidRDefault="002F1DD3">
      <w:pPr>
        <w:pStyle w:val="Notedebasdepage"/>
      </w:pPr>
      <w:r>
        <w:rPr>
          <w:rStyle w:val="Appelnotedebasdep"/>
        </w:rPr>
        <w:footnoteRef/>
      </w:r>
      <w:r>
        <w:t xml:space="preserve">  </w:t>
      </w:r>
      <w:r>
        <w:tab/>
        <w:t>RLRQ, c. Q-2.</w:t>
      </w:r>
    </w:p>
  </w:footnote>
  <w:footnote w:id="7">
    <w:p w14:paraId="5C453D70" w14:textId="05D407F9" w:rsidR="00211184" w:rsidRDefault="00211184">
      <w:pPr>
        <w:pStyle w:val="Notedebasdepage"/>
      </w:pPr>
      <w:r>
        <w:rPr>
          <w:rStyle w:val="Appelnotedebasdep"/>
        </w:rPr>
        <w:footnoteRef/>
      </w:r>
      <w:r>
        <w:t xml:space="preserve">  </w:t>
      </w:r>
      <w:r>
        <w:tab/>
        <w:t>P-35.</w:t>
      </w:r>
    </w:p>
  </w:footnote>
  <w:footnote w:id="8">
    <w:p w14:paraId="2F6EB3E4" w14:textId="276BD904" w:rsidR="00F04F7A" w:rsidRDefault="00F04F7A">
      <w:pPr>
        <w:pStyle w:val="Notedebasdepage"/>
      </w:pPr>
      <w:r>
        <w:rPr>
          <w:rStyle w:val="Appelnotedebasdep"/>
        </w:rPr>
        <w:footnoteRef/>
      </w:r>
      <w:r>
        <w:t xml:space="preserve">  </w:t>
      </w:r>
      <w:r>
        <w:tab/>
      </w:r>
      <w:r w:rsidRPr="00F04F7A">
        <w:t>(2022) 16 G.O. 11, 2221.</w:t>
      </w:r>
    </w:p>
  </w:footnote>
  <w:footnote w:id="9">
    <w:p w14:paraId="60F5D487" w14:textId="45A03297" w:rsidR="003F052F" w:rsidRDefault="003F052F">
      <w:pPr>
        <w:pStyle w:val="Notedebasdepage"/>
      </w:pPr>
      <w:r>
        <w:rPr>
          <w:rStyle w:val="Appelnotedebasdep"/>
        </w:rPr>
        <w:footnoteRef/>
      </w:r>
      <w:r>
        <w:t xml:space="preserve">  </w:t>
      </w:r>
      <w:r>
        <w:tab/>
        <w:t>Le conseil d’agglomération</w:t>
      </w:r>
      <w:r w:rsidR="00E4022E">
        <w:t xml:space="preserve">, formé de représentants des villes de Québec, l’Ancienne-Lorette et St-Augustin-de-Desmaures, </w:t>
      </w:r>
      <w:r w:rsidR="00E4515B">
        <w:t>ayant notamment pour responsabilité le transport en commun, est un organisme de la Ville</w:t>
      </w:r>
      <w:r w:rsidR="0095715E">
        <w:t xml:space="preserve">. </w:t>
      </w:r>
      <w:r w:rsidR="00BF4E9A">
        <w:t xml:space="preserve">Il </w:t>
      </w:r>
      <w:r w:rsidR="00082BC5">
        <w:t xml:space="preserve">a </w:t>
      </w:r>
      <w:r w:rsidR="00BF4E9A">
        <w:t>adopté le</w:t>
      </w:r>
      <w:r w:rsidR="0095715E">
        <w:t xml:space="preserve"> </w:t>
      </w:r>
      <w:r w:rsidR="08ECA469">
        <w:t>règlement</w:t>
      </w:r>
      <w:r w:rsidR="0095715E">
        <w:t xml:space="preserve"> </w:t>
      </w:r>
      <w:r w:rsidR="00BF4E9A">
        <w:t>d’urbanisme R.A.V.Q. 1349</w:t>
      </w:r>
      <w:r w:rsidR="00012F13">
        <w:t xml:space="preserve"> qui est contesté par les demandeurs.</w:t>
      </w:r>
    </w:p>
  </w:footnote>
  <w:footnote w:id="10">
    <w:p w14:paraId="787A6893" w14:textId="6470F431" w:rsidR="00A7487C" w:rsidRDefault="00A7487C">
      <w:pPr>
        <w:pStyle w:val="Notedebasdepage"/>
      </w:pPr>
      <w:r>
        <w:rPr>
          <w:rStyle w:val="Appelnotedebasdep"/>
        </w:rPr>
        <w:footnoteRef/>
      </w:r>
      <w:r>
        <w:t xml:space="preserve">  </w:t>
      </w:r>
      <w:r>
        <w:tab/>
        <w:t>Déclaration sous serment de Monsieur Daniel Genest, 14 juillet 2022, par. 15.</w:t>
      </w:r>
    </w:p>
  </w:footnote>
  <w:footnote w:id="11">
    <w:p w14:paraId="28E3089D" w14:textId="77777777" w:rsidR="00841AA3" w:rsidRPr="00770149" w:rsidRDefault="00841AA3" w:rsidP="00841AA3">
      <w:pPr>
        <w:pStyle w:val="Notedebasdepage"/>
      </w:pPr>
      <w:r>
        <w:rPr>
          <w:rStyle w:val="Appelnotedebasdep"/>
        </w:rPr>
        <w:footnoteRef/>
      </w:r>
      <w:r w:rsidRPr="00770149">
        <w:t xml:space="preserve">  </w:t>
      </w:r>
      <w:r w:rsidRPr="00770149">
        <w:tab/>
        <w:t>RLRQ, c. C-11.5.</w:t>
      </w:r>
    </w:p>
  </w:footnote>
  <w:footnote w:id="12">
    <w:p w14:paraId="5C1B4BED" w14:textId="33F149EF" w:rsidR="000D48EA" w:rsidRDefault="000D48EA" w:rsidP="000D48EA">
      <w:pPr>
        <w:pStyle w:val="Notedebasdepage"/>
      </w:pPr>
      <w:r>
        <w:rPr>
          <w:rStyle w:val="Appelnotedebasdep"/>
        </w:rPr>
        <w:footnoteRef/>
      </w:r>
      <w:r>
        <w:t xml:space="preserve">  </w:t>
      </w:r>
      <w:r>
        <w:tab/>
      </w:r>
      <w:r w:rsidRPr="00091BA8">
        <w:rPr>
          <w:i/>
          <w:iCs/>
        </w:rPr>
        <w:t>Charte canadienne des droits et libertés</w:t>
      </w:r>
      <w:r>
        <w:t xml:space="preserve">, adoptée sous le nom de </w:t>
      </w:r>
      <w:r w:rsidRPr="0055660B">
        <w:rPr>
          <w:i/>
          <w:iCs/>
        </w:rPr>
        <w:t>Loi de 1982 sur le Canada</w:t>
      </w:r>
      <w:r w:rsidRPr="00B43D61">
        <w:t>,</w:t>
      </w:r>
      <w:r w:rsidRPr="0055660B">
        <w:rPr>
          <w:b/>
          <w:bCs/>
        </w:rPr>
        <w:t xml:space="preserve"> </w:t>
      </w:r>
      <w:r w:rsidRPr="0055660B">
        <w:t>1982, ch. 11 (R.-U.), entrée en vigueur le 17 avril 1982</w:t>
      </w:r>
      <w:r>
        <w:t xml:space="preserve"> (ici appelée « </w:t>
      </w:r>
      <w:r w:rsidRPr="00B43D61">
        <w:t>Charte canadienne</w:t>
      </w:r>
      <w:r>
        <w:t xml:space="preserve"> »); </w:t>
      </w:r>
      <w:r w:rsidRPr="00091BA8">
        <w:rPr>
          <w:i/>
          <w:iCs/>
        </w:rPr>
        <w:t>Charte des droits et libertés de la personne</w:t>
      </w:r>
      <w:r>
        <w:t xml:space="preserve">, RLRQ, c. C-12 (ici appelée « </w:t>
      </w:r>
      <w:r w:rsidRPr="00B43D61">
        <w:t>Charte québécoise</w:t>
      </w:r>
      <w:r>
        <w:t xml:space="preserve"> »).</w:t>
      </w:r>
    </w:p>
  </w:footnote>
  <w:footnote w:id="13">
    <w:p w14:paraId="28337DED" w14:textId="4691F761" w:rsidR="007B67B0" w:rsidRDefault="007B67B0" w:rsidP="007B67B0">
      <w:pPr>
        <w:pStyle w:val="Notedebasdepage"/>
      </w:pPr>
      <w:r>
        <w:rPr>
          <w:rStyle w:val="Appelnotedebasdep"/>
        </w:rPr>
        <w:footnoteRef/>
      </w:r>
      <w:r>
        <w:t xml:space="preserve">  </w:t>
      </w:r>
      <w:r>
        <w:tab/>
        <w:t>Quant au décret 662-2022 prévoyant le financement des travaux préliminaires par le gouvernement québécois à hauteur de 124 millions de dollars, les parties ont convenu lors d’une conférence de gestion</w:t>
      </w:r>
      <w:r w:rsidR="00082BC5">
        <w:t>,</w:t>
      </w:r>
      <w:r>
        <w:t xml:space="preserve"> que, si le décret 655-2022 était déclaré nul, il ne serait pas nécessaire de se prononcer sur cet autre décret, car l’objectif visé par les demandeurs étant de mettre fin aux travaux préparatoires au projet de tramway, un</w:t>
      </w:r>
      <w:r w:rsidR="00466B00">
        <w:t>e</w:t>
      </w:r>
      <w:r>
        <w:t xml:space="preserve"> déclaration de nullité du décret 655-2022 suffirait.</w:t>
      </w:r>
    </w:p>
  </w:footnote>
  <w:footnote w:id="14">
    <w:p w14:paraId="37F1A431" w14:textId="3FDB5DE8" w:rsidR="00FF092D" w:rsidRDefault="00FF092D" w:rsidP="00FF092D">
      <w:pPr>
        <w:pStyle w:val="Notedebasdepage"/>
      </w:pPr>
      <w:r>
        <w:rPr>
          <w:rStyle w:val="Appelnotedebasdep"/>
        </w:rPr>
        <w:footnoteRef/>
      </w:r>
      <w:r>
        <w:t xml:space="preserve">  </w:t>
      </w:r>
      <w:r>
        <w:tab/>
        <w:t>RLRQ, c. E-18, r. 1</w:t>
      </w:r>
      <w:r w:rsidR="08ECA469">
        <w:t>.</w:t>
      </w:r>
    </w:p>
  </w:footnote>
  <w:footnote w:id="15">
    <w:p w14:paraId="0FCEECBD" w14:textId="29788089" w:rsidR="002811F0" w:rsidRDefault="002811F0">
      <w:pPr>
        <w:pStyle w:val="Notedebasdepage"/>
      </w:pPr>
      <w:r>
        <w:rPr>
          <w:rStyle w:val="Appelnotedebasdep"/>
        </w:rPr>
        <w:footnoteRef/>
      </w:r>
      <w:r>
        <w:t xml:space="preserve">  </w:t>
      </w:r>
      <w:r>
        <w:tab/>
      </w:r>
      <w:r w:rsidR="08ECA469">
        <w:t>L.Q.</w:t>
      </w:r>
      <w:r w:rsidR="00503122">
        <w:t xml:space="preserve"> 2017</w:t>
      </w:r>
      <w:r>
        <w:t>, c.</w:t>
      </w:r>
      <w:r w:rsidR="00503122">
        <w:t xml:space="preserve"> 13.</w:t>
      </w:r>
    </w:p>
  </w:footnote>
  <w:footnote w:id="16">
    <w:p w14:paraId="5A71B10A" w14:textId="77777777" w:rsidR="00965124" w:rsidRDefault="00965124" w:rsidP="00965124">
      <w:pPr>
        <w:pStyle w:val="Notedebasdepage"/>
      </w:pPr>
      <w:r>
        <w:rPr>
          <w:rStyle w:val="Appelnotedebasdep"/>
        </w:rPr>
        <w:footnoteRef/>
      </w:r>
      <w:r>
        <w:t xml:space="preserve">  </w:t>
      </w:r>
      <w:r>
        <w:tab/>
        <w:t>RLRQ, c. A-19.1, r. 0.1.</w:t>
      </w:r>
    </w:p>
  </w:footnote>
  <w:footnote w:id="17">
    <w:p w14:paraId="5483F2E1" w14:textId="6C7CB41D" w:rsidR="00E74655" w:rsidRDefault="00E74655">
      <w:pPr>
        <w:pStyle w:val="Notedebasdepage"/>
      </w:pPr>
      <w:r>
        <w:rPr>
          <w:rStyle w:val="Appelnotedebasdep"/>
        </w:rPr>
        <w:footnoteRef/>
      </w:r>
      <w:r>
        <w:t xml:space="preserve">  </w:t>
      </w:r>
      <w:r>
        <w:tab/>
        <w:t>Par exemple, dans la plaidoirie sur la</w:t>
      </w:r>
      <w:r w:rsidR="00732869">
        <w:t xml:space="preserve"> question 5, page 7, les demandeurs plaident à la fois le droit de l'expropriant de contester devant la Cour supérieure</w:t>
      </w:r>
      <w:r w:rsidR="000469A1">
        <w:t>, l'expression démocratique</w:t>
      </w:r>
      <w:r w:rsidR="0073520A">
        <w:t xml:space="preserve"> des demandeurs</w:t>
      </w:r>
      <w:r w:rsidR="000469A1">
        <w:t>, synonyme d'acceptabilité sociale</w:t>
      </w:r>
      <w:r w:rsidR="0073520A">
        <w:t xml:space="preserve"> et le rejet du rapport du BAPE;</w:t>
      </w:r>
      <w:r w:rsidR="00E24115">
        <w:t xml:space="preserve"> dans le présent jugement, ces arguments sont analysés indépendamment les uns des autres.</w:t>
      </w:r>
    </w:p>
  </w:footnote>
  <w:footnote w:id="18">
    <w:p w14:paraId="4F9D4A45" w14:textId="45E53986" w:rsidR="00670E59" w:rsidRDefault="00670E59">
      <w:pPr>
        <w:pStyle w:val="Notedebasdepage"/>
      </w:pPr>
      <w:r>
        <w:rPr>
          <w:rStyle w:val="Appelnotedebasdep"/>
        </w:rPr>
        <w:footnoteRef/>
      </w:r>
      <w:r>
        <w:t xml:space="preserve">  </w:t>
      </w:r>
      <w:r>
        <w:tab/>
      </w:r>
      <w:r w:rsidR="08ECA469">
        <w:t xml:space="preserve">Par exemple : </w:t>
      </w:r>
      <w:r w:rsidR="00295D1D">
        <w:t xml:space="preserve">« failles abyssales », « </w:t>
      </w:r>
      <w:r w:rsidR="00942BED">
        <w:t>les défaillances dans le processus de planification</w:t>
      </w:r>
      <w:r w:rsidR="00DA3B80">
        <w:t xml:space="preserve"> et dans le processus démocratique (…) rendent nécessaires l’intervention du pouvoir judiciaire », </w:t>
      </w:r>
      <w:r w:rsidR="008F62A9">
        <w:t>« à cause du manque d’exemplarité du processus de planification, hautement politisé ».</w:t>
      </w:r>
    </w:p>
  </w:footnote>
  <w:footnote w:id="19">
    <w:p w14:paraId="5FF8BF31" w14:textId="135722D3" w:rsidR="00502D8C" w:rsidRPr="005625C7" w:rsidRDefault="00502D8C">
      <w:pPr>
        <w:pStyle w:val="Notedebasdepage"/>
        <w:rPr>
          <w:lang w:val="en-CA"/>
        </w:rPr>
      </w:pPr>
      <w:r>
        <w:rPr>
          <w:rStyle w:val="Appelnotedebasdep"/>
        </w:rPr>
        <w:footnoteRef/>
      </w:r>
      <w:r w:rsidRPr="005625C7">
        <w:rPr>
          <w:lang w:val="en-CA"/>
        </w:rPr>
        <w:t xml:space="preserve">  </w:t>
      </w:r>
      <w:r w:rsidR="6BCB2133" w:rsidRPr="005625C7">
        <w:rPr>
          <w:lang w:val="en-CA"/>
        </w:rPr>
        <w:t xml:space="preserve"> </w:t>
      </w:r>
      <w:r w:rsidRPr="005625C7">
        <w:rPr>
          <w:lang w:val="en-CA"/>
        </w:rPr>
        <w:tab/>
        <w:t>P-18A.</w:t>
      </w:r>
    </w:p>
  </w:footnote>
  <w:footnote w:id="20">
    <w:p w14:paraId="49BF63E1" w14:textId="77777777" w:rsidR="00C56F0D" w:rsidRPr="005625C7" w:rsidRDefault="00C56F0D" w:rsidP="00C56F0D">
      <w:pPr>
        <w:pStyle w:val="Notedebasdepage"/>
        <w:rPr>
          <w:lang w:val="en-CA"/>
        </w:rPr>
      </w:pPr>
      <w:r>
        <w:rPr>
          <w:rStyle w:val="Appelnotedebasdep"/>
        </w:rPr>
        <w:footnoteRef/>
      </w:r>
      <w:r w:rsidRPr="005625C7">
        <w:rPr>
          <w:lang w:val="en-CA"/>
        </w:rPr>
        <w:t xml:space="preserve">  </w:t>
      </w:r>
      <w:r w:rsidRPr="005625C7">
        <w:rPr>
          <w:lang w:val="en-CA"/>
        </w:rPr>
        <w:tab/>
        <w:t>P-18A, p. 3.</w:t>
      </w:r>
    </w:p>
  </w:footnote>
  <w:footnote w:id="21">
    <w:p w14:paraId="3DA82759" w14:textId="7FD0A750" w:rsidR="000A1C52" w:rsidRPr="005625C7" w:rsidRDefault="000A1C52">
      <w:pPr>
        <w:pStyle w:val="Notedebasdepage"/>
        <w:rPr>
          <w:lang w:val="en-CA"/>
        </w:rPr>
      </w:pPr>
      <w:r>
        <w:rPr>
          <w:rStyle w:val="Appelnotedebasdep"/>
        </w:rPr>
        <w:footnoteRef/>
      </w:r>
      <w:r w:rsidRPr="005625C7">
        <w:rPr>
          <w:lang w:val="en-CA"/>
        </w:rPr>
        <w:t xml:space="preserve"> </w:t>
      </w:r>
      <w:r w:rsidR="00D53A16" w:rsidRPr="005625C7">
        <w:rPr>
          <w:lang w:val="en-CA"/>
        </w:rPr>
        <w:t xml:space="preserve"> </w:t>
      </w:r>
      <w:r w:rsidR="00D53A16" w:rsidRPr="005625C7">
        <w:rPr>
          <w:lang w:val="en-CA"/>
        </w:rPr>
        <w:tab/>
        <w:t>P-18A, p. 5.</w:t>
      </w:r>
    </w:p>
  </w:footnote>
  <w:footnote w:id="22">
    <w:p w14:paraId="630521F1" w14:textId="0F043CAF" w:rsidR="00C56F0D" w:rsidRPr="005625C7" w:rsidRDefault="00C56F0D">
      <w:pPr>
        <w:pStyle w:val="Notedebasdepage"/>
        <w:rPr>
          <w:lang w:val="en-CA"/>
        </w:rPr>
      </w:pPr>
      <w:r>
        <w:rPr>
          <w:rStyle w:val="Appelnotedebasdep"/>
        </w:rPr>
        <w:footnoteRef/>
      </w:r>
      <w:r w:rsidRPr="005625C7">
        <w:rPr>
          <w:lang w:val="en-CA"/>
        </w:rPr>
        <w:t xml:space="preserve">  </w:t>
      </w:r>
      <w:r w:rsidRPr="005625C7">
        <w:rPr>
          <w:lang w:val="en-CA"/>
        </w:rPr>
        <w:tab/>
        <w:t>P-18A, p. 6.</w:t>
      </w:r>
    </w:p>
  </w:footnote>
  <w:footnote w:id="23">
    <w:p w14:paraId="4660674F" w14:textId="6DB3F08B" w:rsidR="001D5109" w:rsidRDefault="001D5109">
      <w:pPr>
        <w:pStyle w:val="Notedebasdepage"/>
      </w:pPr>
      <w:r>
        <w:rPr>
          <w:rStyle w:val="Appelnotedebasdep"/>
        </w:rPr>
        <w:footnoteRef/>
      </w:r>
      <w:r>
        <w:t xml:space="preserve">  </w:t>
      </w:r>
      <w:r>
        <w:tab/>
      </w:r>
      <w:r w:rsidRPr="00722151">
        <w:rPr>
          <w:i/>
          <w:iCs/>
        </w:rPr>
        <w:t>Immeubles Port Louis ltée</w:t>
      </w:r>
      <w:r>
        <w:t xml:space="preserve"> c. </w:t>
      </w:r>
      <w:r w:rsidRPr="00722151">
        <w:rPr>
          <w:i/>
          <w:iCs/>
        </w:rPr>
        <w:t>Lafontaine (Village)</w:t>
      </w:r>
      <w:r>
        <w:t>, [1991] 1 R.C.S. 326.</w:t>
      </w:r>
    </w:p>
  </w:footnote>
  <w:footnote w:id="24">
    <w:p w14:paraId="0A860A1C" w14:textId="38DF0044" w:rsidR="002E0AE6" w:rsidRPr="002E0AE6" w:rsidRDefault="004F2DF2" w:rsidP="002E0AE6">
      <w:pPr>
        <w:pStyle w:val="Notedebasdepage"/>
      </w:pPr>
      <w:r>
        <w:rPr>
          <w:rStyle w:val="Appelnotedebasdep"/>
        </w:rPr>
        <w:footnoteRef/>
      </w:r>
      <w:r w:rsidRPr="002E0AE6">
        <w:t xml:space="preserve">  </w:t>
      </w:r>
      <w:r w:rsidRPr="002E0AE6">
        <w:tab/>
      </w:r>
      <w:r w:rsidR="002E0AE6" w:rsidRPr="002E0AE6">
        <w:rPr>
          <w:b/>
          <w:bCs/>
        </w:rPr>
        <w:t>529.</w:t>
      </w:r>
      <w:r w:rsidR="002E0AE6" w:rsidRPr="002E0AE6">
        <w:t xml:space="preserve"> La Cour supérieure saisie d’un pourvoi en contrôle judiciaire peut, selon l’objet du pourvoi, prononcer l’une ou l’autre des conclusions suivantes:</w:t>
      </w:r>
    </w:p>
    <w:p w14:paraId="1F45EFBB" w14:textId="5E654D82" w:rsidR="002E0AE6" w:rsidRPr="002E0AE6" w:rsidRDefault="002E0AE6" w:rsidP="002E0AE6">
      <w:pPr>
        <w:pStyle w:val="Notedebasdepage"/>
      </w:pPr>
      <w:r>
        <w:t xml:space="preserve"> </w:t>
      </w:r>
      <w:r>
        <w:tab/>
      </w:r>
      <w:r w:rsidRPr="002E0AE6">
        <w:t>1</w:t>
      </w:r>
      <w:r w:rsidR="005949C7" w:rsidRPr="002E0AE6">
        <w:t>° déclarer</w:t>
      </w:r>
      <w:r w:rsidRPr="002E0AE6">
        <w:t xml:space="preserve"> inapplicable, invalide ou </w:t>
      </w:r>
      <w:r w:rsidRPr="002E0AE6">
        <w:rPr>
          <w:u w:val="single"/>
        </w:rPr>
        <w:t>inopérante une disposition d’une loi du Québec</w:t>
      </w:r>
      <w:r w:rsidRPr="002E0AE6">
        <w:t xml:space="preserve"> ou du Canada, un règlement pris sous leur autorité, </w:t>
      </w:r>
      <w:r w:rsidRPr="002E0AE6">
        <w:rPr>
          <w:u w:val="single"/>
        </w:rPr>
        <w:t>un décret gouvernemental</w:t>
      </w:r>
      <w:r w:rsidRPr="002E0AE6">
        <w:t xml:space="preserve"> ou un arrêté ministériel ou toute autre règle de droit;</w:t>
      </w:r>
    </w:p>
    <w:p w14:paraId="07F82472" w14:textId="31D9E4E6" w:rsidR="002E0AE6" w:rsidRPr="002E0AE6" w:rsidRDefault="002E0AE6" w:rsidP="002E0AE6">
      <w:pPr>
        <w:pStyle w:val="Notedebasdepage"/>
      </w:pPr>
      <w:r>
        <w:t xml:space="preserve"> </w:t>
      </w:r>
      <w:r>
        <w:tab/>
      </w:r>
      <w:r w:rsidRPr="002E0AE6">
        <w:t>[…]</w:t>
      </w:r>
    </w:p>
    <w:p w14:paraId="26440B1A" w14:textId="4592C6C4" w:rsidR="004F2DF2" w:rsidRDefault="002E0AE6" w:rsidP="002E0AE6">
      <w:pPr>
        <w:pStyle w:val="Notedebasdepage"/>
      </w:pPr>
      <w:r>
        <w:t xml:space="preserve"> </w:t>
      </w:r>
      <w:r>
        <w:tab/>
      </w:r>
      <w:r w:rsidRPr="002E0AE6">
        <w:rPr>
          <w:u w:val="single"/>
        </w:rPr>
        <w:t>Le pourvoi doit être signifié dans un délai raisonnable à partir de l’acte ou du fait qui lui donne ouverture</w:t>
      </w:r>
      <w:r w:rsidRPr="002E0AE6">
        <w:t>.</w:t>
      </w:r>
    </w:p>
    <w:p w14:paraId="2AE01F07" w14:textId="2043D701" w:rsidR="002E0AE6" w:rsidRPr="002E0AE6" w:rsidRDefault="002E0AE6" w:rsidP="002E0AE6">
      <w:pPr>
        <w:pStyle w:val="Notedebasdepage"/>
      </w:pPr>
      <w:r w:rsidRPr="002E0AE6">
        <w:t xml:space="preserve"> </w:t>
      </w:r>
      <w:r w:rsidRPr="002E0AE6">
        <w:tab/>
        <w:t>(Notre soulignement)</w:t>
      </w:r>
    </w:p>
  </w:footnote>
  <w:footnote w:id="25">
    <w:p w14:paraId="7D0FCA6C" w14:textId="46D4FB28" w:rsidR="002E0AE6" w:rsidRPr="00E65AD2" w:rsidRDefault="002E0AE6" w:rsidP="002E0AE6">
      <w:pPr>
        <w:pStyle w:val="Notedebasdepage"/>
        <w:rPr>
          <w:rFonts w:cs="Arial"/>
          <w:color w:val="363636"/>
          <w:highlight w:val="yellow"/>
          <w:lang w:eastAsia="fr-CA"/>
        </w:rPr>
      </w:pPr>
      <w:r w:rsidRPr="00E65AD2">
        <w:rPr>
          <w:rStyle w:val="Appelnotedebasdep"/>
          <w:rFonts w:cs="Arial"/>
        </w:rPr>
        <w:footnoteRef/>
      </w:r>
      <w:r w:rsidRPr="00E65AD2">
        <w:rPr>
          <w:rFonts w:cs="Arial"/>
        </w:rPr>
        <w:t xml:space="preserve"> </w:t>
      </w:r>
      <w:r>
        <w:rPr>
          <w:rFonts w:cs="Arial"/>
        </w:rPr>
        <w:t xml:space="preserve"> </w:t>
      </w:r>
      <w:r>
        <w:rPr>
          <w:rFonts w:cs="Arial"/>
        </w:rPr>
        <w:tab/>
      </w:r>
      <w:r w:rsidRPr="008B165C">
        <w:rPr>
          <w:rFonts w:cs="Arial"/>
          <w:i/>
          <w:lang w:eastAsia="fr-CA"/>
        </w:rPr>
        <w:t>Duhamel</w:t>
      </w:r>
      <w:r w:rsidRPr="008B165C">
        <w:rPr>
          <w:rFonts w:cs="Arial"/>
          <w:lang w:eastAsia="fr-CA"/>
        </w:rPr>
        <w:t> c.</w:t>
      </w:r>
      <w:r w:rsidRPr="00E65AD2">
        <w:rPr>
          <w:rFonts w:cs="Arial"/>
          <w:color w:val="363636"/>
          <w:lang w:eastAsia="fr-CA"/>
        </w:rPr>
        <w:t> </w:t>
      </w:r>
      <w:r w:rsidRPr="002E0AE6">
        <w:rPr>
          <w:rFonts w:cs="Arial"/>
          <w:i/>
          <w:iCs/>
          <w:lang w:eastAsia="fr-CA"/>
        </w:rPr>
        <w:t>Lachance</w:t>
      </w:r>
      <w:r w:rsidRPr="002E0AE6">
        <w:rPr>
          <w:rFonts w:cs="Arial"/>
          <w:lang w:eastAsia="fr-CA"/>
        </w:rPr>
        <w:t xml:space="preserve">, </w:t>
      </w:r>
      <w:r w:rsidRPr="002E0AE6">
        <w:rPr>
          <w:rFonts w:cs="Arial"/>
          <w:bdr w:val="none" w:sz="0" w:space="0" w:color="auto" w:frame="1"/>
          <w:lang w:eastAsia="fr-CA"/>
        </w:rPr>
        <w:t>2016 QCCS 282</w:t>
      </w:r>
      <w:r w:rsidRPr="002E0AE6">
        <w:rPr>
          <w:rFonts w:cs="Arial"/>
          <w:lang w:eastAsia="fr-CA"/>
        </w:rPr>
        <w:t xml:space="preserve">, </w:t>
      </w:r>
      <w:r w:rsidRPr="002E0AE6">
        <w:t>par</w:t>
      </w:r>
      <w:r w:rsidRPr="002E0AE6">
        <w:rPr>
          <w:rFonts w:cs="Arial"/>
          <w:lang w:eastAsia="fr-CA"/>
        </w:rPr>
        <w:t xml:space="preserve">. 4; </w:t>
      </w:r>
      <w:r w:rsidRPr="002E0AE6">
        <w:rPr>
          <w:rFonts w:cs="Arial"/>
          <w:i/>
          <w:iCs/>
          <w:lang w:eastAsia="fr-CA"/>
        </w:rPr>
        <w:t>Poplawski</w:t>
      </w:r>
      <w:r w:rsidRPr="002E0AE6">
        <w:rPr>
          <w:rFonts w:cs="Arial"/>
          <w:lang w:eastAsia="fr-CA"/>
        </w:rPr>
        <w:t> c. </w:t>
      </w:r>
      <w:r w:rsidRPr="002E0AE6">
        <w:rPr>
          <w:rFonts w:cs="Arial"/>
          <w:i/>
          <w:iCs/>
          <w:lang w:eastAsia="fr-CA"/>
        </w:rPr>
        <w:t>McGill University</w:t>
      </w:r>
      <w:r w:rsidRPr="002E0AE6">
        <w:rPr>
          <w:rFonts w:cs="Arial"/>
          <w:lang w:eastAsia="fr-CA"/>
        </w:rPr>
        <w:t xml:space="preserve">, </w:t>
      </w:r>
      <w:r w:rsidRPr="002E0AE6">
        <w:rPr>
          <w:rFonts w:cs="Arial"/>
          <w:bdr w:val="none" w:sz="0" w:space="0" w:color="auto" w:frame="1"/>
          <w:lang w:eastAsia="fr-CA"/>
        </w:rPr>
        <w:t>2014 QCCA 1695</w:t>
      </w:r>
      <w:r w:rsidRPr="002E0AE6">
        <w:rPr>
          <w:rFonts w:cs="Arial"/>
          <w:lang w:eastAsia="fr-CA"/>
        </w:rPr>
        <w:t xml:space="preserve">, par. 11 et 12; </w:t>
      </w:r>
      <w:r w:rsidRPr="00DB5A4A">
        <w:rPr>
          <w:rFonts w:cs="Arial"/>
          <w:i/>
          <w:iCs/>
          <w:lang w:eastAsia="fr-CA"/>
        </w:rPr>
        <w:t>Québec (Procureur général)</w:t>
      </w:r>
      <w:r w:rsidRPr="002E0AE6">
        <w:rPr>
          <w:rFonts w:cs="Arial"/>
          <w:lang w:eastAsia="fr-CA"/>
        </w:rPr>
        <w:t xml:space="preserve"> c. </w:t>
      </w:r>
      <w:r w:rsidRPr="00DB5A4A">
        <w:rPr>
          <w:rFonts w:cs="Arial"/>
          <w:i/>
          <w:iCs/>
          <w:lang w:eastAsia="fr-CA"/>
        </w:rPr>
        <w:t>Bélanger</w:t>
      </w:r>
      <w:r w:rsidRPr="002E0AE6">
        <w:rPr>
          <w:rFonts w:cs="Arial"/>
          <w:lang w:eastAsia="fr-CA"/>
        </w:rPr>
        <w:t xml:space="preserve">, </w:t>
      </w:r>
      <w:hyperlink r:id="rId1" w:history="1">
        <w:r w:rsidRPr="00DB5A4A">
          <w:rPr>
            <w:rStyle w:val="Hyperlien"/>
            <w:rFonts w:cs="Arial"/>
            <w:color w:val="auto"/>
            <w:u w:val="none"/>
            <w:lang w:eastAsia="fr-CA"/>
          </w:rPr>
          <w:t>2012 QCCA 1669</w:t>
        </w:r>
      </w:hyperlink>
      <w:r w:rsidRPr="002E0AE6">
        <w:rPr>
          <w:rFonts w:cs="Arial"/>
          <w:lang w:eastAsia="fr-CA"/>
        </w:rPr>
        <w:t xml:space="preserve">, par. 12; </w:t>
      </w:r>
      <w:r w:rsidRPr="002E0AE6">
        <w:rPr>
          <w:rFonts w:cs="Arial"/>
          <w:i/>
          <w:iCs/>
          <w:lang w:eastAsia="fr-CA"/>
        </w:rPr>
        <w:t>Loyer</w:t>
      </w:r>
      <w:r w:rsidRPr="002E0AE6">
        <w:rPr>
          <w:rFonts w:cs="Arial"/>
          <w:lang w:eastAsia="fr-CA"/>
        </w:rPr>
        <w:t> c. </w:t>
      </w:r>
      <w:r w:rsidRPr="002E0AE6">
        <w:rPr>
          <w:rFonts w:cs="Arial"/>
          <w:i/>
          <w:iCs/>
          <w:lang w:eastAsia="fr-CA"/>
        </w:rPr>
        <w:t>Commission des affaires sociales</w:t>
      </w:r>
      <w:r w:rsidRPr="002E0AE6">
        <w:rPr>
          <w:rFonts w:cs="Arial"/>
          <w:lang w:eastAsia="fr-CA"/>
        </w:rPr>
        <w:t xml:space="preserve">, </w:t>
      </w:r>
      <w:r w:rsidRPr="002E0AE6">
        <w:rPr>
          <w:rFonts w:cs="Arial"/>
          <w:bdr w:val="none" w:sz="0" w:space="0" w:color="auto" w:frame="1"/>
          <w:lang w:eastAsia="fr-CA"/>
        </w:rPr>
        <w:t>1999 CanLII 13828 (QC CA</w:t>
      </w:r>
      <w:r w:rsidR="08ECA469" w:rsidRPr="002E0AE6">
        <w:rPr>
          <w:rFonts w:cs="Arial"/>
          <w:bdr w:val="none" w:sz="0" w:space="0" w:color="auto" w:frame="1"/>
          <w:lang w:eastAsia="fr-CA"/>
        </w:rPr>
        <w:t>).</w:t>
      </w:r>
    </w:p>
  </w:footnote>
  <w:footnote w:id="26">
    <w:p w14:paraId="735822EA" w14:textId="5A00E90F" w:rsidR="00AE19FA" w:rsidRPr="00277211" w:rsidRDefault="00AE19FA" w:rsidP="00AE19FA">
      <w:pPr>
        <w:pStyle w:val="Notedebasdepage"/>
        <w:rPr>
          <w:rFonts w:cs="Arial"/>
          <w:lang w:eastAsia="fr-CA"/>
        </w:rPr>
      </w:pPr>
      <w:r w:rsidRPr="00E65AD2">
        <w:rPr>
          <w:rStyle w:val="Appelnotedebasdep"/>
          <w:rFonts w:cs="Arial"/>
        </w:rPr>
        <w:footnoteRef/>
      </w:r>
      <w:r w:rsidRPr="00E65AD2">
        <w:rPr>
          <w:rFonts w:cs="Arial"/>
        </w:rPr>
        <w:t xml:space="preserve"> </w:t>
      </w:r>
      <w:r>
        <w:rPr>
          <w:rFonts w:cs="Arial"/>
        </w:rPr>
        <w:t xml:space="preserve"> </w:t>
      </w:r>
      <w:r>
        <w:rPr>
          <w:rFonts w:cs="Arial"/>
        </w:rPr>
        <w:tab/>
      </w:r>
      <w:r w:rsidRPr="008B165C">
        <w:rPr>
          <w:rFonts w:cs="Arial"/>
          <w:i/>
          <w:lang w:eastAsia="fr-CA"/>
        </w:rPr>
        <w:t>9100-3566 Québec inc. (Académie de</w:t>
      </w:r>
      <w:r w:rsidRPr="00E65AD2">
        <w:rPr>
          <w:rFonts w:cs="Arial"/>
          <w:i/>
          <w:iCs/>
          <w:color w:val="363636"/>
          <w:lang w:eastAsia="fr-CA"/>
        </w:rPr>
        <w:t xml:space="preserve"> </w:t>
      </w:r>
      <w:r w:rsidRPr="002E0AE6">
        <w:rPr>
          <w:rFonts w:cs="Arial"/>
          <w:i/>
          <w:iCs/>
          <w:lang w:eastAsia="fr-CA"/>
        </w:rPr>
        <w:t>sécurité IGS)</w:t>
      </w:r>
      <w:r w:rsidRPr="002E0AE6">
        <w:rPr>
          <w:rFonts w:cs="Arial"/>
          <w:lang w:eastAsia="fr-CA"/>
        </w:rPr>
        <w:t> c. </w:t>
      </w:r>
      <w:r w:rsidRPr="002E0AE6">
        <w:rPr>
          <w:rFonts w:cs="Arial"/>
          <w:i/>
          <w:iCs/>
          <w:lang w:eastAsia="fr-CA"/>
        </w:rPr>
        <w:t>Bureau de la sécurité privée</w:t>
      </w:r>
      <w:r w:rsidRPr="002E0AE6">
        <w:rPr>
          <w:rFonts w:cs="Arial"/>
          <w:lang w:eastAsia="fr-CA"/>
        </w:rPr>
        <w:t>, </w:t>
      </w:r>
      <w:r w:rsidRPr="002E0AE6">
        <w:rPr>
          <w:rFonts w:cs="Arial"/>
          <w:bdr w:val="none" w:sz="0" w:space="0" w:color="auto" w:frame="1"/>
          <w:lang w:eastAsia="fr-CA"/>
        </w:rPr>
        <w:t>2021 QCCS 3110</w:t>
      </w:r>
      <w:r w:rsidRPr="002E0AE6">
        <w:rPr>
          <w:rFonts w:cs="Arial"/>
          <w:lang w:eastAsia="fr-CA"/>
        </w:rPr>
        <w:t xml:space="preserve">, par. 119; </w:t>
      </w:r>
      <w:r w:rsidRPr="002E0AE6">
        <w:rPr>
          <w:rFonts w:cs="Arial"/>
          <w:i/>
          <w:iCs/>
          <w:lang w:eastAsia="fr-CA"/>
        </w:rPr>
        <w:t>Ville de Brossard</w:t>
      </w:r>
      <w:r w:rsidRPr="002E0AE6">
        <w:rPr>
          <w:rFonts w:cs="Arial"/>
          <w:lang w:eastAsia="fr-CA"/>
        </w:rPr>
        <w:t> c. </w:t>
      </w:r>
      <w:r w:rsidRPr="002E0AE6">
        <w:rPr>
          <w:rFonts w:cs="Arial"/>
          <w:i/>
          <w:iCs/>
          <w:lang w:eastAsia="fr-CA"/>
        </w:rPr>
        <w:t>Ville de Longueuil</w:t>
      </w:r>
      <w:r w:rsidRPr="002E0AE6">
        <w:rPr>
          <w:rFonts w:cs="Arial"/>
          <w:lang w:eastAsia="fr-CA"/>
        </w:rPr>
        <w:t xml:space="preserve">, </w:t>
      </w:r>
      <w:r w:rsidRPr="002E0AE6">
        <w:rPr>
          <w:rFonts w:cs="Arial"/>
          <w:bdr w:val="none" w:sz="0" w:space="0" w:color="auto" w:frame="1"/>
          <w:lang w:eastAsia="fr-CA"/>
        </w:rPr>
        <w:t>2019 QCCA 1859</w:t>
      </w:r>
      <w:r w:rsidRPr="002E0AE6">
        <w:rPr>
          <w:rFonts w:cs="Arial"/>
          <w:lang w:eastAsia="fr-CA"/>
        </w:rPr>
        <w:t xml:space="preserve">, par. 24; </w:t>
      </w:r>
      <w:r w:rsidRPr="002E0AE6">
        <w:rPr>
          <w:rFonts w:cs="Arial"/>
          <w:i/>
          <w:iCs/>
          <w:lang w:eastAsia="fr-CA"/>
        </w:rPr>
        <w:t>N.D.</w:t>
      </w:r>
      <w:r w:rsidRPr="002E0AE6">
        <w:rPr>
          <w:rFonts w:cs="Arial"/>
          <w:lang w:eastAsia="fr-CA"/>
        </w:rPr>
        <w:t> c. </w:t>
      </w:r>
      <w:r w:rsidRPr="002E0AE6">
        <w:rPr>
          <w:rFonts w:cs="Arial"/>
          <w:i/>
          <w:iCs/>
          <w:lang w:eastAsia="fr-CA"/>
        </w:rPr>
        <w:t>Procureure générale du Québec</w:t>
      </w:r>
      <w:r w:rsidRPr="002E0AE6">
        <w:rPr>
          <w:rFonts w:cs="Arial"/>
          <w:lang w:eastAsia="fr-CA"/>
        </w:rPr>
        <w:t xml:space="preserve">, </w:t>
      </w:r>
      <w:r w:rsidRPr="002E0AE6">
        <w:rPr>
          <w:rFonts w:cs="Arial"/>
          <w:bdr w:val="none" w:sz="0" w:space="0" w:color="auto" w:frame="1"/>
          <w:lang w:eastAsia="fr-CA"/>
        </w:rPr>
        <w:t>2018 QCCA 765</w:t>
      </w:r>
      <w:r w:rsidRPr="002E0AE6">
        <w:rPr>
          <w:rFonts w:cs="Arial"/>
          <w:lang w:eastAsia="fr-CA"/>
        </w:rPr>
        <w:t xml:space="preserve">, </w:t>
      </w:r>
      <w:r w:rsidRPr="002E0AE6">
        <w:rPr>
          <w:rFonts w:cs="Arial"/>
          <w:bdr w:val="none" w:sz="0" w:space="0" w:color="auto" w:frame="1"/>
          <w:lang w:eastAsia="fr-CA"/>
        </w:rPr>
        <w:t>par</w:t>
      </w:r>
      <w:r w:rsidRPr="002E0AE6">
        <w:rPr>
          <w:rFonts w:cs="Arial"/>
          <w:lang w:eastAsia="fr-CA"/>
        </w:rPr>
        <w:t xml:space="preserve">. 12; </w:t>
      </w:r>
      <w:r w:rsidRPr="00277211">
        <w:rPr>
          <w:rFonts w:cs="Arial"/>
          <w:i/>
          <w:iCs/>
          <w:lang w:eastAsia="fr-CA"/>
        </w:rPr>
        <w:t>Fraternité des policiers de Châteauguay inc.</w:t>
      </w:r>
      <w:r w:rsidRPr="00277211">
        <w:rPr>
          <w:rFonts w:cs="Arial"/>
          <w:lang w:eastAsia="fr-CA"/>
        </w:rPr>
        <w:t> c. </w:t>
      </w:r>
      <w:r w:rsidRPr="00277211">
        <w:rPr>
          <w:rFonts w:cs="Arial"/>
          <w:i/>
          <w:iCs/>
          <w:lang w:eastAsia="fr-CA"/>
        </w:rPr>
        <w:t>Ville de Mercier</w:t>
      </w:r>
      <w:r w:rsidRPr="00277211">
        <w:rPr>
          <w:rFonts w:cs="Arial"/>
          <w:lang w:eastAsia="fr-CA"/>
        </w:rPr>
        <w:t xml:space="preserve">, </w:t>
      </w:r>
      <w:r w:rsidRPr="00277211">
        <w:rPr>
          <w:rFonts w:cs="Arial"/>
          <w:bdr w:val="none" w:sz="0" w:space="0" w:color="auto" w:frame="1"/>
          <w:lang w:eastAsia="fr-CA"/>
        </w:rPr>
        <w:t>2017 QCCA 1251</w:t>
      </w:r>
      <w:r w:rsidRPr="00277211">
        <w:rPr>
          <w:rFonts w:cs="Arial"/>
          <w:lang w:eastAsia="fr-CA"/>
        </w:rPr>
        <w:t xml:space="preserve">, par. 91; </w:t>
      </w:r>
      <w:r w:rsidRPr="00277211">
        <w:rPr>
          <w:rFonts w:cs="Arial"/>
          <w:i/>
          <w:iCs/>
          <w:lang w:eastAsia="fr-CA"/>
        </w:rPr>
        <w:t>Gagné</w:t>
      </w:r>
      <w:r w:rsidRPr="00277211">
        <w:rPr>
          <w:rFonts w:cs="Arial"/>
          <w:lang w:eastAsia="fr-CA"/>
        </w:rPr>
        <w:t> c. </w:t>
      </w:r>
      <w:r w:rsidRPr="00277211">
        <w:rPr>
          <w:rFonts w:cs="Arial"/>
          <w:i/>
          <w:iCs/>
          <w:lang w:eastAsia="fr-CA"/>
        </w:rPr>
        <w:t>Syndicat de la fonction publique et parapublique du Québec</w:t>
      </w:r>
      <w:r w:rsidRPr="00277211">
        <w:rPr>
          <w:rFonts w:cs="Arial"/>
          <w:lang w:eastAsia="fr-CA"/>
        </w:rPr>
        <w:t xml:space="preserve">, </w:t>
      </w:r>
      <w:r w:rsidRPr="00277211">
        <w:rPr>
          <w:rFonts w:cs="Arial"/>
          <w:bdr w:val="none" w:sz="0" w:space="0" w:color="auto" w:frame="1"/>
          <w:lang w:eastAsia="fr-CA"/>
        </w:rPr>
        <w:t>2016 QCCA 1533</w:t>
      </w:r>
      <w:r w:rsidRPr="00277211">
        <w:rPr>
          <w:rFonts w:cs="Arial"/>
          <w:lang w:eastAsia="fr-CA"/>
        </w:rPr>
        <w:t xml:space="preserve">, par. 7; </w:t>
      </w:r>
      <w:r w:rsidRPr="008B165C">
        <w:rPr>
          <w:rFonts w:cs="Arial"/>
          <w:i/>
          <w:lang w:eastAsia="fr-CA"/>
        </w:rPr>
        <w:t>Poplawski</w:t>
      </w:r>
      <w:r w:rsidRPr="00277211">
        <w:rPr>
          <w:rFonts w:cs="Arial"/>
          <w:lang w:eastAsia="fr-CA"/>
        </w:rPr>
        <w:t> c. </w:t>
      </w:r>
      <w:r w:rsidRPr="00277211">
        <w:rPr>
          <w:rFonts w:cs="Arial"/>
          <w:i/>
          <w:iCs/>
          <w:lang w:eastAsia="fr-CA"/>
        </w:rPr>
        <w:t>McGill University</w:t>
      </w:r>
      <w:r w:rsidRPr="00277211">
        <w:rPr>
          <w:rFonts w:cs="Arial"/>
          <w:lang w:eastAsia="fr-CA"/>
        </w:rPr>
        <w:t xml:space="preserve">, </w:t>
      </w:r>
      <w:r w:rsidRPr="00277211">
        <w:rPr>
          <w:rFonts w:cs="Arial"/>
          <w:bdr w:val="none" w:sz="0" w:space="0" w:color="auto" w:frame="1"/>
          <w:lang w:eastAsia="fr-CA"/>
        </w:rPr>
        <w:t>2014 QCCA 1695</w:t>
      </w:r>
      <w:r w:rsidRPr="00277211">
        <w:rPr>
          <w:rFonts w:cs="Arial"/>
          <w:lang w:eastAsia="fr-CA"/>
        </w:rPr>
        <w:t>, par. 9.</w:t>
      </w:r>
    </w:p>
  </w:footnote>
  <w:footnote w:id="27">
    <w:p w14:paraId="174057A8" w14:textId="3DC4D365" w:rsidR="00AE19FA" w:rsidRPr="00277211" w:rsidRDefault="00AE19FA" w:rsidP="00AE19FA">
      <w:pPr>
        <w:pStyle w:val="Notedebasdepage"/>
        <w:rPr>
          <w:rFonts w:cs="Arial"/>
          <w:lang w:eastAsia="fr-CA"/>
        </w:rPr>
      </w:pPr>
      <w:r w:rsidRPr="00277211">
        <w:rPr>
          <w:rStyle w:val="Appelnotedebasdep"/>
        </w:rPr>
        <w:footnoteRef/>
      </w:r>
      <w:r w:rsidRPr="00277211">
        <w:t xml:space="preserve">  </w:t>
      </w:r>
      <w:r w:rsidRPr="00277211">
        <w:tab/>
      </w:r>
      <w:r w:rsidRPr="00277211">
        <w:rPr>
          <w:rFonts w:cs="Arial"/>
          <w:i/>
          <w:iCs/>
          <w:lang w:eastAsia="fr-CA"/>
        </w:rPr>
        <w:t>Bose</w:t>
      </w:r>
      <w:r w:rsidRPr="00277211">
        <w:rPr>
          <w:rFonts w:cs="Arial"/>
          <w:lang w:eastAsia="fr-CA"/>
        </w:rPr>
        <w:t> c. </w:t>
      </w:r>
      <w:r w:rsidR="08ECA469" w:rsidRPr="08ECA469">
        <w:rPr>
          <w:rFonts w:cs="Arial"/>
          <w:i/>
          <w:iCs/>
          <w:lang w:eastAsia="fr-CA"/>
        </w:rPr>
        <w:t>Québec (</w:t>
      </w:r>
      <w:r w:rsidRPr="00277211">
        <w:rPr>
          <w:rFonts w:cs="Arial"/>
          <w:i/>
          <w:iCs/>
          <w:lang w:eastAsia="fr-CA"/>
        </w:rPr>
        <w:t>Commission des lésions professionnelles</w:t>
      </w:r>
      <w:r w:rsidR="08ECA469" w:rsidRPr="08ECA469">
        <w:rPr>
          <w:rFonts w:cs="Arial"/>
          <w:i/>
          <w:iCs/>
          <w:lang w:eastAsia="fr-CA"/>
        </w:rPr>
        <w:t>)</w:t>
      </w:r>
      <w:r w:rsidR="08ECA469" w:rsidRPr="00277211">
        <w:rPr>
          <w:rFonts w:cs="Arial"/>
          <w:lang w:eastAsia="fr-CA"/>
        </w:rPr>
        <w:t>,</w:t>
      </w:r>
      <w:r w:rsidRPr="00277211">
        <w:rPr>
          <w:rFonts w:cs="Arial"/>
          <w:lang w:eastAsia="fr-CA"/>
        </w:rPr>
        <w:t xml:space="preserve"> </w:t>
      </w:r>
      <w:r w:rsidRPr="00277211">
        <w:rPr>
          <w:rFonts w:cs="Arial"/>
          <w:bdr w:val="none" w:sz="0" w:space="0" w:color="auto" w:frame="1"/>
          <w:lang w:eastAsia="fr-CA"/>
        </w:rPr>
        <w:t>2003 CanLII 4225 (QC CA)</w:t>
      </w:r>
      <w:r w:rsidRPr="00277211">
        <w:rPr>
          <w:rFonts w:cs="Arial"/>
          <w:lang w:eastAsia="fr-CA"/>
        </w:rPr>
        <w:t>, par. 30.</w:t>
      </w:r>
    </w:p>
  </w:footnote>
  <w:footnote w:id="28">
    <w:p w14:paraId="1A6F8A32" w14:textId="2A3E24EA" w:rsidR="00AE19FA" w:rsidRDefault="00AE19FA" w:rsidP="00AE19FA">
      <w:pPr>
        <w:pStyle w:val="Notedebasdepage"/>
      </w:pPr>
      <w:r>
        <w:rPr>
          <w:rStyle w:val="Appelnotedebasdep"/>
        </w:rPr>
        <w:footnoteRef/>
      </w:r>
      <w:r>
        <w:t xml:space="preserve">  </w:t>
      </w:r>
      <w:r>
        <w:tab/>
      </w:r>
      <w:r w:rsidRPr="00B13A17">
        <w:rPr>
          <w:i/>
          <w:iCs/>
        </w:rPr>
        <w:t>Base de plein air Le petit bonheur</w:t>
      </w:r>
      <w:r>
        <w:t xml:space="preserve"> c. </w:t>
      </w:r>
      <w:r w:rsidRPr="00B13A17">
        <w:rPr>
          <w:i/>
          <w:iCs/>
        </w:rPr>
        <w:t>Commission municipale du Québec</w:t>
      </w:r>
      <w:r>
        <w:t>, J.E. 85-769</w:t>
      </w:r>
      <w:r w:rsidR="08ECA469">
        <w:t xml:space="preserve"> (C.A.).</w:t>
      </w:r>
    </w:p>
  </w:footnote>
  <w:footnote w:id="29">
    <w:p w14:paraId="4415628D" w14:textId="77777777" w:rsidR="00AE19FA" w:rsidRDefault="00AE19FA" w:rsidP="00AE19FA">
      <w:pPr>
        <w:pStyle w:val="Notedebasdepage"/>
      </w:pPr>
      <w:r>
        <w:rPr>
          <w:rStyle w:val="Appelnotedebasdep"/>
        </w:rPr>
        <w:footnoteRef/>
      </w:r>
      <w:r>
        <w:t xml:space="preserve">  </w:t>
      </w:r>
      <w:r>
        <w:tab/>
      </w:r>
      <w:r w:rsidRPr="00B13A17">
        <w:rPr>
          <w:i/>
          <w:iCs/>
        </w:rPr>
        <w:t>Conseil régional de l'environnement de Montréal</w:t>
      </w:r>
      <w:r>
        <w:t xml:space="preserve"> c. </w:t>
      </w:r>
      <w:r w:rsidRPr="00B13A17">
        <w:rPr>
          <w:i/>
          <w:iCs/>
        </w:rPr>
        <w:t>Québec (Procureur général</w:t>
      </w:r>
      <w:r>
        <w:t>), 2008 QCCS 2391, par. 43.</w:t>
      </w:r>
    </w:p>
  </w:footnote>
  <w:footnote w:id="30">
    <w:p w14:paraId="61974425" w14:textId="77777777" w:rsidR="00BC65A3" w:rsidRPr="00277211" w:rsidRDefault="00BC65A3" w:rsidP="00BC65A3">
      <w:pPr>
        <w:pStyle w:val="Notedebasdepage"/>
        <w:rPr>
          <w:rFonts w:cs="Arial"/>
        </w:rPr>
      </w:pPr>
      <w:r w:rsidRPr="00277211">
        <w:rPr>
          <w:rStyle w:val="Appelnotedebasdep"/>
          <w:rFonts w:cs="Arial"/>
        </w:rPr>
        <w:footnoteRef/>
      </w:r>
      <w:r w:rsidRPr="00277211">
        <w:rPr>
          <w:rFonts w:cs="Arial"/>
        </w:rPr>
        <w:t xml:space="preserve">  </w:t>
      </w:r>
      <w:r w:rsidRPr="00277211">
        <w:rPr>
          <w:rFonts w:cs="Arial"/>
        </w:rPr>
        <w:tab/>
      </w:r>
      <w:r w:rsidRPr="00277211">
        <w:rPr>
          <w:rFonts w:cs="Arial"/>
          <w:i/>
          <w:iCs/>
        </w:rPr>
        <w:t xml:space="preserve">Deschênes </w:t>
      </w:r>
      <w:r w:rsidRPr="008B165C">
        <w:rPr>
          <w:rFonts w:cs="Arial"/>
        </w:rPr>
        <w:t>c.</w:t>
      </w:r>
      <w:r w:rsidRPr="00277211">
        <w:rPr>
          <w:rFonts w:cs="Arial"/>
          <w:i/>
          <w:iCs/>
        </w:rPr>
        <w:t xml:space="preserve"> Valeurs mobilières Banque Laurentienne,</w:t>
      </w:r>
      <w:r w:rsidRPr="00277211">
        <w:rPr>
          <w:rFonts w:cs="Arial"/>
        </w:rPr>
        <w:t xml:space="preserve"> 2010 QCCA 2137, </w:t>
      </w:r>
      <w:r w:rsidRPr="00277211">
        <w:rPr>
          <w:rFonts w:cs="Arial"/>
          <w:bdr w:val="none" w:sz="0" w:space="0" w:color="auto" w:frame="1"/>
          <w:lang w:eastAsia="fr-CA"/>
        </w:rPr>
        <w:t>par</w:t>
      </w:r>
      <w:r w:rsidRPr="00277211">
        <w:rPr>
          <w:rFonts w:cs="Arial"/>
        </w:rPr>
        <w:t>. 30.</w:t>
      </w:r>
    </w:p>
  </w:footnote>
  <w:footnote w:id="31">
    <w:p w14:paraId="0F60DF27" w14:textId="2D9561CC" w:rsidR="00BF4544" w:rsidRPr="00277211" w:rsidRDefault="00BF4544" w:rsidP="00BF4544">
      <w:pPr>
        <w:pStyle w:val="Notedebasdepage"/>
        <w:rPr>
          <w:rFonts w:cs="Arial"/>
          <w:lang w:eastAsia="fr-CA"/>
        </w:rPr>
      </w:pPr>
      <w:r w:rsidRPr="00277211">
        <w:rPr>
          <w:rStyle w:val="Appelnotedebasdep"/>
          <w:rFonts w:cs="Arial"/>
        </w:rPr>
        <w:footnoteRef/>
      </w:r>
      <w:r w:rsidRPr="00277211">
        <w:rPr>
          <w:rFonts w:cs="Arial"/>
        </w:rPr>
        <w:t xml:space="preserve">  </w:t>
      </w:r>
      <w:r w:rsidRPr="00277211">
        <w:rPr>
          <w:rFonts w:cs="Arial"/>
        </w:rPr>
        <w:tab/>
      </w:r>
      <w:r w:rsidRPr="00277211">
        <w:rPr>
          <w:rFonts w:cs="Arial"/>
          <w:i/>
          <w:iCs/>
          <w:lang w:eastAsia="fr-CA"/>
        </w:rPr>
        <w:t>Mallat</w:t>
      </w:r>
      <w:r w:rsidRPr="00277211">
        <w:rPr>
          <w:rFonts w:cs="Arial"/>
          <w:lang w:eastAsia="fr-CA"/>
        </w:rPr>
        <w:t> c. </w:t>
      </w:r>
      <w:r w:rsidRPr="00277211">
        <w:rPr>
          <w:rFonts w:cs="Arial"/>
          <w:i/>
          <w:iCs/>
          <w:lang w:eastAsia="fr-CA"/>
        </w:rPr>
        <w:t>Autorité des marchés financiers de France</w:t>
      </w:r>
      <w:r w:rsidRPr="00277211">
        <w:rPr>
          <w:rFonts w:cs="Arial"/>
          <w:lang w:eastAsia="fr-CA"/>
        </w:rPr>
        <w:t>, </w:t>
      </w:r>
      <w:r w:rsidRPr="00277211">
        <w:rPr>
          <w:rFonts w:cs="Arial"/>
          <w:bdr w:val="none" w:sz="0" w:space="0" w:color="auto" w:frame="1"/>
          <w:lang w:eastAsia="fr-CA"/>
        </w:rPr>
        <w:t>2021 QCCA 1102</w:t>
      </w:r>
      <w:r w:rsidRPr="00277211">
        <w:rPr>
          <w:rFonts w:cs="Arial"/>
          <w:lang w:eastAsia="fr-CA"/>
        </w:rPr>
        <w:t xml:space="preserve">, </w:t>
      </w:r>
      <w:r w:rsidRPr="00277211">
        <w:rPr>
          <w:rFonts w:cs="Arial"/>
          <w:bdr w:val="none" w:sz="0" w:space="0" w:color="auto" w:frame="1"/>
          <w:lang w:eastAsia="fr-CA"/>
        </w:rPr>
        <w:t>par</w:t>
      </w:r>
      <w:r w:rsidRPr="00277211">
        <w:rPr>
          <w:rFonts w:cs="Arial"/>
          <w:lang w:eastAsia="fr-CA"/>
        </w:rPr>
        <w:t xml:space="preserve">. 65; </w:t>
      </w:r>
      <w:r w:rsidRPr="00277211">
        <w:rPr>
          <w:rFonts w:cs="Arial"/>
          <w:i/>
          <w:iCs/>
          <w:lang w:eastAsia="fr-CA"/>
        </w:rPr>
        <w:t>Road to Home Rescue Support</w:t>
      </w:r>
      <w:r w:rsidRPr="00277211">
        <w:rPr>
          <w:rFonts w:cs="Arial"/>
          <w:lang w:eastAsia="fr-CA"/>
        </w:rPr>
        <w:t> c. </w:t>
      </w:r>
      <w:r w:rsidRPr="00277211">
        <w:rPr>
          <w:rFonts w:cs="Arial"/>
          <w:i/>
          <w:iCs/>
          <w:lang w:eastAsia="fr-CA"/>
        </w:rPr>
        <w:t>Ville de Montréal</w:t>
      </w:r>
      <w:r w:rsidRPr="00277211">
        <w:rPr>
          <w:rFonts w:cs="Arial"/>
          <w:lang w:eastAsia="fr-CA"/>
        </w:rPr>
        <w:t xml:space="preserve">, </w:t>
      </w:r>
      <w:r w:rsidRPr="00277211">
        <w:rPr>
          <w:rFonts w:cs="Arial"/>
          <w:bdr w:val="none" w:sz="0" w:space="0" w:color="auto" w:frame="1"/>
          <w:lang w:eastAsia="fr-CA"/>
        </w:rPr>
        <w:t>2019 QCCA 2187</w:t>
      </w:r>
      <w:r w:rsidRPr="00277211">
        <w:rPr>
          <w:rFonts w:cs="Arial"/>
          <w:lang w:eastAsia="fr-CA"/>
        </w:rPr>
        <w:t xml:space="preserve">, par. 32; </w:t>
      </w:r>
      <w:r w:rsidRPr="00277211">
        <w:rPr>
          <w:rFonts w:cs="Arial"/>
          <w:i/>
          <w:iCs/>
          <w:lang w:eastAsia="fr-CA"/>
        </w:rPr>
        <w:t>Église essénienne chrétienne</w:t>
      </w:r>
      <w:r w:rsidRPr="00277211">
        <w:rPr>
          <w:rFonts w:cs="Arial"/>
          <w:lang w:eastAsia="fr-CA"/>
        </w:rPr>
        <w:t xml:space="preserve"> c. </w:t>
      </w:r>
      <w:r w:rsidRPr="00277211">
        <w:rPr>
          <w:rFonts w:cs="Arial"/>
          <w:i/>
          <w:iCs/>
          <w:lang w:eastAsia="fr-CA"/>
        </w:rPr>
        <w:t>Ville de Cookshire-Eaton</w:t>
      </w:r>
      <w:r w:rsidRPr="00277211">
        <w:rPr>
          <w:rFonts w:cs="Arial"/>
          <w:lang w:eastAsia="fr-CA"/>
        </w:rPr>
        <w:t xml:space="preserve">, 2021 QCCS 4971, par. </w:t>
      </w:r>
      <w:r w:rsidR="08ECA469" w:rsidRPr="00277211">
        <w:rPr>
          <w:rFonts w:cs="Arial"/>
          <w:lang w:eastAsia="fr-CA"/>
        </w:rPr>
        <w:t>87 à 89 (Requête pour permission d’appeler accueillie, 2022 QCCA 332).</w:t>
      </w:r>
    </w:p>
  </w:footnote>
  <w:footnote w:id="32">
    <w:p w14:paraId="2DCD0A0D" w14:textId="027F6C05" w:rsidR="00614A36" w:rsidRPr="000217B8" w:rsidRDefault="00614A36" w:rsidP="00614A36">
      <w:pPr>
        <w:pStyle w:val="Notedebasdepage"/>
        <w:rPr>
          <w:rFonts w:cs="Arial"/>
          <w:color w:val="363636"/>
          <w:lang w:eastAsia="fr-CA"/>
        </w:rPr>
      </w:pPr>
      <w:r w:rsidRPr="00277211">
        <w:rPr>
          <w:rStyle w:val="Appelnotedebasdep"/>
        </w:rPr>
        <w:footnoteRef/>
      </w:r>
      <w:r w:rsidRPr="00277211">
        <w:t xml:space="preserve">  </w:t>
      </w:r>
      <w:r w:rsidRPr="00277211">
        <w:tab/>
      </w:r>
      <w:r w:rsidRPr="00277211">
        <w:rPr>
          <w:rFonts w:cs="Arial"/>
          <w:i/>
          <w:iCs/>
          <w:lang w:eastAsia="fr-CA"/>
        </w:rPr>
        <w:t>Club de golf St-Georges (1964)</w:t>
      </w:r>
      <w:r w:rsidRPr="00277211">
        <w:rPr>
          <w:rFonts w:cs="Arial"/>
          <w:lang w:eastAsia="fr-CA"/>
        </w:rPr>
        <w:t> c. </w:t>
      </w:r>
      <w:r w:rsidRPr="00277211">
        <w:rPr>
          <w:rFonts w:cs="Arial"/>
          <w:i/>
          <w:iCs/>
          <w:lang w:eastAsia="fr-CA"/>
        </w:rPr>
        <w:t>Commission municipale du Québec</w:t>
      </w:r>
      <w:r w:rsidRPr="00277211">
        <w:rPr>
          <w:rFonts w:cs="Arial"/>
          <w:lang w:eastAsia="fr-CA"/>
        </w:rPr>
        <w:t xml:space="preserve">, </w:t>
      </w:r>
      <w:r w:rsidRPr="00277211">
        <w:rPr>
          <w:rFonts w:cs="Arial"/>
          <w:bdr w:val="none" w:sz="0" w:space="0" w:color="auto" w:frame="1"/>
          <w:lang w:eastAsia="fr-CA"/>
        </w:rPr>
        <w:t>2000 CanLII 29641 (QC CS)</w:t>
      </w:r>
      <w:r w:rsidRPr="00277211">
        <w:rPr>
          <w:rFonts w:cs="Arial"/>
          <w:lang w:eastAsia="fr-CA"/>
        </w:rPr>
        <w:t xml:space="preserve">, </w:t>
      </w:r>
      <w:r w:rsidRPr="00614A36">
        <w:rPr>
          <w:rFonts w:cs="Arial"/>
          <w:bdr w:val="none" w:sz="0" w:space="0" w:color="auto" w:frame="1"/>
          <w:lang w:eastAsia="fr-CA"/>
        </w:rPr>
        <w:t>par</w:t>
      </w:r>
      <w:r w:rsidRPr="000217B8">
        <w:rPr>
          <w:rFonts w:cs="Arial"/>
          <w:color w:val="363636"/>
          <w:lang w:eastAsia="fr-CA"/>
        </w:rPr>
        <w:t xml:space="preserve">. </w:t>
      </w:r>
      <w:r w:rsidRPr="008B165C">
        <w:rPr>
          <w:rFonts w:cs="Arial"/>
          <w:lang w:eastAsia="fr-CA"/>
        </w:rPr>
        <w:t>13</w:t>
      </w:r>
      <w:r w:rsidRPr="000217B8">
        <w:rPr>
          <w:rFonts w:cs="Arial"/>
          <w:color w:val="363636"/>
          <w:lang w:eastAsia="fr-CA"/>
        </w:rPr>
        <w:t>.</w:t>
      </w:r>
    </w:p>
  </w:footnote>
  <w:footnote w:id="33">
    <w:p w14:paraId="744F16DE" w14:textId="6B66E209" w:rsidR="00B65F79" w:rsidRDefault="00B65F79">
      <w:pPr>
        <w:pStyle w:val="Notedebasdepage"/>
      </w:pPr>
      <w:r>
        <w:rPr>
          <w:rStyle w:val="Appelnotedebasdep"/>
        </w:rPr>
        <w:footnoteRef/>
      </w:r>
      <w:r>
        <w:t xml:space="preserve">  </w:t>
      </w:r>
      <w:r>
        <w:tab/>
        <w:t>2008 QCCS 2391.</w:t>
      </w:r>
    </w:p>
  </w:footnote>
  <w:footnote w:id="34">
    <w:p w14:paraId="724FEB66" w14:textId="7008547D" w:rsidR="00694FD6" w:rsidRPr="00D934C6" w:rsidRDefault="00694FD6" w:rsidP="00694FD6">
      <w:pPr>
        <w:pStyle w:val="Notedebasdepage"/>
        <w:rPr>
          <w:rFonts w:cs="Arial"/>
        </w:rPr>
      </w:pPr>
      <w:r w:rsidRPr="00D934C6">
        <w:rPr>
          <w:rStyle w:val="Appelnotedebasdep"/>
          <w:rFonts w:cs="Arial"/>
        </w:rPr>
        <w:footnoteRef/>
      </w:r>
      <w:r w:rsidRPr="00D934C6">
        <w:rPr>
          <w:rFonts w:cs="Arial"/>
        </w:rPr>
        <w:t xml:space="preserve"> </w:t>
      </w:r>
      <w:r>
        <w:rPr>
          <w:rFonts w:cs="Arial"/>
        </w:rPr>
        <w:t xml:space="preserve"> </w:t>
      </w:r>
      <w:r>
        <w:rPr>
          <w:rFonts w:cs="Arial"/>
        </w:rPr>
        <w:tab/>
      </w:r>
      <w:r w:rsidRPr="00347A9C">
        <w:rPr>
          <w:rFonts w:cs="Arial"/>
          <w:i/>
          <w:iCs/>
        </w:rPr>
        <w:t>Arbour</w:t>
      </w:r>
      <w:r w:rsidRPr="00D934C6">
        <w:rPr>
          <w:rFonts w:cs="Arial"/>
        </w:rPr>
        <w:t xml:space="preserve"> c. </w:t>
      </w:r>
      <w:r w:rsidRPr="00347A9C">
        <w:rPr>
          <w:rFonts w:cs="Arial"/>
          <w:i/>
          <w:iCs/>
        </w:rPr>
        <w:t>Procureure générale du Québec</w:t>
      </w:r>
      <w:r>
        <w:rPr>
          <w:rFonts w:cs="Arial"/>
        </w:rPr>
        <w:t>,</w:t>
      </w:r>
      <w:r w:rsidRPr="00D934C6">
        <w:rPr>
          <w:rFonts w:cs="Arial"/>
        </w:rPr>
        <w:t xml:space="preserve"> </w:t>
      </w:r>
      <w:r w:rsidRPr="00A45650">
        <w:rPr>
          <w:rFonts w:cs="Arial"/>
        </w:rPr>
        <w:t>2017 QCCS 1812</w:t>
      </w:r>
      <w:r w:rsidRPr="00D934C6">
        <w:rPr>
          <w:rFonts w:cs="Arial"/>
        </w:rPr>
        <w:t>, par. 130 à 137.</w:t>
      </w:r>
    </w:p>
  </w:footnote>
  <w:footnote w:id="35">
    <w:p w14:paraId="0535EC71" w14:textId="4EEFF5C4" w:rsidR="00C60A60" w:rsidRDefault="00C60A60">
      <w:pPr>
        <w:pStyle w:val="Notedebasdepage"/>
      </w:pPr>
      <w:r>
        <w:rPr>
          <w:rStyle w:val="Appelnotedebasdep"/>
        </w:rPr>
        <w:footnoteRef/>
      </w:r>
      <w:r>
        <w:t xml:space="preserve">  </w:t>
      </w:r>
      <w:r>
        <w:tab/>
        <w:t>P-52.</w:t>
      </w:r>
    </w:p>
  </w:footnote>
  <w:footnote w:id="36">
    <w:p w14:paraId="28807AC7" w14:textId="3C8D856C" w:rsidR="00F40F51" w:rsidRPr="00D352CD" w:rsidRDefault="00F40F51">
      <w:pPr>
        <w:pStyle w:val="Notedebasdepage"/>
      </w:pPr>
      <w:r>
        <w:rPr>
          <w:rStyle w:val="Appelnotedebasdep"/>
        </w:rPr>
        <w:footnoteRef/>
      </w:r>
      <w:r>
        <w:t xml:space="preserve"> </w:t>
      </w:r>
      <w:r w:rsidR="00D352CD">
        <w:t xml:space="preserve"> </w:t>
      </w:r>
      <w:r w:rsidR="00D352CD">
        <w:tab/>
      </w:r>
      <w:r w:rsidR="00D352CD">
        <w:rPr>
          <w:i/>
          <w:iCs/>
        </w:rPr>
        <w:t xml:space="preserve">Fédération des transporteurs par autobus </w:t>
      </w:r>
      <w:r w:rsidR="00D352CD">
        <w:t xml:space="preserve">c. </w:t>
      </w:r>
      <w:r w:rsidR="00D352CD">
        <w:rPr>
          <w:i/>
          <w:iCs/>
        </w:rPr>
        <w:t>Société de transport du Saguenay</w:t>
      </w:r>
      <w:r w:rsidR="08ECA469" w:rsidRPr="08ECA469">
        <w:rPr>
          <w:i/>
          <w:iCs/>
        </w:rPr>
        <w:t>,</w:t>
      </w:r>
      <w:r w:rsidR="002236DD">
        <w:t xml:space="preserve"> 2021 QCCA 1303, par. 35.</w:t>
      </w:r>
    </w:p>
  </w:footnote>
  <w:footnote w:id="37">
    <w:p w14:paraId="5BC3637B" w14:textId="3D0C25B0" w:rsidR="002515B0" w:rsidRDefault="002515B0">
      <w:pPr>
        <w:pStyle w:val="Notedebasdepage"/>
      </w:pPr>
      <w:r>
        <w:rPr>
          <w:rStyle w:val="Appelnotedebasdep"/>
        </w:rPr>
        <w:footnoteRef/>
      </w:r>
      <w:r>
        <w:t xml:space="preserve">  </w:t>
      </w:r>
      <w:r>
        <w:tab/>
        <w:t>Extrait des notes de plaidoirie des demandeurs, question 5</w:t>
      </w:r>
      <w:r w:rsidR="00147DB3">
        <w:t>, pages 1 et 4</w:t>
      </w:r>
      <w:r>
        <w:t>.</w:t>
      </w:r>
    </w:p>
  </w:footnote>
  <w:footnote w:id="38">
    <w:p w14:paraId="57FAC010" w14:textId="02A671D6" w:rsidR="003A6F19" w:rsidRDefault="003A6F19">
      <w:pPr>
        <w:pStyle w:val="Notedebasdepage"/>
      </w:pPr>
      <w:r>
        <w:rPr>
          <w:rStyle w:val="Appelnotedebasdep"/>
        </w:rPr>
        <w:footnoteRef/>
      </w:r>
      <w:r>
        <w:t xml:space="preserve"> </w:t>
      </w:r>
      <w:r w:rsidR="00A2201E">
        <w:t xml:space="preserve"> </w:t>
      </w:r>
      <w:r w:rsidR="00A2201E">
        <w:tab/>
      </w:r>
      <w:r w:rsidR="00A2201E" w:rsidRPr="000B52C8">
        <w:rPr>
          <w:i/>
          <w:iCs/>
        </w:rPr>
        <w:t>Dunsmuir</w:t>
      </w:r>
      <w:r w:rsidR="00A2201E">
        <w:t xml:space="preserve"> c. </w:t>
      </w:r>
      <w:r w:rsidR="00A2201E" w:rsidRPr="000B52C8">
        <w:rPr>
          <w:i/>
          <w:iCs/>
        </w:rPr>
        <w:t>Nouveau-Brunswick</w:t>
      </w:r>
      <w:r w:rsidR="00A2201E">
        <w:t>, 2008 CSC 9</w:t>
      </w:r>
      <w:r w:rsidR="000B52C8">
        <w:t>.</w:t>
      </w:r>
    </w:p>
  </w:footnote>
  <w:footnote w:id="39">
    <w:p w14:paraId="6628125C" w14:textId="4669DB95" w:rsidR="003A6F19" w:rsidRDefault="003A6F19">
      <w:pPr>
        <w:pStyle w:val="Notedebasdepage"/>
      </w:pPr>
      <w:r>
        <w:rPr>
          <w:rStyle w:val="Appelnotedebasdep"/>
        </w:rPr>
        <w:footnoteRef/>
      </w:r>
      <w:r>
        <w:t xml:space="preserve">  </w:t>
      </w:r>
      <w:r w:rsidR="00A2201E">
        <w:tab/>
      </w:r>
      <w:r w:rsidR="00A2201E" w:rsidRPr="00A2201E">
        <w:rPr>
          <w:i/>
          <w:iCs/>
        </w:rPr>
        <w:t>Canada (Ministre de la Citoyenneté et de l'Immigration</w:t>
      </w:r>
      <w:r w:rsidR="00A2201E">
        <w:t xml:space="preserve">) c. </w:t>
      </w:r>
      <w:r w:rsidR="00A2201E" w:rsidRPr="00A2201E">
        <w:rPr>
          <w:i/>
          <w:iCs/>
        </w:rPr>
        <w:t>Vavilov</w:t>
      </w:r>
      <w:r w:rsidR="00A2201E">
        <w:t>, 2019 CSC 65</w:t>
      </w:r>
      <w:r w:rsidR="000B52C8">
        <w:t>.</w:t>
      </w:r>
    </w:p>
  </w:footnote>
  <w:footnote w:id="40">
    <w:p w14:paraId="517888E4" w14:textId="797EA4EA" w:rsidR="00D050B5" w:rsidRDefault="00D050B5">
      <w:pPr>
        <w:pStyle w:val="Notedebasdepage"/>
      </w:pPr>
      <w:r>
        <w:rPr>
          <w:rStyle w:val="Appelnotedebasdep"/>
        </w:rPr>
        <w:footnoteRef/>
      </w:r>
      <w:r>
        <w:t xml:space="preserve">  </w:t>
      </w:r>
      <w:r>
        <w:tab/>
      </w:r>
      <w:r w:rsidR="00207077" w:rsidRPr="00207077">
        <w:t>81. Les tribunaux ne peuvent prononcer aucune mesure provisionnelle ni aucune sanction, ni exercer un pouvoir de contrôle judiciaire contre le gouvernement, l’un de ses ministres ou une personne, qu’elle soit ou non fonctionnaire de l’État, agissant sous leur autorité ou sur leurs instructions relativement à une matière qui se rapporte à l’exercice de leur fonction ou de l’autorité qui leur est conférée par une loi. Il peut être fait exception à cette règle s’il leur est démontré qu’il y avait défaut ou excès de compétence.</w:t>
      </w:r>
    </w:p>
  </w:footnote>
  <w:footnote w:id="41">
    <w:p w14:paraId="36E07EDE" w14:textId="77777777" w:rsidR="00F8738F" w:rsidRDefault="00F8738F" w:rsidP="00F8738F">
      <w:pPr>
        <w:pStyle w:val="Notedebasdepage"/>
      </w:pPr>
      <w:r>
        <w:rPr>
          <w:rStyle w:val="Appelnotedebasdep"/>
        </w:rPr>
        <w:footnoteRef/>
      </w:r>
      <w:r>
        <w:t xml:space="preserve">  </w:t>
      </w:r>
      <w:r>
        <w:tab/>
        <w:t>Art. 529 C.p.c.</w:t>
      </w:r>
    </w:p>
    <w:p w14:paraId="16BD56E4" w14:textId="31D3E8B3" w:rsidR="00373EAD" w:rsidRDefault="00DC5E4C" w:rsidP="00DC5E4C">
      <w:pPr>
        <w:pStyle w:val="Notedebasdepage"/>
      </w:pPr>
      <w:r>
        <w:t xml:space="preserve"> </w:t>
      </w:r>
      <w:r>
        <w:tab/>
      </w:r>
      <w:r w:rsidR="00373EAD">
        <w:t>(…)</w:t>
      </w:r>
      <w:r>
        <w:t xml:space="preserve"> </w:t>
      </w:r>
      <w:r w:rsidR="00373EAD" w:rsidRPr="00DC5E4C">
        <w:t>Ce pourvoi n’est ouvert que si le jugement ou la décision qui en fait l’objet n’est pas susceptible d’appel ou</w:t>
      </w:r>
      <w:r>
        <w:t xml:space="preserve"> </w:t>
      </w:r>
      <w:r w:rsidR="00373EAD" w:rsidRPr="00DC5E4C">
        <w:t>de contestation, sauf dans le cas où il y a défaut ou excès de compétence.</w:t>
      </w:r>
    </w:p>
  </w:footnote>
  <w:footnote w:id="42">
    <w:p w14:paraId="12409772" w14:textId="02734009" w:rsidR="00EE2CB1" w:rsidRDefault="00EE2CB1">
      <w:pPr>
        <w:pStyle w:val="Notedebasdepage"/>
      </w:pPr>
      <w:r>
        <w:rPr>
          <w:rStyle w:val="Appelnotedebasdep"/>
        </w:rPr>
        <w:footnoteRef/>
      </w:r>
      <w:r>
        <w:t xml:space="preserve">  </w:t>
      </w:r>
      <w:r>
        <w:tab/>
      </w:r>
      <w:r w:rsidR="004E53BA">
        <w:rPr>
          <w:i/>
          <w:iCs/>
        </w:rPr>
        <w:t>Bellefleur</w:t>
      </w:r>
      <w:r w:rsidR="004E53BA">
        <w:t xml:space="preserve"> c. </w:t>
      </w:r>
      <w:r w:rsidR="004E53BA">
        <w:rPr>
          <w:i/>
          <w:iCs/>
        </w:rPr>
        <w:t>Québec (Procureur général</w:t>
      </w:r>
      <w:r w:rsidR="08ECA469" w:rsidRPr="08ECA469">
        <w:rPr>
          <w:i/>
          <w:iCs/>
        </w:rPr>
        <w:t>),</w:t>
      </w:r>
      <w:r w:rsidR="001A249D">
        <w:t xml:space="preserve"> </w:t>
      </w:r>
      <w:r w:rsidR="001A249D">
        <w:rPr>
          <w:rFonts w:cs="Arial"/>
        </w:rPr>
        <w:t>[1993] R.J.Q. 2320</w:t>
      </w:r>
      <w:r w:rsidR="08ECA469">
        <w:rPr>
          <w:rFonts w:cs="Arial"/>
        </w:rPr>
        <w:t xml:space="preserve"> (C.A.)</w:t>
      </w:r>
      <w:r w:rsidR="00D94777">
        <w:rPr>
          <w:rFonts w:cs="Arial"/>
        </w:rPr>
        <w:t xml:space="preserve">, p. </w:t>
      </w:r>
      <w:r w:rsidR="0096548F">
        <w:rPr>
          <w:rFonts w:cs="Arial"/>
        </w:rPr>
        <w:t>59</w:t>
      </w:r>
      <w:r w:rsidR="009823D7">
        <w:rPr>
          <w:rFonts w:cs="Arial"/>
        </w:rPr>
        <w:t>.</w:t>
      </w:r>
    </w:p>
  </w:footnote>
  <w:footnote w:id="43">
    <w:p w14:paraId="5EA08CF8" w14:textId="56586E5E" w:rsidR="00885BAB" w:rsidRPr="002C170E" w:rsidRDefault="00885BAB" w:rsidP="00885BAB">
      <w:pPr>
        <w:pStyle w:val="Notedebasdepage"/>
        <w:rPr>
          <w:i/>
          <w:iCs/>
        </w:rPr>
      </w:pPr>
      <w:r>
        <w:rPr>
          <w:rStyle w:val="Appelnotedebasdep"/>
        </w:rPr>
        <w:footnoteRef/>
      </w:r>
      <w:r>
        <w:t xml:space="preserve">  </w:t>
      </w:r>
      <w:r>
        <w:tab/>
      </w:r>
      <w:r>
        <w:rPr>
          <w:i/>
          <w:iCs/>
        </w:rPr>
        <w:t>Idem</w:t>
      </w:r>
      <w:r w:rsidR="00FE19AA">
        <w:rPr>
          <w:i/>
          <w:iCs/>
        </w:rPr>
        <w:t xml:space="preserve">, </w:t>
      </w:r>
      <w:r w:rsidR="00FE19AA" w:rsidRPr="00D02400">
        <w:t>p. 64</w:t>
      </w:r>
      <w:r w:rsidRPr="00D02400">
        <w:t>.</w:t>
      </w:r>
    </w:p>
  </w:footnote>
  <w:footnote w:id="44">
    <w:p w14:paraId="0E9FCEB1" w14:textId="6C355BAB" w:rsidR="00E705DB" w:rsidRDefault="00E705DB">
      <w:pPr>
        <w:pStyle w:val="Notedebasdepage"/>
      </w:pPr>
      <w:r>
        <w:rPr>
          <w:rStyle w:val="Appelnotedebasdep"/>
        </w:rPr>
        <w:footnoteRef/>
      </w:r>
      <w:r>
        <w:t xml:space="preserve"> </w:t>
      </w:r>
      <w:r w:rsidR="00FC54A2">
        <w:t xml:space="preserve"> </w:t>
      </w:r>
      <w:r w:rsidR="00FC54A2">
        <w:tab/>
        <w:t>À moins que le contexte n’indique le contraire, l’expression « ministre » réfère au ministre de l’Environnement, de la Lutte contre les changements climatiques, de la Faune et des Parcs.</w:t>
      </w:r>
      <w:r w:rsidR="002764CE">
        <w:t xml:space="preserve"> Également, pour des fins de simplification du texte, </w:t>
      </w:r>
      <w:r w:rsidR="00B86675">
        <w:t xml:space="preserve">l’expression « ministère de l’Environnement » est utilisée sans égard au nom </w:t>
      </w:r>
      <w:r w:rsidR="006225DB">
        <w:t>complet</w:t>
      </w:r>
      <w:r w:rsidR="00B86675">
        <w:t xml:space="preserve"> de ce ministère.</w:t>
      </w:r>
    </w:p>
  </w:footnote>
  <w:footnote w:id="45">
    <w:p w14:paraId="3025DC0F" w14:textId="77777777" w:rsidR="00DA60F8" w:rsidRPr="00071565" w:rsidRDefault="00DA60F8" w:rsidP="00DA60F8">
      <w:pPr>
        <w:pStyle w:val="Notedebasdepage"/>
      </w:pPr>
      <w:r w:rsidRPr="00071565">
        <w:rPr>
          <w:rStyle w:val="Appelnotedebasdep"/>
        </w:rPr>
        <w:footnoteRef/>
      </w:r>
      <w:r w:rsidRPr="00071565">
        <w:t xml:space="preserve">  </w:t>
      </w:r>
      <w:r w:rsidRPr="00071565">
        <w:tab/>
        <w:t>Art. 31.1 à 31.9</w:t>
      </w:r>
      <w:r>
        <w:t xml:space="preserve"> </w:t>
      </w:r>
      <w:r w:rsidRPr="00071565">
        <w:t>(31.1 Nul ne peut entreprendre une construction, un ouvrage, une activité ou une exploitation ou exécuter des travaux suivant un plan ou un programme, dans les cas prévus par règlement du gouvernement, sans suivre la procédure d’évaluation et d’examen des impacts sur l’environnement (« Procédure d’évaluation ») […] et obtenir une autorisation du gouvernement.)</w:t>
      </w:r>
      <w:r>
        <w:t>.</w:t>
      </w:r>
    </w:p>
  </w:footnote>
  <w:footnote w:id="46">
    <w:p w14:paraId="3777EDD6" w14:textId="77777777" w:rsidR="00DA60F8" w:rsidRPr="00071565" w:rsidRDefault="00DA60F8" w:rsidP="00DA60F8">
      <w:pPr>
        <w:pStyle w:val="Notedebasdepage"/>
      </w:pPr>
      <w:r w:rsidRPr="00071565">
        <w:rPr>
          <w:rStyle w:val="Appelnotedebasdep"/>
        </w:rPr>
        <w:footnoteRef/>
      </w:r>
      <w:r w:rsidRPr="00071565">
        <w:t xml:space="preserve">  </w:t>
      </w:r>
      <w:r w:rsidRPr="00071565">
        <w:tab/>
        <w:t>RLRQ, c. Q-2, r. 23.1</w:t>
      </w:r>
      <w:r>
        <w:t>.</w:t>
      </w:r>
    </w:p>
  </w:footnote>
  <w:footnote w:id="47">
    <w:p w14:paraId="0EEC0209" w14:textId="49D5F6CD" w:rsidR="00DA60F8" w:rsidRPr="00071565" w:rsidRDefault="00DA60F8" w:rsidP="00DA60F8">
      <w:pPr>
        <w:pStyle w:val="Notedebasdepage"/>
      </w:pPr>
      <w:r w:rsidRPr="00071565">
        <w:rPr>
          <w:rStyle w:val="Appelnotedebasdep"/>
        </w:rPr>
        <w:footnoteRef/>
      </w:r>
      <w:r w:rsidR="08ECA469" w:rsidRPr="00071565">
        <w:t xml:space="preserve">  </w:t>
      </w:r>
      <w:r w:rsidRPr="00071565">
        <w:tab/>
      </w:r>
      <w:r w:rsidR="08ECA469" w:rsidRPr="00071565">
        <w:t xml:space="preserve">Art. 2 du </w:t>
      </w:r>
      <w:r w:rsidR="08ECA469" w:rsidRPr="00181637">
        <w:rPr>
          <w:i/>
          <w:iCs/>
        </w:rPr>
        <w:t>Règlement</w:t>
      </w:r>
      <w:r w:rsidR="08ECA469" w:rsidRPr="08ECA469">
        <w:rPr>
          <w:i/>
          <w:iCs/>
        </w:rPr>
        <w:t xml:space="preserve"> relatif à l‘évaluation et l‘examen des impacts sur l‘environnement de certains projets</w:t>
      </w:r>
      <w:r w:rsidR="08ECA469" w:rsidRPr="08ECA469">
        <w:t>,</w:t>
      </w:r>
      <w:r w:rsidR="08ECA469" w:rsidRPr="00071565">
        <w:t xml:space="preserve"> et article 7 de l’Annexe 1 de ce même règlement.</w:t>
      </w:r>
    </w:p>
  </w:footnote>
  <w:footnote w:id="48">
    <w:p w14:paraId="5862CB14" w14:textId="01B0852F" w:rsidR="00A764E0" w:rsidRPr="00B81D8E" w:rsidRDefault="00A764E0">
      <w:pPr>
        <w:pStyle w:val="Notedebasdepage"/>
        <w:rPr>
          <w:i/>
          <w:iCs/>
        </w:rPr>
      </w:pPr>
      <w:r>
        <w:rPr>
          <w:rStyle w:val="Appelnotedebasdep"/>
        </w:rPr>
        <w:footnoteRef/>
      </w:r>
      <w:r>
        <w:t xml:space="preserve"> </w:t>
      </w:r>
      <w:r w:rsidR="00B81D8E">
        <w:t xml:space="preserve"> </w:t>
      </w:r>
      <w:r w:rsidR="00B81D8E">
        <w:tab/>
      </w:r>
      <w:r w:rsidR="00B81D8E">
        <w:rPr>
          <w:i/>
          <w:iCs/>
        </w:rPr>
        <w:t xml:space="preserve">Lemire </w:t>
      </w:r>
      <w:r w:rsidR="00B81D8E" w:rsidRPr="00B81D8E">
        <w:t>c</w:t>
      </w:r>
      <w:r w:rsidR="00B81D8E">
        <w:rPr>
          <w:i/>
          <w:iCs/>
        </w:rPr>
        <w:t xml:space="preserve">. </w:t>
      </w:r>
      <w:r w:rsidR="08ECA469" w:rsidRPr="08ECA469">
        <w:rPr>
          <w:i/>
          <w:iCs/>
        </w:rPr>
        <w:t xml:space="preserve">Procureure générale du Québec, </w:t>
      </w:r>
      <w:r w:rsidR="08ECA469" w:rsidRPr="00B81D8E">
        <w:t>2019</w:t>
      </w:r>
      <w:r w:rsidR="00B81D8E" w:rsidRPr="00B81D8E">
        <w:t xml:space="preserve"> QCCS </w:t>
      </w:r>
      <w:r w:rsidR="08ECA469" w:rsidRPr="00B81D8E">
        <w:t>1842</w:t>
      </w:r>
      <w:r w:rsidR="00B81D8E">
        <w:rPr>
          <w:i/>
          <w:iCs/>
        </w:rPr>
        <w:t>.</w:t>
      </w:r>
    </w:p>
  </w:footnote>
  <w:footnote w:id="49">
    <w:p w14:paraId="32CBD4BB" w14:textId="3BB75C10" w:rsidR="0017248A" w:rsidRDefault="0017248A">
      <w:pPr>
        <w:pStyle w:val="Notedebasdepage"/>
      </w:pPr>
      <w:r>
        <w:rPr>
          <w:rStyle w:val="Appelnotedebasdep"/>
        </w:rPr>
        <w:footnoteRef/>
      </w:r>
      <w:r>
        <w:t xml:space="preserve">  </w:t>
      </w:r>
      <w:r>
        <w:tab/>
      </w:r>
      <w:r w:rsidRPr="0068259E">
        <w:rPr>
          <w:i/>
          <w:iCs/>
        </w:rPr>
        <w:t>Bellefleur</w:t>
      </w:r>
      <w:r>
        <w:t xml:space="preserve"> c. </w:t>
      </w:r>
      <w:r w:rsidRPr="0068259E">
        <w:rPr>
          <w:i/>
          <w:iCs/>
        </w:rPr>
        <w:t>Québec (Procureur général)</w:t>
      </w:r>
      <w:r>
        <w:t>, [1993] R.J.Q. 2320</w:t>
      </w:r>
      <w:r w:rsidR="08ECA469">
        <w:t xml:space="preserve"> (C.A.).</w:t>
      </w:r>
    </w:p>
  </w:footnote>
  <w:footnote w:id="50">
    <w:p w14:paraId="77E8A6D9" w14:textId="23B410D0" w:rsidR="00B4412C" w:rsidRPr="002136BC" w:rsidRDefault="00B4412C" w:rsidP="00B4412C">
      <w:pPr>
        <w:pStyle w:val="Notedebasdepage"/>
        <w:rPr>
          <w:i/>
          <w:iCs/>
        </w:rPr>
      </w:pPr>
      <w:r>
        <w:rPr>
          <w:rStyle w:val="Appelnotedebasdep"/>
        </w:rPr>
        <w:footnoteRef/>
      </w:r>
      <w:r>
        <w:t xml:space="preserve">  </w:t>
      </w:r>
      <w:r>
        <w:tab/>
      </w:r>
      <w:r>
        <w:rPr>
          <w:i/>
          <w:iCs/>
        </w:rPr>
        <w:t>Idem</w:t>
      </w:r>
      <w:r w:rsidR="00A45119" w:rsidRPr="00A45119">
        <w:t>, p. 64</w:t>
      </w:r>
      <w:r w:rsidRPr="00A45119">
        <w:t>.</w:t>
      </w:r>
    </w:p>
  </w:footnote>
  <w:footnote w:id="51">
    <w:p w14:paraId="3355D3C9" w14:textId="77777777" w:rsidR="00B4412C" w:rsidRDefault="00B4412C" w:rsidP="00B4412C">
      <w:pPr>
        <w:pStyle w:val="Notedebasdepage"/>
      </w:pPr>
      <w:r>
        <w:rPr>
          <w:rStyle w:val="Appelnotedebasdep"/>
        </w:rPr>
        <w:footnoteRef/>
      </w:r>
      <w:r>
        <w:t xml:space="preserve">  </w:t>
      </w:r>
      <w:r>
        <w:tab/>
        <w:t>2005 QCCA 605.</w:t>
      </w:r>
    </w:p>
  </w:footnote>
  <w:footnote w:id="52">
    <w:p w14:paraId="7EAA90B8" w14:textId="77777777" w:rsidR="00B4412C" w:rsidRDefault="00B4412C" w:rsidP="00B4412C">
      <w:pPr>
        <w:pStyle w:val="Notedebasdepage"/>
      </w:pPr>
      <w:r>
        <w:rPr>
          <w:rStyle w:val="Appelnotedebasdep"/>
        </w:rPr>
        <w:footnoteRef/>
      </w:r>
      <w:r>
        <w:t xml:space="preserve">  </w:t>
      </w:r>
      <w:r>
        <w:tab/>
      </w:r>
      <w:r w:rsidRPr="00527BC0">
        <w:rPr>
          <w:i/>
          <w:iCs/>
        </w:rPr>
        <w:t>Ville de Québec</w:t>
      </w:r>
      <w:r>
        <w:t xml:space="preserve"> c. </w:t>
      </w:r>
      <w:r w:rsidRPr="00527BC0">
        <w:rPr>
          <w:i/>
          <w:iCs/>
        </w:rPr>
        <w:t>Galy</w:t>
      </w:r>
      <w:r>
        <w:t>, 2020 QCCA 1130.</w:t>
      </w:r>
    </w:p>
  </w:footnote>
  <w:footnote w:id="53">
    <w:p w14:paraId="5ED110B3" w14:textId="2C3254D6" w:rsidR="00B11162" w:rsidRDefault="00B11162" w:rsidP="00B11162">
      <w:pPr>
        <w:pStyle w:val="Notedebasdepage"/>
      </w:pPr>
      <w:r>
        <w:rPr>
          <w:rStyle w:val="Appelnotedebasdep"/>
        </w:rPr>
        <w:footnoteRef/>
      </w:r>
      <w:r>
        <w:t xml:space="preserve">  </w:t>
      </w:r>
      <w:r>
        <w:tab/>
        <w:t xml:space="preserve">Déclaration sous serment de Madame Doris Chabot, 18 août 2022, par. 4. Le récit contenu dans la déclaration sous serment de Monsieur Marc Roussin en date du 5 juillet 2022 est au même effet. Monsieur Jean-Michel Thériault relate les faits à compter du 16 novembre 2018 (P-7). Monsieur Roland Couture relate les faits à compter du 16 mars 2018 (P-8). </w:t>
      </w:r>
      <w:r w:rsidR="00A85EB1">
        <w:t>Monsieur Jean-Pierre du Sault</w:t>
      </w:r>
      <w:r w:rsidR="08ECA469">
        <w:t xml:space="preserve"> ne</w:t>
      </w:r>
      <w:r w:rsidR="00A85EB1">
        <w:t xml:space="preserve"> s'intéresse à ce dossier </w:t>
      </w:r>
      <w:r w:rsidR="00DA017C">
        <w:t xml:space="preserve">que </w:t>
      </w:r>
      <w:r w:rsidR="00A85EB1">
        <w:t xml:space="preserve">depuis mai 2020 </w:t>
      </w:r>
      <w:r w:rsidR="00DA017C">
        <w:t xml:space="preserve">car </w:t>
      </w:r>
      <w:r w:rsidR="00A85EB1">
        <w:t>il aurait</w:t>
      </w:r>
      <w:r w:rsidR="00DA017C">
        <w:t xml:space="preserve"> alors</w:t>
      </w:r>
      <w:r w:rsidR="00A85EB1">
        <w:t xml:space="preserve"> été informé que sa propriété pourrait faire l'objet d'une demande d'acquisition de la </w:t>
      </w:r>
      <w:r w:rsidR="08ECA469">
        <w:t>V</w:t>
      </w:r>
      <w:r w:rsidR="00A85EB1">
        <w:t>ille (P-11).</w:t>
      </w:r>
      <w:r w:rsidR="00DA017C">
        <w:t xml:space="preserve"> Quant aux autres affiants,</w:t>
      </w:r>
      <w:r w:rsidR="00357DE9">
        <w:t xml:space="preserve"> mis à part </w:t>
      </w:r>
      <w:r w:rsidR="00290176">
        <w:t xml:space="preserve">l'année d'acquisition de leur résidence, </w:t>
      </w:r>
      <w:r w:rsidR="00357DE9">
        <w:t>la lecture de leurs déclarations ne permet pas d'identifier à quel moment ils se sont intéressés au dossier du tramway.</w:t>
      </w:r>
    </w:p>
    <w:p w14:paraId="157A97C5" w14:textId="77777777" w:rsidR="00B11162" w:rsidRDefault="00B11162" w:rsidP="00B11162">
      <w:pPr>
        <w:pStyle w:val="Notedebasdepage"/>
      </w:pPr>
    </w:p>
  </w:footnote>
  <w:footnote w:id="54">
    <w:p w14:paraId="0E9A0891" w14:textId="0EF5FACC" w:rsidR="009D13CB" w:rsidRDefault="009D13CB">
      <w:pPr>
        <w:pStyle w:val="Notedebasdepage"/>
      </w:pPr>
      <w:r>
        <w:rPr>
          <w:rStyle w:val="Appelnotedebasdep"/>
        </w:rPr>
        <w:footnoteRef/>
      </w:r>
      <w:r>
        <w:t xml:space="preserve">  </w:t>
      </w:r>
      <w:r>
        <w:tab/>
        <w:t>VQ-11.</w:t>
      </w:r>
    </w:p>
  </w:footnote>
  <w:footnote w:id="55">
    <w:p w14:paraId="6861A17D" w14:textId="337B27D6" w:rsidR="00CE3E3F" w:rsidRDefault="00CE3E3F">
      <w:pPr>
        <w:pStyle w:val="Notedebasdepage"/>
      </w:pPr>
      <w:r>
        <w:rPr>
          <w:rStyle w:val="Appelnotedebasdep"/>
        </w:rPr>
        <w:footnoteRef/>
      </w:r>
      <w:r>
        <w:t xml:space="preserve"> </w:t>
      </w:r>
      <w:r w:rsidR="00EE614A">
        <w:t xml:space="preserve"> </w:t>
      </w:r>
      <w:r w:rsidR="00EE614A">
        <w:tab/>
        <w:t>Rapport du BAPE, P-35, p. 156.</w:t>
      </w:r>
    </w:p>
  </w:footnote>
  <w:footnote w:id="56">
    <w:p w14:paraId="7CC883BF" w14:textId="4F84FFE6" w:rsidR="00917943" w:rsidRDefault="00917943">
      <w:pPr>
        <w:pStyle w:val="Notedebasdepage"/>
      </w:pPr>
      <w:r>
        <w:rPr>
          <w:rStyle w:val="Appelnotedebasdep"/>
        </w:rPr>
        <w:footnoteRef/>
      </w:r>
      <w:r>
        <w:t xml:space="preserve">  </w:t>
      </w:r>
      <w:r>
        <w:tab/>
      </w:r>
      <w:r w:rsidRPr="00E85353">
        <w:rPr>
          <w:i/>
        </w:rPr>
        <w:t>Idem</w:t>
      </w:r>
      <w:r>
        <w:t>, p. 158.</w:t>
      </w:r>
    </w:p>
  </w:footnote>
  <w:footnote w:id="57">
    <w:p w14:paraId="2234933F" w14:textId="6D42345D" w:rsidR="00E37CFC" w:rsidRDefault="00E37CFC">
      <w:pPr>
        <w:pStyle w:val="Notedebasdepage"/>
      </w:pPr>
      <w:r>
        <w:rPr>
          <w:rStyle w:val="Appelnotedebasdep"/>
        </w:rPr>
        <w:footnoteRef/>
      </w:r>
      <w:r>
        <w:t xml:space="preserve">  </w:t>
      </w:r>
      <w:r>
        <w:tab/>
        <w:t>VQ-12a</w:t>
      </w:r>
      <w:r w:rsidR="00281539">
        <w:t xml:space="preserve"> et VQ-12b</w:t>
      </w:r>
      <w:r w:rsidR="007A247C">
        <w:t>.</w:t>
      </w:r>
    </w:p>
  </w:footnote>
  <w:footnote w:id="58">
    <w:p w14:paraId="57D7F2A1" w14:textId="06C387DE" w:rsidR="00D93DD9" w:rsidRDefault="00AB186F" w:rsidP="00D93DD9">
      <w:pPr>
        <w:pStyle w:val="Notedebasdepage"/>
      </w:pPr>
      <w:r>
        <w:rPr>
          <w:rStyle w:val="Appelnotedebasdep"/>
        </w:rPr>
        <w:footnoteRef/>
      </w:r>
      <w:r>
        <w:t xml:space="preserve">  </w:t>
      </w:r>
      <w:r>
        <w:tab/>
      </w:r>
      <w:r w:rsidR="0091321E">
        <w:t xml:space="preserve">Déclaration sous serment de Monsieur Daniel Genest, 19 octobre 2022, par. 35 </w:t>
      </w:r>
      <w:r w:rsidR="00D93DD9">
        <w:t>à 41</w:t>
      </w:r>
      <w:r w:rsidR="08ECA469">
        <w:t>.</w:t>
      </w:r>
    </w:p>
  </w:footnote>
  <w:footnote w:id="59">
    <w:p w14:paraId="042FE3FF" w14:textId="356C412A" w:rsidR="00087E7C" w:rsidRDefault="00087E7C">
      <w:pPr>
        <w:pStyle w:val="Notedebasdepage"/>
      </w:pPr>
      <w:r>
        <w:rPr>
          <w:rStyle w:val="Appelnotedebasdep"/>
        </w:rPr>
        <w:footnoteRef/>
      </w:r>
      <w:r>
        <w:t xml:space="preserve">  </w:t>
      </w:r>
      <w:r>
        <w:tab/>
      </w:r>
      <w:r w:rsidRPr="00E85353">
        <w:rPr>
          <w:i/>
        </w:rPr>
        <w:t>Idem</w:t>
      </w:r>
      <w:r>
        <w:t>, par. 42 à 45.</w:t>
      </w:r>
    </w:p>
  </w:footnote>
  <w:footnote w:id="60">
    <w:p w14:paraId="624C620B" w14:textId="1976D41C" w:rsidR="00554EBD" w:rsidRDefault="00554EBD">
      <w:pPr>
        <w:pStyle w:val="Notedebasdepage"/>
      </w:pPr>
      <w:r>
        <w:rPr>
          <w:rStyle w:val="Appelnotedebasdep"/>
        </w:rPr>
        <w:footnoteRef/>
      </w:r>
      <w:r>
        <w:t xml:space="preserve"> </w:t>
      </w:r>
      <w:r>
        <w:tab/>
      </w:r>
      <w:r w:rsidRPr="00E85353">
        <w:rPr>
          <w:i/>
        </w:rPr>
        <w:t>Idem</w:t>
      </w:r>
      <w:r>
        <w:t>, par. 46 et 47.</w:t>
      </w:r>
    </w:p>
  </w:footnote>
  <w:footnote w:id="61">
    <w:p w14:paraId="6D114FDE" w14:textId="22DA7A2B" w:rsidR="001F1D07" w:rsidRDefault="001F1D07">
      <w:pPr>
        <w:pStyle w:val="Notedebasdepage"/>
      </w:pPr>
      <w:r>
        <w:rPr>
          <w:rStyle w:val="Appelnotedebasdep"/>
        </w:rPr>
        <w:footnoteRef/>
      </w:r>
      <w:r>
        <w:t xml:space="preserve">  </w:t>
      </w:r>
      <w:r>
        <w:tab/>
        <w:t>PGQ-4.</w:t>
      </w:r>
    </w:p>
  </w:footnote>
  <w:footnote w:id="62">
    <w:p w14:paraId="36916AB2" w14:textId="0B5E01FA" w:rsidR="001269A4" w:rsidRDefault="001269A4">
      <w:pPr>
        <w:pStyle w:val="Notedebasdepage"/>
      </w:pPr>
      <w:r>
        <w:rPr>
          <w:rStyle w:val="Appelnotedebasdep"/>
        </w:rPr>
        <w:footnoteRef/>
      </w:r>
      <w:r>
        <w:t xml:space="preserve">  </w:t>
      </w:r>
      <w:r>
        <w:tab/>
        <w:t>PGQ-8.</w:t>
      </w:r>
    </w:p>
  </w:footnote>
  <w:footnote w:id="63">
    <w:p w14:paraId="4923D880" w14:textId="03930988" w:rsidR="00B9652A" w:rsidRDefault="00B9652A">
      <w:pPr>
        <w:pStyle w:val="Notedebasdepage"/>
      </w:pPr>
      <w:r>
        <w:rPr>
          <w:rStyle w:val="Appelnotedebasdep"/>
        </w:rPr>
        <w:footnoteRef/>
      </w:r>
      <w:r>
        <w:t xml:space="preserve">  </w:t>
      </w:r>
      <w:r>
        <w:tab/>
        <w:t>PGQ-9.</w:t>
      </w:r>
    </w:p>
  </w:footnote>
  <w:footnote w:id="64">
    <w:p w14:paraId="5D60FB70" w14:textId="3FE474AD" w:rsidR="000E27CF" w:rsidRDefault="000E27CF">
      <w:pPr>
        <w:pStyle w:val="Notedebasdepage"/>
      </w:pPr>
      <w:r>
        <w:rPr>
          <w:rStyle w:val="Appelnotedebasdep"/>
        </w:rPr>
        <w:footnoteRef/>
      </w:r>
      <w:r>
        <w:t xml:space="preserve">  </w:t>
      </w:r>
      <w:r>
        <w:tab/>
        <w:t>PGQ-12.</w:t>
      </w:r>
    </w:p>
  </w:footnote>
  <w:footnote w:id="65">
    <w:p w14:paraId="1870A173" w14:textId="63ED05E3" w:rsidR="004C5FA0" w:rsidRDefault="004C5FA0">
      <w:pPr>
        <w:pStyle w:val="Notedebasdepage"/>
      </w:pPr>
      <w:r>
        <w:rPr>
          <w:rStyle w:val="Appelnotedebasdep"/>
        </w:rPr>
        <w:footnoteRef/>
      </w:r>
      <w:r>
        <w:t xml:space="preserve">  </w:t>
      </w:r>
      <w:r>
        <w:tab/>
        <w:t>PGQ-13 et PGQ-14.</w:t>
      </w:r>
    </w:p>
  </w:footnote>
  <w:footnote w:id="66">
    <w:p w14:paraId="2A64AEAD" w14:textId="155DC57B" w:rsidR="00553926" w:rsidRDefault="00553926">
      <w:pPr>
        <w:pStyle w:val="Notedebasdepage"/>
      </w:pPr>
      <w:r>
        <w:rPr>
          <w:rStyle w:val="Appelnotedebasdep"/>
        </w:rPr>
        <w:footnoteRef/>
      </w:r>
      <w:r>
        <w:t xml:space="preserve">  </w:t>
      </w:r>
      <w:r>
        <w:tab/>
        <w:t>PGQ-15</w:t>
      </w:r>
      <w:r w:rsidR="0012007B">
        <w:t>,</w:t>
      </w:r>
      <w:r>
        <w:t xml:space="preserve"> PGQ-16</w:t>
      </w:r>
      <w:r w:rsidR="0012007B">
        <w:t xml:space="preserve"> et PGQ-17</w:t>
      </w:r>
      <w:r>
        <w:t>.</w:t>
      </w:r>
    </w:p>
  </w:footnote>
  <w:footnote w:id="67">
    <w:p w14:paraId="13421DC1" w14:textId="001DEA56" w:rsidR="0012007B" w:rsidRDefault="0012007B">
      <w:pPr>
        <w:pStyle w:val="Notedebasdepage"/>
      </w:pPr>
      <w:r>
        <w:rPr>
          <w:rStyle w:val="Appelnotedebasdep"/>
        </w:rPr>
        <w:footnoteRef/>
      </w:r>
      <w:r>
        <w:t xml:space="preserve">  </w:t>
      </w:r>
      <w:r>
        <w:tab/>
        <w:t>PGQ-19</w:t>
      </w:r>
      <w:r w:rsidR="00B61F07">
        <w:t>.</w:t>
      </w:r>
    </w:p>
  </w:footnote>
  <w:footnote w:id="68">
    <w:p w14:paraId="5E4F37E1" w14:textId="7353778A" w:rsidR="000F2ECB" w:rsidRDefault="000F2ECB">
      <w:pPr>
        <w:pStyle w:val="Notedebasdepage"/>
      </w:pPr>
      <w:r>
        <w:rPr>
          <w:rStyle w:val="Appelnotedebasdep"/>
        </w:rPr>
        <w:footnoteRef/>
      </w:r>
      <w:r>
        <w:t xml:space="preserve"> </w:t>
      </w:r>
      <w:r w:rsidR="00431830">
        <w:t xml:space="preserve"> </w:t>
      </w:r>
      <w:r w:rsidR="00431830">
        <w:tab/>
        <w:t>D</w:t>
      </w:r>
      <w:r w:rsidR="00B80236">
        <w:t>ans une déclaration sous serment complémentaire en date du 18 novembre 2022, Madame Rail précise que 17 des 91 avis du BAPE sont apparus comme étant d'ordre général</w:t>
      </w:r>
      <w:r w:rsidR="00431830">
        <w:t xml:space="preserve"> et ne </w:t>
      </w:r>
      <w:r w:rsidR="08ECA469">
        <w:t>portaient</w:t>
      </w:r>
      <w:r w:rsidR="00431830">
        <w:t xml:space="preserve"> pas sur des améliorations techniques spécifiques visant à bonifier le projet sur le plan environnemental ou social.</w:t>
      </w:r>
      <w:r w:rsidR="00B80236">
        <w:t xml:space="preserve"> </w:t>
      </w:r>
      <w:r w:rsidR="00B80236">
        <w:tab/>
      </w:r>
    </w:p>
  </w:footnote>
  <w:footnote w:id="69">
    <w:p w14:paraId="69D1E884" w14:textId="7F05D97A" w:rsidR="00FE162A" w:rsidRPr="00683EB5" w:rsidRDefault="00FE162A">
      <w:pPr>
        <w:pStyle w:val="Notedebasdepage"/>
      </w:pPr>
      <w:r>
        <w:rPr>
          <w:rStyle w:val="Appelnotedebasdep"/>
        </w:rPr>
        <w:footnoteRef/>
      </w:r>
      <w:r w:rsidRPr="00683EB5">
        <w:t xml:space="preserve">  </w:t>
      </w:r>
      <w:r w:rsidRPr="00683EB5">
        <w:tab/>
        <w:t xml:space="preserve">P-49, Rapport </w:t>
      </w:r>
      <w:r w:rsidR="00683EB5">
        <w:t xml:space="preserve">d'analyse environnementale </w:t>
      </w:r>
      <w:r w:rsidR="00AF3469">
        <w:t xml:space="preserve">du tracé </w:t>
      </w:r>
      <w:r w:rsidR="00683EB5" w:rsidRPr="00683EB5">
        <w:t xml:space="preserve">situé entre </w:t>
      </w:r>
      <w:r w:rsidR="00AF3469">
        <w:t>l</w:t>
      </w:r>
      <w:r w:rsidR="00683EB5" w:rsidRPr="00683EB5">
        <w:t xml:space="preserve">e terminus </w:t>
      </w:r>
      <w:r w:rsidR="00AF3469">
        <w:t>L</w:t>
      </w:r>
      <w:r w:rsidR="00683EB5" w:rsidRPr="00683EB5">
        <w:t xml:space="preserve">e </w:t>
      </w:r>
      <w:r w:rsidR="00AF3469">
        <w:t>G</w:t>
      </w:r>
      <w:r w:rsidR="00683EB5" w:rsidRPr="00683EB5">
        <w:t>endre et</w:t>
      </w:r>
      <w:r w:rsidR="00683EB5">
        <w:t xml:space="preserve"> le pôle Saint-Roch du projet de construction d'un tramway sur le territoire de la ville de Québec par la </w:t>
      </w:r>
      <w:r w:rsidR="00AF3469">
        <w:t>V</w:t>
      </w:r>
      <w:r w:rsidR="00683EB5">
        <w:t>ille de Québec, 8 décembre 2021, p. iv.</w:t>
      </w:r>
    </w:p>
  </w:footnote>
  <w:footnote w:id="70">
    <w:p w14:paraId="5D6EDE5E" w14:textId="0E81C320" w:rsidR="005F6A24" w:rsidRDefault="005F6A24">
      <w:pPr>
        <w:pStyle w:val="Notedebasdepage"/>
      </w:pPr>
      <w:r>
        <w:rPr>
          <w:rStyle w:val="Appelnotedebasdep"/>
        </w:rPr>
        <w:footnoteRef/>
      </w:r>
      <w:r>
        <w:t xml:space="preserve"> </w:t>
      </w:r>
      <w:r w:rsidR="00043D10">
        <w:t xml:space="preserve"> </w:t>
      </w:r>
      <w:r w:rsidR="00043D10">
        <w:tab/>
        <w:t>Notes de plaidoirie des demandeurs, onglet 5, p. 8.</w:t>
      </w:r>
    </w:p>
  </w:footnote>
  <w:footnote w:id="71">
    <w:p w14:paraId="451C36DD" w14:textId="36BC9E43" w:rsidR="0048250D" w:rsidRPr="00602A22" w:rsidRDefault="0048250D">
      <w:pPr>
        <w:pStyle w:val="Notedebasdepage"/>
      </w:pPr>
      <w:r>
        <w:rPr>
          <w:rStyle w:val="Appelnotedebasdep"/>
        </w:rPr>
        <w:footnoteRef/>
      </w:r>
      <w:r w:rsidRPr="00602A22">
        <w:t xml:space="preserve">  </w:t>
      </w:r>
      <w:r w:rsidRPr="00602A22">
        <w:tab/>
        <w:t xml:space="preserve">Déclaration </w:t>
      </w:r>
      <w:r w:rsidR="00602A22" w:rsidRPr="00602A22">
        <w:t>sous serment de Madame Doris</w:t>
      </w:r>
      <w:r w:rsidR="00602A22">
        <w:t xml:space="preserve"> Chabot, le 18 août 2022, par. 16 et ss.</w:t>
      </w:r>
    </w:p>
  </w:footnote>
  <w:footnote w:id="72">
    <w:p w14:paraId="6BA84548" w14:textId="3451778B" w:rsidR="005E6558" w:rsidRPr="006E01C0" w:rsidRDefault="005E6558">
      <w:pPr>
        <w:pStyle w:val="Notedebasdepage"/>
        <w:rPr>
          <w:lang w:val="en-CA"/>
        </w:rPr>
      </w:pPr>
      <w:r>
        <w:rPr>
          <w:rStyle w:val="Appelnotedebasdep"/>
        </w:rPr>
        <w:footnoteRef/>
      </w:r>
      <w:r w:rsidRPr="006E01C0">
        <w:rPr>
          <w:lang w:val="en-CA"/>
        </w:rPr>
        <w:t xml:space="preserve">  </w:t>
      </w:r>
      <w:r w:rsidRPr="006E01C0">
        <w:rPr>
          <w:lang w:val="en-CA"/>
        </w:rPr>
        <w:tab/>
        <w:t>VQ-13b, p. 26</w:t>
      </w:r>
      <w:r w:rsidR="08ECA469" w:rsidRPr="006E01C0">
        <w:rPr>
          <w:lang w:val="en-CA"/>
        </w:rPr>
        <w:t>,</w:t>
      </w:r>
      <w:r w:rsidR="00AA10A5" w:rsidRPr="006E01C0">
        <w:rPr>
          <w:lang w:val="en-CA"/>
        </w:rPr>
        <w:t xml:space="preserve"> 27</w:t>
      </w:r>
      <w:r w:rsidR="001E20D2" w:rsidRPr="006E01C0">
        <w:rPr>
          <w:lang w:val="en-CA"/>
        </w:rPr>
        <w:t>, 36</w:t>
      </w:r>
      <w:r w:rsidR="08ECA469" w:rsidRPr="006E01C0">
        <w:rPr>
          <w:lang w:val="en-CA"/>
        </w:rPr>
        <w:t>,</w:t>
      </w:r>
      <w:r w:rsidR="001E20D2" w:rsidRPr="006E01C0">
        <w:rPr>
          <w:lang w:val="en-CA"/>
        </w:rPr>
        <w:t xml:space="preserve"> 37</w:t>
      </w:r>
      <w:r w:rsidR="08ECA469" w:rsidRPr="006E01C0">
        <w:rPr>
          <w:lang w:val="en-CA"/>
        </w:rPr>
        <w:t xml:space="preserve"> et</w:t>
      </w:r>
      <w:r w:rsidR="00D96A87" w:rsidRPr="006E01C0">
        <w:rPr>
          <w:lang w:val="en-CA"/>
        </w:rPr>
        <w:t xml:space="preserve"> 39</w:t>
      </w:r>
      <w:r w:rsidRPr="006E01C0">
        <w:rPr>
          <w:lang w:val="en-CA"/>
        </w:rPr>
        <w:t>.</w:t>
      </w:r>
    </w:p>
  </w:footnote>
  <w:footnote w:id="73">
    <w:p w14:paraId="4294A46F" w14:textId="44504D2A" w:rsidR="00C975ED" w:rsidRPr="006E01C0" w:rsidRDefault="00C975ED">
      <w:pPr>
        <w:pStyle w:val="Notedebasdepage"/>
        <w:rPr>
          <w:lang w:val="en-CA"/>
        </w:rPr>
      </w:pPr>
      <w:r>
        <w:rPr>
          <w:rStyle w:val="Appelnotedebasdep"/>
        </w:rPr>
        <w:footnoteRef/>
      </w:r>
      <w:r w:rsidRPr="006E01C0">
        <w:rPr>
          <w:lang w:val="en-CA"/>
        </w:rPr>
        <w:t xml:space="preserve"> </w:t>
      </w:r>
      <w:r w:rsidR="00DE7E30" w:rsidRPr="006E01C0">
        <w:rPr>
          <w:lang w:val="en-CA"/>
        </w:rPr>
        <w:t xml:space="preserve"> </w:t>
      </w:r>
      <w:r w:rsidR="00DE7E30" w:rsidRPr="006E01C0">
        <w:rPr>
          <w:lang w:val="en-CA"/>
        </w:rPr>
        <w:tab/>
        <w:t>P-66.</w:t>
      </w:r>
    </w:p>
  </w:footnote>
  <w:footnote w:id="74">
    <w:p w14:paraId="75EAB590" w14:textId="21A940ED" w:rsidR="006D5BAD" w:rsidRPr="006E01C0" w:rsidRDefault="006D5BAD">
      <w:pPr>
        <w:pStyle w:val="Notedebasdepage"/>
        <w:rPr>
          <w:lang w:val="en-CA"/>
        </w:rPr>
      </w:pPr>
      <w:r>
        <w:rPr>
          <w:rStyle w:val="Appelnotedebasdep"/>
        </w:rPr>
        <w:footnoteRef/>
      </w:r>
      <w:r w:rsidRPr="006E01C0">
        <w:rPr>
          <w:lang w:val="en-CA"/>
        </w:rPr>
        <w:t xml:space="preserve">  </w:t>
      </w:r>
      <w:r w:rsidRPr="006E01C0">
        <w:rPr>
          <w:lang w:val="en-CA"/>
        </w:rPr>
        <w:tab/>
      </w:r>
      <w:r w:rsidR="003358F7" w:rsidRPr="006E01C0">
        <w:rPr>
          <w:lang w:val="en-CA"/>
        </w:rPr>
        <w:t>RLRQ, c. I-8.3, art. 18.</w:t>
      </w:r>
    </w:p>
  </w:footnote>
  <w:footnote w:id="75">
    <w:p w14:paraId="19C88418" w14:textId="509F8131" w:rsidR="00C521D4" w:rsidRDefault="00C521D4">
      <w:pPr>
        <w:pStyle w:val="Notedebasdepage"/>
      </w:pPr>
      <w:r>
        <w:rPr>
          <w:rStyle w:val="Appelnotedebasdep"/>
        </w:rPr>
        <w:footnoteRef/>
      </w:r>
      <w:r>
        <w:t xml:space="preserve">  </w:t>
      </w:r>
      <w:r>
        <w:tab/>
        <w:t xml:space="preserve">Page 7 de la Directive </w:t>
      </w:r>
      <w:r w:rsidR="00BE0480">
        <w:t>sur la gestion des projets majeurs d'infrastructure publique.</w:t>
      </w:r>
    </w:p>
  </w:footnote>
  <w:footnote w:id="76">
    <w:p w14:paraId="4834BA6D" w14:textId="35F16201" w:rsidR="00922736" w:rsidRDefault="00922736">
      <w:pPr>
        <w:pStyle w:val="Notedebasdepage"/>
      </w:pPr>
      <w:r>
        <w:rPr>
          <w:rStyle w:val="Appelnotedebasdep"/>
        </w:rPr>
        <w:footnoteRef/>
      </w:r>
      <w:r>
        <w:t xml:space="preserve">  </w:t>
      </w:r>
      <w:r>
        <w:tab/>
        <w:t>Ville de Québec.</w:t>
      </w:r>
    </w:p>
  </w:footnote>
  <w:footnote w:id="77">
    <w:p w14:paraId="5639F90A" w14:textId="144DA9F8" w:rsidR="00C048A2" w:rsidRDefault="00C048A2">
      <w:pPr>
        <w:pStyle w:val="Notedebasdepage"/>
      </w:pPr>
      <w:r>
        <w:rPr>
          <w:rStyle w:val="Appelnotedebasdep"/>
        </w:rPr>
        <w:footnoteRef/>
      </w:r>
      <w:r>
        <w:t xml:space="preserve"> </w:t>
      </w:r>
      <w:r w:rsidR="00121305">
        <w:t xml:space="preserve"> </w:t>
      </w:r>
      <w:r w:rsidR="00121305">
        <w:tab/>
        <w:t>PGQ-20, p. 5.</w:t>
      </w:r>
    </w:p>
  </w:footnote>
  <w:footnote w:id="78">
    <w:p w14:paraId="1E260DD6" w14:textId="66E523D6" w:rsidR="008979F4" w:rsidRDefault="008979F4">
      <w:pPr>
        <w:pStyle w:val="Notedebasdepage"/>
      </w:pPr>
      <w:r>
        <w:rPr>
          <w:rStyle w:val="Appelnotedebasdep"/>
        </w:rPr>
        <w:footnoteRef/>
      </w:r>
      <w:r>
        <w:t xml:space="preserve">  </w:t>
      </w:r>
      <w:r>
        <w:tab/>
      </w:r>
      <w:r w:rsidR="002245DD">
        <w:t xml:space="preserve">Art. 131 et ss. LQE; voir </w:t>
      </w:r>
      <w:r w:rsidR="009E4096">
        <w:t xml:space="preserve">aussi </w:t>
      </w:r>
      <w:r w:rsidR="009E4096" w:rsidRPr="00326DF2">
        <w:rPr>
          <w:i/>
          <w:iCs/>
        </w:rPr>
        <w:t xml:space="preserve">Ressources Strateco </w:t>
      </w:r>
      <w:r w:rsidR="00326DF2" w:rsidRPr="00326DF2">
        <w:rPr>
          <w:i/>
          <w:iCs/>
        </w:rPr>
        <w:t>i</w:t>
      </w:r>
      <w:r w:rsidR="009E4096" w:rsidRPr="00326DF2">
        <w:rPr>
          <w:i/>
          <w:iCs/>
        </w:rPr>
        <w:t>nc</w:t>
      </w:r>
      <w:r w:rsidR="009E4096">
        <w:t xml:space="preserve">. </w:t>
      </w:r>
      <w:r w:rsidR="00326DF2">
        <w:t>c</w:t>
      </w:r>
      <w:r w:rsidR="009E4096">
        <w:t xml:space="preserve">. </w:t>
      </w:r>
      <w:r w:rsidR="009E4096" w:rsidRPr="00326DF2">
        <w:rPr>
          <w:i/>
          <w:iCs/>
        </w:rPr>
        <w:t>Procureur</w:t>
      </w:r>
      <w:r w:rsidR="00326DF2" w:rsidRPr="00326DF2">
        <w:rPr>
          <w:i/>
          <w:iCs/>
        </w:rPr>
        <w:t>e</w:t>
      </w:r>
      <w:r w:rsidR="009E4096" w:rsidRPr="00326DF2">
        <w:rPr>
          <w:i/>
          <w:iCs/>
        </w:rPr>
        <w:t xml:space="preserve"> générale du Québec</w:t>
      </w:r>
      <w:r w:rsidR="009E4096">
        <w:t>, 2017 QCCS 2679</w:t>
      </w:r>
      <w:r w:rsidR="00254835">
        <w:t>, par</w:t>
      </w:r>
      <w:r w:rsidR="08ECA469">
        <w:t>.</w:t>
      </w:r>
      <w:r w:rsidR="00254835">
        <w:t xml:space="preserve"> 435 et ss</w:t>
      </w:r>
      <w:r w:rsidR="009E4096">
        <w:t>.</w:t>
      </w:r>
    </w:p>
  </w:footnote>
  <w:footnote w:id="79">
    <w:p w14:paraId="714CF3C8" w14:textId="1EE37004" w:rsidR="0000311C" w:rsidRDefault="0000311C">
      <w:pPr>
        <w:pStyle w:val="Notedebasdepage"/>
      </w:pPr>
      <w:r>
        <w:rPr>
          <w:rStyle w:val="Appelnotedebasdep"/>
        </w:rPr>
        <w:footnoteRef/>
      </w:r>
      <w:r>
        <w:t xml:space="preserve">  </w:t>
      </w:r>
      <w:r>
        <w:tab/>
        <w:t>P-22.</w:t>
      </w:r>
    </w:p>
  </w:footnote>
  <w:footnote w:id="80">
    <w:p w14:paraId="51296FB4" w14:textId="77777777" w:rsidR="00B37694" w:rsidRDefault="00B37694" w:rsidP="00B37694">
      <w:pPr>
        <w:pStyle w:val="Notedebasdepage"/>
      </w:pPr>
      <w:r>
        <w:rPr>
          <w:rStyle w:val="Appelnotedebasdep"/>
        </w:rPr>
        <w:footnoteRef/>
      </w:r>
      <w:r>
        <w:t xml:space="preserve">  </w:t>
      </w:r>
      <w:r>
        <w:tab/>
        <w:t>2017 QCCS 1812.</w:t>
      </w:r>
    </w:p>
  </w:footnote>
  <w:footnote w:id="81">
    <w:p w14:paraId="4493249E" w14:textId="77777777" w:rsidR="00D42D62" w:rsidRDefault="00D42D62" w:rsidP="00D42D62">
      <w:pPr>
        <w:pStyle w:val="Notedebasdepage"/>
      </w:pPr>
      <w:r>
        <w:rPr>
          <w:rStyle w:val="Appelnotedebasdep"/>
        </w:rPr>
        <w:footnoteRef/>
      </w:r>
      <w:r>
        <w:t xml:space="preserve">  </w:t>
      </w:r>
      <w:r>
        <w:tab/>
        <w:t>RLRQ, c. E-18.</w:t>
      </w:r>
    </w:p>
  </w:footnote>
  <w:footnote w:id="82">
    <w:p w14:paraId="341F97A2" w14:textId="77777777" w:rsidR="00D970C4" w:rsidRDefault="00D970C4" w:rsidP="00D970C4">
      <w:pPr>
        <w:pStyle w:val="Notedebasdepage"/>
      </w:pPr>
      <w:r>
        <w:rPr>
          <w:rStyle w:val="Appelnotedebasdep"/>
        </w:rPr>
        <w:footnoteRef/>
      </w:r>
      <w:r>
        <w:t xml:space="preserve">  </w:t>
      </w:r>
      <w:r>
        <w:tab/>
      </w:r>
      <w:r w:rsidRPr="000C40DD">
        <w:t>19.2. Un juge de la Cour supérieure peut accorder une injonction pour empêcher tout acte ou toute opération qui porte atteinte ou est susceptible de porter atteinte à l’exercice d’un droit conféré par l’article 19.1.</w:t>
      </w:r>
    </w:p>
  </w:footnote>
  <w:footnote w:id="83">
    <w:p w14:paraId="3B08E5BD" w14:textId="1DF39971" w:rsidR="00D970C4" w:rsidRDefault="00D970C4" w:rsidP="00D970C4">
      <w:pPr>
        <w:pStyle w:val="Notedebasdepage"/>
      </w:pPr>
      <w:r>
        <w:rPr>
          <w:rStyle w:val="Appelnotedebasdep"/>
        </w:rPr>
        <w:footnoteRef/>
      </w:r>
      <w:r>
        <w:t xml:space="preserve">  </w:t>
      </w:r>
      <w:r>
        <w:tab/>
      </w:r>
      <w:r w:rsidRPr="000C7C43">
        <w:rPr>
          <w:i/>
          <w:iCs/>
        </w:rPr>
        <w:t>Gestion Serge Lafrenière inc</w:t>
      </w:r>
      <w:r>
        <w:t xml:space="preserve">. c. </w:t>
      </w:r>
      <w:r w:rsidRPr="000C7C43">
        <w:rPr>
          <w:i/>
          <w:iCs/>
        </w:rPr>
        <w:t>Calvé</w:t>
      </w:r>
      <w:r>
        <w:t>, [1999] R.J.Q. 1313</w:t>
      </w:r>
      <w:r w:rsidR="00D17D78">
        <w:t xml:space="preserve"> (C.A.)</w:t>
      </w:r>
      <w:r>
        <w:t xml:space="preserve">, p. </w:t>
      </w:r>
      <w:r w:rsidR="08ECA469">
        <w:t>11</w:t>
      </w:r>
      <w:r w:rsidR="00D17D78">
        <w:t>.</w:t>
      </w:r>
    </w:p>
  </w:footnote>
  <w:footnote w:id="84">
    <w:p w14:paraId="73B7DBE0" w14:textId="77777777" w:rsidR="00BC5670" w:rsidRDefault="00BC5670" w:rsidP="00BC5670">
      <w:pPr>
        <w:pStyle w:val="Notedebasdepage"/>
      </w:pPr>
      <w:r>
        <w:rPr>
          <w:rStyle w:val="Appelnotedebasdep"/>
        </w:rPr>
        <w:footnoteRef/>
      </w:r>
      <w:r>
        <w:t xml:space="preserve">  </w:t>
      </w:r>
      <w:r>
        <w:tab/>
        <w:t>RLRQ, c. A-19.1.</w:t>
      </w:r>
    </w:p>
  </w:footnote>
  <w:footnote w:id="85">
    <w:p w14:paraId="34D558BF" w14:textId="16928269" w:rsidR="00632921" w:rsidRDefault="00632921">
      <w:pPr>
        <w:pStyle w:val="Notedebasdepage"/>
      </w:pPr>
      <w:r>
        <w:rPr>
          <w:rStyle w:val="Appelnotedebasdep"/>
        </w:rPr>
        <w:footnoteRef/>
      </w:r>
      <w:r>
        <w:t xml:space="preserve">  </w:t>
      </w:r>
      <w:r>
        <w:tab/>
      </w:r>
      <w:r w:rsidR="00AA4C6A">
        <w:t xml:space="preserve">Pour des raisons de simplification de texte, cette loi sera appelée « </w:t>
      </w:r>
      <w:r w:rsidR="00086DDB">
        <w:t>Loi sur l’autonomie des municipalités</w:t>
      </w:r>
      <w:r w:rsidR="00AA4C6A">
        <w:t xml:space="preserve"> ».</w:t>
      </w:r>
    </w:p>
  </w:footnote>
  <w:footnote w:id="86">
    <w:p w14:paraId="01CE829D" w14:textId="1846C982" w:rsidR="00161FC2" w:rsidRDefault="00161FC2">
      <w:pPr>
        <w:pStyle w:val="Notedebasdepage"/>
      </w:pPr>
      <w:r>
        <w:rPr>
          <w:rStyle w:val="Appelnotedebasdep"/>
        </w:rPr>
        <w:footnoteRef/>
      </w:r>
      <w:r>
        <w:t xml:space="preserve">  </w:t>
      </w:r>
      <w:r>
        <w:tab/>
      </w:r>
      <w:r w:rsidR="000F6C78">
        <w:t>Notes de plaidoiries écrites de la Ville, p. 31.</w:t>
      </w:r>
    </w:p>
  </w:footnote>
  <w:footnote w:id="87">
    <w:p w14:paraId="2A906297" w14:textId="027CB99A" w:rsidR="003402B9" w:rsidRPr="00E33E53" w:rsidRDefault="003402B9">
      <w:pPr>
        <w:pStyle w:val="Notedebasdepage"/>
      </w:pPr>
      <w:r>
        <w:rPr>
          <w:rStyle w:val="Appelnotedebasdep"/>
        </w:rPr>
        <w:footnoteRef/>
      </w:r>
      <w:r>
        <w:t xml:space="preserve"> </w:t>
      </w:r>
      <w:r w:rsidR="00E33E53">
        <w:t xml:space="preserve"> </w:t>
      </w:r>
      <w:r w:rsidR="00E33E53">
        <w:tab/>
      </w:r>
      <w:r w:rsidR="00E33E53">
        <w:rPr>
          <w:b/>
          <w:bCs/>
        </w:rPr>
        <w:t>10.</w:t>
      </w:r>
      <w:r w:rsidR="00E33E53">
        <w:t xml:space="preserve"> (…) </w:t>
      </w:r>
      <w:r w:rsidR="005A4D91">
        <w:t>[Les tribunaux] ne sont pas tenus de se prononcer sur des questions théoriques</w:t>
      </w:r>
      <w:r w:rsidR="08ECA469">
        <w:t xml:space="preserve"> [...]</w:t>
      </w:r>
      <w:r w:rsidR="005A4D91">
        <w:t xml:space="preserve"> (</w:t>
      </w:r>
      <w:r w:rsidR="005A4D91" w:rsidRPr="005A4D91">
        <w:rPr>
          <w:i/>
          <w:iCs/>
        </w:rPr>
        <w:t>Code de procédure civile</w:t>
      </w:r>
      <w:r w:rsidR="08ECA469">
        <w:t>).</w:t>
      </w:r>
    </w:p>
  </w:footnote>
  <w:footnote w:id="88">
    <w:p w14:paraId="2EA38156" w14:textId="3506CBB7" w:rsidR="00F15244" w:rsidRPr="002F5A24" w:rsidRDefault="00F15244" w:rsidP="00F15244">
      <w:pPr>
        <w:pStyle w:val="Notedebasdepage"/>
      </w:pPr>
      <w:r>
        <w:rPr>
          <w:rStyle w:val="Appelnotedebasdep"/>
        </w:rPr>
        <w:footnoteRef/>
      </w:r>
      <w:r w:rsidRPr="002F5A24">
        <w:t xml:space="preserve">  </w:t>
      </w:r>
      <w:r w:rsidRPr="002F5A24">
        <w:tab/>
      </w:r>
      <w:r w:rsidRPr="002F5A24">
        <w:rPr>
          <w:i/>
          <w:iCs/>
        </w:rPr>
        <w:t>Haig</w:t>
      </w:r>
      <w:r>
        <w:t xml:space="preserve"> c. </w:t>
      </w:r>
      <w:r w:rsidRPr="002F5A24">
        <w:rPr>
          <w:i/>
          <w:iCs/>
        </w:rPr>
        <w:t>Canada (Directeur général des élections</w:t>
      </w:r>
      <w:r>
        <w:t>), [1993] 2 R.C.S. 995</w:t>
      </w:r>
      <w:r w:rsidR="08ECA469">
        <w:t>.</w:t>
      </w:r>
    </w:p>
  </w:footnote>
  <w:footnote w:id="89">
    <w:p w14:paraId="51A57B5C" w14:textId="25524E4F" w:rsidR="00F15244" w:rsidRPr="00641FFF" w:rsidRDefault="00F15244" w:rsidP="00F15244">
      <w:pPr>
        <w:pStyle w:val="Notedebasdepage"/>
        <w:rPr>
          <w:lang w:val="en-CA"/>
        </w:rPr>
      </w:pPr>
      <w:r>
        <w:rPr>
          <w:rStyle w:val="Appelnotedebasdep"/>
        </w:rPr>
        <w:footnoteRef/>
      </w:r>
      <w:r w:rsidRPr="00641FFF">
        <w:rPr>
          <w:lang w:val="en-CA"/>
        </w:rPr>
        <w:t xml:space="preserve">  </w:t>
      </w:r>
      <w:r w:rsidRPr="00641FFF">
        <w:rPr>
          <w:lang w:val="en-CA"/>
        </w:rPr>
        <w:tab/>
      </w:r>
      <w:r w:rsidRPr="0062386F">
        <w:rPr>
          <w:i/>
          <w:lang w:val="en-CA"/>
        </w:rPr>
        <w:t>Richmond (County)</w:t>
      </w:r>
      <w:r w:rsidRPr="00641FFF">
        <w:rPr>
          <w:lang w:val="en-CA"/>
        </w:rPr>
        <w:t xml:space="preserve"> </w:t>
      </w:r>
      <w:r w:rsidR="08ECA469" w:rsidRPr="00641FFF">
        <w:rPr>
          <w:lang w:val="en-CA"/>
        </w:rPr>
        <w:t>v</w:t>
      </w:r>
      <w:r w:rsidRPr="00641FFF">
        <w:rPr>
          <w:lang w:val="en-CA"/>
        </w:rPr>
        <w:t xml:space="preserve">. </w:t>
      </w:r>
      <w:r w:rsidRPr="0062386F">
        <w:rPr>
          <w:i/>
          <w:lang w:val="en-CA"/>
        </w:rPr>
        <w:t>Nova Scotia (Attorney General)</w:t>
      </w:r>
      <w:r w:rsidRPr="00641FFF">
        <w:rPr>
          <w:lang w:val="en-CA"/>
        </w:rPr>
        <w:t>, 2016 NSCA 11,</w:t>
      </w:r>
      <w:r>
        <w:rPr>
          <w:lang w:val="en-CA"/>
        </w:rPr>
        <w:t xml:space="preserve"> par. 40.</w:t>
      </w:r>
    </w:p>
  </w:footnote>
  <w:footnote w:id="90">
    <w:p w14:paraId="12C204B8" w14:textId="368262A7" w:rsidR="009E61D0" w:rsidRDefault="009E61D0">
      <w:pPr>
        <w:pStyle w:val="Notedebasdepage"/>
      </w:pPr>
      <w:r>
        <w:rPr>
          <w:rStyle w:val="Appelnotedebasdep"/>
        </w:rPr>
        <w:footnoteRef/>
      </w:r>
      <w:r>
        <w:t xml:space="preserve">  </w:t>
      </w:r>
      <w:r>
        <w:tab/>
      </w:r>
      <w:r w:rsidRPr="5A7F0EA4">
        <w:rPr>
          <w:i/>
          <w:iCs/>
        </w:rPr>
        <w:t xml:space="preserve">Mont-Tremblant (Municipalité) c. St-Jovite (Paroisse), </w:t>
      </w:r>
      <w:r>
        <w:t>2000 CanLII 18761 (C.S.).</w:t>
      </w:r>
    </w:p>
  </w:footnote>
  <w:footnote w:id="91">
    <w:p w14:paraId="37AE3F87" w14:textId="55552BC4" w:rsidR="00E348F4" w:rsidRDefault="00E348F4" w:rsidP="00E348F4">
      <w:pPr>
        <w:pStyle w:val="Notedebasdepage"/>
      </w:pPr>
      <w:r>
        <w:rPr>
          <w:rStyle w:val="Appelnotedebasdep"/>
        </w:rPr>
        <w:footnoteRef/>
      </w:r>
      <w:r>
        <w:t xml:space="preserve">  </w:t>
      </w:r>
      <w:r>
        <w:tab/>
        <w:t>Notes de plaidoiries écrites de la Ville, p. 31</w:t>
      </w:r>
      <w:r w:rsidR="08ECA469">
        <w:t>.</w:t>
      </w:r>
    </w:p>
  </w:footnote>
  <w:footnote w:id="92">
    <w:p w14:paraId="3886FD62" w14:textId="77777777" w:rsidR="00FA782A" w:rsidRDefault="00FA782A" w:rsidP="00FA782A">
      <w:pPr>
        <w:pStyle w:val="Notedebasdepage"/>
      </w:pPr>
      <w:r>
        <w:rPr>
          <w:rStyle w:val="Appelnotedebasdep"/>
        </w:rPr>
        <w:footnoteRef/>
      </w:r>
      <w:r>
        <w:t xml:space="preserve">  </w:t>
      </w:r>
      <w:r>
        <w:tab/>
        <w:t>VQ-4.</w:t>
      </w:r>
    </w:p>
  </w:footnote>
  <w:footnote w:id="93">
    <w:p w14:paraId="2DB3699A" w14:textId="77777777" w:rsidR="00FA782A" w:rsidRDefault="00FA782A" w:rsidP="00FA782A">
      <w:pPr>
        <w:pStyle w:val="Notedebasdepage"/>
      </w:pPr>
      <w:r>
        <w:rPr>
          <w:rStyle w:val="Appelnotedebasdep"/>
        </w:rPr>
        <w:footnoteRef/>
      </w:r>
      <w:r>
        <w:t xml:space="preserve">  </w:t>
      </w:r>
      <w:r>
        <w:tab/>
        <w:t>VQ-15.</w:t>
      </w:r>
    </w:p>
  </w:footnote>
  <w:footnote w:id="94">
    <w:p w14:paraId="56E6F9FB" w14:textId="77777777" w:rsidR="00FA782A" w:rsidRDefault="00FA782A" w:rsidP="00FA782A">
      <w:pPr>
        <w:pStyle w:val="Notedebasdepage"/>
      </w:pPr>
      <w:r>
        <w:rPr>
          <w:rStyle w:val="Appelnotedebasdep"/>
        </w:rPr>
        <w:footnoteRef/>
      </w:r>
      <w:r>
        <w:t xml:space="preserve">  </w:t>
      </w:r>
      <w:r>
        <w:tab/>
        <w:t>2007 CSC 31, p. 688.</w:t>
      </w:r>
    </w:p>
  </w:footnote>
  <w:footnote w:id="95">
    <w:p w14:paraId="7611057F" w14:textId="77777777" w:rsidR="00FA782A" w:rsidRPr="0032575D" w:rsidRDefault="00FA782A" w:rsidP="00FA782A">
      <w:pPr>
        <w:pStyle w:val="Notedebasdepage"/>
      </w:pPr>
      <w:r>
        <w:rPr>
          <w:rStyle w:val="Appelnotedebasdep"/>
        </w:rPr>
        <w:footnoteRef/>
      </w:r>
      <w:r>
        <w:t xml:space="preserve">  </w:t>
      </w:r>
      <w:r>
        <w:tab/>
        <w:t xml:space="preserve">L’article 3 de la </w:t>
      </w:r>
      <w:r w:rsidRPr="555D4EA7">
        <w:t>Charte québécoise</w:t>
      </w:r>
      <w:r>
        <w:t xml:space="preserve"> protège également la liberté d’expression.</w:t>
      </w:r>
    </w:p>
  </w:footnote>
  <w:footnote w:id="96">
    <w:p w14:paraId="060CC7E2" w14:textId="6192E066" w:rsidR="00FA782A" w:rsidRDefault="00FA782A" w:rsidP="00FA782A">
      <w:pPr>
        <w:pStyle w:val="Notedebasdepage"/>
      </w:pPr>
      <w:r>
        <w:rPr>
          <w:rStyle w:val="Appelnotedebasdep"/>
        </w:rPr>
        <w:footnoteRef/>
      </w:r>
      <w:r>
        <w:t xml:space="preserve">  </w:t>
      </w:r>
      <w:r>
        <w:tab/>
      </w:r>
      <w:r w:rsidRPr="003D31DC">
        <w:rPr>
          <w:i/>
          <w:iCs/>
        </w:rPr>
        <w:t>Société Radio-Canada</w:t>
      </w:r>
      <w:r>
        <w:t xml:space="preserve"> c. </w:t>
      </w:r>
      <w:r w:rsidRPr="003D31DC">
        <w:rPr>
          <w:i/>
          <w:iCs/>
        </w:rPr>
        <w:t>Canada (Procureur général</w:t>
      </w:r>
      <w:r>
        <w:t xml:space="preserve">) 2011 CSC 2, par. 2; Chartepédia, site Internet du Gouvernement du Canada, </w:t>
      </w:r>
      <w:r w:rsidRPr="008B426C">
        <w:t>https://www.justice.gc.ca/fra/sjc-csj/dlc-rfc/ccdl-ccrf/check/art2b.html</w:t>
      </w:r>
      <w:r>
        <w:t xml:space="preserve">. Voir aussi </w:t>
      </w:r>
      <w:r w:rsidRPr="00B5720E">
        <w:rPr>
          <w:i/>
          <w:iCs/>
        </w:rPr>
        <w:t>Irwin Toy Ltd</w:t>
      </w:r>
      <w:r w:rsidRPr="00B5720E">
        <w:t xml:space="preserve">. c. </w:t>
      </w:r>
      <w:r w:rsidRPr="00B5720E">
        <w:rPr>
          <w:i/>
          <w:iCs/>
        </w:rPr>
        <w:t>Québec (Procureur général</w:t>
      </w:r>
      <w:r w:rsidRPr="00B5720E">
        <w:t>), [1989] 1 R.C.S. 927, p</w:t>
      </w:r>
      <w:r w:rsidR="00BF1721">
        <w:t>.</w:t>
      </w:r>
      <w:r w:rsidRPr="00B5720E">
        <w:t xml:space="preserve"> 976</w:t>
      </w:r>
      <w:r>
        <w:t>.</w:t>
      </w:r>
    </w:p>
  </w:footnote>
  <w:footnote w:id="97">
    <w:p w14:paraId="335CEE90" w14:textId="77777777" w:rsidR="00FA782A" w:rsidRDefault="00FA782A" w:rsidP="00FA782A">
      <w:pPr>
        <w:pStyle w:val="Notedebasdepage"/>
      </w:pPr>
      <w:r>
        <w:rPr>
          <w:rStyle w:val="Appelnotedebasdep"/>
        </w:rPr>
        <w:footnoteRef/>
      </w:r>
      <w:r>
        <w:t xml:space="preserve">  </w:t>
      </w:r>
      <w:r>
        <w:tab/>
      </w:r>
      <w:r w:rsidRPr="007D2787">
        <w:rPr>
          <w:i/>
          <w:iCs/>
        </w:rPr>
        <w:t>Harper</w:t>
      </w:r>
      <w:r>
        <w:t xml:space="preserve"> c. </w:t>
      </w:r>
      <w:r w:rsidRPr="007D2787">
        <w:rPr>
          <w:i/>
          <w:iCs/>
        </w:rPr>
        <w:t>Canada (Procureur général)</w:t>
      </w:r>
      <w:r>
        <w:t>, 2004 CSC 33.</w:t>
      </w:r>
    </w:p>
  </w:footnote>
  <w:footnote w:id="98">
    <w:p w14:paraId="0F38CC67" w14:textId="77777777" w:rsidR="00FA782A" w:rsidRPr="00964B89" w:rsidRDefault="00FA782A" w:rsidP="00FA782A">
      <w:pPr>
        <w:pStyle w:val="Notedebasdepage"/>
      </w:pPr>
      <w:r>
        <w:rPr>
          <w:rStyle w:val="Appelnotedebasdep"/>
        </w:rPr>
        <w:footnoteRef/>
      </w:r>
      <w:r>
        <w:t xml:space="preserve">  </w:t>
      </w:r>
      <w:r>
        <w:tab/>
        <w:t xml:space="preserve">De la même manière, la </w:t>
      </w:r>
      <w:r w:rsidRPr="555D4EA7">
        <w:t>Charte québécoise</w:t>
      </w:r>
      <w:r>
        <w:t xml:space="preserve"> énonce, à son article 22, le droit de toute personne d’être candidat et de voter.</w:t>
      </w:r>
    </w:p>
  </w:footnote>
  <w:footnote w:id="99">
    <w:p w14:paraId="110646D7" w14:textId="57B7E45D" w:rsidR="00FA782A" w:rsidRDefault="00FA782A" w:rsidP="00FA782A">
      <w:pPr>
        <w:pStyle w:val="Notedebasdepage"/>
      </w:pPr>
      <w:r>
        <w:rPr>
          <w:rStyle w:val="Appelnotedebasdep"/>
        </w:rPr>
        <w:footnoteRef/>
      </w:r>
      <w:r>
        <w:t xml:space="preserve">  </w:t>
      </w:r>
      <w:r>
        <w:tab/>
      </w:r>
      <w:r w:rsidRPr="00D267DE">
        <w:rPr>
          <w:i/>
          <w:iCs/>
        </w:rPr>
        <w:t>Frank</w:t>
      </w:r>
      <w:r w:rsidRPr="00D267DE">
        <w:t xml:space="preserve"> c. </w:t>
      </w:r>
      <w:r w:rsidRPr="00D267DE">
        <w:rPr>
          <w:i/>
          <w:iCs/>
        </w:rPr>
        <w:t>Canada</w:t>
      </w:r>
      <w:r>
        <w:rPr>
          <w:i/>
          <w:iCs/>
        </w:rPr>
        <w:t xml:space="preserve"> (Procureur général)</w:t>
      </w:r>
      <w:r w:rsidRPr="00D267DE">
        <w:t>, [2019] 1 R.C.S. 3, par</w:t>
      </w:r>
      <w:r>
        <w:t xml:space="preserve">. </w:t>
      </w:r>
      <w:r w:rsidRPr="00D267DE">
        <w:t>26 et 27</w:t>
      </w:r>
      <w:r w:rsidR="6BCB2133" w:rsidRPr="00D267DE">
        <w:t>.</w:t>
      </w:r>
    </w:p>
  </w:footnote>
  <w:footnote w:id="100">
    <w:p w14:paraId="38D85B28" w14:textId="5AB78FA1" w:rsidR="00FA782A" w:rsidRPr="0023453E" w:rsidRDefault="00FA782A" w:rsidP="00FA782A">
      <w:pPr>
        <w:pStyle w:val="Notedebasdepage"/>
      </w:pPr>
      <w:r>
        <w:rPr>
          <w:rStyle w:val="Appelnotedebasdep"/>
        </w:rPr>
        <w:footnoteRef/>
      </w:r>
      <w:r w:rsidRPr="0023453E">
        <w:t xml:space="preserve">  </w:t>
      </w:r>
      <w:r w:rsidRPr="0023453E">
        <w:tab/>
        <w:t>[1991] 2 R.C.S. 158</w:t>
      </w:r>
      <w:r w:rsidR="00BF1721">
        <w:t>.</w:t>
      </w:r>
    </w:p>
  </w:footnote>
  <w:footnote w:id="101">
    <w:p w14:paraId="5F2DD815" w14:textId="77777777" w:rsidR="00FA782A" w:rsidRPr="00C62128" w:rsidRDefault="00FA782A" w:rsidP="00FA782A">
      <w:pPr>
        <w:pStyle w:val="Notedebasdepage"/>
      </w:pPr>
      <w:r>
        <w:rPr>
          <w:rStyle w:val="Appelnotedebasdep"/>
        </w:rPr>
        <w:footnoteRef/>
      </w:r>
      <w:r w:rsidRPr="00C62128">
        <w:t xml:space="preserve">  </w:t>
      </w:r>
      <w:r w:rsidRPr="00C62128">
        <w:tab/>
        <w:t xml:space="preserve">Art. 3 de la </w:t>
      </w:r>
      <w:r w:rsidRPr="6BCB2133">
        <w:t>Charte canadienne</w:t>
      </w:r>
      <w:r w:rsidRPr="00C62128">
        <w:t>.</w:t>
      </w:r>
    </w:p>
  </w:footnote>
  <w:footnote w:id="102">
    <w:p w14:paraId="7CC79390" w14:textId="0430FC3F" w:rsidR="00FA782A" w:rsidRDefault="00FA782A" w:rsidP="00FA782A">
      <w:pPr>
        <w:pStyle w:val="Notedebasdepage"/>
      </w:pPr>
      <w:r>
        <w:rPr>
          <w:rStyle w:val="Appelnotedebasdep"/>
        </w:rPr>
        <w:footnoteRef/>
      </w:r>
      <w:r>
        <w:t xml:space="preserve">  </w:t>
      </w:r>
      <w:r>
        <w:tab/>
        <w:t>[2003] 1 R.C.S. 6, par. 42</w:t>
      </w:r>
      <w:r w:rsidR="6BCB2133">
        <w:t>.</w:t>
      </w:r>
    </w:p>
  </w:footnote>
  <w:footnote w:id="103">
    <w:p w14:paraId="0F74F7C6" w14:textId="4F0E06E1" w:rsidR="00FA782A" w:rsidRDefault="00FA782A" w:rsidP="00FA782A">
      <w:pPr>
        <w:pStyle w:val="Notedebasdepage"/>
      </w:pPr>
      <w:r>
        <w:rPr>
          <w:rStyle w:val="Appelnotedebasdep"/>
        </w:rPr>
        <w:footnoteRef/>
      </w:r>
      <w:r>
        <w:t xml:space="preserve">  </w:t>
      </w:r>
      <w:r>
        <w:tab/>
      </w:r>
      <w:r w:rsidRPr="6BCB2133">
        <w:rPr>
          <w:i/>
        </w:rPr>
        <w:t>Haig</w:t>
      </w:r>
      <w:r>
        <w:t xml:space="preserve"> c. </w:t>
      </w:r>
      <w:r w:rsidRPr="6BCB2133">
        <w:rPr>
          <w:i/>
        </w:rPr>
        <w:t>Canada (Directeur général des élections)</w:t>
      </w:r>
      <w:r>
        <w:t>, [1993] 2 R.C.S. 995, par. 42</w:t>
      </w:r>
    </w:p>
  </w:footnote>
  <w:footnote w:id="104">
    <w:p w14:paraId="15520F2B" w14:textId="4971F48B" w:rsidR="00FA782A" w:rsidRPr="00A54541" w:rsidRDefault="00FA782A" w:rsidP="00FA782A">
      <w:pPr>
        <w:pStyle w:val="Notedebasdepage"/>
        <w:rPr>
          <w:lang w:val="en-CA"/>
        </w:rPr>
      </w:pPr>
      <w:r>
        <w:rPr>
          <w:rStyle w:val="Appelnotedebasdep"/>
        </w:rPr>
        <w:footnoteRef/>
      </w:r>
      <w:r w:rsidRPr="00467AD5">
        <w:rPr>
          <w:lang w:val="en-CA"/>
        </w:rPr>
        <w:t xml:space="preserve">  </w:t>
      </w:r>
      <w:r w:rsidRPr="00467AD5">
        <w:rPr>
          <w:lang w:val="en-CA"/>
        </w:rPr>
        <w:tab/>
      </w:r>
      <w:r w:rsidRPr="00A54541">
        <w:rPr>
          <w:i/>
          <w:iCs/>
          <w:lang w:val="en-CA"/>
        </w:rPr>
        <w:t>Toronto (City)</w:t>
      </w:r>
      <w:r w:rsidRPr="00467AD5">
        <w:rPr>
          <w:lang w:val="en-CA"/>
        </w:rPr>
        <w:t xml:space="preserve"> v. </w:t>
      </w:r>
      <w:r w:rsidRPr="00A54541">
        <w:rPr>
          <w:i/>
          <w:iCs/>
          <w:lang w:val="en-CA"/>
        </w:rPr>
        <w:t>Ontario (Attorney General)</w:t>
      </w:r>
      <w:r w:rsidRPr="00467AD5">
        <w:rPr>
          <w:lang w:val="en-CA"/>
        </w:rPr>
        <w:t>, 2018 ONCA 761</w:t>
      </w:r>
      <w:r w:rsidR="00BF1721">
        <w:rPr>
          <w:lang w:val="en-CA"/>
        </w:rPr>
        <w:t>,</w:t>
      </w:r>
      <w:r>
        <w:rPr>
          <w:lang w:val="en-CA"/>
        </w:rPr>
        <w:t xml:space="preserve"> </w:t>
      </w:r>
      <w:r w:rsidR="00BF1721">
        <w:rPr>
          <w:lang w:val="en-CA"/>
        </w:rPr>
        <w:t>p</w:t>
      </w:r>
      <w:r w:rsidRPr="00A54541">
        <w:rPr>
          <w:lang w:val="en-CA"/>
        </w:rPr>
        <w:t>ar. 17.</w:t>
      </w:r>
    </w:p>
  </w:footnote>
  <w:footnote w:id="105">
    <w:p w14:paraId="081CACDB" w14:textId="77777777" w:rsidR="00FA782A" w:rsidRDefault="00FA782A" w:rsidP="00FA782A">
      <w:pPr>
        <w:pStyle w:val="Notedebasdepage"/>
      </w:pPr>
      <w:r>
        <w:rPr>
          <w:rStyle w:val="Appelnotedebasdep"/>
        </w:rPr>
        <w:footnoteRef/>
      </w:r>
      <w:r>
        <w:t xml:space="preserve">  </w:t>
      </w:r>
      <w:r>
        <w:tab/>
        <w:t>2018 QCCA 2013.</w:t>
      </w:r>
    </w:p>
  </w:footnote>
  <w:footnote w:id="106">
    <w:p w14:paraId="4F2004EE" w14:textId="77777777" w:rsidR="00FA782A" w:rsidRPr="002C6F7D" w:rsidRDefault="00FA782A" w:rsidP="00FA782A">
      <w:pPr>
        <w:pStyle w:val="Notedebasdepage"/>
      </w:pPr>
      <w:r>
        <w:rPr>
          <w:rStyle w:val="Appelnotedebasdep"/>
        </w:rPr>
        <w:footnoteRef/>
      </w:r>
      <w:r w:rsidRPr="002C6F7D">
        <w:t xml:space="preserve">  </w:t>
      </w:r>
      <w:r w:rsidRPr="002C6F7D">
        <w:tab/>
        <w:t>[1998] 2 R.C.S. 217, par. 49 et ss</w:t>
      </w:r>
      <w:r>
        <w:t>.</w:t>
      </w:r>
    </w:p>
  </w:footnote>
  <w:footnote w:id="107">
    <w:p w14:paraId="1A6A0138" w14:textId="2E6627F6" w:rsidR="00FA782A" w:rsidRPr="00C43EA5" w:rsidRDefault="00FA782A" w:rsidP="00FA782A">
      <w:pPr>
        <w:pStyle w:val="Notedebasdepage"/>
      </w:pPr>
      <w:r>
        <w:rPr>
          <w:rStyle w:val="Appelnotedebasdep"/>
        </w:rPr>
        <w:footnoteRef/>
      </w:r>
      <w:r w:rsidRPr="00C43EA5">
        <w:t xml:space="preserve">  </w:t>
      </w:r>
      <w:r w:rsidRPr="00C43EA5">
        <w:tab/>
        <w:t>2021 CSC 34</w:t>
      </w:r>
      <w:r w:rsidR="00BF1721">
        <w:t>.</w:t>
      </w:r>
    </w:p>
  </w:footnote>
  <w:footnote w:id="108">
    <w:p w14:paraId="6FBD8441" w14:textId="77777777" w:rsidR="00FA782A" w:rsidRDefault="00FA782A" w:rsidP="00FA782A">
      <w:pPr>
        <w:pStyle w:val="Notedebasdepage"/>
      </w:pPr>
      <w:r>
        <w:rPr>
          <w:rStyle w:val="Appelnotedebasdep"/>
        </w:rPr>
        <w:footnoteRef/>
      </w:r>
      <w:r>
        <w:t xml:space="preserve">  </w:t>
      </w:r>
      <w:r>
        <w:tab/>
      </w:r>
      <w:r w:rsidRPr="00157B64">
        <w:rPr>
          <w:i/>
          <w:iCs/>
        </w:rPr>
        <w:t>Toronto (Cité)</w:t>
      </w:r>
      <w:r>
        <w:t xml:space="preserve"> c. </w:t>
      </w:r>
      <w:r w:rsidRPr="00157B64">
        <w:rPr>
          <w:i/>
          <w:iCs/>
        </w:rPr>
        <w:t>Ontario (Procureur général</w:t>
      </w:r>
      <w:r>
        <w:t>), 2021 CSC 34, par. 84.</w:t>
      </w:r>
    </w:p>
  </w:footnote>
  <w:footnote w:id="109">
    <w:p w14:paraId="7203C699" w14:textId="33BF5363" w:rsidR="00381954" w:rsidRDefault="00381954" w:rsidP="00381954">
      <w:pPr>
        <w:pStyle w:val="Notedebasdepage"/>
      </w:pPr>
      <w:r>
        <w:rPr>
          <w:rStyle w:val="Appelnotedebasdep"/>
        </w:rPr>
        <w:footnoteRef/>
      </w:r>
      <w:r>
        <w:t xml:space="preserve">  </w:t>
      </w:r>
      <w:r>
        <w:tab/>
      </w:r>
      <w:r w:rsidRPr="00A8558E">
        <w:rPr>
          <w:i/>
          <w:iCs/>
        </w:rPr>
        <w:t>Ville de Québec</w:t>
      </w:r>
      <w:r>
        <w:t xml:space="preserve"> c. </w:t>
      </w:r>
      <w:r w:rsidRPr="00A8558E">
        <w:rPr>
          <w:i/>
          <w:iCs/>
        </w:rPr>
        <w:t>Rivard</w:t>
      </w:r>
      <w:r>
        <w:t>, 2020 QCCA 146, par 60</w:t>
      </w:r>
      <w:r w:rsidR="00BF1721">
        <w:t>.</w:t>
      </w:r>
    </w:p>
  </w:footnote>
  <w:footnote w:id="110">
    <w:p w14:paraId="54879352" w14:textId="77777777" w:rsidR="00FA782A" w:rsidRDefault="00FA782A" w:rsidP="00FA782A">
      <w:pPr>
        <w:pStyle w:val="Notedebasdepage"/>
      </w:pPr>
      <w:r>
        <w:rPr>
          <w:rStyle w:val="Appelnotedebasdep"/>
        </w:rPr>
        <w:footnoteRef/>
      </w:r>
      <w:r>
        <w:t xml:space="preserve">  </w:t>
      </w:r>
      <w:r>
        <w:tab/>
        <w:t>VQ-22, interrogatoire écrit de Monsieur André Legault, réponses 16 à 18.</w:t>
      </w:r>
    </w:p>
  </w:footnote>
  <w:footnote w:id="111">
    <w:p w14:paraId="702B853B" w14:textId="5AD97ADE" w:rsidR="00FA782A" w:rsidRDefault="00FA782A" w:rsidP="00FA782A">
      <w:pPr>
        <w:pStyle w:val="Notedebasdepage"/>
      </w:pPr>
      <w:r>
        <w:rPr>
          <w:rStyle w:val="Appelnotedebasdep"/>
        </w:rPr>
        <w:footnoteRef/>
      </w:r>
      <w:r>
        <w:t xml:space="preserve">  </w:t>
      </w:r>
      <w:r>
        <w:tab/>
        <w:t>Dans la pièce rattachée au paragraphe 4 de la déclaration sous serment de Madame Doris Chabot du 18 août 2022 (Capsule vidéo d’un débat télévisé), ce candidat à la mairie est en faveur d’un projet structurant non limité à la haute-ville, qui tienne compte du Nord et de l’Est de la ville – minutes : 14:30 et 16:50.</w:t>
      </w:r>
    </w:p>
  </w:footnote>
  <w:footnote w:id="112">
    <w:p w14:paraId="1CAE7A4F" w14:textId="644B6A1E" w:rsidR="00FA782A" w:rsidRPr="009E4BF1" w:rsidRDefault="00FA782A" w:rsidP="00FA782A">
      <w:pPr>
        <w:pStyle w:val="Notedebasdepage"/>
      </w:pPr>
      <w:r>
        <w:rPr>
          <w:rStyle w:val="Appelnotedebasdep"/>
        </w:rPr>
        <w:footnoteRef/>
      </w:r>
      <w:r w:rsidRPr="009E4BF1">
        <w:t xml:space="preserve">  </w:t>
      </w:r>
      <w:r w:rsidRPr="009E4BF1">
        <w:tab/>
      </w:r>
      <w:r w:rsidRPr="007006E0">
        <w:rPr>
          <w:i/>
          <w:iCs/>
        </w:rPr>
        <w:t xml:space="preserve">Charte </w:t>
      </w:r>
      <w:r w:rsidR="00BF1721">
        <w:rPr>
          <w:i/>
          <w:iCs/>
        </w:rPr>
        <w:t>c</w:t>
      </w:r>
      <w:r w:rsidRPr="007006E0">
        <w:rPr>
          <w:i/>
          <w:iCs/>
        </w:rPr>
        <w:t>anadienne des droits et libertés</w:t>
      </w:r>
      <w:r w:rsidRPr="009E4BF1">
        <w:t>, art. 1.</w:t>
      </w:r>
    </w:p>
  </w:footnote>
  <w:footnote w:id="113">
    <w:p w14:paraId="2DAE0307" w14:textId="5A33AD16" w:rsidR="00B5032C" w:rsidRDefault="00B5032C">
      <w:pPr>
        <w:pStyle w:val="Notedebasdepage"/>
      </w:pPr>
      <w:r>
        <w:rPr>
          <w:rStyle w:val="Appelnotedebasdep"/>
        </w:rPr>
        <w:footnoteRef/>
      </w:r>
      <w:r>
        <w:t xml:space="preserve">  </w:t>
      </w:r>
      <w:r>
        <w:tab/>
        <w:t>RLRQ, c. R-25.02.</w:t>
      </w:r>
    </w:p>
  </w:footnote>
  <w:footnote w:id="114">
    <w:p w14:paraId="087CDE71" w14:textId="7782BBEC" w:rsidR="0022205E" w:rsidRDefault="0022205E">
      <w:pPr>
        <w:pStyle w:val="Notedebasdepage"/>
      </w:pPr>
      <w:r>
        <w:rPr>
          <w:rStyle w:val="Appelnotedebasdep"/>
        </w:rPr>
        <w:footnoteRef/>
      </w:r>
      <w:r>
        <w:t xml:space="preserve">  </w:t>
      </w:r>
      <w:r>
        <w:tab/>
      </w:r>
      <w:bookmarkStart w:id="44" w:name="_Hlk123216087"/>
      <w:r>
        <w:rPr>
          <w:i/>
          <w:iCs/>
        </w:rPr>
        <w:t xml:space="preserve">8811571 Canada inc. </w:t>
      </w:r>
      <w:r w:rsidRPr="0062386F">
        <w:t>c.</w:t>
      </w:r>
      <w:r>
        <w:rPr>
          <w:i/>
          <w:iCs/>
        </w:rPr>
        <w:t xml:space="preserve"> Procureure générale du Québec</w:t>
      </w:r>
      <w:bookmarkEnd w:id="44"/>
      <w:r>
        <w:t xml:space="preserve">, </w:t>
      </w:r>
      <w:r w:rsidRPr="0062386F">
        <w:rPr>
          <w:color w:val="323232"/>
        </w:rPr>
        <w:t>2018 QCCS 4554</w:t>
      </w:r>
      <w:r>
        <w:t>.</w:t>
      </w:r>
    </w:p>
  </w:footnote>
  <w:footnote w:id="115">
    <w:p w14:paraId="11AF2379" w14:textId="77777777" w:rsidR="00DF25E4" w:rsidRPr="00071565" w:rsidRDefault="00DF25E4" w:rsidP="00DF25E4">
      <w:pPr>
        <w:pStyle w:val="Notedebasdepage"/>
      </w:pPr>
      <w:r w:rsidRPr="00071565">
        <w:rPr>
          <w:rStyle w:val="Appelnotedebasdep"/>
        </w:rPr>
        <w:footnoteRef/>
      </w:r>
      <w:r w:rsidRPr="00071565">
        <w:t xml:space="preserve">  </w:t>
      </w:r>
      <w:r w:rsidRPr="00071565">
        <w:tab/>
        <w:t>2021 CSC 27.</w:t>
      </w:r>
    </w:p>
  </w:footnote>
  <w:footnote w:id="116">
    <w:p w14:paraId="09A9BB0F" w14:textId="259B30F9" w:rsidR="0068260E" w:rsidRPr="00096310" w:rsidRDefault="0068260E">
      <w:pPr>
        <w:pStyle w:val="Notedebasdepage"/>
        <w:rPr>
          <w:i/>
          <w:iCs/>
        </w:rPr>
      </w:pPr>
      <w:r>
        <w:rPr>
          <w:rStyle w:val="Appelnotedebasdep"/>
        </w:rPr>
        <w:footnoteRef/>
      </w:r>
      <w:r>
        <w:t xml:space="preserve">  </w:t>
      </w:r>
      <w:r>
        <w:tab/>
      </w:r>
      <w:r w:rsidR="00096310" w:rsidRPr="004902BC">
        <w:t xml:space="preserve">« </w:t>
      </w:r>
      <w:r w:rsidR="00096310" w:rsidRPr="004902BC">
        <w:rPr>
          <w:rFonts w:cs="Arial"/>
          <w:shd w:val="clear" w:color="auto" w:fill="FFFFFF"/>
        </w:rPr>
        <w:t>La contestation du droit à l’expropriation suspend les procédures d’expropriation autres que l’inscription prévue à l’article 42. »</w:t>
      </w:r>
    </w:p>
  </w:footnote>
  <w:footnote w:id="117">
    <w:p w14:paraId="30A6ED7A" w14:textId="7585FEDD" w:rsidR="00845C68" w:rsidRDefault="00845C68">
      <w:pPr>
        <w:pStyle w:val="Notedebasdepage"/>
      </w:pPr>
      <w:r>
        <w:rPr>
          <w:rStyle w:val="Appelnotedebasdep"/>
        </w:rPr>
        <w:footnoteRef/>
      </w:r>
      <w:r>
        <w:t xml:space="preserve">  </w:t>
      </w:r>
      <w:r>
        <w:tab/>
        <w:t>RLRQ, c. E-24.</w:t>
      </w:r>
    </w:p>
  </w:footnote>
  <w:footnote w:id="118">
    <w:p w14:paraId="494C16C5" w14:textId="73A6482F" w:rsidR="00176443" w:rsidRDefault="00176443">
      <w:pPr>
        <w:pStyle w:val="Notedebasdepage"/>
      </w:pPr>
      <w:r>
        <w:rPr>
          <w:rStyle w:val="Appelnotedebasdep"/>
        </w:rPr>
        <w:footnoteRef/>
      </w:r>
      <w:r>
        <w:t xml:space="preserve">  </w:t>
      </w:r>
      <w:r>
        <w:tab/>
      </w:r>
      <w:r w:rsidR="004902BC" w:rsidRPr="004902BC">
        <w:rPr>
          <w:i/>
          <w:iCs/>
        </w:rPr>
        <w:t>Centre d'achat Beauward ltée</w:t>
      </w:r>
      <w:r w:rsidR="004902BC">
        <w:t xml:space="preserve"> c. </w:t>
      </w:r>
      <w:r w:rsidR="004902BC" w:rsidRPr="004902BC">
        <w:rPr>
          <w:i/>
          <w:iCs/>
        </w:rPr>
        <w:t>Société québécoise d'assainissement des eaux</w:t>
      </w:r>
      <w:r w:rsidR="004902BC">
        <w:t>, J.E. 99-912</w:t>
      </w:r>
      <w:r w:rsidR="08ECA469">
        <w:t xml:space="preserve"> (C.S.),</w:t>
      </w:r>
      <w:r w:rsidR="004902BC">
        <w:t xml:space="preserve"> par. 30.</w:t>
      </w:r>
    </w:p>
  </w:footnote>
  <w:footnote w:id="119">
    <w:p w14:paraId="6DBCDC1F" w14:textId="215F143B" w:rsidR="006111EB" w:rsidRPr="00093420" w:rsidRDefault="006111EB">
      <w:pPr>
        <w:pStyle w:val="Notedebasdepage"/>
        <w:rPr>
          <w:lang w:val="en-CA"/>
        </w:rPr>
      </w:pPr>
      <w:r>
        <w:rPr>
          <w:rStyle w:val="Appelnotedebasdep"/>
        </w:rPr>
        <w:footnoteRef/>
      </w:r>
      <w:r w:rsidRPr="00093420">
        <w:rPr>
          <w:lang w:val="en-CA"/>
        </w:rPr>
        <w:t xml:space="preserve">  </w:t>
      </w:r>
      <w:r w:rsidRPr="00093420">
        <w:rPr>
          <w:lang w:val="en-CA"/>
        </w:rPr>
        <w:tab/>
      </w:r>
      <w:r w:rsidR="00093420" w:rsidRPr="00093420">
        <w:rPr>
          <w:lang w:val="en-CA"/>
        </w:rPr>
        <w:t>RLRQ, c. E-24, a</w:t>
      </w:r>
      <w:r w:rsidRPr="00093420">
        <w:rPr>
          <w:lang w:val="en-CA"/>
        </w:rPr>
        <w:t>rt. 35</w:t>
      </w:r>
      <w:r w:rsidR="08ECA469" w:rsidRPr="00093420">
        <w:rPr>
          <w:lang w:val="en-CA"/>
        </w:rPr>
        <w:t>.</w:t>
      </w:r>
    </w:p>
  </w:footnote>
  <w:footnote w:id="120">
    <w:p w14:paraId="7FA4413D" w14:textId="6B661607" w:rsidR="0089153B" w:rsidRPr="003521F1" w:rsidRDefault="0089153B">
      <w:pPr>
        <w:pStyle w:val="Notedebasdepage"/>
        <w:rPr>
          <w:i/>
          <w:iCs/>
          <w:lang w:val="en-CA"/>
        </w:rPr>
      </w:pPr>
      <w:r>
        <w:rPr>
          <w:rStyle w:val="Appelnotedebasdep"/>
        </w:rPr>
        <w:footnoteRef/>
      </w:r>
      <w:r w:rsidRPr="003521F1">
        <w:rPr>
          <w:lang w:val="en-CA"/>
        </w:rPr>
        <w:t xml:space="preserve"> </w:t>
      </w:r>
      <w:r w:rsidR="003521F1" w:rsidRPr="003521F1">
        <w:rPr>
          <w:lang w:val="en-CA"/>
        </w:rPr>
        <w:t xml:space="preserve"> </w:t>
      </w:r>
      <w:r w:rsidR="003521F1" w:rsidRPr="003521F1">
        <w:rPr>
          <w:lang w:val="en-CA"/>
        </w:rPr>
        <w:tab/>
        <w:t xml:space="preserve">Art. 44 </w:t>
      </w:r>
      <w:r w:rsidR="003521F1" w:rsidRPr="003521F1">
        <w:rPr>
          <w:i/>
          <w:iCs/>
          <w:lang w:val="en-CA"/>
        </w:rPr>
        <w:t>in fi</w:t>
      </w:r>
      <w:r w:rsidR="003521F1">
        <w:rPr>
          <w:i/>
          <w:iCs/>
          <w:lang w:val="en-CA"/>
        </w:rPr>
        <w:t>ne.</w:t>
      </w:r>
    </w:p>
  </w:footnote>
  <w:footnote w:id="121">
    <w:p w14:paraId="738F116B" w14:textId="425A9716" w:rsidR="00974478" w:rsidRPr="00811C89" w:rsidRDefault="00974478">
      <w:pPr>
        <w:pStyle w:val="Notedebasdepage"/>
      </w:pPr>
      <w:r>
        <w:rPr>
          <w:rStyle w:val="Appelnotedebasdep"/>
        </w:rPr>
        <w:footnoteRef/>
      </w:r>
      <w:r w:rsidRPr="00811C89">
        <w:t xml:space="preserve">  </w:t>
      </w:r>
      <w:r w:rsidRPr="00811C89">
        <w:tab/>
      </w:r>
      <w:r w:rsidR="005C1A14" w:rsidRPr="00811C89">
        <w:t>[1981] 1 R.C.S. 714.</w:t>
      </w:r>
    </w:p>
  </w:footnote>
  <w:footnote w:id="122">
    <w:p w14:paraId="243A0AB6" w14:textId="255F9DBB" w:rsidR="00D45B52" w:rsidRPr="00D45B52" w:rsidRDefault="00D45B52">
      <w:pPr>
        <w:pStyle w:val="Notedebasdepage"/>
      </w:pPr>
      <w:r>
        <w:rPr>
          <w:rStyle w:val="Appelnotedebasdep"/>
        </w:rPr>
        <w:footnoteRef/>
      </w:r>
      <w:r>
        <w:t xml:space="preserve">  </w:t>
      </w:r>
      <w:r>
        <w:tab/>
      </w:r>
      <w:r w:rsidRPr="00D45B52">
        <w:rPr>
          <w:i/>
          <w:iCs/>
        </w:rPr>
        <w:t>Renvoi relatif au Code de procédure civile (Qc), art. 35</w:t>
      </w:r>
      <w:r>
        <w:t>, 2021 CSC, 27, par. 63.</w:t>
      </w:r>
    </w:p>
  </w:footnote>
  <w:footnote w:id="123">
    <w:p w14:paraId="2601D19D" w14:textId="74C2C4C6" w:rsidR="008774F1" w:rsidRDefault="008774F1">
      <w:pPr>
        <w:pStyle w:val="Notedebasdepage"/>
      </w:pPr>
      <w:r>
        <w:rPr>
          <w:rStyle w:val="Appelnotedebasdep"/>
        </w:rPr>
        <w:footnoteRef/>
      </w:r>
      <w:r>
        <w:t xml:space="preserve">  </w:t>
      </w:r>
      <w:r>
        <w:tab/>
      </w:r>
      <w:r w:rsidR="003E2E9E">
        <w:t>Certains autres facteurs</w:t>
      </w:r>
      <w:r w:rsidR="003A62E3">
        <w:t>, comme la situation qui prévaut ailleurs au Canada, ou encore les limites pécuniaires</w:t>
      </w:r>
      <w:r w:rsidR="000659C2">
        <w:t xml:space="preserve"> du travail entre les tribunaux, sont peu d'intérêt dans la situation prévalente.</w:t>
      </w:r>
    </w:p>
  </w:footnote>
  <w:footnote w:id="124">
    <w:p w14:paraId="4BFBA17C" w14:textId="48A648C4" w:rsidR="008F7581" w:rsidRPr="0000613D" w:rsidRDefault="008F7581">
      <w:pPr>
        <w:pStyle w:val="Notedebasdepage"/>
        <w:rPr>
          <w:lang w:val="en-CA"/>
        </w:rPr>
      </w:pPr>
      <w:r>
        <w:rPr>
          <w:rStyle w:val="Appelnotedebasdep"/>
        </w:rPr>
        <w:footnoteRef/>
      </w:r>
      <w:r w:rsidRPr="0000613D">
        <w:rPr>
          <w:lang w:val="en-CA"/>
        </w:rPr>
        <w:t xml:space="preserve"> [1989] 1 R.C.S. 1659</w:t>
      </w:r>
      <w:r w:rsidR="08ECA469" w:rsidRPr="0000613D">
        <w:rPr>
          <w:lang w:val="en-CA"/>
        </w:rPr>
        <w:t>.</w:t>
      </w:r>
    </w:p>
  </w:footnote>
  <w:footnote w:id="125">
    <w:p w14:paraId="35B5A8A5" w14:textId="69C013FA" w:rsidR="00A8549B" w:rsidRPr="0000613D" w:rsidRDefault="00A8549B">
      <w:pPr>
        <w:pStyle w:val="Notedebasdepage"/>
        <w:rPr>
          <w:lang w:val="en-CA"/>
        </w:rPr>
      </w:pPr>
      <w:r>
        <w:rPr>
          <w:rStyle w:val="Appelnotedebasdep"/>
        </w:rPr>
        <w:footnoteRef/>
      </w:r>
      <w:r w:rsidRPr="0000613D">
        <w:rPr>
          <w:lang w:val="en-CA"/>
        </w:rPr>
        <w:t xml:space="preserve"> [2005] 1 R.C.S. 791</w:t>
      </w:r>
      <w:r w:rsidR="08ECA469" w:rsidRPr="0000613D">
        <w:rPr>
          <w:lang w:val="en-CA"/>
        </w:rPr>
        <w:t>.</w:t>
      </w:r>
    </w:p>
  </w:footnote>
  <w:footnote w:id="126">
    <w:p w14:paraId="1D7A9143" w14:textId="0723A6FF" w:rsidR="0000613D" w:rsidRPr="0000613D" w:rsidRDefault="0000613D">
      <w:pPr>
        <w:pStyle w:val="Notedebasdepage"/>
        <w:rPr>
          <w:lang w:val="en-CA"/>
        </w:rPr>
      </w:pPr>
      <w:r>
        <w:rPr>
          <w:rStyle w:val="Appelnotedebasdep"/>
        </w:rPr>
        <w:footnoteRef/>
      </w:r>
      <w:r w:rsidRPr="0000613D">
        <w:rPr>
          <w:lang w:val="en-CA"/>
        </w:rPr>
        <w:t xml:space="preserve"> </w:t>
      </w:r>
      <w:r w:rsidR="00A85BB9">
        <w:rPr>
          <w:lang w:val="en-CA"/>
        </w:rPr>
        <w:t xml:space="preserve"> </w:t>
      </w:r>
      <w:r w:rsidR="00A85BB9">
        <w:rPr>
          <w:lang w:val="en-CA"/>
        </w:rPr>
        <w:tab/>
      </w:r>
      <w:r w:rsidRPr="00A85BB9">
        <w:rPr>
          <w:i/>
          <w:iCs/>
          <w:lang w:val="en-CA"/>
        </w:rPr>
        <w:t>Operation Dismantle Inc</w:t>
      </w:r>
      <w:r w:rsidRPr="0000613D">
        <w:rPr>
          <w:lang w:val="en-CA"/>
        </w:rPr>
        <w:t xml:space="preserve">. c. </w:t>
      </w:r>
      <w:r w:rsidRPr="00A85BB9">
        <w:rPr>
          <w:i/>
          <w:iCs/>
          <w:lang w:val="en-CA"/>
        </w:rPr>
        <w:t>R</w:t>
      </w:r>
      <w:r w:rsidRPr="0000613D">
        <w:rPr>
          <w:lang w:val="en-CA"/>
        </w:rPr>
        <w:t>., [1985] 1 R.C.S. 441</w:t>
      </w:r>
      <w:r w:rsidR="08ECA469" w:rsidRPr="0000613D">
        <w:rPr>
          <w:lang w:val="en-CA"/>
        </w:rPr>
        <w:t>.</w:t>
      </w:r>
    </w:p>
  </w:footnote>
  <w:footnote w:id="127">
    <w:p w14:paraId="3CF713DE" w14:textId="15632159" w:rsidR="009E3481" w:rsidRPr="00C43EA5" w:rsidRDefault="009E3481">
      <w:pPr>
        <w:pStyle w:val="Notedebasdepage"/>
      </w:pPr>
      <w:r>
        <w:rPr>
          <w:rStyle w:val="Appelnotedebasdep"/>
        </w:rPr>
        <w:footnoteRef/>
      </w:r>
      <w:r w:rsidRPr="00C43EA5">
        <w:t xml:space="preserve">  </w:t>
      </w:r>
      <w:r w:rsidRPr="00C43EA5">
        <w:tab/>
        <w:t>VQ-10.</w:t>
      </w:r>
    </w:p>
  </w:footnote>
  <w:footnote w:id="128">
    <w:p w14:paraId="7FCF1A34" w14:textId="65E20E2C" w:rsidR="00677227" w:rsidRPr="006E01C0" w:rsidRDefault="00677227" w:rsidP="00677227">
      <w:pPr>
        <w:pStyle w:val="Notedebasdepage"/>
      </w:pPr>
      <w:r>
        <w:rPr>
          <w:rStyle w:val="Appelnotedebasdep"/>
        </w:rPr>
        <w:footnoteRef/>
      </w:r>
      <w:r w:rsidRPr="006E01C0">
        <w:t xml:space="preserve">  </w:t>
      </w:r>
      <w:r w:rsidRPr="006E01C0">
        <w:tab/>
      </w:r>
      <w:r w:rsidRPr="006E01C0">
        <w:rPr>
          <w:i/>
          <w:iCs/>
        </w:rPr>
        <w:t>Nanaimo (Ville)</w:t>
      </w:r>
      <w:r w:rsidRPr="006E01C0">
        <w:t xml:space="preserve"> c. </w:t>
      </w:r>
      <w:r w:rsidRPr="006E01C0">
        <w:rPr>
          <w:i/>
          <w:iCs/>
        </w:rPr>
        <w:t>Rascal Trucking Ltd</w:t>
      </w:r>
      <w:r w:rsidRPr="006E01C0">
        <w:t>., 2000 CSC 13</w:t>
      </w:r>
      <w:r w:rsidR="08ECA469" w:rsidRPr="006E01C0">
        <w:t>.</w:t>
      </w:r>
    </w:p>
  </w:footnote>
  <w:footnote w:id="129">
    <w:p w14:paraId="452E054F" w14:textId="7048B323" w:rsidR="00046C6A" w:rsidRPr="00DD5504" w:rsidRDefault="00046C6A">
      <w:pPr>
        <w:pStyle w:val="Notedebasdepage"/>
      </w:pPr>
      <w:r>
        <w:rPr>
          <w:rStyle w:val="Appelnotedebasdep"/>
        </w:rPr>
        <w:footnoteRef/>
      </w:r>
      <w:r w:rsidRPr="00DD5504">
        <w:t xml:space="preserve">  </w:t>
      </w:r>
      <w:r w:rsidRPr="00DD5504">
        <w:tab/>
        <w:t>RLRQ, c. E-20.001.</w:t>
      </w:r>
    </w:p>
  </w:footnote>
  <w:footnote w:id="130">
    <w:p w14:paraId="51A90C36" w14:textId="77777777" w:rsidR="0013477C" w:rsidRPr="00071565" w:rsidRDefault="0013477C" w:rsidP="0013477C">
      <w:pPr>
        <w:pStyle w:val="Notedebasdepage"/>
      </w:pPr>
      <w:r w:rsidRPr="00071565">
        <w:rPr>
          <w:rStyle w:val="Appelnotedebasdep"/>
        </w:rPr>
        <w:footnoteRef/>
      </w:r>
      <w:r w:rsidRPr="00071565">
        <w:t xml:space="preserve">  </w:t>
      </w:r>
      <w:r w:rsidRPr="00071565">
        <w:tab/>
        <w:t>2013 CSC 42, par. 23 et 24.</w:t>
      </w:r>
    </w:p>
  </w:footnote>
  <w:footnote w:id="131">
    <w:p w14:paraId="0969FD51" w14:textId="04B115B8" w:rsidR="00012153" w:rsidRDefault="00012153">
      <w:pPr>
        <w:pStyle w:val="Notedebasdepage"/>
      </w:pPr>
      <w:r>
        <w:rPr>
          <w:rStyle w:val="Appelnotedebasdep"/>
        </w:rPr>
        <w:footnoteRef/>
      </w:r>
      <w:r>
        <w:t xml:space="preserve"> </w:t>
      </w:r>
      <w:r w:rsidR="001A58EF">
        <w:t xml:space="preserve"> </w:t>
      </w:r>
      <w:r w:rsidR="001A58EF">
        <w:tab/>
      </w:r>
      <w:r w:rsidR="00DA65C5">
        <w:t>Le</w:t>
      </w:r>
      <w:r w:rsidR="001A58EF">
        <w:t xml:space="preserve"> tramway ne fera son apparition qu'en 2005 dans ce rapport traitant de la mobilité durable (par.</w:t>
      </w:r>
      <w:r w:rsidR="00B021C4">
        <w:t xml:space="preserve"> </w:t>
      </w:r>
      <w:r w:rsidR="00B021C4">
        <w:fldChar w:fldCharType="begin"/>
      </w:r>
      <w:r w:rsidR="00B021C4">
        <w:instrText xml:space="preserve"> REF _Ref123548345 \r \h </w:instrText>
      </w:r>
      <w:r w:rsidR="00B021C4">
        <w:fldChar w:fldCharType="separate"/>
      </w:r>
      <w:r w:rsidR="00516E05">
        <w:t></w:t>
      </w:r>
      <w:r w:rsidR="00B021C4">
        <w:fldChar w:fldCharType="end"/>
      </w:r>
      <w:r w:rsidR="001A58EF">
        <w:t xml:space="preserve"> </w:t>
      </w:r>
      <w:r w:rsidR="00B021C4">
        <w:t>d</w:t>
      </w:r>
      <w:r w:rsidR="001A58EF">
        <w:t>e ce jugement).</w:t>
      </w:r>
    </w:p>
  </w:footnote>
  <w:footnote w:id="132">
    <w:p w14:paraId="15CFF16F" w14:textId="0C73048F" w:rsidR="00C578EE" w:rsidRDefault="00C578EE">
      <w:pPr>
        <w:pStyle w:val="Notedebasdepage"/>
      </w:pPr>
      <w:r>
        <w:rPr>
          <w:rStyle w:val="Appelnotedebasdep"/>
        </w:rPr>
        <w:footnoteRef/>
      </w:r>
      <w:r>
        <w:t xml:space="preserve">  </w:t>
      </w:r>
      <w:r>
        <w:tab/>
      </w:r>
      <w:r w:rsidR="08ECA469">
        <w:t>QUÉBEC, ASSEMBLÉE NATIONALE</w:t>
      </w:r>
      <w:r w:rsidR="08ECA469" w:rsidRPr="08ECA469">
        <w:rPr>
          <w:i/>
          <w:iCs/>
        </w:rPr>
        <w:t xml:space="preserve">, Journal des débats de la Commission de l’aménagement du territoire, </w:t>
      </w:r>
      <w:r w:rsidR="08ECA469" w:rsidRPr="08ECA469">
        <w:t>1</w:t>
      </w:r>
      <w:r w:rsidR="08ECA469" w:rsidRPr="0082357C">
        <w:rPr>
          <w:vertAlign w:val="superscript"/>
        </w:rPr>
        <w:t>re</w:t>
      </w:r>
      <w:r w:rsidR="08ECA469" w:rsidRPr="08ECA469">
        <w:t xml:space="preserve"> sess., 37</w:t>
      </w:r>
      <w:r w:rsidR="08ECA469" w:rsidRPr="08ECA469">
        <w:rPr>
          <w:vertAlign w:val="superscript"/>
        </w:rPr>
        <w:t xml:space="preserve">e </w:t>
      </w:r>
      <w:r w:rsidR="08ECA469" w:rsidRPr="08ECA469">
        <w:t>légis., 12 décembre 2003, ”Étude détaillée du projet de loi n</w:t>
      </w:r>
      <w:r w:rsidR="08ECA469" w:rsidRPr="08ECA469">
        <w:rPr>
          <w:vertAlign w:val="superscript"/>
        </w:rPr>
        <w:t xml:space="preserve">o </w:t>
      </w:r>
      <w:r w:rsidR="08ECA469" w:rsidRPr="08ECA469">
        <w:t>23 – Loi modifiant de nouveau diverses dispositions législatives concernant le domaine municipal”, 17h40 (M. Fournier).</w:t>
      </w:r>
    </w:p>
  </w:footnote>
  <w:footnote w:id="133">
    <w:p w14:paraId="67FC7CED" w14:textId="03C5E277" w:rsidR="00B97B8E" w:rsidRDefault="00B97B8E">
      <w:pPr>
        <w:pStyle w:val="Notedebasdepage"/>
      </w:pPr>
      <w:r>
        <w:rPr>
          <w:rStyle w:val="Appelnotedebasdep"/>
        </w:rPr>
        <w:footnoteRef/>
      </w:r>
      <w:r>
        <w:t xml:space="preserve">  </w:t>
      </w:r>
      <w:r>
        <w:tab/>
        <w:t>P-38.</w:t>
      </w:r>
    </w:p>
  </w:footnote>
  <w:footnote w:id="134">
    <w:p w14:paraId="5434159D" w14:textId="5A0F652E" w:rsidR="00CD54BE" w:rsidRPr="00071565" w:rsidRDefault="00CD54BE" w:rsidP="00CD54BE">
      <w:pPr>
        <w:pStyle w:val="Notedebasdepage"/>
      </w:pPr>
      <w:r w:rsidRPr="00071565">
        <w:rPr>
          <w:rStyle w:val="Appelnotedebasdep"/>
        </w:rPr>
        <w:footnoteRef/>
      </w:r>
      <w:r w:rsidRPr="00071565">
        <w:t xml:space="preserve">  </w:t>
      </w:r>
      <w:r w:rsidRPr="00071565">
        <w:tab/>
      </w:r>
      <w:r>
        <w:rPr>
          <w:i/>
        </w:rPr>
        <w:t>Wikitionnaire – Le dictionnaire libre</w:t>
      </w:r>
      <w:r>
        <w:t xml:space="preserve">, en ligne : </w:t>
      </w:r>
      <w:r w:rsidRPr="008B426C">
        <w:t>https://fr.wiktionary.org/wiki/infrastructure</w:t>
      </w:r>
      <w:r>
        <w:t>, consulté le 19 juillet 2022</w:t>
      </w:r>
      <w:r w:rsidRPr="00071565">
        <w:t xml:space="preserve">. </w:t>
      </w:r>
    </w:p>
  </w:footnote>
  <w:footnote w:id="135">
    <w:p w14:paraId="6D2DFC8D" w14:textId="77777777" w:rsidR="00CD54BE" w:rsidRPr="00071565" w:rsidRDefault="00CD54BE" w:rsidP="00CD54BE">
      <w:pPr>
        <w:pStyle w:val="Notedebasdepage"/>
      </w:pPr>
      <w:r w:rsidRPr="00071565">
        <w:rPr>
          <w:rStyle w:val="Appelnotedebasdep"/>
        </w:rPr>
        <w:footnoteRef/>
      </w:r>
      <w:r w:rsidRPr="00071565">
        <w:t xml:space="preserve">  </w:t>
      </w:r>
      <w:r w:rsidRPr="00071565">
        <w:tab/>
      </w:r>
      <w:r w:rsidRPr="0082357C">
        <w:rPr>
          <w:i/>
        </w:rPr>
        <w:t>Le Petit Robert</w:t>
      </w:r>
      <w:r w:rsidRPr="00071565">
        <w:t xml:space="preserve">, </w:t>
      </w:r>
      <w:r>
        <w:t>Paris, 2012.</w:t>
      </w:r>
    </w:p>
  </w:footnote>
  <w:footnote w:id="136">
    <w:p w14:paraId="09AC61DA" w14:textId="271974A0" w:rsidR="00977D48" w:rsidRDefault="00977D48" w:rsidP="00977D48">
      <w:pPr>
        <w:pStyle w:val="Notedebasdepage"/>
      </w:pPr>
      <w:r>
        <w:rPr>
          <w:rStyle w:val="Appelnotedebasdep"/>
        </w:rPr>
        <w:footnoteRef/>
      </w:r>
      <w:r>
        <w:t xml:space="preserve"> </w:t>
      </w:r>
      <w:r w:rsidR="00BE18EB">
        <w:t xml:space="preserve"> </w:t>
      </w:r>
      <w:r w:rsidR="00BE18EB">
        <w:tab/>
      </w:r>
      <w:r>
        <w:rPr>
          <w:rStyle w:val="reflex3-missing"/>
          <w:rFonts w:cs="Arial"/>
          <w:color w:val="000000"/>
        </w:rPr>
        <w:t>[1980] C.A. 370</w:t>
      </w:r>
      <w:r>
        <w:rPr>
          <w:rFonts w:cs="Arial"/>
          <w:color w:val="000000"/>
        </w:rPr>
        <w:t xml:space="preserve">, </w:t>
      </w:r>
      <w:r w:rsidR="08ECA469">
        <w:rPr>
          <w:rFonts w:cs="Arial"/>
          <w:color w:val="000000"/>
        </w:rPr>
        <w:t xml:space="preserve">p. </w:t>
      </w:r>
      <w:r>
        <w:rPr>
          <w:rFonts w:cs="Arial"/>
          <w:color w:val="000000"/>
        </w:rPr>
        <w:t>372.</w:t>
      </w:r>
      <w:r w:rsidRPr="08ECA469">
        <w:rPr>
          <w:rFonts w:cs="Arial"/>
        </w:rPr>
        <w:t> </w:t>
      </w:r>
    </w:p>
  </w:footnote>
  <w:footnote w:id="137">
    <w:p w14:paraId="573EA452" w14:textId="2709EADD" w:rsidR="00BE18EB" w:rsidRDefault="00BE18EB">
      <w:pPr>
        <w:pStyle w:val="Notedebasdepage"/>
      </w:pPr>
      <w:r>
        <w:rPr>
          <w:rStyle w:val="Appelnotedebasdep"/>
        </w:rPr>
        <w:footnoteRef/>
      </w:r>
      <w:r>
        <w:t xml:space="preserve">  </w:t>
      </w:r>
      <w:r>
        <w:tab/>
      </w:r>
      <w:r w:rsidR="006361FB">
        <w:t>[1990] 2 R.C.S. 1029</w:t>
      </w:r>
      <w:r w:rsidR="08ECA469">
        <w:t>.</w:t>
      </w:r>
    </w:p>
  </w:footnote>
  <w:footnote w:id="138">
    <w:p w14:paraId="38737F04" w14:textId="67898454" w:rsidR="00020416" w:rsidRDefault="00020416">
      <w:pPr>
        <w:pStyle w:val="Notedebasdepage"/>
      </w:pPr>
      <w:r>
        <w:rPr>
          <w:rStyle w:val="Appelnotedebasdep"/>
        </w:rPr>
        <w:footnoteRef/>
      </w:r>
      <w:r>
        <w:t xml:space="preserve">  </w:t>
      </w:r>
      <w:r>
        <w:tab/>
      </w:r>
      <w:r w:rsidR="00CC683B" w:rsidRPr="00CC683B">
        <w:rPr>
          <w:i/>
          <w:iCs/>
        </w:rPr>
        <w:t>Stevenson</w:t>
      </w:r>
      <w:r w:rsidR="00CC683B" w:rsidRPr="00CC683B">
        <w:t xml:space="preserve"> c. </w:t>
      </w:r>
      <w:r w:rsidR="00CC683B" w:rsidRPr="00CC683B">
        <w:rPr>
          <w:i/>
          <w:iCs/>
        </w:rPr>
        <w:t>Canada (Procureur général)</w:t>
      </w:r>
      <w:r w:rsidR="00CC683B" w:rsidRPr="00CC683B">
        <w:t>, 2003 CanLII 16515 (QC CS)</w:t>
      </w:r>
      <w:r w:rsidR="00CC087E">
        <w:t>, par. 33 à 35.</w:t>
      </w:r>
    </w:p>
  </w:footnote>
  <w:footnote w:id="139">
    <w:p w14:paraId="65F6C42C" w14:textId="0AD7875F" w:rsidR="00A56A66" w:rsidRPr="004F3A7C" w:rsidRDefault="00A56A66">
      <w:pPr>
        <w:pStyle w:val="Notedebasdepage"/>
      </w:pPr>
      <w:r>
        <w:rPr>
          <w:rStyle w:val="Appelnotedebasdep"/>
        </w:rPr>
        <w:footnoteRef/>
      </w:r>
      <w:r w:rsidRPr="004F3A7C">
        <w:t xml:space="preserve">  </w:t>
      </w:r>
      <w:r w:rsidRPr="004F3A7C">
        <w:tab/>
      </w:r>
      <w:r w:rsidR="004F3A7C" w:rsidRPr="004F3A7C">
        <w:rPr>
          <w:i/>
          <w:iCs/>
        </w:rPr>
        <w:t>Lamco II, s.e.c.</w:t>
      </w:r>
      <w:r w:rsidR="004F3A7C" w:rsidRPr="004F3A7C">
        <w:t xml:space="preserve"> c. </w:t>
      </w:r>
      <w:r w:rsidR="004F3A7C" w:rsidRPr="004F3A7C">
        <w:rPr>
          <w:i/>
          <w:iCs/>
        </w:rPr>
        <w:t>Q</w:t>
      </w:r>
      <w:r w:rsidR="004F3A7C">
        <w:rPr>
          <w:i/>
          <w:iCs/>
        </w:rPr>
        <w:t>uébec (Ville de)</w:t>
      </w:r>
      <w:r w:rsidR="00BF1721">
        <w:rPr>
          <w:i/>
          <w:iCs/>
        </w:rPr>
        <w:t>,</w:t>
      </w:r>
      <w:r w:rsidR="004F3A7C">
        <w:t xml:space="preserve"> </w:t>
      </w:r>
      <w:r w:rsidR="00E24DC5">
        <w:t>2016 QCCA 757, par. 1</w:t>
      </w:r>
      <w:r w:rsidR="00574FA2">
        <w:t>.</w:t>
      </w:r>
    </w:p>
  </w:footnote>
  <w:footnote w:id="140">
    <w:p w14:paraId="5F41AD09" w14:textId="622FC6DF" w:rsidR="0013278D" w:rsidRPr="00DC6916" w:rsidRDefault="0013278D">
      <w:pPr>
        <w:pStyle w:val="Notedebasdepage"/>
      </w:pPr>
      <w:r>
        <w:rPr>
          <w:rStyle w:val="Appelnotedebasdep"/>
        </w:rPr>
        <w:footnoteRef/>
      </w:r>
      <w:r>
        <w:t xml:space="preserve">  </w:t>
      </w:r>
      <w:r>
        <w:tab/>
      </w:r>
      <w:r w:rsidR="00DC6916">
        <w:rPr>
          <w:i/>
          <w:iCs/>
        </w:rPr>
        <w:t xml:space="preserve">Haig </w:t>
      </w:r>
      <w:r w:rsidR="00DC6916">
        <w:t xml:space="preserve">c. </w:t>
      </w:r>
      <w:r w:rsidR="00DC6916">
        <w:rPr>
          <w:i/>
          <w:iCs/>
        </w:rPr>
        <w:t>Canada (Directeur général des élections</w:t>
      </w:r>
      <w:r w:rsidR="08ECA469" w:rsidRPr="08ECA469">
        <w:rPr>
          <w:i/>
          <w:iCs/>
        </w:rPr>
        <w:t>),</w:t>
      </w:r>
      <w:r w:rsidR="00DC6916">
        <w:t xml:space="preserve"> </w:t>
      </w:r>
      <w:r w:rsidR="004A22AF">
        <w:t xml:space="preserve">[1993] 2 </w:t>
      </w:r>
      <w:r w:rsidR="08ECA469">
        <w:t>R.C.S.</w:t>
      </w:r>
      <w:r w:rsidR="004A22AF">
        <w:t xml:space="preserve"> 995</w:t>
      </w:r>
      <w:r w:rsidR="00AA7D48">
        <w:t>.</w:t>
      </w:r>
    </w:p>
  </w:footnote>
  <w:footnote w:id="141">
    <w:p w14:paraId="23B5F7B8" w14:textId="7021B971" w:rsidR="00DB6A0B" w:rsidRDefault="00DB6A0B">
      <w:pPr>
        <w:pStyle w:val="Notedebasdepage"/>
      </w:pPr>
      <w:r>
        <w:rPr>
          <w:rStyle w:val="Appelnotedebasdep"/>
        </w:rPr>
        <w:footnoteRef/>
      </w:r>
      <w:r>
        <w:t xml:space="preserve">  </w:t>
      </w:r>
      <w:r>
        <w:tab/>
      </w:r>
      <w:r w:rsidR="08ECA469">
        <w:t>[</w:t>
      </w:r>
      <w:r w:rsidR="00896C7D">
        <w:t>1</w:t>
      </w:r>
      <w:r w:rsidR="000B0C9E">
        <w:t>977</w:t>
      </w:r>
      <w:r w:rsidR="08ECA469">
        <w:t>] 1</w:t>
      </w:r>
      <w:r w:rsidR="000B0C9E">
        <w:t xml:space="preserve"> R.C.S. 271, p. 283</w:t>
      </w:r>
      <w:r w:rsidR="000E5E60">
        <w:t>.</w:t>
      </w:r>
    </w:p>
  </w:footnote>
  <w:footnote w:id="142">
    <w:p w14:paraId="180C4AB8" w14:textId="6E9C07F7" w:rsidR="004B24FA" w:rsidRDefault="004B24FA">
      <w:pPr>
        <w:pStyle w:val="Notedebasdepage"/>
      </w:pPr>
      <w:r>
        <w:rPr>
          <w:rStyle w:val="Appelnotedebasdep"/>
        </w:rPr>
        <w:footnoteRef/>
      </w:r>
      <w:r>
        <w:t xml:space="preserve">  </w:t>
      </w:r>
      <w:r>
        <w:tab/>
      </w:r>
      <w:r w:rsidR="00A8269B" w:rsidRPr="00A8269B">
        <w:rPr>
          <w:i/>
          <w:iCs/>
        </w:rPr>
        <w:t>Mont-Tremblant (Municipalité de)</w:t>
      </w:r>
      <w:r w:rsidR="00A8269B" w:rsidRPr="00A8269B">
        <w:t xml:space="preserve"> c. </w:t>
      </w:r>
      <w:r w:rsidR="00A8269B" w:rsidRPr="00A8269B">
        <w:rPr>
          <w:i/>
          <w:iCs/>
        </w:rPr>
        <w:t>St-Jovite (Paroisse de</w:t>
      </w:r>
      <w:r w:rsidR="08ECA469" w:rsidRPr="00A8269B">
        <w:t>),</w:t>
      </w:r>
      <w:r w:rsidR="00A8269B">
        <w:t xml:space="preserve"> J.E. 2000-1685</w:t>
      </w:r>
      <w:r w:rsidR="08ECA469">
        <w:t xml:space="preserve"> (C.S.).</w:t>
      </w:r>
    </w:p>
  </w:footnote>
  <w:footnote w:id="143">
    <w:p w14:paraId="6E4C62ED" w14:textId="7BC520CF" w:rsidR="002A2D2D" w:rsidRDefault="002A2D2D">
      <w:pPr>
        <w:pStyle w:val="Notedebasdepage"/>
      </w:pPr>
      <w:r>
        <w:rPr>
          <w:rStyle w:val="Appelnotedebasdep"/>
        </w:rPr>
        <w:footnoteRef/>
      </w:r>
      <w:r>
        <w:t xml:space="preserve"> </w:t>
      </w:r>
      <w:r w:rsidR="001464C3">
        <w:t xml:space="preserve"> </w:t>
      </w:r>
      <w:r w:rsidR="001464C3">
        <w:tab/>
        <w:t>Notes de plaidoiries des demandeurs, onglet 4, par. 21.</w:t>
      </w:r>
    </w:p>
  </w:footnote>
  <w:footnote w:id="144">
    <w:p w14:paraId="438C3BAF" w14:textId="79DD7633" w:rsidR="007F3FB9" w:rsidRDefault="007F3FB9">
      <w:pPr>
        <w:pStyle w:val="Notedebasdepage"/>
      </w:pPr>
      <w:r>
        <w:rPr>
          <w:rStyle w:val="Appelnotedebasdep"/>
        </w:rPr>
        <w:footnoteRef/>
      </w:r>
      <w:r>
        <w:t xml:space="preserve">  </w:t>
      </w:r>
      <w:r>
        <w:tab/>
        <w:t>Art. 5.4.</w:t>
      </w:r>
    </w:p>
  </w:footnote>
  <w:footnote w:id="145">
    <w:p w14:paraId="4925C60F" w14:textId="100B7B64" w:rsidR="00A62BFC" w:rsidRDefault="00A62BFC">
      <w:pPr>
        <w:pStyle w:val="Notedebasdepage"/>
      </w:pPr>
      <w:r>
        <w:rPr>
          <w:rStyle w:val="Appelnotedebasdep"/>
        </w:rPr>
        <w:footnoteRef/>
      </w:r>
      <w:r>
        <w:t xml:space="preserve"> </w:t>
      </w:r>
      <w:r w:rsidR="00857FE6">
        <w:t xml:space="preserve"> </w:t>
      </w:r>
      <w:r w:rsidR="00857FE6">
        <w:tab/>
        <w:t>P-37, Règlement R.V.Q. 2705. La</w:t>
      </w:r>
      <w:r w:rsidR="00AD5414">
        <w:t xml:space="preserve"> Politique de participation publique de la </w:t>
      </w:r>
      <w:r w:rsidR="08ECA469">
        <w:t>V</w:t>
      </w:r>
      <w:r w:rsidR="00AD5414">
        <w:t>ille de Québec, art. 38.</w:t>
      </w:r>
    </w:p>
  </w:footnote>
  <w:footnote w:id="146">
    <w:p w14:paraId="68E553CD" w14:textId="7110CCFB" w:rsidR="002C4C77" w:rsidRDefault="002C4C77">
      <w:pPr>
        <w:pStyle w:val="Notedebasdepage"/>
      </w:pPr>
      <w:r>
        <w:rPr>
          <w:rStyle w:val="Appelnotedebasdep"/>
        </w:rPr>
        <w:footnoteRef/>
      </w:r>
      <w:r>
        <w:t xml:space="preserve">  </w:t>
      </w:r>
      <w:r>
        <w:tab/>
        <w:t xml:space="preserve">P-34-A, </w:t>
      </w:r>
      <w:r w:rsidR="00B25CC4">
        <w:t>Procès-verbal CV 2019-0372.</w:t>
      </w:r>
    </w:p>
  </w:footnote>
  <w:footnote w:id="147">
    <w:p w14:paraId="713ADECF" w14:textId="77777777" w:rsidR="00A05987" w:rsidRPr="00704D74" w:rsidRDefault="00A05987" w:rsidP="00A05987">
      <w:pPr>
        <w:pStyle w:val="Notedebasdepage"/>
      </w:pPr>
      <w:r>
        <w:rPr>
          <w:rStyle w:val="Appelnotedebasdep"/>
        </w:rPr>
        <w:footnoteRef/>
      </w:r>
      <w:r w:rsidRPr="00704D74">
        <w:t xml:space="preserve">  </w:t>
      </w:r>
      <w:r w:rsidRPr="00704D74">
        <w:tab/>
        <w:t>2012 CSC 7.</w:t>
      </w:r>
    </w:p>
  </w:footnote>
  <w:footnote w:id="148">
    <w:p w14:paraId="655F4D4F" w14:textId="77777777" w:rsidR="00A41117" w:rsidRDefault="00A41117" w:rsidP="00A41117">
      <w:pPr>
        <w:pStyle w:val="Notedebasdepage"/>
      </w:pPr>
      <w:r>
        <w:rPr>
          <w:rStyle w:val="Appelnotedebasdep"/>
        </w:rPr>
        <w:footnoteRef/>
      </w:r>
      <w:r>
        <w:t xml:space="preserve">  </w:t>
      </w:r>
      <w:r>
        <w:tab/>
      </w:r>
      <w:r w:rsidRPr="00014703">
        <w:rPr>
          <w:i/>
          <w:iCs/>
        </w:rPr>
        <w:t>Chapman</w:t>
      </w:r>
      <w:r>
        <w:t xml:space="preserve"> c. </w:t>
      </w:r>
      <w:r w:rsidRPr="00014703">
        <w:rPr>
          <w:i/>
          <w:iCs/>
        </w:rPr>
        <w:t>Procureure générale du Québec</w:t>
      </w:r>
      <w:r>
        <w:t>, 2018 QCCA 2013, par. 42.</w:t>
      </w:r>
    </w:p>
  </w:footnote>
  <w:footnote w:id="149">
    <w:p w14:paraId="1425B95A" w14:textId="77777777" w:rsidR="00A41117" w:rsidRPr="00E61256" w:rsidRDefault="00A41117" w:rsidP="00A41117">
      <w:pPr>
        <w:pStyle w:val="Notedebasdepage"/>
      </w:pPr>
      <w:r>
        <w:rPr>
          <w:rStyle w:val="Appelnotedebasdep"/>
        </w:rPr>
        <w:footnoteRef/>
      </w:r>
      <w:r w:rsidRPr="00E61256">
        <w:t xml:space="preserve">  </w:t>
      </w:r>
      <w:r w:rsidRPr="00E61256">
        <w:tab/>
      </w:r>
      <w:r w:rsidRPr="00E61256">
        <w:rPr>
          <w:i/>
          <w:iCs/>
        </w:rPr>
        <w:t>Blencoe</w:t>
      </w:r>
      <w:r w:rsidRPr="00E61256">
        <w:t xml:space="preserve"> c. </w:t>
      </w:r>
      <w:r w:rsidRPr="00E61256">
        <w:rPr>
          <w:i/>
          <w:iCs/>
        </w:rPr>
        <w:t>Colombie-Britannique (Human Rights Commission</w:t>
      </w:r>
      <w:r w:rsidRPr="00E61256">
        <w:t>), 2000 CSC 44, par. 56.</w:t>
      </w:r>
    </w:p>
  </w:footnote>
  <w:footnote w:id="150">
    <w:p w14:paraId="06446985" w14:textId="2340FB66" w:rsidR="00A41117" w:rsidRPr="00750D85" w:rsidRDefault="00A41117" w:rsidP="00A41117">
      <w:pPr>
        <w:pStyle w:val="Notedebasdepage"/>
        <w:rPr>
          <w:i/>
          <w:iCs/>
        </w:rPr>
      </w:pPr>
      <w:r>
        <w:rPr>
          <w:rStyle w:val="Appelnotedebasdep"/>
        </w:rPr>
        <w:footnoteRef/>
      </w:r>
      <w:r w:rsidRPr="00750D85">
        <w:t xml:space="preserve"> </w:t>
      </w:r>
      <w:r w:rsidRPr="00750D85">
        <w:tab/>
      </w:r>
      <w:r w:rsidRPr="00750D85">
        <w:rPr>
          <w:i/>
          <w:iCs/>
        </w:rPr>
        <w:t xml:space="preserve">Québec (Curateur public) </w:t>
      </w:r>
      <w:r w:rsidRPr="00750D85">
        <w:t xml:space="preserve">c. </w:t>
      </w:r>
      <w:r w:rsidRPr="00750D85">
        <w:rPr>
          <w:i/>
          <w:iCs/>
        </w:rPr>
        <w:t>Sy</w:t>
      </w:r>
      <w:r>
        <w:rPr>
          <w:i/>
          <w:iCs/>
        </w:rPr>
        <w:t>ndicat national des employés de l'hôpital Saint-Ferdinand</w:t>
      </w:r>
      <w:r w:rsidR="08ECA469" w:rsidRPr="08ECA469">
        <w:rPr>
          <w:i/>
          <w:iCs/>
        </w:rPr>
        <w:t>,</w:t>
      </w:r>
      <w:r>
        <w:rPr>
          <w:i/>
          <w:iCs/>
        </w:rPr>
        <w:t xml:space="preserve"> </w:t>
      </w:r>
      <w:r>
        <w:rPr>
          <w:rFonts w:cs="Arial"/>
        </w:rPr>
        <w:t xml:space="preserve">[1996] </w:t>
      </w:r>
      <w:r w:rsidR="08ECA469">
        <w:rPr>
          <w:rFonts w:cs="Arial"/>
        </w:rPr>
        <w:t xml:space="preserve">3 </w:t>
      </w:r>
      <w:r>
        <w:rPr>
          <w:rFonts w:cs="Arial"/>
        </w:rPr>
        <w:t>R.C.S. 211, par. 96 à 98.</w:t>
      </w:r>
      <w:r>
        <w:rPr>
          <w:i/>
          <w:iCs/>
        </w:rPr>
        <w:t xml:space="preserve"> </w:t>
      </w:r>
    </w:p>
  </w:footnote>
  <w:footnote w:id="151">
    <w:p w14:paraId="44DFD011" w14:textId="77777777" w:rsidR="00A41117" w:rsidRPr="00750D85" w:rsidRDefault="00A41117" w:rsidP="00A41117">
      <w:pPr>
        <w:pStyle w:val="Notedebasdepage"/>
      </w:pPr>
      <w:r>
        <w:rPr>
          <w:rStyle w:val="Appelnotedebasdep"/>
        </w:rPr>
        <w:footnoteRef/>
      </w:r>
      <w:r w:rsidRPr="00750D85">
        <w:t xml:space="preserve">  </w:t>
      </w:r>
      <w:r w:rsidRPr="00750D85">
        <w:tab/>
        <w:t>Art. 976 C.c.Q.</w:t>
      </w:r>
    </w:p>
  </w:footnote>
  <w:footnote w:id="152">
    <w:p w14:paraId="593DEDC5" w14:textId="77777777" w:rsidR="00A41117" w:rsidRDefault="00A41117" w:rsidP="00A41117">
      <w:pPr>
        <w:pStyle w:val="Notedebasdepage"/>
      </w:pPr>
      <w:r>
        <w:rPr>
          <w:rStyle w:val="Appelnotedebasdep"/>
        </w:rPr>
        <w:footnoteRef/>
      </w:r>
      <w:r>
        <w:t xml:space="preserve">  </w:t>
      </w:r>
      <w:r>
        <w:tab/>
      </w:r>
      <w:r w:rsidRPr="00584173">
        <w:rPr>
          <w:i/>
          <w:iCs/>
        </w:rPr>
        <w:t>Syndicat des métallos, section locale 2008</w:t>
      </w:r>
      <w:r>
        <w:t xml:space="preserve"> c. </w:t>
      </w:r>
      <w:r w:rsidRPr="00584173">
        <w:rPr>
          <w:i/>
          <w:iCs/>
        </w:rPr>
        <w:t>Procureur général du Canada</w:t>
      </w:r>
      <w:r>
        <w:t>, 2022 QCCS 2455, par. 103.</w:t>
      </w:r>
    </w:p>
  </w:footnote>
  <w:footnote w:id="153">
    <w:p w14:paraId="0C956319" w14:textId="08D6C10E" w:rsidR="009C28BF" w:rsidRDefault="009C28BF">
      <w:pPr>
        <w:pStyle w:val="Notedebasdepage"/>
      </w:pPr>
      <w:r>
        <w:rPr>
          <w:rStyle w:val="Appelnotedebasdep"/>
        </w:rPr>
        <w:footnoteRef/>
      </w:r>
      <w:r>
        <w:t xml:space="preserve">  </w:t>
      </w:r>
      <w:r>
        <w:tab/>
      </w:r>
      <w:r w:rsidR="00574A30">
        <w:t xml:space="preserve">P-35F, Chronologie des événements de </w:t>
      </w:r>
      <w:r w:rsidR="00986959">
        <w:t>20</w:t>
      </w:r>
      <w:r w:rsidR="00574A30">
        <w:t xml:space="preserve">17 </w:t>
      </w:r>
      <w:r w:rsidR="00986959">
        <w:t xml:space="preserve">à </w:t>
      </w:r>
      <w:r w:rsidR="00574A30">
        <w:t>août 2022 préparé</w:t>
      </w:r>
      <w:r w:rsidR="00986959">
        <w:t>e</w:t>
      </w:r>
      <w:r w:rsidR="00574A30">
        <w:t xml:space="preserve"> par le demandeur Jean-Marc Thériault</w:t>
      </w:r>
      <w:r w:rsidR="00C73BFA">
        <w:t xml:space="preserve"> (sous-pièce RT-97)</w:t>
      </w:r>
      <w:r w:rsidR="00986959">
        <w:t>, p.</w:t>
      </w:r>
      <w:r w:rsidR="00C73BFA">
        <w:t xml:space="preserve"> 5.</w:t>
      </w:r>
    </w:p>
  </w:footnote>
  <w:footnote w:id="154">
    <w:p w14:paraId="285F56DE" w14:textId="035BCADF" w:rsidR="00992E87" w:rsidRDefault="00992E87">
      <w:pPr>
        <w:pStyle w:val="Notedebasdepage"/>
      </w:pPr>
      <w:r>
        <w:rPr>
          <w:rStyle w:val="Appelnotedebasdep"/>
        </w:rPr>
        <w:footnoteRef/>
      </w:r>
      <w:r>
        <w:t xml:space="preserve">  </w:t>
      </w:r>
      <w:r>
        <w:tab/>
      </w:r>
      <w:r w:rsidR="008F61E9">
        <w:t xml:space="preserve">Notes de plaidoiries des demandeurs, onglet 5, </w:t>
      </w:r>
      <w:r w:rsidR="08ECA469">
        <w:t>p.</w:t>
      </w:r>
      <w:r w:rsidR="008F61E9">
        <w:t xml:space="preserve"> 7, par. 35.</w:t>
      </w:r>
    </w:p>
  </w:footnote>
  <w:footnote w:id="155">
    <w:p w14:paraId="4B886B7A" w14:textId="0E6FACBC" w:rsidR="001074E9" w:rsidRDefault="001074E9">
      <w:pPr>
        <w:pStyle w:val="Notedebasdepage"/>
      </w:pPr>
      <w:r>
        <w:rPr>
          <w:rStyle w:val="Appelnotedebasdep"/>
        </w:rPr>
        <w:footnoteRef/>
      </w:r>
      <w:r>
        <w:t xml:space="preserve">  </w:t>
      </w:r>
      <w:r>
        <w:tab/>
        <w:t>P-62</w:t>
      </w:r>
      <w:r w:rsidR="00C73C8B">
        <w:t xml:space="preserve">, Registre des lobbyistes. Voir aussi Notes de </w:t>
      </w:r>
      <w:r w:rsidR="002543C2">
        <w:t>plaidoiries des demandeurs, onglet B, p. 1.</w:t>
      </w:r>
    </w:p>
  </w:footnote>
  <w:footnote w:id="156">
    <w:p w14:paraId="73C178DE" w14:textId="53318B15" w:rsidR="001058FF" w:rsidRDefault="001058FF">
      <w:pPr>
        <w:pStyle w:val="Notedebasdepage"/>
      </w:pPr>
      <w:r>
        <w:rPr>
          <w:rStyle w:val="Appelnotedebasdep"/>
        </w:rPr>
        <w:footnoteRef/>
      </w:r>
      <w:r>
        <w:t xml:space="preserve"> </w:t>
      </w:r>
      <w:r w:rsidR="003E01D2">
        <w:t xml:space="preserve"> </w:t>
      </w:r>
      <w:r w:rsidR="003E01D2">
        <w:tab/>
        <w:t>Déclaration sous serment de Monsieur Daniel Genest, directeur du Bureau de projet du tramway, le 19 octobre 2022, par.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ECD4" w14:textId="26D711AF" w:rsidR="00E96F45" w:rsidRDefault="00E96F45">
    <w:pPr>
      <w:tabs>
        <w:tab w:val="center" w:pos="4709"/>
        <w:tab w:val="right" w:pos="9360"/>
      </w:tabs>
      <w:ind w:right="524"/>
    </w:pPr>
    <w:r>
      <w:t>200</w:t>
    </w:r>
    <w:r w:rsidRPr="00BC48B9">
      <w:t>-</w:t>
    </w:r>
    <w:r>
      <w:t>17-033703-224</w:t>
    </w:r>
    <w:r>
      <w:tab/>
    </w:r>
    <w:r>
      <w:tab/>
      <w:t xml:space="preserve">PAGE : </w:t>
    </w:r>
    <w:r>
      <w:fldChar w:fldCharType="begin"/>
    </w:r>
    <w:r>
      <w:instrText xml:space="preserve"> PAGE </w:instrText>
    </w:r>
    <w:r>
      <w:fldChar w:fldCharType="separate"/>
    </w:r>
    <w:r>
      <w:rPr>
        <w:noProof/>
      </w:rPr>
      <w:t>3</w:t>
    </w:r>
    <w:r>
      <w:fldChar w:fldCharType="end"/>
    </w:r>
  </w:p>
  <w:p w14:paraId="261EECD5" w14:textId="77777777" w:rsidR="00E96F45" w:rsidRDefault="00E96F45">
    <w:pPr>
      <w:tabs>
        <w:tab w:val="center" w:pos="4709"/>
        <w:tab w:val="right" w:pos="9090"/>
      </w:tabs>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4BE1"/>
    <w:multiLevelType w:val="hybridMultilevel"/>
    <w:tmpl w:val="5798DB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A75411C"/>
    <w:multiLevelType w:val="hybridMultilevel"/>
    <w:tmpl w:val="358A5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FCF00EB"/>
    <w:multiLevelType w:val="hybridMultilevel"/>
    <w:tmpl w:val="C5888D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23D3CB7"/>
    <w:multiLevelType w:val="hybridMultilevel"/>
    <w:tmpl w:val="079431A0"/>
    <w:lvl w:ilvl="0" w:tplc="0C0C0001">
      <w:start w:val="1"/>
      <w:numFmt w:val="bullet"/>
      <w:lvlText w:val=""/>
      <w:lvlJc w:val="left"/>
      <w:pPr>
        <w:ind w:left="1288" w:hanging="360"/>
      </w:pPr>
      <w:rPr>
        <w:rFonts w:ascii="Symbol" w:hAnsi="Symbol" w:hint="default"/>
      </w:rPr>
    </w:lvl>
    <w:lvl w:ilvl="1" w:tplc="0C0C0003" w:tentative="1">
      <w:start w:val="1"/>
      <w:numFmt w:val="bullet"/>
      <w:lvlText w:val="o"/>
      <w:lvlJc w:val="left"/>
      <w:pPr>
        <w:ind w:left="2008" w:hanging="360"/>
      </w:pPr>
      <w:rPr>
        <w:rFonts w:ascii="Courier New" w:hAnsi="Courier New" w:cs="Courier New" w:hint="default"/>
      </w:rPr>
    </w:lvl>
    <w:lvl w:ilvl="2" w:tplc="0C0C0005" w:tentative="1">
      <w:start w:val="1"/>
      <w:numFmt w:val="bullet"/>
      <w:lvlText w:val=""/>
      <w:lvlJc w:val="left"/>
      <w:pPr>
        <w:ind w:left="2728" w:hanging="360"/>
      </w:pPr>
      <w:rPr>
        <w:rFonts w:ascii="Wingdings" w:hAnsi="Wingdings" w:hint="default"/>
      </w:rPr>
    </w:lvl>
    <w:lvl w:ilvl="3" w:tplc="0C0C0001" w:tentative="1">
      <w:start w:val="1"/>
      <w:numFmt w:val="bullet"/>
      <w:lvlText w:val=""/>
      <w:lvlJc w:val="left"/>
      <w:pPr>
        <w:ind w:left="3448" w:hanging="360"/>
      </w:pPr>
      <w:rPr>
        <w:rFonts w:ascii="Symbol" w:hAnsi="Symbol" w:hint="default"/>
      </w:rPr>
    </w:lvl>
    <w:lvl w:ilvl="4" w:tplc="0C0C0003" w:tentative="1">
      <w:start w:val="1"/>
      <w:numFmt w:val="bullet"/>
      <w:lvlText w:val="o"/>
      <w:lvlJc w:val="left"/>
      <w:pPr>
        <w:ind w:left="4168" w:hanging="360"/>
      </w:pPr>
      <w:rPr>
        <w:rFonts w:ascii="Courier New" w:hAnsi="Courier New" w:cs="Courier New" w:hint="default"/>
      </w:rPr>
    </w:lvl>
    <w:lvl w:ilvl="5" w:tplc="0C0C0005" w:tentative="1">
      <w:start w:val="1"/>
      <w:numFmt w:val="bullet"/>
      <w:lvlText w:val=""/>
      <w:lvlJc w:val="left"/>
      <w:pPr>
        <w:ind w:left="4888" w:hanging="360"/>
      </w:pPr>
      <w:rPr>
        <w:rFonts w:ascii="Wingdings" w:hAnsi="Wingdings" w:hint="default"/>
      </w:rPr>
    </w:lvl>
    <w:lvl w:ilvl="6" w:tplc="0C0C0001" w:tentative="1">
      <w:start w:val="1"/>
      <w:numFmt w:val="bullet"/>
      <w:lvlText w:val=""/>
      <w:lvlJc w:val="left"/>
      <w:pPr>
        <w:ind w:left="5608" w:hanging="360"/>
      </w:pPr>
      <w:rPr>
        <w:rFonts w:ascii="Symbol" w:hAnsi="Symbol" w:hint="default"/>
      </w:rPr>
    </w:lvl>
    <w:lvl w:ilvl="7" w:tplc="0C0C0003" w:tentative="1">
      <w:start w:val="1"/>
      <w:numFmt w:val="bullet"/>
      <w:lvlText w:val="o"/>
      <w:lvlJc w:val="left"/>
      <w:pPr>
        <w:ind w:left="6328" w:hanging="360"/>
      </w:pPr>
      <w:rPr>
        <w:rFonts w:ascii="Courier New" w:hAnsi="Courier New" w:cs="Courier New" w:hint="default"/>
      </w:rPr>
    </w:lvl>
    <w:lvl w:ilvl="8" w:tplc="0C0C0005" w:tentative="1">
      <w:start w:val="1"/>
      <w:numFmt w:val="bullet"/>
      <w:lvlText w:val=""/>
      <w:lvlJc w:val="left"/>
      <w:pPr>
        <w:ind w:left="7048" w:hanging="360"/>
      </w:pPr>
      <w:rPr>
        <w:rFonts w:ascii="Wingdings" w:hAnsi="Wingdings" w:hint="default"/>
      </w:rPr>
    </w:lvl>
  </w:abstractNum>
  <w:abstractNum w:abstractNumId="4" w15:restartNumberingAfterBreak="0">
    <w:nsid w:val="24516738"/>
    <w:multiLevelType w:val="hybridMultilevel"/>
    <w:tmpl w:val="25B26788"/>
    <w:lvl w:ilvl="0" w:tplc="0C0C0001">
      <w:start w:val="1"/>
      <w:numFmt w:val="bullet"/>
      <w:lvlText w:val=""/>
      <w:lvlJc w:val="left"/>
      <w:pPr>
        <w:ind w:left="791" w:hanging="360"/>
      </w:pPr>
      <w:rPr>
        <w:rFonts w:ascii="Symbol" w:hAnsi="Symbol" w:hint="default"/>
      </w:rPr>
    </w:lvl>
    <w:lvl w:ilvl="1" w:tplc="0C0C0003" w:tentative="1">
      <w:start w:val="1"/>
      <w:numFmt w:val="bullet"/>
      <w:lvlText w:val="o"/>
      <w:lvlJc w:val="left"/>
      <w:pPr>
        <w:ind w:left="1511" w:hanging="360"/>
      </w:pPr>
      <w:rPr>
        <w:rFonts w:ascii="Courier New" w:hAnsi="Courier New" w:cs="Courier New" w:hint="default"/>
      </w:rPr>
    </w:lvl>
    <w:lvl w:ilvl="2" w:tplc="0C0C0005" w:tentative="1">
      <w:start w:val="1"/>
      <w:numFmt w:val="bullet"/>
      <w:lvlText w:val=""/>
      <w:lvlJc w:val="left"/>
      <w:pPr>
        <w:ind w:left="2231" w:hanging="360"/>
      </w:pPr>
      <w:rPr>
        <w:rFonts w:ascii="Wingdings" w:hAnsi="Wingdings" w:hint="default"/>
      </w:rPr>
    </w:lvl>
    <w:lvl w:ilvl="3" w:tplc="0C0C0001" w:tentative="1">
      <w:start w:val="1"/>
      <w:numFmt w:val="bullet"/>
      <w:lvlText w:val=""/>
      <w:lvlJc w:val="left"/>
      <w:pPr>
        <w:ind w:left="2951" w:hanging="360"/>
      </w:pPr>
      <w:rPr>
        <w:rFonts w:ascii="Symbol" w:hAnsi="Symbol" w:hint="default"/>
      </w:rPr>
    </w:lvl>
    <w:lvl w:ilvl="4" w:tplc="0C0C0003" w:tentative="1">
      <w:start w:val="1"/>
      <w:numFmt w:val="bullet"/>
      <w:lvlText w:val="o"/>
      <w:lvlJc w:val="left"/>
      <w:pPr>
        <w:ind w:left="3671" w:hanging="360"/>
      </w:pPr>
      <w:rPr>
        <w:rFonts w:ascii="Courier New" w:hAnsi="Courier New" w:cs="Courier New" w:hint="default"/>
      </w:rPr>
    </w:lvl>
    <w:lvl w:ilvl="5" w:tplc="0C0C0005" w:tentative="1">
      <w:start w:val="1"/>
      <w:numFmt w:val="bullet"/>
      <w:lvlText w:val=""/>
      <w:lvlJc w:val="left"/>
      <w:pPr>
        <w:ind w:left="4391" w:hanging="360"/>
      </w:pPr>
      <w:rPr>
        <w:rFonts w:ascii="Wingdings" w:hAnsi="Wingdings" w:hint="default"/>
      </w:rPr>
    </w:lvl>
    <w:lvl w:ilvl="6" w:tplc="0C0C0001" w:tentative="1">
      <w:start w:val="1"/>
      <w:numFmt w:val="bullet"/>
      <w:lvlText w:val=""/>
      <w:lvlJc w:val="left"/>
      <w:pPr>
        <w:ind w:left="5111" w:hanging="360"/>
      </w:pPr>
      <w:rPr>
        <w:rFonts w:ascii="Symbol" w:hAnsi="Symbol" w:hint="default"/>
      </w:rPr>
    </w:lvl>
    <w:lvl w:ilvl="7" w:tplc="0C0C0003" w:tentative="1">
      <w:start w:val="1"/>
      <w:numFmt w:val="bullet"/>
      <w:lvlText w:val="o"/>
      <w:lvlJc w:val="left"/>
      <w:pPr>
        <w:ind w:left="5831" w:hanging="360"/>
      </w:pPr>
      <w:rPr>
        <w:rFonts w:ascii="Courier New" w:hAnsi="Courier New" w:cs="Courier New" w:hint="default"/>
      </w:rPr>
    </w:lvl>
    <w:lvl w:ilvl="8" w:tplc="0C0C0005" w:tentative="1">
      <w:start w:val="1"/>
      <w:numFmt w:val="bullet"/>
      <w:lvlText w:val=""/>
      <w:lvlJc w:val="left"/>
      <w:pPr>
        <w:ind w:left="6551" w:hanging="360"/>
      </w:pPr>
      <w:rPr>
        <w:rFonts w:ascii="Wingdings" w:hAnsi="Wingdings" w:hint="default"/>
      </w:rPr>
    </w:lvl>
  </w:abstractNum>
  <w:abstractNum w:abstractNumId="5" w15:restartNumberingAfterBreak="0">
    <w:nsid w:val="29B11B71"/>
    <w:multiLevelType w:val="multilevel"/>
    <w:tmpl w:val="78E43A60"/>
    <w:name w:val="Style1"/>
    <w:styleLink w:val="Style1"/>
    <w:lvl w:ilvl="0">
      <w:start w:val="1"/>
      <w:numFmt w:val="decimal"/>
      <w:pStyle w:val="Titre2"/>
      <w:lvlText w:val="%1."/>
      <w:lvlJc w:val="left"/>
      <w:pPr>
        <w:ind w:left="431" w:hanging="431"/>
      </w:pPr>
      <w:rPr>
        <w:rFonts w:hint="default"/>
      </w:rPr>
    </w:lvl>
    <w:lvl w:ilvl="1">
      <w:start w:val="1"/>
      <w:numFmt w:val="decimal"/>
      <w:pStyle w:val="Titre3"/>
      <w:lvlText w:val="%1.%2"/>
      <w:lvlJc w:val="left"/>
      <w:pPr>
        <w:ind w:left="431" w:hanging="431"/>
      </w:pPr>
      <w:rPr>
        <w:rFonts w:hint="default"/>
      </w:rPr>
    </w:lvl>
    <w:lvl w:ilvl="2">
      <w:start w:val="1"/>
      <w:numFmt w:val="decimal"/>
      <w:pStyle w:val="Titre4"/>
      <w:lvlText w:val="%1.%2.%3"/>
      <w:lvlJc w:val="left"/>
      <w:pPr>
        <w:ind w:left="431" w:hanging="431"/>
      </w:pPr>
      <w:rPr>
        <w:rFonts w:hint="default"/>
      </w:rPr>
    </w:lvl>
    <w:lvl w:ilvl="3">
      <w:start w:val="1"/>
      <w:numFmt w:val="decimal"/>
      <w:pStyle w:val="Titre5"/>
      <w:lvlText w:val="%1.%2.%3.%4"/>
      <w:lvlJc w:val="left"/>
      <w:pPr>
        <w:ind w:left="431" w:hanging="431"/>
      </w:pPr>
      <w:rPr>
        <w:rFonts w:hint="default"/>
      </w:rPr>
    </w:lvl>
    <w:lvl w:ilvl="4">
      <w:start w:val="1"/>
      <w:numFmt w:val="decimal"/>
      <w:pStyle w:val="Titre6"/>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ABB00AC"/>
    <w:multiLevelType w:val="multilevel"/>
    <w:tmpl w:val="B8565C9A"/>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pStyle w:val="Titre7"/>
      <w:lvlText w:val="%1.%2.%3.%4.%5.%6.%7"/>
      <w:lvlJc w:val="left"/>
      <w:pPr>
        <w:ind w:left="431" w:hanging="431"/>
      </w:pPr>
      <w:rPr>
        <w:rFonts w:hint="default"/>
      </w:rPr>
    </w:lvl>
    <w:lvl w:ilvl="7">
      <w:start w:val="1"/>
      <w:numFmt w:val="decimal"/>
      <w:pStyle w:val="Titre8"/>
      <w:lvlText w:val="%1.%2.%3.%4.%5.%6.%7.%8"/>
      <w:lvlJc w:val="left"/>
      <w:pPr>
        <w:ind w:left="431" w:hanging="431"/>
      </w:pPr>
      <w:rPr>
        <w:rFonts w:hint="default"/>
      </w:rPr>
    </w:lvl>
    <w:lvl w:ilvl="8">
      <w:start w:val="1"/>
      <w:numFmt w:val="decimal"/>
      <w:pStyle w:val="Titre9"/>
      <w:lvlText w:val="%1.%2.%3.%4.%5.%6.%7.%8.%9"/>
      <w:lvlJc w:val="left"/>
      <w:pPr>
        <w:ind w:left="431" w:hanging="431"/>
      </w:pPr>
      <w:rPr>
        <w:rFonts w:hint="default"/>
      </w:rPr>
    </w:lvl>
  </w:abstractNum>
  <w:abstractNum w:abstractNumId="7" w15:restartNumberingAfterBreak="0">
    <w:nsid w:val="2CD7778B"/>
    <w:multiLevelType w:val="hybridMultilevel"/>
    <w:tmpl w:val="BF64DAEE"/>
    <w:lvl w:ilvl="0" w:tplc="0C0C0001">
      <w:start w:val="1"/>
      <w:numFmt w:val="bullet"/>
      <w:lvlText w:val=""/>
      <w:lvlJc w:val="left"/>
      <w:pPr>
        <w:ind w:left="1288" w:hanging="360"/>
      </w:pPr>
      <w:rPr>
        <w:rFonts w:ascii="Symbol" w:hAnsi="Symbol" w:hint="default"/>
      </w:rPr>
    </w:lvl>
    <w:lvl w:ilvl="1" w:tplc="0C0C0003" w:tentative="1">
      <w:start w:val="1"/>
      <w:numFmt w:val="bullet"/>
      <w:lvlText w:val="o"/>
      <w:lvlJc w:val="left"/>
      <w:pPr>
        <w:ind w:left="2008" w:hanging="360"/>
      </w:pPr>
      <w:rPr>
        <w:rFonts w:ascii="Courier New" w:hAnsi="Courier New" w:cs="Courier New" w:hint="default"/>
      </w:rPr>
    </w:lvl>
    <w:lvl w:ilvl="2" w:tplc="0C0C0005" w:tentative="1">
      <w:start w:val="1"/>
      <w:numFmt w:val="bullet"/>
      <w:lvlText w:val=""/>
      <w:lvlJc w:val="left"/>
      <w:pPr>
        <w:ind w:left="2728" w:hanging="360"/>
      </w:pPr>
      <w:rPr>
        <w:rFonts w:ascii="Wingdings" w:hAnsi="Wingdings" w:hint="default"/>
      </w:rPr>
    </w:lvl>
    <w:lvl w:ilvl="3" w:tplc="0C0C0001" w:tentative="1">
      <w:start w:val="1"/>
      <w:numFmt w:val="bullet"/>
      <w:lvlText w:val=""/>
      <w:lvlJc w:val="left"/>
      <w:pPr>
        <w:ind w:left="3448" w:hanging="360"/>
      </w:pPr>
      <w:rPr>
        <w:rFonts w:ascii="Symbol" w:hAnsi="Symbol" w:hint="default"/>
      </w:rPr>
    </w:lvl>
    <w:lvl w:ilvl="4" w:tplc="0C0C0003" w:tentative="1">
      <w:start w:val="1"/>
      <w:numFmt w:val="bullet"/>
      <w:lvlText w:val="o"/>
      <w:lvlJc w:val="left"/>
      <w:pPr>
        <w:ind w:left="4168" w:hanging="360"/>
      </w:pPr>
      <w:rPr>
        <w:rFonts w:ascii="Courier New" w:hAnsi="Courier New" w:cs="Courier New" w:hint="default"/>
      </w:rPr>
    </w:lvl>
    <w:lvl w:ilvl="5" w:tplc="0C0C0005" w:tentative="1">
      <w:start w:val="1"/>
      <w:numFmt w:val="bullet"/>
      <w:lvlText w:val=""/>
      <w:lvlJc w:val="left"/>
      <w:pPr>
        <w:ind w:left="4888" w:hanging="360"/>
      </w:pPr>
      <w:rPr>
        <w:rFonts w:ascii="Wingdings" w:hAnsi="Wingdings" w:hint="default"/>
      </w:rPr>
    </w:lvl>
    <w:lvl w:ilvl="6" w:tplc="0C0C0001" w:tentative="1">
      <w:start w:val="1"/>
      <w:numFmt w:val="bullet"/>
      <w:lvlText w:val=""/>
      <w:lvlJc w:val="left"/>
      <w:pPr>
        <w:ind w:left="5608" w:hanging="360"/>
      </w:pPr>
      <w:rPr>
        <w:rFonts w:ascii="Symbol" w:hAnsi="Symbol" w:hint="default"/>
      </w:rPr>
    </w:lvl>
    <w:lvl w:ilvl="7" w:tplc="0C0C0003" w:tentative="1">
      <w:start w:val="1"/>
      <w:numFmt w:val="bullet"/>
      <w:lvlText w:val="o"/>
      <w:lvlJc w:val="left"/>
      <w:pPr>
        <w:ind w:left="6328" w:hanging="360"/>
      </w:pPr>
      <w:rPr>
        <w:rFonts w:ascii="Courier New" w:hAnsi="Courier New" w:cs="Courier New" w:hint="default"/>
      </w:rPr>
    </w:lvl>
    <w:lvl w:ilvl="8" w:tplc="0C0C0005" w:tentative="1">
      <w:start w:val="1"/>
      <w:numFmt w:val="bullet"/>
      <w:lvlText w:val=""/>
      <w:lvlJc w:val="left"/>
      <w:pPr>
        <w:ind w:left="7048" w:hanging="360"/>
      </w:pPr>
      <w:rPr>
        <w:rFonts w:ascii="Wingdings" w:hAnsi="Wingdings" w:hint="default"/>
      </w:rPr>
    </w:lvl>
  </w:abstractNum>
  <w:abstractNum w:abstractNumId="8" w15:restartNumberingAfterBreak="0">
    <w:nsid w:val="30D05BC8"/>
    <w:multiLevelType w:val="hybridMultilevel"/>
    <w:tmpl w:val="A726D89C"/>
    <w:lvl w:ilvl="0" w:tplc="0C0C0001">
      <w:start w:val="1"/>
      <w:numFmt w:val="bullet"/>
      <w:lvlText w:val=""/>
      <w:lvlJc w:val="left"/>
      <w:pPr>
        <w:ind w:left="1091" w:hanging="360"/>
      </w:pPr>
      <w:rPr>
        <w:rFonts w:ascii="Symbol" w:hAnsi="Symbol" w:hint="default"/>
      </w:rPr>
    </w:lvl>
    <w:lvl w:ilvl="1" w:tplc="0C0C0003" w:tentative="1">
      <w:start w:val="1"/>
      <w:numFmt w:val="bullet"/>
      <w:lvlText w:val="o"/>
      <w:lvlJc w:val="left"/>
      <w:pPr>
        <w:ind w:left="1811" w:hanging="360"/>
      </w:pPr>
      <w:rPr>
        <w:rFonts w:ascii="Courier New" w:hAnsi="Courier New" w:cs="Courier New" w:hint="default"/>
      </w:rPr>
    </w:lvl>
    <w:lvl w:ilvl="2" w:tplc="0C0C0005" w:tentative="1">
      <w:start w:val="1"/>
      <w:numFmt w:val="bullet"/>
      <w:lvlText w:val=""/>
      <w:lvlJc w:val="left"/>
      <w:pPr>
        <w:ind w:left="2531" w:hanging="360"/>
      </w:pPr>
      <w:rPr>
        <w:rFonts w:ascii="Wingdings" w:hAnsi="Wingdings" w:hint="default"/>
      </w:rPr>
    </w:lvl>
    <w:lvl w:ilvl="3" w:tplc="0C0C0001" w:tentative="1">
      <w:start w:val="1"/>
      <w:numFmt w:val="bullet"/>
      <w:lvlText w:val=""/>
      <w:lvlJc w:val="left"/>
      <w:pPr>
        <w:ind w:left="3251" w:hanging="360"/>
      </w:pPr>
      <w:rPr>
        <w:rFonts w:ascii="Symbol" w:hAnsi="Symbol" w:hint="default"/>
      </w:rPr>
    </w:lvl>
    <w:lvl w:ilvl="4" w:tplc="0C0C0003" w:tentative="1">
      <w:start w:val="1"/>
      <w:numFmt w:val="bullet"/>
      <w:lvlText w:val="o"/>
      <w:lvlJc w:val="left"/>
      <w:pPr>
        <w:ind w:left="3971" w:hanging="360"/>
      </w:pPr>
      <w:rPr>
        <w:rFonts w:ascii="Courier New" w:hAnsi="Courier New" w:cs="Courier New" w:hint="default"/>
      </w:rPr>
    </w:lvl>
    <w:lvl w:ilvl="5" w:tplc="0C0C0005" w:tentative="1">
      <w:start w:val="1"/>
      <w:numFmt w:val="bullet"/>
      <w:lvlText w:val=""/>
      <w:lvlJc w:val="left"/>
      <w:pPr>
        <w:ind w:left="4691" w:hanging="360"/>
      </w:pPr>
      <w:rPr>
        <w:rFonts w:ascii="Wingdings" w:hAnsi="Wingdings" w:hint="default"/>
      </w:rPr>
    </w:lvl>
    <w:lvl w:ilvl="6" w:tplc="0C0C0001" w:tentative="1">
      <w:start w:val="1"/>
      <w:numFmt w:val="bullet"/>
      <w:lvlText w:val=""/>
      <w:lvlJc w:val="left"/>
      <w:pPr>
        <w:ind w:left="5411" w:hanging="360"/>
      </w:pPr>
      <w:rPr>
        <w:rFonts w:ascii="Symbol" w:hAnsi="Symbol" w:hint="default"/>
      </w:rPr>
    </w:lvl>
    <w:lvl w:ilvl="7" w:tplc="0C0C0003" w:tentative="1">
      <w:start w:val="1"/>
      <w:numFmt w:val="bullet"/>
      <w:lvlText w:val="o"/>
      <w:lvlJc w:val="left"/>
      <w:pPr>
        <w:ind w:left="6131" w:hanging="360"/>
      </w:pPr>
      <w:rPr>
        <w:rFonts w:ascii="Courier New" w:hAnsi="Courier New" w:cs="Courier New" w:hint="default"/>
      </w:rPr>
    </w:lvl>
    <w:lvl w:ilvl="8" w:tplc="0C0C0005" w:tentative="1">
      <w:start w:val="1"/>
      <w:numFmt w:val="bullet"/>
      <w:lvlText w:val=""/>
      <w:lvlJc w:val="left"/>
      <w:pPr>
        <w:ind w:left="6851" w:hanging="360"/>
      </w:pPr>
      <w:rPr>
        <w:rFonts w:ascii="Wingdings" w:hAnsi="Wingdings" w:hint="default"/>
      </w:rPr>
    </w:lvl>
  </w:abstractNum>
  <w:abstractNum w:abstractNumId="9" w15:restartNumberingAfterBreak="0">
    <w:nsid w:val="3EA1700F"/>
    <w:multiLevelType w:val="hybridMultilevel"/>
    <w:tmpl w:val="7C0C7B20"/>
    <w:lvl w:ilvl="0" w:tplc="0C0C0001">
      <w:start w:val="1"/>
      <w:numFmt w:val="bullet"/>
      <w:lvlText w:val=""/>
      <w:lvlJc w:val="left"/>
      <w:pPr>
        <w:ind w:left="1091" w:hanging="360"/>
      </w:pPr>
      <w:rPr>
        <w:rFonts w:ascii="Symbol" w:hAnsi="Symbol" w:hint="default"/>
      </w:rPr>
    </w:lvl>
    <w:lvl w:ilvl="1" w:tplc="0C0C0003" w:tentative="1">
      <w:start w:val="1"/>
      <w:numFmt w:val="bullet"/>
      <w:lvlText w:val="o"/>
      <w:lvlJc w:val="left"/>
      <w:pPr>
        <w:ind w:left="1811" w:hanging="360"/>
      </w:pPr>
      <w:rPr>
        <w:rFonts w:ascii="Courier New" w:hAnsi="Courier New" w:cs="Courier New" w:hint="default"/>
      </w:rPr>
    </w:lvl>
    <w:lvl w:ilvl="2" w:tplc="0C0C0005" w:tentative="1">
      <w:start w:val="1"/>
      <w:numFmt w:val="bullet"/>
      <w:lvlText w:val=""/>
      <w:lvlJc w:val="left"/>
      <w:pPr>
        <w:ind w:left="2531" w:hanging="360"/>
      </w:pPr>
      <w:rPr>
        <w:rFonts w:ascii="Wingdings" w:hAnsi="Wingdings" w:hint="default"/>
      </w:rPr>
    </w:lvl>
    <w:lvl w:ilvl="3" w:tplc="0C0C0001" w:tentative="1">
      <w:start w:val="1"/>
      <w:numFmt w:val="bullet"/>
      <w:lvlText w:val=""/>
      <w:lvlJc w:val="left"/>
      <w:pPr>
        <w:ind w:left="3251" w:hanging="360"/>
      </w:pPr>
      <w:rPr>
        <w:rFonts w:ascii="Symbol" w:hAnsi="Symbol" w:hint="default"/>
      </w:rPr>
    </w:lvl>
    <w:lvl w:ilvl="4" w:tplc="0C0C0003" w:tentative="1">
      <w:start w:val="1"/>
      <w:numFmt w:val="bullet"/>
      <w:lvlText w:val="o"/>
      <w:lvlJc w:val="left"/>
      <w:pPr>
        <w:ind w:left="3971" w:hanging="360"/>
      </w:pPr>
      <w:rPr>
        <w:rFonts w:ascii="Courier New" w:hAnsi="Courier New" w:cs="Courier New" w:hint="default"/>
      </w:rPr>
    </w:lvl>
    <w:lvl w:ilvl="5" w:tplc="0C0C0005" w:tentative="1">
      <w:start w:val="1"/>
      <w:numFmt w:val="bullet"/>
      <w:lvlText w:val=""/>
      <w:lvlJc w:val="left"/>
      <w:pPr>
        <w:ind w:left="4691" w:hanging="360"/>
      </w:pPr>
      <w:rPr>
        <w:rFonts w:ascii="Wingdings" w:hAnsi="Wingdings" w:hint="default"/>
      </w:rPr>
    </w:lvl>
    <w:lvl w:ilvl="6" w:tplc="0C0C0001" w:tentative="1">
      <w:start w:val="1"/>
      <w:numFmt w:val="bullet"/>
      <w:lvlText w:val=""/>
      <w:lvlJc w:val="left"/>
      <w:pPr>
        <w:ind w:left="5411" w:hanging="360"/>
      </w:pPr>
      <w:rPr>
        <w:rFonts w:ascii="Symbol" w:hAnsi="Symbol" w:hint="default"/>
      </w:rPr>
    </w:lvl>
    <w:lvl w:ilvl="7" w:tplc="0C0C0003" w:tentative="1">
      <w:start w:val="1"/>
      <w:numFmt w:val="bullet"/>
      <w:lvlText w:val="o"/>
      <w:lvlJc w:val="left"/>
      <w:pPr>
        <w:ind w:left="6131" w:hanging="360"/>
      </w:pPr>
      <w:rPr>
        <w:rFonts w:ascii="Courier New" w:hAnsi="Courier New" w:cs="Courier New" w:hint="default"/>
      </w:rPr>
    </w:lvl>
    <w:lvl w:ilvl="8" w:tplc="0C0C0005" w:tentative="1">
      <w:start w:val="1"/>
      <w:numFmt w:val="bullet"/>
      <w:lvlText w:val=""/>
      <w:lvlJc w:val="left"/>
      <w:pPr>
        <w:ind w:left="6851" w:hanging="360"/>
      </w:pPr>
      <w:rPr>
        <w:rFonts w:ascii="Wingdings" w:hAnsi="Wingdings" w:hint="default"/>
      </w:rPr>
    </w:lvl>
  </w:abstractNum>
  <w:abstractNum w:abstractNumId="10" w15:restartNumberingAfterBreak="0">
    <w:nsid w:val="42F27C42"/>
    <w:multiLevelType w:val="hybridMultilevel"/>
    <w:tmpl w:val="AC68A6D8"/>
    <w:lvl w:ilvl="0" w:tplc="0C0C0001">
      <w:start w:val="1"/>
      <w:numFmt w:val="bullet"/>
      <w:lvlText w:val=""/>
      <w:lvlJc w:val="left"/>
      <w:pPr>
        <w:ind w:left="1288" w:hanging="360"/>
      </w:pPr>
      <w:rPr>
        <w:rFonts w:ascii="Symbol" w:hAnsi="Symbol" w:hint="default"/>
      </w:rPr>
    </w:lvl>
    <w:lvl w:ilvl="1" w:tplc="0C0C0003" w:tentative="1">
      <w:start w:val="1"/>
      <w:numFmt w:val="bullet"/>
      <w:lvlText w:val="o"/>
      <w:lvlJc w:val="left"/>
      <w:pPr>
        <w:ind w:left="2008" w:hanging="360"/>
      </w:pPr>
      <w:rPr>
        <w:rFonts w:ascii="Courier New" w:hAnsi="Courier New" w:cs="Courier New" w:hint="default"/>
      </w:rPr>
    </w:lvl>
    <w:lvl w:ilvl="2" w:tplc="0C0C0005" w:tentative="1">
      <w:start w:val="1"/>
      <w:numFmt w:val="bullet"/>
      <w:lvlText w:val=""/>
      <w:lvlJc w:val="left"/>
      <w:pPr>
        <w:ind w:left="2728" w:hanging="360"/>
      </w:pPr>
      <w:rPr>
        <w:rFonts w:ascii="Wingdings" w:hAnsi="Wingdings" w:hint="default"/>
      </w:rPr>
    </w:lvl>
    <w:lvl w:ilvl="3" w:tplc="0C0C0001" w:tentative="1">
      <w:start w:val="1"/>
      <w:numFmt w:val="bullet"/>
      <w:lvlText w:val=""/>
      <w:lvlJc w:val="left"/>
      <w:pPr>
        <w:ind w:left="3448" w:hanging="360"/>
      </w:pPr>
      <w:rPr>
        <w:rFonts w:ascii="Symbol" w:hAnsi="Symbol" w:hint="default"/>
      </w:rPr>
    </w:lvl>
    <w:lvl w:ilvl="4" w:tplc="0C0C0003" w:tentative="1">
      <w:start w:val="1"/>
      <w:numFmt w:val="bullet"/>
      <w:lvlText w:val="o"/>
      <w:lvlJc w:val="left"/>
      <w:pPr>
        <w:ind w:left="4168" w:hanging="360"/>
      </w:pPr>
      <w:rPr>
        <w:rFonts w:ascii="Courier New" w:hAnsi="Courier New" w:cs="Courier New" w:hint="default"/>
      </w:rPr>
    </w:lvl>
    <w:lvl w:ilvl="5" w:tplc="0C0C0005" w:tentative="1">
      <w:start w:val="1"/>
      <w:numFmt w:val="bullet"/>
      <w:lvlText w:val=""/>
      <w:lvlJc w:val="left"/>
      <w:pPr>
        <w:ind w:left="4888" w:hanging="360"/>
      </w:pPr>
      <w:rPr>
        <w:rFonts w:ascii="Wingdings" w:hAnsi="Wingdings" w:hint="default"/>
      </w:rPr>
    </w:lvl>
    <w:lvl w:ilvl="6" w:tplc="0C0C0001" w:tentative="1">
      <w:start w:val="1"/>
      <w:numFmt w:val="bullet"/>
      <w:lvlText w:val=""/>
      <w:lvlJc w:val="left"/>
      <w:pPr>
        <w:ind w:left="5608" w:hanging="360"/>
      </w:pPr>
      <w:rPr>
        <w:rFonts w:ascii="Symbol" w:hAnsi="Symbol" w:hint="default"/>
      </w:rPr>
    </w:lvl>
    <w:lvl w:ilvl="7" w:tplc="0C0C0003" w:tentative="1">
      <w:start w:val="1"/>
      <w:numFmt w:val="bullet"/>
      <w:lvlText w:val="o"/>
      <w:lvlJc w:val="left"/>
      <w:pPr>
        <w:ind w:left="6328" w:hanging="360"/>
      </w:pPr>
      <w:rPr>
        <w:rFonts w:ascii="Courier New" w:hAnsi="Courier New" w:cs="Courier New" w:hint="default"/>
      </w:rPr>
    </w:lvl>
    <w:lvl w:ilvl="8" w:tplc="0C0C0005" w:tentative="1">
      <w:start w:val="1"/>
      <w:numFmt w:val="bullet"/>
      <w:lvlText w:val=""/>
      <w:lvlJc w:val="left"/>
      <w:pPr>
        <w:ind w:left="7048" w:hanging="360"/>
      </w:pPr>
      <w:rPr>
        <w:rFonts w:ascii="Wingdings" w:hAnsi="Wingdings" w:hint="default"/>
      </w:rPr>
    </w:lvl>
  </w:abstractNum>
  <w:abstractNum w:abstractNumId="11" w15:restartNumberingAfterBreak="0">
    <w:nsid w:val="45407D98"/>
    <w:multiLevelType w:val="hybridMultilevel"/>
    <w:tmpl w:val="FC2E3A5A"/>
    <w:lvl w:ilvl="0" w:tplc="0C0C0001">
      <w:start w:val="1"/>
      <w:numFmt w:val="bullet"/>
      <w:lvlText w:val=""/>
      <w:lvlJc w:val="left"/>
      <w:pPr>
        <w:ind w:left="1091" w:hanging="360"/>
      </w:pPr>
      <w:rPr>
        <w:rFonts w:ascii="Symbol" w:hAnsi="Symbol" w:hint="default"/>
      </w:rPr>
    </w:lvl>
    <w:lvl w:ilvl="1" w:tplc="0C0C0003" w:tentative="1">
      <w:start w:val="1"/>
      <w:numFmt w:val="bullet"/>
      <w:lvlText w:val="o"/>
      <w:lvlJc w:val="left"/>
      <w:pPr>
        <w:ind w:left="1811" w:hanging="360"/>
      </w:pPr>
      <w:rPr>
        <w:rFonts w:ascii="Courier New" w:hAnsi="Courier New" w:cs="Courier New" w:hint="default"/>
      </w:rPr>
    </w:lvl>
    <w:lvl w:ilvl="2" w:tplc="0C0C0005" w:tentative="1">
      <w:start w:val="1"/>
      <w:numFmt w:val="bullet"/>
      <w:lvlText w:val=""/>
      <w:lvlJc w:val="left"/>
      <w:pPr>
        <w:ind w:left="2531" w:hanging="360"/>
      </w:pPr>
      <w:rPr>
        <w:rFonts w:ascii="Wingdings" w:hAnsi="Wingdings" w:hint="default"/>
      </w:rPr>
    </w:lvl>
    <w:lvl w:ilvl="3" w:tplc="0C0C0001" w:tentative="1">
      <w:start w:val="1"/>
      <w:numFmt w:val="bullet"/>
      <w:lvlText w:val=""/>
      <w:lvlJc w:val="left"/>
      <w:pPr>
        <w:ind w:left="3251" w:hanging="360"/>
      </w:pPr>
      <w:rPr>
        <w:rFonts w:ascii="Symbol" w:hAnsi="Symbol" w:hint="default"/>
      </w:rPr>
    </w:lvl>
    <w:lvl w:ilvl="4" w:tplc="0C0C0003" w:tentative="1">
      <w:start w:val="1"/>
      <w:numFmt w:val="bullet"/>
      <w:lvlText w:val="o"/>
      <w:lvlJc w:val="left"/>
      <w:pPr>
        <w:ind w:left="3971" w:hanging="360"/>
      </w:pPr>
      <w:rPr>
        <w:rFonts w:ascii="Courier New" w:hAnsi="Courier New" w:cs="Courier New" w:hint="default"/>
      </w:rPr>
    </w:lvl>
    <w:lvl w:ilvl="5" w:tplc="0C0C0005" w:tentative="1">
      <w:start w:val="1"/>
      <w:numFmt w:val="bullet"/>
      <w:lvlText w:val=""/>
      <w:lvlJc w:val="left"/>
      <w:pPr>
        <w:ind w:left="4691" w:hanging="360"/>
      </w:pPr>
      <w:rPr>
        <w:rFonts w:ascii="Wingdings" w:hAnsi="Wingdings" w:hint="default"/>
      </w:rPr>
    </w:lvl>
    <w:lvl w:ilvl="6" w:tplc="0C0C0001" w:tentative="1">
      <w:start w:val="1"/>
      <w:numFmt w:val="bullet"/>
      <w:lvlText w:val=""/>
      <w:lvlJc w:val="left"/>
      <w:pPr>
        <w:ind w:left="5411" w:hanging="360"/>
      </w:pPr>
      <w:rPr>
        <w:rFonts w:ascii="Symbol" w:hAnsi="Symbol" w:hint="default"/>
      </w:rPr>
    </w:lvl>
    <w:lvl w:ilvl="7" w:tplc="0C0C0003" w:tentative="1">
      <w:start w:val="1"/>
      <w:numFmt w:val="bullet"/>
      <w:lvlText w:val="o"/>
      <w:lvlJc w:val="left"/>
      <w:pPr>
        <w:ind w:left="6131" w:hanging="360"/>
      </w:pPr>
      <w:rPr>
        <w:rFonts w:ascii="Courier New" w:hAnsi="Courier New" w:cs="Courier New" w:hint="default"/>
      </w:rPr>
    </w:lvl>
    <w:lvl w:ilvl="8" w:tplc="0C0C0005" w:tentative="1">
      <w:start w:val="1"/>
      <w:numFmt w:val="bullet"/>
      <w:lvlText w:val=""/>
      <w:lvlJc w:val="left"/>
      <w:pPr>
        <w:ind w:left="6851" w:hanging="360"/>
      </w:pPr>
      <w:rPr>
        <w:rFonts w:ascii="Wingdings" w:hAnsi="Wingdings" w:hint="default"/>
      </w:rPr>
    </w:lvl>
  </w:abstractNum>
  <w:abstractNum w:abstractNumId="12" w15:restartNumberingAfterBreak="0">
    <w:nsid w:val="45495055"/>
    <w:multiLevelType w:val="hybridMultilevel"/>
    <w:tmpl w:val="164A83B6"/>
    <w:lvl w:ilvl="0" w:tplc="0C0C0001">
      <w:start w:val="1"/>
      <w:numFmt w:val="bullet"/>
      <w:lvlText w:val=""/>
      <w:lvlJc w:val="left"/>
      <w:pPr>
        <w:ind w:left="1451" w:hanging="360"/>
      </w:pPr>
      <w:rPr>
        <w:rFonts w:ascii="Symbol" w:hAnsi="Symbol" w:hint="default"/>
      </w:rPr>
    </w:lvl>
    <w:lvl w:ilvl="1" w:tplc="0C0C0003" w:tentative="1">
      <w:start w:val="1"/>
      <w:numFmt w:val="bullet"/>
      <w:lvlText w:val="o"/>
      <w:lvlJc w:val="left"/>
      <w:pPr>
        <w:ind w:left="2171" w:hanging="360"/>
      </w:pPr>
      <w:rPr>
        <w:rFonts w:ascii="Courier New" w:hAnsi="Courier New" w:cs="Courier New" w:hint="default"/>
      </w:rPr>
    </w:lvl>
    <w:lvl w:ilvl="2" w:tplc="0C0C0005" w:tentative="1">
      <w:start w:val="1"/>
      <w:numFmt w:val="bullet"/>
      <w:lvlText w:val=""/>
      <w:lvlJc w:val="left"/>
      <w:pPr>
        <w:ind w:left="2891" w:hanging="360"/>
      </w:pPr>
      <w:rPr>
        <w:rFonts w:ascii="Wingdings" w:hAnsi="Wingdings" w:hint="default"/>
      </w:rPr>
    </w:lvl>
    <w:lvl w:ilvl="3" w:tplc="0C0C0001" w:tentative="1">
      <w:start w:val="1"/>
      <w:numFmt w:val="bullet"/>
      <w:lvlText w:val=""/>
      <w:lvlJc w:val="left"/>
      <w:pPr>
        <w:ind w:left="3611" w:hanging="360"/>
      </w:pPr>
      <w:rPr>
        <w:rFonts w:ascii="Symbol" w:hAnsi="Symbol" w:hint="default"/>
      </w:rPr>
    </w:lvl>
    <w:lvl w:ilvl="4" w:tplc="0C0C0003" w:tentative="1">
      <w:start w:val="1"/>
      <w:numFmt w:val="bullet"/>
      <w:lvlText w:val="o"/>
      <w:lvlJc w:val="left"/>
      <w:pPr>
        <w:ind w:left="4331" w:hanging="360"/>
      </w:pPr>
      <w:rPr>
        <w:rFonts w:ascii="Courier New" w:hAnsi="Courier New" w:cs="Courier New" w:hint="default"/>
      </w:rPr>
    </w:lvl>
    <w:lvl w:ilvl="5" w:tplc="0C0C0005" w:tentative="1">
      <w:start w:val="1"/>
      <w:numFmt w:val="bullet"/>
      <w:lvlText w:val=""/>
      <w:lvlJc w:val="left"/>
      <w:pPr>
        <w:ind w:left="5051" w:hanging="360"/>
      </w:pPr>
      <w:rPr>
        <w:rFonts w:ascii="Wingdings" w:hAnsi="Wingdings" w:hint="default"/>
      </w:rPr>
    </w:lvl>
    <w:lvl w:ilvl="6" w:tplc="0C0C0001" w:tentative="1">
      <w:start w:val="1"/>
      <w:numFmt w:val="bullet"/>
      <w:lvlText w:val=""/>
      <w:lvlJc w:val="left"/>
      <w:pPr>
        <w:ind w:left="5771" w:hanging="360"/>
      </w:pPr>
      <w:rPr>
        <w:rFonts w:ascii="Symbol" w:hAnsi="Symbol" w:hint="default"/>
      </w:rPr>
    </w:lvl>
    <w:lvl w:ilvl="7" w:tplc="0C0C0003" w:tentative="1">
      <w:start w:val="1"/>
      <w:numFmt w:val="bullet"/>
      <w:lvlText w:val="o"/>
      <w:lvlJc w:val="left"/>
      <w:pPr>
        <w:ind w:left="6491" w:hanging="360"/>
      </w:pPr>
      <w:rPr>
        <w:rFonts w:ascii="Courier New" w:hAnsi="Courier New" w:cs="Courier New" w:hint="default"/>
      </w:rPr>
    </w:lvl>
    <w:lvl w:ilvl="8" w:tplc="0C0C0005" w:tentative="1">
      <w:start w:val="1"/>
      <w:numFmt w:val="bullet"/>
      <w:lvlText w:val=""/>
      <w:lvlJc w:val="left"/>
      <w:pPr>
        <w:ind w:left="7211" w:hanging="360"/>
      </w:pPr>
      <w:rPr>
        <w:rFonts w:ascii="Wingdings" w:hAnsi="Wingdings" w:hint="default"/>
      </w:rPr>
    </w:lvl>
  </w:abstractNum>
  <w:abstractNum w:abstractNumId="13" w15:restartNumberingAfterBreak="0">
    <w:nsid w:val="4BF423AA"/>
    <w:multiLevelType w:val="multilevel"/>
    <w:tmpl w:val="78E43A60"/>
    <w:name w:val="Style12"/>
    <w:numStyleLink w:val="Style1"/>
  </w:abstractNum>
  <w:abstractNum w:abstractNumId="14" w15:restartNumberingAfterBreak="0">
    <w:nsid w:val="51597CAA"/>
    <w:multiLevelType w:val="hybridMultilevel"/>
    <w:tmpl w:val="8EB8C590"/>
    <w:lvl w:ilvl="0" w:tplc="0C0C0001">
      <w:start w:val="1"/>
      <w:numFmt w:val="bullet"/>
      <w:lvlText w:val=""/>
      <w:lvlJc w:val="left"/>
      <w:pPr>
        <w:ind w:left="1091" w:hanging="360"/>
      </w:pPr>
      <w:rPr>
        <w:rFonts w:ascii="Symbol" w:hAnsi="Symbol" w:hint="default"/>
      </w:rPr>
    </w:lvl>
    <w:lvl w:ilvl="1" w:tplc="0C0C0003" w:tentative="1">
      <w:start w:val="1"/>
      <w:numFmt w:val="bullet"/>
      <w:lvlText w:val="o"/>
      <w:lvlJc w:val="left"/>
      <w:pPr>
        <w:ind w:left="1811" w:hanging="360"/>
      </w:pPr>
      <w:rPr>
        <w:rFonts w:ascii="Courier New" w:hAnsi="Courier New" w:cs="Courier New" w:hint="default"/>
      </w:rPr>
    </w:lvl>
    <w:lvl w:ilvl="2" w:tplc="0C0C0005" w:tentative="1">
      <w:start w:val="1"/>
      <w:numFmt w:val="bullet"/>
      <w:lvlText w:val=""/>
      <w:lvlJc w:val="left"/>
      <w:pPr>
        <w:ind w:left="2531" w:hanging="360"/>
      </w:pPr>
      <w:rPr>
        <w:rFonts w:ascii="Wingdings" w:hAnsi="Wingdings" w:hint="default"/>
      </w:rPr>
    </w:lvl>
    <w:lvl w:ilvl="3" w:tplc="0C0C0001" w:tentative="1">
      <w:start w:val="1"/>
      <w:numFmt w:val="bullet"/>
      <w:lvlText w:val=""/>
      <w:lvlJc w:val="left"/>
      <w:pPr>
        <w:ind w:left="3251" w:hanging="360"/>
      </w:pPr>
      <w:rPr>
        <w:rFonts w:ascii="Symbol" w:hAnsi="Symbol" w:hint="default"/>
      </w:rPr>
    </w:lvl>
    <w:lvl w:ilvl="4" w:tplc="0C0C0003" w:tentative="1">
      <w:start w:val="1"/>
      <w:numFmt w:val="bullet"/>
      <w:lvlText w:val="o"/>
      <w:lvlJc w:val="left"/>
      <w:pPr>
        <w:ind w:left="3971" w:hanging="360"/>
      </w:pPr>
      <w:rPr>
        <w:rFonts w:ascii="Courier New" w:hAnsi="Courier New" w:cs="Courier New" w:hint="default"/>
      </w:rPr>
    </w:lvl>
    <w:lvl w:ilvl="5" w:tplc="0C0C0005" w:tentative="1">
      <w:start w:val="1"/>
      <w:numFmt w:val="bullet"/>
      <w:lvlText w:val=""/>
      <w:lvlJc w:val="left"/>
      <w:pPr>
        <w:ind w:left="4691" w:hanging="360"/>
      </w:pPr>
      <w:rPr>
        <w:rFonts w:ascii="Wingdings" w:hAnsi="Wingdings" w:hint="default"/>
      </w:rPr>
    </w:lvl>
    <w:lvl w:ilvl="6" w:tplc="0C0C0001" w:tentative="1">
      <w:start w:val="1"/>
      <w:numFmt w:val="bullet"/>
      <w:lvlText w:val=""/>
      <w:lvlJc w:val="left"/>
      <w:pPr>
        <w:ind w:left="5411" w:hanging="360"/>
      </w:pPr>
      <w:rPr>
        <w:rFonts w:ascii="Symbol" w:hAnsi="Symbol" w:hint="default"/>
      </w:rPr>
    </w:lvl>
    <w:lvl w:ilvl="7" w:tplc="0C0C0003" w:tentative="1">
      <w:start w:val="1"/>
      <w:numFmt w:val="bullet"/>
      <w:lvlText w:val="o"/>
      <w:lvlJc w:val="left"/>
      <w:pPr>
        <w:ind w:left="6131" w:hanging="360"/>
      </w:pPr>
      <w:rPr>
        <w:rFonts w:ascii="Courier New" w:hAnsi="Courier New" w:cs="Courier New" w:hint="default"/>
      </w:rPr>
    </w:lvl>
    <w:lvl w:ilvl="8" w:tplc="0C0C0005" w:tentative="1">
      <w:start w:val="1"/>
      <w:numFmt w:val="bullet"/>
      <w:lvlText w:val=""/>
      <w:lvlJc w:val="left"/>
      <w:pPr>
        <w:ind w:left="6851" w:hanging="360"/>
      </w:pPr>
      <w:rPr>
        <w:rFonts w:ascii="Wingdings" w:hAnsi="Wingdings" w:hint="default"/>
      </w:rPr>
    </w:lvl>
  </w:abstractNum>
  <w:abstractNum w:abstractNumId="15" w15:restartNumberingAfterBreak="0">
    <w:nsid w:val="5A0C4719"/>
    <w:multiLevelType w:val="multilevel"/>
    <w:tmpl w:val="78E43A60"/>
    <w:name w:val="Style13"/>
    <w:numStyleLink w:val="Style1"/>
  </w:abstractNum>
  <w:abstractNum w:abstractNumId="16" w15:restartNumberingAfterBreak="0">
    <w:nsid w:val="609C0DCC"/>
    <w:multiLevelType w:val="multilevel"/>
    <w:tmpl w:val="5720EF72"/>
    <w:lvl w:ilvl="0">
      <w:start w:val="1"/>
      <w:numFmt w:val="decimal"/>
      <w:pStyle w:val="Paragrdoubl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687C34A8"/>
    <w:multiLevelType w:val="hybridMultilevel"/>
    <w:tmpl w:val="97120442"/>
    <w:lvl w:ilvl="0" w:tplc="0C0C0001">
      <w:start w:val="1"/>
      <w:numFmt w:val="bullet"/>
      <w:lvlText w:val=""/>
      <w:lvlJc w:val="left"/>
      <w:pPr>
        <w:ind w:left="1091" w:hanging="360"/>
      </w:pPr>
      <w:rPr>
        <w:rFonts w:ascii="Symbol" w:hAnsi="Symbol" w:hint="default"/>
      </w:rPr>
    </w:lvl>
    <w:lvl w:ilvl="1" w:tplc="0C0C0003" w:tentative="1">
      <w:start w:val="1"/>
      <w:numFmt w:val="bullet"/>
      <w:lvlText w:val="o"/>
      <w:lvlJc w:val="left"/>
      <w:pPr>
        <w:ind w:left="1811" w:hanging="360"/>
      </w:pPr>
      <w:rPr>
        <w:rFonts w:ascii="Courier New" w:hAnsi="Courier New" w:cs="Courier New" w:hint="default"/>
      </w:rPr>
    </w:lvl>
    <w:lvl w:ilvl="2" w:tplc="0C0C0005" w:tentative="1">
      <w:start w:val="1"/>
      <w:numFmt w:val="bullet"/>
      <w:lvlText w:val=""/>
      <w:lvlJc w:val="left"/>
      <w:pPr>
        <w:ind w:left="2531" w:hanging="360"/>
      </w:pPr>
      <w:rPr>
        <w:rFonts w:ascii="Wingdings" w:hAnsi="Wingdings" w:hint="default"/>
      </w:rPr>
    </w:lvl>
    <w:lvl w:ilvl="3" w:tplc="0C0C0001" w:tentative="1">
      <w:start w:val="1"/>
      <w:numFmt w:val="bullet"/>
      <w:lvlText w:val=""/>
      <w:lvlJc w:val="left"/>
      <w:pPr>
        <w:ind w:left="3251" w:hanging="360"/>
      </w:pPr>
      <w:rPr>
        <w:rFonts w:ascii="Symbol" w:hAnsi="Symbol" w:hint="default"/>
      </w:rPr>
    </w:lvl>
    <w:lvl w:ilvl="4" w:tplc="0C0C0003" w:tentative="1">
      <w:start w:val="1"/>
      <w:numFmt w:val="bullet"/>
      <w:lvlText w:val="o"/>
      <w:lvlJc w:val="left"/>
      <w:pPr>
        <w:ind w:left="3971" w:hanging="360"/>
      </w:pPr>
      <w:rPr>
        <w:rFonts w:ascii="Courier New" w:hAnsi="Courier New" w:cs="Courier New" w:hint="default"/>
      </w:rPr>
    </w:lvl>
    <w:lvl w:ilvl="5" w:tplc="0C0C0005" w:tentative="1">
      <w:start w:val="1"/>
      <w:numFmt w:val="bullet"/>
      <w:lvlText w:val=""/>
      <w:lvlJc w:val="left"/>
      <w:pPr>
        <w:ind w:left="4691" w:hanging="360"/>
      </w:pPr>
      <w:rPr>
        <w:rFonts w:ascii="Wingdings" w:hAnsi="Wingdings" w:hint="default"/>
      </w:rPr>
    </w:lvl>
    <w:lvl w:ilvl="6" w:tplc="0C0C0001" w:tentative="1">
      <w:start w:val="1"/>
      <w:numFmt w:val="bullet"/>
      <w:lvlText w:val=""/>
      <w:lvlJc w:val="left"/>
      <w:pPr>
        <w:ind w:left="5411" w:hanging="360"/>
      </w:pPr>
      <w:rPr>
        <w:rFonts w:ascii="Symbol" w:hAnsi="Symbol" w:hint="default"/>
      </w:rPr>
    </w:lvl>
    <w:lvl w:ilvl="7" w:tplc="0C0C0003" w:tentative="1">
      <w:start w:val="1"/>
      <w:numFmt w:val="bullet"/>
      <w:lvlText w:val="o"/>
      <w:lvlJc w:val="left"/>
      <w:pPr>
        <w:ind w:left="6131" w:hanging="360"/>
      </w:pPr>
      <w:rPr>
        <w:rFonts w:ascii="Courier New" w:hAnsi="Courier New" w:cs="Courier New" w:hint="default"/>
      </w:rPr>
    </w:lvl>
    <w:lvl w:ilvl="8" w:tplc="0C0C0005" w:tentative="1">
      <w:start w:val="1"/>
      <w:numFmt w:val="bullet"/>
      <w:lvlText w:val=""/>
      <w:lvlJc w:val="left"/>
      <w:pPr>
        <w:ind w:left="6851" w:hanging="360"/>
      </w:pPr>
      <w:rPr>
        <w:rFonts w:ascii="Wingdings" w:hAnsi="Wingdings" w:hint="default"/>
      </w:rPr>
    </w:lvl>
  </w:abstractNum>
  <w:abstractNum w:abstractNumId="18" w15:restartNumberingAfterBreak="0">
    <w:nsid w:val="699D79D3"/>
    <w:multiLevelType w:val="hybridMultilevel"/>
    <w:tmpl w:val="B53E7ABA"/>
    <w:lvl w:ilvl="0" w:tplc="0C0C0001">
      <w:start w:val="1"/>
      <w:numFmt w:val="bullet"/>
      <w:lvlText w:val=""/>
      <w:lvlJc w:val="left"/>
      <w:pPr>
        <w:ind w:left="1091" w:hanging="360"/>
      </w:pPr>
      <w:rPr>
        <w:rFonts w:ascii="Symbol" w:hAnsi="Symbol" w:hint="default"/>
      </w:rPr>
    </w:lvl>
    <w:lvl w:ilvl="1" w:tplc="0C0C0003" w:tentative="1">
      <w:start w:val="1"/>
      <w:numFmt w:val="bullet"/>
      <w:lvlText w:val="o"/>
      <w:lvlJc w:val="left"/>
      <w:pPr>
        <w:ind w:left="1811" w:hanging="360"/>
      </w:pPr>
      <w:rPr>
        <w:rFonts w:ascii="Courier New" w:hAnsi="Courier New" w:cs="Courier New" w:hint="default"/>
      </w:rPr>
    </w:lvl>
    <w:lvl w:ilvl="2" w:tplc="0C0C0005" w:tentative="1">
      <w:start w:val="1"/>
      <w:numFmt w:val="bullet"/>
      <w:lvlText w:val=""/>
      <w:lvlJc w:val="left"/>
      <w:pPr>
        <w:ind w:left="2531" w:hanging="360"/>
      </w:pPr>
      <w:rPr>
        <w:rFonts w:ascii="Wingdings" w:hAnsi="Wingdings" w:hint="default"/>
      </w:rPr>
    </w:lvl>
    <w:lvl w:ilvl="3" w:tplc="0C0C0001" w:tentative="1">
      <w:start w:val="1"/>
      <w:numFmt w:val="bullet"/>
      <w:lvlText w:val=""/>
      <w:lvlJc w:val="left"/>
      <w:pPr>
        <w:ind w:left="3251" w:hanging="360"/>
      </w:pPr>
      <w:rPr>
        <w:rFonts w:ascii="Symbol" w:hAnsi="Symbol" w:hint="default"/>
      </w:rPr>
    </w:lvl>
    <w:lvl w:ilvl="4" w:tplc="0C0C0003" w:tentative="1">
      <w:start w:val="1"/>
      <w:numFmt w:val="bullet"/>
      <w:lvlText w:val="o"/>
      <w:lvlJc w:val="left"/>
      <w:pPr>
        <w:ind w:left="3971" w:hanging="360"/>
      </w:pPr>
      <w:rPr>
        <w:rFonts w:ascii="Courier New" w:hAnsi="Courier New" w:cs="Courier New" w:hint="default"/>
      </w:rPr>
    </w:lvl>
    <w:lvl w:ilvl="5" w:tplc="0C0C0005" w:tentative="1">
      <w:start w:val="1"/>
      <w:numFmt w:val="bullet"/>
      <w:lvlText w:val=""/>
      <w:lvlJc w:val="left"/>
      <w:pPr>
        <w:ind w:left="4691" w:hanging="360"/>
      </w:pPr>
      <w:rPr>
        <w:rFonts w:ascii="Wingdings" w:hAnsi="Wingdings" w:hint="default"/>
      </w:rPr>
    </w:lvl>
    <w:lvl w:ilvl="6" w:tplc="0C0C0001" w:tentative="1">
      <w:start w:val="1"/>
      <w:numFmt w:val="bullet"/>
      <w:lvlText w:val=""/>
      <w:lvlJc w:val="left"/>
      <w:pPr>
        <w:ind w:left="5411" w:hanging="360"/>
      </w:pPr>
      <w:rPr>
        <w:rFonts w:ascii="Symbol" w:hAnsi="Symbol" w:hint="default"/>
      </w:rPr>
    </w:lvl>
    <w:lvl w:ilvl="7" w:tplc="0C0C0003" w:tentative="1">
      <w:start w:val="1"/>
      <w:numFmt w:val="bullet"/>
      <w:lvlText w:val="o"/>
      <w:lvlJc w:val="left"/>
      <w:pPr>
        <w:ind w:left="6131" w:hanging="360"/>
      </w:pPr>
      <w:rPr>
        <w:rFonts w:ascii="Courier New" w:hAnsi="Courier New" w:cs="Courier New" w:hint="default"/>
      </w:rPr>
    </w:lvl>
    <w:lvl w:ilvl="8" w:tplc="0C0C0005" w:tentative="1">
      <w:start w:val="1"/>
      <w:numFmt w:val="bullet"/>
      <w:lvlText w:val=""/>
      <w:lvlJc w:val="left"/>
      <w:pPr>
        <w:ind w:left="6851" w:hanging="360"/>
      </w:pPr>
      <w:rPr>
        <w:rFonts w:ascii="Wingdings" w:hAnsi="Wingdings" w:hint="default"/>
      </w:rPr>
    </w:lvl>
  </w:abstractNum>
  <w:abstractNum w:abstractNumId="19" w15:restartNumberingAfterBreak="0">
    <w:nsid w:val="6F211773"/>
    <w:multiLevelType w:val="hybridMultilevel"/>
    <w:tmpl w:val="9ED61A3E"/>
    <w:lvl w:ilvl="0" w:tplc="0C0C0001">
      <w:start w:val="1"/>
      <w:numFmt w:val="bullet"/>
      <w:lvlText w:val=""/>
      <w:lvlJc w:val="left"/>
      <w:pPr>
        <w:ind w:left="791" w:hanging="360"/>
      </w:pPr>
      <w:rPr>
        <w:rFonts w:ascii="Symbol" w:hAnsi="Symbol" w:hint="default"/>
      </w:rPr>
    </w:lvl>
    <w:lvl w:ilvl="1" w:tplc="0C0C0003" w:tentative="1">
      <w:start w:val="1"/>
      <w:numFmt w:val="bullet"/>
      <w:lvlText w:val="o"/>
      <w:lvlJc w:val="left"/>
      <w:pPr>
        <w:ind w:left="1511" w:hanging="360"/>
      </w:pPr>
      <w:rPr>
        <w:rFonts w:ascii="Courier New" w:hAnsi="Courier New" w:cs="Courier New" w:hint="default"/>
      </w:rPr>
    </w:lvl>
    <w:lvl w:ilvl="2" w:tplc="0C0C0005" w:tentative="1">
      <w:start w:val="1"/>
      <w:numFmt w:val="bullet"/>
      <w:lvlText w:val=""/>
      <w:lvlJc w:val="left"/>
      <w:pPr>
        <w:ind w:left="2231" w:hanging="360"/>
      </w:pPr>
      <w:rPr>
        <w:rFonts w:ascii="Wingdings" w:hAnsi="Wingdings" w:hint="default"/>
      </w:rPr>
    </w:lvl>
    <w:lvl w:ilvl="3" w:tplc="0C0C0001" w:tentative="1">
      <w:start w:val="1"/>
      <w:numFmt w:val="bullet"/>
      <w:lvlText w:val=""/>
      <w:lvlJc w:val="left"/>
      <w:pPr>
        <w:ind w:left="2951" w:hanging="360"/>
      </w:pPr>
      <w:rPr>
        <w:rFonts w:ascii="Symbol" w:hAnsi="Symbol" w:hint="default"/>
      </w:rPr>
    </w:lvl>
    <w:lvl w:ilvl="4" w:tplc="0C0C0003" w:tentative="1">
      <w:start w:val="1"/>
      <w:numFmt w:val="bullet"/>
      <w:lvlText w:val="o"/>
      <w:lvlJc w:val="left"/>
      <w:pPr>
        <w:ind w:left="3671" w:hanging="360"/>
      </w:pPr>
      <w:rPr>
        <w:rFonts w:ascii="Courier New" w:hAnsi="Courier New" w:cs="Courier New" w:hint="default"/>
      </w:rPr>
    </w:lvl>
    <w:lvl w:ilvl="5" w:tplc="0C0C0005" w:tentative="1">
      <w:start w:val="1"/>
      <w:numFmt w:val="bullet"/>
      <w:lvlText w:val=""/>
      <w:lvlJc w:val="left"/>
      <w:pPr>
        <w:ind w:left="4391" w:hanging="360"/>
      </w:pPr>
      <w:rPr>
        <w:rFonts w:ascii="Wingdings" w:hAnsi="Wingdings" w:hint="default"/>
      </w:rPr>
    </w:lvl>
    <w:lvl w:ilvl="6" w:tplc="0C0C0001" w:tentative="1">
      <w:start w:val="1"/>
      <w:numFmt w:val="bullet"/>
      <w:lvlText w:val=""/>
      <w:lvlJc w:val="left"/>
      <w:pPr>
        <w:ind w:left="5111" w:hanging="360"/>
      </w:pPr>
      <w:rPr>
        <w:rFonts w:ascii="Symbol" w:hAnsi="Symbol" w:hint="default"/>
      </w:rPr>
    </w:lvl>
    <w:lvl w:ilvl="7" w:tplc="0C0C0003" w:tentative="1">
      <w:start w:val="1"/>
      <w:numFmt w:val="bullet"/>
      <w:lvlText w:val="o"/>
      <w:lvlJc w:val="left"/>
      <w:pPr>
        <w:ind w:left="5831" w:hanging="360"/>
      </w:pPr>
      <w:rPr>
        <w:rFonts w:ascii="Courier New" w:hAnsi="Courier New" w:cs="Courier New" w:hint="default"/>
      </w:rPr>
    </w:lvl>
    <w:lvl w:ilvl="8" w:tplc="0C0C0005" w:tentative="1">
      <w:start w:val="1"/>
      <w:numFmt w:val="bullet"/>
      <w:lvlText w:val=""/>
      <w:lvlJc w:val="left"/>
      <w:pPr>
        <w:ind w:left="6551" w:hanging="360"/>
      </w:pPr>
      <w:rPr>
        <w:rFonts w:ascii="Wingdings" w:hAnsi="Wingdings" w:hint="default"/>
      </w:rPr>
    </w:lvl>
  </w:abstractNum>
  <w:abstractNum w:abstractNumId="20" w15:restartNumberingAfterBreak="0">
    <w:nsid w:val="72CA091B"/>
    <w:multiLevelType w:val="hybridMultilevel"/>
    <w:tmpl w:val="E7E4C900"/>
    <w:lvl w:ilvl="0" w:tplc="0C0C0001">
      <w:start w:val="1"/>
      <w:numFmt w:val="bullet"/>
      <w:lvlText w:val=""/>
      <w:lvlJc w:val="left"/>
      <w:pPr>
        <w:ind w:left="791" w:hanging="360"/>
      </w:pPr>
      <w:rPr>
        <w:rFonts w:ascii="Symbol" w:hAnsi="Symbol" w:hint="default"/>
      </w:rPr>
    </w:lvl>
    <w:lvl w:ilvl="1" w:tplc="0C0C0003" w:tentative="1">
      <w:start w:val="1"/>
      <w:numFmt w:val="bullet"/>
      <w:lvlText w:val="o"/>
      <w:lvlJc w:val="left"/>
      <w:pPr>
        <w:ind w:left="1511" w:hanging="360"/>
      </w:pPr>
      <w:rPr>
        <w:rFonts w:ascii="Courier New" w:hAnsi="Courier New" w:cs="Courier New" w:hint="default"/>
      </w:rPr>
    </w:lvl>
    <w:lvl w:ilvl="2" w:tplc="0C0C0005" w:tentative="1">
      <w:start w:val="1"/>
      <w:numFmt w:val="bullet"/>
      <w:lvlText w:val=""/>
      <w:lvlJc w:val="left"/>
      <w:pPr>
        <w:ind w:left="2231" w:hanging="360"/>
      </w:pPr>
      <w:rPr>
        <w:rFonts w:ascii="Wingdings" w:hAnsi="Wingdings" w:hint="default"/>
      </w:rPr>
    </w:lvl>
    <w:lvl w:ilvl="3" w:tplc="0C0C0001" w:tentative="1">
      <w:start w:val="1"/>
      <w:numFmt w:val="bullet"/>
      <w:lvlText w:val=""/>
      <w:lvlJc w:val="left"/>
      <w:pPr>
        <w:ind w:left="2951" w:hanging="360"/>
      </w:pPr>
      <w:rPr>
        <w:rFonts w:ascii="Symbol" w:hAnsi="Symbol" w:hint="default"/>
      </w:rPr>
    </w:lvl>
    <w:lvl w:ilvl="4" w:tplc="0C0C0003" w:tentative="1">
      <w:start w:val="1"/>
      <w:numFmt w:val="bullet"/>
      <w:lvlText w:val="o"/>
      <w:lvlJc w:val="left"/>
      <w:pPr>
        <w:ind w:left="3671" w:hanging="360"/>
      </w:pPr>
      <w:rPr>
        <w:rFonts w:ascii="Courier New" w:hAnsi="Courier New" w:cs="Courier New" w:hint="default"/>
      </w:rPr>
    </w:lvl>
    <w:lvl w:ilvl="5" w:tplc="0C0C0005" w:tentative="1">
      <w:start w:val="1"/>
      <w:numFmt w:val="bullet"/>
      <w:lvlText w:val=""/>
      <w:lvlJc w:val="left"/>
      <w:pPr>
        <w:ind w:left="4391" w:hanging="360"/>
      </w:pPr>
      <w:rPr>
        <w:rFonts w:ascii="Wingdings" w:hAnsi="Wingdings" w:hint="default"/>
      </w:rPr>
    </w:lvl>
    <w:lvl w:ilvl="6" w:tplc="0C0C0001" w:tentative="1">
      <w:start w:val="1"/>
      <w:numFmt w:val="bullet"/>
      <w:lvlText w:val=""/>
      <w:lvlJc w:val="left"/>
      <w:pPr>
        <w:ind w:left="5111" w:hanging="360"/>
      </w:pPr>
      <w:rPr>
        <w:rFonts w:ascii="Symbol" w:hAnsi="Symbol" w:hint="default"/>
      </w:rPr>
    </w:lvl>
    <w:lvl w:ilvl="7" w:tplc="0C0C0003" w:tentative="1">
      <w:start w:val="1"/>
      <w:numFmt w:val="bullet"/>
      <w:lvlText w:val="o"/>
      <w:lvlJc w:val="left"/>
      <w:pPr>
        <w:ind w:left="5831" w:hanging="360"/>
      </w:pPr>
      <w:rPr>
        <w:rFonts w:ascii="Courier New" w:hAnsi="Courier New" w:cs="Courier New" w:hint="default"/>
      </w:rPr>
    </w:lvl>
    <w:lvl w:ilvl="8" w:tplc="0C0C0005" w:tentative="1">
      <w:start w:val="1"/>
      <w:numFmt w:val="bullet"/>
      <w:lvlText w:val=""/>
      <w:lvlJc w:val="left"/>
      <w:pPr>
        <w:ind w:left="6551" w:hanging="360"/>
      </w:pPr>
      <w:rPr>
        <w:rFonts w:ascii="Wingdings" w:hAnsi="Wingdings" w:hint="default"/>
      </w:rPr>
    </w:lvl>
  </w:abstractNum>
  <w:abstractNum w:abstractNumId="21" w15:restartNumberingAfterBreak="0">
    <w:nsid w:val="753543C2"/>
    <w:multiLevelType w:val="hybridMultilevel"/>
    <w:tmpl w:val="6C0EE260"/>
    <w:lvl w:ilvl="0" w:tplc="0C0C0001">
      <w:start w:val="1"/>
      <w:numFmt w:val="bullet"/>
      <w:lvlText w:val=""/>
      <w:lvlJc w:val="left"/>
      <w:pPr>
        <w:ind w:left="1069" w:hanging="360"/>
      </w:pPr>
      <w:rPr>
        <w:rFonts w:ascii="Symbol" w:hAnsi="Symbol"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22" w15:restartNumberingAfterBreak="0">
    <w:nsid w:val="7CE81B35"/>
    <w:multiLevelType w:val="hybridMultilevel"/>
    <w:tmpl w:val="D876B7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D42249D"/>
    <w:multiLevelType w:val="hybridMultilevel"/>
    <w:tmpl w:val="84CE5E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5"/>
  </w:num>
  <w:num w:numId="4">
    <w:abstractNumId w:val="19"/>
  </w:num>
  <w:num w:numId="5">
    <w:abstractNumId w:val="12"/>
  </w:num>
  <w:num w:numId="6">
    <w:abstractNumId w:val="2"/>
  </w:num>
  <w:num w:numId="7">
    <w:abstractNumId w:val="23"/>
  </w:num>
  <w:num w:numId="8">
    <w:abstractNumId w:val="9"/>
  </w:num>
  <w:num w:numId="9">
    <w:abstractNumId w:val="1"/>
  </w:num>
  <w:num w:numId="10">
    <w:abstractNumId w:val="22"/>
  </w:num>
  <w:num w:numId="11">
    <w:abstractNumId w:val="8"/>
  </w:num>
  <w:num w:numId="12">
    <w:abstractNumId w:val="18"/>
  </w:num>
  <w:num w:numId="13">
    <w:abstractNumId w:val="17"/>
  </w:num>
  <w:num w:numId="14">
    <w:abstractNumId w:val="20"/>
  </w:num>
  <w:num w:numId="15">
    <w:abstractNumId w:val="16"/>
  </w:num>
  <w:num w:numId="16">
    <w:abstractNumId w:val="16"/>
  </w:num>
  <w:num w:numId="17">
    <w:abstractNumId w:val="7"/>
  </w:num>
  <w:num w:numId="18">
    <w:abstractNumId w:val="3"/>
  </w:num>
  <w:num w:numId="19">
    <w:abstractNumId w:val="11"/>
  </w:num>
  <w:num w:numId="20">
    <w:abstractNumId w:val="10"/>
  </w:num>
  <w:num w:numId="21">
    <w:abstractNumId w:val="16"/>
  </w:num>
  <w:num w:numId="22">
    <w:abstractNumId w:val="16"/>
  </w:num>
  <w:num w:numId="23">
    <w:abstractNumId w:val="16"/>
  </w:num>
  <w:num w:numId="24">
    <w:abstractNumId w:val="16"/>
  </w:num>
  <w:num w:numId="25">
    <w:abstractNumId w:val="0"/>
  </w:num>
  <w:num w:numId="26">
    <w:abstractNumId w:val="16"/>
  </w:num>
  <w:num w:numId="27">
    <w:abstractNumId w:val="16"/>
  </w:num>
  <w:num w:numId="28">
    <w:abstractNumId w:val="16"/>
  </w:num>
  <w:num w:numId="29">
    <w:abstractNumId w:val="4"/>
  </w:num>
  <w:num w:numId="30">
    <w:abstractNumId w:val="16"/>
  </w:num>
  <w:num w:numId="31">
    <w:abstractNumId w:val="16"/>
  </w:num>
  <w:num w:numId="32">
    <w:abstractNumId w:val="16"/>
  </w:num>
  <w:num w:numId="33">
    <w:abstractNumId w:val="16"/>
  </w:num>
  <w:num w:numId="34">
    <w:abstractNumId w:val="16"/>
  </w:num>
  <w:num w:numId="35">
    <w:abstractNumId w:val="14"/>
  </w:num>
  <w:num w:numId="3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31"/>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0BAD9C-2FAF-4A30-B3BA-8F08301A1AC0}"/>
    <w:docVar w:name="dgnword-eventsink" w:val="482405816"/>
  </w:docVars>
  <w:rsids>
    <w:rsidRoot w:val="00F4770B"/>
    <w:rsid w:val="0000055C"/>
    <w:rsid w:val="0000094D"/>
    <w:rsid w:val="00000B4F"/>
    <w:rsid w:val="00001AA9"/>
    <w:rsid w:val="0000311C"/>
    <w:rsid w:val="0000361C"/>
    <w:rsid w:val="00004488"/>
    <w:rsid w:val="0000510C"/>
    <w:rsid w:val="00005364"/>
    <w:rsid w:val="0000556B"/>
    <w:rsid w:val="00005FD9"/>
    <w:rsid w:val="0000613D"/>
    <w:rsid w:val="00006342"/>
    <w:rsid w:val="000063C7"/>
    <w:rsid w:val="00006412"/>
    <w:rsid w:val="000068AD"/>
    <w:rsid w:val="000075AA"/>
    <w:rsid w:val="00007687"/>
    <w:rsid w:val="00007C45"/>
    <w:rsid w:val="000100FE"/>
    <w:rsid w:val="00010B72"/>
    <w:rsid w:val="000110C5"/>
    <w:rsid w:val="000113BE"/>
    <w:rsid w:val="00011BE3"/>
    <w:rsid w:val="00012065"/>
    <w:rsid w:val="00012153"/>
    <w:rsid w:val="00012F13"/>
    <w:rsid w:val="00013263"/>
    <w:rsid w:val="00013CAA"/>
    <w:rsid w:val="0001458B"/>
    <w:rsid w:val="00014703"/>
    <w:rsid w:val="00014863"/>
    <w:rsid w:val="00014A39"/>
    <w:rsid w:val="00014BC8"/>
    <w:rsid w:val="00014BE7"/>
    <w:rsid w:val="00014DC5"/>
    <w:rsid w:val="00015720"/>
    <w:rsid w:val="000158FE"/>
    <w:rsid w:val="00016453"/>
    <w:rsid w:val="00016F41"/>
    <w:rsid w:val="00017175"/>
    <w:rsid w:val="00017983"/>
    <w:rsid w:val="00017C29"/>
    <w:rsid w:val="00017C67"/>
    <w:rsid w:val="00020416"/>
    <w:rsid w:val="000206B8"/>
    <w:rsid w:val="000219CD"/>
    <w:rsid w:val="00021A1B"/>
    <w:rsid w:val="00022479"/>
    <w:rsid w:val="000228D6"/>
    <w:rsid w:val="000237F3"/>
    <w:rsid w:val="00023AFF"/>
    <w:rsid w:val="000244BB"/>
    <w:rsid w:val="00025256"/>
    <w:rsid w:val="0002616D"/>
    <w:rsid w:val="000265C0"/>
    <w:rsid w:val="00026D14"/>
    <w:rsid w:val="00026FDE"/>
    <w:rsid w:val="000270FF"/>
    <w:rsid w:val="000307A5"/>
    <w:rsid w:val="00030875"/>
    <w:rsid w:val="00030E97"/>
    <w:rsid w:val="000310E1"/>
    <w:rsid w:val="000320D7"/>
    <w:rsid w:val="00032274"/>
    <w:rsid w:val="00032445"/>
    <w:rsid w:val="0003253A"/>
    <w:rsid w:val="00032596"/>
    <w:rsid w:val="00032623"/>
    <w:rsid w:val="00032AA8"/>
    <w:rsid w:val="00032B29"/>
    <w:rsid w:val="00032C6E"/>
    <w:rsid w:val="0003386F"/>
    <w:rsid w:val="00034C25"/>
    <w:rsid w:val="00034C9C"/>
    <w:rsid w:val="00035884"/>
    <w:rsid w:val="00035AA7"/>
    <w:rsid w:val="00037033"/>
    <w:rsid w:val="000370EB"/>
    <w:rsid w:val="0003799F"/>
    <w:rsid w:val="00037CCA"/>
    <w:rsid w:val="000401BF"/>
    <w:rsid w:val="00040FC0"/>
    <w:rsid w:val="000421C3"/>
    <w:rsid w:val="0004275B"/>
    <w:rsid w:val="000428E2"/>
    <w:rsid w:val="00042A3C"/>
    <w:rsid w:val="00042B16"/>
    <w:rsid w:val="00043588"/>
    <w:rsid w:val="00043A97"/>
    <w:rsid w:val="00043D10"/>
    <w:rsid w:val="00044A4C"/>
    <w:rsid w:val="00044D74"/>
    <w:rsid w:val="000450BF"/>
    <w:rsid w:val="0004520D"/>
    <w:rsid w:val="000466C4"/>
    <w:rsid w:val="000468C7"/>
    <w:rsid w:val="000469A1"/>
    <w:rsid w:val="00046C6A"/>
    <w:rsid w:val="00047BEB"/>
    <w:rsid w:val="00050055"/>
    <w:rsid w:val="00050732"/>
    <w:rsid w:val="000524DC"/>
    <w:rsid w:val="0005267B"/>
    <w:rsid w:val="000531C2"/>
    <w:rsid w:val="00053275"/>
    <w:rsid w:val="000532A2"/>
    <w:rsid w:val="00054AED"/>
    <w:rsid w:val="00054B76"/>
    <w:rsid w:val="00054D76"/>
    <w:rsid w:val="000553FA"/>
    <w:rsid w:val="00056D22"/>
    <w:rsid w:val="000576A0"/>
    <w:rsid w:val="00060E1B"/>
    <w:rsid w:val="00060F35"/>
    <w:rsid w:val="0006109D"/>
    <w:rsid w:val="00061BC0"/>
    <w:rsid w:val="0006249D"/>
    <w:rsid w:val="00063047"/>
    <w:rsid w:val="000635F8"/>
    <w:rsid w:val="000638A9"/>
    <w:rsid w:val="00064CEB"/>
    <w:rsid w:val="0006502B"/>
    <w:rsid w:val="00065051"/>
    <w:rsid w:val="000650FD"/>
    <w:rsid w:val="000659C2"/>
    <w:rsid w:val="00065F23"/>
    <w:rsid w:val="000672A9"/>
    <w:rsid w:val="000679B5"/>
    <w:rsid w:val="0007075E"/>
    <w:rsid w:val="000709F6"/>
    <w:rsid w:val="00070C6D"/>
    <w:rsid w:val="00071986"/>
    <w:rsid w:val="0007204A"/>
    <w:rsid w:val="0007250F"/>
    <w:rsid w:val="000728D5"/>
    <w:rsid w:val="00072A8B"/>
    <w:rsid w:val="00073943"/>
    <w:rsid w:val="00074A22"/>
    <w:rsid w:val="00074B28"/>
    <w:rsid w:val="000754FE"/>
    <w:rsid w:val="00075A58"/>
    <w:rsid w:val="000766C6"/>
    <w:rsid w:val="000770B9"/>
    <w:rsid w:val="00080A54"/>
    <w:rsid w:val="00080CAC"/>
    <w:rsid w:val="00082107"/>
    <w:rsid w:val="00082383"/>
    <w:rsid w:val="0008245A"/>
    <w:rsid w:val="000825D5"/>
    <w:rsid w:val="00082BC5"/>
    <w:rsid w:val="00082D91"/>
    <w:rsid w:val="00083854"/>
    <w:rsid w:val="00083F01"/>
    <w:rsid w:val="000846DF"/>
    <w:rsid w:val="00084886"/>
    <w:rsid w:val="00085EDC"/>
    <w:rsid w:val="00086088"/>
    <w:rsid w:val="00086363"/>
    <w:rsid w:val="000863EB"/>
    <w:rsid w:val="00086888"/>
    <w:rsid w:val="00086ACD"/>
    <w:rsid w:val="00086DDB"/>
    <w:rsid w:val="00087B03"/>
    <w:rsid w:val="00087BB0"/>
    <w:rsid w:val="00087E7C"/>
    <w:rsid w:val="00091B3C"/>
    <w:rsid w:val="00091BA8"/>
    <w:rsid w:val="00091C60"/>
    <w:rsid w:val="0009223D"/>
    <w:rsid w:val="00092665"/>
    <w:rsid w:val="00093090"/>
    <w:rsid w:val="00093420"/>
    <w:rsid w:val="00094F07"/>
    <w:rsid w:val="000956C7"/>
    <w:rsid w:val="00096310"/>
    <w:rsid w:val="00096ECB"/>
    <w:rsid w:val="00096F5B"/>
    <w:rsid w:val="000970CD"/>
    <w:rsid w:val="00097143"/>
    <w:rsid w:val="000973A7"/>
    <w:rsid w:val="000976DC"/>
    <w:rsid w:val="00097862"/>
    <w:rsid w:val="000A0E38"/>
    <w:rsid w:val="000A0E86"/>
    <w:rsid w:val="000A17B3"/>
    <w:rsid w:val="000A184F"/>
    <w:rsid w:val="000A1B2D"/>
    <w:rsid w:val="000A1C52"/>
    <w:rsid w:val="000A1CA4"/>
    <w:rsid w:val="000A2563"/>
    <w:rsid w:val="000A2BCB"/>
    <w:rsid w:val="000A318A"/>
    <w:rsid w:val="000A3312"/>
    <w:rsid w:val="000A36E4"/>
    <w:rsid w:val="000A4E64"/>
    <w:rsid w:val="000A51BE"/>
    <w:rsid w:val="000A5431"/>
    <w:rsid w:val="000A5BAF"/>
    <w:rsid w:val="000A64DF"/>
    <w:rsid w:val="000A6583"/>
    <w:rsid w:val="000A6E93"/>
    <w:rsid w:val="000A704A"/>
    <w:rsid w:val="000A74F5"/>
    <w:rsid w:val="000A7530"/>
    <w:rsid w:val="000A7A99"/>
    <w:rsid w:val="000A7DB3"/>
    <w:rsid w:val="000B0348"/>
    <w:rsid w:val="000B0646"/>
    <w:rsid w:val="000B0954"/>
    <w:rsid w:val="000B0C9E"/>
    <w:rsid w:val="000B0D41"/>
    <w:rsid w:val="000B0EE5"/>
    <w:rsid w:val="000B0F24"/>
    <w:rsid w:val="000B178E"/>
    <w:rsid w:val="000B19F8"/>
    <w:rsid w:val="000B2056"/>
    <w:rsid w:val="000B2808"/>
    <w:rsid w:val="000B3BF8"/>
    <w:rsid w:val="000B3C7D"/>
    <w:rsid w:val="000B3CCB"/>
    <w:rsid w:val="000B427B"/>
    <w:rsid w:val="000B47D5"/>
    <w:rsid w:val="000B49C8"/>
    <w:rsid w:val="000B50E8"/>
    <w:rsid w:val="000B52C8"/>
    <w:rsid w:val="000B5350"/>
    <w:rsid w:val="000B56C2"/>
    <w:rsid w:val="000B5AEE"/>
    <w:rsid w:val="000B5F18"/>
    <w:rsid w:val="000B5F49"/>
    <w:rsid w:val="000B62A7"/>
    <w:rsid w:val="000B64A9"/>
    <w:rsid w:val="000B67F7"/>
    <w:rsid w:val="000B6EDA"/>
    <w:rsid w:val="000B709F"/>
    <w:rsid w:val="000B7A6F"/>
    <w:rsid w:val="000C02E7"/>
    <w:rsid w:val="000C053A"/>
    <w:rsid w:val="000C0608"/>
    <w:rsid w:val="000C0A38"/>
    <w:rsid w:val="000C0AFA"/>
    <w:rsid w:val="000C0CDC"/>
    <w:rsid w:val="000C0FD5"/>
    <w:rsid w:val="000C1B90"/>
    <w:rsid w:val="000C3356"/>
    <w:rsid w:val="000C387B"/>
    <w:rsid w:val="000C388C"/>
    <w:rsid w:val="000C39A1"/>
    <w:rsid w:val="000C40DD"/>
    <w:rsid w:val="000C443B"/>
    <w:rsid w:val="000C5673"/>
    <w:rsid w:val="000C642B"/>
    <w:rsid w:val="000C6F7D"/>
    <w:rsid w:val="000C756D"/>
    <w:rsid w:val="000C7C43"/>
    <w:rsid w:val="000C7F23"/>
    <w:rsid w:val="000D0D9A"/>
    <w:rsid w:val="000D1EFE"/>
    <w:rsid w:val="000D1F4C"/>
    <w:rsid w:val="000D2E65"/>
    <w:rsid w:val="000D2F4B"/>
    <w:rsid w:val="000D32FC"/>
    <w:rsid w:val="000D39A1"/>
    <w:rsid w:val="000D3D18"/>
    <w:rsid w:val="000D408A"/>
    <w:rsid w:val="000D48EA"/>
    <w:rsid w:val="000D4D61"/>
    <w:rsid w:val="000D52F6"/>
    <w:rsid w:val="000D5537"/>
    <w:rsid w:val="000D56D7"/>
    <w:rsid w:val="000D57E0"/>
    <w:rsid w:val="000D5F8E"/>
    <w:rsid w:val="000D65CC"/>
    <w:rsid w:val="000D742D"/>
    <w:rsid w:val="000D766F"/>
    <w:rsid w:val="000D7A81"/>
    <w:rsid w:val="000D7FD6"/>
    <w:rsid w:val="000E04A5"/>
    <w:rsid w:val="000E0775"/>
    <w:rsid w:val="000E088F"/>
    <w:rsid w:val="000E0BD7"/>
    <w:rsid w:val="000E0E3C"/>
    <w:rsid w:val="000E11E7"/>
    <w:rsid w:val="000E1A01"/>
    <w:rsid w:val="000E25AC"/>
    <w:rsid w:val="000E26CB"/>
    <w:rsid w:val="000E27CF"/>
    <w:rsid w:val="000E3708"/>
    <w:rsid w:val="000E4AA8"/>
    <w:rsid w:val="000E4AD3"/>
    <w:rsid w:val="000E4FD7"/>
    <w:rsid w:val="000E5843"/>
    <w:rsid w:val="000E5E60"/>
    <w:rsid w:val="000E6019"/>
    <w:rsid w:val="000E76EC"/>
    <w:rsid w:val="000E7C01"/>
    <w:rsid w:val="000F06C6"/>
    <w:rsid w:val="000F0DF5"/>
    <w:rsid w:val="000F0E6D"/>
    <w:rsid w:val="000F161D"/>
    <w:rsid w:val="000F19A7"/>
    <w:rsid w:val="000F2ECB"/>
    <w:rsid w:val="000F3C5D"/>
    <w:rsid w:val="000F489E"/>
    <w:rsid w:val="000F634D"/>
    <w:rsid w:val="000F6C78"/>
    <w:rsid w:val="000F76FE"/>
    <w:rsid w:val="000F7D40"/>
    <w:rsid w:val="000F7F4B"/>
    <w:rsid w:val="00100AB8"/>
    <w:rsid w:val="00100FB3"/>
    <w:rsid w:val="001015D7"/>
    <w:rsid w:val="0010192E"/>
    <w:rsid w:val="00101960"/>
    <w:rsid w:val="001021B4"/>
    <w:rsid w:val="001025D5"/>
    <w:rsid w:val="00102DF6"/>
    <w:rsid w:val="00102E59"/>
    <w:rsid w:val="001037B5"/>
    <w:rsid w:val="00103DAD"/>
    <w:rsid w:val="00104156"/>
    <w:rsid w:val="00104C86"/>
    <w:rsid w:val="001058FF"/>
    <w:rsid w:val="00105985"/>
    <w:rsid w:val="0010630C"/>
    <w:rsid w:val="00106AC4"/>
    <w:rsid w:val="00106E0E"/>
    <w:rsid w:val="001074E9"/>
    <w:rsid w:val="00107753"/>
    <w:rsid w:val="0010798B"/>
    <w:rsid w:val="00110153"/>
    <w:rsid w:val="001105E0"/>
    <w:rsid w:val="001109E1"/>
    <w:rsid w:val="00111319"/>
    <w:rsid w:val="001116D2"/>
    <w:rsid w:val="00111BEA"/>
    <w:rsid w:val="00111D34"/>
    <w:rsid w:val="00112B10"/>
    <w:rsid w:val="00113D81"/>
    <w:rsid w:val="00113F09"/>
    <w:rsid w:val="00114848"/>
    <w:rsid w:val="00114E7D"/>
    <w:rsid w:val="00114F66"/>
    <w:rsid w:val="00114FBB"/>
    <w:rsid w:val="00115B5A"/>
    <w:rsid w:val="00115C3F"/>
    <w:rsid w:val="00115EC8"/>
    <w:rsid w:val="001160D6"/>
    <w:rsid w:val="00117429"/>
    <w:rsid w:val="0012007B"/>
    <w:rsid w:val="001202E8"/>
    <w:rsid w:val="001209F5"/>
    <w:rsid w:val="00120EBA"/>
    <w:rsid w:val="00120F07"/>
    <w:rsid w:val="00121305"/>
    <w:rsid w:val="00121328"/>
    <w:rsid w:val="00121567"/>
    <w:rsid w:val="0012190B"/>
    <w:rsid w:val="00121A72"/>
    <w:rsid w:val="00121D15"/>
    <w:rsid w:val="001226B2"/>
    <w:rsid w:val="00122829"/>
    <w:rsid w:val="00122CCA"/>
    <w:rsid w:val="001235B3"/>
    <w:rsid w:val="00123626"/>
    <w:rsid w:val="00124210"/>
    <w:rsid w:val="001259FC"/>
    <w:rsid w:val="00125D0D"/>
    <w:rsid w:val="0012633E"/>
    <w:rsid w:val="001269A4"/>
    <w:rsid w:val="001275EB"/>
    <w:rsid w:val="00127CE4"/>
    <w:rsid w:val="00130E23"/>
    <w:rsid w:val="001310F6"/>
    <w:rsid w:val="001312C6"/>
    <w:rsid w:val="00131A5D"/>
    <w:rsid w:val="00132440"/>
    <w:rsid w:val="0013278D"/>
    <w:rsid w:val="00132EB7"/>
    <w:rsid w:val="00133081"/>
    <w:rsid w:val="001332AF"/>
    <w:rsid w:val="00133CC7"/>
    <w:rsid w:val="001341A8"/>
    <w:rsid w:val="001341AE"/>
    <w:rsid w:val="0013461C"/>
    <w:rsid w:val="00134686"/>
    <w:rsid w:val="0013477C"/>
    <w:rsid w:val="00134DC2"/>
    <w:rsid w:val="0013641C"/>
    <w:rsid w:val="001366CA"/>
    <w:rsid w:val="0013736D"/>
    <w:rsid w:val="00137E3C"/>
    <w:rsid w:val="00140E35"/>
    <w:rsid w:val="001411DA"/>
    <w:rsid w:val="0014124D"/>
    <w:rsid w:val="001423D2"/>
    <w:rsid w:val="0014242A"/>
    <w:rsid w:val="00142713"/>
    <w:rsid w:val="0014346A"/>
    <w:rsid w:val="00143870"/>
    <w:rsid w:val="001442A4"/>
    <w:rsid w:val="001442E2"/>
    <w:rsid w:val="001447F2"/>
    <w:rsid w:val="00144DD9"/>
    <w:rsid w:val="00146030"/>
    <w:rsid w:val="00146212"/>
    <w:rsid w:val="001464C3"/>
    <w:rsid w:val="00146780"/>
    <w:rsid w:val="00146A0F"/>
    <w:rsid w:val="001470D8"/>
    <w:rsid w:val="00147DB3"/>
    <w:rsid w:val="0015082B"/>
    <w:rsid w:val="00151007"/>
    <w:rsid w:val="00151597"/>
    <w:rsid w:val="001516BB"/>
    <w:rsid w:val="00151D58"/>
    <w:rsid w:val="00151E8E"/>
    <w:rsid w:val="0015225E"/>
    <w:rsid w:val="001522D5"/>
    <w:rsid w:val="0015289C"/>
    <w:rsid w:val="001533DD"/>
    <w:rsid w:val="001537DD"/>
    <w:rsid w:val="00153D40"/>
    <w:rsid w:val="00154201"/>
    <w:rsid w:val="00155F1D"/>
    <w:rsid w:val="0015718D"/>
    <w:rsid w:val="00157B64"/>
    <w:rsid w:val="00157BE5"/>
    <w:rsid w:val="00160224"/>
    <w:rsid w:val="00160723"/>
    <w:rsid w:val="00160D4B"/>
    <w:rsid w:val="00160E4F"/>
    <w:rsid w:val="001610FC"/>
    <w:rsid w:val="00161363"/>
    <w:rsid w:val="00161FC2"/>
    <w:rsid w:val="0016203D"/>
    <w:rsid w:val="001625DA"/>
    <w:rsid w:val="001625F2"/>
    <w:rsid w:val="0016287A"/>
    <w:rsid w:val="00163A65"/>
    <w:rsid w:val="00164475"/>
    <w:rsid w:val="00164DD7"/>
    <w:rsid w:val="00164DDA"/>
    <w:rsid w:val="0016636B"/>
    <w:rsid w:val="001666CB"/>
    <w:rsid w:val="00166BFF"/>
    <w:rsid w:val="00167506"/>
    <w:rsid w:val="0017003A"/>
    <w:rsid w:val="001700FB"/>
    <w:rsid w:val="001716A4"/>
    <w:rsid w:val="0017248A"/>
    <w:rsid w:val="001727C1"/>
    <w:rsid w:val="001729C4"/>
    <w:rsid w:val="00172C00"/>
    <w:rsid w:val="00173A4B"/>
    <w:rsid w:val="0017407E"/>
    <w:rsid w:val="001741E4"/>
    <w:rsid w:val="0017492E"/>
    <w:rsid w:val="0017533A"/>
    <w:rsid w:val="00175DCC"/>
    <w:rsid w:val="001760B4"/>
    <w:rsid w:val="001761DB"/>
    <w:rsid w:val="00176443"/>
    <w:rsid w:val="00176C1C"/>
    <w:rsid w:val="00176D45"/>
    <w:rsid w:val="00177936"/>
    <w:rsid w:val="00177A8A"/>
    <w:rsid w:val="00180585"/>
    <w:rsid w:val="00181637"/>
    <w:rsid w:val="00182860"/>
    <w:rsid w:val="00182978"/>
    <w:rsid w:val="00182F63"/>
    <w:rsid w:val="001840D8"/>
    <w:rsid w:val="00184A7A"/>
    <w:rsid w:val="00185704"/>
    <w:rsid w:val="001869F6"/>
    <w:rsid w:val="0018748F"/>
    <w:rsid w:val="00187C7F"/>
    <w:rsid w:val="00192F64"/>
    <w:rsid w:val="00193E47"/>
    <w:rsid w:val="001944FE"/>
    <w:rsid w:val="00195D16"/>
    <w:rsid w:val="00196864"/>
    <w:rsid w:val="00196AE6"/>
    <w:rsid w:val="0019713F"/>
    <w:rsid w:val="00197AD1"/>
    <w:rsid w:val="001A10E1"/>
    <w:rsid w:val="001A115F"/>
    <w:rsid w:val="001A1897"/>
    <w:rsid w:val="001A249D"/>
    <w:rsid w:val="001A2FEF"/>
    <w:rsid w:val="001A379A"/>
    <w:rsid w:val="001A3BAA"/>
    <w:rsid w:val="001A40F2"/>
    <w:rsid w:val="001A46DB"/>
    <w:rsid w:val="001A4CBB"/>
    <w:rsid w:val="001A58EF"/>
    <w:rsid w:val="001A5A7B"/>
    <w:rsid w:val="001A5CC6"/>
    <w:rsid w:val="001A63B4"/>
    <w:rsid w:val="001A6BB3"/>
    <w:rsid w:val="001A7425"/>
    <w:rsid w:val="001A7BD9"/>
    <w:rsid w:val="001B034C"/>
    <w:rsid w:val="001B0963"/>
    <w:rsid w:val="001B0DA6"/>
    <w:rsid w:val="001B0E81"/>
    <w:rsid w:val="001B0EFF"/>
    <w:rsid w:val="001B15FE"/>
    <w:rsid w:val="001B1CB5"/>
    <w:rsid w:val="001B2229"/>
    <w:rsid w:val="001B2EA0"/>
    <w:rsid w:val="001B347B"/>
    <w:rsid w:val="001B3973"/>
    <w:rsid w:val="001B5094"/>
    <w:rsid w:val="001B5C78"/>
    <w:rsid w:val="001B5D0C"/>
    <w:rsid w:val="001B65FC"/>
    <w:rsid w:val="001B6C69"/>
    <w:rsid w:val="001B7413"/>
    <w:rsid w:val="001C004D"/>
    <w:rsid w:val="001C0D3B"/>
    <w:rsid w:val="001C0DA6"/>
    <w:rsid w:val="001C0F00"/>
    <w:rsid w:val="001C1BED"/>
    <w:rsid w:val="001C1DD8"/>
    <w:rsid w:val="001C2780"/>
    <w:rsid w:val="001C3748"/>
    <w:rsid w:val="001C3A0D"/>
    <w:rsid w:val="001C4337"/>
    <w:rsid w:val="001C4398"/>
    <w:rsid w:val="001C46DC"/>
    <w:rsid w:val="001C512E"/>
    <w:rsid w:val="001C5514"/>
    <w:rsid w:val="001C57F5"/>
    <w:rsid w:val="001C5B84"/>
    <w:rsid w:val="001C649C"/>
    <w:rsid w:val="001C666B"/>
    <w:rsid w:val="001C735B"/>
    <w:rsid w:val="001D0DDC"/>
    <w:rsid w:val="001D1BB2"/>
    <w:rsid w:val="001D1DB8"/>
    <w:rsid w:val="001D1FB5"/>
    <w:rsid w:val="001D2056"/>
    <w:rsid w:val="001D2950"/>
    <w:rsid w:val="001D2C33"/>
    <w:rsid w:val="001D33AC"/>
    <w:rsid w:val="001D48AA"/>
    <w:rsid w:val="001D5109"/>
    <w:rsid w:val="001D5F69"/>
    <w:rsid w:val="001D6E4A"/>
    <w:rsid w:val="001D6FD6"/>
    <w:rsid w:val="001D7978"/>
    <w:rsid w:val="001D7BA3"/>
    <w:rsid w:val="001E04C2"/>
    <w:rsid w:val="001E08B7"/>
    <w:rsid w:val="001E0F48"/>
    <w:rsid w:val="001E126D"/>
    <w:rsid w:val="001E18CB"/>
    <w:rsid w:val="001E20D2"/>
    <w:rsid w:val="001E2831"/>
    <w:rsid w:val="001E2E9F"/>
    <w:rsid w:val="001E555D"/>
    <w:rsid w:val="001E5874"/>
    <w:rsid w:val="001E61CE"/>
    <w:rsid w:val="001E6930"/>
    <w:rsid w:val="001E6E87"/>
    <w:rsid w:val="001E7576"/>
    <w:rsid w:val="001F0AA2"/>
    <w:rsid w:val="001F1996"/>
    <w:rsid w:val="001F1C8B"/>
    <w:rsid w:val="001F1D07"/>
    <w:rsid w:val="001F2BB3"/>
    <w:rsid w:val="001F3386"/>
    <w:rsid w:val="001F43A1"/>
    <w:rsid w:val="001F461F"/>
    <w:rsid w:val="001F5972"/>
    <w:rsid w:val="001F5BEB"/>
    <w:rsid w:val="001F5ED3"/>
    <w:rsid w:val="001F614C"/>
    <w:rsid w:val="001F6A6A"/>
    <w:rsid w:val="001F7916"/>
    <w:rsid w:val="00200224"/>
    <w:rsid w:val="00200D60"/>
    <w:rsid w:val="00201249"/>
    <w:rsid w:val="00201397"/>
    <w:rsid w:val="00201418"/>
    <w:rsid w:val="002015EA"/>
    <w:rsid w:val="00201AEE"/>
    <w:rsid w:val="00202545"/>
    <w:rsid w:val="00202AA8"/>
    <w:rsid w:val="00202BF9"/>
    <w:rsid w:val="00203098"/>
    <w:rsid w:val="002032DF"/>
    <w:rsid w:val="002032FD"/>
    <w:rsid w:val="00203971"/>
    <w:rsid w:val="00203EE7"/>
    <w:rsid w:val="00206150"/>
    <w:rsid w:val="002068D7"/>
    <w:rsid w:val="00207077"/>
    <w:rsid w:val="0020767C"/>
    <w:rsid w:val="00207882"/>
    <w:rsid w:val="00207FC2"/>
    <w:rsid w:val="0021001C"/>
    <w:rsid w:val="00210581"/>
    <w:rsid w:val="002105FD"/>
    <w:rsid w:val="00210988"/>
    <w:rsid w:val="00210EDB"/>
    <w:rsid w:val="00211184"/>
    <w:rsid w:val="002112DB"/>
    <w:rsid w:val="002119F5"/>
    <w:rsid w:val="00211B60"/>
    <w:rsid w:val="00211C42"/>
    <w:rsid w:val="002121CA"/>
    <w:rsid w:val="00212AF4"/>
    <w:rsid w:val="00213056"/>
    <w:rsid w:val="002136BC"/>
    <w:rsid w:val="0021379B"/>
    <w:rsid w:val="002141F3"/>
    <w:rsid w:val="00215979"/>
    <w:rsid w:val="00215C64"/>
    <w:rsid w:val="00216056"/>
    <w:rsid w:val="002163C8"/>
    <w:rsid w:val="00217892"/>
    <w:rsid w:val="00220206"/>
    <w:rsid w:val="002203E6"/>
    <w:rsid w:val="002206A7"/>
    <w:rsid w:val="0022108C"/>
    <w:rsid w:val="00221C81"/>
    <w:rsid w:val="00221C96"/>
    <w:rsid w:val="0022205E"/>
    <w:rsid w:val="00222572"/>
    <w:rsid w:val="002236DD"/>
    <w:rsid w:val="00223816"/>
    <w:rsid w:val="002241F6"/>
    <w:rsid w:val="002245DD"/>
    <w:rsid w:val="00224B01"/>
    <w:rsid w:val="00224F62"/>
    <w:rsid w:val="00227AD5"/>
    <w:rsid w:val="00227DD9"/>
    <w:rsid w:val="0023056D"/>
    <w:rsid w:val="00231075"/>
    <w:rsid w:val="00231D00"/>
    <w:rsid w:val="00232153"/>
    <w:rsid w:val="00232697"/>
    <w:rsid w:val="002326C3"/>
    <w:rsid w:val="0023453E"/>
    <w:rsid w:val="002348CA"/>
    <w:rsid w:val="0023608B"/>
    <w:rsid w:val="0023644E"/>
    <w:rsid w:val="00236C38"/>
    <w:rsid w:val="002375FC"/>
    <w:rsid w:val="002379FA"/>
    <w:rsid w:val="00237FED"/>
    <w:rsid w:val="00240330"/>
    <w:rsid w:val="002403BC"/>
    <w:rsid w:val="00240B33"/>
    <w:rsid w:val="00240BA3"/>
    <w:rsid w:val="00240FBB"/>
    <w:rsid w:val="002418A6"/>
    <w:rsid w:val="00241A1D"/>
    <w:rsid w:val="00241C1B"/>
    <w:rsid w:val="0024235C"/>
    <w:rsid w:val="00242692"/>
    <w:rsid w:val="002427C7"/>
    <w:rsid w:val="00242937"/>
    <w:rsid w:val="0024332B"/>
    <w:rsid w:val="002434D4"/>
    <w:rsid w:val="00244943"/>
    <w:rsid w:val="00245C20"/>
    <w:rsid w:val="00246906"/>
    <w:rsid w:val="00247E20"/>
    <w:rsid w:val="00247F21"/>
    <w:rsid w:val="00250730"/>
    <w:rsid w:val="00250B8E"/>
    <w:rsid w:val="00251077"/>
    <w:rsid w:val="00251082"/>
    <w:rsid w:val="002514FF"/>
    <w:rsid w:val="002515B0"/>
    <w:rsid w:val="0025167A"/>
    <w:rsid w:val="002528CF"/>
    <w:rsid w:val="00252F3F"/>
    <w:rsid w:val="0025305B"/>
    <w:rsid w:val="002543C2"/>
    <w:rsid w:val="00254835"/>
    <w:rsid w:val="00254E70"/>
    <w:rsid w:val="00255171"/>
    <w:rsid w:val="002552B1"/>
    <w:rsid w:val="002564BC"/>
    <w:rsid w:val="002566FA"/>
    <w:rsid w:val="0025774A"/>
    <w:rsid w:val="0026062E"/>
    <w:rsid w:val="00260CEC"/>
    <w:rsid w:val="00261690"/>
    <w:rsid w:val="00261929"/>
    <w:rsid w:val="00261DB3"/>
    <w:rsid w:val="002625D2"/>
    <w:rsid w:val="002629DA"/>
    <w:rsid w:val="00262C14"/>
    <w:rsid w:val="002632AD"/>
    <w:rsid w:val="0026331C"/>
    <w:rsid w:val="002635F5"/>
    <w:rsid w:val="0026507A"/>
    <w:rsid w:val="0026584C"/>
    <w:rsid w:val="002658D7"/>
    <w:rsid w:val="0026621B"/>
    <w:rsid w:val="002664FD"/>
    <w:rsid w:val="00266C6B"/>
    <w:rsid w:val="00266F95"/>
    <w:rsid w:val="00267065"/>
    <w:rsid w:val="00267BCE"/>
    <w:rsid w:val="00270BAC"/>
    <w:rsid w:val="0027188C"/>
    <w:rsid w:val="00271A27"/>
    <w:rsid w:val="00272DFA"/>
    <w:rsid w:val="0027320A"/>
    <w:rsid w:val="0027352A"/>
    <w:rsid w:val="00273C00"/>
    <w:rsid w:val="00273DDA"/>
    <w:rsid w:val="00273F31"/>
    <w:rsid w:val="00274D91"/>
    <w:rsid w:val="0027501D"/>
    <w:rsid w:val="0027576F"/>
    <w:rsid w:val="00275B83"/>
    <w:rsid w:val="00276280"/>
    <w:rsid w:val="002764CE"/>
    <w:rsid w:val="00277211"/>
    <w:rsid w:val="0027724A"/>
    <w:rsid w:val="002772DD"/>
    <w:rsid w:val="00277A75"/>
    <w:rsid w:val="00277C75"/>
    <w:rsid w:val="0028037E"/>
    <w:rsid w:val="00280659"/>
    <w:rsid w:val="002811F0"/>
    <w:rsid w:val="00281539"/>
    <w:rsid w:val="00281752"/>
    <w:rsid w:val="00281F66"/>
    <w:rsid w:val="00282DCD"/>
    <w:rsid w:val="00283934"/>
    <w:rsid w:val="00283C32"/>
    <w:rsid w:val="00283CFB"/>
    <w:rsid w:val="002843E4"/>
    <w:rsid w:val="00284D49"/>
    <w:rsid w:val="00285A49"/>
    <w:rsid w:val="00285A63"/>
    <w:rsid w:val="0028609D"/>
    <w:rsid w:val="00286888"/>
    <w:rsid w:val="00286A72"/>
    <w:rsid w:val="00287F4A"/>
    <w:rsid w:val="00290176"/>
    <w:rsid w:val="0029019A"/>
    <w:rsid w:val="00290252"/>
    <w:rsid w:val="002902A1"/>
    <w:rsid w:val="00290E99"/>
    <w:rsid w:val="00291137"/>
    <w:rsid w:val="002911D5"/>
    <w:rsid w:val="00291641"/>
    <w:rsid w:val="00291BDB"/>
    <w:rsid w:val="00291EFE"/>
    <w:rsid w:val="00292122"/>
    <w:rsid w:val="00292993"/>
    <w:rsid w:val="002929FB"/>
    <w:rsid w:val="00292C8A"/>
    <w:rsid w:val="00293899"/>
    <w:rsid w:val="00294131"/>
    <w:rsid w:val="002945D0"/>
    <w:rsid w:val="00294C5D"/>
    <w:rsid w:val="00294E70"/>
    <w:rsid w:val="00295135"/>
    <w:rsid w:val="00295D1D"/>
    <w:rsid w:val="00295F63"/>
    <w:rsid w:val="002970EF"/>
    <w:rsid w:val="002979F8"/>
    <w:rsid w:val="00297D0C"/>
    <w:rsid w:val="002A053F"/>
    <w:rsid w:val="002A0825"/>
    <w:rsid w:val="002A092A"/>
    <w:rsid w:val="002A0E03"/>
    <w:rsid w:val="002A1C56"/>
    <w:rsid w:val="002A2D2D"/>
    <w:rsid w:val="002A2D92"/>
    <w:rsid w:val="002A3A5B"/>
    <w:rsid w:val="002A462A"/>
    <w:rsid w:val="002A4D1E"/>
    <w:rsid w:val="002A6056"/>
    <w:rsid w:val="002A6A5E"/>
    <w:rsid w:val="002A6D08"/>
    <w:rsid w:val="002A7B6D"/>
    <w:rsid w:val="002A7B92"/>
    <w:rsid w:val="002A7D38"/>
    <w:rsid w:val="002B0957"/>
    <w:rsid w:val="002B1127"/>
    <w:rsid w:val="002B26B8"/>
    <w:rsid w:val="002B27C7"/>
    <w:rsid w:val="002B291C"/>
    <w:rsid w:val="002B2A58"/>
    <w:rsid w:val="002B39AA"/>
    <w:rsid w:val="002B412D"/>
    <w:rsid w:val="002B4462"/>
    <w:rsid w:val="002B4835"/>
    <w:rsid w:val="002B4929"/>
    <w:rsid w:val="002B51A9"/>
    <w:rsid w:val="002B52DF"/>
    <w:rsid w:val="002B62D1"/>
    <w:rsid w:val="002B6E0B"/>
    <w:rsid w:val="002B6E1D"/>
    <w:rsid w:val="002B6F78"/>
    <w:rsid w:val="002B7385"/>
    <w:rsid w:val="002B78CB"/>
    <w:rsid w:val="002C0DBC"/>
    <w:rsid w:val="002C1268"/>
    <w:rsid w:val="002C170E"/>
    <w:rsid w:val="002C1D0D"/>
    <w:rsid w:val="002C1DA8"/>
    <w:rsid w:val="002C2122"/>
    <w:rsid w:val="002C22A4"/>
    <w:rsid w:val="002C2F03"/>
    <w:rsid w:val="002C4C77"/>
    <w:rsid w:val="002C50C0"/>
    <w:rsid w:val="002C5D7E"/>
    <w:rsid w:val="002C6149"/>
    <w:rsid w:val="002C6F7D"/>
    <w:rsid w:val="002C7539"/>
    <w:rsid w:val="002D0571"/>
    <w:rsid w:val="002D0E27"/>
    <w:rsid w:val="002D171B"/>
    <w:rsid w:val="002D2A5E"/>
    <w:rsid w:val="002D3366"/>
    <w:rsid w:val="002D3901"/>
    <w:rsid w:val="002D3E60"/>
    <w:rsid w:val="002D465A"/>
    <w:rsid w:val="002D4E46"/>
    <w:rsid w:val="002D54C9"/>
    <w:rsid w:val="002D57C3"/>
    <w:rsid w:val="002D67AC"/>
    <w:rsid w:val="002D74B1"/>
    <w:rsid w:val="002E0247"/>
    <w:rsid w:val="002E03D6"/>
    <w:rsid w:val="002E07EF"/>
    <w:rsid w:val="002E0AE6"/>
    <w:rsid w:val="002E14EF"/>
    <w:rsid w:val="002E16EA"/>
    <w:rsid w:val="002E2E71"/>
    <w:rsid w:val="002E3131"/>
    <w:rsid w:val="002E3494"/>
    <w:rsid w:val="002E3F64"/>
    <w:rsid w:val="002E4366"/>
    <w:rsid w:val="002E4449"/>
    <w:rsid w:val="002E4ED4"/>
    <w:rsid w:val="002E5958"/>
    <w:rsid w:val="002E5ADF"/>
    <w:rsid w:val="002E7ABE"/>
    <w:rsid w:val="002F005A"/>
    <w:rsid w:val="002F0258"/>
    <w:rsid w:val="002F0F22"/>
    <w:rsid w:val="002F1DD3"/>
    <w:rsid w:val="002F2D1E"/>
    <w:rsid w:val="002F2FAD"/>
    <w:rsid w:val="002F3244"/>
    <w:rsid w:val="002F344B"/>
    <w:rsid w:val="002F4F7F"/>
    <w:rsid w:val="002F5569"/>
    <w:rsid w:val="002F5A24"/>
    <w:rsid w:val="002F6708"/>
    <w:rsid w:val="002F7260"/>
    <w:rsid w:val="002F7C06"/>
    <w:rsid w:val="00300748"/>
    <w:rsid w:val="00300F09"/>
    <w:rsid w:val="003017B8"/>
    <w:rsid w:val="003026AD"/>
    <w:rsid w:val="00302FA3"/>
    <w:rsid w:val="00302FA5"/>
    <w:rsid w:val="00303237"/>
    <w:rsid w:val="0030381C"/>
    <w:rsid w:val="00303B2D"/>
    <w:rsid w:val="00303B65"/>
    <w:rsid w:val="00303EFB"/>
    <w:rsid w:val="003040E4"/>
    <w:rsid w:val="003046E8"/>
    <w:rsid w:val="003054C1"/>
    <w:rsid w:val="00305750"/>
    <w:rsid w:val="003061C3"/>
    <w:rsid w:val="003062B4"/>
    <w:rsid w:val="0030685E"/>
    <w:rsid w:val="00306BEA"/>
    <w:rsid w:val="003074E5"/>
    <w:rsid w:val="00307978"/>
    <w:rsid w:val="0031009F"/>
    <w:rsid w:val="0031086C"/>
    <w:rsid w:val="0031114C"/>
    <w:rsid w:val="003118E4"/>
    <w:rsid w:val="00311AEE"/>
    <w:rsid w:val="00311E46"/>
    <w:rsid w:val="00312275"/>
    <w:rsid w:val="003127D3"/>
    <w:rsid w:val="0031283A"/>
    <w:rsid w:val="003133AF"/>
    <w:rsid w:val="00313B4F"/>
    <w:rsid w:val="00313D9D"/>
    <w:rsid w:val="00314143"/>
    <w:rsid w:val="0031429A"/>
    <w:rsid w:val="0031462F"/>
    <w:rsid w:val="00314A3D"/>
    <w:rsid w:val="00314B16"/>
    <w:rsid w:val="0031522C"/>
    <w:rsid w:val="00315C87"/>
    <w:rsid w:val="00316ECE"/>
    <w:rsid w:val="003203B0"/>
    <w:rsid w:val="0032071B"/>
    <w:rsid w:val="00321BB8"/>
    <w:rsid w:val="003223BE"/>
    <w:rsid w:val="0032246B"/>
    <w:rsid w:val="003234D8"/>
    <w:rsid w:val="00324AF1"/>
    <w:rsid w:val="00324C06"/>
    <w:rsid w:val="0032575D"/>
    <w:rsid w:val="003258C2"/>
    <w:rsid w:val="00325EA1"/>
    <w:rsid w:val="00326323"/>
    <w:rsid w:val="00326A0F"/>
    <w:rsid w:val="00326DF2"/>
    <w:rsid w:val="0033050F"/>
    <w:rsid w:val="00330CDB"/>
    <w:rsid w:val="00331B34"/>
    <w:rsid w:val="00331FFF"/>
    <w:rsid w:val="0033229F"/>
    <w:rsid w:val="00332E59"/>
    <w:rsid w:val="003335C1"/>
    <w:rsid w:val="00333E8A"/>
    <w:rsid w:val="003340BA"/>
    <w:rsid w:val="003358F7"/>
    <w:rsid w:val="00335B14"/>
    <w:rsid w:val="00335E2E"/>
    <w:rsid w:val="00335EA6"/>
    <w:rsid w:val="00335F6E"/>
    <w:rsid w:val="00336239"/>
    <w:rsid w:val="00336BBE"/>
    <w:rsid w:val="00336D1E"/>
    <w:rsid w:val="00336D67"/>
    <w:rsid w:val="00336D8A"/>
    <w:rsid w:val="003375FE"/>
    <w:rsid w:val="003377B5"/>
    <w:rsid w:val="003402B9"/>
    <w:rsid w:val="00340614"/>
    <w:rsid w:val="00340A2F"/>
    <w:rsid w:val="00340AEB"/>
    <w:rsid w:val="00341217"/>
    <w:rsid w:val="00341F22"/>
    <w:rsid w:val="00342493"/>
    <w:rsid w:val="0034267B"/>
    <w:rsid w:val="0034284E"/>
    <w:rsid w:val="00342C54"/>
    <w:rsid w:val="003434DF"/>
    <w:rsid w:val="0034446F"/>
    <w:rsid w:val="0034452C"/>
    <w:rsid w:val="00344869"/>
    <w:rsid w:val="00344C7B"/>
    <w:rsid w:val="00344F69"/>
    <w:rsid w:val="00344FAC"/>
    <w:rsid w:val="003456BC"/>
    <w:rsid w:val="003456F1"/>
    <w:rsid w:val="00345A1F"/>
    <w:rsid w:val="00345EF5"/>
    <w:rsid w:val="00346178"/>
    <w:rsid w:val="0034626D"/>
    <w:rsid w:val="00346671"/>
    <w:rsid w:val="00346BEF"/>
    <w:rsid w:val="0034709A"/>
    <w:rsid w:val="003478BA"/>
    <w:rsid w:val="00347A9C"/>
    <w:rsid w:val="00347EF5"/>
    <w:rsid w:val="00347FDF"/>
    <w:rsid w:val="003503C8"/>
    <w:rsid w:val="00351162"/>
    <w:rsid w:val="003518C1"/>
    <w:rsid w:val="00351C13"/>
    <w:rsid w:val="003521CA"/>
    <w:rsid w:val="003521F1"/>
    <w:rsid w:val="003532F9"/>
    <w:rsid w:val="00353408"/>
    <w:rsid w:val="0035489D"/>
    <w:rsid w:val="00354FDE"/>
    <w:rsid w:val="00354FFC"/>
    <w:rsid w:val="00356843"/>
    <w:rsid w:val="00357DE9"/>
    <w:rsid w:val="003612AC"/>
    <w:rsid w:val="00361865"/>
    <w:rsid w:val="00361C9D"/>
    <w:rsid w:val="003621D5"/>
    <w:rsid w:val="00362440"/>
    <w:rsid w:val="003624D4"/>
    <w:rsid w:val="00362B21"/>
    <w:rsid w:val="00363862"/>
    <w:rsid w:val="00363A27"/>
    <w:rsid w:val="003652D4"/>
    <w:rsid w:val="003656B9"/>
    <w:rsid w:val="00366068"/>
    <w:rsid w:val="0036649A"/>
    <w:rsid w:val="0036677B"/>
    <w:rsid w:val="00367259"/>
    <w:rsid w:val="003677A1"/>
    <w:rsid w:val="003678A1"/>
    <w:rsid w:val="0037058A"/>
    <w:rsid w:val="00370A43"/>
    <w:rsid w:val="00372070"/>
    <w:rsid w:val="003720C6"/>
    <w:rsid w:val="00372F5C"/>
    <w:rsid w:val="00373824"/>
    <w:rsid w:val="00373D9D"/>
    <w:rsid w:val="00373DBB"/>
    <w:rsid w:val="00373E76"/>
    <w:rsid w:val="00373EAD"/>
    <w:rsid w:val="003746AA"/>
    <w:rsid w:val="00374E0A"/>
    <w:rsid w:val="00374F4D"/>
    <w:rsid w:val="00375567"/>
    <w:rsid w:val="00375D4F"/>
    <w:rsid w:val="00376AA4"/>
    <w:rsid w:val="00376B7B"/>
    <w:rsid w:val="00377DC2"/>
    <w:rsid w:val="00380061"/>
    <w:rsid w:val="00380283"/>
    <w:rsid w:val="00380A52"/>
    <w:rsid w:val="00380A5D"/>
    <w:rsid w:val="00381954"/>
    <w:rsid w:val="003821DA"/>
    <w:rsid w:val="003822E2"/>
    <w:rsid w:val="00382C45"/>
    <w:rsid w:val="003838F9"/>
    <w:rsid w:val="00383F86"/>
    <w:rsid w:val="003841B5"/>
    <w:rsid w:val="00384C27"/>
    <w:rsid w:val="00387939"/>
    <w:rsid w:val="00391D48"/>
    <w:rsid w:val="00391E05"/>
    <w:rsid w:val="00392357"/>
    <w:rsid w:val="00394247"/>
    <w:rsid w:val="00394B6A"/>
    <w:rsid w:val="00394F7D"/>
    <w:rsid w:val="00395178"/>
    <w:rsid w:val="0039592D"/>
    <w:rsid w:val="0039595F"/>
    <w:rsid w:val="00396A30"/>
    <w:rsid w:val="00397A34"/>
    <w:rsid w:val="00397B6E"/>
    <w:rsid w:val="003A07B0"/>
    <w:rsid w:val="003A0A11"/>
    <w:rsid w:val="003A0B31"/>
    <w:rsid w:val="003A131E"/>
    <w:rsid w:val="003A16C7"/>
    <w:rsid w:val="003A1B55"/>
    <w:rsid w:val="003A20AB"/>
    <w:rsid w:val="003A27AA"/>
    <w:rsid w:val="003A2BCA"/>
    <w:rsid w:val="003A442C"/>
    <w:rsid w:val="003A4435"/>
    <w:rsid w:val="003A4A30"/>
    <w:rsid w:val="003A59F6"/>
    <w:rsid w:val="003A5BC7"/>
    <w:rsid w:val="003A6068"/>
    <w:rsid w:val="003A62E3"/>
    <w:rsid w:val="003A67F4"/>
    <w:rsid w:val="003A6B23"/>
    <w:rsid w:val="003A6F19"/>
    <w:rsid w:val="003A7DD4"/>
    <w:rsid w:val="003B0097"/>
    <w:rsid w:val="003B0210"/>
    <w:rsid w:val="003B0B1F"/>
    <w:rsid w:val="003B0BE7"/>
    <w:rsid w:val="003B0D24"/>
    <w:rsid w:val="003B0DC1"/>
    <w:rsid w:val="003B13B2"/>
    <w:rsid w:val="003B1E6C"/>
    <w:rsid w:val="003B2489"/>
    <w:rsid w:val="003B3739"/>
    <w:rsid w:val="003B3D08"/>
    <w:rsid w:val="003B4181"/>
    <w:rsid w:val="003B4A72"/>
    <w:rsid w:val="003B4C3E"/>
    <w:rsid w:val="003B5180"/>
    <w:rsid w:val="003B571A"/>
    <w:rsid w:val="003B5C71"/>
    <w:rsid w:val="003B620F"/>
    <w:rsid w:val="003B6F58"/>
    <w:rsid w:val="003C0AE0"/>
    <w:rsid w:val="003C197E"/>
    <w:rsid w:val="003C1CCE"/>
    <w:rsid w:val="003C283C"/>
    <w:rsid w:val="003C39B5"/>
    <w:rsid w:val="003C3D42"/>
    <w:rsid w:val="003C4608"/>
    <w:rsid w:val="003C47B3"/>
    <w:rsid w:val="003C4F8A"/>
    <w:rsid w:val="003C54B2"/>
    <w:rsid w:val="003C5761"/>
    <w:rsid w:val="003C59C9"/>
    <w:rsid w:val="003C5D64"/>
    <w:rsid w:val="003C6343"/>
    <w:rsid w:val="003C635F"/>
    <w:rsid w:val="003C669B"/>
    <w:rsid w:val="003C66D4"/>
    <w:rsid w:val="003C6AC3"/>
    <w:rsid w:val="003C6DBE"/>
    <w:rsid w:val="003C70A7"/>
    <w:rsid w:val="003C7AC8"/>
    <w:rsid w:val="003C7AEE"/>
    <w:rsid w:val="003D0187"/>
    <w:rsid w:val="003D0EBC"/>
    <w:rsid w:val="003D0EC7"/>
    <w:rsid w:val="003D1056"/>
    <w:rsid w:val="003D2000"/>
    <w:rsid w:val="003D26A7"/>
    <w:rsid w:val="003D31DC"/>
    <w:rsid w:val="003D39C0"/>
    <w:rsid w:val="003D3BCF"/>
    <w:rsid w:val="003D4449"/>
    <w:rsid w:val="003D5041"/>
    <w:rsid w:val="003D6256"/>
    <w:rsid w:val="003D6330"/>
    <w:rsid w:val="003D73A3"/>
    <w:rsid w:val="003D7791"/>
    <w:rsid w:val="003D7882"/>
    <w:rsid w:val="003D7BCE"/>
    <w:rsid w:val="003D7BE3"/>
    <w:rsid w:val="003D7EA4"/>
    <w:rsid w:val="003E01D2"/>
    <w:rsid w:val="003E0FE9"/>
    <w:rsid w:val="003E2240"/>
    <w:rsid w:val="003E2AC4"/>
    <w:rsid w:val="003E2D86"/>
    <w:rsid w:val="003E2E9E"/>
    <w:rsid w:val="003E3028"/>
    <w:rsid w:val="003E367A"/>
    <w:rsid w:val="003E439A"/>
    <w:rsid w:val="003E4591"/>
    <w:rsid w:val="003E45F5"/>
    <w:rsid w:val="003E4A5E"/>
    <w:rsid w:val="003E51B5"/>
    <w:rsid w:val="003E68A9"/>
    <w:rsid w:val="003E69F7"/>
    <w:rsid w:val="003F052F"/>
    <w:rsid w:val="003F0BFD"/>
    <w:rsid w:val="003F0E24"/>
    <w:rsid w:val="003F0FF3"/>
    <w:rsid w:val="003F1640"/>
    <w:rsid w:val="003F1C23"/>
    <w:rsid w:val="003F1F85"/>
    <w:rsid w:val="003F26B2"/>
    <w:rsid w:val="003F33E0"/>
    <w:rsid w:val="003F382A"/>
    <w:rsid w:val="003F391D"/>
    <w:rsid w:val="003F3BE7"/>
    <w:rsid w:val="003F3CDF"/>
    <w:rsid w:val="003F3D93"/>
    <w:rsid w:val="003F440B"/>
    <w:rsid w:val="003F4CA0"/>
    <w:rsid w:val="003F4F4B"/>
    <w:rsid w:val="003F5782"/>
    <w:rsid w:val="003F5A43"/>
    <w:rsid w:val="003F6E5F"/>
    <w:rsid w:val="003F7168"/>
    <w:rsid w:val="003F7718"/>
    <w:rsid w:val="003F774D"/>
    <w:rsid w:val="00400A1A"/>
    <w:rsid w:val="00400A35"/>
    <w:rsid w:val="00401279"/>
    <w:rsid w:val="004013AB"/>
    <w:rsid w:val="004020E7"/>
    <w:rsid w:val="004026E3"/>
    <w:rsid w:val="004027A6"/>
    <w:rsid w:val="00402B89"/>
    <w:rsid w:val="00402E65"/>
    <w:rsid w:val="00402F38"/>
    <w:rsid w:val="00404017"/>
    <w:rsid w:val="00404506"/>
    <w:rsid w:val="004045D8"/>
    <w:rsid w:val="0040464A"/>
    <w:rsid w:val="00404B6F"/>
    <w:rsid w:val="00404D41"/>
    <w:rsid w:val="00404FC7"/>
    <w:rsid w:val="004056C0"/>
    <w:rsid w:val="00405834"/>
    <w:rsid w:val="00405C1B"/>
    <w:rsid w:val="00405FF4"/>
    <w:rsid w:val="00406976"/>
    <w:rsid w:val="00407D8D"/>
    <w:rsid w:val="0041170B"/>
    <w:rsid w:val="004117AC"/>
    <w:rsid w:val="00411C67"/>
    <w:rsid w:val="00411D80"/>
    <w:rsid w:val="004120A4"/>
    <w:rsid w:val="00412603"/>
    <w:rsid w:val="00413BC8"/>
    <w:rsid w:val="004141D8"/>
    <w:rsid w:val="00415DEF"/>
    <w:rsid w:val="00415F02"/>
    <w:rsid w:val="00415F40"/>
    <w:rsid w:val="00415FFC"/>
    <w:rsid w:val="004160AB"/>
    <w:rsid w:val="00416858"/>
    <w:rsid w:val="00416A7B"/>
    <w:rsid w:val="00416E03"/>
    <w:rsid w:val="00417F33"/>
    <w:rsid w:val="00421424"/>
    <w:rsid w:val="004218AF"/>
    <w:rsid w:val="0042195C"/>
    <w:rsid w:val="00421D13"/>
    <w:rsid w:val="00422517"/>
    <w:rsid w:val="004227A9"/>
    <w:rsid w:val="00423851"/>
    <w:rsid w:val="0042514C"/>
    <w:rsid w:val="00425260"/>
    <w:rsid w:val="0042570C"/>
    <w:rsid w:val="004259E5"/>
    <w:rsid w:val="00425E63"/>
    <w:rsid w:val="00426630"/>
    <w:rsid w:val="004306B4"/>
    <w:rsid w:val="004306B5"/>
    <w:rsid w:val="004308BF"/>
    <w:rsid w:val="00430B44"/>
    <w:rsid w:val="00430E00"/>
    <w:rsid w:val="00431217"/>
    <w:rsid w:val="004315D6"/>
    <w:rsid w:val="00431830"/>
    <w:rsid w:val="004318D6"/>
    <w:rsid w:val="00431A0C"/>
    <w:rsid w:val="00432069"/>
    <w:rsid w:val="00432D8B"/>
    <w:rsid w:val="00433604"/>
    <w:rsid w:val="0043424F"/>
    <w:rsid w:val="004342C6"/>
    <w:rsid w:val="0043455E"/>
    <w:rsid w:val="00435617"/>
    <w:rsid w:val="00435CE2"/>
    <w:rsid w:val="00436C11"/>
    <w:rsid w:val="004371C1"/>
    <w:rsid w:val="00437936"/>
    <w:rsid w:val="00437D26"/>
    <w:rsid w:val="004412B4"/>
    <w:rsid w:val="004426AA"/>
    <w:rsid w:val="00442B1F"/>
    <w:rsid w:val="00442D8D"/>
    <w:rsid w:val="00443203"/>
    <w:rsid w:val="004438D4"/>
    <w:rsid w:val="004449BD"/>
    <w:rsid w:val="00444A1C"/>
    <w:rsid w:val="004456BA"/>
    <w:rsid w:val="004460D9"/>
    <w:rsid w:val="0044666D"/>
    <w:rsid w:val="00446B2F"/>
    <w:rsid w:val="00447824"/>
    <w:rsid w:val="00447B75"/>
    <w:rsid w:val="00447BFA"/>
    <w:rsid w:val="00447C37"/>
    <w:rsid w:val="00447D82"/>
    <w:rsid w:val="00447F67"/>
    <w:rsid w:val="0045038F"/>
    <w:rsid w:val="00450C3B"/>
    <w:rsid w:val="00450DF6"/>
    <w:rsid w:val="00450F8B"/>
    <w:rsid w:val="00451C3B"/>
    <w:rsid w:val="00452076"/>
    <w:rsid w:val="00452294"/>
    <w:rsid w:val="00452AF9"/>
    <w:rsid w:val="00452CE5"/>
    <w:rsid w:val="00453755"/>
    <w:rsid w:val="00453937"/>
    <w:rsid w:val="00453D20"/>
    <w:rsid w:val="00454064"/>
    <w:rsid w:val="00454E6E"/>
    <w:rsid w:val="0045563D"/>
    <w:rsid w:val="00455A9D"/>
    <w:rsid w:val="00455B5D"/>
    <w:rsid w:val="00456E95"/>
    <w:rsid w:val="00457649"/>
    <w:rsid w:val="00460217"/>
    <w:rsid w:val="00460465"/>
    <w:rsid w:val="004606FC"/>
    <w:rsid w:val="00460CB6"/>
    <w:rsid w:val="00461419"/>
    <w:rsid w:val="0046183B"/>
    <w:rsid w:val="00462464"/>
    <w:rsid w:val="0046348E"/>
    <w:rsid w:val="004636A7"/>
    <w:rsid w:val="00463DD8"/>
    <w:rsid w:val="004645D5"/>
    <w:rsid w:val="00464C72"/>
    <w:rsid w:val="0046612B"/>
    <w:rsid w:val="004668E7"/>
    <w:rsid w:val="00466A6D"/>
    <w:rsid w:val="00466B00"/>
    <w:rsid w:val="00466E3F"/>
    <w:rsid w:val="00467879"/>
    <w:rsid w:val="00467AD5"/>
    <w:rsid w:val="00467B46"/>
    <w:rsid w:val="0047002C"/>
    <w:rsid w:val="004701BA"/>
    <w:rsid w:val="004704C6"/>
    <w:rsid w:val="00470F6E"/>
    <w:rsid w:val="004710B6"/>
    <w:rsid w:val="00472C73"/>
    <w:rsid w:val="00473263"/>
    <w:rsid w:val="00473572"/>
    <w:rsid w:val="00474113"/>
    <w:rsid w:val="004743A1"/>
    <w:rsid w:val="00474B1C"/>
    <w:rsid w:val="00474BCB"/>
    <w:rsid w:val="00474D41"/>
    <w:rsid w:val="00474FAA"/>
    <w:rsid w:val="004756A3"/>
    <w:rsid w:val="004758A4"/>
    <w:rsid w:val="00475B8A"/>
    <w:rsid w:val="004764AA"/>
    <w:rsid w:val="00476C1E"/>
    <w:rsid w:val="00477175"/>
    <w:rsid w:val="00477701"/>
    <w:rsid w:val="00477E22"/>
    <w:rsid w:val="00480461"/>
    <w:rsid w:val="00480B6A"/>
    <w:rsid w:val="00482277"/>
    <w:rsid w:val="0048250D"/>
    <w:rsid w:val="004828AA"/>
    <w:rsid w:val="00482D9B"/>
    <w:rsid w:val="00482EA5"/>
    <w:rsid w:val="00482F04"/>
    <w:rsid w:val="0048334E"/>
    <w:rsid w:val="00483655"/>
    <w:rsid w:val="004837BF"/>
    <w:rsid w:val="004837E7"/>
    <w:rsid w:val="00483D0E"/>
    <w:rsid w:val="004852C5"/>
    <w:rsid w:val="0048552C"/>
    <w:rsid w:val="0048561E"/>
    <w:rsid w:val="00485B8F"/>
    <w:rsid w:val="0048664A"/>
    <w:rsid w:val="00486841"/>
    <w:rsid w:val="00486CC7"/>
    <w:rsid w:val="00487F3D"/>
    <w:rsid w:val="004902BC"/>
    <w:rsid w:val="00490825"/>
    <w:rsid w:val="00490F10"/>
    <w:rsid w:val="004923A9"/>
    <w:rsid w:val="00492BEC"/>
    <w:rsid w:val="0049306D"/>
    <w:rsid w:val="004932FA"/>
    <w:rsid w:val="00493B7D"/>
    <w:rsid w:val="00494307"/>
    <w:rsid w:val="00494861"/>
    <w:rsid w:val="00494A83"/>
    <w:rsid w:val="00494EDC"/>
    <w:rsid w:val="00495B94"/>
    <w:rsid w:val="004961B1"/>
    <w:rsid w:val="00496542"/>
    <w:rsid w:val="00496A69"/>
    <w:rsid w:val="004979E6"/>
    <w:rsid w:val="00497EEB"/>
    <w:rsid w:val="00497F66"/>
    <w:rsid w:val="004A00D5"/>
    <w:rsid w:val="004A04C8"/>
    <w:rsid w:val="004A10E2"/>
    <w:rsid w:val="004A17BF"/>
    <w:rsid w:val="004A1AA2"/>
    <w:rsid w:val="004A2181"/>
    <w:rsid w:val="004A22AF"/>
    <w:rsid w:val="004A248D"/>
    <w:rsid w:val="004A2FE4"/>
    <w:rsid w:val="004A32D9"/>
    <w:rsid w:val="004A3667"/>
    <w:rsid w:val="004A3909"/>
    <w:rsid w:val="004A4800"/>
    <w:rsid w:val="004A4981"/>
    <w:rsid w:val="004A59F3"/>
    <w:rsid w:val="004A633A"/>
    <w:rsid w:val="004A643F"/>
    <w:rsid w:val="004A6545"/>
    <w:rsid w:val="004A695D"/>
    <w:rsid w:val="004A6C64"/>
    <w:rsid w:val="004A6FC7"/>
    <w:rsid w:val="004A774D"/>
    <w:rsid w:val="004A7907"/>
    <w:rsid w:val="004A7A1C"/>
    <w:rsid w:val="004A7E71"/>
    <w:rsid w:val="004B03E2"/>
    <w:rsid w:val="004B0671"/>
    <w:rsid w:val="004B0BF0"/>
    <w:rsid w:val="004B11FD"/>
    <w:rsid w:val="004B2041"/>
    <w:rsid w:val="004B24FA"/>
    <w:rsid w:val="004B3042"/>
    <w:rsid w:val="004B3286"/>
    <w:rsid w:val="004B3A06"/>
    <w:rsid w:val="004B3D12"/>
    <w:rsid w:val="004B47D8"/>
    <w:rsid w:val="004B526C"/>
    <w:rsid w:val="004B54EA"/>
    <w:rsid w:val="004B645F"/>
    <w:rsid w:val="004B6A29"/>
    <w:rsid w:val="004B6EC2"/>
    <w:rsid w:val="004B6F0F"/>
    <w:rsid w:val="004B6F8C"/>
    <w:rsid w:val="004B7540"/>
    <w:rsid w:val="004B79AA"/>
    <w:rsid w:val="004C1982"/>
    <w:rsid w:val="004C1F91"/>
    <w:rsid w:val="004C1FA1"/>
    <w:rsid w:val="004C213E"/>
    <w:rsid w:val="004C253E"/>
    <w:rsid w:val="004C30E5"/>
    <w:rsid w:val="004C31B8"/>
    <w:rsid w:val="004C3CFC"/>
    <w:rsid w:val="004C4160"/>
    <w:rsid w:val="004C4357"/>
    <w:rsid w:val="004C4802"/>
    <w:rsid w:val="004C4FDF"/>
    <w:rsid w:val="004C504E"/>
    <w:rsid w:val="004C5C75"/>
    <w:rsid w:val="004C5CC4"/>
    <w:rsid w:val="004C5E9B"/>
    <w:rsid w:val="004C5FA0"/>
    <w:rsid w:val="004C63C2"/>
    <w:rsid w:val="004C759A"/>
    <w:rsid w:val="004C7DA4"/>
    <w:rsid w:val="004D061D"/>
    <w:rsid w:val="004D0E1A"/>
    <w:rsid w:val="004D121A"/>
    <w:rsid w:val="004D2C08"/>
    <w:rsid w:val="004D3BC7"/>
    <w:rsid w:val="004D40CB"/>
    <w:rsid w:val="004D437B"/>
    <w:rsid w:val="004D51B2"/>
    <w:rsid w:val="004D5390"/>
    <w:rsid w:val="004D5476"/>
    <w:rsid w:val="004D5C95"/>
    <w:rsid w:val="004D5DE2"/>
    <w:rsid w:val="004D6288"/>
    <w:rsid w:val="004D6455"/>
    <w:rsid w:val="004D7D28"/>
    <w:rsid w:val="004D7EF9"/>
    <w:rsid w:val="004E08F0"/>
    <w:rsid w:val="004E0E88"/>
    <w:rsid w:val="004E2C8A"/>
    <w:rsid w:val="004E3721"/>
    <w:rsid w:val="004E4C0A"/>
    <w:rsid w:val="004E53BA"/>
    <w:rsid w:val="004E5496"/>
    <w:rsid w:val="004E5596"/>
    <w:rsid w:val="004E633B"/>
    <w:rsid w:val="004E6EAF"/>
    <w:rsid w:val="004E75CA"/>
    <w:rsid w:val="004E7D50"/>
    <w:rsid w:val="004F0669"/>
    <w:rsid w:val="004F0C47"/>
    <w:rsid w:val="004F1FF8"/>
    <w:rsid w:val="004F2511"/>
    <w:rsid w:val="004F2533"/>
    <w:rsid w:val="004F2DF2"/>
    <w:rsid w:val="004F2F8A"/>
    <w:rsid w:val="004F32F9"/>
    <w:rsid w:val="004F3951"/>
    <w:rsid w:val="004F3A7C"/>
    <w:rsid w:val="004F4B67"/>
    <w:rsid w:val="004F4E4F"/>
    <w:rsid w:val="004F64FD"/>
    <w:rsid w:val="004F68D1"/>
    <w:rsid w:val="004F6CAD"/>
    <w:rsid w:val="004F6E9F"/>
    <w:rsid w:val="004F6EA7"/>
    <w:rsid w:val="004F79A9"/>
    <w:rsid w:val="004F7CE5"/>
    <w:rsid w:val="00500863"/>
    <w:rsid w:val="00500BFB"/>
    <w:rsid w:val="005010B6"/>
    <w:rsid w:val="00501101"/>
    <w:rsid w:val="00501B3A"/>
    <w:rsid w:val="00501E34"/>
    <w:rsid w:val="00502245"/>
    <w:rsid w:val="00502297"/>
    <w:rsid w:val="00502BCE"/>
    <w:rsid w:val="00502D8C"/>
    <w:rsid w:val="00503122"/>
    <w:rsid w:val="00505097"/>
    <w:rsid w:val="00505610"/>
    <w:rsid w:val="00505E1D"/>
    <w:rsid w:val="005070C9"/>
    <w:rsid w:val="0050742D"/>
    <w:rsid w:val="00507B5B"/>
    <w:rsid w:val="00507DF3"/>
    <w:rsid w:val="00507E12"/>
    <w:rsid w:val="0051030F"/>
    <w:rsid w:val="00510345"/>
    <w:rsid w:val="00510D93"/>
    <w:rsid w:val="00511311"/>
    <w:rsid w:val="00511A1D"/>
    <w:rsid w:val="0051222A"/>
    <w:rsid w:val="00512CE0"/>
    <w:rsid w:val="00512F58"/>
    <w:rsid w:val="005137F4"/>
    <w:rsid w:val="00513FBE"/>
    <w:rsid w:val="00514BE3"/>
    <w:rsid w:val="00515878"/>
    <w:rsid w:val="00515BFF"/>
    <w:rsid w:val="00515EBA"/>
    <w:rsid w:val="00515F46"/>
    <w:rsid w:val="00516247"/>
    <w:rsid w:val="005164E3"/>
    <w:rsid w:val="00516939"/>
    <w:rsid w:val="00516A1F"/>
    <w:rsid w:val="00516E05"/>
    <w:rsid w:val="00517C48"/>
    <w:rsid w:val="00517F57"/>
    <w:rsid w:val="0052049B"/>
    <w:rsid w:val="00521058"/>
    <w:rsid w:val="00521276"/>
    <w:rsid w:val="00521487"/>
    <w:rsid w:val="00521A4B"/>
    <w:rsid w:val="00521B5A"/>
    <w:rsid w:val="00521DA4"/>
    <w:rsid w:val="005222B5"/>
    <w:rsid w:val="00522D84"/>
    <w:rsid w:val="00523A5A"/>
    <w:rsid w:val="0052473A"/>
    <w:rsid w:val="005253E5"/>
    <w:rsid w:val="00525C9B"/>
    <w:rsid w:val="0052661F"/>
    <w:rsid w:val="0052699D"/>
    <w:rsid w:val="0052746E"/>
    <w:rsid w:val="005275AC"/>
    <w:rsid w:val="00527BC0"/>
    <w:rsid w:val="00527C49"/>
    <w:rsid w:val="00527D97"/>
    <w:rsid w:val="0053013F"/>
    <w:rsid w:val="00530E11"/>
    <w:rsid w:val="00530F23"/>
    <w:rsid w:val="00530F93"/>
    <w:rsid w:val="00531678"/>
    <w:rsid w:val="0053290D"/>
    <w:rsid w:val="00533746"/>
    <w:rsid w:val="0053377E"/>
    <w:rsid w:val="00533BAD"/>
    <w:rsid w:val="00533D49"/>
    <w:rsid w:val="005343B8"/>
    <w:rsid w:val="005347F5"/>
    <w:rsid w:val="00534B6B"/>
    <w:rsid w:val="00535E77"/>
    <w:rsid w:val="00537EBE"/>
    <w:rsid w:val="00540932"/>
    <w:rsid w:val="00540C3A"/>
    <w:rsid w:val="00540C49"/>
    <w:rsid w:val="00540F63"/>
    <w:rsid w:val="00541962"/>
    <w:rsid w:val="00541E2A"/>
    <w:rsid w:val="005422B4"/>
    <w:rsid w:val="00542310"/>
    <w:rsid w:val="00542388"/>
    <w:rsid w:val="0054267A"/>
    <w:rsid w:val="005426C4"/>
    <w:rsid w:val="0054385D"/>
    <w:rsid w:val="00543C42"/>
    <w:rsid w:val="00543FD0"/>
    <w:rsid w:val="00544DFE"/>
    <w:rsid w:val="00545088"/>
    <w:rsid w:val="0054594F"/>
    <w:rsid w:val="00546B54"/>
    <w:rsid w:val="00546ED8"/>
    <w:rsid w:val="00547014"/>
    <w:rsid w:val="005500DB"/>
    <w:rsid w:val="0055093E"/>
    <w:rsid w:val="005520DE"/>
    <w:rsid w:val="00552172"/>
    <w:rsid w:val="0055263A"/>
    <w:rsid w:val="0055325F"/>
    <w:rsid w:val="005532C8"/>
    <w:rsid w:val="00553926"/>
    <w:rsid w:val="00553B8D"/>
    <w:rsid w:val="00553D16"/>
    <w:rsid w:val="005546EF"/>
    <w:rsid w:val="00554EBD"/>
    <w:rsid w:val="00555183"/>
    <w:rsid w:val="005554F4"/>
    <w:rsid w:val="005556A1"/>
    <w:rsid w:val="00555B6A"/>
    <w:rsid w:val="0055660B"/>
    <w:rsid w:val="005567D9"/>
    <w:rsid w:val="00556A04"/>
    <w:rsid w:val="005571CA"/>
    <w:rsid w:val="0055737D"/>
    <w:rsid w:val="00557544"/>
    <w:rsid w:val="00560097"/>
    <w:rsid w:val="00560D39"/>
    <w:rsid w:val="005612FC"/>
    <w:rsid w:val="005613DA"/>
    <w:rsid w:val="005616F8"/>
    <w:rsid w:val="00561B59"/>
    <w:rsid w:val="005625C7"/>
    <w:rsid w:val="0056292E"/>
    <w:rsid w:val="00562984"/>
    <w:rsid w:val="00562B5C"/>
    <w:rsid w:val="00562BBA"/>
    <w:rsid w:val="00562CB1"/>
    <w:rsid w:val="00563359"/>
    <w:rsid w:val="00563A4D"/>
    <w:rsid w:val="00563EFE"/>
    <w:rsid w:val="00564000"/>
    <w:rsid w:val="00564C02"/>
    <w:rsid w:val="00564D65"/>
    <w:rsid w:val="0056513C"/>
    <w:rsid w:val="00565878"/>
    <w:rsid w:val="00565DB1"/>
    <w:rsid w:val="00566332"/>
    <w:rsid w:val="00566626"/>
    <w:rsid w:val="005668D9"/>
    <w:rsid w:val="00566AFC"/>
    <w:rsid w:val="00566CA3"/>
    <w:rsid w:val="005673C1"/>
    <w:rsid w:val="00567B33"/>
    <w:rsid w:val="00570056"/>
    <w:rsid w:val="005700AD"/>
    <w:rsid w:val="00570831"/>
    <w:rsid w:val="005719FE"/>
    <w:rsid w:val="0057223E"/>
    <w:rsid w:val="00572844"/>
    <w:rsid w:val="00573051"/>
    <w:rsid w:val="005739AE"/>
    <w:rsid w:val="00573B8A"/>
    <w:rsid w:val="005749EA"/>
    <w:rsid w:val="00574A30"/>
    <w:rsid w:val="00574FA2"/>
    <w:rsid w:val="00576385"/>
    <w:rsid w:val="00576787"/>
    <w:rsid w:val="00576F38"/>
    <w:rsid w:val="00576F5D"/>
    <w:rsid w:val="00577D0C"/>
    <w:rsid w:val="00577DF6"/>
    <w:rsid w:val="00580D43"/>
    <w:rsid w:val="00581151"/>
    <w:rsid w:val="00581DD3"/>
    <w:rsid w:val="0058220D"/>
    <w:rsid w:val="0058223B"/>
    <w:rsid w:val="005824D2"/>
    <w:rsid w:val="00582596"/>
    <w:rsid w:val="00582BD9"/>
    <w:rsid w:val="00583610"/>
    <w:rsid w:val="00583FFF"/>
    <w:rsid w:val="00584173"/>
    <w:rsid w:val="0058419A"/>
    <w:rsid w:val="00584E45"/>
    <w:rsid w:val="005864E9"/>
    <w:rsid w:val="005873CB"/>
    <w:rsid w:val="00587409"/>
    <w:rsid w:val="00587770"/>
    <w:rsid w:val="0058777B"/>
    <w:rsid w:val="0059141E"/>
    <w:rsid w:val="00591D20"/>
    <w:rsid w:val="005921FD"/>
    <w:rsid w:val="0059293B"/>
    <w:rsid w:val="00592B14"/>
    <w:rsid w:val="00593938"/>
    <w:rsid w:val="005949C7"/>
    <w:rsid w:val="00594A00"/>
    <w:rsid w:val="00594B8A"/>
    <w:rsid w:val="00596211"/>
    <w:rsid w:val="005966F5"/>
    <w:rsid w:val="0059685D"/>
    <w:rsid w:val="005972FB"/>
    <w:rsid w:val="005974DD"/>
    <w:rsid w:val="005976D7"/>
    <w:rsid w:val="005976F7"/>
    <w:rsid w:val="00597934"/>
    <w:rsid w:val="00597ABE"/>
    <w:rsid w:val="005A030C"/>
    <w:rsid w:val="005A0A88"/>
    <w:rsid w:val="005A0A8F"/>
    <w:rsid w:val="005A0D5A"/>
    <w:rsid w:val="005A1A07"/>
    <w:rsid w:val="005A221D"/>
    <w:rsid w:val="005A22AA"/>
    <w:rsid w:val="005A2505"/>
    <w:rsid w:val="005A277D"/>
    <w:rsid w:val="005A2917"/>
    <w:rsid w:val="005A2EB1"/>
    <w:rsid w:val="005A3F43"/>
    <w:rsid w:val="005A4239"/>
    <w:rsid w:val="005A4CC4"/>
    <w:rsid w:val="005A4D91"/>
    <w:rsid w:val="005A5A2E"/>
    <w:rsid w:val="005A6DE2"/>
    <w:rsid w:val="005A7EE8"/>
    <w:rsid w:val="005B0304"/>
    <w:rsid w:val="005B034A"/>
    <w:rsid w:val="005B0DDC"/>
    <w:rsid w:val="005B161D"/>
    <w:rsid w:val="005B22F7"/>
    <w:rsid w:val="005B2EEB"/>
    <w:rsid w:val="005B4527"/>
    <w:rsid w:val="005B58B6"/>
    <w:rsid w:val="005B7972"/>
    <w:rsid w:val="005B7E32"/>
    <w:rsid w:val="005C06BE"/>
    <w:rsid w:val="005C0A4F"/>
    <w:rsid w:val="005C0FFE"/>
    <w:rsid w:val="005C14A5"/>
    <w:rsid w:val="005C1A14"/>
    <w:rsid w:val="005C1BF0"/>
    <w:rsid w:val="005C209E"/>
    <w:rsid w:val="005C25F6"/>
    <w:rsid w:val="005C2BD9"/>
    <w:rsid w:val="005C3059"/>
    <w:rsid w:val="005C50BB"/>
    <w:rsid w:val="005C5376"/>
    <w:rsid w:val="005C57A6"/>
    <w:rsid w:val="005C5840"/>
    <w:rsid w:val="005C5915"/>
    <w:rsid w:val="005C598C"/>
    <w:rsid w:val="005C6508"/>
    <w:rsid w:val="005C77AA"/>
    <w:rsid w:val="005C7CCB"/>
    <w:rsid w:val="005D0726"/>
    <w:rsid w:val="005D10E4"/>
    <w:rsid w:val="005D1BC7"/>
    <w:rsid w:val="005D223E"/>
    <w:rsid w:val="005D23B2"/>
    <w:rsid w:val="005D326E"/>
    <w:rsid w:val="005D3799"/>
    <w:rsid w:val="005D3D84"/>
    <w:rsid w:val="005D429B"/>
    <w:rsid w:val="005D4C3E"/>
    <w:rsid w:val="005D5DB0"/>
    <w:rsid w:val="005D5E27"/>
    <w:rsid w:val="005D63A9"/>
    <w:rsid w:val="005D6798"/>
    <w:rsid w:val="005D707A"/>
    <w:rsid w:val="005D70E1"/>
    <w:rsid w:val="005D73EC"/>
    <w:rsid w:val="005D770E"/>
    <w:rsid w:val="005D7BCA"/>
    <w:rsid w:val="005E05AB"/>
    <w:rsid w:val="005E1E1F"/>
    <w:rsid w:val="005E2682"/>
    <w:rsid w:val="005E2B7E"/>
    <w:rsid w:val="005E2BBB"/>
    <w:rsid w:val="005E3A93"/>
    <w:rsid w:val="005E42DB"/>
    <w:rsid w:val="005E438E"/>
    <w:rsid w:val="005E4689"/>
    <w:rsid w:val="005E51EC"/>
    <w:rsid w:val="005E54EC"/>
    <w:rsid w:val="005E576A"/>
    <w:rsid w:val="005E5859"/>
    <w:rsid w:val="005E5ABA"/>
    <w:rsid w:val="005E5B06"/>
    <w:rsid w:val="005E6558"/>
    <w:rsid w:val="005E70D2"/>
    <w:rsid w:val="005E715F"/>
    <w:rsid w:val="005E78E8"/>
    <w:rsid w:val="005E79B9"/>
    <w:rsid w:val="005F07E5"/>
    <w:rsid w:val="005F0CFA"/>
    <w:rsid w:val="005F123C"/>
    <w:rsid w:val="005F2335"/>
    <w:rsid w:val="005F235C"/>
    <w:rsid w:val="005F42A4"/>
    <w:rsid w:val="005F437D"/>
    <w:rsid w:val="005F5483"/>
    <w:rsid w:val="005F594D"/>
    <w:rsid w:val="005F5FB3"/>
    <w:rsid w:val="005F67B3"/>
    <w:rsid w:val="005F6A24"/>
    <w:rsid w:val="005F73F0"/>
    <w:rsid w:val="00601501"/>
    <w:rsid w:val="006020B2"/>
    <w:rsid w:val="006020DC"/>
    <w:rsid w:val="00602A22"/>
    <w:rsid w:val="00603293"/>
    <w:rsid w:val="006034AB"/>
    <w:rsid w:val="00603EFB"/>
    <w:rsid w:val="00604849"/>
    <w:rsid w:val="006048E9"/>
    <w:rsid w:val="00604C2A"/>
    <w:rsid w:val="0060521C"/>
    <w:rsid w:val="0060535A"/>
    <w:rsid w:val="0060581A"/>
    <w:rsid w:val="00605CC6"/>
    <w:rsid w:val="0060616C"/>
    <w:rsid w:val="006067B9"/>
    <w:rsid w:val="00606A74"/>
    <w:rsid w:val="00606C39"/>
    <w:rsid w:val="00607640"/>
    <w:rsid w:val="00607BBC"/>
    <w:rsid w:val="0061028A"/>
    <w:rsid w:val="00610AEB"/>
    <w:rsid w:val="00610EC0"/>
    <w:rsid w:val="0061105D"/>
    <w:rsid w:val="006111EB"/>
    <w:rsid w:val="006122D7"/>
    <w:rsid w:val="006124B4"/>
    <w:rsid w:val="006130E5"/>
    <w:rsid w:val="006132AC"/>
    <w:rsid w:val="006135AE"/>
    <w:rsid w:val="00613B3C"/>
    <w:rsid w:val="00614995"/>
    <w:rsid w:val="00614A36"/>
    <w:rsid w:val="00614AC1"/>
    <w:rsid w:val="00614D10"/>
    <w:rsid w:val="006150D2"/>
    <w:rsid w:val="00615419"/>
    <w:rsid w:val="0061548B"/>
    <w:rsid w:val="00615892"/>
    <w:rsid w:val="006158A3"/>
    <w:rsid w:val="0061605F"/>
    <w:rsid w:val="00616189"/>
    <w:rsid w:val="00616C41"/>
    <w:rsid w:val="00617AA7"/>
    <w:rsid w:val="0062077F"/>
    <w:rsid w:val="006212AF"/>
    <w:rsid w:val="006220E4"/>
    <w:rsid w:val="006225DB"/>
    <w:rsid w:val="00622F5C"/>
    <w:rsid w:val="006233BC"/>
    <w:rsid w:val="00623744"/>
    <w:rsid w:val="0062386F"/>
    <w:rsid w:val="00624AE8"/>
    <w:rsid w:val="00624C81"/>
    <w:rsid w:val="006253AF"/>
    <w:rsid w:val="006255DC"/>
    <w:rsid w:val="006261E5"/>
    <w:rsid w:val="00626344"/>
    <w:rsid w:val="00626579"/>
    <w:rsid w:val="00626B0E"/>
    <w:rsid w:val="00627A0C"/>
    <w:rsid w:val="00627D55"/>
    <w:rsid w:val="00630957"/>
    <w:rsid w:val="00630F32"/>
    <w:rsid w:val="00631748"/>
    <w:rsid w:val="00631DE0"/>
    <w:rsid w:val="00631E34"/>
    <w:rsid w:val="006320BE"/>
    <w:rsid w:val="00632921"/>
    <w:rsid w:val="00633B6C"/>
    <w:rsid w:val="00633C9B"/>
    <w:rsid w:val="00633D7B"/>
    <w:rsid w:val="0063450A"/>
    <w:rsid w:val="00634CF0"/>
    <w:rsid w:val="00635619"/>
    <w:rsid w:val="0063588C"/>
    <w:rsid w:val="00635907"/>
    <w:rsid w:val="006360CB"/>
    <w:rsid w:val="006361FB"/>
    <w:rsid w:val="00637119"/>
    <w:rsid w:val="006379CA"/>
    <w:rsid w:val="00637A93"/>
    <w:rsid w:val="00637DD1"/>
    <w:rsid w:val="006408A0"/>
    <w:rsid w:val="00640A6C"/>
    <w:rsid w:val="00640E9F"/>
    <w:rsid w:val="0064115A"/>
    <w:rsid w:val="00641208"/>
    <w:rsid w:val="00641FFF"/>
    <w:rsid w:val="006425F6"/>
    <w:rsid w:val="00642783"/>
    <w:rsid w:val="00642F1C"/>
    <w:rsid w:val="00643216"/>
    <w:rsid w:val="00643B2F"/>
    <w:rsid w:val="006440CC"/>
    <w:rsid w:val="006441FA"/>
    <w:rsid w:val="006452F1"/>
    <w:rsid w:val="006461A3"/>
    <w:rsid w:val="0064664B"/>
    <w:rsid w:val="00646D00"/>
    <w:rsid w:val="00647178"/>
    <w:rsid w:val="00647756"/>
    <w:rsid w:val="00647A75"/>
    <w:rsid w:val="00647FB4"/>
    <w:rsid w:val="0065002A"/>
    <w:rsid w:val="00650A3E"/>
    <w:rsid w:val="00650AF6"/>
    <w:rsid w:val="00650E4C"/>
    <w:rsid w:val="006510DC"/>
    <w:rsid w:val="006525F4"/>
    <w:rsid w:val="006528F5"/>
    <w:rsid w:val="00653FDC"/>
    <w:rsid w:val="0065402F"/>
    <w:rsid w:val="00654D03"/>
    <w:rsid w:val="00654D19"/>
    <w:rsid w:val="00655069"/>
    <w:rsid w:val="00655DFD"/>
    <w:rsid w:val="00655ECB"/>
    <w:rsid w:val="00657368"/>
    <w:rsid w:val="00657534"/>
    <w:rsid w:val="006601E8"/>
    <w:rsid w:val="006607BC"/>
    <w:rsid w:val="0066117D"/>
    <w:rsid w:val="006613FC"/>
    <w:rsid w:val="00662142"/>
    <w:rsid w:val="006623EA"/>
    <w:rsid w:val="006625FB"/>
    <w:rsid w:val="006628EF"/>
    <w:rsid w:val="00662BF2"/>
    <w:rsid w:val="00662DC6"/>
    <w:rsid w:val="00662FB6"/>
    <w:rsid w:val="0066425E"/>
    <w:rsid w:val="006642A3"/>
    <w:rsid w:val="00664C2D"/>
    <w:rsid w:val="00665274"/>
    <w:rsid w:val="00666636"/>
    <w:rsid w:val="0066687E"/>
    <w:rsid w:val="00666B04"/>
    <w:rsid w:val="006673D1"/>
    <w:rsid w:val="00670E59"/>
    <w:rsid w:val="0067103D"/>
    <w:rsid w:val="006713A6"/>
    <w:rsid w:val="00672437"/>
    <w:rsid w:val="0067359C"/>
    <w:rsid w:val="006735F4"/>
    <w:rsid w:val="006742BD"/>
    <w:rsid w:val="00674C87"/>
    <w:rsid w:val="00675C7F"/>
    <w:rsid w:val="00676CE9"/>
    <w:rsid w:val="00677227"/>
    <w:rsid w:val="006779A4"/>
    <w:rsid w:val="00677B75"/>
    <w:rsid w:val="00677E98"/>
    <w:rsid w:val="0068029A"/>
    <w:rsid w:val="00680F08"/>
    <w:rsid w:val="006816A1"/>
    <w:rsid w:val="00681A83"/>
    <w:rsid w:val="00681C7B"/>
    <w:rsid w:val="00682364"/>
    <w:rsid w:val="0068259E"/>
    <w:rsid w:val="0068260E"/>
    <w:rsid w:val="006833AB"/>
    <w:rsid w:val="00683E0D"/>
    <w:rsid w:val="00683EB5"/>
    <w:rsid w:val="006840AC"/>
    <w:rsid w:val="006849E1"/>
    <w:rsid w:val="00684D4A"/>
    <w:rsid w:val="00684E31"/>
    <w:rsid w:val="00686023"/>
    <w:rsid w:val="006860E5"/>
    <w:rsid w:val="0068625C"/>
    <w:rsid w:val="00686883"/>
    <w:rsid w:val="00686A5E"/>
    <w:rsid w:val="00687544"/>
    <w:rsid w:val="006875B9"/>
    <w:rsid w:val="00687A06"/>
    <w:rsid w:val="00687A95"/>
    <w:rsid w:val="00687B40"/>
    <w:rsid w:val="00690F10"/>
    <w:rsid w:val="00691365"/>
    <w:rsid w:val="00691B38"/>
    <w:rsid w:val="00692098"/>
    <w:rsid w:val="00692348"/>
    <w:rsid w:val="0069247B"/>
    <w:rsid w:val="00692AF1"/>
    <w:rsid w:val="00692C71"/>
    <w:rsid w:val="00693808"/>
    <w:rsid w:val="00693A60"/>
    <w:rsid w:val="00693BFB"/>
    <w:rsid w:val="00693C7C"/>
    <w:rsid w:val="00694FD6"/>
    <w:rsid w:val="00695378"/>
    <w:rsid w:val="00696301"/>
    <w:rsid w:val="006964CD"/>
    <w:rsid w:val="00696AEF"/>
    <w:rsid w:val="00696C41"/>
    <w:rsid w:val="006A02F9"/>
    <w:rsid w:val="006A0529"/>
    <w:rsid w:val="006A080C"/>
    <w:rsid w:val="006A139D"/>
    <w:rsid w:val="006A1C54"/>
    <w:rsid w:val="006A1CC1"/>
    <w:rsid w:val="006A1E13"/>
    <w:rsid w:val="006A237A"/>
    <w:rsid w:val="006A240D"/>
    <w:rsid w:val="006A2CA5"/>
    <w:rsid w:val="006A2FB3"/>
    <w:rsid w:val="006A3004"/>
    <w:rsid w:val="006A3345"/>
    <w:rsid w:val="006A3AFE"/>
    <w:rsid w:val="006A3D19"/>
    <w:rsid w:val="006A41F3"/>
    <w:rsid w:val="006A42E4"/>
    <w:rsid w:val="006A45E3"/>
    <w:rsid w:val="006A4952"/>
    <w:rsid w:val="006A4A85"/>
    <w:rsid w:val="006A5024"/>
    <w:rsid w:val="006A5311"/>
    <w:rsid w:val="006A69F9"/>
    <w:rsid w:val="006A6FE4"/>
    <w:rsid w:val="006A73B2"/>
    <w:rsid w:val="006A77FF"/>
    <w:rsid w:val="006A7817"/>
    <w:rsid w:val="006B0326"/>
    <w:rsid w:val="006B0620"/>
    <w:rsid w:val="006B0640"/>
    <w:rsid w:val="006B11CA"/>
    <w:rsid w:val="006B12A5"/>
    <w:rsid w:val="006B12E4"/>
    <w:rsid w:val="006B1374"/>
    <w:rsid w:val="006B18BF"/>
    <w:rsid w:val="006B1BBC"/>
    <w:rsid w:val="006B2142"/>
    <w:rsid w:val="006B2C7E"/>
    <w:rsid w:val="006B2E81"/>
    <w:rsid w:val="006B4F16"/>
    <w:rsid w:val="006B5731"/>
    <w:rsid w:val="006B601F"/>
    <w:rsid w:val="006B620F"/>
    <w:rsid w:val="006B68BD"/>
    <w:rsid w:val="006B733D"/>
    <w:rsid w:val="006B7C1D"/>
    <w:rsid w:val="006B7C2B"/>
    <w:rsid w:val="006B7EB4"/>
    <w:rsid w:val="006C0124"/>
    <w:rsid w:val="006C0630"/>
    <w:rsid w:val="006C0F04"/>
    <w:rsid w:val="006C1278"/>
    <w:rsid w:val="006C1505"/>
    <w:rsid w:val="006C15EC"/>
    <w:rsid w:val="006C1BF5"/>
    <w:rsid w:val="006C3657"/>
    <w:rsid w:val="006C3DFD"/>
    <w:rsid w:val="006C41D3"/>
    <w:rsid w:val="006C480D"/>
    <w:rsid w:val="006C4D0E"/>
    <w:rsid w:val="006C609C"/>
    <w:rsid w:val="006C63B0"/>
    <w:rsid w:val="006C63BF"/>
    <w:rsid w:val="006C6C54"/>
    <w:rsid w:val="006C7446"/>
    <w:rsid w:val="006C7789"/>
    <w:rsid w:val="006D061A"/>
    <w:rsid w:val="006D0857"/>
    <w:rsid w:val="006D08CE"/>
    <w:rsid w:val="006D096F"/>
    <w:rsid w:val="006D0AC2"/>
    <w:rsid w:val="006D207E"/>
    <w:rsid w:val="006D3CE7"/>
    <w:rsid w:val="006D4080"/>
    <w:rsid w:val="006D4F4A"/>
    <w:rsid w:val="006D5204"/>
    <w:rsid w:val="006D588E"/>
    <w:rsid w:val="006D5BAD"/>
    <w:rsid w:val="006D5F3A"/>
    <w:rsid w:val="006D6EF3"/>
    <w:rsid w:val="006D770B"/>
    <w:rsid w:val="006D7AD6"/>
    <w:rsid w:val="006D7D9D"/>
    <w:rsid w:val="006E01C0"/>
    <w:rsid w:val="006E0444"/>
    <w:rsid w:val="006E0780"/>
    <w:rsid w:val="006E0AD3"/>
    <w:rsid w:val="006E1800"/>
    <w:rsid w:val="006E1A8D"/>
    <w:rsid w:val="006E1BA5"/>
    <w:rsid w:val="006E1BCE"/>
    <w:rsid w:val="006E1E72"/>
    <w:rsid w:val="006E24AF"/>
    <w:rsid w:val="006E2E93"/>
    <w:rsid w:val="006E30FA"/>
    <w:rsid w:val="006E4084"/>
    <w:rsid w:val="006E4D48"/>
    <w:rsid w:val="006E65D0"/>
    <w:rsid w:val="006E74DE"/>
    <w:rsid w:val="006E75F7"/>
    <w:rsid w:val="006E7602"/>
    <w:rsid w:val="006F0B4E"/>
    <w:rsid w:val="006F1293"/>
    <w:rsid w:val="006F1DD0"/>
    <w:rsid w:val="006F2099"/>
    <w:rsid w:val="006F2453"/>
    <w:rsid w:val="006F28F2"/>
    <w:rsid w:val="006F3D90"/>
    <w:rsid w:val="006F3F33"/>
    <w:rsid w:val="006F43CD"/>
    <w:rsid w:val="006F4618"/>
    <w:rsid w:val="006F4BDA"/>
    <w:rsid w:val="006F59CF"/>
    <w:rsid w:val="006F5C93"/>
    <w:rsid w:val="006F5CF1"/>
    <w:rsid w:val="006F61F7"/>
    <w:rsid w:val="006F6497"/>
    <w:rsid w:val="006F6F60"/>
    <w:rsid w:val="006F7045"/>
    <w:rsid w:val="006F7E10"/>
    <w:rsid w:val="006F7F28"/>
    <w:rsid w:val="00700019"/>
    <w:rsid w:val="007004F4"/>
    <w:rsid w:val="007006E0"/>
    <w:rsid w:val="00700BC1"/>
    <w:rsid w:val="00700BEF"/>
    <w:rsid w:val="00701202"/>
    <w:rsid w:val="0070138C"/>
    <w:rsid w:val="00701603"/>
    <w:rsid w:val="007017D0"/>
    <w:rsid w:val="007018B6"/>
    <w:rsid w:val="007024C1"/>
    <w:rsid w:val="00702658"/>
    <w:rsid w:val="007034D1"/>
    <w:rsid w:val="00703E07"/>
    <w:rsid w:val="007040C1"/>
    <w:rsid w:val="00704615"/>
    <w:rsid w:val="007046BA"/>
    <w:rsid w:val="0070484E"/>
    <w:rsid w:val="00704B67"/>
    <w:rsid w:val="00704D74"/>
    <w:rsid w:val="00704E66"/>
    <w:rsid w:val="00705897"/>
    <w:rsid w:val="0070598B"/>
    <w:rsid w:val="00705A5E"/>
    <w:rsid w:val="007061EC"/>
    <w:rsid w:val="00706574"/>
    <w:rsid w:val="0070729C"/>
    <w:rsid w:val="0070780D"/>
    <w:rsid w:val="00707B51"/>
    <w:rsid w:val="00710196"/>
    <w:rsid w:val="00710F26"/>
    <w:rsid w:val="007116F6"/>
    <w:rsid w:val="007122E8"/>
    <w:rsid w:val="00712D6A"/>
    <w:rsid w:val="00713E09"/>
    <w:rsid w:val="00713F60"/>
    <w:rsid w:val="007140FB"/>
    <w:rsid w:val="0071541B"/>
    <w:rsid w:val="00715DE6"/>
    <w:rsid w:val="00716A0C"/>
    <w:rsid w:val="00716B12"/>
    <w:rsid w:val="00717AE2"/>
    <w:rsid w:val="00717B89"/>
    <w:rsid w:val="00717D39"/>
    <w:rsid w:val="00720617"/>
    <w:rsid w:val="00720890"/>
    <w:rsid w:val="00720993"/>
    <w:rsid w:val="00722151"/>
    <w:rsid w:val="007224A8"/>
    <w:rsid w:val="00723400"/>
    <w:rsid w:val="00723476"/>
    <w:rsid w:val="007242CC"/>
    <w:rsid w:val="007243F7"/>
    <w:rsid w:val="00724879"/>
    <w:rsid w:val="00726222"/>
    <w:rsid w:val="007263C5"/>
    <w:rsid w:val="007273BC"/>
    <w:rsid w:val="00730366"/>
    <w:rsid w:val="0073087F"/>
    <w:rsid w:val="0073163A"/>
    <w:rsid w:val="00731C2F"/>
    <w:rsid w:val="00731C8D"/>
    <w:rsid w:val="007322AD"/>
    <w:rsid w:val="00732853"/>
    <w:rsid w:val="00732869"/>
    <w:rsid w:val="0073376E"/>
    <w:rsid w:val="0073520A"/>
    <w:rsid w:val="00735A0F"/>
    <w:rsid w:val="00735A89"/>
    <w:rsid w:val="00735DEE"/>
    <w:rsid w:val="00735E16"/>
    <w:rsid w:val="0073681D"/>
    <w:rsid w:val="007369D3"/>
    <w:rsid w:val="007373CF"/>
    <w:rsid w:val="007379C7"/>
    <w:rsid w:val="00740344"/>
    <w:rsid w:val="0074038B"/>
    <w:rsid w:val="00741049"/>
    <w:rsid w:val="007415B8"/>
    <w:rsid w:val="007417B3"/>
    <w:rsid w:val="00741874"/>
    <w:rsid w:val="007428B4"/>
    <w:rsid w:val="007429B6"/>
    <w:rsid w:val="00742C21"/>
    <w:rsid w:val="00743682"/>
    <w:rsid w:val="0074583B"/>
    <w:rsid w:val="00745963"/>
    <w:rsid w:val="00745A13"/>
    <w:rsid w:val="00745AB1"/>
    <w:rsid w:val="00746348"/>
    <w:rsid w:val="007464CA"/>
    <w:rsid w:val="00746EA2"/>
    <w:rsid w:val="00747DCB"/>
    <w:rsid w:val="007502CA"/>
    <w:rsid w:val="00750D85"/>
    <w:rsid w:val="0075104E"/>
    <w:rsid w:val="00751874"/>
    <w:rsid w:val="00751A55"/>
    <w:rsid w:val="00752EBF"/>
    <w:rsid w:val="00754691"/>
    <w:rsid w:val="0075514E"/>
    <w:rsid w:val="00755567"/>
    <w:rsid w:val="007556AA"/>
    <w:rsid w:val="0075687D"/>
    <w:rsid w:val="00756D84"/>
    <w:rsid w:val="00757062"/>
    <w:rsid w:val="007570AC"/>
    <w:rsid w:val="0075716C"/>
    <w:rsid w:val="00760774"/>
    <w:rsid w:val="00760837"/>
    <w:rsid w:val="00760EFF"/>
    <w:rsid w:val="00761836"/>
    <w:rsid w:val="0076214A"/>
    <w:rsid w:val="00763724"/>
    <w:rsid w:val="00764B65"/>
    <w:rsid w:val="00764E37"/>
    <w:rsid w:val="007666B4"/>
    <w:rsid w:val="00766AEF"/>
    <w:rsid w:val="00766ED0"/>
    <w:rsid w:val="00767494"/>
    <w:rsid w:val="00770149"/>
    <w:rsid w:val="0077027E"/>
    <w:rsid w:val="0077088A"/>
    <w:rsid w:val="00772D50"/>
    <w:rsid w:val="00773318"/>
    <w:rsid w:val="007736D0"/>
    <w:rsid w:val="00773BE3"/>
    <w:rsid w:val="00773E1E"/>
    <w:rsid w:val="00773E95"/>
    <w:rsid w:val="0077471F"/>
    <w:rsid w:val="00774768"/>
    <w:rsid w:val="00774E73"/>
    <w:rsid w:val="00775F98"/>
    <w:rsid w:val="007769EA"/>
    <w:rsid w:val="00776C2E"/>
    <w:rsid w:val="00777A55"/>
    <w:rsid w:val="00777CBA"/>
    <w:rsid w:val="00780470"/>
    <w:rsid w:val="00780C8E"/>
    <w:rsid w:val="00781641"/>
    <w:rsid w:val="00781679"/>
    <w:rsid w:val="0078168B"/>
    <w:rsid w:val="00781DAC"/>
    <w:rsid w:val="0078229A"/>
    <w:rsid w:val="0078298D"/>
    <w:rsid w:val="00782C06"/>
    <w:rsid w:val="00782E39"/>
    <w:rsid w:val="007838A4"/>
    <w:rsid w:val="00783EE7"/>
    <w:rsid w:val="007842DA"/>
    <w:rsid w:val="007851E9"/>
    <w:rsid w:val="007862EF"/>
    <w:rsid w:val="00786873"/>
    <w:rsid w:val="00786A78"/>
    <w:rsid w:val="00786A7A"/>
    <w:rsid w:val="00786C46"/>
    <w:rsid w:val="00786D3A"/>
    <w:rsid w:val="00787C13"/>
    <w:rsid w:val="00790773"/>
    <w:rsid w:val="007911D4"/>
    <w:rsid w:val="0079170E"/>
    <w:rsid w:val="00791E26"/>
    <w:rsid w:val="00794CEE"/>
    <w:rsid w:val="007951E0"/>
    <w:rsid w:val="007955F2"/>
    <w:rsid w:val="00795D2F"/>
    <w:rsid w:val="0079601F"/>
    <w:rsid w:val="00796294"/>
    <w:rsid w:val="0079640E"/>
    <w:rsid w:val="0079660D"/>
    <w:rsid w:val="0079686C"/>
    <w:rsid w:val="0079686E"/>
    <w:rsid w:val="0079721A"/>
    <w:rsid w:val="00797723"/>
    <w:rsid w:val="00797887"/>
    <w:rsid w:val="00797A68"/>
    <w:rsid w:val="00797EDF"/>
    <w:rsid w:val="007A0486"/>
    <w:rsid w:val="007A07BE"/>
    <w:rsid w:val="007A1A09"/>
    <w:rsid w:val="007A1B26"/>
    <w:rsid w:val="007A1ED3"/>
    <w:rsid w:val="007A247C"/>
    <w:rsid w:val="007A2487"/>
    <w:rsid w:val="007A2EE6"/>
    <w:rsid w:val="007A36CD"/>
    <w:rsid w:val="007A4172"/>
    <w:rsid w:val="007A46CA"/>
    <w:rsid w:val="007A49F0"/>
    <w:rsid w:val="007A4AF4"/>
    <w:rsid w:val="007A4B64"/>
    <w:rsid w:val="007A4F45"/>
    <w:rsid w:val="007A4F66"/>
    <w:rsid w:val="007A4F9D"/>
    <w:rsid w:val="007A67AA"/>
    <w:rsid w:val="007A67AF"/>
    <w:rsid w:val="007A70B7"/>
    <w:rsid w:val="007A71D3"/>
    <w:rsid w:val="007A74AA"/>
    <w:rsid w:val="007A79AE"/>
    <w:rsid w:val="007B02DF"/>
    <w:rsid w:val="007B04B1"/>
    <w:rsid w:val="007B0914"/>
    <w:rsid w:val="007B09CF"/>
    <w:rsid w:val="007B1B61"/>
    <w:rsid w:val="007B1D94"/>
    <w:rsid w:val="007B1EC6"/>
    <w:rsid w:val="007B1FD4"/>
    <w:rsid w:val="007B2356"/>
    <w:rsid w:val="007B238D"/>
    <w:rsid w:val="007B2CA0"/>
    <w:rsid w:val="007B300A"/>
    <w:rsid w:val="007B3C14"/>
    <w:rsid w:val="007B3E81"/>
    <w:rsid w:val="007B49A8"/>
    <w:rsid w:val="007B52DE"/>
    <w:rsid w:val="007B56D7"/>
    <w:rsid w:val="007B6070"/>
    <w:rsid w:val="007B67B0"/>
    <w:rsid w:val="007B6A3E"/>
    <w:rsid w:val="007B79E6"/>
    <w:rsid w:val="007B79EE"/>
    <w:rsid w:val="007C025D"/>
    <w:rsid w:val="007C03B4"/>
    <w:rsid w:val="007C05B2"/>
    <w:rsid w:val="007C08FC"/>
    <w:rsid w:val="007C190A"/>
    <w:rsid w:val="007C1A79"/>
    <w:rsid w:val="007C1B5F"/>
    <w:rsid w:val="007C1D7C"/>
    <w:rsid w:val="007C232D"/>
    <w:rsid w:val="007C2958"/>
    <w:rsid w:val="007C2A0B"/>
    <w:rsid w:val="007C4536"/>
    <w:rsid w:val="007C5582"/>
    <w:rsid w:val="007C5C74"/>
    <w:rsid w:val="007D0137"/>
    <w:rsid w:val="007D094B"/>
    <w:rsid w:val="007D0AC7"/>
    <w:rsid w:val="007D0B11"/>
    <w:rsid w:val="007D1A27"/>
    <w:rsid w:val="007D1F84"/>
    <w:rsid w:val="007D2787"/>
    <w:rsid w:val="007D2EED"/>
    <w:rsid w:val="007D2F3D"/>
    <w:rsid w:val="007D3076"/>
    <w:rsid w:val="007D329B"/>
    <w:rsid w:val="007D360C"/>
    <w:rsid w:val="007D3A15"/>
    <w:rsid w:val="007D3E1B"/>
    <w:rsid w:val="007D416F"/>
    <w:rsid w:val="007D4698"/>
    <w:rsid w:val="007D4B92"/>
    <w:rsid w:val="007D4E54"/>
    <w:rsid w:val="007D521A"/>
    <w:rsid w:val="007D5628"/>
    <w:rsid w:val="007D5A54"/>
    <w:rsid w:val="007D5DA2"/>
    <w:rsid w:val="007D6034"/>
    <w:rsid w:val="007D6689"/>
    <w:rsid w:val="007D7967"/>
    <w:rsid w:val="007D7CA2"/>
    <w:rsid w:val="007E04D5"/>
    <w:rsid w:val="007E05E1"/>
    <w:rsid w:val="007E0A1E"/>
    <w:rsid w:val="007E1170"/>
    <w:rsid w:val="007E1338"/>
    <w:rsid w:val="007E3236"/>
    <w:rsid w:val="007E3A32"/>
    <w:rsid w:val="007E40A8"/>
    <w:rsid w:val="007E4251"/>
    <w:rsid w:val="007E442D"/>
    <w:rsid w:val="007E4816"/>
    <w:rsid w:val="007E4B12"/>
    <w:rsid w:val="007E4B87"/>
    <w:rsid w:val="007E5D74"/>
    <w:rsid w:val="007E6824"/>
    <w:rsid w:val="007E6EF4"/>
    <w:rsid w:val="007E7218"/>
    <w:rsid w:val="007E7363"/>
    <w:rsid w:val="007E7EE5"/>
    <w:rsid w:val="007F046B"/>
    <w:rsid w:val="007F064A"/>
    <w:rsid w:val="007F2422"/>
    <w:rsid w:val="007F2A20"/>
    <w:rsid w:val="007F3B35"/>
    <w:rsid w:val="007F3FB9"/>
    <w:rsid w:val="007F3FD1"/>
    <w:rsid w:val="007F42FA"/>
    <w:rsid w:val="007F45BD"/>
    <w:rsid w:val="007F54A2"/>
    <w:rsid w:val="007F78A0"/>
    <w:rsid w:val="008018F9"/>
    <w:rsid w:val="00801A9B"/>
    <w:rsid w:val="00801DB2"/>
    <w:rsid w:val="00802292"/>
    <w:rsid w:val="008034D9"/>
    <w:rsid w:val="0080390D"/>
    <w:rsid w:val="00803DC4"/>
    <w:rsid w:val="008042D2"/>
    <w:rsid w:val="0080439F"/>
    <w:rsid w:val="00807957"/>
    <w:rsid w:val="00810B9F"/>
    <w:rsid w:val="00811116"/>
    <w:rsid w:val="008115C3"/>
    <w:rsid w:val="00811C89"/>
    <w:rsid w:val="00811E92"/>
    <w:rsid w:val="00812036"/>
    <w:rsid w:val="008122B5"/>
    <w:rsid w:val="00812E4A"/>
    <w:rsid w:val="00813562"/>
    <w:rsid w:val="00814202"/>
    <w:rsid w:val="00814923"/>
    <w:rsid w:val="0081528F"/>
    <w:rsid w:val="0081594A"/>
    <w:rsid w:val="00816478"/>
    <w:rsid w:val="008201B5"/>
    <w:rsid w:val="00820356"/>
    <w:rsid w:val="00820AAA"/>
    <w:rsid w:val="00820AEB"/>
    <w:rsid w:val="00821720"/>
    <w:rsid w:val="0082357C"/>
    <w:rsid w:val="00823681"/>
    <w:rsid w:val="00823B70"/>
    <w:rsid w:val="00823F17"/>
    <w:rsid w:val="008240A8"/>
    <w:rsid w:val="0082495A"/>
    <w:rsid w:val="008250B3"/>
    <w:rsid w:val="0082585C"/>
    <w:rsid w:val="0082602C"/>
    <w:rsid w:val="008276A7"/>
    <w:rsid w:val="00827BA1"/>
    <w:rsid w:val="00827D4C"/>
    <w:rsid w:val="008300CD"/>
    <w:rsid w:val="008300F5"/>
    <w:rsid w:val="008307BA"/>
    <w:rsid w:val="008308BA"/>
    <w:rsid w:val="00830D86"/>
    <w:rsid w:val="00831AC2"/>
    <w:rsid w:val="00831ADA"/>
    <w:rsid w:val="00831D3A"/>
    <w:rsid w:val="00832D63"/>
    <w:rsid w:val="00834384"/>
    <w:rsid w:val="0083448D"/>
    <w:rsid w:val="00834891"/>
    <w:rsid w:val="00835227"/>
    <w:rsid w:val="0083525B"/>
    <w:rsid w:val="008352CF"/>
    <w:rsid w:val="008353F1"/>
    <w:rsid w:val="00835A32"/>
    <w:rsid w:val="00836929"/>
    <w:rsid w:val="00836B92"/>
    <w:rsid w:val="00837D7A"/>
    <w:rsid w:val="0084058D"/>
    <w:rsid w:val="008405D9"/>
    <w:rsid w:val="00840F82"/>
    <w:rsid w:val="00841368"/>
    <w:rsid w:val="008413AD"/>
    <w:rsid w:val="008418AF"/>
    <w:rsid w:val="008418C4"/>
    <w:rsid w:val="00841AA3"/>
    <w:rsid w:val="00842301"/>
    <w:rsid w:val="008428B4"/>
    <w:rsid w:val="008428DB"/>
    <w:rsid w:val="00842C4E"/>
    <w:rsid w:val="00842EEE"/>
    <w:rsid w:val="008432BE"/>
    <w:rsid w:val="008434BB"/>
    <w:rsid w:val="0084378C"/>
    <w:rsid w:val="008443FC"/>
    <w:rsid w:val="00844826"/>
    <w:rsid w:val="008449F3"/>
    <w:rsid w:val="00844E2A"/>
    <w:rsid w:val="00845C68"/>
    <w:rsid w:val="008460CB"/>
    <w:rsid w:val="0084642C"/>
    <w:rsid w:val="0084648A"/>
    <w:rsid w:val="00846821"/>
    <w:rsid w:val="00846C62"/>
    <w:rsid w:val="0084720E"/>
    <w:rsid w:val="00847B2C"/>
    <w:rsid w:val="00847F85"/>
    <w:rsid w:val="008503ED"/>
    <w:rsid w:val="00850403"/>
    <w:rsid w:val="00851023"/>
    <w:rsid w:val="0085108C"/>
    <w:rsid w:val="0085163D"/>
    <w:rsid w:val="00851C71"/>
    <w:rsid w:val="00851E43"/>
    <w:rsid w:val="00851E8F"/>
    <w:rsid w:val="00852617"/>
    <w:rsid w:val="00852D60"/>
    <w:rsid w:val="00852E1C"/>
    <w:rsid w:val="00852F34"/>
    <w:rsid w:val="00852F97"/>
    <w:rsid w:val="00853028"/>
    <w:rsid w:val="008530A8"/>
    <w:rsid w:val="008530EE"/>
    <w:rsid w:val="00853CD9"/>
    <w:rsid w:val="008540F4"/>
    <w:rsid w:val="008551B0"/>
    <w:rsid w:val="00855C83"/>
    <w:rsid w:val="008566F8"/>
    <w:rsid w:val="0085736D"/>
    <w:rsid w:val="00857723"/>
    <w:rsid w:val="008579C4"/>
    <w:rsid w:val="00857FE6"/>
    <w:rsid w:val="0086033F"/>
    <w:rsid w:val="008603E1"/>
    <w:rsid w:val="00860CB8"/>
    <w:rsid w:val="00861D03"/>
    <w:rsid w:val="0086315B"/>
    <w:rsid w:val="00863278"/>
    <w:rsid w:val="00863918"/>
    <w:rsid w:val="00863B17"/>
    <w:rsid w:val="00864969"/>
    <w:rsid w:val="00864BA8"/>
    <w:rsid w:val="00864E78"/>
    <w:rsid w:val="0086652A"/>
    <w:rsid w:val="00866676"/>
    <w:rsid w:val="00866894"/>
    <w:rsid w:val="0086689A"/>
    <w:rsid w:val="00866CA0"/>
    <w:rsid w:val="00866DCA"/>
    <w:rsid w:val="00866E27"/>
    <w:rsid w:val="008673FE"/>
    <w:rsid w:val="00867EEB"/>
    <w:rsid w:val="00870349"/>
    <w:rsid w:val="008704E8"/>
    <w:rsid w:val="008706F7"/>
    <w:rsid w:val="00870B61"/>
    <w:rsid w:val="008719D4"/>
    <w:rsid w:val="00871EE7"/>
    <w:rsid w:val="00872197"/>
    <w:rsid w:val="0087242C"/>
    <w:rsid w:val="0087287F"/>
    <w:rsid w:val="008730F1"/>
    <w:rsid w:val="00873423"/>
    <w:rsid w:val="00874186"/>
    <w:rsid w:val="0087470C"/>
    <w:rsid w:val="00874B8B"/>
    <w:rsid w:val="00874BB7"/>
    <w:rsid w:val="00875072"/>
    <w:rsid w:val="008750C8"/>
    <w:rsid w:val="00875102"/>
    <w:rsid w:val="00875134"/>
    <w:rsid w:val="008760F3"/>
    <w:rsid w:val="00876160"/>
    <w:rsid w:val="00876E15"/>
    <w:rsid w:val="00876E9F"/>
    <w:rsid w:val="00877449"/>
    <w:rsid w:val="008774F1"/>
    <w:rsid w:val="0087762A"/>
    <w:rsid w:val="0087799A"/>
    <w:rsid w:val="008809C6"/>
    <w:rsid w:val="00880BE9"/>
    <w:rsid w:val="00880C84"/>
    <w:rsid w:val="0088170F"/>
    <w:rsid w:val="00882184"/>
    <w:rsid w:val="008828BA"/>
    <w:rsid w:val="00883096"/>
    <w:rsid w:val="00883573"/>
    <w:rsid w:val="00883B35"/>
    <w:rsid w:val="00883F18"/>
    <w:rsid w:val="00884661"/>
    <w:rsid w:val="00884AAE"/>
    <w:rsid w:val="00885B18"/>
    <w:rsid w:val="00885BAB"/>
    <w:rsid w:val="00885E3D"/>
    <w:rsid w:val="00886159"/>
    <w:rsid w:val="00887560"/>
    <w:rsid w:val="00887C14"/>
    <w:rsid w:val="00887C56"/>
    <w:rsid w:val="0089017B"/>
    <w:rsid w:val="008907ED"/>
    <w:rsid w:val="00890A6F"/>
    <w:rsid w:val="0089153B"/>
    <w:rsid w:val="0089164E"/>
    <w:rsid w:val="00891675"/>
    <w:rsid w:val="00891FCE"/>
    <w:rsid w:val="008921D4"/>
    <w:rsid w:val="00892566"/>
    <w:rsid w:val="00892590"/>
    <w:rsid w:val="00892C70"/>
    <w:rsid w:val="00892D29"/>
    <w:rsid w:val="00893312"/>
    <w:rsid w:val="00893485"/>
    <w:rsid w:val="00893488"/>
    <w:rsid w:val="00893C60"/>
    <w:rsid w:val="00894780"/>
    <w:rsid w:val="00895116"/>
    <w:rsid w:val="0089537F"/>
    <w:rsid w:val="0089560F"/>
    <w:rsid w:val="00895E24"/>
    <w:rsid w:val="00896C7D"/>
    <w:rsid w:val="00896D6A"/>
    <w:rsid w:val="008979F4"/>
    <w:rsid w:val="00897E2C"/>
    <w:rsid w:val="008A1F8F"/>
    <w:rsid w:val="008A35A3"/>
    <w:rsid w:val="008A3891"/>
    <w:rsid w:val="008A3EED"/>
    <w:rsid w:val="008A4532"/>
    <w:rsid w:val="008A4BFD"/>
    <w:rsid w:val="008A5392"/>
    <w:rsid w:val="008A54D9"/>
    <w:rsid w:val="008A5740"/>
    <w:rsid w:val="008A6314"/>
    <w:rsid w:val="008A65B1"/>
    <w:rsid w:val="008A65E8"/>
    <w:rsid w:val="008A7F6D"/>
    <w:rsid w:val="008A7F7B"/>
    <w:rsid w:val="008B103C"/>
    <w:rsid w:val="008B11BB"/>
    <w:rsid w:val="008B165C"/>
    <w:rsid w:val="008B19BF"/>
    <w:rsid w:val="008B1E44"/>
    <w:rsid w:val="008B207C"/>
    <w:rsid w:val="008B2319"/>
    <w:rsid w:val="008B2842"/>
    <w:rsid w:val="008B331B"/>
    <w:rsid w:val="008B3DCD"/>
    <w:rsid w:val="008B426C"/>
    <w:rsid w:val="008B43C3"/>
    <w:rsid w:val="008B4472"/>
    <w:rsid w:val="008B4475"/>
    <w:rsid w:val="008B45C5"/>
    <w:rsid w:val="008B4E4F"/>
    <w:rsid w:val="008B4E74"/>
    <w:rsid w:val="008B681C"/>
    <w:rsid w:val="008B6E5B"/>
    <w:rsid w:val="008B6EAB"/>
    <w:rsid w:val="008B6F7F"/>
    <w:rsid w:val="008B729C"/>
    <w:rsid w:val="008B7873"/>
    <w:rsid w:val="008B7FB9"/>
    <w:rsid w:val="008C0888"/>
    <w:rsid w:val="008C0E7E"/>
    <w:rsid w:val="008C1230"/>
    <w:rsid w:val="008C156E"/>
    <w:rsid w:val="008C1BE4"/>
    <w:rsid w:val="008C1CC5"/>
    <w:rsid w:val="008C225B"/>
    <w:rsid w:val="008C238F"/>
    <w:rsid w:val="008C2517"/>
    <w:rsid w:val="008C27A0"/>
    <w:rsid w:val="008C27A4"/>
    <w:rsid w:val="008C3C83"/>
    <w:rsid w:val="008C3D33"/>
    <w:rsid w:val="008C403B"/>
    <w:rsid w:val="008C5738"/>
    <w:rsid w:val="008C5F99"/>
    <w:rsid w:val="008C6058"/>
    <w:rsid w:val="008C6213"/>
    <w:rsid w:val="008C66E0"/>
    <w:rsid w:val="008C7CB0"/>
    <w:rsid w:val="008D0E34"/>
    <w:rsid w:val="008D0E77"/>
    <w:rsid w:val="008D181C"/>
    <w:rsid w:val="008D19D0"/>
    <w:rsid w:val="008D1FBD"/>
    <w:rsid w:val="008D23CB"/>
    <w:rsid w:val="008D3C5E"/>
    <w:rsid w:val="008D4425"/>
    <w:rsid w:val="008D4822"/>
    <w:rsid w:val="008D4DA2"/>
    <w:rsid w:val="008D5C97"/>
    <w:rsid w:val="008D62A0"/>
    <w:rsid w:val="008D650D"/>
    <w:rsid w:val="008D7305"/>
    <w:rsid w:val="008E00D3"/>
    <w:rsid w:val="008E01F6"/>
    <w:rsid w:val="008E0497"/>
    <w:rsid w:val="008E0E9C"/>
    <w:rsid w:val="008E11D5"/>
    <w:rsid w:val="008E3051"/>
    <w:rsid w:val="008E32DB"/>
    <w:rsid w:val="008E3951"/>
    <w:rsid w:val="008E44DA"/>
    <w:rsid w:val="008E49C8"/>
    <w:rsid w:val="008E543A"/>
    <w:rsid w:val="008E546B"/>
    <w:rsid w:val="008E5799"/>
    <w:rsid w:val="008E60C0"/>
    <w:rsid w:val="008E6A9A"/>
    <w:rsid w:val="008E7A48"/>
    <w:rsid w:val="008F0382"/>
    <w:rsid w:val="008F0575"/>
    <w:rsid w:val="008F086D"/>
    <w:rsid w:val="008F1790"/>
    <w:rsid w:val="008F184F"/>
    <w:rsid w:val="008F2249"/>
    <w:rsid w:val="008F23E4"/>
    <w:rsid w:val="008F2580"/>
    <w:rsid w:val="008F2EA9"/>
    <w:rsid w:val="008F3298"/>
    <w:rsid w:val="008F330D"/>
    <w:rsid w:val="008F360F"/>
    <w:rsid w:val="008F4404"/>
    <w:rsid w:val="008F4C9C"/>
    <w:rsid w:val="008F61E9"/>
    <w:rsid w:val="008F62A9"/>
    <w:rsid w:val="008F6CF5"/>
    <w:rsid w:val="008F6E0C"/>
    <w:rsid w:val="008F6F57"/>
    <w:rsid w:val="008F7088"/>
    <w:rsid w:val="008F7402"/>
    <w:rsid w:val="008F7581"/>
    <w:rsid w:val="008F7CB4"/>
    <w:rsid w:val="00900B3F"/>
    <w:rsid w:val="00900EA2"/>
    <w:rsid w:val="00901C4C"/>
    <w:rsid w:val="00902CFF"/>
    <w:rsid w:val="00902D81"/>
    <w:rsid w:val="00902E1F"/>
    <w:rsid w:val="00903B35"/>
    <w:rsid w:val="0090440A"/>
    <w:rsid w:val="00904441"/>
    <w:rsid w:val="009048DB"/>
    <w:rsid w:val="00904980"/>
    <w:rsid w:val="00904B8A"/>
    <w:rsid w:val="009064D9"/>
    <w:rsid w:val="009066AC"/>
    <w:rsid w:val="00906C64"/>
    <w:rsid w:val="00906D9C"/>
    <w:rsid w:val="00907904"/>
    <w:rsid w:val="00910E0D"/>
    <w:rsid w:val="009111D2"/>
    <w:rsid w:val="009115BB"/>
    <w:rsid w:val="00911718"/>
    <w:rsid w:val="009119B7"/>
    <w:rsid w:val="009122DA"/>
    <w:rsid w:val="0091282A"/>
    <w:rsid w:val="00912CA9"/>
    <w:rsid w:val="0091321E"/>
    <w:rsid w:val="00913BEA"/>
    <w:rsid w:val="009149E6"/>
    <w:rsid w:val="00914A13"/>
    <w:rsid w:val="00914D51"/>
    <w:rsid w:val="00915848"/>
    <w:rsid w:val="00915C4D"/>
    <w:rsid w:val="00915C6A"/>
    <w:rsid w:val="00915EF8"/>
    <w:rsid w:val="00915F75"/>
    <w:rsid w:val="00916A37"/>
    <w:rsid w:val="009170BF"/>
    <w:rsid w:val="009177BF"/>
    <w:rsid w:val="00917915"/>
    <w:rsid w:val="00917943"/>
    <w:rsid w:val="00917F37"/>
    <w:rsid w:val="00920477"/>
    <w:rsid w:val="0092171F"/>
    <w:rsid w:val="00921A2D"/>
    <w:rsid w:val="00922736"/>
    <w:rsid w:val="00922778"/>
    <w:rsid w:val="00922AD9"/>
    <w:rsid w:val="00922D04"/>
    <w:rsid w:val="00922E8E"/>
    <w:rsid w:val="009237F9"/>
    <w:rsid w:val="00923BD2"/>
    <w:rsid w:val="009256B8"/>
    <w:rsid w:val="009265A0"/>
    <w:rsid w:val="00926EF9"/>
    <w:rsid w:val="00927E17"/>
    <w:rsid w:val="00930141"/>
    <w:rsid w:val="00930415"/>
    <w:rsid w:val="00931215"/>
    <w:rsid w:val="009313A9"/>
    <w:rsid w:val="00931481"/>
    <w:rsid w:val="0093158C"/>
    <w:rsid w:val="00931A2A"/>
    <w:rsid w:val="00931B77"/>
    <w:rsid w:val="009320AC"/>
    <w:rsid w:val="009321BD"/>
    <w:rsid w:val="0093284E"/>
    <w:rsid w:val="0093357E"/>
    <w:rsid w:val="009338BF"/>
    <w:rsid w:val="009352B2"/>
    <w:rsid w:val="00935C46"/>
    <w:rsid w:val="00935C53"/>
    <w:rsid w:val="0093673E"/>
    <w:rsid w:val="00937CEF"/>
    <w:rsid w:val="00940039"/>
    <w:rsid w:val="009403E6"/>
    <w:rsid w:val="00940518"/>
    <w:rsid w:val="009407A1"/>
    <w:rsid w:val="00940CEB"/>
    <w:rsid w:val="00940D4C"/>
    <w:rsid w:val="00940DCC"/>
    <w:rsid w:val="00940F1A"/>
    <w:rsid w:val="009414C9"/>
    <w:rsid w:val="009423F3"/>
    <w:rsid w:val="00942BED"/>
    <w:rsid w:val="00943FE7"/>
    <w:rsid w:val="009443B8"/>
    <w:rsid w:val="00944E97"/>
    <w:rsid w:val="00944FFB"/>
    <w:rsid w:val="00945920"/>
    <w:rsid w:val="009459C5"/>
    <w:rsid w:val="00946A50"/>
    <w:rsid w:val="00946C72"/>
    <w:rsid w:val="009471BF"/>
    <w:rsid w:val="00947F8D"/>
    <w:rsid w:val="00950A88"/>
    <w:rsid w:val="00950C70"/>
    <w:rsid w:val="009510E8"/>
    <w:rsid w:val="00951224"/>
    <w:rsid w:val="009517EE"/>
    <w:rsid w:val="00952E8F"/>
    <w:rsid w:val="00953210"/>
    <w:rsid w:val="009533A8"/>
    <w:rsid w:val="00953500"/>
    <w:rsid w:val="009539A1"/>
    <w:rsid w:val="00954069"/>
    <w:rsid w:val="00955058"/>
    <w:rsid w:val="00955C92"/>
    <w:rsid w:val="0095638B"/>
    <w:rsid w:val="00956CA6"/>
    <w:rsid w:val="00956D80"/>
    <w:rsid w:val="0095715E"/>
    <w:rsid w:val="00957B4B"/>
    <w:rsid w:val="00960CE5"/>
    <w:rsid w:val="00961D3D"/>
    <w:rsid w:val="009625EE"/>
    <w:rsid w:val="009627F0"/>
    <w:rsid w:val="00962A0A"/>
    <w:rsid w:val="00962F3F"/>
    <w:rsid w:val="00963384"/>
    <w:rsid w:val="009633F8"/>
    <w:rsid w:val="00963913"/>
    <w:rsid w:val="00964167"/>
    <w:rsid w:val="0096426D"/>
    <w:rsid w:val="00964B89"/>
    <w:rsid w:val="00964F15"/>
    <w:rsid w:val="00965006"/>
    <w:rsid w:val="00965124"/>
    <w:rsid w:val="009651A5"/>
    <w:rsid w:val="009652B9"/>
    <w:rsid w:val="0096548F"/>
    <w:rsid w:val="00965EB2"/>
    <w:rsid w:val="00965EB3"/>
    <w:rsid w:val="009661DC"/>
    <w:rsid w:val="00966418"/>
    <w:rsid w:val="00966E9B"/>
    <w:rsid w:val="00967623"/>
    <w:rsid w:val="00970038"/>
    <w:rsid w:val="00970F66"/>
    <w:rsid w:val="009720AA"/>
    <w:rsid w:val="009722C7"/>
    <w:rsid w:val="00972906"/>
    <w:rsid w:val="00972D59"/>
    <w:rsid w:val="00972F99"/>
    <w:rsid w:val="0097300C"/>
    <w:rsid w:val="00974478"/>
    <w:rsid w:val="0097463C"/>
    <w:rsid w:val="00974D4D"/>
    <w:rsid w:val="00975D92"/>
    <w:rsid w:val="0097755B"/>
    <w:rsid w:val="00977D48"/>
    <w:rsid w:val="00980887"/>
    <w:rsid w:val="00980A63"/>
    <w:rsid w:val="00980B0C"/>
    <w:rsid w:val="00981240"/>
    <w:rsid w:val="009818B7"/>
    <w:rsid w:val="00981CBF"/>
    <w:rsid w:val="009823D7"/>
    <w:rsid w:val="00983119"/>
    <w:rsid w:val="00983299"/>
    <w:rsid w:val="009833C1"/>
    <w:rsid w:val="00983414"/>
    <w:rsid w:val="00983E94"/>
    <w:rsid w:val="00984543"/>
    <w:rsid w:val="00984A1E"/>
    <w:rsid w:val="00984B60"/>
    <w:rsid w:val="00985CD7"/>
    <w:rsid w:val="0098644C"/>
    <w:rsid w:val="00986605"/>
    <w:rsid w:val="0098676A"/>
    <w:rsid w:val="009868E9"/>
    <w:rsid w:val="00986959"/>
    <w:rsid w:val="009869A7"/>
    <w:rsid w:val="00987291"/>
    <w:rsid w:val="0098738D"/>
    <w:rsid w:val="00990620"/>
    <w:rsid w:val="00990F85"/>
    <w:rsid w:val="009911B4"/>
    <w:rsid w:val="00991770"/>
    <w:rsid w:val="00992D23"/>
    <w:rsid w:val="00992E53"/>
    <w:rsid w:val="00992E86"/>
    <w:rsid w:val="00992E87"/>
    <w:rsid w:val="00993A7B"/>
    <w:rsid w:val="00994243"/>
    <w:rsid w:val="009947E5"/>
    <w:rsid w:val="00994E8C"/>
    <w:rsid w:val="00994F5E"/>
    <w:rsid w:val="0099602A"/>
    <w:rsid w:val="00996912"/>
    <w:rsid w:val="0099691B"/>
    <w:rsid w:val="009972D0"/>
    <w:rsid w:val="009972ED"/>
    <w:rsid w:val="00997874"/>
    <w:rsid w:val="00997FF4"/>
    <w:rsid w:val="009A08A3"/>
    <w:rsid w:val="009A0B9C"/>
    <w:rsid w:val="009A0D10"/>
    <w:rsid w:val="009A1E7B"/>
    <w:rsid w:val="009A2C03"/>
    <w:rsid w:val="009A2F21"/>
    <w:rsid w:val="009A34F1"/>
    <w:rsid w:val="009A393C"/>
    <w:rsid w:val="009A3AD9"/>
    <w:rsid w:val="009A4187"/>
    <w:rsid w:val="009A4EAA"/>
    <w:rsid w:val="009A52AB"/>
    <w:rsid w:val="009A5C42"/>
    <w:rsid w:val="009A6251"/>
    <w:rsid w:val="009A6669"/>
    <w:rsid w:val="009A6BBA"/>
    <w:rsid w:val="009A749E"/>
    <w:rsid w:val="009A7814"/>
    <w:rsid w:val="009B0792"/>
    <w:rsid w:val="009B4E65"/>
    <w:rsid w:val="009B53B6"/>
    <w:rsid w:val="009B6020"/>
    <w:rsid w:val="009B6190"/>
    <w:rsid w:val="009B68F3"/>
    <w:rsid w:val="009B6911"/>
    <w:rsid w:val="009B7012"/>
    <w:rsid w:val="009B7F7D"/>
    <w:rsid w:val="009C0555"/>
    <w:rsid w:val="009C12CB"/>
    <w:rsid w:val="009C14BD"/>
    <w:rsid w:val="009C2444"/>
    <w:rsid w:val="009C25D9"/>
    <w:rsid w:val="009C28BF"/>
    <w:rsid w:val="009C31D3"/>
    <w:rsid w:val="009C31EC"/>
    <w:rsid w:val="009C32AD"/>
    <w:rsid w:val="009C3BA9"/>
    <w:rsid w:val="009C4336"/>
    <w:rsid w:val="009C4D27"/>
    <w:rsid w:val="009C53C6"/>
    <w:rsid w:val="009C6EAB"/>
    <w:rsid w:val="009C77AA"/>
    <w:rsid w:val="009C7F35"/>
    <w:rsid w:val="009D0158"/>
    <w:rsid w:val="009D0264"/>
    <w:rsid w:val="009D0610"/>
    <w:rsid w:val="009D062E"/>
    <w:rsid w:val="009D13CB"/>
    <w:rsid w:val="009D163D"/>
    <w:rsid w:val="009D2810"/>
    <w:rsid w:val="009D298E"/>
    <w:rsid w:val="009D3B63"/>
    <w:rsid w:val="009D3E03"/>
    <w:rsid w:val="009D588C"/>
    <w:rsid w:val="009D58C9"/>
    <w:rsid w:val="009D682C"/>
    <w:rsid w:val="009D69D7"/>
    <w:rsid w:val="009D6B94"/>
    <w:rsid w:val="009D70B4"/>
    <w:rsid w:val="009D7E56"/>
    <w:rsid w:val="009E0050"/>
    <w:rsid w:val="009E01AA"/>
    <w:rsid w:val="009E0F31"/>
    <w:rsid w:val="009E1E87"/>
    <w:rsid w:val="009E2494"/>
    <w:rsid w:val="009E2AFA"/>
    <w:rsid w:val="009E3173"/>
    <w:rsid w:val="009E31FD"/>
    <w:rsid w:val="009E3481"/>
    <w:rsid w:val="009E3827"/>
    <w:rsid w:val="009E3D20"/>
    <w:rsid w:val="009E3E00"/>
    <w:rsid w:val="009E4096"/>
    <w:rsid w:val="009E44E0"/>
    <w:rsid w:val="009E4BF1"/>
    <w:rsid w:val="009E4DDB"/>
    <w:rsid w:val="009E5383"/>
    <w:rsid w:val="009E540B"/>
    <w:rsid w:val="009E58EF"/>
    <w:rsid w:val="009E61D0"/>
    <w:rsid w:val="009E6464"/>
    <w:rsid w:val="009E6F72"/>
    <w:rsid w:val="009E6FCC"/>
    <w:rsid w:val="009E7AB7"/>
    <w:rsid w:val="009E7E11"/>
    <w:rsid w:val="009F09DC"/>
    <w:rsid w:val="009F184B"/>
    <w:rsid w:val="009F234B"/>
    <w:rsid w:val="009F37DB"/>
    <w:rsid w:val="009F4EEC"/>
    <w:rsid w:val="009F5CC9"/>
    <w:rsid w:val="009F5F68"/>
    <w:rsid w:val="009F6220"/>
    <w:rsid w:val="009F666D"/>
    <w:rsid w:val="009F6A37"/>
    <w:rsid w:val="00A01118"/>
    <w:rsid w:val="00A0163C"/>
    <w:rsid w:val="00A01A77"/>
    <w:rsid w:val="00A02BD4"/>
    <w:rsid w:val="00A02BFA"/>
    <w:rsid w:val="00A03A41"/>
    <w:rsid w:val="00A03D42"/>
    <w:rsid w:val="00A048C7"/>
    <w:rsid w:val="00A04CA2"/>
    <w:rsid w:val="00A0508C"/>
    <w:rsid w:val="00A05987"/>
    <w:rsid w:val="00A05ECD"/>
    <w:rsid w:val="00A05ED6"/>
    <w:rsid w:val="00A06194"/>
    <w:rsid w:val="00A06856"/>
    <w:rsid w:val="00A06912"/>
    <w:rsid w:val="00A06C23"/>
    <w:rsid w:val="00A0765B"/>
    <w:rsid w:val="00A100C4"/>
    <w:rsid w:val="00A10B82"/>
    <w:rsid w:val="00A11270"/>
    <w:rsid w:val="00A112CF"/>
    <w:rsid w:val="00A11950"/>
    <w:rsid w:val="00A11A2D"/>
    <w:rsid w:val="00A11DB7"/>
    <w:rsid w:val="00A1253B"/>
    <w:rsid w:val="00A12CEF"/>
    <w:rsid w:val="00A13747"/>
    <w:rsid w:val="00A13857"/>
    <w:rsid w:val="00A1390B"/>
    <w:rsid w:val="00A13A5A"/>
    <w:rsid w:val="00A13A9F"/>
    <w:rsid w:val="00A142FB"/>
    <w:rsid w:val="00A144AD"/>
    <w:rsid w:val="00A1496A"/>
    <w:rsid w:val="00A149FB"/>
    <w:rsid w:val="00A1536C"/>
    <w:rsid w:val="00A165F6"/>
    <w:rsid w:val="00A16A0A"/>
    <w:rsid w:val="00A16C29"/>
    <w:rsid w:val="00A16FCE"/>
    <w:rsid w:val="00A21513"/>
    <w:rsid w:val="00A21EF1"/>
    <w:rsid w:val="00A2201E"/>
    <w:rsid w:val="00A22DA9"/>
    <w:rsid w:val="00A23215"/>
    <w:rsid w:val="00A23285"/>
    <w:rsid w:val="00A23977"/>
    <w:rsid w:val="00A23DC3"/>
    <w:rsid w:val="00A23E1A"/>
    <w:rsid w:val="00A23F32"/>
    <w:rsid w:val="00A246E7"/>
    <w:rsid w:val="00A24E10"/>
    <w:rsid w:val="00A2523A"/>
    <w:rsid w:val="00A253B2"/>
    <w:rsid w:val="00A25405"/>
    <w:rsid w:val="00A25C23"/>
    <w:rsid w:val="00A260E3"/>
    <w:rsid w:val="00A26406"/>
    <w:rsid w:val="00A27B29"/>
    <w:rsid w:val="00A30D4D"/>
    <w:rsid w:val="00A31469"/>
    <w:rsid w:val="00A31938"/>
    <w:rsid w:val="00A33443"/>
    <w:rsid w:val="00A33926"/>
    <w:rsid w:val="00A33E0F"/>
    <w:rsid w:val="00A3455B"/>
    <w:rsid w:val="00A35736"/>
    <w:rsid w:val="00A358D9"/>
    <w:rsid w:val="00A3618C"/>
    <w:rsid w:val="00A404D2"/>
    <w:rsid w:val="00A406DD"/>
    <w:rsid w:val="00A40D85"/>
    <w:rsid w:val="00A40EE9"/>
    <w:rsid w:val="00A41117"/>
    <w:rsid w:val="00A41967"/>
    <w:rsid w:val="00A4322B"/>
    <w:rsid w:val="00A432CF"/>
    <w:rsid w:val="00A4335D"/>
    <w:rsid w:val="00A43742"/>
    <w:rsid w:val="00A44A8A"/>
    <w:rsid w:val="00A44E20"/>
    <w:rsid w:val="00A450AB"/>
    <w:rsid w:val="00A45119"/>
    <w:rsid w:val="00A45650"/>
    <w:rsid w:val="00A45B57"/>
    <w:rsid w:val="00A45C38"/>
    <w:rsid w:val="00A461E9"/>
    <w:rsid w:val="00A46562"/>
    <w:rsid w:val="00A4696B"/>
    <w:rsid w:val="00A47760"/>
    <w:rsid w:val="00A500FD"/>
    <w:rsid w:val="00A50FD2"/>
    <w:rsid w:val="00A510B3"/>
    <w:rsid w:val="00A51160"/>
    <w:rsid w:val="00A51865"/>
    <w:rsid w:val="00A5251C"/>
    <w:rsid w:val="00A52D77"/>
    <w:rsid w:val="00A539A8"/>
    <w:rsid w:val="00A54541"/>
    <w:rsid w:val="00A54CCF"/>
    <w:rsid w:val="00A550C7"/>
    <w:rsid w:val="00A56214"/>
    <w:rsid w:val="00A56700"/>
    <w:rsid w:val="00A56A66"/>
    <w:rsid w:val="00A56D4D"/>
    <w:rsid w:val="00A5716B"/>
    <w:rsid w:val="00A575F5"/>
    <w:rsid w:val="00A57903"/>
    <w:rsid w:val="00A57EA9"/>
    <w:rsid w:val="00A57F54"/>
    <w:rsid w:val="00A6040B"/>
    <w:rsid w:val="00A61A6D"/>
    <w:rsid w:val="00A62BFC"/>
    <w:rsid w:val="00A638EF"/>
    <w:rsid w:val="00A645D9"/>
    <w:rsid w:val="00A64D86"/>
    <w:rsid w:val="00A6515F"/>
    <w:rsid w:val="00A65975"/>
    <w:rsid w:val="00A6644A"/>
    <w:rsid w:val="00A66CB8"/>
    <w:rsid w:val="00A702DA"/>
    <w:rsid w:val="00A707A1"/>
    <w:rsid w:val="00A707B5"/>
    <w:rsid w:val="00A70D94"/>
    <w:rsid w:val="00A72FC3"/>
    <w:rsid w:val="00A73269"/>
    <w:rsid w:val="00A732F9"/>
    <w:rsid w:val="00A737C8"/>
    <w:rsid w:val="00A739B7"/>
    <w:rsid w:val="00A747D3"/>
    <w:rsid w:val="00A7487C"/>
    <w:rsid w:val="00A748B8"/>
    <w:rsid w:val="00A762B9"/>
    <w:rsid w:val="00A764E0"/>
    <w:rsid w:val="00A7685A"/>
    <w:rsid w:val="00A77383"/>
    <w:rsid w:val="00A77BEE"/>
    <w:rsid w:val="00A80013"/>
    <w:rsid w:val="00A80556"/>
    <w:rsid w:val="00A80C03"/>
    <w:rsid w:val="00A81259"/>
    <w:rsid w:val="00A818C5"/>
    <w:rsid w:val="00A81F9C"/>
    <w:rsid w:val="00A8269B"/>
    <w:rsid w:val="00A828FF"/>
    <w:rsid w:val="00A82ABE"/>
    <w:rsid w:val="00A843C5"/>
    <w:rsid w:val="00A843E0"/>
    <w:rsid w:val="00A8549B"/>
    <w:rsid w:val="00A8558E"/>
    <w:rsid w:val="00A8586C"/>
    <w:rsid w:val="00A85A5A"/>
    <w:rsid w:val="00A85BA6"/>
    <w:rsid w:val="00A85BB9"/>
    <w:rsid w:val="00A85DBB"/>
    <w:rsid w:val="00A85EB1"/>
    <w:rsid w:val="00A86199"/>
    <w:rsid w:val="00A86219"/>
    <w:rsid w:val="00A86F74"/>
    <w:rsid w:val="00A86FE0"/>
    <w:rsid w:val="00A87A66"/>
    <w:rsid w:val="00A87E49"/>
    <w:rsid w:val="00A87F17"/>
    <w:rsid w:val="00A90178"/>
    <w:rsid w:val="00A90217"/>
    <w:rsid w:val="00A90817"/>
    <w:rsid w:val="00A90FED"/>
    <w:rsid w:val="00A91870"/>
    <w:rsid w:val="00A918BD"/>
    <w:rsid w:val="00A920C7"/>
    <w:rsid w:val="00A95105"/>
    <w:rsid w:val="00A9534D"/>
    <w:rsid w:val="00A95A04"/>
    <w:rsid w:val="00A962EE"/>
    <w:rsid w:val="00A971EA"/>
    <w:rsid w:val="00A97691"/>
    <w:rsid w:val="00A976C7"/>
    <w:rsid w:val="00A97B94"/>
    <w:rsid w:val="00A97F8A"/>
    <w:rsid w:val="00AA09B7"/>
    <w:rsid w:val="00AA0F8D"/>
    <w:rsid w:val="00AA10A5"/>
    <w:rsid w:val="00AA11B5"/>
    <w:rsid w:val="00AA16A7"/>
    <w:rsid w:val="00AA1EB5"/>
    <w:rsid w:val="00AA2064"/>
    <w:rsid w:val="00AA2483"/>
    <w:rsid w:val="00AA276B"/>
    <w:rsid w:val="00AA3C68"/>
    <w:rsid w:val="00AA3DA9"/>
    <w:rsid w:val="00AA4011"/>
    <w:rsid w:val="00AA412E"/>
    <w:rsid w:val="00AA4257"/>
    <w:rsid w:val="00AA4C6A"/>
    <w:rsid w:val="00AA5287"/>
    <w:rsid w:val="00AA5BD3"/>
    <w:rsid w:val="00AA625F"/>
    <w:rsid w:val="00AA65F0"/>
    <w:rsid w:val="00AA6981"/>
    <w:rsid w:val="00AA71EF"/>
    <w:rsid w:val="00AA72F9"/>
    <w:rsid w:val="00AA7378"/>
    <w:rsid w:val="00AA7D48"/>
    <w:rsid w:val="00AB0371"/>
    <w:rsid w:val="00AB092D"/>
    <w:rsid w:val="00AB0CC3"/>
    <w:rsid w:val="00AB0CE0"/>
    <w:rsid w:val="00AB118D"/>
    <w:rsid w:val="00AB186F"/>
    <w:rsid w:val="00AB188E"/>
    <w:rsid w:val="00AB1926"/>
    <w:rsid w:val="00AB196C"/>
    <w:rsid w:val="00AB2028"/>
    <w:rsid w:val="00AB29DC"/>
    <w:rsid w:val="00AB3211"/>
    <w:rsid w:val="00AB368E"/>
    <w:rsid w:val="00AB4303"/>
    <w:rsid w:val="00AB485D"/>
    <w:rsid w:val="00AB493A"/>
    <w:rsid w:val="00AB50DB"/>
    <w:rsid w:val="00AB5785"/>
    <w:rsid w:val="00AB5C99"/>
    <w:rsid w:val="00AB5D21"/>
    <w:rsid w:val="00AB5EB8"/>
    <w:rsid w:val="00AB62F8"/>
    <w:rsid w:val="00AB64ED"/>
    <w:rsid w:val="00AB6BF1"/>
    <w:rsid w:val="00AB7146"/>
    <w:rsid w:val="00AB7A9F"/>
    <w:rsid w:val="00AB7B76"/>
    <w:rsid w:val="00AC0774"/>
    <w:rsid w:val="00AC0F84"/>
    <w:rsid w:val="00AC10A8"/>
    <w:rsid w:val="00AC122A"/>
    <w:rsid w:val="00AC17CF"/>
    <w:rsid w:val="00AC2163"/>
    <w:rsid w:val="00AC27BE"/>
    <w:rsid w:val="00AC3AA8"/>
    <w:rsid w:val="00AC4440"/>
    <w:rsid w:val="00AC5AE5"/>
    <w:rsid w:val="00AC6B5D"/>
    <w:rsid w:val="00AC7A30"/>
    <w:rsid w:val="00AC7B80"/>
    <w:rsid w:val="00AC7C64"/>
    <w:rsid w:val="00AD00CD"/>
    <w:rsid w:val="00AD351F"/>
    <w:rsid w:val="00AD36FF"/>
    <w:rsid w:val="00AD3EE3"/>
    <w:rsid w:val="00AD44E0"/>
    <w:rsid w:val="00AD490C"/>
    <w:rsid w:val="00AD4919"/>
    <w:rsid w:val="00AD4D28"/>
    <w:rsid w:val="00AD5110"/>
    <w:rsid w:val="00AD5414"/>
    <w:rsid w:val="00AD5940"/>
    <w:rsid w:val="00AD66E2"/>
    <w:rsid w:val="00AD705E"/>
    <w:rsid w:val="00AD7A4B"/>
    <w:rsid w:val="00AD7C05"/>
    <w:rsid w:val="00AD7DA3"/>
    <w:rsid w:val="00AD7EE6"/>
    <w:rsid w:val="00AE000F"/>
    <w:rsid w:val="00AE09C5"/>
    <w:rsid w:val="00AE0A50"/>
    <w:rsid w:val="00AE0FD2"/>
    <w:rsid w:val="00AE104F"/>
    <w:rsid w:val="00AE19FA"/>
    <w:rsid w:val="00AE19FB"/>
    <w:rsid w:val="00AE1E41"/>
    <w:rsid w:val="00AE28D1"/>
    <w:rsid w:val="00AE2D42"/>
    <w:rsid w:val="00AE4772"/>
    <w:rsid w:val="00AE4D7F"/>
    <w:rsid w:val="00AE530C"/>
    <w:rsid w:val="00AE6646"/>
    <w:rsid w:val="00AE710F"/>
    <w:rsid w:val="00AE757F"/>
    <w:rsid w:val="00AE79EC"/>
    <w:rsid w:val="00AF025F"/>
    <w:rsid w:val="00AF0AA3"/>
    <w:rsid w:val="00AF1575"/>
    <w:rsid w:val="00AF1DF5"/>
    <w:rsid w:val="00AF1E94"/>
    <w:rsid w:val="00AF260A"/>
    <w:rsid w:val="00AF2724"/>
    <w:rsid w:val="00AF2F43"/>
    <w:rsid w:val="00AF3469"/>
    <w:rsid w:val="00AF3967"/>
    <w:rsid w:val="00AF3CBF"/>
    <w:rsid w:val="00AF476D"/>
    <w:rsid w:val="00AF49F2"/>
    <w:rsid w:val="00AF4B12"/>
    <w:rsid w:val="00AF53A7"/>
    <w:rsid w:val="00AF6220"/>
    <w:rsid w:val="00AF63C3"/>
    <w:rsid w:val="00AF671C"/>
    <w:rsid w:val="00AF673C"/>
    <w:rsid w:val="00B0071B"/>
    <w:rsid w:val="00B00A94"/>
    <w:rsid w:val="00B0156C"/>
    <w:rsid w:val="00B021C4"/>
    <w:rsid w:val="00B02593"/>
    <w:rsid w:val="00B02994"/>
    <w:rsid w:val="00B030A7"/>
    <w:rsid w:val="00B03D61"/>
    <w:rsid w:val="00B03F1B"/>
    <w:rsid w:val="00B045D6"/>
    <w:rsid w:val="00B046EE"/>
    <w:rsid w:val="00B04827"/>
    <w:rsid w:val="00B04B07"/>
    <w:rsid w:val="00B04CE4"/>
    <w:rsid w:val="00B04D38"/>
    <w:rsid w:val="00B0552B"/>
    <w:rsid w:val="00B05741"/>
    <w:rsid w:val="00B06BDE"/>
    <w:rsid w:val="00B06C07"/>
    <w:rsid w:val="00B06DA6"/>
    <w:rsid w:val="00B06E10"/>
    <w:rsid w:val="00B06F58"/>
    <w:rsid w:val="00B07663"/>
    <w:rsid w:val="00B07A21"/>
    <w:rsid w:val="00B107AF"/>
    <w:rsid w:val="00B11162"/>
    <w:rsid w:val="00B112E8"/>
    <w:rsid w:val="00B11AEF"/>
    <w:rsid w:val="00B121AA"/>
    <w:rsid w:val="00B12D41"/>
    <w:rsid w:val="00B12DCB"/>
    <w:rsid w:val="00B13602"/>
    <w:rsid w:val="00B13A17"/>
    <w:rsid w:val="00B14B08"/>
    <w:rsid w:val="00B1593D"/>
    <w:rsid w:val="00B16B3E"/>
    <w:rsid w:val="00B1710C"/>
    <w:rsid w:val="00B17D0B"/>
    <w:rsid w:val="00B20A8D"/>
    <w:rsid w:val="00B218E9"/>
    <w:rsid w:val="00B21C7F"/>
    <w:rsid w:val="00B21DD8"/>
    <w:rsid w:val="00B23279"/>
    <w:rsid w:val="00B23532"/>
    <w:rsid w:val="00B23BAA"/>
    <w:rsid w:val="00B23C4E"/>
    <w:rsid w:val="00B2511E"/>
    <w:rsid w:val="00B25320"/>
    <w:rsid w:val="00B25CC4"/>
    <w:rsid w:val="00B2631E"/>
    <w:rsid w:val="00B264F5"/>
    <w:rsid w:val="00B266C7"/>
    <w:rsid w:val="00B26960"/>
    <w:rsid w:val="00B27EC9"/>
    <w:rsid w:val="00B30958"/>
    <w:rsid w:val="00B30A32"/>
    <w:rsid w:val="00B30FDC"/>
    <w:rsid w:val="00B3166C"/>
    <w:rsid w:val="00B32F94"/>
    <w:rsid w:val="00B33046"/>
    <w:rsid w:val="00B3316B"/>
    <w:rsid w:val="00B331C7"/>
    <w:rsid w:val="00B331ED"/>
    <w:rsid w:val="00B3337B"/>
    <w:rsid w:val="00B341A7"/>
    <w:rsid w:val="00B342B1"/>
    <w:rsid w:val="00B34D14"/>
    <w:rsid w:val="00B353B5"/>
    <w:rsid w:val="00B37694"/>
    <w:rsid w:val="00B40509"/>
    <w:rsid w:val="00B40DE7"/>
    <w:rsid w:val="00B40E8B"/>
    <w:rsid w:val="00B42434"/>
    <w:rsid w:val="00B4245B"/>
    <w:rsid w:val="00B42789"/>
    <w:rsid w:val="00B42B82"/>
    <w:rsid w:val="00B42CA8"/>
    <w:rsid w:val="00B43426"/>
    <w:rsid w:val="00B43D61"/>
    <w:rsid w:val="00B43DCA"/>
    <w:rsid w:val="00B4412C"/>
    <w:rsid w:val="00B45300"/>
    <w:rsid w:val="00B45B56"/>
    <w:rsid w:val="00B47ECC"/>
    <w:rsid w:val="00B5032C"/>
    <w:rsid w:val="00B50A03"/>
    <w:rsid w:val="00B50CA6"/>
    <w:rsid w:val="00B50D2C"/>
    <w:rsid w:val="00B5158F"/>
    <w:rsid w:val="00B515E4"/>
    <w:rsid w:val="00B517B6"/>
    <w:rsid w:val="00B51CA6"/>
    <w:rsid w:val="00B51EE3"/>
    <w:rsid w:val="00B52DC2"/>
    <w:rsid w:val="00B52F8F"/>
    <w:rsid w:val="00B53203"/>
    <w:rsid w:val="00B539B0"/>
    <w:rsid w:val="00B5433B"/>
    <w:rsid w:val="00B54510"/>
    <w:rsid w:val="00B55656"/>
    <w:rsid w:val="00B5592E"/>
    <w:rsid w:val="00B55F2F"/>
    <w:rsid w:val="00B5720E"/>
    <w:rsid w:val="00B57461"/>
    <w:rsid w:val="00B5779B"/>
    <w:rsid w:val="00B57B76"/>
    <w:rsid w:val="00B57BFE"/>
    <w:rsid w:val="00B57F49"/>
    <w:rsid w:val="00B61269"/>
    <w:rsid w:val="00B61F07"/>
    <w:rsid w:val="00B637A9"/>
    <w:rsid w:val="00B63B69"/>
    <w:rsid w:val="00B63F4B"/>
    <w:rsid w:val="00B644AF"/>
    <w:rsid w:val="00B645D1"/>
    <w:rsid w:val="00B651B6"/>
    <w:rsid w:val="00B65B03"/>
    <w:rsid w:val="00B65D25"/>
    <w:rsid w:val="00B65F79"/>
    <w:rsid w:val="00B67C6A"/>
    <w:rsid w:val="00B67CD8"/>
    <w:rsid w:val="00B709C0"/>
    <w:rsid w:val="00B70ADA"/>
    <w:rsid w:val="00B70C4F"/>
    <w:rsid w:val="00B71001"/>
    <w:rsid w:val="00B7228A"/>
    <w:rsid w:val="00B73532"/>
    <w:rsid w:val="00B73807"/>
    <w:rsid w:val="00B73E61"/>
    <w:rsid w:val="00B74005"/>
    <w:rsid w:val="00B744AD"/>
    <w:rsid w:val="00B74746"/>
    <w:rsid w:val="00B750D0"/>
    <w:rsid w:val="00B759FF"/>
    <w:rsid w:val="00B75B5D"/>
    <w:rsid w:val="00B75EDC"/>
    <w:rsid w:val="00B7678B"/>
    <w:rsid w:val="00B771B8"/>
    <w:rsid w:val="00B80049"/>
    <w:rsid w:val="00B8012B"/>
    <w:rsid w:val="00B80236"/>
    <w:rsid w:val="00B803F8"/>
    <w:rsid w:val="00B80B41"/>
    <w:rsid w:val="00B80ECA"/>
    <w:rsid w:val="00B81826"/>
    <w:rsid w:val="00B8187F"/>
    <w:rsid w:val="00B81D8E"/>
    <w:rsid w:val="00B831CC"/>
    <w:rsid w:val="00B835FB"/>
    <w:rsid w:val="00B848EB"/>
    <w:rsid w:val="00B84BB8"/>
    <w:rsid w:val="00B85D81"/>
    <w:rsid w:val="00B862BE"/>
    <w:rsid w:val="00B86675"/>
    <w:rsid w:val="00B86716"/>
    <w:rsid w:val="00B8791D"/>
    <w:rsid w:val="00B90ECC"/>
    <w:rsid w:val="00B91254"/>
    <w:rsid w:val="00B91576"/>
    <w:rsid w:val="00B915F0"/>
    <w:rsid w:val="00B91A64"/>
    <w:rsid w:val="00B92862"/>
    <w:rsid w:val="00B92B9D"/>
    <w:rsid w:val="00B93403"/>
    <w:rsid w:val="00B93B30"/>
    <w:rsid w:val="00B93C85"/>
    <w:rsid w:val="00B94F68"/>
    <w:rsid w:val="00B95377"/>
    <w:rsid w:val="00B953EA"/>
    <w:rsid w:val="00B9557A"/>
    <w:rsid w:val="00B95F87"/>
    <w:rsid w:val="00B96241"/>
    <w:rsid w:val="00B9652A"/>
    <w:rsid w:val="00B966EE"/>
    <w:rsid w:val="00B9788E"/>
    <w:rsid w:val="00B97B8E"/>
    <w:rsid w:val="00B97BE5"/>
    <w:rsid w:val="00BA00D4"/>
    <w:rsid w:val="00BA153A"/>
    <w:rsid w:val="00BA19FB"/>
    <w:rsid w:val="00BA1B7F"/>
    <w:rsid w:val="00BA3864"/>
    <w:rsid w:val="00BA4B5A"/>
    <w:rsid w:val="00BA5109"/>
    <w:rsid w:val="00BA5258"/>
    <w:rsid w:val="00BA59DC"/>
    <w:rsid w:val="00BA677A"/>
    <w:rsid w:val="00BA6E56"/>
    <w:rsid w:val="00BA70F8"/>
    <w:rsid w:val="00BA71DE"/>
    <w:rsid w:val="00BA7A52"/>
    <w:rsid w:val="00BB0090"/>
    <w:rsid w:val="00BB0124"/>
    <w:rsid w:val="00BB05F3"/>
    <w:rsid w:val="00BB05F8"/>
    <w:rsid w:val="00BB0986"/>
    <w:rsid w:val="00BB0A71"/>
    <w:rsid w:val="00BB0BDF"/>
    <w:rsid w:val="00BB168A"/>
    <w:rsid w:val="00BB172B"/>
    <w:rsid w:val="00BB1B27"/>
    <w:rsid w:val="00BB1B9E"/>
    <w:rsid w:val="00BB2902"/>
    <w:rsid w:val="00BB2A72"/>
    <w:rsid w:val="00BB2F24"/>
    <w:rsid w:val="00BB35D3"/>
    <w:rsid w:val="00BB3719"/>
    <w:rsid w:val="00BB3720"/>
    <w:rsid w:val="00BB41E9"/>
    <w:rsid w:val="00BB4C4D"/>
    <w:rsid w:val="00BB508E"/>
    <w:rsid w:val="00BB5824"/>
    <w:rsid w:val="00BB5F43"/>
    <w:rsid w:val="00BB6BE3"/>
    <w:rsid w:val="00BB71AB"/>
    <w:rsid w:val="00BB7638"/>
    <w:rsid w:val="00BB7858"/>
    <w:rsid w:val="00BC0305"/>
    <w:rsid w:val="00BC06CD"/>
    <w:rsid w:val="00BC0EF6"/>
    <w:rsid w:val="00BC17B4"/>
    <w:rsid w:val="00BC18A0"/>
    <w:rsid w:val="00BC1E71"/>
    <w:rsid w:val="00BC2435"/>
    <w:rsid w:val="00BC289A"/>
    <w:rsid w:val="00BC3480"/>
    <w:rsid w:val="00BC435C"/>
    <w:rsid w:val="00BC4469"/>
    <w:rsid w:val="00BC4776"/>
    <w:rsid w:val="00BC48B9"/>
    <w:rsid w:val="00BC4C36"/>
    <w:rsid w:val="00BC5670"/>
    <w:rsid w:val="00BC65A3"/>
    <w:rsid w:val="00BC69A0"/>
    <w:rsid w:val="00BC7089"/>
    <w:rsid w:val="00BD0D87"/>
    <w:rsid w:val="00BD15E8"/>
    <w:rsid w:val="00BD2933"/>
    <w:rsid w:val="00BD2BDF"/>
    <w:rsid w:val="00BD3BC8"/>
    <w:rsid w:val="00BD4568"/>
    <w:rsid w:val="00BD58DE"/>
    <w:rsid w:val="00BD5D65"/>
    <w:rsid w:val="00BD672A"/>
    <w:rsid w:val="00BD7481"/>
    <w:rsid w:val="00BD7CAD"/>
    <w:rsid w:val="00BE0480"/>
    <w:rsid w:val="00BE06CD"/>
    <w:rsid w:val="00BE132C"/>
    <w:rsid w:val="00BE1382"/>
    <w:rsid w:val="00BE139A"/>
    <w:rsid w:val="00BE18EB"/>
    <w:rsid w:val="00BE1F6A"/>
    <w:rsid w:val="00BE24DB"/>
    <w:rsid w:val="00BE3175"/>
    <w:rsid w:val="00BE32C2"/>
    <w:rsid w:val="00BE34C7"/>
    <w:rsid w:val="00BE3937"/>
    <w:rsid w:val="00BE3F0D"/>
    <w:rsid w:val="00BE49C2"/>
    <w:rsid w:val="00BE5065"/>
    <w:rsid w:val="00BE52EE"/>
    <w:rsid w:val="00BE58E0"/>
    <w:rsid w:val="00BE66E3"/>
    <w:rsid w:val="00BE67BC"/>
    <w:rsid w:val="00BE6BDB"/>
    <w:rsid w:val="00BE6DE9"/>
    <w:rsid w:val="00BE73F9"/>
    <w:rsid w:val="00BE75FE"/>
    <w:rsid w:val="00BE7D3F"/>
    <w:rsid w:val="00BF0003"/>
    <w:rsid w:val="00BF07C3"/>
    <w:rsid w:val="00BF0EE6"/>
    <w:rsid w:val="00BF16FE"/>
    <w:rsid w:val="00BF1721"/>
    <w:rsid w:val="00BF1A59"/>
    <w:rsid w:val="00BF1D73"/>
    <w:rsid w:val="00BF3213"/>
    <w:rsid w:val="00BF3B34"/>
    <w:rsid w:val="00BF3BDD"/>
    <w:rsid w:val="00BF40BE"/>
    <w:rsid w:val="00BF4544"/>
    <w:rsid w:val="00BF49EF"/>
    <w:rsid w:val="00BF4BE5"/>
    <w:rsid w:val="00BF4E9A"/>
    <w:rsid w:val="00BF5075"/>
    <w:rsid w:val="00BF5241"/>
    <w:rsid w:val="00BF56BE"/>
    <w:rsid w:val="00BF5B38"/>
    <w:rsid w:val="00BF5E1E"/>
    <w:rsid w:val="00BF6C41"/>
    <w:rsid w:val="00BF6EA2"/>
    <w:rsid w:val="00BF737A"/>
    <w:rsid w:val="00BF7542"/>
    <w:rsid w:val="00BF7B08"/>
    <w:rsid w:val="00C00CC7"/>
    <w:rsid w:val="00C00D1D"/>
    <w:rsid w:val="00C01F65"/>
    <w:rsid w:val="00C025FC"/>
    <w:rsid w:val="00C04796"/>
    <w:rsid w:val="00C047BA"/>
    <w:rsid w:val="00C048A2"/>
    <w:rsid w:val="00C04DF9"/>
    <w:rsid w:val="00C0515E"/>
    <w:rsid w:val="00C05300"/>
    <w:rsid w:val="00C05763"/>
    <w:rsid w:val="00C060B0"/>
    <w:rsid w:val="00C0666D"/>
    <w:rsid w:val="00C06FB0"/>
    <w:rsid w:val="00C0731A"/>
    <w:rsid w:val="00C106AD"/>
    <w:rsid w:val="00C1118B"/>
    <w:rsid w:val="00C11E28"/>
    <w:rsid w:val="00C11EA3"/>
    <w:rsid w:val="00C1226B"/>
    <w:rsid w:val="00C128AE"/>
    <w:rsid w:val="00C1333D"/>
    <w:rsid w:val="00C13355"/>
    <w:rsid w:val="00C13836"/>
    <w:rsid w:val="00C13EF9"/>
    <w:rsid w:val="00C14F3C"/>
    <w:rsid w:val="00C156B4"/>
    <w:rsid w:val="00C15DF2"/>
    <w:rsid w:val="00C169A0"/>
    <w:rsid w:val="00C17593"/>
    <w:rsid w:val="00C17638"/>
    <w:rsid w:val="00C20895"/>
    <w:rsid w:val="00C20A05"/>
    <w:rsid w:val="00C21196"/>
    <w:rsid w:val="00C213C1"/>
    <w:rsid w:val="00C21CF2"/>
    <w:rsid w:val="00C23572"/>
    <w:rsid w:val="00C23C46"/>
    <w:rsid w:val="00C24262"/>
    <w:rsid w:val="00C253D5"/>
    <w:rsid w:val="00C25A41"/>
    <w:rsid w:val="00C25E20"/>
    <w:rsid w:val="00C265DA"/>
    <w:rsid w:val="00C27553"/>
    <w:rsid w:val="00C27820"/>
    <w:rsid w:val="00C2784D"/>
    <w:rsid w:val="00C30211"/>
    <w:rsid w:val="00C30575"/>
    <w:rsid w:val="00C31CF3"/>
    <w:rsid w:val="00C32784"/>
    <w:rsid w:val="00C33858"/>
    <w:rsid w:val="00C33966"/>
    <w:rsid w:val="00C348C0"/>
    <w:rsid w:val="00C3504C"/>
    <w:rsid w:val="00C35F41"/>
    <w:rsid w:val="00C35FD2"/>
    <w:rsid w:val="00C36120"/>
    <w:rsid w:val="00C361D1"/>
    <w:rsid w:val="00C363F0"/>
    <w:rsid w:val="00C36BF9"/>
    <w:rsid w:val="00C37057"/>
    <w:rsid w:val="00C37086"/>
    <w:rsid w:val="00C371AA"/>
    <w:rsid w:val="00C378BF"/>
    <w:rsid w:val="00C37F9E"/>
    <w:rsid w:val="00C411E1"/>
    <w:rsid w:val="00C417F6"/>
    <w:rsid w:val="00C42AF1"/>
    <w:rsid w:val="00C42D59"/>
    <w:rsid w:val="00C42E1B"/>
    <w:rsid w:val="00C43286"/>
    <w:rsid w:val="00C43884"/>
    <w:rsid w:val="00C43BF2"/>
    <w:rsid w:val="00C43EA5"/>
    <w:rsid w:val="00C43F12"/>
    <w:rsid w:val="00C44C50"/>
    <w:rsid w:val="00C44F53"/>
    <w:rsid w:val="00C450A7"/>
    <w:rsid w:val="00C45489"/>
    <w:rsid w:val="00C45ABE"/>
    <w:rsid w:val="00C462E1"/>
    <w:rsid w:val="00C50B1C"/>
    <w:rsid w:val="00C51C51"/>
    <w:rsid w:val="00C521D4"/>
    <w:rsid w:val="00C527AF"/>
    <w:rsid w:val="00C527CF"/>
    <w:rsid w:val="00C52854"/>
    <w:rsid w:val="00C52B23"/>
    <w:rsid w:val="00C52DE3"/>
    <w:rsid w:val="00C52EAA"/>
    <w:rsid w:val="00C53255"/>
    <w:rsid w:val="00C533F1"/>
    <w:rsid w:val="00C5478D"/>
    <w:rsid w:val="00C5563C"/>
    <w:rsid w:val="00C559CA"/>
    <w:rsid w:val="00C55EB2"/>
    <w:rsid w:val="00C56B75"/>
    <w:rsid w:val="00C56F0D"/>
    <w:rsid w:val="00C57058"/>
    <w:rsid w:val="00C578EE"/>
    <w:rsid w:val="00C57A7F"/>
    <w:rsid w:val="00C57D35"/>
    <w:rsid w:val="00C6032E"/>
    <w:rsid w:val="00C60411"/>
    <w:rsid w:val="00C60901"/>
    <w:rsid w:val="00C60A60"/>
    <w:rsid w:val="00C60C42"/>
    <w:rsid w:val="00C60EAF"/>
    <w:rsid w:val="00C61797"/>
    <w:rsid w:val="00C6190C"/>
    <w:rsid w:val="00C62128"/>
    <w:rsid w:val="00C624D1"/>
    <w:rsid w:val="00C62CB2"/>
    <w:rsid w:val="00C62CF1"/>
    <w:rsid w:val="00C634CA"/>
    <w:rsid w:val="00C63593"/>
    <w:rsid w:val="00C63705"/>
    <w:rsid w:val="00C64A4E"/>
    <w:rsid w:val="00C64C46"/>
    <w:rsid w:val="00C64C5E"/>
    <w:rsid w:val="00C65419"/>
    <w:rsid w:val="00C657BB"/>
    <w:rsid w:val="00C662C9"/>
    <w:rsid w:val="00C6688C"/>
    <w:rsid w:val="00C704C9"/>
    <w:rsid w:val="00C713A5"/>
    <w:rsid w:val="00C7187E"/>
    <w:rsid w:val="00C71A62"/>
    <w:rsid w:val="00C725A1"/>
    <w:rsid w:val="00C725D2"/>
    <w:rsid w:val="00C735A6"/>
    <w:rsid w:val="00C73740"/>
    <w:rsid w:val="00C7376A"/>
    <w:rsid w:val="00C73ABA"/>
    <w:rsid w:val="00C73BFA"/>
    <w:rsid w:val="00C73C8B"/>
    <w:rsid w:val="00C74042"/>
    <w:rsid w:val="00C74BB5"/>
    <w:rsid w:val="00C773D0"/>
    <w:rsid w:val="00C77A36"/>
    <w:rsid w:val="00C77CF7"/>
    <w:rsid w:val="00C81591"/>
    <w:rsid w:val="00C81BB8"/>
    <w:rsid w:val="00C81CB8"/>
    <w:rsid w:val="00C82653"/>
    <w:rsid w:val="00C84104"/>
    <w:rsid w:val="00C84329"/>
    <w:rsid w:val="00C84784"/>
    <w:rsid w:val="00C847F5"/>
    <w:rsid w:val="00C84924"/>
    <w:rsid w:val="00C849F2"/>
    <w:rsid w:val="00C84EE0"/>
    <w:rsid w:val="00C857CD"/>
    <w:rsid w:val="00C8689B"/>
    <w:rsid w:val="00C86995"/>
    <w:rsid w:val="00C869ED"/>
    <w:rsid w:val="00C86F63"/>
    <w:rsid w:val="00C8713C"/>
    <w:rsid w:val="00C8744D"/>
    <w:rsid w:val="00C875A4"/>
    <w:rsid w:val="00C9029B"/>
    <w:rsid w:val="00C90552"/>
    <w:rsid w:val="00C90A34"/>
    <w:rsid w:val="00C90B6D"/>
    <w:rsid w:val="00C926FA"/>
    <w:rsid w:val="00C92C12"/>
    <w:rsid w:val="00C93E49"/>
    <w:rsid w:val="00C93F2B"/>
    <w:rsid w:val="00C95D4E"/>
    <w:rsid w:val="00C95D8D"/>
    <w:rsid w:val="00C95DA6"/>
    <w:rsid w:val="00C95EDA"/>
    <w:rsid w:val="00C95F62"/>
    <w:rsid w:val="00C9665B"/>
    <w:rsid w:val="00C967F9"/>
    <w:rsid w:val="00C96CE5"/>
    <w:rsid w:val="00C975ED"/>
    <w:rsid w:val="00C97BB7"/>
    <w:rsid w:val="00C97D9D"/>
    <w:rsid w:val="00CA01ED"/>
    <w:rsid w:val="00CA11CA"/>
    <w:rsid w:val="00CA1B82"/>
    <w:rsid w:val="00CA2228"/>
    <w:rsid w:val="00CA26FA"/>
    <w:rsid w:val="00CA2AA4"/>
    <w:rsid w:val="00CA2E09"/>
    <w:rsid w:val="00CA3915"/>
    <w:rsid w:val="00CA3DBE"/>
    <w:rsid w:val="00CA4025"/>
    <w:rsid w:val="00CA4499"/>
    <w:rsid w:val="00CA4802"/>
    <w:rsid w:val="00CA4A6B"/>
    <w:rsid w:val="00CA4C62"/>
    <w:rsid w:val="00CA55F9"/>
    <w:rsid w:val="00CA6311"/>
    <w:rsid w:val="00CA7A72"/>
    <w:rsid w:val="00CA7C1A"/>
    <w:rsid w:val="00CB0C65"/>
    <w:rsid w:val="00CB129C"/>
    <w:rsid w:val="00CB1B62"/>
    <w:rsid w:val="00CB1D9E"/>
    <w:rsid w:val="00CB1EBC"/>
    <w:rsid w:val="00CB20E0"/>
    <w:rsid w:val="00CB2540"/>
    <w:rsid w:val="00CB27E1"/>
    <w:rsid w:val="00CB2871"/>
    <w:rsid w:val="00CB2C48"/>
    <w:rsid w:val="00CB36C1"/>
    <w:rsid w:val="00CB389D"/>
    <w:rsid w:val="00CB40C9"/>
    <w:rsid w:val="00CB45DE"/>
    <w:rsid w:val="00CB5055"/>
    <w:rsid w:val="00CB54D5"/>
    <w:rsid w:val="00CB6286"/>
    <w:rsid w:val="00CB628B"/>
    <w:rsid w:val="00CB6979"/>
    <w:rsid w:val="00CB6E1C"/>
    <w:rsid w:val="00CB7D33"/>
    <w:rsid w:val="00CB7E10"/>
    <w:rsid w:val="00CC0766"/>
    <w:rsid w:val="00CC087E"/>
    <w:rsid w:val="00CC0B6F"/>
    <w:rsid w:val="00CC1287"/>
    <w:rsid w:val="00CC1B75"/>
    <w:rsid w:val="00CC2AA2"/>
    <w:rsid w:val="00CC2B89"/>
    <w:rsid w:val="00CC2E83"/>
    <w:rsid w:val="00CC2EDE"/>
    <w:rsid w:val="00CC2F0F"/>
    <w:rsid w:val="00CC3887"/>
    <w:rsid w:val="00CC3AAD"/>
    <w:rsid w:val="00CC4B12"/>
    <w:rsid w:val="00CC4CED"/>
    <w:rsid w:val="00CC5412"/>
    <w:rsid w:val="00CC5DEC"/>
    <w:rsid w:val="00CC5E3F"/>
    <w:rsid w:val="00CC683B"/>
    <w:rsid w:val="00CC6A88"/>
    <w:rsid w:val="00CC721A"/>
    <w:rsid w:val="00CC7EFB"/>
    <w:rsid w:val="00CD0845"/>
    <w:rsid w:val="00CD0F49"/>
    <w:rsid w:val="00CD26EF"/>
    <w:rsid w:val="00CD3971"/>
    <w:rsid w:val="00CD486F"/>
    <w:rsid w:val="00CD54BE"/>
    <w:rsid w:val="00CD5934"/>
    <w:rsid w:val="00CD5A3C"/>
    <w:rsid w:val="00CD5B34"/>
    <w:rsid w:val="00CD614E"/>
    <w:rsid w:val="00CD6EB7"/>
    <w:rsid w:val="00CD731D"/>
    <w:rsid w:val="00CD78DD"/>
    <w:rsid w:val="00CD792E"/>
    <w:rsid w:val="00CE12C2"/>
    <w:rsid w:val="00CE1CAF"/>
    <w:rsid w:val="00CE2B5C"/>
    <w:rsid w:val="00CE2C64"/>
    <w:rsid w:val="00CE3C8F"/>
    <w:rsid w:val="00CE3E3F"/>
    <w:rsid w:val="00CE4368"/>
    <w:rsid w:val="00CE4538"/>
    <w:rsid w:val="00CE5A4C"/>
    <w:rsid w:val="00CF02A1"/>
    <w:rsid w:val="00CF0526"/>
    <w:rsid w:val="00CF0816"/>
    <w:rsid w:val="00CF0DF1"/>
    <w:rsid w:val="00CF10DE"/>
    <w:rsid w:val="00CF1842"/>
    <w:rsid w:val="00CF19F5"/>
    <w:rsid w:val="00CF1C03"/>
    <w:rsid w:val="00CF2355"/>
    <w:rsid w:val="00CF2967"/>
    <w:rsid w:val="00CF4009"/>
    <w:rsid w:val="00CF4328"/>
    <w:rsid w:val="00CF457D"/>
    <w:rsid w:val="00CF51ED"/>
    <w:rsid w:val="00CF596A"/>
    <w:rsid w:val="00CF598D"/>
    <w:rsid w:val="00CF5BB1"/>
    <w:rsid w:val="00CF6451"/>
    <w:rsid w:val="00CF6838"/>
    <w:rsid w:val="00CF6994"/>
    <w:rsid w:val="00CF6A5D"/>
    <w:rsid w:val="00CF6C10"/>
    <w:rsid w:val="00CF7FC6"/>
    <w:rsid w:val="00D00F7A"/>
    <w:rsid w:val="00D01DE3"/>
    <w:rsid w:val="00D02400"/>
    <w:rsid w:val="00D02A66"/>
    <w:rsid w:val="00D02CC9"/>
    <w:rsid w:val="00D04FEB"/>
    <w:rsid w:val="00D050B5"/>
    <w:rsid w:val="00D053C4"/>
    <w:rsid w:val="00D06F3A"/>
    <w:rsid w:val="00D0746D"/>
    <w:rsid w:val="00D078B3"/>
    <w:rsid w:val="00D07FA1"/>
    <w:rsid w:val="00D10FA9"/>
    <w:rsid w:val="00D117F6"/>
    <w:rsid w:val="00D11C0D"/>
    <w:rsid w:val="00D12B3F"/>
    <w:rsid w:val="00D12D92"/>
    <w:rsid w:val="00D133FA"/>
    <w:rsid w:val="00D13A11"/>
    <w:rsid w:val="00D13AAC"/>
    <w:rsid w:val="00D14F45"/>
    <w:rsid w:val="00D1507A"/>
    <w:rsid w:val="00D15146"/>
    <w:rsid w:val="00D154A5"/>
    <w:rsid w:val="00D15B60"/>
    <w:rsid w:val="00D16046"/>
    <w:rsid w:val="00D16641"/>
    <w:rsid w:val="00D16983"/>
    <w:rsid w:val="00D16DE5"/>
    <w:rsid w:val="00D1740D"/>
    <w:rsid w:val="00D1742C"/>
    <w:rsid w:val="00D17A3C"/>
    <w:rsid w:val="00D17D78"/>
    <w:rsid w:val="00D17F32"/>
    <w:rsid w:val="00D2005C"/>
    <w:rsid w:val="00D20100"/>
    <w:rsid w:val="00D208A6"/>
    <w:rsid w:val="00D212D9"/>
    <w:rsid w:val="00D21861"/>
    <w:rsid w:val="00D219EB"/>
    <w:rsid w:val="00D21E37"/>
    <w:rsid w:val="00D21FDF"/>
    <w:rsid w:val="00D22513"/>
    <w:rsid w:val="00D228D0"/>
    <w:rsid w:val="00D22B29"/>
    <w:rsid w:val="00D25326"/>
    <w:rsid w:val="00D267DE"/>
    <w:rsid w:val="00D26929"/>
    <w:rsid w:val="00D26BCF"/>
    <w:rsid w:val="00D26F83"/>
    <w:rsid w:val="00D270D1"/>
    <w:rsid w:val="00D27270"/>
    <w:rsid w:val="00D321B6"/>
    <w:rsid w:val="00D324BA"/>
    <w:rsid w:val="00D32B72"/>
    <w:rsid w:val="00D3324F"/>
    <w:rsid w:val="00D33B33"/>
    <w:rsid w:val="00D34C37"/>
    <w:rsid w:val="00D352CD"/>
    <w:rsid w:val="00D354E1"/>
    <w:rsid w:val="00D35A9D"/>
    <w:rsid w:val="00D368EA"/>
    <w:rsid w:val="00D36E28"/>
    <w:rsid w:val="00D372CB"/>
    <w:rsid w:val="00D37E00"/>
    <w:rsid w:val="00D37E04"/>
    <w:rsid w:val="00D37EA5"/>
    <w:rsid w:val="00D37F0B"/>
    <w:rsid w:val="00D37F69"/>
    <w:rsid w:val="00D40506"/>
    <w:rsid w:val="00D41156"/>
    <w:rsid w:val="00D41C0E"/>
    <w:rsid w:val="00D41DBB"/>
    <w:rsid w:val="00D4250B"/>
    <w:rsid w:val="00D42D62"/>
    <w:rsid w:val="00D43743"/>
    <w:rsid w:val="00D4461C"/>
    <w:rsid w:val="00D446F7"/>
    <w:rsid w:val="00D4550C"/>
    <w:rsid w:val="00D45B52"/>
    <w:rsid w:val="00D460AB"/>
    <w:rsid w:val="00D464BC"/>
    <w:rsid w:val="00D466AF"/>
    <w:rsid w:val="00D4732C"/>
    <w:rsid w:val="00D479B1"/>
    <w:rsid w:val="00D47CFF"/>
    <w:rsid w:val="00D51013"/>
    <w:rsid w:val="00D516B8"/>
    <w:rsid w:val="00D518C6"/>
    <w:rsid w:val="00D518E9"/>
    <w:rsid w:val="00D51A11"/>
    <w:rsid w:val="00D51B43"/>
    <w:rsid w:val="00D51BD6"/>
    <w:rsid w:val="00D51E91"/>
    <w:rsid w:val="00D53920"/>
    <w:rsid w:val="00D53A16"/>
    <w:rsid w:val="00D53D8A"/>
    <w:rsid w:val="00D5456C"/>
    <w:rsid w:val="00D54835"/>
    <w:rsid w:val="00D5553F"/>
    <w:rsid w:val="00D55EDB"/>
    <w:rsid w:val="00D563D0"/>
    <w:rsid w:val="00D565DB"/>
    <w:rsid w:val="00D56F15"/>
    <w:rsid w:val="00D56FA8"/>
    <w:rsid w:val="00D60E91"/>
    <w:rsid w:val="00D60F11"/>
    <w:rsid w:val="00D616FC"/>
    <w:rsid w:val="00D631FD"/>
    <w:rsid w:val="00D633EA"/>
    <w:rsid w:val="00D63C26"/>
    <w:rsid w:val="00D63D7F"/>
    <w:rsid w:val="00D64480"/>
    <w:rsid w:val="00D647FD"/>
    <w:rsid w:val="00D64A5D"/>
    <w:rsid w:val="00D65133"/>
    <w:rsid w:val="00D6611A"/>
    <w:rsid w:val="00D6641C"/>
    <w:rsid w:val="00D66D9D"/>
    <w:rsid w:val="00D67181"/>
    <w:rsid w:val="00D673B6"/>
    <w:rsid w:val="00D677B9"/>
    <w:rsid w:val="00D67E69"/>
    <w:rsid w:val="00D71239"/>
    <w:rsid w:val="00D71393"/>
    <w:rsid w:val="00D71A46"/>
    <w:rsid w:val="00D72321"/>
    <w:rsid w:val="00D7245D"/>
    <w:rsid w:val="00D72935"/>
    <w:rsid w:val="00D73054"/>
    <w:rsid w:val="00D73D68"/>
    <w:rsid w:val="00D740D0"/>
    <w:rsid w:val="00D75625"/>
    <w:rsid w:val="00D75644"/>
    <w:rsid w:val="00D758FF"/>
    <w:rsid w:val="00D7592A"/>
    <w:rsid w:val="00D764BC"/>
    <w:rsid w:val="00D769C2"/>
    <w:rsid w:val="00D774F6"/>
    <w:rsid w:val="00D776EF"/>
    <w:rsid w:val="00D77BA5"/>
    <w:rsid w:val="00D805A9"/>
    <w:rsid w:val="00D810B3"/>
    <w:rsid w:val="00D81155"/>
    <w:rsid w:val="00D81E7E"/>
    <w:rsid w:val="00D81F32"/>
    <w:rsid w:val="00D8385A"/>
    <w:rsid w:val="00D83C6F"/>
    <w:rsid w:val="00D84750"/>
    <w:rsid w:val="00D84795"/>
    <w:rsid w:val="00D85675"/>
    <w:rsid w:val="00D85AB0"/>
    <w:rsid w:val="00D85EF4"/>
    <w:rsid w:val="00D863FD"/>
    <w:rsid w:val="00D86798"/>
    <w:rsid w:val="00D86828"/>
    <w:rsid w:val="00D86969"/>
    <w:rsid w:val="00D86D93"/>
    <w:rsid w:val="00D90057"/>
    <w:rsid w:val="00D9041D"/>
    <w:rsid w:val="00D91328"/>
    <w:rsid w:val="00D9262E"/>
    <w:rsid w:val="00D929F0"/>
    <w:rsid w:val="00D92B12"/>
    <w:rsid w:val="00D9321A"/>
    <w:rsid w:val="00D93CD4"/>
    <w:rsid w:val="00D93DD9"/>
    <w:rsid w:val="00D94777"/>
    <w:rsid w:val="00D9543C"/>
    <w:rsid w:val="00D9552F"/>
    <w:rsid w:val="00D95B3B"/>
    <w:rsid w:val="00D95C25"/>
    <w:rsid w:val="00D96266"/>
    <w:rsid w:val="00D962BB"/>
    <w:rsid w:val="00D9658E"/>
    <w:rsid w:val="00D966B0"/>
    <w:rsid w:val="00D96A87"/>
    <w:rsid w:val="00D96C7A"/>
    <w:rsid w:val="00D970A5"/>
    <w:rsid w:val="00D970C4"/>
    <w:rsid w:val="00D973C7"/>
    <w:rsid w:val="00DA017C"/>
    <w:rsid w:val="00DA0677"/>
    <w:rsid w:val="00DA0B25"/>
    <w:rsid w:val="00DA0DC2"/>
    <w:rsid w:val="00DA10E9"/>
    <w:rsid w:val="00DA20CA"/>
    <w:rsid w:val="00DA2E44"/>
    <w:rsid w:val="00DA3380"/>
    <w:rsid w:val="00DA3B80"/>
    <w:rsid w:val="00DA46D9"/>
    <w:rsid w:val="00DA4C01"/>
    <w:rsid w:val="00DA4C71"/>
    <w:rsid w:val="00DA4E47"/>
    <w:rsid w:val="00DA5F2C"/>
    <w:rsid w:val="00DA60F8"/>
    <w:rsid w:val="00DA65C5"/>
    <w:rsid w:val="00DA6FDA"/>
    <w:rsid w:val="00DA70A3"/>
    <w:rsid w:val="00DA7229"/>
    <w:rsid w:val="00DA7821"/>
    <w:rsid w:val="00DA7C7B"/>
    <w:rsid w:val="00DB05E6"/>
    <w:rsid w:val="00DB0DFE"/>
    <w:rsid w:val="00DB118C"/>
    <w:rsid w:val="00DB19EC"/>
    <w:rsid w:val="00DB1DA0"/>
    <w:rsid w:val="00DB2192"/>
    <w:rsid w:val="00DB2214"/>
    <w:rsid w:val="00DB2EEA"/>
    <w:rsid w:val="00DB3B24"/>
    <w:rsid w:val="00DB3E59"/>
    <w:rsid w:val="00DB4208"/>
    <w:rsid w:val="00DB42CB"/>
    <w:rsid w:val="00DB4DA3"/>
    <w:rsid w:val="00DB4E8A"/>
    <w:rsid w:val="00DB5A4A"/>
    <w:rsid w:val="00DB6A0B"/>
    <w:rsid w:val="00DB72A2"/>
    <w:rsid w:val="00DB73EA"/>
    <w:rsid w:val="00DB75D9"/>
    <w:rsid w:val="00DC0686"/>
    <w:rsid w:val="00DC0EEC"/>
    <w:rsid w:val="00DC14EC"/>
    <w:rsid w:val="00DC5E4C"/>
    <w:rsid w:val="00DC602A"/>
    <w:rsid w:val="00DC608E"/>
    <w:rsid w:val="00DC615A"/>
    <w:rsid w:val="00DC6293"/>
    <w:rsid w:val="00DC68FE"/>
    <w:rsid w:val="00DC6916"/>
    <w:rsid w:val="00DC6BC9"/>
    <w:rsid w:val="00DC7041"/>
    <w:rsid w:val="00DC79CC"/>
    <w:rsid w:val="00DD06C1"/>
    <w:rsid w:val="00DD06F5"/>
    <w:rsid w:val="00DD2160"/>
    <w:rsid w:val="00DD2372"/>
    <w:rsid w:val="00DD2524"/>
    <w:rsid w:val="00DD3579"/>
    <w:rsid w:val="00DD4CFD"/>
    <w:rsid w:val="00DD51B8"/>
    <w:rsid w:val="00DD5504"/>
    <w:rsid w:val="00DD55D6"/>
    <w:rsid w:val="00DD5F41"/>
    <w:rsid w:val="00DD6326"/>
    <w:rsid w:val="00DD70A0"/>
    <w:rsid w:val="00DD7174"/>
    <w:rsid w:val="00DD71A8"/>
    <w:rsid w:val="00DD740E"/>
    <w:rsid w:val="00DD7A0B"/>
    <w:rsid w:val="00DE03D8"/>
    <w:rsid w:val="00DE083B"/>
    <w:rsid w:val="00DE0FA6"/>
    <w:rsid w:val="00DE2B69"/>
    <w:rsid w:val="00DE3CCC"/>
    <w:rsid w:val="00DE5D10"/>
    <w:rsid w:val="00DE73B5"/>
    <w:rsid w:val="00DE7E30"/>
    <w:rsid w:val="00DE7F7D"/>
    <w:rsid w:val="00DF0818"/>
    <w:rsid w:val="00DF088F"/>
    <w:rsid w:val="00DF14C7"/>
    <w:rsid w:val="00DF14E3"/>
    <w:rsid w:val="00DF1879"/>
    <w:rsid w:val="00DF2402"/>
    <w:rsid w:val="00DF24D3"/>
    <w:rsid w:val="00DF25E4"/>
    <w:rsid w:val="00DF2BC2"/>
    <w:rsid w:val="00DF3115"/>
    <w:rsid w:val="00DF338A"/>
    <w:rsid w:val="00DF3411"/>
    <w:rsid w:val="00DF42A1"/>
    <w:rsid w:val="00DF441D"/>
    <w:rsid w:val="00DF4742"/>
    <w:rsid w:val="00DF4A2E"/>
    <w:rsid w:val="00DF5BE1"/>
    <w:rsid w:val="00DF5E4B"/>
    <w:rsid w:val="00DF5ED0"/>
    <w:rsid w:val="00DF64A8"/>
    <w:rsid w:val="00DF6D85"/>
    <w:rsid w:val="00E005C3"/>
    <w:rsid w:val="00E00618"/>
    <w:rsid w:val="00E01502"/>
    <w:rsid w:val="00E01AD4"/>
    <w:rsid w:val="00E02C62"/>
    <w:rsid w:val="00E03446"/>
    <w:rsid w:val="00E03CC5"/>
    <w:rsid w:val="00E03E86"/>
    <w:rsid w:val="00E04A82"/>
    <w:rsid w:val="00E04B23"/>
    <w:rsid w:val="00E055AF"/>
    <w:rsid w:val="00E05970"/>
    <w:rsid w:val="00E05E1E"/>
    <w:rsid w:val="00E06F8E"/>
    <w:rsid w:val="00E0738A"/>
    <w:rsid w:val="00E07921"/>
    <w:rsid w:val="00E10D47"/>
    <w:rsid w:val="00E10DE3"/>
    <w:rsid w:val="00E119B7"/>
    <w:rsid w:val="00E14D0D"/>
    <w:rsid w:val="00E17268"/>
    <w:rsid w:val="00E175F5"/>
    <w:rsid w:val="00E177B6"/>
    <w:rsid w:val="00E17CFB"/>
    <w:rsid w:val="00E2007F"/>
    <w:rsid w:val="00E2033E"/>
    <w:rsid w:val="00E206BD"/>
    <w:rsid w:val="00E2182F"/>
    <w:rsid w:val="00E21999"/>
    <w:rsid w:val="00E21F31"/>
    <w:rsid w:val="00E22BF6"/>
    <w:rsid w:val="00E22DDC"/>
    <w:rsid w:val="00E230FA"/>
    <w:rsid w:val="00E23202"/>
    <w:rsid w:val="00E23300"/>
    <w:rsid w:val="00E23D74"/>
    <w:rsid w:val="00E24115"/>
    <w:rsid w:val="00E243FF"/>
    <w:rsid w:val="00E24CAB"/>
    <w:rsid w:val="00E24D3B"/>
    <w:rsid w:val="00E24DBC"/>
    <w:rsid w:val="00E24DC5"/>
    <w:rsid w:val="00E25052"/>
    <w:rsid w:val="00E2512F"/>
    <w:rsid w:val="00E25A2D"/>
    <w:rsid w:val="00E25ADE"/>
    <w:rsid w:val="00E25E80"/>
    <w:rsid w:val="00E26030"/>
    <w:rsid w:val="00E26149"/>
    <w:rsid w:val="00E274C5"/>
    <w:rsid w:val="00E27C56"/>
    <w:rsid w:val="00E30893"/>
    <w:rsid w:val="00E30997"/>
    <w:rsid w:val="00E3129C"/>
    <w:rsid w:val="00E3160B"/>
    <w:rsid w:val="00E32BFF"/>
    <w:rsid w:val="00E33083"/>
    <w:rsid w:val="00E33E53"/>
    <w:rsid w:val="00E34493"/>
    <w:rsid w:val="00E347D9"/>
    <w:rsid w:val="00E348F4"/>
    <w:rsid w:val="00E36822"/>
    <w:rsid w:val="00E36D08"/>
    <w:rsid w:val="00E36D0B"/>
    <w:rsid w:val="00E37036"/>
    <w:rsid w:val="00E37CFC"/>
    <w:rsid w:val="00E4022E"/>
    <w:rsid w:val="00E41362"/>
    <w:rsid w:val="00E41364"/>
    <w:rsid w:val="00E422BE"/>
    <w:rsid w:val="00E422DB"/>
    <w:rsid w:val="00E4246B"/>
    <w:rsid w:val="00E42A3D"/>
    <w:rsid w:val="00E42DBF"/>
    <w:rsid w:val="00E433DF"/>
    <w:rsid w:val="00E43601"/>
    <w:rsid w:val="00E436E4"/>
    <w:rsid w:val="00E43815"/>
    <w:rsid w:val="00E438AE"/>
    <w:rsid w:val="00E43AD9"/>
    <w:rsid w:val="00E43E5F"/>
    <w:rsid w:val="00E4457A"/>
    <w:rsid w:val="00E44C9E"/>
    <w:rsid w:val="00E4515B"/>
    <w:rsid w:val="00E452DC"/>
    <w:rsid w:val="00E456B9"/>
    <w:rsid w:val="00E45B19"/>
    <w:rsid w:val="00E467D7"/>
    <w:rsid w:val="00E46BA8"/>
    <w:rsid w:val="00E47906"/>
    <w:rsid w:val="00E47A63"/>
    <w:rsid w:val="00E47BE6"/>
    <w:rsid w:val="00E5098F"/>
    <w:rsid w:val="00E52BFF"/>
    <w:rsid w:val="00E53240"/>
    <w:rsid w:val="00E54BD2"/>
    <w:rsid w:val="00E54D14"/>
    <w:rsid w:val="00E54D36"/>
    <w:rsid w:val="00E550E1"/>
    <w:rsid w:val="00E55802"/>
    <w:rsid w:val="00E559ED"/>
    <w:rsid w:val="00E562C4"/>
    <w:rsid w:val="00E56B17"/>
    <w:rsid w:val="00E56F96"/>
    <w:rsid w:val="00E5731C"/>
    <w:rsid w:val="00E57529"/>
    <w:rsid w:val="00E57745"/>
    <w:rsid w:val="00E57938"/>
    <w:rsid w:val="00E57F00"/>
    <w:rsid w:val="00E611B4"/>
    <w:rsid w:val="00E61256"/>
    <w:rsid w:val="00E61785"/>
    <w:rsid w:val="00E61F98"/>
    <w:rsid w:val="00E62636"/>
    <w:rsid w:val="00E635B2"/>
    <w:rsid w:val="00E63C70"/>
    <w:rsid w:val="00E64FBC"/>
    <w:rsid w:val="00E66671"/>
    <w:rsid w:val="00E66BFD"/>
    <w:rsid w:val="00E67A6D"/>
    <w:rsid w:val="00E705DB"/>
    <w:rsid w:val="00E709CE"/>
    <w:rsid w:val="00E70BC7"/>
    <w:rsid w:val="00E718CE"/>
    <w:rsid w:val="00E71AF6"/>
    <w:rsid w:val="00E71CA2"/>
    <w:rsid w:val="00E72345"/>
    <w:rsid w:val="00E72801"/>
    <w:rsid w:val="00E74485"/>
    <w:rsid w:val="00E74655"/>
    <w:rsid w:val="00E74D26"/>
    <w:rsid w:val="00E75196"/>
    <w:rsid w:val="00E75FD3"/>
    <w:rsid w:val="00E765B1"/>
    <w:rsid w:val="00E76D80"/>
    <w:rsid w:val="00E76FD2"/>
    <w:rsid w:val="00E77CBD"/>
    <w:rsid w:val="00E77CE2"/>
    <w:rsid w:val="00E801A6"/>
    <w:rsid w:val="00E802D4"/>
    <w:rsid w:val="00E803E0"/>
    <w:rsid w:val="00E80BB1"/>
    <w:rsid w:val="00E81AAA"/>
    <w:rsid w:val="00E81AD6"/>
    <w:rsid w:val="00E84744"/>
    <w:rsid w:val="00E84E7E"/>
    <w:rsid w:val="00E85353"/>
    <w:rsid w:val="00E855A1"/>
    <w:rsid w:val="00E85B51"/>
    <w:rsid w:val="00E86B5F"/>
    <w:rsid w:val="00E87107"/>
    <w:rsid w:val="00E8731F"/>
    <w:rsid w:val="00E876EF"/>
    <w:rsid w:val="00E87EB9"/>
    <w:rsid w:val="00E9112A"/>
    <w:rsid w:val="00E92135"/>
    <w:rsid w:val="00E9252D"/>
    <w:rsid w:val="00E92E1E"/>
    <w:rsid w:val="00E930D1"/>
    <w:rsid w:val="00E9313C"/>
    <w:rsid w:val="00E937EE"/>
    <w:rsid w:val="00E93C3E"/>
    <w:rsid w:val="00E9451D"/>
    <w:rsid w:val="00E953EC"/>
    <w:rsid w:val="00E958A0"/>
    <w:rsid w:val="00E95A23"/>
    <w:rsid w:val="00E95F4B"/>
    <w:rsid w:val="00E96F45"/>
    <w:rsid w:val="00E97179"/>
    <w:rsid w:val="00E97349"/>
    <w:rsid w:val="00E97B6F"/>
    <w:rsid w:val="00EA0359"/>
    <w:rsid w:val="00EA03EC"/>
    <w:rsid w:val="00EA12C1"/>
    <w:rsid w:val="00EA177F"/>
    <w:rsid w:val="00EA3C90"/>
    <w:rsid w:val="00EA441E"/>
    <w:rsid w:val="00EA5237"/>
    <w:rsid w:val="00EA566C"/>
    <w:rsid w:val="00EA6480"/>
    <w:rsid w:val="00EA693D"/>
    <w:rsid w:val="00EA6ACE"/>
    <w:rsid w:val="00EB04A1"/>
    <w:rsid w:val="00EB0809"/>
    <w:rsid w:val="00EB1330"/>
    <w:rsid w:val="00EB2D18"/>
    <w:rsid w:val="00EB2FFC"/>
    <w:rsid w:val="00EB3355"/>
    <w:rsid w:val="00EB3A23"/>
    <w:rsid w:val="00EB3BDA"/>
    <w:rsid w:val="00EB47C6"/>
    <w:rsid w:val="00EB535A"/>
    <w:rsid w:val="00EB5F17"/>
    <w:rsid w:val="00EB60B0"/>
    <w:rsid w:val="00EB6116"/>
    <w:rsid w:val="00EB6E65"/>
    <w:rsid w:val="00EB76D2"/>
    <w:rsid w:val="00EB7B10"/>
    <w:rsid w:val="00EC0E51"/>
    <w:rsid w:val="00EC2945"/>
    <w:rsid w:val="00EC3155"/>
    <w:rsid w:val="00EC35FF"/>
    <w:rsid w:val="00EC3840"/>
    <w:rsid w:val="00EC39D9"/>
    <w:rsid w:val="00EC4467"/>
    <w:rsid w:val="00EC4747"/>
    <w:rsid w:val="00EC4868"/>
    <w:rsid w:val="00EC5335"/>
    <w:rsid w:val="00EC66A4"/>
    <w:rsid w:val="00EC68A1"/>
    <w:rsid w:val="00EC6F19"/>
    <w:rsid w:val="00EC705F"/>
    <w:rsid w:val="00EC7259"/>
    <w:rsid w:val="00EC727E"/>
    <w:rsid w:val="00EC7865"/>
    <w:rsid w:val="00EC7A74"/>
    <w:rsid w:val="00ED04F6"/>
    <w:rsid w:val="00ED077F"/>
    <w:rsid w:val="00ED1436"/>
    <w:rsid w:val="00ED1514"/>
    <w:rsid w:val="00ED1630"/>
    <w:rsid w:val="00ED1632"/>
    <w:rsid w:val="00ED1FDC"/>
    <w:rsid w:val="00ED206E"/>
    <w:rsid w:val="00ED2D99"/>
    <w:rsid w:val="00ED2FFD"/>
    <w:rsid w:val="00ED31EB"/>
    <w:rsid w:val="00ED32BF"/>
    <w:rsid w:val="00ED3FFE"/>
    <w:rsid w:val="00ED44B1"/>
    <w:rsid w:val="00ED4665"/>
    <w:rsid w:val="00ED4913"/>
    <w:rsid w:val="00ED501D"/>
    <w:rsid w:val="00ED671E"/>
    <w:rsid w:val="00ED69CB"/>
    <w:rsid w:val="00ED6B6C"/>
    <w:rsid w:val="00ED75A7"/>
    <w:rsid w:val="00ED7B7C"/>
    <w:rsid w:val="00ED7EC3"/>
    <w:rsid w:val="00EE028D"/>
    <w:rsid w:val="00EE03EE"/>
    <w:rsid w:val="00EE08C4"/>
    <w:rsid w:val="00EE15E5"/>
    <w:rsid w:val="00EE205C"/>
    <w:rsid w:val="00EE2070"/>
    <w:rsid w:val="00EE2372"/>
    <w:rsid w:val="00EE24DA"/>
    <w:rsid w:val="00EE2788"/>
    <w:rsid w:val="00EE2C3A"/>
    <w:rsid w:val="00EE2CB1"/>
    <w:rsid w:val="00EE2ECD"/>
    <w:rsid w:val="00EE3069"/>
    <w:rsid w:val="00EE3462"/>
    <w:rsid w:val="00EE37DF"/>
    <w:rsid w:val="00EE38C7"/>
    <w:rsid w:val="00EE5135"/>
    <w:rsid w:val="00EE5226"/>
    <w:rsid w:val="00EE539B"/>
    <w:rsid w:val="00EE53F9"/>
    <w:rsid w:val="00EE5718"/>
    <w:rsid w:val="00EE58D7"/>
    <w:rsid w:val="00EE5946"/>
    <w:rsid w:val="00EE614A"/>
    <w:rsid w:val="00EE6461"/>
    <w:rsid w:val="00EE6827"/>
    <w:rsid w:val="00EE7575"/>
    <w:rsid w:val="00EE7805"/>
    <w:rsid w:val="00EE7FC8"/>
    <w:rsid w:val="00EF154B"/>
    <w:rsid w:val="00EF1C59"/>
    <w:rsid w:val="00EF1D6D"/>
    <w:rsid w:val="00EF3151"/>
    <w:rsid w:val="00EF4A65"/>
    <w:rsid w:val="00EF6042"/>
    <w:rsid w:val="00EF659E"/>
    <w:rsid w:val="00EF6A42"/>
    <w:rsid w:val="00EF7850"/>
    <w:rsid w:val="00F0075A"/>
    <w:rsid w:val="00F00768"/>
    <w:rsid w:val="00F0084C"/>
    <w:rsid w:val="00F0103B"/>
    <w:rsid w:val="00F0147B"/>
    <w:rsid w:val="00F016FC"/>
    <w:rsid w:val="00F0183E"/>
    <w:rsid w:val="00F035A2"/>
    <w:rsid w:val="00F03647"/>
    <w:rsid w:val="00F03AA3"/>
    <w:rsid w:val="00F040A3"/>
    <w:rsid w:val="00F04442"/>
    <w:rsid w:val="00F048B7"/>
    <w:rsid w:val="00F048B8"/>
    <w:rsid w:val="00F04A28"/>
    <w:rsid w:val="00F04A4D"/>
    <w:rsid w:val="00F04CE7"/>
    <w:rsid w:val="00F04F7A"/>
    <w:rsid w:val="00F0545F"/>
    <w:rsid w:val="00F05801"/>
    <w:rsid w:val="00F05B3D"/>
    <w:rsid w:val="00F061B3"/>
    <w:rsid w:val="00F06354"/>
    <w:rsid w:val="00F069B4"/>
    <w:rsid w:val="00F06F8B"/>
    <w:rsid w:val="00F07A92"/>
    <w:rsid w:val="00F1055D"/>
    <w:rsid w:val="00F1150F"/>
    <w:rsid w:val="00F12992"/>
    <w:rsid w:val="00F12BAD"/>
    <w:rsid w:val="00F142B8"/>
    <w:rsid w:val="00F14639"/>
    <w:rsid w:val="00F15244"/>
    <w:rsid w:val="00F15C8F"/>
    <w:rsid w:val="00F15EF2"/>
    <w:rsid w:val="00F169FA"/>
    <w:rsid w:val="00F16DCF"/>
    <w:rsid w:val="00F1762A"/>
    <w:rsid w:val="00F17F30"/>
    <w:rsid w:val="00F2025F"/>
    <w:rsid w:val="00F206E4"/>
    <w:rsid w:val="00F20B4A"/>
    <w:rsid w:val="00F20D15"/>
    <w:rsid w:val="00F210B6"/>
    <w:rsid w:val="00F214FA"/>
    <w:rsid w:val="00F2182C"/>
    <w:rsid w:val="00F21974"/>
    <w:rsid w:val="00F22700"/>
    <w:rsid w:val="00F22A44"/>
    <w:rsid w:val="00F23095"/>
    <w:rsid w:val="00F230D4"/>
    <w:rsid w:val="00F2404D"/>
    <w:rsid w:val="00F2423B"/>
    <w:rsid w:val="00F248BA"/>
    <w:rsid w:val="00F24BA8"/>
    <w:rsid w:val="00F24C24"/>
    <w:rsid w:val="00F2518F"/>
    <w:rsid w:val="00F254AB"/>
    <w:rsid w:val="00F26B15"/>
    <w:rsid w:val="00F30047"/>
    <w:rsid w:val="00F306CD"/>
    <w:rsid w:val="00F30E7E"/>
    <w:rsid w:val="00F319C1"/>
    <w:rsid w:val="00F32540"/>
    <w:rsid w:val="00F3375D"/>
    <w:rsid w:val="00F34BA0"/>
    <w:rsid w:val="00F355C8"/>
    <w:rsid w:val="00F356C7"/>
    <w:rsid w:val="00F35706"/>
    <w:rsid w:val="00F35B44"/>
    <w:rsid w:val="00F36ABC"/>
    <w:rsid w:val="00F36BFB"/>
    <w:rsid w:val="00F372C6"/>
    <w:rsid w:val="00F37356"/>
    <w:rsid w:val="00F37522"/>
    <w:rsid w:val="00F379DC"/>
    <w:rsid w:val="00F40420"/>
    <w:rsid w:val="00F406D9"/>
    <w:rsid w:val="00F40C99"/>
    <w:rsid w:val="00F40F51"/>
    <w:rsid w:val="00F412B6"/>
    <w:rsid w:val="00F4162B"/>
    <w:rsid w:val="00F4188F"/>
    <w:rsid w:val="00F419F5"/>
    <w:rsid w:val="00F42A69"/>
    <w:rsid w:val="00F433A2"/>
    <w:rsid w:val="00F4382C"/>
    <w:rsid w:val="00F43EF1"/>
    <w:rsid w:val="00F449BA"/>
    <w:rsid w:val="00F44CD1"/>
    <w:rsid w:val="00F44F9F"/>
    <w:rsid w:val="00F45787"/>
    <w:rsid w:val="00F45C44"/>
    <w:rsid w:val="00F468A3"/>
    <w:rsid w:val="00F47448"/>
    <w:rsid w:val="00F4762E"/>
    <w:rsid w:val="00F4770B"/>
    <w:rsid w:val="00F47786"/>
    <w:rsid w:val="00F478D2"/>
    <w:rsid w:val="00F50B1C"/>
    <w:rsid w:val="00F514BB"/>
    <w:rsid w:val="00F526E4"/>
    <w:rsid w:val="00F52B66"/>
    <w:rsid w:val="00F52BFB"/>
    <w:rsid w:val="00F52CD1"/>
    <w:rsid w:val="00F52FAC"/>
    <w:rsid w:val="00F52FBF"/>
    <w:rsid w:val="00F53240"/>
    <w:rsid w:val="00F534B1"/>
    <w:rsid w:val="00F536A3"/>
    <w:rsid w:val="00F537B2"/>
    <w:rsid w:val="00F53AC7"/>
    <w:rsid w:val="00F53C45"/>
    <w:rsid w:val="00F53DEF"/>
    <w:rsid w:val="00F53DF7"/>
    <w:rsid w:val="00F553FB"/>
    <w:rsid w:val="00F5558D"/>
    <w:rsid w:val="00F60070"/>
    <w:rsid w:val="00F6092F"/>
    <w:rsid w:val="00F60A96"/>
    <w:rsid w:val="00F62D9F"/>
    <w:rsid w:val="00F63827"/>
    <w:rsid w:val="00F63DD9"/>
    <w:rsid w:val="00F64746"/>
    <w:rsid w:val="00F64845"/>
    <w:rsid w:val="00F64BFD"/>
    <w:rsid w:val="00F650AF"/>
    <w:rsid w:val="00F6606D"/>
    <w:rsid w:val="00F6670D"/>
    <w:rsid w:val="00F66B25"/>
    <w:rsid w:val="00F7040F"/>
    <w:rsid w:val="00F71354"/>
    <w:rsid w:val="00F7138C"/>
    <w:rsid w:val="00F71448"/>
    <w:rsid w:val="00F7160C"/>
    <w:rsid w:val="00F719CD"/>
    <w:rsid w:val="00F71A22"/>
    <w:rsid w:val="00F71AB1"/>
    <w:rsid w:val="00F71BAA"/>
    <w:rsid w:val="00F71DEC"/>
    <w:rsid w:val="00F721B1"/>
    <w:rsid w:val="00F722F9"/>
    <w:rsid w:val="00F724BC"/>
    <w:rsid w:val="00F724EC"/>
    <w:rsid w:val="00F72E67"/>
    <w:rsid w:val="00F74B37"/>
    <w:rsid w:val="00F74CAB"/>
    <w:rsid w:val="00F74CAD"/>
    <w:rsid w:val="00F75135"/>
    <w:rsid w:val="00F75154"/>
    <w:rsid w:val="00F75BF1"/>
    <w:rsid w:val="00F75FBB"/>
    <w:rsid w:val="00F76F4B"/>
    <w:rsid w:val="00F80652"/>
    <w:rsid w:val="00F80C08"/>
    <w:rsid w:val="00F8132B"/>
    <w:rsid w:val="00F81D03"/>
    <w:rsid w:val="00F835F9"/>
    <w:rsid w:val="00F83C40"/>
    <w:rsid w:val="00F840E6"/>
    <w:rsid w:val="00F84613"/>
    <w:rsid w:val="00F84ED2"/>
    <w:rsid w:val="00F85121"/>
    <w:rsid w:val="00F85AAE"/>
    <w:rsid w:val="00F86250"/>
    <w:rsid w:val="00F86937"/>
    <w:rsid w:val="00F872AF"/>
    <w:rsid w:val="00F8738F"/>
    <w:rsid w:val="00F87BB5"/>
    <w:rsid w:val="00F87D78"/>
    <w:rsid w:val="00F87D8B"/>
    <w:rsid w:val="00F87DF4"/>
    <w:rsid w:val="00F90F5D"/>
    <w:rsid w:val="00F91B05"/>
    <w:rsid w:val="00F92349"/>
    <w:rsid w:val="00F92A80"/>
    <w:rsid w:val="00F92DFE"/>
    <w:rsid w:val="00F92EFF"/>
    <w:rsid w:val="00F93766"/>
    <w:rsid w:val="00F93818"/>
    <w:rsid w:val="00F94674"/>
    <w:rsid w:val="00F94C29"/>
    <w:rsid w:val="00F94D59"/>
    <w:rsid w:val="00F9523C"/>
    <w:rsid w:val="00F95563"/>
    <w:rsid w:val="00F955F1"/>
    <w:rsid w:val="00F9694A"/>
    <w:rsid w:val="00F96A02"/>
    <w:rsid w:val="00F97474"/>
    <w:rsid w:val="00F97492"/>
    <w:rsid w:val="00F974EB"/>
    <w:rsid w:val="00FA02C9"/>
    <w:rsid w:val="00FA07F3"/>
    <w:rsid w:val="00FA0EF2"/>
    <w:rsid w:val="00FA1B9C"/>
    <w:rsid w:val="00FA210D"/>
    <w:rsid w:val="00FA364C"/>
    <w:rsid w:val="00FA366B"/>
    <w:rsid w:val="00FA373D"/>
    <w:rsid w:val="00FA492A"/>
    <w:rsid w:val="00FA51D4"/>
    <w:rsid w:val="00FA527E"/>
    <w:rsid w:val="00FA58A2"/>
    <w:rsid w:val="00FA68F4"/>
    <w:rsid w:val="00FA782A"/>
    <w:rsid w:val="00FB077A"/>
    <w:rsid w:val="00FB0864"/>
    <w:rsid w:val="00FB0A38"/>
    <w:rsid w:val="00FB12CB"/>
    <w:rsid w:val="00FB14D8"/>
    <w:rsid w:val="00FB19E5"/>
    <w:rsid w:val="00FB2036"/>
    <w:rsid w:val="00FB2304"/>
    <w:rsid w:val="00FB2EAA"/>
    <w:rsid w:val="00FB3128"/>
    <w:rsid w:val="00FB366C"/>
    <w:rsid w:val="00FB3D5E"/>
    <w:rsid w:val="00FB4D7A"/>
    <w:rsid w:val="00FB4F94"/>
    <w:rsid w:val="00FB503E"/>
    <w:rsid w:val="00FB57C7"/>
    <w:rsid w:val="00FB5A71"/>
    <w:rsid w:val="00FB7608"/>
    <w:rsid w:val="00FB78A0"/>
    <w:rsid w:val="00FB7A5D"/>
    <w:rsid w:val="00FB7B92"/>
    <w:rsid w:val="00FB7D52"/>
    <w:rsid w:val="00FC1C73"/>
    <w:rsid w:val="00FC2011"/>
    <w:rsid w:val="00FC2094"/>
    <w:rsid w:val="00FC228C"/>
    <w:rsid w:val="00FC22FE"/>
    <w:rsid w:val="00FC2763"/>
    <w:rsid w:val="00FC27C8"/>
    <w:rsid w:val="00FC2A5A"/>
    <w:rsid w:val="00FC2E5C"/>
    <w:rsid w:val="00FC2F9F"/>
    <w:rsid w:val="00FC2FB0"/>
    <w:rsid w:val="00FC319B"/>
    <w:rsid w:val="00FC34B5"/>
    <w:rsid w:val="00FC3C20"/>
    <w:rsid w:val="00FC49CE"/>
    <w:rsid w:val="00FC5219"/>
    <w:rsid w:val="00FC54A2"/>
    <w:rsid w:val="00FC5C4D"/>
    <w:rsid w:val="00FC6148"/>
    <w:rsid w:val="00FC636A"/>
    <w:rsid w:val="00FC6AC1"/>
    <w:rsid w:val="00FC6FD7"/>
    <w:rsid w:val="00FC700C"/>
    <w:rsid w:val="00FC72CD"/>
    <w:rsid w:val="00FC764B"/>
    <w:rsid w:val="00FC7CBD"/>
    <w:rsid w:val="00FD074F"/>
    <w:rsid w:val="00FD08D7"/>
    <w:rsid w:val="00FD1A15"/>
    <w:rsid w:val="00FD2311"/>
    <w:rsid w:val="00FD3171"/>
    <w:rsid w:val="00FD39F3"/>
    <w:rsid w:val="00FD3BC5"/>
    <w:rsid w:val="00FD4C2C"/>
    <w:rsid w:val="00FD4E3C"/>
    <w:rsid w:val="00FD506A"/>
    <w:rsid w:val="00FD5111"/>
    <w:rsid w:val="00FD5355"/>
    <w:rsid w:val="00FD5A37"/>
    <w:rsid w:val="00FD5AFA"/>
    <w:rsid w:val="00FD5FC3"/>
    <w:rsid w:val="00FD6EB6"/>
    <w:rsid w:val="00FD71B8"/>
    <w:rsid w:val="00FD75A5"/>
    <w:rsid w:val="00FD7E97"/>
    <w:rsid w:val="00FD7F31"/>
    <w:rsid w:val="00FD7F65"/>
    <w:rsid w:val="00FD7FB4"/>
    <w:rsid w:val="00FE03C4"/>
    <w:rsid w:val="00FE045F"/>
    <w:rsid w:val="00FE05D1"/>
    <w:rsid w:val="00FE09B8"/>
    <w:rsid w:val="00FE0B5A"/>
    <w:rsid w:val="00FE13FE"/>
    <w:rsid w:val="00FE162A"/>
    <w:rsid w:val="00FE1834"/>
    <w:rsid w:val="00FE19AA"/>
    <w:rsid w:val="00FE1B28"/>
    <w:rsid w:val="00FE1E05"/>
    <w:rsid w:val="00FE2432"/>
    <w:rsid w:val="00FE3DFB"/>
    <w:rsid w:val="00FE4154"/>
    <w:rsid w:val="00FE47B5"/>
    <w:rsid w:val="00FE482A"/>
    <w:rsid w:val="00FE53D9"/>
    <w:rsid w:val="00FE54EA"/>
    <w:rsid w:val="00FE598C"/>
    <w:rsid w:val="00FE5B4D"/>
    <w:rsid w:val="00FE7401"/>
    <w:rsid w:val="00FE7575"/>
    <w:rsid w:val="00FF092D"/>
    <w:rsid w:val="00FF0C40"/>
    <w:rsid w:val="00FF18EC"/>
    <w:rsid w:val="00FF190C"/>
    <w:rsid w:val="00FF1D23"/>
    <w:rsid w:val="00FF237C"/>
    <w:rsid w:val="00FF2586"/>
    <w:rsid w:val="00FF2C21"/>
    <w:rsid w:val="00FF39F8"/>
    <w:rsid w:val="00FF3A71"/>
    <w:rsid w:val="00FF3D28"/>
    <w:rsid w:val="00FF3D45"/>
    <w:rsid w:val="00FF402E"/>
    <w:rsid w:val="00FF4764"/>
    <w:rsid w:val="00FF5A9A"/>
    <w:rsid w:val="00FF5BF9"/>
    <w:rsid w:val="00FF70D3"/>
    <w:rsid w:val="00FF7ACE"/>
    <w:rsid w:val="00FF7BE8"/>
    <w:rsid w:val="010A895F"/>
    <w:rsid w:val="0132720D"/>
    <w:rsid w:val="01592DC5"/>
    <w:rsid w:val="0178BF2A"/>
    <w:rsid w:val="01902CB2"/>
    <w:rsid w:val="01FC5414"/>
    <w:rsid w:val="02017B4D"/>
    <w:rsid w:val="02138DD0"/>
    <w:rsid w:val="022C45F3"/>
    <w:rsid w:val="02503960"/>
    <w:rsid w:val="028416E3"/>
    <w:rsid w:val="02858DD4"/>
    <w:rsid w:val="02BE9B2E"/>
    <w:rsid w:val="02C2BE7B"/>
    <w:rsid w:val="02D60FC5"/>
    <w:rsid w:val="02E31E98"/>
    <w:rsid w:val="02E71D02"/>
    <w:rsid w:val="02FF0A29"/>
    <w:rsid w:val="03215813"/>
    <w:rsid w:val="03295732"/>
    <w:rsid w:val="03474F84"/>
    <w:rsid w:val="039D4BAE"/>
    <w:rsid w:val="03B44BC7"/>
    <w:rsid w:val="03FBBA0D"/>
    <w:rsid w:val="0439F436"/>
    <w:rsid w:val="044679ED"/>
    <w:rsid w:val="045A93C8"/>
    <w:rsid w:val="045B20A3"/>
    <w:rsid w:val="04725A64"/>
    <w:rsid w:val="0485BA82"/>
    <w:rsid w:val="0487FFD0"/>
    <w:rsid w:val="0492BB2E"/>
    <w:rsid w:val="049A75E3"/>
    <w:rsid w:val="049F57E6"/>
    <w:rsid w:val="04C41A19"/>
    <w:rsid w:val="04E1D9FD"/>
    <w:rsid w:val="051C2DEF"/>
    <w:rsid w:val="0567B073"/>
    <w:rsid w:val="058AE489"/>
    <w:rsid w:val="058CF85A"/>
    <w:rsid w:val="0595EAB1"/>
    <w:rsid w:val="05C41F02"/>
    <w:rsid w:val="05C9D5E6"/>
    <w:rsid w:val="05F0850C"/>
    <w:rsid w:val="060B356D"/>
    <w:rsid w:val="06180F8E"/>
    <w:rsid w:val="06347FDC"/>
    <w:rsid w:val="064871A7"/>
    <w:rsid w:val="06601BCA"/>
    <w:rsid w:val="067AA5BB"/>
    <w:rsid w:val="067D380F"/>
    <w:rsid w:val="06861A08"/>
    <w:rsid w:val="068B0457"/>
    <w:rsid w:val="069132CF"/>
    <w:rsid w:val="06978BC3"/>
    <w:rsid w:val="06A1C604"/>
    <w:rsid w:val="06A6AD74"/>
    <w:rsid w:val="06D0FEBF"/>
    <w:rsid w:val="06E6FEF3"/>
    <w:rsid w:val="070C7491"/>
    <w:rsid w:val="070DDA88"/>
    <w:rsid w:val="07207C5D"/>
    <w:rsid w:val="072275C0"/>
    <w:rsid w:val="07588425"/>
    <w:rsid w:val="0761AA38"/>
    <w:rsid w:val="0771340F"/>
    <w:rsid w:val="07730B82"/>
    <w:rsid w:val="0794F616"/>
    <w:rsid w:val="07E2A36C"/>
    <w:rsid w:val="07F352CB"/>
    <w:rsid w:val="0842C5FB"/>
    <w:rsid w:val="0861C5FF"/>
    <w:rsid w:val="086C6F39"/>
    <w:rsid w:val="0882E564"/>
    <w:rsid w:val="08833E3E"/>
    <w:rsid w:val="08B44C90"/>
    <w:rsid w:val="08ECA469"/>
    <w:rsid w:val="09286359"/>
    <w:rsid w:val="09363977"/>
    <w:rsid w:val="09684BCD"/>
    <w:rsid w:val="096B4125"/>
    <w:rsid w:val="096E1B1E"/>
    <w:rsid w:val="096F396E"/>
    <w:rsid w:val="0982A31A"/>
    <w:rsid w:val="09878594"/>
    <w:rsid w:val="09BBF77E"/>
    <w:rsid w:val="09D16174"/>
    <w:rsid w:val="09E0F26C"/>
    <w:rsid w:val="09EE5161"/>
    <w:rsid w:val="0A35F72E"/>
    <w:rsid w:val="0A48B372"/>
    <w:rsid w:val="0A502626"/>
    <w:rsid w:val="0A6C2677"/>
    <w:rsid w:val="0A6EF10A"/>
    <w:rsid w:val="0A8FE383"/>
    <w:rsid w:val="0AA51F5A"/>
    <w:rsid w:val="0AB3D41D"/>
    <w:rsid w:val="0AE441C9"/>
    <w:rsid w:val="0B01BF49"/>
    <w:rsid w:val="0B0AB563"/>
    <w:rsid w:val="0B7D66AD"/>
    <w:rsid w:val="0B7DFE25"/>
    <w:rsid w:val="0B8D362A"/>
    <w:rsid w:val="0BB26F51"/>
    <w:rsid w:val="0BBEF905"/>
    <w:rsid w:val="0BCA1756"/>
    <w:rsid w:val="0BD461C1"/>
    <w:rsid w:val="0C12FFBC"/>
    <w:rsid w:val="0C4490C5"/>
    <w:rsid w:val="0C4F3FD7"/>
    <w:rsid w:val="0C536DBC"/>
    <w:rsid w:val="0C7D6C49"/>
    <w:rsid w:val="0CAC6209"/>
    <w:rsid w:val="0CDDC041"/>
    <w:rsid w:val="0D0A3BC9"/>
    <w:rsid w:val="0DA9BCFB"/>
    <w:rsid w:val="0DC696B9"/>
    <w:rsid w:val="0DE7E90A"/>
    <w:rsid w:val="0DE9CD94"/>
    <w:rsid w:val="0E23026A"/>
    <w:rsid w:val="0E44BF41"/>
    <w:rsid w:val="0E5DE422"/>
    <w:rsid w:val="0E63BCE2"/>
    <w:rsid w:val="0E944C96"/>
    <w:rsid w:val="0EE590C6"/>
    <w:rsid w:val="0EE9D4A2"/>
    <w:rsid w:val="0EF43BE7"/>
    <w:rsid w:val="0F4954E8"/>
    <w:rsid w:val="0F54E3CF"/>
    <w:rsid w:val="0FEE4158"/>
    <w:rsid w:val="1022AB5E"/>
    <w:rsid w:val="102DF1E8"/>
    <w:rsid w:val="1033B364"/>
    <w:rsid w:val="10365D0C"/>
    <w:rsid w:val="104DBB3A"/>
    <w:rsid w:val="10BC301C"/>
    <w:rsid w:val="10C9F1BA"/>
    <w:rsid w:val="10DA6C51"/>
    <w:rsid w:val="10DB5C2B"/>
    <w:rsid w:val="10ED6305"/>
    <w:rsid w:val="113E0313"/>
    <w:rsid w:val="1184F0F7"/>
    <w:rsid w:val="119E385E"/>
    <w:rsid w:val="11AA8A28"/>
    <w:rsid w:val="11E28504"/>
    <w:rsid w:val="11FDDD62"/>
    <w:rsid w:val="12023926"/>
    <w:rsid w:val="1207CA2D"/>
    <w:rsid w:val="120A6D8A"/>
    <w:rsid w:val="121343A3"/>
    <w:rsid w:val="12138ECB"/>
    <w:rsid w:val="125C0159"/>
    <w:rsid w:val="125C4A55"/>
    <w:rsid w:val="127340CA"/>
    <w:rsid w:val="12898CB1"/>
    <w:rsid w:val="128E799A"/>
    <w:rsid w:val="12AC1794"/>
    <w:rsid w:val="12BD853C"/>
    <w:rsid w:val="12BE4E8A"/>
    <w:rsid w:val="1366B910"/>
    <w:rsid w:val="138F5F5C"/>
    <w:rsid w:val="13944D5E"/>
    <w:rsid w:val="139554D2"/>
    <w:rsid w:val="13C51ACF"/>
    <w:rsid w:val="13F5BB4F"/>
    <w:rsid w:val="13FC6FD9"/>
    <w:rsid w:val="14083A27"/>
    <w:rsid w:val="1408F0E6"/>
    <w:rsid w:val="142BC285"/>
    <w:rsid w:val="142E0CD3"/>
    <w:rsid w:val="1439FC14"/>
    <w:rsid w:val="143B67E3"/>
    <w:rsid w:val="143FE6BB"/>
    <w:rsid w:val="144970F4"/>
    <w:rsid w:val="1453D2C8"/>
    <w:rsid w:val="1478E186"/>
    <w:rsid w:val="147C9499"/>
    <w:rsid w:val="148EBA7C"/>
    <w:rsid w:val="14985F57"/>
    <w:rsid w:val="14AA0255"/>
    <w:rsid w:val="14B6E809"/>
    <w:rsid w:val="14C87CEF"/>
    <w:rsid w:val="153721F9"/>
    <w:rsid w:val="157F357E"/>
    <w:rsid w:val="159BC177"/>
    <w:rsid w:val="15A24495"/>
    <w:rsid w:val="15B917B9"/>
    <w:rsid w:val="15BDC086"/>
    <w:rsid w:val="15C47BA5"/>
    <w:rsid w:val="15CE31F9"/>
    <w:rsid w:val="15D8D673"/>
    <w:rsid w:val="16147291"/>
    <w:rsid w:val="1621EBDB"/>
    <w:rsid w:val="1648C80E"/>
    <w:rsid w:val="16BADD9D"/>
    <w:rsid w:val="16F3008B"/>
    <w:rsid w:val="16F80DE9"/>
    <w:rsid w:val="17010B18"/>
    <w:rsid w:val="1717C20B"/>
    <w:rsid w:val="17408615"/>
    <w:rsid w:val="1749FB9F"/>
    <w:rsid w:val="176C1D35"/>
    <w:rsid w:val="1772CC32"/>
    <w:rsid w:val="17861AF6"/>
    <w:rsid w:val="17AC5368"/>
    <w:rsid w:val="17B961D6"/>
    <w:rsid w:val="17C1313A"/>
    <w:rsid w:val="17C93B61"/>
    <w:rsid w:val="182BB056"/>
    <w:rsid w:val="1853AC0B"/>
    <w:rsid w:val="18646DB8"/>
    <w:rsid w:val="18695CCA"/>
    <w:rsid w:val="1877A298"/>
    <w:rsid w:val="18808A72"/>
    <w:rsid w:val="1880A98D"/>
    <w:rsid w:val="18BD3AC7"/>
    <w:rsid w:val="18E25656"/>
    <w:rsid w:val="18EC3087"/>
    <w:rsid w:val="190C899D"/>
    <w:rsid w:val="196A0883"/>
    <w:rsid w:val="197286FD"/>
    <w:rsid w:val="1995F10A"/>
    <w:rsid w:val="19A5071C"/>
    <w:rsid w:val="19B89036"/>
    <w:rsid w:val="19C780B7"/>
    <w:rsid w:val="1A0590DC"/>
    <w:rsid w:val="1A4A6007"/>
    <w:rsid w:val="1A5436E5"/>
    <w:rsid w:val="1A673C6D"/>
    <w:rsid w:val="1A833B8B"/>
    <w:rsid w:val="1AE54F2E"/>
    <w:rsid w:val="1AF58BD6"/>
    <w:rsid w:val="1B00D997"/>
    <w:rsid w:val="1B0A1B29"/>
    <w:rsid w:val="1B12055B"/>
    <w:rsid w:val="1B34D4AE"/>
    <w:rsid w:val="1B3B230A"/>
    <w:rsid w:val="1B5C1B4C"/>
    <w:rsid w:val="1B627894"/>
    <w:rsid w:val="1B68208C"/>
    <w:rsid w:val="1B68E9DA"/>
    <w:rsid w:val="1B8498D1"/>
    <w:rsid w:val="1BA608EF"/>
    <w:rsid w:val="1BA86508"/>
    <w:rsid w:val="1BAE5B9B"/>
    <w:rsid w:val="1BB77F98"/>
    <w:rsid w:val="1BC51FAD"/>
    <w:rsid w:val="1BEC621E"/>
    <w:rsid w:val="1C09A235"/>
    <w:rsid w:val="1C169BFE"/>
    <w:rsid w:val="1C1A82FD"/>
    <w:rsid w:val="1C4037DF"/>
    <w:rsid w:val="1C4D1B2C"/>
    <w:rsid w:val="1C63B6E9"/>
    <w:rsid w:val="1C642D97"/>
    <w:rsid w:val="1C68C838"/>
    <w:rsid w:val="1C7B96A6"/>
    <w:rsid w:val="1CD789E8"/>
    <w:rsid w:val="1D15365C"/>
    <w:rsid w:val="1D5DCA07"/>
    <w:rsid w:val="1D7BD9AB"/>
    <w:rsid w:val="1D89CDA8"/>
    <w:rsid w:val="1D9865A4"/>
    <w:rsid w:val="1DA5AFFF"/>
    <w:rsid w:val="1DB43686"/>
    <w:rsid w:val="1DB4BB12"/>
    <w:rsid w:val="1DF459E1"/>
    <w:rsid w:val="1E184680"/>
    <w:rsid w:val="1E59ECDE"/>
    <w:rsid w:val="1E9AA0E7"/>
    <w:rsid w:val="1E9AF1DA"/>
    <w:rsid w:val="1EA74932"/>
    <w:rsid w:val="1EB52A0A"/>
    <w:rsid w:val="1EFCE380"/>
    <w:rsid w:val="1F007A51"/>
    <w:rsid w:val="1F036F45"/>
    <w:rsid w:val="1F14C047"/>
    <w:rsid w:val="1F30B4C8"/>
    <w:rsid w:val="1F3993D5"/>
    <w:rsid w:val="1F5C3B59"/>
    <w:rsid w:val="1F781C9B"/>
    <w:rsid w:val="1F7E30B5"/>
    <w:rsid w:val="1F9D9BDB"/>
    <w:rsid w:val="1FA00453"/>
    <w:rsid w:val="1FC49C4D"/>
    <w:rsid w:val="1FC6CC0E"/>
    <w:rsid w:val="20150240"/>
    <w:rsid w:val="201FC442"/>
    <w:rsid w:val="2021D1DA"/>
    <w:rsid w:val="202D9DC3"/>
    <w:rsid w:val="202F8C6F"/>
    <w:rsid w:val="2062E4E8"/>
    <w:rsid w:val="208280DC"/>
    <w:rsid w:val="209F7D0F"/>
    <w:rsid w:val="21058746"/>
    <w:rsid w:val="2107E5CB"/>
    <w:rsid w:val="210FB020"/>
    <w:rsid w:val="2122FCC4"/>
    <w:rsid w:val="21491A04"/>
    <w:rsid w:val="21640BDE"/>
    <w:rsid w:val="216C5FB5"/>
    <w:rsid w:val="218C76D4"/>
    <w:rsid w:val="21A92C61"/>
    <w:rsid w:val="2256D2B2"/>
    <w:rsid w:val="225A2CB1"/>
    <w:rsid w:val="22644EE3"/>
    <w:rsid w:val="226A9D3F"/>
    <w:rsid w:val="2288DC8F"/>
    <w:rsid w:val="228B91B6"/>
    <w:rsid w:val="22B8886B"/>
    <w:rsid w:val="22BBAF99"/>
    <w:rsid w:val="22F71808"/>
    <w:rsid w:val="22FB2997"/>
    <w:rsid w:val="230ECA4C"/>
    <w:rsid w:val="2318834F"/>
    <w:rsid w:val="239AB68C"/>
    <w:rsid w:val="23A688E7"/>
    <w:rsid w:val="23CAF7CE"/>
    <w:rsid w:val="23DEE31E"/>
    <w:rsid w:val="23FC5606"/>
    <w:rsid w:val="242629D5"/>
    <w:rsid w:val="248EDE12"/>
    <w:rsid w:val="2492512E"/>
    <w:rsid w:val="24A3E227"/>
    <w:rsid w:val="24AB6C62"/>
    <w:rsid w:val="24C283FF"/>
    <w:rsid w:val="24CAB88B"/>
    <w:rsid w:val="24F5A89F"/>
    <w:rsid w:val="24F80584"/>
    <w:rsid w:val="251DB88B"/>
    <w:rsid w:val="2531EFCD"/>
    <w:rsid w:val="2550F877"/>
    <w:rsid w:val="2573ACE8"/>
    <w:rsid w:val="259EFB99"/>
    <w:rsid w:val="25F1BCC4"/>
    <w:rsid w:val="261EC25A"/>
    <w:rsid w:val="26AB6AAB"/>
    <w:rsid w:val="26C962FD"/>
    <w:rsid w:val="2751E482"/>
    <w:rsid w:val="27583D76"/>
    <w:rsid w:val="2767E4B6"/>
    <w:rsid w:val="277A64A8"/>
    <w:rsid w:val="2797D790"/>
    <w:rsid w:val="27A93113"/>
    <w:rsid w:val="27B4F167"/>
    <w:rsid w:val="27BB0E6B"/>
    <w:rsid w:val="27D7AE18"/>
    <w:rsid w:val="28032396"/>
    <w:rsid w:val="284F0059"/>
    <w:rsid w:val="28545296"/>
    <w:rsid w:val="28B0FF4E"/>
    <w:rsid w:val="28D0F619"/>
    <w:rsid w:val="28F1CF14"/>
    <w:rsid w:val="290301B3"/>
    <w:rsid w:val="2905CF13"/>
    <w:rsid w:val="290E9C34"/>
    <w:rsid w:val="29148768"/>
    <w:rsid w:val="2928E60C"/>
    <w:rsid w:val="29734387"/>
    <w:rsid w:val="29AA4519"/>
    <w:rsid w:val="29CA7A88"/>
    <w:rsid w:val="29E59207"/>
    <w:rsid w:val="29EC1DCC"/>
    <w:rsid w:val="2A3F3180"/>
    <w:rsid w:val="2A499D61"/>
    <w:rsid w:val="2A6C2F02"/>
    <w:rsid w:val="2A7FC22D"/>
    <w:rsid w:val="2AA9112D"/>
    <w:rsid w:val="2AAB3971"/>
    <w:rsid w:val="2AB382D6"/>
    <w:rsid w:val="2AC7097F"/>
    <w:rsid w:val="2AD63588"/>
    <w:rsid w:val="2ADAFC45"/>
    <w:rsid w:val="2AE5A23B"/>
    <w:rsid w:val="2AEA0B85"/>
    <w:rsid w:val="2B2A20C2"/>
    <w:rsid w:val="2B2A82B8"/>
    <w:rsid w:val="2B30A12B"/>
    <w:rsid w:val="2B4D61A3"/>
    <w:rsid w:val="2B5017E4"/>
    <w:rsid w:val="2B6E320E"/>
    <w:rsid w:val="2B7A9A33"/>
    <w:rsid w:val="2B7F1354"/>
    <w:rsid w:val="2BCBEB6B"/>
    <w:rsid w:val="2BE004A7"/>
    <w:rsid w:val="2BE7327C"/>
    <w:rsid w:val="2C03DC16"/>
    <w:rsid w:val="2C121CA3"/>
    <w:rsid w:val="2C41B5E7"/>
    <w:rsid w:val="2C61C796"/>
    <w:rsid w:val="2C6909F0"/>
    <w:rsid w:val="2C761037"/>
    <w:rsid w:val="2CA22BF9"/>
    <w:rsid w:val="2CDA33FD"/>
    <w:rsid w:val="2CE52784"/>
    <w:rsid w:val="2CEA21DD"/>
    <w:rsid w:val="2DCAC8FD"/>
    <w:rsid w:val="2DDFF339"/>
    <w:rsid w:val="2DEEECD6"/>
    <w:rsid w:val="2DFE5ACE"/>
    <w:rsid w:val="2E006611"/>
    <w:rsid w:val="2E2D8C4D"/>
    <w:rsid w:val="2E60EFB1"/>
    <w:rsid w:val="2E79D6D3"/>
    <w:rsid w:val="2E93BF62"/>
    <w:rsid w:val="2EAC63FB"/>
    <w:rsid w:val="2EB2C86E"/>
    <w:rsid w:val="2ED78761"/>
    <w:rsid w:val="2F076BB5"/>
    <w:rsid w:val="2F0CB954"/>
    <w:rsid w:val="2F4C2037"/>
    <w:rsid w:val="2F507655"/>
    <w:rsid w:val="2F7B1DCC"/>
    <w:rsid w:val="2F84E2AB"/>
    <w:rsid w:val="2F88F7CA"/>
    <w:rsid w:val="2F9BF909"/>
    <w:rsid w:val="2FA0AAB2"/>
    <w:rsid w:val="2FC087B8"/>
    <w:rsid w:val="2FC7C79B"/>
    <w:rsid w:val="2FFF21F7"/>
    <w:rsid w:val="303BAB2E"/>
    <w:rsid w:val="3071195D"/>
    <w:rsid w:val="3075C956"/>
    <w:rsid w:val="309BE68D"/>
    <w:rsid w:val="30A069F3"/>
    <w:rsid w:val="30ACEA05"/>
    <w:rsid w:val="30B74605"/>
    <w:rsid w:val="30BB9DC0"/>
    <w:rsid w:val="30EAE4F5"/>
    <w:rsid w:val="30EF2A8E"/>
    <w:rsid w:val="31092CCB"/>
    <w:rsid w:val="311EDE76"/>
    <w:rsid w:val="3120E8BD"/>
    <w:rsid w:val="312DEE3E"/>
    <w:rsid w:val="312E484D"/>
    <w:rsid w:val="31775874"/>
    <w:rsid w:val="317E87DD"/>
    <w:rsid w:val="3199E3CA"/>
    <w:rsid w:val="31B80EED"/>
    <w:rsid w:val="31CCE031"/>
    <w:rsid w:val="31E03CFB"/>
    <w:rsid w:val="31F480E5"/>
    <w:rsid w:val="321A5D40"/>
    <w:rsid w:val="321DC8A2"/>
    <w:rsid w:val="32875861"/>
    <w:rsid w:val="3296C238"/>
    <w:rsid w:val="32A86C4E"/>
    <w:rsid w:val="32FE33EE"/>
    <w:rsid w:val="3309B2C8"/>
    <w:rsid w:val="33154153"/>
    <w:rsid w:val="33734BF0"/>
    <w:rsid w:val="339ACBC0"/>
    <w:rsid w:val="33A96242"/>
    <w:rsid w:val="33B9DB05"/>
    <w:rsid w:val="33C3F5FC"/>
    <w:rsid w:val="33CEB1D1"/>
    <w:rsid w:val="33DC115C"/>
    <w:rsid w:val="3406816F"/>
    <w:rsid w:val="3428FFCA"/>
    <w:rsid w:val="3449CAFB"/>
    <w:rsid w:val="34628478"/>
    <w:rsid w:val="3472CEC3"/>
    <w:rsid w:val="347680A9"/>
    <w:rsid w:val="34AC2519"/>
    <w:rsid w:val="34F533C2"/>
    <w:rsid w:val="35005F86"/>
    <w:rsid w:val="3509D330"/>
    <w:rsid w:val="352844AE"/>
    <w:rsid w:val="3564C087"/>
    <w:rsid w:val="357970A9"/>
    <w:rsid w:val="3598A502"/>
    <w:rsid w:val="35CDCB82"/>
    <w:rsid w:val="35D54872"/>
    <w:rsid w:val="361F2A36"/>
    <w:rsid w:val="3620D61A"/>
    <w:rsid w:val="3625F3A2"/>
    <w:rsid w:val="3648E33B"/>
    <w:rsid w:val="3663A1FA"/>
    <w:rsid w:val="3668FECF"/>
    <w:rsid w:val="366D86C3"/>
    <w:rsid w:val="36AAA752"/>
    <w:rsid w:val="36CB6F37"/>
    <w:rsid w:val="36CE0E87"/>
    <w:rsid w:val="36E8DB85"/>
    <w:rsid w:val="3714E10E"/>
    <w:rsid w:val="373CA8F9"/>
    <w:rsid w:val="37604D97"/>
    <w:rsid w:val="376416D5"/>
    <w:rsid w:val="3767542E"/>
    <w:rsid w:val="377E45E9"/>
    <w:rsid w:val="37DA3A26"/>
    <w:rsid w:val="383C7BC4"/>
    <w:rsid w:val="38409659"/>
    <w:rsid w:val="385B48F7"/>
    <w:rsid w:val="386303AC"/>
    <w:rsid w:val="3886390B"/>
    <w:rsid w:val="38880B5B"/>
    <w:rsid w:val="38C25904"/>
    <w:rsid w:val="38CA010A"/>
    <w:rsid w:val="3903B16F"/>
    <w:rsid w:val="3912CBCF"/>
    <w:rsid w:val="3928E2D2"/>
    <w:rsid w:val="3934DC43"/>
    <w:rsid w:val="39487CF8"/>
    <w:rsid w:val="394E7472"/>
    <w:rsid w:val="3966A163"/>
    <w:rsid w:val="396753D3"/>
    <w:rsid w:val="39917B1A"/>
    <w:rsid w:val="399A1FF8"/>
    <w:rsid w:val="39A2ADFA"/>
    <w:rsid w:val="39A5FC66"/>
    <w:rsid w:val="39CE31C0"/>
    <w:rsid w:val="39EE6DEF"/>
    <w:rsid w:val="3A1CE63A"/>
    <w:rsid w:val="3A243380"/>
    <w:rsid w:val="3A311F6A"/>
    <w:rsid w:val="3A34BF9A"/>
    <w:rsid w:val="3A55B9F1"/>
    <w:rsid w:val="3A665D50"/>
    <w:rsid w:val="3AA9AE3C"/>
    <w:rsid w:val="3ABA841D"/>
    <w:rsid w:val="3AE369F3"/>
    <w:rsid w:val="3B072043"/>
    <w:rsid w:val="3B1AB8FA"/>
    <w:rsid w:val="3B21D295"/>
    <w:rsid w:val="3B38B77D"/>
    <w:rsid w:val="3B447EEE"/>
    <w:rsid w:val="3B4F7131"/>
    <w:rsid w:val="3B64E808"/>
    <w:rsid w:val="3B6B4641"/>
    <w:rsid w:val="3B6D4245"/>
    <w:rsid w:val="3B6D6983"/>
    <w:rsid w:val="3B84846D"/>
    <w:rsid w:val="3BE1EDAA"/>
    <w:rsid w:val="3BFF9DFB"/>
    <w:rsid w:val="3C0C0167"/>
    <w:rsid w:val="3C1AFBFF"/>
    <w:rsid w:val="3C328628"/>
    <w:rsid w:val="3C5655B7"/>
    <w:rsid w:val="3CB38B01"/>
    <w:rsid w:val="3CB65E9D"/>
    <w:rsid w:val="3D08FC7B"/>
    <w:rsid w:val="3D095780"/>
    <w:rsid w:val="3D64266F"/>
    <w:rsid w:val="3D901EE2"/>
    <w:rsid w:val="3DB109E9"/>
    <w:rsid w:val="3DB4CB06"/>
    <w:rsid w:val="3E4E907E"/>
    <w:rsid w:val="3E57E956"/>
    <w:rsid w:val="3E7F08C2"/>
    <w:rsid w:val="3EBD411B"/>
    <w:rsid w:val="3ED24530"/>
    <w:rsid w:val="3EEE0D8D"/>
    <w:rsid w:val="3EF05A28"/>
    <w:rsid w:val="3EFFC3FF"/>
    <w:rsid w:val="3F509B67"/>
    <w:rsid w:val="3F565B67"/>
    <w:rsid w:val="3F698F72"/>
    <w:rsid w:val="3F799EDC"/>
    <w:rsid w:val="3F79E35F"/>
    <w:rsid w:val="3F7C843A"/>
    <w:rsid w:val="3FC4F5D9"/>
    <w:rsid w:val="4003F87B"/>
    <w:rsid w:val="40086480"/>
    <w:rsid w:val="400C7427"/>
    <w:rsid w:val="400D9F12"/>
    <w:rsid w:val="40109B9E"/>
    <w:rsid w:val="4013ED0A"/>
    <w:rsid w:val="4039ACD1"/>
    <w:rsid w:val="40572B47"/>
    <w:rsid w:val="4066DD24"/>
    <w:rsid w:val="407522A3"/>
    <w:rsid w:val="4088F8C3"/>
    <w:rsid w:val="40B72535"/>
    <w:rsid w:val="40C1F0BF"/>
    <w:rsid w:val="40EC6BC8"/>
    <w:rsid w:val="40F79EC8"/>
    <w:rsid w:val="413B2895"/>
    <w:rsid w:val="415166FB"/>
    <w:rsid w:val="4186D350"/>
    <w:rsid w:val="41B26FC7"/>
    <w:rsid w:val="41E1EA29"/>
    <w:rsid w:val="42216F25"/>
    <w:rsid w:val="422887CA"/>
    <w:rsid w:val="4265F6D5"/>
    <w:rsid w:val="426E3E03"/>
    <w:rsid w:val="42883C29"/>
    <w:rsid w:val="42B25902"/>
    <w:rsid w:val="42D924CE"/>
    <w:rsid w:val="42E775E0"/>
    <w:rsid w:val="43171FBE"/>
    <w:rsid w:val="432A419B"/>
    <w:rsid w:val="432CE501"/>
    <w:rsid w:val="438776F6"/>
    <w:rsid w:val="43D92A6A"/>
    <w:rsid w:val="43DF8960"/>
    <w:rsid w:val="44016194"/>
    <w:rsid w:val="443E9DCE"/>
    <w:rsid w:val="446D133C"/>
    <w:rsid w:val="44A776C4"/>
    <w:rsid w:val="44C6EE03"/>
    <w:rsid w:val="44F0D2CA"/>
    <w:rsid w:val="452A4CF8"/>
    <w:rsid w:val="452E3780"/>
    <w:rsid w:val="4556A76F"/>
    <w:rsid w:val="457B8690"/>
    <w:rsid w:val="457D1A27"/>
    <w:rsid w:val="45C5EEFE"/>
    <w:rsid w:val="45D3B094"/>
    <w:rsid w:val="45F79B62"/>
    <w:rsid w:val="46125927"/>
    <w:rsid w:val="46134BA4"/>
    <w:rsid w:val="46167C74"/>
    <w:rsid w:val="461D0839"/>
    <w:rsid w:val="46B4D6EF"/>
    <w:rsid w:val="46E5A942"/>
    <w:rsid w:val="47146199"/>
    <w:rsid w:val="47386ADE"/>
    <w:rsid w:val="479BAB12"/>
    <w:rsid w:val="47AB0CF2"/>
    <w:rsid w:val="47AC5591"/>
    <w:rsid w:val="47BAFA84"/>
    <w:rsid w:val="47C39DD7"/>
    <w:rsid w:val="47E64FDC"/>
    <w:rsid w:val="47EC8003"/>
    <w:rsid w:val="47FA10E3"/>
    <w:rsid w:val="4805090A"/>
    <w:rsid w:val="481232B7"/>
    <w:rsid w:val="482E5A5C"/>
    <w:rsid w:val="48311511"/>
    <w:rsid w:val="483C3C99"/>
    <w:rsid w:val="485327A3"/>
    <w:rsid w:val="485A3305"/>
    <w:rsid w:val="48608161"/>
    <w:rsid w:val="48D2F342"/>
    <w:rsid w:val="48D73B2F"/>
    <w:rsid w:val="48DBB7E8"/>
    <w:rsid w:val="48FEA90B"/>
    <w:rsid w:val="491FD41E"/>
    <w:rsid w:val="4950ACEC"/>
    <w:rsid w:val="498BBE17"/>
    <w:rsid w:val="49AED6D0"/>
    <w:rsid w:val="49E5CF46"/>
    <w:rsid w:val="49ED89FB"/>
    <w:rsid w:val="49F13D0E"/>
    <w:rsid w:val="4A37C794"/>
    <w:rsid w:val="4A38D9DE"/>
    <w:rsid w:val="4A545214"/>
    <w:rsid w:val="4A82E5A1"/>
    <w:rsid w:val="4A9A6D72"/>
    <w:rsid w:val="4A9F0810"/>
    <w:rsid w:val="4AA6441B"/>
    <w:rsid w:val="4AC4E738"/>
    <w:rsid w:val="4AD7D817"/>
    <w:rsid w:val="4B08EDAB"/>
    <w:rsid w:val="4B0A6BFD"/>
    <w:rsid w:val="4B426C6E"/>
    <w:rsid w:val="4B470FC9"/>
    <w:rsid w:val="4B55A73E"/>
    <w:rsid w:val="4B77A8AF"/>
    <w:rsid w:val="4BBE4469"/>
    <w:rsid w:val="4C1AB9F3"/>
    <w:rsid w:val="4C223F0C"/>
    <w:rsid w:val="4C64AC8C"/>
    <w:rsid w:val="4C662001"/>
    <w:rsid w:val="4C8167DA"/>
    <w:rsid w:val="4CA2875A"/>
    <w:rsid w:val="4CDBD032"/>
    <w:rsid w:val="4CECEC0B"/>
    <w:rsid w:val="4CF19CCA"/>
    <w:rsid w:val="4D09036B"/>
    <w:rsid w:val="4D0EC4E7"/>
    <w:rsid w:val="4D3F9F43"/>
    <w:rsid w:val="4D54FDCA"/>
    <w:rsid w:val="4D5918AB"/>
    <w:rsid w:val="4D6AD8C1"/>
    <w:rsid w:val="4D6E0790"/>
    <w:rsid w:val="4D869875"/>
    <w:rsid w:val="4D95DA13"/>
    <w:rsid w:val="4DC6A1CE"/>
    <w:rsid w:val="4DD90D5A"/>
    <w:rsid w:val="4E51DC38"/>
    <w:rsid w:val="4E6BF585"/>
    <w:rsid w:val="4E964FE9"/>
    <w:rsid w:val="4EB40AD2"/>
    <w:rsid w:val="4EBD40A1"/>
    <w:rsid w:val="4ED82A42"/>
    <w:rsid w:val="4EF7ADA7"/>
    <w:rsid w:val="4EFFD6F1"/>
    <w:rsid w:val="4F025532"/>
    <w:rsid w:val="4F09EEC9"/>
    <w:rsid w:val="4F2B1593"/>
    <w:rsid w:val="4F2D92BA"/>
    <w:rsid w:val="4F83B8ED"/>
    <w:rsid w:val="4FC599F3"/>
    <w:rsid w:val="4FCD77EC"/>
    <w:rsid w:val="4FD1AEB1"/>
    <w:rsid w:val="4FECC4B4"/>
    <w:rsid w:val="4FF44200"/>
    <w:rsid w:val="50078B5F"/>
    <w:rsid w:val="509B2DF8"/>
    <w:rsid w:val="50A1479C"/>
    <w:rsid w:val="50ACAF5E"/>
    <w:rsid w:val="50AF2CC9"/>
    <w:rsid w:val="50BF7A44"/>
    <w:rsid w:val="50D0EAFF"/>
    <w:rsid w:val="50EF7031"/>
    <w:rsid w:val="5124CB2B"/>
    <w:rsid w:val="514AFECC"/>
    <w:rsid w:val="518D4D0F"/>
    <w:rsid w:val="51A0BA0C"/>
    <w:rsid w:val="51A183BC"/>
    <w:rsid w:val="51B3794B"/>
    <w:rsid w:val="51FD9A16"/>
    <w:rsid w:val="52097210"/>
    <w:rsid w:val="520F3E8B"/>
    <w:rsid w:val="525999DA"/>
    <w:rsid w:val="525C9F88"/>
    <w:rsid w:val="52642BCA"/>
    <w:rsid w:val="5282D83A"/>
    <w:rsid w:val="52916115"/>
    <w:rsid w:val="52A20E4C"/>
    <w:rsid w:val="52CE5AEE"/>
    <w:rsid w:val="52D3531C"/>
    <w:rsid w:val="533A16E0"/>
    <w:rsid w:val="5343B3F6"/>
    <w:rsid w:val="53711E15"/>
    <w:rsid w:val="5378E87D"/>
    <w:rsid w:val="537D9B56"/>
    <w:rsid w:val="5385C120"/>
    <w:rsid w:val="53A825B6"/>
    <w:rsid w:val="53BBA847"/>
    <w:rsid w:val="53C0E40A"/>
    <w:rsid w:val="53C19101"/>
    <w:rsid w:val="53D754C7"/>
    <w:rsid w:val="54073943"/>
    <w:rsid w:val="540D3AF3"/>
    <w:rsid w:val="541F4AAB"/>
    <w:rsid w:val="5479D8E5"/>
    <w:rsid w:val="547A2E1A"/>
    <w:rsid w:val="5495C80B"/>
    <w:rsid w:val="54D9DAD4"/>
    <w:rsid w:val="54E83B2B"/>
    <w:rsid w:val="55065ABB"/>
    <w:rsid w:val="5517968D"/>
    <w:rsid w:val="551D1184"/>
    <w:rsid w:val="5533CDFC"/>
    <w:rsid w:val="55498877"/>
    <w:rsid w:val="555D4EA7"/>
    <w:rsid w:val="557D1584"/>
    <w:rsid w:val="558AB8F3"/>
    <w:rsid w:val="55DF6D4D"/>
    <w:rsid w:val="5615FE7B"/>
    <w:rsid w:val="56335DD9"/>
    <w:rsid w:val="5650E6EC"/>
    <w:rsid w:val="5660E931"/>
    <w:rsid w:val="5666BBED"/>
    <w:rsid w:val="56DA3A87"/>
    <w:rsid w:val="5703DE91"/>
    <w:rsid w:val="5712815E"/>
    <w:rsid w:val="572FD267"/>
    <w:rsid w:val="57308543"/>
    <w:rsid w:val="5761D633"/>
    <w:rsid w:val="576A677E"/>
    <w:rsid w:val="577D0416"/>
    <w:rsid w:val="57AB190E"/>
    <w:rsid w:val="57B91FA8"/>
    <w:rsid w:val="57D499E1"/>
    <w:rsid w:val="58106683"/>
    <w:rsid w:val="582CE8DF"/>
    <w:rsid w:val="5858B771"/>
    <w:rsid w:val="5860BA27"/>
    <w:rsid w:val="58A33E06"/>
    <w:rsid w:val="58AEE2B4"/>
    <w:rsid w:val="58DCA062"/>
    <w:rsid w:val="58EED945"/>
    <w:rsid w:val="591BA918"/>
    <w:rsid w:val="59558CC3"/>
    <w:rsid w:val="595A8E0D"/>
    <w:rsid w:val="5980B053"/>
    <w:rsid w:val="59876957"/>
    <w:rsid w:val="59AACB86"/>
    <w:rsid w:val="59B6CA4B"/>
    <w:rsid w:val="5A1C0141"/>
    <w:rsid w:val="5A449E0D"/>
    <w:rsid w:val="5A498AA8"/>
    <w:rsid w:val="5A547723"/>
    <w:rsid w:val="5A561FE1"/>
    <w:rsid w:val="5A614EAB"/>
    <w:rsid w:val="5A7BB2EC"/>
    <w:rsid w:val="5A7F0EA4"/>
    <w:rsid w:val="5ABDA667"/>
    <w:rsid w:val="5AC65D77"/>
    <w:rsid w:val="5AFCCD82"/>
    <w:rsid w:val="5AFEF95C"/>
    <w:rsid w:val="5B0DFDCC"/>
    <w:rsid w:val="5B1DDFD7"/>
    <w:rsid w:val="5B20429D"/>
    <w:rsid w:val="5B272F18"/>
    <w:rsid w:val="5B2F12B4"/>
    <w:rsid w:val="5B30737A"/>
    <w:rsid w:val="5B41AA89"/>
    <w:rsid w:val="5B4A4E11"/>
    <w:rsid w:val="5B4BDC16"/>
    <w:rsid w:val="5B62335C"/>
    <w:rsid w:val="5BB33E1B"/>
    <w:rsid w:val="5BD11726"/>
    <w:rsid w:val="5BD76C2C"/>
    <w:rsid w:val="5BD7DED8"/>
    <w:rsid w:val="5BDD6E7E"/>
    <w:rsid w:val="5BED73B7"/>
    <w:rsid w:val="5C080E20"/>
    <w:rsid w:val="5C1B5F88"/>
    <w:rsid w:val="5C21A7B9"/>
    <w:rsid w:val="5C46C246"/>
    <w:rsid w:val="5C46E984"/>
    <w:rsid w:val="5C552171"/>
    <w:rsid w:val="5C5CC27A"/>
    <w:rsid w:val="5C61A47D"/>
    <w:rsid w:val="5C75DF44"/>
    <w:rsid w:val="5C8B7039"/>
    <w:rsid w:val="5CB642AC"/>
    <w:rsid w:val="5CC18C3A"/>
    <w:rsid w:val="5CD0DE00"/>
    <w:rsid w:val="5D094D44"/>
    <w:rsid w:val="5D2E7AE6"/>
    <w:rsid w:val="5D6573CC"/>
    <w:rsid w:val="5D7387FB"/>
    <w:rsid w:val="5D76E151"/>
    <w:rsid w:val="5DA04814"/>
    <w:rsid w:val="5DABCC07"/>
    <w:rsid w:val="5DF1279D"/>
    <w:rsid w:val="5EB2FF78"/>
    <w:rsid w:val="5F0BDA93"/>
    <w:rsid w:val="5F38FBDF"/>
    <w:rsid w:val="5F39C628"/>
    <w:rsid w:val="5F40E965"/>
    <w:rsid w:val="5FC80929"/>
    <w:rsid w:val="5FC90548"/>
    <w:rsid w:val="5FDA891B"/>
    <w:rsid w:val="601EDDD4"/>
    <w:rsid w:val="6056EDA3"/>
    <w:rsid w:val="60750EC5"/>
    <w:rsid w:val="608D0832"/>
    <w:rsid w:val="60A00AA9"/>
    <w:rsid w:val="60B1C4E0"/>
    <w:rsid w:val="60B8E4EA"/>
    <w:rsid w:val="60E00BE9"/>
    <w:rsid w:val="60E05BC3"/>
    <w:rsid w:val="6105B95A"/>
    <w:rsid w:val="61143F1C"/>
    <w:rsid w:val="61233320"/>
    <w:rsid w:val="6137EE52"/>
    <w:rsid w:val="6142486A"/>
    <w:rsid w:val="61879BEB"/>
    <w:rsid w:val="61A02A2B"/>
    <w:rsid w:val="61A2280E"/>
    <w:rsid w:val="61C375BD"/>
    <w:rsid w:val="623A8FEA"/>
    <w:rsid w:val="62729549"/>
    <w:rsid w:val="6293DC98"/>
    <w:rsid w:val="62D7E5C2"/>
    <w:rsid w:val="62F60DD6"/>
    <w:rsid w:val="631C3319"/>
    <w:rsid w:val="63200767"/>
    <w:rsid w:val="636AB888"/>
    <w:rsid w:val="63A881A2"/>
    <w:rsid w:val="63B6C78E"/>
    <w:rsid w:val="63EB7DD2"/>
    <w:rsid w:val="6459DD5C"/>
    <w:rsid w:val="64983F6A"/>
    <w:rsid w:val="64BC5C63"/>
    <w:rsid w:val="64C18762"/>
    <w:rsid w:val="64CA7B9F"/>
    <w:rsid w:val="64CF28C6"/>
    <w:rsid w:val="6507DF17"/>
    <w:rsid w:val="653B03B7"/>
    <w:rsid w:val="655232DB"/>
    <w:rsid w:val="655F4A65"/>
    <w:rsid w:val="65680139"/>
    <w:rsid w:val="657BCCC1"/>
    <w:rsid w:val="65B7193D"/>
    <w:rsid w:val="65B86867"/>
    <w:rsid w:val="65BEA6D9"/>
    <w:rsid w:val="6614001E"/>
    <w:rsid w:val="663B13D5"/>
    <w:rsid w:val="6648F2C5"/>
    <w:rsid w:val="666B3996"/>
    <w:rsid w:val="66D04853"/>
    <w:rsid w:val="66E08185"/>
    <w:rsid w:val="6703FDA7"/>
    <w:rsid w:val="675A4302"/>
    <w:rsid w:val="67C21BBB"/>
    <w:rsid w:val="67C58237"/>
    <w:rsid w:val="6831E165"/>
    <w:rsid w:val="68A83C29"/>
    <w:rsid w:val="68CB0545"/>
    <w:rsid w:val="690EC94D"/>
    <w:rsid w:val="69239B8C"/>
    <w:rsid w:val="69402785"/>
    <w:rsid w:val="6948F9CA"/>
    <w:rsid w:val="694ED2A6"/>
    <w:rsid w:val="6970308A"/>
    <w:rsid w:val="69885135"/>
    <w:rsid w:val="699CB33A"/>
    <w:rsid w:val="69BDC822"/>
    <w:rsid w:val="69C25AAE"/>
    <w:rsid w:val="69FD9EAA"/>
    <w:rsid w:val="6A3D1C1E"/>
    <w:rsid w:val="6A4D8DA7"/>
    <w:rsid w:val="6A8CF655"/>
    <w:rsid w:val="6AC6351B"/>
    <w:rsid w:val="6AD66054"/>
    <w:rsid w:val="6AD67E6B"/>
    <w:rsid w:val="6AD6D87A"/>
    <w:rsid w:val="6AEE5891"/>
    <w:rsid w:val="6AF42EBC"/>
    <w:rsid w:val="6B6388DF"/>
    <w:rsid w:val="6BCB2133"/>
    <w:rsid w:val="6BF53055"/>
    <w:rsid w:val="6C0F5F8B"/>
    <w:rsid w:val="6C17DA72"/>
    <w:rsid w:val="6C1FC891"/>
    <w:rsid w:val="6C2DA754"/>
    <w:rsid w:val="6C3A5B90"/>
    <w:rsid w:val="6C3EBAA0"/>
    <w:rsid w:val="6C71DF8D"/>
    <w:rsid w:val="6D50FA7C"/>
    <w:rsid w:val="6D99B7AC"/>
    <w:rsid w:val="6DB52D94"/>
    <w:rsid w:val="6DC88B3C"/>
    <w:rsid w:val="6DCDD86B"/>
    <w:rsid w:val="6DE9F525"/>
    <w:rsid w:val="6E117441"/>
    <w:rsid w:val="6E3B1CAF"/>
    <w:rsid w:val="6EC9667E"/>
    <w:rsid w:val="6F01EC32"/>
    <w:rsid w:val="6F06A91C"/>
    <w:rsid w:val="6F140E7E"/>
    <w:rsid w:val="6F331679"/>
    <w:rsid w:val="6F404D4A"/>
    <w:rsid w:val="6F6E2633"/>
    <w:rsid w:val="6F7982DD"/>
    <w:rsid w:val="6FB89AAF"/>
    <w:rsid w:val="6FF27924"/>
    <w:rsid w:val="6FF97D2E"/>
    <w:rsid w:val="70391321"/>
    <w:rsid w:val="7051667F"/>
    <w:rsid w:val="705B5625"/>
    <w:rsid w:val="706862D2"/>
    <w:rsid w:val="706F6FE4"/>
    <w:rsid w:val="7084A6CA"/>
    <w:rsid w:val="70BEB0B8"/>
    <w:rsid w:val="70DC77BA"/>
    <w:rsid w:val="7122F6AD"/>
    <w:rsid w:val="7123A2B0"/>
    <w:rsid w:val="7127A40F"/>
    <w:rsid w:val="715A3CC5"/>
    <w:rsid w:val="716F8113"/>
    <w:rsid w:val="71B00CAF"/>
    <w:rsid w:val="71D5CB5F"/>
    <w:rsid w:val="71E50159"/>
    <w:rsid w:val="71FC46A8"/>
    <w:rsid w:val="7230CC0E"/>
    <w:rsid w:val="7232AF1C"/>
    <w:rsid w:val="724E498E"/>
    <w:rsid w:val="726AFDC0"/>
    <w:rsid w:val="726EBC66"/>
    <w:rsid w:val="726F0E3A"/>
    <w:rsid w:val="72AA1B18"/>
    <w:rsid w:val="72C47538"/>
    <w:rsid w:val="72E8C691"/>
    <w:rsid w:val="730EAA78"/>
    <w:rsid w:val="7316D567"/>
    <w:rsid w:val="735A4357"/>
    <w:rsid w:val="7378B25E"/>
    <w:rsid w:val="73914DDB"/>
    <w:rsid w:val="74238253"/>
    <w:rsid w:val="74283E0E"/>
    <w:rsid w:val="7432E4FE"/>
    <w:rsid w:val="745F5DC7"/>
    <w:rsid w:val="74631C00"/>
    <w:rsid w:val="748ED9A1"/>
    <w:rsid w:val="74962467"/>
    <w:rsid w:val="749A1F7B"/>
    <w:rsid w:val="74A0A999"/>
    <w:rsid w:val="74E06200"/>
    <w:rsid w:val="74E735C6"/>
    <w:rsid w:val="74F5CBB7"/>
    <w:rsid w:val="750F3082"/>
    <w:rsid w:val="7526C93C"/>
    <w:rsid w:val="755926B5"/>
    <w:rsid w:val="75764310"/>
    <w:rsid w:val="7595B9C9"/>
    <w:rsid w:val="7617BA21"/>
    <w:rsid w:val="76198089"/>
    <w:rsid w:val="762F9F17"/>
    <w:rsid w:val="7631ADCD"/>
    <w:rsid w:val="766995C9"/>
    <w:rsid w:val="7673AE5E"/>
    <w:rsid w:val="76961AF0"/>
    <w:rsid w:val="76A1F000"/>
    <w:rsid w:val="76B27FAB"/>
    <w:rsid w:val="76CBE7EF"/>
    <w:rsid w:val="76D849F7"/>
    <w:rsid w:val="76DC78F6"/>
    <w:rsid w:val="771DDD39"/>
    <w:rsid w:val="77331DC1"/>
    <w:rsid w:val="7765204A"/>
    <w:rsid w:val="777B433D"/>
    <w:rsid w:val="77F19105"/>
    <w:rsid w:val="780E8D38"/>
    <w:rsid w:val="78111256"/>
    <w:rsid w:val="7831EB51"/>
    <w:rsid w:val="783264A7"/>
    <w:rsid w:val="78366FBC"/>
    <w:rsid w:val="784FECBF"/>
    <w:rsid w:val="78721204"/>
    <w:rsid w:val="78AE70B2"/>
    <w:rsid w:val="78CDD55D"/>
    <w:rsid w:val="790444E9"/>
    <w:rsid w:val="7905C73C"/>
    <w:rsid w:val="790C4087"/>
    <w:rsid w:val="79279D90"/>
    <w:rsid w:val="7964C49A"/>
    <w:rsid w:val="79674AAE"/>
    <w:rsid w:val="7967D7D8"/>
    <w:rsid w:val="79897A5B"/>
    <w:rsid w:val="79A1AA0C"/>
    <w:rsid w:val="79A52802"/>
    <w:rsid w:val="79AC419D"/>
    <w:rsid w:val="79BE363C"/>
    <w:rsid w:val="79C6853B"/>
    <w:rsid w:val="7A0F6D51"/>
    <w:rsid w:val="7A247BFE"/>
    <w:rsid w:val="7A5EE081"/>
    <w:rsid w:val="7A885CC6"/>
    <w:rsid w:val="7AA21108"/>
    <w:rsid w:val="7AC71767"/>
    <w:rsid w:val="7AD235B8"/>
    <w:rsid w:val="7ADBE8AB"/>
    <w:rsid w:val="7B0BB447"/>
    <w:rsid w:val="7B1AF5E5"/>
    <w:rsid w:val="7B5F4AC4"/>
    <w:rsid w:val="7B995FD0"/>
    <w:rsid w:val="7BAEFB5D"/>
    <w:rsid w:val="7BE12CD6"/>
    <w:rsid w:val="7BE18600"/>
    <w:rsid w:val="7C2909CD"/>
    <w:rsid w:val="7C4BA610"/>
    <w:rsid w:val="7C4DB0E2"/>
    <w:rsid w:val="7C558FB4"/>
    <w:rsid w:val="7C798B03"/>
    <w:rsid w:val="7C9B011E"/>
    <w:rsid w:val="7CAEA6EA"/>
    <w:rsid w:val="7CBCC626"/>
    <w:rsid w:val="7CDA976A"/>
    <w:rsid w:val="7CEF8A5E"/>
    <w:rsid w:val="7D37846F"/>
    <w:rsid w:val="7D92B805"/>
    <w:rsid w:val="7DCBBC43"/>
    <w:rsid w:val="7DE3C964"/>
    <w:rsid w:val="7DFE313C"/>
    <w:rsid w:val="7E01B71E"/>
    <w:rsid w:val="7E252044"/>
    <w:rsid w:val="7E43AE4C"/>
    <w:rsid w:val="7E478934"/>
    <w:rsid w:val="7E6D1801"/>
    <w:rsid w:val="7EA0446A"/>
    <w:rsid w:val="7EA59B8D"/>
    <w:rsid w:val="7EABDF3B"/>
    <w:rsid w:val="7EBC774F"/>
    <w:rsid w:val="7F290358"/>
    <w:rsid w:val="7F4E78F6"/>
    <w:rsid w:val="7F5C71A7"/>
    <w:rsid w:val="7F678CA4"/>
    <w:rsid w:val="7F6B5FF9"/>
    <w:rsid w:val="7F7B820B"/>
    <w:rsid w:val="7F7FCC96"/>
    <w:rsid w:val="7FAE9080"/>
    <w:rsid w:val="7FFAF2A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1EEC4E"/>
  <w15:chartTrackingRefBased/>
  <w15:docId w15:val="{D5632EF8-A2C4-4630-89E2-47848619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fr-FR"/>
    </w:rPr>
  </w:style>
  <w:style w:type="paragraph" w:styleId="Titre1">
    <w:name w:val="heading 1"/>
    <w:basedOn w:val="Normal"/>
    <w:next w:val="Paragrdouble"/>
    <w:qFormat/>
    <w:rsid w:val="00D12D92"/>
    <w:pPr>
      <w:keepNext/>
      <w:spacing w:before="240" w:after="60"/>
      <w:ind w:left="432" w:hanging="432"/>
      <w:outlineLvl w:val="0"/>
    </w:pPr>
    <w:rPr>
      <w:b/>
      <w:kern w:val="28"/>
      <w:u w:val="single"/>
    </w:rPr>
  </w:style>
  <w:style w:type="paragraph" w:styleId="Titre2">
    <w:name w:val="heading 2"/>
    <w:basedOn w:val="Normal"/>
    <w:next w:val="Paragrdouble"/>
    <w:link w:val="Titre2Car"/>
    <w:qFormat/>
    <w:rsid w:val="00BA153A"/>
    <w:pPr>
      <w:keepNext/>
      <w:numPr>
        <w:numId w:val="3"/>
      </w:numPr>
      <w:spacing w:before="240" w:after="60"/>
      <w:ind w:left="709" w:hanging="709"/>
      <w:outlineLvl w:val="1"/>
    </w:pPr>
    <w:rPr>
      <w:b/>
      <w:caps/>
      <w:u w:val="single"/>
    </w:rPr>
  </w:style>
  <w:style w:type="paragraph" w:styleId="Titre3">
    <w:name w:val="heading 3"/>
    <w:basedOn w:val="Normal"/>
    <w:next w:val="Paragrdouble"/>
    <w:link w:val="Titre3Car"/>
    <w:qFormat/>
    <w:rsid w:val="00AF1575"/>
    <w:pPr>
      <w:keepNext/>
      <w:numPr>
        <w:ilvl w:val="1"/>
        <w:numId w:val="3"/>
      </w:numPr>
      <w:spacing w:before="240" w:after="60"/>
      <w:outlineLvl w:val="2"/>
    </w:pPr>
    <w:rPr>
      <w:b/>
    </w:rPr>
  </w:style>
  <w:style w:type="paragraph" w:styleId="Titre4">
    <w:name w:val="heading 4"/>
    <w:basedOn w:val="Normal"/>
    <w:next w:val="Paragrdouble"/>
    <w:qFormat/>
    <w:rsid w:val="00AF1575"/>
    <w:pPr>
      <w:keepNext/>
      <w:numPr>
        <w:ilvl w:val="2"/>
        <w:numId w:val="3"/>
      </w:numPr>
      <w:spacing w:before="240" w:after="60"/>
      <w:ind w:left="1985" w:hanging="851"/>
      <w:outlineLvl w:val="3"/>
    </w:pPr>
    <w:rPr>
      <w:b/>
    </w:rPr>
  </w:style>
  <w:style w:type="paragraph" w:styleId="Titre5">
    <w:name w:val="heading 5"/>
    <w:basedOn w:val="Titre4"/>
    <w:next w:val="Paragrdouble"/>
    <w:qFormat/>
    <w:rsid w:val="001B0DA6"/>
    <w:pPr>
      <w:numPr>
        <w:ilvl w:val="3"/>
      </w:numPr>
      <w:ind w:left="2495" w:hanging="1077"/>
      <w:outlineLvl w:val="4"/>
    </w:pPr>
  </w:style>
  <w:style w:type="paragraph" w:styleId="Titre6">
    <w:name w:val="heading 6"/>
    <w:basedOn w:val="Titre5"/>
    <w:next w:val="Paragrdouble"/>
    <w:qFormat/>
    <w:rsid w:val="00C025FC"/>
    <w:pPr>
      <w:numPr>
        <w:ilvl w:val="4"/>
      </w:numPr>
      <w:ind w:left="3657" w:hanging="1247"/>
      <w:outlineLvl w:val="5"/>
    </w:pPr>
  </w:style>
  <w:style w:type="paragraph" w:styleId="Titre7">
    <w:name w:val="heading 7"/>
    <w:basedOn w:val="Normal"/>
    <w:next w:val="Normal"/>
    <w:qFormat/>
    <w:pPr>
      <w:numPr>
        <w:ilvl w:val="6"/>
        <w:numId w:val="2"/>
      </w:numPr>
      <w:spacing w:before="240" w:after="60"/>
      <w:outlineLvl w:val="6"/>
    </w:pPr>
    <w:rPr>
      <w:sz w:val="20"/>
    </w:rPr>
  </w:style>
  <w:style w:type="paragraph" w:styleId="Titre8">
    <w:name w:val="heading 8"/>
    <w:basedOn w:val="Normal"/>
    <w:next w:val="Normal"/>
    <w:qFormat/>
    <w:pPr>
      <w:numPr>
        <w:ilvl w:val="7"/>
        <w:numId w:val="2"/>
      </w:numPr>
      <w:spacing w:before="240" w:after="60"/>
      <w:outlineLvl w:val="7"/>
    </w:pPr>
    <w:rPr>
      <w:i/>
      <w:sz w:val="20"/>
    </w:rPr>
  </w:style>
  <w:style w:type="paragraph" w:styleId="Titre9">
    <w:name w:val="heading 9"/>
    <w:basedOn w:val="Normal"/>
    <w:next w:val="Normal"/>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double">
    <w:name w:val="Paragr. double"/>
    <w:basedOn w:val="Normal"/>
    <w:rsid w:val="00AF1575"/>
    <w:pPr>
      <w:numPr>
        <w:numId w:val="1"/>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uiPriority w:val="99"/>
    <w:semiHidden/>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rsid w:val="00C025FC"/>
    <w:rPr>
      <w:caps/>
    </w:rPr>
  </w:style>
  <w:style w:type="paragraph" w:customStyle="1" w:styleId="zSoquijlblProvince">
    <w:name w:val="zSoquij_lblProvince"/>
    <w:basedOn w:val="Normal"/>
    <w:rsid w:val="00C025FC"/>
    <w:rPr>
      <w:caps/>
    </w:rPr>
  </w:style>
  <w:style w:type="paragraph" w:customStyle="1" w:styleId="zSoquijlblGreffe">
    <w:name w:val="zSoquij_lblGreffe"/>
    <w:basedOn w:val="Normal"/>
    <w:rsid w:val="00C025FC"/>
    <w:pPr>
      <w:ind w:left="70"/>
    </w:pPr>
    <w:rPr>
      <w:caps/>
    </w:rPr>
  </w:style>
  <w:style w:type="paragraph" w:customStyle="1" w:styleId="zSoquijdatGreffe">
    <w:name w:val="zSoquij_datGreffe"/>
    <w:basedOn w:val="Normal"/>
    <w:rsid w:val="00C025FC"/>
    <w:pPr>
      <w:ind w:left="29"/>
    </w:pPr>
    <w:rPr>
      <w:caps/>
    </w:r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sid w:val="00C025FC"/>
    <w:pPr>
      <w:ind w:left="70"/>
    </w:pPr>
    <w:rPr>
      <w:b/>
      <w:caps/>
    </w:rPr>
  </w:style>
  <w:style w:type="paragraph" w:customStyle="1" w:styleId="zSoquijdatQteJuge">
    <w:name w:val="zSoquij_datQteJuge"/>
    <w:basedOn w:val="Normal"/>
    <w:rsid w:val="00C025FC"/>
    <w:pPr>
      <w:ind w:left="29"/>
    </w:pPr>
    <w:rPr>
      <w:b/>
      <w:caps/>
    </w:rPr>
  </w:style>
  <w:style w:type="paragraph" w:customStyle="1" w:styleId="zSoquijdatJuge">
    <w:name w:val="zSoquij_datJuge"/>
    <w:basedOn w:val="Normal"/>
    <w:rsid w:val="00BA153A"/>
    <w:pPr>
      <w:ind w:left="52"/>
    </w:pPr>
    <w:rPr>
      <w:b/>
      <w:caps/>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C025FC"/>
    <w:pPr>
      <w:jc w:val="center"/>
    </w:pPr>
    <w:rPr>
      <w: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doubl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rsid w:val="00CF51ED"/>
    <w:pPr>
      <w:widowControl w:val="0"/>
      <w:numPr>
        <w:ilvl w:val="1"/>
        <w:numId w:val="1"/>
      </w:numPr>
      <w:spacing w:before="120"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double"/>
    <w:rsid w:val="00CF51ED"/>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numbering" w:customStyle="1" w:styleId="Style1">
    <w:name w:val="Style1"/>
    <w:uiPriority w:val="99"/>
    <w:rsid w:val="00CE1CAF"/>
    <w:pPr>
      <w:numPr>
        <w:numId w:val="3"/>
      </w:numPr>
    </w:pPr>
  </w:style>
  <w:style w:type="paragraph" w:customStyle="1" w:styleId="Paragrsimple">
    <w:name w:val="Paragr. simple"/>
    <w:basedOn w:val="Paragrdouble"/>
    <w:next w:val="Paragrdouble"/>
    <w:qFormat/>
    <w:rsid w:val="00BA153A"/>
    <w:pPr>
      <w:spacing w:line="240" w:lineRule="auto"/>
    </w:pPr>
  </w:style>
  <w:style w:type="paragraph" w:styleId="En-ttedetabledesmatires">
    <w:name w:val="TOC Heading"/>
    <w:basedOn w:val="Titre1"/>
    <w:next w:val="Normal"/>
    <w:uiPriority w:val="39"/>
    <w:qFormat/>
    <w:rsid w:val="00BA153A"/>
    <w:pPr>
      <w:keepLines/>
      <w:spacing w:before="480" w:after="0" w:line="276" w:lineRule="auto"/>
      <w:ind w:left="0" w:firstLine="0"/>
      <w:outlineLvl w:val="9"/>
    </w:pPr>
    <w:rPr>
      <w:rFonts w:ascii="Cambria" w:hAnsi="Cambria"/>
      <w:bCs/>
      <w:color w:val="365F91"/>
      <w:kern w:val="0"/>
      <w:sz w:val="28"/>
      <w:szCs w:val="28"/>
      <w:u w:val="none"/>
      <w:lang w:eastAsia="fr-CA"/>
    </w:rPr>
  </w:style>
  <w:style w:type="paragraph" w:styleId="TM1">
    <w:name w:val="toc 1"/>
    <w:basedOn w:val="Normal"/>
    <w:next w:val="Normal"/>
    <w:autoRedefine/>
    <w:uiPriority w:val="39"/>
    <w:unhideWhenUsed/>
    <w:rsid w:val="00BA153A"/>
    <w:pPr>
      <w:spacing w:before="120"/>
    </w:pPr>
    <w:rPr>
      <w:rFonts w:asciiTheme="minorHAnsi" w:hAnsiTheme="minorHAnsi" w:cstheme="minorHAnsi"/>
      <w:b/>
      <w:bCs/>
      <w:i/>
      <w:iCs/>
      <w:szCs w:val="24"/>
    </w:rPr>
  </w:style>
  <w:style w:type="paragraph" w:styleId="TM2">
    <w:name w:val="toc 2"/>
    <w:basedOn w:val="Normal"/>
    <w:next w:val="Normal"/>
    <w:autoRedefine/>
    <w:uiPriority w:val="39"/>
    <w:unhideWhenUsed/>
    <w:rsid w:val="00BA153A"/>
    <w:pPr>
      <w:spacing w:before="120"/>
      <w:ind w:left="240"/>
    </w:pPr>
    <w:rPr>
      <w:rFonts w:asciiTheme="minorHAnsi" w:hAnsiTheme="minorHAnsi" w:cstheme="minorHAnsi"/>
      <w:b/>
      <w:bCs/>
      <w:sz w:val="22"/>
      <w:szCs w:val="22"/>
    </w:rPr>
  </w:style>
  <w:style w:type="paragraph" w:styleId="TM3">
    <w:name w:val="toc 3"/>
    <w:basedOn w:val="Normal"/>
    <w:next w:val="Normal"/>
    <w:autoRedefine/>
    <w:uiPriority w:val="39"/>
    <w:unhideWhenUsed/>
    <w:rsid w:val="00BA153A"/>
    <w:pPr>
      <w:ind w:left="480"/>
    </w:pPr>
    <w:rPr>
      <w:rFonts w:asciiTheme="minorHAnsi" w:hAnsiTheme="minorHAnsi" w:cstheme="minorHAnsi"/>
      <w:sz w:val="20"/>
    </w:rPr>
  </w:style>
  <w:style w:type="character" w:styleId="Hyperlien">
    <w:name w:val="Hyperlink"/>
    <w:uiPriority w:val="99"/>
    <w:unhideWhenUsed/>
    <w:rsid w:val="00BA153A"/>
    <w:rPr>
      <w:color w:val="0000FF"/>
      <w:u w:val="single"/>
      <w:lang w:val="fr-CA"/>
    </w:rPr>
  </w:style>
  <w:style w:type="paragraph" w:styleId="Explorateurdedocuments">
    <w:name w:val="Document Map"/>
    <w:basedOn w:val="Normal"/>
    <w:semiHidden/>
    <w:rsid w:val="00007687"/>
    <w:pPr>
      <w:shd w:val="clear" w:color="auto" w:fill="000080"/>
    </w:pPr>
    <w:rPr>
      <w:rFonts w:ascii="Tahoma" w:hAnsi="Tahoma" w:cs="Tahoma"/>
      <w:sz w:val="20"/>
    </w:rPr>
  </w:style>
  <w:style w:type="paragraph" w:styleId="Titre">
    <w:name w:val="Title"/>
    <w:basedOn w:val="Normal"/>
    <w:qFormat/>
    <w:rsid w:val="008A4532"/>
    <w:pPr>
      <w:spacing w:before="240" w:after="60"/>
      <w:jc w:val="center"/>
      <w:outlineLvl w:val="0"/>
    </w:pPr>
    <w:rPr>
      <w:rFonts w:cs="Arial"/>
      <w:b/>
      <w:bCs/>
      <w:kern w:val="28"/>
      <w:sz w:val="32"/>
      <w:szCs w:val="32"/>
    </w:rPr>
  </w:style>
  <w:style w:type="paragraph" w:styleId="En-tte">
    <w:name w:val="header"/>
    <w:basedOn w:val="Normal"/>
    <w:link w:val="En-tteCar"/>
    <w:uiPriority w:val="99"/>
    <w:unhideWhenUsed/>
    <w:rsid w:val="007D6689"/>
    <w:pPr>
      <w:tabs>
        <w:tab w:val="center" w:pos="4320"/>
        <w:tab w:val="right" w:pos="8640"/>
      </w:tabs>
    </w:pPr>
  </w:style>
  <w:style w:type="character" w:customStyle="1" w:styleId="En-tteCar">
    <w:name w:val="En-tête Car"/>
    <w:link w:val="En-tte"/>
    <w:uiPriority w:val="99"/>
    <w:rsid w:val="007D6689"/>
    <w:rPr>
      <w:rFonts w:ascii="Arial" w:hAnsi="Arial"/>
      <w:sz w:val="24"/>
      <w:lang w:eastAsia="fr-FR"/>
    </w:rPr>
  </w:style>
  <w:style w:type="paragraph" w:styleId="Pieddepage">
    <w:name w:val="footer"/>
    <w:basedOn w:val="Normal"/>
    <w:link w:val="PieddepageCar"/>
    <w:uiPriority w:val="99"/>
    <w:unhideWhenUsed/>
    <w:rsid w:val="007D6689"/>
    <w:pPr>
      <w:tabs>
        <w:tab w:val="center" w:pos="4320"/>
        <w:tab w:val="right" w:pos="8640"/>
      </w:tabs>
    </w:pPr>
  </w:style>
  <w:style w:type="character" w:customStyle="1" w:styleId="PieddepageCar">
    <w:name w:val="Pied de page Car"/>
    <w:link w:val="Pieddepage"/>
    <w:uiPriority w:val="99"/>
    <w:rsid w:val="007D6689"/>
    <w:rPr>
      <w:rFonts w:ascii="Arial" w:hAnsi="Arial"/>
      <w:sz w:val="24"/>
      <w:lang w:eastAsia="fr-FR"/>
    </w:rPr>
  </w:style>
  <w:style w:type="character" w:styleId="lev">
    <w:name w:val="Strong"/>
    <w:uiPriority w:val="22"/>
    <w:qFormat/>
    <w:rsid w:val="00BC48B9"/>
    <w:rPr>
      <w:b/>
      <w:bCs/>
    </w:rPr>
  </w:style>
  <w:style w:type="character" w:customStyle="1" w:styleId="ng-binding">
    <w:name w:val="ng-binding"/>
    <w:rsid w:val="00BC48B9"/>
  </w:style>
  <w:style w:type="character" w:styleId="Mentionnonrsolue">
    <w:name w:val="Unresolved Mention"/>
    <w:basedOn w:val="Policepardfaut"/>
    <w:uiPriority w:val="99"/>
    <w:semiHidden/>
    <w:unhideWhenUsed/>
    <w:rsid w:val="00125D0D"/>
    <w:rPr>
      <w:color w:val="605E5C"/>
      <w:shd w:val="clear" w:color="auto" w:fill="E1DFDD"/>
    </w:rPr>
  </w:style>
  <w:style w:type="character" w:customStyle="1" w:styleId="normaltextrun">
    <w:name w:val="normaltextrun"/>
    <w:basedOn w:val="Policepardfaut"/>
    <w:rsid w:val="00E96F45"/>
  </w:style>
  <w:style w:type="character" w:customStyle="1" w:styleId="eop">
    <w:name w:val="eop"/>
    <w:basedOn w:val="Policepardfaut"/>
    <w:rsid w:val="00E96F45"/>
  </w:style>
  <w:style w:type="character" w:customStyle="1" w:styleId="Titre2Car">
    <w:name w:val="Titre 2 Car"/>
    <w:basedOn w:val="Policepardfaut"/>
    <w:link w:val="Titre2"/>
    <w:rsid w:val="00DC602A"/>
    <w:rPr>
      <w:rFonts w:ascii="Arial" w:hAnsi="Arial"/>
      <w:b/>
      <w:caps/>
      <w:sz w:val="24"/>
      <w:u w:val="single"/>
      <w:lang w:eastAsia="fr-FR"/>
    </w:rPr>
  </w:style>
  <w:style w:type="character" w:customStyle="1" w:styleId="Titre3Car">
    <w:name w:val="Titre 3 Car"/>
    <w:basedOn w:val="Policepardfaut"/>
    <w:link w:val="Titre3"/>
    <w:rsid w:val="00DC602A"/>
    <w:rPr>
      <w:rFonts w:ascii="Arial" w:hAnsi="Arial"/>
      <w:b/>
      <w:sz w:val="24"/>
      <w:lang w:eastAsia="fr-FR"/>
    </w:rPr>
  </w:style>
  <w:style w:type="paragraph" w:customStyle="1" w:styleId="Paragraphe">
    <w:name w:val="Paragraphe"/>
    <w:basedOn w:val="Normal"/>
    <w:link w:val="ParagrapheCar"/>
    <w:rsid w:val="00DC602A"/>
    <w:pPr>
      <w:tabs>
        <w:tab w:val="num" w:pos="1636"/>
      </w:tabs>
      <w:spacing w:before="120" w:after="120" w:line="500" w:lineRule="exact"/>
      <w:ind w:left="1276"/>
      <w:jc w:val="both"/>
    </w:pPr>
    <w:rPr>
      <w:kern w:val="28"/>
    </w:rPr>
  </w:style>
  <w:style w:type="character" w:customStyle="1" w:styleId="NotedebasdepageCar">
    <w:name w:val="Note de bas de page Car"/>
    <w:basedOn w:val="Policepardfaut"/>
    <w:link w:val="Notedebasdepage"/>
    <w:uiPriority w:val="99"/>
    <w:semiHidden/>
    <w:rsid w:val="00DC602A"/>
    <w:rPr>
      <w:rFonts w:ascii="Arial" w:hAnsi="Arial"/>
      <w:lang w:eastAsia="fr-FR"/>
    </w:rPr>
  </w:style>
  <w:style w:type="character" w:styleId="Appelnotedebasdep">
    <w:name w:val="footnote reference"/>
    <w:uiPriority w:val="99"/>
    <w:unhideWhenUsed/>
    <w:rsid w:val="00DC602A"/>
    <w:rPr>
      <w:vertAlign w:val="superscript"/>
    </w:rPr>
  </w:style>
  <w:style w:type="character" w:customStyle="1" w:styleId="ParagrapheCar">
    <w:name w:val="Paragraphe Car"/>
    <w:basedOn w:val="Policepardfaut"/>
    <w:link w:val="Paragraphe"/>
    <w:rsid w:val="00DC602A"/>
    <w:rPr>
      <w:rFonts w:ascii="Arial" w:hAnsi="Arial"/>
      <w:kern w:val="28"/>
      <w:sz w:val="24"/>
      <w:lang w:eastAsia="fr-FR"/>
    </w:rPr>
  </w:style>
  <w:style w:type="paragraph" w:styleId="Paragraphedeliste">
    <w:name w:val="List Paragraph"/>
    <w:basedOn w:val="Normal"/>
    <w:uiPriority w:val="34"/>
    <w:qFormat/>
    <w:rsid w:val="006510DC"/>
    <w:pPr>
      <w:ind w:left="720"/>
      <w:contextualSpacing/>
    </w:pPr>
  </w:style>
  <w:style w:type="character" w:customStyle="1" w:styleId="label-section">
    <w:name w:val="label-section"/>
    <w:basedOn w:val="Policepardfaut"/>
    <w:rsid w:val="005A4CC4"/>
  </w:style>
  <w:style w:type="character" w:customStyle="1" w:styleId="subsection">
    <w:name w:val="subsection"/>
    <w:basedOn w:val="Policepardfaut"/>
    <w:rsid w:val="005A4CC4"/>
  </w:style>
  <w:style w:type="character" w:styleId="Lienvisit">
    <w:name w:val="FollowedHyperlink"/>
    <w:basedOn w:val="Policepardfaut"/>
    <w:uiPriority w:val="99"/>
    <w:semiHidden/>
    <w:unhideWhenUsed/>
    <w:rsid w:val="00643216"/>
    <w:rPr>
      <w:color w:val="954F72" w:themeColor="followedHyperlink"/>
      <w:u w:val="single"/>
    </w:rPr>
  </w:style>
  <w:style w:type="character" w:customStyle="1" w:styleId="reflex3-missing">
    <w:name w:val="reflex3-missing"/>
    <w:basedOn w:val="Policepardfaut"/>
    <w:rsid w:val="00977D48"/>
  </w:style>
  <w:style w:type="paragraph" w:customStyle="1" w:styleId="Default">
    <w:name w:val="Default"/>
    <w:rsid w:val="000A74F5"/>
    <w:pPr>
      <w:autoSpaceDE w:val="0"/>
      <w:autoSpaceDN w:val="0"/>
      <w:adjustRightInd w:val="0"/>
    </w:pPr>
    <w:rPr>
      <w:rFonts w:ascii="Arial" w:hAnsi="Arial" w:cs="Arial"/>
      <w:color w:val="000000"/>
      <w:sz w:val="24"/>
      <w:szCs w:val="24"/>
    </w:rPr>
  </w:style>
  <w:style w:type="character" w:customStyle="1" w:styleId="canliisection">
    <w:name w:val="canlii_section"/>
    <w:basedOn w:val="Policepardfaut"/>
    <w:rsid w:val="00086088"/>
  </w:style>
  <w:style w:type="character" w:styleId="Accentuation">
    <w:name w:val="Emphasis"/>
    <w:basedOn w:val="Policepardfaut"/>
    <w:uiPriority w:val="20"/>
    <w:qFormat/>
    <w:rsid w:val="00E52BFF"/>
    <w:rPr>
      <w:i/>
      <w:iCs/>
    </w:rPr>
  </w:style>
  <w:style w:type="paragraph" w:styleId="NormalWeb">
    <w:name w:val="Normal (Web)"/>
    <w:basedOn w:val="Normal"/>
    <w:uiPriority w:val="99"/>
    <w:semiHidden/>
    <w:unhideWhenUsed/>
    <w:rsid w:val="00163A65"/>
    <w:pPr>
      <w:spacing w:before="100" w:beforeAutospacing="1" w:after="100" w:afterAutospacing="1"/>
    </w:pPr>
    <w:rPr>
      <w:rFonts w:ascii="Times New Roman" w:hAnsi="Times New Roman"/>
      <w:szCs w:val="24"/>
      <w:lang w:eastAsia="fr-CA"/>
    </w:rPr>
  </w:style>
  <w:style w:type="paragraph" w:customStyle="1" w:styleId="1">
    <w:name w:val="1"/>
    <w:basedOn w:val="Normal"/>
    <w:rsid w:val="00767494"/>
    <w:pPr>
      <w:ind w:hanging="720"/>
    </w:pPr>
    <w:rPr>
      <w:rFonts w:ascii="Times New Roman" w:hAnsi="Times New Roman"/>
      <w:szCs w:val="24"/>
      <w:lang w:eastAsia="fr-CA"/>
    </w:rPr>
  </w:style>
  <w:style w:type="character" w:customStyle="1" w:styleId="ParaNoNdepar-AltNChar">
    <w:name w:val="Para. No. / Nº de par. - Alt N Char"/>
    <w:basedOn w:val="Policepardfaut"/>
    <w:link w:val="ParaNoNdepar-AltN"/>
    <w:rsid w:val="000B0D41"/>
    <w:rPr>
      <w:rFonts w:ascii="Malgun Gothic" w:eastAsia="Malgun Gothic" w:hAnsi="Malgun Gothic"/>
    </w:rPr>
  </w:style>
  <w:style w:type="paragraph" w:customStyle="1" w:styleId="ParaNoNdepar-AltN">
    <w:name w:val="Para. No. / Nº de par. - Alt N"/>
    <w:basedOn w:val="Normal"/>
    <w:link w:val="ParaNoNdepar-AltNChar"/>
    <w:rsid w:val="000B0D41"/>
    <w:pPr>
      <w:spacing w:before="480" w:after="480" w:line="480" w:lineRule="auto"/>
      <w:jc w:val="both"/>
    </w:pPr>
    <w:rPr>
      <w:rFonts w:ascii="Malgun Gothic" w:eastAsia="Malgun Gothic" w:hAnsi="Malgun Gothic"/>
      <w:sz w:val="20"/>
      <w:lang w:eastAsia="fr-CA"/>
    </w:rPr>
  </w:style>
  <w:style w:type="paragraph" w:customStyle="1" w:styleId="Title2LevelTitre2Niveau">
    <w:name w:val="Title 2 Level / Titre 2 Niveau"/>
    <w:basedOn w:val="Normal"/>
    <w:rsid w:val="000B0D41"/>
    <w:pPr>
      <w:spacing w:before="480" w:after="720"/>
      <w:ind w:left="576" w:hanging="576"/>
      <w:jc w:val="both"/>
    </w:pPr>
    <w:rPr>
      <w:rFonts w:ascii="Times New Roman" w:hAnsi="Times New Roman"/>
      <w:i/>
      <w:iCs/>
      <w:szCs w:val="24"/>
      <w:lang w:eastAsia="fr-CA"/>
    </w:rPr>
  </w:style>
  <w:style w:type="character" w:customStyle="1" w:styleId="caij-term-highlight">
    <w:name w:val="caij-term-highlight"/>
    <w:basedOn w:val="Policepardfaut"/>
    <w:rsid w:val="003F3D93"/>
  </w:style>
  <w:style w:type="paragraph" w:styleId="Commentaire">
    <w:name w:val="annotation text"/>
    <w:basedOn w:val="Normal"/>
    <w:link w:val="CommentaireCar"/>
    <w:uiPriority w:val="99"/>
    <w:semiHidden/>
    <w:unhideWhenUsed/>
    <w:rsid w:val="00A57F54"/>
    <w:pPr>
      <w:spacing w:after="160"/>
    </w:pPr>
    <w:rPr>
      <w:rFonts w:asciiTheme="minorHAnsi" w:eastAsiaTheme="minorHAnsi" w:hAnsiTheme="minorHAnsi" w:cstheme="minorBidi"/>
      <w:sz w:val="20"/>
      <w:lang w:eastAsia="en-US"/>
    </w:rPr>
  </w:style>
  <w:style w:type="character" w:customStyle="1" w:styleId="CommentaireCar">
    <w:name w:val="Commentaire Car"/>
    <w:basedOn w:val="Policepardfaut"/>
    <w:link w:val="Commentaire"/>
    <w:uiPriority w:val="99"/>
    <w:semiHidden/>
    <w:rsid w:val="00A57F54"/>
    <w:rPr>
      <w:rFonts w:asciiTheme="minorHAnsi" w:eastAsiaTheme="minorHAnsi" w:hAnsiTheme="minorHAnsi" w:cstheme="minorBidi"/>
      <w:lang w:eastAsia="en-US"/>
    </w:rPr>
  </w:style>
  <w:style w:type="character" w:styleId="Marquedecommentaire">
    <w:name w:val="annotation reference"/>
    <w:basedOn w:val="Policepardfaut"/>
    <w:uiPriority w:val="99"/>
    <w:semiHidden/>
    <w:unhideWhenUsed/>
    <w:rsid w:val="00A57F54"/>
    <w:rPr>
      <w:sz w:val="16"/>
      <w:szCs w:val="16"/>
    </w:rPr>
  </w:style>
  <w:style w:type="character" w:customStyle="1" w:styleId="italic">
    <w:name w:val="italic"/>
    <w:basedOn w:val="Policepardfaut"/>
    <w:rsid w:val="004C4802"/>
  </w:style>
  <w:style w:type="character" w:customStyle="1" w:styleId="label-z">
    <w:name w:val="label-z"/>
    <w:basedOn w:val="Policepardfaut"/>
    <w:rsid w:val="004C4802"/>
  </w:style>
  <w:style w:type="character" w:customStyle="1" w:styleId="widthfixforlabel">
    <w:name w:val="widthfixforlabel"/>
    <w:basedOn w:val="Policepardfaut"/>
    <w:rsid w:val="004C4802"/>
  </w:style>
  <w:style w:type="character" w:customStyle="1" w:styleId="paragraph">
    <w:name w:val="paragraph"/>
    <w:basedOn w:val="Policepardfaut"/>
    <w:rsid w:val="004C4802"/>
  </w:style>
  <w:style w:type="character" w:styleId="CitationHTML">
    <w:name w:val="HTML Cite"/>
    <w:basedOn w:val="Policepardfaut"/>
    <w:uiPriority w:val="99"/>
    <w:semiHidden/>
    <w:unhideWhenUsed/>
    <w:rsid w:val="0055660B"/>
    <w:rPr>
      <w:i/>
      <w:iCs/>
    </w:rPr>
  </w:style>
  <w:style w:type="paragraph" w:styleId="TM4">
    <w:name w:val="toc 4"/>
    <w:basedOn w:val="Normal"/>
    <w:next w:val="Normal"/>
    <w:autoRedefine/>
    <w:uiPriority w:val="39"/>
    <w:unhideWhenUsed/>
    <w:rsid w:val="00CA1B82"/>
    <w:pPr>
      <w:ind w:left="720"/>
    </w:pPr>
    <w:rPr>
      <w:rFonts w:asciiTheme="minorHAnsi" w:hAnsiTheme="minorHAnsi" w:cstheme="minorHAnsi"/>
      <w:sz w:val="20"/>
    </w:rPr>
  </w:style>
  <w:style w:type="character" w:customStyle="1" w:styleId="articletitle">
    <w:name w:val="articletitle"/>
    <w:basedOn w:val="Policepardfaut"/>
    <w:rsid w:val="00447F67"/>
  </w:style>
  <w:style w:type="character" w:customStyle="1" w:styleId="text">
    <w:name w:val="text"/>
    <w:basedOn w:val="Policepardfaut"/>
    <w:rsid w:val="00447F67"/>
  </w:style>
  <w:style w:type="paragraph" w:styleId="TM5">
    <w:name w:val="toc 5"/>
    <w:basedOn w:val="Normal"/>
    <w:next w:val="Normal"/>
    <w:autoRedefine/>
    <w:uiPriority w:val="39"/>
    <w:unhideWhenUsed/>
    <w:rsid w:val="009833C1"/>
    <w:pPr>
      <w:ind w:left="960"/>
    </w:pPr>
    <w:rPr>
      <w:rFonts w:asciiTheme="minorHAnsi" w:hAnsiTheme="minorHAnsi" w:cstheme="minorHAnsi"/>
      <w:sz w:val="20"/>
    </w:rPr>
  </w:style>
  <w:style w:type="character" w:customStyle="1" w:styleId="sectionlabel">
    <w:name w:val="sectionlabel"/>
    <w:basedOn w:val="Policepardfaut"/>
    <w:rsid w:val="006A02F9"/>
  </w:style>
  <w:style w:type="paragraph" w:customStyle="1" w:styleId="paragraphe0">
    <w:name w:val="paragraphe"/>
    <w:basedOn w:val="Normal"/>
    <w:rsid w:val="00AF4B12"/>
    <w:pPr>
      <w:spacing w:before="120" w:after="120" w:line="500" w:lineRule="atLeast"/>
      <w:jc w:val="both"/>
    </w:pPr>
    <w:rPr>
      <w:rFonts w:cs="Arial"/>
      <w:szCs w:val="24"/>
      <w:lang w:eastAsia="fr-CA"/>
    </w:rPr>
  </w:style>
  <w:style w:type="paragraph" w:styleId="Rvision">
    <w:name w:val="Revision"/>
    <w:hidden/>
    <w:uiPriority w:val="99"/>
    <w:semiHidden/>
    <w:rsid w:val="00F04F7A"/>
    <w:rPr>
      <w:rFonts w:ascii="Arial" w:hAnsi="Arial"/>
      <w:sz w:val="24"/>
      <w:lang w:eastAsia="fr-FR"/>
    </w:rPr>
  </w:style>
  <w:style w:type="character" w:customStyle="1" w:styleId="ssit">
    <w:name w:val="ss_it"/>
    <w:basedOn w:val="Policepardfaut"/>
    <w:rsid w:val="001C512E"/>
  </w:style>
  <w:style w:type="character" w:customStyle="1" w:styleId="ssbf">
    <w:name w:val="ss_bf"/>
    <w:basedOn w:val="Policepardfaut"/>
    <w:rsid w:val="001C512E"/>
  </w:style>
  <w:style w:type="table" w:styleId="Grilledutableau">
    <w:name w:val="Table Grid"/>
    <w:basedOn w:val="TableauNormal"/>
    <w:uiPriority w:val="59"/>
    <w:rsid w:val="00A40D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bjetducommentaire">
    <w:name w:val="annotation subject"/>
    <w:basedOn w:val="Commentaire"/>
    <w:next w:val="Commentaire"/>
    <w:link w:val="ObjetducommentaireCar"/>
    <w:uiPriority w:val="99"/>
    <w:semiHidden/>
    <w:unhideWhenUsed/>
    <w:rsid w:val="00A40D85"/>
    <w:pPr>
      <w:spacing w:after="0"/>
    </w:pPr>
    <w:rPr>
      <w:rFonts w:ascii="Arial" w:eastAsia="Times New Roman" w:hAnsi="Arial" w:cs="Times New Roman"/>
      <w:b/>
      <w:bCs/>
      <w:lang w:eastAsia="fr-FR"/>
    </w:rPr>
  </w:style>
  <w:style w:type="character" w:customStyle="1" w:styleId="ObjetducommentaireCar">
    <w:name w:val="Objet du commentaire Car"/>
    <w:basedOn w:val="CommentaireCar"/>
    <w:link w:val="Objetducommentaire"/>
    <w:uiPriority w:val="99"/>
    <w:semiHidden/>
    <w:rsid w:val="00A40D85"/>
    <w:rPr>
      <w:rFonts w:ascii="Arial" w:eastAsiaTheme="minorHAnsi" w:hAnsi="Arial" w:cstheme="minorBidi"/>
      <w:b/>
      <w:bCs/>
      <w:lang w:eastAsia="fr-FR"/>
    </w:rPr>
  </w:style>
  <w:style w:type="paragraph" w:styleId="TM6">
    <w:name w:val="toc 6"/>
    <w:basedOn w:val="Normal"/>
    <w:next w:val="Normal"/>
    <w:autoRedefine/>
    <w:uiPriority w:val="39"/>
    <w:unhideWhenUsed/>
    <w:rsid w:val="00680F08"/>
    <w:pPr>
      <w:ind w:left="1200"/>
    </w:pPr>
    <w:rPr>
      <w:rFonts w:asciiTheme="minorHAnsi" w:hAnsiTheme="minorHAnsi" w:cstheme="minorHAnsi"/>
      <w:sz w:val="20"/>
    </w:rPr>
  </w:style>
  <w:style w:type="paragraph" w:styleId="TM7">
    <w:name w:val="toc 7"/>
    <w:basedOn w:val="Normal"/>
    <w:next w:val="Normal"/>
    <w:autoRedefine/>
    <w:uiPriority w:val="39"/>
    <w:unhideWhenUsed/>
    <w:rsid w:val="00680F08"/>
    <w:pPr>
      <w:ind w:left="1440"/>
    </w:pPr>
    <w:rPr>
      <w:rFonts w:asciiTheme="minorHAnsi" w:hAnsiTheme="minorHAnsi" w:cstheme="minorHAnsi"/>
      <w:sz w:val="20"/>
    </w:rPr>
  </w:style>
  <w:style w:type="paragraph" w:styleId="TM8">
    <w:name w:val="toc 8"/>
    <w:basedOn w:val="Normal"/>
    <w:next w:val="Normal"/>
    <w:autoRedefine/>
    <w:uiPriority w:val="39"/>
    <w:unhideWhenUsed/>
    <w:rsid w:val="00680F08"/>
    <w:pPr>
      <w:ind w:left="1680"/>
    </w:pPr>
    <w:rPr>
      <w:rFonts w:asciiTheme="minorHAnsi" w:hAnsiTheme="minorHAnsi" w:cstheme="minorHAnsi"/>
      <w:sz w:val="20"/>
    </w:rPr>
  </w:style>
  <w:style w:type="paragraph" w:styleId="TM9">
    <w:name w:val="toc 9"/>
    <w:basedOn w:val="Normal"/>
    <w:next w:val="Normal"/>
    <w:autoRedefine/>
    <w:uiPriority w:val="39"/>
    <w:unhideWhenUsed/>
    <w:rsid w:val="00680F08"/>
    <w:pPr>
      <w:ind w:left="192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6004">
      <w:bodyDiv w:val="1"/>
      <w:marLeft w:val="0"/>
      <w:marRight w:val="0"/>
      <w:marTop w:val="0"/>
      <w:marBottom w:val="0"/>
      <w:divBdr>
        <w:top w:val="none" w:sz="0" w:space="0" w:color="auto"/>
        <w:left w:val="none" w:sz="0" w:space="0" w:color="auto"/>
        <w:bottom w:val="none" w:sz="0" w:space="0" w:color="auto"/>
        <w:right w:val="none" w:sz="0" w:space="0" w:color="auto"/>
      </w:divBdr>
    </w:div>
    <w:div w:id="100807063">
      <w:bodyDiv w:val="1"/>
      <w:marLeft w:val="0"/>
      <w:marRight w:val="0"/>
      <w:marTop w:val="0"/>
      <w:marBottom w:val="0"/>
      <w:divBdr>
        <w:top w:val="none" w:sz="0" w:space="0" w:color="auto"/>
        <w:left w:val="none" w:sz="0" w:space="0" w:color="auto"/>
        <w:bottom w:val="none" w:sz="0" w:space="0" w:color="auto"/>
        <w:right w:val="none" w:sz="0" w:space="0" w:color="auto"/>
      </w:divBdr>
    </w:div>
    <w:div w:id="117920334">
      <w:bodyDiv w:val="1"/>
      <w:marLeft w:val="0"/>
      <w:marRight w:val="0"/>
      <w:marTop w:val="0"/>
      <w:marBottom w:val="0"/>
      <w:divBdr>
        <w:top w:val="none" w:sz="0" w:space="0" w:color="auto"/>
        <w:left w:val="none" w:sz="0" w:space="0" w:color="auto"/>
        <w:bottom w:val="none" w:sz="0" w:space="0" w:color="auto"/>
        <w:right w:val="none" w:sz="0" w:space="0" w:color="auto"/>
      </w:divBdr>
    </w:div>
    <w:div w:id="216860719">
      <w:bodyDiv w:val="1"/>
      <w:marLeft w:val="0"/>
      <w:marRight w:val="0"/>
      <w:marTop w:val="0"/>
      <w:marBottom w:val="0"/>
      <w:divBdr>
        <w:top w:val="none" w:sz="0" w:space="0" w:color="auto"/>
        <w:left w:val="none" w:sz="0" w:space="0" w:color="auto"/>
        <w:bottom w:val="none" w:sz="0" w:space="0" w:color="auto"/>
        <w:right w:val="none" w:sz="0" w:space="0" w:color="auto"/>
      </w:divBdr>
    </w:div>
    <w:div w:id="228463699">
      <w:bodyDiv w:val="1"/>
      <w:marLeft w:val="0"/>
      <w:marRight w:val="0"/>
      <w:marTop w:val="0"/>
      <w:marBottom w:val="0"/>
      <w:divBdr>
        <w:top w:val="none" w:sz="0" w:space="0" w:color="auto"/>
        <w:left w:val="none" w:sz="0" w:space="0" w:color="auto"/>
        <w:bottom w:val="none" w:sz="0" w:space="0" w:color="auto"/>
        <w:right w:val="none" w:sz="0" w:space="0" w:color="auto"/>
      </w:divBdr>
    </w:div>
    <w:div w:id="276067818">
      <w:bodyDiv w:val="1"/>
      <w:marLeft w:val="0"/>
      <w:marRight w:val="0"/>
      <w:marTop w:val="0"/>
      <w:marBottom w:val="0"/>
      <w:divBdr>
        <w:top w:val="none" w:sz="0" w:space="0" w:color="auto"/>
        <w:left w:val="none" w:sz="0" w:space="0" w:color="auto"/>
        <w:bottom w:val="none" w:sz="0" w:space="0" w:color="auto"/>
        <w:right w:val="none" w:sz="0" w:space="0" w:color="auto"/>
      </w:divBdr>
      <w:divsChild>
        <w:div w:id="437992367">
          <w:marLeft w:val="0"/>
          <w:marRight w:val="0"/>
          <w:marTop w:val="0"/>
          <w:marBottom w:val="240"/>
          <w:divBdr>
            <w:top w:val="none" w:sz="0" w:space="0" w:color="auto"/>
            <w:left w:val="none" w:sz="0" w:space="0" w:color="auto"/>
            <w:bottom w:val="none" w:sz="0" w:space="0" w:color="auto"/>
            <w:right w:val="none" w:sz="0" w:space="0" w:color="auto"/>
          </w:divBdr>
        </w:div>
        <w:div w:id="1244993354">
          <w:marLeft w:val="0"/>
          <w:marRight w:val="0"/>
          <w:marTop w:val="0"/>
          <w:marBottom w:val="240"/>
          <w:divBdr>
            <w:top w:val="none" w:sz="0" w:space="0" w:color="auto"/>
            <w:left w:val="none" w:sz="0" w:space="0" w:color="auto"/>
            <w:bottom w:val="none" w:sz="0" w:space="0" w:color="auto"/>
            <w:right w:val="none" w:sz="0" w:space="0" w:color="auto"/>
          </w:divBdr>
        </w:div>
      </w:divsChild>
    </w:div>
    <w:div w:id="278071334">
      <w:bodyDiv w:val="1"/>
      <w:marLeft w:val="0"/>
      <w:marRight w:val="0"/>
      <w:marTop w:val="0"/>
      <w:marBottom w:val="0"/>
      <w:divBdr>
        <w:top w:val="none" w:sz="0" w:space="0" w:color="auto"/>
        <w:left w:val="none" w:sz="0" w:space="0" w:color="auto"/>
        <w:bottom w:val="none" w:sz="0" w:space="0" w:color="auto"/>
        <w:right w:val="none" w:sz="0" w:space="0" w:color="auto"/>
      </w:divBdr>
    </w:div>
    <w:div w:id="494492861">
      <w:bodyDiv w:val="1"/>
      <w:marLeft w:val="0"/>
      <w:marRight w:val="0"/>
      <w:marTop w:val="0"/>
      <w:marBottom w:val="0"/>
      <w:divBdr>
        <w:top w:val="none" w:sz="0" w:space="0" w:color="auto"/>
        <w:left w:val="none" w:sz="0" w:space="0" w:color="auto"/>
        <w:bottom w:val="none" w:sz="0" w:space="0" w:color="auto"/>
        <w:right w:val="none" w:sz="0" w:space="0" w:color="auto"/>
      </w:divBdr>
    </w:div>
    <w:div w:id="645403791">
      <w:bodyDiv w:val="1"/>
      <w:marLeft w:val="0"/>
      <w:marRight w:val="0"/>
      <w:marTop w:val="0"/>
      <w:marBottom w:val="0"/>
      <w:divBdr>
        <w:top w:val="none" w:sz="0" w:space="0" w:color="auto"/>
        <w:left w:val="none" w:sz="0" w:space="0" w:color="auto"/>
        <w:bottom w:val="none" w:sz="0" w:space="0" w:color="auto"/>
        <w:right w:val="none" w:sz="0" w:space="0" w:color="auto"/>
      </w:divBdr>
      <w:divsChild>
        <w:div w:id="1289436045">
          <w:marLeft w:val="0"/>
          <w:marRight w:val="0"/>
          <w:marTop w:val="0"/>
          <w:marBottom w:val="240"/>
          <w:divBdr>
            <w:top w:val="none" w:sz="0" w:space="0" w:color="auto"/>
            <w:left w:val="none" w:sz="0" w:space="0" w:color="auto"/>
            <w:bottom w:val="none" w:sz="0" w:space="0" w:color="auto"/>
            <w:right w:val="none" w:sz="0" w:space="0" w:color="auto"/>
          </w:divBdr>
        </w:div>
      </w:divsChild>
    </w:div>
    <w:div w:id="659499221">
      <w:bodyDiv w:val="1"/>
      <w:marLeft w:val="0"/>
      <w:marRight w:val="0"/>
      <w:marTop w:val="0"/>
      <w:marBottom w:val="0"/>
      <w:divBdr>
        <w:top w:val="none" w:sz="0" w:space="0" w:color="auto"/>
        <w:left w:val="none" w:sz="0" w:space="0" w:color="auto"/>
        <w:bottom w:val="none" w:sz="0" w:space="0" w:color="auto"/>
        <w:right w:val="none" w:sz="0" w:space="0" w:color="auto"/>
      </w:divBdr>
    </w:div>
    <w:div w:id="737022597">
      <w:bodyDiv w:val="1"/>
      <w:marLeft w:val="0"/>
      <w:marRight w:val="0"/>
      <w:marTop w:val="0"/>
      <w:marBottom w:val="0"/>
      <w:divBdr>
        <w:top w:val="none" w:sz="0" w:space="0" w:color="auto"/>
        <w:left w:val="none" w:sz="0" w:space="0" w:color="auto"/>
        <w:bottom w:val="none" w:sz="0" w:space="0" w:color="auto"/>
        <w:right w:val="none" w:sz="0" w:space="0" w:color="auto"/>
      </w:divBdr>
      <w:divsChild>
        <w:div w:id="1416171849">
          <w:marLeft w:val="0"/>
          <w:marRight w:val="0"/>
          <w:marTop w:val="0"/>
          <w:marBottom w:val="240"/>
          <w:divBdr>
            <w:top w:val="none" w:sz="0" w:space="0" w:color="auto"/>
            <w:left w:val="none" w:sz="0" w:space="0" w:color="auto"/>
            <w:bottom w:val="none" w:sz="0" w:space="0" w:color="auto"/>
            <w:right w:val="none" w:sz="0" w:space="0" w:color="auto"/>
          </w:divBdr>
        </w:div>
      </w:divsChild>
    </w:div>
    <w:div w:id="751974877">
      <w:bodyDiv w:val="1"/>
      <w:marLeft w:val="0"/>
      <w:marRight w:val="0"/>
      <w:marTop w:val="0"/>
      <w:marBottom w:val="0"/>
      <w:divBdr>
        <w:top w:val="none" w:sz="0" w:space="0" w:color="auto"/>
        <w:left w:val="none" w:sz="0" w:space="0" w:color="auto"/>
        <w:bottom w:val="none" w:sz="0" w:space="0" w:color="auto"/>
        <w:right w:val="none" w:sz="0" w:space="0" w:color="auto"/>
      </w:divBdr>
    </w:div>
    <w:div w:id="823593206">
      <w:bodyDiv w:val="1"/>
      <w:marLeft w:val="0"/>
      <w:marRight w:val="0"/>
      <w:marTop w:val="0"/>
      <w:marBottom w:val="0"/>
      <w:divBdr>
        <w:top w:val="none" w:sz="0" w:space="0" w:color="auto"/>
        <w:left w:val="none" w:sz="0" w:space="0" w:color="auto"/>
        <w:bottom w:val="none" w:sz="0" w:space="0" w:color="auto"/>
        <w:right w:val="none" w:sz="0" w:space="0" w:color="auto"/>
      </w:divBdr>
    </w:div>
    <w:div w:id="872377595">
      <w:bodyDiv w:val="1"/>
      <w:marLeft w:val="0"/>
      <w:marRight w:val="0"/>
      <w:marTop w:val="0"/>
      <w:marBottom w:val="0"/>
      <w:divBdr>
        <w:top w:val="none" w:sz="0" w:space="0" w:color="auto"/>
        <w:left w:val="none" w:sz="0" w:space="0" w:color="auto"/>
        <w:bottom w:val="none" w:sz="0" w:space="0" w:color="auto"/>
        <w:right w:val="none" w:sz="0" w:space="0" w:color="auto"/>
      </w:divBdr>
      <w:divsChild>
        <w:div w:id="140536067">
          <w:marLeft w:val="0"/>
          <w:marRight w:val="0"/>
          <w:marTop w:val="219"/>
          <w:marBottom w:val="0"/>
          <w:divBdr>
            <w:top w:val="none" w:sz="0" w:space="0" w:color="auto"/>
            <w:left w:val="none" w:sz="0" w:space="0" w:color="auto"/>
            <w:bottom w:val="none" w:sz="0" w:space="0" w:color="auto"/>
            <w:right w:val="none" w:sz="0" w:space="0" w:color="auto"/>
          </w:divBdr>
        </w:div>
        <w:div w:id="365522750">
          <w:marLeft w:val="0"/>
          <w:marRight w:val="0"/>
          <w:marTop w:val="219"/>
          <w:marBottom w:val="0"/>
          <w:divBdr>
            <w:top w:val="none" w:sz="0" w:space="0" w:color="auto"/>
            <w:left w:val="none" w:sz="0" w:space="0" w:color="auto"/>
            <w:bottom w:val="none" w:sz="0" w:space="0" w:color="auto"/>
            <w:right w:val="none" w:sz="0" w:space="0" w:color="auto"/>
          </w:divBdr>
        </w:div>
        <w:div w:id="881400456">
          <w:marLeft w:val="0"/>
          <w:marRight w:val="0"/>
          <w:marTop w:val="219"/>
          <w:marBottom w:val="0"/>
          <w:divBdr>
            <w:top w:val="none" w:sz="0" w:space="0" w:color="auto"/>
            <w:left w:val="none" w:sz="0" w:space="0" w:color="auto"/>
            <w:bottom w:val="none" w:sz="0" w:space="0" w:color="auto"/>
            <w:right w:val="none" w:sz="0" w:space="0" w:color="auto"/>
          </w:divBdr>
        </w:div>
        <w:div w:id="1641226066">
          <w:marLeft w:val="0"/>
          <w:marRight w:val="0"/>
          <w:marTop w:val="219"/>
          <w:marBottom w:val="0"/>
          <w:divBdr>
            <w:top w:val="none" w:sz="0" w:space="0" w:color="auto"/>
            <w:left w:val="none" w:sz="0" w:space="0" w:color="auto"/>
            <w:bottom w:val="none" w:sz="0" w:space="0" w:color="auto"/>
            <w:right w:val="none" w:sz="0" w:space="0" w:color="auto"/>
          </w:divBdr>
        </w:div>
      </w:divsChild>
    </w:div>
    <w:div w:id="987049451">
      <w:bodyDiv w:val="1"/>
      <w:marLeft w:val="0"/>
      <w:marRight w:val="0"/>
      <w:marTop w:val="0"/>
      <w:marBottom w:val="0"/>
      <w:divBdr>
        <w:top w:val="none" w:sz="0" w:space="0" w:color="auto"/>
        <w:left w:val="none" w:sz="0" w:space="0" w:color="auto"/>
        <w:bottom w:val="none" w:sz="0" w:space="0" w:color="auto"/>
        <w:right w:val="none" w:sz="0" w:space="0" w:color="auto"/>
      </w:divBdr>
    </w:div>
    <w:div w:id="1083797094">
      <w:bodyDiv w:val="1"/>
      <w:marLeft w:val="0"/>
      <w:marRight w:val="0"/>
      <w:marTop w:val="0"/>
      <w:marBottom w:val="0"/>
      <w:divBdr>
        <w:top w:val="none" w:sz="0" w:space="0" w:color="auto"/>
        <w:left w:val="none" w:sz="0" w:space="0" w:color="auto"/>
        <w:bottom w:val="none" w:sz="0" w:space="0" w:color="auto"/>
        <w:right w:val="none" w:sz="0" w:space="0" w:color="auto"/>
      </w:divBdr>
    </w:div>
    <w:div w:id="1121416652">
      <w:bodyDiv w:val="1"/>
      <w:marLeft w:val="0"/>
      <w:marRight w:val="0"/>
      <w:marTop w:val="0"/>
      <w:marBottom w:val="0"/>
      <w:divBdr>
        <w:top w:val="none" w:sz="0" w:space="0" w:color="auto"/>
        <w:left w:val="none" w:sz="0" w:space="0" w:color="auto"/>
        <w:bottom w:val="none" w:sz="0" w:space="0" w:color="auto"/>
        <w:right w:val="none" w:sz="0" w:space="0" w:color="auto"/>
      </w:divBdr>
      <w:divsChild>
        <w:div w:id="572009632">
          <w:marLeft w:val="0"/>
          <w:marRight w:val="0"/>
          <w:marTop w:val="219"/>
          <w:marBottom w:val="240"/>
          <w:divBdr>
            <w:top w:val="none" w:sz="0" w:space="0" w:color="auto"/>
            <w:left w:val="none" w:sz="0" w:space="0" w:color="auto"/>
            <w:bottom w:val="none" w:sz="0" w:space="0" w:color="auto"/>
            <w:right w:val="none" w:sz="0" w:space="0" w:color="auto"/>
          </w:divBdr>
        </w:div>
        <w:div w:id="2025327602">
          <w:marLeft w:val="0"/>
          <w:marRight w:val="0"/>
          <w:marTop w:val="260"/>
          <w:marBottom w:val="240"/>
          <w:divBdr>
            <w:top w:val="none" w:sz="0" w:space="0" w:color="auto"/>
            <w:left w:val="none" w:sz="0" w:space="0" w:color="auto"/>
            <w:bottom w:val="none" w:sz="0" w:space="0" w:color="auto"/>
            <w:right w:val="none" w:sz="0" w:space="0" w:color="auto"/>
          </w:divBdr>
        </w:div>
      </w:divsChild>
    </w:div>
    <w:div w:id="1136921073">
      <w:bodyDiv w:val="1"/>
      <w:marLeft w:val="0"/>
      <w:marRight w:val="0"/>
      <w:marTop w:val="0"/>
      <w:marBottom w:val="0"/>
      <w:divBdr>
        <w:top w:val="none" w:sz="0" w:space="0" w:color="auto"/>
        <w:left w:val="none" w:sz="0" w:space="0" w:color="auto"/>
        <w:bottom w:val="none" w:sz="0" w:space="0" w:color="auto"/>
        <w:right w:val="none" w:sz="0" w:space="0" w:color="auto"/>
      </w:divBdr>
      <w:divsChild>
        <w:div w:id="1279023817">
          <w:marLeft w:val="0"/>
          <w:marRight w:val="0"/>
          <w:marTop w:val="219"/>
          <w:marBottom w:val="240"/>
          <w:divBdr>
            <w:top w:val="none" w:sz="0" w:space="0" w:color="auto"/>
            <w:left w:val="none" w:sz="0" w:space="0" w:color="auto"/>
            <w:bottom w:val="none" w:sz="0" w:space="0" w:color="auto"/>
            <w:right w:val="none" w:sz="0" w:space="0" w:color="auto"/>
          </w:divBdr>
        </w:div>
        <w:div w:id="2101289951">
          <w:marLeft w:val="0"/>
          <w:marRight w:val="0"/>
          <w:marTop w:val="260"/>
          <w:marBottom w:val="240"/>
          <w:divBdr>
            <w:top w:val="none" w:sz="0" w:space="0" w:color="auto"/>
            <w:left w:val="none" w:sz="0" w:space="0" w:color="auto"/>
            <w:bottom w:val="none" w:sz="0" w:space="0" w:color="auto"/>
            <w:right w:val="none" w:sz="0" w:space="0" w:color="auto"/>
          </w:divBdr>
        </w:div>
      </w:divsChild>
    </w:div>
    <w:div w:id="1161771749">
      <w:bodyDiv w:val="1"/>
      <w:marLeft w:val="0"/>
      <w:marRight w:val="0"/>
      <w:marTop w:val="0"/>
      <w:marBottom w:val="0"/>
      <w:divBdr>
        <w:top w:val="none" w:sz="0" w:space="0" w:color="auto"/>
        <w:left w:val="none" w:sz="0" w:space="0" w:color="auto"/>
        <w:bottom w:val="none" w:sz="0" w:space="0" w:color="auto"/>
        <w:right w:val="none" w:sz="0" w:space="0" w:color="auto"/>
      </w:divBdr>
    </w:div>
    <w:div w:id="1226069382">
      <w:bodyDiv w:val="1"/>
      <w:marLeft w:val="0"/>
      <w:marRight w:val="0"/>
      <w:marTop w:val="0"/>
      <w:marBottom w:val="0"/>
      <w:divBdr>
        <w:top w:val="none" w:sz="0" w:space="0" w:color="auto"/>
        <w:left w:val="none" w:sz="0" w:space="0" w:color="auto"/>
        <w:bottom w:val="none" w:sz="0" w:space="0" w:color="auto"/>
        <w:right w:val="none" w:sz="0" w:space="0" w:color="auto"/>
      </w:divBdr>
      <w:divsChild>
        <w:div w:id="587814531">
          <w:marLeft w:val="0"/>
          <w:marRight w:val="0"/>
          <w:marTop w:val="260"/>
          <w:marBottom w:val="240"/>
          <w:divBdr>
            <w:top w:val="none" w:sz="0" w:space="0" w:color="auto"/>
            <w:left w:val="none" w:sz="0" w:space="0" w:color="auto"/>
            <w:bottom w:val="none" w:sz="0" w:space="0" w:color="auto"/>
            <w:right w:val="none" w:sz="0" w:space="0" w:color="auto"/>
          </w:divBdr>
        </w:div>
        <w:div w:id="1136684778">
          <w:marLeft w:val="0"/>
          <w:marRight w:val="0"/>
          <w:marTop w:val="260"/>
          <w:marBottom w:val="240"/>
          <w:divBdr>
            <w:top w:val="none" w:sz="0" w:space="0" w:color="auto"/>
            <w:left w:val="none" w:sz="0" w:space="0" w:color="auto"/>
            <w:bottom w:val="none" w:sz="0" w:space="0" w:color="auto"/>
            <w:right w:val="none" w:sz="0" w:space="0" w:color="auto"/>
          </w:divBdr>
        </w:div>
        <w:div w:id="1771849698">
          <w:marLeft w:val="0"/>
          <w:marRight w:val="0"/>
          <w:marTop w:val="260"/>
          <w:marBottom w:val="240"/>
          <w:divBdr>
            <w:top w:val="none" w:sz="0" w:space="0" w:color="auto"/>
            <w:left w:val="none" w:sz="0" w:space="0" w:color="auto"/>
            <w:bottom w:val="none" w:sz="0" w:space="0" w:color="auto"/>
            <w:right w:val="none" w:sz="0" w:space="0" w:color="auto"/>
          </w:divBdr>
        </w:div>
        <w:div w:id="1900897356">
          <w:marLeft w:val="0"/>
          <w:marRight w:val="0"/>
          <w:marTop w:val="260"/>
          <w:marBottom w:val="240"/>
          <w:divBdr>
            <w:top w:val="none" w:sz="0" w:space="0" w:color="auto"/>
            <w:left w:val="none" w:sz="0" w:space="0" w:color="auto"/>
            <w:bottom w:val="none" w:sz="0" w:space="0" w:color="auto"/>
            <w:right w:val="none" w:sz="0" w:space="0" w:color="auto"/>
          </w:divBdr>
        </w:div>
        <w:div w:id="2006742718">
          <w:marLeft w:val="0"/>
          <w:marRight w:val="0"/>
          <w:marTop w:val="260"/>
          <w:marBottom w:val="240"/>
          <w:divBdr>
            <w:top w:val="none" w:sz="0" w:space="0" w:color="auto"/>
            <w:left w:val="none" w:sz="0" w:space="0" w:color="auto"/>
            <w:bottom w:val="none" w:sz="0" w:space="0" w:color="auto"/>
            <w:right w:val="none" w:sz="0" w:space="0" w:color="auto"/>
          </w:divBdr>
        </w:div>
      </w:divsChild>
    </w:div>
    <w:div w:id="1281913008">
      <w:bodyDiv w:val="1"/>
      <w:marLeft w:val="0"/>
      <w:marRight w:val="0"/>
      <w:marTop w:val="0"/>
      <w:marBottom w:val="0"/>
      <w:divBdr>
        <w:top w:val="none" w:sz="0" w:space="0" w:color="auto"/>
        <w:left w:val="none" w:sz="0" w:space="0" w:color="auto"/>
        <w:bottom w:val="none" w:sz="0" w:space="0" w:color="auto"/>
        <w:right w:val="none" w:sz="0" w:space="0" w:color="auto"/>
      </w:divBdr>
    </w:div>
    <w:div w:id="1404378345">
      <w:bodyDiv w:val="1"/>
      <w:marLeft w:val="0"/>
      <w:marRight w:val="0"/>
      <w:marTop w:val="0"/>
      <w:marBottom w:val="0"/>
      <w:divBdr>
        <w:top w:val="none" w:sz="0" w:space="0" w:color="auto"/>
        <w:left w:val="none" w:sz="0" w:space="0" w:color="auto"/>
        <w:bottom w:val="none" w:sz="0" w:space="0" w:color="auto"/>
        <w:right w:val="none" w:sz="0" w:space="0" w:color="auto"/>
      </w:divBdr>
    </w:div>
    <w:div w:id="1455903472">
      <w:bodyDiv w:val="1"/>
      <w:marLeft w:val="0"/>
      <w:marRight w:val="0"/>
      <w:marTop w:val="0"/>
      <w:marBottom w:val="0"/>
      <w:divBdr>
        <w:top w:val="none" w:sz="0" w:space="0" w:color="auto"/>
        <w:left w:val="none" w:sz="0" w:space="0" w:color="auto"/>
        <w:bottom w:val="none" w:sz="0" w:space="0" w:color="auto"/>
        <w:right w:val="none" w:sz="0" w:space="0" w:color="auto"/>
      </w:divBdr>
    </w:div>
    <w:div w:id="1485510869">
      <w:bodyDiv w:val="1"/>
      <w:marLeft w:val="0"/>
      <w:marRight w:val="0"/>
      <w:marTop w:val="0"/>
      <w:marBottom w:val="0"/>
      <w:divBdr>
        <w:top w:val="none" w:sz="0" w:space="0" w:color="auto"/>
        <w:left w:val="none" w:sz="0" w:space="0" w:color="auto"/>
        <w:bottom w:val="none" w:sz="0" w:space="0" w:color="auto"/>
        <w:right w:val="none" w:sz="0" w:space="0" w:color="auto"/>
      </w:divBdr>
    </w:div>
    <w:div w:id="1611012142">
      <w:bodyDiv w:val="1"/>
      <w:marLeft w:val="0"/>
      <w:marRight w:val="0"/>
      <w:marTop w:val="0"/>
      <w:marBottom w:val="0"/>
      <w:divBdr>
        <w:top w:val="none" w:sz="0" w:space="0" w:color="auto"/>
        <w:left w:val="none" w:sz="0" w:space="0" w:color="auto"/>
        <w:bottom w:val="none" w:sz="0" w:space="0" w:color="auto"/>
        <w:right w:val="none" w:sz="0" w:space="0" w:color="auto"/>
      </w:divBdr>
      <w:divsChild>
        <w:div w:id="109975600">
          <w:marLeft w:val="0"/>
          <w:marRight w:val="0"/>
          <w:marTop w:val="219"/>
          <w:marBottom w:val="0"/>
          <w:divBdr>
            <w:top w:val="none" w:sz="0" w:space="0" w:color="auto"/>
            <w:left w:val="none" w:sz="0" w:space="0" w:color="auto"/>
            <w:bottom w:val="none" w:sz="0" w:space="0" w:color="auto"/>
            <w:right w:val="none" w:sz="0" w:space="0" w:color="auto"/>
          </w:divBdr>
          <w:divsChild>
            <w:div w:id="928082820">
              <w:marLeft w:val="0"/>
              <w:marRight w:val="0"/>
              <w:marTop w:val="219"/>
              <w:marBottom w:val="240"/>
              <w:divBdr>
                <w:top w:val="none" w:sz="0" w:space="0" w:color="auto"/>
                <w:left w:val="none" w:sz="0" w:space="0" w:color="auto"/>
                <w:bottom w:val="none" w:sz="0" w:space="0" w:color="auto"/>
                <w:right w:val="none" w:sz="0" w:space="0" w:color="auto"/>
              </w:divBdr>
            </w:div>
            <w:div w:id="1359425266">
              <w:marLeft w:val="0"/>
              <w:marRight w:val="0"/>
              <w:marTop w:val="240"/>
              <w:marBottom w:val="0"/>
              <w:divBdr>
                <w:top w:val="none" w:sz="0" w:space="0" w:color="auto"/>
                <w:left w:val="none" w:sz="0" w:space="0" w:color="auto"/>
                <w:bottom w:val="none" w:sz="0" w:space="0" w:color="auto"/>
                <w:right w:val="none" w:sz="0" w:space="0" w:color="auto"/>
              </w:divBdr>
            </w:div>
          </w:divsChild>
        </w:div>
        <w:div w:id="1110587406">
          <w:marLeft w:val="0"/>
          <w:marRight w:val="0"/>
          <w:marTop w:val="219"/>
          <w:marBottom w:val="0"/>
          <w:divBdr>
            <w:top w:val="none" w:sz="0" w:space="0" w:color="auto"/>
            <w:left w:val="none" w:sz="0" w:space="0" w:color="auto"/>
            <w:bottom w:val="none" w:sz="0" w:space="0" w:color="auto"/>
            <w:right w:val="none" w:sz="0" w:space="0" w:color="auto"/>
          </w:divBdr>
          <w:divsChild>
            <w:div w:id="461729706">
              <w:marLeft w:val="0"/>
              <w:marRight w:val="0"/>
              <w:marTop w:val="219"/>
              <w:marBottom w:val="240"/>
              <w:divBdr>
                <w:top w:val="none" w:sz="0" w:space="0" w:color="auto"/>
                <w:left w:val="none" w:sz="0" w:space="0" w:color="auto"/>
                <w:bottom w:val="none" w:sz="0" w:space="0" w:color="auto"/>
                <w:right w:val="none" w:sz="0" w:space="0" w:color="auto"/>
              </w:divBdr>
              <w:divsChild>
                <w:div w:id="1962029440">
                  <w:marLeft w:val="0"/>
                  <w:marRight w:val="0"/>
                  <w:marTop w:val="0"/>
                  <w:marBottom w:val="0"/>
                  <w:divBdr>
                    <w:top w:val="none" w:sz="0" w:space="0" w:color="auto"/>
                    <w:left w:val="none" w:sz="0" w:space="0" w:color="auto"/>
                    <w:bottom w:val="none" w:sz="0" w:space="0" w:color="auto"/>
                    <w:right w:val="none" w:sz="0" w:space="0" w:color="auto"/>
                  </w:divBdr>
                </w:div>
              </w:divsChild>
            </w:div>
            <w:div w:id="2126776305">
              <w:marLeft w:val="0"/>
              <w:marRight w:val="0"/>
              <w:marTop w:val="240"/>
              <w:marBottom w:val="0"/>
              <w:divBdr>
                <w:top w:val="none" w:sz="0" w:space="0" w:color="auto"/>
                <w:left w:val="none" w:sz="0" w:space="0" w:color="auto"/>
                <w:bottom w:val="none" w:sz="0" w:space="0" w:color="auto"/>
                <w:right w:val="none" w:sz="0" w:space="0" w:color="auto"/>
              </w:divBdr>
            </w:div>
          </w:divsChild>
        </w:div>
        <w:div w:id="1460881576">
          <w:marLeft w:val="0"/>
          <w:marRight w:val="0"/>
          <w:marTop w:val="219"/>
          <w:marBottom w:val="0"/>
          <w:divBdr>
            <w:top w:val="none" w:sz="0" w:space="0" w:color="auto"/>
            <w:left w:val="none" w:sz="0" w:space="0" w:color="auto"/>
            <w:bottom w:val="none" w:sz="0" w:space="0" w:color="auto"/>
            <w:right w:val="none" w:sz="0" w:space="0" w:color="auto"/>
          </w:divBdr>
          <w:divsChild>
            <w:div w:id="1847554972">
              <w:marLeft w:val="0"/>
              <w:marRight w:val="0"/>
              <w:marTop w:val="219"/>
              <w:marBottom w:val="240"/>
              <w:divBdr>
                <w:top w:val="none" w:sz="0" w:space="0" w:color="auto"/>
                <w:left w:val="none" w:sz="0" w:space="0" w:color="auto"/>
                <w:bottom w:val="none" w:sz="0" w:space="0" w:color="auto"/>
                <w:right w:val="none" w:sz="0" w:space="0" w:color="auto"/>
              </w:divBdr>
              <w:divsChild>
                <w:div w:id="20703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1051">
      <w:bodyDiv w:val="1"/>
      <w:marLeft w:val="0"/>
      <w:marRight w:val="0"/>
      <w:marTop w:val="0"/>
      <w:marBottom w:val="0"/>
      <w:divBdr>
        <w:top w:val="none" w:sz="0" w:space="0" w:color="auto"/>
        <w:left w:val="none" w:sz="0" w:space="0" w:color="auto"/>
        <w:bottom w:val="none" w:sz="0" w:space="0" w:color="auto"/>
        <w:right w:val="none" w:sz="0" w:space="0" w:color="auto"/>
      </w:divBdr>
    </w:div>
    <w:div w:id="21471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k.caij.qc.ca/permalien/fr/qc/legis/lois/rlrq-c-c-19/derniere/rlrq-c-c-19?anchor=art571_smooth" TargetMode="External"/><Relationship Id="rId18" Type="http://schemas.openxmlformats.org/officeDocument/2006/relationships/hyperlink" Target="https://unik.caij.qc.ca/permalien/fr/qc/legis/lois/rlrq-c-e-24/derniere/rlrq-c-e-24" TargetMode="External"/><Relationship Id="rId26" Type="http://schemas.openxmlformats.org/officeDocument/2006/relationships/hyperlink" Target="mailto:dbertrand@cabinetguybertrand.com" TargetMode="External"/><Relationship Id="rId3" Type="http://schemas.openxmlformats.org/officeDocument/2006/relationships/customXml" Target="../customXml/item3.xml"/><Relationship Id="rId21" Type="http://schemas.openxmlformats.org/officeDocument/2006/relationships/hyperlink" Target="https://www.legisquebec.gouv.qc.ca/fr/document/lc/C-12"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anlii.org/" TargetMode="External"/><Relationship Id="rId17" Type="http://schemas.openxmlformats.org/officeDocument/2006/relationships/hyperlink" Target="https://unik.caij.qc.ca/permalien/fr/qc/legis/lois/rlrq-c-e-24/derniere/rlrq-c-e-24?anchor=art40_smooth" TargetMode="External"/><Relationship Id="rId25" Type="http://schemas.openxmlformats.org/officeDocument/2006/relationships/hyperlink" Target="mailto:gbertrand@cabinetguybertrand.com" TargetMode="External"/><Relationship Id="rId33" Type="http://schemas.openxmlformats.org/officeDocument/2006/relationships/hyperlink" Target="mailto:jean-marcel.seck@justice.gc.ca" TargetMode="External"/><Relationship Id="rId2" Type="http://schemas.openxmlformats.org/officeDocument/2006/relationships/customXml" Target="../customXml/item2.xml"/><Relationship Id="rId16" Type="http://schemas.openxmlformats.org/officeDocument/2006/relationships/hyperlink" Target="https://unik.caij.qc.ca/permalien/fr/qc/legis/lois/rlrq-c-c-19/derniere/rlrq-c-c-19" TargetMode="External"/><Relationship Id="rId20" Type="http://schemas.openxmlformats.org/officeDocument/2006/relationships/hyperlink" Target="https://www.legisquebec.gouv.qc.ca/fr/document/lc/C-12" TargetMode="External"/><Relationship Id="rId29" Type="http://schemas.openxmlformats.org/officeDocument/2006/relationships/hyperlink" Target="mailto:gabrielle.ferland-gagnon@justice.gouv.q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lii.org/" TargetMode="External"/><Relationship Id="rId24" Type="http://schemas.openxmlformats.org/officeDocument/2006/relationships/hyperlink" Target="https://www.legisquebec.gouv.qc.ca/fr/document/lc/A-19.1?&amp;cible=" TargetMode="External"/><Relationship Id="rId32" Type="http://schemas.openxmlformats.org/officeDocument/2006/relationships/hyperlink" Target="mailto:bruno.sylvestre@environnement.gouv.qc.ca"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ik.caij.qc.ca/permalien/fr/qc/legis/lois/rlrq-c-c-19/derniere/rlrq-c-c-19" TargetMode="External"/><Relationship Id="rId23" Type="http://schemas.openxmlformats.org/officeDocument/2006/relationships/hyperlink" Target="https://www.legisquebec.gouv.qc.ca/fr/document/lc/C-12" TargetMode="External"/><Relationship Id="rId28" Type="http://schemas.openxmlformats.org/officeDocument/2006/relationships/hyperlink" Target="mailto:kathy.levesque@ville.quebec.qc.c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nik.caij.qc.ca/permalien/fr/qc/legis/lois/rlrq-c-e-24/derniere/rlrq-c-e-24" TargetMode="External"/><Relationship Id="rId31" Type="http://schemas.openxmlformats.org/officeDocument/2006/relationships/hyperlink" Target="mailto:charles.moreau@environnement.gouv.q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k.caij.qc.ca/permalien/fr/qc/legis/lois/rlrq-c-c-19/derniere/rlrq-c-c-19?anchor=art572_smooth" TargetMode="External"/><Relationship Id="rId22" Type="http://schemas.openxmlformats.org/officeDocument/2006/relationships/hyperlink" Target="https://www.legisquebec.gouv.qc.ca/fr/document/lc/C-12" TargetMode="External"/><Relationship Id="rId27" Type="http://schemas.openxmlformats.org/officeDocument/2006/relationships/hyperlink" Target="mailto:marc.desrosiers@ville.quebec.qc.ca" TargetMode="External"/><Relationship Id="rId30" Type="http://schemas.openxmlformats.org/officeDocument/2006/relationships/hyperlink" Target="mailto:camille.guay-bilodeau@justice.gouv.qc.ca"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nlii.org/fr/qc/qcca/doc/2012/2012qcca1669/2012qcca166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eur_x0020_du_x0020_document xmlns="ddd9db8a-241d-4149-a0d3-7618663a9260"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7318432890B74C8D8BC34B5353B372" ma:contentTypeVersion="2" ma:contentTypeDescription="Crée un document." ma:contentTypeScope="" ma:versionID="6e0052a9091211f73c24cc39bc861b60">
  <xsd:schema xmlns:xsd="http://www.w3.org/2001/XMLSchema" xmlns:xs="http://www.w3.org/2001/XMLSchema" xmlns:p="http://schemas.microsoft.com/office/2006/metadata/properties" xmlns:ns1="http://schemas.microsoft.com/sharepoint/v3" xmlns:ns2="ddd9db8a-241d-4149-a0d3-7618663a9260" targetNamespace="http://schemas.microsoft.com/office/2006/metadata/properties" ma:root="true" ma:fieldsID="52b8b4e4f19fd2fbc811c37b64dbca3c" ns1:_="" ns2:_="">
    <xsd:import namespace="http://schemas.microsoft.com/sharepoint/v3"/>
    <xsd:import namespace="ddd9db8a-241d-4149-a0d3-7618663a9260"/>
    <xsd:element name="properties">
      <xsd:complexType>
        <xsd:sequence>
          <xsd:element name="documentManagement">
            <xsd:complexType>
              <xsd:all>
                <xsd:element ref="ns1:PublishingStartDate" minOccurs="0"/>
                <xsd:element ref="ns1:PublishingExpirationDate" minOccurs="0"/>
                <xsd:element ref="ns2:Auteur_x0020_du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internalName="PublishingStartDate">
      <xsd:simpleType>
        <xsd:restriction base="dms:Unknown"/>
      </xsd:simpleType>
    </xsd:element>
    <xsd:element name="PublishingExpirationDate" ma:index="9" nillable="true" ma:displayName="Date de fin de planifica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9db8a-241d-4149-a0d3-7618663a9260" elementFormDefault="qualified">
    <xsd:import namespace="http://schemas.microsoft.com/office/2006/documentManagement/types"/>
    <xsd:import namespace="http://schemas.microsoft.com/office/infopath/2007/PartnerControls"/>
    <xsd:element name="Auteur_x0020_du_x0020_document" ma:index="10" nillable="true" ma:displayName="Auteur du document" ma:description="Auteur principal" ma:internalName="Auteur_x0020_du_x0020_docu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B1385-B317-4A73-AB5B-447180BDB870}">
  <ds:schemaRefs>
    <ds:schemaRef ds:uri="http://schemas.microsoft.com/office/2006/metadata/properties"/>
    <ds:schemaRef ds:uri="http://schemas.microsoft.com/office/infopath/2007/PartnerControls"/>
    <ds:schemaRef ds:uri="ddd9db8a-241d-4149-a0d3-7618663a9260"/>
    <ds:schemaRef ds:uri="http://schemas.microsoft.com/sharepoint/v3"/>
  </ds:schemaRefs>
</ds:datastoreItem>
</file>

<file path=customXml/itemProps2.xml><?xml version="1.0" encoding="utf-8"?>
<ds:datastoreItem xmlns:ds="http://schemas.openxmlformats.org/officeDocument/2006/customXml" ds:itemID="{2C02BE72-5CAA-4D62-A721-D6FB07247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9db8a-241d-4149-a0d3-7618663a9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A0E15-25D8-4563-809F-E138AD2E0ADF}">
  <ds:schemaRefs>
    <ds:schemaRef ds:uri="http://schemas.openxmlformats.org/officeDocument/2006/bibliography"/>
  </ds:schemaRefs>
</ds:datastoreItem>
</file>

<file path=customXml/itemProps4.xml><?xml version="1.0" encoding="utf-8"?>
<ds:datastoreItem xmlns:ds="http://schemas.openxmlformats.org/officeDocument/2006/customXml" ds:itemID="{C36D3F2B-15EA-492A-8B48-2CF10FE3B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29969</Words>
  <Characters>164832</Characters>
  <Application>Microsoft Office Word</Application>
  <DocSecurity>0</DocSecurity>
  <Lines>1373</Lines>
  <Paragraphs>388</Paragraphs>
  <ScaleCrop>false</ScaleCrop>
  <HeadingPairs>
    <vt:vector size="2" baseType="variant">
      <vt:variant>
        <vt:lpstr>Titre</vt:lpstr>
      </vt:variant>
      <vt:variant>
        <vt:i4>1</vt:i4>
      </vt:variant>
    </vt:vector>
  </HeadingPairs>
  <TitlesOfParts>
    <vt:vector size="1" baseType="lpstr">
      <vt:lpstr>Gabarit EDJ</vt:lpstr>
    </vt:vector>
  </TitlesOfParts>
  <Manager>Stéphane Renauld</Manager>
  <Company>SOQUIJ</Company>
  <LinksUpToDate>false</LinksUpToDate>
  <CharactersWithSpaces>194413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EDJ</dc:title>
  <dc:subject/>
  <dc:creator>Guillaume Bourgeois</dc:creator>
  <cp:keywords/>
  <cp:lastModifiedBy>Deschênes, Gabrielle</cp:lastModifiedBy>
  <cp:revision>7</cp:revision>
  <cp:lastPrinted>2023-01-16T14:55:00Z</cp:lastPrinted>
  <dcterms:created xsi:type="dcterms:W3CDTF">2023-01-17T17:54:00Z</dcterms:created>
  <dcterms:modified xsi:type="dcterms:W3CDTF">2023-01-17T18:25:00Z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12/06/2014</vt:lpwstr>
  </property>
  <property fmtid="{D5CDD505-2E9C-101B-9397-08002B2CF9AE}" pid="3" name="Soquij_Version">
    <vt:lpwstr>1.7</vt:lpwstr>
  </property>
  <property fmtid="{D5CDD505-2E9C-101B-9397-08002B2CF9AE}" pid="4" name="Soquij_ModifiePar">
    <vt:lpwstr>carjoh</vt:lpwstr>
  </property>
  <property fmtid="{D5CDD505-2E9C-101B-9397-08002B2CF9AE}" pid="5" name="Soquij_Modele">
    <vt:lpwstr>edj</vt:lpwstr>
  </property>
  <property fmtid="{D5CDD505-2E9C-101B-9397-08002B2CF9AE}" pid="6" name="Soquij_Cour">
    <vt:lpwstr>CS</vt:lpwstr>
  </property>
  <property fmtid="{D5CDD505-2E9C-101B-9397-08002B2CF9AE}" pid="7" name="Soquij_Langue">
    <vt:lpwstr>Fra</vt:lpwstr>
  </property>
  <property fmtid="{D5CDD505-2E9C-101B-9397-08002B2CF9AE}" pid="8" name="ContentTypeId">
    <vt:lpwstr>0x010100777318432890B74C8D8BC34B5353B372</vt:lpwstr>
  </property>
</Properties>
</file>